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D456" w14:textId="5AC5DB94" w:rsidR="00780D44" w:rsidRPr="000F6CD1" w:rsidRDefault="00831944" w:rsidP="00780D44">
      <w:pPr>
        <w:rPr>
          <w:highlight w:val="green"/>
        </w:rPr>
      </w:pPr>
      <w:bookmarkStart w:id="0" w:name="_Toc198813632"/>
      <w:bookmarkStart w:id="1" w:name="Ch1_KeyConcepts"/>
      <w:r w:rsidRPr="000F6CD1">
        <w:rPr>
          <w:noProof/>
        </w:rPr>
        <w:drawing>
          <wp:anchor distT="0" distB="0" distL="114300" distR="114300" simplePos="0" relativeHeight="251658254" behindDoc="0" locked="0" layoutInCell="1" allowOverlap="1" wp14:anchorId="057E760B" wp14:editId="2A0BAB95">
            <wp:simplePos x="0" y="0"/>
            <wp:positionH relativeFrom="page">
              <wp:align>right</wp:align>
            </wp:positionH>
            <wp:positionV relativeFrom="paragraph">
              <wp:posOffset>-914400</wp:posOffset>
            </wp:positionV>
            <wp:extent cx="7562850" cy="1065276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52760"/>
                    </a:xfrm>
                    <a:prstGeom prst="rect">
                      <a:avLst/>
                    </a:prstGeom>
                  </pic:spPr>
                </pic:pic>
              </a:graphicData>
            </a:graphic>
            <wp14:sizeRelH relativeFrom="page">
              <wp14:pctWidth>0</wp14:pctWidth>
            </wp14:sizeRelH>
            <wp14:sizeRelV relativeFrom="page">
              <wp14:pctHeight>0</wp14:pctHeight>
            </wp14:sizeRelV>
          </wp:anchor>
        </w:drawing>
      </w:r>
      <w:r w:rsidR="00A6318D" w:rsidRPr="000F6CD1">
        <w:rPr>
          <w:noProof/>
          <w:highlight w:val="green"/>
        </w:rPr>
        <w:drawing>
          <wp:anchor distT="0" distB="0" distL="114300" distR="114300" simplePos="0" relativeHeight="251658240" behindDoc="0" locked="0" layoutInCell="1" allowOverlap="1" wp14:anchorId="2FB04423" wp14:editId="07AC8BB6">
            <wp:simplePos x="0" y="0"/>
            <wp:positionH relativeFrom="margin">
              <wp:posOffset>-944474</wp:posOffset>
            </wp:positionH>
            <wp:positionV relativeFrom="page">
              <wp:align>top</wp:align>
            </wp:positionV>
            <wp:extent cx="7591425" cy="5205457"/>
            <wp:effectExtent l="0" t="0" r="0" b="0"/>
            <wp:wrapSquare wrapText="bothSides"/>
            <wp:docPr id="986727846" name="Picture 2" descr="Photograph showing a healthcare professional conducting a consultation with an older man and woman seated on a green so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7846" name="Picture 2" descr="Photograph showing a healthcare professional conducting a consultation with an older man and woman seated on a green sof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1425" cy="5205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DBA">
        <w:rPr>
          <w:highlight w:val="green"/>
        </w:rPr>
        <w:t xml:space="preserve">                                                                                                                                                                      </w:t>
      </w:r>
      <w:r w:rsidR="0083753A" w:rsidRPr="000F6CD1">
        <w:rPr>
          <w:highlight w:val="green"/>
        </w:rPr>
        <w:t xml:space="preserve">                                               </w:t>
      </w:r>
      <w:r w:rsidR="004651C4" w:rsidRPr="000F6CD1">
        <w:rPr>
          <w:highlight w:val="green"/>
        </w:rPr>
        <w:t xml:space="preserve">      </w:t>
      </w:r>
      <w:r w:rsidR="00D34E4A">
        <w:rPr>
          <w:highlight w:val="green"/>
        </w:rPr>
        <w:t xml:space="preserve">                                                                                                                                                                                                                                         </w:t>
      </w:r>
      <w:r w:rsidR="0083753A" w:rsidRPr="000F6CD1">
        <w:rPr>
          <w:highlight w:val="green"/>
        </w:rPr>
        <w:t xml:space="preserve">                                               </w:t>
      </w:r>
      <w:r w:rsidR="004651C4" w:rsidRPr="000F6CD1">
        <w:rPr>
          <w:highlight w:val="green"/>
        </w:rPr>
        <w:t xml:space="preserve">      </w:t>
      </w:r>
    </w:p>
    <w:p w14:paraId="14421021" w14:textId="74326B79" w:rsidR="00780D44" w:rsidRPr="000F6CD1" w:rsidRDefault="00780D44" w:rsidP="00780D44">
      <w:pPr>
        <w:pStyle w:val="Title"/>
        <w:rPr>
          <w:rFonts w:ascii="Arial" w:hAnsi="Arial" w:cs="Arial"/>
          <w:color w:val="3F4A75"/>
        </w:rPr>
      </w:pPr>
      <w:r w:rsidRPr="000F6CD1">
        <w:rPr>
          <w:rFonts w:ascii="Arial" w:hAnsi="Arial" w:cs="Arial"/>
          <w:color w:val="3F4A75"/>
        </w:rPr>
        <w:t>Aged Care Assessment Manual</w:t>
      </w:r>
    </w:p>
    <w:p w14:paraId="6769453D" w14:textId="3DAA9740" w:rsidR="009E222A" w:rsidRPr="000F6CD1" w:rsidRDefault="00473F20" w:rsidP="00473F20">
      <w:pPr>
        <w:rPr>
          <w:color w:val="3F4A75"/>
          <w:spacing w:val="-10"/>
          <w:kern w:val="28"/>
          <w:sz w:val="44"/>
          <w:szCs w:val="44"/>
        </w:rPr>
      </w:pPr>
      <w:r w:rsidRPr="000F6CD1">
        <w:rPr>
          <w:color w:val="3F4A75"/>
          <w:spacing w:val="-10"/>
          <w:kern w:val="28"/>
          <w:sz w:val="44"/>
          <w:szCs w:val="44"/>
        </w:rPr>
        <w:t>Version 8</w:t>
      </w:r>
      <w:r w:rsidR="00B52C42" w:rsidRPr="000F6CD1">
        <w:rPr>
          <w:color w:val="3F4A75"/>
          <w:spacing w:val="-10"/>
          <w:kern w:val="28"/>
          <w:sz w:val="44"/>
          <w:szCs w:val="44"/>
        </w:rPr>
        <w:t>.</w:t>
      </w:r>
      <w:r w:rsidR="00244379" w:rsidRPr="000F6CD1">
        <w:rPr>
          <w:color w:val="3F4A75"/>
          <w:spacing w:val="-10"/>
          <w:kern w:val="28"/>
          <w:sz w:val="44"/>
          <w:szCs w:val="44"/>
        </w:rPr>
        <w:t>3</w:t>
      </w:r>
    </w:p>
    <w:p w14:paraId="23D22C1A" w14:textId="54FFB5B8" w:rsidR="00536669" w:rsidRPr="000F6CD1" w:rsidRDefault="00536669" w:rsidP="00473F20">
      <w:pPr>
        <w:rPr>
          <w:color w:val="3F4A75"/>
          <w:spacing w:val="-10"/>
          <w:kern w:val="28"/>
          <w:sz w:val="44"/>
          <w:szCs w:val="44"/>
        </w:rPr>
      </w:pPr>
    </w:p>
    <w:p w14:paraId="1AE4299A" w14:textId="3E652E0A" w:rsidR="00536669" w:rsidRPr="000F6CD1" w:rsidRDefault="00B52C42" w:rsidP="00473F20">
      <w:pPr>
        <w:rPr>
          <w:color w:val="3F4A75"/>
          <w:spacing w:val="-10"/>
          <w:kern w:val="28"/>
          <w:sz w:val="44"/>
          <w:szCs w:val="44"/>
        </w:rPr>
        <w:sectPr w:rsidR="00536669" w:rsidRPr="000F6CD1">
          <w:headerReference w:type="even"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bookmarkStart w:id="2" w:name="_Ref212734426"/>
      <w:bookmarkEnd w:id="2"/>
      <w:r w:rsidRPr="000F6CD1">
        <w:rPr>
          <w:color w:val="3F4A75"/>
          <w:spacing w:val="-10"/>
          <w:kern w:val="28"/>
          <w:sz w:val="44"/>
          <w:szCs w:val="44"/>
        </w:rPr>
        <w:t xml:space="preserve">Published </w:t>
      </w:r>
      <w:r w:rsidR="0093286F" w:rsidRPr="000F6CD1">
        <w:rPr>
          <w:color w:val="3F4A75"/>
          <w:spacing w:val="-10"/>
          <w:kern w:val="28"/>
          <w:sz w:val="44"/>
          <w:szCs w:val="44"/>
        </w:rPr>
        <w:t>29 June</w:t>
      </w:r>
      <w:r w:rsidR="00244379" w:rsidRPr="000F6CD1">
        <w:rPr>
          <w:color w:val="3F4A75"/>
          <w:spacing w:val="-10"/>
          <w:kern w:val="28"/>
          <w:sz w:val="44"/>
          <w:szCs w:val="44"/>
        </w:rPr>
        <w:t xml:space="preserve"> </w:t>
      </w:r>
      <w:r w:rsidR="007E2185" w:rsidRPr="000F6CD1">
        <w:rPr>
          <w:color w:val="3F4A75"/>
          <w:spacing w:val="-10"/>
          <w:kern w:val="28"/>
          <w:sz w:val="44"/>
          <w:szCs w:val="44"/>
        </w:rPr>
        <w:t>2026</w:t>
      </w:r>
    </w:p>
    <w:p w14:paraId="06E5242A" w14:textId="5E0C63DD" w:rsidR="00780D44" w:rsidRPr="000F6CD1" w:rsidRDefault="009E222A" w:rsidP="000514A4">
      <w:pPr>
        <w:rPr>
          <w:b/>
          <w:color w:val="153A6E"/>
          <w:sz w:val="44"/>
          <w:szCs w:val="44"/>
        </w:rPr>
      </w:pPr>
      <w:r w:rsidRPr="000F6CD1">
        <w:rPr>
          <w:noProof/>
        </w:rPr>
        <w:lastRenderedPageBreak/>
        <mc:AlternateContent>
          <mc:Choice Requires="wps">
            <w:drawing>
              <wp:anchor distT="45720" distB="45720" distL="114300" distR="114300" simplePos="0" relativeHeight="251658251" behindDoc="0" locked="0" layoutInCell="1" allowOverlap="1" wp14:anchorId="0387073F" wp14:editId="63E1A225">
                <wp:simplePos x="0" y="0"/>
                <wp:positionH relativeFrom="margin">
                  <wp:posOffset>-9525</wp:posOffset>
                </wp:positionH>
                <wp:positionV relativeFrom="paragraph">
                  <wp:posOffset>466090</wp:posOffset>
                </wp:positionV>
                <wp:extent cx="5705475" cy="6696075"/>
                <wp:effectExtent l="0" t="0" r="28575" b="28575"/>
                <wp:wrapSquare wrapText="bothSides"/>
                <wp:docPr id="133162421" name="Text Box 13316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696075"/>
                        </a:xfrm>
                        <a:prstGeom prst="rect">
                          <a:avLst/>
                        </a:prstGeom>
                        <a:solidFill>
                          <a:srgbClr val="FFFFFF"/>
                        </a:solidFill>
                        <a:ln w="9525">
                          <a:solidFill>
                            <a:srgbClr val="000000"/>
                          </a:solidFill>
                          <a:miter lim="800000"/>
                          <a:headEnd/>
                          <a:tailEnd/>
                        </a:ln>
                      </wps:spPr>
                      <wps:txbx>
                        <w:txbxContent>
                          <w:p w14:paraId="5AC39445" w14:textId="6FC7421B" w:rsidR="00536669" w:rsidRPr="000F6CD1" w:rsidRDefault="005B38AF" w:rsidP="00536669">
                            <w:pPr>
                              <w:jc w:val="center"/>
                              <w:rPr>
                                <w:szCs w:val="20"/>
                              </w:rPr>
                            </w:pPr>
                            <w:r w:rsidRPr="000F6CD1">
                              <w:t>​</w:t>
                            </w:r>
                            <w:r w:rsidR="006D15C2" w:rsidRPr="000F6CD1">
                              <w:rPr>
                                <w:b/>
                                <w:bCs/>
                                <w:sz w:val="28"/>
                              </w:rPr>
                              <w:t xml:space="preserve">IMPORTANT </w:t>
                            </w:r>
                          </w:p>
                          <w:p w14:paraId="73B54328" w14:textId="6A9D95A5" w:rsidR="005B38AF" w:rsidRPr="000F6CD1" w:rsidRDefault="005B38AF" w:rsidP="005B38AF">
                            <w:pPr>
                              <w:rPr>
                                <w:szCs w:val="20"/>
                              </w:rPr>
                            </w:pPr>
                            <w:r w:rsidRPr="000F6CD1">
                              <w:rPr>
                                <w:szCs w:val="20"/>
                              </w:rPr>
                              <w:t xml:space="preserve">The </w:t>
                            </w:r>
                            <w:r w:rsidRPr="000F6CD1">
                              <w:rPr>
                                <w:i/>
                                <w:iCs/>
                                <w:szCs w:val="20"/>
                              </w:rPr>
                              <w:t>Aged Care Act 2024</w:t>
                            </w:r>
                            <w:r w:rsidRPr="000F6CD1">
                              <w:rPr>
                                <w:szCs w:val="20"/>
                              </w:rPr>
                              <w:t xml:space="preserve"> governs the delivery of funded aged care services by registered providers. The information in this manual</w:t>
                            </w:r>
                            <w:r w:rsidR="00150E1C" w:rsidRPr="000F6CD1">
                              <w:rPr>
                                <w:szCs w:val="20"/>
                              </w:rPr>
                              <w:t xml:space="preserve"> </w:t>
                            </w:r>
                            <w:r w:rsidR="00066127" w:rsidRPr="000F6CD1">
                              <w:rPr>
                                <w:szCs w:val="20"/>
                              </w:rPr>
                              <w:t>help</w:t>
                            </w:r>
                            <w:r w:rsidR="004814F8" w:rsidRPr="000F6CD1">
                              <w:rPr>
                                <w:szCs w:val="20"/>
                              </w:rPr>
                              <w:t>s</w:t>
                            </w:r>
                            <w:r w:rsidR="00066127" w:rsidRPr="000F6CD1">
                              <w:rPr>
                                <w:szCs w:val="20"/>
                              </w:rPr>
                              <w:t xml:space="preserve"> assessment teams to understand the laws around the government-funded aged care system and </w:t>
                            </w:r>
                            <w:r w:rsidR="00402FE7" w:rsidRPr="000F6CD1">
                              <w:rPr>
                                <w:szCs w:val="20"/>
                              </w:rPr>
                              <w:t>specifies mandatory and best practice guidance for aged care needs assessment teams to deliver high-quality assessment services</w:t>
                            </w:r>
                            <w:r w:rsidR="00066127" w:rsidRPr="000F6CD1">
                              <w:rPr>
                                <w:szCs w:val="20"/>
                              </w:rPr>
                              <w:t xml:space="preserve">. </w:t>
                            </w:r>
                          </w:p>
                          <w:p w14:paraId="56593F49" w14:textId="3C3D3861" w:rsidR="001002A2" w:rsidRPr="000F6CD1" w:rsidRDefault="009A0323" w:rsidP="00EF3A09">
                            <w:pPr>
                              <w:rPr>
                                <w:szCs w:val="20"/>
                              </w:rPr>
                            </w:pPr>
                            <w:r w:rsidRPr="000F6CD1">
                              <w:rPr>
                                <w:szCs w:val="20"/>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r w:rsidR="00FB421A" w:rsidRPr="000F6CD1">
                              <w:t xml:space="preserve"> </w:t>
                            </w:r>
                          </w:p>
                          <w:p w14:paraId="19592F5F" w14:textId="1D9548E2" w:rsidR="005B38AF" w:rsidRPr="000F6CD1" w:rsidRDefault="005B38AF" w:rsidP="00FB421A">
                            <w:r w:rsidRPr="000F6CD1">
                              <w:t xml:space="preserve">​​Additional information and resources that may further support you </w:t>
                            </w:r>
                            <w:r w:rsidR="006830EF" w:rsidRPr="000F6CD1">
                              <w:t>to</w:t>
                            </w:r>
                            <w:r w:rsidRPr="000F6CD1">
                              <w:t xml:space="preserve"> understand your responsibilities and obligations </w:t>
                            </w:r>
                            <w:r w:rsidR="00295F89" w:rsidRPr="000F6CD1">
                              <w:t>are</w:t>
                            </w:r>
                            <w:r w:rsidRPr="000F6CD1">
                              <w:t xml:space="preserve"> available through the following Australian Government resources: </w:t>
                            </w:r>
                          </w:p>
                          <w:p w14:paraId="0D7B1127" w14:textId="77777777" w:rsidR="005B38AF" w:rsidRPr="000F6CD1" w:rsidRDefault="005B38AF" w:rsidP="00DF3F6B">
                            <w:pPr>
                              <w:numPr>
                                <w:ilvl w:val="0"/>
                                <w:numId w:val="398"/>
                              </w:numPr>
                            </w:pPr>
                            <w:r w:rsidRPr="000F6CD1">
                              <w:t xml:space="preserve">​Department of Health, Disability and Ageing </w:t>
                            </w:r>
                            <w:hyperlink r:id="rId18" w:tgtFrame="_blank" w:history="1">
                              <w:r w:rsidRPr="0044520C">
                                <w:rPr>
                                  <w:rStyle w:val="Hyperlink"/>
                                </w:rPr>
                                <w:t>https://www.health.gov.au</w:t>
                              </w:r>
                            </w:hyperlink>
                            <w:r w:rsidRPr="000F6CD1">
                              <w:t> </w:t>
                            </w:r>
                          </w:p>
                          <w:p w14:paraId="454DBD24" w14:textId="77777777" w:rsidR="005B38AF" w:rsidRPr="000F6CD1" w:rsidRDefault="005B38AF" w:rsidP="00DF3F6B">
                            <w:pPr>
                              <w:numPr>
                                <w:ilvl w:val="0"/>
                                <w:numId w:val="399"/>
                              </w:numPr>
                            </w:pPr>
                            <w:r w:rsidRPr="000F6CD1">
                              <w:t xml:space="preserve">​My Aged Care </w:t>
                            </w:r>
                            <w:hyperlink r:id="rId19" w:tgtFrame="_blank" w:history="1">
                              <w:r w:rsidRPr="000F6CD1">
                                <w:rPr>
                                  <w:rStyle w:val="Hyperlink"/>
                                </w:rPr>
                                <w:t>www.myagedcare.gov.au</w:t>
                              </w:r>
                            </w:hyperlink>
                            <w:r w:rsidRPr="000F6CD1">
                              <w:t> </w:t>
                            </w:r>
                          </w:p>
                          <w:p w14:paraId="525DDBDA" w14:textId="77777777" w:rsidR="005B38AF" w:rsidRPr="000F6CD1" w:rsidRDefault="005B38AF" w:rsidP="00DF3F6B">
                            <w:pPr>
                              <w:numPr>
                                <w:ilvl w:val="0"/>
                                <w:numId w:val="400"/>
                              </w:numPr>
                            </w:pPr>
                            <w:r w:rsidRPr="000F6CD1">
                              <w:t xml:space="preserve">​Aged Care Quality and Safety Commission </w:t>
                            </w:r>
                            <w:hyperlink r:id="rId20" w:tgtFrame="_blank" w:history="1">
                              <w:r w:rsidRPr="000F6CD1">
                                <w:rPr>
                                  <w:rStyle w:val="Hyperlink"/>
                                </w:rPr>
                                <w:t>www.agedcarequality.gov.au</w:t>
                              </w:r>
                            </w:hyperlink>
                            <w:r w:rsidRPr="000F6CD1">
                              <w:t> </w:t>
                            </w:r>
                          </w:p>
                          <w:p w14:paraId="75C828DD" w14:textId="77777777" w:rsidR="005B38AF" w:rsidRPr="000F6CD1" w:rsidRDefault="005B38AF" w:rsidP="00DF3F6B">
                            <w:pPr>
                              <w:numPr>
                                <w:ilvl w:val="0"/>
                                <w:numId w:val="401"/>
                              </w:numPr>
                            </w:pPr>
                            <w:r w:rsidRPr="000F6CD1">
                              <w:t xml:space="preserve">​Services Australia </w:t>
                            </w:r>
                            <w:hyperlink r:id="rId21" w:tgtFrame="_blank" w:history="1">
                              <w:r w:rsidRPr="000F6CD1">
                                <w:rPr>
                                  <w:rStyle w:val="Hyperlink"/>
                                </w:rPr>
                                <w:t>http://www.servicesaustralia.gov.au</w:t>
                              </w:r>
                            </w:hyperlink>
                            <w:r w:rsidRPr="000F6CD1">
                              <w:t> </w:t>
                            </w:r>
                          </w:p>
                          <w:p w14:paraId="1D60E762" w14:textId="351AE309" w:rsidR="0067604E" w:rsidRPr="000F6CD1" w:rsidRDefault="00676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7073F" id="_x0000_t202" coordsize="21600,21600" o:spt="202" path="m,l,21600r21600,l21600,xe">
                <v:stroke joinstyle="miter"/>
                <v:path gradientshapeok="t" o:connecttype="rect"/>
              </v:shapetype>
              <v:shape id="Text Box 133162421" o:spid="_x0000_s1026" type="#_x0000_t202" style="position:absolute;margin-left:-.75pt;margin-top:36.7pt;width:449.25pt;height:52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">
                <v:textbox>
                  <w:txbxContent>
                    <w:p w14:paraId="5AC39445" w14:textId="6FC7421B" w:rsidR="00536669" w:rsidRPr="000F6CD1" w:rsidRDefault="005B38AF" w:rsidP="00536669">
                      <w:pPr>
                        <w:jc w:val="center"/>
                        <w:rPr>
                          <w:szCs w:val="20"/>
                        </w:rPr>
                      </w:pPr>
                      <w:r w:rsidRPr="000F6CD1">
                        <w:t>​</w:t>
                      </w:r>
                      <w:r w:rsidR="006D15C2" w:rsidRPr="000F6CD1">
                        <w:rPr>
                          <w:b/>
                          <w:bCs/>
                          <w:sz w:val="28"/>
                        </w:rPr>
                        <w:t xml:space="preserve">IMPORTANT </w:t>
                      </w:r>
                    </w:p>
                    <w:p w14:paraId="73B54328" w14:textId="6A9D95A5" w:rsidR="005B38AF" w:rsidRPr="000F6CD1" w:rsidRDefault="005B38AF" w:rsidP="005B38AF">
                      <w:pPr>
                        <w:rPr>
                          <w:szCs w:val="20"/>
                        </w:rPr>
                      </w:pPr>
                      <w:r w:rsidRPr="000F6CD1">
                        <w:rPr>
                          <w:szCs w:val="20"/>
                        </w:rPr>
                        <w:t xml:space="preserve">The </w:t>
                      </w:r>
                      <w:r w:rsidRPr="000F6CD1">
                        <w:rPr>
                          <w:i/>
                          <w:iCs/>
                          <w:szCs w:val="20"/>
                        </w:rPr>
                        <w:t>Aged Care Act 2024</w:t>
                      </w:r>
                      <w:r w:rsidRPr="000F6CD1">
                        <w:rPr>
                          <w:szCs w:val="20"/>
                        </w:rPr>
                        <w:t xml:space="preserve"> governs the delivery of funded aged care services by registered providers. The information in this manual</w:t>
                      </w:r>
                      <w:r w:rsidR="00150E1C" w:rsidRPr="000F6CD1">
                        <w:rPr>
                          <w:szCs w:val="20"/>
                        </w:rPr>
                        <w:t xml:space="preserve"> </w:t>
                      </w:r>
                      <w:r w:rsidR="00066127" w:rsidRPr="000F6CD1">
                        <w:rPr>
                          <w:szCs w:val="20"/>
                        </w:rPr>
                        <w:t>help</w:t>
                      </w:r>
                      <w:r w:rsidR="004814F8" w:rsidRPr="000F6CD1">
                        <w:rPr>
                          <w:szCs w:val="20"/>
                        </w:rPr>
                        <w:t>s</w:t>
                      </w:r>
                      <w:r w:rsidR="00066127" w:rsidRPr="000F6CD1">
                        <w:rPr>
                          <w:szCs w:val="20"/>
                        </w:rPr>
                        <w:t xml:space="preserve"> assessment teams to understand the laws around the government-funded aged care system and </w:t>
                      </w:r>
                      <w:r w:rsidR="00402FE7" w:rsidRPr="000F6CD1">
                        <w:rPr>
                          <w:szCs w:val="20"/>
                        </w:rPr>
                        <w:t>specifies mandatory and best practice guidance for aged care needs assessment teams to deliver high-quality assessment services</w:t>
                      </w:r>
                      <w:r w:rsidR="00066127" w:rsidRPr="000F6CD1">
                        <w:rPr>
                          <w:szCs w:val="20"/>
                        </w:rPr>
                        <w:t xml:space="preserve">. </w:t>
                      </w:r>
                    </w:p>
                    <w:p w14:paraId="56593F49" w14:textId="3C3D3861" w:rsidR="001002A2" w:rsidRPr="000F6CD1" w:rsidRDefault="009A0323" w:rsidP="00EF3A09">
                      <w:pPr>
                        <w:rPr>
                          <w:szCs w:val="20"/>
                        </w:rPr>
                      </w:pPr>
                      <w:r w:rsidRPr="000F6CD1">
                        <w:rPr>
                          <w:szCs w:val="20"/>
                        </w:rPr>
                        <w:t>​Parts of this manual summarise multiple legal documents in accessible, simple language, so it doesn’t contain every detail of the law. It is not intended as legal or professional advice on interpretation of the legislation or how it applies in individual circumstances.   </w:t>
                      </w:r>
                      <w:r w:rsidR="00FB421A" w:rsidRPr="000F6CD1">
                        <w:t xml:space="preserve"> </w:t>
                      </w:r>
                    </w:p>
                    <w:p w14:paraId="19592F5F" w14:textId="1D9548E2" w:rsidR="005B38AF" w:rsidRPr="000F6CD1" w:rsidRDefault="005B38AF" w:rsidP="00FB421A">
                      <w:r w:rsidRPr="000F6CD1">
                        <w:t xml:space="preserve">​​Additional information and resources that may further support you </w:t>
                      </w:r>
                      <w:r w:rsidR="006830EF" w:rsidRPr="000F6CD1">
                        <w:t>to</w:t>
                      </w:r>
                      <w:r w:rsidRPr="000F6CD1">
                        <w:t xml:space="preserve"> understand your responsibilities and obligations </w:t>
                      </w:r>
                      <w:r w:rsidR="00295F89" w:rsidRPr="000F6CD1">
                        <w:t>are</w:t>
                      </w:r>
                      <w:r w:rsidRPr="000F6CD1">
                        <w:t xml:space="preserve"> available through the following Australian Government resources: </w:t>
                      </w:r>
                    </w:p>
                    <w:p w14:paraId="0D7B1127" w14:textId="77777777" w:rsidR="005B38AF" w:rsidRPr="000F6CD1" w:rsidRDefault="005B38AF" w:rsidP="00DF3F6B">
                      <w:pPr>
                        <w:numPr>
                          <w:ilvl w:val="0"/>
                          <w:numId w:val="398"/>
                        </w:numPr>
                      </w:pPr>
                      <w:r w:rsidRPr="000F6CD1">
                        <w:t xml:space="preserve">​Department of Health, Disability and Ageing </w:t>
                      </w:r>
                      <w:hyperlink r:id="rId22" w:tgtFrame="_blank" w:history="1">
                        <w:r w:rsidRPr="0044520C">
                          <w:rPr>
                            <w:rStyle w:val="Hyperlink"/>
                          </w:rPr>
                          <w:t>https://www.health.gov.au</w:t>
                        </w:r>
                      </w:hyperlink>
                      <w:r w:rsidRPr="000F6CD1">
                        <w:t> </w:t>
                      </w:r>
                    </w:p>
                    <w:p w14:paraId="454DBD24" w14:textId="77777777" w:rsidR="005B38AF" w:rsidRPr="000F6CD1" w:rsidRDefault="005B38AF" w:rsidP="00DF3F6B">
                      <w:pPr>
                        <w:numPr>
                          <w:ilvl w:val="0"/>
                          <w:numId w:val="399"/>
                        </w:numPr>
                      </w:pPr>
                      <w:r w:rsidRPr="000F6CD1">
                        <w:t xml:space="preserve">​My Aged Care </w:t>
                      </w:r>
                      <w:hyperlink r:id="rId23" w:tgtFrame="_blank" w:history="1">
                        <w:r w:rsidRPr="000F6CD1">
                          <w:rPr>
                            <w:rStyle w:val="Hyperlink"/>
                          </w:rPr>
                          <w:t>www.myagedcare.gov.au</w:t>
                        </w:r>
                      </w:hyperlink>
                      <w:r w:rsidRPr="000F6CD1">
                        <w:t> </w:t>
                      </w:r>
                    </w:p>
                    <w:p w14:paraId="525DDBDA" w14:textId="77777777" w:rsidR="005B38AF" w:rsidRPr="000F6CD1" w:rsidRDefault="005B38AF" w:rsidP="00DF3F6B">
                      <w:pPr>
                        <w:numPr>
                          <w:ilvl w:val="0"/>
                          <w:numId w:val="400"/>
                        </w:numPr>
                      </w:pPr>
                      <w:r w:rsidRPr="000F6CD1">
                        <w:t xml:space="preserve">​Aged Care Quality and Safety Commission </w:t>
                      </w:r>
                      <w:hyperlink r:id="rId24" w:tgtFrame="_blank" w:history="1">
                        <w:r w:rsidRPr="000F6CD1">
                          <w:rPr>
                            <w:rStyle w:val="Hyperlink"/>
                          </w:rPr>
                          <w:t>www.agedcarequality.gov.au</w:t>
                        </w:r>
                      </w:hyperlink>
                      <w:r w:rsidRPr="000F6CD1">
                        <w:t> </w:t>
                      </w:r>
                    </w:p>
                    <w:p w14:paraId="75C828DD" w14:textId="77777777" w:rsidR="005B38AF" w:rsidRPr="000F6CD1" w:rsidRDefault="005B38AF" w:rsidP="00DF3F6B">
                      <w:pPr>
                        <w:numPr>
                          <w:ilvl w:val="0"/>
                          <w:numId w:val="401"/>
                        </w:numPr>
                      </w:pPr>
                      <w:r w:rsidRPr="000F6CD1">
                        <w:t xml:space="preserve">​Services Australia </w:t>
                      </w:r>
                      <w:hyperlink r:id="rId25" w:tgtFrame="_blank" w:history="1">
                        <w:r w:rsidRPr="000F6CD1">
                          <w:rPr>
                            <w:rStyle w:val="Hyperlink"/>
                          </w:rPr>
                          <w:t>http://www.servicesaustralia.gov.au</w:t>
                        </w:r>
                      </w:hyperlink>
                      <w:r w:rsidRPr="000F6CD1">
                        <w:t> </w:t>
                      </w:r>
                    </w:p>
                    <w:p w14:paraId="1D60E762" w14:textId="351AE309" w:rsidR="0067604E" w:rsidRPr="000F6CD1" w:rsidRDefault="0067604E"/>
                  </w:txbxContent>
                </v:textbox>
                <w10:wrap type="square" anchorx="margin"/>
              </v:shape>
            </w:pict>
          </mc:Fallback>
        </mc:AlternateContent>
      </w:r>
      <w:r w:rsidR="00780D44" w:rsidRPr="000F6CD1">
        <w:br w:type="page"/>
      </w:r>
      <w:bookmarkStart w:id="3" w:name="_Toc198813628"/>
      <w:bookmarkStart w:id="4" w:name="_Toc198816535"/>
      <w:bookmarkStart w:id="5" w:name="_Toc207291856"/>
      <w:bookmarkStart w:id="6" w:name="_Toc209188929"/>
      <w:r w:rsidR="00780D44" w:rsidRPr="000F6CD1">
        <w:rPr>
          <w:b/>
          <w:color w:val="153A6E"/>
          <w:sz w:val="44"/>
          <w:szCs w:val="44"/>
        </w:rPr>
        <w:lastRenderedPageBreak/>
        <w:t>Table of Contents</w:t>
      </w:r>
      <w:bookmarkEnd w:id="3"/>
      <w:bookmarkEnd w:id="4"/>
      <w:bookmarkEnd w:id="5"/>
      <w:bookmarkEnd w:id="6"/>
    </w:p>
    <w:sdt>
      <w:sdtPr>
        <w:id w:val="-889875608"/>
        <w:docPartObj>
          <w:docPartGallery w:val="Table of Contents"/>
          <w:docPartUnique/>
        </w:docPartObj>
      </w:sdtPr>
      <w:sdtEndPr>
        <w:rPr>
          <w:b/>
          <w:bCs/>
        </w:rPr>
      </w:sdtEndPr>
      <w:sdtContent>
        <w:p w14:paraId="178A2858" w14:textId="4F9DC155" w:rsidR="00483B5C" w:rsidRDefault="00AD1D15">
          <w:pPr>
            <w:pStyle w:val="TOC1"/>
            <w:tabs>
              <w:tab w:val="right" w:leader="dot" w:pos="9016"/>
            </w:tabs>
            <w:rPr>
              <w:rFonts w:asciiTheme="minorHAnsi" w:eastAsiaTheme="minorEastAsia" w:hAnsiTheme="minorHAnsi" w:cstheme="minorBidi"/>
              <w:noProof/>
              <w:kern w:val="2"/>
              <w:sz w:val="24"/>
              <w14:ligatures w14:val="standardContextual"/>
            </w:rPr>
          </w:pPr>
          <w:r w:rsidRPr="000F6CD1">
            <w:fldChar w:fldCharType="begin"/>
          </w:r>
          <w:r w:rsidRPr="000F6CD1">
            <w:instrText xml:space="preserve"> TOC \o "1-2" \h \z \u </w:instrText>
          </w:r>
          <w:r w:rsidRPr="000F6CD1">
            <w:fldChar w:fldCharType="separate"/>
          </w:r>
          <w:hyperlink w:anchor="_Toc233282398" w:history="1">
            <w:r w:rsidR="00483B5C" w:rsidRPr="008669B1">
              <w:rPr>
                <w:rStyle w:val="Hyperlink"/>
                <w:noProof/>
              </w:rPr>
              <w:t>Document purpose</w:t>
            </w:r>
            <w:r w:rsidR="00483B5C">
              <w:rPr>
                <w:noProof/>
                <w:webHidden/>
              </w:rPr>
              <w:tab/>
            </w:r>
            <w:r w:rsidR="00483B5C">
              <w:rPr>
                <w:noProof/>
                <w:webHidden/>
              </w:rPr>
              <w:fldChar w:fldCharType="begin"/>
            </w:r>
            <w:r w:rsidR="00483B5C">
              <w:rPr>
                <w:noProof/>
                <w:webHidden/>
              </w:rPr>
              <w:instrText xml:space="preserve"> PAGEREF _Toc233282398 \h </w:instrText>
            </w:r>
            <w:r w:rsidR="00483B5C">
              <w:rPr>
                <w:noProof/>
                <w:webHidden/>
              </w:rPr>
            </w:r>
            <w:r w:rsidR="00483B5C">
              <w:rPr>
                <w:noProof/>
                <w:webHidden/>
              </w:rPr>
              <w:fldChar w:fldCharType="separate"/>
            </w:r>
            <w:r w:rsidR="004B171E">
              <w:rPr>
                <w:noProof/>
                <w:webHidden/>
              </w:rPr>
              <w:t>7</w:t>
            </w:r>
            <w:r w:rsidR="00483B5C">
              <w:rPr>
                <w:noProof/>
                <w:webHidden/>
              </w:rPr>
              <w:fldChar w:fldCharType="end"/>
            </w:r>
          </w:hyperlink>
        </w:p>
        <w:p w14:paraId="2A3A7EDA" w14:textId="4C231FBF" w:rsidR="00483B5C" w:rsidRDefault="00483B5C">
          <w:pPr>
            <w:pStyle w:val="TOC1"/>
            <w:tabs>
              <w:tab w:val="right" w:leader="dot" w:pos="9016"/>
            </w:tabs>
            <w:rPr>
              <w:rFonts w:asciiTheme="minorHAnsi" w:eastAsiaTheme="minorEastAsia" w:hAnsiTheme="minorHAnsi" w:cstheme="minorBidi"/>
              <w:noProof/>
              <w:kern w:val="2"/>
              <w:sz w:val="24"/>
              <w14:ligatures w14:val="standardContextual"/>
            </w:rPr>
          </w:pPr>
          <w:hyperlink w:anchor="_Toc233282399" w:history="1">
            <w:r w:rsidRPr="008669B1">
              <w:rPr>
                <w:rStyle w:val="Hyperlink"/>
                <w:noProof/>
              </w:rPr>
              <w:t>Terminology</w:t>
            </w:r>
            <w:r>
              <w:rPr>
                <w:noProof/>
                <w:webHidden/>
              </w:rPr>
              <w:tab/>
            </w:r>
            <w:r>
              <w:rPr>
                <w:noProof/>
                <w:webHidden/>
              </w:rPr>
              <w:fldChar w:fldCharType="begin"/>
            </w:r>
            <w:r>
              <w:rPr>
                <w:noProof/>
                <w:webHidden/>
              </w:rPr>
              <w:instrText xml:space="preserve"> PAGEREF _Toc233282399 \h </w:instrText>
            </w:r>
            <w:r>
              <w:rPr>
                <w:noProof/>
                <w:webHidden/>
              </w:rPr>
            </w:r>
            <w:r>
              <w:rPr>
                <w:noProof/>
                <w:webHidden/>
              </w:rPr>
              <w:fldChar w:fldCharType="separate"/>
            </w:r>
            <w:r w:rsidR="004B171E">
              <w:rPr>
                <w:noProof/>
                <w:webHidden/>
              </w:rPr>
              <w:t>8</w:t>
            </w:r>
            <w:r>
              <w:rPr>
                <w:noProof/>
                <w:webHidden/>
              </w:rPr>
              <w:fldChar w:fldCharType="end"/>
            </w:r>
          </w:hyperlink>
        </w:p>
        <w:p w14:paraId="21214498" w14:textId="7AAF0AEA" w:rsidR="00483B5C" w:rsidRDefault="00483B5C">
          <w:pPr>
            <w:pStyle w:val="TOC1"/>
            <w:tabs>
              <w:tab w:val="right" w:leader="dot" w:pos="9016"/>
            </w:tabs>
            <w:rPr>
              <w:rFonts w:asciiTheme="minorHAnsi" w:eastAsiaTheme="minorEastAsia" w:hAnsiTheme="minorHAnsi" w:cstheme="minorBidi"/>
              <w:noProof/>
              <w:kern w:val="2"/>
              <w:sz w:val="24"/>
              <w14:ligatures w14:val="standardContextual"/>
            </w:rPr>
          </w:pPr>
          <w:hyperlink w:anchor="_Toc233282400" w:history="1">
            <w:r w:rsidRPr="008669B1">
              <w:rPr>
                <w:rStyle w:val="Hyperlink"/>
                <w:noProof/>
              </w:rPr>
              <w:t>Document Structure</w:t>
            </w:r>
            <w:r>
              <w:rPr>
                <w:noProof/>
                <w:webHidden/>
              </w:rPr>
              <w:tab/>
            </w:r>
            <w:r>
              <w:rPr>
                <w:noProof/>
                <w:webHidden/>
              </w:rPr>
              <w:fldChar w:fldCharType="begin"/>
            </w:r>
            <w:r>
              <w:rPr>
                <w:noProof/>
                <w:webHidden/>
              </w:rPr>
              <w:instrText xml:space="preserve"> PAGEREF _Toc233282400 \h </w:instrText>
            </w:r>
            <w:r>
              <w:rPr>
                <w:noProof/>
                <w:webHidden/>
              </w:rPr>
            </w:r>
            <w:r>
              <w:rPr>
                <w:noProof/>
                <w:webHidden/>
              </w:rPr>
              <w:fldChar w:fldCharType="separate"/>
            </w:r>
            <w:r w:rsidR="004B171E">
              <w:rPr>
                <w:noProof/>
                <w:webHidden/>
              </w:rPr>
              <w:t>9</w:t>
            </w:r>
            <w:r>
              <w:rPr>
                <w:noProof/>
                <w:webHidden/>
              </w:rPr>
              <w:fldChar w:fldCharType="end"/>
            </w:r>
          </w:hyperlink>
        </w:p>
        <w:p w14:paraId="14513511" w14:textId="233AE0D9"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01" w:history="1">
            <w:r w:rsidRPr="008669B1">
              <w:rPr>
                <w:rStyle w:val="Hyperlink"/>
                <w:noProof/>
              </w:rPr>
              <w:t>1.</w:t>
            </w:r>
            <w:r>
              <w:rPr>
                <w:rFonts w:asciiTheme="minorHAnsi" w:eastAsiaTheme="minorEastAsia" w:hAnsiTheme="minorHAnsi" w:cstheme="minorBidi"/>
                <w:noProof/>
                <w:kern w:val="2"/>
                <w:sz w:val="24"/>
                <w14:ligatures w14:val="standardContextual"/>
              </w:rPr>
              <w:tab/>
            </w:r>
            <w:r w:rsidRPr="008669B1">
              <w:rPr>
                <w:rStyle w:val="Hyperlink"/>
                <w:noProof/>
              </w:rPr>
              <w:t>Chapter 1: Aged Care Act 2024</w:t>
            </w:r>
            <w:r>
              <w:rPr>
                <w:noProof/>
                <w:webHidden/>
              </w:rPr>
              <w:tab/>
            </w:r>
            <w:r>
              <w:rPr>
                <w:noProof/>
                <w:webHidden/>
              </w:rPr>
              <w:fldChar w:fldCharType="begin"/>
            </w:r>
            <w:r>
              <w:rPr>
                <w:noProof/>
                <w:webHidden/>
              </w:rPr>
              <w:instrText xml:space="preserve"> PAGEREF _Toc233282401 \h </w:instrText>
            </w:r>
            <w:r>
              <w:rPr>
                <w:noProof/>
                <w:webHidden/>
              </w:rPr>
            </w:r>
            <w:r>
              <w:rPr>
                <w:noProof/>
                <w:webHidden/>
              </w:rPr>
              <w:fldChar w:fldCharType="separate"/>
            </w:r>
            <w:r w:rsidR="004B171E">
              <w:rPr>
                <w:noProof/>
                <w:webHidden/>
              </w:rPr>
              <w:t>16</w:t>
            </w:r>
            <w:r>
              <w:rPr>
                <w:noProof/>
                <w:webHidden/>
              </w:rPr>
              <w:fldChar w:fldCharType="end"/>
            </w:r>
          </w:hyperlink>
        </w:p>
        <w:p w14:paraId="0A6D8959" w14:textId="730AEDE0"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2" w:history="1">
            <w:r w:rsidRPr="008669B1">
              <w:rPr>
                <w:rStyle w:val="Hyperlink"/>
                <w:noProof/>
              </w:rPr>
              <w:t>1.1.</w:t>
            </w:r>
            <w:r>
              <w:rPr>
                <w:rFonts w:asciiTheme="minorHAnsi" w:eastAsiaTheme="minorEastAsia" w:hAnsiTheme="minorHAnsi" w:cstheme="minorBidi"/>
                <w:noProof/>
                <w:kern w:val="2"/>
                <w:sz w:val="24"/>
                <w14:ligatures w14:val="standardContextual"/>
              </w:rPr>
              <w:tab/>
            </w:r>
            <w:r w:rsidRPr="008669B1">
              <w:rPr>
                <w:rStyle w:val="Hyperlink"/>
                <w:noProof/>
              </w:rPr>
              <w:t xml:space="preserve">About the </w:t>
            </w:r>
            <w:r w:rsidRPr="008669B1">
              <w:rPr>
                <w:rStyle w:val="Hyperlink"/>
                <w:i/>
                <w:iCs/>
                <w:noProof/>
              </w:rPr>
              <w:t>Aged Care Act 2024</w:t>
            </w:r>
            <w:r>
              <w:rPr>
                <w:noProof/>
                <w:webHidden/>
              </w:rPr>
              <w:tab/>
            </w:r>
            <w:r>
              <w:rPr>
                <w:noProof/>
                <w:webHidden/>
              </w:rPr>
              <w:fldChar w:fldCharType="begin"/>
            </w:r>
            <w:r>
              <w:rPr>
                <w:noProof/>
                <w:webHidden/>
              </w:rPr>
              <w:instrText xml:space="preserve"> PAGEREF _Toc233282402 \h </w:instrText>
            </w:r>
            <w:r>
              <w:rPr>
                <w:noProof/>
                <w:webHidden/>
              </w:rPr>
            </w:r>
            <w:r>
              <w:rPr>
                <w:noProof/>
                <w:webHidden/>
              </w:rPr>
              <w:fldChar w:fldCharType="separate"/>
            </w:r>
            <w:r w:rsidR="004B171E">
              <w:rPr>
                <w:noProof/>
                <w:webHidden/>
              </w:rPr>
              <w:t>16</w:t>
            </w:r>
            <w:r>
              <w:rPr>
                <w:noProof/>
                <w:webHidden/>
              </w:rPr>
              <w:fldChar w:fldCharType="end"/>
            </w:r>
          </w:hyperlink>
        </w:p>
        <w:p w14:paraId="273AC957" w14:textId="19FBBA24"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3" w:history="1">
            <w:r w:rsidRPr="008669B1">
              <w:rPr>
                <w:rStyle w:val="Hyperlink"/>
                <w:noProof/>
              </w:rPr>
              <w:t>1.2.</w:t>
            </w:r>
            <w:r>
              <w:rPr>
                <w:rFonts w:asciiTheme="minorHAnsi" w:eastAsiaTheme="minorEastAsia" w:hAnsiTheme="minorHAnsi" w:cstheme="minorBidi"/>
                <w:noProof/>
                <w:kern w:val="2"/>
                <w:sz w:val="24"/>
                <w14:ligatures w14:val="standardContextual"/>
              </w:rPr>
              <w:tab/>
            </w:r>
            <w:r w:rsidRPr="008669B1">
              <w:rPr>
                <w:rStyle w:val="Hyperlink"/>
                <w:noProof/>
              </w:rPr>
              <w:t>Statement of Rights and Principles</w:t>
            </w:r>
            <w:r>
              <w:rPr>
                <w:noProof/>
                <w:webHidden/>
              </w:rPr>
              <w:tab/>
            </w:r>
            <w:r>
              <w:rPr>
                <w:noProof/>
                <w:webHidden/>
              </w:rPr>
              <w:fldChar w:fldCharType="begin"/>
            </w:r>
            <w:r>
              <w:rPr>
                <w:noProof/>
                <w:webHidden/>
              </w:rPr>
              <w:instrText xml:space="preserve"> PAGEREF _Toc233282403 \h </w:instrText>
            </w:r>
            <w:r>
              <w:rPr>
                <w:noProof/>
                <w:webHidden/>
              </w:rPr>
            </w:r>
            <w:r>
              <w:rPr>
                <w:noProof/>
                <w:webHidden/>
              </w:rPr>
              <w:fldChar w:fldCharType="separate"/>
            </w:r>
            <w:r w:rsidR="004B171E">
              <w:rPr>
                <w:noProof/>
                <w:webHidden/>
              </w:rPr>
              <w:t>18</w:t>
            </w:r>
            <w:r>
              <w:rPr>
                <w:noProof/>
                <w:webHidden/>
              </w:rPr>
              <w:fldChar w:fldCharType="end"/>
            </w:r>
          </w:hyperlink>
        </w:p>
        <w:p w14:paraId="154AD651" w14:textId="282459C4"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4" w:history="1">
            <w:r w:rsidRPr="008669B1">
              <w:rPr>
                <w:rStyle w:val="Hyperlink"/>
                <w:noProof/>
              </w:rPr>
              <w:t>1.3.</w:t>
            </w:r>
            <w:r>
              <w:rPr>
                <w:rFonts w:asciiTheme="minorHAnsi" w:eastAsiaTheme="minorEastAsia" w:hAnsiTheme="minorHAnsi" w:cstheme="minorBidi"/>
                <w:noProof/>
                <w:kern w:val="2"/>
                <w:sz w:val="24"/>
                <w14:ligatures w14:val="standardContextual"/>
              </w:rPr>
              <w:tab/>
            </w:r>
            <w:r w:rsidRPr="008669B1">
              <w:rPr>
                <w:rStyle w:val="Hyperlink"/>
                <w:noProof/>
              </w:rPr>
              <w:t>Dignity of risk</w:t>
            </w:r>
            <w:r>
              <w:rPr>
                <w:noProof/>
                <w:webHidden/>
              </w:rPr>
              <w:tab/>
            </w:r>
            <w:r>
              <w:rPr>
                <w:noProof/>
                <w:webHidden/>
              </w:rPr>
              <w:fldChar w:fldCharType="begin"/>
            </w:r>
            <w:r>
              <w:rPr>
                <w:noProof/>
                <w:webHidden/>
              </w:rPr>
              <w:instrText xml:space="preserve"> PAGEREF _Toc233282404 \h </w:instrText>
            </w:r>
            <w:r>
              <w:rPr>
                <w:noProof/>
                <w:webHidden/>
              </w:rPr>
            </w:r>
            <w:r>
              <w:rPr>
                <w:noProof/>
                <w:webHidden/>
              </w:rPr>
              <w:fldChar w:fldCharType="separate"/>
            </w:r>
            <w:r w:rsidR="004B171E">
              <w:rPr>
                <w:noProof/>
                <w:webHidden/>
              </w:rPr>
              <w:t>19</w:t>
            </w:r>
            <w:r>
              <w:rPr>
                <w:noProof/>
                <w:webHidden/>
              </w:rPr>
              <w:fldChar w:fldCharType="end"/>
            </w:r>
          </w:hyperlink>
        </w:p>
        <w:p w14:paraId="730C8E61" w14:textId="7A4EA4E3"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5" w:history="1">
            <w:r w:rsidRPr="008669B1">
              <w:rPr>
                <w:rStyle w:val="Hyperlink"/>
                <w:noProof/>
              </w:rPr>
              <w:t>1.4.</w:t>
            </w:r>
            <w:r>
              <w:rPr>
                <w:rFonts w:asciiTheme="minorHAnsi" w:eastAsiaTheme="minorEastAsia" w:hAnsiTheme="minorHAnsi" w:cstheme="minorBidi"/>
                <w:noProof/>
                <w:kern w:val="2"/>
                <w:sz w:val="24"/>
                <w14:ligatures w14:val="standardContextual"/>
              </w:rPr>
              <w:tab/>
            </w:r>
            <w:r w:rsidRPr="008669B1">
              <w:rPr>
                <w:rStyle w:val="Hyperlink"/>
                <w:noProof/>
              </w:rPr>
              <w:t>Eligibility requirements to access government funded aged care services</w:t>
            </w:r>
            <w:r>
              <w:rPr>
                <w:noProof/>
                <w:webHidden/>
              </w:rPr>
              <w:tab/>
            </w:r>
            <w:r>
              <w:rPr>
                <w:noProof/>
                <w:webHidden/>
              </w:rPr>
              <w:fldChar w:fldCharType="begin"/>
            </w:r>
            <w:r>
              <w:rPr>
                <w:noProof/>
                <w:webHidden/>
              </w:rPr>
              <w:instrText xml:space="preserve"> PAGEREF _Toc233282405 \h </w:instrText>
            </w:r>
            <w:r>
              <w:rPr>
                <w:noProof/>
                <w:webHidden/>
              </w:rPr>
            </w:r>
            <w:r>
              <w:rPr>
                <w:noProof/>
                <w:webHidden/>
              </w:rPr>
              <w:fldChar w:fldCharType="separate"/>
            </w:r>
            <w:r w:rsidR="004B171E">
              <w:rPr>
                <w:noProof/>
                <w:webHidden/>
              </w:rPr>
              <w:t>19</w:t>
            </w:r>
            <w:r>
              <w:rPr>
                <w:noProof/>
                <w:webHidden/>
              </w:rPr>
              <w:fldChar w:fldCharType="end"/>
            </w:r>
          </w:hyperlink>
        </w:p>
        <w:p w14:paraId="43BF1ED7" w14:textId="67D3D36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6" w:history="1">
            <w:r w:rsidRPr="008669B1">
              <w:rPr>
                <w:rStyle w:val="Hyperlink"/>
                <w:noProof/>
              </w:rPr>
              <w:t>1.5.</w:t>
            </w:r>
            <w:r>
              <w:rPr>
                <w:rFonts w:asciiTheme="minorHAnsi" w:eastAsiaTheme="minorEastAsia" w:hAnsiTheme="minorHAnsi" w:cstheme="minorBidi"/>
                <w:noProof/>
                <w:kern w:val="2"/>
                <w:sz w:val="24"/>
                <w14:ligatures w14:val="standardContextual"/>
              </w:rPr>
              <w:tab/>
            </w:r>
            <w:r w:rsidRPr="008669B1">
              <w:rPr>
                <w:rStyle w:val="Hyperlink"/>
                <w:noProof/>
              </w:rPr>
              <w:t xml:space="preserve">Transition arrangements to the </w:t>
            </w:r>
            <w:r w:rsidRPr="008669B1">
              <w:rPr>
                <w:rStyle w:val="Hyperlink"/>
                <w:i/>
                <w:noProof/>
              </w:rPr>
              <w:t>Aged Care Act 2024</w:t>
            </w:r>
            <w:r>
              <w:rPr>
                <w:noProof/>
                <w:webHidden/>
              </w:rPr>
              <w:tab/>
            </w:r>
            <w:r>
              <w:rPr>
                <w:noProof/>
                <w:webHidden/>
              </w:rPr>
              <w:fldChar w:fldCharType="begin"/>
            </w:r>
            <w:r>
              <w:rPr>
                <w:noProof/>
                <w:webHidden/>
              </w:rPr>
              <w:instrText xml:space="preserve"> PAGEREF _Toc233282406 \h </w:instrText>
            </w:r>
            <w:r>
              <w:rPr>
                <w:noProof/>
                <w:webHidden/>
              </w:rPr>
            </w:r>
            <w:r>
              <w:rPr>
                <w:noProof/>
                <w:webHidden/>
              </w:rPr>
              <w:fldChar w:fldCharType="separate"/>
            </w:r>
            <w:r w:rsidR="004B171E">
              <w:rPr>
                <w:noProof/>
                <w:webHidden/>
              </w:rPr>
              <w:t>22</w:t>
            </w:r>
            <w:r>
              <w:rPr>
                <w:noProof/>
                <w:webHidden/>
              </w:rPr>
              <w:fldChar w:fldCharType="end"/>
            </w:r>
          </w:hyperlink>
        </w:p>
        <w:p w14:paraId="160F04D6" w14:textId="60A8C3EB"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7" w:history="1">
            <w:r w:rsidRPr="008669B1">
              <w:rPr>
                <w:rStyle w:val="Hyperlink"/>
                <w:noProof/>
              </w:rPr>
              <w:t>1.6.</w:t>
            </w:r>
            <w:r>
              <w:rPr>
                <w:rFonts w:asciiTheme="minorHAnsi" w:eastAsiaTheme="minorEastAsia" w:hAnsiTheme="minorHAnsi" w:cstheme="minorBidi"/>
                <w:noProof/>
                <w:kern w:val="2"/>
                <w:sz w:val="24"/>
                <w14:ligatures w14:val="standardContextual"/>
              </w:rPr>
              <w:tab/>
            </w:r>
            <w:r w:rsidRPr="008669B1">
              <w:rPr>
                <w:rStyle w:val="Hyperlink"/>
                <w:noProof/>
              </w:rPr>
              <w:t>Aged Care Service List</w:t>
            </w:r>
            <w:r>
              <w:rPr>
                <w:noProof/>
                <w:webHidden/>
              </w:rPr>
              <w:tab/>
            </w:r>
            <w:r>
              <w:rPr>
                <w:noProof/>
                <w:webHidden/>
              </w:rPr>
              <w:fldChar w:fldCharType="begin"/>
            </w:r>
            <w:r>
              <w:rPr>
                <w:noProof/>
                <w:webHidden/>
              </w:rPr>
              <w:instrText xml:space="preserve"> PAGEREF _Toc233282407 \h </w:instrText>
            </w:r>
            <w:r>
              <w:rPr>
                <w:noProof/>
                <w:webHidden/>
              </w:rPr>
            </w:r>
            <w:r>
              <w:rPr>
                <w:noProof/>
                <w:webHidden/>
              </w:rPr>
              <w:fldChar w:fldCharType="separate"/>
            </w:r>
            <w:r w:rsidR="004B171E">
              <w:rPr>
                <w:noProof/>
                <w:webHidden/>
              </w:rPr>
              <w:t>32</w:t>
            </w:r>
            <w:r>
              <w:rPr>
                <w:noProof/>
                <w:webHidden/>
              </w:rPr>
              <w:fldChar w:fldCharType="end"/>
            </w:r>
          </w:hyperlink>
        </w:p>
        <w:p w14:paraId="59393A57" w14:textId="199179E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8" w:history="1">
            <w:r w:rsidRPr="008669B1">
              <w:rPr>
                <w:rStyle w:val="Hyperlink"/>
                <w:noProof/>
              </w:rPr>
              <w:t>1.7.</w:t>
            </w:r>
            <w:r>
              <w:rPr>
                <w:rFonts w:asciiTheme="minorHAnsi" w:eastAsiaTheme="minorEastAsia" w:hAnsiTheme="minorHAnsi" w:cstheme="minorBidi"/>
                <w:noProof/>
                <w:kern w:val="2"/>
                <w:sz w:val="24"/>
                <w14:ligatures w14:val="standardContextual"/>
              </w:rPr>
              <w:tab/>
            </w:r>
            <w:r w:rsidRPr="008669B1">
              <w:rPr>
                <w:rStyle w:val="Hyperlink"/>
                <w:noProof/>
              </w:rPr>
              <w:t>Service groups</w:t>
            </w:r>
            <w:r>
              <w:rPr>
                <w:noProof/>
                <w:webHidden/>
              </w:rPr>
              <w:tab/>
            </w:r>
            <w:r>
              <w:rPr>
                <w:noProof/>
                <w:webHidden/>
              </w:rPr>
              <w:fldChar w:fldCharType="begin"/>
            </w:r>
            <w:r>
              <w:rPr>
                <w:noProof/>
                <w:webHidden/>
              </w:rPr>
              <w:instrText xml:space="preserve"> PAGEREF _Toc233282408 \h </w:instrText>
            </w:r>
            <w:r>
              <w:rPr>
                <w:noProof/>
                <w:webHidden/>
              </w:rPr>
            </w:r>
            <w:r>
              <w:rPr>
                <w:noProof/>
                <w:webHidden/>
              </w:rPr>
              <w:fldChar w:fldCharType="separate"/>
            </w:r>
            <w:r w:rsidR="004B171E">
              <w:rPr>
                <w:noProof/>
                <w:webHidden/>
              </w:rPr>
              <w:t>32</w:t>
            </w:r>
            <w:r>
              <w:rPr>
                <w:noProof/>
                <w:webHidden/>
              </w:rPr>
              <w:fldChar w:fldCharType="end"/>
            </w:r>
          </w:hyperlink>
        </w:p>
        <w:p w14:paraId="03800914" w14:textId="2842A95B"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09" w:history="1">
            <w:r w:rsidRPr="008669B1">
              <w:rPr>
                <w:rStyle w:val="Hyperlink"/>
                <w:noProof/>
              </w:rPr>
              <w:t>1.8.</w:t>
            </w:r>
            <w:r>
              <w:rPr>
                <w:rFonts w:asciiTheme="minorHAnsi" w:eastAsiaTheme="minorEastAsia" w:hAnsiTheme="minorHAnsi" w:cstheme="minorBidi"/>
                <w:noProof/>
                <w:kern w:val="2"/>
                <w:sz w:val="24"/>
                <w14:ligatures w14:val="standardContextual"/>
              </w:rPr>
              <w:tab/>
            </w:r>
            <w:r w:rsidRPr="008669B1">
              <w:rPr>
                <w:rStyle w:val="Hyperlink"/>
                <w:noProof/>
              </w:rPr>
              <w:t xml:space="preserve">Approvals under the </w:t>
            </w:r>
            <w:r w:rsidRPr="008669B1">
              <w:rPr>
                <w:rStyle w:val="Hyperlink"/>
                <w:i/>
                <w:noProof/>
              </w:rPr>
              <w:t>Aged Care Act 2024</w:t>
            </w:r>
            <w:r>
              <w:rPr>
                <w:noProof/>
                <w:webHidden/>
              </w:rPr>
              <w:tab/>
            </w:r>
            <w:r>
              <w:rPr>
                <w:noProof/>
                <w:webHidden/>
              </w:rPr>
              <w:fldChar w:fldCharType="begin"/>
            </w:r>
            <w:r>
              <w:rPr>
                <w:noProof/>
                <w:webHidden/>
              </w:rPr>
              <w:instrText xml:space="preserve"> PAGEREF _Toc233282409 \h </w:instrText>
            </w:r>
            <w:r>
              <w:rPr>
                <w:noProof/>
                <w:webHidden/>
              </w:rPr>
            </w:r>
            <w:r>
              <w:rPr>
                <w:noProof/>
                <w:webHidden/>
              </w:rPr>
              <w:fldChar w:fldCharType="separate"/>
            </w:r>
            <w:r w:rsidR="004B171E">
              <w:rPr>
                <w:noProof/>
                <w:webHidden/>
              </w:rPr>
              <w:t>34</w:t>
            </w:r>
            <w:r>
              <w:rPr>
                <w:noProof/>
                <w:webHidden/>
              </w:rPr>
              <w:fldChar w:fldCharType="end"/>
            </w:r>
          </w:hyperlink>
        </w:p>
        <w:p w14:paraId="61E90633" w14:textId="4C6EC4E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0" w:history="1">
            <w:r w:rsidRPr="008669B1">
              <w:rPr>
                <w:rStyle w:val="Hyperlink"/>
                <w:noProof/>
              </w:rPr>
              <w:t>1.9.</w:t>
            </w:r>
            <w:r>
              <w:rPr>
                <w:rFonts w:asciiTheme="minorHAnsi" w:eastAsiaTheme="minorEastAsia" w:hAnsiTheme="minorHAnsi" w:cstheme="minorBidi"/>
                <w:noProof/>
                <w:kern w:val="2"/>
                <w:sz w:val="24"/>
                <w14:ligatures w14:val="standardContextual"/>
              </w:rPr>
              <w:tab/>
            </w:r>
            <w:r w:rsidRPr="008669B1">
              <w:rPr>
                <w:rStyle w:val="Hyperlink"/>
                <w:noProof/>
              </w:rPr>
              <w:t>Deciding if the older person requires aged care services</w:t>
            </w:r>
            <w:r>
              <w:rPr>
                <w:noProof/>
                <w:webHidden/>
              </w:rPr>
              <w:tab/>
            </w:r>
            <w:r>
              <w:rPr>
                <w:noProof/>
                <w:webHidden/>
              </w:rPr>
              <w:fldChar w:fldCharType="begin"/>
            </w:r>
            <w:r>
              <w:rPr>
                <w:noProof/>
                <w:webHidden/>
              </w:rPr>
              <w:instrText xml:space="preserve"> PAGEREF _Toc233282410 \h </w:instrText>
            </w:r>
            <w:r>
              <w:rPr>
                <w:noProof/>
                <w:webHidden/>
              </w:rPr>
            </w:r>
            <w:r>
              <w:rPr>
                <w:noProof/>
                <w:webHidden/>
              </w:rPr>
              <w:fldChar w:fldCharType="separate"/>
            </w:r>
            <w:r w:rsidR="004B171E">
              <w:rPr>
                <w:noProof/>
                <w:webHidden/>
              </w:rPr>
              <w:t>37</w:t>
            </w:r>
            <w:r>
              <w:rPr>
                <w:noProof/>
                <w:webHidden/>
              </w:rPr>
              <w:fldChar w:fldCharType="end"/>
            </w:r>
          </w:hyperlink>
        </w:p>
        <w:p w14:paraId="439FCCBC" w14:textId="3A3D771F"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11" w:history="1">
            <w:r w:rsidRPr="008669B1">
              <w:rPr>
                <w:rStyle w:val="Hyperlink"/>
                <w:noProof/>
              </w:rPr>
              <w:t>1.10.</w:t>
            </w:r>
            <w:r>
              <w:rPr>
                <w:rFonts w:asciiTheme="minorHAnsi" w:eastAsiaTheme="minorEastAsia" w:hAnsiTheme="minorHAnsi" w:cstheme="minorBidi"/>
                <w:noProof/>
                <w:kern w:val="2"/>
                <w:sz w:val="24"/>
                <w14:ligatures w14:val="standardContextual"/>
              </w:rPr>
              <w:tab/>
            </w:r>
            <w:r w:rsidRPr="008669B1">
              <w:rPr>
                <w:rStyle w:val="Hyperlink"/>
                <w:noProof/>
              </w:rPr>
              <w:t>Accessing funded aged care services</w:t>
            </w:r>
            <w:r>
              <w:rPr>
                <w:noProof/>
                <w:webHidden/>
              </w:rPr>
              <w:tab/>
            </w:r>
            <w:r>
              <w:rPr>
                <w:noProof/>
                <w:webHidden/>
              </w:rPr>
              <w:fldChar w:fldCharType="begin"/>
            </w:r>
            <w:r>
              <w:rPr>
                <w:noProof/>
                <w:webHidden/>
              </w:rPr>
              <w:instrText xml:space="preserve"> PAGEREF _Toc233282411 \h </w:instrText>
            </w:r>
            <w:r>
              <w:rPr>
                <w:noProof/>
                <w:webHidden/>
              </w:rPr>
            </w:r>
            <w:r>
              <w:rPr>
                <w:noProof/>
                <w:webHidden/>
              </w:rPr>
              <w:fldChar w:fldCharType="separate"/>
            </w:r>
            <w:r w:rsidR="004B171E">
              <w:rPr>
                <w:noProof/>
                <w:webHidden/>
              </w:rPr>
              <w:t>40</w:t>
            </w:r>
            <w:r>
              <w:rPr>
                <w:noProof/>
                <w:webHidden/>
              </w:rPr>
              <w:fldChar w:fldCharType="end"/>
            </w:r>
          </w:hyperlink>
        </w:p>
        <w:p w14:paraId="647E2BF3" w14:textId="6BBF9BFF"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12" w:history="1">
            <w:r w:rsidRPr="008669B1">
              <w:rPr>
                <w:rStyle w:val="Hyperlink"/>
                <w:noProof/>
              </w:rPr>
              <w:t>1.11.</w:t>
            </w:r>
            <w:r>
              <w:rPr>
                <w:rFonts w:asciiTheme="minorHAnsi" w:eastAsiaTheme="minorEastAsia" w:hAnsiTheme="minorHAnsi" w:cstheme="minorBidi"/>
                <w:noProof/>
                <w:kern w:val="2"/>
                <w:sz w:val="24"/>
                <w14:ligatures w14:val="standardContextual"/>
              </w:rPr>
              <w:tab/>
            </w:r>
            <w:r w:rsidRPr="008669B1">
              <w:rPr>
                <w:rStyle w:val="Hyperlink"/>
                <w:noProof/>
              </w:rPr>
              <w:t>Where approvals can be used</w:t>
            </w:r>
            <w:r>
              <w:rPr>
                <w:noProof/>
                <w:webHidden/>
              </w:rPr>
              <w:tab/>
            </w:r>
            <w:r>
              <w:rPr>
                <w:noProof/>
                <w:webHidden/>
              </w:rPr>
              <w:fldChar w:fldCharType="begin"/>
            </w:r>
            <w:r>
              <w:rPr>
                <w:noProof/>
                <w:webHidden/>
              </w:rPr>
              <w:instrText xml:space="preserve"> PAGEREF _Toc233282412 \h </w:instrText>
            </w:r>
            <w:r>
              <w:rPr>
                <w:noProof/>
                <w:webHidden/>
              </w:rPr>
            </w:r>
            <w:r>
              <w:rPr>
                <w:noProof/>
                <w:webHidden/>
              </w:rPr>
              <w:fldChar w:fldCharType="separate"/>
            </w:r>
            <w:r w:rsidR="004B171E">
              <w:rPr>
                <w:noProof/>
                <w:webHidden/>
              </w:rPr>
              <w:t>41</w:t>
            </w:r>
            <w:r>
              <w:rPr>
                <w:noProof/>
                <w:webHidden/>
              </w:rPr>
              <w:fldChar w:fldCharType="end"/>
            </w:r>
          </w:hyperlink>
        </w:p>
        <w:p w14:paraId="5768F972" w14:textId="48C87094"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13" w:history="1">
            <w:r w:rsidRPr="008669B1">
              <w:rPr>
                <w:rStyle w:val="Hyperlink"/>
                <w:noProof/>
              </w:rPr>
              <w:t>2.</w:t>
            </w:r>
            <w:r>
              <w:rPr>
                <w:rFonts w:asciiTheme="minorHAnsi" w:eastAsiaTheme="minorEastAsia" w:hAnsiTheme="minorHAnsi" w:cstheme="minorBidi"/>
                <w:noProof/>
                <w:kern w:val="2"/>
                <w:sz w:val="24"/>
                <w14:ligatures w14:val="standardContextual"/>
              </w:rPr>
              <w:tab/>
            </w:r>
            <w:r w:rsidRPr="008669B1">
              <w:rPr>
                <w:rStyle w:val="Hyperlink"/>
                <w:noProof/>
              </w:rPr>
              <w:t>Chapter 2: Overview of My Aged Care and the Single Assessment System</w:t>
            </w:r>
            <w:r>
              <w:rPr>
                <w:noProof/>
                <w:webHidden/>
              </w:rPr>
              <w:tab/>
            </w:r>
            <w:r>
              <w:rPr>
                <w:noProof/>
                <w:webHidden/>
              </w:rPr>
              <w:fldChar w:fldCharType="begin"/>
            </w:r>
            <w:r>
              <w:rPr>
                <w:noProof/>
                <w:webHidden/>
              </w:rPr>
              <w:instrText xml:space="preserve"> PAGEREF _Toc233282413 \h </w:instrText>
            </w:r>
            <w:r>
              <w:rPr>
                <w:noProof/>
                <w:webHidden/>
              </w:rPr>
            </w:r>
            <w:r>
              <w:rPr>
                <w:noProof/>
                <w:webHidden/>
              </w:rPr>
              <w:fldChar w:fldCharType="separate"/>
            </w:r>
            <w:r w:rsidR="004B171E">
              <w:rPr>
                <w:noProof/>
                <w:webHidden/>
              </w:rPr>
              <w:t>44</w:t>
            </w:r>
            <w:r>
              <w:rPr>
                <w:noProof/>
                <w:webHidden/>
              </w:rPr>
              <w:fldChar w:fldCharType="end"/>
            </w:r>
          </w:hyperlink>
        </w:p>
        <w:p w14:paraId="71366107" w14:textId="5B3698A0"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4" w:history="1">
            <w:r w:rsidRPr="008669B1">
              <w:rPr>
                <w:rStyle w:val="Hyperlink"/>
                <w:noProof/>
              </w:rPr>
              <w:t>2.1.</w:t>
            </w:r>
            <w:r>
              <w:rPr>
                <w:rFonts w:asciiTheme="minorHAnsi" w:eastAsiaTheme="minorEastAsia" w:hAnsiTheme="minorHAnsi" w:cstheme="minorBidi"/>
                <w:noProof/>
                <w:kern w:val="2"/>
                <w:sz w:val="24"/>
                <w14:ligatures w14:val="standardContextual"/>
              </w:rPr>
              <w:tab/>
            </w:r>
            <w:r w:rsidRPr="008669B1">
              <w:rPr>
                <w:rStyle w:val="Hyperlink"/>
                <w:noProof/>
              </w:rPr>
              <w:t>My Aged Care</w:t>
            </w:r>
            <w:r>
              <w:rPr>
                <w:noProof/>
                <w:webHidden/>
              </w:rPr>
              <w:tab/>
            </w:r>
            <w:r>
              <w:rPr>
                <w:noProof/>
                <w:webHidden/>
              </w:rPr>
              <w:fldChar w:fldCharType="begin"/>
            </w:r>
            <w:r>
              <w:rPr>
                <w:noProof/>
                <w:webHidden/>
              </w:rPr>
              <w:instrText xml:space="preserve"> PAGEREF _Toc233282414 \h </w:instrText>
            </w:r>
            <w:r>
              <w:rPr>
                <w:noProof/>
                <w:webHidden/>
              </w:rPr>
            </w:r>
            <w:r>
              <w:rPr>
                <w:noProof/>
                <w:webHidden/>
              </w:rPr>
              <w:fldChar w:fldCharType="separate"/>
            </w:r>
            <w:r w:rsidR="004B171E">
              <w:rPr>
                <w:noProof/>
                <w:webHidden/>
              </w:rPr>
              <w:t>44</w:t>
            </w:r>
            <w:r>
              <w:rPr>
                <w:noProof/>
                <w:webHidden/>
              </w:rPr>
              <w:fldChar w:fldCharType="end"/>
            </w:r>
          </w:hyperlink>
        </w:p>
        <w:p w14:paraId="4E3548D8" w14:textId="4358B02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5" w:history="1">
            <w:r w:rsidRPr="008669B1">
              <w:rPr>
                <w:rStyle w:val="Hyperlink"/>
                <w:noProof/>
              </w:rPr>
              <w:t>2.2.</w:t>
            </w:r>
            <w:r>
              <w:rPr>
                <w:rFonts w:asciiTheme="minorHAnsi" w:eastAsiaTheme="minorEastAsia" w:hAnsiTheme="minorHAnsi" w:cstheme="minorBidi"/>
                <w:noProof/>
                <w:kern w:val="2"/>
                <w:sz w:val="24"/>
                <w14:ligatures w14:val="standardContextual"/>
              </w:rPr>
              <w:tab/>
            </w:r>
            <w:r w:rsidRPr="008669B1">
              <w:rPr>
                <w:rStyle w:val="Hyperlink"/>
                <w:noProof/>
              </w:rPr>
              <w:t>Single Assessment System</w:t>
            </w:r>
            <w:r>
              <w:rPr>
                <w:noProof/>
                <w:webHidden/>
              </w:rPr>
              <w:tab/>
            </w:r>
            <w:r>
              <w:rPr>
                <w:noProof/>
                <w:webHidden/>
              </w:rPr>
              <w:fldChar w:fldCharType="begin"/>
            </w:r>
            <w:r>
              <w:rPr>
                <w:noProof/>
                <w:webHidden/>
              </w:rPr>
              <w:instrText xml:space="preserve"> PAGEREF _Toc233282415 \h </w:instrText>
            </w:r>
            <w:r>
              <w:rPr>
                <w:noProof/>
                <w:webHidden/>
              </w:rPr>
            </w:r>
            <w:r>
              <w:rPr>
                <w:noProof/>
                <w:webHidden/>
              </w:rPr>
              <w:fldChar w:fldCharType="separate"/>
            </w:r>
            <w:r w:rsidR="004B171E">
              <w:rPr>
                <w:noProof/>
                <w:webHidden/>
              </w:rPr>
              <w:t>46</w:t>
            </w:r>
            <w:r>
              <w:rPr>
                <w:noProof/>
                <w:webHidden/>
              </w:rPr>
              <w:fldChar w:fldCharType="end"/>
            </w:r>
          </w:hyperlink>
        </w:p>
        <w:p w14:paraId="6D3877AF" w14:textId="47A3C61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6" w:history="1">
            <w:r w:rsidRPr="008669B1">
              <w:rPr>
                <w:rStyle w:val="Hyperlink"/>
                <w:noProof/>
              </w:rPr>
              <w:t>2.3.</w:t>
            </w:r>
            <w:r>
              <w:rPr>
                <w:rFonts w:asciiTheme="minorHAnsi" w:eastAsiaTheme="minorEastAsia" w:hAnsiTheme="minorHAnsi" w:cstheme="minorBidi"/>
                <w:noProof/>
                <w:kern w:val="2"/>
                <w:sz w:val="24"/>
                <w14:ligatures w14:val="standardContextual"/>
              </w:rPr>
              <w:tab/>
            </w:r>
            <w:r w:rsidRPr="008669B1">
              <w:rPr>
                <w:rStyle w:val="Hyperlink"/>
                <w:noProof/>
              </w:rPr>
              <w:t>Aboriginal and Torres Strait Islander assessment organisations</w:t>
            </w:r>
            <w:r>
              <w:rPr>
                <w:noProof/>
                <w:webHidden/>
              </w:rPr>
              <w:tab/>
            </w:r>
            <w:r>
              <w:rPr>
                <w:noProof/>
                <w:webHidden/>
              </w:rPr>
              <w:fldChar w:fldCharType="begin"/>
            </w:r>
            <w:r>
              <w:rPr>
                <w:noProof/>
                <w:webHidden/>
              </w:rPr>
              <w:instrText xml:space="preserve"> PAGEREF _Toc233282416 \h </w:instrText>
            </w:r>
            <w:r>
              <w:rPr>
                <w:noProof/>
                <w:webHidden/>
              </w:rPr>
            </w:r>
            <w:r>
              <w:rPr>
                <w:noProof/>
                <w:webHidden/>
              </w:rPr>
              <w:fldChar w:fldCharType="separate"/>
            </w:r>
            <w:r w:rsidR="004B171E">
              <w:rPr>
                <w:noProof/>
                <w:webHidden/>
              </w:rPr>
              <w:t>47</w:t>
            </w:r>
            <w:r>
              <w:rPr>
                <w:noProof/>
                <w:webHidden/>
              </w:rPr>
              <w:fldChar w:fldCharType="end"/>
            </w:r>
          </w:hyperlink>
        </w:p>
        <w:p w14:paraId="2A546006" w14:textId="64030C95"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7" w:history="1">
            <w:r w:rsidRPr="008669B1">
              <w:rPr>
                <w:rStyle w:val="Hyperlink"/>
                <w:noProof/>
              </w:rPr>
              <w:t>2.4.</w:t>
            </w:r>
            <w:r>
              <w:rPr>
                <w:rFonts w:asciiTheme="minorHAnsi" w:eastAsiaTheme="minorEastAsia" w:hAnsiTheme="minorHAnsi" w:cstheme="minorBidi"/>
                <w:noProof/>
                <w:kern w:val="2"/>
                <w:sz w:val="24"/>
                <w14:ligatures w14:val="standardContextual"/>
              </w:rPr>
              <w:tab/>
            </w:r>
            <w:r w:rsidRPr="008669B1">
              <w:rPr>
                <w:rStyle w:val="Hyperlink"/>
                <w:noProof/>
              </w:rPr>
              <w:t>Overview of assessment organisation roles and responsibilities</w:t>
            </w:r>
            <w:r>
              <w:rPr>
                <w:noProof/>
                <w:webHidden/>
              </w:rPr>
              <w:tab/>
            </w:r>
            <w:r>
              <w:rPr>
                <w:noProof/>
                <w:webHidden/>
              </w:rPr>
              <w:fldChar w:fldCharType="begin"/>
            </w:r>
            <w:r>
              <w:rPr>
                <w:noProof/>
                <w:webHidden/>
              </w:rPr>
              <w:instrText xml:space="preserve"> PAGEREF _Toc233282417 \h </w:instrText>
            </w:r>
            <w:r>
              <w:rPr>
                <w:noProof/>
                <w:webHidden/>
              </w:rPr>
            </w:r>
            <w:r>
              <w:rPr>
                <w:noProof/>
                <w:webHidden/>
              </w:rPr>
              <w:fldChar w:fldCharType="separate"/>
            </w:r>
            <w:r w:rsidR="004B171E">
              <w:rPr>
                <w:noProof/>
                <w:webHidden/>
              </w:rPr>
              <w:t>49</w:t>
            </w:r>
            <w:r>
              <w:rPr>
                <w:noProof/>
                <w:webHidden/>
              </w:rPr>
              <w:fldChar w:fldCharType="end"/>
            </w:r>
          </w:hyperlink>
        </w:p>
        <w:p w14:paraId="01F48BF1" w14:textId="6E7C8C00"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8" w:history="1">
            <w:r w:rsidRPr="008669B1">
              <w:rPr>
                <w:rStyle w:val="Hyperlink"/>
                <w:noProof/>
              </w:rPr>
              <w:t>2.5.</w:t>
            </w:r>
            <w:r>
              <w:rPr>
                <w:rFonts w:asciiTheme="minorHAnsi" w:eastAsiaTheme="minorEastAsia" w:hAnsiTheme="minorHAnsi" w:cstheme="minorBidi"/>
                <w:noProof/>
                <w:kern w:val="2"/>
                <w:sz w:val="24"/>
                <w14:ligatures w14:val="standardContextual"/>
              </w:rPr>
              <w:tab/>
            </w:r>
            <w:r w:rsidRPr="008669B1">
              <w:rPr>
                <w:rStyle w:val="Hyperlink"/>
                <w:noProof/>
              </w:rPr>
              <w:t>Supporting Community Engagement through the Aboriginal and Torres Strait Islander assessment pathway</w:t>
            </w:r>
            <w:r>
              <w:rPr>
                <w:noProof/>
                <w:webHidden/>
              </w:rPr>
              <w:tab/>
            </w:r>
            <w:r>
              <w:rPr>
                <w:noProof/>
                <w:webHidden/>
              </w:rPr>
              <w:fldChar w:fldCharType="begin"/>
            </w:r>
            <w:r>
              <w:rPr>
                <w:noProof/>
                <w:webHidden/>
              </w:rPr>
              <w:instrText xml:space="preserve"> PAGEREF _Toc233282418 \h </w:instrText>
            </w:r>
            <w:r>
              <w:rPr>
                <w:noProof/>
                <w:webHidden/>
              </w:rPr>
            </w:r>
            <w:r>
              <w:rPr>
                <w:noProof/>
                <w:webHidden/>
              </w:rPr>
              <w:fldChar w:fldCharType="separate"/>
            </w:r>
            <w:r w:rsidR="004B171E">
              <w:rPr>
                <w:noProof/>
                <w:webHidden/>
              </w:rPr>
              <w:t>52</w:t>
            </w:r>
            <w:r>
              <w:rPr>
                <w:noProof/>
                <w:webHidden/>
              </w:rPr>
              <w:fldChar w:fldCharType="end"/>
            </w:r>
          </w:hyperlink>
        </w:p>
        <w:p w14:paraId="1DA95426" w14:textId="7F1F803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19" w:history="1">
            <w:r w:rsidRPr="008669B1">
              <w:rPr>
                <w:rStyle w:val="Hyperlink"/>
                <w:noProof/>
              </w:rPr>
              <w:t>2.6.</w:t>
            </w:r>
            <w:r>
              <w:rPr>
                <w:rFonts w:asciiTheme="minorHAnsi" w:eastAsiaTheme="minorEastAsia" w:hAnsiTheme="minorHAnsi" w:cstheme="minorBidi"/>
                <w:noProof/>
                <w:kern w:val="2"/>
                <w:sz w:val="24"/>
                <w14:ligatures w14:val="standardContextual"/>
              </w:rPr>
              <w:tab/>
            </w:r>
            <w:r w:rsidRPr="008669B1">
              <w:rPr>
                <w:rStyle w:val="Hyperlink"/>
                <w:noProof/>
              </w:rPr>
              <w:t>Training requirements for assessment teams</w:t>
            </w:r>
            <w:r>
              <w:rPr>
                <w:noProof/>
                <w:webHidden/>
              </w:rPr>
              <w:tab/>
            </w:r>
            <w:r>
              <w:rPr>
                <w:noProof/>
                <w:webHidden/>
              </w:rPr>
              <w:fldChar w:fldCharType="begin"/>
            </w:r>
            <w:r>
              <w:rPr>
                <w:noProof/>
                <w:webHidden/>
              </w:rPr>
              <w:instrText xml:space="preserve"> PAGEREF _Toc233282419 \h </w:instrText>
            </w:r>
            <w:r>
              <w:rPr>
                <w:noProof/>
                <w:webHidden/>
              </w:rPr>
            </w:r>
            <w:r>
              <w:rPr>
                <w:noProof/>
                <w:webHidden/>
              </w:rPr>
              <w:fldChar w:fldCharType="separate"/>
            </w:r>
            <w:r w:rsidR="004B171E">
              <w:rPr>
                <w:noProof/>
                <w:webHidden/>
              </w:rPr>
              <w:t>53</w:t>
            </w:r>
            <w:r>
              <w:rPr>
                <w:noProof/>
                <w:webHidden/>
              </w:rPr>
              <w:fldChar w:fldCharType="end"/>
            </w:r>
          </w:hyperlink>
        </w:p>
        <w:p w14:paraId="040E071C" w14:textId="548CDB51"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0" w:history="1">
            <w:r w:rsidRPr="008669B1">
              <w:rPr>
                <w:rStyle w:val="Hyperlink"/>
                <w:noProof/>
              </w:rPr>
              <w:t>2.7.</w:t>
            </w:r>
            <w:r>
              <w:rPr>
                <w:rFonts w:asciiTheme="minorHAnsi" w:eastAsiaTheme="minorEastAsia" w:hAnsiTheme="minorHAnsi" w:cstheme="minorBidi"/>
                <w:noProof/>
                <w:kern w:val="2"/>
                <w:sz w:val="24"/>
                <w14:ligatures w14:val="standardContextual"/>
              </w:rPr>
              <w:tab/>
            </w:r>
            <w:r w:rsidRPr="008669B1">
              <w:rPr>
                <w:rStyle w:val="Hyperlink"/>
                <w:noProof/>
              </w:rPr>
              <w:t>The single assessment pathway</w:t>
            </w:r>
            <w:r>
              <w:rPr>
                <w:noProof/>
                <w:webHidden/>
              </w:rPr>
              <w:tab/>
            </w:r>
            <w:r>
              <w:rPr>
                <w:noProof/>
                <w:webHidden/>
              </w:rPr>
              <w:fldChar w:fldCharType="begin"/>
            </w:r>
            <w:r>
              <w:rPr>
                <w:noProof/>
                <w:webHidden/>
              </w:rPr>
              <w:instrText xml:space="preserve"> PAGEREF _Toc233282420 \h </w:instrText>
            </w:r>
            <w:r>
              <w:rPr>
                <w:noProof/>
                <w:webHidden/>
              </w:rPr>
            </w:r>
            <w:r>
              <w:rPr>
                <w:noProof/>
                <w:webHidden/>
              </w:rPr>
              <w:fldChar w:fldCharType="separate"/>
            </w:r>
            <w:r w:rsidR="004B171E">
              <w:rPr>
                <w:noProof/>
                <w:webHidden/>
              </w:rPr>
              <w:t>54</w:t>
            </w:r>
            <w:r>
              <w:rPr>
                <w:noProof/>
                <w:webHidden/>
              </w:rPr>
              <w:fldChar w:fldCharType="end"/>
            </w:r>
          </w:hyperlink>
        </w:p>
        <w:p w14:paraId="2933645C" w14:textId="6EAC569D"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1" w:history="1">
            <w:r w:rsidRPr="008669B1">
              <w:rPr>
                <w:rStyle w:val="Hyperlink"/>
                <w:noProof/>
              </w:rPr>
              <w:t>2.8.</w:t>
            </w:r>
            <w:r>
              <w:rPr>
                <w:rFonts w:asciiTheme="minorHAnsi" w:eastAsiaTheme="minorEastAsia" w:hAnsiTheme="minorHAnsi" w:cstheme="minorBidi"/>
                <w:noProof/>
                <w:kern w:val="2"/>
                <w:sz w:val="24"/>
                <w14:ligatures w14:val="standardContextual"/>
              </w:rPr>
              <w:tab/>
            </w:r>
            <w:r w:rsidRPr="008669B1">
              <w:rPr>
                <w:rStyle w:val="Hyperlink"/>
                <w:noProof/>
              </w:rPr>
              <w:t>Other assessment activities</w:t>
            </w:r>
            <w:r>
              <w:rPr>
                <w:noProof/>
                <w:webHidden/>
              </w:rPr>
              <w:tab/>
            </w:r>
            <w:r>
              <w:rPr>
                <w:noProof/>
                <w:webHidden/>
              </w:rPr>
              <w:fldChar w:fldCharType="begin"/>
            </w:r>
            <w:r>
              <w:rPr>
                <w:noProof/>
                <w:webHidden/>
              </w:rPr>
              <w:instrText xml:space="preserve"> PAGEREF _Toc233282421 \h </w:instrText>
            </w:r>
            <w:r>
              <w:rPr>
                <w:noProof/>
                <w:webHidden/>
              </w:rPr>
            </w:r>
            <w:r>
              <w:rPr>
                <w:noProof/>
                <w:webHidden/>
              </w:rPr>
              <w:fldChar w:fldCharType="separate"/>
            </w:r>
            <w:r w:rsidR="004B171E">
              <w:rPr>
                <w:noProof/>
                <w:webHidden/>
              </w:rPr>
              <w:t>56</w:t>
            </w:r>
            <w:r>
              <w:rPr>
                <w:noProof/>
                <w:webHidden/>
              </w:rPr>
              <w:fldChar w:fldCharType="end"/>
            </w:r>
          </w:hyperlink>
        </w:p>
        <w:p w14:paraId="339DF730" w14:textId="2B91E52C"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2" w:history="1">
            <w:r w:rsidRPr="008669B1">
              <w:rPr>
                <w:rStyle w:val="Hyperlink"/>
                <w:noProof/>
              </w:rPr>
              <w:t>2.9.</w:t>
            </w:r>
            <w:r>
              <w:rPr>
                <w:rFonts w:asciiTheme="minorHAnsi" w:eastAsiaTheme="minorEastAsia" w:hAnsiTheme="minorHAnsi" w:cstheme="minorBidi"/>
                <w:noProof/>
                <w:kern w:val="2"/>
                <w:sz w:val="24"/>
                <w14:ligatures w14:val="standardContextual"/>
              </w:rPr>
              <w:tab/>
            </w:r>
            <w:r w:rsidRPr="008669B1">
              <w:rPr>
                <w:rStyle w:val="Hyperlink"/>
                <w:noProof/>
              </w:rPr>
              <w:t>Aims and key features of assessment</w:t>
            </w:r>
            <w:r>
              <w:rPr>
                <w:noProof/>
                <w:webHidden/>
              </w:rPr>
              <w:tab/>
            </w:r>
            <w:r>
              <w:rPr>
                <w:noProof/>
                <w:webHidden/>
              </w:rPr>
              <w:fldChar w:fldCharType="begin"/>
            </w:r>
            <w:r>
              <w:rPr>
                <w:noProof/>
                <w:webHidden/>
              </w:rPr>
              <w:instrText xml:space="preserve"> PAGEREF _Toc233282422 \h </w:instrText>
            </w:r>
            <w:r>
              <w:rPr>
                <w:noProof/>
                <w:webHidden/>
              </w:rPr>
            </w:r>
            <w:r>
              <w:rPr>
                <w:noProof/>
                <w:webHidden/>
              </w:rPr>
              <w:fldChar w:fldCharType="separate"/>
            </w:r>
            <w:r w:rsidR="004B171E">
              <w:rPr>
                <w:noProof/>
                <w:webHidden/>
              </w:rPr>
              <w:t>58</w:t>
            </w:r>
            <w:r>
              <w:rPr>
                <w:noProof/>
                <w:webHidden/>
              </w:rPr>
              <w:fldChar w:fldCharType="end"/>
            </w:r>
          </w:hyperlink>
        </w:p>
        <w:p w14:paraId="4E20B724" w14:textId="16A3D83D"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23" w:history="1">
            <w:r w:rsidRPr="008669B1">
              <w:rPr>
                <w:rStyle w:val="Hyperlink"/>
                <w:noProof/>
              </w:rPr>
              <w:t>2.10.</w:t>
            </w:r>
            <w:r>
              <w:rPr>
                <w:rFonts w:asciiTheme="minorHAnsi" w:eastAsiaTheme="minorEastAsia" w:hAnsiTheme="minorHAnsi" w:cstheme="minorBidi"/>
                <w:noProof/>
                <w:kern w:val="2"/>
                <w:sz w:val="24"/>
                <w14:ligatures w14:val="standardContextual"/>
              </w:rPr>
              <w:tab/>
            </w:r>
            <w:r w:rsidRPr="008669B1">
              <w:rPr>
                <w:rStyle w:val="Hyperlink"/>
                <w:noProof/>
              </w:rPr>
              <w:t>Assessment quality</w:t>
            </w:r>
            <w:r>
              <w:rPr>
                <w:noProof/>
                <w:webHidden/>
              </w:rPr>
              <w:tab/>
            </w:r>
            <w:r>
              <w:rPr>
                <w:noProof/>
                <w:webHidden/>
              </w:rPr>
              <w:fldChar w:fldCharType="begin"/>
            </w:r>
            <w:r>
              <w:rPr>
                <w:noProof/>
                <w:webHidden/>
              </w:rPr>
              <w:instrText xml:space="preserve"> PAGEREF _Toc233282423 \h </w:instrText>
            </w:r>
            <w:r>
              <w:rPr>
                <w:noProof/>
                <w:webHidden/>
              </w:rPr>
            </w:r>
            <w:r>
              <w:rPr>
                <w:noProof/>
                <w:webHidden/>
              </w:rPr>
              <w:fldChar w:fldCharType="separate"/>
            </w:r>
            <w:r w:rsidR="004B171E">
              <w:rPr>
                <w:noProof/>
                <w:webHidden/>
              </w:rPr>
              <w:t>59</w:t>
            </w:r>
            <w:r>
              <w:rPr>
                <w:noProof/>
                <w:webHidden/>
              </w:rPr>
              <w:fldChar w:fldCharType="end"/>
            </w:r>
          </w:hyperlink>
        </w:p>
        <w:p w14:paraId="581EBD96" w14:textId="15D009BE"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24" w:history="1">
            <w:r w:rsidRPr="008669B1">
              <w:rPr>
                <w:rStyle w:val="Hyperlink"/>
                <w:noProof/>
              </w:rPr>
              <w:t>2.11.</w:t>
            </w:r>
            <w:r>
              <w:rPr>
                <w:rFonts w:asciiTheme="minorHAnsi" w:eastAsiaTheme="minorEastAsia" w:hAnsiTheme="minorHAnsi" w:cstheme="minorBidi"/>
                <w:noProof/>
                <w:kern w:val="2"/>
                <w:sz w:val="24"/>
                <w14:ligatures w14:val="standardContextual"/>
              </w:rPr>
              <w:tab/>
            </w:r>
            <w:r w:rsidRPr="008669B1">
              <w:rPr>
                <w:rStyle w:val="Hyperlink"/>
                <w:noProof/>
              </w:rPr>
              <w:t>Integrated Assessment Tool (IAT)</w:t>
            </w:r>
            <w:r>
              <w:rPr>
                <w:noProof/>
                <w:webHidden/>
              </w:rPr>
              <w:tab/>
            </w:r>
            <w:r>
              <w:rPr>
                <w:noProof/>
                <w:webHidden/>
              </w:rPr>
              <w:fldChar w:fldCharType="begin"/>
            </w:r>
            <w:r>
              <w:rPr>
                <w:noProof/>
                <w:webHidden/>
              </w:rPr>
              <w:instrText xml:space="preserve"> PAGEREF _Toc233282424 \h </w:instrText>
            </w:r>
            <w:r>
              <w:rPr>
                <w:noProof/>
                <w:webHidden/>
              </w:rPr>
            </w:r>
            <w:r>
              <w:rPr>
                <w:noProof/>
                <w:webHidden/>
              </w:rPr>
              <w:fldChar w:fldCharType="separate"/>
            </w:r>
            <w:r w:rsidR="004B171E">
              <w:rPr>
                <w:noProof/>
                <w:webHidden/>
              </w:rPr>
              <w:t>60</w:t>
            </w:r>
            <w:r>
              <w:rPr>
                <w:noProof/>
                <w:webHidden/>
              </w:rPr>
              <w:fldChar w:fldCharType="end"/>
            </w:r>
          </w:hyperlink>
        </w:p>
        <w:p w14:paraId="2E5C17B5" w14:textId="04DDDE90"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25" w:history="1">
            <w:r w:rsidRPr="008669B1">
              <w:rPr>
                <w:rStyle w:val="Hyperlink"/>
                <w:noProof/>
              </w:rPr>
              <w:t>3.</w:t>
            </w:r>
            <w:r>
              <w:rPr>
                <w:rFonts w:asciiTheme="minorHAnsi" w:eastAsiaTheme="minorEastAsia" w:hAnsiTheme="minorHAnsi" w:cstheme="minorBidi"/>
                <w:noProof/>
                <w:kern w:val="2"/>
                <w:sz w:val="24"/>
                <w14:ligatures w14:val="standardContextual"/>
              </w:rPr>
              <w:tab/>
            </w:r>
            <w:r w:rsidRPr="008669B1">
              <w:rPr>
                <w:rStyle w:val="Hyperlink"/>
                <w:noProof/>
              </w:rPr>
              <w:t>Chapter 3: Referral, registration and screening</w:t>
            </w:r>
            <w:r>
              <w:rPr>
                <w:noProof/>
                <w:webHidden/>
              </w:rPr>
              <w:tab/>
            </w:r>
            <w:r>
              <w:rPr>
                <w:noProof/>
                <w:webHidden/>
              </w:rPr>
              <w:fldChar w:fldCharType="begin"/>
            </w:r>
            <w:r>
              <w:rPr>
                <w:noProof/>
                <w:webHidden/>
              </w:rPr>
              <w:instrText xml:space="preserve"> PAGEREF _Toc233282425 \h </w:instrText>
            </w:r>
            <w:r>
              <w:rPr>
                <w:noProof/>
                <w:webHidden/>
              </w:rPr>
            </w:r>
            <w:r>
              <w:rPr>
                <w:noProof/>
                <w:webHidden/>
              </w:rPr>
              <w:fldChar w:fldCharType="separate"/>
            </w:r>
            <w:r w:rsidR="004B171E">
              <w:rPr>
                <w:noProof/>
                <w:webHidden/>
              </w:rPr>
              <w:t>66</w:t>
            </w:r>
            <w:r>
              <w:rPr>
                <w:noProof/>
                <w:webHidden/>
              </w:rPr>
              <w:fldChar w:fldCharType="end"/>
            </w:r>
          </w:hyperlink>
        </w:p>
        <w:p w14:paraId="1E064A08" w14:textId="4D64DA03"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6" w:history="1">
            <w:r w:rsidRPr="008669B1">
              <w:rPr>
                <w:rStyle w:val="Hyperlink"/>
                <w:noProof/>
              </w:rPr>
              <w:t>3.1.</w:t>
            </w:r>
            <w:r>
              <w:rPr>
                <w:rFonts w:asciiTheme="minorHAnsi" w:eastAsiaTheme="minorEastAsia" w:hAnsiTheme="minorHAnsi" w:cstheme="minorBidi"/>
                <w:noProof/>
                <w:kern w:val="2"/>
                <w:sz w:val="24"/>
                <w14:ligatures w14:val="standardContextual"/>
              </w:rPr>
              <w:tab/>
            </w:r>
            <w:r w:rsidRPr="008669B1">
              <w:rPr>
                <w:rStyle w:val="Hyperlink"/>
                <w:noProof/>
              </w:rPr>
              <w:t>Entry into My Aged Care</w:t>
            </w:r>
            <w:r>
              <w:rPr>
                <w:noProof/>
                <w:webHidden/>
              </w:rPr>
              <w:tab/>
            </w:r>
            <w:r>
              <w:rPr>
                <w:noProof/>
                <w:webHidden/>
              </w:rPr>
              <w:fldChar w:fldCharType="begin"/>
            </w:r>
            <w:r>
              <w:rPr>
                <w:noProof/>
                <w:webHidden/>
              </w:rPr>
              <w:instrText xml:space="preserve"> PAGEREF _Toc233282426 \h </w:instrText>
            </w:r>
            <w:r>
              <w:rPr>
                <w:noProof/>
                <w:webHidden/>
              </w:rPr>
            </w:r>
            <w:r>
              <w:rPr>
                <w:noProof/>
                <w:webHidden/>
              </w:rPr>
              <w:fldChar w:fldCharType="separate"/>
            </w:r>
            <w:r w:rsidR="004B171E">
              <w:rPr>
                <w:noProof/>
                <w:webHidden/>
              </w:rPr>
              <w:t>66</w:t>
            </w:r>
            <w:r>
              <w:rPr>
                <w:noProof/>
                <w:webHidden/>
              </w:rPr>
              <w:fldChar w:fldCharType="end"/>
            </w:r>
          </w:hyperlink>
        </w:p>
        <w:p w14:paraId="7252CF1F" w14:textId="48EC90E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7" w:history="1">
            <w:r w:rsidRPr="008669B1">
              <w:rPr>
                <w:rStyle w:val="Hyperlink"/>
                <w:noProof/>
              </w:rPr>
              <w:t>3.2.</w:t>
            </w:r>
            <w:r>
              <w:rPr>
                <w:rFonts w:asciiTheme="minorHAnsi" w:eastAsiaTheme="minorEastAsia" w:hAnsiTheme="minorHAnsi" w:cstheme="minorBidi"/>
                <w:noProof/>
                <w:kern w:val="2"/>
                <w:sz w:val="24"/>
                <w14:ligatures w14:val="standardContextual"/>
              </w:rPr>
              <w:tab/>
            </w:r>
            <w:r w:rsidRPr="008669B1">
              <w:rPr>
                <w:rStyle w:val="Hyperlink"/>
                <w:noProof/>
              </w:rPr>
              <w:t>Alternative entry</w:t>
            </w:r>
            <w:r>
              <w:rPr>
                <w:noProof/>
                <w:webHidden/>
              </w:rPr>
              <w:tab/>
            </w:r>
            <w:r>
              <w:rPr>
                <w:noProof/>
                <w:webHidden/>
              </w:rPr>
              <w:fldChar w:fldCharType="begin"/>
            </w:r>
            <w:r>
              <w:rPr>
                <w:noProof/>
                <w:webHidden/>
              </w:rPr>
              <w:instrText xml:space="preserve"> PAGEREF _Toc233282427 \h </w:instrText>
            </w:r>
            <w:r>
              <w:rPr>
                <w:noProof/>
                <w:webHidden/>
              </w:rPr>
            </w:r>
            <w:r>
              <w:rPr>
                <w:noProof/>
                <w:webHidden/>
              </w:rPr>
              <w:fldChar w:fldCharType="separate"/>
            </w:r>
            <w:r w:rsidR="004B171E">
              <w:rPr>
                <w:noProof/>
                <w:webHidden/>
              </w:rPr>
              <w:t>69</w:t>
            </w:r>
            <w:r>
              <w:rPr>
                <w:noProof/>
                <w:webHidden/>
              </w:rPr>
              <w:fldChar w:fldCharType="end"/>
            </w:r>
          </w:hyperlink>
        </w:p>
        <w:p w14:paraId="6DE0DDA2" w14:textId="0B655138"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8" w:history="1">
            <w:r w:rsidRPr="008669B1">
              <w:rPr>
                <w:rStyle w:val="Hyperlink"/>
                <w:noProof/>
              </w:rPr>
              <w:t>3.3.</w:t>
            </w:r>
            <w:r>
              <w:rPr>
                <w:rFonts w:asciiTheme="minorHAnsi" w:eastAsiaTheme="minorEastAsia" w:hAnsiTheme="minorHAnsi" w:cstheme="minorBidi"/>
                <w:noProof/>
                <w:kern w:val="2"/>
                <w:sz w:val="24"/>
                <w14:ligatures w14:val="standardContextual"/>
              </w:rPr>
              <w:tab/>
            </w:r>
            <w:r w:rsidRPr="008669B1">
              <w:rPr>
                <w:rStyle w:val="Hyperlink"/>
                <w:noProof/>
              </w:rPr>
              <w:t>Screening</w:t>
            </w:r>
            <w:r>
              <w:rPr>
                <w:noProof/>
                <w:webHidden/>
              </w:rPr>
              <w:tab/>
            </w:r>
            <w:r>
              <w:rPr>
                <w:noProof/>
                <w:webHidden/>
              </w:rPr>
              <w:fldChar w:fldCharType="begin"/>
            </w:r>
            <w:r>
              <w:rPr>
                <w:noProof/>
                <w:webHidden/>
              </w:rPr>
              <w:instrText xml:space="preserve"> PAGEREF _Toc233282428 \h </w:instrText>
            </w:r>
            <w:r>
              <w:rPr>
                <w:noProof/>
                <w:webHidden/>
              </w:rPr>
            </w:r>
            <w:r>
              <w:rPr>
                <w:noProof/>
                <w:webHidden/>
              </w:rPr>
              <w:fldChar w:fldCharType="separate"/>
            </w:r>
            <w:r w:rsidR="004B171E">
              <w:rPr>
                <w:noProof/>
                <w:webHidden/>
              </w:rPr>
              <w:t>72</w:t>
            </w:r>
            <w:r>
              <w:rPr>
                <w:noProof/>
                <w:webHidden/>
              </w:rPr>
              <w:fldChar w:fldCharType="end"/>
            </w:r>
          </w:hyperlink>
        </w:p>
        <w:p w14:paraId="66A375FA" w14:textId="440901E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29" w:history="1">
            <w:r w:rsidRPr="008669B1">
              <w:rPr>
                <w:rStyle w:val="Hyperlink"/>
                <w:noProof/>
              </w:rPr>
              <w:t>3.4.</w:t>
            </w:r>
            <w:r>
              <w:rPr>
                <w:rFonts w:asciiTheme="minorHAnsi" w:eastAsiaTheme="minorEastAsia" w:hAnsiTheme="minorHAnsi" w:cstheme="minorBidi"/>
                <w:noProof/>
                <w:kern w:val="2"/>
                <w:sz w:val="24"/>
                <w14:ligatures w14:val="standardContextual"/>
              </w:rPr>
              <w:tab/>
            </w:r>
            <w:r w:rsidRPr="008669B1">
              <w:rPr>
                <w:rStyle w:val="Hyperlink"/>
                <w:noProof/>
              </w:rPr>
              <w:t>Support networks for an older person</w:t>
            </w:r>
            <w:r>
              <w:rPr>
                <w:noProof/>
                <w:webHidden/>
              </w:rPr>
              <w:tab/>
            </w:r>
            <w:r>
              <w:rPr>
                <w:noProof/>
                <w:webHidden/>
              </w:rPr>
              <w:fldChar w:fldCharType="begin"/>
            </w:r>
            <w:r>
              <w:rPr>
                <w:noProof/>
                <w:webHidden/>
              </w:rPr>
              <w:instrText xml:space="preserve"> PAGEREF _Toc233282429 \h </w:instrText>
            </w:r>
            <w:r>
              <w:rPr>
                <w:noProof/>
                <w:webHidden/>
              </w:rPr>
            </w:r>
            <w:r>
              <w:rPr>
                <w:noProof/>
                <w:webHidden/>
              </w:rPr>
              <w:fldChar w:fldCharType="separate"/>
            </w:r>
            <w:r w:rsidR="004B171E">
              <w:rPr>
                <w:noProof/>
                <w:webHidden/>
              </w:rPr>
              <w:t>73</w:t>
            </w:r>
            <w:r>
              <w:rPr>
                <w:noProof/>
                <w:webHidden/>
              </w:rPr>
              <w:fldChar w:fldCharType="end"/>
            </w:r>
          </w:hyperlink>
        </w:p>
        <w:p w14:paraId="27F1E7D7" w14:textId="4F46DFB4"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0" w:history="1">
            <w:r w:rsidRPr="008669B1">
              <w:rPr>
                <w:rStyle w:val="Hyperlink"/>
                <w:noProof/>
              </w:rPr>
              <w:t>3.5.</w:t>
            </w:r>
            <w:r>
              <w:rPr>
                <w:rFonts w:asciiTheme="minorHAnsi" w:eastAsiaTheme="minorEastAsia" w:hAnsiTheme="minorHAnsi" w:cstheme="minorBidi"/>
                <w:noProof/>
                <w:kern w:val="2"/>
                <w:sz w:val="24"/>
                <w14:ligatures w14:val="standardContextual"/>
              </w:rPr>
              <w:tab/>
            </w:r>
            <w:r w:rsidRPr="008669B1">
              <w:rPr>
                <w:rStyle w:val="Hyperlink"/>
                <w:noProof/>
              </w:rPr>
              <w:t>Exceptional Circumstances – approving a service without an assessment</w:t>
            </w:r>
            <w:r>
              <w:rPr>
                <w:noProof/>
                <w:webHidden/>
              </w:rPr>
              <w:tab/>
            </w:r>
            <w:r>
              <w:rPr>
                <w:noProof/>
                <w:webHidden/>
              </w:rPr>
              <w:fldChar w:fldCharType="begin"/>
            </w:r>
            <w:r>
              <w:rPr>
                <w:noProof/>
                <w:webHidden/>
              </w:rPr>
              <w:instrText xml:space="preserve"> PAGEREF _Toc233282430 \h </w:instrText>
            </w:r>
            <w:r>
              <w:rPr>
                <w:noProof/>
                <w:webHidden/>
              </w:rPr>
            </w:r>
            <w:r>
              <w:rPr>
                <w:noProof/>
                <w:webHidden/>
              </w:rPr>
              <w:fldChar w:fldCharType="separate"/>
            </w:r>
            <w:r w:rsidR="004B171E">
              <w:rPr>
                <w:noProof/>
                <w:webHidden/>
              </w:rPr>
              <w:t>80</w:t>
            </w:r>
            <w:r>
              <w:rPr>
                <w:noProof/>
                <w:webHidden/>
              </w:rPr>
              <w:fldChar w:fldCharType="end"/>
            </w:r>
          </w:hyperlink>
        </w:p>
        <w:p w14:paraId="0657EBCA" w14:textId="5280DA1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1" w:history="1">
            <w:r w:rsidRPr="008669B1">
              <w:rPr>
                <w:rStyle w:val="Hyperlink"/>
                <w:noProof/>
              </w:rPr>
              <w:t>3.6.</w:t>
            </w:r>
            <w:r>
              <w:rPr>
                <w:rFonts w:asciiTheme="minorHAnsi" w:eastAsiaTheme="minorEastAsia" w:hAnsiTheme="minorHAnsi" w:cstheme="minorBidi"/>
                <w:noProof/>
                <w:kern w:val="2"/>
                <w:sz w:val="24"/>
                <w14:ligatures w14:val="standardContextual"/>
              </w:rPr>
              <w:tab/>
            </w:r>
            <w:r w:rsidRPr="008669B1">
              <w:rPr>
                <w:rStyle w:val="Hyperlink"/>
                <w:noProof/>
              </w:rPr>
              <w:t>Emergency Residential Care - Application for Care</w:t>
            </w:r>
            <w:r>
              <w:rPr>
                <w:noProof/>
                <w:webHidden/>
              </w:rPr>
              <w:tab/>
            </w:r>
            <w:r>
              <w:rPr>
                <w:noProof/>
                <w:webHidden/>
              </w:rPr>
              <w:fldChar w:fldCharType="begin"/>
            </w:r>
            <w:r>
              <w:rPr>
                <w:noProof/>
                <w:webHidden/>
              </w:rPr>
              <w:instrText xml:space="preserve"> PAGEREF _Toc233282431 \h </w:instrText>
            </w:r>
            <w:r>
              <w:rPr>
                <w:noProof/>
                <w:webHidden/>
              </w:rPr>
            </w:r>
            <w:r>
              <w:rPr>
                <w:noProof/>
                <w:webHidden/>
              </w:rPr>
              <w:fldChar w:fldCharType="separate"/>
            </w:r>
            <w:r w:rsidR="004B171E">
              <w:rPr>
                <w:noProof/>
                <w:webHidden/>
              </w:rPr>
              <w:t>81</w:t>
            </w:r>
            <w:r>
              <w:rPr>
                <w:noProof/>
                <w:webHidden/>
              </w:rPr>
              <w:fldChar w:fldCharType="end"/>
            </w:r>
          </w:hyperlink>
        </w:p>
        <w:p w14:paraId="75FD5F33" w14:textId="106154D2"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32" w:history="1">
            <w:r w:rsidRPr="008669B1">
              <w:rPr>
                <w:rStyle w:val="Hyperlink"/>
                <w:noProof/>
              </w:rPr>
              <w:t>4.</w:t>
            </w:r>
            <w:r>
              <w:rPr>
                <w:rFonts w:asciiTheme="minorHAnsi" w:eastAsiaTheme="minorEastAsia" w:hAnsiTheme="minorHAnsi" w:cstheme="minorBidi"/>
                <w:noProof/>
                <w:kern w:val="2"/>
                <w:sz w:val="24"/>
                <w14:ligatures w14:val="standardContextual"/>
              </w:rPr>
              <w:tab/>
            </w:r>
            <w:r w:rsidRPr="008669B1">
              <w:rPr>
                <w:rStyle w:val="Hyperlink"/>
                <w:noProof/>
              </w:rPr>
              <w:t>Chapter 4: Referral for assessment</w:t>
            </w:r>
            <w:r>
              <w:rPr>
                <w:noProof/>
                <w:webHidden/>
              </w:rPr>
              <w:tab/>
            </w:r>
            <w:r>
              <w:rPr>
                <w:noProof/>
                <w:webHidden/>
              </w:rPr>
              <w:fldChar w:fldCharType="begin"/>
            </w:r>
            <w:r>
              <w:rPr>
                <w:noProof/>
                <w:webHidden/>
              </w:rPr>
              <w:instrText xml:space="preserve"> PAGEREF _Toc233282432 \h </w:instrText>
            </w:r>
            <w:r>
              <w:rPr>
                <w:noProof/>
                <w:webHidden/>
              </w:rPr>
            </w:r>
            <w:r>
              <w:rPr>
                <w:noProof/>
                <w:webHidden/>
              </w:rPr>
              <w:fldChar w:fldCharType="separate"/>
            </w:r>
            <w:r w:rsidR="004B171E">
              <w:rPr>
                <w:noProof/>
                <w:webHidden/>
              </w:rPr>
              <w:t>83</w:t>
            </w:r>
            <w:r>
              <w:rPr>
                <w:noProof/>
                <w:webHidden/>
              </w:rPr>
              <w:fldChar w:fldCharType="end"/>
            </w:r>
          </w:hyperlink>
        </w:p>
        <w:p w14:paraId="143A17EC" w14:textId="6C238294"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3" w:history="1">
            <w:r w:rsidRPr="008669B1">
              <w:rPr>
                <w:rStyle w:val="Hyperlink"/>
                <w:noProof/>
              </w:rPr>
              <w:t>4.1.</w:t>
            </w:r>
            <w:r>
              <w:rPr>
                <w:rFonts w:asciiTheme="minorHAnsi" w:eastAsiaTheme="minorEastAsia" w:hAnsiTheme="minorHAnsi" w:cstheme="minorBidi"/>
                <w:noProof/>
                <w:kern w:val="2"/>
                <w:sz w:val="24"/>
                <w14:ligatures w14:val="standardContextual"/>
              </w:rPr>
              <w:tab/>
            </w:r>
            <w:r w:rsidRPr="008669B1">
              <w:rPr>
                <w:rStyle w:val="Hyperlink"/>
                <w:noProof/>
              </w:rPr>
              <w:t>Managing referrals</w:t>
            </w:r>
            <w:r>
              <w:rPr>
                <w:noProof/>
                <w:webHidden/>
              </w:rPr>
              <w:tab/>
            </w:r>
            <w:r>
              <w:rPr>
                <w:noProof/>
                <w:webHidden/>
              </w:rPr>
              <w:fldChar w:fldCharType="begin"/>
            </w:r>
            <w:r>
              <w:rPr>
                <w:noProof/>
                <w:webHidden/>
              </w:rPr>
              <w:instrText xml:space="preserve"> PAGEREF _Toc233282433 \h </w:instrText>
            </w:r>
            <w:r>
              <w:rPr>
                <w:noProof/>
                <w:webHidden/>
              </w:rPr>
            </w:r>
            <w:r>
              <w:rPr>
                <w:noProof/>
                <w:webHidden/>
              </w:rPr>
              <w:fldChar w:fldCharType="separate"/>
            </w:r>
            <w:r w:rsidR="004B171E">
              <w:rPr>
                <w:noProof/>
                <w:webHidden/>
              </w:rPr>
              <w:t>83</w:t>
            </w:r>
            <w:r>
              <w:rPr>
                <w:noProof/>
                <w:webHidden/>
              </w:rPr>
              <w:fldChar w:fldCharType="end"/>
            </w:r>
          </w:hyperlink>
        </w:p>
        <w:p w14:paraId="13B47DE5" w14:textId="4C03F81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4" w:history="1">
            <w:r w:rsidRPr="008669B1">
              <w:rPr>
                <w:rStyle w:val="Hyperlink"/>
                <w:noProof/>
              </w:rPr>
              <w:t>4.2.</w:t>
            </w:r>
            <w:r>
              <w:rPr>
                <w:rFonts w:asciiTheme="minorHAnsi" w:eastAsiaTheme="minorEastAsia" w:hAnsiTheme="minorHAnsi" w:cstheme="minorBidi"/>
                <w:noProof/>
                <w:kern w:val="2"/>
                <w:sz w:val="24"/>
                <w14:ligatures w14:val="standardContextual"/>
              </w:rPr>
              <w:tab/>
            </w:r>
            <w:r w:rsidRPr="008669B1">
              <w:rPr>
                <w:rStyle w:val="Hyperlink"/>
                <w:noProof/>
              </w:rPr>
              <w:t>Referral priority categories</w:t>
            </w:r>
            <w:r>
              <w:rPr>
                <w:noProof/>
                <w:webHidden/>
              </w:rPr>
              <w:tab/>
            </w:r>
            <w:r>
              <w:rPr>
                <w:noProof/>
                <w:webHidden/>
              </w:rPr>
              <w:fldChar w:fldCharType="begin"/>
            </w:r>
            <w:r>
              <w:rPr>
                <w:noProof/>
                <w:webHidden/>
              </w:rPr>
              <w:instrText xml:space="preserve"> PAGEREF _Toc233282434 \h </w:instrText>
            </w:r>
            <w:r>
              <w:rPr>
                <w:noProof/>
                <w:webHidden/>
              </w:rPr>
            </w:r>
            <w:r>
              <w:rPr>
                <w:noProof/>
                <w:webHidden/>
              </w:rPr>
              <w:fldChar w:fldCharType="separate"/>
            </w:r>
            <w:r w:rsidR="004B171E">
              <w:rPr>
                <w:noProof/>
                <w:webHidden/>
              </w:rPr>
              <w:t>83</w:t>
            </w:r>
            <w:r>
              <w:rPr>
                <w:noProof/>
                <w:webHidden/>
              </w:rPr>
              <w:fldChar w:fldCharType="end"/>
            </w:r>
          </w:hyperlink>
        </w:p>
        <w:p w14:paraId="0E4E86C5" w14:textId="62FE5793"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5" w:history="1">
            <w:r w:rsidRPr="008669B1">
              <w:rPr>
                <w:rStyle w:val="Hyperlink"/>
                <w:noProof/>
              </w:rPr>
              <w:t>4.3.</w:t>
            </w:r>
            <w:r>
              <w:rPr>
                <w:rFonts w:asciiTheme="minorHAnsi" w:eastAsiaTheme="minorEastAsia" w:hAnsiTheme="minorHAnsi" w:cstheme="minorBidi"/>
                <w:noProof/>
                <w:kern w:val="2"/>
                <w:sz w:val="24"/>
                <w14:ligatures w14:val="standardContextual"/>
              </w:rPr>
              <w:tab/>
            </w:r>
            <w:r w:rsidRPr="008669B1">
              <w:rPr>
                <w:rStyle w:val="Hyperlink"/>
                <w:noProof/>
              </w:rPr>
              <w:t>Actioning referrals</w:t>
            </w:r>
            <w:r>
              <w:rPr>
                <w:noProof/>
                <w:webHidden/>
              </w:rPr>
              <w:tab/>
            </w:r>
            <w:r>
              <w:rPr>
                <w:noProof/>
                <w:webHidden/>
              </w:rPr>
              <w:fldChar w:fldCharType="begin"/>
            </w:r>
            <w:r>
              <w:rPr>
                <w:noProof/>
                <w:webHidden/>
              </w:rPr>
              <w:instrText xml:space="preserve"> PAGEREF _Toc233282435 \h </w:instrText>
            </w:r>
            <w:r>
              <w:rPr>
                <w:noProof/>
                <w:webHidden/>
              </w:rPr>
            </w:r>
            <w:r>
              <w:rPr>
                <w:noProof/>
                <w:webHidden/>
              </w:rPr>
              <w:fldChar w:fldCharType="separate"/>
            </w:r>
            <w:r w:rsidR="004B171E">
              <w:rPr>
                <w:noProof/>
                <w:webHidden/>
              </w:rPr>
              <w:t>87</w:t>
            </w:r>
            <w:r>
              <w:rPr>
                <w:noProof/>
                <w:webHidden/>
              </w:rPr>
              <w:fldChar w:fldCharType="end"/>
            </w:r>
          </w:hyperlink>
        </w:p>
        <w:p w14:paraId="7594FF77" w14:textId="0E263BEA"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6" w:history="1">
            <w:r w:rsidRPr="008669B1">
              <w:rPr>
                <w:rStyle w:val="Hyperlink"/>
                <w:noProof/>
              </w:rPr>
              <w:t>4.4.</w:t>
            </w:r>
            <w:r>
              <w:rPr>
                <w:rFonts w:asciiTheme="minorHAnsi" w:eastAsiaTheme="minorEastAsia" w:hAnsiTheme="minorHAnsi" w:cstheme="minorBidi"/>
                <w:noProof/>
                <w:kern w:val="2"/>
                <w:sz w:val="24"/>
                <w14:ligatures w14:val="standardContextual"/>
              </w:rPr>
              <w:tab/>
            </w:r>
            <w:r w:rsidRPr="008669B1">
              <w:rPr>
                <w:rStyle w:val="Hyperlink"/>
                <w:noProof/>
              </w:rPr>
              <w:t>Self-referrals</w:t>
            </w:r>
            <w:r>
              <w:rPr>
                <w:noProof/>
                <w:webHidden/>
              </w:rPr>
              <w:tab/>
            </w:r>
            <w:r>
              <w:rPr>
                <w:noProof/>
                <w:webHidden/>
              </w:rPr>
              <w:fldChar w:fldCharType="begin"/>
            </w:r>
            <w:r>
              <w:rPr>
                <w:noProof/>
                <w:webHidden/>
              </w:rPr>
              <w:instrText xml:space="preserve"> PAGEREF _Toc233282436 \h </w:instrText>
            </w:r>
            <w:r>
              <w:rPr>
                <w:noProof/>
                <w:webHidden/>
              </w:rPr>
            </w:r>
            <w:r>
              <w:rPr>
                <w:noProof/>
                <w:webHidden/>
              </w:rPr>
              <w:fldChar w:fldCharType="separate"/>
            </w:r>
            <w:r w:rsidR="004B171E">
              <w:rPr>
                <w:noProof/>
                <w:webHidden/>
              </w:rPr>
              <w:t>98</w:t>
            </w:r>
            <w:r>
              <w:rPr>
                <w:noProof/>
                <w:webHidden/>
              </w:rPr>
              <w:fldChar w:fldCharType="end"/>
            </w:r>
          </w:hyperlink>
        </w:p>
        <w:p w14:paraId="70197881" w14:textId="6BE5DC1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7" w:history="1">
            <w:r w:rsidRPr="008669B1">
              <w:rPr>
                <w:rStyle w:val="Hyperlink"/>
                <w:noProof/>
              </w:rPr>
              <w:t>4.5.</w:t>
            </w:r>
            <w:r>
              <w:rPr>
                <w:rFonts w:asciiTheme="minorHAnsi" w:eastAsiaTheme="minorEastAsia" w:hAnsiTheme="minorHAnsi" w:cstheme="minorBidi"/>
                <w:noProof/>
                <w:kern w:val="2"/>
                <w:sz w:val="24"/>
                <w14:ligatures w14:val="standardContextual"/>
              </w:rPr>
              <w:tab/>
            </w:r>
            <w:r w:rsidRPr="008669B1">
              <w:rPr>
                <w:rStyle w:val="Hyperlink"/>
                <w:noProof/>
              </w:rPr>
              <w:t>Support plan reviews and reassessments</w:t>
            </w:r>
            <w:r>
              <w:rPr>
                <w:noProof/>
                <w:webHidden/>
              </w:rPr>
              <w:tab/>
            </w:r>
            <w:r>
              <w:rPr>
                <w:noProof/>
                <w:webHidden/>
              </w:rPr>
              <w:fldChar w:fldCharType="begin"/>
            </w:r>
            <w:r>
              <w:rPr>
                <w:noProof/>
                <w:webHidden/>
              </w:rPr>
              <w:instrText xml:space="preserve"> PAGEREF _Toc233282437 \h </w:instrText>
            </w:r>
            <w:r>
              <w:rPr>
                <w:noProof/>
                <w:webHidden/>
              </w:rPr>
            </w:r>
            <w:r>
              <w:rPr>
                <w:noProof/>
                <w:webHidden/>
              </w:rPr>
              <w:fldChar w:fldCharType="separate"/>
            </w:r>
            <w:r w:rsidR="004B171E">
              <w:rPr>
                <w:noProof/>
                <w:webHidden/>
              </w:rPr>
              <w:t>101</w:t>
            </w:r>
            <w:r>
              <w:rPr>
                <w:noProof/>
                <w:webHidden/>
              </w:rPr>
              <w:fldChar w:fldCharType="end"/>
            </w:r>
          </w:hyperlink>
        </w:p>
        <w:p w14:paraId="1C30EBDF" w14:textId="52B0367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38" w:history="1">
            <w:r w:rsidRPr="008669B1">
              <w:rPr>
                <w:rStyle w:val="Hyperlink"/>
                <w:noProof/>
              </w:rPr>
              <w:t>4.6.</w:t>
            </w:r>
            <w:r>
              <w:rPr>
                <w:rFonts w:asciiTheme="minorHAnsi" w:eastAsiaTheme="minorEastAsia" w:hAnsiTheme="minorHAnsi" w:cstheme="minorBidi"/>
                <w:noProof/>
                <w:kern w:val="2"/>
                <w:sz w:val="24"/>
                <w14:ligatures w14:val="standardContextual"/>
              </w:rPr>
              <w:tab/>
            </w:r>
            <w:r w:rsidRPr="008669B1">
              <w:rPr>
                <w:rStyle w:val="Hyperlink"/>
                <w:noProof/>
              </w:rPr>
              <w:t>Deceased older people</w:t>
            </w:r>
            <w:r>
              <w:rPr>
                <w:noProof/>
                <w:webHidden/>
              </w:rPr>
              <w:tab/>
            </w:r>
            <w:r>
              <w:rPr>
                <w:noProof/>
                <w:webHidden/>
              </w:rPr>
              <w:fldChar w:fldCharType="begin"/>
            </w:r>
            <w:r>
              <w:rPr>
                <w:noProof/>
                <w:webHidden/>
              </w:rPr>
              <w:instrText xml:space="preserve"> PAGEREF _Toc233282438 \h </w:instrText>
            </w:r>
            <w:r>
              <w:rPr>
                <w:noProof/>
                <w:webHidden/>
              </w:rPr>
            </w:r>
            <w:r>
              <w:rPr>
                <w:noProof/>
                <w:webHidden/>
              </w:rPr>
              <w:fldChar w:fldCharType="separate"/>
            </w:r>
            <w:r w:rsidR="004B171E">
              <w:rPr>
                <w:noProof/>
                <w:webHidden/>
              </w:rPr>
              <w:t>106</w:t>
            </w:r>
            <w:r>
              <w:rPr>
                <w:noProof/>
                <w:webHidden/>
              </w:rPr>
              <w:fldChar w:fldCharType="end"/>
            </w:r>
          </w:hyperlink>
        </w:p>
        <w:p w14:paraId="1BD578FF" w14:textId="4B124626"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39" w:history="1">
            <w:r w:rsidRPr="008669B1">
              <w:rPr>
                <w:rStyle w:val="Hyperlink"/>
                <w:noProof/>
              </w:rPr>
              <w:t>5.</w:t>
            </w:r>
            <w:r>
              <w:rPr>
                <w:rFonts w:asciiTheme="minorHAnsi" w:eastAsiaTheme="minorEastAsia" w:hAnsiTheme="minorHAnsi" w:cstheme="minorBidi"/>
                <w:noProof/>
                <w:kern w:val="2"/>
                <w:sz w:val="24"/>
                <w14:ligatures w14:val="standardContextual"/>
              </w:rPr>
              <w:tab/>
            </w:r>
            <w:r w:rsidRPr="008669B1">
              <w:rPr>
                <w:rStyle w:val="Hyperlink"/>
                <w:noProof/>
              </w:rPr>
              <w:t>Chapter 5: Assessment activities</w:t>
            </w:r>
            <w:r>
              <w:rPr>
                <w:noProof/>
                <w:webHidden/>
              </w:rPr>
              <w:tab/>
            </w:r>
            <w:r>
              <w:rPr>
                <w:noProof/>
                <w:webHidden/>
              </w:rPr>
              <w:fldChar w:fldCharType="begin"/>
            </w:r>
            <w:r>
              <w:rPr>
                <w:noProof/>
                <w:webHidden/>
              </w:rPr>
              <w:instrText xml:space="preserve"> PAGEREF _Toc233282439 \h </w:instrText>
            </w:r>
            <w:r>
              <w:rPr>
                <w:noProof/>
                <w:webHidden/>
              </w:rPr>
            </w:r>
            <w:r>
              <w:rPr>
                <w:noProof/>
                <w:webHidden/>
              </w:rPr>
              <w:fldChar w:fldCharType="separate"/>
            </w:r>
            <w:r w:rsidR="004B171E">
              <w:rPr>
                <w:noProof/>
                <w:webHidden/>
              </w:rPr>
              <w:t>107</w:t>
            </w:r>
            <w:r>
              <w:rPr>
                <w:noProof/>
                <w:webHidden/>
              </w:rPr>
              <w:fldChar w:fldCharType="end"/>
            </w:r>
          </w:hyperlink>
        </w:p>
        <w:p w14:paraId="678F7DD7" w14:textId="5DD81A97"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0" w:history="1">
            <w:r w:rsidRPr="008669B1">
              <w:rPr>
                <w:rStyle w:val="Hyperlink"/>
                <w:noProof/>
              </w:rPr>
              <w:t>5.1.</w:t>
            </w:r>
            <w:r>
              <w:rPr>
                <w:rFonts w:asciiTheme="minorHAnsi" w:eastAsiaTheme="minorEastAsia" w:hAnsiTheme="minorHAnsi" w:cstheme="minorBidi"/>
                <w:noProof/>
                <w:kern w:val="2"/>
                <w:sz w:val="24"/>
                <w14:ligatures w14:val="standardContextual"/>
              </w:rPr>
              <w:tab/>
            </w:r>
            <w:r w:rsidRPr="008669B1">
              <w:rPr>
                <w:rStyle w:val="Hyperlink"/>
                <w:noProof/>
              </w:rPr>
              <w:t>Obtaining consent for triage and assessment</w:t>
            </w:r>
            <w:r>
              <w:rPr>
                <w:noProof/>
                <w:webHidden/>
              </w:rPr>
              <w:tab/>
            </w:r>
            <w:r>
              <w:rPr>
                <w:noProof/>
                <w:webHidden/>
              </w:rPr>
              <w:fldChar w:fldCharType="begin"/>
            </w:r>
            <w:r>
              <w:rPr>
                <w:noProof/>
                <w:webHidden/>
              </w:rPr>
              <w:instrText xml:space="preserve"> PAGEREF _Toc233282440 \h </w:instrText>
            </w:r>
            <w:r>
              <w:rPr>
                <w:noProof/>
                <w:webHidden/>
              </w:rPr>
            </w:r>
            <w:r>
              <w:rPr>
                <w:noProof/>
                <w:webHidden/>
              </w:rPr>
              <w:fldChar w:fldCharType="separate"/>
            </w:r>
            <w:r w:rsidR="004B171E">
              <w:rPr>
                <w:noProof/>
                <w:webHidden/>
              </w:rPr>
              <w:t>107</w:t>
            </w:r>
            <w:r>
              <w:rPr>
                <w:noProof/>
                <w:webHidden/>
              </w:rPr>
              <w:fldChar w:fldCharType="end"/>
            </w:r>
          </w:hyperlink>
        </w:p>
        <w:p w14:paraId="06DB8B95" w14:textId="5D5B1F6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1" w:history="1">
            <w:r w:rsidRPr="008669B1">
              <w:rPr>
                <w:rStyle w:val="Hyperlink"/>
                <w:noProof/>
              </w:rPr>
              <w:t>5.2.</w:t>
            </w:r>
            <w:r>
              <w:rPr>
                <w:rFonts w:asciiTheme="minorHAnsi" w:eastAsiaTheme="minorEastAsia" w:hAnsiTheme="minorHAnsi" w:cstheme="minorBidi"/>
                <w:noProof/>
                <w:kern w:val="2"/>
                <w:sz w:val="24"/>
                <w14:ligatures w14:val="standardContextual"/>
              </w:rPr>
              <w:tab/>
            </w:r>
            <w:r w:rsidRPr="008669B1">
              <w:rPr>
                <w:rStyle w:val="Hyperlink"/>
                <w:noProof/>
              </w:rPr>
              <w:t>Triaging assessments</w:t>
            </w:r>
            <w:r>
              <w:rPr>
                <w:noProof/>
                <w:webHidden/>
              </w:rPr>
              <w:tab/>
            </w:r>
            <w:r>
              <w:rPr>
                <w:noProof/>
                <w:webHidden/>
              </w:rPr>
              <w:fldChar w:fldCharType="begin"/>
            </w:r>
            <w:r>
              <w:rPr>
                <w:noProof/>
                <w:webHidden/>
              </w:rPr>
              <w:instrText xml:space="preserve"> PAGEREF _Toc233282441 \h </w:instrText>
            </w:r>
            <w:r>
              <w:rPr>
                <w:noProof/>
                <w:webHidden/>
              </w:rPr>
            </w:r>
            <w:r>
              <w:rPr>
                <w:noProof/>
                <w:webHidden/>
              </w:rPr>
              <w:fldChar w:fldCharType="separate"/>
            </w:r>
            <w:r w:rsidR="004B171E">
              <w:rPr>
                <w:noProof/>
                <w:webHidden/>
              </w:rPr>
              <w:t>111</w:t>
            </w:r>
            <w:r>
              <w:rPr>
                <w:noProof/>
                <w:webHidden/>
              </w:rPr>
              <w:fldChar w:fldCharType="end"/>
            </w:r>
          </w:hyperlink>
        </w:p>
        <w:p w14:paraId="2F868AE0" w14:textId="0C541541"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2" w:history="1">
            <w:r w:rsidRPr="008669B1">
              <w:rPr>
                <w:rStyle w:val="Hyperlink"/>
                <w:noProof/>
              </w:rPr>
              <w:t>5.3.</w:t>
            </w:r>
            <w:r>
              <w:rPr>
                <w:rFonts w:asciiTheme="minorHAnsi" w:eastAsiaTheme="minorEastAsia" w:hAnsiTheme="minorHAnsi" w:cstheme="minorBidi"/>
                <w:noProof/>
                <w:kern w:val="2"/>
                <w:sz w:val="24"/>
                <w14:ligatures w14:val="standardContextual"/>
              </w:rPr>
              <w:tab/>
            </w:r>
            <w:r w:rsidRPr="008669B1">
              <w:rPr>
                <w:rStyle w:val="Hyperlink"/>
                <w:noProof/>
              </w:rPr>
              <w:t>Conducting triage</w:t>
            </w:r>
            <w:r>
              <w:rPr>
                <w:noProof/>
                <w:webHidden/>
              </w:rPr>
              <w:tab/>
            </w:r>
            <w:r>
              <w:rPr>
                <w:noProof/>
                <w:webHidden/>
              </w:rPr>
              <w:fldChar w:fldCharType="begin"/>
            </w:r>
            <w:r>
              <w:rPr>
                <w:noProof/>
                <w:webHidden/>
              </w:rPr>
              <w:instrText xml:space="preserve"> PAGEREF _Toc233282442 \h </w:instrText>
            </w:r>
            <w:r>
              <w:rPr>
                <w:noProof/>
                <w:webHidden/>
              </w:rPr>
            </w:r>
            <w:r>
              <w:rPr>
                <w:noProof/>
                <w:webHidden/>
              </w:rPr>
              <w:fldChar w:fldCharType="separate"/>
            </w:r>
            <w:r w:rsidR="004B171E">
              <w:rPr>
                <w:noProof/>
                <w:webHidden/>
              </w:rPr>
              <w:t>116</w:t>
            </w:r>
            <w:r>
              <w:rPr>
                <w:noProof/>
                <w:webHidden/>
              </w:rPr>
              <w:fldChar w:fldCharType="end"/>
            </w:r>
          </w:hyperlink>
        </w:p>
        <w:p w14:paraId="578A929C" w14:textId="369C2A5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3" w:history="1">
            <w:r w:rsidRPr="008669B1">
              <w:rPr>
                <w:rStyle w:val="Hyperlink"/>
                <w:noProof/>
              </w:rPr>
              <w:t>5.4.</w:t>
            </w:r>
            <w:r>
              <w:rPr>
                <w:rFonts w:asciiTheme="minorHAnsi" w:eastAsiaTheme="minorEastAsia" w:hAnsiTheme="minorHAnsi" w:cstheme="minorBidi"/>
                <w:noProof/>
                <w:kern w:val="2"/>
                <w:sz w:val="24"/>
                <w14:ligatures w14:val="standardContextual"/>
              </w:rPr>
              <w:tab/>
            </w:r>
            <w:r w:rsidRPr="008669B1">
              <w:rPr>
                <w:rStyle w:val="Hyperlink"/>
                <w:noProof/>
              </w:rPr>
              <w:t>Revoking eligibility during an assessment</w:t>
            </w:r>
            <w:r>
              <w:rPr>
                <w:noProof/>
                <w:webHidden/>
              </w:rPr>
              <w:tab/>
            </w:r>
            <w:r>
              <w:rPr>
                <w:noProof/>
                <w:webHidden/>
              </w:rPr>
              <w:fldChar w:fldCharType="begin"/>
            </w:r>
            <w:r>
              <w:rPr>
                <w:noProof/>
                <w:webHidden/>
              </w:rPr>
              <w:instrText xml:space="preserve"> PAGEREF _Toc233282443 \h </w:instrText>
            </w:r>
            <w:r>
              <w:rPr>
                <w:noProof/>
                <w:webHidden/>
              </w:rPr>
            </w:r>
            <w:r>
              <w:rPr>
                <w:noProof/>
                <w:webHidden/>
              </w:rPr>
              <w:fldChar w:fldCharType="separate"/>
            </w:r>
            <w:r w:rsidR="004B171E">
              <w:rPr>
                <w:noProof/>
                <w:webHidden/>
              </w:rPr>
              <w:t>126</w:t>
            </w:r>
            <w:r>
              <w:rPr>
                <w:noProof/>
                <w:webHidden/>
              </w:rPr>
              <w:fldChar w:fldCharType="end"/>
            </w:r>
          </w:hyperlink>
        </w:p>
        <w:p w14:paraId="7A273F56" w14:textId="434B0603"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4" w:history="1">
            <w:r w:rsidRPr="008669B1">
              <w:rPr>
                <w:rStyle w:val="Hyperlink"/>
                <w:noProof/>
              </w:rPr>
              <w:t>5.5.</w:t>
            </w:r>
            <w:r>
              <w:rPr>
                <w:rFonts w:asciiTheme="minorHAnsi" w:eastAsiaTheme="minorEastAsia" w:hAnsiTheme="minorHAnsi" w:cstheme="minorBidi"/>
                <w:noProof/>
                <w:kern w:val="2"/>
                <w:sz w:val="24"/>
                <w14:ligatures w14:val="standardContextual"/>
              </w:rPr>
              <w:tab/>
            </w:r>
            <w:r w:rsidRPr="008669B1">
              <w:rPr>
                <w:rStyle w:val="Hyperlink"/>
                <w:noProof/>
              </w:rPr>
              <w:t>Assessment settings</w:t>
            </w:r>
            <w:r>
              <w:rPr>
                <w:noProof/>
                <w:webHidden/>
              </w:rPr>
              <w:tab/>
            </w:r>
            <w:r>
              <w:rPr>
                <w:noProof/>
                <w:webHidden/>
              </w:rPr>
              <w:fldChar w:fldCharType="begin"/>
            </w:r>
            <w:r>
              <w:rPr>
                <w:noProof/>
                <w:webHidden/>
              </w:rPr>
              <w:instrText xml:space="preserve"> PAGEREF _Toc233282444 \h </w:instrText>
            </w:r>
            <w:r>
              <w:rPr>
                <w:noProof/>
                <w:webHidden/>
              </w:rPr>
            </w:r>
            <w:r>
              <w:rPr>
                <w:noProof/>
                <w:webHidden/>
              </w:rPr>
              <w:fldChar w:fldCharType="separate"/>
            </w:r>
            <w:r w:rsidR="004B171E">
              <w:rPr>
                <w:noProof/>
                <w:webHidden/>
              </w:rPr>
              <w:t>126</w:t>
            </w:r>
            <w:r>
              <w:rPr>
                <w:noProof/>
                <w:webHidden/>
              </w:rPr>
              <w:fldChar w:fldCharType="end"/>
            </w:r>
          </w:hyperlink>
        </w:p>
        <w:p w14:paraId="4EB5D02F" w14:textId="1D57BA7A"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5" w:history="1">
            <w:r w:rsidRPr="008669B1">
              <w:rPr>
                <w:rStyle w:val="Hyperlink"/>
                <w:noProof/>
              </w:rPr>
              <w:t>5.6.</w:t>
            </w:r>
            <w:r>
              <w:rPr>
                <w:rFonts w:asciiTheme="minorHAnsi" w:eastAsiaTheme="minorEastAsia" w:hAnsiTheme="minorHAnsi" w:cstheme="minorBidi"/>
                <w:noProof/>
                <w:kern w:val="2"/>
                <w:sz w:val="24"/>
                <w14:ligatures w14:val="standardContextual"/>
              </w:rPr>
              <w:tab/>
            </w:r>
            <w:r w:rsidRPr="008669B1">
              <w:rPr>
                <w:rStyle w:val="Hyperlink"/>
                <w:noProof/>
              </w:rPr>
              <w:t>Commencing the Assessment</w:t>
            </w:r>
            <w:r>
              <w:rPr>
                <w:noProof/>
                <w:webHidden/>
              </w:rPr>
              <w:tab/>
            </w:r>
            <w:r>
              <w:rPr>
                <w:noProof/>
                <w:webHidden/>
              </w:rPr>
              <w:fldChar w:fldCharType="begin"/>
            </w:r>
            <w:r>
              <w:rPr>
                <w:noProof/>
                <w:webHidden/>
              </w:rPr>
              <w:instrText xml:space="preserve"> PAGEREF _Toc233282445 \h </w:instrText>
            </w:r>
            <w:r>
              <w:rPr>
                <w:noProof/>
                <w:webHidden/>
              </w:rPr>
            </w:r>
            <w:r>
              <w:rPr>
                <w:noProof/>
                <w:webHidden/>
              </w:rPr>
              <w:fldChar w:fldCharType="separate"/>
            </w:r>
            <w:r w:rsidR="004B171E">
              <w:rPr>
                <w:noProof/>
                <w:webHidden/>
              </w:rPr>
              <w:t>128</w:t>
            </w:r>
            <w:r>
              <w:rPr>
                <w:noProof/>
                <w:webHidden/>
              </w:rPr>
              <w:fldChar w:fldCharType="end"/>
            </w:r>
          </w:hyperlink>
        </w:p>
        <w:p w14:paraId="3000845A" w14:textId="26AD311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6" w:history="1">
            <w:r w:rsidRPr="008669B1">
              <w:rPr>
                <w:rStyle w:val="Hyperlink"/>
                <w:noProof/>
              </w:rPr>
              <w:t>5.7.</w:t>
            </w:r>
            <w:r>
              <w:rPr>
                <w:rFonts w:asciiTheme="minorHAnsi" w:eastAsiaTheme="minorEastAsia" w:hAnsiTheme="minorHAnsi" w:cstheme="minorBidi"/>
                <w:noProof/>
                <w:kern w:val="2"/>
                <w:sz w:val="24"/>
                <w14:ligatures w14:val="standardContextual"/>
              </w:rPr>
              <w:tab/>
            </w:r>
            <w:r w:rsidRPr="008669B1">
              <w:rPr>
                <w:rStyle w:val="Hyperlink"/>
                <w:noProof/>
              </w:rPr>
              <w:t>Undertaking an assessment using the Integrated Assessment Tool</w:t>
            </w:r>
            <w:r>
              <w:rPr>
                <w:noProof/>
                <w:webHidden/>
              </w:rPr>
              <w:tab/>
            </w:r>
            <w:r>
              <w:rPr>
                <w:noProof/>
                <w:webHidden/>
              </w:rPr>
              <w:fldChar w:fldCharType="begin"/>
            </w:r>
            <w:r>
              <w:rPr>
                <w:noProof/>
                <w:webHidden/>
              </w:rPr>
              <w:instrText xml:space="preserve"> PAGEREF _Toc233282446 \h </w:instrText>
            </w:r>
            <w:r>
              <w:rPr>
                <w:noProof/>
                <w:webHidden/>
              </w:rPr>
            </w:r>
            <w:r>
              <w:rPr>
                <w:noProof/>
                <w:webHidden/>
              </w:rPr>
              <w:fldChar w:fldCharType="separate"/>
            </w:r>
            <w:r w:rsidR="004B171E">
              <w:rPr>
                <w:noProof/>
                <w:webHidden/>
              </w:rPr>
              <w:t>133</w:t>
            </w:r>
            <w:r>
              <w:rPr>
                <w:noProof/>
                <w:webHidden/>
              </w:rPr>
              <w:fldChar w:fldCharType="end"/>
            </w:r>
          </w:hyperlink>
        </w:p>
        <w:p w14:paraId="1EE22C0A" w14:textId="06DA4520"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7" w:history="1">
            <w:r w:rsidRPr="008669B1">
              <w:rPr>
                <w:rStyle w:val="Hyperlink"/>
                <w:noProof/>
              </w:rPr>
              <w:t>5.8.</w:t>
            </w:r>
            <w:r>
              <w:rPr>
                <w:rFonts w:asciiTheme="minorHAnsi" w:eastAsiaTheme="minorEastAsia" w:hAnsiTheme="minorHAnsi" w:cstheme="minorBidi"/>
                <w:noProof/>
                <w:kern w:val="2"/>
                <w:sz w:val="24"/>
                <w14:ligatures w14:val="standardContextual"/>
              </w:rPr>
              <w:tab/>
            </w:r>
            <w:r w:rsidRPr="008669B1">
              <w:rPr>
                <w:rStyle w:val="Hyperlink"/>
                <w:noProof/>
              </w:rPr>
              <w:t>Converting a home support assessment to a comprehensive assessment</w:t>
            </w:r>
            <w:r>
              <w:rPr>
                <w:noProof/>
                <w:webHidden/>
              </w:rPr>
              <w:tab/>
            </w:r>
            <w:r>
              <w:rPr>
                <w:noProof/>
                <w:webHidden/>
              </w:rPr>
              <w:fldChar w:fldCharType="begin"/>
            </w:r>
            <w:r>
              <w:rPr>
                <w:noProof/>
                <w:webHidden/>
              </w:rPr>
              <w:instrText xml:space="preserve"> PAGEREF _Toc233282447 \h </w:instrText>
            </w:r>
            <w:r>
              <w:rPr>
                <w:noProof/>
                <w:webHidden/>
              </w:rPr>
            </w:r>
            <w:r>
              <w:rPr>
                <w:noProof/>
                <w:webHidden/>
              </w:rPr>
              <w:fldChar w:fldCharType="separate"/>
            </w:r>
            <w:r w:rsidR="004B171E">
              <w:rPr>
                <w:noProof/>
                <w:webHidden/>
              </w:rPr>
              <w:t>154</w:t>
            </w:r>
            <w:r>
              <w:rPr>
                <w:noProof/>
                <w:webHidden/>
              </w:rPr>
              <w:fldChar w:fldCharType="end"/>
            </w:r>
          </w:hyperlink>
        </w:p>
        <w:p w14:paraId="65C05013" w14:textId="0852613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48" w:history="1">
            <w:r w:rsidRPr="008669B1">
              <w:rPr>
                <w:rStyle w:val="Hyperlink"/>
                <w:noProof/>
              </w:rPr>
              <w:t>5.9.</w:t>
            </w:r>
            <w:r>
              <w:rPr>
                <w:rFonts w:asciiTheme="minorHAnsi" w:eastAsiaTheme="minorEastAsia" w:hAnsiTheme="minorHAnsi" w:cstheme="minorBidi"/>
                <w:noProof/>
                <w:kern w:val="2"/>
                <w:sz w:val="24"/>
                <w14:ligatures w14:val="standardContextual"/>
              </w:rPr>
              <w:tab/>
            </w:r>
            <w:r w:rsidRPr="008669B1">
              <w:rPr>
                <w:rStyle w:val="Hyperlink"/>
                <w:noProof/>
              </w:rPr>
              <w:t>Developing a high-quality support plan</w:t>
            </w:r>
            <w:r>
              <w:rPr>
                <w:noProof/>
                <w:webHidden/>
              </w:rPr>
              <w:tab/>
            </w:r>
            <w:r>
              <w:rPr>
                <w:noProof/>
                <w:webHidden/>
              </w:rPr>
              <w:fldChar w:fldCharType="begin"/>
            </w:r>
            <w:r>
              <w:rPr>
                <w:noProof/>
                <w:webHidden/>
              </w:rPr>
              <w:instrText xml:space="preserve"> PAGEREF _Toc233282448 \h </w:instrText>
            </w:r>
            <w:r>
              <w:rPr>
                <w:noProof/>
                <w:webHidden/>
              </w:rPr>
            </w:r>
            <w:r>
              <w:rPr>
                <w:noProof/>
                <w:webHidden/>
              </w:rPr>
              <w:fldChar w:fldCharType="separate"/>
            </w:r>
            <w:r w:rsidR="004B171E">
              <w:rPr>
                <w:noProof/>
                <w:webHidden/>
              </w:rPr>
              <w:t>155</w:t>
            </w:r>
            <w:r>
              <w:rPr>
                <w:noProof/>
                <w:webHidden/>
              </w:rPr>
              <w:fldChar w:fldCharType="end"/>
            </w:r>
          </w:hyperlink>
        </w:p>
        <w:p w14:paraId="1DCCDDF1" w14:textId="72FD1325"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49" w:history="1">
            <w:r w:rsidRPr="008669B1">
              <w:rPr>
                <w:rStyle w:val="Hyperlink"/>
                <w:noProof/>
              </w:rPr>
              <w:t>5.10.</w:t>
            </w:r>
            <w:r>
              <w:rPr>
                <w:rFonts w:asciiTheme="minorHAnsi" w:eastAsiaTheme="minorEastAsia" w:hAnsiTheme="minorHAnsi" w:cstheme="minorBidi"/>
                <w:noProof/>
                <w:kern w:val="2"/>
                <w:sz w:val="24"/>
                <w14:ligatures w14:val="standardContextual"/>
              </w:rPr>
              <w:tab/>
            </w:r>
            <w:r w:rsidRPr="008669B1">
              <w:rPr>
                <w:rStyle w:val="Hyperlink"/>
                <w:noProof/>
              </w:rPr>
              <w:t>Wellness and reablement approach</w:t>
            </w:r>
            <w:r>
              <w:rPr>
                <w:noProof/>
                <w:webHidden/>
              </w:rPr>
              <w:tab/>
            </w:r>
            <w:r>
              <w:rPr>
                <w:noProof/>
                <w:webHidden/>
              </w:rPr>
              <w:fldChar w:fldCharType="begin"/>
            </w:r>
            <w:r>
              <w:rPr>
                <w:noProof/>
                <w:webHidden/>
              </w:rPr>
              <w:instrText xml:space="preserve"> PAGEREF _Toc233282449 \h </w:instrText>
            </w:r>
            <w:r>
              <w:rPr>
                <w:noProof/>
                <w:webHidden/>
              </w:rPr>
            </w:r>
            <w:r>
              <w:rPr>
                <w:noProof/>
                <w:webHidden/>
              </w:rPr>
              <w:fldChar w:fldCharType="separate"/>
            </w:r>
            <w:r w:rsidR="004B171E">
              <w:rPr>
                <w:noProof/>
                <w:webHidden/>
              </w:rPr>
              <w:t>160</w:t>
            </w:r>
            <w:r>
              <w:rPr>
                <w:noProof/>
                <w:webHidden/>
              </w:rPr>
              <w:fldChar w:fldCharType="end"/>
            </w:r>
          </w:hyperlink>
        </w:p>
        <w:p w14:paraId="576B35C0" w14:textId="7F41AA0C"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50" w:history="1">
            <w:r w:rsidRPr="008669B1">
              <w:rPr>
                <w:rStyle w:val="Hyperlink"/>
                <w:noProof/>
              </w:rPr>
              <w:t>5.11.</w:t>
            </w:r>
            <w:r>
              <w:rPr>
                <w:rFonts w:asciiTheme="minorHAnsi" w:eastAsiaTheme="minorEastAsia" w:hAnsiTheme="minorHAnsi" w:cstheme="minorBidi"/>
                <w:noProof/>
                <w:kern w:val="2"/>
                <w:sz w:val="24"/>
                <w14:ligatures w14:val="standardContextual"/>
              </w:rPr>
              <w:tab/>
            </w:r>
            <w:r w:rsidRPr="008669B1">
              <w:rPr>
                <w:rStyle w:val="Hyperlink"/>
                <w:noProof/>
              </w:rPr>
              <w:t>Vulnerable older people relating to aged care services</w:t>
            </w:r>
            <w:r>
              <w:rPr>
                <w:noProof/>
                <w:webHidden/>
              </w:rPr>
              <w:tab/>
            </w:r>
            <w:r>
              <w:rPr>
                <w:noProof/>
                <w:webHidden/>
              </w:rPr>
              <w:fldChar w:fldCharType="begin"/>
            </w:r>
            <w:r>
              <w:rPr>
                <w:noProof/>
                <w:webHidden/>
              </w:rPr>
              <w:instrText xml:space="preserve"> PAGEREF _Toc233282450 \h </w:instrText>
            </w:r>
            <w:r>
              <w:rPr>
                <w:noProof/>
                <w:webHidden/>
              </w:rPr>
            </w:r>
            <w:r>
              <w:rPr>
                <w:noProof/>
                <w:webHidden/>
              </w:rPr>
              <w:fldChar w:fldCharType="separate"/>
            </w:r>
            <w:r w:rsidR="004B171E">
              <w:rPr>
                <w:noProof/>
                <w:webHidden/>
              </w:rPr>
              <w:t>167</w:t>
            </w:r>
            <w:r>
              <w:rPr>
                <w:noProof/>
                <w:webHidden/>
              </w:rPr>
              <w:fldChar w:fldCharType="end"/>
            </w:r>
          </w:hyperlink>
        </w:p>
        <w:p w14:paraId="46F9E05D" w14:textId="5A00DCE8"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51" w:history="1">
            <w:r w:rsidRPr="008669B1">
              <w:rPr>
                <w:rStyle w:val="Hyperlink"/>
                <w:noProof/>
              </w:rPr>
              <w:t>5.12.</w:t>
            </w:r>
            <w:r>
              <w:rPr>
                <w:rFonts w:asciiTheme="minorHAnsi" w:eastAsiaTheme="minorEastAsia" w:hAnsiTheme="minorHAnsi" w:cstheme="minorBidi"/>
                <w:noProof/>
                <w:kern w:val="2"/>
                <w:sz w:val="24"/>
                <w14:ligatures w14:val="standardContextual"/>
              </w:rPr>
              <w:tab/>
            </w:r>
            <w:r w:rsidRPr="008669B1">
              <w:rPr>
                <w:rStyle w:val="Hyperlink"/>
                <w:noProof/>
              </w:rPr>
              <w:t>Recommending aged care services</w:t>
            </w:r>
            <w:r>
              <w:rPr>
                <w:noProof/>
                <w:webHidden/>
              </w:rPr>
              <w:tab/>
            </w:r>
            <w:r>
              <w:rPr>
                <w:noProof/>
                <w:webHidden/>
              </w:rPr>
              <w:fldChar w:fldCharType="begin"/>
            </w:r>
            <w:r>
              <w:rPr>
                <w:noProof/>
                <w:webHidden/>
              </w:rPr>
              <w:instrText xml:space="preserve"> PAGEREF _Toc233282451 \h </w:instrText>
            </w:r>
            <w:r>
              <w:rPr>
                <w:noProof/>
                <w:webHidden/>
              </w:rPr>
            </w:r>
            <w:r>
              <w:rPr>
                <w:noProof/>
                <w:webHidden/>
              </w:rPr>
              <w:fldChar w:fldCharType="separate"/>
            </w:r>
            <w:r w:rsidR="004B171E">
              <w:rPr>
                <w:noProof/>
                <w:webHidden/>
              </w:rPr>
              <w:t>169</w:t>
            </w:r>
            <w:r>
              <w:rPr>
                <w:noProof/>
                <w:webHidden/>
              </w:rPr>
              <w:fldChar w:fldCharType="end"/>
            </w:r>
          </w:hyperlink>
        </w:p>
        <w:p w14:paraId="7B2132E9" w14:textId="00885ACE"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52" w:history="1">
            <w:r w:rsidRPr="008669B1">
              <w:rPr>
                <w:rStyle w:val="Hyperlink"/>
                <w:noProof/>
              </w:rPr>
              <w:t>5.13.</w:t>
            </w:r>
            <w:r>
              <w:rPr>
                <w:rFonts w:asciiTheme="minorHAnsi" w:eastAsiaTheme="minorEastAsia" w:hAnsiTheme="minorHAnsi" w:cstheme="minorBidi"/>
                <w:noProof/>
                <w:kern w:val="2"/>
                <w:sz w:val="24"/>
                <w14:ligatures w14:val="standardContextual"/>
              </w:rPr>
              <w:tab/>
            </w:r>
            <w:r w:rsidRPr="008669B1">
              <w:rPr>
                <w:rStyle w:val="Hyperlink"/>
                <w:noProof/>
              </w:rPr>
              <w:t>Review of Support Plan</w:t>
            </w:r>
            <w:r>
              <w:rPr>
                <w:noProof/>
                <w:webHidden/>
              </w:rPr>
              <w:tab/>
            </w:r>
            <w:r>
              <w:rPr>
                <w:noProof/>
                <w:webHidden/>
              </w:rPr>
              <w:fldChar w:fldCharType="begin"/>
            </w:r>
            <w:r>
              <w:rPr>
                <w:noProof/>
                <w:webHidden/>
              </w:rPr>
              <w:instrText xml:space="preserve"> PAGEREF _Toc233282452 \h </w:instrText>
            </w:r>
            <w:r>
              <w:rPr>
                <w:noProof/>
                <w:webHidden/>
              </w:rPr>
            </w:r>
            <w:r>
              <w:rPr>
                <w:noProof/>
                <w:webHidden/>
              </w:rPr>
              <w:fldChar w:fldCharType="separate"/>
            </w:r>
            <w:r w:rsidR="004B171E">
              <w:rPr>
                <w:noProof/>
                <w:webHidden/>
              </w:rPr>
              <w:t>172</w:t>
            </w:r>
            <w:r>
              <w:rPr>
                <w:noProof/>
                <w:webHidden/>
              </w:rPr>
              <w:fldChar w:fldCharType="end"/>
            </w:r>
          </w:hyperlink>
        </w:p>
        <w:p w14:paraId="43AB20C3" w14:textId="2CE00553"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53" w:history="1">
            <w:r w:rsidRPr="008669B1">
              <w:rPr>
                <w:rStyle w:val="Hyperlink"/>
                <w:noProof/>
              </w:rPr>
              <w:t>5.14.</w:t>
            </w:r>
            <w:r>
              <w:rPr>
                <w:rFonts w:asciiTheme="minorHAnsi" w:eastAsiaTheme="minorEastAsia" w:hAnsiTheme="minorHAnsi" w:cstheme="minorBidi"/>
                <w:noProof/>
                <w:kern w:val="2"/>
                <w:sz w:val="24"/>
                <w14:ligatures w14:val="standardContextual"/>
              </w:rPr>
              <w:tab/>
            </w:r>
            <w:r w:rsidRPr="008669B1">
              <w:rPr>
                <w:rStyle w:val="Hyperlink"/>
                <w:noProof/>
              </w:rPr>
              <w:t>Assessment wrap-up</w:t>
            </w:r>
            <w:r>
              <w:rPr>
                <w:noProof/>
                <w:webHidden/>
              </w:rPr>
              <w:tab/>
            </w:r>
            <w:r>
              <w:rPr>
                <w:noProof/>
                <w:webHidden/>
              </w:rPr>
              <w:fldChar w:fldCharType="begin"/>
            </w:r>
            <w:r>
              <w:rPr>
                <w:noProof/>
                <w:webHidden/>
              </w:rPr>
              <w:instrText xml:space="preserve"> PAGEREF _Toc233282453 \h </w:instrText>
            </w:r>
            <w:r>
              <w:rPr>
                <w:noProof/>
                <w:webHidden/>
              </w:rPr>
            </w:r>
            <w:r>
              <w:rPr>
                <w:noProof/>
                <w:webHidden/>
              </w:rPr>
              <w:fldChar w:fldCharType="separate"/>
            </w:r>
            <w:r w:rsidR="004B171E">
              <w:rPr>
                <w:noProof/>
                <w:webHidden/>
              </w:rPr>
              <w:t>173</w:t>
            </w:r>
            <w:r>
              <w:rPr>
                <w:noProof/>
                <w:webHidden/>
              </w:rPr>
              <w:fldChar w:fldCharType="end"/>
            </w:r>
          </w:hyperlink>
        </w:p>
        <w:p w14:paraId="1714A618" w14:textId="0B900942"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54" w:history="1">
            <w:r w:rsidRPr="008669B1">
              <w:rPr>
                <w:rStyle w:val="Hyperlink"/>
                <w:noProof/>
              </w:rPr>
              <w:t>6.</w:t>
            </w:r>
            <w:r>
              <w:rPr>
                <w:rFonts w:asciiTheme="minorHAnsi" w:eastAsiaTheme="minorEastAsia" w:hAnsiTheme="minorHAnsi" w:cstheme="minorBidi"/>
                <w:noProof/>
                <w:kern w:val="2"/>
                <w:sz w:val="24"/>
                <w14:ligatures w14:val="standardContextual"/>
              </w:rPr>
              <w:tab/>
            </w:r>
            <w:r w:rsidRPr="008669B1">
              <w:rPr>
                <w:rStyle w:val="Hyperlink"/>
                <w:noProof/>
              </w:rPr>
              <w:t>Chapter 6: Aged care programs</w:t>
            </w:r>
            <w:r>
              <w:rPr>
                <w:noProof/>
                <w:webHidden/>
              </w:rPr>
              <w:tab/>
            </w:r>
            <w:r>
              <w:rPr>
                <w:noProof/>
                <w:webHidden/>
              </w:rPr>
              <w:fldChar w:fldCharType="begin"/>
            </w:r>
            <w:r>
              <w:rPr>
                <w:noProof/>
                <w:webHidden/>
              </w:rPr>
              <w:instrText xml:space="preserve"> PAGEREF _Toc233282454 \h </w:instrText>
            </w:r>
            <w:r>
              <w:rPr>
                <w:noProof/>
                <w:webHidden/>
              </w:rPr>
            </w:r>
            <w:r>
              <w:rPr>
                <w:noProof/>
                <w:webHidden/>
              </w:rPr>
              <w:fldChar w:fldCharType="separate"/>
            </w:r>
            <w:r w:rsidR="004B171E">
              <w:rPr>
                <w:noProof/>
                <w:webHidden/>
              </w:rPr>
              <w:t>175</w:t>
            </w:r>
            <w:r>
              <w:rPr>
                <w:noProof/>
                <w:webHidden/>
              </w:rPr>
              <w:fldChar w:fldCharType="end"/>
            </w:r>
          </w:hyperlink>
        </w:p>
        <w:p w14:paraId="0E34A49D" w14:textId="713AD00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55" w:history="1">
            <w:r w:rsidRPr="008669B1">
              <w:rPr>
                <w:rStyle w:val="Hyperlink"/>
                <w:noProof/>
              </w:rPr>
              <w:t>6.1.</w:t>
            </w:r>
            <w:r>
              <w:rPr>
                <w:rFonts w:asciiTheme="minorHAnsi" w:eastAsiaTheme="minorEastAsia" w:hAnsiTheme="minorHAnsi" w:cstheme="minorBidi"/>
                <w:noProof/>
                <w:kern w:val="2"/>
                <w:sz w:val="24"/>
                <w14:ligatures w14:val="standardContextual"/>
              </w:rPr>
              <w:tab/>
            </w:r>
            <w:r w:rsidRPr="008669B1">
              <w:rPr>
                <w:rStyle w:val="Hyperlink"/>
                <w:noProof/>
              </w:rPr>
              <w:t>Support at Home - ongoing classifications 1-8</w:t>
            </w:r>
            <w:r>
              <w:rPr>
                <w:noProof/>
                <w:webHidden/>
              </w:rPr>
              <w:tab/>
            </w:r>
            <w:r>
              <w:rPr>
                <w:noProof/>
                <w:webHidden/>
              </w:rPr>
              <w:fldChar w:fldCharType="begin"/>
            </w:r>
            <w:r>
              <w:rPr>
                <w:noProof/>
                <w:webHidden/>
              </w:rPr>
              <w:instrText xml:space="preserve"> PAGEREF _Toc233282455 \h </w:instrText>
            </w:r>
            <w:r>
              <w:rPr>
                <w:noProof/>
                <w:webHidden/>
              </w:rPr>
            </w:r>
            <w:r>
              <w:rPr>
                <w:noProof/>
                <w:webHidden/>
              </w:rPr>
              <w:fldChar w:fldCharType="separate"/>
            </w:r>
            <w:r w:rsidR="004B171E">
              <w:rPr>
                <w:noProof/>
                <w:webHidden/>
              </w:rPr>
              <w:t>175</w:t>
            </w:r>
            <w:r>
              <w:rPr>
                <w:noProof/>
                <w:webHidden/>
              </w:rPr>
              <w:fldChar w:fldCharType="end"/>
            </w:r>
          </w:hyperlink>
        </w:p>
        <w:p w14:paraId="149BCFDD" w14:textId="367213C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56" w:history="1">
            <w:r w:rsidRPr="008669B1">
              <w:rPr>
                <w:rStyle w:val="Hyperlink"/>
                <w:noProof/>
              </w:rPr>
              <w:t>6.2.</w:t>
            </w:r>
            <w:r>
              <w:rPr>
                <w:rFonts w:asciiTheme="minorHAnsi" w:eastAsiaTheme="minorEastAsia" w:hAnsiTheme="minorHAnsi" w:cstheme="minorBidi"/>
                <w:noProof/>
                <w:kern w:val="2"/>
                <w:sz w:val="24"/>
                <w14:ligatures w14:val="standardContextual"/>
              </w:rPr>
              <w:tab/>
            </w:r>
            <w:r w:rsidRPr="008669B1">
              <w:rPr>
                <w:rStyle w:val="Hyperlink"/>
                <w:noProof/>
              </w:rPr>
              <w:t>Support at Home - Restorative Care Pathway</w:t>
            </w:r>
            <w:r>
              <w:rPr>
                <w:noProof/>
                <w:webHidden/>
              </w:rPr>
              <w:tab/>
            </w:r>
            <w:r>
              <w:rPr>
                <w:noProof/>
                <w:webHidden/>
              </w:rPr>
              <w:fldChar w:fldCharType="begin"/>
            </w:r>
            <w:r>
              <w:rPr>
                <w:noProof/>
                <w:webHidden/>
              </w:rPr>
              <w:instrText xml:space="preserve"> PAGEREF _Toc233282456 \h </w:instrText>
            </w:r>
            <w:r>
              <w:rPr>
                <w:noProof/>
                <w:webHidden/>
              </w:rPr>
            </w:r>
            <w:r>
              <w:rPr>
                <w:noProof/>
                <w:webHidden/>
              </w:rPr>
              <w:fldChar w:fldCharType="separate"/>
            </w:r>
            <w:r w:rsidR="004B171E">
              <w:rPr>
                <w:noProof/>
                <w:webHidden/>
              </w:rPr>
              <w:t>179</w:t>
            </w:r>
            <w:r>
              <w:rPr>
                <w:noProof/>
                <w:webHidden/>
              </w:rPr>
              <w:fldChar w:fldCharType="end"/>
            </w:r>
          </w:hyperlink>
        </w:p>
        <w:p w14:paraId="388206EF" w14:textId="5635E4A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57" w:history="1">
            <w:r w:rsidRPr="008669B1">
              <w:rPr>
                <w:rStyle w:val="Hyperlink"/>
                <w:noProof/>
              </w:rPr>
              <w:t>6.3.</w:t>
            </w:r>
            <w:r>
              <w:rPr>
                <w:rFonts w:asciiTheme="minorHAnsi" w:eastAsiaTheme="minorEastAsia" w:hAnsiTheme="minorHAnsi" w:cstheme="minorBidi"/>
                <w:noProof/>
                <w:kern w:val="2"/>
                <w:sz w:val="24"/>
                <w14:ligatures w14:val="standardContextual"/>
              </w:rPr>
              <w:tab/>
            </w:r>
            <w:r w:rsidRPr="008669B1">
              <w:rPr>
                <w:rStyle w:val="Hyperlink"/>
                <w:noProof/>
              </w:rPr>
              <w:t>Support at Home – End-of-Life Pathway</w:t>
            </w:r>
            <w:r>
              <w:rPr>
                <w:noProof/>
                <w:webHidden/>
              </w:rPr>
              <w:tab/>
            </w:r>
            <w:r>
              <w:rPr>
                <w:noProof/>
                <w:webHidden/>
              </w:rPr>
              <w:fldChar w:fldCharType="begin"/>
            </w:r>
            <w:r>
              <w:rPr>
                <w:noProof/>
                <w:webHidden/>
              </w:rPr>
              <w:instrText xml:space="preserve"> PAGEREF _Toc233282457 \h </w:instrText>
            </w:r>
            <w:r>
              <w:rPr>
                <w:noProof/>
                <w:webHidden/>
              </w:rPr>
            </w:r>
            <w:r>
              <w:rPr>
                <w:noProof/>
                <w:webHidden/>
              </w:rPr>
              <w:fldChar w:fldCharType="separate"/>
            </w:r>
            <w:r w:rsidR="004B171E">
              <w:rPr>
                <w:noProof/>
                <w:webHidden/>
              </w:rPr>
              <w:t>189</w:t>
            </w:r>
            <w:r>
              <w:rPr>
                <w:noProof/>
                <w:webHidden/>
              </w:rPr>
              <w:fldChar w:fldCharType="end"/>
            </w:r>
          </w:hyperlink>
        </w:p>
        <w:p w14:paraId="6F50DAC2" w14:textId="107AF6C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58" w:history="1">
            <w:r w:rsidRPr="008669B1">
              <w:rPr>
                <w:rStyle w:val="Hyperlink"/>
                <w:noProof/>
              </w:rPr>
              <w:t>6.4.</w:t>
            </w:r>
            <w:r>
              <w:rPr>
                <w:rFonts w:asciiTheme="minorHAnsi" w:eastAsiaTheme="minorEastAsia" w:hAnsiTheme="minorHAnsi" w:cstheme="minorBidi"/>
                <w:noProof/>
                <w:kern w:val="2"/>
                <w:sz w:val="24"/>
                <w14:ligatures w14:val="standardContextual"/>
              </w:rPr>
              <w:tab/>
            </w:r>
            <w:r w:rsidRPr="008669B1">
              <w:rPr>
                <w:rStyle w:val="Hyperlink"/>
                <w:noProof/>
              </w:rPr>
              <w:t>Support at Home – Assistive Technology and Home Modifications (AT-HM) scheme</w:t>
            </w:r>
            <w:r>
              <w:rPr>
                <w:noProof/>
                <w:webHidden/>
              </w:rPr>
              <w:tab/>
            </w:r>
            <w:r>
              <w:rPr>
                <w:noProof/>
                <w:webHidden/>
              </w:rPr>
              <w:fldChar w:fldCharType="begin"/>
            </w:r>
            <w:r>
              <w:rPr>
                <w:noProof/>
                <w:webHidden/>
              </w:rPr>
              <w:instrText xml:space="preserve"> PAGEREF _Toc233282458 \h </w:instrText>
            </w:r>
            <w:r>
              <w:rPr>
                <w:noProof/>
                <w:webHidden/>
              </w:rPr>
            </w:r>
            <w:r>
              <w:rPr>
                <w:noProof/>
                <w:webHidden/>
              </w:rPr>
              <w:fldChar w:fldCharType="separate"/>
            </w:r>
            <w:r w:rsidR="004B171E">
              <w:rPr>
                <w:noProof/>
                <w:webHidden/>
              </w:rPr>
              <w:t>194</w:t>
            </w:r>
            <w:r>
              <w:rPr>
                <w:noProof/>
                <w:webHidden/>
              </w:rPr>
              <w:fldChar w:fldCharType="end"/>
            </w:r>
          </w:hyperlink>
        </w:p>
        <w:p w14:paraId="0BE53FD0" w14:textId="320192E9"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59" w:history="1">
            <w:r w:rsidRPr="008669B1">
              <w:rPr>
                <w:rStyle w:val="Hyperlink"/>
                <w:noProof/>
              </w:rPr>
              <w:t>6.5.</w:t>
            </w:r>
            <w:r>
              <w:rPr>
                <w:rFonts w:asciiTheme="minorHAnsi" w:eastAsiaTheme="minorEastAsia" w:hAnsiTheme="minorHAnsi" w:cstheme="minorBidi"/>
                <w:noProof/>
                <w:kern w:val="2"/>
                <w:sz w:val="24"/>
                <w14:ligatures w14:val="standardContextual"/>
              </w:rPr>
              <w:tab/>
            </w:r>
            <w:r w:rsidRPr="008669B1">
              <w:rPr>
                <w:rStyle w:val="Hyperlink"/>
                <w:noProof/>
              </w:rPr>
              <w:t>Commonwealth Home Support Program (CHSP)</w:t>
            </w:r>
            <w:r>
              <w:rPr>
                <w:noProof/>
                <w:webHidden/>
              </w:rPr>
              <w:tab/>
            </w:r>
            <w:r>
              <w:rPr>
                <w:noProof/>
                <w:webHidden/>
              </w:rPr>
              <w:fldChar w:fldCharType="begin"/>
            </w:r>
            <w:r>
              <w:rPr>
                <w:noProof/>
                <w:webHidden/>
              </w:rPr>
              <w:instrText xml:space="preserve"> PAGEREF _Toc233282459 \h </w:instrText>
            </w:r>
            <w:r>
              <w:rPr>
                <w:noProof/>
                <w:webHidden/>
              </w:rPr>
            </w:r>
            <w:r>
              <w:rPr>
                <w:noProof/>
                <w:webHidden/>
              </w:rPr>
              <w:fldChar w:fldCharType="separate"/>
            </w:r>
            <w:r w:rsidR="004B171E">
              <w:rPr>
                <w:noProof/>
                <w:webHidden/>
              </w:rPr>
              <w:t>207</w:t>
            </w:r>
            <w:r>
              <w:rPr>
                <w:noProof/>
                <w:webHidden/>
              </w:rPr>
              <w:fldChar w:fldCharType="end"/>
            </w:r>
          </w:hyperlink>
        </w:p>
        <w:p w14:paraId="74CDC170" w14:textId="6B218D87"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0" w:history="1">
            <w:r w:rsidRPr="008669B1">
              <w:rPr>
                <w:rStyle w:val="Hyperlink"/>
                <w:noProof/>
              </w:rPr>
              <w:t>6.6.</w:t>
            </w:r>
            <w:r>
              <w:rPr>
                <w:rFonts w:asciiTheme="minorHAnsi" w:eastAsiaTheme="minorEastAsia" w:hAnsiTheme="minorHAnsi" w:cstheme="minorBidi"/>
                <w:noProof/>
                <w:kern w:val="2"/>
                <w:sz w:val="24"/>
                <w14:ligatures w14:val="standardContextual"/>
              </w:rPr>
              <w:tab/>
            </w:r>
            <w:r w:rsidRPr="008669B1">
              <w:rPr>
                <w:rStyle w:val="Hyperlink"/>
                <w:noProof/>
              </w:rPr>
              <w:t>National Aboriginal and Torres Strait Islander Flexible Aged Care Program (NATSIFACP)</w:t>
            </w:r>
            <w:r>
              <w:rPr>
                <w:noProof/>
                <w:webHidden/>
              </w:rPr>
              <w:tab/>
            </w:r>
            <w:r>
              <w:rPr>
                <w:noProof/>
                <w:webHidden/>
              </w:rPr>
              <w:fldChar w:fldCharType="begin"/>
            </w:r>
            <w:r>
              <w:rPr>
                <w:noProof/>
                <w:webHidden/>
              </w:rPr>
              <w:instrText xml:space="preserve"> PAGEREF _Toc233282460 \h </w:instrText>
            </w:r>
            <w:r>
              <w:rPr>
                <w:noProof/>
                <w:webHidden/>
              </w:rPr>
            </w:r>
            <w:r>
              <w:rPr>
                <w:noProof/>
                <w:webHidden/>
              </w:rPr>
              <w:fldChar w:fldCharType="separate"/>
            </w:r>
            <w:r w:rsidR="004B171E">
              <w:rPr>
                <w:noProof/>
                <w:webHidden/>
              </w:rPr>
              <w:t>213</w:t>
            </w:r>
            <w:r>
              <w:rPr>
                <w:noProof/>
                <w:webHidden/>
              </w:rPr>
              <w:fldChar w:fldCharType="end"/>
            </w:r>
          </w:hyperlink>
        </w:p>
        <w:p w14:paraId="1482CC58" w14:textId="7A16754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1" w:history="1">
            <w:r w:rsidRPr="008669B1">
              <w:rPr>
                <w:rStyle w:val="Hyperlink"/>
                <w:noProof/>
              </w:rPr>
              <w:t>6.7.</w:t>
            </w:r>
            <w:r>
              <w:rPr>
                <w:rFonts w:asciiTheme="minorHAnsi" w:eastAsiaTheme="minorEastAsia" w:hAnsiTheme="minorHAnsi" w:cstheme="minorBidi"/>
                <w:noProof/>
                <w:kern w:val="2"/>
                <w:sz w:val="24"/>
                <w14:ligatures w14:val="standardContextual"/>
              </w:rPr>
              <w:tab/>
            </w:r>
            <w:r w:rsidRPr="008669B1">
              <w:rPr>
                <w:rStyle w:val="Hyperlink"/>
                <w:noProof/>
              </w:rPr>
              <w:t>Multi-Purpose Service Program (MPSP)</w:t>
            </w:r>
            <w:r>
              <w:rPr>
                <w:noProof/>
                <w:webHidden/>
              </w:rPr>
              <w:tab/>
            </w:r>
            <w:r>
              <w:rPr>
                <w:noProof/>
                <w:webHidden/>
              </w:rPr>
              <w:fldChar w:fldCharType="begin"/>
            </w:r>
            <w:r>
              <w:rPr>
                <w:noProof/>
                <w:webHidden/>
              </w:rPr>
              <w:instrText xml:space="preserve"> PAGEREF _Toc233282461 \h </w:instrText>
            </w:r>
            <w:r>
              <w:rPr>
                <w:noProof/>
                <w:webHidden/>
              </w:rPr>
            </w:r>
            <w:r>
              <w:rPr>
                <w:noProof/>
                <w:webHidden/>
              </w:rPr>
              <w:fldChar w:fldCharType="separate"/>
            </w:r>
            <w:r w:rsidR="004B171E">
              <w:rPr>
                <w:noProof/>
                <w:webHidden/>
              </w:rPr>
              <w:t>215</w:t>
            </w:r>
            <w:r>
              <w:rPr>
                <w:noProof/>
                <w:webHidden/>
              </w:rPr>
              <w:fldChar w:fldCharType="end"/>
            </w:r>
          </w:hyperlink>
        </w:p>
        <w:p w14:paraId="78E5F9BF" w14:textId="28A35C8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2" w:history="1">
            <w:r w:rsidRPr="008669B1">
              <w:rPr>
                <w:rStyle w:val="Hyperlink"/>
                <w:noProof/>
              </w:rPr>
              <w:t>6.8.</w:t>
            </w:r>
            <w:r>
              <w:rPr>
                <w:rFonts w:asciiTheme="minorHAnsi" w:eastAsiaTheme="minorEastAsia" w:hAnsiTheme="minorHAnsi" w:cstheme="minorBidi"/>
                <w:noProof/>
                <w:kern w:val="2"/>
                <w:sz w:val="24"/>
                <w14:ligatures w14:val="standardContextual"/>
              </w:rPr>
              <w:tab/>
            </w:r>
            <w:r w:rsidRPr="008669B1">
              <w:rPr>
                <w:rStyle w:val="Hyperlink"/>
                <w:noProof/>
              </w:rPr>
              <w:t>Transition Care Program (TCP)</w:t>
            </w:r>
            <w:r>
              <w:rPr>
                <w:noProof/>
                <w:webHidden/>
              </w:rPr>
              <w:tab/>
            </w:r>
            <w:r>
              <w:rPr>
                <w:noProof/>
                <w:webHidden/>
              </w:rPr>
              <w:fldChar w:fldCharType="begin"/>
            </w:r>
            <w:r>
              <w:rPr>
                <w:noProof/>
                <w:webHidden/>
              </w:rPr>
              <w:instrText xml:space="preserve"> PAGEREF _Toc233282462 \h </w:instrText>
            </w:r>
            <w:r>
              <w:rPr>
                <w:noProof/>
                <w:webHidden/>
              </w:rPr>
            </w:r>
            <w:r>
              <w:rPr>
                <w:noProof/>
                <w:webHidden/>
              </w:rPr>
              <w:fldChar w:fldCharType="separate"/>
            </w:r>
            <w:r w:rsidR="004B171E">
              <w:rPr>
                <w:noProof/>
                <w:webHidden/>
              </w:rPr>
              <w:t>217</w:t>
            </w:r>
            <w:r>
              <w:rPr>
                <w:noProof/>
                <w:webHidden/>
              </w:rPr>
              <w:fldChar w:fldCharType="end"/>
            </w:r>
          </w:hyperlink>
        </w:p>
        <w:p w14:paraId="29AB13EB" w14:textId="3072AAE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3" w:history="1">
            <w:r w:rsidRPr="008669B1">
              <w:rPr>
                <w:rStyle w:val="Hyperlink"/>
                <w:noProof/>
              </w:rPr>
              <w:t>6.9.</w:t>
            </w:r>
            <w:r>
              <w:rPr>
                <w:rFonts w:asciiTheme="minorHAnsi" w:eastAsiaTheme="minorEastAsia" w:hAnsiTheme="minorHAnsi" w:cstheme="minorBidi"/>
                <w:noProof/>
                <w:kern w:val="2"/>
                <w:sz w:val="24"/>
                <w14:ligatures w14:val="standardContextual"/>
              </w:rPr>
              <w:tab/>
            </w:r>
            <w:r w:rsidRPr="008669B1">
              <w:rPr>
                <w:rStyle w:val="Hyperlink"/>
                <w:noProof/>
              </w:rPr>
              <w:t>Residential care</w:t>
            </w:r>
            <w:r>
              <w:rPr>
                <w:noProof/>
                <w:webHidden/>
              </w:rPr>
              <w:tab/>
            </w:r>
            <w:r>
              <w:rPr>
                <w:noProof/>
                <w:webHidden/>
              </w:rPr>
              <w:fldChar w:fldCharType="begin"/>
            </w:r>
            <w:r>
              <w:rPr>
                <w:noProof/>
                <w:webHidden/>
              </w:rPr>
              <w:instrText xml:space="preserve"> PAGEREF _Toc233282463 \h </w:instrText>
            </w:r>
            <w:r>
              <w:rPr>
                <w:noProof/>
                <w:webHidden/>
              </w:rPr>
            </w:r>
            <w:r>
              <w:rPr>
                <w:noProof/>
                <w:webHidden/>
              </w:rPr>
              <w:fldChar w:fldCharType="separate"/>
            </w:r>
            <w:r w:rsidR="004B171E">
              <w:rPr>
                <w:noProof/>
                <w:webHidden/>
              </w:rPr>
              <w:t>221</w:t>
            </w:r>
            <w:r>
              <w:rPr>
                <w:noProof/>
                <w:webHidden/>
              </w:rPr>
              <w:fldChar w:fldCharType="end"/>
            </w:r>
          </w:hyperlink>
        </w:p>
        <w:p w14:paraId="2327D7D8" w14:textId="385DD830"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64" w:history="1">
            <w:r w:rsidRPr="008669B1">
              <w:rPr>
                <w:rStyle w:val="Hyperlink"/>
                <w:noProof/>
              </w:rPr>
              <w:t>6.10.</w:t>
            </w:r>
            <w:r>
              <w:rPr>
                <w:rFonts w:asciiTheme="minorHAnsi" w:eastAsiaTheme="minorEastAsia" w:hAnsiTheme="minorHAnsi" w:cstheme="minorBidi"/>
                <w:noProof/>
                <w:kern w:val="2"/>
                <w:sz w:val="24"/>
                <w14:ligatures w14:val="standardContextual"/>
              </w:rPr>
              <w:tab/>
            </w:r>
            <w:r w:rsidRPr="008669B1">
              <w:rPr>
                <w:rStyle w:val="Hyperlink"/>
                <w:noProof/>
              </w:rPr>
              <w:t>Residential respite care</w:t>
            </w:r>
            <w:r>
              <w:rPr>
                <w:noProof/>
                <w:webHidden/>
              </w:rPr>
              <w:tab/>
            </w:r>
            <w:r>
              <w:rPr>
                <w:noProof/>
                <w:webHidden/>
              </w:rPr>
              <w:fldChar w:fldCharType="begin"/>
            </w:r>
            <w:r>
              <w:rPr>
                <w:noProof/>
                <w:webHidden/>
              </w:rPr>
              <w:instrText xml:space="preserve"> PAGEREF _Toc233282464 \h </w:instrText>
            </w:r>
            <w:r>
              <w:rPr>
                <w:noProof/>
                <w:webHidden/>
              </w:rPr>
            </w:r>
            <w:r>
              <w:rPr>
                <w:noProof/>
                <w:webHidden/>
              </w:rPr>
              <w:fldChar w:fldCharType="separate"/>
            </w:r>
            <w:r w:rsidR="004B171E">
              <w:rPr>
                <w:noProof/>
                <w:webHidden/>
              </w:rPr>
              <w:t>228</w:t>
            </w:r>
            <w:r>
              <w:rPr>
                <w:noProof/>
                <w:webHidden/>
              </w:rPr>
              <w:fldChar w:fldCharType="end"/>
            </w:r>
          </w:hyperlink>
        </w:p>
        <w:p w14:paraId="4A903928" w14:textId="1A340E7B"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65" w:history="1">
            <w:r w:rsidRPr="008669B1">
              <w:rPr>
                <w:rStyle w:val="Hyperlink"/>
                <w:noProof/>
              </w:rPr>
              <w:t>6.11.</w:t>
            </w:r>
            <w:r>
              <w:rPr>
                <w:rFonts w:asciiTheme="minorHAnsi" w:eastAsiaTheme="minorEastAsia" w:hAnsiTheme="minorHAnsi" w:cstheme="minorBidi"/>
                <w:noProof/>
                <w:kern w:val="2"/>
                <w:sz w:val="24"/>
                <w14:ligatures w14:val="standardContextual"/>
              </w:rPr>
              <w:tab/>
            </w:r>
            <w:r w:rsidRPr="008669B1">
              <w:rPr>
                <w:rStyle w:val="Hyperlink"/>
                <w:noProof/>
              </w:rPr>
              <w:t>Other programs and supports</w:t>
            </w:r>
            <w:r>
              <w:rPr>
                <w:noProof/>
                <w:webHidden/>
              </w:rPr>
              <w:tab/>
            </w:r>
            <w:r>
              <w:rPr>
                <w:noProof/>
                <w:webHidden/>
              </w:rPr>
              <w:fldChar w:fldCharType="begin"/>
            </w:r>
            <w:r>
              <w:rPr>
                <w:noProof/>
                <w:webHidden/>
              </w:rPr>
              <w:instrText xml:space="preserve"> PAGEREF _Toc233282465 \h </w:instrText>
            </w:r>
            <w:r>
              <w:rPr>
                <w:noProof/>
                <w:webHidden/>
              </w:rPr>
            </w:r>
            <w:r>
              <w:rPr>
                <w:noProof/>
                <w:webHidden/>
              </w:rPr>
              <w:fldChar w:fldCharType="separate"/>
            </w:r>
            <w:r w:rsidR="004B171E">
              <w:rPr>
                <w:noProof/>
                <w:webHidden/>
              </w:rPr>
              <w:t>230</w:t>
            </w:r>
            <w:r>
              <w:rPr>
                <w:noProof/>
                <w:webHidden/>
              </w:rPr>
              <w:fldChar w:fldCharType="end"/>
            </w:r>
          </w:hyperlink>
        </w:p>
        <w:p w14:paraId="19ED9C82" w14:textId="0904F5AA"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66" w:history="1">
            <w:r w:rsidRPr="008669B1">
              <w:rPr>
                <w:rStyle w:val="Hyperlink"/>
                <w:noProof/>
              </w:rPr>
              <w:t>7.</w:t>
            </w:r>
            <w:r>
              <w:rPr>
                <w:rFonts w:asciiTheme="minorHAnsi" w:eastAsiaTheme="minorEastAsia" w:hAnsiTheme="minorHAnsi" w:cstheme="minorBidi"/>
                <w:noProof/>
                <w:kern w:val="2"/>
                <w:sz w:val="24"/>
                <w14:ligatures w14:val="standardContextual"/>
              </w:rPr>
              <w:tab/>
            </w:r>
            <w:r w:rsidRPr="008669B1">
              <w:rPr>
                <w:rStyle w:val="Hyperlink"/>
                <w:noProof/>
              </w:rPr>
              <w:t>Chapter 7: Delegations and approvals under the Act</w:t>
            </w:r>
            <w:r>
              <w:rPr>
                <w:noProof/>
                <w:webHidden/>
              </w:rPr>
              <w:tab/>
            </w:r>
            <w:r>
              <w:rPr>
                <w:noProof/>
                <w:webHidden/>
              </w:rPr>
              <w:fldChar w:fldCharType="begin"/>
            </w:r>
            <w:r>
              <w:rPr>
                <w:noProof/>
                <w:webHidden/>
              </w:rPr>
              <w:instrText xml:space="preserve"> PAGEREF _Toc233282466 \h </w:instrText>
            </w:r>
            <w:r>
              <w:rPr>
                <w:noProof/>
                <w:webHidden/>
              </w:rPr>
            </w:r>
            <w:r>
              <w:rPr>
                <w:noProof/>
                <w:webHidden/>
              </w:rPr>
              <w:fldChar w:fldCharType="separate"/>
            </w:r>
            <w:r w:rsidR="004B171E">
              <w:rPr>
                <w:noProof/>
                <w:webHidden/>
              </w:rPr>
              <w:t>240</w:t>
            </w:r>
            <w:r>
              <w:rPr>
                <w:noProof/>
                <w:webHidden/>
              </w:rPr>
              <w:fldChar w:fldCharType="end"/>
            </w:r>
          </w:hyperlink>
        </w:p>
        <w:p w14:paraId="4B99ED0F" w14:textId="2E80E1C7"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7" w:history="1">
            <w:r w:rsidRPr="008669B1">
              <w:rPr>
                <w:rStyle w:val="Hyperlink"/>
                <w:i/>
                <w:noProof/>
              </w:rPr>
              <w:t>7.1.</w:t>
            </w:r>
            <w:r>
              <w:rPr>
                <w:rFonts w:asciiTheme="minorHAnsi" w:eastAsiaTheme="minorEastAsia" w:hAnsiTheme="minorHAnsi" w:cstheme="minorBidi"/>
                <w:noProof/>
                <w:kern w:val="2"/>
                <w:sz w:val="24"/>
                <w14:ligatures w14:val="standardContextual"/>
              </w:rPr>
              <w:tab/>
            </w:r>
            <w:r w:rsidRPr="008669B1">
              <w:rPr>
                <w:rStyle w:val="Hyperlink"/>
                <w:noProof/>
              </w:rPr>
              <w:t xml:space="preserve">Delegation of powers and functions under the </w:t>
            </w:r>
            <w:r w:rsidRPr="008669B1">
              <w:rPr>
                <w:rStyle w:val="Hyperlink"/>
                <w:i/>
                <w:noProof/>
              </w:rPr>
              <w:t>Aged Care Act 2024</w:t>
            </w:r>
            <w:r>
              <w:rPr>
                <w:noProof/>
                <w:webHidden/>
              </w:rPr>
              <w:tab/>
            </w:r>
            <w:r>
              <w:rPr>
                <w:noProof/>
                <w:webHidden/>
              </w:rPr>
              <w:fldChar w:fldCharType="begin"/>
            </w:r>
            <w:r>
              <w:rPr>
                <w:noProof/>
                <w:webHidden/>
              </w:rPr>
              <w:instrText xml:space="preserve"> PAGEREF _Toc233282467 \h </w:instrText>
            </w:r>
            <w:r>
              <w:rPr>
                <w:noProof/>
                <w:webHidden/>
              </w:rPr>
            </w:r>
            <w:r>
              <w:rPr>
                <w:noProof/>
                <w:webHidden/>
              </w:rPr>
              <w:fldChar w:fldCharType="separate"/>
            </w:r>
            <w:r w:rsidR="004B171E">
              <w:rPr>
                <w:noProof/>
                <w:webHidden/>
              </w:rPr>
              <w:t>240</w:t>
            </w:r>
            <w:r>
              <w:rPr>
                <w:noProof/>
                <w:webHidden/>
              </w:rPr>
              <w:fldChar w:fldCharType="end"/>
            </w:r>
          </w:hyperlink>
        </w:p>
        <w:p w14:paraId="6B283D60" w14:textId="539C7ABC"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8" w:history="1">
            <w:r w:rsidRPr="008669B1">
              <w:rPr>
                <w:rStyle w:val="Hyperlink"/>
                <w:rFonts w:eastAsia="Yu Gothic Light"/>
                <w:noProof/>
              </w:rPr>
              <w:t>7.2.</w:t>
            </w:r>
            <w:r>
              <w:rPr>
                <w:rFonts w:asciiTheme="minorHAnsi" w:eastAsiaTheme="minorEastAsia" w:hAnsiTheme="minorHAnsi" w:cstheme="minorBidi"/>
                <w:noProof/>
                <w:kern w:val="2"/>
                <w:sz w:val="24"/>
                <w14:ligatures w14:val="standardContextual"/>
              </w:rPr>
              <w:tab/>
            </w:r>
            <w:r w:rsidRPr="008669B1">
              <w:rPr>
                <w:rStyle w:val="Hyperlink"/>
                <w:noProof/>
              </w:rPr>
              <w:t>Delegate responsibility</w:t>
            </w:r>
            <w:r>
              <w:rPr>
                <w:noProof/>
                <w:webHidden/>
              </w:rPr>
              <w:tab/>
            </w:r>
            <w:r>
              <w:rPr>
                <w:noProof/>
                <w:webHidden/>
              </w:rPr>
              <w:fldChar w:fldCharType="begin"/>
            </w:r>
            <w:r>
              <w:rPr>
                <w:noProof/>
                <w:webHidden/>
              </w:rPr>
              <w:instrText xml:space="preserve"> PAGEREF _Toc233282468 \h </w:instrText>
            </w:r>
            <w:r>
              <w:rPr>
                <w:noProof/>
                <w:webHidden/>
              </w:rPr>
            </w:r>
            <w:r>
              <w:rPr>
                <w:noProof/>
                <w:webHidden/>
              </w:rPr>
              <w:fldChar w:fldCharType="separate"/>
            </w:r>
            <w:r w:rsidR="004B171E">
              <w:rPr>
                <w:noProof/>
                <w:webHidden/>
              </w:rPr>
              <w:t>240</w:t>
            </w:r>
            <w:r>
              <w:rPr>
                <w:noProof/>
                <w:webHidden/>
              </w:rPr>
              <w:fldChar w:fldCharType="end"/>
            </w:r>
          </w:hyperlink>
        </w:p>
        <w:p w14:paraId="01C77F6B" w14:textId="437FF4BB"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69" w:history="1">
            <w:r w:rsidRPr="008669B1">
              <w:rPr>
                <w:rStyle w:val="Hyperlink"/>
                <w:rFonts w:eastAsia="Yu Gothic Light"/>
                <w:noProof/>
              </w:rPr>
              <w:t>7.3.</w:t>
            </w:r>
            <w:r>
              <w:rPr>
                <w:rFonts w:asciiTheme="minorHAnsi" w:eastAsiaTheme="minorEastAsia" w:hAnsiTheme="minorHAnsi" w:cstheme="minorBidi"/>
                <w:noProof/>
                <w:kern w:val="2"/>
                <w:sz w:val="24"/>
                <w14:ligatures w14:val="standardContextual"/>
              </w:rPr>
              <w:tab/>
            </w:r>
            <w:r w:rsidRPr="008669B1">
              <w:rPr>
                <w:rStyle w:val="Hyperlink"/>
                <w:noProof/>
              </w:rPr>
              <w:t>Triage delegates</w:t>
            </w:r>
            <w:r>
              <w:rPr>
                <w:noProof/>
                <w:webHidden/>
              </w:rPr>
              <w:tab/>
            </w:r>
            <w:r>
              <w:rPr>
                <w:noProof/>
                <w:webHidden/>
              </w:rPr>
              <w:fldChar w:fldCharType="begin"/>
            </w:r>
            <w:r>
              <w:rPr>
                <w:noProof/>
                <w:webHidden/>
              </w:rPr>
              <w:instrText xml:space="preserve"> PAGEREF _Toc233282469 \h </w:instrText>
            </w:r>
            <w:r>
              <w:rPr>
                <w:noProof/>
                <w:webHidden/>
              </w:rPr>
            </w:r>
            <w:r>
              <w:rPr>
                <w:noProof/>
                <w:webHidden/>
              </w:rPr>
              <w:fldChar w:fldCharType="separate"/>
            </w:r>
            <w:r w:rsidR="004B171E">
              <w:rPr>
                <w:noProof/>
                <w:webHidden/>
              </w:rPr>
              <w:t>242</w:t>
            </w:r>
            <w:r>
              <w:rPr>
                <w:noProof/>
                <w:webHidden/>
              </w:rPr>
              <w:fldChar w:fldCharType="end"/>
            </w:r>
          </w:hyperlink>
        </w:p>
        <w:p w14:paraId="5D6FE2F1" w14:textId="0AC3EB1C"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0" w:history="1">
            <w:r w:rsidRPr="008669B1">
              <w:rPr>
                <w:rStyle w:val="Hyperlink"/>
                <w:rFonts w:eastAsia="Yu Gothic Light"/>
                <w:noProof/>
              </w:rPr>
              <w:t>7.4.</w:t>
            </w:r>
            <w:r>
              <w:rPr>
                <w:rFonts w:asciiTheme="minorHAnsi" w:eastAsiaTheme="minorEastAsia" w:hAnsiTheme="minorHAnsi" w:cstheme="minorBidi"/>
                <w:noProof/>
                <w:kern w:val="2"/>
                <w:sz w:val="24"/>
                <w14:ligatures w14:val="standardContextual"/>
              </w:rPr>
              <w:tab/>
            </w:r>
            <w:r w:rsidRPr="008669B1">
              <w:rPr>
                <w:rStyle w:val="Hyperlink"/>
                <w:noProof/>
              </w:rPr>
              <w:t>Assessment delegates</w:t>
            </w:r>
            <w:r>
              <w:rPr>
                <w:noProof/>
                <w:webHidden/>
              </w:rPr>
              <w:tab/>
            </w:r>
            <w:r>
              <w:rPr>
                <w:noProof/>
                <w:webHidden/>
              </w:rPr>
              <w:fldChar w:fldCharType="begin"/>
            </w:r>
            <w:r>
              <w:rPr>
                <w:noProof/>
                <w:webHidden/>
              </w:rPr>
              <w:instrText xml:space="preserve"> PAGEREF _Toc233282470 \h </w:instrText>
            </w:r>
            <w:r>
              <w:rPr>
                <w:noProof/>
                <w:webHidden/>
              </w:rPr>
            </w:r>
            <w:r>
              <w:rPr>
                <w:noProof/>
                <w:webHidden/>
              </w:rPr>
              <w:fldChar w:fldCharType="separate"/>
            </w:r>
            <w:r w:rsidR="004B171E">
              <w:rPr>
                <w:noProof/>
                <w:webHidden/>
              </w:rPr>
              <w:t>242</w:t>
            </w:r>
            <w:r>
              <w:rPr>
                <w:noProof/>
                <w:webHidden/>
              </w:rPr>
              <w:fldChar w:fldCharType="end"/>
            </w:r>
          </w:hyperlink>
        </w:p>
        <w:p w14:paraId="286224CD" w14:textId="5DC1FB2F"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1" w:history="1">
            <w:r w:rsidRPr="008669B1">
              <w:rPr>
                <w:rStyle w:val="Hyperlink"/>
                <w:noProof/>
              </w:rPr>
              <w:t>7.5.</w:t>
            </w:r>
            <w:r>
              <w:rPr>
                <w:rFonts w:asciiTheme="minorHAnsi" w:eastAsiaTheme="minorEastAsia" w:hAnsiTheme="minorHAnsi" w:cstheme="minorBidi"/>
                <w:noProof/>
                <w:kern w:val="2"/>
                <w:sz w:val="24"/>
                <w14:ligatures w14:val="standardContextual"/>
              </w:rPr>
              <w:tab/>
            </w:r>
            <w:r w:rsidRPr="008669B1">
              <w:rPr>
                <w:rStyle w:val="Hyperlink"/>
                <w:noProof/>
              </w:rPr>
              <w:t xml:space="preserve">Overview of approvals under the </w:t>
            </w:r>
            <w:r w:rsidRPr="008669B1">
              <w:rPr>
                <w:rStyle w:val="Hyperlink"/>
                <w:i/>
                <w:iCs/>
                <w:noProof/>
              </w:rPr>
              <w:t>Aged Care Act 2024</w:t>
            </w:r>
            <w:r>
              <w:rPr>
                <w:noProof/>
                <w:webHidden/>
              </w:rPr>
              <w:tab/>
            </w:r>
            <w:r>
              <w:rPr>
                <w:noProof/>
                <w:webHidden/>
              </w:rPr>
              <w:fldChar w:fldCharType="begin"/>
            </w:r>
            <w:r>
              <w:rPr>
                <w:noProof/>
                <w:webHidden/>
              </w:rPr>
              <w:instrText xml:space="preserve"> PAGEREF _Toc233282471 \h </w:instrText>
            </w:r>
            <w:r>
              <w:rPr>
                <w:noProof/>
                <w:webHidden/>
              </w:rPr>
            </w:r>
            <w:r>
              <w:rPr>
                <w:noProof/>
                <w:webHidden/>
              </w:rPr>
              <w:fldChar w:fldCharType="separate"/>
            </w:r>
            <w:r w:rsidR="004B171E">
              <w:rPr>
                <w:noProof/>
                <w:webHidden/>
              </w:rPr>
              <w:t>243</w:t>
            </w:r>
            <w:r>
              <w:rPr>
                <w:noProof/>
                <w:webHidden/>
              </w:rPr>
              <w:fldChar w:fldCharType="end"/>
            </w:r>
          </w:hyperlink>
        </w:p>
        <w:p w14:paraId="582A9082" w14:textId="0159E198"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2" w:history="1">
            <w:r w:rsidRPr="008669B1">
              <w:rPr>
                <w:rStyle w:val="Hyperlink"/>
                <w:i/>
                <w:iCs/>
                <w:noProof/>
              </w:rPr>
              <w:t>7.6.</w:t>
            </w:r>
            <w:r>
              <w:rPr>
                <w:rFonts w:asciiTheme="minorHAnsi" w:eastAsiaTheme="minorEastAsia" w:hAnsiTheme="minorHAnsi" w:cstheme="minorBidi"/>
                <w:noProof/>
                <w:kern w:val="2"/>
                <w:sz w:val="24"/>
                <w14:ligatures w14:val="standardContextual"/>
              </w:rPr>
              <w:tab/>
            </w:r>
            <w:r w:rsidRPr="008669B1">
              <w:rPr>
                <w:rStyle w:val="Hyperlink"/>
                <w:noProof/>
              </w:rPr>
              <w:t xml:space="preserve">Delegate decisions under the </w:t>
            </w:r>
            <w:r w:rsidRPr="008669B1">
              <w:rPr>
                <w:rStyle w:val="Hyperlink"/>
                <w:i/>
                <w:iCs/>
                <w:noProof/>
              </w:rPr>
              <w:t>Aged Care Act 2024</w:t>
            </w:r>
            <w:r>
              <w:rPr>
                <w:noProof/>
                <w:webHidden/>
              </w:rPr>
              <w:tab/>
            </w:r>
            <w:r>
              <w:rPr>
                <w:noProof/>
                <w:webHidden/>
              </w:rPr>
              <w:fldChar w:fldCharType="begin"/>
            </w:r>
            <w:r>
              <w:rPr>
                <w:noProof/>
                <w:webHidden/>
              </w:rPr>
              <w:instrText xml:space="preserve"> PAGEREF _Toc233282472 \h </w:instrText>
            </w:r>
            <w:r>
              <w:rPr>
                <w:noProof/>
                <w:webHidden/>
              </w:rPr>
            </w:r>
            <w:r>
              <w:rPr>
                <w:noProof/>
                <w:webHidden/>
              </w:rPr>
              <w:fldChar w:fldCharType="separate"/>
            </w:r>
            <w:r w:rsidR="004B171E">
              <w:rPr>
                <w:noProof/>
                <w:webHidden/>
              </w:rPr>
              <w:t>244</w:t>
            </w:r>
            <w:r>
              <w:rPr>
                <w:noProof/>
                <w:webHidden/>
              </w:rPr>
              <w:fldChar w:fldCharType="end"/>
            </w:r>
          </w:hyperlink>
        </w:p>
        <w:p w14:paraId="73F6A25E" w14:textId="03098E09"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3" w:history="1">
            <w:r w:rsidRPr="008669B1">
              <w:rPr>
                <w:rStyle w:val="Hyperlink"/>
                <w:noProof/>
              </w:rPr>
              <w:t>7.7.</w:t>
            </w:r>
            <w:r>
              <w:rPr>
                <w:rFonts w:asciiTheme="minorHAnsi" w:eastAsiaTheme="minorEastAsia" w:hAnsiTheme="minorHAnsi" w:cstheme="minorBidi"/>
                <w:noProof/>
                <w:kern w:val="2"/>
                <w:sz w:val="24"/>
                <w14:ligatures w14:val="standardContextual"/>
              </w:rPr>
              <w:tab/>
            </w:r>
            <w:r w:rsidRPr="008669B1">
              <w:rPr>
                <w:rStyle w:val="Hyperlink"/>
                <w:noProof/>
              </w:rPr>
              <w:t>Approvals for service groups, classification types and classification levels</w:t>
            </w:r>
            <w:r>
              <w:rPr>
                <w:noProof/>
                <w:webHidden/>
              </w:rPr>
              <w:tab/>
            </w:r>
            <w:r>
              <w:rPr>
                <w:noProof/>
                <w:webHidden/>
              </w:rPr>
              <w:fldChar w:fldCharType="begin"/>
            </w:r>
            <w:r>
              <w:rPr>
                <w:noProof/>
                <w:webHidden/>
              </w:rPr>
              <w:instrText xml:space="preserve"> PAGEREF _Toc233282473 \h </w:instrText>
            </w:r>
            <w:r>
              <w:rPr>
                <w:noProof/>
                <w:webHidden/>
              </w:rPr>
            </w:r>
            <w:r>
              <w:rPr>
                <w:noProof/>
                <w:webHidden/>
              </w:rPr>
              <w:fldChar w:fldCharType="separate"/>
            </w:r>
            <w:r w:rsidR="004B171E">
              <w:rPr>
                <w:noProof/>
                <w:webHidden/>
              </w:rPr>
              <w:t>257</w:t>
            </w:r>
            <w:r>
              <w:rPr>
                <w:noProof/>
                <w:webHidden/>
              </w:rPr>
              <w:fldChar w:fldCharType="end"/>
            </w:r>
          </w:hyperlink>
        </w:p>
        <w:p w14:paraId="57BFD381" w14:textId="645FEDB8"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4" w:history="1">
            <w:r w:rsidRPr="008669B1">
              <w:rPr>
                <w:rStyle w:val="Hyperlink"/>
                <w:noProof/>
              </w:rPr>
              <w:t>7.8.</w:t>
            </w:r>
            <w:r>
              <w:rPr>
                <w:rFonts w:asciiTheme="minorHAnsi" w:eastAsiaTheme="minorEastAsia" w:hAnsiTheme="minorHAnsi" w:cstheme="minorBidi"/>
                <w:noProof/>
                <w:kern w:val="2"/>
                <w:sz w:val="24"/>
                <w14:ligatures w14:val="standardContextual"/>
              </w:rPr>
              <w:tab/>
            </w:r>
            <w:r w:rsidRPr="008669B1">
              <w:rPr>
                <w:rStyle w:val="Hyperlink"/>
                <w:noProof/>
              </w:rPr>
              <w:t>Approvals for service types and services</w:t>
            </w:r>
            <w:r>
              <w:rPr>
                <w:noProof/>
                <w:webHidden/>
              </w:rPr>
              <w:tab/>
            </w:r>
            <w:r>
              <w:rPr>
                <w:noProof/>
                <w:webHidden/>
              </w:rPr>
              <w:fldChar w:fldCharType="begin"/>
            </w:r>
            <w:r>
              <w:rPr>
                <w:noProof/>
                <w:webHidden/>
              </w:rPr>
              <w:instrText xml:space="preserve"> PAGEREF _Toc233282474 \h </w:instrText>
            </w:r>
            <w:r>
              <w:rPr>
                <w:noProof/>
                <w:webHidden/>
              </w:rPr>
            </w:r>
            <w:r>
              <w:rPr>
                <w:noProof/>
                <w:webHidden/>
              </w:rPr>
              <w:fldChar w:fldCharType="separate"/>
            </w:r>
            <w:r w:rsidR="004B171E">
              <w:rPr>
                <w:noProof/>
                <w:webHidden/>
              </w:rPr>
              <w:t>260</w:t>
            </w:r>
            <w:r>
              <w:rPr>
                <w:noProof/>
                <w:webHidden/>
              </w:rPr>
              <w:fldChar w:fldCharType="end"/>
            </w:r>
          </w:hyperlink>
        </w:p>
        <w:p w14:paraId="7521D04E" w14:textId="6F532349"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75" w:history="1">
            <w:r w:rsidRPr="008669B1">
              <w:rPr>
                <w:rStyle w:val="Hyperlink"/>
                <w:noProof/>
              </w:rPr>
              <w:t>7.9.</w:t>
            </w:r>
            <w:r>
              <w:rPr>
                <w:rFonts w:asciiTheme="minorHAnsi" w:eastAsiaTheme="minorEastAsia" w:hAnsiTheme="minorHAnsi" w:cstheme="minorBidi"/>
                <w:noProof/>
                <w:kern w:val="2"/>
                <w:sz w:val="24"/>
                <w14:ligatures w14:val="standardContextual"/>
              </w:rPr>
              <w:tab/>
            </w:r>
            <w:r w:rsidRPr="008669B1">
              <w:rPr>
                <w:rStyle w:val="Hyperlink"/>
                <w:noProof/>
              </w:rPr>
              <w:t>Approvals for priority categories</w:t>
            </w:r>
            <w:r>
              <w:rPr>
                <w:noProof/>
                <w:webHidden/>
              </w:rPr>
              <w:tab/>
            </w:r>
            <w:r>
              <w:rPr>
                <w:noProof/>
                <w:webHidden/>
              </w:rPr>
              <w:fldChar w:fldCharType="begin"/>
            </w:r>
            <w:r>
              <w:rPr>
                <w:noProof/>
                <w:webHidden/>
              </w:rPr>
              <w:instrText xml:space="preserve"> PAGEREF _Toc233282475 \h </w:instrText>
            </w:r>
            <w:r>
              <w:rPr>
                <w:noProof/>
                <w:webHidden/>
              </w:rPr>
            </w:r>
            <w:r>
              <w:rPr>
                <w:noProof/>
                <w:webHidden/>
              </w:rPr>
              <w:fldChar w:fldCharType="separate"/>
            </w:r>
            <w:r w:rsidR="004B171E">
              <w:rPr>
                <w:noProof/>
                <w:webHidden/>
              </w:rPr>
              <w:t>261</w:t>
            </w:r>
            <w:r>
              <w:rPr>
                <w:noProof/>
                <w:webHidden/>
              </w:rPr>
              <w:fldChar w:fldCharType="end"/>
            </w:r>
          </w:hyperlink>
        </w:p>
        <w:p w14:paraId="2D413560" w14:textId="6251074D"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76" w:history="1">
            <w:r w:rsidRPr="008669B1">
              <w:rPr>
                <w:rStyle w:val="Hyperlink"/>
                <w:noProof/>
              </w:rPr>
              <w:t>7.10.</w:t>
            </w:r>
            <w:r>
              <w:rPr>
                <w:rFonts w:asciiTheme="minorHAnsi" w:eastAsiaTheme="minorEastAsia" w:hAnsiTheme="minorHAnsi" w:cstheme="minorBidi"/>
                <w:noProof/>
                <w:kern w:val="2"/>
                <w:sz w:val="24"/>
                <w14:ligatures w14:val="standardContextual"/>
              </w:rPr>
              <w:tab/>
            </w:r>
            <w:r w:rsidRPr="008669B1">
              <w:rPr>
                <w:rStyle w:val="Hyperlink"/>
                <w:noProof/>
              </w:rPr>
              <w:t>Period of effect of approvals</w:t>
            </w:r>
            <w:r>
              <w:rPr>
                <w:noProof/>
                <w:webHidden/>
              </w:rPr>
              <w:tab/>
            </w:r>
            <w:r>
              <w:rPr>
                <w:noProof/>
                <w:webHidden/>
              </w:rPr>
              <w:fldChar w:fldCharType="begin"/>
            </w:r>
            <w:r>
              <w:rPr>
                <w:noProof/>
                <w:webHidden/>
              </w:rPr>
              <w:instrText xml:space="preserve"> PAGEREF _Toc233282476 \h </w:instrText>
            </w:r>
            <w:r>
              <w:rPr>
                <w:noProof/>
                <w:webHidden/>
              </w:rPr>
            </w:r>
            <w:r>
              <w:rPr>
                <w:noProof/>
                <w:webHidden/>
              </w:rPr>
              <w:fldChar w:fldCharType="separate"/>
            </w:r>
            <w:r w:rsidR="004B171E">
              <w:rPr>
                <w:noProof/>
                <w:webHidden/>
              </w:rPr>
              <w:t>264</w:t>
            </w:r>
            <w:r>
              <w:rPr>
                <w:noProof/>
                <w:webHidden/>
              </w:rPr>
              <w:fldChar w:fldCharType="end"/>
            </w:r>
          </w:hyperlink>
        </w:p>
        <w:p w14:paraId="39A9733A" w14:textId="501E80BD"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77" w:history="1">
            <w:r w:rsidRPr="008669B1">
              <w:rPr>
                <w:rStyle w:val="Hyperlink"/>
                <w:noProof/>
              </w:rPr>
              <w:t>7.11.</w:t>
            </w:r>
            <w:r>
              <w:rPr>
                <w:rFonts w:asciiTheme="minorHAnsi" w:eastAsiaTheme="minorEastAsia" w:hAnsiTheme="minorHAnsi" w:cstheme="minorBidi"/>
                <w:noProof/>
                <w:kern w:val="2"/>
                <w:sz w:val="24"/>
                <w14:ligatures w14:val="standardContextual"/>
              </w:rPr>
              <w:tab/>
            </w:r>
            <w:r w:rsidRPr="008669B1">
              <w:rPr>
                <w:rStyle w:val="Hyperlink"/>
                <w:noProof/>
              </w:rPr>
              <w:t>Reassessment of a classification level</w:t>
            </w:r>
            <w:r>
              <w:rPr>
                <w:noProof/>
                <w:webHidden/>
              </w:rPr>
              <w:tab/>
            </w:r>
            <w:r>
              <w:rPr>
                <w:noProof/>
                <w:webHidden/>
              </w:rPr>
              <w:fldChar w:fldCharType="begin"/>
            </w:r>
            <w:r>
              <w:rPr>
                <w:noProof/>
                <w:webHidden/>
              </w:rPr>
              <w:instrText xml:space="preserve"> PAGEREF _Toc233282477 \h </w:instrText>
            </w:r>
            <w:r>
              <w:rPr>
                <w:noProof/>
                <w:webHidden/>
              </w:rPr>
            </w:r>
            <w:r>
              <w:rPr>
                <w:noProof/>
                <w:webHidden/>
              </w:rPr>
              <w:fldChar w:fldCharType="separate"/>
            </w:r>
            <w:r w:rsidR="004B171E">
              <w:rPr>
                <w:noProof/>
                <w:webHidden/>
              </w:rPr>
              <w:t>265</w:t>
            </w:r>
            <w:r>
              <w:rPr>
                <w:noProof/>
                <w:webHidden/>
              </w:rPr>
              <w:fldChar w:fldCharType="end"/>
            </w:r>
          </w:hyperlink>
        </w:p>
        <w:p w14:paraId="34B63942" w14:textId="05AA32AA"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78" w:history="1">
            <w:r w:rsidRPr="008669B1">
              <w:rPr>
                <w:rStyle w:val="Hyperlink"/>
                <w:noProof/>
              </w:rPr>
              <w:t>7.12.</w:t>
            </w:r>
            <w:r>
              <w:rPr>
                <w:rFonts w:asciiTheme="minorHAnsi" w:eastAsiaTheme="minorEastAsia" w:hAnsiTheme="minorHAnsi" w:cstheme="minorBidi"/>
                <w:noProof/>
                <w:kern w:val="2"/>
                <w:sz w:val="24"/>
                <w14:ligatures w14:val="standardContextual"/>
              </w:rPr>
              <w:tab/>
            </w:r>
            <w:r w:rsidRPr="008669B1">
              <w:rPr>
                <w:rStyle w:val="Hyperlink"/>
                <w:noProof/>
              </w:rPr>
              <w:t>Summary of assessment delegate responsibilities under the Act</w:t>
            </w:r>
            <w:r>
              <w:rPr>
                <w:noProof/>
                <w:webHidden/>
              </w:rPr>
              <w:tab/>
            </w:r>
            <w:r>
              <w:rPr>
                <w:noProof/>
                <w:webHidden/>
              </w:rPr>
              <w:fldChar w:fldCharType="begin"/>
            </w:r>
            <w:r>
              <w:rPr>
                <w:noProof/>
                <w:webHidden/>
              </w:rPr>
              <w:instrText xml:space="preserve"> PAGEREF _Toc233282478 \h </w:instrText>
            </w:r>
            <w:r>
              <w:rPr>
                <w:noProof/>
                <w:webHidden/>
              </w:rPr>
            </w:r>
            <w:r>
              <w:rPr>
                <w:noProof/>
                <w:webHidden/>
              </w:rPr>
              <w:fldChar w:fldCharType="separate"/>
            </w:r>
            <w:r w:rsidR="004B171E">
              <w:rPr>
                <w:noProof/>
                <w:webHidden/>
              </w:rPr>
              <w:t>267</w:t>
            </w:r>
            <w:r>
              <w:rPr>
                <w:noProof/>
                <w:webHidden/>
              </w:rPr>
              <w:fldChar w:fldCharType="end"/>
            </w:r>
          </w:hyperlink>
        </w:p>
        <w:p w14:paraId="4DBF73DD" w14:textId="07562B31"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79" w:history="1">
            <w:r w:rsidRPr="008669B1">
              <w:rPr>
                <w:rStyle w:val="Hyperlink"/>
                <w:noProof/>
              </w:rPr>
              <w:t>8.</w:t>
            </w:r>
            <w:r>
              <w:rPr>
                <w:rFonts w:asciiTheme="minorHAnsi" w:eastAsiaTheme="minorEastAsia" w:hAnsiTheme="minorHAnsi" w:cstheme="minorBidi"/>
                <w:noProof/>
                <w:kern w:val="2"/>
                <w:sz w:val="24"/>
                <w14:ligatures w14:val="standardContextual"/>
              </w:rPr>
              <w:tab/>
            </w:r>
            <w:r w:rsidRPr="008669B1">
              <w:rPr>
                <w:rStyle w:val="Hyperlink"/>
                <w:noProof/>
              </w:rPr>
              <w:t>Chapter 8: Delegate decisions in practice</w:t>
            </w:r>
            <w:r>
              <w:rPr>
                <w:noProof/>
                <w:webHidden/>
              </w:rPr>
              <w:tab/>
            </w:r>
            <w:r>
              <w:rPr>
                <w:noProof/>
                <w:webHidden/>
              </w:rPr>
              <w:fldChar w:fldCharType="begin"/>
            </w:r>
            <w:r>
              <w:rPr>
                <w:noProof/>
                <w:webHidden/>
              </w:rPr>
              <w:instrText xml:space="preserve"> PAGEREF _Toc233282479 \h </w:instrText>
            </w:r>
            <w:r>
              <w:rPr>
                <w:noProof/>
                <w:webHidden/>
              </w:rPr>
            </w:r>
            <w:r>
              <w:rPr>
                <w:noProof/>
                <w:webHidden/>
              </w:rPr>
              <w:fldChar w:fldCharType="separate"/>
            </w:r>
            <w:r w:rsidR="004B171E">
              <w:rPr>
                <w:noProof/>
                <w:webHidden/>
              </w:rPr>
              <w:t>271</w:t>
            </w:r>
            <w:r>
              <w:rPr>
                <w:noProof/>
                <w:webHidden/>
              </w:rPr>
              <w:fldChar w:fldCharType="end"/>
            </w:r>
          </w:hyperlink>
        </w:p>
        <w:p w14:paraId="44CCCBC9" w14:textId="615F6C57"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0" w:history="1">
            <w:r w:rsidRPr="008669B1">
              <w:rPr>
                <w:rStyle w:val="Hyperlink"/>
                <w:rFonts w:ascii="Aptos Display" w:hAnsi="Aptos Display"/>
                <w:noProof/>
              </w:rPr>
              <w:t>8.1.</w:t>
            </w:r>
            <w:r>
              <w:rPr>
                <w:rFonts w:asciiTheme="minorHAnsi" w:eastAsiaTheme="minorEastAsia" w:hAnsiTheme="minorHAnsi" w:cstheme="minorBidi"/>
                <w:noProof/>
                <w:kern w:val="2"/>
                <w:sz w:val="24"/>
                <w14:ligatures w14:val="standardContextual"/>
              </w:rPr>
              <w:tab/>
            </w:r>
            <w:r w:rsidRPr="008669B1">
              <w:rPr>
                <w:rStyle w:val="Hyperlink"/>
                <w:noProof/>
              </w:rPr>
              <w:t>Decision-making fundamentals</w:t>
            </w:r>
            <w:r>
              <w:rPr>
                <w:noProof/>
                <w:webHidden/>
              </w:rPr>
              <w:tab/>
            </w:r>
            <w:r>
              <w:rPr>
                <w:noProof/>
                <w:webHidden/>
              </w:rPr>
              <w:fldChar w:fldCharType="begin"/>
            </w:r>
            <w:r>
              <w:rPr>
                <w:noProof/>
                <w:webHidden/>
              </w:rPr>
              <w:instrText xml:space="preserve"> PAGEREF _Toc233282480 \h </w:instrText>
            </w:r>
            <w:r>
              <w:rPr>
                <w:noProof/>
                <w:webHidden/>
              </w:rPr>
            </w:r>
            <w:r>
              <w:rPr>
                <w:noProof/>
                <w:webHidden/>
              </w:rPr>
              <w:fldChar w:fldCharType="separate"/>
            </w:r>
            <w:r w:rsidR="004B171E">
              <w:rPr>
                <w:noProof/>
                <w:webHidden/>
              </w:rPr>
              <w:t>271</w:t>
            </w:r>
            <w:r>
              <w:rPr>
                <w:noProof/>
                <w:webHidden/>
              </w:rPr>
              <w:fldChar w:fldCharType="end"/>
            </w:r>
          </w:hyperlink>
        </w:p>
        <w:p w14:paraId="7FB2CA70" w14:textId="4A2EF86D"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1" w:history="1">
            <w:r w:rsidRPr="008669B1">
              <w:rPr>
                <w:rStyle w:val="Hyperlink"/>
                <w:noProof/>
              </w:rPr>
              <w:t>8.2.</w:t>
            </w:r>
            <w:r>
              <w:rPr>
                <w:rFonts w:asciiTheme="minorHAnsi" w:eastAsiaTheme="minorEastAsia" w:hAnsiTheme="minorHAnsi" w:cstheme="minorBidi"/>
                <w:noProof/>
                <w:kern w:val="2"/>
                <w:sz w:val="24"/>
                <w14:ligatures w14:val="standardContextual"/>
              </w:rPr>
              <w:tab/>
            </w:r>
            <w:r w:rsidRPr="008669B1">
              <w:rPr>
                <w:rStyle w:val="Hyperlink"/>
                <w:noProof/>
              </w:rPr>
              <w:t>Quality assurance</w:t>
            </w:r>
            <w:r>
              <w:rPr>
                <w:noProof/>
                <w:webHidden/>
              </w:rPr>
              <w:tab/>
            </w:r>
            <w:r>
              <w:rPr>
                <w:noProof/>
                <w:webHidden/>
              </w:rPr>
              <w:fldChar w:fldCharType="begin"/>
            </w:r>
            <w:r>
              <w:rPr>
                <w:noProof/>
                <w:webHidden/>
              </w:rPr>
              <w:instrText xml:space="preserve"> PAGEREF _Toc233282481 \h </w:instrText>
            </w:r>
            <w:r>
              <w:rPr>
                <w:noProof/>
                <w:webHidden/>
              </w:rPr>
            </w:r>
            <w:r>
              <w:rPr>
                <w:noProof/>
                <w:webHidden/>
              </w:rPr>
              <w:fldChar w:fldCharType="separate"/>
            </w:r>
            <w:r w:rsidR="004B171E">
              <w:rPr>
                <w:noProof/>
                <w:webHidden/>
              </w:rPr>
              <w:t>272</w:t>
            </w:r>
            <w:r>
              <w:rPr>
                <w:noProof/>
                <w:webHidden/>
              </w:rPr>
              <w:fldChar w:fldCharType="end"/>
            </w:r>
          </w:hyperlink>
        </w:p>
        <w:p w14:paraId="090D2486" w14:textId="3C2936B1"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2" w:history="1">
            <w:r w:rsidRPr="008669B1">
              <w:rPr>
                <w:rStyle w:val="Hyperlink"/>
                <w:noProof/>
              </w:rPr>
              <w:t>8.3.</w:t>
            </w:r>
            <w:r>
              <w:rPr>
                <w:rFonts w:asciiTheme="minorHAnsi" w:eastAsiaTheme="minorEastAsia" w:hAnsiTheme="minorHAnsi" w:cstheme="minorBidi"/>
                <w:noProof/>
                <w:kern w:val="2"/>
                <w:sz w:val="24"/>
                <w14:ligatures w14:val="standardContextual"/>
              </w:rPr>
              <w:tab/>
            </w:r>
            <w:r w:rsidRPr="008669B1">
              <w:rPr>
                <w:rStyle w:val="Hyperlink"/>
                <w:noProof/>
              </w:rPr>
              <w:t>Approving home support</w:t>
            </w:r>
            <w:r>
              <w:rPr>
                <w:noProof/>
                <w:webHidden/>
              </w:rPr>
              <w:tab/>
            </w:r>
            <w:r>
              <w:rPr>
                <w:noProof/>
                <w:webHidden/>
              </w:rPr>
              <w:fldChar w:fldCharType="begin"/>
            </w:r>
            <w:r>
              <w:rPr>
                <w:noProof/>
                <w:webHidden/>
              </w:rPr>
              <w:instrText xml:space="preserve"> PAGEREF _Toc233282482 \h </w:instrText>
            </w:r>
            <w:r>
              <w:rPr>
                <w:noProof/>
                <w:webHidden/>
              </w:rPr>
            </w:r>
            <w:r>
              <w:rPr>
                <w:noProof/>
                <w:webHidden/>
              </w:rPr>
              <w:fldChar w:fldCharType="separate"/>
            </w:r>
            <w:r w:rsidR="004B171E">
              <w:rPr>
                <w:noProof/>
                <w:webHidden/>
              </w:rPr>
              <w:t>281</w:t>
            </w:r>
            <w:r>
              <w:rPr>
                <w:noProof/>
                <w:webHidden/>
              </w:rPr>
              <w:fldChar w:fldCharType="end"/>
            </w:r>
          </w:hyperlink>
        </w:p>
        <w:p w14:paraId="583EE9A4" w14:textId="404D259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3" w:history="1">
            <w:r w:rsidRPr="008669B1">
              <w:rPr>
                <w:rStyle w:val="Hyperlink"/>
                <w:noProof/>
              </w:rPr>
              <w:t>8.4.</w:t>
            </w:r>
            <w:r>
              <w:rPr>
                <w:rFonts w:asciiTheme="minorHAnsi" w:eastAsiaTheme="minorEastAsia" w:hAnsiTheme="minorHAnsi" w:cstheme="minorBidi"/>
                <w:noProof/>
                <w:kern w:val="2"/>
                <w:sz w:val="24"/>
                <w14:ligatures w14:val="standardContextual"/>
              </w:rPr>
              <w:tab/>
            </w:r>
            <w:r w:rsidRPr="008669B1">
              <w:rPr>
                <w:rStyle w:val="Hyperlink"/>
                <w:noProof/>
              </w:rPr>
              <w:t>Approving Assistive Technology and Home Modifications under Support at Home</w:t>
            </w:r>
            <w:r>
              <w:rPr>
                <w:noProof/>
                <w:webHidden/>
              </w:rPr>
              <w:tab/>
            </w:r>
            <w:r>
              <w:rPr>
                <w:noProof/>
                <w:webHidden/>
              </w:rPr>
              <w:fldChar w:fldCharType="begin"/>
            </w:r>
            <w:r>
              <w:rPr>
                <w:noProof/>
                <w:webHidden/>
              </w:rPr>
              <w:instrText xml:space="preserve"> PAGEREF _Toc233282483 \h </w:instrText>
            </w:r>
            <w:r>
              <w:rPr>
                <w:noProof/>
                <w:webHidden/>
              </w:rPr>
            </w:r>
            <w:r>
              <w:rPr>
                <w:noProof/>
                <w:webHidden/>
              </w:rPr>
              <w:fldChar w:fldCharType="separate"/>
            </w:r>
            <w:r w:rsidR="004B171E">
              <w:rPr>
                <w:noProof/>
                <w:webHidden/>
              </w:rPr>
              <w:t>290</w:t>
            </w:r>
            <w:r>
              <w:rPr>
                <w:noProof/>
                <w:webHidden/>
              </w:rPr>
              <w:fldChar w:fldCharType="end"/>
            </w:r>
          </w:hyperlink>
        </w:p>
        <w:p w14:paraId="009624EE" w14:textId="6EE6523A"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4" w:history="1">
            <w:r w:rsidRPr="008669B1">
              <w:rPr>
                <w:rStyle w:val="Hyperlink"/>
                <w:noProof/>
              </w:rPr>
              <w:t>8.5.</w:t>
            </w:r>
            <w:r>
              <w:rPr>
                <w:rFonts w:asciiTheme="minorHAnsi" w:eastAsiaTheme="minorEastAsia" w:hAnsiTheme="minorHAnsi" w:cstheme="minorBidi"/>
                <w:noProof/>
                <w:kern w:val="2"/>
                <w:sz w:val="24"/>
                <w14:ligatures w14:val="standardContextual"/>
              </w:rPr>
              <w:tab/>
            </w:r>
            <w:r w:rsidRPr="008669B1">
              <w:rPr>
                <w:rStyle w:val="Hyperlink"/>
                <w:noProof/>
              </w:rPr>
              <w:t>Approving AT and HM under CHSP</w:t>
            </w:r>
            <w:r>
              <w:rPr>
                <w:noProof/>
                <w:webHidden/>
              </w:rPr>
              <w:tab/>
            </w:r>
            <w:r>
              <w:rPr>
                <w:noProof/>
                <w:webHidden/>
              </w:rPr>
              <w:fldChar w:fldCharType="begin"/>
            </w:r>
            <w:r>
              <w:rPr>
                <w:noProof/>
                <w:webHidden/>
              </w:rPr>
              <w:instrText xml:space="preserve"> PAGEREF _Toc233282484 \h </w:instrText>
            </w:r>
            <w:r>
              <w:rPr>
                <w:noProof/>
                <w:webHidden/>
              </w:rPr>
            </w:r>
            <w:r>
              <w:rPr>
                <w:noProof/>
                <w:webHidden/>
              </w:rPr>
              <w:fldChar w:fldCharType="separate"/>
            </w:r>
            <w:r w:rsidR="004B171E">
              <w:rPr>
                <w:noProof/>
                <w:webHidden/>
              </w:rPr>
              <w:t>296</w:t>
            </w:r>
            <w:r>
              <w:rPr>
                <w:noProof/>
                <w:webHidden/>
              </w:rPr>
              <w:fldChar w:fldCharType="end"/>
            </w:r>
          </w:hyperlink>
        </w:p>
        <w:p w14:paraId="1B13649A" w14:textId="738E15F8"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5" w:history="1">
            <w:r w:rsidRPr="008669B1">
              <w:rPr>
                <w:rStyle w:val="Hyperlink"/>
                <w:noProof/>
              </w:rPr>
              <w:t>8.6.</w:t>
            </w:r>
            <w:r>
              <w:rPr>
                <w:rFonts w:asciiTheme="minorHAnsi" w:eastAsiaTheme="minorEastAsia" w:hAnsiTheme="minorHAnsi" w:cstheme="minorBidi"/>
                <w:noProof/>
                <w:kern w:val="2"/>
                <w:sz w:val="24"/>
                <w14:ligatures w14:val="standardContextual"/>
              </w:rPr>
              <w:tab/>
            </w:r>
            <w:r w:rsidRPr="008669B1">
              <w:rPr>
                <w:rStyle w:val="Hyperlink"/>
                <w:noProof/>
              </w:rPr>
              <w:t>Approving permanent residential care</w:t>
            </w:r>
            <w:r>
              <w:rPr>
                <w:noProof/>
                <w:webHidden/>
              </w:rPr>
              <w:tab/>
            </w:r>
            <w:r>
              <w:rPr>
                <w:noProof/>
                <w:webHidden/>
              </w:rPr>
              <w:fldChar w:fldCharType="begin"/>
            </w:r>
            <w:r>
              <w:rPr>
                <w:noProof/>
                <w:webHidden/>
              </w:rPr>
              <w:instrText xml:space="preserve"> PAGEREF _Toc233282485 \h </w:instrText>
            </w:r>
            <w:r>
              <w:rPr>
                <w:noProof/>
                <w:webHidden/>
              </w:rPr>
            </w:r>
            <w:r>
              <w:rPr>
                <w:noProof/>
                <w:webHidden/>
              </w:rPr>
              <w:fldChar w:fldCharType="separate"/>
            </w:r>
            <w:r w:rsidR="004B171E">
              <w:rPr>
                <w:noProof/>
                <w:webHidden/>
              </w:rPr>
              <w:t>297</w:t>
            </w:r>
            <w:r>
              <w:rPr>
                <w:noProof/>
                <w:webHidden/>
              </w:rPr>
              <w:fldChar w:fldCharType="end"/>
            </w:r>
          </w:hyperlink>
        </w:p>
        <w:p w14:paraId="52072CE1" w14:textId="393E18B3"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6" w:history="1">
            <w:r w:rsidRPr="008669B1">
              <w:rPr>
                <w:rStyle w:val="Hyperlink"/>
                <w:noProof/>
              </w:rPr>
              <w:t>8.7.</w:t>
            </w:r>
            <w:r>
              <w:rPr>
                <w:rFonts w:asciiTheme="minorHAnsi" w:eastAsiaTheme="minorEastAsia" w:hAnsiTheme="minorHAnsi" w:cstheme="minorBidi"/>
                <w:noProof/>
                <w:kern w:val="2"/>
                <w:sz w:val="24"/>
                <w14:ligatures w14:val="standardContextual"/>
              </w:rPr>
              <w:tab/>
            </w:r>
            <w:r w:rsidRPr="008669B1">
              <w:rPr>
                <w:rStyle w:val="Hyperlink"/>
                <w:noProof/>
              </w:rPr>
              <w:t>Approving residential respite care</w:t>
            </w:r>
            <w:r>
              <w:rPr>
                <w:noProof/>
                <w:webHidden/>
              </w:rPr>
              <w:tab/>
            </w:r>
            <w:r>
              <w:rPr>
                <w:noProof/>
                <w:webHidden/>
              </w:rPr>
              <w:fldChar w:fldCharType="begin"/>
            </w:r>
            <w:r>
              <w:rPr>
                <w:noProof/>
                <w:webHidden/>
              </w:rPr>
              <w:instrText xml:space="preserve"> PAGEREF _Toc233282486 \h </w:instrText>
            </w:r>
            <w:r>
              <w:rPr>
                <w:noProof/>
                <w:webHidden/>
              </w:rPr>
            </w:r>
            <w:r>
              <w:rPr>
                <w:noProof/>
                <w:webHidden/>
              </w:rPr>
              <w:fldChar w:fldCharType="separate"/>
            </w:r>
            <w:r w:rsidR="004B171E">
              <w:rPr>
                <w:noProof/>
                <w:webHidden/>
              </w:rPr>
              <w:t>300</w:t>
            </w:r>
            <w:r>
              <w:rPr>
                <w:noProof/>
                <w:webHidden/>
              </w:rPr>
              <w:fldChar w:fldCharType="end"/>
            </w:r>
          </w:hyperlink>
        </w:p>
        <w:p w14:paraId="78519D46" w14:textId="0D00112E"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7" w:history="1">
            <w:r w:rsidRPr="008669B1">
              <w:rPr>
                <w:rStyle w:val="Hyperlink"/>
                <w:noProof/>
              </w:rPr>
              <w:t>8.8.</w:t>
            </w:r>
            <w:r>
              <w:rPr>
                <w:rFonts w:asciiTheme="minorHAnsi" w:eastAsiaTheme="minorEastAsia" w:hAnsiTheme="minorHAnsi" w:cstheme="minorBidi"/>
                <w:noProof/>
                <w:kern w:val="2"/>
                <w:sz w:val="24"/>
                <w14:ligatures w14:val="standardContextual"/>
              </w:rPr>
              <w:tab/>
            </w:r>
            <w:r w:rsidRPr="008669B1">
              <w:rPr>
                <w:rStyle w:val="Hyperlink"/>
                <w:noProof/>
              </w:rPr>
              <w:t>Approving transition care</w:t>
            </w:r>
            <w:r>
              <w:rPr>
                <w:noProof/>
                <w:webHidden/>
              </w:rPr>
              <w:tab/>
            </w:r>
            <w:r>
              <w:rPr>
                <w:noProof/>
                <w:webHidden/>
              </w:rPr>
              <w:fldChar w:fldCharType="begin"/>
            </w:r>
            <w:r>
              <w:rPr>
                <w:noProof/>
                <w:webHidden/>
              </w:rPr>
              <w:instrText xml:space="preserve"> PAGEREF _Toc233282487 \h </w:instrText>
            </w:r>
            <w:r>
              <w:rPr>
                <w:noProof/>
                <w:webHidden/>
              </w:rPr>
            </w:r>
            <w:r>
              <w:rPr>
                <w:noProof/>
                <w:webHidden/>
              </w:rPr>
              <w:fldChar w:fldCharType="separate"/>
            </w:r>
            <w:r w:rsidR="004B171E">
              <w:rPr>
                <w:noProof/>
                <w:webHidden/>
              </w:rPr>
              <w:t>302</w:t>
            </w:r>
            <w:r>
              <w:rPr>
                <w:noProof/>
                <w:webHidden/>
              </w:rPr>
              <w:fldChar w:fldCharType="end"/>
            </w:r>
          </w:hyperlink>
        </w:p>
        <w:p w14:paraId="6E0B6D61" w14:textId="48880930"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88" w:history="1">
            <w:r w:rsidRPr="008669B1">
              <w:rPr>
                <w:rStyle w:val="Hyperlink"/>
                <w:noProof/>
              </w:rPr>
              <w:t>8.9.</w:t>
            </w:r>
            <w:r>
              <w:rPr>
                <w:rFonts w:asciiTheme="minorHAnsi" w:eastAsiaTheme="minorEastAsia" w:hAnsiTheme="minorHAnsi" w:cstheme="minorBidi"/>
                <w:noProof/>
                <w:kern w:val="2"/>
                <w:sz w:val="24"/>
                <w14:ligatures w14:val="standardContextual"/>
              </w:rPr>
              <w:tab/>
            </w:r>
            <w:r w:rsidRPr="008669B1">
              <w:rPr>
                <w:rStyle w:val="Hyperlink"/>
                <w:noProof/>
              </w:rPr>
              <w:t>Other approvals and considerations</w:t>
            </w:r>
            <w:r>
              <w:rPr>
                <w:noProof/>
                <w:webHidden/>
              </w:rPr>
              <w:tab/>
            </w:r>
            <w:r>
              <w:rPr>
                <w:noProof/>
                <w:webHidden/>
              </w:rPr>
              <w:fldChar w:fldCharType="begin"/>
            </w:r>
            <w:r>
              <w:rPr>
                <w:noProof/>
                <w:webHidden/>
              </w:rPr>
              <w:instrText xml:space="preserve"> PAGEREF _Toc233282488 \h </w:instrText>
            </w:r>
            <w:r>
              <w:rPr>
                <w:noProof/>
                <w:webHidden/>
              </w:rPr>
            </w:r>
            <w:r>
              <w:rPr>
                <w:noProof/>
                <w:webHidden/>
              </w:rPr>
              <w:fldChar w:fldCharType="separate"/>
            </w:r>
            <w:r w:rsidR="004B171E">
              <w:rPr>
                <w:noProof/>
                <w:webHidden/>
              </w:rPr>
              <w:t>304</w:t>
            </w:r>
            <w:r>
              <w:rPr>
                <w:noProof/>
                <w:webHidden/>
              </w:rPr>
              <w:fldChar w:fldCharType="end"/>
            </w:r>
          </w:hyperlink>
        </w:p>
        <w:p w14:paraId="47701242" w14:textId="0652847E" w:rsidR="00483B5C" w:rsidRDefault="00483B5C">
          <w:pPr>
            <w:pStyle w:val="TOC1"/>
            <w:tabs>
              <w:tab w:val="left" w:pos="480"/>
              <w:tab w:val="right" w:leader="dot" w:pos="9016"/>
            </w:tabs>
            <w:rPr>
              <w:rFonts w:asciiTheme="minorHAnsi" w:eastAsiaTheme="minorEastAsia" w:hAnsiTheme="minorHAnsi" w:cstheme="minorBidi"/>
              <w:noProof/>
              <w:kern w:val="2"/>
              <w:sz w:val="24"/>
              <w14:ligatures w14:val="standardContextual"/>
            </w:rPr>
          </w:pPr>
          <w:hyperlink w:anchor="_Toc233282489" w:history="1">
            <w:r w:rsidRPr="008669B1">
              <w:rPr>
                <w:rStyle w:val="Hyperlink"/>
                <w:noProof/>
              </w:rPr>
              <w:t>9.</w:t>
            </w:r>
            <w:r>
              <w:rPr>
                <w:rFonts w:asciiTheme="minorHAnsi" w:eastAsiaTheme="minorEastAsia" w:hAnsiTheme="minorHAnsi" w:cstheme="minorBidi"/>
                <w:noProof/>
                <w:kern w:val="2"/>
                <w:sz w:val="24"/>
                <w14:ligatures w14:val="standardContextual"/>
              </w:rPr>
              <w:tab/>
            </w:r>
            <w:r w:rsidRPr="008669B1">
              <w:rPr>
                <w:rStyle w:val="Hyperlink"/>
                <w:noProof/>
              </w:rPr>
              <w:t>Chapter 9: Finalising the assessment and service referral</w:t>
            </w:r>
            <w:r>
              <w:rPr>
                <w:noProof/>
                <w:webHidden/>
              </w:rPr>
              <w:tab/>
            </w:r>
            <w:r>
              <w:rPr>
                <w:noProof/>
                <w:webHidden/>
              </w:rPr>
              <w:fldChar w:fldCharType="begin"/>
            </w:r>
            <w:r>
              <w:rPr>
                <w:noProof/>
                <w:webHidden/>
              </w:rPr>
              <w:instrText xml:space="preserve"> PAGEREF _Toc233282489 \h </w:instrText>
            </w:r>
            <w:r>
              <w:rPr>
                <w:noProof/>
                <w:webHidden/>
              </w:rPr>
            </w:r>
            <w:r>
              <w:rPr>
                <w:noProof/>
                <w:webHidden/>
              </w:rPr>
              <w:fldChar w:fldCharType="separate"/>
            </w:r>
            <w:r w:rsidR="004B171E">
              <w:rPr>
                <w:noProof/>
                <w:webHidden/>
              </w:rPr>
              <w:t>309</w:t>
            </w:r>
            <w:r>
              <w:rPr>
                <w:noProof/>
                <w:webHidden/>
              </w:rPr>
              <w:fldChar w:fldCharType="end"/>
            </w:r>
          </w:hyperlink>
        </w:p>
        <w:p w14:paraId="317936BC" w14:textId="019828B2"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90" w:history="1">
            <w:r w:rsidRPr="008669B1">
              <w:rPr>
                <w:rStyle w:val="Hyperlink"/>
                <w:noProof/>
              </w:rPr>
              <w:t>9.1.</w:t>
            </w:r>
            <w:r>
              <w:rPr>
                <w:rFonts w:asciiTheme="minorHAnsi" w:eastAsiaTheme="minorEastAsia" w:hAnsiTheme="minorHAnsi" w:cstheme="minorBidi"/>
                <w:noProof/>
                <w:kern w:val="2"/>
                <w:sz w:val="24"/>
                <w14:ligatures w14:val="standardContextual"/>
              </w:rPr>
              <w:tab/>
            </w:r>
            <w:r w:rsidRPr="008669B1">
              <w:rPr>
                <w:rStyle w:val="Hyperlink"/>
                <w:noProof/>
              </w:rPr>
              <w:t>Overview of assessment finalisation</w:t>
            </w:r>
            <w:r>
              <w:rPr>
                <w:noProof/>
                <w:webHidden/>
              </w:rPr>
              <w:tab/>
            </w:r>
            <w:r>
              <w:rPr>
                <w:noProof/>
                <w:webHidden/>
              </w:rPr>
              <w:fldChar w:fldCharType="begin"/>
            </w:r>
            <w:r>
              <w:rPr>
                <w:noProof/>
                <w:webHidden/>
              </w:rPr>
              <w:instrText xml:space="preserve"> PAGEREF _Toc233282490 \h </w:instrText>
            </w:r>
            <w:r>
              <w:rPr>
                <w:noProof/>
                <w:webHidden/>
              </w:rPr>
            </w:r>
            <w:r>
              <w:rPr>
                <w:noProof/>
                <w:webHidden/>
              </w:rPr>
              <w:fldChar w:fldCharType="separate"/>
            </w:r>
            <w:r w:rsidR="004B171E">
              <w:rPr>
                <w:noProof/>
                <w:webHidden/>
              </w:rPr>
              <w:t>309</w:t>
            </w:r>
            <w:r>
              <w:rPr>
                <w:noProof/>
                <w:webHidden/>
              </w:rPr>
              <w:fldChar w:fldCharType="end"/>
            </w:r>
          </w:hyperlink>
        </w:p>
        <w:p w14:paraId="12358C16" w14:textId="3FEA0FE1"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91" w:history="1">
            <w:r w:rsidRPr="008669B1">
              <w:rPr>
                <w:rStyle w:val="Hyperlink"/>
                <w:noProof/>
              </w:rPr>
              <w:t>9.2.</w:t>
            </w:r>
            <w:r>
              <w:rPr>
                <w:rFonts w:asciiTheme="minorHAnsi" w:eastAsiaTheme="minorEastAsia" w:hAnsiTheme="minorHAnsi" w:cstheme="minorBidi"/>
                <w:noProof/>
                <w:kern w:val="2"/>
                <w:sz w:val="24"/>
                <w14:ligatures w14:val="standardContextual"/>
              </w:rPr>
              <w:tab/>
            </w:r>
            <w:r w:rsidRPr="008669B1">
              <w:rPr>
                <w:rStyle w:val="Hyperlink"/>
                <w:noProof/>
              </w:rPr>
              <w:t>Setting the access approval date of effect (‘delegation date’)</w:t>
            </w:r>
            <w:r>
              <w:rPr>
                <w:noProof/>
                <w:webHidden/>
              </w:rPr>
              <w:tab/>
            </w:r>
            <w:r>
              <w:rPr>
                <w:noProof/>
                <w:webHidden/>
              </w:rPr>
              <w:fldChar w:fldCharType="begin"/>
            </w:r>
            <w:r>
              <w:rPr>
                <w:noProof/>
                <w:webHidden/>
              </w:rPr>
              <w:instrText xml:space="preserve"> PAGEREF _Toc233282491 \h </w:instrText>
            </w:r>
            <w:r>
              <w:rPr>
                <w:noProof/>
                <w:webHidden/>
              </w:rPr>
            </w:r>
            <w:r>
              <w:rPr>
                <w:noProof/>
                <w:webHidden/>
              </w:rPr>
              <w:fldChar w:fldCharType="separate"/>
            </w:r>
            <w:r w:rsidR="004B171E">
              <w:rPr>
                <w:noProof/>
                <w:webHidden/>
              </w:rPr>
              <w:t>310</w:t>
            </w:r>
            <w:r>
              <w:rPr>
                <w:noProof/>
                <w:webHidden/>
              </w:rPr>
              <w:fldChar w:fldCharType="end"/>
            </w:r>
          </w:hyperlink>
        </w:p>
        <w:p w14:paraId="2B4BEDE7" w14:textId="110AB7D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92" w:history="1">
            <w:r w:rsidRPr="008669B1">
              <w:rPr>
                <w:rStyle w:val="Hyperlink"/>
                <w:noProof/>
              </w:rPr>
              <w:t>9.3.</w:t>
            </w:r>
            <w:r>
              <w:rPr>
                <w:rFonts w:asciiTheme="minorHAnsi" w:eastAsiaTheme="minorEastAsia" w:hAnsiTheme="minorHAnsi" w:cstheme="minorBidi"/>
                <w:noProof/>
                <w:kern w:val="2"/>
                <w:sz w:val="24"/>
                <w14:ligatures w14:val="standardContextual"/>
              </w:rPr>
              <w:tab/>
            </w:r>
            <w:r w:rsidRPr="008669B1">
              <w:rPr>
                <w:rStyle w:val="Hyperlink"/>
                <w:noProof/>
              </w:rPr>
              <w:t>Recording and communicating the assessment outcome</w:t>
            </w:r>
            <w:r>
              <w:rPr>
                <w:noProof/>
                <w:webHidden/>
              </w:rPr>
              <w:tab/>
            </w:r>
            <w:r>
              <w:rPr>
                <w:noProof/>
                <w:webHidden/>
              </w:rPr>
              <w:fldChar w:fldCharType="begin"/>
            </w:r>
            <w:r>
              <w:rPr>
                <w:noProof/>
                <w:webHidden/>
              </w:rPr>
              <w:instrText xml:space="preserve"> PAGEREF _Toc233282492 \h </w:instrText>
            </w:r>
            <w:r>
              <w:rPr>
                <w:noProof/>
                <w:webHidden/>
              </w:rPr>
            </w:r>
            <w:r>
              <w:rPr>
                <w:noProof/>
                <w:webHidden/>
              </w:rPr>
              <w:fldChar w:fldCharType="separate"/>
            </w:r>
            <w:r w:rsidR="004B171E">
              <w:rPr>
                <w:noProof/>
                <w:webHidden/>
              </w:rPr>
              <w:t>310</w:t>
            </w:r>
            <w:r>
              <w:rPr>
                <w:noProof/>
                <w:webHidden/>
              </w:rPr>
              <w:fldChar w:fldCharType="end"/>
            </w:r>
          </w:hyperlink>
        </w:p>
        <w:p w14:paraId="1AF27C74" w14:textId="76CA4B98"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93" w:history="1">
            <w:r w:rsidRPr="008669B1">
              <w:rPr>
                <w:rStyle w:val="Hyperlink"/>
                <w:noProof/>
              </w:rPr>
              <w:t>9.4.</w:t>
            </w:r>
            <w:r>
              <w:rPr>
                <w:rFonts w:asciiTheme="minorHAnsi" w:eastAsiaTheme="minorEastAsia" w:hAnsiTheme="minorHAnsi" w:cstheme="minorBidi"/>
                <w:noProof/>
                <w:kern w:val="2"/>
                <w:sz w:val="24"/>
                <w14:ligatures w14:val="standardContextual"/>
              </w:rPr>
              <w:tab/>
            </w:r>
            <w:r w:rsidRPr="008669B1">
              <w:rPr>
                <w:rStyle w:val="Hyperlink"/>
                <w:noProof/>
              </w:rPr>
              <w:t>Referral and support for service access</w:t>
            </w:r>
            <w:r>
              <w:rPr>
                <w:noProof/>
                <w:webHidden/>
              </w:rPr>
              <w:tab/>
            </w:r>
            <w:r>
              <w:rPr>
                <w:noProof/>
                <w:webHidden/>
              </w:rPr>
              <w:fldChar w:fldCharType="begin"/>
            </w:r>
            <w:r>
              <w:rPr>
                <w:noProof/>
                <w:webHidden/>
              </w:rPr>
              <w:instrText xml:space="preserve"> PAGEREF _Toc233282493 \h </w:instrText>
            </w:r>
            <w:r>
              <w:rPr>
                <w:noProof/>
                <w:webHidden/>
              </w:rPr>
            </w:r>
            <w:r>
              <w:rPr>
                <w:noProof/>
                <w:webHidden/>
              </w:rPr>
              <w:fldChar w:fldCharType="separate"/>
            </w:r>
            <w:r w:rsidR="004B171E">
              <w:rPr>
                <w:noProof/>
                <w:webHidden/>
              </w:rPr>
              <w:t>320</w:t>
            </w:r>
            <w:r>
              <w:rPr>
                <w:noProof/>
                <w:webHidden/>
              </w:rPr>
              <w:fldChar w:fldCharType="end"/>
            </w:r>
          </w:hyperlink>
        </w:p>
        <w:p w14:paraId="639D3732" w14:textId="586FFF46" w:rsidR="00483B5C" w:rsidRDefault="00483B5C">
          <w:pPr>
            <w:pStyle w:val="TOC2"/>
            <w:tabs>
              <w:tab w:val="left" w:pos="960"/>
              <w:tab w:val="right" w:leader="dot" w:pos="9016"/>
            </w:tabs>
            <w:rPr>
              <w:rFonts w:asciiTheme="minorHAnsi" w:eastAsiaTheme="minorEastAsia" w:hAnsiTheme="minorHAnsi" w:cstheme="minorBidi"/>
              <w:noProof/>
              <w:kern w:val="2"/>
              <w:sz w:val="24"/>
              <w14:ligatures w14:val="standardContextual"/>
            </w:rPr>
          </w:pPr>
          <w:hyperlink w:anchor="_Toc233282494" w:history="1">
            <w:r w:rsidRPr="008669B1">
              <w:rPr>
                <w:rStyle w:val="Hyperlink"/>
                <w:noProof/>
              </w:rPr>
              <w:t>9.5.</w:t>
            </w:r>
            <w:r>
              <w:rPr>
                <w:rFonts w:asciiTheme="minorHAnsi" w:eastAsiaTheme="minorEastAsia" w:hAnsiTheme="minorHAnsi" w:cstheme="minorBidi"/>
                <w:noProof/>
                <w:kern w:val="2"/>
                <w:sz w:val="24"/>
                <w14:ligatures w14:val="standardContextual"/>
              </w:rPr>
              <w:tab/>
            </w:r>
            <w:r w:rsidRPr="008669B1">
              <w:rPr>
                <w:rStyle w:val="Hyperlink"/>
                <w:noProof/>
              </w:rPr>
              <w:t>Corrections process</w:t>
            </w:r>
            <w:r>
              <w:rPr>
                <w:noProof/>
                <w:webHidden/>
              </w:rPr>
              <w:tab/>
            </w:r>
            <w:r>
              <w:rPr>
                <w:noProof/>
                <w:webHidden/>
              </w:rPr>
              <w:fldChar w:fldCharType="begin"/>
            </w:r>
            <w:r>
              <w:rPr>
                <w:noProof/>
                <w:webHidden/>
              </w:rPr>
              <w:instrText xml:space="preserve"> PAGEREF _Toc233282494 \h </w:instrText>
            </w:r>
            <w:r>
              <w:rPr>
                <w:noProof/>
                <w:webHidden/>
              </w:rPr>
            </w:r>
            <w:r>
              <w:rPr>
                <w:noProof/>
                <w:webHidden/>
              </w:rPr>
              <w:fldChar w:fldCharType="separate"/>
            </w:r>
            <w:r w:rsidR="004B171E">
              <w:rPr>
                <w:noProof/>
                <w:webHidden/>
              </w:rPr>
              <w:t>328</w:t>
            </w:r>
            <w:r>
              <w:rPr>
                <w:noProof/>
                <w:webHidden/>
              </w:rPr>
              <w:fldChar w:fldCharType="end"/>
            </w:r>
          </w:hyperlink>
        </w:p>
        <w:p w14:paraId="215B56D4" w14:textId="4DBBAC0D"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495" w:history="1">
            <w:r w:rsidRPr="008669B1">
              <w:rPr>
                <w:rStyle w:val="Hyperlink"/>
                <w:noProof/>
              </w:rPr>
              <w:t>10.</w:t>
            </w:r>
            <w:r>
              <w:rPr>
                <w:rFonts w:asciiTheme="minorHAnsi" w:eastAsiaTheme="minorEastAsia" w:hAnsiTheme="minorHAnsi" w:cstheme="minorBidi"/>
                <w:noProof/>
                <w:kern w:val="2"/>
                <w:sz w:val="24"/>
                <w14:ligatures w14:val="standardContextual"/>
              </w:rPr>
              <w:tab/>
            </w:r>
            <w:r w:rsidRPr="008669B1">
              <w:rPr>
                <w:rStyle w:val="Hyperlink"/>
                <w:noProof/>
              </w:rPr>
              <w:t>Chapter 10: Support plan reviews and reassessments</w:t>
            </w:r>
            <w:r>
              <w:rPr>
                <w:noProof/>
                <w:webHidden/>
              </w:rPr>
              <w:tab/>
            </w:r>
            <w:r>
              <w:rPr>
                <w:noProof/>
                <w:webHidden/>
              </w:rPr>
              <w:fldChar w:fldCharType="begin"/>
            </w:r>
            <w:r>
              <w:rPr>
                <w:noProof/>
                <w:webHidden/>
              </w:rPr>
              <w:instrText xml:space="preserve"> PAGEREF _Toc233282495 \h </w:instrText>
            </w:r>
            <w:r>
              <w:rPr>
                <w:noProof/>
                <w:webHidden/>
              </w:rPr>
            </w:r>
            <w:r>
              <w:rPr>
                <w:noProof/>
                <w:webHidden/>
              </w:rPr>
              <w:fldChar w:fldCharType="separate"/>
            </w:r>
            <w:r w:rsidR="004B171E">
              <w:rPr>
                <w:noProof/>
                <w:webHidden/>
              </w:rPr>
              <w:t>329</w:t>
            </w:r>
            <w:r>
              <w:rPr>
                <w:noProof/>
                <w:webHidden/>
              </w:rPr>
              <w:fldChar w:fldCharType="end"/>
            </w:r>
          </w:hyperlink>
        </w:p>
        <w:p w14:paraId="481EB870" w14:textId="0D542026"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96" w:history="1">
            <w:r w:rsidRPr="008669B1">
              <w:rPr>
                <w:rStyle w:val="Hyperlink"/>
                <w:noProof/>
              </w:rPr>
              <w:t>10.1.</w:t>
            </w:r>
            <w:r>
              <w:rPr>
                <w:rFonts w:asciiTheme="minorHAnsi" w:eastAsiaTheme="minorEastAsia" w:hAnsiTheme="minorHAnsi" w:cstheme="minorBidi"/>
                <w:noProof/>
                <w:kern w:val="2"/>
                <w:sz w:val="24"/>
                <w14:ligatures w14:val="standardContextual"/>
              </w:rPr>
              <w:tab/>
            </w:r>
            <w:r w:rsidRPr="008669B1">
              <w:rPr>
                <w:rStyle w:val="Hyperlink"/>
                <w:noProof/>
              </w:rPr>
              <w:t xml:space="preserve">Reassessments under the </w:t>
            </w:r>
            <w:r w:rsidRPr="008669B1">
              <w:rPr>
                <w:rStyle w:val="Hyperlink"/>
                <w:i/>
                <w:noProof/>
              </w:rPr>
              <w:t>Aged Care Act 2024</w:t>
            </w:r>
            <w:r>
              <w:rPr>
                <w:noProof/>
                <w:webHidden/>
              </w:rPr>
              <w:tab/>
            </w:r>
            <w:r>
              <w:rPr>
                <w:noProof/>
                <w:webHidden/>
              </w:rPr>
              <w:fldChar w:fldCharType="begin"/>
            </w:r>
            <w:r>
              <w:rPr>
                <w:noProof/>
                <w:webHidden/>
              </w:rPr>
              <w:instrText xml:space="preserve"> PAGEREF _Toc233282496 \h </w:instrText>
            </w:r>
            <w:r>
              <w:rPr>
                <w:noProof/>
                <w:webHidden/>
              </w:rPr>
            </w:r>
            <w:r>
              <w:rPr>
                <w:noProof/>
                <w:webHidden/>
              </w:rPr>
              <w:fldChar w:fldCharType="separate"/>
            </w:r>
            <w:r w:rsidR="004B171E">
              <w:rPr>
                <w:noProof/>
                <w:webHidden/>
              </w:rPr>
              <w:t>329</w:t>
            </w:r>
            <w:r>
              <w:rPr>
                <w:noProof/>
                <w:webHidden/>
              </w:rPr>
              <w:fldChar w:fldCharType="end"/>
            </w:r>
          </w:hyperlink>
        </w:p>
        <w:p w14:paraId="5D968E15" w14:textId="2148AC1C"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497" w:history="1">
            <w:r w:rsidRPr="008669B1">
              <w:rPr>
                <w:rStyle w:val="Hyperlink"/>
                <w:noProof/>
              </w:rPr>
              <w:t>11.</w:t>
            </w:r>
            <w:r>
              <w:rPr>
                <w:rFonts w:asciiTheme="minorHAnsi" w:eastAsiaTheme="minorEastAsia" w:hAnsiTheme="minorHAnsi" w:cstheme="minorBidi"/>
                <w:noProof/>
                <w:kern w:val="2"/>
                <w:sz w:val="24"/>
                <w14:ligatures w14:val="standardContextual"/>
              </w:rPr>
              <w:tab/>
            </w:r>
            <w:r w:rsidRPr="008669B1">
              <w:rPr>
                <w:rStyle w:val="Hyperlink"/>
                <w:noProof/>
              </w:rPr>
              <w:t>Chapter 11: Reviewable decisions, revoking eligibility or approval decisions and complaints</w:t>
            </w:r>
            <w:r>
              <w:rPr>
                <w:noProof/>
                <w:webHidden/>
              </w:rPr>
              <w:tab/>
            </w:r>
            <w:r>
              <w:rPr>
                <w:noProof/>
                <w:webHidden/>
              </w:rPr>
              <w:fldChar w:fldCharType="begin"/>
            </w:r>
            <w:r>
              <w:rPr>
                <w:noProof/>
                <w:webHidden/>
              </w:rPr>
              <w:instrText xml:space="preserve"> PAGEREF _Toc233282497 \h </w:instrText>
            </w:r>
            <w:r>
              <w:rPr>
                <w:noProof/>
                <w:webHidden/>
              </w:rPr>
            </w:r>
            <w:r>
              <w:rPr>
                <w:noProof/>
                <w:webHidden/>
              </w:rPr>
              <w:fldChar w:fldCharType="separate"/>
            </w:r>
            <w:r w:rsidR="004B171E">
              <w:rPr>
                <w:noProof/>
                <w:webHidden/>
              </w:rPr>
              <w:t>343</w:t>
            </w:r>
            <w:r>
              <w:rPr>
                <w:noProof/>
                <w:webHidden/>
              </w:rPr>
              <w:fldChar w:fldCharType="end"/>
            </w:r>
          </w:hyperlink>
        </w:p>
        <w:p w14:paraId="73D59CF5" w14:textId="13FDB92E"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98" w:history="1">
            <w:r w:rsidRPr="008669B1">
              <w:rPr>
                <w:rStyle w:val="Hyperlink"/>
                <w:noProof/>
              </w:rPr>
              <w:t>11.1.</w:t>
            </w:r>
            <w:r>
              <w:rPr>
                <w:rFonts w:asciiTheme="minorHAnsi" w:eastAsiaTheme="minorEastAsia" w:hAnsiTheme="minorHAnsi" w:cstheme="minorBidi"/>
                <w:noProof/>
                <w:kern w:val="2"/>
                <w:sz w:val="24"/>
                <w14:ligatures w14:val="standardContextual"/>
              </w:rPr>
              <w:tab/>
            </w:r>
            <w:r w:rsidRPr="008669B1">
              <w:rPr>
                <w:rStyle w:val="Hyperlink"/>
                <w:noProof/>
              </w:rPr>
              <w:t>Reviewable decisions</w:t>
            </w:r>
            <w:r>
              <w:rPr>
                <w:noProof/>
                <w:webHidden/>
              </w:rPr>
              <w:tab/>
            </w:r>
            <w:r>
              <w:rPr>
                <w:noProof/>
                <w:webHidden/>
              </w:rPr>
              <w:fldChar w:fldCharType="begin"/>
            </w:r>
            <w:r>
              <w:rPr>
                <w:noProof/>
                <w:webHidden/>
              </w:rPr>
              <w:instrText xml:space="preserve"> PAGEREF _Toc233282498 \h </w:instrText>
            </w:r>
            <w:r>
              <w:rPr>
                <w:noProof/>
                <w:webHidden/>
              </w:rPr>
            </w:r>
            <w:r>
              <w:rPr>
                <w:noProof/>
                <w:webHidden/>
              </w:rPr>
              <w:fldChar w:fldCharType="separate"/>
            </w:r>
            <w:r w:rsidR="004B171E">
              <w:rPr>
                <w:noProof/>
                <w:webHidden/>
              </w:rPr>
              <w:t>343</w:t>
            </w:r>
            <w:r>
              <w:rPr>
                <w:noProof/>
                <w:webHidden/>
              </w:rPr>
              <w:fldChar w:fldCharType="end"/>
            </w:r>
          </w:hyperlink>
        </w:p>
        <w:p w14:paraId="64F36155" w14:textId="664DE7EF"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499" w:history="1">
            <w:r w:rsidRPr="008669B1">
              <w:rPr>
                <w:rStyle w:val="Hyperlink"/>
                <w:noProof/>
              </w:rPr>
              <w:t>11.2.</w:t>
            </w:r>
            <w:r>
              <w:rPr>
                <w:rFonts w:asciiTheme="minorHAnsi" w:eastAsiaTheme="minorEastAsia" w:hAnsiTheme="minorHAnsi" w:cstheme="minorBidi"/>
                <w:noProof/>
                <w:kern w:val="2"/>
                <w:sz w:val="24"/>
                <w14:ligatures w14:val="standardContextual"/>
              </w:rPr>
              <w:tab/>
            </w:r>
            <w:r w:rsidRPr="008669B1">
              <w:rPr>
                <w:rStyle w:val="Hyperlink"/>
                <w:noProof/>
              </w:rPr>
              <w:t>Reconsiderations process</w:t>
            </w:r>
            <w:r>
              <w:rPr>
                <w:noProof/>
                <w:webHidden/>
              </w:rPr>
              <w:tab/>
            </w:r>
            <w:r>
              <w:rPr>
                <w:noProof/>
                <w:webHidden/>
              </w:rPr>
              <w:fldChar w:fldCharType="begin"/>
            </w:r>
            <w:r>
              <w:rPr>
                <w:noProof/>
                <w:webHidden/>
              </w:rPr>
              <w:instrText xml:space="preserve"> PAGEREF _Toc233282499 \h </w:instrText>
            </w:r>
            <w:r>
              <w:rPr>
                <w:noProof/>
                <w:webHidden/>
              </w:rPr>
            </w:r>
            <w:r>
              <w:rPr>
                <w:noProof/>
                <w:webHidden/>
              </w:rPr>
              <w:fldChar w:fldCharType="separate"/>
            </w:r>
            <w:r w:rsidR="004B171E">
              <w:rPr>
                <w:noProof/>
                <w:webHidden/>
              </w:rPr>
              <w:t>347</w:t>
            </w:r>
            <w:r>
              <w:rPr>
                <w:noProof/>
                <w:webHidden/>
              </w:rPr>
              <w:fldChar w:fldCharType="end"/>
            </w:r>
          </w:hyperlink>
        </w:p>
        <w:p w14:paraId="67E9DD4E" w14:textId="66189D2B"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0" w:history="1">
            <w:r w:rsidRPr="008669B1">
              <w:rPr>
                <w:rStyle w:val="Hyperlink"/>
                <w:noProof/>
              </w:rPr>
              <w:t>11.3.</w:t>
            </w:r>
            <w:r>
              <w:rPr>
                <w:rFonts w:asciiTheme="minorHAnsi" w:eastAsiaTheme="minorEastAsia" w:hAnsiTheme="minorHAnsi" w:cstheme="minorBidi"/>
                <w:noProof/>
                <w:kern w:val="2"/>
                <w:sz w:val="24"/>
                <w14:ligatures w14:val="standardContextual"/>
              </w:rPr>
              <w:tab/>
            </w:r>
            <w:r w:rsidRPr="008669B1">
              <w:rPr>
                <w:rStyle w:val="Hyperlink"/>
                <w:noProof/>
              </w:rPr>
              <w:t>Further avenues of review</w:t>
            </w:r>
            <w:r>
              <w:rPr>
                <w:noProof/>
                <w:webHidden/>
              </w:rPr>
              <w:tab/>
            </w:r>
            <w:r>
              <w:rPr>
                <w:noProof/>
                <w:webHidden/>
              </w:rPr>
              <w:fldChar w:fldCharType="begin"/>
            </w:r>
            <w:r>
              <w:rPr>
                <w:noProof/>
                <w:webHidden/>
              </w:rPr>
              <w:instrText xml:space="preserve"> PAGEREF _Toc233282500 \h </w:instrText>
            </w:r>
            <w:r>
              <w:rPr>
                <w:noProof/>
                <w:webHidden/>
              </w:rPr>
            </w:r>
            <w:r>
              <w:rPr>
                <w:noProof/>
                <w:webHidden/>
              </w:rPr>
              <w:fldChar w:fldCharType="separate"/>
            </w:r>
            <w:r w:rsidR="004B171E">
              <w:rPr>
                <w:noProof/>
                <w:webHidden/>
              </w:rPr>
              <w:t>350</w:t>
            </w:r>
            <w:r>
              <w:rPr>
                <w:noProof/>
                <w:webHidden/>
              </w:rPr>
              <w:fldChar w:fldCharType="end"/>
            </w:r>
          </w:hyperlink>
        </w:p>
        <w:p w14:paraId="11DBFAF7" w14:textId="484AEFD9"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1" w:history="1">
            <w:r w:rsidRPr="008669B1">
              <w:rPr>
                <w:rStyle w:val="Hyperlink"/>
                <w:noProof/>
              </w:rPr>
              <w:t>11.4.</w:t>
            </w:r>
            <w:r>
              <w:rPr>
                <w:rFonts w:asciiTheme="minorHAnsi" w:eastAsiaTheme="minorEastAsia" w:hAnsiTheme="minorHAnsi" w:cstheme="minorBidi"/>
                <w:noProof/>
                <w:kern w:val="2"/>
                <w:sz w:val="24"/>
                <w14:ligatures w14:val="standardContextual"/>
              </w:rPr>
              <w:tab/>
            </w:r>
            <w:r w:rsidRPr="008669B1">
              <w:rPr>
                <w:rStyle w:val="Hyperlink"/>
                <w:noProof/>
              </w:rPr>
              <w:t>Revocations</w:t>
            </w:r>
            <w:r>
              <w:rPr>
                <w:noProof/>
                <w:webHidden/>
              </w:rPr>
              <w:tab/>
            </w:r>
            <w:r>
              <w:rPr>
                <w:noProof/>
                <w:webHidden/>
              </w:rPr>
              <w:fldChar w:fldCharType="begin"/>
            </w:r>
            <w:r>
              <w:rPr>
                <w:noProof/>
                <w:webHidden/>
              </w:rPr>
              <w:instrText xml:space="preserve"> PAGEREF _Toc233282501 \h </w:instrText>
            </w:r>
            <w:r>
              <w:rPr>
                <w:noProof/>
                <w:webHidden/>
              </w:rPr>
            </w:r>
            <w:r>
              <w:rPr>
                <w:noProof/>
                <w:webHidden/>
              </w:rPr>
              <w:fldChar w:fldCharType="separate"/>
            </w:r>
            <w:r w:rsidR="004B171E">
              <w:rPr>
                <w:noProof/>
                <w:webHidden/>
              </w:rPr>
              <w:t>350</w:t>
            </w:r>
            <w:r>
              <w:rPr>
                <w:noProof/>
                <w:webHidden/>
              </w:rPr>
              <w:fldChar w:fldCharType="end"/>
            </w:r>
          </w:hyperlink>
        </w:p>
        <w:p w14:paraId="3F379259" w14:textId="1BB9325A"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2" w:history="1">
            <w:r w:rsidRPr="008669B1">
              <w:rPr>
                <w:rStyle w:val="Hyperlink"/>
                <w:noProof/>
              </w:rPr>
              <w:t>11.5.</w:t>
            </w:r>
            <w:r>
              <w:rPr>
                <w:rFonts w:asciiTheme="minorHAnsi" w:eastAsiaTheme="minorEastAsia" w:hAnsiTheme="minorHAnsi" w:cstheme="minorBidi"/>
                <w:noProof/>
                <w:kern w:val="2"/>
                <w:sz w:val="24"/>
                <w14:ligatures w14:val="standardContextual"/>
              </w:rPr>
              <w:tab/>
            </w:r>
            <w:r w:rsidRPr="008669B1">
              <w:rPr>
                <w:rStyle w:val="Hyperlink"/>
                <w:noProof/>
              </w:rPr>
              <w:t>Corrections process</w:t>
            </w:r>
            <w:r>
              <w:rPr>
                <w:noProof/>
                <w:webHidden/>
              </w:rPr>
              <w:tab/>
            </w:r>
            <w:r>
              <w:rPr>
                <w:noProof/>
                <w:webHidden/>
              </w:rPr>
              <w:fldChar w:fldCharType="begin"/>
            </w:r>
            <w:r>
              <w:rPr>
                <w:noProof/>
                <w:webHidden/>
              </w:rPr>
              <w:instrText xml:space="preserve"> PAGEREF _Toc233282502 \h </w:instrText>
            </w:r>
            <w:r>
              <w:rPr>
                <w:noProof/>
                <w:webHidden/>
              </w:rPr>
            </w:r>
            <w:r>
              <w:rPr>
                <w:noProof/>
                <w:webHidden/>
              </w:rPr>
              <w:fldChar w:fldCharType="separate"/>
            </w:r>
            <w:r w:rsidR="004B171E">
              <w:rPr>
                <w:noProof/>
                <w:webHidden/>
              </w:rPr>
              <w:t>352</w:t>
            </w:r>
            <w:r>
              <w:rPr>
                <w:noProof/>
                <w:webHidden/>
              </w:rPr>
              <w:fldChar w:fldCharType="end"/>
            </w:r>
          </w:hyperlink>
        </w:p>
        <w:p w14:paraId="51F63826" w14:textId="22B89F48"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3" w:history="1">
            <w:r w:rsidRPr="008669B1">
              <w:rPr>
                <w:rStyle w:val="Hyperlink"/>
                <w:noProof/>
              </w:rPr>
              <w:t>11.6.</w:t>
            </w:r>
            <w:r>
              <w:rPr>
                <w:rFonts w:asciiTheme="minorHAnsi" w:eastAsiaTheme="minorEastAsia" w:hAnsiTheme="minorHAnsi" w:cstheme="minorBidi"/>
                <w:noProof/>
                <w:kern w:val="2"/>
                <w:sz w:val="24"/>
                <w14:ligatures w14:val="standardContextual"/>
              </w:rPr>
              <w:tab/>
            </w:r>
            <w:r w:rsidRPr="008669B1">
              <w:rPr>
                <w:rStyle w:val="Hyperlink"/>
                <w:noProof/>
              </w:rPr>
              <w:t>Complaints</w:t>
            </w:r>
            <w:r>
              <w:rPr>
                <w:noProof/>
                <w:webHidden/>
              </w:rPr>
              <w:tab/>
            </w:r>
            <w:r>
              <w:rPr>
                <w:noProof/>
                <w:webHidden/>
              </w:rPr>
              <w:fldChar w:fldCharType="begin"/>
            </w:r>
            <w:r>
              <w:rPr>
                <w:noProof/>
                <w:webHidden/>
              </w:rPr>
              <w:instrText xml:space="preserve"> PAGEREF _Toc233282503 \h </w:instrText>
            </w:r>
            <w:r>
              <w:rPr>
                <w:noProof/>
                <w:webHidden/>
              </w:rPr>
            </w:r>
            <w:r>
              <w:rPr>
                <w:noProof/>
                <w:webHidden/>
              </w:rPr>
              <w:fldChar w:fldCharType="separate"/>
            </w:r>
            <w:r w:rsidR="004B171E">
              <w:rPr>
                <w:noProof/>
                <w:webHidden/>
              </w:rPr>
              <w:t>353</w:t>
            </w:r>
            <w:r>
              <w:rPr>
                <w:noProof/>
                <w:webHidden/>
              </w:rPr>
              <w:fldChar w:fldCharType="end"/>
            </w:r>
          </w:hyperlink>
        </w:p>
        <w:p w14:paraId="6DD4DF25" w14:textId="208D98C9"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04" w:history="1">
            <w:r w:rsidRPr="008669B1">
              <w:rPr>
                <w:rStyle w:val="Hyperlink"/>
                <w:noProof/>
              </w:rPr>
              <w:t>12.</w:t>
            </w:r>
            <w:r>
              <w:rPr>
                <w:rFonts w:asciiTheme="minorHAnsi" w:eastAsiaTheme="minorEastAsia" w:hAnsiTheme="minorHAnsi" w:cstheme="minorBidi"/>
                <w:noProof/>
                <w:kern w:val="2"/>
                <w:sz w:val="24"/>
                <w14:ligatures w14:val="standardContextual"/>
              </w:rPr>
              <w:tab/>
            </w:r>
            <w:r w:rsidRPr="008669B1">
              <w:rPr>
                <w:rStyle w:val="Hyperlink"/>
                <w:noProof/>
              </w:rPr>
              <w:t>Chapter 12: Supporting diverse experiences and needs</w:t>
            </w:r>
            <w:r>
              <w:rPr>
                <w:noProof/>
                <w:webHidden/>
              </w:rPr>
              <w:tab/>
            </w:r>
            <w:r>
              <w:rPr>
                <w:noProof/>
                <w:webHidden/>
              </w:rPr>
              <w:fldChar w:fldCharType="begin"/>
            </w:r>
            <w:r>
              <w:rPr>
                <w:noProof/>
                <w:webHidden/>
              </w:rPr>
              <w:instrText xml:space="preserve"> PAGEREF _Toc233282504 \h </w:instrText>
            </w:r>
            <w:r>
              <w:rPr>
                <w:noProof/>
                <w:webHidden/>
              </w:rPr>
            </w:r>
            <w:r>
              <w:rPr>
                <w:noProof/>
                <w:webHidden/>
              </w:rPr>
              <w:fldChar w:fldCharType="separate"/>
            </w:r>
            <w:r w:rsidR="004B171E">
              <w:rPr>
                <w:noProof/>
                <w:webHidden/>
              </w:rPr>
              <w:t>356</w:t>
            </w:r>
            <w:r>
              <w:rPr>
                <w:noProof/>
                <w:webHidden/>
              </w:rPr>
              <w:fldChar w:fldCharType="end"/>
            </w:r>
          </w:hyperlink>
        </w:p>
        <w:p w14:paraId="1A818A60" w14:textId="56696E5C"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5" w:history="1">
            <w:r w:rsidRPr="008669B1">
              <w:rPr>
                <w:rStyle w:val="Hyperlink"/>
                <w:noProof/>
              </w:rPr>
              <w:t>12.1.</w:t>
            </w:r>
            <w:r>
              <w:rPr>
                <w:rFonts w:asciiTheme="minorHAnsi" w:eastAsiaTheme="minorEastAsia" w:hAnsiTheme="minorHAnsi" w:cstheme="minorBidi"/>
                <w:noProof/>
                <w:kern w:val="2"/>
                <w:sz w:val="24"/>
                <w14:ligatures w14:val="standardContextual"/>
              </w:rPr>
              <w:tab/>
            </w:r>
            <w:r w:rsidRPr="008669B1">
              <w:rPr>
                <w:rStyle w:val="Hyperlink"/>
                <w:noProof/>
              </w:rPr>
              <w:t>Supporting diverse needs during an assessment</w:t>
            </w:r>
            <w:r>
              <w:rPr>
                <w:noProof/>
                <w:webHidden/>
              </w:rPr>
              <w:tab/>
            </w:r>
            <w:r>
              <w:rPr>
                <w:noProof/>
                <w:webHidden/>
              </w:rPr>
              <w:fldChar w:fldCharType="begin"/>
            </w:r>
            <w:r>
              <w:rPr>
                <w:noProof/>
                <w:webHidden/>
              </w:rPr>
              <w:instrText xml:space="preserve"> PAGEREF _Toc233282505 \h </w:instrText>
            </w:r>
            <w:r>
              <w:rPr>
                <w:noProof/>
                <w:webHidden/>
              </w:rPr>
            </w:r>
            <w:r>
              <w:rPr>
                <w:noProof/>
                <w:webHidden/>
              </w:rPr>
              <w:fldChar w:fldCharType="separate"/>
            </w:r>
            <w:r w:rsidR="004B171E">
              <w:rPr>
                <w:noProof/>
                <w:webHidden/>
              </w:rPr>
              <w:t>356</w:t>
            </w:r>
            <w:r>
              <w:rPr>
                <w:noProof/>
                <w:webHidden/>
              </w:rPr>
              <w:fldChar w:fldCharType="end"/>
            </w:r>
          </w:hyperlink>
        </w:p>
        <w:p w14:paraId="76A64922" w14:textId="27EAFCE9"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6" w:history="1">
            <w:r w:rsidRPr="008669B1">
              <w:rPr>
                <w:rStyle w:val="Hyperlink"/>
                <w:noProof/>
              </w:rPr>
              <w:t>12.2.</w:t>
            </w:r>
            <w:r>
              <w:rPr>
                <w:rFonts w:asciiTheme="minorHAnsi" w:eastAsiaTheme="minorEastAsia" w:hAnsiTheme="minorHAnsi" w:cstheme="minorBidi"/>
                <w:noProof/>
                <w:kern w:val="2"/>
                <w:sz w:val="24"/>
                <w14:ligatures w14:val="standardContextual"/>
              </w:rPr>
              <w:tab/>
            </w:r>
            <w:r w:rsidRPr="008669B1">
              <w:rPr>
                <w:rStyle w:val="Hyperlink"/>
                <w:noProof/>
              </w:rPr>
              <w:t>Understanding cultural safety for older Aboriginal and Torres Strait Islander people</w:t>
            </w:r>
            <w:r>
              <w:rPr>
                <w:noProof/>
                <w:webHidden/>
              </w:rPr>
              <w:tab/>
            </w:r>
            <w:r>
              <w:rPr>
                <w:noProof/>
                <w:webHidden/>
              </w:rPr>
              <w:fldChar w:fldCharType="begin"/>
            </w:r>
            <w:r>
              <w:rPr>
                <w:noProof/>
                <w:webHidden/>
              </w:rPr>
              <w:instrText xml:space="preserve"> PAGEREF _Toc233282506 \h </w:instrText>
            </w:r>
            <w:r>
              <w:rPr>
                <w:noProof/>
                <w:webHidden/>
              </w:rPr>
            </w:r>
            <w:r>
              <w:rPr>
                <w:noProof/>
                <w:webHidden/>
              </w:rPr>
              <w:fldChar w:fldCharType="separate"/>
            </w:r>
            <w:r w:rsidR="004B171E">
              <w:rPr>
                <w:noProof/>
                <w:webHidden/>
              </w:rPr>
              <w:t>357</w:t>
            </w:r>
            <w:r>
              <w:rPr>
                <w:noProof/>
                <w:webHidden/>
              </w:rPr>
              <w:fldChar w:fldCharType="end"/>
            </w:r>
          </w:hyperlink>
        </w:p>
        <w:p w14:paraId="64508965" w14:textId="695FBF41"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7" w:history="1">
            <w:r w:rsidRPr="008669B1">
              <w:rPr>
                <w:rStyle w:val="Hyperlink"/>
                <w:rFonts w:eastAsia="Arial"/>
                <w:noProof/>
              </w:rPr>
              <w:t>12.3.</w:t>
            </w:r>
            <w:r>
              <w:rPr>
                <w:rFonts w:asciiTheme="minorHAnsi" w:eastAsiaTheme="minorEastAsia" w:hAnsiTheme="minorHAnsi" w:cstheme="minorBidi"/>
                <w:noProof/>
                <w:kern w:val="2"/>
                <w:sz w:val="24"/>
                <w14:ligatures w14:val="standardContextual"/>
              </w:rPr>
              <w:tab/>
            </w:r>
            <w:r w:rsidRPr="008669B1">
              <w:rPr>
                <w:rStyle w:val="Hyperlink"/>
                <w:noProof/>
              </w:rPr>
              <w:t>Cultural safety for other cohorts</w:t>
            </w:r>
            <w:r>
              <w:rPr>
                <w:noProof/>
                <w:webHidden/>
              </w:rPr>
              <w:tab/>
            </w:r>
            <w:r>
              <w:rPr>
                <w:noProof/>
                <w:webHidden/>
              </w:rPr>
              <w:fldChar w:fldCharType="begin"/>
            </w:r>
            <w:r>
              <w:rPr>
                <w:noProof/>
                <w:webHidden/>
              </w:rPr>
              <w:instrText xml:space="preserve"> PAGEREF _Toc233282507 \h </w:instrText>
            </w:r>
            <w:r>
              <w:rPr>
                <w:noProof/>
                <w:webHidden/>
              </w:rPr>
            </w:r>
            <w:r>
              <w:rPr>
                <w:noProof/>
                <w:webHidden/>
              </w:rPr>
              <w:fldChar w:fldCharType="separate"/>
            </w:r>
            <w:r w:rsidR="004B171E">
              <w:rPr>
                <w:noProof/>
                <w:webHidden/>
              </w:rPr>
              <w:t>359</w:t>
            </w:r>
            <w:r>
              <w:rPr>
                <w:noProof/>
                <w:webHidden/>
              </w:rPr>
              <w:fldChar w:fldCharType="end"/>
            </w:r>
          </w:hyperlink>
        </w:p>
        <w:p w14:paraId="00B3E533" w14:textId="3A6000A4"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8" w:history="1">
            <w:r w:rsidRPr="008669B1">
              <w:rPr>
                <w:rStyle w:val="Hyperlink"/>
                <w:noProof/>
              </w:rPr>
              <w:t>12.4.</w:t>
            </w:r>
            <w:r>
              <w:rPr>
                <w:rFonts w:asciiTheme="minorHAnsi" w:eastAsiaTheme="minorEastAsia" w:hAnsiTheme="minorHAnsi" w:cstheme="minorBidi"/>
                <w:noProof/>
                <w:kern w:val="2"/>
                <w:sz w:val="24"/>
                <w14:ligatures w14:val="standardContextual"/>
              </w:rPr>
              <w:tab/>
            </w:r>
            <w:r w:rsidRPr="008669B1">
              <w:rPr>
                <w:rStyle w:val="Hyperlink"/>
                <w:noProof/>
              </w:rPr>
              <w:t>People living with dementia</w:t>
            </w:r>
            <w:r>
              <w:rPr>
                <w:noProof/>
                <w:webHidden/>
              </w:rPr>
              <w:tab/>
            </w:r>
            <w:r>
              <w:rPr>
                <w:noProof/>
                <w:webHidden/>
              </w:rPr>
              <w:fldChar w:fldCharType="begin"/>
            </w:r>
            <w:r>
              <w:rPr>
                <w:noProof/>
                <w:webHidden/>
              </w:rPr>
              <w:instrText xml:space="preserve"> PAGEREF _Toc233282508 \h </w:instrText>
            </w:r>
            <w:r>
              <w:rPr>
                <w:noProof/>
                <w:webHidden/>
              </w:rPr>
            </w:r>
            <w:r>
              <w:rPr>
                <w:noProof/>
                <w:webHidden/>
              </w:rPr>
              <w:fldChar w:fldCharType="separate"/>
            </w:r>
            <w:r w:rsidR="004B171E">
              <w:rPr>
                <w:noProof/>
                <w:webHidden/>
              </w:rPr>
              <w:t>360</w:t>
            </w:r>
            <w:r>
              <w:rPr>
                <w:noProof/>
                <w:webHidden/>
              </w:rPr>
              <w:fldChar w:fldCharType="end"/>
            </w:r>
          </w:hyperlink>
        </w:p>
        <w:p w14:paraId="106C9286" w14:textId="397D47FA"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09" w:history="1">
            <w:r w:rsidRPr="008669B1">
              <w:rPr>
                <w:rStyle w:val="Hyperlink"/>
                <w:noProof/>
              </w:rPr>
              <w:t>12.5.</w:t>
            </w:r>
            <w:r>
              <w:rPr>
                <w:rFonts w:asciiTheme="minorHAnsi" w:eastAsiaTheme="minorEastAsia" w:hAnsiTheme="minorHAnsi" w:cstheme="minorBidi"/>
                <w:noProof/>
                <w:kern w:val="2"/>
                <w:sz w:val="24"/>
                <w14:ligatures w14:val="standardContextual"/>
              </w:rPr>
              <w:tab/>
            </w:r>
            <w:r w:rsidRPr="008669B1">
              <w:rPr>
                <w:rStyle w:val="Hyperlink"/>
                <w:noProof/>
              </w:rPr>
              <w:t>People who live in remote and very remote areas</w:t>
            </w:r>
            <w:r>
              <w:rPr>
                <w:noProof/>
                <w:webHidden/>
              </w:rPr>
              <w:tab/>
            </w:r>
            <w:r>
              <w:rPr>
                <w:noProof/>
                <w:webHidden/>
              </w:rPr>
              <w:fldChar w:fldCharType="begin"/>
            </w:r>
            <w:r>
              <w:rPr>
                <w:noProof/>
                <w:webHidden/>
              </w:rPr>
              <w:instrText xml:space="preserve"> PAGEREF _Toc233282509 \h </w:instrText>
            </w:r>
            <w:r>
              <w:rPr>
                <w:noProof/>
                <w:webHidden/>
              </w:rPr>
            </w:r>
            <w:r>
              <w:rPr>
                <w:noProof/>
                <w:webHidden/>
              </w:rPr>
              <w:fldChar w:fldCharType="separate"/>
            </w:r>
            <w:r w:rsidR="004B171E">
              <w:rPr>
                <w:noProof/>
                <w:webHidden/>
              </w:rPr>
              <w:t>363</w:t>
            </w:r>
            <w:r>
              <w:rPr>
                <w:noProof/>
                <w:webHidden/>
              </w:rPr>
              <w:fldChar w:fldCharType="end"/>
            </w:r>
          </w:hyperlink>
        </w:p>
        <w:p w14:paraId="303DCC9D" w14:textId="0DDB76A8"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0" w:history="1">
            <w:r w:rsidRPr="008669B1">
              <w:rPr>
                <w:rStyle w:val="Hyperlink"/>
                <w:noProof/>
              </w:rPr>
              <w:t>12.6.</w:t>
            </w:r>
            <w:r>
              <w:rPr>
                <w:rFonts w:asciiTheme="minorHAnsi" w:eastAsiaTheme="minorEastAsia" w:hAnsiTheme="minorHAnsi" w:cstheme="minorBidi"/>
                <w:noProof/>
                <w:kern w:val="2"/>
                <w:sz w:val="24"/>
                <w14:ligatures w14:val="standardContextual"/>
              </w:rPr>
              <w:tab/>
            </w:r>
            <w:r w:rsidRPr="008669B1">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_Toc233282510 \h </w:instrText>
            </w:r>
            <w:r>
              <w:rPr>
                <w:noProof/>
                <w:webHidden/>
              </w:rPr>
            </w:r>
            <w:r>
              <w:rPr>
                <w:noProof/>
                <w:webHidden/>
              </w:rPr>
              <w:fldChar w:fldCharType="separate"/>
            </w:r>
            <w:r w:rsidR="004B171E">
              <w:rPr>
                <w:noProof/>
                <w:webHidden/>
              </w:rPr>
              <w:t>364</w:t>
            </w:r>
            <w:r>
              <w:rPr>
                <w:noProof/>
                <w:webHidden/>
              </w:rPr>
              <w:fldChar w:fldCharType="end"/>
            </w:r>
          </w:hyperlink>
        </w:p>
        <w:p w14:paraId="4DDF6F46" w14:textId="095989D9"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1" w:history="1">
            <w:r w:rsidRPr="008669B1">
              <w:rPr>
                <w:rStyle w:val="Hyperlink"/>
                <w:noProof/>
              </w:rPr>
              <w:t>12.7.</w:t>
            </w:r>
            <w:r>
              <w:rPr>
                <w:rFonts w:asciiTheme="minorHAnsi" w:eastAsiaTheme="minorEastAsia" w:hAnsiTheme="minorHAnsi" w:cstheme="minorBidi"/>
                <w:noProof/>
                <w:kern w:val="2"/>
                <w:sz w:val="24"/>
                <w14:ligatures w14:val="standardContextual"/>
              </w:rPr>
              <w:tab/>
            </w:r>
            <w:r w:rsidRPr="008669B1">
              <w:rPr>
                <w:rStyle w:val="Hyperlink"/>
                <w:noProof/>
              </w:rPr>
              <w:t>Veterans or war widows</w:t>
            </w:r>
            <w:r>
              <w:rPr>
                <w:noProof/>
                <w:webHidden/>
              </w:rPr>
              <w:tab/>
            </w:r>
            <w:r>
              <w:rPr>
                <w:noProof/>
                <w:webHidden/>
              </w:rPr>
              <w:fldChar w:fldCharType="begin"/>
            </w:r>
            <w:r>
              <w:rPr>
                <w:noProof/>
                <w:webHidden/>
              </w:rPr>
              <w:instrText xml:space="preserve"> PAGEREF _Toc233282511 \h </w:instrText>
            </w:r>
            <w:r>
              <w:rPr>
                <w:noProof/>
                <w:webHidden/>
              </w:rPr>
            </w:r>
            <w:r>
              <w:rPr>
                <w:noProof/>
                <w:webHidden/>
              </w:rPr>
              <w:fldChar w:fldCharType="separate"/>
            </w:r>
            <w:r w:rsidR="004B171E">
              <w:rPr>
                <w:noProof/>
                <w:webHidden/>
              </w:rPr>
              <w:t>364</w:t>
            </w:r>
            <w:r>
              <w:rPr>
                <w:noProof/>
                <w:webHidden/>
              </w:rPr>
              <w:fldChar w:fldCharType="end"/>
            </w:r>
          </w:hyperlink>
        </w:p>
        <w:p w14:paraId="0FBCB686" w14:textId="5BF97255"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2" w:history="1">
            <w:r w:rsidRPr="008669B1">
              <w:rPr>
                <w:rStyle w:val="Hyperlink"/>
                <w:noProof/>
              </w:rPr>
              <w:t>12.8.</w:t>
            </w:r>
            <w:r>
              <w:rPr>
                <w:rFonts w:asciiTheme="minorHAnsi" w:eastAsiaTheme="minorEastAsia" w:hAnsiTheme="minorHAnsi" w:cstheme="minorBidi"/>
                <w:noProof/>
                <w:kern w:val="2"/>
                <w:sz w:val="24"/>
                <w14:ligatures w14:val="standardContextual"/>
              </w:rPr>
              <w:tab/>
            </w:r>
            <w:r w:rsidRPr="008669B1">
              <w:rPr>
                <w:rStyle w:val="Hyperlink"/>
                <w:noProof/>
              </w:rPr>
              <w:t>People who are homeless or at risk of becoming homeless</w:t>
            </w:r>
            <w:r>
              <w:rPr>
                <w:noProof/>
                <w:webHidden/>
              </w:rPr>
              <w:tab/>
            </w:r>
            <w:r>
              <w:rPr>
                <w:noProof/>
                <w:webHidden/>
              </w:rPr>
              <w:fldChar w:fldCharType="begin"/>
            </w:r>
            <w:r>
              <w:rPr>
                <w:noProof/>
                <w:webHidden/>
              </w:rPr>
              <w:instrText xml:space="preserve"> PAGEREF _Toc233282512 \h </w:instrText>
            </w:r>
            <w:r>
              <w:rPr>
                <w:noProof/>
                <w:webHidden/>
              </w:rPr>
            </w:r>
            <w:r>
              <w:rPr>
                <w:noProof/>
                <w:webHidden/>
              </w:rPr>
              <w:fldChar w:fldCharType="separate"/>
            </w:r>
            <w:r w:rsidR="004B171E">
              <w:rPr>
                <w:noProof/>
                <w:webHidden/>
              </w:rPr>
              <w:t>365</w:t>
            </w:r>
            <w:r>
              <w:rPr>
                <w:noProof/>
                <w:webHidden/>
              </w:rPr>
              <w:fldChar w:fldCharType="end"/>
            </w:r>
          </w:hyperlink>
        </w:p>
        <w:p w14:paraId="55B2E5A1" w14:textId="2EED16CF"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3" w:history="1">
            <w:r w:rsidRPr="008669B1">
              <w:rPr>
                <w:rStyle w:val="Hyperlink"/>
                <w:noProof/>
              </w:rPr>
              <w:t>12.9.</w:t>
            </w:r>
            <w:r>
              <w:rPr>
                <w:rFonts w:asciiTheme="minorHAnsi" w:eastAsiaTheme="minorEastAsia" w:hAnsiTheme="minorHAnsi" w:cstheme="minorBidi"/>
                <w:noProof/>
                <w:kern w:val="2"/>
                <w:sz w:val="24"/>
                <w14:ligatures w14:val="standardContextual"/>
              </w:rPr>
              <w:tab/>
            </w:r>
            <w:r w:rsidRPr="008669B1">
              <w:rPr>
                <w:rStyle w:val="Hyperlink"/>
                <w:noProof/>
              </w:rPr>
              <w:t>Care leavers</w:t>
            </w:r>
            <w:r>
              <w:rPr>
                <w:noProof/>
                <w:webHidden/>
              </w:rPr>
              <w:tab/>
            </w:r>
            <w:r>
              <w:rPr>
                <w:noProof/>
                <w:webHidden/>
              </w:rPr>
              <w:fldChar w:fldCharType="begin"/>
            </w:r>
            <w:r>
              <w:rPr>
                <w:noProof/>
                <w:webHidden/>
              </w:rPr>
              <w:instrText xml:space="preserve"> PAGEREF _Toc233282513 \h </w:instrText>
            </w:r>
            <w:r>
              <w:rPr>
                <w:noProof/>
                <w:webHidden/>
              </w:rPr>
            </w:r>
            <w:r>
              <w:rPr>
                <w:noProof/>
                <w:webHidden/>
              </w:rPr>
              <w:fldChar w:fldCharType="separate"/>
            </w:r>
            <w:r w:rsidR="004B171E">
              <w:rPr>
                <w:noProof/>
                <w:webHidden/>
              </w:rPr>
              <w:t>366</w:t>
            </w:r>
            <w:r>
              <w:rPr>
                <w:noProof/>
                <w:webHidden/>
              </w:rPr>
              <w:fldChar w:fldCharType="end"/>
            </w:r>
          </w:hyperlink>
        </w:p>
        <w:p w14:paraId="4B203F1C" w14:textId="463234B0"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4" w:history="1">
            <w:r w:rsidRPr="008669B1">
              <w:rPr>
                <w:rStyle w:val="Hyperlink"/>
                <w:noProof/>
              </w:rPr>
              <w:t>12.10.</w:t>
            </w:r>
            <w:r>
              <w:rPr>
                <w:rFonts w:asciiTheme="minorHAnsi" w:eastAsiaTheme="minorEastAsia" w:hAnsiTheme="minorHAnsi" w:cstheme="minorBidi"/>
                <w:noProof/>
                <w:kern w:val="2"/>
                <w:sz w:val="24"/>
                <w14:ligatures w14:val="standardContextual"/>
              </w:rPr>
              <w:tab/>
            </w:r>
            <w:r w:rsidRPr="008669B1">
              <w:rPr>
                <w:rStyle w:val="Hyperlink"/>
                <w:noProof/>
              </w:rPr>
              <w:t>Parents separated from their children by forced adoption or removal</w:t>
            </w:r>
            <w:r>
              <w:rPr>
                <w:noProof/>
                <w:webHidden/>
              </w:rPr>
              <w:tab/>
            </w:r>
            <w:r>
              <w:rPr>
                <w:noProof/>
                <w:webHidden/>
              </w:rPr>
              <w:fldChar w:fldCharType="begin"/>
            </w:r>
            <w:r>
              <w:rPr>
                <w:noProof/>
                <w:webHidden/>
              </w:rPr>
              <w:instrText xml:space="preserve"> PAGEREF _Toc233282514 \h </w:instrText>
            </w:r>
            <w:r>
              <w:rPr>
                <w:noProof/>
                <w:webHidden/>
              </w:rPr>
            </w:r>
            <w:r>
              <w:rPr>
                <w:noProof/>
                <w:webHidden/>
              </w:rPr>
              <w:fldChar w:fldCharType="separate"/>
            </w:r>
            <w:r w:rsidR="004B171E">
              <w:rPr>
                <w:noProof/>
                <w:webHidden/>
              </w:rPr>
              <w:t>367</w:t>
            </w:r>
            <w:r>
              <w:rPr>
                <w:noProof/>
                <w:webHidden/>
              </w:rPr>
              <w:fldChar w:fldCharType="end"/>
            </w:r>
          </w:hyperlink>
        </w:p>
        <w:p w14:paraId="2F21E50C" w14:textId="441F736E"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5" w:history="1">
            <w:r w:rsidRPr="008669B1">
              <w:rPr>
                <w:rStyle w:val="Hyperlink"/>
                <w:noProof/>
              </w:rPr>
              <w:t>12.11.</w:t>
            </w:r>
            <w:r>
              <w:rPr>
                <w:rFonts w:asciiTheme="minorHAnsi" w:eastAsiaTheme="minorEastAsia" w:hAnsiTheme="minorHAnsi" w:cstheme="minorBidi"/>
                <w:noProof/>
                <w:kern w:val="2"/>
                <w:sz w:val="24"/>
                <w14:ligatures w14:val="standardContextual"/>
              </w:rPr>
              <w:tab/>
            </w:r>
            <w:r w:rsidRPr="008669B1">
              <w:rPr>
                <w:rStyle w:val="Hyperlink"/>
                <w:noProof/>
              </w:rPr>
              <w:t>Lesbian, gay, bisexual, trans, intersex and other gender diverse people (LGBTI)</w:t>
            </w:r>
            <w:r>
              <w:rPr>
                <w:noProof/>
                <w:webHidden/>
              </w:rPr>
              <w:tab/>
            </w:r>
            <w:r>
              <w:rPr>
                <w:noProof/>
                <w:webHidden/>
              </w:rPr>
              <w:fldChar w:fldCharType="begin"/>
            </w:r>
            <w:r>
              <w:rPr>
                <w:noProof/>
                <w:webHidden/>
              </w:rPr>
              <w:instrText xml:space="preserve"> PAGEREF _Toc233282515 \h </w:instrText>
            </w:r>
            <w:r>
              <w:rPr>
                <w:noProof/>
                <w:webHidden/>
              </w:rPr>
            </w:r>
            <w:r>
              <w:rPr>
                <w:noProof/>
                <w:webHidden/>
              </w:rPr>
              <w:fldChar w:fldCharType="separate"/>
            </w:r>
            <w:r w:rsidR="004B171E">
              <w:rPr>
                <w:noProof/>
                <w:webHidden/>
              </w:rPr>
              <w:t>367</w:t>
            </w:r>
            <w:r>
              <w:rPr>
                <w:noProof/>
                <w:webHidden/>
              </w:rPr>
              <w:fldChar w:fldCharType="end"/>
            </w:r>
          </w:hyperlink>
        </w:p>
        <w:p w14:paraId="425CC8F6" w14:textId="531A9E59"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6" w:history="1">
            <w:r w:rsidRPr="008669B1">
              <w:rPr>
                <w:rStyle w:val="Hyperlink"/>
                <w:noProof/>
              </w:rPr>
              <w:t>12.12.</w:t>
            </w:r>
            <w:r>
              <w:rPr>
                <w:rFonts w:asciiTheme="minorHAnsi" w:eastAsiaTheme="minorEastAsia" w:hAnsiTheme="minorHAnsi" w:cstheme="minorBidi"/>
                <w:noProof/>
                <w:kern w:val="2"/>
                <w:sz w:val="24"/>
                <w14:ligatures w14:val="standardContextual"/>
              </w:rPr>
              <w:tab/>
            </w:r>
            <w:r w:rsidRPr="008669B1">
              <w:rPr>
                <w:rStyle w:val="Hyperlink"/>
                <w:noProof/>
              </w:rPr>
              <w:t>Other groups</w:t>
            </w:r>
            <w:r>
              <w:rPr>
                <w:noProof/>
                <w:webHidden/>
              </w:rPr>
              <w:tab/>
            </w:r>
            <w:r>
              <w:rPr>
                <w:noProof/>
                <w:webHidden/>
              </w:rPr>
              <w:fldChar w:fldCharType="begin"/>
            </w:r>
            <w:r>
              <w:rPr>
                <w:noProof/>
                <w:webHidden/>
              </w:rPr>
              <w:instrText xml:space="preserve"> PAGEREF _Toc233282516 \h </w:instrText>
            </w:r>
            <w:r>
              <w:rPr>
                <w:noProof/>
                <w:webHidden/>
              </w:rPr>
            </w:r>
            <w:r>
              <w:rPr>
                <w:noProof/>
                <w:webHidden/>
              </w:rPr>
              <w:fldChar w:fldCharType="separate"/>
            </w:r>
            <w:r w:rsidR="004B171E">
              <w:rPr>
                <w:noProof/>
                <w:webHidden/>
              </w:rPr>
              <w:t>368</w:t>
            </w:r>
            <w:r>
              <w:rPr>
                <w:noProof/>
                <w:webHidden/>
              </w:rPr>
              <w:fldChar w:fldCharType="end"/>
            </w:r>
          </w:hyperlink>
        </w:p>
        <w:p w14:paraId="7C9669C5" w14:textId="208A98EA"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17" w:history="1">
            <w:r w:rsidRPr="008669B1">
              <w:rPr>
                <w:rStyle w:val="Hyperlink"/>
                <w:noProof/>
              </w:rPr>
              <w:t>13.</w:t>
            </w:r>
            <w:r>
              <w:rPr>
                <w:rFonts w:asciiTheme="minorHAnsi" w:eastAsiaTheme="minorEastAsia" w:hAnsiTheme="minorHAnsi" w:cstheme="minorBidi"/>
                <w:noProof/>
                <w:kern w:val="2"/>
                <w:sz w:val="24"/>
                <w14:ligatures w14:val="standardContextual"/>
              </w:rPr>
              <w:tab/>
            </w:r>
            <w:r w:rsidRPr="008669B1">
              <w:rPr>
                <w:rStyle w:val="Hyperlink"/>
                <w:noProof/>
              </w:rPr>
              <w:t>Chapter 13: Operating procedures</w:t>
            </w:r>
            <w:r>
              <w:rPr>
                <w:noProof/>
                <w:webHidden/>
              </w:rPr>
              <w:tab/>
            </w:r>
            <w:r>
              <w:rPr>
                <w:noProof/>
                <w:webHidden/>
              </w:rPr>
              <w:fldChar w:fldCharType="begin"/>
            </w:r>
            <w:r>
              <w:rPr>
                <w:noProof/>
                <w:webHidden/>
              </w:rPr>
              <w:instrText xml:space="preserve"> PAGEREF _Toc233282517 \h </w:instrText>
            </w:r>
            <w:r>
              <w:rPr>
                <w:noProof/>
                <w:webHidden/>
              </w:rPr>
            </w:r>
            <w:r>
              <w:rPr>
                <w:noProof/>
                <w:webHidden/>
              </w:rPr>
              <w:fldChar w:fldCharType="separate"/>
            </w:r>
            <w:r w:rsidR="004B171E">
              <w:rPr>
                <w:noProof/>
                <w:webHidden/>
              </w:rPr>
              <w:t>374</w:t>
            </w:r>
            <w:r>
              <w:rPr>
                <w:noProof/>
                <w:webHidden/>
              </w:rPr>
              <w:fldChar w:fldCharType="end"/>
            </w:r>
          </w:hyperlink>
        </w:p>
        <w:p w14:paraId="316493B1" w14:textId="5DDF4193"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8" w:history="1">
            <w:r w:rsidRPr="008669B1">
              <w:rPr>
                <w:rStyle w:val="Hyperlink"/>
                <w:noProof/>
              </w:rPr>
              <w:t>13.1.</w:t>
            </w:r>
            <w:r>
              <w:rPr>
                <w:rFonts w:asciiTheme="minorHAnsi" w:eastAsiaTheme="minorEastAsia" w:hAnsiTheme="minorHAnsi" w:cstheme="minorBidi"/>
                <w:noProof/>
                <w:kern w:val="2"/>
                <w:sz w:val="24"/>
                <w14:ligatures w14:val="standardContextual"/>
              </w:rPr>
              <w:tab/>
            </w:r>
            <w:r w:rsidRPr="008669B1">
              <w:rPr>
                <w:rStyle w:val="Hyperlink"/>
                <w:noProof/>
              </w:rPr>
              <w:t>Applying to be a delegate</w:t>
            </w:r>
            <w:r>
              <w:rPr>
                <w:noProof/>
                <w:webHidden/>
              </w:rPr>
              <w:tab/>
            </w:r>
            <w:r>
              <w:rPr>
                <w:noProof/>
                <w:webHidden/>
              </w:rPr>
              <w:fldChar w:fldCharType="begin"/>
            </w:r>
            <w:r>
              <w:rPr>
                <w:noProof/>
                <w:webHidden/>
              </w:rPr>
              <w:instrText xml:space="preserve"> PAGEREF _Toc233282518 \h </w:instrText>
            </w:r>
            <w:r>
              <w:rPr>
                <w:noProof/>
                <w:webHidden/>
              </w:rPr>
            </w:r>
            <w:r>
              <w:rPr>
                <w:noProof/>
                <w:webHidden/>
              </w:rPr>
              <w:fldChar w:fldCharType="separate"/>
            </w:r>
            <w:r w:rsidR="004B171E">
              <w:rPr>
                <w:noProof/>
                <w:webHidden/>
              </w:rPr>
              <w:t>374</w:t>
            </w:r>
            <w:r>
              <w:rPr>
                <w:noProof/>
                <w:webHidden/>
              </w:rPr>
              <w:fldChar w:fldCharType="end"/>
            </w:r>
          </w:hyperlink>
        </w:p>
        <w:p w14:paraId="7A82C124" w14:textId="2B6624B6"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19" w:history="1">
            <w:r w:rsidRPr="008669B1">
              <w:rPr>
                <w:rStyle w:val="Hyperlink"/>
                <w:noProof/>
              </w:rPr>
              <w:t>13.2.</w:t>
            </w:r>
            <w:r>
              <w:rPr>
                <w:rFonts w:asciiTheme="minorHAnsi" w:eastAsiaTheme="minorEastAsia" w:hAnsiTheme="minorHAnsi" w:cstheme="minorBidi"/>
                <w:noProof/>
                <w:kern w:val="2"/>
                <w:sz w:val="24"/>
                <w14:ligatures w14:val="standardContextual"/>
              </w:rPr>
              <w:tab/>
            </w:r>
            <w:r w:rsidRPr="008669B1">
              <w:rPr>
                <w:rStyle w:val="Hyperlink"/>
                <w:noProof/>
              </w:rPr>
              <w:t>Information management</w:t>
            </w:r>
            <w:r>
              <w:rPr>
                <w:noProof/>
                <w:webHidden/>
              </w:rPr>
              <w:tab/>
            </w:r>
            <w:r>
              <w:rPr>
                <w:noProof/>
                <w:webHidden/>
              </w:rPr>
              <w:fldChar w:fldCharType="begin"/>
            </w:r>
            <w:r>
              <w:rPr>
                <w:noProof/>
                <w:webHidden/>
              </w:rPr>
              <w:instrText xml:space="preserve"> PAGEREF _Toc233282519 \h </w:instrText>
            </w:r>
            <w:r>
              <w:rPr>
                <w:noProof/>
                <w:webHidden/>
              </w:rPr>
            </w:r>
            <w:r>
              <w:rPr>
                <w:noProof/>
                <w:webHidden/>
              </w:rPr>
              <w:fldChar w:fldCharType="separate"/>
            </w:r>
            <w:r w:rsidR="004B171E">
              <w:rPr>
                <w:noProof/>
                <w:webHidden/>
              </w:rPr>
              <w:t>379</w:t>
            </w:r>
            <w:r>
              <w:rPr>
                <w:noProof/>
                <w:webHidden/>
              </w:rPr>
              <w:fldChar w:fldCharType="end"/>
            </w:r>
          </w:hyperlink>
        </w:p>
        <w:p w14:paraId="05388C1A" w14:textId="440B5C5A"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0" w:history="1">
            <w:r w:rsidRPr="008669B1">
              <w:rPr>
                <w:rStyle w:val="Hyperlink"/>
                <w:noProof/>
              </w:rPr>
              <w:t>13.3.</w:t>
            </w:r>
            <w:r>
              <w:rPr>
                <w:rFonts w:asciiTheme="minorHAnsi" w:eastAsiaTheme="minorEastAsia" w:hAnsiTheme="minorHAnsi" w:cstheme="minorBidi"/>
                <w:noProof/>
                <w:kern w:val="2"/>
                <w:sz w:val="24"/>
                <w14:ligatures w14:val="standardContextual"/>
              </w:rPr>
              <w:tab/>
            </w:r>
            <w:r w:rsidRPr="008669B1">
              <w:rPr>
                <w:rStyle w:val="Hyperlink"/>
                <w:noProof/>
              </w:rPr>
              <w:t>Clinical governance</w:t>
            </w:r>
            <w:r>
              <w:rPr>
                <w:noProof/>
                <w:webHidden/>
              </w:rPr>
              <w:tab/>
            </w:r>
            <w:r>
              <w:rPr>
                <w:noProof/>
                <w:webHidden/>
              </w:rPr>
              <w:fldChar w:fldCharType="begin"/>
            </w:r>
            <w:r>
              <w:rPr>
                <w:noProof/>
                <w:webHidden/>
              </w:rPr>
              <w:instrText xml:space="preserve"> PAGEREF _Toc233282520 \h </w:instrText>
            </w:r>
            <w:r>
              <w:rPr>
                <w:noProof/>
                <w:webHidden/>
              </w:rPr>
            </w:r>
            <w:r>
              <w:rPr>
                <w:noProof/>
                <w:webHidden/>
              </w:rPr>
              <w:fldChar w:fldCharType="separate"/>
            </w:r>
            <w:r w:rsidR="004B171E">
              <w:rPr>
                <w:noProof/>
                <w:webHidden/>
              </w:rPr>
              <w:t>384</w:t>
            </w:r>
            <w:r>
              <w:rPr>
                <w:noProof/>
                <w:webHidden/>
              </w:rPr>
              <w:fldChar w:fldCharType="end"/>
            </w:r>
          </w:hyperlink>
        </w:p>
        <w:p w14:paraId="65636509" w14:textId="4D84F384"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1" w:history="1">
            <w:r w:rsidRPr="008669B1">
              <w:rPr>
                <w:rStyle w:val="Hyperlink"/>
                <w:noProof/>
              </w:rPr>
              <w:t>13.4.</w:t>
            </w:r>
            <w:r>
              <w:rPr>
                <w:rFonts w:asciiTheme="minorHAnsi" w:eastAsiaTheme="minorEastAsia" w:hAnsiTheme="minorHAnsi" w:cstheme="minorBidi"/>
                <w:noProof/>
                <w:kern w:val="2"/>
                <w:sz w:val="24"/>
                <w14:ligatures w14:val="standardContextual"/>
              </w:rPr>
              <w:tab/>
            </w:r>
            <w:r w:rsidRPr="008669B1">
              <w:rPr>
                <w:rStyle w:val="Hyperlink"/>
                <w:noProof/>
              </w:rPr>
              <w:t>Separation of assessment services and delivery of aged care services</w:t>
            </w:r>
            <w:r>
              <w:rPr>
                <w:noProof/>
                <w:webHidden/>
              </w:rPr>
              <w:tab/>
            </w:r>
            <w:r>
              <w:rPr>
                <w:noProof/>
                <w:webHidden/>
              </w:rPr>
              <w:fldChar w:fldCharType="begin"/>
            </w:r>
            <w:r>
              <w:rPr>
                <w:noProof/>
                <w:webHidden/>
              </w:rPr>
              <w:instrText xml:space="preserve"> PAGEREF _Toc233282521 \h </w:instrText>
            </w:r>
            <w:r>
              <w:rPr>
                <w:noProof/>
                <w:webHidden/>
              </w:rPr>
            </w:r>
            <w:r>
              <w:rPr>
                <w:noProof/>
                <w:webHidden/>
              </w:rPr>
              <w:fldChar w:fldCharType="separate"/>
            </w:r>
            <w:r w:rsidR="004B171E">
              <w:rPr>
                <w:noProof/>
                <w:webHidden/>
              </w:rPr>
              <w:t>384</w:t>
            </w:r>
            <w:r>
              <w:rPr>
                <w:noProof/>
                <w:webHidden/>
              </w:rPr>
              <w:fldChar w:fldCharType="end"/>
            </w:r>
          </w:hyperlink>
        </w:p>
        <w:p w14:paraId="3127EED3" w14:textId="1D9374FF"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2" w:history="1">
            <w:r w:rsidRPr="008669B1">
              <w:rPr>
                <w:rStyle w:val="Hyperlink"/>
                <w:noProof/>
              </w:rPr>
              <w:t>13.5.</w:t>
            </w:r>
            <w:r>
              <w:rPr>
                <w:rFonts w:asciiTheme="minorHAnsi" w:eastAsiaTheme="minorEastAsia" w:hAnsiTheme="minorHAnsi" w:cstheme="minorBidi"/>
                <w:noProof/>
                <w:kern w:val="2"/>
                <w:sz w:val="24"/>
                <w14:ligatures w14:val="standardContextual"/>
              </w:rPr>
              <w:tab/>
            </w:r>
            <w:r w:rsidRPr="008669B1">
              <w:rPr>
                <w:rStyle w:val="Hyperlink"/>
                <w:noProof/>
              </w:rPr>
              <w:t>Branding</w:t>
            </w:r>
            <w:r>
              <w:rPr>
                <w:noProof/>
                <w:webHidden/>
              </w:rPr>
              <w:tab/>
            </w:r>
            <w:r>
              <w:rPr>
                <w:noProof/>
                <w:webHidden/>
              </w:rPr>
              <w:fldChar w:fldCharType="begin"/>
            </w:r>
            <w:r>
              <w:rPr>
                <w:noProof/>
                <w:webHidden/>
              </w:rPr>
              <w:instrText xml:space="preserve"> PAGEREF _Toc233282522 \h </w:instrText>
            </w:r>
            <w:r>
              <w:rPr>
                <w:noProof/>
                <w:webHidden/>
              </w:rPr>
            </w:r>
            <w:r>
              <w:rPr>
                <w:noProof/>
                <w:webHidden/>
              </w:rPr>
              <w:fldChar w:fldCharType="separate"/>
            </w:r>
            <w:r w:rsidR="004B171E">
              <w:rPr>
                <w:noProof/>
                <w:webHidden/>
              </w:rPr>
              <w:t>385</w:t>
            </w:r>
            <w:r>
              <w:rPr>
                <w:noProof/>
                <w:webHidden/>
              </w:rPr>
              <w:fldChar w:fldCharType="end"/>
            </w:r>
          </w:hyperlink>
        </w:p>
        <w:p w14:paraId="6401E559" w14:textId="2DA4E0FA"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3" w:history="1">
            <w:r w:rsidRPr="008669B1">
              <w:rPr>
                <w:rStyle w:val="Hyperlink"/>
                <w:noProof/>
              </w:rPr>
              <w:t>13.6.</w:t>
            </w:r>
            <w:r>
              <w:rPr>
                <w:rFonts w:asciiTheme="minorHAnsi" w:eastAsiaTheme="minorEastAsia" w:hAnsiTheme="minorHAnsi" w:cstheme="minorBidi"/>
                <w:noProof/>
                <w:kern w:val="2"/>
                <w:sz w:val="24"/>
                <w14:ligatures w14:val="standardContextual"/>
              </w:rPr>
              <w:tab/>
            </w:r>
            <w:r w:rsidRPr="008669B1">
              <w:rPr>
                <w:rStyle w:val="Hyperlink"/>
                <w:noProof/>
              </w:rPr>
              <w:t>Aged care resources for older people</w:t>
            </w:r>
            <w:r>
              <w:rPr>
                <w:noProof/>
                <w:webHidden/>
              </w:rPr>
              <w:tab/>
            </w:r>
            <w:r>
              <w:rPr>
                <w:noProof/>
                <w:webHidden/>
              </w:rPr>
              <w:fldChar w:fldCharType="begin"/>
            </w:r>
            <w:r>
              <w:rPr>
                <w:noProof/>
                <w:webHidden/>
              </w:rPr>
              <w:instrText xml:space="preserve"> PAGEREF _Toc233282523 \h </w:instrText>
            </w:r>
            <w:r>
              <w:rPr>
                <w:noProof/>
                <w:webHidden/>
              </w:rPr>
            </w:r>
            <w:r>
              <w:rPr>
                <w:noProof/>
                <w:webHidden/>
              </w:rPr>
              <w:fldChar w:fldCharType="separate"/>
            </w:r>
            <w:r w:rsidR="004B171E">
              <w:rPr>
                <w:noProof/>
                <w:webHidden/>
              </w:rPr>
              <w:t>385</w:t>
            </w:r>
            <w:r>
              <w:rPr>
                <w:noProof/>
                <w:webHidden/>
              </w:rPr>
              <w:fldChar w:fldCharType="end"/>
            </w:r>
          </w:hyperlink>
        </w:p>
        <w:p w14:paraId="37C87939" w14:textId="20FF1927"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4" w:history="1">
            <w:r w:rsidRPr="008669B1">
              <w:rPr>
                <w:rStyle w:val="Hyperlink"/>
                <w:noProof/>
              </w:rPr>
              <w:t>13.7.</w:t>
            </w:r>
            <w:r>
              <w:rPr>
                <w:rFonts w:asciiTheme="minorHAnsi" w:eastAsiaTheme="minorEastAsia" w:hAnsiTheme="minorHAnsi" w:cstheme="minorBidi"/>
                <w:noProof/>
                <w:kern w:val="2"/>
                <w:sz w:val="24"/>
                <w14:ligatures w14:val="standardContextual"/>
              </w:rPr>
              <w:tab/>
            </w:r>
            <w:r w:rsidRPr="008669B1">
              <w:rPr>
                <w:rStyle w:val="Hyperlink"/>
                <w:noProof/>
              </w:rPr>
              <w:t>Reporting and performance</w:t>
            </w:r>
            <w:r>
              <w:rPr>
                <w:noProof/>
                <w:webHidden/>
              </w:rPr>
              <w:tab/>
            </w:r>
            <w:r>
              <w:rPr>
                <w:noProof/>
                <w:webHidden/>
              </w:rPr>
              <w:fldChar w:fldCharType="begin"/>
            </w:r>
            <w:r>
              <w:rPr>
                <w:noProof/>
                <w:webHidden/>
              </w:rPr>
              <w:instrText xml:space="preserve"> PAGEREF _Toc233282524 \h </w:instrText>
            </w:r>
            <w:r>
              <w:rPr>
                <w:noProof/>
                <w:webHidden/>
              </w:rPr>
            </w:r>
            <w:r>
              <w:rPr>
                <w:noProof/>
                <w:webHidden/>
              </w:rPr>
              <w:fldChar w:fldCharType="separate"/>
            </w:r>
            <w:r w:rsidR="004B171E">
              <w:rPr>
                <w:noProof/>
                <w:webHidden/>
              </w:rPr>
              <w:t>386</w:t>
            </w:r>
            <w:r>
              <w:rPr>
                <w:noProof/>
                <w:webHidden/>
              </w:rPr>
              <w:fldChar w:fldCharType="end"/>
            </w:r>
          </w:hyperlink>
        </w:p>
        <w:p w14:paraId="20DF5D25" w14:textId="16074E55"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5" w:history="1">
            <w:r w:rsidRPr="008669B1">
              <w:rPr>
                <w:rStyle w:val="Hyperlink"/>
                <w:noProof/>
              </w:rPr>
              <w:t>13.8.</w:t>
            </w:r>
            <w:r>
              <w:rPr>
                <w:rFonts w:asciiTheme="minorHAnsi" w:eastAsiaTheme="minorEastAsia" w:hAnsiTheme="minorHAnsi" w:cstheme="minorBidi"/>
                <w:noProof/>
                <w:kern w:val="2"/>
                <w:sz w:val="24"/>
                <w14:ligatures w14:val="standardContextual"/>
              </w:rPr>
              <w:tab/>
            </w:r>
            <w:r w:rsidRPr="008669B1">
              <w:rPr>
                <w:rStyle w:val="Hyperlink"/>
                <w:noProof/>
              </w:rPr>
              <w:t>Assessor ID Cards</w:t>
            </w:r>
            <w:r>
              <w:rPr>
                <w:noProof/>
                <w:webHidden/>
              </w:rPr>
              <w:tab/>
            </w:r>
            <w:r>
              <w:rPr>
                <w:noProof/>
                <w:webHidden/>
              </w:rPr>
              <w:fldChar w:fldCharType="begin"/>
            </w:r>
            <w:r>
              <w:rPr>
                <w:noProof/>
                <w:webHidden/>
              </w:rPr>
              <w:instrText xml:space="preserve"> PAGEREF _Toc233282525 \h </w:instrText>
            </w:r>
            <w:r>
              <w:rPr>
                <w:noProof/>
                <w:webHidden/>
              </w:rPr>
            </w:r>
            <w:r>
              <w:rPr>
                <w:noProof/>
                <w:webHidden/>
              </w:rPr>
              <w:fldChar w:fldCharType="separate"/>
            </w:r>
            <w:r w:rsidR="004B171E">
              <w:rPr>
                <w:noProof/>
                <w:webHidden/>
              </w:rPr>
              <w:t>387</w:t>
            </w:r>
            <w:r>
              <w:rPr>
                <w:noProof/>
                <w:webHidden/>
              </w:rPr>
              <w:fldChar w:fldCharType="end"/>
            </w:r>
          </w:hyperlink>
        </w:p>
        <w:p w14:paraId="34051B53" w14:textId="1DB49270"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26" w:history="1">
            <w:r w:rsidRPr="008669B1">
              <w:rPr>
                <w:rStyle w:val="Hyperlink"/>
                <w:noProof/>
              </w:rPr>
              <w:t>14.</w:t>
            </w:r>
            <w:r>
              <w:rPr>
                <w:rFonts w:asciiTheme="minorHAnsi" w:eastAsiaTheme="minorEastAsia" w:hAnsiTheme="minorHAnsi" w:cstheme="minorBidi"/>
                <w:noProof/>
                <w:kern w:val="2"/>
                <w:sz w:val="24"/>
                <w14:ligatures w14:val="standardContextual"/>
              </w:rPr>
              <w:tab/>
            </w:r>
            <w:r w:rsidRPr="008669B1">
              <w:rPr>
                <w:rStyle w:val="Hyperlink"/>
                <w:noProof/>
              </w:rPr>
              <w:t>Chapter 14 – Fees and payments</w:t>
            </w:r>
            <w:r>
              <w:rPr>
                <w:noProof/>
                <w:webHidden/>
              </w:rPr>
              <w:tab/>
            </w:r>
            <w:r>
              <w:rPr>
                <w:noProof/>
                <w:webHidden/>
              </w:rPr>
              <w:fldChar w:fldCharType="begin"/>
            </w:r>
            <w:r>
              <w:rPr>
                <w:noProof/>
                <w:webHidden/>
              </w:rPr>
              <w:instrText xml:space="preserve"> PAGEREF _Toc233282526 \h </w:instrText>
            </w:r>
            <w:r>
              <w:rPr>
                <w:noProof/>
                <w:webHidden/>
              </w:rPr>
            </w:r>
            <w:r>
              <w:rPr>
                <w:noProof/>
                <w:webHidden/>
              </w:rPr>
              <w:fldChar w:fldCharType="separate"/>
            </w:r>
            <w:r w:rsidR="004B171E">
              <w:rPr>
                <w:noProof/>
                <w:webHidden/>
              </w:rPr>
              <w:t>388</w:t>
            </w:r>
            <w:r>
              <w:rPr>
                <w:noProof/>
                <w:webHidden/>
              </w:rPr>
              <w:fldChar w:fldCharType="end"/>
            </w:r>
          </w:hyperlink>
        </w:p>
        <w:p w14:paraId="42F6128C" w14:textId="685CACED"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7" w:history="1">
            <w:r w:rsidRPr="008669B1">
              <w:rPr>
                <w:rStyle w:val="Hyperlink"/>
                <w:noProof/>
              </w:rPr>
              <w:t>14.1.</w:t>
            </w:r>
            <w:r>
              <w:rPr>
                <w:rFonts w:asciiTheme="minorHAnsi" w:eastAsiaTheme="minorEastAsia" w:hAnsiTheme="minorHAnsi" w:cstheme="minorBidi"/>
                <w:noProof/>
                <w:kern w:val="2"/>
                <w:sz w:val="24"/>
                <w14:ligatures w14:val="standardContextual"/>
              </w:rPr>
              <w:tab/>
            </w:r>
            <w:r w:rsidRPr="008669B1">
              <w:rPr>
                <w:rStyle w:val="Hyperlink"/>
                <w:noProof/>
              </w:rPr>
              <w:t>An assessor’s role in advising clients about fees and payments</w:t>
            </w:r>
            <w:r>
              <w:rPr>
                <w:noProof/>
                <w:webHidden/>
              </w:rPr>
              <w:tab/>
            </w:r>
            <w:r>
              <w:rPr>
                <w:noProof/>
                <w:webHidden/>
              </w:rPr>
              <w:fldChar w:fldCharType="begin"/>
            </w:r>
            <w:r>
              <w:rPr>
                <w:noProof/>
                <w:webHidden/>
              </w:rPr>
              <w:instrText xml:space="preserve"> PAGEREF _Toc233282527 \h </w:instrText>
            </w:r>
            <w:r>
              <w:rPr>
                <w:noProof/>
                <w:webHidden/>
              </w:rPr>
            </w:r>
            <w:r>
              <w:rPr>
                <w:noProof/>
                <w:webHidden/>
              </w:rPr>
              <w:fldChar w:fldCharType="separate"/>
            </w:r>
            <w:r w:rsidR="004B171E">
              <w:rPr>
                <w:noProof/>
                <w:webHidden/>
              </w:rPr>
              <w:t>388</w:t>
            </w:r>
            <w:r>
              <w:rPr>
                <w:noProof/>
                <w:webHidden/>
              </w:rPr>
              <w:fldChar w:fldCharType="end"/>
            </w:r>
          </w:hyperlink>
        </w:p>
        <w:p w14:paraId="75326510" w14:textId="59B15976" w:rsidR="00483B5C" w:rsidRDefault="00483B5C">
          <w:pPr>
            <w:pStyle w:val="TOC2"/>
            <w:tabs>
              <w:tab w:val="left" w:pos="1200"/>
              <w:tab w:val="right" w:leader="dot" w:pos="9016"/>
            </w:tabs>
            <w:rPr>
              <w:rFonts w:asciiTheme="minorHAnsi" w:eastAsiaTheme="minorEastAsia" w:hAnsiTheme="minorHAnsi" w:cstheme="minorBidi"/>
              <w:noProof/>
              <w:kern w:val="2"/>
              <w:sz w:val="24"/>
              <w14:ligatures w14:val="standardContextual"/>
            </w:rPr>
          </w:pPr>
          <w:hyperlink w:anchor="_Toc233282528" w:history="1">
            <w:r w:rsidRPr="008669B1">
              <w:rPr>
                <w:rStyle w:val="Hyperlink"/>
                <w:noProof/>
              </w:rPr>
              <w:t>14.2.</w:t>
            </w:r>
            <w:r>
              <w:rPr>
                <w:rFonts w:asciiTheme="minorHAnsi" w:eastAsiaTheme="minorEastAsia" w:hAnsiTheme="minorHAnsi" w:cstheme="minorBidi"/>
                <w:noProof/>
                <w:kern w:val="2"/>
                <w:sz w:val="24"/>
                <w14:ligatures w14:val="standardContextual"/>
              </w:rPr>
              <w:tab/>
            </w:r>
            <w:r w:rsidRPr="008669B1">
              <w:rPr>
                <w:rStyle w:val="Hyperlink"/>
                <w:noProof/>
              </w:rPr>
              <w:t>Aged care program fees</w:t>
            </w:r>
            <w:r>
              <w:rPr>
                <w:noProof/>
                <w:webHidden/>
              </w:rPr>
              <w:tab/>
            </w:r>
            <w:r>
              <w:rPr>
                <w:noProof/>
                <w:webHidden/>
              </w:rPr>
              <w:fldChar w:fldCharType="begin"/>
            </w:r>
            <w:r>
              <w:rPr>
                <w:noProof/>
                <w:webHidden/>
              </w:rPr>
              <w:instrText xml:space="preserve"> PAGEREF _Toc233282528 \h </w:instrText>
            </w:r>
            <w:r>
              <w:rPr>
                <w:noProof/>
                <w:webHidden/>
              </w:rPr>
            </w:r>
            <w:r>
              <w:rPr>
                <w:noProof/>
                <w:webHidden/>
              </w:rPr>
              <w:fldChar w:fldCharType="separate"/>
            </w:r>
            <w:r w:rsidR="004B171E">
              <w:rPr>
                <w:noProof/>
                <w:webHidden/>
              </w:rPr>
              <w:t>389</w:t>
            </w:r>
            <w:r>
              <w:rPr>
                <w:noProof/>
                <w:webHidden/>
              </w:rPr>
              <w:fldChar w:fldCharType="end"/>
            </w:r>
          </w:hyperlink>
        </w:p>
        <w:p w14:paraId="295C1FB5" w14:textId="4151A42F"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29" w:history="1">
            <w:r w:rsidRPr="008669B1">
              <w:rPr>
                <w:rStyle w:val="Hyperlink"/>
                <w:noProof/>
              </w:rPr>
              <w:t>15.</w:t>
            </w:r>
            <w:r>
              <w:rPr>
                <w:rFonts w:asciiTheme="minorHAnsi" w:eastAsiaTheme="minorEastAsia" w:hAnsiTheme="minorHAnsi" w:cstheme="minorBidi"/>
                <w:noProof/>
                <w:kern w:val="2"/>
                <w:sz w:val="24"/>
                <w14:ligatures w14:val="standardContextual"/>
              </w:rPr>
              <w:tab/>
            </w:r>
            <w:r w:rsidRPr="008669B1">
              <w:rPr>
                <w:rStyle w:val="Hyperlink"/>
                <w:noProof/>
              </w:rPr>
              <w:t>APPENDIX A – Glossary</w:t>
            </w:r>
            <w:r>
              <w:rPr>
                <w:noProof/>
                <w:webHidden/>
              </w:rPr>
              <w:tab/>
            </w:r>
            <w:r>
              <w:rPr>
                <w:noProof/>
                <w:webHidden/>
              </w:rPr>
              <w:fldChar w:fldCharType="begin"/>
            </w:r>
            <w:r>
              <w:rPr>
                <w:noProof/>
                <w:webHidden/>
              </w:rPr>
              <w:instrText xml:space="preserve"> PAGEREF _Toc233282529 \h </w:instrText>
            </w:r>
            <w:r>
              <w:rPr>
                <w:noProof/>
                <w:webHidden/>
              </w:rPr>
            </w:r>
            <w:r>
              <w:rPr>
                <w:noProof/>
                <w:webHidden/>
              </w:rPr>
              <w:fldChar w:fldCharType="separate"/>
            </w:r>
            <w:r w:rsidR="004B171E">
              <w:rPr>
                <w:noProof/>
                <w:webHidden/>
              </w:rPr>
              <w:t>396</w:t>
            </w:r>
            <w:r>
              <w:rPr>
                <w:noProof/>
                <w:webHidden/>
              </w:rPr>
              <w:fldChar w:fldCharType="end"/>
            </w:r>
          </w:hyperlink>
        </w:p>
        <w:p w14:paraId="4E393733" w14:textId="4DA0DB03"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0" w:history="1">
            <w:r w:rsidRPr="008669B1">
              <w:rPr>
                <w:rStyle w:val="Hyperlink"/>
                <w:noProof/>
              </w:rPr>
              <w:t>16.</w:t>
            </w:r>
            <w:r>
              <w:rPr>
                <w:rFonts w:asciiTheme="minorHAnsi" w:eastAsiaTheme="minorEastAsia" w:hAnsiTheme="minorHAnsi" w:cstheme="minorBidi"/>
                <w:noProof/>
                <w:kern w:val="2"/>
                <w:sz w:val="24"/>
                <w14:ligatures w14:val="standardContextual"/>
              </w:rPr>
              <w:tab/>
            </w:r>
            <w:r w:rsidRPr="008669B1">
              <w:rPr>
                <w:rStyle w:val="Hyperlink"/>
                <w:noProof/>
              </w:rPr>
              <w:t>APPENDIX B – Contact details</w:t>
            </w:r>
            <w:r>
              <w:rPr>
                <w:noProof/>
                <w:webHidden/>
              </w:rPr>
              <w:tab/>
            </w:r>
            <w:r>
              <w:rPr>
                <w:noProof/>
                <w:webHidden/>
              </w:rPr>
              <w:fldChar w:fldCharType="begin"/>
            </w:r>
            <w:r>
              <w:rPr>
                <w:noProof/>
                <w:webHidden/>
              </w:rPr>
              <w:instrText xml:space="preserve"> PAGEREF _Toc233282530 \h </w:instrText>
            </w:r>
            <w:r>
              <w:rPr>
                <w:noProof/>
                <w:webHidden/>
              </w:rPr>
            </w:r>
            <w:r>
              <w:rPr>
                <w:noProof/>
                <w:webHidden/>
              </w:rPr>
              <w:fldChar w:fldCharType="separate"/>
            </w:r>
            <w:r w:rsidR="004B171E">
              <w:rPr>
                <w:noProof/>
                <w:webHidden/>
              </w:rPr>
              <w:t>410</w:t>
            </w:r>
            <w:r>
              <w:rPr>
                <w:noProof/>
                <w:webHidden/>
              </w:rPr>
              <w:fldChar w:fldCharType="end"/>
            </w:r>
          </w:hyperlink>
        </w:p>
        <w:p w14:paraId="04076E35" w14:textId="0162157C"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1" w:history="1">
            <w:r w:rsidRPr="008669B1">
              <w:rPr>
                <w:rStyle w:val="Hyperlink"/>
                <w:noProof/>
              </w:rPr>
              <w:t>17.</w:t>
            </w:r>
            <w:r>
              <w:rPr>
                <w:rFonts w:asciiTheme="minorHAnsi" w:eastAsiaTheme="minorEastAsia" w:hAnsiTheme="minorHAnsi" w:cstheme="minorBidi"/>
                <w:noProof/>
                <w:kern w:val="2"/>
                <w:sz w:val="24"/>
                <w14:ligatures w14:val="standardContextual"/>
              </w:rPr>
              <w:tab/>
            </w:r>
            <w:r w:rsidRPr="008669B1">
              <w:rPr>
                <w:rStyle w:val="Hyperlink"/>
                <w:noProof/>
              </w:rPr>
              <w:t>APPENDIX C – Clinical governance guidance for aged care needs assessment organisations</w:t>
            </w:r>
            <w:r>
              <w:rPr>
                <w:noProof/>
                <w:webHidden/>
              </w:rPr>
              <w:tab/>
            </w:r>
            <w:r>
              <w:rPr>
                <w:noProof/>
                <w:webHidden/>
              </w:rPr>
              <w:fldChar w:fldCharType="begin"/>
            </w:r>
            <w:r>
              <w:rPr>
                <w:noProof/>
                <w:webHidden/>
              </w:rPr>
              <w:instrText xml:space="preserve"> PAGEREF _Toc233282531 \h </w:instrText>
            </w:r>
            <w:r>
              <w:rPr>
                <w:noProof/>
                <w:webHidden/>
              </w:rPr>
            </w:r>
            <w:r>
              <w:rPr>
                <w:noProof/>
                <w:webHidden/>
              </w:rPr>
              <w:fldChar w:fldCharType="separate"/>
            </w:r>
            <w:r w:rsidR="004B171E">
              <w:rPr>
                <w:noProof/>
                <w:webHidden/>
              </w:rPr>
              <w:t>412</w:t>
            </w:r>
            <w:r>
              <w:rPr>
                <w:noProof/>
                <w:webHidden/>
              </w:rPr>
              <w:fldChar w:fldCharType="end"/>
            </w:r>
          </w:hyperlink>
        </w:p>
        <w:p w14:paraId="2C1B9017" w14:textId="424A6707"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2" w:history="1">
            <w:r w:rsidRPr="008669B1">
              <w:rPr>
                <w:rStyle w:val="Hyperlink"/>
                <w:noProof/>
              </w:rPr>
              <w:t>18.</w:t>
            </w:r>
            <w:r>
              <w:rPr>
                <w:rFonts w:asciiTheme="minorHAnsi" w:eastAsiaTheme="minorEastAsia" w:hAnsiTheme="minorHAnsi" w:cstheme="minorBidi"/>
                <w:noProof/>
                <w:kern w:val="2"/>
                <w:sz w:val="24"/>
                <w14:ligatures w14:val="standardContextual"/>
              </w:rPr>
              <w:tab/>
            </w:r>
            <w:r w:rsidRPr="008669B1">
              <w:rPr>
                <w:rStyle w:val="Hyperlink"/>
                <w:noProof/>
              </w:rPr>
              <w:t>APPENDIX D – Clinical attendance</w:t>
            </w:r>
            <w:r>
              <w:rPr>
                <w:noProof/>
                <w:webHidden/>
              </w:rPr>
              <w:tab/>
            </w:r>
            <w:r>
              <w:rPr>
                <w:noProof/>
                <w:webHidden/>
              </w:rPr>
              <w:fldChar w:fldCharType="begin"/>
            </w:r>
            <w:r>
              <w:rPr>
                <w:noProof/>
                <w:webHidden/>
              </w:rPr>
              <w:instrText xml:space="preserve"> PAGEREF _Toc233282532 \h </w:instrText>
            </w:r>
            <w:r>
              <w:rPr>
                <w:noProof/>
                <w:webHidden/>
              </w:rPr>
            </w:r>
            <w:r>
              <w:rPr>
                <w:noProof/>
                <w:webHidden/>
              </w:rPr>
              <w:fldChar w:fldCharType="separate"/>
            </w:r>
            <w:r w:rsidR="004B171E">
              <w:rPr>
                <w:noProof/>
                <w:webHidden/>
              </w:rPr>
              <w:t>416</w:t>
            </w:r>
            <w:r>
              <w:rPr>
                <w:noProof/>
                <w:webHidden/>
              </w:rPr>
              <w:fldChar w:fldCharType="end"/>
            </w:r>
          </w:hyperlink>
        </w:p>
        <w:p w14:paraId="38739BF8" w14:textId="5458AC03"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3" w:history="1">
            <w:r w:rsidRPr="008669B1">
              <w:rPr>
                <w:rStyle w:val="Hyperlink"/>
                <w:noProof/>
              </w:rPr>
              <w:t>19.</w:t>
            </w:r>
            <w:r>
              <w:rPr>
                <w:rFonts w:asciiTheme="minorHAnsi" w:eastAsiaTheme="minorEastAsia" w:hAnsiTheme="minorHAnsi" w:cstheme="minorBidi"/>
                <w:noProof/>
                <w:kern w:val="2"/>
                <w:sz w:val="24"/>
                <w14:ligatures w14:val="standardContextual"/>
              </w:rPr>
              <w:tab/>
            </w:r>
            <w:r w:rsidRPr="008669B1">
              <w:rPr>
                <w:rStyle w:val="Hyperlink"/>
                <w:noProof/>
              </w:rPr>
              <w:t>APPENDIX E – Wellness and reablement</w:t>
            </w:r>
            <w:r>
              <w:rPr>
                <w:noProof/>
                <w:webHidden/>
              </w:rPr>
              <w:tab/>
            </w:r>
            <w:r>
              <w:rPr>
                <w:noProof/>
                <w:webHidden/>
              </w:rPr>
              <w:fldChar w:fldCharType="begin"/>
            </w:r>
            <w:r>
              <w:rPr>
                <w:noProof/>
                <w:webHidden/>
              </w:rPr>
              <w:instrText xml:space="preserve"> PAGEREF _Toc233282533 \h </w:instrText>
            </w:r>
            <w:r>
              <w:rPr>
                <w:noProof/>
                <w:webHidden/>
              </w:rPr>
            </w:r>
            <w:r>
              <w:rPr>
                <w:noProof/>
                <w:webHidden/>
              </w:rPr>
              <w:fldChar w:fldCharType="separate"/>
            </w:r>
            <w:r w:rsidR="004B171E">
              <w:rPr>
                <w:noProof/>
                <w:webHidden/>
              </w:rPr>
              <w:t>421</w:t>
            </w:r>
            <w:r>
              <w:rPr>
                <w:noProof/>
                <w:webHidden/>
              </w:rPr>
              <w:fldChar w:fldCharType="end"/>
            </w:r>
          </w:hyperlink>
        </w:p>
        <w:p w14:paraId="46335C39" w14:textId="6C35EC26"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4" w:history="1">
            <w:r w:rsidRPr="008669B1">
              <w:rPr>
                <w:rStyle w:val="Hyperlink"/>
                <w:noProof/>
              </w:rPr>
              <w:t>20.</w:t>
            </w:r>
            <w:r>
              <w:rPr>
                <w:rFonts w:asciiTheme="minorHAnsi" w:eastAsiaTheme="minorEastAsia" w:hAnsiTheme="minorHAnsi" w:cstheme="minorBidi"/>
                <w:noProof/>
                <w:kern w:val="2"/>
                <w:sz w:val="24"/>
                <w14:ligatures w14:val="standardContextual"/>
              </w:rPr>
              <w:tab/>
            </w:r>
            <w:r w:rsidRPr="008669B1">
              <w:rPr>
                <w:rStyle w:val="Hyperlink"/>
                <w:noProof/>
              </w:rPr>
              <w:t>APPENDIX F – Aged care assessment workforce minimum qualifications</w:t>
            </w:r>
            <w:r>
              <w:rPr>
                <w:noProof/>
                <w:webHidden/>
              </w:rPr>
              <w:tab/>
            </w:r>
            <w:r>
              <w:rPr>
                <w:noProof/>
                <w:webHidden/>
              </w:rPr>
              <w:fldChar w:fldCharType="begin"/>
            </w:r>
            <w:r>
              <w:rPr>
                <w:noProof/>
                <w:webHidden/>
              </w:rPr>
              <w:instrText xml:space="preserve"> PAGEREF _Toc233282534 \h </w:instrText>
            </w:r>
            <w:r>
              <w:rPr>
                <w:noProof/>
                <w:webHidden/>
              </w:rPr>
            </w:r>
            <w:r>
              <w:rPr>
                <w:noProof/>
                <w:webHidden/>
              </w:rPr>
              <w:fldChar w:fldCharType="separate"/>
            </w:r>
            <w:r w:rsidR="004B171E">
              <w:rPr>
                <w:noProof/>
                <w:webHidden/>
              </w:rPr>
              <w:t>433</w:t>
            </w:r>
            <w:r>
              <w:rPr>
                <w:noProof/>
                <w:webHidden/>
              </w:rPr>
              <w:fldChar w:fldCharType="end"/>
            </w:r>
          </w:hyperlink>
        </w:p>
        <w:p w14:paraId="3B65DC76" w14:textId="0ED0ABC1"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5" w:history="1">
            <w:r w:rsidRPr="008669B1">
              <w:rPr>
                <w:rStyle w:val="Hyperlink"/>
                <w:noProof/>
              </w:rPr>
              <w:t>21.</w:t>
            </w:r>
            <w:r>
              <w:rPr>
                <w:rFonts w:asciiTheme="minorHAnsi" w:eastAsiaTheme="minorEastAsia" w:hAnsiTheme="minorHAnsi" w:cstheme="minorBidi"/>
                <w:noProof/>
                <w:kern w:val="2"/>
                <w:sz w:val="24"/>
                <w14:ligatures w14:val="standardContextual"/>
              </w:rPr>
              <w:tab/>
            </w:r>
            <w:r w:rsidRPr="008669B1">
              <w:rPr>
                <w:rStyle w:val="Hyperlink"/>
                <w:noProof/>
              </w:rPr>
              <w:t>APPENDIX G – AT-HM terms</w:t>
            </w:r>
            <w:r>
              <w:rPr>
                <w:noProof/>
                <w:webHidden/>
              </w:rPr>
              <w:tab/>
            </w:r>
            <w:r>
              <w:rPr>
                <w:noProof/>
                <w:webHidden/>
              </w:rPr>
              <w:fldChar w:fldCharType="begin"/>
            </w:r>
            <w:r>
              <w:rPr>
                <w:noProof/>
                <w:webHidden/>
              </w:rPr>
              <w:instrText xml:space="preserve"> PAGEREF _Toc233282535 \h </w:instrText>
            </w:r>
            <w:r>
              <w:rPr>
                <w:noProof/>
                <w:webHidden/>
              </w:rPr>
            </w:r>
            <w:r>
              <w:rPr>
                <w:noProof/>
                <w:webHidden/>
              </w:rPr>
              <w:fldChar w:fldCharType="separate"/>
            </w:r>
            <w:r w:rsidR="004B171E">
              <w:rPr>
                <w:noProof/>
                <w:webHidden/>
              </w:rPr>
              <w:t>437</w:t>
            </w:r>
            <w:r>
              <w:rPr>
                <w:noProof/>
                <w:webHidden/>
              </w:rPr>
              <w:fldChar w:fldCharType="end"/>
            </w:r>
          </w:hyperlink>
        </w:p>
        <w:p w14:paraId="4DC767F8" w14:textId="6EDCD6E6"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6" w:history="1">
            <w:r w:rsidRPr="008669B1">
              <w:rPr>
                <w:rStyle w:val="Hyperlink"/>
                <w:noProof/>
              </w:rPr>
              <w:t>22.</w:t>
            </w:r>
            <w:r>
              <w:rPr>
                <w:rFonts w:asciiTheme="minorHAnsi" w:eastAsiaTheme="minorEastAsia" w:hAnsiTheme="minorHAnsi" w:cstheme="minorBidi"/>
                <w:noProof/>
                <w:kern w:val="2"/>
                <w:sz w:val="24"/>
                <w14:ligatures w14:val="standardContextual"/>
              </w:rPr>
              <w:tab/>
            </w:r>
            <w:r w:rsidRPr="008669B1">
              <w:rPr>
                <w:rStyle w:val="Hyperlink"/>
                <w:noProof/>
              </w:rPr>
              <w:t>APPENDIX H – Case studies- individuals experiencing homelessness or who are at risk of homelessness</w:t>
            </w:r>
            <w:r>
              <w:rPr>
                <w:noProof/>
                <w:webHidden/>
              </w:rPr>
              <w:tab/>
            </w:r>
            <w:r>
              <w:rPr>
                <w:noProof/>
                <w:webHidden/>
              </w:rPr>
              <w:fldChar w:fldCharType="begin"/>
            </w:r>
            <w:r>
              <w:rPr>
                <w:noProof/>
                <w:webHidden/>
              </w:rPr>
              <w:instrText xml:space="preserve"> PAGEREF _Toc233282536 \h </w:instrText>
            </w:r>
            <w:r>
              <w:rPr>
                <w:noProof/>
                <w:webHidden/>
              </w:rPr>
            </w:r>
            <w:r>
              <w:rPr>
                <w:noProof/>
                <w:webHidden/>
              </w:rPr>
              <w:fldChar w:fldCharType="separate"/>
            </w:r>
            <w:r w:rsidR="004B171E">
              <w:rPr>
                <w:noProof/>
                <w:webHidden/>
              </w:rPr>
              <w:t>438</w:t>
            </w:r>
            <w:r>
              <w:rPr>
                <w:noProof/>
                <w:webHidden/>
              </w:rPr>
              <w:fldChar w:fldCharType="end"/>
            </w:r>
          </w:hyperlink>
        </w:p>
        <w:p w14:paraId="75EC6B68" w14:textId="46D02116" w:rsidR="00483B5C" w:rsidRDefault="00483B5C">
          <w:pPr>
            <w:pStyle w:val="TOC1"/>
            <w:tabs>
              <w:tab w:val="left" w:pos="720"/>
              <w:tab w:val="right" w:leader="dot" w:pos="9016"/>
            </w:tabs>
            <w:rPr>
              <w:rFonts w:asciiTheme="minorHAnsi" w:eastAsiaTheme="minorEastAsia" w:hAnsiTheme="minorHAnsi" w:cstheme="minorBidi"/>
              <w:noProof/>
              <w:kern w:val="2"/>
              <w:sz w:val="24"/>
              <w14:ligatures w14:val="standardContextual"/>
            </w:rPr>
          </w:pPr>
          <w:hyperlink w:anchor="_Toc233282537" w:history="1">
            <w:r w:rsidRPr="008669B1">
              <w:rPr>
                <w:rStyle w:val="Hyperlink"/>
                <w:noProof/>
              </w:rPr>
              <w:t>23.</w:t>
            </w:r>
            <w:r>
              <w:rPr>
                <w:rFonts w:asciiTheme="minorHAnsi" w:eastAsiaTheme="minorEastAsia" w:hAnsiTheme="minorHAnsi" w:cstheme="minorBidi"/>
                <w:noProof/>
                <w:kern w:val="2"/>
                <w:sz w:val="24"/>
                <w14:ligatures w14:val="standardContextual"/>
              </w:rPr>
              <w:tab/>
            </w:r>
            <w:r w:rsidRPr="008669B1">
              <w:rPr>
                <w:rStyle w:val="Hyperlink"/>
                <w:noProof/>
              </w:rPr>
              <w:t>APPENDIX I – IAT amendments guidance</w:t>
            </w:r>
            <w:r>
              <w:rPr>
                <w:noProof/>
                <w:webHidden/>
              </w:rPr>
              <w:tab/>
            </w:r>
            <w:r>
              <w:rPr>
                <w:noProof/>
                <w:webHidden/>
              </w:rPr>
              <w:fldChar w:fldCharType="begin"/>
            </w:r>
            <w:r>
              <w:rPr>
                <w:noProof/>
                <w:webHidden/>
              </w:rPr>
              <w:instrText xml:space="preserve"> PAGEREF _Toc233282537 \h </w:instrText>
            </w:r>
            <w:r>
              <w:rPr>
                <w:noProof/>
                <w:webHidden/>
              </w:rPr>
            </w:r>
            <w:r>
              <w:rPr>
                <w:noProof/>
                <w:webHidden/>
              </w:rPr>
              <w:fldChar w:fldCharType="separate"/>
            </w:r>
            <w:r w:rsidR="004B171E">
              <w:rPr>
                <w:noProof/>
                <w:webHidden/>
              </w:rPr>
              <w:t>444</w:t>
            </w:r>
            <w:r>
              <w:rPr>
                <w:noProof/>
                <w:webHidden/>
              </w:rPr>
              <w:fldChar w:fldCharType="end"/>
            </w:r>
          </w:hyperlink>
        </w:p>
        <w:p w14:paraId="746CA55A" w14:textId="09E17E94" w:rsidR="00780D44" w:rsidRPr="000F6CD1" w:rsidRDefault="00AD1D15" w:rsidP="00780D44">
          <w:r w:rsidRPr="000F6CD1">
            <w:fldChar w:fldCharType="end"/>
          </w:r>
        </w:p>
      </w:sdtContent>
    </w:sdt>
    <w:p w14:paraId="357DB1DB" w14:textId="3D8C6BB1" w:rsidR="00780D44" w:rsidRPr="000F6CD1" w:rsidRDefault="00780D44" w:rsidP="00AC3600">
      <w:pPr>
        <w:pStyle w:val="H1"/>
        <w:numPr>
          <w:ilvl w:val="0"/>
          <w:numId w:val="0"/>
        </w:numPr>
        <w:ind w:left="360"/>
      </w:pPr>
      <w:bookmarkStart w:id="7" w:name="_Toc198813630"/>
      <w:bookmarkStart w:id="8" w:name="_Toc207291857"/>
      <w:bookmarkStart w:id="9" w:name="_Toc209188930"/>
      <w:bookmarkStart w:id="10" w:name="_Toc212805570"/>
      <w:bookmarkStart w:id="11" w:name="_Toc233282398"/>
      <w:r w:rsidRPr="000F6CD1">
        <w:lastRenderedPageBreak/>
        <w:t xml:space="preserve">Document </w:t>
      </w:r>
      <w:r w:rsidR="00BA5514" w:rsidRPr="000F6CD1">
        <w:t>p</w:t>
      </w:r>
      <w:r w:rsidRPr="000F6CD1">
        <w:t>urpose</w:t>
      </w:r>
      <w:bookmarkEnd w:id="7"/>
      <w:bookmarkEnd w:id="8"/>
      <w:bookmarkEnd w:id="9"/>
      <w:bookmarkEnd w:id="10"/>
      <w:bookmarkEnd w:id="11"/>
    </w:p>
    <w:tbl>
      <w:tblPr>
        <w:tblStyle w:val="TableGrid"/>
        <w:tblW w:w="9015" w:type="dxa"/>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9015"/>
      </w:tblGrid>
      <w:tr w:rsidR="00780D44" w:rsidRPr="000F6CD1" w14:paraId="2EC89B99" w14:textId="77777777" w:rsidTr="00BB3BFB">
        <w:trPr>
          <w:trHeight w:val="8129"/>
        </w:trPr>
        <w:tc>
          <w:tcPr>
            <w:tcW w:w="9015" w:type="dxa"/>
            <w:shd w:val="clear" w:color="auto" w:fill="F2F2F2" w:themeFill="background1" w:themeFillShade="F2"/>
          </w:tcPr>
          <w:p w14:paraId="1C9C151F" w14:textId="57D17311" w:rsidR="00377DCF" w:rsidRPr="000F6CD1" w:rsidRDefault="00780D44" w:rsidP="00B101E4">
            <w:pPr>
              <w:pStyle w:val="Normal1stParaafterHeading1"/>
              <w:spacing w:before="0" w:after="240" w:line="300" w:lineRule="exact"/>
            </w:pPr>
            <w:r w:rsidRPr="000F6CD1">
              <w:t xml:space="preserve">This Aged Care Assessment Manual specifies mandatory and best practice guidance for aged care needs assessment teams including assessors, team leaders, triage delegates and assessment delegates. To achieve the delivery of high-quality assessment services, assessment organisations are required to </w:t>
            </w:r>
            <w:r w:rsidR="003E2747" w:rsidRPr="000F6CD1">
              <w:t>follow</w:t>
            </w:r>
            <w:r w:rsidRPr="000F6CD1">
              <w:t xml:space="preserve"> the guidance in this manual in the assessment of older people’s support and aged care needs and eligibility for government funded aged care services under the </w:t>
            </w:r>
            <w:r w:rsidRPr="000F6CD1">
              <w:rPr>
                <w:i/>
                <w:iCs/>
              </w:rPr>
              <w:t>Aged Care Act 2024</w:t>
            </w:r>
            <w:r w:rsidRPr="000F6CD1">
              <w:t xml:space="preserve"> (Cth). </w:t>
            </w:r>
          </w:p>
          <w:p w14:paraId="192DB85D" w14:textId="1CBF30DD" w:rsidR="00780D44" w:rsidRPr="000F6CD1" w:rsidRDefault="00780D44">
            <w:pPr>
              <w:pStyle w:val="NumberedList"/>
              <w:spacing w:after="0" w:line="300" w:lineRule="exact"/>
              <w:rPr>
                <w:lang w:val="en-AU"/>
              </w:rPr>
            </w:pPr>
            <w:r w:rsidRPr="000F6CD1">
              <w:rPr>
                <w:lang w:val="en-AU"/>
              </w:rPr>
              <w:t xml:space="preserve">In addition to the guidance in this manual, assessors </w:t>
            </w:r>
            <w:r w:rsidR="004768B0" w:rsidRPr="000F6CD1">
              <w:rPr>
                <w:lang w:val="en-AU"/>
              </w:rPr>
              <w:t xml:space="preserve">are expected to </w:t>
            </w:r>
            <w:r w:rsidRPr="000F6CD1">
              <w:rPr>
                <w:lang w:val="en-AU"/>
              </w:rPr>
              <w:t xml:space="preserve">also use the </w:t>
            </w:r>
            <w:hyperlink r:id="rId26" w:history="1">
              <w:r w:rsidRPr="000F6CD1">
                <w:rPr>
                  <w:rStyle w:val="Hyperlink"/>
                  <w:lang w:val="en-AU"/>
                </w:rPr>
                <w:t>Aged Care Assessment Quality Framework</w:t>
              </w:r>
            </w:hyperlink>
            <w:r w:rsidRPr="000F6CD1">
              <w:rPr>
                <w:lang w:val="en-AU"/>
              </w:rPr>
              <w:t xml:space="preserve"> to deliver a high-quality assessment experience and service for every older person. All assessors, delegates and team leaders are also required to complete the mandatory training outlined in the My Aged Care Workforce Learning Strategy</w:t>
            </w:r>
            <w:r w:rsidR="00341D9B" w:rsidRPr="000F6CD1">
              <w:rPr>
                <w:lang w:val="en-AU"/>
              </w:rPr>
              <w:t xml:space="preserve"> v1.5</w:t>
            </w:r>
            <w:r w:rsidRPr="000F6CD1">
              <w:rPr>
                <w:lang w:val="en-AU"/>
              </w:rPr>
              <w:t xml:space="preserve">. </w:t>
            </w:r>
          </w:p>
          <w:p w14:paraId="0A0684C8" w14:textId="77777777" w:rsidR="00780D44" w:rsidRPr="000F6CD1" w:rsidRDefault="00780D44">
            <w:pPr>
              <w:pStyle w:val="NumberedList"/>
              <w:spacing w:after="0" w:line="300" w:lineRule="exact"/>
              <w:rPr>
                <w:lang w:val="en-AU"/>
              </w:rPr>
            </w:pPr>
          </w:p>
          <w:p w14:paraId="37209A97" w14:textId="77777777" w:rsidR="00780D44" w:rsidRPr="000F6CD1" w:rsidRDefault="00780D44">
            <w:pPr>
              <w:pStyle w:val="NumberedList"/>
              <w:spacing w:after="0" w:line="300" w:lineRule="exact"/>
              <w:rPr>
                <w:lang w:val="en-AU"/>
              </w:rPr>
            </w:pPr>
            <w:r w:rsidRPr="000F6CD1">
              <w:rPr>
                <w:lang w:val="en-AU"/>
              </w:rPr>
              <w:t>The Department of Health, Disability and Ageing will regularly review and update this Manual as required to ensure it remains up to date in the context of system changes and enhancements to the My Aged Care operating model.</w:t>
            </w:r>
          </w:p>
          <w:p w14:paraId="78D75397" w14:textId="77777777" w:rsidR="00780D44" w:rsidRPr="000F6CD1" w:rsidRDefault="00780D44"/>
          <w:p w14:paraId="4A9F615D" w14:textId="5CA8DB1A" w:rsidR="00B101E4" w:rsidRPr="000F6CD1" w:rsidRDefault="00B101E4">
            <w:r w:rsidRPr="000F6CD1">
              <w:t xml:space="preserve">Guidance for </w:t>
            </w:r>
            <w:r w:rsidR="00B17F43" w:rsidRPr="000F6CD1">
              <w:t xml:space="preserve">undertaking </w:t>
            </w:r>
            <w:r w:rsidRPr="000F6CD1">
              <w:t xml:space="preserve">residential aged care (RAC) funding assessments is provided in the Australian National Aged Care Classification (AN-ACC) RAC Funding Assessor Training Manual. </w:t>
            </w:r>
          </w:p>
          <w:p w14:paraId="5733E351" w14:textId="77777777" w:rsidR="00B101E4" w:rsidRPr="000F6CD1" w:rsidRDefault="00B101E4"/>
          <w:p w14:paraId="77AEC5A8" w14:textId="77777777" w:rsidR="00780D44" w:rsidRPr="000F6CD1" w:rsidRDefault="00780D44">
            <w:r w:rsidRPr="000F6CD1">
              <w:t>Key sources of information to complement this manual include:</w:t>
            </w:r>
          </w:p>
          <w:p w14:paraId="06E1BD57" w14:textId="77777777" w:rsidR="00780D44" w:rsidRPr="000F6CD1" w:rsidRDefault="00780D44" w:rsidP="00F633E7">
            <w:pPr>
              <w:pStyle w:val="ListParagraph"/>
              <w:numPr>
                <w:ilvl w:val="0"/>
                <w:numId w:val="33"/>
              </w:numPr>
            </w:pPr>
            <w:hyperlink r:id="rId27" w:history="1">
              <w:r w:rsidRPr="000F6CD1">
                <w:rPr>
                  <w:rStyle w:val="Hyperlink"/>
                </w:rPr>
                <w:t>IAT User Guide</w:t>
              </w:r>
            </w:hyperlink>
            <w:r w:rsidRPr="000F6CD1">
              <w:t xml:space="preserve"> </w:t>
            </w:r>
          </w:p>
          <w:p w14:paraId="1D295719" w14:textId="77777777" w:rsidR="00780D44" w:rsidRPr="000F6CD1" w:rsidRDefault="00780D44" w:rsidP="00F633E7">
            <w:pPr>
              <w:pStyle w:val="ListParagraph"/>
              <w:numPr>
                <w:ilvl w:val="0"/>
                <w:numId w:val="33"/>
              </w:numPr>
              <w:rPr>
                <w:rStyle w:val="Hyperlink"/>
              </w:rPr>
            </w:pPr>
            <w:r w:rsidRPr="000F6CD1">
              <w:fldChar w:fldCharType="begin"/>
            </w:r>
            <w:r w:rsidRPr="000F6CD1">
              <w:instrText>HYPERLINK "https://www.health.gov.au/resources/publications/aged-care-assessment-quality-framework?language=en"</w:instrText>
            </w:r>
            <w:r w:rsidRPr="000F6CD1">
              <w:fldChar w:fldCharType="separate"/>
            </w:r>
            <w:r w:rsidRPr="000F6CD1">
              <w:rPr>
                <w:rStyle w:val="Hyperlink"/>
              </w:rPr>
              <w:t xml:space="preserve">Aged Care Assessment Quality Framework </w:t>
            </w:r>
          </w:p>
          <w:p w14:paraId="55FF1F2A" w14:textId="2C8B597B" w:rsidR="00780D44" w:rsidRPr="00F44E99" w:rsidRDefault="00780D44" w:rsidP="00F633E7">
            <w:pPr>
              <w:pStyle w:val="ListParagraph"/>
              <w:numPr>
                <w:ilvl w:val="0"/>
                <w:numId w:val="33"/>
              </w:numPr>
              <w:rPr>
                <w:i/>
                <w:iCs/>
              </w:rPr>
            </w:pPr>
            <w:r w:rsidRPr="000F6CD1">
              <w:fldChar w:fldCharType="end"/>
            </w:r>
            <w:hyperlink r:id="rId28" w:history="1">
              <w:r w:rsidRPr="00F44E99">
                <w:rPr>
                  <w:rStyle w:val="Hyperlink"/>
                  <w:i/>
                  <w:iCs/>
                </w:rPr>
                <w:t>Aged Care Act 2024</w:t>
              </w:r>
            </w:hyperlink>
          </w:p>
          <w:p w14:paraId="181ADFD6" w14:textId="7C4C15C5" w:rsidR="00C2010B" w:rsidRPr="007D339D" w:rsidRDefault="00C2010B" w:rsidP="00F633E7">
            <w:pPr>
              <w:pStyle w:val="ListParagraph"/>
              <w:numPr>
                <w:ilvl w:val="0"/>
                <w:numId w:val="33"/>
              </w:numPr>
              <w:rPr>
                <w:i/>
                <w:iCs/>
              </w:rPr>
            </w:pPr>
            <w:hyperlink r:id="rId29" w:history="1">
              <w:r w:rsidRPr="007D339D">
                <w:rPr>
                  <w:rStyle w:val="Hyperlink"/>
                  <w:i/>
                  <w:iCs/>
                </w:rPr>
                <w:t>Aged Care Rules 2025</w:t>
              </w:r>
            </w:hyperlink>
          </w:p>
          <w:p w14:paraId="4B6CF975" w14:textId="77777777" w:rsidR="00780D44" w:rsidRPr="000F6CD1" w:rsidRDefault="00780D44" w:rsidP="00F633E7">
            <w:pPr>
              <w:pStyle w:val="ListParagraph"/>
              <w:numPr>
                <w:ilvl w:val="0"/>
                <w:numId w:val="33"/>
              </w:numPr>
              <w:rPr>
                <w:color w:val="2BB1BB"/>
                <w:u w:val="single"/>
              </w:rPr>
            </w:pPr>
            <w:hyperlink r:id="rId30">
              <w:r w:rsidRPr="000F6CD1">
                <w:rPr>
                  <w:rStyle w:val="Hyperlink"/>
                </w:rPr>
                <w:t>My Aged Care website</w:t>
              </w:r>
            </w:hyperlink>
          </w:p>
          <w:p w14:paraId="2EAAD70B" w14:textId="783AD0B7" w:rsidR="00780D44" w:rsidRPr="000F6CD1" w:rsidRDefault="00780D44" w:rsidP="00F633E7">
            <w:pPr>
              <w:pStyle w:val="ListParagraph"/>
              <w:numPr>
                <w:ilvl w:val="0"/>
                <w:numId w:val="33"/>
              </w:numPr>
            </w:pPr>
            <w:hyperlink r:id="rId31" w:anchor="fact-sheets" w:history="1">
              <w:r w:rsidRPr="000F6CD1">
                <w:rPr>
                  <w:rStyle w:val="Hyperlink"/>
                </w:rPr>
                <w:t>Fact sheets for Assessors</w:t>
              </w:r>
            </w:hyperlink>
          </w:p>
          <w:p w14:paraId="6B089D28" w14:textId="32420BD8" w:rsidR="00780D44" w:rsidRPr="000F6CD1" w:rsidRDefault="00780D44" w:rsidP="00F633E7">
            <w:pPr>
              <w:pStyle w:val="ListParagraph"/>
              <w:numPr>
                <w:ilvl w:val="0"/>
                <w:numId w:val="33"/>
              </w:numPr>
            </w:pPr>
            <w:hyperlink r:id="rId32" w:history="1">
              <w:r w:rsidRPr="000F6CD1">
                <w:rPr>
                  <w:rStyle w:val="Hyperlink"/>
                </w:rPr>
                <w:t>My Aged Care Assessor Portal resources</w:t>
              </w:r>
            </w:hyperlink>
            <w:r w:rsidRPr="000F6CD1">
              <w:t xml:space="preserve"> </w:t>
            </w:r>
          </w:p>
          <w:p w14:paraId="4481F168" w14:textId="1EA48EA7" w:rsidR="00780D44" w:rsidRPr="000F6CD1" w:rsidRDefault="00780D44" w:rsidP="00F633E7">
            <w:pPr>
              <w:pStyle w:val="ListParagraph"/>
              <w:numPr>
                <w:ilvl w:val="0"/>
                <w:numId w:val="33"/>
              </w:numPr>
            </w:pPr>
            <w:hyperlink r:id="rId33" w:history="1">
              <w:r w:rsidRPr="000F6CD1">
                <w:rPr>
                  <w:rStyle w:val="Hyperlink"/>
                </w:rPr>
                <w:t>My Aged Care Workforce Learning Strategy</w:t>
              </w:r>
            </w:hyperlink>
          </w:p>
          <w:p w14:paraId="18E34CB8" w14:textId="7D086C9B" w:rsidR="002C20FD" w:rsidRPr="000F6CD1" w:rsidRDefault="002C20FD" w:rsidP="00F633E7">
            <w:pPr>
              <w:pStyle w:val="ListParagraph"/>
              <w:numPr>
                <w:ilvl w:val="0"/>
                <w:numId w:val="33"/>
              </w:numPr>
            </w:pPr>
            <w:r w:rsidRPr="000F6CD1">
              <w:t>Assessment Hub SharePoint Site</w:t>
            </w:r>
          </w:p>
          <w:p w14:paraId="4816EF95" w14:textId="1438BB4A" w:rsidR="00780D44" w:rsidRPr="000F6CD1" w:rsidRDefault="00780D44" w:rsidP="00F633E7">
            <w:pPr>
              <w:pStyle w:val="ListParagraph"/>
              <w:numPr>
                <w:ilvl w:val="0"/>
                <w:numId w:val="33"/>
              </w:numPr>
            </w:pPr>
            <w:hyperlink r:id="rId34" w:history="1">
              <w:r w:rsidRPr="000F6CD1">
                <w:rPr>
                  <w:rStyle w:val="Hyperlink"/>
                </w:rPr>
                <w:t xml:space="preserve">Support at Home Program Manual </w:t>
              </w:r>
            </w:hyperlink>
          </w:p>
          <w:p w14:paraId="32F207F0" w14:textId="5058370A" w:rsidR="00780D44" w:rsidRPr="000F6CD1" w:rsidRDefault="00780D44" w:rsidP="00F633E7">
            <w:pPr>
              <w:pStyle w:val="ListParagraph"/>
              <w:numPr>
                <w:ilvl w:val="0"/>
                <w:numId w:val="33"/>
              </w:numPr>
            </w:pPr>
            <w:hyperlink r:id="rId35" w:history="1">
              <w:r w:rsidRPr="000F6CD1">
                <w:rPr>
                  <w:rStyle w:val="Hyperlink"/>
                </w:rPr>
                <w:t>Commonwealth Home Support Program (CHSP) Manual 2025-2027</w:t>
              </w:r>
            </w:hyperlink>
            <w:r w:rsidRPr="000F6CD1">
              <w:t xml:space="preserve"> </w:t>
            </w:r>
          </w:p>
          <w:p w14:paraId="0A274FBE" w14:textId="7015E97C" w:rsidR="00780D44" w:rsidRPr="000F6CD1" w:rsidRDefault="00780D44" w:rsidP="00F633E7">
            <w:pPr>
              <w:pStyle w:val="ListParagraph"/>
              <w:numPr>
                <w:ilvl w:val="0"/>
                <w:numId w:val="33"/>
              </w:numPr>
              <w:rPr>
                <w:rStyle w:val="Hyperlink"/>
              </w:rPr>
            </w:pPr>
            <w:hyperlink r:id="rId36" w:history="1">
              <w:r w:rsidRPr="000F6CD1">
                <w:rPr>
                  <w:rStyle w:val="Hyperlink"/>
                </w:rPr>
                <w:t>Multi-Purpose Service Program (MPSP)</w:t>
              </w:r>
              <w:r w:rsidR="00EA2B6D" w:rsidRPr="000F6CD1">
                <w:rPr>
                  <w:rStyle w:val="Hyperlink"/>
                </w:rPr>
                <w:t xml:space="preserve"> Fact Sheets</w:t>
              </w:r>
            </w:hyperlink>
            <w:r w:rsidR="007405E3" w:rsidRPr="000F6CD1">
              <w:fldChar w:fldCharType="begin"/>
            </w:r>
            <w:r w:rsidR="007405E3" w:rsidRPr="000F6CD1">
              <w:instrText>HYPERLINK "https://www.health.gov.au/resources/publications/natsifac-program-manual?language=en"</w:instrText>
            </w:r>
            <w:r w:rsidR="007405E3" w:rsidRPr="000F6CD1">
              <w:fldChar w:fldCharType="separate"/>
            </w:r>
          </w:p>
          <w:p w14:paraId="212ADF6D" w14:textId="2E56DF07" w:rsidR="00780D44" w:rsidRPr="000F6CD1" w:rsidRDefault="00780D44" w:rsidP="00F633E7">
            <w:pPr>
              <w:pStyle w:val="ListParagraph"/>
              <w:numPr>
                <w:ilvl w:val="0"/>
                <w:numId w:val="33"/>
              </w:numPr>
            </w:pPr>
            <w:r w:rsidRPr="000F6CD1">
              <w:rPr>
                <w:rStyle w:val="Hyperlink"/>
              </w:rPr>
              <w:t>National Aboriginal and Torres Strait Islander Flexible Aged Care Program (NATSIFACP) Manual</w:t>
            </w:r>
            <w:r w:rsidR="007405E3" w:rsidRPr="000F6CD1">
              <w:fldChar w:fldCharType="end"/>
            </w:r>
          </w:p>
          <w:p w14:paraId="04CA234E" w14:textId="77777777" w:rsidR="00780D44" w:rsidRPr="000F6CD1" w:rsidRDefault="00780D44" w:rsidP="00F633E7">
            <w:pPr>
              <w:pStyle w:val="ListParagraph"/>
              <w:numPr>
                <w:ilvl w:val="0"/>
                <w:numId w:val="33"/>
              </w:numPr>
            </w:pPr>
            <w:hyperlink r:id="rId37" w:history="1">
              <w:r w:rsidRPr="000F6CD1">
                <w:rPr>
                  <w:rStyle w:val="Hyperlink"/>
                </w:rPr>
                <w:t>Aboriginal and Torres Strait Islander Aged Care Framework</w:t>
              </w:r>
            </w:hyperlink>
          </w:p>
          <w:p w14:paraId="59B91E7B" w14:textId="37D4AB9C" w:rsidR="00780D44" w:rsidRPr="000F6CD1" w:rsidRDefault="00780D44" w:rsidP="00F633E7">
            <w:pPr>
              <w:pStyle w:val="ListParagraph"/>
              <w:numPr>
                <w:ilvl w:val="0"/>
                <w:numId w:val="33"/>
              </w:numPr>
            </w:pPr>
            <w:hyperlink r:id="rId38" w:history="1">
              <w:r w:rsidRPr="000F6CD1">
                <w:rPr>
                  <w:rStyle w:val="Hyperlink"/>
                </w:rPr>
                <w:t xml:space="preserve">Support at Home Assistive Technology and Home Modifications (AT-HM) scheme </w:t>
              </w:r>
              <w:r w:rsidR="00386EC9" w:rsidRPr="000F6CD1">
                <w:rPr>
                  <w:rStyle w:val="Hyperlink"/>
                </w:rPr>
                <w:t>Fact Sheet</w:t>
              </w:r>
            </w:hyperlink>
          </w:p>
          <w:p w14:paraId="2DD348E6" w14:textId="609F5D5A" w:rsidR="00780D44" w:rsidRPr="000F6CD1" w:rsidRDefault="00780D44" w:rsidP="00F633E7">
            <w:pPr>
              <w:pStyle w:val="ListParagraph"/>
              <w:numPr>
                <w:ilvl w:val="0"/>
                <w:numId w:val="33"/>
              </w:numPr>
            </w:pPr>
            <w:hyperlink r:id="rId39">
              <w:r w:rsidRPr="000F6CD1">
                <w:rPr>
                  <w:rStyle w:val="Hyperlink"/>
                </w:rPr>
                <w:t>Transition Care Program (TCP) Guidelines</w:t>
              </w:r>
            </w:hyperlink>
            <w:r w:rsidRPr="000F6CD1">
              <w:t xml:space="preserve"> </w:t>
            </w:r>
          </w:p>
          <w:p w14:paraId="136E38CF" w14:textId="361404FF" w:rsidR="00780D44" w:rsidRPr="000F6CD1" w:rsidRDefault="00780D44" w:rsidP="00F633E7">
            <w:pPr>
              <w:pStyle w:val="ListParagraph"/>
              <w:numPr>
                <w:ilvl w:val="0"/>
                <w:numId w:val="33"/>
              </w:numPr>
            </w:pPr>
            <w:hyperlink r:id="rId40">
              <w:r w:rsidRPr="000F6CD1">
                <w:rPr>
                  <w:rStyle w:val="Hyperlink"/>
                </w:rPr>
                <w:t xml:space="preserve">Support at Home </w:t>
              </w:r>
              <w:r w:rsidR="00573AB4" w:rsidRPr="000F6CD1">
                <w:rPr>
                  <w:rStyle w:val="Hyperlink"/>
                </w:rPr>
                <w:t>Pricing Resources</w:t>
              </w:r>
            </w:hyperlink>
          </w:p>
          <w:p w14:paraId="1DA06ED5" w14:textId="73F50E76" w:rsidR="00780D44" w:rsidRPr="000F6CD1" w:rsidRDefault="00780D44" w:rsidP="000027E3">
            <w:pPr>
              <w:pStyle w:val="ListParagraph"/>
            </w:pPr>
          </w:p>
        </w:tc>
      </w:tr>
    </w:tbl>
    <w:p w14:paraId="61061B97" w14:textId="77777777" w:rsidR="00780D44" w:rsidRPr="000F6CD1" w:rsidRDefault="00780D44" w:rsidP="00780D44">
      <w:pPr>
        <w:pStyle w:val="BodyText"/>
        <w:rPr>
          <w:lang w:val="en-AU"/>
        </w:rPr>
      </w:pPr>
    </w:p>
    <w:p w14:paraId="425D55FC" w14:textId="27986196" w:rsidR="00780D44" w:rsidRPr="000F6CD1" w:rsidRDefault="00780D44" w:rsidP="00780D44">
      <w:pPr>
        <w:pStyle w:val="BodyText"/>
        <w:rPr>
          <w:color w:val="1E1444"/>
          <w:sz w:val="44"/>
          <w:szCs w:val="36"/>
          <w:lang w:val="en-AU"/>
        </w:rPr>
      </w:pPr>
      <w:r w:rsidRPr="000F6CD1">
        <w:rPr>
          <w:lang w:val="en-AU"/>
        </w:rPr>
        <w:br w:type="page"/>
      </w:r>
    </w:p>
    <w:p w14:paraId="11B86E21" w14:textId="74A48D0A" w:rsidR="00780D44" w:rsidRPr="000F6CD1" w:rsidRDefault="002744BE" w:rsidP="00AC3600">
      <w:pPr>
        <w:pStyle w:val="H1"/>
        <w:numPr>
          <w:ilvl w:val="0"/>
          <w:numId w:val="0"/>
        </w:numPr>
        <w:ind w:left="360"/>
      </w:pPr>
      <w:bookmarkStart w:id="12" w:name="_Toc212805571"/>
      <w:bookmarkStart w:id="13" w:name="_Toc233282399"/>
      <w:r w:rsidRPr="000F6CD1">
        <w:lastRenderedPageBreak/>
        <w:t>Terminology</w:t>
      </w:r>
      <w:bookmarkEnd w:id="12"/>
      <w:bookmarkEnd w:id="13"/>
    </w:p>
    <w:p w14:paraId="45CB1D99" w14:textId="71871C7E" w:rsidR="00A44800" w:rsidRPr="000F6CD1" w:rsidRDefault="00A44800" w:rsidP="006B29C4">
      <w:pPr>
        <w:pStyle w:val="BodyText"/>
        <w:spacing w:before="120"/>
        <w:rPr>
          <w:b/>
          <w:color w:val="002060"/>
          <w:lang w:val="en-AU"/>
        </w:rPr>
      </w:pPr>
      <w:r w:rsidRPr="000F6CD1">
        <w:rPr>
          <w:b/>
          <w:color w:val="002060"/>
          <w:lang w:val="en-AU"/>
        </w:rPr>
        <w:t>Throughout this document:</w:t>
      </w:r>
    </w:p>
    <w:p w14:paraId="1C3B5811" w14:textId="1D128CA4" w:rsidR="00A44800" w:rsidRPr="000F6CD1" w:rsidRDefault="008F3AB2" w:rsidP="00F633E7">
      <w:pPr>
        <w:pStyle w:val="BodyText"/>
        <w:numPr>
          <w:ilvl w:val="0"/>
          <w:numId w:val="44"/>
        </w:numPr>
        <w:spacing w:before="120"/>
        <w:rPr>
          <w:lang w:val="en-AU"/>
        </w:rPr>
      </w:pPr>
      <w:r w:rsidRPr="000F6CD1">
        <w:rPr>
          <w:lang w:val="en-AU"/>
        </w:rPr>
        <w:t>T</w:t>
      </w:r>
      <w:r w:rsidR="00A44800" w:rsidRPr="000F6CD1">
        <w:rPr>
          <w:lang w:val="en-AU"/>
        </w:rPr>
        <w:t>he terms 'individual,' 'older person', ‘client</w:t>
      </w:r>
      <w:r w:rsidR="00C94139" w:rsidRPr="000F6CD1">
        <w:rPr>
          <w:lang w:val="en-AU"/>
        </w:rPr>
        <w:t>,’</w:t>
      </w:r>
      <w:r w:rsidR="00F36D35" w:rsidRPr="000F6CD1">
        <w:rPr>
          <w:lang w:val="en-AU"/>
        </w:rPr>
        <w:t xml:space="preserve"> ‘care </w:t>
      </w:r>
      <w:r w:rsidR="00D1481B" w:rsidRPr="000F6CD1">
        <w:rPr>
          <w:lang w:val="en-AU"/>
        </w:rPr>
        <w:t>recipient’</w:t>
      </w:r>
      <w:r w:rsidR="00A44800" w:rsidRPr="000F6CD1">
        <w:rPr>
          <w:lang w:val="en-AU"/>
        </w:rPr>
        <w:t xml:space="preserve"> and 'participant' are used interchangeably to refer to a person who meets the eligibility criteria for an aged care assessment and government funded aged care services under the </w:t>
      </w:r>
      <w:r w:rsidR="00A44800" w:rsidRPr="000F6CD1">
        <w:rPr>
          <w:i/>
          <w:iCs/>
          <w:lang w:val="en-AU"/>
        </w:rPr>
        <w:t>Aged Care Act 2024</w:t>
      </w:r>
      <w:r w:rsidR="007701C5" w:rsidRPr="000F6CD1">
        <w:rPr>
          <w:i/>
          <w:iCs/>
          <w:lang w:val="en-AU"/>
        </w:rPr>
        <w:t xml:space="preserve"> (the Act)</w:t>
      </w:r>
      <w:r w:rsidR="00A44800" w:rsidRPr="000F6CD1">
        <w:rPr>
          <w:lang w:val="en-AU"/>
        </w:rPr>
        <w:t xml:space="preserve">. </w:t>
      </w:r>
    </w:p>
    <w:p w14:paraId="4236AC85" w14:textId="73F5308A" w:rsidR="00AF54EC" w:rsidRPr="000F6CD1" w:rsidRDefault="00AF54EC" w:rsidP="009F181F">
      <w:pPr>
        <w:pStyle w:val="ListParagraph"/>
        <w:numPr>
          <w:ilvl w:val="0"/>
          <w:numId w:val="44"/>
        </w:numPr>
      </w:pPr>
      <w:r w:rsidRPr="000F6CD1">
        <w:rPr>
          <w:bCs/>
        </w:rPr>
        <w:t xml:space="preserve">The term ‘reassessment’ is used throughout this document </w:t>
      </w:r>
      <w:r w:rsidR="009F181F" w:rsidRPr="000F6CD1">
        <w:t xml:space="preserve">to describe </w:t>
      </w:r>
      <w:r w:rsidR="00DB18B1" w:rsidRPr="000F6CD1">
        <w:t>an assessment that occurs after an older person has already been assessed at least once.</w:t>
      </w:r>
    </w:p>
    <w:p w14:paraId="704721C9" w14:textId="607BDF2A" w:rsidR="00AF54EC" w:rsidRPr="000F6CD1" w:rsidRDefault="006B368C" w:rsidP="00AF54EC">
      <w:pPr>
        <w:pStyle w:val="BodyText"/>
        <w:numPr>
          <w:ilvl w:val="0"/>
          <w:numId w:val="44"/>
        </w:numPr>
        <w:spacing w:before="120"/>
        <w:rPr>
          <w:lang w:val="en-AU"/>
        </w:rPr>
      </w:pPr>
      <w:r w:rsidRPr="000F6CD1">
        <w:rPr>
          <w:lang w:val="en-AU"/>
        </w:rPr>
        <w:t>The term</w:t>
      </w:r>
      <w:r w:rsidR="009E55E3" w:rsidRPr="000F6CD1">
        <w:rPr>
          <w:lang w:val="en-AU"/>
        </w:rPr>
        <w:t>s</w:t>
      </w:r>
      <w:r w:rsidRPr="000F6CD1">
        <w:rPr>
          <w:lang w:val="en-AU"/>
        </w:rPr>
        <w:t xml:space="preserve"> ‘provider’</w:t>
      </w:r>
      <w:r w:rsidR="009E55E3" w:rsidRPr="000F6CD1">
        <w:rPr>
          <w:lang w:val="en-AU"/>
        </w:rPr>
        <w:t xml:space="preserve"> or ‘service provider’</w:t>
      </w:r>
      <w:r w:rsidR="00793806" w:rsidRPr="000F6CD1">
        <w:rPr>
          <w:lang w:val="en-AU"/>
        </w:rPr>
        <w:t xml:space="preserve"> </w:t>
      </w:r>
      <w:r w:rsidR="009E55E3" w:rsidRPr="000F6CD1">
        <w:rPr>
          <w:lang w:val="en-AU"/>
        </w:rPr>
        <w:t>are</w:t>
      </w:r>
      <w:r w:rsidR="00793806" w:rsidRPr="000F6CD1">
        <w:rPr>
          <w:lang w:val="en-AU"/>
        </w:rPr>
        <w:t xml:space="preserve"> used throughout this document to refer to a ‘registered provider’ as outlined in the </w:t>
      </w:r>
      <w:r w:rsidR="00793806" w:rsidRPr="000F6CD1">
        <w:rPr>
          <w:i/>
          <w:iCs/>
          <w:lang w:val="en-AU"/>
        </w:rPr>
        <w:t>Act</w:t>
      </w:r>
      <w:r w:rsidR="00793806" w:rsidRPr="000F6CD1">
        <w:rPr>
          <w:lang w:val="en-AU"/>
        </w:rPr>
        <w:t>.</w:t>
      </w:r>
    </w:p>
    <w:p w14:paraId="4F3CE12E" w14:textId="1E13FA51" w:rsidR="007F5E7C" w:rsidRPr="000F6CD1" w:rsidRDefault="007F5E7C" w:rsidP="00AF54EC">
      <w:pPr>
        <w:pStyle w:val="BodyText"/>
        <w:numPr>
          <w:ilvl w:val="0"/>
          <w:numId w:val="44"/>
        </w:numPr>
        <w:spacing w:before="120"/>
        <w:rPr>
          <w:lang w:val="en-AU"/>
        </w:rPr>
      </w:pPr>
      <w:r w:rsidRPr="000F6CD1">
        <w:rPr>
          <w:lang w:val="en-AU"/>
        </w:rPr>
        <w:t>The term ‘assessor’ or ‘needs assessor</w:t>
      </w:r>
      <w:r w:rsidR="001864BF" w:rsidRPr="000F6CD1">
        <w:rPr>
          <w:lang w:val="en-AU"/>
        </w:rPr>
        <w:t>’ are used interchangeably throughout</w:t>
      </w:r>
      <w:r w:rsidR="00F42D1C" w:rsidRPr="000F6CD1">
        <w:rPr>
          <w:lang w:val="en-AU"/>
        </w:rPr>
        <w:t xml:space="preserve"> this document to refer to </w:t>
      </w:r>
      <w:r w:rsidR="002138CC" w:rsidRPr="000F6CD1">
        <w:rPr>
          <w:rStyle w:val="normaltextrun"/>
          <w:color w:val="000000"/>
          <w:szCs w:val="22"/>
          <w:shd w:val="clear" w:color="auto" w:fill="FFFFFF"/>
          <w:lang w:val="en-AU"/>
        </w:rPr>
        <w:t xml:space="preserve">a person who conducts aged care </w:t>
      </w:r>
      <w:r w:rsidR="002138CC" w:rsidRPr="000F6CD1">
        <w:rPr>
          <w:rStyle w:val="normaltextrun"/>
          <w:szCs w:val="22"/>
          <w:shd w:val="clear" w:color="auto" w:fill="FFFFFF"/>
          <w:lang w:val="en-AU"/>
        </w:rPr>
        <w:t>assessments, for home support and comprehensive assessments.</w:t>
      </w:r>
    </w:p>
    <w:p w14:paraId="07D04C72" w14:textId="6A9C4BCD" w:rsidR="007A0D8A" w:rsidRPr="000F6CD1" w:rsidRDefault="007A0D8A" w:rsidP="00A44800">
      <w:pPr>
        <w:pStyle w:val="BodyText"/>
        <w:ind w:left="720"/>
        <w:rPr>
          <w:lang w:val="en-AU"/>
        </w:rPr>
      </w:pPr>
      <w:r w:rsidRPr="000F6CD1">
        <w:rPr>
          <w:bCs/>
          <w:noProof/>
          <w:lang w:val="en-AU"/>
        </w:rPr>
        <w:drawing>
          <wp:anchor distT="0" distB="0" distL="114300" distR="114300" simplePos="0" relativeHeight="251658275" behindDoc="0" locked="0" layoutInCell="1" allowOverlap="1" wp14:anchorId="11B23A83" wp14:editId="1F9C6FFF">
            <wp:simplePos x="0" y="0"/>
            <wp:positionH relativeFrom="margin">
              <wp:posOffset>-116840</wp:posOffset>
            </wp:positionH>
            <wp:positionV relativeFrom="paragraph">
              <wp:posOffset>278130</wp:posOffset>
            </wp:positionV>
            <wp:extent cx="457200" cy="502920"/>
            <wp:effectExtent l="0" t="0" r="0" b="0"/>
            <wp:wrapSquare wrapText="bothSides"/>
            <wp:docPr id="98683026" name="Picture 98683026"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2BAE43B7" w14:textId="60314CBD" w:rsidR="00A44800" w:rsidRPr="000F6CD1" w:rsidRDefault="008F3AB2" w:rsidP="00A44800">
      <w:pPr>
        <w:pStyle w:val="BodyText"/>
        <w:ind w:left="720"/>
        <w:rPr>
          <w:lang w:val="en-AU"/>
        </w:rPr>
      </w:pPr>
      <w:r w:rsidRPr="000F6CD1">
        <w:rPr>
          <w:lang w:val="en-AU"/>
        </w:rPr>
        <w:t>T</w:t>
      </w:r>
      <w:r w:rsidR="00A44800" w:rsidRPr="000F6CD1">
        <w:rPr>
          <w:lang w:val="en-AU"/>
        </w:rPr>
        <w:t>his symbol</w:t>
      </w:r>
      <w:r w:rsidR="00C16F01" w:rsidRPr="000F6CD1">
        <w:rPr>
          <w:lang w:val="en-AU"/>
        </w:rPr>
        <w:t xml:space="preserve"> displays throughout the document and</w:t>
      </w:r>
      <w:r w:rsidR="00A44800" w:rsidRPr="000F6CD1">
        <w:rPr>
          <w:lang w:val="en-AU"/>
        </w:rPr>
        <w:t xml:space="preserve"> denote</w:t>
      </w:r>
      <w:r w:rsidR="00CE1D84" w:rsidRPr="000F6CD1">
        <w:rPr>
          <w:lang w:val="en-AU"/>
        </w:rPr>
        <w:t>s</w:t>
      </w:r>
      <w:r w:rsidR="00A44800" w:rsidRPr="000F6CD1">
        <w:rPr>
          <w:lang w:val="en-AU"/>
        </w:rPr>
        <w:t xml:space="preserve"> significant change in information and the assessment process </w:t>
      </w:r>
      <w:r w:rsidR="00A97CDA" w:rsidRPr="000F6CD1">
        <w:rPr>
          <w:lang w:val="en-AU"/>
        </w:rPr>
        <w:t xml:space="preserve">from version </w:t>
      </w:r>
      <w:r w:rsidR="00BD1CDD" w:rsidRPr="000F6CD1">
        <w:rPr>
          <w:lang w:val="en-AU"/>
        </w:rPr>
        <w:t>8.2</w:t>
      </w:r>
      <w:r w:rsidR="00A97CDA" w:rsidRPr="000F6CD1">
        <w:rPr>
          <w:lang w:val="en-AU"/>
        </w:rPr>
        <w:t xml:space="preserve"> of the Aged Care Assessment Manual</w:t>
      </w:r>
      <w:r w:rsidR="00A44800" w:rsidRPr="000F6CD1">
        <w:rPr>
          <w:lang w:val="en-AU"/>
        </w:rPr>
        <w:t xml:space="preserve">. </w:t>
      </w:r>
    </w:p>
    <w:p w14:paraId="4BB9FA01" w14:textId="2580DB2B" w:rsidR="00157730" w:rsidRPr="000F6CD1" w:rsidRDefault="00157730" w:rsidP="00A44800">
      <w:pPr>
        <w:pStyle w:val="BodyText"/>
        <w:rPr>
          <w:lang w:val="en-AU"/>
        </w:rPr>
      </w:pPr>
      <w:r w:rsidRPr="000F6CD1">
        <w:rPr>
          <w:noProof/>
          <w:lang w:val="en-AU"/>
        </w:rPr>
        <w:drawing>
          <wp:anchor distT="0" distB="0" distL="114300" distR="114300" simplePos="0" relativeHeight="251658252" behindDoc="0" locked="0" layoutInCell="1" allowOverlap="1" wp14:anchorId="0156328D" wp14:editId="62165814">
            <wp:simplePos x="0" y="0"/>
            <wp:positionH relativeFrom="column">
              <wp:posOffset>-100330</wp:posOffset>
            </wp:positionH>
            <wp:positionV relativeFrom="paragraph">
              <wp:posOffset>132715</wp:posOffset>
            </wp:positionV>
            <wp:extent cx="447675" cy="438150"/>
            <wp:effectExtent l="0" t="0" r="9525" b="0"/>
            <wp:wrapSquare wrapText="bothSides"/>
            <wp:docPr id="369455399" name="Picture 3694553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14:sizeRelH relativeFrom="page">
              <wp14:pctWidth>0</wp14:pctWidth>
            </wp14:sizeRelH>
            <wp14:sizeRelV relativeFrom="page">
              <wp14:pctHeight>0</wp14:pctHeight>
            </wp14:sizeRelV>
          </wp:anchor>
        </w:drawing>
      </w:r>
    </w:p>
    <w:p w14:paraId="747EF6B3" w14:textId="2D72BB1C" w:rsidR="00A44800" w:rsidRPr="000F6CD1" w:rsidRDefault="008F3AB2" w:rsidP="00A44800">
      <w:pPr>
        <w:pStyle w:val="BodyText"/>
        <w:rPr>
          <w:lang w:val="en-AU"/>
        </w:rPr>
      </w:pPr>
      <w:r w:rsidRPr="000F6CD1">
        <w:rPr>
          <w:lang w:val="en-AU"/>
        </w:rPr>
        <w:t>T</w:t>
      </w:r>
      <w:r w:rsidR="00A44800" w:rsidRPr="000F6CD1">
        <w:rPr>
          <w:lang w:val="en-AU"/>
        </w:rPr>
        <w:t xml:space="preserve">his symbol </w:t>
      </w:r>
      <w:r w:rsidR="00003B9A" w:rsidRPr="000F6CD1">
        <w:rPr>
          <w:lang w:val="en-AU"/>
        </w:rPr>
        <w:t>displays</w:t>
      </w:r>
      <w:r w:rsidR="00A44800" w:rsidRPr="000F6CD1">
        <w:rPr>
          <w:lang w:val="en-AU"/>
        </w:rPr>
        <w:t xml:space="preserve"> where there are links to further information </w:t>
      </w:r>
      <w:r w:rsidR="00003B9A" w:rsidRPr="000F6CD1">
        <w:rPr>
          <w:lang w:val="en-AU"/>
        </w:rPr>
        <w:t>and</w:t>
      </w:r>
      <w:r w:rsidR="00A44800" w:rsidRPr="000F6CD1">
        <w:rPr>
          <w:lang w:val="en-AU"/>
        </w:rPr>
        <w:t xml:space="preserve"> resources.</w:t>
      </w:r>
    </w:p>
    <w:p w14:paraId="4CBFE75B" w14:textId="77777777" w:rsidR="00A6095E" w:rsidRPr="000F6CD1" w:rsidRDefault="00A6095E" w:rsidP="00A44800">
      <w:pPr>
        <w:pStyle w:val="BodyText"/>
        <w:rPr>
          <w:lang w:val="en-AU"/>
        </w:rPr>
      </w:pPr>
    </w:p>
    <w:p w14:paraId="05759398" w14:textId="77777777" w:rsidR="00BE62F4" w:rsidRPr="000F6CD1" w:rsidRDefault="00BE62F4">
      <w:pPr>
        <w:rPr>
          <w:b/>
          <w:color w:val="002060"/>
          <w:sz w:val="44"/>
          <w:szCs w:val="36"/>
        </w:rPr>
      </w:pPr>
      <w:r w:rsidRPr="000F6CD1">
        <w:br w:type="page"/>
      </w:r>
    </w:p>
    <w:p w14:paraId="76CAF93A" w14:textId="3EB373FD" w:rsidR="00BE62F4" w:rsidRPr="000F6CD1" w:rsidRDefault="00BE62F4" w:rsidP="00AC3600">
      <w:pPr>
        <w:pStyle w:val="H1"/>
        <w:numPr>
          <w:ilvl w:val="0"/>
          <w:numId w:val="0"/>
        </w:numPr>
        <w:ind w:left="360"/>
      </w:pPr>
      <w:bookmarkStart w:id="14" w:name="_Toc212805572"/>
      <w:bookmarkStart w:id="15" w:name="_Toc233282400"/>
      <w:r w:rsidRPr="000F6CD1">
        <w:lastRenderedPageBreak/>
        <w:t>Document Structure</w:t>
      </w:r>
      <w:bookmarkEnd w:id="14"/>
      <w:bookmarkEnd w:id="15"/>
    </w:p>
    <w:tbl>
      <w:tblPr>
        <w:tblW w:w="9629" w:type="dxa"/>
        <w:tblCellMar>
          <w:top w:w="28" w:type="dxa"/>
          <w:left w:w="28" w:type="dxa"/>
          <w:bottom w:w="28" w:type="dxa"/>
          <w:right w:w="28" w:type="dxa"/>
        </w:tblCellMar>
        <w:tblLook w:val="04A0" w:firstRow="1" w:lastRow="0" w:firstColumn="1" w:lastColumn="0" w:noHBand="0" w:noVBand="1"/>
        <w:tblCaption w:val="Document Stucture Table"/>
        <w:tblDescription w:val="Overview of the Assessment Manual structure and key changes between version 8 and version 8.1"/>
      </w:tblPr>
      <w:tblGrid>
        <w:gridCol w:w="1683"/>
        <w:gridCol w:w="3185"/>
        <w:gridCol w:w="4761"/>
      </w:tblGrid>
      <w:tr w:rsidR="001B5076" w:rsidRPr="000F6CD1" w14:paraId="58D43FA5" w14:textId="77777777" w:rsidTr="00A81272">
        <w:trPr>
          <w:trHeight w:val="300"/>
          <w:tblHeader/>
        </w:trPr>
        <w:tc>
          <w:tcPr>
            <w:tcW w:w="1663" w:type="dxa"/>
            <w:tcBorders>
              <w:top w:val="single" w:sz="8" w:space="0" w:color="auto"/>
              <w:left w:val="single" w:sz="8" w:space="0" w:color="auto"/>
              <w:bottom w:val="single" w:sz="8" w:space="0" w:color="auto"/>
              <w:right w:val="single" w:sz="8" w:space="0" w:color="auto"/>
            </w:tcBorders>
            <w:shd w:val="clear" w:color="auto" w:fill="002060"/>
            <w:hideMark/>
          </w:tcPr>
          <w:p w14:paraId="0BB4169E" w14:textId="77777777" w:rsidR="001B5076" w:rsidRPr="000F6CD1" w:rsidRDefault="001B5076" w:rsidP="00A81272">
            <w:pPr>
              <w:rPr>
                <w:szCs w:val="22"/>
              </w:rPr>
            </w:pPr>
            <w:bookmarkStart w:id="16" w:name="_Hlk212720940"/>
            <w:r w:rsidRPr="000F6CD1">
              <w:t>Chapter</w:t>
            </w:r>
            <w:r w:rsidRPr="000F6CD1">
              <w:rPr>
                <w:szCs w:val="22"/>
              </w:rPr>
              <w:t> </w:t>
            </w:r>
          </w:p>
        </w:tc>
        <w:tc>
          <w:tcPr>
            <w:tcW w:w="3190" w:type="dxa"/>
            <w:tcBorders>
              <w:top w:val="single" w:sz="8" w:space="0" w:color="auto"/>
              <w:left w:val="nil"/>
              <w:bottom w:val="single" w:sz="8" w:space="0" w:color="auto"/>
              <w:right w:val="single" w:sz="8" w:space="0" w:color="auto"/>
            </w:tcBorders>
            <w:shd w:val="clear" w:color="auto" w:fill="002060"/>
            <w:hideMark/>
          </w:tcPr>
          <w:p w14:paraId="16D46D57" w14:textId="77777777" w:rsidR="001B5076" w:rsidRPr="000F6CD1" w:rsidRDefault="001B5076" w:rsidP="00A81272">
            <w:pPr>
              <w:rPr>
                <w:szCs w:val="22"/>
              </w:rPr>
            </w:pPr>
            <w:r w:rsidRPr="000F6CD1">
              <w:t>What you’ll find in this chapter </w:t>
            </w:r>
            <w:r w:rsidRPr="000F6CD1">
              <w:rPr>
                <w:szCs w:val="22"/>
              </w:rPr>
              <w:t> </w:t>
            </w:r>
          </w:p>
        </w:tc>
        <w:tc>
          <w:tcPr>
            <w:tcW w:w="4776" w:type="dxa"/>
            <w:tcBorders>
              <w:top w:val="single" w:sz="8" w:space="0" w:color="auto"/>
              <w:left w:val="nil"/>
              <w:bottom w:val="single" w:sz="8" w:space="0" w:color="auto"/>
              <w:right w:val="single" w:sz="8" w:space="0" w:color="auto"/>
            </w:tcBorders>
            <w:shd w:val="clear" w:color="auto" w:fill="002060"/>
            <w:hideMark/>
          </w:tcPr>
          <w:p w14:paraId="6E735016" w14:textId="680F0D35" w:rsidR="001B5076" w:rsidRPr="000F6CD1" w:rsidRDefault="001B5076" w:rsidP="00A81272">
            <w:pPr>
              <w:rPr>
                <w:szCs w:val="22"/>
              </w:rPr>
            </w:pPr>
            <w:r w:rsidRPr="000F6CD1">
              <w:t>Key Changes</w:t>
            </w:r>
            <w:r w:rsidRPr="000F6CD1">
              <w:rPr>
                <w:szCs w:val="22"/>
              </w:rPr>
              <w:t> </w:t>
            </w:r>
            <w:r w:rsidRPr="000F6CD1">
              <w:t>from v8</w:t>
            </w:r>
            <w:r w:rsidR="007E2185" w:rsidRPr="000F6CD1">
              <w:t>.</w:t>
            </w:r>
            <w:r w:rsidR="003A4E7C">
              <w:t>2</w:t>
            </w:r>
            <w:r w:rsidRPr="000F6CD1">
              <w:t xml:space="preserve"> to v8.</w:t>
            </w:r>
            <w:r w:rsidR="003A4E7C">
              <w:t>3</w:t>
            </w:r>
          </w:p>
        </w:tc>
      </w:tr>
      <w:tr w:rsidR="001B5076" w:rsidRPr="000F6CD1" w14:paraId="64934AE0"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F03B4B7" w14:textId="77777777" w:rsidR="00277805" w:rsidRPr="000F6CD1" w:rsidRDefault="001B5076" w:rsidP="00A81272">
            <w:r w:rsidRPr="000F6CD1">
              <w:t xml:space="preserve">Chapter 1 </w:t>
            </w:r>
          </w:p>
          <w:p w14:paraId="619A8D42" w14:textId="315E7037" w:rsidR="001B5076" w:rsidRPr="00194A6D" w:rsidRDefault="001B5076" w:rsidP="00A81272">
            <w:pPr>
              <w:rPr>
                <w:i/>
                <w:szCs w:val="22"/>
              </w:rPr>
            </w:pPr>
            <w:r w:rsidRPr="00194A6D">
              <w:rPr>
                <w:i/>
                <w:szCs w:val="22"/>
              </w:rPr>
              <w:t>Aged Care Act 2024 </w:t>
            </w:r>
          </w:p>
        </w:tc>
        <w:tc>
          <w:tcPr>
            <w:tcW w:w="3190" w:type="dxa"/>
            <w:tcBorders>
              <w:top w:val="nil"/>
              <w:left w:val="nil"/>
              <w:bottom w:val="single" w:sz="8" w:space="0" w:color="auto"/>
              <w:right w:val="single" w:sz="8" w:space="0" w:color="auto"/>
            </w:tcBorders>
            <w:hideMark/>
          </w:tcPr>
          <w:p w14:paraId="012A0189" w14:textId="797CDCD7" w:rsidR="001B5076" w:rsidRPr="000F6CD1" w:rsidRDefault="00262983" w:rsidP="00A81272">
            <w:pPr>
              <w:rPr>
                <w:szCs w:val="22"/>
              </w:rPr>
            </w:pPr>
            <w:r w:rsidRPr="000F6CD1">
              <w:rPr>
                <w:szCs w:val="22"/>
              </w:rPr>
              <w:t>K</w:t>
            </w:r>
            <w:r w:rsidR="001B5076" w:rsidRPr="000F6CD1">
              <w:rPr>
                <w:szCs w:val="22"/>
              </w:rPr>
              <w:t xml:space="preserve">ey concepts under the </w:t>
            </w:r>
            <w:r w:rsidR="001B5076" w:rsidRPr="000F6CD1">
              <w:rPr>
                <w:i/>
                <w:szCs w:val="22"/>
              </w:rPr>
              <w:t>Aged Care Act 2024</w:t>
            </w:r>
            <w:r w:rsidR="001B5076" w:rsidRPr="000F6CD1">
              <w:rPr>
                <w:szCs w:val="22"/>
              </w:rPr>
              <w:t xml:space="preserve"> that are important to understand.</w:t>
            </w:r>
            <w:r w:rsidR="00C94139" w:rsidRPr="000F6CD1">
              <w:rPr>
                <w:szCs w:val="22"/>
              </w:rPr>
              <w:t xml:space="preserve"> </w:t>
            </w:r>
          </w:p>
          <w:p w14:paraId="0F43CA57" w14:textId="745F9C22" w:rsidR="001B5076" w:rsidRPr="000F6CD1" w:rsidRDefault="00C70D6D" w:rsidP="00A81272">
            <w:pPr>
              <w:rPr>
                <w:rFonts w:eastAsia="Times New Roman"/>
                <w:szCs w:val="22"/>
              </w:rPr>
            </w:pPr>
            <w:r w:rsidRPr="000F6CD1">
              <w:rPr>
                <w:rFonts w:eastAsia="Times New Roman"/>
                <w:szCs w:val="22"/>
              </w:rPr>
              <w:t>E</w:t>
            </w:r>
            <w:r w:rsidR="001B5076" w:rsidRPr="000F6CD1">
              <w:rPr>
                <w:rFonts w:eastAsia="Times New Roman"/>
                <w:szCs w:val="22"/>
              </w:rPr>
              <w:t>ligibility requirements to access aged care services  </w:t>
            </w:r>
          </w:p>
          <w:p w14:paraId="36B62E25" w14:textId="77777777" w:rsidR="001B5076" w:rsidRPr="000F6CD1" w:rsidRDefault="001B5076" w:rsidP="00A81272">
            <w:pPr>
              <w:rPr>
                <w:rFonts w:eastAsia="Times New Roman"/>
                <w:szCs w:val="22"/>
              </w:rPr>
            </w:pPr>
            <w:r w:rsidRPr="000F6CD1">
              <w:rPr>
                <w:rFonts w:eastAsia="Times New Roman"/>
                <w:szCs w:val="22"/>
              </w:rPr>
              <w:t xml:space="preserve">Service list and structure under </w:t>
            </w:r>
            <w:r w:rsidRPr="000F6CD1">
              <w:rPr>
                <w:rFonts w:eastAsia="Times New Roman"/>
                <w:i/>
                <w:szCs w:val="22"/>
              </w:rPr>
              <w:t>Aged Care Rules 2025 </w:t>
            </w:r>
          </w:p>
          <w:p w14:paraId="0615004F" w14:textId="77777777" w:rsidR="001B5076" w:rsidRPr="000F6CD1" w:rsidRDefault="001B5076" w:rsidP="00A81272">
            <w:pPr>
              <w:rPr>
                <w:rFonts w:eastAsia="Times New Roman"/>
                <w:szCs w:val="22"/>
              </w:rPr>
            </w:pPr>
            <w:r w:rsidRPr="000F6CD1">
              <w:rPr>
                <w:rFonts w:eastAsia="Times New Roman"/>
                <w:szCs w:val="22"/>
              </w:rPr>
              <w:t xml:space="preserve">Approvals under </w:t>
            </w:r>
            <w:r w:rsidRPr="000F6CD1">
              <w:rPr>
                <w:rFonts w:eastAsia="Times New Roman"/>
                <w:i/>
                <w:szCs w:val="22"/>
              </w:rPr>
              <w:t>Aged Care Act 2024</w:t>
            </w:r>
            <w:r w:rsidRPr="000F6CD1">
              <w:rPr>
                <w:rFonts w:eastAsia="Times New Roman"/>
                <w:szCs w:val="22"/>
              </w:rPr>
              <w:t> </w:t>
            </w:r>
          </w:p>
          <w:p w14:paraId="6EB99962" w14:textId="77777777" w:rsidR="001B5076" w:rsidRPr="000F6CD1" w:rsidRDefault="001B5076" w:rsidP="002E3922">
            <w:r w:rsidRPr="000F6CD1">
              <w:t>Transition arrangements </w:t>
            </w:r>
          </w:p>
          <w:p w14:paraId="613E37C4" w14:textId="77777777" w:rsidR="001B5076" w:rsidRPr="000F6CD1" w:rsidRDefault="001B5076" w:rsidP="00A81272">
            <w:pPr>
              <w:rPr>
                <w:rFonts w:eastAsiaTheme="minorHAnsi"/>
                <w:szCs w:val="22"/>
              </w:rPr>
            </w:pPr>
            <w:r w:rsidRPr="000F6CD1">
              <w:rPr>
                <w:szCs w:val="22"/>
              </w:rPr>
              <w:t> </w:t>
            </w:r>
          </w:p>
        </w:tc>
        <w:tc>
          <w:tcPr>
            <w:tcW w:w="4776" w:type="dxa"/>
            <w:tcBorders>
              <w:top w:val="nil"/>
              <w:left w:val="nil"/>
              <w:bottom w:val="single" w:sz="8" w:space="0" w:color="auto"/>
              <w:right w:val="single" w:sz="8" w:space="0" w:color="auto"/>
            </w:tcBorders>
            <w:hideMark/>
          </w:tcPr>
          <w:p w14:paraId="32A9FE13" w14:textId="7242B3A1" w:rsidR="005B262C" w:rsidRPr="005B262C" w:rsidRDefault="00163576" w:rsidP="00A81272">
            <w:pPr>
              <w:pStyle w:val="ListParagraph"/>
              <w:numPr>
                <w:ilvl w:val="0"/>
                <w:numId w:val="635"/>
              </w:numPr>
              <w:spacing w:after="100"/>
              <w:ind w:left="345" w:hanging="215"/>
              <w:contextualSpacing w:val="0"/>
            </w:pPr>
            <w:r>
              <w:t>U</w:t>
            </w:r>
            <w:r w:rsidR="005B262C" w:rsidRPr="005B262C">
              <w:t>pdates to information about transition arrangements for RCP recipients</w:t>
            </w:r>
            <w:r w:rsidR="00F82E5F">
              <w:t xml:space="preserve"> (</w:t>
            </w:r>
            <w:r w:rsidR="002640BC" w:rsidRPr="002640BC">
              <w:t>s</w:t>
            </w:r>
            <w:r w:rsidR="00F82E5F" w:rsidRPr="002640BC">
              <w:t>ections 1.5. and 1.5.8).</w:t>
            </w:r>
            <w:r w:rsidR="00F82E5F">
              <w:rPr>
                <w:i/>
                <w:iCs/>
              </w:rPr>
              <w:t xml:space="preserve"> </w:t>
            </w:r>
          </w:p>
          <w:p w14:paraId="70576A3B" w14:textId="3E84FAFD" w:rsidR="001B5076" w:rsidRPr="005B262C" w:rsidRDefault="001B5076" w:rsidP="00A81272">
            <w:pPr>
              <w:rPr>
                <w:rFonts w:eastAsia="Times New Roman"/>
                <w:szCs w:val="22"/>
                <w:highlight w:val="yellow"/>
              </w:rPr>
            </w:pPr>
          </w:p>
        </w:tc>
      </w:tr>
      <w:tr w:rsidR="001B5076" w:rsidRPr="000F6CD1" w14:paraId="7A29850E"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1AC4D85" w14:textId="77777777" w:rsidR="001B5076" w:rsidRPr="000F6CD1" w:rsidRDefault="001B5076" w:rsidP="00A81272">
            <w:pPr>
              <w:rPr>
                <w:rFonts w:eastAsiaTheme="minorHAnsi"/>
                <w:szCs w:val="22"/>
              </w:rPr>
            </w:pPr>
            <w:r w:rsidRPr="000F6CD1">
              <w:t xml:space="preserve">Chapter 2 </w:t>
            </w:r>
            <w:r w:rsidRPr="000F6CD1">
              <w:rPr>
                <w:szCs w:val="22"/>
              </w:rPr>
              <w:t>Overview of My Aged Care and Single Assessment System </w:t>
            </w:r>
          </w:p>
        </w:tc>
        <w:tc>
          <w:tcPr>
            <w:tcW w:w="3190" w:type="dxa"/>
            <w:tcBorders>
              <w:top w:val="nil"/>
              <w:left w:val="nil"/>
              <w:bottom w:val="single" w:sz="8" w:space="0" w:color="auto"/>
              <w:right w:val="single" w:sz="8" w:space="0" w:color="auto"/>
            </w:tcBorders>
          </w:tcPr>
          <w:p w14:paraId="4A268822" w14:textId="77777777" w:rsidR="001B5076" w:rsidRPr="007B78C1" w:rsidRDefault="001B5076" w:rsidP="00A81272">
            <w:pPr>
              <w:rPr>
                <w:color w:val="000000" w:themeColor="text1"/>
                <w:szCs w:val="22"/>
              </w:rPr>
            </w:pPr>
            <w:r w:rsidRPr="007B78C1">
              <w:rPr>
                <w:color w:val="000000" w:themeColor="text1"/>
                <w:szCs w:val="22"/>
              </w:rPr>
              <w:t>Provides information about My Aged Care and the Single Assessment System including:  </w:t>
            </w:r>
          </w:p>
          <w:p w14:paraId="40640D7D" w14:textId="135820DA" w:rsidR="001B5076" w:rsidRPr="00F454BB" w:rsidRDefault="001B5076" w:rsidP="00F454BB">
            <w:pPr>
              <w:pStyle w:val="ListParagraph"/>
              <w:numPr>
                <w:ilvl w:val="0"/>
                <w:numId w:val="635"/>
              </w:numPr>
              <w:spacing w:after="100"/>
              <w:ind w:left="345" w:hanging="215"/>
              <w:contextualSpacing w:val="0"/>
              <w:rPr>
                <w:rFonts w:eastAsia="Times New Roman"/>
                <w:szCs w:val="22"/>
              </w:rPr>
            </w:pPr>
            <w:r w:rsidRPr="007B78C1">
              <w:rPr>
                <w:rFonts w:eastAsia="Times New Roman"/>
                <w:color w:val="000000" w:themeColor="text1"/>
                <w:szCs w:val="22"/>
              </w:rPr>
              <w:t xml:space="preserve">Introduction of </w:t>
            </w:r>
            <w:r w:rsidR="00BC52DF" w:rsidRPr="007B78C1">
              <w:rPr>
                <w:rFonts w:eastAsia="Times New Roman"/>
                <w:color w:val="000000" w:themeColor="text1"/>
                <w:szCs w:val="22"/>
              </w:rPr>
              <w:t>p</w:t>
            </w:r>
            <w:r w:rsidR="006F45E8" w:rsidRPr="007B78C1">
              <w:rPr>
                <w:rFonts w:eastAsia="Times New Roman"/>
                <w:color w:val="000000" w:themeColor="text1"/>
                <w:szCs w:val="22"/>
              </w:rPr>
              <w:t xml:space="preserve">ilot of </w:t>
            </w:r>
            <w:r w:rsidRPr="00F454BB">
              <w:rPr>
                <w:rFonts w:eastAsia="Times New Roman"/>
                <w:szCs w:val="22"/>
              </w:rPr>
              <w:t>Aboriginal and Torres Strait Islander Assessment Organisations from August 2025 </w:t>
            </w:r>
          </w:p>
          <w:p w14:paraId="59664F5F" w14:textId="77777777" w:rsidR="001B5076" w:rsidRPr="00F454BB" w:rsidRDefault="001B5076" w:rsidP="00F454BB">
            <w:pPr>
              <w:pStyle w:val="ListParagraph"/>
              <w:numPr>
                <w:ilvl w:val="0"/>
                <w:numId w:val="635"/>
              </w:numPr>
              <w:spacing w:after="100"/>
              <w:ind w:left="345" w:hanging="215"/>
              <w:contextualSpacing w:val="0"/>
              <w:rPr>
                <w:rFonts w:eastAsia="Times New Roman"/>
                <w:szCs w:val="22"/>
              </w:rPr>
            </w:pPr>
            <w:r w:rsidRPr="00F454BB">
              <w:rPr>
                <w:rFonts w:eastAsia="Times New Roman"/>
                <w:szCs w:val="22"/>
              </w:rPr>
              <w:t>Assessment Organisation roles and responsibilities </w:t>
            </w:r>
          </w:p>
          <w:p w14:paraId="44FFDCFB" w14:textId="77777777" w:rsidR="001B5076" w:rsidRPr="00F454BB" w:rsidRDefault="001B5076" w:rsidP="00F454BB">
            <w:pPr>
              <w:pStyle w:val="ListParagraph"/>
              <w:numPr>
                <w:ilvl w:val="0"/>
                <w:numId w:val="635"/>
              </w:numPr>
              <w:spacing w:after="100"/>
              <w:ind w:left="345" w:hanging="215"/>
              <w:contextualSpacing w:val="0"/>
              <w:rPr>
                <w:rFonts w:eastAsia="Times New Roman"/>
                <w:szCs w:val="22"/>
              </w:rPr>
            </w:pPr>
            <w:r w:rsidRPr="00F454BB">
              <w:rPr>
                <w:rFonts w:eastAsia="Times New Roman"/>
                <w:szCs w:val="22"/>
              </w:rPr>
              <w:t>Assessment types </w:t>
            </w:r>
          </w:p>
          <w:p w14:paraId="26CD717C" w14:textId="77777777" w:rsidR="001B5076" w:rsidRPr="00F454BB" w:rsidRDefault="001B5076" w:rsidP="00F454BB">
            <w:pPr>
              <w:pStyle w:val="ListParagraph"/>
              <w:numPr>
                <w:ilvl w:val="0"/>
                <w:numId w:val="635"/>
              </w:numPr>
              <w:spacing w:after="100"/>
              <w:ind w:left="345" w:hanging="215"/>
              <w:contextualSpacing w:val="0"/>
              <w:rPr>
                <w:rFonts w:eastAsia="Times New Roman"/>
                <w:szCs w:val="22"/>
              </w:rPr>
            </w:pPr>
            <w:r w:rsidRPr="00F454BB">
              <w:rPr>
                <w:rFonts w:eastAsia="Times New Roman"/>
                <w:szCs w:val="22"/>
              </w:rPr>
              <w:t>The Integrated Assessment Tool (IAT) </w:t>
            </w:r>
          </w:p>
          <w:p w14:paraId="328775E5" w14:textId="77777777" w:rsidR="001B5076" w:rsidRPr="007B78C1" w:rsidRDefault="001B5076" w:rsidP="00A81272">
            <w:pPr>
              <w:rPr>
                <w:rFonts w:eastAsiaTheme="minorHAnsi"/>
                <w:color w:val="000000" w:themeColor="text1"/>
                <w:szCs w:val="22"/>
              </w:rPr>
            </w:pPr>
            <w:r w:rsidRPr="007B78C1">
              <w:rPr>
                <w:color w:val="000000" w:themeColor="text1"/>
                <w:szCs w:val="22"/>
              </w:rPr>
              <w:t> </w:t>
            </w:r>
          </w:p>
        </w:tc>
        <w:tc>
          <w:tcPr>
            <w:tcW w:w="4776" w:type="dxa"/>
            <w:tcBorders>
              <w:top w:val="nil"/>
              <w:left w:val="nil"/>
              <w:bottom w:val="single" w:sz="8" w:space="0" w:color="auto"/>
              <w:right w:val="single" w:sz="8" w:space="0" w:color="auto"/>
            </w:tcBorders>
            <w:hideMark/>
          </w:tcPr>
          <w:p w14:paraId="08E80262" w14:textId="714B967B" w:rsidR="00325702" w:rsidRPr="00A81272" w:rsidRDefault="000B21D8" w:rsidP="00A81272">
            <w:pPr>
              <w:pStyle w:val="ListParagraph"/>
              <w:numPr>
                <w:ilvl w:val="0"/>
                <w:numId w:val="635"/>
              </w:numPr>
              <w:spacing w:after="100"/>
              <w:ind w:left="345" w:hanging="215"/>
              <w:contextualSpacing w:val="0"/>
            </w:pPr>
            <w:r w:rsidRPr="00A81272">
              <w:t>Update</w:t>
            </w:r>
            <w:r w:rsidR="007B78C1" w:rsidRPr="00A81272">
              <w:t>s to</w:t>
            </w:r>
            <w:r w:rsidRPr="00A81272">
              <w:t xml:space="preserve"> information in business and system role descriptions for clinical and non-clinical assessors</w:t>
            </w:r>
            <w:r w:rsidR="007B78C1" w:rsidRPr="00A81272">
              <w:t>, and non-clinical assessment delegate (section 2.4).</w:t>
            </w:r>
          </w:p>
          <w:p w14:paraId="465F1D4F" w14:textId="65C0C2A7" w:rsidR="007B78C1" w:rsidRPr="00A81272" w:rsidRDefault="00E76A82" w:rsidP="00A81272">
            <w:pPr>
              <w:pStyle w:val="ListParagraph"/>
              <w:numPr>
                <w:ilvl w:val="0"/>
                <w:numId w:val="635"/>
              </w:numPr>
              <w:spacing w:after="100"/>
              <w:ind w:left="345" w:hanging="215"/>
              <w:contextualSpacing w:val="0"/>
            </w:pPr>
            <w:r w:rsidRPr="00A81272">
              <w:t xml:space="preserve">Additional information has been included </w:t>
            </w:r>
            <w:r w:rsidR="0070026F" w:rsidRPr="00A81272">
              <w:t xml:space="preserve">about training for </w:t>
            </w:r>
            <w:r w:rsidR="00EA6637" w:rsidRPr="00A81272">
              <w:t xml:space="preserve">Aboriginal and Torres Strait Islander Assessment Organisations (section </w:t>
            </w:r>
            <w:r w:rsidR="00197EF9" w:rsidRPr="00A81272">
              <w:t xml:space="preserve">2.6.1). </w:t>
            </w:r>
          </w:p>
          <w:p w14:paraId="5B1971A4" w14:textId="0DEC748F" w:rsidR="004D6988" w:rsidRPr="00A81272" w:rsidRDefault="004D6988" w:rsidP="00A81272">
            <w:pPr>
              <w:spacing w:after="100"/>
              <w:ind w:left="345" w:hanging="215"/>
            </w:pPr>
          </w:p>
        </w:tc>
      </w:tr>
      <w:tr w:rsidR="001B5076" w:rsidRPr="000F6CD1" w14:paraId="3084F01B"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5E25A2E" w14:textId="77777777" w:rsidR="001B5076" w:rsidRPr="000F6CD1" w:rsidRDefault="001B5076" w:rsidP="00A81272">
            <w:pPr>
              <w:rPr>
                <w:rFonts w:eastAsiaTheme="minorHAnsi"/>
                <w:szCs w:val="22"/>
              </w:rPr>
            </w:pPr>
            <w:r w:rsidRPr="000F6CD1">
              <w:t>Chapter 3 </w:t>
            </w:r>
            <w:r w:rsidRPr="000F6CD1">
              <w:rPr>
                <w:szCs w:val="22"/>
              </w:rPr>
              <w:t> </w:t>
            </w:r>
          </w:p>
          <w:p w14:paraId="77AA665B" w14:textId="77777777" w:rsidR="001B5076" w:rsidRPr="000F6CD1" w:rsidRDefault="001B5076" w:rsidP="00A81272">
            <w:pPr>
              <w:rPr>
                <w:szCs w:val="22"/>
              </w:rPr>
            </w:pPr>
            <w:r w:rsidRPr="000F6CD1">
              <w:rPr>
                <w:szCs w:val="22"/>
              </w:rPr>
              <w:t>Referral, Registration and Screening </w:t>
            </w:r>
          </w:p>
        </w:tc>
        <w:tc>
          <w:tcPr>
            <w:tcW w:w="3190" w:type="dxa"/>
            <w:tcBorders>
              <w:top w:val="nil"/>
              <w:left w:val="nil"/>
              <w:bottom w:val="single" w:sz="8" w:space="0" w:color="auto"/>
              <w:right w:val="single" w:sz="8" w:space="0" w:color="auto"/>
            </w:tcBorders>
            <w:hideMark/>
          </w:tcPr>
          <w:p w14:paraId="5F25B47B" w14:textId="77777777" w:rsidR="001B5076" w:rsidRPr="000F6CD1" w:rsidRDefault="001B5076" w:rsidP="00A81272">
            <w:pPr>
              <w:rPr>
                <w:szCs w:val="22"/>
              </w:rPr>
            </w:pPr>
            <w:r w:rsidRPr="000F6CD1">
              <w:rPr>
                <w:szCs w:val="22"/>
              </w:rPr>
              <w:t>Details the referral, registration and screening stages of the assessment journey. Information includes:  </w:t>
            </w:r>
          </w:p>
          <w:p w14:paraId="7421BA84" w14:textId="054D6225"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Registered supporters  </w:t>
            </w:r>
          </w:p>
          <w:p w14:paraId="4CFD5669" w14:textId="77777777"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Entry into My Aged Care </w:t>
            </w:r>
          </w:p>
          <w:p w14:paraId="2DE8C8BF" w14:textId="77D0E3CE"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 xml:space="preserve">Registering with </w:t>
            </w:r>
            <w:r w:rsidR="00A2127A" w:rsidRPr="000F6CD1">
              <w:rPr>
                <w:rFonts w:eastAsia="Times New Roman"/>
                <w:szCs w:val="22"/>
              </w:rPr>
              <w:t>M</w:t>
            </w:r>
            <w:r w:rsidRPr="000F6CD1">
              <w:rPr>
                <w:rFonts w:eastAsia="Times New Roman"/>
                <w:szCs w:val="22"/>
              </w:rPr>
              <w:t xml:space="preserve">y </w:t>
            </w:r>
            <w:r w:rsidR="00A2127A" w:rsidRPr="000F6CD1">
              <w:rPr>
                <w:rFonts w:eastAsia="Times New Roman"/>
                <w:szCs w:val="22"/>
              </w:rPr>
              <w:t>A</w:t>
            </w:r>
            <w:r w:rsidRPr="000F6CD1">
              <w:rPr>
                <w:rFonts w:eastAsia="Times New Roman"/>
                <w:szCs w:val="22"/>
              </w:rPr>
              <w:t xml:space="preserve">ged </w:t>
            </w:r>
            <w:r w:rsidR="00A2127A" w:rsidRPr="000F6CD1">
              <w:rPr>
                <w:rFonts w:eastAsia="Times New Roman"/>
                <w:szCs w:val="22"/>
              </w:rPr>
              <w:t>C</w:t>
            </w:r>
            <w:r w:rsidRPr="000F6CD1">
              <w:rPr>
                <w:rFonts w:eastAsia="Times New Roman"/>
                <w:szCs w:val="22"/>
              </w:rPr>
              <w:t>are </w:t>
            </w:r>
          </w:p>
          <w:p w14:paraId="566A0F9E" w14:textId="77777777"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Screening</w:t>
            </w:r>
          </w:p>
          <w:p w14:paraId="3DE5FE22" w14:textId="77777777"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Alternative entry (urgent services pathway) </w:t>
            </w:r>
          </w:p>
          <w:p w14:paraId="3B53411C" w14:textId="77777777" w:rsidR="001B5076" w:rsidRPr="000F6CD1" w:rsidRDefault="001B5076"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lastRenderedPageBreak/>
              <w:t>Application for Care form </w:t>
            </w:r>
          </w:p>
          <w:p w14:paraId="03F59216" w14:textId="77777777" w:rsidR="001B5076" w:rsidRPr="000F6CD1" w:rsidRDefault="001B5076" w:rsidP="00A81272">
            <w:pPr>
              <w:rPr>
                <w:rFonts w:eastAsiaTheme="minorHAnsi"/>
                <w:szCs w:val="22"/>
              </w:rPr>
            </w:pPr>
            <w:r w:rsidRPr="000F6CD1">
              <w:rPr>
                <w:szCs w:val="22"/>
              </w:rPr>
              <w:t> </w:t>
            </w:r>
          </w:p>
        </w:tc>
        <w:tc>
          <w:tcPr>
            <w:tcW w:w="4776" w:type="dxa"/>
            <w:tcBorders>
              <w:top w:val="nil"/>
              <w:left w:val="nil"/>
              <w:bottom w:val="single" w:sz="8" w:space="0" w:color="auto"/>
              <w:right w:val="single" w:sz="8" w:space="0" w:color="auto"/>
            </w:tcBorders>
            <w:hideMark/>
          </w:tcPr>
          <w:p w14:paraId="1D7390EC" w14:textId="6695C5DA" w:rsidR="003F6D37" w:rsidRPr="00A81272" w:rsidRDefault="003F6D37" w:rsidP="00A81272">
            <w:pPr>
              <w:pStyle w:val="ListParagraph"/>
              <w:numPr>
                <w:ilvl w:val="0"/>
                <w:numId w:val="635"/>
              </w:numPr>
              <w:spacing w:after="100"/>
              <w:ind w:left="345" w:hanging="215"/>
              <w:contextualSpacing w:val="0"/>
            </w:pPr>
            <w:r>
              <w:lastRenderedPageBreak/>
              <w:t xml:space="preserve">Updates to information about CHSP Direct-to-Provider Referrals (section 3.2.1). </w:t>
            </w:r>
          </w:p>
          <w:p w14:paraId="6A3DA3C2" w14:textId="758B68B3" w:rsidR="008451F6" w:rsidRPr="00A81272" w:rsidRDefault="00F471AD" w:rsidP="00A81272">
            <w:pPr>
              <w:pStyle w:val="ListParagraph"/>
              <w:numPr>
                <w:ilvl w:val="0"/>
                <w:numId w:val="635"/>
              </w:numPr>
              <w:spacing w:after="100"/>
              <w:ind w:left="345" w:hanging="215"/>
              <w:contextualSpacing w:val="0"/>
            </w:pPr>
            <w:r w:rsidRPr="00A81272">
              <w:t xml:space="preserve">Additional information has been included to define an organisation agent (section 3.4.2). </w:t>
            </w:r>
          </w:p>
          <w:p w14:paraId="564502B0" w14:textId="1FD284CE" w:rsidR="00676BEE" w:rsidRPr="00A81272" w:rsidRDefault="00676BEE" w:rsidP="00A81272">
            <w:pPr>
              <w:spacing w:after="100"/>
              <w:ind w:left="345" w:hanging="215"/>
            </w:pPr>
          </w:p>
        </w:tc>
      </w:tr>
      <w:tr w:rsidR="000E7FBC" w:rsidRPr="000F6CD1" w14:paraId="3217B19C"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76FC114C" w14:textId="77777777" w:rsidR="000E7FBC" w:rsidRPr="000F6CD1" w:rsidRDefault="000E7FBC" w:rsidP="00A81272">
            <w:pPr>
              <w:rPr>
                <w:rFonts w:eastAsiaTheme="minorHAnsi"/>
                <w:szCs w:val="22"/>
              </w:rPr>
            </w:pPr>
            <w:r w:rsidRPr="000F6CD1">
              <w:t>Chapter 4 </w:t>
            </w:r>
            <w:r w:rsidRPr="000F6CD1">
              <w:rPr>
                <w:szCs w:val="22"/>
              </w:rPr>
              <w:t> </w:t>
            </w:r>
          </w:p>
          <w:p w14:paraId="3F309A7A" w14:textId="77777777" w:rsidR="000E7FBC" w:rsidRPr="000F6CD1" w:rsidRDefault="000E7FBC" w:rsidP="00A81272">
            <w:pPr>
              <w:rPr>
                <w:szCs w:val="22"/>
              </w:rPr>
            </w:pPr>
            <w:r w:rsidRPr="000F6CD1">
              <w:rPr>
                <w:szCs w:val="22"/>
              </w:rPr>
              <w:t>Referral for Assessment </w:t>
            </w:r>
          </w:p>
        </w:tc>
        <w:tc>
          <w:tcPr>
            <w:tcW w:w="3190" w:type="dxa"/>
            <w:tcBorders>
              <w:top w:val="nil"/>
              <w:left w:val="nil"/>
              <w:bottom w:val="single" w:sz="8" w:space="0" w:color="auto"/>
              <w:right w:val="single" w:sz="8" w:space="0" w:color="auto"/>
            </w:tcBorders>
            <w:hideMark/>
          </w:tcPr>
          <w:p w14:paraId="46A31C8D" w14:textId="77777777" w:rsidR="000E7FBC" w:rsidRPr="00C623EA" w:rsidRDefault="000E7FBC" w:rsidP="00A81272">
            <w:pPr>
              <w:rPr>
                <w:szCs w:val="22"/>
              </w:rPr>
            </w:pPr>
            <w:r w:rsidRPr="00C623EA">
              <w:rPr>
                <w:szCs w:val="22"/>
              </w:rPr>
              <w:t>Details the assessment referral process in the My Aged Care assessor portal including:  </w:t>
            </w:r>
          </w:p>
          <w:p w14:paraId="7A8B2C14" w14:textId="3DDAB8A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Managing and actioning referrals and assigning referral priority</w:t>
            </w:r>
          </w:p>
          <w:p w14:paraId="4826F9D2"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Managing preference for Aboriginal and Torres Strait Islander assessments </w:t>
            </w:r>
          </w:p>
          <w:p w14:paraId="1A4ABF30"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Explaining how priority categories are assigned to different assessments including Home Support, Comprehensive and Hospital Assessments </w:t>
            </w:r>
          </w:p>
          <w:p w14:paraId="40955C5E"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Using the End-of-Life Pathway ‘high priority’ referrals in the system </w:t>
            </w:r>
          </w:p>
          <w:p w14:paraId="3D056A60" w14:textId="0A95094E"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Explaining how assessors can self-refer for eligible and (likely) ineligible individuals.</w:t>
            </w:r>
            <w:r w:rsidR="00C94139" w:rsidRPr="00C623EA">
              <w:rPr>
                <w:rFonts w:eastAsia="Times New Roman"/>
                <w:szCs w:val="22"/>
              </w:rPr>
              <w:t xml:space="preserve"> </w:t>
            </w:r>
          </w:p>
          <w:p w14:paraId="13CEB1C1"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SPRs and reassessment requests </w:t>
            </w:r>
          </w:p>
        </w:tc>
        <w:tc>
          <w:tcPr>
            <w:tcW w:w="4776" w:type="dxa"/>
            <w:tcBorders>
              <w:top w:val="nil"/>
              <w:left w:val="nil"/>
              <w:bottom w:val="single" w:sz="8" w:space="0" w:color="auto"/>
              <w:right w:val="single" w:sz="8" w:space="0" w:color="auto"/>
            </w:tcBorders>
          </w:tcPr>
          <w:p w14:paraId="03C4E64E" w14:textId="1A5D6FA9" w:rsidR="000E7FBC" w:rsidRPr="00C623EA" w:rsidRDefault="00895291" w:rsidP="00A81272">
            <w:pPr>
              <w:pStyle w:val="ListParagraph"/>
              <w:numPr>
                <w:ilvl w:val="0"/>
                <w:numId w:val="635"/>
              </w:numPr>
              <w:spacing w:after="100"/>
              <w:ind w:left="345" w:hanging="215"/>
              <w:contextualSpacing w:val="0"/>
            </w:pPr>
            <w:r w:rsidRPr="00C623EA">
              <w:t xml:space="preserve">Removal of instructions for delegates regarding use of the ‘ineligible at triage’ referral rejection reason (section </w:t>
            </w:r>
            <w:r w:rsidR="005E551D" w:rsidRPr="00C623EA">
              <w:t>4.3.4)</w:t>
            </w:r>
            <w:r w:rsidR="00937EF3">
              <w:t>.</w:t>
            </w:r>
          </w:p>
          <w:p w14:paraId="5A881843" w14:textId="4E1838ED" w:rsidR="00E26938" w:rsidRPr="00C623EA" w:rsidRDefault="00E26938" w:rsidP="00A81272">
            <w:pPr>
              <w:pStyle w:val="ListParagraph"/>
              <w:numPr>
                <w:ilvl w:val="0"/>
                <w:numId w:val="635"/>
              </w:numPr>
              <w:spacing w:after="100"/>
              <w:ind w:left="345" w:hanging="215"/>
              <w:contextualSpacing w:val="0"/>
            </w:pPr>
            <w:r w:rsidRPr="00C623EA">
              <w:t>Addition of instructions regarding minimum attempts to contact older person/supporters requirement (section 4.3.8)</w:t>
            </w:r>
            <w:r w:rsidR="00937EF3">
              <w:t>.</w:t>
            </w:r>
          </w:p>
        </w:tc>
      </w:tr>
      <w:tr w:rsidR="000E7FBC" w:rsidRPr="000F6CD1" w14:paraId="5925AA20"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2057D65" w14:textId="77777777" w:rsidR="000E7FBC" w:rsidRPr="000F6CD1" w:rsidRDefault="000E7FBC" w:rsidP="00A81272">
            <w:pPr>
              <w:rPr>
                <w:szCs w:val="22"/>
              </w:rPr>
            </w:pPr>
            <w:r w:rsidRPr="000F6CD1">
              <w:t>Chapter 5 </w:t>
            </w:r>
            <w:r w:rsidRPr="000F6CD1">
              <w:rPr>
                <w:szCs w:val="22"/>
              </w:rPr>
              <w:t> </w:t>
            </w:r>
          </w:p>
          <w:p w14:paraId="37A86FB9" w14:textId="77777777" w:rsidR="000E7FBC" w:rsidRPr="000F6CD1" w:rsidRDefault="000E7FBC" w:rsidP="00A81272">
            <w:pPr>
              <w:rPr>
                <w:szCs w:val="22"/>
              </w:rPr>
            </w:pPr>
            <w:r w:rsidRPr="000F6CD1">
              <w:rPr>
                <w:szCs w:val="22"/>
              </w:rPr>
              <w:t>Assessment Activities </w:t>
            </w:r>
          </w:p>
        </w:tc>
        <w:tc>
          <w:tcPr>
            <w:tcW w:w="3190" w:type="dxa"/>
            <w:tcBorders>
              <w:top w:val="nil"/>
              <w:left w:val="nil"/>
              <w:bottom w:val="single" w:sz="8" w:space="0" w:color="auto"/>
              <w:right w:val="single" w:sz="8" w:space="0" w:color="auto"/>
            </w:tcBorders>
          </w:tcPr>
          <w:p w14:paraId="53D2D27D" w14:textId="77777777" w:rsidR="000E7FBC" w:rsidRPr="00C623EA" w:rsidRDefault="000E7FBC" w:rsidP="00A81272">
            <w:pPr>
              <w:rPr>
                <w:szCs w:val="22"/>
              </w:rPr>
            </w:pPr>
            <w:r w:rsidRPr="00C623EA">
              <w:rPr>
                <w:szCs w:val="22"/>
              </w:rPr>
              <w:t>Includes important information about how to undertake an aged care needs assessment and complete a support plan for an older person. This chapter includes: </w:t>
            </w:r>
          </w:p>
          <w:p w14:paraId="4B6C12D5"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Consent for triage and assessment </w:t>
            </w:r>
          </w:p>
          <w:p w14:paraId="0C1B54EA"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Triaging Assessments and Triage Delegate role </w:t>
            </w:r>
          </w:p>
          <w:p w14:paraId="0F955F31"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Triage for SPRs </w:t>
            </w:r>
          </w:p>
          <w:p w14:paraId="70718788"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Revocation of Eligibility </w:t>
            </w:r>
          </w:p>
          <w:p w14:paraId="4E69571B"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Undertaking a needs assessment using the IAT </w:t>
            </w:r>
          </w:p>
          <w:p w14:paraId="3A3F7376"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Assessment settings </w:t>
            </w:r>
          </w:p>
          <w:p w14:paraId="2F3D48BD"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lastRenderedPageBreak/>
              <w:t>Clinical attendance </w:t>
            </w:r>
          </w:p>
          <w:p w14:paraId="5D1C5074" w14:textId="2E02BE81" w:rsidR="000E7FBC" w:rsidRPr="00C623EA" w:rsidRDefault="00386B7E" w:rsidP="00F454BB">
            <w:pPr>
              <w:pStyle w:val="ListParagraph"/>
              <w:numPr>
                <w:ilvl w:val="0"/>
                <w:numId w:val="635"/>
              </w:numPr>
              <w:spacing w:after="100"/>
              <w:ind w:left="345" w:hanging="215"/>
              <w:contextualSpacing w:val="0"/>
              <w:rPr>
                <w:rFonts w:eastAsia="Times New Roman"/>
                <w:szCs w:val="22"/>
              </w:rPr>
            </w:pPr>
            <w:r>
              <w:rPr>
                <w:rFonts w:eastAsia="Times New Roman"/>
                <w:szCs w:val="22"/>
              </w:rPr>
              <w:t>IAT Outcome</w:t>
            </w:r>
            <w:r w:rsidR="000E7FBC" w:rsidRPr="00C623EA">
              <w:rPr>
                <w:rFonts w:eastAsia="Times New Roman"/>
                <w:szCs w:val="22"/>
              </w:rPr>
              <w:t>  </w:t>
            </w:r>
          </w:p>
          <w:p w14:paraId="22474B28"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Recommending service types and services  </w:t>
            </w:r>
          </w:p>
          <w:p w14:paraId="241B0F48"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Converting a home support assessment to comprehensive </w:t>
            </w:r>
          </w:p>
          <w:p w14:paraId="3D25F727"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Support Plan </w:t>
            </w:r>
          </w:p>
          <w:p w14:paraId="74875D45"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Wellness &amp; Reablement </w:t>
            </w:r>
          </w:p>
          <w:p w14:paraId="08121290"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Linking Supports </w:t>
            </w:r>
          </w:p>
          <w:p w14:paraId="385EC068" w14:textId="77777777" w:rsidR="000E7FBC" w:rsidRPr="00C623EA" w:rsidRDefault="000E7FBC" w:rsidP="00F454BB">
            <w:pPr>
              <w:pStyle w:val="ListParagraph"/>
              <w:numPr>
                <w:ilvl w:val="0"/>
                <w:numId w:val="635"/>
              </w:numPr>
              <w:spacing w:after="100"/>
              <w:ind w:left="345" w:hanging="215"/>
              <w:contextualSpacing w:val="0"/>
              <w:rPr>
                <w:rFonts w:eastAsia="Times New Roman"/>
                <w:szCs w:val="22"/>
              </w:rPr>
            </w:pPr>
            <w:r w:rsidRPr="00C623EA">
              <w:rPr>
                <w:rFonts w:eastAsia="Times New Roman"/>
                <w:szCs w:val="22"/>
              </w:rPr>
              <w:t>Assessment wrap-up </w:t>
            </w:r>
          </w:p>
          <w:p w14:paraId="2608220F" w14:textId="77777777" w:rsidR="000E7FBC" w:rsidRPr="00C623EA" w:rsidRDefault="000E7FBC" w:rsidP="00A81272">
            <w:pPr>
              <w:rPr>
                <w:rFonts w:eastAsiaTheme="minorHAnsi"/>
                <w:szCs w:val="22"/>
              </w:rPr>
            </w:pPr>
            <w:r w:rsidRPr="00C623EA">
              <w:rPr>
                <w:szCs w:val="22"/>
              </w:rPr>
              <w:t> </w:t>
            </w:r>
          </w:p>
        </w:tc>
        <w:tc>
          <w:tcPr>
            <w:tcW w:w="4776" w:type="dxa"/>
            <w:tcBorders>
              <w:top w:val="nil"/>
              <w:left w:val="nil"/>
              <w:bottom w:val="single" w:sz="8" w:space="0" w:color="auto"/>
              <w:right w:val="single" w:sz="8" w:space="0" w:color="auto"/>
            </w:tcBorders>
          </w:tcPr>
          <w:p w14:paraId="5A07C9DD" w14:textId="437619F3" w:rsidR="0096698D" w:rsidRPr="00CA7ED7" w:rsidRDefault="00C31572" w:rsidP="00A81272">
            <w:pPr>
              <w:pStyle w:val="ListParagraph"/>
              <w:numPr>
                <w:ilvl w:val="0"/>
                <w:numId w:val="635"/>
              </w:numPr>
              <w:spacing w:after="100"/>
              <w:ind w:left="345" w:hanging="215"/>
              <w:contextualSpacing w:val="0"/>
              <w:rPr>
                <w:szCs w:val="22"/>
              </w:rPr>
            </w:pPr>
            <w:r>
              <w:lastRenderedPageBreak/>
              <w:t>Clarification of presumption of capacity and obtaining consent (section 5.1)</w:t>
            </w:r>
            <w:r w:rsidR="00937EF3">
              <w:t>.</w:t>
            </w:r>
          </w:p>
          <w:p w14:paraId="5C338039" w14:textId="4D2E95EB" w:rsidR="00CA7ED7" w:rsidRPr="00135D2C" w:rsidRDefault="00CA7ED7" w:rsidP="00A81272">
            <w:pPr>
              <w:pStyle w:val="ListParagraph"/>
              <w:numPr>
                <w:ilvl w:val="0"/>
                <w:numId w:val="635"/>
              </w:numPr>
              <w:spacing w:after="100"/>
              <w:ind w:left="345" w:hanging="215"/>
              <w:contextualSpacing w:val="0"/>
              <w:rPr>
                <w:szCs w:val="22"/>
              </w:rPr>
            </w:pPr>
            <w:r>
              <w:t>Updates to Disability Support for Older Australians (DSOA) Program content (sections 5.1 and 5.7.7).</w:t>
            </w:r>
          </w:p>
          <w:p w14:paraId="04634C8F" w14:textId="1DE10056" w:rsidR="0096698D" w:rsidRPr="00135D2C" w:rsidRDefault="0096698D" w:rsidP="00A81272">
            <w:pPr>
              <w:pStyle w:val="ListParagraph"/>
              <w:numPr>
                <w:ilvl w:val="0"/>
                <w:numId w:val="635"/>
              </w:numPr>
              <w:spacing w:after="100"/>
              <w:ind w:left="345" w:hanging="215"/>
              <w:contextualSpacing w:val="0"/>
              <w:rPr>
                <w:szCs w:val="22"/>
              </w:rPr>
            </w:pPr>
            <w:r w:rsidRPr="00135D2C">
              <w:rPr>
                <w:szCs w:val="22"/>
              </w:rPr>
              <w:t xml:space="preserve">Details of </w:t>
            </w:r>
            <w:r w:rsidR="0003468B" w:rsidRPr="00135D2C">
              <w:rPr>
                <w:szCs w:val="22"/>
              </w:rPr>
              <w:t xml:space="preserve">the </w:t>
            </w:r>
            <w:r w:rsidRPr="00135D2C">
              <w:rPr>
                <w:szCs w:val="22"/>
              </w:rPr>
              <w:t xml:space="preserve">new system functionality </w:t>
            </w:r>
            <w:r w:rsidR="0003468B" w:rsidRPr="00135D2C">
              <w:rPr>
                <w:szCs w:val="22"/>
              </w:rPr>
              <w:t>that allows</w:t>
            </w:r>
            <w:r w:rsidRPr="00135D2C">
              <w:rPr>
                <w:szCs w:val="22"/>
              </w:rPr>
              <w:t xml:space="preserve"> Triage Delegate</w:t>
            </w:r>
            <w:r w:rsidR="00937EF3" w:rsidRPr="00135D2C">
              <w:rPr>
                <w:szCs w:val="22"/>
              </w:rPr>
              <w:t>s</w:t>
            </w:r>
            <w:r w:rsidRPr="00135D2C">
              <w:rPr>
                <w:szCs w:val="22"/>
              </w:rPr>
              <w:t xml:space="preserve"> to determine an older person is not eligible for an assessment without completing </w:t>
            </w:r>
            <w:r w:rsidR="0003468B" w:rsidRPr="00135D2C">
              <w:rPr>
                <w:szCs w:val="22"/>
              </w:rPr>
              <w:t>the t</w:t>
            </w:r>
            <w:r w:rsidRPr="00135D2C">
              <w:rPr>
                <w:szCs w:val="22"/>
              </w:rPr>
              <w:t>riage</w:t>
            </w:r>
            <w:r w:rsidR="0003468B" w:rsidRPr="00135D2C">
              <w:rPr>
                <w:szCs w:val="22"/>
              </w:rPr>
              <w:t xml:space="preserve"> process</w:t>
            </w:r>
            <w:r w:rsidRPr="00135D2C">
              <w:rPr>
                <w:szCs w:val="22"/>
              </w:rPr>
              <w:t xml:space="preserve"> (section 5.3). </w:t>
            </w:r>
          </w:p>
          <w:p w14:paraId="04A326AE" w14:textId="7181B86F" w:rsidR="007A4526" w:rsidRPr="00135D2C" w:rsidRDefault="007A4526" w:rsidP="00A81272">
            <w:pPr>
              <w:pStyle w:val="ListParagraph"/>
              <w:numPr>
                <w:ilvl w:val="0"/>
                <w:numId w:val="635"/>
              </w:numPr>
              <w:spacing w:after="100"/>
              <w:ind w:left="345" w:hanging="215"/>
              <w:contextualSpacing w:val="0"/>
              <w:rPr>
                <w:szCs w:val="22"/>
              </w:rPr>
            </w:pPr>
            <w:r w:rsidRPr="00135D2C">
              <w:rPr>
                <w:szCs w:val="22"/>
              </w:rPr>
              <w:t>Updated guidance for Triage Delegat</w:t>
            </w:r>
            <w:r w:rsidR="007F77C8" w:rsidRPr="00135D2C">
              <w:rPr>
                <w:szCs w:val="22"/>
              </w:rPr>
              <w:t>es</w:t>
            </w:r>
            <w:r w:rsidRPr="00135D2C">
              <w:rPr>
                <w:szCs w:val="22"/>
              </w:rPr>
              <w:t xml:space="preserve"> on completing triage after an SPR</w:t>
            </w:r>
            <w:r w:rsidR="007F77C8" w:rsidRPr="00135D2C">
              <w:rPr>
                <w:szCs w:val="22"/>
              </w:rPr>
              <w:t xml:space="preserve"> (section 5.3.3)</w:t>
            </w:r>
            <w:r w:rsidR="00937EF3" w:rsidRPr="00135D2C">
              <w:rPr>
                <w:szCs w:val="22"/>
              </w:rPr>
              <w:t>.</w:t>
            </w:r>
          </w:p>
          <w:p w14:paraId="5B3A89E2" w14:textId="77777777" w:rsidR="00C31572" w:rsidRPr="00135D2C" w:rsidRDefault="00B46421" w:rsidP="00A81272">
            <w:pPr>
              <w:pStyle w:val="ListParagraph"/>
              <w:numPr>
                <w:ilvl w:val="0"/>
                <w:numId w:val="635"/>
              </w:numPr>
              <w:spacing w:after="100"/>
              <w:ind w:left="345" w:hanging="215"/>
              <w:contextualSpacing w:val="0"/>
              <w:rPr>
                <w:szCs w:val="22"/>
              </w:rPr>
            </w:pPr>
            <w:r>
              <w:t xml:space="preserve">Updated guidance for assessors on discussing with a client their preference for an Aboriginal and Torres Strait Islander assessment organisation (section 5.6.1). </w:t>
            </w:r>
          </w:p>
          <w:p w14:paraId="7F703360" w14:textId="77777777" w:rsidR="00B46421" w:rsidRPr="00135D2C" w:rsidRDefault="004044AB" w:rsidP="00A81272">
            <w:pPr>
              <w:pStyle w:val="ListParagraph"/>
              <w:numPr>
                <w:ilvl w:val="0"/>
                <w:numId w:val="635"/>
              </w:numPr>
              <w:spacing w:after="100"/>
              <w:ind w:left="345" w:hanging="215"/>
              <w:contextualSpacing w:val="0"/>
              <w:rPr>
                <w:szCs w:val="22"/>
              </w:rPr>
            </w:pPr>
            <w:r w:rsidRPr="00135D2C">
              <w:rPr>
                <w:szCs w:val="22"/>
              </w:rPr>
              <w:lastRenderedPageBreak/>
              <w:t>New reminder for assessors</w:t>
            </w:r>
            <w:r w:rsidR="00DA71AB" w:rsidRPr="00135D2C">
              <w:rPr>
                <w:szCs w:val="22"/>
              </w:rPr>
              <w:t xml:space="preserve"> to add a client’s goals to the support plan before finalising the IAT (section </w:t>
            </w:r>
            <w:r w:rsidR="001C401E" w:rsidRPr="00135D2C">
              <w:rPr>
                <w:szCs w:val="22"/>
              </w:rPr>
              <w:t>5.7).</w:t>
            </w:r>
          </w:p>
          <w:p w14:paraId="70D1DA85" w14:textId="26A38D46" w:rsidR="001560F1" w:rsidRPr="001560F1" w:rsidRDefault="001560F1" w:rsidP="001560F1">
            <w:pPr>
              <w:pStyle w:val="ListParagraph"/>
              <w:numPr>
                <w:ilvl w:val="0"/>
                <w:numId w:val="635"/>
              </w:numPr>
              <w:spacing w:after="100"/>
              <w:ind w:left="345" w:hanging="215"/>
            </w:pPr>
            <w:r w:rsidRPr="001560F1">
              <w:t>Updates to multiple areas in section 5.7.7.</w:t>
            </w:r>
            <w:r>
              <w:t xml:space="preserve"> T</w:t>
            </w:r>
            <w:r w:rsidRPr="001560F1">
              <w:t xml:space="preserve">his </w:t>
            </w:r>
            <w:r w:rsidR="000621BC" w:rsidRPr="001560F1">
              <w:t>includes</w:t>
            </w:r>
            <w:r w:rsidRPr="001560F1">
              <w:t xml:space="preserve"> updates to the classification algorithm text, revisions to the DSOA note, </w:t>
            </w:r>
            <w:r>
              <w:br/>
            </w:r>
            <w:r w:rsidRPr="001560F1">
              <w:t>a new note on returning the IAT to an assessor, a new note for Assessment Organisations on explaining IAT outcomes to older people</w:t>
            </w:r>
            <w:r>
              <w:t xml:space="preserve"> (section 5.7.7.). </w:t>
            </w:r>
          </w:p>
          <w:p w14:paraId="65CBDE8D" w14:textId="3DB926E3" w:rsidR="001C401E" w:rsidRPr="001560F1" w:rsidRDefault="008305FB" w:rsidP="001560F1">
            <w:pPr>
              <w:spacing w:after="100"/>
              <w:rPr>
                <w:szCs w:val="22"/>
              </w:rPr>
            </w:pPr>
            <w:r>
              <w:br/>
            </w:r>
          </w:p>
        </w:tc>
      </w:tr>
      <w:tr w:rsidR="000E7FBC" w:rsidRPr="000F6CD1" w14:paraId="2AE4B327"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14FC84D7" w14:textId="53D3C1B6" w:rsidR="000E7FBC" w:rsidRPr="000F6CD1" w:rsidRDefault="000E7FBC" w:rsidP="00A81272">
            <w:r w:rsidRPr="000F6CD1">
              <w:lastRenderedPageBreak/>
              <w:t>Chapter 6 </w:t>
            </w:r>
          </w:p>
          <w:p w14:paraId="3680DF35" w14:textId="77777777" w:rsidR="000E7FBC" w:rsidRPr="000F6CD1" w:rsidRDefault="000E7FBC" w:rsidP="00A81272">
            <w:pPr>
              <w:rPr>
                <w:szCs w:val="22"/>
              </w:rPr>
            </w:pPr>
            <w:r w:rsidRPr="000F6CD1">
              <w:rPr>
                <w:szCs w:val="22"/>
              </w:rPr>
              <w:t>Aged Care Programs </w:t>
            </w:r>
          </w:p>
        </w:tc>
        <w:tc>
          <w:tcPr>
            <w:tcW w:w="3190" w:type="dxa"/>
            <w:tcBorders>
              <w:top w:val="nil"/>
              <w:left w:val="nil"/>
              <w:bottom w:val="single" w:sz="8" w:space="0" w:color="auto"/>
              <w:right w:val="single" w:sz="8" w:space="0" w:color="auto"/>
            </w:tcBorders>
            <w:hideMark/>
          </w:tcPr>
          <w:p w14:paraId="08FFC973" w14:textId="77777777" w:rsidR="000E7FBC" w:rsidRPr="009756CE" w:rsidRDefault="000E7FBC" w:rsidP="00A81272">
            <w:pPr>
              <w:rPr>
                <w:szCs w:val="22"/>
              </w:rPr>
            </w:pPr>
            <w:r w:rsidRPr="009756CE">
              <w:rPr>
                <w:szCs w:val="22"/>
              </w:rPr>
              <w:t>Includes important information about the aged care programs recommended by assessors to meet an older person’s needs and goals. </w:t>
            </w:r>
          </w:p>
          <w:p w14:paraId="0D7B9580" w14:textId="77777777" w:rsidR="000E7FBC" w:rsidRPr="009756CE" w:rsidRDefault="000E7FBC" w:rsidP="00A81272">
            <w:pPr>
              <w:rPr>
                <w:rFonts w:eastAsiaTheme="minorHAnsi"/>
                <w:szCs w:val="22"/>
              </w:rPr>
            </w:pPr>
            <w:r w:rsidRPr="009756CE">
              <w:rPr>
                <w:szCs w:val="22"/>
              </w:rPr>
              <w:t> </w:t>
            </w:r>
          </w:p>
        </w:tc>
        <w:tc>
          <w:tcPr>
            <w:tcW w:w="4776" w:type="dxa"/>
            <w:tcBorders>
              <w:top w:val="nil"/>
              <w:left w:val="nil"/>
              <w:bottom w:val="single" w:sz="8" w:space="0" w:color="auto"/>
              <w:right w:val="single" w:sz="8" w:space="0" w:color="auto"/>
            </w:tcBorders>
          </w:tcPr>
          <w:p w14:paraId="687AE7A6" w14:textId="77777777" w:rsidR="000E7FBC" w:rsidRPr="009F603D" w:rsidRDefault="009F603D" w:rsidP="00A81272">
            <w:pPr>
              <w:pStyle w:val="ListParagraph"/>
              <w:numPr>
                <w:ilvl w:val="0"/>
                <w:numId w:val="635"/>
              </w:numPr>
              <w:spacing w:after="100"/>
              <w:ind w:left="345" w:hanging="215"/>
              <w:contextualSpacing w:val="0"/>
              <w:rPr>
                <w:rFonts w:eastAsia="Times New Roman"/>
                <w:szCs w:val="22"/>
              </w:rPr>
            </w:pPr>
            <w:r>
              <w:t>Addition of a caveat that budgets are indicative and will be subject to indexation (section 6.1)</w:t>
            </w:r>
          </w:p>
          <w:p w14:paraId="7D9C381F" w14:textId="77777777" w:rsidR="00841F9D" w:rsidRPr="00841F9D" w:rsidRDefault="00220AC5" w:rsidP="00A81272">
            <w:pPr>
              <w:pStyle w:val="ListParagraph"/>
              <w:numPr>
                <w:ilvl w:val="0"/>
                <w:numId w:val="635"/>
              </w:numPr>
              <w:spacing w:after="100"/>
              <w:ind w:left="345" w:hanging="215"/>
              <w:contextualSpacing w:val="0"/>
              <w:rPr>
                <w:rFonts w:eastAsia="Times New Roman"/>
                <w:szCs w:val="22"/>
              </w:rPr>
            </w:pPr>
            <w:r>
              <w:t>Updates to reflect changes to the Support Home priority system</w:t>
            </w:r>
            <w:r w:rsidR="005A35D7">
              <w:t xml:space="preserve"> (section 6.1.1). </w:t>
            </w:r>
          </w:p>
          <w:p w14:paraId="5F896B96" w14:textId="1C477EEF" w:rsidR="009E7855" w:rsidRDefault="00841F9D" w:rsidP="00A81272">
            <w:pPr>
              <w:pStyle w:val="ListParagraph"/>
              <w:numPr>
                <w:ilvl w:val="0"/>
                <w:numId w:val="635"/>
              </w:numPr>
              <w:spacing w:after="100"/>
              <w:ind w:left="345" w:hanging="215"/>
              <w:contextualSpacing w:val="0"/>
              <w:rPr>
                <w:rFonts w:eastAsia="Times New Roman"/>
                <w:szCs w:val="22"/>
              </w:rPr>
            </w:pPr>
            <w:r>
              <w:rPr>
                <w:rFonts w:eastAsia="Times New Roman"/>
                <w:szCs w:val="22"/>
              </w:rPr>
              <w:t>M</w:t>
            </w:r>
            <w:r w:rsidRPr="00841F9D">
              <w:rPr>
                <w:rFonts w:eastAsia="Times New Roman"/>
                <w:szCs w:val="22"/>
              </w:rPr>
              <w:t xml:space="preserve">inor updates to the note regarding monitoring of RCP caps </w:t>
            </w:r>
            <w:r>
              <w:rPr>
                <w:rFonts w:eastAsia="Times New Roman"/>
                <w:szCs w:val="22"/>
              </w:rPr>
              <w:t>(section 6.2).</w:t>
            </w:r>
          </w:p>
          <w:p w14:paraId="773E806A" w14:textId="62875CF4" w:rsidR="009E7855" w:rsidRPr="009E7855" w:rsidRDefault="009E7855" w:rsidP="00A81272">
            <w:pPr>
              <w:pStyle w:val="ListParagraph"/>
              <w:numPr>
                <w:ilvl w:val="0"/>
                <w:numId w:val="635"/>
              </w:numPr>
              <w:spacing w:after="100"/>
              <w:ind w:left="345" w:hanging="215"/>
              <w:contextualSpacing w:val="0"/>
              <w:rPr>
                <w:rFonts w:eastAsia="Times New Roman"/>
                <w:szCs w:val="22"/>
              </w:rPr>
            </w:pPr>
            <w:r>
              <w:rPr>
                <w:rFonts w:eastAsia="Times New Roman"/>
                <w:szCs w:val="22"/>
              </w:rPr>
              <w:t>A</w:t>
            </w:r>
            <w:r w:rsidRPr="009E7855">
              <w:rPr>
                <w:rFonts w:eastAsia="Times New Roman"/>
                <w:szCs w:val="22"/>
              </w:rPr>
              <w:t>dditional guidance on system prompts regarding R</w:t>
            </w:r>
            <w:r>
              <w:rPr>
                <w:rFonts w:eastAsia="Times New Roman"/>
                <w:szCs w:val="22"/>
              </w:rPr>
              <w:t>CP (section 6.2.3).</w:t>
            </w:r>
          </w:p>
          <w:p w14:paraId="2FB443E9" w14:textId="3D9B3078" w:rsidR="00841F9D" w:rsidRPr="00841F9D" w:rsidRDefault="009E7855" w:rsidP="00A81272">
            <w:pPr>
              <w:pStyle w:val="ListParagraph"/>
              <w:numPr>
                <w:ilvl w:val="0"/>
                <w:numId w:val="635"/>
              </w:numPr>
              <w:spacing w:after="100"/>
              <w:ind w:left="345" w:hanging="215"/>
              <w:contextualSpacing w:val="0"/>
              <w:rPr>
                <w:rFonts w:eastAsia="Times New Roman"/>
                <w:szCs w:val="22"/>
              </w:rPr>
            </w:pPr>
            <w:r>
              <w:rPr>
                <w:rFonts w:eastAsia="Times New Roman"/>
                <w:szCs w:val="22"/>
              </w:rPr>
              <w:t>Updated guidance on</w:t>
            </w:r>
            <w:r w:rsidR="00F81902">
              <w:rPr>
                <w:rFonts w:eastAsia="Times New Roman"/>
                <w:szCs w:val="22"/>
              </w:rPr>
              <w:t xml:space="preserve"> the</w:t>
            </w:r>
            <w:r>
              <w:rPr>
                <w:rFonts w:eastAsia="Times New Roman"/>
                <w:szCs w:val="22"/>
              </w:rPr>
              <w:t xml:space="preserve"> </w:t>
            </w:r>
            <w:r w:rsidR="00F81902">
              <w:rPr>
                <w:rFonts w:eastAsia="Times New Roman"/>
                <w:szCs w:val="22"/>
              </w:rPr>
              <w:t>interaction between RCP and AT-HM (section 6.2.4).</w:t>
            </w:r>
          </w:p>
          <w:p w14:paraId="6337A416" w14:textId="2F08FDF9" w:rsidR="00CE4F79" w:rsidRDefault="00CE4F79" w:rsidP="00A81272">
            <w:pPr>
              <w:pStyle w:val="ListParagraph"/>
              <w:numPr>
                <w:ilvl w:val="0"/>
                <w:numId w:val="635"/>
              </w:numPr>
              <w:spacing w:after="100"/>
              <w:ind w:left="345" w:hanging="215"/>
              <w:contextualSpacing w:val="0"/>
              <w:rPr>
                <w:rFonts w:eastAsia="Times New Roman"/>
                <w:szCs w:val="22"/>
              </w:rPr>
            </w:pPr>
            <w:r w:rsidRPr="00CE4F79">
              <w:rPr>
                <w:rFonts w:eastAsia="Times New Roman"/>
                <w:szCs w:val="22"/>
              </w:rPr>
              <w:t xml:space="preserve">Updated </w:t>
            </w:r>
            <w:r w:rsidR="0010155A">
              <w:rPr>
                <w:rFonts w:eastAsia="Times New Roman"/>
                <w:szCs w:val="22"/>
              </w:rPr>
              <w:t xml:space="preserve">guidance </w:t>
            </w:r>
            <w:r w:rsidRPr="00CE4F79">
              <w:rPr>
                <w:rFonts w:eastAsia="Times New Roman"/>
                <w:szCs w:val="22"/>
              </w:rPr>
              <w:t xml:space="preserve">on </w:t>
            </w:r>
            <w:r w:rsidR="0010155A">
              <w:rPr>
                <w:rFonts w:eastAsia="Times New Roman"/>
                <w:szCs w:val="22"/>
              </w:rPr>
              <w:t xml:space="preserve">selecting </w:t>
            </w:r>
            <w:r w:rsidRPr="00CE4F79">
              <w:rPr>
                <w:rFonts w:eastAsia="Times New Roman"/>
                <w:szCs w:val="22"/>
              </w:rPr>
              <w:t>allied health and other therapeutic services</w:t>
            </w:r>
            <w:r w:rsidR="00BC6874">
              <w:rPr>
                <w:rFonts w:eastAsia="Times New Roman"/>
                <w:szCs w:val="22"/>
              </w:rPr>
              <w:t xml:space="preserve">, including interactions </w:t>
            </w:r>
            <w:r w:rsidRPr="00CE4F79">
              <w:rPr>
                <w:rFonts w:eastAsia="Times New Roman"/>
                <w:szCs w:val="22"/>
              </w:rPr>
              <w:t>between RCP and AT</w:t>
            </w:r>
            <w:r w:rsidR="00BC6874">
              <w:rPr>
                <w:rFonts w:eastAsia="Times New Roman"/>
                <w:szCs w:val="22"/>
              </w:rPr>
              <w:t>-</w:t>
            </w:r>
            <w:r w:rsidRPr="00CE4F79">
              <w:rPr>
                <w:rFonts w:eastAsia="Times New Roman"/>
                <w:szCs w:val="22"/>
              </w:rPr>
              <w:t xml:space="preserve">HM </w:t>
            </w:r>
            <w:r w:rsidR="00BC6874">
              <w:rPr>
                <w:rFonts w:eastAsia="Times New Roman"/>
                <w:szCs w:val="22"/>
              </w:rPr>
              <w:t>(section</w:t>
            </w:r>
            <w:r w:rsidR="00C61B87">
              <w:rPr>
                <w:rFonts w:eastAsia="Times New Roman"/>
                <w:szCs w:val="22"/>
              </w:rPr>
              <w:t xml:space="preserve"> 6.3.7)</w:t>
            </w:r>
          </w:p>
          <w:p w14:paraId="22A38280" w14:textId="2AFA3458" w:rsidR="006D2D4D" w:rsidRDefault="006D2D4D" w:rsidP="00A81272">
            <w:pPr>
              <w:pStyle w:val="ListParagraph"/>
              <w:numPr>
                <w:ilvl w:val="0"/>
                <w:numId w:val="635"/>
              </w:numPr>
              <w:spacing w:after="100"/>
              <w:ind w:left="345" w:hanging="215"/>
              <w:contextualSpacing w:val="0"/>
            </w:pPr>
            <w:r>
              <w:t>New guidance on AT reoccurring costs (section 6.4.4).</w:t>
            </w:r>
          </w:p>
          <w:p w14:paraId="440D8E41" w14:textId="31265128" w:rsidR="00BC3D52" w:rsidRDefault="00BC3D52" w:rsidP="00A81272">
            <w:pPr>
              <w:pStyle w:val="ListParagraph"/>
              <w:numPr>
                <w:ilvl w:val="0"/>
                <w:numId w:val="635"/>
              </w:numPr>
              <w:spacing w:after="100"/>
              <w:ind w:left="345" w:hanging="215"/>
              <w:contextualSpacing w:val="0"/>
            </w:pPr>
            <w:r>
              <w:t xml:space="preserve">Updated guidance on </w:t>
            </w:r>
            <w:r w:rsidRPr="000F6CD1">
              <w:t>upload</w:t>
            </w:r>
            <w:r>
              <w:t>ing</w:t>
            </w:r>
            <w:r w:rsidRPr="000F6CD1">
              <w:t xml:space="preserve"> the completed AT-HM tier guide </w:t>
            </w:r>
            <w:r>
              <w:t xml:space="preserve">to the assessor portal (section </w:t>
            </w:r>
            <w:r w:rsidR="007D6D2D">
              <w:t>6.4.8).</w:t>
            </w:r>
          </w:p>
          <w:p w14:paraId="127ABF22" w14:textId="46A3E79C" w:rsidR="006D2D4D" w:rsidRDefault="005C1279" w:rsidP="00A81272">
            <w:pPr>
              <w:pStyle w:val="ListParagraph"/>
              <w:numPr>
                <w:ilvl w:val="0"/>
                <w:numId w:val="635"/>
              </w:numPr>
              <w:spacing w:after="100"/>
              <w:ind w:left="345" w:hanging="215"/>
              <w:contextualSpacing w:val="0"/>
            </w:pPr>
            <w:r>
              <w:t xml:space="preserve">Updated guidance on recording an older person’s need for AT-HM and </w:t>
            </w:r>
            <w:r w:rsidR="00260C57">
              <w:t xml:space="preserve">on </w:t>
            </w:r>
            <w:r>
              <w:t>recommending AT-HM services (section 6.4.9).</w:t>
            </w:r>
          </w:p>
          <w:p w14:paraId="730557DF" w14:textId="212740A1" w:rsidR="00C61B87" w:rsidRPr="00CE4F79" w:rsidRDefault="00317162" w:rsidP="00A81272">
            <w:pPr>
              <w:pStyle w:val="ListParagraph"/>
              <w:numPr>
                <w:ilvl w:val="0"/>
                <w:numId w:val="635"/>
              </w:numPr>
              <w:spacing w:after="100"/>
              <w:ind w:left="345" w:hanging="215"/>
              <w:contextualSpacing w:val="0"/>
              <w:rPr>
                <w:rFonts w:eastAsia="Times New Roman"/>
                <w:szCs w:val="22"/>
              </w:rPr>
            </w:pPr>
            <w:r>
              <w:t xml:space="preserve">Updated guidance on interactions between CHSP and other funded aged care programs (section 6.5.5). </w:t>
            </w:r>
          </w:p>
          <w:p w14:paraId="677EC406" w14:textId="77777777" w:rsidR="00CE0A60" w:rsidRDefault="00995ACC" w:rsidP="00A81272">
            <w:pPr>
              <w:pStyle w:val="ListParagraph"/>
              <w:numPr>
                <w:ilvl w:val="0"/>
                <w:numId w:val="635"/>
              </w:numPr>
              <w:spacing w:after="100"/>
              <w:ind w:left="345" w:hanging="215"/>
              <w:contextualSpacing w:val="0"/>
              <w:rPr>
                <w:rFonts w:eastAsia="Times New Roman"/>
                <w:szCs w:val="22"/>
              </w:rPr>
            </w:pPr>
            <w:r>
              <w:rPr>
                <w:rFonts w:eastAsia="Times New Roman"/>
                <w:szCs w:val="22"/>
              </w:rPr>
              <w:lastRenderedPageBreak/>
              <w:t>Updated guidance</w:t>
            </w:r>
            <w:r w:rsidR="001C08EC">
              <w:rPr>
                <w:rFonts w:eastAsia="Times New Roman"/>
                <w:szCs w:val="22"/>
              </w:rPr>
              <w:t xml:space="preserve"> </w:t>
            </w:r>
            <w:r w:rsidR="00603BEE">
              <w:rPr>
                <w:rFonts w:eastAsia="Times New Roman"/>
                <w:szCs w:val="22"/>
              </w:rPr>
              <w:t xml:space="preserve">to </w:t>
            </w:r>
            <w:r w:rsidR="001C08EC">
              <w:rPr>
                <w:rFonts w:eastAsia="Times New Roman"/>
                <w:szCs w:val="22"/>
              </w:rPr>
              <w:t xml:space="preserve">remove manual steps when </w:t>
            </w:r>
            <w:r w:rsidR="003F47AC">
              <w:rPr>
                <w:rFonts w:eastAsia="Times New Roman"/>
                <w:szCs w:val="22"/>
              </w:rPr>
              <w:t>recording CHSP</w:t>
            </w:r>
            <w:r w:rsidR="007A053A">
              <w:rPr>
                <w:rFonts w:eastAsia="Times New Roman"/>
                <w:szCs w:val="22"/>
              </w:rPr>
              <w:t xml:space="preserve"> </w:t>
            </w:r>
            <w:r w:rsidR="00603BEE">
              <w:rPr>
                <w:rFonts w:eastAsia="Times New Roman"/>
                <w:szCs w:val="22"/>
              </w:rPr>
              <w:t>and</w:t>
            </w:r>
            <w:r w:rsidR="007A053A">
              <w:rPr>
                <w:rFonts w:eastAsia="Times New Roman"/>
                <w:szCs w:val="22"/>
              </w:rPr>
              <w:t xml:space="preserve"> SaH </w:t>
            </w:r>
            <w:r w:rsidR="003F47AC">
              <w:rPr>
                <w:rFonts w:eastAsia="Times New Roman"/>
                <w:szCs w:val="22"/>
              </w:rPr>
              <w:t xml:space="preserve">in the NoD </w:t>
            </w:r>
            <w:r w:rsidR="00312E1D" w:rsidRPr="003F47AC">
              <w:rPr>
                <w:rFonts w:eastAsia="Times New Roman"/>
                <w:szCs w:val="22"/>
              </w:rPr>
              <w:t>(section 6.5.6).</w:t>
            </w:r>
          </w:p>
          <w:p w14:paraId="48191E65" w14:textId="77777777" w:rsidR="00603BEE" w:rsidRPr="004252E0" w:rsidRDefault="004252E0" w:rsidP="00A81272">
            <w:pPr>
              <w:pStyle w:val="ListParagraph"/>
              <w:numPr>
                <w:ilvl w:val="0"/>
                <w:numId w:val="635"/>
              </w:numPr>
              <w:spacing w:after="100"/>
              <w:ind w:left="345" w:hanging="215"/>
              <w:contextualSpacing w:val="0"/>
              <w:rPr>
                <w:rFonts w:eastAsia="Times New Roman"/>
                <w:szCs w:val="22"/>
              </w:rPr>
            </w:pPr>
            <w:r>
              <w:t xml:space="preserve">Removal of guidance instructing assessors to override the algorithm outcome to recommend TCP for clients who are new to the aged care system (section 6.8.3). </w:t>
            </w:r>
          </w:p>
          <w:p w14:paraId="44731483" w14:textId="4C180D86" w:rsidR="00DA2915" w:rsidRDefault="00B60BB5" w:rsidP="00A81272">
            <w:pPr>
              <w:pStyle w:val="ListParagraph"/>
              <w:numPr>
                <w:ilvl w:val="0"/>
                <w:numId w:val="635"/>
              </w:numPr>
              <w:spacing w:after="100"/>
              <w:ind w:left="345" w:hanging="215"/>
              <w:contextualSpacing w:val="0"/>
            </w:pPr>
            <w:r>
              <w:t>Updated</w:t>
            </w:r>
            <w:r w:rsidR="00DA2915">
              <w:t xml:space="preserve"> guidance for assessors on support programs through D</w:t>
            </w:r>
            <w:r>
              <w:t xml:space="preserve">ementia </w:t>
            </w:r>
            <w:r w:rsidR="00DA2915">
              <w:t>S</w:t>
            </w:r>
            <w:r>
              <w:t xml:space="preserve">upport </w:t>
            </w:r>
            <w:r w:rsidR="00DA2915">
              <w:t>A</w:t>
            </w:r>
            <w:r>
              <w:t xml:space="preserve">ustralia </w:t>
            </w:r>
            <w:r w:rsidR="00DA2915">
              <w:t xml:space="preserve">(section 6.11.3). </w:t>
            </w:r>
          </w:p>
          <w:p w14:paraId="66000C4C" w14:textId="13165F05" w:rsidR="004252E0" w:rsidRPr="003F47AC" w:rsidRDefault="008E4CF4" w:rsidP="00A81272">
            <w:pPr>
              <w:pStyle w:val="ListParagraph"/>
              <w:numPr>
                <w:ilvl w:val="0"/>
                <w:numId w:val="635"/>
              </w:numPr>
              <w:spacing w:after="100"/>
              <w:ind w:left="345" w:hanging="215"/>
              <w:contextualSpacing w:val="0"/>
              <w:rPr>
                <w:rFonts w:eastAsia="Times New Roman"/>
                <w:szCs w:val="22"/>
              </w:rPr>
            </w:pPr>
            <w:r>
              <w:t>Updated guidance and</w:t>
            </w:r>
            <w:r w:rsidR="004F3EDC">
              <w:t xml:space="preserve"> </w:t>
            </w:r>
            <w:r>
              <w:t>additional r</w:t>
            </w:r>
            <w:r w:rsidR="004F3EDC">
              <w:t xml:space="preserve">eminder that DSOA clients found eligible for ongoing SaH will have their DSOA funding capped (section 6.11.6). </w:t>
            </w:r>
            <w:r w:rsidR="008305FB">
              <w:br/>
            </w:r>
          </w:p>
        </w:tc>
      </w:tr>
      <w:tr w:rsidR="000E7FBC" w:rsidRPr="000F6CD1" w14:paraId="51250DCB"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2B99618" w14:textId="77777777" w:rsidR="000E7FBC" w:rsidRPr="000F6CD1" w:rsidRDefault="000E7FBC" w:rsidP="00A81272">
            <w:pPr>
              <w:rPr>
                <w:rFonts w:eastAsiaTheme="minorHAnsi"/>
              </w:rPr>
            </w:pPr>
            <w:r w:rsidRPr="000F6CD1">
              <w:lastRenderedPageBreak/>
              <w:t>Chapter 7  </w:t>
            </w:r>
          </w:p>
          <w:p w14:paraId="44BFCFAA" w14:textId="77777777" w:rsidR="000E7FBC" w:rsidRPr="000F6CD1" w:rsidRDefault="000E7FBC" w:rsidP="00A81272">
            <w:pPr>
              <w:rPr>
                <w:szCs w:val="22"/>
              </w:rPr>
            </w:pPr>
            <w:r w:rsidRPr="000F6CD1">
              <w:rPr>
                <w:szCs w:val="22"/>
              </w:rPr>
              <w:t>Delegations and approvals under the Act </w:t>
            </w:r>
          </w:p>
        </w:tc>
        <w:tc>
          <w:tcPr>
            <w:tcW w:w="3190" w:type="dxa"/>
            <w:tcBorders>
              <w:top w:val="nil"/>
              <w:left w:val="nil"/>
              <w:bottom w:val="single" w:sz="8" w:space="0" w:color="auto"/>
              <w:right w:val="single" w:sz="8" w:space="0" w:color="auto"/>
            </w:tcBorders>
            <w:hideMark/>
          </w:tcPr>
          <w:p w14:paraId="0D8E8866" w14:textId="77777777" w:rsidR="000E7FBC" w:rsidRPr="009756CE" w:rsidRDefault="000E7FBC" w:rsidP="00A81272">
            <w:pPr>
              <w:rPr>
                <w:szCs w:val="22"/>
              </w:rPr>
            </w:pPr>
            <w:r w:rsidRPr="009756CE">
              <w:rPr>
                <w:szCs w:val="22"/>
              </w:rPr>
              <w:t>Includes information about: </w:t>
            </w:r>
          </w:p>
          <w:p w14:paraId="30136A27" w14:textId="536396E0" w:rsidR="000E7FBC" w:rsidRPr="009756CE" w:rsidRDefault="000E7FBC" w:rsidP="00F454BB">
            <w:pPr>
              <w:pStyle w:val="ListParagraph"/>
              <w:numPr>
                <w:ilvl w:val="0"/>
                <w:numId w:val="635"/>
              </w:numPr>
              <w:spacing w:after="100"/>
              <w:ind w:left="345" w:hanging="215"/>
              <w:contextualSpacing w:val="0"/>
              <w:rPr>
                <w:rFonts w:eastAsia="Times New Roman"/>
                <w:szCs w:val="22"/>
              </w:rPr>
            </w:pPr>
            <w:r w:rsidRPr="009756CE">
              <w:rPr>
                <w:rFonts w:eastAsia="Times New Roman"/>
                <w:szCs w:val="22"/>
              </w:rPr>
              <w:t xml:space="preserve">The powers under the </w:t>
            </w:r>
            <w:r w:rsidRPr="00F454BB">
              <w:rPr>
                <w:rFonts w:eastAsia="Times New Roman"/>
                <w:szCs w:val="22"/>
              </w:rPr>
              <w:t>Aged Care Act 2024</w:t>
            </w:r>
            <w:r w:rsidRPr="009756CE">
              <w:rPr>
                <w:rFonts w:eastAsia="Times New Roman"/>
                <w:szCs w:val="22"/>
              </w:rPr>
              <w:t xml:space="preserve"> that are delegated to Triage Delegates and Clinical and Non-Clinical Assessment Delegates.</w:t>
            </w:r>
            <w:r w:rsidR="00C321E1" w:rsidRPr="009756CE">
              <w:rPr>
                <w:rFonts w:eastAsia="Times New Roman"/>
                <w:szCs w:val="22"/>
              </w:rPr>
              <w:t xml:space="preserve"> </w:t>
            </w:r>
          </w:p>
          <w:p w14:paraId="73DC1D60" w14:textId="77777777" w:rsidR="000E7FBC" w:rsidRPr="009756CE" w:rsidRDefault="000E7FBC" w:rsidP="00F454BB">
            <w:pPr>
              <w:pStyle w:val="ListParagraph"/>
              <w:numPr>
                <w:ilvl w:val="0"/>
                <w:numId w:val="635"/>
              </w:numPr>
              <w:spacing w:after="100"/>
              <w:ind w:left="345" w:hanging="215"/>
              <w:contextualSpacing w:val="0"/>
              <w:rPr>
                <w:rFonts w:eastAsiaTheme="minorHAnsi"/>
                <w:szCs w:val="22"/>
              </w:rPr>
            </w:pPr>
            <w:r w:rsidRPr="009756CE">
              <w:rPr>
                <w:szCs w:val="22"/>
              </w:rPr>
              <w:t xml:space="preserve">How approvals work under the </w:t>
            </w:r>
            <w:r w:rsidRPr="00F454BB">
              <w:rPr>
                <w:rFonts w:eastAsia="Times New Roman"/>
                <w:szCs w:val="22"/>
              </w:rPr>
              <w:t>Aged Care Act 2024</w:t>
            </w:r>
            <w:r w:rsidRPr="009756CE">
              <w:rPr>
                <w:szCs w:val="22"/>
              </w:rPr>
              <w:t>, and the decisions that delegates make. </w:t>
            </w:r>
          </w:p>
        </w:tc>
        <w:tc>
          <w:tcPr>
            <w:tcW w:w="4776" w:type="dxa"/>
            <w:tcBorders>
              <w:top w:val="nil"/>
              <w:left w:val="nil"/>
              <w:bottom w:val="single" w:sz="8" w:space="0" w:color="auto"/>
              <w:right w:val="single" w:sz="8" w:space="0" w:color="auto"/>
            </w:tcBorders>
          </w:tcPr>
          <w:p w14:paraId="6EE93277" w14:textId="7022D13A" w:rsidR="0042513C" w:rsidRDefault="00E93F7D" w:rsidP="00A81272">
            <w:pPr>
              <w:pStyle w:val="ListParagraph"/>
              <w:numPr>
                <w:ilvl w:val="0"/>
                <w:numId w:val="635"/>
              </w:numPr>
              <w:spacing w:after="100"/>
              <w:ind w:left="345" w:hanging="215"/>
              <w:contextualSpacing w:val="0"/>
              <w:rPr>
                <w:rFonts w:eastAsia="Times New Roman"/>
                <w:szCs w:val="22"/>
              </w:rPr>
            </w:pPr>
            <w:r w:rsidRPr="00E93F7D">
              <w:rPr>
                <w:rFonts w:eastAsia="Times New Roman"/>
                <w:szCs w:val="22"/>
              </w:rPr>
              <w:t xml:space="preserve">New guidance </w:t>
            </w:r>
            <w:r w:rsidR="00B072D9">
              <w:rPr>
                <w:rFonts w:eastAsia="Times New Roman"/>
                <w:szCs w:val="22"/>
              </w:rPr>
              <w:t xml:space="preserve">for non-clinical assessment delegates </w:t>
            </w:r>
            <w:r w:rsidR="00B71211">
              <w:rPr>
                <w:rFonts w:eastAsia="Times New Roman"/>
                <w:szCs w:val="22"/>
              </w:rPr>
              <w:t xml:space="preserve">on </w:t>
            </w:r>
            <w:r w:rsidRPr="00E93F7D">
              <w:rPr>
                <w:rFonts w:eastAsia="Times New Roman"/>
                <w:szCs w:val="22"/>
              </w:rPr>
              <w:t>not appointing learner assessors until all mandatory training has been completed</w:t>
            </w:r>
            <w:r w:rsidR="00B072D9">
              <w:rPr>
                <w:rFonts w:eastAsia="Times New Roman"/>
                <w:szCs w:val="22"/>
              </w:rPr>
              <w:t xml:space="preserve"> (section 7.4.1).</w:t>
            </w:r>
          </w:p>
          <w:p w14:paraId="4922A51C" w14:textId="292235B9" w:rsidR="000E7FBC" w:rsidRPr="009756CE" w:rsidRDefault="000B5A90" w:rsidP="00A81272">
            <w:pPr>
              <w:pStyle w:val="ListParagraph"/>
              <w:numPr>
                <w:ilvl w:val="0"/>
                <w:numId w:val="635"/>
              </w:numPr>
              <w:spacing w:after="100"/>
              <w:ind w:left="345" w:hanging="215"/>
              <w:contextualSpacing w:val="0"/>
              <w:rPr>
                <w:rFonts w:eastAsiaTheme="minorHAnsi"/>
                <w:szCs w:val="22"/>
              </w:rPr>
            </w:pPr>
            <w:r>
              <w:t xml:space="preserve">Updates to the reframed reasons for access under section 67 (section 7.6.3). </w:t>
            </w:r>
          </w:p>
        </w:tc>
      </w:tr>
      <w:tr w:rsidR="000E7FBC" w:rsidRPr="000F6CD1" w14:paraId="7CA3C594" w14:textId="77777777" w:rsidTr="00A81272">
        <w:trPr>
          <w:trHeight w:val="4474"/>
        </w:trPr>
        <w:tc>
          <w:tcPr>
            <w:tcW w:w="1663" w:type="dxa"/>
            <w:tcBorders>
              <w:top w:val="nil"/>
              <w:left w:val="single" w:sz="8" w:space="0" w:color="auto"/>
              <w:bottom w:val="single" w:sz="8" w:space="0" w:color="auto"/>
              <w:right w:val="single" w:sz="8" w:space="0" w:color="auto"/>
            </w:tcBorders>
            <w:shd w:val="clear" w:color="auto" w:fill="002060"/>
            <w:hideMark/>
          </w:tcPr>
          <w:p w14:paraId="158F10CC" w14:textId="77777777" w:rsidR="000E7FBC" w:rsidRPr="000F6CD1" w:rsidRDefault="000E7FBC" w:rsidP="00A81272">
            <w:r w:rsidRPr="000F6CD1">
              <w:t>Chapter 8  </w:t>
            </w:r>
          </w:p>
          <w:p w14:paraId="2C8412BD" w14:textId="77777777" w:rsidR="000E7FBC" w:rsidRPr="000F6CD1" w:rsidRDefault="000E7FBC" w:rsidP="00A81272">
            <w:pPr>
              <w:rPr>
                <w:szCs w:val="22"/>
              </w:rPr>
            </w:pPr>
            <w:r w:rsidRPr="000F6CD1">
              <w:rPr>
                <w:szCs w:val="22"/>
              </w:rPr>
              <w:t>Delegate decisions in practice </w:t>
            </w:r>
          </w:p>
        </w:tc>
        <w:tc>
          <w:tcPr>
            <w:tcW w:w="3190" w:type="dxa"/>
            <w:tcBorders>
              <w:top w:val="nil"/>
              <w:left w:val="nil"/>
              <w:bottom w:val="single" w:sz="8" w:space="0" w:color="auto"/>
              <w:right w:val="single" w:sz="8" w:space="0" w:color="auto"/>
            </w:tcBorders>
            <w:hideMark/>
          </w:tcPr>
          <w:p w14:paraId="61CFB214" w14:textId="0199FEFB" w:rsidR="000E7FBC" w:rsidRPr="006209DF" w:rsidRDefault="000E7FBC" w:rsidP="00A81272">
            <w:pPr>
              <w:rPr>
                <w:szCs w:val="22"/>
              </w:rPr>
            </w:pPr>
            <w:r w:rsidRPr="006209DF">
              <w:rPr>
                <w:szCs w:val="22"/>
              </w:rPr>
              <w:t xml:space="preserve">Includes guidance for </w:t>
            </w:r>
            <w:r w:rsidR="00854A6D" w:rsidRPr="006209DF">
              <w:rPr>
                <w:szCs w:val="22"/>
              </w:rPr>
              <w:t>a</w:t>
            </w:r>
            <w:r w:rsidRPr="006209DF">
              <w:rPr>
                <w:szCs w:val="22"/>
              </w:rPr>
              <w:t xml:space="preserve">ssessment </w:t>
            </w:r>
            <w:r w:rsidR="00854A6D" w:rsidRPr="006209DF">
              <w:rPr>
                <w:szCs w:val="22"/>
              </w:rPr>
              <w:t>d</w:t>
            </w:r>
            <w:r w:rsidRPr="006209DF">
              <w:rPr>
                <w:szCs w:val="22"/>
              </w:rPr>
              <w:t>elegates covering: </w:t>
            </w:r>
          </w:p>
          <w:p w14:paraId="77EF85CD" w14:textId="77777777" w:rsidR="000E7FBC" w:rsidRPr="006209DF" w:rsidRDefault="000E7FBC" w:rsidP="00F454BB">
            <w:pPr>
              <w:pStyle w:val="ListParagraph"/>
              <w:numPr>
                <w:ilvl w:val="0"/>
                <w:numId w:val="635"/>
              </w:numPr>
              <w:spacing w:after="100"/>
              <w:ind w:left="345" w:hanging="215"/>
              <w:contextualSpacing w:val="0"/>
              <w:rPr>
                <w:rFonts w:eastAsia="Times New Roman"/>
                <w:szCs w:val="22"/>
              </w:rPr>
            </w:pPr>
            <w:r w:rsidRPr="006209DF">
              <w:rPr>
                <w:rFonts w:eastAsia="Times New Roman"/>
                <w:szCs w:val="22"/>
              </w:rPr>
              <w:t>How to make sound, evidence-based decisions </w:t>
            </w:r>
          </w:p>
          <w:p w14:paraId="3AECEFD3" w14:textId="77777777" w:rsidR="000E7FBC" w:rsidRPr="006209DF" w:rsidRDefault="000E7FBC" w:rsidP="00F454BB">
            <w:pPr>
              <w:pStyle w:val="ListParagraph"/>
              <w:numPr>
                <w:ilvl w:val="0"/>
                <w:numId w:val="635"/>
              </w:numPr>
              <w:spacing w:after="100"/>
              <w:ind w:left="345" w:hanging="215"/>
              <w:contextualSpacing w:val="0"/>
              <w:rPr>
                <w:rFonts w:eastAsia="Times New Roman"/>
                <w:szCs w:val="22"/>
              </w:rPr>
            </w:pPr>
            <w:r w:rsidRPr="006209DF">
              <w:rPr>
                <w:rFonts w:eastAsia="Times New Roman"/>
                <w:szCs w:val="22"/>
              </w:rPr>
              <w:t>step-by-step processes for approving aged care services across the service groups </w:t>
            </w:r>
          </w:p>
          <w:p w14:paraId="2EB9504A" w14:textId="77777777" w:rsidR="000E7FBC" w:rsidRPr="006209DF" w:rsidRDefault="000E7FBC" w:rsidP="00F454BB">
            <w:pPr>
              <w:pStyle w:val="ListParagraph"/>
              <w:numPr>
                <w:ilvl w:val="0"/>
                <w:numId w:val="635"/>
              </w:numPr>
              <w:spacing w:after="100"/>
              <w:ind w:left="345" w:hanging="215"/>
              <w:contextualSpacing w:val="0"/>
              <w:rPr>
                <w:rFonts w:eastAsiaTheme="minorHAnsi"/>
                <w:szCs w:val="22"/>
              </w:rPr>
            </w:pPr>
            <w:r w:rsidRPr="006209DF">
              <w:rPr>
                <w:szCs w:val="22"/>
              </w:rPr>
              <w:t>Other approvals (including giving approvals after a service has commenced and approving a service without an assessment). </w:t>
            </w:r>
          </w:p>
        </w:tc>
        <w:tc>
          <w:tcPr>
            <w:tcW w:w="4776" w:type="dxa"/>
            <w:tcBorders>
              <w:top w:val="nil"/>
              <w:left w:val="nil"/>
              <w:bottom w:val="single" w:sz="8" w:space="0" w:color="auto"/>
              <w:right w:val="single" w:sz="8" w:space="0" w:color="auto"/>
            </w:tcBorders>
          </w:tcPr>
          <w:p w14:paraId="46D6E0AB" w14:textId="4EA40997" w:rsidR="000E7FBC" w:rsidRPr="00BF26D2" w:rsidRDefault="00820716" w:rsidP="00A81272">
            <w:pPr>
              <w:pStyle w:val="ListParagraph"/>
              <w:numPr>
                <w:ilvl w:val="0"/>
                <w:numId w:val="635"/>
              </w:numPr>
              <w:spacing w:after="100"/>
              <w:ind w:left="345" w:hanging="215"/>
              <w:contextualSpacing w:val="0"/>
              <w:rPr>
                <w:rFonts w:eastAsiaTheme="minorEastAsia"/>
              </w:rPr>
            </w:pPr>
            <w:r>
              <w:t xml:space="preserve">Significant updates to reflect new system functionality to return the IAT to the assessor (section 8.2.3). </w:t>
            </w:r>
          </w:p>
          <w:p w14:paraId="6AFB6A24" w14:textId="29331AF8" w:rsidR="00BF26D2" w:rsidRPr="00820716" w:rsidRDefault="00BF26D2" w:rsidP="00A81272">
            <w:pPr>
              <w:pStyle w:val="ListParagraph"/>
              <w:numPr>
                <w:ilvl w:val="0"/>
                <w:numId w:val="635"/>
              </w:numPr>
              <w:spacing w:after="100"/>
              <w:ind w:left="345" w:hanging="215"/>
              <w:contextualSpacing w:val="0"/>
              <w:rPr>
                <w:rFonts w:eastAsiaTheme="minorEastAsia"/>
              </w:rPr>
            </w:pPr>
            <w:r>
              <w:t>New guidance</w:t>
            </w:r>
            <w:r w:rsidR="004527BC">
              <w:t xml:space="preserve"> on returning </w:t>
            </w:r>
            <w:r w:rsidR="007C3A0A">
              <w:t xml:space="preserve">support plans to the assessor for amendments (section 8.2.4). </w:t>
            </w:r>
          </w:p>
          <w:p w14:paraId="0F3DF9ED" w14:textId="499A1F71" w:rsidR="003A7E70" w:rsidRPr="003A7E70" w:rsidRDefault="00323573" w:rsidP="00A81272">
            <w:pPr>
              <w:pStyle w:val="ListParagraph"/>
              <w:numPr>
                <w:ilvl w:val="0"/>
                <w:numId w:val="635"/>
              </w:numPr>
              <w:spacing w:after="100"/>
              <w:ind w:left="345" w:hanging="215"/>
              <w:contextualSpacing w:val="0"/>
              <w:rPr>
                <w:rFonts w:eastAsiaTheme="minorEastAsia"/>
              </w:rPr>
            </w:pPr>
            <w:r>
              <w:t>New guidance</w:t>
            </w:r>
            <w:r w:rsidR="007C3A0A">
              <w:t xml:space="preserve"> on</w:t>
            </w:r>
            <w:r w:rsidR="00533619">
              <w:t xml:space="preserve"> the assessment delegate returning the IAT to the assessor for amendment (section 8.2.5). </w:t>
            </w:r>
          </w:p>
          <w:p w14:paraId="0E8EB51E" w14:textId="68610DEE" w:rsidR="00611170" w:rsidRPr="0041638B" w:rsidRDefault="00470834" w:rsidP="00A81272">
            <w:pPr>
              <w:pStyle w:val="ListParagraph"/>
              <w:numPr>
                <w:ilvl w:val="0"/>
                <w:numId w:val="635"/>
              </w:numPr>
              <w:spacing w:after="100"/>
              <w:ind w:left="345" w:hanging="215"/>
              <w:contextualSpacing w:val="0"/>
              <w:rPr>
                <w:rFonts w:eastAsiaTheme="minorEastAsia"/>
              </w:rPr>
            </w:pPr>
            <w:r>
              <w:t>Updated guidance</w:t>
            </w:r>
            <w:r w:rsidR="00621B16">
              <w:t xml:space="preserve"> to </w:t>
            </w:r>
            <w:r w:rsidR="0025230A">
              <w:t>reflect changes to SaH priority system</w:t>
            </w:r>
            <w:r>
              <w:t xml:space="preserve"> </w:t>
            </w:r>
            <w:r w:rsidR="00A70117">
              <w:t>(section 8.3.</w:t>
            </w:r>
            <w:r w:rsidR="003A7E70">
              <w:t xml:space="preserve">4). </w:t>
            </w:r>
          </w:p>
          <w:p w14:paraId="2EEAB162" w14:textId="7DFDA29F" w:rsidR="000E7FBC" w:rsidRPr="006209DF" w:rsidRDefault="0041638B" w:rsidP="00A81272">
            <w:pPr>
              <w:pStyle w:val="ListParagraph"/>
              <w:numPr>
                <w:ilvl w:val="0"/>
                <w:numId w:val="635"/>
              </w:numPr>
              <w:spacing w:after="100"/>
              <w:ind w:left="345" w:hanging="215"/>
              <w:contextualSpacing w:val="0"/>
              <w:rPr>
                <w:rFonts w:eastAsiaTheme="minorEastAsia"/>
              </w:rPr>
            </w:pPr>
            <w:r>
              <w:t>Updated guidance on home adjustment</w:t>
            </w:r>
            <w:r w:rsidR="00712BD1">
              <w:t xml:space="preserve">s, equipment and products (section 8.5.1). </w:t>
            </w:r>
          </w:p>
        </w:tc>
      </w:tr>
      <w:tr w:rsidR="000E7FBC" w:rsidRPr="000F6CD1" w14:paraId="145D38C7"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31DFBBD2" w14:textId="6C79B6EB" w:rsidR="000E7FBC" w:rsidRPr="000F6CD1" w:rsidRDefault="000E7FBC" w:rsidP="00A81272">
            <w:r w:rsidRPr="000F6CD1">
              <w:t>Chapter 9  </w:t>
            </w:r>
          </w:p>
          <w:p w14:paraId="6F354745" w14:textId="77777777" w:rsidR="000E7FBC" w:rsidRPr="000F6CD1" w:rsidRDefault="000E7FBC" w:rsidP="00A81272">
            <w:pPr>
              <w:rPr>
                <w:szCs w:val="22"/>
              </w:rPr>
            </w:pPr>
            <w:r w:rsidRPr="000F6CD1">
              <w:rPr>
                <w:szCs w:val="22"/>
              </w:rPr>
              <w:lastRenderedPageBreak/>
              <w:t>Finalising the Assessment and Service Referral  </w:t>
            </w:r>
          </w:p>
        </w:tc>
        <w:tc>
          <w:tcPr>
            <w:tcW w:w="3190" w:type="dxa"/>
            <w:tcBorders>
              <w:top w:val="nil"/>
              <w:left w:val="nil"/>
              <w:bottom w:val="single" w:sz="8" w:space="0" w:color="auto"/>
              <w:right w:val="single" w:sz="8" w:space="0" w:color="auto"/>
            </w:tcBorders>
            <w:hideMark/>
          </w:tcPr>
          <w:p w14:paraId="69FC160E" w14:textId="77777777" w:rsidR="000E7FBC" w:rsidRPr="00876EFD" w:rsidRDefault="000E7FBC" w:rsidP="00A81272">
            <w:pPr>
              <w:rPr>
                <w:szCs w:val="22"/>
              </w:rPr>
            </w:pPr>
            <w:r w:rsidRPr="00876EFD">
              <w:rPr>
                <w:szCs w:val="22"/>
              </w:rPr>
              <w:lastRenderedPageBreak/>
              <w:t>Includes guidance about: </w:t>
            </w:r>
          </w:p>
          <w:p w14:paraId="06E6F7D2" w14:textId="77777777" w:rsidR="000E7FBC" w:rsidRPr="00876EFD" w:rsidRDefault="000E7FBC" w:rsidP="00F454BB">
            <w:pPr>
              <w:pStyle w:val="ListParagraph"/>
              <w:numPr>
                <w:ilvl w:val="0"/>
                <w:numId w:val="635"/>
              </w:numPr>
              <w:spacing w:after="100"/>
              <w:ind w:left="345" w:hanging="215"/>
              <w:contextualSpacing w:val="0"/>
              <w:rPr>
                <w:rFonts w:eastAsia="Times New Roman"/>
                <w:szCs w:val="22"/>
              </w:rPr>
            </w:pPr>
            <w:r w:rsidRPr="00876EFD">
              <w:rPr>
                <w:rFonts w:eastAsia="Times New Roman"/>
                <w:szCs w:val="22"/>
              </w:rPr>
              <w:lastRenderedPageBreak/>
              <w:t>Finalising the assessment </w:t>
            </w:r>
          </w:p>
          <w:p w14:paraId="65BDF9DF" w14:textId="77777777" w:rsidR="000E7FBC" w:rsidRPr="00876EFD" w:rsidRDefault="000E7FBC" w:rsidP="00F454BB">
            <w:pPr>
              <w:pStyle w:val="ListParagraph"/>
              <w:numPr>
                <w:ilvl w:val="0"/>
                <w:numId w:val="635"/>
              </w:numPr>
              <w:spacing w:after="100"/>
              <w:ind w:left="345" w:hanging="215"/>
              <w:contextualSpacing w:val="0"/>
              <w:rPr>
                <w:rFonts w:eastAsia="Times New Roman"/>
                <w:szCs w:val="22"/>
              </w:rPr>
            </w:pPr>
            <w:r w:rsidRPr="00876EFD">
              <w:rPr>
                <w:rFonts w:eastAsia="Times New Roman"/>
                <w:szCs w:val="22"/>
              </w:rPr>
              <w:t>Recording and communicating the assessment outcome </w:t>
            </w:r>
          </w:p>
          <w:p w14:paraId="4427BDE6" w14:textId="77777777" w:rsidR="000E7FBC" w:rsidRPr="00876EFD" w:rsidRDefault="000E7FBC" w:rsidP="00F454BB">
            <w:pPr>
              <w:pStyle w:val="ListParagraph"/>
              <w:numPr>
                <w:ilvl w:val="0"/>
                <w:numId w:val="635"/>
              </w:numPr>
              <w:spacing w:after="100"/>
              <w:ind w:left="345" w:hanging="215"/>
              <w:contextualSpacing w:val="0"/>
              <w:rPr>
                <w:rFonts w:eastAsia="Times New Roman"/>
                <w:szCs w:val="22"/>
              </w:rPr>
            </w:pPr>
            <w:r w:rsidRPr="00876EFD">
              <w:rPr>
                <w:rFonts w:eastAsia="Times New Roman"/>
                <w:szCs w:val="22"/>
              </w:rPr>
              <w:t xml:space="preserve">Referring the older person for services, </w:t>
            </w:r>
          </w:p>
          <w:p w14:paraId="43ACEAE2" w14:textId="77777777" w:rsidR="000E7FBC" w:rsidRPr="00876EFD" w:rsidRDefault="000E7FBC" w:rsidP="00F454BB">
            <w:pPr>
              <w:pStyle w:val="ListParagraph"/>
              <w:numPr>
                <w:ilvl w:val="0"/>
                <w:numId w:val="635"/>
              </w:numPr>
              <w:spacing w:after="100"/>
              <w:ind w:left="345" w:hanging="215"/>
              <w:contextualSpacing w:val="0"/>
              <w:rPr>
                <w:rFonts w:eastAsia="Times New Roman"/>
                <w:szCs w:val="22"/>
              </w:rPr>
            </w:pPr>
            <w:r w:rsidRPr="00876EFD">
              <w:rPr>
                <w:rFonts w:eastAsia="Times New Roman"/>
                <w:szCs w:val="22"/>
              </w:rPr>
              <w:t>The single provider model for Support at Home (which includes a single referral code for all services/pathways) </w:t>
            </w:r>
          </w:p>
          <w:p w14:paraId="5BBBC122" w14:textId="77777777" w:rsidR="000E7FBC" w:rsidRPr="00876EFD" w:rsidRDefault="000E7FBC" w:rsidP="00F454BB">
            <w:pPr>
              <w:pStyle w:val="ListParagraph"/>
              <w:numPr>
                <w:ilvl w:val="0"/>
                <w:numId w:val="635"/>
              </w:numPr>
              <w:spacing w:after="100"/>
              <w:ind w:left="345" w:hanging="215"/>
              <w:contextualSpacing w:val="0"/>
              <w:rPr>
                <w:rFonts w:eastAsiaTheme="minorHAnsi"/>
                <w:szCs w:val="22"/>
              </w:rPr>
            </w:pPr>
            <w:r w:rsidRPr="00876EFD">
              <w:rPr>
                <w:szCs w:val="22"/>
              </w:rPr>
              <w:t>Completing the Notice of Decision (approval/non-approval letter). </w:t>
            </w:r>
          </w:p>
        </w:tc>
        <w:tc>
          <w:tcPr>
            <w:tcW w:w="4776" w:type="dxa"/>
            <w:tcBorders>
              <w:top w:val="nil"/>
              <w:left w:val="nil"/>
              <w:bottom w:val="single" w:sz="8" w:space="0" w:color="auto"/>
              <w:right w:val="single" w:sz="8" w:space="0" w:color="auto"/>
            </w:tcBorders>
            <w:hideMark/>
          </w:tcPr>
          <w:p w14:paraId="53DFAB3C" w14:textId="77777777" w:rsidR="000D1726" w:rsidRDefault="004704C7" w:rsidP="00A81272">
            <w:pPr>
              <w:pStyle w:val="ListParagraph"/>
              <w:numPr>
                <w:ilvl w:val="0"/>
                <w:numId w:val="635"/>
              </w:numPr>
              <w:spacing w:after="100"/>
              <w:ind w:left="345" w:hanging="215"/>
              <w:contextualSpacing w:val="0"/>
            </w:pPr>
            <w:r>
              <w:lastRenderedPageBreak/>
              <w:t>R</w:t>
            </w:r>
            <w:r w:rsidRPr="004704C7">
              <w:t xml:space="preserve">emoval of guidance </w:t>
            </w:r>
            <w:r w:rsidR="009F25E1">
              <w:t>on</w:t>
            </w:r>
            <w:r>
              <w:t xml:space="preserve"> </w:t>
            </w:r>
            <w:r w:rsidRPr="004704C7">
              <w:t xml:space="preserve">system generated NoD letters for CHSP only </w:t>
            </w:r>
            <w:r>
              <w:t>(section 9</w:t>
            </w:r>
            <w:r w:rsidR="00876EFD">
              <w:t>.</w:t>
            </w:r>
            <w:r w:rsidR="009F25E1">
              <w:t>3.2).</w:t>
            </w:r>
            <w:r w:rsidR="00876EFD">
              <w:t xml:space="preserve"> </w:t>
            </w:r>
          </w:p>
          <w:p w14:paraId="7CC8FE6D" w14:textId="399551E6" w:rsidR="000D1726" w:rsidRDefault="000D1726" w:rsidP="00A81272">
            <w:pPr>
              <w:pStyle w:val="ListParagraph"/>
              <w:numPr>
                <w:ilvl w:val="0"/>
                <w:numId w:val="635"/>
              </w:numPr>
              <w:spacing w:after="100"/>
              <w:ind w:left="345" w:hanging="215"/>
              <w:contextualSpacing w:val="0"/>
            </w:pPr>
            <w:r>
              <w:lastRenderedPageBreak/>
              <w:t>Removal of guidance regarding manual language changes when completing the NoD (section 9.3.3).</w:t>
            </w:r>
          </w:p>
          <w:p w14:paraId="6B38E748" w14:textId="51283B68" w:rsidR="000D1726" w:rsidRPr="008C3B33" w:rsidRDefault="00727B3D" w:rsidP="00A81272">
            <w:pPr>
              <w:pStyle w:val="ListParagraph"/>
              <w:numPr>
                <w:ilvl w:val="0"/>
                <w:numId w:val="635"/>
              </w:numPr>
              <w:spacing w:after="100"/>
              <w:ind w:left="345" w:hanging="215"/>
              <w:contextualSpacing w:val="0"/>
            </w:pPr>
            <w:r>
              <w:t>Updates to guidance about reasons for decisions in the NoD (section 9.3.</w:t>
            </w:r>
            <w:r w:rsidR="008C3B33">
              <w:t>4).</w:t>
            </w:r>
          </w:p>
          <w:p w14:paraId="19475176" w14:textId="2EC580F2" w:rsidR="002E73FD" w:rsidRPr="00F90180" w:rsidRDefault="002E73FD" w:rsidP="00A81272">
            <w:pPr>
              <w:pStyle w:val="ListParagraph"/>
              <w:numPr>
                <w:ilvl w:val="0"/>
                <w:numId w:val="635"/>
              </w:numPr>
              <w:spacing w:after="100"/>
              <w:ind w:left="345" w:hanging="215"/>
              <w:contextualSpacing w:val="0"/>
              <w:rPr>
                <w:rFonts w:eastAsiaTheme="minorEastAsia"/>
              </w:rPr>
            </w:pPr>
            <w:r>
              <w:t xml:space="preserve">New guidance </w:t>
            </w:r>
            <w:r w:rsidR="008C3B33">
              <w:t>about</w:t>
            </w:r>
            <w:r>
              <w:t xml:space="preserve"> </w:t>
            </w:r>
            <w:r w:rsidR="0080145E">
              <w:t xml:space="preserve">including Notice of Decision attachments (section 9.3.5). </w:t>
            </w:r>
          </w:p>
          <w:p w14:paraId="166960B3" w14:textId="0E908EDA" w:rsidR="00F90180" w:rsidRPr="00B74308" w:rsidRDefault="00C6441B" w:rsidP="00A81272">
            <w:pPr>
              <w:pStyle w:val="ListParagraph"/>
              <w:numPr>
                <w:ilvl w:val="0"/>
                <w:numId w:val="635"/>
              </w:numPr>
              <w:spacing w:after="100"/>
              <w:ind w:left="345" w:hanging="215"/>
              <w:contextualSpacing w:val="0"/>
              <w:rPr>
                <w:rFonts w:eastAsiaTheme="minorEastAsia"/>
              </w:rPr>
            </w:pPr>
            <w:r>
              <w:t>Update</w:t>
            </w:r>
            <w:r w:rsidR="00327F12">
              <w:t>d guidanc</w:t>
            </w:r>
            <w:r w:rsidR="00AF7AF0">
              <w:t>e on generating the notice of outcome of application for second concurrent unit of restorative care funding (section 9.3.6).</w:t>
            </w:r>
          </w:p>
          <w:p w14:paraId="26EC55CE" w14:textId="3CC420B7" w:rsidR="00B74308" w:rsidRPr="00AF7AF0" w:rsidRDefault="00B74308" w:rsidP="00A81272">
            <w:pPr>
              <w:pStyle w:val="ListParagraph"/>
              <w:numPr>
                <w:ilvl w:val="0"/>
                <w:numId w:val="635"/>
              </w:numPr>
              <w:spacing w:after="100"/>
              <w:ind w:left="345" w:hanging="215"/>
              <w:contextualSpacing w:val="0"/>
              <w:rPr>
                <w:rFonts w:eastAsiaTheme="minorEastAsia"/>
              </w:rPr>
            </w:pPr>
            <w:r>
              <w:t xml:space="preserve">Removal of note </w:t>
            </w:r>
            <w:r w:rsidR="001769A6">
              <w:t xml:space="preserve">regarding signature block in offline NoD templates (section 9.3.8). </w:t>
            </w:r>
          </w:p>
          <w:p w14:paraId="3EB72D9A" w14:textId="746A3856" w:rsidR="000E7FBC" w:rsidRPr="00876EFD" w:rsidRDefault="00E81A63" w:rsidP="00A81272">
            <w:pPr>
              <w:pStyle w:val="ListParagraph"/>
              <w:numPr>
                <w:ilvl w:val="0"/>
                <w:numId w:val="635"/>
              </w:numPr>
              <w:spacing w:after="100"/>
              <w:ind w:left="345" w:hanging="215"/>
              <w:contextualSpacing w:val="0"/>
              <w:rPr>
                <w:rFonts w:eastAsia="Times New Roman"/>
              </w:rPr>
            </w:pPr>
            <w:r>
              <w:t xml:space="preserve">Updates to guidance </w:t>
            </w:r>
            <w:r w:rsidR="008D6E38">
              <w:t xml:space="preserve">explaining </w:t>
            </w:r>
            <w:r w:rsidR="008D6E38" w:rsidRPr="00A81272">
              <w:t>separate CHSP r</w:t>
            </w:r>
            <w:r w:rsidR="008D6E38">
              <w:t>eferral codes must be generated</w:t>
            </w:r>
            <w:r w:rsidR="00E04C77">
              <w:t xml:space="preserve"> </w:t>
            </w:r>
            <w:r>
              <w:t xml:space="preserve">for each service type and reissuing service codes (section 9.4.5). </w:t>
            </w:r>
          </w:p>
        </w:tc>
      </w:tr>
      <w:tr w:rsidR="000E7FBC" w:rsidRPr="000F6CD1" w14:paraId="7CB6E4FD"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757D6E0" w14:textId="7B7610F4" w:rsidR="000E7FBC" w:rsidRPr="000F6CD1" w:rsidRDefault="000E7FBC" w:rsidP="00A81272">
            <w:pPr>
              <w:rPr>
                <w:rFonts w:eastAsiaTheme="minorHAnsi"/>
              </w:rPr>
            </w:pPr>
            <w:r w:rsidRPr="000F6CD1">
              <w:lastRenderedPageBreak/>
              <w:t>Chapter 10  </w:t>
            </w:r>
          </w:p>
          <w:p w14:paraId="5FDB2C22" w14:textId="77777777" w:rsidR="000E7FBC" w:rsidRPr="000F6CD1" w:rsidRDefault="000E7FBC" w:rsidP="00A81272">
            <w:pPr>
              <w:rPr>
                <w:szCs w:val="22"/>
              </w:rPr>
            </w:pPr>
            <w:r w:rsidRPr="000F6CD1">
              <w:rPr>
                <w:szCs w:val="22"/>
              </w:rPr>
              <w:t>SPRs and Reassessments </w:t>
            </w:r>
          </w:p>
        </w:tc>
        <w:tc>
          <w:tcPr>
            <w:tcW w:w="3190" w:type="dxa"/>
            <w:tcBorders>
              <w:top w:val="nil"/>
              <w:left w:val="nil"/>
              <w:bottom w:val="single" w:sz="8" w:space="0" w:color="auto"/>
              <w:right w:val="single" w:sz="8" w:space="0" w:color="auto"/>
            </w:tcBorders>
          </w:tcPr>
          <w:p w14:paraId="76390F9B" w14:textId="16B822EE" w:rsidR="000E7FBC" w:rsidRPr="000F6CD1" w:rsidRDefault="000E7FBC" w:rsidP="00A81272">
            <w:r w:rsidRPr="000F6CD1">
              <w:t>Includes guidance on the circumstances for conducting a support plan review (SPR) or a reassessment for each aged care program.</w:t>
            </w:r>
            <w:r w:rsidR="00C321E1" w:rsidRPr="000F6CD1">
              <w:t xml:space="preserve"> </w:t>
            </w:r>
          </w:p>
          <w:p w14:paraId="0618A5CC" w14:textId="77777777" w:rsidR="000E7FBC" w:rsidRPr="000F6CD1" w:rsidRDefault="000E7FBC" w:rsidP="00A81272">
            <w:pPr>
              <w:rPr>
                <w:szCs w:val="22"/>
              </w:rPr>
            </w:pPr>
          </w:p>
        </w:tc>
        <w:tc>
          <w:tcPr>
            <w:tcW w:w="4776" w:type="dxa"/>
            <w:tcBorders>
              <w:top w:val="nil"/>
              <w:left w:val="nil"/>
              <w:bottom w:val="single" w:sz="8" w:space="0" w:color="auto"/>
              <w:right w:val="single" w:sz="8" w:space="0" w:color="auto"/>
            </w:tcBorders>
            <w:hideMark/>
          </w:tcPr>
          <w:p w14:paraId="09418C44" w14:textId="31593C86" w:rsidR="000E7FBC" w:rsidRPr="00A81272" w:rsidRDefault="00CC562D" w:rsidP="00A81272">
            <w:pPr>
              <w:pStyle w:val="ListParagraph"/>
              <w:numPr>
                <w:ilvl w:val="0"/>
                <w:numId w:val="635"/>
              </w:numPr>
              <w:spacing w:after="100"/>
              <w:ind w:left="345" w:hanging="215"/>
              <w:contextualSpacing w:val="0"/>
            </w:pPr>
            <w:r w:rsidRPr="00A81272">
              <w:t xml:space="preserve">Additional note </w:t>
            </w:r>
            <w:r w:rsidR="00350B5B" w:rsidRPr="00A81272">
              <w:t xml:space="preserve">about </w:t>
            </w:r>
            <w:r w:rsidR="005C039D" w:rsidRPr="00A81272">
              <w:t xml:space="preserve">limitation of system functionality for </w:t>
            </w:r>
            <w:r w:rsidR="00350B5B" w:rsidRPr="00A81272">
              <w:t xml:space="preserve">Support Plan Reviews </w:t>
            </w:r>
            <w:r w:rsidR="00400FBD" w:rsidRPr="00A81272">
              <w:t xml:space="preserve">(SPR) </w:t>
            </w:r>
            <w:r w:rsidR="00350B5B" w:rsidRPr="00A81272">
              <w:t>for the End-of-Life Pathway</w:t>
            </w:r>
            <w:r w:rsidR="005C039D" w:rsidRPr="00A81272">
              <w:t xml:space="preserve"> (section 10.1.1). </w:t>
            </w:r>
          </w:p>
          <w:p w14:paraId="3BA9D89B" w14:textId="77777777" w:rsidR="005C039D" w:rsidRPr="00A81272" w:rsidRDefault="0054309D" w:rsidP="00A81272">
            <w:pPr>
              <w:pStyle w:val="ListParagraph"/>
              <w:numPr>
                <w:ilvl w:val="0"/>
                <w:numId w:val="635"/>
              </w:numPr>
              <w:spacing w:after="100"/>
              <w:ind w:left="345" w:hanging="215"/>
              <w:contextualSpacing w:val="0"/>
            </w:pPr>
            <w:r w:rsidRPr="00A81272">
              <w:t xml:space="preserve">New guidance </w:t>
            </w:r>
            <w:r w:rsidR="0078488C" w:rsidRPr="00A81272">
              <w:t>to assessors instructing them how</w:t>
            </w:r>
            <w:r w:rsidR="00DB48F6" w:rsidRPr="00A81272">
              <w:t xml:space="preserve"> to begin triage while </w:t>
            </w:r>
            <w:r w:rsidR="004F002B" w:rsidRPr="00A81272">
              <w:t>conversing</w:t>
            </w:r>
            <w:r w:rsidR="00DB48F6" w:rsidRPr="00A81272">
              <w:t xml:space="preserve"> with a client during an SPR when the outcome is a </w:t>
            </w:r>
            <w:r w:rsidR="004F002B" w:rsidRPr="00A81272">
              <w:t>reassessment</w:t>
            </w:r>
            <w:r w:rsidRPr="00A81272">
              <w:t xml:space="preserve"> </w:t>
            </w:r>
            <w:r w:rsidR="00CC3AC9" w:rsidRPr="00A81272">
              <w:t xml:space="preserve">(section 10.1.7). </w:t>
            </w:r>
          </w:p>
          <w:p w14:paraId="25DED803" w14:textId="77777777" w:rsidR="004F002B" w:rsidRPr="00A81272" w:rsidRDefault="001F60F3" w:rsidP="00A81272">
            <w:pPr>
              <w:pStyle w:val="ListParagraph"/>
              <w:numPr>
                <w:ilvl w:val="0"/>
                <w:numId w:val="635"/>
              </w:numPr>
              <w:spacing w:after="100"/>
              <w:ind w:left="345" w:hanging="215"/>
              <w:contextualSpacing w:val="0"/>
            </w:pPr>
            <w:r w:rsidRPr="00A81272">
              <w:t xml:space="preserve">Removal of note about use of unspent funds and AT/HM scheme data collection process (section 10.1.7). </w:t>
            </w:r>
          </w:p>
          <w:p w14:paraId="6B8C72BC" w14:textId="77777777" w:rsidR="00FF0B2A" w:rsidRPr="00A81272" w:rsidRDefault="00BA783E" w:rsidP="00A81272">
            <w:pPr>
              <w:pStyle w:val="ListParagraph"/>
              <w:numPr>
                <w:ilvl w:val="0"/>
                <w:numId w:val="635"/>
              </w:numPr>
              <w:spacing w:after="100"/>
              <w:ind w:left="345" w:hanging="215"/>
              <w:contextualSpacing w:val="0"/>
            </w:pPr>
            <w:r w:rsidRPr="00A81272">
              <w:t>New guidance on second unit of</w:t>
            </w:r>
            <w:r w:rsidR="0079278A" w:rsidRPr="00A81272">
              <w:t xml:space="preserve"> funding for the Restorative Care Pathway</w:t>
            </w:r>
            <w:r w:rsidR="001C3B71" w:rsidRPr="00A81272">
              <w:t xml:space="preserve"> (RCP) and updates to monitoring of RCP units (section </w:t>
            </w:r>
            <w:r w:rsidR="00FF0B2A" w:rsidRPr="00A81272">
              <w:t xml:space="preserve">10.1.8). </w:t>
            </w:r>
          </w:p>
          <w:p w14:paraId="7A9D3994" w14:textId="4FBD8D0C" w:rsidR="001F60F3" w:rsidRPr="00674C9C" w:rsidRDefault="008305FB" w:rsidP="00A81272">
            <w:pPr>
              <w:pStyle w:val="ListParagraph"/>
              <w:numPr>
                <w:ilvl w:val="0"/>
                <w:numId w:val="635"/>
              </w:numPr>
              <w:spacing w:after="100"/>
              <w:ind w:left="345" w:hanging="215"/>
              <w:contextualSpacing w:val="0"/>
              <w:rPr>
                <w:rFonts w:eastAsia="Times New Roman"/>
              </w:rPr>
            </w:pPr>
            <w:r w:rsidRPr="00A81272">
              <w:t>New guidance on transferring clients to ongoing services through SPR process not a new assessment</w:t>
            </w:r>
            <w:r w:rsidR="0079278A" w:rsidRPr="00A81272">
              <w:t xml:space="preserve"> </w:t>
            </w:r>
            <w:r w:rsidRPr="00A81272">
              <w:t xml:space="preserve">(section 10.1.9). </w:t>
            </w:r>
            <w:r w:rsidRPr="00A81272">
              <w:br/>
            </w:r>
          </w:p>
        </w:tc>
      </w:tr>
      <w:tr w:rsidR="000E7FBC" w:rsidRPr="000F6CD1" w14:paraId="08A35B41"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0F7BB26D" w14:textId="77777777" w:rsidR="000E7FBC" w:rsidRPr="000F6CD1" w:rsidRDefault="000E7FBC" w:rsidP="00A81272">
            <w:pPr>
              <w:rPr>
                <w:rFonts w:eastAsiaTheme="minorHAnsi"/>
              </w:rPr>
            </w:pPr>
            <w:r w:rsidRPr="000F6CD1">
              <w:t>Chapter 11  </w:t>
            </w:r>
          </w:p>
          <w:p w14:paraId="1778C476" w14:textId="77777777" w:rsidR="000E7FBC" w:rsidRPr="000F6CD1" w:rsidRDefault="000E7FBC" w:rsidP="00A81272">
            <w:pPr>
              <w:rPr>
                <w:szCs w:val="22"/>
              </w:rPr>
            </w:pPr>
            <w:r w:rsidRPr="000F6CD1">
              <w:rPr>
                <w:szCs w:val="22"/>
              </w:rPr>
              <w:t>Reviewable Decisions, Revocations and Complaints </w:t>
            </w:r>
          </w:p>
        </w:tc>
        <w:tc>
          <w:tcPr>
            <w:tcW w:w="3190" w:type="dxa"/>
            <w:tcBorders>
              <w:top w:val="nil"/>
              <w:left w:val="nil"/>
              <w:bottom w:val="single" w:sz="8" w:space="0" w:color="auto"/>
              <w:right w:val="single" w:sz="8" w:space="0" w:color="auto"/>
            </w:tcBorders>
          </w:tcPr>
          <w:p w14:paraId="0F159393" w14:textId="77777777" w:rsidR="000E7FBC" w:rsidRPr="000F6CD1" w:rsidRDefault="000E7FBC" w:rsidP="00A81272">
            <w:pPr>
              <w:rPr>
                <w:szCs w:val="22"/>
              </w:rPr>
            </w:pPr>
            <w:r w:rsidRPr="000F6CD1">
              <w:rPr>
                <w:szCs w:val="22"/>
              </w:rPr>
              <w:t xml:space="preserve">Provides information on assessment related reviewable decisions in accordance with the </w:t>
            </w:r>
            <w:r w:rsidRPr="000F6CD1">
              <w:rPr>
                <w:i/>
                <w:szCs w:val="22"/>
              </w:rPr>
              <w:t>Aged Care Act 2024</w:t>
            </w:r>
            <w:r w:rsidRPr="000F6CD1">
              <w:rPr>
                <w:szCs w:val="22"/>
              </w:rPr>
              <w:t>. It also details: </w:t>
            </w:r>
          </w:p>
          <w:p w14:paraId="49CB246D" w14:textId="106EA6FF" w:rsidR="000E7FBC" w:rsidRPr="000F6CD1" w:rsidRDefault="000E7FBC"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lastRenderedPageBreak/>
              <w:t xml:space="preserve">The </w:t>
            </w:r>
            <w:r w:rsidR="009532A0" w:rsidRPr="000F6CD1">
              <w:rPr>
                <w:rFonts w:eastAsia="Times New Roman"/>
                <w:szCs w:val="22"/>
              </w:rPr>
              <w:t xml:space="preserve">Review of Decisions </w:t>
            </w:r>
            <w:r w:rsidRPr="000F6CD1">
              <w:rPr>
                <w:rFonts w:eastAsia="Times New Roman"/>
                <w:szCs w:val="22"/>
              </w:rPr>
              <w:t>process  </w:t>
            </w:r>
          </w:p>
          <w:p w14:paraId="11414204" w14:textId="77777777" w:rsidR="000E7FBC" w:rsidRPr="000F6CD1" w:rsidRDefault="000E7FBC" w:rsidP="00F454BB">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Options for reviews and revocations </w:t>
            </w:r>
          </w:p>
          <w:p w14:paraId="0F8E53D2" w14:textId="52901D94" w:rsidR="000E7FBC" w:rsidRPr="000F6CD1" w:rsidRDefault="000E7FBC" w:rsidP="00A81272">
            <w:pPr>
              <w:pStyle w:val="ListParagraph"/>
              <w:numPr>
                <w:ilvl w:val="0"/>
                <w:numId w:val="635"/>
              </w:numPr>
              <w:spacing w:after="100"/>
              <w:ind w:left="345" w:hanging="215"/>
              <w:contextualSpacing w:val="0"/>
              <w:rPr>
                <w:rFonts w:eastAsia="Times New Roman"/>
                <w:szCs w:val="22"/>
              </w:rPr>
            </w:pPr>
            <w:r w:rsidRPr="000F6CD1">
              <w:rPr>
                <w:rFonts w:eastAsia="Times New Roman"/>
                <w:szCs w:val="22"/>
              </w:rPr>
              <w:t>The complaints process.</w:t>
            </w:r>
            <w:r w:rsidR="00C321E1" w:rsidRPr="000F6CD1">
              <w:rPr>
                <w:rFonts w:eastAsia="Times New Roman"/>
                <w:szCs w:val="22"/>
              </w:rPr>
              <w:t xml:space="preserve"> </w:t>
            </w:r>
          </w:p>
          <w:p w14:paraId="623253E3" w14:textId="77777777" w:rsidR="000E7FBC" w:rsidRPr="000F6CD1" w:rsidRDefault="000E7FBC" w:rsidP="00F454BB">
            <w:pPr>
              <w:spacing w:after="100"/>
              <w:ind w:left="130"/>
              <w:rPr>
                <w:rFonts w:eastAsiaTheme="minorHAnsi"/>
                <w:szCs w:val="22"/>
              </w:rPr>
            </w:pPr>
          </w:p>
        </w:tc>
        <w:tc>
          <w:tcPr>
            <w:tcW w:w="4776" w:type="dxa"/>
            <w:tcBorders>
              <w:top w:val="nil"/>
              <w:left w:val="nil"/>
              <w:bottom w:val="single" w:sz="8" w:space="0" w:color="auto"/>
              <w:right w:val="single" w:sz="8" w:space="0" w:color="auto"/>
            </w:tcBorders>
            <w:hideMark/>
          </w:tcPr>
          <w:p w14:paraId="2AD6AC79" w14:textId="5BFDE08C" w:rsidR="000E7FBC" w:rsidRPr="00674C9C" w:rsidRDefault="005C4DA0" w:rsidP="00A81272">
            <w:pPr>
              <w:pStyle w:val="ListParagraph"/>
              <w:numPr>
                <w:ilvl w:val="0"/>
                <w:numId w:val="635"/>
              </w:numPr>
              <w:spacing w:after="100"/>
              <w:ind w:left="345" w:hanging="215"/>
              <w:contextualSpacing w:val="0"/>
              <w:rPr>
                <w:szCs w:val="22"/>
              </w:rPr>
            </w:pPr>
            <w:r w:rsidRPr="005C4DA0">
              <w:lastRenderedPageBreak/>
              <w:t>No substantive changes have been made to this chapter.</w:t>
            </w:r>
          </w:p>
        </w:tc>
      </w:tr>
      <w:tr w:rsidR="000E7FBC" w:rsidRPr="000F6CD1" w14:paraId="74398051"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7DF0700D" w14:textId="77777777" w:rsidR="000E7FBC" w:rsidRPr="000F6CD1" w:rsidRDefault="000E7FBC" w:rsidP="00A81272">
            <w:pPr>
              <w:rPr>
                <w:rFonts w:ascii="Aptos" w:eastAsiaTheme="minorHAnsi" w:hAnsi="Aptos" w:cs="Aptos"/>
                <w:szCs w:val="22"/>
                <w:lang w:eastAsia="en-US"/>
                <w14:ligatures w14:val="standardContextual"/>
              </w:rPr>
            </w:pPr>
            <w:r w:rsidRPr="000F6CD1">
              <w:t>Chapter 12 </w:t>
            </w:r>
            <w:r w:rsidRPr="000F6CD1">
              <w:rPr>
                <w:szCs w:val="22"/>
              </w:rPr>
              <w:t> </w:t>
            </w:r>
          </w:p>
          <w:p w14:paraId="0C079FB5" w14:textId="77777777" w:rsidR="000E7FBC" w:rsidRPr="000F6CD1" w:rsidRDefault="000E7FBC" w:rsidP="00A81272">
            <w:pPr>
              <w:rPr>
                <w:szCs w:val="22"/>
              </w:rPr>
            </w:pPr>
            <w:r w:rsidRPr="000F6CD1">
              <w:rPr>
                <w:szCs w:val="22"/>
              </w:rPr>
              <w:t>Supporting Diverse Experiences and Needs </w:t>
            </w:r>
          </w:p>
        </w:tc>
        <w:tc>
          <w:tcPr>
            <w:tcW w:w="3190" w:type="dxa"/>
            <w:tcBorders>
              <w:top w:val="nil"/>
              <w:left w:val="nil"/>
              <w:bottom w:val="single" w:sz="8" w:space="0" w:color="auto"/>
              <w:right w:val="single" w:sz="8" w:space="0" w:color="auto"/>
            </w:tcBorders>
          </w:tcPr>
          <w:p w14:paraId="1B869555" w14:textId="06910F4F" w:rsidR="000E7FBC" w:rsidRPr="00E25110" w:rsidRDefault="000E7FBC" w:rsidP="00A81272">
            <w:pPr>
              <w:rPr>
                <w:szCs w:val="22"/>
              </w:rPr>
            </w:pPr>
            <w:r w:rsidRPr="00E25110">
              <w:rPr>
                <w:szCs w:val="22"/>
              </w:rPr>
              <w:t>Outlines the ways in which the aged care system supports an older person’s diverse needs by ensuring they have access to person-</w:t>
            </w:r>
            <w:r w:rsidR="00FE74AE" w:rsidRPr="00E25110">
              <w:rPr>
                <w:szCs w:val="22"/>
              </w:rPr>
              <w:t>centred</w:t>
            </w:r>
            <w:r w:rsidRPr="00E25110">
              <w:rPr>
                <w:szCs w:val="22"/>
              </w:rPr>
              <w:t xml:space="preserve"> aged care assessments and services. This includes valuing older people, their identities, cultures, abilities, diversity, beliefs and life experiences.</w:t>
            </w:r>
            <w:r w:rsidR="00C321E1" w:rsidRPr="00E25110">
              <w:rPr>
                <w:szCs w:val="22"/>
              </w:rPr>
              <w:t xml:space="preserve"> </w:t>
            </w:r>
          </w:p>
          <w:p w14:paraId="151BA8A9" w14:textId="77777777" w:rsidR="000E7FBC" w:rsidRPr="00E25110" w:rsidRDefault="000E7FBC" w:rsidP="00A81272">
            <w:pPr>
              <w:rPr>
                <w:szCs w:val="22"/>
              </w:rPr>
            </w:pPr>
          </w:p>
        </w:tc>
        <w:tc>
          <w:tcPr>
            <w:tcW w:w="4776" w:type="dxa"/>
            <w:tcBorders>
              <w:top w:val="nil"/>
              <w:left w:val="nil"/>
              <w:bottom w:val="single" w:sz="8" w:space="0" w:color="auto"/>
              <w:right w:val="single" w:sz="8" w:space="0" w:color="auto"/>
            </w:tcBorders>
            <w:hideMark/>
          </w:tcPr>
          <w:p w14:paraId="01B8D93C" w14:textId="77777777" w:rsidR="000E7FBC" w:rsidRPr="00A81272" w:rsidRDefault="00E25110" w:rsidP="00A81272">
            <w:pPr>
              <w:pStyle w:val="ListParagraph"/>
              <w:numPr>
                <w:ilvl w:val="0"/>
                <w:numId w:val="635"/>
              </w:numPr>
              <w:spacing w:after="100"/>
              <w:ind w:left="345" w:hanging="215"/>
              <w:contextualSpacing w:val="0"/>
            </w:pPr>
            <w:r w:rsidRPr="00A81272">
              <w:t>Additional note about</w:t>
            </w:r>
            <w:r w:rsidR="00813E74" w:rsidRPr="00A81272">
              <w:t xml:space="preserve"> working with organisations that support Stolen Generation survivors (section 12.3.1). </w:t>
            </w:r>
          </w:p>
          <w:p w14:paraId="61221982" w14:textId="2CB5E8EC" w:rsidR="00813E74" w:rsidRPr="00A81272" w:rsidRDefault="0091668E" w:rsidP="00A81272">
            <w:pPr>
              <w:pStyle w:val="ListParagraph"/>
              <w:numPr>
                <w:ilvl w:val="0"/>
                <w:numId w:val="635"/>
              </w:numPr>
              <w:spacing w:after="100"/>
              <w:ind w:left="345" w:hanging="215"/>
              <w:contextualSpacing w:val="0"/>
            </w:pPr>
            <w:r w:rsidRPr="00A81272">
              <w:t>Updates to guidance on obtaining co</w:t>
            </w:r>
            <w:r w:rsidR="00E96923" w:rsidRPr="00A81272">
              <w:t>nsent for an assessment for p</w:t>
            </w:r>
            <w:r w:rsidR="00C935BD" w:rsidRPr="00A81272">
              <w:t>eople living with mental healt</w:t>
            </w:r>
            <w:r w:rsidR="00E96923" w:rsidRPr="00A81272">
              <w:t>h conditions</w:t>
            </w:r>
            <w:r w:rsidR="00C935BD" w:rsidRPr="00A81272">
              <w:t xml:space="preserve"> (section 12.12.2). </w:t>
            </w:r>
          </w:p>
        </w:tc>
      </w:tr>
      <w:tr w:rsidR="000E7FBC" w:rsidRPr="000F6CD1" w14:paraId="3FBBC837"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5CFC9970" w14:textId="77777777" w:rsidR="000E7FBC" w:rsidRPr="000F6CD1" w:rsidRDefault="000E7FBC" w:rsidP="00A81272">
            <w:pPr>
              <w:rPr>
                <w:rFonts w:eastAsiaTheme="minorHAnsi"/>
                <w:szCs w:val="22"/>
              </w:rPr>
            </w:pPr>
            <w:r w:rsidRPr="000F6CD1">
              <w:t>Chapter 13 </w:t>
            </w:r>
            <w:r w:rsidRPr="000F6CD1">
              <w:rPr>
                <w:szCs w:val="22"/>
              </w:rPr>
              <w:t> </w:t>
            </w:r>
          </w:p>
          <w:p w14:paraId="61973AD2" w14:textId="77777777" w:rsidR="000E7FBC" w:rsidRPr="000F6CD1" w:rsidRDefault="000E7FBC" w:rsidP="00A81272">
            <w:pPr>
              <w:rPr>
                <w:bCs/>
              </w:rPr>
            </w:pPr>
            <w:r w:rsidRPr="000F6CD1">
              <w:rPr>
                <w:szCs w:val="22"/>
              </w:rPr>
              <w:t>Operating Procedures </w:t>
            </w:r>
          </w:p>
        </w:tc>
        <w:tc>
          <w:tcPr>
            <w:tcW w:w="3190" w:type="dxa"/>
            <w:tcBorders>
              <w:top w:val="nil"/>
              <w:left w:val="nil"/>
              <w:bottom w:val="single" w:sz="8" w:space="0" w:color="auto"/>
              <w:right w:val="single" w:sz="8" w:space="0" w:color="auto"/>
            </w:tcBorders>
          </w:tcPr>
          <w:p w14:paraId="1E610410" w14:textId="7560DDE9" w:rsidR="000E7FBC" w:rsidRPr="00DF33D3" w:rsidRDefault="000E7FBC" w:rsidP="00A81272">
            <w:pPr>
              <w:rPr>
                <w:szCs w:val="22"/>
              </w:rPr>
            </w:pPr>
            <w:r w:rsidRPr="00DF33D3">
              <w:rPr>
                <w:szCs w:val="22"/>
              </w:rPr>
              <w:t>Includes information on privacy, information management and relevant legislation. Also included in this chapter is information about: </w:t>
            </w:r>
          </w:p>
          <w:p w14:paraId="1943499D" w14:textId="0CE267DA" w:rsidR="00D73E14" w:rsidRPr="00DF33D3" w:rsidRDefault="00D73E14"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Applying to be a delegate</w:t>
            </w:r>
          </w:p>
          <w:p w14:paraId="27B7906D" w14:textId="77777777" w:rsidR="007365F2"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Clinical governance</w:t>
            </w:r>
          </w:p>
          <w:p w14:paraId="0AE5922A" w14:textId="614E6332" w:rsidR="000E7FBC" w:rsidRPr="00DF33D3" w:rsidRDefault="007365F2"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 xml:space="preserve">Separation of assessment services and </w:t>
            </w:r>
            <w:r w:rsidR="00D73E14" w:rsidRPr="00DF33D3">
              <w:rPr>
                <w:rFonts w:eastAsia="Times New Roman"/>
                <w:szCs w:val="22"/>
              </w:rPr>
              <w:t>delivery of aged care services</w:t>
            </w:r>
            <w:r w:rsidR="000E7FBC" w:rsidRPr="00DF33D3">
              <w:rPr>
                <w:rFonts w:eastAsia="Times New Roman"/>
                <w:szCs w:val="22"/>
              </w:rPr>
              <w:t> </w:t>
            </w:r>
          </w:p>
          <w:p w14:paraId="24251027" w14:textId="77777777" w:rsidR="000E7FBC"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 xml:space="preserve">Information management and privacy under the </w:t>
            </w:r>
            <w:r w:rsidRPr="00F454BB">
              <w:rPr>
                <w:rFonts w:eastAsia="Times New Roman"/>
                <w:szCs w:val="22"/>
              </w:rPr>
              <w:t>Aged Care Act 2024</w:t>
            </w:r>
            <w:r w:rsidRPr="00DF33D3">
              <w:rPr>
                <w:rFonts w:eastAsia="Times New Roman"/>
                <w:szCs w:val="22"/>
              </w:rPr>
              <w:t> </w:t>
            </w:r>
          </w:p>
          <w:p w14:paraId="3CE9792A" w14:textId="77777777" w:rsidR="000E7FBC"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Framework for governance of Indigenous data </w:t>
            </w:r>
          </w:p>
          <w:p w14:paraId="63DA27A8" w14:textId="77777777" w:rsidR="000E7FBC"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Branding  </w:t>
            </w:r>
          </w:p>
          <w:p w14:paraId="43304B59" w14:textId="77777777" w:rsidR="000E7FBC"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Resources for consumers  </w:t>
            </w:r>
          </w:p>
          <w:p w14:paraId="2EC75DB7" w14:textId="77777777" w:rsidR="000E7FBC" w:rsidRPr="00DF33D3" w:rsidRDefault="000E7FBC" w:rsidP="00F454BB">
            <w:pPr>
              <w:pStyle w:val="ListParagraph"/>
              <w:numPr>
                <w:ilvl w:val="0"/>
                <w:numId w:val="635"/>
              </w:numPr>
              <w:spacing w:after="100"/>
              <w:ind w:left="345" w:hanging="215"/>
              <w:contextualSpacing w:val="0"/>
              <w:rPr>
                <w:rFonts w:eastAsia="Times New Roman"/>
                <w:szCs w:val="22"/>
              </w:rPr>
            </w:pPr>
            <w:r w:rsidRPr="00DF33D3">
              <w:rPr>
                <w:rFonts w:eastAsia="Times New Roman"/>
                <w:szCs w:val="22"/>
              </w:rPr>
              <w:t>Reporting and performance  </w:t>
            </w:r>
          </w:p>
          <w:p w14:paraId="3162FACA" w14:textId="77777777" w:rsidR="000E7FBC" w:rsidRPr="00DF33D3" w:rsidRDefault="000E7FBC" w:rsidP="00A81272">
            <w:pPr>
              <w:rPr>
                <w:rFonts w:eastAsiaTheme="minorHAnsi"/>
                <w:szCs w:val="22"/>
              </w:rPr>
            </w:pPr>
          </w:p>
        </w:tc>
        <w:tc>
          <w:tcPr>
            <w:tcW w:w="4776" w:type="dxa"/>
            <w:tcBorders>
              <w:top w:val="nil"/>
              <w:left w:val="nil"/>
              <w:bottom w:val="single" w:sz="8" w:space="0" w:color="auto"/>
              <w:right w:val="single" w:sz="8" w:space="0" w:color="auto"/>
            </w:tcBorders>
            <w:hideMark/>
          </w:tcPr>
          <w:p w14:paraId="20247F4F" w14:textId="7D3A3BD4" w:rsidR="00FE60BB" w:rsidRPr="00A81272" w:rsidRDefault="00FE60BB" w:rsidP="00A81272">
            <w:pPr>
              <w:pStyle w:val="ListParagraph"/>
              <w:numPr>
                <w:ilvl w:val="0"/>
                <w:numId w:val="635"/>
              </w:numPr>
              <w:spacing w:after="100"/>
              <w:ind w:left="345" w:hanging="215"/>
              <w:contextualSpacing w:val="0"/>
            </w:pPr>
            <w:r w:rsidRPr="00A81272">
              <w:t xml:space="preserve">Updated </w:t>
            </w:r>
            <w:r w:rsidR="00CA552F" w:rsidRPr="00A81272">
              <w:t xml:space="preserve">note </w:t>
            </w:r>
            <w:r w:rsidRPr="00A81272">
              <w:t>on completing the non</w:t>
            </w:r>
            <w:r w:rsidRPr="00A81272">
              <w:noBreakHyphen/>
              <w:t xml:space="preserve">clinical workflow in the system, including that learner assessors cannot be appointed as delegates </w:t>
            </w:r>
            <w:r w:rsidR="00D76189" w:rsidRPr="00A81272">
              <w:t xml:space="preserve">until they have completed all mandatory training requirements; </w:t>
            </w:r>
            <w:r w:rsidRPr="00A81272">
              <w:t>and that in exceptional circumstances, non</w:t>
            </w:r>
            <w:r w:rsidRPr="00A81272">
              <w:noBreakHyphen/>
              <w:t xml:space="preserve">clinically qualified staff </w:t>
            </w:r>
            <w:r w:rsidR="00262B8C" w:rsidRPr="00A81272">
              <w:t>with</w:t>
            </w:r>
            <w:r w:rsidRPr="00A81272">
              <w:t xml:space="preserve">in Aboriginal and Torres Strait Islander </w:t>
            </w:r>
            <w:r w:rsidR="00B04563" w:rsidRPr="00A81272">
              <w:t>A</w:t>
            </w:r>
            <w:r w:rsidRPr="00A81272">
              <w:t xml:space="preserve">ssessment </w:t>
            </w:r>
            <w:r w:rsidR="00B04563" w:rsidRPr="00A81272">
              <w:t>O</w:t>
            </w:r>
            <w:r w:rsidRPr="00A81272">
              <w:t xml:space="preserve">rganisations </w:t>
            </w:r>
            <w:r w:rsidR="006B6C77" w:rsidRPr="00A81272">
              <w:t>can</w:t>
            </w:r>
            <w:r w:rsidRPr="00A81272">
              <w:t xml:space="preserve"> submit a business case to be considered </w:t>
            </w:r>
            <w:r w:rsidR="00262B8C" w:rsidRPr="00A81272">
              <w:t>for</w:t>
            </w:r>
            <w:r w:rsidR="00C02B50" w:rsidRPr="00A81272">
              <w:t xml:space="preserve"> </w:t>
            </w:r>
            <w:r w:rsidRPr="00A81272">
              <w:t xml:space="preserve">a clinical assessor </w:t>
            </w:r>
            <w:r w:rsidR="00C02B50" w:rsidRPr="00A81272">
              <w:t>and/</w:t>
            </w:r>
            <w:r w:rsidRPr="00A81272">
              <w:t>or T</w:t>
            </w:r>
            <w:r w:rsidR="006B6C77" w:rsidRPr="00A81272">
              <w:t xml:space="preserve">riage </w:t>
            </w:r>
            <w:r w:rsidRPr="00A81272">
              <w:t>D</w:t>
            </w:r>
            <w:r w:rsidR="006B6C77" w:rsidRPr="00A81272">
              <w:t>elegate</w:t>
            </w:r>
            <w:r w:rsidRPr="00A81272">
              <w:t xml:space="preserve"> </w:t>
            </w:r>
            <w:r w:rsidR="00C02B50" w:rsidRPr="00A81272">
              <w:t xml:space="preserve">role </w:t>
            </w:r>
            <w:r w:rsidRPr="00A81272">
              <w:t xml:space="preserve">(section 13.1.1). </w:t>
            </w:r>
          </w:p>
          <w:p w14:paraId="0E73E02B" w14:textId="4C1675B3" w:rsidR="002D40E0" w:rsidRPr="001B3848" w:rsidRDefault="002D40E0" w:rsidP="00A81272">
            <w:pPr>
              <w:pStyle w:val="ListParagraph"/>
              <w:numPr>
                <w:ilvl w:val="0"/>
                <w:numId w:val="635"/>
              </w:numPr>
              <w:spacing w:after="100"/>
              <w:ind w:left="345" w:hanging="215"/>
              <w:contextualSpacing w:val="0"/>
            </w:pPr>
            <w:r w:rsidRPr="001B3848">
              <w:t xml:space="preserve">Updated list of Qlik reports that </w:t>
            </w:r>
            <w:r w:rsidR="00B04563" w:rsidRPr="001B3848">
              <w:t xml:space="preserve">Assessment </w:t>
            </w:r>
            <w:r w:rsidR="000A7B8C" w:rsidRPr="001B3848">
              <w:t>O</w:t>
            </w:r>
            <w:r w:rsidR="00B04563" w:rsidRPr="001B3848">
              <w:t xml:space="preserve">rganisations can access (section 13.7). </w:t>
            </w:r>
          </w:p>
          <w:p w14:paraId="3D3BF1E6" w14:textId="612813CC" w:rsidR="000E7FBC" w:rsidRPr="00A81272" w:rsidRDefault="00B04563" w:rsidP="00A81272">
            <w:pPr>
              <w:pStyle w:val="ListParagraph"/>
              <w:numPr>
                <w:ilvl w:val="0"/>
                <w:numId w:val="635"/>
              </w:numPr>
              <w:spacing w:after="100"/>
              <w:ind w:left="345" w:hanging="215"/>
              <w:contextualSpacing w:val="0"/>
            </w:pPr>
            <w:r w:rsidRPr="00A81272">
              <w:t xml:space="preserve">New section </w:t>
            </w:r>
            <w:r w:rsidR="005A375B" w:rsidRPr="00A81272">
              <w:t xml:space="preserve">containing information on the requirement </w:t>
            </w:r>
            <w:r w:rsidR="006016DB" w:rsidRPr="00A81272">
              <w:t>for Assessor ID Cards (</w:t>
            </w:r>
            <w:r w:rsidR="000A7B8C" w:rsidRPr="00A81272">
              <w:t xml:space="preserve">section </w:t>
            </w:r>
            <w:r w:rsidR="006016DB" w:rsidRPr="00A81272">
              <w:t>13.8).</w:t>
            </w:r>
          </w:p>
        </w:tc>
      </w:tr>
      <w:tr w:rsidR="000E7FBC" w:rsidRPr="000F6CD1" w14:paraId="235AA588"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21FCC0A5" w14:textId="77777777" w:rsidR="000E7FBC" w:rsidRPr="000F6CD1" w:rsidRDefault="000E7FBC" w:rsidP="00A81272">
            <w:pPr>
              <w:rPr>
                <w:rFonts w:eastAsiaTheme="minorHAnsi"/>
                <w:szCs w:val="22"/>
              </w:rPr>
            </w:pPr>
            <w:r w:rsidRPr="000F6CD1">
              <w:t>Chapter 14</w:t>
            </w:r>
            <w:r w:rsidRPr="000F6CD1">
              <w:rPr>
                <w:szCs w:val="22"/>
              </w:rPr>
              <w:t> </w:t>
            </w:r>
          </w:p>
          <w:p w14:paraId="78774B89" w14:textId="77777777" w:rsidR="000E7FBC" w:rsidRPr="000F6CD1" w:rsidRDefault="000E7FBC" w:rsidP="00A81272">
            <w:pPr>
              <w:rPr>
                <w:bCs/>
              </w:rPr>
            </w:pPr>
            <w:r w:rsidRPr="000F6CD1">
              <w:rPr>
                <w:szCs w:val="22"/>
              </w:rPr>
              <w:lastRenderedPageBreak/>
              <w:t>Fees and Payments </w:t>
            </w:r>
          </w:p>
        </w:tc>
        <w:tc>
          <w:tcPr>
            <w:tcW w:w="3190" w:type="dxa"/>
            <w:tcBorders>
              <w:top w:val="nil"/>
              <w:left w:val="nil"/>
              <w:bottom w:val="single" w:sz="8" w:space="0" w:color="auto"/>
              <w:right w:val="single" w:sz="8" w:space="0" w:color="auto"/>
            </w:tcBorders>
            <w:hideMark/>
          </w:tcPr>
          <w:p w14:paraId="1399BF8F" w14:textId="0B17DA81" w:rsidR="000E7FBC" w:rsidRPr="000F6CD1" w:rsidRDefault="000E7FBC" w:rsidP="00A81272">
            <w:pPr>
              <w:rPr>
                <w:szCs w:val="22"/>
              </w:rPr>
            </w:pPr>
            <w:r w:rsidRPr="000F6CD1">
              <w:rPr>
                <w:szCs w:val="22"/>
              </w:rPr>
              <w:lastRenderedPageBreak/>
              <w:t xml:space="preserve">Provides guidance on fees, payments and participant </w:t>
            </w:r>
            <w:r w:rsidRPr="000F6CD1">
              <w:rPr>
                <w:szCs w:val="22"/>
              </w:rPr>
              <w:lastRenderedPageBreak/>
              <w:t>contributions for funded aged care services.</w:t>
            </w:r>
            <w:r w:rsidR="00C321E1" w:rsidRPr="000F6CD1">
              <w:rPr>
                <w:szCs w:val="22"/>
              </w:rPr>
              <w:t xml:space="preserve"> </w:t>
            </w:r>
          </w:p>
        </w:tc>
        <w:tc>
          <w:tcPr>
            <w:tcW w:w="4776" w:type="dxa"/>
            <w:tcBorders>
              <w:top w:val="nil"/>
              <w:left w:val="nil"/>
              <w:bottom w:val="single" w:sz="8" w:space="0" w:color="auto"/>
              <w:right w:val="single" w:sz="8" w:space="0" w:color="auto"/>
            </w:tcBorders>
            <w:hideMark/>
          </w:tcPr>
          <w:p w14:paraId="740140EB" w14:textId="77777777" w:rsidR="000E7FBC" w:rsidRPr="00CF4737" w:rsidRDefault="00CF4737" w:rsidP="00A81272">
            <w:pPr>
              <w:pStyle w:val="ListParagraph"/>
              <w:numPr>
                <w:ilvl w:val="0"/>
                <w:numId w:val="635"/>
              </w:numPr>
              <w:spacing w:after="100"/>
              <w:ind w:left="345" w:hanging="215"/>
              <w:contextualSpacing w:val="0"/>
              <w:rPr>
                <w:rFonts w:eastAsia="Times New Roman"/>
                <w:szCs w:val="22"/>
              </w:rPr>
            </w:pPr>
            <w:r>
              <w:lastRenderedPageBreak/>
              <w:t xml:space="preserve">Updated guidance about fees for hoarding and squalor services and CHSP </w:t>
            </w:r>
            <w:r>
              <w:lastRenderedPageBreak/>
              <w:t>contributions for SaH participants (section 14.2.1).</w:t>
            </w:r>
          </w:p>
          <w:p w14:paraId="3C14C882" w14:textId="77777777" w:rsidR="00CF4737" w:rsidRPr="00E6364B" w:rsidRDefault="00E6364B" w:rsidP="00A81272">
            <w:pPr>
              <w:pStyle w:val="ListParagraph"/>
              <w:numPr>
                <w:ilvl w:val="0"/>
                <w:numId w:val="635"/>
              </w:numPr>
              <w:spacing w:after="100"/>
              <w:ind w:left="345" w:hanging="215"/>
              <w:contextualSpacing w:val="0"/>
              <w:rPr>
                <w:rFonts w:eastAsia="Times New Roman"/>
                <w:szCs w:val="22"/>
              </w:rPr>
            </w:pPr>
            <w:r>
              <w:t>Updates to guidance on CHSP contributions for SaH participants (section 14.2.2).</w:t>
            </w:r>
          </w:p>
          <w:p w14:paraId="4058A264" w14:textId="37C9D2C2" w:rsidR="00E6364B" w:rsidRPr="001B3848" w:rsidRDefault="00F3205A" w:rsidP="00A81272">
            <w:pPr>
              <w:pStyle w:val="ListParagraph"/>
              <w:numPr>
                <w:ilvl w:val="0"/>
                <w:numId w:val="635"/>
              </w:numPr>
              <w:spacing w:after="100"/>
              <w:ind w:left="345" w:hanging="215"/>
              <w:contextualSpacing w:val="0"/>
              <w:rPr>
                <w:rFonts w:eastAsia="Times New Roman"/>
                <w:szCs w:val="22"/>
              </w:rPr>
            </w:pPr>
            <w:r>
              <w:t>New guidance about fees payable by older people accessing care under the MPSP (section 14.2.5).</w:t>
            </w:r>
            <w:r>
              <w:br/>
            </w:r>
          </w:p>
        </w:tc>
      </w:tr>
      <w:tr w:rsidR="000E7FBC" w:rsidRPr="000F6CD1" w14:paraId="788E6AF7" w14:textId="77777777" w:rsidTr="00A81272">
        <w:trPr>
          <w:trHeight w:val="300"/>
        </w:trPr>
        <w:tc>
          <w:tcPr>
            <w:tcW w:w="1663" w:type="dxa"/>
            <w:tcBorders>
              <w:top w:val="nil"/>
              <w:left w:val="single" w:sz="8" w:space="0" w:color="auto"/>
              <w:bottom w:val="single" w:sz="8" w:space="0" w:color="auto"/>
              <w:right w:val="single" w:sz="8" w:space="0" w:color="auto"/>
            </w:tcBorders>
            <w:shd w:val="clear" w:color="auto" w:fill="002060"/>
            <w:hideMark/>
          </w:tcPr>
          <w:p w14:paraId="678D05A8" w14:textId="77777777" w:rsidR="000E7FBC" w:rsidRPr="000F6CD1" w:rsidRDefault="000E7FBC" w:rsidP="00A81272">
            <w:pPr>
              <w:rPr>
                <w:rFonts w:eastAsiaTheme="minorHAnsi"/>
                <w:bCs/>
              </w:rPr>
            </w:pPr>
            <w:r w:rsidRPr="000F6CD1">
              <w:lastRenderedPageBreak/>
              <w:t>Appendices </w:t>
            </w:r>
          </w:p>
        </w:tc>
        <w:tc>
          <w:tcPr>
            <w:tcW w:w="3190" w:type="dxa"/>
            <w:tcBorders>
              <w:top w:val="nil"/>
              <w:left w:val="nil"/>
              <w:bottom w:val="single" w:sz="8" w:space="0" w:color="auto"/>
              <w:right w:val="single" w:sz="8" w:space="0" w:color="auto"/>
            </w:tcBorders>
            <w:hideMark/>
          </w:tcPr>
          <w:p w14:paraId="281EE12A" w14:textId="77777777" w:rsidR="000E7FBC" w:rsidRPr="001B3848" w:rsidRDefault="000E7FBC" w:rsidP="00A81272">
            <w:pPr>
              <w:rPr>
                <w:szCs w:val="22"/>
              </w:rPr>
            </w:pPr>
            <w:r w:rsidRPr="001B3848">
              <w:rPr>
                <w:szCs w:val="22"/>
              </w:rPr>
              <w:t>Appendices include: </w:t>
            </w:r>
          </w:p>
          <w:p w14:paraId="6FE7F867"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Glossary </w:t>
            </w:r>
          </w:p>
          <w:p w14:paraId="3131841A"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Contact Details </w:t>
            </w:r>
          </w:p>
          <w:p w14:paraId="53A59683"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Clinical Governance Guidance for Aged Care Needs Assessment Organisations </w:t>
            </w:r>
          </w:p>
          <w:p w14:paraId="128BFADB"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Clinical attendance </w:t>
            </w:r>
          </w:p>
          <w:p w14:paraId="1F23602E"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Wellness and Reablement </w:t>
            </w:r>
          </w:p>
          <w:p w14:paraId="2B2D762A" w14:textId="77777777" w:rsidR="000E7FB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Restorative Care Case Studies </w:t>
            </w:r>
          </w:p>
          <w:p w14:paraId="271A6BEF" w14:textId="77777777" w:rsidR="00512BEC" w:rsidRPr="001B3848" w:rsidRDefault="000E7FB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Aged Care Assessment Workforce Credentials</w:t>
            </w:r>
          </w:p>
          <w:p w14:paraId="31435ECF" w14:textId="77777777" w:rsidR="009673C6" w:rsidRDefault="00512BEC" w:rsidP="00F454BB">
            <w:pPr>
              <w:pStyle w:val="ListParagraph"/>
              <w:numPr>
                <w:ilvl w:val="0"/>
                <w:numId w:val="635"/>
              </w:numPr>
              <w:spacing w:after="100"/>
              <w:ind w:left="345" w:hanging="215"/>
              <w:contextualSpacing w:val="0"/>
              <w:rPr>
                <w:rFonts w:eastAsia="Times New Roman"/>
                <w:szCs w:val="22"/>
              </w:rPr>
            </w:pPr>
            <w:r w:rsidRPr="001B3848">
              <w:rPr>
                <w:rFonts w:eastAsia="Times New Roman"/>
                <w:szCs w:val="22"/>
              </w:rPr>
              <w:t>Case studies</w:t>
            </w:r>
            <w:r w:rsidR="00967106" w:rsidRPr="001B3848">
              <w:rPr>
                <w:rFonts w:eastAsia="Times New Roman"/>
                <w:szCs w:val="22"/>
              </w:rPr>
              <w:t xml:space="preserve"> of individuals experiencing homelessness or </w:t>
            </w:r>
            <w:r w:rsidR="00DA5E93" w:rsidRPr="001B3848">
              <w:rPr>
                <w:rFonts w:eastAsia="Times New Roman"/>
                <w:szCs w:val="22"/>
              </w:rPr>
              <w:t>at risk of homelessness</w:t>
            </w:r>
            <w:r w:rsidR="002207BF" w:rsidRPr="001B3848">
              <w:rPr>
                <w:rFonts w:eastAsia="Times New Roman"/>
                <w:szCs w:val="22"/>
              </w:rPr>
              <w:t xml:space="preserve"> </w:t>
            </w:r>
          </w:p>
          <w:p w14:paraId="0A1AFE9B" w14:textId="0622E2CE" w:rsidR="000E7FBC" w:rsidRPr="001B3848" w:rsidRDefault="00BC3DCF" w:rsidP="00F454BB">
            <w:pPr>
              <w:pStyle w:val="ListParagraph"/>
              <w:numPr>
                <w:ilvl w:val="0"/>
                <w:numId w:val="635"/>
              </w:numPr>
              <w:spacing w:after="100"/>
              <w:ind w:left="345" w:hanging="215"/>
              <w:contextualSpacing w:val="0"/>
              <w:rPr>
                <w:rFonts w:eastAsia="Times New Roman"/>
                <w:szCs w:val="22"/>
              </w:rPr>
            </w:pPr>
            <w:r>
              <w:rPr>
                <w:rFonts w:eastAsia="Times New Roman"/>
                <w:szCs w:val="22"/>
              </w:rPr>
              <w:t>IAT amendment guidance</w:t>
            </w:r>
            <w:r w:rsidR="000E7FBC" w:rsidRPr="001B3848">
              <w:rPr>
                <w:rFonts w:eastAsia="Times New Roman"/>
                <w:szCs w:val="22"/>
              </w:rPr>
              <w:t> </w:t>
            </w:r>
          </w:p>
          <w:p w14:paraId="48A62F83" w14:textId="77777777" w:rsidR="000E7FBC" w:rsidRPr="001B3848" w:rsidRDefault="000E7FBC" w:rsidP="00A81272">
            <w:pPr>
              <w:rPr>
                <w:rFonts w:eastAsiaTheme="minorHAnsi"/>
                <w:szCs w:val="22"/>
              </w:rPr>
            </w:pPr>
            <w:r w:rsidRPr="001B3848">
              <w:rPr>
                <w:szCs w:val="22"/>
              </w:rPr>
              <w:t> </w:t>
            </w:r>
          </w:p>
        </w:tc>
        <w:tc>
          <w:tcPr>
            <w:tcW w:w="4776" w:type="dxa"/>
            <w:tcBorders>
              <w:top w:val="nil"/>
              <w:left w:val="nil"/>
              <w:bottom w:val="single" w:sz="8" w:space="0" w:color="auto"/>
              <w:right w:val="single" w:sz="8" w:space="0" w:color="auto"/>
            </w:tcBorders>
            <w:hideMark/>
          </w:tcPr>
          <w:p w14:paraId="6E4C16DF" w14:textId="297DA642" w:rsidR="000E7FBC" w:rsidRDefault="003B18CF" w:rsidP="00A81272">
            <w:pPr>
              <w:pStyle w:val="ListParagraph"/>
              <w:numPr>
                <w:ilvl w:val="0"/>
                <w:numId w:val="635"/>
              </w:numPr>
              <w:spacing w:after="100"/>
              <w:ind w:left="345" w:hanging="215"/>
              <w:contextualSpacing w:val="0"/>
              <w:rPr>
                <w:rFonts w:eastAsia="Times New Roman"/>
                <w:szCs w:val="22"/>
              </w:rPr>
            </w:pPr>
            <w:r w:rsidRPr="00D946DF">
              <w:rPr>
                <w:rFonts w:eastAsia="Times New Roman"/>
                <w:szCs w:val="22"/>
              </w:rPr>
              <w:t>Updated definitions for</w:t>
            </w:r>
            <w:r w:rsidR="0011093F" w:rsidRPr="00D946DF">
              <w:rPr>
                <w:rFonts w:eastAsia="Times New Roman"/>
                <w:szCs w:val="22"/>
              </w:rPr>
              <w:t xml:space="preserve">: Active, appointed decision maker, Integrated Assessment Tool (IAT), and Single Assessment System workforce. </w:t>
            </w:r>
            <w:r w:rsidR="00D946DF" w:rsidRPr="00D946DF">
              <w:rPr>
                <w:rFonts w:eastAsia="Times New Roman"/>
                <w:szCs w:val="22"/>
              </w:rPr>
              <w:t>New terms added</w:t>
            </w:r>
            <w:r w:rsidR="0011093F" w:rsidRPr="00D946DF">
              <w:rPr>
                <w:rFonts w:eastAsia="Times New Roman"/>
                <w:szCs w:val="22"/>
              </w:rPr>
              <w:t xml:space="preserve">: </w:t>
            </w:r>
            <w:r w:rsidR="00875A42" w:rsidRPr="00D946DF">
              <w:rPr>
                <w:rFonts w:eastAsia="Times New Roman"/>
                <w:szCs w:val="22"/>
              </w:rPr>
              <w:t>Clinical Assessment Delegate, Non-clinical Assessment Delegate, Residential Care (ongoing), Support at Home Program, and Triage Delegate</w:t>
            </w:r>
            <w:r w:rsidR="00D946DF">
              <w:rPr>
                <w:rFonts w:eastAsia="Times New Roman"/>
                <w:szCs w:val="22"/>
              </w:rPr>
              <w:t xml:space="preserve"> (</w:t>
            </w:r>
            <w:r w:rsidR="00801CC3">
              <w:rPr>
                <w:rFonts w:eastAsia="Times New Roman"/>
                <w:szCs w:val="22"/>
              </w:rPr>
              <w:t>Appendix A)</w:t>
            </w:r>
            <w:r w:rsidR="00AD52AE">
              <w:rPr>
                <w:rFonts w:eastAsia="Times New Roman"/>
                <w:szCs w:val="22"/>
              </w:rPr>
              <w:t xml:space="preserve">. </w:t>
            </w:r>
          </w:p>
          <w:p w14:paraId="5644467A" w14:textId="77777777" w:rsidR="00D946DF" w:rsidRPr="00AD52AE" w:rsidRDefault="006815F6" w:rsidP="00A81272">
            <w:pPr>
              <w:pStyle w:val="ListParagraph"/>
              <w:numPr>
                <w:ilvl w:val="0"/>
                <w:numId w:val="635"/>
              </w:numPr>
              <w:spacing w:after="100"/>
              <w:ind w:left="345" w:hanging="215"/>
              <w:contextualSpacing w:val="0"/>
              <w:rPr>
                <w:rFonts w:eastAsia="Times New Roman"/>
                <w:szCs w:val="22"/>
              </w:rPr>
            </w:pPr>
            <w:r w:rsidRPr="43512EA3">
              <w:rPr>
                <w:rFonts w:eastAsia="Aptos"/>
              </w:rPr>
              <w:t>Contact details for the right of review have been updated to include an email address</w:t>
            </w:r>
            <w:r w:rsidR="00AD52AE">
              <w:rPr>
                <w:rFonts w:eastAsia="Aptos"/>
              </w:rPr>
              <w:t xml:space="preserve">. Updated details added for My Aged Care complaints </w:t>
            </w:r>
            <w:r>
              <w:rPr>
                <w:rFonts w:eastAsia="Aptos"/>
              </w:rPr>
              <w:t>(Appendix B)</w:t>
            </w:r>
            <w:r w:rsidR="00AD52AE">
              <w:rPr>
                <w:rFonts w:eastAsia="Aptos"/>
              </w:rPr>
              <w:t xml:space="preserve">. </w:t>
            </w:r>
          </w:p>
          <w:p w14:paraId="263D8855" w14:textId="77777777" w:rsidR="00AC724D" w:rsidRPr="00AC724D" w:rsidRDefault="00AD52AE" w:rsidP="00A81272">
            <w:pPr>
              <w:pStyle w:val="ListParagraph"/>
              <w:numPr>
                <w:ilvl w:val="0"/>
                <w:numId w:val="635"/>
              </w:numPr>
              <w:spacing w:after="100"/>
              <w:ind w:left="345" w:hanging="215"/>
              <w:contextualSpacing w:val="0"/>
              <w:rPr>
                <w:rFonts w:eastAsia="Times New Roman"/>
                <w:szCs w:val="22"/>
              </w:rPr>
            </w:pPr>
            <w:r>
              <w:rPr>
                <w:rFonts w:eastAsia="Aptos"/>
              </w:rPr>
              <w:t xml:space="preserve">Updates to training referenced in Element 2 (Appendix C). </w:t>
            </w:r>
          </w:p>
          <w:p w14:paraId="3B7E93C9" w14:textId="26C3D1D2" w:rsidR="00AC724D" w:rsidRPr="00AC724D" w:rsidRDefault="00AC724D" w:rsidP="00A81272">
            <w:pPr>
              <w:pStyle w:val="ListParagraph"/>
              <w:numPr>
                <w:ilvl w:val="0"/>
                <w:numId w:val="635"/>
              </w:numPr>
              <w:spacing w:after="100"/>
              <w:ind w:left="345" w:hanging="215"/>
              <w:contextualSpacing w:val="0"/>
              <w:rPr>
                <w:rFonts w:eastAsia="Times New Roman"/>
                <w:szCs w:val="22"/>
              </w:rPr>
            </w:pPr>
            <w:r w:rsidRPr="00AC724D">
              <w:rPr>
                <w:rFonts w:eastAsia="Aptos"/>
              </w:rPr>
              <w:t>Additional note</w:t>
            </w:r>
            <w:r>
              <w:t xml:space="preserve"> advising a business case is not necessary for Aboriginal and Torres Strait Islander Health Practitioners with a cert iv to become a clinical assessor in Aboriginal and Torres Strait Islander </w:t>
            </w:r>
            <w:r w:rsidR="00003CA8">
              <w:t>A</w:t>
            </w:r>
            <w:r>
              <w:t xml:space="preserve">ssessment </w:t>
            </w:r>
            <w:r w:rsidR="00003CA8">
              <w:t>O</w:t>
            </w:r>
            <w:r>
              <w:t xml:space="preserve">rganisations (Appendix F). </w:t>
            </w:r>
          </w:p>
          <w:p w14:paraId="16D806ED" w14:textId="6A53DC74" w:rsidR="00AC724D" w:rsidRPr="00454D3A" w:rsidRDefault="00AC724D" w:rsidP="00A81272">
            <w:pPr>
              <w:pStyle w:val="ListParagraph"/>
              <w:numPr>
                <w:ilvl w:val="0"/>
                <w:numId w:val="635"/>
              </w:numPr>
              <w:spacing w:after="100"/>
              <w:ind w:left="345" w:hanging="215"/>
              <w:contextualSpacing w:val="0"/>
              <w:rPr>
                <w:rFonts w:eastAsia="Times New Roman"/>
                <w:szCs w:val="22"/>
              </w:rPr>
            </w:pPr>
            <w:r>
              <w:rPr>
                <w:rFonts w:eastAsia="Times New Roman"/>
                <w:szCs w:val="22"/>
              </w:rPr>
              <w:t xml:space="preserve">New guidance regarding IAT amendments (Appendix I). </w:t>
            </w:r>
          </w:p>
        </w:tc>
      </w:tr>
      <w:bookmarkEnd w:id="16"/>
    </w:tbl>
    <w:p w14:paraId="625F3C64" w14:textId="77777777" w:rsidR="00D76CEC" w:rsidRPr="000F6CD1" w:rsidRDefault="00D76CEC" w:rsidP="00FC3C61">
      <w:pPr>
        <w:pStyle w:val="H5"/>
      </w:pPr>
    </w:p>
    <w:p w14:paraId="4B757B52" w14:textId="77777777" w:rsidR="00FC735C" w:rsidRPr="000F6CD1" w:rsidRDefault="00FC735C" w:rsidP="00FC3C61">
      <w:pPr>
        <w:pStyle w:val="H5"/>
        <w:sectPr w:rsidR="00FC735C" w:rsidRPr="000F6CD1" w:rsidSect="003F6DBE">
          <w:pgSz w:w="11906" w:h="16838"/>
          <w:pgMar w:top="1440" w:right="1440" w:bottom="1440" w:left="1440" w:header="709" w:footer="709" w:gutter="0"/>
          <w:cols w:space="708"/>
          <w:titlePg/>
          <w:docGrid w:linePitch="360"/>
        </w:sectPr>
      </w:pPr>
    </w:p>
    <w:p w14:paraId="74FF186B" w14:textId="3873A04E" w:rsidR="00005C08" w:rsidRPr="000F6CD1" w:rsidRDefault="00005C08" w:rsidP="00AC3600">
      <w:pPr>
        <w:pStyle w:val="H1"/>
        <w:numPr>
          <w:ilvl w:val="0"/>
          <w:numId w:val="623"/>
        </w:numPr>
      </w:pPr>
      <w:bookmarkStart w:id="17" w:name="_Toc207291859"/>
      <w:bookmarkStart w:id="18" w:name="_Toc209188932"/>
      <w:bookmarkStart w:id="19" w:name="_Ref212735661"/>
      <w:bookmarkStart w:id="20" w:name="_Ref212735706"/>
      <w:bookmarkStart w:id="21" w:name="_Ref212736424"/>
      <w:bookmarkStart w:id="22" w:name="_Ref212736437"/>
      <w:bookmarkStart w:id="23" w:name="_Ref232694941"/>
      <w:bookmarkStart w:id="24" w:name="_Toc233282401"/>
      <w:r w:rsidRPr="000F6CD1">
        <w:lastRenderedPageBreak/>
        <w:t xml:space="preserve">Chapter 1: </w:t>
      </w:r>
      <w:bookmarkEnd w:id="0"/>
      <w:r w:rsidRPr="00B05426">
        <w:t>Aged Care Act 2024</w:t>
      </w:r>
      <w:bookmarkEnd w:id="17"/>
      <w:bookmarkEnd w:id="18"/>
      <w:bookmarkEnd w:id="19"/>
      <w:bookmarkEnd w:id="20"/>
      <w:bookmarkEnd w:id="21"/>
      <w:bookmarkEnd w:id="22"/>
      <w:bookmarkEnd w:id="23"/>
      <w:bookmarkEnd w:id="24"/>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005C08" w:rsidRPr="000F6CD1" w14:paraId="15F5931F" w14:textId="77777777" w:rsidTr="004107E5">
        <w:trPr>
          <w:trHeight w:val="300"/>
        </w:trPr>
        <w:tc>
          <w:tcPr>
            <w:tcW w:w="9016" w:type="dxa"/>
            <w:shd w:val="clear" w:color="auto" w:fill="F2F2F2" w:themeFill="background1" w:themeFillShade="F2"/>
          </w:tcPr>
          <w:p w14:paraId="7958C45E" w14:textId="50C93BFC" w:rsidR="00005C08" w:rsidRPr="000F6CD1" w:rsidRDefault="00005C08" w:rsidP="00267C0F">
            <w:pPr>
              <w:rPr>
                <w:b/>
                <w:color w:val="358189"/>
                <w:sz w:val="36"/>
                <w:szCs w:val="36"/>
              </w:rPr>
            </w:pPr>
            <w:bookmarkStart w:id="25" w:name="_Toc198813633"/>
            <w:bookmarkStart w:id="26" w:name="_Toc207291860"/>
            <w:bookmarkStart w:id="27" w:name="_Toc209188933"/>
            <w:bookmarkEnd w:id="1"/>
            <w:r w:rsidRPr="000F6CD1">
              <w:rPr>
                <w:b/>
                <w:color w:val="358189"/>
                <w:sz w:val="36"/>
                <w:szCs w:val="36"/>
              </w:rPr>
              <w:t>What you’ll find in this chapter</w:t>
            </w:r>
            <w:bookmarkEnd w:id="25"/>
            <w:bookmarkEnd w:id="26"/>
            <w:bookmarkEnd w:id="27"/>
          </w:p>
          <w:p w14:paraId="5D7241F5" w14:textId="65739AB9" w:rsidR="00005C08" w:rsidRPr="000F6CD1" w:rsidRDefault="00005C08" w:rsidP="000416E5">
            <w:r w:rsidRPr="000F6CD1">
              <w:t>This chapter introduces some</w:t>
            </w:r>
            <w:r w:rsidRPr="000F6CD1" w:rsidDel="00897744">
              <w:t xml:space="preserve"> </w:t>
            </w:r>
            <w:r w:rsidRPr="000F6CD1">
              <w:t xml:space="preserve">key concepts under the </w:t>
            </w:r>
            <w:r w:rsidRPr="000F6CD1">
              <w:rPr>
                <w:i/>
                <w:iCs/>
              </w:rPr>
              <w:t>Aged Care Act 2024</w:t>
            </w:r>
            <w:r w:rsidRPr="000F6CD1">
              <w:t xml:space="preserve"> (the Act)</w:t>
            </w:r>
            <w:r w:rsidR="00830717" w:rsidRPr="000F6CD1">
              <w:t xml:space="preserve"> that are important to understand</w:t>
            </w:r>
            <w:r w:rsidRPr="000F6CD1">
              <w:t>. They include:</w:t>
            </w:r>
          </w:p>
          <w:p w14:paraId="5F83EE37" w14:textId="77777777" w:rsidR="008E6691" w:rsidRPr="000F6CD1" w:rsidRDefault="008E6691" w:rsidP="000416E5"/>
          <w:p w14:paraId="62A8BD4E" w14:textId="5DDCDA7B" w:rsidR="009A6652" w:rsidRPr="000F6CD1" w:rsidRDefault="009A6652" w:rsidP="00DE24FB">
            <w:pPr>
              <w:pStyle w:val="ListParagraph"/>
              <w:numPr>
                <w:ilvl w:val="0"/>
                <w:numId w:val="28"/>
              </w:numPr>
            </w:pPr>
            <w:r w:rsidRPr="000F6CD1">
              <w:t>The structure of the Act</w:t>
            </w:r>
          </w:p>
          <w:p w14:paraId="03593EEE" w14:textId="31068854" w:rsidR="00005C08" w:rsidRPr="000F6CD1" w:rsidRDefault="00005C08" w:rsidP="00DE24FB">
            <w:pPr>
              <w:pStyle w:val="ListParagraph"/>
              <w:numPr>
                <w:ilvl w:val="0"/>
                <w:numId w:val="28"/>
              </w:numPr>
            </w:pPr>
            <w:r w:rsidRPr="000F6CD1">
              <w:t xml:space="preserve">Statement of Rights and Principles </w:t>
            </w:r>
          </w:p>
          <w:p w14:paraId="42F5826B" w14:textId="77777777" w:rsidR="00830717" w:rsidRPr="000F6CD1" w:rsidRDefault="00005C08" w:rsidP="00DE24FB">
            <w:pPr>
              <w:pStyle w:val="ListParagraph"/>
              <w:numPr>
                <w:ilvl w:val="0"/>
                <w:numId w:val="28"/>
              </w:numPr>
            </w:pPr>
            <w:r w:rsidRPr="000F6CD1">
              <w:t xml:space="preserve">Dignity of Risk </w:t>
            </w:r>
          </w:p>
          <w:p w14:paraId="136D632A" w14:textId="30AE6650" w:rsidR="00830717" w:rsidRPr="000F6CD1" w:rsidRDefault="00830717" w:rsidP="00DE24FB">
            <w:pPr>
              <w:pStyle w:val="ListParagraph"/>
              <w:numPr>
                <w:ilvl w:val="0"/>
                <w:numId w:val="28"/>
              </w:numPr>
            </w:pPr>
            <w:r w:rsidRPr="000F6CD1">
              <w:t xml:space="preserve">Eligibility requirements to access government funded aged care services </w:t>
            </w:r>
          </w:p>
          <w:p w14:paraId="6BBB4F0C" w14:textId="15C86A61" w:rsidR="00005C08" w:rsidRPr="000F6CD1" w:rsidRDefault="00005C08" w:rsidP="00DE24FB">
            <w:pPr>
              <w:pStyle w:val="ListParagraph"/>
              <w:numPr>
                <w:ilvl w:val="0"/>
                <w:numId w:val="28"/>
              </w:numPr>
            </w:pPr>
            <w:r w:rsidRPr="000F6CD1">
              <w:t xml:space="preserve">Service List and structure under the </w:t>
            </w:r>
            <w:r w:rsidRPr="000F6CD1">
              <w:rPr>
                <w:i/>
              </w:rPr>
              <w:t>Aged Care Rules 2025</w:t>
            </w:r>
            <w:r w:rsidRPr="000F6CD1">
              <w:t xml:space="preserve"> </w:t>
            </w:r>
          </w:p>
          <w:p w14:paraId="0CE97B8B" w14:textId="4B0EE055" w:rsidR="00570BDE" w:rsidRPr="000F6CD1" w:rsidRDefault="00005C08" w:rsidP="00C90C14">
            <w:pPr>
              <w:numPr>
                <w:ilvl w:val="0"/>
                <w:numId w:val="28"/>
              </w:numPr>
            </w:pPr>
            <w:r w:rsidRPr="000F6CD1">
              <w:t xml:space="preserve">Transition Arrangements </w:t>
            </w:r>
            <w:r w:rsidR="00C90C14" w:rsidRPr="000F6CD1">
              <w:t>for 1 November 2025</w:t>
            </w:r>
          </w:p>
          <w:p w14:paraId="71A304A1" w14:textId="3E4B7AC4" w:rsidR="00570BDE" w:rsidRPr="000F6CD1" w:rsidRDefault="00570BDE" w:rsidP="004A01BB">
            <w:pPr>
              <w:ind w:left="1080"/>
            </w:pPr>
          </w:p>
        </w:tc>
      </w:tr>
    </w:tbl>
    <w:p w14:paraId="4D2A21B6" w14:textId="77777777" w:rsidR="00DE24FB" w:rsidRPr="000F6CD1" w:rsidRDefault="00DE24FB" w:rsidP="00005C08">
      <w:bookmarkStart w:id="28" w:name="_Aged_Care_Act"/>
      <w:bookmarkEnd w:id="28"/>
    </w:p>
    <w:p w14:paraId="1D47AD70" w14:textId="0132097E" w:rsidR="009A6652" w:rsidRPr="000F6CD1" w:rsidRDefault="009A6652" w:rsidP="006647CE">
      <w:pPr>
        <w:pStyle w:val="h2"/>
      </w:pPr>
      <w:bookmarkStart w:id="29" w:name="_Toc207291861"/>
      <w:bookmarkStart w:id="30" w:name="_Toc209188934"/>
      <w:bookmarkStart w:id="31" w:name="_Toc233282402"/>
      <w:r w:rsidRPr="000F6CD1">
        <w:t xml:space="preserve">About the </w:t>
      </w:r>
      <w:r w:rsidRPr="00EA59D2">
        <w:rPr>
          <w:i/>
          <w:iCs/>
        </w:rPr>
        <w:t>Aged Care Act 2024</w:t>
      </w:r>
      <w:bookmarkEnd w:id="29"/>
      <w:bookmarkEnd w:id="30"/>
      <w:bookmarkEnd w:id="31"/>
    </w:p>
    <w:p w14:paraId="73B686BE" w14:textId="020A498D" w:rsidR="00876FAC" w:rsidRPr="000F6CD1" w:rsidRDefault="00876FAC" w:rsidP="008E6691">
      <w:pPr>
        <w:spacing w:before="240" w:after="240" w:line="240" w:lineRule="auto"/>
      </w:pPr>
      <w:r w:rsidRPr="000F6CD1">
        <w:t>The</w:t>
      </w:r>
      <w:r w:rsidR="00AD302F" w:rsidRPr="000F6CD1">
        <w:t xml:space="preserve"> </w:t>
      </w:r>
      <w:r w:rsidR="00AD302F" w:rsidRPr="000F6CD1">
        <w:rPr>
          <w:i/>
        </w:rPr>
        <w:t>Aged Care Act 2024</w:t>
      </w:r>
      <w:r w:rsidR="00AD302F" w:rsidRPr="000F6CD1">
        <w:t xml:space="preserve"> (the</w:t>
      </w:r>
      <w:r w:rsidRPr="000F6CD1">
        <w:t> Act</w:t>
      </w:r>
      <w:r w:rsidR="00AD302F" w:rsidRPr="000F6CD1">
        <w:t>)</w:t>
      </w:r>
      <w:r w:rsidRPr="000F6CD1">
        <w:t xml:space="preserve"> is rights-based legislation designed to put older people at the heart of the aged care system. It includes a Statement of Rights and a Statement of Principles to ensure the focus remains on the needs and well-being of older people. The Act provides a framework to deliver high-quality, safe, and respectful funded aged care services while empowering those who receive them.</w:t>
      </w:r>
    </w:p>
    <w:p w14:paraId="3C5C0EA6" w14:textId="77777777" w:rsidR="00876FAC" w:rsidRPr="000F6CD1" w:rsidRDefault="00876FAC" w:rsidP="008E6691">
      <w:pPr>
        <w:spacing w:before="240" w:after="240" w:line="240" w:lineRule="auto"/>
      </w:pPr>
      <w:r w:rsidRPr="000F6CD1">
        <w:t>The Act upholds these rights through:</w:t>
      </w:r>
    </w:p>
    <w:p w14:paraId="32AAD83D" w14:textId="77777777" w:rsidR="00876FAC" w:rsidRPr="000F6CD1" w:rsidRDefault="00876FAC" w:rsidP="008E6691">
      <w:pPr>
        <w:pStyle w:val="ListParagraph"/>
        <w:numPr>
          <w:ilvl w:val="0"/>
          <w:numId w:val="46"/>
        </w:numPr>
        <w:spacing w:before="240" w:after="240" w:line="240" w:lineRule="auto"/>
      </w:pPr>
      <w:r w:rsidRPr="000F6CD1">
        <w:rPr>
          <w:b/>
          <w:bCs/>
        </w:rPr>
        <w:t>Strong Legal Foundations</w:t>
      </w:r>
      <w:r w:rsidRPr="000F6CD1">
        <w:t>:  The Act establishes a person-centred aged care system, and the objects of the Act give effect to Australia’s obligations under international human rights treaties, ensuring a robust legal basis.</w:t>
      </w:r>
    </w:p>
    <w:p w14:paraId="5F365F25" w14:textId="77777777" w:rsidR="00876FAC" w:rsidRPr="000F6CD1" w:rsidRDefault="00876FAC" w:rsidP="008E6691">
      <w:pPr>
        <w:pStyle w:val="ListParagraph"/>
        <w:numPr>
          <w:ilvl w:val="0"/>
          <w:numId w:val="46"/>
        </w:numPr>
        <w:spacing w:before="240" w:after="240" w:line="240" w:lineRule="auto"/>
      </w:pPr>
      <w:r w:rsidRPr="000F6CD1">
        <w:rPr>
          <w:b/>
          <w:bCs/>
        </w:rPr>
        <w:t>Independent Oversight</w:t>
      </w:r>
      <w:r w:rsidRPr="000F6CD1">
        <w:t>: The Act introduces mechanisms for independent system oversight, promoting accountability and fairness within the aged care system.</w:t>
      </w:r>
    </w:p>
    <w:p w14:paraId="43ECF71E" w14:textId="77777777" w:rsidR="00876FAC" w:rsidRPr="000F6CD1" w:rsidRDefault="00876FAC" w:rsidP="008E6691">
      <w:pPr>
        <w:pStyle w:val="ListParagraph"/>
        <w:numPr>
          <w:ilvl w:val="0"/>
          <w:numId w:val="46"/>
        </w:numPr>
        <w:spacing w:before="240" w:after="240" w:line="240" w:lineRule="auto"/>
      </w:pPr>
      <w:r w:rsidRPr="000F6CD1">
        <w:rPr>
          <w:b/>
          <w:bCs/>
        </w:rPr>
        <w:t>Equitable Access</w:t>
      </w:r>
      <w:r w:rsidRPr="000F6CD1">
        <w:t>: It ensures that all individuals are assessed against a culturally safe and appropriate single assessment framework, facilitating fair access to aged care services.</w:t>
      </w:r>
    </w:p>
    <w:p w14:paraId="74D10A38" w14:textId="77777777" w:rsidR="00876FAC" w:rsidRPr="000F6CD1" w:rsidRDefault="00876FAC" w:rsidP="008E6691">
      <w:pPr>
        <w:spacing w:before="240" w:after="240" w:line="240" w:lineRule="auto"/>
      </w:pPr>
      <w:r w:rsidRPr="000F6CD1">
        <w:t>This structure is designed to ensure that aged care services are fair, accessible, and centred on the dignity and rights of older people.</w:t>
      </w:r>
    </w:p>
    <w:p w14:paraId="307A5F3C" w14:textId="77777777" w:rsidR="00005C08" w:rsidRPr="000F6CD1" w:rsidRDefault="00005C08" w:rsidP="008E6691">
      <w:pPr>
        <w:spacing w:before="240" w:after="240" w:line="240" w:lineRule="auto"/>
      </w:pPr>
      <w:bookmarkStart w:id="32" w:name="_Statement_of_Rights"/>
      <w:bookmarkStart w:id="33" w:name="_Toc198813635"/>
      <w:bookmarkStart w:id="34" w:name="CH1_StatementofRightsandPrinciples"/>
      <w:bookmarkEnd w:id="32"/>
      <w:r w:rsidRPr="000F6CD1">
        <w:t>The Act</w:t>
      </w:r>
      <w:r w:rsidRPr="000F6CD1">
        <w:rPr>
          <w:i/>
          <w:iCs/>
        </w:rPr>
        <w:t> </w:t>
      </w:r>
      <w:r w:rsidRPr="000F6CD1">
        <w:t>is structured into eight chapters, each focusing on different aspects of the aged care system. These are summarised below.</w:t>
      </w:r>
    </w:p>
    <w:p w14:paraId="61A45F21" w14:textId="34344CF1" w:rsidR="00005C08" w:rsidRPr="000F6CD1" w:rsidRDefault="00005C08" w:rsidP="008E6691">
      <w:pPr>
        <w:spacing w:before="240" w:after="240" w:line="240" w:lineRule="auto"/>
      </w:pPr>
      <w:r w:rsidRPr="000F6CD1">
        <w:t xml:space="preserve">The most relevant areas of the Act for </w:t>
      </w:r>
      <w:r w:rsidR="00340BA0" w:rsidRPr="000F6CD1">
        <w:t>assessment organisations</w:t>
      </w:r>
      <w:r w:rsidRPr="000F6CD1">
        <w:t xml:space="preserve"> are </w:t>
      </w:r>
      <w:r w:rsidR="00E14833" w:rsidRPr="000F6CD1">
        <w:t xml:space="preserve">in </w:t>
      </w:r>
      <w:r w:rsidRPr="000F6CD1">
        <w:t>Chapter 2 which explains eligibility and assessment processes, and Chapter 8 which covers reconsiderations, decision reviews, and delegation provisions.</w:t>
      </w:r>
    </w:p>
    <w:p w14:paraId="79E26920" w14:textId="7C70DB65" w:rsidR="00005C08" w:rsidRPr="000F6CD1" w:rsidRDefault="00005C08" w:rsidP="008E6691">
      <w:pPr>
        <w:spacing w:before="240" w:after="240" w:line="240" w:lineRule="auto"/>
      </w:pPr>
      <w:r w:rsidRPr="000F6CD1">
        <w:rPr>
          <w:b/>
          <w:bCs/>
        </w:rPr>
        <w:t>Chapter 1 – Introduction</w:t>
      </w:r>
      <w:r w:rsidRPr="000F6CD1">
        <w:br/>
        <w:t xml:space="preserve">This Chapter establishes the purpose, objectives, and scope of the Act. It introduces the key principles that underpin the </w:t>
      </w:r>
      <w:r w:rsidR="004C7FD7" w:rsidRPr="000F6CD1">
        <w:t>Act</w:t>
      </w:r>
      <w:r w:rsidRPr="000F6CD1">
        <w:t xml:space="preserve">, including the Statement of Rights and the Statement of Principles, which </w:t>
      </w:r>
      <w:r w:rsidR="00CF0016" w:rsidRPr="000F6CD1">
        <w:t>recognise</w:t>
      </w:r>
      <w:r w:rsidRPr="000F6CD1">
        <w:t xml:space="preserve"> the rights, dignity, and autonomy of older Australians. The Chapter also defines important concepts and terminology used throughout the Act, ensuring consistency in interpretation and application. This Chapter also includes the aged care service list (Prescribed in the </w:t>
      </w:r>
      <w:r w:rsidRPr="000F6CD1">
        <w:rPr>
          <w:i/>
          <w:iCs/>
        </w:rPr>
        <w:t>Aged Care Rules 2025</w:t>
      </w:r>
      <w:r w:rsidRPr="000F6CD1">
        <w:t xml:space="preserve"> </w:t>
      </w:r>
      <w:r w:rsidR="009A45DE" w:rsidRPr="000F6CD1">
        <w:t>in Part 3</w:t>
      </w:r>
      <w:r w:rsidRPr="000F6CD1">
        <w:t xml:space="preserve">). </w:t>
      </w:r>
    </w:p>
    <w:p w14:paraId="7DE7DF4A" w14:textId="751883A2" w:rsidR="00005C08" w:rsidRPr="000F6CD1" w:rsidRDefault="00005C08" w:rsidP="008E6691">
      <w:pPr>
        <w:spacing w:before="240" w:after="240" w:line="240" w:lineRule="auto"/>
        <w:rPr>
          <w:b/>
          <w:bCs/>
        </w:rPr>
      </w:pPr>
      <w:r w:rsidRPr="000F6CD1">
        <w:rPr>
          <w:b/>
          <w:bCs/>
        </w:rPr>
        <w:lastRenderedPageBreak/>
        <w:t xml:space="preserve">Chapter 2 – Entry to the </w:t>
      </w:r>
      <w:r w:rsidR="00B713A1" w:rsidRPr="000F6CD1">
        <w:rPr>
          <w:b/>
          <w:bCs/>
        </w:rPr>
        <w:t>Australian Aged Care System</w:t>
      </w:r>
    </w:p>
    <w:p w14:paraId="436E2506" w14:textId="77777777" w:rsidR="00005C08" w:rsidRPr="000F6CD1" w:rsidRDefault="00005C08" w:rsidP="008E6691">
      <w:pPr>
        <w:spacing w:before="240" w:after="240" w:line="240" w:lineRule="auto"/>
        <w:ind w:right="-330"/>
      </w:pPr>
      <w:r w:rsidRPr="000F6CD1">
        <w:t>This Chapter includes the requirements for an individual to access government-funded aged care services. It details the eligibility criteria for aged care needs assessments, the aged care needs assessment process, and how individuals are approved for services. Additionally, it covers the approach to classifying the level of funding required, how priority for services is established, and the allocation of available aged care places to individuals and providers.</w:t>
      </w:r>
    </w:p>
    <w:p w14:paraId="738F3CDB" w14:textId="4A2EEE88" w:rsidR="00005C08" w:rsidRPr="000F6CD1" w:rsidRDefault="00005C08" w:rsidP="008E6691">
      <w:pPr>
        <w:spacing w:before="240" w:after="240" w:line="240" w:lineRule="auto"/>
        <w:rPr>
          <w:b/>
          <w:bCs/>
        </w:rPr>
      </w:pPr>
      <w:r w:rsidRPr="000F6CD1">
        <w:rPr>
          <w:b/>
          <w:bCs/>
        </w:rPr>
        <w:t xml:space="preserve">Chapter 3 – Registered </w:t>
      </w:r>
      <w:r w:rsidR="00691A68" w:rsidRPr="000F6CD1">
        <w:rPr>
          <w:b/>
          <w:bCs/>
        </w:rPr>
        <w:t>p</w:t>
      </w:r>
      <w:r w:rsidRPr="000F6CD1">
        <w:rPr>
          <w:b/>
          <w:bCs/>
        </w:rPr>
        <w:t xml:space="preserve">roviders, </w:t>
      </w:r>
      <w:r w:rsidR="00691A68" w:rsidRPr="000F6CD1">
        <w:rPr>
          <w:b/>
          <w:bCs/>
        </w:rPr>
        <w:t>a</w:t>
      </w:r>
      <w:r w:rsidRPr="000F6CD1">
        <w:rPr>
          <w:b/>
          <w:bCs/>
        </w:rPr>
        <w:t xml:space="preserve">ged </w:t>
      </w:r>
      <w:r w:rsidR="00691A68" w:rsidRPr="000F6CD1">
        <w:rPr>
          <w:b/>
          <w:bCs/>
        </w:rPr>
        <w:t>c</w:t>
      </w:r>
      <w:r w:rsidRPr="000F6CD1">
        <w:rPr>
          <w:b/>
          <w:bCs/>
        </w:rPr>
        <w:t xml:space="preserve">are </w:t>
      </w:r>
      <w:r w:rsidR="00691A68" w:rsidRPr="000F6CD1">
        <w:rPr>
          <w:b/>
          <w:bCs/>
        </w:rPr>
        <w:t>w</w:t>
      </w:r>
      <w:r w:rsidRPr="000F6CD1">
        <w:rPr>
          <w:b/>
          <w:bCs/>
        </w:rPr>
        <w:t xml:space="preserve">orkers, and </w:t>
      </w:r>
      <w:r w:rsidR="00691A68" w:rsidRPr="000F6CD1">
        <w:rPr>
          <w:b/>
          <w:bCs/>
        </w:rPr>
        <w:t>d</w:t>
      </w:r>
      <w:r w:rsidRPr="000F6CD1">
        <w:rPr>
          <w:b/>
          <w:bCs/>
        </w:rPr>
        <w:t xml:space="preserve">igital </w:t>
      </w:r>
      <w:r w:rsidR="00691A68" w:rsidRPr="000F6CD1">
        <w:rPr>
          <w:b/>
          <w:bCs/>
        </w:rPr>
        <w:t>p</w:t>
      </w:r>
      <w:r w:rsidRPr="000F6CD1">
        <w:rPr>
          <w:b/>
          <w:bCs/>
        </w:rPr>
        <w:t xml:space="preserve">latform </w:t>
      </w:r>
      <w:r w:rsidR="00536444" w:rsidRPr="000F6CD1">
        <w:rPr>
          <w:b/>
          <w:bCs/>
        </w:rPr>
        <w:t>operators</w:t>
      </w:r>
    </w:p>
    <w:p w14:paraId="591E8A0E" w14:textId="77777777" w:rsidR="00005C08" w:rsidRPr="000F6CD1" w:rsidRDefault="00005C08" w:rsidP="008E6691">
      <w:pPr>
        <w:spacing w:before="240" w:after="240" w:line="240" w:lineRule="auto"/>
      </w:pPr>
      <w:r w:rsidRPr="000F6CD1">
        <w:t>This Chapter focuses on aged care service providers, aged care workers, and the digital platforms that support aged care services. It sets out the registration process for providers, the approval process for residential care homes, and the conditions and obligations that registered providers must meet. It also outlines requirements for aged care workers, governance structures, and compliance responsibilities, ensuring service quality and accountability.</w:t>
      </w:r>
    </w:p>
    <w:p w14:paraId="03A31587" w14:textId="3774DF9C" w:rsidR="00005C08" w:rsidRPr="000F6CD1" w:rsidRDefault="00005C08" w:rsidP="008E6691">
      <w:pPr>
        <w:keepNext/>
        <w:keepLines/>
        <w:spacing w:before="240" w:after="240" w:line="240" w:lineRule="auto"/>
        <w:rPr>
          <w:b/>
          <w:bCs/>
        </w:rPr>
      </w:pPr>
      <w:r w:rsidRPr="000F6CD1">
        <w:rPr>
          <w:b/>
          <w:bCs/>
        </w:rPr>
        <w:t xml:space="preserve">Chapter 4 – Funding of </w:t>
      </w:r>
      <w:r w:rsidR="00691A68" w:rsidRPr="000F6CD1">
        <w:rPr>
          <w:b/>
          <w:bCs/>
        </w:rPr>
        <w:t>a</w:t>
      </w:r>
      <w:r w:rsidRPr="000F6CD1">
        <w:rPr>
          <w:b/>
          <w:bCs/>
        </w:rPr>
        <w:t xml:space="preserve">ged </w:t>
      </w:r>
      <w:r w:rsidR="00691A68" w:rsidRPr="000F6CD1">
        <w:rPr>
          <w:b/>
          <w:bCs/>
        </w:rPr>
        <w:t>c</w:t>
      </w:r>
      <w:r w:rsidRPr="000F6CD1">
        <w:rPr>
          <w:b/>
          <w:bCs/>
        </w:rPr>
        <w:t xml:space="preserve">are </w:t>
      </w:r>
      <w:r w:rsidR="00691A68" w:rsidRPr="000F6CD1">
        <w:rPr>
          <w:b/>
          <w:bCs/>
        </w:rPr>
        <w:t>s</w:t>
      </w:r>
      <w:r w:rsidRPr="000F6CD1">
        <w:rPr>
          <w:b/>
          <w:bCs/>
        </w:rPr>
        <w:t>ervices</w:t>
      </w:r>
    </w:p>
    <w:p w14:paraId="227D98BD" w14:textId="45009C94" w:rsidR="00005C08" w:rsidRPr="000F6CD1" w:rsidRDefault="00005C08" w:rsidP="008E6691">
      <w:pPr>
        <w:keepNext/>
        <w:keepLines/>
        <w:spacing w:before="240" w:after="240" w:line="240" w:lineRule="auto"/>
      </w:pPr>
      <w:r w:rsidRPr="000F6CD1">
        <w:t xml:space="preserve">This Chapter details how the Commonwealth funds aged care services, including whether that funding is through subsidies or grant based. This Chapter also sets out the individual fees and contributions that are payable for funded aged care services. It explains the funding structures for home support, assistive </w:t>
      </w:r>
      <w:r w:rsidR="002C05F7" w:rsidRPr="000F6CD1">
        <w:t>technology,</w:t>
      </w:r>
      <w:r w:rsidRPr="000F6CD1">
        <w:t xml:space="preserve"> home </w:t>
      </w:r>
      <w:r w:rsidR="002C05F7" w:rsidRPr="000F6CD1">
        <w:t>modifications,</w:t>
      </w:r>
      <w:r w:rsidR="00B42A3C" w:rsidRPr="000F6CD1">
        <w:t xml:space="preserve"> </w:t>
      </w:r>
      <w:r w:rsidRPr="000F6CD1">
        <w:t>and residential care services. It also outlines means-testing rules, financial obligations of individuals accessing services, and mechanisms for subsidy payments to registered providers. This ensures a fair and sustainable funding model that aligns with individuals' financial circumstances.</w:t>
      </w:r>
    </w:p>
    <w:p w14:paraId="47594315" w14:textId="33C1014C" w:rsidR="00005C08" w:rsidRPr="000F6CD1" w:rsidRDefault="00005C08" w:rsidP="008E6691">
      <w:pPr>
        <w:spacing w:before="240" w:after="240" w:line="240" w:lineRule="auto"/>
        <w:rPr>
          <w:b/>
          <w:bCs/>
        </w:rPr>
      </w:pPr>
      <w:r w:rsidRPr="000F6CD1">
        <w:rPr>
          <w:b/>
          <w:bCs/>
        </w:rPr>
        <w:t xml:space="preserve">Chapter 5 – Governance of the </w:t>
      </w:r>
      <w:r w:rsidR="00691A68" w:rsidRPr="000F6CD1">
        <w:rPr>
          <w:b/>
          <w:bCs/>
        </w:rPr>
        <w:t>a</w:t>
      </w:r>
      <w:r w:rsidRPr="000F6CD1">
        <w:rPr>
          <w:b/>
          <w:bCs/>
        </w:rPr>
        <w:t xml:space="preserve">ged </w:t>
      </w:r>
      <w:r w:rsidR="00691A68" w:rsidRPr="000F6CD1">
        <w:rPr>
          <w:b/>
          <w:bCs/>
        </w:rPr>
        <w:t>c</w:t>
      </w:r>
      <w:r w:rsidRPr="000F6CD1">
        <w:rPr>
          <w:b/>
          <w:bCs/>
        </w:rPr>
        <w:t xml:space="preserve">are </w:t>
      </w:r>
      <w:r w:rsidR="00691A68" w:rsidRPr="000F6CD1">
        <w:rPr>
          <w:b/>
          <w:bCs/>
        </w:rPr>
        <w:t>s</w:t>
      </w:r>
      <w:r w:rsidRPr="000F6CD1">
        <w:rPr>
          <w:b/>
          <w:bCs/>
        </w:rPr>
        <w:t>ystem</w:t>
      </w:r>
    </w:p>
    <w:p w14:paraId="466F4DDA" w14:textId="5115C221" w:rsidR="00005C08" w:rsidRPr="000F6CD1" w:rsidRDefault="00005C08" w:rsidP="008E6691">
      <w:pPr>
        <w:spacing w:before="240" w:after="240" w:line="240" w:lineRule="auto"/>
        <w:ind w:right="-330"/>
      </w:pPr>
      <w:r w:rsidRPr="000F6CD1">
        <w:t xml:space="preserve">This Chapter establishes the underlying governance of the broader aged care system. It establishes roles such as the System Governor, Aged Care Quality and Safety Commissioner, and Complaints Commissioner, detailing their responsibilities in ensuring compliance, investigating concerns, and enforcing </w:t>
      </w:r>
      <w:r w:rsidR="00E22CE3" w:rsidRPr="000F6CD1">
        <w:t>the Aged Care Q</w:t>
      </w:r>
      <w:r w:rsidRPr="000F6CD1">
        <w:t xml:space="preserve">uality </w:t>
      </w:r>
      <w:r w:rsidR="00E22CE3" w:rsidRPr="000F6CD1">
        <w:t>S</w:t>
      </w:r>
      <w:r w:rsidRPr="000F6CD1">
        <w:t>tandards. It also establishes the Aged Care Quality and Safety Advisory Council, who provides expert advice to improve aged care services and regulatory approaches.</w:t>
      </w:r>
    </w:p>
    <w:p w14:paraId="370A7A24" w14:textId="40FFC214" w:rsidR="00005C08" w:rsidRPr="000F6CD1" w:rsidRDefault="00005C08" w:rsidP="008E6691">
      <w:pPr>
        <w:spacing w:before="240" w:after="240" w:line="240" w:lineRule="auto"/>
        <w:rPr>
          <w:b/>
          <w:bCs/>
        </w:rPr>
      </w:pPr>
      <w:r w:rsidRPr="000F6CD1">
        <w:rPr>
          <w:b/>
          <w:bCs/>
        </w:rPr>
        <w:t xml:space="preserve">Chapter 6 – Regulatory </w:t>
      </w:r>
      <w:r w:rsidR="00691A68" w:rsidRPr="000F6CD1">
        <w:rPr>
          <w:b/>
          <w:bCs/>
        </w:rPr>
        <w:t>m</w:t>
      </w:r>
      <w:r w:rsidRPr="000F6CD1">
        <w:rPr>
          <w:b/>
          <w:bCs/>
        </w:rPr>
        <w:t>echanisms</w:t>
      </w:r>
    </w:p>
    <w:p w14:paraId="27FC77AB" w14:textId="52D57231" w:rsidR="00005C08" w:rsidRPr="000F6CD1" w:rsidRDefault="00005C08" w:rsidP="008E6691">
      <w:pPr>
        <w:spacing w:before="240" w:after="240" w:line="240" w:lineRule="auto"/>
        <w:ind w:right="-330"/>
      </w:pPr>
      <w:r w:rsidRPr="000F6CD1">
        <w:t>This Chapter outlines the enforcement measures in place to ensure aged care providers comply with legal and quality standards. It details the monitoring and investigation processes, including the use of compliance notices, banning orders, civil penalties, and enforceable undertakings. The Chapter also covers whistleblower protections and the legal mechanisms available to investigate and address regulatory breaches, ensuring transparency and accountability in the sector.</w:t>
      </w:r>
    </w:p>
    <w:p w14:paraId="1B87A4A1" w14:textId="613E96D1" w:rsidR="00005C08" w:rsidRPr="000F6CD1" w:rsidRDefault="00005C08" w:rsidP="008E6691">
      <w:pPr>
        <w:spacing w:before="240" w:after="240" w:line="240" w:lineRule="auto"/>
        <w:rPr>
          <w:b/>
          <w:bCs/>
        </w:rPr>
      </w:pPr>
      <w:r w:rsidRPr="000F6CD1">
        <w:rPr>
          <w:b/>
          <w:bCs/>
        </w:rPr>
        <w:t xml:space="preserve">Chapter 7 – Information </w:t>
      </w:r>
      <w:r w:rsidR="00691A68" w:rsidRPr="000F6CD1">
        <w:rPr>
          <w:b/>
          <w:bCs/>
        </w:rPr>
        <w:t>m</w:t>
      </w:r>
      <w:r w:rsidRPr="000F6CD1">
        <w:rPr>
          <w:b/>
          <w:bCs/>
        </w:rPr>
        <w:t>anagement</w:t>
      </w:r>
    </w:p>
    <w:p w14:paraId="3DC36F3C" w14:textId="77777777" w:rsidR="00005C08" w:rsidRPr="000F6CD1" w:rsidRDefault="00005C08" w:rsidP="008E6691">
      <w:pPr>
        <w:spacing w:before="240" w:after="240" w:line="240" w:lineRule="auto"/>
      </w:pPr>
      <w:r w:rsidRPr="000F6CD1">
        <w:t>This Chapter establishes the rules for handling aged care data, privacy, and information sharing. It sets out record-keeping requirements for providers and government agencies and outlines protections against the misuse of sensitive personal information. The Chapter also introduces whistleblower protections and mechanisms for publishing key information about aged care providers and services, ensuring transparency and public trust in the system.</w:t>
      </w:r>
    </w:p>
    <w:p w14:paraId="6D88BCA2" w14:textId="35A39663" w:rsidR="00BC7221" w:rsidRPr="000F6CD1" w:rsidRDefault="00BC7221" w:rsidP="00BC7221">
      <w:r w:rsidRPr="000F6CD1">
        <w:br w:type="page"/>
      </w:r>
    </w:p>
    <w:p w14:paraId="0D8F13DC" w14:textId="77777777" w:rsidR="00005C08" w:rsidRPr="000F6CD1" w:rsidRDefault="00005C08" w:rsidP="008E6691">
      <w:pPr>
        <w:spacing w:before="240" w:after="240" w:line="240" w:lineRule="auto"/>
        <w:rPr>
          <w:b/>
          <w:bCs/>
        </w:rPr>
      </w:pPr>
      <w:r w:rsidRPr="000F6CD1">
        <w:rPr>
          <w:b/>
          <w:bCs/>
        </w:rPr>
        <w:lastRenderedPageBreak/>
        <w:t>Chapter 8 – Miscellaneous</w:t>
      </w:r>
    </w:p>
    <w:p w14:paraId="44F9A834" w14:textId="747AC20F" w:rsidR="00005C08" w:rsidRPr="000F6CD1" w:rsidRDefault="00005C08" w:rsidP="008E6691">
      <w:pPr>
        <w:spacing w:before="240" w:after="240" w:line="240" w:lineRule="auto"/>
      </w:pPr>
      <w:r w:rsidRPr="000F6CD1">
        <w:t xml:space="preserve">The final Chapter covers additional provisions, including the reconsideration (review) and appeal processes available to individuals and providers regarding decisions made under the </w:t>
      </w:r>
      <w:r w:rsidR="006A7E4B" w:rsidRPr="000F6CD1">
        <w:rPr>
          <w:i/>
        </w:rPr>
        <w:t xml:space="preserve">Aged Care </w:t>
      </w:r>
      <w:r w:rsidRPr="000F6CD1">
        <w:rPr>
          <w:i/>
        </w:rPr>
        <w:t>Act</w:t>
      </w:r>
      <w:r w:rsidR="006A7E4B" w:rsidRPr="000F6CD1">
        <w:rPr>
          <w:i/>
        </w:rPr>
        <w:t xml:space="preserve"> 2024 (the Act</w:t>
      </w:r>
      <w:r w:rsidR="006A7E4B" w:rsidRPr="000F6CD1">
        <w:t>)</w:t>
      </w:r>
      <w:r w:rsidRPr="000F6CD1">
        <w:t>. It details delegation powers, administrative automation, financial provisions, and the Minister's authority to make rules under the Act. This Chapter also mandates periodic reviews of the legislation to ensure it remains effective and responsive to the evolving needs of the aged care sector.</w:t>
      </w:r>
    </w:p>
    <w:p w14:paraId="38B69F18" w14:textId="5D3F1C5E" w:rsidR="00005C08" w:rsidRPr="000F6CD1" w:rsidRDefault="00005C08" w:rsidP="008E6691">
      <w:pPr>
        <w:spacing w:before="240" w:after="240" w:line="240" w:lineRule="auto"/>
        <w:rPr>
          <w:b/>
          <w:bCs/>
        </w:rPr>
      </w:pPr>
      <w:r w:rsidRPr="000F6CD1">
        <w:rPr>
          <w:b/>
          <w:bCs/>
        </w:rPr>
        <w:t xml:space="preserve">Subordinate </w:t>
      </w:r>
      <w:r w:rsidR="00691A68" w:rsidRPr="000F6CD1">
        <w:rPr>
          <w:b/>
          <w:bCs/>
        </w:rPr>
        <w:t>l</w:t>
      </w:r>
      <w:r w:rsidRPr="000F6CD1">
        <w:rPr>
          <w:b/>
          <w:bCs/>
        </w:rPr>
        <w:t xml:space="preserve">egislation </w:t>
      </w:r>
    </w:p>
    <w:p w14:paraId="51022B24" w14:textId="53E33993" w:rsidR="00005C08" w:rsidRPr="000F6CD1" w:rsidRDefault="00005C08" w:rsidP="008E6691">
      <w:pPr>
        <w:spacing w:before="240" w:after="240" w:line="240" w:lineRule="auto"/>
        <w:rPr>
          <w:i/>
        </w:rPr>
      </w:pPr>
      <w:r w:rsidRPr="000F6CD1">
        <w:t>The Act</w:t>
      </w:r>
      <w:r w:rsidRPr="000F6CD1">
        <w:rPr>
          <w:i/>
          <w:iCs/>
        </w:rPr>
        <w:t xml:space="preserve"> </w:t>
      </w:r>
      <w:r w:rsidRPr="000F6CD1">
        <w:t xml:space="preserve">is supported by subordinate legislation the </w:t>
      </w:r>
      <w:r w:rsidR="00DA0E33" w:rsidRPr="000F6CD1">
        <w:rPr>
          <w:i/>
          <w:iCs/>
        </w:rPr>
        <w:t xml:space="preserve">Aged Care </w:t>
      </w:r>
      <w:r w:rsidRPr="000F6CD1">
        <w:rPr>
          <w:i/>
          <w:iCs/>
        </w:rPr>
        <w:t>Rules</w:t>
      </w:r>
      <w:r w:rsidR="00DA0E33" w:rsidRPr="000F6CD1">
        <w:rPr>
          <w:i/>
          <w:iCs/>
        </w:rPr>
        <w:t xml:space="preserve"> 2025</w:t>
      </w:r>
      <w:r w:rsidR="00A0511E" w:rsidRPr="000F6CD1">
        <w:rPr>
          <w:i/>
          <w:iCs/>
        </w:rPr>
        <w:t xml:space="preserve"> (the Rules)</w:t>
      </w:r>
      <w:r w:rsidRPr="000F6CD1">
        <w:t xml:space="preserve">. The Rules </w:t>
      </w:r>
      <w:r w:rsidR="00C86A53" w:rsidRPr="000F6CD1">
        <w:t>s</w:t>
      </w:r>
      <w:r w:rsidRPr="000F6CD1">
        <w:t xml:space="preserve">it underneath the Act and provide further detail and instruction on how the Act operates. There are two distinct bodies of Rules which will support the Act. Transitional Rules which deal with </w:t>
      </w:r>
      <w:r w:rsidR="00C86A53" w:rsidRPr="000F6CD1">
        <w:t xml:space="preserve">transitional </w:t>
      </w:r>
      <w:r w:rsidRPr="000F6CD1">
        <w:t xml:space="preserve">matters not </w:t>
      </w:r>
      <w:r w:rsidR="00C86A53" w:rsidRPr="000F6CD1">
        <w:t xml:space="preserve">already </w:t>
      </w:r>
      <w:r w:rsidRPr="000F6CD1">
        <w:t xml:space="preserve">addressed by the </w:t>
      </w:r>
      <w:r w:rsidRPr="000F6CD1">
        <w:rPr>
          <w:i/>
          <w:iCs/>
        </w:rPr>
        <w:t xml:space="preserve">Aged Care (Consequential Amendments and Transitional Provision) Act 2024 </w:t>
      </w:r>
      <w:r w:rsidRPr="000F6CD1">
        <w:t xml:space="preserve">and the </w:t>
      </w:r>
      <w:r w:rsidRPr="000F6CD1">
        <w:rPr>
          <w:i/>
          <w:iCs/>
        </w:rPr>
        <w:t xml:space="preserve">Aged Care Rules 2025. </w:t>
      </w:r>
    </w:p>
    <w:tbl>
      <w:tblPr>
        <w:tblStyle w:val="TableGrid"/>
        <w:tblW w:w="0" w:type="auto"/>
        <w:tblLook w:val="04A0" w:firstRow="1" w:lastRow="0" w:firstColumn="1" w:lastColumn="0" w:noHBand="0" w:noVBand="1"/>
      </w:tblPr>
      <w:tblGrid>
        <w:gridCol w:w="988"/>
        <w:gridCol w:w="8028"/>
      </w:tblGrid>
      <w:tr w:rsidR="00005C08" w:rsidRPr="000F6CD1" w14:paraId="337D7336" w14:textId="77777777" w:rsidTr="000416E5">
        <w:trPr>
          <w:trHeight w:val="300"/>
        </w:trPr>
        <w:tc>
          <w:tcPr>
            <w:tcW w:w="988" w:type="dxa"/>
            <w:vAlign w:val="center"/>
          </w:tcPr>
          <w:p w14:paraId="5B3DF299" w14:textId="77777777" w:rsidR="00005C08" w:rsidRPr="000F6CD1" w:rsidRDefault="00005C08" w:rsidP="008E6691">
            <w:pPr>
              <w:spacing w:before="240" w:after="240"/>
            </w:pPr>
            <w:r w:rsidRPr="000F6CD1">
              <w:rPr>
                <w:noProof/>
              </w:rPr>
              <w:drawing>
                <wp:inline distT="0" distB="0" distL="0" distR="0" wp14:anchorId="1F9DC4C0" wp14:editId="0291BE8A">
                  <wp:extent cx="447675" cy="438150"/>
                  <wp:effectExtent l="0" t="0" r="0" b="0"/>
                  <wp:docPr id="575934271" name="Picture 5759342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34271"/>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7290AE59" w14:textId="473846D6" w:rsidR="00005C08" w:rsidRPr="000F6CD1" w:rsidRDefault="00965D82" w:rsidP="008E6691">
            <w:pPr>
              <w:spacing w:before="240" w:after="240"/>
            </w:pPr>
            <w:hyperlink r:id="rId43" w:history="1">
              <w:r w:rsidRPr="000F6CD1">
                <w:rPr>
                  <w:rStyle w:val="Hyperlink"/>
                </w:rPr>
                <w:t>About the new rights-based Aged Care Act | Australian Government Department of Health, Disability and Ageing</w:t>
              </w:r>
            </w:hyperlink>
          </w:p>
        </w:tc>
      </w:tr>
    </w:tbl>
    <w:p w14:paraId="6EB9A13A" w14:textId="77777777" w:rsidR="00005C08" w:rsidRPr="000F6CD1" w:rsidRDefault="00005C08" w:rsidP="006647CE">
      <w:pPr>
        <w:pStyle w:val="h2"/>
      </w:pPr>
      <w:bookmarkStart w:id="35" w:name="_Toc207291862"/>
      <w:bookmarkStart w:id="36" w:name="_Toc209188935"/>
      <w:bookmarkStart w:id="37" w:name="_Toc233282403"/>
      <w:r w:rsidRPr="000F6CD1">
        <w:t>Statement of Rights and Principles</w:t>
      </w:r>
      <w:bookmarkEnd w:id="33"/>
      <w:bookmarkEnd w:id="35"/>
      <w:bookmarkEnd w:id="36"/>
      <w:bookmarkEnd w:id="37"/>
    </w:p>
    <w:bookmarkEnd w:id="34"/>
    <w:p w14:paraId="626B1A44" w14:textId="77777777" w:rsidR="00005C08" w:rsidRPr="000F6CD1" w:rsidRDefault="00005C08" w:rsidP="008E6691">
      <w:pPr>
        <w:spacing w:before="240" w:after="240" w:line="240" w:lineRule="auto"/>
      </w:pPr>
      <w:r w:rsidRPr="000F6CD1">
        <w:t xml:space="preserve">The Statement of Rights and the Statement of Principles support a person-centred aged care system, ensuring older people receive equitable, safe and quality care. </w:t>
      </w:r>
    </w:p>
    <w:p w14:paraId="41DB87A2" w14:textId="2C824555" w:rsidR="00005C08" w:rsidRPr="000F6CD1" w:rsidRDefault="00005C08" w:rsidP="008E6691">
      <w:pPr>
        <w:spacing w:before="240" w:after="240" w:line="240" w:lineRule="auto"/>
      </w:pPr>
      <w:r w:rsidRPr="000F6CD1">
        <w:t xml:space="preserve">The Statement of Rights and the Statement of Principles are a reference point for the standard of conduct, duties and obligations for when assessment staff, registered providers and </w:t>
      </w:r>
      <w:r w:rsidR="00C86A53" w:rsidRPr="000F6CD1">
        <w:t xml:space="preserve">aged </w:t>
      </w:r>
      <w:r w:rsidRPr="000F6CD1">
        <w:t xml:space="preserve">care workers deliver funded aged care services. </w:t>
      </w:r>
    </w:p>
    <w:p w14:paraId="1DEF1F08" w14:textId="2BC99A56" w:rsidR="00005C08" w:rsidRPr="000F6CD1" w:rsidRDefault="00005C08" w:rsidP="008E6691">
      <w:pPr>
        <w:spacing w:before="240" w:after="240" w:line="240" w:lineRule="auto"/>
        <w:ind w:left="-426"/>
      </w:pPr>
      <w:r w:rsidRPr="000F6CD1">
        <w:rPr>
          <w:noProof/>
        </w:rPr>
        <w:drawing>
          <wp:inline distT="0" distB="0" distL="0" distR="0" wp14:anchorId="2C475DDF" wp14:editId="2FFFACE0">
            <wp:extent cx="6290442" cy="3234188"/>
            <wp:effectExtent l="0" t="0" r="0" b="4445"/>
            <wp:docPr id="811782810" name="Picture 811782810" descr="The figure provides an overview of the Statement of Rights and the Statement of Principles under the Aged Care Act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2810" name="Picture 811782810" descr="The figure provides an overview of the Statement of Rights and the Statement of Principles under the Aged Care Act 2024.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21448" cy="3250130"/>
                    </a:xfrm>
                    <a:prstGeom prst="rect">
                      <a:avLst/>
                    </a:prstGeom>
                  </pic:spPr>
                </pic:pic>
              </a:graphicData>
            </a:graphic>
          </wp:inline>
        </w:drawing>
      </w:r>
    </w:p>
    <w:p w14:paraId="36989DAF" w14:textId="66CEC439" w:rsidR="007C5C5F" w:rsidRPr="000F6CD1" w:rsidRDefault="007C5C5F" w:rsidP="00441859">
      <w:pPr>
        <w:pStyle w:val="Caption"/>
        <w:rPr>
          <w:b w:val="0"/>
          <w:bCs/>
          <w:i/>
          <w:iCs w:val="0"/>
        </w:rPr>
      </w:pPr>
      <w:bookmarkStart w:id="38" w:name="_The_Statement_of"/>
      <w:bookmarkStart w:id="39" w:name="_Toc188019043"/>
      <w:bookmarkStart w:id="40" w:name="_Toc191295019"/>
      <w:bookmarkStart w:id="41" w:name="_Toc207291863"/>
      <w:bookmarkEnd w:id="38"/>
      <w:r w:rsidRPr="000F6CD1">
        <w:rPr>
          <w:b w:val="0"/>
          <w:bCs/>
          <w:i/>
          <w:iCs w:val="0"/>
        </w:rPr>
        <w:t xml:space="preserve">Figure </w:t>
      </w:r>
      <w:r w:rsidR="00BC7221" w:rsidRPr="000F6CD1">
        <w:rPr>
          <w:b w:val="0"/>
          <w:bCs/>
          <w:i/>
          <w:iCs w:val="0"/>
        </w:rPr>
        <w:t>1</w:t>
      </w:r>
      <w:r w:rsidRPr="000F6CD1">
        <w:rPr>
          <w:b w:val="0"/>
          <w:bCs/>
          <w:i/>
          <w:iCs w:val="0"/>
        </w:rPr>
        <w:t xml:space="preserve"> – Aged Care Act 2024 (Cth) Statement of Rights and Principles </w:t>
      </w:r>
    </w:p>
    <w:p w14:paraId="79862CD3" w14:textId="1062E2E3" w:rsidR="00005C08" w:rsidRPr="000F6CD1" w:rsidRDefault="00005C08" w:rsidP="00AD2CE5">
      <w:pPr>
        <w:pStyle w:val="H3"/>
      </w:pPr>
      <w:r w:rsidRPr="000F6CD1">
        <w:lastRenderedPageBreak/>
        <w:t>The Statement of Rights</w:t>
      </w:r>
      <w:bookmarkEnd w:id="39"/>
      <w:bookmarkEnd w:id="40"/>
      <w:bookmarkEnd w:id="41"/>
    </w:p>
    <w:p w14:paraId="2B72A053" w14:textId="30B779D7" w:rsidR="00005C08" w:rsidRPr="000F6CD1" w:rsidRDefault="00005C08" w:rsidP="008E6691">
      <w:pPr>
        <w:spacing w:before="240" w:after="240" w:line="240" w:lineRule="auto"/>
      </w:pPr>
      <w:r w:rsidRPr="000F6CD1">
        <w:t xml:space="preserve">The Statement of Rights (section 23 of the </w:t>
      </w:r>
      <w:r w:rsidR="00572BD0" w:rsidRPr="000F6CD1">
        <w:rPr>
          <w:i/>
        </w:rPr>
        <w:t xml:space="preserve">Aged Care </w:t>
      </w:r>
      <w:r w:rsidRPr="000F6CD1">
        <w:rPr>
          <w:i/>
        </w:rPr>
        <w:t>Act</w:t>
      </w:r>
      <w:r w:rsidR="00572BD0" w:rsidRPr="000F6CD1">
        <w:rPr>
          <w:i/>
        </w:rPr>
        <w:t xml:space="preserve"> 2024</w:t>
      </w:r>
      <w:r w:rsidR="00572BD0" w:rsidRPr="000F6CD1">
        <w:rPr>
          <w:i/>
          <w:iCs/>
        </w:rPr>
        <w:t xml:space="preserve"> (the Act)</w:t>
      </w:r>
      <w:r w:rsidRPr="000F6CD1">
        <w:t xml:space="preserve">) is a fundamental part of the person-centred Act and promotes the older person’s right to </w:t>
      </w:r>
      <w:r w:rsidR="00326F49" w:rsidRPr="000F6CD1">
        <w:t>receive safe, high-quality care in the Commonwealth</w:t>
      </w:r>
      <w:r w:rsidRPr="000F6CD1">
        <w:t xml:space="preserve"> aged care system. </w:t>
      </w:r>
    </w:p>
    <w:p w14:paraId="677D6BCA" w14:textId="06D52AE1" w:rsidR="00005C08" w:rsidRPr="000F6CD1" w:rsidRDefault="00005C08" w:rsidP="008E6691">
      <w:pPr>
        <w:spacing w:before="240" w:after="240" w:line="240" w:lineRule="auto"/>
      </w:pPr>
      <w:r w:rsidRPr="000F6CD1">
        <w:t xml:space="preserve">All assessment staff </w:t>
      </w:r>
      <w:r w:rsidR="004C7F78" w:rsidRPr="000F6CD1">
        <w:t xml:space="preserve">should perform their functions and duties in a way that is </w:t>
      </w:r>
      <w:r w:rsidRPr="000F6CD1">
        <w:t xml:space="preserve">compatible with the rights. Of importance, assessment organisations and their assessment staff </w:t>
      </w:r>
      <w:r w:rsidR="004C7F78" w:rsidRPr="000F6CD1">
        <w:t>should</w:t>
      </w:r>
      <w:r w:rsidRPr="000F6CD1">
        <w:t xml:space="preserve"> ensure that an individual’s need for funded aged care services </w:t>
      </w:r>
      <w:r w:rsidR="004C7F78" w:rsidRPr="000F6CD1">
        <w:t>is</w:t>
      </w:r>
      <w:r w:rsidRPr="000F6CD1">
        <w:t xml:space="preserve"> assessed, or reassessed, in a way that is:</w:t>
      </w:r>
    </w:p>
    <w:p w14:paraId="519D03D7" w14:textId="6FD843CF" w:rsidR="00005C08" w:rsidRPr="000F6CD1" w:rsidRDefault="00005C08" w:rsidP="008E6691">
      <w:pPr>
        <w:pStyle w:val="ListParagraph"/>
        <w:numPr>
          <w:ilvl w:val="0"/>
          <w:numId w:val="2"/>
        </w:numPr>
        <w:spacing w:before="240" w:after="240" w:line="240" w:lineRule="auto"/>
      </w:pPr>
      <w:r w:rsidRPr="000F6CD1">
        <w:t>culturally safe, culturally appropriate, trauma-aware and healing-informed, and</w:t>
      </w:r>
    </w:p>
    <w:p w14:paraId="0FA938AF" w14:textId="7780CB2A" w:rsidR="00005C08" w:rsidRPr="000F6CD1" w:rsidRDefault="00005C08" w:rsidP="008E6691">
      <w:pPr>
        <w:pStyle w:val="ListParagraph"/>
        <w:numPr>
          <w:ilvl w:val="0"/>
          <w:numId w:val="2"/>
        </w:numPr>
        <w:spacing w:before="240" w:after="240" w:line="240" w:lineRule="auto"/>
      </w:pPr>
      <w:r w:rsidRPr="000F6CD1">
        <w:t>accessible and suitable for individuals living with dementia or other cognitive impairment.</w:t>
      </w:r>
    </w:p>
    <w:p w14:paraId="69F0426D" w14:textId="241B2A39" w:rsidR="00005C08" w:rsidRPr="000F6CD1" w:rsidRDefault="00005C08" w:rsidP="00AD2CE5">
      <w:pPr>
        <w:pStyle w:val="H3"/>
      </w:pPr>
      <w:bookmarkStart w:id="42" w:name="_The_Statement_of_1"/>
      <w:bookmarkStart w:id="43" w:name="_Toc188019044"/>
      <w:bookmarkStart w:id="44" w:name="_Toc191295020"/>
      <w:bookmarkStart w:id="45" w:name="_Toc207291864"/>
      <w:bookmarkEnd w:id="42"/>
      <w:r w:rsidRPr="000F6CD1">
        <w:t>The Statement of Principles</w:t>
      </w:r>
      <w:bookmarkEnd w:id="43"/>
      <w:bookmarkEnd w:id="44"/>
      <w:bookmarkEnd w:id="45"/>
    </w:p>
    <w:p w14:paraId="413139EC" w14:textId="7FBFE0BA" w:rsidR="00005C08" w:rsidRPr="000F6CD1" w:rsidRDefault="00005C08" w:rsidP="008E6691">
      <w:pPr>
        <w:spacing w:before="240" w:after="240" w:line="240" w:lineRule="auto"/>
      </w:pPr>
      <w:r w:rsidRPr="000F6CD1">
        <w:t>The Statement of Principles (section 25 of the Act) provide guidance on how the aged care system should operate. It should be used to guide the decisions, actions and behaviours of everyone operating in the aged care system, including assessors, providers, aged care workers, registered supporters and government agencies.</w:t>
      </w:r>
      <w:r w:rsidR="00676976" w:rsidRPr="000F6CD1">
        <w:t xml:space="preserve"> </w:t>
      </w:r>
    </w:p>
    <w:p w14:paraId="1887E2E9" w14:textId="77777777" w:rsidR="00005C08" w:rsidRPr="000F6CD1" w:rsidRDefault="00005C08" w:rsidP="008E6691">
      <w:pPr>
        <w:spacing w:before="240" w:after="240" w:line="240" w:lineRule="auto"/>
      </w:pPr>
      <w:r w:rsidRPr="000F6CD1">
        <w:t>The Statement of Principles also aims to guide government agencies and bodies to ensure that the whole aged care system is directed towards the safety, health, wellbeing, and quality of life of individuals accessing funded aged care services.</w:t>
      </w:r>
    </w:p>
    <w:p w14:paraId="3018C5C2" w14:textId="7479DCDE" w:rsidR="00005C08" w:rsidRPr="000F6CD1" w:rsidRDefault="00005C08" w:rsidP="006647CE">
      <w:pPr>
        <w:pStyle w:val="h2"/>
      </w:pPr>
      <w:bookmarkStart w:id="46" w:name="_Dignity_of_Risk"/>
      <w:bookmarkStart w:id="47" w:name="_Toc198813636"/>
      <w:bookmarkStart w:id="48" w:name="_Toc207291865"/>
      <w:bookmarkStart w:id="49" w:name="_Toc209188936"/>
      <w:bookmarkStart w:id="50" w:name="_Toc233282404"/>
      <w:bookmarkStart w:id="51" w:name="CH1_DignityofRisk"/>
      <w:bookmarkEnd w:id="46"/>
      <w:r w:rsidRPr="000F6CD1">
        <w:t xml:space="preserve">Dignity of </w:t>
      </w:r>
      <w:r w:rsidR="00C672E4" w:rsidRPr="000F6CD1">
        <w:t>r</w:t>
      </w:r>
      <w:r w:rsidRPr="000F6CD1">
        <w:t>isk</w:t>
      </w:r>
      <w:bookmarkEnd w:id="47"/>
      <w:bookmarkEnd w:id="48"/>
      <w:bookmarkEnd w:id="49"/>
      <w:bookmarkEnd w:id="50"/>
    </w:p>
    <w:bookmarkEnd w:id="51"/>
    <w:p w14:paraId="41677766" w14:textId="334EFD2D" w:rsidR="00005C08" w:rsidRPr="000F6CD1" w:rsidRDefault="00005C08" w:rsidP="008E6691">
      <w:pPr>
        <w:spacing w:before="240" w:after="240" w:line="240" w:lineRule="auto"/>
      </w:pPr>
      <w:r w:rsidRPr="000F6CD1">
        <w:t xml:space="preserve">During an aged care needs assessment, assessors should work with older people to balance their </w:t>
      </w:r>
      <w:r w:rsidR="00C068CB" w:rsidRPr="000F6CD1">
        <w:t xml:space="preserve">responsibility </w:t>
      </w:r>
      <w:r w:rsidR="00E60E93" w:rsidRPr="000F6CD1">
        <w:t>for</w:t>
      </w:r>
      <w:r w:rsidRPr="000F6CD1">
        <w:t xml:space="preserve"> an individual’s right to make choices, even if their choices include some risk to themselves. This right is known as ‘dignity of risk’ which involves: </w:t>
      </w:r>
    </w:p>
    <w:p w14:paraId="4877BBE1" w14:textId="60B18C24" w:rsidR="00261271" w:rsidRPr="000F6CD1" w:rsidRDefault="00261271" w:rsidP="008E6691">
      <w:pPr>
        <w:pStyle w:val="ListParagraph"/>
        <w:numPr>
          <w:ilvl w:val="0"/>
          <w:numId w:val="1"/>
        </w:numPr>
        <w:spacing w:before="240" w:after="240" w:line="240" w:lineRule="auto"/>
      </w:pPr>
      <w:r w:rsidRPr="000F6CD1">
        <w:t>Assessors considering the older person</w:t>
      </w:r>
      <w:r w:rsidR="00287E6A" w:rsidRPr="000F6CD1">
        <w:t>’</w:t>
      </w:r>
      <w:r w:rsidRPr="000F6CD1">
        <w:t>s rights mentioned in the Statement of Rights when undertaking an assessment.</w:t>
      </w:r>
    </w:p>
    <w:p w14:paraId="244F111C" w14:textId="2EF90122" w:rsidR="00005C08" w:rsidRPr="000F6CD1" w:rsidRDefault="00005C08" w:rsidP="008E6691">
      <w:pPr>
        <w:pStyle w:val="ListParagraph"/>
        <w:numPr>
          <w:ilvl w:val="0"/>
          <w:numId w:val="1"/>
        </w:numPr>
        <w:spacing w:before="240" w:after="240" w:line="240" w:lineRule="auto"/>
      </w:pPr>
      <w:r w:rsidRPr="000F6CD1">
        <w:t>Ensuring older people during an assessment can</w:t>
      </w:r>
      <w:r w:rsidR="004565F0" w:rsidRPr="000F6CD1">
        <w:t>, where possible,</w:t>
      </w:r>
      <w:r w:rsidRPr="000F6CD1">
        <w:t xml:space="preserve"> make informed decisions for themselves, including in the setting of goals, including if those decisions involve risk</w:t>
      </w:r>
    </w:p>
    <w:p w14:paraId="0850362B" w14:textId="0B1C52AA" w:rsidR="00005C08" w:rsidRPr="000F6CD1" w:rsidRDefault="00005C08" w:rsidP="008E6691">
      <w:pPr>
        <w:pStyle w:val="ListParagraph"/>
        <w:numPr>
          <w:ilvl w:val="0"/>
          <w:numId w:val="1"/>
        </w:numPr>
        <w:spacing w:before="240" w:after="240" w:line="240" w:lineRule="auto"/>
      </w:pPr>
      <w:r w:rsidRPr="000F6CD1">
        <w:t xml:space="preserve">The new role of a registered supporter under the </w:t>
      </w:r>
      <w:r w:rsidR="00977350" w:rsidRPr="000F6CD1">
        <w:rPr>
          <w:i/>
        </w:rPr>
        <w:t xml:space="preserve">Aged Care </w:t>
      </w:r>
      <w:r w:rsidRPr="000F6CD1">
        <w:rPr>
          <w:i/>
        </w:rPr>
        <w:t>Act</w:t>
      </w:r>
      <w:r w:rsidR="00977350" w:rsidRPr="000F6CD1">
        <w:rPr>
          <w:i/>
        </w:rPr>
        <w:t xml:space="preserve"> 2024</w:t>
      </w:r>
      <w:r w:rsidR="00977350" w:rsidRPr="000F6CD1">
        <w:rPr>
          <w:i/>
          <w:iCs/>
        </w:rPr>
        <w:t xml:space="preserve"> (the Act)</w:t>
      </w:r>
      <w:r w:rsidRPr="000F6CD1">
        <w:rPr>
          <w:iCs/>
        </w:rPr>
        <w:t>,</w:t>
      </w:r>
      <w:r w:rsidRPr="000F6CD1">
        <w:t xml:space="preserve"> who can support an older person to make and communicate their own decisions regarding their care and preferences.</w:t>
      </w:r>
    </w:p>
    <w:p w14:paraId="7949FF0D" w14:textId="77777777" w:rsidR="00830717" w:rsidRPr="000F6CD1" w:rsidRDefault="00830717" w:rsidP="006647CE">
      <w:pPr>
        <w:pStyle w:val="h2"/>
      </w:pPr>
      <w:bookmarkStart w:id="52" w:name="_Eligibility_to_access"/>
      <w:bookmarkStart w:id="53" w:name="_Toc209188937"/>
      <w:bookmarkStart w:id="54" w:name="_Ref212733469"/>
      <w:bookmarkStart w:id="55" w:name="_Toc233282405"/>
      <w:bookmarkStart w:id="56" w:name="_Toc198813640"/>
      <w:bookmarkStart w:id="57" w:name="CH1_ServiceListandStrcuture"/>
      <w:bookmarkEnd w:id="52"/>
      <w:r w:rsidRPr="000F6CD1">
        <w:t>Eligibility requirements to access government funded aged care services</w:t>
      </w:r>
      <w:bookmarkEnd w:id="53"/>
      <w:bookmarkEnd w:id="54"/>
      <w:bookmarkEnd w:id="55"/>
      <w:r w:rsidRPr="000F6CD1">
        <w:t xml:space="preserve"> </w:t>
      </w:r>
    </w:p>
    <w:p w14:paraId="5B671989" w14:textId="77777777" w:rsidR="00AA7538" w:rsidRPr="000F6CD1" w:rsidRDefault="00AA7538" w:rsidP="008E6691">
      <w:pPr>
        <w:spacing w:before="240" w:after="240" w:line="240" w:lineRule="auto"/>
      </w:pPr>
      <w:r w:rsidRPr="000F6CD1">
        <w:t>From 1 November 2025, all government funded aged care services can only be provided once an older person has been found eligible to undergo an aged care needs assessment by the System Governor (a Triage Delegate) and it has been decided that the individual requires access to</w:t>
      </w:r>
      <w:r w:rsidRPr="000F6CD1" w:rsidDel="00AB1F08">
        <w:t xml:space="preserve"> </w:t>
      </w:r>
      <w:r w:rsidRPr="000F6CD1">
        <w:t xml:space="preserve">aged care services by the System Governor (an Assessment Delegate) following an aged care needs assessment. </w:t>
      </w:r>
    </w:p>
    <w:p w14:paraId="750639D7" w14:textId="7186DD7A" w:rsidR="00AA7538" w:rsidRPr="000F6CD1" w:rsidRDefault="00AA7538" w:rsidP="008E6691">
      <w:pPr>
        <w:spacing w:before="240" w:after="240" w:line="240" w:lineRule="auto"/>
      </w:pPr>
      <w:r w:rsidRPr="000F6CD1">
        <w:t xml:space="preserve">This means that all services </w:t>
      </w:r>
      <w:r w:rsidR="00C84EB1" w:rsidRPr="000F6CD1">
        <w:t>are</w:t>
      </w:r>
      <w:r w:rsidRPr="000F6CD1">
        <w:t xml:space="preserve"> Act</w:t>
      </w:r>
      <w:r w:rsidR="00D93727" w:rsidRPr="000F6CD1">
        <w:t>-</w:t>
      </w:r>
      <w:r w:rsidRPr="000F6CD1">
        <w:t xml:space="preserve">based services </w:t>
      </w:r>
      <w:r w:rsidR="00977350" w:rsidRPr="000F6CD1">
        <w:t xml:space="preserve">under the Act </w:t>
      </w:r>
      <w:r w:rsidRPr="000F6CD1" w:rsidDel="00977350">
        <w:t>from</w:t>
      </w:r>
      <w:r w:rsidRPr="000F6CD1">
        <w:t xml:space="preserve"> 1 November 2025, including services that an older person accesses through a specialist aged care program </w:t>
      </w:r>
      <w:r w:rsidRPr="000F6CD1">
        <w:lastRenderedPageBreak/>
        <w:t xml:space="preserve">(e.g. Commonwealth Home Support Program, Multi-purpose Service Program, National Aboriginal and Torres Strait Islander Flexible Aged Care Program and Transition Care Program). </w:t>
      </w:r>
    </w:p>
    <w:p w14:paraId="37490192" w14:textId="0291C72E" w:rsidR="004C3B07" w:rsidRPr="000F6CD1" w:rsidRDefault="004C3B07" w:rsidP="00AD2CE5">
      <w:pPr>
        <w:pStyle w:val="H3"/>
      </w:pPr>
      <w:r w:rsidRPr="000F6CD1">
        <w:t xml:space="preserve">Age </w:t>
      </w:r>
      <w:r w:rsidR="00EF2283" w:rsidRPr="000F6CD1">
        <w:t>e</w:t>
      </w:r>
      <w:r w:rsidRPr="000F6CD1">
        <w:t xml:space="preserve">ligibility </w:t>
      </w:r>
      <w:r w:rsidR="00EF2283" w:rsidRPr="000F6CD1">
        <w:t>r</w:t>
      </w:r>
      <w:r w:rsidRPr="000F6CD1">
        <w:t xml:space="preserve">equirements </w:t>
      </w:r>
    </w:p>
    <w:p w14:paraId="0AE5D256" w14:textId="77777777" w:rsidR="00AA7538" w:rsidRPr="000F6CD1" w:rsidRDefault="00AA7538" w:rsidP="008E6691">
      <w:pPr>
        <w:spacing w:before="240" w:after="240" w:line="240" w:lineRule="auto"/>
      </w:pPr>
      <w:r w:rsidRPr="000F6CD1">
        <w:t xml:space="preserve">Under the </w:t>
      </w:r>
      <w:r w:rsidRPr="000F6CD1">
        <w:rPr>
          <w:i/>
          <w:iCs/>
        </w:rPr>
        <w:t>Aged Care Act 2024</w:t>
      </w:r>
      <w:r w:rsidRPr="000F6CD1">
        <w:t>,</w:t>
      </w:r>
      <w:r w:rsidRPr="000F6CD1">
        <w:rPr>
          <w:i/>
        </w:rPr>
        <w:t xml:space="preserve"> </w:t>
      </w:r>
      <w:r w:rsidRPr="000F6CD1">
        <w:t xml:space="preserve">there are clear eligibility requirements that an individual will need to meet to have an aged care needs assessment. Section 58 of the Act outlines these eligibility requirements. </w:t>
      </w:r>
    </w:p>
    <w:p w14:paraId="1F39AE98" w14:textId="77777777" w:rsidR="00567739" w:rsidRPr="000F6CD1" w:rsidRDefault="00567739" w:rsidP="00806A21">
      <w:pPr>
        <w:pStyle w:val="Sub-headings"/>
      </w:pPr>
      <w:r w:rsidRPr="000F6CD1">
        <w:t xml:space="preserve">Note: </w:t>
      </w:r>
    </w:p>
    <w:p w14:paraId="02EBCD2C" w14:textId="77777777" w:rsidR="00567739" w:rsidRPr="000F6CD1" w:rsidRDefault="00567739" w:rsidP="00806A21">
      <w:pPr>
        <w:pStyle w:val="Sub-headings"/>
      </w:pPr>
      <w:r w:rsidRPr="000F6CD1">
        <w:t>To be eligible for an aged care needs assessment an individual must be:</w:t>
      </w:r>
    </w:p>
    <w:p w14:paraId="2B2ABD32" w14:textId="5CFAEC64" w:rsidR="00567739" w:rsidRPr="000F6CD1" w:rsidRDefault="007443BB" w:rsidP="00806A21">
      <w:pPr>
        <w:pStyle w:val="Sub-headings"/>
      </w:pPr>
      <w:r>
        <w:sym w:font="Wingdings" w:char="F09F"/>
      </w:r>
      <w:r>
        <w:t xml:space="preserve"> </w:t>
      </w:r>
      <w:r w:rsidR="00567739" w:rsidRPr="000F6CD1">
        <w:t>aged 65 or over; or</w:t>
      </w:r>
    </w:p>
    <w:p w14:paraId="21A8E117" w14:textId="64255A5F" w:rsidR="00567739" w:rsidRPr="000F6CD1" w:rsidRDefault="007443BB" w:rsidP="00806A21">
      <w:pPr>
        <w:pStyle w:val="Sub-headings"/>
      </w:pPr>
      <w:r>
        <w:sym w:font="Wingdings" w:char="F09F"/>
      </w:r>
      <w:r>
        <w:t xml:space="preserve"> </w:t>
      </w:r>
      <w:r w:rsidR="00567739" w:rsidRPr="000F6CD1">
        <w:t>an Aboriginal or Torres Strait Islander person and is aged at least 50; or</w:t>
      </w:r>
    </w:p>
    <w:p w14:paraId="66CFE321" w14:textId="3E05CC57" w:rsidR="00567739" w:rsidRPr="000F6CD1" w:rsidRDefault="007443BB" w:rsidP="00806A21">
      <w:pPr>
        <w:pStyle w:val="Sub-headings"/>
      </w:pPr>
      <w:r>
        <w:sym w:font="Wingdings" w:char="F09F"/>
      </w:r>
      <w:r>
        <w:t xml:space="preserve"> </w:t>
      </w:r>
      <w:r w:rsidR="00567739" w:rsidRPr="000F6CD1">
        <w:t>homeless, or at risk of homelessness, and is aged at least 50; and</w:t>
      </w:r>
    </w:p>
    <w:p w14:paraId="50495688" w14:textId="77777777" w:rsidR="00567739" w:rsidRPr="000F6CD1" w:rsidRDefault="00567739" w:rsidP="00806A21">
      <w:pPr>
        <w:pStyle w:val="Sub-headings"/>
      </w:pPr>
      <w:r w:rsidRPr="000F6CD1">
        <w:t>Each of the above individuals must also provide information relating to the individual’s care needs. Care needs are defined under the Act as one or both of the following:</w:t>
      </w:r>
    </w:p>
    <w:p w14:paraId="28898EAD" w14:textId="1751DC79" w:rsidR="00567739" w:rsidRPr="000F6CD1" w:rsidRDefault="007443BB" w:rsidP="00806A21">
      <w:pPr>
        <w:pStyle w:val="Sub-headings"/>
      </w:pPr>
      <w:r>
        <w:sym w:font="Wingdings" w:char="F09F"/>
      </w:r>
      <w:r>
        <w:t xml:space="preserve"> </w:t>
      </w:r>
      <w:r w:rsidR="00567739" w:rsidRPr="000F6CD1">
        <w:t>the individual has difficulty (whether physically, mentally or socially) undertaking any daily living activities;</w:t>
      </w:r>
    </w:p>
    <w:p w14:paraId="36765BD6" w14:textId="5E00A9D5" w:rsidR="00567739" w:rsidRPr="000F6CD1" w:rsidRDefault="00E4088B" w:rsidP="00806A21">
      <w:pPr>
        <w:pStyle w:val="Sub-headings"/>
      </w:pPr>
      <w:r>
        <w:sym w:font="Wingdings" w:char="F09F"/>
      </w:r>
      <w:r>
        <w:t xml:space="preserve"> </w:t>
      </w:r>
      <w:r w:rsidR="00567739" w:rsidRPr="000F6CD1">
        <w:t>the individual needs help from another person, or the assistance of an aid, to maintain their physical, mental or social capacity to function independently.</w:t>
      </w:r>
    </w:p>
    <w:p w14:paraId="57E2F7C1" w14:textId="77777777" w:rsidR="00753C57" w:rsidRPr="000F6CD1" w:rsidRDefault="00753C57" w:rsidP="008E6691">
      <w:pPr>
        <w:spacing w:before="240" w:after="240" w:line="240" w:lineRule="auto"/>
      </w:pPr>
    </w:p>
    <w:p w14:paraId="64F1D05A" w14:textId="64FFE527" w:rsidR="007C6283" w:rsidRPr="000F6CD1" w:rsidRDefault="007C6283" w:rsidP="00AD2CE5">
      <w:pPr>
        <w:pStyle w:val="H3"/>
      </w:pPr>
      <w:r w:rsidRPr="000F6CD1">
        <w:t>Informing the eligible younger person of other services</w:t>
      </w:r>
    </w:p>
    <w:p w14:paraId="18BB3D32" w14:textId="77777777" w:rsidR="007C6283" w:rsidRPr="000F6CD1" w:rsidRDefault="007C6283" w:rsidP="008E6691">
      <w:pPr>
        <w:spacing w:before="240" w:after="240" w:line="240" w:lineRule="auto"/>
      </w:pPr>
      <w:r w:rsidRPr="000F6CD1">
        <w:t>There are limited circumstances in which people under the age of 65 can access Australian government aged care services. Under subparagraph 58(c) if the individual is under the age of 65 and falls into one or more of the eligible cohorts, they must:</w:t>
      </w:r>
    </w:p>
    <w:p w14:paraId="62276E0B" w14:textId="77777777" w:rsidR="007C6283" w:rsidRPr="000F6CD1" w:rsidRDefault="007C6283" w:rsidP="00DF3F6B">
      <w:pPr>
        <w:pStyle w:val="ListParagraph"/>
        <w:numPr>
          <w:ilvl w:val="0"/>
          <w:numId w:val="413"/>
        </w:numPr>
        <w:spacing w:before="240" w:after="240" w:line="240" w:lineRule="auto"/>
      </w:pPr>
      <w:r w:rsidRPr="000F6CD1">
        <w:t>be informed of any other services that may be available to meet their care needs (noting that it is not a requirement for a person under the age of 65 to take up other services in place of aged care services).</w:t>
      </w:r>
    </w:p>
    <w:p w14:paraId="1DB595C2" w14:textId="77777777" w:rsidR="007C6283" w:rsidRPr="000F6CD1" w:rsidRDefault="007C6283" w:rsidP="00DF3F6B">
      <w:pPr>
        <w:pStyle w:val="ListParagraph"/>
        <w:numPr>
          <w:ilvl w:val="0"/>
          <w:numId w:val="413"/>
        </w:numPr>
        <w:spacing w:before="240" w:after="240" w:line="240" w:lineRule="auto"/>
      </w:pPr>
      <w:r w:rsidRPr="000F6CD1">
        <w:t>elect, in the approved form, to be provided with government funded aged care services before they turn 65.</w:t>
      </w:r>
    </w:p>
    <w:p w14:paraId="2C6472FC" w14:textId="751297B9" w:rsidR="007C6283" w:rsidRPr="000F6CD1" w:rsidRDefault="00DC1413" w:rsidP="00D32DE7">
      <w:pPr>
        <w:spacing w:before="240" w:after="240" w:line="240" w:lineRule="auto"/>
      </w:pPr>
      <w:r w:rsidRPr="000F6CD1">
        <w:t xml:space="preserve">For eligible younger people who </w:t>
      </w:r>
      <w:r w:rsidR="0090327B" w:rsidRPr="000F6CD1">
        <w:t>make an application via My Aged Care, they will be informed of other services</w:t>
      </w:r>
      <w:r w:rsidR="00842EA1" w:rsidRPr="000F6CD1">
        <w:t xml:space="preserve"> at this stage</w:t>
      </w:r>
      <w:r w:rsidR="0090327B" w:rsidRPr="000F6CD1">
        <w:t>.</w:t>
      </w:r>
      <w:r w:rsidR="00842EA1" w:rsidRPr="000F6CD1">
        <w:t xml:space="preserve"> However, for all other registration pathways, the Triage Delegate will need to inform the eligible younger person of other services</w:t>
      </w:r>
      <w:r w:rsidR="007C6283" w:rsidRPr="000F6CD1">
        <w:t>.</w:t>
      </w:r>
      <w:r w:rsidR="00D20542" w:rsidRPr="000F6CD1">
        <w:t xml:space="preserve"> Further information </w:t>
      </w:r>
      <w:r w:rsidR="00CB23EF" w:rsidRPr="000F6CD1">
        <w:t xml:space="preserve">about this process is at </w:t>
      </w:r>
      <w:r w:rsidR="00437089" w:rsidRPr="000F6CD1">
        <w:t>section</w:t>
      </w:r>
      <w:r w:rsidR="00CB23EF" w:rsidRPr="000F6CD1">
        <w:t xml:space="preserve"> </w:t>
      </w:r>
      <w:r w:rsidR="001D53BE" w:rsidRPr="000F6CD1">
        <w:fldChar w:fldCharType="begin"/>
      </w:r>
      <w:r w:rsidR="001D53BE" w:rsidRPr="000F6CD1">
        <w:instrText xml:space="preserve"> REF _Ref212733155 \r \h </w:instrText>
      </w:r>
      <w:r w:rsidR="001D53BE" w:rsidRPr="000F6CD1">
        <w:fldChar w:fldCharType="separate"/>
      </w:r>
      <w:r w:rsidR="004B171E">
        <w:t>5.3.2</w:t>
      </w:r>
      <w:r w:rsidR="001D53BE" w:rsidRPr="000F6CD1">
        <w:fldChar w:fldCharType="end"/>
      </w:r>
      <w:r w:rsidR="009A5D6F" w:rsidRPr="000F6CD1">
        <w:t xml:space="preserve"> </w:t>
      </w:r>
      <w:r w:rsidR="00CB23EF" w:rsidRPr="000F6CD1">
        <w:t>of this Manual.</w:t>
      </w:r>
      <w:r w:rsidR="00BC7221" w:rsidRPr="000F6CD1">
        <w:br w:type="page"/>
      </w:r>
    </w:p>
    <w:p w14:paraId="1DA53EC9" w14:textId="77777777" w:rsidR="005672AC" w:rsidRPr="00D32DE7" w:rsidRDefault="005672AC" w:rsidP="00806A21">
      <w:pPr>
        <w:pStyle w:val="Sub-headings"/>
      </w:pPr>
      <w:r w:rsidRPr="000F6CD1">
        <w:lastRenderedPageBreak/>
        <w:t>Note:</w:t>
      </w:r>
    </w:p>
    <w:p w14:paraId="26B5FB07" w14:textId="5A6191ED" w:rsidR="00AD1E32" w:rsidRPr="00D32DE7" w:rsidRDefault="00E20149" w:rsidP="00806A21">
      <w:pPr>
        <w:pStyle w:val="Sub-headings"/>
        <w:rPr>
          <w:i/>
          <w:iCs/>
        </w:rPr>
      </w:pPr>
      <w:r w:rsidRPr="000F6CD1">
        <w:t xml:space="preserve">The Principles and Guidelines for a younger person’s access to Commonwealth funded aged care services </w:t>
      </w:r>
      <w:r w:rsidR="009560FF" w:rsidRPr="000F6CD1">
        <w:t xml:space="preserve">is </w:t>
      </w:r>
      <w:r w:rsidRPr="000F6CD1">
        <w:t xml:space="preserve">no longer relevant under the </w:t>
      </w:r>
      <w:r w:rsidR="000C374D" w:rsidRPr="00D32DE7">
        <w:rPr>
          <w:i/>
          <w:iCs/>
        </w:rPr>
        <w:t xml:space="preserve">Aged Care </w:t>
      </w:r>
      <w:r w:rsidRPr="00D32DE7">
        <w:rPr>
          <w:i/>
          <w:iCs/>
        </w:rPr>
        <w:t>Act</w:t>
      </w:r>
      <w:r w:rsidR="000C374D" w:rsidRPr="00D32DE7">
        <w:rPr>
          <w:i/>
          <w:iCs/>
        </w:rPr>
        <w:t xml:space="preserve"> 2024</w:t>
      </w:r>
      <w:r w:rsidRPr="00D32DE7">
        <w:rPr>
          <w:i/>
          <w:iCs/>
        </w:rPr>
        <w:t>.</w:t>
      </w:r>
    </w:p>
    <w:p w14:paraId="29E43FB7" w14:textId="4B7B954F" w:rsidR="003E7DA9" w:rsidRPr="000F6CD1" w:rsidRDefault="00D55B2F" w:rsidP="004D48B7">
      <w:pPr>
        <w:pStyle w:val="H4"/>
      </w:pPr>
      <w:r w:rsidRPr="000F6CD1">
        <w:t>Definitions for ’h</w:t>
      </w:r>
      <w:r w:rsidR="009037D8" w:rsidRPr="000F6CD1">
        <w:t>omeless</w:t>
      </w:r>
      <w:r w:rsidRPr="000F6CD1">
        <w:t>’</w:t>
      </w:r>
      <w:r w:rsidR="00987035" w:rsidRPr="000F6CD1">
        <w:t xml:space="preserve"> </w:t>
      </w:r>
      <w:r w:rsidRPr="000F6CD1">
        <w:t>and</w:t>
      </w:r>
      <w:r w:rsidR="00987035" w:rsidRPr="000F6CD1">
        <w:t xml:space="preserve"> </w:t>
      </w:r>
      <w:r w:rsidRPr="000F6CD1">
        <w:t>‘</w:t>
      </w:r>
      <w:r w:rsidR="00EF2283" w:rsidRPr="000F6CD1">
        <w:t>a</w:t>
      </w:r>
      <w:r w:rsidR="4F1561BA" w:rsidRPr="000F6CD1">
        <w:t xml:space="preserve">t </w:t>
      </w:r>
      <w:r w:rsidR="00EF2283" w:rsidRPr="000F6CD1">
        <w:t>r</w:t>
      </w:r>
      <w:r w:rsidR="00987035" w:rsidRPr="000F6CD1">
        <w:t xml:space="preserve">isk of </w:t>
      </w:r>
      <w:r w:rsidR="00EF2283" w:rsidRPr="000F6CD1">
        <w:t>h</w:t>
      </w:r>
      <w:r w:rsidR="00987035" w:rsidRPr="000F6CD1">
        <w:t>omelessness</w:t>
      </w:r>
      <w:r w:rsidRPr="000F6CD1">
        <w:t>’</w:t>
      </w:r>
      <w:r w:rsidR="00987035" w:rsidRPr="000F6CD1">
        <w:t xml:space="preserve"> </w:t>
      </w:r>
    </w:p>
    <w:p w14:paraId="4CACE4FC" w14:textId="0E6F72FD" w:rsidR="00987035" w:rsidRPr="000F6CD1" w:rsidRDefault="000C037F" w:rsidP="008E6691">
      <w:pPr>
        <w:spacing w:before="240" w:after="240" w:line="240" w:lineRule="auto"/>
      </w:pPr>
      <w:r w:rsidRPr="000F6CD1">
        <w:t>A person aged 50 years or older</w:t>
      </w:r>
      <w:r w:rsidR="00C71953" w:rsidRPr="000F6CD1">
        <w:t xml:space="preserve"> </w:t>
      </w:r>
      <w:r w:rsidR="4C2F7653" w:rsidRPr="000F6CD1">
        <w:t>who</w:t>
      </w:r>
      <w:r w:rsidR="00C71953" w:rsidRPr="000F6CD1">
        <w:t xml:space="preserve"> is homeless or at risk of homelessness</w:t>
      </w:r>
      <w:r w:rsidRPr="000F6CD1">
        <w:t xml:space="preserve"> may be eligible for an aged care needs assessment and access funded aged care services</w:t>
      </w:r>
      <w:r w:rsidR="00C71953" w:rsidRPr="000F6CD1">
        <w:t xml:space="preserve">. </w:t>
      </w:r>
      <w:r w:rsidR="00FE0FD5" w:rsidRPr="000F6CD1">
        <w:t>For Triage Delegates t</w:t>
      </w:r>
      <w:r w:rsidR="00690646" w:rsidRPr="000F6CD1">
        <w:t xml:space="preserve">o determine if an individual aged 50 to 64 meets the eligibility criteria for a needs assessment under the homeless or </w:t>
      </w:r>
      <w:r w:rsidR="00FE3BD1" w:rsidRPr="000F6CD1">
        <w:t xml:space="preserve">risk of homelessness provision in the </w:t>
      </w:r>
      <w:r w:rsidR="00E74AED" w:rsidRPr="000F6CD1">
        <w:rPr>
          <w:i/>
        </w:rPr>
        <w:t xml:space="preserve">Aged Care </w:t>
      </w:r>
      <w:r w:rsidR="00FE3BD1" w:rsidRPr="000F6CD1">
        <w:rPr>
          <w:i/>
        </w:rPr>
        <w:t>Act</w:t>
      </w:r>
      <w:r w:rsidR="00E74AED" w:rsidRPr="000F6CD1">
        <w:rPr>
          <w:i/>
        </w:rPr>
        <w:t xml:space="preserve"> 2024</w:t>
      </w:r>
      <w:r w:rsidR="007507A9" w:rsidRPr="000F6CD1">
        <w:t xml:space="preserve">, the following definitions apply: </w:t>
      </w:r>
    </w:p>
    <w:p w14:paraId="4BB14865" w14:textId="361B9FD1" w:rsidR="007507A9" w:rsidRPr="000F6CD1" w:rsidRDefault="007B61DC" w:rsidP="008E6691">
      <w:pPr>
        <w:spacing w:before="240" w:after="240" w:line="240" w:lineRule="auto"/>
        <w:rPr>
          <w:b/>
          <w:bCs/>
        </w:rPr>
      </w:pPr>
      <w:r w:rsidRPr="000F6CD1">
        <w:rPr>
          <w:b/>
          <w:bCs/>
        </w:rPr>
        <w:t>Home</w:t>
      </w:r>
      <w:r w:rsidR="003A02DC" w:rsidRPr="000F6CD1">
        <w:rPr>
          <w:b/>
          <w:bCs/>
        </w:rPr>
        <w:t xml:space="preserve">less definition </w:t>
      </w:r>
    </w:p>
    <w:p w14:paraId="41F241BA" w14:textId="403419B8" w:rsidR="003A02DC" w:rsidRPr="000F6CD1" w:rsidRDefault="00FF6880" w:rsidP="008E6691">
      <w:pPr>
        <w:spacing w:before="240" w:after="240" w:line="240" w:lineRule="auto"/>
      </w:pPr>
      <w:r w:rsidRPr="000F6CD1">
        <w:t xml:space="preserve">The term </w:t>
      </w:r>
      <w:r w:rsidR="00095AB3" w:rsidRPr="000F6CD1">
        <w:t>‘</w:t>
      </w:r>
      <w:r w:rsidRPr="000F6CD1">
        <w:t>h</w:t>
      </w:r>
      <w:r w:rsidR="00F4677F" w:rsidRPr="000F6CD1">
        <w:t>omeless</w:t>
      </w:r>
      <w:r w:rsidR="005D42E2" w:rsidRPr="000F6CD1">
        <w:t>’</w:t>
      </w:r>
      <w:r w:rsidR="00F4677F" w:rsidRPr="000F6CD1">
        <w:t xml:space="preserve"> in the context of aged care and </w:t>
      </w:r>
      <w:r w:rsidR="00E86AF6" w:rsidRPr="000F6CD1">
        <w:t>for the purpose</w:t>
      </w:r>
      <w:r w:rsidR="00266E5A" w:rsidRPr="000F6CD1">
        <w:t>s</w:t>
      </w:r>
      <w:r w:rsidR="00E86AF6" w:rsidRPr="000F6CD1">
        <w:t xml:space="preserve"> of receiving a needs assessment and funded aged care services refers to an individual who: </w:t>
      </w:r>
    </w:p>
    <w:p w14:paraId="5C2A1AFC" w14:textId="20FA3931" w:rsidR="00E86AF6" w:rsidRPr="000F6CD1" w:rsidRDefault="007F3C93" w:rsidP="00DF3F6B">
      <w:pPr>
        <w:pStyle w:val="ListParagraph"/>
        <w:numPr>
          <w:ilvl w:val="0"/>
          <w:numId w:val="412"/>
        </w:numPr>
        <w:spacing w:before="240" w:after="240" w:line="240" w:lineRule="auto"/>
      </w:pPr>
      <w:r w:rsidRPr="000F6CD1">
        <w:t xml:space="preserve">is aged 50 or older, </w:t>
      </w:r>
      <w:r w:rsidRPr="000F6CD1">
        <w:rPr>
          <w:b/>
          <w:bCs/>
          <w:u w:val="single"/>
        </w:rPr>
        <w:t xml:space="preserve">and </w:t>
      </w:r>
    </w:p>
    <w:p w14:paraId="74FD6BCF" w14:textId="73C3362A" w:rsidR="00285D9D" w:rsidRPr="000F6CD1" w:rsidRDefault="00200F1A" w:rsidP="00DF3F6B">
      <w:pPr>
        <w:pStyle w:val="ListParagraph"/>
        <w:numPr>
          <w:ilvl w:val="0"/>
          <w:numId w:val="412"/>
        </w:numPr>
        <w:spacing w:before="240" w:after="240" w:line="240" w:lineRule="auto"/>
      </w:pPr>
      <w:r w:rsidRPr="000F6CD1">
        <w:t xml:space="preserve">has prematurely aged and requires services for their aged care needs, </w:t>
      </w:r>
      <w:r w:rsidRPr="000F6CD1">
        <w:rPr>
          <w:b/>
          <w:bCs/>
          <w:u w:val="single"/>
        </w:rPr>
        <w:t>and</w:t>
      </w:r>
    </w:p>
    <w:p w14:paraId="54ACDAAF" w14:textId="749EFC9F" w:rsidR="00285D9D" w:rsidRPr="000F6CD1" w:rsidRDefault="00285D9D" w:rsidP="00DF3F6B">
      <w:pPr>
        <w:pStyle w:val="ListParagraph"/>
        <w:numPr>
          <w:ilvl w:val="0"/>
          <w:numId w:val="412"/>
        </w:numPr>
        <w:spacing w:before="240" w:after="240" w:line="240" w:lineRule="auto"/>
      </w:pPr>
      <w:r w:rsidRPr="000F6CD1">
        <w:t>has the following living arrangements</w:t>
      </w:r>
      <w:r w:rsidR="00EF5881" w:rsidRPr="000F6CD1">
        <w:t>:</w:t>
      </w:r>
    </w:p>
    <w:p w14:paraId="0034A8DB" w14:textId="74681B64" w:rsidR="00285D9D" w:rsidRPr="000F6CD1" w:rsidRDefault="00285D9D" w:rsidP="00DF3F6B">
      <w:pPr>
        <w:pStyle w:val="ListParagraph"/>
        <w:numPr>
          <w:ilvl w:val="1"/>
          <w:numId w:val="412"/>
        </w:numPr>
        <w:spacing w:before="240" w:after="240" w:line="240" w:lineRule="auto"/>
      </w:pPr>
      <w:r w:rsidRPr="000F6CD1">
        <w:t xml:space="preserve">lacks any adequate roof over their head, </w:t>
      </w:r>
      <w:r w:rsidRPr="000F6CD1">
        <w:rPr>
          <w:b/>
          <w:bCs/>
          <w:u w:val="single"/>
        </w:rPr>
        <w:t xml:space="preserve">or </w:t>
      </w:r>
    </w:p>
    <w:p w14:paraId="76EA0EEB" w14:textId="77C5AAA3" w:rsidR="00285D9D" w:rsidRPr="000F6CD1" w:rsidRDefault="008028DC" w:rsidP="00DF3F6B">
      <w:pPr>
        <w:pStyle w:val="ListParagraph"/>
        <w:numPr>
          <w:ilvl w:val="1"/>
          <w:numId w:val="412"/>
        </w:numPr>
        <w:spacing w:before="240" w:after="240" w:line="240" w:lineRule="auto"/>
      </w:pPr>
      <w:r w:rsidRPr="000F6CD1">
        <w:t xml:space="preserve">has no security of tenure, or </w:t>
      </w:r>
      <w:r w:rsidR="00EC793A" w:rsidRPr="000F6CD1">
        <w:t xml:space="preserve">moves between various forms of temporary or medium-term shelter, </w:t>
      </w:r>
      <w:r w:rsidR="00C037A7" w:rsidRPr="000F6CD1">
        <w:rPr>
          <w:b/>
          <w:bCs/>
          <w:u w:val="single"/>
        </w:rPr>
        <w:t xml:space="preserve">or </w:t>
      </w:r>
    </w:p>
    <w:p w14:paraId="54D092FD" w14:textId="7AB3BE9D" w:rsidR="00C037A7" w:rsidRPr="000F6CD1" w:rsidRDefault="00277EDB" w:rsidP="00DF3F6B">
      <w:pPr>
        <w:pStyle w:val="ListParagraph"/>
        <w:numPr>
          <w:ilvl w:val="1"/>
          <w:numId w:val="412"/>
        </w:numPr>
        <w:spacing w:before="240" w:after="240" w:line="240" w:lineRule="auto"/>
      </w:pPr>
      <w:r w:rsidRPr="000F6CD1">
        <w:t xml:space="preserve">stays in accommodation </w:t>
      </w:r>
      <w:r w:rsidR="004475AD" w:rsidRPr="000F6CD1">
        <w:t xml:space="preserve">that falls below minimum community standards, </w:t>
      </w:r>
      <w:r w:rsidR="00CD3DD4" w:rsidRPr="000F6CD1">
        <w:rPr>
          <w:b/>
          <w:bCs/>
          <w:u w:val="single"/>
        </w:rPr>
        <w:t xml:space="preserve">and </w:t>
      </w:r>
    </w:p>
    <w:p w14:paraId="3DB77212" w14:textId="7B64E8CC" w:rsidR="007A74B0" w:rsidRPr="000F6CD1" w:rsidRDefault="00052F2D" w:rsidP="008E6691">
      <w:pPr>
        <w:pStyle w:val="ListParagraph"/>
        <w:numPr>
          <w:ilvl w:val="0"/>
          <w:numId w:val="412"/>
        </w:numPr>
        <w:spacing w:before="240" w:after="240" w:line="240" w:lineRule="auto"/>
      </w:pPr>
      <w:r w:rsidRPr="000F6CD1">
        <w:t xml:space="preserve">does not have the means to change their living arrangements. </w:t>
      </w:r>
    </w:p>
    <w:p w14:paraId="40F4F6EA" w14:textId="14DCD223" w:rsidR="007A74B0" w:rsidRPr="000F6CD1" w:rsidRDefault="007A74B0" w:rsidP="008E6691">
      <w:pPr>
        <w:spacing w:before="240" w:after="240" w:line="240" w:lineRule="auto"/>
        <w:rPr>
          <w:b/>
          <w:bCs/>
        </w:rPr>
      </w:pPr>
      <w:r w:rsidRPr="000F6CD1">
        <w:rPr>
          <w:b/>
          <w:bCs/>
        </w:rPr>
        <w:t xml:space="preserve">At risk of homelessness definition </w:t>
      </w:r>
    </w:p>
    <w:p w14:paraId="7E43424B" w14:textId="31041AD7" w:rsidR="00266E5A" w:rsidRPr="000F6CD1" w:rsidRDefault="00FF3DA9" w:rsidP="008E6691">
      <w:pPr>
        <w:spacing w:before="240" w:after="240" w:line="240" w:lineRule="auto"/>
      </w:pPr>
      <w:r w:rsidRPr="000F6CD1">
        <w:t>The term ‘a</w:t>
      </w:r>
      <w:r w:rsidR="00266E5A" w:rsidRPr="000F6CD1">
        <w:t>t risk of homelessness</w:t>
      </w:r>
      <w:r w:rsidRPr="000F6CD1">
        <w:t>’</w:t>
      </w:r>
      <w:r w:rsidR="00266E5A" w:rsidRPr="000F6CD1">
        <w:t xml:space="preserve"> in the context of aged care and for the purposes of receiving a needs assessment and funded aged care services refers to an individual who: </w:t>
      </w:r>
    </w:p>
    <w:p w14:paraId="2D84CF3F" w14:textId="77777777" w:rsidR="00CB1D02" w:rsidRPr="000F6CD1" w:rsidRDefault="00CB1D02" w:rsidP="00DF3F6B">
      <w:pPr>
        <w:pStyle w:val="ListParagraph"/>
        <w:numPr>
          <w:ilvl w:val="0"/>
          <w:numId w:val="412"/>
        </w:numPr>
        <w:spacing w:before="240" w:after="240" w:line="240" w:lineRule="auto"/>
      </w:pPr>
      <w:r w:rsidRPr="000F6CD1">
        <w:t xml:space="preserve">is aged 50 or older, </w:t>
      </w:r>
      <w:r w:rsidRPr="000F6CD1">
        <w:rPr>
          <w:b/>
          <w:bCs/>
          <w:u w:val="single"/>
        </w:rPr>
        <w:t xml:space="preserve">and </w:t>
      </w:r>
    </w:p>
    <w:p w14:paraId="5B0F6A51" w14:textId="77777777" w:rsidR="00CB1D02" w:rsidRPr="000F6CD1" w:rsidRDefault="00CB1D02" w:rsidP="00DF3F6B">
      <w:pPr>
        <w:pStyle w:val="ListParagraph"/>
        <w:numPr>
          <w:ilvl w:val="0"/>
          <w:numId w:val="412"/>
        </w:numPr>
        <w:spacing w:before="240" w:after="240" w:line="240" w:lineRule="auto"/>
      </w:pPr>
      <w:r w:rsidRPr="000F6CD1">
        <w:t xml:space="preserve">has prematurely aged and requires services for their aged care needs, </w:t>
      </w:r>
      <w:r w:rsidRPr="000F6CD1">
        <w:rPr>
          <w:b/>
          <w:bCs/>
          <w:u w:val="single"/>
        </w:rPr>
        <w:t xml:space="preserve">and </w:t>
      </w:r>
    </w:p>
    <w:p w14:paraId="796E9BBC" w14:textId="5BC776D1" w:rsidR="00CB1D02" w:rsidRPr="000F6CD1" w:rsidRDefault="00EF5881" w:rsidP="00DF3F6B">
      <w:pPr>
        <w:pStyle w:val="ListParagraph"/>
        <w:numPr>
          <w:ilvl w:val="0"/>
          <w:numId w:val="412"/>
        </w:numPr>
        <w:spacing w:before="240" w:after="240" w:line="240" w:lineRule="auto"/>
      </w:pPr>
      <w:r w:rsidRPr="000F6CD1">
        <w:t xml:space="preserve">is at risk of experiencing the following living arrangements: </w:t>
      </w:r>
    </w:p>
    <w:p w14:paraId="2359743C" w14:textId="77777777" w:rsidR="00CB1D02" w:rsidRPr="000F6CD1" w:rsidRDefault="00CB1D02" w:rsidP="00DF3F6B">
      <w:pPr>
        <w:pStyle w:val="ListParagraph"/>
        <w:numPr>
          <w:ilvl w:val="1"/>
          <w:numId w:val="412"/>
        </w:numPr>
        <w:spacing w:before="240" w:after="240" w:line="240" w:lineRule="auto"/>
      </w:pPr>
      <w:r w:rsidRPr="000F6CD1">
        <w:t xml:space="preserve">lacks any adequate roof over their head, </w:t>
      </w:r>
      <w:r w:rsidRPr="000F6CD1">
        <w:rPr>
          <w:b/>
          <w:bCs/>
          <w:u w:val="single"/>
        </w:rPr>
        <w:t xml:space="preserve">or </w:t>
      </w:r>
    </w:p>
    <w:p w14:paraId="39CCDBDE" w14:textId="77777777" w:rsidR="00CB1D02" w:rsidRPr="000F6CD1" w:rsidRDefault="00CB1D02" w:rsidP="00DF3F6B">
      <w:pPr>
        <w:pStyle w:val="ListParagraph"/>
        <w:numPr>
          <w:ilvl w:val="1"/>
          <w:numId w:val="412"/>
        </w:numPr>
        <w:spacing w:before="240" w:after="240" w:line="240" w:lineRule="auto"/>
      </w:pPr>
      <w:r w:rsidRPr="000F6CD1">
        <w:t xml:space="preserve">has no security of tenure, or moves between various forms of temporary or medium-term shelter, </w:t>
      </w:r>
      <w:r w:rsidRPr="000F6CD1">
        <w:rPr>
          <w:b/>
          <w:bCs/>
          <w:u w:val="single"/>
        </w:rPr>
        <w:t xml:space="preserve">or </w:t>
      </w:r>
    </w:p>
    <w:p w14:paraId="031BA4BA" w14:textId="77777777" w:rsidR="00CB1D02" w:rsidRPr="000F6CD1" w:rsidRDefault="00CB1D02" w:rsidP="00DF3F6B">
      <w:pPr>
        <w:pStyle w:val="ListParagraph"/>
        <w:numPr>
          <w:ilvl w:val="1"/>
          <w:numId w:val="412"/>
        </w:numPr>
        <w:spacing w:before="240" w:after="240" w:line="240" w:lineRule="auto"/>
      </w:pPr>
      <w:r w:rsidRPr="000F6CD1">
        <w:t xml:space="preserve">stays in accommodation that falls below minimum community standards, </w:t>
      </w:r>
      <w:r w:rsidRPr="000F6CD1">
        <w:rPr>
          <w:b/>
          <w:bCs/>
          <w:u w:val="single"/>
        </w:rPr>
        <w:t xml:space="preserve">and </w:t>
      </w:r>
    </w:p>
    <w:p w14:paraId="61F2E66D" w14:textId="568B1536" w:rsidR="00266E5A" w:rsidRPr="000F6CD1" w:rsidRDefault="00CB1D02" w:rsidP="00DF3F6B">
      <w:pPr>
        <w:pStyle w:val="ListParagraph"/>
        <w:numPr>
          <w:ilvl w:val="0"/>
          <w:numId w:val="412"/>
        </w:numPr>
        <w:spacing w:before="240" w:after="240" w:line="240" w:lineRule="auto"/>
      </w:pPr>
      <w:r w:rsidRPr="000F6CD1">
        <w:t>does not have the means to change their living arrangements.</w:t>
      </w:r>
    </w:p>
    <w:p w14:paraId="6DB7A3C7" w14:textId="4BB0D642" w:rsidR="004C3B07" w:rsidRPr="000F6CD1" w:rsidRDefault="00AA7538" w:rsidP="008E6691">
      <w:pPr>
        <w:spacing w:before="240" w:after="240" w:line="240" w:lineRule="auto"/>
      </w:pPr>
      <w:r w:rsidRPr="000F6CD1">
        <w:t xml:space="preserve">Once an aged care needs assessment is undertaken, the assessment delegate must ensure that all eligibility requirements are met before approving any service group, service type, or specific funded aged care service. </w:t>
      </w:r>
    </w:p>
    <w:p w14:paraId="135CCECA" w14:textId="1D4613D2" w:rsidR="0098473F" w:rsidRPr="000F6CD1" w:rsidRDefault="00AA7538" w:rsidP="008E6691">
      <w:pPr>
        <w:spacing w:before="240" w:after="240" w:line="240" w:lineRule="auto"/>
      </w:pPr>
      <w:r w:rsidRPr="000F6CD1">
        <w:t xml:space="preserve">This means that the older person’s situation must </w:t>
      </w:r>
      <w:r w:rsidR="00E34228" w:rsidRPr="000F6CD1">
        <w:t>meet</w:t>
      </w:r>
      <w:r w:rsidRPr="000F6CD1">
        <w:t xml:space="preserve"> the conditions outlined in sections 66 to 68 of the </w:t>
      </w:r>
      <w:r w:rsidRPr="000F6CD1">
        <w:rPr>
          <w:i/>
        </w:rPr>
        <w:t>Aged Care Act 2024</w:t>
      </w:r>
      <w:r w:rsidR="00D108B7" w:rsidRPr="000F6CD1">
        <w:rPr>
          <w:i/>
        </w:rPr>
        <w:t xml:space="preserve"> (the Act)</w:t>
      </w:r>
      <w:r w:rsidRPr="000F6CD1">
        <w:t xml:space="preserve">, and any additional eligibility criteria set by the relevant </w:t>
      </w:r>
      <w:r w:rsidR="00E95BA3" w:rsidRPr="000F6CD1">
        <w:rPr>
          <w:i/>
        </w:rPr>
        <w:t>Aged Care R</w:t>
      </w:r>
      <w:r w:rsidRPr="000F6CD1">
        <w:rPr>
          <w:i/>
        </w:rPr>
        <w:t>ules</w:t>
      </w:r>
      <w:r w:rsidR="00E95BA3" w:rsidRPr="000F6CD1">
        <w:rPr>
          <w:i/>
        </w:rPr>
        <w:t xml:space="preserve"> 2025</w:t>
      </w:r>
      <w:r w:rsidRPr="000F6CD1">
        <w:t xml:space="preserve"> must be satisfied. If these requirements are not met, the assessment delegate cannot approve the provision of aged care services. </w:t>
      </w:r>
    </w:p>
    <w:p w14:paraId="7FDAD236" w14:textId="5BEE4178" w:rsidR="001E2B6E" w:rsidRPr="00B95F40" w:rsidRDefault="003B1FF4" w:rsidP="008E6691">
      <w:pPr>
        <w:spacing w:before="240" w:after="240" w:line="240" w:lineRule="auto"/>
      </w:pPr>
      <w:r w:rsidRPr="000F6CD1">
        <w:lastRenderedPageBreak/>
        <w:t>Any</w:t>
      </w:r>
      <w:r w:rsidR="00C217D1" w:rsidRPr="000F6CD1">
        <w:t xml:space="preserve"> younger individual</w:t>
      </w:r>
      <w:r w:rsidR="00C217D1" w:rsidRPr="000F6CD1">
        <w:rPr>
          <w:rStyle w:val="FootnoteReference"/>
        </w:rPr>
        <w:footnoteReference w:id="2"/>
      </w:r>
      <w:r w:rsidR="00C217D1" w:rsidRPr="000F6CD1">
        <w:t xml:space="preserve"> </w:t>
      </w:r>
      <w:r w:rsidRPr="000F6CD1">
        <w:t xml:space="preserve">who were </w:t>
      </w:r>
      <w:r w:rsidR="00C217D1" w:rsidRPr="000F6CD1">
        <w:t xml:space="preserve">already accessing services </w:t>
      </w:r>
      <w:r w:rsidRPr="000F6CD1">
        <w:t>on 1 November</w:t>
      </w:r>
      <w:r w:rsidR="00C217D1" w:rsidRPr="000F6CD1">
        <w:t xml:space="preserve"> will not be required to have a reassessment. Younger individuals currently accessing services will be able to continue to access these, even if they are below the minimum age requirements for the </w:t>
      </w:r>
      <w:r w:rsidR="007836DF" w:rsidRPr="000F6CD1">
        <w:rPr>
          <w:iCs/>
        </w:rPr>
        <w:t>Act</w:t>
      </w:r>
      <w:r w:rsidR="00C217D1" w:rsidRPr="000F6CD1">
        <w:t xml:space="preserve">, subject to any actions required for that individual to transition to the </w:t>
      </w:r>
      <w:r w:rsidR="007836DF" w:rsidRPr="000F6CD1">
        <w:t>Act</w:t>
      </w:r>
      <w:r w:rsidR="00C217D1" w:rsidRPr="000F6CD1">
        <w:t xml:space="preserve">. </w:t>
      </w:r>
    </w:p>
    <w:p w14:paraId="7C5A8EA1" w14:textId="36DA808A" w:rsidR="00673221" w:rsidRPr="000F6CD1" w:rsidRDefault="00673221" w:rsidP="006647CE">
      <w:pPr>
        <w:pStyle w:val="h2"/>
      </w:pPr>
      <w:bookmarkStart w:id="58" w:name="_Toc209188938"/>
      <w:bookmarkStart w:id="59" w:name="_Toc233282406"/>
      <w:r w:rsidRPr="000F6CD1">
        <w:t xml:space="preserve">Transition arrangements to the </w:t>
      </w:r>
      <w:r w:rsidRPr="000F6CD1">
        <w:rPr>
          <w:i/>
        </w:rPr>
        <w:t>Aged Care Act 2024</w:t>
      </w:r>
      <w:bookmarkEnd w:id="58"/>
      <w:bookmarkEnd w:id="59"/>
      <w:r w:rsidRPr="000F6CD1">
        <w:t> </w:t>
      </w:r>
    </w:p>
    <w:p w14:paraId="23A9EB92" w14:textId="5AFA7F0B" w:rsidR="0096629B" w:rsidRPr="000F6CD1" w:rsidRDefault="4F6A6B16" w:rsidP="008E6691">
      <w:pPr>
        <w:spacing w:before="240" w:after="240" w:line="240" w:lineRule="auto"/>
        <w:rPr>
          <w:rFonts w:eastAsia="Arial"/>
          <w:szCs w:val="22"/>
        </w:rPr>
      </w:pPr>
      <w:r w:rsidRPr="000F6CD1">
        <w:rPr>
          <w:rFonts w:eastAsia="Arial"/>
          <w:szCs w:val="22"/>
        </w:rPr>
        <w:t xml:space="preserve">As part of the commencement of the </w:t>
      </w:r>
      <w:r w:rsidRPr="000F6CD1">
        <w:rPr>
          <w:rFonts w:eastAsia="Arial"/>
          <w:i/>
          <w:iCs/>
          <w:szCs w:val="22"/>
        </w:rPr>
        <w:t xml:space="preserve">Aged Care Act 2024 </w:t>
      </w:r>
      <w:r w:rsidR="006F561B" w:rsidRPr="000F6CD1">
        <w:rPr>
          <w:rFonts w:eastAsia="Arial"/>
          <w:i/>
          <w:iCs/>
          <w:szCs w:val="22"/>
        </w:rPr>
        <w:t>(the Act)</w:t>
      </w:r>
      <w:r w:rsidRPr="000F6CD1">
        <w:rPr>
          <w:rFonts w:eastAsia="Arial"/>
          <w:szCs w:val="22"/>
        </w:rPr>
        <w:t xml:space="preserve"> on 1 November 2025, different transitional arrangements </w:t>
      </w:r>
      <w:r w:rsidR="000949FB" w:rsidRPr="000F6CD1">
        <w:rPr>
          <w:rFonts w:eastAsia="Arial"/>
          <w:szCs w:val="22"/>
        </w:rPr>
        <w:t xml:space="preserve">have been put in place </w:t>
      </w:r>
      <w:r w:rsidRPr="000F6CD1">
        <w:rPr>
          <w:rFonts w:eastAsia="Arial"/>
          <w:szCs w:val="22"/>
        </w:rPr>
        <w:t xml:space="preserve">for existing clients and new clients being assessed as eligible for </w:t>
      </w:r>
      <w:r w:rsidR="00F464CC" w:rsidRPr="000F6CD1">
        <w:rPr>
          <w:rFonts w:eastAsia="Arial"/>
          <w:szCs w:val="22"/>
        </w:rPr>
        <w:t xml:space="preserve">government funded </w:t>
      </w:r>
      <w:r w:rsidRPr="000F6CD1">
        <w:rPr>
          <w:rFonts w:eastAsia="Arial"/>
          <w:szCs w:val="22"/>
        </w:rPr>
        <w:t xml:space="preserve">aged care </w:t>
      </w:r>
      <w:r w:rsidR="00F464CC" w:rsidRPr="000F6CD1">
        <w:rPr>
          <w:rFonts w:eastAsia="Arial"/>
          <w:szCs w:val="22"/>
        </w:rPr>
        <w:t>services</w:t>
      </w:r>
      <w:r w:rsidRPr="000F6CD1">
        <w:rPr>
          <w:rFonts w:eastAsia="Arial"/>
          <w:szCs w:val="22"/>
        </w:rPr>
        <w:t xml:space="preserve">. </w:t>
      </w:r>
    </w:p>
    <w:p w14:paraId="7ECCEED8" w14:textId="2B867618" w:rsidR="00C409DB" w:rsidRPr="000F6CD1" w:rsidRDefault="00F464CC" w:rsidP="00FD7724">
      <w:pPr>
        <w:spacing w:before="240" w:after="240" w:line="240" w:lineRule="auto"/>
        <w:rPr>
          <w:rFonts w:eastAsia="Arial"/>
          <w:szCs w:val="22"/>
        </w:rPr>
      </w:pPr>
      <w:r w:rsidRPr="000F6CD1">
        <w:rPr>
          <w:rFonts w:eastAsia="Arial"/>
          <w:szCs w:val="22"/>
        </w:rPr>
        <w:t xml:space="preserve">Assessment staff </w:t>
      </w:r>
      <w:r w:rsidR="4F6A6B16" w:rsidRPr="000F6CD1">
        <w:rPr>
          <w:rFonts w:eastAsia="Arial"/>
          <w:szCs w:val="22"/>
        </w:rPr>
        <w:t xml:space="preserve">should </w:t>
      </w:r>
      <w:r w:rsidR="00E212A1" w:rsidRPr="000F6CD1">
        <w:rPr>
          <w:rFonts w:eastAsia="Arial"/>
          <w:szCs w:val="22"/>
        </w:rPr>
        <w:t xml:space="preserve">follow </w:t>
      </w:r>
      <w:r w:rsidR="4F6A6B16" w:rsidRPr="000F6CD1">
        <w:rPr>
          <w:rFonts w:eastAsia="Arial"/>
          <w:szCs w:val="22"/>
        </w:rPr>
        <w:t xml:space="preserve">the procedures outlined </w:t>
      </w:r>
      <w:r w:rsidR="00C409DB" w:rsidRPr="000F6CD1">
        <w:rPr>
          <w:rFonts w:eastAsia="Arial"/>
          <w:szCs w:val="22"/>
        </w:rPr>
        <w:t xml:space="preserve">in Table 1 </w:t>
      </w:r>
      <w:r w:rsidR="4F6A6B16" w:rsidRPr="000F6CD1">
        <w:rPr>
          <w:rFonts w:eastAsia="Arial"/>
          <w:szCs w:val="22"/>
        </w:rPr>
        <w:t xml:space="preserve">when managing approvals for </w:t>
      </w:r>
      <w:r w:rsidR="003A6C01" w:rsidRPr="000F6CD1">
        <w:rPr>
          <w:rFonts w:eastAsia="Arial"/>
          <w:szCs w:val="22"/>
        </w:rPr>
        <w:t>older people who transitioned</w:t>
      </w:r>
      <w:r w:rsidR="00841B2B" w:rsidRPr="000F6CD1">
        <w:rPr>
          <w:rFonts w:eastAsia="Arial"/>
          <w:szCs w:val="22"/>
        </w:rPr>
        <w:t xml:space="preserve"> from the </w:t>
      </w:r>
      <w:r w:rsidR="00841B2B" w:rsidRPr="000F6CD1">
        <w:rPr>
          <w:rFonts w:eastAsia="Arial"/>
          <w:i/>
          <w:iCs/>
          <w:szCs w:val="22"/>
        </w:rPr>
        <w:t>Aged Care Act 1997</w:t>
      </w:r>
      <w:r w:rsidR="00841B2B" w:rsidRPr="000F6CD1">
        <w:rPr>
          <w:rFonts w:eastAsia="Arial"/>
          <w:szCs w:val="22"/>
        </w:rPr>
        <w:t xml:space="preserve"> to the </w:t>
      </w:r>
      <w:r w:rsidR="00841B2B" w:rsidRPr="000F6CD1">
        <w:rPr>
          <w:rFonts w:eastAsia="Arial"/>
          <w:i/>
          <w:iCs/>
          <w:szCs w:val="22"/>
        </w:rPr>
        <w:t xml:space="preserve">Aged Care Act </w:t>
      </w:r>
      <w:r w:rsidR="00E7689A" w:rsidRPr="000F6CD1">
        <w:rPr>
          <w:rFonts w:eastAsia="Arial"/>
          <w:i/>
          <w:iCs/>
          <w:szCs w:val="22"/>
        </w:rPr>
        <w:t>2024</w:t>
      </w:r>
      <w:r w:rsidR="00E7689A" w:rsidRPr="000F6CD1">
        <w:rPr>
          <w:rFonts w:eastAsia="Arial"/>
          <w:szCs w:val="22"/>
        </w:rPr>
        <w:t>.</w:t>
      </w:r>
      <w:r w:rsidR="4F6A6B16" w:rsidRPr="000F6CD1">
        <w:rPr>
          <w:rFonts w:eastAsia="Arial"/>
          <w:szCs w:val="22"/>
        </w:rPr>
        <w:t xml:space="preserve"> </w:t>
      </w:r>
    </w:p>
    <w:p w14:paraId="47ABF3F9" w14:textId="42F1C97F" w:rsidR="00673800" w:rsidRPr="000F6CD1" w:rsidRDefault="00FD7724" w:rsidP="008E6691">
      <w:pPr>
        <w:spacing w:before="240" w:after="240" w:line="240" w:lineRule="auto"/>
        <w:rPr>
          <w:rFonts w:eastAsia="Arial"/>
          <w:szCs w:val="22"/>
        </w:rPr>
      </w:pPr>
      <w:r w:rsidRPr="000F6CD1">
        <w:rPr>
          <w:b/>
        </w:rPr>
        <w:t xml:space="preserve">Table </w:t>
      </w:r>
      <w:r w:rsidR="00C409DB" w:rsidRPr="000F6CD1">
        <w:rPr>
          <w:b/>
        </w:rPr>
        <w:t>1</w:t>
      </w:r>
      <w:r w:rsidRPr="000F6CD1">
        <w:rPr>
          <w:b/>
        </w:rPr>
        <w:t xml:space="preserve">: </w:t>
      </w:r>
      <w:r w:rsidR="00D2368A" w:rsidRPr="000F6CD1">
        <w:rPr>
          <w:b/>
        </w:rPr>
        <w:t xml:space="preserve">Transitional </w:t>
      </w:r>
      <w:r w:rsidR="003A0E5D" w:rsidRPr="000F6CD1">
        <w:rPr>
          <w:b/>
        </w:rPr>
        <w:t xml:space="preserve">Arrangements </w:t>
      </w:r>
      <w:r w:rsidR="00D2368A" w:rsidRPr="000F6CD1">
        <w:rPr>
          <w:b/>
        </w:rPr>
        <w:t xml:space="preserve">from 1 November 2025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ransition Rules from 1 November 2025 by cohort "/>
        <w:tblDescription w:val="An overview of transition rules from1 November 2025 for service programs; Home Care Packages, MPSP, NATSIFACP, CHSP, STRC, TCP, Residential Care and younger people "/>
      </w:tblPr>
      <w:tblGrid>
        <w:gridCol w:w="1691"/>
        <w:gridCol w:w="7324"/>
      </w:tblGrid>
      <w:tr w:rsidR="3FF2767D" w:rsidRPr="000F6CD1" w14:paraId="0FDE45EC" w14:textId="77777777" w:rsidTr="00DF55A5">
        <w:trPr>
          <w:trHeight w:val="300"/>
          <w:tblHeader/>
        </w:trPr>
        <w:tc>
          <w:tcPr>
            <w:tcW w:w="1691" w:type="dxa"/>
            <w:shd w:val="clear" w:color="auto" w:fill="002060"/>
            <w:tcMar>
              <w:top w:w="120" w:type="dxa"/>
              <w:left w:w="180" w:type="dxa"/>
              <w:bottom w:w="105" w:type="dxa"/>
              <w:right w:w="120" w:type="dxa"/>
            </w:tcMar>
          </w:tcPr>
          <w:p w14:paraId="43847BBE" w14:textId="1F8CDB45"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Cohort</w:t>
            </w:r>
          </w:p>
        </w:tc>
        <w:tc>
          <w:tcPr>
            <w:tcW w:w="7324" w:type="dxa"/>
            <w:shd w:val="clear" w:color="auto" w:fill="002060"/>
            <w:tcMar>
              <w:top w:w="120" w:type="dxa"/>
              <w:left w:w="180" w:type="dxa"/>
              <w:bottom w:w="105" w:type="dxa"/>
              <w:right w:w="120" w:type="dxa"/>
            </w:tcMar>
          </w:tcPr>
          <w:p w14:paraId="6624C9CD" w14:textId="76FC4499"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 xml:space="preserve">Transitional </w:t>
            </w:r>
            <w:r w:rsidR="003A0E5D" w:rsidRPr="000F6CD1">
              <w:rPr>
                <w:rFonts w:eastAsia="Arial"/>
                <w:b/>
                <w:bCs/>
                <w:color w:val="FFFFFF" w:themeColor="background1"/>
                <w:szCs w:val="22"/>
              </w:rPr>
              <w:t>Arrang</w:t>
            </w:r>
            <w:r w:rsidR="00D12281" w:rsidRPr="000F6CD1">
              <w:rPr>
                <w:rFonts w:eastAsia="Arial"/>
                <w:b/>
                <w:bCs/>
                <w:color w:val="FFFFFF" w:themeColor="background1"/>
                <w:szCs w:val="22"/>
              </w:rPr>
              <w:t>e</w:t>
            </w:r>
            <w:r w:rsidR="003A0E5D" w:rsidRPr="000F6CD1">
              <w:rPr>
                <w:rFonts w:eastAsia="Arial"/>
                <w:b/>
                <w:bCs/>
                <w:color w:val="FFFFFF" w:themeColor="background1"/>
                <w:szCs w:val="22"/>
              </w:rPr>
              <w:t xml:space="preserve">ments </w:t>
            </w:r>
            <w:r w:rsidRPr="000F6CD1">
              <w:rPr>
                <w:rFonts w:eastAsia="Arial"/>
                <w:b/>
                <w:bCs/>
                <w:color w:val="FFFFFF" w:themeColor="background1"/>
                <w:szCs w:val="22"/>
              </w:rPr>
              <w:t>from 1 November 2025</w:t>
            </w:r>
          </w:p>
        </w:tc>
      </w:tr>
      <w:tr w:rsidR="3FF2767D" w:rsidRPr="000F6CD1" w14:paraId="21D008C8" w14:textId="77777777" w:rsidTr="00DF55A5">
        <w:trPr>
          <w:trHeight w:val="300"/>
        </w:trPr>
        <w:tc>
          <w:tcPr>
            <w:tcW w:w="1691" w:type="dxa"/>
            <w:shd w:val="clear" w:color="auto" w:fill="002060"/>
            <w:tcMar>
              <w:top w:w="120" w:type="dxa"/>
              <w:left w:w="180" w:type="dxa"/>
              <w:bottom w:w="105" w:type="dxa"/>
              <w:right w:w="120" w:type="dxa"/>
            </w:tcMar>
          </w:tcPr>
          <w:p w14:paraId="4C61B4B9" w14:textId="1A3C0F90"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Home Care Package (HCP)</w:t>
            </w:r>
          </w:p>
        </w:tc>
        <w:tc>
          <w:tcPr>
            <w:tcW w:w="7324" w:type="dxa"/>
            <w:shd w:val="clear" w:color="auto" w:fill="FFFFFF" w:themeFill="background1"/>
            <w:tcMar>
              <w:top w:w="120" w:type="dxa"/>
              <w:left w:w="180" w:type="dxa"/>
              <w:bottom w:w="105" w:type="dxa"/>
              <w:right w:w="120" w:type="dxa"/>
            </w:tcMar>
          </w:tcPr>
          <w:p w14:paraId="05B098F3" w14:textId="67A227BA" w:rsidR="3FF2767D" w:rsidRPr="000F6CD1" w:rsidRDefault="3FF2767D" w:rsidP="00DF3F6B">
            <w:pPr>
              <w:pStyle w:val="ListParagraph"/>
              <w:numPr>
                <w:ilvl w:val="0"/>
                <w:numId w:val="425"/>
              </w:numPr>
              <w:spacing w:before="240" w:after="240" w:line="240" w:lineRule="auto"/>
              <w:ind w:left="360"/>
              <w:rPr>
                <w:rFonts w:eastAsia="Arial"/>
                <w:color w:val="000000" w:themeColor="text1"/>
                <w:szCs w:val="22"/>
              </w:rPr>
            </w:pPr>
            <w:r w:rsidRPr="000F6CD1">
              <w:rPr>
                <w:rFonts w:eastAsia="Arial"/>
                <w:color w:val="000000" w:themeColor="text1"/>
                <w:szCs w:val="22"/>
              </w:rPr>
              <w:t>All HCP recipients transition</w:t>
            </w:r>
            <w:r w:rsidR="00D36510" w:rsidRPr="000F6CD1">
              <w:rPr>
                <w:rFonts w:eastAsia="Arial"/>
                <w:color w:val="000000" w:themeColor="text1"/>
                <w:szCs w:val="22"/>
              </w:rPr>
              <w:t>ed</w:t>
            </w:r>
            <w:r w:rsidRPr="000F6CD1">
              <w:rPr>
                <w:rFonts w:eastAsia="Arial"/>
                <w:color w:val="000000" w:themeColor="text1"/>
                <w:szCs w:val="22"/>
              </w:rPr>
              <w:t xml:space="preserve"> to Support at Home.</w:t>
            </w:r>
            <w:r w:rsidRPr="000F6CD1">
              <w:br/>
            </w:r>
            <w:r w:rsidRPr="000F6CD1">
              <w:rPr>
                <w:rFonts w:eastAsia="Arial"/>
                <w:color w:val="000000" w:themeColor="text1"/>
                <w:szCs w:val="22"/>
              </w:rPr>
              <w:t xml:space="preserve"> - Assigned one of four Transitioned HCP classifications based on their current HCP level.</w:t>
            </w:r>
          </w:p>
          <w:p w14:paraId="748B3682" w14:textId="1CA693C1" w:rsidR="3FF2767D" w:rsidRPr="000F6CD1" w:rsidRDefault="3FF2767D" w:rsidP="00DF3F6B">
            <w:pPr>
              <w:pStyle w:val="ListParagraph"/>
              <w:numPr>
                <w:ilvl w:val="0"/>
                <w:numId w:val="425"/>
              </w:numPr>
              <w:spacing w:before="240" w:after="240" w:line="240" w:lineRule="auto"/>
              <w:ind w:left="360"/>
              <w:rPr>
                <w:rFonts w:eastAsia="Arial"/>
                <w:color w:val="000000" w:themeColor="text1"/>
                <w:szCs w:val="22"/>
              </w:rPr>
            </w:pPr>
            <w:r w:rsidRPr="000F6CD1">
              <w:rPr>
                <w:rFonts w:eastAsia="Arial"/>
                <w:color w:val="000000" w:themeColor="text1"/>
                <w:szCs w:val="22"/>
              </w:rPr>
              <w:t>No Support at Home classification (Levels 1–8) assigned at transition.</w:t>
            </w:r>
          </w:p>
          <w:p w14:paraId="1A972531" w14:textId="30AC1F97" w:rsidR="3FF2767D" w:rsidRPr="000F6CD1" w:rsidRDefault="3FF2767D" w:rsidP="00DF3F6B">
            <w:pPr>
              <w:pStyle w:val="ListParagraph"/>
              <w:numPr>
                <w:ilvl w:val="0"/>
                <w:numId w:val="425"/>
              </w:numPr>
              <w:spacing w:before="240" w:after="240" w:line="240" w:lineRule="auto"/>
              <w:ind w:left="360"/>
              <w:rPr>
                <w:rFonts w:eastAsia="Arial"/>
                <w:color w:val="000000" w:themeColor="text1"/>
                <w:szCs w:val="22"/>
              </w:rPr>
            </w:pPr>
            <w:r w:rsidRPr="000F6CD1">
              <w:rPr>
                <w:rFonts w:eastAsia="Arial"/>
                <w:color w:val="000000" w:themeColor="text1"/>
                <w:szCs w:val="22"/>
              </w:rPr>
              <w:t>Transitional classification can be retained indefinitely, even after reassessment, if more beneficial.</w:t>
            </w:r>
          </w:p>
        </w:tc>
      </w:tr>
      <w:tr w:rsidR="3FF2767D" w:rsidRPr="000F6CD1" w14:paraId="6F1B2482" w14:textId="77777777" w:rsidTr="00DF55A5">
        <w:trPr>
          <w:trHeight w:val="300"/>
        </w:trPr>
        <w:tc>
          <w:tcPr>
            <w:tcW w:w="1691" w:type="dxa"/>
            <w:shd w:val="clear" w:color="auto" w:fill="002060"/>
            <w:tcMar>
              <w:top w:w="120" w:type="dxa"/>
              <w:left w:w="180" w:type="dxa"/>
              <w:bottom w:w="105" w:type="dxa"/>
              <w:right w:w="120" w:type="dxa"/>
            </w:tcMar>
          </w:tcPr>
          <w:p w14:paraId="60F40419" w14:textId="07C6051E"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Multi-Purpose Services Program (MPSP)</w:t>
            </w:r>
          </w:p>
        </w:tc>
        <w:tc>
          <w:tcPr>
            <w:tcW w:w="7324" w:type="dxa"/>
            <w:shd w:val="clear" w:color="auto" w:fill="FFFFFF" w:themeFill="background1"/>
            <w:tcMar>
              <w:top w:w="120" w:type="dxa"/>
              <w:left w:w="180" w:type="dxa"/>
              <w:bottom w:w="105" w:type="dxa"/>
              <w:right w:w="120" w:type="dxa"/>
            </w:tcMar>
          </w:tcPr>
          <w:p w14:paraId="4CDCE47A" w14:textId="3314D1B7" w:rsidR="3FF2767D" w:rsidRPr="000F6CD1" w:rsidRDefault="3FF2767D" w:rsidP="00DF3F6B">
            <w:pPr>
              <w:pStyle w:val="ListParagraph"/>
              <w:numPr>
                <w:ilvl w:val="0"/>
                <w:numId w:val="424"/>
              </w:numPr>
              <w:spacing w:before="240" w:after="240" w:line="240" w:lineRule="auto"/>
              <w:ind w:left="360"/>
              <w:rPr>
                <w:rFonts w:eastAsia="Arial"/>
                <w:color w:val="000000" w:themeColor="text1"/>
                <w:szCs w:val="22"/>
              </w:rPr>
            </w:pPr>
            <w:r w:rsidRPr="000F6CD1">
              <w:rPr>
                <w:rFonts w:eastAsia="Arial"/>
                <w:color w:val="000000" w:themeColor="text1"/>
                <w:szCs w:val="22"/>
              </w:rPr>
              <w:t>Home/community services recipients (or those starting within 3 months) automatically approved for:</w:t>
            </w:r>
            <w:r w:rsidRPr="000F6CD1">
              <w:br/>
            </w:r>
            <w:r w:rsidRPr="000F6CD1">
              <w:rPr>
                <w:rFonts w:eastAsia="Arial"/>
                <w:color w:val="000000" w:themeColor="text1"/>
                <w:szCs w:val="22"/>
              </w:rPr>
              <w:t xml:space="preserve"> - Ongoing/short-term home support</w:t>
            </w:r>
            <w:r w:rsidRPr="000F6CD1">
              <w:br/>
            </w:r>
            <w:r w:rsidRPr="000F6CD1">
              <w:rPr>
                <w:rFonts w:eastAsia="Arial"/>
                <w:color w:val="000000" w:themeColor="text1"/>
                <w:szCs w:val="22"/>
              </w:rPr>
              <w:t xml:space="preserve"> - Assistive Technology (AT)</w:t>
            </w:r>
            <w:r w:rsidRPr="000F6CD1">
              <w:br/>
            </w:r>
            <w:r w:rsidRPr="000F6CD1">
              <w:rPr>
                <w:rFonts w:eastAsia="Arial"/>
                <w:color w:val="000000" w:themeColor="text1"/>
                <w:szCs w:val="22"/>
              </w:rPr>
              <w:t xml:space="preserve"> - Home Modifications (HM)</w:t>
            </w:r>
          </w:p>
          <w:p w14:paraId="5D16766E" w14:textId="01302196" w:rsidR="3FF2767D" w:rsidRPr="000F6CD1" w:rsidRDefault="3FF2767D" w:rsidP="00DF3F6B">
            <w:pPr>
              <w:pStyle w:val="ListParagraph"/>
              <w:numPr>
                <w:ilvl w:val="0"/>
                <w:numId w:val="424"/>
              </w:numPr>
              <w:spacing w:before="240" w:after="240" w:line="240" w:lineRule="auto"/>
              <w:ind w:left="360"/>
              <w:rPr>
                <w:rFonts w:eastAsia="Arial"/>
                <w:color w:val="000000" w:themeColor="text1"/>
                <w:szCs w:val="22"/>
              </w:rPr>
            </w:pPr>
            <w:r w:rsidRPr="000F6CD1">
              <w:rPr>
                <w:rFonts w:eastAsia="Arial"/>
                <w:color w:val="000000" w:themeColor="text1"/>
                <w:szCs w:val="22"/>
              </w:rPr>
              <w:t>Residential aged care recipients (or those starting within 3 months) approved for ongoing/short-term residential care.</w:t>
            </w:r>
          </w:p>
        </w:tc>
      </w:tr>
      <w:tr w:rsidR="3FF2767D" w:rsidRPr="000F6CD1" w14:paraId="269BE7D1" w14:textId="77777777" w:rsidTr="00DF55A5">
        <w:trPr>
          <w:trHeight w:val="300"/>
        </w:trPr>
        <w:tc>
          <w:tcPr>
            <w:tcW w:w="1691" w:type="dxa"/>
            <w:shd w:val="clear" w:color="auto" w:fill="002060"/>
            <w:tcMar>
              <w:top w:w="120" w:type="dxa"/>
              <w:left w:w="180" w:type="dxa"/>
              <w:bottom w:w="105" w:type="dxa"/>
              <w:right w:w="120" w:type="dxa"/>
            </w:tcMar>
          </w:tcPr>
          <w:p w14:paraId="28D4EC54" w14:textId="678CF519"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NATSIFAC</w:t>
            </w:r>
            <w:r w:rsidR="00CE396F" w:rsidRPr="000F6CD1">
              <w:rPr>
                <w:rFonts w:eastAsia="Arial"/>
                <w:b/>
                <w:bCs/>
                <w:color w:val="FFFFFF" w:themeColor="background1"/>
                <w:szCs w:val="22"/>
              </w:rPr>
              <w:t>P</w:t>
            </w:r>
          </w:p>
        </w:tc>
        <w:tc>
          <w:tcPr>
            <w:tcW w:w="7324" w:type="dxa"/>
            <w:shd w:val="clear" w:color="auto" w:fill="FFFFFF" w:themeFill="background1"/>
            <w:tcMar>
              <w:top w:w="120" w:type="dxa"/>
              <w:left w:w="180" w:type="dxa"/>
              <w:bottom w:w="105" w:type="dxa"/>
              <w:right w:w="120" w:type="dxa"/>
            </w:tcMar>
          </w:tcPr>
          <w:p w14:paraId="56D6AC55" w14:textId="761E3554" w:rsidR="3FF2767D" w:rsidRPr="000F6CD1" w:rsidRDefault="3FF2767D" w:rsidP="00DF3F6B">
            <w:pPr>
              <w:pStyle w:val="ListParagraph"/>
              <w:numPr>
                <w:ilvl w:val="0"/>
                <w:numId w:val="423"/>
              </w:numPr>
              <w:spacing w:before="240" w:after="240" w:line="240" w:lineRule="auto"/>
              <w:ind w:left="360"/>
              <w:rPr>
                <w:rFonts w:eastAsia="Arial"/>
                <w:color w:val="000000" w:themeColor="text1"/>
                <w:szCs w:val="22"/>
              </w:rPr>
            </w:pPr>
            <w:r w:rsidRPr="000F6CD1">
              <w:rPr>
                <w:rFonts w:eastAsia="Arial"/>
                <w:color w:val="000000" w:themeColor="text1"/>
                <w:szCs w:val="22"/>
              </w:rPr>
              <w:t xml:space="preserve">Individuals receiving NATSIFACP services in the 12 months before 1 Nov 2025 are automatically eligible under the </w:t>
            </w:r>
            <w:r w:rsidR="007836DF" w:rsidRPr="000F6CD1">
              <w:rPr>
                <w:rFonts w:eastAsia="Arial"/>
                <w:color w:val="000000" w:themeColor="text1"/>
                <w:szCs w:val="22"/>
              </w:rPr>
              <w:t>Act</w:t>
            </w:r>
            <w:r w:rsidRPr="000F6CD1">
              <w:rPr>
                <w:rFonts w:eastAsia="Arial"/>
                <w:color w:val="000000" w:themeColor="text1"/>
                <w:szCs w:val="22"/>
              </w:rPr>
              <w:t>.</w:t>
            </w:r>
          </w:p>
          <w:p w14:paraId="0AE09EF4" w14:textId="77777777" w:rsidR="00271740" w:rsidRPr="000F6CD1" w:rsidRDefault="3FF2767D" w:rsidP="00DF3F6B">
            <w:pPr>
              <w:pStyle w:val="ListParagraph"/>
              <w:numPr>
                <w:ilvl w:val="0"/>
                <w:numId w:val="423"/>
              </w:numPr>
              <w:spacing w:before="240" w:after="240" w:line="240" w:lineRule="auto"/>
              <w:ind w:left="360"/>
              <w:rPr>
                <w:rFonts w:eastAsia="Arial"/>
                <w:color w:val="000000" w:themeColor="text1"/>
                <w:szCs w:val="22"/>
              </w:rPr>
            </w:pPr>
            <w:r w:rsidRPr="000F6CD1">
              <w:rPr>
                <w:rFonts w:eastAsia="Arial"/>
                <w:color w:val="000000" w:themeColor="text1"/>
                <w:szCs w:val="22"/>
              </w:rPr>
              <w:t>No new assessment required unless care needs change.</w:t>
            </w:r>
          </w:p>
          <w:p w14:paraId="246A0E96" w14:textId="4E89349F" w:rsidR="008E2865" w:rsidRPr="000F6CD1" w:rsidRDefault="00271740" w:rsidP="00DF3F6B">
            <w:pPr>
              <w:pStyle w:val="ListParagraph"/>
              <w:numPr>
                <w:ilvl w:val="0"/>
                <w:numId w:val="423"/>
              </w:numPr>
              <w:spacing w:before="240" w:after="240" w:line="240" w:lineRule="auto"/>
              <w:ind w:left="360"/>
              <w:rPr>
                <w:rFonts w:eastAsia="Arial"/>
                <w:color w:val="000000" w:themeColor="text1"/>
                <w:szCs w:val="22"/>
              </w:rPr>
            </w:pPr>
            <w:r w:rsidRPr="000F6CD1">
              <w:lastRenderedPageBreak/>
              <w:t>All new clients post 1 November are required to make an application for funded aged care services</w:t>
            </w:r>
            <w:r w:rsidR="002A0421" w:rsidRPr="000F6CD1">
              <w:t xml:space="preserve"> by registering with M</w:t>
            </w:r>
            <w:r w:rsidR="007867F0" w:rsidRPr="000F6CD1">
              <w:t xml:space="preserve">y </w:t>
            </w:r>
            <w:r w:rsidR="002A0421" w:rsidRPr="000F6CD1">
              <w:t>A</w:t>
            </w:r>
            <w:r w:rsidR="007867F0" w:rsidRPr="000F6CD1">
              <w:t xml:space="preserve">ged </w:t>
            </w:r>
            <w:r w:rsidR="002A0421" w:rsidRPr="000F6CD1">
              <w:t>C</w:t>
            </w:r>
            <w:r w:rsidR="007867F0" w:rsidRPr="000F6CD1">
              <w:t>are</w:t>
            </w:r>
            <w:r w:rsidRPr="000F6CD1">
              <w:t xml:space="preserve">, undergo a needs assessment and obtain an access approval for one or more service groups in place to access services delivered under NATSIFACP. </w:t>
            </w:r>
          </w:p>
          <w:p w14:paraId="28C1C404" w14:textId="27AFF581" w:rsidR="00271740" w:rsidRPr="000F6CD1" w:rsidRDefault="00271740" w:rsidP="00DF3F6B">
            <w:pPr>
              <w:pStyle w:val="ListParagraph"/>
              <w:numPr>
                <w:ilvl w:val="0"/>
                <w:numId w:val="423"/>
              </w:numPr>
              <w:spacing w:before="240" w:after="240" w:line="240" w:lineRule="auto"/>
              <w:ind w:left="360"/>
              <w:rPr>
                <w:rFonts w:eastAsia="Arial"/>
                <w:color w:val="000000" w:themeColor="text1"/>
                <w:szCs w:val="22"/>
              </w:rPr>
            </w:pPr>
            <w:r w:rsidRPr="000F6CD1">
              <w:t xml:space="preserve">However, they can receive NATSIFACP services before assessment if they meet the criteria for alternative entry. </w:t>
            </w:r>
          </w:p>
          <w:p w14:paraId="71AD7D65" w14:textId="3C109520" w:rsidR="3FF2767D" w:rsidRPr="000F6CD1" w:rsidRDefault="3FF2767D" w:rsidP="008E6691">
            <w:pPr>
              <w:pStyle w:val="ListParagraph"/>
              <w:spacing w:before="240" w:after="240" w:line="240" w:lineRule="auto"/>
              <w:ind w:left="360"/>
              <w:rPr>
                <w:rFonts w:eastAsia="Arial"/>
                <w:color w:val="000000" w:themeColor="text1"/>
                <w:szCs w:val="22"/>
              </w:rPr>
            </w:pPr>
          </w:p>
        </w:tc>
      </w:tr>
      <w:tr w:rsidR="3FF2767D" w:rsidRPr="000F6CD1" w14:paraId="37816FFC" w14:textId="77777777" w:rsidTr="00DF55A5">
        <w:trPr>
          <w:trHeight w:val="300"/>
        </w:trPr>
        <w:tc>
          <w:tcPr>
            <w:tcW w:w="1691" w:type="dxa"/>
            <w:shd w:val="clear" w:color="auto" w:fill="002060"/>
            <w:tcMar>
              <w:top w:w="120" w:type="dxa"/>
              <w:left w:w="180" w:type="dxa"/>
              <w:bottom w:w="105" w:type="dxa"/>
              <w:right w:w="120" w:type="dxa"/>
            </w:tcMar>
          </w:tcPr>
          <w:p w14:paraId="59BB7A30" w14:textId="24AD48A9"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lastRenderedPageBreak/>
              <w:t>Commonwealth Home Support Program (CHSP)</w:t>
            </w:r>
          </w:p>
        </w:tc>
        <w:tc>
          <w:tcPr>
            <w:tcW w:w="7324" w:type="dxa"/>
            <w:shd w:val="clear" w:color="auto" w:fill="FFFFFF" w:themeFill="background1"/>
            <w:tcMar>
              <w:top w:w="120" w:type="dxa"/>
              <w:left w:w="180" w:type="dxa"/>
              <w:bottom w:w="90" w:type="dxa"/>
              <w:right w:w="120" w:type="dxa"/>
            </w:tcMar>
          </w:tcPr>
          <w:p w14:paraId="65A6FC59" w14:textId="69BDA6B0" w:rsidR="3FF2767D" w:rsidRPr="000F6CD1" w:rsidRDefault="3FF2767D" w:rsidP="00DF3F6B">
            <w:pPr>
              <w:pStyle w:val="ListParagraph"/>
              <w:numPr>
                <w:ilvl w:val="0"/>
                <w:numId w:val="422"/>
              </w:numPr>
              <w:spacing w:before="240" w:after="240" w:line="240" w:lineRule="auto"/>
              <w:ind w:left="360"/>
              <w:rPr>
                <w:rFonts w:eastAsia="Arial"/>
                <w:color w:val="000000" w:themeColor="text1"/>
                <w:szCs w:val="22"/>
              </w:rPr>
            </w:pPr>
            <w:r w:rsidRPr="000F6CD1">
              <w:rPr>
                <w:rFonts w:eastAsia="Arial"/>
                <w:color w:val="000000" w:themeColor="text1"/>
                <w:szCs w:val="22"/>
              </w:rPr>
              <w:t>Registered and assessed clients automatically transition and continue accessing services.</w:t>
            </w:r>
          </w:p>
          <w:p w14:paraId="3BDBA71E" w14:textId="60245606" w:rsidR="3FF2767D" w:rsidRPr="000F6CD1" w:rsidRDefault="3FF2767D" w:rsidP="00DF3F6B">
            <w:pPr>
              <w:pStyle w:val="ListParagraph"/>
              <w:numPr>
                <w:ilvl w:val="0"/>
                <w:numId w:val="422"/>
              </w:numPr>
              <w:spacing w:before="240" w:after="240" w:line="240" w:lineRule="auto"/>
              <w:ind w:left="360"/>
              <w:rPr>
                <w:rFonts w:eastAsia="Arial"/>
                <w:color w:val="000000" w:themeColor="text1"/>
                <w:szCs w:val="22"/>
              </w:rPr>
            </w:pPr>
            <w:r w:rsidRPr="000F6CD1">
              <w:rPr>
                <w:rFonts w:eastAsia="Arial"/>
                <w:color w:val="000000" w:themeColor="text1"/>
                <w:szCs w:val="22"/>
              </w:rPr>
              <w:t>Unregistered</w:t>
            </w:r>
            <w:r w:rsidR="067971A3" w:rsidRPr="000F6CD1">
              <w:rPr>
                <w:rFonts w:eastAsia="Arial"/>
                <w:color w:val="000000" w:themeColor="text1"/>
              </w:rPr>
              <w:t xml:space="preserve"> and </w:t>
            </w:r>
            <w:r w:rsidRPr="000F6CD1">
              <w:rPr>
                <w:rFonts w:eastAsia="Arial"/>
                <w:color w:val="000000" w:themeColor="text1"/>
              </w:rPr>
              <w:t>unassessed</w:t>
            </w:r>
            <w:r w:rsidRPr="000F6CD1">
              <w:rPr>
                <w:rFonts w:eastAsia="Arial"/>
                <w:color w:val="000000" w:themeColor="text1"/>
                <w:szCs w:val="22"/>
              </w:rPr>
              <w:t xml:space="preserve"> clients must </w:t>
            </w:r>
            <w:r w:rsidR="00DC466F" w:rsidRPr="000F6CD1">
              <w:rPr>
                <w:rFonts w:eastAsia="Arial"/>
                <w:color w:val="000000" w:themeColor="text1"/>
                <w:szCs w:val="22"/>
              </w:rPr>
              <w:t xml:space="preserve">have </w:t>
            </w:r>
            <w:r w:rsidRPr="000F6CD1">
              <w:rPr>
                <w:rFonts w:eastAsia="Arial"/>
                <w:color w:val="000000" w:themeColor="text1"/>
                <w:szCs w:val="22"/>
              </w:rPr>
              <w:t>be</w:t>
            </w:r>
            <w:r w:rsidR="009B4BC3" w:rsidRPr="000F6CD1">
              <w:rPr>
                <w:rFonts w:eastAsia="Arial"/>
                <w:color w:val="000000" w:themeColor="text1"/>
                <w:szCs w:val="22"/>
              </w:rPr>
              <w:t>en</w:t>
            </w:r>
            <w:r w:rsidRPr="000F6CD1">
              <w:rPr>
                <w:rFonts w:eastAsia="Arial"/>
                <w:color w:val="000000" w:themeColor="text1"/>
                <w:szCs w:val="22"/>
              </w:rPr>
              <w:t xml:space="preserve"> assessed by 31 </w:t>
            </w:r>
            <w:r w:rsidR="6B9FE7BB" w:rsidRPr="000F6CD1">
              <w:rPr>
                <w:rFonts w:eastAsia="Arial"/>
                <w:color w:val="000000" w:themeColor="text1"/>
              </w:rPr>
              <w:t>Oct</w:t>
            </w:r>
            <w:r w:rsidR="001A1F98" w:rsidRPr="000F6CD1">
              <w:rPr>
                <w:rFonts w:eastAsia="Arial"/>
                <w:color w:val="000000" w:themeColor="text1"/>
              </w:rPr>
              <w:t>ober</w:t>
            </w:r>
            <w:r w:rsidRPr="000F6CD1">
              <w:rPr>
                <w:rFonts w:eastAsia="Arial"/>
                <w:color w:val="000000" w:themeColor="text1"/>
                <w:szCs w:val="22"/>
              </w:rPr>
              <w:t xml:space="preserve"> 2025 to continue </w:t>
            </w:r>
            <w:r w:rsidR="5E62102B" w:rsidRPr="000F6CD1">
              <w:rPr>
                <w:rFonts w:eastAsia="Arial"/>
                <w:color w:val="000000" w:themeColor="text1"/>
              </w:rPr>
              <w:t>accessing</w:t>
            </w:r>
            <w:r w:rsidRPr="000F6CD1">
              <w:rPr>
                <w:rFonts w:eastAsia="Arial"/>
                <w:color w:val="000000" w:themeColor="text1"/>
                <w:szCs w:val="22"/>
              </w:rPr>
              <w:t xml:space="preserve"> services.</w:t>
            </w:r>
          </w:p>
          <w:p w14:paraId="180273CF" w14:textId="6CDF2F9E" w:rsidR="3FF2767D" w:rsidRPr="000F6CD1" w:rsidRDefault="3FF2767D" w:rsidP="00DF3F6B">
            <w:pPr>
              <w:pStyle w:val="ListParagraph"/>
              <w:numPr>
                <w:ilvl w:val="0"/>
                <w:numId w:val="422"/>
              </w:numPr>
              <w:spacing w:before="240" w:after="240" w:line="240" w:lineRule="auto"/>
              <w:ind w:left="360"/>
              <w:rPr>
                <w:rFonts w:eastAsia="Arial"/>
                <w:color w:val="000000" w:themeColor="text1"/>
                <w:szCs w:val="22"/>
              </w:rPr>
            </w:pPr>
            <w:r w:rsidRPr="000F6CD1">
              <w:rPr>
                <w:rFonts w:eastAsia="Arial"/>
                <w:color w:val="000000" w:themeColor="text1"/>
                <w:szCs w:val="22"/>
              </w:rPr>
              <w:t xml:space="preserve">Grandfathered clients (from pre-2015 programs) </w:t>
            </w:r>
            <w:r w:rsidR="1A19281C" w:rsidRPr="000F6CD1">
              <w:rPr>
                <w:rFonts w:eastAsia="Arial"/>
                <w:color w:val="000000" w:themeColor="text1"/>
              </w:rPr>
              <w:t xml:space="preserve">who have never been assessed </w:t>
            </w:r>
            <w:r w:rsidRPr="000F6CD1">
              <w:rPr>
                <w:rFonts w:eastAsia="Arial"/>
                <w:color w:val="000000" w:themeColor="text1"/>
                <w:szCs w:val="22"/>
              </w:rPr>
              <w:t xml:space="preserve">must undergo </w:t>
            </w:r>
            <w:r w:rsidR="2E201B3B" w:rsidRPr="000F6CD1">
              <w:rPr>
                <w:rFonts w:eastAsia="Arial"/>
                <w:color w:val="000000" w:themeColor="text1"/>
              </w:rPr>
              <w:t>an</w:t>
            </w:r>
            <w:r w:rsidR="6B9FE7BB" w:rsidRPr="000F6CD1">
              <w:rPr>
                <w:rFonts w:eastAsia="Arial"/>
                <w:color w:val="000000" w:themeColor="text1"/>
              </w:rPr>
              <w:t xml:space="preserve"> </w:t>
            </w:r>
            <w:r w:rsidRPr="000F6CD1">
              <w:rPr>
                <w:rFonts w:eastAsia="Arial"/>
                <w:color w:val="000000" w:themeColor="text1"/>
                <w:szCs w:val="22"/>
              </w:rPr>
              <w:t>assessment.</w:t>
            </w:r>
          </w:p>
          <w:p w14:paraId="3AB80B34" w14:textId="54E4681C" w:rsidR="3FF2767D" w:rsidRPr="000F6CD1" w:rsidRDefault="002C0AD8" w:rsidP="00DF3F6B">
            <w:pPr>
              <w:pStyle w:val="ListParagraph"/>
              <w:numPr>
                <w:ilvl w:val="0"/>
                <w:numId w:val="422"/>
              </w:numPr>
              <w:spacing w:before="240" w:after="240" w:line="240" w:lineRule="auto"/>
              <w:ind w:left="360"/>
              <w:rPr>
                <w:rFonts w:eastAsia="Arial"/>
                <w:color w:val="000000" w:themeColor="text1"/>
              </w:rPr>
            </w:pPr>
            <w:r w:rsidRPr="000F6CD1">
              <w:rPr>
                <w:rFonts w:eastAsia="Arial"/>
                <w:color w:val="000000" w:themeColor="text1"/>
              </w:rPr>
              <w:t>Under the transitional arrangements</w:t>
            </w:r>
            <w:r w:rsidR="00B81528" w:rsidRPr="000F6CD1">
              <w:rPr>
                <w:rFonts w:eastAsia="Arial"/>
                <w:color w:val="000000" w:themeColor="text1"/>
              </w:rPr>
              <w:t xml:space="preserve"> </w:t>
            </w:r>
            <w:r w:rsidR="36CE8145" w:rsidRPr="000F6CD1">
              <w:rPr>
                <w:rFonts w:eastAsia="Arial"/>
                <w:color w:val="000000" w:themeColor="text1"/>
              </w:rPr>
              <w:t xml:space="preserve">and under </w:t>
            </w:r>
            <w:r w:rsidR="00B81528" w:rsidRPr="000F6CD1">
              <w:rPr>
                <w:rFonts w:eastAsia="Arial"/>
                <w:color w:val="000000" w:themeColor="text1"/>
              </w:rPr>
              <w:t>section 71 of the Act</w:t>
            </w:r>
            <w:r w:rsidRPr="000F6CD1">
              <w:rPr>
                <w:rFonts w:eastAsia="Arial"/>
                <w:color w:val="000000" w:themeColor="text1"/>
              </w:rPr>
              <w:t>, CHSP c</w:t>
            </w:r>
            <w:r w:rsidR="3FF2767D" w:rsidRPr="000F6CD1">
              <w:rPr>
                <w:rFonts w:eastAsia="Arial"/>
                <w:color w:val="000000" w:themeColor="text1"/>
              </w:rPr>
              <w:t>lients</w:t>
            </w:r>
            <w:r w:rsidR="4770AA5F" w:rsidRPr="000F6CD1">
              <w:rPr>
                <w:rFonts w:eastAsia="Arial"/>
                <w:color w:val="000000" w:themeColor="text1"/>
              </w:rPr>
              <w:t xml:space="preserve"> who </w:t>
            </w:r>
            <w:r w:rsidR="008C290E" w:rsidRPr="000F6CD1">
              <w:rPr>
                <w:rFonts w:eastAsia="Arial"/>
                <w:color w:val="000000" w:themeColor="text1"/>
              </w:rPr>
              <w:t>have</w:t>
            </w:r>
            <w:r w:rsidR="4770AA5F" w:rsidRPr="000F6CD1">
              <w:rPr>
                <w:rFonts w:eastAsia="Arial"/>
                <w:color w:val="000000" w:themeColor="text1"/>
              </w:rPr>
              <w:t xml:space="preserve"> accessed </w:t>
            </w:r>
            <w:r w:rsidR="78D8007D" w:rsidRPr="000F6CD1">
              <w:rPr>
                <w:rFonts w:eastAsia="Arial"/>
                <w:color w:val="000000" w:themeColor="text1"/>
              </w:rPr>
              <w:t xml:space="preserve">a </w:t>
            </w:r>
            <w:r w:rsidR="0570E2CE" w:rsidRPr="000F6CD1">
              <w:rPr>
                <w:rFonts w:eastAsia="Arial"/>
                <w:color w:val="000000" w:themeColor="text1"/>
              </w:rPr>
              <w:t>CHSP</w:t>
            </w:r>
            <w:r w:rsidR="4770AA5F" w:rsidRPr="000F6CD1">
              <w:rPr>
                <w:rFonts w:eastAsia="Arial"/>
                <w:color w:val="000000" w:themeColor="text1"/>
              </w:rPr>
              <w:t xml:space="preserve"> service </w:t>
            </w:r>
            <w:r w:rsidR="00B81528" w:rsidRPr="000F6CD1">
              <w:rPr>
                <w:rFonts w:eastAsia="Arial"/>
                <w:color w:val="000000" w:themeColor="text1"/>
              </w:rPr>
              <w:t>by 31 October</w:t>
            </w:r>
            <w:r w:rsidR="4770AA5F" w:rsidRPr="000F6CD1">
              <w:rPr>
                <w:rFonts w:eastAsia="Arial"/>
                <w:color w:val="000000" w:themeColor="text1"/>
              </w:rPr>
              <w:t xml:space="preserve"> 2025 and are</w:t>
            </w:r>
            <w:r w:rsidR="3FF2767D" w:rsidRPr="000F6CD1">
              <w:rPr>
                <w:rFonts w:eastAsia="Arial"/>
                <w:color w:val="000000" w:themeColor="text1"/>
              </w:rPr>
              <w:t xml:space="preserve"> awaiting assessment on or after 1 Nov</w:t>
            </w:r>
            <w:r w:rsidR="6E8519D0" w:rsidRPr="000F6CD1">
              <w:rPr>
                <w:rFonts w:eastAsia="Arial"/>
                <w:color w:val="000000" w:themeColor="text1"/>
              </w:rPr>
              <w:t>ember</w:t>
            </w:r>
            <w:r w:rsidR="3FF2767D" w:rsidRPr="000F6CD1">
              <w:rPr>
                <w:rFonts w:eastAsia="Arial"/>
                <w:color w:val="000000" w:themeColor="text1"/>
              </w:rPr>
              <w:t xml:space="preserve"> </w:t>
            </w:r>
            <w:r w:rsidR="008464CF" w:rsidRPr="000F6CD1">
              <w:rPr>
                <w:rFonts w:eastAsia="Arial"/>
                <w:color w:val="000000" w:themeColor="text1"/>
              </w:rPr>
              <w:t>can</w:t>
            </w:r>
            <w:r w:rsidR="0050348B" w:rsidRPr="000F6CD1">
              <w:rPr>
                <w:rFonts w:eastAsia="Arial"/>
                <w:color w:val="000000" w:themeColor="text1"/>
              </w:rPr>
              <w:t xml:space="preserve"> have their</w:t>
            </w:r>
            <w:r w:rsidR="008464CF" w:rsidRPr="000F6CD1">
              <w:rPr>
                <w:rFonts w:eastAsia="Arial"/>
                <w:color w:val="000000" w:themeColor="text1"/>
              </w:rPr>
              <w:t xml:space="preserve"> service </w:t>
            </w:r>
            <w:r w:rsidR="3FF2767D" w:rsidRPr="000F6CD1">
              <w:rPr>
                <w:rFonts w:eastAsia="Arial"/>
                <w:color w:val="000000" w:themeColor="text1"/>
              </w:rPr>
              <w:t>approval</w:t>
            </w:r>
            <w:r w:rsidR="0050348B" w:rsidRPr="000F6CD1">
              <w:rPr>
                <w:rFonts w:eastAsia="Arial"/>
                <w:color w:val="000000" w:themeColor="text1"/>
              </w:rPr>
              <w:t xml:space="preserve"> backdate</w:t>
            </w:r>
            <w:r w:rsidR="0037353F" w:rsidRPr="000F6CD1">
              <w:rPr>
                <w:rFonts w:eastAsia="Arial"/>
                <w:color w:val="000000" w:themeColor="text1"/>
              </w:rPr>
              <w:t>d</w:t>
            </w:r>
            <w:r w:rsidR="0050348B" w:rsidRPr="000F6CD1">
              <w:rPr>
                <w:rFonts w:eastAsia="Arial"/>
                <w:color w:val="000000" w:themeColor="text1"/>
              </w:rPr>
              <w:t xml:space="preserve"> to 1 November if they are found eligible at assessment</w:t>
            </w:r>
          </w:p>
        </w:tc>
      </w:tr>
      <w:tr w:rsidR="3FF2767D" w:rsidRPr="000F6CD1" w14:paraId="7EECA2DF" w14:textId="77777777" w:rsidTr="009B6F14">
        <w:trPr>
          <w:trHeight w:val="300"/>
        </w:trPr>
        <w:tc>
          <w:tcPr>
            <w:tcW w:w="1691" w:type="dxa"/>
            <w:shd w:val="clear" w:color="auto" w:fill="002060"/>
            <w:tcMar>
              <w:top w:w="120" w:type="dxa"/>
              <w:left w:w="180" w:type="dxa"/>
              <w:bottom w:w="105" w:type="dxa"/>
              <w:right w:w="120" w:type="dxa"/>
            </w:tcMar>
          </w:tcPr>
          <w:p w14:paraId="36493AAE" w14:textId="422FA307"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 xml:space="preserve">Short-Term Restorative Care (STRC) </w:t>
            </w:r>
          </w:p>
          <w:p w14:paraId="74458C1E" w14:textId="22AD849C" w:rsidR="3FF2767D" w:rsidRPr="000F6CD1" w:rsidRDefault="0004678B" w:rsidP="008E6691">
            <w:pPr>
              <w:spacing w:before="240" w:after="240" w:line="240" w:lineRule="auto"/>
              <w:rPr>
                <w:rFonts w:eastAsia="Arial"/>
                <w:b/>
                <w:bCs/>
                <w:i/>
                <w:iCs/>
                <w:color w:val="FFFFFF" w:themeColor="background1"/>
                <w:szCs w:val="22"/>
              </w:rPr>
            </w:pPr>
            <w:r w:rsidRPr="000F6CD1">
              <w:rPr>
                <w:rFonts w:eastAsia="Arial"/>
                <w:b/>
                <w:bCs/>
                <w:i/>
                <w:iCs/>
                <w:color w:val="FFFFFF" w:themeColor="background1"/>
                <w:szCs w:val="22"/>
              </w:rPr>
              <w:t>(</w:t>
            </w:r>
            <w:r w:rsidR="008F2690" w:rsidRPr="000F6CD1">
              <w:rPr>
                <w:rFonts w:eastAsia="Arial"/>
                <w:b/>
                <w:bCs/>
                <w:i/>
                <w:iCs/>
                <w:color w:val="FFFFFF" w:themeColor="background1"/>
                <w:szCs w:val="22"/>
              </w:rPr>
              <w:t xml:space="preserve">now </w:t>
            </w:r>
            <w:r w:rsidR="3FF2767D" w:rsidRPr="000F6CD1">
              <w:rPr>
                <w:rFonts w:eastAsia="Arial"/>
                <w:b/>
                <w:bCs/>
                <w:i/>
                <w:iCs/>
                <w:color w:val="FFFFFF" w:themeColor="background1"/>
                <w:szCs w:val="22"/>
              </w:rPr>
              <w:t xml:space="preserve">known as </w:t>
            </w:r>
            <w:r w:rsidR="000107EE" w:rsidRPr="000F6CD1">
              <w:rPr>
                <w:rFonts w:eastAsia="Arial"/>
                <w:b/>
                <w:bCs/>
                <w:i/>
                <w:iCs/>
                <w:color w:val="FFFFFF" w:themeColor="background1"/>
                <w:szCs w:val="22"/>
              </w:rPr>
              <w:t xml:space="preserve">Restorative Care Pathway </w:t>
            </w:r>
            <w:r w:rsidR="3FF2767D" w:rsidRPr="000F6CD1">
              <w:rPr>
                <w:rFonts w:eastAsia="Arial"/>
                <w:b/>
                <w:bCs/>
                <w:i/>
                <w:iCs/>
                <w:color w:val="FFFFFF" w:themeColor="background1"/>
                <w:szCs w:val="22"/>
              </w:rPr>
              <w:t>RCP</w:t>
            </w:r>
            <w:r w:rsidRPr="000F6CD1">
              <w:rPr>
                <w:rFonts w:eastAsia="Arial"/>
                <w:b/>
                <w:bCs/>
                <w:i/>
                <w:iCs/>
                <w:color w:val="FFFFFF" w:themeColor="background1"/>
                <w:szCs w:val="22"/>
              </w:rPr>
              <w:t>)</w:t>
            </w:r>
          </w:p>
        </w:tc>
        <w:tc>
          <w:tcPr>
            <w:tcW w:w="7324" w:type="dxa"/>
            <w:shd w:val="clear" w:color="auto" w:fill="FFFFFF" w:themeFill="background1"/>
            <w:tcMar>
              <w:top w:w="120" w:type="dxa"/>
              <w:left w:w="180" w:type="dxa"/>
              <w:bottom w:w="90" w:type="dxa"/>
              <w:right w:w="120" w:type="dxa"/>
            </w:tcMar>
          </w:tcPr>
          <w:p w14:paraId="52DCB677" w14:textId="39076C98" w:rsidR="00BF53A2" w:rsidRPr="000F6CD1" w:rsidRDefault="002C4476" w:rsidP="00DF3F6B">
            <w:pPr>
              <w:pStyle w:val="ListParagraph"/>
              <w:numPr>
                <w:ilvl w:val="0"/>
                <w:numId w:val="421"/>
              </w:numPr>
              <w:spacing w:before="240" w:after="240" w:line="240" w:lineRule="auto"/>
              <w:ind w:left="360" w:right="-164"/>
              <w:rPr>
                <w:rFonts w:eastAsia="Arial"/>
                <w:color w:val="000000" w:themeColor="text1"/>
                <w:szCs w:val="22"/>
              </w:rPr>
            </w:pPr>
            <w:r>
              <w:rPr>
                <w:noProof/>
                <w14:ligatures w14:val="standardContextual"/>
              </w:rPr>
              <w:drawing>
                <wp:anchor distT="0" distB="0" distL="114300" distR="114300" simplePos="0" relativeHeight="251658276" behindDoc="0" locked="0" layoutInCell="1" allowOverlap="1" wp14:anchorId="18E17D09" wp14:editId="22FAC8D3">
                  <wp:simplePos x="0" y="0"/>
                  <wp:positionH relativeFrom="margin">
                    <wp:posOffset>-28575</wp:posOffset>
                  </wp:positionH>
                  <wp:positionV relativeFrom="margin">
                    <wp:posOffset>447675</wp:posOffset>
                  </wp:positionV>
                  <wp:extent cx="365792" cy="403895"/>
                  <wp:effectExtent l="0" t="0" r="0" b="0"/>
                  <wp:wrapSquare wrapText="bothSides"/>
                  <wp:docPr id="1617531751" name="Picture 1" descr="A bell with an exclamation mark that denotes a change in information from version 8.2 of the Aged Care Assessment Manu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31751" name="Picture 1" descr="A bell with an exclamation mark that denotes a change in information from version 8.2 of the Aged Care Assessment Manual. &#10;"/>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F53A2" w:rsidRPr="000F6CD1">
              <w:rPr>
                <w:rFonts w:eastAsia="Arial"/>
                <w:color w:val="000000" w:themeColor="text1"/>
                <w:szCs w:val="22"/>
              </w:rPr>
              <w:t>The STRC</w:t>
            </w:r>
            <w:r w:rsidR="0004678B" w:rsidRPr="000F6CD1">
              <w:rPr>
                <w:rFonts w:eastAsia="Arial"/>
                <w:color w:val="000000" w:themeColor="text1"/>
                <w:szCs w:val="22"/>
              </w:rPr>
              <w:t xml:space="preserve"> Programme change</w:t>
            </w:r>
            <w:r w:rsidR="00801D2F" w:rsidRPr="000F6CD1">
              <w:rPr>
                <w:rFonts w:eastAsia="Arial"/>
                <w:color w:val="000000" w:themeColor="text1"/>
                <w:szCs w:val="22"/>
              </w:rPr>
              <w:t>d</w:t>
            </w:r>
            <w:r w:rsidR="0004678B" w:rsidRPr="000F6CD1">
              <w:rPr>
                <w:rFonts w:eastAsia="Arial"/>
                <w:color w:val="000000" w:themeColor="text1"/>
                <w:szCs w:val="22"/>
              </w:rPr>
              <w:t xml:space="preserve"> to the ‘Restorative Care Pathway’ under Support at Home </w:t>
            </w:r>
            <w:r w:rsidR="00325BE9" w:rsidRPr="000F6CD1">
              <w:rPr>
                <w:rFonts w:eastAsia="Arial"/>
                <w:color w:val="000000" w:themeColor="text1"/>
                <w:szCs w:val="22"/>
              </w:rPr>
              <w:t>from</w:t>
            </w:r>
            <w:r w:rsidR="002514AD" w:rsidRPr="000F6CD1">
              <w:rPr>
                <w:rFonts w:eastAsia="Arial"/>
                <w:color w:val="000000" w:themeColor="text1"/>
                <w:szCs w:val="22"/>
              </w:rPr>
              <w:t xml:space="preserve"> </w:t>
            </w:r>
            <w:r w:rsidR="0004678B" w:rsidRPr="000F6CD1">
              <w:rPr>
                <w:rFonts w:eastAsia="Arial"/>
                <w:color w:val="000000" w:themeColor="text1"/>
                <w:szCs w:val="22"/>
              </w:rPr>
              <w:t>1 November 2025.</w:t>
            </w:r>
          </w:p>
          <w:p w14:paraId="13DE5800" w14:textId="77777777" w:rsidR="002C4476" w:rsidRPr="000F6CD1" w:rsidRDefault="002C4476" w:rsidP="002C4476">
            <w:pPr>
              <w:pStyle w:val="ListParagraph"/>
              <w:spacing w:before="240" w:after="240" w:line="240" w:lineRule="auto"/>
              <w:ind w:left="360" w:right="-164"/>
              <w:rPr>
                <w:rFonts w:eastAsia="Arial"/>
                <w:color w:val="000000" w:themeColor="text1"/>
                <w:szCs w:val="22"/>
              </w:rPr>
            </w:pPr>
          </w:p>
          <w:p w14:paraId="7D550D64" w14:textId="16A93CD2" w:rsidR="00237330" w:rsidRPr="000F6CD1" w:rsidRDefault="00237330" w:rsidP="00341D7E">
            <w:pPr>
              <w:pStyle w:val="ListParagraph"/>
              <w:spacing w:before="240" w:after="240"/>
              <w:ind w:left="360" w:right="-164"/>
              <w:rPr>
                <w:rFonts w:eastAsia="Arial"/>
                <w:color w:val="000000" w:themeColor="text1"/>
                <w:szCs w:val="22"/>
              </w:rPr>
            </w:pPr>
            <w:r w:rsidRPr="000F6CD1">
              <w:rPr>
                <w:rFonts w:eastAsia="Arial"/>
                <w:color w:val="000000" w:themeColor="text1"/>
                <w:szCs w:val="22"/>
              </w:rPr>
              <w:t>Transition arrangements applied to two cohorts:</w:t>
            </w:r>
          </w:p>
          <w:p w14:paraId="42EFA74B" w14:textId="4E233DD1" w:rsidR="00237330" w:rsidRPr="000F6CD1" w:rsidRDefault="00237330" w:rsidP="00D73B23">
            <w:pPr>
              <w:pStyle w:val="ListParagraph"/>
              <w:numPr>
                <w:ilvl w:val="1"/>
                <w:numId w:val="421"/>
              </w:numPr>
              <w:spacing w:before="240" w:after="240"/>
              <w:ind w:left="676" w:right="-164" w:hanging="284"/>
              <w:rPr>
                <w:rFonts w:eastAsia="Arial"/>
                <w:color w:val="000000" w:themeColor="text1"/>
                <w:szCs w:val="22"/>
              </w:rPr>
            </w:pPr>
            <w:r w:rsidRPr="000F6CD1">
              <w:rPr>
                <w:rFonts w:eastAsia="Arial"/>
                <w:color w:val="000000" w:themeColor="text1"/>
                <w:szCs w:val="22"/>
              </w:rPr>
              <w:t>Participants who commenced their STRC care episode before 1 November 2025 and were still in progress on that date continued their care under transitional arrangements.</w:t>
            </w:r>
          </w:p>
          <w:p w14:paraId="7EF1CCB9" w14:textId="458BD77D" w:rsidR="00237330" w:rsidRPr="000F6CD1" w:rsidRDefault="00237330" w:rsidP="00D73B23">
            <w:pPr>
              <w:pStyle w:val="ListParagraph"/>
              <w:numPr>
                <w:ilvl w:val="1"/>
                <w:numId w:val="421"/>
              </w:numPr>
              <w:spacing w:before="240" w:after="240"/>
              <w:ind w:left="676" w:right="-164" w:hanging="284"/>
              <w:rPr>
                <w:rFonts w:eastAsia="Arial"/>
                <w:color w:val="000000" w:themeColor="text1"/>
                <w:szCs w:val="22"/>
              </w:rPr>
            </w:pPr>
            <w:r w:rsidRPr="000F6CD1">
              <w:rPr>
                <w:rFonts w:eastAsia="Arial"/>
                <w:color w:val="000000" w:themeColor="text1"/>
                <w:szCs w:val="22"/>
              </w:rPr>
              <w:t>Participants approved for the STRC Programme who commenced their care on or after 1 November 2025 had their approval converted to the Restorative Care Pathway (RCP), with six months from the date of STRC approval to accept their RCP/AT</w:t>
            </w:r>
            <w:r w:rsidRPr="000F6CD1">
              <w:rPr>
                <w:rFonts w:eastAsia="Arial"/>
                <w:color w:val="000000" w:themeColor="text1"/>
                <w:szCs w:val="22"/>
              </w:rPr>
              <w:noBreakHyphen/>
              <w:t>HM place.</w:t>
            </w:r>
          </w:p>
          <w:p w14:paraId="1D47C54D" w14:textId="77777777" w:rsidR="00237330" w:rsidRPr="000F6CD1" w:rsidRDefault="00237330" w:rsidP="00237330">
            <w:pPr>
              <w:pStyle w:val="ListParagraph"/>
              <w:numPr>
                <w:ilvl w:val="0"/>
                <w:numId w:val="421"/>
              </w:numPr>
              <w:spacing w:before="240" w:after="240"/>
              <w:ind w:left="360" w:right="-164"/>
              <w:rPr>
                <w:rFonts w:eastAsia="Arial"/>
                <w:color w:val="000000" w:themeColor="text1"/>
                <w:szCs w:val="22"/>
              </w:rPr>
            </w:pPr>
            <w:r w:rsidRPr="000F6CD1">
              <w:rPr>
                <w:rFonts w:eastAsia="Arial"/>
                <w:color w:val="000000" w:themeColor="text1"/>
                <w:szCs w:val="22"/>
              </w:rPr>
              <w:t xml:space="preserve">All STRC approvals have now either concluded or transitioned to RCP. </w:t>
            </w:r>
          </w:p>
          <w:p w14:paraId="77C085B2" w14:textId="5CAC25E4" w:rsidR="00237330" w:rsidRPr="000F6CD1" w:rsidRDefault="00237330" w:rsidP="00295EA2">
            <w:pPr>
              <w:pStyle w:val="ListParagraph"/>
              <w:numPr>
                <w:ilvl w:val="0"/>
                <w:numId w:val="421"/>
              </w:numPr>
              <w:spacing w:before="240" w:after="240"/>
              <w:ind w:left="360" w:right="-164"/>
              <w:rPr>
                <w:rFonts w:eastAsia="Arial"/>
                <w:color w:val="000000" w:themeColor="text1"/>
                <w:szCs w:val="22"/>
              </w:rPr>
            </w:pPr>
            <w:r w:rsidRPr="000F6CD1">
              <w:rPr>
                <w:rFonts w:eastAsia="Arial"/>
                <w:color w:val="000000" w:themeColor="text1"/>
                <w:szCs w:val="22"/>
              </w:rPr>
              <w:t>If participants did not access their approval within the six-month period, they will need to be reassessed to access restorative care or AT</w:t>
            </w:r>
            <w:r w:rsidRPr="000F6CD1">
              <w:rPr>
                <w:rFonts w:eastAsia="Arial"/>
                <w:color w:val="000000" w:themeColor="text1"/>
                <w:szCs w:val="22"/>
              </w:rPr>
              <w:noBreakHyphen/>
              <w:t>HM under the Support at Home program, if eligible</w:t>
            </w:r>
          </w:p>
        </w:tc>
      </w:tr>
      <w:tr w:rsidR="3FF2767D" w:rsidRPr="000F6CD1" w14:paraId="7F8D956D" w14:textId="77777777" w:rsidTr="009B6F14">
        <w:trPr>
          <w:trHeight w:val="300"/>
        </w:trPr>
        <w:tc>
          <w:tcPr>
            <w:tcW w:w="1691" w:type="dxa"/>
            <w:shd w:val="clear" w:color="auto" w:fill="002060"/>
            <w:tcMar>
              <w:top w:w="120" w:type="dxa"/>
              <w:left w:w="180" w:type="dxa"/>
              <w:bottom w:w="105" w:type="dxa"/>
              <w:right w:w="120" w:type="dxa"/>
            </w:tcMar>
          </w:tcPr>
          <w:p w14:paraId="5BEADA01" w14:textId="33FFBEC7"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Younger People</w:t>
            </w:r>
          </w:p>
        </w:tc>
        <w:tc>
          <w:tcPr>
            <w:tcW w:w="7324" w:type="dxa"/>
            <w:shd w:val="clear" w:color="auto" w:fill="FFFFFF" w:themeFill="background1"/>
            <w:tcMar>
              <w:top w:w="120" w:type="dxa"/>
              <w:left w:w="180" w:type="dxa"/>
              <w:bottom w:w="90" w:type="dxa"/>
              <w:right w:w="120" w:type="dxa"/>
            </w:tcMar>
          </w:tcPr>
          <w:p w14:paraId="25E4D4CE" w14:textId="51B28510" w:rsidR="3FF2767D" w:rsidRPr="000F6CD1" w:rsidRDefault="3FF2767D" w:rsidP="00DF3F6B">
            <w:pPr>
              <w:pStyle w:val="ListParagraph"/>
              <w:numPr>
                <w:ilvl w:val="0"/>
                <w:numId w:val="420"/>
              </w:numPr>
              <w:spacing w:before="240" w:after="240" w:line="240" w:lineRule="auto"/>
              <w:ind w:left="360"/>
              <w:rPr>
                <w:rFonts w:eastAsia="Arial"/>
                <w:bCs/>
                <w:szCs w:val="22"/>
              </w:rPr>
            </w:pPr>
            <w:r w:rsidRPr="000F6CD1">
              <w:rPr>
                <w:rFonts w:eastAsia="Arial"/>
                <w:szCs w:val="22"/>
              </w:rPr>
              <w:t xml:space="preserve">Younger people </w:t>
            </w:r>
            <w:r w:rsidRPr="000F6CD1">
              <w:rPr>
                <w:rFonts w:eastAsia="Arial"/>
                <w:bCs/>
                <w:szCs w:val="22"/>
              </w:rPr>
              <w:t>already accessing services</w:t>
            </w:r>
            <w:r w:rsidR="00CA5441" w:rsidRPr="000F6CD1">
              <w:rPr>
                <w:rFonts w:eastAsia="Arial"/>
                <w:bCs/>
                <w:szCs w:val="22"/>
              </w:rPr>
              <w:t xml:space="preserve"> on 1 Novem</w:t>
            </w:r>
            <w:r w:rsidR="00C47660" w:rsidRPr="000F6CD1">
              <w:rPr>
                <w:rFonts w:eastAsia="Arial"/>
                <w:bCs/>
                <w:szCs w:val="22"/>
              </w:rPr>
              <w:t>ber</w:t>
            </w:r>
            <w:r w:rsidRPr="000F6CD1">
              <w:rPr>
                <w:rFonts w:eastAsia="Arial"/>
                <w:bCs/>
                <w:szCs w:val="22"/>
              </w:rPr>
              <w:t xml:space="preserve"> </w:t>
            </w:r>
            <w:r w:rsidR="00C17C1A" w:rsidRPr="000F6CD1">
              <w:rPr>
                <w:rFonts w:eastAsia="Arial"/>
                <w:bCs/>
                <w:szCs w:val="22"/>
              </w:rPr>
              <w:t xml:space="preserve">2025 </w:t>
            </w:r>
            <w:r w:rsidR="00C47660" w:rsidRPr="000F6CD1">
              <w:rPr>
                <w:rFonts w:eastAsia="Arial"/>
                <w:bCs/>
                <w:szCs w:val="22"/>
              </w:rPr>
              <w:t xml:space="preserve">did </w:t>
            </w:r>
            <w:r w:rsidRPr="000F6CD1">
              <w:rPr>
                <w:rFonts w:eastAsia="Arial"/>
                <w:bCs/>
                <w:szCs w:val="22"/>
              </w:rPr>
              <w:t xml:space="preserve">not </w:t>
            </w:r>
            <w:r w:rsidR="00C47660" w:rsidRPr="000F6CD1">
              <w:rPr>
                <w:rFonts w:eastAsia="Arial"/>
                <w:bCs/>
                <w:szCs w:val="22"/>
              </w:rPr>
              <w:t xml:space="preserve">require </w:t>
            </w:r>
            <w:r w:rsidR="00E7689A" w:rsidRPr="000F6CD1">
              <w:rPr>
                <w:rFonts w:eastAsia="Arial"/>
                <w:bCs/>
                <w:szCs w:val="22"/>
              </w:rPr>
              <w:t>a reassessment</w:t>
            </w:r>
            <w:r w:rsidRPr="000F6CD1">
              <w:rPr>
                <w:rFonts w:eastAsia="Arial"/>
                <w:bCs/>
                <w:szCs w:val="22"/>
              </w:rPr>
              <w:t>.</w:t>
            </w:r>
          </w:p>
          <w:p w14:paraId="49AF1C00" w14:textId="5F027AE4" w:rsidR="3FF2767D" w:rsidRPr="000F6CD1" w:rsidRDefault="3FF2767D" w:rsidP="00DF3F6B">
            <w:pPr>
              <w:pStyle w:val="ListParagraph"/>
              <w:numPr>
                <w:ilvl w:val="0"/>
                <w:numId w:val="420"/>
              </w:numPr>
              <w:spacing w:before="240" w:after="240" w:line="240" w:lineRule="auto"/>
              <w:ind w:left="360"/>
              <w:rPr>
                <w:rFonts w:eastAsia="Arial"/>
                <w:bCs/>
                <w:szCs w:val="22"/>
              </w:rPr>
            </w:pPr>
            <w:r w:rsidRPr="000F6CD1">
              <w:rPr>
                <w:rFonts w:eastAsia="Arial"/>
                <w:bCs/>
                <w:szCs w:val="22"/>
              </w:rPr>
              <w:t xml:space="preserve">Younger people </w:t>
            </w:r>
            <w:r w:rsidRPr="000F6CD1">
              <w:rPr>
                <w:rFonts w:eastAsia="Arial"/>
                <w:szCs w:val="22"/>
              </w:rPr>
              <w:t>currently accessing services</w:t>
            </w:r>
            <w:r w:rsidRPr="000F6CD1">
              <w:rPr>
                <w:rFonts w:eastAsia="Arial"/>
                <w:bCs/>
                <w:szCs w:val="22"/>
              </w:rPr>
              <w:t xml:space="preserve"> will be able to </w:t>
            </w:r>
            <w:r w:rsidRPr="000F6CD1">
              <w:rPr>
                <w:rFonts w:eastAsia="Arial"/>
                <w:szCs w:val="22"/>
              </w:rPr>
              <w:t xml:space="preserve">continue to access these services </w:t>
            </w:r>
            <w:r w:rsidRPr="000F6CD1">
              <w:rPr>
                <w:rFonts w:eastAsia="Arial"/>
                <w:bCs/>
                <w:szCs w:val="22"/>
              </w:rPr>
              <w:t xml:space="preserve">and also be </w:t>
            </w:r>
            <w:r w:rsidRPr="000F6CD1">
              <w:rPr>
                <w:rFonts w:eastAsia="Arial"/>
                <w:szCs w:val="22"/>
              </w:rPr>
              <w:t>eligible to be assessed for other aged care services</w:t>
            </w:r>
            <w:r w:rsidRPr="000F6CD1">
              <w:rPr>
                <w:rFonts w:eastAsia="Arial"/>
                <w:bCs/>
                <w:szCs w:val="22"/>
              </w:rPr>
              <w:t xml:space="preserve"> in the future.</w:t>
            </w:r>
          </w:p>
          <w:p w14:paraId="72F5E23A" w14:textId="29D74A71" w:rsidR="3FF2767D" w:rsidRPr="000F6CD1" w:rsidRDefault="3FF2767D" w:rsidP="00DF3F6B">
            <w:pPr>
              <w:pStyle w:val="ListParagraph"/>
              <w:numPr>
                <w:ilvl w:val="0"/>
                <w:numId w:val="420"/>
              </w:numPr>
              <w:spacing w:before="240" w:after="240" w:line="240" w:lineRule="auto"/>
              <w:ind w:left="360"/>
              <w:rPr>
                <w:rFonts w:eastAsia="Arial"/>
                <w:color w:val="008080"/>
                <w:szCs w:val="22"/>
                <w:u w:val="single"/>
              </w:rPr>
            </w:pPr>
            <w:r w:rsidRPr="000F6CD1">
              <w:rPr>
                <w:rFonts w:eastAsia="Arial"/>
                <w:bCs/>
                <w:szCs w:val="22"/>
              </w:rPr>
              <w:lastRenderedPageBreak/>
              <w:t>Younger people</w:t>
            </w:r>
            <w:r w:rsidR="008179B7" w:rsidRPr="000F6CD1">
              <w:rPr>
                <w:rFonts w:eastAsia="Arial"/>
                <w:bCs/>
                <w:szCs w:val="22"/>
              </w:rPr>
              <w:t>,</w:t>
            </w:r>
            <w:r w:rsidRPr="000F6CD1">
              <w:rPr>
                <w:rFonts w:eastAsia="Arial"/>
                <w:bCs/>
                <w:szCs w:val="22"/>
              </w:rPr>
              <w:t xml:space="preserve"> </w:t>
            </w:r>
            <w:r w:rsidR="00717113" w:rsidRPr="000F6CD1">
              <w:rPr>
                <w:rFonts w:eastAsia="Arial"/>
                <w:bCs/>
                <w:szCs w:val="22"/>
              </w:rPr>
              <w:t xml:space="preserve">who were </w:t>
            </w:r>
            <w:r w:rsidRPr="000F6CD1">
              <w:rPr>
                <w:rFonts w:eastAsia="Arial"/>
                <w:szCs w:val="22"/>
              </w:rPr>
              <w:t xml:space="preserve">in the process of applying </w:t>
            </w:r>
            <w:r w:rsidRPr="000F6CD1">
              <w:rPr>
                <w:rFonts w:eastAsia="Arial"/>
                <w:bCs/>
                <w:szCs w:val="22"/>
              </w:rPr>
              <w:t xml:space="preserve">for aged care services on 1 November, </w:t>
            </w:r>
            <w:r w:rsidRPr="000F6CD1">
              <w:rPr>
                <w:rFonts w:eastAsia="Arial"/>
                <w:szCs w:val="22"/>
              </w:rPr>
              <w:t>will be eligible to be assessed</w:t>
            </w:r>
            <w:r w:rsidRPr="000F6CD1">
              <w:rPr>
                <w:rFonts w:eastAsia="Arial"/>
                <w:bCs/>
                <w:szCs w:val="22"/>
              </w:rPr>
              <w:t xml:space="preserve"> under relevant criteria within the </w:t>
            </w:r>
            <w:r w:rsidRPr="000F6CD1">
              <w:rPr>
                <w:rFonts w:eastAsia="Arial"/>
                <w:bCs/>
                <w:i/>
                <w:szCs w:val="22"/>
              </w:rPr>
              <w:t>Approval of Care Recipients Principles 2014</w:t>
            </w:r>
            <w:r w:rsidRPr="000F6CD1">
              <w:rPr>
                <w:rFonts w:eastAsia="Arial"/>
                <w:bCs/>
                <w:szCs w:val="22"/>
              </w:rPr>
              <w:t>.</w:t>
            </w:r>
          </w:p>
        </w:tc>
      </w:tr>
      <w:tr w:rsidR="3FF2767D" w:rsidRPr="000F6CD1" w14:paraId="39DABC72" w14:textId="77777777" w:rsidTr="00D9701D">
        <w:trPr>
          <w:trHeight w:val="2115"/>
        </w:trPr>
        <w:tc>
          <w:tcPr>
            <w:tcW w:w="1691" w:type="dxa"/>
            <w:shd w:val="clear" w:color="auto" w:fill="002060"/>
            <w:tcMar>
              <w:top w:w="120" w:type="dxa"/>
              <w:left w:w="180" w:type="dxa"/>
              <w:bottom w:w="105" w:type="dxa"/>
              <w:right w:w="120" w:type="dxa"/>
            </w:tcMar>
          </w:tcPr>
          <w:p w14:paraId="4C37AA8F" w14:textId="20ED3E25"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lastRenderedPageBreak/>
              <w:t>Transition Care Program (TCP)</w:t>
            </w:r>
          </w:p>
        </w:tc>
        <w:tc>
          <w:tcPr>
            <w:tcW w:w="7324" w:type="dxa"/>
            <w:shd w:val="clear" w:color="auto" w:fill="FFFFFF" w:themeFill="background1"/>
            <w:tcMar>
              <w:top w:w="120" w:type="dxa"/>
              <w:left w:w="180" w:type="dxa"/>
              <w:bottom w:w="90" w:type="dxa"/>
              <w:right w:w="120" w:type="dxa"/>
            </w:tcMar>
          </w:tcPr>
          <w:p w14:paraId="37430253" w14:textId="4CE260AA" w:rsidR="3FF2767D" w:rsidRPr="000F6CD1" w:rsidRDefault="3FF2767D" w:rsidP="00DF3F6B">
            <w:pPr>
              <w:pStyle w:val="ListParagraph"/>
              <w:numPr>
                <w:ilvl w:val="0"/>
                <w:numId w:val="419"/>
              </w:numPr>
              <w:spacing w:before="240" w:after="240" w:line="240" w:lineRule="auto"/>
              <w:ind w:left="360"/>
              <w:rPr>
                <w:rFonts w:eastAsia="Arial"/>
                <w:color w:val="000000" w:themeColor="text1"/>
                <w:szCs w:val="22"/>
              </w:rPr>
            </w:pPr>
            <w:r w:rsidRPr="000F6CD1">
              <w:rPr>
                <w:rFonts w:eastAsia="Arial"/>
                <w:color w:val="000000" w:themeColor="text1"/>
                <w:szCs w:val="22"/>
              </w:rPr>
              <w:t>Transition Care Program clients who continue</w:t>
            </w:r>
            <w:r w:rsidR="00D1360C" w:rsidRPr="000F6CD1">
              <w:rPr>
                <w:rFonts w:eastAsia="Arial"/>
                <w:color w:val="000000" w:themeColor="text1"/>
                <w:szCs w:val="22"/>
              </w:rPr>
              <w:t>d</w:t>
            </w:r>
            <w:r w:rsidRPr="000F6CD1">
              <w:rPr>
                <w:rFonts w:eastAsia="Arial"/>
                <w:color w:val="000000" w:themeColor="text1"/>
                <w:szCs w:val="22"/>
              </w:rPr>
              <w:t xml:space="preserve"> to receive care across the transition from the </w:t>
            </w:r>
            <w:r w:rsidR="005B3933" w:rsidRPr="000F6CD1">
              <w:rPr>
                <w:rFonts w:eastAsia="Arial"/>
                <w:i/>
                <w:iCs/>
                <w:color w:val="000000" w:themeColor="text1"/>
                <w:szCs w:val="22"/>
              </w:rPr>
              <w:t>Aged Care Act 1997</w:t>
            </w:r>
            <w:r w:rsidR="005B3933" w:rsidRPr="000F6CD1">
              <w:rPr>
                <w:rFonts w:eastAsia="Arial"/>
                <w:color w:val="000000" w:themeColor="text1"/>
                <w:szCs w:val="22"/>
              </w:rPr>
              <w:t xml:space="preserve"> </w:t>
            </w:r>
            <w:r w:rsidRPr="000F6CD1">
              <w:rPr>
                <w:rFonts w:eastAsia="Arial"/>
                <w:color w:val="000000" w:themeColor="text1"/>
                <w:szCs w:val="22"/>
              </w:rPr>
              <w:t xml:space="preserve">to </w:t>
            </w:r>
            <w:r w:rsidR="005B3933" w:rsidRPr="000F6CD1">
              <w:rPr>
                <w:rFonts w:eastAsia="Arial"/>
                <w:color w:val="000000" w:themeColor="text1"/>
                <w:szCs w:val="22"/>
              </w:rPr>
              <w:t xml:space="preserve">the </w:t>
            </w:r>
            <w:r w:rsidR="005B3933" w:rsidRPr="00D73B23">
              <w:rPr>
                <w:rFonts w:eastAsia="Arial"/>
                <w:i/>
                <w:iCs/>
                <w:color w:val="000000" w:themeColor="text1"/>
                <w:szCs w:val="22"/>
              </w:rPr>
              <w:t>Aged Care Act 2024</w:t>
            </w:r>
            <w:r w:rsidR="005B3933" w:rsidRPr="000F6CD1">
              <w:rPr>
                <w:rFonts w:eastAsia="Arial"/>
                <w:color w:val="000000" w:themeColor="text1"/>
                <w:szCs w:val="22"/>
              </w:rPr>
              <w:t xml:space="preserve"> had</w:t>
            </w:r>
            <w:r w:rsidRPr="000F6CD1">
              <w:rPr>
                <w:rFonts w:eastAsia="Arial"/>
                <w:color w:val="000000" w:themeColor="text1"/>
                <w:szCs w:val="22"/>
              </w:rPr>
              <w:t xml:space="preserve"> their eligibility and approval deemed across. </w:t>
            </w:r>
          </w:p>
          <w:p w14:paraId="26431CC8" w14:textId="7B85704B" w:rsidR="3FF2767D" w:rsidRPr="000F6CD1" w:rsidRDefault="3FF2767D" w:rsidP="00DF3F6B">
            <w:pPr>
              <w:pStyle w:val="ListParagraph"/>
              <w:numPr>
                <w:ilvl w:val="0"/>
                <w:numId w:val="419"/>
              </w:numPr>
              <w:spacing w:before="240" w:after="240" w:line="240" w:lineRule="auto"/>
              <w:ind w:left="360"/>
              <w:rPr>
                <w:rFonts w:eastAsia="Arial"/>
                <w:color w:val="000000" w:themeColor="text1"/>
                <w:szCs w:val="22"/>
              </w:rPr>
            </w:pPr>
            <w:r w:rsidRPr="000F6CD1">
              <w:rPr>
                <w:rFonts w:eastAsia="Arial"/>
                <w:color w:val="000000" w:themeColor="text1"/>
                <w:szCs w:val="22"/>
              </w:rPr>
              <w:t xml:space="preserve">All new clients post 1 November </w:t>
            </w:r>
            <w:r w:rsidR="00C17C1A" w:rsidRPr="000F6CD1">
              <w:rPr>
                <w:rFonts w:eastAsia="Arial"/>
                <w:color w:val="000000" w:themeColor="text1"/>
                <w:szCs w:val="22"/>
              </w:rPr>
              <w:t xml:space="preserve">2025 </w:t>
            </w:r>
            <w:r w:rsidR="000F50CB" w:rsidRPr="000F6CD1">
              <w:rPr>
                <w:rFonts w:eastAsia="Arial"/>
                <w:color w:val="000000" w:themeColor="text1"/>
                <w:szCs w:val="22"/>
              </w:rPr>
              <w:t>are</w:t>
            </w:r>
            <w:r w:rsidRPr="000F6CD1">
              <w:rPr>
                <w:rFonts w:eastAsia="Arial"/>
                <w:color w:val="000000" w:themeColor="text1"/>
                <w:szCs w:val="22"/>
              </w:rPr>
              <w:t xml:space="preserve"> required to have a comprehensive assessment and receive delegate approval, before they are discharged from hospital, to be referred to</w:t>
            </w:r>
            <w:r w:rsidR="005B3933" w:rsidRPr="000F6CD1">
              <w:rPr>
                <w:rFonts w:eastAsia="Arial"/>
                <w:color w:val="000000" w:themeColor="text1"/>
                <w:szCs w:val="22"/>
              </w:rPr>
              <w:t xml:space="preserve"> a</w:t>
            </w:r>
            <w:r w:rsidRPr="000F6CD1">
              <w:rPr>
                <w:rFonts w:eastAsia="Arial"/>
                <w:color w:val="000000" w:themeColor="text1"/>
                <w:szCs w:val="22"/>
              </w:rPr>
              <w:t xml:space="preserve"> transition care service provider.</w:t>
            </w:r>
          </w:p>
        </w:tc>
      </w:tr>
      <w:tr w:rsidR="3FF2767D" w:rsidRPr="000F6CD1" w14:paraId="70C8446D" w14:textId="77777777" w:rsidTr="00D9701D">
        <w:trPr>
          <w:trHeight w:val="300"/>
        </w:trPr>
        <w:tc>
          <w:tcPr>
            <w:tcW w:w="1691" w:type="dxa"/>
            <w:shd w:val="clear" w:color="auto" w:fill="002060"/>
            <w:tcMar>
              <w:top w:w="120" w:type="dxa"/>
              <w:left w:w="180" w:type="dxa"/>
              <w:bottom w:w="105" w:type="dxa"/>
              <w:right w:w="120" w:type="dxa"/>
            </w:tcMar>
          </w:tcPr>
          <w:p w14:paraId="47AD7849" w14:textId="33587FC9" w:rsidR="3FF2767D" w:rsidRPr="000F6CD1" w:rsidRDefault="3FF2767D" w:rsidP="008E6691">
            <w:pPr>
              <w:spacing w:before="240" w:after="240" w:line="240" w:lineRule="auto"/>
              <w:rPr>
                <w:rFonts w:eastAsia="Arial"/>
                <w:b/>
                <w:bCs/>
                <w:color w:val="FFFFFF" w:themeColor="background1"/>
                <w:szCs w:val="22"/>
              </w:rPr>
            </w:pPr>
            <w:r w:rsidRPr="000F6CD1">
              <w:rPr>
                <w:rFonts w:eastAsia="Arial"/>
                <w:b/>
                <w:bCs/>
                <w:color w:val="FFFFFF" w:themeColor="background1"/>
                <w:szCs w:val="22"/>
              </w:rPr>
              <w:t>Resi</w:t>
            </w:r>
            <w:r w:rsidR="0065124C" w:rsidRPr="000F6CD1">
              <w:rPr>
                <w:rFonts w:eastAsia="Arial"/>
                <w:b/>
                <w:bCs/>
                <w:color w:val="FFFFFF" w:themeColor="background1"/>
                <w:szCs w:val="22"/>
              </w:rPr>
              <w:t>dential</w:t>
            </w:r>
            <w:r w:rsidRPr="000F6CD1">
              <w:rPr>
                <w:rFonts w:eastAsia="Arial"/>
                <w:b/>
                <w:bCs/>
                <w:color w:val="FFFFFF" w:themeColor="background1"/>
                <w:szCs w:val="22"/>
              </w:rPr>
              <w:t xml:space="preserve"> Care</w:t>
            </w:r>
          </w:p>
        </w:tc>
        <w:tc>
          <w:tcPr>
            <w:tcW w:w="7324" w:type="dxa"/>
            <w:shd w:val="clear" w:color="auto" w:fill="FFFFFF" w:themeFill="background1"/>
            <w:tcMar>
              <w:top w:w="120" w:type="dxa"/>
              <w:left w:w="180" w:type="dxa"/>
              <w:bottom w:w="90" w:type="dxa"/>
              <w:right w:w="120" w:type="dxa"/>
            </w:tcMar>
          </w:tcPr>
          <w:p w14:paraId="4D103A5F" w14:textId="320EE6BF" w:rsidR="3FF2767D" w:rsidRPr="000F6CD1" w:rsidRDefault="3FF2767D" w:rsidP="00DF3F6B">
            <w:pPr>
              <w:pStyle w:val="ListParagraph"/>
              <w:numPr>
                <w:ilvl w:val="0"/>
                <w:numId w:val="418"/>
              </w:numPr>
              <w:spacing w:before="240" w:after="240" w:line="240" w:lineRule="auto"/>
              <w:ind w:left="360"/>
              <w:rPr>
                <w:rFonts w:eastAsia="Arial"/>
                <w:color w:val="000000" w:themeColor="text1"/>
                <w:szCs w:val="22"/>
              </w:rPr>
            </w:pPr>
            <w:r w:rsidRPr="000F6CD1">
              <w:rPr>
                <w:rFonts w:eastAsia="Arial"/>
                <w:color w:val="000000" w:themeColor="text1"/>
                <w:szCs w:val="22"/>
              </w:rPr>
              <w:t xml:space="preserve">Existing residents in care on 1 November 2025 </w:t>
            </w:r>
            <w:r w:rsidR="005B3933" w:rsidRPr="000F6CD1">
              <w:rPr>
                <w:rFonts w:eastAsia="Arial"/>
                <w:color w:val="000000" w:themeColor="text1"/>
                <w:szCs w:val="22"/>
              </w:rPr>
              <w:t>were</w:t>
            </w:r>
            <w:r w:rsidRPr="000F6CD1">
              <w:rPr>
                <w:rFonts w:eastAsia="Arial"/>
                <w:color w:val="000000" w:themeColor="text1"/>
                <w:szCs w:val="22"/>
              </w:rPr>
              <w:t xml:space="preserve"> allocated a place to ensure no payment or continuity of care issues for the provider or older Australian. This cohort of older Australians </w:t>
            </w:r>
            <w:r w:rsidR="00FA7152" w:rsidRPr="000F6CD1">
              <w:rPr>
                <w:rFonts w:eastAsia="Arial"/>
                <w:color w:val="000000" w:themeColor="text1"/>
                <w:szCs w:val="22"/>
              </w:rPr>
              <w:t xml:space="preserve">did </w:t>
            </w:r>
            <w:r w:rsidRPr="000F6CD1">
              <w:rPr>
                <w:rFonts w:eastAsia="Arial"/>
                <w:color w:val="000000" w:themeColor="text1"/>
                <w:szCs w:val="22"/>
              </w:rPr>
              <w:t xml:space="preserve">not need to do anything to facilitate this allocation. </w:t>
            </w:r>
            <w:r w:rsidR="00FA7152" w:rsidRPr="000F6CD1">
              <w:rPr>
                <w:rFonts w:eastAsia="Arial"/>
                <w:color w:val="000000" w:themeColor="text1"/>
                <w:szCs w:val="22"/>
              </w:rPr>
              <w:t>It</w:t>
            </w:r>
            <w:r w:rsidRPr="000F6CD1">
              <w:rPr>
                <w:rFonts w:eastAsia="Arial"/>
                <w:color w:val="000000" w:themeColor="text1"/>
                <w:szCs w:val="22"/>
              </w:rPr>
              <w:t xml:space="preserve"> happen</w:t>
            </w:r>
            <w:r w:rsidR="00FA7152" w:rsidRPr="000F6CD1">
              <w:rPr>
                <w:rFonts w:eastAsia="Arial"/>
                <w:color w:val="000000" w:themeColor="text1"/>
                <w:szCs w:val="22"/>
              </w:rPr>
              <w:t>ed</w:t>
            </w:r>
            <w:r w:rsidRPr="000F6CD1">
              <w:rPr>
                <w:rFonts w:eastAsia="Arial"/>
                <w:color w:val="000000" w:themeColor="text1"/>
                <w:szCs w:val="22"/>
              </w:rPr>
              <w:t xml:space="preserve"> as part of the transition to the </w:t>
            </w:r>
            <w:r w:rsidR="007836DF" w:rsidRPr="000F6CD1">
              <w:rPr>
                <w:rFonts w:eastAsia="Arial"/>
                <w:color w:val="000000" w:themeColor="text1"/>
                <w:szCs w:val="22"/>
              </w:rPr>
              <w:t>Act</w:t>
            </w:r>
            <w:r w:rsidRPr="000F6CD1">
              <w:rPr>
                <w:rFonts w:eastAsia="Arial"/>
                <w:color w:val="000000" w:themeColor="text1"/>
                <w:szCs w:val="22"/>
              </w:rPr>
              <w:t xml:space="preserve">. </w:t>
            </w:r>
          </w:p>
          <w:p w14:paraId="136EF8F8" w14:textId="040E0241" w:rsidR="3FF2767D" w:rsidRPr="000F6CD1" w:rsidRDefault="3FF2767D" w:rsidP="00DF3F6B">
            <w:pPr>
              <w:pStyle w:val="ListParagraph"/>
              <w:numPr>
                <w:ilvl w:val="0"/>
                <w:numId w:val="418"/>
              </w:numPr>
              <w:spacing w:before="240" w:after="240" w:line="240" w:lineRule="auto"/>
              <w:ind w:left="360"/>
              <w:rPr>
                <w:rFonts w:eastAsia="Arial"/>
                <w:color w:val="000000" w:themeColor="text1"/>
                <w:szCs w:val="22"/>
              </w:rPr>
            </w:pPr>
            <w:r w:rsidRPr="000F6CD1">
              <w:rPr>
                <w:rFonts w:eastAsia="Arial"/>
                <w:color w:val="000000" w:themeColor="text1"/>
                <w:szCs w:val="22"/>
              </w:rPr>
              <w:t xml:space="preserve">Older Australians who </w:t>
            </w:r>
            <w:r w:rsidR="00FA7152" w:rsidRPr="000F6CD1">
              <w:rPr>
                <w:rFonts w:eastAsia="Arial"/>
                <w:color w:val="000000" w:themeColor="text1"/>
                <w:szCs w:val="22"/>
              </w:rPr>
              <w:t>were</w:t>
            </w:r>
            <w:r w:rsidRPr="000F6CD1">
              <w:rPr>
                <w:rFonts w:eastAsia="Arial"/>
                <w:color w:val="000000" w:themeColor="text1"/>
                <w:szCs w:val="22"/>
              </w:rPr>
              <w:t xml:space="preserve"> assessed and approved as requiring residential care, prior to 1 November 2025, </w:t>
            </w:r>
            <w:r w:rsidR="00FA7152" w:rsidRPr="000F6CD1">
              <w:rPr>
                <w:rFonts w:eastAsia="Arial"/>
                <w:color w:val="000000" w:themeColor="text1"/>
                <w:szCs w:val="22"/>
              </w:rPr>
              <w:t>were</w:t>
            </w:r>
            <w:r w:rsidRPr="000F6CD1">
              <w:rPr>
                <w:rFonts w:eastAsia="Arial"/>
                <w:color w:val="000000" w:themeColor="text1"/>
                <w:szCs w:val="22"/>
              </w:rPr>
              <w:t xml:space="preserve"> automatically allocated a place and can enter care when they choose to. </w:t>
            </w:r>
          </w:p>
        </w:tc>
      </w:tr>
    </w:tbl>
    <w:p w14:paraId="0AF5B350" w14:textId="04B94D17" w:rsidR="0096629B" w:rsidRPr="000F6CD1" w:rsidRDefault="0096629B" w:rsidP="00AD2CE5">
      <w:pPr>
        <w:pStyle w:val="H3"/>
      </w:pPr>
      <w:bookmarkStart w:id="60" w:name="_Toc207291867"/>
      <w:r w:rsidRPr="000F6CD1">
        <w:t>Transitioned Home Care Package</w:t>
      </w:r>
    </w:p>
    <w:p w14:paraId="2910A8E7" w14:textId="52C5C820" w:rsidR="0096629B" w:rsidRPr="000F6CD1" w:rsidRDefault="007B2894" w:rsidP="008E6691">
      <w:pPr>
        <w:spacing w:before="240" w:after="240" w:line="240" w:lineRule="auto"/>
      </w:pPr>
      <w:r w:rsidRPr="000F6CD1">
        <w:t>All</w:t>
      </w:r>
      <w:r w:rsidR="0096629B" w:rsidRPr="000F6CD1">
        <w:t xml:space="preserve"> individuals </w:t>
      </w:r>
      <w:r w:rsidR="00855885" w:rsidRPr="000F6CD1">
        <w:t xml:space="preserve">who were </w:t>
      </w:r>
      <w:r w:rsidR="0096629B" w:rsidRPr="000F6CD1">
        <w:t xml:space="preserve">receiving a Home Care Package (HCP) </w:t>
      </w:r>
      <w:r w:rsidR="00855885" w:rsidRPr="000F6CD1">
        <w:t>on 1 November 2025 were</w:t>
      </w:r>
      <w:r w:rsidR="00B62430" w:rsidRPr="000F6CD1">
        <w:t xml:space="preserve"> </w:t>
      </w:r>
      <w:r w:rsidR="0049045D" w:rsidRPr="000F6CD1">
        <w:t>transitioned</w:t>
      </w:r>
      <w:r w:rsidR="0096629B" w:rsidRPr="000F6CD1">
        <w:t xml:space="preserve"> to the Support at Home program. At the point of transition, they </w:t>
      </w:r>
      <w:r w:rsidR="0049045D" w:rsidRPr="000F6CD1">
        <w:t xml:space="preserve">were </w:t>
      </w:r>
      <w:r w:rsidR="0096629B" w:rsidRPr="000F6CD1">
        <w:t xml:space="preserve">not assigned a Support at Home classification level (Levels 1–8). Instead, each person </w:t>
      </w:r>
      <w:r w:rsidR="0049045D" w:rsidRPr="000F6CD1">
        <w:t>was</w:t>
      </w:r>
      <w:r w:rsidR="0096629B" w:rsidRPr="000F6CD1">
        <w:t xml:space="preserve"> allocated one of four Transitioned Home Care Package classifications, based on their HCP level prior to 1 November</w:t>
      </w:r>
      <w:r w:rsidR="0049045D" w:rsidRPr="000F6CD1">
        <w:t xml:space="preserve"> 2025</w:t>
      </w:r>
      <w:r w:rsidR="0096629B" w:rsidRPr="000F6CD1">
        <w:t>.</w:t>
      </w:r>
    </w:p>
    <w:p w14:paraId="7021F37D" w14:textId="20A1A289" w:rsidR="00ED0039" w:rsidRPr="000F6CD1" w:rsidRDefault="0096629B" w:rsidP="009B5FDA">
      <w:pPr>
        <w:spacing w:before="240" w:after="240" w:line="240" w:lineRule="auto"/>
        <w:rPr>
          <w14:ligatures w14:val="standardContextual"/>
        </w:rPr>
      </w:pPr>
      <w:r w:rsidRPr="000F6CD1">
        <w:t>Clients can remain on these transitional classifications indefinitely</w:t>
      </w:r>
      <w:r w:rsidR="00C051DA" w:rsidRPr="000F6CD1">
        <w:t xml:space="preserve">, unless </w:t>
      </w:r>
      <w:r w:rsidR="004073BC" w:rsidRPr="000F6CD1">
        <w:t xml:space="preserve">assessed and </w:t>
      </w:r>
      <w:r w:rsidR="00C051DA" w:rsidRPr="000F6CD1">
        <w:t xml:space="preserve">approved for a </w:t>
      </w:r>
      <w:r w:rsidR="00DF4434" w:rsidRPr="000F6CD1">
        <w:t>Support at Home classification at a higher level</w:t>
      </w:r>
      <w:r w:rsidRPr="000F6CD1">
        <w:t xml:space="preserve">. </w:t>
      </w:r>
      <w:r w:rsidR="00CA5DD6" w:rsidRPr="000F6CD1">
        <w:t xml:space="preserve">A transitional classification can be retained </w:t>
      </w:r>
      <w:r w:rsidRPr="000F6CD1">
        <w:t xml:space="preserve">even if </w:t>
      </w:r>
      <w:r w:rsidR="00CA5DD6" w:rsidRPr="000F6CD1">
        <w:t>the client has</w:t>
      </w:r>
      <w:r w:rsidRPr="000F6CD1">
        <w:t xml:space="preserve"> a new assessment and the </w:t>
      </w:r>
      <w:r w:rsidR="00386B7E">
        <w:t>IAT Outcome</w:t>
      </w:r>
      <w:r w:rsidRPr="000F6CD1">
        <w:t xml:space="preserve"> </w:t>
      </w:r>
      <w:r w:rsidR="0049045D" w:rsidRPr="000F6CD1">
        <w:t xml:space="preserve">results in </w:t>
      </w:r>
      <w:r w:rsidRPr="000F6CD1">
        <w:t xml:space="preserve">a Support at Home classification level that would reduce their funding compared to their transitional level. When reassessing transitioned clients, assessors must ensure the transitional classification is retained when it is more beneficial </w:t>
      </w:r>
      <w:r w:rsidR="0049045D" w:rsidRPr="000F6CD1">
        <w:t xml:space="preserve">to </w:t>
      </w:r>
      <w:r w:rsidRPr="000F6CD1">
        <w:t>the client.</w:t>
      </w:r>
      <w:r w:rsidR="005F2FA6" w:rsidRPr="000F6CD1">
        <w:rPr>
          <w14:ligatures w14:val="standardContextual"/>
        </w:rPr>
        <w:t xml:space="preserve"> </w:t>
      </w:r>
    </w:p>
    <w:p w14:paraId="7627B5EC" w14:textId="1D10FB1D" w:rsidR="00ED0039" w:rsidRPr="000F6CD1" w:rsidRDefault="00BF0A62" w:rsidP="00BF0A62">
      <w:pPr>
        <w:rPr>
          <w14:ligatures w14:val="standardContextual"/>
        </w:rPr>
      </w:pPr>
      <w:r>
        <w:rPr>
          <w14:ligatures w14:val="standardContextual"/>
        </w:rPr>
        <w:br w:type="page"/>
      </w:r>
    </w:p>
    <w:p w14:paraId="529F5689" w14:textId="31A26A30" w:rsidR="009756A0" w:rsidRPr="000F6CD1" w:rsidRDefault="009756A0" w:rsidP="008E6691">
      <w:pPr>
        <w:spacing w:before="240" w:after="240" w:line="240" w:lineRule="auto"/>
        <w:rPr>
          <w:b/>
        </w:rPr>
      </w:pPr>
      <w:r w:rsidRPr="000F6CD1">
        <w:rPr>
          <w:b/>
        </w:rPr>
        <w:lastRenderedPageBreak/>
        <w:t xml:space="preserve">Table </w:t>
      </w:r>
      <w:r w:rsidR="007B2894" w:rsidRPr="000F6CD1">
        <w:rPr>
          <w:b/>
        </w:rPr>
        <w:t>2</w:t>
      </w:r>
      <w:r w:rsidRPr="000F6CD1">
        <w:rPr>
          <w:b/>
        </w:rPr>
        <w:t xml:space="preserve">: Transitioned levels and recommended outcomes </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1553"/>
        <w:gridCol w:w="3696"/>
        <w:gridCol w:w="4307"/>
      </w:tblGrid>
      <w:tr w:rsidR="009756A0" w:rsidRPr="000F6CD1" w14:paraId="34510D0F" w14:textId="77777777" w:rsidTr="00A17203">
        <w:trPr>
          <w:trHeight w:val="323"/>
          <w:tblHeader/>
        </w:trPr>
        <w:tc>
          <w:tcPr>
            <w:tcW w:w="1553" w:type="dxa"/>
            <w:shd w:val="clear" w:color="auto" w:fill="002060"/>
            <w:tcMar>
              <w:top w:w="72" w:type="dxa"/>
              <w:left w:w="144" w:type="dxa"/>
              <w:bottom w:w="72" w:type="dxa"/>
              <w:right w:w="144" w:type="dxa"/>
            </w:tcMar>
            <w:hideMark/>
          </w:tcPr>
          <w:p w14:paraId="45C7950B" w14:textId="77777777" w:rsidR="009756A0" w:rsidRPr="000F6CD1" w:rsidRDefault="009756A0" w:rsidP="008E6691">
            <w:pPr>
              <w:spacing w:before="240" w:after="240" w:line="240" w:lineRule="auto"/>
              <w:rPr>
                <w:rFonts w:eastAsia="Times New Roman"/>
                <w:szCs w:val="22"/>
              </w:rPr>
            </w:pPr>
            <w:r w:rsidRPr="000F6CD1">
              <w:rPr>
                <w:rFonts w:eastAsia="Times New Roman"/>
                <w:b/>
                <w:color w:val="FFFFFF" w:themeColor="background1"/>
                <w:kern w:val="24"/>
                <w:szCs w:val="22"/>
              </w:rPr>
              <w:t>Transition level</w:t>
            </w:r>
          </w:p>
        </w:tc>
        <w:tc>
          <w:tcPr>
            <w:tcW w:w="3696" w:type="dxa"/>
            <w:shd w:val="clear" w:color="auto" w:fill="002060"/>
            <w:tcMar>
              <w:top w:w="72" w:type="dxa"/>
              <w:left w:w="144" w:type="dxa"/>
              <w:bottom w:w="72" w:type="dxa"/>
              <w:right w:w="144" w:type="dxa"/>
            </w:tcMar>
            <w:hideMark/>
          </w:tcPr>
          <w:p w14:paraId="14ADA795" w14:textId="3AB1326A" w:rsidR="009756A0" w:rsidRPr="000F6CD1" w:rsidRDefault="00386B7E" w:rsidP="008E6691">
            <w:pPr>
              <w:spacing w:before="240" w:after="240" w:line="240" w:lineRule="auto"/>
              <w:rPr>
                <w:rFonts w:eastAsia="Times New Roman"/>
                <w:szCs w:val="22"/>
              </w:rPr>
            </w:pPr>
            <w:r>
              <w:rPr>
                <w:rFonts w:eastAsia="Times New Roman"/>
                <w:b/>
                <w:color w:val="FFFFFF" w:themeColor="background1"/>
                <w:kern w:val="24"/>
                <w:szCs w:val="22"/>
              </w:rPr>
              <w:t>IAT Outcome</w:t>
            </w:r>
          </w:p>
        </w:tc>
        <w:tc>
          <w:tcPr>
            <w:tcW w:w="4307" w:type="dxa"/>
            <w:shd w:val="clear" w:color="auto" w:fill="002060"/>
            <w:tcMar>
              <w:top w:w="72" w:type="dxa"/>
              <w:left w:w="144" w:type="dxa"/>
              <w:bottom w:w="72" w:type="dxa"/>
              <w:right w:w="144" w:type="dxa"/>
            </w:tcMar>
            <w:hideMark/>
          </w:tcPr>
          <w:p w14:paraId="6502B7C6" w14:textId="195C3080" w:rsidR="009756A0" w:rsidRPr="000F6CD1" w:rsidRDefault="009756A0" w:rsidP="008E6691">
            <w:pPr>
              <w:spacing w:before="240" w:after="240" w:line="240" w:lineRule="auto"/>
              <w:rPr>
                <w:rFonts w:eastAsia="Times New Roman"/>
                <w:szCs w:val="22"/>
              </w:rPr>
            </w:pPr>
            <w:r w:rsidRPr="000F6CD1">
              <w:rPr>
                <w:rFonts w:eastAsia="Times New Roman"/>
                <w:b/>
                <w:color w:val="FFFFFF" w:themeColor="background1"/>
                <w:kern w:val="24"/>
                <w:szCs w:val="22"/>
              </w:rPr>
              <w:t>Recommended outcome</w:t>
            </w:r>
          </w:p>
        </w:tc>
      </w:tr>
      <w:tr w:rsidR="009756A0" w:rsidRPr="000F6CD1" w14:paraId="3553340A" w14:textId="77777777" w:rsidTr="009924BE">
        <w:trPr>
          <w:trHeight w:val="196"/>
        </w:trPr>
        <w:tc>
          <w:tcPr>
            <w:tcW w:w="1553" w:type="dxa"/>
            <w:vMerge w:val="restart"/>
            <w:tcMar>
              <w:top w:w="72" w:type="dxa"/>
              <w:left w:w="144" w:type="dxa"/>
              <w:bottom w:w="72" w:type="dxa"/>
              <w:right w:w="144" w:type="dxa"/>
            </w:tcMar>
            <w:hideMark/>
          </w:tcPr>
          <w:p w14:paraId="246EC208" w14:textId="77777777" w:rsidR="009756A0" w:rsidRPr="000F6CD1" w:rsidRDefault="009756A0" w:rsidP="008E6691">
            <w:pPr>
              <w:spacing w:before="240" w:after="240" w:line="240" w:lineRule="auto"/>
              <w:rPr>
                <w:rFonts w:eastAsia="Times New Roman"/>
                <w:bCs/>
                <w:szCs w:val="22"/>
              </w:rPr>
            </w:pPr>
            <w:r w:rsidRPr="000F6CD1">
              <w:rPr>
                <w:rFonts w:eastAsia="Times New Roman"/>
                <w:bCs/>
                <w:color w:val="000000" w:themeColor="text1"/>
                <w:kern w:val="24"/>
                <w:szCs w:val="22"/>
              </w:rPr>
              <w:t>Transitioned HCP 1</w:t>
            </w:r>
          </w:p>
        </w:tc>
        <w:tc>
          <w:tcPr>
            <w:tcW w:w="3696" w:type="dxa"/>
            <w:tcMar>
              <w:top w:w="72" w:type="dxa"/>
              <w:left w:w="144" w:type="dxa"/>
              <w:bottom w:w="72" w:type="dxa"/>
              <w:right w:w="144" w:type="dxa"/>
            </w:tcMar>
            <w:hideMark/>
          </w:tcPr>
          <w:p w14:paraId="48166E9E" w14:textId="77777777" w:rsidR="009756A0" w:rsidRPr="000F6CD1" w:rsidRDefault="009756A0" w:rsidP="008E6691">
            <w:pPr>
              <w:spacing w:before="240" w:after="240" w:line="240" w:lineRule="auto"/>
              <w:rPr>
                <w:rFonts w:eastAsia="Times New Roman"/>
                <w:color w:val="000000" w:themeColor="text1"/>
                <w:szCs w:val="22"/>
              </w:rPr>
            </w:pPr>
            <w:r w:rsidRPr="000F6CD1">
              <w:rPr>
                <w:rFonts w:eastAsia="Times New Roman"/>
                <w:color w:val="000000" w:themeColor="text1"/>
                <w:kern w:val="24"/>
                <w:szCs w:val="22"/>
              </w:rPr>
              <w:t>CHSP</w:t>
            </w:r>
          </w:p>
          <w:p w14:paraId="1F9E88B4"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szCs w:val="22"/>
              </w:rPr>
              <w:t>Support at Home Classification 1</w:t>
            </w:r>
          </w:p>
        </w:tc>
        <w:tc>
          <w:tcPr>
            <w:tcW w:w="4307" w:type="dxa"/>
            <w:tcMar>
              <w:top w:w="72" w:type="dxa"/>
              <w:left w:w="144" w:type="dxa"/>
              <w:bottom w:w="72" w:type="dxa"/>
              <w:right w:w="144" w:type="dxa"/>
            </w:tcMar>
            <w:hideMark/>
          </w:tcPr>
          <w:p w14:paraId="1FEF2B0C"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Retain Transitioned HCP 1</w:t>
            </w:r>
          </w:p>
        </w:tc>
      </w:tr>
      <w:tr w:rsidR="009756A0" w:rsidRPr="000F6CD1" w14:paraId="4426AAD6" w14:textId="77777777" w:rsidTr="009924BE">
        <w:trPr>
          <w:trHeight w:val="196"/>
        </w:trPr>
        <w:tc>
          <w:tcPr>
            <w:tcW w:w="1553" w:type="dxa"/>
            <w:vMerge/>
            <w:vAlign w:val="center"/>
            <w:hideMark/>
          </w:tcPr>
          <w:p w14:paraId="540044D0" w14:textId="77777777" w:rsidR="009756A0" w:rsidRPr="000F6CD1" w:rsidRDefault="009756A0" w:rsidP="008E6691">
            <w:pPr>
              <w:spacing w:before="240" w:after="240" w:line="240" w:lineRule="auto"/>
              <w:rPr>
                <w:rFonts w:eastAsia="Times New Roman"/>
                <w:bCs/>
                <w:szCs w:val="22"/>
              </w:rPr>
            </w:pPr>
          </w:p>
        </w:tc>
        <w:tc>
          <w:tcPr>
            <w:tcW w:w="3696" w:type="dxa"/>
            <w:tcMar>
              <w:top w:w="72" w:type="dxa"/>
              <w:left w:w="144" w:type="dxa"/>
              <w:bottom w:w="72" w:type="dxa"/>
              <w:right w:w="144" w:type="dxa"/>
            </w:tcMar>
            <w:hideMark/>
          </w:tcPr>
          <w:p w14:paraId="295CCFF5"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2-8</w:t>
            </w:r>
          </w:p>
        </w:tc>
        <w:tc>
          <w:tcPr>
            <w:tcW w:w="4307" w:type="dxa"/>
            <w:tcMar>
              <w:top w:w="72" w:type="dxa"/>
              <w:left w:w="144" w:type="dxa"/>
              <w:bottom w:w="72" w:type="dxa"/>
              <w:right w:w="144" w:type="dxa"/>
            </w:tcMar>
            <w:hideMark/>
          </w:tcPr>
          <w:p w14:paraId="68A2AF29" w14:textId="6E79AA9F"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Use Support at Home 2-8 Class</w:t>
            </w:r>
            <w:r w:rsidR="007D783B" w:rsidRPr="000F6CD1">
              <w:rPr>
                <w:rFonts w:eastAsia="Times New Roman"/>
                <w:color w:val="000000" w:themeColor="text1"/>
                <w:kern w:val="24"/>
                <w:szCs w:val="22"/>
              </w:rPr>
              <w:t xml:space="preserve"> aligning with </w:t>
            </w:r>
            <w:r w:rsidR="00386B7E">
              <w:rPr>
                <w:rFonts w:eastAsia="Times New Roman"/>
                <w:color w:val="000000" w:themeColor="text1"/>
                <w:kern w:val="24"/>
                <w:szCs w:val="22"/>
              </w:rPr>
              <w:t>IAT Outcome</w:t>
            </w:r>
            <w:r w:rsidRPr="000F6CD1">
              <w:rPr>
                <w:rFonts w:eastAsia="Times New Roman"/>
                <w:color w:val="000000" w:themeColor="text1"/>
                <w:kern w:val="24"/>
                <w:szCs w:val="22"/>
              </w:rPr>
              <w:t>.</w:t>
            </w:r>
          </w:p>
        </w:tc>
      </w:tr>
      <w:tr w:rsidR="009756A0" w:rsidRPr="000F6CD1" w14:paraId="4FB07DB5" w14:textId="77777777" w:rsidTr="009924BE">
        <w:trPr>
          <w:trHeight w:val="253"/>
        </w:trPr>
        <w:tc>
          <w:tcPr>
            <w:tcW w:w="1553" w:type="dxa"/>
            <w:vMerge w:val="restart"/>
            <w:tcMar>
              <w:top w:w="72" w:type="dxa"/>
              <w:left w:w="144" w:type="dxa"/>
              <w:bottom w:w="72" w:type="dxa"/>
              <w:right w:w="144" w:type="dxa"/>
            </w:tcMar>
            <w:hideMark/>
          </w:tcPr>
          <w:p w14:paraId="1A749FA6" w14:textId="77777777" w:rsidR="009756A0" w:rsidRPr="000F6CD1" w:rsidRDefault="009756A0" w:rsidP="008E6691">
            <w:pPr>
              <w:spacing w:before="240" w:after="240" w:line="240" w:lineRule="auto"/>
              <w:rPr>
                <w:rFonts w:eastAsia="Times New Roman"/>
                <w:bCs/>
                <w:szCs w:val="22"/>
              </w:rPr>
            </w:pPr>
            <w:r w:rsidRPr="000F6CD1">
              <w:rPr>
                <w:rFonts w:eastAsia="Times New Roman"/>
                <w:bCs/>
                <w:color w:val="000000" w:themeColor="text1"/>
                <w:kern w:val="24"/>
                <w:szCs w:val="22"/>
              </w:rPr>
              <w:t>Transitioned HCP 2</w:t>
            </w:r>
          </w:p>
        </w:tc>
        <w:tc>
          <w:tcPr>
            <w:tcW w:w="3696" w:type="dxa"/>
            <w:tcMar>
              <w:top w:w="72" w:type="dxa"/>
              <w:left w:w="144" w:type="dxa"/>
              <w:bottom w:w="72" w:type="dxa"/>
              <w:right w:w="144" w:type="dxa"/>
            </w:tcMar>
            <w:hideMark/>
          </w:tcPr>
          <w:p w14:paraId="071D56DC" w14:textId="77777777" w:rsidR="009756A0" w:rsidRPr="000F6CD1" w:rsidRDefault="009756A0" w:rsidP="008E6691">
            <w:pPr>
              <w:spacing w:before="240" w:after="240" w:line="240" w:lineRule="auto"/>
              <w:rPr>
                <w:rFonts w:eastAsia="Times New Roman"/>
                <w:color w:val="000000" w:themeColor="text1"/>
                <w:kern w:val="24"/>
                <w:szCs w:val="22"/>
              </w:rPr>
            </w:pPr>
            <w:r w:rsidRPr="000F6CD1">
              <w:rPr>
                <w:rFonts w:eastAsia="Times New Roman"/>
                <w:color w:val="000000" w:themeColor="text1"/>
                <w:kern w:val="24"/>
                <w:szCs w:val="22"/>
              </w:rPr>
              <w:t>CHSP</w:t>
            </w:r>
          </w:p>
          <w:p w14:paraId="0B99E834"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1-2</w:t>
            </w:r>
          </w:p>
        </w:tc>
        <w:tc>
          <w:tcPr>
            <w:tcW w:w="4307" w:type="dxa"/>
            <w:tcMar>
              <w:top w:w="72" w:type="dxa"/>
              <w:left w:w="144" w:type="dxa"/>
              <w:bottom w:w="72" w:type="dxa"/>
              <w:right w:w="144" w:type="dxa"/>
            </w:tcMar>
            <w:hideMark/>
          </w:tcPr>
          <w:p w14:paraId="2A6DC1CC"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Retain Transitioned HCP 2</w:t>
            </w:r>
          </w:p>
        </w:tc>
      </w:tr>
      <w:tr w:rsidR="009756A0" w:rsidRPr="000F6CD1" w14:paraId="342FB0BC" w14:textId="77777777" w:rsidTr="009924BE">
        <w:trPr>
          <w:trHeight w:val="253"/>
        </w:trPr>
        <w:tc>
          <w:tcPr>
            <w:tcW w:w="1553" w:type="dxa"/>
            <w:vMerge/>
            <w:vAlign w:val="center"/>
            <w:hideMark/>
          </w:tcPr>
          <w:p w14:paraId="40D37759" w14:textId="77777777" w:rsidR="009756A0" w:rsidRPr="000F6CD1" w:rsidRDefault="009756A0" w:rsidP="008E6691">
            <w:pPr>
              <w:spacing w:before="240" w:after="240" w:line="240" w:lineRule="auto"/>
              <w:rPr>
                <w:rFonts w:eastAsia="Times New Roman"/>
                <w:bCs/>
                <w:szCs w:val="22"/>
              </w:rPr>
            </w:pPr>
          </w:p>
        </w:tc>
        <w:tc>
          <w:tcPr>
            <w:tcW w:w="3696" w:type="dxa"/>
            <w:tcMar>
              <w:top w:w="72" w:type="dxa"/>
              <w:left w:w="144" w:type="dxa"/>
              <w:bottom w:w="72" w:type="dxa"/>
              <w:right w:w="144" w:type="dxa"/>
            </w:tcMar>
            <w:hideMark/>
          </w:tcPr>
          <w:p w14:paraId="0B966F12"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3-8</w:t>
            </w:r>
          </w:p>
        </w:tc>
        <w:tc>
          <w:tcPr>
            <w:tcW w:w="4307" w:type="dxa"/>
            <w:tcMar>
              <w:top w:w="72" w:type="dxa"/>
              <w:left w:w="144" w:type="dxa"/>
              <w:bottom w:w="72" w:type="dxa"/>
              <w:right w:w="144" w:type="dxa"/>
            </w:tcMar>
            <w:hideMark/>
          </w:tcPr>
          <w:p w14:paraId="252FC1EF" w14:textId="5240D542"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Use Support at Home 3-8 Class</w:t>
            </w:r>
            <w:r w:rsidR="007D783B" w:rsidRPr="000F6CD1">
              <w:rPr>
                <w:rFonts w:eastAsia="Times New Roman"/>
                <w:color w:val="000000" w:themeColor="text1"/>
                <w:kern w:val="24"/>
                <w:szCs w:val="22"/>
              </w:rPr>
              <w:t xml:space="preserve"> aligning with </w:t>
            </w:r>
            <w:r w:rsidR="00386B7E">
              <w:rPr>
                <w:rFonts w:eastAsia="Times New Roman"/>
                <w:color w:val="000000" w:themeColor="text1"/>
                <w:kern w:val="24"/>
                <w:szCs w:val="22"/>
              </w:rPr>
              <w:t>IAT Outcome</w:t>
            </w:r>
            <w:r w:rsidRPr="000F6CD1">
              <w:rPr>
                <w:rFonts w:eastAsia="Times New Roman"/>
                <w:color w:val="000000" w:themeColor="text1"/>
                <w:kern w:val="24"/>
                <w:szCs w:val="22"/>
              </w:rPr>
              <w:t>.</w:t>
            </w:r>
          </w:p>
        </w:tc>
      </w:tr>
      <w:tr w:rsidR="009756A0" w:rsidRPr="000F6CD1" w14:paraId="1988AC05" w14:textId="77777777" w:rsidTr="009924BE">
        <w:trPr>
          <w:trHeight w:val="253"/>
        </w:trPr>
        <w:tc>
          <w:tcPr>
            <w:tcW w:w="1553" w:type="dxa"/>
            <w:vMerge w:val="restart"/>
            <w:tcMar>
              <w:top w:w="72" w:type="dxa"/>
              <w:left w:w="144" w:type="dxa"/>
              <w:bottom w:w="72" w:type="dxa"/>
              <w:right w:w="144" w:type="dxa"/>
            </w:tcMar>
            <w:hideMark/>
          </w:tcPr>
          <w:p w14:paraId="249BFE01" w14:textId="77777777" w:rsidR="009756A0" w:rsidRPr="000F6CD1" w:rsidRDefault="009756A0" w:rsidP="008E6691">
            <w:pPr>
              <w:spacing w:before="240" w:after="240" w:line="240" w:lineRule="auto"/>
              <w:rPr>
                <w:rFonts w:eastAsia="Times New Roman"/>
                <w:bCs/>
                <w:szCs w:val="22"/>
              </w:rPr>
            </w:pPr>
            <w:r w:rsidRPr="000F6CD1">
              <w:rPr>
                <w:rFonts w:eastAsia="Times New Roman"/>
                <w:bCs/>
                <w:color w:val="000000" w:themeColor="text1"/>
                <w:kern w:val="24"/>
                <w:szCs w:val="22"/>
              </w:rPr>
              <w:t>Transitioned HCP 3</w:t>
            </w:r>
          </w:p>
        </w:tc>
        <w:tc>
          <w:tcPr>
            <w:tcW w:w="3696" w:type="dxa"/>
            <w:tcMar>
              <w:top w:w="72" w:type="dxa"/>
              <w:left w:w="144" w:type="dxa"/>
              <w:bottom w:w="72" w:type="dxa"/>
              <w:right w:w="144" w:type="dxa"/>
            </w:tcMar>
            <w:hideMark/>
          </w:tcPr>
          <w:p w14:paraId="0F6C40D0" w14:textId="77777777" w:rsidR="009756A0" w:rsidRPr="000F6CD1" w:rsidRDefault="009756A0" w:rsidP="008E6691">
            <w:pPr>
              <w:spacing w:before="240" w:after="240" w:line="240" w:lineRule="auto"/>
              <w:rPr>
                <w:rFonts w:eastAsia="Times New Roman"/>
                <w:color w:val="000000" w:themeColor="text1"/>
                <w:kern w:val="24"/>
                <w:szCs w:val="22"/>
              </w:rPr>
            </w:pPr>
            <w:r w:rsidRPr="000F6CD1">
              <w:rPr>
                <w:rFonts w:eastAsia="Times New Roman"/>
                <w:color w:val="000000" w:themeColor="text1"/>
                <w:kern w:val="24"/>
                <w:szCs w:val="22"/>
              </w:rPr>
              <w:t>CHSP</w:t>
            </w:r>
          </w:p>
          <w:p w14:paraId="46FF13E0"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1-5</w:t>
            </w:r>
          </w:p>
        </w:tc>
        <w:tc>
          <w:tcPr>
            <w:tcW w:w="4307" w:type="dxa"/>
            <w:tcMar>
              <w:top w:w="72" w:type="dxa"/>
              <w:left w:w="144" w:type="dxa"/>
              <w:bottom w:w="72" w:type="dxa"/>
              <w:right w:w="144" w:type="dxa"/>
            </w:tcMar>
            <w:hideMark/>
          </w:tcPr>
          <w:p w14:paraId="42AA4793"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Retain Transitioned HCP 3</w:t>
            </w:r>
          </w:p>
        </w:tc>
      </w:tr>
      <w:tr w:rsidR="009756A0" w:rsidRPr="000F6CD1" w14:paraId="59135935" w14:textId="77777777" w:rsidTr="009924BE">
        <w:trPr>
          <w:trHeight w:val="253"/>
        </w:trPr>
        <w:tc>
          <w:tcPr>
            <w:tcW w:w="1553" w:type="dxa"/>
            <w:vMerge/>
            <w:vAlign w:val="center"/>
            <w:hideMark/>
          </w:tcPr>
          <w:p w14:paraId="2B3BF896" w14:textId="77777777" w:rsidR="009756A0" w:rsidRPr="000F6CD1" w:rsidRDefault="009756A0" w:rsidP="008E6691">
            <w:pPr>
              <w:spacing w:before="240" w:after="240" w:line="240" w:lineRule="auto"/>
              <w:rPr>
                <w:rFonts w:eastAsia="Times New Roman"/>
                <w:bCs/>
                <w:szCs w:val="22"/>
              </w:rPr>
            </w:pPr>
          </w:p>
        </w:tc>
        <w:tc>
          <w:tcPr>
            <w:tcW w:w="3696" w:type="dxa"/>
            <w:tcMar>
              <w:top w:w="72" w:type="dxa"/>
              <w:left w:w="144" w:type="dxa"/>
              <w:bottom w:w="72" w:type="dxa"/>
              <w:right w:w="144" w:type="dxa"/>
            </w:tcMar>
            <w:hideMark/>
          </w:tcPr>
          <w:p w14:paraId="36BC51E2"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6-8</w:t>
            </w:r>
          </w:p>
        </w:tc>
        <w:tc>
          <w:tcPr>
            <w:tcW w:w="4307" w:type="dxa"/>
            <w:tcMar>
              <w:top w:w="72" w:type="dxa"/>
              <w:left w:w="144" w:type="dxa"/>
              <w:bottom w:w="72" w:type="dxa"/>
              <w:right w:w="144" w:type="dxa"/>
            </w:tcMar>
            <w:hideMark/>
          </w:tcPr>
          <w:p w14:paraId="719E1833" w14:textId="1A143214"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Use Support at Home 6-8 Class</w:t>
            </w:r>
            <w:r w:rsidR="007D783B" w:rsidRPr="000F6CD1">
              <w:rPr>
                <w:rFonts w:eastAsia="Times New Roman"/>
                <w:color w:val="000000" w:themeColor="text1"/>
                <w:kern w:val="24"/>
                <w:szCs w:val="22"/>
              </w:rPr>
              <w:t xml:space="preserve"> aligning with </w:t>
            </w:r>
            <w:r w:rsidR="00386B7E">
              <w:rPr>
                <w:rFonts w:eastAsia="Times New Roman"/>
                <w:color w:val="000000" w:themeColor="text1"/>
                <w:kern w:val="24"/>
                <w:szCs w:val="22"/>
              </w:rPr>
              <w:t>IAT Outcome</w:t>
            </w:r>
            <w:r w:rsidRPr="000F6CD1">
              <w:rPr>
                <w:rFonts w:eastAsia="Times New Roman"/>
                <w:color w:val="000000" w:themeColor="text1"/>
                <w:kern w:val="24"/>
                <w:szCs w:val="22"/>
              </w:rPr>
              <w:t>.</w:t>
            </w:r>
          </w:p>
        </w:tc>
      </w:tr>
      <w:tr w:rsidR="009756A0" w:rsidRPr="000F6CD1" w14:paraId="43B5D986" w14:textId="77777777" w:rsidTr="009924BE">
        <w:trPr>
          <w:trHeight w:val="253"/>
        </w:trPr>
        <w:tc>
          <w:tcPr>
            <w:tcW w:w="1553" w:type="dxa"/>
            <w:vMerge w:val="restart"/>
            <w:tcMar>
              <w:top w:w="72" w:type="dxa"/>
              <w:left w:w="144" w:type="dxa"/>
              <w:bottom w:w="72" w:type="dxa"/>
              <w:right w:w="144" w:type="dxa"/>
            </w:tcMar>
            <w:hideMark/>
          </w:tcPr>
          <w:p w14:paraId="565229AF" w14:textId="77777777" w:rsidR="009756A0" w:rsidRPr="000F6CD1" w:rsidRDefault="009756A0" w:rsidP="008E6691">
            <w:pPr>
              <w:spacing w:before="240" w:after="240" w:line="240" w:lineRule="auto"/>
              <w:rPr>
                <w:rFonts w:eastAsia="Times New Roman"/>
                <w:bCs/>
                <w:szCs w:val="22"/>
              </w:rPr>
            </w:pPr>
            <w:r w:rsidRPr="000F6CD1">
              <w:rPr>
                <w:rFonts w:eastAsia="Times New Roman"/>
                <w:bCs/>
                <w:color w:val="000000" w:themeColor="text1"/>
                <w:kern w:val="24"/>
                <w:szCs w:val="22"/>
              </w:rPr>
              <w:t>Transitioned HCP 4</w:t>
            </w:r>
          </w:p>
        </w:tc>
        <w:tc>
          <w:tcPr>
            <w:tcW w:w="3696" w:type="dxa"/>
            <w:tcMar>
              <w:top w:w="72" w:type="dxa"/>
              <w:left w:w="144" w:type="dxa"/>
              <w:bottom w:w="72" w:type="dxa"/>
              <w:right w:w="144" w:type="dxa"/>
            </w:tcMar>
            <w:hideMark/>
          </w:tcPr>
          <w:p w14:paraId="2915F9D7" w14:textId="77777777" w:rsidR="009756A0" w:rsidRPr="000F6CD1" w:rsidRDefault="009756A0" w:rsidP="008E6691">
            <w:pPr>
              <w:spacing w:before="240" w:after="240" w:line="240" w:lineRule="auto"/>
              <w:rPr>
                <w:rFonts w:eastAsia="Times New Roman"/>
                <w:color w:val="000000" w:themeColor="text1"/>
                <w:kern w:val="24"/>
                <w:szCs w:val="22"/>
              </w:rPr>
            </w:pPr>
            <w:r w:rsidRPr="000F6CD1">
              <w:rPr>
                <w:rFonts w:eastAsia="Times New Roman"/>
                <w:color w:val="000000" w:themeColor="text1"/>
                <w:kern w:val="24"/>
                <w:szCs w:val="22"/>
              </w:rPr>
              <w:t>CHSP</w:t>
            </w:r>
          </w:p>
          <w:p w14:paraId="4B1E69B9"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1-7</w:t>
            </w:r>
          </w:p>
        </w:tc>
        <w:tc>
          <w:tcPr>
            <w:tcW w:w="4307" w:type="dxa"/>
            <w:tcMar>
              <w:top w:w="72" w:type="dxa"/>
              <w:left w:w="144" w:type="dxa"/>
              <w:bottom w:w="72" w:type="dxa"/>
              <w:right w:w="144" w:type="dxa"/>
            </w:tcMar>
            <w:hideMark/>
          </w:tcPr>
          <w:p w14:paraId="68CAB605"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Retain Transitioned HCP 4</w:t>
            </w:r>
          </w:p>
        </w:tc>
      </w:tr>
      <w:tr w:rsidR="009756A0" w:rsidRPr="000F6CD1" w14:paraId="419019A4" w14:textId="77777777" w:rsidTr="009924BE">
        <w:trPr>
          <w:trHeight w:val="253"/>
        </w:trPr>
        <w:tc>
          <w:tcPr>
            <w:tcW w:w="1553" w:type="dxa"/>
            <w:vMerge/>
            <w:vAlign w:val="center"/>
            <w:hideMark/>
          </w:tcPr>
          <w:p w14:paraId="3266BF40" w14:textId="77777777" w:rsidR="009756A0" w:rsidRPr="000F6CD1" w:rsidRDefault="009756A0" w:rsidP="008E6691">
            <w:pPr>
              <w:spacing w:before="240" w:after="240" w:line="240" w:lineRule="auto"/>
              <w:rPr>
                <w:rFonts w:eastAsia="Times New Roman"/>
                <w:szCs w:val="22"/>
              </w:rPr>
            </w:pPr>
          </w:p>
        </w:tc>
        <w:tc>
          <w:tcPr>
            <w:tcW w:w="3696" w:type="dxa"/>
            <w:tcMar>
              <w:top w:w="72" w:type="dxa"/>
              <w:left w:w="144" w:type="dxa"/>
              <w:bottom w:w="72" w:type="dxa"/>
              <w:right w:w="144" w:type="dxa"/>
            </w:tcMar>
            <w:hideMark/>
          </w:tcPr>
          <w:p w14:paraId="2AC3BE5D" w14:textId="77777777"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Support at Home Classification 8</w:t>
            </w:r>
          </w:p>
        </w:tc>
        <w:tc>
          <w:tcPr>
            <w:tcW w:w="4307" w:type="dxa"/>
            <w:tcMar>
              <w:top w:w="72" w:type="dxa"/>
              <w:left w:w="144" w:type="dxa"/>
              <w:bottom w:w="72" w:type="dxa"/>
              <w:right w:w="144" w:type="dxa"/>
            </w:tcMar>
            <w:hideMark/>
          </w:tcPr>
          <w:p w14:paraId="326AAD88" w14:textId="780DB42A" w:rsidR="009756A0" w:rsidRPr="000F6CD1" w:rsidRDefault="009756A0" w:rsidP="008E6691">
            <w:pPr>
              <w:spacing w:before="240" w:after="240" w:line="240" w:lineRule="auto"/>
              <w:rPr>
                <w:rFonts w:eastAsia="Times New Roman"/>
                <w:szCs w:val="22"/>
              </w:rPr>
            </w:pPr>
            <w:r w:rsidRPr="000F6CD1">
              <w:rPr>
                <w:rFonts w:eastAsia="Times New Roman"/>
                <w:color w:val="000000" w:themeColor="text1"/>
                <w:kern w:val="24"/>
                <w:szCs w:val="22"/>
              </w:rPr>
              <w:t>Use Support at Home 8 Class</w:t>
            </w:r>
            <w:r w:rsidR="007D783B" w:rsidRPr="000F6CD1">
              <w:rPr>
                <w:rFonts w:eastAsia="Times New Roman"/>
                <w:color w:val="000000" w:themeColor="text1"/>
                <w:kern w:val="24"/>
                <w:szCs w:val="22"/>
              </w:rPr>
              <w:t xml:space="preserve"> aligning with </w:t>
            </w:r>
            <w:r w:rsidR="00386B7E">
              <w:rPr>
                <w:rFonts w:eastAsia="Times New Roman"/>
                <w:color w:val="000000" w:themeColor="text1"/>
                <w:kern w:val="24"/>
                <w:szCs w:val="22"/>
              </w:rPr>
              <w:t>IAT Outcome</w:t>
            </w:r>
            <w:r w:rsidRPr="000F6CD1">
              <w:rPr>
                <w:rFonts w:eastAsia="Times New Roman"/>
                <w:color w:val="000000" w:themeColor="text1"/>
                <w:kern w:val="24"/>
                <w:szCs w:val="22"/>
              </w:rPr>
              <w:t>.</w:t>
            </w:r>
          </w:p>
        </w:tc>
      </w:tr>
    </w:tbl>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564ED9" w:rsidRPr="000F6CD1" w14:paraId="648EA350" w14:textId="77777777">
        <w:trPr>
          <w:trHeight w:val="300"/>
        </w:trPr>
        <w:tc>
          <w:tcPr>
            <w:tcW w:w="988" w:type="dxa"/>
            <w:vAlign w:val="center"/>
          </w:tcPr>
          <w:p w14:paraId="783D0F7F" w14:textId="77777777" w:rsidR="00564ED9" w:rsidRPr="000F6CD1" w:rsidRDefault="00564ED9" w:rsidP="008E6691">
            <w:pPr>
              <w:spacing w:before="240" w:after="240"/>
            </w:pPr>
            <w:r w:rsidRPr="000F6CD1">
              <w:rPr>
                <w:noProof/>
              </w:rPr>
              <w:drawing>
                <wp:inline distT="0" distB="0" distL="0" distR="0" wp14:anchorId="4F1C1EE9" wp14:editId="04DAAB3D">
                  <wp:extent cx="447675" cy="438150"/>
                  <wp:effectExtent l="0" t="0" r="0" b="0"/>
                  <wp:docPr id="1704360653" name="Picture 17043606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59887F75" w14:textId="6410C230" w:rsidR="00564ED9" w:rsidRPr="000F6CD1" w:rsidRDefault="00564ED9" w:rsidP="008E6691">
            <w:pPr>
              <w:spacing w:before="240" w:after="240"/>
            </w:pPr>
            <w:r w:rsidRPr="00256EB9">
              <w:rPr>
                <w:iCs/>
              </w:rPr>
              <w:t>Section 6.7 Classification</w:t>
            </w:r>
            <w:r w:rsidRPr="000F6CD1">
              <w:t xml:space="preserve"> of the </w:t>
            </w:r>
            <w:hyperlink r:id="rId46">
              <w:r w:rsidRPr="000F6CD1">
                <w:rPr>
                  <w:rStyle w:val="Hyperlink"/>
                </w:rPr>
                <w:t>Support at Home Manual</w:t>
              </w:r>
            </w:hyperlink>
            <w:r w:rsidRPr="000F6CD1">
              <w:t>.</w:t>
            </w:r>
          </w:p>
        </w:tc>
      </w:tr>
    </w:tbl>
    <w:p w14:paraId="23983DB9" w14:textId="7D46CD23" w:rsidR="007537AC" w:rsidRPr="000F6CD1" w:rsidRDefault="007537AC" w:rsidP="00AD2CE5">
      <w:pPr>
        <w:pStyle w:val="H3"/>
      </w:pPr>
      <w:r w:rsidRPr="000F6CD1">
        <w:lastRenderedPageBreak/>
        <w:t xml:space="preserve">Support </w:t>
      </w:r>
      <w:r w:rsidR="27013B10" w:rsidRPr="000F6CD1">
        <w:t>p</w:t>
      </w:r>
      <w:r w:rsidRPr="000F6CD1">
        <w:t xml:space="preserve">lan </w:t>
      </w:r>
      <w:r w:rsidR="3E3EA274" w:rsidRPr="000F6CD1">
        <w:t>r</w:t>
      </w:r>
      <w:r w:rsidRPr="000F6CD1">
        <w:t>eviews for transitioned H</w:t>
      </w:r>
      <w:r w:rsidR="00315F22" w:rsidRPr="000F6CD1">
        <w:t xml:space="preserve">ome </w:t>
      </w:r>
      <w:r w:rsidRPr="000F6CD1">
        <w:t>C</w:t>
      </w:r>
      <w:r w:rsidR="00315F22" w:rsidRPr="000F6CD1">
        <w:t xml:space="preserve">are </w:t>
      </w:r>
      <w:r w:rsidRPr="000F6CD1">
        <w:t>P</w:t>
      </w:r>
      <w:r w:rsidR="00315F22" w:rsidRPr="000F6CD1">
        <w:t>ackage</w:t>
      </w:r>
      <w:r w:rsidRPr="000F6CD1">
        <w:t xml:space="preserve"> </w:t>
      </w:r>
      <w:r w:rsidR="00F029B1" w:rsidRPr="000F6CD1">
        <w:t>(HCP)</w:t>
      </w:r>
      <w:r w:rsidRPr="000F6CD1">
        <w:t xml:space="preserve"> clients</w:t>
      </w:r>
    </w:p>
    <w:p w14:paraId="32031173" w14:textId="3273CEE0" w:rsidR="00B7112F" w:rsidRPr="000F6CD1" w:rsidRDefault="007537AC" w:rsidP="008E6691">
      <w:pPr>
        <w:spacing w:before="240" w:after="240" w:line="240" w:lineRule="auto"/>
      </w:pPr>
      <w:r w:rsidRPr="000F6CD1">
        <w:t xml:space="preserve">Transitioned HCP clients will continue to be eligible for </w:t>
      </w:r>
      <w:r w:rsidR="5B9ECC19" w:rsidRPr="000F6CD1">
        <w:t>s</w:t>
      </w:r>
      <w:r w:rsidRPr="000F6CD1">
        <w:t xml:space="preserve">upport </w:t>
      </w:r>
      <w:r w:rsidR="04B3F452" w:rsidRPr="000F6CD1">
        <w:t>p</w:t>
      </w:r>
      <w:r w:rsidRPr="000F6CD1">
        <w:t xml:space="preserve">lan </w:t>
      </w:r>
      <w:r w:rsidR="7042D11B" w:rsidRPr="000F6CD1">
        <w:t>r</w:t>
      </w:r>
      <w:r w:rsidRPr="000F6CD1">
        <w:t>eviews (SPRs) under the same process currently in place. However, in line with existing procedures, if it is determined that a client’s circumstances ha</w:t>
      </w:r>
      <w:r w:rsidR="009220B7" w:rsidRPr="000F6CD1">
        <w:t>ve</w:t>
      </w:r>
      <w:r w:rsidRPr="000F6CD1">
        <w:t xml:space="preserve"> changed </w:t>
      </w:r>
      <w:r w:rsidR="009836A2" w:rsidRPr="000F6CD1">
        <w:t>significantly</w:t>
      </w:r>
      <w:r w:rsidRPr="000F6CD1">
        <w:t xml:space="preserve">, a </w:t>
      </w:r>
      <w:r w:rsidR="00AC54DA" w:rsidRPr="000F6CD1">
        <w:t>re</w:t>
      </w:r>
      <w:r w:rsidRPr="000F6CD1">
        <w:t>assessment will be required.</w:t>
      </w:r>
    </w:p>
    <w:p w14:paraId="22849755" w14:textId="1E8CA113" w:rsidR="007537AC" w:rsidRPr="000F6CD1" w:rsidRDefault="007537AC" w:rsidP="008E6691">
      <w:pPr>
        <w:spacing w:before="240" w:after="240" w:line="240" w:lineRule="auto"/>
      </w:pPr>
      <w:r w:rsidRPr="000F6CD1">
        <w:t xml:space="preserve">Under </w:t>
      </w:r>
      <w:r w:rsidR="003C3E1E" w:rsidRPr="000F6CD1">
        <w:t>Support at Home</w:t>
      </w:r>
      <w:r w:rsidRPr="000F6CD1">
        <w:t xml:space="preserve"> a higher Support at Home classification level cannot be </w:t>
      </w:r>
      <w:r w:rsidR="002B2CF9" w:rsidRPr="000F6CD1">
        <w:t>approved</w:t>
      </w:r>
      <w:r w:rsidRPr="000F6CD1">
        <w:t xml:space="preserve"> through an SPR — this can only occur following </w:t>
      </w:r>
      <w:r w:rsidR="00AC54DA" w:rsidRPr="000F6CD1">
        <w:t>a</w:t>
      </w:r>
      <w:r w:rsidRPr="000F6CD1">
        <w:t xml:space="preserve"> </w:t>
      </w:r>
      <w:r w:rsidR="00AC54DA" w:rsidRPr="000F6CD1">
        <w:t>re</w:t>
      </w:r>
      <w:r w:rsidRPr="000F6CD1">
        <w:t xml:space="preserve">assessment and </w:t>
      </w:r>
      <w:r w:rsidR="00FD5D45" w:rsidRPr="000F6CD1">
        <w:t xml:space="preserve">the </w:t>
      </w:r>
      <w:r w:rsidR="00386B7E">
        <w:t>IAT Outcome</w:t>
      </w:r>
      <w:r w:rsidR="00FD5D45" w:rsidRPr="000F6CD1">
        <w:t xml:space="preserve"> generates a higher </w:t>
      </w:r>
      <w:r w:rsidR="003B30AE" w:rsidRPr="000F6CD1">
        <w:t>classification level</w:t>
      </w:r>
      <w:r w:rsidR="00B23AB0" w:rsidRPr="000F6CD1">
        <w:t xml:space="preserve">. </w:t>
      </w:r>
      <w:r w:rsidR="00B7112F" w:rsidRPr="000F6CD1">
        <w:t xml:space="preserve">When reassessing transitioned clients, assessors will need to ensure that they maintain the transitional classification where it is more beneficial for the older person. </w:t>
      </w:r>
      <w:r w:rsidR="005B7C33" w:rsidRPr="000F6CD1">
        <w:t xml:space="preserve">This will be flagged in the system on reassessment. If the </w:t>
      </w:r>
      <w:r w:rsidR="00386B7E">
        <w:t>IAT Outcome</w:t>
      </w:r>
      <w:r w:rsidR="005B7C33" w:rsidRPr="000F6CD1">
        <w:t xml:space="preserve"> is a lower classification than the existing active ongoing classification, then a warning message will display to inform the assessor that they can retain the existing classification </w:t>
      </w:r>
      <w:r w:rsidR="00AA21DA" w:rsidRPr="000F6CD1">
        <w:t xml:space="preserve">by </w:t>
      </w:r>
      <w:r w:rsidR="00E247F7" w:rsidRPr="000F6CD1">
        <w:t xml:space="preserve">clicking the </w:t>
      </w:r>
      <w:r w:rsidR="00AA21DA" w:rsidRPr="000F6CD1">
        <w:t>accept</w:t>
      </w:r>
      <w:r w:rsidR="00E247F7" w:rsidRPr="000F6CD1">
        <w:t xml:space="preserve"> button.</w:t>
      </w:r>
    </w:p>
    <w:p w14:paraId="53AE6966" w14:textId="77777777" w:rsidR="007537AC" w:rsidRPr="000F6CD1" w:rsidRDefault="007537AC" w:rsidP="008E6691">
      <w:pPr>
        <w:spacing w:before="240" w:after="240" w:line="240" w:lineRule="auto"/>
      </w:pPr>
      <w:r w:rsidRPr="000F6CD1">
        <w:t>When completing an SPR to transition a client to the End-of-Life Pathway, assessors will have the option to convert the client’s Transitioned HCP level to End-of-Life once the End-of-Life form has been uploaded and validated. Clients receiving services on the End-of-Life Pathway can also return to their Transitioned HCP level, just as clients in the Support at Home program can return to their previous classification level.</w:t>
      </w:r>
    </w:p>
    <w:p w14:paraId="3F3BE4F3" w14:textId="3A996EBE" w:rsidR="006E6B42" w:rsidRPr="000F6CD1" w:rsidRDefault="006E6B42" w:rsidP="00AD2CE5">
      <w:pPr>
        <w:pStyle w:val="H3"/>
      </w:pPr>
      <w:r w:rsidRPr="000F6CD1">
        <w:t xml:space="preserve">Transitioned Home Care Package recipients and access to the </w:t>
      </w:r>
      <w:r w:rsidR="00B740A2" w:rsidRPr="000F6CD1">
        <w:t xml:space="preserve">Assistive Technology and Home Modifications </w:t>
      </w:r>
      <w:r w:rsidRPr="000F6CD1">
        <w:t>scheme</w:t>
      </w:r>
    </w:p>
    <w:p w14:paraId="159EACBE" w14:textId="492C88E8" w:rsidR="006E6B42" w:rsidRPr="000F6CD1" w:rsidRDefault="006E6B42" w:rsidP="008E6691">
      <w:pPr>
        <w:spacing w:before="240" w:after="240" w:line="240" w:lineRule="auto"/>
      </w:pPr>
      <w:r w:rsidRPr="000F6CD1">
        <w:t>All H</w:t>
      </w:r>
      <w:r w:rsidR="00165582" w:rsidRPr="000F6CD1">
        <w:t xml:space="preserve">ome </w:t>
      </w:r>
      <w:r w:rsidRPr="000F6CD1">
        <w:t>C</w:t>
      </w:r>
      <w:r w:rsidR="00165582" w:rsidRPr="000F6CD1">
        <w:t xml:space="preserve">are </w:t>
      </w:r>
      <w:r w:rsidRPr="000F6CD1">
        <w:t>P</w:t>
      </w:r>
      <w:r w:rsidR="00165582" w:rsidRPr="000F6CD1">
        <w:t>ackage (</w:t>
      </w:r>
      <w:r w:rsidR="000C0D69" w:rsidRPr="000F6CD1">
        <w:t>HCP) recipients</w:t>
      </w:r>
      <w:r w:rsidRPr="000F6CD1" w:rsidDel="0005496A">
        <w:t xml:space="preserve"> </w:t>
      </w:r>
      <w:r w:rsidRPr="000F6CD1">
        <w:t>transition</w:t>
      </w:r>
      <w:r w:rsidR="0005496A" w:rsidRPr="000F6CD1">
        <w:t>ed</w:t>
      </w:r>
      <w:r w:rsidRPr="000F6CD1">
        <w:t xml:space="preserve"> over to Support at Home with approval for </w:t>
      </w:r>
      <w:r w:rsidR="00542E94" w:rsidRPr="000F6CD1">
        <w:t>Assistive Technology</w:t>
      </w:r>
      <w:r w:rsidRPr="000F6CD1">
        <w:t xml:space="preserve"> </w:t>
      </w:r>
      <w:r w:rsidR="00542E94" w:rsidRPr="000F6CD1">
        <w:t>(</w:t>
      </w:r>
      <w:r w:rsidRPr="000F6CD1">
        <w:t>AT</w:t>
      </w:r>
      <w:r w:rsidR="00542E94" w:rsidRPr="000F6CD1">
        <w:t>)</w:t>
      </w:r>
      <w:r w:rsidRPr="000F6CD1">
        <w:t xml:space="preserve"> transitional and </w:t>
      </w:r>
      <w:r w:rsidR="00542E94" w:rsidRPr="000F6CD1">
        <w:t>Home Modifications (</w:t>
      </w:r>
      <w:r w:rsidRPr="000F6CD1">
        <w:t>HM</w:t>
      </w:r>
      <w:r w:rsidR="00542E94" w:rsidRPr="000F6CD1">
        <w:t>)</w:t>
      </w:r>
      <w:r w:rsidRPr="000F6CD1">
        <w:t xml:space="preserve"> transitional classifications. These approvals enable a transitioned HCP recipient who has not undergone a reassessment and does not </w:t>
      </w:r>
      <w:r w:rsidR="00542E94" w:rsidRPr="000F6CD1">
        <w:t>have AT</w:t>
      </w:r>
      <w:r w:rsidRPr="000F6CD1">
        <w:t xml:space="preserve">-HM funding, to use their HCP unspent funds to purchase equipment, products and home modifications from the </w:t>
      </w:r>
      <w:r w:rsidR="00695747" w:rsidRPr="000F6CD1">
        <w:t>AT-HM list</w:t>
      </w:r>
      <w:r w:rsidRPr="000F6CD1">
        <w:t>. Providers must document and justify the need and reasoning for the purchase and retain all evidence to support the claim.</w:t>
      </w:r>
      <w:r w:rsidR="00C321E1" w:rsidRPr="000F6CD1">
        <w:t xml:space="preserve"> </w:t>
      </w:r>
    </w:p>
    <w:p w14:paraId="0355A97A" w14:textId="59ADAF58" w:rsidR="006E6B42" w:rsidRPr="000F6CD1" w:rsidRDefault="006E6B42" w:rsidP="008E6691">
      <w:pPr>
        <w:spacing w:before="240" w:after="240" w:line="240" w:lineRule="auto"/>
        <w:rPr>
          <w:rStyle w:val="normaltextrun"/>
        </w:rPr>
      </w:pPr>
      <w:r w:rsidRPr="000F6CD1">
        <w:t>If a transitioned HCP recipient has no HCP unspent funds and requires AT-HM, the provider can, with consent from the participant, refer them for a</w:t>
      </w:r>
      <w:r w:rsidR="008D524D" w:rsidRPr="000F6CD1">
        <w:t xml:space="preserve"> support plan review</w:t>
      </w:r>
      <w:r w:rsidRPr="000F6CD1">
        <w:t>.</w:t>
      </w:r>
      <w:r w:rsidR="00D82656" w:rsidRPr="000F6CD1">
        <w:t xml:space="preserve"> </w:t>
      </w:r>
    </w:p>
    <w:p w14:paraId="0853667F" w14:textId="07DE67FA" w:rsidR="006E6B42" w:rsidRPr="000F6CD1" w:rsidRDefault="006E6B42" w:rsidP="008E6691">
      <w:pPr>
        <w:spacing w:before="240" w:after="240" w:line="240" w:lineRule="auto"/>
      </w:pPr>
      <w:r w:rsidRPr="000F6CD1">
        <w:t>Where a transitioned HCP recipient has been reassessed under Support at Home and receives approved AT-HM funding, the purchase of assistive technology and home modifications must be first drawn from any HCP unspent funds before the provider can claim from the AT-HM funding account.</w:t>
      </w:r>
      <w:r w:rsidR="00C321E1" w:rsidRPr="000F6CD1">
        <w:t xml:space="preserve"> </w:t>
      </w:r>
    </w:p>
    <w:p w14:paraId="028FB9F5" w14:textId="2531ED90" w:rsidR="006E6B42" w:rsidRPr="000F6CD1" w:rsidRDefault="006E6B42" w:rsidP="008E6691">
      <w:pPr>
        <w:spacing w:before="240" w:after="240" w:line="240" w:lineRule="auto"/>
      </w:pPr>
      <w:r w:rsidRPr="000F6CD1">
        <w:t>All purchases of AT-HM items must align with the participant’s needs, be agreed with the participant, be documented in their care plan and meet any prescription requirements, where applicable.</w:t>
      </w:r>
      <w:r w:rsidR="00C321E1" w:rsidRPr="000F6CD1">
        <w:t xml:space="preserve"> </w:t>
      </w:r>
    </w:p>
    <w:tbl>
      <w:tblPr>
        <w:tblStyle w:val="TableGrid"/>
        <w:tblW w:w="0" w:type="auto"/>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356C29" w:rsidRPr="000F6CD1" w14:paraId="3E162976" w14:textId="77777777">
        <w:trPr>
          <w:trHeight w:val="300"/>
        </w:trPr>
        <w:tc>
          <w:tcPr>
            <w:tcW w:w="988" w:type="dxa"/>
            <w:vAlign w:val="center"/>
          </w:tcPr>
          <w:p w14:paraId="5035F42E" w14:textId="77777777" w:rsidR="00356C29" w:rsidRPr="000F6CD1" w:rsidRDefault="00356C29">
            <w:pPr>
              <w:spacing w:before="240" w:after="240"/>
            </w:pPr>
            <w:r w:rsidRPr="000F6CD1">
              <w:rPr>
                <w:noProof/>
              </w:rPr>
              <w:drawing>
                <wp:inline distT="0" distB="0" distL="0" distR="0" wp14:anchorId="73415C9F" wp14:editId="2D8B27EA">
                  <wp:extent cx="447675" cy="438150"/>
                  <wp:effectExtent l="0" t="0" r="0" b="0"/>
                  <wp:docPr id="1510971346" name="Picture 15109713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vAlign w:val="center"/>
          </w:tcPr>
          <w:p w14:paraId="40E57715" w14:textId="65EF4EB5" w:rsidR="00356C29" w:rsidRPr="000F6CD1" w:rsidRDefault="00356C29">
            <w:pPr>
              <w:spacing w:before="240" w:after="240"/>
            </w:pPr>
            <w:hyperlink r:id="rId47" w:history="1">
              <w:r w:rsidRPr="000F6CD1">
                <w:rPr>
                  <w:rStyle w:val="Hyperlink"/>
                  <w:i/>
                </w:rPr>
                <w:t>AT-HM List</w:t>
              </w:r>
            </w:hyperlink>
          </w:p>
        </w:tc>
      </w:tr>
    </w:tbl>
    <w:p w14:paraId="02D8C233" w14:textId="57161D50" w:rsidR="00E656BE" w:rsidRPr="000F6CD1" w:rsidRDefault="00E656BE" w:rsidP="00AD2CE5">
      <w:pPr>
        <w:pStyle w:val="H3"/>
      </w:pPr>
      <w:bookmarkStart w:id="61" w:name="_Toc207291874"/>
      <w:r w:rsidRPr="000F6CD1">
        <w:lastRenderedPageBreak/>
        <w:t>Multi-Purpose Service Program (MPSP)</w:t>
      </w:r>
      <w:bookmarkEnd w:id="61"/>
    </w:p>
    <w:p w14:paraId="509EC3FE" w14:textId="05264379" w:rsidR="00E656BE" w:rsidRPr="000F6CD1" w:rsidRDefault="00E656BE" w:rsidP="004D48B7">
      <w:pPr>
        <w:pStyle w:val="H4"/>
        <w:rPr>
          <w:lang w:eastAsia="en-US"/>
        </w:rPr>
      </w:pPr>
      <w:r w:rsidRPr="000F6CD1">
        <w:rPr>
          <w:lang w:eastAsia="en-US"/>
        </w:rPr>
        <w:t>Existing MPSP clients on 1 November 2025</w:t>
      </w:r>
    </w:p>
    <w:p w14:paraId="75D1BA38" w14:textId="025EFE17" w:rsidR="00E656BE" w:rsidRPr="000F6CD1" w:rsidRDefault="00E656BE" w:rsidP="008E6691">
      <w:pPr>
        <w:spacing w:before="240" w:after="240" w:line="240" w:lineRule="auto"/>
      </w:pPr>
      <w:r w:rsidRPr="000F6CD1">
        <w:t xml:space="preserve">Transitional arrangements </w:t>
      </w:r>
      <w:r w:rsidR="0028340A" w:rsidRPr="000F6CD1">
        <w:t xml:space="preserve">were put </w:t>
      </w:r>
      <w:r w:rsidRPr="000F6CD1">
        <w:t>in place for individuals already accessing services under the MPSP</w:t>
      </w:r>
      <w:r w:rsidRPr="000F6CD1" w:rsidDel="00AB2C81">
        <w:t xml:space="preserve"> </w:t>
      </w:r>
      <w:r w:rsidR="0028340A" w:rsidRPr="000F6CD1">
        <w:t xml:space="preserve">on 1 November 2025 </w:t>
      </w:r>
      <w:r w:rsidRPr="000F6CD1">
        <w:t>to provide for service continuity.</w:t>
      </w:r>
    </w:p>
    <w:p w14:paraId="09E1EA1D" w14:textId="7237E153" w:rsidR="00E656BE" w:rsidRPr="000F6CD1" w:rsidRDefault="00E656BE" w:rsidP="008E6691">
      <w:pPr>
        <w:spacing w:before="240" w:after="240" w:line="240" w:lineRule="auto"/>
      </w:pPr>
      <w:r w:rsidRPr="000F6CD1">
        <w:t xml:space="preserve">Individuals assessed as falling within the transitional cohorts outlined in the transitional legislation (based on previous needs assessments </w:t>
      </w:r>
      <w:r w:rsidR="5433FCF5" w:rsidRPr="000F6CD1">
        <w:t>and/</w:t>
      </w:r>
      <w:r w:rsidRPr="000F6CD1">
        <w:t xml:space="preserve">or information collected from their providers) will be deemed to have relevant service group approvals, and related decisions, in place, as required in order to access funded aged care services under the </w:t>
      </w:r>
      <w:r w:rsidRPr="000F6CD1">
        <w:rPr>
          <w:i/>
        </w:rPr>
        <w:t xml:space="preserve">Aged Care Act 2024. </w:t>
      </w:r>
    </w:p>
    <w:p w14:paraId="3ADF0013" w14:textId="708C9966" w:rsidR="00E656BE" w:rsidRPr="000F6CD1" w:rsidRDefault="00E656BE" w:rsidP="008E6691">
      <w:pPr>
        <w:spacing w:before="240" w:after="240" w:line="240" w:lineRule="auto"/>
      </w:pPr>
      <w:r w:rsidRPr="000F6CD1">
        <w:t xml:space="preserve">An individual accessing aged care services in a home or community setting through a MPSP provider at transition time, or who has an agreement in place to commence these services within 3 months of the transition time, will be approved for ongoing and short-term home support, </w:t>
      </w:r>
      <w:r w:rsidR="5A551DE7" w:rsidRPr="000F6CD1">
        <w:t xml:space="preserve">as well as short-term </w:t>
      </w:r>
      <w:r w:rsidRPr="000F6CD1">
        <w:t>AT and HM.</w:t>
      </w:r>
    </w:p>
    <w:p w14:paraId="54EAD7D9" w14:textId="5BA44C3D" w:rsidR="006341A5" w:rsidRPr="000F6CD1" w:rsidRDefault="00E656BE" w:rsidP="00D02D72">
      <w:pPr>
        <w:spacing w:before="240" w:after="240" w:line="240" w:lineRule="auto"/>
      </w:pPr>
      <w:r w:rsidRPr="000F6CD1">
        <w:t xml:space="preserve">An individual accessing residential care services </w:t>
      </w:r>
      <w:r w:rsidR="2AA3CA1A" w:rsidRPr="000F6CD1">
        <w:t xml:space="preserve">in </w:t>
      </w:r>
      <w:r w:rsidRPr="000F6CD1">
        <w:t xml:space="preserve">a </w:t>
      </w:r>
      <w:r w:rsidR="00264779" w:rsidRPr="000F6CD1">
        <w:t xml:space="preserve">Multi-Purpose Service </w:t>
      </w:r>
      <w:r w:rsidR="0002462C" w:rsidRPr="000F6CD1">
        <w:t>facility</w:t>
      </w:r>
      <w:r w:rsidR="00264779" w:rsidRPr="000F6CD1">
        <w:t xml:space="preserve"> </w:t>
      </w:r>
      <w:r w:rsidRPr="000F6CD1">
        <w:t xml:space="preserve">at transition time, or </w:t>
      </w:r>
      <w:r w:rsidR="097EE197" w:rsidRPr="000F6CD1">
        <w:t xml:space="preserve">who </w:t>
      </w:r>
      <w:r w:rsidRPr="000F6CD1">
        <w:t>has been approved to commence services within 3 months of the transition time, will be approved for ongoing and/or short-term residential care.</w:t>
      </w:r>
    </w:p>
    <w:p w14:paraId="55451A20" w14:textId="407302CA" w:rsidR="00D02D72" w:rsidRPr="000F6CD1" w:rsidRDefault="00D02D72" w:rsidP="00806A21">
      <w:pPr>
        <w:pStyle w:val="Sub-headings"/>
      </w:pPr>
      <w:r w:rsidRPr="000F6CD1">
        <w:t xml:space="preserve">Note: </w:t>
      </w:r>
    </w:p>
    <w:p w14:paraId="6E313CCB" w14:textId="7C26D90B" w:rsidR="006341A5" w:rsidRPr="000F6CD1" w:rsidRDefault="00DB76ED" w:rsidP="00806A21">
      <w:pPr>
        <w:pStyle w:val="Sub-headings"/>
      </w:pPr>
      <w:r w:rsidRPr="000F6CD1">
        <w:t>An i</w:t>
      </w:r>
      <w:r w:rsidR="006341A5" w:rsidRPr="000F6CD1">
        <w:t>ndividual</w:t>
      </w:r>
      <w:r w:rsidRPr="000F6CD1">
        <w:t>’</w:t>
      </w:r>
      <w:r w:rsidR="006341A5" w:rsidRPr="000F6CD1">
        <w:t xml:space="preserve">s transitional status </w:t>
      </w:r>
      <w:r w:rsidR="009309C2" w:rsidRPr="000F6CD1">
        <w:t xml:space="preserve">is </w:t>
      </w:r>
      <w:r w:rsidR="006341A5" w:rsidRPr="000F6CD1">
        <w:t xml:space="preserve">confirmed </w:t>
      </w:r>
      <w:r w:rsidR="0068407F" w:rsidRPr="000F6CD1">
        <w:t xml:space="preserve">by </w:t>
      </w:r>
      <w:r w:rsidR="006341A5" w:rsidRPr="000F6CD1">
        <w:t xml:space="preserve">a notice given to </w:t>
      </w:r>
      <w:r w:rsidR="0057071F" w:rsidRPr="000F6CD1">
        <w:t xml:space="preserve">the client, via </w:t>
      </w:r>
      <w:r w:rsidR="006341A5" w:rsidRPr="000F6CD1" w:rsidDel="000B614A">
        <w:t xml:space="preserve">their </w:t>
      </w:r>
      <w:r w:rsidR="009839A2" w:rsidRPr="000F6CD1">
        <w:t xml:space="preserve">MPSP </w:t>
      </w:r>
      <w:r w:rsidR="006341A5" w:rsidRPr="000F6CD1">
        <w:t>provider</w:t>
      </w:r>
      <w:r w:rsidR="00EC69D3" w:rsidRPr="000F6CD1">
        <w:t>.</w:t>
      </w:r>
      <w:r w:rsidR="006341A5" w:rsidRPr="000F6CD1">
        <w:t xml:space="preserve"> This </w:t>
      </w:r>
      <w:r w:rsidR="0068407F" w:rsidRPr="000F6CD1">
        <w:t xml:space="preserve">notice </w:t>
      </w:r>
      <w:r w:rsidR="00F04837" w:rsidRPr="000F6CD1">
        <w:t xml:space="preserve">is </w:t>
      </w:r>
      <w:r w:rsidR="006341A5" w:rsidRPr="000F6CD1">
        <w:t xml:space="preserve">also attached to their My Aged Care Client Record. By </w:t>
      </w:r>
      <w:r w:rsidR="009839A2" w:rsidRPr="000F6CD1">
        <w:t>July</w:t>
      </w:r>
      <w:r w:rsidR="006341A5" w:rsidRPr="000F6CD1">
        <w:t xml:space="preserve"> 2026, relevant approvals and referrals will also be retrospectively added to Department of Health</w:t>
      </w:r>
      <w:r w:rsidR="00676D11" w:rsidRPr="000F6CD1">
        <w:t>, Disability and Ageing</w:t>
      </w:r>
      <w:r w:rsidR="006341A5" w:rsidRPr="000F6CD1">
        <w:t xml:space="preserve"> systems to facilitate </w:t>
      </w:r>
      <w:r w:rsidR="006D5E4D" w:rsidRPr="000F6CD1">
        <w:t>these individuals</w:t>
      </w:r>
      <w:r w:rsidR="006341A5" w:rsidRPr="000F6CD1">
        <w:t xml:space="preserve"> moving between MPSP and mainstream services in future.</w:t>
      </w:r>
    </w:p>
    <w:p w14:paraId="71F624D7" w14:textId="16F63D60" w:rsidR="00CB0E36" w:rsidRPr="000F6CD1" w:rsidRDefault="006341A5" w:rsidP="00806A21">
      <w:pPr>
        <w:pStyle w:val="Sub-headings"/>
        <w:rPr>
          <w:szCs w:val="22"/>
        </w:rPr>
      </w:pPr>
      <w:r w:rsidRPr="000F6CD1">
        <w:t>If an older person in one of the transitional cohorts above wants to access mainstream aged care services (outside the MPSP):</w:t>
      </w:r>
    </w:p>
    <w:p w14:paraId="0AF037EE" w14:textId="5DF44D40" w:rsidR="006341A5" w:rsidRPr="000F6CD1" w:rsidRDefault="006341A5" w:rsidP="00806A21">
      <w:pPr>
        <w:pStyle w:val="Sub-headings"/>
      </w:pPr>
      <w:r w:rsidRPr="000F6CD1">
        <w:t>if they plan to access mainstream services under a home and community setting: they will need to call My Aged Care and either:</w:t>
      </w:r>
    </w:p>
    <w:p w14:paraId="01743868" w14:textId="10335161" w:rsidR="00423D84" w:rsidRPr="000F6CD1" w:rsidRDefault="00F26692" w:rsidP="00806A21">
      <w:pPr>
        <w:pStyle w:val="Sub-headings"/>
      </w:pPr>
      <w:r>
        <w:sym w:font="Wingdings" w:char="F09F"/>
      </w:r>
      <w:r>
        <w:t xml:space="preserve"> </w:t>
      </w:r>
      <w:r w:rsidR="006341A5" w:rsidRPr="000F6CD1">
        <w:t>seek to undergo a re-assessment if they only have a MPSP classification level provided at transition time, or</w:t>
      </w:r>
    </w:p>
    <w:p w14:paraId="458A0319" w14:textId="5EED3CF3" w:rsidR="006341A5" w:rsidRPr="000F6CD1" w:rsidRDefault="00F26692" w:rsidP="00806A21">
      <w:pPr>
        <w:pStyle w:val="Sub-headings"/>
      </w:pPr>
      <w:r>
        <w:sym w:font="Wingdings" w:char="F09F"/>
      </w:r>
      <w:r>
        <w:t xml:space="preserve"> </w:t>
      </w:r>
      <w:r w:rsidR="006341A5" w:rsidRPr="000F6CD1">
        <w:t>where they already have a transitional HCP classification level, indicate that they are now seeking mainstream services, where they already have a transitional HCP classification level, at which point they will be placed in the Support at Home Priority System’s queue based on their priority category and approval date.</w:t>
      </w:r>
    </w:p>
    <w:p w14:paraId="30B125EB" w14:textId="5DEBFFF4" w:rsidR="00E656BE" w:rsidRPr="000F6CD1" w:rsidRDefault="0075067E" w:rsidP="008E6691">
      <w:pPr>
        <w:spacing w:before="240" w:after="240" w:line="240" w:lineRule="auto"/>
      </w:pPr>
      <w:r w:rsidRPr="000F6CD1">
        <w:t>I</w:t>
      </w:r>
      <w:r w:rsidR="00E656BE" w:rsidRPr="000F6CD1">
        <w:t>f they plan to access mainstream services in a residential care home</w:t>
      </w:r>
      <w:r w:rsidR="03DC6BA5" w:rsidRPr="000F6CD1">
        <w:t xml:space="preserve">, they can commence services with their new </w:t>
      </w:r>
      <w:r w:rsidR="005B3121" w:rsidRPr="000F6CD1">
        <w:t>provider but</w:t>
      </w:r>
      <w:r w:rsidR="03DC6BA5" w:rsidRPr="000F6CD1">
        <w:t xml:space="preserve"> will then </w:t>
      </w:r>
      <w:r w:rsidR="00E656BE" w:rsidRPr="000F6CD1">
        <w:t>need to undergo a</w:t>
      </w:r>
      <w:r w:rsidR="003773AE" w:rsidRPr="000F6CD1">
        <w:t xml:space="preserve"> </w:t>
      </w:r>
      <w:r w:rsidR="00077CF2" w:rsidRPr="000F6CD1">
        <w:t xml:space="preserve">Residential </w:t>
      </w:r>
      <w:r w:rsidR="003773AE" w:rsidRPr="000F6CD1">
        <w:t>A</w:t>
      </w:r>
      <w:r w:rsidR="00077CF2" w:rsidRPr="000F6CD1">
        <w:t xml:space="preserve">ged </w:t>
      </w:r>
      <w:r w:rsidR="003773AE" w:rsidRPr="000F6CD1">
        <w:t>C</w:t>
      </w:r>
      <w:r w:rsidR="00077CF2" w:rsidRPr="000F6CD1">
        <w:t>are</w:t>
      </w:r>
      <w:r w:rsidR="00E656BE" w:rsidRPr="000F6CD1">
        <w:t xml:space="preserve"> </w:t>
      </w:r>
      <w:r w:rsidR="00077CF2" w:rsidRPr="000F6CD1">
        <w:t xml:space="preserve">funding </w:t>
      </w:r>
      <w:r w:rsidR="00E656BE" w:rsidRPr="000F6CD1">
        <w:t>assessment (i.e. a classification re-assessment</w:t>
      </w:r>
      <w:r w:rsidR="780F5A2B" w:rsidRPr="000F6CD1">
        <w:t>)</w:t>
      </w:r>
      <w:r w:rsidR="31D95B3D" w:rsidRPr="000F6CD1">
        <w:t>.</w:t>
      </w:r>
      <w:r w:rsidR="7F74E793" w:rsidRPr="000F6CD1">
        <w:t xml:space="preserve"> </w:t>
      </w:r>
    </w:p>
    <w:p w14:paraId="170863CB" w14:textId="51DAE438" w:rsidR="00E656BE" w:rsidRPr="000F6CD1" w:rsidRDefault="001844C0" w:rsidP="008E6691">
      <w:pPr>
        <w:spacing w:before="240" w:after="240" w:line="240" w:lineRule="auto"/>
      </w:pPr>
      <w:r w:rsidRPr="000F6CD1">
        <w:t>Information is</w:t>
      </w:r>
      <w:r w:rsidR="00E656BE" w:rsidRPr="000F6CD1">
        <w:t xml:space="preserve"> available for people leaving the MPSP to access other services, to ensure they are aware they might need to wait for services to become available and could pay higher fees. The fact sheet also provides more information on the process for people leaving the MPSP</w:t>
      </w:r>
      <w:r w:rsidR="02C671B2" w:rsidRPr="000F6CD1">
        <w:t>, particularly in the interim until their My Aged Care client records are updated</w:t>
      </w:r>
      <w:r w:rsidR="1DCFFED0" w:rsidRPr="000F6CD1">
        <w:t xml:space="preserve"> </w:t>
      </w:r>
      <w:r w:rsidR="004A101F" w:rsidRPr="000F6CD1">
        <w:t>i</w:t>
      </w:r>
      <w:r w:rsidR="1DCFFED0" w:rsidRPr="000F6CD1">
        <w:t>n</w:t>
      </w:r>
      <w:r w:rsidR="00EF5AF3" w:rsidRPr="000F6CD1">
        <w:t xml:space="preserve"> </w:t>
      </w:r>
      <w:r w:rsidR="1DCFFED0" w:rsidRPr="000F6CD1">
        <w:t>mid</w:t>
      </w:r>
      <w:r w:rsidR="00EF5AF3" w:rsidRPr="000F6CD1">
        <w:t>-</w:t>
      </w:r>
      <w:r w:rsidR="1DCFFED0" w:rsidRPr="000F6CD1">
        <w:t>2026</w:t>
      </w:r>
      <w:r w:rsidR="00E656BE" w:rsidRPr="000F6CD1">
        <w:t>.</w:t>
      </w:r>
    </w:p>
    <w:tbl>
      <w:tblPr>
        <w:tblStyle w:val="TableGrid"/>
        <w:tblW w:w="8642"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60"/>
        <w:gridCol w:w="7682"/>
      </w:tblGrid>
      <w:tr w:rsidR="00256EB9" w:rsidRPr="000F6CD1" w14:paraId="18A59363" w14:textId="77777777" w:rsidTr="00256EB9">
        <w:trPr>
          <w:trHeight w:val="232"/>
        </w:trPr>
        <w:tc>
          <w:tcPr>
            <w:tcW w:w="960" w:type="dxa"/>
            <w:vAlign w:val="center"/>
          </w:tcPr>
          <w:p w14:paraId="48FF3985" w14:textId="77777777" w:rsidR="00256EB9" w:rsidRPr="000F6CD1" w:rsidRDefault="00256EB9" w:rsidP="000F4A0D">
            <w:pPr>
              <w:spacing w:before="240" w:after="240"/>
            </w:pPr>
            <w:r w:rsidRPr="000F6CD1">
              <w:rPr>
                <w:noProof/>
              </w:rPr>
              <w:lastRenderedPageBreak/>
              <w:drawing>
                <wp:inline distT="0" distB="0" distL="0" distR="0" wp14:anchorId="2313F65D" wp14:editId="4FDF1D82">
                  <wp:extent cx="447675" cy="438150"/>
                  <wp:effectExtent l="0" t="0" r="0" b="0"/>
                  <wp:docPr id="1690946465" name="Picture 16909464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7682" w:type="dxa"/>
          </w:tcPr>
          <w:p w14:paraId="0EE9E237" w14:textId="6870A77F" w:rsidR="00256EB9" w:rsidRPr="000F6CD1" w:rsidRDefault="00256EB9" w:rsidP="000F4A0D">
            <w:pPr>
              <w:spacing w:before="240" w:after="240"/>
              <w:rPr>
                <w:i/>
              </w:rPr>
            </w:pPr>
            <w:r w:rsidRPr="000F6CD1">
              <w:rPr>
                <w:i/>
              </w:rPr>
              <w:t xml:space="preserve">Fact sheet: </w:t>
            </w:r>
            <w:hyperlink r:id="rId48" w:history="1">
              <w:r w:rsidRPr="000F6CD1">
                <w:rPr>
                  <w:rStyle w:val="Hyperlink"/>
                  <w:i/>
                </w:rPr>
                <w:t>Leaving the Multi-Purpose Service Program (MPSP) – Consumer fact sheet | Australian Government Department of Health, Disability and Ageing</w:t>
              </w:r>
            </w:hyperlink>
          </w:p>
        </w:tc>
      </w:tr>
    </w:tbl>
    <w:p w14:paraId="37E917CC" w14:textId="3E241B9B" w:rsidR="00E656BE" w:rsidRPr="000F6CD1" w:rsidRDefault="00E656BE" w:rsidP="00AD2CE5">
      <w:pPr>
        <w:pStyle w:val="H3"/>
      </w:pPr>
      <w:bookmarkStart w:id="62" w:name="_Toc207291875"/>
      <w:r w:rsidRPr="000F6CD1">
        <w:t xml:space="preserve">New </w:t>
      </w:r>
      <w:r w:rsidR="0072297B" w:rsidRPr="000F6CD1">
        <w:t>Multi-Purpose</w:t>
      </w:r>
      <w:r w:rsidR="00267882" w:rsidRPr="000F6CD1">
        <w:t xml:space="preserve"> </w:t>
      </w:r>
      <w:r w:rsidRPr="000F6CD1">
        <w:t>S</w:t>
      </w:r>
      <w:r w:rsidR="00267882" w:rsidRPr="000F6CD1">
        <w:t xml:space="preserve">ervice </w:t>
      </w:r>
      <w:r w:rsidRPr="000F6CD1">
        <w:t>P</w:t>
      </w:r>
      <w:r w:rsidR="00267882" w:rsidRPr="000F6CD1">
        <w:t>rogram</w:t>
      </w:r>
      <w:r w:rsidRPr="000F6CD1">
        <w:t xml:space="preserve"> </w:t>
      </w:r>
      <w:r w:rsidR="00FF138C" w:rsidRPr="000F6CD1">
        <w:t>(MPSP)</w:t>
      </w:r>
      <w:r w:rsidRPr="000F6CD1">
        <w:t xml:space="preserve"> </w:t>
      </w:r>
      <w:r w:rsidR="00BD5DF2">
        <w:t>c</w:t>
      </w:r>
      <w:r w:rsidRPr="000F6CD1">
        <w:t>lients post 1 November 2025</w:t>
      </w:r>
      <w:bookmarkEnd w:id="62"/>
    </w:p>
    <w:p w14:paraId="7B6B94EA" w14:textId="5E4DFACC" w:rsidR="00E656BE" w:rsidRPr="000F6CD1" w:rsidRDefault="005E25DC" w:rsidP="008E6691">
      <w:pPr>
        <w:spacing w:before="240" w:after="240" w:line="240" w:lineRule="auto"/>
      </w:pPr>
      <w:r w:rsidRPr="000F6CD1">
        <w:t>Since</w:t>
      </w:r>
      <w:r w:rsidR="00267882" w:rsidRPr="000F6CD1">
        <w:t xml:space="preserve"> 1 November 2025</w:t>
      </w:r>
      <w:r w:rsidR="216DF506" w:rsidRPr="000F6CD1">
        <w:t>, a</w:t>
      </w:r>
      <w:r w:rsidR="00E656BE" w:rsidRPr="000F6CD1">
        <w:t>ll new clients are required to make an application for funded aged care services, undergo a needs assessment and obtain an access approval for one or more service groups in place to access services delivered under the MPSP</w:t>
      </w:r>
      <w:r w:rsidR="0040556A" w:rsidRPr="000F6CD1">
        <w:t>.</w:t>
      </w:r>
      <w:r w:rsidR="00E656BE" w:rsidRPr="000F6CD1">
        <w:t xml:space="preserve"> </w:t>
      </w:r>
    </w:p>
    <w:p w14:paraId="0442B7AB" w14:textId="793ADB84" w:rsidR="00E656BE" w:rsidRPr="000F6CD1" w:rsidRDefault="00E656BE" w:rsidP="008E6691">
      <w:pPr>
        <w:spacing w:before="240" w:after="240" w:line="240" w:lineRule="auto"/>
      </w:pPr>
      <w:r w:rsidRPr="000F6CD1">
        <w:t>There is also a specific workflow assessors need to follow to ensure they can generate a referral to an MPSP provider</w:t>
      </w:r>
      <w:r w:rsidR="688C9AB9" w:rsidRPr="000F6CD1">
        <w:t xml:space="preserve"> - that is, a service recommendation</w:t>
      </w:r>
      <w:r w:rsidR="00427C83" w:rsidRPr="000F6CD1">
        <w:t xml:space="preserve"> of ‘Services under the MPSP’</w:t>
      </w:r>
      <w:r w:rsidR="688C9AB9" w:rsidRPr="000F6CD1">
        <w:t xml:space="preserve"> must be added in addition to recommendations for residential care, home support, AT and/or HM services.</w:t>
      </w:r>
      <w:r w:rsidR="3CB836ED" w:rsidRPr="000F6CD1">
        <w:t xml:space="preserve"> Th</w:t>
      </w:r>
      <w:r w:rsidR="00446B4A" w:rsidRPr="000F6CD1">
        <w:t>is</w:t>
      </w:r>
      <w:r w:rsidR="3CB836ED" w:rsidRPr="000F6CD1">
        <w:t xml:space="preserve"> one referral code will cover </w:t>
      </w:r>
      <w:r w:rsidR="00AC5C8A" w:rsidRPr="000F6CD1">
        <w:t xml:space="preserve">all </w:t>
      </w:r>
      <w:r w:rsidR="3CB836ED" w:rsidRPr="000F6CD1">
        <w:t xml:space="preserve">services delivered at or through </w:t>
      </w:r>
      <w:r w:rsidR="00AC5C8A" w:rsidRPr="000F6CD1">
        <w:t xml:space="preserve">a </w:t>
      </w:r>
      <w:r w:rsidR="003B7A60" w:rsidRPr="000F6CD1">
        <w:t>MPS facility</w:t>
      </w:r>
      <w:r w:rsidR="3CB836ED" w:rsidRPr="000F6CD1">
        <w:t>.</w:t>
      </w:r>
    </w:p>
    <w:p w14:paraId="1632B8B5" w14:textId="77777777" w:rsidR="002410E9" w:rsidRPr="004325EF" w:rsidRDefault="00A549D5" w:rsidP="00806A21">
      <w:pPr>
        <w:pStyle w:val="Sub-headings"/>
      </w:pPr>
      <w:r w:rsidRPr="004325EF">
        <w:t xml:space="preserve">Note: </w:t>
      </w:r>
    </w:p>
    <w:p w14:paraId="0E8CC456" w14:textId="2FCE3E24" w:rsidR="00A549D5" w:rsidRPr="000F6CD1" w:rsidRDefault="00A549D5" w:rsidP="00806A21">
      <w:pPr>
        <w:pStyle w:val="Sub-headings"/>
      </w:pPr>
      <w:r w:rsidRPr="000F6CD1">
        <w:t>For clients who have been assessed and want to leave their MPSP provider and access mainstream aged care services:</w:t>
      </w:r>
    </w:p>
    <w:p w14:paraId="4954C6F9" w14:textId="25EB8026" w:rsidR="00A549D5" w:rsidRPr="000F6CD1" w:rsidRDefault="00F26692" w:rsidP="00806A21">
      <w:pPr>
        <w:pStyle w:val="Sub-headings"/>
      </w:pPr>
      <w:r>
        <w:sym w:font="Wingdings" w:char="F09F"/>
      </w:r>
      <w:r>
        <w:t xml:space="preserve"> </w:t>
      </w:r>
      <w:r w:rsidR="00FD4DE8" w:rsidRPr="000F6CD1">
        <w:t>I</w:t>
      </w:r>
      <w:r w:rsidR="00A549D5" w:rsidRPr="000F6CD1">
        <w:t>f they plan to access mainstream services under a home and community setting: they will need to call My Aged Care and indicate that they are now seeking mainstream services at which point they will be placed in the Support at Home Priority System’s queue based on their priority category and approval date (a reassessment may also be required if they have had a significant change in circumstances)</w:t>
      </w:r>
      <w:r w:rsidR="00FD4DE8" w:rsidRPr="000F6CD1">
        <w:t>.</w:t>
      </w:r>
    </w:p>
    <w:p w14:paraId="1B04CC7E" w14:textId="22E0BA5A" w:rsidR="002410E9" w:rsidRPr="000F6CD1" w:rsidRDefault="00F26692" w:rsidP="00806A21">
      <w:pPr>
        <w:pStyle w:val="Sub-headings"/>
      </w:pPr>
      <w:r>
        <w:sym w:font="Wingdings" w:char="F09F"/>
      </w:r>
      <w:r w:rsidR="002410E9" w:rsidRPr="000F6CD1">
        <w:t xml:space="preserve"> If they plan to access mainstream services in a residential care home: they can commence accessing services through the new home but will then need to undergo a Residential Aged Care funding assessment (i.e. a classification re-assessment).</w:t>
      </w:r>
      <w:r w:rsidR="00652C67">
        <w:br/>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FD290F" w:rsidRPr="000F6CD1" w14:paraId="4000F2BB" w14:textId="77777777" w:rsidTr="00E42183">
        <w:trPr>
          <w:trHeight w:val="300"/>
        </w:trPr>
        <w:tc>
          <w:tcPr>
            <w:tcW w:w="988" w:type="dxa"/>
          </w:tcPr>
          <w:p w14:paraId="5E2DBC56" w14:textId="77777777" w:rsidR="00FD290F" w:rsidRPr="000F6CD1" w:rsidRDefault="00FD290F">
            <w:pPr>
              <w:spacing w:before="240" w:after="240"/>
            </w:pPr>
            <w:r w:rsidRPr="000F6CD1">
              <w:rPr>
                <w:noProof/>
              </w:rPr>
              <w:drawing>
                <wp:inline distT="0" distB="0" distL="0" distR="0" wp14:anchorId="7F6CCB45" wp14:editId="0BBF0005">
                  <wp:extent cx="447675" cy="438150"/>
                  <wp:effectExtent l="0" t="0" r="0" b="0"/>
                  <wp:docPr id="1007430249" name="Picture 10074302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1B9F0EA1" w14:textId="24DBDC7C" w:rsidR="00FD290F" w:rsidRPr="000F6CD1" w:rsidRDefault="00FD290F">
            <w:pPr>
              <w:spacing w:before="240" w:after="240"/>
            </w:pPr>
            <w:r w:rsidRPr="000F6CD1">
              <w:rPr>
                <w:i/>
              </w:rPr>
              <w:t xml:space="preserve">Fact sheet: </w:t>
            </w:r>
            <w:hyperlink r:id="rId49" w:history="1">
              <w:r w:rsidRPr="000F6CD1">
                <w:rPr>
                  <w:rStyle w:val="Hyperlink"/>
                  <w:i/>
                </w:rPr>
                <w:t>Leaving the Multi-Purpose Service Program (MPSP) – Consumer fact sheet | Australian Government Department of Health, Disability and Ageing</w:t>
              </w:r>
            </w:hyperlink>
          </w:p>
        </w:tc>
      </w:tr>
    </w:tbl>
    <w:p w14:paraId="3363D058" w14:textId="3ECFD399" w:rsidR="00E656BE" w:rsidRPr="000F6CD1" w:rsidRDefault="00E656BE" w:rsidP="00AD2CE5">
      <w:pPr>
        <w:pStyle w:val="H3"/>
      </w:pPr>
      <w:bookmarkStart w:id="63" w:name="_Toc207291876"/>
      <w:r w:rsidRPr="000F6CD1">
        <w:t>National Aboriginal and Torres Strait Islander Flexible Aged Care Program (NATSIFACP</w:t>
      </w:r>
      <w:bookmarkEnd w:id="63"/>
      <w:r w:rsidRPr="000F6CD1">
        <w:t>)</w:t>
      </w:r>
    </w:p>
    <w:p w14:paraId="173CA041" w14:textId="2CE113B5" w:rsidR="00E656BE" w:rsidRPr="000F6CD1" w:rsidRDefault="00E656BE" w:rsidP="004D48B7">
      <w:pPr>
        <w:pStyle w:val="H4"/>
      </w:pPr>
      <w:r w:rsidRPr="000F6CD1">
        <w:t>Existing NATSIFACP clients</w:t>
      </w:r>
    </w:p>
    <w:p w14:paraId="0BDCA0C1" w14:textId="52F7262D" w:rsidR="00E656BE" w:rsidRPr="000F6CD1" w:rsidRDefault="00E656BE" w:rsidP="008E6691">
      <w:pPr>
        <w:spacing w:before="240" w:after="240" w:line="240" w:lineRule="auto"/>
      </w:pPr>
      <w:r w:rsidRPr="000F6CD1">
        <w:t xml:space="preserve">There </w:t>
      </w:r>
      <w:r w:rsidR="00B70A4C" w:rsidRPr="000F6CD1">
        <w:t>are</w:t>
      </w:r>
      <w:r w:rsidRPr="000F6CD1">
        <w:t xml:space="preserve"> transitional arrangements in place for individuals who accessed services under the NATSIFACP in the 12 months leading up to 1 November 2025 t</w:t>
      </w:r>
      <w:r w:rsidR="005E36DE" w:rsidRPr="000F6CD1">
        <w:t xml:space="preserve">o </w:t>
      </w:r>
      <w:r w:rsidRPr="000F6CD1">
        <w:t>ensure service continuity</w:t>
      </w:r>
      <w:r w:rsidR="002A5383" w:rsidRPr="000F6CD1">
        <w:t xml:space="preserve"> with the commencement of the </w:t>
      </w:r>
      <w:r w:rsidR="002A5383" w:rsidRPr="00FF61B0">
        <w:rPr>
          <w:i/>
          <w:iCs/>
        </w:rPr>
        <w:t>Aged Care Act 2024</w:t>
      </w:r>
      <w:r w:rsidR="002A5383" w:rsidRPr="000F6CD1">
        <w:t xml:space="preserve"> (the Act)</w:t>
      </w:r>
      <w:r w:rsidRPr="000F6CD1">
        <w:t>.</w:t>
      </w:r>
    </w:p>
    <w:p w14:paraId="2A0FB600" w14:textId="079E91B0" w:rsidR="00E656BE" w:rsidRPr="000F6CD1" w:rsidRDefault="00E656BE" w:rsidP="008E6691">
      <w:pPr>
        <w:spacing w:before="240" w:after="240" w:line="240" w:lineRule="auto"/>
      </w:pPr>
      <w:r w:rsidRPr="000F6CD1">
        <w:t xml:space="preserve">Individuals assessed as falling within the transitional cohorts outlined in the transitional legislation (based on previous needs assessments or information collected from their providers via the six-monthly Service Activity Reports) </w:t>
      </w:r>
      <w:r w:rsidR="002A5383" w:rsidRPr="000F6CD1">
        <w:t>were</w:t>
      </w:r>
      <w:r w:rsidRPr="000F6CD1">
        <w:t xml:space="preserve"> deemed to have relevant service </w:t>
      </w:r>
      <w:r w:rsidRPr="000F6CD1">
        <w:lastRenderedPageBreak/>
        <w:t xml:space="preserve">group approvals, and related decisions, in place, as required in order to access funded aged care services under the </w:t>
      </w:r>
      <w:r w:rsidR="002A5383" w:rsidRPr="000F6CD1">
        <w:rPr>
          <w:iCs/>
        </w:rPr>
        <w:t>Act</w:t>
      </w:r>
      <w:r w:rsidRPr="000F6CD1">
        <w:rPr>
          <w:iCs/>
        </w:rPr>
        <w:t xml:space="preserve">. </w:t>
      </w:r>
    </w:p>
    <w:p w14:paraId="37C5E615" w14:textId="10C5B124" w:rsidR="00E656BE" w:rsidRPr="000F6CD1" w:rsidRDefault="001A404A" w:rsidP="008E6691">
      <w:pPr>
        <w:spacing w:before="240" w:after="240" w:line="240" w:lineRule="auto"/>
      </w:pPr>
      <w:r w:rsidRPr="000F6CD1">
        <w:t>If</w:t>
      </w:r>
      <w:r w:rsidR="00E656BE" w:rsidRPr="000F6CD1">
        <w:t xml:space="preserve"> </w:t>
      </w:r>
      <w:r w:rsidRPr="000F6CD1">
        <w:t>transitioned</w:t>
      </w:r>
      <w:r w:rsidR="00E656BE" w:rsidRPr="000F6CD1">
        <w:t xml:space="preserve"> clients move to a different provider or a different location where NATSIFACP services are not available, they may require an aged care needs assessment. It will depend on whether they only have a </w:t>
      </w:r>
      <w:r w:rsidR="00E674D0" w:rsidRPr="000F6CD1">
        <w:t>National Aboriginal and Torres Strait Islander Flexible Aged Care Program (</w:t>
      </w:r>
      <w:r w:rsidR="00E656BE" w:rsidRPr="000F6CD1">
        <w:t>NATSIFACP</w:t>
      </w:r>
      <w:r w:rsidR="00E674D0" w:rsidRPr="000F6CD1">
        <w:t>)</w:t>
      </w:r>
      <w:r w:rsidR="00E656BE" w:rsidRPr="000F6CD1">
        <w:t xml:space="preserve"> default classification level, the service types they require and the range of programs available at their new location.</w:t>
      </w:r>
    </w:p>
    <w:p w14:paraId="3E18836E" w14:textId="77777777" w:rsidR="00E656BE" w:rsidRPr="000F6CD1" w:rsidRDefault="00E656BE" w:rsidP="00806A21">
      <w:pPr>
        <w:pStyle w:val="Sub-headings"/>
      </w:pPr>
      <w:r w:rsidRPr="000F6CD1">
        <w:t xml:space="preserve">Note: </w:t>
      </w:r>
    </w:p>
    <w:p w14:paraId="4D76D798" w14:textId="5B873F01" w:rsidR="00E656BE" w:rsidRPr="000F6CD1" w:rsidRDefault="00E656BE" w:rsidP="00806A21">
      <w:pPr>
        <w:pStyle w:val="Sub-headings"/>
      </w:pPr>
      <w:r w:rsidRPr="000F6CD1">
        <w:t xml:space="preserve">Individuals </w:t>
      </w:r>
      <w:r w:rsidR="00C05B97">
        <w:t>were</w:t>
      </w:r>
      <w:r w:rsidRPr="000F6CD1">
        <w:t xml:space="preserve"> notified of their status post 1 November 2025 in writing via a notice given to their provider. This letter </w:t>
      </w:r>
      <w:r w:rsidR="001A404A" w:rsidRPr="000F6CD1">
        <w:t>was</w:t>
      </w:r>
      <w:r w:rsidRPr="000F6CD1">
        <w:t xml:space="preserve"> updated to their My Aged Care Client Record in late </w:t>
      </w:r>
      <w:r w:rsidR="0072297B" w:rsidRPr="000F6CD1">
        <w:t>2025</w:t>
      </w:r>
      <w:r w:rsidR="001A404A" w:rsidRPr="000F6CD1">
        <w:t>. R</w:t>
      </w:r>
      <w:r w:rsidRPr="000F6CD1">
        <w:t xml:space="preserve">elevant service recommendations and referrals </w:t>
      </w:r>
      <w:r w:rsidR="001A404A" w:rsidRPr="000F6CD1">
        <w:t>have been</w:t>
      </w:r>
      <w:r w:rsidRPr="000F6CD1">
        <w:t xml:space="preserve"> added to Department of Health</w:t>
      </w:r>
      <w:r w:rsidR="00583B15" w:rsidRPr="000F6CD1">
        <w:t xml:space="preserve">, Disability and Ageing’s </w:t>
      </w:r>
      <w:r w:rsidRPr="000F6CD1">
        <w:t>systems.</w:t>
      </w:r>
    </w:p>
    <w:p w14:paraId="6339CABE" w14:textId="475E58EB" w:rsidR="00E656BE" w:rsidRPr="000F6CD1" w:rsidRDefault="00E656BE" w:rsidP="00806A21">
      <w:pPr>
        <w:pStyle w:val="Sub-headings"/>
      </w:pPr>
      <w:r w:rsidRPr="000F6CD1">
        <w:t>If an older person in one of the transitional cohorts above wants to access mainstream aged care services:</w:t>
      </w:r>
    </w:p>
    <w:p w14:paraId="3B23C3C6" w14:textId="52959814" w:rsidR="00E656BE" w:rsidRPr="000F6CD1" w:rsidRDefault="00F26692" w:rsidP="00806A21">
      <w:pPr>
        <w:pStyle w:val="Sub-headings"/>
      </w:pPr>
      <w:r>
        <w:sym w:font="Wingdings" w:char="F09F"/>
      </w:r>
      <w:r>
        <w:t xml:space="preserve"> </w:t>
      </w:r>
      <w:r w:rsidR="00E656BE" w:rsidRPr="000F6CD1">
        <w:t>if they plan to access mainstream services under a home and community setting: they will need to call My Aged Care and either:</w:t>
      </w:r>
    </w:p>
    <w:p w14:paraId="661A5A38" w14:textId="0C790603" w:rsidR="00E656BE" w:rsidRPr="000F6CD1" w:rsidRDefault="00F26692" w:rsidP="00806A21">
      <w:pPr>
        <w:pStyle w:val="Sub-headings"/>
      </w:pPr>
      <w:r>
        <w:sym w:font="Wingdings" w:char="F09F"/>
      </w:r>
      <w:r>
        <w:t xml:space="preserve"> </w:t>
      </w:r>
      <w:r w:rsidR="00E656BE" w:rsidRPr="000F6CD1">
        <w:t>seek to undergo an aged care needs assessment if they only have a default NATSIFACP classification level provided at transition time, or</w:t>
      </w:r>
    </w:p>
    <w:p w14:paraId="1C0407A3" w14:textId="4DD2A042" w:rsidR="00E656BE" w:rsidRPr="000F6CD1" w:rsidRDefault="00F26692" w:rsidP="00806A21">
      <w:pPr>
        <w:pStyle w:val="Sub-headings"/>
      </w:pPr>
      <w:r>
        <w:sym w:font="Wingdings" w:char="F09F"/>
      </w:r>
      <w:r>
        <w:t xml:space="preserve"> </w:t>
      </w:r>
      <w:r w:rsidR="00E656BE" w:rsidRPr="000F6CD1">
        <w:t>indicate that they are now seeking mainstream services, where they already have a transitional HCP classification level, at which point they will be placed in the Support at Home Priority System’s queue based on their priority category and approval date.</w:t>
      </w:r>
    </w:p>
    <w:p w14:paraId="61A5C444" w14:textId="1DA7B8E4" w:rsidR="00E656BE" w:rsidRPr="000F6CD1" w:rsidRDefault="00F26692" w:rsidP="00806A21">
      <w:pPr>
        <w:pStyle w:val="Sub-headings"/>
      </w:pPr>
      <w:r>
        <w:sym w:font="Wingdings" w:char="F09F"/>
      </w:r>
      <w:r>
        <w:t xml:space="preserve"> </w:t>
      </w:r>
      <w:r w:rsidR="00E656BE" w:rsidRPr="000F6CD1">
        <w:t>if they plan to access mainstream services in a residential care home: they will need to undergo a</w:t>
      </w:r>
      <w:r w:rsidR="003773AE" w:rsidRPr="000F6CD1">
        <w:t xml:space="preserve"> R</w:t>
      </w:r>
      <w:r w:rsidR="009B3315" w:rsidRPr="000F6CD1">
        <w:t xml:space="preserve">esidential </w:t>
      </w:r>
      <w:r w:rsidR="003773AE" w:rsidRPr="000F6CD1">
        <w:t>A</w:t>
      </w:r>
      <w:r w:rsidR="009B3315" w:rsidRPr="000F6CD1">
        <w:t xml:space="preserve">ged </w:t>
      </w:r>
      <w:r w:rsidR="003773AE" w:rsidRPr="000F6CD1">
        <w:t>C</w:t>
      </w:r>
      <w:r w:rsidR="009B3315" w:rsidRPr="000F6CD1">
        <w:t xml:space="preserve">are funding </w:t>
      </w:r>
      <w:r w:rsidR="00E656BE" w:rsidRPr="000F6CD1">
        <w:t>assessment (i.e. a classification re-assessment) and an aged care assessment if they have not had one previously.</w:t>
      </w:r>
    </w:p>
    <w:p w14:paraId="2F674C8E" w14:textId="29B5536A" w:rsidR="00E656BE" w:rsidRPr="000F6CD1" w:rsidRDefault="00E656BE" w:rsidP="004D48B7">
      <w:pPr>
        <w:pStyle w:val="H4"/>
      </w:pPr>
      <w:r w:rsidRPr="000F6CD1">
        <w:t xml:space="preserve">New </w:t>
      </w:r>
      <w:r w:rsidR="00F75847" w:rsidRPr="000F6CD1">
        <w:t xml:space="preserve">National Aboriginal and Torres Strait Islander Flexible Aged Care Program </w:t>
      </w:r>
      <w:r w:rsidRPr="000F6CD1">
        <w:t>Clients post 1 November 2025</w:t>
      </w:r>
    </w:p>
    <w:p w14:paraId="28F0B3FC" w14:textId="78A7A37B" w:rsidR="00E656BE" w:rsidRPr="000F6CD1" w:rsidRDefault="00E656BE" w:rsidP="008E6691">
      <w:pPr>
        <w:spacing w:before="240" w:after="240" w:line="240" w:lineRule="auto"/>
        <w:rPr>
          <w:i/>
          <w:iCs/>
        </w:rPr>
      </w:pPr>
      <w:r w:rsidRPr="000F6CD1">
        <w:t>All new clients are required to make an application for funded aged care services,</w:t>
      </w:r>
      <w:r w:rsidR="002A0421" w:rsidRPr="000F6CD1">
        <w:t xml:space="preserve"> by registering with </w:t>
      </w:r>
      <w:r w:rsidR="00C07B78" w:rsidRPr="000F6CD1">
        <w:t>My Aged Care</w:t>
      </w:r>
      <w:r w:rsidR="002A0421" w:rsidRPr="000F6CD1">
        <w:t>,</w:t>
      </w:r>
      <w:r w:rsidRPr="000F6CD1">
        <w:t xml:space="preserve"> undergo a needs assessment and obtain an access approval for one or more service groups</w:t>
      </w:r>
      <w:r w:rsidR="0011166C" w:rsidRPr="000F6CD1">
        <w:t>, including the service “Services under NATSIFACP,”</w:t>
      </w:r>
      <w:r w:rsidRPr="000F6CD1">
        <w:t xml:space="preserve"> in place to access services delivered under NATSIFACP. However, they can receive NATSIFACP services before assessment if they meet the criteria </w:t>
      </w:r>
      <w:r w:rsidR="00295C41" w:rsidRPr="000F6CD1">
        <w:t xml:space="preserve">under </w:t>
      </w:r>
      <w:r w:rsidRPr="000F6CD1">
        <w:t>alternative entry</w:t>
      </w:r>
      <w:r w:rsidR="00295C41" w:rsidRPr="000F6CD1">
        <w:t xml:space="preserve"> provisions</w:t>
      </w:r>
      <w:r w:rsidRPr="000F6CD1">
        <w:t>.</w:t>
      </w:r>
      <w:r w:rsidR="00370919" w:rsidRPr="000F6CD1">
        <w:t xml:space="preserve"> </w:t>
      </w:r>
    </w:p>
    <w:p w14:paraId="3535A091" w14:textId="3AD05F5B" w:rsidR="00E656BE" w:rsidRPr="000F6CD1" w:rsidRDefault="00E656BE" w:rsidP="00AD2CE5">
      <w:pPr>
        <w:pStyle w:val="H3"/>
      </w:pPr>
      <w:bookmarkStart w:id="64" w:name="_Toc207291877"/>
      <w:r w:rsidRPr="000F6CD1">
        <w:t>Commonwealth Home Support Program (CHSP</w:t>
      </w:r>
      <w:bookmarkEnd w:id="64"/>
      <w:r w:rsidRPr="000F6CD1">
        <w:t>)</w:t>
      </w:r>
    </w:p>
    <w:p w14:paraId="54259D2E" w14:textId="5A38FA06" w:rsidR="00E656BE" w:rsidRPr="000F6CD1" w:rsidRDefault="00D7714A" w:rsidP="008E6691">
      <w:pPr>
        <w:spacing w:before="240" w:after="240" w:line="240" w:lineRule="auto"/>
      </w:pPr>
      <w:r w:rsidRPr="000F6CD1">
        <w:t>A</w:t>
      </w:r>
      <w:r w:rsidR="00E656BE" w:rsidRPr="000F6CD1">
        <w:t>ssessed C</w:t>
      </w:r>
      <w:r w:rsidR="00295C41" w:rsidRPr="000F6CD1">
        <w:t xml:space="preserve">ommonwealth </w:t>
      </w:r>
      <w:r w:rsidR="00E656BE" w:rsidRPr="000F6CD1">
        <w:t>H</w:t>
      </w:r>
      <w:r w:rsidR="00295C41" w:rsidRPr="000F6CD1">
        <w:t xml:space="preserve">ome </w:t>
      </w:r>
      <w:r w:rsidR="00E656BE" w:rsidRPr="000F6CD1">
        <w:t>S</w:t>
      </w:r>
      <w:r w:rsidR="00295C41" w:rsidRPr="000F6CD1">
        <w:t xml:space="preserve">upport </w:t>
      </w:r>
      <w:r w:rsidR="00E656BE" w:rsidRPr="000F6CD1">
        <w:t>P</w:t>
      </w:r>
      <w:r w:rsidR="00295C41" w:rsidRPr="000F6CD1">
        <w:t>rogram (</w:t>
      </w:r>
      <w:r w:rsidR="00E656BE" w:rsidRPr="000F6CD1">
        <w:t>CHSP</w:t>
      </w:r>
      <w:r w:rsidR="00295C41" w:rsidRPr="000F6CD1">
        <w:t>)</w:t>
      </w:r>
      <w:r w:rsidR="00E656BE" w:rsidRPr="000F6CD1">
        <w:t xml:space="preserve"> clients automatically transition</w:t>
      </w:r>
      <w:r w:rsidR="0046240C" w:rsidRPr="000F6CD1">
        <w:t>ed</w:t>
      </w:r>
      <w:r w:rsidR="00E656BE" w:rsidRPr="000F6CD1">
        <w:t xml:space="preserve"> under the </w:t>
      </w:r>
      <w:r w:rsidR="00F46595" w:rsidRPr="000F6CD1">
        <w:t>Act</w:t>
      </w:r>
      <w:r w:rsidR="00E656BE" w:rsidRPr="000F6CD1">
        <w:t xml:space="preserve"> on 1 November 2025. These clients </w:t>
      </w:r>
      <w:r w:rsidR="0046240C" w:rsidRPr="000F6CD1">
        <w:t xml:space="preserve">can </w:t>
      </w:r>
      <w:r w:rsidR="00E656BE" w:rsidRPr="000F6CD1">
        <w:t>continue accessing their current CHSP services in line with their assessed need, without taking any action.</w:t>
      </w:r>
    </w:p>
    <w:p w14:paraId="420BCF31" w14:textId="687E5EC7" w:rsidR="0059078E" w:rsidRDefault="00E656BE" w:rsidP="008E6691">
      <w:pPr>
        <w:spacing w:before="240" w:after="240" w:line="240" w:lineRule="auto"/>
      </w:pPr>
      <w:r w:rsidRPr="000F6CD1">
        <w:t xml:space="preserve">Unregistered and unassessed </w:t>
      </w:r>
      <w:r w:rsidR="00AF27AF" w:rsidRPr="000F6CD1">
        <w:t xml:space="preserve">CHSP </w:t>
      </w:r>
      <w:r w:rsidRPr="000F6CD1">
        <w:t>clients must register with My Aged Care and be assessed as eligible for the CHSP to continue accessing government funded aged care services</w:t>
      </w:r>
      <w:r w:rsidR="009C36EF" w:rsidRPr="000F6CD1">
        <w:t>.</w:t>
      </w:r>
    </w:p>
    <w:p w14:paraId="51E565C7" w14:textId="237869EB" w:rsidR="00E656BE" w:rsidRPr="000F6CD1" w:rsidRDefault="0059078E" w:rsidP="0059078E">
      <w:r>
        <w:br w:type="page"/>
      </w:r>
    </w:p>
    <w:p w14:paraId="08C6C433" w14:textId="77777777" w:rsidR="008A1477" w:rsidRPr="000F6CD1" w:rsidRDefault="00BE4CF4" w:rsidP="00806A21">
      <w:pPr>
        <w:pStyle w:val="Sub-headings"/>
        <w:rPr>
          <w:bCs/>
        </w:rPr>
      </w:pPr>
      <w:r w:rsidRPr="000F6CD1">
        <w:lastRenderedPageBreak/>
        <w:t xml:space="preserve">Note: </w:t>
      </w:r>
    </w:p>
    <w:p w14:paraId="0CD57CD7" w14:textId="57820869" w:rsidR="00BE4CF4" w:rsidRPr="000F6CD1" w:rsidRDefault="001B73A0" w:rsidP="00806A21">
      <w:pPr>
        <w:pStyle w:val="Sub-headings"/>
      </w:pPr>
      <w:r w:rsidRPr="000F6CD1">
        <w:t>Assessment approvals can be b</w:t>
      </w:r>
      <w:r w:rsidR="00BE4CF4" w:rsidRPr="000F6CD1">
        <w:t>ackdat</w:t>
      </w:r>
      <w:r w:rsidRPr="000F6CD1">
        <w:t xml:space="preserve">ed </w:t>
      </w:r>
      <w:r w:rsidR="00BE4CF4" w:rsidRPr="000F6CD1">
        <w:t xml:space="preserve">for </w:t>
      </w:r>
      <w:r w:rsidR="004F5357" w:rsidRPr="000F6CD1">
        <w:t xml:space="preserve">eligible </w:t>
      </w:r>
      <w:r w:rsidR="00BE4CF4" w:rsidRPr="000F6CD1">
        <w:t>CHSP clients</w:t>
      </w:r>
      <w:r w:rsidR="00B4511C" w:rsidRPr="000F6CD1">
        <w:t xml:space="preserve"> under Section 71 of the Act</w:t>
      </w:r>
      <w:r w:rsidRPr="000F6CD1">
        <w:t>.</w:t>
      </w:r>
      <w:r w:rsidR="00BE4CF4" w:rsidRPr="000F6CD1">
        <w:t xml:space="preserve"> </w:t>
      </w:r>
    </w:p>
    <w:p w14:paraId="7522FB06" w14:textId="34849C80" w:rsidR="00BE4CF4" w:rsidRPr="000F6CD1" w:rsidRDefault="00BE4CF4" w:rsidP="00806A21">
      <w:pPr>
        <w:pStyle w:val="Sub-headings"/>
      </w:pPr>
      <w:r w:rsidRPr="000F6CD1">
        <w:t xml:space="preserve">Transitional rules </w:t>
      </w:r>
      <w:r w:rsidR="001A285F" w:rsidRPr="000F6CD1">
        <w:t>allow</w:t>
      </w:r>
      <w:r w:rsidR="00FB357C" w:rsidRPr="000F6CD1">
        <w:t xml:space="preserve"> </w:t>
      </w:r>
      <w:r w:rsidR="00EA6CA4" w:rsidRPr="000F6CD1">
        <w:t>CHSP clients who</w:t>
      </w:r>
      <w:r w:rsidR="00FB357C" w:rsidRPr="000F6CD1">
        <w:t xml:space="preserve"> </w:t>
      </w:r>
      <w:r w:rsidRPr="000F6CD1">
        <w:t>appl</w:t>
      </w:r>
      <w:r w:rsidR="001B73A0" w:rsidRPr="000F6CD1">
        <w:t>ied</w:t>
      </w:r>
      <w:r w:rsidRPr="000F6CD1">
        <w:t xml:space="preserve"> for an assessment </w:t>
      </w:r>
      <w:r w:rsidR="008A1477" w:rsidRPr="000F6CD1">
        <w:t>by 31 October</w:t>
      </w:r>
      <w:r w:rsidR="00706C4A" w:rsidRPr="000F6CD1">
        <w:t xml:space="preserve"> </w:t>
      </w:r>
      <w:r w:rsidR="007B07C2" w:rsidRPr="000F6CD1">
        <w:t>to</w:t>
      </w:r>
      <w:r w:rsidR="00EA6CA4" w:rsidRPr="000F6CD1">
        <w:t xml:space="preserve"> </w:t>
      </w:r>
      <w:r w:rsidR="00605AED" w:rsidRPr="000F6CD1">
        <w:t xml:space="preserve">have approvals backdated to 1 November </w:t>
      </w:r>
      <w:r w:rsidR="00FB357C" w:rsidRPr="000F6CD1">
        <w:t xml:space="preserve">if they are assessed as eligible after the </w:t>
      </w:r>
      <w:r w:rsidR="001A285F" w:rsidRPr="000F6CD1">
        <w:t>Act commenced</w:t>
      </w:r>
      <w:r w:rsidRPr="000F6CD1">
        <w:t>.</w:t>
      </w:r>
    </w:p>
    <w:p w14:paraId="69DFA143" w14:textId="5FE06AE5" w:rsidR="00BE4CF4" w:rsidRPr="000F6CD1" w:rsidRDefault="00E656BE" w:rsidP="004F12AF">
      <w:pPr>
        <w:spacing w:before="240" w:after="240" w:line="240" w:lineRule="auto"/>
      </w:pPr>
      <w:r w:rsidRPr="000F6CD1">
        <w:t xml:space="preserve">Grandfathered clients (clients receiving services through a previous program who were grandfathered </w:t>
      </w:r>
      <w:r w:rsidR="4BCE76DD" w:rsidRPr="000F6CD1">
        <w:t>into the</w:t>
      </w:r>
      <w:r w:rsidRPr="000F6CD1">
        <w:t xml:space="preserve"> CHSP) that have not since undergone an assessment will need to do so to continue receiving services</w:t>
      </w:r>
      <w:r w:rsidR="2F380B94" w:rsidRPr="000F6CD1">
        <w:t>.</w:t>
      </w:r>
      <w:bookmarkStart w:id="65" w:name="_Toc207291878"/>
    </w:p>
    <w:p w14:paraId="5D71C399" w14:textId="3F71CA67" w:rsidR="00E656BE" w:rsidRPr="000F6CD1" w:rsidRDefault="0059078E" w:rsidP="00AD2CE5">
      <w:pPr>
        <w:pStyle w:val="H3"/>
      </w:pPr>
      <w:r>
        <w:drawing>
          <wp:anchor distT="0" distB="0" distL="114300" distR="114300" simplePos="0" relativeHeight="251658277" behindDoc="0" locked="0" layoutInCell="1" allowOverlap="1" wp14:anchorId="58A564CF" wp14:editId="2FE4D8A8">
            <wp:simplePos x="0" y="0"/>
            <wp:positionH relativeFrom="margin">
              <wp:align>left</wp:align>
            </wp:positionH>
            <wp:positionV relativeFrom="margin">
              <wp:posOffset>2097405</wp:posOffset>
            </wp:positionV>
            <wp:extent cx="365760" cy="403860"/>
            <wp:effectExtent l="0" t="0" r="0" b="0"/>
            <wp:wrapSquare wrapText="bothSides"/>
            <wp:docPr id="464941855" name="Picture 1" descr="A bell with a exclamation mark that denotes a change in information from version 8.2 of the Aged Care Assessment Manu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1855" name="Picture 1" descr="A bell with a exclamation mark that denotes a change in information from version 8.2 of the Aged Care Assessment Manual. &#10;"/>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E656BE" w:rsidRPr="000F6CD1">
        <w:t>Short-Term Restorative Care (STRC) Programme</w:t>
      </w:r>
      <w:bookmarkEnd w:id="65"/>
    </w:p>
    <w:p w14:paraId="77C5C0D1" w14:textId="3F84DC30" w:rsidR="00564B31" w:rsidRPr="000F6CD1" w:rsidRDefault="00E656BE" w:rsidP="00564B31">
      <w:pPr>
        <w:spacing w:before="240" w:after="240" w:line="240" w:lineRule="auto"/>
      </w:pPr>
      <w:r w:rsidRPr="000F6CD1">
        <w:t>The Short-Term Restorative Care (STRC) Programme</w:t>
      </w:r>
      <w:r w:rsidR="0001333B" w:rsidRPr="000F6CD1">
        <w:t xml:space="preserve"> has</w:t>
      </w:r>
      <w:r w:rsidRPr="000F6CD1">
        <w:t xml:space="preserve"> change</w:t>
      </w:r>
      <w:r w:rsidR="0001333B" w:rsidRPr="000F6CD1">
        <w:t>d</w:t>
      </w:r>
      <w:r w:rsidRPr="000F6CD1">
        <w:t xml:space="preserve"> to the ‘Restorative Care Pathway’ under Support at Home. </w:t>
      </w:r>
      <w:r w:rsidR="00564B31" w:rsidRPr="000F6CD1">
        <w:t>Transition arrangements applied to two cohorts:</w:t>
      </w:r>
    </w:p>
    <w:p w14:paraId="7883193E" w14:textId="5E446DC4" w:rsidR="00564B31" w:rsidRPr="000F6CD1" w:rsidRDefault="00564B31" w:rsidP="00564B31">
      <w:pPr>
        <w:pStyle w:val="ListParagraph"/>
        <w:numPr>
          <w:ilvl w:val="0"/>
          <w:numId w:val="602"/>
        </w:numPr>
        <w:spacing w:before="240" w:after="240" w:line="240" w:lineRule="auto"/>
      </w:pPr>
      <w:r w:rsidRPr="000F6CD1">
        <w:t>Participants who commenced their STRC care episode before 1 November 2025 and were still in progress on that date continued their care under transitional arrangements.</w:t>
      </w:r>
      <w:r w:rsidRPr="000F6CD1">
        <w:br/>
      </w:r>
    </w:p>
    <w:p w14:paraId="586C6186" w14:textId="77777777" w:rsidR="00564B31" w:rsidRPr="000F6CD1" w:rsidRDefault="00564B31" w:rsidP="00564B31">
      <w:pPr>
        <w:pStyle w:val="ListParagraph"/>
        <w:numPr>
          <w:ilvl w:val="0"/>
          <w:numId w:val="602"/>
        </w:numPr>
        <w:spacing w:before="240" w:after="240" w:line="240" w:lineRule="auto"/>
      </w:pPr>
      <w:r w:rsidRPr="000F6CD1">
        <w:t>Participants approved for the STRC Programme who commenced their care on or after 1 November 2025 had their approval converted to the Restorative Care Pathway (RCP), with six months from the date of STRC approval to accept their RCP/AT</w:t>
      </w:r>
      <w:r w:rsidRPr="000F6CD1">
        <w:noBreakHyphen/>
        <w:t>HM place.</w:t>
      </w:r>
    </w:p>
    <w:p w14:paraId="50E63136" w14:textId="77777777" w:rsidR="00564B31" w:rsidRPr="000F6CD1" w:rsidRDefault="00564B31" w:rsidP="00564B31">
      <w:pPr>
        <w:spacing w:before="240" w:after="240" w:line="240" w:lineRule="auto"/>
      </w:pPr>
      <w:r w:rsidRPr="000F6CD1">
        <w:t xml:space="preserve">All STRC approvals have now either concluded or transitioned to RCP. </w:t>
      </w:r>
    </w:p>
    <w:p w14:paraId="77D5A766" w14:textId="68BA68FC" w:rsidR="12F63CAC" w:rsidRPr="000F6CD1" w:rsidRDefault="00564B31" w:rsidP="00FF61B0">
      <w:pPr>
        <w:spacing w:before="240" w:after="240" w:line="240" w:lineRule="auto"/>
      </w:pPr>
      <w:r w:rsidRPr="000F6CD1">
        <w:t>If participants did not access their approval within the six-month period, they will need to be reassessed to access restorative care or AT</w:t>
      </w:r>
      <w:r w:rsidRPr="000F6CD1">
        <w:noBreakHyphen/>
        <w:t>HM under the Support at Home program, if eligible.</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D1422E" w:rsidRPr="000F6CD1" w14:paraId="0B398AA1" w14:textId="77777777" w:rsidTr="00E42183">
        <w:trPr>
          <w:trHeight w:val="300"/>
        </w:trPr>
        <w:tc>
          <w:tcPr>
            <w:tcW w:w="988" w:type="dxa"/>
          </w:tcPr>
          <w:p w14:paraId="3EE1607E" w14:textId="77777777" w:rsidR="00D1422E" w:rsidRPr="000F6CD1" w:rsidRDefault="00D1422E">
            <w:pPr>
              <w:spacing w:before="240" w:after="240"/>
            </w:pPr>
            <w:r w:rsidRPr="000F6CD1">
              <w:rPr>
                <w:noProof/>
              </w:rPr>
              <w:drawing>
                <wp:inline distT="0" distB="0" distL="0" distR="0" wp14:anchorId="3987F5AA" wp14:editId="2FE856EC">
                  <wp:extent cx="447675" cy="438150"/>
                  <wp:effectExtent l="0" t="0" r="0" b="0"/>
                  <wp:docPr id="1738242825" name="Picture 17382428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73F8761" w14:textId="1FA20E77" w:rsidR="00D1422E" w:rsidRPr="000F6CD1" w:rsidRDefault="00D1422E">
            <w:pPr>
              <w:spacing w:before="240" w:after="240"/>
            </w:pPr>
            <w:hyperlink r:id="rId50" w:history="1">
              <w:r w:rsidRPr="00F75E1A">
                <w:rPr>
                  <w:color w:val="005D67"/>
                  <w:u w:val="single"/>
                </w:rPr>
                <w:t>Guide for Short-Term Restorative Care providers transitioning to the Restorative Care Pathway | Australian Government Department of Health, Disability and Ageing</w:t>
              </w:r>
            </w:hyperlink>
          </w:p>
        </w:tc>
      </w:tr>
    </w:tbl>
    <w:p w14:paraId="532D01A0" w14:textId="16C70724" w:rsidR="00D1422E" w:rsidRPr="000F6CD1" w:rsidRDefault="00D1422E" w:rsidP="00524E0B">
      <w:pPr>
        <w:rPr>
          <w:szCs w:val="20"/>
        </w:rPr>
      </w:pPr>
    </w:p>
    <w:p w14:paraId="5F636C69" w14:textId="77777777" w:rsidR="00E656BE" w:rsidRPr="000F6CD1" w:rsidRDefault="00E656BE" w:rsidP="00AD2CE5">
      <w:pPr>
        <w:pStyle w:val="H3"/>
      </w:pPr>
      <w:bookmarkStart w:id="66" w:name="_Toc198813654"/>
      <w:bookmarkStart w:id="67" w:name="_Toc207291880"/>
      <w:r w:rsidRPr="000F6CD1">
        <w:t>Transition Care Program (TCP)</w:t>
      </w:r>
      <w:bookmarkEnd w:id="66"/>
      <w:bookmarkEnd w:id="67"/>
    </w:p>
    <w:p w14:paraId="0442DD4E" w14:textId="2A667A61" w:rsidR="00E656BE" w:rsidRPr="000F6CD1" w:rsidRDefault="00E656BE" w:rsidP="0003231B">
      <w:pPr>
        <w:pStyle w:val="H4"/>
      </w:pPr>
      <w:r w:rsidRPr="000F6CD1">
        <w:t xml:space="preserve">TCP clients receiving transition care </w:t>
      </w:r>
      <w:r w:rsidR="00D43297" w:rsidRPr="000F6CD1">
        <w:t xml:space="preserve">on </w:t>
      </w:r>
      <w:r w:rsidRPr="000F6CD1">
        <w:t>1 Nov</w:t>
      </w:r>
      <w:r w:rsidR="00A11FC8" w:rsidRPr="000F6CD1">
        <w:t>ember 2025</w:t>
      </w:r>
    </w:p>
    <w:p w14:paraId="1430A5B2" w14:textId="02EF3A30" w:rsidR="00E656BE" w:rsidRPr="000F6CD1" w:rsidRDefault="00E656BE" w:rsidP="00BE4CF4">
      <w:pPr>
        <w:spacing w:before="240" w:after="240" w:line="240" w:lineRule="auto"/>
      </w:pPr>
      <w:r w:rsidRPr="000F6CD1">
        <w:t xml:space="preserve">Transition Care Program clients </w:t>
      </w:r>
      <w:r w:rsidR="00043F5E" w:rsidRPr="000F6CD1">
        <w:t xml:space="preserve">in care on 1 November 2025 </w:t>
      </w:r>
      <w:r w:rsidR="00B97C70" w:rsidRPr="000F6CD1">
        <w:t xml:space="preserve">had their </w:t>
      </w:r>
      <w:r w:rsidR="00A30346" w:rsidRPr="000F6CD1">
        <w:t xml:space="preserve">eligibility and </w:t>
      </w:r>
      <w:r w:rsidR="00B97C70" w:rsidRPr="000F6CD1">
        <w:t>approval</w:t>
      </w:r>
      <w:r w:rsidR="00A30346" w:rsidRPr="000F6CD1">
        <w:t xml:space="preserve"> for the program </w:t>
      </w:r>
      <w:r w:rsidR="00043F5E" w:rsidRPr="000F6CD1">
        <w:t>deemed across</w:t>
      </w:r>
      <w:r w:rsidR="00F77997" w:rsidRPr="000F6CD1">
        <w:t xml:space="preserve">. </w:t>
      </w:r>
    </w:p>
    <w:p w14:paraId="29516586" w14:textId="48DD7F6D" w:rsidR="00E656BE" w:rsidRPr="000F6CD1" w:rsidRDefault="00E656BE" w:rsidP="0003231B">
      <w:pPr>
        <w:pStyle w:val="H4"/>
      </w:pPr>
      <w:r w:rsidRPr="000F6CD1">
        <w:t xml:space="preserve">New TCP </w:t>
      </w:r>
      <w:r w:rsidR="001A778C" w:rsidRPr="000F6CD1">
        <w:t xml:space="preserve">clients </w:t>
      </w:r>
      <w:r w:rsidRPr="000F6CD1">
        <w:t>post 1 November 2025</w:t>
      </w:r>
    </w:p>
    <w:p w14:paraId="32B08093" w14:textId="746E5F65" w:rsidR="00E656BE" w:rsidRPr="000F6CD1" w:rsidRDefault="00E656BE" w:rsidP="00BE4CF4">
      <w:pPr>
        <w:spacing w:before="240" w:after="240" w:line="240" w:lineRule="auto"/>
        <w:rPr>
          <w:b/>
        </w:rPr>
      </w:pPr>
      <w:r w:rsidRPr="000F6CD1">
        <w:t xml:space="preserve">All new clients </w:t>
      </w:r>
      <w:r w:rsidR="00F77997" w:rsidRPr="000F6CD1">
        <w:t>are</w:t>
      </w:r>
      <w:r w:rsidRPr="000F6CD1">
        <w:t xml:space="preserve"> required to have a comprehensive assessment and receive delegate approval, before they are discharged from hospital, to be referred to </w:t>
      </w:r>
      <w:r w:rsidR="00F77997" w:rsidRPr="000F6CD1">
        <w:t xml:space="preserve">a </w:t>
      </w:r>
      <w:r w:rsidRPr="000F6CD1">
        <w:t>transition care service provider.</w:t>
      </w:r>
      <w:r w:rsidR="00795CD3" w:rsidRPr="000F6CD1">
        <w:t xml:space="preserve"> </w:t>
      </w:r>
    </w:p>
    <w:p w14:paraId="38415867" w14:textId="77777777" w:rsidR="00E656BE" w:rsidRPr="000F6CD1" w:rsidRDefault="00E656BE" w:rsidP="00AD2CE5">
      <w:pPr>
        <w:pStyle w:val="H3"/>
      </w:pPr>
      <w:bookmarkStart w:id="68" w:name="_Toc207291881"/>
      <w:r w:rsidRPr="000F6CD1">
        <w:lastRenderedPageBreak/>
        <w:t>Residential Care</w:t>
      </w:r>
      <w:bookmarkEnd w:id="68"/>
    </w:p>
    <w:p w14:paraId="3DE92875" w14:textId="4F87076E" w:rsidR="00E656BE" w:rsidRPr="000F6CD1" w:rsidRDefault="00F77997" w:rsidP="0003231B">
      <w:pPr>
        <w:pStyle w:val="H4"/>
      </w:pPr>
      <w:r w:rsidRPr="000F6CD1">
        <w:t>R</w:t>
      </w:r>
      <w:r w:rsidR="00E656BE" w:rsidRPr="000F6CD1">
        <w:t xml:space="preserve">esidential care clients </w:t>
      </w:r>
      <w:r w:rsidR="00D43297" w:rsidRPr="000F6CD1">
        <w:t xml:space="preserve">in </w:t>
      </w:r>
      <w:r w:rsidR="00E656BE" w:rsidRPr="000F6CD1">
        <w:t xml:space="preserve">residential care </w:t>
      </w:r>
      <w:r w:rsidR="00D43297" w:rsidRPr="000F6CD1">
        <w:t xml:space="preserve">on </w:t>
      </w:r>
      <w:r w:rsidR="00E656BE" w:rsidRPr="000F6CD1">
        <w:t>1 Nov</w:t>
      </w:r>
      <w:r w:rsidR="00A11FC8" w:rsidRPr="000F6CD1">
        <w:t>ember 2025</w:t>
      </w:r>
    </w:p>
    <w:p w14:paraId="34C1DD75" w14:textId="35000CA9" w:rsidR="00E656BE" w:rsidRPr="000F6CD1" w:rsidRDefault="00D43297" w:rsidP="00BE4CF4">
      <w:pPr>
        <w:spacing w:before="240" w:after="240" w:line="240" w:lineRule="auto"/>
      </w:pPr>
      <w:r w:rsidRPr="000F6CD1">
        <w:t>R</w:t>
      </w:r>
      <w:r w:rsidR="00E656BE" w:rsidRPr="000F6CD1">
        <w:t xml:space="preserve">esidents in care on 1 November 2025 </w:t>
      </w:r>
      <w:r w:rsidRPr="000F6CD1">
        <w:t>were</w:t>
      </w:r>
      <w:r w:rsidR="00E656BE" w:rsidRPr="000F6CD1">
        <w:t xml:space="preserve"> allocated a place to ensure no payment or continuity of care issues for the provider or older Australian.  This cohort of older Australians </w:t>
      </w:r>
      <w:r w:rsidRPr="000F6CD1">
        <w:t>did not</w:t>
      </w:r>
      <w:r w:rsidR="00E656BE" w:rsidRPr="000F6CD1">
        <w:t xml:space="preserve"> need to do anything to facilitate this allocation</w:t>
      </w:r>
      <w:r w:rsidRPr="000F6CD1">
        <w:t>.</w:t>
      </w:r>
    </w:p>
    <w:p w14:paraId="0C5999E3" w14:textId="1376555D" w:rsidR="00E656BE" w:rsidRPr="000F6CD1" w:rsidRDefault="00E656BE" w:rsidP="0003231B">
      <w:pPr>
        <w:pStyle w:val="H4"/>
      </w:pPr>
      <w:r w:rsidRPr="000F6CD1">
        <w:t>Prospective residents with a residential care approval but not in care on 1 Nov</w:t>
      </w:r>
      <w:r w:rsidR="00A11FC8" w:rsidRPr="000F6CD1">
        <w:t>ember 2025</w:t>
      </w:r>
    </w:p>
    <w:p w14:paraId="6C4DAC71" w14:textId="11337528" w:rsidR="00E656BE" w:rsidRPr="000F6CD1" w:rsidRDefault="00E656BE" w:rsidP="00BE4CF4">
      <w:pPr>
        <w:spacing w:before="240" w:after="240" w:line="240" w:lineRule="auto"/>
      </w:pPr>
      <w:r w:rsidRPr="000F6CD1">
        <w:t xml:space="preserve">Older Australians who </w:t>
      </w:r>
      <w:r w:rsidR="00824E21" w:rsidRPr="000F6CD1">
        <w:t>were</w:t>
      </w:r>
      <w:r w:rsidRPr="000F6CD1">
        <w:t xml:space="preserve"> assessed and approved as requiring residential care, prior to 1 November 2025, </w:t>
      </w:r>
      <w:r w:rsidR="00824E21" w:rsidRPr="000F6CD1">
        <w:t>were</w:t>
      </w:r>
      <w:r w:rsidRPr="000F6CD1">
        <w:t xml:space="preserve"> automatically allocated a place </w:t>
      </w:r>
      <w:r w:rsidR="00824E21" w:rsidRPr="000F6CD1">
        <w:t xml:space="preserve">on commencement of the </w:t>
      </w:r>
      <w:r w:rsidR="00824E21" w:rsidRPr="00FF61B0">
        <w:rPr>
          <w:i/>
          <w:iCs/>
        </w:rPr>
        <w:t>Aged Care Act 2024</w:t>
      </w:r>
      <w:r w:rsidR="00824E21" w:rsidRPr="000F6CD1">
        <w:t xml:space="preserve"> </w:t>
      </w:r>
      <w:r w:rsidRPr="000F6CD1">
        <w:t>and can enter care when they choose to.</w:t>
      </w:r>
    </w:p>
    <w:p w14:paraId="7276ACEA" w14:textId="0B758EB5" w:rsidR="00E656BE" w:rsidRPr="000F6CD1" w:rsidRDefault="00E656BE" w:rsidP="00AD2CE5">
      <w:pPr>
        <w:pStyle w:val="H3"/>
      </w:pPr>
      <w:bookmarkStart w:id="69" w:name="_Ref212733794"/>
      <w:bookmarkStart w:id="70" w:name="_Toc207291879"/>
      <w:r w:rsidRPr="000F6CD1">
        <w:t>Younger People</w:t>
      </w:r>
      <w:bookmarkEnd w:id="69"/>
    </w:p>
    <w:p w14:paraId="363DA0B3" w14:textId="56E035A4" w:rsidR="00E656BE" w:rsidRPr="000F6CD1" w:rsidRDefault="00E656BE" w:rsidP="0003231B">
      <w:pPr>
        <w:pStyle w:val="H4"/>
      </w:pPr>
      <w:r w:rsidRPr="000F6CD1">
        <w:t>Younger people receiving existing aged care services</w:t>
      </w:r>
      <w:bookmarkEnd w:id="70"/>
      <w:r w:rsidRPr="000F6CD1">
        <w:t xml:space="preserve"> </w:t>
      </w:r>
    </w:p>
    <w:p w14:paraId="754AB0B1" w14:textId="52774BC3" w:rsidR="00E656BE" w:rsidRPr="000F6CD1" w:rsidRDefault="003418B3" w:rsidP="00BE4CF4">
      <w:pPr>
        <w:spacing w:before="240" w:after="240" w:line="240" w:lineRule="auto"/>
        <w:rPr>
          <w:b/>
        </w:rPr>
      </w:pPr>
      <w:r w:rsidRPr="000F6CD1">
        <w:t xml:space="preserve">On commencement of the </w:t>
      </w:r>
      <w:r w:rsidR="00171838" w:rsidRPr="000F6CD1">
        <w:rPr>
          <w:i/>
        </w:rPr>
        <w:t>Aged Care Act 2024</w:t>
      </w:r>
      <w:r w:rsidR="00171838" w:rsidRPr="000F6CD1">
        <w:t xml:space="preserve"> (the Act) on </w:t>
      </w:r>
      <w:r w:rsidR="00E656BE" w:rsidRPr="000F6CD1">
        <w:t>1 November</w:t>
      </w:r>
      <w:r w:rsidR="00824E21" w:rsidRPr="000F6CD1">
        <w:t xml:space="preserve"> 2025</w:t>
      </w:r>
      <w:r w:rsidR="00E656BE" w:rsidRPr="000F6CD1">
        <w:t>, any younger individual</w:t>
      </w:r>
      <w:r w:rsidR="00E656BE" w:rsidRPr="000F6CD1">
        <w:rPr>
          <w:rStyle w:val="FootnoteReference"/>
        </w:rPr>
        <w:footnoteReference w:id="3"/>
      </w:r>
      <w:r w:rsidR="00E656BE" w:rsidRPr="000F6CD1">
        <w:t xml:space="preserve"> already accessing services </w:t>
      </w:r>
      <w:r w:rsidR="00814B56" w:rsidRPr="000F6CD1">
        <w:t>are not</w:t>
      </w:r>
      <w:r w:rsidR="00E656BE" w:rsidRPr="000F6CD1">
        <w:t xml:space="preserve"> required to have a reassessment. Younger individuals will be able to continue to access </w:t>
      </w:r>
      <w:r w:rsidR="00FB2301" w:rsidRPr="000F6CD1">
        <w:t>services</w:t>
      </w:r>
      <w:r w:rsidR="00E656BE" w:rsidRPr="000F6CD1">
        <w:t xml:space="preserve">, even if they are below the minimum age requirements for the </w:t>
      </w:r>
      <w:r w:rsidR="003B5A70" w:rsidRPr="000F6CD1">
        <w:t>Act</w:t>
      </w:r>
      <w:r w:rsidR="00E656BE" w:rsidRPr="000F6CD1">
        <w:t xml:space="preserve">, subject to any actions required for that individual to transition to the </w:t>
      </w:r>
      <w:r w:rsidR="007836DF" w:rsidRPr="000F6CD1">
        <w:t>Act</w:t>
      </w:r>
      <w:r w:rsidR="00E656BE" w:rsidRPr="000F6CD1">
        <w:t xml:space="preserve">. </w:t>
      </w:r>
    </w:p>
    <w:p w14:paraId="4D6962F2" w14:textId="0DF89371" w:rsidR="00E656BE" w:rsidRPr="000F6CD1" w:rsidRDefault="00DC275A" w:rsidP="00BE4CF4">
      <w:pPr>
        <w:spacing w:before="240" w:after="240" w:line="240" w:lineRule="auto"/>
        <w:rPr>
          <w:b/>
        </w:rPr>
      </w:pPr>
      <w:r w:rsidRPr="000F6CD1">
        <w:t xml:space="preserve">If </w:t>
      </w:r>
      <w:r w:rsidR="00E656BE" w:rsidRPr="000F6CD1">
        <w:t>the care needs of younger individuals</w:t>
      </w:r>
      <w:r w:rsidR="00693546" w:rsidRPr="000F6CD1">
        <w:t xml:space="preserve">, who transitioned from the </w:t>
      </w:r>
      <w:r w:rsidR="00693546" w:rsidRPr="000F6CD1">
        <w:rPr>
          <w:i/>
          <w:iCs/>
        </w:rPr>
        <w:t>Aged Care Act 1997</w:t>
      </w:r>
      <w:r w:rsidR="00F9689B" w:rsidRPr="000F6CD1">
        <w:t xml:space="preserve">, </w:t>
      </w:r>
      <w:r w:rsidR="00693546" w:rsidRPr="000F6CD1">
        <w:t>have</w:t>
      </w:r>
      <w:r w:rsidR="00E656BE" w:rsidRPr="000F6CD1">
        <w:t xml:space="preserve"> change</w:t>
      </w:r>
      <w:r w:rsidR="00693546" w:rsidRPr="000F6CD1">
        <w:t>d</w:t>
      </w:r>
      <w:r w:rsidR="00E656BE" w:rsidRPr="000F6CD1">
        <w:t>, they will be eligible for reassessment to access residential aged care. These individuals may be eligible for reassessment for other aged care services based on program level transition rules.</w:t>
      </w:r>
    </w:p>
    <w:p w14:paraId="7ADD5512" w14:textId="77777777" w:rsidR="00E656BE" w:rsidRPr="000F6CD1" w:rsidRDefault="00E656BE" w:rsidP="0003231B">
      <w:pPr>
        <w:pStyle w:val="H4"/>
      </w:pPr>
      <w:r w:rsidRPr="000F6CD1">
        <w:t>Younger people with ‘In-flight assessments’</w:t>
      </w:r>
    </w:p>
    <w:p w14:paraId="181594A5" w14:textId="75DB6941" w:rsidR="00E656BE" w:rsidRPr="000F6CD1" w:rsidRDefault="00E656BE" w:rsidP="00BE4CF4">
      <w:pPr>
        <w:spacing w:before="240" w:after="240" w:line="240" w:lineRule="auto"/>
      </w:pPr>
      <w:r w:rsidRPr="000F6CD1">
        <w:t xml:space="preserve">Younger individuals who are applying for residential aged care and have provided enough information in My Aged Care to show they began the process before 1 November 2025 will be ‘Reviewed and Approved’ based on the eligibility criteria under the </w:t>
      </w:r>
      <w:r w:rsidRPr="000F6CD1">
        <w:rPr>
          <w:i/>
          <w:iCs/>
        </w:rPr>
        <w:t>Aged Care Act 1997</w:t>
      </w:r>
      <w:r w:rsidRPr="000F6CD1">
        <w:t xml:space="preserve">. </w:t>
      </w:r>
    </w:p>
    <w:p w14:paraId="0EF43039" w14:textId="38C44BB9" w:rsidR="00E656BE" w:rsidRPr="000F6CD1" w:rsidRDefault="00DB1C77" w:rsidP="00BE4CF4">
      <w:pPr>
        <w:spacing w:before="240" w:after="240" w:line="240" w:lineRule="auto"/>
      </w:pPr>
      <w:r w:rsidRPr="000F6CD1">
        <w:t>Ability First Australia (</w:t>
      </w:r>
      <w:r w:rsidR="00E656BE" w:rsidRPr="000F6CD1">
        <w:t>AFA</w:t>
      </w:r>
      <w:r w:rsidRPr="000F6CD1">
        <w:t>)</w:t>
      </w:r>
      <w:r w:rsidR="00E656BE" w:rsidRPr="000F6CD1">
        <w:t xml:space="preserve"> (for younger people who are not NDIS participants) or the NDIA YPIRAC team (for NDIS participants) helps younger people explore age-appropriate options before they seek access to residential aged care – as per section 11A of the </w:t>
      </w:r>
      <w:r w:rsidR="00E656BE" w:rsidRPr="000F6CD1">
        <w:rPr>
          <w:i/>
        </w:rPr>
        <w:t>Approval of Care Recipients Principles 2014</w:t>
      </w:r>
      <w:r w:rsidR="00E656BE" w:rsidRPr="000F6CD1">
        <w:t xml:space="preserve"> (the requirement of specified evidence). </w:t>
      </w:r>
    </w:p>
    <w:p w14:paraId="48EAA99D" w14:textId="649E904F" w:rsidR="00E656BE" w:rsidRPr="000F6CD1" w:rsidRDefault="00E656BE" w:rsidP="00BE4CF4">
      <w:pPr>
        <w:spacing w:before="240" w:after="240" w:line="240" w:lineRule="auto"/>
      </w:pPr>
      <w:r w:rsidRPr="000F6CD1">
        <w:t>A younger person who has registered with these services on or before 31 October but is yet to register with My Aged Care is still considered to have commenced an assessment process so will still be eligible to receive an assessment. The AFA and NDIA reports will clearly document the date on which the younger person commenced registration with the service.</w:t>
      </w:r>
    </w:p>
    <w:p w14:paraId="6D79BAA2" w14:textId="77777777" w:rsidR="00E656BE" w:rsidRPr="000F6CD1" w:rsidRDefault="00E656BE" w:rsidP="0003231B">
      <w:pPr>
        <w:pStyle w:val="H4"/>
      </w:pPr>
      <w:r w:rsidRPr="000F6CD1">
        <w:lastRenderedPageBreak/>
        <w:t>Younger people who are new aged care clients as of 1 November 2025</w:t>
      </w:r>
    </w:p>
    <w:p w14:paraId="71F9C771" w14:textId="14C54315" w:rsidR="00E656BE" w:rsidRPr="000F6CD1" w:rsidRDefault="000E5A32" w:rsidP="00BE4CF4">
      <w:pPr>
        <w:spacing w:before="240" w:after="240" w:line="240" w:lineRule="auto"/>
      </w:pPr>
      <w:r w:rsidRPr="000F6CD1">
        <w:t xml:space="preserve">Since </w:t>
      </w:r>
      <w:r w:rsidR="00E656BE" w:rsidRPr="000F6CD1">
        <w:t>1 November</w:t>
      </w:r>
      <w:r w:rsidRPr="000F6CD1">
        <w:t xml:space="preserve"> 202</w:t>
      </w:r>
      <w:r w:rsidR="00EA4CD9" w:rsidRPr="000F6CD1">
        <w:t>5</w:t>
      </w:r>
      <w:r w:rsidR="00E656BE" w:rsidRPr="000F6CD1">
        <w:t>, if a person aged under 65 (who is not Aboriginal and Torres Strait Islander, homeless or at risk of homelessness and aged 50+) has not</w:t>
      </w:r>
      <w:r w:rsidR="00E656BE" w:rsidRPr="000F6CD1">
        <w:rPr>
          <w:b/>
        </w:rPr>
        <w:t xml:space="preserve"> </w:t>
      </w:r>
      <w:r w:rsidR="00E656BE" w:rsidRPr="000F6CD1">
        <w:t>commenced the process of applying for aged care services (including registering with AFA or the NDIA YPIRAC team), they are not eligible for an assessment for aged care services.</w:t>
      </w:r>
    </w:p>
    <w:p w14:paraId="083ABEAE" w14:textId="3E4D58F3" w:rsidR="00005C08" w:rsidRPr="000F6CD1" w:rsidRDefault="00005C08" w:rsidP="006647CE">
      <w:pPr>
        <w:pStyle w:val="h2"/>
      </w:pPr>
      <w:bookmarkStart w:id="71" w:name="_Toc209188940"/>
      <w:bookmarkStart w:id="72" w:name="_Toc233282407"/>
      <w:r w:rsidRPr="000F6CD1">
        <w:t xml:space="preserve">Aged Care Service </w:t>
      </w:r>
      <w:r w:rsidR="00957BE9" w:rsidRPr="000F6CD1">
        <w:t>L</w:t>
      </w:r>
      <w:r w:rsidRPr="000F6CD1">
        <w:t>ist</w:t>
      </w:r>
      <w:bookmarkEnd w:id="60"/>
      <w:bookmarkEnd w:id="71"/>
      <w:bookmarkEnd w:id="72"/>
      <w:r w:rsidRPr="000F6CD1">
        <w:t xml:space="preserve"> </w:t>
      </w:r>
      <w:bookmarkEnd w:id="56"/>
    </w:p>
    <w:bookmarkEnd w:id="57"/>
    <w:p w14:paraId="491280A7" w14:textId="6837F974" w:rsidR="00540A0E" w:rsidRPr="000F6CD1" w:rsidRDefault="001C5120" w:rsidP="008E6691">
      <w:pPr>
        <w:spacing w:before="240" w:after="240" w:line="240" w:lineRule="auto"/>
      </w:pPr>
      <w:r w:rsidRPr="000F6CD1">
        <w:t xml:space="preserve">The Act provides for the delivery of funded aged care services to individuals under the </w:t>
      </w:r>
      <w:r w:rsidR="00C0341C" w:rsidRPr="000F6CD1">
        <w:t xml:space="preserve">Australian </w:t>
      </w:r>
      <w:r w:rsidRPr="000F6CD1">
        <w:t xml:space="preserve">aged care system. Section 8 of the Act states the </w:t>
      </w:r>
      <w:r w:rsidRPr="000F6CD1">
        <w:rPr>
          <w:i/>
          <w:iCs/>
        </w:rPr>
        <w:t>Aged Care Rules 2025</w:t>
      </w:r>
      <w:r w:rsidRPr="000F6CD1">
        <w:t xml:space="preserve"> must prescribe a list of services for which funding may be payable under the Act. </w:t>
      </w:r>
    </w:p>
    <w:p w14:paraId="33660BA3" w14:textId="628951C3" w:rsidR="001C5120" w:rsidRPr="000F6CD1" w:rsidRDefault="001C5120" w:rsidP="008E6691">
      <w:pPr>
        <w:spacing w:before="240" w:after="240" w:line="240" w:lineRule="auto"/>
      </w:pPr>
      <w:r w:rsidRPr="000F6CD1">
        <w:t xml:space="preserve">The </w:t>
      </w:r>
      <w:r w:rsidRPr="000F6CD1">
        <w:rPr>
          <w:i/>
          <w:iCs/>
        </w:rPr>
        <w:t xml:space="preserve">Aged Care Rules 2025 </w:t>
      </w:r>
      <w:r w:rsidRPr="000F6CD1">
        <w:t>lists and describes each service and specifies the service group and the service type it is in.</w:t>
      </w:r>
    </w:p>
    <w:p w14:paraId="3B949A06" w14:textId="254AD102" w:rsidR="00004E43" w:rsidRPr="000F6CD1" w:rsidRDefault="00004E43" w:rsidP="008E6691">
      <w:pPr>
        <w:spacing w:before="240" w:after="240" w:line="240" w:lineRule="auto"/>
      </w:pPr>
      <w:r w:rsidRPr="000F6CD1">
        <w:t xml:space="preserve">The Aged Care Service List divides the funded aged care services into a variety of </w:t>
      </w:r>
      <w:r w:rsidRPr="000F6CD1">
        <w:rPr>
          <w:b/>
        </w:rPr>
        <w:t>service types</w:t>
      </w:r>
      <w:r w:rsidRPr="000F6CD1">
        <w:t xml:space="preserve">. The </w:t>
      </w:r>
      <w:r w:rsidRPr="000F6CD1">
        <w:rPr>
          <w:b/>
          <w:bCs/>
        </w:rPr>
        <w:t>services</w:t>
      </w:r>
      <w:r w:rsidRPr="000F6CD1">
        <w:t xml:space="preserve"> within a service type are to be delivered by registered providers through </w:t>
      </w:r>
      <w:r w:rsidRPr="000F6CD1">
        <w:rPr>
          <w:b/>
          <w:bCs/>
        </w:rPr>
        <w:t>service groups</w:t>
      </w:r>
      <w:r w:rsidRPr="000F6CD1">
        <w:t xml:space="preserve">. </w:t>
      </w:r>
    </w:p>
    <w:p w14:paraId="37D9E498" w14:textId="77777777" w:rsidR="007B68D3" w:rsidRPr="000F6CD1" w:rsidRDefault="007B68D3" w:rsidP="008E6691">
      <w:pPr>
        <w:spacing w:before="240" w:after="240" w:line="240" w:lineRule="auto"/>
      </w:pPr>
      <w:r w:rsidRPr="000F6CD1">
        <w:t>The Aged Care Service List provides a clear reference for registered providers, funding authorities, and regulatory bodies, ensuring consistency and transparency in aged care service delivery.</w:t>
      </w:r>
    </w:p>
    <w:p w14:paraId="1EC31721" w14:textId="77777777" w:rsidR="00005C08" w:rsidRPr="000F6CD1" w:rsidRDefault="00005C08" w:rsidP="008E6691">
      <w:pPr>
        <w:spacing w:before="240" w:after="240" w:line="240" w:lineRule="auto"/>
      </w:pPr>
      <w:r w:rsidRPr="000F6CD1">
        <w:rPr>
          <w:b/>
          <w:bCs/>
        </w:rPr>
        <w:t>The Aged Care Service List serves several key functions:</w:t>
      </w:r>
    </w:p>
    <w:p w14:paraId="3D5B0256" w14:textId="77777777" w:rsidR="00005C08" w:rsidRPr="000F6CD1" w:rsidRDefault="00005C08" w:rsidP="008E6691">
      <w:pPr>
        <w:pStyle w:val="ListParagraph"/>
        <w:numPr>
          <w:ilvl w:val="0"/>
          <w:numId w:val="7"/>
        </w:numPr>
        <w:spacing w:before="240" w:after="240" w:line="240" w:lineRule="auto"/>
      </w:pPr>
      <w:r w:rsidRPr="000F6CD1">
        <w:rPr>
          <w:b/>
          <w:bCs/>
        </w:rPr>
        <w:t>Defining Funded Services:</w:t>
      </w:r>
      <w:r w:rsidRPr="000F6CD1">
        <w:t> The list specifies which aged care services qualify for government funding, ensuring clarity for registered providers and older people.</w:t>
      </w:r>
    </w:p>
    <w:p w14:paraId="677583AB" w14:textId="77777777" w:rsidR="00005C08" w:rsidRPr="000F6CD1" w:rsidRDefault="00005C08" w:rsidP="008E6691">
      <w:pPr>
        <w:pStyle w:val="ListParagraph"/>
        <w:numPr>
          <w:ilvl w:val="0"/>
          <w:numId w:val="7"/>
        </w:numPr>
        <w:spacing w:before="240" w:after="240" w:line="240" w:lineRule="auto"/>
      </w:pPr>
      <w:r w:rsidRPr="000F6CD1">
        <w:rPr>
          <w:b/>
          <w:bCs/>
        </w:rPr>
        <w:t>Service Categorisation:</w:t>
      </w:r>
      <w:r w:rsidRPr="000F6CD1">
        <w:t> Services are grouped under various service types and are delivered under the different service groups.</w:t>
      </w:r>
    </w:p>
    <w:p w14:paraId="202E3672" w14:textId="77777777" w:rsidR="004F5632" w:rsidRPr="000F6CD1" w:rsidRDefault="004F5632" w:rsidP="008E6691">
      <w:pPr>
        <w:pStyle w:val="ListParagraph"/>
        <w:numPr>
          <w:ilvl w:val="0"/>
          <w:numId w:val="7"/>
        </w:numPr>
        <w:spacing w:before="240" w:after="240" w:line="240" w:lineRule="auto"/>
      </w:pPr>
      <w:r w:rsidRPr="000F6CD1">
        <w:rPr>
          <w:b/>
          <w:bCs/>
        </w:rPr>
        <w:t>Regulatory Compliance:</w:t>
      </w:r>
      <w:r w:rsidRPr="000F6CD1">
        <w:t> The list supports oversight by ensuring that only registered providers (or associated providers of those registered providers) can deliver funded aged care services listed under the service list, in alignment with the Act’s broader regulatory framework.</w:t>
      </w:r>
    </w:p>
    <w:p w14:paraId="69DA0AFE" w14:textId="43D13731" w:rsidR="00005C08" w:rsidRPr="000F6CD1" w:rsidRDefault="005373B9" w:rsidP="008E6691">
      <w:pPr>
        <w:spacing w:before="240" w:after="240" w:line="240" w:lineRule="auto"/>
      </w:pPr>
      <w:r w:rsidRPr="000F6CD1">
        <w:t>It</w:t>
      </w:r>
      <w:r w:rsidR="00005C08" w:rsidRPr="000F6CD1">
        <w:t xml:space="preserve"> is important </w:t>
      </w:r>
      <w:r w:rsidRPr="000F6CD1">
        <w:t xml:space="preserve">for assessment delegates </w:t>
      </w:r>
      <w:r w:rsidR="00005C08" w:rsidRPr="000F6CD1">
        <w:t>to understand the different types of funded aged care services that require approval under the Act, as well as the specific responsibilities and limitations involved in approving each service, service type and service group.</w:t>
      </w:r>
    </w:p>
    <w:p w14:paraId="6CE49913" w14:textId="6A6B5F53" w:rsidR="00005C08" w:rsidRPr="000F6CD1" w:rsidRDefault="00005C08" w:rsidP="006647CE">
      <w:pPr>
        <w:pStyle w:val="h2"/>
      </w:pPr>
      <w:bookmarkStart w:id="73" w:name="_Toc198787128"/>
      <w:bookmarkStart w:id="74" w:name="_Toc14435547"/>
      <w:bookmarkStart w:id="75" w:name="_Toc199344496"/>
      <w:bookmarkStart w:id="76" w:name="_Toc199418554"/>
      <w:bookmarkStart w:id="77" w:name="_Toc199420947"/>
      <w:bookmarkStart w:id="78" w:name="_Toc207291868"/>
      <w:bookmarkStart w:id="79" w:name="_Toc209188941"/>
      <w:bookmarkStart w:id="80" w:name="_Toc233282408"/>
      <w:r w:rsidRPr="000F6CD1">
        <w:t>Service groups</w:t>
      </w:r>
      <w:bookmarkEnd w:id="73"/>
      <w:bookmarkEnd w:id="74"/>
      <w:bookmarkEnd w:id="75"/>
      <w:bookmarkEnd w:id="76"/>
      <w:bookmarkEnd w:id="77"/>
      <w:bookmarkEnd w:id="78"/>
      <w:bookmarkEnd w:id="79"/>
      <w:bookmarkEnd w:id="80"/>
    </w:p>
    <w:p w14:paraId="18D14FD6" w14:textId="293C4E19" w:rsidR="00005C08" w:rsidRPr="000F6CD1" w:rsidRDefault="00005C08" w:rsidP="008E6691">
      <w:pPr>
        <w:spacing w:before="240" w:after="240" w:line="240" w:lineRule="auto"/>
      </w:pPr>
      <w:r w:rsidRPr="000F6CD1">
        <w:t>Funded aged care services are categorised into </w:t>
      </w:r>
      <w:r w:rsidRPr="000F6CD1">
        <w:rPr>
          <w:b/>
          <w:bCs/>
        </w:rPr>
        <w:t>four service groups</w:t>
      </w:r>
      <w:r w:rsidRPr="000F6CD1">
        <w:t xml:space="preserve">, which specify the setting and nature of care an individual can access. </w:t>
      </w:r>
    </w:p>
    <w:p w14:paraId="58D2C780" w14:textId="7E81760B" w:rsidR="00005C08" w:rsidRPr="000F6CD1" w:rsidRDefault="00AB3582" w:rsidP="00AB3582">
      <w:r>
        <w:br w:type="page"/>
      </w:r>
    </w:p>
    <w:p w14:paraId="65E3C126" w14:textId="26A20643" w:rsidR="00767863" w:rsidRPr="000F6CD1" w:rsidRDefault="00767863" w:rsidP="008E6691">
      <w:pPr>
        <w:pStyle w:val="Caption"/>
        <w:spacing w:before="240" w:after="240"/>
      </w:pPr>
      <w:r w:rsidRPr="000F6CD1">
        <w:lastRenderedPageBreak/>
        <w:t xml:space="preserve">Table </w:t>
      </w:r>
      <w:r w:rsidR="00D35293" w:rsidRPr="000F6CD1">
        <w:t>3</w:t>
      </w:r>
      <w:r w:rsidRPr="000F6CD1">
        <w:t xml:space="preserve">: </w:t>
      </w:r>
      <w:r w:rsidR="001E266D" w:rsidRPr="000F6CD1">
        <w:t>Detail of the four service groups for funded aged care services</w:t>
      </w:r>
    </w:p>
    <w:tbl>
      <w:tblPr>
        <w:tblStyle w:val="TableGrid"/>
        <w:tblW w:w="0" w:type="auto"/>
        <w:tblBorders>
          <w:bottom w:val="single" w:sz="4" w:space="0" w:color="auto"/>
          <w:insideH w:val="single" w:sz="4" w:space="0" w:color="auto"/>
        </w:tblBorders>
        <w:tblLook w:val="04A0" w:firstRow="1" w:lastRow="0" w:firstColumn="1" w:lastColumn="0" w:noHBand="0" w:noVBand="1"/>
        <w:tblCaption w:val="Setting and nature of service groups under Aged Care Act 2024"/>
        <w:tblDescription w:val="Overview of the four service groups under the Aged Care Act 2024 and their corresponding setting and nature"/>
      </w:tblPr>
      <w:tblGrid>
        <w:gridCol w:w="2263"/>
        <w:gridCol w:w="6753"/>
      </w:tblGrid>
      <w:tr w:rsidR="00005C08" w:rsidRPr="000F6CD1" w14:paraId="0CF47EDF" w14:textId="77777777" w:rsidTr="004E2C29">
        <w:trPr>
          <w:tblHeader/>
        </w:trPr>
        <w:tc>
          <w:tcPr>
            <w:tcW w:w="2263" w:type="dxa"/>
            <w:shd w:val="clear" w:color="auto" w:fill="002060"/>
          </w:tcPr>
          <w:p w14:paraId="30F087CE" w14:textId="77777777" w:rsidR="00005C08" w:rsidRPr="000F6CD1" w:rsidRDefault="00005C08" w:rsidP="008E6691">
            <w:pPr>
              <w:spacing w:before="240" w:after="240"/>
              <w:rPr>
                <w:b/>
                <w:bCs/>
                <w:color w:val="FFFFFF" w:themeColor="background1"/>
              </w:rPr>
            </w:pPr>
            <w:r w:rsidRPr="000F6CD1">
              <w:rPr>
                <w:b/>
                <w:bCs/>
                <w:color w:val="FFFFFF" w:themeColor="background1"/>
              </w:rPr>
              <w:t>Service Group</w:t>
            </w:r>
          </w:p>
          <w:p w14:paraId="1696B31E" w14:textId="77777777" w:rsidR="00005C08" w:rsidRPr="000F6CD1" w:rsidRDefault="00005C08" w:rsidP="008E6691">
            <w:pPr>
              <w:spacing w:before="240" w:after="240"/>
              <w:rPr>
                <w:b/>
                <w:bCs/>
                <w:color w:val="FFFFFF" w:themeColor="background1"/>
              </w:rPr>
            </w:pPr>
          </w:p>
        </w:tc>
        <w:tc>
          <w:tcPr>
            <w:tcW w:w="6753" w:type="dxa"/>
            <w:shd w:val="clear" w:color="auto" w:fill="002060"/>
          </w:tcPr>
          <w:p w14:paraId="2E62521A" w14:textId="77777777" w:rsidR="00005C08" w:rsidRPr="000F6CD1" w:rsidRDefault="00005C08" w:rsidP="008E6691">
            <w:pPr>
              <w:spacing w:before="240" w:after="240"/>
              <w:rPr>
                <w:b/>
                <w:bCs/>
                <w:color w:val="FFFFFF" w:themeColor="background1"/>
              </w:rPr>
            </w:pPr>
            <w:r w:rsidRPr="000F6CD1">
              <w:rPr>
                <w:b/>
                <w:bCs/>
                <w:color w:val="FFFFFF" w:themeColor="background1"/>
              </w:rPr>
              <w:t>Setting and nature</w:t>
            </w:r>
          </w:p>
        </w:tc>
      </w:tr>
      <w:tr w:rsidR="00005C08" w:rsidRPr="000F6CD1" w14:paraId="745A133B" w14:textId="77777777" w:rsidTr="004E2C29">
        <w:tc>
          <w:tcPr>
            <w:tcW w:w="2263" w:type="dxa"/>
            <w:shd w:val="clear" w:color="auto" w:fill="002060"/>
          </w:tcPr>
          <w:p w14:paraId="1AB3F92C" w14:textId="0ED0E0DC" w:rsidR="00005C08" w:rsidRPr="000F6CD1" w:rsidRDefault="00005C08" w:rsidP="008E6691">
            <w:pPr>
              <w:spacing w:before="240" w:after="240"/>
              <w:rPr>
                <w:b/>
                <w:bCs/>
              </w:rPr>
            </w:pPr>
            <w:r w:rsidRPr="000F6CD1">
              <w:rPr>
                <w:b/>
                <w:bCs/>
              </w:rPr>
              <w:t>Home Support</w:t>
            </w:r>
          </w:p>
          <w:p w14:paraId="056ABD64" w14:textId="77777777" w:rsidR="00005C08" w:rsidRPr="000F6CD1" w:rsidRDefault="00005C08" w:rsidP="008E6691">
            <w:pPr>
              <w:spacing w:before="240" w:after="240"/>
              <w:rPr>
                <w:b/>
                <w:bCs/>
              </w:rPr>
            </w:pPr>
          </w:p>
        </w:tc>
        <w:tc>
          <w:tcPr>
            <w:tcW w:w="6753" w:type="dxa"/>
          </w:tcPr>
          <w:p w14:paraId="6AF065D7" w14:textId="77777777" w:rsidR="00005C08" w:rsidRPr="000F6CD1" w:rsidRDefault="00005C08" w:rsidP="008E6691">
            <w:pPr>
              <w:numPr>
                <w:ilvl w:val="0"/>
                <w:numId w:val="8"/>
              </w:numPr>
              <w:spacing w:before="240" w:after="240"/>
            </w:pPr>
            <w:r w:rsidRPr="000F6CD1">
              <w:t>Designed to assist older people in remaining independent at home.</w:t>
            </w:r>
          </w:p>
          <w:p w14:paraId="237FD202" w14:textId="77777777" w:rsidR="00005C08" w:rsidRPr="000F6CD1" w:rsidRDefault="00005C08" w:rsidP="008E6691">
            <w:pPr>
              <w:numPr>
                <w:ilvl w:val="0"/>
                <w:numId w:val="8"/>
              </w:numPr>
              <w:spacing w:before="240" w:after="240"/>
            </w:pPr>
            <w:r w:rsidRPr="000F6CD1">
              <w:t>Includes service types such as personal care, domestic assistance, social support, meals.</w:t>
            </w:r>
          </w:p>
          <w:p w14:paraId="49E86AE8" w14:textId="17D963CB" w:rsidR="00005C08" w:rsidRPr="000F6CD1" w:rsidRDefault="00005C08" w:rsidP="00EA4CD9">
            <w:pPr>
              <w:numPr>
                <w:ilvl w:val="0"/>
                <w:numId w:val="8"/>
              </w:numPr>
              <w:spacing w:before="240" w:after="240"/>
            </w:pPr>
            <w:r w:rsidRPr="000F6CD1">
              <w:t>Must be delivered in a home or community setting.</w:t>
            </w:r>
          </w:p>
        </w:tc>
      </w:tr>
      <w:tr w:rsidR="00005C08" w:rsidRPr="000F6CD1" w14:paraId="2B89E740" w14:textId="77777777" w:rsidTr="004E2C29">
        <w:tc>
          <w:tcPr>
            <w:tcW w:w="2263" w:type="dxa"/>
            <w:shd w:val="clear" w:color="auto" w:fill="002060"/>
          </w:tcPr>
          <w:p w14:paraId="3EA0AD2E" w14:textId="77777777" w:rsidR="00005C08" w:rsidRPr="000F6CD1" w:rsidRDefault="00005C08" w:rsidP="008E6691">
            <w:pPr>
              <w:spacing w:before="240" w:after="240"/>
              <w:rPr>
                <w:b/>
                <w:bCs/>
              </w:rPr>
            </w:pPr>
            <w:r w:rsidRPr="000F6CD1">
              <w:rPr>
                <w:b/>
                <w:bCs/>
              </w:rPr>
              <w:t>Residential Care</w:t>
            </w:r>
          </w:p>
          <w:p w14:paraId="3520832C" w14:textId="77777777" w:rsidR="00005C08" w:rsidRPr="000F6CD1" w:rsidRDefault="00005C08" w:rsidP="008E6691">
            <w:pPr>
              <w:spacing w:before="240" w:after="240"/>
              <w:rPr>
                <w:b/>
                <w:bCs/>
              </w:rPr>
            </w:pPr>
          </w:p>
        </w:tc>
        <w:tc>
          <w:tcPr>
            <w:tcW w:w="6753" w:type="dxa"/>
          </w:tcPr>
          <w:p w14:paraId="3B54F112" w14:textId="4B974F1A" w:rsidR="00005C08" w:rsidRPr="000F6CD1" w:rsidRDefault="00005C08" w:rsidP="008E6691">
            <w:pPr>
              <w:numPr>
                <w:ilvl w:val="0"/>
                <w:numId w:val="8"/>
              </w:numPr>
              <w:spacing w:before="240" w:after="240"/>
            </w:pPr>
            <w:r w:rsidRPr="000F6CD1">
              <w:t>Provides 24</w:t>
            </w:r>
            <w:r w:rsidR="00290B22" w:rsidRPr="000F6CD1">
              <w:t>-</w:t>
            </w:r>
            <w:r w:rsidRPr="000F6CD1">
              <w:t>hour support for individuals with high or complex care needs.</w:t>
            </w:r>
          </w:p>
          <w:p w14:paraId="44B12152" w14:textId="77777777" w:rsidR="00005C08" w:rsidRPr="000F6CD1" w:rsidRDefault="00005C08" w:rsidP="008E6691">
            <w:pPr>
              <w:numPr>
                <w:ilvl w:val="0"/>
                <w:numId w:val="8"/>
              </w:numPr>
              <w:spacing w:before="240" w:after="240"/>
            </w:pPr>
            <w:r w:rsidRPr="000F6CD1">
              <w:t>Includes ongoing (permanent) and short-term (respite) classification types</w:t>
            </w:r>
          </w:p>
          <w:p w14:paraId="5A582233" w14:textId="77777777" w:rsidR="00005C08" w:rsidRPr="000F6CD1" w:rsidRDefault="00005C08" w:rsidP="008E6691">
            <w:pPr>
              <w:numPr>
                <w:ilvl w:val="0"/>
                <w:numId w:val="8"/>
              </w:numPr>
              <w:spacing w:before="240" w:after="240"/>
            </w:pPr>
            <w:r w:rsidRPr="000F6CD1">
              <w:t xml:space="preserve">Includes: </w:t>
            </w:r>
          </w:p>
          <w:p w14:paraId="0224EF73" w14:textId="77777777" w:rsidR="00005C08" w:rsidRPr="000F6CD1" w:rsidRDefault="00005C08" w:rsidP="008E6691">
            <w:pPr>
              <w:spacing w:before="240" w:after="240"/>
              <w:ind w:left="720"/>
            </w:pPr>
            <w:r w:rsidRPr="000F6CD1">
              <w:t>Personal Care: Assistance with daily activities like bathing, dressing, eating, and mobility.</w:t>
            </w:r>
          </w:p>
          <w:p w14:paraId="5E02B7FD" w14:textId="525A86BA" w:rsidR="00005C08" w:rsidRPr="000F6CD1" w:rsidRDefault="00B263B4" w:rsidP="008E6691">
            <w:pPr>
              <w:spacing w:before="240" w:after="240"/>
              <w:ind w:left="720"/>
            </w:pPr>
            <w:r w:rsidRPr="000F6CD1">
              <w:t xml:space="preserve">Clinical </w:t>
            </w:r>
            <w:r w:rsidR="00005C08" w:rsidRPr="000F6CD1">
              <w:t>Care: Access to nursing care, medication management, and sometimes allied health services.</w:t>
            </w:r>
          </w:p>
          <w:p w14:paraId="29593B02" w14:textId="168279D3" w:rsidR="00005C08" w:rsidRPr="000F6CD1" w:rsidRDefault="00005C08" w:rsidP="008E6691">
            <w:pPr>
              <w:spacing w:before="240" w:after="240"/>
              <w:ind w:left="720"/>
            </w:pPr>
            <w:r w:rsidRPr="000F6CD1">
              <w:t xml:space="preserve">Social Support: Opportunities for social interaction, </w:t>
            </w:r>
            <w:r w:rsidR="00CB3DC9" w:rsidRPr="000F6CD1">
              <w:t xml:space="preserve">emotional support, </w:t>
            </w:r>
            <w:r w:rsidRPr="000F6CD1">
              <w:t>recreational activities, and community engagement.</w:t>
            </w:r>
          </w:p>
          <w:p w14:paraId="5F397AE4" w14:textId="77777777" w:rsidR="00005C08" w:rsidRPr="000F6CD1" w:rsidRDefault="00005C08" w:rsidP="008E6691">
            <w:pPr>
              <w:spacing w:before="240" w:after="240"/>
              <w:ind w:left="720"/>
            </w:pPr>
            <w:r w:rsidRPr="000F6CD1">
              <w:t>Safety and Supervision: Staff are available around the clock to ensure residents' safety and respond to emergencies.</w:t>
            </w:r>
          </w:p>
          <w:p w14:paraId="2FBAC7A6" w14:textId="0DB66F39" w:rsidR="00005C08" w:rsidRPr="000F6CD1" w:rsidRDefault="00005C08" w:rsidP="00EA4CD9">
            <w:pPr>
              <w:numPr>
                <w:ilvl w:val="0"/>
                <w:numId w:val="8"/>
              </w:numPr>
              <w:spacing w:before="240" w:after="240"/>
            </w:pPr>
            <w:r w:rsidRPr="000F6CD1">
              <w:t>Must be delivered in an approved residential care home.</w:t>
            </w:r>
          </w:p>
        </w:tc>
      </w:tr>
      <w:tr w:rsidR="00005C08" w:rsidRPr="000F6CD1" w14:paraId="05EA8020" w14:textId="77777777" w:rsidTr="004E2C29">
        <w:tc>
          <w:tcPr>
            <w:tcW w:w="2263" w:type="dxa"/>
            <w:shd w:val="clear" w:color="auto" w:fill="002060"/>
          </w:tcPr>
          <w:p w14:paraId="647941B6" w14:textId="77777777" w:rsidR="00005C08" w:rsidRPr="000F6CD1" w:rsidRDefault="00005C08" w:rsidP="008E6691">
            <w:pPr>
              <w:spacing w:before="240" w:after="240"/>
              <w:rPr>
                <w:b/>
                <w:bCs/>
              </w:rPr>
            </w:pPr>
            <w:r w:rsidRPr="000F6CD1">
              <w:rPr>
                <w:b/>
                <w:bCs/>
              </w:rPr>
              <w:t>Assistive technology</w:t>
            </w:r>
          </w:p>
          <w:p w14:paraId="1ADADD8D" w14:textId="77777777" w:rsidR="00005C08" w:rsidRPr="000F6CD1" w:rsidRDefault="00005C08" w:rsidP="008E6691">
            <w:pPr>
              <w:spacing w:before="240" w:after="240"/>
              <w:rPr>
                <w:b/>
                <w:bCs/>
              </w:rPr>
            </w:pPr>
          </w:p>
        </w:tc>
        <w:tc>
          <w:tcPr>
            <w:tcW w:w="6753" w:type="dxa"/>
          </w:tcPr>
          <w:p w14:paraId="59723C6B" w14:textId="77777777" w:rsidR="00005C08" w:rsidRPr="000F6CD1" w:rsidRDefault="00005C08" w:rsidP="008E6691">
            <w:pPr>
              <w:numPr>
                <w:ilvl w:val="0"/>
                <w:numId w:val="8"/>
              </w:numPr>
              <w:spacing w:before="240" w:after="240"/>
            </w:pPr>
            <w:r w:rsidRPr="000F6CD1">
              <w:t>Covers equipment and products that enable or enhance independence.</w:t>
            </w:r>
          </w:p>
          <w:p w14:paraId="20FBC2B0" w14:textId="0166F8EB" w:rsidR="00005C08" w:rsidRPr="000F6CD1" w:rsidRDefault="00005C08" w:rsidP="008E6691">
            <w:pPr>
              <w:numPr>
                <w:ilvl w:val="0"/>
                <w:numId w:val="8"/>
              </w:numPr>
              <w:spacing w:before="240" w:after="240"/>
            </w:pPr>
            <w:r w:rsidRPr="000F6CD1">
              <w:t xml:space="preserve">Examples include walking frames, </w:t>
            </w:r>
            <w:r w:rsidR="1CA162F3" w:rsidRPr="000F6CD1">
              <w:t>shower chairs</w:t>
            </w:r>
            <w:r w:rsidRPr="000F6CD1">
              <w:t>, communication devices</w:t>
            </w:r>
            <w:r w:rsidR="00B3356C" w:rsidRPr="000F6CD1">
              <w:t xml:space="preserve"> </w:t>
            </w:r>
          </w:p>
          <w:p w14:paraId="0E84B8AE" w14:textId="2747B72A" w:rsidR="00005C08" w:rsidRPr="000F6CD1" w:rsidRDefault="22969077" w:rsidP="008E6691">
            <w:pPr>
              <w:numPr>
                <w:ilvl w:val="0"/>
                <w:numId w:val="8"/>
              </w:numPr>
              <w:spacing w:before="240" w:after="240"/>
            </w:pPr>
            <w:r w:rsidRPr="000F6CD1">
              <w:t xml:space="preserve">AT ongoing - </w:t>
            </w:r>
            <w:r w:rsidR="01A11C1B" w:rsidRPr="000F6CD1">
              <w:t xml:space="preserve">specified need – </w:t>
            </w:r>
            <w:r w:rsidR="00905CEC" w:rsidRPr="000F6CD1">
              <w:t xml:space="preserve">assistance </w:t>
            </w:r>
            <w:r w:rsidR="01A11C1B" w:rsidRPr="000F6CD1">
              <w:t>dogs (</w:t>
            </w:r>
            <w:r w:rsidR="5F3B5170" w:rsidRPr="000F6CD1">
              <w:t>maintenance</w:t>
            </w:r>
            <w:r w:rsidR="01A11C1B" w:rsidRPr="000F6CD1">
              <w:t xml:space="preserve">) </w:t>
            </w:r>
            <w:r w:rsidR="000273DC" w:rsidRPr="000F6CD1">
              <w:t>(AT-HM scheme only)</w:t>
            </w:r>
          </w:p>
          <w:p w14:paraId="635D1B3B" w14:textId="0D81CAFF" w:rsidR="00005C08" w:rsidRPr="000F6CD1" w:rsidRDefault="00005C08" w:rsidP="00EA4CD9">
            <w:pPr>
              <w:numPr>
                <w:ilvl w:val="0"/>
                <w:numId w:val="8"/>
              </w:numPr>
              <w:spacing w:before="240" w:after="240"/>
            </w:pPr>
            <w:r w:rsidRPr="000F6CD1">
              <w:t>Must be delivered in a home or community setting.</w:t>
            </w:r>
          </w:p>
        </w:tc>
      </w:tr>
      <w:tr w:rsidR="00005C08" w:rsidRPr="000F6CD1" w14:paraId="3E26EEC6" w14:textId="77777777" w:rsidTr="004E2C29">
        <w:tc>
          <w:tcPr>
            <w:tcW w:w="2263" w:type="dxa"/>
            <w:shd w:val="clear" w:color="auto" w:fill="002060"/>
          </w:tcPr>
          <w:p w14:paraId="10420F5D" w14:textId="77777777" w:rsidR="00005C08" w:rsidRPr="000F6CD1" w:rsidRDefault="00005C08" w:rsidP="008E6691">
            <w:pPr>
              <w:spacing w:before="240" w:after="240"/>
              <w:rPr>
                <w:b/>
                <w:bCs/>
              </w:rPr>
            </w:pPr>
            <w:r w:rsidRPr="000F6CD1">
              <w:rPr>
                <w:b/>
                <w:bCs/>
              </w:rPr>
              <w:lastRenderedPageBreak/>
              <w:t>Home modifications</w:t>
            </w:r>
          </w:p>
          <w:p w14:paraId="51541E0D" w14:textId="77777777" w:rsidR="00005C08" w:rsidRPr="000F6CD1" w:rsidRDefault="00005C08" w:rsidP="008E6691">
            <w:pPr>
              <w:spacing w:before="240" w:after="240"/>
              <w:rPr>
                <w:b/>
                <w:bCs/>
              </w:rPr>
            </w:pPr>
          </w:p>
        </w:tc>
        <w:tc>
          <w:tcPr>
            <w:tcW w:w="6753" w:type="dxa"/>
          </w:tcPr>
          <w:p w14:paraId="2311CC90" w14:textId="77777777" w:rsidR="00005C08" w:rsidRPr="000F6CD1" w:rsidRDefault="00005C08" w:rsidP="008E6691">
            <w:pPr>
              <w:numPr>
                <w:ilvl w:val="0"/>
                <w:numId w:val="8"/>
              </w:numPr>
              <w:spacing w:before="240" w:after="240"/>
            </w:pPr>
            <w:r w:rsidRPr="000F6CD1">
              <w:t>Adjustments made to a person’s home environment to enhance safety and accessibility.</w:t>
            </w:r>
          </w:p>
          <w:p w14:paraId="7CE1831B" w14:textId="77777777" w:rsidR="00005C08" w:rsidRPr="000F6CD1" w:rsidRDefault="00005C08" w:rsidP="008E6691">
            <w:pPr>
              <w:numPr>
                <w:ilvl w:val="0"/>
                <w:numId w:val="8"/>
              </w:numPr>
              <w:spacing w:before="240" w:after="240"/>
            </w:pPr>
            <w:r w:rsidRPr="000F6CD1">
              <w:t>Includes ra</w:t>
            </w:r>
            <w:r w:rsidRPr="000F6CD1" w:rsidDel="005834F3">
              <w:t>mps</w:t>
            </w:r>
            <w:r w:rsidRPr="000F6CD1">
              <w:t>, handrails, bathroom modifications, and similar adaptations.</w:t>
            </w:r>
          </w:p>
          <w:p w14:paraId="726F97FE" w14:textId="77777777" w:rsidR="00005C08" w:rsidRPr="000F6CD1" w:rsidRDefault="00005C08" w:rsidP="008E6691">
            <w:pPr>
              <w:numPr>
                <w:ilvl w:val="0"/>
                <w:numId w:val="8"/>
              </w:numPr>
              <w:spacing w:before="240" w:after="240"/>
            </w:pPr>
            <w:r w:rsidRPr="000F6CD1">
              <w:t>Must be delivered in a home or community setting</w:t>
            </w:r>
          </w:p>
        </w:tc>
      </w:tr>
    </w:tbl>
    <w:p w14:paraId="324772B3" w14:textId="52C46A1B" w:rsidR="00547551" w:rsidRPr="000F6CD1" w:rsidRDefault="000072EC" w:rsidP="00806A21">
      <w:pPr>
        <w:pStyle w:val="Sub-headings"/>
      </w:pPr>
      <w:r w:rsidRPr="000F6CD1">
        <w:t>Note</w:t>
      </w:r>
      <w:r w:rsidR="005550FF" w:rsidRPr="000F6CD1">
        <w:t>:</w:t>
      </w:r>
      <w:r w:rsidRPr="000F6CD1">
        <w:t xml:space="preserve"> </w:t>
      </w:r>
    </w:p>
    <w:p w14:paraId="645F94B9" w14:textId="0B255556" w:rsidR="00005C08" w:rsidRPr="000F6CD1" w:rsidRDefault="00005C08" w:rsidP="00806A21">
      <w:pPr>
        <w:pStyle w:val="Sub-headings"/>
      </w:pPr>
      <w:r w:rsidRPr="000F6CD1">
        <w:t>Section 10 of the Act</w:t>
      </w:r>
      <w:r w:rsidRPr="000F6CD1">
        <w:rPr>
          <w:i/>
        </w:rPr>
        <w:t xml:space="preserve"> </w:t>
      </w:r>
      <w:r w:rsidRPr="000F6CD1">
        <w:t xml:space="preserve">gives more information about the settings where care can be provided, including what </w:t>
      </w:r>
      <w:r w:rsidRPr="000F6CD1">
        <w:rPr>
          <w:i/>
        </w:rPr>
        <w:t>a residential care home</w:t>
      </w:r>
      <w:r w:rsidRPr="000F6CD1">
        <w:t xml:space="preserve"> and a </w:t>
      </w:r>
      <w:r w:rsidRPr="000F6CD1">
        <w:rPr>
          <w:i/>
        </w:rPr>
        <w:t>home or community setting</w:t>
      </w:r>
      <w:r w:rsidRPr="000F6CD1">
        <w:t xml:space="preserve"> mean.</w:t>
      </w:r>
    </w:p>
    <w:p w14:paraId="053C4299" w14:textId="77777777" w:rsidR="00B1731B" w:rsidRPr="000F6CD1" w:rsidRDefault="00B1731B" w:rsidP="008E6691">
      <w:pPr>
        <w:spacing w:before="240" w:after="240" w:line="240" w:lineRule="auto"/>
      </w:pPr>
      <w:bookmarkStart w:id="81" w:name="_Toc198813641"/>
      <w:bookmarkStart w:id="82" w:name="_Toc207291870"/>
      <w:bookmarkStart w:id="83" w:name="CH1_ApprovalsunderAct"/>
    </w:p>
    <w:p w14:paraId="146623DB" w14:textId="175A97C8" w:rsidR="00005C08" w:rsidRPr="000F6CD1" w:rsidRDefault="00005C08" w:rsidP="006647CE">
      <w:pPr>
        <w:pStyle w:val="h2"/>
      </w:pPr>
      <w:bookmarkStart w:id="84" w:name="_Toc209188942"/>
      <w:bookmarkStart w:id="85" w:name="_Toc233282409"/>
      <w:r w:rsidRPr="000F6CD1">
        <w:t xml:space="preserve">Approvals under the </w:t>
      </w:r>
      <w:r w:rsidRPr="000F6CD1">
        <w:rPr>
          <w:i/>
        </w:rPr>
        <w:t xml:space="preserve">Aged Care </w:t>
      </w:r>
      <w:r w:rsidRPr="000F6CD1">
        <w:rPr>
          <w:i/>
          <w:kern w:val="2"/>
          <w14:ligatures w14:val="standardContextual"/>
        </w:rPr>
        <w:t>Act</w:t>
      </w:r>
      <w:r w:rsidRPr="000F6CD1">
        <w:rPr>
          <w:i/>
        </w:rPr>
        <w:t xml:space="preserve"> 2024</w:t>
      </w:r>
      <w:bookmarkEnd w:id="81"/>
      <w:bookmarkEnd w:id="82"/>
      <w:bookmarkEnd w:id="84"/>
      <w:bookmarkEnd w:id="85"/>
    </w:p>
    <w:bookmarkEnd w:id="83"/>
    <w:p w14:paraId="23D618A7" w14:textId="192FC66E" w:rsidR="00ED21C5" w:rsidRPr="000F6CD1" w:rsidRDefault="001839E9" w:rsidP="008E6691">
      <w:pPr>
        <w:spacing w:before="240" w:after="240" w:line="240" w:lineRule="auto"/>
      </w:pPr>
      <w:r w:rsidRPr="000F6CD1">
        <w:t>A</w:t>
      </w:r>
      <w:r w:rsidR="00ED21C5" w:rsidRPr="000F6CD1">
        <w:t xml:space="preserve">pprovals under the </w:t>
      </w:r>
      <w:r w:rsidRPr="000F6CD1">
        <w:rPr>
          <w:i/>
        </w:rPr>
        <w:t xml:space="preserve">Aged Care </w:t>
      </w:r>
      <w:r w:rsidR="00ED21C5" w:rsidRPr="000F6CD1">
        <w:rPr>
          <w:i/>
        </w:rPr>
        <w:t>Act</w:t>
      </w:r>
      <w:r w:rsidRPr="000F6CD1">
        <w:rPr>
          <w:i/>
        </w:rPr>
        <w:t xml:space="preserve"> 2024</w:t>
      </w:r>
      <w:r w:rsidR="00ED21C5" w:rsidRPr="000F6CD1">
        <w:rPr>
          <w:i/>
          <w:iCs/>
        </w:rPr>
        <w:t xml:space="preserve"> </w:t>
      </w:r>
      <w:r w:rsidR="00ED21C5" w:rsidRPr="000F6CD1">
        <w:t xml:space="preserve">revolve around three primary components that, when combined, are comparable to ‘being approved for a program’ under the </w:t>
      </w:r>
      <w:r w:rsidR="00ED21C5" w:rsidRPr="000F6CD1">
        <w:rPr>
          <w:i/>
        </w:rPr>
        <w:t>Aged Care Act 1997</w:t>
      </w:r>
      <w:r w:rsidR="00ED21C5" w:rsidRPr="000F6CD1">
        <w:t>. The components are ‘Service group</w:t>
      </w:r>
      <w:r w:rsidR="00C321E1" w:rsidRPr="000F6CD1">
        <w:t>,’</w:t>
      </w:r>
      <w:r w:rsidR="00ED21C5" w:rsidRPr="000F6CD1">
        <w:t xml:space="preserve"> ‘Classification type’ and ‘Classification level’ (sometimes simply referred to as ‘Classification’). A priority category is also applied in some circumstances.</w:t>
      </w:r>
    </w:p>
    <w:p w14:paraId="3DED42FD" w14:textId="77777777" w:rsidR="00B7152F" w:rsidRPr="000F6CD1" w:rsidRDefault="00B7152F" w:rsidP="008E6691">
      <w:pPr>
        <w:pStyle w:val="ListParagraph"/>
        <w:numPr>
          <w:ilvl w:val="0"/>
          <w:numId w:val="29"/>
        </w:numPr>
        <w:spacing w:before="240" w:after="240" w:line="240" w:lineRule="auto"/>
      </w:pPr>
      <w:r w:rsidRPr="000F6CD1">
        <w:rPr>
          <w:b/>
          <w:bCs/>
        </w:rPr>
        <w:t>Service groups</w:t>
      </w:r>
      <w:r w:rsidRPr="000F6CD1">
        <w:t xml:space="preserve"> specify the setting and nature of care an individual can access. There are four service groups: </w:t>
      </w:r>
      <w:r w:rsidRPr="000F6CD1">
        <w:rPr>
          <w:b/>
          <w:bCs/>
        </w:rPr>
        <w:t>home support</w:t>
      </w:r>
      <w:r w:rsidRPr="000F6CD1">
        <w:t xml:space="preserve">, </w:t>
      </w:r>
      <w:r w:rsidRPr="000F6CD1">
        <w:rPr>
          <w:b/>
          <w:bCs/>
        </w:rPr>
        <w:t>assistive technology</w:t>
      </w:r>
      <w:r w:rsidRPr="000F6CD1">
        <w:t xml:space="preserve">, </w:t>
      </w:r>
      <w:r w:rsidRPr="000F6CD1">
        <w:rPr>
          <w:b/>
          <w:bCs/>
        </w:rPr>
        <w:t>home modifications</w:t>
      </w:r>
      <w:r w:rsidRPr="000F6CD1">
        <w:t xml:space="preserve"> and </w:t>
      </w:r>
      <w:r w:rsidRPr="000F6CD1">
        <w:rPr>
          <w:b/>
          <w:bCs/>
        </w:rPr>
        <w:t>residential care</w:t>
      </w:r>
      <w:r w:rsidRPr="000F6CD1">
        <w:t>.</w:t>
      </w:r>
    </w:p>
    <w:p w14:paraId="522FBD13" w14:textId="63BE43B5" w:rsidR="00B7152F" w:rsidRPr="000F6CD1" w:rsidRDefault="00B7152F" w:rsidP="008E6691">
      <w:pPr>
        <w:pStyle w:val="ListParagraph"/>
        <w:numPr>
          <w:ilvl w:val="0"/>
          <w:numId w:val="29"/>
        </w:numPr>
        <w:spacing w:before="240" w:after="240" w:line="240" w:lineRule="auto"/>
      </w:pPr>
      <w:r w:rsidRPr="000F6CD1">
        <w:rPr>
          <w:b/>
          <w:bCs/>
        </w:rPr>
        <w:t>Classification types</w:t>
      </w:r>
      <w:r w:rsidRPr="000F6CD1">
        <w:t xml:space="preserve"> differentiate the time period that services are delivered for under the service group. There are three classification types: </w:t>
      </w:r>
      <w:r w:rsidRPr="000F6CD1">
        <w:rPr>
          <w:b/>
          <w:bCs/>
        </w:rPr>
        <w:t>ongoing</w:t>
      </w:r>
      <w:r w:rsidRPr="000F6CD1">
        <w:t xml:space="preserve">, </w:t>
      </w:r>
      <w:r w:rsidRPr="000F6CD1">
        <w:rPr>
          <w:b/>
          <w:bCs/>
        </w:rPr>
        <w:t>short-term</w:t>
      </w:r>
      <w:r w:rsidRPr="000F6CD1">
        <w:t xml:space="preserve"> and </w:t>
      </w:r>
      <w:r w:rsidRPr="000F6CD1">
        <w:rPr>
          <w:b/>
          <w:bCs/>
        </w:rPr>
        <w:t>hospital transition</w:t>
      </w:r>
      <w:r w:rsidRPr="000F6CD1">
        <w:t>. Each classification type has a different purpose in meeting the needs of an individual and so are funded and timed accordingly.</w:t>
      </w:r>
    </w:p>
    <w:p w14:paraId="0C756197" w14:textId="074218BF" w:rsidR="00B7152F" w:rsidRPr="000F6CD1" w:rsidRDefault="00B7152F" w:rsidP="00615178">
      <w:pPr>
        <w:pStyle w:val="ListParagraph"/>
        <w:numPr>
          <w:ilvl w:val="0"/>
          <w:numId w:val="29"/>
        </w:numPr>
        <w:spacing w:before="240" w:after="240" w:line="240" w:lineRule="auto"/>
      </w:pPr>
      <w:r w:rsidRPr="000F6CD1">
        <w:rPr>
          <w:b/>
          <w:bCs/>
        </w:rPr>
        <w:t xml:space="preserve">Classification levels </w:t>
      </w:r>
      <w:r w:rsidRPr="000F6CD1">
        <w:t>determine the amount of funding available to deliver the aged care services that an individual has been approved to access under a service group.</w:t>
      </w:r>
    </w:p>
    <w:p w14:paraId="00ABB64B" w14:textId="23B2DBB4" w:rsidR="00667D18" w:rsidRDefault="00B7152F" w:rsidP="00615178">
      <w:pPr>
        <w:spacing w:before="240" w:after="240" w:line="240" w:lineRule="auto"/>
        <w:rPr>
          <w:i/>
          <w:iCs/>
        </w:rPr>
      </w:pPr>
      <w:r w:rsidRPr="000F6CD1">
        <w:t xml:space="preserve">The table below compares some examples before and after the introduction of </w:t>
      </w:r>
      <w:r w:rsidRPr="000F6CD1">
        <w:rPr>
          <w:i/>
          <w:iCs/>
        </w:rPr>
        <w:t>Aged Care Act 2024.</w:t>
      </w:r>
    </w:p>
    <w:p w14:paraId="5B63EE1E" w14:textId="1F4EACD6" w:rsidR="00524E0B" w:rsidRPr="000F6CD1" w:rsidRDefault="00667D18" w:rsidP="00667D18">
      <w:pPr>
        <w:rPr>
          <w:i/>
          <w:iCs/>
        </w:rPr>
      </w:pPr>
      <w:r>
        <w:rPr>
          <w:i/>
          <w:iCs/>
        </w:rPr>
        <w:br w:type="page"/>
      </w:r>
    </w:p>
    <w:p w14:paraId="079E85CD" w14:textId="30D70D76" w:rsidR="00A85E58" w:rsidRPr="000F6CD1" w:rsidRDefault="00A85E58" w:rsidP="008E6691">
      <w:pPr>
        <w:pStyle w:val="Caption"/>
        <w:spacing w:before="240" w:after="240"/>
        <w:rPr>
          <w:bCs/>
        </w:rPr>
      </w:pPr>
      <w:r w:rsidRPr="000F6CD1">
        <w:rPr>
          <w:bCs/>
        </w:rPr>
        <w:lastRenderedPageBreak/>
        <w:t xml:space="preserve">Table </w:t>
      </w:r>
      <w:r w:rsidR="00D35293" w:rsidRPr="000F6CD1">
        <w:rPr>
          <w:bCs/>
        </w:rPr>
        <w:t>4</w:t>
      </w:r>
      <w:r w:rsidRPr="000F6CD1">
        <w:rPr>
          <w:bCs/>
        </w:rPr>
        <w:t xml:space="preserve">: </w:t>
      </w:r>
      <w:r w:rsidR="00D95299" w:rsidRPr="000F6CD1">
        <w:rPr>
          <w:bCs/>
        </w:rPr>
        <w:t xml:space="preserve">Comparison of </w:t>
      </w:r>
      <w:r w:rsidR="001E63EE" w:rsidRPr="000F6CD1">
        <w:rPr>
          <w:bCs/>
        </w:rPr>
        <w:t xml:space="preserve">program </w:t>
      </w:r>
      <w:r w:rsidR="00D95299" w:rsidRPr="000F6CD1">
        <w:rPr>
          <w:bCs/>
        </w:rPr>
        <w:t xml:space="preserve">approval </w:t>
      </w:r>
      <w:r w:rsidR="001E63EE" w:rsidRPr="000F6CD1">
        <w:rPr>
          <w:bCs/>
        </w:rPr>
        <w:t>structure</w:t>
      </w:r>
      <w:r w:rsidR="00D95299" w:rsidRPr="000F6CD1">
        <w:rPr>
          <w:bCs/>
        </w:rPr>
        <w:t xml:space="preserve"> between </w:t>
      </w:r>
      <w:r w:rsidR="00D95299" w:rsidRPr="00FF61B0">
        <w:rPr>
          <w:bCs/>
          <w:i/>
          <w:iCs w:val="0"/>
        </w:rPr>
        <w:t>Aged</w:t>
      </w:r>
      <w:r w:rsidR="007A7C07" w:rsidRPr="00FF61B0">
        <w:rPr>
          <w:bCs/>
          <w:i/>
          <w:iCs w:val="0"/>
        </w:rPr>
        <w:t xml:space="preserve"> Care Act 1997</w:t>
      </w:r>
      <w:r w:rsidR="007A7C07" w:rsidRPr="000F6CD1">
        <w:rPr>
          <w:bCs/>
        </w:rPr>
        <w:t xml:space="preserve"> and </w:t>
      </w:r>
      <w:r w:rsidR="007A7C07" w:rsidRPr="00FF61B0">
        <w:rPr>
          <w:bCs/>
          <w:i/>
          <w:iCs w:val="0"/>
        </w:rPr>
        <w:t>Aged Care Act 2024</w:t>
      </w:r>
      <w:r w:rsidR="001E63EE" w:rsidRPr="000F6CD1">
        <w:rPr>
          <w:bCs/>
        </w:rPr>
        <w:t xml:space="preserve"> </w:t>
      </w:r>
      <w:r w:rsidRPr="000F6CD1">
        <w:rPr>
          <w:bCs/>
        </w:rPr>
        <w:t xml:space="preserve"> </w:t>
      </w:r>
    </w:p>
    <w:tbl>
      <w:tblPr>
        <w:tblStyle w:val="TableGrid"/>
        <w:tblW w:w="0" w:type="auto"/>
        <w:tblBorders>
          <w:top w:val="single" w:sz="4" w:space="0" w:color="auto"/>
          <w:insideH w:val="single" w:sz="4" w:space="0" w:color="auto"/>
        </w:tblBorders>
        <w:tblLook w:val="04A0" w:firstRow="1" w:lastRow="0" w:firstColumn="1" w:lastColumn="0" w:noHBand="0" w:noVBand="1"/>
        <w:tblCaption w:val="Comparison of program approval structure between Aged Care Act 1997 and Aged Care Act 2024 "/>
        <w:tblDescription w:val="A comparison of program approval structure between Aged Care Act 1997 and Aged Care Act 2024 "/>
      </w:tblPr>
      <w:tblGrid>
        <w:gridCol w:w="4106"/>
        <w:gridCol w:w="4820"/>
      </w:tblGrid>
      <w:tr w:rsidR="00B7152F" w:rsidRPr="000F6CD1" w14:paraId="4FDBE9D9" w14:textId="77777777" w:rsidTr="00524E0B">
        <w:trPr>
          <w:tblHeader/>
        </w:trPr>
        <w:tc>
          <w:tcPr>
            <w:tcW w:w="4106" w:type="dxa"/>
            <w:shd w:val="clear" w:color="auto" w:fill="002060"/>
          </w:tcPr>
          <w:p w14:paraId="2FCF4599" w14:textId="77777777" w:rsidR="00B7152F" w:rsidRPr="000F6CD1" w:rsidRDefault="00B7152F" w:rsidP="008E6691">
            <w:pPr>
              <w:spacing w:before="240" w:after="240"/>
              <w:rPr>
                <w:b/>
                <w:i/>
                <w:color w:val="FFFFFF" w:themeColor="background1"/>
                <w:szCs w:val="22"/>
              </w:rPr>
            </w:pPr>
            <w:r w:rsidRPr="000F6CD1">
              <w:rPr>
                <w:b/>
                <w:bCs/>
                <w:color w:val="FFFFFF" w:themeColor="background1"/>
                <w:szCs w:val="22"/>
                <w:u w:val="single"/>
              </w:rPr>
              <w:t>Before</w:t>
            </w:r>
            <w:r w:rsidRPr="000F6CD1">
              <w:rPr>
                <w:b/>
                <w:bCs/>
                <w:color w:val="FFFFFF" w:themeColor="background1"/>
                <w:szCs w:val="22"/>
              </w:rPr>
              <w:t xml:space="preserve"> the introduction of the </w:t>
            </w:r>
            <w:r w:rsidRPr="000F6CD1">
              <w:rPr>
                <w:b/>
                <w:bCs/>
                <w:i/>
                <w:iCs/>
                <w:color w:val="FFFFFF" w:themeColor="background1"/>
                <w:szCs w:val="22"/>
              </w:rPr>
              <w:t>Aged Care Act 2024</w:t>
            </w:r>
          </w:p>
        </w:tc>
        <w:tc>
          <w:tcPr>
            <w:tcW w:w="4820" w:type="dxa"/>
            <w:shd w:val="clear" w:color="auto" w:fill="002060"/>
          </w:tcPr>
          <w:p w14:paraId="3DADCE9B" w14:textId="77777777" w:rsidR="00B7152F" w:rsidRPr="000F6CD1" w:rsidRDefault="00B7152F" w:rsidP="008E6691">
            <w:pPr>
              <w:spacing w:before="240" w:after="240"/>
              <w:rPr>
                <w:b/>
                <w:bCs/>
                <w:color w:val="FFFFFF" w:themeColor="background1"/>
                <w:szCs w:val="22"/>
              </w:rPr>
            </w:pPr>
            <w:r w:rsidRPr="000F6CD1">
              <w:rPr>
                <w:b/>
                <w:bCs/>
                <w:color w:val="FFFFFF" w:themeColor="background1"/>
                <w:szCs w:val="22"/>
              </w:rPr>
              <w:t xml:space="preserve">After the introduction of the </w:t>
            </w:r>
            <w:r w:rsidRPr="000F6CD1">
              <w:rPr>
                <w:b/>
                <w:bCs/>
                <w:i/>
                <w:iCs/>
                <w:color w:val="FFFFFF" w:themeColor="background1"/>
                <w:szCs w:val="22"/>
              </w:rPr>
              <w:t>Aged Care Act 2024</w:t>
            </w:r>
            <w:r w:rsidRPr="000F6CD1">
              <w:rPr>
                <w:b/>
                <w:bCs/>
                <w:color w:val="FFFFFF" w:themeColor="background1"/>
                <w:szCs w:val="22"/>
              </w:rPr>
              <w:t>, the older person is approved for…</w:t>
            </w:r>
          </w:p>
        </w:tc>
      </w:tr>
      <w:tr w:rsidR="00B7152F" w:rsidRPr="000F6CD1" w14:paraId="762296A1" w14:textId="77777777" w:rsidTr="00524E0B">
        <w:trPr>
          <w:tblHeader/>
        </w:trPr>
        <w:tc>
          <w:tcPr>
            <w:tcW w:w="4106" w:type="dxa"/>
            <w:shd w:val="clear" w:color="auto" w:fill="002060"/>
          </w:tcPr>
          <w:p w14:paraId="42A705FE" w14:textId="77777777" w:rsidR="00B7152F" w:rsidRPr="000F6CD1" w:rsidRDefault="00B7152F" w:rsidP="008E6691">
            <w:pPr>
              <w:spacing w:before="240" w:after="240"/>
              <w:rPr>
                <w:szCs w:val="22"/>
              </w:rPr>
            </w:pPr>
            <w:r w:rsidRPr="000F6CD1">
              <w:rPr>
                <w:szCs w:val="22"/>
              </w:rPr>
              <w:t>Home Care Package Level (1-4)</w:t>
            </w:r>
          </w:p>
        </w:tc>
        <w:tc>
          <w:tcPr>
            <w:tcW w:w="4820" w:type="dxa"/>
          </w:tcPr>
          <w:p w14:paraId="1C9DCB26" w14:textId="77777777" w:rsidR="00B7152F" w:rsidRPr="000F6CD1" w:rsidRDefault="00B7152F" w:rsidP="008E6691">
            <w:pPr>
              <w:spacing w:before="240" w:after="240"/>
              <w:rPr>
                <w:szCs w:val="22"/>
              </w:rPr>
            </w:pPr>
            <w:r w:rsidRPr="000F6CD1">
              <w:rPr>
                <w:szCs w:val="22"/>
              </w:rPr>
              <w:t>Service group: Home support</w:t>
            </w:r>
          </w:p>
          <w:p w14:paraId="6C873D87" w14:textId="77777777" w:rsidR="00B7152F" w:rsidRPr="000F6CD1" w:rsidRDefault="00B7152F" w:rsidP="008E6691">
            <w:pPr>
              <w:spacing w:before="240" w:after="240"/>
              <w:rPr>
                <w:szCs w:val="22"/>
              </w:rPr>
            </w:pPr>
            <w:r w:rsidRPr="000F6CD1">
              <w:rPr>
                <w:szCs w:val="22"/>
              </w:rPr>
              <w:t>Classification type: Ongoing</w:t>
            </w:r>
          </w:p>
          <w:p w14:paraId="1B50643F" w14:textId="77777777" w:rsidR="00B7152F" w:rsidRPr="000F6CD1" w:rsidRDefault="00B7152F" w:rsidP="008E6691">
            <w:pPr>
              <w:spacing w:before="240" w:after="240"/>
              <w:rPr>
                <w:szCs w:val="22"/>
              </w:rPr>
            </w:pPr>
            <w:r w:rsidRPr="000F6CD1">
              <w:rPr>
                <w:szCs w:val="22"/>
              </w:rPr>
              <w:t>Classification level: SAH (Support at Home) Class (1-8)</w:t>
            </w:r>
          </w:p>
        </w:tc>
      </w:tr>
      <w:tr w:rsidR="00B7152F" w:rsidRPr="000F6CD1" w14:paraId="3FD9E5B6" w14:textId="77777777" w:rsidTr="00524E0B">
        <w:trPr>
          <w:tblHeader/>
        </w:trPr>
        <w:tc>
          <w:tcPr>
            <w:tcW w:w="4106" w:type="dxa"/>
            <w:shd w:val="clear" w:color="auto" w:fill="002060"/>
          </w:tcPr>
          <w:p w14:paraId="27F9A536" w14:textId="51303FBA" w:rsidR="00B7152F" w:rsidRPr="000F6CD1" w:rsidRDefault="00B7152F" w:rsidP="008E6691">
            <w:pPr>
              <w:spacing w:before="240" w:after="240"/>
              <w:rPr>
                <w:szCs w:val="22"/>
              </w:rPr>
            </w:pPr>
            <w:r w:rsidRPr="000F6CD1">
              <w:rPr>
                <w:szCs w:val="22"/>
              </w:rPr>
              <w:t xml:space="preserve">Commonwealth Home Support </w:t>
            </w:r>
            <w:r w:rsidR="00373A2D" w:rsidRPr="000F6CD1">
              <w:rPr>
                <w:szCs w:val="22"/>
              </w:rPr>
              <w:t xml:space="preserve">Program </w:t>
            </w:r>
            <w:r w:rsidRPr="000F6CD1">
              <w:rPr>
                <w:szCs w:val="22"/>
              </w:rPr>
              <w:t>(CHSP)</w:t>
            </w:r>
          </w:p>
        </w:tc>
        <w:tc>
          <w:tcPr>
            <w:tcW w:w="4820" w:type="dxa"/>
          </w:tcPr>
          <w:p w14:paraId="2F43D2DF" w14:textId="77777777" w:rsidR="00B7152F" w:rsidRPr="000F6CD1" w:rsidRDefault="00B7152F" w:rsidP="008E6691">
            <w:pPr>
              <w:spacing w:before="240" w:after="240"/>
              <w:rPr>
                <w:szCs w:val="22"/>
              </w:rPr>
            </w:pPr>
            <w:r w:rsidRPr="000F6CD1">
              <w:rPr>
                <w:szCs w:val="22"/>
              </w:rPr>
              <w:t>Service group: Home support</w:t>
            </w:r>
          </w:p>
          <w:p w14:paraId="57FD8F13" w14:textId="77777777" w:rsidR="00B7152F" w:rsidRPr="000F6CD1" w:rsidRDefault="00B7152F" w:rsidP="008E6691">
            <w:pPr>
              <w:spacing w:before="240" w:after="240"/>
              <w:rPr>
                <w:szCs w:val="22"/>
              </w:rPr>
            </w:pPr>
            <w:r w:rsidRPr="000F6CD1">
              <w:rPr>
                <w:szCs w:val="22"/>
              </w:rPr>
              <w:t>Classification type: Ongoing</w:t>
            </w:r>
          </w:p>
          <w:p w14:paraId="3566B27B" w14:textId="77777777" w:rsidR="00B7152F" w:rsidRPr="000F6CD1" w:rsidRDefault="00B7152F" w:rsidP="008E6691">
            <w:pPr>
              <w:spacing w:before="240" w:after="240"/>
              <w:rPr>
                <w:szCs w:val="22"/>
              </w:rPr>
            </w:pPr>
            <w:r w:rsidRPr="000F6CD1">
              <w:rPr>
                <w:szCs w:val="22"/>
              </w:rPr>
              <w:t>Classification level: CHSP Class</w:t>
            </w:r>
          </w:p>
        </w:tc>
      </w:tr>
      <w:tr w:rsidR="0017517D" w:rsidRPr="000F6CD1" w14:paraId="047722BA" w14:textId="77777777" w:rsidTr="00524E0B">
        <w:trPr>
          <w:tblHeader/>
        </w:trPr>
        <w:tc>
          <w:tcPr>
            <w:tcW w:w="4106" w:type="dxa"/>
            <w:tcBorders>
              <w:bottom w:val="single" w:sz="4" w:space="0" w:color="auto"/>
            </w:tcBorders>
            <w:shd w:val="clear" w:color="auto" w:fill="002060"/>
          </w:tcPr>
          <w:p w14:paraId="417595FA" w14:textId="17DC9B5E" w:rsidR="00246B9D" w:rsidRPr="000F6CD1" w:rsidRDefault="000C46A5" w:rsidP="008E6691">
            <w:pPr>
              <w:spacing w:before="240" w:after="240"/>
            </w:pPr>
            <w:r w:rsidRPr="000F6CD1">
              <w:t xml:space="preserve"> </w:t>
            </w:r>
            <w:r w:rsidR="00246B9D" w:rsidRPr="000F6CD1">
              <w:t xml:space="preserve"> Assistive Technology</w:t>
            </w:r>
            <w:r w:rsidR="005D0D48" w:rsidRPr="000F6CD1">
              <w:t xml:space="preserve"> </w:t>
            </w:r>
            <w:r w:rsidR="00246B9D" w:rsidRPr="000F6CD1">
              <w:t xml:space="preserve">  and Home Modifications</w:t>
            </w:r>
          </w:p>
          <w:p w14:paraId="57076CDD" w14:textId="77777777" w:rsidR="00246B9D" w:rsidRPr="000F6CD1" w:rsidRDefault="00246B9D" w:rsidP="008E6691">
            <w:pPr>
              <w:spacing w:before="240" w:after="240"/>
            </w:pPr>
            <w:r w:rsidRPr="000F6CD1">
              <w:t xml:space="preserve">(CHSP) </w:t>
            </w:r>
          </w:p>
          <w:p w14:paraId="3BCDECCE" w14:textId="77777777" w:rsidR="0017517D" w:rsidRPr="000F6CD1" w:rsidRDefault="0017517D" w:rsidP="008E6691">
            <w:pPr>
              <w:spacing w:before="240" w:after="240"/>
              <w:rPr>
                <w:szCs w:val="22"/>
              </w:rPr>
            </w:pPr>
          </w:p>
        </w:tc>
        <w:tc>
          <w:tcPr>
            <w:tcW w:w="4820" w:type="dxa"/>
            <w:tcBorders>
              <w:bottom w:val="single" w:sz="4" w:space="0" w:color="auto"/>
            </w:tcBorders>
          </w:tcPr>
          <w:p w14:paraId="4C39C05D" w14:textId="77777777" w:rsidR="00B5632F" w:rsidRPr="000F6CD1" w:rsidRDefault="00B5632F" w:rsidP="008E6691">
            <w:pPr>
              <w:spacing w:before="240" w:after="240"/>
            </w:pPr>
            <w:r w:rsidRPr="000F6CD1">
              <w:t>Service group: Assistive technology, Home modifications</w:t>
            </w:r>
          </w:p>
          <w:p w14:paraId="5E959D8E" w14:textId="77777777" w:rsidR="00B5632F" w:rsidRPr="000F6CD1" w:rsidRDefault="00B5632F" w:rsidP="008E6691">
            <w:pPr>
              <w:spacing w:before="240" w:after="240"/>
            </w:pPr>
            <w:r w:rsidRPr="000F6CD1">
              <w:t>Classification type: Short-term</w:t>
            </w:r>
          </w:p>
          <w:p w14:paraId="66026204" w14:textId="2CCA2E66" w:rsidR="0017517D" w:rsidRPr="000F6CD1" w:rsidRDefault="00B5632F" w:rsidP="008E6691">
            <w:pPr>
              <w:spacing w:before="240" w:after="240"/>
              <w:rPr>
                <w:szCs w:val="22"/>
              </w:rPr>
            </w:pPr>
            <w:r w:rsidRPr="000F6CD1">
              <w:t>Classification level: AT CHSP, HM CHSP</w:t>
            </w:r>
          </w:p>
        </w:tc>
      </w:tr>
      <w:tr w:rsidR="00B7152F" w:rsidRPr="000F6CD1" w14:paraId="09013210" w14:textId="77777777" w:rsidTr="00524E0B">
        <w:trPr>
          <w:tblHeader/>
        </w:trPr>
        <w:tc>
          <w:tcPr>
            <w:tcW w:w="4106" w:type="dxa"/>
            <w:tcBorders>
              <w:bottom w:val="single" w:sz="4" w:space="0" w:color="auto"/>
            </w:tcBorders>
            <w:shd w:val="clear" w:color="auto" w:fill="002060"/>
          </w:tcPr>
          <w:p w14:paraId="254E4678" w14:textId="6E5F08C3" w:rsidR="00B7152F" w:rsidRPr="000F6CD1" w:rsidRDefault="00B7152F" w:rsidP="008E6691">
            <w:pPr>
              <w:spacing w:before="240" w:after="240"/>
            </w:pPr>
            <w:r w:rsidRPr="000F6CD1">
              <w:t xml:space="preserve">Residential </w:t>
            </w:r>
            <w:r w:rsidR="79E0989B" w:rsidRPr="000F6CD1">
              <w:t>R</w:t>
            </w:r>
            <w:r w:rsidRPr="000F6CD1">
              <w:t xml:space="preserve">espite </w:t>
            </w:r>
            <w:r w:rsidR="4381B343" w:rsidRPr="000F6CD1">
              <w:t>C</w:t>
            </w:r>
            <w:r w:rsidRPr="000F6CD1">
              <w:t>are</w:t>
            </w:r>
          </w:p>
        </w:tc>
        <w:tc>
          <w:tcPr>
            <w:tcW w:w="4820" w:type="dxa"/>
            <w:tcBorders>
              <w:bottom w:val="single" w:sz="4" w:space="0" w:color="auto"/>
            </w:tcBorders>
          </w:tcPr>
          <w:p w14:paraId="46F22AC8" w14:textId="77777777" w:rsidR="00B7152F" w:rsidRPr="000F6CD1" w:rsidRDefault="00B7152F" w:rsidP="008E6691">
            <w:pPr>
              <w:spacing w:before="240" w:after="240"/>
              <w:rPr>
                <w:szCs w:val="22"/>
              </w:rPr>
            </w:pPr>
            <w:r w:rsidRPr="000F6CD1">
              <w:rPr>
                <w:szCs w:val="22"/>
              </w:rPr>
              <w:t>Service group: Residential care</w:t>
            </w:r>
          </w:p>
          <w:p w14:paraId="5360158B" w14:textId="77777777" w:rsidR="00B7152F" w:rsidRPr="000F6CD1" w:rsidRDefault="00B7152F" w:rsidP="008E6691">
            <w:pPr>
              <w:spacing w:before="240" w:after="240"/>
              <w:rPr>
                <w:szCs w:val="22"/>
              </w:rPr>
            </w:pPr>
            <w:r w:rsidRPr="000F6CD1">
              <w:rPr>
                <w:szCs w:val="22"/>
              </w:rPr>
              <w:t>Classification type: Short-term</w:t>
            </w:r>
          </w:p>
          <w:p w14:paraId="28275C00" w14:textId="77777777" w:rsidR="00B7152F" w:rsidRPr="000F6CD1" w:rsidRDefault="00B7152F" w:rsidP="008E6691">
            <w:pPr>
              <w:spacing w:before="240" w:after="240"/>
              <w:rPr>
                <w:szCs w:val="22"/>
              </w:rPr>
            </w:pPr>
            <w:r w:rsidRPr="000F6CD1">
              <w:rPr>
                <w:szCs w:val="22"/>
              </w:rPr>
              <w:t>Classification level: Respite Class (1-3)</w:t>
            </w:r>
          </w:p>
        </w:tc>
      </w:tr>
      <w:tr w:rsidR="00B7152F" w:rsidRPr="000F6CD1" w14:paraId="088081C0" w14:textId="77777777" w:rsidTr="00524E0B">
        <w:trPr>
          <w:tblHeader/>
        </w:trPr>
        <w:tc>
          <w:tcPr>
            <w:tcW w:w="4106" w:type="dxa"/>
            <w:tcBorders>
              <w:bottom w:val="single" w:sz="4" w:space="0" w:color="auto"/>
            </w:tcBorders>
            <w:shd w:val="clear" w:color="auto" w:fill="002060"/>
          </w:tcPr>
          <w:p w14:paraId="0DEA3CEC" w14:textId="6DE90DE8" w:rsidR="00B7152F" w:rsidRPr="000F6CD1" w:rsidRDefault="00B7152F" w:rsidP="008E6691">
            <w:pPr>
              <w:spacing w:before="240" w:after="240"/>
            </w:pPr>
            <w:r w:rsidRPr="000F6CD1">
              <w:t>Short-</w:t>
            </w:r>
            <w:r w:rsidR="6286CB3E" w:rsidRPr="000F6CD1">
              <w:t>T</w:t>
            </w:r>
            <w:r w:rsidRPr="000F6CD1">
              <w:t>erm Restorative Care Programme</w:t>
            </w:r>
          </w:p>
        </w:tc>
        <w:tc>
          <w:tcPr>
            <w:tcW w:w="4820" w:type="dxa"/>
            <w:tcBorders>
              <w:bottom w:val="single" w:sz="4" w:space="0" w:color="auto"/>
            </w:tcBorders>
          </w:tcPr>
          <w:p w14:paraId="6E2FEA8B" w14:textId="77777777" w:rsidR="00B7152F" w:rsidRPr="000F6CD1" w:rsidRDefault="00B7152F" w:rsidP="008E6691">
            <w:pPr>
              <w:spacing w:before="240" w:after="240"/>
              <w:rPr>
                <w:szCs w:val="22"/>
              </w:rPr>
            </w:pPr>
            <w:r w:rsidRPr="000F6CD1">
              <w:rPr>
                <w:szCs w:val="22"/>
              </w:rPr>
              <w:t>Service group: Home support</w:t>
            </w:r>
          </w:p>
          <w:p w14:paraId="3F45DB45" w14:textId="77777777" w:rsidR="00B7152F" w:rsidRPr="000F6CD1" w:rsidRDefault="00B7152F" w:rsidP="008E6691">
            <w:pPr>
              <w:spacing w:before="240" w:after="240"/>
              <w:rPr>
                <w:szCs w:val="22"/>
              </w:rPr>
            </w:pPr>
            <w:r w:rsidRPr="000F6CD1">
              <w:rPr>
                <w:szCs w:val="22"/>
              </w:rPr>
              <w:t>Classification type: Short-term</w:t>
            </w:r>
          </w:p>
          <w:p w14:paraId="75F9BACF" w14:textId="77777777" w:rsidR="00B7152F" w:rsidRPr="000F6CD1" w:rsidRDefault="00B7152F" w:rsidP="008E6691">
            <w:pPr>
              <w:spacing w:before="240" w:after="240"/>
              <w:rPr>
                <w:szCs w:val="22"/>
              </w:rPr>
            </w:pPr>
            <w:r w:rsidRPr="000F6CD1">
              <w:rPr>
                <w:szCs w:val="22"/>
              </w:rPr>
              <w:t>Classification level: SAH Restorative Care Pathway</w:t>
            </w:r>
          </w:p>
        </w:tc>
      </w:tr>
    </w:tbl>
    <w:p w14:paraId="6DF3AD15" w14:textId="77777777" w:rsidR="00B7152F" w:rsidRPr="000F6CD1" w:rsidRDefault="00B7152F" w:rsidP="008E6691">
      <w:pPr>
        <w:spacing w:before="240" w:after="240" w:line="240" w:lineRule="auto"/>
        <w:rPr>
          <w:szCs w:val="22"/>
        </w:rPr>
      </w:pPr>
      <w:r w:rsidRPr="000F6CD1">
        <w:rPr>
          <w:szCs w:val="22"/>
        </w:rPr>
        <w:t xml:space="preserve">The following sections show the possible combinations of classification type and classification level a person can be approved for under each service group. </w:t>
      </w:r>
    </w:p>
    <w:p w14:paraId="176B3838" w14:textId="496D95DD" w:rsidR="00B7152F" w:rsidRDefault="00B7152F" w:rsidP="00615178">
      <w:pPr>
        <w:spacing w:before="240" w:after="240" w:line="240" w:lineRule="auto"/>
        <w:rPr>
          <w:szCs w:val="22"/>
        </w:rPr>
      </w:pPr>
      <w:r w:rsidRPr="000F6CD1">
        <w:rPr>
          <w:szCs w:val="22"/>
        </w:rPr>
        <w:t>Decisions for service group and classification type are made under section 65(2) of the Act. Decisions for classification level are made under section 78 of the Act.</w:t>
      </w:r>
    </w:p>
    <w:p w14:paraId="1422A37F" w14:textId="1072AE73" w:rsidR="00667D18" w:rsidRPr="000F6CD1" w:rsidRDefault="00667D18" w:rsidP="00667D18">
      <w:pPr>
        <w:rPr>
          <w:szCs w:val="22"/>
        </w:rPr>
      </w:pPr>
      <w:r>
        <w:rPr>
          <w:szCs w:val="22"/>
        </w:rPr>
        <w:br w:type="page"/>
      </w:r>
    </w:p>
    <w:p w14:paraId="3542E287" w14:textId="452C2888" w:rsidR="00005C08" w:rsidRPr="000F6CD1" w:rsidRDefault="004053A4" w:rsidP="008E6691">
      <w:pPr>
        <w:pStyle w:val="Caption"/>
        <w:spacing w:before="240" w:after="240"/>
        <w:rPr>
          <w:bCs/>
        </w:rPr>
      </w:pPr>
      <w:r w:rsidRPr="000F6CD1">
        <w:rPr>
          <w:bCs/>
        </w:rPr>
        <w:lastRenderedPageBreak/>
        <w:t>Table</w:t>
      </w:r>
      <w:r w:rsidR="006C3625" w:rsidRPr="000F6CD1">
        <w:rPr>
          <w:bCs/>
        </w:rPr>
        <w:t xml:space="preserve"> </w:t>
      </w:r>
      <w:r w:rsidR="00D35293" w:rsidRPr="000F6CD1">
        <w:rPr>
          <w:bCs/>
        </w:rPr>
        <w:t>5</w:t>
      </w:r>
      <w:r w:rsidR="006C3625" w:rsidRPr="000F6CD1">
        <w:rPr>
          <w:bCs/>
        </w:rPr>
        <w:t xml:space="preserve">: </w:t>
      </w:r>
      <w:r w:rsidR="00005C08" w:rsidRPr="000F6CD1">
        <w:rPr>
          <w:bCs/>
        </w:rPr>
        <w:t>Service group: Home support</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Support classifcation type and classification level"/>
        <w:tblDescription w:val="An overview of the possible combinations of classification type and classification level for the service group Home Support"/>
      </w:tblPr>
      <w:tblGrid>
        <w:gridCol w:w="2402"/>
        <w:gridCol w:w="12"/>
        <w:gridCol w:w="2681"/>
        <w:gridCol w:w="3890"/>
      </w:tblGrid>
      <w:tr w:rsidR="00005C08" w:rsidRPr="000F6CD1" w14:paraId="3080FFA8" w14:textId="77777777" w:rsidTr="004E2C29">
        <w:trPr>
          <w:trHeight w:val="255"/>
        </w:trPr>
        <w:tc>
          <w:tcPr>
            <w:tcW w:w="2402" w:type="dxa"/>
            <w:shd w:val="clear" w:color="auto" w:fill="002060"/>
          </w:tcPr>
          <w:p w14:paraId="61F914E1"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Service group</w:t>
            </w:r>
          </w:p>
        </w:tc>
        <w:tc>
          <w:tcPr>
            <w:tcW w:w="2693" w:type="dxa"/>
            <w:gridSpan w:val="2"/>
            <w:shd w:val="clear" w:color="auto" w:fill="002060"/>
            <w:tcMar>
              <w:top w:w="60" w:type="dxa"/>
              <w:left w:w="135" w:type="dxa"/>
              <w:bottom w:w="60" w:type="dxa"/>
              <w:right w:w="135" w:type="dxa"/>
            </w:tcMar>
          </w:tcPr>
          <w:p w14:paraId="2BA2F2A7"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Classification type</w:t>
            </w:r>
          </w:p>
        </w:tc>
        <w:tc>
          <w:tcPr>
            <w:tcW w:w="3890" w:type="dxa"/>
            <w:shd w:val="clear" w:color="auto" w:fill="002060"/>
            <w:tcMar>
              <w:top w:w="60" w:type="dxa"/>
              <w:left w:w="135" w:type="dxa"/>
              <w:bottom w:w="60" w:type="dxa"/>
              <w:right w:w="135" w:type="dxa"/>
            </w:tcMar>
          </w:tcPr>
          <w:p w14:paraId="2543AE43"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Classification level</w:t>
            </w:r>
            <w:r w:rsidRPr="000F6CD1">
              <w:rPr>
                <w:szCs w:val="22"/>
              </w:rPr>
              <w:br/>
            </w:r>
          </w:p>
        </w:tc>
      </w:tr>
      <w:tr w:rsidR="00005C08" w:rsidRPr="000F6CD1" w14:paraId="2D995FA1" w14:textId="77777777" w:rsidTr="00A92A51">
        <w:trPr>
          <w:trHeight w:val="570"/>
        </w:trPr>
        <w:tc>
          <w:tcPr>
            <w:tcW w:w="2414" w:type="dxa"/>
            <w:gridSpan w:val="2"/>
          </w:tcPr>
          <w:p w14:paraId="5FDC962A" w14:textId="730A5E82" w:rsidR="00005C08" w:rsidRPr="000F6CD1" w:rsidRDefault="00005C08" w:rsidP="008E6691">
            <w:pPr>
              <w:spacing w:before="240" w:after="240" w:line="240" w:lineRule="auto"/>
              <w:rPr>
                <w:rFonts w:eastAsia="Arial"/>
                <w:bCs/>
                <w:szCs w:val="22"/>
              </w:rPr>
            </w:pPr>
            <w:r w:rsidRPr="000F6CD1">
              <w:rPr>
                <w:rFonts w:eastAsia="Arial"/>
                <w:bCs/>
                <w:szCs w:val="22"/>
              </w:rPr>
              <w:t xml:space="preserve">Home </w:t>
            </w:r>
            <w:r w:rsidR="00956F28" w:rsidRPr="000F6CD1">
              <w:rPr>
                <w:rFonts w:eastAsia="Arial"/>
                <w:bCs/>
                <w:szCs w:val="22"/>
              </w:rPr>
              <w:t>support</w:t>
            </w:r>
          </w:p>
        </w:tc>
        <w:tc>
          <w:tcPr>
            <w:tcW w:w="2681" w:type="dxa"/>
            <w:tcMar>
              <w:top w:w="60" w:type="dxa"/>
              <w:left w:w="135" w:type="dxa"/>
              <w:bottom w:w="60" w:type="dxa"/>
              <w:right w:w="135" w:type="dxa"/>
            </w:tcMar>
          </w:tcPr>
          <w:p w14:paraId="2C79A3B3" w14:textId="77777777" w:rsidR="00005C08" w:rsidRPr="000F6CD1" w:rsidRDefault="00005C08" w:rsidP="008E6691">
            <w:pPr>
              <w:spacing w:before="240" w:after="240" w:line="240" w:lineRule="auto"/>
              <w:rPr>
                <w:rFonts w:eastAsia="Arial"/>
                <w:bCs/>
                <w:szCs w:val="22"/>
              </w:rPr>
            </w:pPr>
            <w:r w:rsidRPr="000F6CD1">
              <w:rPr>
                <w:rFonts w:eastAsia="Arial"/>
                <w:bCs/>
                <w:szCs w:val="22"/>
              </w:rPr>
              <w:t>Ongoing</w:t>
            </w:r>
          </w:p>
        </w:tc>
        <w:tc>
          <w:tcPr>
            <w:tcW w:w="3890" w:type="dxa"/>
            <w:tcMar>
              <w:top w:w="60" w:type="dxa"/>
              <w:left w:w="135" w:type="dxa"/>
              <w:bottom w:w="60" w:type="dxa"/>
              <w:right w:w="135" w:type="dxa"/>
            </w:tcMar>
          </w:tcPr>
          <w:p w14:paraId="5189C6B8" w14:textId="38328653" w:rsidR="00005C08" w:rsidRPr="000F6CD1" w:rsidRDefault="00005C08" w:rsidP="008E6691">
            <w:pPr>
              <w:spacing w:before="240" w:after="240" w:line="240" w:lineRule="auto"/>
              <w:rPr>
                <w:rFonts w:eastAsia="Arial"/>
                <w:bCs/>
                <w:szCs w:val="22"/>
              </w:rPr>
            </w:pPr>
            <w:r w:rsidRPr="000F6CD1">
              <w:rPr>
                <w:rFonts w:eastAsia="Arial"/>
                <w:bCs/>
                <w:szCs w:val="22"/>
              </w:rPr>
              <w:t>CHSP class</w:t>
            </w:r>
            <w:r w:rsidRPr="000F6CD1">
              <w:rPr>
                <w:bCs/>
                <w:szCs w:val="22"/>
              </w:rPr>
              <w:br/>
            </w:r>
            <w:r w:rsidRPr="000F6CD1">
              <w:rPr>
                <w:rFonts w:eastAsia="Arial"/>
                <w:bCs/>
                <w:szCs w:val="22"/>
              </w:rPr>
              <w:t>Support at Home (SAH) class 1 to 8</w:t>
            </w:r>
          </w:p>
        </w:tc>
      </w:tr>
      <w:tr w:rsidR="00005C08" w:rsidRPr="000F6CD1" w14:paraId="5D8316BB" w14:textId="77777777" w:rsidTr="00A92A51">
        <w:trPr>
          <w:trHeight w:val="570"/>
        </w:trPr>
        <w:tc>
          <w:tcPr>
            <w:tcW w:w="2414" w:type="dxa"/>
            <w:gridSpan w:val="2"/>
          </w:tcPr>
          <w:p w14:paraId="6FF674B5" w14:textId="77777777" w:rsidR="00005C08" w:rsidRPr="000F6CD1"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5CE8400F" w14:textId="77777777" w:rsidR="00005C08" w:rsidRPr="000F6CD1" w:rsidRDefault="00005C08" w:rsidP="008E6691">
            <w:pPr>
              <w:spacing w:before="240" w:after="240" w:line="240" w:lineRule="auto"/>
              <w:rPr>
                <w:rFonts w:eastAsia="Arial"/>
                <w:bCs/>
                <w:szCs w:val="22"/>
              </w:rPr>
            </w:pPr>
            <w:r w:rsidRPr="000F6CD1">
              <w:rPr>
                <w:rFonts w:eastAsia="Arial"/>
                <w:bCs/>
                <w:szCs w:val="22"/>
              </w:rPr>
              <w:t>Short-term</w:t>
            </w:r>
          </w:p>
        </w:tc>
        <w:tc>
          <w:tcPr>
            <w:tcW w:w="3890" w:type="dxa"/>
            <w:tcMar>
              <w:top w:w="60" w:type="dxa"/>
              <w:left w:w="135" w:type="dxa"/>
              <w:bottom w:w="60" w:type="dxa"/>
              <w:right w:w="135" w:type="dxa"/>
            </w:tcMar>
          </w:tcPr>
          <w:p w14:paraId="54EE667A" w14:textId="77777777" w:rsidR="00005C08" w:rsidRPr="000F6CD1" w:rsidRDefault="00005C08" w:rsidP="008E6691">
            <w:pPr>
              <w:spacing w:before="240" w:after="240" w:line="240" w:lineRule="auto"/>
              <w:rPr>
                <w:rFonts w:eastAsia="Arial"/>
                <w:bCs/>
                <w:szCs w:val="22"/>
              </w:rPr>
            </w:pPr>
            <w:r w:rsidRPr="000F6CD1">
              <w:rPr>
                <w:rFonts w:eastAsia="Arial"/>
                <w:bCs/>
                <w:szCs w:val="22"/>
              </w:rPr>
              <w:t>SAH restorative care pathway</w:t>
            </w:r>
          </w:p>
          <w:p w14:paraId="58DE26CB" w14:textId="77777777" w:rsidR="00005C08" w:rsidRPr="000F6CD1" w:rsidRDefault="00005C08" w:rsidP="008E6691">
            <w:pPr>
              <w:spacing w:before="240" w:after="240" w:line="240" w:lineRule="auto"/>
              <w:rPr>
                <w:rFonts w:eastAsia="Arial"/>
                <w:bCs/>
                <w:szCs w:val="22"/>
              </w:rPr>
            </w:pPr>
            <w:r w:rsidRPr="000F6CD1">
              <w:rPr>
                <w:rFonts w:eastAsia="Arial"/>
                <w:bCs/>
                <w:szCs w:val="22"/>
              </w:rPr>
              <w:t>SAH end-of-life pathway</w:t>
            </w:r>
          </w:p>
        </w:tc>
      </w:tr>
      <w:tr w:rsidR="00005C08" w:rsidRPr="000F6CD1" w14:paraId="195BFBA9" w14:textId="77777777" w:rsidTr="00A92A51">
        <w:trPr>
          <w:trHeight w:val="780"/>
        </w:trPr>
        <w:tc>
          <w:tcPr>
            <w:tcW w:w="2414" w:type="dxa"/>
            <w:gridSpan w:val="2"/>
          </w:tcPr>
          <w:p w14:paraId="090BEDBC" w14:textId="77777777" w:rsidR="00005C08" w:rsidRPr="000F6CD1" w:rsidRDefault="00005C08" w:rsidP="008E6691">
            <w:pPr>
              <w:spacing w:before="240" w:after="240" w:line="240" w:lineRule="auto"/>
              <w:rPr>
                <w:rFonts w:eastAsia="Arial"/>
                <w:bCs/>
                <w:szCs w:val="22"/>
              </w:rPr>
            </w:pPr>
          </w:p>
        </w:tc>
        <w:tc>
          <w:tcPr>
            <w:tcW w:w="2681" w:type="dxa"/>
            <w:tcMar>
              <w:top w:w="60" w:type="dxa"/>
              <w:left w:w="135" w:type="dxa"/>
              <w:bottom w:w="60" w:type="dxa"/>
              <w:right w:w="135" w:type="dxa"/>
            </w:tcMar>
          </w:tcPr>
          <w:p w14:paraId="29AC0B0F" w14:textId="77777777" w:rsidR="00005C08" w:rsidRPr="000F6CD1" w:rsidRDefault="00005C08" w:rsidP="008E6691">
            <w:pPr>
              <w:spacing w:before="240" w:after="240" w:line="240" w:lineRule="auto"/>
              <w:rPr>
                <w:rFonts w:eastAsia="Arial"/>
                <w:bCs/>
                <w:szCs w:val="22"/>
              </w:rPr>
            </w:pPr>
            <w:r w:rsidRPr="000F6CD1">
              <w:rPr>
                <w:rFonts w:eastAsia="Arial"/>
                <w:bCs/>
                <w:szCs w:val="22"/>
              </w:rPr>
              <w:t>Hospital transition</w:t>
            </w:r>
          </w:p>
        </w:tc>
        <w:tc>
          <w:tcPr>
            <w:tcW w:w="3890" w:type="dxa"/>
            <w:tcMar>
              <w:top w:w="60" w:type="dxa"/>
              <w:left w:w="135" w:type="dxa"/>
              <w:bottom w:w="60" w:type="dxa"/>
              <w:right w:w="135" w:type="dxa"/>
            </w:tcMar>
          </w:tcPr>
          <w:p w14:paraId="4830F60C" w14:textId="77777777" w:rsidR="00005C08" w:rsidRPr="000F6CD1" w:rsidRDefault="00005C08" w:rsidP="008E6691">
            <w:pPr>
              <w:spacing w:before="240" w:after="240" w:line="240" w:lineRule="auto"/>
              <w:rPr>
                <w:rFonts w:eastAsia="Arial"/>
                <w:bCs/>
                <w:szCs w:val="22"/>
              </w:rPr>
            </w:pPr>
            <w:r w:rsidRPr="000F6CD1">
              <w:rPr>
                <w:rFonts w:eastAsia="Arial"/>
                <w:bCs/>
                <w:szCs w:val="22"/>
              </w:rPr>
              <w:t>Home Support Hospital Transition class (HS HT class)</w:t>
            </w:r>
          </w:p>
        </w:tc>
      </w:tr>
    </w:tbl>
    <w:p w14:paraId="2380E560" w14:textId="5B15D254" w:rsidR="00BA5F6A" w:rsidRPr="000F6CD1" w:rsidRDefault="00BA5F6A" w:rsidP="008E6691">
      <w:pPr>
        <w:pStyle w:val="Caption"/>
        <w:spacing w:before="240" w:after="240"/>
      </w:pPr>
    </w:p>
    <w:p w14:paraId="78D238F0" w14:textId="4A1BB9E1" w:rsidR="00005C08" w:rsidRPr="000F6CD1" w:rsidRDefault="00003B60" w:rsidP="008E6691">
      <w:pPr>
        <w:pStyle w:val="Caption"/>
        <w:spacing w:before="240" w:after="240"/>
        <w:rPr>
          <w:bCs/>
        </w:rPr>
      </w:pPr>
      <w:r w:rsidRPr="000F6CD1">
        <w:rPr>
          <w:bCs/>
        </w:rPr>
        <w:t xml:space="preserve">Table </w:t>
      </w:r>
      <w:r w:rsidR="00D35293" w:rsidRPr="000F6CD1">
        <w:rPr>
          <w:bCs/>
        </w:rPr>
        <w:t>6</w:t>
      </w:r>
      <w:r w:rsidRPr="000F6CD1">
        <w:rPr>
          <w:bCs/>
        </w:rPr>
        <w:t xml:space="preserve">: </w:t>
      </w:r>
      <w:r w:rsidR="00005C08" w:rsidRPr="000F6CD1">
        <w:rPr>
          <w:bCs/>
        </w:rPr>
        <w:t>Service group: Assistive technology</w:t>
      </w: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Service Group: Assistive Technology classification types and classification levels"/>
        <w:tblDescription w:val="An overview of the possible combinations of classification type and classification level for the service group Assistive Technology"/>
      </w:tblPr>
      <w:tblGrid>
        <w:gridCol w:w="2402"/>
        <w:gridCol w:w="2693"/>
        <w:gridCol w:w="3890"/>
      </w:tblGrid>
      <w:tr w:rsidR="00005C08" w:rsidRPr="000F6CD1" w14:paraId="6907EAC6" w14:textId="77777777" w:rsidTr="004E2C29">
        <w:trPr>
          <w:trHeight w:val="15"/>
        </w:trPr>
        <w:tc>
          <w:tcPr>
            <w:tcW w:w="2402"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Pr>
          <w:p w14:paraId="33DF5862" w14:textId="77777777" w:rsidR="00005C08" w:rsidRPr="000F6CD1" w:rsidRDefault="00005C08" w:rsidP="008E6691">
            <w:pPr>
              <w:spacing w:before="240" w:after="240" w:line="240" w:lineRule="auto"/>
              <w:rPr>
                <w:rFonts w:eastAsia="Arial"/>
                <w:b/>
                <w:color w:val="FFFFFF" w:themeColor="background1"/>
                <w:szCs w:val="22"/>
              </w:rPr>
            </w:pPr>
            <w:r w:rsidRPr="000F6CD1">
              <w:rPr>
                <w:rFonts w:eastAsia="Arial"/>
                <w:b/>
                <w:color w:val="FFFFFF" w:themeColor="background1"/>
                <w:szCs w:val="22"/>
              </w:rPr>
              <w:t>Service group</w:t>
            </w:r>
          </w:p>
        </w:tc>
        <w:tc>
          <w:tcPr>
            <w:tcW w:w="2693"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1A4E718F" w14:textId="77777777" w:rsidR="00005C08" w:rsidRPr="000F6CD1" w:rsidRDefault="00005C08" w:rsidP="008E6691">
            <w:pPr>
              <w:spacing w:before="240" w:after="240" w:line="240" w:lineRule="auto"/>
              <w:rPr>
                <w:rFonts w:eastAsia="Arial"/>
                <w:b/>
                <w:color w:val="FFFFFF" w:themeColor="background1"/>
                <w:szCs w:val="22"/>
              </w:rPr>
            </w:pPr>
            <w:r w:rsidRPr="000F6CD1">
              <w:rPr>
                <w:rFonts w:eastAsia="Arial"/>
                <w:b/>
                <w:color w:val="FFFFFF" w:themeColor="background1"/>
                <w:szCs w:val="22"/>
              </w:rPr>
              <w:t>Classification type</w:t>
            </w:r>
          </w:p>
        </w:tc>
        <w:tc>
          <w:tcPr>
            <w:tcW w:w="3890" w:type="dxa"/>
            <w:tcBorders>
              <w:top w:val="single" w:sz="6" w:space="0" w:color="FFFFFF" w:themeColor="background1"/>
              <w:left w:val="single" w:sz="6" w:space="0" w:color="FFFFFF" w:themeColor="background1"/>
              <w:bottom w:val="single" w:sz="24" w:space="0" w:color="FFFFFF" w:themeColor="background1"/>
              <w:right w:val="single" w:sz="6" w:space="0" w:color="FFFFFF" w:themeColor="background1"/>
            </w:tcBorders>
            <w:shd w:val="clear" w:color="auto" w:fill="002060"/>
            <w:tcMar>
              <w:top w:w="60" w:type="dxa"/>
              <w:left w:w="135" w:type="dxa"/>
              <w:bottom w:w="60" w:type="dxa"/>
              <w:right w:w="135" w:type="dxa"/>
            </w:tcMar>
          </w:tcPr>
          <w:p w14:paraId="4E673924" w14:textId="77777777" w:rsidR="00005C08" w:rsidRPr="000F6CD1" w:rsidRDefault="00005C08" w:rsidP="008E6691">
            <w:pPr>
              <w:spacing w:before="240" w:after="240" w:line="240" w:lineRule="auto"/>
              <w:rPr>
                <w:rFonts w:eastAsia="Arial"/>
                <w:b/>
                <w:color w:val="FFFFFF" w:themeColor="background1"/>
                <w:szCs w:val="22"/>
              </w:rPr>
            </w:pPr>
            <w:r w:rsidRPr="000F6CD1">
              <w:rPr>
                <w:rFonts w:eastAsia="Arial"/>
                <w:b/>
                <w:color w:val="FFFFFF" w:themeColor="background1"/>
                <w:szCs w:val="22"/>
              </w:rPr>
              <w:t>Classification level</w:t>
            </w:r>
            <w:r w:rsidRPr="000F6CD1">
              <w:rPr>
                <w:rFonts w:eastAsia="Arial"/>
                <w:b/>
                <w:color w:val="FFFFFF" w:themeColor="background1"/>
                <w:szCs w:val="22"/>
              </w:rPr>
              <w:br/>
            </w:r>
          </w:p>
        </w:tc>
      </w:tr>
      <w:tr w:rsidR="00005C08" w:rsidRPr="000F6CD1" w14:paraId="65323B68" w14:textId="77777777" w:rsidTr="00485489">
        <w:trPr>
          <w:trHeight w:val="330"/>
        </w:trPr>
        <w:tc>
          <w:tcPr>
            <w:tcW w:w="2402" w:type="dxa"/>
            <w:tcBorders>
              <w:top w:val="single" w:sz="24" w:space="0" w:color="FFFFFF" w:themeColor="background1"/>
              <w:left w:val="single" w:sz="6" w:space="0" w:color="FFFFFF" w:themeColor="background1"/>
              <w:bottom w:val="single" w:sz="4" w:space="0" w:color="auto"/>
              <w:right w:val="single" w:sz="6" w:space="0" w:color="FFFFFF" w:themeColor="background1"/>
            </w:tcBorders>
          </w:tcPr>
          <w:p w14:paraId="6FC69FD1" w14:textId="5543D6EA" w:rsidR="00005C08" w:rsidRPr="000F6CD1" w:rsidRDefault="00005C08" w:rsidP="008E6691">
            <w:pPr>
              <w:spacing w:before="240" w:after="240" w:line="240" w:lineRule="auto"/>
              <w:rPr>
                <w:rFonts w:eastAsia="Arial"/>
                <w:bCs/>
              </w:rPr>
            </w:pPr>
            <w:r w:rsidRPr="000F6CD1">
              <w:rPr>
                <w:rFonts w:eastAsia="Arial"/>
                <w:bCs/>
              </w:rPr>
              <w:t>Assistive technology</w:t>
            </w:r>
          </w:p>
        </w:tc>
        <w:tc>
          <w:tcPr>
            <w:tcW w:w="2693"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1EE18BA" w14:textId="77777777" w:rsidR="00005C08" w:rsidRPr="000F6CD1" w:rsidRDefault="00005C08" w:rsidP="008E6691">
            <w:pPr>
              <w:spacing w:before="240" w:after="240" w:line="240" w:lineRule="auto"/>
              <w:rPr>
                <w:rFonts w:eastAsia="Arial"/>
                <w:bCs/>
              </w:rPr>
            </w:pPr>
            <w:r w:rsidRPr="000F6CD1">
              <w:rPr>
                <w:rFonts w:eastAsia="Arial"/>
                <w:bCs/>
              </w:rPr>
              <w:t>Ongoing</w:t>
            </w:r>
          </w:p>
        </w:tc>
        <w:tc>
          <w:tcPr>
            <w:tcW w:w="3890" w:type="dxa"/>
            <w:tcBorders>
              <w:top w:val="single" w:sz="24" w:space="0" w:color="FFFFFF" w:themeColor="background1"/>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16375E88" w14:textId="77777777" w:rsidR="00005C08" w:rsidRPr="000F6CD1" w:rsidRDefault="00005C08" w:rsidP="008E6691">
            <w:pPr>
              <w:spacing w:before="240" w:after="240" w:line="240" w:lineRule="auto"/>
              <w:rPr>
                <w:rFonts w:eastAsia="Arial"/>
                <w:bCs/>
              </w:rPr>
            </w:pPr>
            <w:r w:rsidRPr="000F6CD1">
              <w:rPr>
                <w:rFonts w:eastAsia="Arial"/>
                <w:bCs/>
              </w:rPr>
              <w:t>Assistance dogs</w:t>
            </w:r>
          </w:p>
        </w:tc>
      </w:tr>
      <w:tr w:rsidR="00005C08" w:rsidRPr="000F6CD1" w14:paraId="57A87A68"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531DE0DE" w14:textId="77777777" w:rsidR="00005C08" w:rsidRPr="000F6CD1" w:rsidRDefault="00005C08" w:rsidP="008E6691">
            <w:pPr>
              <w:spacing w:before="240" w:after="240" w:line="240" w:lineRule="auto"/>
              <w:rPr>
                <w:rFonts w:eastAsia="Arial"/>
                <w:bCs/>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3C48878E" w14:textId="77777777" w:rsidR="00005C08" w:rsidRPr="000F6CD1" w:rsidRDefault="00005C08" w:rsidP="008E6691">
            <w:pPr>
              <w:spacing w:before="240" w:after="240" w:line="240" w:lineRule="auto"/>
              <w:rPr>
                <w:rFonts w:eastAsia="Arial"/>
                <w:bCs/>
              </w:rPr>
            </w:pPr>
            <w:r w:rsidRPr="000F6CD1">
              <w:rPr>
                <w:rFonts w:eastAsia="Arial"/>
                <w:bCs/>
              </w:rPr>
              <w:t>Short-term</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4585236F" w14:textId="77777777" w:rsidR="00005C08" w:rsidRPr="000F6CD1" w:rsidRDefault="00005C08" w:rsidP="008E6691">
            <w:pPr>
              <w:spacing w:before="240" w:after="240" w:line="240" w:lineRule="auto"/>
              <w:rPr>
                <w:rFonts w:eastAsia="Arial"/>
                <w:bCs/>
              </w:rPr>
            </w:pPr>
            <w:r w:rsidRPr="000F6CD1">
              <w:rPr>
                <w:rFonts w:eastAsia="Arial"/>
                <w:bCs/>
              </w:rPr>
              <w:t>AT CHSP</w:t>
            </w:r>
          </w:p>
          <w:p w14:paraId="1FAD32CA" w14:textId="77777777" w:rsidR="00005C08" w:rsidRPr="000F6CD1" w:rsidRDefault="00005C08" w:rsidP="008E6691">
            <w:pPr>
              <w:spacing w:before="240" w:after="240" w:line="240" w:lineRule="auto"/>
              <w:rPr>
                <w:rFonts w:eastAsia="Arial"/>
                <w:bCs/>
              </w:rPr>
            </w:pPr>
            <w:r w:rsidRPr="000F6CD1">
              <w:rPr>
                <w:rFonts w:eastAsia="Arial"/>
                <w:bCs/>
              </w:rPr>
              <w:t>AT low</w:t>
            </w:r>
          </w:p>
          <w:p w14:paraId="52824493" w14:textId="77777777" w:rsidR="00005C08" w:rsidRPr="000F6CD1" w:rsidRDefault="00005C08" w:rsidP="008E6691">
            <w:pPr>
              <w:spacing w:before="240" w:after="240" w:line="240" w:lineRule="auto"/>
              <w:rPr>
                <w:rFonts w:eastAsia="Arial"/>
                <w:bCs/>
              </w:rPr>
            </w:pPr>
            <w:r w:rsidRPr="000F6CD1">
              <w:rPr>
                <w:rFonts w:eastAsia="Arial"/>
                <w:bCs/>
              </w:rPr>
              <w:t>AT medium</w:t>
            </w:r>
          </w:p>
          <w:p w14:paraId="6A8DA965" w14:textId="77777777" w:rsidR="00005C08" w:rsidRPr="000F6CD1" w:rsidRDefault="00005C08" w:rsidP="008E6691">
            <w:pPr>
              <w:spacing w:before="240" w:after="240" w:line="240" w:lineRule="auto"/>
              <w:rPr>
                <w:rFonts w:eastAsia="Arial"/>
                <w:bCs/>
              </w:rPr>
            </w:pPr>
            <w:r w:rsidRPr="000F6CD1">
              <w:rPr>
                <w:rFonts w:eastAsia="Arial"/>
                <w:bCs/>
              </w:rPr>
              <w:t>AT high</w:t>
            </w:r>
          </w:p>
        </w:tc>
      </w:tr>
      <w:tr w:rsidR="00005C08" w:rsidRPr="000F6CD1" w14:paraId="3DA3D51B" w14:textId="77777777" w:rsidTr="00485489">
        <w:trPr>
          <w:trHeight w:val="570"/>
        </w:trPr>
        <w:tc>
          <w:tcPr>
            <w:tcW w:w="2402" w:type="dxa"/>
            <w:tcBorders>
              <w:top w:val="single" w:sz="4" w:space="0" w:color="auto"/>
              <w:left w:val="single" w:sz="6" w:space="0" w:color="FFFFFF" w:themeColor="background1"/>
              <w:bottom w:val="single" w:sz="4" w:space="0" w:color="auto"/>
              <w:right w:val="single" w:sz="6" w:space="0" w:color="FFFFFF" w:themeColor="background1"/>
            </w:tcBorders>
          </w:tcPr>
          <w:p w14:paraId="756CC524" w14:textId="77777777" w:rsidR="00005C08" w:rsidRPr="000F6CD1" w:rsidRDefault="00005C08" w:rsidP="008E6691">
            <w:pPr>
              <w:spacing w:before="240" w:after="240" w:line="240" w:lineRule="auto"/>
              <w:rPr>
                <w:rFonts w:eastAsia="Arial"/>
              </w:rPr>
            </w:pPr>
          </w:p>
        </w:tc>
        <w:tc>
          <w:tcPr>
            <w:tcW w:w="2693"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68D3DC5A" w14:textId="77777777" w:rsidR="00005C08" w:rsidRPr="000F6CD1" w:rsidRDefault="00005C08" w:rsidP="008E6691">
            <w:pPr>
              <w:spacing w:before="240" w:after="240" w:line="240" w:lineRule="auto"/>
              <w:rPr>
                <w:rFonts w:eastAsia="Arial"/>
                <w:bCs/>
              </w:rPr>
            </w:pPr>
            <w:r w:rsidRPr="000F6CD1">
              <w:rPr>
                <w:rFonts w:eastAsia="Arial"/>
                <w:bCs/>
              </w:rPr>
              <w:t>Hospital transition</w:t>
            </w:r>
          </w:p>
        </w:tc>
        <w:tc>
          <w:tcPr>
            <w:tcW w:w="3890" w:type="dxa"/>
            <w:tcBorders>
              <w:top w:val="single" w:sz="4" w:space="0" w:color="auto"/>
              <w:left w:val="single" w:sz="6" w:space="0" w:color="FFFFFF" w:themeColor="background1"/>
              <w:bottom w:val="single" w:sz="4" w:space="0" w:color="auto"/>
              <w:right w:val="single" w:sz="6" w:space="0" w:color="FFFFFF" w:themeColor="background1"/>
            </w:tcBorders>
            <w:tcMar>
              <w:top w:w="60" w:type="dxa"/>
              <w:left w:w="135" w:type="dxa"/>
              <w:bottom w:w="60" w:type="dxa"/>
              <w:right w:w="135" w:type="dxa"/>
            </w:tcMar>
          </w:tcPr>
          <w:p w14:paraId="22B966A7" w14:textId="77777777" w:rsidR="00005C08" w:rsidRPr="000F6CD1" w:rsidRDefault="00005C08" w:rsidP="008E6691">
            <w:pPr>
              <w:spacing w:before="240" w:after="240" w:line="240" w:lineRule="auto"/>
              <w:rPr>
                <w:rFonts w:eastAsia="Arial"/>
              </w:rPr>
            </w:pPr>
            <w:r w:rsidRPr="000F6CD1">
              <w:rPr>
                <w:rFonts w:eastAsia="Arial"/>
              </w:rPr>
              <w:t>AT HT class</w:t>
            </w:r>
          </w:p>
        </w:tc>
      </w:tr>
    </w:tbl>
    <w:p w14:paraId="6593E72F" w14:textId="0F1D4263" w:rsidR="00AD177B" w:rsidRPr="000F6CD1" w:rsidRDefault="00005C08" w:rsidP="008E6691">
      <w:pPr>
        <w:spacing w:before="240" w:after="240" w:line="240" w:lineRule="auto"/>
      </w:pPr>
      <w:r w:rsidRPr="000F6CD1">
        <w:t>Note</w:t>
      </w:r>
      <w:r w:rsidR="003C5CD3" w:rsidRPr="000F6CD1">
        <w:rPr>
          <w:szCs w:val="22"/>
        </w:rPr>
        <w:t xml:space="preserve">: </w:t>
      </w:r>
      <w:r w:rsidRPr="000F6CD1">
        <w:rPr>
          <w:szCs w:val="22"/>
        </w:rPr>
        <w:t>classification levels are also referred to as ‘funding tiers’ in the Support at Home program.</w:t>
      </w:r>
    </w:p>
    <w:p w14:paraId="6046445C" w14:textId="02B96CD8" w:rsidR="00255855" w:rsidRPr="000F6CD1" w:rsidRDefault="00255855">
      <w:pPr>
        <w:rPr>
          <w:szCs w:val="22"/>
        </w:rPr>
      </w:pPr>
      <w:r w:rsidRPr="000F6CD1">
        <w:rPr>
          <w:szCs w:val="22"/>
        </w:rPr>
        <w:br w:type="page"/>
      </w:r>
    </w:p>
    <w:p w14:paraId="38609203" w14:textId="4E450B74" w:rsidR="00005C08" w:rsidRPr="000F6CD1" w:rsidRDefault="00003B60" w:rsidP="008E6691">
      <w:pPr>
        <w:pStyle w:val="Caption"/>
        <w:spacing w:before="240" w:after="240"/>
        <w:rPr>
          <w:bCs/>
        </w:rPr>
      </w:pPr>
      <w:r w:rsidRPr="000F6CD1">
        <w:rPr>
          <w:bCs/>
        </w:rPr>
        <w:lastRenderedPageBreak/>
        <w:t xml:space="preserve">Table </w:t>
      </w:r>
      <w:r w:rsidR="00397FD6" w:rsidRPr="000F6CD1">
        <w:rPr>
          <w:bCs/>
        </w:rPr>
        <w:t>7</w:t>
      </w:r>
      <w:r w:rsidRPr="000F6CD1">
        <w:rPr>
          <w:bCs/>
        </w:rPr>
        <w:t xml:space="preserve">: </w:t>
      </w:r>
      <w:r w:rsidR="00005C08" w:rsidRPr="000F6CD1">
        <w:rPr>
          <w:bCs/>
        </w:rPr>
        <w:t>Service group: Home modifications</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Home Modifications classification types and classification levels"/>
        <w:tblDescription w:val="An overview of the possible combinations of classification type and classification level for the service group Home Modifications"/>
      </w:tblPr>
      <w:tblGrid>
        <w:gridCol w:w="2402"/>
        <w:gridCol w:w="2693"/>
        <w:gridCol w:w="3905"/>
      </w:tblGrid>
      <w:tr w:rsidR="00005C08" w:rsidRPr="000F6CD1" w14:paraId="67AE7E94" w14:textId="77777777" w:rsidTr="004E2C29">
        <w:trPr>
          <w:trHeight w:val="15"/>
        </w:trPr>
        <w:tc>
          <w:tcPr>
            <w:tcW w:w="2402" w:type="dxa"/>
            <w:shd w:val="clear" w:color="auto" w:fill="002060"/>
          </w:tcPr>
          <w:p w14:paraId="6BCE3F66"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Service group</w:t>
            </w:r>
          </w:p>
        </w:tc>
        <w:tc>
          <w:tcPr>
            <w:tcW w:w="2693" w:type="dxa"/>
            <w:shd w:val="clear" w:color="auto" w:fill="002060"/>
            <w:tcMar>
              <w:top w:w="60" w:type="dxa"/>
              <w:left w:w="135" w:type="dxa"/>
              <w:bottom w:w="60" w:type="dxa"/>
              <w:right w:w="135" w:type="dxa"/>
            </w:tcMar>
          </w:tcPr>
          <w:p w14:paraId="626322BD"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Classification type</w:t>
            </w:r>
          </w:p>
        </w:tc>
        <w:tc>
          <w:tcPr>
            <w:tcW w:w="3905" w:type="dxa"/>
            <w:shd w:val="clear" w:color="auto" w:fill="002060"/>
            <w:tcMar>
              <w:top w:w="60" w:type="dxa"/>
              <w:left w:w="135" w:type="dxa"/>
              <w:bottom w:w="60" w:type="dxa"/>
              <w:right w:w="135" w:type="dxa"/>
            </w:tcMar>
          </w:tcPr>
          <w:p w14:paraId="1038A213" w14:textId="77777777" w:rsidR="00005C08" w:rsidRPr="000F6CD1" w:rsidRDefault="00005C08" w:rsidP="008E6691">
            <w:pPr>
              <w:spacing w:before="240" w:after="240" w:line="240" w:lineRule="auto"/>
              <w:rPr>
                <w:rFonts w:eastAsia="Arial"/>
                <w:color w:val="FFFFFF" w:themeColor="background1"/>
                <w:szCs w:val="22"/>
              </w:rPr>
            </w:pPr>
            <w:r w:rsidRPr="000F6CD1">
              <w:rPr>
                <w:rFonts w:eastAsia="Arial"/>
                <w:b/>
                <w:color w:val="FFFFFF" w:themeColor="background1"/>
                <w:szCs w:val="22"/>
              </w:rPr>
              <w:t>Classification level</w:t>
            </w:r>
            <w:r w:rsidRPr="000F6CD1">
              <w:rPr>
                <w:szCs w:val="22"/>
              </w:rPr>
              <w:br/>
            </w:r>
          </w:p>
        </w:tc>
      </w:tr>
      <w:tr w:rsidR="00005C08" w:rsidRPr="000F6CD1" w14:paraId="1B1DB087" w14:textId="77777777" w:rsidTr="00012147">
        <w:trPr>
          <w:trHeight w:val="570"/>
        </w:trPr>
        <w:tc>
          <w:tcPr>
            <w:tcW w:w="2402" w:type="dxa"/>
          </w:tcPr>
          <w:p w14:paraId="30ECA174" w14:textId="77777777" w:rsidR="00AD177B" w:rsidRPr="000F6CD1" w:rsidRDefault="00005C08" w:rsidP="008E6691">
            <w:pPr>
              <w:spacing w:before="240" w:after="240" w:line="240" w:lineRule="auto"/>
              <w:rPr>
                <w:rFonts w:eastAsia="Arial"/>
                <w:bCs/>
                <w:szCs w:val="22"/>
              </w:rPr>
            </w:pPr>
            <w:r w:rsidRPr="000F6CD1">
              <w:rPr>
                <w:rFonts w:eastAsia="Arial"/>
                <w:bCs/>
                <w:szCs w:val="22"/>
              </w:rPr>
              <w:t xml:space="preserve">Home </w:t>
            </w:r>
          </w:p>
          <w:p w14:paraId="2C3ADF24" w14:textId="61C6B5C3" w:rsidR="00005C08" w:rsidRPr="000F6CD1" w:rsidRDefault="00005C08" w:rsidP="008E6691">
            <w:pPr>
              <w:spacing w:before="240" w:after="240" w:line="240" w:lineRule="auto"/>
              <w:rPr>
                <w:rFonts w:eastAsia="Arial"/>
                <w:bCs/>
                <w:szCs w:val="22"/>
              </w:rPr>
            </w:pPr>
            <w:r w:rsidRPr="000F6CD1">
              <w:rPr>
                <w:rFonts w:eastAsia="Arial"/>
                <w:bCs/>
                <w:szCs w:val="22"/>
              </w:rPr>
              <w:t>modifications</w:t>
            </w:r>
          </w:p>
        </w:tc>
        <w:tc>
          <w:tcPr>
            <w:tcW w:w="2693" w:type="dxa"/>
            <w:tcMar>
              <w:top w:w="60" w:type="dxa"/>
              <w:left w:w="135" w:type="dxa"/>
              <w:bottom w:w="60" w:type="dxa"/>
              <w:right w:w="135" w:type="dxa"/>
            </w:tcMar>
          </w:tcPr>
          <w:p w14:paraId="698F26B7" w14:textId="77777777" w:rsidR="00005C08" w:rsidRPr="000F6CD1" w:rsidRDefault="00005C08" w:rsidP="008E6691">
            <w:pPr>
              <w:spacing w:before="240" w:after="240" w:line="240" w:lineRule="auto"/>
              <w:rPr>
                <w:rFonts w:eastAsia="Arial"/>
                <w:bCs/>
                <w:szCs w:val="22"/>
              </w:rPr>
            </w:pPr>
            <w:r w:rsidRPr="000F6CD1">
              <w:rPr>
                <w:rFonts w:eastAsia="Arial"/>
                <w:bCs/>
                <w:szCs w:val="22"/>
              </w:rPr>
              <w:t>Short-term</w:t>
            </w:r>
          </w:p>
        </w:tc>
        <w:tc>
          <w:tcPr>
            <w:tcW w:w="3905" w:type="dxa"/>
            <w:tcMar>
              <w:top w:w="60" w:type="dxa"/>
              <w:left w:w="135" w:type="dxa"/>
              <w:bottom w:w="60" w:type="dxa"/>
              <w:right w:w="135" w:type="dxa"/>
            </w:tcMar>
          </w:tcPr>
          <w:p w14:paraId="33CD34FD" w14:textId="77777777" w:rsidR="00005C08" w:rsidRPr="000F6CD1" w:rsidRDefault="00005C08" w:rsidP="008E6691">
            <w:pPr>
              <w:spacing w:before="240" w:after="240" w:line="240" w:lineRule="auto"/>
              <w:rPr>
                <w:rFonts w:eastAsia="Arial"/>
                <w:bCs/>
                <w:szCs w:val="22"/>
              </w:rPr>
            </w:pPr>
            <w:r w:rsidRPr="000F6CD1">
              <w:rPr>
                <w:rFonts w:eastAsia="Arial"/>
                <w:bCs/>
                <w:szCs w:val="22"/>
              </w:rPr>
              <w:t>HM CHSP</w:t>
            </w:r>
          </w:p>
          <w:p w14:paraId="6276A713" w14:textId="77777777" w:rsidR="00005C08" w:rsidRPr="000F6CD1" w:rsidRDefault="00005C08" w:rsidP="008E6691">
            <w:pPr>
              <w:spacing w:before="240" w:after="240" w:line="240" w:lineRule="auto"/>
              <w:rPr>
                <w:rFonts w:eastAsia="Arial"/>
                <w:bCs/>
                <w:szCs w:val="22"/>
              </w:rPr>
            </w:pPr>
            <w:r w:rsidRPr="000F6CD1">
              <w:rPr>
                <w:rFonts w:eastAsia="Arial"/>
                <w:bCs/>
                <w:szCs w:val="22"/>
              </w:rPr>
              <w:t>HM low</w:t>
            </w:r>
          </w:p>
          <w:p w14:paraId="7CF46395" w14:textId="77777777" w:rsidR="00005C08" w:rsidRPr="000F6CD1" w:rsidRDefault="00005C08" w:rsidP="008E6691">
            <w:pPr>
              <w:spacing w:before="240" w:after="240" w:line="240" w:lineRule="auto"/>
              <w:rPr>
                <w:rFonts w:eastAsia="Arial"/>
                <w:bCs/>
                <w:szCs w:val="22"/>
              </w:rPr>
            </w:pPr>
            <w:r w:rsidRPr="000F6CD1">
              <w:rPr>
                <w:rFonts w:eastAsia="Arial"/>
                <w:bCs/>
                <w:szCs w:val="22"/>
              </w:rPr>
              <w:t>HM medium</w:t>
            </w:r>
          </w:p>
          <w:p w14:paraId="469D499C" w14:textId="77777777" w:rsidR="00005C08" w:rsidRPr="000F6CD1" w:rsidRDefault="00005C08" w:rsidP="008E6691">
            <w:pPr>
              <w:spacing w:before="240" w:after="240" w:line="240" w:lineRule="auto"/>
              <w:rPr>
                <w:rFonts w:eastAsia="Arial"/>
                <w:bCs/>
                <w:szCs w:val="22"/>
              </w:rPr>
            </w:pPr>
            <w:r w:rsidRPr="000F6CD1">
              <w:rPr>
                <w:rFonts w:eastAsia="Arial"/>
                <w:bCs/>
                <w:szCs w:val="22"/>
              </w:rPr>
              <w:t>HM high</w:t>
            </w:r>
          </w:p>
        </w:tc>
      </w:tr>
    </w:tbl>
    <w:p w14:paraId="5D09F020" w14:textId="795F7630" w:rsidR="00005C08" w:rsidRPr="000F6CD1" w:rsidRDefault="00005C08" w:rsidP="008E6691">
      <w:pPr>
        <w:spacing w:before="240" w:after="240" w:line="240" w:lineRule="auto"/>
        <w:rPr>
          <w:rFonts w:eastAsia="Arial"/>
          <w:color w:val="000000" w:themeColor="text1"/>
        </w:rPr>
      </w:pPr>
      <w:r w:rsidRPr="000F6CD1">
        <w:rPr>
          <w:rFonts w:eastAsia="Arial"/>
          <w:color w:val="000000" w:themeColor="text1"/>
        </w:rPr>
        <w:t>Note</w:t>
      </w:r>
      <w:r w:rsidR="003C5CD3" w:rsidRPr="000F6CD1">
        <w:rPr>
          <w:rFonts w:eastAsia="Arial"/>
          <w:color w:val="000000" w:themeColor="text1"/>
        </w:rPr>
        <w:t xml:space="preserve">: </w:t>
      </w:r>
      <w:r w:rsidRPr="000F6CD1">
        <w:rPr>
          <w:rFonts w:eastAsia="Arial"/>
          <w:color w:val="000000" w:themeColor="text1"/>
        </w:rPr>
        <w:t>classification levels are also referred to as ‘funding tiers’ in the Support at Home program.</w:t>
      </w:r>
    </w:p>
    <w:p w14:paraId="614DE798" w14:textId="030D33AD" w:rsidR="00005C08" w:rsidRPr="000F6CD1" w:rsidRDefault="00003B60" w:rsidP="008E6691">
      <w:pPr>
        <w:pStyle w:val="Caption"/>
        <w:spacing w:before="240" w:after="240"/>
        <w:rPr>
          <w:bCs/>
        </w:rPr>
      </w:pPr>
      <w:r w:rsidRPr="000F6CD1">
        <w:rPr>
          <w:bCs/>
        </w:rPr>
        <w:t xml:space="preserve">Table </w:t>
      </w:r>
      <w:r w:rsidR="00255855" w:rsidRPr="000F6CD1">
        <w:rPr>
          <w:bCs/>
        </w:rPr>
        <w:t>8</w:t>
      </w:r>
      <w:r w:rsidRPr="000F6CD1">
        <w:rPr>
          <w:bCs/>
        </w:rPr>
        <w:t xml:space="preserve">: </w:t>
      </w:r>
      <w:r w:rsidR="00005C08" w:rsidRPr="000F6CD1">
        <w:rPr>
          <w:bCs/>
        </w:rPr>
        <w:t>Service group: Residential care</w:t>
      </w:r>
    </w:p>
    <w:tbl>
      <w:tblPr>
        <w:tblW w:w="0" w:type="auto"/>
        <w:tblBorders>
          <w:top w:val="single" w:sz="6" w:space="0" w:color="FFFFFF" w:themeColor="background1"/>
          <w:left w:val="single" w:sz="6" w:space="0" w:color="FFFFFF" w:themeColor="background1"/>
          <w:bottom w:val="single" w:sz="4" w:space="0" w:color="auto"/>
          <w:right w:val="single" w:sz="6" w:space="0" w:color="FFFFFF" w:themeColor="background1"/>
          <w:insideH w:val="single" w:sz="4" w:space="0" w:color="auto"/>
          <w:insideV w:val="single" w:sz="6" w:space="0" w:color="FFFFFF" w:themeColor="background1"/>
        </w:tblBorders>
        <w:tblLayout w:type="fixed"/>
        <w:tblLook w:val="0420" w:firstRow="1" w:lastRow="0" w:firstColumn="0" w:lastColumn="0" w:noHBand="0" w:noVBand="1"/>
        <w:tblCaption w:val="Service Group: Residential Care classification types and classification levels"/>
        <w:tblDescription w:val="An overview of the possible combinations of classification type and classification level for the service group Residential Care "/>
      </w:tblPr>
      <w:tblGrid>
        <w:gridCol w:w="2355"/>
        <w:gridCol w:w="2700"/>
        <w:gridCol w:w="3945"/>
      </w:tblGrid>
      <w:tr w:rsidR="00005C08" w:rsidRPr="000F6CD1" w14:paraId="382E0D26" w14:textId="77777777" w:rsidTr="004E2C29">
        <w:trPr>
          <w:trHeight w:val="240"/>
        </w:trPr>
        <w:tc>
          <w:tcPr>
            <w:tcW w:w="2355" w:type="dxa"/>
            <w:shd w:val="clear" w:color="auto" w:fill="002060"/>
          </w:tcPr>
          <w:p w14:paraId="04BAA89C" w14:textId="77777777" w:rsidR="00005C08" w:rsidRPr="000F6CD1" w:rsidRDefault="00005C08" w:rsidP="008E6691">
            <w:pPr>
              <w:spacing w:before="240" w:after="240" w:line="240" w:lineRule="auto"/>
              <w:rPr>
                <w:rFonts w:eastAsia="Arial"/>
                <w:color w:val="FFFFFF" w:themeColor="background1"/>
              </w:rPr>
            </w:pPr>
            <w:r w:rsidRPr="000F6CD1">
              <w:rPr>
                <w:rFonts w:eastAsia="Arial"/>
                <w:b/>
                <w:color w:val="FFFFFF" w:themeColor="background1"/>
              </w:rPr>
              <w:t>Service group</w:t>
            </w:r>
          </w:p>
        </w:tc>
        <w:tc>
          <w:tcPr>
            <w:tcW w:w="2700" w:type="dxa"/>
            <w:shd w:val="clear" w:color="auto" w:fill="002060"/>
            <w:tcMar>
              <w:top w:w="60" w:type="dxa"/>
              <w:left w:w="135" w:type="dxa"/>
              <w:bottom w:w="60" w:type="dxa"/>
              <w:right w:w="135" w:type="dxa"/>
            </w:tcMar>
          </w:tcPr>
          <w:p w14:paraId="07E31BDA" w14:textId="77777777" w:rsidR="00005C08" w:rsidRPr="000F6CD1" w:rsidRDefault="00005C08" w:rsidP="008E6691">
            <w:pPr>
              <w:spacing w:before="240" w:after="240" w:line="240" w:lineRule="auto"/>
              <w:rPr>
                <w:rFonts w:eastAsia="Arial"/>
                <w:color w:val="FFFFFF" w:themeColor="background1"/>
              </w:rPr>
            </w:pPr>
            <w:r w:rsidRPr="000F6CD1">
              <w:rPr>
                <w:rFonts w:eastAsia="Arial"/>
                <w:b/>
                <w:color w:val="FFFFFF" w:themeColor="background1"/>
              </w:rPr>
              <w:t>Classification type</w:t>
            </w:r>
          </w:p>
        </w:tc>
        <w:tc>
          <w:tcPr>
            <w:tcW w:w="3945" w:type="dxa"/>
            <w:shd w:val="clear" w:color="auto" w:fill="002060"/>
            <w:tcMar>
              <w:top w:w="60" w:type="dxa"/>
              <w:left w:w="135" w:type="dxa"/>
              <w:bottom w:w="60" w:type="dxa"/>
              <w:right w:w="135" w:type="dxa"/>
            </w:tcMar>
          </w:tcPr>
          <w:p w14:paraId="2EB02FFF" w14:textId="77777777" w:rsidR="00005C08" w:rsidRPr="000F6CD1" w:rsidRDefault="00005C08" w:rsidP="008E6691">
            <w:pPr>
              <w:spacing w:before="240" w:after="240" w:line="240" w:lineRule="auto"/>
              <w:rPr>
                <w:rFonts w:eastAsia="Arial"/>
                <w:color w:val="FFFFFF" w:themeColor="background1"/>
              </w:rPr>
            </w:pPr>
            <w:r w:rsidRPr="000F6CD1">
              <w:rPr>
                <w:rFonts w:eastAsia="Arial"/>
                <w:b/>
                <w:color w:val="FFFFFF" w:themeColor="background1"/>
              </w:rPr>
              <w:t>Classification level</w:t>
            </w:r>
            <w:r w:rsidRPr="000F6CD1">
              <w:br/>
            </w:r>
          </w:p>
        </w:tc>
      </w:tr>
      <w:tr w:rsidR="00005C08" w:rsidRPr="000F6CD1" w14:paraId="734AA77C" w14:textId="77777777" w:rsidTr="003C5CD3">
        <w:trPr>
          <w:trHeight w:val="570"/>
        </w:trPr>
        <w:tc>
          <w:tcPr>
            <w:tcW w:w="2355" w:type="dxa"/>
          </w:tcPr>
          <w:p w14:paraId="59BB3788" w14:textId="77777777" w:rsidR="00005C08" w:rsidRPr="000F6CD1" w:rsidRDefault="00005C08" w:rsidP="008E6691">
            <w:pPr>
              <w:spacing w:before="240" w:after="240" w:line="240" w:lineRule="auto"/>
              <w:rPr>
                <w:rFonts w:eastAsia="Arial"/>
                <w:bCs/>
              </w:rPr>
            </w:pPr>
            <w:r w:rsidRPr="000F6CD1">
              <w:rPr>
                <w:rFonts w:eastAsia="Arial"/>
                <w:bCs/>
              </w:rPr>
              <w:t>Residential Care</w:t>
            </w:r>
          </w:p>
        </w:tc>
        <w:tc>
          <w:tcPr>
            <w:tcW w:w="2700" w:type="dxa"/>
            <w:tcMar>
              <w:top w:w="60" w:type="dxa"/>
              <w:left w:w="135" w:type="dxa"/>
              <w:bottom w:w="60" w:type="dxa"/>
              <w:right w:w="135" w:type="dxa"/>
            </w:tcMar>
          </w:tcPr>
          <w:p w14:paraId="7E4E363E" w14:textId="77777777" w:rsidR="00005C08" w:rsidRPr="000F6CD1" w:rsidRDefault="00005C08" w:rsidP="008E6691">
            <w:pPr>
              <w:spacing w:before="240" w:after="240" w:line="240" w:lineRule="auto"/>
              <w:rPr>
                <w:rFonts w:eastAsia="Arial"/>
                <w:bCs/>
              </w:rPr>
            </w:pPr>
            <w:r w:rsidRPr="000F6CD1">
              <w:rPr>
                <w:rFonts w:eastAsia="Arial"/>
                <w:bCs/>
              </w:rPr>
              <w:t>Ongoing</w:t>
            </w:r>
          </w:p>
        </w:tc>
        <w:tc>
          <w:tcPr>
            <w:tcW w:w="3945" w:type="dxa"/>
            <w:tcMar>
              <w:top w:w="60" w:type="dxa"/>
              <w:left w:w="135" w:type="dxa"/>
              <w:bottom w:w="60" w:type="dxa"/>
              <w:right w:w="135" w:type="dxa"/>
            </w:tcMar>
          </w:tcPr>
          <w:p w14:paraId="1983E090" w14:textId="7C41F8FF" w:rsidR="00005C08" w:rsidRPr="000F6CD1" w:rsidRDefault="00005C08" w:rsidP="008E6691">
            <w:pPr>
              <w:spacing w:before="240" w:after="240" w:line="240" w:lineRule="auto"/>
              <w:rPr>
                <w:rFonts w:eastAsia="Arial"/>
                <w:bCs/>
              </w:rPr>
            </w:pPr>
            <w:r w:rsidRPr="000F6CD1">
              <w:rPr>
                <w:rFonts w:eastAsia="Arial"/>
                <w:bCs/>
              </w:rPr>
              <w:t>Class 0</w:t>
            </w:r>
            <w:r w:rsidRPr="000F6CD1">
              <w:rPr>
                <w:bCs/>
              </w:rPr>
              <w:br/>
            </w:r>
            <w:r w:rsidRPr="000F6CD1">
              <w:rPr>
                <w:rFonts w:eastAsia="Arial"/>
                <w:bCs/>
              </w:rPr>
              <w:t>Class 1 to Class 13</w:t>
            </w:r>
          </w:p>
        </w:tc>
      </w:tr>
      <w:tr w:rsidR="00005C08" w:rsidRPr="000F6CD1" w14:paraId="26FD37CB" w14:textId="77777777" w:rsidTr="003C5CD3">
        <w:trPr>
          <w:trHeight w:val="570"/>
        </w:trPr>
        <w:tc>
          <w:tcPr>
            <w:tcW w:w="2355" w:type="dxa"/>
          </w:tcPr>
          <w:p w14:paraId="12084293" w14:textId="77777777" w:rsidR="00005C08" w:rsidRPr="000F6CD1"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61EEC510" w14:textId="77777777" w:rsidR="00005C08" w:rsidRPr="000F6CD1" w:rsidRDefault="00005C08" w:rsidP="008E6691">
            <w:pPr>
              <w:spacing w:before="240" w:after="240" w:line="240" w:lineRule="auto"/>
              <w:rPr>
                <w:rFonts w:eastAsia="Arial"/>
                <w:bCs/>
              </w:rPr>
            </w:pPr>
            <w:r w:rsidRPr="000F6CD1">
              <w:rPr>
                <w:rFonts w:eastAsia="Arial"/>
                <w:bCs/>
              </w:rPr>
              <w:t>Short-term</w:t>
            </w:r>
          </w:p>
        </w:tc>
        <w:tc>
          <w:tcPr>
            <w:tcW w:w="3945" w:type="dxa"/>
            <w:tcMar>
              <w:top w:w="60" w:type="dxa"/>
              <w:left w:w="135" w:type="dxa"/>
              <w:bottom w:w="60" w:type="dxa"/>
              <w:right w:w="135" w:type="dxa"/>
            </w:tcMar>
          </w:tcPr>
          <w:p w14:paraId="200AD17A" w14:textId="77777777" w:rsidR="00005C08" w:rsidRPr="000F6CD1" w:rsidRDefault="00005C08" w:rsidP="008E6691">
            <w:pPr>
              <w:spacing w:before="240" w:after="240" w:line="240" w:lineRule="auto"/>
              <w:rPr>
                <w:rFonts w:eastAsia="Arial"/>
                <w:bCs/>
              </w:rPr>
            </w:pPr>
            <w:r w:rsidRPr="000F6CD1">
              <w:rPr>
                <w:rFonts w:eastAsia="Arial"/>
                <w:bCs/>
              </w:rPr>
              <w:t>Class 0</w:t>
            </w:r>
          </w:p>
          <w:p w14:paraId="5A1306EA" w14:textId="3E5BCE4B" w:rsidR="00005C08" w:rsidRPr="000F6CD1" w:rsidRDefault="00005C08" w:rsidP="008E6691">
            <w:pPr>
              <w:spacing w:before="240" w:after="240" w:line="240" w:lineRule="auto"/>
              <w:rPr>
                <w:rFonts w:eastAsia="Arial"/>
                <w:bCs/>
              </w:rPr>
            </w:pPr>
            <w:r w:rsidRPr="000F6CD1">
              <w:rPr>
                <w:rFonts w:eastAsia="Arial"/>
                <w:bCs/>
              </w:rPr>
              <w:t xml:space="preserve">Respite class 1 </w:t>
            </w:r>
            <w:r w:rsidR="00574FE5" w:rsidRPr="000F6CD1">
              <w:rPr>
                <w:rFonts w:eastAsia="Arial"/>
                <w:bCs/>
              </w:rPr>
              <w:t>(101), Respite class 2 (102)</w:t>
            </w:r>
            <w:r w:rsidRPr="000F6CD1">
              <w:rPr>
                <w:rFonts w:eastAsia="Arial"/>
                <w:bCs/>
              </w:rPr>
              <w:t xml:space="preserve"> </w:t>
            </w:r>
            <w:r w:rsidR="00574FE5" w:rsidRPr="000F6CD1">
              <w:rPr>
                <w:rFonts w:eastAsia="Arial"/>
                <w:bCs/>
              </w:rPr>
              <w:t>and</w:t>
            </w:r>
            <w:r w:rsidRPr="000F6CD1">
              <w:rPr>
                <w:rFonts w:eastAsia="Arial"/>
                <w:bCs/>
              </w:rPr>
              <w:t xml:space="preserve"> Respite class 3</w:t>
            </w:r>
            <w:r w:rsidR="00574FE5" w:rsidRPr="000F6CD1">
              <w:rPr>
                <w:rFonts w:eastAsia="Arial"/>
                <w:bCs/>
              </w:rPr>
              <w:t xml:space="preserve"> (103)</w:t>
            </w:r>
          </w:p>
        </w:tc>
      </w:tr>
      <w:tr w:rsidR="00005C08" w:rsidRPr="000F6CD1" w14:paraId="5B105A54" w14:textId="77777777" w:rsidTr="003C5CD3">
        <w:trPr>
          <w:trHeight w:val="570"/>
        </w:trPr>
        <w:tc>
          <w:tcPr>
            <w:tcW w:w="2355" w:type="dxa"/>
          </w:tcPr>
          <w:p w14:paraId="5B523917" w14:textId="77777777" w:rsidR="00005C08" w:rsidRPr="000F6CD1" w:rsidRDefault="00005C08" w:rsidP="008E6691">
            <w:pPr>
              <w:spacing w:before="240" w:after="240" w:line="240" w:lineRule="auto"/>
              <w:rPr>
                <w:rFonts w:eastAsia="Arial"/>
                <w:bCs/>
              </w:rPr>
            </w:pPr>
          </w:p>
        </w:tc>
        <w:tc>
          <w:tcPr>
            <w:tcW w:w="2700" w:type="dxa"/>
            <w:tcMar>
              <w:top w:w="60" w:type="dxa"/>
              <w:left w:w="135" w:type="dxa"/>
              <w:bottom w:w="60" w:type="dxa"/>
              <w:right w:w="135" w:type="dxa"/>
            </w:tcMar>
          </w:tcPr>
          <w:p w14:paraId="7C651918" w14:textId="77777777" w:rsidR="00005C08" w:rsidRPr="000F6CD1" w:rsidRDefault="00005C08" w:rsidP="008E6691">
            <w:pPr>
              <w:spacing w:before="240" w:after="240" w:line="240" w:lineRule="auto"/>
              <w:rPr>
                <w:rFonts w:eastAsia="Arial"/>
                <w:bCs/>
              </w:rPr>
            </w:pPr>
            <w:r w:rsidRPr="000F6CD1">
              <w:rPr>
                <w:rFonts w:eastAsia="Arial"/>
                <w:bCs/>
              </w:rPr>
              <w:t>Hospital transition</w:t>
            </w:r>
          </w:p>
        </w:tc>
        <w:tc>
          <w:tcPr>
            <w:tcW w:w="3945" w:type="dxa"/>
            <w:tcMar>
              <w:top w:w="60" w:type="dxa"/>
              <w:left w:w="135" w:type="dxa"/>
              <w:bottom w:w="60" w:type="dxa"/>
              <w:right w:w="135" w:type="dxa"/>
            </w:tcMar>
          </w:tcPr>
          <w:p w14:paraId="4D80A395" w14:textId="1404EAB8" w:rsidR="00005C08" w:rsidRPr="000F6CD1" w:rsidRDefault="00005C08" w:rsidP="008E6691">
            <w:pPr>
              <w:spacing w:before="240" w:after="240" w:line="240" w:lineRule="auto"/>
              <w:rPr>
                <w:rFonts w:eastAsia="Arial"/>
                <w:bCs/>
              </w:rPr>
            </w:pPr>
            <w:r w:rsidRPr="000F6CD1">
              <w:rPr>
                <w:rFonts w:eastAsia="Arial"/>
                <w:bCs/>
              </w:rPr>
              <w:t>RC HT class</w:t>
            </w:r>
          </w:p>
        </w:tc>
      </w:tr>
    </w:tbl>
    <w:p w14:paraId="1D662222" w14:textId="37F05DCE" w:rsidR="00005C08" w:rsidRPr="000F6CD1" w:rsidRDefault="00005C08" w:rsidP="008E6691">
      <w:pPr>
        <w:spacing w:before="240" w:after="240" w:line="240" w:lineRule="auto"/>
        <w:rPr>
          <w:rFonts w:eastAsia="Arial"/>
          <w:color w:val="000000" w:themeColor="text1"/>
        </w:rPr>
      </w:pPr>
      <w:r w:rsidRPr="000F6CD1">
        <w:rPr>
          <w:rFonts w:eastAsia="Arial"/>
          <w:color w:val="000000" w:themeColor="text1"/>
        </w:rPr>
        <w:t>Note</w:t>
      </w:r>
      <w:r w:rsidR="003C5CD3" w:rsidRPr="000F6CD1">
        <w:rPr>
          <w:rFonts w:eastAsia="Arial"/>
          <w:color w:val="000000" w:themeColor="text1"/>
        </w:rPr>
        <w:t xml:space="preserve">: </w:t>
      </w:r>
      <w:r w:rsidRPr="000F6CD1">
        <w:rPr>
          <w:rFonts w:eastAsia="Arial"/>
          <w:color w:val="000000" w:themeColor="text1"/>
        </w:rPr>
        <w:t>‘Class 0’ is a default classification applied before the client has been assessed for their classification level.</w:t>
      </w:r>
    </w:p>
    <w:p w14:paraId="707477A6" w14:textId="08079364" w:rsidR="00005C08" w:rsidRPr="000F6CD1" w:rsidRDefault="00005C08" w:rsidP="006647CE">
      <w:pPr>
        <w:pStyle w:val="h2"/>
      </w:pPr>
      <w:bookmarkStart w:id="86" w:name="_Toc209188943"/>
      <w:bookmarkStart w:id="87" w:name="_Toc233282410"/>
      <w:r w:rsidRPr="000F6CD1">
        <w:t>Deciding if the older person requires aged care services</w:t>
      </w:r>
      <w:bookmarkEnd w:id="86"/>
      <w:bookmarkEnd w:id="87"/>
      <w:r w:rsidRPr="000F6CD1">
        <w:t> </w:t>
      </w:r>
    </w:p>
    <w:p w14:paraId="3F1F0EEB" w14:textId="5DF0BE3E" w:rsidR="003F7ECB" w:rsidRDefault="00AE29FA" w:rsidP="008E6691">
      <w:pPr>
        <w:spacing w:before="240" w:after="240" w:line="240" w:lineRule="auto"/>
      </w:pPr>
      <w:r w:rsidRPr="000F6CD1">
        <w:t xml:space="preserve">After an individual has been determined as eligible for </w:t>
      </w:r>
      <w:r w:rsidR="00867F1E" w:rsidRPr="000F6CD1">
        <w:t xml:space="preserve">an </w:t>
      </w:r>
      <w:r w:rsidRPr="000F6CD1">
        <w:t xml:space="preserve">aged care </w:t>
      </w:r>
      <w:r w:rsidR="00867F1E" w:rsidRPr="000F6CD1">
        <w:t>needs assessment</w:t>
      </w:r>
      <w:r w:rsidRPr="000F6CD1">
        <w:t>, a</w:t>
      </w:r>
      <w:r w:rsidR="002613A0" w:rsidRPr="000F6CD1">
        <w:t xml:space="preserve">n </w:t>
      </w:r>
      <w:r w:rsidR="001839E9" w:rsidRPr="000F6CD1">
        <w:t xml:space="preserve">assessment </w:t>
      </w:r>
      <w:r w:rsidR="00F141B7" w:rsidRPr="000F6CD1">
        <w:t>delegate determines</w:t>
      </w:r>
      <w:r w:rsidR="00005C08" w:rsidRPr="000F6CD1">
        <w:t xml:space="preserve"> whether the</w:t>
      </w:r>
      <w:r w:rsidR="002925BC" w:rsidRPr="000F6CD1">
        <w:t xml:space="preserve"> assessed</w:t>
      </w:r>
      <w:r w:rsidR="00005C08" w:rsidRPr="000F6CD1">
        <w:t xml:space="preserve"> individual requires access to funded aged care services, and which service groups, and in some cases service types and services they require. This requirement is set out in subsection 65(2) of the Act. </w:t>
      </w:r>
    </w:p>
    <w:p w14:paraId="5A362EBB" w14:textId="13125D7E" w:rsidR="00005C08" w:rsidRPr="000F6CD1" w:rsidRDefault="003F7ECB" w:rsidP="003F7ECB">
      <w:r>
        <w:br w:type="page"/>
      </w:r>
    </w:p>
    <w:p w14:paraId="258C31B4" w14:textId="77777777" w:rsidR="00005C08" w:rsidRPr="000F6CD1" w:rsidRDefault="00005C08" w:rsidP="008E6691">
      <w:pPr>
        <w:spacing w:before="240" w:after="240" w:line="240" w:lineRule="auto"/>
      </w:pPr>
      <w:r w:rsidRPr="000F6CD1">
        <w:lastRenderedPageBreak/>
        <w:t>This decision is made based on: </w:t>
      </w:r>
    </w:p>
    <w:p w14:paraId="0E5B8230" w14:textId="77777777" w:rsidR="00005C08" w:rsidRPr="000F6CD1" w:rsidRDefault="00005C08" w:rsidP="008E6691">
      <w:pPr>
        <w:numPr>
          <w:ilvl w:val="0"/>
          <w:numId w:val="9"/>
        </w:numPr>
        <w:spacing w:before="240" w:after="240" w:line="240" w:lineRule="auto"/>
        <w:rPr>
          <w:szCs w:val="22"/>
        </w:rPr>
      </w:pPr>
      <w:r w:rsidRPr="000F6CD1">
        <w:rPr>
          <w:szCs w:val="22"/>
        </w:rPr>
        <w:t>An assessment report (referred to in practice as the Support Plan),  </w:t>
      </w:r>
    </w:p>
    <w:p w14:paraId="679E1CF7" w14:textId="69C22D97" w:rsidR="00005C08" w:rsidRPr="000F6CD1" w:rsidRDefault="00005C08" w:rsidP="008E6691">
      <w:pPr>
        <w:numPr>
          <w:ilvl w:val="0"/>
          <w:numId w:val="10"/>
        </w:numPr>
        <w:spacing w:before="240" w:after="240" w:line="240" w:lineRule="auto"/>
        <w:rPr>
          <w:szCs w:val="22"/>
        </w:rPr>
      </w:pPr>
      <w:r w:rsidRPr="000F6CD1">
        <w:rPr>
          <w:szCs w:val="22"/>
        </w:rPr>
        <w:t>In the case of reassessments in accordance with subparagraph 64(1)(c)(ii) of the Act, any relevant information relating to the individual provided. </w:t>
      </w:r>
    </w:p>
    <w:p w14:paraId="37CA0C0B" w14:textId="4A76DC98" w:rsidR="00005C08" w:rsidRPr="000F6CD1" w:rsidRDefault="00005C08" w:rsidP="008E6691">
      <w:pPr>
        <w:spacing w:before="240" w:after="240" w:line="240" w:lineRule="auto"/>
        <w:rPr>
          <w:szCs w:val="22"/>
        </w:rPr>
      </w:pPr>
      <w:r w:rsidRPr="000F6CD1">
        <w:rPr>
          <w:szCs w:val="22"/>
        </w:rPr>
        <w:t xml:space="preserve">The table below summarises the sections of the Act that relate to eligibility for access to services. These sections of the Act, and how they apply to </w:t>
      </w:r>
      <w:r w:rsidR="00810064" w:rsidRPr="000F6CD1">
        <w:rPr>
          <w:szCs w:val="22"/>
        </w:rPr>
        <w:t xml:space="preserve">an </w:t>
      </w:r>
      <w:r w:rsidR="00062DD7" w:rsidRPr="000F6CD1">
        <w:rPr>
          <w:szCs w:val="22"/>
        </w:rPr>
        <w:t>A</w:t>
      </w:r>
      <w:r w:rsidR="00810064" w:rsidRPr="000F6CD1">
        <w:rPr>
          <w:szCs w:val="22"/>
        </w:rPr>
        <w:t xml:space="preserve">ssessment </w:t>
      </w:r>
      <w:r w:rsidR="00062DD7" w:rsidRPr="000F6CD1">
        <w:rPr>
          <w:szCs w:val="22"/>
        </w:rPr>
        <w:t>D</w:t>
      </w:r>
      <w:r w:rsidR="00810064" w:rsidRPr="000F6CD1">
        <w:rPr>
          <w:szCs w:val="22"/>
        </w:rPr>
        <w:t>elegate’s</w:t>
      </w:r>
      <w:r w:rsidRPr="000F6CD1">
        <w:rPr>
          <w:szCs w:val="22"/>
        </w:rPr>
        <w:t xml:space="preserve"> decision-making, are explained in detail </w:t>
      </w:r>
      <w:r w:rsidR="00E21E26" w:rsidRPr="000F6CD1">
        <w:rPr>
          <w:szCs w:val="22"/>
        </w:rPr>
        <w:t xml:space="preserve">in </w:t>
      </w:r>
      <w:r w:rsidR="006E2D85" w:rsidRPr="000F6CD1">
        <w:rPr>
          <w:szCs w:val="22"/>
        </w:rPr>
        <w:fldChar w:fldCharType="begin"/>
      </w:r>
      <w:r w:rsidR="006E2D85" w:rsidRPr="000F6CD1">
        <w:rPr>
          <w:szCs w:val="22"/>
        </w:rPr>
        <w:instrText xml:space="preserve"> REF _Ref232589765 \h </w:instrText>
      </w:r>
      <w:r w:rsidR="006E2D85" w:rsidRPr="000F6CD1">
        <w:rPr>
          <w:szCs w:val="22"/>
        </w:rPr>
      </w:r>
      <w:r w:rsidR="006E2D85" w:rsidRPr="000F6CD1">
        <w:rPr>
          <w:szCs w:val="22"/>
        </w:rPr>
        <w:fldChar w:fldCharType="separate"/>
      </w:r>
      <w:r w:rsidR="004B171E" w:rsidRPr="000F6CD1">
        <w:t>Chapter 7: Delegations and approvals under the Act</w:t>
      </w:r>
      <w:r w:rsidR="006E2D85" w:rsidRPr="000F6CD1">
        <w:rPr>
          <w:szCs w:val="22"/>
        </w:rPr>
        <w:fldChar w:fldCharType="end"/>
      </w:r>
      <w:r w:rsidR="000B54D6" w:rsidRPr="000F6CD1">
        <w:rPr>
          <w:szCs w:val="22"/>
        </w:rPr>
        <w:t xml:space="preserve"> </w:t>
      </w:r>
      <w:r w:rsidR="006E2D85" w:rsidRPr="000F6CD1">
        <w:rPr>
          <w:szCs w:val="22"/>
        </w:rPr>
        <w:t xml:space="preserve">and </w:t>
      </w:r>
      <w:r w:rsidR="006E2D85" w:rsidRPr="000F6CD1">
        <w:rPr>
          <w:szCs w:val="22"/>
        </w:rPr>
        <w:fldChar w:fldCharType="begin"/>
      </w:r>
      <w:r w:rsidR="006E2D85" w:rsidRPr="000F6CD1">
        <w:rPr>
          <w:szCs w:val="22"/>
        </w:rPr>
        <w:instrText xml:space="preserve"> REF _Ref232589810 \h </w:instrText>
      </w:r>
      <w:r w:rsidR="006E2D85" w:rsidRPr="000F6CD1">
        <w:rPr>
          <w:szCs w:val="22"/>
        </w:rPr>
      </w:r>
      <w:r w:rsidR="006E2D85" w:rsidRPr="000F6CD1">
        <w:rPr>
          <w:szCs w:val="22"/>
        </w:rPr>
        <w:fldChar w:fldCharType="separate"/>
      </w:r>
      <w:r w:rsidR="004B171E" w:rsidRPr="000F6CD1">
        <w:t>Chapter 8: Delegate decisions in practice</w:t>
      </w:r>
      <w:r w:rsidR="006E2D85" w:rsidRPr="000F6CD1">
        <w:rPr>
          <w:szCs w:val="22"/>
        </w:rPr>
        <w:fldChar w:fldCharType="end"/>
      </w:r>
      <w:r w:rsidR="006E2D85" w:rsidRPr="000F6CD1">
        <w:rPr>
          <w:szCs w:val="22"/>
        </w:rPr>
        <w:t xml:space="preserve">. </w:t>
      </w:r>
    </w:p>
    <w:p w14:paraId="5D3CD371" w14:textId="1E9BD6D3" w:rsidR="00005C08" w:rsidRPr="000F6CD1" w:rsidRDefault="00005C08" w:rsidP="008E6691">
      <w:pPr>
        <w:pStyle w:val="Caption"/>
        <w:spacing w:before="240" w:after="240"/>
        <w:rPr>
          <w:bCs/>
        </w:rPr>
      </w:pPr>
      <w:r w:rsidRPr="000F6CD1">
        <w:t> </w:t>
      </w:r>
      <w:r w:rsidR="003F1827" w:rsidRPr="000F6CD1">
        <w:rPr>
          <w:bCs/>
        </w:rPr>
        <w:t xml:space="preserve">Table </w:t>
      </w:r>
      <w:r w:rsidR="00AA707E" w:rsidRPr="000F6CD1">
        <w:rPr>
          <w:bCs/>
        </w:rPr>
        <w:t>9</w:t>
      </w:r>
      <w:r w:rsidR="003F1827" w:rsidRPr="000F6CD1">
        <w:rPr>
          <w:bCs/>
        </w:rPr>
        <w:t xml:space="preserve">: </w:t>
      </w:r>
      <w:r w:rsidR="002D1934" w:rsidRPr="000F6CD1">
        <w:rPr>
          <w:bCs/>
          <w:szCs w:val="22"/>
        </w:rPr>
        <w:t>Approval to access funded aged care services under section 65</w:t>
      </w:r>
      <w:r w:rsidR="002D1934" w:rsidRPr="000F6CD1">
        <w:rPr>
          <w:bCs/>
        </w:rPr>
        <w:t>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of the Aged Care Act 2024"/>
        <w:tblDescription w:val="Overview of sections of the Aged Care Act 2024 which relate to eligibility for access to services "/>
      </w:tblPr>
      <w:tblGrid>
        <w:gridCol w:w="937"/>
        <w:gridCol w:w="2221"/>
        <w:gridCol w:w="1968"/>
        <w:gridCol w:w="1793"/>
        <w:gridCol w:w="2618"/>
        <w:gridCol w:w="14"/>
        <w:gridCol w:w="6"/>
      </w:tblGrid>
      <w:tr w:rsidR="002D1934" w:rsidRPr="000F6CD1" w14:paraId="340D3DC1" w14:textId="77777777" w:rsidTr="00662566">
        <w:trPr>
          <w:gridAfter w:val="1"/>
          <w:trHeight w:val="300"/>
          <w:tblHeader/>
        </w:trPr>
        <w:tc>
          <w:tcPr>
            <w:tcW w:w="937" w:type="dxa"/>
            <w:shd w:val="clear" w:color="auto" w:fill="002060"/>
            <w:hideMark/>
          </w:tcPr>
          <w:p w14:paraId="7C1BA011" w14:textId="77777777" w:rsidR="00005C08" w:rsidRPr="000F6CD1" w:rsidRDefault="00005C08" w:rsidP="00EA4CD9">
            <w:pPr>
              <w:spacing w:before="240" w:after="240" w:line="240" w:lineRule="auto"/>
              <w:ind w:left="57"/>
              <w:rPr>
                <w:b/>
                <w:color w:val="FFFFFF" w:themeColor="background1"/>
                <w:szCs w:val="22"/>
              </w:rPr>
            </w:pPr>
            <w:r w:rsidRPr="000F6CD1">
              <w:rPr>
                <w:b/>
                <w:color w:val="FFFFFF" w:themeColor="background1"/>
                <w:szCs w:val="22"/>
              </w:rPr>
              <w:t>Section of the Act </w:t>
            </w:r>
          </w:p>
        </w:tc>
        <w:tc>
          <w:tcPr>
            <w:tcW w:w="2221" w:type="dxa"/>
            <w:shd w:val="clear" w:color="auto" w:fill="002060"/>
            <w:hideMark/>
          </w:tcPr>
          <w:p w14:paraId="4AD8B49F" w14:textId="73140550" w:rsidR="00005C08" w:rsidRPr="000F6CD1" w:rsidRDefault="00B70F5C" w:rsidP="008E6691">
            <w:pPr>
              <w:spacing w:before="240" w:after="240" w:line="240" w:lineRule="auto"/>
              <w:rPr>
                <w:color w:val="FFFFFF" w:themeColor="background1"/>
                <w:szCs w:val="22"/>
              </w:rPr>
            </w:pPr>
            <w:r w:rsidRPr="000F6CD1">
              <w:rPr>
                <w:b/>
                <w:color w:val="FFFFFF" w:themeColor="background1"/>
                <w:szCs w:val="22"/>
              </w:rPr>
              <w:t xml:space="preserve"> </w:t>
            </w:r>
            <w:r w:rsidR="00005C08" w:rsidRPr="000F6CD1">
              <w:rPr>
                <w:b/>
                <w:color w:val="FFFFFF" w:themeColor="background1"/>
                <w:szCs w:val="22"/>
              </w:rPr>
              <w:t>Criteria</w:t>
            </w:r>
            <w:r w:rsidR="00005C08" w:rsidRPr="000F6CD1">
              <w:rPr>
                <w:color w:val="FFFFFF" w:themeColor="background1"/>
                <w:szCs w:val="22"/>
              </w:rPr>
              <w:t> </w:t>
            </w:r>
          </w:p>
        </w:tc>
        <w:tc>
          <w:tcPr>
            <w:tcW w:w="1968" w:type="dxa"/>
            <w:shd w:val="clear" w:color="auto" w:fill="002060"/>
            <w:hideMark/>
          </w:tcPr>
          <w:p w14:paraId="769608C2" w14:textId="77777777" w:rsidR="00005C08" w:rsidRPr="000F6CD1" w:rsidRDefault="00005C08" w:rsidP="008E6691">
            <w:pPr>
              <w:spacing w:before="240" w:after="240" w:line="240" w:lineRule="auto"/>
              <w:ind w:firstLine="7"/>
              <w:rPr>
                <w:color w:val="FFFFFF" w:themeColor="background1"/>
                <w:szCs w:val="22"/>
              </w:rPr>
            </w:pPr>
            <w:r w:rsidRPr="000F6CD1">
              <w:rPr>
                <w:b/>
                <w:color w:val="FFFFFF" w:themeColor="background1"/>
                <w:szCs w:val="22"/>
              </w:rPr>
              <w:t>Available Service Group/s</w:t>
            </w:r>
            <w:r w:rsidRPr="000F6CD1">
              <w:rPr>
                <w:color w:val="FFFFFF" w:themeColor="background1"/>
                <w:szCs w:val="22"/>
              </w:rPr>
              <w:t> </w:t>
            </w:r>
          </w:p>
        </w:tc>
        <w:tc>
          <w:tcPr>
            <w:tcW w:w="1793" w:type="dxa"/>
            <w:shd w:val="clear" w:color="auto" w:fill="002060"/>
            <w:hideMark/>
          </w:tcPr>
          <w:p w14:paraId="74DAE1E0" w14:textId="77777777" w:rsidR="00005C08" w:rsidRPr="000F6CD1" w:rsidRDefault="00005C08" w:rsidP="008E6691">
            <w:pPr>
              <w:spacing w:before="240" w:after="240" w:line="240" w:lineRule="auto"/>
              <w:rPr>
                <w:color w:val="FFFFFF" w:themeColor="background1"/>
                <w:szCs w:val="22"/>
              </w:rPr>
            </w:pPr>
            <w:r w:rsidRPr="000F6CD1">
              <w:rPr>
                <w:b/>
                <w:color w:val="FFFFFF" w:themeColor="background1"/>
                <w:szCs w:val="22"/>
              </w:rPr>
              <w:t>Available classification type/s</w:t>
            </w:r>
            <w:r w:rsidRPr="000F6CD1">
              <w:rPr>
                <w:color w:val="FFFFFF" w:themeColor="background1"/>
                <w:szCs w:val="22"/>
              </w:rPr>
              <w:t> </w:t>
            </w:r>
          </w:p>
        </w:tc>
        <w:tc>
          <w:tcPr>
            <w:tcW w:w="2618" w:type="dxa"/>
            <w:shd w:val="clear" w:color="auto" w:fill="002060"/>
            <w:hideMark/>
          </w:tcPr>
          <w:p w14:paraId="0C1841B1" w14:textId="77777777" w:rsidR="00005C08" w:rsidRPr="000F6CD1" w:rsidRDefault="00005C08" w:rsidP="008E6691">
            <w:pPr>
              <w:spacing w:before="240" w:after="240" w:line="240" w:lineRule="auto"/>
              <w:rPr>
                <w:color w:val="FFFFFF" w:themeColor="background1"/>
                <w:szCs w:val="22"/>
              </w:rPr>
            </w:pPr>
            <w:r w:rsidRPr="000F6CD1">
              <w:rPr>
                <w:b/>
                <w:color w:val="FFFFFF" w:themeColor="background1"/>
                <w:szCs w:val="22"/>
              </w:rPr>
              <w:t>Relevant program/s</w:t>
            </w:r>
            <w:r w:rsidRPr="000F6CD1">
              <w:rPr>
                <w:color w:val="FFFFFF" w:themeColor="background1"/>
                <w:szCs w:val="22"/>
              </w:rPr>
              <w:t> </w:t>
            </w:r>
          </w:p>
        </w:tc>
        <w:tc>
          <w:tcPr>
            <w:tcW w:w="0" w:type="auto"/>
            <w:shd w:val="clear" w:color="auto" w:fill="3F4A75"/>
            <w:vAlign w:val="center"/>
            <w:hideMark/>
          </w:tcPr>
          <w:p w14:paraId="199CEBC2" w14:textId="77777777" w:rsidR="00005C08" w:rsidRPr="000F6CD1" w:rsidRDefault="00005C08" w:rsidP="008E6691">
            <w:pPr>
              <w:spacing w:before="240" w:after="240" w:line="240" w:lineRule="auto"/>
              <w:rPr>
                <w:color w:val="FFFFFF" w:themeColor="background1"/>
                <w:szCs w:val="22"/>
              </w:rPr>
            </w:pPr>
          </w:p>
        </w:tc>
      </w:tr>
      <w:tr w:rsidR="00005C08" w:rsidRPr="000F6CD1" w14:paraId="0534DC2E" w14:textId="77777777" w:rsidTr="00662566">
        <w:trPr>
          <w:trHeight w:val="300"/>
        </w:trPr>
        <w:tc>
          <w:tcPr>
            <w:tcW w:w="937" w:type="dxa"/>
            <w:shd w:val="clear" w:color="auto" w:fill="002060"/>
            <w:hideMark/>
          </w:tcPr>
          <w:p w14:paraId="7B06EB81" w14:textId="77777777" w:rsidR="00005C08" w:rsidRPr="000F6CD1" w:rsidRDefault="00005C08" w:rsidP="00EA4CD9">
            <w:pPr>
              <w:spacing w:before="240" w:after="240" w:line="240" w:lineRule="auto"/>
              <w:ind w:left="57"/>
              <w:rPr>
                <w:b/>
                <w:szCs w:val="22"/>
              </w:rPr>
            </w:pPr>
            <w:r w:rsidRPr="000F6CD1">
              <w:rPr>
                <w:b/>
                <w:szCs w:val="22"/>
              </w:rPr>
              <w:t>66 </w:t>
            </w:r>
          </w:p>
        </w:tc>
        <w:tc>
          <w:tcPr>
            <w:tcW w:w="2221" w:type="dxa"/>
            <w:shd w:val="clear" w:color="auto" w:fill="FFFFFF" w:themeFill="background1"/>
            <w:hideMark/>
          </w:tcPr>
          <w:p w14:paraId="1385230D" w14:textId="37E4A0AF" w:rsidR="00005C08" w:rsidRPr="000F6CD1" w:rsidRDefault="00005C08" w:rsidP="00EA4CD9">
            <w:pPr>
              <w:spacing w:before="240" w:after="240" w:line="240" w:lineRule="auto"/>
              <w:ind w:left="57"/>
              <w:rPr>
                <w:szCs w:val="22"/>
              </w:rPr>
            </w:pPr>
            <w:r w:rsidRPr="000F6CD1">
              <w:rPr>
                <w:szCs w:val="22"/>
              </w:rPr>
              <w:t>Individual must be an Aboriginal or Torres Strait Islander person </w:t>
            </w:r>
          </w:p>
          <w:p w14:paraId="79B3B833" w14:textId="77777777" w:rsidR="00520299" w:rsidRPr="000F6CD1" w:rsidRDefault="00520299" w:rsidP="00EA4CD9">
            <w:pPr>
              <w:spacing w:before="240" w:after="240" w:line="240" w:lineRule="auto"/>
              <w:ind w:left="57"/>
              <w:rPr>
                <w:szCs w:val="22"/>
              </w:rPr>
            </w:pPr>
          </w:p>
          <w:p w14:paraId="53859E43" w14:textId="7DFB7A64" w:rsidR="00520299" w:rsidRPr="000F6CD1" w:rsidRDefault="00520299" w:rsidP="00EA4CD9">
            <w:pPr>
              <w:spacing w:before="240" w:after="240" w:line="240" w:lineRule="auto"/>
              <w:ind w:left="57"/>
              <w:rPr>
                <w:szCs w:val="22"/>
              </w:rPr>
            </w:pPr>
            <w:r w:rsidRPr="000F6CD1">
              <w:t xml:space="preserve">The individual must meet any eligibility requirements prescribed by the rules for the relevant service group. </w:t>
            </w:r>
          </w:p>
        </w:tc>
        <w:tc>
          <w:tcPr>
            <w:tcW w:w="1968" w:type="dxa"/>
            <w:hideMark/>
          </w:tcPr>
          <w:p w14:paraId="4815477B" w14:textId="77777777" w:rsidR="00005C08" w:rsidRPr="000F6CD1" w:rsidRDefault="00005C08" w:rsidP="008E6691">
            <w:pPr>
              <w:numPr>
                <w:ilvl w:val="0"/>
                <w:numId w:val="11"/>
              </w:numPr>
              <w:spacing w:before="240" w:after="240" w:line="240" w:lineRule="auto"/>
              <w:ind w:left="360" w:hanging="276"/>
              <w:rPr>
                <w:szCs w:val="22"/>
              </w:rPr>
            </w:pPr>
            <w:r w:rsidRPr="000F6CD1">
              <w:rPr>
                <w:szCs w:val="22"/>
              </w:rPr>
              <w:t>Residential Care </w:t>
            </w:r>
          </w:p>
          <w:p w14:paraId="73641D09" w14:textId="71F8B39E" w:rsidR="00005C08" w:rsidRPr="000F6CD1" w:rsidRDefault="00005C08" w:rsidP="008E6691">
            <w:pPr>
              <w:numPr>
                <w:ilvl w:val="0"/>
                <w:numId w:val="12"/>
              </w:numPr>
              <w:spacing w:before="240" w:after="240" w:line="240" w:lineRule="auto"/>
              <w:ind w:left="360" w:hanging="276"/>
              <w:rPr>
                <w:szCs w:val="22"/>
              </w:rPr>
            </w:pPr>
            <w:r w:rsidRPr="000F6CD1">
              <w:rPr>
                <w:szCs w:val="22"/>
              </w:rPr>
              <w:t xml:space="preserve">Home </w:t>
            </w:r>
            <w:r w:rsidR="00956F28" w:rsidRPr="000F6CD1">
              <w:rPr>
                <w:szCs w:val="22"/>
              </w:rPr>
              <w:t>support </w:t>
            </w:r>
          </w:p>
          <w:p w14:paraId="62BADCED" w14:textId="3A005164" w:rsidR="00005C08" w:rsidRPr="000F6CD1" w:rsidRDefault="00005C08" w:rsidP="008E6691">
            <w:pPr>
              <w:numPr>
                <w:ilvl w:val="0"/>
                <w:numId w:val="13"/>
              </w:numPr>
              <w:spacing w:before="240" w:after="240" w:line="240" w:lineRule="auto"/>
              <w:ind w:left="360" w:hanging="276"/>
              <w:rPr>
                <w:szCs w:val="22"/>
              </w:rPr>
            </w:pPr>
            <w:r w:rsidRPr="000F6CD1">
              <w:rPr>
                <w:szCs w:val="22"/>
              </w:rPr>
              <w:t xml:space="preserve">Assistive </w:t>
            </w:r>
            <w:r w:rsidR="00956F28" w:rsidRPr="000F6CD1">
              <w:rPr>
                <w:szCs w:val="22"/>
              </w:rPr>
              <w:t>technology </w:t>
            </w:r>
          </w:p>
          <w:p w14:paraId="35BA5746" w14:textId="6E3C1B02" w:rsidR="00005C08" w:rsidRPr="000F6CD1" w:rsidRDefault="00005C08" w:rsidP="008E6691">
            <w:pPr>
              <w:numPr>
                <w:ilvl w:val="0"/>
                <w:numId w:val="14"/>
              </w:numPr>
              <w:spacing w:before="240" w:after="240" w:line="240" w:lineRule="auto"/>
              <w:ind w:left="360" w:hanging="276"/>
              <w:rPr>
                <w:szCs w:val="22"/>
              </w:rPr>
            </w:pPr>
            <w:r w:rsidRPr="000F6CD1">
              <w:rPr>
                <w:szCs w:val="22"/>
              </w:rPr>
              <w:t xml:space="preserve">Home </w:t>
            </w:r>
            <w:r w:rsidR="00956F28" w:rsidRPr="000F6CD1">
              <w:rPr>
                <w:szCs w:val="22"/>
              </w:rPr>
              <w:t>modifications  </w:t>
            </w:r>
          </w:p>
        </w:tc>
        <w:tc>
          <w:tcPr>
            <w:tcW w:w="1793" w:type="dxa"/>
            <w:hideMark/>
          </w:tcPr>
          <w:p w14:paraId="48B2F6D7" w14:textId="77777777" w:rsidR="00005C08" w:rsidRPr="000F6CD1" w:rsidRDefault="00005C08" w:rsidP="008E6691">
            <w:pPr>
              <w:spacing w:before="240" w:after="240" w:line="240" w:lineRule="auto"/>
              <w:rPr>
                <w:szCs w:val="22"/>
              </w:rPr>
            </w:pPr>
            <w:r w:rsidRPr="000F6CD1">
              <w:rPr>
                <w:szCs w:val="22"/>
              </w:rPr>
              <w:t>All classification types </w:t>
            </w:r>
          </w:p>
        </w:tc>
        <w:tc>
          <w:tcPr>
            <w:tcW w:w="2632" w:type="dxa"/>
            <w:gridSpan w:val="2"/>
            <w:hideMark/>
          </w:tcPr>
          <w:p w14:paraId="14B46ADA" w14:textId="5FDE154C" w:rsidR="00005C08" w:rsidRPr="000F6CD1" w:rsidRDefault="00005C08" w:rsidP="008E6691">
            <w:pPr>
              <w:spacing w:before="240" w:after="240" w:line="240" w:lineRule="auto"/>
              <w:rPr>
                <w:szCs w:val="22"/>
              </w:rPr>
            </w:pPr>
            <w:r w:rsidRPr="000F6CD1">
              <w:rPr>
                <w:szCs w:val="22"/>
              </w:rPr>
              <w:t xml:space="preserve">All programs, but in particular </w:t>
            </w:r>
            <w:r w:rsidR="00F664AA" w:rsidRPr="000F6CD1">
              <w:rPr>
                <w:szCs w:val="22"/>
              </w:rPr>
              <w:t xml:space="preserve">Services under the </w:t>
            </w:r>
            <w:r w:rsidR="00CA21D0" w:rsidRPr="000F6CD1">
              <w:rPr>
                <w:szCs w:val="22"/>
              </w:rPr>
              <w:t>NATSIFACP</w:t>
            </w:r>
            <w:r w:rsidR="00CA21D0" w:rsidRPr="000F6CD1">
              <w:rPr>
                <w:szCs w:val="22"/>
                <w:vertAlign w:val="superscript"/>
              </w:rPr>
              <w:t>*</w:t>
            </w:r>
            <w:r w:rsidR="00CA21D0" w:rsidRPr="000F6CD1">
              <w:rPr>
                <w:szCs w:val="22"/>
              </w:rPr>
              <w:t> </w:t>
            </w:r>
          </w:p>
          <w:p w14:paraId="6873F161" w14:textId="77777777" w:rsidR="00005C08" w:rsidRPr="000F6CD1" w:rsidRDefault="00005C08" w:rsidP="008E6691">
            <w:pPr>
              <w:spacing w:before="240" w:after="240" w:line="240" w:lineRule="auto"/>
              <w:rPr>
                <w:szCs w:val="22"/>
              </w:rPr>
            </w:pPr>
            <w:r w:rsidRPr="000F6CD1">
              <w:rPr>
                <w:szCs w:val="22"/>
              </w:rPr>
              <w:t> </w:t>
            </w:r>
          </w:p>
          <w:p w14:paraId="42FFFB51" w14:textId="77777777" w:rsidR="00005C08" w:rsidRPr="000F6CD1" w:rsidRDefault="00005C08" w:rsidP="008E6691">
            <w:pPr>
              <w:spacing w:before="240" w:after="240" w:line="240" w:lineRule="auto"/>
              <w:rPr>
                <w:szCs w:val="22"/>
              </w:rPr>
            </w:pPr>
            <w:r w:rsidRPr="000F6CD1">
              <w:rPr>
                <w:szCs w:val="22"/>
              </w:rPr>
              <w:t> </w:t>
            </w:r>
          </w:p>
        </w:tc>
        <w:tc>
          <w:tcPr>
            <w:tcW w:w="0" w:type="auto"/>
            <w:vAlign w:val="center"/>
            <w:hideMark/>
          </w:tcPr>
          <w:p w14:paraId="71592D89" w14:textId="77777777" w:rsidR="00005C08" w:rsidRPr="000F6CD1" w:rsidRDefault="00005C08" w:rsidP="008E6691">
            <w:pPr>
              <w:spacing w:before="240" w:after="240" w:line="240" w:lineRule="auto"/>
              <w:rPr>
                <w:szCs w:val="22"/>
              </w:rPr>
            </w:pPr>
          </w:p>
        </w:tc>
      </w:tr>
      <w:tr w:rsidR="00005C08" w:rsidRPr="000F6CD1" w14:paraId="01AF0734" w14:textId="77777777" w:rsidTr="00662566">
        <w:trPr>
          <w:trHeight w:val="300"/>
        </w:trPr>
        <w:tc>
          <w:tcPr>
            <w:tcW w:w="937" w:type="dxa"/>
            <w:shd w:val="clear" w:color="auto" w:fill="002060"/>
            <w:hideMark/>
          </w:tcPr>
          <w:p w14:paraId="57EF8A7B" w14:textId="77777777" w:rsidR="00005C08" w:rsidRPr="000F6CD1" w:rsidRDefault="00005C08" w:rsidP="00EA4CD9">
            <w:pPr>
              <w:spacing w:before="240" w:after="240" w:line="240" w:lineRule="auto"/>
              <w:ind w:left="57"/>
              <w:rPr>
                <w:b/>
                <w:szCs w:val="22"/>
              </w:rPr>
            </w:pPr>
            <w:r w:rsidRPr="000F6CD1">
              <w:rPr>
                <w:b/>
                <w:szCs w:val="22"/>
              </w:rPr>
              <w:t>67 </w:t>
            </w:r>
          </w:p>
        </w:tc>
        <w:tc>
          <w:tcPr>
            <w:tcW w:w="2221" w:type="dxa"/>
            <w:shd w:val="clear" w:color="auto" w:fill="FFFFFF" w:themeFill="background1"/>
            <w:hideMark/>
          </w:tcPr>
          <w:p w14:paraId="1BA06C40" w14:textId="44455FD6" w:rsidR="00005C08" w:rsidRPr="000F6CD1" w:rsidRDefault="00005C08" w:rsidP="00EA4CD9">
            <w:pPr>
              <w:spacing w:before="240" w:after="240" w:line="240" w:lineRule="auto"/>
              <w:ind w:left="57"/>
              <w:rPr>
                <w:szCs w:val="22"/>
              </w:rPr>
            </w:pPr>
            <w:r w:rsidRPr="000F6CD1">
              <w:rPr>
                <w:szCs w:val="22"/>
              </w:rPr>
              <w:t xml:space="preserve">Individual must have an impairment; </w:t>
            </w:r>
            <w:r w:rsidRPr="000F6CD1">
              <w:rPr>
                <w:b/>
                <w:szCs w:val="22"/>
              </w:rPr>
              <w:t>and</w:t>
            </w:r>
            <w:r w:rsidRPr="000F6CD1">
              <w:rPr>
                <w:szCs w:val="22"/>
              </w:rPr>
              <w:t> </w:t>
            </w:r>
          </w:p>
          <w:p w14:paraId="6FC4BDFC" w14:textId="77777777" w:rsidR="00577262" w:rsidRPr="000F6CD1" w:rsidRDefault="00577262" w:rsidP="00EA4CD9">
            <w:pPr>
              <w:spacing w:before="240" w:after="240" w:line="240" w:lineRule="auto"/>
              <w:ind w:left="57" w:hanging="333"/>
              <w:rPr>
                <w:szCs w:val="22"/>
              </w:rPr>
            </w:pPr>
          </w:p>
          <w:p w14:paraId="74658560" w14:textId="6BE3041A" w:rsidR="00005C08" w:rsidRPr="000F6CD1" w:rsidRDefault="008854DC" w:rsidP="00EA4CD9">
            <w:pPr>
              <w:spacing w:before="240" w:after="240" w:line="240" w:lineRule="auto"/>
              <w:ind w:left="57"/>
              <w:rPr>
                <w:szCs w:val="22"/>
              </w:rPr>
            </w:pPr>
            <w:r w:rsidRPr="000F6CD1">
              <w:rPr>
                <w:szCs w:val="22"/>
              </w:rPr>
              <w:t>There m</w:t>
            </w:r>
            <w:r w:rsidR="00005C08" w:rsidRPr="000F6CD1">
              <w:rPr>
                <w:szCs w:val="22"/>
              </w:rPr>
              <w:t>ust be a specific reason why the individual requires access to the service type/s or services</w:t>
            </w:r>
            <w:r w:rsidRPr="000F6CD1">
              <w:rPr>
                <w:szCs w:val="22"/>
              </w:rPr>
              <w:t>.</w:t>
            </w:r>
            <w:r w:rsidR="00005C08" w:rsidRPr="000F6CD1">
              <w:rPr>
                <w:szCs w:val="22"/>
              </w:rPr>
              <w:t xml:space="preserve"> </w:t>
            </w:r>
          </w:p>
          <w:p w14:paraId="561636D3" w14:textId="77777777" w:rsidR="000C3A44" w:rsidRPr="000F6CD1" w:rsidRDefault="000C3A44" w:rsidP="00EA4CD9">
            <w:pPr>
              <w:spacing w:before="240" w:after="240" w:line="240" w:lineRule="auto"/>
              <w:ind w:left="57" w:hanging="333"/>
            </w:pPr>
          </w:p>
          <w:p w14:paraId="0639D4C3" w14:textId="65301D86" w:rsidR="000C3A44" w:rsidRPr="000F6CD1" w:rsidRDefault="000C3A44" w:rsidP="00EA4CD9">
            <w:pPr>
              <w:spacing w:before="240" w:after="240" w:line="240" w:lineRule="auto"/>
              <w:ind w:left="57"/>
            </w:pPr>
            <w:r w:rsidRPr="000F6CD1">
              <w:t>The individual must meet any eligibility requirements prescribed by the rules for the relevant service group.</w:t>
            </w:r>
          </w:p>
          <w:p w14:paraId="75BAA191" w14:textId="77777777" w:rsidR="00005C08" w:rsidRPr="000F6CD1" w:rsidRDefault="00005C08" w:rsidP="00EA4CD9">
            <w:pPr>
              <w:spacing w:before="240" w:after="240" w:line="240" w:lineRule="auto"/>
              <w:ind w:left="57"/>
              <w:rPr>
                <w:szCs w:val="22"/>
              </w:rPr>
            </w:pPr>
            <w:r w:rsidRPr="000F6CD1">
              <w:rPr>
                <w:szCs w:val="22"/>
              </w:rPr>
              <w:t> </w:t>
            </w:r>
          </w:p>
        </w:tc>
        <w:tc>
          <w:tcPr>
            <w:tcW w:w="1968" w:type="dxa"/>
            <w:hideMark/>
          </w:tcPr>
          <w:p w14:paraId="13D534E2" w14:textId="31D67ED7" w:rsidR="00005C08" w:rsidRPr="000F6CD1" w:rsidRDefault="00005C08" w:rsidP="008E6691">
            <w:pPr>
              <w:numPr>
                <w:ilvl w:val="0"/>
                <w:numId w:val="15"/>
              </w:numPr>
              <w:spacing w:before="240" w:after="240" w:line="240" w:lineRule="auto"/>
              <w:ind w:left="360" w:hanging="276"/>
              <w:rPr>
                <w:szCs w:val="22"/>
              </w:rPr>
            </w:pPr>
            <w:r w:rsidRPr="000F6CD1">
              <w:rPr>
                <w:szCs w:val="22"/>
              </w:rPr>
              <w:t xml:space="preserve">Home </w:t>
            </w:r>
            <w:r w:rsidR="00956F28" w:rsidRPr="000F6CD1">
              <w:rPr>
                <w:szCs w:val="22"/>
              </w:rPr>
              <w:t>support </w:t>
            </w:r>
          </w:p>
          <w:p w14:paraId="755A89A8" w14:textId="2727EB97" w:rsidR="00005C08" w:rsidRPr="000F6CD1" w:rsidRDefault="00005C08" w:rsidP="008E6691">
            <w:pPr>
              <w:numPr>
                <w:ilvl w:val="0"/>
                <w:numId w:val="16"/>
              </w:numPr>
              <w:spacing w:before="240" w:after="240" w:line="240" w:lineRule="auto"/>
              <w:ind w:left="360" w:hanging="276"/>
              <w:rPr>
                <w:szCs w:val="22"/>
              </w:rPr>
            </w:pPr>
            <w:r w:rsidRPr="000F6CD1">
              <w:rPr>
                <w:szCs w:val="22"/>
              </w:rPr>
              <w:t xml:space="preserve">Assistive </w:t>
            </w:r>
            <w:r w:rsidR="00956F28" w:rsidRPr="000F6CD1">
              <w:rPr>
                <w:szCs w:val="22"/>
              </w:rPr>
              <w:t>technology </w:t>
            </w:r>
          </w:p>
          <w:p w14:paraId="2D5FDDC8" w14:textId="6BB4865A" w:rsidR="00005C08" w:rsidRPr="000F6CD1" w:rsidRDefault="00005C08" w:rsidP="008E6691">
            <w:pPr>
              <w:numPr>
                <w:ilvl w:val="0"/>
                <w:numId w:val="17"/>
              </w:numPr>
              <w:spacing w:before="240" w:after="240" w:line="240" w:lineRule="auto"/>
              <w:ind w:left="360" w:hanging="276"/>
              <w:rPr>
                <w:szCs w:val="22"/>
              </w:rPr>
            </w:pPr>
            <w:r w:rsidRPr="000F6CD1">
              <w:rPr>
                <w:szCs w:val="22"/>
              </w:rPr>
              <w:t>Home modifications </w:t>
            </w:r>
          </w:p>
        </w:tc>
        <w:tc>
          <w:tcPr>
            <w:tcW w:w="1793" w:type="dxa"/>
            <w:hideMark/>
          </w:tcPr>
          <w:p w14:paraId="51CBFCEC" w14:textId="77777777" w:rsidR="00005C08" w:rsidRPr="000F6CD1" w:rsidRDefault="00005C08" w:rsidP="008E6691">
            <w:pPr>
              <w:spacing w:before="240" w:after="240" w:line="240" w:lineRule="auto"/>
              <w:rPr>
                <w:szCs w:val="22"/>
              </w:rPr>
            </w:pPr>
            <w:r w:rsidRPr="000F6CD1">
              <w:rPr>
                <w:szCs w:val="22"/>
              </w:rPr>
              <w:t>All classification types </w:t>
            </w:r>
          </w:p>
        </w:tc>
        <w:tc>
          <w:tcPr>
            <w:tcW w:w="2632" w:type="dxa"/>
            <w:gridSpan w:val="2"/>
            <w:hideMark/>
          </w:tcPr>
          <w:p w14:paraId="19B2DD94" w14:textId="77777777" w:rsidR="00005C08" w:rsidRPr="000F6CD1" w:rsidRDefault="00005C08" w:rsidP="008E6691">
            <w:pPr>
              <w:numPr>
                <w:ilvl w:val="0"/>
                <w:numId w:val="18"/>
              </w:numPr>
              <w:spacing w:before="240" w:after="240" w:line="240" w:lineRule="auto"/>
              <w:ind w:left="360"/>
              <w:rPr>
                <w:szCs w:val="22"/>
              </w:rPr>
            </w:pPr>
            <w:r w:rsidRPr="000F6CD1">
              <w:rPr>
                <w:szCs w:val="22"/>
              </w:rPr>
              <w:t>Support at Home </w:t>
            </w:r>
          </w:p>
          <w:p w14:paraId="7DEB2332" w14:textId="77777777" w:rsidR="00005C08" w:rsidRPr="000F6CD1" w:rsidRDefault="00005C08" w:rsidP="008E6691">
            <w:pPr>
              <w:numPr>
                <w:ilvl w:val="0"/>
                <w:numId w:val="19"/>
              </w:numPr>
              <w:spacing w:before="240" w:after="240" w:line="240" w:lineRule="auto"/>
              <w:ind w:left="360"/>
              <w:rPr>
                <w:szCs w:val="22"/>
              </w:rPr>
            </w:pPr>
            <w:r w:rsidRPr="000F6CD1">
              <w:rPr>
                <w:szCs w:val="22"/>
              </w:rPr>
              <w:t>CHSP </w:t>
            </w:r>
          </w:p>
          <w:p w14:paraId="40B22A5A" w14:textId="77777777" w:rsidR="00005C08" w:rsidRPr="000F6CD1" w:rsidRDefault="00005C08" w:rsidP="008E6691">
            <w:pPr>
              <w:numPr>
                <w:ilvl w:val="0"/>
                <w:numId w:val="20"/>
              </w:numPr>
              <w:spacing w:before="240" w:after="240" w:line="240" w:lineRule="auto"/>
              <w:ind w:left="360"/>
              <w:rPr>
                <w:szCs w:val="22"/>
              </w:rPr>
            </w:pPr>
            <w:r w:rsidRPr="000F6CD1">
              <w:rPr>
                <w:szCs w:val="22"/>
              </w:rPr>
              <w:t>TCP </w:t>
            </w:r>
          </w:p>
          <w:p w14:paraId="0E0F9BD6" w14:textId="58DAFE48" w:rsidR="00005C08" w:rsidRPr="000F6CD1" w:rsidRDefault="00F664AA" w:rsidP="008E6691">
            <w:pPr>
              <w:numPr>
                <w:ilvl w:val="0"/>
                <w:numId w:val="21"/>
              </w:numPr>
              <w:spacing w:before="240" w:after="240" w:line="240" w:lineRule="auto"/>
              <w:ind w:left="360"/>
              <w:rPr>
                <w:szCs w:val="22"/>
              </w:rPr>
            </w:pPr>
            <w:r w:rsidRPr="000F6CD1">
              <w:rPr>
                <w:szCs w:val="22"/>
              </w:rPr>
              <w:t xml:space="preserve">Services under the </w:t>
            </w:r>
            <w:r w:rsidR="00005C08" w:rsidRPr="000F6CD1">
              <w:rPr>
                <w:szCs w:val="22"/>
              </w:rPr>
              <w:t>MPSP </w:t>
            </w:r>
          </w:p>
          <w:p w14:paraId="07DA0BC1" w14:textId="57E975FC" w:rsidR="00005C08" w:rsidRPr="000F6CD1" w:rsidRDefault="00F664AA" w:rsidP="008E6691">
            <w:pPr>
              <w:numPr>
                <w:ilvl w:val="0"/>
                <w:numId w:val="22"/>
              </w:numPr>
              <w:spacing w:before="240" w:after="240" w:line="240" w:lineRule="auto"/>
              <w:ind w:left="360"/>
              <w:rPr>
                <w:szCs w:val="22"/>
              </w:rPr>
            </w:pPr>
            <w:r w:rsidRPr="000F6CD1">
              <w:rPr>
                <w:szCs w:val="22"/>
              </w:rPr>
              <w:t xml:space="preserve">Services under the </w:t>
            </w:r>
            <w:r w:rsidR="00005C08" w:rsidRPr="000F6CD1">
              <w:rPr>
                <w:szCs w:val="22"/>
              </w:rPr>
              <w:t>NATSIFACP </w:t>
            </w:r>
          </w:p>
        </w:tc>
        <w:tc>
          <w:tcPr>
            <w:tcW w:w="0" w:type="auto"/>
            <w:vAlign w:val="center"/>
            <w:hideMark/>
          </w:tcPr>
          <w:p w14:paraId="5301A8A1" w14:textId="77777777" w:rsidR="00005C08" w:rsidRPr="000F6CD1" w:rsidRDefault="00005C08" w:rsidP="008E6691">
            <w:pPr>
              <w:spacing w:before="240" w:after="240" w:line="240" w:lineRule="auto"/>
              <w:rPr>
                <w:szCs w:val="22"/>
              </w:rPr>
            </w:pPr>
          </w:p>
        </w:tc>
      </w:tr>
      <w:tr w:rsidR="00005C08" w:rsidRPr="000F6CD1" w14:paraId="22E4F307" w14:textId="77777777" w:rsidTr="00662566">
        <w:trPr>
          <w:trHeight w:val="300"/>
        </w:trPr>
        <w:tc>
          <w:tcPr>
            <w:tcW w:w="937" w:type="dxa"/>
            <w:shd w:val="clear" w:color="auto" w:fill="002060"/>
            <w:hideMark/>
          </w:tcPr>
          <w:p w14:paraId="32B3F9C8" w14:textId="77777777" w:rsidR="00005C08" w:rsidRPr="000F6CD1" w:rsidRDefault="00005C08" w:rsidP="00EA4CD9">
            <w:pPr>
              <w:spacing w:before="240" w:after="240" w:line="240" w:lineRule="auto"/>
              <w:ind w:left="57"/>
              <w:rPr>
                <w:b/>
                <w:szCs w:val="22"/>
              </w:rPr>
            </w:pPr>
            <w:r w:rsidRPr="000F6CD1">
              <w:rPr>
                <w:b/>
                <w:szCs w:val="22"/>
              </w:rPr>
              <w:lastRenderedPageBreak/>
              <w:t>68 </w:t>
            </w:r>
          </w:p>
        </w:tc>
        <w:tc>
          <w:tcPr>
            <w:tcW w:w="2221" w:type="dxa"/>
            <w:shd w:val="clear" w:color="auto" w:fill="FFFFFF" w:themeFill="background1"/>
            <w:hideMark/>
          </w:tcPr>
          <w:p w14:paraId="4A4E4543" w14:textId="29A1E5B1" w:rsidR="00005C08" w:rsidRPr="000F6CD1" w:rsidRDefault="002D1DBC" w:rsidP="00EA4CD9">
            <w:pPr>
              <w:spacing w:before="240" w:after="240" w:line="240" w:lineRule="auto"/>
              <w:ind w:left="57"/>
            </w:pPr>
            <w:r w:rsidRPr="000F6CD1">
              <w:t>Individual must have a continuing need for residential care because they are ‘sick’</w:t>
            </w:r>
          </w:p>
          <w:p w14:paraId="3C7EBAF2" w14:textId="77777777" w:rsidR="000C3A44" w:rsidRPr="000F6CD1" w:rsidRDefault="000C3A44" w:rsidP="008E6691">
            <w:pPr>
              <w:spacing w:before="240" w:after="240" w:line="240" w:lineRule="auto"/>
            </w:pPr>
          </w:p>
          <w:p w14:paraId="3D8247B9" w14:textId="11E37C57" w:rsidR="000C3A44" w:rsidRPr="000F6CD1" w:rsidRDefault="00891964" w:rsidP="00EA4CD9">
            <w:pPr>
              <w:spacing w:before="240" w:after="240" w:line="240" w:lineRule="auto"/>
              <w:ind w:left="57"/>
            </w:pPr>
            <w:r w:rsidRPr="000F6CD1">
              <w:t>The individual must meet the eligibility requirements prescribed by the rules for the service group residential care.</w:t>
            </w:r>
          </w:p>
        </w:tc>
        <w:tc>
          <w:tcPr>
            <w:tcW w:w="1968" w:type="dxa"/>
            <w:hideMark/>
          </w:tcPr>
          <w:p w14:paraId="4A065B6C" w14:textId="191C1F05" w:rsidR="00005C08" w:rsidRPr="000F6CD1" w:rsidRDefault="00005C08" w:rsidP="008E6691">
            <w:pPr>
              <w:numPr>
                <w:ilvl w:val="0"/>
                <w:numId w:val="23"/>
              </w:numPr>
              <w:spacing w:before="240" w:after="240" w:line="240" w:lineRule="auto"/>
              <w:ind w:hanging="276"/>
              <w:rPr>
                <w:szCs w:val="22"/>
              </w:rPr>
            </w:pPr>
            <w:r w:rsidRPr="000F6CD1">
              <w:rPr>
                <w:szCs w:val="22"/>
              </w:rPr>
              <w:t xml:space="preserve">Residential </w:t>
            </w:r>
            <w:r w:rsidR="003A4287" w:rsidRPr="000F6CD1">
              <w:rPr>
                <w:szCs w:val="22"/>
              </w:rPr>
              <w:t>c</w:t>
            </w:r>
            <w:r w:rsidRPr="000F6CD1">
              <w:rPr>
                <w:szCs w:val="22"/>
              </w:rPr>
              <w:t>are </w:t>
            </w:r>
          </w:p>
        </w:tc>
        <w:tc>
          <w:tcPr>
            <w:tcW w:w="1793" w:type="dxa"/>
            <w:hideMark/>
          </w:tcPr>
          <w:p w14:paraId="70EE288E" w14:textId="77777777" w:rsidR="00005C08" w:rsidRPr="000F6CD1" w:rsidRDefault="00005C08" w:rsidP="008E6691">
            <w:pPr>
              <w:spacing w:before="240" w:after="240" w:line="240" w:lineRule="auto"/>
              <w:rPr>
                <w:szCs w:val="22"/>
              </w:rPr>
            </w:pPr>
            <w:r w:rsidRPr="000F6CD1">
              <w:rPr>
                <w:szCs w:val="22"/>
              </w:rPr>
              <w:t>All classification types </w:t>
            </w:r>
          </w:p>
        </w:tc>
        <w:tc>
          <w:tcPr>
            <w:tcW w:w="2632" w:type="dxa"/>
            <w:gridSpan w:val="2"/>
            <w:hideMark/>
          </w:tcPr>
          <w:p w14:paraId="7B96C61F" w14:textId="7F6EF767" w:rsidR="00005C08" w:rsidRPr="000F6CD1" w:rsidRDefault="00005C08" w:rsidP="008E6691">
            <w:pPr>
              <w:numPr>
                <w:ilvl w:val="0"/>
                <w:numId w:val="24"/>
              </w:numPr>
              <w:spacing w:before="240" w:after="240" w:line="240" w:lineRule="auto"/>
              <w:ind w:left="360"/>
              <w:rPr>
                <w:szCs w:val="22"/>
              </w:rPr>
            </w:pPr>
            <w:r w:rsidRPr="000F6CD1">
              <w:rPr>
                <w:szCs w:val="22"/>
              </w:rPr>
              <w:t>Residential care (</w:t>
            </w:r>
            <w:r w:rsidR="00F444BE" w:rsidRPr="000F6CD1">
              <w:rPr>
                <w:szCs w:val="22"/>
              </w:rPr>
              <w:t>ongoing or short-term</w:t>
            </w:r>
            <w:r w:rsidRPr="000F6CD1">
              <w:rPr>
                <w:szCs w:val="22"/>
              </w:rPr>
              <w:t>) </w:t>
            </w:r>
          </w:p>
          <w:p w14:paraId="623B7AE3" w14:textId="77777777" w:rsidR="00005C08" w:rsidRPr="000F6CD1" w:rsidRDefault="00005C08" w:rsidP="008E6691">
            <w:pPr>
              <w:numPr>
                <w:ilvl w:val="0"/>
                <w:numId w:val="25"/>
              </w:numPr>
              <w:spacing w:before="240" w:after="240" w:line="240" w:lineRule="auto"/>
              <w:ind w:left="360"/>
              <w:rPr>
                <w:szCs w:val="22"/>
              </w:rPr>
            </w:pPr>
            <w:r w:rsidRPr="000F6CD1">
              <w:rPr>
                <w:szCs w:val="22"/>
              </w:rPr>
              <w:t>TCP </w:t>
            </w:r>
          </w:p>
          <w:p w14:paraId="1EE63866" w14:textId="76D96E05" w:rsidR="00005C08" w:rsidRPr="000F6CD1" w:rsidRDefault="00F664AA" w:rsidP="008E6691">
            <w:pPr>
              <w:numPr>
                <w:ilvl w:val="0"/>
                <w:numId w:val="26"/>
              </w:numPr>
              <w:spacing w:before="240" w:after="240" w:line="240" w:lineRule="auto"/>
              <w:ind w:left="360"/>
              <w:rPr>
                <w:szCs w:val="22"/>
              </w:rPr>
            </w:pPr>
            <w:r w:rsidRPr="000F6CD1">
              <w:rPr>
                <w:szCs w:val="22"/>
              </w:rPr>
              <w:t xml:space="preserve">Services under the </w:t>
            </w:r>
            <w:r w:rsidR="00005C08" w:rsidRPr="000F6CD1">
              <w:rPr>
                <w:szCs w:val="22"/>
              </w:rPr>
              <w:t>MPSP </w:t>
            </w:r>
          </w:p>
          <w:p w14:paraId="010E640B" w14:textId="3A47933D" w:rsidR="00005C08" w:rsidRPr="000F6CD1" w:rsidRDefault="00F664AA" w:rsidP="008E6691">
            <w:pPr>
              <w:numPr>
                <w:ilvl w:val="0"/>
                <w:numId w:val="27"/>
              </w:numPr>
              <w:spacing w:before="240" w:after="240" w:line="240" w:lineRule="auto"/>
              <w:ind w:left="360"/>
              <w:rPr>
                <w:szCs w:val="22"/>
              </w:rPr>
            </w:pPr>
            <w:r w:rsidRPr="000F6CD1">
              <w:rPr>
                <w:szCs w:val="22"/>
              </w:rPr>
              <w:t xml:space="preserve">Services under the </w:t>
            </w:r>
            <w:r w:rsidR="00005C08" w:rsidRPr="000F6CD1">
              <w:rPr>
                <w:szCs w:val="22"/>
              </w:rPr>
              <w:t>NATSIFACP </w:t>
            </w:r>
          </w:p>
        </w:tc>
        <w:tc>
          <w:tcPr>
            <w:tcW w:w="0" w:type="auto"/>
            <w:vAlign w:val="center"/>
            <w:hideMark/>
          </w:tcPr>
          <w:p w14:paraId="2020BC4F" w14:textId="77777777" w:rsidR="00005C08" w:rsidRPr="000F6CD1" w:rsidRDefault="00005C08" w:rsidP="008E6691">
            <w:pPr>
              <w:spacing w:before="240" w:after="240" w:line="240" w:lineRule="auto"/>
              <w:rPr>
                <w:szCs w:val="22"/>
              </w:rPr>
            </w:pPr>
          </w:p>
        </w:tc>
      </w:tr>
    </w:tbl>
    <w:p w14:paraId="47155A63" w14:textId="77777777" w:rsidR="005550FF" w:rsidRPr="000F6CD1" w:rsidRDefault="005550FF" w:rsidP="00806A21">
      <w:pPr>
        <w:pStyle w:val="Sub-headings"/>
      </w:pPr>
      <w:r w:rsidRPr="000F6CD1">
        <w:t xml:space="preserve">Important: </w:t>
      </w:r>
    </w:p>
    <w:p w14:paraId="193958AA" w14:textId="5D56BE29" w:rsidR="005550FF" w:rsidRPr="000F6CD1" w:rsidRDefault="005550FF" w:rsidP="00806A21">
      <w:pPr>
        <w:pStyle w:val="Sub-headings"/>
      </w:pPr>
      <w:r w:rsidRPr="000F6CD1">
        <w:t xml:space="preserve">If the older person is an Aboriginal or Torres Strait Islander person, an </w:t>
      </w:r>
      <w:r w:rsidR="001363DC" w:rsidRPr="000F6CD1">
        <w:t>a</w:t>
      </w:r>
      <w:r w:rsidRPr="000F6CD1">
        <w:t xml:space="preserve">ssessment </w:t>
      </w:r>
      <w:r w:rsidR="001363DC" w:rsidRPr="000F6CD1">
        <w:t>d</w:t>
      </w:r>
      <w:r w:rsidRPr="000F6CD1">
        <w:t>elegate only needs to approve them for one or more service groups. They are automatically approved for all the service types and services in any service group they are approved for.</w:t>
      </w:r>
    </w:p>
    <w:p w14:paraId="452991DE" w14:textId="77777777" w:rsidR="00346141" w:rsidRPr="000F6CD1" w:rsidRDefault="00346141" w:rsidP="00AD2CE5">
      <w:pPr>
        <w:pStyle w:val="H3"/>
      </w:pPr>
      <w:bookmarkStart w:id="88" w:name="_Toc198787135"/>
      <w:bookmarkStart w:id="89" w:name="_Toc426629243"/>
      <w:bookmarkStart w:id="90" w:name="_Toc199344504"/>
      <w:bookmarkStart w:id="91" w:name="_Toc205372034"/>
      <w:bookmarkStart w:id="92" w:name="_Toc207713939"/>
      <w:r w:rsidRPr="000F6CD1">
        <w:t>Approvals for service types and services</w:t>
      </w:r>
      <w:bookmarkEnd w:id="88"/>
      <w:bookmarkEnd w:id="89"/>
      <w:bookmarkEnd w:id="90"/>
      <w:bookmarkEnd w:id="91"/>
      <w:bookmarkEnd w:id="92"/>
    </w:p>
    <w:p w14:paraId="35067490" w14:textId="3E3E3090" w:rsidR="004A3110" w:rsidRPr="000F6CD1" w:rsidRDefault="004A3110" w:rsidP="008E6691">
      <w:pPr>
        <w:spacing w:before="240" w:after="240" w:line="240" w:lineRule="auto"/>
      </w:pPr>
      <w:r w:rsidRPr="000F6CD1">
        <w:t>A service is defined in the A</w:t>
      </w:r>
      <w:r w:rsidR="00346141" w:rsidRPr="000F6CD1">
        <w:t>ged Care Service List defined in the</w:t>
      </w:r>
      <w:r w:rsidR="00346141" w:rsidRPr="000F6CD1">
        <w:rPr>
          <w:rFonts w:hint="eastAsia"/>
        </w:rPr>
        <w:t> </w:t>
      </w:r>
      <w:r w:rsidR="004F3A0C" w:rsidRPr="00BD0F1D">
        <w:rPr>
          <w:i/>
          <w:iCs/>
        </w:rPr>
        <w:t>Aged Care Rules 2025</w:t>
      </w:r>
      <w:r w:rsidR="00346141" w:rsidRPr="000F6CD1">
        <w:t xml:space="preserve">. It lists the four service groups, and the service types and services within them.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4A3110" w:rsidRPr="000F6CD1" w14:paraId="005EECAF" w14:textId="77777777">
        <w:trPr>
          <w:trHeight w:val="300"/>
        </w:trPr>
        <w:tc>
          <w:tcPr>
            <w:tcW w:w="988" w:type="dxa"/>
          </w:tcPr>
          <w:p w14:paraId="64A4F99E" w14:textId="77777777" w:rsidR="004A3110" w:rsidRPr="000F6CD1" w:rsidRDefault="004A3110">
            <w:pPr>
              <w:spacing w:before="240" w:after="240"/>
            </w:pPr>
            <w:r w:rsidRPr="000F6CD1">
              <w:rPr>
                <w:noProof/>
              </w:rPr>
              <w:drawing>
                <wp:inline distT="0" distB="0" distL="0" distR="0" wp14:anchorId="54AAA2D4" wp14:editId="31359422">
                  <wp:extent cx="447675" cy="438150"/>
                  <wp:effectExtent l="0" t="0" r="0" b="0"/>
                  <wp:docPr id="701419243" name="Picture 7014192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0B1196B2" w14:textId="4DB734EE" w:rsidR="004A3110" w:rsidRPr="000F6CD1" w:rsidRDefault="004A3110" w:rsidP="004A3110">
            <w:pPr>
              <w:spacing w:before="240" w:after="240"/>
            </w:pPr>
            <w:r w:rsidRPr="000F6CD1">
              <w:t xml:space="preserve">See </w:t>
            </w:r>
            <w:r w:rsidR="00DB467B" w:rsidRPr="000F6CD1">
              <w:fldChar w:fldCharType="begin"/>
            </w:r>
            <w:r w:rsidR="00DB467B" w:rsidRPr="000F6CD1">
              <w:instrText xml:space="preserve"> REF _Ref232589880 \h </w:instrText>
            </w:r>
            <w:r w:rsidR="00DB467B" w:rsidRPr="000F6CD1">
              <w:fldChar w:fldCharType="separate"/>
            </w:r>
            <w:r w:rsidR="004B171E" w:rsidRPr="000F6CD1">
              <w:t>Chapter 7: Delegations and approvals under the Act</w:t>
            </w:r>
            <w:r w:rsidR="00DB467B" w:rsidRPr="000F6CD1">
              <w:fldChar w:fldCharType="end"/>
            </w:r>
            <w:r w:rsidR="00DB467B" w:rsidRPr="000F6CD1">
              <w:t xml:space="preserve"> </w:t>
            </w:r>
            <w:r w:rsidRPr="000F6CD1">
              <w:t xml:space="preserve">for further information on service approvals. </w:t>
            </w:r>
          </w:p>
          <w:p w14:paraId="28091B09" w14:textId="27E3747E" w:rsidR="004A3110" w:rsidRPr="000F6CD1" w:rsidRDefault="004A3110">
            <w:pPr>
              <w:spacing w:before="240" w:after="240"/>
            </w:pPr>
          </w:p>
        </w:tc>
      </w:tr>
    </w:tbl>
    <w:p w14:paraId="184C3DAF" w14:textId="77777777" w:rsidR="00F44BE8" w:rsidRPr="000F6CD1" w:rsidRDefault="00F44BE8" w:rsidP="00AD2CE5">
      <w:pPr>
        <w:pStyle w:val="H3"/>
      </w:pPr>
      <w:bookmarkStart w:id="93" w:name="_Toc198787136"/>
      <w:bookmarkStart w:id="94" w:name="_Toc153701289"/>
      <w:bookmarkStart w:id="95" w:name="_Toc199344505"/>
      <w:bookmarkStart w:id="96" w:name="_Toc205372035"/>
      <w:bookmarkStart w:id="97" w:name="_Toc207713940"/>
      <w:r w:rsidRPr="000F6CD1">
        <w:t>Approvals for priority categories</w:t>
      </w:r>
      <w:bookmarkEnd w:id="93"/>
      <w:bookmarkEnd w:id="94"/>
      <w:bookmarkEnd w:id="95"/>
      <w:bookmarkEnd w:id="96"/>
      <w:bookmarkEnd w:id="97"/>
    </w:p>
    <w:p w14:paraId="7ADC9B9C" w14:textId="3E1AAA19" w:rsidR="00164F01" w:rsidRPr="000F6CD1" w:rsidRDefault="00F44BE8" w:rsidP="008E6691">
      <w:pPr>
        <w:spacing w:before="240" w:after="240" w:line="240" w:lineRule="auto"/>
        <w:rPr>
          <w:rFonts w:eastAsia="Arial"/>
        </w:rPr>
      </w:pPr>
      <w:r w:rsidRPr="000F6CD1">
        <w:rPr>
          <w:rFonts w:eastAsia="Arial"/>
        </w:rPr>
        <w:t>The priority categories assigned to individuals under section 86 of the Act determine when certain services are allocated under section 92 of the Act. These categories are based on the assessed urgency of need, complexity of care requirements, and potential risks associated with delayed support</w:t>
      </w:r>
      <w:r w:rsidR="00BD4B5A" w:rsidRPr="000F6CD1">
        <w:rPr>
          <w:rFonts w:eastAsia="Arial"/>
        </w:rPr>
        <w:t xml:space="preserve">. </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164F01" w:rsidRPr="000F6CD1" w14:paraId="043C025A" w14:textId="77777777">
        <w:trPr>
          <w:trHeight w:val="300"/>
        </w:trPr>
        <w:tc>
          <w:tcPr>
            <w:tcW w:w="988" w:type="dxa"/>
          </w:tcPr>
          <w:p w14:paraId="2482C16B" w14:textId="77777777" w:rsidR="00164F01" w:rsidRPr="000F6CD1" w:rsidRDefault="00164F01">
            <w:pPr>
              <w:spacing w:before="240" w:after="240"/>
            </w:pPr>
            <w:r w:rsidRPr="000F6CD1">
              <w:rPr>
                <w:noProof/>
              </w:rPr>
              <w:drawing>
                <wp:inline distT="0" distB="0" distL="0" distR="0" wp14:anchorId="0D32E6E1" wp14:editId="74CFF158">
                  <wp:extent cx="447675" cy="438150"/>
                  <wp:effectExtent l="0" t="0" r="0" b="0"/>
                  <wp:docPr id="546798166" name="Picture 5467981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AD83A28" w14:textId="6F1D1A7C" w:rsidR="00164F01" w:rsidRPr="000F6CD1" w:rsidRDefault="00164F01">
            <w:pPr>
              <w:spacing w:before="240" w:after="240"/>
            </w:pPr>
            <w:r w:rsidRPr="000F6CD1">
              <w:t xml:space="preserve">See </w:t>
            </w:r>
            <w:r w:rsidR="00DB467B" w:rsidRPr="000F6CD1">
              <w:fldChar w:fldCharType="begin"/>
            </w:r>
            <w:r w:rsidR="00DB467B" w:rsidRPr="000F6CD1">
              <w:instrText xml:space="preserve"> REF _Ref232589914 \h </w:instrText>
            </w:r>
            <w:r w:rsidR="00DB467B" w:rsidRPr="000F6CD1">
              <w:fldChar w:fldCharType="separate"/>
            </w:r>
            <w:r w:rsidR="004B171E" w:rsidRPr="000F6CD1">
              <w:t>Chapter 7: Delegations and approvals under the Act</w:t>
            </w:r>
            <w:r w:rsidR="00DB467B" w:rsidRPr="000F6CD1">
              <w:fldChar w:fldCharType="end"/>
            </w:r>
            <w:r w:rsidR="00DB467B" w:rsidRPr="000F6CD1">
              <w:t xml:space="preserve"> </w:t>
            </w:r>
            <w:r w:rsidRPr="000F6CD1">
              <w:t xml:space="preserve">for further information on priority category decisions. </w:t>
            </w:r>
          </w:p>
        </w:tc>
      </w:tr>
    </w:tbl>
    <w:p w14:paraId="355ADB36" w14:textId="77777777" w:rsidR="005A1694" w:rsidRPr="000F6CD1" w:rsidRDefault="005A1694" w:rsidP="00AD2CE5">
      <w:pPr>
        <w:pStyle w:val="H3"/>
      </w:pPr>
      <w:bookmarkStart w:id="98" w:name="_Toc2004609780"/>
      <w:bookmarkStart w:id="99" w:name="_Toc199344509"/>
      <w:bookmarkStart w:id="100" w:name="_Toc205372039"/>
      <w:bookmarkStart w:id="101" w:name="_Toc207713944"/>
      <w:r w:rsidRPr="000F6CD1">
        <w:lastRenderedPageBreak/>
        <w:t>Period of effect of approvals</w:t>
      </w:r>
      <w:bookmarkEnd w:id="98"/>
      <w:bookmarkEnd w:id="99"/>
      <w:bookmarkEnd w:id="100"/>
      <w:bookmarkEnd w:id="101"/>
    </w:p>
    <w:p w14:paraId="79987224" w14:textId="77777777" w:rsidR="005A1694" w:rsidRPr="000F6CD1" w:rsidRDefault="005A1694" w:rsidP="008E6691">
      <w:pPr>
        <w:spacing w:before="240" w:after="240" w:line="240" w:lineRule="auto"/>
      </w:pPr>
      <w:r w:rsidRPr="000F6CD1">
        <w:t>Each access approval, classification level, and priority category has a period of effect</w:t>
      </w:r>
      <w:r w:rsidRPr="000F6CD1">
        <w:rPr>
          <w:rFonts w:hint="eastAsia"/>
        </w:rPr>
        <w:t> </w:t>
      </w:r>
      <w:r w:rsidRPr="000F6CD1">
        <w:t>that is prescribed under the</w:t>
      </w:r>
      <w:r w:rsidRPr="000F6CD1">
        <w:rPr>
          <w:rFonts w:hint="eastAsia"/>
        </w:rPr>
        <w:t> </w:t>
      </w:r>
      <w:r w:rsidRPr="000F6CD1">
        <w:t xml:space="preserve">Act. This means that these approvals remain in effect for the period of time specified by the Act, unless the approval is revoked or a reassessment occurs resulting in a new approval. </w:t>
      </w:r>
    </w:p>
    <w:p w14:paraId="685FD2E0" w14:textId="77777777" w:rsidR="005A1694" w:rsidRPr="000F6CD1" w:rsidRDefault="005A1694" w:rsidP="008E6691">
      <w:pPr>
        <w:spacing w:before="240" w:after="240" w:line="240" w:lineRule="auto"/>
      </w:pPr>
      <w:r w:rsidRPr="000F6CD1">
        <w:t>In addition to the other legislative requirements described above, for an older person to receive funded aged care services, they need both:</w:t>
      </w:r>
    </w:p>
    <w:p w14:paraId="3F29C8B2" w14:textId="77777777" w:rsidR="005A1694" w:rsidRPr="000F6CD1" w:rsidRDefault="005A1694" w:rsidP="008E6691">
      <w:pPr>
        <w:pStyle w:val="ListParagraph"/>
        <w:numPr>
          <w:ilvl w:val="0"/>
          <w:numId w:val="32"/>
        </w:numPr>
        <w:spacing w:before="240" w:after="240" w:line="240" w:lineRule="auto"/>
        <w:ind w:left="567" w:hanging="283"/>
      </w:pPr>
      <w:r w:rsidRPr="000F6CD1">
        <w:t xml:space="preserve">an access approval that is in effect (or </w:t>
      </w:r>
      <w:r w:rsidRPr="000F6CD1">
        <w:rPr>
          <w:rFonts w:hint="eastAsia"/>
        </w:rPr>
        <w:t>‘</w:t>
      </w:r>
      <w:r w:rsidRPr="000F6CD1">
        <w:t>active</w:t>
      </w:r>
      <w:r w:rsidRPr="000F6CD1">
        <w:rPr>
          <w:rFonts w:hint="eastAsia"/>
        </w:rPr>
        <w:t>’</w:t>
      </w:r>
      <w:r w:rsidRPr="000F6CD1">
        <w:t>), and</w:t>
      </w:r>
    </w:p>
    <w:p w14:paraId="41052F07" w14:textId="77777777" w:rsidR="005A1694" w:rsidRPr="000F6CD1" w:rsidRDefault="005A1694" w:rsidP="008E6691">
      <w:pPr>
        <w:pStyle w:val="ListParagraph"/>
        <w:numPr>
          <w:ilvl w:val="0"/>
          <w:numId w:val="32"/>
        </w:numPr>
        <w:spacing w:before="240" w:after="240" w:line="240" w:lineRule="auto"/>
        <w:ind w:left="567" w:hanging="283"/>
      </w:pPr>
      <w:r w:rsidRPr="000F6CD1">
        <w:t>a classification level that is in effect.</w:t>
      </w:r>
    </w:p>
    <w:p w14:paraId="7EE9FBA0" w14:textId="27C552D8" w:rsidR="005A1694" w:rsidRPr="000F6CD1" w:rsidRDefault="005A1694" w:rsidP="008E6691">
      <w:pPr>
        <w:spacing w:before="240" w:after="240" w:line="240" w:lineRule="auto"/>
      </w:pPr>
      <w:r w:rsidRPr="000F6CD1">
        <w:t>Periods of effect for an approval for decisions are detailed in sections 71, 80 and 89</w:t>
      </w:r>
      <w:r w:rsidRPr="000F6CD1">
        <w:rPr>
          <w:rFonts w:hint="eastAsia"/>
        </w:rPr>
        <w:t> </w:t>
      </w:r>
      <w:r w:rsidRPr="000F6CD1">
        <w:t>of the Act.</w:t>
      </w:r>
    </w:p>
    <w:tbl>
      <w:tblPr>
        <w:tblStyle w:val="TableGrid"/>
        <w:tblW w:w="0" w:type="auto"/>
        <w:tblInd w:w="-5" w:type="dxa"/>
        <w:tblLook w:val="04A0" w:firstRow="1" w:lastRow="0" w:firstColumn="1" w:lastColumn="0" w:noHBand="0" w:noVBand="1"/>
        <w:tblCaption w:val="Transitional HCP levels and recommeded outcomes"/>
        <w:tblDescription w:val="Overview of transitional HCP levels in comparion to potential IAT outcome and the recommended outcome for reassessed transitioned clients. "/>
      </w:tblPr>
      <w:tblGrid>
        <w:gridCol w:w="988"/>
        <w:gridCol w:w="8028"/>
      </w:tblGrid>
      <w:tr w:rsidR="00FF72C0" w:rsidRPr="000F6CD1" w14:paraId="6EE388D5" w14:textId="77777777">
        <w:trPr>
          <w:trHeight w:val="300"/>
        </w:trPr>
        <w:tc>
          <w:tcPr>
            <w:tcW w:w="988" w:type="dxa"/>
          </w:tcPr>
          <w:p w14:paraId="0DD19073" w14:textId="77777777" w:rsidR="00FF72C0" w:rsidRPr="000F6CD1" w:rsidRDefault="00FF72C0">
            <w:pPr>
              <w:spacing w:before="240" w:after="240"/>
            </w:pPr>
            <w:r w:rsidRPr="000F6CD1">
              <w:rPr>
                <w:noProof/>
              </w:rPr>
              <w:drawing>
                <wp:inline distT="0" distB="0" distL="0" distR="0" wp14:anchorId="2A0540B3" wp14:editId="268FED78">
                  <wp:extent cx="447675" cy="438150"/>
                  <wp:effectExtent l="0" t="0" r="0" b="0"/>
                  <wp:docPr id="1730283323" name="Picture 17302833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3B9F4579" w14:textId="59A77D89" w:rsidR="00FF72C0" w:rsidRPr="000F6CD1" w:rsidRDefault="00FF72C0">
            <w:pPr>
              <w:spacing w:before="240" w:after="240"/>
            </w:pPr>
            <w:r w:rsidRPr="000F6CD1">
              <w:t xml:space="preserve">See </w:t>
            </w:r>
            <w:r w:rsidR="009F1E7A" w:rsidRPr="000F6CD1">
              <w:fldChar w:fldCharType="begin"/>
            </w:r>
            <w:r w:rsidR="009F1E7A" w:rsidRPr="000F6CD1">
              <w:instrText xml:space="preserve"> REF _Ref232590039 \h </w:instrText>
            </w:r>
            <w:r w:rsidR="009F1E7A" w:rsidRPr="000F6CD1">
              <w:fldChar w:fldCharType="separate"/>
            </w:r>
            <w:r w:rsidR="004B171E" w:rsidRPr="000F6CD1">
              <w:t>Chapter 7: Delegations and approvals under the Act</w:t>
            </w:r>
            <w:r w:rsidR="009F1E7A" w:rsidRPr="000F6CD1">
              <w:fldChar w:fldCharType="end"/>
            </w:r>
            <w:r w:rsidR="009F1E7A" w:rsidRPr="000F6CD1">
              <w:t xml:space="preserve"> </w:t>
            </w:r>
            <w:r w:rsidRPr="000F6CD1">
              <w:t>for further information on period of effect</w:t>
            </w:r>
            <w:r w:rsidR="00966434" w:rsidRPr="000F6CD1">
              <w:t xml:space="preserve"> of approvals</w:t>
            </w:r>
            <w:r w:rsidRPr="000F6CD1">
              <w:t xml:space="preserve">. </w:t>
            </w:r>
          </w:p>
          <w:p w14:paraId="6839078D" w14:textId="77777777" w:rsidR="00FF72C0" w:rsidRPr="000F6CD1" w:rsidRDefault="00FF72C0">
            <w:pPr>
              <w:spacing w:before="240" w:after="240"/>
            </w:pPr>
          </w:p>
        </w:tc>
      </w:tr>
    </w:tbl>
    <w:p w14:paraId="7EA08E12" w14:textId="28D16171" w:rsidR="00765CDD" w:rsidRPr="000F6CD1" w:rsidRDefault="00765CDD" w:rsidP="006647CE">
      <w:pPr>
        <w:pStyle w:val="h2"/>
      </w:pPr>
      <w:bookmarkStart w:id="102" w:name="_Toc209188944"/>
      <w:bookmarkStart w:id="103" w:name="_Toc233282411"/>
      <w:r w:rsidRPr="000F6CD1">
        <w:t>Accessing funded aged care services</w:t>
      </w:r>
      <w:bookmarkEnd w:id="102"/>
      <w:bookmarkEnd w:id="103"/>
    </w:p>
    <w:p w14:paraId="70774119" w14:textId="2C7B2664" w:rsidR="00765CDD" w:rsidRPr="000F6CD1" w:rsidRDefault="00765CDD" w:rsidP="008E6691">
      <w:pPr>
        <w:spacing w:before="240" w:after="240" w:line="240" w:lineRule="auto"/>
      </w:pPr>
      <w:r w:rsidRPr="000F6CD1">
        <w:rPr>
          <w:rFonts w:eastAsiaTheme="minorEastAsia"/>
        </w:rPr>
        <w:t xml:space="preserve">Under the </w:t>
      </w:r>
      <w:r w:rsidR="004807F2" w:rsidRPr="000F6CD1">
        <w:rPr>
          <w:rFonts w:eastAsiaTheme="minorEastAsia"/>
        </w:rPr>
        <w:t>Act</w:t>
      </w:r>
      <w:r w:rsidRPr="000F6CD1">
        <w:rPr>
          <w:rFonts w:eastAsiaTheme="minorEastAsia"/>
          <w:i/>
          <w:iCs/>
        </w:rPr>
        <w:t xml:space="preserve">, </w:t>
      </w:r>
      <w:r w:rsidRPr="000F6CD1">
        <w:t>older people will access funded aged care services through the following:</w:t>
      </w:r>
    </w:p>
    <w:p w14:paraId="2A093FF7" w14:textId="77BF4BDA" w:rsidR="00765CDD" w:rsidRPr="000F6CD1" w:rsidRDefault="00765CDD" w:rsidP="008E6691">
      <w:pPr>
        <w:numPr>
          <w:ilvl w:val="0"/>
          <w:numId w:val="6"/>
        </w:numPr>
        <w:spacing w:before="240" w:after="240" w:line="240" w:lineRule="auto"/>
      </w:pPr>
      <w:r w:rsidRPr="000F6CD1">
        <w:rPr>
          <w:b/>
          <w:bCs/>
        </w:rPr>
        <w:t>Commonwealth Home Support Program (CHSP)</w:t>
      </w:r>
      <w:r w:rsidRPr="000F6CD1">
        <w:t xml:space="preserve">: </w:t>
      </w:r>
      <w:r w:rsidR="00AF0A45" w:rsidRPr="000F6CD1">
        <w:t>E</w:t>
      </w:r>
      <w:r w:rsidRPr="000F6CD1">
        <w:t>ntry-level in-home care services to assist older people with daily tasks, promoting independence and community connection.</w:t>
      </w:r>
    </w:p>
    <w:p w14:paraId="3FE79F27" w14:textId="79267E28" w:rsidR="00765CDD" w:rsidRPr="000F6CD1" w:rsidRDefault="00765CDD" w:rsidP="008E6691">
      <w:pPr>
        <w:numPr>
          <w:ilvl w:val="0"/>
          <w:numId w:val="6"/>
        </w:numPr>
        <w:spacing w:before="240" w:after="240" w:line="240" w:lineRule="auto"/>
      </w:pPr>
      <w:r w:rsidRPr="000F6CD1">
        <w:rPr>
          <w:b/>
          <w:bCs/>
        </w:rPr>
        <w:t>Support at Home program</w:t>
      </w:r>
      <w:r w:rsidR="00986BCA" w:rsidRPr="000F6CD1">
        <w:rPr>
          <w:b/>
          <w:bCs/>
        </w:rPr>
        <w:t xml:space="preserve"> (SaH)</w:t>
      </w:r>
      <w:r w:rsidRPr="000F6CD1">
        <w:t>: Assists older people in maintaining independence by providing in-home care services, assistive technology and home modifications, enabling them to live safely and comfortably in their own homes.​</w:t>
      </w:r>
    </w:p>
    <w:p w14:paraId="33D16C64" w14:textId="1C60348D" w:rsidR="00765CDD" w:rsidRPr="000F6CD1" w:rsidRDefault="00765CDD" w:rsidP="008E6691">
      <w:pPr>
        <w:numPr>
          <w:ilvl w:val="0"/>
          <w:numId w:val="6"/>
        </w:numPr>
        <w:spacing w:before="240" w:after="240" w:line="240" w:lineRule="auto"/>
      </w:pPr>
      <w:r w:rsidRPr="000F6CD1">
        <w:rPr>
          <w:b/>
          <w:bCs/>
        </w:rPr>
        <w:t>Residential Care</w:t>
      </w:r>
      <w:r w:rsidRPr="000F6CD1">
        <w:t>: Provides accommodation and 24-hour support in aged care facilities for individuals requiring continuous care on either a permanent or short-term basis.</w:t>
      </w:r>
    </w:p>
    <w:p w14:paraId="04380E46" w14:textId="78C40693" w:rsidR="00765CDD" w:rsidRPr="000F6CD1" w:rsidRDefault="00765CDD" w:rsidP="008E6691">
      <w:pPr>
        <w:numPr>
          <w:ilvl w:val="0"/>
          <w:numId w:val="6"/>
        </w:numPr>
        <w:spacing w:before="240" w:after="240" w:line="240" w:lineRule="auto"/>
      </w:pPr>
      <w:r w:rsidRPr="000F6CD1">
        <w:rPr>
          <w:b/>
          <w:bCs/>
        </w:rPr>
        <w:t>Transition Care Program (TCP)</w:t>
      </w:r>
      <w:r w:rsidRPr="000F6CD1">
        <w:t>: Offers short-term goal-oriented therapy focused care for older people after a hospital stay, aiming to improve their independence and confidence</w:t>
      </w:r>
      <w:r w:rsidR="00DB3DF8" w:rsidRPr="000F6CD1">
        <w:t>.</w:t>
      </w:r>
      <w:r w:rsidRPr="000F6CD1">
        <w:t>​</w:t>
      </w:r>
    </w:p>
    <w:p w14:paraId="75885404" w14:textId="77777777" w:rsidR="00765CDD" w:rsidRPr="000F6CD1" w:rsidRDefault="00765CDD" w:rsidP="008E6691">
      <w:pPr>
        <w:numPr>
          <w:ilvl w:val="0"/>
          <w:numId w:val="6"/>
        </w:numPr>
        <w:spacing w:before="240" w:after="240" w:line="240" w:lineRule="auto"/>
      </w:pPr>
      <w:r w:rsidRPr="000F6CD1">
        <w:rPr>
          <w:b/>
          <w:bCs/>
        </w:rPr>
        <w:t>Multi-Purpose Service Program (MPSP)</w:t>
      </w:r>
      <w:r w:rsidRPr="000F6CD1">
        <w:t>: Provides integrated health and aged care services for older people in small rural and remote communities, allowing them to stay close to family and friends while receiving necessary support. ​</w:t>
      </w:r>
    </w:p>
    <w:p w14:paraId="0A0C0D53" w14:textId="064A10FD" w:rsidR="00504630" w:rsidRDefault="00765CDD" w:rsidP="008E6691">
      <w:pPr>
        <w:numPr>
          <w:ilvl w:val="0"/>
          <w:numId w:val="6"/>
        </w:numPr>
        <w:spacing w:before="240" w:after="240" w:line="240" w:lineRule="auto"/>
      </w:pPr>
      <w:r w:rsidRPr="000F6CD1">
        <w:rPr>
          <w:b/>
          <w:bCs/>
        </w:rPr>
        <w:t>National Aboriginal and Torres Strait Islander Flexible Aged Care Program (NATSIFACP)</w:t>
      </w:r>
      <w:r w:rsidRPr="000F6CD1">
        <w:t xml:space="preserve">: Funds organisations to provide culturally </w:t>
      </w:r>
      <w:r w:rsidR="004B5A24" w:rsidRPr="000F6CD1">
        <w:t xml:space="preserve">safe </w:t>
      </w:r>
      <w:r w:rsidRPr="000F6CD1">
        <w:t xml:space="preserve">aged care services for older Aboriginal and Torres Strait Islander people, allowing them to be cared for close to </w:t>
      </w:r>
      <w:r w:rsidR="00901A2D" w:rsidRPr="000F6CD1">
        <w:t>family, country, island home and community.</w:t>
      </w:r>
    </w:p>
    <w:p w14:paraId="0D8BF3DB" w14:textId="6013D295" w:rsidR="00273CF4" w:rsidRPr="000F6CD1" w:rsidRDefault="00504630" w:rsidP="00504630">
      <w:r>
        <w:br w:type="page"/>
      </w:r>
    </w:p>
    <w:p w14:paraId="0B67E3F9" w14:textId="77777777" w:rsidR="00C325C6" w:rsidRPr="000F6CD1" w:rsidRDefault="00765CDD" w:rsidP="00806A21">
      <w:pPr>
        <w:pStyle w:val="Sub-headings"/>
      </w:pPr>
      <w:r w:rsidRPr="000F6CD1">
        <w:lastRenderedPageBreak/>
        <w:t>Note:</w:t>
      </w:r>
    </w:p>
    <w:p w14:paraId="1798BCD2" w14:textId="6985154C" w:rsidR="00E60348" w:rsidRPr="000F6CD1" w:rsidRDefault="00765CDD" w:rsidP="00806A21">
      <w:pPr>
        <w:pStyle w:val="Sub-headings"/>
      </w:pPr>
      <w:r w:rsidRPr="000F6CD1">
        <w:t xml:space="preserve">CHSP, TCP, MPSP, NATSIFACP are defined as </w:t>
      </w:r>
      <w:r w:rsidR="004807F2" w:rsidRPr="000F6CD1">
        <w:t xml:space="preserve">a </w:t>
      </w:r>
      <w:r w:rsidRPr="000F6CD1">
        <w:t>specialist aged care program under the Act.</w:t>
      </w:r>
    </w:p>
    <w:p w14:paraId="70572D91" w14:textId="4E555334" w:rsidR="00765CDD" w:rsidRPr="000F6CD1" w:rsidRDefault="00765CDD" w:rsidP="008E6691">
      <w:pPr>
        <w:spacing w:before="240" w:after="240" w:line="240" w:lineRule="auto"/>
      </w:pPr>
      <w:r w:rsidRPr="000F6CD1">
        <w:t>Older people do not need to be separately approved under the Act to access services through MPSP or NATSIFACP. Rather these service</w:t>
      </w:r>
      <w:r w:rsidR="00825E1B" w:rsidRPr="000F6CD1">
        <w:t xml:space="preserve"> pathways</w:t>
      </w:r>
      <w:r w:rsidRPr="000F6CD1">
        <w:t xml:space="preserve"> are added as a service recommendation in the client’s Support Plan</w:t>
      </w:r>
      <w:r w:rsidRPr="000F6CD1">
        <w:rPr>
          <w:b/>
        </w:rPr>
        <w:t xml:space="preserve"> </w:t>
      </w:r>
      <w:r w:rsidRPr="000F6CD1">
        <w:t xml:space="preserve">to accompany the </w:t>
      </w:r>
      <w:r w:rsidR="00243966" w:rsidRPr="000F6CD1">
        <w:t>access approval for a</w:t>
      </w:r>
      <w:r w:rsidRPr="000F6CD1">
        <w:t xml:space="preserve"> service group</w:t>
      </w:r>
      <w:r w:rsidR="00564B6D" w:rsidRPr="000F6CD1">
        <w:t xml:space="preserve"> and</w:t>
      </w:r>
      <w:r w:rsidRPr="000F6CD1">
        <w:t xml:space="preserve"> classification</w:t>
      </w:r>
      <w:r w:rsidR="00E16191" w:rsidRPr="000F6CD1">
        <w:t xml:space="preserve"> type</w:t>
      </w:r>
      <w:r w:rsidR="00AF5B71" w:rsidRPr="000F6CD1">
        <w:t>.</w:t>
      </w:r>
    </w:p>
    <w:p w14:paraId="5B7C069D" w14:textId="77777777" w:rsidR="00765CDD" w:rsidRPr="000F6CD1" w:rsidRDefault="00765CDD" w:rsidP="006647CE">
      <w:pPr>
        <w:pStyle w:val="h2"/>
      </w:pPr>
      <w:bookmarkStart w:id="104" w:name="_Toc209188945"/>
      <w:bookmarkStart w:id="105" w:name="_Toc233282412"/>
      <w:r w:rsidRPr="000F6CD1">
        <w:t>Where approvals can be used</w:t>
      </w:r>
      <w:bookmarkEnd w:id="104"/>
      <w:bookmarkEnd w:id="105"/>
    </w:p>
    <w:p w14:paraId="4016A773" w14:textId="1F851A2F" w:rsidR="00765CDD" w:rsidRPr="000F6CD1" w:rsidRDefault="00765CDD" w:rsidP="008E6691">
      <w:pPr>
        <w:spacing w:before="240" w:after="240" w:line="240" w:lineRule="auto"/>
      </w:pPr>
      <w:r w:rsidRPr="000F6CD1">
        <w:t xml:space="preserve">Some approvals can be taken to more than one type of program or provider. This is part of how the </w:t>
      </w:r>
      <w:r w:rsidR="007836DF" w:rsidRPr="000F6CD1">
        <w:t>Act</w:t>
      </w:r>
      <w:r w:rsidRPr="000F6CD1">
        <w:t xml:space="preserve"> gives more flexibility to tailor the response to the individual.</w:t>
      </w:r>
    </w:p>
    <w:p w14:paraId="4022CEA1" w14:textId="77777777" w:rsidR="00765CDD" w:rsidRPr="000F6CD1" w:rsidRDefault="00765CDD" w:rsidP="008E6691">
      <w:pPr>
        <w:spacing w:before="240" w:after="240" w:line="240" w:lineRule="auto"/>
      </w:pPr>
      <w:r w:rsidRPr="000F6CD1">
        <w:t>For example, some people may choose to access their approved services through MPSP or NATSIFACP. Where this is recommended, a referral to a relevant provider will be made alongside the approval.</w:t>
      </w:r>
    </w:p>
    <w:p w14:paraId="1F3699E2" w14:textId="77777777" w:rsidR="0099761A" w:rsidRPr="000F6CD1" w:rsidRDefault="00765CDD" w:rsidP="00806A21">
      <w:pPr>
        <w:pStyle w:val="Sub-headings"/>
      </w:pPr>
      <w:r w:rsidRPr="000F6CD1">
        <w:t xml:space="preserve">Note: </w:t>
      </w:r>
    </w:p>
    <w:p w14:paraId="125DC6E4" w14:textId="5BE5F00A" w:rsidR="00765CDD" w:rsidRPr="000F6CD1" w:rsidRDefault="00765CDD" w:rsidP="00806A21">
      <w:pPr>
        <w:pStyle w:val="Sub-headings"/>
      </w:pPr>
      <w:r w:rsidRPr="000F6CD1">
        <w:t>If an older person accesses services through MPSP or NATSIFACP, the classification level will not restrict the type or amount of services that can be provided to the person.</w:t>
      </w:r>
    </w:p>
    <w:p w14:paraId="32A3C87C" w14:textId="77777777" w:rsidR="00765CDD" w:rsidRPr="000F6CD1" w:rsidRDefault="00765CDD" w:rsidP="008E6691">
      <w:pPr>
        <w:spacing w:before="240" w:after="240" w:line="240" w:lineRule="auto"/>
      </w:pPr>
      <w:r w:rsidRPr="000F6CD1">
        <w:t>The table below shows where the different approval combinations can be used.</w:t>
      </w:r>
    </w:p>
    <w:p w14:paraId="5E8CE763" w14:textId="49EC8E78" w:rsidR="00965D82" w:rsidRPr="00504630" w:rsidRDefault="00677007" w:rsidP="008E6691">
      <w:pPr>
        <w:spacing w:before="240" w:after="240" w:line="240" w:lineRule="auto"/>
      </w:pPr>
      <w:r w:rsidRPr="000F6CD1">
        <w:t>T</w:t>
      </w:r>
      <w:r w:rsidR="00765CDD" w:rsidRPr="000F6CD1">
        <w:t xml:space="preserve">he systems, tools and templates </w:t>
      </w:r>
      <w:r w:rsidRPr="000F6CD1">
        <w:t xml:space="preserve">assessors and assessment delegates </w:t>
      </w:r>
      <w:r w:rsidR="00765CDD" w:rsidRPr="000F6CD1">
        <w:t>use will take these into account and/or prompt when needed.</w:t>
      </w:r>
    </w:p>
    <w:p w14:paraId="18AEC2CD" w14:textId="22944BCB" w:rsidR="00A55540" w:rsidRPr="000F6CD1" w:rsidRDefault="00A55540" w:rsidP="008E6691">
      <w:pPr>
        <w:pStyle w:val="Caption"/>
        <w:spacing w:before="240" w:after="240"/>
      </w:pPr>
      <w:r w:rsidRPr="000F6CD1">
        <w:t xml:space="preserve">Table </w:t>
      </w:r>
      <w:r w:rsidR="00502BE4" w:rsidRPr="000F6CD1">
        <w:t>10</w:t>
      </w:r>
      <w:r w:rsidRPr="000F6CD1">
        <w:t xml:space="preserve">. </w:t>
      </w:r>
      <w:r w:rsidR="0042352C" w:rsidRPr="000F6CD1">
        <w:t xml:space="preserve">Service group, classification type and classification level </w:t>
      </w:r>
      <w:r w:rsidR="00D35B9E" w:rsidRPr="000F6CD1">
        <w:t xml:space="preserve">approval combinations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Service group, classification type and classification level approval combinations"/>
        <w:tblDescription w:val="Overview of service group, classification type and classification level approval combinations and corresponding aged care programs"/>
      </w:tblPr>
      <w:tblGrid>
        <w:gridCol w:w="2258"/>
        <w:gridCol w:w="6804"/>
      </w:tblGrid>
      <w:tr w:rsidR="00765CDD" w:rsidRPr="000F6CD1" w14:paraId="0DF69490" w14:textId="77777777" w:rsidTr="00662566">
        <w:trPr>
          <w:trHeight w:val="247"/>
          <w:tblHeader/>
        </w:trPr>
        <w:tc>
          <w:tcPr>
            <w:tcW w:w="2258" w:type="dxa"/>
            <w:shd w:val="clear" w:color="auto" w:fill="002060"/>
            <w:tcMar>
              <w:top w:w="72" w:type="dxa"/>
              <w:left w:w="144" w:type="dxa"/>
              <w:bottom w:w="72" w:type="dxa"/>
              <w:right w:w="144" w:type="dxa"/>
            </w:tcMar>
            <w:hideMark/>
          </w:tcPr>
          <w:p w14:paraId="027073B2" w14:textId="77777777" w:rsidR="00765CDD" w:rsidRPr="000F6CD1" w:rsidRDefault="00765CDD" w:rsidP="008E6691">
            <w:pPr>
              <w:spacing w:before="240" w:after="240" w:line="240" w:lineRule="auto"/>
              <w:rPr>
                <w:b/>
                <w:color w:val="FFFFFF" w:themeColor="background1"/>
              </w:rPr>
            </w:pPr>
            <w:r w:rsidRPr="000F6CD1">
              <w:rPr>
                <w:b/>
                <w:color w:val="FFFFFF" w:themeColor="background1"/>
              </w:rPr>
              <w:t>Program</w:t>
            </w:r>
          </w:p>
        </w:tc>
        <w:tc>
          <w:tcPr>
            <w:tcW w:w="6804" w:type="dxa"/>
            <w:shd w:val="clear" w:color="auto" w:fill="002060"/>
            <w:tcMar>
              <w:top w:w="72" w:type="dxa"/>
              <w:left w:w="144" w:type="dxa"/>
              <w:bottom w:w="72" w:type="dxa"/>
              <w:right w:w="144" w:type="dxa"/>
            </w:tcMar>
            <w:hideMark/>
          </w:tcPr>
          <w:p w14:paraId="2F132EC9" w14:textId="77777777" w:rsidR="00765CDD" w:rsidRPr="000F6CD1" w:rsidRDefault="00765CDD" w:rsidP="008E6691">
            <w:pPr>
              <w:spacing w:before="240" w:after="240" w:line="240" w:lineRule="auto"/>
              <w:rPr>
                <w:b/>
                <w:color w:val="FFFFFF" w:themeColor="background1"/>
              </w:rPr>
            </w:pPr>
            <w:r w:rsidRPr="000F6CD1">
              <w:rPr>
                <w:b/>
                <w:color w:val="FFFFFF" w:themeColor="background1"/>
              </w:rPr>
              <w:t xml:space="preserve">Service group </w:t>
            </w:r>
            <w:r w:rsidRPr="000F6CD1">
              <w:rPr>
                <w:rFonts w:hint="eastAsia"/>
                <w:b/>
                <w:color w:val="FFFFFF" w:themeColor="background1"/>
              </w:rPr>
              <w:t>–</w:t>
            </w:r>
            <w:r w:rsidRPr="000F6CD1">
              <w:rPr>
                <w:b/>
                <w:color w:val="FFFFFF" w:themeColor="background1"/>
              </w:rPr>
              <w:t xml:space="preserve"> Classification type - Classification level</w:t>
            </w:r>
          </w:p>
        </w:tc>
      </w:tr>
      <w:tr w:rsidR="00765CDD" w:rsidRPr="000F6CD1" w14:paraId="0E90780B" w14:textId="77777777" w:rsidTr="00662566">
        <w:trPr>
          <w:trHeight w:val="584"/>
        </w:trPr>
        <w:tc>
          <w:tcPr>
            <w:tcW w:w="2258" w:type="dxa"/>
            <w:shd w:val="clear" w:color="auto" w:fill="002060"/>
            <w:tcMar>
              <w:top w:w="72" w:type="dxa"/>
              <w:left w:w="144" w:type="dxa"/>
              <w:bottom w:w="72" w:type="dxa"/>
              <w:right w:w="144" w:type="dxa"/>
            </w:tcMar>
            <w:hideMark/>
          </w:tcPr>
          <w:p w14:paraId="47AE23FD" w14:textId="7C3C467D" w:rsidR="00765CDD" w:rsidRPr="000F6CD1" w:rsidRDefault="00765CDD" w:rsidP="008E6691">
            <w:pPr>
              <w:spacing w:before="240" w:after="240" w:line="240" w:lineRule="auto"/>
              <w:rPr>
                <w:bCs/>
              </w:rPr>
            </w:pPr>
            <w:r w:rsidRPr="000F6CD1">
              <w:rPr>
                <w:bCs/>
              </w:rPr>
              <w:t>C</w:t>
            </w:r>
            <w:r w:rsidR="00CE51A7" w:rsidRPr="000F6CD1">
              <w:rPr>
                <w:bCs/>
              </w:rPr>
              <w:t xml:space="preserve">ommonwealth </w:t>
            </w:r>
            <w:r w:rsidRPr="000F6CD1">
              <w:rPr>
                <w:bCs/>
              </w:rPr>
              <w:t>H</w:t>
            </w:r>
            <w:r w:rsidR="00CE51A7" w:rsidRPr="000F6CD1">
              <w:rPr>
                <w:bCs/>
              </w:rPr>
              <w:t xml:space="preserve">ome </w:t>
            </w:r>
            <w:r w:rsidRPr="000F6CD1">
              <w:rPr>
                <w:bCs/>
              </w:rPr>
              <w:t>S</w:t>
            </w:r>
            <w:r w:rsidR="00CE51A7" w:rsidRPr="000F6CD1">
              <w:rPr>
                <w:bCs/>
              </w:rPr>
              <w:t xml:space="preserve">upport </w:t>
            </w:r>
            <w:r w:rsidRPr="000F6CD1">
              <w:rPr>
                <w:bCs/>
              </w:rPr>
              <w:t>P</w:t>
            </w:r>
            <w:r w:rsidR="00CE51A7" w:rsidRPr="000F6CD1">
              <w:rPr>
                <w:bCs/>
              </w:rPr>
              <w:t>rogram (CHSP)</w:t>
            </w:r>
          </w:p>
        </w:tc>
        <w:tc>
          <w:tcPr>
            <w:tcW w:w="6804" w:type="dxa"/>
            <w:shd w:val="clear" w:color="auto" w:fill="FFFFFF" w:themeFill="background1"/>
            <w:tcMar>
              <w:top w:w="72" w:type="dxa"/>
              <w:left w:w="144" w:type="dxa"/>
              <w:bottom w:w="72" w:type="dxa"/>
              <w:right w:w="144" w:type="dxa"/>
            </w:tcMar>
          </w:tcPr>
          <w:p w14:paraId="597C9F6C" w14:textId="360ABC41" w:rsidR="00972E6B" w:rsidRPr="000F6CD1" w:rsidRDefault="00765CDD" w:rsidP="008E6691">
            <w:pPr>
              <w:spacing w:before="240" w:after="240" w:line="240" w:lineRule="auto"/>
            </w:pPr>
            <w:r w:rsidRPr="000F6CD1">
              <w:t xml:space="preserve">Home support </w:t>
            </w:r>
            <w:r w:rsidRPr="000F6CD1">
              <w:rPr>
                <w:rFonts w:hint="eastAsia"/>
              </w:rPr>
              <w:t>–</w:t>
            </w:r>
            <w:r w:rsidRPr="000F6CD1">
              <w:t xml:space="preserve"> ongoing - CHSP class</w:t>
            </w:r>
            <w:r w:rsidRPr="000F6CD1">
              <w:br/>
            </w:r>
          </w:p>
          <w:p w14:paraId="7EA78C47" w14:textId="193320C3" w:rsidR="00765CDD" w:rsidRPr="000F6CD1" w:rsidRDefault="00765CDD" w:rsidP="008E6691">
            <w:pPr>
              <w:spacing w:before="240" w:after="240" w:line="240" w:lineRule="auto"/>
            </w:pPr>
            <w:r w:rsidRPr="000F6CD1">
              <w:t xml:space="preserve">Assistive technology </w:t>
            </w:r>
            <w:r w:rsidRPr="000F6CD1">
              <w:rPr>
                <w:rFonts w:hint="eastAsia"/>
              </w:rPr>
              <w:t>–</w:t>
            </w:r>
            <w:r w:rsidRPr="000F6CD1">
              <w:t xml:space="preserve"> short-term </w:t>
            </w:r>
            <w:r w:rsidRPr="000F6CD1">
              <w:rPr>
                <w:rFonts w:hint="eastAsia"/>
              </w:rPr>
              <w:t>–</w:t>
            </w:r>
            <w:r w:rsidRPr="000F6CD1">
              <w:t xml:space="preserve"> AT CHSP</w:t>
            </w:r>
          </w:p>
          <w:p w14:paraId="7CBD8B28" w14:textId="77777777" w:rsidR="00765CDD" w:rsidRPr="000F6CD1" w:rsidRDefault="00765CDD" w:rsidP="008E6691">
            <w:pPr>
              <w:spacing w:before="240" w:after="240" w:line="240" w:lineRule="auto"/>
            </w:pPr>
            <w:r w:rsidRPr="000F6CD1">
              <w:br/>
              <w:t xml:space="preserve">Home modifications </w:t>
            </w:r>
            <w:r w:rsidRPr="000F6CD1">
              <w:rPr>
                <w:rFonts w:hint="eastAsia"/>
              </w:rPr>
              <w:t>–</w:t>
            </w:r>
            <w:r w:rsidRPr="000F6CD1">
              <w:t xml:space="preserve"> short-term </w:t>
            </w:r>
            <w:r w:rsidRPr="000F6CD1">
              <w:rPr>
                <w:rFonts w:hint="eastAsia"/>
              </w:rPr>
              <w:t>–</w:t>
            </w:r>
            <w:r w:rsidRPr="000F6CD1">
              <w:t xml:space="preserve"> HM CHSP</w:t>
            </w:r>
          </w:p>
        </w:tc>
      </w:tr>
      <w:tr w:rsidR="00765CDD" w:rsidRPr="000F6CD1" w14:paraId="18838B24" w14:textId="77777777" w:rsidTr="00662566">
        <w:trPr>
          <w:trHeight w:val="584"/>
        </w:trPr>
        <w:tc>
          <w:tcPr>
            <w:tcW w:w="2258" w:type="dxa"/>
            <w:shd w:val="clear" w:color="auto" w:fill="002060"/>
            <w:tcMar>
              <w:top w:w="72" w:type="dxa"/>
              <w:left w:w="144" w:type="dxa"/>
              <w:bottom w:w="72" w:type="dxa"/>
              <w:right w:w="144" w:type="dxa"/>
            </w:tcMar>
            <w:hideMark/>
          </w:tcPr>
          <w:p w14:paraId="5759F0DF" w14:textId="77777777" w:rsidR="00765CDD" w:rsidRPr="000F6CD1" w:rsidRDefault="00765CDD" w:rsidP="008E6691">
            <w:pPr>
              <w:spacing w:before="240" w:after="240" w:line="240" w:lineRule="auto"/>
              <w:rPr>
                <w:bCs/>
              </w:rPr>
            </w:pPr>
            <w:r w:rsidRPr="000F6CD1">
              <w:rPr>
                <w:bCs/>
              </w:rPr>
              <w:t>Support at Home program</w:t>
            </w:r>
          </w:p>
        </w:tc>
        <w:tc>
          <w:tcPr>
            <w:tcW w:w="6804" w:type="dxa"/>
            <w:shd w:val="clear" w:color="auto" w:fill="FFFFFF" w:themeFill="background1"/>
            <w:tcMar>
              <w:top w:w="72" w:type="dxa"/>
              <w:left w:w="144" w:type="dxa"/>
              <w:bottom w:w="72" w:type="dxa"/>
              <w:right w:w="144" w:type="dxa"/>
            </w:tcMar>
          </w:tcPr>
          <w:p w14:paraId="307A81AA"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ongoing </w:t>
            </w:r>
            <w:r w:rsidRPr="000F6CD1">
              <w:rPr>
                <w:rFonts w:hint="eastAsia"/>
              </w:rPr>
              <w:t>–</w:t>
            </w:r>
            <w:r w:rsidRPr="000F6CD1">
              <w:t xml:space="preserve"> SAH class 1 to 8</w:t>
            </w:r>
          </w:p>
          <w:p w14:paraId="66CD2AC0"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short-term </w:t>
            </w:r>
            <w:r w:rsidRPr="000F6CD1">
              <w:rPr>
                <w:rFonts w:hint="eastAsia"/>
              </w:rPr>
              <w:t>–</w:t>
            </w:r>
            <w:r w:rsidRPr="000F6CD1">
              <w:t xml:space="preserve"> SAH restorative care pathway</w:t>
            </w:r>
          </w:p>
          <w:p w14:paraId="67EDF957" w14:textId="77777777" w:rsidR="00765CDD" w:rsidRPr="000F6CD1" w:rsidRDefault="00765CDD" w:rsidP="008E6691">
            <w:pPr>
              <w:spacing w:before="240" w:after="240" w:line="240" w:lineRule="auto"/>
            </w:pPr>
            <w:r w:rsidRPr="000F6CD1">
              <w:lastRenderedPageBreak/>
              <w:t xml:space="preserve">Home support </w:t>
            </w:r>
            <w:r w:rsidRPr="000F6CD1">
              <w:rPr>
                <w:rFonts w:hint="eastAsia"/>
              </w:rPr>
              <w:t>–</w:t>
            </w:r>
            <w:r w:rsidRPr="000F6CD1">
              <w:t xml:space="preserve"> short-term </w:t>
            </w:r>
            <w:r w:rsidRPr="000F6CD1">
              <w:rPr>
                <w:rFonts w:hint="eastAsia"/>
              </w:rPr>
              <w:t>–</w:t>
            </w:r>
            <w:r w:rsidRPr="000F6CD1">
              <w:t xml:space="preserve"> SAH end-of-life pathway</w:t>
            </w:r>
          </w:p>
          <w:p w14:paraId="2F836688" w14:textId="77777777" w:rsidR="00765CDD" w:rsidRPr="000F6CD1" w:rsidRDefault="00765CDD" w:rsidP="008E6691">
            <w:pPr>
              <w:spacing w:before="240" w:after="240" w:line="240" w:lineRule="auto"/>
            </w:pPr>
            <w:r w:rsidRPr="000F6CD1">
              <w:br/>
              <w:t xml:space="preserve">Assistive technology </w:t>
            </w:r>
            <w:r w:rsidRPr="000F6CD1">
              <w:rPr>
                <w:rFonts w:hint="eastAsia"/>
              </w:rPr>
              <w:t>–</w:t>
            </w:r>
            <w:r w:rsidRPr="000F6CD1">
              <w:t xml:space="preserve"> ongoing </w:t>
            </w:r>
            <w:r w:rsidRPr="000F6CD1">
              <w:rPr>
                <w:rFonts w:hint="eastAsia"/>
              </w:rPr>
              <w:t>–</w:t>
            </w:r>
            <w:r w:rsidRPr="000F6CD1">
              <w:t xml:space="preserve"> assistance dogs</w:t>
            </w:r>
          </w:p>
          <w:p w14:paraId="5F0146C5" w14:textId="77777777" w:rsidR="00765CDD" w:rsidRPr="000F6CD1" w:rsidRDefault="00765CDD" w:rsidP="008E6691">
            <w:pPr>
              <w:spacing w:before="240" w:after="240" w:line="240" w:lineRule="auto"/>
            </w:pPr>
            <w:r w:rsidRPr="000F6CD1">
              <w:t xml:space="preserve">Assistive technology </w:t>
            </w:r>
            <w:r w:rsidRPr="000F6CD1">
              <w:rPr>
                <w:rFonts w:hint="eastAsia"/>
              </w:rPr>
              <w:t>–</w:t>
            </w:r>
            <w:r w:rsidRPr="000F6CD1">
              <w:t xml:space="preserve"> short-term </w:t>
            </w:r>
            <w:r w:rsidRPr="000F6CD1">
              <w:rPr>
                <w:rFonts w:hint="eastAsia"/>
              </w:rPr>
              <w:t>–</w:t>
            </w:r>
            <w:r w:rsidRPr="000F6CD1">
              <w:t xml:space="preserve"> AT low, AT medium, AT high</w:t>
            </w:r>
          </w:p>
          <w:p w14:paraId="4F04EBD3" w14:textId="77777777" w:rsidR="00765CDD" w:rsidRPr="000F6CD1" w:rsidRDefault="00765CDD" w:rsidP="008E6691">
            <w:pPr>
              <w:spacing w:before="240" w:after="240" w:line="240" w:lineRule="auto"/>
            </w:pPr>
          </w:p>
          <w:p w14:paraId="0AD7EBF3" w14:textId="77777777" w:rsidR="00765CDD" w:rsidRPr="000F6CD1" w:rsidRDefault="00765CDD" w:rsidP="008E6691">
            <w:pPr>
              <w:spacing w:before="240" w:after="240" w:line="240" w:lineRule="auto"/>
            </w:pPr>
            <w:r w:rsidRPr="000F6CD1">
              <w:t xml:space="preserve">Home modifications </w:t>
            </w:r>
            <w:r w:rsidRPr="000F6CD1">
              <w:rPr>
                <w:rFonts w:hint="eastAsia"/>
              </w:rPr>
              <w:t>–</w:t>
            </w:r>
            <w:r w:rsidRPr="000F6CD1">
              <w:t xml:space="preserve"> short-term </w:t>
            </w:r>
            <w:r w:rsidRPr="000F6CD1">
              <w:rPr>
                <w:rFonts w:hint="eastAsia"/>
              </w:rPr>
              <w:t>–</w:t>
            </w:r>
            <w:r w:rsidRPr="000F6CD1">
              <w:t xml:space="preserve"> HM low, HM medium, HM high</w:t>
            </w:r>
          </w:p>
        </w:tc>
      </w:tr>
      <w:tr w:rsidR="00765CDD" w:rsidRPr="000F6CD1" w14:paraId="62849A4D" w14:textId="77777777" w:rsidTr="00662566">
        <w:trPr>
          <w:trHeight w:val="584"/>
        </w:trPr>
        <w:tc>
          <w:tcPr>
            <w:tcW w:w="2258" w:type="dxa"/>
            <w:shd w:val="clear" w:color="auto" w:fill="002060"/>
            <w:tcMar>
              <w:top w:w="72" w:type="dxa"/>
              <w:left w:w="144" w:type="dxa"/>
              <w:bottom w:w="72" w:type="dxa"/>
              <w:right w:w="144" w:type="dxa"/>
            </w:tcMar>
            <w:hideMark/>
          </w:tcPr>
          <w:p w14:paraId="097DB0F5" w14:textId="77777777" w:rsidR="00765CDD" w:rsidRPr="000F6CD1" w:rsidRDefault="00765CDD" w:rsidP="008E6691">
            <w:pPr>
              <w:spacing w:before="240" w:after="240" w:line="240" w:lineRule="auto"/>
              <w:rPr>
                <w:bCs/>
              </w:rPr>
            </w:pPr>
            <w:r w:rsidRPr="000F6CD1">
              <w:rPr>
                <w:bCs/>
              </w:rPr>
              <w:lastRenderedPageBreak/>
              <w:t>Residential Aged Care</w:t>
            </w:r>
          </w:p>
        </w:tc>
        <w:tc>
          <w:tcPr>
            <w:tcW w:w="6804" w:type="dxa"/>
            <w:shd w:val="clear" w:color="auto" w:fill="FFFFFF" w:themeFill="background1"/>
            <w:tcMar>
              <w:top w:w="72" w:type="dxa"/>
              <w:left w:w="144" w:type="dxa"/>
              <w:bottom w:w="72" w:type="dxa"/>
              <w:right w:w="144" w:type="dxa"/>
            </w:tcMar>
          </w:tcPr>
          <w:p w14:paraId="35FA686B" w14:textId="2A46EF62" w:rsidR="00765CDD" w:rsidRPr="000F6CD1" w:rsidRDefault="00765CDD" w:rsidP="008E6691">
            <w:pPr>
              <w:spacing w:before="240" w:after="240" w:line="240" w:lineRule="auto"/>
            </w:pPr>
            <w:r w:rsidRPr="000F6CD1">
              <w:t xml:space="preserve">Residential care </w:t>
            </w:r>
            <w:r w:rsidRPr="000F6CD1">
              <w:rPr>
                <w:rFonts w:hint="eastAsia"/>
              </w:rPr>
              <w:t>–</w:t>
            </w:r>
            <w:r w:rsidRPr="000F6CD1">
              <w:t xml:space="preserve"> ongoing </w:t>
            </w:r>
            <w:r w:rsidRPr="000F6CD1">
              <w:rPr>
                <w:rFonts w:hint="eastAsia"/>
              </w:rPr>
              <w:t>–</w:t>
            </w:r>
            <w:r w:rsidRPr="000F6CD1">
              <w:t xml:space="preserve"> </w:t>
            </w:r>
            <w:r w:rsidR="005E6E5E" w:rsidRPr="000F6CD1">
              <w:t xml:space="preserve">Class </w:t>
            </w:r>
            <w:r w:rsidRPr="000F6CD1">
              <w:t xml:space="preserve">0 to 13* </w:t>
            </w:r>
            <w:r w:rsidRPr="000F6CD1">
              <w:br/>
              <w:t xml:space="preserve">Residential care </w:t>
            </w:r>
            <w:r w:rsidRPr="000F6CD1">
              <w:rPr>
                <w:rFonts w:hint="eastAsia"/>
              </w:rPr>
              <w:t>–</w:t>
            </w:r>
            <w:r w:rsidRPr="000F6CD1">
              <w:t xml:space="preserve"> short-term </w:t>
            </w:r>
            <w:r w:rsidRPr="000F6CD1">
              <w:rPr>
                <w:rFonts w:hint="eastAsia"/>
              </w:rPr>
              <w:t>–</w:t>
            </w:r>
            <w:r w:rsidRPr="000F6CD1">
              <w:t xml:space="preserve"> </w:t>
            </w:r>
            <w:r w:rsidR="005E6E5E" w:rsidRPr="000F6CD1">
              <w:t>Class</w:t>
            </w:r>
            <w:r w:rsidRPr="000F6CD1">
              <w:t xml:space="preserve"> 0 to 3</w:t>
            </w:r>
          </w:p>
        </w:tc>
      </w:tr>
      <w:tr w:rsidR="00765CDD" w:rsidRPr="000F6CD1" w14:paraId="4DC46AFC" w14:textId="77777777" w:rsidTr="00662566">
        <w:trPr>
          <w:trHeight w:val="584"/>
        </w:trPr>
        <w:tc>
          <w:tcPr>
            <w:tcW w:w="2258" w:type="dxa"/>
            <w:tcBorders>
              <w:bottom w:val="single" w:sz="4" w:space="0" w:color="auto"/>
            </w:tcBorders>
            <w:shd w:val="clear" w:color="auto" w:fill="002060"/>
            <w:tcMar>
              <w:top w:w="72" w:type="dxa"/>
              <w:left w:w="144" w:type="dxa"/>
              <w:bottom w:w="72" w:type="dxa"/>
              <w:right w:w="144" w:type="dxa"/>
            </w:tcMar>
          </w:tcPr>
          <w:p w14:paraId="1420561D" w14:textId="2CE49C96" w:rsidR="00765CDD" w:rsidRPr="000F6CD1" w:rsidRDefault="00765CDD" w:rsidP="008E6691">
            <w:pPr>
              <w:spacing w:before="240" w:after="240" w:line="240" w:lineRule="auto"/>
              <w:rPr>
                <w:bCs/>
              </w:rPr>
            </w:pPr>
            <w:r w:rsidRPr="000F6CD1">
              <w:rPr>
                <w:bCs/>
              </w:rPr>
              <w:t>Transition Care Program (TCP)</w:t>
            </w:r>
          </w:p>
        </w:tc>
        <w:tc>
          <w:tcPr>
            <w:tcW w:w="6804" w:type="dxa"/>
            <w:tcBorders>
              <w:bottom w:val="single" w:sz="4" w:space="0" w:color="auto"/>
            </w:tcBorders>
            <w:shd w:val="clear" w:color="auto" w:fill="FFFFFF" w:themeFill="background1"/>
            <w:tcMar>
              <w:top w:w="72" w:type="dxa"/>
              <w:left w:w="144" w:type="dxa"/>
              <w:bottom w:w="72" w:type="dxa"/>
              <w:right w:w="144" w:type="dxa"/>
            </w:tcMar>
          </w:tcPr>
          <w:p w14:paraId="37945DB8"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hospital transition </w:t>
            </w:r>
            <w:r w:rsidRPr="000F6CD1">
              <w:rPr>
                <w:rFonts w:hint="eastAsia"/>
              </w:rPr>
              <w:t>–</w:t>
            </w:r>
            <w:r w:rsidRPr="000F6CD1">
              <w:t xml:space="preserve"> HS HT class</w:t>
            </w:r>
          </w:p>
          <w:p w14:paraId="51DC24C0" w14:textId="77777777" w:rsidR="00765CDD" w:rsidRPr="000F6CD1" w:rsidRDefault="00765CDD" w:rsidP="008E6691">
            <w:pPr>
              <w:spacing w:before="240" w:after="240" w:line="240" w:lineRule="auto"/>
            </w:pPr>
            <w:r w:rsidRPr="000F6CD1">
              <w:br/>
              <w:t xml:space="preserve">Assistive technology </w:t>
            </w:r>
            <w:r w:rsidRPr="000F6CD1">
              <w:rPr>
                <w:rFonts w:hint="eastAsia"/>
              </w:rPr>
              <w:t>–</w:t>
            </w:r>
            <w:r w:rsidRPr="000F6CD1">
              <w:t xml:space="preserve"> hospital transition </w:t>
            </w:r>
            <w:r w:rsidRPr="000F6CD1">
              <w:rPr>
                <w:rFonts w:hint="eastAsia"/>
              </w:rPr>
              <w:t>–</w:t>
            </w:r>
            <w:r w:rsidRPr="000F6CD1">
              <w:t xml:space="preserve"> AT HT class</w:t>
            </w:r>
          </w:p>
          <w:p w14:paraId="057AA97A" w14:textId="65DF7604" w:rsidR="00765CDD" w:rsidRPr="000F6CD1" w:rsidRDefault="00765CDD" w:rsidP="008E6691">
            <w:pPr>
              <w:spacing w:before="240" w:after="240" w:line="240" w:lineRule="auto"/>
            </w:pPr>
            <w:r w:rsidRPr="000F6CD1">
              <w:br/>
              <w:t xml:space="preserve">Residential care </w:t>
            </w:r>
            <w:r w:rsidRPr="000F6CD1">
              <w:rPr>
                <w:rFonts w:hint="eastAsia"/>
              </w:rPr>
              <w:t>–</w:t>
            </w:r>
            <w:r w:rsidRPr="000F6CD1">
              <w:t xml:space="preserve"> hospital transition </w:t>
            </w:r>
            <w:r w:rsidRPr="000F6CD1">
              <w:rPr>
                <w:rFonts w:hint="eastAsia"/>
              </w:rPr>
              <w:t>–</w:t>
            </w:r>
            <w:r w:rsidRPr="000F6CD1">
              <w:t xml:space="preserve"> RC HT class</w:t>
            </w:r>
          </w:p>
        </w:tc>
      </w:tr>
      <w:tr w:rsidR="00765CDD" w:rsidRPr="000F6CD1" w14:paraId="5DE5943A" w14:textId="77777777" w:rsidTr="00662566">
        <w:trPr>
          <w:trHeight w:val="584"/>
        </w:trPr>
        <w:tc>
          <w:tcPr>
            <w:tcW w:w="2258" w:type="dxa"/>
            <w:tcBorders>
              <w:top w:val="single" w:sz="4" w:space="0" w:color="auto"/>
              <w:left w:val="single" w:sz="4" w:space="0" w:color="auto"/>
              <w:bottom w:val="single" w:sz="4" w:space="0" w:color="auto"/>
              <w:right w:val="single" w:sz="4" w:space="0" w:color="auto"/>
            </w:tcBorders>
            <w:shd w:val="clear" w:color="auto" w:fill="002060"/>
            <w:tcMar>
              <w:top w:w="72" w:type="dxa"/>
              <w:left w:w="144" w:type="dxa"/>
              <w:bottom w:w="72" w:type="dxa"/>
              <w:right w:w="144" w:type="dxa"/>
            </w:tcMar>
          </w:tcPr>
          <w:p w14:paraId="03493232" w14:textId="77777777" w:rsidR="00765CDD" w:rsidRPr="000F6CD1" w:rsidRDefault="00765CDD" w:rsidP="008E6691">
            <w:pPr>
              <w:spacing w:before="240" w:after="240" w:line="240" w:lineRule="auto"/>
              <w:rPr>
                <w:bCs/>
              </w:rPr>
            </w:pPr>
            <w:r w:rsidRPr="000F6CD1">
              <w:rPr>
                <w:bCs/>
              </w:rPr>
              <w:t>Multi-Purpose Service Program (MPSP)</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176A2D"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ongoing - CHSP class</w:t>
            </w:r>
          </w:p>
          <w:p w14:paraId="5F511B29"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ongoing </w:t>
            </w:r>
            <w:r w:rsidRPr="000F6CD1">
              <w:rPr>
                <w:rFonts w:hint="eastAsia"/>
              </w:rPr>
              <w:t>–</w:t>
            </w:r>
            <w:r w:rsidRPr="000F6CD1">
              <w:t xml:space="preserve"> SAH class 1 to 8 </w:t>
            </w:r>
          </w:p>
          <w:p w14:paraId="458BEA6E" w14:textId="77777777"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short-term </w:t>
            </w:r>
            <w:r w:rsidRPr="000F6CD1">
              <w:rPr>
                <w:rFonts w:hint="eastAsia"/>
              </w:rPr>
              <w:t>–</w:t>
            </w:r>
            <w:r w:rsidRPr="000F6CD1">
              <w:t xml:space="preserve"> SAH restorative care pathway</w:t>
            </w:r>
          </w:p>
          <w:p w14:paraId="23AD6570" w14:textId="132263A5" w:rsidR="00765CDD" w:rsidRPr="000F6CD1" w:rsidRDefault="00765CDD" w:rsidP="008E6691">
            <w:pPr>
              <w:spacing w:before="240" w:after="240" w:line="240" w:lineRule="auto"/>
            </w:pPr>
            <w:r w:rsidRPr="000F6CD1">
              <w:t xml:space="preserve">Home support </w:t>
            </w:r>
            <w:r w:rsidRPr="000F6CD1">
              <w:rPr>
                <w:rFonts w:hint="eastAsia"/>
              </w:rPr>
              <w:t>–</w:t>
            </w:r>
            <w:r w:rsidRPr="000F6CD1">
              <w:t xml:space="preserve"> short-term </w:t>
            </w:r>
            <w:r w:rsidRPr="000F6CD1">
              <w:rPr>
                <w:rFonts w:hint="eastAsia"/>
              </w:rPr>
              <w:t>–</w:t>
            </w:r>
            <w:r w:rsidRPr="000F6CD1">
              <w:t xml:space="preserve"> SAH end-of-life pathway</w:t>
            </w:r>
          </w:p>
          <w:p w14:paraId="4E194D9B" w14:textId="77777777" w:rsidR="00765CDD" w:rsidRPr="000F6CD1" w:rsidRDefault="00765CDD" w:rsidP="008E6691">
            <w:pPr>
              <w:spacing w:before="240" w:after="240" w:line="240" w:lineRule="auto"/>
            </w:pPr>
            <w:r w:rsidRPr="000F6CD1">
              <w:t xml:space="preserve">Assistive technology </w:t>
            </w:r>
            <w:r w:rsidRPr="000F6CD1">
              <w:rPr>
                <w:rFonts w:hint="eastAsia"/>
              </w:rPr>
              <w:t>–</w:t>
            </w:r>
            <w:r w:rsidRPr="000F6CD1">
              <w:t xml:space="preserve"> short-term </w:t>
            </w:r>
            <w:r w:rsidRPr="000F6CD1">
              <w:rPr>
                <w:rFonts w:hint="eastAsia"/>
              </w:rPr>
              <w:t>–</w:t>
            </w:r>
            <w:r w:rsidRPr="000F6CD1">
              <w:t xml:space="preserve"> AT CHSP</w:t>
            </w:r>
          </w:p>
          <w:p w14:paraId="47601F82" w14:textId="034477AF" w:rsidR="00765CDD" w:rsidRPr="000F6CD1" w:rsidRDefault="00765CDD" w:rsidP="008E6691">
            <w:pPr>
              <w:spacing w:before="240" w:after="240" w:line="240" w:lineRule="auto"/>
            </w:pPr>
            <w:r w:rsidRPr="000F6CD1">
              <w:t xml:space="preserve">Assistive technology </w:t>
            </w:r>
            <w:r w:rsidRPr="000F6CD1">
              <w:rPr>
                <w:rFonts w:hint="eastAsia"/>
              </w:rPr>
              <w:t>–</w:t>
            </w:r>
            <w:r w:rsidRPr="000F6CD1">
              <w:t xml:space="preserve"> short-term </w:t>
            </w:r>
            <w:r w:rsidRPr="000F6CD1">
              <w:rPr>
                <w:rFonts w:hint="eastAsia"/>
              </w:rPr>
              <w:t>–</w:t>
            </w:r>
            <w:r w:rsidRPr="000F6CD1">
              <w:t xml:space="preserve"> AT low, AT medium, AT high</w:t>
            </w:r>
            <w:r w:rsidRPr="000F6CD1">
              <w:br/>
              <w:t xml:space="preserve">Home modifications </w:t>
            </w:r>
            <w:r w:rsidRPr="000F6CD1">
              <w:rPr>
                <w:rFonts w:hint="eastAsia"/>
              </w:rPr>
              <w:t>–</w:t>
            </w:r>
            <w:r w:rsidRPr="000F6CD1">
              <w:t xml:space="preserve"> short-term </w:t>
            </w:r>
            <w:r w:rsidRPr="000F6CD1">
              <w:rPr>
                <w:rFonts w:hint="eastAsia"/>
              </w:rPr>
              <w:t>–</w:t>
            </w:r>
            <w:r w:rsidRPr="000F6CD1">
              <w:t xml:space="preserve"> HM CHSP</w:t>
            </w:r>
          </w:p>
          <w:p w14:paraId="4DA59538" w14:textId="77777777" w:rsidR="00765CDD" w:rsidRPr="000F6CD1" w:rsidRDefault="00765CDD" w:rsidP="008E6691">
            <w:pPr>
              <w:spacing w:before="240" w:after="240" w:line="240" w:lineRule="auto"/>
            </w:pPr>
            <w:r w:rsidRPr="000F6CD1">
              <w:t xml:space="preserve">Home modifications </w:t>
            </w:r>
            <w:r w:rsidRPr="000F6CD1">
              <w:rPr>
                <w:rFonts w:hint="eastAsia"/>
              </w:rPr>
              <w:t>–</w:t>
            </w:r>
            <w:r w:rsidRPr="000F6CD1">
              <w:t xml:space="preserve"> short-term </w:t>
            </w:r>
            <w:r w:rsidRPr="000F6CD1">
              <w:rPr>
                <w:rFonts w:hint="eastAsia"/>
              </w:rPr>
              <w:t>–</w:t>
            </w:r>
            <w:r w:rsidRPr="000F6CD1">
              <w:t xml:space="preserve"> HM low, HM medium, HM high</w:t>
            </w:r>
          </w:p>
          <w:p w14:paraId="645A5AC3" w14:textId="72A274F8" w:rsidR="00765CDD" w:rsidRPr="000F6CD1" w:rsidRDefault="00765CDD" w:rsidP="008E6691">
            <w:pPr>
              <w:spacing w:before="240" w:after="240" w:line="240" w:lineRule="auto"/>
            </w:pPr>
            <w:r w:rsidRPr="000F6CD1">
              <w:lastRenderedPageBreak/>
              <w:br/>
              <w:t xml:space="preserve">Residential care </w:t>
            </w:r>
            <w:r w:rsidRPr="000F6CD1">
              <w:rPr>
                <w:rFonts w:hint="eastAsia"/>
              </w:rPr>
              <w:t>–</w:t>
            </w:r>
            <w:r w:rsidRPr="000F6CD1">
              <w:t xml:space="preserve"> short-term </w:t>
            </w:r>
            <w:r w:rsidRPr="000F6CD1">
              <w:rPr>
                <w:rFonts w:hint="eastAsia"/>
              </w:rPr>
              <w:t>–</w:t>
            </w:r>
            <w:r w:rsidRPr="000F6CD1">
              <w:t xml:space="preserve"> </w:t>
            </w:r>
            <w:r w:rsidR="00946F56" w:rsidRPr="000F6CD1">
              <w:t>Class</w:t>
            </w:r>
            <w:r w:rsidR="005E6E5E" w:rsidRPr="000F6CD1">
              <w:t xml:space="preserve"> </w:t>
            </w:r>
            <w:r w:rsidRPr="000F6CD1">
              <w:t>0 to 3</w:t>
            </w:r>
          </w:p>
          <w:p w14:paraId="7958C760" w14:textId="682C8C12" w:rsidR="00765CDD" w:rsidRPr="000F6CD1" w:rsidRDefault="00765CDD" w:rsidP="008E6691">
            <w:pPr>
              <w:spacing w:before="240" w:after="240" w:line="240" w:lineRule="auto"/>
            </w:pPr>
            <w:r w:rsidRPr="000F6CD1">
              <w:t xml:space="preserve">Residential care </w:t>
            </w:r>
            <w:r w:rsidRPr="000F6CD1">
              <w:rPr>
                <w:rFonts w:hint="eastAsia"/>
              </w:rPr>
              <w:t>–</w:t>
            </w:r>
            <w:r w:rsidRPr="000F6CD1">
              <w:t xml:space="preserve"> ongoing </w:t>
            </w:r>
            <w:r w:rsidRPr="000F6CD1">
              <w:rPr>
                <w:rFonts w:hint="eastAsia"/>
              </w:rPr>
              <w:t>–</w:t>
            </w:r>
            <w:r w:rsidRPr="000F6CD1">
              <w:t xml:space="preserve"> </w:t>
            </w:r>
            <w:r w:rsidR="005E6E5E" w:rsidRPr="000F6CD1">
              <w:t xml:space="preserve">Class </w:t>
            </w:r>
            <w:r w:rsidRPr="000F6CD1">
              <w:t>0 to 13</w:t>
            </w:r>
            <w:r w:rsidRPr="000F6CD1">
              <w:rPr>
                <w:sz w:val="20"/>
                <w:szCs w:val="20"/>
              </w:rPr>
              <w:t xml:space="preserve"> </w:t>
            </w:r>
          </w:p>
        </w:tc>
      </w:tr>
      <w:tr w:rsidR="00765CDD" w:rsidRPr="000F6CD1" w14:paraId="70D9FFD1" w14:textId="77777777" w:rsidTr="00662566">
        <w:trPr>
          <w:trHeight w:val="584"/>
        </w:trPr>
        <w:tc>
          <w:tcPr>
            <w:tcW w:w="2258" w:type="dxa"/>
            <w:tcBorders>
              <w:top w:val="single" w:sz="4" w:space="0" w:color="auto"/>
            </w:tcBorders>
            <w:shd w:val="clear" w:color="auto" w:fill="002060"/>
            <w:tcMar>
              <w:top w:w="72" w:type="dxa"/>
              <w:left w:w="144" w:type="dxa"/>
              <w:bottom w:w="72" w:type="dxa"/>
              <w:right w:w="144" w:type="dxa"/>
            </w:tcMar>
          </w:tcPr>
          <w:p w14:paraId="4B7453B4" w14:textId="723AE6DD" w:rsidR="00765CDD" w:rsidRPr="000F6CD1" w:rsidRDefault="00765CDD" w:rsidP="008E6691">
            <w:pPr>
              <w:spacing w:before="240" w:after="240" w:line="240" w:lineRule="auto"/>
              <w:rPr>
                <w:bCs/>
              </w:rPr>
            </w:pPr>
            <w:r w:rsidRPr="000F6CD1">
              <w:rPr>
                <w:bCs/>
              </w:rPr>
              <w:t>National Aboriginal and Torres Strait Islander Flexible Aged Care Program (NATSIFACP)</w:t>
            </w:r>
          </w:p>
        </w:tc>
        <w:tc>
          <w:tcPr>
            <w:tcW w:w="6804" w:type="dxa"/>
            <w:vMerge/>
            <w:tcBorders>
              <w:top w:val="single" w:sz="4" w:space="0" w:color="auto"/>
            </w:tcBorders>
            <w:tcMar>
              <w:top w:w="72" w:type="dxa"/>
              <w:left w:w="144" w:type="dxa"/>
              <w:bottom w:w="72" w:type="dxa"/>
              <w:right w:w="144" w:type="dxa"/>
            </w:tcMar>
          </w:tcPr>
          <w:p w14:paraId="48BC0A0A" w14:textId="77777777" w:rsidR="00765CDD" w:rsidRPr="000F6CD1" w:rsidRDefault="00765CDD" w:rsidP="008E6691">
            <w:pPr>
              <w:spacing w:before="240" w:after="240" w:line="240" w:lineRule="auto"/>
            </w:pPr>
          </w:p>
        </w:tc>
      </w:tr>
    </w:tbl>
    <w:p w14:paraId="0DDE4ED2" w14:textId="11300E72" w:rsidR="006C4423" w:rsidRPr="000F6CD1" w:rsidRDefault="00765CDD" w:rsidP="008E6691">
      <w:pPr>
        <w:spacing w:before="240" w:after="240" w:line="240" w:lineRule="auto"/>
        <w:sectPr w:rsidR="006C4423" w:rsidRPr="000F6CD1">
          <w:pgSz w:w="11906" w:h="16838"/>
          <w:pgMar w:top="1440" w:right="1440" w:bottom="1440" w:left="1440" w:header="708" w:footer="708" w:gutter="0"/>
          <w:cols w:space="708"/>
          <w:docGrid w:linePitch="360"/>
        </w:sectPr>
      </w:pPr>
      <w:r w:rsidRPr="000F6CD1">
        <w:t>* Following a client</w:t>
      </w:r>
      <w:r w:rsidRPr="000F6CD1">
        <w:rPr>
          <w:rFonts w:hint="eastAsia"/>
        </w:rPr>
        <w:t>’</w:t>
      </w:r>
      <w:r w:rsidRPr="000F6CD1">
        <w:t xml:space="preserve">s admission to permanent residential care, a residential aged care funding assessor will conduct </w:t>
      </w:r>
      <w:r w:rsidR="00EE0F71" w:rsidRPr="000F6CD1">
        <w:t xml:space="preserve">an assessment using the Australian National Aged Care Classification (AN-ACC) assessment tool, which will result in a classification level determined by a </w:t>
      </w:r>
      <w:r w:rsidR="7CE2FCB3" w:rsidRPr="000F6CD1">
        <w:t>propriet</w:t>
      </w:r>
      <w:r w:rsidR="093C1579" w:rsidRPr="000F6CD1">
        <w:t>a</w:t>
      </w:r>
      <w:r w:rsidR="7CE2FCB3" w:rsidRPr="000F6CD1">
        <w:t>ry algorithm</w:t>
      </w:r>
      <w:r w:rsidR="00EE0F71" w:rsidRPr="000F6CD1">
        <w:t>.</w:t>
      </w:r>
    </w:p>
    <w:p w14:paraId="733C6822" w14:textId="10DD6D84" w:rsidR="00ED631B" w:rsidRPr="000F6CD1" w:rsidRDefault="00ED631B" w:rsidP="00AC3600">
      <w:pPr>
        <w:pStyle w:val="H1"/>
      </w:pPr>
      <w:bookmarkStart w:id="106" w:name="_Supported_Decision_Making"/>
      <w:bookmarkStart w:id="107" w:name="_Support_for_diverse"/>
      <w:bookmarkStart w:id="108" w:name="_Reviewable_Decisions"/>
      <w:bookmarkStart w:id="109" w:name="_Toc204329489"/>
      <w:bookmarkStart w:id="110" w:name="_Toc209188946"/>
      <w:bookmarkStart w:id="111" w:name="_Ref212734883"/>
      <w:bookmarkStart w:id="112" w:name="_Ref233128894"/>
      <w:bookmarkStart w:id="113" w:name="_Toc233282413"/>
      <w:bookmarkEnd w:id="106"/>
      <w:bookmarkEnd w:id="107"/>
      <w:bookmarkEnd w:id="108"/>
      <w:r w:rsidRPr="000F6CD1">
        <w:lastRenderedPageBreak/>
        <w:t>Chapter 2: Overview of My Aged Care and the Single Assessment System</w:t>
      </w:r>
      <w:bookmarkEnd w:id="109"/>
      <w:bookmarkEnd w:id="110"/>
      <w:bookmarkEnd w:id="111"/>
      <w:bookmarkEnd w:id="112"/>
      <w:bookmarkEnd w:id="113"/>
      <w:r w:rsidRPr="000F6CD1">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ED631B" w:rsidRPr="000F6CD1" w14:paraId="0E766CAB" w14:textId="77777777" w:rsidTr="00EC1D1F">
        <w:tc>
          <w:tcPr>
            <w:tcW w:w="9016" w:type="dxa"/>
            <w:shd w:val="clear" w:color="auto" w:fill="F2F2F2" w:themeFill="background1" w:themeFillShade="F2"/>
          </w:tcPr>
          <w:p w14:paraId="6F73CFFE" w14:textId="77777777" w:rsidR="00ED631B" w:rsidRPr="000F6CD1" w:rsidRDefault="00ED631B" w:rsidP="00380A8B">
            <w:pPr>
              <w:rPr>
                <w:b/>
                <w:color w:val="358189"/>
                <w:sz w:val="36"/>
                <w:szCs w:val="36"/>
              </w:rPr>
            </w:pPr>
            <w:bookmarkStart w:id="114" w:name="_Toc209188947"/>
            <w:r w:rsidRPr="000F6CD1">
              <w:rPr>
                <w:b/>
                <w:color w:val="358189"/>
                <w:sz w:val="36"/>
                <w:szCs w:val="36"/>
              </w:rPr>
              <w:t>What you’ll find in this chapter</w:t>
            </w:r>
            <w:bookmarkEnd w:id="114"/>
          </w:p>
          <w:p w14:paraId="48FF35FD" w14:textId="77777777" w:rsidR="00ED631B" w:rsidRPr="000F6CD1" w:rsidRDefault="00ED631B" w:rsidP="00856600">
            <w:pPr>
              <w:spacing w:before="240" w:after="240"/>
            </w:pPr>
            <w:r w:rsidRPr="000F6CD1">
              <w:t xml:space="preserve">This chapter provides information on the Single Assessment System including: </w:t>
            </w:r>
          </w:p>
          <w:p w14:paraId="01C7085A" w14:textId="77777777" w:rsidR="00ED631B" w:rsidRPr="000F6CD1" w:rsidRDefault="00ED631B" w:rsidP="00856600">
            <w:pPr>
              <w:pStyle w:val="ListParagraph"/>
              <w:numPr>
                <w:ilvl w:val="0"/>
                <w:numId w:val="43"/>
              </w:numPr>
              <w:spacing w:before="240" w:after="240"/>
            </w:pPr>
            <w:r w:rsidRPr="000F6CD1">
              <w:t>My Aged Care</w:t>
            </w:r>
          </w:p>
          <w:p w14:paraId="4B980537" w14:textId="77777777" w:rsidR="00ED631B" w:rsidRPr="000F6CD1" w:rsidRDefault="00ED631B" w:rsidP="00856600">
            <w:pPr>
              <w:pStyle w:val="ListParagraph"/>
              <w:numPr>
                <w:ilvl w:val="0"/>
                <w:numId w:val="43"/>
              </w:numPr>
              <w:spacing w:before="240" w:after="240"/>
            </w:pPr>
            <w:r w:rsidRPr="000F6CD1">
              <w:t>Single Assessment System</w:t>
            </w:r>
          </w:p>
          <w:p w14:paraId="220CE261" w14:textId="77777777" w:rsidR="00ED631B" w:rsidRPr="000F6CD1" w:rsidRDefault="00ED631B" w:rsidP="00856600">
            <w:pPr>
              <w:pStyle w:val="ListParagraph"/>
              <w:numPr>
                <w:ilvl w:val="0"/>
                <w:numId w:val="43"/>
              </w:numPr>
              <w:spacing w:before="240" w:after="240"/>
            </w:pPr>
            <w:r w:rsidRPr="000F6CD1">
              <w:t>Aboriginal and Torres Strait Islander Assessment Organisations</w:t>
            </w:r>
          </w:p>
          <w:p w14:paraId="60534974" w14:textId="77777777" w:rsidR="00ED631B" w:rsidRPr="000F6CD1" w:rsidRDefault="00ED631B" w:rsidP="00856600">
            <w:pPr>
              <w:pStyle w:val="ListParagraph"/>
              <w:numPr>
                <w:ilvl w:val="0"/>
                <w:numId w:val="43"/>
              </w:numPr>
              <w:spacing w:before="240" w:after="240"/>
            </w:pPr>
            <w:r w:rsidRPr="000F6CD1">
              <w:t>Assessment Organisation roles and responsibilities</w:t>
            </w:r>
          </w:p>
          <w:p w14:paraId="7635E2B2" w14:textId="77777777" w:rsidR="00ED631B" w:rsidRPr="000F6CD1" w:rsidRDefault="00ED631B" w:rsidP="00856600">
            <w:pPr>
              <w:pStyle w:val="ListParagraph"/>
              <w:numPr>
                <w:ilvl w:val="0"/>
                <w:numId w:val="43"/>
              </w:numPr>
              <w:spacing w:before="240" w:after="240"/>
            </w:pPr>
            <w:r w:rsidRPr="000F6CD1">
              <w:t>Home Support Assessments</w:t>
            </w:r>
          </w:p>
          <w:p w14:paraId="0C46B4AA" w14:textId="77777777" w:rsidR="00ED631B" w:rsidRPr="000F6CD1" w:rsidRDefault="00ED631B" w:rsidP="00856600">
            <w:pPr>
              <w:pStyle w:val="ListParagraph"/>
              <w:numPr>
                <w:ilvl w:val="0"/>
                <w:numId w:val="43"/>
              </w:numPr>
              <w:spacing w:before="240" w:after="240"/>
            </w:pPr>
            <w:r w:rsidRPr="000F6CD1">
              <w:t xml:space="preserve">Comprehensive Assessments </w:t>
            </w:r>
          </w:p>
          <w:p w14:paraId="684B606F" w14:textId="77777777" w:rsidR="00ED631B" w:rsidRPr="000F6CD1" w:rsidRDefault="00ED631B" w:rsidP="00856600">
            <w:pPr>
              <w:pStyle w:val="ListParagraph"/>
              <w:numPr>
                <w:ilvl w:val="0"/>
                <w:numId w:val="43"/>
              </w:numPr>
              <w:spacing w:before="240" w:after="240"/>
            </w:pPr>
            <w:r w:rsidRPr="000F6CD1">
              <w:t>The Integrated Assessment Tool (IAT</w:t>
            </w:r>
            <w:r w:rsidR="00073933" w:rsidRPr="000F6CD1">
              <w:t>)</w:t>
            </w:r>
          </w:p>
          <w:p w14:paraId="430413BF" w14:textId="0AA90D09" w:rsidR="00073933" w:rsidRPr="000F6CD1" w:rsidRDefault="00073933" w:rsidP="00856600">
            <w:pPr>
              <w:pStyle w:val="ListParagraph"/>
              <w:spacing w:before="240" w:after="240"/>
            </w:pPr>
          </w:p>
        </w:tc>
      </w:tr>
    </w:tbl>
    <w:p w14:paraId="70338D45" w14:textId="77777777" w:rsidR="00ED631B" w:rsidRPr="000F6CD1" w:rsidRDefault="00ED631B" w:rsidP="006647CE">
      <w:pPr>
        <w:pStyle w:val="h2"/>
      </w:pPr>
      <w:bookmarkStart w:id="115" w:name="_Toc204329490"/>
      <w:bookmarkStart w:id="116" w:name="_Toc204329492"/>
      <w:bookmarkStart w:id="117" w:name="_Toc209188948"/>
      <w:bookmarkStart w:id="118" w:name="_Toc233282414"/>
      <w:bookmarkStart w:id="119" w:name="_Toc198813646"/>
      <w:bookmarkStart w:id="120" w:name="CH1_SingleAssessmentSystem"/>
      <w:bookmarkEnd w:id="115"/>
      <w:r w:rsidRPr="000F6CD1">
        <w:t>My Aged Care</w:t>
      </w:r>
      <w:bookmarkEnd w:id="116"/>
      <w:bookmarkEnd w:id="117"/>
      <w:bookmarkEnd w:id="118"/>
    </w:p>
    <w:p w14:paraId="04BF9644" w14:textId="77777777" w:rsidR="00ED631B" w:rsidRPr="000F6CD1" w:rsidRDefault="00ED631B" w:rsidP="00856600">
      <w:pPr>
        <w:pStyle w:val="NumberedList"/>
        <w:spacing w:before="240" w:after="240" w:line="240" w:lineRule="auto"/>
        <w:rPr>
          <w:rFonts w:eastAsia="MS PGothic"/>
          <w:lang w:val="en-AU"/>
        </w:rPr>
      </w:pPr>
      <w:r w:rsidRPr="000F6CD1">
        <w:rPr>
          <w:rFonts w:eastAsia="MS PGothic"/>
          <w:lang w:val="en-AU"/>
        </w:rPr>
        <w:t>My Aged Care aims to make it easier for older people, their families, and carers to access information on aged care, have their aged care needs assessed, and be supported to locate and access services.</w:t>
      </w:r>
    </w:p>
    <w:p w14:paraId="44F46E78" w14:textId="77777777" w:rsidR="00ED631B" w:rsidRPr="000F6CD1" w:rsidRDefault="00ED631B" w:rsidP="00856600">
      <w:pPr>
        <w:spacing w:before="240" w:after="240" w:line="240" w:lineRule="auto"/>
        <w:rPr>
          <w:rFonts w:eastAsia="MS PGothic"/>
        </w:rPr>
      </w:pPr>
      <w:r w:rsidRPr="000F6CD1">
        <w:rPr>
          <w:rFonts w:eastAsia="MS PGothic"/>
        </w:rPr>
        <w:t>The key elements of My Aged Care include:</w:t>
      </w:r>
    </w:p>
    <w:p w14:paraId="703EBB2C" w14:textId="7972DD24" w:rsidR="00ED631B" w:rsidRPr="000F6CD1" w:rsidRDefault="00503CDE" w:rsidP="00856600">
      <w:pPr>
        <w:pStyle w:val="NumberedList"/>
        <w:numPr>
          <w:ilvl w:val="0"/>
          <w:numId w:val="4"/>
        </w:numPr>
        <w:spacing w:before="240" w:after="240" w:line="240" w:lineRule="auto"/>
        <w:ind w:right="-164"/>
        <w:rPr>
          <w:lang w:val="en-AU"/>
        </w:rPr>
      </w:pPr>
      <w:r w:rsidRPr="000F6CD1">
        <w:rPr>
          <w:lang w:val="en-AU"/>
        </w:rPr>
        <w:t>Access to My Aged Care for o</w:t>
      </w:r>
      <w:r w:rsidR="00ED631B" w:rsidRPr="000F6CD1">
        <w:rPr>
          <w:lang w:val="en-AU"/>
        </w:rPr>
        <w:t>lder people, their families, registered supporters or carers by:</w:t>
      </w:r>
    </w:p>
    <w:p w14:paraId="319F6F10" w14:textId="77777777" w:rsidR="00ED631B" w:rsidRPr="000F6CD1" w:rsidRDefault="00ED631B" w:rsidP="00856600">
      <w:pPr>
        <w:pStyle w:val="NumberedList"/>
        <w:numPr>
          <w:ilvl w:val="2"/>
          <w:numId w:val="37"/>
        </w:numPr>
        <w:spacing w:before="240" w:after="240" w:line="240" w:lineRule="auto"/>
        <w:ind w:left="1418" w:right="-164"/>
        <w:rPr>
          <w:lang w:val="en-AU"/>
        </w:rPr>
      </w:pPr>
      <w:r w:rsidRPr="000F6CD1">
        <w:rPr>
          <w:lang w:val="en-AU"/>
        </w:rPr>
        <w:t>calling My Aged Care on 1800 200 422 (FreeCall*) from 8am to 8pm Monday to Friday or 10am to 2pm Saturday (local time).</w:t>
      </w:r>
    </w:p>
    <w:p w14:paraId="4C7477D4" w14:textId="77777777" w:rsidR="00ED631B" w:rsidRPr="000F6CD1" w:rsidRDefault="00ED631B" w:rsidP="00856600">
      <w:pPr>
        <w:pStyle w:val="NumberedList"/>
        <w:numPr>
          <w:ilvl w:val="2"/>
          <w:numId w:val="37"/>
        </w:numPr>
        <w:spacing w:before="240" w:after="240" w:line="240" w:lineRule="auto"/>
        <w:ind w:left="1418" w:right="-164"/>
        <w:rPr>
          <w:lang w:val="en-AU"/>
        </w:rPr>
      </w:pPr>
      <w:r w:rsidRPr="000F6CD1">
        <w:rPr>
          <w:lang w:val="en-AU"/>
        </w:rPr>
        <w:t>visiting the My Aged Care website (</w:t>
      </w:r>
      <w:hyperlink r:id="rId51" w:history="1">
        <w:r w:rsidRPr="000F6CD1">
          <w:rPr>
            <w:lang w:val="en-AU"/>
          </w:rPr>
          <w:t>www.myagedcare.gov.au</w:t>
        </w:r>
      </w:hyperlink>
      <w:r w:rsidRPr="000F6CD1">
        <w:rPr>
          <w:lang w:val="en-AU"/>
        </w:rPr>
        <w:t xml:space="preserve">) </w:t>
      </w:r>
    </w:p>
    <w:p w14:paraId="2B25D0A4" w14:textId="77777777" w:rsidR="00ED631B" w:rsidRPr="000F6CD1" w:rsidRDefault="00ED631B" w:rsidP="00856600">
      <w:pPr>
        <w:pStyle w:val="NumberedList"/>
        <w:numPr>
          <w:ilvl w:val="2"/>
          <w:numId w:val="37"/>
        </w:numPr>
        <w:spacing w:before="240" w:after="240" w:line="240" w:lineRule="auto"/>
        <w:ind w:left="1418" w:right="-164"/>
        <w:rPr>
          <w:lang w:val="en-AU"/>
        </w:rPr>
      </w:pPr>
      <w:r w:rsidRPr="000F6CD1">
        <w:rPr>
          <w:lang w:val="en-AU"/>
        </w:rPr>
        <w:t>booking a face-to-face appointment with an Aged Care Specialist Officer (ACSO), located in some Services Australia service centres by calling 1800 227 475</w:t>
      </w:r>
    </w:p>
    <w:p w14:paraId="64C1E823" w14:textId="76895E17" w:rsidR="00ED631B" w:rsidRPr="000F6CD1" w:rsidRDefault="00ED631B" w:rsidP="00856600">
      <w:pPr>
        <w:pStyle w:val="NumberedList"/>
        <w:numPr>
          <w:ilvl w:val="2"/>
          <w:numId w:val="37"/>
        </w:numPr>
        <w:spacing w:before="240" w:after="240" w:line="240" w:lineRule="auto"/>
        <w:ind w:left="1418" w:right="-164"/>
        <w:rPr>
          <w:lang w:val="en-AU"/>
        </w:rPr>
      </w:pPr>
      <w:r w:rsidRPr="000F6CD1">
        <w:rPr>
          <w:lang w:val="en-AU"/>
        </w:rPr>
        <w:t xml:space="preserve">contacting a Care Finder or Elder Care Support Worker who will assist </w:t>
      </w:r>
      <w:r w:rsidR="000C6C71" w:rsidRPr="000F6CD1">
        <w:rPr>
          <w:lang w:val="en-AU"/>
        </w:rPr>
        <w:t xml:space="preserve">people in their program target populations </w:t>
      </w:r>
      <w:r w:rsidRPr="000F6CD1">
        <w:rPr>
          <w:lang w:val="en-AU"/>
        </w:rPr>
        <w:t>to navigate the aged care system.</w:t>
      </w:r>
    </w:p>
    <w:p w14:paraId="7DF36845" w14:textId="77777777" w:rsidR="00ED631B" w:rsidRPr="000F6CD1" w:rsidRDefault="00ED631B" w:rsidP="00856600">
      <w:pPr>
        <w:pStyle w:val="NumberedList"/>
        <w:numPr>
          <w:ilvl w:val="0"/>
          <w:numId w:val="4"/>
        </w:numPr>
        <w:spacing w:before="240" w:after="240" w:line="240" w:lineRule="auto"/>
        <w:ind w:right="-164"/>
        <w:rPr>
          <w:lang w:val="en-AU"/>
        </w:rPr>
      </w:pPr>
      <w:r w:rsidRPr="000F6CD1">
        <w:rPr>
          <w:lang w:val="en-AU"/>
        </w:rPr>
        <w:t>a My Aged Care Service Provider and Assessor Helpline</w:t>
      </w:r>
      <w:r w:rsidRPr="000F6CD1" w:rsidDel="00011D47">
        <w:rPr>
          <w:lang w:val="en-AU"/>
        </w:rPr>
        <w:t xml:space="preserve"> </w:t>
      </w:r>
      <w:r w:rsidRPr="000F6CD1">
        <w:rPr>
          <w:lang w:val="en-AU"/>
        </w:rPr>
        <w:t>(1800 836 799)</w:t>
      </w:r>
    </w:p>
    <w:p w14:paraId="5DB82D67" w14:textId="36601800" w:rsidR="00502BE4" w:rsidRPr="000F6CD1" w:rsidRDefault="00B7235B" w:rsidP="00502BE4">
      <w:pPr>
        <w:pStyle w:val="NumberedList"/>
        <w:numPr>
          <w:ilvl w:val="0"/>
          <w:numId w:val="4"/>
        </w:numPr>
        <w:spacing w:before="240" w:after="240" w:line="240" w:lineRule="auto"/>
        <w:ind w:right="-164"/>
        <w:rPr>
          <w:lang w:val="en-AU"/>
        </w:rPr>
      </w:pPr>
      <w:r w:rsidRPr="000F6CD1">
        <w:rPr>
          <w:lang w:val="en-AU"/>
        </w:rPr>
        <w:t>An</w:t>
      </w:r>
      <w:r w:rsidR="00ED631B" w:rsidRPr="000F6CD1">
        <w:rPr>
          <w:lang w:val="en-AU"/>
        </w:rPr>
        <w:t xml:space="preserve"> aged care needs assessment to identify an older person’s needs using the IAT and an access approval to access government funded aged care services.</w:t>
      </w:r>
    </w:p>
    <w:p w14:paraId="001E3335" w14:textId="77777777" w:rsidR="00ED631B" w:rsidRPr="000F6CD1" w:rsidRDefault="00ED631B" w:rsidP="00856600">
      <w:pPr>
        <w:pStyle w:val="NumberedList"/>
        <w:spacing w:before="240" w:after="240" w:line="240" w:lineRule="auto"/>
        <w:ind w:right="-164"/>
        <w:rPr>
          <w:lang w:val="en-AU"/>
        </w:rPr>
      </w:pPr>
      <w:r w:rsidRPr="000F6CD1">
        <w:rPr>
          <w:lang w:val="en-AU"/>
        </w:rPr>
        <w:t>My Aged Care is supported by a customer relationship management system that includes:</w:t>
      </w:r>
    </w:p>
    <w:p w14:paraId="219F3566" w14:textId="77777777" w:rsidR="00ED631B" w:rsidRPr="000F6CD1" w:rsidRDefault="00ED631B" w:rsidP="00856600">
      <w:pPr>
        <w:pStyle w:val="NumberedList"/>
        <w:numPr>
          <w:ilvl w:val="0"/>
          <w:numId w:val="4"/>
        </w:numPr>
        <w:spacing w:before="240" w:after="240" w:line="240" w:lineRule="auto"/>
        <w:ind w:right="-164"/>
        <w:rPr>
          <w:lang w:val="en-AU"/>
        </w:rPr>
      </w:pPr>
      <w:r w:rsidRPr="000F6CD1">
        <w:rPr>
          <w:lang w:val="en-AU"/>
        </w:rPr>
        <w:t>a central older person record that will include each older person’s current aged care requirements and associated history and services provided through My Aged Care</w:t>
      </w:r>
    </w:p>
    <w:p w14:paraId="73D045EC" w14:textId="31DC6595" w:rsidR="00ED631B" w:rsidRPr="000F6CD1" w:rsidRDefault="00E11D9E" w:rsidP="00856600">
      <w:pPr>
        <w:pStyle w:val="NumberedList"/>
        <w:numPr>
          <w:ilvl w:val="0"/>
          <w:numId w:val="4"/>
        </w:numPr>
        <w:spacing w:before="240" w:after="240" w:line="240" w:lineRule="auto"/>
        <w:ind w:right="-164"/>
        <w:rPr>
          <w:lang w:val="en-AU"/>
        </w:rPr>
      </w:pPr>
      <w:r w:rsidRPr="000F6CD1">
        <w:rPr>
          <w:lang w:val="en-AU"/>
        </w:rPr>
        <w:t>ability to request, register and end</w:t>
      </w:r>
      <w:r w:rsidR="00ED631B" w:rsidRPr="000F6CD1">
        <w:rPr>
          <w:lang w:val="en-AU"/>
        </w:rPr>
        <w:t xml:space="preserve"> registered supporter relationships</w:t>
      </w:r>
    </w:p>
    <w:p w14:paraId="18175BFC" w14:textId="77777777" w:rsidR="00ED631B" w:rsidRPr="000F6CD1" w:rsidRDefault="00ED631B" w:rsidP="00856600">
      <w:pPr>
        <w:pStyle w:val="NumberedList"/>
        <w:numPr>
          <w:ilvl w:val="0"/>
          <w:numId w:val="4"/>
        </w:numPr>
        <w:spacing w:before="240" w:after="240" w:line="240" w:lineRule="auto"/>
        <w:ind w:right="-164"/>
        <w:rPr>
          <w:lang w:val="en-AU"/>
        </w:rPr>
      </w:pPr>
      <w:r w:rsidRPr="000F6CD1">
        <w:rPr>
          <w:lang w:val="en-AU"/>
        </w:rPr>
        <w:lastRenderedPageBreak/>
        <w:t>a referral capability that enables the contact centre, ACSOs and assessors to find appropriate assessment, home support, residential and community support services or resources for older people</w:t>
      </w:r>
    </w:p>
    <w:p w14:paraId="53307FBA" w14:textId="67C3B273" w:rsidR="00ED631B" w:rsidRPr="000F6CD1" w:rsidRDefault="00ED631B" w:rsidP="002A65AA">
      <w:pPr>
        <w:pStyle w:val="NumberedList"/>
        <w:numPr>
          <w:ilvl w:val="0"/>
          <w:numId w:val="4"/>
        </w:numPr>
        <w:spacing w:before="240" w:after="240" w:line="240" w:lineRule="auto"/>
        <w:ind w:right="-164"/>
        <w:rPr>
          <w:lang w:val="en-AU"/>
        </w:rPr>
      </w:pPr>
      <w:r w:rsidRPr="000F6CD1">
        <w:rPr>
          <w:lang w:val="en-AU"/>
        </w:rPr>
        <w:t>web-based portals for older people (My Aged Care Online Account), assessors, service providers and support organisations.</w:t>
      </w:r>
    </w:p>
    <w:p w14:paraId="06A0F0B8" w14:textId="5A9CD45C" w:rsidR="00ED631B" w:rsidRPr="000F6CD1" w:rsidRDefault="00ED631B" w:rsidP="00856600">
      <w:pPr>
        <w:spacing w:before="240" w:after="240" w:line="240" w:lineRule="auto"/>
      </w:pPr>
      <w:r w:rsidRPr="000F6CD1">
        <w:t xml:space="preserve">Assessment organisations can use the My Aged Care </w:t>
      </w:r>
      <w:r w:rsidR="0060352D" w:rsidRPr="000F6CD1">
        <w:t>assessor portal</w:t>
      </w:r>
      <w:r w:rsidRPr="000F6CD1">
        <w:t xml:space="preserve"> to: </w:t>
      </w:r>
    </w:p>
    <w:p w14:paraId="673F76C4" w14:textId="0AAE7D7F"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manage their assessment organisation contact details and set up individual staff members with access to the My Aged Care </w:t>
      </w:r>
      <w:r w:rsidR="0060352D" w:rsidRPr="000F6CD1">
        <w:rPr>
          <w:lang w:val="en-AU"/>
        </w:rPr>
        <w:t>assessor portal</w:t>
      </w:r>
      <w:r w:rsidRPr="000F6CD1">
        <w:rPr>
          <w:lang w:val="en-AU"/>
        </w:rPr>
        <w:t xml:space="preserve"> </w:t>
      </w:r>
    </w:p>
    <w:p w14:paraId="08BC38B0"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manage referrals for assessment </w:t>
      </w:r>
    </w:p>
    <w:p w14:paraId="37D7789A" w14:textId="371A78C8"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submit </w:t>
      </w:r>
      <w:r w:rsidR="00991C3F" w:rsidRPr="000F6CD1">
        <w:rPr>
          <w:lang w:val="en-AU"/>
        </w:rPr>
        <w:t xml:space="preserve">and action </w:t>
      </w:r>
      <w:r w:rsidRPr="000F6CD1">
        <w:rPr>
          <w:lang w:val="en-AU"/>
        </w:rPr>
        <w:t>requests to create</w:t>
      </w:r>
      <w:r w:rsidR="00837483" w:rsidRPr="000F6CD1">
        <w:rPr>
          <w:lang w:val="en-AU"/>
        </w:rPr>
        <w:t>,</w:t>
      </w:r>
      <w:r w:rsidRPr="000F6CD1">
        <w:rPr>
          <w:lang w:val="en-AU"/>
        </w:rPr>
        <w:t xml:space="preserve"> </w:t>
      </w:r>
      <w:r w:rsidR="005445F5" w:rsidRPr="000F6CD1">
        <w:rPr>
          <w:lang w:val="en-AU"/>
        </w:rPr>
        <w:t xml:space="preserve">to register or end supporter relationships and create </w:t>
      </w:r>
      <w:r w:rsidR="005762B7" w:rsidRPr="000F6CD1">
        <w:rPr>
          <w:lang w:val="en-AU"/>
        </w:rPr>
        <w:t xml:space="preserve">organisation </w:t>
      </w:r>
      <w:r w:rsidR="005445F5" w:rsidRPr="000F6CD1">
        <w:rPr>
          <w:lang w:val="en-AU"/>
        </w:rPr>
        <w:t xml:space="preserve">agent relationships </w:t>
      </w:r>
    </w:p>
    <w:p w14:paraId="603A7C6B"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complete triage and determine eligibility for an aged care needs assessment </w:t>
      </w:r>
    </w:p>
    <w:p w14:paraId="3EC3F1DC"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undertake assessments using the IAT and develop a Support Plan</w:t>
      </w:r>
    </w:p>
    <w:p w14:paraId="75063DBE"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make delegate decisions for access to government-funded aged care services </w:t>
      </w:r>
    </w:p>
    <w:p w14:paraId="0B7BA0A8" w14:textId="24B0E1E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conduct </w:t>
      </w:r>
      <w:r w:rsidR="3D9EB332" w:rsidRPr="000F6CD1">
        <w:rPr>
          <w:lang w:val="en-AU"/>
        </w:rPr>
        <w:t>s</w:t>
      </w:r>
      <w:r w:rsidRPr="000F6CD1">
        <w:rPr>
          <w:lang w:val="en-AU"/>
        </w:rPr>
        <w:t xml:space="preserve">upport </w:t>
      </w:r>
      <w:r w:rsidR="38CB1B7E" w:rsidRPr="000F6CD1">
        <w:rPr>
          <w:lang w:val="en-AU"/>
        </w:rPr>
        <w:t>p</w:t>
      </w:r>
      <w:r w:rsidRPr="000F6CD1">
        <w:rPr>
          <w:lang w:val="en-AU"/>
        </w:rPr>
        <w:t xml:space="preserve">lan </w:t>
      </w:r>
      <w:r w:rsidR="6CD8002D" w:rsidRPr="000F6CD1">
        <w:rPr>
          <w:lang w:val="en-AU"/>
        </w:rPr>
        <w:t>r</w:t>
      </w:r>
      <w:r w:rsidRPr="000F6CD1">
        <w:rPr>
          <w:lang w:val="en-AU"/>
        </w:rPr>
        <w:t xml:space="preserve">eviews (SPRs) </w:t>
      </w:r>
      <w:r w:rsidR="00894D80" w:rsidRPr="000F6CD1">
        <w:rPr>
          <w:lang w:val="en-AU"/>
        </w:rPr>
        <w:t>and reassessments</w:t>
      </w:r>
    </w:p>
    <w:p w14:paraId="20CEFF9C"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refer older people for aged care services</w:t>
      </w:r>
    </w:p>
    <w:p w14:paraId="4030CE73" w14:textId="77777777"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 xml:space="preserve">recommend a period of reablement or for linking support on the Support Plan </w:t>
      </w:r>
    </w:p>
    <w:p w14:paraId="2B6CF642" w14:textId="5EBCC1CE" w:rsidR="00ED631B" w:rsidRPr="000F6CD1" w:rsidRDefault="00ED631B" w:rsidP="00856600">
      <w:pPr>
        <w:pStyle w:val="NumberedList"/>
        <w:numPr>
          <w:ilvl w:val="0"/>
          <w:numId w:val="36"/>
        </w:numPr>
        <w:spacing w:before="240" w:after="240" w:line="240" w:lineRule="auto"/>
        <w:ind w:left="567" w:hanging="283"/>
        <w:rPr>
          <w:lang w:val="en-AU"/>
        </w:rPr>
      </w:pPr>
      <w:r w:rsidRPr="000F6CD1">
        <w:rPr>
          <w:lang w:val="en-AU"/>
        </w:rPr>
        <w:t>review and update older person records consistent with the assessment and Support Plan outcomes.</w:t>
      </w:r>
    </w:p>
    <w:p w14:paraId="5BBB1E7A" w14:textId="554226B9" w:rsidR="003202D9" w:rsidRPr="000F6CD1" w:rsidRDefault="003202D9" w:rsidP="00856600">
      <w:pPr>
        <w:spacing w:before="240" w:after="240" w:line="240" w:lineRule="auto"/>
      </w:pPr>
      <w:r w:rsidRPr="000F6CD1">
        <w:t xml:space="preserve">My Aged Care is committed to supporting older Aboriginal and Torres Strait Islander people and their carers by making it easier to access aged care assessment services that are respectful of culture, community, and connection to Country. </w:t>
      </w:r>
      <w:r w:rsidR="00F867C7" w:rsidRPr="000F6CD1">
        <w:t xml:space="preserve">All </w:t>
      </w:r>
      <w:r w:rsidR="00D83F26" w:rsidRPr="000F6CD1">
        <w:t xml:space="preserve">assessment organisations, </w:t>
      </w:r>
      <w:r w:rsidR="00661C10" w:rsidRPr="000F6CD1">
        <w:t>including</w:t>
      </w:r>
      <w:r w:rsidR="0089026A" w:rsidRPr="000F6CD1">
        <w:t xml:space="preserve"> </w:t>
      </w:r>
      <w:r w:rsidR="00894D80" w:rsidRPr="000F6CD1">
        <w:t>those participating</w:t>
      </w:r>
      <w:r w:rsidR="00CA069B" w:rsidRPr="000F6CD1">
        <w:t xml:space="preserve"> in</w:t>
      </w:r>
      <w:r w:rsidR="00D15A16" w:rsidRPr="000F6CD1">
        <w:t xml:space="preserve"> the </w:t>
      </w:r>
      <w:r w:rsidRPr="000F6CD1">
        <w:t>Aboriginal and Torres Strait Islander assessment organisations</w:t>
      </w:r>
      <w:r w:rsidR="000373B4" w:rsidRPr="000F6CD1">
        <w:t xml:space="preserve"> pilot</w:t>
      </w:r>
      <w:r w:rsidRPr="000F6CD1">
        <w:t xml:space="preserve">, recognise the importance of cultural safety, trust, and relationships. </w:t>
      </w:r>
      <w:r w:rsidR="00BB412C" w:rsidRPr="000F6CD1">
        <w:t xml:space="preserve">Embedding cultural safety into the assessment process will help improve the experience of older Aboriginal and Torres Strait Islander people, as well as their families and carers. </w:t>
      </w:r>
      <w:r w:rsidRPr="000F6CD1">
        <w:t xml:space="preserve">Information, assessment and support will be delivered in ways that </w:t>
      </w:r>
      <w:r w:rsidR="007822D5" w:rsidRPr="000F6CD1">
        <w:t>uph</w:t>
      </w:r>
      <w:r w:rsidR="00EC411C" w:rsidRPr="000F6CD1">
        <w:t xml:space="preserve">old dignity and </w:t>
      </w:r>
      <w:r w:rsidRPr="000F6CD1">
        <w:t>promote wellbeing.</w:t>
      </w:r>
      <w:r w:rsidR="00BB412C" w:rsidRPr="000F6CD1">
        <w:t xml:space="preserve"> </w:t>
      </w:r>
    </w:p>
    <w:p w14:paraId="348D20A9" w14:textId="4795B247" w:rsidR="003202D9" w:rsidRPr="000F6CD1" w:rsidRDefault="003202D9" w:rsidP="00856600">
      <w:pPr>
        <w:spacing w:before="240" w:after="240" w:line="240" w:lineRule="auto"/>
      </w:pPr>
      <w:r w:rsidRPr="000F6CD1">
        <w:t>In addition to the standard ways that older Aboriginal and Torres Strait Islander</w:t>
      </w:r>
      <w:r w:rsidR="006862EF" w:rsidRPr="000F6CD1">
        <w:t xml:space="preserve"> people</w:t>
      </w:r>
      <w:r w:rsidRPr="000F6CD1">
        <w:t xml:space="preserve">, their families and carers can access My Aged Care, Aboriginal and Torres Strait Islander led support such as Elder Care Support Program, can also help facilitate access to My Aged Care services and assessments. This will help to ensure that older Aboriginal and Torres Strait Islander people and their carers receive support in a trusted and culturally safe environment. </w:t>
      </w:r>
    </w:p>
    <w:p w14:paraId="316192AC" w14:textId="17533FC5" w:rsidR="00B75EB3" w:rsidRPr="000F6CD1" w:rsidRDefault="00BC4A24" w:rsidP="00856600">
      <w:pPr>
        <w:spacing w:before="240" w:after="240" w:line="240" w:lineRule="auto"/>
      </w:pPr>
      <w:r w:rsidRPr="000F6CD1">
        <w:t>O</w:t>
      </w:r>
      <w:r w:rsidR="00B75EB3" w:rsidRPr="000F6CD1">
        <w:t xml:space="preserve">lder Aboriginal and Torres Strait Islander people </w:t>
      </w:r>
      <w:r w:rsidRPr="000F6CD1">
        <w:t>can</w:t>
      </w:r>
      <w:r w:rsidR="00B75EB3" w:rsidRPr="000F6CD1">
        <w:t xml:space="preserve"> indicate their preference to have their assessment delivered by an Aboriginal and Torres Strait Islander assessment organisation</w:t>
      </w:r>
      <w:r w:rsidR="004A2037" w:rsidRPr="000F6CD1">
        <w:t xml:space="preserve"> where one operates in their area</w:t>
      </w:r>
      <w:r w:rsidR="001E3ECF" w:rsidRPr="000F6CD1">
        <w:t xml:space="preserve">. </w:t>
      </w:r>
    </w:p>
    <w:p w14:paraId="252AD447" w14:textId="0B6C49F4" w:rsidR="00960476" w:rsidRPr="000F6CD1" w:rsidRDefault="00BC4A24" w:rsidP="00856600">
      <w:pPr>
        <w:spacing w:before="240" w:after="240" w:line="240" w:lineRule="auto"/>
      </w:pPr>
      <w:r w:rsidRPr="000F6CD1">
        <w:t>A c</w:t>
      </w:r>
      <w:r w:rsidR="00960476" w:rsidRPr="000F6CD1">
        <w:t xml:space="preserve">lient’s preference to be assessed by an Aboriginal and Torres Strait Islander organisation can be captured at multiple points along the </w:t>
      </w:r>
      <w:r w:rsidRPr="000F6CD1">
        <w:t xml:space="preserve">aged care </w:t>
      </w:r>
      <w:r w:rsidR="00960476" w:rsidRPr="000F6CD1">
        <w:t xml:space="preserve">journey. It may be </w:t>
      </w:r>
      <w:r w:rsidR="00960476" w:rsidRPr="000F6CD1">
        <w:lastRenderedPageBreak/>
        <w:t xml:space="preserve">captured when registering a client in the My Aged Care system, confirmed when completing demographic details during </w:t>
      </w:r>
      <w:r w:rsidR="001146EC" w:rsidRPr="000F6CD1">
        <w:t xml:space="preserve">the </w:t>
      </w:r>
      <w:r w:rsidR="00960476" w:rsidRPr="000F6CD1">
        <w:t>triage</w:t>
      </w:r>
      <w:r w:rsidR="001146EC" w:rsidRPr="000F6CD1">
        <w:t xml:space="preserve"> stage of an assessment</w:t>
      </w:r>
      <w:r w:rsidR="00960476" w:rsidRPr="000F6CD1">
        <w:t>. It may also be noted by an assessor during an assessment. Once recorded, the preference will display in the client’s profile and on the client’s card</w:t>
      </w:r>
      <w:r w:rsidR="001E3ECF" w:rsidRPr="000F6CD1">
        <w:t xml:space="preserve">. </w:t>
      </w:r>
    </w:p>
    <w:p w14:paraId="3EC5FF48" w14:textId="3FE25C21" w:rsidR="002C5DBB" w:rsidRPr="000F6CD1" w:rsidRDefault="00960476" w:rsidP="00856600">
      <w:pPr>
        <w:spacing w:before="240" w:after="240" w:line="240" w:lineRule="auto"/>
      </w:pPr>
      <w:r w:rsidRPr="000F6CD1">
        <w:t xml:space="preserve">It is </w:t>
      </w:r>
      <w:r w:rsidR="00FC4EA8" w:rsidRPr="000F6CD1">
        <w:t>acknow</w:t>
      </w:r>
      <w:r w:rsidR="00383C2E" w:rsidRPr="000F6CD1">
        <w:t>ledg</w:t>
      </w:r>
      <w:r w:rsidR="00FC4EA8" w:rsidRPr="000F6CD1">
        <w:t xml:space="preserve">ed </w:t>
      </w:r>
      <w:r w:rsidRPr="000F6CD1">
        <w:t>that</w:t>
      </w:r>
      <w:r w:rsidR="00EB01BB" w:rsidRPr="000F6CD1">
        <w:t xml:space="preserve"> establishing</w:t>
      </w:r>
      <w:r w:rsidRPr="000F6CD1">
        <w:t xml:space="preserve"> trust </w:t>
      </w:r>
      <w:r w:rsidR="00EB01BB" w:rsidRPr="000F6CD1">
        <w:t xml:space="preserve">may </w:t>
      </w:r>
      <w:r w:rsidR="00776252" w:rsidRPr="000F6CD1">
        <w:t>requir</w:t>
      </w:r>
      <w:r w:rsidRPr="000F6CD1">
        <w:t>e time, particularly for older Aboriginal and Torres Strait Islander people</w:t>
      </w:r>
      <w:r w:rsidR="00776252" w:rsidRPr="000F6CD1">
        <w:t xml:space="preserve">. </w:t>
      </w:r>
      <w:r w:rsidR="00F318C2" w:rsidRPr="000F6CD1">
        <w:t xml:space="preserve">Assessors </w:t>
      </w:r>
      <w:r w:rsidR="00744299" w:rsidRPr="000F6CD1">
        <w:t>should ensure clients</w:t>
      </w:r>
      <w:r w:rsidR="00A16D32" w:rsidRPr="000F6CD1">
        <w:t xml:space="preserve"> feel culturally safe</w:t>
      </w:r>
      <w:r w:rsidR="001532F1" w:rsidRPr="000F6CD1">
        <w:t xml:space="preserve">, respected, </w:t>
      </w:r>
      <w:r w:rsidRPr="000F6CD1">
        <w:t xml:space="preserve">and comfortable before </w:t>
      </w:r>
      <w:r w:rsidR="00CE51EE" w:rsidRPr="000F6CD1">
        <w:t xml:space="preserve">they </w:t>
      </w:r>
      <w:r w:rsidR="001532F1" w:rsidRPr="000F6CD1">
        <w:t>reques</w:t>
      </w:r>
      <w:r w:rsidR="00CE51EE" w:rsidRPr="000F6CD1">
        <w:t>t</w:t>
      </w:r>
      <w:r w:rsidR="001532F1" w:rsidRPr="000F6CD1">
        <w:t xml:space="preserve"> </w:t>
      </w:r>
      <w:r w:rsidRPr="000F6CD1">
        <w:t xml:space="preserve">personal or sensitive information. To support this, </w:t>
      </w:r>
      <w:r w:rsidR="006078A0" w:rsidRPr="000F6CD1">
        <w:t xml:space="preserve">assessors should consider if </w:t>
      </w:r>
      <w:r w:rsidRPr="000F6CD1">
        <w:t xml:space="preserve">assessments </w:t>
      </w:r>
      <w:r w:rsidR="006078A0" w:rsidRPr="000F6CD1">
        <w:t xml:space="preserve">should </w:t>
      </w:r>
      <w:r w:rsidRPr="000F6CD1">
        <w:t>be conducted over multiple sittings to allow the process to proceed at a pace that respects the older person’s readiness and preferences. During this period, assessors are expected to maintain regular contact with the older person while the assessment remains active. This ongoing engagement helps foster trust and continuity and ensures that the older person feels supported throughout the process.</w:t>
      </w:r>
    </w:p>
    <w:p w14:paraId="2A264B5A" w14:textId="77777777" w:rsidR="0099761A" w:rsidRPr="000F6CD1" w:rsidRDefault="00ED631B" w:rsidP="00806A21">
      <w:pPr>
        <w:pStyle w:val="Sub-headings"/>
      </w:pPr>
      <w:r w:rsidRPr="000F6CD1">
        <w:t xml:space="preserve">Note: </w:t>
      </w:r>
    </w:p>
    <w:p w14:paraId="3032D897" w14:textId="1C8FCA09" w:rsidR="00602DAB" w:rsidRPr="000F6CD1" w:rsidRDefault="00ED631B" w:rsidP="00806A21">
      <w:pPr>
        <w:pStyle w:val="Sub-headings"/>
      </w:pPr>
      <w:r w:rsidRPr="000F6CD1">
        <w:t xml:space="preserve">My Aged Care </w:t>
      </w:r>
      <w:r w:rsidR="0060352D" w:rsidRPr="000F6CD1">
        <w:t>assessor portal</w:t>
      </w:r>
      <w:r w:rsidRPr="000F6CD1">
        <w:t xml:space="preserve"> users are reminded that they are subject to several obligations when handling information in the Portals. This includes obligations under the </w:t>
      </w:r>
      <w:r w:rsidRPr="00155B6A">
        <w:rPr>
          <w:i/>
          <w:iCs/>
        </w:rPr>
        <w:t>Privacy Act 1988 (</w:t>
      </w:r>
      <w:r w:rsidRPr="000F6CD1">
        <w:t xml:space="preserve">Cth) and where relevant the </w:t>
      </w:r>
      <w:r w:rsidRPr="00155B6A">
        <w:rPr>
          <w:i/>
          <w:iCs/>
        </w:rPr>
        <w:t>Aged Care Act 2024</w:t>
      </w:r>
      <w:r w:rsidRPr="000F6CD1">
        <w:t xml:space="preserve"> (Cth).</w:t>
      </w:r>
    </w:p>
    <w:p w14:paraId="0144C0B2" w14:textId="6C44F7DD" w:rsidR="0055397F" w:rsidRPr="000F6CD1" w:rsidRDefault="0055397F" w:rsidP="00662566">
      <w:bookmarkStart w:id="121" w:name="_Toc204329494"/>
      <w:bookmarkStart w:id="122" w:name="_Toc209188949"/>
    </w:p>
    <w:p w14:paraId="2704B317" w14:textId="77777777" w:rsidR="00ED631B" w:rsidRPr="000F6CD1" w:rsidRDefault="00ED631B" w:rsidP="006647CE">
      <w:pPr>
        <w:pStyle w:val="h2"/>
        <w:rPr>
          <w:color w:val="auto"/>
        </w:rPr>
      </w:pPr>
      <w:bookmarkStart w:id="123" w:name="_Toc233282415"/>
      <w:r w:rsidRPr="000F6CD1">
        <w:t>Single Assessment System</w:t>
      </w:r>
      <w:bookmarkEnd w:id="119"/>
      <w:bookmarkEnd w:id="121"/>
      <w:bookmarkEnd w:id="122"/>
      <w:bookmarkEnd w:id="123"/>
    </w:p>
    <w:bookmarkEnd w:id="120"/>
    <w:p w14:paraId="7A573AFD" w14:textId="0D512D75" w:rsidR="00ED631B" w:rsidRPr="000F6CD1" w:rsidRDefault="00ED631B" w:rsidP="00856600">
      <w:pPr>
        <w:spacing w:before="240" w:after="240" w:line="240" w:lineRule="auto"/>
      </w:pPr>
      <w:r w:rsidRPr="000F6CD1">
        <w:t xml:space="preserve">The Single Assessment System came into effect in </w:t>
      </w:r>
      <w:r w:rsidR="0034406F" w:rsidRPr="000F6CD1">
        <w:t>July</w:t>
      </w:r>
      <w:r w:rsidRPr="000F6CD1">
        <w:t xml:space="preserve"> 2024</w:t>
      </w:r>
      <w:r w:rsidR="0034406F" w:rsidRPr="000F6CD1">
        <w:t xml:space="preserve">, with the </w:t>
      </w:r>
      <w:r w:rsidR="00CB40A4" w:rsidRPr="000F6CD1">
        <w:t xml:space="preserve">IAT introduced on 1 July </w:t>
      </w:r>
      <w:r w:rsidR="0058361C" w:rsidRPr="000F6CD1">
        <w:t xml:space="preserve">2024 </w:t>
      </w:r>
      <w:r w:rsidR="00CB40A4" w:rsidRPr="000F6CD1">
        <w:t>and the Single Assessment System workforce introduced in December 2024</w:t>
      </w:r>
      <w:r w:rsidRPr="000F6CD1">
        <w:t xml:space="preserve">. It provides a single aged care assessment pathway for older people to access aged care services. This included the phased implementation of Aboriginal and Torres Strait Islander </w:t>
      </w:r>
      <w:r w:rsidR="0084737D" w:rsidRPr="000F6CD1">
        <w:t>a</w:t>
      </w:r>
      <w:r w:rsidRPr="000F6CD1">
        <w:t xml:space="preserve">ssessment organisations from </w:t>
      </w:r>
      <w:r w:rsidR="00EB67CD" w:rsidRPr="000F6CD1">
        <w:t>August</w:t>
      </w:r>
      <w:r w:rsidRPr="000F6CD1">
        <w:t xml:space="preserve"> 2025. The system has been established to respond to Recommendations 28 and 48.2(b) of the Royal Commission into Aged Care Quality and Safety to make it easier for older people to access culturally safe aged care assessments and adapt services as their needs change.</w:t>
      </w:r>
      <w:r w:rsidR="00E60614" w:rsidRPr="000F6CD1">
        <w:t xml:space="preserve"> </w:t>
      </w:r>
    </w:p>
    <w:p w14:paraId="7F7F009B" w14:textId="4E5F4F62" w:rsidR="00ED631B" w:rsidRPr="000F6CD1" w:rsidRDefault="00ED631B" w:rsidP="00856600">
      <w:pPr>
        <w:spacing w:before="240" w:after="240" w:line="240" w:lineRule="auto"/>
      </w:pPr>
      <w:r w:rsidRPr="000F6CD1">
        <w:t xml:space="preserve">The </w:t>
      </w:r>
      <w:r w:rsidR="00FD32AA" w:rsidRPr="000F6CD1">
        <w:t xml:space="preserve">Australian Government </w:t>
      </w:r>
      <w:r w:rsidRPr="000F6CD1">
        <w:t>delivers aged care assessments through the Single Assessment System workforce. Aged care assessments are delivered by a mix of state and territory governments, for-profit organisations, not-for-profit organisations, Aboriginal Community Controlled Health Organisations (ACCHOs) and private sector providers. </w:t>
      </w:r>
    </w:p>
    <w:p w14:paraId="46472E86" w14:textId="677517E6" w:rsidR="00ED631B" w:rsidRPr="000F6CD1" w:rsidRDefault="00ED631B" w:rsidP="00856600">
      <w:pPr>
        <w:spacing w:before="240" w:after="240" w:line="240" w:lineRule="auto"/>
      </w:pPr>
      <w:r w:rsidRPr="000F6CD1">
        <w:t xml:space="preserve">Under the Single Assessment System, assessment organisations have a mix of clinical and non-clinical assessment staff and conduct both home support and comprehensive assessments. Each assessment organisation is multidisciplinary and may include a range of health-related disciplines. Some assessment organisations may also deliver residential aged care funding assessments using the Australian National Aged Care Classification (AN-ACC) assessment tool. </w:t>
      </w:r>
    </w:p>
    <w:p w14:paraId="33D09A08" w14:textId="66852400" w:rsidR="00ED631B" w:rsidRPr="000F6CD1" w:rsidRDefault="00ED631B" w:rsidP="00856600">
      <w:pPr>
        <w:spacing w:before="240" w:after="240" w:line="240" w:lineRule="auto"/>
      </w:pPr>
      <w:r w:rsidRPr="000F6CD1">
        <w:t xml:space="preserve">Assessment organisations are responsible for the day-to-day operation of the Single Assessment System including the timely delivery of assessments under the </w:t>
      </w:r>
      <w:r w:rsidRPr="000F6CD1">
        <w:rPr>
          <w:i/>
        </w:rPr>
        <w:t xml:space="preserve">Aged Care Act 2024 </w:t>
      </w:r>
      <w:r w:rsidRPr="000F6CD1">
        <w:rPr>
          <w:iCs/>
        </w:rPr>
        <w:t>(the Act),</w:t>
      </w:r>
      <w:r w:rsidRPr="000F6CD1">
        <w:t xml:space="preserve"> as well as the management, training, and performance of individual assessors and delegates.</w:t>
      </w:r>
    </w:p>
    <w:p w14:paraId="64B1E618" w14:textId="65FD871D" w:rsidR="00ED631B" w:rsidRPr="000F6CD1" w:rsidRDefault="00ED631B" w:rsidP="00856600">
      <w:pPr>
        <w:spacing w:before="240" w:after="240" w:line="240" w:lineRule="auto"/>
      </w:pPr>
      <w:r w:rsidRPr="000F6CD1">
        <w:t xml:space="preserve">The department has responsibility for the Single Assessment </w:t>
      </w:r>
      <w:r w:rsidR="36B3C766" w:rsidRPr="000F6CD1">
        <w:t>System,</w:t>
      </w:r>
      <w:r w:rsidRPr="000F6CD1">
        <w:t xml:space="preserve"> including providing advice on Australian Government policy, the monitoring and reporting of performance </w:t>
      </w:r>
      <w:r w:rsidRPr="000F6CD1">
        <w:lastRenderedPageBreak/>
        <w:t xml:space="preserve">against agreed service levels, and the management of regulatory and other administrative processes relating to the </w:t>
      </w:r>
      <w:r w:rsidRPr="000F6CD1">
        <w:rPr>
          <w:iCs/>
        </w:rPr>
        <w:t>Act.</w:t>
      </w:r>
      <w:r w:rsidR="00E60614" w:rsidRPr="000F6CD1">
        <w:t xml:space="preserve"> </w:t>
      </w:r>
    </w:p>
    <w:p w14:paraId="17D5019C" w14:textId="31B052BE" w:rsidR="00ED631B" w:rsidRPr="000F6CD1" w:rsidRDefault="00ED631B" w:rsidP="00856600">
      <w:pPr>
        <w:spacing w:before="240" w:after="240" w:line="240" w:lineRule="auto"/>
      </w:pPr>
      <w:r w:rsidRPr="000F6CD1">
        <w:t xml:space="preserve">The department and assessment organisations are jointly responsible for training assessment organisation staff, establishing communication protocols, working cooperatively to develop nationally consistent approaches to Single Assessment System </w:t>
      </w:r>
      <w:r w:rsidR="00555ECC" w:rsidRPr="000F6CD1">
        <w:t>workforce</w:t>
      </w:r>
      <w:r w:rsidRPr="000F6CD1">
        <w:t xml:space="preserve"> operations, and participating in regular forums to support the national administration of the Single Assessment System.</w:t>
      </w:r>
    </w:p>
    <w:p w14:paraId="61AB7DCF" w14:textId="1AA8E690" w:rsidR="00ED631B" w:rsidRPr="000F6CD1" w:rsidRDefault="00ED631B" w:rsidP="00856600">
      <w:pPr>
        <w:spacing w:before="240" w:after="240" w:line="240" w:lineRule="auto"/>
      </w:pPr>
      <w:r w:rsidRPr="000F6CD1">
        <w:t xml:space="preserve">With assessment organisations having a mixed clinical and non-clinical workforce, it is a requirement that all assessment organisations have effective clinical governance operationalised through a clinical governance framework. The department has provided guidance in </w:t>
      </w:r>
      <w:r w:rsidR="00D463DA" w:rsidRPr="000F6CD1">
        <w:t xml:space="preserve">Appendix </w:t>
      </w:r>
      <w:r w:rsidR="00155ECB" w:rsidRPr="000F6CD1">
        <w:t>C</w:t>
      </w:r>
      <w:r w:rsidR="006C1B9B" w:rsidRPr="000F6CD1">
        <w:t xml:space="preserve"> which</w:t>
      </w:r>
      <w:r w:rsidRPr="000F6CD1">
        <w:t xml:space="preserve"> aims to help assessment organisations to implement effective clinical governance. The guidance describes the importance of good clinical governance, details the elements of an effective clinical governance framework in an aged care needs assessment context and outlines the minimum supports that must be in place to support clinical and non-clinical staff.</w:t>
      </w:r>
    </w:p>
    <w:p w14:paraId="0B065AA0" w14:textId="0CAD8709" w:rsidR="00ED631B" w:rsidRPr="000F6CD1" w:rsidDel="00BA0472" w:rsidRDefault="00ED631B" w:rsidP="006647CE">
      <w:pPr>
        <w:pStyle w:val="h2"/>
      </w:pPr>
      <w:bookmarkStart w:id="124" w:name="_Toc204329495"/>
      <w:bookmarkStart w:id="125" w:name="_Toc209188950"/>
      <w:bookmarkStart w:id="126" w:name="_Toc233282416"/>
      <w:r w:rsidRPr="000F6CD1">
        <w:t>Aboriginal and Torres Strait Islander</w:t>
      </w:r>
      <w:r w:rsidRPr="000F6CD1" w:rsidDel="00BA0472">
        <w:t xml:space="preserve"> </w:t>
      </w:r>
      <w:r w:rsidR="00B4461A" w:rsidRPr="000F6CD1">
        <w:t>a</w:t>
      </w:r>
      <w:r w:rsidRPr="000F6CD1" w:rsidDel="00BA0472">
        <w:t>ssessment</w:t>
      </w:r>
      <w:r w:rsidRPr="000F6CD1">
        <w:t xml:space="preserve"> </w:t>
      </w:r>
      <w:r w:rsidR="00B4461A" w:rsidRPr="000F6CD1">
        <w:t>o</w:t>
      </w:r>
      <w:r w:rsidRPr="000F6CD1">
        <w:t>rganisations</w:t>
      </w:r>
      <w:bookmarkEnd w:id="124"/>
      <w:bookmarkEnd w:id="125"/>
      <w:bookmarkEnd w:id="126"/>
    </w:p>
    <w:p w14:paraId="0DCF593C" w14:textId="77777777" w:rsidR="00ED631B" w:rsidRPr="000F6CD1" w:rsidRDefault="00ED631B" w:rsidP="00856600">
      <w:pPr>
        <w:spacing w:before="240" w:after="240" w:line="240" w:lineRule="auto"/>
        <w:rPr>
          <w:rFonts w:eastAsia="MS Mincho"/>
        </w:rPr>
      </w:pPr>
      <w:r w:rsidRPr="000F6CD1">
        <w:rPr>
          <w:rFonts w:eastAsia="MS Mincho"/>
        </w:rPr>
        <w:t>Older Aboriginal and Torres Strait Islander people experience barriers to accessing aged care services, which can prevent them from receiving the care they need. </w:t>
      </w:r>
    </w:p>
    <w:p w14:paraId="669F139C" w14:textId="08364E8C" w:rsidR="00ED631B" w:rsidRPr="000F6CD1" w:rsidRDefault="00ED631B" w:rsidP="00856600">
      <w:pPr>
        <w:spacing w:before="240" w:after="240" w:line="240" w:lineRule="auto"/>
        <w:rPr>
          <w:rFonts w:eastAsia="Calibri"/>
        </w:rPr>
      </w:pPr>
      <w:r w:rsidRPr="000F6CD1">
        <w:rPr>
          <w:rFonts w:eastAsia="Calibri"/>
        </w:rPr>
        <w:t xml:space="preserve">Aboriginal and Torres Strait Islander assessment organisations </w:t>
      </w:r>
      <w:r w:rsidR="3BDA7F5E" w:rsidRPr="000F6CD1">
        <w:rPr>
          <w:rFonts w:eastAsia="Calibri"/>
        </w:rPr>
        <w:t xml:space="preserve">are </w:t>
      </w:r>
      <w:r w:rsidRPr="000F6CD1">
        <w:rPr>
          <w:rFonts w:eastAsia="Calibri"/>
        </w:rPr>
        <w:t>be</w:t>
      </w:r>
      <w:r w:rsidR="39AD5EF2" w:rsidRPr="000F6CD1">
        <w:rPr>
          <w:rFonts w:eastAsia="Calibri"/>
        </w:rPr>
        <w:t>ing</w:t>
      </w:r>
      <w:r w:rsidRPr="000F6CD1">
        <w:rPr>
          <w:rFonts w:eastAsia="Calibri"/>
        </w:rPr>
        <w:t xml:space="preserve"> established in response to Royal Commission Recommendation 28 and 48.2(b) to </w:t>
      </w:r>
      <w:r w:rsidRPr="000F6CD1">
        <w:rPr>
          <w:rFonts w:eastAsia="Calibri"/>
          <w:i/>
          <w:iCs/>
        </w:rPr>
        <w:t xml:space="preserve">‘ensure, wherever possible, that aged care assessments of Aboriginal and Torres Strait Islander people are conducted by assessors who are Aboriginal or Torres Strait Islander people, or others who have undertaken training in cultural safety and trauma-informed </w:t>
      </w:r>
      <w:r w:rsidR="000F007E" w:rsidRPr="000F6CD1">
        <w:rPr>
          <w:rFonts w:eastAsia="Calibri"/>
          <w:i/>
          <w:iCs/>
        </w:rPr>
        <w:t>approaches</w:t>
      </w:r>
      <w:r w:rsidRPr="000F6CD1">
        <w:rPr>
          <w:rFonts w:eastAsia="Calibri"/>
          <w:i/>
          <w:iCs/>
        </w:rPr>
        <w:t>.</w:t>
      </w:r>
      <w:r w:rsidR="00CB5CC7">
        <w:rPr>
          <w:rFonts w:eastAsia="Calibri"/>
          <w:i/>
          <w:iCs/>
        </w:rPr>
        <w:t>’</w:t>
      </w:r>
      <w:r w:rsidRPr="000F6CD1">
        <w:rPr>
          <w:rFonts w:eastAsia="Calibri"/>
        </w:rPr>
        <w:t xml:space="preserve"> </w:t>
      </w:r>
    </w:p>
    <w:p w14:paraId="3388FBE0" w14:textId="0F17C863" w:rsidR="000D2BBE" w:rsidRPr="000F6CD1" w:rsidRDefault="00656F2D" w:rsidP="00856600">
      <w:pPr>
        <w:spacing w:before="240" w:after="240" w:line="240" w:lineRule="auto"/>
      </w:pPr>
      <w:r w:rsidRPr="000F6CD1">
        <w:t>The vision for Aboriginal and Torres Strait Islander assessment organisations is to create a culturally safe and empowering environment. This pathway aims to make it easier for older people to access clear and relevant information about aged care assessment</w:t>
      </w:r>
      <w:r w:rsidR="00DB0E32" w:rsidRPr="000F6CD1">
        <w:t>s</w:t>
      </w:r>
      <w:r w:rsidRPr="000F6CD1">
        <w:t xml:space="preserve">; have their needs assessed in a responsive and respectful manner; and, be supported in locating and accessing aged care services that align with their aged care needs and preferences. </w:t>
      </w:r>
      <w:r w:rsidR="00927410" w:rsidRPr="000F6CD1">
        <w:t>This will support clients to maintain their independence</w:t>
      </w:r>
      <w:r w:rsidR="009528BE" w:rsidRPr="000F6CD1">
        <w:t xml:space="preserve"> at home for longer.</w:t>
      </w:r>
    </w:p>
    <w:p w14:paraId="7FC02614" w14:textId="1CA931D9" w:rsidR="00ED631B" w:rsidRPr="000F6CD1" w:rsidRDefault="002F47E0" w:rsidP="00856600">
      <w:pPr>
        <w:spacing w:before="240" w:after="240" w:line="240" w:lineRule="auto"/>
      </w:pPr>
      <w:r w:rsidRPr="000F6CD1">
        <w:rPr>
          <w:rFonts w:eastAsia="Calibri"/>
        </w:rPr>
        <w:t>Since</w:t>
      </w:r>
      <w:r w:rsidRPr="000F6CD1" w:rsidDel="00C5342C">
        <w:rPr>
          <w:rFonts w:eastAsia="Calibri"/>
        </w:rPr>
        <w:t xml:space="preserve"> </w:t>
      </w:r>
      <w:r w:rsidR="00ED631B" w:rsidRPr="000F6CD1">
        <w:rPr>
          <w:rFonts w:eastAsia="Calibri"/>
        </w:rPr>
        <w:t>August 2025, a small number of Aboriginal and Torres Strait Islander</w:t>
      </w:r>
      <w:r w:rsidR="00ED631B" w:rsidRPr="000F6CD1" w:rsidDel="004D739E">
        <w:rPr>
          <w:rFonts w:eastAsia="Calibri"/>
        </w:rPr>
        <w:t xml:space="preserve"> aged care assessment </w:t>
      </w:r>
      <w:r w:rsidR="00ED631B" w:rsidRPr="000F6CD1" w:rsidDel="004D739E">
        <w:rPr>
          <w:rFonts w:eastAsia="MS Mincho"/>
        </w:rPr>
        <w:t>organisations</w:t>
      </w:r>
      <w:r w:rsidR="00ED631B" w:rsidRPr="000F6CD1" w:rsidDel="004D739E">
        <w:rPr>
          <w:rFonts w:eastAsia="Calibri"/>
        </w:rPr>
        <w:t xml:space="preserve"> </w:t>
      </w:r>
      <w:r w:rsidR="00ED631B" w:rsidRPr="000F6CD1">
        <w:rPr>
          <w:rFonts w:eastAsia="Calibri"/>
        </w:rPr>
        <w:t xml:space="preserve">started delivering culturally safe, trauma aware and healing informed aged care assessments. </w:t>
      </w:r>
      <w:r w:rsidR="00ED631B" w:rsidRPr="000F6CD1">
        <w:t>This pilot is part of a phased rollout and over time, future phases will cover more areas across Australia.</w:t>
      </w:r>
    </w:p>
    <w:p w14:paraId="0981C860" w14:textId="77777777" w:rsidR="00ED631B" w:rsidRPr="000F6CD1" w:rsidRDefault="00ED631B" w:rsidP="00856600">
      <w:pPr>
        <w:spacing w:before="240" w:after="240" w:line="240" w:lineRule="auto"/>
      </w:pPr>
      <w:r w:rsidRPr="000F6CD1">
        <w:t>These organisations provide older Aboriginal and Torres Strait Islander people:</w:t>
      </w:r>
    </w:p>
    <w:p w14:paraId="52F0CF22" w14:textId="77777777" w:rsidR="00ED631B" w:rsidRPr="000F6CD1" w:rsidRDefault="00ED631B" w:rsidP="00856600">
      <w:pPr>
        <w:numPr>
          <w:ilvl w:val="0"/>
          <w:numId w:val="45"/>
        </w:numPr>
        <w:spacing w:before="240" w:after="240" w:line="240" w:lineRule="auto"/>
      </w:pPr>
      <w:r w:rsidRPr="000F6CD1">
        <w:t>an improved assessment experience</w:t>
      </w:r>
    </w:p>
    <w:p w14:paraId="7B473765" w14:textId="2DB4BC81" w:rsidR="00ED631B" w:rsidRPr="000F6CD1" w:rsidRDefault="00ED631B" w:rsidP="00856600">
      <w:pPr>
        <w:numPr>
          <w:ilvl w:val="0"/>
          <w:numId w:val="45"/>
        </w:numPr>
        <w:spacing w:before="240" w:after="240" w:line="240" w:lineRule="auto"/>
      </w:pPr>
      <w:r w:rsidRPr="000F6CD1">
        <w:t xml:space="preserve">options to stay at home for </w:t>
      </w:r>
      <w:r w:rsidR="006C1B9B" w:rsidRPr="000F6CD1">
        <w:t>longer.</w:t>
      </w:r>
    </w:p>
    <w:p w14:paraId="76251B0B" w14:textId="77777777" w:rsidR="00ED631B" w:rsidRPr="000F6CD1" w:rsidRDefault="00ED631B" w:rsidP="00856600">
      <w:pPr>
        <w:numPr>
          <w:ilvl w:val="0"/>
          <w:numId w:val="45"/>
        </w:numPr>
        <w:spacing w:before="240" w:after="240" w:line="240" w:lineRule="auto"/>
      </w:pPr>
      <w:r w:rsidRPr="000F6CD1">
        <w:t xml:space="preserve">more choice when </w:t>
      </w:r>
      <w:bookmarkStart w:id="127" w:name="_Int_HfBNXQs2"/>
      <w:r w:rsidRPr="000F6CD1">
        <w:t>seeking</w:t>
      </w:r>
      <w:bookmarkEnd w:id="127"/>
      <w:r w:rsidRPr="000F6CD1">
        <w:t xml:space="preserve"> culturally safe aged care assessment.</w:t>
      </w:r>
    </w:p>
    <w:p w14:paraId="088B70DB" w14:textId="20F6F81F" w:rsidR="00ED631B" w:rsidRPr="000F6CD1" w:rsidRDefault="00ED631B" w:rsidP="00856600">
      <w:pPr>
        <w:spacing w:before="240" w:after="240" w:line="240" w:lineRule="auto"/>
        <w:rPr>
          <w:rFonts w:eastAsia="MS Mincho"/>
        </w:rPr>
      </w:pPr>
      <w:r w:rsidRPr="000F6CD1" w:rsidDel="0041370A">
        <w:rPr>
          <w:rFonts w:eastAsia="MS Mincho"/>
        </w:rPr>
        <w:t xml:space="preserve">Aboriginal and Torres Strait Islander </w:t>
      </w:r>
      <w:r w:rsidRPr="000F6CD1" w:rsidDel="0082404C">
        <w:rPr>
          <w:rFonts w:eastAsia="MS Mincho"/>
        </w:rPr>
        <w:t xml:space="preserve">assessment organisations </w:t>
      </w:r>
      <w:r w:rsidRPr="000F6CD1">
        <w:rPr>
          <w:rFonts w:eastAsia="MS Mincho"/>
        </w:rPr>
        <w:t xml:space="preserve">work closely with local community organisations and support networks </w:t>
      </w:r>
      <w:r w:rsidR="00D86523" w:rsidRPr="000F6CD1">
        <w:rPr>
          <w:rFonts w:eastAsia="MS Mincho"/>
        </w:rPr>
        <w:t>including</w:t>
      </w:r>
      <w:r w:rsidRPr="000F6CD1">
        <w:rPr>
          <w:rFonts w:eastAsia="MS Mincho"/>
        </w:rPr>
        <w:t xml:space="preserve"> Aboriginal Community Controlled Organisations, Aboriginal Community Controlled Health Organisations, and the Elder Care Support program. </w:t>
      </w:r>
      <w:r w:rsidR="00B979ED" w:rsidRPr="000F6CD1">
        <w:rPr>
          <w:rFonts w:eastAsia="MS Mincho"/>
        </w:rPr>
        <w:t>Together, t</w:t>
      </w:r>
      <w:r w:rsidRPr="000F6CD1">
        <w:rPr>
          <w:rFonts w:eastAsia="MS Mincho"/>
        </w:rPr>
        <w:t>hey</w:t>
      </w:r>
      <w:r w:rsidRPr="000F6CD1" w:rsidDel="000B2D61">
        <w:rPr>
          <w:rFonts w:eastAsia="MS Mincho"/>
        </w:rPr>
        <w:t xml:space="preserve"> </w:t>
      </w:r>
      <w:r w:rsidR="00894D80" w:rsidRPr="000F6CD1">
        <w:rPr>
          <w:rFonts w:eastAsia="MS Mincho"/>
        </w:rPr>
        <w:t>work to</w:t>
      </w:r>
      <w:r w:rsidRPr="000F6CD1">
        <w:rPr>
          <w:rFonts w:eastAsia="MS Mincho"/>
        </w:rPr>
        <w:t xml:space="preserve"> </w:t>
      </w:r>
      <w:r w:rsidR="00777F82" w:rsidRPr="000F6CD1">
        <w:rPr>
          <w:rFonts w:eastAsia="MS Mincho"/>
        </w:rPr>
        <w:t xml:space="preserve">support, </w:t>
      </w:r>
      <w:r w:rsidR="006E30AD" w:rsidRPr="000F6CD1">
        <w:rPr>
          <w:rFonts w:eastAsia="MS Mincho"/>
        </w:rPr>
        <w:t>empower,</w:t>
      </w:r>
      <w:r w:rsidRPr="000F6CD1">
        <w:rPr>
          <w:rFonts w:eastAsia="MS Mincho"/>
        </w:rPr>
        <w:t xml:space="preserve"> educate and </w:t>
      </w:r>
      <w:r w:rsidRPr="000F6CD1">
        <w:rPr>
          <w:rFonts w:eastAsia="MS Mincho"/>
        </w:rPr>
        <w:lastRenderedPageBreak/>
        <w:t>encourage the older Aboriginal and Torres Strait Islander people and their communit</w:t>
      </w:r>
      <w:r w:rsidR="007E2D48" w:rsidRPr="000F6CD1">
        <w:rPr>
          <w:rFonts w:eastAsia="MS Mincho"/>
        </w:rPr>
        <w:t>ies</w:t>
      </w:r>
      <w:r w:rsidRPr="000F6CD1">
        <w:rPr>
          <w:rFonts w:eastAsia="MS Mincho"/>
        </w:rPr>
        <w:t xml:space="preserve"> to identify their needs and </w:t>
      </w:r>
      <w:r w:rsidR="00842F25" w:rsidRPr="000F6CD1">
        <w:rPr>
          <w:rFonts w:eastAsia="MS Mincho"/>
        </w:rPr>
        <w:t>explore</w:t>
      </w:r>
      <w:r w:rsidRPr="000F6CD1">
        <w:rPr>
          <w:rFonts w:eastAsia="MS Mincho"/>
        </w:rPr>
        <w:t xml:space="preserve"> how aged care can help them age well</w:t>
      </w:r>
      <w:r w:rsidR="00FC34F3" w:rsidRPr="000F6CD1">
        <w:rPr>
          <w:rFonts w:eastAsia="MS Mincho"/>
        </w:rPr>
        <w:t>, remain connected to community,</w:t>
      </w:r>
      <w:r w:rsidRPr="000F6CD1">
        <w:rPr>
          <w:rFonts w:eastAsia="MS Mincho"/>
        </w:rPr>
        <w:t xml:space="preserve"> and support them to stay at home and on Country</w:t>
      </w:r>
      <w:r w:rsidR="00630481" w:rsidRPr="000F6CD1">
        <w:rPr>
          <w:rFonts w:eastAsia="MS Mincho"/>
        </w:rPr>
        <w:t xml:space="preserve"> for</w:t>
      </w:r>
      <w:r w:rsidRPr="000F6CD1">
        <w:rPr>
          <w:rFonts w:eastAsia="MS Mincho"/>
        </w:rPr>
        <w:t xml:space="preserve"> longer. </w:t>
      </w:r>
    </w:p>
    <w:p w14:paraId="68753EC6" w14:textId="1CA654EF" w:rsidR="00ED631B" w:rsidRPr="000F6CD1" w:rsidRDefault="002F317E" w:rsidP="00856600">
      <w:pPr>
        <w:spacing w:before="240" w:after="240" w:line="240" w:lineRule="auto"/>
        <w:rPr>
          <w:rFonts w:eastAsia="Calibri"/>
        </w:rPr>
      </w:pPr>
      <w:r w:rsidRPr="000F6CD1">
        <w:rPr>
          <w:rFonts w:eastAsia="Calibri"/>
        </w:rPr>
        <w:t>O</w:t>
      </w:r>
      <w:r w:rsidR="00ED631B" w:rsidRPr="000F6CD1">
        <w:rPr>
          <w:rFonts w:eastAsia="Calibri"/>
        </w:rPr>
        <w:t xml:space="preserve">lder Aboriginal and Torres Strait Islander people can access aged care </w:t>
      </w:r>
      <w:r w:rsidRPr="000F6CD1">
        <w:rPr>
          <w:rFonts w:eastAsia="Calibri"/>
        </w:rPr>
        <w:t>nee</w:t>
      </w:r>
      <w:r w:rsidR="000D33B4" w:rsidRPr="000F6CD1">
        <w:rPr>
          <w:rFonts w:eastAsia="Calibri"/>
        </w:rPr>
        <w:t>d</w:t>
      </w:r>
      <w:r w:rsidRPr="000F6CD1">
        <w:rPr>
          <w:rFonts w:eastAsia="Calibri"/>
        </w:rPr>
        <w:t>s</w:t>
      </w:r>
      <w:r w:rsidR="00ED631B" w:rsidRPr="000F6CD1">
        <w:rPr>
          <w:rFonts w:eastAsia="Calibri"/>
        </w:rPr>
        <w:t xml:space="preserve"> assessments through the existing </w:t>
      </w:r>
      <w:r w:rsidRPr="000F6CD1">
        <w:rPr>
          <w:rFonts w:eastAsia="Calibri"/>
        </w:rPr>
        <w:t xml:space="preserve">assessment organisations, </w:t>
      </w:r>
      <w:r w:rsidR="006E30AD" w:rsidRPr="000F6CD1">
        <w:rPr>
          <w:rFonts w:eastAsia="Calibri"/>
        </w:rPr>
        <w:t>or</w:t>
      </w:r>
      <w:r w:rsidRPr="000F6CD1">
        <w:rPr>
          <w:rFonts w:eastAsia="Calibri"/>
        </w:rPr>
        <w:t xml:space="preserve"> once established, through</w:t>
      </w:r>
      <w:r w:rsidR="00FA1D4B" w:rsidRPr="000F6CD1">
        <w:rPr>
          <w:rFonts w:eastAsia="Calibri"/>
        </w:rPr>
        <w:t xml:space="preserve"> an Aboriginal and Torres</w:t>
      </w:r>
      <w:r w:rsidR="00F56703" w:rsidRPr="000F6CD1">
        <w:rPr>
          <w:rFonts w:eastAsia="Calibri"/>
        </w:rPr>
        <w:t xml:space="preserve"> Strai</w:t>
      </w:r>
      <w:r w:rsidR="00A56906" w:rsidRPr="000F6CD1">
        <w:rPr>
          <w:rFonts w:eastAsia="Calibri"/>
        </w:rPr>
        <w:t>t</w:t>
      </w:r>
      <w:r w:rsidR="00F56703" w:rsidRPr="000F6CD1">
        <w:rPr>
          <w:rFonts w:eastAsia="Calibri"/>
        </w:rPr>
        <w:t xml:space="preserve"> Islander assessment organisation if </w:t>
      </w:r>
      <w:r w:rsidR="00763E23" w:rsidRPr="000F6CD1">
        <w:rPr>
          <w:rFonts w:eastAsia="Calibri"/>
        </w:rPr>
        <w:t xml:space="preserve">available in their area. </w:t>
      </w:r>
    </w:p>
    <w:p w14:paraId="74F61B20" w14:textId="1D0897D5" w:rsidR="00ED631B" w:rsidRPr="000F6CD1" w:rsidRDefault="00ED631B" w:rsidP="00856600">
      <w:pPr>
        <w:spacing w:before="240" w:after="240" w:line="240" w:lineRule="auto"/>
      </w:pPr>
      <w:r w:rsidRPr="000F6CD1">
        <w:t xml:space="preserve">Aboriginal and Torres Strait Islander </w:t>
      </w:r>
      <w:r w:rsidR="008F61C9" w:rsidRPr="000F6CD1">
        <w:t>assessment organisations</w:t>
      </w:r>
      <w:r w:rsidRPr="000F6CD1">
        <w:t xml:space="preserve"> are responsible for equipping their workforce to deliver culturally safe, trauma aware and healing informed assessments in communities that are covered in their service regions. This may include training on local customs, protocols and kinship obligations.</w:t>
      </w:r>
    </w:p>
    <w:p w14:paraId="207B9BBB" w14:textId="79D11C1A" w:rsidR="00ED631B" w:rsidRPr="000F6CD1" w:rsidRDefault="00ED631B" w:rsidP="00856600">
      <w:pPr>
        <w:spacing w:before="240" w:after="240" w:line="240" w:lineRule="auto"/>
        <w:rPr>
          <w:rFonts w:eastAsia="MS Mincho"/>
        </w:rPr>
      </w:pPr>
      <w:r w:rsidRPr="000F6CD1">
        <w:rPr>
          <w:rFonts w:eastAsia="MS Mincho"/>
        </w:rPr>
        <w:t xml:space="preserve">Aboriginal and Torres Strait Islander </w:t>
      </w:r>
      <w:r w:rsidR="00B57530" w:rsidRPr="000F6CD1">
        <w:rPr>
          <w:rFonts w:eastAsia="MS Mincho"/>
        </w:rPr>
        <w:t xml:space="preserve">assessment organisations </w:t>
      </w:r>
      <w:r w:rsidRPr="000F6CD1">
        <w:rPr>
          <w:rFonts w:eastAsia="MS Mincho"/>
        </w:rPr>
        <w:t xml:space="preserve">are expected to: </w:t>
      </w:r>
    </w:p>
    <w:p w14:paraId="41120736" w14:textId="1E6F30FE" w:rsidR="00ED631B" w:rsidRPr="000F6CD1" w:rsidRDefault="00ED631B" w:rsidP="00AB1F43">
      <w:pPr>
        <w:pStyle w:val="ListParagraph"/>
        <w:numPr>
          <w:ilvl w:val="0"/>
          <w:numId w:val="31"/>
        </w:numPr>
        <w:spacing w:before="240" w:after="240" w:line="240" w:lineRule="auto"/>
        <w:ind w:left="850" w:hanging="357"/>
        <w:contextualSpacing w:val="0"/>
      </w:pPr>
      <w:r w:rsidRPr="000F6CD1">
        <w:t xml:space="preserve">conduct </w:t>
      </w:r>
      <w:r w:rsidR="006E2210" w:rsidRPr="000F6CD1">
        <w:t>culturally safe, trauma aware and healing informed</w:t>
      </w:r>
      <w:r w:rsidRPr="000F6CD1">
        <w:t xml:space="preserve"> assessments using yarning and flexible approaches to build trust with the older Aboriginal and Torres Strait Islander person. Assessments may be delivered at a location that the older person feel most at ease and comfortable</w:t>
      </w:r>
    </w:p>
    <w:p w14:paraId="656EB4A0" w14:textId="2AB74E80" w:rsidR="00577910" w:rsidRPr="000F6CD1" w:rsidRDefault="00E06280" w:rsidP="00117578">
      <w:pPr>
        <w:pStyle w:val="ListParagraph"/>
        <w:numPr>
          <w:ilvl w:val="0"/>
          <w:numId w:val="31"/>
        </w:numPr>
        <w:spacing w:before="240" w:after="240" w:line="240" w:lineRule="auto"/>
        <w:ind w:left="850" w:hanging="357"/>
        <w:contextualSpacing w:val="0"/>
      </w:pPr>
      <w:r w:rsidRPr="000F6CD1">
        <w:t>u</w:t>
      </w:r>
      <w:r w:rsidR="0097662D" w:rsidRPr="000F6CD1">
        <w:t>ndertake face-to-face assessments, where possible. This could be in the older person’s home, at a community centre, or outdoors at a place of the older person’s choosing</w:t>
      </w:r>
    </w:p>
    <w:p w14:paraId="27E870C7" w14:textId="554B5040" w:rsidR="0097662D" w:rsidRPr="000F6CD1" w:rsidRDefault="00B57530" w:rsidP="00AB1F43">
      <w:pPr>
        <w:pStyle w:val="ListParagraph"/>
        <w:numPr>
          <w:ilvl w:val="0"/>
          <w:numId w:val="31"/>
        </w:numPr>
        <w:spacing w:before="240" w:after="240" w:line="240" w:lineRule="auto"/>
        <w:ind w:left="850" w:hanging="357"/>
        <w:contextualSpacing w:val="0"/>
      </w:pPr>
      <w:r w:rsidRPr="000F6CD1">
        <w:t>a</w:t>
      </w:r>
      <w:r w:rsidR="00577910" w:rsidRPr="000F6CD1">
        <w:t>llow for multiple visits, if required, to build trust and develop a relationship  </w:t>
      </w:r>
    </w:p>
    <w:p w14:paraId="6BAB77E2" w14:textId="45529997" w:rsidR="00ED631B" w:rsidRPr="000F6CD1" w:rsidRDefault="00E053B8" w:rsidP="00AB1F43">
      <w:pPr>
        <w:pStyle w:val="ListParagraph"/>
        <w:numPr>
          <w:ilvl w:val="0"/>
          <w:numId w:val="31"/>
        </w:numPr>
        <w:spacing w:before="240" w:after="240" w:line="240" w:lineRule="auto"/>
        <w:ind w:left="850" w:hanging="357"/>
        <w:contextualSpacing w:val="0"/>
      </w:pPr>
      <w:r w:rsidRPr="000F6CD1">
        <w:t>w</w:t>
      </w:r>
      <w:r w:rsidR="00E90495" w:rsidRPr="000F6CD1">
        <w:t xml:space="preserve">ith client’s consent, </w:t>
      </w:r>
      <w:r w:rsidR="00ED631B" w:rsidRPr="000F6CD1">
        <w:t xml:space="preserve">involve the </w:t>
      </w:r>
      <w:r w:rsidR="00203676" w:rsidRPr="000F6CD1">
        <w:t>client’s</w:t>
      </w:r>
      <w:r w:rsidR="00ED631B" w:rsidRPr="000F6CD1">
        <w:t xml:space="preserve"> family members, advocates, registered supporter</w:t>
      </w:r>
      <w:r w:rsidR="003D0610" w:rsidRPr="000F6CD1">
        <w:t>/s</w:t>
      </w:r>
      <w:r w:rsidR="00ED631B" w:rsidRPr="000F6CD1">
        <w:t xml:space="preserve"> or other p</w:t>
      </w:r>
      <w:r w:rsidR="003D0610" w:rsidRPr="000F6CD1">
        <w:t>eople</w:t>
      </w:r>
      <w:r w:rsidR="00ED631B" w:rsidRPr="000F6CD1">
        <w:t xml:space="preserve"> who support the </w:t>
      </w:r>
      <w:r w:rsidR="003D0610" w:rsidRPr="000F6CD1">
        <w:t xml:space="preserve">client </w:t>
      </w:r>
      <w:r w:rsidR="00ED631B" w:rsidRPr="000F6CD1">
        <w:t>in the assessment process</w:t>
      </w:r>
      <w:r w:rsidR="00511188" w:rsidRPr="000F6CD1">
        <w:t xml:space="preserve"> with the client’s consent</w:t>
      </w:r>
      <w:r w:rsidR="00603B0B" w:rsidRPr="000F6CD1">
        <w:t xml:space="preserve"> and/or in line with the client’s will and preferences</w:t>
      </w:r>
    </w:p>
    <w:p w14:paraId="2C230E11" w14:textId="0CDB16BE" w:rsidR="00ED631B" w:rsidRPr="000F6CD1" w:rsidRDefault="00ED631B" w:rsidP="00AB1F43">
      <w:pPr>
        <w:pStyle w:val="ListParagraph"/>
        <w:numPr>
          <w:ilvl w:val="0"/>
          <w:numId w:val="31"/>
        </w:numPr>
        <w:spacing w:before="240" w:after="240" w:line="240" w:lineRule="auto"/>
        <w:ind w:left="850" w:hanging="357"/>
        <w:contextualSpacing w:val="0"/>
      </w:pPr>
      <w:r w:rsidRPr="000F6CD1">
        <w:t>connect with the older person’s GP, service provider and support networks to help inform an assessment, to gain a comprehensive understanding of the client’s health and wellbeing, minimising the older person having to tell their story multiple times</w:t>
      </w:r>
    </w:p>
    <w:p w14:paraId="57DF6A7B" w14:textId="4C04252E" w:rsidR="00ED631B" w:rsidRPr="000F6CD1" w:rsidRDefault="00ED631B" w:rsidP="00AB1F43">
      <w:pPr>
        <w:pStyle w:val="ListParagraph"/>
        <w:numPr>
          <w:ilvl w:val="0"/>
          <w:numId w:val="31"/>
        </w:numPr>
        <w:spacing w:before="240" w:after="240" w:line="240" w:lineRule="auto"/>
        <w:ind w:left="850" w:hanging="357"/>
        <w:contextualSpacing w:val="0"/>
      </w:pPr>
      <w:r w:rsidRPr="000F6CD1">
        <w:t xml:space="preserve">be embedded within the local community. Connecting with the local community with their knowledge of local services, customs and protocols will allow them to support matching appropriate assessors to the </w:t>
      </w:r>
      <w:r w:rsidR="00516348" w:rsidRPr="000F6CD1">
        <w:t>older people</w:t>
      </w:r>
      <w:r w:rsidRPr="000F6CD1">
        <w:t xml:space="preserve"> preferences and needs</w:t>
      </w:r>
    </w:p>
    <w:p w14:paraId="3104D563" w14:textId="56132B5A" w:rsidR="00ED631B" w:rsidRPr="000F6CD1" w:rsidRDefault="00ED631B" w:rsidP="00AB1F43">
      <w:pPr>
        <w:pStyle w:val="ListParagraph"/>
        <w:numPr>
          <w:ilvl w:val="0"/>
          <w:numId w:val="31"/>
        </w:numPr>
        <w:spacing w:before="240" w:after="240" w:line="240" w:lineRule="auto"/>
        <w:ind w:left="850" w:hanging="357"/>
        <w:contextualSpacing w:val="0"/>
      </w:pPr>
      <w:r w:rsidRPr="000F6CD1">
        <w:t>maintain a connection with the older person for the whole journey through to receiving services</w:t>
      </w:r>
      <w:r w:rsidR="00A91102" w:rsidRPr="000F6CD1">
        <w:t xml:space="preserve"> via assessors and/or Elder Care Support workers</w:t>
      </w:r>
      <w:r w:rsidRPr="000F6CD1">
        <w:t xml:space="preserve">. This will help to manage any uncertainty or questions throughout the process </w:t>
      </w:r>
    </w:p>
    <w:p w14:paraId="217B159A" w14:textId="38730D23" w:rsidR="00ED631B" w:rsidRPr="000F6CD1" w:rsidRDefault="006C1BB0" w:rsidP="00AB1F43">
      <w:pPr>
        <w:pStyle w:val="ListParagraph"/>
        <w:numPr>
          <w:ilvl w:val="0"/>
          <w:numId w:val="31"/>
        </w:numPr>
        <w:spacing w:before="240" w:after="240" w:line="240" w:lineRule="auto"/>
        <w:ind w:left="850" w:hanging="357"/>
        <w:contextualSpacing w:val="0"/>
      </w:pPr>
      <w:r w:rsidRPr="000F6CD1">
        <w:t>w</w:t>
      </w:r>
      <w:r w:rsidR="00ED631B" w:rsidRPr="000F6CD1">
        <w:t xml:space="preserve">ork with organisations that support stolen generation survivors and their families </w:t>
      </w:r>
    </w:p>
    <w:p w14:paraId="09F8783C" w14:textId="3C255D62" w:rsidR="00ED631B" w:rsidRPr="000F6CD1" w:rsidRDefault="006C4E64" w:rsidP="00AB1F43">
      <w:pPr>
        <w:pStyle w:val="ListParagraph"/>
        <w:numPr>
          <w:ilvl w:val="0"/>
          <w:numId w:val="31"/>
        </w:numPr>
        <w:spacing w:before="240" w:after="240" w:line="240" w:lineRule="auto"/>
        <w:ind w:left="850" w:hanging="357"/>
        <w:contextualSpacing w:val="0"/>
      </w:pPr>
      <w:r w:rsidRPr="000F6CD1">
        <w:t>p</w:t>
      </w:r>
      <w:r w:rsidR="00ED631B" w:rsidRPr="000F6CD1">
        <w:t>rovid</w:t>
      </w:r>
      <w:r w:rsidRPr="000F6CD1">
        <w:t>e</w:t>
      </w:r>
      <w:r w:rsidR="00ED631B" w:rsidRPr="000F6CD1">
        <w:t xml:space="preserve"> interpreting services, when needed</w:t>
      </w:r>
      <w:r w:rsidR="002506FD" w:rsidRPr="000F6CD1">
        <w:t>, and</w:t>
      </w:r>
    </w:p>
    <w:p w14:paraId="140733F0" w14:textId="24C91D67" w:rsidR="00405718" w:rsidRPr="000F6CD1" w:rsidRDefault="002506FD" w:rsidP="00AB1F43">
      <w:pPr>
        <w:pStyle w:val="ListParagraph"/>
        <w:numPr>
          <w:ilvl w:val="0"/>
          <w:numId w:val="31"/>
        </w:numPr>
        <w:spacing w:before="240" w:after="240" w:line="240" w:lineRule="auto"/>
        <w:ind w:left="850" w:hanging="357"/>
        <w:contextualSpacing w:val="0"/>
      </w:pPr>
      <w:r w:rsidRPr="000F6CD1">
        <w:t>s</w:t>
      </w:r>
      <w:r w:rsidR="00405718" w:rsidRPr="000F6CD1">
        <w:t>upport clien</w:t>
      </w:r>
      <w:r w:rsidR="00662566" w:rsidRPr="000F6CD1">
        <w:t>t</w:t>
      </w:r>
      <w:r w:rsidR="00405718" w:rsidRPr="000F6CD1">
        <w:t>s to access services they need (where this cannot be provided by ECS workers or care finders)</w:t>
      </w:r>
    </w:p>
    <w:p w14:paraId="1C294D9F" w14:textId="77777777" w:rsidR="00ED631B" w:rsidRPr="000F6CD1" w:rsidDel="00E140BC" w:rsidRDefault="00ED631B" w:rsidP="00856600">
      <w:pPr>
        <w:pStyle w:val="ListParagraph"/>
        <w:spacing w:before="240" w:after="240" w:line="240" w:lineRule="auto"/>
        <w:ind w:left="12267" w:hanging="360"/>
        <w:rPr>
          <w:rFonts w:eastAsia="MS Mincho"/>
        </w:rPr>
      </w:pPr>
    </w:p>
    <w:tbl>
      <w:tblPr>
        <w:tblStyle w:val="TableGrid"/>
        <w:tblW w:w="0" w:type="auto"/>
        <w:tblLook w:val="04A0" w:firstRow="1" w:lastRow="0" w:firstColumn="1" w:lastColumn="0" w:noHBand="0" w:noVBand="1"/>
      </w:tblPr>
      <w:tblGrid>
        <w:gridCol w:w="921"/>
        <w:gridCol w:w="7845"/>
      </w:tblGrid>
      <w:tr w:rsidR="00ED631B" w:rsidRPr="000F6CD1" w14:paraId="25085323" w14:textId="77777777" w:rsidTr="00073933">
        <w:trPr>
          <w:trHeight w:val="300"/>
        </w:trPr>
        <w:tc>
          <w:tcPr>
            <w:tcW w:w="921" w:type="dxa"/>
            <w:vAlign w:val="bottom"/>
          </w:tcPr>
          <w:p w14:paraId="77938C99" w14:textId="5CBEAE36" w:rsidR="00ED631B" w:rsidRPr="000F6CD1" w:rsidRDefault="00ED631B" w:rsidP="00856600">
            <w:pPr>
              <w:spacing w:before="240" w:after="240"/>
              <w:rPr>
                <w:rFonts w:eastAsia="MS Mincho"/>
              </w:rPr>
            </w:pPr>
            <w:r w:rsidRPr="000F6CD1">
              <w:rPr>
                <w:noProof/>
              </w:rPr>
              <w:lastRenderedPageBreak/>
              <w:drawing>
                <wp:inline distT="0" distB="0" distL="0" distR="0" wp14:anchorId="6DCC8A7A" wp14:editId="061E7879">
                  <wp:extent cx="447675" cy="445208"/>
                  <wp:effectExtent l="0" t="0" r="0" b="0"/>
                  <wp:docPr id="568037758" name="Picture 56803775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7758" name="Picture 568037758"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7285C07E" w14:textId="7CA0C7C1" w:rsidR="00ED631B" w:rsidRPr="000F6CD1" w:rsidRDefault="00892CAB" w:rsidP="00856600">
            <w:pPr>
              <w:pStyle w:val="ListParagraph"/>
              <w:numPr>
                <w:ilvl w:val="0"/>
                <w:numId w:val="39"/>
              </w:numPr>
              <w:spacing w:before="240" w:after="240"/>
              <w:rPr>
                <w:rStyle w:val="Hyperlink"/>
              </w:rPr>
            </w:pPr>
            <w:hyperlink r:id="rId53" w:history="1">
              <w:r w:rsidRPr="000F6CD1">
                <w:rPr>
                  <w:rStyle w:val="Hyperlink"/>
                </w:rPr>
                <w:t>Single Assessment System for aged care | Australian Government Department of Health, Disability and Ageing</w:t>
              </w:r>
            </w:hyperlink>
            <w:r w:rsidR="00ED631B" w:rsidRPr="000F6CD1">
              <w:rPr>
                <w:rStyle w:val="Hyperlink"/>
              </w:rPr>
              <w:t xml:space="preserve"> </w:t>
            </w:r>
          </w:p>
          <w:p w14:paraId="103685CE" w14:textId="77777777" w:rsidR="00ED631B" w:rsidRPr="000F6CD1" w:rsidRDefault="00ED631B" w:rsidP="00856600">
            <w:pPr>
              <w:pStyle w:val="ListParagraph"/>
              <w:numPr>
                <w:ilvl w:val="0"/>
                <w:numId w:val="39"/>
              </w:numPr>
              <w:spacing w:before="240" w:after="240"/>
              <w:rPr>
                <w:rStyle w:val="Hyperlink"/>
              </w:rPr>
            </w:pPr>
            <w:hyperlink r:id="rId54" w:history="1">
              <w:r w:rsidRPr="000F6CD1">
                <w:rPr>
                  <w:rStyle w:val="Hyperlink"/>
                </w:rPr>
                <w:t>Aboriginal and Torres Strait Islander</w:t>
              </w:r>
              <w:r w:rsidRPr="000F6CD1" w:rsidDel="00E140BC">
                <w:rPr>
                  <w:rStyle w:val="Hyperlink"/>
                </w:rPr>
                <w:t xml:space="preserve"> Assessment Organisations</w:t>
              </w:r>
            </w:hyperlink>
          </w:p>
          <w:p w14:paraId="16B7F632" w14:textId="566453E8" w:rsidR="00ED631B" w:rsidRPr="000F6CD1" w:rsidDel="00E140BC" w:rsidRDefault="00ED631B" w:rsidP="00856600">
            <w:pPr>
              <w:pStyle w:val="ListParagraph"/>
              <w:numPr>
                <w:ilvl w:val="0"/>
                <w:numId w:val="39"/>
              </w:numPr>
              <w:spacing w:before="240" w:after="240"/>
              <w:rPr>
                <w:rStyle w:val="Hyperlink"/>
              </w:rPr>
            </w:pPr>
            <w:hyperlink r:id="rId55" w:history="1">
              <w:r w:rsidRPr="000F6CD1">
                <w:rPr>
                  <w:rStyle w:val="Hyperlink"/>
                </w:rPr>
                <w:t xml:space="preserve">Interactive map of available services </w:t>
              </w:r>
            </w:hyperlink>
            <w:r w:rsidRPr="000F6CD1">
              <w:rPr>
                <w:rStyle w:val="Hyperlink"/>
              </w:rPr>
              <w:t xml:space="preserve"> </w:t>
            </w:r>
          </w:p>
          <w:p w14:paraId="2A6CA525" w14:textId="77777777" w:rsidR="00ED631B" w:rsidRPr="000F6CD1" w:rsidRDefault="00ED631B" w:rsidP="00856600">
            <w:pPr>
              <w:pStyle w:val="ListParagraph"/>
              <w:numPr>
                <w:ilvl w:val="0"/>
                <w:numId w:val="39"/>
              </w:numPr>
              <w:spacing w:before="240" w:after="240"/>
              <w:rPr>
                <w:rStyle w:val="Hyperlink"/>
              </w:rPr>
            </w:pPr>
            <w:hyperlink r:id="rId56" w:history="1">
              <w:r w:rsidRPr="000F6CD1">
                <w:rPr>
                  <w:rStyle w:val="Hyperlink"/>
                </w:rPr>
                <w:t>Fact Sheet for assessors</w:t>
              </w:r>
            </w:hyperlink>
            <w:r w:rsidRPr="000F6CD1" w:rsidDel="00E140BC">
              <w:rPr>
                <w:rStyle w:val="Hyperlink"/>
              </w:rPr>
              <w:t xml:space="preserve"> </w:t>
            </w:r>
          </w:p>
        </w:tc>
      </w:tr>
    </w:tbl>
    <w:p w14:paraId="2E1C2816" w14:textId="65AAF8EA" w:rsidR="00ED631B" w:rsidRPr="000F6CD1" w:rsidRDefault="009F3576" w:rsidP="006647CE">
      <w:pPr>
        <w:pStyle w:val="h2"/>
      </w:pPr>
      <w:bookmarkStart w:id="128" w:name="_Toc184402262"/>
      <w:bookmarkStart w:id="129" w:name="_Toc204329496"/>
      <w:bookmarkStart w:id="130" w:name="_Toc209188951"/>
      <w:bookmarkStart w:id="131" w:name="_Toc233282417"/>
      <w:r w:rsidRPr="000F6CD1">
        <w:rPr>
          <w:bCs w:val="0"/>
          <w:noProof/>
          <w:lang w:val="en-AU"/>
        </w:rPr>
        <w:drawing>
          <wp:anchor distT="0" distB="0" distL="114300" distR="114300" simplePos="0" relativeHeight="251658352" behindDoc="0" locked="0" layoutInCell="1" allowOverlap="1" wp14:anchorId="3868EE33" wp14:editId="6B1C1C18">
            <wp:simplePos x="0" y="0"/>
            <wp:positionH relativeFrom="margin">
              <wp:align>left</wp:align>
            </wp:positionH>
            <wp:positionV relativeFrom="margin">
              <wp:posOffset>1265128</wp:posOffset>
            </wp:positionV>
            <wp:extent cx="457200" cy="502920"/>
            <wp:effectExtent l="0" t="0" r="0" b="0"/>
            <wp:wrapSquare wrapText="bothSides"/>
            <wp:docPr id="2094936849" name="Picture 2094936849"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ED631B" w:rsidRPr="000F6CD1">
        <w:t>Overview of assessment organisation roles and responsibilities</w:t>
      </w:r>
      <w:bookmarkEnd w:id="128"/>
      <w:bookmarkEnd w:id="129"/>
      <w:bookmarkEnd w:id="130"/>
      <w:bookmarkEnd w:id="131"/>
    </w:p>
    <w:p w14:paraId="093AAAB0" w14:textId="25EBE488" w:rsidR="00ED631B" w:rsidRPr="000F6CD1" w:rsidRDefault="00ED631B" w:rsidP="00856600">
      <w:pPr>
        <w:spacing w:before="240" w:after="240" w:line="240" w:lineRule="auto"/>
      </w:pPr>
      <w:r w:rsidRPr="000F6CD1">
        <w:t xml:space="preserve">Contract and operational managers lead and manage the assessment organisation’s outputs and performance according to their agreements with the Commonwealth. Assessment organisations cover geographical assessment regions across Australia. </w:t>
      </w:r>
    </w:p>
    <w:p w14:paraId="2AB2DB7C" w14:textId="77777777" w:rsidR="00ED631B" w:rsidRPr="000F6CD1" w:rsidRDefault="00ED631B" w:rsidP="00856600">
      <w:pPr>
        <w:spacing w:before="240" w:after="240" w:line="240" w:lineRule="auto"/>
      </w:pPr>
      <w:r w:rsidRPr="000F6CD1">
        <w:t>The following table explains at a high level the different assessment organisational roles. The role type describes business roles which are of the delivery of the program through the agreement and system roles, conducted on the My Aged Care system.</w:t>
      </w:r>
    </w:p>
    <w:p w14:paraId="2A9AEAB5" w14:textId="7AB563B9" w:rsidR="00ED631B" w:rsidRPr="000F6CD1" w:rsidRDefault="00ED631B" w:rsidP="00856600">
      <w:pPr>
        <w:spacing w:before="240" w:after="240" w:line="240" w:lineRule="auto"/>
      </w:pPr>
      <w:r w:rsidRPr="000F6CD1">
        <w:t xml:space="preserve">The </w:t>
      </w:r>
      <w:r w:rsidR="00761577" w:rsidRPr="000F6CD1">
        <w:t xml:space="preserve">department </w:t>
      </w:r>
      <w:r w:rsidRPr="000F6CD1">
        <w:t xml:space="preserve">understands that, for Aboriginal and Torres Strait Islander </w:t>
      </w:r>
      <w:r w:rsidR="00C06075" w:rsidRPr="000F6CD1">
        <w:t xml:space="preserve">assessment </w:t>
      </w:r>
      <w:r w:rsidRPr="000F6CD1">
        <w:t xml:space="preserve">organisations, where assessment services may be one of the many services that they provide to older Aboriginal and Torres Strait Islander people, the assessment workforce may be able to leverage expertise and skills within the broader organisation to inform the delivery of holistic aged care assessments under the clinical governance framework described in Appendix </w:t>
      </w:r>
      <w:r w:rsidR="00471131" w:rsidRPr="000F6CD1">
        <w:t>C</w:t>
      </w:r>
      <w:r w:rsidRPr="000F6CD1">
        <w:t xml:space="preserve">. </w:t>
      </w:r>
    </w:p>
    <w:p w14:paraId="142AE03F" w14:textId="3A0A25BF" w:rsidR="00ED631B" w:rsidRPr="000F6CD1" w:rsidRDefault="00ED631B" w:rsidP="00856600">
      <w:pPr>
        <w:spacing w:before="240" w:after="240" w:line="240" w:lineRule="auto"/>
      </w:pPr>
      <w:r w:rsidRPr="000F6CD1">
        <w:t xml:space="preserve">For further information on the qualifications required to hold the roles in the below table, please refer to Appendix </w:t>
      </w:r>
      <w:r w:rsidR="00471131" w:rsidRPr="000F6CD1">
        <w:t>F</w:t>
      </w:r>
      <w:r w:rsidRPr="000F6CD1">
        <w:t>. Refer to the My Aged Care Workforce Learning Strategy</w:t>
      </w:r>
      <w:r w:rsidR="00341D9B" w:rsidRPr="000F6CD1">
        <w:t xml:space="preserve"> v1.5</w:t>
      </w:r>
      <w:r w:rsidRPr="000F6CD1">
        <w:t xml:space="preserve"> for the training requirements for the roles specified below.</w:t>
      </w:r>
    </w:p>
    <w:p w14:paraId="4BE99718" w14:textId="2F7E6F5F" w:rsidR="00ED631B" w:rsidRPr="000F6CD1" w:rsidRDefault="00ED631B" w:rsidP="00856600">
      <w:pPr>
        <w:pStyle w:val="Caption"/>
        <w:spacing w:before="240" w:after="240"/>
      </w:pPr>
      <w:r w:rsidRPr="000F6CD1">
        <w:t xml:space="preserve">Table </w:t>
      </w:r>
      <w:r w:rsidR="0081663F" w:rsidRPr="000F6CD1">
        <w:t>1</w:t>
      </w:r>
      <w:r w:rsidR="00023B34" w:rsidRPr="000F6CD1">
        <w:t>1</w:t>
      </w:r>
      <w:r w:rsidRPr="000F6CD1">
        <w:t>. Assessment organisational roles and responsibilities</w:t>
      </w:r>
      <w:r w:rsidR="005C11C7" w:rsidRPr="000F6CD1">
        <w:t xml:space="preserve"> (excluding some roles in RAC)</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Organisation roles and responsibilities (excluding some roles in RAC)"/>
        <w:tblDescription w:val="Overview of Assessment Organisation roles, role types and role descriptions excluding some roles in RAC"/>
      </w:tblPr>
      <w:tblGrid>
        <w:gridCol w:w="2523"/>
        <w:gridCol w:w="1531"/>
        <w:gridCol w:w="4712"/>
      </w:tblGrid>
      <w:tr w:rsidR="00ED631B" w:rsidRPr="000F6CD1" w14:paraId="796D1BDF" w14:textId="77777777" w:rsidTr="004E2C29">
        <w:trPr>
          <w:trHeight w:val="300"/>
          <w:tblHeader/>
        </w:trPr>
        <w:tc>
          <w:tcPr>
            <w:tcW w:w="2647" w:type="dxa"/>
            <w:shd w:val="clear" w:color="auto" w:fill="002060"/>
          </w:tcPr>
          <w:p w14:paraId="5B565520" w14:textId="77777777" w:rsidR="00ED631B" w:rsidRPr="000F6CD1" w:rsidRDefault="00ED631B" w:rsidP="00856600">
            <w:pPr>
              <w:spacing w:before="240" w:after="240"/>
              <w:rPr>
                <w:b/>
                <w:color w:val="FFFFFF" w:themeColor="background1"/>
                <w:szCs w:val="22"/>
              </w:rPr>
            </w:pPr>
            <w:r w:rsidRPr="000F6CD1">
              <w:rPr>
                <w:b/>
                <w:color w:val="FFFFFF" w:themeColor="background1"/>
                <w:szCs w:val="22"/>
              </w:rPr>
              <w:t xml:space="preserve">Role </w:t>
            </w:r>
            <w:r w:rsidRPr="000F6CD1">
              <w:rPr>
                <w:b/>
                <w:bCs/>
                <w:color w:val="FFFFFF" w:themeColor="background1"/>
                <w:szCs w:val="22"/>
              </w:rPr>
              <w:t xml:space="preserve">Title </w:t>
            </w:r>
          </w:p>
        </w:tc>
        <w:tc>
          <w:tcPr>
            <w:tcW w:w="1589" w:type="dxa"/>
            <w:shd w:val="clear" w:color="auto" w:fill="002060"/>
          </w:tcPr>
          <w:p w14:paraId="1A0C8B90" w14:textId="77777777" w:rsidR="00ED631B" w:rsidRPr="000F6CD1" w:rsidRDefault="00ED631B" w:rsidP="00856600">
            <w:pPr>
              <w:spacing w:before="240" w:after="240"/>
              <w:rPr>
                <w:b/>
                <w:color w:val="FFFFFF" w:themeColor="background1"/>
                <w:szCs w:val="22"/>
              </w:rPr>
            </w:pPr>
            <w:r w:rsidRPr="000F6CD1">
              <w:rPr>
                <w:b/>
                <w:color w:val="FFFFFF" w:themeColor="background1"/>
                <w:szCs w:val="22"/>
              </w:rPr>
              <w:t>Role type</w:t>
            </w:r>
          </w:p>
        </w:tc>
        <w:tc>
          <w:tcPr>
            <w:tcW w:w="5114" w:type="dxa"/>
            <w:shd w:val="clear" w:color="auto" w:fill="002060"/>
          </w:tcPr>
          <w:p w14:paraId="6E52CC1B" w14:textId="7DF3910F" w:rsidR="00ED631B" w:rsidRPr="000F6CD1" w:rsidRDefault="00ED631B" w:rsidP="00856600">
            <w:pPr>
              <w:spacing w:before="240" w:after="240"/>
              <w:rPr>
                <w:b/>
                <w:color w:val="FFFFFF" w:themeColor="background1"/>
                <w:szCs w:val="22"/>
              </w:rPr>
            </w:pPr>
            <w:r w:rsidRPr="000F6CD1">
              <w:rPr>
                <w:b/>
                <w:color w:val="FFFFFF" w:themeColor="background1"/>
                <w:szCs w:val="22"/>
              </w:rPr>
              <w:t xml:space="preserve">Role Description </w:t>
            </w:r>
          </w:p>
        </w:tc>
      </w:tr>
      <w:tr w:rsidR="00ED631B" w:rsidRPr="000F6CD1" w14:paraId="37359E77" w14:textId="77777777" w:rsidTr="004E2C29">
        <w:trPr>
          <w:trHeight w:val="300"/>
        </w:trPr>
        <w:tc>
          <w:tcPr>
            <w:tcW w:w="2647" w:type="dxa"/>
            <w:shd w:val="clear" w:color="auto" w:fill="002060"/>
          </w:tcPr>
          <w:p w14:paraId="69D321C9" w14:textId="77777777" w:rsidR="00ED631B" w:rsidRPr="000F6CD1" w:rsidRDefault="00ED631B" w:rsidP="00856600">
            <w:pPr>
              <w:spacing w:before="240" w:after="240"/>
              <w:rPr>
                <w:szCs w:val="22"/>
              </w:rPr>
            </w:pPr>
            <w:r w:rsidRPr="000F6CD1">
              <w:rPr>
                <w:szCs w:val="22"/>
              </w:rPr>
              <w:t xml:space="preserve">Contract manager </w:t>
            </w:r>
          </w:p>
        </w:tc>
        <w:tc>
          <w:tcPr>
            <w:tcW w:w="1589" w:type="dxa"/>
          </w:tcPr>
          <w:p w14:paraId="63C40BE3" w14:textId="77777777" w:rsidR="00ED631B" w:rsidRPr="000F6CD1" w:rsidRDefault="00ED631B" w:rsidP="00856600">
            <w:pPr>
              <w:spacing w:before="240" w:after="240"/>
              <w:rPr>
                <w:szCs w:val="22"/>
              </w:rPr>
            </w:pPr>
            <w:r w:rsidRPr="000F6CD1">
              <w:rPr>
                <w:szCs w:val="22"/>
              </w:rPr>
              <w:t>Business</w:t>
            </w:r>
          </w:p>
        </w:tc>
        <w:tc>
          <w:tcPr>
            <w:tcW w:w="5114" w:type="dxa"/>
          </w:tcPr>
          <w:p w14:paraId="7308E492" w14:textId="7AED1619" w:rsidR="00ED631B" w:rsidRPr="000F6CD1" w:rsidRDefault="00ED631B" w:rsidP="00856600">
            <w:pPr>
              <w:spacing w:before="240" w:after="240"/>
            </w:pPr>
            <w:r w:rsidRPr="000F6CD1">
              <w:t xml:space="preserve">Contract Managers, manage and report the assessment services and performance specified in the organisation’s agreement with the Commonwealth. Contact point for the department for contract management. </w:t>
            </w:r>
          </w:p>
        </w:tc>
      </w:tr>
      <w:tr w:rsidR="00ED631B" w:rsidRPr="000F6CD1" w14:paraId="644C2F40" w14:textId="77777777" w:rsidTr="004E2C29">
        <w:trPr>
          <w:trHeight w:val="300"/>
        </w:trPr>
        <w:tc>
          <w:tcPr>
            <w:tcW w:w="2647" w:type="dxa"/>
            <w:shd w:val="clear" w:color="auto" w:fill="002060"/>
          </w:tcPr>
          <w:p w14:paraId="1F0D0496" w14:textId="77777777" w:rsidR="00ED631B" w:rsidRPr="000F6CD1" w:rsidRDefault="00ED631B" w:rsidP="00856600">
            <w:pPr>
              <w:spacing w:before="240" w:after="240"/>
              <w:rPr>
                <w:szCs w:val="22"/>
              </w:rPr>
            </w:pPr>
            <w:r w:rsidRPr="000F6CD1">
              <w:rPr>
                <w:szCs w:val="22"/>
              </w:rPr>
              <w:t>Assessment Organisation Operational Manager</w:t>
            </w:r>
          </w:p>
        </w:tc>
        <w:tc>
          <w:tcPr>
            <w:tcW w:w="1589" w:type="dxa"/>
          </w:tcPr>
          <w:p w14:paraId="5175C1A9" w14:textId="77777777" w:rsidR="00ED631B" w:rsidRPr="000F6CD1" w:rsidRDefault="00ED631B" w:rsidP="00856600">
            <w:pPr>
              <w:spacing w:before="240" w:after="240"/>
              <w:rPr>
                <w:szCs w:val="22"/>
              </w:rPr>
            </w:pPr>
            <w:r w:rsidRPr="000F6CD1">
              <w:rPr>
                <w:szCs w:val="22"/>
              </w:rPr>
              <w:t>Business and System</w:t>
            </w:r>
          </w:p>
        </w:tc>
        <w:tc>
          <w:tcPr>
            <w:tcW w:w="5114" w:type="dxa"/>
          </w:tcPr>
          <w:p w14:paraId="2D936210" w14:textId="77777777" w:rsidR="00ED631B" w:rsidRPr="000F6CD1" w:rsidRDefault="00ED631B" w:rsidP="00856600">
            <w:pPr>
              <w:spacing w:before="240" w:after="240"/>
              <w:rPr>
                <w:szCs w:val="22"/>
              </w:rPr>
            </w:pPr>
            <w:r w:rsidRPr="000F6CD1">
              <w:rPr>
                <w:szCs w:val="22"/>
              </w:rPr>
              <w:t>Assessment Organisation Operational Managers, manage</w:t>
            </w:r>
            <w:r w:rsidRPr="000F6CD1" w:rsidDel="00476A1D">
              <w:rPr>
                <w:szCs w:val="22"/>
              </w:rPr>
              <w:t xml:space="preserve"> </w:t>
            </w:r>
            <w:r w:rsidRPr="000F6CD1">
              <w:rPr>
                <w:szCs w:val="22"/>
              </w:rPr>
              <w:t>the delivery of</w:t>
            </w:r>
            <w:r w:rsidRPr="000F6CD1" w:rsidDel="00476A1D">
              <w:rPr>
                <w:szCs w:val="22"/>
              </w:rPr>
              <w:t xml:space="preserve"> </w:t>
            </w:r>
            <w:r w:rsidRPr="000F6CD1">
              <w:rPr>
                <w:szCs w:val="22"/>
              </w:rPr>
              <w:t>assessment services specified in the organisation’s agreement with the Commonwealth at an operational level.</w:t>
            </w:r>
          </w:p>
          <w:p w14:paraId="0A25C859" w14:textId="45C5D452" w:rsidR="00ED631B" w:rsidRPr="000F6CD1" w:rsidRDefault="00ED631B" w:rsidP="00856600">
            <w:pPr>
              <w:spacing w:before="240" w:after="240"/>
              <w:rPr>
                <w:szCs w:val="22"/>
              </w:rPr>
            </w:pPr>
            <w:r w:rsidRPr="000F6CD1">
              <w:rPr>
                <w:szCs w:val="22"/>
              </w:rPr>
              <w:t xml:space="preserve">Operational managers may also hold organisational or outlet administration roles in the My Aged Care </w:t>
            </w:r>
            <w:r w:rsidR="0060352D" w:rsidRPr="000F6CD1">
              <w:rPr>
                <w:szCs w:val="22"/>
              </w:rPr>
              <w:t>assessor portal</w:t>
            </w:r>
            <w:r w:rsidRPr="000F6CD1">
              <w:rPr>
                <w:szCs w:val="22"/>
              </w:rPr>
              <w:t>.</w:t>
            </w:r>
          </w:p>
          <w:p w14:paraId="6683AB36" w14:textId="77777777" w:rsidR="00ED631B" w:rsidRPr="000F6CD1" w:rsidRDefault="00ED631B" w:rsidP="00856600">
            <w:pPr>
              <w:spacing w:before="240" w:after="240"/>
            </w:pPr>
            <w:r w:rsidRPr="000F6CD1">
              <w:lastRenderedPageBreak/>
              <w:t>They can initiate and submit delegate applications for others in their organisation.</w:t>
            </w:r>
          </w:p>
        </w:tc>
      </w:tr>
      <w:tr w:rsidR="00ED631B" w:rsidRPr="000F6CD1" w14:paraId="349087DF" w14:textId="77777777" w:rsidTr="004E2C29">
        <w:trPr>
          <w:trHeight w:val="300"/>
        </w:trPr>
        <w:tc>
          <w:tcPr>
            <w:tcW w:w="2647" w:type="dxa"/>
            <w:shd w:val="clear" w:color="auto" w:fill="002060"/>
          </w:tcPr>
          <w:p w14:paraId="59BD9506" w14:textId="77777777" w:rsidR="00ED631B" w:rsidRPr="000F6CD1" w:rsidRDefault="00ED631B" w:rsidP="00856600">
            <w:pPr>
              <w:spacing w:before="240" w:after="240"/>
              <w:rPr>
                <w:szCs w:val="22"/>
              </w:rPr>
            </w:pPr>
            <w:r w:rsidRPr="000F6CD1">
              <w:rPr>
                <w:szCs w:val="22"/>
              </w:rPr>
              <w:lastRenderedPageBreak/>
              <w:t>Organisational and/or outlet administrator</w:t>
            </w:r>
          </w:p>
        </w:tc>
        <w:tc>
          <w:tcPr>
            <w:tcW w:w="1589" w:type="dxa"/>
          </w:tcPr>
          <w:p w14:paraId="590ADACC" w14:textId="77777777" w:rsidR="00ED631B" w:rsidRPr="000F6CD1" w:rsidRDefault="00ED631B" w:rsidP="00856600">
            <w:pPr>
              <w:spacing w:before="240" w:after="240"/>
              <w:rPr>
                <w:szCs w:val="22"/>
              </w:rPr>
            </w:pPr>
            <w:r w:rsidRPr="000F6CD1">
              <w:rPr>
                <w:szCs w:val="22"/>
              </w:rPr>
              <w:t>Business and System</w:t>
            </w:r>
          </w:p>
        </w:tc>
        <w:tc>
          <w:tcPr>
            <w:tcW w:w="5114" w:type="dxa"/>
          </w:tcPr>
          <w:p w14:paraId="488C99B9" w14:textId="77777777" w:rsidR="00AD334A" w:rsidRPr="000F6CD1" w:rsidRDefault="00ED631B" w:rsidP="00856600">
            <w:pPr>
              <w:spacing w:before="240" w:after="240"/>
            </w:pPr>
            <w:r w:rsidRPr="000F6CD1">
              <w:t>Organisational and/or outlet administers coordinate the operations of assessment organisations and their outlets.</w:t>
            </w:r>
          </w:p>
          <w:p w14:paraId="026695E1" w14:textId="4E4CB71E" w:rsidR="00ED631B" w:rsidRPr="000F6CD1" w:rsidRDefault="00ED631B" w:rsidP="00C371E7">
            <w:pPr>
              <w:spacing w:before="240" w:after="240"/>
            </w:pPr>
            <w:r w:rsidRPr="000F6CD1">
              <w:rPr>
                <w:szCs w:val="22"/>
              </w:rPr>
              <w:t xml:space="preserve">The administrator at an organisation level can view and manage information for the entire organisation in the portal. </w:t>
            </w:r>
            <w:r w:rsidRPr="000F6CD1">
              <w:t>They are also responsible for updating service information as required.</w:t>
            </w:r>
          </w:p>
        </w:tc>
      </w:tr>
      <w:tr w:rsidR="00ED631B" w:rsidRPr="000F6CD1" w14:paraId="7D5181CE" w14:textId="77777777" w:rsidTr="004E2C29">
        <w:trPr>
          <w:trHeight w:val="300"/>
        </w:trPr>
        <w:tc>
          <w:tcPr>
            <w:tcW w:w="2647" w:type="dxa"/>
            <w:shd w:val="clear" w:color="auto" w:fill="002060"/>
          </w:tcPr>
          <w:p w14:paraId="27B93328" w14:textId="77777777" w:rsidR="00ED631B" w:rsidRPr="000F6CD1" w:rsidRDefault="00ED631B" w:rsidP="00856600">
            <w:pPr>
              <w:spacing w:before="240" w:after="240"/>
              <w:rPr>
                <w:szCs w:val="22"/>
              </w:rPr>
            </w:pPr>
            <w:r w:rsidRPr="000F6CD1">
              <w:rPr>
                <w:szCs w:val="22"/>
              </w:rPr>
              <w:t xml:space="preserve">Team leader </w:t>
            </w:r>
          </w:p>
        </w:tc>
        <w:tc>
          <w:tcPr>
            <w:tcW w:w="1589" w:type="dxa"/>
          </w:tcPr>
          <w:p w14:paraId="06EC5868" w14:textId="77777777" w:rsidR="00ED631B" w:rsidRPr="000F6CD1" w:rsidRDefault="00ED631B" w:rsidP="00856600">
            <w:pPr>
              <w:spacing w:before="240" w:after="240"/>
              <w:rPr>
                <w:szCs w:val="22"/>
              </w:rPr>
            </w:pPr>
            <w:r w:rsidRPr="000F6CD1">
              <w:rPr>
                <w:szCs w:val="22"/>
              </w:rPr>
              <w:t>Business and System</w:t>
            </w:r>
          </w:p>
        </w:tc>
        <w:tc>
          <w:tcPr>
            <w:tcW w:w="5114" w:type="dxa"/>
          </w:tcPr>
          <w:p w14:paraId="35A00F9E" w14:textId="6D497CDB" w:rsidR="00AD334A" w:rsidRPr="000F6CD1" w:rsidRDefault="00ED631B" w:rsidP="00856600">
            <w:pPr>
              <w:spacing w:before="240" w:after="240"/>
            </w:pPr>
            <w:r w:rsidRPr="000F6CD1">
              <w:t xml:space="preserve">A team leader oversees assessment teams, including delegates and assessors, and manages assessment activities including but not limited to the management of referrals detailed in Chapter 4 of </w:t>
            </w:r>
            <w:r w:rsidR="00AD334A" w:rsidRPr="000F6CD1">
              <w:t xml:space="preserve">this </w:t>
            </w:r>
            <w:r w:rsidRPr="000F6CD1">
              <w:t xml:space="preserve">Aged Care Assessment Manual. </w:t>
            </w:r>
          </w:p>
          <w:p w14:paraId="5B203301" w14:textId="1D88891D" w:rsidR="00ED631B" w:rsidRPr="00C371E7" w:rsidRDefault="00ED631B" w:rsidP="00856600">
            <w:pPr>
              <w:spacing w:before="240" w:after="240"/>
              <w:rPr>
                <w:szCs w:val="22"/>
              </w:rPr>
            </w:pPr>
            <w:r w:rsidRPr="000F6CD1">
              <w:rPr>
                <w:szCs w:val="22"/>
              </w:rPr>
              <w:t>Team leaders provide ongoing support to assessment staff, including clinical support to assessors and delegates. Additionally, team leaders undertake regular reviews of quality management processes to support continuous improvement of assessment related services.</w:t>
            </w:r>
          </w:p>
        </w:tc>
      </w:tr>
      <w:tr w:rsidR="00ED631B" w:rsidRPr="000F6CD1" w14:paraId="4415FFD0" w14:textId="77777777" w:rsidTr="004E2C29">
        <w:trPr>
          <w:trHeight w:val="300"/>
        </w:trPr>
        <w:tc>
          <w:tcPr>
            <w:tcW w:w="2647" w:type="dxa"/>
            <w:shd w:val="clear" w:color="auto" w:fill="002060"/>
          </w:tcPr>
          <w:p w14:paraId="3AEDB0E0" w14:textId="77777777" w:rsidR="00ED631B" w:rsidRPr="000F6CD1" w:rsidRDefault="00ED631B" w:rsidP="00856600">
            <w:pPr>
              <w:spacing w:before="240" w:after="240"/>
              <w:rPr>
                <w:szCs w:val="22"/>
              </w:rPr>
            </w:pPr>
            <w:r w:rsidRPr="000F6CD1">
              <w:rPr>
                <w:szCs w:val="22"/>
              </w:rPr>
              <w:t xml:space="preserve">Triage delegate </w:t>
            </w:r>
          </w:p>
        </w:tc>
        <w:tc>
          <w:tcPr>
            <w:tcW w:w="1589" w:type="dxa"/>
          </w:tcPr>
          <w:p w14:paraId="4BA750B9" w14:textId="77777777" w:rsidR="00ED631B" w:rsidRPr="000F6CD1" w:rsidRDefault="00ED631B" w:rsidP="00856600">
            <w:pPr>
              <w:spacing w:before="240" w:after="240"/>
            </w:pPr>
            <w:r w:rsidRPr="000F6CD1">
              <w:t>Business</w:t>
            </w:r>
            <w:r w:rsidRPr="000F6CD1">
              <w:br/>
              <w:t xml:space="preserve">and system </w:t>
            </w:r>
          </w:p>
        </w:tc>
        <w:tc>
          <w:tcPr>
            <w:tcW w:w="5114" w:type="dxa"/>
          </w:tcPr>
          <w:p w14:paraId="6CD0B0C1" w14:textId="16D20F67" w:rsidR="00ED631B" w:rsidRPr="000F6CD1" w:rsidRDefault="00ED631B" w:rsidP="00856600">
            <w:pPr>
              <w:spacing w:before="240" w:after="240"/>
            </w:pPr>
            <w:r w:rsidRPr="000F6CD1">
              <w:t xml:space="preserve">A triage delegate performs functions and powers of the System Governor delegated to their role as detailed in Chapter 5 and </w:t>
            </w:r>
            <w:r w:rsidR="00B52E93" w:rsidRPr="000F6CD1">
              <w:t>7</w:t>
            </w:r>
            <w:r w:rsidRPr="000F6CD1">
              <w:t xml:space="preserve"> of </w:t>
            </w:r>
            <w:r w:rsidR="05932764" w:rsidRPr="000F6CD1">
              <w:t>the Aged</w:t>
            </w:r>
            <w:r w:rsidRPr="000F6CD1">
              <w:t xml:space="preserve"> Care Assessment Manual, including but not limited to determining an individual’s eligibility for an aged care needs assessment. </w:t>
            </w:r>
          </w:p>
          <w:p w14:paraId="1D19DD5E" w14:textId="77777777" w:rsidR="00ED631B" w:rsidRPr="000F6CD1" w:rsidRDefault="00ED631B" w:rsidP="00856600">
            <w:pPr>
              <w:spacing w:before="240" w:after="240"/>
            </w:pPr>
          </w:p>
          <w:p w14:paraId="044E1F5E" w14:textId="77777777" w:rsidR="00ED631B" w:rsidRPr="000F6CD1" w:rsidRDefault="00ED631B" w:rsidP="00856600">
            <w:pPr>
              <w:spacing w:before="240" w:after="240"/>
            </w:pPr>
          </w:p>
        </w:tc>
      </w:tr>
      <w:tr w:rsidR="00ED631B" w:rsidRPr="000F6CD1" w14:paraId="6F7F53FF" w14:textId="77777777" w:rsidTr="004E2C29">
        <w:trPr>
          <w:trHeight w:val="300"/>
        </w:trPr>
        <w:tc>
          <w:tcPr>
            <w:tcW w:w="2647" w:type="dxa"/>
            <w:shd w:val="clear" w:color="auto" w:fill="002060"/>
          </w:tcPr>
          <w:p w14:paraId="1B039DEA" w14:textId="77777777" w:rsidR="00ED631B" w:rsidRPr="000F6CD1" w:rsidRDefault="00ED631B" w:rsidP="00856600">
            <w:pPr>
              <w:spacing w:before="240" w:after="240"/>
              <w:rPr>
                <w:szCs w:val="22"/>
              </w:rPr>
            </w:pPr>
            <w:r w:rsidRPr="000F6CD1">
              <w:rPr>
                <w:szCs w:val="22"/>
              </w:rPr>
              <w:t xml:space="preserve"> Clinical assessor </w:t>
            </w:r>
          </w:p>
        </w:tc>
        <w:tc>
          <w:tcPr>
            <w:tcW w:w="1589" w:type="dxa"/>
          </w:tcPr>
          <w:p w14:paraId="74CDDB31" w14:textId="77777777" w:rsidR="00ED631B" w:rsidRPr="000F6CD1" w:rsidRDefault="00ED631B" w:rsidP="00856600">
            <w:pPr>
              <w:spacing w:before="240" w:after="240"/>
              <w:rPr>
                <w:szCs w:val="22"/>
              </w:rPr>
            </w:pPr>
            <w:r w:rsidRPr="000F6CD1">
              <w:rPr>
                <w:szCs w:val="22"/>
              </w:rPr>
              <w:t>Business and System</w:t>
            </w:r>
          </w:p>
        </w:tc>
        <w:tc>
          <w:tcPr>
            <w:tcW w:w="5114" w:type="dxa"/>
          </w:tcPr>
          <w:p w14:paraId="185EE80E" w14:textId="09F29580" w:rsidR="00ED631B" w:rsidRPr="000F6CD1" w:rsidRDefault="00ED631B" w:rsidP="00856600">
            <w:pPr>
              <w:spacing w:before="240" w:after="240"/>
            </w:pPr>
            <w:r w:rsidRPr="000F6CD1">
              <w:t xml:space="preserve">A clinical aged care needs assessor undertakes home support and comprehensive assessments in accordance with Chapter 5 of the Aged Care Assessment Manual. </w:t>
            </w:r>
          </w:p>
          <w:p w14:paraId="0BF9214E" w14:textId="4D67335D" w:rsidR="00ED631B" w:rsidRPr="000F6CD1" w:rsidRDefault="00487ED6" w:rsidP="00856600">
            <w:pPr>
              <w:spacing w:before="240" w:after="240"/>
              <w:rPr>
                <w:szCs w:val="22"/>
              </w:rPr>
            </w:pPr>
            <w:r w:rsidRPr="000F6CD1">
              <w:rPr>
                <w:szCs w:val="22"/>
              </w:rPr>
              <w:t xml:space="preserve">A </w:t>
            </w:r>
            <w:r w:rsidR="000360D1" w:rsidRPr="000F6CD1">
              <w:rPr>
                <w:szCs w:val="22"/>
              </w:rPr>
              <w:t xml:space="preserve">clinical aged care </w:t>
            </w:r>
            <w:r w:rsidR="000360D1" w:rsidRPr="000F6CD1">
              <w:t>needs</w:t>
            </w:r>
            <w:r w:rsidR="000360D1" w:rsidRPr="000F6CD1">
              <w:rPr>
                <w:szCs w:val="22"/>
              </w:rPr>
              <w:t xml:space="preserve"> assessor </w:t>
            </w:r>
            <w:r w:rsidR="00B77D54" w:rsidRPr="000F6CD1">
              <w:rPr>
                <w:szCs w:val="22"/>
              </w:rPr>
              <w:t xml:space="preserve">also </w:t>
            </w:r>
            <w:r w:rsidR="000360D1" w:rsidRPr="000F6CD1">
              <w:rPr>
                <w:szCs w:val="22"/>
              </w:rPr>
              <w:t>holds the role of non-clinical assessment delegate</w:t>
            </w:r>
            <w:r w:rsidR="00B27777" w:rsidRPr="000F6CD1">
              <w:rPr>
                <w:szCs w:val="22"/>
              </w:rPr>
              <w:t xml:space="preserve"> under the </w:t>
            </w:r>
            <w:r w:rsidR="00566310" w:rsidRPr="000F6CD1">
              <w:rPr>
                <w:szCs w:val="22"/>
              </w:rPr>
              <w:t>Instrument of Delegation</w:t>
            </w:r>
            <w:r w:rsidR="00B27777" w:rsidRPr="000F6CD1">
              <w:rPr>
                <w:szCs w:val="22"/>
              </w:rPr>
              <w:t xml:space="preserve"> (</w:t>
            </w:r>
            <w:r w:rsidR="00566310" w:rsidRPr="000F6CD1">
              <w:rPr>
                <w:szCs w:val="22"/>
              </w:rPr>
              <w:t>noting</w:t>
            </w:r>
            <w:r w:rsidR="00B27777" w:rsidRPr="000F6CD1">
              <w:rPr>
                <w:szCs w:val="22"/>
              </w:rPr>
              <w:t xml:space="preserve"> clinical assessors must </w:t>
            </w:r>
            <w:r w:rsidR="00566310" w:rsidRPr="000F6CD1">
              <w:rPr>
                <w:szCs w:val="22"/>
              </w:rPr>
              <w:t>have</w:t>
            </w:r>
            <w:r w:rsidR="00B27777" w:rsidRPr="000F6CD1">
              <w:rPr>
                <w:szCs w:val="22"/>
              </w:rPr>
              <w:t xml:space="preserve"> the </w:t>
            </w:r>
            <w:r w:rsidR="00566310" w:rsidRPr="000F6CD1">
              <w:rPr>
                <w:szCs w:val="22"/>
              </w:rPr>
              <w:t>non-</w:t>
            </w:r>
            <w:r w:rsidR="00566310" w:rsidRPr="000F6CD1">
              <w:rPr>
                <w:szCs w:val="22"/>
              </w:rPr>
              <w:lastRenderedPageBreak/>
              <w:t xml:space="preserve">clinical assessment delegate </w:t>
            </w:r>
            <w:r w:rsidR="00B27777" w:rsidRPr="000F6CD1">
              <w:rPr>
                <w:szCs w:val="22"/>
              </w:rPr>
              <w:t>System role to exercise the Assessor Portal functions)</w:t>
            </w:r>
            <w:r w:rsidR="00B77D54" w:rsidRPr="000F6CD1">
              <w:rPr>
                <w:szCs w:val="22"/>
              </w:rPr>
              <w:t>.</w:t>
            </w:r>
          </w:p>
        </w:tc>
      </w:tr>
      <w:tr w:rsidR="00ED631B" w:rsidRPr="000F6CD1" w14:paraId="2831F5F3" w14:textId="77777777" w:rsidTr="004E2C29">
        <w:trPr>
          <w:trHeight w:val="300"/>
        </w:trPr>
        <w:tc>
          <w:tcPr>
            <w:tcW w:w="2647" w:type="dxa"/>
            <w:shd w:val="clear" w:color="auto" w:fill="002060"/>
          </w:tcPr>
          <w:p w14:paraId="02C6535A" w14:textId="77777777" w:rsidR="00ED631B" w:rsidRPr="000F6CD1" w:rsidRDefault="00ED631B" w:rsidP="00856600">
            <w:pPr>
              <w:spacing w:before="240" w:after="240"/>
              <w:rPr>
                <w:szCs w:val="22"/>
              </w:rPr>
            </w:pPr>
            <w:r w:rsidRPr="000F6CD1">
              <w:rPr>
                <w:szCs w:val="22"/>
              </w:rPr>
              <w:lastRenderedPageBreak/>
              <w:t>Non-clinical assessor</w:t>
            </w:r>
            <w:r w:rsidRPr="000F6CD1" w:rsidDel="00F269B1">
              <w:rPr>
                <w:szCs w:val="22"/>
              </w:rPr>
              <w:t xml:space="preserve"> </w:t>
            </w:r>
          </w:p>
        </w:tc>
        <w:tc>
          <w:tcPr>
            <w:tcW w:w="1589" w:type="dxa"/>
          </w:tcPr>
          <w:p w14:paraId="0D7864F6" w14:textId="77777777" w:rsidR="00ED631B" w:rsidRPr="000F6CD1" w:rsidRDefault="00ED631B" w:rsidP="00856600">
            <w:pPr>
              <w:spacing w:before="240" w:after="240"/>
              <w:rPr>
                <w:szCs w:val="22"/>
              </w:rPr>
            </w:pPr>
            <w:r w:rsidRPr="000F6CD1">
              <w:rPr>
                <w:szCs w:val="22"/>
              </w:rPr>
              <w:t>Business and System</w:t>
            </w:r>
          </w:p>
        </w:tc>
        <w:tc>
          <w:tcPr>
            <w:tcW w:w="5114" w:type="dxa"/>
          </w:tcPr>
          <w:p w14:paraId="5EC5ECDC" w14:textId="597232CE" w:rsidR="00ED631B" w:rsidRPr="000F6CD1" w:rsidRDefault="00ED631B" w:rsidP="00856600">
            <w:pPr>
              <w:spacing w:before="240" w:after="240"/>
            </w:pPr>
            <w:r w:rsidRPr="000F6CD1">
              <w:t xml:space="preserve">A non-clinical needs assessor undertakes home support assessments in accordance with Chapter 5 of the Aged Care Assessment Manual. </w:t>
            </w:r>
          </w:p>
          <w:p w14:paraId="69316D10" w14:textId="76E9F2F8" w:rsidR="00ED631B" w:rsidRPr="000F6CD1" w:rsidRDefault="00B77D54" w:rsidP="00856600">
            <w:pPr>
              <w:spacing w:before="240" w:after="240"/>
            </w:pPr>
            <w:r w:rsidRPr="000F6CD1">
              <w:rPr>
                <w:szCs w:val="22"/>
              </w:rPr>
              <w:t xml:space="preserve">A </w:t>
            </w:r>
            <w:r w:rsidR="0054397D" w:rsidRPr="000F6CD1">
              <w:rPr>
                <w:szCs w:val="22"/>
              </w:rPr>
              <w:t>non-</w:t>
            </w:r>
            <w:r w:rsidRPr="000F6CD1">
              <w:rPr>
                <w:szCs w:val="22"/>
              </w:rPr>
              <w:t xml:space="preserve">clinical aged care </w:t>
            </w:r>
            <w:r w:rsidRPr="000F6CD1">
              <w:t>needs</w:t>
            </w:r>
            <w:r w:rsidRPr="000F6CD1">
              <w:rPr>
                <w:szCs w:val="22"/>
              </w:rPr>
              <w:t xml:space="preserve"> assessor also holds the role of non-clinical assessment delegate</w:t>
            </w:r>
            <w:r w:rsidR="00C171CC" w:rsidRPr="000F6CD1">
              <w:rPr>
                <w:szCs w:val="22"/>
              </w:rPr>
              <w:t xml:space="preserve"> </w:t>
            </w:r>
            <w:r w:rsidR="00780DAA" w:rsidRPr="000F6CD1">
              <w:rPr>
                <w:szCs w:val="22"/>
              </w:rPr>
              <w:t xml:space="preserve">under the </w:t>
            </w:r>
            <w:r w:rsidR="00566310" w:rsidRPr="000F6CD1">
              <w:rPr>
                <w:szCs w:val="22"/>
              </w:rPr>
              <w:t xml:space="preserve">Instrument of Delegation </w:t>
            </w:r>
            <w:r w:rsidR="00780DAA" w:rsidRPr="000F6CD1">
              <w:rPr>
                <w:szCs w:val="22"/>
              </w:rPr>
              <w:t>(</w:t>
            </w:r>
            <w:r w:rsidR="00566310" w:rsidRPr="000F6CD1">
              <w:rPr>
                <w:szCs w:val="22"/>
              </w:rPr>
              <w:t>noting</w:t>
            </w:r>
            <w:r w:rsidR="00780DAA" w:rsidRPr="000F6CD1">
              <w:rPr>
                <w:szCs w:val="22"/>
              </w:rPr>
              <w:t xml:space="preserve"> </w:t>
            </w:r>
            <w:r w:rsidR="00F50722" w:rsidRPr="000F6CD1">
              <w:rPr>
                <w:szCs w:val="22"/>
              </w:rPr>
              <w:t xml:space="preserve">non-clinical assessors must </w:t>
            </w:r>
            <w:r w:rsidR="00566310" w:rsidRPr="000F6CD1">
              <w:rPr>
                <w:szCs w:val="22"/>
              </w:rPr>
              <w:t>have</w:t>
            </w:r>
            <w:r w:rsidR="00F50722" w:rsidRPr="000F6CD1">
              <w:rPr>
                <w:szCs w:val="22"/>
              </w:rPr>
              <w:t xml:space="preserve"> </w:t>
            </w:r>
            <w:r w:rsidR="00566310" w:rsidRPr="000F6CD1">
              <w:rPr>
                <w:szCs w:val="22"/>
              </w:rPr>
              <w:t xml:space="preserve">the non-clinical assessment delegate </w:t>
            </w:r>
            <w:r w:rsidR="00051833" w:rsidRPr="000F6CD1">
              <w:rPr>
                <w:szCs w:val="22"/>
              </w:rPr>
              <w:t xml:space="preserve">System role to </w:t>
            </w:r>
            <w:r w:rsidR="00540551" w:rsidRPr="000F6CD1">
              <w:rPr>
                <w:szCs w:val="22"/>
              </w:rPr>
              <w:t xml:space="preserve">exercise </w:t>
            </w:r>
            <w:r w:rsidR="00B27777" w:rsidRPr="000F6CD1">
              <w:rPr>
                <w:szCs w:val="22"/>
              </w:rPr>
              <w:t>the Assessor Portal functions)</w:t>
            </w:r>
            <w:r w:rsidRPr="000F6CD1">
              <w:rPr>
                <w:szCs w:val="22"/>
              </w:rPr>
              <w:t>.</w:t>
            </w:r>
          </w:p>
        </w:tc>
      </w:tr>
      <w:tr w:rsidR="00ED631B" w:rsidRPr="000F6CD1" w14:paraId="0BC1488E" w14:textId="77777777" w:rsidTr="004E2C29">
        <w:trPr>
          <w:trHeight w:val="300"/>
        </w:trPr>
        <w:tc>
          <w:tcPr>
            <w:tcW w:w="2647" w:type="dxa"/>
            <w:shd w:val="clear" w:color="auto" w:fill="002060"/>
          </w:tcPr>
          <w:p w14:paraId="1FB53DC7" w14:textId="064F3D29" w:rsidR="00ED631B" w:rsidRPr="000F6CD1" w:rsidRDefault="00ED631B" w:rsidP="00856600">
            <w:pPr>
              <w:spacing w:before="240" w:after="240"/>
              <w:rPr>
                <w:szCs w:val="22"/>
              </w:rPr>
            </w:pPr>
            <w:r w:rsidRPr="000F6CD1">
              <w:rPr>
                <w:szCs w:val="22"/>
              </w:rPr>
              <w:t xml:space="preserve">Clinical </w:t>
            </w:r>
            <w:r w:rsidR="006964E3" w:rsidRPr="000F6CD1">
              <w:rPr>
                <w:szCs w:val="22"/>
              </w:rPr>
              <w:t>a</w:t>
            </w:r>
            <w:r w:rsidRPr="000F6CD1">
              <w:rPr>
                <w:szCs w:val="22"/>
              </w:rPr>
              <w:t xml:space="preserve">ssessment </w:t>
            </w:r>
            <w:r w:rsidR="006964E3" w:rsidRPr="000F6CD1">
              <w:rPr>
                <w:szCs w:val="22"/>
              </w:rPr>
              <w:t>d</w:t>
            </w:r>
            <w:r w:rsidRPr="000F6CD1">
              <w:rPr>
                <w:szCs w:val="22"/>
              </w:rPr>
              <w:t xml:space="preserve">elegate </w:t>
            </w:r>
          </w:p>
        </w:tc>
        <w:tc>
          <w:tcPr>
            <w:tcW w:w="1589" w:type="dxa"/>
          </w:tcPr>
          <w:p w14:paraId="070FAE3F" w14:textId="77777777" w:rsidR="00ED631B" w:rsidRPr="000F6CD1" w:rsidRDefault="00ED631B" w:rsidP="00856600">
            <w:pPr>
              <w:spacing w:before="240" w:after="240"/>
              <w:rPr>
                <w:szCs w:val="22"/>
              </w:rPr>
            </w:pPr>
            <w:r w:rsidRPr="000F6CD1">
              <w:rPr>
                <w:szCs w:val="22"/>
              </w:rPr>
              <w:t>Business and System</w:t>
            </w:r>
          </w:p>
        </w:tc>
        <w:tc>
          <w:tcPr>
            <w:tcW w:w="5114" w:type="dxa"/>
          </w:tcPr>
          <w:p w14:paraId="1BE06CF9" w14:textId="700AE9D4" w:rsidR="00ED631B" w:rsidRPr="000F6CD1" w:rsidRDefault="00ED631B" w:rsidP="00856600">
            <w:pPr>
              <w:spacing w:before="240" w:after="240"/>
            </w:pPr>
            <w:r w:rsidRPr="000F6CD1">
              <w:t xml:space="preserve">A clinical assessment delegate performs functions and powers of the System Governor delegated to their role as detailed in Chapter </w:t>
            </w:r>
            <w:r w:rsidR="00B52E93" w:rsidRPr="000F6CD1">
              <w:t>7</w:t>
            </w:r>
            <w:r w:rsidR="004B0C38" w:rsidRPr="000F6CD1">
              <w:t>-8</w:t>
            </w:r>
            <w:r w:rsidRPr="000F6CD1">
              <w:t xml:space="preserve"> of the Aged Care Assessment Manual, including but not limited to approving an individual for funded aged care services. </w:t>
            </w:r>
          </w:p>
        </w:tc>
      </w:tr>
      <w:tr w:rsidR="00ED631B" w:rsidRPr="000F6CD1" w14:paraId="51736941" w14:textId="77777777" w:rsidTr="004E2C29">
        <w:trPr>
          <w:trHeight w:val="300"/>
        </w:trPr>
        <w:tc>
          <w:tcPr>
            <w:tcW w:w="2647" w:type="dxa"/>
            <w:shd w:val="clear" w:color="auto" w:fill="002060"/>
          </w:tcPr>
          <w:p w14:paraId="110916A0" w14:textId="77777777" w:rsidR="00ED631B" w:rsidRPr="000F6CD1" w:rsidRDefault="00ED631B" w:rsidP="00856600">
            <w:pPr>
              <w:spacing w:before="240" w:after="240"/>
            </w:pPr>
            <w:r w:rsidRPr="000F6CD1">
              <w:t xml:space="preserve">Non-clinical assessment delegate  </w:t>
            </w:r>
          </w:p>
        </w:tc>
        <w:tc>
          <w:tcPr>
            <w:tcW w:w="1589" w:type="dxa"/>
          </w:tcPr>
          <w:p w14:paraId="24B5C3F4" w14:textId="3DECA783" w:rsidR="00ED631B" w:rsidRPr="000F6CD1" w:rsidRDefault="00ED631B" w:rsidP="00856600">
            <w:pPr>
              <w:spacing w:before="240" w:after="240"/>
            </w:pPr>
            <w:r w:rsidRPr="000F6CD1">
              <w:t>Business</w:t>
            </w:r>
            <w:r w:rsidR="008955A5" w:rsidRPr="000F6CD1">
              <w:t xml:space="preserve"> and System</w:t>
            </w:r>
          </w:p>
        </w:tc>
        <w:tc>
          <w:tcPr>
            <w:tcW w:w="5114" w:type="dxa"/>
          </w:tcPr>
          <w:p w14:paraId="393700E1" w14:textId="77777777" w:rsidR="007D560B" w:rsidRPr="000F6CD1" w:rsidRDefault="00ED631B" w:rsidP="00856600">
            <w:pPr>
              <w:spacing w:before="240" w:after="240"/>
            </w:pPr>
            <w:r w:rsidRPr="000F6CD1">
              <w:t xml:space="preserve">A non-clinical assessment delegate performs functions and powers of the System Governor delegated to their role as detailed in Chapter </w:t>
            </w:r>
            <w:r w:rsidR="00B52E93" w:rsidRPr="000F6CD1">
              <w:t>7</w:t>
            </w:r>
            <w:r w:rsidR="004B0C38" w:rsidRPr="000F6CD1">
              <w:t>-8</w:t>
            </w:r>
            <w:r w:rsidRPr="000F6CD1">
              <w:t xml:space="preserve"> of the Aged Care Assessment Manual, including but not limited to approving an individual for funded aged care services under the Commonwealth Home Support Program.</w:t>
            </w:r>
          </w:p>
          <w:p w14:paraId="6C2B3A95" w14:textId="232C2E08" w:rsidR="00AD334A" w:rsidRPr="000F6CD1" w:rsidRDefault="007D560B" w:rsidP="005E5FD2">
            <w:pPr>
              <w:spacing w:before="240" w:after="240"/>
            </w:pPr>
            <w:r w:rsidRPr="000F6CD1">
              <w:t xml:space="preserve">Non-clinical assessors and Clinical assessors </w:t>
            </w:r>
            <w:r w:rsidR="009157A6" w:rsidRPr="000F6CD1">
              <w:t>hold this role</w:t>
            </w:r>
            <w:r w:rsidR="00566310" w:rsidRPr="000F6CD1">
              <w:t xml:space="preserve"> under the Instrument of Delegation (noting these assessors must have the non-clinical assessment delegate System role to exercise the Assessor Portal functions).</w:t>
            </w:r>
            <w:r w:rsidR="00ED631B" w:rsidRPr="000F6CD1">
              <w:t xml:space="preserve"> </w:t>
            </w:r>
          </w:p>
        </w:tc>
      </w:tr>
      <w:tr w:rsidR="00ED631B" w:rsidRPr="000F6CD1" w14:paraId="1A5BE263" w14:textId="77777777" w:rsidTr="004E2C29">
        <w:trPr>
          <w:trHeight w:val="300"/>
        </w:trPr>
        <w:tc>
          <w:tcPr>
            <w:tcW w:w="2647" w:type="dxa"/>
            <w:shd w:val="clear" w:color="auto" w:fill="002060"/>
          </w:tcPr>
          <w:p w14:paraId="5399B7A8" w14:textId="77777777" w:rsidR="00ED631B" w:rsidRPr="000F6CD1" w:rsidRDefault="00ED631B" w:rsidP="00856600">
            <w:pPr>
              <w:spacing w:before="240" w:after="240"/>
            </w:pPr>
            <w:r w:rsidRPr="000F6CD1">
              <w:t>Workplace trainer</w:t>
            </w:r>
          </w:p>
        </w:tc>
        <w:tc>
          <w:tcPr>
            <w:tcW w:w="1589" w:type="dxa"/>
          </w:tcPr>
          <w:p w14:paraId="4B278817" w14:textId="77777777" w:rsidR="00ED631B" w:rsidRPr="000F6CD1" w:rsidRDefault="00ED631B" w:rsidP="00856600">
            <w:pPr>
              <w:spacing w:before="240" w:after="240"/>
            </w:pPr>
            <w:r w:rsidRPr="000F6CD1">
              <w:t>Business</w:t>
            </w:r>
          </w:p>
        </w:tc>
        <w:tc>
          <w:tcPr>
            <w:tcW w:w="5114" w:type="dxa"/>
          </w:tcPr>
          <w:p w14:paraId="469CAEF3" w14:textId="6427596F" w:rsidR="00ED631B" w:rsidRPr="000F6CD1" w:rsidRDefault="00ED631B" w:rsidP="00856600">
            <w:pPr>
              <w:spacing w:before="240" w:after="240"/>
            </w:pPr>
            <w:r w:rsidRPr="000F6CD1">
              <w:t xml:space="preserve">A workplace trainer provides and coordinates the mandatory training required to be undertaken by staff within of an assessment organisation in accordance with the Aged Care Workforce Learning Strategy and Chapter 2 of the Aged Care Assessment Manual. </w:t>
            </w:r>
          </w:p>
          <w:p w14:paraId="03F07CE5" w14:textId="77777777" w:rsidR="00ED631B" w:rsidRPr="000F6CD1" w:rsidRDefault="00ED631B" w:rsidP="00856600">
            <w:pPr>
              <w:spacing w:before="240" w:after="240"/>
            </w:pPr>
          </w:p>
          <w:p w14:paraId="3BF3FDC9" w14:textId="77777777" w:rsidR="00ED631B" w:rsidRPr="000F6CD1" w:rsidRDefault="00ED631B" w:rsidP="00856600">
            <w:pPr>
              <w:spacing w:before="240" w:after="240"/>
              <w:rPr>
                <w:rFonts w:eastAsia="Arial"/>
                <w:strike/>
              </w:rPr>
            </w:pPr>
          </w:p>
        </w:tc>
      </w:tr>
      <w:tr w:rsidR="00ED631B" w:rsidRPr="000F6CD1" w14:paraId="6B2C17CF" w14:textId="77777777" w:rsidTr="004E2C29">
        <w:trPr>
          <w:trHeight w:val="300"/>
        </w:trPr>
        <w:tc>
          <w:tcPr>
            <w:tcW w:w="2647" w:type="dxa"/>
            <w:shd w:val="clear" w:color="auto" w:fill="002060"/>
          </w:tcPr>
          <w:p w14:paraId="5208A5B0" w14:textId="77777777" w:rsidR="00ED631B" w:rsidRPr="000F6CD1" w:rsidRDefault="00ED631B" w:rsidP="00856600">
            <w:pPr>
              <w:spacing w:before="240" w:after="240"/>
              <w:rPr>
                <w:szCs w:val="22"/>
              </w:rPr>
            </w:pPr>
            <w:bookmarkStart w:id="132" w:name="_Hlk184121619"/>
            <w:r w:rsidRPr="000F6CD1">
              <w:rPr>
                <w:szCs w:val="22"/>
              </w:rPr>
              <w:lastRenderedPageBreak/>
              <w:t>Administration officer</w:t>
            </w:r>
          </w:p>
        </w:tc>
        <w:tc>
          <w:tcPr>
            <w:tcW w:w="1589" w:type="dxa"/>
          </w:tcPr>
          <w:p w14:paraId="30C933D8" w14:textId="77777777" w:rsidR="00ED631B" w:rsidRPr="000F6CD1" w:rsidRDefault="00ED631B" w:rsidP="00856600">
            <w:pPr>
              <w:spacing w:before="240" w:after="240"/>
              <w:rPr>
                <w:szCs w:val="22"/>
              </w:rPr>
            </w:pPr>
            <w:r w:rsidRPr="000F6CD1">
              <w:rPr>
                <w:szCs w:val="22"/>
              </w:rPr>
              <w:t xml:space="preserve">Business </w:t>
            </w:r>
          </w:p>
          <w:p w14:paraId="31D6B651" w14:textId="77777777" w:rsidR="00ED631B" w:rsidRPr="000F6CD1" w:rsidRDefault="00ED631B" w:rsidP="00856600">
            <w:pPr>
              <w:spacing w:before="240" w:after="240"/>
              <w:rPr>
                <w:szCs w:val="22"/>
              </w:rPr>
            </w:pPr>
          </w:p>
        </w:tc>
        <w:tc>
          <w:tcPr>
            <w:tcW w:w="5114" w:type="dxa"/>
          </w:tcPr>
          <w:p w14:paraId="151D1AE5" w14:textId="77777777" w:rsidR="00ED631B" w:rsidRPr="000F6CD1" w:rsidRDefault="00ED631B" w:rsidP="00856600">
            <w:pPr>
              <w:spacing w:before="240" w:after="240"/>
            </w:pPr>
            <w:r w:rsidRPr="000F6CD1">
              <w:t>An Administration Officer provides support to the Team Leader and delegates, by performing the day-to-day work of phoning and booking appointments, assigning the booking to assessors, rescheduling and reassigning an assessment should any changes need to occur (assessor on unplanned leave, older person needs to change the appointment) and assigning SPRs.</w:t>
            </w:r>
          </w:p>
          <w:p w14:paraId="183F6001" w14:textId="77777777" w:rsidR="00AD334A" w:rsidRPr="000F6CD1" w:rsidRDefault="00AD334A" w:rsidP="00856600">
            <w:pPr>
              <w:spacing w:before="240" w:after="240"/>
            </w:pPr>
          </w:p>
          <w:p w14:paraId="189D7206" w14:textId="77777777" w:rsidR="00ED631B" w:rsidRPr="000F6CD1" w:rsidRDefault="00ED631B" w:rsidP="00856600">
            <w:pPr>
              <w:spacing w:before="240" w:after="240"/>
              <w:rPr>
                <w:szCs w:val="22"/>
              </w:rPr>
            </w:pPr>
            <w:r w:rsidRPr="000F6CD1">
              <w:rPr>
                <w:szCs w:val="22"/>
              </w:rPr>
              <w:t xml:space="preserve">Administration officers may hold the team leader system role to manage and assign, un-assign and reassign referrals or transfer referrals for triage and assessment(s) and assign SPRs to an assessor. </w:t>
            </w:r>
          </w:p>
        </w:tc>
      </w:tr>
      <w:bookmarkEnd w:id="132"/>
      <w:tr w:rsidR="00ED631B" w:rsidRPr="000F6CD1" w14:paraId="43049B01" w14:textId="77777777" w:rsidTr="004E2C29">
        <w:trPr>
          <w:trHeight w:val="300"/>
        </w:trPr>
        <w:tc>
          <w:tcPr>
            <w:tcW w:w="2647" w:type="dxa"/>
            <w:shd w:val="clear" w:color="auto" w:fill="002060"/>
          </w:tcPr>
          <w:p w14:paraId="159A52EB" w14:textId="41FAB0D0" w:rsidR="00ED631B" w:rsidRPr="000F6CD1" w:rsidRDefault="00ED631B" w:rsidP="00856600">
            <w:pPr>
              <w:spacing w:before="240" w:after="240"/>
              <w:rPr>
                <w:szCs w:val="22"/>
              </w:rPr>
            </w:pPr>
            <w:r w:rsidRPr="000F6CD1">
              <w:rPr>
                <w:szCs w:val="22"/>
              </w:rPr>
              <w:t xml:space="preserve">Delegate support </w:t>
            </w:r>
            <w:r w:rsidR="000479BD" w:rsidRPr="000F6CD1">
              <w:rPr>
                <w:szCs w:val="22"/>
              </w:rPr>
              <w:t xml:space="preserve">officer </w:t>
            </w:r>
          </w:p>
        </w:tc>
        <w:tc>
          <w:tcPr>
            <w:tcW w:w="1589" w:type="dxa"/>
          </w:tcPr>
          <w:p w14:paraId="5C6BB871" w14:textId="77777777" w:rsidR="00ED631B" w:rsidRPr="000F6CD1" w:rsidRDefault="00ED631B" w:rsidP="00856600">
            <w:pPr>
              <w:spacing w:before="240" w:after="240"/>
              <w:rPr>
                <w:szCs w:val="22"/>
              </w:rPr>
            </w:pPr>
            <w:r w:rsidRPr="000F6CD1">
              <w:rPr>
                <w:szCs w:val="22"/>
              </w:rPr>
              <w:t>Business and System</w:t>
            </w:r>
          </w:p>
        </w:tc>
        <w:tc>
          <w:tcPr>
            <w:tcW w:w="5114" w:type="dxa"/>
          </w:tcPr>
          <w:p w14:paraId="2B8FB44C" w14:textId="77777777" w:rsidR="00ED631B" w:rsidRPr="000F6CD1" w:rsidRDefault="00ED631B" w:rsidP="00856600">
            <w:pPr>
              <w:spacing w:before="240" w:after="240"/>
              <w:rPr>
                <w:szCs w:val="22"/>
              </w:rPr>
            </w:pPr>
            <w:r w:rsidRPr="000F6CD1">
              <w:rPr>
                <w:szCs w:val="22"/>
              </w:rPr>
              <w:t xml:space="preserve">Delegate Support provide support to the assessment delegate with administrative tasks associated with delegation such as printing and sending letters. </w:t>
            </w:r>
          </w:p>
        </w:tc>
      </w:tr>
    </w:tbl>
    <w:p w14:paraId="22BB5593" w14:textId="77777777" w:rsidR="00ED631B" w:rsidRPr="000F6CD1" w:rsidRDefault="00ED631B" w:rsidP="00856600">
      <w:pPr>
        <w:spacing w:before="240" w:after="240" w:line="240" w:lineRule="auto"/>
      </w:pPr>
    </w:p>
    <w:tbl>
      <w:tblPr>
        <w:tblW w:w="0" w:type="auto"/>
        <w:tblLook w:val="04A0" w:firstRow="1" w:lastRow="0" w:firstColumn="1" w:lastColumn="0" w:noHBand="0" w:noVBand="1"/>
      </w:tblPr>
      <w:tblGrid>
        <w:gridCol w:w="982"/>
        <w:gridCol w:w="7784"/>
      </w:tblGrid>
      <w:tr w:rsidR="00ED631B" w:rsidRPr="000F6CD1" w14:paraId="6C056683" w14:textId="77777777">
        <w:tc>
          <w:tcPr>
            <w:tcW w:w="988" w:type="dxa"/>
          </w:tcPr>
          <w:p w14:paraId="07CEA493" w14:textId="77777777" w:rsidR="00ED631B" w:rsidRPr="000F6CD1" w:rsidRDefault="00ED631B" w:rsidP="00856600">
            <w:pPr>
              <w:spacing w:before="240" w:after="240" w:line="240" w:lineRule="auto"/>
            </w:pPr>
            <w:r w:rsidRPr="000F6CD1">
              <w:rPr>
                <w:noProof/>
              </w:rPr>
              <w:drawing>
                <wp:inline distT="0" distB="0" distL="0" distR="0" wp14:anchorId="451905EA" wp14:editId="19698870">
                  <wp:extent cx="383111" cy="381000"/>
                  <wp:effectExtent l="0" t="0" r="0" b="0"/>
                  <wp:docPr id="900774019" name="Picture 90077401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4019" name="Picture 900774019"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1D8C4969" w14:textId="3D44DA51" w:rsidR="00ED631B" w:rsidRPr="000F6CD1" w:rsidRDefault="00ED631B" w:rsidP="00856600">
            <w:pPr>
              <w:spacing w:before="240" w:after="240" w:line="240" w:lineRule="auto"/>
            </w:pPr>
            <w:hyperlink r:id="rId58" w:history="1">
              <w:r w:rsidRPr="000F6CD1">
                <w:rPr>
                  <w:rStyle w:val="Hyperlink"/>
                  <w:szCs w:val="22"/>
                </w:rPr>
                <w:t>My Aged Care Assessor Portal - Organisational Administrator User Guide</w:t>
              </w:r>
            </w:hyperlink>
          </w:p>
          <w:p w14:paraId="29E908DA" w14:textId="77777777" w:rsidR="00ED631B" w:rsidRPr="000F6CD1" w:rsidRDefault="00ED631B" w:rsidP="00856600">
            <w:pPr>
              <w:spacing w:before="240" w:after="240" w:line="240" w:lineRule="auto"/>
            </w:pPr>
          </w:p>
        </w:tc>
      </w:tr>
    </w:tbl>
    <w:p w14:paraId="69345891" w14:textId="20F9DF42" w:rsidR="00446280" w:rsidRPr="000F6CD1" w:rsidRDefault="44D2354C" w:rsidP="006647CE">
      <w:pPr>
        <w:pStyle w:val="h2"/>
      </w:pPr>
      <w:bookmarkStart w:id="133" w:name="_Aboriginal_and_Torres"/>
      <w:bookmarkStart w:id="134" w:name="_Toc233282418"/>
      <w:bookmarkStart w:id="135" w:name="_Toc159227000"/>
      <w:bookmarkStart w:id="136" w:name="_Toc184402415"/>
      <w:bookmarkStart w:id="137" w:name="_Toc204329497"/>
      <w:bookmarkStart w:id="138" w:name="_Toc209188952"/>
      <w:bookmarkStart w:id="139" w:name="_Toc198813647"/>
      <w:bookmarkStart w:id="140" w:name="CH1_FNAO"/>
      <w:bookmarkEnd w:id="133"/>
      <w:r w:rsidRPr="000F6CD1">
        <w:t xml:space="preserve">Supporting </w:t>
      </w:r>
      <w:r w:rsidR="00446280" w:rsidRPr="000F6CD1">
        <w:t xml:space="preserve">Community Engagement </w:t>
      </w:r>
      <w:r w:rsidR="00AE68AA" w:rsidRPr="000F6CD1">
        <w:t xml:space="preserve">through </w:t>
      </w:r>
      <w:r w:rsidR="00446280" w:rsidRPr="000F6CD1">
        <w:t>the Aboriginal and Torres Strait Islander assessment pathway</w:t>
      </w:r>
      <w:bookmarkEnd w:id="134"/>
    </w:p>
    <w:p w14:paraId="66014989" w14:textId="57B80053" w:rsidR="00446280" w:rsidRPr="000F6CD1" w:rsidRDefault="62A4ED62" w:rsidP="00856600">
      <w:pPr>
        <w:spacing w:before="240" w:after="240" w:line="240" w:lineRule="auto"/>
      </w:pPr>
      <w:r w:rsidRPr="000F6CD1">
        <w:t>Cultural</w:t>
      </w:r>
      <w:r w:rsidR="00BB6D29" w:rsidRPr="000F6CD1">
        <w:t>ly</w:t>
      </w:r>
      <w:r w:rsidRPr="000F6CD1">
        <w:t xml:space="preserve"> safe assessments are everyone’s responsibility.</w:t>
      </w:r>
      <w:r w:rsidR="005C513B" w:rsidRPr="000F6CD1">
        <w:t xml:space="preserve"> </w:t>
      </w:r>
      <w:r w:rsidR="00FC36C3" w:rsidRPr="000F6CD1">
        <w:t xml:space="preserve">All </w:t>
      </w:r>
      <w:r w:rsidR="008D5483" w:rsidRPr="000F6CD1">
        <w:t xml:space="preserve">organisations within the </w:t>
      </w:r>
      <w:r w:rsidR="00AF2D11" w:rsidRPr="000F6CD1">
        <w:t xml:space="preserve">Single Assessment </w:t>
      </w:r>
      <w:r w:rsidR="00CD1491" w:rsidRPr="000F6CD1">
        <w:t xml:space="preserve">System </w:t>
      </w:r>
      <w:r w:rsidR="00750B85" w:rsidRPr="000F6CD1">
        <w:t xml:space="preserve">are </w:t>
      </w:r>
      <w:r w:rsidR="000C2671" w:rsidRPr="000F6CD1">
        <w:t xml:space="preserve">accountable </w:t>
      </w:r>
      <w:r w:rsidR="00750B85" w:rsidRPr="000F6CD1">
        <w:t>for</w:t>
      </w:r>
      <w:r w:rsidR="009263F9" w:rsidRPr="000F6CD1">
        <w:t xml:space="preserve"> ensuring assessments are culturally </w:t>
      </w:r>
      <w:r w:rsidR="00750B85" w:rsidRPr="000F6CD1">
        <w:t>safe</w:t>
      </w:r>
      <w:r w:rsidR="00DE4140" w:rsidRPr="000F6CD1">
        <w:t xml:space="preserve">. </w:t>
      </w:r>
    </w:p>
    <w:p w14:paraId="4BB02E61" w14:textId="5766D203" w:rsidR="00446280" w:rsidRPr="000F6CD1" w:rsidRDefault="00446280" w:rsidP="00856600">
      <w:pPr>
        <w:spacing w:before="240" w:after="240" w:line="240" w:lineRule="auto"/>
      </w:pPr>
      <w:r w:rsidRPr="000F6CD1">
        <w:t xml:space="preserve">As Aboriginal and Torres Strait Islander </w:t>
      </w:r>
      <w:r w:rsidR="003C4664" w:rsidRPr="000F6CD1">
        <w:t>assessment organisations</w:t>
      </w:r>
      <w:r w:rsidRPr="000F6CD1">
        <w:t xml:space="preserve"> are embedded within communities, these organisations </w:t>
      </w:r>
      <w:r w:rsidR="484412BD" w:rsidRPr="000F6CD1">
        <w:t xml:space="preserve">are well </w:t>
      </w:r>
      <w:r w:rsidRPr="000F6CD1">
        <w:t xml:space="preserve">placed as trusted intermediaries to inform </w:t>
      </w:r>
      <w:r w:rsidR="5671484E" w:rsidRPr="000F6CD1">
        <w:t xml:space="preserve">their </w:t>
      </w:r>
      <w:r w:rsidRPr="000F6CD1">
        <w:t xml:space="preserve">communities about the Aboriginal and Torres Strait Islander Assessment pathway through </w:t>
      </w:r>
      <w:r w:rsidR="00B05528" w:rsidRPr="000F6CD1">
        <w:t xml:space="preserve">communication </w:t>
      </w:r>
      <w:r w:rsidRPr="000F6CD1">
        <w:t xml:space="preserve">channels </w:t>
      </w:r>
      <w:r w:rsidR="0021795F" w:rsidRPr="000F6CD1">
        <w:t xml:space="preserve">that best </w:t>
      </w:r>
      <w:r w:rsidRPr="000F6CD1">
        <w:t xml:space="preserve">suit the community. </w:t>
      </w:r>
    </w:p>
    <w:p w14:paraId="183692E3" w14:textId="66145D4A" w:rsidR="00446280" w:rsidRPr="000F6CD1" w:rsidRDefault="134C10BE" w:rsidP="00856600">
      <w:pPr>
        <w:spacing w:before="240" w:after="240" w:line="240" w:lineRule="auto"/>
      </w:pPr>
      <w:r w:rsidRPr="000F6CD1">
        <w:lastRenderedPageBreak/>
        <w:t xml:space="preserve">To support </w:t>
      </w:r>
      <w:r w:rsidR="6BF48887" w:rsidRPr="000F6CD1">
        <w:t xml:space="preserve">all </w:t>
      </w:r>
      <w:r w:rsidRPr="000F6CD1">
        <w:t>a</w:t>
      </w:r>
      <w:r w:rsidR="00446280" w:rsidRPr="000F6CD1">
        <w:t xml:space="preserve">ssessment </w:t>
      </w:r>
      <w:r w:rsidR="00B5045A" w:rsidRPr="000F6CD1">
        <w:t>organisations</w:t>
      </w:r>
      <w:r w:rsidR="00FD704E" w:rsidRPr="000F6CD1">
        <w:t>,</w:t>
      </w:r>
      <w:r w:rsidR="00B5045A" w:rsidRPr="000F6CD1">
        <w:t xml:space="preserve"> communications</w:t>
      </w:r>
      <w:r w:rsidR="00446280" w:rsidRPr="000F6CD1">
        <w:t xml:space="preserve"> products developed by the Department </w:t>
      </w:r>
      <w:r w:rsidR="4CD44DAC" w:rsidRPr="000F6CD1">
        <w:t>can be adapted to suit community</w:t>
      </w:r>
      <w:r w:rsidR="00B24EB8" w:rsidRPr="000F6CD1">
        <w:t>.</w:t>
      </w:r>
      <w:r w:rsidR="4CD44DAC" w:rsidRPr="000F6CD1">
        <w:t xml:space="preserve"> </w:t>
      </w:r>
      <w:r w:rsidR="00B5045A" w:rsidRPr="000F6CD1">
        <w:t>Products could</w:t>
      </w:r>
      <w:r w:rsidR="00446280" w:rsidRPr="000F6CD1">
        <w:t xml:space="preserve"> include: </w:t>
      </w:r>
    </w:p>
    <w:p w14:paraId="00ADCAA3" w14:textId="77777777" w:rsidR="00446280" w:rsidRPr="000F6CD1" w:rsidRDefault="00446280" w:rsidP="00DF3F6B">
      <w:pPr>
        <w:pStyle w:val="ListParagraph"/>
        <w:numPr>
          <w:ilvl w:val="0"/>
          <w:numId w:val="442"/>
        </w:numPr>
        <w:spacing w:before="240" w:after="240" w:line="240" w:lineRule="auto"/>
        <w:ind w:left="357" w:hanging="357"/>
      </w:pPr>
      <w:r w:rsidRPr="000F6CD1">
        <w:t>A website with more information about Aboriginal and Torres Strait Islander assessment to refer to</w:t>
      </w:r>
    </w:p>
    <w:p w14:paraId="26437D39" w14:textId="77777777" w:rsidR="00446280" w:rsidRPr="000F6CD1" w:rsidRDefault="00446280" w:rsidP="00DF3F6B">
      <w:pPr>
        <w:pStyle w:val="ListParagraph"/>
        <w:numPr>
          <w:ilvl w:val="0"/>
          <w:numId w:val="442"/>
        </w:numPr>
        <w:spacing w:before="240" w:after="240" w:line="240" w:lineRule="auto"/>
      </w:pPr>
      <w:r w:rsidRPr="000F6CD1">
        <w:t>Scripts that can be turned into radio content, or videos using local leaders</w:t>
      </w:r>
    </w:p>
    <w:p w14:paraId="0627BB6B" w14:textId="77777777" w:rsidR="00446280" w:rsidRPr="000F6CD1" w:rsidRDefault="00446280" w:rsidP="00DF3F6B">
      <w:pPr>
        <w:pStyle w:val="ListParagraph"/>
        <w:numPr>
          <w:ilvl w:val="0"/>
          <w:numId w:val="442"/>
        </w:numPr>
        <w:spacing w:before="240" w:after="240" w:line="240" w:lineRule="auto"/>
      </w:pPr>
      <w:r w:rsidRPr="000F6CD1">
        <w:t>Social media tiles that can be shared on organisations platform</w:t>
      </w:r>
    </w:p>
    <w:p w14:paraId="3D4DB054" w14:textId="77777777" w:rsidR="00446280" w:rsidRPr="000F6CD1" w:rsidRDefault="00446280" w:rsidP="00DF3F6B">
      <w:pPr>
        <w:pStyle w:val="ListParagraph"/>
        <w:numPr>
          <w:ilvl w:val="0"/>
          <w:numId w:val="442"/>
        </w:numPr>
        <w:spacing w:before="240" w:after="240" w:line="240" w:lineRule="auto"/>
      </w:pPr>
      <w:r w:rsidRPr="000F6CD1">
        <w:t>Printed products that can be used to generate interest in the service</w:t>
      </w:r>
    </w:p>
    <w:p w14:paraId="68726E67" w14:textId="0721E62E" w:rsidR="00446280" w:rsidRPr="000F6CD1" w:rsidRDefault="00446280" w:rsidP="00AD2CE5">
      <w:pPr>
        <w:pStyle w:val="H3"/>
      </w:pPr>
      <w:r w:rsidRPr="000F6CD1">
        <w:t xml:space="preserve"> </w:t>
      </w:r>
      <w:r w:rsidR="745B1C79" w:rsidRPr="000F6CD1">
        <w:t>S</w:t>
      </w:r>
      <w:r w:rsidRPr="000F6CD1">
        <w:t>upport</w:t>
      </w:r>
      <w:r w:rsidR="63D392FC" w:rsidRPr="000F6CD1">
        <w:t>ing</w:t>
      </w:r>
      <w:r w:rsidRPr="000F6CD1">
        <w:t xml:space="preserve"> the broader roll out of Aboriginal and Torres Strait Islander Assessment Organisations</w:t>
      </w:r>
    </w:p>
    <w:p w14:paraId="09024C86" w14:textId="1B3E393C" w:rsidR="00446280" w:rsidRPr="000F6CD1" w:rsidRDefault="00446280" w:rsidP="00856600">
      <w:pPr>
        <w:spacing w:before="240" w:after="240" w:line="240" w:lineRule="auto"/>
      </w:pPr>
      <w:r w:rsidRPr="000F6CD1">
        <w:t xml:space="preserve">Aboriginal and Torres Strait Islander </w:t>
      </w:r>
      <w:r w:rsidR="003C4664" w:rsidRPr="000F6CD1">
        <w:t>assessment organisations</w:t>
      </w:r>
      <w:r w:rsidRPr="000F6CD1">
        <w:t xml:space="preserve"> participating in the first phase of the implementation of the workforce </w:t>
      </w:r>
      <w:r w:rsidR="4AB88F92" w:rsidRPr="000F6CD1">
        <w:t xml:space="preserve">will </w:t>
      </w:r>
      <w:r w:rsidRPr="000F6CD1">
        <w:t xml:space="preserve">assist and </w:t>
      </w:r>
      <w:r w:rsidR="00B5045A" w:rsidRPr="000F6CD1">
        <w:t>inform the</w:t>
      </w:r>
      <w:r w:rsidRPr="000F6CD1">
        <w:t xml:space="preserve"> </w:t>
      </w:r>
      <w:r w:rsidR="001B52CB" w:rsidRPr="000F6CD1">
        <w:t xml:space="preserve">department’s </w:t>
      </w:r>
      <w:r w:rsidRPr="000F6CD1">
        <w:t xml:space="preserve">planning for future phases of the implementation. </w:t>
      </w:r>
    </w:p>
    <w:p w14:paraId="1E9E9B0B" w14:textId="30EB0417" w:rsidR="001A157F" w:rsidRPr="000F6CD1" w:rsidRDefault="00446280" w:rsidP="008E335B">
      <w:pPr>
        <w:spacing w:before="240" w:after="240" w:line="240" w:lineRule="auto"/>
      </w:pPr>
      <w:r w:rsidRPr="000F6CD1">
        <w:t xml:space="preserve">These </w:t>
      </w:r>
      <w:r w:rsidR="76067F27" w:rsidRPr="000F6CD1">
        <w:t>organisations and broader community engagement will provide advice</w:t>
      </w:r>
      <w:r w:rsidR="15257FE7" w:rsidRPr="000F6CD1">
        <w:t>,</w:t>
      </w:r>
      <w:r w:rsidR="007252F6" w:rsidRPr="000F6CD1">
        <w:t xml:space="preserve"> </w:t>
      </w:r>
      <w:r w:rsidRPr="000F6CD1">
        <w:t>input</w:t>
      </w:r>
      <w:r w:rsidR="6FE7B3BD" w:rsidRPr="000F6CD1">
        <w:t xml:space="preserve"> and</w:t>
      </w:r>
      <w:r w:rsidRPr="000F6CD1">
        <w:t xml:space="preserve"> feedback regarding the </w:t>
      </w:r>
      <w:r w:rsidR="3C4F7712" w:rsidRPr="000F6CD1">
        <w:t xml:space="preserve">cultural appropriateness of the </w:t>
      </w:r>
      <w:r w:rsidR="002C46B7" w:rsidRPr="000F6CD1">
        <w:t>aged care</w:t>
      </w:r>
      <w:r w:rsidRPr="000F6CD1">
        <w:t xml:space="preserve"> </w:t>
      </w:r>
      <w:r w:rsidR="002C46B7" w:rsidRPr="000F6CD1">
        <w:t>needs assessment</w:t>
      </w:r>
      <w:r w:rsidRPr="000F6CD1">
        <w:t xml:space="preserve"> process, including time dedicated to community engagement and case management for assisting older Aboriginal and Torres Strait Islander people in their </w:t>
      </w:r>
      <w:r w:rsidR="002C46B7" w:rsidRPr="000F6CD1">
        <w:t>aged care</w:t>
      </w:r>
      <w:r w:rsidRPr="000F6CD1">
        <w:t xml:space="preserve"> </w:t>
      </w:r>
      <w:r w:rsidR="002C46B7" w:rsidRPr="000F6CD1">
        <w:t xml:space="preserve">assessment </w:t>
      </w:r>
      <w:r w:rsidRPr="000F6CD1">
        <w:t>journey</w:t>
      </w:r>
      <w:r w:rsidR="59C64138" w:rsidRPr="000F6CD1">
        <w:t>.</w:t>
      </w:r>
    </w:p>
    <w:p w14:paraId="345FD187" w14:textId="22C55261" w:rsidR="00ED631B" w:rsidRPr="000F6CD1" w:rsidRDefault="00C56393" w:rsidP="006647CE">
      <w:pPr>
        <w:pStyle w:val="h2"/>
      </w:pPr>
      <w:bookmarkStart w:id="141" w:name="_Toc233282419"/>
      <w:r w:rsidRPr="000F6CD1">
        <w:t>T</w:t>
      </w:r>
      <w:r w:rsidR="00ED631B" w:rsidRPr="000F6CD1">
        <w:t>raining requirements</w:t>
      </w:r>
      <w:bookmarkEnd w:id="135"/>
      <w:bookmarkEnd w:id="136"/>
      <w:bookmarkEnd w:id="137"/>
      <w:r w:rsidRPr="000F6CD1">
        <w:t xml:space="preserve"> for </w:t>
      </w:r>
      <w:r w:rsidR="004C6BE3" w:rsidRPr="000F6CD1">
        <w:t>a</w:t>
      </w:r>
      <w:r w:rsidRPr="000F6CD1">
        <w:t xml:space="preserve">ssessment </w:t>
      </w:r>
      <w:r w:rsidR="004C6BE3" w:rsidRPr="000F6CD1">
        <w:t>teams</w:t>
      </w:r>
      <w:bookmarkEnd w:id="138"/>
      <w:bookmarkEnd w:id="141"/>
    </w:p>
    <w:p w14:paraId="795BD2A4" w14:textId="57CEC9A3" w:rsidR="00601F52" w:rsidRPr="000F6CD1" w:rsidRDefault="00ED631B" w:rsidP="00856600">
      <w:pPr>
        <w:spacing w:before="240" w:after="240" w:line="240" w:lineRule="auto"/>
      </w:pPr>
      <w:bookmarkStart w:id="142" w:name="_Hlk131165099"/>
      <w:r w:rsidRPr="000F6CD1">
        <w:t xml:space="preserve">The </w:t>
      </w:r>
      <w:r w:rsidR="00F50C2F" w:rsidRPr="000F6CD1">
        <w:t xml:space="preserve">My Aged Care Workforce Learning Strategy </w:t>
      </w:r>
      <w:r w:rsidR="00211776" w:rsidRPr="000F6CD1">
        <w:t>v1.5</w:t>
      </w:r>
      <w:r w:rsidR="007D5C62" w:rsidRPr="000F6CD1">
        <w:t xml:space="preserve"> </w:t>
      </w:r>
      <w:r w:rsidRPr="000F6CD1">
        <w:t xml:space="preserve">(Workforce Learning Strategy), defines and sets the </w:t>
      </w:r>
      <w:r w:rsidR="00601F52" w:rsidRPr="000F6CD1">
        <w:t>mandatory</w:t>
      </w:r>
      <w:r w:rsidR="00854FFC" w:rsidRPr="000F6CD1">
        <w:t>,</w:t>
      </w:r>
      <w:r w:rsidRPr="000F6CD1">
        <w:t xml:space="preserve"> minimum training requirement for the Single Assessment System workforce and the My Aged Care workforce, including timeframes for completion. </w:t>
      </w:r>
      <w:r w:rsidR="00601F52" w:rsidRPr="000F6CD1">
        <w:t xml:space="preserve">Training occurs as part of the staff members induction into the assessment organisation. Some roles have mandatory credential requirements. Details of these </w:t>
      </w:r>
      <w:r w:rsidR="4F44890B" w:rsidRPr="000F6CD1">
        <w:t>qualification</w:t>
      </w:r>
      <w:r w:rsidR="00601F52" w:rsidRPr="000F6CD1">
        <w:t xml:space="preserve"> requirements are provided in </w:t>
      </w:r>
      <w:r w:rsidR="00CE2ABA" w:rsidRPr="000F6CD1">
        <w:t xml:space="preserve">Appendix </w:t>
      </w:r>
      <w:r w:rsidR="00471131" w:rsidRPr="000F6CD1">
        <w:t>F</w:t>
      </w:r>
      <w:r w:rsidR="00601F52" w:rsidRPr="000F6CD1">
        <w:t xml:space="preserve">. The assessment organisation is responsible for validating that each person has the required </w:t>
      </w:r>
      <w:r w:rsidR="3077D119" w:rsidRPr="000F6CD1">
        <w:t xml:space="preserve">qualifications </w:t>
      </w:r>
      <w:r w:rsidR="00601F52" w:rsidRPr="000F6CD1">
        <w:t xml:space="preserve">for their role before requesting registration for training. </w:t>
      </w:r>
    </w:p>
    <w:p w14:paraId="2ADE2AD6" w14:textId="2D74F44C" w:rsidR="00ED631B" w:rsidRPr="000F6CD1" w:rsidRDefault="00601F52" w:rsidP="00856600">
      <w:pPr>
        <w:spacing w:before="240" w:after="240" w:line="240" w:lineRule="auto"/>
      </w:pPr>
      <w:r w:rsidRPr="000F6CD1">
        <w:t xml:space="preserve">The department and assessment organisations are jointly responsible for training assessment organisation staff. </w:t>
      </w:r>
      <w:r w:rsidR="00ED631B" w:rsidRPr="000F6CD1">
        <w:t xml:space="preserve">The Workforce Learning Strategy explains the blended approach to mandatory training requirements including on-line training, on-the-job learning and learner appraisal. This approach also acknowledges existing knowledge and skills of the workforce, and that learning is ongoing. </w:t>
      </w:r>
    </w:p>
    <w:p w14:paraId="34DDF0FE" w14:textId="0E0C5436" w:rsidR="008E335B" w:rsidRDefault="00ED631B" w:rsidP="00856600">
      <w:pPr>
        <w:spacing w:before="240" w:after="240" w:line="240" w:lineRule="auto"/>
        <w:rPr>
          <w:lang w:eastAsia="en-US"/>
        </w:rPr>
      </w:pPr>
      <w:r w:rsidRPr="000F6CD1">
        <w:t xml:space="preserve">To complement the Workforce Learning Strategy, a </w:t>
      </w:r>
      <w:r w:rsidR="00F50C2F" w:rsidRPr="000F6CD1">
        <w:t>My Aged Care Quality Learning Framework</w:t>
      </w:r>
      <w:r w:rsidRPr="000F6CD1">
        <w:t xml:space="preserve"> </w:t>
      </w:r>
      <w:r w:rsidRPr="000F6CD1">
        <w:rPr>
          <w:lang w:eastAsia="en-US"/>
        </w:rPr>
        <w:t>establishes processes by which the My Aged Care workforce can attain and maintain the capabilities they require, including the mechanisms by which capabilities are verified through on-line learning, on-the-job training, and learner appraisals. It defines the</w:t>
      </w:r>
      <w:r w:rsidR="00F50C2F" w:rsidRPr="000F6CD1">
        <w:rPr>
          <w:lang w:eastAsia="en-US"/>
        </w:rPr>
        <w:t xml:space="preserve"> learning</w:t>
      </w:r>
      <w:r w:rsidRPr="000F6CD1">
        <w:rPr>
          <w:lang w:eastAsia="en-US"/>
        </w:rPr>
        <w:t xml:space="preserve"> quality standards and guidelines that govern the implementation of the minimum training requirements through a blended model of learning and training.</w:t>
      </w:r>
      <w:bookmarkEnd w:id="142"/>
    </w:p>
    <w:p w14:paraId="734A8CE6" w14:textId="4B786DA9" w:rsidR="008E7F44" w:rsidRPr="000F6CD1" w:rsidRDefault="008E335B" w:rsidP="008E335B">
      <w:pPr>
        <w:rPr>
          <w:lang w:eastAsia="en-US"/>
        </w:rPr>
      </w:pPr>
      <w:r>
        <w:rPr>
          <w:lang w:eastAsia="en-US"/>
        </w:rPr>
        <w:br w:type="page"/>
      </w:r>
    </w:p>
    <w:p w14:paraId="2532880F" w14:textId="69F46E76" w:rsidR="00ED631B" w:rsidRPr="000F6CD1" w:rsidRDefault="00C12639" w:rsidP="00AD2CE5">
      <w:pPr>
        <w:pStyle w:val="H3"/>
      </w:pPr>
      <w:r w:rsidRPr="000F6CD1">
        <w:rPr>
          <w:bCs w:val="0"/>
          <w:lang w:val="en-AU"/>
        </w:rPr>
        <w:lastRenderedPageBreak/>
        <w:drawing>
          <wp:anchor distT="0" distB="0" distL="114300" distR="114300" simplePos="0" relativeHeight="251658353" behindDoc="0" locked="0" layoutInCell="1" allowOverlap="1" wp14:anchorId="4BF6B8FA" wp14:editId="57F18B1D">
            <wp:simplePos x="0" y="0"/>
            <wp:positionH relativeFrom="margin">
              <wp:align>left</wp:align>
            </wp:positionH>
            <wp:positionV relativeFrom="paragraph">
              <wp:posOffset>287</wp:posOffset>
            </wp:positionV>
            <wp:extent cx="457200" cy="502920"/>
            <wp:effectExtent l="0" t="0" r="0" b="0"/>
            <wp:wrapSquare wrapText="bothSides"/>
            <wp:docPr id="289492379" name="Picture 289492379"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ED631B" w:rsidRPr="000F6CD1">
        <w:t xml:space="preserve">Training </w:t>
      </w:r>
      <w:r w:rsidR="004672E5" w:rsidRPr="000F6CD1">
        <w:t>d</w:t>
      </w:r>
      <w:r w:rsidR="00ED631B" w:rsidRPr="000F6CD1">
        <w:t>elivery</w:t>
      </w:r>
    </w:p>
    <w:p w14:paraId="1E9A64BE" w14:textId="1F61889F" w:rsidR="00ED631B" w:rsidRPr="000F6CD1" w:rsidRDefault="00ED631B" w:rsidP="00856600">
      <w:pPr>
        <w:spacing w:before="240" w:after="240" w:line="240" w:lineRule="auto"/>
      </w:pPr>
      <w:r w:rsidRPr="000F6CD1">
        <w:t xml:space="preserve">Assessment organisations are responsible for ensuring their workforce undertake relevant minimum mandatory training requirements. </w:t>
      </w:r>
      <w:r w:rsidRPr="000F6CD1">
        <w:rPr>
          <w:rStyle w:val="Hyperlink"/>
          <w:rFonts w:eastAsia="Calibri" w:cs="Times New Roman"/>
          <w:color w:val="000000" w:themeColor="text1"/>
          <w:u w:val="none"/>
          <w:lang w:eastAsia="en-US"/>
        </w:rPr>
        <w:t>Learners must complete the training that is relevant to their role</w:t>
      </w:r>
      <w:r w:rsidR="00845C70" w:rsidRPr="000F6CD1">
        <w:rPr>
          <w:rStyle w:val="Hyperlink"/>
          <w:rFonts w:eastAsia="Calibri" w:cs="Times New Roman"/>
          <w:color w:val="000000" w:themeColor="text1"/>
          <w:u w:val="none"/>
          <w:lang w:eastAsia="en-US"/>
        </w:rPr>
        <w:t>, and all roles held (if multiple)</w:t>
      </w:r>
      <w:r w:rsidRPr="000F6CD1">
        <w:rPr>
          <w:rStyle w:val="Hyperlink"/>
          <w:rFonts w:eastAsia="Calibri" w:cs="Times New Roman"/>
          <w:color w:val="000000" w:themeColor="text1"/>
          <w:u w:val="none"/>
          <w:lang w:eastAsia="en-US"/>
        </w:rPr>
        <w:t xml:space="preserve">. Training is only available to people who are working in an assessment organisation that delivers that service. The department will consider exceptions for operational requirements. To find out more email </w:t>
      </w:r>
      <w:hyperlink r:id="rId59">
        <w:r w:rsidRPr="000F6CD1">
          <w:rPr>
            <w:rStyle w:val="Hyperlink"/>
            <w:rFonts w:eastAsia="Calibri" w:cs="Times New Roman"/>
            <w:u w:val="none"/>
            <w:lang w:eastAsia="en-US"/>
          </w:rPr>
          <w:t>myagedcare.capability@health.gov.au</w:t>
        </w:r>
      </w:hyperlink>
    </w:p>
    <w:p w14:paraId="5FCE4D05" w14:textId="67BBEF60" w:rsidR="00CE44D1" w:rsidRPr="000F6CD1" w:rsidRDefault="00CE44D1" w:rsidP="00CE44D1">
      <w:pPr>
        <w:spacing w:before="240" w:after="240" w:line="240" w:lineRule="auto"/>
        <w:rPr>
          <w:rStyle w:val="Hyperlink"/>
          <w:rFonts w:eastAsia="Calibri" w:cs="Times New Roman"/>
          <w:lang w:eastAsia="en-US"/>
        </w:rPr>
      </w:pPr>
      <w:r w:rsidRPr="00A37E9C">
        <w:rPr>
          <w:lang w:eastAsia="en-US"/>
        </w:rPr>
        <w:t>Aboriginal and Torres Strait Islander Assessment Organisations participating in the pilot are responsible for ensuring their workforce is ready to deliver assessment activities. Flexible training approaches may be applied, as appropriate, to support their establishment and ongoing operation.</w:t>
      </w:r>
    </w:p>
    <w:p w14:paraId="241796D4" w14:textId="77777777" w:rsidR="00ED631B" w:rsidRPr="000F6CD1" w:rsidRDefault="00ED631B" w:rsidP="00856600">
      <w:pPr>
        <w:spacing w:before="240" w:after="240" w:line="240" w:lineRule="auto"/>
      </w:pPr>
      <w:r w:rsidRPr="000F6CD1">
        <w:t xml:space="preserve">The department delivers learning and supports training through a learning management system called MAClearning. The MAClearning platform supports delivery of minimum training requirements described in the Workforce Learning Strategy, supported by guides that outline the requirements for successful completion. </w:t>
      </w:r>
    </w:p>
    <w:p w14:paraId="380219A2" w14:textId="5C29A749" w:rsidR="00ED631B" w:rsidRPr="000F6CD1" w:rsidRDefault="00ED631B" w:rsidP="00856600">
      <w:pPr>
        <w:spacing w:before="240" w:after="240" w:line="240" w:lineRule="auto"/>
      </w:pPr>
      <w:r w:rsidRPr="000F6CD1">
        <w:t xml:space="preserve">Access to MAClearning is provided by the department. Workplace trainers and operational managers are responsible for providing the details of new learners to the department for registration on MAClearning. Registration requests should be sent to </w:t>
      </w:r>
      <w:hyperlink r:id="rId60">
        <w:r w:rsidRPr="000F6CD1">
          <w:rPr>
            <w:rStyle w:val="Hyperlink"/>
          </w:rPr>
          <w:t>maclearninghelp@Health.gov.au</w:t>
        </w:r>
      </w:hyperlink>
      <w:r w:rsidRPr="000F6CD1">
        <w:t>.</w:t>
      </w:r>
    </w:p>
    <w:p w14:paraId="439E34CB" w14:textId="77777777" w:rsidR="00ED631B" w:rsidRPr="000F6CD1" w:rsidRDefault="00ED631B" w:rsidP="00856600">
      <w:pPr>
        <w:spacing w:before="240" w:after="240" w:line="240" w:lineRule="auto"/>
      </w:pPr>
      <w:r w:rsidRPr="000F6CD1">
        <w:t xml:space="preserve">Delegates are also required to complete specified delegate training through the MAClearning system. </w:t>
      </w:r>
    </w:p>
    <w:p w14:paraId="275C1A87" w14:textId="77777777" w:rsidR="00ED631B" w:rsidRPr="000F6CD1" w:rsidRDefault="00ED631B" w:rsidP="00856600">
      <w:pPr>
        <w:spacing w:before="240" w:after="240" w:line="240" w:lineRule="auto"/>
      </w:pPr>
      <w:r w:rsidRPr="000F6CD1">
        <w:t xml:space="preserve">From time to time, the department may require assessors to undertake additional training when changes are made to programs, policies or processes. Generally, this training will be provided through MAClearning. </w:t>
      </w:r>
    </w:p>
    <w:tbl>
      <w:tblPr>
        <w:tblW w:w="0" w:type="auto"/>
        <w:tblLook w:val="04A0" w:firstRow="1" w:lastRow="0" w:firstColumn="1" w:lastColumn="0" w:noHBand="0" w:noVBand="1"/>
      </w:tblPr>
      <w:tblGrid>
        <w:gridCol w:w="981"/>
        <w:gridCol w:w="7785"/>
      </w:tblGrid>
      <w:tr w:rsidR="00ED631B" w:rsidRPr="000F6CD1" w14:paraId="7DE214AC" w14:textId="77777777">
        <w:tc>
          <w:tcPr>
            <w:tcW w:w="988" w:type="dxa"/>
          </w:tcPr>
          <w:p w14:paraId="13726B29" w14:textId="77777777" w:rsidR="00ED631B" w:rsidRPr="000F6CD1" w:rsidRDefault="00ED631B" w:rsidP="00856600">
            <w:pPr>
              <w:spacing w:before="240" w:after="240" w:line="240" w:lineRule="auto"/>
            </w:pPr>
            <w:r w:rsidRPr="000F6CD1">
              <w:rPr>
                <w:noProof/>
              </w:rPr>
              <w:drawing>
                <wp:inline distT="0" distB="0" distL="0" distR="0" wp14:anchorId="0AB5FBE1" wp14:editId="60E85B5C">
                  <wp:extent cx="383111" cy="381000"/>
                  <wp:effectExtent l="0" t="0" r="0" b="0"/>
                  <wp:docPr id="2032758151" name="Picture 203275815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58151" name="Picture 2032758151"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2785CDA0" w14:textId="3249AA1E" w:rsidR="00ED631B" w:rsidRPr="000F6CD1" w:rsidRDefault="00ED631B" w:rsidP="00856600">
            <w:pPr>
              <w:pStyle w:val="ListParagraph"/>
              <w:numPr>
                <w:ilvl w:val="0"/>
                <w:numId w:val="40"/>
              </w:numPr>
              <w:spacing w:before="240" w:after="240" w:line="240" w:lineRule="auto"/>
              <w:rPr>
                <w:szCs w:val="22"/>
              </w:rPr>
            </w:pPr>
            <w:hyperlink r:id="rId61" w:history="1">
              <w:r w:rsidRPr="000F6CD1">
                <w:rPr>
                  <w:rStyle w:val="Hyperlink"/>
                  <w:szCs w:val="22"/>
                </w:rPr>
                <w:t xml:space="preserve">My Aged Care Workforce Learning Strategy </w:t>
              </w:r>
            </w:hyperlink>
            <w:r w:rsidRPr="000F6CD1">
              <w:rPr>
                <w:szCs w:val="22"/>
              </w:rPr>
              <w:t xml:space="preserve">  </w:t>
            </w:r>
          </w:p>
          <w:p w14:paraId="30C482FE" w14:textId="1F8AAAEF" w:rsidR="00ED631B" w:rsidRPr="00A37E9C" w:rsidRDefault="00ED631B" w:rsidP="00A37E9C">
            <w:pPr>
              <w:pStyle w:val="ListParagraph"/>
              <w:numPr>
                <w:ilvl w:val="0"/>
                <w:numId w:val="40"/>
              </w:numPr>
              <w:spacing w:before="240" w:after="240" w:line="240" w:lineRule="auto"/>
              <w:rPr>
                <w:szCs w:val="22"/>
              </w:rPr>
            </w:pPr>
            <w:hyperlink r:id="rId62" w:history="1">
              <w:r w:rsidRPr="000F6CD1">
                <w:rPr>
                  <w:rStyle w:val="Hyperlink"/>
                  <w:szCs w:val="22"/>
                </w:rPr>
                <w:t>My Aged Care Quality Learning Framework</w:t>
              </w:r>
            </w:hyperlink>
          </w:p>
        </w:tc>
      </w:tr>
    </w:tbl>
    <w:p w14:paraId="67061B2A" w14:textId="77777777" w:rsidR="00ED631B" w:rsidRPr="000F6CD1" w:rsidRDefault="00ED631B" w:rsidP="006647CE">
      <w:pPr>
        <w:pStyle w:val="h2"/>
      </w:pPr>
      <w:bookmarkStart w:id="143" w:name="_Assessment_Quality"/>
      <w:bookmarkStart w:id="144" w:name="_Toc184402256"/>
      <w:bookmarkStart w:id="145" w:name="_Toc204329499"/>
      <w:bookmarkStart w:id="146" w:name="_Toc209188953"/>
      <w:bookmarkStart w:id="147" w:name="_Toc233282420"/>
      <w:bookmarkStart w:id="148" w:name="_Toc198813648"/>
      <w:bookmarkStart w:id="149" w:name="CH1_AssessmentQuality"/>
      <w:bookmarkEnd w:id="139"/>
      <w:bookmarkEnd w:id="140"/>
      <w:bookmarkEnd w:id="143"/>
      <w:r w:rsidRPr="000F6CD1">
        <w:t>The single assessment pathway</w:t>
      </w:r>
      <w:bookmarkEnd w:id="144"/>
      <w:bookmarkEnd w:id="145"/>
      <w:bookmarkEnd w:id="146"/>
      <w:bookmarkEnd w:id="147"/>
    </w:p>
    <w:p w14:paraId="704D0E65" w14:textId="4EBB1908" w:rsidR="00ED631B" w:rsidRPr="000F6CD1" w:rsidRDefault="00ED631B" w:rsidP="00856600">
      <w:pPr>
        <w:pStyle w:val="NumberedList"/>
        <w:spacing w:before="240" w:after="240" w:line="240" w:lineRule="auto"/>
        <w:rPr>
          <w:lang w:val="en-AU"/>
        </w:rPr>
      </w:pPr>
      <w:r w:rsidRPr="000F6CD1">
        <w:rPr>
          <w:lang w:val="en-AU"/>
        </w:rPr>
        <w:t xml:space="preserve">On entry into My Aged Care, an assessment referral is made (following screening) to an assessment organisation for the older person. Once an assessment referral has been accepted by an assessment organisation, </w:t>
      </w:r>
      <w:r w:rsidR="00516348" w:rsidRPr="000F6CD1">
        <w:rPr>
          <w:lang w:val="en-AU"/>
        </w:rPr>
        <w:t>older people</w:t>
      </w:r>
      <w:r w:rsidR="00976FFC" w:rsidRPr="000F6CD1">
        <w:rPr>
          <w:lang w:val="en-AU"/>
        </w:rPr>
        <w:t>’s</w:t>
      </w:r>
      <w:r w:rsidRPr="000F6CD1">
        <w:rPr>
          <w:lang w:val="en-AU"/>
        </w:rPr>
        <w:t xml:space="preserve"> care needs will be triaged by a clinically trained Triage Delegate who will make a decision on a person’s eligibility for an aged care needs assessment and, if eligible, ensure that the assessment type they are referred to is proportionate to their needs and level of complexity. </w:t>
      </w:r>
    </w:p>
    <w:p w14:paraId="1F942A48" w14:textId="6535FC78" w:rsidR="00927035" w:rsidRPr="000F6CD1" w:rsidRDefault="11D1E7D4" w:rsidP="00856600">
      <w:pPr>
        <w:spacing w:before="240" w:after="240" w:line="240" w:lineRule="auto"/>
      </w:pPr>
      <w:r w:rsidRPr="000F6CD1">
        <w:t xml:space="preserve">Upon accepting an assessment referral, </w:t>
      </w:r>
      <w:r w:rsidR="630846CE" w:rsidRPr="000F6CD1">
        <w:t xml:space="preserve">assessment organisations </w:t>
      </w:r>
      <w:r w:rsidRPr="000F6CD1">
        <w:t>are expected to actively engage with the older person as well as their support networks. This may include</w:t>
      </w:r>
      <w:r w:rsidR="1474CCBB" w:rsidRPr="000F6CD1">
        <w:t>,</w:t>
      </w:r>
      <w:r w:rsidRPr="000F6CD1">
        <w:t xml:space="preserve"> but </w:t>
      </w:r>
      <w:r w:rsidR="1474CCBB" w:rsidRPr="000F6CD1">
        <w:t xml:space="preserve">is </w:t>
      </w:r>
      <w:r w:rsidRPr="000F6CD1">
        <w:t xml:space="preserve">not limited to, Elder Care Support </w:t>
      </w:r>
      <w:r w:rsidR="28DB2DB3" w:rsidRPr="000F6CD1">
        <w:t>s</w:t>
      </w:r>
      <w:r w:rsidRPr="000F6CD1">
        <w:t>taff, care finders, aged care providers, GPs, Aboriginal Community Controlled Health Organisations, social workers, and other relevant parties who may have facilitated the older person to access the aged care system</w:t>
      </w:r>
      <w:r w:rsidR="345104FF" w:rsidRPr="000F6CD1">
        <w:t>. This engagement aims to</w:t>
      </w:r>
      <w:r w:rsidR="785F3607" w:rsidRPr="000F6CD1">
        <w:t xml:space="preserve"> develop</w:t>
      </w:r>
      <w:r w:rsidR="16AF25B0" w:rsidRPr="000F6CD1">
        <w:t xml:space="preserve"> </w:t>
      </w:r>
      <w:r w:rsidR="00BB197E" w:rsidRPr="000F6CD1">
        <w:t>a comprehensive</w:t>
      </w:r>
      <w:r w:rsidRPr="000F6CD1">
        <w:t xml:space="preserve"> understand</w:t>
      </w:r>
      <w:r w:rsidR="16AF25B0" w:rsidRPr="000F6CD1">
        <w:t>ing of</w:t>
      </w:r>
      <w:r w:rsidRPr="000F6CD1">
        <w:t xml:space="preserve"> the needs of the older person. </w:t>
      </w:r>
    </w:p>
    <w:p w14:paraId="572E275C" w14:textId="122F54F4" w:rsidR="00ED631B" w:rsidRPr="000F6CD1" w:rsidRDefault="4454D86E" w:rsidP="00856600">
      <w:pPr>
        <w:spacing w:before="240" w:after="240" w:line="240" w:lineRule="auto"/>
      </w:pPr>
      <w:r w:rsidRPr="000F6CD1">
        <w:lastRenderedPageBreak/>
        <w:t>A</w:t>
      </w:r>
      <w:r w:rsidR="011604D2" w:rsidRPr="000F6CD1">
        <w:t xml:space="preserve">ssessment </w:t>
      </w:r>
      <w:r w:rsidR="00C92ABD" w:rsidRPr="000F6CD1">
        <w:t>o</w:t>
      </w:r>
      <w:r w:rsidR="011604D2" w:rsidRPr="000F6CD1">
        <w:t xml:space="preserve">rganisations are expected to maintain regular contact with the client while the assessment remains active to maintain continuity and build rapport. </w:t>
      </w:r>
      <w:hyperlink r:id="rId63" w:history="1">
        <w:r w:rsidR="011604D2" w:rsidRPr="000F6CD1">
          <w:rPr>
            <w:rStyle w:val="Hyperlink"/>
          </w:rPr>
          <w:t>The Aboriginal and Torres Strait Islander Aged Care Framework</w:t>
        </w:r>
      </w:hyperlink>
      <w:r w:rsidR="011604D2" w:rsidRPr="000F6CD1">
        <w:t xml:space="preserve"> highlights that aged care assessment should be delivered in a cultura</w:t>
      </w:r>
      <w:r w:rsidR="007E52D4" w:rsidRPr="000F6CD1">
        <w:t>l</w:t>
      </w:r>
      <w:r w:rsidR="011604D2" w:rsidRPr="000F6CD1">
        <w:t>l</w:t>
      </w:r>
      <w:r w:rsidR="007E52D4" w:rsidRPr="000F6CD1">
        <w:t>y</w:t>
      </w:r>
      <w:r w:rsidR="011604D2" w:rsidRPr="000F6CD1">
        <w:t xml:space="preserve"> safe manner while also empowering older people to engage with the aged care system and receive services that commensurate with their needs. This ongoing engagement helps foster trust, ensures the client feels supported throughout the process, and contributes to a more accurate and respectful assessment outcome.</w:t>
      </w:r>
    </w:p>
    <w:p w14:paraId="20A8D934" w14:textId="77777777" w:rsidR="00ED631B" w:rsidRPr="000F6CD1" w:rsidRDefault="00ED631B" w:rsidP="00856600">
      <w:pPr>
        <w:spacing w:before="240" w:after="240" w:line="240" w:lineRule="auto"/>
      </w:pPr>
      <w:r w:rsidRPr="000F6CD1">
        <w:t>Establishing these connections will help build a more comprehensive understanding of the older person’s needs. This also</w:t>
      </w:r>
      <w:r w:rsidRPr="000F6CD1" w:rsidDel="00882907">
        <w:t xml:space="preserve"> </w:t>
      </w:r>
      <w:r w:rsidRPr="000F6CD1">
        <w:t xml:space="preserve">minimises the need for the client to repeat their story or answer common questions multiple times which helps to reduce stress, thereby improving the overall assessment experience. </w:t>
      </w:r>
    </w:p>
    <w:p w14:paraId="08A15F22" w14:textId="77777777" w:rsidR="00ED631B" w:rsidRPr="000F6CD1" w:rsidRDefault="00ED631B" w:rsidP="00856600">
      <w:pPr>
        <w:pStyle w:val="NumberedList"/>
        <w:spacing w:before="240" w:after="240" w:line="240" w:lineRule="auto"/>
        <w:rPr>
          <w:lang w:val="en-AU"/>
        </w:rPr>
      </w:pPr>
      <w:r w:rsidRPr="000F6CD1">
        <w:rPr>
          <w:lang w:val="en-AU"/>
        </w:rPr>
        <w:t xml:space="preserve">Older people with entry level needs are assigned for a home support assessment and those with more complex needs are assigned for a comprehensive assessment. </w:t>
      </w:r>
    </w:p>
    <w:p w14:paraId="615C5883" w14:textId="2C8446AA" w:rsidR="00ED631B" w:rsidRPr="000F6CD1" w:rsidRDefault="001444AF" w:rsidP="00856600">
      <w:pPr>
        <w:pStyle w:val="NumberedList"/>
        <w:spacing w:before="240" w:after="240" w:line="240" w:lineRule="auto"/>
        <w:rPr>
          <w:lang w:val="en-AU"/>
        </w:rPr>
      </w:pPr>
      <w:r w:rsidRPr="000F6CD1">
        <w:rPr>
          <w:lang w:val="en-AU"/>
        </w:rPr>
        <w:t>All a</w:t>
      </w:r>
      <w:r w:rsidR="00ED631B" w:rsidRPr="000F6CD1">
        <w:rPr>
          <w:lang w:val="en-AU"/>
        </w:rPr>
        <w:t xml:space="preserve">ssessment </w:t>
      </w:r>
      <w:r w:rsidR="00523B80" w:rsidRPr="000F6CD1">
        <w:rPr>
          <w:lang w:val="en-AU"/>
        </w:rPr>
        <w:t>organisations may</w:t>
      </w:r>
      <w:r w:rsidR="00ED631B" w:rsidRPr="000F6CD1">
        <w:rPr>
          <w:lang w:val="en-AU"/>
        </w:rPr>
        <w:t xml:space="preserve"> deliver assessments through subcontracting arrangements subject to approval from the department.</w:t>
      </w:r>
    </w:p>
    <w:p w14:paraId="2EBC7C46" w14:textId="110E8BE3" w:rsidR="00ED631B" w:rsidRPr="000F6CD1" w:rsidRDefault="00ED631B" w:rsidP="00AD2CE5">
      <w:pPr>
        <w:pStyle w:val="H3"/>
      </w:pPr>
      <w:bookmarkStart w:id="150" w:name="_Toc184402257"/>
      <w:bookmarkStart w:id="151" w:name="_Toc204329500"/>
      <w:r w:rsidRPr="000F6CD1">
        <w:t>Home support assessments</w:t>
      </w:r>
      <w:bookmarkEnd w:id="150"/>
      <w:bookmarkEnd w:id="151"/>
    </w:p>
    <w:p w14:paraId="0FF84560" w14:textId="47BFC8EC" w:rsidR="00ED631B" w:rsidRPr="000F6CD1" w:rsidRDefault="00624C07" w:rsidP="00856600">
      <w:pPr>
        <w:pStyle w:val="NumberedList"/>
        <w:spacing w:before="240" w:after="240" w:line="240" w:lineRule="auto"/>
        <w:rPr>
          <w:lang w:val="en-AU"/>
        </w:rPr>
      </w:pPr>
      <w:r w:rsidRPr="000F6CD1">
        <w:rPr>
          <w:lang w:val="en-AU"/>
        </w:rPr>
        <w:t xml:space="preserve">Non-clinical assessors undertake home support assessments of an older person’s care needs under the </w:t>
      </w:r>
      <w:r w:rsidRPr="000F6CD1">
        <w:rPr>
          <w:i/>
          <w:lang w:val="en-AU"/>
        </w:rPr>
        <w:t>Aged Care Act 2024</w:t>
      </w:r>
      <w:r w:rsidR="00287327" w:rsidRPr="000F6CD1">
        <w:rPr>
          <w:i/>
          <w:lang w:val="en-AU"/>
        </w:rPr>
        <w:t xml:space="preserve">, </w:t>
      </w:r>
      <w:r w:rsidRPr="000F6CD1">
        <w:rPr>
          <w:lang w:val="en-AU"/>
        </w:rPr>
        <w:t>us</w:t>
      </w:r>
      <w:r w:rsidR="00781536" w:rsidRPr="000F6CD1">
        <w:rPr>
          <w:lang w:val="en-AU"/>
        </w:rPr>
        <w:t xml:space="preserve">ing </w:t>
      </w:r>
      <w:r w:rsidR="00ED631B" w:rsidRPr="000F6CD1">
        <w:rPr>
          <w:lang w:val="en-AU"/>
        </w:rPr>
        <w:t>the IAT</w:t>
      </w:r>
      <w:r w:rsidR="002312CB" w:rsidRPr="000F6CD1">
        <w:rPr>
          <w:lang w:val="en-AU"/>
        </w:rPr>
        <w:t>.</w:t>
      </w:r>
      <w:r w:rsidR="00ED631B" w:rsidRPr="000F6CD1">
        <w:rPr>
          <w:lang w:val="en-AU"/>
        </w:rPr>
        <w:t xml:space="preserve"> Home support assessments are appropriate for older people who have entry level </w:t>
      </w:r>
      <w:r w:rsidR="00D372B2" w:rsidRPr="000F6CD1">
        <w:rPr>
          <w:lang w:val="en-AU"/>
        </w:rPr>
        <w:t xml:space="preserve">care </w:t>
      </w:r>
      <w:r w:rsidR="00ED631B" w:rsidRPr="000F6CD1">
        <w:rPr>
          <w:lang w:val="en-AU"/>
        </w:rPr>
        <w:t xml:space="preserve">needs. </w:t>
      </w:r>
    </w:p>
    <w:p w14:paraId="428A3357" w14:textId="06BDEFA9" w:rsidR="00ED631B" w:rsidRPr="000F6CD1" w:rsidRDefault="00ED631B" w:rsidP="00856600">
      <w:pPr>
        <w:pStyle w:val="NumberedList"/>
        <w:spacing w:before="240" w:after="240" w:line="240" w:lineRule="auto"/>
        <w:rPr>
          <w:lang w:val="en-AU"/>
        </w:rPr>
      </w:pPr>
      <w:r w:rsidRPr="000F6CD1">
        <w:rPr>
          <w:lang w:val="en-AU"/>
        </w:rPr>
        <w:t xml:space="preserve">A home support assessment builds on the information collected during registration, screening, and triage to determine an older person’s eligibility to receive aged care services. Home support assessments are conducted face-to-face when safe to do so in the older person’s usual home setting. </w:t>
      </w:r>
      <w:r w:rsidR="008F7F7B" w:rsidRPr="000F6CD1">
        <w:rPr>
          <w:lang w:val="en-AU"/>
        </w:rPr>
        <w:t>This will assist with the environmental, physical, and social components of the assessment as the assess</w:t>
      </w:r>
      <w:r w:rsidR="00693556" w:rsidRPr="000F6CD1">
        <w:rPr>
          <w:lang w:val="en-AU"/>
        </w:rPr>
        <w:t>or</w:t>
      </w:r>
      <w:r w:rsidR="008F7F7B" w:rsidRPr="000F6CD1">
        <w:rPr>
          <w:lang w:val="en-AU"/>
        </w:rPr>
        <w:t xml:space="preserve"> could observe the client’s level of independence, functioning, and existing support arrangements.</w:t>
      </w:r>
      <w:r w:rsidR="00C53BDF" w:rsidRPr="000F6CD1">
        <w:rPr>
          <w:lang w:val="en-AU"/>
        </w:rPr>
        <w:t xml:space="preserve"> </w:t>
      </w:r>
      <w:r w:rsidRPr="000F6CD1">
        <w:rPr>
          <w:lang w:val="en-AU"/>
        </w:rPr>
        <w:t xml:space="preserve">After the assessment, the assessor will develop a Support Plan that summarises the assessment findings, individualised goals, and service recommendations. The Support Plan will be submitted for approval </w:t>
      </w:r>
      <w:r w:rsidR="00624C07" w:rsidRPr="000F6CD1">
        <w:rPr>
          <w:lang w:val="en-AU"/>
        </w:rPr>
        <w:t>to</w:t>
      </w:r>
      <w:r w:rsidRPr="000F6CD1">
        <w:rPr>
          <w:lang w:val="en-AU"/>
        </w:rPr>
        <w:t xml:space="preserve"> a non-clinical assessment </w:t>
      </w:r>
      <w:r w:rsidR="006A3113" w:rsidRPr="000F6CD1">
        <w:rPr>
          <w:lang w:val="en-AU"/>
        </w:rPr>
        <w:t>delegate,</w:t>
      </w:r>
      <w:r w:rsidRPr="000F6CD1">
        <w:rPr>
          <w:lang w:val="en-AU"/>
        </w:rPr>
        <w:t xml:space="preserve"> and a Notice of Decision will be generated and sent to the older person and any of their registered supporters who are entitled to receive this information. </w:t>
      </w:r>
    </w:p>
    <w:p w14:paraId="093D5947" w14:textId="3D3A68E4" w:rsidR="00BA4CB9" w:rsidRPr="000F6CD1" w:rsidRDefault="00BA4CB9" w:rsidP="00BA4CB9">
      <w:pPr>
        <w:pStyle w:val="NumberedList"/>
        <w:spacing w:before="240" w:after="240" w:line="240" w:lineRule="auto"/>
        <w:rPr>
          <w:lang w:val="en-AU"/>
        </w:rPr>
      </w:pPr>
      <w:r w:rsidRPr="000F6CD1">
        <w:rPr>
          <w:lang w:val="en-AU"/>
        </w:rPr>
        <w:t xml:space="preserve">There may be occasions where, during a home support assessment, questions will be triggered in the IAT that will require clinical judgement. To reduce the need for an assessment to be reassigned to a clinical assessor, the non-clinical assessor will be required to seek the attendance of a clinical assessor to ask the clinical questions at the time of the assessment via video or phone, or at a later time via phone (see Chapter </w:t>
      </w:r>
      <w:r w:rsidRPr="000F6CD1">
        <w:rPr>
          <w:lang w:val="en-AU"/>
        </w:rPr>
        <w:fldChar w:fldCharType="begin"/>
      </w:r>
      <w:r w:rsidRPr="000F6CD1">
        <w:rPr>
          <w:lang w:val="en-AU"/>
        </w:rPr>
        <w:instrText xml:space="preserve"> REF _Ref212735055 \r \h </w:instrText>
      </w:r>
      <w:r w:rsidRPr="000F6CD1">
        <w:rPr>
          <w:lang w:val="en-AU"/>
        </w:rPr>
      </w:r>
      <w:r w:rsidRPr="000F6CD1">
        <w:rPr>
          <w:lang w:val="en-AU"/>
        </w:rPr>
        <w:fldChar w:fldCharType="separate"/>
      </w:r>
      <w:r w:rsidR="004B171E">
        <w:rPr>
          <w:lang w:val="en-AU"/>
        </w:rPr>
        <w:t>5</w:t>
      </w:r>
      <w:r w:rsidRPr="000F6CD1">
        <w:rPr>
          <w:lang w:val="en-AU"/>
        </w:rPr>
        <w:fldChar w:fldCharType="end"/>
      </w:r>
      <w:r w:rsidRPr="000F6CD1">
        <w:rPr>
          <w:lang w:val="en-AU"/>
        </w:rPr>
        <w:t xml:space="preserve">). </w:t>
      </w:r>
    </w:p>
    <w:p w14:paraId="4B0690EF" w14:textId="354DD743" w:rsidR="00142006" w:rsidRPr="000F6CD1" w:rsidRDefault="00142006" w:rsidP="00144262">
      <w:pPr>
        <w:pStyle w:val="H4"/>
      </w:pPr>
      <w:r w:rsidRPr="000F6CD1">
        <w:t>Converti</w:t>
      </w:r>
      <w:r w:rsidR="003F2033" w:rsidRPr="000F6CD1">
        <w:t>ng to a comprehensive assessment</w:t>
      </w:r>
    </w:p>
    <w:p w14:paraId="1D83130C" w14:textId="3EDB54C7" w:rsidR="00ED631B" w:rsidRPr="000F6CD1" w:rsidRDefault="00ED631B" w:rsidP="00856600">
      <w:pPr>
        <w:pStyle w:val="NumberedList"/>
        <w:spacing w:before="240" w:after="240" w:line="240" w:lineRule="auto"/>
        <w:rPr>
          <w:lang w:val="en-AU"/>
        </w:rPr>
      </w:pPr>
      <w:r w:rsidRPr="000F6CD1">
        <w:rPr>
          <w:lang w:val="en-AU"/>
        </w:rPr>
        <w:t>At the end of the assessment, the</w:t>
      </w:r>
      <w:r w:rsidR="00F42F32" w:rsidRPr="000F6CD1">
        <w:rPr>
          <w:lang w:val="en-AU"/>
        </w:rPr>
        <w:t xml:space="preserve"> </w:t>
      </w:r>
      <w:r w:rsidR="00386B7E">
        <w:rPr>
          <w:lang w:val="en-AU"/>
        </w:rPr>
        <w:t>IAT Outcome</w:t>
      </w:r>
      <w:r w:rsidRPr="000F6CD1">
        <w:rPr>
          <w:lang w:val="en-AU"/>
        </w:rPr>
        <w:t xml:space="preserve"> may </w:t>
      </w:r>
      <w:r w:rsidR="00FC1C46" w:rsidRPr="000F6CD1">
        <w:rPr>
          <w:lang w:val="en-AU"/>
        </w:rPr>
        <w:t xml:space="preserve">result in a Support at Home classification </w:t>
      </w:r>
      <w:r w:rsidR="002E3403" w:rsidRPr="000F6CD1">
        <w:rPr>
          <w:lang w:val="en-AU"/>
        </w:rPr>
        <w:t>level,</w:t>
      </w:r>
      <w:r w:rsidR="00FC1C46" w:rsidRPr="000F6CD1">
        <w:rPr>
          <w:lang w:val="en-AU"/>
        </w:rPr>
        <w:t xml:space="preserve"> or</w:t>
      </w:r>
      <w:r w:rsidRPr="000F6CD1">
        <w:rPr>
          <w:lang w:val="en-AU"/>
        </w:rPr>
        <w:t xml:space="preserve"> the assessor may determine that the older person </w:t>
      </w:r>
      <w:r w:rsidR="00FA7DFF" w:rsidRPr="000F6CD1">
        <w:rPr>
          <w:lang w:val="en-AU"/>
        </w:rPr>
        <w:t xml:space="preserve">has intensive and complex </w:t>
      </w:r>
      <w:r w:rsidR="005E6E5A" w:rsidRPr="000F6CD1">
        <w:rPr>
          <w:lang w:val="en-AU"/>
        </w:rPr>
        <w:t>care needs</w:t>
      </w:r>
      <w:r w:rsidR="0070728D" w:rsidRPr="000F6CD1">
        <w:rPr>
          <w:lang w:val="en-AU"/>
        </w:rPr>
        <w:t>.</w:t>
      </w:r>
      <w:r w:rsidR="00E055CF" w:rsidRPr="000F6CD1">
        <w:rPr>
          <w:lang w:val="en-AU"/>
        </w:rPr>
        <w:t xml:space="preserve"> </w:t>
      </w:r>
      <w:r w:rsidRPr="000F6CD1">
        <w:rPr>
          <w:lang w:val="en-AU"/>
        </w:rPr>
        <w:t xml:space="preserve">In these circumstances the assessment must be converted to a comprehensive assessment in the IAT before Support at Home or Residential Aged Care can be added to the support plan (see </w:t>
      </w:r>
      <w:r w:rsidR="009E4614" w:rsidRPr="000F6CD1">
        <w:rPr>
          <w:lang w:val="en-AU"/>
        </w:rPr>
        <w:t xml:space="preserve">Chapter </w:t>
      </w:r>
      <w:r w:rsidR="007957BB" w:rsidRPr="000F6CD1">
        <w:rPr>
          <w:lang w:val="en-AU"/>
        </w:rPr>
        <w:fldChar w:fldCharType="begin"/>
      </w:r>
      <w:r w:rsidR="007957BB" w:rsidRPr="000F6CD1">
        <w:rPr>
          <w:lang w:val="en-AU"/>
        </w:rPr>
        <w:instrText xml:space="preserve"> REF _Ref212735077 \r \h </w:instrText>
      </w:r>
      <w:r w:rsidR="007957BB" w:rsidRPr="000F6CD1">
        <w:rPr>
          <w:lang w:val="en-AU"/>
        </w:rPr>
      </w:r>
      <w:r w:rsidR="007957BB" w:rsidRPr="000F6CD1">
        <w:rPr>
          <w:lang w:val="en-AU"/>
        </w:rPr>
        <w:fldChar w:fldCharType="separate"/>
      </w:r>
      <w:r w:rsidR="004B171E">
        <w:rPr>
          <w:lang w:val="en-AU"/>
        </w:rPr>
        <w:t>5</w:t>
      </w:r>
      <w:r w:rsidR="007957BB" w:rsidRPr="000F6CD1">
        <w:rPr>
          <w:lang w:val="en-AU"/>
        </w:rPr>
        <w:fldChar w:fldCharType="end"/>
      </w:r>
      <w:r w:rsidRPr="000F6CD1">
        <w:rPr>
          <w:lang w:val="en-AU"/>
        </w:rPr>
        <w:t xml:space="preserve">). If this conversion is initiated by a </w:t>
      </w:r>
      <w:r w:rsidR="00431726" w:rsidRPr="000F6CD1">
        <w:rPr>
          <w:lang w:val="en-AU"/>
        </w:rPr>
        <w:t>non-clinical</w:t>
      </w:r>
      <w:r w:rsidRPr="000F6CD1">
        <w:rPr>
          <w:lang w:val="en-AU"/>
        </w:rPr>
        <w:t xml:space="preserve"> assessor, they will need to seek the supervision of a clinical assessor in accordance with their organisation’s clinical governance framework and standard operating procedures. The Support Plan will be submitted for approval by a clinical </w:t>
      </w:r>
      <w:r w:rsidRPr="000F6CD1">
        <w:rPr>
          <w:lang w:val="en-AU"/>
        </w:rPr>
        <w:lastRenderedPageBreak/>
        <w:t xml:space="preserve">assessment </w:t>
      </w:r>
      <w:r w:rsidR="006A3113" w:rsidRPr="000F6CD1">
        <w:rPr>
          <w:lang w:val="en-AU"/>
        </w:rPr>
        <w:t>delegate,</w:t>
      </w:r>
      <w:r w:rsidRPr="000F6CD1">
        <w:rPr>
          <w:lang w:val="en-AU"/>
        </w:rPr>
        <w:t xml:space="preserve"> and a Notice of Decision will be generated and sent to the older person and any of their registered supporters who are entitled to receive this information. </w:t>
      </w:r>
    </w:p>
    <w:p w14:paraId="487E70CD" w14:textId="77777777" w:rsidR="00ED631B" w:rsidRPr="000F6CD1" w:rsidRDefault="00ED631B" w:rsidP="00AD2CE5">
      <w:pPr>
        <w:pStyle w:val="H3"/>
      </w:pPr>
      <w:bookmarkStart w:id="152" w:name="_Toc184402258"/>
      <w:bookmarkStart w:id="153" w:name="_Toc204329501"/>
      <w:r w:rsidRPr="000F6CD1">
        <w:t>Comprehensive assessments</w:t>
      </w:r>
      <w:bookmarkEnd w:id="152"/>
      <w:bookmarkEnd w:id="153"/>
      <w:r w:rsidRPr="000F6CD1">
        <w:t xml:space="preserve"> </w:t>
      </w:r>
    </w:p>
    <w:p w14:paraId="35BA4037" w14:textId="381EB28C" w:rsidR="00ED631B" w:rsidRPr="000F6CD1" w:rsidRDefault="00ED631B" w:rsidP="00856600">
      <w:pPr>
        <w:spacing w:before="240" w:after="240" w:line="240" w:lineRule="auto"/>
        <w:rPr>
          <w:i/>
          <w:iCs/>
        </w:rPr>
      </w:pPr>
      <w:r w:rsidRPr="000F6CD1">
        <w:t xml:space="preserve">A comprehensive assessment is an assessment of aged care needs for older people, undertaken by clinical assessors, who use the IAT to enable nationally consistent assessment services. Comprehensive assessments are appropriate for older people who have </w:t>
      </w:r>
      <w:r w:rsidR="007D0073" w:rsidRPr="000F6CD1">
        <w:t xml:space="preserve">more </w:t>
      </w:r>
      <w:r w:rsidRPr="000F6CD1">
        <w:t xml:space="preserve">complex needs </w:t>
      </w:r>
      <w:r w:rsidR="009D0EE9" w:rsidRPr="000F6CD1">
        <w:t xml:space="preserve">and </w:t>
      </w:r>
      <w:r w:rsidR="005D4393" w:rsidRPr="000F6CD1">
        <w:t xml:space="preserve">who </w:t>
      </w:r>
      <w:r w:rsidR="009D0EE9" w:rsidRPr="000F6CD1">
        <w:t>may require a higher level of care</w:t>
      </w:r>
      <w:r w:rsidRPr="000F6CD1">
        <w:t>.</w:t>
      </w:r>
    </w:p>
    <w:p w14:paraId="31A699A8" w14:textId="3CC11F3A" w:rsidR="005F4C59" w:rsidRPr="000F6CD1" w:rsidRDefault="00ED631B" w:rsidP="00856600">
      <w:pPr>
        <w:spacing w:before="240" w:after="240" w:line="240" w:lineRule="auto"/>
      </w:pPr>
      <w:r w:rsidRPr="000F6CD1">
        <w:t xml:space="preserve">A comprehensive assessment builds on the information collected during registration, screening and at triage, to determine an older person’s eligibility to receive aged care services. A comprehensive assessment is usually conducted in a suitable face-to-face context when safe to do so, to determine an older person’s eligibility for aged care services. Optimally, an aged care assessment is undertaken in an older person’s home. In some circumstances a comprehensive assessment may be undertaken in a clinical setting, such as a hospital. A support person (e.g. family, friend, registered supporter, Elder Care Supporter, Care Finder </w:t>
      </w:r>
      <w:r w:rsidR="006A3113" w:rsidRPr="000F6CD1">
        <w:t>etc.</w:t>
      </w:r>
      <w:r w:rsidRPr="000F6CD1">
        <w:t xml:space="preserve">) may also be in attendance. </w:t>
      </w:r>
    </w:p>
    <w:p w14:paraId="453E4C5B" w14:textId="367FDFD0" w:rsidR="00ED631B" w:rsidRPr="000F6CD1" w:rsidRDefault="00ED631B" w:rsidP="00856600">
      <w:pPr>
        <w:spacing w:before="240" w:after="240" w:line="240" w:lineRule="auto"/>
      </w:pPr>
      <w:r w:rsidRPr="000F6CD1">
        <w:t xml:space="preserve">After completion of the IAT the assessor develops a Support Plan that summarises the assessment findings, individualised goals, and recommendations. The Support Plan will be submitted for approval by a clinical </w:t>
      </w:r>
      <w:r w:rsidR="00AF10F0" w:rsidRPr="000F6CD1">
        <w:t>A</w:t>
      </w:r>
      <w:r w:rsidRPr="000F6CD1">
        <w:t xml:space="preserve">ssessment </w:t>
      </w:r>
      <w:r w:rsidR="006A3113" w:rsidRPr="000F6CD1">
        <w:t>Delegate,</w:t>
      </w:r>
      <w:r w:rsidRPr="000F6CD1">
        <w:t xml:space="preserve"> and a Notice of Decision will be generated and sent to the older person and any registered supporters who are entitled to receive this information.</w:t>
      </w:r>
    </w:p>
    <w:p w14:paraId="2DC93AF1" w14:textId="77777777" w:rsidR="00AC4B7E" w:rsidRPr="000F6CD1" w:rsidRDefault="00ED631B" w:rsidP="00856600">
      <w:pPr>
        <w:spacing w:before="240" w:after="240" w:line="240" w:lineRule="auto"/>
      </w:pPr>
      <w:r w:rsidRPr="000F6CD1">
        <w:t xml:space="preserve">Comprehensive assessments often require a longer time to complete due to the complexity of needs. </w:t>
      </w:r>
      <w:r w:rsidR="00AC4B7E" w:rsidRPr="000F6CD1">
        <w:t xml:space="preserve">Assessors and assessment organisations are expected to maintain regular contact with the client while the assessment remains active to maintain continuity and build rapport. </w:t>
      </w:r>
    </w:p>
    <w:p w14:paraId="020418C0" w14:textId="79106D6C" w:rsidR="00ED631B" w:rsidRPr="000F6CD1" w:rsidRDefault="00ED631B" w:rsidP="00856600">
      <w:pPr>
        <w:spacing w:before="240" w:after="240" w:line="240" w:lineRule="auto"/>
      </w:pPr>
      <w:r w:rsidRPr="000F6CD1">
        <w:t>The Aboriginal and Torres Strait Islander Aged Care Framework highlights that aged care assessment</w:t>
      </w:r>
      <w:r w:rsidR="00017508" w:rsidRPr="000F6CD1">
        <w:t>s</w:t>
      </w:r>
      <w:r w:rsidRPr="000F6CD1">
        <w:t xml:space="preserve"> should be delivered in a cultural safe manner while also empowering older people to engage with the aged care system and receive services that </w:t>
      </w:r>
      <w:r w:rsidR="00D93991" w:rsidRPr="000F6CD1">
        <w:t>address</w:t>
      </w:r>
      <w:r w:rsidRPr="000F6CD1">
        <w:t xml:space="preserve"> their needs. </w:t>
      </w:r>
      <w:r w:rsidR="008908FE" w:rsidRPr="000F6CD1">
        <w:t xml:space="preserve">Assessors are expected to maintain regular contact with an older Aboriginal and Torres Strait Islander person while the assessment remains active to maintain continuity and build rapport. </w:t>
      </w:r>
      <w:r w:rsidRPr="000F6CD1">
        <w:t xml:space="preserve">This ongoing engagement helps foster trust, ensures the </w:t>
      </w:r>
      <w:r w:rsidR="008908FE" w:rsidRPr="000F6CD1">
        <w:t xml:space="preserve">older person </w:t>
      </w:r>
      <w:r w:rsidRPr="000F6CD1">
        <w:t>feels supported throughout the process, and contributes to a more accurate and respectful assessment outcome.</w:t>
      </w:r>
    </w:p>
    <w:p w14:paraId="7236417C" w14:textId="77777777" w:rsidR="00ED631B" w:rsidRPr="000F6CD1" w:rsidRDefault="00ED631B" w:rsidP="006647CE">
      <w:pPr>
        <w:pStyle w:val="h2"/>
      </w:pPr>
      <w:bookmarkStart w:id="154" w:name="_Toc184402259"/>
      <w:bookmarkStart w:id="155" w:name="_Toc204329502"/>
      <w:bookmarkStart w:id="156" w:name="_Toc209188954"/>
      <w:bookmarkStart w:id="157" w:name="_Toc233282421"/>
      <w:r w:rsidRPr="000F6CD1">
        <w:t>Other assessment activities</w:t>
      </w:r>
      <w:bookmarkEnd w:id="154"/>
      <w:bookmarkEnd w:id="155"/>
      <w:bookmarkEnd w:id="156"/>
      <w:bookmarkEnd w:id="157"/>
      <w:r w:rsidRPr="000F6CD1">
        <w:t xml:space="preserve"> </w:t>
      </w:r>
    </w:p>
    <w:p w14:paraId="267B13AF" w14:textId="738FB179" w:rsidR="00ED631B" w:rsidRPr="000F6CD1" w:rsidRDefault="00ED631B" w:rsidP="00AD2CE5">
      <w:pPr>
        <w:pStyle w:val="H3"/>
      </w:pPr>
      <w:bookmarkStart w:id="158" w:name="_Toc204329503"/>
      <w:r w:rsidRPr="000F6CD1">
        <w:t xml:space="preserve">Support </w:t>
      </w:r>
      <w:r w:rsidR="203D6484" w:rsidRPr="000F6CD1">
        <w:t>p</w:t>
      </w:r>
      <w:r w:rsidRPr="000F6CD1">
        <w:t xml:space="preserve">lan </w:t>
      </w:r>
      <w:r w:rsidR="68E3AAAD" w:rsidRPr="000F6CD1">
        <w:t>r</w:t>
      </w:r>
      <w:r w:rsidRPr="000F6CD1">
        <w:t>eviews (SPR)</w:t>
      </w:r>
      <w:bookmarkEnd w:id="158"/>
      <w:r w:rsidRPr="000F6CD1">
        <w:t xml:space="preserve"> </w:t>
      </w:r>
    </w:p>
    <w:p w14:paraId="5AAEDEB0" w14:textId="5832A61B" w:rsidR="00333385" w:rsidRDefault="00ED631B" w:rsidP="00856600">
      <w:pPr>
        <w:spacing w:before="240" w:after="240" w:line="240" w:lineRule="auto"/>
      </w:pPr>
      <w:r w:rsidRPr="000F6CD1">
        <w:t xml:space="preserve">Assessors conduct SPRs for older people who have previously had an assessment where their needs and circumstances have changed or when finalising a period of reablement and the Support Plan is updated. Where there is a significant change in an older person’s circumstances a </w:t>
      </w:r>
      <w:r w:rsidR="009B4B25" w:rsidRPr="000F6CD1">
        <w:t>re</w:t>
      </w:r>
      <w:r w:rsidRPr="000F6CD1">
        <w:t xml:space="preserve">assessment is undertaken (see </w:t>
      </w:r>
      <w:r w:rsidR="00772996" w:rsidRPr="000F6CD1">
        <w:fldChar w:fldCharType="begin"/>
      </w:r>
      <w:r w:rsidR="00772996" w:rsidRPr="000F6CD1">
        <w:instrText xml:space="preserve"> REF _Ref232591041 \h </w:instrText>
      </w:r>
      <w:r w:rsidR="00772996" w:rsidRPr="000F6CD1">
        <w:fldChar w:fldCharType="separate"/>
      </w:r>
      <w:r w:rsidR="004B171E" w:rsidRPr="000F6CD1">
        <w:t>Chapter 10: Support plan reviews and reassessments</w:t>
      </w:r>
      <w:r w:rsidR="00772996" w:rsidRPr="000F6CD1">
        <w:fldChar w:fldCharType="end"/>
      </w:r>
      <w:r w:rsidRPr="000F6CD1">
        <w:t xml:space="preserve">’). </w:t>
      </w:r>
    </w:p>
    <w:p w14:paraId="0226405A" w14:textId="09584608" w:rsidR="00ED631B" w:rsidRPr="000F6CD1" w:rsidRDefault="00333385" w:rsidP="00333385">
      <w:r>
        <w:br w:type="page"/>
      </w:r>
    </w:p>
    <w:p w14:paraId="01A1F609" w14:textId="60669F33" w:rsidR="00ED631B" w:rsidRPr="000F6CD1" w:rsidRDefault="00ED631B" w:rsidP="00AD2CE5">
      <w:pPr>
        <w:pStyle w:val="H3"/>
      </w:pPr>
      <w:bookmarkStart w:id="159" w:name="_Toc204329504"/>
      <w:r w:rsidRPr="000F6CD1">
        <w:lastRenderedPageBreak/>
        <w:t xml:space="preserve">Wellness and </w:t>
      </w:r>
      <w:r w:rsidR="007B020F" w:rsidRPr="000F6CD1">
        <w:t>r</w:t>
      </w:r>
      <w:r w:rsidRPr="000F6CD1">
        <w:t>eablement</w:t>
      </w:r>
      <w:bookmarkEnd w:id="159"/>
    </w:p>
    <w:p w14:paraId="29408BEA" w14:textId="77777777" w:rsidR="00B80297" w:rsidRPr="000F6CD1" w:rsidRDefault="00ED631B" w:rsidP="00856600">
      <w:pPr>
        <w:spacing w:before="240" w:after="240" w:line="240" w:lineRule="auto"/>
      </w:pPr>
      <w:r w:rsidRPr="000F6CD1">
        <w:t xml:space="preserve">The provision of wellness and reablement approaches are embedded in the aged care assessment. These approaches build on people’s strengths and goals to promote greater independence and autonomy in daily living tasks. They avoid 'doing for' when a 'doing with' approach can assist individuals to undertake a task or activity themselves without needing on-going service delivery, or with a reduced need for services. Reablement involves supporting participants to maintain or regain skills, improving functional capacity, improving confidence and enhancing capability so an older person can resume everyday activities. </w:t>
      </w:r>
    </w:p>
    <w:p w14:paraId="3D68608E" w14:textId="19CA8352" w:rsidR="00ED631B" w:rsidRPr="000F6CD1" w:rsidRDefault="00ED631B" w:rsidP="00856600">
      <w:pPr>
        <w:spacing w:before="240" w:after="240" w:line="240" w:lineRule="auto"/>
      </w:pPr>
      <w:r w:rsidRPr="000F6CD1">
        <w:t xml:space="preserve">All assessors should adopt wellness and reablement approaches during the assessment and consider whether a recommendation for time-limited reablement under the CHSP is appropriate. </w:t>
      </w:r>
      <w:r w:rsidR="00103144" w:rsidRPr="000F6CD1">
        <w:t xml:space="preserve">Time-limited reablement services tend to be delivered within a 12-week period with the aim to wrap up services when the </w:t>
      </w:r>
      <w:r w:rsidR="004A1CE2" w:rsidRPr="000F6CD1">
        <w:t>older person</w:t>
      </w:r>
      <w:r w:rsidR="00103144" w:rsidRPr="000F6CD1">
        <w:t xml:space="preserve"> has met their goal or specific outcome. This involves the </w:t>
      </w:r>
      <w:r w:rsidR="004A1CE2" w:rsidRPr="000F6CD1">
        <w:t>older person</w:t>
      </w:r>
      <w:r w:rsidR="00103144" w:rsidRPr="000F6CD1">
        <w:t xml:space="preserve"> and </w:t>
      </w:r>
      <w:r w:rsidR="00D47F13" w:rsidRPr="000F6CD1">
        <w:t xml:space="preserve">reablement </w:t>
      </w:r>
      <w:r w:rsidR="00103144" w:rsidRPr="000F6CD1">
        <w:t>provider</w:t>
      </w:r>
      <w:r w:rsidR="00D47F13" w:rsidRPr="000F6CD1">
        <w:t>s</w:t>
      </w:r>
      <w:r w:rsidR="00103144" w:rsidRPr="000F6CD1">
        <w:t xml:space="preserve"> working together to plan how they will address specific barriers to independence and achieve the client’s goal.</w:t>
      </w:r>
      <w:r w:rsidRPr="000F6CD1">
        <w:t xml:space="preserve"> </w:t>
      </w:r>
    </w:p>
    <w:p w14:paraId="684D04A5" w14:textId="609A4348" w:rsidR="00ED631B" w:rsidRPr="000F6CD1" w:rsidRDefault="00ED631B" w:rsidP="00AD2CE5">
      <w:pPr>
        <w:pStyle w:val="H3"/>
      </w:pPr>
      <w:bookmarkStart w:id="160" w:name="_Toc204329505"/>
      <w:r w:rsidRPr="000F6CD1">
        <w:t>Linking support</w:t>
      </w:r>
      <w:bookmarkEnd w:id="160"/>
      <w:r w:rsidRPr="000F6CD1">
        <w:t xml:space="preserve">  </w:t>
      </w:r>
    </w:p>
    <w:p w14:paraId="6DB82A2C" w14:textId="1356F1A5" w:rsidR="00ED631B" w:rsidRPr="000F6CD1" w:rsidRDefault="00ED631B" w:rsidP="00856600">
      <w:pPr>
        <w:spacing w:before="240" w:after="240" w:line="240" w:lineRule="auto"/>
      </w:pPr>
      <w:r w:rsidRPr="000F6CD1">
        <w:t xml:space="preserve">An assessment includes the provision of linking support activities to vulnerable </w:t>
      </w:r>
      <w:r w:rsidR="00516348" w:rsidRPr="000F6CD1">
        <w:t>older people</w:t>
      </w:r>
      <w:r w:rsidRPr="000F6CD1">
        <w:t xml:space="preserve"> where areas of vulnerability pose barriers to receiving mainstream aged care supports or care. Issues leading to vulnerability could include experiencing homelessness, mental health concerns, drug and alcohol issues, elder and systems abuse, neglect, financial disadvantage, cognitive decline and/or living in a remote locality, and previous traumatic events. The provision of linking support will assist in linking the older person to one or more services they require to live with dignity, and independence. </w:t>
      </w:r>
    </w:p>
    <w:p w14:paraId="4D36B9F8" w14:textId="11736B52" w:rsidR="00ED631B" w:rsidRPr="000F6CD1" w:rsidRDefault="00ED631B" w:rsidP="00856600">
      <w:pPr>
        <w:spacing w:before="240" w:after="240" w:line="240" w:lineRule="auto"/>
      </w:pPr>
      <w:r w:rsidRPr="000F6CD1">
        <w:t>Assessors may work with Elder Care Support staff to provide guidance to older Aboriginal and Torres Strait Islander people to assist them to engage with the aged care system</w:t>
      </w:r>
      <w:r w:rsidR="00147609" w:rsidRPr="000F6CD1">
        <w:t>.</w:t>
      </w:r>
    </w:p>
    <w:p w14:paraId="47892CCB" w14:textId="6141A733" w:rsidR="00ED631B" w:rsidRPr="000F6CD1" w:rsidRDefault="00ED631B" w:rsidP="00AD2CE5">
      <w:pPr>
        <w:pStyle w:val="H3"/>
      </w:pPr>
      <w:bookmarkStart w:id="161" w:name="_Toc204329506"/>
      <w:r w:rsidRPr="000F6CD1">
        <w:t>Assessment delegation</w:t>
      </w:r>
      <w:bookmarkEnd w:id="161"/>
      <w:r w:rsidR="00391301">
        <w:t>s</w:t>
      </w:r>
      <w:r w:rsidRPr="000F6CD1">
        <w:t xml:space="preserve"> </w:t>
      </w:r>
    </w:p>
    <w:p w14:paraId="74884F72" w14:textId="3F0BF734" w:rsidR="00ED631B" w:rsidRPr="000F6CD1" w:rsidRDefault="00ED631B" w:rsidP="00856600">
      <w:pPr>
        <w:spacing w:before="240" w:after="240" w:line="240" w:lineRule="auto"/>
        <w:rPr>
          <w:rFonts w:eastAsia="MS Mincho"/>
        </w:rPr>
      </w:pPr>
      <w:r w:rsidRPr="000F6CD1">
        <w:rPr>
          <w:rFonts w:eastAsia="MS Mincho"/>
        </w:rPr>
        <w:t xml:space="preserve">The Secretary of the department as the System Governor plays a key role in the governance of the aged care system. Under the </w:t>
      </w:r>
      <w:r w:rsidRPr="000F6CD1">
        <w:rPr>
          <w:rFonts w:eastAsia="MS Mincho"/>
          <w:i/>
        </w:rPr>
        <w:t xml:space="preserve">Aged Care Act 2024 </w:t>
      </w:r>
      <w:r w:rsidRPr="000F6CD1">
        <w:rPr>
          <w:rFonts w:eastAsia="MS Mincho"/>
        </w:rPr>
        <w:t xml:space="preserve">the System Governor is afforded a range of powers and functions. These powers and functions include but are not limited to determining an individual’s eligibility for an aged care needs assessment and their need for Commonwealth subsidised aged care services. </w:t>
      </w:r>
      <w:r w:rsidR="005B23F1" w:rsidRPr="000F6CD1">
        <w:rPr>
          <w:rFonts w:eastAsia="MS Mincho"/>
        </w:rPr>
        <w:t>T</w:t>
      </w:r>
      <w:r w:rsidRPr="000F6CD1">
        <w:rPr>
          <w:rFonts w:eastAsia="MS Mincho"/>
        </w:rPr>
        <w:t>he System Governor will delegate some of their powers and functions to internal</w:t>
      </w:r>
      <w:r w:rsidR="00862390">
        <w:rPr>
          <w:rFonts w:eastAsia="MS Mincho"/>
        </w:rPr>
        <w:t xml:space="preserve"> </w:t>
      </w:r>
      <w:r w:rsidRPr="000F6CD1">
        <w:rPr>
          <w:rFonts w:eastAsia="MS Mincho"/>
        </w:rPr>
        <w:t xml:space="preserve">departmental staff and to some roles within assessment organisations. </w:t>
      </w:r>
      <w:r w:rsidR="00D662D2" w:rsidRPr="000F6CD1">
        <w:rPr>
          <w:rFonts w:eastAsia="MS Mincho"/>
        </w:rPr>
        <w:t>T</w:t>
      </w:r>
      <w:r w:rsidRPr="000F6CD1">
        <w:rPr>
          <w:rFonts w:eastAsia="MS Mincho"/>
        </w:rPr>
        <w:t xml:space="preserve">here </w:t>
      </w:r>
      <w:r w:rsidR="00D662D2" w:rsidRPr="000F6CD1">
        <w:rPr>
          <w:rFonts w:eastAsia="MS Mincho"/>
        </w:rPr>
        <w:t>are</w:t>
      </w:r>
      <w:r w:rsidRPr="000F6CD1">
        <w:rPr>
          <w:rFonts w:eastAsia="MS Mincho"/>
        </w:rPr>
        <w:t xml:space="preserve"> three roles within assessment organisations, </w:t>
      </w:r>
      <w:r w:rsidR="009940A8" w:rsidRPr="000F6CD1">
        <w:rPr>
          <w:rFonts w:eastAsia="MS Mincho"/>
        </w:rPr>
        <w:t xml:space="preserve">that are </w:t>
      </w:r>
      <w:r w:rsidRPr="000F6CD1">
        <w:rPr>
          <w:rFonts w:eastAsia="MS Mincho"/>
        </w:rPr>
        <w:t xml:space="preserve">delegated certain functions or powers of the System Governor: </w:t>
      </w:r>
    </w:p>
    <w:p w14:paraId="2C5CB13E" w14:textId="77777777" w:rsidR="00ED631B" w:rsidRPr="000F6CD1" w:rsidRDefault="00ED631B" w:rsidP="00856600">
      <w:pPr>
        <w:pStyle w:val="ListParagraph"/>
        <w:numPr>
          <w:ilvl w:val="0"/>
          <w:numId w:val="40"/>
        </w:numPr>
        <w:spacing w:before="240" w:after="240" w:line="240" w:lineRule="auto"/>
        <w:rPr>
          <w:rFonts w:eastAsia="MS Mincho"/>
        </w:rPr>
      </w:pPr>
      <w:r w:rsidRPr="000F6CD1">
        <w:rPr>
          <w:rFonts w:eastAsia="MS Mincho"/>
        </w:rPr>
        <w:t>Triage Delegates</w:t>
      </w:r>
    </w:p>
    <w:p w14:paraId="7B084F7E" w14:textId="77777777" w:rsidR="00ED631B" w:rsidRPr="000F6CD1" w:rsidRDefault="00ED631B" w:rsidP="00856600">
      <w:pPr>
        <w:pStyle w:val="ListParagraph"/>
        <w:numPr>
          <w:ilvl w:val="0"/>
          <w:numId w:val="40"/>
        </w:numPr>
        <w:spacing w:before="240" w:after="240" w:line="240" w:lineRule="auto"/>
        <w:rPr>
          <w:rFonts w:eastAsia="MS Mincho"/>
        </w:rPr>
      </w:pPr>
      <w:r w:rsidRPr="000F6CD1">
        <w:rPr>
          <w:rFonts w:eastAsia="MS Mincho"/>
        </w:rPr>
        <w:t xml:space="preserve">Non-clinical Assessment Delegates </w:t>
      </w:r>
    </w:p>
    <w:p w14:paraId="08DE88EA" w14:textId="77777777" w:rsidR="00ED631B" w:rsidRPr="000F6CD1" w:rsidRDefault="00ED631B" w:rsidP="00856600">
      <w:pPr>
        <w:pStyle w:val="ListParagraph"/>
        <w:numPr>
          <w:ilvl w:val="0"/>
          <w:numId w:val="40"/>
        </w:numPr>
        <w:spacing w:before="240" w:after="240" w:line="240" w:lineRule="auto"/>
        <w:rPr>
          <w:rFonts w:eastAsia="MS Mincho"/>
        </w:rPr>
      </w:pPr>
      <w:r w:rsidRPr="000F6CD1">
        <w:rPr>
          <w:rFonts w:eastAsia="MS Mincho"/>
        </w:rPr>
        <w:t xml:space="preserve">Clinical Assessment Delegates </w:t>
      </w:r>
    </w:p>
    <w:tbl>
      <w:tblPr>
        <w:tblW w:w="0" w:type="auto"/>
        <w:tblLook w:val="04A0" w:firstRow="1" w:lastRow="0" w:firstColumn="1" w:lastColumn="0" w:noHBand="0" w:noVBand="1"/>
      </w:tblPr>
      <w:tblGrid>
        <w:gridCol w:w="982"/>
        <w:gridCol w:w="7784"/>
      </w:tblGrid>
      <w:tr w:rsidR="009940A8" w:rsidRPr="000F6CD1" w14:paraId="6C2A4FD9" w14:textId="77777777" w:rsidTr="00063DA5">
        <w:tc>
          <w:tcPr>
            <w:tcW w:w="988" w:type="dxa"/>
          </w:tcPr>
          <w:p w14:paraId="04675105" w14:textId="77777777" w:rsidR="009940A8" w:rsidRPr="000F6CD1" w:rsidRDefault="009940A8" w:rsidP="00856600">
            <w:pPr>
              <w:spacing w:before="240" w:after="240" w:line="240" w:lineRule="auto"/>
            </w:pPr>
            <w:r w:rsidRPr="000F6CD1">
              <w:rPr>
                <w:noProof/>
              </w:rPr>
              <w:drawing>
                <wp:inline distT="0" distB="0" distL="0" distR="0" wp14:anchorId="2E461BDD" wp14:editId="2BCAE1E6">
                  <wp:extent cx="383111" cy="381000"/>
                  <wp:effectExtent l="0" t="0" r="0" b="0"/>
                  <wp:docPr id="581931867" name="Picture 581931867"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1867" name="Picture 581931867"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71CD4DB0" w14:textId="738E3062" w:rsidR="009940A8" w:rsidRPr="000F6CD1" w:rsidRDefault="009940A8" w:rsidP="00856600">
            <w:pPr>
              <w:spacing w:before="240" w:after="240" w:line="240" w:lineRule="auto"/>
            </w:pPr>
            <w:r w:rsidRPr="000F6CD1">
              <w:rPr>
                <w:rFonts w:eastAsia="MS Mincho"/>
              </w:rPr>
              <w:t xml:space="preserve">For further information about delegate roles, their functions and responsibilities refer to </w:t>
            </w:r>
            <w:r w:rsidR="009E0D82" w:rsidRPr="000F6CD1">
              <w:rPr>
                <w:rFonts w:eastAsia="MS Mincho"/>
              </w:rPr>
              <w:fldChar w:fldCharType="begin"/>
            </w:r>
            <w:r w:rsidR="009E0D82" w:rsidRPr="000F6CD1">
              <w:rPr>
                <w:rFonts w:eastAsia="MS Mincho"/>
              </w:rPr>
              <w:instrText xml:space="preserve"> REF _Ref232591327 \h </w:instrText>
            </w:r>
            <w:r w:rsidR="009E0D82" w:rsidRPr="000F6CD1">
              <w:rPr>
                <w:rFonts w:eastAsia="MS Mincho"/>
              </w:rPr>
            </w:r>
            <w:r w:rsidR="009E0D82" w:rsidRPr="000F6CD1">
              <w:rPr>
                <w:rFonts w:eastAsia="MS Mincho"/>
              </w:rPr>
              <w:fldChar w:fldCharType="separate"/>
            </w:r>
            <w:r w:rsidR="004B171E" w:rsidRPr="000F6CD1">
              <w:t>Chapter 7: Delegations and approvals under the Act</w:t>
            </w:r>
            <w:r w:rsidR="009E0D82" w:rsidRPr="000F6CD1">
              <w:rPr>
                <w:rFonts w:eastAsia="MS Mincho"/>
              </w:rPr>
              <w:fldChar w:fldCharType="end"/>
            </w:r>
            <w:r w:rsidR="002568B3" w:rsidRPr="000F6CD1">
              <w:rPr>
                <w:rFonts w:eastAsia="MS Mincho"/>
              </w:rPr>
              <w:t xml:space="preserve">. </w:t>
            </w:r>
          </w:p>
        </w:tc>
      </w:tr>
    </w:tbl>
    <w:p w14:paraId="4ED73E82" w14:textId="77777777" w:rsidR="00ED631B" w:rsidRPr="000F6CD1" w:rsidRDefault="00ED631B" w:rsidP="00AD2CE5">
      <w:pPr>
        <w:pStyle w:val="H3"/>
      </w:pPr>
      <w:bookmarkStart w:id="162" w:name="_Toc204329507"/>
      <w:r w:rsidRPr="000F6CD1">
        <w:lastRenderedPageBreak/>
        <w:t>Multi-disciplinary approach</w:t>
      </w:r>
      <w:bookmarkEnd w:id="162"/>
    </w:p>
    <w:p w14:paraId="3285D79F" w14:textId="77777777" w:rsidR="00ED631B" w:rsidRPr="000F6CD1" w:rsidRDefault="00ED631B" w:rsidP="00856600">
      <w:pPr>
        <w:spacing w:before="240" w:after="240" w:line="240" w:lineRule="auto"/>
      </w:pPr>
      <w:r w:rsidRPr="000F6CD1">
        <w:t>Assessors undertaking a comprehensive assessment may be required to participate in a multi-disciplinary approach, particularly for complex or difficult assessments. This may include activities within or outside of the team such as multi-disciplinary case conferencing, joint assessments with other health professionals where necessary or multi-disciplinary consultation.</w:t>
      </w:r>
    </w:p>
    <w:p w14:paraId="07CFB72E" w14:textId="1985BFF9" w:rsidR="005744C8" w:rsidRPr="000F6CD1" w:rsidRDefault="00E97B87" w:rsidP="00856600">
      <w:pPr>
        <w:spacing w:before="240" w:after="240" w:line="240" w:lineRule="auto"/>
      </w:pPr>
      <w:r w:rsidRPr="000F6CD1">
        <w:t>A m</w:t>
      </w:r>
      <w:r w:rsidR="005744C8" w:rsidRPr="000F6CD1">
        <w:t xml:space="preserve">ultidisciplinary approach to aged care assessment for older Aboriginal and Torres Strait Islander people should go beyond a clinical assessment and </w:t>
      </w:r>
      <w:r w:rsidR="00F9456E" w:rsidRPr="000F6CD1">
        <w:t>must</w:t>
      </w:r>
      <w:r w:rsidR="005744C8" w:rsidRPr="000F6CD1">
        <w:t xml:space="preserve"> consider the client’s social, emotional, and cultural wellbeing. It may involve collaboration with other professionals, social workers, community members, as part of the assessment</w:t>
      </w:r>
      <w:r w:rsidR="00A67AEA" w:rsidRPr="000F6CD1">
        <w:t xml:space="preserve"> and guided by the client</w:t>
      </w:r>
      <w:r w:rsidR="005744C8" w:rsidRPr="000F6CD1">
        <w:t>. This is to ensure the assessment is holistic, culturally safe and responsive to the person’s needs.</w:t>
      </w:r>
      <w:r w:rsidR="00A67AEA" w:rsidRPr="000F6CD1">
        <w:t xml:space="preserve"> Respect and care for Aboriginal and Torres Strait Islander peoples’ ways of working is critical to building reciprocal trust and the client’s ageing well outcomes. </w:t>
      </w:r>
    </w:p>
    <w:p w14:paraId="17215488" w14:textId="157E659E" w:rsidR="005744C8" w:rsidRPr="000F6CD1" w:rsidRDefault="68B0FE43" w:rsidP="00856600">
      <w:pPr>
        <w:spacing w:before="240" w:after="240" w:line="240" w:lineRule="auto"/>
      </w:pPr>
      <w:r w:rsidRPr="000F6CD1">
        <w:t>This approach should also be applied to other people who have experienced trauma such as people from diverse backgrounds and life experiences. Assessors need to apply trauma</w:t>
      </w:r>
      <w:r w:rsidRPr="000F6CD1">
        <w:rPr>
          <w:rFonts w:ascii="Cambria Math" w:hAnsi="Cambria Math" w:cs="Cambria Math"/>
        </w:rPr>
        <w:t>‑</w:t>
      </w:r>
      <w:r w:rsidRPr="000F6CD1">
        <w:t>aware, culturally safe and rights</w:t>
      </w:r>
      <w:r w:rsidRPr="000F6CD1">
        <w:rPr>
          <w:rFonts w:ascii="Cambria Math" w:hAnsi="Cambria Math" w:cs="Cambria Math"/>
        </w:rPr>
        <w:t>‑</w:t>
      </w:r>
      <w:r w:rsidRPr="000F6CD1">
        <w:t xml:space="preserve">based approaches to assessment, consistent with the Statement of Rights under the </w:t>
      </w:r>
      <w:r w:rsidRPr="00B05426">
        <w:rPr>
          <w:i/>
          <w:iCs/>
        </w:rPr>
        <w:t>Aged Care Act 2024</w:t>
      </w:r>
      <w:r w:rsidRPr="000F6CD1">
        <w:t>, to uphold older people’s dignity, autonomy, safety, informed choice and control, and to minimise the risk of re</w:t>
      </w:r>
      <w:r w:rsidRPr="000F6CD1">
        <w:rPr>
          <w:rFonts w:ascii="Cambria Math" w:hAnsi="Cambria Math" w:cs="Cambria Math"/>
        </w:rPr>
        <w:t>‑</w:t>
      </w:r>
      <w:r w:rsidRPr="000F6CD1">
        <w:t xml:space="preserve">traumatisation. For further information see Chapter </w:t>
      </w:r>
      <w:r w:rsidR="009B0543">
        <w:fldChar w:fldCharType="begin"/>
      </w:r>
      <w:r w:rsidR="009B0543">
        <w:instrText xml:space="preserve"> REF _Ref212735812 \r \h </w:instrText>
      </w:r>
      <w:r w:rsidR="009B0543">
        <w:fldChar w:fldCharType="separate"/>
      </w:r>
      <w:r w:rsidR="004B171E">
        <w:t>12</w:t>
      </w:r>
      <w:r w:rsidR="009B0543">
        <w:fldChar w:fldCharType="end"/>
      </w:r>
      <w:r w:rsidRPr="000F6CD1">
        <w:t>.</w:t>
      </w:r>
    </w:p>
    <w:p w14:paraId="53ADB2CC" w14:textId="77777777" w:rsidR="00ED631B" w:rsidRPr="000F6CD1" w:rsidRDefault="00ED631B" w:rsidP="006647CE">
      <w:pPr>
        <w:pStyle w:val="h2"/>
      </w:pPr>
      <w:bookmarkStart w:id="163" w:name="_Toc159226862"/>
      <w:bookmarkStart w:id="164" w:name="_Toc184402260"/>
      <w:bookmarkStart w:id="165" w:name="_Toc204329508"/>
      <w:bookmarkStart w:id="166" w:name="_Toc209188955"/>
      <w:bookmarkStart w:id="167" w:name="_Toc233282422"/>
      <w:r w:rsidRPr="000F6CD1">
        <w:t>Aims and key features of assessment</w:t>
      </w:r>
      <w:bookmarkEnd w:id="163"/>
      <w:bookmarkEnd w:id="164"/>
      <w:bookmarkEnd w:id="165"/>
      <w:bookmarkEnd w:id="166"/>
      <w:bookmarkEnd w:id="167"/>
    </w:p>
    <w:p w14:paraId="49B11340" w14:textId="2AA92E3C" w:rsidR="00ED631B" w:rsidRPr="000F6CD1" w:rsidRDefault="00ED631B" w:rsidP="00856600">
      <w:pPr>
        <w:spacing w:before="240" w:after="240" w:line="240" w:lineRule="auto"/>
        <w:contextualSpacing/>
      </w:pPr>
      <w:r w:rsidRPr="000F6CD1">
        <w:rPr>
          <w:rFonts w:eastAsia="MS PGothic"/>
        </w:rPr>
        <w:t xml:space="preserve">The Single Assessment System </w:t>
      </w:r>
      <w:r w:rsidRPr="000F6CD1">
        <w:t>aims to deliver consistent, high-quality assessments. The aims and key features of a My Aged Care assessment are to:</w:t>
      </w:r>
    </w:p>
    <w:p w14:paraId="293C619B" w14:textId="375F6EC4" w:rsidR="00ED631B" w:rsidRPr="000F6CD1" w:rsidRDefault="00EB3BBB"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d</w:t>
      </w:r>
      <w:r w:rsidR="00ED631B" w:rsidRPr="000F6CD1">
        <w:rPr>
          <w:lang w:val="en-AU"/>
        </w:rPr>
        <w:t xml:space="preserve">eliver timely, safe, and nationally consistent aged care assessments of a high quality guided by the Aged Care Assessment Quality Framework, facilitating access to Commonwealth government aged care services which best meet the current needs of the older person. </w:t>
      </w:r>
    </w:p>
    <w:p w14:paraId="0C794B9B" w14:textId="7105F7C6" w:rsidR="00ED631B" w:rsidRPr="000F6CD1" w:rsidRDefault="00EB3BBB"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c</w:t>
      </w:r>
      <w:r w:rsidR="00ED631B" w:rsidRPr="000F6CD1">
        <w:rPr>
          <w:lang w:val="en-AU"/>
        </w:rPr>
        <w:t>onduct</w:t>
      </w:r>
      <w:r w:rsidRPr="000F6CD1">
        <w:rPr>
          <w:lang w:val="en-AU"/>
        </w:rPr>
        <w:t xml:space="preserve"> assessments</w:t>
      </w:r>
      <w:r w:rsidR="00ED631B" w:rsidRPr="000F6CD1">
        <w:rPr>
          <w:lang w:val="en-AU"/>
        </w:rPr>
        <w:t xml:space="preserve"> in accordance with privacy obligations, and with the consent of the older person (or their appointed decision maker</w:t>
      </w:r>
      <w:r w:rsidR="00E927A1" w:rsidRPr="000F6CD1">
        <w:rPr>
          <w:lang w:val="en-AU"/>
        </w:rPr>
        <w:t xml:space="preserve"> recognised under the Act</w:t>
      </w:r>
      <w:r w:rsidR="00ED631B" w:rsidRPr="000F6CD1">
        <w:rPr>
          <w:lang w:val="en-AU"/>
        </w:rPr>
        <w:t xml:space="preserve">), optimally in a face-to-face setting when safe to do so. </w:t>
      </w:r>
    </w:p>
    <w:p w14:paraId="24563A0C" w14:textId="243A443F" w:rsidR="00ED631B" w:rsidRPr="000F6CD1" w:rsidRDefault="003A20B9"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v</w:t>
      </w:r>
      <w:r w:rsidR="00ED631B" w:rsidRPr="000F6CD1">
        <w:rPr>
          <w:lang w:val="en-AU"/>
        </w:rPr>
        <w:t>alue and support an older person’s identity, culture, and diversity.</w:t>
      </w:r>
    </w:p>
    <w:p w14:paraId="1AFDB5CE" w14:textId="62FD1FEF" w:rsidR="00ED631B" w:rsidRPr="000F6CD1" w:rsidRDefault="003A20B9"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i</w:t>
      </w:r>
      <w:r w:rsidR="00ED631B" w:rsidRPr="000F6CD1">
        <w:rPr>
          <w:lang w:val="en-AU"/>
        </w:rPr>
        <w:t>nvolve older p</w:t>
      </w:r>
      <w:r w:rsidR="00D372B2" w:rsidRPr="000F6CD1">
        <w:rPr>
          <w:lang w:val="en-AU"/>
        </w:rPr>
        <w:t>eople</w:t>
      </w:r>
      <w:r w:rsidR="00ED631B" w:rsidRPr="000F6CD1">
        <w:rPr>
          <w:lang w:val="en-AU"/>
        </w:rPr>
        <w:t xml:space="preserve"> and their carers, support network and other service providers, such as Care Finders and Elder Care Support workers (where </w:t>
      </w:r>
      <w:r w:rsidR="00BF67DB" w:rsidRPr="000F6CD1">
        <w:rPr>
          <w:lang w:val="en-AU"/>
        </w:rPr>
        <w:t>they are registered as an Agent supporting the</w:t>
      </w:r>
      <w:r w:rsidR="00FF6E8A" w:rsidRPr="000F6CD1">
        <w:rPr>
          <w:lang w:val="en-AU"/>
        </w:rPr>
        <w:t xml:space="preserve"> client</w:t>
      </w:r>
      <w:r w:rsidR="00ED631B" w:rsidRPr="000F6CD1">
        <w:rPr>
          <w:lang w:val="en-AU"/>
        </w:rPr>
        <w:t>) as appropriate in assessment and care support planning processes.</w:t>
      </w:r>
    </w:p>
    <w:p w14:paraId="12345257" w14:textId="69F15096" w:rsidR="00ED631B" w:rsidRPr="000F6CD1" w:rsidRDefault="003A20B9"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e</w:t>
      </w:r>
      <w:r w:rsidR="00ED631B" w:rsidRPr="000F6CD1">
        <w:rPr>
          <w:lang w:val="en-AU"/>
        </w:rPr>
        <w:t xml:space="preserve">nsure assessments of older </w:t>
      </w:r>
      <w:r w:rsidR="00D372B2" w:rsidRPr="000F6CD1">
        <w:rPr>
          <w:lang w:val="en-AU"/>
        </w:rPr>
        <w:t>people</w:t>
      </w:r>
      <w:r w:rsidR="00ED631B" w:rsidRPr="000F6CD1">
        <w:rPr>
          <w:lang w:val="en-AU"/>
        </w:rPr>
        <w:t xml:space="preserve"> are independent, holistic, and older person-focused, incorporating assessment of physical, medical, psychological, cultural, social, environmental and wellness dimensions which are separate from service provision.</w:t>
      </w:r>
    </w:p>
    <w:p w14:paraId="7C47976A" w14:textId="6CB80A69" w:rsidR="00ED631B" w:rsidRPr="000F6CD1" w:rsidRDefault="003A20B9"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d</w:t>
      </w:r>
      <w:r w:rsidR="00ED631B" w:rsidRPr="000F6CD1">
        <w:rPr>
          <w:lang w:val="en-AU"/>
        </w:rPr>
        <w:t>eliver tailored Support Plans incorporating an older person’s choice, improving the health and wellbeing of older people, which are based on their goals and current care needs, embedding wellness and reablement approaches where appropriate (see</w:t>
      </w:r>
      <w:r w:rsidR="00ED631B" w:rsidRPr="000F6CD1">
        <w:rPr>
          <w:i/>
          <w:lang w:val="en-AU"/>
        </w:rPr>
        <w:t xml:space="preserve"> </w:t>
      </w:r>
      <w:r w:rsidR="009940A8" w:rsidRPr="000F6CD1">
        <w:rPr>
          <w:lang w:val="en-AU"/>
        </w:rPr>
        <w:t xml:space="preserve">Chapter </w:t>
      </w:r>
      <w:r w:rsidR="001B6E64" w:rsidRPr="000F6CD1">
        <w:rPr>
          <w:lang w:val="en-AU"/>
        </w:rPr>
        <w:fldChar w:fldCharType="begin"/>
      </w:r>
      <w:r w:rsidR="001B6E64" w:rsidRPr="000F6CD1">
        <w:rPr>
          <w:lang w:val="en-AU"/>
        </w:rPr>
        <w:instrText xml:space="preserve"> REF _Ref212735165 \r \h </w:instrText>
      </w:r>
      <w:r w:rsidR="001B6E64" w:rsidRPr="000F6CD1">
        <w:rPr>
          <w:lang w:val="en-AU"/>
        </w:rPr>
      </w:r>
      <w:r w:rsidR="001B6E64" w:rsidRPr="000F6CD1">
        <w:rPr>
          <w:lang w:val="en-AU"/>
        </w:rPr>
        <w:fldChar w:fldCharType="separate"/>
      </w:r>
      <w:r w:rsidR="004B171E">
        <w:rPr>
          <w:lang w:val="en-AU"/>
        </w:rPr>
        <w:t>5</w:t>
      </w:r>
      <w:r w:rsidR="001B6E64" w:rsidRPr="000F6CD1">
        <w:rPr>
          <w:lang w:val="en-AU"/>
        </w:rPr>
        <w:fldChar w:fldCharType="end"/>
      </w:r>
      <w:r w:rsidR="00ED631B" w:rsidRPr="000F6CD1">
        <w:rPr>
          <w:lang w:val="en-AU"/>
        </w:rPr>
        <w:t xml:space="preserve">). </w:t>
      </w:r>
    </w:p>
    <w:p w14:paraId="6188A61B" w14:textId="5EDC0759" w:rsidR="00ED631B" w:rsidRPr="000F6CD1" w:rsidRDefault="003A20B9"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lastRenderedPageBreak/>
        <w:t>e</w:t>
      </w:r>
      <w:r w:rsidR="00ED631B" w:rsidRPr="000F6CD1">
        <w:rPr>
          <w:lang w:val="en-AU"/>
        </w:rPr>
        <w:t xml:space="preserve">nsure older </w:t>
      </w:r>
      <w:r w:rsidR="00D372B2" w:rsidRPr="000F6CD1">
        <w:rPr>
          <w:lang w:val="en-AU"/>
        </w:rPr>
        <w:t>people</w:t>
      </w:r>
      <w:r w:rsidR="00ED631B" w:rsidRPr="000F6CD1">
        <w:rPr>
          <w:lang w:val="en-AU"/>
        </w:rPr>
        <w:t xml:space="preserve"> from diverse backgrounds have equitable access to assessment services.</w:t>
      </w:r>
    </w:p>
    <w:p w14:paraId="52594987" w14:textId="47A99B4A" w:rsidR="00ED631B" w:rsidRPr="000F6CD1" w:rsidRDefault="004A03E8"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p</w:t>
      </w:r>
      <w:r w:rsidR="00ED631B" w:rsidRPr="000F6CD1">
        <w:rPr>
          <w:lang w:val="en-AU"/>
        </w:rPr>
        <w:t xml:space="preserve">rovide a choice for older Aboriginal and Torres Strait Islander people to access culturally safe, trauma aware and healing informed aged care assessments from Aboriginal and Torres Strait Islander assessment organisations. </w:t>
      </w:r>
    </w:p>
    <w:p w14:paraId="46669337" w14:textId="50B738DD" w:rsidR="00ED631B" w:rsidRPr="000F6CD1" w:rsidRDefault="004A03E8"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c</w:t>
      </w:r>
      <w:r w:rsidR="00ED631B" w:rsidRPr="000F6CD1">
        <w:rPr>
          <w:lang w:val="en-AU"/>
        </w:rPr>
        <w:t>onsider both formal and informal services to assist an older person to remain in the setting most appropriate to their needs (such as their own home) to prevent premature or inappropriate admission to residential care.</w:t>
      </w:r>
    </w:p>
    <w:p w14:paraId="682A7048" w14:textId="200D69AD" w:rsidR="00ED631B" w:rsidRPr="000F6CD1" w:rsidRDefault="004A03E8"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b</w:t>
      </w:r>
      <w:r w:rsidR="00ED631B" w:rsidRPr="000F6CD1">
        <w:rPr>
          <w:lang w:val="en-AU"/>
        </w:rPr>
        <w:t>uild and maintain effective and respectful working relationships with all My Aged Care assessors, service providers and other support agencies.</w:t>
      </w:r>
    </w:p>
    <w:p w14:paraId="3F22690D" w14:textId="3D9BE132" w:rsidR="00ED631B" w:rsidRPr="000F6CD1" w:rsidRDefault="004A03E8" w:rsidP="00856600">
      <w:pPr>
        <w:pStyle w:val="NumberedList"/>
        <w:keepNext/>
        <w:keepLines/>
        <w:numPr>
          <w:ilvl w:val="0"/>
          <w:numId w:val="38"/>
        </w:numPr>
        <w:tabs>
          <w:tab w:val="clear" w:pos="720"/>
          <w:tab w:val="num" w:pos="567"/>
        </w:tabs>
        <w:spacing w:before="240" w:after="240" w:line="240" w:lineRule="auto"/>
        <w:ind w:left="568" w:hanging="284"/>
        <w:rPr>
          <w:lang w:val="en-AU"/>
        </w:rPr>
      </w:pPr>
      <w:r w:rsidRPr="000F6CD1">
        <w:rPr>
          <w:lang w:val="en-AU"/>
        </w:rPr>
        <w:t>p</w:t>
      </w:r>
      <w:r w:rsidR="00ED631B" w:rsidRPr="000F6CD1">
        <w:rPr>
          <w:lang w:val="en-AU"/>
        </w:rPr>
        <w:t>rovide short-term case management/linking support and short-term care coordination to vulnerable older people to address barriers affecting their access to aged care services, including extending connections with services and organisations in local communities (including those not listed on My Aged Care); and</w:t>
      </w:r>
    </w:p>
    <w:p w14:paraId="2624EAF8" w14:textId="5C4C0F25" w:rsidR="00ED631B" w:rsidRPr="000F6CD1" w:rsidRDefault="004A03E8" w:rsidP="00856600">
      <w:pPr>
        <w:pStyle w:val="NumberedList"/>
        <w:numPr>
          <w:ilvl w:val="0"/>
          <w:numId w:val="38"/>
        </w:numPr>
        <w:tabs>
          <w:tab w:val="clear" w:pos="720"/>
          <w:tab w:val="num" w:pos="567"/>
        </w:tabs>
        <w:spacing w:before="240" w:after="240" w:line="240" w:lineRule="auto"/>
        <w:ind w:left="568" w:hanging="284"/>
        <w:rPr>
          <w:lang w:val="en-AU"/>
        </w:rPr>
      </w:pPr>
      <w:r w:rsidRPr="000F6CD1">
        <w:rPr>
          <w:lang w:val="en-AU"/>
        </w:rPr>
        <w:t>u</w:t>
      </w:r>
      <w:r w:rsidR="00ED631B" w:rsidRPr="000F6CD1">
        <w:rPr>
          <w:lang w:val="en-AU"/>
        </w:rPr>
        <w:t xml:space="preserve">se the My Aged Care </w:t>
      </w:r>
      <w:r w:rsidR="0060352D" w:rsidRPr="000F6CD1">
        <w:rPr>
          <w:lang w:val="en-AU"/>
        </w:rPr>
        <w:t>assessor portal</w:t>
      </w:r>
      <w:r w:rsidR="00ED631B" w:rsidRPr="000F6CD1">
        <w:rPr>
          <w:lang w:val="en-AU"/>
        </w:rPr>
        <w:t>, including the IAT and its built-in validated assessment tools and associated guidance materials to record assessment information accurately, prevent duplication, and re-use (pre-populate) information to deliver assessments of a high quality and standard.</w:t>
      </w:r>
    </w:p>
    <w:p w14:paraId="7156FE5D" w14:textId="7656DD9F" w:rsidR="00ED631B" w:rsidRPr="000F6CD1" w:rsidRDefault="00ED631B" w:rsidP="006647CE">
      <w:pPr>
        <w:pStyle w:val="h2"/>
        <w:rPr>
          <w:color w:val="auto"/>
        </w:rPr>
      </w:pPr>
      <w:bookmarkStart w:id="168" w:name="_Toc204329509"/>
      <w:bookmarkStart w:id="169" w:name="_Toc209188956"/>
      <w:bookmarkStart w:id="170" w:name="_Toc233282423"/>
      <w:r w:rsidRPr="000F6CD1">
        <w:t xml:space="preserve">Assessment </w:t>
      </w:r>
      <w:r w:rsidR="00D60B1F" w:rsidRPr="000F6CD1">
        <w:t>q</w:t>
      </w:r>
      <w:r w:rsidRPr="000F6CD1">
        <w:t>uality</w:t>
      </w:r>
      <w:bookmarkEnd w:id="148"/>
      <w:bookmarkEnd w:id="168"/>
      <w:bookmarkEnd w:id="169"/>
      <w:bookmarkEnd w:id="170"/>
    </w:p>
    <w:bookmarkEnd w:id="149"/>
    <w:p w14:paraId="3169208F" w14:textId="3408F92F" w:rsidR="00ED631B" w:rsidRPr="000F6CD1" w:rsidRDefault="00ED631B" w:rsidP="00856600">
      <w:pPr>
        <w:spacing w:before="240" w:after="240" w:line="240" w:lineRule="auto"/>
      </w:pPr>
      <w:r w:rsidRPr="000F6CD1">
        <w:t xml:space="preserve">Assessment organisations are required to undertake aged care needs assessments using the </w:t>
      </w:r>
      <w:r w:rsidR="7DA5DA2F" w:rsidRPr="000F6CD1">
        <w:t>IAT in</w:t>
      </w:r>
      <w:r w:rsidRPr="000F6CD1">
        <w:t xml:space="preserve"> a manner that focuses on the older person and contributes to delivering timely, safe and nationally consistent high-quality assessments, guided by the </w:t>
      </w:r>
      <w:hyperlink r:id="rId64">
        <w:r w:rsidRPr="000F6CD1">
          <w:t>Aged Care Assessment Quality Framework</w:t>
        </w:r>
      </w:hyperlink>
      <w:r w:rsidRPr="000F6CD1">
        <w:t xml:space="preserve"> (the Framework).</w:t>
      </w:r>
    </w:p>
    <w:p w14:paraId="2912E1A5" w14:textId="2F3507B0" w:rsidR="00ED631B" w:rsidRPr="000F6CD1" w:rsidRDefault="00ED631B" w:rsidP="00856600">
      <w:pPr>
        <w:spacing w:before="240" w:after="240" w:line="240" w:lineRule="auto"/>
      </w:pPr>
      <w:r w:rsidRPr="000F6CD1">
        <w:t xml:space="preserve">The Framework describes essential organisational skills required to support assessors to reach and maintain a high-quality assessment experience for every older person. It also incorporates the </w:t>
      </w:r>
      <w:r w:rsidR="00CF773A" w:rsidRPr="000F6CD1">
        <w:t>three</w:t>
      </w:r>
      <w:r w:rsidRPr="000F6CD1">
        <w:t>-tiers of quality management, focusing on assuring quality assessments including those in relation to younger people</w:t>
      </w:r>
      <w:r w:rsidR="001361CF" w:rsidRPr="000F6CD1">
        <w:t xml:space="preserve"> (existing aged care recipients needing a reassessment for other aged care services)</w:t>
      </w:r>
      <w:r w:rsidRPr="000F6CD1">
        <w:t>, older Aboriginal and Torres Strait Islander people and those from diverse backgrounds.</w:t>
      </w:r>
    </w:p>
    <w:p w14:paraId="5C95ACE7" w14:textId="066F4E37" w:rsidR="003C083C" w:rsidRPr="000F6CD1" w:rsidRDefault="00ED631B" w:rsidP="00856600">
      <w:pPr>
        <w:spacing w:before="240" w:after="240" w:line="240" w:lineRule="auto"/>
      </w:pPr>
      <w:r w:rsidRPr="000F6CD1">
        <w:t xml:space="preserve">The Framework aligns with the consumer-focused principles of the Aged Care Quality Standards from the Aged Care Quality and Safety Commission (ACQSC). </w:t>
      </w:r>
    </w:p>
    <w:p w14:paraId="54674CA9" w14:textId="2A8C91D3" w:rsidR="00ED631B" w:rsidRPr="000F6CD1" w:rsidRDefault="00ED631B" w:rsidP="00856600">
      <w:pPr>
        <w:spacing w:before="240" w:after="240" w:line="240" w:lineRule="auto"/>
      </w:pPr>
      <w:r w:rsidRPr="000F6CD1">
        <w:t xml:space="preserve">These </w:t>
      </w:r>
      <w:r w:rsidR="00EB4C3B" w:rsidRPr="000F6CD1">
        <w:t>A</w:t>
      </w:r>
      <w:r w:rsidRPr="000F6CD1">
        <w:t xml:space="preserve">ged </w:t>
      </w:r>
      <w:r w:rsidR="00EB4C3B" w:rsidRPr="000F6CD1">
        <w:t>C</w:t>
      </w:r>
      <w:r w:rsidRPr="000F6CD1">
        <w:t xml:space="preserve">are </w:t>
      </w:r>
      <w:r w:rsidR="00EB4C3B" w:rsidRPr="000F6CD1">
        <w:t>Q</w:t>
      </w:r>
      <w:r w:rsidRPr="000F6CD1">
        <w:t xml:space="preserve">uality </w:t>
      </w:r>
      <w:r w:rsidR="00EB4C3B" w:rsidRPr="000F6CD1">
        <w:t>S</w:t>
      </w:r>
      <w:r w:rsidRPr="000F6CD1">
        <w:t xml:space="preserve">tandards identify a high-quality assessment as one that meets the following four quality goals: </w:t>
      </w:r>
    </w:p>
    <w:p w14:paraId="19F4C172" w14:textId="77777777" w:rsidR="00ED631B" w:rsidRPr="000F6CD1" w:rsidRDefault="00ED631B" w:rsidP="00DF3F6B">
      <w:pPr>
        <w:pStyle w:val="ListParagraph"/>
        <w:numPr>
          <w:ilvl w:val="0"/>
          <w:numId w:val="403"/>
        </w:numPr>
        <w:tabs>
          <w:tab w:val="clear" w:pos="2209"/>
          <w:tab w:val="num" w:pos="360"/>
        </w:tabs>
        <w:spacing w:before="240" w:after="240" w:line="240" w:lineRule="auto"/>
        <w:ind w:left="360"/>
      </w:pPr>
      <w:r w:rsidRPr="00F019C5">
        <w:rPr>
          <w:b/>
          <w:color w:val="000000" w:themeColor="text1"/>
        </w:rPr>
        <w:t>Personal</w:t>
      </w:r>
      <w:r w:rsidRPr="00F019C5">
        <w:rPr>
          <w:color w:val="000000" w:themeColor="text1"/>
        </w:rPr>
        <w:t xml:space="preserve"> –</w:t>
      </w:r>
      <w:r w:rsidRPr="000F6CD1">
        <w:t xml:space="preserve">the assessment process is conducted as a respectful conversation and is responsive to the person’s individual situation, context, goals, and aspirations – it includes and respects the role of carers and family and ascertains the sustainability of this support. Further, the support plan accurately reflects the older person’s personal and unique circumstances (i.e., physical, medical, psychological, cultural, social, and personal) and the older person’s specific goals and aspirations reflective of their assessed care needs. </w:t>
      </w:r>
    </w:p>
    <w:p w14:paraId="5DADE1EB" w14:textId="77777777" w:rsidR="00ED631B" w:rsidRPr="000F6CD1" w:rsidRDefault="00ED631B" w:rsidP="00DF3F6B">
      <w:pPr>
        <w:pStyle w:val="ListParagraph"/>
        <w:numPr>
          <w:ilvl w:val="0"/>
          <w:numId w:val="403"/>
        </w:numPr>
        <w:tabs>
          <w:tab w:val="clear" w:pos="2209"/>
          <w:tab w:val="num" w:pos="360"/>
        </w:tabs>
        <w:spacing w:before="240" w:after="240" w:line="240" w:lineRule="auto"/>
        <w:ind w:left="360"/>
      </w:pPr>
      <w:r w:rsidRPr="00F019C5">
        <w:rPr>
          <w:b/>
          <w:color w:val="000000" w:themeColor="text1"/>
        </w:rPr>
        <w:t>Effective</w:t>
      </w:r>
      <w:r w:rsidRPr="00F019C5">
        <w:rPr>
          <w:color w:val="000000" w:themeColor="text1"/>
        </w:rPr>
        <w:t xml:space="preserve"> – </w:t>
      </w:r>
      <w:r w:rsidRPr="000F6CD1">
        <w:t xml:space="preserve">the older person feels that the assessment process culminates in them being able to exercise choice and control in accessing the right services (as available </w:t>
      </w:r>
      <w:r w:rsidRPr="000F6CD1">
        <w:lastRenderedPageBreak/>
        <w:t xml:space="preserve">and as eligible) to assist them to remain in a setting most appropriate to their needs. There is a reduced need for the older person to tell their story more than once. </w:t>
      </w:r>
    </w:p>
    <w:p w14:paraId="72C0D45A" w14:textId="77777777" w:rsidR="00ED631B" w:rsidRPr="000F6CD1" w:rsidRDefault="00ED631B" w:rsidP="00DF3F6B">
      <w:pPr>
        <w:pStyle w:val="ListParagraph"/>
        <w:numPr>
          <w:ilvl w:val="0"/>
          <w:numId w:val="403"/>
        </w:numPr>
        <w:tabs>
          <w:tab w:val="clear" w:pos="2209"/>
          <w:tab w:val="num" w:pos="360"/>
        </w:tabs>
        <w:spacing w:before="240" w:after="240" w:line="240" w:lineRule="auto"/>
        <w:ind w:left="360"/>
      </w:pPr>
      <w:r w:rsidRPr="00F019C5">
        <w:rPr>
          <w:b/>
          <w:color w:val="000000" w:themeColor="text1"/>
        </w:rPr>
        <w:t xml:space="preserve">Connected </w:t>
      </w:r>
      <w:r w:rsidRPr="000F6CD1">
        <w:t xml:space="preserve">– the older person feels connected to their My Aged Care pathway to services; understands how and why the assessment process contributes to their journey and what the likely timeframes are for approval decisions and access to services. </w:t>
      </w:r>
    </w:p>
    <w:p w14:paraId="6A9F74AF" w14:textId="77777777" w:rsidR="00ED631B" w:rsidRPr="000F6CD1" w:rsidRDefault="00ED631B" w:rsidP="00DF3F6B">
      <w:pPr>
        <w:pStyle w:val="ListParagraph"/>
        <w:numPr>
          <w:ilvl w:val="0"/>
          <w:numId w:val="403"/>
        </w:numPr>
        <w:tabs>
          <w:tab w:val="clear" w:pos="2209"/>
          <w:tab w:val="num" w:pos="360"/>
        </w:tabs>
        <w:spacing w:before="240" w:after="240" w:line="240" w:lineRule="auto"/>
        <w:ind w:left="360"/>
      </w:pPr>
      <w:r w:rsidRPr="00F019C5">
        <w:rPr>
          <w:b/>
          <w:color w:val="000000" w:themeColor="text1"/>
        </w:rPr>
        <w:t>Safe</w:t>
      </w:r>
      <w:r w:rsidRPr="00F019C5">
        <w:rPr>
          <w:color w:val="000000" w:themeColor="text1"/>
        </w:rPr>
        <w:t xml:space="preserve"> </w:t>
      </w:r>
      <w:r w:rsidRPr="000F6CD1">
        <w:t xml:space="preserve">– the older person is provided a physically, emotionally and culturally safe assessment where their unique experiences are respected and factored into the way they are assessed for aged care. All assessments are delivered in a safe environment and free from harm. </w:t>
      </w:r>
    </w:p>
    <w:p w14:paraId="024C3E50" w14:textId="77777777" w:rsidR="00ED631B" w:rsidRPr="000F6CD1" w:rsidRDefault="00ED631B" w:rsidP="00856600">
      <w:pPr>
        <w:pStyle w:val="ListParagraph"/>
        <w:spacing w:before="240" w:after="240" w:line="240" w:lineRule="auto"/>
        <w:ind w:left="0"/>
      </w:pPr>
    </w:p>
    <w:p w14:paraId="41FF2348" w14:textId="288878E0" w:rsidR="00ED631B" w:rsidRPr="000F6CD1" w:rsidRDefault="00ED631B" w:rsidP="00856600">
      <w:pPr>
        <w:pStyle w:val="ListParagraph"/>
        <w:spacing w:before="240" w:after="240" w:line="240" w:lineRule="auto"/>
        <w:ind w:left="0"/>
      </w:pPr>
      <w:r w:rsidRPr="000F6CD1">
        <w:t xml:space="preserve">The </w:t>
      </w:r>
      <w:hyperlink r:id="rId65">
        <w:r w:rsidRPr="000F6CD1">
          <w:t xml:space="preserve"> Framework</w:t>
        </w:r>
      </w:hyperlink>
      <w:r w:rsidRPr="000F6CD1">
        <w:t xml:space="preserve"> provides detail of the key components and elements that must be in place to achieve high-quality assessment for every older person. </w:t>
      </w:r>
    </w:p>
    <w:p w14:paraId="73F95F0A" w14:textId="77777777" w:rsidR="00ED631B" w:rsidRPr="000F6CD1" w:rsidRDefault="00ED631B" w:rsidP="00856600">
      <w:pPr>
        <w:pStyle w:val="ListParagraph"/>
        <w:spacing w:before="240" w:after="240" w:line="240" w:lineRule="auto"/>
        <w:ind w:left="0"/>
      </w:pPr>
    </w:p>
    <w:p w14:paraId="40C00A54" w14:textId="77777777" w:rsidR="00ED631B" w:rsidRPr="000F6CD1" w:rsidRDefault="00ED631B" w:rsidP="00856600">
      <w:pPr>
        <w:pStyle w:val="ListParagraph"/>
        <w:spacing w:before="240" w:after="240" w:line="240" w:lineRule="auto"/>
        <w:ind w:left="0"/>
      </w:pPr>
      <w:r w:rsidRPr="000F6CD1">
        <w:t xml:space="preserve">Detailed measures and performance targets against the four quality goals are described in Section 5 of the Framework. The tools used to manage a quality assessment align to a three-tiered approach to managing quality. </w:t>
      </w:r>
    </w:p>
    <w:p w14:paraId="2259108F" w14:textId="77777777" w:rsidR="00ED631B" w:rsidRPr="000F6CD1" w:rsidRDefault="00ED631B" w:rsidP="00856600">
      <w:pPr>
        <w:pStyle w:val="ListParagraph"/>
        <w:spacing w:before="240" w:after="240" w:line="240" w:lineRule="auto"/>
        <w:ind w:left="0"/>
      </w:pPr>
    </w:p>
    <w:p w14:paraId="4DDD01D5" w14:textId="77777777" w:rsidR="00ED631B" w:rsidRPr="000F6CD1" w:rsidRDefault="00ED631B" w:rsidP="00856600">
      <w:pPr>
        <w:pStyle w:val="ListParagraph"/>
        <w:spacing w:before="240" w:after="240" w:line="240" w:lineRule="auto"/>
        <w:ind w:left="0"/>
      </w:pPr>
      <w:r w:rsidRPr="000F6CD1">
        <w:t xml:space="preserve">Assessment organisations are required to comply with the guidance set out in the Framework and this Manual. Assessment organisation managers play an important role in providing program support, training and information to their assessment staff to enable them to undertake quality assessments. Operational managers are required to distribute documents and products relating the Aged Care Assessment Quality Framework to their assessment workforce. </w:t>
      </w:r>
    </w:p>
    <w:p w14:paraId="329C37F3" w14:textId="77777777" w:rsidR="00ED631B" w:rsidRPr="000F6CD1" w:rsidRDefault="00ED631B" w:rsidP="006647CE">
      <w:pPr>
        <w:pStyle w:val="h2"/>
      </w:pPr>
      <w:bookmarkStart w:id="171" w:name="_Toc184402261"/>
      <w:bookmarkStart w:id="172" w:name="_Toc204329510"/>
      <w:bookmarkStart w:id="173" w:name="_Toc209188957"/>
      <w:bookmarkStart w:id="174" w:name="_Toc233282424"/>
      <w:r w:rsidRPr="000F6CD1">
        <w:t>Integrated Assessment Tool (IAT)</w:t>
      </w:r>
      <w:bookmarkEnd w:id="171"/>
      <w:bookmarkEnd w:id="172"/>
      <w:bookmarkEnd w:id="173"/>
      <w:bookmarkEnd w:id="174"/>
    </w:p>
    <w:p w14:paraId="2E1B2A83" w14:textId="0E9E3660" w:rsidR="00ED631B" w:rsidRPr="000F6CD1" w:rsidRDefault="00ED631B" w:rsidP="00856600">
      <w:pPr>
        <w:spacing w:before="240" w:after="240" w:line="240" w:lineRule="auto"/>
      </w:pPr>
      <w:r w:rsidRPr="000F6CD1">
        <w:t xml:space="preserve">The IAT was developed </w:t>
      </w:r>
      <w:r w:rsidR="00416FA6" w:rsidRPr="000F6CD1">
        <w:t xml:space="preserve">as part of the </w:t>
      </w:r>
      <w:r w:rsidRPr="000F6CD1">
        <w:t>aged care reforms</w:t>
      </w:r>
      <w:r w:rsidR="002251F4" w:rsidRPr="000F6CD1">
        <w:t xml:space="preserve"> undertaken in accordance with </w:t>
      </w:r>
      <w:r w:rsidRPr="000F6CD1">
        <w:t>the Australian Government’s response to recommendations from the Royal Commission into Aged Care Quality and Safety.</w:t>
      </w:r>
    </w:p>
    <w:p w14:paraId="633AB722" w14:textId="63106E15" w:rsidR="00ED631B" w:rsidRPr="000F6CD1" w:rsidRDefault="00ED631B" w:rsidP="00856600">
      <w:pPr>
        <w:spacing w:before="240" w:after="240" w:line="240" w:lineRule="auto"/>
        <w:rPr>
          <w:rFonts w:eastAsia="Aptos"/>
        </w:rPr>
      </w:pPr>
      <w:r w:rsidRPr="000F6CD1">
        <w:rPr>
          <w:rFonts w:eastAsia="Aptos"/>
        </w:rPr>
        <w:t>The</w:t>
      </w:r>
      <w:r w:rsidR="001361CF" w:rsidRPr="000F6CD1" w:rsidDel="001361CF">
        <w:rPr>
          <w:rFonts w:eastAsia="Aptos"/>
          <w:b/>
          <w:bCs/>
        </w:rPr>
        <w:t xml:space="preserve"> </w:t>
      </w:r>
      <w:r w:rsidRPr="000F6CD1">
        <w:rPr>
          <w:rFonts w:eastAsia="Aptos"/>
        </w:rPr>
        <w:t xml:space="preserve">IAT is the tool </w:t>
      </w:r>
      <w:r w:rsidR="00C6077F">
        <w:rPr>
          <w:rFonts w:eastAsia="Aptos"/>
        </w:rPr>
        <w:t>prescribed</w:t>
      </w:r>
      <w:r w:rsidR="00656373">
        <w:rPr>
          <w:rFonts w:eastAsia="Aptos"/>
        </w:rPr>
        <w:t xml:space="preserve"> by s62-5 of the </w:t>
      </w:r>
      <w:r w:rsidR="00656373" w:rsidRPr="00C6077F">
        <w:rPr>
          <w:rFonts w:eastAsia="Aptos"/>
          <w:i/>
          <w:iCs/>
        </w:rPr>
        <w:t>Aged Care Rules 2025</w:t>
      </w:r>
      <w:r w:rsidR="00656373">
        <w:rPr>
          <w:rFonts w:eastAsia="Aptos"/>
        </w:rPr>
        <w:t xml:space="preserve"> for the purpose</w:t>
      </w:r>
      <w:r w:rsidR="00C6077F">
        <w:rPr>
          <w:rFonts w:eastAsia="Aptos"/>
        </w:rPr>
        <w:t>s</w:t>
      </w:r>
      <w:r w:rsidR="00656373">
        <w:rPr>
          <w:rFonts w:eastAsia="Aptos"/>
        </w:rPr>
        <w:t xml:space="preserve"> of </w:t>
      </w:r>
      <w:r w:rsidR="00481AB1">
        <w:rPr>
          <w:rFonts w:eastAsia="Aptos"/>
        </w:rPr>
        <w:t xml:space="preserve">s62(1) of the </w:t>
      </w:r>
      <w:r w:rsidR="00481AB1" w:rsidRPr="00C6077F">
        <w:rPr>
          <w:rFonts w:eastAsia="Aptos"/>
          <w:i/>
          <w:iCs/>
        </w:rPr>
        <w:t>Aged Care Act 2024</w:t>
      </w:r>
      <w:r w:rsidR="00481AB1">
        <w:rPr>
          <w:rFonts w:eastAsia="Aptos"/>
        </w:rPr>
        <w:t>, which assessors must use to undertake a</w:t>
      </w:r>
      <w:r w:rsidR="00C6077F">
        <w:rPr>
          <w:rFonts w:eastAsia="Aptos"/>
        </w:rPr>
        <w:t xml:space="preserve">ssessment, and includes Validated Assessment Tools. </w:t>
      </w:r>
      <w:r w:rsidRPr="000F6CD1">
        <w:rPr>
          <w:rFonts w:eastAsia="Aptos"/>
        </w:rPr>
        <w:t>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5E90817F" w14:textId="53AA9FB4" w:rsidR="00ED631B" w:rsidRPr="000F6CD1" w:rsidRDefault="00ED631B" w:rsidP="00856600">
      <w:pPr>
        <w:spacing w:before="240" w:after="240" w:line="240" w:lineRule="auto"/>
      </w:pPr>
      <w:r w:rsidRPr="000F6CD1">
        <w:t>The IAT is divided into 1</w:t>
      </w:r>
      <w:r w:rsidR="00351274">
        <w:t>3</w:t>
      </w:r>
      <w:r w:rsidRPr="000F6CD1">
        <w:t xml:space="preserve"> sections. Some of the sections contain nested questions to tailor assessments, only diving deeper into areas where needed.</w:t>
      </w:r>
    </w:p>
    <w:p w14:paraId="68C4BF6C" w14:textId="1141F325" w:rsidR="00ED631B" w:rsidRPr="000F6CD1" w:rsidRDefault="00ED631B" w:rsidP="00856600">
      <w:pPr>
        <w:spacing w:before="240" w:after="240" w:line="240" w:lineRule="auto"/>
      </w:pPr>
      <w:r w:rsidRPr="000F6CD1">
        <w:t xml:space="preserve">The IAT Offline Form is also available for assessors who are undertaking assessments remotely or who do not have any available internet access at the time of the assessment. </w:t>
      </w:r>
    </w:p>
    <w:tbl>
      <w:tblPr>
        <w:tblW w:w="0" w:type="auto"/>
        <w:tblLook w:val="04A0" w:firstRow="1" w:lastRow="0" w:firstColumn="1" w:lastColumn="0" w:noHBand="0" w:noVBand="1"/>
      </w:tblPr>
      <w:tblGrid>
        <w:gridCol w:w="982"/>
        <w:gridCol w:w="7784"/>
      </w:tblGrid>
      <w:tr w:rsidR="000B3576" w:rsidRPr="000F6CD1" w14:paraId="3F92890E" w14:textId="77777777" w:rsidTr="00EF701B">
        <w:trPr>
          <w:trHeight w:val="1023"/>
        </w:trPr>
        <w:tc>
          <w:tcPr>
            <w:tcW w:w="988" w:type="dxa"/>
          </w:tcPr>
          <w:p w14:paraId="16562735" w14:textId="77777777" w:rsidR="000B3576" w:rsidRPr="000F6CD1" w:rsidRDefault="000B3576" w:rsidP="00856600">
            <w:pPr>
              <w:spacing w:before="240" w:after="240" w:line="240" w:lineRule="auto"/>
            </w:pPr>
            <w:r w:rsidRPr="000F6CD1">
              <w:rPr>
                <w:noProof/>
              </w:rPr>
              <w:drawing>
                <wp:inline distT="0" distB="0" distL="0" distR="0" wp14:anchorId="73A0AC63" wp14:editId="0DD618C2">
                  <wp:extent cx="383111" cy="381000"/>
                  <wp:effectExtent l="0" t="0" r="0" b="0"/>
                  <wp:docPr id="1250721436" name="Picture 1250721436"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21436" name="Picture 1250721436"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51642D30" w14:textId="77777777" w:rsidR="000B3576" w:rsidRPr="000F6CD1" w:rsidRDefault="00616E76" w:rsidP="00856600">
            <w:pPr>
              <w:spacing w:before="240" w:after="240" w:line="240" w:lineRule="auto"/>
            </w:pPr>
            <w:hyperlink r:id="rId66" w:history="1">
              <w:r w:rsidRPr="000F6CD1">
                <w:rPr>
                  <w:rStyle w:val="Hyperlink"/>
                </w:rPr>
                <w:t>IAT Offline Form</w:t>
              </w:r>
            </w:hyperlink>
          </w:p>
          <w:p w14:paraId="0E4A8BED" w14:textId="77777777" w:rsidR="00C5767A" w:rsidRDefault="00BB35A1" w:rsidP="00856600">
            <w:pPr>
              <w:spacing w:before="240" w:after="240" w:line="240" w:lineRule="auto"/>
            </w:pPr>
            <w:hyperlink r:id="rId67" w:history="1">
              <w:r w:rsidRPr="000F6CD1">
                <w:rPr>
                  <w:rStyle w:val="Hyperlink"/>
                </w:rPr>
                <w:t>IAT User Guide</w:t>
              </w:r>
            </w:hyperlink>
          </w:p>
          <w:p w14:paraId="022AD0A2" w14:textId="3351E948" w:rsidR="000B3576" w:rsidRPr="000F6CD1" w:rsidRDefault="000B3576" w:rsidP="00856600">
            <w:pPr>
              <w:spacing w:before="240" w:after="240" w:line="240" w:lineRule="auto"/>
            </w:pPr>
          </w:p>
        </w:tc>
      </w:tr>
    </w:tbl>
    <w:p w14:paraId="5C311E8F" w14:textId="3466C02C" w:rsidR="00616E76" w:rsidRPr="000F6CD1" w:rsidRDefault="006964E3" w:rsidP="00AD2CE5">
      <w:pPr>
        <w:pStyle w:val="H3"/>
      </w:pPr>
      <w:r w:rsidRPr="000F6CD1">
        <w:lastRenderedPageBreak/>
        <w:drawing>
          <wp:anchor distT="0" distB="0" distL="114300" distR="114300" simplePos="0" relativeHeight="251658253" behindDoc="0" locked="0" layoutInCell="1" allowOverlap="1" wp14:anchorId="09FA220D" wp14:editId="0E3DF406">
            <wp:simplePos x="0" y="0"/>
            <wp:positionH relativeFrom="margin">
              <wp:align>left</wp:align>
            </wp:positionH>
            <wp:positionV relativeFrom="paragraph">
              <wp:posOffset>168342</wp:posOffset>
            </wp:positionV>
            <wp:extent cx="457200" cy="502920"/>
            <wp:effectExtent l="0" t="0" r="0" b="0"/>
            <wp:wrapSquare wrapText="bothSides"/>
            <wp:docPr id="1627078792" name="Picture 1627078792" descr="A bell with a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78792" name="Picture 1627078792" descr="A bell with a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616E76" w:rsidRPr="000F6CD1">
        <w:t>Validated Assessment Tools</w:t>
      </w:r>
    </w:p>
    <w:p w14:paraId="5EF08DB7" w14:textId="0E2B9143" w:rsidR="00ED631B" w:rsidRPr="000F6CD1" w:rsidRDefault="00ED631B" w:rsidP="00856600">
      <w:pPr>
        <w:spacing w:before="240" w:after="240" w:line="240" w:lineRule="auto"/>
      </w:pPr>
      <w:r w:rsidRPr="000F6CD1">
        <w:t>Where appropriate, assessors should consider using culturally appropriate validated tools within the IAT to deliver culturally safe, trauma aware and healing informed assessments</w:t>
      </w:r>
      <w:r w:rsidR="0081663F" w:rsidRPr="000F6CD1">
        <w:t>. These tools are detailed in Table 1</w:t>
      </w:r>
      <w:r w:rsidR="11EA8D83" w:rsidRPr="000F6CD1">
        <w:t>2</w:t>
      </w:r>
      <w:r w:rsidR="0081663F" w:rsidRPr="000F6CD1">
        <w:t xml:space="preserve"> </w:t>
      </w:r>
    </w:p>
    <w:p w14:paraId="5290BB66" w14:textId="6C841314" w:rsidR="00E2070C" w:rsidRPr="000F6CD1" w:rsidRDefault="00E2070C" w:rsidP="00856600">
      <w:pPr>
        <w:pStyle w:val="Caption"/>
        <w:spacing w:before="240" w:after="240"/>
      </w:pPr>
      <w:r w:rsidRPr="000F6CD1">
        <w:t xml:space="preserve">Table </w:t>
      </w:r>
      <w:r w:rsidR="0081663F" w:rsidRPr="000F6CD1">
        <w:t>1</w:t>
      </w:r>
      <w:r w:rsidR="0027373F" w:rsidRPr="000F6CD1">
        <w:t>2</w:t>
      </w:r>
      <w:r w:rsidRPr="000F6CD1">
        <w:t xml:space="preserve">. Validated culturally appropriate assessment tools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Validated culturally appropriate assessment tools "/>
        <w:tblDescription w:val="Overview of validated culturally appropriate assessment tools"/>
      </w:tblPr>
      <w:tblGrid>
        <w:gridCol w:w="2767"/>
        <w:gridCol w:w="5999"/>
      </w:tblGrid>
      <w:tr w:rsidR="00E9000A" w:rsidRPr="000F6CD1" w14:paraId="45CFDB03" w14:textId="77777777" w:rsidTr="001704DC">
        <w:trPr>
          <w:tblHeader/>
        </w:trPr>
        <w:tc>
          <w:tcPr>
            <w:tcW w:w="2974" w:type="dxa"/>
            <w:shd w:val="clear" w:color="auto" w:fill="002060"/>
          </w:tcPr>
          <w:p w14:paraId="4D798C82" w14:textId="3AAD65FB" w:rsidR="00ED631B" w:rsidRPr="000F6CD1" w:rsidRDefault="00ED631B" w:rsidP="00856600">
            <w:pPr>
              <w:spacing w:before="240" w:after="240"/>
              <w:rPr>
                <w:b/>
                <w:bCs/>
                <w:color w:val="FFFFFF" w:themeColor="background1"/>
              </w:rPr>
            </w:pPr>
            <w:r w:rsidRPr="000F6CD1">
              <w:rPr>
                <w:b/>
                <w:bCs/>
                <w:color w:val="FFFFFF" w:themeColor="background1"/>
              </w:rPr>
              <w:t xml:space="preserve">Validated </w:t>
            </w:r>
            <w:r w:rsidR="00E2070C" w:rsidRPr="000F6CD1">
              <w:rPr>
                <w:b/>
                <w:bCs/>
                <w:color w:val="FFFFFF" w:themeColor="background1"/>
              </w:rPr>
              <w:t>c</w:t>
            </w:r>
            <w:r w:rsidRPr="000F6CD1">
              <w:rPr>
                <w:b/>
                <w:bCs/>
                <w:color w:val="FFFFFF" w:themeColor="background1"/>
              </w:rPr>
              <w:t xml:space="preserve">ulturally appropriate </w:t>
            </w:r>
            <w:r w:rsidR="00E2070C" w:rsidRPr="000F6CD1">
              <w:rPr>
                <w:b/>
                <w:bCs/>
                <w:color w:val="FFFFFF" w:themeColor="background1"/>
              </w:rPr>
              <w:t>t</w:t>
            </w:r>
            <w:r w:rsidRPr="000F6CD1">
              <w:rPr>
                <w:b/>
                <w:bCs/>
                <w:color w:val="FFFFFF" w:themeColor="background1"/>
              </w:rPr>
              <w:t xml:space="preserve">ool </w:t>
            </w:r>
          </w:p>
        </w:tc>
        <w:tc>
          <w:tcPr>
            <w:tcW w:w="5792" w:type="dxa"/>
            <w:shd w:val="clear" w:color="auto" w:fill="002060"/>
          </w:tcPr>
          <w:p w14:paraId="4B1027B3" w14:textId="77777777" w:rsidR="00ED631B" w:rsidRPr="000F6CD1" w:rsidRDefault="00ED631B" w:rsidP="00856600">
            <w:pPr>
              <w:spacing w:before="240" w:after="240"/>
              <w:rPr>
                <w:b/>
                <w:bCs/>
                <w:color w:val="FFFFFF" w:themeColor="background1"/>
              </w:rPr>
            </w:pPr>
            <w:r w:rsidRPr="000F6CD1">
              <w:rPr>
                <w:b/>
                <w:bCs/>
                <w:color w:val="FFFFFF" w:themeColor="background1"/>
              </w:rPr>
              <w:t>Short description</w:t>
            </w:r>
          </w:p>
        </w:tc>
      </w:tr>
      <w:tr w:rsidR="00ED631B" w:rsidRPr="000F6CD1" w14:paraId="18F8CFAD" w14:textId="77777777" w:rsidTr="001704DC">
        <w:tc>
          <w:tcPr>
            <w:tcW w:w="2974" w:type="dxa"/>
            <w:shd w:val="clear" w:color="auto" w:fill="002060"/>
          </w:tcPr>
          <w:p w14:paraId="5211EBE3" w14:textId="77777777" w:rsidR="00ED631B" w:rsidRPr="000F6CD1" w:rsidRDefault="00ED631B" w:rsidP="00856600">
            <w:pPr>
              <w:spacing w:before="240" w:after="240"/>
            </w:pPr>
            <w:r w:rsidRPr="000F6CD1">
              <w:t xml:space="preserve">Good Spirit Good Life (GSGL): </w:t>
            </w:r>
          </w:p>
          <w:p w14:paraId="14934F97" w14:textId="77777777" w:rsidR="00ED631B" w:rsidRPr="000F6CD1" w:rsidRDefault="00ED631B" w:rsidP="00856600">
            <w:pPr>
              <w:spacing w:before="240" w:after="240"/>
            </w:pPr>
          </w:p>
        </w:tc>
        <w:tc>
          <w:tcPr>
            <w:tcW w:w="5792" w:type="dxa"/>
          </w:tcPr>
          <w:p w14:paraId="72610B73" w14:textId="77777777" w:rsidR="00ED631B" w:rsidRPr="000F6CD1" w:rsidRDefault="00ED631B" w:rsidP="00856600">
            <w:pPr>
              <w:spacing w:before="240" w:after="240"/>
            </w:pPr>
            <w:r w:rsidRPr="000F6CD1">
              <w:t>The GSGL addresses gaps in health and aged care by providing a culturally-informed approach to measuring, understanding and meeting the quality of life of older First Nations people. The tool measures wellbeing using 12 interconnected factors which are important to the First Nations people, such as family and friends, connection to Country, community, culture, health, respect, their role as an Elder, support services, safety and security, spirituality, future wishes and basic needs being met.</w:t>
            </w:r>
          </w:p>
          <w:p w14:paraId="0EFCDB7D" w14:textId="77777777" w:rsidR="009E5015" w:rsidRPr="000F6CD1" w:rsidRDefault="009E5015" w:rsidP="009E5015">
            <w:r w:rsidRPr="000F6CD1">
              <w:t>Please refer to the below guidance material for information on completing this validated tool and appropriately asking questions</w:t>
            </w:r>
          </w:p>
          <w:p w14:paraId="41AF67D4" w14:textId="6646A369" w:rsidR="009266EA" w:rsidRPr="000F6CD1" w:rsidRDefault="009266EA" w:rsidP="00D40C27">
            <w:pPr>
              <w:pStyle w:val="ListParagraph"/>
              <w:numPr>
                <w:ilvl w:val="0"/>
                <w:numId w:val="580"/>
              </w:numPr>
            </w:pPr>
            <w:r w:rsidRPr="000F6CD1">
              <w:t xml:space="preserve">Guidance on Good Spirit Good Life is available at: </w:t>
            </w:r>
            <w:hyperlink r:id="rId68" w:tgtFrame="_blank" w:history="1">
              <w:r w:rsidRPr="000F6CD1">
                <w:rPr>
                  <w:rStyle w:val="Hyperlink"/>
                </w:rPr>
                <w:t>https://www.aboriginalageingwellresearch.com/gsgl-resources</w:t>
              </w:r>
            </w:hyperlink>
            <w:r w:rsidRPr="000F6CD1">
              <w:t xml:space="preserve"> (registration required to view) </w:t>
            </w:r>
          </w:p>
          <w:p w14:paraId="10013271" w14:textId="4F515DF8" w:rsidR="00ED631B" w:rsidRPr="000F6CD1" w:rsidRDefault="00F80B31" w:rsidP="00856600">
            <w:pPr>
              <w:spacing w:before="240" w:after="240"/>
            </w:pPr>
            <w:r w:rsidRPr="000F6CD1">
              <w:t xml:space="preserve">This tool is </w:t>
            </w:r>
            <w:r w:rsidR="00FB0564" w:rsidRPr="000F6CD1">
              <w:t>available</w:t>
            </w:r>
            <w:r w:rsidRPr="000F6CD1">
              <w:t xml:space="preserve"> in</w:t>
            </w:r>
            <w:r w:rsidR="00FB0564" w:rsidRPr="000F6CD1">
              <w:t xml:space="preserve"> the Integrated Assessment Tool (IAT). </w:t>
            </w:r>
          </w:p>
        </w:tc>
      </w:tr>
      <w:tr w:rsidR="682F5E82" w:rsidRPr="000F6CD1" w14:paraId="0F857FB4" w14:textId="77777777" w:rsidTr="001704DC">
        <w:trPr>
          <w:trHeight w:val="300"/>
        </w:trPr>
        <w:tc>
          <w:tcPr>
            <w:tcW w:w="2974" w:type="dxa"/>
            <w:shd w:val="clear" w:color="auto" w:fill="002060"/>
          </w:tcPr>
          <w:p w14:paraId="207F87BB" w14:textId="6E09C7C8" w:rsidR="69C16565" w:rsidRPr="000F6CD1" w:rsidRDefault="69C16565" w:rsidP="682F5E82">
            <w:r w:rsidRPr="000F6CD1">
              <w:t xml:space="preserve">De Morton Mobility Index </w:t>
            </w:r>
            <w:r w:rsidR="00686020" w:rsidRPr="000F6CD1">
              <w:t xml:space="preserve">- </w:t>
            </w:r>
            <w:r w:rsidRPr="000F6CD1">
              <w:t>modified</w:t>
            </w:r>
          </w:p>
        </w:tc>
        <w:tc>
          <w:tcPr>
            <w:tcW w:w="5792" w:type="dxa"/>
          </w:tcPr>
          <w:p w14:paraId="3D2AEAA8" w14:textId="7048BAFC" w:rsidR="69C16565" w:rsidRPr="000F6CD1" w:rsidRDefault="69C16565" w:rsidP="682F5E82">
            <w:r w:rsidRPr="000F6CD1">
              <w:t>The DEMMI</w:t>
            </w:r>
            <w:r w:rsidR="00686020" w:rsidRPr="000F6CD1">
              <w:t>-</w:t>
            </w:r>
            <w:r w:rsidRPr="000F6CD1">
              <w:t>modified measures the mobility of older people across clinical settings and rates what the person is capable of doing (Can Do), rather than what they currently do.</w:t>
            </w:r>
          </w:p>
          <w:p w14:paraId="63C81392" w14:textId="0D12B2C9" w:rsidR="682F5E82" w:rsidRPr="000F6CD1" w:rsidRDefault="682F5E82" w:rsidP="682F5E82"/>
          <w:p w14:paraId="68BEACE4" w14:textId="2927F998" w:rsidR="69C16565" w:rsidRPr="000F6CD1" w:rsidRDefault="69C16565" w:rsidP="00A227CE">
            <w:r w:rsidRPr="000F6CD1">
              <w:t>Please refer to the below guidance material for information on completing this validated tool and appropriately asking questions</w:t>
            </w:r>
          </w:p>
          <w:p w14:paraId="1D9E7F1C" w14:textId="055EF61C" w:rsidR="682F5E82" w:rsidRPr="000F6CD1" w:rsidRDefault="682F5E82" w:rsidP="682F5E82"/>
          <w:p w14:paraId="6578855C" w14:textId="313A5779" w:rsidR="69C16565" w:rsidRPr="000F6CD1" w:rsidRDefault="69C16565" w:rsidP="0031628B">
            <w:pPr>
              <w:pStyle w:val="ListParagraph"/>
              <w:numPr>
                <w:ilvl w:val="0"/>
                <w:numId w:val="580"/>
              </w:numPr>
            </w:pPr>
            <w:r w:rsidRPr="000F6CD1">
              <w:t>The completion of Departmental training on the DEMMI</w:t>
            </w:r>
            <w:r w:rsidR="00686020" w:rsidRPr="000F6CD1">
              <w:t>-</w:t>
            </w:r>
            <w:r w:rsidRPr="000F6CD1">
              <w:t xml:space="preserve">modified </w:t>
            </w:r>
            <w:r w:rsidR="00EB2572" w:rsidRPr="000F6CD1">
              <w:t xml:space="preserve">and a </w:t>
            </w:r>
            <w:r w:rsidR="008D65BE" w:rsidRPr="000F6CD1">
              <w:t xml:space="preserve">quiz on the </w:t>
            </w:r>
            <w:r w:rsidR="00EB41D0" w:rsidRPr="000F6CD1">
              <w:t>Department’s learning management system – MAClearning</w:t>
            </w:r>
            <w:r w:rsidR="0005727A" w:rsidRPr="000F6CD1">
              <w:t xml:space="preserve"> </w:t>
            </w:r>
            <w:r w:rsidR="00EB41D0" w:rsidRPr="000F6CD1">
              <w:t xml:space="preserve">- </w:t>
            </w:r>
            <w:r w:rsidRPr="000F6CD1">
              <w:t>is required before it can be used in a client assessment.</w:t>
            </w:r>
          </w:p>
          <w:p w14:paraId="6AF02792" w14:textId="667A2344" w:rsidR="682F5E82" w:rsidRPr="000F6CD1" w:rsidRDefault="682F5E82" w:rsidP="0031628B">
            <w:pPr>
              <w:pStyle w:val="ListParagraph"/>
            </w:pPr>
          </w:p>
          <w:p w14:paraId="207F5DD7" w14:textId="555A1AA0" w:rsidR="69C16565" w:rsidRPr="000F6CD1" w:rsidRDefault="69C16565" w:rsidP="0031628B">
            <w:pPr>
              <w:pStyle w:val="ListParagraph"/>
              <w:numPr>
                <w:ilvl w:val="0"/>
                <w:numId w:val="580"/>
              </w:numPr>
            </w:pPr>
            <w:r w:rsidRPr="000F6CD1">
              <w:t>AN-ACC Assessor Manual for guidance on responding to questions in the DEMMI-modified validated tool.</w:t>
            </w:r>
          </w:p>
          <w:p w14:paraId="4C2869B0" w14:textId="3C4A0224" w:rsidR="682F5E82" w:rsidRPr="000F6CD1" w:rsidRDefault="682F5E82" w:rsidP="0031628B">
            <w:pPr>
              <w:pStyle w:val="ListParagraph"/>
            </w:pPr>
          </w:p>
        </w:tc>
      </w:tr>
      <w:tr w:rsidR="682F5E82" w:rsidRPr="000F6CD1" w14:paraId="4E7FAB10" w14:textId="77777777" w:rsidTr="001704DC">
        <w:trPr>
          <w:trHeight w:val="300"/>
        </w:trPr>
        <w:tc>
          <w:tcPr>
            <w:tcW w:w="2974" w:type="dxa"/>
            <w:shd w:val="clear" w:color="auto" w:fill="002060"/>
          </w:tcPr>
          <w:p w14:paraId="1612D0CB" w14:textId="3A95252E" w:rsidR="69C16565" w:rsidRPr="000F6CD1" w:rsidRDefault="69C16565" w:rsidP="682F5E82">
            <w:r w:rsidRPr="000F6CD1">
              <w:lastRenderedPageBreak/>
              <w:t>Duke Social Support Index – Social Interaction Subscale</w:t>
            </w:r>
          </w:p>
        </w:tc>
        <w:tc>
          <w:tcPr>
            <w:tcW w:w="5792" w:type="dxa"/>
          </w:tcPr>
          <w:p w14:paraId="58EE7ED2" w14:textId="51EC9C56" w:rsidR="69C16565" w:rsidRPr="000F6CD1" w:rsidRDefault="69C16565" w:rsidP="682F5E82">
            <w:r w:rsidRPr="000F6CD1">
              <w:t>The Duke Social Support Index (DSSI) intends to capture essential components of social support related to mental health outcomes and the use of health services in treating older individuals with non-psychiatric medical illnesses.</w:t>
            </w:r>
          </w:p>
          <w:p w14:paraId="1A33D27C" w14:textId="317AE322" w:rsidR="682F5E82" w:rsidRPr="000F6CD1" w:rsidRDefault="682F5E82" w:rsidP="682F5E82"/>
          <w:p w14:paraId="5B735B80" w14:textId="62B446FD" w:rsidR="69C16565" w:rsidRPr="000F6CD1" w:rsidRDefault="69C16565" w:rsidP="682F5E82">
            <w:r w:rsidRPr="000F6CD1">
              <w:t>Please refer to the below guidance material for information on completing this validated tool and appropriately asking questions.</w:t>
            </w:r>
          </w:p>
          <w:p w14:paraId="42CA0D39" w14:textId="42276A12" w:rsidR="682F5E82" w:rsidRPr="000F6CD1" w:rsidRDefault="682F5E82"/>
          <w:p w14:paraId="7AFA2196" w14:textId="5245C9CC" w:rsidR="69C16565" w:rsidRPr="000F6CD1" w:rsidRDefault="69C16565" w:rsidP="0031628B">
            <w:pPr>
              <w:pStyle w:val="ListParagraph"/>
              <w:numPr>
                <w:ilvl w:val="0"/>
                <w:numId w:val="579"/>
              </w:numPr>
            </w:pPr>
            <w:r w:rsidRPr="000F6CD1">
              <w:t>Please review the MAClearning element Validated Assessment Tools in Practice for further guidance on how and when to administer this validated tool with a client at an assessment.</w:t>
            </w:r>
          </w:p>
          <w:p w14:paraId="0FCCC25F" w14:textId="3FF935A7" w:rsidR="682F5E82" w:rsidRPr="000F6CD1" w:rsidRDefault="682F5E82"/>
          <w:p w14:paraId="7ACA1718" w14:textId="11217E76" w:rsidR="69C16565" w:rsidRPr="000F6CD1" w:rsidRDefault="69C16565" w:rsidP="0031628B">
            <w:pPr>
              <w:pStyle w:val="ListParagraph"/>
              <w:numPr>
                <w:ilvl w:val="0"/>
                <w:numId w:val="579"/>
              </w:numPr>
            </w:pPr>
            <w:r w:rsidRPr="000F6CD1">
              <w:t xml:space="preserve">Guidance on the DSSI is available at </w:t>
            </w:r>
            <w:r w:rsidR="00E56B5A">
              <w:t xml:space="preserve">- </w:t>
            </w:r>
            <w:hyperlink r:id="rId69" w:history="1">
              <w:r w:rsidR="00E56B5A">
                <w:rPr>
                  <w:rStyle w:val="Hyperlink"/>
                </w:rPr>
                <w:t>Duke Social Support Index</w:t>
              </w:r>
            </w:hyperlink>
          </w:p>
        </w:tc>
      </w:tr>
      <w:tr w:rsidR="682F5E82" w:rsidRPr="000F6CD1" w14:paraId="78252F4C" w14:textId="77777777" w:rsidTr="001704DC">
        <w:trPr>
          <w:trHeight w:val="300"/>
        </w:trPr>
        <w:tc>
          <w:tcPr>
            <w:tcW w:w="2974" w:type="dxa"/>
            <w:shd w:val="clear" w:color="auto" w:fill="002060"/>
          </w:tcPr>
          <w:p w14:paraId="34F7FC84" w14:textId="2BDDC2AD" w:rsidR="13BFE70B" w:rsidRPr="000F6CD1" w:rsidRDefault="13BFE70B" w:rsidP="682F5E82">
            <w:r w:rsidRPr="000F6CD1">
              <w:t>Step 1 GP Cog and Step 2 GP Cog</w:t>
            </w:r>
          </w:p>
        </w:tc>
        <w:tc>
          <w:tcPr>
            <w:tcW w:w="5792" w:type="dxa"/>
          </w:tcPr>
          <w:p w14:paraId="62FCD361" w14:textId="387A5D5B" w:rsidR="13BFE70B" w:rsidRPr="000F6CD1" w:rsidRDefault="13BFE70B" w:rsidP="682F5E82">
            <w:r w:rsidRPr="000F6CD1">
              <w:t>The GP-Cog is a reliable, valid, and efficient instrument to screen for dementia. The GP-Cog score is not influenced by the cultural and linguistic background of a person making it an invaluable screening tool especially in multicultural patient settings.</w:t>
            </w:r>
          </w:p>
          <w:p w14:paraId="261FF962" w14:textId="6C25860C" w:rsidR="682F5E82" w:rsidRPr="000F6CD1" w:rsidRDefault="682F5E82" w:rsidP="682F5E82"/>
          <w:p w14:paraId="740D2A04" w14:textId="4D54BB73" w:rsidR="13BFE70B" w:rsidRPr="000F6CD1" w:rsidRDefault="13BFE70B" w:rsidP="682F5E82">
            <w:r w:rsidRPr="000F6CD1">
              <w:t>Please refer to the below guidance material for information on completing this validated tool and appropriately asking questions.</w:t>
            </w:r>
          </w:p>
          <w:p w14:paraId="07AA397C" w14:textId="420B7B6A" w:rsidR="682F5E82" w:rsidRPr="000F6CD1" w:rsidRDefault="682F5E82"/>
          <w:p w14:paraId="5DC48037" w14:textId="3DD5DD73" w:rsidR="13BFE70B" w:rsidRPr="000F6CD1" w:rsidRDefault="13BFE70B" w:rsidP="0031628B">
            <w:pPr>
              <w:pStyle w:val="ListParagraph"/>
              <w:numPr>
                <w:ilvl w:val="0"/>
                <w:numId w:val="578"/>
              </w:numPr>
            </w:pPr>
            <w:r w:rsidRPr="000F6CD1">
              <w:t>Please review the MAClearning element Validated Assessment Tools in Practice for further guidance on how and when to administer this validated tool with a client at an assessment.</w:t>
            </w:r>
          </w:p>
          <w:p w14:paraId="4D5B56F8" w14:textId="517B5993" w:rsidR="682F5E82" w:rsidRPr="000F6CD1" w:rsidRDefault="682F5E82"/>
          <w:p w14:paraId="61C4E18A" w14:textId="5FB50D95" w:rsidR="13BFE70B" w:rsidRPr="000F6CD1" w:rsidRDefault="13BFE70B" w:rsidP="0031628B">
            <w:pPr>
              <w:pStyle w:val="ListParagraph"/>
              <w:numPr>
                <w:ilvl w:val="0"/>
                <w:numId w:val="578"/>
              </w:numPr>
            </w:pPr>
            <w:r w:rsidRPr="000F6CD1">
              <w:t xml:space="preserve">Guidance on the GP-Cog is available at </w:t>
            </w:r>
            <w:r w:rsidR="00374575">
              <w:t xml:space="preserve">- </w:t>
            </w:r>
            <w:hyperlink r:id="rId70" w:history="1">
              <w:r w:rsidR="00374575">
                <w:rPr>
                  <w:rStyle w:val="Hyperlink"/>
                </w:rPr>
                <w:t>GP-COG</w:t>
              </w:r>
            </w:hyperlink>
          </w:p>
          <w:p w14:paraId="79938A36" w14:textId="4ED5EAFF" w:rsidR="682F5E82" w:rsidRPr="000F6CD1" w:rsidRDefault="682F5E82" w:rsidP="0031628B">
            <w:pPr>
              <w:pStyle w:val="ListParagraph"/>
            </w:pPr>
          </w:p>
        </w:tc>
      </w:tr>
      <w:tr w:rsidR="682F5E82" w:rsidRPr="000F6CD1" w14:paraId="6EBF7555" w14:textId="77777777" w:rsidTr="001704DC">
        <w:trPr>
          <w:trHeight w:val="300"/>
        </w:trPr>
        <w:tc>
          <w:tcPr>
            <w:tcW w:w="2974" w:type="dxa"/>
            <w:shd w:val="clear" w:color="auto" w:fill="002060"/>
          </w:tcPr>
          <w:p w14:paraId="44E5F6C0" w14:textId="7E6ECC72" w:rsidR="687AB67D" w:rsidRPr="000F6CD1" w:rsidRDefault="687AB67D" w:rsidP="682F5E82">
            <w:r w:rsidRPr="000F6CD1">
              <w:t>Patient Health Questionnaire-4 (PHQ-4)</w:t>
            </w:r>
          </w:p>
        </w:tc>
        <w:tc>
          <w:tcPr>
            <w:tcW w:w="5792" w:type="dxa"/>
          </w:tcPr>
          <w:p w14:paraId="2B83588D" w14:textId="5313908F" w:rsidR="687AB67D" w:rsidRPr="000F6CD1" w:rsidRDefault="687AB67D" w:rsidP="682F5E82">
            <w:r w:rsidRPr="000F6CD1">
              <w:t>The purpose of the PHQ-4 is to allow for ultra-brief and accurate measurement of core symptoms/signs of depression and anxiety by combining the two-item measure (PHQ–2), consisting of core criteria for depression, as well as a two-item measure for anxiety (GAD–2), both of which have independently been shown to be good brief screening tools</w:t>
            </w:r>
          </w:p>
          <w:p w14:paraId="453977D5" w14:textId="2628A70E" w:rsidR="682F5E82" w:rsidRPr="000F6CD1" w:rsidRDefault="682F5E82" w:rsidP="682F5E82"/>
          <w:p w14:paraId="1CB0890C" w14:textId="5C14EA21" w:rsidR="687AB67D" w:rsidRPr="000F6CD1" w:rsidRDefault="687AB67D" w:rsidP="682F5E82">
            <w:r w:rsidRPr="000F6CD1">
              <w:t>Please refer to the below guidance material for information on completing this validated tool and appropriately asking questions.</w:t>
            </w:r>
          </w:p>
          <w:p w14:paraId="7972E491" w14:textId="12446FEA" w:rsidR="682F5E82" w:rsidRPr="000F6CD1" w:rsidRDefault="682F5E82" w:rsidP="682F5E82"/>
          <w:p w14:paraId="198B9EB9" w14:textId="07CCC3E4" w:rsidR="687AB67D" w:rsidRPr="000F6CD1" w:rsidRDefault="687AB67D" w:rsidP="0031628B">
            <w:pPr>
              <w:pStyle w:val="ListParagraph"/>
              <w:numPr>
                <w:ilvl w:val="0"/>
                <w:numId w:val="577"/>
              </w:numPr>
            </w:pPr>
            <w:r w:rsidRPr="000F6CD1">
              <w:t xml:space="preserve">Some guidance on PHQ-4 is available at: </w:t>
            </w:r>
            <w:hyperlink r:id="rId71" w:history="1">
              <w:r w:rsidRPr="000F6CD1">
                <w:rPr>
                  <w:rStyle w:val="Hyperlink"/>
                </w:rPr>
                <w:t>Anxiety &amp; Depression (PHQ-4) | The WELL Office – McGill University</w:t>
              </w:r>
            </w:hyperlink>
          </w:p>
          <w:p w14:paraId="00E7888A" w14:textId="1B8575EB" w:rsidR="682F5E82" w:rsidRPr="000F6CD1" w:rsidRDefault="682F5E82" w:rsidP="0031628B">
            <w:pPr>
              <w:pStyle w:val="ListParagraph"/>
            </w:pPr>
          </w:p>
        </w:tc>
      </w:tr>
      <w:tr w:rsidR="682F5E82" w:rsidRPr="000F6CD1" w14:paraId="3C284149" w14:textId="77777777" w:rsidTr="001704DC">
        <w:trPr>
          <w:trHeight w:val="300"/>
        </w:trPr>
        <w:tc>
          <w:tcPr>
            <w:tcW w:w="2974" w:type="dxa"/>
            <w:shd w:val="clear" w:color="auto" w:fill="002060"/>
          </w:tcPr>
          <w:p w14:paraId="61FB35D3" w14:textId="3D459BB9" w:rsidR="687AB67D" w:rsidRPr="000F6CD1" w:rsidRDefault="687AB67D" w:rsidP="682F5E82">
            <w:r w:rsidRPr="000F6CD1">
              <w:lastRenderedPageBreak/>
              <w:t>Geriatric Depression Scale</w:t>
            </w:r>
          </w:p>
        </w:tc>
        <w:tc>
          <w:tcPr>
            <w:tcW w:w="5792" w:type="dxa"/>
          </w:tcPr>
          <w:p w14:paraId="2112FEF2" w14:textId="440A35D8" w:rsidR="687AB67D" w:rsidRPr="000F6CD1" w:rsidRDefault="687AB67D" w:rsidP="682F5E82">
            <w:r w:rsidRPr="000F6CD1">
              <w:t>The Geriatric Depression Scale (GDS) (15 point version) is a depression assessment tool specifically designed for older people. The GDS can be filled out by the client or administered by an interviewer. It comprises 15 questions about how the client has felt over the past week. Questions require yes/no answers. Some items in the GDS may not be appropriate at all times for all cultural groups.</w:t>
            </w:r>
          </w:p>
          <w:p w14:paraId="26712C75" w14:textId="068B35E8" w:rsidR="682F5E82" w:rsidRPr="000F6CD1" w:rsidRDefault="682F5E82" w:rsidP="682F5E82"/>
          <w:p w14:paraId="0D696D6A" w14:textId="68B21A4E" w:rsidR="687AB67D" w:rsidRPr="000F6CD1" w:rsidRDefault="687AB67D" w:rsidP="682F5E82">
            <w:r w:rsidRPr="000F6CD1">
              <w:t>Please refer to the below guidance material for information on completing this validated tool and appropriately asking questions.</w:t>
            </w:r>
          </w:p>
          <w:p w14:paraId="3DBC53B0" w14:textId="4205D39A" w:rsidR="682F5E82" w:rsidRPr="000F6CD1" w:rsidRDefault="682F5E82" w:rsidP="682F5E82"/>
          <w:p w14:paraId="1185DA65" w14:textId="02B2FD30" w:rsidR="687AB67D" w:rsidRPr="000F6CD1" w:rsidRDefault="687AB67D" w:rsidP="007F6076">
            <w:pPr>
              <w:pStyle w:val="ListParagraph"/>
              <w:numPr>
                <w:ilvl w:val="0"/>
                <w:numId w:val="576"/>
              </w:numPr>
            </w:pPr>
            <w:r w:rsidRPr="000F6CD1">
              <w:t>Please review the MAClearning element Validated Assessment Tools in Practice for further guidance on how and when to administer this validated tool with a client at an assessment.</w:t>
            </w:r>
          </w:p>
        </w:tc>
      </w:tr>
      <w:tr w:rsidR="00ED631B" w:rsidRPr="000F6CD1" w14:paraId="26640BB3" w14:textId="77777777" w:rsidTr="001704DC">
        <w:tc>
          <w:tcPr>
            <w:tcW w:w="2974" w:type="dxa"/>
            <w:shd w:val="clear" w:color="auto" w:fill="002060"/>
          </w:tcPr>
          <w:p w14:paraId="1C43E349" w14:textId="77777777" w:rsidR="00ED631B" w:rsidRPr="000F6CD1" w:rsidRDefault="00ED631B" w:rsidP="00856600">
            <w:pPr>
              <w:spacing w:before="240" w:after="240"/>
            </w:pPr>
            <w:r w:rsidRPr="000F6CD1">
              <w:t>KICA Cog</w:t>
            </w:r>
          </w:p>
          <w:p w14:paraId="73732D46" w14:textId="77777777" w:rsidR="00ED631B" w:rsidRPr="000F6CD1" w:rsidRDefault="00ED631B" w:rsidP="00856600">
            <w:pPr>
              <w:spacing w:before="240" w:after="240"/>
            </w:pPr>
          </w:p>
        </w:tc>
        <w:tc>
          <w:tcPr>
            <w:tcW w:w="5792" w:type="dxa"/>
          </w:tcPr>
          <w:p w14:paraId="3080EF90" w14:textId="54EAD532" w:rsidR="00ED631B" w:rsidRPr="000F6CD1" w:rsidRDefault="40AC3647" w:rsidP="00856600">
            <w:pPr>
              <w:spacing w:before="240" w:after="240"/>
            </w:pPr>
            <w:r w:rsidRPr="000F6CD1">
              <w:t>A</w:t>
            </w:r>
            <w:r w:rsidR="00ED631B" w:rsidRPr="000F6CD1">
              <w:t xml:space="preserve"> validated </w:t>
            </w:r>
            <w:r w:rsidR="1667C257" w:rsidRPr="000F6CD1">
              <w:t>cognitive</w:t>
            </w:r>
            <w:r w:rsidR="00ED631B" w:rsidRPr="000F6CD1">
              <w:t xml:space="preserve"> </w:t>
            </w:r>
            <w:r w:rsidR="630F7A11" w:rsidRPr="000F6CD1">
              <w:t>a</w:t>
            </w:r>
            <w:r w:rsidR="00ED631B" w:rsidRPr="000F6CD1">
              <w:t>ssessment tool for older Indigenous Australians</w:t>
            </w:r>
            <w:r w:rsidR="496DAD63" w:rsidRPr="000F6CD1">
              <w:t>, aged 45 years and older</w:t>
            </w:r>
            <w:r w:rsidR="3AA725E5" w:rsidRPr="000F6CD1">
              <w:t>,</w:t>
            </w:r>
            <w:r w:rsidR="00ED631B" w:rsidRPr="000F6CD1">
              <w:t xml:space="preserve"> </w:t>
            </w:r>
            <w:r w:rsidR="362E8406" w:rsidRPr="000F6CD1">
              <w:t>in</w:t>
            </w:r>
            <w:r w:rsidR="00ED631B" w:rsidRPr="000F6CD1">
              <w:t xml:space="preserve"> remote </w:t>
            </w:r>
            <w:r w:rsidR="2E01F4C4" w:rsidRPr="000F6CD1">
              <w:t>settings</w:t>
            </w:r>
            <w:r w:rsidR="00ED631B" w:rsidRPr="000F6CD1">
              <w:t xml:space="preserve"> for whom other dementia assessments are not suitable.</w:t>
            </w:r>
          </w:p>
          <w:p w14:paraId="54102303" w14:textId="77777777" w:rsidR="00D26397" w:rsidRPr="000F6CD1" w:rsidRDefault="00CC14FE" w:rsidP="009E5015">
            <w:pPr>
              <w:spacing w:before="240" w:after="240"/>
            </w:pPr>
            <w:r w:rsidRPr="000F6CD1">
              <w:t>Please refer to the below guidance material for information on completing this validated tool and appropriately asking questions. </w:t>
            </w:r>
          </w:p>
          <w:p w14:paraId="75458E84" w14:textId="431D3F3F" w:rsidR="00F323C0" w:rsidRPr="000F6CD1" w:rsidRDefault="00CC14FE" w:rsidP="00DF3F6B">
            <w:pPr>
              <w:numPr>
                <w:ilvl w:val="0"/>
                <w:numId w:val="404"/>
              </w:numPr>
              <w:spacing w:before="240" w:after="240"/>
            </w:pPr>
            <w:r w:rsidRPr="000F6CD1">
              <w:t xml:space="preserve">Please review the MAClearning element </w:t>
            </w:r>
            <w:r w:rsidRPr="00D40C27">
              <w:t>Validated Assessment Tools in Practice</w:t>
            </w:r>
            <w:r w:rsidRPr="000F6CD1">
              <w:rPr>
                <w:b/>
                <w:bCs/>
              </w:rPr>
              <w:t xml:space="preserve"> </w:t>
            </w:r>
            <w:r w:rsidRPr="000F6CD1">
              <w:t>for further guidance on how and when to administer this validated tool with a client at an assessment.</w:t>
            </w:r>
          </w:p>
          <w:p w14:paraId="0E8205BF" w14:textId="14DCB27B" w:rsidR="00CC14FE" w:rsidRPr="000F6CD1" w:rsidRDefault="00F323C0" w:rsidP="00DF3F6B">
            <w:pPr>
              <w:numPr>
                <w:ilvl w:val="0"/>
                <w:numId w:val="404"/>
              </w:numPr>
              <w:spacing w:before="240" w:after="240"/>
            </w:pPr>
            <w:hyperlink r:id="rId72" w:history="1">
              <w:r w:rsidRPr="000F6CD1">
                <w:rPr>
                  <w:rStyle w:val="Hyperlink"/>
                </w:rPr>
                <w:t>KICA COG</w:t>
              </w:r>
              <w:r w:rsidR="00CC14FE" w:rsidRPr="000F6CD1">
                <w:rPr>
                  <w:rStyle w:val="Hyperlink"/>
                </w:rPr>
                <w:t> </w:t>
              </w:r>
              <w:r w:rsidR="42DB622D" w:rsidRPr="000F6CD1">
                <w:rPr>
                  <w:rStyle w:val="Hyperlink"/>
                </w:rPr>
                <w:t>(Remote)</w:t>
              </w:r>
            </w:hyperlink>
          </w:p>
          <w:p w14:paraId="36F014CC" w14:textId="42507779" w:rsidR="00CC14FE" w:rsidRPr="000F6CD1" w:rsidRDefault="00CC14FE" w:rsidP="00DF3F6B">
            <w:pPr>
              <w:numPr>
                <w:ilvl w:val="0"/>
                <w:numId w:val="405"/>
              </w:numPr>
              <w:spacing w:before="240" w:after="240"/>
            </w:pPr>
            <w:hyperlink r:id="rId73" w:history="1">
              <w:r w:rsidRPr="000F6CD1">
                <w:rPr>
                  <w:rStyle w:val="Hyperlink"/>
                </w:rPr>
                <w:t>Instruction Booklet</w:t>
              </w:r>
            </w:hyperlink>
            <w:r w:rsidRPr="000F6CD1">
              <w:t> </w:t>
            </w:r>
          </w:p>
          <w:p w14:paraId="5D732BCC" w14:textId="43B4C4A2" w:rsidR="00ED631B" w:rsidRPr="000F6CD1" w:rsidRDefault="00FB0564" w:rsidP="00856600">
            <w:pPr>
              <w:spacing w:before="240" w:after="240"/>
            </w:pPr>
            <w:r w:rsidRPr="000F6CD1">
              <w:t>This tool is available in the Integrated Assessment Tool (IAT).</w:t>
            </w:r>
          </w:p>
        </w:tc>
      </w:tr>
      <w:tr w:rsidR="00ED631B" w:rsidRPr="000F6CD1" w14:paraId="1A916DC7" w14:textId="77777777" w:rsidTr="001704DC">
        <w:tc>
          <w:tcPr>
            <w:tcW w:w="2974" w:type="dxa"/>
            <w:shd w:val="clear" w:color="auto" w:fill="002060"/>
          </w:tcPr>
          <w:p w14:paraId="67219CA7" w14:textId="2B799307" w:rsidR="00ED631B" w:rsidRPr="000F6CD1" w:rsidRDefault="00ED631B" w:rsidP="00856600">
            <w:pPr>
              <w:spacing w:before="240" w:after="240"/>
            </w:pPr>
            <w:r w:rsidRPr="000F6CD1">
              <w:t>KICA Cog Urban Regional</w:t>
            </w:r>
          </w:p>
          <w:p w14:paraId="0F83AF94" w14:textId="77777777" w:rsidR="00ED631B" w:rsidRPr="000F6CD1" w:rsidRDefault="00ED631B" w:rsidP="00856600">
            <w:pPr>
              <w:spacing w:before="240" w:after="240"/>
            </w:pPr>
          </w:p>
        </w:tc>
        <w:tc>
          <w:tcPr>
            <w:tcW w:w="5792" w:type="dxa"/>
          </w:tcPr>
          <w:p w14:paraId="05028D8F" w14:textId="7FE61271" w:rsidR="00362FE1" w:rsidRPr="000F6CD1" w:rsidRDefault="00ED631B" w:rsidP="00856600">
            <w:pPr>
              <w:spacing w:before="240" w:after="240"/>
            </w:pPr>
            <w:r w:rsidRPr="000F6CD1">
              <w:t>KICA was modified for use with Aboriginal people in regional and urban settings. The regional and urban KICA is an instrument to assess dementia in older Aboriginal people in regional and urban settings. </w:t>
            </w:r>
            <w:r w:rsidR="00362FE1" w:rsidRPr="000F6CD1">
              <w:rPr>
                <w:b/>
                <w:bCs/>
              </w:rPr>
              <w:t>Additional information and training resources:</w:t>
            </w:r>
            <w:r w:rsidR="00362FE1" w:rsidRPr="000F6CD1">
              <w:t> </w:t>
            </w:r>
          </w:p>
          <w:p w14:paraId="656D38B2" w14:textId="0BD0DEED" w:rsidR="00362FE1" w:rsidRPr="000F6CD1" w:rsidRDefault="00362FE1" w:rsidP="00856600">
            <w:pPr>
              <w:spacing w:before="240" w:after="240"/>
            </w:pPr>
            <w:r w:rsidRPr="000F6CD1">
              <w:t>Please refer to the below guidance material for information on completing this validated tool and appropriately asking questions</w:t>
            </w:r>
            <w:r w:rsidR="00B23AB0" w:rsidRPr="000F6CD1">
              <w:t xml:space="preserve">. </w:t>
            </w:r>
          </w:p>
          <w:p w14:paraId="2A25040B" w14:textId="77777777" w:rsidR="00362FE1" w:rsidRPr="000F6CD1" w:rsidRDefault="00362FE1" w:rsidP="00DF3F6B">
            <w:pPr>
              <w:numPr>
                <w:ilvl w:val="0"/>
                <w:numId w:val="406"/>
              </w:numPr>
              <w:spacing w:before="240" w:after="240"/>
            </w:pPr>
            <w:r w:rsidRPr="000F6CD1">
              <w:t xml:space="preserve">Please review the MAClearning element </w:t>
            </w:r>
            <w:r w:rsidRPr="00D40C27">
              <w:t>Validated Assessment Tools in Practice</w:t>
            </w:r>
            <w:r w:rsidRPr="000F6CD1">
              <w:rPr>
                <w:b/>
                <w:bCs/>
              </w:rPr>
              <w:t xml:space="preserve"> </w:t>
            </w:r>
            <w:r w:rsidRPr="000F6CD1">
              <w:t xml:space="preserve">for further guidance </w:t>
            </w:r>
            <w:r w:rsidRPr="000F6CD1">
              <w:lastRenderedPageBreak/>
              <w:t>on how and when to administer this validated tool with a client at an assessment. </w:t>
            </w:r>
          </w:p>
          <w:p w14:paraId="6918EBBE" w14:textId="77777777" w:rsidR="00362FE1" w:rsidRPr="000F6CD1" w:rsidRDefault="00362FE1" w:rsidP="00DF3F6B">
            <w:pPr>
              <w:numPr>
                <w:ilvl w:val="0"/>
                <w:numId w:val="407"/>
              </w:numPr>
              <w:spacing w:before="240" w:after="240"/>
            </w:pPr>
            <w:r w:rsidRPr="000F6CD1">
              <w:t xml:space="preserve">Guidance on the KIKA Cog Urban Regional is available at </w:t>
            </w:r>
            <w:hyperlink r:id="rId74" w:tgtFrame="_blank" w:history="1">
              <w:r w:rsidRPr="000F6CD1">
                <w:rPr>
                  <w:rStyle w:val="Hyperlink"/>
                </w:rPr>
                <w:t>Indigenous Cognitive Assessment: Regional and Urban KICA | National Ageing Research Institute Limited (nari.net.au)</w:t>
              </w:r>
            </w:hyperlink>
            <w:r w:rsidRPr="000F6CD1">
              <w:t> </w:t>
            </w:r>
          </w:p>
          <w:p w14:paraId="49F36C60" w14:textId="68415129" w:rsidR="00ED631B" w:rsidRPr="000F6CD1" w:rsidRDefault="00FB0564" w:rsidP="00856600">
            <w:pPr>
              <w:spacing w:before="240" w:after="240"/>
            </w:pPr>
            <w:r w:rsidRPr="000F6CD1">
              <w:t>This tool is available in the Integrated Assessment Tool (IAT).</w:t>
            </w:r>
          </w:p>
        </w:tc>
      </w:tr>
      <w:tr w:rsidR="00ED631B" w:rsidRPr="000F6CD1" w14:paraId="2B4EA93A" w14:textId="77777777" w:rsidTr="001704DC">
        <w:tc>
          <w:tcPr>
            <w:tcW w:w="2974" w:type="dxa"/>
            <w:shd w:val="clear" w:color="auto" w:fill="002060"/>
          </w:tcPr>
          <w:p w14:paraId="582D2908" w14:textId="77777777" w:rsidR="00ED631B" w:rsidRPr="000F6CD1" w:rsidRDefault="00ED631B" w:rsidP="00856600">
            <w:pPr>
              <w:spacing w:before="240" w:after="240"/>
            </w:pPr>
            <w:r w:rsidRPr="000F6CD1">
              <w:lastRenderedPageBreak/>
              <w:t>KICA Carer</w:t>
            </w:r>
          </w:p>
        </w:tc>
        <w:tc>
          <w:tcPr>
            <w:tcW w:w="5792" w:type="dxa"/>
          </w:tcPr>
          <w:p w14:paraId="578C0B85" w14:textId="77777777" w:rsidR="00ED631B" w:rsidRPr="000F6CD1" w:rsidRDefault="00ED631B" w:rsidP="00856600">
            <w:pPr>
              <w:spacing w:before="240" w:after="240"/>
            </w:pPr>
            <w:r w:rsidRPr="000F6CD1">
              <w:t>The KICA-Carer is an informant questionnaire given by the interviewer. It is the informant cognitive subsection of the KICA that was developed and validated in the Kimberley region of WA.</w:t>
            </w:r>
          </w:p>
          <w:p w14:paraId="7408CC01" w14:textId="77777777" w:rsidR="00506C85" w:rsidRPr="000F6CD1" w:rsidRDefault="00506C85" w:rsidP="00506C85">
            <w:pPr>
              <w:spacing w:before="240" w:after="240"/>
            </w:pPr>
            <w:r w:rsidRPr="000F6CD1">
              <w:t xml:space="preserve">Please refer to the below guidance material for information on completing this validated tool and appropriately asking questions. </w:t>
            </w:r>
          </w:p>
          <w:p w14:paraId="232C4663" w14:textId="1C413A25" w:rsidR="4BAB87CC" w:rsidRPr="000F6CD1" w:rsidRDefault="4BAB87CC" w:rsidP="00DF3F6B">
            <w:pPr>
              <w:pStyle w:val="ListParagraph"/>
              <w:numPr>
                <w:ilvl w:val="0"/>
                <w:numId w:val="416"/>
              </w:numPr>
              <w:spacing w:before="240" w:after="240"/>
              <w:rPr>
                <w:szCs w:val="22"/>
              </w:rPr>
            </w:pPr>
            <w:hyperlink r:id="rId75" w:history="1">
              <w:r w:rsidRPr="000F6CD1">
                <w:rPr>
                  <w:rStyle w:val="Hyperlink"/>
                  <w:szCs w:val="22"/>
                </w:rPr>
                <w:t>Kimberley Indigenous Cognitive Assessment</w:t>
              </w:r>
              <w:r w:rsidR="2444D04B" w:rsidRPr="000F6CD1">
                <w:rPr>
                  <w:rStyle w:val="Hyperlink"/>
                  <w:szCs w:val="22"/>
                </w:rPr>
                <w:t xml:space="preserve"> – </w:t>
              </w:r>
              <w:r w:rsidRPr="000F6CD1">
                <w:rPr>
                  <w:rStyle w:val="Hyperlink"/>
                  <w:szCs w:val="22"/>
                </w:rPr>
                <w:t>KI</w:t>
              </w:r>
              <w:r w:rsidR="1EF41DB4" w:rsidRPr="000F6CD1">
                <w:rPr>
                  <w:rStyle w:val="Hyperlink"/>
                  <w:szCs w:val="22"/>
                </w:rPr>
                <w:t>CA-</w:t>
              </w:r>
              <w:r w:rsidR="2444D04B" w:rsidRPr="000F6CD1">
                <w:rPr>
                  <w:rStyle w:val="Hyperlink"/>
                  <w:szCs w:val="22"/>
                </w:rPr>
                <w:t>Carer</w:t>
              </w:r>
            </w:hyperlink>
          </w:p>
          <w:p w14:paraId="32A2D192" w14:textId="5E667184" w:rsidR="00ED631B" w:rsidRPr="000F6CD1" w:rsidRDefault="00FB0564" w:rsidP="00856600">
            <w:pPr>
              <w:spacing w:before="240" w:after="240"/>
            </w:pPr>
            <w:r w:rsidRPr="000F6CD1">
              <w:t>This tool is available in the Integrated Assessment Tool (IAT).</w:t>
            </w:r>
          </w:p>
        </w:tc>
      </w:tr>
      <w:tr w:rsidR="682F5E82" w:rsidRPr="000F6CD1" w14:paraId="379266BD" w14:textId="77777777" w:rsidTr="001704DC">
        <w:trPr>
          <w:trHeight w:val="300"/>
        </w:trPr>
        <w:tc>
          <w:tcPr>
            <w:tcW w:w="2974" w:type="dxa"/>
            <w:shd w:val="clear" w:color="auto" w:fill="002060"/>
          </w:tcPr>
          <w:p w14:paraId="36B96B4A" w14:textId="06C7E450" w:rsidR="3A90F2A5" w:rsidRPr="000F6CD1" w:rsidRDefault="3A90F2A5">
            <w:pPr>
              <w:rPr>
                <w:rFonts w:eastAsia="Arial"/>
                <w:szCs w:val="22"/>
              </w:rPr>
            </w:pPr>
            <w:r w:rsidRPr="000F6CD1">
              <w:rPr>
                <w:rFonts w:eastAsia="Arial"/>
                <w:szCs w:val="22"/>
              </w:rPr>
              <w:t>Revised Urinary Incontinence Scale</w:t>
            </w:r>
          </w:p>
          <w:p w14:paraId="316D298D" w14:textId="2751B458" w:rsidR="682F5E82" w:rsidRPr="000F6CD1" w:rsidRDefault="682F5E82" w:rsidP="682F5E82"/>
        </w:tc>
        <w:tc>
          <w:tcPr>
            <w:tcW w:w="5792" w:type="dxa"/>
          </w:tcPr>
          <w:p w14:paraId="56AE2418" w14:textId="45E774A4" w:rsidR="573943BE" w:rsidRPr="000F6CD1" w:rsidRDefault="573943BE" w:rsidP="682F5E82">
            <w:pPr>
              <w:rPr>
                <w:rFonts w:eastAsia="Arial"/>
                <w:szCs w:val="22"/>
              </w:rPr>
            </w:pPr>
            <w:hyperlink r:id="rId76" w:history="1">
              <w:r w:rsidRPr="000F6CD1">
                <w:rPr>
                  <w:rStyle w:val="Hyperlink"/>
                  <w:rFonts w:eastAsia="Arial"/>
                  <w:color w:val="auto"/>
                  <w:szCs w:val="22"/>
                  <w:u w:val="none"/>
                </w:rPr>
                <w:t>The Revised Urinary Incontinence Scale (RUIS)</w:t>
              </w:r>
            </w:hyperlink>
            <w:r w:rsidRPr="000F6CD1">
              <w:rPr>
                <w:rFonts w:eastAsia="Arial"/>
                <w:szCs w:val="22"/>
              </w:rPr>
              <w:t xml:space="preserve"> is a validated tool to assess the severity and impact of urinary incontinence in adults. The RUIS consists of 10 items that assess the frequency, amount, and impact of urinary incontinence, as well as the patient's level of concern related to incontinence. Each item is scored on a scale from 0 to 3, with higher scores indicating a greater severity and impact of urinary incontinence.</w:t>
            </w:r>
          </w:p>
          <w:p w14:paraId="5D383A5B" w14:textId="2DD92AB3" w:rsidR="682F5E82" w:rsidRPr="000F6CD1" w:rsidRDefault="682F5E82" w:rsidP="682F5E82">
            <w:pPr>
              <w:rPr>
                <w:rFonts w:eastAsia="Arial"/>
                <w:szCs w:val="22"/>
              </w:rPr>
            </w:pPr>
          </w:p>
          <w:p w14:paraId="34A9840F" w14:textId="06CE6078" w:rsidR="573943BE" w:rsidRPr="000F6CD1" w:rsidRDefault="573943BE" w:rsidP="682F5E82">
            <w:pPr>
              <w:rPr>
                <w:rFonts w:eastAsia="Arial"/>
                <w:szCs w:val="22"/>
              </w:rPr>
            </w:pPr>
            <w:r w:rsidRPr="000F6CD1">
              <w:rPr>
                <w:rFonts w:eastAsia="Arial"/>
                <w:szCs w:val="22"/>
              </w:rPr>
              <w:t>Please refer to the below guidance material for information on completing this validated tool and appropriately asking questions.</w:t>
            </w:r>
          </w:p>
          <w:p w14:paraId="5758AB75" w14:textId="1F8152C5" w:rsidR="682F5E82" w:rsidRPr="000F6CD1" w:rsidRDefault="682F5E82" w:rsidP="682F5E82">
            <w:pPr>
              <w:rPr>
                <w:rFonts w:eastAsia="Arial"/>
                <w:szCs w:val="22"/>
              </w:rPr>
            </w:pPr>
          </w:p>
          <w:p w14:paraId="21500902" w14:textId="5E6859C5" w:rsidR="573943BE" w:rsidRPr="000F6CD1" w:rsidRDefault="573943BE" w:rsidP="007F6076">
            <w:pPr>
              <w:pStyle w:val="ListParagraph"/>
              <w:numPr>
                <w:ilvl w:val="0"/>
                <w:numId w:val="581"/>
              </w:numPr>
              <w:rPr>
                <w:rFonts w:eastAsia="Arial"/>
                <w:szCs w:val="22"/>
              </w:rPr>
            </w:pPr>
            <w:hyperlink r:id="rId77" w:history="1">
              <w:r w:rsidRPr="000F6CD1">
                <w:rPr>
                  <w:rStyle w:val="Hyperlink"/>
                  <w:rFonts w:eastAsia="Arial"/>
                  <w:szCs w:val="22"/>
                </w:rPr>
                <w:t>Revised Incontinence and Patient Satisfaction Tools Version 2</w:t>
              </w:r>
            </w:hyperlink>
            <w:r w:rsidRPr="000F6CD1">
              <w:rPr>
                <w:rFonts w:eastAsia="Arial"/>
                <w:szCs w:val="22"/>
              </w:rPr>
              <w:t xml:space="preserve"> – Technical Manual and Instructions</w:t>
            </w:r>
          </w:p>
          <w:p w14:paraId="1CA12B79" w14:textId="75F2399C" w:rsidR="682F5E82" w:rsidRPr="000F6CD1" w:rsidRDefault="682F5E82" w:rsidP="682F5E82">
            <w:pPr>
              <w:ind w:left="720"/>
              <w:rPr>
                <w:rFonts w:eastAsia="Arial"/>
                <w:szCs w:val="22"/>
              </w:rPr>
            </w:pPr>
          </w:p>
          <w:p w14:paraId="1680699B" w14:textId="743BDC83" w:rsidR="573943BE" w:rsidRPr="000F6CD1" w:rsidRDefault="573943BE" w:rsidP="007F6076">
            <w:pPr>
              <w:pStyle w:val="ListParagraph"/>
              <w:numPr>
                <w:ilvl w:val="0"/>
                <w:numId w:val="581"/>
              </w:numPr>
              <w:rPr>
                <w:rFonts w:eastAsia="Arial"/>
                <w:szCs w:val="22"/>
              </w:rPr>
            </w:pPr>
            <w:hyperlink r:id="rId78" w:history="1">
              <w:r w:rsidRPr="000F6CD1">
                <w:rPr>
                  <w:rStyle w:val="Hyperlink"/>
                  <w:rFonts w:eastAsia="Arial"/>
                  <w:szCs w:val="22"/>
                </w:rPr>
                <w:t>RUIS Brochure</w:t>
              </w:r>
            </w:hyperlink>
            <w:r w:rsidRPr="000F6CD1">
              <w:rPr>
                <w:rFonts w:eastAsia="Arial"/>
                <w:szCs w:val="22"/>
              </w:rPr>
              <w:t xml:space="preserve"> – Summary for assessing and monitoring urinary incontinence.</w:t>
            </w:r>
          </w:p>
          <w:p w14:paraId="23169D29" w14:textId="76E3DE10" w:rsidR="682F5E82" w:rsidRPr="000F6CD1" w:rsidRDefault="682F5E82" w:rsidP="682F5E82">
            <w:pPr>
              <w:ind w:left="720"/>
              <w:rPr>
                <w:rFonts w:eastAsia="Arial"/>
                <w:szCs w:val="22"/>
              </w:rPr>
            </w:pPr>
          </w:p>
          <w:p w14:paraId="617A860A" w14:textId="7A891836" w:rsidR="573943BE" w:rsidRPr="000F6CD1" w:rsidRDefault="573943BE" w:rsidP="007F6076">
            <w:pPr>
              <w:pStyle w:val="ListParagraph"/>
              <w:numPr>
                <w:ilvl w:val="0"/>
                <w:numId w:val="581"/>
              </w:numPr>
              <w:rPr>
                <w:rFonts w:eastAsia="Arial"/>
                <w:szCs w:val="22"/>
              </w:rPr>
            </w:pPr>
            <w:hyperlink r:id="rId79" w:history="1">
              <w:r w:rsidRPr="000F6CD1">
                <w:rPr>
                  <w:rStyle w:val="Hyperlink"/>
                  <w:rFonts w:eastAsia="Arial"/>
                  <w:szCs w:val="22"/>
                </w:rPr>
                <w:t>International Continence Society (ICS)</w:t>
              </w:r>
            </w:hyperlink>
            <w:r w:rsidRPr="000F6CD1">
              <w:rPr>
                <w:rFonts w:eastAsia="Arial"/>
                <w:szCs w:val="22"/>
              </w:rPr>
              <w:t>- RUIS - study findings</w:t>
            </w:r>
          </w:p>
          <w:p w14:paraId="7B4580D5" w14:textId="45D9E69F" w:rsidR="682F5E82" w:rsidRPr="000F6CD1" w:rsidRDefault="682F5E82" w:rsidP="682F5E82">
            <w:pPr>
              <w:ind w:left="720"/>
              <w:rPr>
                <w:rFonts w:eastAsia="Arial"/>
                <w:szCs w:val="22"/>
              </w:rPr>
            </w:pPr>
          </w:p>
          <w:p w14:paraId="48F45ABF" w14:textId="17B59D63" w:rsidR="573943BE" w:rsidRPr="000F6CD1" w:rsidRDefault="573943BE" w:rsidP="007F6076">
            <w:pPr>
              <w:pStyle w:val="ListParagraph"/>
              <w:numPr>
                <w:ilvl w:val="0"/>
                <w:numId w:val="581"/>
              </w:numPr>
              <w:rPr>
                <w:rFonts w:eastAsia="Arial"/>
                <w:szCs w:val="22"/>
              </w:rPr>
            </w:pPr>
            <w:r w:rsidRPr="000F6CD1">
              <w:rPr>
                <w:rFonts w:eastAsia="Arial"/>
                <w:szCs w:val="22"/>
              </w:rPr>
              <w:lastRenderedPageBreak/>
              <w:t xml:space="preserve">Please review the MAClearning element </w:t>
            </w:r>
            <w:r w:rsidRPr="002468EF">
              <w:rPr>
                <w:rFonts w:eastAsia="Arial"/>
                <w:szCs w:val="22"/>
              </w:rPr>
              <w:t>Validated Assessment Tools in Practice</w:t>
            </w:r>
            <w:r w:rsidRPr="000F6CD1">
              <w:rPr>
                <w:rFonts w:eastAsia="Arial"/>
                <w:szCs w:val="22"/>
              </w:rPr>
              <w:t xml:space="preserve"> for further guidance on how and when to administer the RUIS with a client at an assessment.</w:t>
            </w:r>
          </w:p>
          <w:p w14:paraId="510D4EBC" w14:textId="61EA78AF" w:rsidR="682F5E82" w:rsidRPr="000F6CD1" w:rsidRDefault="682F5E82" w:rsidP="007F6076">
            <w:pPr>
              <w:pStyle w:val="ListParagraph"/>
              <w:rPr>
                <w:rFonts w:eastAsia="Arial"/>
                <w:szCs w:val="22"/>
              </w:rPr>
            </w:pPr>
          </w:p>
        </w:tc>
      </w:tr>
      <w:tr w:rsidR="682F5E82" w:rsidRPr="000F6CD1" w14:paraId="447E36EB" w14:textId="77777777" w:rsidTr="001704DC">
        <w:trPr>
          <w:trHeight w:val="300"/>
        </w:trPr>
        <w:tc>
          <w:tcPr>
            <w:tcW w:w="2974" w:type="dxa"/>
            <w:shd w:val="clear" w:color="auto" w:fill="002060"/>
          </w:tcPr>
          <w:p w14:paraId="68B6DA2A" w14:textId="13BA2BBD" w:rsidR="573943BE" w:rsidRPr="000F6CD1" w:rsidRDefault="573943BE" w:rsidP="682F5E82">
            <w:pPr>
              <w:rPr>
                <w:rFonts w:eastAsia="Arial"/>
                <w:szCs w:val="22"/>
              </w:rPr>
            </w:pPr>
            <w:r w:rsidRPr="000F6CD1">
              <w:rPr>
                <w:rFonts w:eastAsia="Arial"/>
                <w:szCs w:val="22"/>
              </w:rPr>
              <w:lastRenderedPageBreak/>
              <w:t>Revised Faecal Incontinence Scale</w:t>
            </w:r>
          </w:p>
        </w:tc>
        <w:tc>
          <w:tcPr>
            <w:tcW w:w="5792" w:type="dxa"/>
          </w:tcPr>
          <w:p w14:paraId="0DC26FFC" w14:textId="4AEAFFA1" w:rsidR="440D60BA" w:rsidRPr="000F6CD1" w:rsidRDefault="440D60BA" w:rsidP="682F5E82">
            <w:pPr>
              <w:rPr>
                <w:rFonts w:eastAsia="Arial"/>
                <w:szCs w:val="22"/>
              </w:rPr>
            </w:pPr>
            <w:hyperlink r:id="rId80" w:history="1">
              <w:r w:rsidRPr="000F6CD1">
                <w:rPr>
                  <w:rStyle w:val="Hyperlink"/>
                  <w:rFonts w:eastAsia="Arial"/>
                  <w:color w:val="auto"/>
                  <w:szCs w:val="22"/>
                  <w:u w:val="none"/>
                </w:rPr>
                <w:t>The Revised Faecal Incontinence Scale (RFIS)</w:t>
              </w:r>
            </w:hyperlink>
            <w:r w:rsidRPr="000F6CD1">
              <w:rPr>
                <w:rFonts w:eastAsia="Arial"/>
                <w:szCs w:val="22"/>
              </w:rPr>
              <w:t xml:space="preserve">, is a validated assessment tool used to assess the severity and impact of fecal incontinence in adults. The RFIS is designed to be simple and </w:t>
            </w:r>
            <w:r w:rsidR="00113AA1" w:rsidRPr="000F6CD1">
              <w:rPr>
                <w:rFonts w:eastAsia="Arial"/>
                <w:szCs w:val="22"/>
              </w:rPr>
              <w:t>effective and</w:t>
            </w:r>
            <w:r w:rsidRPr="000F6CD1">
              <w:rPr>
                <w:rFonts w:eastAsia="Arial"/>
                <w:szCs w:val="22"/>
              </w:rPr>
              <w:t xml:space="preserve"> can be completed by a trained healthcare professional.</w:t>
            </w:r>
          </w:p>
          <w:p w14:paraId="67865C1D" w14:textId="6072A3C5" w:rsidR="682F5E82" w:rsidRPr="000F6CD1" w:rsidRDefault="682F5E82" w:rsidP="682F5E82">
            <w:pPr>
              <w:rPr>
                <w:rFonts w:eastAsia="Arial"/>
                <w:szCs w:val="22"/>
              </w:rPr>
            </w:pPr>
          </w:p>
          <w:p w14:paraId="3C912DD1" w14:textId="49C439F5" w:rsidR="440D60BA" w:rsidRPr="000F6CD1" w:rsidRDefault="440D60BA" w:rsidP="682F5E82">
            <w:pPr>
              <w:rPr>
                <w:rFonts w:eastAsia="Arial"/>
                <w:szCs w:val="22"/>
              </w:rPr>
            </w:pPr>
            <w:r w:rsidRPr="000F6CD1">
              <w:rPr>
                <w:rFonts w:eastAsia="Arial"/>
                <w:szCs w:val="22"/>
              </w:rPr>
              <w:t>Please refer to the below guidance material for information on completing this validated tool and appropriately asking questions.</w:t>
            </w:r>
          </w:p>
          <w:p w14:paraId="1F76F1E0" w14:textId="72A8E419" w:rsidR="682F5E82" w:rsidRPr="000F6CD1" w:rsidRDefault="682F5E82" w:rsidP="682F5E82">
            <w:pPr>
              <w:rPr>
                <w:rFonts w:eastAsia="Arial"/>
                <w:szCs w:val="22"/>
              </w:rPr>
            </w:pPr>
          </w:p>
          <w:p w14:paraId="3A53A3CB" w14:textId="15E68D98" w:rsidR="167C806A" w:rsidRPr="000F6CD1" w:rsidRDefault="167C806A" w:rsidP="004A5F5D">
            <w:pPr>
              <w:pStyle w:val="ListParagraph"/>
              <w:numPr>
                <w:ilvl w:val="0"/>
                <w:numId w:val="583"/>
              </w:numPr>
              <w:rPr>
                <w:rFonts w:eastAsia="Arial"/>
                <w:szCs w:val="22"/>
              </w:rPr>
            </w:pPr>
            <w:hyperlink r:id="rId81" w:history="1">
              <w:r w:rsidRPr="000F6CD1">
                <w:rPr>
                  <w:rStyle w:val="Hyperlink"/>
                  <w:rFonts w:eastAsia="Arial"/>
                  <w:szCs w:val="22"/>
                </w:rPr>
                <w:t>Revised Incontinence and Patient Satisfaction Tools Version 2</w:t>
              </w:r>
            </w:hyperlink>
            <w:r w:rsidRPr="000F6CD1">
              <w:rPr>
                <w:rFonts w:eastAsia="Arial"/>
                <w:szCs w:val="22"/>
              </w:rPr>
              <w:t xml:space="preserve"> – Technical Manual and Instructions</w:t>
            </w:r>
          </w:p>
          <w:p w14:paraId="3B9472EE" w14:textId="1EA547C1" w:rsidR="682F5E82" w:rsidRPr="000F6CD1" w:rsidRDefault="682F5E82" w:rsidP="004A5F5D">
            <w:pPr>
              <w:pStyle w:val="ListParagraph"/>
              <w:rPr>
                <w:rFonts w:eastAsia="Arial"/>
                <w:szCs w:val="22"/>
              </w:rPr>
            </w:pPr>
          </w:p>
          <w:p w14:paraId="46A0CB0E" w14:textId="270F67A9" w:rsidR="167C806A" w:rsidRPr="000F6CD1" w:rsidRDefault="167C806A" w:rsidP="004A5F5D">
            <w:pPr>
              <w:pStyle w:val="ListParagraph"/>
              <w:numPr>
                <w:ilvl w:val="0"/>
                <w:numId w:val="583"/>
              </w:numPr>
              <w:rPr>
                <w:rFonts w:eastAsia="Arial"/>
                <w:szCs w:val="22"/>
              </w:rPr>
            </w:pPr>
            <w:hyperlink r:id="rId82" w:history="1">
              <w:r w:rsidRPr="000F6CD1">
                <w:rPr>
                  <w:rStyle w:val="Hyperlink"/>
                  <w:rFonts w:eastAsia="Arial"/>
                  <w:szCs w:val="22"/>
                </w:rPr>
                <w:t>RUIS Brochure</w:t>
              </w:r>
            </w:hyperlink>
            <w:r w:rsidRPr="000F6CD1">
              <w:rPr>
                <w:rFonts w:eastAsia="Arial"/>
                <w:szCs w:val="22"/>
              </w:rPr>
              <w:t xml:space="preserve"> </w:t>
            </w:r>
            <w:r w:rsidR="440D60BA" w:rsidRPr="000F6CD1">
              <w:rPr>
                <w:rFonts w:eastAsia="Arial"/>
                <w:szCs w:val="22"/>
              </w:rPr>
              <w:t>– Summary of assessing and monitoring faecal incontinence.</w:t>
            </w:r>
          </w:p>
          <w:p w14:paraId="42E9AF64" w14:textId="1C03D126" w:rsidR="682F5E82" w:rsidRPr="000F6CD1" w:rsidRDefault="682F5E82" w:rsidP="004A5F5D">
            <w:pPr>
              <w:pStyle w:val="ListParagraph"/>
              <w:rPr>
                <w:rFonts w:eastAsia="Arial"/>
                <w:szCs w:val="22"/>
              </w:rPr>
            </w:pPr>
          </w:p>
          <w:p w14:paraId="36F965C2" w14:textId="77777777" w:rsidR="440D60BA" w:rsidRDefault="440D60BA" w:rsidP="004A5F5D">
            <w:pPr>
              <w:pStyle w:val="ListParagraph"/>
              <w:numPr>
                <w:ilvl w:val="0"/>
                <w:numId w:val="583"/>
              </w:numPr>
              <w:rPr>
                <w:rFonts w:eastAsia="Arial"/>
                <w:szCs w:val="22"/>
              </w:rPr>
            </w:pPr>
            <w:r w:rsidRPr="000F6CD1">
              <w:rPr>
                <w:rFonts w:eastAsia="Arial"/>
                <w:szCs w:val="22"/>
              </w:rPr>
              <w:t>Please review the MAClearning element Validated Assessment Tools in Practice for further guidance on how and when to administer the RFIS with a client at an assessment.</w:t>
            </w:r>
          </w:p>
          <w:p w14:paraId="42F456D5" w14:textId="3DEABC33" w:rsidR="440D60BA" w:rsidRPr="000F6CD1" w:rsidRDefault="440D60BA" w:rsidP="00EB60AA">
            <w:pPr>
              <w:rPr>
                <w:rFonts w:eastAsia="Arial"/>
                <w:szCs w:val="22"/>
              </w:rPr>
            </w:pPr>
          </w:p>
        </w:tc>
      </w:tr>
    </w:tbl>
    <w:p w14:paraId="0E2365CD" w14:textId="57D2DF33" w:rsidR="682F5E82" w:rsidRPr="000F6CD1" w:rsidRDefault="682F5E82"/>
    <w:p w14:paraId="0B9550A0" w14:textId="77777777" w:rsidR="00ED631B" w:rsidRPr="000F6CD1" w:rsidRDefault="00ED631B" w:rsidP="00856600">
      <w:pPr>
        <w:spacing w:before="240" w:after="240" w:line="240" w:lineRule="auto"/>
      </w:pPr>
    </w:p>
    <w:p w14:paraId="5F8645EB" w14:textId="094994E3" w:rsidR="00280050" w:rsidRPr="000F6CD1" w:rsidRDefault="00372CAB" w:rsidP="00C5767A">
      <w:pPr>
        <w:spacing w:before="240" w:after="240" w:line="240" w:lineRule="auto"/>
      </w:pPr>
      <w:r w:rsidRPr="000F6CD1">
        <w:br w:type="page"/>
      </w:r>
    </w:p>
    <w:p w14:paraId="57088E5F" w14:textId="4958B204" w:rsidR="00FA75A4" w:rsidRPr="000F6CD1" w:rsidRDefault="00FA75A4" w:rsidP="00AC3600">
      <w:pPr>
        <w:pStyle w:val="H1"/>
      </w:pPr>
      <w:bookmarkStart w:id="175" w:name="_Toc204329511"/>
      <w:bookmarkStart w:id="176" w:name="_Toc209188958"/>
      <w:bookmarkStart w:id="177" w:name="_Ref212734932"/>
      <w:bookmarkStart w:id="178" w:name="_Ref212735220"/>
      <w:bookmarkStart w:id="179" w:name="_Ref212735305"/>
      <w:bookmarkStart w:id="180" w:name="_Ref212735379"/>
      <w:bookmarkStart w:id="181" w:name="_Ref212735676"/>
      <w:bookmarkStart w:id="182" w:name="_Ref212735695"/>
      <w:bookmarkStart w:id="183" w:name="_Ref212735745"/>
      <w:bookmarkStart w:id="184" w:name="_Ref212736281"/>
      <w:bookmarkStart w:id="185" w:name="_Ref232690817"/>
      <w:bookmarkStart w:id="186" w:name="_Toc233282425"/>
      <w:r w:rsidRPr="000F6CD1">
        <w:lastRenderedPageBreak/>
        <w:t xml:space="preserve">Chapter 3: Referral, </w:t>
      </w:r>
      <w:r w:rsidR="00475FBB" w:rsidRPr="000F6CD1">
        <w:t>r</w:t>
      </w:r>
      <w:r w:rsidRPr="000F6CD1">
        <w:t xml:space="preserve">egistration and </w:t>
      </w:r>
      <w:r w:rsidR="00475FBB" w:rsidRPr="000F6CD1">
        <w:t>s</w:t>
      </w:r>
      <w:r w:rsidRPr="000F6CD1">
        <w:t>creening</w:t>
      </w:r>
      <w:bookmarkEnd w:id="175"/>
      <w:bookmarkEnd w:id="176"/>
      <w:bookmarkEnd w:id="177"/>
      <w:bookmarkEnd w:id="178"/>
      <w:bookmarkEnd w:id="179"/>
      <w:bookmarkEnd w:id="180"/>
      <w:bookmarkEnd w:id="181"/>
      <w:bookmarkEnd w:id="182"/>
      <w:bookmarkEnd w:id="183"/>
      <w:bookmarkEnd w:id="184"/>
      <w:bookmarkEnd w:id="185"/>
      <w:bookmarkEnd w:id="186"/>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blLook w:val="04A0" w:firstRow="1" w:lastRow="0" w:firstColumn="1" w:lastColumn="0" w:noHBand="0" w:noVBand="1"/>
      </w:tblPr>
      <w:tblGrid>
        <w:gridCol w:w="8756"/>
      </w:tblGrid>
      <w:tr w:rsidR="00FA75A4" w:rsidRPr="000F6CD1" w14:paraId="5A3CC571" w14:textId="77777777" w:rsidTr="008337A5">
        <w:tc>
          <w:tcPr>
            <w:tcW w:w="9016" w:type="dxa"/>
            <w:shd w:val="clear" w:color="auto" w:fill="F2F2F2"/>
          </w:tcPr>
          <w:p w14:paraId="7E4AAD8C" w14:textId="77777777" w:rsidR="00FA75A4" w:rsidRPr="000F6CD1" w:rsidRDefault="00FA75A4" w:rsidP="00501FFB">
            <w:pPr>
              <w:rPr>
                <w:b/>
                <w:color w:val="358189"/>
                <w:sz w:val="36"/>
                <w:szCs w:val="36"/>
              </w:rPr>
            </w:pPr>
            <w:bookmarkStart w:id="187" w:name="_Toc198813659"/>
            <w:bookmarkStart w:id="188" w:name="_Toc204329512"/>
            <w:bookmarkStart w:id="189" w:name="_Toc209188959"/>
            <w:r w:rsidRPr="000F6CD1">
              <w:rPr>
                <w:b/>
                <w:color w:val="358189"/>
                <w:sz w:val="36"/>
                <w:szCs w:val="36"/>
              </w:rPr>
              <w:t>What you’ll find in this chapter</w:t>
            </w:r>
            <w:bookmarkEnd w:id="187"/>
            <w:bookmarkEnd w:id="188"/>
            <w:bookmarkEnd w:id="189"/>
            <w:r w:rsidRPr="000F6CD1">
              <w:rPr>
                <w:b/>
                <w:color w:val="358189"/>
                <w:sz w:val="36"/>
                <w:szCs w:val="36"/>
              </w:rPr>
              <w:t xml:space="preserve"> </w:t>
            </w:r>
          </w:p>
          <w:p w14:paraId="5D40EFF0" w14:textId="33AED04A" w:rsidR="00FA75A4" w:rsidRPr="000F6CD1" w:rsidRDefault="00FA75A4" w:rsidP="00856600">
            <w:pPr>
              <w:spacing w:before="240" w:after="240"/>
            </w:pPr>
            <w:r w:rsidRPr="000F6CD1">
              <w:t xml:space="preserve">This chapter details </w:t>
            </w:r>
            <w:r w:rsidRPr="000F6CD1" w:rsidDel="00F01EBE">
              <w:t xml:space="preserve">the </w:t>
            </w:r>
            <w:r w:rsidRPr="000F6CD1">
              <w:t xml:space="preserve">referral, registration and screening stages of the assessment journey. Information includes: </w:t>
            </w:r>
          </w:p>
          <w:p w14:paraId="1F41AC59" w14:textId="77777777" w:rsidR="00FA75A4" w:rsidRPr="000F6CD1" w:rsidRDefault="00FA75A4" w:rsidP="00856600">
            <w:pPr>
              <w:pStyle w:val="ListParagraph"/>
              <w:numPr>
                <w:ilvl w:val="0"/>
                <w:numId w:val="34"/>
              </w:numPr>
              <w:spacing w:before="240" w:after="240"/>
            </w:pPr>
            <w:r w:rsidRPr="000F6CD1">
              <w:t>Entry into My Aged Care</w:t>
            </w:r>
          </w:p>
          <w:p w14:paraId="357D83DC" w14:textId="77777777" w:rsidR="00FA75A4" w:rsidRPr="000F6CD1" w:rsidRDefault="00FA75A4" w:rsidP="00856600">
            <w:pPr>
              <w:pStyle w:val="ListParagraph"/>
              <w:numPr>
                <w:ilvl w:val="0"/>
                <w:numId w:val="34"/>
              </w:numPr>
              <w:spacing w:before="240" w:after="240"/>
            </w:pPr>
            <w:r w:rsidRPr="000F6CD1">
              <w:t>Registered supporters</w:t>
            </w:r>
          </w:p>
          <w:p w14:paraId="2E76AE3F" w14:textId="77777777" w:rsidR="00FA75A4" w:rsidRPr="000F6CD1" w:rsidRDefault="00FA75A4" w:rsidP="00856600">
            <w:pPr>
              <w:pStyle w:val="ListParagraph"/>
              <w:numPr>
                <w:ilvl w:val="0"/>
                <w:numId w:val="34"/>
              </w:numPr>
              <w:spacing w:before="240" w:after="240"/>
            </w:pPr>
            <w:r w:rsidRPr="000F6CD1">
              <w:t>Screening</w:t>
            </w:r>
          </w:p>
          <w:p w14:paraId="1A076B60" w14:textId="7AC38C46" w:rsidR="00FA75A4" w:rsidRPr="000F6CD1" w:rsidRDefault="00FA75A4" w:rsidP="00856600">
            <w:pPr>
              <w:pStyle w:val="ListParagraph"/>
              <w:numPr>
                <w:ilvl w:val="0"/>
                <w:numId w:val="34"/>
              </w:numPr>
              <w:spacing w:before="240" w:after="240"/>
            </w:pPr>
            <w:r w:rsidRPr="000F6CD1">
              <w:t xml:space="preserve">Alternative entry </w:t>
            </w:r>
          </w:p>
          <w:p w14:paraId="38240E13" w14:textId="1DD90A61" w:rsidR="00FA75A4" w:rsidRPr="000F6CD1" w:rsidRDefault="00060F7F" w:rsidP="00856600">
            <w:pPr>
              <w:pStyle w:val="ListParagraph"/>
              <w:numPr>
                <w:ilvl w:val="0"/>
                <w:numId w:val="34"/>
              </w:numPr>
              <w:spacing w:before="240" w:after="240"/>
            </w:pPr>
            <w:r w:rsidRPr="000F6CD1">
              <w:t xml:space="preserve">Emergency Residential Care – </w:t>
            </w:r>
            <w:r w:rsidR="00FA75A4" w:rsidRPr="000F6CD1">
              <w:t>Application for Care form</w:t>
            </w:r>
            <w:r w:rsidR="00800802" w:rsidRPr="000F6CD1">
              <w:t xml:space="preserve"> (for residential care or residential respite)</w:t>
            </w:r>
          </w:p>
        </w:tc>
      </w:tr>
    </w:tbl>
    <w:p w14:paraId="176A3CDE" w14:textId="77777777" w:rsidR="00FA75A4" w:rsidRPr="000F6CD1" w:rsidRDefault="00FA75A4" w:rsidP="006647CE">
      <w:pPr>
        <w:pStyle w:val="h2"/>
      </w:pPr>
      <w:bookmarkStart w:id="190" w:name="_Toc204329513"/>
      <w:bookmarkStart w:id="191" w:name="_Toc209188960"/>
      <w:bookmarkStart w:id="192" w:name="_Toc233282426"/>
      <w:r w:rsidRPr="000F6CD1">
        <w:t>Entry into My Aged Care</w:t>
      </w:r>
      <w:bookmarkEnd w:id="190"/>
      <w:bookmarkEnd w:id="191"/>
      <w:bookmarkEnd w:id="192"/>
    </w:p>
    <w:p w14:paraId="61ADCE63" w14:textId="77777777" w:rsidR="00FA75A4" w:rsidRPr="000F6CD1" w:rsidRDefault="00FA75A4" w:rsidP="00856600">
      <w:pPr>
        <w:spacing w:before="240" w:after="240" w:line="240" w:lineRule="auto"/>
        <w:rPr>
          <w:rFonts w:eastAsiaTheme="minorEastAsia"/>
          <w:lang w:eastAsia="en-US"/>
        </w:rPr>
      </w:pPr>
      <w:r w:rsidRPr="000F6CD1">
        <w:rPr>
          <w:rFonts w:eastAsiaTheme="minorEastAsia"/>
          <w:lang w:eastAsia="en-US"/>
        </w:rPr>
        <w:t xml:space="preserve">My Aged Care is the entry point to access Australian Government-funded aged care services. My Aged Care consists of three access channels: telephone (the My Aged Care Contact Centre), digital (website and GP e-referral) and face-to-face with Aged Care Specialist Officers (ACSO) (through selected Services Australia service centres). </w:t>
      </w:r>
    </w:p>
    <w:p w14:paraId="6836BE74" w14:textId="402EA807" w:rsidR="00910144" w:rsidRPr="000F6CD1" w:rsidRDefault="3EC670EF" w:rsidP="00856600">
      <w:pPr>
        <w:spacing w:before="240" w:after="240" w:line="240" w:lineRule="auto"/>
      </w:pPr>
      <w:r w:rsidRPr="000F6CD1">
        <w:t>A</w:t>
      </w:r>
      <w:r w:rsidR="00910144" w:rsidRPr="000F6CD1">
        <w:t xml:space="preserve">n older person’s need for aged care services may also be identified by their family and carers, social worker, Elder Care Support </w:t>
      </w:r>
      <w:r w:rsidR="00470CB0" w:rsidRPr="000F6CD1">
        <w:t>workers</w:t>
      </w:r>
      <w:r w:rsidR="00910144" w:rsidRPr="000F6CD1">
        <w:t xml:space="preserve">, care finders, or service providers. </w:t>
      </w:r>
    </w:p>
    <w:p w14:paraId="2E1695D9" w14:textId="570B4A6D" w:rsidR="003C63D9" w:rsidRPr="000F6CD1" w:rsidRDefault="003C63D9" w:rsidP="1C909D30">
      <w:pPr>
        <w:spacing w:before="240" w:after="240" w:line="240" w:lineRule="auto"/>
        <w:rPr>
          <w:rFonts w:eastAsiaTheme="minorEastAsia"/>
          <w:lang w:eastAsia="en-US"/>
        </w:rPr>
      </w:pPr>
      <w:r w:rsidRPr="000F6CD1">
        <w:rPr>
          <w:rFonts w:eastAsiaTheme="minorEastAsia"/>
          <w:lang w:eastAsia="en-US"/>
        </w:rPr>
        <w:t xml:space="preserve">These entry points to access Australian Government-funded aged care services </w:t>
      </w:r>
      <w:r w:rsidR="00A95E97" w:rsidRPr="000F6CD1">
        <w:rPr>
          <w:rFonts w:eastAsiaTheme="minorEastAsia"/>
          <w:lang w:eastAsia="en-US"/>
        </w:rPr>
        <w:t xml:space="preserve">comprise the ‘approved form’ under section 56 of the </w:t>
      </w:r>
      <w:r w:rsidR="00817255" w:rsidRPr="000F6CD1">
        <w:rPr>
          <w:rFonts w:eastAsiaTheme="minorEastAsia"/>
          <w:i/>
          <w:lang w:eastAsia="en-US"/>
        </w:rPr>
        <w:t xml:space="preserve">Aged Care </w:t>
      </w:r>
      <w:r w:rsidR="00A95E97" w:rsidRPr="000F6CD1">
        <w:rPr>
          <w:rFonts w:eastAsiaTheme="minorEastAsia"/>
          <w:i/>
          <w:lang w:eastAsia="en-US"/>
        </w:rPr>
        <w:t>Act</w:t>
      </w:r>
      <w:r w:rsidR="00817255" w:rsidRPr="000F6CD1">
        <w:rPr>
          <w:rFonts w:eastAsiaTheme="minorEastAsia"/>
          <w:i/>
          <w:lang w:eastAsia="en-US"/>
        </w:rPr>
        <w:t xml:space="preserve"> 2024</w:t>
      </w:r>
      <w:r w:rsidR="007110F1" w:rsidRPr="000F6CD1">
        <w:rPr>
          <w:rFonts w:eastAsiaTheme="minorEastAsia"/>
          <w:lang w:eastAsia="en-US"/>
        </w:rPr>
        <w:t xml:space="preserve"> for new applicants and section 64 </w:t>
      </w:r>
      <w:r w:rsidR="0029299D" w:rsidRPr="000F6CD1">
        <w:rPr>
          <w:rFonts w:eastAsiaTheme="minorEastAsia"/>
          <w:lang w:eastAsia="en-US"/>
        </w:rPr>
        <w:t>for those older people or eligible younger people who are making an application for a reassessment</w:t>
      </w:r>
      <w:r w:rsidR="00E23F88" w:rsidRPr="000F6CD1">
        <w:rPr>
          <w:rFonts w:eastAsiaTheme="minorEastAsia"/>
          <w:lang w:eastAsia="en-US"/>
        </w:rPr>
        <w:t xml:space="preserve"> (noting the ‘request a </w:t>
      </w:r>
      <w:r w:rsidR="24DA5CF2" w:rsidRPr="000F6CD1">
        <w:rPr>
          <w:rFonts w:eastAsiaTheme="minorEastAsia"/>
          <w:lang w:eastAsia="en-US"/>
        </w:rPr>
        <w:t>s</w:t>
      </w:r>
      <w:r w:rsidR="29D00037" w:rsidRPr="000F6CD1">
        <w:rPr>
          <w:rFonts w:eastAsiaTheme="minorEastAsia"/>
          <w:lang w:eastAsia="en-US"/>
        </w:rPr>
        <w:t xml:space="preserve">upport </w:t>
      </w:r>
      <w:r w:rsidR="3F4D598B" w:rsidRPr="000F6CD1">
        <w:rPr>
          <w:rFonts w:eastAsiaTheme="minorEastAsia"/>
          <w:lang w:eastAsia="en-US"/>
        </w:rPr>
        <w:t>p</w:t>
      </w:r>
      <w:r w:rsidR="29D00037" w:rsidRPr="000F6CD1">
        <w:rPr>
          <w:rFonts w:eastAsiaTheme="minorEastAsia"/>
          <w:lang w:eastAsia="en-US"/>
        </w:rPr>
        <w:t xml:space="preserve">lan </w:t>
      </w:r>
      <w:r w:rsidR="0D8C8F59" w:rsidRPr="000F6CD1">
        <w:rPr>
          <w:rFonts w:eastAsiaTheme="minorEastAsia"/>
          <w:lang w:eastAsia="en-US"/>
        </w:rPr>
        <w:t>r</w:t>
      </w:r>
      <w:r w:rsidR="29D00037" w:rsidRPr="000F6CD1">
        <w:rPr>
          <w:rFonts w:eastAsiaTheme="minorEastAsia"/>
          <w:lang w:eastAsia="en-US"/>
        </w:rPr>
        <w:t>eview’</w:t>
      </w:r>
      <w:r w:rsidR="00DA377C" w:rsidRPr="000F6CD1">
        <w:rPr>
          <w:rFonts w:eastAsiaTheme="minorEastAsia"/>
          <w:lang w:eastAsia="en-US"/>
        </w:rPr>
        <w:t xml:space="preserve"> pathway also constitutes an approved form for section 64)</w:t>
      </w:r>
      <w:r w:rsidR="0029299D" w:rsidRPr="000F6CD1">
        <w:rPr>
          <w:rFonts w:eastAsiaTheme="minorEastAsia"/>
          <w:lang w:eastAsia="en-US"/>
        </w:rPr>
        <w:t>.</w:t>
      </w:r>
      <w:r w:rsidR="00E92312" w:rsidRPr="000F6CD1">
        <w:rPr>
          <w:rFonts w:eastAsiaTheme="minorEastAsia"/>
          <w:lang w:eastAsia="en-US"/>
        </w:rPr>
        <w:t xml:space="preserve"> These entry points also comprise the approved form for the purposes of section 71 (alternative entry).</w:t>
      </w:r>
    </w:p>
    <w:p w14:paraId="458BB621" w14:textId="77777777" w:rsidR="00856600" w:rsidRPr="000F6CD1" w:rsidRDefault="00FA75A4" w:rsidP="00806A21">
      <w:pPr>
        <w:pStyle w:val="Sub-headings"/>
      </w:pPr>
      <w:r w:rsidRPr="000F6CD1">
        <w:t>Note</w:t>
      </w:r>
      <w:r w:rsidR="0015698E" w:rsidRPr="000F6CD1">
        <w:t>:</w:t>
      </w:r>
      <w:r w:rsidR="007F22CF" w:rsidRPr="000F6CD1">
        <w:t xml:space="preserve"> </w:t>
      </w:r>
    </w:p>
    <w:p w14:paraId="63D39F94" w14:textId="46FE45AC" w:rsidR="00FA75A4" w:rsidRPr="000F6CD1" w:rsidRDefault="0015698E" w:rsidP="00806A21">
      <w:pPr>
        <w:pStyle w:val="Sub-headings"/>
      </w:pPr>
      <w:r w:rsidRPr="000F6CD1">
        <w:t>O</w:t>
      </w:r>
      <w:r w:rsidR="00FA75A4" w:rsidRPr="000F6CD1">
        <w:t xml:space="preserve">lder Aboriginal and Torres Strait Islander people will be able to indicate their preference for their assessment to be conducted by an Aboriginal and Torres Strait Islander </w:t>
      </w:r>
      <w:r w:rsidR="00DD695B" w:rsidRPr="000F6CD1">
        <w:t xml:space="preserve">assessment </w:t>
      </w:r>
      <w:r w:rsidR="00FA75A4" w:rsidRPr="000F6CD1">
        <w:t>organisation at any of the below stages, or referral points.</w:t>
      </w:r>
    </w:p>
    <w:p w14:paraId="2095E732" w14:textId="77777777" w:rsidR="00A5325C" w:rsidRPr="000F6CD1" w:rsidRDefault="00A5325C" w:rsidP="00856600">
      <w:pPr>
        <w:spacing w:before="240" w:after="240" w:line="240" w:lineRule="auto"/>
      </w:pPr>
      <w:bookmarkStart w:id="193" w:name="_Toc159226865"/>
      <w:bookmarkStart w:id="194" w:name="_Toc184402264"/>
      <w:bookmarkStart w:id="195" w:name="_Toc204329514"/>
    </w:p>
    <w:p w14:paraId="489DD505" w14:textId="4BA02FFD" w:rsidR="00FA75A4" w:rsidRPr="000F6CD1" w:rsidRDefault="00FA75A4" w:rsidP="00AD2CE5">
      <w:pPr>
        <w:pStyle w:val="H3"/>
      </w:pPr>
      <w:r w:rsidRPr="000F6CD1">
        <w:t>Modes of entry into My Aged Care</w:t>
      </w:r>
      <w:bookmarkEnd w:id="193"/>
      <w:bookmarkEnd w:id="194"/>
      <w:bookmarkEnd w:id="195"/>
      <w:r w:rsidRPr="000F6CD1">
        <w:t xml:space="preserve"> </w:t>
      </w:r>
    </w:p>
    <w:p w14:paraId="6A01FC00" w14:textId="77777777" w:rsidR="00FA75A4" w:rsidRPr="000F6CD1" w:rsidRDefault="00FA75A4" w:rsidP="0003231B">
      <w:pPr>
        <w:pStyle w:val="H4"/>
      </w:pPr>
      <w:bookmarkStart w:id="196" w:name="_Toc184402265"/>
      <w:r w:rsidRPr="000F6CD1">
        <w:t>Phone</w:t>
      </w:r>
      <w:bookmarkEnd w:id="196"/>
      <w:r w:rsidRPr="000F6CD1">
        <w:t xml:space="preserve"> </w:t>
      </w:r>
    </w:p>
    <w:p w14:paraId="692D8E5F" w14:textId="0D9F603B" w:rsidR="00FA75A4" w:rsidRPr="000F6CD1" w:rsidRDefault="00FA75A4" w:rsidP="00614178">
      <w:pPr>
        <w:spacing w:before="240" w:after="240" w:line="240" w:lineRule="auto"/>
      </w:pPr>
      <w:r w:rsidRPr="000F6CD1">
        <w:t>Older people can call the My Aged Care Contact Centre on 1800 200 422, 8am to 8pm Monday to Friday or 10am-2pm Saturday, local time (</w:t>
      </w:r>
      <w:r w:rsidR="00135588" w:rsidRPr="000F6CD1">
        <w:t>F</w:t>
      </w:r>
      <w:r w:rsidRPr="000F6CD1">
        <w:t>reeCall*).</w:t>
      </w:r>
    </w:p>
    <w:p w14:paraId="13BBD4D1" w14:textId="58F0FB6B" w:rsidR="00FA75A4" w:rsidRPr="000F6CD1" w:rsidRDefault="00FA75A4" w:rsidP="00614178">
      <w:pPr>
        <w:spacing w:before="240" w:after="240" w:line="240" w:lineRule="auto"/>
        <w:rPr>
          <w:rFonts w:eastAsiaTheme="minorEastAsia"/>
          <w:lang w:eastAsia="en-US"/>
        </w:rPr>
      </w:pPr>
      <w:r w:rsidRPr="000F6CD1">
        <w:rPr>
          <w:rFonts w:eastAsiaTheme="minorEastAsia"/>
          <w:lang w:eastAsia="en-US"/>
        </w:rPr>
        <w:t xml:space="preserve">The My Aged Care Contact Centre receives inbound calls, creates records for </w:t>
      </w:r>
      <w:r w:rsidR="00516348" w:rsidRPr="000F6CD1">
        <w:rPr>
          <w:rFonts w:eastAsiaTheme="minorEastAsia"/>
          <w:lang w:eastAsia="en-US"/>
        </w:rPr>
        <w:t>older people</w:t>
      </w:r>
      <w:r w:rsidRPr="000F6CD1">
        <w:rPr>
          <w:rFonts w:eastAsiaTheme="minorEastAsia"/>
          <w:lang w:eastAsia="en-US"/>
        </w:rPr>
        <w:t xml:space="preserve">, progresses the registration and cancellation of supporter and agent relationships, </w:t>
      </w:r>
      <w:r w:rsidRPr="000F6CD1">
        <w:rPr>
          <w:rFonts w:eastAsiaTheme="minorEastAsia"/>
          <w:lang w:eastAsia="en-US"/>
        </w:rPr>
        <w:lastRenderedPageBreak/>
        <w:t xml:space="preserve">raises SPR requests, screens for needs and refers older people to assessment organisations and service providers and/or provides information to </w:t>
      </w:r>
      <w:r w:rsidR="00516348" w:rsidRPr="000F6CD1">
        <w:rPr>
          <w:rFonts w:eastAsiaTheme="minorEastAsia"/>
          <w:lang w:eastAsia="en-US"/>
        </w:rPr>
        <w:t>older people</w:t>
      </w:r>
      <w:r w:rsidRPr="000F6CD1">
        <w:rPr>
          <w:rFonts w:eastAsiaTheme="minorEastAsia"/>
          <w:lang w:eastAsia="en-US"/>
        </w:rPr>
        <w:t>.</w:t>
      </w:r>
    </w:p>
    <w:p w14:paraId="1CCEFF19" w14:textId="6384B492" w:rsidR="00563CD1" w:rsidRPr="00385D4B" w:rsidRDefault="00563CD1" w:rsidP="00614178">
      <w:pPr>
        <w:spacing w:before="240" w:after="240" w:line="240" w:lineRule="auto"/>
      </w:pPr>
      <w:r w:rsidRPr="000F6CD1">
        <w:t xml:space="preserve">The My Aged Care contact centre can help older Aboriginal and Torres Strait Islander people indicate their preference for an Aboriginal and Torres Strait Islander assessment organisation. </w:t>
      </w:r>
    </w:p>
    <w:p w14:paraId="27E00488" w14:textId="77777777" w:rsidR="00FA75A4" w:rsidRPr="000F6CD1" w:rsidRDefault="00FA75A4" w:rsidP="0003231B">
      <w:pPr>
        <w:pStyle w:val="H4"/>
      </w:pPr>
      <w:bookmarkStart w:id="197" w:name="_Toc184402266"/>
      <w:r w:rsidRPr="000F6CD1">
        <w:t>Online</w:t>
      </w:r>
    </w:p>
    <w:p w14:paraId="581AAE7F" w14:textId="4CF6A4C2" w:rsidR="00FA75A4" w:rsidRPr="000F6CD1" w:rsidRDefault="00FA75A4" w:rsidP="0003231B">
      <w:pPr>
        <w:pStyle w:val="H4"/>
      </w:pPr>
      <w:r w:rsidRPr="000F6CD1">
        <w:t xml:space="preserve">Apply for an </w:t>
      </w:r>
      <w:r w:rsidR="00475FBB" w:rsidRPr="000F6CD1">
        <w:t>a</w:t>
      </w:r>
      <w:r w:rsidRPr="000F6CD1">
        <w:t xml:space="preserve">ssessment </w:t>
      </w:r>
      <w:r w:rsidR="00475FBB" w:rsidRPr="000F6CD1">
        <w:t>o</w:t>
      </w:r>
      <w:r w:rsidRPr="000F6CD1">
        <w:t>nline</w:t>
      </w:r>
      <w:bookmarkEnd w:id="197"/>
    </w:p>
    <w:p w14:paraId="12A516DB" w14:textId="77777777" w:rsidR="00FA75A4" w:rsidRPr="000F6CD1" w:rsidRDefault="00FA75A4" w:rsidP="00614178">
      <w:pPr>
        <w:spacing w:before="240" w:after="240" w:line="240" w:lineRule="auto"/>
      </w:pPr>
      <w:bookmarkStart w:id="198" w:name="_Hlk88840653"/>
      <w:r w:rsidRPr="000F6CD1">
        <w:t xml:space="preserve">The </w:t>
      </w:r>
      <w:hyperlink r:id="rId83">
        <w:r w:rsidRPr="000F6CD1">
          <w:rPr>
            <w:rStyle w:val="Hyperlink"/>
          </w:rPr>
          <w:t>Apply for an Assessment Online</w:t>
        </w:r>
      </w:hyperlink>
      <w:r w:rsidRPr="000F6CD1">
        <w:rPr>
          <w:i/>
        </w:rPr>
        <w:t xml:space="preserve"> </w:t>
      </w:r>
      <w:r w:rsidRPr="000F6CD1">
        <w:t>process can be used as an alternative to contacting the My Aged Care Contact Centre or seeing an ACSO. The online form enables consumers to register with My Aged Care and apply for their first assessment online or on behalf of a family member or friend. The My Aged Care system automatically processes the online form. A request to register a supporter for the older person can also be submitted using this tool.</w:t>
      </w:r>
    </w:p>
    <w:bookmarkEnd w:id="198"/>
    <w:p w14:paraId="6003F570" w14:textId="77777777" w:rsidR="00875854" w:rsidRPr="000F6CD1" w:rsidRDefault="00875854" w:rsidP="00806A21">
      <w:pPr>
        <w:pStyle w:val="Sub-headings"/>
      </w:pPr>
      <w:r w:rsidRPr="000F6CD1">
        <w:t>Note: some older people may have had a previous assessment but were found ineligible, which would also result in them having an existing record.</w:t>
      </w:r>
    </w:p>
    <w:p w14:paraId="2CBDEB3A" w14:textId="70CC72A6" w:rsidR="00875854" w:rsidRPr="000F6CD1" w:rsidRDefault="00FA75A4" w:rsidP="00251AD3">
      <w:pPr>
        <w:spacing w:before="240" w:after="240" w:line="240" w:lineRule="auto"/>
      </w:pPr>
      <w:r w:rsidRPr="000F6CD1">
        <w:t xml:space="preserve">Where the form successfully processes, a referral for assessment will be automatically issued to an appropriate assessment organisation. In instances where </w:t>
      </w:r>
      <w:r w:rsidR="00516348" w:rsidRPr="000F6CD1">
        <w:t>older people</w:t>
      </w:r>
      <w:r w:rsidRPr="000F6CD1">
        <w:t xml:space="preserve"> have an existing older person record, or are missing key identifying information, or there is an error in the automated processing, they will be directed to call the My Aged Care Contact Centre. For existing </w:t>
      </w:r>
      <w:r w:rsidR="00516348" w:rsidRPr="000F6CD1">
        <w:t>older people</w:t>
      </w:r>
      <w:r w:rsidRPr="000F6CD1">
        <w:t>, the My Aged Care Contact Centre will issue a SPR request to the assessment organisation.</w:t>
      </w:r>
      <w:r w:rsidR="002F1009" w:rsidRPr="000F6CD1">
        <w:t xml:space="preserve"> </w:t>
      </w:r>
      <w:bookmarkStart w:id="199" w:name="_Toc184402267"/>
    </w:p>
    <w:p w14:paraId="2B8DBDCE" w14:textId="60FEDF00" w:rsidR="00FA75A4" w:rsidRPr="000F6CD1" w:rsidRDefault="00FA75A4" w:rsidP="0003231B">
      <w:pPr>
        <w:pStyle w:val="H4"/>
      </w:pPr>
      <w:r w:rsidRPr="000F6CD1">
        <w:t>Web referrals (Make a Referral form)</w:t>
      </w:r>
      <w:bookmarkEnd w:id="199"/>
    </w:p>
    <w:p w14:paraId="77B75070" w14:textId="77777777" w:rsidR="00FA75A4" w:rsidRPr="000F6CD1" w:rsidRDefault="00FA75A4" w:rsidP="00614178">
      <w:pPr>
        <w:spacing w:before="240" w:after="240" w:line="240" w:lineRule="auto"/>
      </w:pPr>
      <w:r w:rsidRPr="000F6CD1">
        <w:t xml:space="preserve">For an older person’s first contact with My Aged Care, GPs and health professionals can make a referral directly to an assessment organisation using the ‘Make a Referral’ form through the My Aged Care </w:t>
      </w:r>
      <w:hyperlink r:id="rId84">
        <w:r w:rsidRPr="000F6CD1">
          <w:rPr>
            <w:rStyle w:val="Hyperlink"/>
          </w:rPr>
          <w:t>website</w:t>
        </w:r>
      </w:hyperlink>
      <w:r w:rsidRPr="000F6CD1">
        <w:t xml:space="preserve">. </w:t>
      </w:r>
    </w:p>
    <w:p w14:paraId="4E95D944" w14:textId="5E88DAC6" w:rsidR="00FA75A4" w:rsidRPr="000F6CD1" w:rsidRDefault="00FA75A4" w:rsidP="00614178">
      <w:pPr>
        <w:spacing w:before="240" w:after="240" w:line="240" w:lineRule="auto"/>
      </w:pPr>
      <w:r w:rsidRPr="000F6CD1">
        <w:t xml:space="preserve">Web referrals contain decision support to guide the home support or comprehensive assessment </w:t>
      </w:r>
      <w:r w:rsidR="00113AA1" w:rsidRPr="000F6CD1">
        <w:t>pathway;</w:t>
      </w:r>
      <w:r w:rsidRPr="000F6CD1">
        <w:t xml:space="preserve"> however, the triage delegate can accept the recommended assessment pathway or recommend (with justification) the other assessment option. </w:t>
      </w:r>
    </w:p>
    <w:p w14:paraId="65BCD3DA" w14:textId="77777777" w:rsidR="00FA75A4" w:rsidRPr="000F6CD1" w:rsidRDefault="00FA75A4" w:rsidP="00614178">
      <w:pPr>
        <w:spacing w:before="240" w:after="240" w:line="240" w:lineRule="auto"/>
      </w:pPr>
      <w:r w:rsidRPr="000F6CD1">
        <w:t>Where the referral is submitted by a GP or health professional, for the first assessment referral (e.g., where no previous assessment exists), the system will automatically process the referral where all information is correctly entered and attachments supplied. Where automated processing is successful, a referral for assessment will be automatically issued to an appropriate assessment organisation.</w:t>
      </w:r>
    </w:p>
    <w:p w14:paraId="18183D58" w14:textId="2FEA20C6" w:rsidR="00FA75A4" w:rsidRPr="000F6CD1" w:rsidRDefault="00FA75A4" w:rsidP="00614178">
      <w:pPr>
        <w:spacing w:before="240" w:after="240" w:line="240" w:lineRule="auto"/>
      </w:pPr>
      <w:r w:rsidRPr="000F6CD1">
        <w:t xml:space="preserve">If the GP or health professional recommends a comprehensive assessment and the older person has previously been assessed for a home support assessment, the web referral will be intercepted and follow the SPR pathway rules to the assessment organisation that undertook the most recent assessment, regardless of the recommendation (unless the request qualifies for a direct comprehensive assessment referral, such as for TCP). </w:t>
      </w:r>
    </w:p>
    <w:p w14:paraId="74F62910" w14:textId="77777777" w:rsidR="00FA75A4" w:rsidRPr="000F6CD1" w:rsidRDefault="00FA75A4" w:rsidP="0003231B">
      <w:pPr>
        <w:pStyle w:val="H4"/>
      </w:pPr>
      <w:bookmarkStart w:id="200" w:name="_Toc184402268"/>
      <w:bookmarkStart w:id="201" w:name="_Toc204329515"/>
      <w:r w:rsidRPr="000F6CD1">
        <w:t>GP e-Referral</w:t>
      </w:r>
      <w:bookmarkEnd w:id="200"/>
      <w:bookmarkEnd w:id="201"/>
    </w:p>
    <w:p w14:paraId="229251AF" w14:textId="77777777" w:rsidR="00FA75A4" w:rsidRPr="000F6CD1" w:rsidRDefault="00FA75A4" w:rsidP="00614178">
      <w:pPr>
        <w:spacing w:before="240" w:after="240" w:line="240" w:lineRule="auto"/>
      </w:pPr>
      <w:r w:rsidRPr="000F6CD1">
        <w:t xml:space="preserve">GPs may also choose to use </w:t>
      </w:r>
      <w:hyperlink r:id="rId85" w:history="1">
        <w:r w:rsidRPr="000F6CD1">
          <w:rPr>
            <w:rStyle w:val="Hyperlink"/>
          </w:rPr>
          <w:t>GP e-Referrals</w:t>
        </w:r>
      </w:hyperlink>
      <w:r w:rsidRPr="000F6CD1">
        <w:t xml:space="preserve"> which can be accessed from their practice management system. The form will pre-populate the patient's information with the GP then adding any additional information and attachments as required. It is then submitted </w:t>
      </w:r>
      <w:r w:rsidRPr="000F6CD1">
        <w:lastRenderedPageBreak/>
        <w:t>safely and securely to My Aged Care for processing and will follow a similar process to that outlined for the Make a Referral form.</w:t>
      </w:r>
    </w:p>
    <w:p w14:paraId="62547E9D" w14:textId="2E10364A" w:rsidR="00FA75A4" w:rsidRPr="000F6CD1" w:rsidRDefault="00FA75A4" w:rsidP="00614178">
      <w:pPr>
        <w:spacing w:before="240" w:after="240" w:line="240" w:lineRule="auto"/>
      </w:pPr>
      <w:r w:rsidRPr="000F6CD1">
        <w:t xml:space="preserve">GPs will be able to record a client’s preference for an Aboriginal and Torres Strait Islander assessment organisation. </w:t>
      </w:r>
    </w:p>
    <w:p w14:paraId="5E8A3748" w14:textId="706909E0" w:rsidR="00FA75A4" w:rsidRPr="000F6CD1" w:rsidRDefault="00FA75A4" w:rsidP="0003231B">
      <w:pPr>
        <w:pStyle w:val="H4"/>
      </w:pPr>
      <w:bookmarkStart w:id="202" w:name="_Toc184402269"/>
      <w:bookmarkStart w:id="203" w:name="_Toc204329516"/>
      <w:r w:rsidRPr="000F6CD1">
        <w:t xml:space="preserve">Face to </w:t>
      </w:r>
      <w:r w:rsidR="00475FBB" w:rsidRPr="000F6CD1">
        <w:t>f</w:t>
      </w:r>
      <w:r w:rsidRPr="000F6CD1">
        <w:t xml:space="preserve">ace access through an </w:t>
      </w:r>
      <w:bookmarkEnd w:id="202"/>
      <w:r w:rsidRPr="000F6CD1">
        <w:t>Aged Care Specialist Officer (ACSO)</w:t>
      </w:r>
      <w:bookmarkEnd w:id="203"/>
    </w:p>
    <w:p w14:paraId="7777B4B9" w14:textId="1E795DC1" w:rsidR="00FA75A4" w:rsidRPr="000F6CD1" w:rsidRDefault="00FA75A4" w:rsidP="00614178">
      <w:pPr>
        <w:spacing w:before="240" w:after="240" w:line="240" w:lineRule="auto"/>
      </w:pPr>
      <w:r w:rsidRPr="000F6CD1">
        <w:t xml:space="preserve">People seeking access to aged care can alternatively book a face-to-face appointment with an ACSO who are located in some </w:t>
      </w:r>
      <w:hyperlink r:id="rId86" w:history="1">
        <w:r w:rsidRPr="000F6CD1">
          <w:rPr>
            <w:rStyle w:val="Hyperlink"/>
          </w:rPr>
          <w:t>Services Australia service centres</w:t>
        </w:r>
      </w:hyperlink>
      <w:r w:rsidR="00AD355E" w:rsidRPr="000F6CD1">
        <w:t xml:space="preserve"> across Australia</w:t>
      </w:r>
      <w:r w:rsidRPr="000F6CD1">
        <w:t>. Bookings for the free service can be made by calling 1800 227 475 on weekdays from 8am to 5pm</w:t>
      </w:r>
      <w:r w:rsidR="00204DD0" w:rsidRPr="000F6CD1">
        <w:t xml:space="preserve"> (local time)</w:t>
      </w:r>
      <w:r w:rsidRPr="000F6CD1">
        <w:t xml:space="preserve">. </w:t>
      </w:r>
    </w:p>
    <w:p w14:paraId="023FD5EF" w14:textId="6F816D1A" w:rsidR="00B044E3" w:rsidRPr="000F6CD1" w:rsidRDefault="00B044E3" w:rsidP="00614178">
      <w:pPr>
        <w:spacing w:before="240" w:after="240" w:line="240" w:lineRule="auto"/>
        <w:rPr>
          <w:rFonts w:eastAsiaTheme="minorEastAsia"/>
          <w:lang w:eastAsia="en-US"/>
        </w:rPr>
      </w:pPr>
      <w:r w:rsidRPr="000F6CD1">
        <w:rPr>
          <w:rFonts w:eastAsiaTheme="minorEastAsia"/>
          <w:lang w:eastAsia="en-US"/>
        </w:rPr>
        <w:t>ACSOs</w:t>
      </w:r>
      <w:r w:rsidR="00C021F3" w:rsidRPr="000F6CD1">
        <w:rPr>
          <w:rFonts w:eastAsiaTheme="minorEastAsia"/>
          <w:lang w:eastAsia="en-US"/>
        </w:rPr>
        <w:t xml:space="preserve"> </w:t>
      </w:r>
      <w:r w:rsidR="00BE0C34" w:rsidRPr="000F6CD1">
        <w:rPr>
          <w:rFonts w:eastAsiaTheme="minorEastAsia"/>
          <w:lang w:eastAsia="en-US"/>
        </w:rPr>
        <w:t xml:space="preserve">can </w:t>
      </w:r>
      <w:r w:rsidRPr="000F6CD1">
        <w:rPr>
          <w:rFonts w:eastAsiaTheme="minorEastAsia"/>
          <w:lang w:eastAsia="en-US"/>
        </w:rPr>
        <w:t xml:space="preserve">create records for older people, </w:t>
      </w:r>
      <w:r w:rsidR="000A7759" w:rsidRPr="000F6CD1">
        <w:rPr>
          <w:rFonts w:eastAsiaTheme="minorEastAsia"/>
          <w:lang w:eastAsia="en-US"/>
        </w:rPr>
        <w:t xml:space="preserve">progress </w:t>
      </w:r>
      <w:r w:rsidRPr="000F6CD1">
        <w:rPr>
          <w:rFonts w:eastAsiaTheme="minorEastAsia"/>
          <w:lang w:eastAsia="en-US"/>
        </w:rPr>
        <w:t>registration and cancellation of supporter and agent relationships, screen for needs and refer older people to assessment organisations and service providers and/or provides information to older people.</w:t>
      </w:r>
    </w:p>
    <w:p w14:paraId="465D08CE" w14:textId="43F80ACB" w:rsidR="00FA75A4" w:rsidRPr="000F6CD1" w:rsidRDefault="00FA75A4" w:rsidP="00614178">
      <w:pPr>
        <w:spacing w:before="240" w:after="240" w:line="240" w:lineRule="auto"/>
      </w:pPr>
      <w:r w:rsidRPr="000F6CD1">
        <w:t xml:space="preserve">ACSOs </w:t>
      </w:r>
      <w:r w:rsidR="00C35264" w:rsidRPr="000F6CD1">
        <w:t>can</w:t>
      </w:r>
      <w:r w:rsidRPr="000F6CD1">
        <w:t xml:space="preserve"> help older Aboriginal and Torres Strait Islander people indicate their preference for an Aboriginal and Torres Strait Islander assessment organisation. </w:t>
      </w:r>
    </w:p>
    <w:p w14:paraId="7A279A61" w14:textId="77777777" w:rsidR="00FA75A4" w:rsidRPr="000F6CD1" w:rsidRDefault="00FA75A4" w:rsidP="00614178">
      <w:pPr>
        <w:spacing w:before="240" w:after="240" w:line="240" w:lineRule="auto"/>
      </w:pPr>
      <w:r w:rsidRPr="000F6CD1">
        <w:t>All Service Australia service centres can provide general information about aged care services. They can help connect people to My Aged Care’s online or phone service and/or connect the older person to more intensive support if required.</w:t>
      </w:r>
    </w:p>
    <w:tbl>
      <w:tblPr>
        <w:tblStyle w:val="TableGrid"/>
        <w:tblW w:w="0" w:type="auto"/>
        <w:tblLook w:val="04A0" w:firstRow="1" w:lastRow="0" w:firstColumn="1" w:lastColumn="0" w:noHBand="0" w:noVBand="1"/>
      </w:tblPr>
      <w:tblGrid>
        <w:gridCol w:w="850"/>
        <w:gridCol w:w="7916"/>
      </w:tblGrid>
      <w:tr w:rsidR="00FA75A4" w:rsidRPr="000F6CD1" w14:paraId="240CF5B1" w14:textId="77777777">
        <w:trPr>
          <w:trHeight w:val="844"/>
        </w:trPr>
        <w:tc>
          <w:tcPr>
            <w:tcW w:w="851" w:type="dxa"/>
            <w:vAlign w:val="center"/>
          </w:tcPr>
          <w:p w14:paraId="5C5A6962" w14:textId="77777777" w:rsidR="00FA75A4" w:rsidRPr="000F6CD1" w:rsidRDefault="00FA75A4" w:rsidP="00614178">
            <w:pPr>
              <w:spacing w:before="240" w:after="240"/>
            </w:pPr>
            <w:r w:rsidRPr="000F6CD1">
              <w:rPr>
                <w:noProof/>
              </w:rPr>
              <w:drawing>
                <wp:inline distT="0" distB="0" distL="0" distR="0" wp14:anchorId="3CFA703B" wp14:editId="4FF94F27">
                  <wp:extent cx="367345" cy="365321"/>
                  <wp:effectExtent l="0" t="0" r="0" b="0"/>
                  <wp:docPr id="440600256" name="Picture 440600256"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00256" name="Picture 440600256" descr="A black-and-white “i” icon inside a speech bubble, used to show where there are links to additional information and resources.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1389AF0B" w14:textId="77777777" w:rsidR="00FA75A4" w:rsidRPr="000F6CD1" w:rsidRDefault="00FA75A4" w:rsidP="00614178">
            <w:pPr>
              <w:spacing w:before="240" w:after="240"/>
            </w:pPr>
            <w:r w:rsidRPr="000F6CD1">
              <w:rPr>
                <w:b/>
                <w:bCs/>
                <w:szCs w:val="22"/>
              </w:rPr>
              <w:t>Services Australia website</w:t>
            </w:r>
            <w:r w:rsidRPr="000F6CD1">
              <w:rPr>
                <w:szCs w:val="22"/>
              </w:rPr>
              <w:t xml:space="preserve">: </w:t>
            </w:r>
            <w:hyperlink r:id="rId87">
              <w:r w:rsidRPr="000F6CD1">
                <w:rPr>
                  <w:rStyle w:val="Hyperlink"/>
                  <w:szCs w:val="22"/>
                </w:rPr>
                <w:t>Aged Care Specialist Officer</w:t>
              </w:r>
            </w:hyperlink>
          </w:p>
        </w:tc>
      </w:tr>
    </w:tbl>
    <w:p w14:paraId="203A3FB9" w14:textId="77777777" w:rsidR="00FA75A4" w:rsidRPr="000F6CD1" w:rsidRDefault="00FA75A4" w:rsidP="00AD2CE5">
      <w:pPr>
        <w:pStyle w:val="H3"/>
      </w:pPr>
      <w:bookmarkStart w:id="204" w:name="_Toc159226866"/>
      <w:bookmarkStart w:id="205" w:name="_Ref167870899"/>
      <w:bookmarkStart w:id="206" w:name="_Ref167874724"/>
      <w:bookmarkStart w:id="207" w:name="_Toc184402270"/>
      <w:bookmarkStart w:id="208" w:name="_Toc204329517"/>
      <w:r w:rsidRPr="000F6CD1">
        <w:t>My Aged Care Online Account</w:t>
      </w:r>
      <w:bookmarkEnd w:id="204"/>
      <w:bookmarkEnd w:id="205"/>
      <w:bookmarkEnd w:id="206"/>
      <w:bookmarkEnd w:id="207"/>
      <w:bookmarkEnd w:id="208"/>
      <w:r w:rsidRPr="000F6CD1">
        <w:t xml:space="preserve"> </w:t>
      </w:r>
    </w:p>
    <w:p w14:paraId="75AB6D6D" w14:textId="5B2900B6" w:rsidR="00FA75A4" w:rsidRPr="000F6CD1" w:rsidRDefault="00FA75A4" w:rsidP="0003231B">
      <w:pPr>
        <w:pStyle w:val="H4"/>
      </w:pPr>
      <w:bookmarkStart w:id="209" w:name="_Toc184402271"/>
      <w:r w:rsidRPr="000F6CD1">
        <w:t xml:space="preserve">Create </w:t>
      </w:r>
      <w:r w:rsidR="00475FBB" w:rsidRPr="000F6CD1">
        <w:t>a</w:t>
      </w:r>
      <w:r w:rsidRPr="000F6CD1">
        <w:t xml:space="preserve">ccount and </w:t>
      </w:r>
      <w:r w:rsidR="00475FBB" w:rsidRPr="000F6CD1">
        <w:t>r</w:t>
      </w:r>
      <w:r w:rsidRPr="000F6CD1">
        <w:t>egistration</w:t>
      </w:r>
      <w:bookmarkEnd w:id="209"/>
      <w:r w:rsidRPr="000F6CD1">
        <w:t xml:space="preserve"> </w:t>
      </w:r>
    </w:p>
    <w:p w14:paraId="4C91EAE7" w14:textId="6B99311D" w:rsidR="00FA75A4" w:rsidRPr="000F6CD1" w:rsidRDefault="00FA75A4" w:rsidP="00614178">
      <w:pPr>
        <w:spacing w:before="240" w:after="240" w:line="240" w:lineRule="auto"/>
      </w:pPr>
      <w:r w:rsidRPr="000F6CD1">
        <w:t xml:space="preserve">Once registered with My Aged Care, an older person can set up access to their My Aged Care Online Account by linking it to their myGov account. Confirmation of the type of account, identification and contact details are required. Registered supporters for an older person can also set up their own Online Account. If they have </w:t>
      </w:r>
      <w:r w:rsidR="006238E9" w:rsidRPr="000F6CD1">
        <w:t>authority</w:t>
      </w:r>
      <w:r w:rsidRPr="000F6CD1">
        <w:t xml:space="preserve"> to access the older person's information, they can navigate from their own account to the account of the person they support. </w:t>
      </w:r>
    </w:p>
    <w:p w14:paraId="14ED86F3" w14:textId="2EFBBFD9" w:rsidR="00333385" w:rsidRDefault="00FA75A4" w:rsidP="00614178">
      <w:pPr>
        <w:spacing w:before="240" w:after="240" w:line="240" w:lineRule="auto"/>
      </w:pPr>
      <w:r w:rsidRPr="000F6CD1">
        <w:t xml:space="preserve">An older person’s Online Account contains important information about the older person, </w:t>
      </w:r>
      <w:r w:rsidR="006238E9" w:rsidRPr="000F6CD1">
        <w:t xml:space="preserve">their </w:t>
      </w:r>
      <w:r w:rsidRPr="000F6CD1">
        <w:t>registered supporter</w:t>
      </w:r>
      <w:r w:rsidR="006238E9" w:rsidRPr="000F6CD1">
        <w:t>(s)</w:t>
      </w:r>
      <w:r w:rsidRPr="000F6CD1">
        <w:t xml:space="preserve">, organisation agent relationship details, aged care assessments, services, and interactions with My Aged Care. Further information about accessing and using a My Aged Care Online Account is available on the My Aged Care </w:t>
      </w:r>
      <w:hyperlink r:id="rId88">
        <w:r w:rsidRPr="000F6CD1">
          <w:rPr>
            <w:rStyle w:val="Hyperlink"/>
          </w:rPr>
          <w:t>website</w:t>
        </w:r>
      </w:hyperlink>
      <w:r w:rsidRPr="000F6CD1">
        <w:t xml:space="preserve">. </w:t>
      </w:r>
    </w:p>
    <w:p w14:paraId="3772177C" w14:textId="379F5B4D" w:rsidR="00FA75A4" w:rsidRPr="000F6CD1" w:rsidRDefault="00333385" w:rsidP="00333385">
      <w:r>
        <w:br w:type="page"/>
      </w:r>
    </w:p>
    <w:p w14:paraId="6D36093D" w14:textId="258FD089" w:rsidR="00271898" w:rsidRPr="000F6CD1" w:rsidRDefault="00271898" w:rsidP="006647CE">
      <w:pPr>
        <w:pStyle w:val="h2"/>
      </w:pPr>
      <w:bookmarkStart w:id="210" w:name="_Representatives"/>
      <w:bookmarkStart w:id="211" w:name="_Ref233127525"/>
      <w:bookmarkStart w:id="212" w:name="_Toc233282427"/>
      <w:bookmarkStart w:id="213" w:name="_Ref127285200"/>
      <w:bookmarkStart w:id="214" w:name="_Toc184402272"/>
      <w:bookmarkStart w:id="215" w:name="_Toc209188961"/>
      <w:bookmarkEnd w:id="210"/>
      <w:r w:rsidRPr="000F6CD1">
        <w:lastRenderedPageBreak/>
        <w:t>Alternative entry</w:t>
      </w:r>
      <w:bookmarkEnd w:id="211"/>
      <w:bookmarkEnd w:id="212"/>
      <w:r w:rsidRPr="000F6CD1">
        <w:t xml:space="preserve"> </w:t>
      </w:r>
    </w:p>
    <w:p w14:paraId="4D0D5C1A" w14:textId="77777777" w:rsidR="00271898" w:rsidRPr="000F6CD1" w:rsidRDefault="00271898" w:rsidP="00271898">
      <w:pPr>
        <w:spacing w:before="240" w:after="240" w:line="240" w:lineRule="auto"/>
        <w:rPr>
          <w:rFonts w:eastAsia="Aptos"/>
        </w:rPr>
      </w:pPr>
      <w:r w:rsidRPr="000F6CD1">
        <w:rPr>
          <w:rFonts w:eastAsia="Aptos"/>
        </w:rPr>
        <w:t xml:space="preserve">Section 71 of the Act provides ‘alternative entry’ pathways that allow an older person in certain circumstances to begin receiving care before being assessed and approved for funded aged care services. </w:t>
      </w:r>
    </w:p>
    <w:p w14:paraId="14931D80" w14:textId="77777777" w:rsidR="00271898" w:rsidRPr="000F6CD1" w:rsidRDefault="00271898" w:rsidP="00271898">
      <w:pPr>
        <w:spacing w:before="240" w:after="240" w:line="240" w:lineRule="auto"/>
        <w:rPr>
          <w:rFonts w:eastAsia="Aptos"/>
        </w:rPr>
      </w:pPr>
      <w:r w:rsidRPr="000F6CD1">
        <w:rPr>
          <w:rFonts w:eastAsia="Aptos"/>
        </w:rPr>
        <w:t xml:space="preserve">Subsection 71(4) of the Act outlines the three different circumstances when an individual may access care before undergoing an assessment or receiving approval. These circumstances are outlined as the following: </w:t>
      </w:r>
    </w:p>
    <w:p w14:paraId="58F0CE9B" w14:textId="6A3522B9" w:rsidR="00B23E56" w:rsidRPr="000F6CD1" w:rsidRDefault="00271898" w:rsidP="00271898">
      <w:pPr>
        <w:pStyle w:val="ListParagraph"/>
        <w:numPr>
          <w:ilvl w:val="0"/>
          <w:numId w:val="428"/>
        </w:numPr>
        <w:spacing w:before="240" w:after="240" w:line="240" w:lineRule="auto"/>
        <w:rPr>
          <w:rFonts w:eastAsia="Aptos"/>
        </w:rPr>
      </w:pPr>
      <w:r w:rsidRPr="000F6CD1">
        <w:rPr>
          <w:rFonts w:eastAsia="Aptos"/>
          <w:b/>
          <w:bCs/>
        </w:rPr>
        <w:t>Urgent services</w:t>
      </w:r>
      <w:r w:rsidRPr="000F6CD1">
        <w:rPr>
          <w:rFonts w:eastAsia="Aptos"/>
        </w:rPr>
        <w:t>: The individual was in urgent need of access to funded aged care services and there was a significant risk of harm to the individual if services were not provided before an approval was given.</w:t>
      </w:r>
    </w:p>
    <w:p w14:paraId="6ADF78FC" w14:textId="6C8E7BAE" w:rsidR="0064663D" w:rsidRPr="000F6CD1" w:rsidRDefault="0064663D" w:rsidP="002468EF">
      <w:pPr>
        <w:pStyle w:val="ListParagraph"/>
        <w:spacing w:before="240" w:after="240" w:line="240" w:lineRule="auto"/>
        <w:rPr>
          <w:rFonts w:eastAsia="Aptos"/>
        </w:rPr>
      </w:pPr>
    </w:p>
    <w:p w14:paraId="1A315250" w14:textId="77777777" w:rsidR="0064663D" w:rsidRPr="000F6CD1" w:rsidRDefault="00271898" w:rsidP="0064663D">
      <w:pPr>
        <w:pStyle w:val="ListParagraph"/>
        <w:numPr>
          <w:ilvl w:val="0"/>
          <w:numId w:val="428"/>
        </w:numPr>
        <w:spacing w:before="240" w:after="240" w:line="240" w:lineRule="auto"/>
        <w:rPr>
          <w:rFonts w:eastAsia="Aptos"/>
        </w:rPr>
      </w:pPr>
      <w:r w:rsidRPr="000F6CD1">
        <w:rPr>
          <w:rFonts w:eastAsia="Aptos"/>
          <w:b/>
          <w:bCs/>
        </w:rPr>
        <w:t>Lack of availability of culturally safe assessments</w:t>
      </w:r>
      <w:r w:rsidRPr="000F6CD1">
        <w:rPr>
          <w:rFonts w:eastAsia="Aptos"/>
        </w:rPr>
        <w:t>: The individual is an Aboriginal and Torres Strait Islander person and at the time the individual sought access to funded aged care services, there was a lack of availability to access a culturally safe assessment.</w:t>
      </w:r>
    </w:p>
    <w:p w14:paraId="2213336B" w14:textId="77777777" w:rsidR="0064663D" w:rsidRPr="000F6CD1" w:rsidRDefault="0064663D" w:rsidP="002468EF">
      <w:pPr>
        <w:pStyle w:val="ListParagraph"/>
        <w:rPr>
          <w:rFonts w:eastAsia="Aptos"/>
        </w:rPr>
      </w:pPr>
    </w:p>
    <w:p w14:paraId="712F76CA" w14:textId="2C1F9BF5" w:rsidR="00271898" w:rsidRPr="000F6CD1" w:rsidRDefault="00271898" w:rsidP="00271898">
      <w:pPr>
        <w:pStyle w:val="ListParagraph"/>
        <w:numPr>
          <w:ilvl w:val="0"/>
          <w:numId w:val="428"/>
        </w:numPr>
        <w:spacing w:before="240" w:after="240" w:line="240" w:lineRule="auto"/>
        <w:rPr>
          <w:rFonts w:eastAsia="Aptos"/>
        </w:rPr>
      </w:pPr>
      <w:r w:rsidRPr="000F6CD1">
        <w:rPr>
          <w:rFonts w:eastAsia="Aptos"/>
          <w:b/>
          <w:bCs/>
        </w:rPr>
        <w:t>Services commenced through a specialist aged care program and there is a significant delay in assessment</w:t>
      </w:r>
      <w:r w:rsidRPr="000F6CD1">
        <w:rPr>
          <w:rFonts w:eastAsia="Aptos"/>
        </w:rPr>
        <w:t>: The individual started to receive care from a specialist aged care program (such as CHSP, MPSP or NATSIFACP) before approval was given, and at the time the individual sought funded aged care services</w:t>
      </w:r>
      <w:r w:rsidR="00874BC1" w:rsidRPr="000F6CD1">
        <w:rPr>
          <w:rFonts w:eastAsia="Aptos"/>
        </w:rPr>
        <w:t>,</w:t>
      </w:r>
      <w:r w:rsidRPr="000F6CD1">
        <w:rPr>
          <w:rFonts w:eastAsia="Aptos"/>
        </w:rPr>
        <w:t xml:space="preserve"> there was a significant delay in the availability to undertake a needs assessment. </w:t>
      </w:r>
    </w:p>
    <w:p w14:paraId="44ED1845" w14:textId="77777777" w:rsidR="00271898" w:rsidRPr="000F6CD1" w:rsidRDefault="00271898" w:rsidP="00271898">
      <w:pPr>
        <w:spacing w:before="240" w:after="240" w:line="240" w:lineRule="auto"/>
        <w:rPr>
          <w:rFonts w:eastAsia="Aptos"/>
        </w:rPr>
      </w:pPr>
      <w:r w:rsidRPr="000F6CD1">
        <w:rPr>
          <w:rFonts w:eastAsia="Aptos"/>
        </w:rPr>
        <w:t>This</w:t>
      </w:r>
      <w:r w:rsidRPr="000F6CD1">
        <w:t xml:space="preserve"> pathway is available for individuals who commenced accessing specialist aged care services before an approval was given. Specialist aged care programs include: </w:t>
      </w:r>
    </w:p>
    <w:p w14:paraId="56C8F6B1" w14:textId="77777777" w:rsidR="00271898" w:rsidRPr="000F6CD1" w:rsidRDefault="00271898" w:rsidP="00271898">
      <w:pPr>
        <w:pStyle w:val="ListParagraph"/>
        <w:numPr>
          <w:ilvl w:val="0"/>
          <w:numId w:val="52"/>
        </w:numPr>
        <w:spacing w:before="240" w:after="240" w:line="240" w:lineRule="auto"/>
      </w:pPr>
      <w:r w:rsidRPr="000F6CD1">
        <w:t>Multi-Purpose Service Program (MPSP)</w:t>
      </w:r>
    </w:p>
    <w:p w14:paraId="76ACC627" w14:textId="77777777" w:rsidR="00271898" w:rsidRPr="000F6CD1" w:rsidRDefault="00271898" w:rsidP="00271898">
      <w:pPr>
        <w:pStyle w:val="ListParagraph"/>
        <w:numPr>
          <w:ilvl w:val="0"/>
          <w:numId w:val="52"/>
        </w:numPr>
        <w:spacing w:before="240" w:after="240" w:line="240" w:lineRule="auto"/>
      </w:pPr>
      <w:r w:rsidRPr="000F6CD1">
        <w:t>National Aboriginal and Torres Strait Islander Flexible Aged Care Program (NATSIFACP); and</w:t>
      </w:r>
    </w:p>
    <w:p w14:paraId="5D3ACEE9" w14:textId="77777777" w:rsidR="00271898" w:rsidRPr="000F6CD1" w:rsidRDefault="00271898" w:rsidP="00271898">
      <w:pPr>
        <w:pStyle w:val="ListParagraph"/>
        <w:numPr>
          <w:ilvl w:val="0"/>
          <w:numId w:val="52"/>
        </w:numPr>
        <w:spacing w:before="240" w:after="240" w:line="240" w:lineRule="auto"/>
      </w:pPr>
      <w:r w:rsidRPr="000F6CD1">
        <w:t>Commonwealth Home Support Program (CHSP).</w:t>
      </w:r>
    </w:p>
    <w:p w14:paraId="3420AD84" w14:textId="77777777" w:rsidR="00271898" w:rsidRPr="000F6CD1" w:rsidRDefault="00271898" w:rsidP="00271898">
      <w:pPr>
        <w:spacing w:before="240" w:after="240" w:line="240" w:lineRule="auto"/>
      </w:pPr>
      <w:r w:rsidRPr="000F6CD1">
        <w:t>Note that, because eligibility criteria for the Transition Care Program (TCP) requires the individual to have an assessment in a hospital setting before they are recommended TCP, TCP cannot be accessed through alternative entry.</w:t>
      </w:r>
    </w:p>
    <w:p w14:paraId="64AD77DE" w14:textId="0FEB1A1F" w:rsidR="00271898" w:rsidRPr="000F6CD1" w:rsidRDefault="00271898" w:rsidP="00271898">
      <w:pPr>
        <w:spacing w:before="240" w:after="240" w:line="240" w:lineRule="auto"/>
        <w:rPr>
          <w:rFonts w:eastAsia="Aptos"/>
        </w:rPr>
      </w:pPr>
      <w:r w:rsidRPr="000F6CD1">
        <w:rPr>
          <w:rFonts w:eastAsia="Aptos"/>
        </w:rPr>
        <w:t xml:space="preserve">To access any of the alternative entry pathways, an individual (often with the support of their provider) must make an application to the System Governor in an ‘approved form’ within the time period specified in the </w:t>
      </w:r>
      <w:r w:rsidRPr="0090025F">
        <w:rPr>
          <w:rFonts w:eastAsia="Aptos"/>
          <w:i/>
          <w:iCs/>
        </w:rPr>
        <w:t>Aged Care Act 2024</w:t>
      </w:r>
      <w:r w:rsidRPr="000F6CD1">
        <w:rPr>
          <w:rFonts w:eastAsia="Aptos"/>
        </w:rPr>
        <w:t xml:space="preserve"> (the Act) and </w:t>
      </w:r>
      <w:r w:rsidRPr="000F6CD1">
        <w:rPr>
          <w:rFonts w:eastAsia="Aptos"/>
          <w:i/>
          <w:iCs/>
        </w:rPr>
        <w:t>Aged Care Rules 2025</w:t>
      </w:r>
      <w:r w:rsidRPr="000F6CD1">
        <w:rPr>
          <w:rFonts w:eastAsia="Aptos"/>
        </w:rPr>
        <w:t xml:space="preserve">. </w:t>
      </w:r>
    </w:p>
    <w:p w14:paraId="6DDC7476" w14:textId="38E90F74" w:rsidR="00271898" w:rsidRPr="000F6CD1" w:rsidRDefault="00271898" w:rsidP="00271898">
      <w:pPr>
        <w:spacing w:before="240" w:after="240" w:line="240" w:lineRule="auto"/>
        <w:rPr>
          <w:rFonts w:eastAsia="Aptos"/>
        </w:rPr>
      </w:pPr>
      <w:r w:rsidRPr="000F6CD1">
        <w:rPr>
          <w:rFonts w:eastAsia="Aptos"/>
        </w:rPr>
        <w:t xml:space="preserve">An application can be lodged for access to Commonwealth subsidised services under the Act’s alternative entry provisions via any of the available application pathways (e.g. </w:t>
      </w:r>
      <w:r w:rsidR="0028761E" w:rsidRPr="000F6CD1">
        <w:rPr>
          <w:rFonts w:eastAsia="Aptos"/>
        </w:rPr>
        <w:t>My Aged Care telephony and face to face</w:t>
      </w:r>
      <w:r w:rsidR="00231ACD" w:rsidRPr="000F6CD1">
        <w:rPr>
          <w:rFonts w:eastAsia="Aptos"/>
        </w:rPr>
        <w:t xml:space="preserve"> channels,</w:t>
      </w:r>
      <w:r w:rsidRPr="000F6CD1">
        <w:rPr>
          <w:rFonts w:eastAsia="Aptos"/>
        </w:rPr>
        <w:t xml:space="preserve"> online referral or self-referral through an Assessment Organisation). In this context, an ‘application’ under section 71 refers to the initial registration process undertaken by contacting My Aged Care.</w:t>
      </w:r>
    </w:p>
    <w:p w14:paraId="3D6CB386" w14:textId="0EEFC4ED" w:rsidR="00271898" w:rsidRPr="000F6CD1" w:rsidRDefault="00271898" w:rsidP="00271898">
      <w:pPr>
        <w:spacing w:before="240" w:after="240" w:line="240" w:lineRule="auto"/>
        <w:rPr>
          <w:rFonts w:eastAsia="Aptos"/>
        </w:rPr>
      </w:pPr>
      <w:r w:rsidRPr="000F6CD1">
        <w:rPr>
          <w:rFonts w:eastAsia="Aptos"/>
        </w:rPr>
        <w:t xml:space="preserve">This pathway is also available for individuals to access residential care or residential respite care under the Act’s alternative entry provisions via any of the available application pathways or by submitting the </w:t>
      </w:r>
      <w:hyperlink r:id="rId89" w:history="1">
        <w:r w:rsidRPr="000F6CD1">
          <w:rPr>
            <w:rStyle w:val="Hyperlink"/>
            <w:rFonts w:eastAsia="Aptos"/>
          </w:rPr>
          <w:t>Emergency Residential Care - Application for Care Form</w:t>
        </w:r>
      </w:hyperlink>
      <w:r w:rsidRPr="000F6CD1">
        <w:t>.</w:t>
      </w:r>
      <w:r w:rsidRPr="000F6CD1">
        <w:rPr>
          <w:rFonts w:eastAsia="Aptos"/>
        </w:rPr>
        <w:t xml:space="preserve"> For further information on the form see section </w:t>
      </w:r>
      <w:r w:rsidRPr="000F6CD1">
        <w:rPr>
          <w:rFonts w:eastAsia="Aptos"/>
        </w:rPr>
        <w:fldChar w:fldCharType="begin"/>
      </w:r>
      <w:r w:rsidRPr="000F6CD1">
        <w:rPr>
          <w:rFonts w:eastAsia="Aptos"/>
        </w:rPr>
        <w:instrText xml:space="preserve"> REF _Ref212733513 \r \h </w:instrText>
      </w:r>
      <w:r w:rsidRPr="000F6CD1">
        <w:rPr>
          <w:rFonts w:eastAsia="Aptos"/>
        </w:rPr>
      </w:r>
      <w:r w:rsidRPr="000F6CD1">
        <w:rPr>
          <w:rFonts w:eastAsia="Aptos"/>
        </w:rPr>
        <w:fldChar w:fldCharType="separate"/>
      </w:r>
      <w:r w:rsidR="004B171E">
        <w:rPr>
          <w:rFonts w:eastAsia="Aptos"/>
        </w:rPr>
        <w:t>3.6</w:t>
      </w:r>
      <w:r w:rsidRPr="000F6CD1">
        <w:rPr>
          <w:rFonts w:eastAsia="Aptos"/>
        </w:rPr>
        <w:fldChar w:fldCharType="end"/>
      </w:r>
      <w:r w:rsidRPr="000F6CD1">
        <w:rPr>
          <w:rFonts w:eastAsia="Aptos"/>
        </w:rPr>
        <w:t xml:space="preserve">, Chapter </w:t>
      </w:r>
      <w:r w:rsidRPr="000F6CD1">
        <w:rPr>
          <w:rFonts w:eastAsia="Aptos"/>
        </w:rPr>
        <w:fldChar w:fldCharType="begin"/>
      </w:r>
      <w:r w:rsidRPr="000F6CD1">
        <w:rPr>
          <w:rFonts w:eastAsia="Aptos"/>
        </w:rPr>
        <w:instrText xml:space="preserve"> REF _Ref212735220 \r \h </w:instrText>
      </w:r>
      <w:r w:rsidRPr="000F6CD1">
        <w:rPr>
          <w:rFonts w:eastAsia="Aptos"/>
        </w:rPr>
      </w:r>
      <w:r w:rsidRPr="000F6CD1">
        <w:rPr>
          <w:rFonts w:eastAsia="Aptos"/>
        </w:rPr>
        <w:fldChar w:fldCharType="separate"/>
      </w:r>
      <w:r w:rsidR="004B171E">
        <w:rPr>
          <w:rFonts w:eastAsia="Aptos"/>
        </w:rPr>
        <w:t>3</w:t>
      </w:r>
      <w:r w:rsidRPr="000F6CD1">
        <w:rPr>
          <w:rFonts w:eastAsia="Aptos"/>
        </w:rPr>
        <w:fldChar w:fldCharType="end"/>
      </w:r>
      <w:r w:rsidRPr="000F6CD1">
        <w:rPr>
          <w:rFonts w:eastAsia="Aptos"/>
        </w:rPr>
        <w:t xml:space="preserve">). </w:t>
      </w:r>
    </w:p>
    <w:p w14:paraId="0E3001CF" w14:textId="776F6C69" w:rsidR="00271898" w:rsidRPr="000F6CD1" w:rsidRDefault="00271898" w:rsidP="00271898">
      <w:pPr>
        <w:spacing w:before="240" w:after="240" w:line="240" w:lineRule="auto"/>
        <w:rPr>
          <w:rFonts w:eastAsia="Aptos"/>
        </w:rPr>
      </w:pPr>
      <w:r w:rsidRPr="000F6CD1">
        <w:rPr>
          <w:rFonts w:eastAsia="Aptos"/>
        </w:rPr>
        <w:lastRenderedPageBreak/>
        <w:t xml:space="preserve">Individuals (often with the support of their provider) have a period of </w:t>
      </w:r>
      <w:r w:rsidRPr="000F6CD1">
        <w:rPr>
          <w:rFonts w:eastAsia="Aptos"/>
          <w:b/>
          <w:bCs/>
        </w:rPr>
        <w:t>5 days</w:t>
      </w:r>
      <w:r w:rsidRPr="000F6CD1">
        <w:rPr>
          <w:rFonts w:eastAsia="Aptos"/>
        </w:rPr>
        <w:t xml:space="preserve"> after the day on which services commenced to make an application under section 71 of the Act</w:t>
      </w:r>
      <w:r w:rsidR="00890EFF" w:rsidRPr="000F6CD1">
        <w:rPr>
          <w:rFonts w:eastAsia="Aptos"/>
        </w:rPr>
        <w:t xml:space="preserve">, </w:t>
      </w:r>
      <w:r w:rsidR="007929BC" w:rsidRPr="000F6CD1">
        <w:rPr>
          <w:rFonts w:eastAsia="Aptos"/>
        </w:rPr>
        <w:t xml:space="preserve">for example if </w:t>
      </w:r>
      <w:r w:rsidR="00750884" w:rsidRPr="000F6CD1">
        <w:rPr>
          <w:rFonts w:eastAsia="Aptos"/>
        </w:rPr>
        <w:t>receiving ‘urgent services’</w:t>
      </w:r>
      <w:r w:rsidR="00DE4248" w:rsidRPr="000F6CD1">
        <w:rPr>
          <w:rFonts w:eastAsia="Aptos"/>
        </w:rPr>
        <w:t>.</w:t>
      </w:r>
      <w:r w:rsidRPr="000F6CD1">
        <w:rPr>
          <w:rFonts w:eastAsia="Aptos"/>
        </w:rPr>
        <w:t xml:space="preserve"> </w:t>
      </w:r>
    </w:p>
    <w:p w14:paraId="62C22BC7" w14:textId="102EAC5F" w:rsidR="00271898" w:rsidRPr="000F6CD1" w:rsidRDefault="00271898" w:rsidP="00271898">
      <w:pPr>
        <w:spacing w:before="240" w:after="240" w:line="240" w:lineRule="auto"/>
        <w:rPr>
          <w:rFonts w:eastAsia="Aptos"/>
        </w:rPr>
      </w:pPr>
      <w:r w:rsidRPr="000F6CD1">
        <w:rPr>
          <w:rFonts w:eastAsia="Aptos"/>
        </w:rPr>
        <w:t>In most cases, individuals who have accessed a service prior to an assessment would have accessed this service through contacting the My Aged Care Contact Centre</w:t>
      </w:r>
      <w:r w:rsidR="0094149A" w:rsidRPr="000F6CD1">
        <w:rPr>
          <w:rFonts w:eastAsia="Aptos"/>
        </w:rPr>
        <w:t>/ACSO</w:t>
      </w:r>
      <w:r w:rsidRPr="000F6CD1">
        <w:rPr>
          <w:rFonts w:eastAsia="Aptos"/>
        </w:rPr>
        <w:t xml:space="preserve"> and referred at the point of screening. In a small minority of cases, individuals may receive urgent services directly through a CHSP provider prior to applying through My Aged Care, in which case the provider would support the older person to register through My Aged Care within the 5-day timeframe. </w:t>
      </w:r>
    </w:p>
    <w:p w14:paraId="4E16595E" w14:textId="77777777" w:rsidR="00271898" w:rsidRPr="000F6CD1" w:rsidRDefault="00271898" w:rsidP="00271898">
      <w:pPr>
        <w:spacing w:before="240" w:after="240" w:line="240" w:lineRule="auto"/>
        <w:rPr>
          <w:rFonts w:eastAsia="Aptos"/>
        </w:rPr>
      </w:pPr>
      <w:r w:rsidRPr="000F6CD1">
        <w:rPr>
          <w:rFonts w:eastAsia="Aptos"/>
        </w:rPr>
        <w:t xml:space="preserve">The </w:t>
      </w:r>
      <w:r w:rsidRPr="000F6CD1">
        <w:rPr>
          <w:rFonts w:eastAsia="Aptos"/>
          <w:i/>
          <w:iCs/>
        </w:rPr>
        <w:t>Aged Care Rules 2025</w:t>
      </w:r>
      <w:r w:rsidRPr="000F6CD1">
        <w:rPr>
          <w:rFonts w:eastAsia="Aptos"/>
        </w:rPr>
        <w:t xml:space="preserve"> specify one exception, if the registered provider delivering services is a NATSIFACP or MPSP provider. In this instance, the individual has </w:t>
      </w:r>
      <w:r w:rsidRPr="000F6CD1">
        <w:rPr>
          <w:rFonts w:eastAsia="Aptos"/>
          <w:b/>
          <w:bCs/>
        </w:rPr>
        <w:t>30 days</w:t>
      </w:r>
      <w:r w:rsidRPr="000F6CD1">
        <w:rPr>
          <w:rFonts w:eastAsia="Aptos"/>
        </w:rPr>
        <w:t xml:space="preserve"> after the day care commenced to make an application. Providers should support the individual to go through the application process within this timeframe.</w:t>
      </w:r>
    </w:p>
    <w:p w14:paraId="4A6F5074" w14:textId="44F55014" w:rsidR="00271898" w:rsidRPr="000F6CD1" w:rsidRDefault="00271898" w:rsidP="00271898">
      <w:pPr>
        <w:spacing w:before="240" w:after="240" w:line="240" w:lineRule="auto"/>
        <w:rPr>
          <w:rFonts w:eastAsia="Aptos"/>
        </w:rPr>
      </w:pPr>
      <w:r w:rsidRPr="000F6CD1">
        <w:rPr>
          <w:rFonts w:eastAsia="Aptos"/>
        </w:rPr>
        <w:t xml:space="preserve">If the System Governor is satisfied one of the circumstances outlined in the Act applies to the individual and any other requirements under section 71 have been met, the Act allows for the date care began to be recorded as the date of effect of approval. </w:t>
      </w:r>
      <w:r w:rsidRPr="000F6CD1">
        <w:t xml:space="preserve">Further information is available in </w:t>
      </w:r>
      <w:r w:rsidR="005B799C">
        <w:fldChar w:fldCharType="begin"/>
      </w:r>
      <w:r w:rsidR="005B799C">
        <w:instrText xml:space="preserve"> REF _Ref232596163 \h </w:instrText>
      </w:r>
      <w:r w:rsidR="005B799C">
        <w:fldChar w:fldCharType="separate"/>
      </w:r>
      <w:r w:rsidR="004B171E" w:rsidRPr="000F6CD1">
        <w:t>Chapter 9: Finalising the assessment and service referral</w:t>
      </w:r>
      <w:r w:rsidR="005B799C">
        <w:fldChar w:fldCharType="end"/>
      </w:r>
      <w:r w:rsidRPr="000F6CD1">
        <w:t xml:space="preserve"> to assist Assessment Delegates to give backdated approval after care has commenced via the Notice of Decision. </w:t>
      </w:r>
    </w:p>
    <w:p w14:paraId="2B6E3BCC" w14:textId="150769AA" w:rsidR="00271898" w:rsidRPr="000F6CD1" w:rsidRDefault="00271898" w:rsidP="00271898">
      <w:pPr>
        <w:spacing w:before="240" w:after="240" w:line="240" w:lineRule="auto"/>
      </w:pPr>
      <w:r w:rsidRPr="000F6CD1">
        <w:t xml:space="preserve">Alternative Entry is also applicable for older people new to the aged care system or those individuals </w:t>
      </w:r>
      <w:r w:rsidRPr="000F6CD1">
        <w:rPr>
          <w:i/>
          <w:iCs/>
        </w:rPr>
        <w:t xml:space="preserve">already </w:t>
      </w:r>
      <w:r w:rsidRPr="000F6CD1">
        <w:t xml:space="preserve">eligible and accessing </w:t>
      </w:r>
      <w:r w:rsidR="00113AA1" w:rsidRPr="000F6CD1">
        <w:t>services,</w:t>
      </w:r>
      <w:r w:rsidRPr="000F6CD1">
        <w:t xml:space="preserve"> but whose needs have changed and a re-assessment of their needs is required. </w:t>
      </w:r>
    </w:p>
    <w:p w14:paraId="3EF8C9CA" w14:textId="6D27A7EF" w:rsidR="00271898" w:rsidRPr="000F6CD1" w:rsidRDefault="00C12639" w:rsidP="00AD2CE5">
      <w:pPr>
        <w:pStyle w:val="H3"/>
      </w:pPr>
      <w:r w:rsidRPr="000F6CD1">
        <w:rPr>
          <w:bCs w:val="0"/>
          <w:lang w:val="en-AU"/>
        </w:rPr>
        <w:drawing>
          <wp:anchor distT="0" distB="0" distL="114300" distR="114300" simplePos="0" relativeHeight="251658354" behindDoc="0" locked="0" layoutInCell="1" allowOverlap="1" wp14:anchorId="16589B87" wp14:editId="0857E2D1">
            <wp:simplePos x="0" y="0"/>
            <wp:positionH relativeFrom="margin">
              <wp:align>left</wp:align>
            </wp:positionH>
            <wp:positionV relativeFrom="paragraph">
              <wp:posOffset>17597</wp:posOffset>
            </wp:positionV>
            <wp:extent cx="457200" cy="502920"/>
            <wp:effectExtent l="0" t="0" r="0" b="0"/>
            <wp:wrapSquare wrapText="bothSides"/>
            <wp:docPr id="28847475" name="Picture 28847475"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271898" w:rsidRPr="000F6CD1">
        <w:t>Alternative Entry – CHSP Direct-to-Provider Referrals</w:t>
      </w:r>
    </w:p>
    <w:p w14:paraId="69622B90" w14:textId="77777777" w:rsidR="00271898" w:rsidRPr="000F6CD1" w:rsidRDefault="00271898" w:rsidP="00271898">
      <w:pPr>
        <w:spacing w:before="240" w:after="240" w:line="240" w:lineRule="auto"/>
      </w:pPr>
      <w:r w:rsidRPr="000F6CD1">
        <w:t>If an individual is eligible for the alternative entry pathway under subsection 71(4) of the Act, they can be issued a CHSP direct-to-provider referral prior to being assessed.</w:t>
      </w:r>
    </w:p>
    <w:p w14:paraId="1BE08532" w14:textId="77777777" w:rsidR="005266DF" w:rsidRDefault="00271898" w:rsidP="00271898">
      <w:pPr>
        <w:spacing w:before="240" w:after="240" w:line="240" w:lineRule="auto"/>
      </w:pPr>
      <w:r w:rsidRPr="000F6CD1">
        <w:t>These referrals are issued by triage delegates and, in some circumstances, My Aged Care Contact Centre staff or ACSOs during screening.</w:t>
      </w:r>
      <w:r w:rsidR="00FE0BAE" w:rsidRPr="000F6CD1">
        <w:t xml:space="preserve"> </w:t>
      </w:r>
      <w:r w:rsidR="00D93B33" w:rsidRPr="000F6CD1">
        <w:t>Specific r</w:t>
      </w:r>
      <w:r w:rsidR="00E97AE6" w:rsidRPr="000F6CD1">
        <w:t xml:space="preserve">eferral </w:t>
      </w:r>
      <w:r w:rsidR="00E97AE6" w:rsidRPr="002F143A">
        <w:rPr>
          <w:u w:val="single"/>
        </w:rPr>
        <w:t>code</w:t>
      </w:r>
      <w:r w:rsidR="00BD5CCF" w:rsidRPr="002F143A">
        <w:rPr>
          <w:u w:val="single"/>
        </w:rPr>
        <w:t>s</w:t>
      </w:r>
      <w:r w:rsidR="00E97AE6" w:rsidRPr="000F6CD1">
        <w:t xml:space="preserve"> </w:t>
      </w:r>
      <w:r w:rsidR="00BD5CCF" w:rsidRPr="000F6CD1">
        <w:t xml:space="preserve">are not </w:t>
      </w:r>
      <w:r w:rsidR="00E97AE6" w:rsidRPr="000F6CD1">
        <w:t>generated at th</w:t>
      </w:r>
      <w:r w:rsidR="00FE0BAE" w:rsidRPr="000F6CD1">
        <w:t>is</w:t>
      </w:r>
      <w:r w:rsidR="00E97AE6" w:rsidRPr="000F6CD1">
        <w:t xml:space="preserve"> time</w:t>
      </w:r>
      <w:r w:rsidR="00FE0BAE" w:rsidRPr="000F6CD1">
        <w:t xml:space="preserve">; instead, </w:t>
      </w:r>
      <w:r w:rsidR="003D21C7" w:rsidRPr="000F6CD1">
        <w:t>direct-to-provi</w:t>
      </w:r>
      <w:r w:rsidR="00E62D3B" w:rsidRPr="000F6CD1">
        <w:t>d</w:t>
      </w:r>
      <w:r w:rsidR="003D21C7" w:rsidRPr="000F6CD1">
        <w:t xml:space="preserve">er referrals </w:t>
      </w:r>
      <w:r w:rsidR="00FE0BAE" w:rsidRPr="000F6CD1">
        <w:t xml:space="preserve">are </w:t>
      </w:r>
      <w:r w:rsidR="0022565F" w:rsidRPr="000F6CD1">
        <w:t>provided</w:t>
      </w:r>
      <w:r w:rsidR="00E97AE6" w:rsidRPr="000F6CD1">
        <w:t>. Referral codes for CHSP services are generated after an assessment has been completed and the services have been approved by an assessment delegate.</w:t>
      </w:r>
    </w:p>
    <w:p w14:paraId="631C9BE9" w14:textId="0B6E2726" w:rsidR="00271898" w:rsidRPr="000F6CD1" w:rsidRDefault="00271898" w:rsidP="00271898">
      <w:pPr>
        <w:spacing w:before="240" w:after="240" w:line="240" w:lineRule="auto"/>
      </w:pPr>
      <w:r w:rsidRPr="000F6CD1">
        <w:t xml:space="preserve">Older people who may require CHSP referrals prior to being assessed include: </w:t>
      </w:r>
    </w:p>
    <w:p w14:paraId="5B962CA8" w14:textId="5ACC8904"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New individuals who are applying for an aged care needs assessment </w:t>
      </w:r>
      <w:r w:rsidR="005266DF">
        <w:t xml:space="preserve">. </w:t>
      </w:r>
    </w:p>
    <w:p w14:paraId="2B3C2244" w14:textId="2B59D662"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Current CHSP clients who </w:t>
      </w:r>
      <w:r w:rsidR="00C55DE0" w:rsidRPr="000F6CD1">
        <w:t xml:space="preserve">have been reassessed </w:t>
      </w:r>
      <w:r w:rsidR="00A50A2C" w:rsidRPr="000F6CD1">
        <w:t xml:space="preserve">for Support at Home and </w:t>
      </w:r>
      <w:r w:rsidRPr="000F6CD1">
        <w:t xml:space="preserve">are waiting for </w:t>
      </w:r>
      <w:r w:rsidR="00A50A2C" w:rsidRPr="000F6CD1">
        <w:t>th</w:t>
      </w:r>
      <w:r w:rsidR="00FC21C8" w:rsidRPr="000F6CD1">
        <w:t>eir budget</w:t>
      </w:r>
      <w:r w:rsidR="00A0565F" w:rsidRPr="000F6CD1">
        <w:t xml:space="preserve"> allocation</w:t>
      </w:r>
    </w:p>
    <w:p w14:paraId="3CFB607F" w14:textId="77777777" w:rsidR="00271898" w:rsidRPr="000F6CD1" w:rsidRDefault="00271898" w:rsidP="00271898">
      <w:pPr>
        <w:pStyle w:val="ListParagraph"/>
        <w:numPr>
          <w:ilvl w:val="0"/>
          <w:numId w:val="429"/>
        </w:numPr>
        <w:tabs>
          <w:tab w:val="left" w:pos="720"/>
        </w:tabs>
        <w:spacing w:before="240" w:after="240" w:line="240" w:lineRule="auto"/>
        <w:ind w:left="568" w:hanging="284"/>
        <w:rPr>
          <w:rFonts w:eastAsiaTheme="minorEastAsia"/>
        </w:rPr>
      </w:pPr>
      <w:r w:rsidRPr="000F6CD1">
        <w:t>Support at Home participants who have a fully allocated budget or are waiting for a budget</w:t>
      </w:r>
      <w:r w:rsidRPr="000F6CD1">
        <w:rPr>
          <w:rFonts w:eastAsiaTheme="minorEastAsia"/>
        </w:rPr>
        <w:t xml:space="preserve"> allocation and have an urgent need for services.</w:t>
      </w:r>
    </w:p>
    <w:p w14:paraId="12B1C128" w14:textId="77777777" w:rsidR="00271898" w:rsidRPr="000F6CD1" w:rsidRDefault="00271898" w:rsidP="00271898">
      <w:pPr>
        <w:pStyle w:val="H4"/>
      </w:pPr>
      <w:r w:rsidRPr="000F6CD1">
        <w:t>Screening</w:t>
      </w:r>
    </w:p>
    <w:p w14:paraId="484BC6EA" w14:textId="1F56C839" w:rsidR="00BB77D9" w:rsidRDefault="00271898" w:rsidP="00271898">
      <w:pPr>
        <w:spacing w:before="240" w:after="240" w:line="240" w:lineRule="auto"/>
      </w:pPr>
      <w:r w:rsidRPr="000F6CD1">
        <w:t xml:space="preserve">The My Aged Care Contact Centre and ACSOs can only issue CHSP urgent service referrals in limited circumstances if there is an immediate health or safety need. </w:t>
      </w:r>
    </w:p>
    <w:p w14:paraId="1E1ADF5E" w14:textId="705EFFEB" w:rsidR="00271898" w:rsidRPr="000F6CD1" w:rsidRDefault="00BB77D9" w:rsidP="00BB77D9">
      <w:r>
        <w:br w:type="page"/>
      </w:r>
      <w:r w:rsidR="00271898" w:rsidRPr="000F6CD1">
        <w:lastRenderedPageBreak/>
        <w:t>These services are:</w:t>
      </w:r>
    </w:p>
    <w:p w14:paraId="07F7E342" w14:textId="77777777"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nursing </w:t>
      </w:r>
    </w:p>
    <w:p w14:paraId="4BD600BD" w14:textId="77777777"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transport </w:t>
      </w:r>
    </w:p>
    <w:p w14:paraId="6BE7417A" w14:textId="77777777"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meal delivery</w:t>
      </w:r>
    </w:p>
    <w:p w14:paraId="21C7D7F6" w14:textId="77777777"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personal care </w:t>
      </w:r>
    </w:p>
    <w:p w14:paraId="5572929D" w14:textId="7FA2DEB4" w:rsidR="00271898" w:rsidRPr="000F6CD1" w:rsidRDefault="3EBDF801" w:rsidP="00271898">
      <w:pPr>
        <w:pStyle w:val="ListParagraph"/>
        <w:numPr>
          <w:ilvl w:val="0"/>
          <w:numId w:val="429"/>
        </w:numPr>
        <w:tabs>
          <w:tab w:val="left" w:pos="720"/>
        </w:tabs>
        <w:spacing w:before="240" w:after="240" w:line="240" w:lineRule="auto"/>
        <w:ind w:left="568" w:hanging="284"/>
        <w:rPr>
          <w:rFonts w:eastAsiaTheme="minorEastAsia"/>
        </w:rPr>
      </w:pPr>
      <w:r w:rsidRPr="000F6CD1">
        <w:t>other support services due to the absence of a carer, such as flexible respite</w:t>
      </w:r>
      <w:r w:rsidR="00271898" w:rsidRPr="000F6CD1">
        <w:t>.</w:t>
      </w:r>
    </w:p>
    <w:p w14:paraId="276F864D" w14:textId="24DFFC55" w:rsidR="00271898" w:rsidRPr="000F6CD1" w:rsidRDefault="00271898" w:rsidP="00271898">
      <w:pPr>
        <w:tabs>
          <w:tab w:val="left" w:pos="720"/>
        </w:tabs>
        <w:spacing w:before="240" w:after="240" w:line="240" w:lineRule="auto"/>
      </w:pPr>
      <w:r w:rsidRPr="000F6CD1">
        <w:t xml:space="preserve">When issuing an </w:t>
      </w:r>
      <w:r w:rsidRPr="000F6CD1">
        <w:rPr>
          <w:rFonts w:eastAsiaTheme="minorEastAsia"/>
        </w:rPr>
        <w:t>urgent</w:t>
      </w:r>
      <w:r w:rsidRPr="000F6CD1">
        <w:t xml:space="preserve"> referral, the My Aged Care Contact Centre or ACSO will place a high priority on the referral to an assessment organisation. For an existing client who has previously been assessed, the contact centre or ACSO will issue a SPR request (unless the older person meets the requirements for a direct assessment referral). </w:t>
      </w:r>
    </w:p>
    <w:p w14:paraId="7C7FF5B6" w14:textId="77777777" w:rsidR="00271898" w:rsidRPr="000F6CD1" w:rsidRDefault="00271898" w:rsidP="00271898">
      <w:pPr>
        <w:pStyle w:val="H4"/>
      </w:pPr>
      <w:r w:rsidRPr="000F6CD1">
        <w:t>Triage</w:t>
      </w:r>
    </w:p>
    <w:p w14:paraId="54023ABB" w14:textId="21B1261D" w:rsidR="00271898" w:rsidRPr="000F6CD1" w:rsidRDefault="00271898" w:rsidP="00271898">
      <w:pPr>
        <w:spacing w:before="240" w:after="240" w:line="240" w:lineRule="auto"/>
      </w:pPr>
      <w:r w:rsidRPr="000F6CD1">
        <w:t>Triage delegates are responsible for determining whether individuals require direct-to-</w:t>
      </w:r>
      <w:r w:rsidR="00B95AD8" w:rsidRPr="000F6CD1">
        <w:t xml:space="preserve">CHSP </w:t>
      </w:r>
      <w:r w:rsidRPr="000F6CD1">
        <w:t>provider referrals  prior to being assessed.</w:t>
      </w:r>
    </w:p>
    <w:p w14:paraId="7493FC42" w14:textId="23D019BF" w:rsidR="00271898" w:rsidRPr="000F6CD1" w:rsidRDefault="00271898" w:rsidP="00271898">
      <w:pPr>
        <w:spacing w:before="240" w:after="240" w:line="240" w:lineRule="auto"/>
        <w:rPr>
          <w:rFonts w:eastAsiaTheme="minorEastAsia"/>
        </w:rPr>
      </w:pPr>
      <w:r w:rsidRPr="000F6CD1">
        <w:rPr>
          <w:rFonts w:eastAsiaTheme="minorEastAsia"/>
        </w:rPr>
        <w:t xml:space="preserve">Triage delegates should: </w:t>
      </w:r>
    </w:p>
    <w:p w14:paraId="6C41787E" w14:textId="333C38D9"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Issue direct-to-provider referrals for CHSP services if the client requires the service and meets the criteria in </w:t>
      </w:r>
      <w:r w:rsidRPr="000F6CD1">
        <w:rPr>
          <w:rFonts w:eastAsiaTheme="minorEastAsia"/>
        </w:rPr>
        <w:t>subsection 71(4) of the Act</w:t>
      </w:r>
    </w:p>
    <w:p w14:paraId="26B8782E" w14:textId="77777777" w:rsidR="00271898" w:rsidRPr="000F6CD1" w:rsidRDefault="00271898" w:rsidP="00271898">
      <w:pPr>
        <w:pStyle w:val="ListParagraph"/>
        <w:numPr>
          <w:ilvl w:val="0"/>
          <w:numId w:val="429"/>
        </w:numPr>
        <w:tabs>
          <w:tab w:val="left" w:pos="720"/>
        </w:tabs>
        <w:spacing w:before="240" w:after="240" w:line="240" w:lineRule="auto"/>
        <w:ind w:left="568" w:hanging="284"/>
      </w:pPr>
      <w:r w:rsidRPr="000F6CD1">
        <w:t xml:space="preserve">Review any urgent service referrals that have been issued </w:t>
      </w:r>
      <w:r w:rsidRPr="000F6CD1">
        <w:rPr>
          <w:rFonts w:eastAsiaTheme="minorEastAsia"/>
        </w:rPr>
        <w:t xml:space="preserve">by the My Aged Care Contact Centre or ACSO </w:t>
      </w:r>
      <w:r w:rsidRPr="000F6CD1">
        <w:t xml:space="preserve">and extend ‘recommended end dates’ if required </w:t>
      </w:r>
    </w:p>
    <w:p w14:paraId="0DE740AD" w14:textId="77777777" w:rsidR="00271898" w:rsidRPr="000F6CD1" w:rsidRDefault="00271898" w:rsidP="00271898">
      <w:pPr>
        <w:pStyle w:val="ListParagraph"/>
        <w:numPr>
          <w:ilvl w:val="0"/>
          <w:numId w:val="429"/>
        </w:numPr>
        <w:tabs>
          <w:tab w:val="left" w:pos="720"/>
        </w:tabs>
        <w:spacing w:before="240" w:after="240" w:line="240" w:lineRule="auto"/>
        <w:ind w:left="568" w:hanging="284"/>
        <w:rPr>
          <w:rFonts w:eastAsiaTheme="minorEastAsia"/>
        </w:rPr>
      </w:pPr>
      <w:r w:rsidRPr="000F6CD1">
        <w:t>Check</w:t>
      </w:r>
      <w:r w:rsidRPr="000F6CD1">
        <w:rPr>
          <w:rFonts w:eastAsiaTheme="minorEastAsia"/>
        </w:rPr>
        <w:t xml:space="preserve"> all clients with an immediate health or safety need for services have a ‘high’ assessment priority.</w:t>
      </w:r>
    </w:p>
    <w:p w14:paraId="48D3360C" w14:textId="256264A7" w:rsidR="00ED767C" w:rsidRPr="000F6CD1" w:rsidRDefault="00ED767C" w:rsidP="00ED767C">
      <w:pPr>
        <w:tabs>
          <w:tab w:val="left" w:pos="709"/>
        </w:tabs>
        <w:spacing w:before="240" w:after="240" w:line="240" w:lineRule="auto"/>
      </w:pPr>
      <w:r w:rsidRPr="000F6CD1">
        <w:t xml:space="preserve">If the client accessed or is accessing funded aged care services prior to assessment through the alternative entry pathway, but is refusing to have an assessment, the Triage delegate or assessor will need to explain that it is a requirement under the </w:t>
      </w:r>
      <w:r w:rsidRPr="000F6CD1">
        <w:rPr>
          <w:i/>
          <w:iCs/>
        </w:rPr>
        <w:t>Aged Care Act 2024</w:t>
      </w:r>
      <w:r w:rsidRPr="000F6CD1">
        <w:t xml:space="preserve"> to complete an assessment to keep receiving services, otherwise their government-funded services will cease. Alternatively, the client may enter a full fee-paying arrangement with the service provider. The assessor should also remind the client of the benefits of undergoing a full assessment, for example:</w:t>
      </w:r>
    </w:p>
    <w:p w14:paraId="69CD3A02" w14:textId="77777777" w:rsidR="00ED767C" w:rsidRPr="000F6CD1" w:rsidRDefault="00ED767C" w:rsidP="00ED767C">
      <w:pPr>
        <w:pStyle w:val="ListParagraph"/>
        <w:numPr>
          <w:ilvl w:val="0"/>
          <w:numId w:val="48"/>
        </w:numPr>
        <w:tabs>
          <w:tab w:val="left" w:pos="709"/>
        </w:tabs>
        <w:spacing w:before="240" w:after="240" w:line="240" w:lineRule="auto"/>
        <w:ind w:left="568" w:hanging="284"/>
      </w:pPr>
      <w:r w:rsidRPr="000F6CD1">
        <w:t>It does not cost anything to receive an assessment</w:t>
      </w:r>
    </w:p>
    <w:p w14:paraId="46614F10" w14:textId="27D79096" w:rsidR="00ED767C" w:rsidRPr="000F6CD1" w:rsidRDefault="00ED767C" w:rsidP="000E3150">
      <w:pPr>
        <w:pStyle w:val="ListParagraph"/>
        <w:numPr>
          <w:ilvl w:val="0"/>
          <w:numId w:val="48"/>
        </w:numPr>
        <w:tabs>
          <w:tab w:val="left" w:pos="720"/>
        </w:tabs>
        <w:spacing w:before="240" w:after="240" w:line="240" w:lineRule="auto"/>
        <w:ind w:left="568" w:hanging="284"/>
      </w:pPr>
      <w:r w:rsidRPr="000F6CD1">
        <w:t>An assessment will provide the client with a more fulsome evaluation of their needs and may result in different services being recommended that they were not previously eligible for</w:t>
      </w:r>
      <w:r w:rsidR="00BC0313" w:rsidRPr="000F6CD1">
        <w:t>.</w:t>
      </w:r>
    </w:p>
    <w:p w14:paraId="7BA8D6A8" w14:textId="77777777" w:rsidR="00271898" w:rsidRPr="000F6CD1" w:rsidRDefault="00271898" w:rsidP="00271898">
      <w:pPr>
        <w:pStyle w:val="H4"/>
      </w:pPr>
      <w:r w:rsidRPr="000F6CD1">
        <w:t>Assessment</w:t>
      </w:r>
    </w:p>
    <w:p w14:paraId="173FD283" w14:textId="7564036F" w:rsidR="00271898" w:rsidRPr="000F6CD1" w:rsidRDefault="00271898" w:rsidP="00271898">
      <w:pPr>
        <w:pStyle w:val="ListParagraph"/>
        <w:tabs>
          <w:tab w:val="left" w:pos="720"/>
        </w:tabs>
        <w:spacing w:before="240" w:after="240" w:line="240" w:lineRule="auto"/>
        <w:ind w:left="0"/>
      </w:pPr>
      <w:r w:rsidRPr="000F6CD1">
        <w:rPr>
          <w:rFonts w:eastAsiaTheme="minorEastAsia"/>
        </w:rPr>
        <w:t xml:space="preserve">Even if the services are no longer required, individuals who have accessed CHSP urgent services </w:t>
      </w:r>
      <w:r w:rsidRPr="000F6CD1">
        <w:rPr>
          <w:rFonts w:eastAsiaTheme="minorEastAsia"/>
          <w:b/>
        </w:rPr>
        <w:t>must undergo an assessment</w:t>
      </w:r>
      <w:r w:rsidRPr="000F6CD1">
        <w:rPr>
          <w:rFonts w:eastAsiaTheme="minorEastAsia"/>
        </w:rPr>
        <w:t xml:space="preserve">. </w:t>
      </w:r>
    </w:p>
    <w:p w14:paraId="067B993A" w14:textId="77777777" w:rsidR="00271898" w:rsidRPr="000F6CD1" w:rsidRDefault="00271898" w:rsidP="00271898">
      <w:pPr>
        <w:spacing w:before="240" w:after="240" w:line="240" w:lineRule="auto"/>
        <w:rPr>
          <w:rFonts w:eastAsiaTheme="minorEastAsia"/>
        </w:rPr>
      </w:pPr>
      <w:r w:rsidRPr="000F6CD1">
        <w:rPr>
          <w:rFonts w:eastAsiaTheme="minorEastAsia"/>
        </w:rPr>
        <w:t>Assessors must contact an older person within two weeks if they have been issued urgent service referrals to ensure:</w:t>
      </w:r>
    </w:p>
    <w:p w14:paraId="4EB1EAEF" w14:textId="77777777" w:rsidR="00271898" w:rsidRPr="000F6CD1" w:rsidRDefault="00271898" w:rsidP="00271898">
      <w:pPr>
        <w:pStyle w:val="ListParagraph"/>
        <w:numPr>
          <w:ilvl w:val="0"/>
          <w:numId w:val="429"/>
        </w:numPr>
        <w:tabs>
          <w:tab w:val="left" w:pos="709"/>
        </w:tabs>
        <w:spacing w:before="240" w:after="240" w:line="240" w:lineRule="auto"/>
        <w:ind w:left="568" w:hanging="284"/>
      </w:pPr>
      <w:r w:rsidRPr="000F6CD1">
        <w:t xml:space="preserve">Appropriate services are in place, and the urgent need is being addressed </w:t>
      </w:r>
    </w:p>
    <w:p w14:paraId="1A8EBAC1" w14:textId="77777777" w:rsidR="00271898" w:rsidRPr="000F6CD1" w:rsidRDefault="00271898" w:rsidP="00271898">
      <w:pPr>
        <w:pStyle w:val="ListParagraph"/>
        <w:numPr>
          <w:ilvl w:val="0"/>
          <w:numId w:val="429"/>
        </w:numPr>
        <w:tabs>
          <w:tab w:val="left" w:pos="709"/>
        </w:tabs>
        <w:spacing w:before="240" w:after="240" w:line="240" w:lineRule="auto"/>
        <w:ind w:left="568" w:hanging="284"/>
      </w:pPr>
      <w:r w:rsidRPr="000F6CD1">
        <w:t xml:space="preserve">The assessor provides a more thorough analysis of the needs </w:t>
      </w:r>
    </w:p>
    <w:p w14:paraId="709F2F1D" w14:textId="77777777" w:rsidR="00271898" w:rsidRPr="000F6CD1" w:rsidRDefault="00271898" w:rsidP="00271898">
      <w:pPr>
        <w:pStyle w:val="ListParagraph"/>
        <w:numPr>
          <w:ilvl w:val="0"/>
          <w:numId w:val="429"/>
        </w:numPr>
        <w:tabs>
          <w:tab w:val="left" w:pos="709"/>
        </w:tabs>
        <w:spacing w:before="240" w:after="240" w:line="240" w:lineRule="auto"/>
        <w:ind w:left="568" w:hanging="284"/>
      </w:pPr>
      <w:r w:rsidRPr="000F6CD1">
        <w:t>Services can be confirmed or adjusted as required.</w:t>
      </w:r>
    </w:p>
    <w:p w14:paraId="25DF63CC" w14:textId="3BBF8DAE" w:rsidR="00271898" w:rsidRPr="000F6CD1" w:rsidRDefault="00CC7CAF" w:rsidP="00271898">
      <w:pPr>
        <w:tabs>
          <w:tab w:val="left" w:pos="709"/>
        </w:tabs>
        <w:spacing w:before="240" w:after="240" w:line="240" w:lineRule="auto"/>
      </w:pPr>
      <w:r w:rsidRPr="000F6CD1">
        <w:t>For CHSP clients</w:t>
      </w:r>
      <w:r w:rsidR="00063E92" w:rsidRPr="000F6CD1">
        <w:t xml:space="preserve"> - w</w:t>
      </w:r>
      <w:r w:rsidR="00271898" w:rsidRPr="000F6CD1">
        <w:t xml:space="preserve">here an assessor determines the </w:t>
      </w:r>
      <w:r w:rsidR="00063E92" w:rsidRPr="000F6CD1">
        <w:t xml:space="preserve">individual </w:t>
      </w:r>
      <w:r w:rsidR="00271898" w:rsidRPr="000F6CD1">
        <w:t xml:space="preserve">requires ongoing CHSP services after a period of urgent services, </w:t>
      </w:r>
      <w:r w:rsidR="00271898" w:rsidRPr="000F6CD1">
        <w:rPr>
          <w:bCs/>
        </w:rPr>
        <w:t>they</w:t>
      </w:r>
      <w:r w:rsidR="00271898" w:rsidRPr="000F6CD1">
        <w:rPr>
          <w:b/>
        </w:rPr>
        <w:t xml:space="preserve"> must </w:t>
      </w:r>
      <w:r w:rsidR="00267466" w:rsidRPr="000F6CD1">
        <w:rPr>
          <w:b/>
        </w:rPr>
        <w:t xml:space="preserve">add </w:t>
      </w:r>
      <w:r w:rsidR="00271898" w:rsidRPr="000F6CD1">
        <w:rPr>
          <w:b/>
        </w:rPr>
        <w:t xml:space="preserve">new </w:t>
      </w:r>
      <w:r w:rsidR="00271898" w:rsidRPr="000F6CD1">
        <w:rPr>
          <w:b/>
          <w:bCs/>
        </w:rPr>
        <w:t>CHSP referrals</w:t>
      </w:r>
      <w:r w:rsidR="007635ED" w:rsidRPr="000F6CD1">
        <w:rPr>
          <w:b/>
          <w:bCs/>
        </w:rPr>
        <w:t xml:space="preserve"> for any </w:t>
      </w:r>
      <w:r w:rsidR="00CC37FF" w:rsidRPr="000F6CD1">
        <w:rPr>
          <w:b/>
          <w:bCs/>
        </w:rPr>
        <w:t>(new) services</w:t>
      </w:r>
      <w:r w:rsidR="00271898" w:rsidRPr="000F6CD1">
        <w:t>. For more information see</w:t>
      </w:r>
      <w:r w:rsidR="007D23DF">
        <w:t xml:space="preserve"> section 9.4.5</w:t>
      </w:r>
      <w:r w:rsidR="00271898" w:rsidRPr="000F6CD1">
        <w:t xml:space="preserve"> </w:t>
      </w:r>
      <w:r w:rsidR="007D23DF">
        <w:fldChar w:fldCharType="begin"/>
      </w:r>
      <w:r w:rsidR="007D23DF">
        <w:instrText xml:space="preserve"> REF _Ref232596290 \h </w:instrText>
      </w:r>
      <w:r w:rsidR="007D23DF">
        <w:fldChar w:fldCharType="separate"/>
      </w:r>
      <w:r w:rsidR="004B171E" w:rsidRPr="000F6CD1">
        <w:t>CHSP referrals</w:t>
      </w:r>
      <w:r w:rsidR="007D23DF">
        <w:fldChar w:fldCharType="end"/>
      </w:r>
      <w:r w:rsidR="00271898" w:rsidRPr="000F6CD1">
        <w:t>.</w:t>
      </w:r>
    </w:p>
    <w:p w14:paraId="0604511F" w14:textId="77777777" w:rsidR="00271898" w:rsidRPr="000F6CD1" w:rsidRDefault="00271898" w:rsidP="00AD2CE5">
      <w:pPr>
        <w:pStyle w:val="H3"/>
      </w:pPr>
      <w:r w:rsidRPr="000F6CD1">
        <w:lastRenderedPageBreak/>
        <w:t>Residential care or residential respite care in urgent circumstances</w:t>
      </w:r>
    </w:p>
    <w:p w14:paraId="6EA8B4BA" w14:textId="47FC2597" w:rsidR="00271898" w:rsidRPr="000F6CD1" w:rsidRDefault="00271898" w:rsidP="00271898">
      <w:pPr>
        <w:spacing w:before="240" w:after="240" w:line="240" w:lineRule="auto"/>
        <w:rPr>
          <w:rFonts w:eastAsia="Arial"/>
        </w:rPr>
      </w:pPr>
      <w:r w:rsidRPr="000F6CD1">
        <w:t xml:space="preserve">Alternative entry pathways are available for individuals who require urgent residential care or residential respite care. To be eligible, at the time care is accessed there must be a significant risk of harm to the individual if those services were not delivered before approval to access funded aged care services was given. </w:t>
      </w:r>
      <w:r w:rsidRPr="000F6CD1">
        <w:rPr>
          <w:rFonts w:eastAsia="Aptos"/>
        </w:rPr>
        <w:t xml:space="preserve">An application can be lodged by providers or individuals for access to residential care or residential respite care under the Act’s alternative entry provisions via any of the available application pathways or by submitting the </w:t>
      </w:r>
      <w:hyperlink r:id="rId90" w:history="1">
        <w:r w:rsidRPr="000F6CD1">
          <w:rPr>
            <w:rStyle w:val="Hyperlink"/>
            <w:rFonts w:eastAsia="Aptos"/>
          </w:rPr>
          <w:t>Emergency Residential Care - Application for Care Form</w:t>
        </w:r>
      </w:hyperlink>
      <w:r w:rsidRPr="000F6CD1">
        <w:rPr>
          <w:rFonts w:eastAsia="Aptos"/>
        </w:rPr>
        <w:t xml:space="preserve">. Individuals have 5 days after the day on which services commenced to lodge an application. </w:t>
      </w:r>
      <w:r w:rsidRPr="000F6CD1">
        <w:rPr>
          <w:rFonts w:eastAsia="Arial"/>
        </w:rPr>
        <w:t xml:space="preserve">For further information on the use of the form to apply urgent residential care or residential respite care, refer to </w:t>
      </w:r>
      <w:r w:rsidRPr="000F6CD1">
        <w:rPr>
          <w:rFonts w:eastAsia="Aptos"/>
        </w:rPr>
        <w:t xml:space="preserve">section </w:t>
      </w:r>
      <w:r w:rsidRPr="000F6CD1">
        <w:rPr>
          <w:rFonts w:eastAsia="Aptos"/>
        </w:rPr>
        <w:fldChar w:fldCharType="begin"/>
      </w:r>
      <w:r w:rsidRPr="000F6CD1">
        <w:rPr>
          <w:rFonts w:eastAsia="Aptos"/>
        </w:rPr>
        <w:instrText xml:space="preserve"> REF _Ref212733555 \r \h </w:instrText>
      </w:r>
      <w:r w:rsidRPr="000F6CD1">
        <w:rPr>
          <w:rFonts w:eastAsia="Aptos"/>
        </w:rPr>
      </w:r>
      <w:r w:rsidRPr="000F6CD1">
        <w:rPr>
          <w:rFonts w:eastAsia="Aptos"/>
        </w:rPr>
        <w:fldChar w:fldCharType="separate"/>
      </w:r>
      <w:r w:rsidR="004B171E">
        <w:rPr>
          <w:rFonts w:eastAsia="Aptos"/>
        </w:rPr>
        <w:t>3.6</w:t>
      </w:r>
      <w:r w:rsidRPr="000F6CD1">
        <w:rPr>
          <w:rFonts w:eastAsia="Aptos"/>
        </w:rPr>
        <w:fldChar w:fldCharType="end"/>
      </w:r>
      <w:r w:rsidRPr="000F6CD1">
        <w:rPr>
          <w:rFonts w:eastAsia="Arial"/>
        </w:rPr>
        <w:t xml:space="preserve"> of this Manual. </w:t>
      </w:r>
    </w:p>
    <w:p w14:paraId="592A32B0" w14:textId="77777777" w:rsidR="00271898" w:rsidRPr="000F6CD1" w:rsidRDefault="00271898" w:rsidP="00271898">
      <w:pPr>
        <w:spacing w:before="240" w:after="240" w:line="240" w:lineRule="auto"/>
        <w:rPr>
          <w:rFonts w:eastAsia="Arial"/>
        </w:rPr>
      </w:pPr>
      <w:r w:rsidRPr="000F6CD1">
        <w:rPr>
          <w:rFonts w:eastAsia="Arial"/>
        </w:rPr>
        <w:t>In urgent cases, the person is already receiving care, but this does not mean they are permanently entering aged care or will remain at the current facility. </w:t>
      </w:r>
    </w:p>
    <w:p w14:paraId="742CE86F" w14:textId="77777777" w:rsidR="00257B76" w:rsidRPr="000F6CD1" w:rsidRDefault="00257B76" w:rsidP="006647CE">
      <w:pPr>
        <w:pStyle w:val="h2"/>
      </w:pPr>
      <w:bookmarkStart w:id="216" w:name="_Toc233282428"/>
      <w:r w:rsidRPr="000F6CD1">
        <w:t>Screening</w:t>
      </w:r>
      <w:bookmarkEnd w:id="216"/>
    </w:p>
    <w:p w14:paraId="79DDCFB3" w14:textId="16CC6561" w:rsidR="00257B76" w:rsidRPr="000F6CD1" w:rsidRDefault="00257B76" w:rsidP="00257B76">
      <w:pPr>
        <w:spacing w:before="240" w:after="240" w:line="240" w:lineRule="auto"/>
      </w:pPr>
      <w:r w:rsidRPr="000F6CD1">
        <w:rPr>
          <w:rFonts w:eastAsiaTheme="minorEastAsia"/>
          <w:lang w:eastAsia="en-US"/>
        </w:rPr>
        <w:t xml:space="preserve">My Aged Care Contact Centre staff and ACSOs complete screening after a person registers with My Aged Care and has a </w:t>
      </w:r>
      <w:r w:rsidRPr="000F6CD1">
        <w:rPr>
          <w:rFonts w:eastAsiaTheme="minorEastAsia"/>
          <w:iCs/>
          <w:lang w:eastAsia="en-US"/>
        </w:rPr>
        <w:t xml:space="preserve">My Aged Care older person record and identification number </w:t>
      </w:r>
      <w:r w:rsidRPr="000F6CD1">
        <w:rPr>
          <w:rFonts w:eastAsiaTheme="minorEastAsia"/>
          <w:lang w:eastAsia="en-US"/>
        </w:rPr>
        <w:t xml:space="preserve">assigned. </w:t>
      </w:r>
      <w:r w:rsidRPr="000F6CD1">
        <w:t>Older people can opt in to receive SMS notifications prior to the call, which helps build trust by alerting them that My Aged Care will be calling from a private number.</w:t>
      </w:r>
    </w:p>
    <w:p w14:paraId="4D75FD17" w14:textId="77777777" w:rsidR="00257B76" w:rsidRPr="000F6CD1" w:rsidRDefault="00257B76" w:rsidP="00257B76">
      <w:pPr>
        <w:autoSpaceDE w:val="0"/>
        <w:autoSpaceDN w:val="0"/>
        <w:adjustRightInd w:val="0"/>
        <w:spacing w:before="240" w:after="240" w:line="240" w:lineRule="auto"/>
        <w:rPr>
          <w:rFonts w:eastAsiaTheme="minorEastAsia"/>
          <w:lang w:eastAsia="en-US"/>
        </w:rPr>
      </w:pPr>
      <w:r w:rsidRPr="000F6CD1">
        <w:rPr>
          <w:rFonts w:eastAsiaTheme="minorEastAsia"/>
          <w:lang w:eastAsia="en-US"/>
        </w:rPr>
        <w:t xml:space="preserve">Alternatively, screening is built into the online inbound referral, such as when a health professional conducts a web-referral and applies for an older person’s assessment online. </w:t>
      </w:r>
    </w:p>
    <w:p w14:paraId="427B26F5" w14:textId="459391A1" w:rsidR="00257B76" w:rsidRPr="000F6CD1" w:rsidRDefault="00257B76" w:rsidP="00257B76">
      <w:pPr>
        <w:spacing w:before="240" w:after="240" w:line="240" w:lineRule="auto"/>
      </w:pPr>
      <w:r w:rsidRPr="000F6CD1">
        <w:t>Under the</w:t>
      </w:r>
      <w:r w:rsidRPr="000F6CD1">
        <w:rPr>
          <w:i/>
        </w:rPr>
        <w:t> Aged Care Act 2024</w:t>
      </w:r>
      <w:r w:rsidRPr="000F6CD1">
        <w:t xml:space="preserve"> screening </w:t>
      </w:r>
      <w:r w:rsidRPr="000F6CD1">
        <w:rPr>
          <w:b/>
        </w:rPr>
        <w:t>no longer decide</w:t>
      </w:r>
      <w:r w:rsidR="008A047E" w:rsidRPr="000F6CD1">
        <w:rPr>
          <w:b/>
        </w:rPr>
        <w:t>s</w:t>
      </w:r>
      <w:r w:rsidRPr="000F6CD1">
        <w:t> if a client is eligible for an aged care needs assessment. Instead, this responsibility now rests with Triage Delegates within assessment organisations. </w:t>
      </w:r>
    </w:p>
    <w:p w14:paraId="09926969" w14:textId="77777777" w:rsidR="00257B76" w:rsidRPr="000F6CD1" w:rsidRDefault="00257B76" w:rsidP="00257B76">
      <w:pPr>
        <w:spacing w:before="240" w:after="240" w:line="240" w:lineRule="auto"/>
      </w:pPr>
      <w:r w:rsidRPr="000F6CD1">
        <w:t>The screening outcome is intended only as a recommendation on an individual's </w:t>
      </w:r>
      <w:r w:rsidRPr="000F6CD1">
        <w:rPr>
          <w:b/>
        </w:rPr>
        <w:t>likely eligibility </w:t>
      </w:r>
      <w:r w:rsidRPr="000F6CD1">
        <w:t>for an aged care needs assessment. </w:t>
      </w:r>
    </w:p>
    <w:p w14:paraId="50E2A3E8" w14:textId="047925EF" w:rsidR="00257B76" w:rsidRPr="000F6CD1" w:rsidRDefault="00257B76" w:rsidP="00257B76">
      <w:pPr>
        <w:spacing w:before="240" w:after="240" w:line="240" w:lineRule="auto"/>
      </w:pPr>
      <w:r w:rsidRPr="000F6CD1">
        <w:t>Under the </w:t>
      </w:r>
      <w:r w:rsidRPr="000F6CD1">
        <w:rPr>
          <w:i/>
        </w:rPr>
        <w:t>Aged Care Act 2024</w:t>
      </w:r>
      <w:r w:rsidRPr="000F6CD1">
        <w:t xml:space="preserve">, individuals maintain the right to make an application for funded aged care services even if they are not initially considered to meet the eligibility criteria for an aged care needs assessment. However, the final eligibility determination rests with the Triage Delegate in an assessment organisation, who evaluates the referral according to the requirements outlined in section 58 of the </w:t>
      </w:r>
      <w:r w:rsidRPr="000F6CD1">
        <w:rPr>
          <w:i/>
        </w:rPr>
        <w:t>Aged Care Act 2024</w:t>
      </w:r>
      <w:r w:rsidRPr="000F6CD1">
        <w:t xml:space="preserve">. See section </w:t>
      </w:r>
      <w:r w:rsidRPr="000F6CD1">
        <w:fldChar w:fldCharType="begin"/>
      </w:r>
      <w:r w:rsidRPr="000F6CD1">
        <w:instrText xml:space="preserve"> REF _Ref212733469 \r \h </w:instrText>
      </w:r>
      <w:r w:rsidRPr="000F6CD1">
        <w:fldChar w:fldCharType="separate"/>
      </w:r>
      <w:r w:rsidR="004B171E">
        <w:t>1.4</w:t>
      </w:r>
      <w:r w:rsidRPr="000F6CD1">
        <w:fldChar w:fldCharType="end"/>
      </w:r>
      <w:r w:rsidRPr="000F6CD1">
        <w:t xml:space="preserve"> for eligibility requirements to access funded aged care. </w:t>
      </w:r>
    </w:p>
    <w:p w14:paraId="293151D0" w14:textId="0B654BA8" w:rsidR="00BE7F71" w:rsidRDefault="00257B76" w:rsidP="00257B76">
      <w:pPr>
        <w:spacing w:before="240" w:after="240" w:line="240" w:lineRule="auto"/>
      </w:pPr>
      <w:r w:rsidRPr="000F6CD1">
        <w:t>An individual’s eligibility to access services once they have been assessed will be determined by an Assessment Delegate. The Assessment Delegate will consider the ‘assessment report</w:t>
      </w:r>
      <w:r w:rsidR="00E60614" w:rsidRPr="000F6CD1">
        <w:t>,’</w:t>
      </w:r>
      <w:r w:rsidRPr="000F6CD1">
        <w:t xml:space="preserve"> which comprises the support plan and any other relevant information. If an Assessment Delegate is satisfied an individual requires access, they will make a decision under section 65 to approve access to one or more funded aged care services.</w:t>
      </w:r>
    </w:p>
    <w:p w14:paraId="21B6CF0E" w14:textId="40FED7DC" w:rsidR="007829C5" w:rsidRDefault="00257B76" w:rsidP="00BE7F71">
      <w:r w:rsidRPr="000F6CD1">
        <w:t xml:space="preserve"> </w:t>
      </w:r>
    </w:p>
    <w:p w14:paraId="0618605E" w14:textId="1F1DFE33" w:rsidR="00257B76" w:rsidRPr="000F6CD1" w:rsidRDefault="007829C5" w:rsidP="00BE7F71">
      <w:r>
        <w:br w:type="page"/>
      </w:r>
    </w:p>
    <w:p w14:paraId="7D320268" w14:textId="77777777" w:rsidR="00257B76" w:rsidRPr="000F6CD1" w:rsidRDefault="00257B76" w:rsidP="00AD2CE5">
      <w:pPr>
        <w:pStyle w:val="H3"/>
      </w:pPr>
      <w:r w:rsidRPr="000F6CD1">
        <w:lastRenderedPageBreak/>
        <w:t>Outcomes of screening</w:t>
      </w:r>
    </w:p>
    <w:p w14:paraId="02934413" w14:textId="437DFFEA" w:rsidR="00257B76" w:rsidRPr="000F6CD1" w:rsidRDefault="00257B76" w:rsidP="00257B76">
      <w:pPr>
        <w:autoSpaceDE w:val="0"/>
        <w:autoSpaceDN w:val="0"/>
        <w:adjustRightInd w:val="0"/>
        <w:spacing w:before="240" w:after="240" w:line="240" w:lineRule="auto"/>
        <w:rPr>
          <w:rFonts w:eastAsiaTheme="minorHAnsi"/>
          <w:lang w:eastAsia="en-US"/>
        </w:rPr>
      </w:pPr>
      <w:r w:rsidRPr="000F6CD1">
        <w:rPr>
          <w:rFonts w:eastAsiaTheme="minorHAnsi"/>
          <w:lang w:eastAsia="en-US"/>
        </w:rPr>
        <w:t>On completion of the screening:</w:t>
      </w:r>
    </w:p>
    <w:p w14:paraId="66A73CC8" w14:textId="77777777" w:rsidR="00257B76" w:rsidRPr="000F6CD1" w:rsidRDefault="00257B76" w:rsidP="00257B76">
      <w:pPr>
        <w:pStyle w:val="ListParagraph"/>
        <w:numPr>
          <w:ilvl w:val="0"/>
          <w:numId w:val="49"/>
        </w:numPr>
        <w:autoSpaceDE w:val="0"/>
        <w:autoSpaceDN w:val="0"/>
        <w:adjustRightInd w:val="0"/>
        <w:spacing w:before="240" w:after="240" w:line="240" w:lineRule="auto"/>
        <w:ind w:left="568" w:hanging="284"/>
      </w:pPr>
      <w:r w:rsidRPr="000F6CD1">
        <w:t>Assign referral priority to indicate the timing of the assessment and the urgency in which services are delivered to an older person, which is based on an older person’s level of function, the level of risk in relation to the care situation and any other relevant concerns.</w:t>
      </w:r>
    </w:p>
    <w:p w14:paraId="38D3A11F" w14:textId="77777777" w:rsidR="00257B76" w:rsidRPr="000F6CD1" w:rsidRDefault="00257B76" w:rsidP="00257B76">
      <w:pPr>
        <w:pStyle w:val="ListParagraph"/>
        <w:numPr>
          <w:ilvl w:val="0"/>
          <w:numId w:val="49"/>
        </w:numPr>
        <w:autoSpaceDE w:val="0"/>
        <w:autoSpaceDN w:val="0"/>
        <w:adjustRightInd w:val="0"/>
        <w:spacing w:before="240" w:after="240" w:line="240" w:lineRule="auto"/>
        <w:ind w:left="568" w:hanging="284"/>
      </w:pPr>
      <w:r w:rsidRPr="000F6CD1">
        <w:t xml:space="preserve">Send the referral to an appropriate assessment organisation with the older person’s consent. </w:t>
      </w:r>
    </w:p>
    <w:p w14:paraId="29D8F249" w14:textId="4745ED2F" w:rsidR="00257B76" w:rsidRPr="000F6CD1" w:rsidRDefault="00257B76" w:rsidP="00257B76">
      <w:pPr>
        <w:pStyle w:val="ListParagraph"/>
        <w:numPr>
          <w:ilvl w:val="0"/>
          <w:numId w:val="49"/>
        </w:numPr>
        <w:autoSpaceDE w:val="0"/>
        <w:autoSpaceDN w:val="0"/>
        <w:adjustRightInd w:val="0"/>
        <w:spacing w:before="240" w:after="240" w:line="240" w:lineRule="auto"/>
        <w:ind w:left="568" w:hanging="284"/>
      </w:pPr>
      <w:r w:rsidRPr="000F6CD1">
        <w:t>For urgent referrals for the End-of-Life Pathway, ensure the referral is marked as ‘End-of-Life</w:t>
      </w:r>
      <w:r w:rsidR="00E60614" w:rsidRPr="000F6CD1">
        <w:t>.’</w:t>
      </w:r>
    </w:p>
    <w:p w14:paraId="02D3B410" w14:textId="3B219AC7" w:rsidR="00257B76" w:rsidRPr="000F6CD1" w:rsidRDefault="00257B76" w:rsidP="00257B76">
      <w:pPr>
        <w:pStyle w:val="ListParagraph"/>
        <w:numPr>
          <w:ilvl w:val="0"/>
          <w:numId w:val="49"/>
        </w:numPr>
        <w:autoSpaceDE w:val="0"/>
        <w:autoSpaceDN w:val="0"/>
        <w:adjustRightInd w:val="0"/>
        <w:spacing w:before="240" w:after="240" w:line="240" w:lineRule="auto"/>
        <w:ind w:left="568" w:hanging="284"/>
        <w:rPr>
          <w:rStyle w:val="eop"/>
        </w:rPr>
      </w:pPr>
      <w:r w:rsidRPr="000F6CD1">
        <w:t>Send urgent service</w:t>
      </w:r>
      <w:r w:rsidR="00624BA4" w:rsidRPr="000F6CD1">
        <w:t xml:space="preserve"> referrals</w:t>
      </w:r>
      <w:r w:rsidRPr="000F6CD1">
        <w:t xml:space="preserve"> </w:t>
      </w:r>
      <w:r w:rsidR="00526648" w:rsidRPr="000F6CD1">
        <w:t>direct-to-</w:t>
      </w:r>
      <w:r w:rsidR="000F4BED" w:rsidRPr="000F6CD1">
        <w:t xml:space="preserve">CHSP </w:t>
      </w:r>
      <w:r w:rsidR="00526648" w:rsidRPr="000F6CD1">
        <w:t xml:space="preserve">provider </w:t>
      </w:r>
      <w:r w:rsidRPr="000F6CD1">
        <w:t xml:space="preserve"> with the older person’s consent and </w:t>
      </w:r>
      <w:r w:rsidRPr="000F6CD1">
        <w:rPr>
          <w:b/>
        </w:rPr>
        <w:t>send an assessment referral</w:t>
      </w:r>
      <w:r w:rsidRPr="000F6CD1">
        <w:rPr>
          <w:b/>
          <w:bCs/>
        </w:rPr>
        <w:t xml:space="preserve"> at the same time</w:t>
      </w:r>
      <w:r w:rsidRPr="000F6CD1" w:rsidDel="00FA75A4">
        <w:t>.</w:t>
      </w:r>
      <w:r w:rsidRPr="000F6CD1">
        <w:rPr>
          <w:rStyle w:val="eop"/>
          <w:color w:val="000000"/>
          <w:shd w:val="clear" w:color="auto" w:fill="FFFFFF"/>
        </w:rPr>
        <w:t xml:space="preserve"> If urgent services are approved, Assessment delegates can backdate approvals for the urgent services after an assessment, see Section </w:t>
      </w:r>
      <w:r w:rsidR="00687564">
        <w:rPr>
          <w:rStyle w:val="eop"/>
          <w:color w:val="000000"/>
          <w:shd w:val="clear" w:color="auto" w:fill="FFFFFF"/>
        </w:rPr>
        <w:fldChar w:fldCharType="begin"/>
      </w:r>
      <w:r w:rsidR="00687564">
        <w:rPr>
          <w:rStyle w:val="eop"/>
          <w:color w:val="000000"/>
          <w:shd w:val="clear" w:color="auto" w:fill="FFFFFF"/>
        </w:rPr>
        <w:instrText xml:space="preserve"> REF _Ref233127525 \r \h </w:instrText>
      </w:r>
      <w:r w:rsidR="00687564">
        <w:rPr>
          <w:rStyle w:val="eop"/>
          <w:color w:val="000000"/>
          <w:shd w:val="clear" w:color="auto" w:fill="FFFFFF"/>
        </w:rPr>
      </w:r>
      <w:r w:rsidR="00687564">
        <w:rPr>
          <w:rStyle w:val="eop"/>
          <w:color w:val="000000"/>
          <w:shd w:val="clear" w:color="auto" w:fill="FFFFFF"/>
        </w:rPr>
        <w:fldChar w:fldCharType="separate"/>
      </w:r>
      <w:r w:rsidR="004B171E">
        <w:rPr>
          <w:rStyle w:val="eop"/>
          <w:color w:val="000000"/>
          <w:shd w:val="clear" w:color="auto" w:fill="FFFFFF"/>
        </w:rPr>
        <w:t>3.2</w:t>
      </w:r>
      <w:r w:rsidR="00687564">
        <w:rPr>
          <w:rStyle w:val="eop"/>
          <w:color w:val="000000"/>
          <w:shd w:val="clear" w:color="auto" w:fill="FFFFFF"/>
        </w:rPr>
        <w:fldChar w:fldCharType="end"/>
      </w:r>
      <w:r w:rsidR="00687564">
        <w:rPr>
          <w:rStyle w:val="eop"/>
          <w:color w:val="000000"/>
          <w:shd w:val="clear" w:color="auto" w:fill="FFFFFF"/>
        </w:rPr>
        <w:t xml:space="preserve">. </w:t>
      </w:r>
    </w:p>
    <w:p w14:paraId="0EAF7F9D" w14:textId="77777777" w:rsidR="00257B76" w:rsidRPr="000F6CD1" w:rsidRDefault="00257B76" w:rsidP="00806A21">
      <w:pPr>
        <w:pStyle w:val="Sub-headings"/>
      </w:pPr>
      <w:r w:rsidRPr="000F6CD1">
        <w:t xml:space="preserve">Note: </w:t>
      </w:r>
    </w:p>
    <w:p w14:paraId="7DBF6D8B" w14:textId="71482EDB" w:rsidR="00257B76" w:rsidRPr="000F6CD1" w:rsidRDefault="00257B76" w:rsidP="00806A21">
      <w:pPr>
        <w:pStyle w:val="Sub-headings"/>
      </w:pPr>
      <w:r w:rsidRPr="000F6CD1">
        <w:t xml:space="preserve">Where a referral is issued to the organisation in </w:t>
      </w:r>
      <w:r w:rsidRPr="000F6CD1" w:rsidDel="00482AA2">
        <w:t>error</w:t>
      </w:r>
      <w:r w:rsidRPr="000F6CD1">
        <w:t xml:space="preserve">, the My Aged Care </w:t>
      </w:r>
      <w:r w:rsidR="00811C06" w:rsidRPr="000F6CD1">
        <w:t>Service Provider and Assessor Helpline</w:t>
      </w:r>
      <w:r w:rsidR="00933DB9" w:rsidRPr="000F6CD1" w:rsidDel="005B0A4C">
        <w:t xml:space="preserve"> </w:t>
      </w:r>
      <w:r w:rsidRPr="000F6CD1">
        <w:t xml:space="preserve">can recall the referral (see Chapter </w:t>
      </w:r>
      <w:r w:rsidRPr="000F6CD1">
        <w:fldChar w:fldCharType="begin"/>
      </w:r>
      <w:r w:rsidRPr="000F6CD1">
        <w:instrText xml:space="preserve"> REF _Ref212735206 \r \h </w:instrText>
      </w:r>
      <w:r w:rsidR="00355D6B" w:rsidRPr="000F6CD1">
        <w:instrText xml:space="preserve"> \* MERGEFORMAT </w:instrText>
      </w:r>
      <w:r w:rsidRPr="000F6CD1">
        <w:fldChar w:fldCharType="separate"/>
      </w:r>
      <w:r w:rsidR="004B171E">
        <w:t>4</w:t>
      </w:r>
      <w:r w:rsidRPr="000F6CD1">
        <w:fldChar w:fldCharType="end"/>
      </w:r>
      <w:r w:rsidRPr="000F6CD1">
        <w:t xml:space="preserve"> Referral for assessment).</w:t>
      </w:r>
    </w:p>
    <w:p w14:paraId="33DA7797" w14:textId="7D267C86" w:rsidR="00257B76" w:rsidRPr="000F6CD1" w:rsidRDefault="00257B76" w:rsidP="00257B76"/>
    <w:p w14:paraId="775EC262" w14:textId="2B942502" w:rsidR="00FA75A4" w:rsidRPr="000F6CD1" w:rsidRDefault="00FA75A4" w:rsidP="006647CE">
      <w:pPr>
        <w:pStyle w:val="h2"/>
      </w:pPr>
      <w:bookmarkStart w:id="217" w:name="_Toc233282429"/>
      <w:r w:rsidRPr="000F6CD1">
        <w:t xml:space="preserve">Support networks for </w:t>
      </w:r>
      <w:bookmarkEnd w:id="213"/>
      <w:bookmarkEnd w:id="214"/>
      <w:r w:rsidRPr="000F6CD1">
        <w:t>an older person</w:t>
      </w:r>
      <w:bookmarkEnd w:id="215"/>
      <w:bookmarkEnd w:id="217"/>
      <w:r w:rsidRPr="000F6CD1">
        <w:t xml:space="preserve">  </w:t>
      </w:r>
    </w:p>
    <w:p w14:paraId="09542CF4" w14:textId="77777777" w:rsidR="00FA75A4" w:rsidRPr="000F6CD1" w:rsidRDefault="00FA75A4" w:rsidP="003D374A">
      <w:pPr>
        <w:pStyle w:val="Sub-headingnon-contentpage"/>
      </w:pPr>
      <w:r w:rsidRPr="000F6CD1">
        <w:t xml:space="preserve">Where an older person is registered with My Aged Care, there may also be a network of registered supporters and/or agent organisations on the older person’s record. </w:t>
      </w:r>
    </w:p>
    <w:p w14:paraId="7D4D5026" w14:textId="49469DE3" w:rsidR="00FA75A4" w:rsidRPr="000F6CD1" w:rsidRDefault="00FA75A4" w:rsidP="00AD2CE5">
      <w:pPr>
        <w:pStyle w:val="H3"/>
      </w:pPr>
      <w:bookmarkStart w:id="218" w:name="_Toc198813643"/>
      <w:bookmarkStart w:id="219" w:name="CH1_SupportedDecisionMaking"/>
      <w:r w:rsidRPr="000F6CD1">
        <w:t>Registered supporters</w:t>
      </w:r>
      <w:bookmarkEnd w:id="218"/>
    </w:p>
    <w:bookmarkEnd w:id="219"/>
    <w:p w14:paraId="1A08B4E6" w14:textId="2524420F" w:rsidR="00FA75A4" w:rsidRPr="000F6CD1" w:rsidRDefault="00966CB0" w:rsidP="0003231B">
      <w:pPr>
        <w:pStyle w:val="H4"/>
      </w:pPr>
      <w:r w:rsidRPr="000F6CD1">
        <w:t>Sup</w:t>
      </w:r>
      <w:r w:rsidR="00FA75A4" w:rsidRPr="000F6CD1">
        <w:t xml:space="preserve">ported decision-making in aged care legislation </w:t>
      </w:r>
    </w:p>
    <w:p w14:paraId="1E34AFBA" w14:textId="77777777" w:rsidR="00FF7659" w:rsidRPr="000F6CD1" w:rsidRDefault="00FF7659" w:rsidP="00614178">
      <w:pPr>
        <w:spacing w:before="240" w:after="240" w:line="240" w:lineRule="auto"/>
      </w:pPr>
      <w:r w:rsidRPr="000F6CD1">
        <w:t>Everyone has the right to make decisions about their life, including the support and services they receive from aged care. </w:t>
      </w:r>
    </w:p>
    <w:p w14:paraId="5B108F07" w14:textId="312CC956" w:rsidR="00FA75A4" w:rsidRPr="000F6CD1" w:rsidRDefault="00FA75A4" w:rsidP="00614178">
      <w:pPr>
        <w:spacing w:before="240" w:after="240" w:line="240" w:lineRule="auto"/>
      </w:pPr>
      <w:r w:rsidRPr="000F6CD1">
        <w:t xml:space="preserve">The </w:t>
      </w:r>
      <w:r w:rsidRPr="000F6CD1">
        <w:rPr>
          <w:i/>
        </w:rPr>
        <w:t xml:space="preserve">Aged Care Act 2024 </w:t>
      </w:r>
      <w:r w:rsidRPr="000F6CD1">
        <w:t>(the Act) puts the rights of older people first. It aims to ensure aged care services are safe and older people are treated with respect. </w:t>
      </w:r>
    </w:p>
    <w:p w14:paraId="254BF794" w14:textId="3523E37C" w:rsidR="00FA75A4" w:rsidRPr="000F6CD1" w:rsidRDefault="00FA75A4" w:rsidP="00614178">
      <w:pPr>
        <w:spacing w:before="240" w:after="240" w:line="240" w:lineRule="auto"/>
      </w:pPr>
      <w:r w:rsidRPr="000F6CD1">
        <w:t>A key change under the Act is that every older person is presumed to have the ability to make decisions. Some older people may want or need support to make these decisions. Supported decision-making is the process of providing support to help older people make and communicate their own decisions, rather than having decisions made for them. This allows older people to remain in control of their lives.</w:t>
      </w:r>
    </w:p>
    <w:p w14:paraId="6C644A6E" w14:textId="77777777" w:rsidR="00CD2113" w:rsidRPr="000F6CD1" w:rsidRDefault="00CD2113" w:rsidP="00CD2113">
      <w:pPr>
        <w:pStyle w:val="H4"/>
      </w:pPr>
      <w:r w:rsidRPr="000F6CD1">
        <w:t xml:space="preserve">Supported decision-making in assessments </w:t>
      </w:r>
    </w:p>
    <w:p w14:paraId="5E884536" w14:textId="77777777" w:rsidR="00CD2113" w:rsidRPr="000F6CD1" w:rsidRDefault="00CD2113" w:rsidP="00CD2113">
      <w:pPr>
        <w:spacing w:before="240" w:after="240" w:line="240" w:lineRule="auto"/>
      </w:pPr>
      <w:r w:rsidRPr="000F6CD1">
        <w:t xml:space="preserve">Under the Act, assessors should promote an older person’s right to make decisions, engage with registered supporters in line with the older person’s will and preferences, and embed supported decision-making in assessment delivery. </w:t>
      </w:r>
    </w:p>
    <w:p w14:paraId="2CD40E26" w14:textId="77777777" w:rsidR="00CD2113" w:rsidRPr="000F6CD1" w:rsidRDefault="00CD2113" w:rsidP="00CD2113">
      <w:pPr>
        <w:spacing w:before="240" w:after="240" w:line="240" w:lineRule="auto"/>
      </w:pPr>
      <w:r w:rsidRPr="000F6CD1">
        <w:lastRenderedPageBreak/>
        <w:t xml:space="preserve">It is important to remember that supported decision-making principles and practices are not just about engaging with registered supporters. Supported decision-making is about supporting an older person to make their own decisions, in the ways they want or need. </w:t>
      </w:r>
    </w:p>
    <w:p w14:paraId="5E2F8000" w14:textId="77777777" w:rsidR="00CD2113" w:rsidRPr="000F6CD1" w:rsidRDefault="00CD2113" w:rsidP="00CD2113">
      <w:pPr>
        <w:spacing w:before="240" w:after="240" w:line="240" w:lineRule="auto"/>
      </w:pPr>
      <w:r w:rsidRPr="000F6CD1">
        <w:t>This might look like:</w:t>
      </w:r>
    </w:p>
    <w:p w14:paraId="5F4E62AE" w14:textId="354A6F5F" w:rsidR="00CD2113" w:rsidRPr="000F6CD1" w:rsidRDefault="00CD2113" w:rsidP="00CD2113">
      <w:pPr>
        <w:pStyle w:val="ListParagraph"/>
        <w:numPr>
          <w:ilvl w:val="0"/>
          <w:numId w:val="524"/>
        </w:numPr>
        <w:spacing w:before="240" w:after="240" w:line="240" w:lineRule="auto"/>
      </w:pPr>
      <w:r w:rsidRPr="000F6CD1">
        <w:t xml:space="preserve">Asking the older person to make decisions about their aged care services and needs (rather than deferring to their family, registered supporters or their active, appointed decision-maker), </w:t>
      </w:r>
    </w:p>
    <w:p w14:paraId="5D2C8F84" w14:textId="14A4096A" w:rsidR="00CD2113" w:rsidRPr="000F6CD1" w:rsidRDefault="00CD2113" w:rsidP="00CD2113">
      <w:pPr>
        <w:pStyle w:val="ListParagraph"/>
        <w:numPr>
          <w:ilvl w:val="0"/>
          <w:numId w:val="524"/>
        </w:numPr>
        <w:spacing w:before="240" w:after="240" w:line="240" w:lineRule="auto"/>
      </w:pPr>
      <w:r w:rsidRPr="000F6CD1">
        <w:t>Checking whether an older person has a registered supporter, and whether the older person wants that person to provide support. Remember that having a registered supporter does not mean that the older person needs to include them in discussions and their decision-making processes. It is always up to the older person. A registered supporter can only act in line with the older person’s</w:t>
      </w:r>
      <w:r w:rsidR="005F0B70" w:rsidRPr="000F6CD1">
        <w:t xml:space="preserve"> known</w:t>
      </w:r>
      <w:r w:rsidRPr="000F6CD1">
        <w:t xml:space="preserve"> will and preferences, and </w:t>
      </w:r>
    </w:p>
    <w:p w14:paraId="118AA0C9" w14:textId="77777777" w:rsidR="00CD2113" w:rsidRPr="000F6CD1" w:rsidRDefault="00CD2113" w:rsidP="00CD2113">
      <w:pPr>
        <w:pStyle w:val="ListParagraph"/>
        <w:numPr>
          <w:ilvl w:val="0"/>
          <w:numId w:val="51"/>
        </w:numPr>
        <w:spacing w:before="240" w:after="240" w:line="240" w:lineRule="auto"/>
      </w:pPr>
      <w:r w:rsidRPr="000F6CD1">
        <w:t>Considering how supported decision-making principles can be embedded into an assessment process. This could be:</w:t>
      </w:r>
    </w:p>
    <w:p w14:paraId="0E46ECBB" w14:textId="77777777" w:rsidR="00CD2113" w:rsidRPr="000F6CD1" w:rsidRDefault="00CD2113" w:rsidP="00CD2113">
      <w:pPr>
        <w:pStyle w:val="ListParagraph"/>
        <w:numPr>
          <w:ilvl w:val="0"/>
          <w:numId w:val="55"/>
        </w:numPr>
        <w:spacing w:before="240" w:after="240" w:line="240" w:lineRule="auto"/>
      </w:pPr>
      <w:r w:rsidRPr="000F6CD1">
        <w:t xml:space="preserve">more time for the older person to explore options and only asking them to make one decision at a time, </w:t>
      </w:r>
    </w:p>
    <w:p w14:paraId="51F46DC4" w14:textId="77777777" w:rsidR="00CD2113" w:rsidRPr="000F6CD1" w:rsidRDefault="00CD2113" w:rsidP="00CD2113">
      <w:pPr>
        <w:pStyle w:val="ListParagraph"/>
        <w:numPr>
          <w:ilvl w:val="0"/>
          <w:numId w:val="55"/>
        </w:numPr>
        <w:spacing w:before="240" w:after="240" w:line="240" w:lineRule="auto"/>
      </w:pPr>
      <w:r w:rsidRPr="000F6CD1">
        <w:t>presenting the older person with options in ways the older person prefers, such as visually, and</w:t>
      </w:r>
    </w:p>
    <w:p w14:paraId="5361CFC7" w14:textId="12E6B605" w:rsidR="00CD2113" w:rsidRPr="000F6CD1" w:rsidRDefault="00CD2113" w:rsidP="006B3670">
      <w:pPr>
        <w:pStyle w:val="ListParagraph"/>
        <w:numPr>
          <w:ilvl w:val="0"/>
          <w:numId w:val="55"/>
        </w:numPr>
        <w:spacing w:before="240" w:after="240" w:line="240" w:lineRule="auto"/>
      </w:pPr>
      <w:r w:rsidRPr="000F6CD1">
        <w:t>encouraging and supporting the older person to make decisions at a time and place most comfortable for the older person.</w:t>
      </w:r>
    </w:p>
    <w:p w14:paraId="6E65C227" w14:textId="77777777" w:rsidR="00FA75A4" w:rsidRPr="000F6CD1" w:rsidRDefault="00FA75A4" w:rsidP="0003231B">
      <w:pPr>
        <w:pStyle w:val="H4"/>
      </w:pPr>
      <w:r w:rsidRPr="000F6CD1">
        <w:t>Role of registered supporters</w:t>
      </w:r>
    </w:p>
    <w:p w14:paraId="50D646C1" w14:textId="03699F90" w:rsidR="00FA75A4" w:rsidRPr="000F6CD1" w:rsidRDefault="00FA75A4" w:rsidP="00614178">
      <w:pPr>
        <w:spacing w:before="240" w:after="240" w:line="240" w:lineRule="auto"/>
      </w:pPr>
      <w:r w:rsidRPr="000F6CD1">
        <w:t>Chapter 1, Part 4 of the Act</w:t>
      </w:r>
      <w:r w:rsidRPr="000F6CD1" w:rsidDel="00334E33">
        <w:t xml:space="preserve"> </w:t>
      </w:r>
      <w:r w:rsidRPr="000F6CD1">
        <w:t xml:space="preserve">establishes the role of a </w:t>
      </w:r>
      <w:hyperlink r:id="rId91" w:history="1">
        <w:r w:rsidRPr="000F6CD1">
          <w:rPr>
            <w:rStyle w:val="Hyperlink"/>
          </w:rPr>
          <w:t>registered supporter</w:t>
        </w:r>
      </w:hyperlink>
      <w:r w:rsidRPr="000F6CD1">
        <w:t xml:space="preserve">. The registered supporter role is one of the changes under the Act that aim to promote </w:t>
      </w:r>
      <w:r w:rsidR="005175FA" w:rsidRPr="000F6CD1">
        <w:t xml:space="preserve">each </w:t>
      </w:r>
      <w:r w:rsidRPr="000F6CD1">
        <w:t xml:space="preserve">older </w:t>
      </w:r>
      <w:r w:rsidR="005175FA" w:rsidRPr="000F6CD1">
        <w:t xml:space="preserve">persons’ </w:t>
      </w:r>
      <w:r w:rsidRPr="000F6CD1">
        <w:t xml:space="preserve">right to be supported to make their own decisions. The registered supporter role </w:t>
      </w:r>
      <w:r w:rsidR="008F2A6E" w:rsidRPr="000F6CD1">
        <w:t xml:space="preserve">commenced on 1 November 2025 and </w:t>
      </w:r>
      <w:r w:rsidRPr="000F6CD1">
        <w:t>replace</w:t>
      </w:r>
      <w:r w:rsidR="004F6BCD" w:rsidRPr="000F6CD1">
        <w:t>d</w:t>
      </w:r>
      <w:r w:rsidRPr="000F6CD1">
        <w:t xml:space="preserve"> existing regular and authorised representative relationships in My Aged Care. </w:t>
      </w:r>
    </w:p>
    <w:p w14:paraId="47654C3B" w14:textId="7B23C5B9" w:rsidR="00FA75A4" w:rsidRPr="000F6CD1" w:rsidRDefault="004F6BCD" w:rsidP="00614178">
      <w:pPr>
        <w:spacing w:before="240" w:after="240" w:line="240" w:lineRule="auto"/>
      </w:pPr>
      <w:r w:rsidRPr="000F6CD1">
        <w:t>Under the Act</w:t>
      </w:r>
      <w:r w:rsidR="00FA75A4" w:rsidRPr="000F6CD1">
        <w:t xml:space="preserve">, older people can still choose who can support them to make decisions, if they want or need support. These people can be </w:t>
      </w:r>
      <w:r w:rsidR="00DB0444" w:rsidRPr="000F6CD1">
        <w:t>– but don’t always have to be –</w:t>
      </w:r>
      <w:r w:rsidR="00FA75A4" w:rsidRPr="000F6CD1">
        <w:t xml:space="preserve"> registered supporters. A registered supporter </w:t>
      </w:r>
      <w:r w:rsidR="00DB0444" w:rsidRPr="000F6CD1">
        <w:t xml:space="preserve">may </w:t>
      </w:r>
      <w:r w:rsidR="00FA75A4" w:rsidRPr="000F6CD1">
        <w:t>be a trusted family member or friend or anyone else of an older person’s choosing, who can help them to request, access and understand information and communicate their wishes. </w:t>
      </w:r>
    </w:p>
    <w:p w14:paraId="142A3F6A" w14:textId="0E6F0D8D" w:rsidR="00FA75A4" w:rsidRPr="000F6CD1" w:rsidRDefault="00A06E0E" w:rsidP="00614178">
      <w:pPr>
        <w:spacing w:before="240" w:after="240" w:line="240" w:lineRule="auto"/>
      </w:pPr>
      <w:r w:rsidRPr="000F6CD1">
        <w:t xml:space="preserve">There are benefits </w:t>
      </w:r>
      <w:r w:rsidR="003D4660" w:rsidRPr="000F6CD1">
        <w:t>to</w:t>
      </w:r>
      <w:r w:rsidRPr="000F6CD1">
        <w:t xml:space="preserve"> registering a supporter. </w:t>
      </w:r>
      <w:r w:rsidR="00FA75A4" w:rsidRPr="000F6CD1">
        <w:t>Registered supporters can:</w:t>
      </w:r>
    </w:p>
    <w:p w14:paraId="33CF8007" w14:textId="77777777" w:rsidR="00FA75A4" w:rsidRPr="000F6CD1" w:rsidRDefault="00FA75A4" w:rsidP="00DF3F6B">
      <w:pPr>
        <w:pStyle w:val="ListParagraph"/>
        <w:numPr>
          <w:ilvl w:val="0"/>
          <w:numId w:val="454"/>
        </w:numPr>
        <w:spacing w:before="240" w:after="240" w:line="240" w:lineRule="auto"/>
      </w:pPr>
      <w:r w:rsidRPr="000F6CD1">
        <w:t>help older people to make and communicate their own decisions about aged care. This might include speaking to My Aged Care, aged care assessors, aged care providers and workers, and the Aged Care Quality and Safety Commission, and</w:t>
      </w:r>
    </w:p>
    <w:p w14:paraId="3A6F6110" w14:textId="77777777" w:rsidR="00FA75A4" w:rsidRPr="000F6CD1" w:rsidRDefault="00FA75A4" w:rsidP="00DF3F6B">
      <w:pPr>
        <w:pStyle w:val="ListParagraph"/>
        <w:numPr>
          <w:ilvl w:val="0"/>
          <w:numId w:val="454"/>
        </w:numPr>
        <w:spacing w:before="240" w:after="240" w:line="240" w:lineRule="auto"/>
      </w:pPr>
      <w:r w:rsidRPr="000F6CD1">
        <w:t>request, access and receive information about the older person they support.</w:t>
      </w:r>
    </w:p>
    <w:p w14:paraId="62B267F5" w14:textId="4C97FD66" w:rsidR="00A00321" w:rsidRPr="000F6CD1" w:rsidRDefault="00A00321" w:rsidP="006B3670">
      <w:pPr>
        <w:spacing w:before="240" w:after="240" w:line="240" w:lineRule="auto"/>
      </w:pPr>
      <w:r w:rsidRPr="000F6CD1">
        <w:t xml:space="preserve">All registered supporters have </w:t>
      </w:r>
      <w:hyperlink r:id="rId92" w:history="1">
        <w:r w:rsidRPr="000F6CD1">
          <w:rPr>
            <w:rStyle w:val="Hyperlink"/>
          </w:rPr>
          <w:t>duties</w:t>
        </w:r>
      </w:hyperlink>
      <w:r w:rsidRPr="000F6CD1">
        <w:t xml:space="preserve"> under the Act they must comply with. These duties are intended to promote an older person’s safety, rights, will, and preferences.</w:t>
      </w:r>
      <w:r w:rsidR="00E60614" w:rsidRPr="000F6CD1">
        <w:t xml:space="preserve"> </w:t>
      </w:r>
    </w:p>
    <w:p w14:paraId="5DEB7874" w14:textId="3BE01564" w:rsidR="00FA75A4" w:rsidRPr="000F6CD1" w:rsidRDefault="00FA75A4" w:rsidP="00614178">
      <w:pPr>
        <w:spacing w:before="240" w:after="240" w:line="240" w:lineRule="auto"/>
      </w:pPr>
      <w:r w:rsidRPr="000F6CD1">
        <w:t xml:space="preserve">Having a registered supporter does not stop an older person from being able to receive information, make decisions, or communicate directly with others including their aged care provider, My Aged Care and assessors. Older people can continue to request, receive and communicate information and make </w:t>
      </w:r>
      <w:r w:rsidR="000477F9" w:rsidRPr="000F6CD1">
        <w:t>their own</w:t>
      </w:r>
      <w:r w:rsidRPr="000F6CD1">
        <w:t xml:space="preserve"> decisions.</w:t>
      </w:r>
      <w:r w:rsidR="00E60614" w:rsidRPr="000F6CD1">
        <w:t xml:space="preserve"> </w:t>
      </w:r>
    </w:p>
    <w:p w14:paraId="75708375" w14:textId="19CF1A03" w:rsidR="00B91FFC" w:rsidRPr="000F6CD1" w:rsidRDefault="00373A92" w:rsidP="00CB5680">
      <w:bookmarkStart w:id="220" w:name="_Hlk193278837"/>
      <w:r w:rsidRPr="000F6CD1">
        <w:t xml:space="preserve">An older person does not have to register a supporter. Some older people might feel they are already supported by their carers and other significant people in their lives, without </w:t>
      </w:r>
      <w:r w:rsidRPr="000F6CD1">
        <w:lastRenderedPageBreak/>
        <w:t>needing any of them to become a registered supporter. These people can continue to play an important role in supporting an older person, regardless of whether they are a registered supporter.</w:t>
      </w:r>
      <w:bookmarkEnd w:id="220"/>
      <w:r w:rsidR="00CB5680" w:rsidRPr="000F6CD1">
        <w:t xml:space="preserve"> </w:t>
      </w:r>
      <w:r w:rsidRPr="000F6CD1">
        <w:t xml:space="preserve">This means, with the older person’s consent, </w:t>
      </w:r>
      <w:r w:rsidR="00CB5680" w:rsidRPr="000F6CD1">
        <w:t>someone who is not a registered supporter</w:t>
      </w:r>
      <w:r w:rsidRPr="000F6CD1">
        <w:t xml:space="preserve"> may continue supporting an older person during their assessment</w:t>
      </w:r>
      <w:r w:rsidR="0004690D" w:rsidRPr="000F6CD1">
        <w:t xml:space="preserve"> as a third party</w:t>
      </w:r>
      <w:r w:rsidRPr="000F6CD1">
        <w:t xml:space="preserve">. </w:t>
      </w:r>
      <w:r w:rsidR="00CB5680" w:rsidRPr="000F6CD1">
        <w:t xml:space="preserve">The older person may provide their consent for </w:t>
      </w:r>
      <w:r w:rsidR="0004690D" w:rsidRPr="000F6CD1">
        <w:t>the third party</w:t>
      </w:r>
      <w:r w:rsidR="00CB5680" w:rsidRPr="000F6CD1">
        <w:t xml:space="preserve"> to communicate their decisions and wishes, but this consent is not enduring and is limited to the interaction at the time. </w:t>
      </w:r>
    </w:p>
    <w:p w14:paraId="0798F440" w14:textId="677D5881" w:rsidR="00187AD3" w:rsidRPr="000F6CD1" w:rsidRDefault="00113B6D" w:rsidP="0032318C">
      <w:r w:rsidRPr="000F6CD1">
        <w:t xml:space="preserve">Assessors must ensure that the older person has provided their consent each time </w:t>
      </w:r>
      <w:r w:rsidR="0004690D" w:rsidRPr="000F6CD1">
        <w:t xml:space="preserve">a third party </w:t>
      </w:r>
      <w:r w:rsidRPr="000F6CD1">
        <w:t xml:space="preserve">is communicating the decisions of, or information for, the older person. </w:t>
      </w:r>
    </w:p>
    <w:p w14:paraId="59591C6D" w14:textId="6F64C2FA" w:rsidR="00373A92" w:rsidRPr="000F6CD1" w:rsidRDefault="00D657E0" w:rsidP="0032318C">
      <w:r w:rsidRPr="000F6CD1">
        <w:t xml:space="preserve">Guidance </w:t>
      </w:r>
      <w:r w:rsidR="00B91FFC" w:rsidRPr="000F6CD1">
        <w:t>for assessors</w:t>
      </w:r>
      <w:r w:rsidRPr="000F6CD1">
        <w:t xml:space="preserve"> when engaging with someone seeking to</w:t>
      </w:r>
      <w:r w:rsidR="007F7D6A" w:rsidRPr="000F6CD1">
        <w:t xml:space="preserve"> make</w:t>
      </w:r>
      <w:r w:rsidRPr="000F6CD1">
        <w:t xml:space="preserve"> a decision on behalf of an older person is provided in </w:t>
      </w:r>
      <w:r w:rsidR="00B91FFC" w:rsidRPr="000F6CD1">
        <w:t xml:space="preserve">the </w:t>
      </w:r>
      <w:r w:rsidRPr="000F6CD1">
        <w:t>section</w:t>
      </w:r>
      <w:r w:rsidR="00B91FFC" w:rsidRPr="000F6CD1">
        <w:t>s</w:t>
      </w:r>
      <w:r w:rsidRPr="000F6CD1">
        <w:t xml:space="preserve"> on appointed decision makers. </w:t>
      </w:r>
    </w:p>
    <w:p w14:paraId="12F28D1F" w14:textId="62D5A1E7" w:rsidR="00FA75A4" w:rsidRPr="000F6CD1" w:rsidRDefault="00FA75A4" w:rsidP="00614178">
      <w:pPr>
        <w:spacing w:before="240" w:after="240" w:line="240" w:lineRule="auto"/>
      </w:pPr>
      <w:r w:rsidRPr="000F6CD1">
        <w:t xml:space="preserve">Wherever possible, aged care providers and </w:t>
      </w:r>
      <w:r w:rsidR="006B2C51" w:rsidRPr="000F6CD1">
        <w:t>assessment organisations</w:t>
      </w:r>
      <w:r w:rsidRPr="000F6CD1">
        <w:t xml:space="preserve"> must continue to ask the older person to make decisions about their aged care services and needs, even where there is a registered supporter</w:t>
      </w:r>
      <w:r w:rsidR="009A2864" w:rsidRPr="000F6CD1">
        <w:t xml:space="preserve"> or third party supporting the older person</w:t>
      </w:r>
      <w:r w:rsidRPr="000F6CD1">
        <w:t>. An older person’s ability to make decisions and communicate their will and preferences may change from day to day, or over time, so understanding who their registered supporters are and the role they can perform is essential in respecting the older person’s rights. </w:t>
      </w:r>
    </w:p>
    <w:p w14:paraId="7E1C9781" w14:textId="77777777" w:rsidR="00FA75A4" w:rsidRPr="000F6CD1" w:rsidRDefault="00FA75A4" w:rsidP="00614178">
      <w:pPr>
        <w:spacing w:before="240" w:after="240" w:line="240" w:lineRule="auto"/>
      </w:pPr>
      <w:r w:rsidRPr="000F6CD1">
        <w:t xml:space="preserve">The System Governor plays a role in regulating registered supporters. This includes registration, suspension and cancellation. </w:t>
      </w:r>
    </w:p>
    <w:p w14:paraId="29ED2760" w14:textId="77777777" w:rsidR="00FA75A4" w:rsidRPr="000F6CD1" w:rsidRDefault="00FA75A4" w:rsidP="0003231B">
      <w:pPr>
        <w:pStyle w:val="H4"/>
      </w:pPr>
      <w:r w:rsidRPr="000F6CD1">
        <w:t>Active, appointed decision makers</w:t>
      </w:r>
    </w:p>
    <w:p w14:paraId="0A0C5CEE" w14:textId="349BF054" w:rsidR="00FA75A4" w:rsidRPr="000F6CD1" w:rsidRDefault="00FA75A4" w:rsidP="00614178">
      <w:pPr>
        <w:spacing w:before="240" w:after="240" w:line="240" w:lineRule="auto"/>
      </w:pPr>
      <w:r w:rsidRPr="000F6CD1">
        <w:t xml:space="preserve">Some registered supporters </w:t>
      </w:r>
      <w:r w:rsidR="00EE2F2B" w:rsidRPr="000F6CD1">
        <w:t>may</w:t>
      </w:r>
      <w:r w:rsidRPr="000F6CD1">
        <w:t xml:space="preserve"> also have guardianship, enduring power of attorney or similar legal authority</w:t>
      </w:r>
      <w:r w:rsidR="00647AD0" w:rsidRPr="000F6CD1">
        <w:t xml:space="preserve"> recognised under the Act</w:t>
      </w:r>
      <w:r w:rsidRPr="000F6CD1">
        <w:t xml:space="preserve">. These people are </w:t>
      </w:r>
      <w:r w:rsidR="00EB6324" w:rsidRPr="000F6CD1">
        <w:t xml:space="preserve">referred to as </w:t>
      </w:r>
      <w:r w:rsidRPr="000F6CD1">
        <w:t>appointed decision makers for the older person and can make decisions on behalf of the older person under Commonwealth, state or territory arrangements. They can only make decisions in line with their active, legal authority.</w:t>
      </w:r>
      <w:r w:rsidR="00E60614" w:rsidRPr="000F6CD1">
        <w:t xml:space="preserve"> </w:t>
      </w:r>
    </w:p>
    <w:p w14:paraId="56026829" w14:textId="5CA83A8A" w:rsidR="00A0729E" w:rsidRPr="000F6CD1" w:rsidRDefault="00BE4628" w:rsidP="00A0729E">
      <w:pPr>
        <w:spacing w:after="0" w:line="240" w:lineRule="auto"/>
      </w:pPr>
      <w:r w:rsidRPr="000F6CD1">
        <w:t>D</w:t>
      </w:r>
      <w:r w:rsidR="00A0729E" w:rsidRPr="000F6CD1">
        <w:t>ecision-making arrangements differ across Commonwealth, state and territory jurisdictions. As such, the authority a person may have to make decisions for an older person may be subject to different requirements and conditio</w:t>
      </w:r>
      <w:r w:rsidR="0032318C" w:rsidRPr="000F6CD1">
        <w:t>n</w:t>
      </w:r>
      <w:r w:rsidR="00A0729E" w:rsidRPr="000F6CD1">
        <w:t xml:space="preserve">s. In some circumstances, a person’s authority to make decisions for an older person is not enlivened until the older person is found to have lost, or be experiencing a loss, in their decision-making ability, for some or all decisions. Before actioning a request or decision made by a person other than an older person, assessors need to consider the person’s decision-making authority for an older person, including when it becomes active, on a case-by-case basis. This may involve sighting medical evidence about the older person. </w:t>
      </w:r>
    </w:p>
    <w:p w14:paraId="4F13A00A" w14:textId="77777777" w:rsidR="00A0729E" w:rsidRPr="000F6CD1" w:rsidRDefault="00A0729E" w:rsidP="00A0729E">
      <w:pPr>
        <w:spacing w:after="0" w:line="240" w:lineRule="auto"/>
      </w:pPr>
    </w:p>
    <w:p w14:paraId="0F032241" w14:textId="039C4BA4" w:rsidR="00A0729E" w:rsidRPr="000F6CD1" w:rsidRDefault="00A0729E" w:rsidP="0032318C">
      <w:pPr>
        <w:spacing w:after="0" w:line="240" w:lineRule="auto"/>
      </w:pPr>
      <w:r w:rsidRPr="000F6CD1">
        <w:t>If a</w:t>
      </w:r>
      <w:r w:rsidR="00152713" w:rsidRPr="000F6CD1">
        <w:t xml:space="preserve"> registered supporter </w:t>
      </w:r>
      <w:r w:rsidR="00AB5FEA" w:rsidRPr="000F6CD1">
        <w:t>who is also an appointed decision maker</w:t>
      </w:r>
      <w:r w:rsidRPr="000F6CD1">
        <w:t xml:space="preserve"> is supporting the older person to make a decision that falls outside the scope of their Commonwealth, state or territory arrangement, they must </w:t>
      </w:r>
      <w:r w:rsidRPr="000F6CD1">
        <w:rPr>
          <w:u w:val="single"/>
        </w:rPr>
        <w:t>not</w:t>
      </w:r>
      <w:r w:rsidRPr="000F6CD1">
        <w:t xml:space="preserve"> make the decision on the older person’s behalf. For example, where an active, appointed decision maker has financial decision-making authority only, they cannot make personal decisions for the older person - they should instead </w:t>
      </w:r>
      <w:r w:rsidR="00D01ACF" w:rsidRPr="000F6CD1">
        <w:t>support</w:t>
      </w:r>
      <w:r w:rsidRPr="000F6CD1">
        <w:t xml:space="preserve"> the older person to make that decision. If the older person wants support, the </w:t>
      </w:r>
      <w:r w:rsidR="00152713" w:rsidRPr="000F6CD1">
        <w:t xml:space="preserve">registered </w:t>
      </w:r>
      <w:r w:rsidRPr="000F6CD1">
        <w:t>supporter should adopt principles of supported decision-making in line with the duties of a registered supporter.</w:t>
      </w:r>
    </w:p>
    <w:p w14:paraId="1755BBC7" w14:textId="3510FD57" w:rsidR="00FA75A4" w:rsidRPr="000F6CD1" w:rsidRDefault="00FA75A4" w:rsidP="00614178">
      <w:pPr>
        <w:spacing w:before="240" w:after="240" w:line="240" w:lineRule="auto"/>
      </w:pPr>
      <w:r w:rsidRPr="000F6CD1">
        <w:t xml:space="preserve">Becoming a registered supporter does </w:t>
      </w:r>
      <w:r w:rsidRPr="000F6CD1">
        <w:rPr>
          <w:b/>
        </w:rPr>
        <w:t>not</w:t>
      </w:r>
      <w:r w:rsidRPr="000F6CD1">
        <w:t xml:space="preserve"> provide a person with decision-making authority for the older person. A registered supporter’s role is to support the older person to make and communicate their own decisions.</w:t>
      </w:r>
      <w:r w:rsidR="00E60614" w:rsidRPr="000F6CD1">
        <w:t xml:space="preserve"> </w:t>
      </w:r>
    </w:p>
    <w:p w14:paraId="4F11864D" w14:textId="48337D27" w:rsidR="00FA75A4" w:rsidRPr="000F6CD1" w:rsidRDefault="00FA75A4" w:rsidP="00614178">
      <w:pPr>
        <w:spacing w:before="240" w:after="240" w:line="240" w:lineRule="auto"/>
      </w:pPr>
      <w:r w:rsidRPr="000F6CD1">
        <w:lastRenderedPageBreak/>
        <w:t xml:space="preserve">There is no requirement to register a supporter, including where that person is also an appointed decision-maker under a Commonwealth, state or territory arrangement. </w:t>
      </w:r>
      <w:r w:rsidR="00F85692" w:rsidRPr="000F6CD1">
        <w:t>Provid</w:t>
      </w:r>
      <w:r w:rsidR="00786379" w:rsidRPr="000F6CD1">
        <w:t>ed</w:t>
      </w:r>
      <w:r w:rsidR="00F85692" w:rsidRPr="000F6CD1">
        <w:t xml:space="preserve"> their authority is recognised under the Act, a</w:t>
      </w:r>
      <w:r w:rsidRPr="000F6CD1">
        <w:t xml:space="preserve">n active, appointed decision-maker can continue to exercise their legal authority, without being registered as a supporter. </w:t>
      </w:r>
    </w:p>
    <w:p w14:paraId="6A6BA7C1" w14:textId="77777777" w:rsidR="00A27729" w:rsidRPr="000F6CD1" w:rsidRDefault="00A27729" w:rsidP="00A27729">
      <w:pPr>
        <w:spacing w:before="240" w:after="240" w:line="240" w:lineRule="auto"/>
        <w:rPr>
          <w:i/>
          <w:iCs/>
        </w:rPr>
      </w:pPr>
      <w:r w:rsidRPr="000F6CD1">
        <w:rPr>
          <w:i/>
          <w:iCs/>
        </w:rPr>
        <w:t>Where there is no appointed decision maker</w:t>
      </w:r>
    </w:p>
    <w:p w14:paraId="4EFFABB7" w14:textId="5E374E73" w:rsidR="00A27729" w:rsidRPr="000F6CD1" w:rsidRDefault="00A27729" w:rsidP="00A27729">
      <w:pPr>
        <w:spacing w:before="240" w:after="240" w:line="240" w:lineRule="auto"/>
      </w:pPr>
      <w:r w:rsidRPr="000F6CD1">
        <w:t>My Aged Care understands that there may be times where an older person is no longer able to make decisions and has no one in place with legal authority to make decisions for them.</w:t>
      </w:r>
    </w:p>
    <w:p w14:paraId="53090AB5" w14:textId="21933BC1" w:rsidR="00A27729" w:rsidRPr="000F6CD1" w:rsidRDefault="00A27729" w:rsidP="00A27729">
      <w:pPr>
        <w:spacing w:before="240" w:after="240" w:line="240" w:lineRule="auto"/>
      </w:pPr>
      <w:r w:rsidRPr="000F6CD1">
        <w:t>While My Aged Care cannot give anyone decision-making powers to act on an older person's behalf, there are steps that those supporting them can take to enable an older person to receive the care and support they need.</w:t>
      </w:r>
    </w:p>
    <w:p w14:paraId="3BD20B20" w14:textId="1FE03FD6" w:rsidR="00A27729" w:rsidRPr="000F6CD1" w:rsidRDefault="00A27729" w:rsidP="00A27729">
      <w:pPr>
        <w:spacing w:before="240" w:after="240" w:line="240" w:lineRule="auto"/>
      </w:pPr>
      <w:r w:rsidRPr="000F6CD1">
        <w:t>One option is to submit an application for a guardianship and/or administration order with a state or territory court, board, panel or tribunal. They can conduct a hearing and decide if a person requires a legal decision maker. They can also decide who this person will be and what decisions they may make. Some state and territory processes also include emergency options to appoint a decision maker quickly if necessary.</w:t>
      </w:r>
    </w:p>
    <w:p w14:paraId="1FCCCDCC" w14:textId="50CA84D9" w:rsidR="00A27729" w:rsidRPr="000F6CD1" w:rsidRDefault="00A27729" w:rsidP="00614178">
      <w:pPr>
        <w:spacing w:before="240" w:after="240" w:line="240" w:lineRule="auto"/>
      </w:pPr>
      <w:r w:rsidRPr="000F6CD1">
        <w:t xml:space="preserve">Further information about appointed decision makers can be found on the My Aged Care website at </w:t>
      </w:r>
      <w:hyperlink r:id="rId93" w:history="1">
        <w:r w:rsidRPr="000F6CD1">
          <w:rPr>
            <w:rStyle w:val="Hyperlink"/>
          </w:rPr>
          <w:t>appointed decision makers</w:t>
        </w:r>
      </w:hyperlink>
      <w:r w:rsidRPr="000F6CD1">
        <w:t xml:space="preserve">. </w:t>
      </w:r>
    </w:p>
    <w:p w14:paraId="6E5A1CF9" w14:textId="77777777" w:rsidR="00FA75A4" w:rsidRPr="000F6CD1" w:rsidRDefault="00FA75A4" w:rsidP="0003231B">
      <w:pPr>
        <w:pStyle w:val="H4"/>
      </w:pPr>
      <w:r w:rsidRPr="000F6CD1">
        <w:t>Consent and registered supporter types</w:t>
      </w:r>
    </w:p>
    <w:p w14:paraId="121676F8" w14:textId="2E85A0C5" w:rsidR="00FA75A4" w:rsidRPr="000F6CD1" w:rsidRDefault="00FA75A4" w:rsidP="00614178">
      <w:pPr>
        <w:spacing w:before="240" w:after="240" w:line="240" w:lineRule="auto"/>
      </w:pPr>
      <w:r w:rsidRPr="000F6CD1">
        <w:t>In most cases, both the older person and their prospective supporter must consent to the relationship being registered. As part of obtaining consent, the older person will be asked</w:t>
      </w:r>
      <w:r w:rsidR="00D70924" w:rsidRPr="000F6CD1">
        <w:t>:</w:t>
      </w:r>
      <w:r w:rsidRPr="000F6CD1">
        <w:t xml:space="preserve"> </w:t>
      </w:r>
      <w:r w:rsidR="00D70924" w:rsidRPr="000F6CD1">
        <w:t>(1)</w:t>
      </w:r>
      <w:r w:rsidRPr="000F6CD1">
        <w:t xml:space="preserve"> if they would like to register a supporter</w:t>
      </w:r>
      <w:r w:rsidR="00D70924" w:rsidRPr="000F6CD1">
        <w:t>;</w:t>
      </w:r>
      <w:r w:rsidRPr="000F6CD1">
        <w:t xml:space="preserve"> and </w:t>
      </w:r>
      <w:r w:rsidR="00D70924" w:rsidRPr="000F6CD1">
        <w:t>(2)</w:t>
      </w:r>
      <w:r w:rsidRPr="000F6CD1">
        <w:t xml:space="preserve"> if they would like that supporter to be automatically given certain information and documents about them. This is information that may or must be provided to the older person under the Act.</w:t>
      </w:r>
      <w:r w:rsidR="00D70924" w:rsidRPr="000F6CD1">
        <w:t xml:space="preserve"> An older person should not feel pressured to register a supporter relationship. </w:t>
      </w:r>
    </w:p>
    <w:p w14:paraId="02DEBAF9" w14:textId="0FE96F9A" w:rsidR="00FA75A4" w:rsidRPr="000F6CD1" w:rsidRDefault="00FA75A4" w:rsidP="00614178">
      <w:pPr>
        <w:spacing w:before="240" w:after="240" w:line="240" w:lineRule="auto"/>
      </w:pPr>
      <w:r w:rsidRPr="000F6CD1">
        <w:t xml:space="preserve">​Active, appointed decision makers </w:t>
      </w:r>
      <w:r w:rsidR="008914FC" w:rsidRPr="000F6CD1">
        <w:t xml:space="preserve">recognised under the Act </w:t>
      </w:r>
      <w:r w:rsidRPr="000F6CD1">
        <w:t xml:space="preserve">can seek to register as an older person’s supporter without the consent of the older person. </w:t>
      </w:r>
    </w:p>
    <w:p w14:paraId="35B7A2BF" w14:textId="77777777" w:rsidR="00FA75A4" w:rsidRPr="000F6CD1" w:rsidRDefault="00FA75A4" w:rsidP="00614178">
      <w:pPr>
        <w:spacing w:before="240" w:after="240" w:line="240" w:lineRule="auto"/>
      </w:pPr>
      <w:r w:rsidRPr="000F6CD1">
        <w:t>This means there are three types under the umbrella term of ‘registered supporter’:​</w:t>
      </w:r>
    </w:p>
    <w:p w14:paraId="60EB4D62" w14:textId="77777777" w:rsidR="00FA75A4" w:rsidRPr="000F6CD1" w:rsidRDefault="00FA75A4" w:rsidP="008C05A2">
      <w:pPr>
        <w:numPr>
          <w:ilvl w:val="0"/>
          <w:numId w:val="50"/>
        </w:numPr>
        <w:spacing w:after="0" w:line="240" w:lineRule="auto"/>
        <w:ind w:hanging="294"/>
      </w:pPr>
      <w:r w:rsidRPr="000F6CD1">
        <w:rPr>
          <w:b/>
        </w:rPr>
        <w:t>Supporter</w:t>
      </w:r>
      <w:r w:rsidRPr="000F6CD1">
        <w:t xml:space="preserve"> ​– a person who the older person consented to registering as a supporter </w:t>
      </w:r>
      <w:r w:rsidRPr="000F6CD1">
        <w:rPr>
          <w:b/>
        </w:rPr>
        <w:t>and</w:t>
      </w:r>
      <w:r w:rsidRPr="000F6CD1">
        <w:t xml:space="preserve"> to be automatically given information and documents that may or must be given to the older person under the Act.</w:t>
      </w:r>
    </w:p>
    <w:p w14:paraId="3E048AD5" w14:textId="730B1F9A" w:rsidR="00FA75A4" w:rsidRPr="000F6CD1" w:rsidRDefault="00FA75A4" w:rsidP="008C05A2">
      <w:pPr>
        <w:numPr>
          <w:ilvl w:val="0"/>
          <w:numId w:val="50"/>
        </w:numPr>
        <w:spacing w:after="0" w:line="240" w:lineRule="auto"/>
        <w:ind w:hanging="294"/>
      </w:pPr>
      <w:r w:rsidRPr="000F6CD1">
        <w:rPr>
          <w:b/>
        </w:rPr>
        <w:t>Supporter lite</w:t>
      </w:r>
      <w:r w:rsidRPr="000F6CD1">
        <w:t> ​</w:t>
      </w:r>
      <w:r w:rsidR="00D70924" w:rsidRPr="000F6CD1">
        <w:t xml:space="preserve">​– </w:t>
      </w:r>
      <w:r w:rsidRPr="000F6CD1">
        <w:t xml:space="preserve">a person who the older person consented to registering as a supporter but </w:t>
      </w:r>
      <w:r w:rsidRPr="000F6CD1">
        <w:rPr>
          <w:b/>
        </w:rPr>
        <w:t>not</w:t>
      </w:r>
      <w:r w:rsidRPr="000F6CD1">
        <w:t xml:space="preserve"> to be automatically given information and documents that may or must be given to the older person under the Act.</w:t>
      </w:r>
    </w:p>
    <w:p w14:paraId="4F4EEC3D" w14:textId="1C63AFC6" w:rsidR="00FA75A4" w:rsidRPr="000F6CD1" w:rsidRDefault="00FA75A4" w:rsidP="008C05A2">
      <w:pPr>
        <w:numPr>
          <w:ilvl w:val="0"/>
          <w:numId w:val="50"/>
        </w:numPr>
        <w:spacing w:after="0" w:line="240" w:lineRule="auto"/>
        <w:ind w:hanging="294"/>
      </w:pPr>
      <w:r w:rsidRPr="000F6CD1">
        <w:rPr>
          <w:b/>
        </w:rPr>
        <w:t>Supporter guardian</w:t>
      </w:r>
      <w:r w:rsidRPr="000F6CD1">
        <w:t> </w:t>
      </w:r>
      <w:r w:rsidR="00D70924" w:rsidRPr="000F6CD1">
        <w:t xml:space="preserve">​– </w:t>
      </w:r>
      <w:r w:rsidRPr="000F6CD1">
        <w:t>a person who is registered by the System Governor as a supporter and who</w:t>
      </w:r>
      <w:r w:rsidR="002C6CE1" w:rsidRPr="000F6CD1">
        <w:t>, in becoming registered,</w:t>
      </w:r>
      <w:r w:rsidRPr="000F6CD1">
        <w:t xml:space="preserve"> </w:t>
      </w:r>
      <w:r w:rsidR="00E1006F" w:rsidRPr="000F6CD1">
        <w:t>relied on their authority as an</w:t>
      </w:r>
      <w:r w:rsidRPr="000F6CD1">
        <w:t xml:space="preserve"> active</w:t>
      </w:r>
      <w:r w:rsidR="00E1006F" w:rsidRPr="000F6CD1">
        <w:t>, appointed</w:t>
      </w:r>
      <w:r w:rsidRPr="000F6CD1">
        <w:t xml:space="preserve"> decision-mak</w:t>
      </w:r>
      <w:r w:rsidR="00E1006F" w:rsidRPr="000F6CD1">
        <w:t xml:space="preserve">er </w:t>
      </w:r>
      <w:r w:rsidRPr="000F6CD1">
        <w:t xml:space="preserve">for the older person </w:t>
      </w:r>
      <w:r w:rsidR="00E1006F" w:rsidRPr="000F6CD1">
        <w:t>under a</w:t>
      </w:r>
      <w:r w:rsidRPr="000F6CD1">
        <w:t xml:space="preserve"> Commonwealth, state or territory arrangement.</w:t>
      </w:r>
    </w:p>
    <w:p w14:paraId="21C9B85A" w14:textId="37D75F6B" w:rsidR="00FA75A4" w:rsidRPr="000F6CD1" w:rsidRDefault="00EE225E" w:rsidP="00EE225E">
      <w:r>
        <w:br w:type="page"/>
      </w:r>
      <w:r w:rsidR="00FA75A4" w:rsidRPr="000F6CD1">
        <w:lastRenderedPageBreak/>
        <w:t> The following table summarises these types and the consent requirements:</w:t>
      </w:r>
    </w:p>
    <w:p w14:paraId="52B22684" w14:textId="25FC4071" w:rsidR="00FA75A4" w:rsidRPr="000F6CD1" w:rsidRDefault="00FA75A4" w:rsidP="00614178">
      <w:pPr>
        <w:pStyle w:val="Caption"/>
        <w:spacing w:before="240" w:after="240"/>
      </w:pPr>
      <w:r w:rsidRPr="000F6CD1">
        <w:t>Table 1</w:t>
      </w:r>
      <w:r w:rsidR="00234B86" w:rsidRPr="000F6CD1">
        <w:t>3</w:t>
      </w:r>
      <w:r w:rsidRPr="000F6CD1">
        <w:t xml:space="preserve">. Supporter relationships and consent requirements </w:t>
      </w:r>
    </w:p>
    <w:p w14:paraId="177C7D48" w14:textId="77777777" w:rsidR="00FA75A4" w:rsidRPr="000F6CD1" w:rsidRDefault="00FA75A4" w:rsidP="00614178">
      <w:pPr>
        <w:spacing w:before="240" w:after="240" w:line="240" w:lineRule="auto"/>
      </w:pPr>
      <w:r w:rsidRPr="000F6CD1">
        <w:rPr>
          <w:noProof/>
        </w:rPr>
        <w:drawing>
          <wp:inline distT="0" distB="0" distL="0" distR="0" wp14:anchorId="11B14FD5" wp14:editId="5743E8AE">
            <wp:extent cx="5443373" cy="4225158"/>
            <wp:effectExtent l="0" t="0" r="5080" b="4445"/>
            <wp:docPr id="652524551" name="Picture 652524551" descr="A table showing supporter relationships and consen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4551" name="Picture 652524551" descr="A table showing supporter relationships and consent requirements. "/>
                    <pic:cNvPicPr/>
                  </pic:nvPicPr>
                  <pic:blipFill>
                    <a:blip r:embed="rId94">
                      <a:extLst>
                        <a:ext uri="{28A0092B-C50C-407E-A947-70E740481C1C}">
                          <a14:useLocalDpi xmlns:a14="http://schemas.microsoft.com/office/drawing/2010/main" val="0"/>
                        </a:ext>
                      </a:extLst>
                    </a:blip>
                    <a:stretch>
                      <a:fillRect/>
                    </a:stretch>
                  </pic:blipFill>
                  <pic:spPr>
                    <a:xfrm>
                      <a:off x="0" y="0"/>
                      <a:ext cx="5458104" cy="4236592"/>
                    </a:xfrm>
                    <a:prstGeom prst="rect">
                      <a:avLst/>
                    </a:prstGeom>
                  </pic:spPr>
                </pic:pic>
              </a:graphicData>
            </a:graphic>
          </wp:inline>
        </w:drawing>
      </w:r>
    </w:p>
    <w:p w14:paraId="1DDEF924" w14:textId="0300D3C9" w:rsidR="00FA75A4" w:rsidRPr="000F6CD1" w:rsidRDefault="00FA75A4" w:rsidP="00614178">
      <w:pPr>
        <w:spacing w:before="240" w:after="240" w:line="240" w:lineRule="auto"/>
      </w:pPr>
      <w:r w:rsidRPr="000F6CD1">
        <w:t>The labels ‘supporter</w:t>
      </w:r>
      <w:r w:rsidR="0056291A" w:rsidRPr="000F6CD1">
        <w:t>,’</w:t>
      </w:r>
      <w:r w:rsidRPr="000F6CD1">
        <w:t xml:space="preserve"> ‘supporter lite’ and ‘supporter guardian’ may be referred to in the My Aged Care Assessor Portal and App during the supporter registration process. For example, if an older person indicates they consent to registering a supporter, but not to that supporter automatically being given certain information about them, the My Aged Care Assessor Portal or App will note that a supporter lite relationship is being progressed. These labels will also be visible in the My Aged Care Assessor Portal or App to indicate the type of relationship that was registered.</w:t>
      </w:r>
    </w:p>
    <w:p w14:paraId="0E08A695" w14:textId="52B4FE8D" w:rsidR="00FA75A4" w:rsidRPr="000F6CD1" w:rsidRDefault="00FA75A4" w:rsidP="00614178">
      <w:pPr>
        <w:spacing w:before="240" w:after="240" w:line="240" w:lineRule="auto"/>
      </w:pPr>
      <w:r w:rsidRPr="000F6CD1">
        <w:t xml:space="preserve">An active, appointed decision-maker may choose not to register as a supporter, but to otherwise make themselves known to My Aged Care. Requests to do so should be escalated to the departmental </w:t>
      </w:r>
      <w:r w:rsidR="003160A4" w:rsidRPr="000F6CD1">
        <w:t xml:space="preserve">delegate </w:t>
      </w:r>
      <w:r w:rsidRPr="000F6CD1">
        <w:t xml:space="preserve">responsible for supporters, with </w:t>
      </w:r>
      <w:r w:rsidR="003160A4" w:rsidRPr="000F6CD1">
        <w:t xml:space="preserve">proof </w:t>
      </w:r>
      <w:r w:rsidRPr="000F6CD1">
        <w:t xml:space="preserve">that </w:t>
      </w:r>
      <w:r w:rsidR="003160A4" w:rsidRPr="000F6CD1">
        <w:t>demonstrates</w:t>
      </w:r>
      <w:r w:rsidRPr="000F6CD1">
        <w:t xml:space="preserve"> the appointed decision maker has decision-making authority for the older person under a Commonwealth, state or territory arrangement and that their authority is active.</w:t>
      </w:r>
    </w:p>
    <w:p w14:paraId="10D62AA7" w14:textId="77777777" w:rsidR="00A3097F" w:rsidRPr="000F6CD1" w:rsidRDefault="00A3097F" w:rsidP="00A3097F">
      <w:pPr>
        <w:spacing w:after="0" w:line="240" w:lineRule="auto"/>
      </w:pPr>
      <w:r w:rsidRPr="000F6CD1">
        <w:rPr>
          <w:b/>
          <w:bCs/>
        </w:rPr>
        <w:t>Duties</w:t>
      </w:r>
    </w:p>
    <w:p w14:paraId="4A1613BB" w14:textId="77777777" w:rsidR="00A3097F" w:rsidRPr="000F6CD1" w:rsidRDefault="00A3097F" w:rsidP="00A3097F">
      <w:pPr>
        <w:spacing w:after="0" w:line="240" w:lineRule="auto"/>
        <w:rPr>
          <w:b/>
          <w:bCs/>
        </w:rPr>
      </w:pPr>
    </w:p>
    <w:p w14:paraId="13CCED47" w14:textId="3662B191" w:rsidR="00A3097F" w:rsidRPr="000F6CD1" w:rsidRDefault="00A3097F" w:rsidP="00A3097F">
      <w:pPr>
        <w:spacing w:after="0" w:line="240" w:lineRule="auto"/>
        <w:rPr>
          <w:b/>
          <w:bCs/>
        </w:rPr>
      </w:pPr>
      <w:r w:rsidRPr="000F6CD1">
        <w:t xml:space="preserve">All registered supporters have duties under the Act that they must comply with. Registered supporters must act honestly, diligently, and in good faith when undertaking these duties. These duties are intended to promote an older person’s safety, rights and will and preferences. </w:t>
      </w:r>
    </w:p>
    <w:p w14:paraId="79323FFE" w14:textId="54C3A73F" w:rsidR="00A3097F" w:rsidRPr="000F6CD1" w:rsidRDefault="00EE225E" w:rsidP="00EE225E">
      <w:pPr>
        <w:rPr>
          <w:b/>
          <w:bCs/>
        </w:rPr>
      </w:pPr>
      <w:r>
        <w:rPr>
          <w:b/>
          <w:bCs/>
        </w:rPr>
        <w:br w:type="page"/>
      </w:r>
    </w:p>
    <w:p w14:paraId="032F104E" w14:textId="2A785206" w:rsidR="00A3097F" w:rsidRPr="000F6CD1" w:rsidRDefault="00A3097F" w:rsidP="00A3097F">
      <w:pPr>
        <w:spacing w:after="0" w:line="240" w:lineRule="auto"/>
      </w:pPr>
      <w:r w:rsidRPr="000F6CD1">
        <w:lastRenderedPageBreak/>
        <w:t xml:space="preserve">The duties include that registered supporters must: </w:t>
      </w:r>
    </w:p>
    <w:p w14:paraId="3F912653" w14:textId="77777777" w:rsidR="00A3097F" w:rsidRPr="000F6CD1" w:rsidRDefault="00A3097F" w:rsidP="00A3097F">
      <w:pPr>
        <w:numPr>
          <w:ilvl w:val="0"/>
          <w:numId w:val="527"/>
        </w:numPr>
        <w:spacing w:after="0" w:line="240" w:lineRule="auto"/>
      </w:pPr>
      <w:r w:rsidRPr="000F6CD1">
        <w:t xml:space="preserve">Act in a way that promotes the will, preferences, and personal, cultural, and social wellbeing of the older person they are supporting. </w:t>
      </w:r>
    </w:p>
    <w:p w14:paraId="3E781B84" w14:textId="77777777" w:rsidR="00A3097F" w:rsidRPr="000F6CD1" w:rsidRDefault="00A3097F" w:rsidP="00A3097F">
      <w:pPr>
        <w:numPr>
          <w:ilvl w:val="0"/>
          <w:numId w:val="527"/>
        </w:numPr>
        <w:spacing w:after="0" w:line="240" w:lineRule="auto"/>
      </w:pPr>
      <w:r w:rsidRPr="000F6CD1">
        <w:t>Act honestly, diligently and in good faith.</w:t>
      </w:r>
    </w:p>
    <w:p w14:paraId="20C46DDF" w14:textId="77777777" w:rsidR="00A3097F" w:rsidRPr="000F6CD1" w:rsidRDefault="00A3097F" w:rsidP="00A3097F">
      <w:pPr>
        <w:numPr>
          <w:ilvl w:val="0"/>
          <w:numId w:val="527"/>
        </w:numPr>
        <w:spacing w:after="0" w:line="240" w:lineRule="auto"/>
      </w:pPr>
      <w:r w:rsidRPr="000F6CD1">
        <w:t>Support the older person only to the extent necessary for the older person to do the thing themselves.</w:t>
      </w:r>
    </w:p>
    <w:p w14:paraId="2AB7D277" w14:textId="77777777" w:rsidR="00A3097F" w:rsidRPr="000F6CD1" w:rsidRDefault="00A3097F" w:rsidP="00A3097F">
      <w:pPr>
        <w:numPr>
          <w:ilvl w:val="0"/>
          <w:numId w:val="527"/>
        </w:numPr>
        <w:spacing w:after="0" w:line="240" w:lineRule="auto"/>
      </w:pPr>
      <w:r w:rsidRPr="000F6CD1">
        <w:t>Apply their best endeavours to maintain the ability of the older person to make their own decisions.</w:t>
      </w:r>
    </w:p>
    <w:p w14:paraId="6911D986" w14:textId="77777777" w:rsidR="00A3097F" w:rsidRPr="000F6CD1" w:rsidRDefault="00A3097F" w:rsidP="00A3097F">
      <w:pPr>
        <w:numPr>
          <w:ilvl w:val="0"/>
          <w:numId w:val="527"/>
        </w:numPr>
        <w:spacing w:after="0" w:line="240" w:lineRule="auto"/>
      </w:pPr>
      <w:r w:rsidRPr="000F6CD1">
        <w:t xml:space="preserve">Declare, and avoid or manage, conflicts of interest. </w:t>
      </w:r>
    </w:p>
    <w:p w14:paraId="6CD2CFA8" w14:textId="77777777" w:rsidR="00A3097F" w:rsidRPr="000F6CD1" w:rsidRDefault="00A3097F" w:rsidP="00A3097F">
      <w:pPr>
        <w:spacing w:after="0" w:line="240" w:lineRule="auto"/>
      </w:pPr>
    </w:p>
    <w:p w14:paraId="6E754209" w14:textId="77777777" w:rsidR="00A3097F" w:rsidRPr="000F6CD1" w:rsidRDefault="00A3097F" w:rsidP="00A3097F">
      <w:pPr>
        <w:spacing w:after="0" w:line="240" w:lineRule="auto"/>
      </w:pPr>
      <w:r w:rsidRPr="000F6CD1">
        <w:t xml:space="preserve">These duties apply when a person is acting as a registered supporter, including when they are requesting, accessing, receiving or communicating information for the older person to support the older person to make or communicate an aged care decision. </w:t>
      </w:r>
    </w:p>
    <w:p w14:paraId="23734397" w14:textId="77777777" w:rsidR="00A3097F" w:rsidRPr="000F6CD1" w:rsidRDefault="00A3097F" w:rsidP="00A3097F">
      <w:pPr>
        <w:spacing w:after="0" w:line="240" w:lineRule="auto"/>
      </w:pPr>
    </w:p>
    <w:p w14:paraId="17F4B620" w14:textId="35D7A7F5" w:rsidR="00A3097F" w:rsidRPr="000F6CD1" w:rsidRDefault="00552DFB" w:rsidP="00A3097F">
      <w:pPr>
        <w:spacing w:after="0" w:line="240" w:lineRule="auto"/>
      </w:pPr>
      <w:r w:rsidRPr="000F6CD1">
        <w:rPr>
          <w:b/>
          <w:bCs/>
        </w:rPr>
        <w:t>Registered supporter</w:t>
      </w:r>
      <w:r w:rsidR="006F7861" w:rsidRPr="000F6CD1">
        <w:rPr>
          <w:b/>
          <w:bCs/>
        </w:rPr>
        <w:t xml:space="preserve"> </w:t>
      </w:r>
      <w:r w:rsidR="00A3097F" w:rsidRPr="000F6CD1">
        <w:rPr>
          <w:b/>
          <w:bCs/>
        </w:rPr>
        <w:t>Conflicts of interest</w:t>
      </w:r>
    </w:p>
    <w:p w14:paraId="7271EEBB" w14:textId="77777777" w:rsidR="00A3097F" w:rsidRPr="000F6CD1" w:rsidRDefault="00A3097F" w:rsidP="00A3097F">
      <w:pPr>
        <w:spacing w:after="0" w:line="240" w:lineRule="auto"/>
        <w:rPr>
          <w:b/>
          <w:bCs/>
        </w:rPr>
      </w:pPr>
    </w:p>
    <w:p w14:paraId="21FB9AEE" w14:textId="31394760" w:rsidR="00A3097F" w:rsidRPr="000F6CD1" w:rsidRDefault="00A3097F" w:rsidP="00A3097F">
      <w:pPr>
        <w:spacing w:after="0" w:line="240" w:lineRule="auto"/>
      </w:pPr>
      <w:r w:rsidRPr="000F6CD1">
        <w:t xml:space="preserve">Registered supporters have a duty to avoid or manage conflicts of interest they have in their role as a registered supporter, and to inform the System Governor of conflicts as they arise. </w:t>
      </w:r>
    </w:p>
    <w:p w14:paraId="4C7363DE" w14:textId="77777777" w:rsidR="00A3097F" w:rsidRPr="000F6CD1" w:rsidRDefault="00A3097F" w:rsidP="00A3097F">
      <w:pPr>
        <w:spacing w:after="0" w:line="240" w:lineRule="auto"/>
      </w:pPr>
    </w:p>
    <w:p w14:paraId="01CB1976" w14:textId="2C48E730" w:rsidR="00A3097F" w:rsidRPr="000F6CD1" w:rsidRDefault="00A3097F" w:rsidP="00A3097F">
      <w:pPr>
        <w:spacing w:after="0" w:line="240" w:lineRule="auto"/>
      </w:pPr>
      <w:r w:rsidRPr="000F6CD1">
        <w:t>A conflict of interest arises if a registered supporter’s personal or professional interests or obligations interfere with, could compromise, or may influence the supporter’s ability to carry out their role under the Act. This could include a conflict between the older person’s interests and the registered supporter’s interests. A conflict of interest can be real, potential or perceived. A conflict of interest that cannot be avoided or managed can call into question the registered supporter’s ability to be impartial, selfless and perform their role under the Act.</w:t>
      </w:r>
    </w:p>
    <w:p w14:paraId="679C873A" w14:textId="77777777" w:rsidR="00A3097F" w:rsidRPr="000F6CD1" w:rsidRDefault="00A3097F" w:rsidP="00A3097F">
      <w:pPr>
        <w:spacing w:after="0" w:line="240" w:lineRule="auto"/>
      </w:pPr>
    </w:p>
    <w:p w14:paraId="4CAB62DA" w14:textId="77777777" w:rsidR="00B44569" w:rsidRPr="000F6CD1" w:rsidRDefault="00B44569" w:rsidP="00A3097F">
      <w:pPr>
        <w:spacing w:after="0" w:line="240" w:lineRule="auto"/>
      </w:pPr>
    </w:p>
    <w:tbl>
      <w:tblPr>
        <w:tblW w:w="0" w:type="auto"/>
        <w:tblLook w:val="04A0" w:firstRow="1" w:lastRow="0" w:firstColumn="1" w:lastColumn="0" w:noHBand="0" w:noVBand="1"/>
      </w:tblPr>
      <w:tblGrid>
        <w:gridCol w:w="982"/>
        <w:gridCol w:w="7784"/>
      </w:tblGrid>
      <w:tr w:rsidR="00462172" w:rsidRPr="000F6CD1" w14:paraId="69B87E2B" w14:textId="77777777" w:rsidTr="00C42194">
        <w:trPr>
          <w:trHeight w:val="1023"/>
        </w:trPr>
        <w:tc>
          <w:tcPr>
            <w:tcW w:w="982" w:type="dxa"/>
          </w:tcPr>
          <w:p w14:paraId="3AFEA404" w14:textId="77777777" w:rsidR="00462172" w:rsidRPr="000F6CD1" w:rsidRDefault="00462172">
            <w:pPr>
              <w:spacing w:before="240" w:after="240" w:line="240" w:lineRule="auto"/>
            </w:pPr>
            <w:r w:rsidRPr="000F6CD1">
              <w:rPr>
                <w:noProof/>
              </w:rPr>
              <w:drawing>
                <wp:inline distT="0" distB="0" distL="0" distR="0" wp14:anchorId="65CD2D8E" wp14:editId="0AF98288">
                  <wp:extent cx="383111" cy="381000"/>
                  <wp:effectExtent l="0" t="0" r="0" b="0"/>
                  <wp:docPr id="1654356788" name="Picture 1654356788"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6788" name="Picture 1654356788"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784" w:type="dxa"/>
          </w:tcPr>
          <w:p w14:paraId="55E70F3C" w14:textId="7150F284" w:rsidR="00462172" w:rsidRPr="000F6CD1" w:rsidRDefault="00D40E66">
            <w:pPr>
              <w:spacing w:before="240" w:after="240" w:line="240" w:lineRule="auto"/>
            </w:pPr>
            <w:hyperlink r:id="rId95" w:history="1">
              <w:r w:rsidRPr="000F6CD1">
                <w:rPr>
                  <w:rStyle w:val="Hyperlink"/>
                </w:rPr>
                <w:t>Conflicts of interest policy | Australian Government Department of Health, Disability and Ageing</w:t>
              </w:r>
            </w:hyperlink>
          </w:p>
          <w:p w14:paraId="1C404C36" w14:textId="7D43D30D" w:rsidR="00462172" w:rsidRPr="000F6CD1" w:rsidRDefault="00462172">
            <w:pPr>
              <w:spacing w:before="240" w:after="240" w:line="240" w:lineRule="auto"/>
            </w:pPr>
          </w:p>
        </w:tc>
      </w:tr>
    </w:tbl>
    <w:p w14:paraId="3DB97C34" w14:textId="77777777" w:rsidR="00A3097F" w:rsidRPr="000F6CD1" w:rsidRDefault="00A3097F" w:rsidP="00A3097F">
      <w:pPr>
        <w:spacing w:after="0" w:line="240" w:lineRule="auto"/>
      </w:pPr>
    </w:p>
    <w:p w14:paraId="0FDEA7E4" w14:textId="77777777" w:rsidR="00A3097F" w:rsidRPr="000F6CD1" w:rsidRDefault="00A3097F" w:rsidP="00A3097F">
      <w:pPr>
        <w:spacing w:after="0" w:line="240" w:lineRule="auto"/>
      </w:pPr>
      <w:r w:rsidRPr="000F6CD1">
        <w:rPr>
          <w:b/>
          <w:bCs/>
        </w:rPr>
        <w:t>Acting in line with the older person’s known will and preferences</w:t>
      </w:r>
    </w:p>
    <w:p w14:paraId="62378F99" w14:textId="77777777" w:rsidR="00A3097F" w:rsidRPr="000F6CD1" w:rsidRDefault="00A3097F" w:rsidP="00A3097F">
      <w:pPr>
        <w:spacing w:after="0" w:line="240" w:lineRule="auto"/>
        <w:rPr>
          <w:b/>
        </w:rPr>
      </w:pPr>
    </w:p>
    <w:p w14:paraId="088CCF68" w14:textId="77777777" w:rsidR="00A3097F" w:rsidRPr="000F6CD1" w:rsidRDefault="00A3097F" w:rsidP="00A3097F">
      <w:pPr>
        <w:spacing w:after="0" w:line="240" w:lineRule="auto"/>
      </w:pPr>
      <w:r w:rsidRPr="000F6CD1">
        <w:t xml:space="preserve">A registered supporter must act in line with an older person’s known will and preferences. This includes when a registered supporter is: </w:t>
      </w:r>
    </w:p>
    <w:p w14:paraId="1CFD6EB3" w14:textId="77777777" w:rsidR="00A3097F" w:rsidRPr="000F6CD1" w:rsidRDefault="00A3097F" w:rsidP="00A3097F">
      <w:pPr>
        <w:numPr>
          <w:ilvl w:val="0"/>
          <w:numId w:val="528"/>
        </w:numPr>
        <w:spacing w:after="0" w:line="240" w:lineRule="auto"/>
      </w:pPr>
      <w:r w:rsidRPr="000F6CD1">
        <w:t xml:space="preserve">requesting, accessing, or receiving information or documents, and </w:t>
      </w:r>
    </w:p>
    <w:p w14:paraId="418C790E" w14:textId="77777777" w:rsidR="00A3097F" w:rsidRPr="000F6CD1" w:rsidRDefault="00A3097F" w:rsidP="00A3097F">
      <w:pPr>
        <w:numPr>
          <w:ilvl w:val="0"/>
          <w:numId w:val="528"/>
        </w:numPr>
        <w:spacing w:after="0" w:line="240" w:lineRule="auto"/>
      </w:pPr>
      <w:r w:rsidRPr="000F6CD1">
        <w:t xml:space="preserve">communicating information, including the will, preferences and decisions of the older person. </w:t>
      </w:r>
    </w:p>
    <w:p w14:paraId="450CF87C" w14:textId="77777777" w:rsidR="00A3097F" w:rsidRPr="000F6CD1" w:rsidRDefault="00A3097F" w:rsidP="00A3097F">
      <w:pPr>
        <w:spacing w:after="0" w:line="240" w:lineRule="auto"/>
      </w:pPr>
    </w:p>
    <w:p w14:paraId="1DA58431" w14:textId="77777777" w:rsidR="00A3097F" w:rsidRPr="000F6CD1" w:rsidRDefault="00A3097F" w:rsidP="00A3097F">
      <w:pPr>
        <w:spacing w:after="0" w:line="240" w:lineRule="auto"/>
      </w:pPr>
      <w:r w:rsidRPr="000F6CD1">
        <w:t xml:space="preserve">The role of a registered supporter is </w:t>
      </w:r>
      <w:r w:rsidRPr="000F6CD1">
        <w:rPr>
          <w:u w:val="single"/>
        </w:rPr>
        <w:t>not</w:t>
      </w:r>
      <w:r w:rsidRPr="000F6CD1">
        <w:t xml:space="preserve"> to make decisions on behalf of an older person, even if that decision is based on the older person’s known or likely will and preferences. </w:t>
      </w:r>
    </w:p>
    <w:p w14:paraId="71CD08CA" w14:textId="77777777" w:rsidR="00A3097F" w:rsidRPr="000F6CD1" w:rsidRDefault="00A3097F" w:rsidP="00A3097F">
      <w:pPr>
        <w:spacing w:after="0" w:line="240" w:lineRule="auto"/>
      </w:pPr>
    </w:p>
    <w:p w14:paraId="61D7280A" w14:textId="77777777" w:rsidR="00A3097F" w:rsidRPr="000F6CD1" w:rsidRDefault="00A3097F" w:rsidP="00A3097F">
      <w:pPr>
        <w:spacing w:after="0" w:line="240" w:lineRule="auto"/>
      </w:pPr>
      <w:r w:rsidRPr="000F6CD1">
        <w:t>An older person’s known will and preferences are what the older person currently wants, now or in the future. The only way to know an older person’s will and preferences is to communicate with them. This means that a registered supporter needs to communicate with the older person about how they want to be supported with their decision-making and what their current will and preferences are.</w:t>
      </w:r>
    </w:p>
    <w:p w14:paraId="1627EED0" w14:textId="77777777" w:rsidR="00A3097F" w:rsidRPr="000F6CD1" w:rsidRDefault="00A3097F" w:rsidP="00A3097F">
      <w:pPr>
        <w:spacing w:after="0" w:line="240" w:lineRule="auto"/>
      </w:pPr>
    </w:p>
    <w:p w14:paraId="3632E7D7" w14:textId="62BDEAB8" w:rsidR="00A3097F" w:rsidRPr="000F6CD1" w:rsidRDefault="00A3097F" w:rsidP="00FF6A17">
      <w:pPr>
        <w:spacing w:after="0" w:line="240" w:lineRule="auto"/>
      </w:pPr>
      <w:r w:rsidRPr="000F6CD1">
        <w:t>If a registered supporter seeks to make a</w:t>
      </w:r>
      <w:r w:rsidR="004245A4" w:rsidRPr="000F6CD1">
        <w:t>n aged care</w:t>
      </w:r>
      <w:r w:rsidRPr="000F6CD1">
        <w:t xml:space="preserve"> decision on behalf of an older person, they can only do so as an active, appointed decision maker</w:t>
      </w:r>
      <w:r w:rsidR="004245A4" w:rsidRPr="000F6CD1">
        <w:t xml:space="preserve"> recognised under the </w:t>
      </w:r>
      <w:r w:rsidR="004245A4" w:rsidRPr="000F6CD1">
        <w:lastRenderedPageBreak/>
        <w:t>Act</w:t>
      </w:r>
      <w:r w:rsidRPr="000F6CD1">
        <w:t xml:space="preserve"> (if that decision is within the scope of their active, legal authority), not as a registered supporter. Active, appointed decision makers must act in accordance with the conditions and requirements under their relevant Commonwealth, state or territory arrangement. These arrangements will have specific requirements relating to how and when decision-making authority can be exercised.</w:t>
      </w:r>
    </w:p>
    <w:p w14:paraId="6DDDAED8" w14:textId="77777777" w:rsidR="00FA75A4" w:rsidRPr="000F6CD1" w:rsidRDefault="00FA75A4" w:rsidP="0003231B">
      <w:pPr>
        <w:pStyle w:val="H4"/>
      </w:pPr>
      <w:r w:rsidRPr="000F6CD1">
        <w:t xml:space="preserve">Suspension and cancellation of a registered supporter </w:t>
      </w:r>
    </w:p>
    <w:p w14:paraId="6C89932C" w14:textId="77777777" w:rsidR="00FA75A4" w:rsidRPr="000F6CD1" w:rsidRDefault="00FA75A4" w:rsidP="00614178">
      <w:pPr>
        <w:spacing w:before="240" w:after="240" w:line="240" w:lineRule="auto"/>
      </w:pPr>
      <w:r w:rsidRPr="000F6CD1">
        <w:t xml:space="preserve">Suspension and cancellation are new relationship statuses for registered supporters. While suspended, a supporter’s registration has no effect. This means that an assessor cannot engage with that person as a registered supporter. Cancellation can follow suspension or can occur without a prior suspension, depending on the circumstances. If cancelled, a supporter’s registration has no effect, and an assessor cannot engage with that person as a registered supporter. </w:t>
      </w:r>
    </w:p>
    <w:p w14:paraId="74DFDED1" w14:textId="183EBD1D" w:rsidR="00FA75A4" w:rsidRPr="000F6CD1" w:rsidRDefault="00FA75A4" w:rsidP="00614178">
      <w:pPr>
        <w:spacing w:before="240" w:after="240" w:line="240" w:lineRule="auto"/>
      </w:pPr>
      <w:r w:rsidRPr="000F6CD1">
        <w:t xml:space="preserve">The processes of suspension and cancellation are detailed in the </w:t>
      </w:r>
      <w:r w:rsidR="007836DF" w:rsidRPr="000F6CD1">
        <w:t>Act</w:t>
      </w:r>
      <w:r w:rsidRPr="000F6CD1">
        <w:t xml:space="preserve"> and intend to promote the safety and wishes of an older person. More information on these processes can be found on the </w:t>
      </w:r>
      <w:hyperlink r:id="rId96" w:history="1">
        <w:r w:rsidRPr="000F6CD1">
          <w:rPr>
            <w:rStyle w:val="Hyperlink"/>
          </w:rPr>
          <w:t>department’s website</w:t>
        </w:r>
      </w:hyperlink>
      <w:r w:rsidRPr="000F6CD1">
        <w:t xml:space="preserve">. </w:t>
      </w:r>
    </w:p>
    <w:p w14:paraId="2B2BF25E" w14:textId="411EE583" w:rsidR="00137B48" w:rsidRPr="000F6CD1" w:rsidRDefault="00137B48" w:rsidP="00463691">
      <w:pPr>
        <w:spacing w:before="240" w:after="240" w:line="240" w:lineRule="auto"/>
      </w:pPr>
      <w:r w:rsidRPr="000F6CD1">
        <w:t>While assessors cannot suspend the registration of a supporter, a</w:t>
      </w:r>
      <w:r w:rsidR="00FA75A4" w:rsidRPr="000F6CD1">
        <w:t xml:space="preserve">ssessors </w:t>
      </w:r>
      <w:r w:rsidRPr="000F6CD1">
        <w:t>do</w:t>
      </w:r>
      <w:r w:rsidR="00FA75A4" w:rsidRPr="000F6CD1">
        <w:t xml:space="preserve"> have a role in raising or handling complaints</w:t>
      </w:r>
      <w:r w:rsidR="00463691" w:rsidRPr="000F6CD1">
        <w:t xml:space="preserve">. </w:t>
      </w:r>
      <w:r w:rsidRPr="000F6CD1">
        <w:t xml:space="preserve">If </w:t>
      </w:r>
      <w:r w:rsidR="00463691" w:rsidRPr="000F6CD1">
        <w:t>an assessor</w:t>
      </w:r>
      <w:r w:rsidRPr="000F6CD1">
        <w:t xml:space="preserve"> believe</w:t>
      </w:r>
      <w:r w:rsidR="00463691" w:rsidRPr="000F6CD1">
        <w:t>s</w:t>
      </w:r>
      <w:r w:rsidRPr="000F6CD1">
        <w:t xml:space="preserve"> that a registered supporter is not acting in compliance with their duties under the Act or is otherwise concerned about the basis for which a person was registered by the System Governor, they are encouraged to raise this with the System Governor team responsible for registered supporters. This can be done using the </w:t>
      </w:r>
      <w:hyperlink r:id="rId97" w:anchor="make-a-complaint-or-submit-a-document" w:history="1">
        <w:r w:rsidRPr="000F6CD1">
          <w:rPr>
            <w:rStyle w:val="Hyperlink"/>
          </w:rPr>
          <w:t>online form</w:t>
        </w:r>
      </w:hyperlink>
      <w:r w:rsidRPr="000F6CD1">
        <w:t xml:space="preserve"> for making a submission to the System Governor responsible for supporters.</w:t>
      </w:r>
    </w:p>
    <w:p w14:paraId="0FFCA9B5" w14:textId="77777777" w:rsidR="00FA75A4" w:rsidRPr="000F6CD1" w:rsidRDefault="00FA75A4" w:rsidP="0003231B">
      <w:pPr>
        <w:pStyle w:val="H4"/>
      </w:pPr>
      <w:r w:rsidRPr="000F6CD1">
        <w:t>No requirement to register a supporter</w:t>
      </w:r>
    </w:p>
    <w:p w14:paraId="6B073F92" w14:textId="77777777" w:rsidR="00FA75A4" w:rsidRPr="000F6CD1" w:rsidRDefault="00FA75A4" w:rsidP="00614178">
      <w:pPr>
        <w:spacing w:before="240" w:after="240" w:line="240" w:lineRule="auto"/>
      </w:pPr>
      <w:r w:rsidRPr="000F6CD1">
        <w:t>Not every older person will want or need a registered supporter. Carers and other significant people in an older person’s life continue to play an important role in supporting an older person, without needing to be registered supporters.</w:t>
      </w:r>
    </w:p>
    <w:p w14:paraId="101EB46F" w14:textId="77777777" w:rsidR="00FA75A4" w:rsidRPr="000F6CD1" w:rsidRDefault="00FA75A4" w:rsidP="0003231B">
      <w:pPr>
        <w:pStyle w:val="H4"/>
      </w:pPr>
      <w:r w:rsidRPr="000F6CD1">
        <w:t>Transitioning to the registered supporter role</w:t>
      </w:r>
    </w:p>
    <w:p w14:paraId="04FCCB7D" w14:textId="7D8FA92F" w:rsidR="00FA75A4" w:rsidRPr="000F6CD1" w:rsidRDefault="00FA75A4" w:rsidP="00614178">
      <w:pPr>
        <w:spacing w:before="240" w:after="240" w:line="240" w:lineRule="auto"/>
      </w:pPr>
      <w:r w:rsidRPr="000F6CD1">
        <w:t xml:space="preserve">Most representative relationships in My Aged Care </w:t>
      </w:r>
      <w:r w:rsidR="00BA619A" w:rsidRPr="000F6CD1">
        <w:t>went</w:t>
      </w:r>
      <w:r w:rsidRPr="000F6CD1">
        <w:t xml:space="preserve"> through changes to come under the Act. If an older person </w:t>
      </w:r>
      <w:r w:rsidR="00BA619A" w:rsidRPr="000F6CD1">
        <w:t xml:space="preserve">had </w:t>
      </w:r>
      <w:r w:rsidRPr="000F6CD1">
        <w:t>a regular or authorised representative active in My Aged Care on 31 October 2025, they bec</w:t>
      </w:r>
      <w:r w:rsidR="00BA619A" w:rsidRPr="000F6CD1">
        <w:t>a</w:t>
      </w:r>
      <w:r w:rsidRPr="000F6CD1">
        <w:t>me a registered supporter under the Act</w:t>
      </w:r>
      <w:r w:rsidRPr="000F6CD1">
        <w:rPr>
          <w:i/>
        </w:rPr>
        <w:t xml:space="preserve"> </w:t>
      </w:r>
      <w:r w:rsidRPr="000F6CD1">
        <w:t>on 1 November 2025. This ensure</w:t>
      </w:r>
      <w:r w:rsidR="00BA619A" w:rsidRPr="000F6CD1">
        <w:t>d</w:t>
      </w:r>
      <w:r w:rsidRPr="000F6CD1">
        <w:t xml:space="preserve"> that older people seeking or receiving aged care services continue</w:t>
      </w:r>
      <w:r w:rsidR="001D768C" w:rsidRPr="000F6CD1">
        <w:t>d</w:t>
      </w:r>
      <w:r w:rsidRPr="000F6CD1">
        <w:t xml:space="preserve"> to have decision-making support available to them.</w:t>
      </w:r>
      <w:r w:rsidR="00DF455D" w:rsidRPr="000F6CD1">
        <w:t xml:space="preserve"> </w:t>
      </w:r>
    </w:p>
    <w:p w14:paraId="7117209F" w14:textId="0E8714B9" w:rsidR="00FA75A4" w:rsidRPr="000F6CD1" w:rsidRDefault="00C07061" w:rsidP="00614178">
      <w:pPr>
        <w:spacing w:before="240" w:after="240" w:line="240" w:lineRule="auto"/>
      </w:pPr>
      <w:r w:rsidRPr="000F6CD1">
        <w:t>Since</w:t>
      </w:r>
      <w:r w:rsidR="00FA75A4" w:rsidRPr="000F6CD1">
        <w:t xml:space="preserve"> 1 November 2025, representative relationships that </w:t>
      </w:r>
      <w:r w:rsidR="003740E0" w:rsidRPr="000F6CD1">
        <w:t xml:space="preserve">were </w:t>
      </w:r>
      <w:r w:rsidR="00FA75A4" w:rsidRPr="000F6CD1">
        <w:t xml:space="preserve">active in My Aged Care and </w:t>
      </w:r>
      <w:r w:rsidR="003740E0" w:rsidRPr="000F6CD1">
        <w:t xml:space="preserve">had </w:t>
      </w:r>
      <w:r w:rsidR="00FA75A4" w:rsidRPr="000F6CD1">
        <w:t>not opted out transition</w:t>
      </w:r>
      <w:r w:rsidR="003740E0" w:rsidRPr="000F6CD1">
        <w:t>ed</w:t>
      </w:r>
      <w:r w:rsidR="00FA75A4" w:rsidRPr="000F6CD1">
        <w:t xml:space="preserve"> to supporter relationships. If older people and their supporters did not want to transition to a supporter relationship</w:t>
      </w:r>
      <w:r w:rsidR="00FA75A4" w:rsidRPr="000F6CD1" w:rsidDel="00E912FC">
        <w:t xml:space="preserve"> and</w:t>
      </w:r>
      <w:r w:rsidR="00FA75A4" w:rsidRPr="000F6CD1">
        <w:t xml:space="preserve"> did not opt out by 31 October, they can still request to end their supporter relationship at any time in their My Aged Care Online Account or by calling My Aged Care.</w:t>
      </w:r>
    </w:p>
    <w:p w14:paraId="1F4B6608" w14:textId="7B65ED9E" w:rsidR="00FA75A4" w:rsidRPr="000F6CD1" w:rsidRDefault="00FA75A4" w:rsidP="00614178">
      <w:pPr>
        <w:spacing w:before="240" w:after="240" w:line="240" w:lineRule="auto"/>
      </w:pPr>
      <w:r w:rsidRPr="000F6CD1">
        <w:t xml:space="preserve">Representative arrangements made under the Quality of Care Principles 2014 no longer exist </w:t>
      </w:r>
      <w:r w:rsidR="003740E0" w:rsidRPr="000F6CD1">
        <w:t xml:space="preserve">under </w:t>
      </w:r>
      <w:r w:rsidRPr="000F6CD1">
        <w:t xml:space="preserve">the Act. Further, these arrangements </w:t>
      </w:r>
      <w:r w:rsidR="003740E0" w:rsidRPr="000F6CD1">
        <w:t xml:space="preserve">did </w:t>
      </w:r>
      <w:r w:rsidRPr="000F6CD1">
        <w:t>not automatically transition to the Act</w:t>
      </w:r>
      <w:r w:rsidRPr="000F6CD1">
        <w:rPr>
          <w:i/>
        </w:rPr>
        <w:t xml:space="preserve">. </w:t>
      </w:r>
      <w:r w:rsidRPr="000F6CD1">
        <w:t>These</w:t>
      </w:r>
      <w:r w:rsidRPr="000F6CD1">
        <w:rPr>
          <w:i/>
        </w:rPr>
        <w:t xml:space="preserve"> </w:t>
      </w:r>
      <w:r w:rsidRPr="000F6CD1">
        <w:t xml:space="preserve">representatives </w:t>
      </w:r>
      <w:r w:rsidR="003740E0" w:rsidRPr="000F6CD1">
        <w:t xml:space="preserve">were </w:t>
      </w:r>
      <w:r w:rsidRPr="000F6CD1">
        <w:t xml:space="preserve">encouraged to become registered supporters under the Act. </w:t>
      </w:r>
    </w:p>
    <w:tbl>
      <w:tblPr>
        <w:tblStyle w:val="TableGrid"/>
        <w:tblW w:w="8996" w:type="dxa"/>
        <w:tblLook w:val="04A0" w:firstRow="1" w:lastRow="0" w:firstColumn="1" w:lastColumn="0" w:noHBand="0" w:noVBand="1"/>
      </w:tblPr>
      <w:tblGrid>
        <w:gridCol w:w="985"/>
        <w:gridCol w:w="8011"/>
      </w:tblGrid>
      <w:tr w:rsidR="00FA75A4" w:rsidRPr="000F6CD1" w14:paraId="0E33E3AB" w14:textId="77777777" w:rsidTr="0090025F">
        <w:trPr>
          <w:trHeight w:val="4998"/>
        </w:trPr>
        <w:tc>
          <w:tcPr>
            <w:tcW w:w="985" w:type="dxa"/>
          </w:tcPr>
          <w:p w14:paraId="25008F40" w14:textId="77777777" w:rsidR="00FA75A4" w:rsidRPr="000F6CD1" w:rsidRDefault="00FA75A4" w:rsidP="00856600">
            <w:pPr>
              <w:spacing w:before="240" w:after="240"/>
            </w:pPr>
            <w:r w:rsidRPr="000F6CD1">
              <w:rPr>
                <w:noProof/>
              </w:rPr>
              <w:lastRenderedPageBreak/>
              <w:drawing>
                <wp:inline distT="0" distB="0" distL="0" distR="0" wp14:anchorId="5891A283" wp14:editId="2A355DF5">
                  <wp:extent cx="383111" cy="381000"/>
                  <wp:effectExtent l="0" t="0" r="0" b="0"/>
                  <wp:docPr id="1608955766" name="Picture 1608955766"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55766" name="Picture 1608955766"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11" w:type="dxa"/>
          </w:tcPr>
          <w:p w14:paraId="520BF979" w14:textId="2DC7790E" w:rsidR="005E28D2" w:rsidRPr="000F6CD1" w:rsidRDefault="00DD32B2" w:rsidP="00DF3F6B">
            <w:pPr>
              <w:pStyle w:val="ListParagraph"/>
              <w:numPr>
                <w:ilvl w:val="0"/>
                <w:numId w:val="432"/>
              </w:numPr>
              <w:spacing w:before="240" w:after="240"/>
            </w:pPr>
            <w:r w:rsidRPr="000F6CD1">
              <w:t>Key information and pathways to request to register a supporter</w:t>
            </w:r>
            <w:r w:rsidR="005E28D2" w:rsidRPr="000F6CD1">
              <w:t>:</w:t>
            </w:r>
            <w:r w:rsidRPr="000F6CD1">
              <w:t xml:space="preserve"> </w:t>
            </w:r>
            <w:hyperlink r:id="rId98" w:history="1">
              <w:r w:rsidRPr="000F6CD1">
                <w:rPr>
                  <w:rStyle w:val="Hyperlink"/>
                </w:rPr>
                <w:t>www.myagedcare.gov.au/registering-supporter</w:t>
              </w:r>
            </w:hyperlink>
            <w:r w:rsidR="005E28D2" w:rsidRPr="000F6CD1">
              <w:t xml:space="preserve"> </w:t>
            </w:r>
          </w:p>
          <w:p w14:paraId="7C39038A" w14:textId="5D10B619" w:rsidR="005E28D2" w:rsidRPr="000F6CD1" w:rsidRDefault="00DD32B2" w:rsidP="00DF3F6B">
            <w:pPr>
              <w:pStyle w:val="ListParagraph"/>
              <w:numPr>
                <w:ilvl w:val="0"/>
                <w:numId w:val="432"/>
              </w:numPr>
              <w:spacing w:before="240" w:after="240"/>
            </w:pPr>
            <w:r w:rsidRPr="000F6CD1">
              <w:t xml:space="preserve">Information on appointed decision makers: </w:t>
            </w:r>
            <w:hyperlink r:id="rId99" w:history="1">
              <w:r w:rsidRPr="000F6CD1">
                <w:rPr>
                  <w:rStyle w:val="Hyperlink"/>
                </w:rPr>
                <w:t>www.myagedcare.gov.au/registering-supporter/appointed-decision-makers</w:t>
              </w:r>
            </w:hyperlink>
          </w:p>
          <w:p w14:paraId="0E90E198" w14:textId="5E69FC2C" w:rsidR="00B8607F" w:rsidRPr="000F6CD1" w:rsidRDefault="00DD32B2" w:rsidP="00337CFB">
            <w:pPr>
              <w:pStyle w:val="ListParagraph"/>
              <w:numPr>
                <w:ilvl w:val="0"/>
                <w:numId w:val="633"/>
              </w:numPr>
              <w:spacing w:before="240" w:after="240"/>
              <w:rPr>
                <w:color w:val="2BB1BB"/>
                <w:szCs w:val="22"/>
                <w:u w:val="single"/>
              </w:rPr>
            </w:pPr>
            <w:r w:rsidRPr="000F6CD1">
              <w:t xml:space="preserve">Registered supporter </w:t>
            </w:r>
            <w:r w:rsidR="00AE0953" w:rsidRPr="000F6CD1">
              <w:t xml:space="preserve">policy </w:t>
            </w:r>
            <w:r w:rsidRPr="000F6CD1">
              <w:t>library:</w:t>
            </w:r>
            <w:r w:rsidR="00AE0953" w:rsidRPr="000F6CD1">
              <w:t xml:space="preserve"> </w:t>
            </w:r>
            <w:hyperlink r:id="rId100" w:history="1">
              <w:r w:rsidR="00C562B2" w:rsidRPr="000F6CD1">
                <w:rPr>
                  <w:rStyle w:val="Hyperlink"/>
                </w:rPr>
                <w:t>https://www.health.gov.au/resources/collections/registered-supporter-resources</w:t>
              </w:r>
            </w:hyperlink>
            <w:r w:rsidR="00B8607F" w:rsidRPr="000F6CD1">
              <w:t xml:space="preserve"> </w:t>
            </w:r>
          </w:p>
          <w:p w14:paraId="21844585" w14:textId="2DD46A2C" w:rsidR="00FA75A4" w:rsidRPr="000F6CD1" w:rsidRDefault="00B8607F" w:rsidP="00337CFB">
            <w:pPr>
              <w:pStyle w:val="ListParagraph"/>
              <w:numPr>
                <w:ilvl w:val="0"/>
                <w:numId w:val="633"/>
              </w:numPr>
              <w:spacing w:before="240" w:after="240"/>
              <w:rPr>
                <w:color w:val="2BB1BB"/>
                <w:szCs w:val="22"/>
                <w:u w:val="single"/>
              </w:rPr>
            </w:pPr>
            <w:r w:rsidRPr="000F6CD1">
              <w:t>Guide to using the Assessor Portal</w:t>
            </w:r>
            <w:r w:rsidR="006753F3" w:rsidRPr="000F6CD1">
              <w:t xml:space="preserve">: </w:t>
            </w:r>
            <w:hyperlink r:id="rId101">
              <w:r w:rsidR="00FA75A4" w:rsidRPr="000F6CD1">
                <w:rPr>
                  <w:rStyle w:val="Hyperlink"/>
                  <w:szCs w:val="22"/>
                </w:rPr>
                <w:t>My Aged Care – Assessor Portal User Guide 2 – Registering support people and adding relationships</w:t>
              </w:r>
            </w:hyperlink>
          </w:p>
          <w:p w14:paraId="301961F4" w14:textId="7DC3A382" w:rsidR="00E673BE" w:rsidRPr="000F6CD1" w:rsidRDefault="00B8607F" w:rsidP="00337CFB">
            <w:pPr>
              <w:pStyle w:val="ListParagraph"/>
              <w:numPr>
                <w:ilvl w:val="0"/>
                <w:numId w:val="633"/>
              </w:numPr>
              <w:spacing w:before="240" w:after="240"/>
              <w:rPr>
                <w:rStyle w:val="Hyperlink"/>
              </w:rPr>
            </w:pPr>
            <w:r w:rsidRPr="000F6CD1">
              <w:t>Information about transitional arrangements in place for My Aged Care representatives before 1 November 2025:</w:t>
            </w:r>
            <w:r w:rsidR="00E976A8" w:rsidRPr="000F6CD1">
              <w:t xml:space="preserve"> </w:t>
            </w:r>
            <w:hyperlink r:id="rId102">
              <w:r w:rsidR="189E7868" w:rsidRPr="000F6CD1">
                <w:rPr>
                  <w:rStyle w:val="Hyperlink"/>
                </w:rPr>
                <w:t>Transition arrangements for the new registered supporter role | Australian Government Department of Health, Disability and Ageing</w:t>
              </w:r>
            </w:hyperlink>
          </w:p>
          <w:p w14:paraId="1A0FD513" w14:textId="38CB5D04" w:rsidR="2D36E8CC" w:rsidRPr="000F6CD1" w:rsidRDefault="2D36E8CC" w:rsidP="00337CFB">
            <w:pPr>
              <w:pStyle w:val="ListParagraph"/>
              <w:numPr>
                <w:ilvl w:val="0"/>
                <w:numId w:val="633"/>
              </w:numPr>
              <w:spacing w:before="240" w:after="240"/>
            </w:pPr>
            <w:hyperlink r:id="rId103" w:history="1">
              <w:r w:rsidRPr="000F6CD1">
                <w:rPr>
                  <w:rStyle w:val="Hyperlink"/>
                </w:rPr>
                <w:t>My Aged Care – Registration of a Supporter form</w:t>
              </w:r>
            </w:hyperlink>
          </w:p>
          <w:p w14:paraId="600C4F6B" w14:textId="615AB7A4" w:rsidR="2D36E8CC" w:rsidRPr="000F6CD1" w:rsidRDefault="2D36E8CC" w:rsidP="00B1AE3A">
            <w:pPr>
              <w:pStyle w:val="ListParagraph"/>
              <w:numPr>
                <w:ilvl w:val="0"/>
                <w:numId w:val="40"/>
              </w:numPr>
              <w:spacing w:before="240" w:after="240"/>
            </w:pPr>
            <w:hyperlink r:id="rId104" w:history="1">
              <w:r w:rsidRPr="000F6CD1">
                <w:rPr>
                  <w:rStyle w:val="Hyperlink"/>
                </w:rPr>
                <w:t>My Aged Care – translated resources</w:t>
              </w:r>
            </w:hyperlink>
          </w:p>
          <w:p w14:paraId="2DF43F79" w14:textId="1F2D2EC2" w:rsidR="00FA75A4" w:rsidRPr="000F6CD1" w:rsidRDefault="00FA75A4" w:rsidP="00C24ACE">
            <w:pPr>
              <w:pStyle w:val="ListParagraph"/>
              <w:spacing w:before="240" w:after="240"/>
              <w:rPr>
                <w:rStyle w:val="Hyperlink"/>
              </w:rPr>
            </w:pPr>
          </w:p>
        </w:tc>
      </w:tr>
    </w:tbl>
    <w:p w14:paraId="77B1E15F" w14:textId="713426F9" w:rsidR="00FA75A4" w:rsidRPr="000F6CD1" w:rsidRDefault="00C12639" w:rsidP="00AD2CE5">
      <w:pPr>
        <w:pStyle w:val="H3"/>
      </w:pPr>
      <w:bookmarkStart w:id="221" w:name="_Toc198813662"/>
      <w:r w:rsidRPr="000F6CD1">
        <w:rPr>
          <w:bCs w:val="0"/>
          <w:lang w:val="en-AU"/>
        </w:rPr>
        <w:drawing>
          <wp:anchor distT="0" distB="0" distL="114300" distR="114300" simplePos="0" relativeHeight="251658355" behindDoc="0" locked="0" layoutInCell="1" allowOverlap="1" wp14:anchorId="129B0299" wp14:editId="15250EB8">
            <wp:simplePos x="0" y="0"/>
            <wp:positionH relativeFrom="margin">
              <wp:align>left</wp:align>
            </wp:positionH>
            <wp:positionV relativeFrom="paragraph">
              <wp:posOffset>161786</wp:posOffset>
            </wp:positionV>
            <wp:extent cx="457200" cy="502920"/>
            <wp:effectExtent l="0" t="0" r="0" b="0"/>
            <wp:wrapSquare wrapText="bothSides"/>
            <wp:docPr id="460131250" name="Picture 460131250"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D92DBC">
        <w:t>O</w:t>
      </w:r>
      <w:r w:rsidR="00FA75A4" w:rsidRPr="000F6CD1">
        <w:t>rganisation</w:t>
      </w:r>
      <w:r w:rsidR="00D92DBC">
        <w:t xml:space="preserve"> Agents</w:t>
      </w:r>
      <w:r w:rsidR="00FA75A4" w:rsidRPr="000F6CD1">
        <w:t xml:space="preserve"> </w:t>
      </w:r>
    </w:p>
    <w:p w14:paraId="47BED952" w14:textId="77777777" w:rsidR="00FA4C94" w:rsidRDefault="00CD6241" w:rsidP="00856600">
      <w:pPr>
        <w:spacing w:before="240" w:after="240" w:line="240" w:lineRule="auto"/>
      </w:pPr>
      <w:r w:rsidRPr="000F6CD1">
        <w:t>A</w:t>
      </w:r>
      <w:r w:rsidR="00FA75A4" w:rsidRPr="000F6CD1">
        <w:t>n</w:t>
      </w:r>
      <w:r w:rsidR="00FA4C94">
        <w:t xml:space="preserve"> </w:t>
      </w:r>
      <w:r w:rsidR="00FA4C94" w:rsidRPr="00F45DEF">
        <w:t>Organisation Agent is defined as an organisation that is approved and funded by the Department of Health, Disability and Ageing to provide assistance to clients in navigating and accessing the aged care system. Currently there are three approved Organisation Agents: OPAN advocacy organisations, care ﬁnders and Elder Care Support organisations.</w:t>
      </w:r>
    </w:p>
    <w:p w14:paraId="7E1FF9EF" w14:textId="1A6E2FE7" w:rsidR="00FA75A4" w:rsidRPr="000F6CD1" w:rsidRDefault="00B4330E" w:rsidP="00856600">
      <w:pPr>
        <w:spacing w:before="240" w:after="240" w:line="240" w:lineRule="auto"/>
      </w:pPr>
      <w:r w:rsidRPr="00946E34">
        <w:rPr>
          <w:lang w:val="en-GB"/>
        </w:rPr>
        <w:t>Organisation Agent relationships can be created by agents through the My Aged Care Service and Support portal or by the My Aged Care contact centre, ACSOs or assessors. An older person cannot create their own agent relationships</w:t>
      </w:r>
      <w:r w:rsidR="00FA75A4" w:rsidRPr="000F6CD1">
        <w:t xml:space="preserve">. </w:t>
      </w:r>
    </w:p>
    <w:tbl>
      <w:tblPr>
        <w:tblStyle w:val="TableGrid"/>
        <w:tblW w:w="0" w:type="auto"/>
        <w:tblLook w:val="04A0" w:firstRow="1" w:lastRow="0" w:firstColumn="1" w:lastColumn="0" w:noHBand="0" w:noVBand="1"/>
      </w:tblPr>
      <w:tblGrid>
        <w:gridCol w:w="850"/>
        <w:gridCol w:w="7916"/>
      </w:tblGrid>
      <w:tr w:rsidR="00FA75A4" w:rsidRPr="000F6CD1" w14:paraId="39095E81" w14:textId="77777777">
        <w:trPr>
          <w:trHeight w:val="844"/>
        </w:trPr>
        <w:tc>
          <w:tcPr>
            <w:tcW w:w="851" w:type="dxa"/>
            <w:vAlign w:val="center"/>
          </w:tcPr>
          <w:p w14:paraId="2BC452EA" w14:textId="77777777" w:rsidR="00FA75A4" w:rsidRPr="000F6CD1" w:rsidRDefault="00FA75A4" w:rsidP="00856600">
            <w:pPr>
              <w:spacing w:before="240" w:after="240"/>
            </w:pPr>
            <w:r w:rsidRPr="000F6CD1">
              <w:rPr>
                <w:noProof/>
              </w:rPr>
              <w:drawing>
                <wp:inline distT="0" distB="0" distL="0" distR="0" wp14:anchorId="378DF292" wp14:editId="32263842">
                  <wp:extent cx="367345" cy="365321"/>
                  <wp:effectExtent l="0" t="0" r="0" b="0"/>
                  <wp:docPr id="1512144568" name="Picture 151214456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4568" name="Picture 1512144568"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25ADB60C" w14:textId="48F9E357" w:rsidR="00FA75A4" w:rsidRPr="000F6CD1" w:rsidRDefault="00AE379B" w:rsidP="00856600">
            <w:pPr>
              <w:spacing w:before="240" w:after="240"/>
            </w:pPr>
            <w:hyperlink r:id="rId105" w:anchor="changes-to-agent-roles" w:history="1">
              <w:r w:rsidRPr="000F6CD1">
                <w:rPr>
                  <w:rStyle w:val="Hyperlink"/>
                </w:rPr>
                <w:t>Getting support to navigate aged care | My Aged Care</w:t>
              </w:r>
            </w:hyperlink>
          </w:p>
          <w:p w14:paraId="142DB870" w14:textId="77777777" w:rsidR="00FA75A4" w:rsidRPr="000F6CD1" w:rsidRDefault="00FA75A4" w:rsidP="00856600">
            <w:pPr>
              <w:spacing w:before="240" w:after="240"/>
            </w:pPr>
            <w:hyperlink r:id="rId106" w:history="1">
              <w:r w:rsidRPr="000F6CD1">
                <w:rPr>
                  <w:rStyle w:val="Hyperlink"/>
                </w:rPr>
                <w:t>My Aged Care Service and Support Portal | Australian Government Department of Health, Disability and Ageing</w:t>
              </w:r>
            </w:hyperlink>
          </w:p>
        </w:tc>
      </w:tr>
    </w:tbl>
    <w:p w14:paraId="1904D44A" w14:textId="313295D7" w:rsidR="00F856F7" w:rsidRPr="000F6CD1" w:rsidRDefault="00FA75A4" w:rsidP="006647CE">
      <w:pPr>
        <w:pStyle w:val="h2"/>
      </w:pPr>
      <w:bookmarkStart w:id="222" w:name="_Ref212733742"/>
      <w:bookmarkStart w:id="223" w:name="_Toc233282430"/>
      <w:bookmarkStart w:id="224" w:name="_Hlk75373820"/>
      <w:bookmarkEnd w:id="221"/>
      <w:r w:rsidRPr="000F6CD1">
        <w:t>Exceptional Circumstances – approving a service without an assessment</w:t>
      </w:r>
      <w:bookmarkEnd w:id="222"/>
      <w:bookmarkEnd w:id="223"/>
      <w:r w:rsidR="7A757B01" w:rsidRPr="000F6CD1">
        <w:t xml:space="preserve"> </w:t>
      </w:r>
    </w:p>
    <w:p w14:paraId="1F31C615" w14:textId="5C7A1E50" w:rsidR="00FA75A4" w:rsidRPr="000F6CD1" w:rsidRDefault="00FA75A4" w:rsidP="009730FD">
      <w:pPr>
        <w:tabs>
          <w:tab w:val="left" w:pos="709"/>
        </w:tabs>
        <w:spacing w:before="240" w:after="240" w:line="240" w:lineRule="auto"/>
      </w:pPr>
      <w:r w:rsidRPr="000F6CD1">
        <w:t xml:space="preserve">In some circumstances, </w:t>
      </w:r>
      <w:r w:rsidR="00370C55" w:rsidRPr="000F6CD1">
        <w:t>under section 6</w:t>
      </w:r>
      <w:r w:rsidR="00262C8F" w:rsidRPr="000F6CD1">
        <w:t>5(4)</w:t>
      </w:r>
      <w:r w:rsidR="00370C55" w:rsidRPr="000F6CD1">
        <w:t xml:space="preserve"> of the </w:t>
      </w:r>
      <w:r w:rsidR="00370C55" w:rsidRPr="000F6CD1">
        <w:rPr>
          <w:i/>
          <w:iCs/>
        </w:rPr>
        <w:t>Aged Care Act 2024</w:t>
      </w:r>
      <w:r w:rsidR="00370C55" w:rsidRPr="000F6CD1">
        <w:t xml:space="preserve"> </w:t>
      </w:r>
      <w:r w:rsidRPr="000F6CD1">
        <w:t xml:space="preserve">a client may be </w:t>
      </w:r>
      <w:r w:rsidR="00262C8F" w:rsidRPr="000F6CD1">
        <w:t xml:space="preserve">approved to access aged care services without </w:t>
      </w:r>
      <w:r w:rsidR="009616F1" w:rsidRPr="000F6CD1">
        <w:t xml:space="preserve">undergoing an aged care needs </w:t>
      </w:r>
      <w:r w:rsidRPr="000F6CD1">
        <w:t xml:space="preserve">assessment owing to exceptional circumstances. This </w:t>
      </w:r>
      <w:r w:rsidR="009616F1" w:rsidRPr="000F6CD1">
        <w:t xml:space="preserve">will typically </w:t>
      </w:r>
      <w:r w:rsidRPr="000F6CD1">
        <w:t xml:space="preserve">occur </w:t>
      </w:r>
      <w:r w:rsidR="00974172" w:rsidRPr="000F6CD1">
        <w:t xml:space="preserve">where </w:t>
      </w:r>
      <w:r w:rsidR="002C7112" w:rsidRPr="000F6CD1">
        <w:t xml:space="preserve">a person </w:t>
      </w:r>
      <w:r w:rsidR="00BF4AFB" w:rsidRPr="000F6CD1">
        <w:t xml:space="preserve">is </w:t>
      </w:r>
      <w:r w:rsidRPr="000F6CD1">
        <w:t>access</w:t>
      </w:r>
      <w:r w:rsidR="00B079F6" w:rsidRPr="000F6CD1">
        <w:t>ing</w:t>
      </w:r>
      <w:r w:rsidRPr="000F6CD1">
        <w:t xml:space="preserve"> funded aged care services through the alternative entry pathway but pass away prior to receiving an assessment. </w:t>
      </w:r>
    </w:p>
    <w:p w14:paraId="72BD28C8" w14:textId="740EF9BD" w:rsidR="00C07B5A" w:rsidRDefault="00D2778E" w:rsidP="00D2778E">
      <w:pPr>
        <w:autoSpaceDE w:val="0"/>
        <w:autoSpaceDN w:val="0"/>
        <w:adjustRightInd w:val="0"/>
        <w:spacing w:before="240" w:after="240" w:line="240" w:lineRule="auto"/>
      </w:pPr>
      <w:r w:rsidRPr="000F6CD1">
        <w:t xml:space="preserve">Where the client passes away, the assessor should select the ‘Notify My Aged Care of a Death’ functionality on the assessor portal to complete the assessment. </w:t>
      </w:r>
    </w:p>
    <w:p w14:paraId="37207AAC" w14:textId="1E641CC1" w:rsidR="00D2778E" w:rsidRPr="000F6CD1" w:rsidRDefault="00C07B5A" w:rsidP="00C07B5A">
      <w:r>
        <w:br w:type="page"/>
      </w:r>
    </w:p>
    <w:p w14:paraId="680CA8DC" w14:textId="222F13D0" w:rsidR="00D2778E" w:rsidRPr="000F6CD1" w:rsidRDefault="00D2778E" w:rsidP="00C07B5A">
      <w:pPr>
        <w:pStyle w:val="H4"/>
        <w:rPr>
          <w:b w:val="0"/>
        </w:rPr>
      </w:pPr>
      <w:r w:rsidRPr="000F6CD1">
        <w:lastRenderedPageBreak/>
        <w:t xml:space="preserve">Client </w:t>
      </w:r>
      <w:r w:rsidR="00940F9C" w:rsidRPr="000F6CD1">
        <w:t xml:space="preserve">is receiving services but is </w:t>
      </w:r>
      <w:r w:rsidRPr="000F6CD1">
        <w:t>refus</w:t>
      </w:r>
      <w:r w:rsidR="00940F9C" w:rsidRPr="000F6CD1">
        <w:t>ing an assessment</w:t>
      </w:r>
      <w:r w:rsidRPr="000F6CD1">
        <w:t xml:space="preserve"> </w:t>
      </w:r>
    </w:p>
    <w:p w14:paraId="56444543" w14:textId="07C28734" w:rsidR="00C032AF" w:rsidRPr="000F6CD1" w:rsidRDefault="00C032AF" w:rsidP="00856600">
      <w:pPr>
        <w:autoSpaceDE w:val="0"/>
        <w:autoSpaceDN w:val="0"/>
        <w:adjustRightInd w:val="0"/>
        <w:spacing w:before="240" w:after="240" w:line="240" w:lineRule="auto"/>
      </w:pPr>
      <w:r w:rsidRPr="000F6CD1">
        <w:t xml:space="preserve">If the </w:t>
      </w:r>
      <w:r w:rsidR="00183790" w:rsidRPr="000F6CD1">
        <w:t xml:space="preserve">Triage delegate or assessor consider there are </w:t>
      </w:r>
      <w:r w:rsidR="005E6698" w:rsidRPr="000F6CD1">
        <w:t xml:space="preserve">valid reasons for the person refusing to have an assessment, assessment organisations are to contact the department in the first instance at </w:t>
      </w:r>
      <w:hyperlink r:id="rId107" w:history="1">
        <w:r w:rsidR="005E6698" w:rsidRPr="000F6CD1">
          <w:rPr>
            <w:rStyle w:val="Hyperlink"/>
          </w:rPr>
          <w:t>MyAgedCareAssessment@health.gov.au</w:t>
        </w:r>
      </w:hyperlink>
      <w:r w:rsidR="005E6698" w:rsidRPr="000F6CD1">
        <w:t xml:space="preserve"> for assistance. In some cases, the department may exercise </w:t>
      </w:r>
      <w:r w:rsidR="009F7493" w:rsidRPr="000F6CD1">
        <w:t xml:space="preserve">delegation to approve </w:t>
      </w:r>
      <w:r w:rsidR="0074595C" w:rsidRPr="000F6CD1">
        <w:t xml:space="preserve">services under the </w:t>
      </w:r>
      <w:r w:rsidR="00EE1FF1" w:rsidRPr="000F6CD1">
        <w:t>exceptional circumstances provision.</w:t>
      </w:r>
    </w:p>
    <w:p w14:paraId="7B0D1567" w14:textId="77777777" w:rsidR="00FA75A4" w:rsidRPr="000F6CD1" w:rsidRDefault="00FA75A4" w:rsidP="00FA75A4">
      <w:pPr>
        <w:pStyle w:val="H4"/>
      </w:pPr>
      <w:r w:rsidRPr="000F6CD1">
        <w:t>If assessment is cancelled or exceptional circumstances do not apply</w:t>
      </w:r>
    </w:p>
    <w:p w14:paraId="3FFB0A54" w14:textId="41E6CB92" w:rsidR="00FA75A4" w:rsidRPr="000F6CD1" w:rsidRDefault="00FA75A4" w:rsidP="00856600">
      <w:pPr>
        <w:tabs>
          <w:tab w:val="left" w:pos="709"/>
        </w:tabs>
        <w:spacing w:before="240" w:after="240" w:line="240" w:lineRule="auto"/>
      </w:pPr>
      <w:r w:rsidRPr="000F6CD1">
        <w:t>If an assessment is cancelled and the assessor considers exceptional circumstances do not apply, or if the triage delegate makes an ineligibility decision for the client, the services should cease. There is a process which the department can recover funding from the provider.</w:t>
      </w:r>
      <w:bookmarkEnd w:id="224"/>
    </w:p>
    <w:p w14:paraId="3FC31DC5" w14:textId="55A74142" w:rsidR="00FA75A4" w:rsidRPr="000F6CD1" w:rsidRDefault="007B155A" w:rsidP="006647CE">
      <w:pPr>
        <w:pStyle w:val="h2"/>
      </w:pPr>
      <w:bookmarkStart w:id="225" w:name="_Toc233282431"/>
      <w:bookmarkStart w:id="226" w:name="_Toc209188967"/>
      <w:bookmarkStart w:id="227" w:name="_Ref212733513"/>
      <w:bookmarkStart w:id="228" w:name="_Ref212733555"/>
      <w:r w:rsidRPr="000F6CD1">
        <w:t xml:space="preserve">Emergency Residential Care - </w:t>
      </w:r>
      <w:r w:rsidR="00FA75A4" w:rsidRPr="000F6CD1">
        <w:t>Application for Care</w:t>
      </w:r>
      <w:bookmarkEnd w:id="225"/>
      <w:r w:rsidR="00FA75A4" w:rsidRPr="000F6CD1">
        <w:t xml:space="preserve"> </w:t>
      </w:r>
      <w:bookmarkEnd w:id="226"/>
      <w:bookmarkEnd w:id="227"/>
      <w:bookmarkEnd w:id="228"/>
    </w:p>
    <w:p w14:paraId="3B59DF91" w14:textId="69CD80F9" w:rsidR="00FA75A4" w:rsidRPr="000F6CD1" w:rsidRDefault="00E74DBD" w:rsidP="00856600">
      <w:pPr>
        <w:spacing w:before="240" w:after="240" w:line="240" w:lineRule="auto"/>
      </w:pPr>
      <w:r w:rsidRPr="000F6CD1">
        <w:t>O</w:t>
      </w:r>
      <w:r w:rsidR="00FA75A4" w:rsidRPr="000F6CD1">
        <w:t xml:space="preserve">lder people seeking access to funded aged care services will not be required to complete an </w:t>
      </w:r>
      <w:r w:rsidR="00CA0593" w:rsidRPr="000F6CD1">
        <w:t>‘</w:t>
      </w:r>
      <w:r w:rsidR="00FA75A4" w:rsidRPr="000F6CD1">
        <w:t>Application for Care Form</w:t>
      </w:r>
      <w:r w:rsidR="00703DEF" w:rsidRPr="000F6CD1">
        <w:t>’</w:t>
      </w:r>
      <w:r w:rsidR="00FA75A4" w:rsidRPr="000F6CD1">
        <w:t xml:space="preserve"> </w:t>
      </w:r>
      <w:r w:rsidR="00CA0593" w:rsidRPr="000F6CD1">
        <w:t xml:space="preserve">which </w:t>
      </w:r>
      <w:r w:rsidR="00FA75A4" w:rsidRPr="000F6CD1">
        <w:t xml:space="preserve">is a change from the process </w:t>
      </w:r>
      <w:r w:rsidR="00D61DB9" w:rsidRPr="000F6CD1">
        <w:t xml:space="preserve">that </w:t>
      </w:r>
      <w:r w:rsidR="00FA75A4" w:rsidRPr="000F6CD1">
        <w:t>occurred before 1 November 2025. The act of applying for access to services will occur through one of the existing registration pathways (e.g. the Contact Centre</w:t>
      </w:r>
      <w:r w:rsidR="008421ED" w:rsidRPr="000F6CD1">
        <w:t>/</w:t>
      </w:r>
      <w:r w:rsidR="00811C06" w:rsidRPr="000F6CD1">
        <w:t>ACSOs</w:t>
      </w:r>
      <w:r w:rsidR="00F50E2D" w:rsidRPr="000F6CD1">
        <w:t xml:space="preserve">, </w:t>
      </w:r>
      <w:r w:rsidR="0802F37E" w:rsidRPr="000F6CD1">
        <w:t>s</w:t>
      </w:r>
      <w:r w:rsidR="00F50E2D" w:rsidRPr="000F6CD1">
        <w:t xml:space="preserve">upport </w:t>
      </w:r>
      <w:r w:rsidR="5760B16F" w:rsidRPr="000F6CD1">
        <w:t>p</w:t>
      </w:r>
      <w:r w:rsidR="00F50E2D" w:rsidRPr="000F6CD1">
        <w:t xml:space="preserve">lan </w:t>
      </w:r>
      <w:r w:rsidR="5760B16F" w:rsidRPr="000F6CD1">
        <w:t>r</w:t>
      </w:r>
      <w:r w:rsidR="00F50E2D" w:rsidRPr="000F6CD1">
        <w:t>eview request for existing clients, etc.</w:t>
      </w:r>
      <w:r w:rsidR="00FA75A4" w:rsidRPr="000F6CD1">
        <w:t xml:space="preserve">). </w:t>
      </w:r>
    </w:p>
    <w:p w14:paraId="3395644E" w14:textId="7A1034D9" w:rsidR="00312C62" w:rsidRPr="000F6CD1" w:rsidRDefault="00FA75A4" w:rsidP="00856600">
      <w:pPr>
        <w:spacing w:before="240" w:after="240" w:line="240" w:lineRule="auto"/>
      </w:pPr>
      <w:r w:rsidRPr="000F6CD1">
        <w:t>However, older people seeking access to emergency</w:t>
      </w:r>
      <w:r w:rsidR="005914A8" w:rsidRPr="000F6CD1">
        <w:t xml:space="preserve"> residential</w:t>
      </w:r>
      <w:r w:rsidRPr="000F6CD1">
        <w:t xml:space="preserve"> care</w:t>
      </w:r>
      <w:r w:rsidR="005914A8" w:rsidRPr="000F6CD1">
        <w:t xml:space="preserve"> (ongoing or short term – i.e. respite)</w:t>
      </w:r>
      <w:r w:rsidRPr="000F6CD1">
        <w:t xml:space="preserve"> may use the </w:t>
      </w:r>
      <w:r w:rsidR="00B5712B" w:rsidRPr="000F6CD1">
        <w:t xml:space="preserve">‘Emergency Residential Care - </w:t>
      </w:r>
      <w:r w:rsidRPr="000F6CD1">
        <w:t>Application for Care Form</w:t>
      </w:r>
      <w:r w:rsidR="0052706F" w:rsidRPr="000F6CD1">
        <w:t>,’</w:t>
      </w:r>
      <w:r w:rsidRPr="000F6CD1">
        <w:t xml:space="preserve"> instead of one of the registration pathways</w:t>
      </w:r>
      <w:r w:rsidR="00B5712B" w:rsidRPr="000F6CD1">
        <w:t>.</w:t>
      </w:r>
      <w:r w:rsidR="0035443B" w:rsidRPr="000F6CD1">
        <w:t xml:space="preserve"> </w:t>
      </w:r>
    </w:p>
    <w:p w14:paraId="250B0DB6" w14:textId="3B650263" w:rsidR="00FA75A4" w:rsidRPr="000F6CD1" w:rsidRDefault="00FA75A4" w:rsidP="00856600">
      <w:pPr>
        <w:spacing w:before="240" w:after="240" w:line="240" w:lineRule="auto"/>
        <w:rPr>
          <w:b/>
          <w:bCs/>
        </w:rPr>
      </w:pPr>
      <w:r w:rsidRPr="000F6CD1">
        <w:rPr>
          <w:b/>
          <w:bCs/>
        </w:rPr>
        <w:t xml:space="preserve">Residential care </w:t>
      </w:r>
      <w:r w:rsidR="008A74CE" w:rsidRPr="000F6CD1">
        <w:rPr>
          <w:b/>
          <w:bCs/>
        </w:rPr>
        <w:t>(ongoing or short-term)</w:t>
      </w:r>
    </w:p>
    <w:p w14:paraId="3419B511" w14:textId="5A7C7CF7" w:rsidR="00FA75A4" w:rsidRPr="000F6CD1" w:rsidRDefault="00FA75A4" w:rsidP="00856600">
      <w:pPr>
        <w:spacing w:before="240" w:after="240" w:line="240" w:lineRule="auto"/>
      </w:pPr>
      <w:r w:rsidRPr="000F6CD1">
        <w:t>To be considered for a Commonwealth subsidy in urgent circumstances</w:t>
      </w:r>
      <w:r w:rsidRPr="000F6CD1">
        <w:rPr>
          <w:b/>
          <w:bCs/>
        </w:rPr>
        <w:t xml:space="preserve"> </w:t>
      </w:r>
      <w:r w:rsidRPr="000F6CD1">
        <w:t xml:space="preserve">for residential care or residential respite, the registered provider can complete and submit a valid </w:t>
      </w:r>
      <w:hyperlink r:id="rId108" w:history="1">
        <w:r w:rsidR="0035443B" w:rsidRPr="000F6CD1">
          <w:rPr>
            <w:rStyle w:val="Hyperlink"/>
          </w:rPr>
          <w:t xml:space="preserve">Emergency Residential Care - </w:t>
        </w:r>
        <w:r w:rsidRPr="000F6CD1">
          <w:rPr>
            <w:rStyle w:val="Hyperlink"/>
          </w:rPr>
          <w:t>Application for Care</w:t>
        </w:r>
      </w:hyperlink>
      <w:r w:rsidRPr="000F6CD1">
        <w:t xml:space="preserve"> </w:t>
      </w:r>
      <w:r w:rsidR="008A74CE" w:rsidRPr="000F6CD1">
        <w:t>F</w:t>
      </w:r>
      <w:r w:rsidRPr="000F6CD1">
        <w:t>orm.</w:t>
      </w:r>
      <w:r w:rsidR="0035443B" w:rsidRPr="000F6CD1">
        <w:t xml:space="preserve"> This is one of </w:t>
      </w:r>
      <w:r w:rsidR="00FF60AD" w:rsidRPr="000F6CD1">
        <w:t>the ‘approved forms’ under section 71 of the Act to access funded aged care services before an aged care needs assessment.</w:t>
      </w:r>
    </w:p>
    <w:p w14:paraId="59441E9F" w14:textId="00D08C0C" w:rsidR="00FA75A4" w:rsidRPr="000F6CD1" w:rsidRDefault="00FA75A4" w:rsidP="00856600">
      <w:pPr>
        <w:spacing w:before="240" w:after="240" w:line="240" w:lineRule="auto"/>
        <w:rPr>
          <w:rFonts w:eastAsia="Aptos"/>
          <w:b/>
          <w:color w:val="000000"/>
        </w:rPr>
      </w:pPr>
      <w:r w:rsidRPr="000F6CD1">
        <w:t xml:space="preserve">In </w:t>
      </w:r>
      <w:r w:rsidR="00FF60AD" w:rsidRPr="000F6CD1">
        <w:t>completing</w:t>
      </w:r>
      <w:r w:rsidR="00FF60AD" w:rsidRPr="000F6CD1">
        <w:rPr>
          <w:rFonts w:eastAsia="Aptos"/>
          <w:color w:val="000000" w:themeColor="text1"/>
        </w:rPr>
        <w:t xml:space="preserve"> </w:t>
      </w:r>
      <w:r w:rsidRPr="000F6CD1">
        <w:rPr>
          <w:rFonts w:eastAsia="Aptos"/>
          <w:color w:val="000000" w:themeColor="text1"/>
        </w:rPr>
        <w:t>the form</w:t>
      </w:r>
      <w:r w:rsidRPr="000F6CD1">
        <w:rPr>
          <w:rFonts w:eastAsia="Aptos"/>
          <w:b/>
          <w:color w:val="000000"/>
        </w:rPr>
        <w:t>:</w:t>
      </w:r>
    </w:p>
    <w:p w14:paraId="2557A49D" w14:textId="24371FFF" w:rsidR="00FA75A4" w:rsidRPr="000F6CD1" w:rsidRDefault="00FA75A4" w:rsidP="00DF3F6B">
      <w:pPr>
        <w:pStyle w:val="ListParagraph"/>
        <w:numPr>
          <w:ilvl w:val="0"/>
          <w:numId w:val="53"/>
        </w:numPr>
        <w:spacing w:before="240" w:after="240" w:line="240" w:lineRule="auto"/>
        <w:ind w:left="714" w:hanging="357"/>
        <w:rPr>
          <w:rFonts w:eastAsia="Aptos"/>
          <w:color w:val="000000" w:themeColor="text1"/>
        </w:rPr>
      </w:pPr>
      <w:r w:rsidRPr="000F6CD1">
        <w:rPr>
          <w:rFonts w:eastAsia="Aptos"/>
          <w:color w:val="000000"/>
        </w:rPr>
        <w:t xml:space="preserve">The form must have </w:t>
      </w:r>
      <w:r w:rsidRPr="000F6CD1">
        <w:rPr>
          <w:rFonts w:eastAsia="Aptos"/>
          <w:color w:val="000000" w:themeColor="text1"/>
        </w:rPr>
        <w:t>both</w:t>
      </w:r>
      <w:r w:rsidRPr="000F6CD1">
        <w:rPr>
          <w:rFonts w:eastAsia="Aptos"/>
          <w:color w:val="000000"/>
        </w:rPr>
        <w:t xml:space="preserve"> the Application for approval section and the Emergency case section of the form completed; a</w:t>
      </w:r>
      <w:r w:rsidRPr="000F6CD1">
        <w:rPr>
          <w:rFonts w:eastAsia="Aptos"/>
          <w:color w:val="000000" w:themeColor="text1"/>
        </w:rPr>
        <w:t>nd</w:t>
      </w:r>
    </w:p>
    <w:p w14:paraId="2E52CF43" w14:textId="0B537EB0" w:rsidR="00FA75A4" w:rsidRPr="000F6CD1" w:rsidRDefault="00FA75A4" w:rsidP="00DF3F6B">
      <w:pPr>
        <w:pStyle w:val="ListParagraph"/>
        <w:numPr>
          <w:ilvl w:val="0"/>
          <w:numId w:val="53"/>
        </w:numPr>
        <w:spacing w:before="240" w:after="240" w:line="240" w:lineRule="auto"/>
      </w:pPr>
      <w:r w:rsidRPr="000F6CD1">
        <w:rPr>
          <w:rFonts w:eastAsia="Aptos"/>
          <w:color w:val="000000" w:themeColor="text1"/>
        </w:rPr>
        <w:t xml:space="preserve">The provider may submit the form, including supporting information for referral to their local assessment organisation, within </w:t>
      </w:r>
      <w:r w:rsidR="00BE39C5" w:rsidRPr="000F6CD1">
        <w:rPr>
          <w:rFonts w:eastAsia="Aptos"/>
          <w:bCs/>
          <w:color w:val="000000" w:themeColor="text1"/>
        </w:rPr>
        <w:t>5</w:t>
      </w:r>
      <w:r w:rsidRPr="000F6CD1">
        <w:rPr>
          <w:rFonts w:eastAsia="Aptos"/>
          <w:color w:val="000000" w:themeColor="text1"/>
        </w:rPr>
        <w:t xml:space="preserve"> calendar days after the day care commenced unless an extension has been granted by the System Governor (on application).</w:t>
      </w:r>
    </w:p>
    <w:p w14:paraId="39E607F8" w14:textId="7D265B07" w:rsidR="00FA75A4" w:rsidRPr="000F6CD1" w:rsidRDefault="00FA75A4" w:rsidP="00856600">
      <w:pPr>
        <w:spacing w:before="240" w:after="240" w:line="240" w:lineRule="auto"/>
      </w:pPr>
      <w:r w:rsidRPr="000F6CD1">
        <w:t>If an older person and/or their active</w:t>
      </w:r>
      <w:r w:rsidR="00351995" w:rsidRPr="000F6CD1">
        <w:t>,</w:t>
      </w:r>
      <w:r w:rsidRPr="000F6CD1">
        <w:t xml:space="preserve"> appointed decision maker </w:t>
      </w:r>
      <w:r w:rsidR="0010565E" w:rsidRPr="000F6CD1">
        <w:t xml:space="preserve">recognised </w:t>
      </w:r>
      <w:r w:rsidRPr="000F6CD1">
        <w:t xml:space="preserve">under s 28 of the Act is unavailable, the registered provider may sign the form. If a provider prefers the older person’s appointed decision maker to sign the form, they may apply for an extension. Under section 71 of the Act, an extension must be requested if the application cannot be submitted within the required timeframe. </w:t>
      </w:r>
    </w:p>
    <w:p w14:paraId="60358D6F" w14:textId="77777777" w:rsidR="006707DE" w:rsidRPr="000F6CD1" w:rsidRDefault="00FA75A4" w:rsidP="00856600">
      <w:pPr>
        <w:spacing w:before="240" w:after="240" w:line="240" w:lineRule="auto"/>
      </w:pPr>
      <w:r w:rsidRPr="000F6CD1">
        <w:t>In urgent cases, the person is already receiving care, but this does not mean they are permanently entering aged care or will remain at the current facility.</w:t>
      </w:r>
      <w:r w:rsidR="006707DE" w:rsidRPr="000F6CD1">
        <w:t xml:space="preserve"> </w:t>
      </w:r>
    </w:p>
    <w:p w14:paraId="356F358E" w14:textId="5E0DFAE6" w:rsidR="006707DE" w:rsidRPr="000F6CD1" w:rsidRDefault="006707DE" w:rsidP="00856600">
      <w:pPr>
        <w:spacing w:before="240" w:after="240" w:line="240" w:lineRule="auto"/>
      </w:pPr>
      <w:r w:rsidRPr="000F6CD1">
        <w:lastRenderedPageBreak/>
        <w:t xml:space="preserve">Triage delegates must review the </w:t>
      </w:r>
      <w:r w:rsidR="0053445D" w:rsidRPr="000F6CD1">
        <w:rPr>
          <w:i/>
        </w:rPr>
        <w:t xml:space="preserve">Emergency Residential Care - </w:t>
      </w:r>
      <w:r w:rsidR="008A74CE" w:rsidRPr="000F6CD1">
        <w:rPr>
          <w:i/>
        </w:rPr>
        <w:t>Application for Care F</w:t>
      </w:r>
      <w:r w:rsidRPr="000F6CD1">
        <w:rPr>
          <w:i/>
        </w:rPr>
        <w:t>orm</w:t>
      </w:r>
      <w:r w:rsidRPr="000F6CD1">
        <w:t xml:space="preserve"> for completeness and be satisfied that the requirements under s58 are met. The Assessment Delegate is responsible for reviewing and approving the application form</w:t>
      </w:r>
      <w:r w:rsidR="00B23AB0" w:rsidRPr="000F6CD1">
        <w:t xml:space="preserve">. </w:t>
      </w:r>
    </w:p>
    <w:p w14:paraId="6A15BE2F" w14:textId="50B81DB4" w:rsidR="00FA75A4" w:rsidRPr="000F6CD1" w:rsidRDefault="00FA75A4" w:rsidP="00AD2CE5">
      <w:pPr>
        <w:pStyle w:val="H3"/>
      </w:pPr>
      <w:bookmarkStart w:id="229" w:name="_Toc198008602"/>
      <w:bookmarkStart w:id="230" w:name="_Toc198787207"/>
      <w:bookmarkStart w:id="231" w:name="_Toc54471825"/>
      <w:bookmarkStart w:id="232" w:name="_Toc199344594"/>
      <w:bookmarkStart w:id="233" w:name="_Toc205444750"/>
      <w:r w:rsidRPr="000F6CD1">
        <w:t>Intake and assessment process</w:t>
      </w:r>
      <w:bookmarkEnd w:id="229"/>
      <w:bookmarkEnd w:id="230"/>
      <w:bookmarkEnd w:id="231"/>
      <w:bookmarkEnd w:id="232"/>
      <w:bookmarkEnd w:id="233"/>
    </w:p>
    <w:p w14:paraId="5F2E0656" w14:textId="43E352DC" w:rsidR="00FA75A4" w:rsidRPr="000F6CD1" w:rsidRDefault="00FA75A4" w:rsidP="00856600">
      <w:pPr>
        <w:spacing w:before="240" w:after="240" w:line="240" w:lineRule="auto"/>
      </w:pPr>
      <w:r w:rsidRPr="000F6CD1">
        <w:t xml:space="preserve">When the </w:t>
      </w:r>
      <w:r w:rsidR="004B314B" w:rsidRPr="000F6CD1">
        <w:rPr>
          <w:i/>
          <w:iCs/>
        </w:rPr>
        <w:t>Emergency Residential Care - Application for Care Form</w:t>
      </w:r>
      <w:r w:rsidR="004B314B" w:rsidRPr="000F6CD1">
        <w:t xml:space="preserve"> </w:t>
      </w:r>
      <w:r w:rsidRPr="000F6CD1">
        <w:t>is received, the assessment organisation must:</w:t>
      </w:r>
    </w:p>
    <w:p w14:paraId="03B5F55A" w14:textId="1675BE0A" w:rsidR="00FA75A4" w:rsidRPr="000F6CD1" w:rsidRDefault="00FA75A4" w:rsidP="00DF3F6B">
      <w:pPr>
        <w:numPr>
          <w:ilvl w:val="0"/>
          <w:numId w:val="54"/>
        </w:numPr>
        <w:spacing w:before="240" w:after="240" w:line="240" w:lineRule="auto"/>
      </w:pPr>
      <w:r w:rsidRPr="000F6CD1">
        <w:t xml:space="preserve">Ensure the </w:t>
      </w:r>
      <w:r w:rsidR="004B314B" w:rsidRPr="000F6CD1">
        <w:t>form</w:t>
      </w:r>
      <w:r w:rsidRPr="000F6CD1">
        <w:t xml:space="preserve"> signed by the older person, or their active, appointed decision maker, and confirm the </w:t>
      </w:r>
      <w:r w:rsidRPr="000F6CD1">
        <w:rPr>
          <w:i/>
          <w:iCs/>
        </w:rPr>
        <w:t>emergency case</w:t>
      </w:r>
      <w:r w:rsidRPr="000F6CD1">
        <w:t xml:space="preserve"> section is completed correctly by the registered provider.</w:t>
      </w:r>
    </w:p>
    <w:p w14:paraId="76922495" w14:textId="5E00FFA1" w:rsidR="00FA75A4" w:rsidRPr="000F6CD1" w:rsidRDefault="00FA75A4" w:rsidP="00DF3F6B">
      <w:pPr>
        <w:numPr>
          <w:ilvl w:val="0"/>
          <w:numId w:val="54"/>
        </w:numPr>
        <w:spacing w:before="240" w:after="240" w:line="240" w:lineRule="auto"/>
      </w:pPr>
      <w:r w:rsidRPr="000F6CD1">
        <w:t>Confirm the date the form was received. If it was submitted after 5 calendar days from the care start date, assessment can only proceed if the provider has been granted an extension by the department as System Governor, following an application for extension.</w:t>
      </w:r>
      <w:r w:rsidR="00334AD3" w:rsidRPr="000F6CD1">
        <w:t xml:space="preserve"> </w:t>
      </w:r>
      <w:r w:rsidR="008A1E77" w:rsidRPr="000F6CD1">
        <w:t>Requests for extensions can be sought by emailing</w:t>
      </w:r>
      <w:r w:rsidR="00334AD3" w:rsidRPr="000F6CD1">
        <w:t xml:space="preserve"> </w:t>
      </w:r>
      <w:hyperlink r:id="rId109" w:history="1">
        <w:r w:rsidR="00334AD3" w:rsidRPr="000F6CD1">
          <w:rPr>
            <w:rStyle w:val="Hyperlink"/>
            <w:b/>
            <w:bCs/>
          </w:rPr>
          <w:t>MyAgedCare.Assessment@health.gov.au</w:t>
        </w:r>
      </w:hyperlink>
      <w:r w:rsidR="008A1E77" w:rsidRPr="000F6CD1">
        <w:t>.</w:t>
      </w:r>
    </w:p>
    <w:p w14:paraId="5F924C62" w14:textId="49088839" w:rsidR="00FA75A4" w:rsidRPr="000F6CD1" w:rsidRDefault="00FA75A4" w:rsidP="00DF3F6B">
      <w:pPr>
        <w:numPr>
          <w:ilvl w:val="0"/>
          <w:numId w:val="54"/>
        </w:numPr>
        <w:spacing w:before="240" w:after="240" w:line="240" w:lineRule="auto"/>
      </w:pPr>
      <w:r w:rsidRPr="000F6CD1">
        <w:t xml:space="preserve">Register and self-refer the older person in the My Aged Care </w:t>
      </w:r>
      <w:r w:rsidR="0060352D" w:rsidRPr="000F6CD1">
        <w:t>assessor portal</w:t>
      </w:r>
      <w:r w:rsidRPr="000F6CD1">
        <w:t xml:space="preserve"> (if required and self-referral criteria are met).</w:t>
      </w:r>
    </w:p>
    <w:p w14:paraId="0A8926F1" w14:textId="3E0855CF" w:rsidR="00FA75A4" w:rsidRPr="000F6CD1" w:rsidRDefault="00FA75A4" w:rsidP="00DF3F6B">
      <w:pPr>
        <w:numPr>
          <w:ilvl w:val="0"/>
          <w:numId w:val="54"/>
        </w:numPr>
        <w:spacing w:before="240" w:after="240" w:line="240" w:lineRule="auto"/>
      </w:pPr>
      <w:r w:rsidRPr="000F6CD1">
        <w:t xml:space="preserve">Assign </w:t>
      </w:r>
      <w:r w:rsidR="00C5311B" w:rsidRPr="000F6CD1">
        <w:t>assessment</w:t>
      </w:r>
      <w:r w:rsidRPr="000F6CD1">
        <w:t xml:space="preserve"> priority. Although the </w:t>
      </w:r>
      <w:r w:rsidR="005914A8" w:rsidRPr="000F6CD1">
        <w:t xml:space="preserve">older </w:t>
      </w:r>
      <w:r w:rsidRPr="000F6CD1">
        <w:t>person is already in care, the Triage Delegate must consider the urgency of the</w:t>
      </w:r>
      <w:r w:rsidR="005914A8" w:rsidRPr="000F6CD1">
        <w:t>ir</w:t>
      </w:r>
      <w:r w:rsidRPr="000F6CD1">
        <w:t xml:space="preserve"> circumstances. If the </w:t>
      </w:r>
      <w:r w:rsidR="00EC53C1" w:rsidRPr="000F6CD1">
        <w:t xml:space="preserve">older </w:t>
      </w:r>
      <w:r w:rsidRPr="000F6CD1">
        <w:t>person’s condition is rapidly deteriorating, the assessment should be scheduled as soon as possible.</w:t>
      </w:r>
    </w:p>
    <w:p w14:paraId="4AA7AF23" w14:textId="4321F447" w:rsidR="00FA75A4" w:rsidRPr="000F6CD1" w:rsidRDefault="00FA75A4" w:rsidP="00DF3F6B">
      <w:pPr>
        <w:numPr>
          <w:ilvl w:val="0"/>
          <w:numId w:val="54"/>
        </w:numPr>
        <w:spacing w:before="240" w:after="240" w:line="240" w:lineRule="auto"/>
      </w:pPr>
      <w:r w:rsidRPr="000F6CD1">
        <w:t>Upload the verified form to the older person’s record.</w:t>
      </w:r>
    </w:p>
    <w:p w14:paraId="1DF6A56A" w14:textId="72FDCD30" w:rsidR="00FA75A4" w:rsidRPr="000F6CD1" w:rsidRDefault="00FA75A4" w:rsidP="00DF3F6B">
      <w:pPr>
        <w:numPr>
          <w:ilvl w:val="0"/>
          <w:numId w:val="54"/>
        </w:numPr>
        <w:spacing w:before="240" w:after="240" w:line="240" w:lineRule="auto"/>
      </w:pPr>
      <w:r w:rsidRPr="000F6CD1">
        <w:t>Schedule a comprehensive assessment with an assessor. Where possible, this should be face-to-face and collect information to:</w:t>
      </w:r>
    </w:p>
    <w:p w14:paraId="1A3482DD" w14:textId="77777777" w:rsidR="00FA75A4" w:rsidRPr="000F6CD1" w:rsidRDefault="00FA75A4" w:rsidP="00DF3F6B">
      <w:pPr>
        <w:numPr>
          <w:ilvl w:val="1"/>
          <w:numId w:val="54"/>
        </w:numPr>
        <w:spacing w:before="240" w:after="240" w:line="240" w:lineRule="auto"/>
      </w:pPr>
      <w:r w:rsidRPr="000F6CD1">
        <w:t>Determine the older person's required level of care; and</w:t>
      </w:r>
    </w:p>
    <w:p w14:paraId="6B8D2A54" w14:textId="5ADF90AD" w:rsidR="00B31E22" w:rsidRPr="000F6CD1" w:rsidRDefault="00FA75A4" w:rsidP="00DF3F6B">
      <w:pPr>
        <w:numPr>
          <w:ilvl w:val="1"/>
          <w:numId w:val="54"/>
        </w:numPr>
        <w:spacing w:before="240" w:after="240" w:line="240" w:lineRule="auto"/>
      </w:pPr>
      <w:r w:rsidRPr="000F6CD1">
        <w:t>Confirm that urgent circumstances existed at entry and that prior approval was not practicable.</w:t>
      </w:r>
    </w:p>
    <w:p w14:paraId="16326BAC" w14:textId="094A1CD0" w:rsidR="008C5F33" w:rsidRPr="000F6CD1" w:rsidRDefault="008C5F33" w:rsidP="00DF3F6B">
      <w:pPr>
        <w:numPr>
          <w:ilvl w:val="1"/>
          <w:numId w:val="54"/>
        </w:numPr>
        <w:spacing w:before="240" w:after="240" w:line="240" w:lineRule="auto"/>
      </w:pPr>
      <w:r w:rsidRPr="000F6CD1">
        <w:t>Note</w:t>
      </w:r>
      <w:r w:rsidR="00B31E22" w:rsidRPr="000F6CD1">
        <w:t>:</w:t>
      </w:r>
      <w:r w:rsidRPr="000F6CD1">
        <w:t xml:space="preserve"> for respite care assessments, the DEMMI modified tool must be undertaken face to face by clinical assessors only.</w:t>
      </w:r>
    </w:p>
    <w:p w14:paraId="219DD4C0" w14:textId="0E944911" w:rsidR="00FA75A4" w:rsidRPr="000F6CD1" w:rsidRDefault="00FA75A4" w:rsidP="00856600">
      <w:pPr>
        <w:spacing w:before="240" w:after="240" w:line="240" w:lineRule="auto"/>
      </w:pPr>
      <w:r w:rsidRPr="000F6CD1">
        <w:t xml:space="preserve">The assessor must collect as much information as possible about the urgent situation from the older person, their registered supporters (if available, and in line with the older person’s </w:t>
      </w:r>
      <w:r w:rsidR="00172CC8" w:rsidRPr="000F6CD1">
        <w:t>will and preferences</w:t>
      </w:r>
      <w:r w:rsidRPr="000F6CD1">
        <w:t>), their active, appointed decision maker/s (as relevant), the registered provider, and any other professionals involved at the time of entry.</w:t>
      </w:r>
    </w:p>
    <w:p w14:paraId="01F31250" w14:textId="77777777" w:rsidR="00E805A1" w:rsidRPr="000F6CD1" w:rsidRDefault="00E805A1" w:rsidP="00FA75A4"/>
    <w:p w14:paraId="3189AFD6" w14:textId="77777777" w:rsidR="00E805A1" w:rsidRPr="000F6CD1" w:rsidRDefault="00E805A1" w:rsidP="00FA75A4"/>
    <w:p w14:paraId="0D6BA7DE" w14:textId="396D8BC0" w:rsidR="00E805A1" w:rsidRPr="000F6CD1" w:rsidRDefault="00F73D36" w:rsidP="00FA75A4">
      <w:r w:rsidRPr="000F6CD1">
        <w:br w:type="page"/>
      </w:r>
    </w:p>
    <w:p w14:paraId="3AA22508" w14:textId="77777777" w:rsidR="0016744D" w:rsidRPr="000F6CD1" w:rsidRDefault="0016744D" w:rsidP="00AC3600">
      <w:pPr>
        <w:pStyle w:val="H1"/>
      </w:pPr>
      <w:bookmarkStart w:id="234" w:name="_Toc198813664"/>
      <w:bookmarkStart w:id="235" w:name="_Toc204329520"/>
      <w:bookmarkStart w:id="236" w:name="_Toc209188968"/>
      <w:bookmarkStart w:id="237" w:name="_Ref212734526"/>
      <w:bookmarkStart w:id="238" w:name="_Ref212735187"/>
      <w:bookmarkStart w:id="239" w:name="_Ref212735206"/>
      <w:bookmarkStart w:id="240" w:name="_Ref212736376"/>
      <w:bookmarkStart w:id="241" w:name="_Ref232692585"/>
      <w:bookmarkStart w:id="242" w:name="_Toc233282432"/>
      <w:bookmarkStart w:id="243" w:name="Ch3_ReferralforAssessment"/>
      <w:r w:rsidRPr="000F6CD1">
        <w:lastRenderedPageBreak/>
        <w:t>Chapter 4: Referral for assessment</w:t>
      </w:r>
      <w:bookmarkEnd w:id="234"/>
      <w:bookmarkEnd w:id="235"/>
      <w:bookmarkEnd w:id="236"/>
      <w:bookmarkEnd w:id="237"/>
      <w:bookmarkEnd w:id="238"/>
      <w:bookmarkEnd w:id="239"/>
      <w:bookmarkEnd w:id="240"/>
      <w:bookmarkEnd w:id="241"/>
      <w:bookmarkEnd w:id="242"/>
      <w:r w:rsidRPr="000F6CD1">
        <w:t xml:space="preserve"> </w:t>
      </w:r>
    </w:p>
    <w:tbl>
      <w:tblPr>
        <w:tblStyle w:val="TableGrid"/>
        <w:tblW w:w="922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FFFFF" w:themeFill="background1"/>
        <w:tblLook w:val="04A0" w:firstRow="1" w:lastRow="0" w:firstColumn="1" w:lastColumn="0" w:noHBand="0" w:noVBand="1"/>
      </w:tblPr>
      <w:tblGrid>
        <w:gridCol w:w="8985"/>
        <w:gridCol w:w="236"/>
      </w:tblGrid>
      <w:tr w:rsidR="0016744D" w:rsidRPr="000F6CD1" w14:paraId="6E8DE60E" w14:textId="77777777" w:rsidTr="005E496B">
        <w:trPr>
          <w:trHeight w:val="300"/>
        </w:trPr>
        <w:tc>
          <w:tcPr>
            <w:tcW w:w="8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7AD2" w14:textId="77777777" w:rsidR="0016744D" w:rsidRPr="000F6CD1" w:rsidRDefault="0016744D" w:rsidP="00441859">
            <w:bookmarkStart w:id="244" w:name="_Toc198813665"/>
            <w:bookmarkStart w:id="245" w:name="_Toc204329521"/>
            <w:bookmarkStart w:id="246" w:name="_Toc209188969"/>
            <w:bookmarkEnd w:id="243"/>
            <w:r w:rsidRPr="000F6CD1">
              <w:rPr>
                <w:b/>
                <w:color w:val="358189"/>
                <w:sz w:val="36"/>
                <w:szCs w:val="36"/>
              </w:rPr>
              <w:t>What you’ll find in this chapter</w:t>
            </w:r>
            <w:bookmarkEnd w:id="244"/>
            <w:bookmarkEnd w:id="245"/>
            <w:bookmarkEnd w:id="246"/>
            <w:r w:rsidRPr="000F6CD1">
              <w:rPr>
                <w:b/>
                <w:color w:val="358189"/>
                <w:sz w:val="36"/>
                <w:szCs w:val="36"/>
              </w:rPr>
              <w:t xml:space="preserve"> </w:t>
            </w:r>
          </w:p>
          <w:p w14:paraId="5E3BBF1A" w14:textId="531F4AB6" w:rsidR="0016744D" w:rsidRPr="000F6CD1" w:rsidRDefault="0016744D" w:rsidP="00856600">
            <w:pPr>
              <w:spacing w:before="240" w:after="240"/>
            </w:pPr>
            <w:r w:rsidRPr="000F6CD1">
              <w:t xml:space="preserve">This chapter details how to manage referrals for assessments in the My Aged Care </w:t>
            </w:r>
            <w:r w:rsidR="0060352D" w:rsidRPr="000F6CD1">
              <w:t>assessor portal</w:t>
            </w:r>
            <w:r w:rsidRPr="000F6CD1">
              <w:t xml:space="preserve">. </w:t>
            </w:r>
          </w:p>
          <w:p w14:paraId="077B904C" w14:textId="77777777" w:rsidR="0016744D" w:rsidRPr="000F6CD1" w:rsidRDefault="0016744D" w:rsidP="00856600">
            <w:pPr>
              <w:spacing w:before="240" w:after="240"/>
            </w:pPr>
            <w:r w:rsidRPr="000F6CD1">
              <w:t>The following topics are covered in this chapter:</w:t>
            </w:r>
          </w:p>
          <w:p w14:paraId="2A5B6B22" w14:textId="77777777" w:rsidR="0016744D" w:rsidRPr="000F6CD1" w:rsidRDefault="0016744D" w:rsidP="00856600">
            <w:pPr>
              <w:pStyle w:val="ListParagraph"/>
              <w:numPr>
                <w:ilvl w:val="0"/>
                <w:numId w:val="42"/>
              </w:numPr>
              <w:spacing w:before="240" w:after="240"/>
            </w:pPr>
            <w:r w:rsidRPr="000F6CD1">
              <w:t>managing and actioning referrals and assigning referral priority;</w:t>
            </w:r>
          </w:p>
          <w:p w14:paraId="1029C1AF" w14:textId="77777777" w:rsidR="0016744D" w:rsidRPr="000F6CD1" w:rsidRDefault="0016744D" w:rsidP="00856600">
            <w:pPr>
              <w:pStyle w:val="ListParagraph"/>
              <w:numPr>
                <w:ilvl w:val="0"/>
                <w:numId w:val="42"/>
              </w:numPr>
              <w:spacing w:before="240" w:after="240"/>
            </w:pPr>
            <w:r w:rsidRPr="000F6CD1">
              <w:t>managing preference for Aboriginal and Torres Strait Islander assessments;</w:t>
            </w:r>
          </w:p>
          <w:p w14:paraId="2CF8113F" w14:textId="77777777" w:rsidR="0016744D" w:rsidRPr="000F6CD1" w:rsidRDefault="0016744D" w:rsidP="00856600">
            <w:pPr>
              <w:pStyle w:val="ListParagraph"/>
              <w:numPr>
                <w:ilvl w:val="0"/>
                <w:numId w:val="42"/>
              </w:numPr>
              <w:spacing w:before="240" w:after="240"/>
            </w:pPr>
            <w:r w:rsidRPr="000F6CD1">
              <w:t>End-of-Life Pathway ‘high priority’ flag in the system;</w:t>
            </w:r>
          </w:p>
          <w:p w14:paraId="43BA59FB" w14:textId="28579DAD" w:rsidR="0016744D" w:rsidRPr="000F6CD1" w:rsidRDefault="0016744D" w:rsidP="00856600">
            <w:pPr>
              <w:pStyle w:val="ListParagraph"/>
              <w:numPr>
                <w:ilvl w:val="0"/>
                <w:numId w:val="42"/>
              </w:numPr>
              <w:spacing w:before="240" w:after="240"/>
            </w:pPr>
            <w:r w:rsidRPr="000F6CD1">
              <w:t>how priority categories are assigned to different assessments including Home Support, Comprehensive</w:t>
            </w:r>
            <w:r w:rsidR="00BE1D75" w:rsidRPr="000F6CD1">
              <w:t xml:space="preserve"> </w:t>
            </w:r>
            <w:r w:rsidR="000830AA" w:rsidRPr="000F6CD1">
              <w:t>(including those completed in a Hospital setting)</w:t>
            </w:r>
            <w:r w:rsidRPr="000F6CD1">
              <w:t>; and</w:t>
            </w:r>
          </w:p>
          <w:p w14:paraId="2034A952" w14:textId="23B79F76" w:rsidR="0016744D" w:rsidRPr="000F6CD1" w:rsidRDefault="0016744D" w:rsidP="00856600">
            <w:pPr>
              <w:pStyle w:val="ListParagraph"/>
              <w:numPr>
                <w:ilvl w:val="0"/>
                <w:numId w:val="42"/>
              </w:numPr>
              <w:spacing w:before="240" w:after="240"/>
            </w:pPr>
            <w:r w:rsidRPr="000F6CD1">
              <w:t xml:space="preserve">how assessors can self-refer for eligible and (likely) ineligible individuals. </w:t>
            </w:r>
          </w:p>
        </w:tc>
        <w:tc>
          <w:tcPr>
            <w:tcW w:w="236" w:type="dxa"/>
            <w:tcBorders>
              <w:left w:val="single" w:sz="4" w:space="0" w:color="auto"/>
            </w:tcBorders>
            <w:shd w:val="clear" w:color="auto" w:fill="FFFFFF" w:themeFill="background1"/>
          </w:tcPr>
          <w:p w14:paraId="1F5081BD" w14:textId="77777777" w:rsidR="0016744D" w:rsidRPr="000F6CD1" w:rsidRDefault="0016744D" w:rsidP="00856600">
            <w:pPr>
              <w:pStyle w:val="Heading2"/>
              <w:spacing w:before="240" w:after="240"/>
            </w:pPr>
          </w:p>
        </w:tc>
      </w:tr>
    </w:tbl>
    <w:p w14:paraId="54BFA258" w14:textId="1F82DD1B" w:rsidR="0016744D" w:rsidRPr="000F6CD1" w:rsidRDefault="0016744D" w:rsidP="006647CE">
      <w:pPr>
        <w:pStyle w:val="h2"/>
      </w:pPr>
      <w:bookmarkStart w:id="247" w:name="_Ref128153178"/>
      <w:bookmarkStart w:id="248" w:name="_Toc159226869"/>
      <w:bookmarkStart w:id="249" w:name="_Toc184402276"/>
      <w:bookmarkStart w:id="250" w:name="_Toc204329522"/>
      <w:bookmarkStart w:id="251" w:name="_Toc209188970"/>
      <w:bookmarkStart w:id="252" w:name="_Toc233282433"/>
      <w:r w:rsidRPr="000F6CD1">
        <w:t xml:space="preserve">Managing </w:t>
      </w:r>
      <w:r w:rsidR="006B4BA4" w:rsidRPr="000F6CD1">
        <w:t>r</w:t>
      </w:r>
      <w:r w:rsidRPr="000F6CD1">
        <w:t>eferrals</w:t>
      </w:r>
      <w:bookmarkEnd w:id="247"/>
      <w:bookmarkEnd w:id="248"/>
      <w:bookmarkEnd w:id="249"/>
      <w:bookmarkEnd w:id="250"/>
      <w:bookmarkEnd w:id="251"/>
      <w:bookmarkEnd w:id="252"/>
    </w:p>
    <w:p w14:paraId="56C3DC2A" w14:textId="3B40B397" w:rsidR="0016744D" w:rsidRPr="000F6CD1" w:rsidRDefault="0016744D" w:rsidP="00856600">
      <w:pPr>
        <w:spacing w:before="240" w:after="240" w:line="240" w:lineRule="auto"/>
      </w:pPr>
      <w:r w:rsidRPr="000F6CD1">
        <w:t xml:space="preserve">Through the My Aged Care </w:t>
      </w:r>
      <w:r w:rsidR="0060352D" w:rsidRPr="000F6CD1">
        <w:t>assessor portal</w:t>
      </w:r>
      <w:r w:rsidRPr="000F6CD1">
        <w:t xml:space="preserve">, a team leader can review, assign, un-assign, and re-assign referrals and SPR requests to assessors in their team. The team leader can be supported by administration officers to support day-to-day referral activities. Before accepting the referral, team leaders can change the priority of assessment referrals. Referrals can be transferred under certain conditions. Team leaders and assessors can notify My Aged Care of a deceased older person. The portal also allows assessors (and team leaders who have the assessor role type) to manage self-referrals. </w:t>
      </w:r>
    </w:p>
    <w:p w14:paraId="32E21B10" w14:textId="77777777" w:rsidR="0016744D" w:rsidRPr="000F6CD1" w:rsidRDefault="0016744D" w:rsidP="006647CE">
      <w:pPr>
        <w:pStyle w:val="h2"/>
      </w:pPr>
      <w:bookmarkStart w:id="253" w:name="_Ref58323271"/>
      <w:bookmarkStart w:id="254" w:name="_Toc159226870"/>
      <w:bookmarkStart w:id="255" w:name="_Toc184402277"/>
      <w:bookmarkStart w:id="256" w:name="_Toc204329523"/>
      <w:bookmarkStart w:id="257" w:name="_Toc499195592"/>
      <w:bookmarkStart w:id="258" w:name="_Toc209188971"/>
      <w:bookmarkStart w:id="259" w:name="_Toc233282434"/>
      <w:r w:rsidRPr="000F6CD1">
        <w:t xml:space="preserve">Referral </w:t>
      </w:r>
      <w:bookmarkEnd w:id="253"/>
      <w:r w:rsidRPr="000F6CD1">
        <w:t>priority</w:t>
      </w:r>
      <w:bookmarkEnd w:id="254"/>
      <w:bookmarkEnd w:id="255"/>
      <w:bookmarkEnd w:id="256"/>
      <w:r w:rsidRPr="000F6CD1">
        <w:t xml:space="preserve"> </w:t>
      </w:r>
      <w:bookmarkEnd w:id="257"/>
      <w:r w:rsidRPr="000F6CD1">
        <w:t>categories</w:t>
      </w:r>
      <w:bookmarkEnd w:id="258"/>
      <w:bookmarkEnd w:id="259"/>
    </w:p>
    <w:p w14:paraId="27350C8E" w14:textId="77777777" w:rsidR="0016744D" w:rsidRPr="000F6CD1" w:rsidRDefault="0016744D" w:rsidP="00856600">
      <w:pPr>
        <w:spacing w:before="240" w:after="240" w:line="240" w:lineRule="auto"/>
      </w:pPr>
      <w:r w:rsidRPr="000F6CD1">
        <w:t xml:space="preserve">A referral for assessment will include a priority rating that relates to the timing of the assessment and the urgency in which services are delivered to an older person. The allocation of a priority category for a referral is based on an older person’s level of function, the level of risk in relation to the care situation and any other relevant concerns. </w:t>
      </w:r>
    </w:p>
    <w:p w14:paraId="392F71F6" w14:textId="77777777" w:rsidR="0016744D" w:rsidRPr="000F6CD1" w:rsidRDefault="0016744D" w:rsidP="00856600">
      <w:pPr>
        <w:spacing w:before="240" w:after="240" w:line="240" w:lineRule="auto"/>
      </w:pPr>
      <w:r w:rsidRPr="000F6CD1">
        <w:t>While accepting the referral, the team leader can change a priority allocation set by the My Aged Care Contact Centre or ACSO if their professional view is that it does not align with the guidance on priority for home support and comprehensive assessments (hospital and community setting) in the section below. Timeframes associated with priority categories are specified in assessment organisation contractual agreements with the department. A priority category is also assigned when an older person is referred to services. Note: the timeframe is calculated from the date the referral was issued, not the date the priority was changed.</w:t>
      </w:r>
    </w:p>
    <w:p w14:paraId="6C33C40E" w14:textId="5776C80F" w:rsidR="0016744D" w:rsidRPr="000F6CD1" w:rsidRDefault="0016744D" w:rsidP="00856600">
      <w:pPr>
        <w:spacing w:before="240" w:after="240" w:line="240" w:lineRule="auto"/>
      </w:pPr>
      <w:r w:rsidRPr="000F6CD1">
        <w:t xml:space="preserve">In the </w:t>
      </w:r>
      <w:r w:rsidR="0060352D" w:rsidRPr="000F6CD1">
        <w:t>assessor portal</w:t>
      </w:r>
      <w:r w:rsidRPr="000F6CD1">
        <w:t>, there are visual indicators for referrals and assessments to facilitate timely responses of priority timeframes.</w:t>
      </w:r>
    </w:p>
    <w:p w14:paraId="18F53730" w14:textId="254C2649" w:rsidR="0016744D" w:rsidRPr="000F6CD1" w:rsidRDefault="0016744D" w:rsidP="00856600">
      <w:pPr>
        <w:spacing w:before="240" w:after="240" w:line="240" w:lineRule="auto"/>
      </w:pPr>
      <w:r w:rsidRPr="000F6CD1">
        <w:t xml:space="preserve">Assessment referrals to assessment organisations must be actioned (accepted, rejected or transferred) within three calendar days from issue. Following acceptance of the referral, other timeframes are applied for managing referrals, as highlighted in Tables </w:t>
      </w:r>
      <w:r w:rsidR="00D94BB3" w:rsidRPr="000F6CD1">
        <w:t>1</w:t>
      </w:r>
      <w:r w:rsidR="009559C3" w:rsidRPr="000F6CD1">
        <w:t>4</w:t>
      </w:r>
      <w:r w:rsidR="00291254" w:rsidRPr="000F6CD1">
        <w:t>-</w:t>
      </w:r>
      <w:r w:rsidR="009559C3" w:rsidRPr="000F6CD1">
        <w:t>16 below</w:t>
      </w:r>
      <w:r w:rsidRPr="000F6CD1">
        <w:t xml:space="preserve">. </w:t>
      </w:r>
    </w:p>
    <w:p w14:paraId="1252E7B5" w14:textId="77777777" w:rsidR="0016744D" w:rsidRPr="000F6CD1" w:rsidRDefault="0016744D" w:rsidP="00AD2CE5">
      <w:pPr>
        <w:pStyle w:val="H3"/>
      </w:pPr>
      <w:bookmarkStart w:id="260" w:name="_Toc184026560"/>
      <w:bookmarkStart w:id="261" w:name="_Toc184402278"/>
      <w:bookmarkStart w:id="262" w:name="_Toc204329524"/>
      <w:r w:rsidRPr="000F6CD1">
        <w:lastRenderedPageBreak/>
        <w:t>Home support assessment priority categories</w:t>
      </w:r>
      <w:bookmarkEnd w:id="260"/>
      <w:bookmarkEnd w:id="261"/>
      <w:bookmarkEnd w:id="262"/>
    </w:p>
    <w:p w14:paraId="118FD83C" w14:textId="77777777" w:rsidR="0016744D" w:rsidRPr="000F6CD1" w:rsidRDefault="0016744D" w:rsidP="00856600">
      <w:pPr>
        <w:spacing w:before="240" w:after="240" w:line="240" w:lineRule="auto"/>
      </w:pPr>
      <w:r w:rsidRPr="000F6CD1">
        <w:t xml:space="preserve">Based on the older person’s needs, a referral for a home support assessment may be classified as one of three priority categories, high medium or low. </w:t>
      </w:r>
    </w:p>
    <w:p w14:paraId="5667223A" w14:textId="0527BF60" w:rsidR="0016744D" w:rsidRPr="000F6CD1" w:rsidRDefault="0016744D" w:rsidP="00856600">
      <w:pPr>
        <w:pStyle w:val="Caption"/>
        <w:spacing w:before="240" w:after="240"/>
      </w:pPr>
      <w:r w:rsidRPr="000F6CD1">
        <w:t>Table 1</w:t>
      </w:r>
      <w:r w:rsidR="00DF6E46" w:rsidRPr="000F6CD1">
        <w:t>4</w:t>
      </w:r>
      <w:r w:rsidRPr="000F6CD1">
        <w:t>. Home support assessment priority categories</w:t>
      </w:r>
    </w:p>
    <w:tbl>
      <w:tblPr>
        <w:tblW w:w="9072" w:type="dxa"/>
        <w:tblInd w:w="-5" w:type="dxa"/>
        <w:tblBorders>
          <w:bottom w:val="single" w:sz="4" w:space="0" w:color="auto"/>
          <w:insideH w:val="single" w:sz="4" w:space="0" w:color="auto"/>
        </w:tblBorders>
        <w:tblLook w:val="04A0" w:firstRow="1" w:lastRow="0" w:firstColumn="1" w:lastColumn="0" w:noHBand="0" w:noVBand="1"/>
        <w:tblCaption w:val="Home support assessment priority categories "/>
        <w:tblDescription w:val="Guidance on the priority categories for home support assessments"/>
      </w:tblPr>
      <w:tblGrid>
        <w:gridCol w:w="1246"/>
        <w:gridCol w:w="6076"/>
        <w:gridCol w:w="1750"/>
      </w:tblGrid>
      <w:tr w:rsidR="002C4AC7" w:rsidRPr="000F6CD1" w14:paraId="18D9162A" w14:textId="77777777" w:rsidTr="00E6154C">
        <w:trPr>
          <w:tblHeader/>
        </w:trPr>
        <w:tc>
          <w:tcPr>
            <w:tcW w:w="1246" w:type="dxa"/>
            <w:shd w:val="clear" w:color="auto" w:fill="002060"/>
          </w:tcPr>
          <w:p w14:paraId="4D990042" w14:textId="77777777" w:rsidR="0016744D" w:rsidRPr="000F6CD1" w:rsidRDefault="0016744D" w:rsidP="003D374A">
            <w:pPr>
              <w:pStyle w:val="Sub-headingnon-contentpage"/>
            </w:pPr>
            <w:bookmarkStart w:id="263" w:name="_Hlk128308768"/>
            <w:r w:rsidRPr="000F6CD1">
              <w:t>Priority Level</w:t>
            </w:r>
          </w:p>
        </w:tc>
        <w:tc>
          <w:tcPr>
            <w:tcW w:w="6076" w:type="dxa"/>
            <w:shd w:val="clear" w:color="auto" w:fill="002060"/>
          </w:tcPr>
          <w:p w14:paraId="01ABC11E" w14:textId="77777777" w:rsidR="0016744D" w:rsidRPr="000F6CD1" w:rsidRDefault="0016744D" w:rsidP="003D374A">
            <w:pPr>
              <w:pStyle w:val="Sub-headingnon-contentpage"/>
            </w:pPr>
            <w:r w:rsidRPr="000F6CD1">
              <w:t>Definition</w:t>
            </w:r>
          </w:p>
        </w:tc>
        <w:tc>
          <w:tcPr>
            <w:tcW w:w="1750" w:type="dxa"/>
            <w:shd w:val="clear" w:color="auto" w:fill="002060"/>
          </w:tcPr>
          <w:p w14:paraId="351C46E9" w14:textId="77777777" w:rsidR="0016744D" w:rsidRPr="000F6CD1" w:rsidRDefault="0016744D" w:rsidP="00856600">
            <w:pPr>
              <w:spacing w:before="240" w:after="240" w:line="240" w:lineRule="auto"/>
              <w:jc w:val="center"/>
              <w:rPr>
                <w:b/>
                <w:bCs/>
                <w:color w:val="FFFFFF" w:themeColor="background1"/>
              </w:rPr>
            </w:pPr>
            <w:r w:rsidRPr="000F6CD1">
              <w:rPr>
                <w:b/>
                <w:bCs/>
                <w:color w:val="FFFFFF" w:themeColor="background1"/>
              </w:rPr>
              <w:t>Timeframes (from day of referral acceptance to completion)</w:t>
            </w:r>
          </w:p>
        </w:tc>
      </w:tr>
      <w:bookmarkEnd w:id="263"/>
      <w:tr w:rsidR="00BA1EF7" w:rsidRPr="000F6CD1" w14:paraId="37B11D52" w14:textId="77777777">
        <w:tc>
          <w:tcPr>
            <w:tcW w:w="1246" w:type="dxa"/>
          </w:tcPr>
          <w:p w14:paraId="5B34189B" w14:textId="77777777" w:rsidR="0016744D" w:rsidRPr="000F6CD1" w:rsidRDefault="0016744D" w:rsidP="003D374A">
            <w:pPr>
              <w:pStyle w:val="Sub-headingnon-contentpage"/>
            </w:pPr>
            <w:r w:rsidRPr="000F6CD1">
              <w:t>High</w:t>
            </w:r>
          </w:p>
        </w:tc>
        <w:tc>
          <w:tcPr>
            <w:tcW w:w="6076" w:type="dxa"/>
          </w:tcPr>
          <w:p w14:paraId="78A0D9DB" w14:textId="42E220C0" w:rsidR="0016744D" w:rsidRPr="000F6CD1" w:rsidRDefault="0016744D" w:rsidP="00856600">
            <w:pPr>
              <w:spacing w:before="240" w:after="240" w:line="240" w:lineRule="auto"/>
              <w:rPr>
                <w:rFonts w:ascii="Calibri" w:hAnsi="Calibri" w:cs="Calibri"/>
              </w:rPr>
            </w:pPr>
            <w:r w:rsidRPr="000F6CD1">
              <w:t xml:space="preserve">Requires an urgent assessment based on the information collected during the referral process indicating the person </w:t>
            </w:r>
            <w:r w:rsidR="00414528" w:rsidRPr="000F6CD1">
              <w:t xml:space="preserve">may </w:t>
            </w:r>
            <w:r w:rsidRPr="000F6CD1">
              <w:t>need to be hospitalised or leave their current residence without support because they are unable to care for themselves, or their carer is unavailable and/or has serious risks or safety hazards in their home. This may be due to a crisis in the home involving either the older person or the carer, or a sudden change in the older person or carer’s medical, physical, cognitive, or psychological status.</w:t>
            </w:r>
          </w:p>
          <w:p w14:paraId="4DD2A7CF" w14:textId="4D6CC348" w:rsidR="0016744D" w:rsidRPr="000F6CD1" w:rsidRDefault="003D60D5" w:rsidP="00856600">
            <w:pPr>
              <w:spacing w:before="240" w:after="240" w:line="240" w:lineRule="auto"/>
            </w:pPr>
            <w:r w:rsidRPr="000F6CD1">
              <w:t xml:space="preserve">High priority referrals may also be accompanied by a direct-to-provider referral for urgent CHSP services (see Chapter </w:t>
            </w:r>
            <w:r w:rsidR="00980B8F" w:rsidRPr="000F6CD1">
              <w:fldChar w:fldCharType="begin"/>
            </w:r>
            <w:r w:rsidR="00980B8F" w:rsidRPr="000F6CD1">
              <w:instrText xml:space="preserve"> REF _Ref212735305 \w \h </w:instrText>
            </w:r>
            <w:r w:rsidR="00980B8F" w:rsidRPr="000F6CD1">
              <w:fldChar w:fldCharType="separate"/>
            </w:r>
            <w:r w:rsidR="004B171E">
              <w:t>3</w:t>
            </w:r>
            <w:r w:rsidR="00980B8F" w:rsidRPr="000F6CD1">
              <w:fldChar w:fldCharType="end"/>
            </w:r>
            <w:r w:rsidRPr="000F6CD1">
              <w:t xml:space="preserve"> for more information on the Alternative Entry Pathway).</w:t>
            </w:r>
          </w:p>
        </w:tc>
        <w:tc>
          <w:tcPr>
            <w:tcW w:w="1750" w:type="dxa"/>
          </w:tcPr>
          <w:p w14:paraId="257C96C7" w14:textId="77777777" w:rsidR="0016744D" w:rsidRPr="000F6CD1" w:rsidRDefault="0016744D" w:rsidP="00856600">
            <w:pPr>
              <w:spacing w:before="240" w:after="240" w:line="240" w:lineRule="auto"/>
              <w:jc w:val="center"/>
            </w:pPr>
            <w:r w:rsidRPr="000F6CD1">
              <w:t xml:space="preserve">10 calendar days </w:t>
            </w:r>
          </w:p>
        </w:tc>
      </w:tr>
      <w:tr w:rsidR="00BA1EF7" w:rsidRPr="000F6CD1" w14:paraId="77BB865B" w14:textId="77777777">
        <w:tc>
          <w:tcPr>
            <w:tcW w:w="1246" w:type="dxa"/>
          </w:tcPr>
          <w:p w14:paraId="20BEA224" w14:textId="77777777" w:rsidR="0016744D" w:rsidRPr="000F6CD1" w:rsidRDefault="0016744D" w:rsidP="003D374A">
            <w:pPr>
              <w:pStyle w:val="Sub-headingnon-contentpage"/>
            </w:pPr>
            <w:r w:rsidRPr="000F6CD1">
              <w:t>Medium</w:t>
            </w:r>
          </w:p>
        </w:tc>
        <w:tc>
          <w:tcPr>
            <w:tcW w:w="6076" w:type="dxa"/>
          </w:tcPr>
          <w:p w14:paraId="4C5F0044" w14:textId="77777777" w:rsidR="0016744D" w:rsidRPr="000F6CD1" w:rsidRDefault="0016744D" w:rsidP="00856600">
            <w:pPr>
              <w:spacing w:before="240" w:after="240" w:line="240" w:lineRule="auto"/>
            </w:pPr>
            <w:r w:rsidRPr="000F6CD1">
              <w:t>Information available at referral indicates that the older person is not at immediate risk of harm, however there is a progressive deterioration in the older person’s current status (physical, mental, cognitive, situational, functional), and/or the level of care that is currently available does not meet the older person’s needs and is not sustainable long term.</w:t>
            </w:r>
          </w:p>
        </w:tc>
        <w:tc>
          <w:tcPr>
            <w:tcW w:w="1750" w:type="dxa"/>
          </w:tcPr>
          <w:p w14:paraId="739A0B97" w14:textId="77777777" w:rsidR="0016744D" w:rsidRPr="000F6CD1" w:rsidRDefault="0016744D" w:rsidP="00856600">
            <w:pPr>
              <w:spacing w:before="240" w:after="240" w:line="240" w:lineRule="auto"/>
              <w:jc w:val="center"/>
            </w:pPr>
            <w:r w:rsidRPr="000F6CD1">
              <w:t xml:space="preserve">14 calendar days </w:t>
            </w:r>
          </w:p>
        </w:tc>
      </w:tr>
      <w:tr w:rsidR="00BA1EF7" w:rsidRPr="000F6CD1" w14:paraId="095B3C3B" w14:textId="77777777" w:rsidTr="00E6154C">
        <w:trPr>
          <w:trHeight w:val="763"/>
        </w:trPr>
        <w:tc>
          <w:tcPr>
            <w:tcW w:w="1246" w:type="dxa"/>
          </w:tcPr>
          <w:p w14:paraId="701E3D7A" w14:textId="77777777" w:rsidR="0016744D" w:rsidRPr="000F6CD1" w:rsidRDefault="0016744D" w:rsidP="003D374A">
            <w:pPr>
              <w:pStyle w:val="Sub-headingnon-contentpage"/>
            </w:pPr>
            <w:r w:rsidRPr="000F6CD1">
              <w:t>Low</w:t>
            </w:r>
          </w:p>
        </w:tc>
        <w:tc>
          <w:tcPr>
            <w:tcW w:w="6076" w:type="dxa"/>
          </w:tcPr>
          <w:p w14:paraId="53296B3A" w14:textId="77777777" w:rsidR="0016744D" w:rsidRPr="000F6CD1" w:rsidRDefault="0016744D" w:rsidP="00856600">
            <w:pPr>
              <w:spacing w:before="240" w:after="240" w:line="240" w:lineRule="auto"/>
              <w:rPr>
                <w:rFonts w:ascii="Calibri" w:hAnsi="Calibri" w:cs="Calibri"/>
              </w:rPr>
            </w:pPr>
            <w:r w:rsidRPr="000F6CD1">
              <w:t>Refers to cases where the referral information indicates that the older person has sufficient support at present and does not need immediate assistance but requires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care need to be discussed with the older person and their carer or family.</w:t>
            </w:r>
          </w:p>
          <w:p w14:paraId="77037E49" w14:textId="77777777" w:rsidR="0016744D" w:rsidRPr="000F6CD1" w:rsidRDefault="0016744D" w:rsidP="00856600">
            <w:pPr>
              <w:spacing w:before="240" w:after="240" w:line="240" w:lineRule="auto"/>
            </w:pPr>
            <w:r w:rsidRPr="000F6CD1">
              <w:t>Low priority cases would also indicate that an older person can manage with their current living arrangements, can complete most functional tasks without help, and/or there are no immediate aged care related health and safety risks apparent.</w:t>
            </w:r>
          </w:p>
        </w:tc>
        <w:tc>
          <w:tcPr>
            <w:tcW w:w="1750" w:type="dxa"/>
          </w:tcPr>
          <w:p w14:paraId="5C10BE23" w14:textId="77777777" w:rsidR="0016744D" w:rsidRPr="000F6CD1" w:rsidRDefault="0016744D" w:rsidP="00856600">
            <w:pPr>
              <w:spacing w:before="240" w:after="240" w:line="240" w:lineRule="auto"/>
              <w:jc w:val="center"/>
            </w:pPr>
            <w:r w:rsidRPr="000F6CD1">
              <w:t xml:space="preserve">21 calendar days </w:t>
            </w:r>
          </w:p>
        </w:tc>
      </w:tr>
    </w:tbl>
    <w:p w14:paraId="0C224C0C" w14:textId="0178FEE7" w:rsidR="0016744D" w:rsidRPr="000F6CD1" w:rsidRDefault="0016744D" w:rsidP="00AD2CE5">
      <w:pPr>
        <w:pStyle w:val="H3"/>
      </w:pPr>
      <w:bookmarkStart w:id="264" w:name="_Toc184026561"/>
      <w:bookmarkStart w:id="265" w:name="_Toc184402279"/>
      <w:bookmarkStart w:id="266" w:name="_Toc204329525"/>
      <w:bookmarkStart w:id="267" w:name="_Hlk78276402"/>
      <w:r w:rsidRPr="000F6CD1">
        <w:lastRenderedPageBreak/>
        <w:t>Comprehensive assessment priority categories</w:t>
      </w:r>
      <w:bookmarkEnd w:id="264"/>
      <w:r w:rsidRPr="000F6CD1">
        <w:t>- community setting</w:t>
      </w:r>
      <w:bookmarkEnd w:id="265"/>
      <w:bookmarkEnd w:id="266"/>
    </w:p>
    <w:bookmarkEnd w:id="267"/>
    <w:p w14:paraId="1ACC2D12" w14:textId="0A42F245" w:rsidR="0016744D" w:rsidRPr="000F6CD1" w:rsidRDefault="0016744D" w:rsidP="00856600">
      <w:pPr>
        <w:spacing w:before="240" w:after="240" w:line="240" w:lineRule="auto"/>
      </w:pPr>
      <w:r w:rsidRPr="000F6CD1">
        <w:t xml:space="preserve">The community setting includes the older person or carer’s home, a community centre, private residence, a clinic, a residential aged care facility, or where the setting is not specified. </w:t>
      </w:r>
    </w:p>
    <w:p w14:paraId="25E9D4AC" w14:textId="06A6385A" w:rsidR="0016744D" w:rsidRPr="000F6CD1" w:rsidRDefault="0016744D" w:rsidP="00856600">
      <w:pPr>
        <w:pStyle w:val="Caption"/>
        <w:spacing w:before="240" w:after="240"/>
        <w:rPr>
          <w:lang w:eastAsia="ko-KR"/>
        </w:rPr>
      </w:pPr>
      <w:bookmarkStart w:id="268" w:name="_Hlk78276520"/>
      <w:r w:rsidRPr="000F6CD1">
        <w:t>Table 1</w:t>
      </w:r>
      <w:r w:rsidR="00DF6E46" w:rsidRPr="000F6CD1">
        <w:t>5</w:t>
      </w:r>
      <w:r w:rsidRPr="000F6CD1">
        <w:t xml:space="preserve">. Comprehensive assessment priority categories – community setting </w:t>
      </w:r>
      <w:r w:rsidR="00D34E4A">
        <w:t xml:space="preserve">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Comprehensive assessment priority categories - community setting"/>
        <w:tblDescription w:val="Guidance on priority cateogies for comprehensive assessments in community settings"/>
      </w:tblPr>
      <w:tblGrid>
        <w:gridCol w:w="1134"/>
        <w:gridCol w:w="5812"/>
        <w:gridCol w:w="2126"/>
      </w:tblGrid>
      <w:tr w:rsidR="004C407E" w:rsidRPr="000F6CD1" w14:paraId="5E16FE9A" w14:textId="77777777">
        <w:trPr>
          <w:trHeight w:val="841"/>
          <w:tblHeader/>
        </w:trPr>
        <w:tc>
          <w:tcPr>
            <w:tcW w:w="1134" w:type="dxa"/>
            <w:shd w:val="clear" w:color="auto" w:fill="002060"/>
          </w:tcPr>
          <w:p w14:paraId="169088C1" w14:textId="77777777" w:rsidR="0016744D" w:rsidRPr="000F6CD1" w:rsidRDefault="0016744D" w:rsidP="003D374A">
            <w:pPr>
              <w:pStyle w:val="Sub-headingnon-contentpage"/>
            </w:pPr>
            <w:r w:rsidRPr="000F6CD1">
              <w:t>Priority Level</w:t>
            </w:r>
          </w:p>
        </w:tc>
        <w:tc>
          <w:tcPr>
            <w:tcW w:w="5812" w:type="dxa"/>
            <w:shd w:val="clear" w:color="auto" w:fill="002060"/>
          </w:tcPr>
          <w:p w14:paraId="41DB056B" w14:textId="77777777" w:rsidR="0016744D" w:rsidRPr="000F6CD1" w:rsidRDefault="0016744D" w:rsidP="003D374A">
            <w:pPr>
              <w:pStyle w:val="Sub-headingnon-contentpage"/>
              <w:rPr>
                <w:lang w:eastAsia="ja-JP"/>
              </w:rPr>
            </w:pPr>
            <w:r w:rsidRPr="000F6CD1">
              <w:t>Definition</w:t>
            </w:r>
          </w:p>
        </w:tc>
        <w:tc>
          <w:tcPr>
            <w:tcW w:w="2126" w:type="dxa"/>
            <w:shd w:val="clear" w:color="auto" w:fill="002060"/>
          </w:tcPr>
          <w:p w14:paraId="0A6BA148" w14:textId="77777777" w:rsidR="0016744D" w:rsidRPr="000F6CD1" w:rsidRDefault="0016744D" w:rsidP="00856600">
            <w:pPr>
              <w:spacing w:before="240" w:after="240" w:line="240" w:lineRule="auto"/>
              <w:jc w:val="center"/>
              <w:rPr>
                <w:b/>
                <w:bCs/>
                <w:color w:val="FFFFFF" w:themeColor="background1"/>
                <w:lang w:eastAsia="ja-JP"/>
              </w:rPr>
            </w:pPr>
            <w:r w:rsidRPr="000F6CD1">
              <w:rPr>
                <w:b/>
                <w:bCs/>
                <w:color w:val="FFFFFF" w:themeColor="background1"/>
              </w:rPr>
              <w:t xml:space="preserve"> Timeframes (from day of referral acceptance to completion)</w:t>
            </w:r>
          </w:p>
        </w:tc>
      </w:tr>
      <w:tr w:rsidR="000201EF" w:rsidRPr="000F6CD1" w14:paraId="512AEA40" w14:textId="77777777">
        <w:tc>
          <w:tcPr>
            <w:tcW w:w="1134" w:type="dxa"/>
            <w:shd w:val="clear" w:color="auto" w:fill="002060"/>
          </w:tcPr>
          <w:p w14:paraId="333243AC" w14:textId="77777777" w:rsidR="0016744D" w:rsidRPr="000F6CD1" w:rsidRDefault="0016744D" w:rsidP="003D374A">
            <w:pPr>
              <w:pStyle w:val="Sub-headingnon-contentpage"/>
            </w:pPr>
            <w:r w:rsidRPr="000F6CD1">
              <w:t>High</w:t>
            </w:r>
          </w:p>
        </w:tc>
        <w:tc>
          <w:tcPr>
            <w:tcW w:w="5812" w:type="dxa"/>
          </w:tcPr>
          <w:p w14:paraId="2A5ADC47" w14:textId="236533E4" w:rsidR="0016744D" w:rsidRPr="000F6CD1" w:rsidRDefault="0016744D" w:rsidP="00856600">
            <w:pPr>
              <w:spacing w:before="240" w:after="240" w:line="240" w:lineRule="auto"/>
            </w:pPr>
            <w:r w:rsidRPr="000F6CD1">
              <w:t xml:space="preserve">Requires an immediate response (e.g., response within 48 hours) based on the information collected during the referral process. An urgent assessment is required if the person’s safety is at risk (e.g., high risk of falls or abuse), or there is a high likelihood that the person will be hospitalised or required to leave their current residence because they are unable to care for themselves, or their carer is unavailable. This may be due to a crisis in the home involving either the older person or the carer, or a sudden change in the older person or carer’s medical, physical, cognitive, or psychological status. </w:t>
            </w:r>
          </w:p>
          <w:p w14:paraId="647AB183" w14:textId="155E7A15" w:rsidR="0016744D" w:rsidRPr="0071540D" w:rsidRDefault="0016744D" w:rsidP="00856600">
            <w:pPr>
              <w:spacing w:before="240" w:after="240" w:line="240" w:lineRule="auto"/>
            </w:pPr>
            <w:r w:rsidRPr="000F6CD1">
              <w:t>End-of-Life Pathway referrals are also in this category and should be prioritised for urgent action.</w:t>
            </w:r>
          </w:p>
        </w:tc>
        <w:tc>
          <w:tcPr>
            <w:tcW w:w="2126" w:type="dxa"/>
          </w:tcPr>
          <w:p w14:paraId="51F8CF06" w14:textId="77777777" w:rsidR="0016744D" w:rsidRPr="000F6CD1" w:rsidRDefault="0016744D" w:rsidP="00856600">
            <w:pPr>
              <w:spacing w:before="240" w:after="240" w:line="240" w:lineRule="auto"/>
              <w:jc w:val="center"/>
            </w:pPr>
            <w:r w:rsidRPr="000F6CD1">
              <w:t xml:space="preserve">10 calendar days </w:t>
            </w:r>
          </w:p>
        </w:tc>
      </w:tr>
      <w:tr w:rsidR="000201EF" w:rsidRPr="000F6CD1" w14:paraId="7FC94A9B" w14:textId="77777777">
        <w:tc>
          <w:tcPr>
            <w:tcW w:w="1134" w:type="dxa"/>
            <w:shd w:val="clear" w:color="auto" w:fill="002060"/>
          </w:tcPr>
          <w:p w14:paraId="7669879E" w14:textId="77777777" w:rsidR="0016744D" w:rsidRPr="000F6CD1" w:rsidRDefault="0016744D" w:rsidP="003D374A">
            <w:pPr>
              <w:pStyle w:val="Sub-headingnon-contentpage"/>
            </w:pPr>
            <w:r w:rsidRPr="000F6CD1">
              <w:t>Medium</w:t>
            </w:r>
          </w:p>
        </w:tc>
        <w:tc>
          <w:tcPr>
            <w:tcW w:w="5812" w:type="dxa"/>
          </w:tcPr>
          <w:p w14:paraId="4984A797" w14:textId="77777777" w:rsidR="0016744D" w:rsidRPr="000F6CD1" w:rsidRDefault="0016744D" w:rsidP="00856600">
            <w:pPr>
              <w:spacing w:before="240" w:after="240" w:line="240" w:lineRule="auto"/>
              <w:rPr>
                <w:color w:val="000000"/>
                <w:lang w:eastAsia="ja-JP"/>
              </w:rPr>
            </w:pPr>
            <w:r w:rsidRPr="000F6CD1">
              <w:t>Information available at referral indicates that the older person is not at immediate risk of harm. Referrals should be allocated to this priority category if they indicate progressive deterioration in the older person’s physical, mental, or functional status, or that the level of care currently available to the older person does not meet their needs or is not sustainable in the long-term.</w:t>
            </w:r>
          </w:p>
        </w:tc>
        <w:tc>
          <w:tcPr>
            <w:tcW w:w="2126" w:type="dxa"/>
          </w:tcPr>
          <w:p w14:paraId="011E3AFA" w14:textId="77777777" w:rsidR="0016744D" w:rsidRPr="000F6CD1" w:rsidRDefault="0016744D" w:rsidP="00856600">
            <w:pPr>
              <w:spacing w:before="240" w:after="240" w:line="240" w:lineRule="auto"/>
              <w:jc w:val="center"/>
            </w:pPr>
            <w:r w:rsidRPr="000F6CD1">
              <w:t xml:space="preserve">20 calendar days </w:t>
            </w:r>
          </w:p>
        </w:tc>
      </w:tr>
      <w:tr w:rsidR="000201EF" w:rsidRPr="000F6CD1" w14:paraId="7103E96C" w14:textId="77777777">
        <w:trPr>
          <w:trHeight w:val="1272"/>
        </w:trPr>
        <w:tc>
          <w:tcPr>
            <w:tcW w:w="1134" w:type="dxa"/>
            <w:shd w:val="clear" w:color="auto" w:fill="002060"/>
          </w:tcPr>
          <w:p w14:paraId="68400894" w14:textId="77777777" w:rsidR="0016744D" w:rsidRPr="000F6CD1" w:rsidRDefault="0016744D" w:rsidP="003D374A">
            <w:pPr>
              <w:pStyle w:val="Sub-headingnon-contentpage"/>
            </w:pPr>
            <w:r w:rsidRPr="000F6CD1">
              <w:t>Low</w:t>
            </w:r>
          </w:p>
        </w:tc>
        <w:tc>
          <w:tcPr>
            <w:tcW w:w="5812" w:type="dxa"/>
          </w:tcPr>
          <w:p w14:paraId="7B960D46" w14:textId="77777777" w:rsidR="0016744D" w:rsidRPr="000F6CD1" w:rsidRDefault="0016744D" w:rsidP="00856600">
            <w:pPr>
              <w:spacing w:before="240" w:after="240" w:line="240" w:lineRule="auto"/>
              <w:rPr>
                <w:color w:val="000000"/>
                <w:lang w:eastAsia="ja-JP"/>
              </w:rPr>
            </w:pPr>
            <w:r w:rsidRPr="000F6CD1">
              <w:t xml:space="preserve">Refers to cases where the referral information indicates that the older person has sufficient support available at present, but that they require an assessment in anticipation of their upcoming care requirements. Examples include the carer planning a holiday, which will result in the care recipient requiring the provision of substitute care or recognition that the person is having increased difficulty living independently and options for care need to be discussed with the older person and their carer or family. </w:t>
            </w:r>
          </w:p>
        </w:tc>
        <w:tc>
          <w:tcPr>
            <w:tcW w:w="2126" w:type="dxa"/>
          </w:tcPr>
          <w:p w14:paraId="46882BC4" w14:textId="77777777" w:rsidR="0016744D" w:rsidRPr="000F6CD1" w:rsidRDefault="0016744D" w:rsidP="00856600">
            <w:pPr>
              <w:spacing w:before="240" w:after="240" w:line="240" w:lineRule="auto"/>
              <w:ind w:left="39"/>
            </w:pPr>
            <w:r w:rsidRPr="000F6CD1">
              <w:t xml:space="preserve">40 calendar days </w:t>
            </w:r>
          </w:p>
        </w:tc>
      </w:tr>
    </w:tbl>
    <w:p w14:paraId="3F5E434B" w14:textId="77777777" w:rsidR="0016744D" w:rsidRPr="000F6CD1" w:rsidRDefault="0016744D" w:rsidP="00AD2CE5">
      <w:pPr>
        <w:pStyle w:val="H3"/>
      </w:pPr>
      <w:bookmarkStart w:id="269" w:name="_Toc184402280"/>
      <w:bookmarkStart w:id="270" w:name="_Toc204329526"/>
      <w:bookmarkStart w:id="271" w:name="_Hlk184396955"/>
      <w:bookmarkStart w:id="272" w:name="_Hlk78276314"/>
      <w:r w:rsidRPr="000F6CD1">
        <w:lastRenderedPageBreak/>
        <w:t>Hospital assessment priority categories</w:t>
      </w:r>
      <w:bookmarkEnd w:id="269"/>
      <w:bookmarkEnd w:id="270"/>
    </w:p>
    <w:p w14:paraId="1E487A9A" w14:textId="77777777" w:rsidR="0016744D" w:rsidRPr="000F6CD1" w:rsidRDefault="0016744D" w:rsidP="00856600">
      <w:pPr>
        <w:spacing w:before="240" w:after="240" w:line="240" w:lineRule="auto"/>
      </w:pPr>
      <w:r w:rsidRPr="000F6CD1">
        <w:t>The hospital setting includes aged care assessments in an acute setting, a public or private hospital, or other hospital inpatient setting.</w:t>
      </w:r>
    </w:p>
    <w:bookmarkEnd w:id="271"/>
    <w:p w14:paraId="5D941E11" w14:textId="5B568B0F" w:rsidR="0016744D" w:rsidRPr="000F6CD1" w:rsidRDefault="0016744D" w:rsidP="00856600">
      <w:pPr>
        <w:pStyle w:val="Caption"/>
        <w:spacing w:before="240" w:after="240"/>
        <w:rPr>
          <w:lang w:eastAsia="ko-KR"/>
        </w:rPr>
      </w:pPr>
      <w:r w:rsidRPr="000F6CD1">
        <w:t>Table 1</w:t>
      </w:r>
      <w:r w:rsidR="00DF6E46" w:rsidRPr="000F6CD1">
        <w:t>6</w:t>
      </w:r>
      <w:r w:rsidRPr="000F6CD1">
        <w:t xml:space="preserve">. Hospital assessment priority categories </w:t>
      </w:r>
    </w:p>
    <w:tbl>
      <w:tblPr>
        <w:tblW w:w="9072" w:type="dxa"/>
        <w:tblInd w:w="-5" w:type="dxa"/>
        <w:tblBorders>
          <w:bottom w:val="single" w:sz="4" w:space="0" w:color="auto"/>
          <w:insideH w:val="single" w:sz="4" w:space="0" w:color="auto"/>
        </w:tblBorders>
        <w:tblLayout w:type="fixed"/>
        <w:tblLook w:val="04A0" w:firstRow="1" w:lastRow="0" w:firstColumn="1" w:lastColumn="0" w:noHBand="0" w:noVBand="1"/>
        <w:tblCaption w:val="Hopsital assessment priority categories "/>
        <w:tblDescription w:val="Guidance on priority categories for assessments in a hospital setting"/>
      </w:tblPr>
      <w:tblGrid>
        <w:gridCol w:w="1955"/>
        <w:gridCol w:w="4849"/>
        <w:gridCol w:w="2268"/>
      </w:tblGrid>
      <w:tr w:rsidR="004C407E" w:rsidRPr="000F6CD1" w14:paraId="3AEBACE6" w14:textId="77777777" w:rsidTr="00E6154C">
        <w:trPr>
          <w:trHeight w:val="841"/>
          <w:tblHeader/>
        </w:trPr>
        <w:tc>
          <w:tcPr>
            <w:tcW w:w="1955" w:type="dxa"/>
            <w:shd w:val="clear" w:color="auto" w:fill="002060"/>
          </w:tcPr>
          <w:p w14:paraId="16524DE4" w14:textId="77777777" w:rsidR="0016744D" w:rsidRPr="000F6CD1" w:rsidRDefault="0016744D" w:rsidP="003D374A">
            <w:pPr>
              <w:pStyle w:val="Sub-headingnon-contentpage"/>
            </w:pPr>
            <w:bookmarkStart w:id="273" w:name="_Hlk128315452"/>
            <w:bookmarkEnd w:id="272"/>
            <w:r w:rsidRPr="000F6CD1">
              <w:t>Priority Level</w:t>
            </w:r>
          </w:p>
        </w:tc>
        <w:tc>
          <w:tcPr>
            <w:tcW w:w="4849" w:type="dxa"/>
            <w:shd w:val="clear" w:color="auto" w:fill="002060"/>
          </w:tcPr>
          <w:p w14:paraId="6E82E3E4" w14:textId="77777777" w:rsidR="0016744D" w:rsidRPr="000F6CD1" w:rsidRDefault="0016744D" w:rsidP="003D374A">
            <w:pPr>
              <w:pStyle w:val="Sub-headingnon-contentpage"/>
              <w:rPr>
                <w:lang w:eastAsia="ja-JP"/>
              </w:rPr>
            </w:pPr>
            <w:r w:rsidRPr="000F6CD1">
              <w:t>Definition</w:t>
            </w:r>
          </w:p>
        </w:tc>
        <w:tc>
          <w:tcPr>
            <w:tcW w:w="2268" w:type="dxa"/>
            <w:shd w:val="clear" w:color="auto" w:fill="002060"/>
          </w:tcPr>
          <w:p w14:paraId="2E6D8748" w14:textId="77777777" w:rsidR="0016744D" w:rsidRPr="000F6CD1" w:rsidRDefault="0016744D" w:rsidP="00856600">
            <w:pPr>
              <w:spacing w:before="240" w:after="240" w:line="240" w:lineRule="auto"/>
              <w:jc w:val="center"/>
              <w:rPr>
                <w:b/>
                <w:bCs/>
                <w:color w:val="FFFFFF" w:themeColor="background1"/>
                <w:szCs w:val="22"/>
              </w:rPr>
            </w:pPr>
            <w:r w:rsidRPr="000F6CD1">
              <w:rPr>
                <w:b/>
                <w:bCs/>
                <w:color w:val="FFFFFF" w:themeColor="background1"/>
                <w:szCs w:val="22"/>
              </w:rPr>
              <w:t>Timeframes (from day of referral acceptance to completion)</w:t>
            </w:r>
          </w:p>
        </w:tc>
      </w:tr>
      <w:tr w:rsidR="007C5952" w:rsidRPr="000F6CD1" w14:paraId="1BF2176C" w14:textId="77777777">
        <w:tc>
          <w:tcPr>
            <w:tcW w:w="1955" w:type="dxa"/>
          </w:tcPr>
          <w:p w14:paraId="7E54C1ED" w14:textId="77777777" w:rsidR="0016744D" w:rsidRPr="000F6CD1" w:rsidRDefault="0016744D" w:rsidP="003D374A">
            <w:pPr>
              <w:pStyle w:val="Sub-headingnon-contentpage"/>
            </w:pPr>
            <w:r w:rsidRPr="000F6CD1">
              <w:t>High</w:t>
            </w:r>
          </w:p>
        </w:tc>
        <w:tc>
          <w:tcPr>
            <w:tcW w:w="4849" w:type="dxa"/>
          </w:tcPr>
          <w:p w14:paraId="14A0A127" w14:textId="77777777" w:rsidR="0016744D" w:rsidRPr="000F6CD1" w:rsidRDefault="0016744D" w:rsidP="00856600">
            <w:pPr>
              <w:spacing w:before="240" w:after="240" w:line="240" w:lineRule="auto"/>
              <w:rPr>
                <w:color w:val="000000"/>
                <w:szCs w:val="22"/>
                <w:lang w:eastAsia="ja-JP"/>
              </w:rPr>
            </w:pPr>
            <w:r w:rsidRPr="000F6CD1">
              <w:rPr>
                <w:szCs w:val="22"/>
              </w:rPr>
              <w:t xml:space="preserve">Requires an immediate response based on the information collected during the referral process (e.g., response within 2 calendar days and completion within 5 calendar days of referral acceptance). </w:t>
            </w:r>
          </w:p>
        </w:tc>
        <w:tc>
          <w:tcPr>
            <w:tcW w:w="2268" w:type="dxa"/>
          </w:tcPr>
          <w:p w14:paraId="715318FA" w14:textId="77777777" w:rsidR="0016744D" w:rsidRPr="000F6CD1" w:rsidRDefault="0016744D" w:rsidP="00856600">
            <w:pPr>
              <w:spacing w:before="240" w:after="240" w:line="240" w:lineRule="auto"/>
              <w:jc w:val="center"/>
              <w:rPr>
                <w:szCs w:val="22"/>
              </w:rPr>
            </w:pPr>
            <w:r w:rsidRPr="000F6CD1">
              <w:rPr>
                <w:szCs w:val="22"/>
              </w:rPr>
              <w:t>5 calendar days</w:t>
            </w:r>
          </w:p>
        </w:tc>
      </w:tr>
      <w:tr w:rsidR="007C5952" w:rsidRPr="000F6CD1" w14:paraId="2DCF1B5D" w14:textId="77777777">
        <w:tc>
          <w:tcPr>
            <w:tcW w:w="1955" w:type="dxa"/>
          </w:tcPr>
          <w:p w14:paraId="31795397" w14:textId="77777777" w:rsidR="0016744D" w:rsidRPr="000F6CD1" w:rsidRDefault="0016744D" w:rsidP="003D374A">
            <w:pPr>
              <w:pStyle w:val="Sub-headingnon-contentpage"/>
            </w:pPr>
            <w:r w:rsidRPr="000F6CD1">
              <w:t>Medium</w:t>
            </w:r>
          </w:p>
        </w:tc>
        <w:tc>
          <w:tcPr>
            <w:tcW w:w="4849" w:type="dxa"/>
          </w:tcPr>
          <w:p w14:paraId="16889B07" w14:textId="77777777" w:rsidR="0016744D" w:rsidRPr="000F6CD1" w:rsidRDefault="0016744D" w:rsidP="00856600">
            <w:pPr>
              <w:spacing w:before="240" w:after="240" w:line="240" w:lineRule="auto"/>
              <w:rPr>
                <w:color w:val="000000"/>
                <w:szCs w:val="22"/>
                <w:lang w:eastAsia="ja-JP"/>
              </w:rPr>
            </w:pPr>
            <w:r w:rsidRPr="000F6CD1">
              <w:rPr>
                <w:szCs w:val="22"/>
              </w:rPr>
              <w:t>Information available at referral indicates that the older person is not at immediate risk of harm. Referrals indicate progressive deterioration in the older person’s physical, mental, or functioning status, or that the level of care currently available to the older person does not meet their needs or is not sustainable in the long-term (e.g., response within 5 calendar days and completion within 10 calendar days of referral acceptance).</w:t>
            </w:r>
          </w:p>
        </w:tc>
        <w:tc>
          <w:tcPr>
            <w:tcW w:w="2268" w:type="dxa"/>
          </w:tcPr>
          <w:p w14:paraId="11B026D9" w14:textId="77777777" w:rsidR="0016744D" w:rsidRPr="000F6CD1" w:rsidRDefault="0016744D" w:rsidP="00856600">
            <w:pPr>
              <w:spacing w:before="240" w:after="240" w:line="240" w:lineRule="auto"/>
              <w:jc w:val="center"/>
              <w:rPr>
                <w:szCs w:val="22"/>
              </w:rPr>
            </w:pPr>
            <w:r w:rsidRPr="000F6CD1">
              <w:rPr>
                <w:szCs w:val="22"/>
              </w:rPr>
              <w:t>10 calendar days</w:t>
            </w:r>
          </w:p>
        </w:tc>
      </w:tr>
      <w:tr w:rsidR="007C5952" w:rsidRPr="000F6CD1" w14:paraId="71D464B2" w14:textId="77777777">
        <w:trPr>
          <w:trHeight w:val="1272"/>
        </w:trPr>
        <w:tc>
          <w:tcPr>
            <w:tcW w:w="1955" w:type="dxa"/>
          </w:tcPr>
          <w:p w14:paraId="7D599207" w14:textId="77777777" w:rsidR="0016744D" w:rsidRPr="000F6CD1" w:rsidRDefault="0016744D" w:rsidP="003D374A">
            <w:pPr>
              <w:pStyle w:val="Sub-headingnon-contentpage"/>
            </w:pPr>
            <w:r w:rsidRPr="000F6CD1">
              <w:t>Low</w:t>
            </w:r>
          </w:p>
        </w:tc>
        <w:tc>
          <w:tcPr>
            <w:tcW w:w="4849" w:type="dxa"/>
          </w:tcPr>
          <w:p w14:paraId="70440F2D" w14:textId="77777777" w:rsidR="0016744D" w:rsidRPr="000F6CD1" w:rsidRDefault="0016744D" w:rsidP="00856600">
            <w:pPr>
              <w:spacing w:before="240" w:after="240" w:line="240" w:lineRule="auto"/>
              <w:ind w:right="459"/>
              <w:rPr>
                <w:color w:val="000000"/>
                <w:szCs w:val="22"/>
                <w:lang w:eastAsia="ja-JP"/>
              </w:rPr>
            </w:pPr>
            <w:r w:rsidRPr="000F6CD1">
              <w:rPr>
                <w:szCs w:val="22"/>
              </w:rPr>
              <w:t xml:space="preserve">Information available at referral indicates an appropriate response within 10 calendar days and completion within 15 calendar days of referral acceptance). </w:t>
            </w:r>
          </w:p>
        </w:tc>
        <w:tc>
          <w:tcPr>
            <w:tcW w:w="2268" w:type="dxa"/>
          </w:tcPr>
          <w:p w14:paraId="7E071C44" w14:textId="77777777" w:rsidR="0016744D" w:rsidRPr="000F6CD1" w:rsidRDefault="0016744D" w:rsidP="00856600">
            <w:pPr>
              <w:spacing w:before="240" w:after="240" w:line="240" w:lineRule="auto"/>
              <w:ind w:right="459"/>
              <w:contextualSpacing/>
              <w:jc w:val="center"/>
              <w:rPr>
                <w:szCs w:val="22"/>
              </w:rPr>
            </w:pPr>
            <w:r w:rsidRPr="000F6CD1">
              <w:rPr>
                <w:szCs w:val="22"/>
              </w:rPr>
              <w:t>15 calendar days</w:t>
            </w:r>
          </w:p>
        </w:tc>
      </w:tr>
    </w:tbl>
    <w:p w14:paraId="7C27F493" w14:textId="77777777" w:rsidR="0016744D" w:rsidRPr="000F6CD1" w:rsidRDefault="0016744D" w:rsidP="00856600">
      <w:pPr>
        <w:spacing w:before="240" w:after="240" w:line="240" w:lineRule="auto"/>
        <w:rPr>
          <w:iCs/>
        </w:rPr>
      </w:pPr>
      <w:bookmarkStart w:id="274" w:name="_Hlk78276290"/>
      <w:bookmarkEnd w:id="268"/>
      <w:bookmarkEnd w:id="273"/>
      <w:r w:rsidRPr="000F6CD1">
        <w:rPr>
          <w:iCs/>
        </w:rPr>
        <w:t xml:space="preserve">For all priorities in the hospital setting, the expectation is that at the time the assessment is undertaken: </w:t>
      </w:r>
    </w:p>
    <w:p w14:paraId="23DEAB9B" w14:textId="77777777" w:rsidR="0016744D" w:rsidRPr="000F6CD1" w:rsidRDefault="0016744D" w:rsidP="00DF3F6B">
      <w:pPr>
        <w:pStyle w:val="ListParagraph"/>
        <w:numPr>
          <w:ilvl w:val="0"/>
          <w:numId w:val="57"/>
        </w:numPr>
        <w:spacing w:before="240" w:after="240" w:line="240" w:lineRule="auto"/>
        <w:rPr>
          <w:iCs/>
        </w:rPr>
      </w:pPr>
      <w:r w:rsidRPr="000F6CD1">
        <w:rPr>
          <w:iCs/>
        </w:rPr>
        <w:t xml:space="preserve">The person is anticipated to be medically stable, unless they have a rapidly deteriorating condition that cannot be stabilised. </w:t>
      </w:r>
    </w:p>
    <w:p w14:paraId="306A2B0E" w14:textId="77777777" w:rsidR="0016744D" w:rsidRPr="000F6CD1" w:rsidRDefault="0016744D" w:rsidP="00DF3F6B">
      <w:pPr>
        <w:pStyle w:val="ListParagraph"/>
        <w:numPr>
          <w:ilvl w:val="0"/>
          <w:numId w:val="57"/>
        </w:numPr>
        <w:spacing w:before="240" w:after="240" w:line="240" w:lineRule="auto"/>
        <w:rPr>
          <w:iCs/>
        </w:rPr>
      </w:pPr>
      <w:r w:rsidRPr="000F6CD1">
        <w:rPr>
          <w:iCs/>
        </w:rPr>
        <w:t>The full range of clinical and rehabilitation support (to be provided by the hospital) are explored to ascertain the best care options for the older person on discharge from hospital. This may include:</w:t>
      </w:r>
    </w:p>
    <w:p w14:paraId="74029871" w14:textId="77777777" w:rsidR="0016744D" w:rsidRPr="000F6CD1" w:rsidRDefault="0016744D" w:rsidP="00DF3F6B">
      <w:pPr>
        <w:pStyle w:val="ListParagraph"/>
        <w:numPr>
          <w:ilvl w:val="0"/>
          <w:numId w:val="58"/>
        </w:numPr>
        <w:spacing w:before="240" w:after="240" w:line="240" w:lineRule="auto"/>
        <w:ind w:left="1560"/>
        <w:rPr>
          <w:iCs/>
        </w:rPr>
      </w:pPr>
      <w:r w:rsidRPr="000F6CD1">
        <w:rPr>
          <w:iCs/>
        </w:rPr>
        <w:t>multidisciplinary case conferencing with the carer and family</w:t>
      </w:r>
    </w:p>
    <w:p w14:paraId="229F1785" w14:textId="77777777" w:rsidR="0016744D" w:rsidRPr="000F6CD1" w:rsidRDefault="0016744D" w:rsidP="00DF3F6B">
      <w:pPr>
        <w:pStyle w:val="ListParagraph"/>
        <w:numPr>
          <w:ilvl w:val="0"/>
          <w:numId w:val="58"/>
        </w:numPr>
        <w:spacing w:before="240" w:after="240" w:line="240" w:lineRule="auto"/>
        <w:ind w:left="1560"/>
        <w:rPr>
          <w:iCs/>
        </w:rPr>
      </w:pPr>
      <w:r w:rsidRPr="000F6CD1">
        <w:rPr>
          <w:iCs/>
        </w:rPr>
        <w:t>consultation with the hospital geriatric rehabilitation service or equivalent</w:t>
      </w:r>
    </w:p>
    <w:p w14:paraId="4C561585" w14:textId="77777777" w:rsidR="0016744D" w:rsidRPr="000F6CD1" w:rsidRDefault="0016744D" w:rsidP="00DF3F6B">
      <w:pPr>
        <w:pStyle w:val="ListParagraph"/>
        <w:numPr>
          <w:ilvl w:val="0"/>
          <w:numId w:val="58"/>
        </w:numPr>
        <w:spacing w:before="240" w:after="240" w:line="240" w:lineRule="auto"/>
        <w:ind w:left="1560"/>
        <w:rPr>
          <w:iCs/>
        </w:rPr>
      </w:pPr>
      <w:r w:rsidRPr="000F6CD1">
        <w:rPr>
          <w:iCs/>
        </w:rPr>
        <w:t xml:space="preserve">consultation with members of the treating multidisciplinary team; and </w:t>
      </w:r>
    </w:p>
    <w:p w14:paraId="1D845EBE" w14:textId="77777777" w:rsidR="0016744D" w:rsidRPr="000F6CD1" w:rsidRDefault="0016744D" w:rsidP="00DF3F6B">
      <w:pPr>
        <w:pStyle w:val="ListParagraph"/>
        <w:numPr>
          <w:ilvl w:val="0"/>
          <w:numId w:val="58"/>
        </w:numPr>
        <w:spacing w:before="240" w:after="240" w:line="240" w:lineRule="auto"/>
        <w:ind w:left="1560"/>
        <w:rPr>
          <w:iCs/>
        </w:rPr>
      </w:pPr>
      <w:r w:rsidRPr="000F6CD1">
        <w:rPr>
          <w:iCs/>
        </w:rPr>
        <w:t>liaison with hospital discharge planners.</w:t>
      </w:r>
    </w:p>
    <w:bookmarkEnd w:id="274"/>
    <w:p w14:paraId="7A33672D" w14:textId="77777777" w:rsidR="0016744D" w:rsidRPr="000F6CD1" w:rsidRDefault="0016744D" w:rsidP="00856600">
      <w:pPr>
        <w:spacing w:before="240" w:after="240" w:line="240" w:lineRule="auto"/>
      </w:pPr>
      <w:r w:rsidRPr="000F6CD1">
        <w:t>Adverse effects on the older person of prolonged hospitalisation, or where a delay may disadvantage the older person from accessing the care option they need, are other factors that influence the decision on the priority.</w:t>
      </w:r>
    </w:p>
    <w:p w14:paraId="210A267B" w14:textId="5DA12857" w:rsidR="0016744D" w:rsidRPr="000F6CD1" w:rsidRDefault="0016744D" w:rsidP="006647CE">
      <w:pPr>
        <w:pStyle w:val="h2"/>
      </w:pPr>
      <w:bookmarkStart w:id="275" w:name="_Toc499195597"/>
      <w:bookmarkStart w:id="276" w:name="_Ref128153385"/>
      <w:bookmarkStart w:id="277" w:name="_Ref128153508"/>
      <w:bookmarkStart w:id="278" w:name="_Toc159226871"/>
      <w:bookmarkStart w:id="279" w:name="_Ref167870576"/>
      <w:bookmarkStart w:id="280" w:name="_Toc184402281"/>
      <w:bookmarkStart w:id="281" w:name="_Toc204329527"/>
      <w:bookmarkStart w:id="282" w:name="_Toc209188972"/>
      <w:bookmarkStart w:id="283" w:name="_Ref212733599"/>
      <w:bookmarkStart w:id="284" w:name="_Ref212733619"/>
      <w:bookmarkStart w:id="285" w:name="_Toc233282435"/>
      <w:r w:rsidRPr="000F6CD1">
        <w:lastRenderedPageBreak/>
        <w:t xml:space="preserve">Actioning </w:t>
      </w:r>
      <w:r w:rsidR="006B4BA4" w:rsidRPr="000F6CD1">
        <w:t>r</w:t>
      </w:r>
      <w:r w:rsidRPr="000F6CD1">
        <w:t>eferrals</w:t>
      </w:r>
      <w:bookmarkEnd w:id="275"/>
      <w:bookmarkEnd w:id="276"/>
      <w:bookmarkEnd w:id="277"/>
      <w:bookmarkEnd w:id="278"/>
      <w:bookmarkEnd w:id="279"/>
      <w:bookmarkEnd w:id="280"/>
      <w:bookmarkEnd w:id="281"/>
      <w:bookmarkEnd w:id="282"/>
      <w:bookmarkEnd w:id="283"/>
      <w:bookmarkEnd w:id="284"/>
      <w:bookmarkEnd w:id="285"/>
    </w:p>
    <w:p w14:paraId="1D72FD59" w14:textId="2B81659C" w:rsidR="0016744D" w:rsidRPr="000F6CD1" w:rsidRDefault="0016744D" w:rsidP="00856600">
      <w:pPr>
        <w:spacing w:before="240" w:after="240" w:line="240" w:lineRule="auto"/>
      </w:pPr>
      <w:r w:rsidRPr="000F6CD1">
        <w:t xml:space="preserve">Once a referral for assessment is issued, team leaders can action by accepting, rejecting or transferring the referral. After allocating to </w:t>
      </w:r>
      <w:r w:rsidR="00484BD6" w:rsidRPr="000F6CD1">
        <w:t>a Triage Delegate</w:t>
      </w:r>
      <w:r w:rsidRPr="000F6CD1">
        <w:t xml:space="preserve">, it is only the team leader who can reject or transfer a referral. A referral can only be transferred once. The system also allows ‘bulk’ acceptance of referrals. If this functionality is used, the department expects that the referral has been appropriately reviewed prior to the team leader’s decision to accept a referral. Referrals cannot be recalled or cancelled by the My Aged Care </w:t>
      </w:r>
      <w:r w:rsidR="00933BAF" w:rsidRPr="000F6CD1">
        <w:t>Service Provider and Assessor Helpline</w:t>
      </w:r>
      <w:r w:rsidRPr="000F6CD1">
        <w:t xml:space="preserve"> once the referral has been accepted.</w:t>
      </w:r>
    </w:p>
    <w:p w14:paraId="25DAC36B" w14:textId="77777777" w:rsidR="004107E5" w:rsidRPr="000F6CD1" w:rsidRDefault="0016744D" w:rsidP="00806A21">
      <w:pPr>
        <w:pStyle w:val="Sub-headings"/>
      </w:pPr>
      <w:r w:rsidRPr="000F6CD1">
        <w:t>Note:</w:t>
      </w:r>
    </w:p>
    <w:p w14:paraId="342D25C7" w14:textId="548C6D70" w:rsidR="004107E5" w:rsidRPr="000F6CD1" w:rsidRDefault="0016744D" w:rsidP="00806A21">
      <w:pPr>
        <w:pStyle w:val="Sub-headings"/>
      </w:pPr>
      <w:r w:rsidRPr="000F6CD1">
        <w:t xml:space="preserve">Business allocation counts all referrals issued to the assessment organisation, regardless of the action (accept, reject or transfer). </w:t>
      </w:r>
      <w:bookmarkStart w:id="286" w:name="_Toc204329528"/>
    </w:p>
    <w:p w14:paraId="1C612ED3" w14:textId="391816AB" w:rsidR="0016744D" w:rsidRPr="000F6CD1" w:rsidRDefault="0016744D" w:rsidP="00AD2CE5">
      <w:pPr>
        <w:pStyle w:val="H3"/>
      </w:pPr>
      <w:r w:rsidRPr="000F6CD1">
        <w:t xml:space="preserve">Preference for an Aboriginal and Torres Strait Islander </w:t>
      </w:r>
      <w:r w:rsidR="006B4BA4" w:rsidRPr="000F6CD1">
        <w:t>a</w:t>
      </w:r>
      <w:r w:rsidRPr="000F6CD1">
        <w:t xml:space="preserve">ssessment </w:t>
      </w:r>
      <w:r w:rsidR="006B4BA4" w:rsidRPr="000F6CD1">
        <w:t>o</w:t>
      </w:r>
      <w:r w:rsidRPr="000F6CD1">
        <w:t>rganisation</w:t>
      </w:r>
      <w:bookmarkEnd w:id="286"/>
    </w:p>
    <w:p w14:paraId="574E1816" w14:textId="68F2565A" w:rsidR="0016744D" w:rsidRPr="000F6CD1" w:rsidRDefault="0016744D" w:rsidP="00856600">
      <w:pPr>
        <w:spacing w:before="240" w:after="240" w:line="240" w:lineRule="auto"/>
        <w:rPr>
          <w:rFonts w:eastAsia="MS Mincho"/>
        </w:rPr>
      </w:pPr>
      <w:r w:rsidRPr="000F6CD1">
        <w:rPr>
          <w:rFonts w:eastAsia="MS Mincho"/>
        </w:rPr>
        <w:t xml:space="preserve">Some older Aboriginal and Torres Strait Islander people may prefer to be assessed by an Aboriginal and Torres Strait Islander assessment organisation, </w:t>
      </w:r>
      <w:r w:rsidR="00D148F5" w:rsidRPr="000F6CD1">
        <w:rPr>
          <w:rFonts w:eastAsia="MS Mincho"/>
        </w:rPr>
        <w:t>where one is available. O</w:t>
      </w:r>
      <w:r w:rsidRPr="000F6CD1">
        <w:rPr>
          <w:rFonts w:eastAsia="MS Mincho"/>
        </w:rPr>
        <w:t xml:space="preserve">thers may prefer </w:t>
      </w:r>
      <w:r w:rsidR="00ED150F" w:rsidRPr="000F6CD1">
        <w:rPr>
          <w:rFonts w:eastAsia="MS Mincho"/>
        </w:rPr>
        <w:t>to be assessed by</w:t>
      </w:r>
      <w:r w:rsidRPr="000F6CD1">
        <w:rPr>
          <w:rFonts w:eastAsia="MS Mincho"/>
        </w:rPr>
        <w:t xml:space="preserve"> the first available organisation regardless of who it is, and some may prefer to receive an assessment from a mainstream assessment organisation. </w:t>
      </w:r>
      <w:r w:rsidR="00CC2D3B" w:rsidRPr="000F6CD1">
        <w:rPr>
          <w:rFonts w:eastAsia="MS Mincho"/>
        </w:rPr>
        <w:t>The single assessment</w:t>
      </w:r>
      <w:r w:rsidRPr="000F6CD1">
        <w:rPr>
          <w:rFonts w:eastAsia="MS Mincho"/>
        </w:rPr>
        <w:t xml:space="preserve"> pathway supports </w:t>
      </w:r>
      <w:r w:rsidR="00130E48" w:rsidRPr="000F6CD1">
        <w:rPr>
          <w:rFonts w:eastAsia="MS Mincho"/>
        </w:rPr>
        <w:t xml:space="preserve">and upholds </w:t>
      </w:r>
      <w:r w:rsidRPr="000F6CD1">
        <w:rPr>
          <w:rFonts w:eastAsia="MS Mincho"/>
        </w:rPr>
        <w:t xml:space="preserve">the </w:t>
      </w:r>
      <w:r w:rsidR="00130E48" w:rsidRPr="000F6CD1">
        <w:rPr>
          <w:rFonts w:eastAsia="MS Mincho"/>
        </w:rPr>
        <w:t>right</w:t>
      </w:r>
      <w:r w:rsidRPr="000F6CD1">
        <w:rPr>
          <w:rFonts w:eastAsia="MS Mincho"/>
        </w:rPr>
        <w:t xml:space="preserve"> of each </w:t>
      </w:r>
      <w:r w:rsidR="004D1C08" w:rsidRPr="000F6CD1">
        <w:rPr>
          <w:rFonts w:eastAsia="MS Mincho"/>
        </w:rPr>
        <w:t xml:space="preserve">individual </w:t>
      </w:r>
      <w:r w:rsidRPr="000F6CD1">
        <w:rPr>
          <w:rFonts w:eastAsia="MS Mincho"/>
        </w:rPr>
        <w:t xml:space="preserve">older Aboriginal and Torres Strait Islander person. </w:t>
      </w:r>
    </w:p>
    <w:p w14:paraId="69FEF01D" w14:textId="3F63D7A8" w:rsidR="0016744D" w:rsidRPr="000F6CD1" w:rsidRDefault="0016744D" w:rsidP="00856600">
      <w:pPr>
        <w:pStyle w:val="ListParagraph"/>
        <w:spacing w:before="240" w:after="240" w:line="240" w:lineRule="auto"/>
        <w:ind w:left="0"/>
        <w:rPr>
          <w:rFonts w:eastAsia="MS Mincho"/>
          <w:szCs w:val="20"/>
        </w:rPr>
      </w:pPr>
      <w:r w:rsidRPr="000F6CD1">
        <w:rPr>
          <w:rFonts w:eastAsia="MS Mincho"/>
          <w:szCs w:val="20"/>
        </w:rPr>
        <w:t>My Aged Care system functionality records if an Aboriginal and Torres Strait Islander client prefer</w:t>
      </w:r>
      <w:r w:rsidR="00C25A72" w:rsidRPr="000F6CD1">
        <w:rPr>
          <w:rFonts w:eastAsia="MS Mincho"/>
          <w:szCs w:val="20"/>
        </w:rPr>
        <w:t>s</w:t>
      </w:r>
      <w:r w:rsidRPr="000F6CD1">
        <w:rPr>
          <w:rFonts w:eastAsia="MS Mincho"/>
          <w:szCs w:val="20"/>
        </w:rPr>
        <w:t xml:space="preserve"> to have their assessment completed by an Aboriginal and Torres Strait Islander assessment organisation. </w:t>
      </w:r>
    </w:p>
    <w:p w14:paraId="744E667E" w14:textId="2533E9DE" w:rsidR="0016744D" w:rsidRPr="000F6CD1" w:rsidRDefault="0016744D" w:rsidP="00DF3F6B">
      <w:pPr>
        <w:pStyle w:val="ListParagraph"/>
        <w:numPr>
          <w:ilvl w:val="0"/>
          <w:numId w:val="71"/>
        </w:numPr>
        <w:spacing w:before="240" w:after="240" w:line="240" w:lineRule="auto"/>
        <w:rPr>
          <w:rFonts w:eastAsia="MS Mincho"/>
        </w:rPr>
      </w:pPr>
      <w:r w:rsidRPr="000F6CD1">
        <w:rPr>
          <w:rFonts w:eastAsia="MS Mincho"/>
        </w:rPr>
        <w:t xml:space="preserve">This should be recorded when registering a client in the My Aged Care system </w:t>
      </w:r>
    </w:p>
    <w:p w14:paraId="7EBEE76E" w14:textId="77777777" w:rsidR="0016744D" w:rsidRPr="000F6CD1" w:rsidRDefault="0016744D" w:rsidP="00DF3F6B">
      <w:pPr>
        <w:pStyle w:val="ListParagraph"/>
        <w:numPr>
          <w:ilvl w:val="0"/>
          <w:numId w:val="71"/>
        </w:numPr>
        <w:spacing w:before="240" w:after="240" w:line="240" w:lineRule="auto"/>
        <w:rPr>
          <w:rFonts w:eastAsia="MS Mincho"/>
          <w:szCs w:val="20"/>
        </w:rPr>
      </w:pPr>
      <w:r w:rsidRPr="000F6CD1">
        <w:rPr>
          <w:rFonts w:eastAsia="MS Mincho"/>
          <w:szCs w:val="20"/>
        </w:rPr>
        <w:t xml:space="preserve">It may also be recorded by an assessor during an assessment. </w:t>
      </w:r>
    </w:p>
    <w:p w14:paraId="7CC16A4F" w14:textId="01DC76CF" w:rsidR="0016744D" w:rsidRPr="000F6CD1" w:rsidRDefault="00504B1E" w:rsidP="00DF3F6B">
      <w:pPr>
        <w:pStyle w:val="ListParagraph"/>
        <w:numPr>
          <w:ilvl w:val="0"/>
          <w:numId w:val="71"/>
        </w:numPr>
        <w:spacing w:before="240" w:after="240" w:line="240" w:lineRule="auto"/>
        <w:rPr>
          <w:rFonts w:eastAsia="MS Mincho"/>
          <w:szCs w:val="20"/>
        </w:rPr>
      </w:pPr>
      <w:r w:rsidRPr="000F6CD1">
        <w:rPr>
          <w:rFonts w:eastAsia="MS Mincho"/>
          <w:szCs w:val="20"/>
        </w:rPr>
        <w:t>Once recorded, t</w:t>
      </w:r>
      <w:r w:rsidR="0016744D" w:rsidRPr="000F6CD1">
        <w:rPr>
          <w:rFonts w:eastAsia="MS Mincho"/>
          <w:szCs w:val="20"/>
        </w:rPr>
        <w:t xml:space="preserve">he preference will </w:t>
      </w:r>
      <w:r w:rsidRPr="000F6CD1">
        <w:rPr>
          <w:rFonts w:eastAsia="MS Mincho"/>
          <w:szCs w:val="20"/>
        </w:rPr>
        <w:t xml:space="preserve">be </w:t>
      </w:r>
      <w:r w:rsidR="0016744D" w:rsidRPr="000F6CD1">
        <w:rPr>
          <w:rFonts w:eastAsia="MS Mincho"/>
          <w:szCs w:val="20"/>
        </w:rPr>
        <w:t>display</w:t>
      </w:r>
      <w:r w:rsidRPr="000F6CD1">
        <w:rPr>
          <w:rFonts w:eastAsia="MS Mincho"/>
          <w:szCs w:val="20"/>
        </w:rPr>
        <w:t>ed</w:t>
      </w:r>
      <w:r w:rsidR="0016744D" w:rsidRPr="000F6CD1">
        <w:rPr>
          <w:rFonts w:eastAsia="MS Mincho"/>
          <w:szCs w:val="20"/>
        </w:rPr>
        <w:t xml:space="preserve"> in the client details as well as on the client’s card. </w:t>
      </w:r>
    </w:p>
    <w:p w14:paraId="23184293" w14:textId="71DBBB29" w:rsidR="0016744D" w:rsidRPr="000F6CD1" w:rsidRDefault="0016744D" w:rsidP="00DF3F6B">
      <w:pPr>
        <w:pStyle w:val="ListParagraph"/>
        <w:numPr>
          <w:ilvl w:val="0"/>
          <w:numId w:val="71"/>
        </w:numPr>
        <w:spacing w:before="240" w:after="240" w:line="240" w:lineRule="auto"/>
        <w:rPr>
          <w:rFonts w:eastAsia="MS Mincho"/>
          <w:szCs w:val="20"/>
        </w:rPr>
      </w:pPr>
      <w:r w:rsidRPr="000F6CD1">
        <w:rPr>
          <w:rFonts w:eastAsia="MS Mincho"/>
          <w:szCs w:val="20"/>
        </w:rPr>
        <w:t xml:space="preserve">If one is available, Aboriginal and Torres Strait Islander assessment organisations will be represented with a prefix “FNAO-” and appear at the top of the list of available </w:t>
      </w:r>
      <w:r w:rsidR="00AD0233" w:rsidRPr="000F6CD1">
        <w:rPr>
          <w:rFonts w:eastAsia="MS Mincho"/>
          <w:szCs w:val="20"/>
        </w:rPr>
        <w:t>assessment organisations</w:t>
      </w:r>
      <w:r w:rsidRPr="000F6CD1">
        <w:rPr>
          <w:rFonts w:eastAsia="MS Mincho"/>
          <w:szCs w:val="20"/>
        </w:rPr>
        <w:t xml:space="preserve">. </w:t>
      </w:r>
      <w:r w:rsidRPr="000F6CD1">
        <w:rPr>
          <w:rFonts w:eastAsia="MS Mincho"/>
        </w:rPr>
        <w:t xml:space="preserve">If none is available in the region, then no organisation on the list will have the prefix. </w:t>
      </w:r>
    </w:p>
    <w:p w14:paraId="74BECE33" w14:textId="5B3B565F" w:rsidR="0016744D" w:rsidRPr="000F6CD1" w:rsidRDefault="002C0C7C" w:rsidP="00DF3F6B">
      <w:pPr>
        <w:pStyle w:val="ListParagraph"/>
        <w:numPr>
          <w:ilvl w:val="0"/>
          <w:numId w:val="71"/>
        </w:numPr>
        <w:spacing w:before="240" w:after="240" w:line="240" w:lineRule="auto"/>
        <w:rPr>
          <w:rFonts w:eastAsia="MS Mincho"/>
        </w:rPr>
      </w:pPr>
      <w:r w:rsidRPr="000F6CD1">
        <w:rPr>
          <w:rFonts w:eastAsia="MS Mincho"/>
          <w:szCs w:val="20"/>
        </w:rPr>
        <w:t>Team Leaders</w:t>
      </w:r>
      <w:r w:rsidR="0016744D" w:rsidRPr="000F6CD1" w:rsidDel="00DC020C">
        <w:rPr>
          <w:rFonts w:eastAsia="MS Mincho"/>
          <w:szCs w:val="20"/>
        </w:rPr>
        <w:t xml:space="preserve"> </w:t>
      </w:r>
      <w:r w:rsidR="0016744D" w:rsidRPr="000F6CD1">
        <w:rPr>
          <w:rFonts w:eastAsia="MS Mincho"/>
          <w:szCs w:val="20"/>
        </w:rPr>
        <w:t xml:space="preserve">will </w:t>
      </w:r>
      <w:r w:rsidR="00C765B5" w:rsidRPr="000F6CD1">
        <w:rPr>
          <w:rFonts w:eastAsia="MS Mincho"/>
          <w:szCs w:val="20"/>
        </w:rPr>
        <w:t>receive system notification</w:t>
      </w:r>
      <w:r w:rsidR="0016744D" w:rsidRPr="000F6CD1">
        <w:rPr>
          <w:rFonts w:eastAsia="MS Mincho"/>
          <w:szCs w:val="20"/>
        </w:rPr>
        <w:t xml:space="preserve"> if the client has indicated a preference</w:t>
      </w:r>
      <w:r w:rsidR="003B6966" w:rsidRPr="000F6CD1">
        <w:rPr>
          <w:rFonts w:eastAsia="MS Mincho"/>
          <w:szCs w:val="20"/>
        </w:rPr>
        <w:t xml:space="preserve"> but is being </w:t>
      </w:r>
      <w:r w:rsidR="0016744D" w:rsidRPr="000F6CD1">
        <w:rPr>
          <w:rFonts w:eastAsia="MS Mincho"/>
          <w:szCs w:val="20"/>
        </w:rPr>
        <w:t>transfer</w:t>
      </w:r>
      <w:r w:rsidR="00297503" w:rsidRPr="000F6CD1">
        <w:rPr>
          <w:rFonts w:eastAsia="MS Mincho"/>
          <w:szCs w:val="20"/>
        </w:rPr>
        <w:t>red</w:t>
      </w:r>
      <w:r w:rsidR="0016744D" w:rsidRPr="000F6CD1">
        <w:rPr>
          <w:rFonts w:eastAsia="MS Mincho"/>
          <w:szCs w:val="20"/>
        </w:rPr>
        <w:t xml:space="preserve">  </w:t>
      </w:r>
      <w:r w:rsidR="00356E26" w:rsidRPr="000F6CD1">
        <w:rPr>
          <w:rFonts w:eastAsia="MS Mincho"/>
          <w:szCs w:val="20"/>
        </w:rPr>
        <w:t>to an</w:t>
      </w:r>
      <w:r w:rsidR="00E41531" w:rsidRPr="000F6CD1">
        <w:rPr>
          <w:rFonts w:eastAsia="MS Mincho"/>
          <w:szCs w:val="20"/>
        </w:rPr>
        <w:t>other</w:t>
      </w:r>
      <w:r w:rsidR="0016744D" w:rsidRPr="000F6CD1">
        <w:rPr>
          <w:rFonts w:eastAsia="MS Mincho"/>
          <w:szCs w:val="20"/>
        </w:rPr>
        <w:t xml:space="preserve"> assessment organisation </w:t>
      </w:r>
      <w:r w:rsidR="00E41531" w:rsidRPr="000F6CD1">
        <w:rPr>
          <w:rFonts w:eastAsia="MS Mincho"/>
          <w:szCs w:val="20"/>
        </w:rPr>
        <w:t>that</w:t>
      </w:r>
      <w:r w:rsidR="00356E26" w:rsidRPr="000F6CD1">
        <w:rPr>
          <w:rFonts w:eastAsia="MS Mincho"/>
          <w:szCs w:val="20"/>
        </w:rPr>
        <w:t xml:space="preserve"> </w:t>
      </w:r>
      <w:r w:rsidR="0016744D" w:rsidRPr="000F6CD1">
        <w:rPr>
          <w:rFonts w:eastAsia="MS Mincho"/>
          <w:szCs w:val="20"/>
        </w:rPr>
        <w:t xml:space="preserve">is not an Aboriginal and Torres Strait Islander assessment organisation. </w:t>
      </w:r>
    </w:p>
    <w:p w14:paraId="56F981B2" w14:textId="37E90946" w:rsidR="0016744D" w:rsidRPr="000F6CD1" w:rsidRDefault="0016744D" w:rsidP="00DF3F6B">
      <w:pPr>
        <w:pStyle w:val="ListParagraph"/>
        <w:numPr>
          <w:ilvl w:val="0"/>
          <w:numId w:val="71"/>
        </w:numPr>
        <w:spacing w:before="240" w:after="240" w:line="240" w:lineRule="auto"/>
        <w:rPr>
          <w:rFonts w:eastAsia="MS Mincho"/>
        </w:rPr>
      </w:pPr>
      <w:r w:rsidRPr="000F6CD1">
        <w:rPr>
          <w:rFonts w:eastAsia="MS Mincho"/>
        </w:rPr>
        <w:t xml:space="preserve">Sometimes, the older person will want to know the name of the available organisation(s) before being referred to them. </w:t>
      </w:r>
    </w:p>
    <w:p w14:paraId="74074CEB" w14:textId="0A025FEF" w:rsidR="0071540D" w:rsidRDefault="0016744D" w:rsidP="00DF6E46">
      <w:pPr>
        <w:spacing w:before="240" w:after="240" w:line="240" w:lineRule="auto"/>
        <w:rPr>
          <w:rFonts w:eastAsia="MS Mincho"/>
        </w:rPr>
      </w:pPr>
      <w:r w:rsidRPr="000F6CD1">
        <w:rPr>
          <w:rFonts w:eastAsia="MS Mincho"/>
        </w:rPr>
        <w:t xml:space="preserve">An older Aboriginal and Torres Strait Islander person may change or </w:t>
      </w:r>
      <w:r w:rsidR="001F0793" w:rsidRPr="000F6CD1">
        <w:rPr>
          <w:rFonts w:eastAsia="MS Mincho"/>
        </w:rPr>
        <w:t xml:space="preserve">withdraw </w:t>
      </w:r>
      <w:r w:rsidRPr="000F6CD1">
        <w:rPr>
          <w:rFonts w:eastAsia="MS Mincho"/>
        </w:rPr>
        <w:t>their preference at any time</w:t>
      </w:r>
      <w:r w:rsidR="001F0793" w:rsidRPr="000F6CD1">
        <w:rPr>
          <w:rFonts w:eastAsia="MS Mincho"/>
        </w:rPr>
        <w:t>. A</w:t>
      </w:r>
      <w:r w:rsidRPr="000F6CD1">
        <w:rPr>
          <w:rFonts w:eastAsia="MS Mincho"/>
        </w:rPr>
        <w:t xml:space="preserve">ssessors are expected to </w:t>
      </w:r>
      <w:r w:rsidR="00DF4D33" w:rsidRPr="000F6CD1">
        <w:rPr>
          <w:rFonts w:eastAsia="MS Mincho"/>
        </w:rPr>
        <w:t xml:space="preserve">respect and </w:t>
      </w:r>
      <w:r w:rsidRPr="000F6CD1">
        <w:rPr>
          <w:rFonts w:eastAsia="MS Mincho"/>
        </w:rPr>
        <w:t xml:space="preserve">support the </w:t>
      </w:r>
      <w:r w:rsidR="00D6092B" w:rsidRPr="000F6CD1">
        <w:rPr>
          <w:rFonts w:eastAsia="MS Mincho"/>
        </w:rPr>
        <w:t xml:space="preserve">person’s </w:t>
      </w:r>
      <w:r w:rsidRPr="000F6CD1">
        <w:rPr>
          <w:rFonts w:eastAsia="MS Mincho"/>
        </w:rPr>
        <w:t>preferences.</w:t>
      </w:r>
    </w:p>
    <w:p w14:paraId="3C5AFF56" w14:textId="7D2E40B6" w:rsidR="00E365F6" w:rsidRPr="000F6CD1" w:rsidRDefault="0071540D" w:rsidP="0071540D">
      <w:pPr>
        <w:rPr>
          <w:rFonts w:eastAsia="MS Mincho"/>
        </w:rPr>
      </w:pPr>
      <w:r>
        <w:rPr>
          <w:rFonts w:eastAsia="MS Mincho"/>
        </w:rPr>
        <w:br w:type="page"/>
      </w:r>
    </w:p>
    <w:p w14:paraId="3DFDF3FC" w14:textId="77777777" w:rsidR="004107E5" w:rsidRPr="000F6CD1" w:rsidRDefault="0016744D" w:rsidP="00806A21">
      <w:pPr>
        <w:pStyle w:val="Sub-headings"/>
      </w:pPr>
      <w:r w:rsidRPr="000F6CD1">
        <w:lastRenderedPageBreak/>
        <w:t xml:space="preserve">Note: </w:t>
      </w:r>
    </w:p>
    <w:p w14:paraId="176B7088" w14:textId="259AC82C" w:rsidR="0016744D" w:rsidRPr="000F6CD1" w:rsidRDefault="0016744D" w:rsidP="00806A21">
      <w:pPr>
        <w:pStyle w:val="Sub-headings"/>
      </w:pPr>
      <w:r w:rsidRPr="000F6CD1">
        <w:t xml:space="preserve">Aboriginal and Torres Strait Islander assessment organisations have commenced in some parts of Australia from </w:t>
      </w:r>
      <w:r w:rsidR="0045239F" w:rsidRPr="000F6CD1">
        <w:t xml:space="preserve">August </w:t>
      </w:r>
      <w:r w:rsidRPr="000F6CD1">
        <w:t xml:space="preserve">2025. </w:t>
      </w:r>
    </w:p>
    <w:p w14:paraId="5DAF5C6A" w14:textId="04E8BB0B" w:rsidR="002D74C8" w:rsidRPr="000F6CD1" w:rsidRDefault="0016744D" w:rsidP="00806A21">
      <w:pPr>
        <w:pStyle w:val="Sub-headings"/>
      </w:pPr>
      <w:r w:rsidRPr="71E2F12B">
        <w:t xml:space="preserve">In regions </w:t>
      </w:r>
      <w:r w:rsidR="00A745B9" w:rsidRPr="71E2F12B">
        <w:t xml:space="preserve">where these </w:t>
      </w:r>
      <w:r w:rsidRPr="71E2F12B">
        <w:t xml:space="preserve">services are </w:t>
      </w:r>
      <w:r w:rsidR="00A745B9" w:rsidRPr="71E2F12B">
        <w:t xml:space="preserve">still </w:t>
      </w:r>
      <w:r w:rsidRPr="71E2F12B">
        <w:t>being established, an older Aboriginal and</w:t>
      </w:r>
      <w:r w:rsidR="00040D4E" w:rsidRPr="71E2F12B">
        <w:t xml:space="preserve"> </w:t>
      </w:r>
      <w:r w:rsidRPr="71E2F12B">
        <w:t xml:space="preserve">Torres Strait Islander person will not be able to be referred to an Aboriginal and Torres Strait Islander </w:t>
      </w:r>
      <w:r w:rsidR="00E72D15" w:rsidRPr="71E2F12B">
        <w:t>assessment organisation</w:t>
      </w:r>
      <w:r w:rsidRPr="71E2F12B">
        <w:t>. Information about an older person’s preference will be collect</w:t>
      </w:r>
      <w:r w:rsidR="0071074E" w:rsidRPr="71E2F12B">
        <w:t>ed</w:t>
      </w:r>
      <w:r w:rsidR="00BD613F" w:rsidRPr="71E2F12B">
        <w:t xml:space="preserve"> and used to understand</w:t>
      </w:r>
      <w:r w:rsidRPr="71E2F12B">
        <w:t xml:space="preserve"> demand for these services. Once Aboriginal and Torres Strait Islander </w:t>
      </w:r>
      <w:r w:rsidR="00E72D15" w:rsidRPr="71E2F12B">
        <w:t>assessment o</w:t>
      </w:r>
      <w:r w:rsidRPr="71E2F12B">
        <w:t>rganisation become available</w:t>
      </w:r>
      <w:r w:rsidR="0025409E" w:rsidRPr="71E2F12B">
        <w:t xml:space="preserve"> in </w:t>
      </w:r>
      <w:r w:rsidR="00EB6D74" w:rsidRPr="71E2F12B">
        <w:t xml:space="preserve">their </w:t>
      </w:r>
      <w:r w:rsidR="0025409E" w:rsidRPr="71E2F12B">
        <w:t>region</w:t>
      </w:r>
      <w:r w:rsidRPr="71E2F12B">
        <w:t xml:space="preserve">, this preference information will </w:t>
      </w:r>
      <w:r w:rsidR="00D279AC" w:rsidRPr="71E2F12B">
        <w:t xml:space="preserve">guide </w:t>
      </w:r>
      <w:r w:rsidRPr="71E2F12B">
        <w:t>refer</w:t>
      </w:r>
      <w:r w:rsidR="00D279AC" w:rsidRPr="71E2F12B">
        <w:t>rals</w:t>
      </w:r>
      <w:r w:rsidR="000C1AEE" w:rsidRPr="71E2F12B">
        <w:t xml:space="preserve"> for</w:t>
      </w:r>
      <w:r w:rsidR="0032795D" w:rsidRPr="71E2F12B">
        <w:t xml:space="preserve"> </w:t>
      </w:r>
      <w:r w:rsidRPr="71E2F12B">
        <w:t>a</w:t>
      </w:r>
      <w:r w:rsidR="006C08B1" w:rsidRPr="71E2F12B">
        <w:t>n</w:t>
      </w:r>
      <w:r w:rsidR="0085346F" w:rsidRPr="71E2F12B">
        <w:t xml:space="preserve"> </w:t>
      </w:r>
      <w:r w:rsidRPr="71E2F12B">
        <w:t xml:space="preserve">assessment or </w:t>
      </w:r>
      <w:r w:rsidR="7ECBBD8F" w:rsidRPr="71E2F12B">
        <w:t>s</w:t>
      </w:r>
      <w:r w:rsidRPr="71E2F12B">
        <w:t xml:space="preserve">upport </w:t>
      </w:r>
      <w:r w:rsidR="397219E6" w:rsidRPr="71E2F12B">
        <w:t>p</w:t>
      </w:r>
      <w:r w:rsidRPr="71E2F12B">
        <w:t xml:space="preserve">lan </w:t>
      </w:r>
      <w:r w:rsidR="0D89EAE9" w:rsidRPr="71E2F12B">
        <w:t>r</w:t>
      </w:r>
      <w:r w:rsidRPr="71E2F12B">
        <w:t>eview</w:t>
      </w:r>
      <w:r w:rsidR="00921985" w:rsidRPr="71E2F12B">
        <w:t>.</w:t>
      </w:r>
      <w:r w:rsidRPr="71E2F12B">
        <w:t xml:space="preserve"> </w:t>
      </w:r>
    </w:p>
    <w:p w14:paraId="27B0FBAF" w14:textId="1804842C" w:rsidR="0016744D" w:rsidRPr="000F6CD1" w:rsidRDefault="0016744D" w:rsidP="00AD2CE5">
      <w:pPr>
        <w:pStyle w:val="H3"/>
      </w:pPr>
      <w:r w:rsidRPr="000F6CD1">
        <w:t>Providing assessment services as Aboriginal and Torres Strait Islander assessment organisations are being established</w:t>
      </w:r>
    </w:p>
    <w:p w14:paraId="4BB4366D" w14:textId="034D8379" w:rsidR="0016744D" w:rsidRPr="000F6CD1" w:rsidRDefault="0016744D" w:rsidP="00856600">
      <w:pPr>
        <w:spacing w:before="240" w:after="240" w:line="240" w:lineRule="auto"/>
        <w:rPr>
          <w:rFonts w:eastAsia="MS Mincho"/>
        </w:rPr>
      </w:pPr>
      <w:r w:rsidRPr="000F6CD1">
        <w:rPr>
          <w:rFonts w:eastAsia="MS Mincho"/>
        </w:rPr>
        <w:t>Whil</w:t>
      </w:r>
      <w:r w:rsidR="00902662" w:rsidRPr="000F6CD1">
        <w:rPr>
          <w:rFonts w:eastAsia="MS Mincho"/>
        </w:rPr>
        <w:t>e</w:t>
      </w:r>
      <w:r w:rsidRPr="000F6CD1">
        <w:rPr>
          <w:rFonts w:eastAsia="MS Mincho"/>
        </w:rPr>
        <w:t xml:space="preserve"> Aboriginal and Torres Strait Islander assessment organisations are being established, older Aboriginal and Torres Strait Islander people will continue to be assessed by </w:t>
      </w:r>
      <w:r w:rsidR="003004B8" w:rsidRPr="000F6CD1">
        <w:rPr>
          <w:rFonts w:eastAsia="MS Mincho"/>
        </w:rPr>
        <w:t xml:space="preserve">mainstream </w:t>
      </w:r>
      <w:r w:rsidRPr="000F6CD1">
        <w:rPr>
          <w:rFonts w:eastAsia="MS Mincho"/>
        </w:rPr>
        <w:t xml:space="preserve">assessment organisations under the Single Assessment System. </w:t>
      </w:r>
    </w:p>
    <w:p w14:paraId="5FBAADBC" w14:textId="23705026" w:rsidR="006B0F72" w:rsidRPr="000F6CD1" w:rsidRDefault="00EC4EFD" w:rsidP="00856600">
      <w:pPr>
        <w:spacing w:before="240" w:after="240" w:line="240" w:lineRule="auto"/>
        <w:rPr>
          <w:rFonts w:eastAsia="MS Mincho"/>
        </w:rPr>
      </w:pPr>
      <w:r w:rsidRPr="000F6CD1">
        <w:rPr>
          <w:rFonts w:eastAsia="MS Mincho"/>
        </w:rPr>
        <w:t xml:space="preserve">If an Aboriginal and Torres Strait Islander client is already </w:t>
      </w:r>
      <w:r w:rsidR="009F45BB" w:rsidRPr="000F6CD1">
        <w:rPr>
          <w:rFonts w:eastAsia="MS Mincho"/>
        </w:rPr>
        <w:t>scheduled for an</w:t>
      </w:r>
      <w:r w:rsidR="00A71265" w:rsidRPr="000F6CD1">
        <w:rPr>
          <w:rFonts w:eastAsia="MS Mincho"/>
        </w:rPr>
        <w:t xml:space="preserve"> assessment </w:t>
      </w:r>
      <w:r w:rsidRPr="000F6CD1">
        <w:rPr>
          <w:rFonts w:eastAsia="MS Mincho"/>
        </w:rPr>
        <w:t xml:space="preserve">with a mainstream </w:t>
      </w:r>
      <w:r w:rsidR="009E3AFC" w:rsidRPr="000F6CD1">
        <w:rPr>
          <w:rFonts w:eastAsia="MS Mincho"/>
        </w:rPr>
        <w:t xml:space="preserve">assessment </w:t>
      </w:r>
      <w:r w:rsidRPr="000F6CD1">
        <w:rPr>
          <w:rFonts w:eastAsia="MS Mincho"/>
        </w:rPr>
        <w:t xml:space="preserve">organisation and an Aboriginal and Torres Strait Islander assessment </w:t>
      </w:r>
      <w:r w:rsidR="00A41EC9" w:rsidRPr="000F6CD1">
        <w:rPr>
          <w:rFonts w:eastAsia="MS Mincho"/>
        </w:rPr>
        <w:t xml:space="preserve">organisation </w:t>
      </w:r>
      <w:r w:rsidRPr="000F6CD1">
        <w:rPr>
          <w:rFonts w:eastAsia="MS Mincho"/>
        </w:rPr>
        <w:t>become</w:t>
      </w:r>
      <w:r w:rsidR="00A74E7E" w:rsidRPr="000F6CD1">
        <w:rPr>
          <w:rFonts w:eastAsia="MS Mincho"/>
        </w:rPr>
        <w:t>s</w:t>
      </w:r>
      <w:r w:rsidRPr="000F6CD1">
        <w:rPr>
          <w:rFonts w:eastAsia="MS Mincho"/>
        </w:rPr>
        <w:t xml:space="preserve"> available in their area; the client should be advised of this option. They should be informed that choosing to be transferred to an Aboriginal and Torres Strait Islander assessment organisation may result in a longer wait time for an assessment. </w:t>
      </w:r>
      <w:r w:rsidR="00F10022" w:rsidRPr="000F6CD1">
        <w:rPr>
          <w:rFonts w:eastAsia="MS Mincho"/>
        </w:rPr>
        <w:t>Client</w:t>
      </w:r>
      <w:r w:rsidR="00A42463" w:rsidRPr="000F6CD1">
        <w:rPr>
          <w:rFonts w:eastAsia="MS Mincho"/>
        </w:rPr>
        <w:t>s</w:t>
      </w:r>
      <w:r w:rsidR="00F10022" w:rsidRPr="000F6CD1">
        <w:rPr>
          <w:rFonts w:eastAsia="MS Mincho"/>
        </w:rPr>
        <w:t xml:space="preserve"> should also be informed </w:t>
      </w:r>
      <w:r w:rsidR="001737DE" w:rsidRPr="000F6CD1">
        <w:rPr>
          <w:rFonts w:eastAsia="MS Mincho"/>
        </w:rPr>
        <w:t>that t</w:t>
      </w:r>
      <w:r w:rsidRPr="000F6CD1">
        <w:rPr>
          <w:rFonts w:eastAsia="MS Mincho"/>
        </w:rPr>
        <w:t>here will be</w:t>
      </w:r>
      <w:r w:rsidR="001737DE" w:rsidRPr="000F6CD1">
        <w:rPr>
          <w:rFonts w:eastAsia="MS Mincho"/>
        </w:rPr>
        <w:t xml:space="preserve"> future</w:t>
      </w:r>
      <w:r w:rsidRPr="000F6CD1">
        <w:rPr>
          <w:rFonts w:eastAsia="MS Mincho"/>
        </w:rPr>
        <w:t xml:space="preserve"> opportunities to transfer to the new organisation if their needs change. </w:t>
      </w:r>
    </w:p>
    <w:p w14:paraId="307281CF" w14:textId="44E47E25" w:rsidR="00EC4EFD" w:rsidRPr="009E1BB1" w:rsidRDefault="006B0F72" w:rsidP="00856600">
      <w:pPr>
        <w:spacing w:before="240" w:after="240" w:line="240" w:lineRule="auto"/>
      </w:pPr>
      <w:r w:rsidRPr="009E1BB1">
        <w:t>When discussing this option, t</w:t>
      </w:r>
      <w:r w:rsidR="00EC4EFD" w:rsidRPr="009E1BB1">
        <w:t xml:space="preserve">he client’s health condition and care needs </w:t>
      </w:r>
      <w:r w:rsidR="00EA1B6C" w:rsidRPr="009E1BB1">
        <w:t>must be take</w:t>
      </w:r>
      <w:r w:rsidR="00FF556B" w:rsidRPr="009E1BB1">
        <w:t xml:space="preserve">n into consideration to ensure that any </w:t>
      </w:r>
      <w:r w:rsidR="00740B9C" w:rsidRPr="009E1BB1">
        <w:t xml:space="preserve">potential </w:t>
      </w:r>
      <w:r w:rsidR="00EC4EFD" w:rsidRPr="009E1BB1">
        <w:t xml:space="preserve">delay in assessment </w:t>
      </w:r>
      <w:r w:rsidR="001D17B7" w:rsidRPr="009E1BB1">
        <w:t>would not adversely impact their wellbeing</w:t>
      </w:r>
      <w:r w:rsidR="00EC4EFD" w:rsidRPr="009E1BB1">
        <w:t xml:space="preserve">. Unless the client </w:t>
      </w:r>
      <w:r w:rsidR="002E331D" w:rsidRPr="009E1BB1">
        <w:t xml:space="preserve">chooses </w:t>
      </w:r>
      <w:r w:rsidR="00EC4EFD" w:rsidRPr="009E1BB1">
        <w:t xml:space="preserve">to </w:t>
      </w:r>
      <w:r w:rsidR="00A36014" w:rsidRPr="009E1BB1">
        <w:t>be transferred</w:t>
      </w:r>
      <w:r w:rsidR="00E87D45" w:rsidRPr="000F6CD1">
        <w:t>,</w:t>
      </w:r>
      <w:r w:rsidR="00EC4EFD" w:rsidRPr="009E1BB1">
        <w:t xml:space="preserve"> the assessment should continue as</w:t>
      </w:r>
      <w:r w:rsidR="00631CE3" w:rsidRPr="009E1BB1">
        <w:t xml:space="preserve"> originally</w:t>
      </w:r>
      <w:r w:rsidR="00EC4EFD" w:rsidRPr="009E1BB1">
        <w:t xml:space="preserve"> planned. </w:t>
      </w:r>
    </w:p>
    <w:p w14:paraId="0E78C599" w14:textId="29357D7D" w:rsidR="0016744D" w:rsidRPr="000F6CD1" w:rsidRDefault="0016744D" w:rsidP="00856600">
      <w:pPr>
        <w:spacing w:before="240" w:after="240" w:line="240" w:lineRule="auto"/>
        <w:rPr>
          <w:rFonts w:eastAsia="MS Mincho"/>
        </w:rPr>
      </w:pPr>
      <w:r w:rsidRPr="000F6CD1">
        <w:rPr>
          <w:rFonts w:eastAsia="MS Mincho"/>
        </w:rPr>
        <w:t xml:space="preserve">Any preferences for Aboriginal and Torres Strait Islander assessment organisations should be </w:t>
      </w:r>
      <w:r w:rsidR="00CB4D11" w:rsidRPr="000F6CD1">
        <w:rPr>
          <w:rFonts w:eastAsia="MS Mincho"/>
        </w:rPr>
        <w:t xml:space="preserve">identified </w:t>
      </w:r>
      <w:r w:rsidRPr="000F6CD1">
        <w:rPr>
          <w:rFonts w:eastAsia="MS Mincho"/>
        </w:rPr>
        <w:t xml:space="preserve">during the assessor’s pre-assessment planning. This allows </w:t>
      </w:r>
      <w:r w:rsidR="002765B1" w:rsidRPr="000F6CD1">
        <w:rPr>
          <w:rFonts w:eastAsia="MS Mincho"/>
        </w:rPr>
        <w:t xml:space="preserve">time to arrange a </w:t>
      </w:r>
      <w:r w:rsidRPr="000F6CD1">
        <w:rPr>
          <w:rFonts w:eastAsia="MS Mincho"/>
        </w:rPr>
        <w:t>transfer</w:t>
      </w:r>
      <w:r w:rsidR="002765B1" w:rsidRPr="000F6CD1">
        <w:rPr>
          <w:rFonts w:eastAsia="MS Mincho"/>
        </w:rPr>
        <w:t xml:space="preserve"> </w:t>
      </w:r>
      <w:r w:rsidRPr="000F6CD1">
        <w:rPr>
          <w:rFonts w:eastAsia="MS Mincho"/>
        </w:rPr>
        <w:t xml:space="preserve">prior to the </w:t>
      </w:r>
      <w:r w:rsidR="008C2697" w:rsidRPr="000F6CD1">
        <w:rPr>
          <w:rFonts w:eastAsia="MS Mincho"/>
        </w:rPr>
        <w:t xml:space="preserve">scheduled </w:t>
      </w:r>
      <w:r w:rsidRPr="000F6CD1">
        <w:rPr>
          <w:rFonts w:eastAsia="MS Mincho"/>
        </w:rPr>
        <w:t>assessment</w:t>
      </w:r>
      <w:r w:rsidR="00D21D2B" w:rsidRPr="000F6CD1">
        <w:rPr>
          <w:rFonts w:eastAsia="MS Mincho"/>
        </w:rPr>
        <w:t>,</w:t>
      </w:r>
      <w:r w:rsidRPr="000F6CD1">
        <w:rPr>
          <w:rFonts w:eastAsia="MS Mincho"/>
        </w:rPr>
        <w:t xml:space="preserve"> if needed. </w:t>
      </w:r>
      <w:r w:rsidR="009D12F6" w:rsidRPr="000F6CD1">
        <w:rPr>
          <w:rFonts w:eastAsia="MS Mincho"/>
        </w:rPr>
        <w:t xml:space="preserve">Making a </w:t>
      </w:r>
      <w:r w:rsidR="00A16AD1" w:rsidRPr="000F6CD1">
        <w:rPr>
          <w:rFonts w:eastAsia="MS Mincho"/>
        </w:rPr>
        <w:t xml:space="preserve">referral change </w:t>
      </w:r>
      <w:r w:rsidRPr="000F6CD1">
        <w:rPr>
          <w:rFonts w:eastAsia="MS Mincho"/>
        </w:rPr>
        <w:t>at the point of assessment</w:t>
      </w:r>
      <w:r w:rsidR="00C32D6F" w:rsidRPr="000F6CD1">
        <w:rPr>
          <w:rFonts w:eastAsia="MS Mincho"/>
        </w:rPr>
        <w:t xml:space="preserve"> </w:t>
      </w:r>
      <w:r w:rsidRPr="000F6CD1">
        <w:rPr>
          <w:rFonts w:eastAsia="MS Mincho"/>
        </w:rPr>
        <w:t xml:space="preserve">may </w:t>
      </w:r>
      <w:r w:rsidR="007318F6" w:rsidRPr="000F6CD1">
        <w:rPr>
          <w:rFonts w:eastAsia="MS Mincho"/>
        </w:rPr>
        <w:t>significantly lengthen</w:t>
      </w:r>
      <w:r w:rsidR="007B1C86" w:rsidRPr="000F6CD1">
        <w:rPr>
          <w:rFonts w:eastAsia="MS Mincho"/>
        </w:rPr>
        <w:t xml:space="preserve"> </w:t>
      </w:r>
      <w:r w:rsidRPr="000F6CD1">
        <w:rPr>
          <w:rFonts w:eastAsia="MS Mincho"/>
        </w:rPr>
        <w:t>the client</w:t>
      </w:r>
      <w:r w:rsidR="00820547" w:rsidRPr="000F6CD1">
        <w:rPr>
          <w:rFonts w:eastAsia="MS Mincho"/>
        </w:rPr>
        <w:t>’s wait time,</w:t>
      </w:r>
      <w:r w:rsidRPr="000F6CD1">
        <w:rPr>
          <w:rFonts w:eastAsia="MS Mincho"/>
        </w:rPr>
        <w:t xml:space="preserve"> which is not the desir</w:t>
      </w:r>
      <w:r w:rsidR="002576EC" w:rsidRPr="000F6CD1">
        <w:rPr>
          <w:rFonts w:eastAsia="MS Mincho"/>
        </w:rPr>
        <w:t>able</w:t>
      </w:r>
      <w:r w:rsidRPr="000F6CD1">
        <w:rPr>
          <w:rFonts w:eastAsia="MS Mincho"/>
        </w:rPr>
        <w:t xml:space="preserve"> outcome. </w:t>
      </w:r>
    </w:p>
    <w:p w14:paraId="46338910" w14:textId="6441C607" w:rsidR="00566859" w:rsidRPr="000F6CD1" w:rsidRDefault="002576EC" w:rsidP="00856600">
      <w:pPr>
        <w:spacing w:before="240" w:after="240" w:line="240" w:lineRule="auto"/>
        <w:rPr>
          <w:rFonts w:eastAsia="MS Mincho"/>
        </w:rPr>
      </w:pPr>
      <w:r w:rsidRPr="000F6CD1">
        <w:rPr>
          <w:rFonts w:eastAsia="MS Mincho"/>
        </w:rPr>
        <w:t xml:space="preserve">It is recommended that assessors </w:t>
      </w:r>
      <w:r w:rsidR="0016744D" w:rsidRPr="000F6CD1">
        <w:rPr>
          <w:rFonts w:eastAsia="MS Mincho"/>
        </w:rPr>
        <w:t>discuss this with the client prior to the assessment to ensure that they have choice</w:t>
      </w:r>
      <w:r w:rsidR="00A42791" w:rsidRPr="000F6CD1">
        <w:rPr>
          <w:rFonts w:eastAsia="MS Mincho"/>
        </w:rPr>
        <w:t>,</w:t>
      </w:r>
      <w:r w:rsidR="0016744D" w:rsidRPr="000F6CD1" w:rsidDel="00A42791">
        <w:rPr>
          <w:rFonts w:eastAsia="MS Mincho"/>
        </w:rPr>
        <w:t xml:space="preserve"> </w:t>
      </w:r>
      <w:r w:rsidR="0016744D" w:rsidRPr="000F6CD1">
        <w:rPr>
          <w:rFonts w:eastAsia="MS Mincho"/>
        </w:rPr>
        <w:t xml:space="preserve">control and the ability to make </w:t>
      </w:r>
      <w:r w:rsidR="00AF6B34" w:rsidRPr="000F6CD1">
        <w:rPr>
          <w:rFonts w:eastAsia="MS Mincho"/>
        </w:rPr>
        <w:t xml:space="preserve">informed </w:t>
      </w:r>
      <w:r w:rsidR="0016744D" w:rsidRPr="000F6CD1">
        <w:rPr>
          <w:rFonts w:eastAsia="MS Mincho"/>
        </w:rPr>
        <w:t xml:space="preserve">decisions regarding their care. </w:t>
      </w:r>
      <w:r w:rsidR="00566859" w:rsidRPr="000F6CD1">
        <w:rPr>
          <w:rFonts w:eastAsia="MS Mincho"/>
        </w:rPr>
        <w:t xml:space="preserve">If the client’s preference is to be assessed by </w:t>
      </w:r>
      <w:r w:rsidR="007C65FD" w:rsidRPr="000F6CD1">
        <w:rPr>
          <w:rFonts w:eastAsia="MS Mincho"/>
        </w:rPr>
        <w:t>an</w:t>
      </w:r>
      <w:r w:rsidR="00566859" w:rsidRPr="000F6CD1">
        <w:rPr>
          <w:rFonts w:eastAsia="MS Mincho"/>
        </w:rPr>
        <w:t xml:space="preserve"> Aboriginal and Torres Strait Islander assessment </w:t>
      </w:r>
      <w:r w:rsidR="00DF6E46" w:rsidRPr="000F6CD1">
        <w:rPr>
          <w:rFonts w:eastAsia="MS Mincho"/>
        </w:rPr>
        <w:t>organisation, the</w:t>
      </w:r>
      <w:r w:rsidR="00566859" w:rsidRPr="000F6CD1">
        <w:rPr>
          <w:rFonts w:eastAsia="MS Mincho"/>
        </w:rPr>
        <w:t xml:space="preserve"> assessor can manage the referral </w:t>
      </w:r>
      <w:r w:rsidR="006F173A" w:rsidRPr="000F6CD1">
        <w:rPr>
          <w:rFonts w:eastAsia="MS Mincho"/>
        </w:rPr>
        <w:t xml:space="preserve">in </w:t>
      </w:r>
      <w:r w:rsidR="00566859" w:rsidRPr="000F6CD1">
        <w:rPr>
          <w:rFonts w:eastAsia="MS Mincho"/>
        </w:rPr>
        <w:t>accord</w:t>
      </w:r>
      <w:r w:rsidR="006F173A" w:rsidRPr="000F6CD1">
        <w:rPr>
          <w:rFonts w:eastAsia="MS Mincho"/>
        </w:rPr>
        <w:t xml:space="preserve">ance </w:t>
      </w:r>
      <w:r w:rsidR="00AC1C86" w:rsidRPr="000F6CD1">
        <w:rPr>
          <w:rFonts w:eastAsia="MS Mincho"/>
        </w:rPr>
        <w:t>with the</w:t>
      </w:r>
      <w:r w:rsidR="00566859" w:rsidRPr="000F6CD1">
        <w:rPr>
          <w:rFonts w:eastAsia="MS Mincho"/>
        </w:rPr>
        <w:t xml:space="preserve"> processes detailed in this Chapter. </w:t>
      </w:r>
    </w:p>
    <w:p w14:paraId="756C4267" w14:textId="14EA6F81" w:rsidR="0016744D" w:rsidRPr="000F6CD1" w:rsidRDefault="0016744D" w:rsidP="00AD2CE5">
      <w:pPr>
        <w:pStyle w:val="H3"/>
      </w:pPr>
      <w:r w:rsidRPr="000F6CD1">
        <w:lastRenderedPageBreak/>
        <w:t xml:space="preserve">Client scenarios for capturing the preference for an Aboriginal and Torres Strait Islander assessment organisation </w:t>
      </w:r>
    </w:p>
    <w:p w14:paraId="353ED6FE" w14:textId="0816F013" w:rsidR="007C3E64" w:rsidRPr="000F6CD1" w:rsidRDefault="007C3E64" w:rsidP="00806A21">
      <w:pPr>
        <w:pStyle w:val="Sub-headings"/>
      </w:pPr>
      <w:r w:rsidRPr="009E1BB1">
        <w:rPr>
          <w:b/>
        </w:rPr>
        <w:t>Scenario 1:</w:t>
      </w:r>
      <w:r w:rsidRPr="000F6CD1">
        <w:t xml:space="preserve"> Capturing the preference of an Aboriginal and Torres Strait Islander</w:t>
      </w:r>
      <w:r w:rsidR="00BF50CA" w:rsidRPr="000F6CD1">
        <w:t xml:space="preserve"> </w:t>
      </w:r>
      <w:r w:rsidR="00EF2BA4" w:rsidRPr="000F6CD1">
        <w:t xml:space="preserve">assessment organisation </w:t>
      </w:r>
      <w:r w:rsidRPr="000F6CD1">
        <w:t>even though there is not one available in the region.</w:t>
      </w:r>
    </w:p>
    <w:p w14:paraId="073FE672" w14:textId="7304BE19" w:rsidR="0016744D" w:rsidRPr="000F6CD1" w:rsidRDefault="0016744D" w:rsidP="00806A21">
      <w:pPr>
        <w:pStyle w:val="Sub-headings"/>
      </w:pPr>
      <w:r w:rsidRPr="000F6CD1">
        <w:t>S</w:t>
      </w:r>
      <w:r w:rsidR="00B70813" w:rsidRPr="000F6CD1">
        <w:t>haron</w:t>
      </w:r>
      <w:r w:rsidRPr="000F6CD1">
        <w:t xml:space="preserve"> is a triage delegate working for an assessment organisation under the Single Assessment System, who is triaging an older Aboriginal and Torres Strait Islander </w:t>
      </w:r>
      <w:r w:rsidR="00E14A05" w:rsidRPr="000F6CD1">
        <w:t>client</w:t>
      </w:r>
      <w:r w:rsidRPr="000F6CD1">
        <w:t>, V</w:t>
      </w:r>
      <w:r w:rsidR="00B70813" w:rsidRPr="000F6CD1">
        <w:t>iolet</w:t>
      </w:r>
      <w:r w:rsidRPr="000F6CD1">
        <w:t xml:space="preserve">. Sharon is up to date with what organisations are available in the region and knows there is not an Aboriginal and Torres Strait Islander assessment organisation available yet; but that there may be one in future. </w:t>
      </w:r>
    </w:p>
    <w:p w14:paraId="39786534" w14:textId="77777777" w:rsidR="0016744D" w:rsidRPr="000F6CD1" w:rsidRDefault="0016744D" w:rsidP="00806A21">
      <w:pPr>
        <w:pStyle w:val="Sub-headings"/>
      </w:pPr>
      <w:r w:rsidRPr="000F6CD1">
        <w:t xml:space="preserve">OPTION A: If there is no information in the FNAO preference field, Sharon needs to capture Violet’s preference in case an Aboriginal and Torres Strait Islander assessment organisation becomes available in future. </w:t>
      </w:r>
    </w:p>
    <w:p w14:paraId="5ACF41CC" w14:textId="08D5B033" w:rsidR="0016744D" w:rsidRPr="000F6CD1" w:rsidRDefault="0016744D" w:rsidP="00806A21">
      <w:pPr>
        <w:pStyle w:val="Sub-headings"/>
      </w:pPr>
      <w:r w:rsidRPr="000F6CD1">
        <w:t xml:space="preserve">“Violet, </w:t>
      </w:r>
      <w:r w:rsidR="00A83A9E" w:rsidRPr="000F6CD1">
        <w:t>there are Aboriginal and Torres Strait Islander assessment organisations starting to provide aged care assessments in some regions of Australia.</w:t>
      </w:r>
      <w:r w:rsidRPr="000F6CD1">
        <w:t xml:space="preserve"> I can see that there is no preference logged in your record. There is not one available in this local region yet, but there may be one in future. If an Aboriginal and Torres Strait Islander aged care assessment organisation becomes available, would you prefer to receive future assessments from them? If so, I can record your preference so that you can be directed to those services in the future”</w:t>
      </w:r>
    </w:p>
    <w:p w14:paraId="5C1C1B01" w14:textId="77777777" w:rsidR="0016744D" w:rsidRPr="000F6CD1" w:rsidRDefault="0016744D" w:rsidP="00806A21">
      <w:pPr>
        <w:pStyle w:val="Sub-headings"/>
      </w:pPr>
      <w:r w:rsidRPr="000F6CD1">
        <w:t xml:space="preserve">Violet indicates that she would prefer to be transferred to an Aboriginal and Torres Strait Islander assessment organisation in the future, and Sharon records the preference then continues to conduct the assessment. </w:t>
      </w:r>
    </w:p>
    <w:p w14:paraId="3D44E4C8" w14:textId="77777777" w:rsidR="0016744D" w:rsidRPr="000F6CD1" w:rsidRDefault="0016744D" w:rsidP="00806A21">
      <w:pPr>
        <w:pStyle w:val="Sub-headings"/>
      </w:pPr>
      <w:r w:rsidRPr="000F6CD1">
        <w:t xml:space="preserve">OPTION B: If there is a FNAO preference captured in the preference field. Sharon notes the preference for an Aboriginal and Torres Strait Islander assessment organisation and knows that there is not one available. Sharon understands that this would have been explained to Violet at the point of triage. Sharon continues with the assessment as planned without asking Violet to unnecessarily confirm her preference multiple times. </w:t>
      </w:r>
    </w:p>
    <w:p w14:paraId="1709AA52" w14:textId="027FE9DC" w:rsidR="0016744D" w:rsidRPr="000F6CD1" w:rsidRDefault="0016744D" w:rsidP="00806A21">
      <w:pPr>
        <w:pStyle w:val="Sub-headings"/>
      </w:pPr>
      <w:r w:rsidRPr="000F6CD1">
        <w:t xml:space="preserve">After the assessment Sharon advises </w:t>
      </w:r>
      <w:r w:rsidR="00A83A9E" w:rsidRPr="000F6CD1">
        <w:t>Vio</w:t>
      </w:r>
      <w:r w:rsidRPr="000F6CD1">
        <w:t xml:space="preserve">let that for continuity of care, any future reviews of her care will now come back to Sharon’s organisation. Based on Violet’s preferences, Sharon will keep that in place for </w:t>
      </w:r>
      <w:r w:rsidR="00AC1C86" w:rsidRPr="000F6CD1">
        <w:t>now and</w:t>
      </w:r>
      <w:r w:rsidRPr="000F6CD1">
        <w:t xml:space="preserve"> can transfer Violet to an Aboriginal and Torres Strait Islander organisation if available when the review is needed. </w:t>
      </w:r>
    </w:p>
    <w:p w14:paraId="3B8EC030" w14:textId="3992496D" w:rsidR="00DA089D" w:rsidRPr="000F6CD1" w:rsidRDefault="0071540D" w:rsidP="00A41428">
      <w:r>
        <w:br w:type="page"/>
      </w:r>
    </w:p>
    <w:p w14:paraId="0271027E" w14:textId="797A4747" w:rsidR="007C3E64" w:rsidRPr="000F6CD1" w:rsidRDefault="007C3E64" w:rsidP="00806A21">
      <w:pPr>
        <w:pStyle w:val="Sub-headings"/>
      </w:pPr>
      <w:r w:rsidRPr="009E1BB1">
        <w:rPr>
          <w:b/>
        </w:rPr>
        <w:lastRenderedPageBreak/>
        <w:t xml:space="preserve">Scenario </w:t>
      </w:r>
      <w:r w:rsidR="002C0E2A" w:rsidRPr="009E1BB1">
        <w:rPr>
          <w:b/>
        </w:rPr>
        <w:t>2</w:t>
      </w:r>
      <w:r w:rsidRPr="009E1BB1">
        <w:rPr>
          <w:b/>
        </w:rPr>
        <w:t>:</w:t>
      </w:r>
      <w:r w:rsidRPr="000F6CD1">
        <w:t xml:space="preserve"> </w:t>
      </w:r>
      <w:r w:rsidR="002C0E2A" w:rsidRPr="000F6CD1">
        <w:t>Prior to an assessment, the assessor sees the preference for the</w:t>
      </w:r>
      <w:r w:rsidRPr="000F6CD1">
        <w:t xml:space="preserve"> Aboriginal and Torres Strait Islander </w:t>
      </w:r>
      <w:r w:rsidR="002C0E2A" w:rsidRPr="000F6CD1">
        <w:t>a</w:t>
      </w:r>
      <w:r w:rsidRPr="000F6CD1">
        <w:t xml:space="preserve">ssessment </w:t>
      </w:r>
      <w:r w:rsidR="002C0E2A" w:rsidRPr="000F6CD1">
        <w:t>o</w:t>
      </w:r>
      <w:r w:rsidRPr="000F6CD1">
        <w:t xml:space="preserve">rganisation </w:t>
      </w:r>
      <w:r w:rsidR="002C0E2A" w:rsidRPr="000F6CD1">
        <w:t>which has recently become available</w:t>
      </w:r>
      <w:r w:rsidR="1C80DAB6" w:rsidRPr="000F6CD1">
        <w:t>.</w:t>
      </w:r>
    </w:p>
    <w:p w14:paraId="7E9C4F8E" w14:textId="478A8174" w:rsidR="009168BD" w:rsidRPr="000F6CD1" w:rsidRDefault="0016744D" w:rsidP="00806A21">
      <w:pPr>
        <w:pStyle w:val="Sub-headings"/>
      </w:pPr>
      <w:r w:rsidRPr="000F6CD1">
        <w:t>S</w:t>
      </w:r>
      <w:r w:rsidR="00B70813" w:rsidRPr="000F6CD1">
        <w:t>teve</w:t>
      </w:r>
      <w:r w:rsidRPr="000F6CD1">
        <w:t xml:space="preserve"> is an aged care assessor working for an assessment organisation under the Single Assessment System, who has an upcoming assessment with an older Aboriginal and Torres Strait Islander Client, B</w:t>
      </w:r>
      <w:r w:rsidR="00B70813" w:rsidRPr="000F6CD1">
        <w:t>ill</w:t>
      </w:r>
      <w:r w:rsidRPr="000F6CD1">
        <w:t xml:space="preserve">. </w:t>
      </w:r>
    </w:p>
    <w:p w14:paraId="1A9D3D34" w14:textId="62732298" w:rsidR="0016744D" w:rsidRPr="000F6CD1" w:rsidRDefault="0016744D" w:rsidP="00806A21">
      <w:pPr>
        <w:pStyle w:val="Sub-headings"/>
      </w:pPr>
      <w:r w:rsidRPr="000F6CD1">
        <w:t xml:space="preserve">Steve has had this assessment booked in for some time and knows that since the assessment was booked, an Aboriginal and Torres Strait Islander assessment organisation has become available in the area. Steve wants to get the best outcome for his client, so </w:t>
      </w:r>
      <w:r w:rsidR="00CC3E43" w:rsidRPr="000F6CD1">
        <w:t>as part of</w:t>
      </w:r>
      <w:r w:rsidR="000065E7" w:rsidRPr="000F6CD1">
        <w:t xml:space="preserve"> the pre-assessment planning</w:t>
      </w:r>
      <w:r w:rsidR="00D35CA5" w:rsidRPr="000F6CD1">
        <w:t>,</w:t>
      </w:r>
      <w:r w:rsidR="000065E7" w:rsidRPr="000F6CD1">
        <w:t xml:space="preserve"> </w:t>
      </w:r>
      <w:r w:rsidRPr="000F6CD1">
        <w:t xml:space="preserve">contacts the client in advance to talk about the availability of the service. </w:t>
      </w:r>
    </w:p>
    <w:p w14:paraId="7C28C286" w14:textId="595FDF3D" w:rsidR="0016744D" w:rsidRPr="000F6CD1" w:rsidRDefault="0016744D" w:rsidP="00806A21">
      <w:pPr>
        <w:pStyle w:val="Sub-headings"/>
      </w:pPr>
      <w:r w:rsidRPr="000F6CD1">
        <w:t xml:space="preserve">“Bill, there are Aboriginal and Torres Strait Islander assessment organisations starting to provide aged care assessments </w:t>
      </w:r>
      <w:r w:rsidR="00F57EE1" w:rsidRPr="000F6CD1">
        <w:t>in your area</w:t>
      </w:r>
      <w:r w:rsidRPr="000F6CD1">
        <w:t>. I can see you have a preference to be assessed by an Aboriginal and Torres Strait Islander assessment organisation; and since we have had this appointment booked in, an Aboriginal and Torres Strait Islander assessment service has become available in this area. As we are meeting soon, would you like us to continue with the assessment?</w:t>
      </w:r>
    </w:p>
    <w:p w14:paraId="42BB79E7" w14:textId="77777777" w:rsidR="0016744D" w:rsidRPr="000F6CD1" w:rsidRDefault="0016744D" w:rsidP="00806A21">
      <w:pPr>
        <w:pStyle w:val="Sub-headings"/>
      </w:pPr>
      <w:r w:rsidRPr="000F6CD1">
        <w:t>If you would prefer to be assessed by an Aboriginal and Torres Strait Islander assessment organisation, I can refer you to them instead. This may take time. We would connect you with the organisation, and then they will be in touch as soon as they can to book an assessment with you. How would you like to proceed?”</w:t>
      </w:r>
    </w:p>
    <w:p w14:paraId="2D406A10" w14:textId="77777777" w:rsidR="0016744D" w:rsidRPr="000F6CD1" w:rsidRDefault="0016744D" w:rsidP="00806A21">
      <w:pPr>
        <w:pStyle w:val="Sub-headings"/>
      </w:pPr>
      <w:r w:rsidRPr="000F6CD1">
        <w:t xml:space="preserve">Option A: Bill indicates that he would prefer to be assessed by an Aboriginal and Torres Strait Islander assessment organisation in the future, but to keep the process moving given his health and care needs, would continue the conversation with Steve as planned. </w:t>
      </w:r>
    </w:p>
    <w:p w14:paraId="1B31A4CF" w14:textId="73515BEF" w:rsidR="0016744D" w:rsidRPr="000F6CD1" w:rsidRDefault="0016744D" w:rsidP="00806A21">
      <w:pPr>
        <w:pStyle w:val="Sub-headings"/>
      </w:pPr>
      <w:r w:rsidRPr="000F6CD1">
        <w:t xml:space="preserve">Steve advises Bill that for continuity of care, any future reviews of his care will now come back to Steve’s organisation. Based on Bill’s preferences, Steve can keep that in place, or transfer Bill to an Aboriginal and Torres Strait Islander assessment organisation when the review is needed. </w:t>
      </w:r>
    </w:p>
    <w:p w14:paraId="5A8C4721" w14:textId="096E2DC5" w:rsidR="0016744D" w:rsidRPr="000F6CD1" w:rsidRDefault="0016744D" w:rsidP="00806A21">
      <w:pPr>
        <w:pStyle w:val="Sub-headings"/>
      </w:pPr>
      <w:r w:rsidRPr="000F6CD1">
        <w:t xml:space="preserve">Option B: Bill indicates that he would prefer to be assessed by an Aboriginal and Torres Strait Islander assessment organisation, he understands that this may take time to get booked in, understands the impacts to his health and aged care needs; and is happy to wait for the referral to be re-directed. Steve makes arrangements to transfer the referral for Bill (referrals and rejections are covered in Section </w:t>
      </w:r>
      <w:r w:rsidR="00A6118A" w:rsidRPr="000F6CD1">
        <w:fldChar w:fldCharType="begin"/>
      </w:r>
      <w:r w:rsidR="00A6118A" w:rsidRPr="000F6CD1">
        <w:instrText xml:space="preserve"> REF _Ref212733619 \r \h </w:instrText>
      </w:r>
      <w:r w:rsidR="00DD4E42" w:rsidRPr="000F6CD1">
        <w:instrText xml:space="preserve"> \* MERGEFORMAT </w:instrText>
      </w:r>
      <w:r w:rsidR="00A6118A" w:rsidRPr="000F6CD1">
        <w:fldChar w:fldCharType="separate"/>
      </w:r>
      <w:r w:rsidR="004B171E">
        <w:t>4.3</w:t>
      </w:r>
      <w:r w:rsidR="00A6118A" w:rsidRPr="000F6CD1">
        <w:fldChar w:fldCharType="end"/>
      </w:r>
      <w:r w:rsidR="00BD63C2" w:rsidRPr="000F6CD1">
        <w:t xml:space="preserve"> </w:t>
      </w:r>
      <w:r w:rsidRPr="000F6CD1">
        <w:t xml:space="preserve">of the manual). </w:t>
      </w:r>
    </w:p>
    <w:p w14:paraId="78022F6F" w14:textId="2F8EE659" w:rsidR="009E4F35" w:rsidRPr="000F6CD1" w:rsidRDefault="0016744D" w:rsidP="00806A21">
      <w:pPr>
        <w:pStyle w:val="Sub-headings"/>
        <w:rPr>
          <w:lang w:eastAsia="en-US"/>
        </w:rPr>
      </w:pPr>
      <w:r w:rsidRPr="000F6CD1">
        <w:t xml:space="preserve">Best practice for the client is that Steve supports the client’s </w:t>
      </w:r>
      <w:r w:rsidR="00641E5E" w:rsidRPr="000F6CD1">
        <w:t>choice,</w:t>
      </w:r>
      <w:r w:rsidRPr="000F6CD1">
        <w:t xml:space="preserve"> and his organisation makes contact with the Aboriginal and Torres Strait Islander assessment organisation in the region to ensure that they have capacity</w:t>
      </w:r>
      <w:r w:rsidR="00876BE8" w:rsidRPr="000F6CD1">
        <w:t xml:space="preserve"> </w:t>
      </w:r>
      <w:r w:rsidRPr="000F6CD1">
        <w:t xml:space="preserve">and support a warm handover to transfer Bill. </w:t>
      </w:r>
      <w:r w:rsidR="009E4F35" w:rsidRPr="000F6CD1">
        <w:rPr>
          <w:lang w:eastAsia="en-US"/>
        </w:rPr>
        <w:br w:type="page"/>
      </w:r>
    </w:p>
    <w:p w14:paraId="3850DDCC" w14:textId="7D53F585" w:rsidR="0016744D" w:rsidRPr="000F6CD1" w:rsidRDefault="0016744D" w:rsidP="00856600">
      <w:pPr>
        <w:spacing w:before="240" w:after="240" w:line="240" w:lineRule="auto"/>
        <w:rPr>
          <w:lang w:eastAsia="en-US"/>
        </w:rPr>
      </w:pPr>
      <w:r w:rsidRPr="000F6CD1">
        <w:rPr>
          <w:lang w:eastAsia="en-US"/>
        </w:rPr>
        <w:lastRenderedPageBreak/>
        <w:t xml:space="preserve">During the scale up of services, it is important that assessors and assessment organisations stay up to date on which Aboriginal and Torres Strait Islander assessment organisations </w:t>
      </w:r>
      <w:r w:rsidR="0010472A" w:rsidRPr="000F6CD1">
        <w:rPr>
          <w:lang w:eastAsia="en-US"/>
        </w:rPr>
        <w:t>are</w:t>
      </w:r>
      <w:r w:rsidRPr="000F6CD1">
        <w:rPr>
          <w:lang w:eastAsia="en-US"/>
        </w:rPr>
        <w:t xml:space="preserve"> available and </w:t>
      </w:r>
      <w:r w:rsidR="007C0A6B" w:rsidRPr="000F6CD1">
        <w:rPr>
          <w:lang w:eastAsia="en-US"/>
        </w:rPr>
        <w:t>their</w:t>
      </w:r>
      <w:r w:rsidR="0010472A" w:rsidRPr="000F6CD1">
        <w:rPr>
          <w:lang w:eastAsia="en-US"/>
        </w:rPr>
        <w:t xml:space="preserve"> locations</w:t>
      </w:r>
      <w:r w:rsidRPr="000F6CD1">
        <w:rPr>
          <w:lang w:eastAsia="en-US"/>
        </w:rPr>
        <w:t xml:space="preserve">. </w:t>
      </w:r>
      <w:r w:rsidR="00E14B31" w:rsidRPr="000F6CD1">
        <w:rPr>
          <w:lang w:eastAsia="en-US"/>
        </w:rPr>
        <w:t>Staying up to date ensures that client</w:t>
      </w:r>
      <w:r w:rsidR="008E4B5D" w:rsidRPr="000F6CD1">
        <w:rPr>
          <w:lang w:eastAsia="en-US"/>
        </w:rPr>
        <w:t>s are offered appropriate options and supports timely</w:t>
      </w:r>
      <w:r w:rsidR="006D69D3" w:rsidRPr="000F6CD1">
        <w:rPr>
          <w:lang w:eastAsia="en-US"/>
        </w:rPr>
        <w:t xml:space="preserve">, culturally safe referrals. </w:t>
      </w:r>
      <w:r w:rsidRPr="000F6CD1">
        <w:rPr>
          <w:lang w:eastAsia="en-US"/>
        </w:rPr>
        <w:t xml:space="preserve">To support this awareness: </w:t>
      </w:r>
    </w:p>
    <w:p w14:paraId="1CDCBC7B" w14:textId="364ED0C7" w:rsidR="000972E6" w:rsidRPr="000F6CD1" w:rsidRDefault="0016744D" w:rsidP="00907807">
      <w:pPr>
        <w:pStyle w:val="ListParagraph"/>
        <w:numPr>
          <w:ilvl w:val="0"/>
          <w:numId w:val="74"/>
        </w:numPr>
        <w:spacing w:before="240" w:after="240" w:line="240" w:lineRule="auto"/>
        <w:rPr>
          <w:b/>
          <w:bCs/>
        </w:rPr>
      </w:pPr>
      <w:r w:rsidRPr="000F6CD1">
        <w:t xml:space="preserve">The department will provide updates </w:t>
      </w:r>
      <w:r w:rsidR="0005531E" w:rsidRPr="000F6CD1">
        <w:t xml:space="preserve">through communications </w:t>
      </w:r>
      <w:r w:rsidR="00A1282B" w:rsidRPr="000F6CD1">
        <w:t xml:space="preserve">such as email notifications, </w:t>
      </w:r>
      <w:r w:rsidR="0098212B" w:rsidRPr="000F6CD1">
        <w:t>and messages within the relevant platforms</w:t>
      </w:r>
      <w:r w:rsidR="001B622A" w:rsidRPr="000F6CD1">
        <w:t xml:space="preserve"> </w:t>
      </w:r>
      <w:r w:rsidR="00907807" w:rsidRPr="000F6CD1">
        <w:t>a</w:t>
      </w:r>
      <w:r w:rsidRPr="000F6CD1">
        <w:t>s services roll out</w:t>
      </w:r>
      <w:r w:rsidR="000972E6" w:rsidRPr="000F6CD1">
        <w:t>.</w:t>
      </w:r>
    </w:p>
    <w:p w14:paraId="395A41A2" w14:textId="06AA02EC" w:rsidR="0016744D" w:rsidRPr="000F6CD1" w:rsidRDefault="00E9687B" w:rsidP="00907807">
      <w:pPr>
        <w:pStyle w:val="ListParagraph"/>
        <w:numPr>
          <w:ilvl w:val="0"/>
          <w:numId w:val="74"/>
        </w:numPr>
        <w:spacing w:before="240" w:after="240" w:line="240" w:lineRule="auto"/>
        <w:rPr>
          <w:b/>
          <w:bCs/>
        </w:rPr>
      </w:pPr>
      <w:r w:rsidRPr="000F6CD1">
        <w:t>Aboriginal and Torres Strait assessment organisation outlets</w:t>
      </w:r>
      <w:r w:rsidR="001037C3" w:rsidRPr="000F6CD1">
        <w:t xml:space="preserve"> </w:t>
      </w:r>
      <w:r w:rsidR="0016744D" w:rsidRPr="000F6CD1">
        <w:t xml:space="preserve">will be prefixed with “FNAO-” and appear at the top of the list of available organisations. </w:t>
      </w:r>
    </w:p>
    <w:p w14:paraId="5694A616" w14:textId="0CB6C4D1" w:rsidR="0016744D" w:rsidRPr="000F6CD1" w:rsidRDefault="0016744D" w:rsidP="00DF3F6B">
      <w:pPr>
        <w:pStyle w:val="ListParagraph"/>
        <w:numPr>
          <w:ilvl w:val="0"/>
          <w:numId w:val="74"/>
        </w:numPr>
        <w:spacing w:before="240" w:after="240" w:line="240" w:lineRule="auto"/>
        <w:rPr>
          <w:b/>
          <w:bCs/>
        </w:rPr>
      </w:pPr>
      <w:r w:rsidRPr="000F6CD1">
        <w:t xml:space="preserve">Aboriginal and Torres Strait Islander assessment organisations </w:t>
      </w:r>
      <w:r w:rsidR="00E9687B" w:rsidRPr="000F6CD1">
        <w:t>are</w:t>
      </w:r>
      <w:r w:rsidRPr="000F6CD1">
        <w:t xml:space="preserve"> listed on the </w:t>
      </w:r>
      <w:hyperlink r:id="rId110" w:history="1">
        <w:r w:rsidRPr="000F6CD1">
          <w:rPr>
            <w:rStyle w:val="Hyperlink"/>
          </w:rPr>
          <w:t>interactive map of available services</w:t>
        </w:r>
      </w:hyperlink>
      <w:r w:rsidRPr="000F6CD1">
        <w:t xml:space="preserve">. </w:t>
      </w:r>
    </w:p>
    <w:p w14:paraId="1FB489B6" w14:textId="43867508" w:rsidR="0016744D" w:rsidRPr="000F6CD1" w:rsidRDefault="0016744D" w:rsidP="00DF3F6B">
      <w:pPr>
        <w:pStyle w:val="ListParagraph"/>
        <w:numPr>
          <w:ilvl w:val="0"/>
          <w:numId w:val="74"/>
        </w:numPr>
        <w:spacing w:before="240" w:after="240" w:line="240" w:lineRule="auto"/>
        <w:rPr>
          <w:b/>
          <w:bCs/>
        </w:rPr>
      </w:pPr>
      <w:r w:rsidRPr="000F6CD1">
        <w:t xml:space="preserve">The Department’s website will be updated regularly. </w:t>
      </w:r>
    </w:p>
    <w:p w14:paraId="77DCB637" w14:textId="463CBBEE" w:rsidR="00724B91" w:rsidRPr="00641E5E" w:rsidRDefault="0043305E" w:rsidP="00641E5E">
      <w:pPr>
        <w:spacing w:before="240" w:after="240" w:line="240" w:lineRule="auto"/>
        <w:rPr>
          <w:rStyle w:val="Hyperlink"/>
        </w:rPr>
      </w:pPr>
      <w:r w:rsidRPr="000F6CD1">
        <w:rPr>
          <w:noProof/>
        </w:rPr>
        <w:drawing>
          <wp:inline distT="0" distB="0" distL="0" distR="0" wp14:anchorId="4E0EDDE0" wp14:editId="3D55BA0C">
            <wp:extent cx="367345" cy="365321"/>
            <wp:effectExtent l="0" t="0" r="0" b="0"/>
            <wp:docPr id="1570170974" name="Picture 1570170974"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70974" name="Picture 1570170974"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hyperlink r:id="rId111" w:history="1">
        <w:r w:rsidR="00E4482E" w:rsidRPr="00641E5E">
          <w:rPr>
            <w:rStyle w:val="Hyperlink"/>
          </w:rPr>
          <w:t>Guidance material for Single Assessment System assessors – Aboriginal and Torres Strait Islander aged care assessment organisations</w:t>
        </w:r>
      </w:hyperlink>
    </w:p>
    <w:p w14:paraId="6C13DE49" w14:textId="0354630A" w:rsidR="0016744D" w:rsidRPr="000F6CD1" w:rsidRDefault="00667017" w:rsidP="00AD2CE5">
      <w:pPr>
        <w:pStyle w:val="H3"/>
      </w:pPr>
      <w:bookmarkStart w:id="287" w:name="_Toc198813667"/>
      <w:bookmarkStart w:id="288" w:name="_Toc204329529"/>
      <w:r>
        <w:drawing>
          <wp:anchor distT="0" distB="0" distL="114300" distR="114300" simplePos="0" relativeHeight="251658279" behindDoc="0" locked="0" layoutInCell="1" allowOverlap="1" wp14:anchorId="2BA65D9A" wp14:editId="0B2D08A0">
            <wp:simplePos x="0" y="0"/>
            <wp:positionH relativeFrom="margin">
              <wp:align>left</wp:align>
            </wp:positionH>
            <wp:positionV relativeFrom="margin">
              <wp:posOffset>2993390</wp:posOffset>
            </wp:positionV>
            <wp:extent cx="365760" cy="403860"/>
            <wp:effectExtent l="0" t="0" r="0" b="0"/>
            <wp:wrapSquare wrapText="bothSides"/>
            <wp:docPr id="1473036461"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6461"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16744D" w:rsidRPr="000F6CD1">
        <w:t>Unlikely to be eligible for an assessment flag</w:t>
      </w:r>
      <w:bookmarkEnd w:id="287"/>
      <w:bookmarkEnd w:id="288"/>
    </w:p>
    <w:p w14:paraId="5143882F" w14:textId="32C9D09A" w:rsidR="0016744D" w:rsidRPr="000F6CD1" w:rsidRDefault="0016744D" w:rsidP="00856600">
      <w:pPr>
        <w:spacing w:before="240" w:after="240" w:line="240" w:lineRule="auto"/>
      </w:pPr>
      <w:r w:rsidRPr="000F6CD1">
        <w:t xml:space="preserve">If a client is found to be </w:t>
      </w:r>
      <w:r w:rsidRPr="000F6CD1">
        <w:rPr>
          <w:b/>
        </w:rPr>
        <w:t>likely ineligible</w:t>
      </w:r>
      <w:r w:rsidRPr="000F6CD1">
        <w:t xml:space="preserve"> for an aged care needs assessment during screening, a flag titled ‘likely ineligible’ will appear on the client’s assessment referral once the Team Leader has accepted the referral in the My Aged Care Assessor Portal. </w:t>
      </w:r>
    </w:p>
    <w:p w14:paraId="0F2C57C5" w14:textId="77777777" w:rsidR="0016744D" w:rsidRPr="000F6CD1" w:rsidRDefault="0016744D" w:rsidP="00856600">
      <w:pPr>
        <w:spacing w:before="240" w:after="240" w:line="240" w:lineRule="auto"/>
      </w:pPr>
      <w:r w:rsidRPr="000F6CD1">
        <w:t xml:space="preserve">This flag is an indication only; the decision whether an individual is eligible for an assessment must be made by a Triage Delegate, who acts as the System Governor under the </w:t>
      </w:r>
      <w:r w:rsidRPr="000F6CD1">
        <w:rPr>
          <w:i/>
        </w:rPr>
        <w:t>Act</w:t>
      </w:r>
      <w:r w:rsidRPr="000F6CD1">
        <w:t xml:space="preserve">. </w:t>
      </w:r>
    </w:p>
    <w:p w14:paraId="2D4F1CB6" w14:textId="42D2ECAD" w:rsidR="0016744D" w:rsidRPr="000F6CD1" w:rsidRDefault="0016744D" w:rsidP="00856600">
      <w:pPr>
        <w:spacing w:before="240" w:after="240" w:line="240" w:lineRule="auto"/>
      </w:pPr>
      <w:r w:rsidRPr="000F6CD1">
        <w:t>A</w:t>
      </w:r>
      <w:r w:rsidRPr="000F6CD1" w:rsidDel="002A2AE0">
        <w:t xml:space="preserve"> </w:t>
      </w:r>
      <w:r w:rsidRPr="000F6CD1">
        <w:t xml:space="preserve">client who has been found ineligible at triage for an aged care assessment must be sent an ‘Ineligible for Assessment’ Letter (known as 'Notice of decision not to make an eligibility determination' notice). The letter must be uploaded as an attachment on the client’s online account via the My Aged Care Assessor Portal. For further information see </w:t>
      </w:r>
      <w:r w:rsidR="00B81D30">
        <w:fldChar w:fldCharType="begin"/>
      </w:r>
      <w:r w:rsidR="00B81D30">
        <w:instrText xml:space="preserve"> REF _Ref232597203 \h </w:instrText>
      </w:r>
      <w:r w:rsidR="00B81D30">
        <w:fldChar w:fldCharType="separate"/>
      </w:r>
      <w:r w:rsidR="004B171E" w:rsidRPr="000F6CD1">
        <w:t>Chapter 9: Finalising the assessment and service referral</w:t>
      </w:r>
      <w:r w:rsidR="00B81D30">
        <w:fldChar w:fldCharType="end"/>
      </w:r>
      <w:r w:rsidR="00B81D30">
        <w:t>s</w:t>
      </w:r>
      <w:r w:rsidRPr="000F6CD1">
        <w:t xml:space="preserve">. </w:t>
      </w:r>
    </w:p>
    <w:p w14:paraId="75D1091B" w14:textId="476117CE" w:rsidR="009C4600" w:rsidRPr="000F6CD1" w:rsidRDefault="0016744D" w:rsidP="00806A21">
      <w:pPr>
        <w:pStyle w:val="Sub-headings"/>
      </w:pPr>
      <w:r w:rsidRPr="000F6CD1">
        <w:t>Note</w:t>
      </w:r>
      <w:r w:rsidR="009C4600" w:rsidRPr="000F6CD1">
        <w:t>:</w:t>
      </w:r>
    </w:p>
    <w:p w14:paraId="782F1042" w14:textId="4A2AC993" w:rsidR="00697DB2" w:rsidRPr="000F6CD1" w:rsidRDefault="009C4600" w:rsidP="00806A21">
      <w:pPr>
        <w:pStyle w:val="Sub-headings"/>
      </w:pPr>
      <w:r w:rsidRPr="000F6CD1">
        <w:t>I</w:t>
      </w:r>
      <w:r w:rsidR="0016744D" w:rsidRPr="000F6CD1">
        <w:t xml:space="preserve">f the older person was previously found ‘likely ineligible’ during screening and later is eligible the screening information will not change as screening can only be completed once. Triage Delegates should be diligent in reviewing an older person’s record to ensure they are eligible for an assessment. </w:t>
      </w:r>
      <w:bookmarkStart w:id="289" w:name="_Toc198813668"/>
      <w:bookmarkStart w:id="290" w:name="_Toc204329530"/>
    </w:p>
    <w:p w14:paraId="42ACB541" w14:textId="7E1E1BA6" w:rsidR="0016744D" w:rsidRPr="000F6CD1" w:rsidRDefault="00DB6613" w:rsidP="00AD2CE5">
      <w:pPr>
        <w:pStyle w:val="H3"/>
      </w:pPr>
      <w:r w:rsidRPr="000F6CD1">
        <w:drawing>
          <wp:anchor distT="0" distB="0" distL="114300" distR="114300" simplePos="0" relativeHeight="251658280" behindDoc="0" locked="0" layoutInCell="1" allowOverlap="1" wp14:anchorId="0FFC06B6" wp14:editId="522A6E47">
            <wp:simplePos x="0" y="0"/>
            <wp:positionH relativeFrom="margin">
              <wp:posOffset>-63500</wp:posOffset>
            </wp:positionH>
            <wp:positionV relativeFrom="paragraph">
              <wp:posOffset>393700</wp:posOffset>
            </wp:positionV>
            <wp:extent cx="457200" cy="502920"/>
            <wp:effectExtent l="0" t="0" r="0" b="0"/>
            <wp:wrapSquare wrapText="bothSides"/>
            <wp:docPr id="1450023956" name="Picture 1450023956"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23956" name="Picture 1450023956"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16744D" w:rsidRPr="000F6CD1">
        <w:t xml:space="preserve">End-of-Life </w:t>
      </w:r>
      <w:bookmarkEnd w:id="289"/>
      <w:bookmarkEnd w:id="290"/>
      <w:r w:rsidR="00265EDF" w:rsidRPr="000F6CD1">
        <w:t>referrals</w:t>
      </w:r>
    </w:p>
    <w:p w14:paraId="32B32EEB" w14:textId="6C726FBA" w:rsidR="0016744D" w:rsidRPr="00667017" w:rsidRDefault="0016744D" w:rsidP="00667017">
      <w:pPr>
        <w:rPr>
          <w:rFonts w:eastAsia="Times New Roman"/>
        </w:rPr>
      </w:pPr>
      <w:r w:rsidRPr="000F6CD1">
        <w:t xml:space="preserve">Assessors </w:t>
      </w:r>
      <w:r w:rsidR="008F475C" w:rsidRPr="000F6CD1">
        <w:t xml:space="preserve">must </w:t>
      </w:r>
      <w:r w:rsidRPr="000F6CD1">
        <w:t xml:space="preserve">undertake High Priority Assessments for new End-of-Life clients. The </w:t>
      </w:r>
      <w:r w:rsidR="007E7CAD" w:rsidRPr="000F6CD1">
        <w:t>Assessor Portal</w:t>
      </w:r>
      <w:r w:rsidRPr="000F6CD1">
        <w:t xml:space="preserve"> will include system capability for team leaders and triage delegates to flag clients as an ‘End-of-life client’ through the High Priority assessment process. The aged care assessment referral will be flagged as an ‘End-of-Life referral’ and will be given a high priority. </w:t>
      </w:r>
      <w:r w:rsidR="001E122C" w:rsidRPr="000F6CD1">
        <w:t xml:space="preserve">Assessors will be able to identify referrals for the End-of-Life Pathway through a visual indicator that marks the referral as End-of-Life, and through filtering for the End-of-Life Pathway. However, </w:t>
      </w:r>
      <w:r w:rsidR="001E122C" w:rsidRPr="000F6CD1">
        <w:rPr>
          <w:b/>
          <w:bCs/>
        </w:rPr>
        <w:t xml:space="preserve">it is important to note that current system functionality does not allow team leaders to identify Support Plan </w:t>
      </w:r>
      <w:r w:rsidR="001E122C" w:rsidRPr="000F6CD1">
        <w:rPr>
          <w:b/>
          <w:bCs/>
        </w:rPr>
        <w:lastRenderedPageBreak/>
        <w:t xml:space="preserve">Reviews for the End-of-Life Pathway through the same mechanisms </w:t>
      </w:r>
      <w:r w:rsidR="001E122C" w:rsidRPr="000F6CD1">
        <w:t xml:space="preserve">(team leaders will be able to filter by urgency, but they will be unable to see the visual indicator or filter </w:t>
      </w:r>
      <w:r w:rsidR="0001134E" w:rsidRPr="000F6CD1">
        <w:t xml:space="preserve">specifically for </w:t>
      </w:r>
      <w:r w:rsidR="001E122C" w:rsidRPr="000F6CD1">
        <w:t>End-of-Life). Instead, upon receiving urgent requests for Support Plan Reviews, it is important that team leaders click the double arrow icon to expand the referral card, verify whether it relates to the End-of-Life Pathway and prioritise it accordingly. This must be done for all incoming referrals for Support Plan Reviews to ensure older people seeking access to the End-of-Life Pathway are prioritised</w:t>
      </w:r>
      <w:r w:rsidRPr="000F6CD1">
        <w:t>.</w:t>
      </w:r>
      <w:r w:rsidR="009775F8" w:rsidRPr="000F6CD1">
        <w:rPr>
          <w:rFonts w:eastAsia="Times New Roman"/>
        </w:rPr>
        <w:t xml:space="preserve"> A temporary workaround is available </w:t>
      </w:r>
      <w:r w:rsidR="007536A2" w:rsidRPr="000F6CD1">
        <w:rPr>
          <w:rFonts w:eastAsia="Times New Roman"/>
        </w:rPr>
        <w:t xml:space="preserve">for </w:t>
      </w:r>
      <w:r w:rsidR="009775F8" w:rsidRPr="000F6CD1">
        <w:rPr>
          <w:rFonts w:eastAsia="Times New Roman"/>
        </w:rPr>
        <w:t xml:space="preserve">via Qilk, refer </w:t>
      </w:r>
      <w:r w:rsidR="00161C95" w:rsidRPr="000F6CD1">
        <w:rPr>
          <w:rFonts w:eastAsia="Times New Roman"/>
        </w:rPr>
        <w:t xml:space="preserve">to the </w:t>
      </w:r>
      <w:r w:rsidR="00161C95" w:rsidRPr="005D47A2">
        <w:rPr>
          <w:rFonts w:eastAsia="Times New Roman"/>
        </w:rPr>
        <w:t>Identification of End-of-Life Clients Via Qli</w:t>
      </w:r>
      <w:r w:rsidR="00855502" w:rsidRPr="005D47A2">
        <w:rPr>
          <w:rFonts w:eastAsia="Times New Roman"/>
        </w:rPr>
        <w:t xml:space="preserve">k </w:t>
      </w:r>
      <w:r w:rsidR="00D50C39" w:rsidRPr="005D47A2">
        <w:rPr>
          <w:rFonts w:eastAsia="Times New Roman"/>
        </w:rPr>
        <w:t>– Guidance</w:t>
      </w:r>
      <w:r w:rsidR="00D50C39" w:rsidRPr="000F6CD1">
        <w:rPr>
          <w:rFonts w:eastAsia="Times New Roman"/>
        </w:rPr>
        <w:t xml:space="preserve"> on </w:t>
      </w:r>
      <w:r w:rsidR="00E93081" w:rsidRPr="000F6CD1">
        <w:rPr>
          <w:rFonts w:eastAsia="Times New Roman"/>
        </w:rPr>
        <w:t>the Assessment Hub</w:t>
      </w:r>
      <w:r w:rsidR="003E5E3F" w:rsidRPr="000F6CD1">
        <w:rPr>
          <w:rFonts w:eastAsia="Times New Roman"/>
        </w:rPr>
        <w:t xml:space="preserve"> </w:t>
      </w:r>
      <w:r w:rsidR="009775F8" w:rsidRPr="000F6CD1">
        <w:rPr>
          <w:rFonts w:eastAsia="Times New Roman"/>
        </w:rPr>
        <w:t>for more detailed guidance.</w:t>
      </w:r>
    </w:p>
    <w:p w14:paraId="4423D51A" w14:textId="1955E19A" w:rsidR="00C90D0A" w:rsidRPr="000F6CD1" w:rsidRDefault="000C3F38" w:rsidP="00856600">
      <w:pPr>
        <w:spacing w:before="240" w:after="240" w:line="240" w:lineRule="auto"/>
      </w:pPr>
      <w:r w:rsidRPr="000F6CD1">
        <w:t xml:space="preserve">For CHSP clients who are seeking </w:t>
      </w:r>
      <w:r w:rsidR="004D4F61" w:rsidRPr="000F6CD1">
        <w:t>the End</w:t>
      </w:r>
      <w:r w:rsidR="0013447C" w:rsidRPr="000F6CD1">
        <w:t>-</w:t>
      </w:r>
      <w:r w:rsidR="004D4F61" w:rsidRPr="000F6CD1">
        <w:t>of</w:t>
      </w:r>
      <w:r w:rsidR="0013447C" w:rsidRPr="000F6CD1">
        <w:t>-</w:t>
      </w:r>
      <w:r w:rsidR="004D4F61" w:rsidRPr="000F6CD1">
        <w:t>Life Pathway</w:t>
      </w:r>
      <w:r w:rsidR="00C12A27" w:rsidRPr="000F6CD1">
        <w:t xml:space="preserve"> via </w:t>
      </w:r>
      <w:r w:rsidR="006E792F" w:rsidRPr="000F6CD1">
        <w:t>a</w:t>
      </w:r>
      <w:r w:rsidR="00C12A27" w:rsidRPr="000F6CD1">
        <w:t xml:space="preserve"> SPR</w:t>
      </w:r>
      <w:r w:rsidR="004D4F61" w:rsidRPr="000F6CD1">
        <w:t xml:space="preserve">, </w:t>
      </w:r>
      <w:r w:rsidR="00AD42A5" w:rsidRPr="000F6CD1">
        <w:t xml:space="preserve">if the </w:t>
      </w:r>
      <w:r w:rsidR="004D0E9B" w:rsidRPr="000F6CD1">
        <w:t xml:space="preserve">assessor </w:t>
      </w:r>
      <w:r w:rsidR="00133DB1" w:rsidRPr="000F6CD1">
        <w:t xml:space="preserve">or </w:t>
      </w:r>
      <w:r w:rsidR="00C12A27" w:rsidRPr="000F6CD1">
        <w:t>t</w:t>
      </w:r>
      <w:r w:rsidR="00133DB1" w:rsidRPr="000F6CD1">
        <w:t xml:space="preserve">eam </w:t>
      </w:r>
      <w:r w:rsidR="00C12A27" w:rsidRPr="000F6CD1">
        <w:t>l</w:t>
      </w:r>
      <w:r w:rsidR="00133DB1" w:rsidRPr="000F6CD1">
        <w:t>eader</w:t>
      </w:r>
      <w:r w:rsidR="00C12A27" w:rsidRPr="000F6CD1">
        <w:t xml:space="preserve"> is </w:t>
      </w:r>
      <w:r w:rsidR="00AD42A5" w:rsidRPr="000F6CD1">
        <w:t>satisfied the</w:t>
      </w:r>
      <w:r w:rsidR="004D0E9B" w:rsidRPr="000F6CD1">
        <w:t xml:space="preserve"> </w:t>
      </w:r>
      <w:r w:rsidR="00133DB1" w:rsidRPr="000F6CD1">
        <w:t xml:space="preserve">referral </w:t>
      </w:r>
      <w:r w:rsidR="00AA5E4F" w:rsidRPr="000F6CD1">
        <w:t>is an</w:t>
      </w:r>
      <w:r w:rsidR="00C12A27" w:rsidRPr="000F6CD1">
        <w:t xml:space="preserve"> End-of-Life </w:t>
      </w:r>
      <w:r w:rsidR="00AA5E4F" w:rsidRPr="000F6CD1">
        <w:t>request</w:t>
      </w:r>
      <w:r w:rsidR="006E792F" w:rsidRPr="000F6CD1">
        <w:t>,</w:t>
      </w:r>
      <w:r w:rsidR="00C12A27" w:rsidRPr="000F6CD1">
        <w:t xml:space="preserve"> </w:t>
      </w:r>
      <w:r w:rsidR="00CE1FD4" w:rsidRPr="000F6CD1">
        <w:t xml:space="preserve">they can select </w:t>
      </w:r>
      <w:r w:rsidR="00D138A7" w:rsidRPr="000F6CD1">
        <w:t>the “recommend new assessment” button</w:t>
      </w:r>
      <w:r w:rsidR="0075424F" w:rsidRPr="000F6CD1">
        <w:t xml:space="preserve"> under the “before you start the support plan review</w:t>
      </w:r>
      <w:r w:rsidR="00A44B7D" w:rsidRPr="000F6CD1">
        <w:t>”</w:t>
      </w:r>
      <w:r w:rsidR="0075424F" w:rsidRPr="000F6CD1">
        <w:t xml:space="preserve"> tab</w:t>
      </w:r>
      <w:r w:rsidR="00CE1FD4" w:rsidRPr="000F6CD1">
        <w:t xml:space="preserve"> to proceed directly to a comprehensive assessment</w:t>
      </w:r>
      <w:r w:rsidR="0075424F" w:rsidRPr="000F6CD1">
        <w:t xml:space="preserve">. </w:t>
      </w:r>
    </w:p>
    <w:p w14:paraId="1F1BB6BA" w14:textId="4ACBF42C" w:rsidR="0016744D" w:rsidRPr="000F6CD1" w:rsidRDefault="0016744D" w:rsidP="00856600">
      <w:pPr>
        <w:spacing w:before="240" w:after="240" w:line="240" w:lineRule="auto"/>
      </w:pPr>
      <w:r w:rsidRPr="000F6CD1">
        <w:t>The End-of-Life Pathway Form does not need to be attached to the client’s record for the assessment to proceed. If an End-of-Life Pathway Form has not been submitted, the team leader or triage delegate should advise the older person of the steps required</w:t>
      </w:r>
      <w:r w:rsidR="005B67DF" w:rsidRPr="000F6CD1">
        <w:t xml:space="preserve">. In cases where an aged care assessment or SPR will be undertaken via telehealth, assessors must assist older people to ensure the completed End-of-Life Pathway Form is submitted. More information on </w:t>
      </w:r>
      <w:r w:rsidR="0067669B" w:rsidRPr="000F6CD1">
        <w:t>options is included in section 6.3.1.</w:t>
      </w:r>
    </w:p>
    <w:p w14:paraId="053DD0BF" w14:textId="44DC918D" w:rsidR="0016744D" w:rsidRPr="000F6CD1" w:rsidRDefault="0016744D" w:rsidP="00856600">
      <w:pPr>
        <w:spacing w:before="240" w:after="240" w:line="240" w:lineRule="auto"/>
      </w:pPr>
      <w:r w:rsidRPr="000F6CD1">
        <w:t>The End-of-Life Form must be uploaded and verified prior to the Support Plan being completed. Prompts will show to ensure the form is verified. If an assessment referral has been received with an End-of-Life flag, the End-of-Life form can be verified by clicking on the ‘edit’ icon. During an assessment it can be verified by selecting the ‘Verify End of Life Form’ Button. The form can be verified as:</w:t>
      </w:r>
    </w:p>
    <w:p w14:paraId="2F7DD454" w14:textId="29A8F419" w:rsidR="0016744D" w:rsidRPr="00A41428" w:rsidRDefault="0016744D" w:rsidP="00856600">
      <w:pPr>
        <w:pStyle w:val="Caption"/>
        <w:spacing w:before="240" w:after="240"/>
      </w:pPr>
      <w:r w:rsidRPr="00A41428">
        <w:t xml:space="preserve">Table </w:t>
      </w:r>
      <w:r w:rsidR="00647AB5" w:rsidRPr="00A41428">
        <w:t>1</w:t>
      </w:r>
      <w:r w:rsidR="00236315" w:rsidRPr="00A41428">
        <w:t>7</w:t>
      </w:r>
      <w:r w:rsidRPr="00A41428">
        <w:t>. End</w:t>
      </w:r>
      <w:r w:rsidR="00245154" w:rsidRPr="00A41428">
        <w:t>-</w:t>
      </w:r>
      <w:r w:rsidRPr="00A41428">
        <w:t>of</w:t>
      </w:r>
      <w:r w:rsidR="00245154" w:rsidRPr="00A41428">
        <w:t>-</w:t>
      </w:r>
      <w:r w:rsidRPr="00A41428">
        <w:t xml:space="preserve">Life Form verification options </w:t>
      </w:r>
    </w:p>
    <w:tbl>
      <w:tblPr>
        <w:tblStyle w:val="TableGrid"/>
        <w:tblW w:w="9351" w:type="dxa"/>
        <w:tblBorders>
          <w:bottom w:val="single" w:sz="4" w:space="0" w:color="auto"/>
          <w:insideH w:val="single" w:sz="4" w:space="0" w:color="auto"/>
        </w:tblBorders>
        <w:tblLook w:val="04A0" w:firstRow="1" w:lastRow="0" w:firstColumn="1" w:lastColumn="0" w:noHBand="0" w:noVBand="1"/>
        <w:tblCaption w:val="End-of-Life verification options "/>
        <w:tblDescription w:val="Overview of End-of-Life verification options"/>
      </w:tblPr>
      <w:tblGrid>
        <w:gridCol w:w="4508"/>
        <w:gridCol w:w="4843"/>
      </w:tblGrid>
      <w:tr w:rsidR="0016744D" w:rsidRPr="000F6CD1" w14:paraId="75318A94" w14:textId="77777777" w:rsidTr="00A77CAE">
        <w:trPr>
          <w:tblHeader/>
        </w:trPr>
        <w:tc>
          <w:tcPr>
            <w:tcW w:w="4508" w:type="dxa"/>
            <w:shd w:val="clear" w:color="auto" w:fill="002060"/>
            <w:vAlign w:val="center"/>
          </w:tcPr>
          <w:p w14:paraId="0947630D" w14:textId="77777777" w:rsidR="0016744D" w:rsidRPr="000F6CD1" w:rsidRDefault="0016744D" w:rsidP="00856600">
            <w:pPr>
              <w:spacing w:before="240" w:after="240"/>
              <w:rPr>
                <w:b/>
                <w:bCs/>
              </w:rPr>
            </w:pPr>
            <w:r w:rsidRPr="000F6CD1">
              <w:rPr>
                <w:b/>
                <w:bCs/>
              </w:rPr>
              <w:t xml:space="preserve">Option </w:t>
            </w:r>
          </w:p>
        </w:tc>
        <w:tc>
          <w:tcPr>
            <w:tcW w:w="4843" w:type="dxa"/>
            <w:shd w:val="clear" w:color="auto" w:fill="002060"/>
            <w:vAlign w:val="center"/>
          </w:tcPr>
          <w:p w14:paraId="12AF969C" w14:textId="77777777" w:rsidR="0016744D" w:rsidRPr="000F6CD1" w:rsidRDefault="0016744D" w:rsidP="00856600">
            <w:pPr>
              <w:spacing w:before="240" w:after="240"/>
              <w:rPr>
                <w:b/>
                <w:bCs/>
              </w:rPr>
            </w:pPr>
            <w:r w:rsidRPr="000F6CD1">
              <w:rPr>
                <w:b/>
                <w:bCs/>
              </w:rPr>
              <w:t>When to use</w:t>
            </w:r>
          </w:p>
        </w:tc>
      </w:tr>
      <w:tr w:rsidR="0016744D" w:rsidRPr="000F6CD1" w14:paraId="4A8C01BC" w14:textId="77777777" w:rsidTr="00A77CAE">
        <w:trPr>
          <w:tblHeader/>
        </w:trPr>
        <w:tc>
          <w:tcPr>
            <w:tcW w:w="4508" w:type="dxa"/>
            <w:vAlign w:val="center"/>
          </w:tcPr>
          <w:p w14:paraId="089E3A8B" w14:textId="05226C90" w:rsidR="0016744D" w:rsidRPr="000F6CD1" w:rsidRDefault="0016744D" w:rsidP="00856600">
            <w:pPr>
              <w:spacing w:before="240" w:after="240"/>
            </w:pPr>
            <w:r w:rsidRPr="000F6CD1">
              <w:t>Document Reviewed</w:t>
            </w:r>
            <w:r w:rsidR="00943D59" w:rsidRPr="000F6CD1">
              <w:t xml:space="preserve"> </w:t>
            </w:r>
            <w:r w:rsidRPr="000F6CD1">
              <w:t>- valid</w:t>
            </w:r>
          </w:p>
        </w:tc>
        <w:tc>
          <w:tcPr>
            <w:tcW w:w="4843" w:type="dxa"/>
            <w:vAlign w:val="center"/>
          </w:tcPr>
          <w:p w14:paraId="393893D4" w14:textId="77777777" w:rsidR="0016744D" w:rsidRPr="000F6CD1" w:rsidRDefault="0016744D" w:rsidP="00856600">
            <w:pPr>
              <w:spacing w:before="240" w:after="240"/>
            </w:pPr>
            <w:r w:rsidRPr="000F6CD1">
              <w:t xml:space="preserve">The correct, complete document has been uploaded. </w:t>
            </w:r>
          </w:p>
        </w:tc>
      </w:tr>
      <w:tr w:rsidR="0016744D" w:rsidRPr="000F6CD1" w14:paraId="119835E1" w14:textId="77777777" w:rsidTr="00A77CAE">
        <w:trPr>
          <w:tblHeader/>
        </w:trPr>
        <w:tc>
          <w:tcPr>
            <w:tcW w:w="4508" w:type="dxa"/>
            <w:vAlign w:val="center"/>
          </w:tcPr>
          <w:p w14:paraId="782B5B57" w14:textId="77777777" w:rsidR="0016744D" w:rsidRPr="000F6CD1" w:rsidRDefault="0016744D" w:rsidP="00856600">
            <w:pPr>
              <w:spacing w:before="240" w:after="240"/>
            </w:pPr>
            <w:r w:rsidRPr="000F6CD1">
              <w:t>Document Reviewed – pending</w:t>
            </w:r>
          </w:p>
        </w:tc>
        <w:tc>
          <w:tcPr>
            <w:tcW w:w="4843" w:type="dxa"/>
            <w:vAlign w:val="center"/>
          </w:tcPr>
          <w:p w14:paraId="325C14D6" w14:textId="77777777" w:rsidR="0016744D" w:rsidRPr="000F6CD1" w:rsidRDefault="0016744D" w:rsidP="00856600">
            <w:pPr>
              <w:spacing w:before="240" w:after="240"/>
            </w:pPr>
            <w:r w:rsidRPr="000F6CD1">
              <w:t>The documentation is either incomplete or not provided.</w:t>
            </w:r>
          </w:p>
        </w:tc>
      </w:tr>
      <w:tr w:rsidR="0016744D" w:rsidRPr="000F6CD1" w14:paraId="5C2BE28B" w14:textId="77777777" w:rsidTr="00A77CAE">
        <w:trPr>
          <w:tblHeader/>
        </w:trPr>
        <w:tc>
          <w:tcPr>
            <w:tcW w:w="4508" w:type="dxa"/>
            <w:vAlign w:val="center"/>
          </w:tcPr>
          <w:p w14:paraId="1757ADF1" w14:textId="77777777" w:rsidR="0016744D" w:rsidRPr="000F6CD1" w:rsidRDefault="0016744D" w:rsidP="00856600">
            <w:pPr>
              <w:spacing w:before="240" w:after="240"/>
            </w:pPr>
            <w:r w:rsidRPr="000F6CD1">
              <w:t>Document Reviewed – invalid</w:t>
            </w:r>
          </w:p>
        </w:tc>
        <w:tc>
          <w:tcPr>
            <w:tcW w:w="4843" w:type="dxa"/>
            <w:vAlign w:val="center"/>
          </w:tcPr>
          <w:p w14:paraId="19B8A8AE" w14:textId="77777777" w:rsidR="0016744D" w:rsidRPr="000F6CD1" w:rsidRDefault="0016744D" w:rsidP="00856600">
            <w:pPr>
              <w:spacing w:before="240" w:after="240"/>
            </w:pPr>
            <w:r w:rsidRPr="000F6CD1">
              <w:t xml:space="preserve">The End-of-Life pathway is no longer needed or the documentation is invalid. </w:t>
            </w:r>
          </w:p>
        </w:tc>
      </w:tr>
    </w:tbl>
    <w:p w14:paraId="2A3DDEB5" w14:textId="0F4AFEC1" w:rsidR="00F75671" w:rsidRPr="00A77CAE" w:rsidRDefault="0016744D" w:rsidP="00806A21">
      <w:pPr>
        <w:pStyle w:val="Sub-headings"/>
      </w:pPr>
      <w:r w:rsidRPr="000F6CD1">
        <w:t xml:space="preserve">Note: </w:t>
      </w:r>
      <w:r w:rsidRPr="71E2F12B">
        <w:t xml:space="preserve">The End-of-Life </w:t>
      </w:r>
      <w:r w:rsidR="00E05C91" w:rsidRPr="71E2F12B">
        <w:t>P</w:t>
      </w:r>
      <w:r w:rsidR="005D345C" w:rsidRPr="71E2F12B">
        <w:t xml:space="preserve">athway </w:t>
      </w:r>
      <w:r w:rsidRPr="71E2F12B">
        <w:t>can be flagged at any stage of the individual’s assessment journey</w:t>
      </w:r>
      <w:r w:rsidR="00E5721A" w:rsidRPr="71E2F12B">
        <w:t>.</w:t>
      </w:r>
    </w:p>
    <w:tbl>
      <w:tblPr>
        <w:tblStyle w:val="TableGrid"/>
        <w:tblW w:w="0" w:type="auto"/>
        <w:tblLook w:val="04A0" w:firstRow="1" w:lastRow="0" w:firstColumn="1" w:lastColumn="0" w:noHBand="0" w:noVBand="1"/>
      </w:tblPr>
      <w:tblGrid>
        <w:gridCol w:w="850"/>
        <w:gridCol w:w="7916"/>
      </w:tblGrid>
      <w:tr w:rsidR="00F75671" w:rsidRPr="000F6CD1" w14:paraId="451FADC1" w14:textId="77777777">
        <w:trPr>
          <w:trHeight w:val="844"/>
        </w:trPr>
        <w:tc>
          <w:tcPr>
            <w:tcW w:w="851" w:type="dxa"/>
            <w:vAlign w:val="center"/>
          </w:tcPr>
          <w:p w14:paraId="2295897E" w14:textId="77777777" w:rsidR="00F75671" w:rsidRPr="000F6CD1" w:rsidRDefault="00F75671">
            <w:pPr>
              <w:spacing w:before="240" w:after="240"/>
            </w:pPr>
            <w:r w:rsidRPr="000F6CD1">
              <w:rPr>
                <w:noProof/>
              </w:rPr>
              <w:drawing>
                <wp:inline distT="0" distB="0" distL="0" distR="0" wp14:anchorId="6B599403" wp14:editId="5F2D786D">
                  <wp:extent cx="367345" cy="365321"/>
                  <wp:effectExtent l="0" t="0" r="0" b="0"/>
                  <wp:docPr id="943685962" name="Picture 94368596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85962" name="Picture 943685962"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68" cy="381654"/>
                          </a:xfrm>
                          <a:prstGeom prst="rect">
                            <a:avLst/>
                          </a:prstGeom>
                        </pic:spPr>
                      </pic:pic>
                    </a:graphicData>
                  </a:graphic>
                </wp:inline>
              </w:drawing>
            </w:r>
          </w:p>
        </w:tc>
        <w:tc>
          <w:tcPr>
            <w:tcW w:w="8028" w:type="dxa"/>
          </w:tcPr>
          <w:p w14:paraId="6B660D78" w14:textId="6DFB1B8F" w:rsidR="00F75671" w:rsidRPr="000F6CD1" w:rsidRDefault="0014498B">
            <w:pPr>
              <w:spacing w:before="240" w:after="240"/>
            </w:pPr>
            <w:hyperlink r:id="rId112" w:history="1">
              <w:r w:rsidRPr="000F6CD1">
                <w:rPr>
                  <w:rStyle w:val="Hyperlink"/>
                </w:rPr>
                <w:t>My Aged Care – Assessor Portal User Guide 3 – Managing referrals for assessment and support plan reviews | Australian Government Department of Health, Disability and Ageing</w:t>
              </w:r>
            </w:hyperlink>
          </w:p>
        </w:tc>
      </w:tr>
    </w:tbl>
    <w:p w14:paraId="21652691" w14:textId="21D0695B" w:rsidR="00A77CAE" w:rsidRDefault="00A77CAE">
      <w:pPr>
        <w:rPr>
          <w:b/>
          <w:iCs/>
          <w:color w:val="44546A" w:themeColor="text2"/>
          <w:sz w:val="21"/>
          <w:szCs w:val="18"/>
        </w:rPr>
      </w:pPr>
    </w:p>
    <w:p w14:paraId="6190CAC5" w14:textId="5AA24A58" w:rsidR="0016744D" w:rsidRPr="000F6CD1" w:rsidRDefault="0016744D" w:rsidP="00724D2F">
      <w:pPr>
        <w:pStyle w:val="Caption"/>
        <w:keepLines/>
        <w:spacing w:after="0"/>
      </w:pPr>
      <w:r w:rsidRPr="000F6CD1">
        <w:lastRenderedPageBreak/>
        <w:t xml:space="preserve">Table </w:t>
      </w:r>
      <w:r w:rsidR="00647AB5" w:rsidRPr="000F6CD1">
        <w:t>1</w:t>
      </w:r>
      <w:r w:rsidR="00236315" w:rsidRPr="000F6CD1">
        <w:t>8</w:t>
      </w:r>
      <w:r w:rsidRPr="000F6CD1">
        <w:t>. Referral Management Flowchart</w:t>
      </w:r>
    </w:p>
    <w:tbl>
      <w:tblPr>
        <w:tblStyle w:val="TableGrid"/>
        <w:tblW w:w="0" w:type="auto"/>
        <w:tblLook w:val="04A0" w:firstRow="1" w:lastRow="0" w:firstColumn="1" w:lastColumn="0" w:noHBand="0" w:noVBand="1"/>
        <w:tblCaption w:val="Referral Management Flowchart "/>
        <w:tblDescription w:val="Overview of the process for referral management "/>
      </w:tblPr>
      <w:tblGrid>
        <w:gridCol w:w="8756"/>
      </w:tblGrid>
      <w:tr w:rsidR="0016744D" w:rsidRPr="000F6CD1" w14:paraId="5B61E9CA" w14:textId="77777777">
        <w:trPr>
          <w:trHeight w:val="11817"/>
        </w:trPr>
        <w:tc>
          <w:tcPr>
            <w:tcW w:w="9016" w:type="dxa"/>
            <w:tcBorders>
              <w:top w:val="single" w:sz="4" w:space="0" w:color="3F4A75"/>
              <w:left w:val="single" w:sz="4" w:space="0" w:color="3F4A75"/>
              <w:bottom w:val="single" w:sz="36" w:space="0" w:color="70AD47" w:themeColor="accent6"/>
              <w:right w:val="single" w:sz="4" w:space="0" w:color="3F4A75"/>
            </w:tcBorders>
          </w:tcPr>
          <w:p w14:paraId="0ABFCD2C" w14:textId="77777777" w:rsidR="0016744D" w:rsidRPr="000F6CD1" w:rsidRDefault="0016744D" w:rsidP="00724D2F">
            <w:pPr>
              <w:keepLines/>
              <w:jc w:val="center"/>
              <w:rPr>
                <w:rFonts w:asciiTheme="minorHAnsi" w:hAnsiTheme="minorHAnsi" w:cstheme="minorHAnsi"/>
                <w:b/>
                <w:bCs/>
                <w:sz w:val="32"/>
                <w:szCs w:val="32"/>
              </w:rPr>
            </w:pPr>
            <w:r w:rsidRPr="000F6CD1">
              <w:rPr>
                <w:rFonts w:asciiTheme="minorHAnsi" w:hAnsiTheme="minorHAnsi" w:cstheme="minorHAnsi"/>
                <w:b/>
                <w:bCs/>
                <w:sz w:val="32"/>
                <w:szCs w:val="32"/>
              </w:rPr>
              <w:t>REFERRAL MANAGEMENT FLOWCHART</w:t>
            </w:r>
          </w:p>
          <w:tbl>
            <w:tblPr>
              <w:tblStyle w:val="TableGrid"/>
              <w:tblW w:w="0" w:type="auto"/>
              <w:tblBorders>
                <w:top w:val="single" w:sz="36" w:space="0" w:color="70AD47" w:themeColor="accent6"/>
                <w:left w:val="single" w:sz="36" w:space="0" w:color="70AD47" w:themeColor="accent6"/>
                <w:bottom w:val="single" w:sz="36" w:space="0" w:color="70AD47" w:themeColor="accent6"/>
                <w:right w:val="single" w:sz="36" w:space="0" w:color="70AD47" w:themeColor="accent6"/>
              </w:tblBorders>
              <w:tblLook w:val="04A0" w:firstRow="1" w:lastRow="0" w:firstColumn="1" w:lastColumn="0" w:noHBand="0" w:noVBand="1"/>
            </w:tblPr>
            <w:tblGrid>
              <w:gridCol w:w="8510"/>
            </w:tblGrid>
            <w:tr w:rsidR="0016744D" w:rsidRPr="000F6CD1" w14:paraId="4DF4205D" w14:textId="77777777">
              <w:tc>
                <w:tcPr>
                  <w:tcW w:w="879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B2ED025" w14:textId="77777777" w:rsidR="0016744D" w:rsidRPr="000F6CD1" w:rsidRDefault="0016744D" w:rsidP="00724D2F">
                  <w:pPr>
                    <w:keepLines/>
                    <w:jc w:val="center"/>
                    <w:rPr>
                      <w:b/>
                      <w:bCs/>
                      <w:color w:val="385623" w:themeColor="accent6" w:themeShade="80"/>
                      <w:sz w:val="20"/>
                    </w:rPr>
                  </w:pPr>
                  <w:r w:rsidRPr="000F6CD1">
                    <w:rPr>
                      <w:b/>
                      <w:bCs/>
                      <w:color w:val="385623" w:themeColor="accent6" w:themeShade="80"/>
                      <w:sz w:val="20"/>
                    </w:rPr>
                    <w:t>ASSESSMENT REFERRAL</w:t>
                  </w:r>
                  <w:r w:rsidRPr="000F6CD1">
                    <w:rPr>
                      <w:b/>
                      <w:bCs/>
                      <w:color w:val="385623" w:themeColor="accent6" w:themeShade="80"/>
                      <w:sz w:val="20"/>
                    </w:rPr>
                    <w:br/>
                    <w:t>ISSUED AND RECEIVED</w:t>
                  </w:r>
                </w:p>
              </w:tc>
            </w:tr>
          </w:tbl>
          <w:p w14:paraId="298A729E" w14:textId="77777777" w:rsidR="0016744D" w:rsidRPr="000F6CD1" w:rsidRDefault="0016744D" w:rsidP="00724D2F">
            <w:pPr>
              <w:keepLines/>
              <w:jc w:val="center"/>
              <w:rPr>
                <w:rFonts w:asciiTheme="minorHAnsi" w:hAnsiTheme="minorHAnsi" w:cstheme="minorHAnsi"/>
                <w:b/>
                <w:bCs/>
                <w:sz w:val="32"/>
                <w:szCs w:val="32"/>
              </w:rPr>
            </w:pPr>
            <w:r w:rsidRPr="000F6CD1">
              <w:rPr>
                <w:rFonts w:asciiTheme="minorHAnsi" w:hAnsiTheme="minorHAnsi" w:cstheme="minorHAnsi"/>
                <w:b/>
                <w:bCs/>
                <w:noProof/>
                <w:sz w:val="32"/>
                <w:szCs w:val="32"/>
              </w:rPr>
              <mc:AlternateContent>
                <mc:Choice Requires="wps">
                  <w:drawing>
                    <wp:anchor distT="0" distB="0" distL="114300" distR="114300" simplePos="0" relativeHeight="251658249" behindDoc="0" locked="0" layoutInCell="1" allowOverlap="1" wp14:anchorId="162C03B0" wp14:editId="4CCB3814">
                      <wp:simplePos x="0" y="0"/>
                      <wp:positionH relativeFrom="column">
                        <wp:posOffset>2715895</wp:posOffset>
                      </wp:positionH>
                      <wp:positionV relativeFrom="paragraph">
                        <wp:posOffset>73660</wp:posOffset>
                      </wp:positionV>
                      <wp:extent cx="0" cy="241300"/>
                      <wp:effectExtent l="76200" t="0" r="57150" b="6350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718E1" id="_x0000_t32" coordsize="21600,21600" o:spt="32" o:oned="t" path="m,l21600,21600e" filled="f">
                      <v:path arrowok="t" fillok="f" o:connecttype="none"/>
                      <o:lock v:ext="edit" shapetype="t"/>
                    </v:shapetype>
                    <v:shape id="Straight Arrow Connector 10" o:spid="_x0000_s1026" type="#_x0000_t32" alt="&quot;&quot;" style="position:absolute;margin-left:213.85pt;margin-top:5.8pt;width:0;height: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510"/>
            </w:tblGrid>
            <w:tr w:rsidR="0016744D" w:rsidRPr="000F6CD1" w14:paraId="42DE3E61" w14:textId="77777777">
              <w:trPr>
                <w:trHeight w:val="2954"/>
              </w:trPr>
              <w:tc>
                <w:tcPr>
                  <w:tcW w:w="871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F5BE147" w14:textId="77777777" w:rsidR="0016744D" w:rsidRPr="000F6CD1" w:rsidRDefault="0016744D" w:rsidP="00724D2F">
                  <w:pPr>
                    <w:keepLines/>
                    <w:rPr>
                      <w:rFonts w:asciiTheme="minorHAnsi" w:hAnsiTheme="minorHAnsi" w:cstheme="minorHAnsi"/>
                      <w:b/>
                      <w:bCs/>
                      <w:sz w:val="32"/>
                      <w:szCs w:val="32"/>
                    </w:rPr>
                  </w:pPr>
                  <w:r w:rsidRPr="000F6CD1">
                    <w:rPr>
                      <w:rFonts w:asciiTheme="minorHAnsi" w:hAnsiTheme="minorHAnsi" w:cstheme="minorHAnsi"/>
                      <w:b/>
                      <w:bCs/>
                      <w:noProof/>
                      <w:sz w:val="32"/>
                      <w:szCs w:val="32"/>
                    </w:rPr>
                    <mc:AlternateContent>
                      <mc:Choice Requires="wps">
                        <w:drawing>
                          <wp:anchor distT="45720" distB="45720" distL="114300" distR="114300" simplePos="0" relativeHeight="251658243" behindDoc="0" locked="0" layoutInCell="1" allowOverlap="1" wp14:anchorId="68E5F62D" wp14:editId="633E2673">
                            <wp:simplePos x="0" y="0"/>
                            <wp:positionH relativeFrom="column">
                              <wp:posOffset>3869690</wp:posOffset>
                            </wp:positionH>
                            <wp:positionV relativeFrom="paragraph">
                              <wp:posOffset>145415</wp:posOffset>
                            </wp:positionV>
                            <wp:extent cx="1489075" cy="1765935"/>
                            <wp:effectExtent l="0" t="0" r="158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765935"/>
                                    </a:xfrm>
                                    <a:prstGeom prst="rect">
                                      <a:avLst/>
                                    </a:prstGeom>
                                    <a:solidFill>
                                      <a:srgbClr val="FFFFFF"/>
                                    </a:solidFill>
                                    <a:ln w="19050">
                                      <a:solidFill>
                                        <a:schemeClr val="accent6">
                                          <a:lumMod val="75000"/>
                                        </a:schemeClr>
                                      </a:solidFill>
                                      <a:miter lim="800000"/>
                                      <a:headEnd/>
                                      <a:tailEnd/>
                                    </a:ln>
                                  </wps:spPr>
                                  <wps:txbx>
                                    <w:txbxContent>
                                      <w:p w14:paraId="1138AF1E" w14:textId="77777777" w:rsidR="0016744D" w:rsidRPr="000F6CD1" w:rsidRDefault="0016744D" w:rsidP="0016744D">
                                        <w:pPr>
                                          <w:spacing w:after="40" w:line="240" w:lineRule="auto"/>
                                          <w:rPr>
                                            <w:rFonts w:asciiTheme="minorHAnsi" w:hAnsiTheme="minorHAnsi" w:cstheme="minorHAnsi"/>
                                            <w:b/>
                                            <w:bCs/>
                                            <w:sz w:val="16"/>
                                            <w:szCs w:val="16"/>
                                            <w:u w:val="single"/>
                                          </w:rPr>
                                        </w:pPr>
                                        <w:r w:rsidRPr="000F6CD1">
                                          <w:rPr>
                                            <w:rFonts w:asciiTheme="minorHAnsi" w:hAnsiTheme="minorHAnsi" w:cstheme="minorHAnsi"/>
                                            <w:b/>
                                            <w:bCs/>
                                            <w:sz w:val="16"/>
                                            <w:szCs w:val="16"/>
                                            <w:u w:val="single"/>
                                          </w:rPr>
                                          <w:t>Self-referrals</w:t>
                                        </w:r>
                                      </w:p>
                                      <w:p w14:paraId="46A2D1F6" w14:textId="06DB4A6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Assessment Organisations can only self-refer if the older person is: in selected remote and very remote regions; an older Aboriginal and Torres Strait Islander person; or homeless or at risk of homelessness; or is in hospital; or vulnerable</w:t>
                                        </w:r>
                                        <w:r w:rsidR="001B3475" w:rsidRPr="000F6CD1">
                                          <w:rPr>
                                            <w:rFonts w:asciiTheme="minorHAnsi" w:hAnsiTheme="minorHAnsi" w:cstheme="minorHAnsi"/>
                                            <w:sz w:val="16"/>
                                            <w:szCs w:val="16"/>
                                          </w:rPr>
                                          <w:t>; or is being assessed for the End-of Life pathway</w:t>
                                        </w:r>
                                        <w:r w:rsidRPr="000F6CD1">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F62D" id="Text Box 2" o:spid="_x0000_s1027" type="#_x0000_t202" style="position:absolute;margin-left:304.7pt;margin-top:11.45pt;width:117.25pt;height:139.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" strokecolor="#538135 [2409]" strokeweight="1.5pt">
                            <v:textbox>
                              <w:txbxContent>
                                <w:p w14:paraId="1138AF1E" w14:textId="77777777" w:rsidR="0016744D" w:rsidRPr="000F6CD1" w:rsidRDefault="0016744D" w:rsidP="0016744D">
                                  <w:pPr>
                                    <w:spacing w:after="40" w:line="240" w:lineRule="auto"/>
                                    <w:rPr>
                                      <w:rFonts w:asciiTheme="minorHAnsi" w:hAnsiTheme="minorHAnsi" w:cstheme="minorHAnsi"/>
                                      <w:b/>
                                      <w:bCs/>
                                      <w:sz w:val="16"/>
                                      <w:szCs w:val="16"/>
                                      <w:u w:val="single"/>
                                    </w:rPr>
                                  </w:pPr>
                                  <w:r w:rsidRPr="000F6CD1">
                                    <w:rPr>
                                      <w:rFonts w:asciiTheme="minorHAnsi" w:hAnsiTheme="minorHAnsi" w:cstheme="minorHAnsi"/>
                                      <w:b/>
                                      <w:bCs/>
                                      <w:sz w:val="16"/>
                                      <w:szCs w:val="16"/>
                                      <w:u w:val="single"/>
                                    </w:rPr>
                                    <w:t>Self-referrals</w:t>
                                  </w:r>
                                </w:p>
                                <w:p w14:paraId="46A2D1F6" w14:textId="06DB4A6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Assessment Organisations can only self-refer if the older person is: in selected remote and very remote regions; an older Aboriginal and Torres Strait Islander person; or homeless or at risk of homelessness; or is in hospital; or vulnerable</w:t>
                                  </w:r>
                                  <w:r w:rsidR="001B3475" w:rsidRPr="000F6CD1">
                                    <w:rPr>
                                      <w:rFonts w:asciiTheme="minorHAnsi" w:hAnsiTheme="minorHAnsi" w:cstheme="minorHAnsi"/>
                                      <w:sz w:val="16"/>
                                      <w:szCs w:val="16"/>
                                    </w:rPr>
                                    <w:t>; or is being assessed for the End-of Life pathway</w:t>
                                  </w:r>
                                  <w:r w:rsidRPr="000F6CD1">
                                    <w:rPr>
                                      <w:rFonts w:asciiTheme="minorHAnsi" w:hAnsiTheme="minorHAnsi" w:cstheme="minorHAnsi"/>
                                      <w:sz w:val="16"/>
                                      <w:szCs w:val="16"/>
                                    </w:rPr>
                                    <w:t>.</w:t>
                                  </w:r>
                                </w:p>
                              </w:txbxContent>
                            </v:textbox>
                            <w10:wrap type="square"/>
                          </v:shape>
                        </w:pict>
                      </mc:Fallback>
                    </mc:AlternateContent>
                  </w:r>
                  <w:r w:rsidRPr="000F6CD1">
                    <w:rPr>
                      <w:rFonts w:asciiTheme="minorHAnsi" w:hAnsiTheme="minorHAnsi" w:cstheme="minorHAnsi"/>
                      <w:b/>
                      <w:bCs/>
                      <w:noProof/>
                      <w:sz w:val="32"/>
                      <w:szCs w:val="32"/>
                    </w:rPr>
                    <mc:AlternateContent>
                      <mc:Choice Requires="wps">
                        <w:drawing>
                          <wp:anchor distT="45720" distB="45720" distL="114300" distR="114300" simplePos="0" relativeHeight="251658241" behindDoc="0" locked="0" layoutInCell="1" allowOverlap="1" wp14:anchorId="0C9CDFAD" wp14:editId="3DA24997">
                            <wp:simplePos x="0" y="0"/>
                            <wp:positionH relativeFrom="column">
                              <wp:posOffset>544830</wp:posOffset>
                            </wp:positionH>
                            <wp:positionV relativeFrom="paragraph">
                              <wp:posOffset>146685</wp:posOffset>
                            </wp:positionV>
                            <wp:extent cx="3248660" cy="1765935"/>
                            <wp:effectExtent l="0" t="0" r="2794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765935"/>
                                    </a:xfrm>
                                    <a:prstGeom prst="rect">
                                      <a:avLst/>
                                    </a:prstGeom>
                                    <a:solidFill>
                                      <a:srgbClr val="FFFFFF"/>
                                    </a:solidFill>
                                    <a:ln w="19050">
                                      <a:solidFill>
                                        <a:schemeClr val="accent6">
                                          <a:lumMod val="75000"/>
                                        </a:schemeClr>
                                      </a:solidFill>
                                      <a:miter lim="800000"/>
                                      <a:headEnd/>
                                      <a:tailEnd/>
                                    </a:ln>
                                  </wps:spPr>
                                  <wps:txbx>
                                    <w:txbxContent>
                                      <w:p w14:paraId="782EE2E1"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 xml:space="preserve">Team leaders should review information on the referral card and supporting information in the older person's record. </w:t>
                                        </w:r>
                                      </w:p>
                                      <w:p w14:paraId="39C2B89E"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 xml:space="preserve">Team leaders should review any preferences for an Aboriginal and Torres Strait Islander assessment organisation. </w:t>
                                        </w:r>
                                      </w:p>
                                      <w:p w14:paraId="7E314802" w14:textId="448A0E5C"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Team leaders should also review the priority assigned to the assessment, and change priority if required</w:t>
                                        </w:r>
                                        <w:r w:rsidR="00D70482" w:rsidRPr="000F6CD1">
                                          <w:rPr>
                                            <w:rFonts w:asciiTheme="minorHAnsi" w:hAnsiTheme="minorHAnsi" w:cstheme="minorHAnsi"/>
                                            <w:sz w:val="16"/>
                                            <w:szCs w:val="16"/>
                                          </w:rPr>
                                          <w:t xml:space="preserve">, </w:t>
                                        </w:r>
                                        <w:r w:rsidR="00DE543A" w:rsidRPr="000F6CD1">
                                          <w:rPr>
                                            <w:rFonts w:asciiTheme="minorHAnsi" w:hAnsiTheme="minorHAnsi" w:cstheme="minorHAnsi"/>
                                            <w:sz w:val="16"/>
                                            <w:szCs w:val="16"/>
                                          </w:rPr>
                                          <w:t xml:space="preserve">ensuring </w:t>
                                        </w:r>
                                        <w:r w:rsidR="00B53A89" w:rsidRPr="000F6CD1">
                                          <w:rPr>
                                            <w:rFonts w:asciiTheme="minorHAnsi" w:hAnsiTheme="minorHAnsi" w:cstheme="minorHAnsi"/>
                                            <w:sz w:val="16"/>
                                            <w:szCs w:val="16"/>
                                          </w:rPr>
                                          <w:t>that EoL</w:t>
                                        </w:r>
                                        <w:r w:rsidR="00D70482" w:rsidRPr="000F6CD1">
                                          <w:rPr>
                                            <w:rFonts w:asciiTheme="minorHAnsi" w:hAnsiTheme="minorHAnsi" w:cstheme="minorHAnsi"/>
                                            <w:sz w:val="16"/>
                                            <w:szCs w:val="16"/>
                                          </w:rPr>
                                          <w:t xml:space="preserve"> </w:t>
                                        </w:r>
                                        <w:r w:rsidR="004E1055" w:rsidRPr="000F6CD1">
                                          <w:rPr>
                                            <w:rFonts w:asciiTheme="minorHAnsi" w:hAnsiTheme="minorHAnsi" w:cstheme="minorHAnsi"/>
                                            <w:sz w:val="16"/>
                                            <w:szCs w:val="16"/>
                                          </w:rPr>
                                          <w:t>referrals</w:t>
                                        </w:r>
                                        <w:r w:rsidR="00DE543A" w:rsidRPr="000F6CD1">
                                          <w:rPr>
                                            <w:rFonts w:asciiTheme="minorHAnsi" w:hAnsiTheme="minorHAnsi" w:cstheme="minorHAnsi"/>
                                            <w:sz w:val="16"/>
                                            <w:szCs w:val="16"/>
                                          </w:rPr>
                                          <w:t xml:space="preserve"> are given a high priority</w:t>
                                        </w:r>
                                        <w:r w:rsidRPr="000F6CD1">
                                          <w:rPr>
                                            <w:rFonts w:asciiTheme="minorHAnsi" w:hAnsiTheme="minorHAnsi" w:cstheme="minorHAnsi"/>
                                            <w:sz w:val="16"/>
                                            <w:szCs w:val="16"/>
                                          </w:rPr>
                                          <w:t>.</w:t>
                                        </w:r>
                                      </w:p>
                                      <w:p w14:paraId="43A460EC"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If the referral appears to be inappropriate, contact the referrer to discuss (i.e.  GP, health professional). If the team leader wishes to transfer/reject the referral, the older person/primary contact should be informed of the decision. An older person note should be made in the assessor portal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CDFAD" id="Text Box 217" o:spid="_x0000_s1028" type="#_x0000_t202" style="position:absolute;margin-left:42.9pt;margin-top:11.55pt;width:255.8pt;height:139.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" strokecolor="#538135 [2409]" strokeweight="1.5pt">
                            <v:textbox>
                              <w:txbxContent>
                                <w:p w14:paraId="782EE2E1"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 xml:space="preserve">Team leaders should review information on the referral card and supporting information in the older person's record. </w:t>
                                  </w:r>
                                </w:p>
                                <w:p w14:paraId="39C2B89E"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 xml:space="preserve">Team leaders should review any preferences for an Aboriginal and Torres Strait Islander assessment organisation. </w:t>
                                  </w:r>
                                </w:p>
                                <w:p w14:paraId="7E314802" w14:textId="448A0E5C"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Team leaders should also review the priority assigned to the assessment, and change priority if required</w:t>
                                  </w:r>
                                  <w:r w:rsidR="00D70482" w:rsidRPr="000F6CD1">
                                    <w:rPr>
                                      <w:rFonts w:asciiTheme="minorHAnsi" w:hAnsiTheme="minorHAnsi" w:cstheme="minorHAnsi"/>
                                      <w:sz w:val="16"/>
                                      <w:szCs w:val="16"/>
                                    </w:rPr>
                                    <w:t xml:space="preserve">, </w:t>
                                  </w:r>
                                  <w:r w:rsidR="00DE543A" w:rsidRPr="000F6CD1">
                                    <w:rPr>
                                      <w:rFonts w:asciiTheme="minorHAnsi" w:hAnsiTheme="minorHAnsi" w:cstheme="minorHAnsi"/>
                                      <w:sz w:val="16"/>
                                      <w:szCs w:val="16"/>
                                    </w:rPr>
                                    <w:t xml:space="preserve">ensuring </w:t>
                                  </w:r>
                                  <w:r w:rsidR="00B53A89" w:rsidRPr="000F6CD1">
                                    <w:rPr>
                                      <w:rFonts w:asciiTheme="minorHAnsi" w:hAnsiTheme="minorHAnsi" w:cstheme="minorHAnsi"/>
                                      <w:sz w:val="16"/>
                                      <w:szCs w:val="16"/>
                                    </w:rPr>
                                    <w:t>that EoL</w:t>
                                  </w:r>
                                  <w:r w:rsidR="00D70482" w:rsidRPr="000F6CD1">
                                    <w:rPr>
                                      <w:rFonts w:asciiTheme="minorHAnsi" w:hAnsiTheme="minorHAnsi" w:cstheme="minorHAnsi"/>
                                      <w:sz w:val="16"/>
                                      <w:szCs w:val="16"/>
                                    </w:rPr>
                                    <w:t xml:space="preserve"> </w:t>
                                  </w:r>
                                  <w:r w:rsidR="004E1055" w:rsidRPr="000F6CD1">
                                    <w:rPr>
                                      <w:rFonts w:asciiTheme="minorHAnsi" w:hAnsiTheme="minorHAnsi" w:cstheme="minorHAnsi"/>
                                      <w:sz w:val="16"/>
                                      <w:szCs w:val="16"/>
                                    </w:rPr>
                                    <w:t>referrals</w:t>
                                  </w:r>
                                  <w:r w:rsidR="00DE543A" w:rsidRPr="000F6CD1">
                                    <w:rPr>
                                      <w:rFonts w:asciiTheme="minorHAnsi" w:hAnsiTheme="minorHAnsi" w:cstheme="minorHAnsi"/>
                                      <w:sz w:val="16"/>
                                      <w:szCs w:val="16"/>
                                    </w:rPr>
                                    <w:t xml:space="preserve"> are given a high priority</w:t>
                                  </w:r>
                                  <w:r w:rsidRPr="000F6CD1">
                                    <w:rPr>
                                      <w:rFonts w:asciiTheme="minorHAnsi" w:hAnsiTheme="minorHAnsi" w:cstheme="minorHAnsi"/>
                                      <w:sz w:val="16"/>
                                      <w:szCs w:val="16"/>
                                    </w:rPr>
                                    <w:t>.</w:t>
                                  </w:r>
                                </w:p>
                                <w:p w14:paraId="43A460EC" w14:textId="77777777" w:rsidR="0016744D" w:rsidRPr="000F6CD1" w:rsidRDefault="0016744D" w:rsidP="00DF3F6B">
                                  <w:pPr>
                                    <w:pStyle w:val="ListParagraph"/>
                                    <w:numPr>
                                      <w:ilvl w:val="0"/>
                                      <w:numId w:val="65"/>
                                    </w:numPr>
                                    <w:spacing w:after="80" w:line="240" w:lineRule="auto"/>
                                    <w:ind w:left="142" w:hanging="142"/>
                                    <w:contextualSpacing w:val="0"/>
                                    <w:rPr>
                                      <w:rFonts w:asciiTheme="minorHAnsi" w:hAnsiTheme="minorHAnsi" w:cstheme="minorHAnsi"/>
                                      <w:sz w:val="16"/>
                                      <w:szCs w:val="16"/>
                                    </w:rPr>
                                  </w:pPr>
                                  <w:r w:rsidRPr="000F6CD1">
                                    <w:rPr>
                                      <w:rFonts w:asciiTheme="minorHAnsi" w:hAnsiTheme="minorHAnsi" w:cstheme="minorHAnsi"/>
                                      <w:sz w:val="16"/>
                                      <w:szCs w:val="16"/>
                                    </w:rPr>
                                    <w:t>If the referral appears to be inappropriate, contact the referrer to discuss (i.e.  GP, health professional). If the team leader wishes to transfer/reject the referral, the older person/primary contact should be informed of the decision. An older person note should be made in the assessor portal accordingly.</w:t>
                                  </w:r>
                                </w:p>
                              </w:txbxContent>
                            </v:textbox>
                            <w10:wrap type="square"/>
                          </v:shape>
                        </w:pict>
                      </mc:Fallback>
                    </mc:AlternateContent>
                  </w:r>
                  <w:r w:rsidRPr="000F6CD1">
                    <w:rPr>
                      <w:rFonts w:asciiTheme="minorHAnsi" w:hAnsiTheme="minorHAnsi" w:cstheme="minorHAnsi"/>
                      <w:noProof/>
                    </w:rPr>
                    <mc:AlternateContent>
                      <mc:Choice Requires="wps">
                        <w:drawing>
                          <wp:anchor distT="45720" distB="45720" distL="114300" distR="114300" simplePos="0" relativeHeight="251658242" behindDoc="0" locked="0" layoutInCell="1" allowOverlap="1" wp14:anchorId="4A931123" wp14:editId="15EDEA31">
                            <wp:simplePos x="0" y="0"/>
                            <wp:positionH relativeFrom="column">
                              <wp:posOffset>-534035</wp:posOffset>
                            </wp:positionH>
                            <wp:positionV relativeFrom="page">
                              <wp:posOffset>624840</wp:posOffset>
                            </wp:positionV>
                            <wp:extent cx="1487805" cy="4775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7805" cy="477520"/>
                                    </a:xfrm>
                                    <a:prstGeom prst="rect">
                                      <a:avLst/>
                                    </a:prstGeom>
                                    <a:noFill/>
                                    <a:ln w="9525">
                                      <a:noFill/>
                                      <a:miter lim="800000"/>
                                      <a:headEnd/>
                                      <a:tailEnd/>
                                    </a:ln>
                                  </wps:spPr>
                                  <wps:txbx>
                                    <w:txbxContent>
                                      <w:p w14:paraId="3C69A0EF" w14:textId="77777777" w:rsidR="0016744D" w:rsidRPr="000F6CD1" w:rsidRDefault="0016744D" w:rsidP="0016744D">
                                        <w:pPr>
                                          <w:jc w:val="center"/>
                                          <w:rPr>
                                            <w:rFonts w:asciiTheme="minorHAnsi" w:hAnsiTheme="minorHAnsi" w:cstheme="minorHAnsi"/>
                                            <w:b/>
                                            <w:bCs/>
                                            <w:color w:val="538135" w:themeColor="accent6" w:themeShade="BF"/>
                                          </w:rPr>
                                        </w:pPr>
                                        <w:r w:rsidRPr="000F6CD1">
                                          <w:rPr>
                                            <w:rFonts w:asciiTheme="minorHAnsi" w:hAnsiTheme="minorHAnsi" w:cstheme="minorHAnsi"/>
                                            <w:b/>
                                            <w:bCs/>
                                            <w:color w:val="538135" w:themeColor="accent6" w:themeShade="BF"/>
                                          </w:rPr>
                                          <w:t>REFERRAL REVIEWED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1123" id="Text Box 1" o:spid="_x0000_s1029" type="#_x0000_t202" style="position:absolute;margin-left:-42.05pt;margin-top:49.2pt;width:117.15pt;height:37.6pt;rotation:-90;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" filled="f" stroked="f">
                            <v:textbox>
                              <w:txbxContent>
                                <w:p w14:paraId="3C69A0EF" w14:textId="77777777" w:rsidR="0016744D" w:rsidRPr="000F6CD1" w:rsidRDefault="0016744D" w:rsidP="0016744D">
                                  <w:pPr>
                                    <w:jc w:val="center"/>
                                    <w:rPr>
                                      <w:rFonts w:asciiTheme="minorHAnsi" w:hAnsiTheme="minorHAnsi" w:cstheme="minorHAnsi"/>
                                      <w:b/>
                                      <w:bCs/>
                                      <w:color w:val="538135" w:themeColor="accent6" w:themeShade="BF"/>
                                    </w:rPr>
                                  </w:pPr>
                                  <w:r w:rsidRPr="000F6CD1">
                                    <w:rPr>
                                      <w:rFonts w:asciiTheme="minorHAnsi" w:hAnsiTheme="minorHAnsi" w:cstheme="minorHAnsi"/>
                                      <w:b/>
                                      <w:bCs/>
                                      <w:color w:val="538135" w:themeColor="accent6" w:themeShade="BF"/>
                                    </w:rPr>
                                    <w:t>REFERRAL REVIEWED</w:t>
                                  </w:r>
                                </w:p>
                              </w:txbxContent>
                            </v:textbox>
                            <w10:wrap type="square" anchory="page"/>
                          </v:shape>
                        </w:pict>
                      </mc:Fallback>
                    </mc:AlternateContent>
                  </w:r>
                </w:p>
              </w:tc>
            </w:tr>
          </w:tbl>
          <w:p w14:paraId="630BE40E" w14:textId="77777777" w:rsidR="0016744D" w:rsidRPr="000F6CD1" w:rsidRDefault="0016744D" w:rsidP="00724D2F">
            <w:pPr>
              <w:keepLines/>
              <w:jc w:val="center"/>
              <w:rPr>
                <w:rFonts w:asciiTheme="minorHAnsi" w:hAnsiTheme="minorHAnsi" w:cstheme="minorHAnsi"/>
                <w:b/>
                <w:bCs/>
                <w:sz w:val="32"/>
                <w:szCs w:val="32"/>
              </w:rPr>
            </w:pPr>
            <w:r w:rsidRPr="000F6CD1">
              <w:rPr>
                <w:rFonts w:asciiTheme="minorHAnsi" w:hAnsiTheme="minorHAnsi" w:cstheme="minorHAnsi"/>
                <w:b/>
                <w:bCs/>
                <w:noProof/>
                <w:sz w:val="32"/>
                <w:szCs w:val="32"/>
              </w:rPr>
              <mc:AlternateContent>
                <mc:Choice Requires="wps">
                  <w:drawing>
                    <wp:anchor distT="0" distB="0" distL="114300" distR="114300" simplePos="0" relativeHeight="251658250" behindDoc="0" locked="0" layoutInCell="1" allowOverlap="1" wp14:anchorId="715E1DD7" wp14:editId="2B332365">
                      <wp:simplePos x="0" y="0"/>
                      <wp:positionH relativeFrom="column">
                        <wp:posOffset>2705100</wp:posOffset>
                      </wp:positionH>
                      <wp:positionV relativeFrom="paragraph">
                        <wp:posOffset>13335</wp:posOffset>
                      </wp:positionV>
                      <wp:extent cx="0" cy="241300"/>
                      <wp:effectExtent l="76200" t="0" r="57150" b="6350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DC87A" id="Straight Arrow Connector 11" o:spid="_x0000_s1026" type="#_x0000_t32" alt="&quot;&quot;" style="position:absolute;margin-left:213pt;margin-top:1.05pt;width:0;height:1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" strokecolor="#393737 [814]" strokeweight="1.5pt">
                      <v:stroke endarrow="block" joinstyle="miter"/>
                    </v:shape>
                  </w:pict>
                </mc:Fallback>
              </mc:AlternateContent>
            </w:r>
          </w:p>
          <w:tbl>
            <w:tblPr>
              <w:tblStyle w:val="TableGrid"/>
              <w:tblW w:w="0" w:type="auto"/>
              <w:tblLook w:val="04A0" w:firstRow="1" w:lastRow="0" w:firstColumn="1" w:lastColumn="0" w:noHBand="0" w:noVBand="1"/>
            </w:tblPr>
            <w:tblGrid>
              <w:gridCol w:w="8480"/>
            </w:tblGrid>
            <w:tr w:rsidR="0016744D" w:rsidRPr="000F6CD1" w14:paraId="42036B68" w14:textId="77777777">
              <w:trPr>
                <w:trHeight w:val="5891"/>
              </w:trPr>
              <w:tc>
                <w:tcPr>
                  <w:tcW w:w="8710"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tcPr>
                <w:p w14:paraId="5A38DE9A" w14:textId="4609EF73" w:rsidR="0016744D" w:rsidRPr="000F6CD1" w:rsidRDefault="00EB60AA" w:rsidP="00724D2F">
                  <w:pPr>
                    <w:keepLines/>
                    <w:jc w:val="center"/>
                    <w:rPr>
                      <w:rFonts w:asciiTheme="minorHAnsi" w:hAnsiTheme="minorHAnsi" w:cstheme="minorBidi"/>
                      <w:b/>
                      <w:color w:val="385623" w:themeColor="accent6" w:themeShade="80"/>
                      <w:sz w:val="20"/>
                      <w:szCs w:val="20"/>
                    </w:rPr>
                  </w:pPr>
                  <w:r w:rsidRPr="000F6CD1">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7" behindDoc="0" locked="0" layoutInCell="1" allowOverlap="1" wp14:anchorId="50469AEA" wp14:editId="44CF62A5">
                            <wp:simplePos x="0" y="0"/>
                            <wp:positionH relativeFrom="column">
                              <wp:posOffset>2909358</wp:posOffset>
                            </wp:positionH>
                            <wp:positionV relativeFrom="paragraph">
                              <wp:posOffset>250190</wp:posOffset>
                            </wp:positionV>
                            <wp:extent cx="1200150" cy="3939540"/>
                            <wp:effectExtent l="0" t="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39540"/>
                                    </a:xfrm>
                                    <a:prstGeom prst="rect">
                                      <a:avLst/>
                                    </a:prstGeom>
                                    <a:solidFill>
                                      <a:srgbClr val="FFFFFF"/>
                                    </a:solidFill>
                                    <a:ln w="9525">
                                      <a:solidFill>
                                        <a:schemeClr val="accent6">
                                          <a:lumMod val="75000"/>
                                        </a:schemeClr>
                                      </a:solidFill>
                                      <a:miter lim="800000"/>
                                      <a:headEnd/>
                                      <a:tailEnd/>
                                    </a:ln>
                                  </wps:spPr>
                                  <wps:txbx>
                                    <w:txbxContent>
                                      <w:p w14:paraId="72CD21DD" w14:textId="77777777" w:rsidR="0016744D" w:rsidRPr="000F6CD1" w:rsidRDefault="0016744D" w:rsidP="0016744D">
                                        <w:pPr>
                                          <w:spacing w:after="120" w:line="240" w:lineRule="auto"/>
                                          <w:jc w:val="center"/>
                                          <w:rPr>
                                            <w:rFonts w:cstheme="minorHAnsi"/>
                                            <w:b/>
                                            <w:sz w:val="20"/>
                                            <w:u w:val="single"/>
                                          </w:rPr>
                                        </w:pPr>
                                        <w:r w:rsidRPr="000F6CD1">
                                          <w:rPr>
                                            <w:rFonts w:cstheme="minorHAnsi"/>
                                            <w:b/>
                                            <w:sz w:val="20"/>
                                            <w:u w:val="single"/>
                                          </w:rPr>
                                          <w:t>REJECT</w:t>
                                        </w:r>
                                      </w:p>
                                      <w:p w14:paraId="42992215" w14:textId="7777777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9AEA" id="Text Box 6" o:spid="_x0000_s1030" type="#_x0000_t202" style="position:absolute;left:0;text-align:left;margin-left:229.1pt;margin-top:19.7pt;width:94.5pt;height:310.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" strokecolor="#538135 [2409]">
                            <v:textbox>
                              <w:txbxContent>
                                <w:p w14:paraId="72CD21DD" w14:textId="77777777" w:rsidR="0016744D" w:rsidRPr="000F6CD1" w:rsidRDefault="0016744D" w:rsidP="0016744D">
                                  <w:pPr>
                                    <w:spacing w:after="120" w:line="240" w:lineRule="auto"/>
                                    <w:jc w:val="center"/>
                                    <w:rPr>
                                      <w:rFonts w:cstheme="minorHAnsi"/>
                                      <w:b/>
                                      <w:sz w:val="20"/>
                                      <w:u w:val="single"/>
                                    </w:rPr>
                                  </w:pPr>
                                  <w:r w:rsidRPr="000F6CD1">
                                    <w:rPr>
                                      <w:rFonts w:cstheme="minorHAnsi"/>
                                      <w:b/>
                                      <w:sz w:val="20"/>
                                      <w:u w:val="single"/>
                                    </w:rPr>
                                    <w:t>REJECT</w:t>
                                  </w:r>
                                </w:p>
                                <w:p w14:paraId="42992215" w14:textId="7777777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 xml:space="preserve">Rejected referrals should be well justified such as: outside region, assessment no longer required, older person does not consent, older person deceased, duplicate older person, duplicate referral, unable to contact older person or older person unavailable for assessment. The decision to reject an older person’s referral should be communicated with the older person/primary contact as well as information about how to request an assessment in the future. </w:t>
                                  </w:r>
                                </w:p>
                              </w:txbxContent>
                            </v:textbox>
                            <w10:wrap type="square"/>
                          </v:shape>
                        </w:pict>
                      </mc:Fallback>
                    </mc:AlternateContent>
                  </w:r>
                  <w:r w:rsidR="0075172D" w:rsidRPr="000F6CD1">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8" behindDoc="0" locked="0" layoutInCell="1" allowOverlap="1" wp14:anchorId="701908CE" wp14:editId="6308344C">
                            <wp:simplePos x="0" y="0"/>
                            <wp:positionH relativeFrom="column">
                              <wp:posOffset>4160520</wp:posOffset>
                            </wp:positionH>
                            <wp:positionV relativeFrom="paragraph">
                              <wp:posOffset>254635</wp:posOffset>
                            </wp:positionV>
                            <wp:extent cx="1108075" cy="33972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97250"/>
                                    </a:xfrm>
                                    <a:prstGeom prst="rect">
                                      <a:avLst/>
                                    </a:prstGeom>
                                    <a:solidFill>
                                      <a:schemeClr val="accent4">
                                        <a:lumMod val="20000"/>
                                        <a:lumOff val="80000"/>
                                      </a:schemeClr>
                                    </a:solidFill>
                                    <a:ln w="9525">
                                      <a:noFill/>
                                      <a:miter lim="800000"/>
                                      <a:headEnd/>
                                      <a:tailEnd/>
                                    </a:ln>
                                  </wps:spPr>
                                  <wps:txbx>
                                    <w:txbxContent>
                                      <w:p w14:paraId="6A031BCF" w14:textId="77777777" w:rsidR="0016744D" w:rsidRPr="000F6CD1" w:rsidRDefault="0016744D" w:rsidP="0016744D">
                                        <w:pPr>
                                          <w:spacing w:after="120" w:line="240" w:lineRule="auto"/>
                                          <w:jc w:val="center"/>
                                          <w:rPr>
                                            <w:rFonts w:asciiTheme="minorHAnsi" w:hAnsiTheme="minorHAnsi" w:cstheme="minorHAnsi"/>
                                            <w:b/>
                                            <w:bCs/>
                                            <w:sz w:val="20"/>
                                            <w:u w:val="single"/>
                                          </w:rPr>
                                        </w:pPr>
                                        <w:r w:rsidRPr="000F6CD1">
                                          <w:rPr>
                                            <w:rFonts w:asciiTheme="minorHAnsi" w:hAnsiTheme="minorHAnsi" w:cstheme="minorHAnsi"/>
                                            <w:b/>
                                            <w:bCs/>
                                            <w:sz w:val="20"/>
                                            <w:u w:val="single"/>
                                          </w:rPr>
                                          <w:t>RECALL</w:t>
                                        </w:r>
                                      </w:p>
                                      <w:p w14:paraId="144EB9F4" w14:textId="30103E61"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If a referral has been issued in error, team leaders can call the M</w:t>
                                        </w:r>
                                        <w:r w:rsidR="00D46C19" w:rsidRPr="000F6CD1">
                                          <w:rPr>
                                            <w:rFonts w:asciiTheme="minorHAnsi" w:hAnsiTheme="minorHAnsi" w:cstheme="minorHAnsi"/>
                                            <w:sz w:val="16"/>
                                            <w:szCs w:val="16"/>
                                          </w:rPr>
                                          <w:t xml:space="preserve">y </w:t>
                                        </w:r>
                                        <w:r w:rsidRPr="000F6CD1">
                                          <w:rPr>
                                            <w:rFonts w:asciiTheme="minorHAnsi" w:hAnsiTheme="minorHAnsi" w:cstheme="minorHAnsi"/>
                                            <w:sz w:val="16"/>
                                            <w:szCs w:val="16"/>
                                          </w:rPr>
                                          <w:t>A</w:t>
                                        </w:r>
                                        <w:r w:rsidR="00D46C19" w:rsidRPr="000F6CD1">
                                          <w:rPr>
                                            <w:rFonts w:asciiTheme="minorHAnsi" w:hAnsiTheme="minorHAnsi" w:cstheme="minorHAnsi"/>
                                            <w:sz w:val="16"/>
                                            <w:szCs w:val="16"/>
                                          </w:rPr>
                                          <w:t xml:space="preserve">ged </w:t>
                                        </w:r>
                                        <w:r w:rsidRPr="000F6CD1">
                                          <w:rPr>
                                            <w:rFonts w:asciiTheme="minorHAnsi" w:hAnsiTheme="minorHAnsi" w:cstheme="minorHAnsi"/>
                                            <w:sz w:val="16"/>
                                            <w:szCs w:val="16"/>
                                          </w:rPr>
                                          <w:t>C</w:t>
                                        </w:r>
                                        <w:r w:rsidR="00D46C19" w:rsidRPr="000F6CD1">
                                          <w:rPr>
                                            <w:rFonts w:asciiTheme="minorHAnsi" w:hAnsiTheme="minorHAnsi" w:cstheme="minorHAnsi"/>
                                            <w:sz w:val="16"/>
                                            <w:szCs w:val="16"/>
                                          </w:rPr>
                                          <w:t>are</w:t>
                                        </w:r>
                                        <w:r w:rsidRPr="000F6CD1">
                                          <w:rPr>
                                            <w:rFonts w:asciiTheme="minorHAnsi" w:hAnsiTheme="minorHAnsi" w:cstheme="minorHAnsi"/>
                                            <w:sz w:val="16"/>
                                            <w:szCs w:val="16"/>
                                          </w:rPr>
                                          <w:t xml:space="preserve"> </w:t>
                                        </w:r>
                                        <w:r w:rsidR="00D46C19" w:rsidRPr="000F6CD1">
                                          <w:rPr>
                                            <w:rFonts w:asciiTheme="minorHAnsi" w:hAnsiTheme="minorHAnsi" w:cstheme="minorHAnsi"/>
                                            <w:sz w:val="16"/>
                                            <w:szCs w:val="16"/>
                                          </w:rPr>
                                          <w:t xml:space="preserve">Service Provider and Assessor Helpline </w:t>
                                        </w:r>
                                        <w:r w:rsidRPr="000F6CD1">
                                          <w:rPr>
                                            <w:rFonts w:asciiTheme="minorHAnsi" w:hAnsiTheme="minorHAnsi" w:cstheme="minorHAnsi"/>
                                            <w:sz w:val="16"/>
                                            <w:szCs w:val="16"/>
                                          </w:rPr>
                                          <w:t>and request that the issued referral is recalled.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08CE" id="Text Box 7" o:spid="_x0000_s1031" type="#_x0000_t202" style="position:absolute;left:0;text-align:left;margin-left:327.6pt;margin-top:20.05pt;width:87.25pt;height:26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" fillcolor="#fff2cc [663]" stroked="f">
                            <v:textbox>
                              <w:txbxContent>
                                <w:p w14:paraId="6A031BCF" w14:textId="77777777" w:rsidR="0016744D" w:rsidRPr="000F6CD1" w:rsidRDefault="0016744D" w:rsidP="0016744D">
                                  <w:pPr>
                                    <w:spacing w:after="120" w:line="240" w:lineRule="auto"/>
                                    <w:jc w:val="center"/>
                                    <w:rPr>
                                      <w:rFonts w:asciiTheme="minorHAnsi" w:hAnsiTheme="minorHAnsi" w:cstheme="minorHAnsi"/>
                                      <w:b/>
                                      <w:bCs/>
                                      <w:sz w:val="20"/>
                                      <w:u w:val="single"/>
                                    </w:rPr>
                                  </w:pPr>
                                  <w:r w:rsidRPr="000F6CD1">
                                    <w:rPr>
                                      <w:rFonts w:asciiTheme="minorHAnsi" w:hAnsiTheme="minorHAnsi" w:cstheme="minorHAnsi"/>
                                      <w:b/>
                                      <w:bCs/>
                                      <w:sz w:val="20"/>
                                      <w:u w:val="single"/>
                                    </w:rPr>
                                    <w:t>RECALL</w:t>
                                  </w:r>
                                </w:p>
                                <w:p w14:paraId="144EB9F4" w14:textId="30103E61"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If a referral has been issued in error, team leaders can call the M</w:t>
                                  </w:r>
                                  <w:r w:rsidR="00D46C19" w:rsidRPr="000F6CD1">
                                    <w:rPr>
                                      <w:rFonts w:asciiTheme="minorHAnsi" w:hAnsiTheme="minorHAnsi" w:cstheme="minorHAnsi"/>
                                      <w:sz w:val="16"/>
                                      <w:szCs w:val="16"/>
                                    </w:rPr>
                                    <w:t xml:space="preserve">y </w:t>
                                  </w:r>
                                  <w:r w:rsidRPr="000F6CD1">
                                    <w:rPr>
                                      <w:rFonts w:asciiTheme="minorHAnsi" w:hAnsiTheme="minorHAnsi" w:cstheme="minorHAnsi"/>
                                      <w:sz w:val="16"/>
                                      <w:szCs w:val="16"/>
                                    </w:rPr>
                                    <w:t>A</w:t>
                                  </w:r>
                                  <w:r w:rsidR="00D46C19" w:rsidRPr="000F6CD1">
                                    <w:rPr>
                                      <w:rFonts w:asciiTheme="minorHAnsi" w:hAnsiTheme="minorHAnsi" w:cstheme="minorHAnsi"/>
                                      <w:sz w:val="16"/>
                                      <w:szCs w:val="16"/>
                                    </w:rPr>
                                    <w:t xml:space="preserve">ged </w:t>
                                  </w:r>
                                  <w:r w:rsidRPr="000F6CD1">
                                    <w:rPr>
                                      <w:rFonts w:asciiTheme="minorHAnsi" w:hAnsiTheme="minorHAnsi" w:cstheme="minorHAnsi"/>
                                      <w:sz w:val="16"/>
                                      <w:szCs w:val="16"/>
                                    </w:rPr>
                                    <w:t>C</w:t>
                                  </w:r>
                                  <w:r w:rsidR="00D46C19" w:rsidRPr="000F6CD1">
                                    <w:rPr>
                                      <w:rFonts w:asciiTheme="minorHAnsi" w:hAnsiTheme="minorHAnsi" w:cstheme="minorHAnsi"/>
                                      <w:sz w:val="16"/>
                                      <w:szCs w:val="16"/>
                                    </w:rPr>
                                    <w:t>are</w:t>
                                  </w:r>
                                  <w:r w:rsidRPr="000F6CD1">
                                    <w:rPr>
                                      <w:rFonts w:asciiTheme="minorHAnsi" w:hAnsiTheme="minorHAnsi" w:cstheme="minorHAnsi"/>
                                      <w:sz w:val="16"/>
                                      <w:szCs w:val="16"/>
                                    </w:rPr>
                                    <w:t xml:space="preserve"> </w:t>
                                  </w:r>
                                  <w:r w:rsidR="00D46C19" w:rsidRPr="000F6CD1">
                                    <w:rPr>
                                      <w:rFonts w:asciiTheme="minorHAnsi" w:hAnsiTheme="minorHAnsi" w:cstheme="minorHAnsi"/>
                                      <w:sz w:val="16"/>
                                      <w:szCs w:val="16"/>
                                    </w:rPr>
                                    <w:t xml:space="preserve">Service Provider and Assessor Helpline </w:t>
                                  </w:r>
                                  <w:r w:rsidRPr="000F6CD1">
                                    <w:rPr>
                                      <w:rFonts w:asciiTheme="minorHAnsi" w:hAnsiTheme="minorHAnsi" w:cstheme="minorHAnsi"/>
                                      <w:sz w:val="16"/>
                                      <w:szCs w:val="16"/>
                                    </w:rPr>
                                    <w:t>and request that the issued referral is recalled.</w:t>
                                  </w:r>
                                </w:p>
                              </w:txbxContent>
                            </v:textbox>
                            <w10:wrap type="square"/>
                          </v:shape>
                        </w:pict>
                      </mc:Fallback>
                    </mc:AlternateContent>
                  </w:r>
                  <w:r w:rsidR="0075172D" w:rsidRPr="000F6CD1">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6" behindDoc="0" locked="0" layoutInCell="1" allowOverlap="1" wp14:anchorId="25752260" wp14:editId="5A713A1D">
                            <wp:simplePos x="0" y="0"/>
                            <wp:positionH relativeFrom="column">
                              <wp:posOffset>1631315</wp:posOffset>
                            </wp:positionH>
                            <wp:positionV relativeFrom="paragraph">
                              <wp:posOffset>259715</wp:posOffset>
                            </wp:positionV>
                            <wp:extent cx="1219200" cy="3930015"/>
                            <wp:effectExtent l="0" t="0" r="1905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722CBC54" w14:textId="77777777" w:rsidR="0016744D" w:rsidRPr="000F6CD1" w:rsidRDefault="0016744D" w:rsidP="0016744D">
                                        <w:pPr>
                                          <w:spacing w:after="120" w:line="240" w:lineRule="auto"/>
                                          <w:jc w:val="center"/>
                                          <w:rPr>
                                            <w:rFonts w:asciiTheme="minorHAnsi" w:hAnsiTheme="minorHAnsi" w:cstheme="minorHAnsi"/>
                                            <w:b/>
                                            <w:bCs/>
                                            <w:sz w:val="20"/>
                                            <w:u w:val="single"/>
                                          </w:rPr>
                                        </w:pPr>
                                        <w:r w:rsidRPr="000F6CD1">
                                          <w:rPr>
                                            <w:rFonts w:asciiTheme="minorHAnsi" w:hAnsiTheme="minorHAnsi" w:cstheme="minorHAnsi"/>
                                            <w:b/>
                                            <w:bCs/>
                                            <w:sz w:val="20"/>
                                            <w:u w:val="single"/>
                                          </w:rPr>
                                          <w:t>TRANSFER</w:t>
                                        </w:r>
                                      </w:p>
                                      <w:p w14:paraId="3941DC20" w14:textId="7777777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 xml:space="preserve">Transfers can occur between assessment organisations when there is agreement between team leaders that a different assessment organisation would be geographically more appropriate, the older person has relocated or the older person has a preference to be assessed by an Aboriginal and Torres Strait islander Assessment Organisation and one is available in their area. A referral can only be transferred once, otherwise it must be rejected.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2260" id="Text Box 5" o:spid="_x0000_s1032" type="#_x0000_t202" style="position:absolute;left:0;text-align:left;margin-left:128.45pt;margin-top:20.45pt;width:96pt;height:309.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" strokecolor="#538135 [2409]">
                            <v:textbox>
                              <w:txbxContent>
                                <w:p w14:paraId="722CBC54" w14:textId="77777777" w:rsidR="0016744D" w:rsidRPr="000F6CD1" w:rsidRDefault="0016744D" w:rsidP="0016744D">
                                  <w:pPr>
                                    <w:spacing w:after="120" w:line="240" w:lineRule="auto"/>
                                    <w:jc w:val="center"/>
                                    <w:rPr>
                                      <w:rFonts w:asciiTheme="minorHAnsi" w:hAnsiTheme="minorHAnsi" w:cstheme="minorHAnsi"/>
                                      <w:b/>
                                      <w:bCs/>
                                      <w:sz w:val="20"/>
                                      <w:u w:val="single"/>
                                    </w:rPr>
                                  </w:pPr>
                                  <w:r w:rsidRPr="000F6CD1">
                                    <w:rPr>
                                      <w:rFonts w:asciiTheme="minorHAnsi" w:hAnsiTheme="minorHAnsi" w:cstheme="minorHAnsi"/>
                                      <w:b/>
                                      <w:bCs/>
                                      <w:sz w:val="20"/>
                                      <w:u w:val="single"/>
                                    </w:rPr>
                                    <w:t>TRANSFER</w:t>
                                  </w:r>
                                </w:p>
                                <w:p w14:paraId="3941DC20" w14:textId="77777777"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 xml:space="preserve">Transfers can occur between assessment organisations when there is agreement between team leaders that a different assessment organisation would be geographically more appropriate, the older person has relocated or the older person has a preference to be assessed by an Aboriginal and Torres Strait islander Assessment Organisation and one is available in their area. A referral can only be transferred once, otherwise it must be rejected. </w:t>
                                  </w:r>
                                </w:p>
                              </w:txbxContent>
                            </v:textbox>
                            <w10:wrap type="square"/>
                          </v:shape>
                        </w:pict>
                      </mc:Fallback>
                    </mc:AlternateContent>
                  </w:r>
                  <w:r w:rsidR="0016744D" w:rsidRPr="000F6CD1">
                    <w:rPr>
                      <w:rFonts w:asciiTheme="minorHAnsi" w:hAnsiTheme="minorHAnsi" w:cstheme="minorHAnsi"/>
                      <w:b/>
                      <w:bCs/>
                      <w:noProof/>
                      <w:color w:val="385623" w:themeColor="accent6" w:themeShade="80"/>
                      <w:sz w:val="20"/>
                    </w:rPr>
                    <mc:AlternateContent>
                      <mc:Choice Requires="wps">
                        <w:drawing>
                          <wp:anchor distT="45720" distB="45720" distL="114300" distR="114300" simplePos="0" relativeHeight="251658244" behindDoc="0" locked="0" layoutInCell="1" allowOverlap="1" wp14:anchorId="3F57640B" wp14:editId="62560302">
                            <wp:simplePos x="0" y="0"/>
                            <wp:positionH relativeFrom="column">
                              <wp:posOffset>348615</wp:posOffset>
                            </wp:positionH>
                            <wp:positionV relativeFrom="paragraph">
                              <wp:posOffset>261620</wp:posOffset>
                            </wp:positionV>
                            <wp:extent cx="1219200" cy="3930015"/>
                            <wp:effectExtent l="0" t="0" r="19050"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30015"/>
                                    </a:xfrm>
                                    <a:prstGeom prst="rect">
                                      <a:avLst/>
                                    </a:prstGeom>
                                    <a:solidFill>
                                      <a:srgbClr val="FFFFFF"/>
                                    </a:solidFill>
                                    <a:ln w="9525">
                                      <a:solidFill>
                                        <a:schemeClr val="accent6">
                                          <a:lumMod val="75000"/>
                                        </a:schemeClr>
                                      </a:solidFill>
                                      <a:miter lim="800000"/>
                                      <a:headEnd/>
                                      <a:tailEnd/>
                                    </a:ln>
                                  </wps:spPr>
                                  <wps:txbx>
                                    <w:txbxContent>
                                      <w:p w14:paraId="4607E0D6" w14:textId="77777777" w:rsidR="0016744D" w:rsidRPr="000F6CD1" w:rsidRDefault="0016744D" w:rsidP="0016744D">
                                        <w:pPr>
                                          <w:spacing w:after="120" w:line="240" w:lineRule="auto"/>
                                          <w:jc w:val="center"/>
                                          <w:rPr>
                                            <w:rFonts w:cstheme="minorHAnsi"/>
                                            <w:b/>
                                            <w:sz w:val="20"/>
                                            <w:u w:val="single"/>
                                          </w:rPr>
                                        </w:pPr>
                                        <w:r w:rsidRPr="000F6CD1">
                                          <w:rPr>
                                            <w:rFonts w:cstheme="minorHAnsi"/>
                                            <w:b/>
                                            <w:sz w:val="20"/>
                                            <w:u w:val="single"/>
                                          </w:rPr>
                                          <w:t>ACCEPT</w:t>
                                        </w:r>
                                      </w:p>
                                      <w:p w14:paraId="3749413E" w14:textId="0DEB3192"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0F6CD1">
                                          <w:rPr>
                                            <w:rFonts w:asciiTheme="minorHAnsi" w:hAnsiTheme="minorHAnsi" w:cstheme="minorHAnsi"/>
                                            <w:sz w:val="16"/>
                                            <w:szCs w:val="16"/>
                                          </w:rPr>
                                          <w:t>or registered</w:t>
                                        </w:r>
                                        <w:r w:rsidRPr="000F6CD1">
                                          <w:rPr>
                                            <w:rFonts w:asciiTheme="minorHAnsi" w:hAnsiTheme="minorHAnsi" w:cstheme="minorHAnsi"/>
                                            <w:sz w:val="16"/>
                                            <w:szCs w:val="16"/>
                                          </w:rPr>
                                          <w:t xml:space="preserve"> supporter</w:t>
                                        </w:r>
                                        <w:r w:rsidR="00612BF7" w:rsidRPr="000F6CD1">
                                          <w:rPr>
                                            <w:rFonts w:asciiTheme="minorHAnsi" w:hAnsiTheme="minorHAnsi" w:cstheme="minorHAnsi"/>
                                            <w:sz w:val="16"/>
                                            <w:szCs w:val="16"/>
                                          </w:rPr>
                                          <w:t xml:space="preserve"> or appointed decision maker</w:t>
                                        </w:r>
                                        <w:r w:rsidRPr="000F6CD1">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0F6CD1" w:rsidRDefault="0016744D" w:rsidP="0016744D">
                                        <w:pPr>
                                          <w:spacing w:line="240" w:lineRule="auto"/>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7640B" id="Text Box 3" o:spid="_x0000_s1033" type="#_x0000_t202" style="position:absolute;left:0;text-align:left;margin-left:27.45pt;margin-top:20.6pt;width:96pt;height:309.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" strokecolor="#538135 [2409]">
                            <v:textbox>
                              <w:txbxContent>
                                <w:p w14:paraId="4607E0D6" w14:textId="77777777" w:rsidR="0016744D" w:rsidRPr="000F6CD1" w:rsidRDefault="0016744D" w:rsidP="0016744D">
                                  <w:pPr>
                                    <w:spacing w:after="120" w:line="240" w:lineRule="auto"/>
                                    <w:jc w:val="center"/>
                                    <w:rPr>
                                      <w:rFonts w:cstheme="minorHAnsi"/>
                                      <w:b/>
                                      <w:sz w:val="20"/>
                                      <w:u w:val="single"/>
                                    </w:rPr>
                                  </w:pPr>
                                  <w:r w:rsidRPr="000F6CD1">
                                    <w:rPr>
                                      <w:rFonts w:cstheme="minorHAnsi"/>
                                      <w:b/>
                                      <w:sz w:val="20"/>
                                      <w:u w:val="single"/>
                                    </w:rPr>
                                    <w:t>ACCEPT</w:t>
                                  </w:r>
                                </w:p>
                                <w:p w14:paraId="3749413E" w14:textId="0DEB3192" w:rsidR="0016744D" w:rsidRPr="000F6CD1" w:rsidRDefault="0016744D" w:rsidP="0016744D">
                                  <w:pPr>
                                    <w:spacing w:line="240" w:lineRule="auto"/>
                                    <w:rPr>
                                      <w:rFonts w:asciiTheme="minorHAnsi" w:hAnsiTheme="minorHAnsi" w:cstheme="minorHAnsi"/>
                                      <w:sz w:val="16"/>
                                      <w:szCs w:val="16"/>
                                    </w:rPr>
                                  </w:pPr>
                                  <w:r w:rsidRPr="000F6CD1">
                                    <w:rPr>
                                      <w:rFonts w:asciiTheme="minorHAnsi" w:hAnsiTheme="minorHAnsi" w:cstheme="minorHAnsi"/>
                                      <w:sz w:val="16"/>
                                      <w:szCs w:val="16"/>
                                    </w:rPr>
                                    <w:t>Following review of referral card and older person record, team leaders can accept the referral, and assign for triage. Team leaders can change the priority if required. Depending on the older person circumstances and referral priority, contact the older person (and/</w:t>
                                  </w:r>
                                  <w:r w:rsidR="00B7235B" w:rsidRPr="000F6CD1">
                                    <w:rPr>
                                      <w:rFonts w:asciiTheme="minorHAnsi" w:hAnsiTheme="minorHAnsi" w:cstheme="minorHAnsi"/>
                                      <w:sz w:val="16"/>
                                      <w:szCs w:val="16"/>
                                    </w:rPr>
                                    <w:t>or registered</w:t>
                                  </w:r>
                                  <w:r w:rsidRPr="000F6CD1">
                                    <w:rPr>
                                      <w:rFonts w:asciiTheme="minorHAnsi" w:hAnsiTheme="minorHAnsi" w:cstheme="minorHAnsi"/>
                                      <w:sz w:val="16"/>
                                      <w:szCs w:val="16"/>
                                    </w:rPr>
                                    <w:t xml:space="preserve"> supporter</w:t>
                                  </w:r>
                                  <w:r w:rsidR="00612BF7" w:rsidRPr="000F6CD1">
                                    <w:rPr>
                                      <w:rFonts w:asciiTheme="minorHAnsi" w:hAnsiTheme="minorHAnsi" w:cstheme="minorHAnsi"/>
                                      <w:sz w:val="16"/>
                                      <w:szCs w:val="16"/>
                                    </w:rPr>
                                    <w:t xml:space="preserve"> or appointed decision maker</w:t>
                                  </w:r>
                                  <w:r w:rsidRPr="000F6CD1">
                                    <w:rPr>
                                      <w:rFonts w:asciiTheme="minorHAnsi" w:hAnsiTheme="minorHAnsi" w:cstheme="minorHAnsi"/>
                                      <w:sz w:val="16"/>
                                      <w:szCs w:val="16"/>
                                    </w:rPr>
                                    <w:t>, as appropriate) within three calendar days to undertake triage and schedule the assessment. If assessor commences assessment and must discontinue, they will need to cancel the assessment.</w:t>
                                  </w:r>
                                </w:p>
                                <w:p w14:paraId="1058B6A7" w14:textId="3326C069" w:rsidR="0016744D" w:rsidRPr="000F6CD1" w:rsidRDefault="0016744D" w:rsidP="0016744D">
                                  <w:pPr>
                                    <w:spacing w:line="240" w:lineRule="auto"/>
                                    <w:rPr>
                                      <w:rFonts w:cstheme="minorHAnsi"/>
                                      <w:sz w:val="16"/>
                                      <w:szCs w:val="16"/>
                                    </w:rPr>
                                  </w:pPr>
                                </w:p>
                              </w:txbxContent>
                            </v:textbox>
                            <w10:wrap type="square"/>
                          </v:shape>
                        </w:pict>
                      </mc:Fallback>
                    </mc:AlternateContent>
                  </w:r>
                  <w:r w:rsidR="0016744D" w:rsidRPr="000F6CD1">
                    <w:rPr>
                      <w:rFonts w:asciiTheme="minorHAnsi" w:hAnsiTheme="minorHAnsi" w:cstheme="minorBidi"/>
                      <w:b/>
                      <w:color w:val="385623" w:themeColor="accent6" w:themeShade="80"/>
                      <w:sz w:val="20"/>
                      <w:szCs w:val="20"/>
                    </w:rPr>
                    <w:t>POSSIBLE OUTCOMES OF ASSESSMENT REFERRAL MANAGEMENT</w:t>
                  </w:r>
                </w:p>
                <w:p w14:paraId="52C09AE7" w14:textId="7B92E948" w:rsidR="0016744D" w:rsidRPr="000F6CD1" w:rsidRDefault="0016744D" w:rsidP="00724D2F">
                  <w:pPr>
                    <w:keepLines/>
                    <w:jc w:val="center"/>
                    <w:rPr>
                      <w:rFonts w:asciiTheme="minorHAnsi" w:hAnsiTheme="minorHAnsi" w:cstheme="minorHAnsi"/>
                      <w:b/>
                      <w:bCs/>
                      <w:sz w:val="32"/>
                      <w:szCs w:val="32"/>
                    </w:rPr>
                  </w:pPr>
                  <w:r w:rsidRPr="000F6CD1">
                    <w:rPr>
                      <w:rFonts w:asciiTheme="minorHAnsi" w:hAnsiTheme="minorHAnsi" w:cstheme="minorHAnsi"/>
                      <w:noProof/>
                    </w:rPr>
                    <mc:AlternateContent>
                      <mc:Choice Requires="wps">
                        <w:drawing>
                          <wp:anchor distT="45720" distB="45720" distL="114300" distR="114300" simplePos="0" relativeHeight="251658245" behindDoc="0" locked="0" layoutInCell="1" allowOverlap="1" wp14:anchorId="6F3DEF47" wp14:editId="18BE5FE3">
                            <wp:simplePos x="0" y="0"/>
                            <wp:positionH relativeFrom="column">
                              <wp:posOffset>-1028700</wp:posOffset>
                            </wp:positionH>
                            <wp:positionV relativeFrom="paragraph">
                              <wp:posOffset>1162050</wp:posOffset>
                            </wp:positionV>
                            <wp:extent cx="2423795" cy="345440"/>
                            <wp:effectExtent l="0" t="0" r="6032"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3795" cy="345440"/>
                                    </a:xfrm>
                                    <a:prstGeom prst="rect">
                                      <a:avLst/>
                                    </a:prstGeom>
                                    <a:noFill/>
                                    <a:ln w="9525">
                                      <a:noFill/>
                                      <a:miter lim="800000"/>
                                      <a:headEnd/>
                                      <a:tailEnd/>
                                    </a:ln>
                                  </wps:spPr>
                                  <wps:txbx>
                                    <w:txbxContent>
                                      <w:p w14:paraId="469DE47B" w14:textId="77777777" w:rsidR="0016744D" w:rsidRPr="000F6CD1" w:rsidRDefault="0016744D" w:rsidP="0016744D">
                                        <w:pPr>
                                          <w:jc w:val="center"/>
                                          <w:rPr>
                                            <w:rFonts w:asciiTheme="minorHAnsi" w:hAnsiTheme="minorHAnsi" w:cstheme="minorHAnsi"/>
                                            <w:b/>
                                            <w:bCs/>
                                            <w:color w:val="538135" w:themeColor="accent6" w:themeShade="BF"/>
                                          </w:rPr>
                                        </w:pPr>
                                        <w:r w:rsidRPr="000F6CD1">
                                          <w:rPr>
                                            <w:rFonts w:asciiTheme="minorHAnsi" w:hAnsiTheme="minorHAnsi" w:cstheme="minorHAnsi"/>
                                            <w:b/>
                                            <w:bCs/>
                                            <w:color w:val="538135" w:themeColor="accent6" w:themeShade="BF"/>
                                          </w:rPr>
                                          <w:t>REFERRAL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EF47" id="Text Box 4" o:spid="_x0000_s1034" type="#_x0000_t202" style="position:absolute;left:0;text-align:left;margin-left:-81pt;margin-top:91.5pt;width:190.85pt;height:27.2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" filled="f" stroked="f">
                            <v:textbox>
                              <w:txbxContent>
                                <w:p w14:paraId="469DE47B" w14:textId="77777777" w:rsidR="0016744D" w:rsidRPr="000F6CD1" w:rsidRDefault="0016744D" w:rsidP="0016744D">
                                  <w:pPr>
                                    <w:jc w:val="center"/>
                                    <w:rPr>
                                      <w:rFonts w:asciiTheme="minorHAnsi" w:hAnsiTheme="minorHAnsi" w:cstheme="minorHAnsi"/>
                                      <w:b/>
                                      <w:bCs/>
                                      <w:color w:val="538135" w:themeColor="accent6" w:themeShade="BF"/>
                                    </w:rPr>
                                  </w:pPr>
                                  <w:r w:rsidRPr="000F6CD1">
                                    <w:rPr>
                                      <w:rFonts w:asciiTheme="minorHAnsi" w:hAnsiTheme="minorHAnsi" w:cstheme="minorHAnsi"/>
                                      <w:b/>
                                      <w:bCs/>
                                      <w:color w:val="538135" w:themeColor="accent6" w:themeShade="BF"/>
                                    </w:rPr>
                                    <w:t>REFERRAL ACTIONED</w:t>
                                  </w:r>
                                </w:p>
                              </w:txbxContent>
                            </v:textbox>
                            <w10:wrap type="square"/>
                          </v:shape>
                        </w:pict>
                      </mc:Fallback>
                    </mc:AlternateContent>
                  </w:r>
                </w:p>
              </w:tc>
            </w:tr>
          </w:tbl>
          <w:p w14:paraId="183C464E" w14:textId="77777777" w:rsidR="0016744D" w:rsidRPr="000F6CD1" w:rsidRDefault="0016744D" w:rsidP="00724D2F">
            <w:pPr>
              <w:keepLines/>
            </w:pPr>
          </w:p>
        </w:tc>
      </w:tr>
    </w:tbl>
    <w:p w14:paraId="5652C0D9" w14:textId="77777777" w:rsidR="0016744D" w:rsidRPr="000F6CD1" w:rsidRDefault="0016744D" w:rsidP="00856600">
      <w:pPr>
        <w:spacing w:before="240" w:after="240" w:line="240" w:lineRule="auto"/>
      </w:pPr>
    </w:p>
    <w:p w14:paraId="3FBD3633" w14:textId="77777777" w:rsidR="0016744D" w:rsidRPr="000F6CD1" w:rsidRDefault="0016744D" w:rsidP="00AD2CE5">
      <w:pPr>
        <w:pStyle w:val="H3"/>
        <w:rPr>
          <w:i/>
          <w:color w:val="434967"/>
          <w:spacing w:val="5"/>
          <w:szCs w:val="28"/>
        </w:rPr>
      </w:pPr>
      <w:bookmarkStart w:id="291" w:name="_Toc204329531"/>
      <w:r w:rsidRPr="000F6CD1">
        <w:lastRenderedPageBreak/>
        <w:t>Accept a referral</w:t>
      </w:r>
      <w:bookmarkEnd w:id="291"/>
    </w:p>
    <w:p w14:paraId="58D5158C" w14:textId="245BE8CF" w:rsidR="0016744D" w:rsidRPr="000F6CD1" w:rsidRDefault="0016744D" w:rsidP="00856600">
      <w:pPr>
        <w:spacing w:before="240" w:after="240" w:line="240" w:lineRule="auto"/>
      </w:pPr>
      <w:r w:rsidRPr="000F6CD1">
        <w:t xml:space="preserve">When a </w:t>
      </w:r>
      <w:r w:rsidR="00CE2C1F" w:rsidRPr="000F6CD1">
        <w:t>T</w:t>
      </w:r>
      <w:r w:rsidRPr="000F6CD1">
        <w:t xml:space="preserve">eam </w:t>
      </w:r>
      <w:r w:rsidR="00CE2C1F" w:rsidRPr="000F6CD1">
        <w:t>L</w:t>
      </w:r>
      <w:r w:rsidRPr="000F6CD1">
        <w:t xml:space="preserve">eader </w:t>
      </w:r>
      <w:r w:rsidRPr="000F6CD1">
        <w:rPr>
          <w:rFonts w:hint="eastAsia"/>
        </w:rPr>
        <w:t>receive</w:t>
      </w:r>
      <w:r w:rsidRPr="000F6CD1">
        <w:t>s</w:t>
      </w:r>
      <w:r w:rsidRPr="000F6CD1">
        <w:rPr>
          <w:rFonts w:hint="eastAsia"/>
        </w:rPr>
        <w:t xml:space="preserve"> a referral</w:t>
      </w:r>
      <w:r w:rsidRPr="000F6CD1">
        <w:t xml:space="preserve">, </w:t>
      </w:r>
      <w:r w:rsidRPr="000F6CD1">
        <w:rPr>
          <w:rFonts w:hint="eastAsia"/>
        </w:rPr>
        <w:t xml:space="preserve">they should view </w:t>
      </w:r>
      <w:r w:rsidRPr="000F6CD1">
        <w:t xml:space="preserve">the </w:t>
      </w:r>
      <w:r w:rsidRPr="000F6CD1">
        <w:rPr>
          <w:rFonts w:hint="eastAsia"/>
        </w:rPr>
        <w:t>older person</w:t>
      </w:r>
      <w:r w:rsidRPr="000F6CD1">
        <w:t>’s</w:t>
      </w:r>
      <w:r w:rsidRPr="000F6CD1">
        <w:rPr>
          <w:rFonts w:hint="eastAsia"/>
        </w:rPr>
        <w:t xml:space="preserve"> information </w:t>
      </w:r>
      <w:r w:rsidRPr="000F6CD1">
        <w:t>to</w:t>
      </w:r>
      <w:r w:rsidRPr="000F6CD1">
        <w:rPr>
          <w:rFonts w:hint="eastAsia"/>
        </w:rPr>
        <w:t xml:space="preserve"> gain a </w:t>
      </w:r>
      <w:r w:rsidRPr="000F6CD1">
        <w:t xml:space="preserve">preliminary </w:t>
      </w:r>
      <w:r w:rsidRPr="000F6CD1">
        <w:rPr>
          <w:rFonts w:hint="eastAsia"/>
        </w:rPr>
        <w:t>understanding of the</w:t>
      </w:r>
      <w:r w:rsidRPr="000F6CD1">
        <w:t xml:space="preserve">ir </w:t>
      </w:r>
      <w:r w:rsidRPr="000F6CD1">
        <w:rPr>
          <w:rFonts w:hint="eastAsia"/>
        </w:rPr>
        <w:t>situation</w:t>
      </w:r>
      <w:r w:rsidRPr="000F6CD1">
        <w:t>, to determine whether the referral is accepted, transferred or rejected and to begin the assessment process responsive to the person’s individual situation</w:t>
      </w:r>
      <w:r w:rsidRPr="000F6CD1">
        <w:rPr>
          <w:rFonts w:hint="eastAsia"/>
        </w:rPr>
        <w:t xml:space="preserve">. </w:t>
      </w:r>
    </w:p>
    <w:p w14:paraId="01A87F98" w14:textId="77777777" w:rsidR="0016744D" w:rsidRPr="000F6CD1" w:rsidRDefault="0016744D" w:rsidP="003D374A">
      <w:pPr>
        <w:pStyle w:val="Sub-headingnon-contentpage"/>
      </w:pPr>
      <w:r w:rsidRPr="000F6CD1">
        <w:t xml:space="preserve">A Team Leader must: </w:t>
      </w:r>
    </w:p>
    <w:p w14:paraId="383394A1" w14:textId="77777777" w:rsidR="0016744D" w:rsidRPr="000F6CD1" w:rsidRDefault="0016744D" w:rsidP="00DF3F6B">
      <w:pPr>
        <w:pStyle w:val="ListParagraph"/>
        <w:numPr>
          <w:ilvl w:val="0"/>
          <w:numId w:val="59"/>
        </w:numPr>
        <w:spacing w:before="240" w:after="240" w:line="240" w:lineRule="auto"/>
        <w:ind w:left="284" w:hanging="284"/>
      </w:pPr>
      <w:r w:rsidRPr="000F6CD1">
        <w:t xml:space="preserve">Review the referral information and determine whether the referral is appropriate to be accepted, transferred or rejected. </w:t>
      </w:r>
    </w:p>
    <w:p w14:paraId="2DD9B6FD" w14:textId="77777777" w:rsidR="0016744D" w:rsidRPr="000F6CD1" w:rsidRDefault="0016744D" w:rsidP="00DF3F6B">
      <w:pPr>
        <w:pStyle w:val="ListParagraph"/>
        <w:numPr>
          <w:ilvl w:val="0"/>
          <w:numId w:val="59"/>
        </w:numPr>
        <w:spacing w:before="240" w:after="240" w:line="240" w:lineRule="auto"/>
        <w:ind w:left="284" w:hanging="284"/>
      </w:pPr>
      <w:r w:rsidRPr="000F6CD1">
        <w:t>Determine</w:t>
      </w:r>
      <w:r w:rsidRPr="000F6CD1">
        <w:rPr>
          <w:rFonts w:hint="eastAsia"/>
        </w:rPr>
        <w:t xml:space="preserve"> whether the referral has </w:t>
      </w:r>
      <w:r w:rsidRPr="000F6CD1">
        <w:t xml:space="preserve">been </w:t>
      </w:r>
      <w:r w:rsidRPr="000F6CD1">
        <w:rPr>
          <w:rFonts w:hint="eastAsia"/>
        </w:rPr>
        <w:t xml:space="preserve">made to the right </w:t>
      </w:r>
      <w:r w:rsidRPr="000F6CD1">
        <w:t xml:space="preserve">organisation or </w:t>
      </w:r>
      <w:r w:rsidRPr="000F6CD1">
        <w:rPr>
          <w:rFonts w:hint="eastAsia"/>
        </w:rPr>
        <w:t>outlet</w:t>
      </w:r>
      <w:r w:rsidRPr="000F6CD1">
        <w:t xml:space="preserve"> (e.g. the older person is in the same geographical location).</w:t>
      </w:r>
    </w:p>
    <w:p w14:paraId="144DC654" w14:textId="3F5AB345" w:rsidR="0016744D" w:rsidRPr="000F6CD1" w:rsidRDefault="0016744D" w:rsidP="00DF3F6B">
      <w:pPr>
        <w:pStyle w:val="ListParagraph"/>
        <w:numPr>
          <w:ilvl w:val="0"/>
          <w:numId w:val="59"/>
        </w:numPr>
        <w:spacing w:before="240" w:after="240" w:line="240" w:lineRule="auto"/>
        <w:ind w:left="284" w:hanging="284"/>
      </w:pPr>
      <w:r w:rsidRPr="000F6CD1">
        <w:t xml:space="preserve">Note any concerns for the triage delegate's consideration relating to eligibility for aged care services </w:t>
      </w:r>
    </w:p>
    <w:p w14:paraId="06BE43C2" w14:textId="275A51ED" w:rsidR="0016744D" w:rsidRPr="000F6CD1" w:rsidRDefault="0016744D" w:rsidP="00DF3F6B">
      <w:pPr>
        <w:pStyle w:val="ListParagraph"/>
        <w:numPr>
          <w:ilvl w:val="0"/>
          <w:numId w:val="59"/>
        </w:numPr>
        <w:spacing w:before="240" w:after="240" w:line="240" w:lineRule="auto"/>
        <w:ind w:left="284" w:hanging="284"/>
      </w:pPr>
      <w:r w:rsidRPr="000F6CD1">
        <w:t xml:space="preserve">Note any preference for an Aboriginal and Torres Strait Islander assessment </w:t>
      </w:r>
      <w:r w:rsidR="009B18B7" w:rsidRPr="000F6CD1">
        <w:t>organisation.</w:t>
      </w:r>
    </w:p>
    <w:p w14:paraId="4C3A28A4" w14:textId="77777777" w:rsidR="0016744D" w:rsidRPr="000F6CD1" w:rsidRDefault="0016744D" w:rsidP="00DF3F6B">
      <w:pPr>
        <w:pStyle w:val="ListParagraph"/>
        <w:numPr>
          <w:ilvl w:val="0"/>
          <w:numId w:val="59"/>
        </w:numPr>
        <w:spacing w:before="240" w:after="240" w:line="240" w:lineRule="auto"/>
        <w:ind w:left="284" w:hanging="284"/>
      </w:pPr>
      <w:r w:rsidRPr="000F6CD1">
        <w:rPr>
          <w:szCs w:val="20"/>
        </w:rPr>
        <w:t xml:space="preserve">On receiving an assessment referral, </w:t>
      </w:r>
      <w:r w:rsidRPr="000F6CD1">
        <w:rPr>
          <w:rFonts w:hint="eastAsia"/>
          <w:szCs w:val="20"/>
        </w:rPr>
        <w:t>any</w:t>
      </w:r>
      <w:r w:rsidRPr="000F6CD1">
        <w:rPr>
          <w:szCs w:val="20"/>
        </w:rPr>
        <w:t xml:space="preserve"> relevant information relating to the older person’s referral should be reviewed. Information can be sourced from the older person’s record, including:</w:t>
      </w:r>
    </w:p>
    <w:p w14:paraId="6E35FA23" w14:textId="77777777" w:rsidR="0016744D" w:rsidRPr="000F6CD1" w:rsidRDefault="0016744D" w:rsidP="001B3475">
      <w:pPr>
        <w:pStyle w:val="ListParagraph"/>
        <w:numPr>
          <w:ilvl w:val="1"/>
          <w:numId w:val="66"/>
        </w:numPr>
        <w:spacing w:after="0" w:line="240" w:lineRule="auto"/>
        <w:ind w:left="1276"/>
      </w:pPr>
      <w:r w:rsidRPr="000F6CD1">
        <w:t>previous screening/assessment details</w:t>
      </w:r>
    </w:p>
    <w:p w14:paraId="27C9F366" w14:textId="77777777" w:rsidR="0016744D" w:rsidRPr="000F6CD1" w:rsidRDefault="0016744D" w:rsidP="001B3475">
      <w:pPr>
        <w:pStyle w:val="ListParagraph"/>
        <w:numPr>
          <w:ilvl w:val="1"/>
          <w:numId w:val="66"/>
        </w:numPr>
        <w:spacing w:after="0" w:line="240" w:lineRule="auto"/>
        <w:ind w:left="1276"/>
      </w:pPr>
      <w:r w:rsidRPr="000F6CD1">
        <w:rPr>
          <w:rFonts w:hint="eastAsia"/>
        </w:rPr>
        <w:t xml:space="preserve">previous </w:t>
      </w:r>
      <w:r w:rsidRPr="000F6CD1">
        <w:t>Support Plan</w:t>
      </w:r>
      <w:r w:rsidRPr="000F6CD1">
        <w:rPr>
          <w:rFonts w:hint="eastAsia"/>
        </w:rPr>
        <w:t>s</w:t>
      </w:r>
    </w:p>
    <w:p w14:paraId="098B4C13" w14:textId="77777777" w:rsidR="0016744D" w:rsidRPr="000F6CD1" w:rsidRDefault="0016744D" w:rsidP="001B3475">
      <w:pPr>
        <w:pStyle w:val="ListParagraph"/>
        <w:numPr>
          <w:ilvl w:val="1"/>
          <w:numId w:val="66"/>
        </w:numPr>
        <w:spacing w:after="0" w:line="240" w:lineRule="auto"/>
        <w:ind w:left="1276"/>
      </w:pPr>
      <w:r w:rsidRPr="000F6CD1">
        <w:rPr>
          <w:rFonts w:hint="eastAsia"/>
        </w:rPr>
        <w:t>previous approvals</w:t>
      </w:r>
    </w:p>
    <w:p w14:paraId="3FF23B56" w14:textId="77777777" w:rsidR="0016744D" w:rsidRPr="000F6CD1" w:rsidRDefault="0016744D" w:rsidP="001B3475">
      <w:pPr>
        <w:pStyle w:val="ListParagraph"/>
        <w:numPr>
          <w:ilvl w:val="1"/>
          <w:numId w:val="66"/>
        </w:numPr>
        <w:spacing w:after="0" w:line="240" w:lineRule="auto"/>
        <w:ind w:left="1276"/>
        <w:contextualSpacing w:val="0"/>
        <w:rPr>
          <w:szCs w:val="20"/>
        </w:rPr>
      </w:pPr>
      <w:r w:rsidRPr="000F6CD1">
        <w:rPr>
          <w:szCs w:val="20"/>
        </w:rPr>
        <w:t>attachments (e.g., hospital discharge summar</w:t>
      </w:r>
      <w:r w:rsidRPr="000F6CD1">
        <w:rPr>
          <w:rFonts w:hint="eastAsia"/>
          <w:szCs w:val="20"/>
        </w:rPr>
        <w:t>y</w:t>
      </w:r>
      <w:r w:rsidRPr="000F6CD1">
        <w:rPr>
          <w:szCs w:val="20"/>
        </w:rPr>
        <w:t>)</w:t>
      </w:r>
    </w:p>
    <w:p w14:paraId="4ADB2231" w14:textId="77777777" w:rsidR="0016744D" w:rsidRPr="000F6CD1" w:rsidRDefault="0016744D" w:rsidP="001B3475">
      <w:pPr>
        <w:pStyle w:val="ListParagraph"/>
        <w:numPr>
          <w:ilvl w:val="1"/>
          <w:numId w:val="66"/>
        </w:numPr>
        <w:spacing w:after="0" w:line="240" w:lineRule="auto"/>
        <w:ind w:left="1276"/>
        <w:contextualSpacing w:val="0"/>
        <w:rPr>
          <w:szCs w:val="20"/>
        </w:rPr>
      </w:pPr>
      <w:r w:rsidRPr="000F6CD1">
        <w:rPr>
          <w:szCs w:val="20"/>
        </w:rPr>
        <w:t>notes</w:t>
      </w:r>
    </w:p>
    <w:p w14:paraId="53BB845F" w14:textId="77777777" w:rsidR="0016744D" w:rsidRPr="000F6CD1" w:rsidRDefault="0016744D" w:rsidP="001B3475">
      <w:pPr>
        <w:pStyle w:val="ListParagraph"/>
        <w:numPr>
          <w:ilvl w:val="1"/>
          <w:numId w:val="66"/>
        </w:numPr>
        <w:spacing w:after="0" w:line="240" w:lineRule="auto"/>
        <w:ind w:left="1276"/>
        <w:contextualSpacing w:val="0"/>
        <w:rPr>
          <w:szCs w:val="20"/>
        </w:rPr>
      </w:pPr>
      <w:r w:rsidRPr="000F6CD1">
        <w:rPr>
          <w:szCs w:val="20"/>
        </w:rPr>
        <w:t>interactions; and</w:t>
      </w:r>
    </w:p>
    <w:p w14:paraId="5BD210CB" w14:textId="54B6749C" w:rsidR="0016744D" w:rsidRPr="000F6CD1" w:rsidRDefault="0016744D" w:rsidP="001B3475">
      <w:pPr>
        <w:pStyle w:val="ListParagraph"/>
        <w:numPr>
          <w:ilvl w:val="1"/>
          <w:numId w:val="66"/>
        </w:numPr>
        <w:spacing w:after="0" w:line="240" w:lineRule="auto"/>
        <w:ind w:left="1276"/>
        <w:contextualSpacing w:val="0"/>
        <w:rPr>
          <w:szCs w:val="20"/>
        </w:rPr>
      </w:pPr>
      <w:r w:rsidRPr="000F6CD1">
        <w:rPr>
          <w:rFonts w:hint="eastAsia"/>
          <w:szCs w:val="20"/>
        </w:rPr>
        <w:t xml:space="preserve">primary </w:t>
      </w:r>
      <w:r w:rsidRPr="000F6CD1">
        <w:rPr>
          <w:szCs w:val="20"/>
        </w:rPr>
        <w:t>contact/registered supporter/agent</w:t>
      </w:r>
      <w:r w:rsidRPr="000F6CD1">
        <w:rPr>
          <w:rFonts w:hint="eastAsia"/>
          <w:szCs w:val="20"/>
        </w:rPr>
        <w:t xml:space="preserve"> for the older person</w:t>
      </w:r>
      <w:r w:rsidRPr="000F6CD1">
        <w:rPr>
          <w:szCs w:val="20"/>
        </w:rPr>
        <w:t>.</w:t>
      </w:r>
    </w:p>
    <w:p w14:paraId="7AF64829" w14:textId="77777777" w:rsidR="001B3475" w:rsidRPr="000F6CD1" w:rsidRDefault="001B3475" w:rsidP="001B3475">
      <w:pPr>
        <w:pStyle w:val="ListParagraph"/>
        <w:spacing w:after="0" w:line="240" w:lineRule="auto"/>
        <w:ind w:left="1276"/>
        <w:contextualSpacing w:val="0"/>
        <w:rPr>
          <w:szCs w:val="20"/>
        </w:rPr>
      </w:pPr>
    </w:p>
    <w:p w14:paraId="24DB253F" w14:textId="66AA5D65" w:rsidR="0016744D" w:rsidRPr="000F6CD1" w:rsidRDefault="0016744D" w:rsidP="00DF3F6B">
      <w:pPr>
        <w:pStyle w:val="ListParagraph"/>
        <w:numPr>
          <w:ilvl w:val="0"/>
          <w:numId w:val="59"/>
        </w:numPr>
        <w:spacing w:before="240" w:after="240" w:line="240" w:lineRule="auto"/>
        <w:ind w:left="284" w:hanging="283"/>
      </w:pPr>
      <w:r w:rsidRPr="000F6CD1">
        <w:t xml:space="preserve">Check that the older person’s contact details and preferences are accurate and up to date in My Aged Care and amend as necessary. For older people who are approved and seeking services, </w:t>
      </w:r>
      <w:r w:rsidR="00CE2C1F" w:rsidRPr="000F6CD1">
        <w:t>the Team Leader</w:t>
      </w:r>
      <w:r w:rsidRPr="000F6CD1">
        <w:t xml:space="preserve"> must ensure the accuracy of the older person and their support network’s contact information as this will ensure correspondence is received. </w:t>
      </w:r>
    </w:p>
    <w:p w14:paraId="0630B224" w14:textId="0519D066" w:rsidR="0016744D" w:rsidRPr="000F6CD1" w:rsidRDefault="0016744D" w:rsidP="00DF3F6B">
      <w:pPr>
        <w:pStyle w:val="ListParagraph"/>
        <w:numPr>
          <w:ilvl w:val="0"/>
          <w:numId w:val="59"/>
        </w:numPr>
        <w:spacing w:before="240" w:after="240" w:line="240" w:lineRule="auto"/>
        <w:ind w:left="284" w:hanging="284"/>
        <w:rPr>
          <w:strike/>
        </w:rPr>
      </w:pPr>
      <w:r w:rsidRPr="000F6CD1">
        <w:t xml:space="preserve">Check whether a supporter or agent for the older person has been registered or established. If the client is already registered in My Aged Care, </w:t>
      </w:r>
      <w:r w:rsidR="00CE2C1F" w:rsidRPr="000F6CD1">
        <w:t xml:space="preserve">Team Leaders </w:t>
      </w:r>
      <w:r w:rsidRPr="000F6CD1">
        <w:t xml:space="preserve">can use the </w:t>
      </w:r>
      <w:r w:rsidR="0060352D" w:rsidRPr="000F6CD1">
        <w:t>assessor portal</w:t>
      </w:r>
      <w:r w:rsidRPr="000F6CD1">
        <w:t xml:space="preserve"> to find the client, then view their support network (if any supporter relationships have been registered).</w:t>
      </w:r>
    </w:p>
    <w:p w14:paraId="152EB0CC" w14:textId="1EEBADAB" w:rsidR="0016744D" w:rsidRPr="000F6CD1" w:rsidRDefault="0016744D" w:rsidP="00DF3F6B">
      <w:pPr>
        <w:pStyle w:val="ListParagraph"/>
        <w:numPr>
          <w:ilvl w:val="0"/>
          <w:numId w:val="59"/>
        </w:numPr>
        <w:spacing w:before="240" w:after="240" w:line="240" w:lineRule="auto"/>
        <w:ind w:left="284" w:hanging="284"/>
      </w:pPr>
      <w:r w:rsidRPr="000F6CD1">
        <w:t xml:space="preserve">Review the priority assigned by the referrer and change it if it does not align with the guidance on priority for assessment referral. Once a referral is received, it is important that </w:t>
      </w:r>
      <w:r w:rsidR="00516348" w:rsidRPr="000F6CD1">
        <w:t>older people</w:t>
      </w:r>
      <w:r w:rsidRPr="000F6CD1">
        <w:t xml:space="preserve"> are contacted and seen in a timely manner, especially those with urgent needs. </w:t>
      </w:r>
    </w:p>
    <w:p w14:paraId="53F01C47" w14:textId="2FE8E05E" w:rsidR="0016744D" w:rsidRPr="000F6CD1" w:rsidRDefault="0016744D" w:rsidP="00A47084">
      <w:pPr>
        <w:pStyle w:val="ListParagraph"/>
        <w:numPr>
          <w:ilvl w:val="0"/>
          <w:numId w:val="409"/>
        </w:numPr>
        <w:spacing w:before="240" w:after="0" w:line="240" w:lineRule="auto"/>
        <w:ind w:left="284" w:hanging="284"/>
        <w:contextualSpacing w:val="0"/>
        <w:rPr>
          <w:szCs w:val="20"/>
        </w:rPr>
      </w:pPr>
      <w:r w:rsidRPr="000F6CD1">
        <w:t xml:space="preserve">As web referrals (including referrals submitted by GPs, health professionals and </w:t>
      </w:r>
      <w:r w:rsidR="00516348" w:rsidRPr="000F6CD1">
        <w:t>older people</w:t>
      </w:r>
      <w:r w:rsidRPr="000F6CD1">
        <w:t xml:space="preserve"> using the ‘Apply for an Assessment Online’ form) are automated to a </w:t>
      </w:r>
      <w:r w:rsidRPr="000F6CD1">
        <w:rPr>
          <w:rStyle w:val="SubtleEmphasis"/>
          <w:b/>
          <w:bCs/>
          <w:i w:val="0"/>
          <w:iCs w:val="0"/>
        </w:rPr>
        <w:t>medium</w:t>
      </w:r>
      <w:r w:rsidRPr="000F6CD1">
        <w:t xml:space="preserve"> priority, it is important to review the referral information and reassign the </w:t>
      </w:r>
      <w:r w:rsidRPr="000F6CD1">
        <w:rPr>
          <w:szCs w:val="20"/>
        </w:rPr>
        <w:t>priority (if applicable) accordi</w:t>
      </w:r>
      <w:r w:rsidRPr="000F6CD1" w:rsidDel="00BA6D56">
        <w:rPr>
          <w:szCs w:val="20"/>
        </w:rPr>
        <w:t>n</w:t>
      </w:r>
      <w:r w:rsidRPr="000F6CD1">
        <w:rPr>
          <w:szCs w:val="20"/>
        </w:rPr>
        <w:t>g to the older person’s needs. This will prevent urgent cases from being overlooked.</w:t>
      </w:r>
    </w:p>
    <w:p w14:paraId="1E0ADBFA" w14:textId="3D628C00" w:rsidR="00B95E4C" w:rsidRPr="000F6CD1" w:rsidRDefault="0016744D" w:rsidP="00A47084">
      <w:pPr>
        <w:pStyle w:val="ListParagraph"/>
        <w:numPr>
          <w:ilvl w:val="0"/>
          <w:numId w:val="409"/>
        </w:numPr>
        <w:spacing w:before="240" w:after="240" w:line="240" w:lineRule="auto"/>
        <w:ind w:left="284" w:hanging="284"/>
      </w:pPr>
      <w:r w:rsidRPr="000F6CD1">
        <w:t>Older people and/or their registered supporters should be contacted and eligibility determined through triage within three calendar days of accepting the referral</w:t>
      </w:r>
      <w:r w:rsidR="008670F3" w:rsidRPr="000F6CD1">
        <w:t>.</w:t>
      </w:r>
    </w:p>
    <w:p w14:paraId="3D79B852" w14:textId="35A6F753" w:rsidR="0016744D" w:rsidRPr="000F6CD1" w:rsidRDefault="00B95E4C" w:rsidP="00A47084">
      <w:pPr>
        <w:pStyle w:val="ListParagraph"/>
        <w:numPr>
          <w:ilvl w:val="0"/>
          <w:numId w:val="409"/>
        </w:numPr>
        <w:spacing w:before="240" w:after="240" w:line="240" w:lineRule="auto"/>
        <w:ind w:left="284" w:hanging="284"/>
      </w:pPr>
      <w:r w:rsidRPr="000F6CD1">
        <w:t>N</w:t>
      </w:r>
      <w:r w:rsidR="0016744D" w:rsidRPr="000F6CD1">
        <w:t>ot</w:t>
      </w:r>
      <w:r w:rsidRPr="000F6CD1">
        <w:t>e</w:t>
      </w:r>
      <w:r w:rsidR="0016744D" w:rsidRPr="000F6CD1">
        <w:t xml:space="preserve"> that assessors </w:t>
      </w:r>
      <w:r w:rsidR="008670F3" w:rsidRPr="000F6CD1">
        <w:t xml:space="preserve">should </w:t>
      </w:r>
      <w:r w:rsidR="001136D5" w:rsidRPr="000F6CD1">
        <w:t xml:space="preserve">consider </w:t>
      </w:r>
      <w:r w:rsidR="00B5135C" w:rsidRPr="000F6CD1">
        <w:t xml:space="preserve">workload management between focusing on SPRs versus </w:t>
      </w:r>
      <w:r w:rsidR="008670F3" w:rsidRPr="000F6CD1">
        <w:t xml:space="preserve">reassessments to ensure </w:t>
      </w:r>
      <w:r w:rsidR="0016744D" w:rsidRPr="000F6CD1">
        <w:t xml:space="preserve">priority is given to </w:t>
      </w:r>
      <w:r w:rsidR="00516348" w:rsidRPr="000F6CD1">
        <w:t>older people</w:t>
      </w:r>
      <w:r w:rsidR="0016744D" w:rsidRPr="000F6CD1">
        <w:t xml:space="preserve"> with the greatest need.</w:t>
      </w:r>
    </w:p>
    <w:p w14:paraId="01A0E42E" w14:textId="77777777" w:rsidR="0016744D" w:rsidRPr="000F6CD1" w:rsidRDefault="0016744D" w:rsidP="00AD2CE5">
      <w:pPr>
        <w:pStyle w:val="H3"/>
      </w:pPr>
      <w:bookmarkStart w:id="292" w:name="_Toc204329532"/>
      <w:bookmarkStart w:id="293" w:name="_Ref212733590"/>
      <w:r w:rsidRPr="000F6CD1">
        <w:lastRenderedPageBreak/>
        <w:t>Transferring referrals</w:t>
      </w:r>
      <w:bookmarkEnd w:id="292"/>
      <w:bookmarkEnd w:id="293"/>
      <w:r w:rsidRPr="000F6CD1">
        <w:t xml:space="preserve"> </w:t>
      </w:r>
    </w:p>
    <w:p w14:paraId="145E69A4" w14:textId="18D61850" w:rsidR="0016744D" w:rsidRPr="000F6CD1" w:rsidRDefault="0016744D" w:rsidP="00856600">
      <w:pPr>
        <w:spacing w:before="240" w:after="240" w:line="240" w:lineRule="auto"/>
        <w:rPr>
          <w:lang w:eastAsia="ko-KR"/>
        </w:rPr>
      </w:pPr>
      <w:r w:rsidRPr="000F6CD1">
        <w:t xml:space="preserve">Team leaders can transfer incoming and accepted referrals (that have not been commenced) between assessment organisations. Transfers can occur between assessment organisations when there is agreement between those organisations’ team leaders that this is necessary (e.g. due to the location or organisational capacity issues or the older person has a preference to be assessed by </w:t>
      </w:r>
      <w:r w:rsidR="1E425BDD" w:rsidRPr="000F6CD1">
        <w:t>an</w:t>
      </w:r>
      <w:r w:rsidRPr="000F6CD1">
        <w:t xml:space="preserve"> Aboriginal and Torres Strait Islander </w:t>
      </w:r>
      <w:r w:rsidR="00EB6642" w:rsidRPr="000F6CD1">
        <w:t>assessment organisation</w:t>
      </w:r>
      <w:r w:rsidRPr="000F6CD1">
        <w:t>). A referral can only be transferred once</w:t>
      </w:r>
      <w:r w:rsidR="002D74C8" w:rsidRPr="000F6CD1">
        <w:t xml:space="preserve">. </w:t>
      </w:r>
      <w:r w:rsidR="00F2795D" w:rsidRPr="000F6CD1">
        <w:t>However, a</w:t>
      </w:r>
      <w:r w:rsidR="005878EA" w:rsidRPr="000F6CD1">
        <w:t>ssessment outlets should consider</w:t>
      </w:r>
      <w:r w:rsidR="00F2795D" w:rsidRPr="000F6CD1">
        <w:t xml:space="preserve"> the reasons carefully before rejecting a referral.</w:t>
      </w:r>
    </w:p>
    <w:p w14:paraId="05078383" w14:textId="77777777" w:rsidR="0016744D" w:rsidRPr="000F6CD1" w:rsidRDefault="0016744D" w:rsidP="00856600">
      <w:pPr>
        <w:spacing w:before="240" w:after="240" w:line="240" w:lineRule="auto"/>
      </w:pPr>
      <w:r w:rsidRPr="000F6CD1">
        <w:rPr>
          <w:lang w:eastAsia="ko-KR"/>
        </w:rPr>
        <w:t xml:space="preserve">Where a referral has been transferred the assessment organisation must ensure that: </w:t>
      </w:r>
    </w:p>
    <w:p w14:paraId="0C4CE9C9" w14:textId="77777777" w:rsidR="0016744D" w:rsidRPr="000F6CD1" w:rsidRDefault="0016744D" w:rsidP="00DF3F6B">
      <w:pPr>
        <w:pStyle w:val="ListParagraph"/>
        <w:numPr>
          <w:ilvl w:val="0"/>
          <w:numId w:val="64"/>
        </w:numPr>
        <w:spacing w:before="240" w:after="240" w:line="240" w:lineRule="auto"/>
        <w:ind w:left="714" w:hanging="357"/>
      </w:pPr>
      <w:r w:rsidRPr="000F6CD1">
        <w:t xml:space="preserve">The older person understands why their referral is being transferred and consents to the transfer of the referral to another assessment organisation. </w:t>
      </w:r>
    </w:p>
    <w:p w14:paraId="757B0A00" w14:textId="33F52B88" w:rsidR="00AC7952" w:rsidRPr="000F6CD1" w:rsidRDefault="0016744D" w:rsidP="00AC7952">
      <w:pPr>
        <w:pStyle w:val="ListParagraph"/>
        <w:numPr>
          <w:ilvl w:val="0"/>
          <w:numId w:val="64"/>
        </w:numPr>
        <w:spacing w:before="240" w:after="240" w:line="240" w:lineRule="auto"/>
      </w:pPr>
      <w:r w:rsidRPr="000F6CD1">
        <w:t>They have contacted the assessment organisation that will be receiving the older person’s referral to confirm that they will accept the referral. A referral should not be transferred before confirmation has been obtained that it will be accepted by the receiving assessment organisation. This ensures that the older person does not experience any delay in having an assessment.</w:t>
      </w:r>
    </w:p>
    <w:p w14:paraId="1ACDD58F" w14:textId="5B189BCF" w:rsidR="0016744D" w:rsidRPr="000F6CD1" w:rsidRDefault="003600C6" w:rsidP="00AD2CE5">
      <w:pPr>
        <w:pStyle w:val="H3"/>
      </w:pPr>
      <w:bookmarkStart w:id="294" w:name="_Toc204329533"/>
      <w:r>
        <w:rPr>
          <w:iCs/>
          <w:lang w:eastAsia="ko-KR"/>
        </w:rPr>
        <w:drawing>
          <wp:anchor distT="0" distB="0" distL="114300" distR="114300" simplePos="0" relativeHeight="251658281" behindDoc="0" locked="0" layoutInCell="1" allowOverlap="1" wp14:anchorId="687BD5E2" wp14:editId="17481069">
            <wp:simplePos x="0" y="0"/>
            <wp:positionH relativeFrom="margin">
              <wp:posOffset>37677</wp:posOffset>
            </wp:positionH>
            <wp:positionV relativeFrom="margin">
              <wp:posOffset>3615267</wp:posOffset>
            </wp:positionV>
            <wp:extent cx="457200" cy="506095"/>
            <wp:effectExtent l="0" t="0" r="0" b="8255"/>
            <wp:wrapSquare wrapText="bothSides"/>
            <wp:docPr id="77902361" name="Picture 74" descr="A bell with an exclamation mark that denotes a significant change in information from version 8.2 of the Aged Care Assessment Manu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2361" name="Picture 74" descr="A bell with an exclamation mark that denotes a significant change in information from version 8.2 of the Aged Care Assessment Manual.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16744D" w:rsidRPr="000F6CD1">
        <w:t>Rejecting a referral</w:t>
      </w:r>
      <w:bookmarkEnd w:id="294"/>
      <w:r w:rsidR="0016744D" w:rsidRPr="000F6CD1">
        <w:t xml:space="preserve"> </w:t>
      </w:r>
    </w:p>
    <w:p w14:paraId="7070FD52" w14:textId="0AFB782D" w:rsidR="00006D09" w:rsidRPr="000F6CD1" w:rsidRDefault="0016744D" w:rsidP="00724D2F">
      <w:pPr>
        <w:spacing w:before="240" w:after="240" w:line="240" w:lineRule="auto"/>
      </w:pPr>
      <w:r w:rsidRPr="000F6CD1">
        <w:rPr>
          <w:iCs/>
          <w:lang w:eastAsia="ko-KR"/>
        </w:rPr>
        <w:t>Team leaders can reject a referral when first managing the referral or reject or transfer a referral after acceptance. Once an assessor starts the assessment, they will need to cancel it if the assessment should not proceed.</w:t>
      </w:r>
      <w:r w:rsidRPr="000F6CD1">
        <w:rPr>
          <w:lang w:eastAsia="ko-KR"/>
        </w:rPr>
        <w:t xml:space="preserve"> </w:t>
      </w:r>
    </w:p>
    <w:p w14:paraId="09A4AC2F" w14:textId="77777777" w:rsidR="00724D2F" w:rsidRPr="000F6CD1" w:rsidRDefault="00724D2F" w:rsidP="00806A21">
      <w:pPr>
        <w:pStyle w:val="Sub-headings"/>
      </w:pPr>
      <w:r w:rsidRPr="000F6CD1">
        <w:t xml:space="preserve">Note: </w:t>
      </w:r>
    </w:p>
    <w:p w14:paraId="6C501B34" w14:textId="4AACBAF7" w:rsidR="00724D2F" w:rsidRPr="000F6CD1" w:rsidRDefault="00724D2F" w:rsidP="00806A21">
      <w:pPr>
        <w:pStyle w:val="Sub-headings"/>
      </w:pPr>
      <w:r w:rsidRPr="000F6CD1">
        <w:t xml:space="preserve">If the assessment is going ahead, but needs to be reassigned to another assessor, it should not be cancelled. </w:t>
      </w:r>
    </w:p>
    <w:p w14:paraId="07B7A2F0" w14:textId="77777777" w:rsidR="0016744D" w:rsidRPr="000F6CD1" w:rsidRDefault="0016744D" w:rsidP="003D374A">
      <w:pPr>
        <w:pStyle w:val="Sub-headingnon-contentpage"/>
      </w:pPr>
      <w:r w:rsidRPr="000F6CD1">
        <w:t>If rejecting a referral, a rejection reason from the list of values needs to be selected and relevant comments added on the reason for the rejection where further explanation is required.</w:t>
      </w:r>
    </w:p>
    <w:p w14:paraId="2AF27993" w14:textId="2341DE2A" w:rsidR="0016744D" w:rsidRPr="00AF038F" w:rsidRDefault="0016744D" w:rsidP="00856600">
      <w:pPr>
        <w:pStyle w:val="Caption"/>
        <w:spacing w:before="240" w:after="240"/>
      </w:pPr>
      <w:r w:rsidRPr="00AF038F">
        <w:t xml:space="preserve">Table </w:t>
      </w:r>
      <w:r w:rsidR="00647AB5" w:rsidRPr="00AF038F">
        <w:t>1</w:t>
      </w:r>
      <w:r w:rsidR="00240A0C" w:rsidRPr="00AF038F">
        <w:t>9</w:t>
      </w:r>
      <w:r w:rsidRPr="00AF038F">
        <w:t>. Referral rejection - List of values</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Referral Rejection - List of Values "/>
        <w:tblDescription w:val="List of the balues which may be selected when rejecting an assessment referral "/>
      </w:tblPr>
      <w:tblGrid>
        <w:gridCol w:w="4371"/>
        <w:gridCol w:w="4276"/>
      </w:tblGrid>
      <w:tr w:rsidR="007C5952" w:rsidRPr="000F6CD1" w14:paraId="0C8E44EA" w14:textId="77777777" w:rsidTr="001B3475">
        <w:tc>
          <w:tcPr>
            <w:tcW w:w="4371" w:type="dxa"/>
          </w:tcPr>
          <w:p w14:paraId="332ED292" w14:textId="77777777" w:rsidR="0016744D" w:rsidRPr="000F6CD1" w:rsidRDefault="0016744D" w:rsidP="00856600">
            <w:pPr>
              <w:spacing w:before="240" w:after="240"/>
            </w:pPr>
            <w:bookmarkStart w:id="295" w:name="_Hlk79564507"/>
            <w:r w:rsidRPr="000F6CD1">
              <w:t>Client/family/rep unavailable</w:t>
            </w:r>
          </w:p>
        </w:tc>
        <w:tc>
          <w:tcPr>
            <w:tcW w:w="4276" w:type="dxa"/>
          </w:tcPr>
          <w:p w14:paraId="26510089" w14:textId="77777777" w:rsidR="0016744D" w:rsidRPr="000F6CD1" w:rsidRDefault="0016744D" w:rsidP="00856600">
            <w:pPr>
              <w:spacing w:before="240" w:after="240"/>
            </w:pPr>
            <w:r w:rsidRPr="000F6CD1">
              <w:t>Client age – alternate options</w:t>
            </w:r>
          </w:p>
        </w:tc>
      </w:tr>
      <w:tr w:rsidR="007C5952" w:rsidRPr="000F6CD1" w14:paraId="259F05FD" w14:textId="77777777" w:rsidTr="001B3475">
        <w:tc>
          <w:tcPr>
            <w:tcW w:w="4371" w:type="dxa"/>
          </w:tcPr>
          <w:p w14:paraId="48F680E0" w14:textId="77777777" w:rsidR="0016744D" w:rsidRPr="000F6CD1" w:rsidRDefault="0016744D" w:rsidP="00856600">
            <w:pPr>
              <w:spacing w:before="240" w:after="240"/>
            </w:pPr>
            <w:r w:rsidRPr="000F6CD1">
              <w:t>Duplicate client record</w:t>
            </w:r>
          </w:p>
        </w:tc>
        <w:tc>
          <w:tcPr>
            <w:tcW w:w="4276" w:type="dxa"/>
          </w:tcPr>
          <w:p w14:paraId="33BAF03C" w14:textId="77777777" w:rsidR="0016744D" w:rsidRPr="000F6CD1" w:rsidRDefault="0016744D" w:rsidP="00856600">
            <w:pPr>
              <w:spacing w:before="240" w:after="240"/>
            </w:pPr>
            <w:r w:rsidRPr="000F6CD1">
              <w:t>Client does not consent</w:t>
            </w:r>
          </w:p>
        </w:tc>
      </w:tr>
      <w:tr w:rsidR="007C5952" w:rsidRPr="000F6CD1" w14:paraId="7709D552" w14:textId="77777777" w:rsidTr="001B3475">
        <w:tc>
          <w:tcPr>
            <w:tcW w:w="4371" w:type="dxa"/>
          </w:tcPr>
          <w:p w14:paraId="60B58CBB" w14:textId="77777777" w:rsidR="0016744D" w:rsidRPr="000F6CD1" w:rsidRDefault="0016744D" w:rsidP="00856600">
            <w:pPr>
              <w:spacing w:before="240" w:after="240"/>
            </w:pPr>
            <w:r w:rsidRPr="000F6CD1">
              <w:t>Interpreter not available</w:t>
            </w:r>
          </w:p>
        </w:tc>
        <w:tc>
          <w:tcPr>
            <w:tcW w:w="4276" w:type="dxa"/>
          </w:tcPr>
          <w:p w14:paraId="2FE4C943" w14:textId="77777777" w:rsidR="0016744D" w:rsidRPr="000F6CD1" w:rsidRDefault="0016744D" w:rsidP="00856600">
            <w:pPr>
              <w:spacing w:before="240" w:after="240"/>
            </w:pPr>
            <w:r w:rsidRPr="000F6CD1">
              <w:t>Client deceased</w:t>
            </w:r>
            <w:r w:rsidRPr="000F6CD1">
              <w:tab/>
            </w:r>
          </w:p>
        </w:tc>
      </w:tr>
      <w:tr w:rsidR="007C5952" w:rsidRPr="000F6CD1" w14:paraId="567893A3" w14:textId="77777777" w:rsidTr="001B3475">
        <w:tc>
          <w:tcPr>
            <w:tcW w:w="4371" w:type="dxa"/>
          </w:tcPr>
          <w:p w14:paraId="4F499DA7" w14:textId="77777777" w:rsidR="0016744D" w:rsidRPr="000F6CD1" w:rsidRDefault="0016744D" w:rsidP="00856600">
            <w:pPr>
              <w:spacing w:before="240" w:after="240"/>
            </w:pPr>
            <w:r w:rsidRPr="000F6CD1">
              <w:t>Unable to contact client</w:t>
            </w:r>
          </w:p>
        </w:tc>
        <w:tc>
          <w:tcPr>
            <w:tcW w:w="4276" w:type="dxa"/>
          </w:tcPr>
          <w:p w14:paraId="5631FB0A" w14:textId="77777777" w:rsidR="0016744D" w:rsidRPr="000F6CD1" w:rsidRDefault="0016744D" w:rsidP="00856600">
            <w:pPr>
              <w:spacing w:before="240" w:after="240"/>
            </w:pPr>
            <w:r w:rsidRPr="000F6CD1">
              <w:t>Clinical staff not available</w:t>
            </w:r>
          </w:p>
        </w:tc>
      </w:tr>
      <w:tr w:rsidR="007C5952" w:rsidRPr="000F6CD1" w14:paraId="444C1C2D" w14:textId="77777777" w:rsidTr="001B3475">
        <w:tc>
          <w:tcPr>
            <w:tcW w:w="4371" w:type="dxa"/>
          </w:tcPr>
          <w:p w14:paraId="6AC4A85B" w14:textId="77777777" w:rsidR="0016744D" w:rsidRPr="000F6CD1" w:rsidRDefault="0016744D" w:rsidP="00856600">
            <w:pPr>
              <w:spacing w:before="240" w:after="240"/>
            </w:pPr>
            <w:r w:rsidRPr="000F6CD1">
              <w:t>Outside assessment region</w:t>
            </w:r>
          </w:p>
        </w:tc>
        <w:tc>
          <w:tcPr>
            <w:tcW w:w="4276" w:type="dxa"/>
          </w:tcPr>
          <w:p w14:paraId="157BAA97" w14:textId="77777777" w:rsidR="0016744D" w:rsidRPr="000F6CD1" w:rsidRDefault="0016744D" w:rsidP="00856600">
            <w:pPr>
              <w:spacing w:before="240" w:after="240"/>
            </w:pPr>
            <w:r w:rsidRPr="000F6CD1">
              <w:t>Client prefers a FNAO</w:t>
            </w:r>
          </w:p>
        </w:tc>
      </w:tr>
      <w:tr w:rsidR="007C5952" w:rsidRPr="000F6CD1" w14:paraId="026B8315" w14:textId="77777777" w:rsidTr="001B3475">
        <w:tc>
          <w:tcPr>
            <w:tcW w:w="4371" w:type="dxa"/>
          </w:tcPr>
          <w:p w14:paraId="36E1C277" w14:textId="77777777" w:rsidR="0016744D" w:rsidRPr="000F6CD1" w:rsidRDefault="0016744D" w:rsidP="00856600">
            <w:pPr>
              <w:spacing w:before="240" w:after="240"/>
            </w:pPr>
            <w:r w:rsidRPr="000F6CD1">
              <w:lastRenderedPageBreak/>
              <w:t>Assessment no longer required</w:t>
            </w:r>
          </w:p>
        </w:tc>
        <w:tc>
          <w:tcPr>
            <w:tcW w:w="4276" w:type="dxa"/>
          </w:tcPr>
          <w:p w14:paraId="0DEE1A16" w14:textId="77777777" w:rsidR="0016744D" w:rsidRPr="000F6CD1" w:rsidRDefault="0016744D" w:rsidP="00856600">
            <w:pPr>
              <w:spacing w:before="240" w:after="240"/>
            </w:pPr>
            <w:r w:rsidRPr="000F6CD1">
              <w:t>Hospital assessment required</w:t>
            </w:r>
          </w:p>
        </w:tc>
      </w:tr>
      <w:tr w:rsidR="007C5952" w:rsidRPr="000F6CD1" w14:paraId="7FE1E9AB" w14:textId="77777777" w:rsidTr="001B3475">
        <w:tc>
          <w:tcPr>
            <w:tcW w:w="4371" w:type="dxa"/>
          </w:tcPr>
          <w:p w14:paraId="71905BDF" w14:textId="77777777" w:rsidR="0016744D" w:rsidRPr="000F6CD1" w:rsidRDefault="0016744D" w:rsidP="00856600">
            <w:pPr>
              <w:spacing w:before="240" w:after="240"/>
            </w:pPr>
            <w:r w:rsidRPr="000F6CD1">
              <w:t>Care approval meets needs (the client is receiving aged care services and they are sufficient)</w:t>
            </w:r>
          </w:p>
        </w:tc>
        <w:tc>
          <w:tcPr>
            <w:tcW w:w="4276" w:type="dxa"/>
          </w:tcPr>
          <w:p w14:paraId="4A217067" w14:textId="15E313ED" w:rsidR="0016744D" w:rsidRPr="000F6CD1" w:rsidRDefault="0016744D" w:rsidP="00856600">
            <w:pPr>
              <w:spacing w:before="240" w:after="240"/>
            </w:pPr>
            <w:r w:rsidRPr="000F6CD1">
              <w:t xml:space="preserve">Client </w:t>
            </w:r>
            <w:r w:rsidR="00B7235B" w:rsidRPr="000F6CD1">
              <w:t>prefers</w:t>
            </w:r>
            <w:r w:rsidRPr="000F6CD1">
              <w:t xml:space="preserve"> later assessment</w:t>
            </w:r>
          </w:p>
        </w:tc>
      </w:tr>
      <w:tr w:rsidR="007C5952" w:rsidRPr="000F6CD1" w14:paraId="3BBD3F75" w14:textId="77777777" w:rsidTr="001B3475">
        <w:tc>
          <w:tcPr>
            <w:tcW w:w="4371" w:type="dxa"/>
          </w:tcPr>
          <w:p w14:paraId="18CE458D" w14:textId="77777777" w:rsidR="0016744D" w:rsidRPr="000F6CD1" w:rsidRDefault="0016744D" w:rsidP="00856600">
            <w:pPr>
              <w:spacing w:before="240" w:after="240"/>
            </w:pPr>
            <w:r w:rsidRPr="000F6CD1">
              <w:t>Client medically unstable</w:t>
            </w:r>
          </w:p>
        </w:tc>
        <w:tc>
          <w:tcPr>
            <w:tcW w:w="4276" w:type="dxa"/>
          </w:tcPr>
          <w:p w14:paraId="3C4EF296" w14:textId="77777777" w:rsidR="0016744D" w:rsidRPr="000F6CD1" w:rsidRDefault="0016744D" w:rsidP="00856600">
            <w:pPr>
              <w:spacing w:before="240" w:after="240"/>
            </w:pPr>
            <w:r w:rsidRPr="000F6CD1">
              <w:t>Other</w:t>
            </w:r>
          </w:p>
        </w:tc>
      </w:tr>
    </w:tbl>
    <w:bookmarkEnd w:id="295"/>
    <w:p w14:paraId="67459CBB" w14:textId="77777777" w:rsidR="00724D2F" w:rsidRPr="000F6CD1" w:rsidRDefault="0016744D" w:rsidP="00806A21">
      <w:pPr>
        <w:pStyle w:val="Sub-headings"/>
      </w:pPr>
      <w:r w:rsidRPr="000F6CD1">
        <w:t xml:space="preserve">Note: </w:t>
      </w:r>
    </w:p>
    <w:p w14:paraId="6638329C" w14:textId="32214A14" w:rsidR="0016744D" w:rsidRPr="000F6CD1" w:rsidRDefault="0016744D" w:rsidP="00806A21">
      <w:pPr>
        <w:pStyle w:val="Sub-headings"/>
      </w:pPr>
      <w:r w:rsidRPr="000F6CD1">
        <w:t>The department monitors the rejected referral rates and rejection reasons</w:t>
      </w:r>
      <w:r w:rsidR="00FC6666" w:rsidRPr="000F6CD1">
        <w:t>, including when the ‘other’ rejection reason is</w:t>
      </w:r>
      <w:r w:rsidR="00FC5F74" w:rsidRPr="000F6CD1">
        <w:t xml:space="preserve"> </w:t>
      </w:r>
      <w:r w:rsidR="004B079D" w:rsidRPr="000F6CD1">
        <w:t>used.</w:t>
      </w:r>
    </w:p>
    <w:p w14:paraId="14FA72FA" w14:textId="77777777" w:rsidR="0016744D" w:rsidRPr="000F6CD1" w:rsidRDefault="0016744D" w:rsidP="00856600">
      <w:pPr>
        <w:spacing w:before="240" w:after="240" w:line="240" w:lineRule="auto"/>
        <w:rPr>
          <w:lang w:eastAsia="ko-KR"/>
        </w:rPr>
      </w:pPr>
      <w:r w:rsidRPr="000F6CD1">
        <w:t xml:space="preserve">Referral rejection decisions need to align with good practice </w:t>
      </w:r>
      <w:r w:rsidRPr="000F6CD1">
        <w:rPr>
          <w:lang w:eastAsia="ko-KR"/>
        </w:rPr>
        <w:t>and place the older person’s interests at the centre of the decision.</w:t>
      </w:r>
      <w:r w:rsidRPr="000F6CD1">
        <w:t xml:space="preserve"> Referrals should only be rejected after careful consideration and for valid reasons. </w:t>
      </w:r>
    </w:p>
    <w:p w14:paraId="7150B39E" w14:textId="77777777" w:rsidR="008E6667" w:rsidRPr="000F6CD1" w:rsidRDefault="00F93FFE" w:rsidP="008817F0">
      <w:pPr>
        <w:spacing w:before="240" w:after="240" w:line="240" w:lineRule="auto"/>
      </w:pPr>
      <w:r w:rsidRPr="000F6CD1">
        <w:t xml:space="preserve">Assessors must make a minimum </w:t>
      </w:r>
      <w:r w:rsidR="001C36C0" w:rsidRPr="000F6CD1">
        <w:t xml:space="preserve">of </w:t>
      </w:r>
      <w:r w:rsidR="001C36C0" w:rsidRPr="007131CB">
        <w:rPr>
          <w:b/>
          <w:bCs/>
        </w:rPr>
        <w:t>three</w:t>
      </w:r>
      <w:r w:rsidR="001C36C0" w:rsidRPr="000F6CD1">
        <w:t xml:space="preserve"> attempts to contact </w:t>
      </w:r>
      <w:r w:rsidR="00CB1C25" w:rsidRPr="000F6CD1">
        <w:t xml:space="preserve">the older person and/or their registered supporter or primary contact via </w:t>
      </w:r>
      <w:r w:rsidR="00CB1C25" w:rsidRPr="007131CB">
        <w:rPr>
          <w:b/>
          <w:bCs/>
        </w:rPr>
        <w:t>telephone</w:t>
      </w:r>
      <w:r w:rsidR="00CB1C25" w:rsidRPr="000F6CD1">
        <w:t xml:space="preserve">. </w:t>
      </w:r>
    </w:p>
    <w:p w14:paraId="6997E7E6" w14:textId="77777777" w:rsidR="003C3CDA" w:rsidRPr="007131CB" w:rsidRDefault="00CB1C25" w:rsidP="007F7DF0">
      <w:pPr>
        <w:pStyle w:val="ListParagraph"/>
        <w:numPr>
          <w:ilvl w:val="0"/>
          <w:numId w:val="59"/>
        </w:numPr>
        <w:spacing w:before="240" w:after="240" w:line="240" w:lineRule="auto"/>
        <w:ind w:left="567" w:hanging="284"/>
        <w:rPr>
          <w:szCs w:val="20"/>
        </w:rPr>
      </w:pPr>
      <w:r w:rsidRPr="000F6CD1">
        <w:t xml:space="preserve">These attempts must have been made over the KPI timeframe set for the older person based on the type and priority of the referral </w:t>
      </w:r>
      <w:r w:rsidR="00AA67E9" w:rsidRPr="000F6CD1">
        <w:t>(</w:t>
      </w:r>
      <w:r w:rsidRPr="000F6CD1">
        <w:t xml:space="preserve">i.e. </w:t>
      </w:r>
      <w:r w:rsidR="00AA67E9" w:rsidRPr="000F6CD1">
        <w:t>three</w:t>
      </w:r>
      <w:r w:rsidRPr="000F6CD1">
        <w:t xml:space="preserve"> phone attempts must be made to contact a high priority home support referral over a 10-day period, a medium </w:t>
      </w:r>
      <w:r w:rsidRPr="000F6CD1">
        <w:rPr>
          <w:lang w:eastAsia="ko-KR"/>
        </w:rPr>
        <w:t>priority</w:t>
      </w:r>
      <w:r w:rsidRPr="000F6CD1">
        <w:t xml:space="preserve"> home support referral must be undertaken over 14 days etc.</w:t>
      </w:r>
      <w:r w:rsidR="003C3CDA" w:rsidRPr="000F6CD1">
        <w:t>)</w:t>
      </w:r>
      <w:r w:rsidRPr="000F6CD1">
        <w:t xml:space="preserve"> </w:t>
      </w:r>
    </w:p>
    <w:p w14:paraId="1D5B3BD5" w14:textId="103C07B2" w:rsidR="008817F0" w:rsidRPr="007131CB" w:rsidRDefault="003C3CDA" w:rsidP="007F7DF0">
      <w:pPr>
        <w:pStyle w:val="ListParagraph"/>
        <w:numPr>
          <w:ilvl w:val="0"/>
          <w:numId w:val="59"/>
        </w:numPr>
        <w:spacing w:before="240" w:after="240" w:line="240" w:lineRule="auto"/>
        <w:ind w:left="567" w:hanging="284"/>
        <w:rPr>
          <w:szCs w:val="20"/>
        </w:rPr>
      </w:pPr>
      <w:r w:rsidRPr="000F6CD1">
        <w:t>A</w:t>
      </w:r>
      <w:r w:rsidR="00CB1C25" w:rsidRPr="000F6CD1">
        <w:t xml:space="preserve">ny number of other forms of contact e.g. text messages, email, can be used, in </w:t>
      </w:r>
      <w:r w:rsidR="00CB1C25" w:rsidRPr="000F6CD1">
        <w:rPr>
          <w:lang w:eastAsia="ko-KR"/>
        </w:rPr>
        <w:t>conjunction</w:t>
      </w:r>
      <w:r w:rsidR="00CB1C25" w:rsidRPr="000F6CD1">
        <w:t xml:space="preserve"> with the minimum of </w:t>
      </w:r>
      <w:r w:rsidRPr="000F6CD1">
        <w:t>three</w:t>
      </w:r>
      <w:r w:rsidR="00CB1C25" w:rsidRPr="000F6CD1">
        <w:t xml:space="preserve"> phone attempts. All contact attempts must be documented.</w:t>
      </w:r>
    </w:p>
    <w:p w14:paraId="5C202323" w14:textId="6E9CB645" w:rsidR="004D57F7" w:rsidRPr="000F6CD1" w:rsidRDefault="004D57F7" w:rsidP="00B9328D">
      <w:pPr>
        <w:pStyle w:val="ListParagraph"/>
        <w:numPr>
          <w:ilvl w:val="0"/>
          <w:numId w:val="59"/>
        </w:numPr>
        <w:spacing w:before="240" w:after="240" w:line="240" w:lineRule="auto"/>
        <w:ind w:left="567" w:hanging="284"/>
        <w:rPr>
          <w:rFonts w:eastAsiaTheme="minorHAnsi"/>
        </w:rPr>
      </w:pPr>
      <w:r w:rsidRPr="000F6CD1">
        <w:rPr>
          <w:rFonts w:eastAsia="Times New Roman"/>
        </w:rPr>
        <w:t xml:space="preserve">For clients who have special needs or maybe high risk, e.g. identified cognitive and/or hearing </w:t>
      </w:r>
      <w:r w:rsidRPr="000F6CD1">
        <w:rPr>
          <w:lang w:eastAsia="ko-KR"/>
        </w:rPr>
        <w:t>impairment</w:t>
      </w:r>
      <w:r w:rsidRPr="000F6CD1">
        <w:rPr>
          <w:rFonts w:eastAsia="Times New Roman"/>
        </w:rPr>
        <w:t xml:space="preserve">, no informal supports, it is expected that a </w:t>
      </w:r>
      <w:r w:rsidRPr="000F6CD1">
        <w:rPr>
          <w:rFonts w:eastAsia="Times New Roman"/>
          <w:b/>
          <w:bCs/>
        </w:rPr>
        <w:t xml:space="preserve">minimum of </w:t>
      </w:r>
      <w:r w:rsidR="00AB0448" w:rsidRPr="000F6CD1">
        <w:rPr>
          <w:rFonts w:eastAsia="Times New Roman"/>
          <w:b/>
          <w:bCs/>
        </w:rPr>
        <w:t>five</w:t>
      </w:r>
      <w:r w:rsidRPr="000F6CD1">
        <w:rPr>
          <w:rFonts w:eastAsia="Times New Roman"/>
          <w:b/>
          <w:bCs/>
        </w:rPr>
        <w:t xml:space="preserve"> attempts</w:t>
      </w:r>
      <w:r w:rsidRPr="000F6CD1">
        <w:rPr>
          <w:rFonts w:eastAsia="Times New Roman"/>
        </w:rPr>
        <w:t xml:space="preserve"> must be made to contact the older person and/or their registered supporter or primary contact. </w:t>
      </w:r>
      <w:r w:rsidRPr="000F6CD1">
        <w:t xml:space="preserve">These attempts </w:t>
      </w:r>
      <w:r w:rsidRPr="000F6CD1">
        <w:rPr>
          <w:lang w:eastAsia="ko-KR"/>
        </w:rPr>
        <w:t>must</w:t>
      </w:r>
      <w:r w:rsidRPr="000F6CD1">
        <w:t xml:space="preserve"> include a minimum of 3 phone calls, one text message and one email, all of which are to be undertaken within the KPI timeframe for the type and priority of referral. All contact attempts must be documented.</w:t>
      </w:r>
    </w:p>
    <w:p w14:paraId="4D8EFB9D" w14:textId="77777777" w:rsidR="007F1FE4" w:rsidRPr="000F6CD1" w:rsidRDefault="007F1FE4" w:rsidP="007F1FE4">
      <w:pPr>
        <w:pStyle w:val="ListParagraph"/>
        <w:numPr>
          <w:ilvl w:val="0"/>
          <w:numId w:val="59"/>
        </w:numPr>
        <w:spacing w:before="240" w:after="240" w:line="240" w:lineRule="auto"/>
        <w:ind w:left="567" w:hanging="284"/>
        <w:rPr>
          <w:rFonts w:ascii="Aptos" w:eastAsia="Times New Roman" w:hAnsi="Aptos" w:cs="Aptos"/>
          <w:sz w:val="24"/>
        </w:rPr>
      </w:pPr>
      <w:r w:rsidRPr="000F6CD1">
        <w:rPr>
          <w:rFonts w:eastAsia="Times New Roman"/>
        </w:rPr>
        <w:t>After the required number of contact attempts has been made, a letter must be provided advising the older person and their registered supporter advising how to reactivate their assessment referral request, or informing the older person and their registered supporter (and appointed decision maker, if they have one) if they are rejecting, transferring or cancelling their referral (including an explanation of the reason/s). This letter must be uploaded to the client record.</w:t>
      </w:r>
    </w:p>
    <w:p w14:paraId="15828DB8" w14:textId="587650A0" w:rsidR="00AB7834" w:rsidRDefault="007F1FE4" w:rsidP="00856600">
      <w:pPr>
        <w:pStyle w:val="ListParagraph"/>
        <w:numPr>
          <w:ilvl w:val="0"/>
          <w:numId w:val="59"/>
        </w:numPr>
        <w:spacing w:before="240" w:after="240" w:line="240" w:lineRule="auto"/>
        <w:ind w:left="567" w:hanging="284"/>
        <w:rPr>
          <w:rFonts w:eastAsia="Times New Roman"/>
        </w:rPr>
      </w:pPr>
      <w:r w:rsidRPr="000F6CD1">
        <w:rPr>
          <w:rFonts w:eastAsia="Times New Roman"/>
        </w:rPr>
        <w:t>Where the older person has been admitted to hospital, the referral should only be rejected once the assessor has confirmed that an assessment will take place while the older person is in hospital. AOs need to be cautious before rejecting these referrals as in some cases the older person may still require an assessment once released from hospital</w:t>
      </w:r>
      <w:r w:rsidR="00DE60CF" w:rsidRPr="000F6CD1">
        <w:rPr>
          <w:rFonts w:eastAsia="Times New Roman"/>
        </w:rPr>
        <w:t xml:space="preserve"> (</w:t>
      </w:r>
      <w:r w:rsidRPr="000F6CD1">
        <w:rPr>
          <w:rFonts w:eastAsia="Times New Roman"/>
        </w:rPr>
        <w:t>so they do not have to reapply and be put on a wait list again</w:t>
      </w:r>
      <w:r w:rsidR="00DE60CF" w:rsidRPr="000F6CD1">
        <w:rPr>
          <w:rFonts w:eastAsia="Times New Roman"/>
        </w:rPr>
        <w:t>)</w:t>
      </w:r>
      <w:r w:rsidRPr="000F6CD1">
        <w:rPr>
          <w:rFonts w:eastAsia="Times New Roman"/>
        </w:rPr>
        <w:t>.</w:t>
      </w:r>
    </w:p>
    <w:p w14:paraId="43C4301B" w14:textId="10A7830C" w:rsidR="008817F0" w:rsidRPr="00AB7834" w:rsidRDefault="00AB7834" w:rsidP="00AB7834">
      <w:pPr>
        <w:rPr>
          <w:rFonts w:eastAsia="Times New Roman"/>
        </w:rPr>
      </w:pPr>
      <w:r>
        <w:rPr>
          <w:rFonts w:eastAsia="Times New Roman"/>
        </w:rPr>
        <w:br w:type="page"/>
      </w:r>
    </w:p>
    <w:p w14:paraId="67198E4D" w14:textId="3178E1B8" w:rsidR="0016744D" w:rsidRPr="000F6CD1" w:rsidRDefault="008817F0" w:rsidP="00856600">
      <w:pPr>
        <w:pStyle w:val="NumberedList"/>
        <w:spacing w:before="240" w:after="240" w:line="240" w:lineRule="auto"/>
        <w:rPr>
          <w:lang w:val="en-AU" w:eastAsia="ko-KR"/>
        </w:rPr>
      </w:pPr>
      <w:r w:rsidRPr="000F6CD1">
        <w:rPr>
          <w:lang w:val="en-AU" w:eastAsia="ko-KR"/>
        </w:rPr>
        <w:lastRenderedPageBreak/>
        <w:t>Otherwise, t</w:t>
      </w:r>
      <w:r w:rsidR="0016744D" w:rsidRPr="000F6CD1">
        <w:rPr>
          <w:lang w:val="en-AU" w:eastAsia="ko-KR"/>
        </w:rPr>
        <w:t xml:space="preserve">he following types of situations are examples where rejecting a referral or cancelling the assessment may be required: </w:t>
      </w:r>
    </w:p>
    <w:p w14:paraId="5A7503A0" w14:textId="77777777" w:rsidR="0016744D" w:rsidRPr="000F6CD1" w:rsidRDefault="0016744D" w:rsidP="00DF3F6B">
      <w:pPr>
        <w:pStyle w:val="ListParagraph"/>
        <w:numPr>
          <w:ilvl w:val="0"/>
          <w:numId w:val="59"/>
        </w:numPr>
        <w:spacing w:before="240" w:after="240" w:line="240" w:lineRule="auto"/>
        <w:ind w:left="567" w:hanging="284"/>
        <w:rPr>
          <w:lang w:eastAsia="ko-KR"/>
        </w:rPr>
      </w:pPr>
      <w:r w:rsidRPr="000F6CD1">
        <w:t>The assessor is unable to transfer the referral to another assessment organisation.</w:t>
      </w:r>
    </w:p>
    <w:p w14:paraId="5619014B" w14:textId="77777777" w:rsidR="0016744D" w:rsidRPr="000F6CD1" w:rsidRDefault="0016744D" w:rsidP="00DF3F6B">
      <w:pPr>
        <w:pStyle w:val="ListParagraph"/>
        <w:numPr>
          <w:ilvl w:val="0"/>
          <w:numId w:val="59"/>
        </w:numPr>
        <w:spacing w:before="240" w:after="240" w:line="240" w:lineRule="auto"/>
        <w:ind w:left="567" w:hanging="284"/>
        <w:rPr>
          <w:lang w:eastAsia="ko-KR"/>
        </w:rPr>
      </w:pPr>
      <w:r w:rsidRPr="000F6CD1">
        <w:rPr>
          <w:lang w:eastAsia="ko-KR"/>
        </w:rPr>
        <w:t xml:space="preserve">A referral may be rejected if it is outside the assessment region, or the older person does not consent to the assessment. An incorrect referral priority is not a valid reason to reject a referral. </w:t>
      </w:r>
    </w:p>
    <w:p w14:paraId="185370DE" w14:textId="77777777" w:rsidR="0016744D" w:rsidRPr="000F6CD1" w:rsidRDefault="0016744D" w:rsidP="00DF3F6B">
      <w:pPr>
        <w:pStyle w:val="ListParagraph"/>
        <w:numPr>
          <w:ilvl w:val="0"/>
          <w:numId w:val="59"/>
        </w:numPr>
        <w:spacing w:before="240" w:after="240" w:line="240" w:lineRule="auto"/>
        <w:ind w:left="567" w:hanging="284"/>
        <w:rPr>
          <w:lang w:eastAsia="ko-KR"/>
        </w:rPr>
      </w:pPr>
      <w:r w:rsidRPr="000F6CD1">
        <w:rPr>
          <w:lang w:eastAsia="ko-KR"/>
        </w:rPr>
        <w:t xml:space="preserve">The older person has been admitted to hospital so the assessment is no longer required. </w:t>
      </w:r>
    </w:p>
    <w:p w14:paraId="541DA739" w14:textId="77777777" w:rsidR="0016744D" w:rsidRPr="000F6CD1" w:rsidRDefault="0016744D" w:rsidP="00DF3F6B">
      <w:pPr>
        <w:pStyle w:val="ListParagraph"/>
        <w:numPr>
          <w:ilvl w:val="0"/>
          <w:numId w:val="59"/>
        </w:numPr>
        <w:spacing w:before="240" w:after="240" w:line="240" w:lineRule="auto"/>
        <w:ind w:left="567" w:hanging="284"/>
        <w:rPr>
          <w:lang w:eastAsia="ko-KR"/>
        </w:rPr>
      </w:pPr>
      <w:r w:rsidRPr="000F6CD1">
        <w:rPr>
          <w:lang w:eastAsia="ko-KR"/>
        </w:rPr>
        <w:t>The older person is medically unstable.</w:t>
      </w:r>
    </w:p>
    <w:p w14:paraId="10A526DA" w14:textId="77777777" w:rsidR="0016744D" w:rsidRPr="000F6CD1" w:rsidRDefault="0016744D" w:rsidP="00DF3F6B">
      <w:pPr>
        <w:pStyle w:val="ListParagraph"/>
        <w:numPr>
          <w:ilvl w:val="0"/>
          <w:numId w:val="59"/>
        </w:numPr>
        <w:spacing w:before="240" w:after="240" w:line="240" w:lineRule="auto"/>
        <w:ind w:left="567" w:hanging="284"/>
        <w:rPr>
          <w:lang w:eastAsia="ko-KR"/>
        </w:rPr>
      </w:pPr>
      <w:r w:rsidRPr="000F6CD1">
        <w:rPr>
          <w:lang w:eastAsia="ko-KR"/>
        </w:rPr>
        <w:t>The older person does not consent, withdraws their consent, is no longer seeking services and/or withdraws their application for assessment.</w:t>
      </w:r>
    </w:p>
    <w:p w14:paraId="2AD03750" w14:textId="77777777" w:rsidR="0016744D" w:rsidRPr="000F6CD1" w:rsidRDefault="0016744D" w:rsidP="00DF3F6B">
      <w:pPr>
        <w:pStyle w:val="ListParagraph"/>
        <w:numPr>
          <w:ilvl w:val="0"/>
          <w:numId w:val="59"/>
        </w:numPr>
        <w:spacing w:before="240" w:after="240" w:line="240" w:lineRule="auto"/>
        <w:ind w:left="567" w:hanging="283"/>
        <w:contextualSpacing w:val="0"/>
        <w:rPr>
          <w:szCs w:val="20"/>
        </w:rPr>
      </w:pPr>
      <w:r w:rsidRPr="000F6CD1">
        <w:rPr>
          <w:szCs w:val="20"/>
        </w:rPr>
        <w:t>The older person has passed away.</w:t>
      </w:r>
    </w:p>
    <w:p w14:paraId="10E6C1CC" w14:textId="77777777" w:rsidR="0016744D" w:rsidRPr="000F6CD1" w:rsidRDefault="0016744D" w:rsidP="00DF3F6B">
      <w:pPr>
        <w:pStyle w:val="ListParagraph"/>
        <w:numPr>
          <w:ilvl w:val="0"/>
          <w:numId w:val="59"/>
        </w:numPr>
        <w:spacing w:before="240" w:after="240" w:line="240" w:lineRule="auto"/>
        <w:ind w:left="567" w:hanging="283"/>
      </w:pPr>
      <w:r w:rsidRPr="000F6CD1">
        <w:t>There is a duplicate older person entry or a duplicate referral.</w:t>
      </w:r>
    </w:p>
    <w:p w14:paraId="5EE6B3C9" w14:textId="7E46D0E3" w:rsidR="00155ECE" w:rsidRPr="000F6CD1" w:rsidRDefault="0016744D" w:rsidP="004C0674">
      <w:pPr>
        <w:pStyle w:val="ListParagraph"/>
        <w:numPr>
          <w:ilvl w:val="0"/>
          <w:numId w:val="59"/>
        </w:numPr>
        <w:spacing w:before="240" w:after="240" w:line="240" w:lineRule="auto"/>
        <w:ind w:left="567" w:hanging="283"/>
        <w:contextualSpacing w:val="0"/>
        <w:rPr>
          <w:szCs w:val="20"/>
        </w:rPr>
      </w:pPr>
      <w:r w:rsidRPr="000F6CD1">
        <w:t>There is insufficient information to proceed with the referral</w:t>
      </w:r>
      <w:r w:rsidR="008E6667" w:rsidRPr="000F6CD1">
        <w:t>.</w:t>
      </w:r>
      <w:r w:rsidRPr="000F6CD1">
        <w:t xml:space="preserve"> </w:t>
      </w:r>
    </w:p>
    <w:p w14:paraId="64559184" w14:textId="0E3884D0" w:rsidR="0069351E" w:rsidRPr="000F6CD1" w:rsidDel="004C0674" w:rsidRDefault="0069351E" w:rsidP="007F4200">
      <w:pPr>
        <w:spacing w:before="240" w:after="240" w:line="240" w:lineRule="auto"/>
      </w:pPr>
      <w:r w:rsidRPr="000F6CD1" w:rsidDel="004C0674">
        <w:t>It is recognised that building rapport and trust with older Aboriginal and Torres Strait Islander clients may require multiple contact attempts, particularly for individuals who have experienced trauma or institutionalisation. Assessment organisations should make all reasonable efforts to engage with the client in a respectful and culturally safe manner</w:t>
      </w:r>
      <w:r w:rsidR="4763181A" w:rsidRPr="000F6CD1" w:rsidDel="004C0674">
        <w:t xml:space="preserve"> with their advocate if they have identified they are in contact with one</w:t>
      </w:r>
      <w:r w:rsidRPr="000F6CD1" w:rsidDel="004C0674">
        <w:t xml:space="preserve">. </w:t>
      </w:r>
    </w:p>
    <w:p w14:paraId="0EF971AC" w14:textId="771BF568" w:rsidR="0016744D" w:rsidRPr="000F6CD1" w:rsidDel="004C0674" w:rsidRDefault="0069351E" w:rsidP="007F4200">
      <w:pPr>
        <w:spacing w:before="240" w:after="240" w:line="240" w:lineRule="auto"/>
      </w:pPr>
      <w:r w:rsidRPr="000F6CD1" w:rsidDel="004C0674">
        <w:t xml:space="preserve">Aboriginal and Torres Strait </w:t>
      </w:r>
      <w:r w:rsidR="00472531" w:rsidRPr="000F6CD1" w:rsidDel="004C0674">
        <w:t xml:space="preserve">Assessment </w:t>
      </w:r>
      <w:r w:rsidRPr="000F6CD1" w:rsidDel="004C0674">
        <w:t xml:space="preserve">Organisations are encouraged to consider culturally safe engagement strategies, such as involving trusted agents like Elder Care Support </w:t>
      </w:r>
      <w:r w:rsidR="00FE7C4E" w:rsidRPr="000F6CD1">
        <w:t>w</w:t>
      </w:r>
      <w:r w:rsidR="00EA5966" w:rsidRPr="000F6CD1">
        <w:t>orkers</w:t>
      </w:r>
      <w:r w:rsidR="00EA5966" w:rsidRPr="000F6CD1" w:rsidDel="004C0674">
        <w:t xml:space="preserve"> </w:t>
      </w:r>
      <w:r w:rsidR="35450C8B" w:rsidRPr="000F6CD1" w:rsidDel="004C0674">
        <w:t>or other appropriate advocates</w:t>
      </w:r>
      <w:r w:rsidRPr="000F6CD1" w:rsidDel="004C0674">
        <w:t xml:space="preserve"> as well as arranging face to face contact where possible. </w:t>
      </w:r>
    </w:p>
    <w:p w14:paraId="7757597C" w14:textId="77777777" w:rsidR="00724D2F" w:rsidRPr="000F6CD1" w:rsidRDefault="0016744D" w:rsidP="00806A21">
      <w:pPr>
        <w:pStyle w:val="Sub-headings"/>
      </w:pPr>
      <w:r w:rsidRPr="000F6CD1">
        <w:t xml:space="preserve">Note: </w:t>
      </w:r>
    </w:p>
    <w:p w14:paraId="128A7CB3" w14:textId="5062A12F" w:rsidR="0016744D" w:rsidRPr="000F6CD1" w:rsidRDefault="0016744D" w:rsidP="00806A21">
      <w:pPr>
        <w:pStyle w:val="Sub-headings"/>
      </w:pPr>
      <w:r w:rsidRPr="71E2F12B">
        <w:t>Rejecting a referral should be used as a last resort. A transfer prior to the assessment is preferable to a rejection</w:t>
      </w:r>
      <w:r w:rsidR="00216AD6" w:rsidRPr="71E2F12B">
        <w:t xml:space="preserve"> to ensure a timely assessment</w:t>
      </w:r>
      <w:r w:rsidRPr="71E2F12B">
        <w:t xml:space="preserve">. </w:t>
      </w:r>
    </w:p>
    <w:p w14:paraId="65DE8EC1" w14:textId="6EAC116E" w:rsidR="0016744D" w:rsidRPr="000F6CD1" w:rsidRDefault="0016744D" w:rsidP="00806A21">
      <w:pPr>
        <w:pStyle w:val="Sub-headings"/>
      </w:pPr>
      <w:r w:rsidRPr="000F6CD1">
        <w:t>The rejection reason</w:t>
      </w:r>
      <w:r w:rsidRPr="000F6CD1">
        <w:rPr>
          <w:i/>
        </w:rPr>
        <w:t xml:space="preserve"> ‘Client prefers a FNAO</w:t>
      </w:r>
      <w:r w:rsidR="00A538CC" w:rsidRPr="000F6CD1">
        <w:rPr>
          <w:i/>
        </w:rPr>
        <w:t>,’</w:t>
      </w:r>
      <w:r w:rsidRPr="000F6CD1">
        <w:rPr>
          <w:i/>
        </w:rPr>
        <w:t xml:space="preserve"> </w:t>
      </w:r>
      <w:r w:rsidRPr="000F6CD1">
        <w:t>is available in the IT system</w:t>
      </w:r>
      <w:r w:rsidRPr="000F6CD1">
        <w:rPr>
          <w:i/>
        </w:rPr>
        <w:t xml:space="preserve">. </w:t>
      </w:r>
      <w:r w:rsidRPr="000F6CD1">
        <w:t xml:space="preserve">An older Aboriginal and Torres Strait Islander person </w:t>
      </w:r>
      <w:r w:rsidRPr="000F6CD1">
        <w:rPr>
          <w:u w:val="single"/>
        </w:rPr>
        <w:t>should not</w:t>
      </w:r>
      <w:r w:rsidRPr="000F6CD1">
        <w:t xml:space="preserve"> be rejected based on an older person’s preference unless it is a last resort. A transfer prior to the assessment is preferable to a rejection. </w:t>
      </w:r>
    </w:p>
    <w:p w14:paraId="26177701" w14:textId="03C77CD8" w:rsidR="0016744D" w:rsidRPr="000F6CD1" w:rsidRDefault="0016744D" w:rsidP="00806A21">
      <w:pPr>
        <w:pStyle w:val="Sub-headings"/>
      </w:pPr>
      <w:r w:rsidRPr="000F6CD1">
        <w:t>In instances where an Aboriginal and Torres Strait Islander older person is already booked for an assessment with a mainstream assessment organisation, but a</w:t>
      </w:r>
      <w:r w:rsidR="004B4263" w:rsidRPr="000F6CD1">
        <w:t>n</w:t>
      </w:r>
      <w:r w:rsidRPr="000F6CD1">
        <w:t xml:space="preserve"> Aboriginal and Torres Strait Islander service has recently become available, it is recommended that the assessor continue the assessment as planned with the agreement of the older person. The older person’s condition needs to be taken into consideration; that their health condition and care needs would not be adversely impacted by a delay in assessment if they were to be referred to another organisation.</w:t>
      </w:r>
    </w:p>
    <w:p w14:paraId="5CFB56A2" w14:textId="2F1FC9E8" w:rsidR="001E0126" w:rsidRPr="000F6CD1" w:rsidRDefault="0016744D" w:rsidP="00806A21">
      <w:pPr>
        <w:pStyle w:val="Sub-headings"/>
      </w:pPr>
      <w:r w:rsidRPr="000F6CD1">
        <w:t xml:space="preserve">A conversation to discuss this with the older person prior to the assessment is recommended, to ensure that they have choice and control and the ability to make decisions regarding their care. </w:t>
      </w:r>
    </w:p>
    <w:p w14:paraId="1D5D19C9" w14:textId="77777777" w:rsidR="00AF421B" w:rsidRDefault="00AF421B">
      <w:r>
        <w:br w:type="page"/>
      </w:r>
    </w:p>
    <w:p w14:paraId="3531C0B7" w14:textId="77777777" w:rsidR="0016744D" w:rsidRPr="000F6CD1" w:rsidRDefault="0016744D" w:rsidP="00856600">
      <w:pPr>
        <w:spacing w:before="240" w:after="240" w:line="240" w:lineRule="auto"/>
      </w:pPr>
      <w:r w:rsidRPr="000F6CD1">
        <w:lastRenderedPageBreak/>
        <w:t>In circumstances where the older person and/or their registered supporter or primary contact is unable to be contacted after a number of attempts, assessment organisations should have a procedure in place to manage the referral request. For example, this may cover:</w:t>
      </w:r>
    </w:p>
    <w:p w14:paraId="50BB00D9" w14:textId="77777777" w:rsidR="0016744D" w:rsidRPr="000F6CD1" w:rsidRDefault="0016744D" w:rsidP="00DF3F6B">
      <w:pPr>
        <w:pStyle w:val="ListParagraph"/>
        <w:numPr>
          <w:ilvl w:val="0"/>
          <w:numId w:val="59"/>
        </w:numPr>
        <w:spacing w:before="240" w:after="240" w:line="240" w:lineRule="auto"/>
        <w:ind w:left="568" w:hanging="284"/>
        <w:contextualSpacing w:val="0"/>
        <w:rPr>
          <w:szCs w:val="20"/>
        </w:rPr>
      </w:pPr>
      <w:r w:rsidRPr="000F6CD1">
        <w:rPr>
          <w:szCs w:val="20"/>
        </w:rPr>
        <w:t>the expected number of contact attempts (and documentation of attempts)</w:t>
      </w:r>
    </w:p>
    <w:p w14:paraId="311C72E7" w14:textId="77777777" w:rsidR="0016744D" w:rsidRPr="000F6CD1" w:rsidRDefault="0016744D" w:rsidP="00DF3F6B">
      <w:pPr>
        <w:pStyle w:val="ListParagraph"/>
        <w:numPr>
          <w:ilvl w:val="0"/>
          <w:numId w:val="59"/>
        </w:numPr>
        <w:spacing w:before="240" w:after="240" w:line="240" w:lineRule="auto"/>
        <w:ind w:left="568" w:hanging="284"/>
        <w:contextualSpacing w:val="0"/>
        <w:rPr>
          <w:szCs w:val="20"/>
          <w:lang w:eastAsia="ko-KR"/>
        </w:rPr>
      </w:pPr>
      <w:r w:rsidRPr="000F6CD1">
        <w:rPr>
          <w:szCs w:val="20"/>
          <w:lang w:eastAsia="ko-KR"/>
        </w:rPr>
        <w:t>who should be contacted</w:t>
      </w:r>
    </w:p>
    <w:p w14:paraId="2B70DB3D" w14:textId="77777777" w:rsidR="0016744D" w:rsidRPr="000F6CD1" w:rsidRDefault="0016744D" w:rsidP="00DF3F6B">
      <w:pPr>
        <w:pStyle w:val="ListParagraph"/>
        <w:numPr>
          <w:ilvl w:val="0"/>
          <w:numId w:val="59"/>
        </w:numPr>
        <w:spacing w:before="240" w:after="240" w:line="240" w:lineRule="auto"/>
        <w:ind w:left="568" w:hanging="284"/>
        <w:rPr>
          <w:lang w:eastAsia="ko-KR"/>
        </w:rPr>
      </w:pPr>
      <w:r w:rsidRPr="000F6CD1">
        <w:rPr>
          <w:lang w:eastAsia="ko-KR"/>
        </w:rPr>
        <w:t>ensuring special needs (</w:t>
      </w:r>
      <w:r w:rsidRPr="000F6CD1">
        <w:t>e.g., identified hearing impairment) have been considered</w:t>
      </w:r>
    </w:p>
    <w:p w14:paraId="0D8B2091" w14:textId="77777777" w:rsidR="00564B98" w:rsidRPr="000F6CD1" w:rsidRDefault="00564B98" w:rsidP="00A54EB5">
      <w:pPr>
        <w:pStyle w:val="ListParagraph"/>
        <w:spacing w:before="240" w:after="240" w:line="240" w:lineRule="auto"/>
        <w:ind w:left="568"/>
        <w:rPr>
          <w:lang w:eastAsia="ko-KR"/>
        </w:rPr>
      </w:pPr>
    </w:p>
    <w:p w14:paraId="23978C67" w14:textId="65661481" w:rsidR="0016744D" w:rsidRPr="000F6CD1" w:rsidRDefault="0016744D" w:rsidP="00DF3F6B">
      <w:pPr>
        <w:pStyle w:val="ListParagraph"/>
        <w:numPr>
          <w:ilvl w:val="0"/>
          <w:numId w:val="59"/>
        </w:numPr>
        <w:spacing w:before="240" w:after="240" w:line="240" w:lineRule="auto"/>
        <w:ind w:left="567" w:hanging="284"/>
        <w:rPr>
          <w:lang w:eastAsia="ko-KR"/>
        </w:rPr>
      </w:pPr>
      <w:r w:rsidRPr="000F6CD1">
        <w:t>whether, after a number of unsuccessful contact attempts, a letter is provided advising the older person</w:t>
      </w:r>
      <w:r w:rsidR="00C9116C" w:rsidRPr="000F6CD1">
        <w:t xml:space="preserve"> and their </w:t>
      </w:r>
      <w:r w:rsidRPr="000F6CD1">
        <w:t xml:space="preserve">registered supporter how to reactivate their assessment referral request or informing the older person and their registered supporter </w:t>
      </w:r>
      <w:r w:rsidR="00F52B8A" w:rsidRPr="000F6CD1">
        <w:t xml:space="preserve">(and appointed decision maker, if they have one) </w:t>
      </w:r>
      <w:r w:rsidRPr="000F6CD1">
        <w:t>if they are rejecting, transferring or cancelling their referral (including an explanation of the reason/s).</w:t>
      </w:r>
    </w:p>
    <w:p w14:paraId="07F20BB6" w14:textId="14236C92" w:rsidR="0016744D" w:rsidRPr="000F6CD1" w:rsidRDefault="0016744D" w:rsidP="00856600">
      <w:pPr>
        <w:spacing w:before="240" w:after="240" w:line="240" w:lineRule="auto"/>
        <w:rPr>
          <w:lang w:eastAsia="ko-KR"/>
        </w:rPr>
      </w:pPr>
      <w:r w:rsidRPr="000F6CD1">
        <w:t>The decision to reject a referral must be communicated to the older person/primary contact</w:t>
      </w:r>
      <w:r w:rsidR="00F52B8A" w:rsidRPr="000F6CD1">
        <w:t>/appointed decision maker</w:t>
      </w:r>
      <w:r w:rsidRPr="000F6CD1">
        <w:t xml:space="preserve"> with information about how to request an assessment in the future.</w:t>
      </w:r>
      <w:r w:rsidRPr="000F6CD1">
        <w:rPr>
          <w:rFonts w:asciiTheme="minorHAnsi" w:hAnsiTheme="minorHAnsi" w:cstheme="minorBidi"/>
        </w:rPr>
        <w:t xml:space="preserve"> </w:t>
      </w:r>
      <w:r w:rsidRPr="000F6CD1">
        <w:rPr>
          <w:lang w:eastAsia="ko-KR"/>
        </w:rPr>
        <w:t>Effective communication with the older person/registered supporter on a decision to reject the referral, and effective communication between assessors, assists with managing expectations and reducing complaints.</w:t>
      </w:r>
    </w:p>
    <w:p w14:paraId="6BB7F2BF" w14:textId="5F94CED2" w:rsidR="0016744D" w:rsidRPr="000F6CD1" w:rsidRDefault="0016744D" w:rsidP="00AD2CE5">
      <w:pPr>
        <w:pStyle w:val="H3"/>
        <w:rPr>
          <w:i/>
          <w:color w:val="434967"/>
          <w:spacing w:val="5"/>
          <w:szCs w:val="28"/>
        </w:rPr>
      </w:pPr>
      <w:bookmarkStart w:id="296" w:name="_Toc204329534"/>
      <w:r w:rsidRPr="000F6CD1">
        <w:t>Recall a referral</w:t>
      </w:r>
      <w:bookmarkEnd w:id="296"/>
    </w:p>
    <w:p w14:paraId="0AE87AFB" w14:textId="04E939A3" w:rsidR="0016744D" w:rsidRPr="000F6CD1" w:rsidRDefault="0016744D" w:rsidP="00856600">
      <w:pPr>
        <w:spacing w:before="240" w:after="240" w:line="240" w:lineRule="auto"/>
        <w:rPr>
          <w:lang w:eastAsia="ko-KR"/>
        </w:rPr>
      </w:pPr>
      <w:r w:rsidRPr="000F6CD1">
        <w:rPr>
          <w:lang w:eastAsia="ko-KR"/>
        </w:rPr>
        <w:t xml:space="preserve">Where a referral is issued </w:t>
      </w:r>
      <w:r w:rsidRPr="000F6CD1">
        <w:t xml:space="preserve">to the organisation inappropriately </w:t>
      </w:r>
      <w:r w:rsidRPr="000F6CD1">
        <w:rPr>
          <w:lang w:eastAsia="ko-KR"/>
        </w:rPr>
        <w:t>and is not at the status of ‘rejected’ or ‘transferred</w:t>
      </w:r>
      <w:r w:rsidR="006136BF" w:rsidRPr="000F6CD1">
        <w:rPr>
          <w:lang w:eastAsia="ko-KR"/>
        </w:rPr>
        <w:t>,’</w:t>
      </w:r>
      <w:r w:rsidRPr="000F6CD1">
        <w:rPr>
          <w:lang w:eastAsia="ko-KR"/>
        </w:rPr>
        <w:t xml:space="preserve"> </w:t>
      </w:r>
      <w:r w:rsidRPr="000F6CD1">
        <w:t xml:space="preserve">the team leader may request </w:t>
      </w:r>
      <w:r w:rsidR="000B7F9F" w:rsidRPr="000F6CD1">
        <w:t xml:space="preserve">to have the </w:t>
      </w:r>
      <w:r w:rsidR="000B5BBA" w:rsidRPr="000F6CD1">
        <w:t xml:space="preserve">referral recalled by contacting </w:t>
      </w:r>
      <w:r w:rsidRPr="000F6CD1">
        <w:t xml:space="preserve">the My Aged Care </w:t>
      </w:r>
      <w:r w:rsidR="00373E02" w:rsidRPr="000F6CD1">
        <w:t>Service Provider and Assessor Helpline</w:t>
      </w:r>
      <w:r w:rsidRPr="000F6CD1">
        <w:t xml:space="preserve"> </w:t>
      </w:r>
      <w:r w:rsidR="00A91A1F" w:rsidRPr="000F6CD1">
        <w:t>on</w:t>
      </w:r>
      <w:r w:rsidR="000A2A2F" w:rsidRPr="000F6CD1">
        <w:t xml:space="preserve"> 1800 836 799</w:t>
      </w:r>
      <w:r w:rsidRPr="000F6CD1">
        <w:t xml:space="preserve">. </w:t>
      </w:r>
      <w:r w:rsidR="000E40D7" w:rsidRPr="000F6CD1">
        <w:rPr>
          <w:lang w:eastAsia="ko-KR"/>
        </w:rPr>
        <w:t>Note, the team leader of the outlet will receive a system notification if a referral has been recalled.</w:t>
      </w:r>
    </w:p>
    <w:p w14:paraId="13C2B0C0" w14:textId="24A35CB7" w:rsidR="0016744D" w:rsidRPr="000F6CD1" w:rsidRDefault="0016744D" w:rsidP="00856600">
      <w:pPr>
        <w:spacing w:before="240" w:after="240" w:line="240" w:lineRule="auto"/>
      </w:pPr>
      <w:r w:rsidRPr="000F6CD1">
        <w:t>The</w:t>
      </w:r>
      <w:r w:rsidR="00A91A1F" w:rsidRPr="000F6CD1">
        <w:t xml:space="preserve"> My Aged Care Service Provider and Assessor helpline </w:t>
      </w:r>
      <w:r w:rsidR="00373E02" w:rsidRPr="000F6CD1">
        <w:t>can</w:t>
      </w:r>
      <w:r w:rsidRPr="000F6CD1">
        <w:t xml:space="preserve"> recall referrals </w:t>
      </w:r>
      <w:r w:rsidR="000E40D7" w:rsidRPr="000F6CD1">
        <w:t>that were</w:t>
      </w:r>
      <w:r w:rsidRPr="000F6CD1">
        <w:t>:</w:t>
      </w:r>
    </w:p>
    <w:p w14:paraId="2F0366C1" w14:textId="0BDDF58C" w:rsidR="0016744D" w:rsidRPr="000F6CD1" w:rsidRDefault="0016744D" w:rsidP="00DF3F6B">
      <w:pPr>
        <w:pStyle w:val="ListParagraph"/>
        <w:numPr>
          <w:ilvl w:val="0"/>
          <w:numId w:val="73"/>
        </w:numPr>
        <w:spacing w:before="240" w:after="240" w:line="240" w:lineRule="auto"/>
        <w:rPr>
          <w:sz w:val="20"/>
          <w:szCs w:val="20"/>
        </w:rPr>
      </w:pPr>
      <w:r w:rsidRPr="000F6CD1">
        <w:t>Sent in error by My Aged Care</w:t>
      </w:r>
      <w:r w:rsidR="001439A8" w:rsidRPr="000F6CD1">
        <w:t>.</w:t>
      </w:r>
      <w:r w:rsidRPr="000F6CD1">
        <w:t xml:space="preserve"> </w:t>
      </w:r>
    </w:p>
    <w:p w14:paraId="3089CC03" w14:textId="77777777" w:rsidR="0016744D" w:rsidRPr="000F6CD1" w:rsidRDefault="0016744D" w:rsidP="00DF3F6B">
      <w:pPr>
        <w:pStyle w:val="ListParagraph"/>
        <w:numPr>
          <w:ilvl w:val="0"/>
          <w:numId w:val="73"/>
        </w:numPr>
        <w:spacing w:before="240" w:after="240" w:line="240" w:lineRule="auto"/>
        <w:rPr>
          <w:sz w:val="20"/>
          <w:szCs w:val="20"/>
        </w:rPr>
      </w:pPr>
      <w:r w:rsidRPr="000F6CD1">
        <w:t>Sent to the wrong organisation and meets the requirements for transfer.</w:t>
      </w:r>
    </w:p>
    <w:p w14:paraId="716B430A" w14:textId="73F0116E" w:rsidR="0016744D" w:rsidRPr="000F6CD1" w:rsidRDefault="0016744D" w:rsidP="006647CE">
      <w:pPr>
        <w:pStyle w:val="h2"/>
        <w:rPr>
          <w:sz w:val="32"/>
          <w:szCs w:val="32"/>
        </w:rPr>
      </w:pPr>
      <w:bookmarkStart w:id="297" w:name="_Toc209188973"/>
      <w:bookmarkStart w:id="298" w:name="_Ref212733440"/>
      <w:bookmarkStart w:id="299" w:name="_Toc233282436"/>
      <w:bookmarkStart w:id="300" w:name="_Toc204329535"/>
      <w:bookmarkStart w:id="301" w:name="_Ref128153691"/>
      <w:bookmarkStart w:id="302" w:name="_Ref128153781"/>
      <w:bookmarkStart w:id="303" w:name="_Ref128155715"/>
      <w:bookmarkStart w:id="304" w:name="_Toc159226872"/>
      <w:bookmarkStart w:id="305" w:name="_Toc184402282"/>
      <w:bookmarkStart w:id="306" w:name="_Toc496022782"/>
      <w:bookmarkStart w:id="307" w:name="_Ref506979628"/>
      <w:bookmarkStart w:id="308" w:name="_Ref506979630"/>
      <w:bookmarkStart w:id="309" w:name="_Ref48657117"/>
      <w:bookmarkStart w:id="310" w:name="_Ref51429998"/>
      <w:bookmarkStart w:id="311" w:name="_Ref51430000"/>
      <w:bookmarkStart w:id="312" w:name="_Ref58420531"/>
      <w:r w:rsidRPr="000F6CD1">
        <w:t>Self-referrals</w:t>
      </w:r>
      <w:bookmarkEnd w:id="297"/>
      <w:bookmarkEnd w:id="298"/>
      <w:bookmarkEnd w:id="299"/>
      <w:r w:rsidRPr="000F6CD1">
        <w:t xml:space="preserve"> </w:t>
      </w:r>
    </w:p>
    <w:p w14:paraId="3AF7C9E0" w14:textId="77777777" w:rsidR="0016744D" w:rsidRPr="000F6CD1" w:rsidRDefault="0016744D" w:rsidP="00856600">
      <w:pPr>
        <w:spacing w:before="240" w:after="240" w:line="240" w:lineRule="auto"/>
      </w:pPr>
      <w:r w:rsidRPr="000F6CD1">
        <w:t>The circumstances in which an assessor can self-refer an assessment referral to themselves or their assessment organisation (and team leaders with a system assessor role) are limited to assessment referrals:</w:t>
      </w:r>
    </w:p>
    <w:p w14:paraId="4F0857F0"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in a hospital setting</w:t>
      </w:r>
    </w:p>
    <w:p w14:paraId="0E22698F"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in remote regions – (Monash Modified Model 6-7)</w:t>
      </w:r>
    </w:p>
    <w:p w14:paraId="59383E7B"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 xml:space="preserve">for Aboriginal and Torres Strait Islander people </w:t>
      </w:r>
    </w:p>
    <w:p w14:paraId="5DC1E2FA"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for older people at risk of or are experiencing homelessness</w:t>
      </w:r>
    </w:p>
    <w:p w14:paraId="722D790B"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vulnerable groups (e.g. experiencing or at risk of domestic or family violence or elder abuse, at risk of hospitalisation, primary carer is absent or non-existent)</w:t>
      </w:r>
    </w:p>
    <w:p w14:paraId="55898E3C" w14:textId="77777777" w:rsidR="0016744D" w:rsidRPr="000F6CD1" w:rsidRDefault="0016744D" w:rsidP="00DF3F6B">
      <w:pPr>
        <w:pStyle w:val="ListParagraph"/>
        <w:numPr>
          <w:ilvl w:val="0"/>
          <w:numId w:val="69"/>
        </w:numPr>
        <w:spacing w:before="240" w:after="240" w:line="240" w:lineRule="auto"/>
        <w:rPr>
          <w:szCs w:val="20"/>
        </w:rPr>
      </w:pPr>
      <w:r w:rsidRPr="000F6CD1">
        <w:rPr>
          <w:szCs w:val="20"/>
        </w:rPr>
        <w:t xml:space="preserve">End of Life </w:t>
      </w:r>
    </w:p>
    <w:p w14:paraId="7420BC4C" w14:textId="201541DD" w:rsidR="0016744D" w:rsidRPr="000F6CD1" w:rsidRDefault="0016744D" w:rsidP="00856600">
      <w:pPr>
        <w:spacing w:before="240" w:after="240" w:line="240" w:lineRule="auto"/>
      </w:pPr>
      <w:r w:rsidRPr="000F6CD1">
        <w:t xml:space="preserve">In these circumstances, an assessor can self-refer </w:t>
      </w:r>
      <w:r w:rsidR="00516348" w:rsidRPr="000F6CD1">
        <w:t>older people</w:t>
      </w:r>
      <w:r w:rsidRPr="000F6CD1">
        <w:t xml:space="preserve"> to themselves through the My Aged Care </w:t>
      </w:r>
      <w:r w:rsidR="0060352D" w:rsidRPr="000F6CD1">
        <w:t>assessor portal</w:t>
      </w:r>
      <w:r w:rsidRPr="000F6CD1">
        <w:t xml:space="preserve"> and app.</w:t>
      </w:r>
    </w:p>
    <w:p w14:paraId="2B8A8F25" w14:textId="1C80E21A" w:rsidR="0016744D" w:rsidRDefault="0016744D" w:rsidP="000E0B6C">
      <w:pPr>
        <w:spacing w:before="240" w:after="240" w:line="240" w:lineRule="auto"/>
      </w:pPr>
      <w:r w:rsidRPr="000F6CD1">
        <w:lastRenderedPageBreak/>
        <w:t xml:space="preserve">Where the assessor identifies a potential older person with aged care needs that is cohabitating with the current older person at the time of the assessment, the assessor may wish to encourage that person to contact </w:t>
      </w:r>
      <w:r w:rsidR="20BBB7AF" w:rsidRPr="000F6CD1">
        <w:t>and register with</w:t>
      </w:r>
      <w:r w:rsidRPr="000F6CD1">
        <w:t xml:space="preserve"> My Aged Care My Aged Care to register for My Aged Care and request an assessment. </w:t>
      </w:r>
    </w:p>
    <w:p w14:paraId="7DA24B50" w14:textId="77777777" w:rsidR="0016744D" w:rsidRPr="000F6CD1" w:rsidRDefault="0016744D" w:rsidP="00856600">
      <w:pPr>
        <w:pStyle w:val="NumberedList"/>
        <w:spacing w:before="240" w:after="240" w:line="240" w:lineRule="auto"/>
        <w:rPr>
          <w:lang w:val="en-AU" w:eastAsia="ko-KR"/>
        </w:rPr>
      </w:pPr>
      <w:r w:rsidRPr="000F6CD1">
        <w:rPr>
          <w:lang w:val="en-AU" w:eastAsia="ko-KR"/>
        </w:rPr>
        <w:t>When creating the self-referral, assessors are encouraged:</w:t>
      </w:r>
    </w:p>
    <w:p w14:paraId="4B36F160" w14:textId="2BE65188" w:rsidR="00F44CB9" w:rsidRPr="000F6CD1" w:rsidRDefault="0016744D" w:rsidP="00F44CB9">
      <w:pPr>
        <w:pStyle w:val="NumberedList"/>
        <w:numPr>
          <w:ilvl w:val="0"/>
          <w:numId w:val="70"/>
        </w:numPr>
        <w:spacing w:before="240" w:after="240" w:line="240" w:lineRule="auto"/>
        <w:rPr>
          <w:lang w:val="en-AU" w:eastAsia="ko-KR"/>
        </w:rPr>
      </w:pPr>
      <w:r w:rsidRPr="000F6CD1">
        <w:rPr>
          <w:lang w:val="en-AU" w:eastAsia="ko-KR"/>
        </w:rPr>
        <w:t xml:space="preserve">to upload any additional documentation </w:t>
      </w:r>
      <w:r w:rsidR="00326558" w:rsidRPr="000F6CD1">
        <w:rPr>
          <w:lang w:val="en-AU" w:eastAsia="ko-KR"/>
        </w:rPr>
        <w:t xml:space="preserve">relevant </w:t>
      </w:r>
      <w:r w:rsidRPr="000F6CD1">
        <w:rPr>
          <w:lang w:val="en-AU" w:eastAsia="ko-KR"/>
        </w:rPr>
        <w:t>to the older person’s situation (for example, a hospital discharge notice),</w:t>
      </w:r>
    </w:p>
    <w:p w14:paraId="18F56B42" w14:textId="77777777" w:rsidR="00184B22" w:rsidRPr="000F6CD1" w:rsidRDefault="0016744D">
      <w:pPr>
        <w:pStyle w:val="NumberedList"/>
        <w:numPr>
          <w:ilvl w:val="0"/>
          <w:numId w:val="70"/>
        </w:numPr>
        <w:spacing w:before="240" w:after="240" w:line="240" w:lineRule="auto"/>
        <w:rPr>
          <w:lang w:val="en-AU"/>
        </w:rPr>
      </w:pPr>
      <w:r w:rsidRPr="000F6CD1">
        <w:rPr>
          <w:lang w:val="en-AU" w:eastAsia="ko-KR"/>
        </w:rPr>
        <w:t xml:space="preserve">Provide any reasoning relating to the person’s vulnerability under the ‘Notes’ tab in the </w:t>
      </w:r>
      <w:r w:rsidR="0060352D" w:rsidRPr="000F6CD1">
        <w:rPr>
          <w:lang w:val="en-AU" w:eastAsia="ko-KR"/>
        </w:rPr>
        <w:t>assessor portal</w:t>
      </w:r>
      <w:r w:rsidRPr="000F6CD1">
        <w:rPr>
          <w:lang w:val="en-AU" w:eastAsia="ko-KR"/>
        </w:rPr>
        <w:t xml:space="preserve">. With the older person’s consent, </w:t>
      </w:r>
      <w:r w:rsidRPr="000F6CD1">
        <w:rPr>
          <w:szCs w:val="24"/>
          <w:lang w:val="en-AU"/>
        </w:rPr>
        <w:t>sensitive information should be recorded in sensitive notes and attachments</w:t>
      </w:r>
      <w:r w:rsidR="00F2795D" w:rsidRPr="000F6CD1">
        <w:rPr>
          <w:szCs w:val="24"/>
          <w:lang w:val="en-AU"/>
        </w:rPr>
        <w:t>.</w:t>
      </w:r>
      <w:r w:rsidRPr="000F6CD1">
        <w:rPr>
          <w:szCs w:val="24"/>
          <w:lang w:val="en-AU"/>
        </w:rPr>
        <w:t xml:space="preserve"> </w:t>
      </w:r>
    </w:p>
    <w:p w14:paraId="0819E1CD" w14:textId="7BFB8DE2" w:rsidR="0016744D" w:rsidRPr="000F6CD1" w:rsidRDefault="0016744D" w:rsidP="00AD2CE5">
      <w:pPr>
        <w:pStyle w:val="H3"/>
      </w:pPr>
      <w:r w:rsidRPr="000F6CD1">
        <w:t xml:space="preserve">Triage and self-referral </w:t>
      </w:r>
    </w:p>
    <w:p w14:paraId="63F83888" w14:textId="77777777" w:rsidR="0016744D" w:rsidRPr="000F6CD1" w:rsidRDefault="0016744D" w:rsidP="00856600">
      <w:pPr>
        <w:spacing w:before="240" w:after="240" w:line="240" w:lineRule="auto"/>
      </w:pPr>
      <w:r w:rsidRPr="000F6CD1">
        <w:t xml:space="preserve">All individuals seeking access to funded aged care services are required to undergo triage to determine their eligibility, even if they are self-referred by an assessor. Triage Delegates should be aware assessors are able to complete triage during a self-referred assessment. Unless an assessor also holds the Triage Delegate role, they must complete triage for a self-referred assessment under the supervision of a Triage Delegate. </w:t>
      </w:r>
    </w:p>
    <w:p w14:paraId="449DA90D" w14:textId="27F456B1" w:rsidR="0016744D" w:rsidRPr="000F6CD1" w:rsidRDefault="0016744D" w:rsidP="00856600">
      <w:pPr>
        <w:spacing w:before="240" w:after="240" w:line="240" w:lineRule="auto"/>
      </w:pPr>
      <w:r w:rsidRPr="000F6CD1">
        <w:t xml:space="preserve">A </w:t>
      </w:r>
      <w:r w:rsidR="00811792" w:rsidRPr="000F6CD1">
        <w:t>t</w:t>
      </w:r>
      <w:r w:rsidRPr="000F6CD1">
        <w:t xml:space="preserve">riage </w:t>
      </w:r>
      <w:r w:rsidR="00811792" w:rsidRPr="000F6CD1">
        <w:t>d</w:t>
      </w:r>
      <w:r w:rsidRPr="000F6CD1">
        <w:t xml:space="preserve">elegate must actively supervise triage conducted by an assessor, via phone or video conferencing. The decision whether someone is eligible to undergo an assessment, remains with the </w:t>
      </w:r>
      <w:r w:rsidR="00811792" w:rsidRPr="000F6CD1">
        <w:t>t</w:t>
      </w:r>
      <w:r w:rsidRPr="000F6CD1">
        <w:t xml:space="preserve">riage </w:t>
      </w:r>
      <w:r w:rsidR="00811792" w:rsidRPr="000F6CD1">
        <w:t>d</w:t>
      </w:r>
      <w:r w:rsidRPr="000F6CD1">
        <w:t xml:space="preserve">elegate and should not be made in their absence. If a delegate is not available to supervise triage the assessment should be paused until such time a delegate becomes available. Assessors conducting triage during a self-referred assessment must nominate the supervising Triage Delegate. Triage will be unable to be completed unless a supervising delegate has been nominated. </w:t>
      </w:r>
    </w:p>
    <w:p w14:paraId="3E570339" w14:textId="77777777" w:rsidR="000E0B6C" w:rsidRPr="000F6CD1" w:rsidRDefault="0016744D" w:rsidP="00806A21">
      <w:pPr>
        <w:pStyle w:val="Sub-headings"/>
      </w:pPr>
      <w:r w:rsidRPr="000F6CD1">
        <w:t>Note</w:t>
      </w:r>
      <w:r w:rsidR="007F22CF" w:rsidRPr="000F6CD1">
        <w:t>:</w:t>
      </w:r>
      <w:r w:rsidRPr="000F6CD1">
        <w:t xml:space="preserve"> </w:t>
      </w:r>
    </w:p>
    <w:p w14:paraId="6F6B23EC" w14:textId="4583AD94" w:rsidR="0016744D" w:rsidRPr="000F6CD1" w:rsidRDefault="000E0B6C" w:rsidP="00806A21">
      <w:pPr>
        <w:pStyle w:val="Sub-headings"/>
      </w:pPr>
      <w:r w:rsidRPr="000F6CD1">
        <w:t>F</w:t>
      </w:r>
      <w:r w:rsidR="0016744D" w:rsidRPr="000F6CD1">
        <w:t xml:space="preserve">or triage to be enabled in the Aged Care Assessor App (the App) for self-referred assessments, the referral must be generated in the App. If a referral is generated in the My Aged Care Assessor Portal, it will first need to be triaged before </w:t>
      </w:r>
      <w:r w:rsidR="0066059C" w:rsidRPr="000F6CD1">
        <w:t>being assigned</w:t>
      </w:r>
      <w:r w:rsidR="0016744D" w:rsidRPr="000F6CD1">
        <w:t xml:space="preserve"> to an assessor to complete the assessment. </w:t>
      </w:r>
    </w:p>
    <w:p w14:paraId="7C73B490" w14:textId="77777777" w:rsidR="001E0126" w:rsidRPr="000F6CD1" w:rsidRDefault="001E0126" w:rsidP="00046342"/>
    <w:p w14:paraId="7C4E0A85" w14:textId="1A329DFD" w:rsidR="0016744D" w:rsidRPr="000F6CD1" w:rsidRDefault="0016744D" w:rsidP="00AD2CE5">
      <w:pPr>
        <w:pStyle w:val="H3"/>
      </w:pPr>
      <w:r w:rsidRPr="000F6CD1">
        <w:t xml:space="preserve">Conducting triage and self-referral for likely ineligible individuals </w:t>
      </w:r>
    </w:p>
    <w:p w14:paraId="58F67ED6" w14:textId="322AE5BF" w:rsidR="0016744D" w:rsidRPr="000F6CD1" w:rsidRDefault="0016744D" w:rsidP="00856600">
      <w:pPr>
        <w:spacing w:before="240" w:after="240" w:line="240" w:lineRule="auto"/>
      </w:pPr>
      <w:r w:rsidRPr="000F6CD1">
        <w:t xml:space="preserve">There may be circumstances where an assessor self-refers an individual who is ‘likely ineligible’ for an assessment. Assessors should not advise any person seeking access to funded services they are not eligible for an assessment, that decision remains with the </w:t>
      </w:r>
      <w:r w:rsidR="00C46766" w:rsidRPr="000F6CD1">
        <w:t>t</w:t>
      </w:r>
      <w:r w:rsidRPr="000F6CD1">
        <w:t xml:space="preserve">riage </w:t>
      </w:r>
      <w:r w:rsidR="00C46766" w:rsidRPr="000F6CD1">
        <w:t>d</w:t>
      </w:r>
      <w:r w:rsidRPr="000F6CD1">
        <w:t xml:space="preserve">elegate. </w:t>
      </w:r>
    </w:p>
    <w:p w14:paraId="036CAE97" w14:textId="46BF58AB" w:rsidR="0016744D" w:rsidRPr="000F6CD1" w:rsidRDefault="0016744D" w:rsidP="00856600">
      <w:pPr>
        <w:spacing w:before="240" w:after="240" w:line="240" w:lineRule="auto"/>
      </w:pPr>
      <w:r w:rsidRPr="000F6CD1">
        <w:t>In community settings when an assessor identifies someone who is likely ineligible for an assessment, they should encourage the person to contact My Aged Care</w:t>
      </w:r>
      <w:r w:rsidRPr="000F6CD1">
        <w:rPr>
          <w:b/>
        </w:rPr>
        <w:t xml:space="preserve"> </w:t>
      </w:r>
      <w:r w:rsidRPr="000F6CD1">
        <w:t xml:space="preserve">to apply for funded aged care services. Assessors should avoid self-referring individuals they think are likely ineligible. </w:t>
      </w:r>
    </w:p>
    <w:p w14:paraId="4FA2F9FE" w14:textId="77777777" w:rsidR="00AF421B" w:rsidRDefault="0016744D" w:rsidP="00856600">
      <w:pPr>
        <w:spacing w:before="240" w:after="240" w:line="240" w:lineRule="auto"/>
      </w:pPr>
      <w:r w:rsidRPr="000F6CD1">
        <w:t xml:space="preserve">When self-referring an individual who is likely ineligible in an in-hospital setting, assessors should refer the individual to an assessment organisation, not to themselves. </w:t>
      </w:r>
    </w:p>
    <w:p w14:paraId="7B7277F8" w14:textId="47DEF67D" w:rsidR="0016744D" w:rsidRPr="000F6CD1" w:rsidRDefault="0016744D" w:rsidP="00856600">
      <w:pPr>
        <w:spacing w:before="240" w:after="240" w:line="240" w:lineRule="auto"/>
      </w:pPr>
      <w:r w:rsidRPr="000F6CD1">
        <w:lastRenderedPageBreak/>
        <w:t xml:space="preserve">This approach ensures the referral is appropriately actioned first by a Team Leader and then allocated to a Triage Delegate, for a determination to be made. If an individual is determined to be eligible, the referral will then be allocated to an assessor to complete an assessment. </w:t>
      </w:r>
    </w:p>
    <w:p w14:paraId="7171703C" w14:textId="4AC9A44C" w:rsidR="0016744D" w:rsidRPr="000F6CD1" w:rsidRDefault="0016744D" w:rsidP="00856600">
      <w:pPr>
        <w:spacing w:before="240" w:after="240" w:line="240" w:lineRule="auto"/>
      </w:pPr>
      <w:r w:rsidRPr="000F6CD1">
        <w:t xml:space="preserve">These processes are only applicable to individuals who have been identified as likely ineligible. If there are no concerns about an individual’s eligibility, assessors may refer the individual to themselves and conduct triage under the supervision of a </w:t>
      </w:r>
      <w:r w:rsidR="0091752C" w:rsidRPr="000F6CD1">
        <w:t>t</w:t>
      </w:r>
      <w:r w:rsidRPr="000F6CD1">
        <w:t xml:space="preserve">riage </w:t>
      </w:r>
      <w:r w:rsidR="0091752C" w:rsidRPr="000F6CD1">
        <w:t>d</w:t>
      </w:r>
      <w:r w:rsidRPr="000F6CD1">
        <w:t xml:space="preserve">elegate. </w:t>
      </w:r>
    </w:p>
    <w:p w14:paraId="27EB937A" w14:textId="77777777" w:rsidR="0016744D" w:rsidRPr="000F6CD1" w:rsidRDefault="0016744D" w:rsidP="00AD2CE5">
      <w:pPr>
        <w:pStyle w:val="H3"/>
      </w:pPr>
      <w:r w:rsidRPr="000F6CD1">
        <w:t>Prevention of duplicate records</w:t>
      </w:r>
    </w:p>
    <w:p w14:paraId="13857588" w14:textId="77777777" w:rsidR="0016744D" w:rsidRPr="000F6CD1" w:rsidRDefault="0016744D" w:rsidP="00856600">
      <w:pPr>
        <w:spacing w:before="240" w:after="240" w:line="240" w:lineRule="auto"/>
        <w:rPr>
          <w:lang w:eastAsia="ko-KR"/>
        </w:rPr>
      </w:pPr>
      <w:r w:rsidRPr="000F6CD1">
        <w:rPr>
          <w:lang w:eastAsia="ko-KR"/>
        </w:rPr>
        <w:t xml:space="preserve">When registering an older person on My Aged Care, the assessor must always first search for an older person’s record to see if they exist. If no existing record is found using the search function, assessors should view any potential matches that are returned by the system when creating the new client record. </w:t>
      </w:r>
    </w:p>
    <w:p w14:paraId="01FA9D74" w14:textId="77777777" w:rsidR="0016744D" w:rsidRPr="000F6CD1" w:rsidRDefault="0016744D" w:rsidP="00856600">
      <w:pPr>
        <w:spacing w:before="240" w:after="240" w:line="240" w:lineRule="auto"/>
        <w:rPr>
          <w:lang w:eastAsia="ko-KR"/>
        </w:rPr>
      </w:pPr>
      <w:r w:rsidRPr="000F6CD1">
        <w:rPr>
          <w:lang w:eastAsia="ko-KR"/>
        </w:rPr>
        <w:t xml:space="preserve">Prevention of duplicate records is of particular importance to assessors who can undertake self-referrals to themselves and in doing so are required to register an older person. </w:t>
      </w:r>
    </w:p>
    <w:p w14:paraId="067723B7" w14:textId="186D13FC" w:rsidR="0016744D" w:rsidRPr="000F6CD1" w:rsidRDefault="0016744D" w:rsidP="00856600">
      <w:pPr>
        <w:spacing w:before="240" w:after="240" w:line="240" w:lineRule="auto"/>
        <w:rPr>
          <w:lang w:eastAsia="ko-KR"/>
        </w:rPr>
      </w:pPr>
      <w:r w:rsidRPr="000F6CD1">
        <w:rPr>
          <w:lang w:eastAsia="ko-KR"/>
        </w:rPr>
        <w:t>Duplicate older person records occur when an older person is already registered in My Aged Care</w:t>
      </w:r>
      <w:r w:rsidR="00AF038F" w:rsidRPr="000F6CD1">
        <w:rPr>
          <w:lang w:eastAsia="ko-KR"/>
        </w:rPr>
        <w:t>,</w:t>
      </w:r>
      <w:r w:rsidRPr="000F6CD1">
        <w:rPr>
          <w:lang w:eastAsia="ko-KR"/>
        </w:rPr>
        <w:t xml:space="preserve"> and a new older person record is created for the same older person. </w:t>
      </w:r>
    </w:p>
    <w:p w14:paraId="23A1DC48" w14:textId="77777777" w:rsidR="0016744D" w:rsidRPr="000F6CD1" w:rsidRDefault="0016744D" w:rsidP="00856600">
      <w:pPr>
        <w:spacing w:before="240" w:after="240" w:line="240" w:lineRule="auto"/>
        <w:rPr>
          <w:lang w:eastAsia="ko-KR"/>
        </w:rPr>
      </w:pPr>
      <w:r w:rsidRPr="000F6CD1">
        <w:rPr>
          <w:lang w:eastAsia="ko-KR"/>
        </w:rPr>
        <w:t>Duplicate older person records can have a significant impact on an older person’s experience with the My Aged Care process including:</w:t>
      </w:r>
    </w:p>
    <w:p w14:paraId="138C747E" w14:textId="77777777" w:rsidR="0016744D" w:rsidRPr="000F6CD1" w:rsidRDefault="0016744D" w:rsidP="00DF3F6B">
      <w:pPr>
        <w:pStyle w:val="ListParagraph"/>
        <w:numPr>
          <w:ilvl w:val="0"/>
          <w:numId w:val="75"/>
        </w:numPr>
        <w:spacing w:before="240" w:after="240" w:line="240" w:lineRule="auto"/>
        <w:rPr>
          <w:szCs w:val="20"/>
        </w:rPr>
      </w:pPr>
      <w:r w:rsidRPr="000F6CD1">
        <w:rPr>
          <w:szCs w:val="20"/>
        </w:rPr>
        <w:t>care approvals across multiple records</w:t>
      </w:r>
    </w:p>
    <w:p w14:paraId="0E5DAECD" w14:textId="77777777" w:rsidR="0016744D" w:rsidRPr="000F6CD1" w:rsidRDefault="0016744D" w:rsidP="00DF3F6B">
      <w:pPr>
        <w:pStyle w:val="ListParagraph"/>
        <w:numPr>
          <w:ilvl w:val="0"/>
          <w:numId w:val="75"/>
        </w:numPr>
        <w:spacing w:before="240" w:after="240" w:line="240" w:lineRule="auto"/>
        <w:rPr>
          <w:szCs w:val="20"/>
        </w:rPr>
      </w:pPr>
      <w:r w:rsidRPr="000F6CD1">
        <w:rPr>
          <w:szCs w:val="20"/>
        </w:rPr>
        <w:t>referral for assessment where an assessment has already taken place</w:t>
      </w:r>
    </w:p>
    <w:p w14:paraId="3B079FF7" w14:textId="77777777" w:rsidR="0016744D" w:rsidRPr="000F6CD1" w:rsidRDefault="0016744D" w:rsidP="00DF3F6B">
      <w:pPr>
        <w:pStyle w:val="ListParagraph"/>
        <w:numPr>
          <w:ilvl w:val="0"/>
          <w:numId w:val="75"/>
        </w:numPr>
        <w:spacing w:before="240" w:after="240" w:line="240" w:lineRule="auto"/>
        <w:rPr>
          <w:szCs w:val="20"/>
        </w:rPr>
      </w:pPr>
      <w:r w:rsidRPr="000F6CD1">
        <w:rPr>
          <w:szCs w:val="20"/>
        </w:rPr>
        <w:t>delaying access to services</w:t>
      </w:r>
    </w:p>
    <w:p w14:paraId="2E908C61" w14:textId="77777777" w:rsidR="0016744D" w:rsidRPr="000F6CD1" w:rsidRDefault="0016744D" w:rsidP="00DF3F6B">
      <w:pPr>
        <w:pStyle w:val="ListParagraph"/>
        <w:numPr>
          <w:ilvl w:val="0"/>
          <w:numId w:val="75"/>
        </w:numPr>
        <w:spacing w:before="240" w:after="240" w:line="240" w:lineRule="auto"/>
        <w:rPr>
          <w:szCs w:val="20"/>
        </w:rPr>
      </w:pPr>
      <w:r w:rsidRPr="000F6CD1">
        <w:rPr>
          <w:szCs w:val="20"/>
        </w:rPr>
        <w:t>providers unable to claim subsidies.</w:t>
      </w:r>
    </w:p>
    <w:p w14:paraId="7A662586" w14:textId="662BAE08" w:rsidR="0016744D" w:rsidRPr="000F6CD1" w:rsidRDefault="0016744D" w:rsidP="00856600">
      <w:pPr>
        <w:spacing w:before="240" w:after="240" w:line="240" w:lineRule="auto"/>
        <w:rPr>
          <w:lang w:eastAsia="ko-KR"/>
        </w:rPr>
      </w:pPr>
      <w:r w:rsidRPr="000F6CD1">
        <w:rPr>
          <w:lang w:eastAsia="ko-KR"/>
        </w:rPr>
        <w:t xml:space="preserve">If the assessor </w:t>
      </w:r>
      <w:r w:rsidR="00486F07" w:rsidRPr="000F6CD1">
        <w:rPr>
          <w:lang w:eastAsia="ko-KR"/>
        </w:rPr>
        <w:t xml:space="preserve">identifies </w:t>
      </w:r>
      <w:r w:rsidRPr="000F6CD1">
        <w:rPr>
          <w:lang w:eastAsia="ko-KR"/>
        </w:rPr>
        <w:t xml:space="preserve">a duplicate record already exists, </w:t>
      </w:r>
      <w:r w:rsidR="003A4A4A" w:rsidRPr="000F6CD1">
        <w:rPr>
          <w:lang w:eastAsia="ko-KR"/>
        </w:rPr>
        <w:t xml:space="preserve">they should </w:t>
      </w:r>
      <w:r w:rsidRPr="000F6CD1">
        <w:rPr>
          <w:lang w:eastAsia="ko-KR"/>
        </w:rPr>
        <w:t xml:space="preserve">report </w:t>
      </w:r>
      <w:r w:rsidR="003A4A4A" w:rsidRPr="000F6CD1">
        <w:rPr>
          <w:lang w:eastAsia="ko-KR"/>
        </w:rPr>
        <w:t>it</w:t>
      </w:r>
      <w:r w:rsidRPr="000F6CD1">
        <w:rPr>
          <w:lang w:eastAsia="ko-KR"/>
        </w:rPr>
        <w:t xml:space="preserve"> to the My Aged Care Service Provider and Assessor Helpline (1800 836 799).</w:t>
      </w:r>
    </w:p>
    <w:p w14:paraId="3BBA800A" w14:textId="69862AC7" w:rsidR="0016744D" w:rsidRPr="000F6CD1" w:rsidRDefault="0016744D" w:rsidP="00AD2CE5">
      <w:pPr>
        <w:pStyle w:val="H3"/>
      </w:pPr>
      <w:r w:rsidRPr="000F6CD1">
        <w:t>Verifying the individual’s legal name</w:t>
      </w:r>
    </w:p>
    <w:p w14:paraId="7CCECAEF" w14:textId="0D055943" w:rsidR="0016744D" w:rsidRPr="000F6CD1" w:rsidRDefault="0016744D" w:rsidP="00856600">
      <w:pPr>
        <w:pStyle w:val="NormalText"/>
        <w:spacing w:before="240" w:after="240" w:line="240" w:lineRule="auto"/>
        <w:rPr>
          <w:rFonts w:eastAsiaTheme="majorEastAsia"/>
        </w:rPr>
      </w:pPr>
      <w:r w:rsidRPr="000F6CD1">
        <w:rPr>
          <w:rFonts w:eastAsiaTheme="majorEastAsia"/>
        </w:rPr>
        <w:t xml:space="preserve">Assessors should use the wallet check process to verify the individual’s legal name and </w:t>
      </w:r>
      <w:r w:rsidR="00574408" w:rsidRPr="000F6CD1">
        <w:rPr>
          <w:rFonts w:eastAsiaTheme="majorEastAsia"/>
        </w:rPr>
        <w:t xml:space="preserve">birthdate </w:t>
      </w:r>
      <w:r w:rsidRPr="000F6CD1">
        <w:rPr>
          <w:rFonts w:eastAsiaTheme="majorEastAsia"/>
        </w:rPr>
        <w:t>(see</w:t>
      </w:r>
      <w:r w:rsidRPr="000F6CD1">
        <w:rPr>
          <w:rFonts w:eastAsiaTheme="majorEastAsia"/>
          <w:i/>
        </w:rPr>
        <w:t xml:space="preserve"> </w:t>
      </w:r>
      <w:r w:rsidR="00F31BFB" w:rsidRPr="000F6CD1">
        <w:rPr>
          <w:rFonts w:eastAsiaTheme="majorEastAsia"/>
        </w:rPr>
        <w:t xml:space="preserve">section </w:t>
      </w:r>
      <w:r w:rsidR="00E604B2" w:rsidRPr="000F6CD1">
        <w:rPr>
          <w:rFonts w:eastAsiaTheme="majorEastAsia"/>
        </w:rPr>
        <w:fldChar w:fldCharType="begin"/>
      </w:r>
      <w:r w:rsidR="00E604B2" w:rsidRPr="000F6CD1">
        <w:rPr>
          <w:rFonts w:eastAsiaTheme="majorEastAsia"/>
        </w:rPr>
        <w:instrText xml:space="preserve"> REF _Ref212733648 \r \h </w:instrText>
      </w:r>
      <w:r w:rsidR="00E604B2" w:rsidRPr="000F6CD1">
        <w:rPr>
          <w:rFonts w:eastAsiaTheme="majorEastAsia"/>
        </w:rPr>
      </w:r>
      <w:r w:rsidR="00E604B2" w:rsidRPr="000F6CD1">
        <w:rPr>
          <w:rFonts w:eastAsiaTheme="majorEastAsia"/>
        </w:rPr>
        <w:fldChar w:fldCharType="separate"/>
      </w:r>
      <w:r w:rsidR="004B171E">
        <w:rPr>
          <w:rFonts w:eastAsiaTheme="majorEastAsia"/>
        </w:rPr>
        <w:t>5.6</w:t>
      </w:r>
      <w:r w:rsidR="00E604B2" w:rsidRPr="000F6CD1">
        <w:rPr>
          <w:rFonts w:eastAsiaTheme="majorEastAsia"/>
        </w:rPr>
        <w:fldChar w:fldCharType="end"/>
      </w:r>
      <w:r w:rsidR="00E604B2" w:rsidRPr="000F6CD1">
        <w:rPr>
          <w:rFonts w:eastAsiaTheme="majorEastAsia"/>
        </w:rPr>
        <w:t>,</w:t>
      </w:r>
      <w:r w:rsidRPr="000F6CD1">
        <w:rPr>
          <w:rFonts w:eastAsiaTheme="majorEastAsia"/>
          <w:i/>
          <w:color w:val="434967"/>
        </w:rPr>
        <w:t xml:space="preserve"> </w:t>
      </w:r>
      <w:r w:rsidRPr="000F6CD1">
        <w:rPr>
          <w:rFonts w:eastAsiaTheme="majorEastAsia"/>
        </w:rPr>
        <w:t xml:space="preserve">Commencing the Assessment, </w:t>
      </w:r>
      <w:r w:rsidR="004E0497" w:rsidRPr="000F6CD1">
        <w:rPr>
          <w:rFonts w:eastAsiaTheme="majorEastAsia"/>
        </w:rPr>
        <w:t xml:space="preserve">and section </w:t>
      </w:r>
      <w:r w:rsidR="00E604B2" w:rsidRPr="000F6CD1">
        <w:rPr>
          <w:rFonts w:eastAsiaTheme="majorEastAsia"/>
        </w:rPr>
        <w:fldChar w:fldCharType="begin"/>
      </w:r>
      <w:r w:rsidR="00E604B2" w:rsidRPr="000F6CD1">
        <w:rPr>
          <w:rFonts w:eastAsiaTheme="majorEastAsia"/>
        </w:rPr>
        <w:instrText xml:space="preserve"> REF _Ref212733666 \r \h </w:instrText>
      </w:r>
      <w:r w:rsidR="00E604B2" w:rsidRPr="000F6CD1">
        <w:rPr>
          <w:rFonts w:eastAsiaTheme="majorEastAsia"/>
        </w:rPr>
      </w:r>
      <w:r w:rsidR="00E604B2" w:rsidRPr="000F6CD1">
        <w:rPr>
          <w:rFonts w:eastAsiaTheme="majorEastAsia"/>
        </w:rPr>
        <w:fldChar w:fldCharType="separate"/>
      </w:r>
      <w:r w:rsidR="004B171E">
        <w:rPr>
          <w:rFonts w:eastAsiaTheme="majorEastAsia"/>
        </w:rPr>
        <w:t>5.6.2</w:t>
      </w:r>
      <w:r w:rsidR="00E604B2" w:rsidRPr="000F6CD1">
        <w:rPr>
          <w:rFonts w:eastAsiaTheme="majorEastAsia"/>
        </w:rPr>
        <w:fldChar w:fldCharType="end"/>
      </w:r>
      <w:r w:rsidR="00E604B2" w:rsidRPr="000F6CD1">
        <w:rPr>
          <w:rFonts w:eastAsiaTheme="majorEastAsia"/>
        </w:rPr>
        <w:t xml:space="preserve"> </w:t>
      </w:r>
      <w:r w:rsidRPr="000F6CD1">
        <w:rPr>
          <w:rFonts w:eastAsiaTheme="majorEastAsia"/>
        </w:rPr>
        <w:t>Wallet check).</w:t>
      </w:r>
    </w:p>
    <w:p w14:paraId="244C21B8" w14:textId="020153BF" w:rsidR="0016744D" w:rsidRPr="000F6CD1" w:rsidRDefault="0016744D" w:rsidP="00AF038F">
      <w:pPr>
        <w:pStyle w:val="H5"/>
      </w:pPr>
      <w:r w:rsidRPr="000F6CD1">
        <w:t xml:space="preserve">Legal </w:t>
      </w:r>
      <w:r w:rsidR="00FB22E7" w:rsidRPr="000F6CD1">
        <w:t>n</w:t>
      </w:r>
      <w:r w:rsidRPr="000F6CD1">
        <w:t xml:space="preserve">ame vs </w:t>
      </w:r>
      <w:r w:rsidR="00FB22E7" w:rsidRPr="000F6CD1">
        <w:t>p</w:t>
      </w:r>
      <w:r w:rsidRPr="000F6CD1">
        <w:t xml:space="preserve">referred </w:t>
      </w:r>
      <w:r w:rsidR="00FB22E7" w:rsidRPr="000F6CD1">
        <w:t>n</w:t>
      </w:r>
      <w:r w:rsidRPr="000F6CD1">
        <w:t xml:space="preserve">ame </w:t>
      </w:r>
    </w:p>
    <w:p w14:paraId="17B66318" w14:textId="77777777" w:rsidR="0016744D" w:rsidRPr="000F6CD1" w:rsidRDefault="0016744D" w:rsidP="00DF3F6B">
      <w:pPr>
        <w:pStyle w:val="ListParagraph"/>
        <w:numPr>
          <w:ilvl w:val="0"/>
          <w:numId w:val="67"/>
        </w:numPr>
        <w:spacing w:before="240" w:after="240" w:line="240" w:lineRule="auto"/>
        <w:ind w:left="567" w:hanging="284"/>
      </w:pPr>
      <w:r w:rsidRPr="000F6CD1">
        <w:t>When searching for an older person to determine if they already have a My Aged Care older person record, the assessor must ask if the older person prefers to go by a name other than their legal name.</w:t>
      </w:r>
    </w:p>
    <w:p w14:paraId="4B043BA0" w14:textId="77777777" w:rsidR="0016744D" w:rsidRPr="000F6CD1" w:rsidRDefault="0016744D" w:rsidP="00DF3F6B">
      <w:pPr>
        <w:pStyle w:val="ListParagraph"/>
        <w:numPr>
          <w:ilvl w:val="0"/>
          <w:numId w:val="67"/>
        </w:numPr>
        <w:spacing w:before="240" w:after="240" w:line="240" w:lineRule="auto"/>
        <w:ind w:left="567" w:hanging="284"/>
      </w:pPr>
      <w:r w:rsidRPr="000F6CD1">
        <w:t>Conducting searches under each name can help to identify if a previously created record exists.</w:t>
      </w:r>
    </w:p>
    <w:p w14:paraId="7C7053E5" w14:textId="7162A35B" w:rsidR="0016744D" w:rsidRPr="000F6CD1" w:rsidRDefault="0016744D" w:rsidP="00DF3F6B">
      <w:pPr>
        <w:pStyle w:val="ListParagraph"/>
        <w:numPr>
          <w:ilvl w:val="0"/>
          <w:numId w:val="67"/>
        </w:numPr>
        <w:spacing w:before="240" w:after="240" w:line="240" w:lineRule="auto"/>
        <w:ind w:left="567" w:hanging="283"/>
      </w:pPr>
      <w:r w:rsidRPr="000F6CD1">
        <w:t>Use the wallet check process to verify individual’s legal name (see</w:t>
      </w:r>
      <w:r w:rsidRPr="000F6CD1">
        <w:rPr>
          <w:i/>
        </w:rPr>
        <w:t xml:space="preserve"> </w:t>
      </w:r>
      <w:r w:rsidR="00B931DE" w:rsidRPr="000F6CD1">
        <w:t xml:space="preserve">section </w:t>
      </w:r>
      <w:r w:rsidR="00E604B2" w:rsidRPr="000F6CD1">
        <w:fldChar w:fldCharType="begin"/>
      </w:r>
      <w:r w:rsidR="00E604B2" w:rsidRPr="000F6CD1">
        <w:instrText xml:space="preserve"> REF _Ref212733690 \r \h </w:instrText>
      </w:r>
      <w:r w:rsidR="00E604B2" w:rsidRPr="000F6CD1">
        <w:fldChar w:fldCharType="separate"/>
      </w:r>
      <w:r w:rsidR="004B171E">
        <w:t>5.6</w:t>
      </w:r>
      <w:r w:rsidR="00E604B2" w:rsidRPr="000F6CD1">
        <w:fldChar w:fldCharType="end"/>
      </w:r>
      <w:r w:rsidR="009B24AE" w:rsidRPr="000F6CD1">
        <w:t xml:space="preserve"> </w:t>
      </w:r>
      <w:r w:rsidRPr="000F6CD1">
        <w:t>Commencing the Assessment,</w:t>
      </w:r>
      <w:r w:rsidR="00B931DE" w:rsidRPr="000F6CD1">
        <w:t xml:space="preserve"> and section </w:t>
      </w:r>
      <w:r w:rsidR="00E604B2" w:rsidRPr="000F6CD1">
        <w:fldChar w:fldCharType="begin"/>
      </w:r>
      <w:r w:rsidR="00E604B2" w:rsidRPr="000F6CD1">
        <w:instrText xml:space="preserve"> REF _Ref212733666 \r \h </w:instrText>
      </w:r>
      <w:r w:rsidR="00E604B2" w:rsidRPr="000F6CD1">
        <w:fldChar w:fldCharType="separate"/>
      </w:r>
      <w:r w:rsidR="004B171E">
        <w:t>5.6.2</w:t>
      </w:r>
      <w:r w:rsidR="00E604B2" w:rsidRPr="000F6CD1">
        <w:fldChar w:fldCharType="end"/>
      </w:r>
      <w:r w:rsidR="00816E77" w:rsidRPr="000F6CD1">
        <w:t xml:space="preserve"> </w:t>
      </w:r>
      <w:r w:rsidRPr="000F6CD1">
        <w:t>Wallet check).</w:t>
      </w:r>
    </w:p>
    <w:p w14:paraId="7C4F722C" w14:textId="77777777" w:rsidR="0016744D" w:rsidRPr="000F6CD1" w:rsidRDefault="0016744D" w:rsidP="00DF3F6B">
      <w:pPr>
        <w:pStyle w:val="ListParagraph"/>
        <w:numPr>
          <w:ilvl w:val="0"/>
          <w:numId w:val="67"/>
        </w:numPr>
        <w:spacing w:before="240" w:after="240" w:line="240" w:lineRule="auto"/>
        <w:ind w:left="567" w:hanging="284"/>
        <w:contextualSpacing w:val="0"/>
      </w:pPr>
      <w:r w:rsidRPr="000F6CD1">
        <w:t>When a record does not exist and you are creating the record, use the legal name in the first name field.</w:t>
      </w:r>
    </w:p>
    <w:p w14:paraId="728B9EC8" w14:textId="28DD252A" w:rsidR="007F22CF" w:rsidRPr="000F6CD1" w:rsidRDefault="0016744D" w:rsidP="00856600">
      <w:pPr>
        <w:spacing w:before="240" w:after="240" w:line="240" w:lineRule="auto"/>
      </w:pPr>
      <w:r w:rsidRPr="000F6CD1">
        <w:t>Once the record is created,</w:t>
      </w:r>
      <w:r w:rsidRPr="000F6CD1" w:rsidDel="00BA6D56">
        <w:t xml:space="preserve"> </w:t>
      </w:r>
      <w:r w:rsidRPr="000F6CD1">
        <w:t>add a preferred name in the field provided in the personal details section of the older person record.</w:t>
      </w:r>
    </w:p>
    <w:p w14:paraId="6E205C84" w14:textId="77777777" w:rsidR="000E0B6C" w:rsidRPr="000F6CD1" w:rsidRDefault="0016744D" w:rsidP="00806A21">
      <w:pPr>
        <w:pStyle w:val="Sub-headings"/>
      </w:pPr>
      <w:r w:rsidRPr="000F6CD1">
        <w:lastRenderedPageBreak/>
        <w:t>Note</w:t>
      </w:r>
      <w:r w:rsidR="000E0B6C" w:rsidRPr="000F6CD1">
        <w:t>:</w:t>
      </w:r>
    </w:p>
    <w:p w14:paraId="746AA83A" w14:textId="0018B0C4" w:rsidR="00AC39F8" w:rsidRPr="000F6CD1" w:rsidRDefault="000E0B6C" w:rsidP="00806A21">
      <w:pPr>
        <w:pStyle w:val="Sub-headings"/>
      </w:pPr>
      <w:r w:rsidRPr="000F6CD1">
        <w:t>I</w:t>
      </w:r>
      <w:r w:rsidR="0016744D" w:rsidRPr="000F6CD1">
        <w:t>t is important to keep in mind when verifying an older person’s legal and preferred name that in some Aboriginal and Torres Strait Islander traditions or communities, people can change the name they use throughout their life or be known by different names by different people</w:t>
      </w:r>
      <w:r w:rsidR="005541AF" w:rsidRPr="000F6CD1">
        <w:t>. This can occur due to chang</w:t>
      </w:r>
      <w:r w:rsidR="00DD7CDE" w:rsidRPr="000F6CD1">
        <w:t>es in</w:t>
      </w:r>
      <w:r w:rsidR="0016744D" w:rsidRPr="000F6CD1">
        <w:t xml:space="preserve"> role/status </w:t>
      </w:r>
      <w:r w:rsidR="00DE0420" w:rsidRPr="000F6CD1">
        <w:t>with</w:t>
      </w:r>
      <w:r w:rsidR="0016744D" w:rsidRPr="000F6CD1">
        <w:t>in their community</w:t>
      </w:r>
      <w:r w:rsidR="00DE0420" w:rsidRPr="000F6CD1">
        <w:t>,</w:t>
      </w:r>
      <w:r w:rsidR="0016744D" w:rsidRPr="000F6CD1">
        <w:t xml:space="preserve"> or</w:t>
      </w:r>
      <w:r w:rsidR="00DE0420" w:rsidRPr="000F6CD1">
        <w:t xml:space="preserve"> significant</w:t>
      </w:r>
      <w:r w:rsidR="0016744D" w:rsidRPr="000F6CD1">
        <w:t xml:space="preserve"> events such as the </w:t>
      </w:r>
      <w:r w:rsidR="00DE0420" w:rsidRPr="000F6CD1">
        <w:t>passing</w:t>
      </w:r>
      <w:r w:rsidR="0016744D" w:rsidRPr="000F6CD1">
        <w:t xml:space="preserve"> of a person. </w:t>
      </w:r>
    </w:p>
    <w:p w14:paraId="1408B595" w14:textId="0FE56E5E" w:rsidR="001E0126" w:rsidRPr="000F6CD1" w:rsidRDefault="00AC39F8" w:rsidP="00806A21">
      <w:pPr>
        <w:pStyle w:val="Sub-headings"/>
      </w:pPr>
      <w:r w:rsidRPr="000F6CD1">
        <w:t xml:space="preserve">This </w:t>
      </w:r>
      <w:r w:rsidR="00DE0420" w:rsidRPr="000F6CD1">
        <w:t>practice</w:t>
      </w:r>
      <w:r w:rsidR="00825436" w:rsidRPr="000F6CD1">
        <w:t xml:space="preserve"> </w:t>
      </w:r>
      <w:r w:rsidRPr="000F6CD1">
        <w:t xml:space="preserve">may also be relevant in other </w:t>
      </w:r>
      <w:r w:rsidR="002E0BDB" w:rsidRPr="000F6CD1">
        <w:t>cultures</w:t>
      </w:r>
      <w:r w:rsidRPr="000F6CD1">
        <w:t xml:space="preserve">. </w:t>
      </w:r>
      <w:r w:rsidR="0016744D" w:rsidRPr="000F6CD1">
        <w:t xml:space="preserve">If appropriate and </w:t>
      </w:r>
      <w:r w:rsidR="00825436" w:rsidRPr="000F6CD1">
        <w:t xml:space="preserve">culturally </w:t>
      </w:r>
      <w:r w:rsidR="0016744D" w:rsidRPr="000F6CD1">
        <w:t xml:space="preserve">safe to do so, an assessor should explore all names an older person </w:t>
      </w:r>
      <w:r w:rsidR="00825436" w:rsidRPr="000F6CD1">
        <w:t xml:space="preserve">may </w:t>
      </w:r>
      <w:r w:rsidR="000D7C03" w:rsidRPr="000F6CD1">
        <w:t>have used</w:t>
      </w:r>
      <w:r w:rsidR="00A54A10" w:rsidRPr="000F6CD1">
        <w:t xml:space="preserve"> during the period</w:t>
      </w:r>
      <w:r w:rsidR="0016744D" w:rsidRPr="000F6CD1">
        <w:t xml:space="preserve"> they </w:t>
      </w:r>
      <w:r w:rsidR="00A54A10" w:rsidRPr="000F6CD1">
        <w:t xml:space="preserve">were </w:t>
      </w:r>
      <w:r w:rsidR="0016744D" w:rsidRPr="000F6CD1">
        <w:t xml:space="preserve">eligible </w:t>
      </w:r>
      <w:r w:rsidR="00A54A10" w:rsidRPr="000F6CD1">
        <w:t xml:space="preserve">for </w:t>
      </w:r>
      <w:r w:rsidR="0016744D" w:rsidRPr="000F6CD1">
        <w:t xml:space="preserve">aged care services. </w:t>
      </w:r>
      <w:r w:rsidR="00A54A10" w:rsidRPr="000F6CD1">
        <w:t>This helps ensure accurate records and s</w:t>
      </w:r>
      <w:r w:rsidR="00E03E9C" w:rsidRPr="000F6CD1">
        <w:t>upports respectful engagement.</w:t>
      </w:r>
      <w:r w:rsidR="0016744D" w:rsidRPr="000F6CD1">
        <w:t xml:space="preserve"> </w:t>
      </w:r>
    </w:p>
    <w:p w14:paraId="3F4D5C9D" w14:textId="77777777" w:rsidR="0016744D" w:rsidRPr="000F6CD1" w:rsidRDefault="0016744D" w:rsidP="00856600">
      <w:pPr>
        <w:pStyle w:val="H5"/>
        <w:spacing w:before="240" w:after="240" w:line="240" w:lineRule="auto"/>
      </w:pPr>
      <w:r w:rsidRPr="000F6CD1">
        <w:t xml:space="preserve">Additional information in name field </w:t>
      </w:r>
    </w:p>
    <w:p w14:paraId="15E6D26C" w14:textId="77777777" w:rsidR="0016744D" w:rsidRPr="000F6CD1" w:rsidRDefault="0016744D" w:rsidP="00DF3F6B">
      <w:pPr>
        <w:pStyle w:val="ListParagraph"/>
        <w:numPr>
          <w:ilvl w:val="0"/>
          <w:numId w:val="67"/>
        </w:numPr>
        <w:spacing w:before="240" w:after="240" w:line="240" w:lineRule="auto"/>
        <w:ind w:left="567" w:hanging="284"/>
      </w:pPr>
      <w:r w:rsidRPr="000F6CD1">
        <w:t>Do not add any additional information in the name fields – putting the relationship of a person to an older person in the name field, for example Mary (Daughter), will prevent the system from matching that record in future searches and may cause the creation of a duplicate record.</w:t>
      </w:r>
    </w:p>
    <w:p w14:paraId="5323357A" w14:textId="671C4F25" w:rsidR="0016744D" w:rsidRPr="000F6CD1" w:rsidRDefault="0016744D" w:rsidP="00DF3F6B">
      <w:pPr>
        <w:pStyle w:val="ListParagraph"/>
        <w:numPr>
          <w:ilvl w:val="0"/>
          <w:numId w:val="67"/>
        </w:numPr>
        <w:spacing w:before="240" w:after="240" w:line="240" w:lineRule="auto"/>
        <w:ind w:left="567" w:hanging="284"/>
      </w:pPr>
      <w:r w:rsidRPr="000F6CD1">
        <w:t xml:space="preserve">Any additional information that does not have a predetermined field can be entered into the ‘Notes’ section of the older </w:t>
      </w:r>
      <w:r w:rsidR="0073007A" w:rsidRPr="000F6CD1">
        <w:t>person’s</w:t>
      </w:r>
      <w:r w:rsidRPr="000F6CD1">
        <w:t xml:space="preserve"> record.</w:t>
      </w:r>
    </w:p>
    <w:p w14:paraId="08C764A9" w14:textId="77777777" w:rsidR="0016744D" w:rsidRPr="000F6CD1" w:rsidRDefault="0016744D" w:rsidP="00DF3F6B">
      <w:pPr>
        <w:pStyle w:val="ListParagraph"/>
        <w:numPr>
          <w:ilvl w:val="0"/>
          <w:numId w:val="67"/>
        </w:numPr>
        <w:spacing w:before="240" w:after="240" w:line="240" w:lineRule="auto"/>
        <w:ind w:left="567" w:hanging="284"/>
        <w:contextualSpacing w:val="0"/>
      </w:pPr>
      <w:r w:rsidRPr="000F6CD1">
        <w:t>Where possible, you should enter the older person’s date of birth as opposed to entering the older person’s age.</w:t>
      </w:r>
    </w:p>
    <w:p w14:paraId="646D6AFA" w14:textId="4FDEF246" w:rsidR="0016744D" w:rsidRPr="000F6CD1" w:rsidRDefault="0016744D" w:rsidP="00856600">
      <w:pPr>
        <w:pStyle w:val="H5"/>
        <w:spacing w:before="240" w:after="240" w:line="240" w:lineRule="auto"/>
      </w:pPr>
      <w:r w:rsidRPr="000F6CD1">
        <w:t xml:space="preserve">Special </w:t>
      </w:r>
      <w:r w:rsidR="00FB22E7" w:rsidRPr="000F6CD1">
        <w:t>c</w:t>
      </w:r>
      <w:r w:rsidRPr="000F6CD1">
        <w:t xml:space="preserve">haracters </w:t>
      </w:r>
    </w:p>
    <w:p w14:paraId="54ADF2E1" w14:textId="77777777" w:rsidR="0016744D" w:rsidRPr="000F6CD1" w:rsidRDefault="0016744D" w:rsidP="00856600">
      <w:pPr>
        <w:spacing w:before="240" w:after="240" w:line="240" w:lineRule="auto"/>
        <w:rPr>
          <w:lang w:eastAsia="ko-KR"/>
        </w:rPr>
      </w:pPr>
      <w:r w:rsidRPr="000F6CD1">
        <w:rPr>
          <w:lang w:eastAsia="ko-KR"/>
        </w:rPr>
        <w:t>When completing the name fields for an older person record only use the following characters:</w:t>
      </w:r>
    </w:p>
    <w:p w14:paraId="304B7775" w14:textId="77777777" w:rsidR="0016744D" w:rsidRPr="000F6CD1" w:rsidRDefault="0016744D" w:rsidP="007F792B">
      <w:pPr>
        <w:pStyle w:val="ListParagraph"/>
        <w:numPr>
          <w:ilvl w:val="0"/>
          <w:numId w:val="68"/>
        </w:numPr>
        <w:spacing w:after="0" w:line="240" w:lineRule="auto"/>
        <w:ind w:left="568" w:hanging="284"/>
        <w:contextualSpacing w:val="0"/>
        <w:rPr>
          <w:szCs w:val="20"/>
        </w:rPr>
      </w:pPr>
      <w:r w:rsidRPr="000F6CD1">
        <w:rPr>
          <w:szCs w:val="20"/>
        </w:rPr>
        <w:t>alphas (letters)</w:t>
      </w:r>
    </w:p>
    <w:p w14:paraId="5A32958D" w14:textId="77777777" w:rsidR="0016744D" w:rsidRPr="000F6CD1" w:rsidRDefault="0016744D" w:rsidP="007F792B">
      <w:pPr>
        <w:pStyle w:val="ListParagraph"/>
        <w:numPr>
          <w:ilvl w:val="0"/>
          <w:numId w:val="68"/>
        </w:numPr>
        <w:spacing w:after="0" w:line="240" w:lineRule="auto"/>
        <w:ind w:left="568" w:hanging="284"/>
        <w:contextualSpacing w:val="0"/>
        <w:rPr>
          <w:szCs w:val="20"/>
        </w:rPr>
      </w:pPr>
      <w:r w:rsidRPr="000F6CD1">
        <w:rPr>
          <w:szCs w:val="20"/>
        </w:rPr>
        <w:t>hyphens</w:t>
      </w:r>
    </w:p>
    <w:p w14:paraId="61A01817" w14:textId="77777777" w:rsidR="0016744D" w:rsidRPr="000F6CD1" w:rsidRDefault="0016744D" w:rsidP="007F792B">
      <w:pPr>
        <w:pStyle w:val="ListParagraph"/>
        <w:numPr>
          <w:ilvl w:val="0"/>
          <w:numId w:val="68"/>
        </w:numPr>
        <w:spacing w:after="0" w:line="240" w:lineRule="auto"/>
        <w:ind w:left="568" w:hanging="284"/>
        <w:contextualSpacing w:val="0"/>
        <w:rPr>
          <w:szCs w:val="20"/>
        </w:rPr>
      </w:pPr>
      <w:r w:rsidRPr="000F6CD1">
        <w:rPr>
          <w:szCs w:val="20"/>
        </w:rPr>
        <w:t>apostrophes; and</w:t>
      </w:r>
    </w:p>
    <w:p w14:paraId="55C90A56" w14:textId="77777777" w:rsidR="0016744D" w:rsidRPr="000F6CD1" w:rsidRDefault="0016744D" w:rsidP="007F792B">
      <w:pPr>
        <w:pStyle w:val="ListParagraph"/>
        <w:numPr>
          <w:ilvl w:val="0"/>
          <w:numId w:val="68"/>
        </w:numPr>
        <w:spacing w:after="0" w:line="240" w:lineRule="auto"/>
        <w:ind w:left="568" w:hanging="284"/>
        <w:contextualSpacing w:val="0"/>
        <w:rPr>
          <w:szCs w:val="20"/>
        </w:rPr>
      </w:pPr>
      <w:r w:rsidRPr="000F6CD1">
        <w:rPr>
          <w:szCs w:val="20"/>
        </w:rPr>
        <w:t>blank spaces</w:t>
      </w:r>
    </w:p>
    <w:p w14:paraId="1C9E793C" w14:textId="281DE1FF" w:rsidR="0016744D" w:rsidRPr="000F6CD1" w:rsidRDefault="0016744D" w:rsidP="00856600">
      <w:pPr>
        <w:spacing w:before="240" w:after="240" w:line="240" w:lineRule="auto"/>
        <w:rPr>
          <w:lang w:eastAsia="ko-KR"/>
        </w:rPr>
      </w:pPr>
      <w:r w:rsidRPr="000F6CD1">
        <w:rPr>
          <w:lang w:eastAsia="ko-KR"/>
        </w:rPr>
        <w:t>Any other characters (such as brackets, commas, and full stops) are considered invalid characters and can prevent other users from being able to find the records. This can lead to the creation of duplicate records.</w:t>
      </w:r>
    </w:p>
    <w:p w14:paraId="069DAD2B" w14:textId="4619927A" w:rsidR="0016744D" w:rsidRPr="000F6CD1" w:rsidRDefault="0016744D" w:rsidP="006647CE">
      <w:pPr>
        <w:pStyle w:val="h2"/>
      </w:pPr>
      <w:bookmarkStart w:id="313" w:name="_Toc209188974"/>
      <w:bookmarkStart w:id="314" w:name="_Toc233282437"/>
      <w:r w:rsidRPr="000F6CD1">
        <w:t xml:space="preserve">Support </w:t>
      </w:r>
      <w:r w:rsidR="0D0C0B9B" w:rsidRPr="000F6CD1">
        <w:t>p</w:t>
      </w:r>
      <w:r w:rsidRPr="000F6CD1">
        <w:t xml:space="preserve">lan </w:t>
      </w:r>
      <w:r w:rsidR="06D7E3DD" w:rsidRPr="000F6CD1">
        <w:t>r</w:t>
      </w:r>
      <w:r w:rsidRPr="000F6CD1">
        <w:t>eviews and reassessments</w:t>
      </w:r>
      <w:bookmarkEnd w:id="313"/>
      <w:bookmarkEnd w:id="314"/>
      <w:r w:rsidRPr="000F6CD1">
        <w:t xml:space="preserve"> </w:t>
      </w:r>
      <w:bookmarkEnd w:id="300"/>
    </w:p>
    <w:p w14:paraId="6A091134" w14:textId="77777777" w:rsidR="0016744D" w:rsidRPr="000F6CD1" w:rsidRDefault="0016744D" w:rsidP="00856600">
      <w:pPr>
        <w:spacing w:before="240" w:after="240" w:line="240" w:lineRule="auto"/>
      </w:pPr>
      <w:r w:rsidRPr="000F6CD1">
        <w:t xml:space="preserve">Section 64 of the </w:t>
      </w:r>
      <w:r w:rsidRPr="000F6CD1">
        <w:rPr>
          <w:i/>
        </w:rPr>
        <w:t>Aged Care Act 2024</w:t>
      </w:r>
      <w:r w:rsidRPr="000F6CD1">
        <w:t xml:space="preserve"> provides for aged care needs reassessments. A reassessment may be required when an individual's circumstances have changed significantly, or other circumstances apply to the individual. The Rules prescribe the relevant change in circumstances that may necessitate a reassessment under 64-5 (for significant changes) and 64-10 (for other circumstances). </w:t>
      </w:r>
    </w:p>
    <w:p w14:paraId="78E5D5C6" w14:textId="77777777" w:rsidR="0016744D" w:rsidRPr="000F6CD1" w:rsidRDefault="0016744D" w:rsidP="00856600">
      <w:pPr>
        <w:spacing w:before="240" w:after="240" w:line="240" w:lineRule="auto"/>
      </w:pPr>
      <w:r w:rsidRPr="000F6CD1">
        <w:t xml:space="preserve">In the </w:t>
      </w:r>
      <w:r w:rsidRPr="000F6CD1">
        <w:rPr>
          <w:i/>
        </w:rPr>
        <w:t>Aged Care Act 2024</w:t>
      </w:r>
      <w:r w:rsidRPr="000F6CD1">
        <w:t xml:space="preserve"> the term ‘reassessment’ is used as an umbrella term to describe both SPRs and a reassessment for someone already receiving funded aged care services. An individual may request a reassessment if they believe their aged care needs have changed, or it may be identified through a scheduled SPR.</w:t>
      </w:r>
    </w:p>
    <w:p w14:paraId="527C9DCB" w14:textId="404C284D" w:rsidR="0016744D" w:rsidRPr="000F6CD1" w:rsidRDefault="67732F52" w:rsidP="00806A21">
      <w:pPr>
        <w:pStyle w:val="Sub-headings"/>
      </w:pPr>
      <w:r w:rsidRPr="000F6CD1">
        <w:t>Note: in this manual, the term ‘reassessment’ is used to describe an assessment that occurs after an older person has already been assessed at least once.</w:t>
      </w:r>
      <w:r w:rsidR="003475C3" w:rsidRPr="000F6CD1">
        <w:t xml:space="preserve"> </w:t>
      </w:r>
      <w:r w:rsidR="0016744D" w:rsidRPr="000F6CD1">
        <w:t xml:space="preserve">From </w:t>
      </w:r>
      <w:r w:rsidR="0016744D" w:rsidRPr="000F6CD1">
        <w:lastRenderedPageBreak/>
        <w:t xml:space="preserve">1 November, SPRs will be used as a mechanism to adjust an older person’s aged care services without needing to undertake a full reassessment. A reassessment will be conducted when there are </w:t>
      </w:r>
      <w:r w:rsidR="0016744D" w:rsidRPr="000F6CD1">
        <w:rPr>
          <w:i/>
        </w:rPr>
        <w:t>significant</w:t>
      </w:r>
      <w:r w:rsidR="0016744D" w:rsidRPr="000F6CD1">
        <w:t xml:space="preserve"> changes to a client’s needs or circumstances.</w:t>
      </w:r>
    </w:p>
    <w:p w14:paraId="11BE5734" w14:textId="77777777" w:rsidR="0016744D" w:rsidRPr="000F6CD1" w:rsidRDefault="0016744D" w:rsidP="00856600">
      <w:pPr>
        <w:spacing w:before="240" w:after="240" w:line="240" w:lineRule="auto"/>
      </w:pPr>
      <w:r w:rsidRPr="000F6CD1">
        <w:t xml:space="preserve">In some cases, the Assessment Delegate may approve access to services based on updated information through the SPR process. </w:t>
      </w:r>
    </w:p>
    <w:p w14:paraId="4E24334A" w14:textId="77777777" w:rsidR="0016744D" w:rsidRPr="000F6CD1" w:rsidRDefault="0016744D" w:rsidP="00856600">
      <w:pPr>
        <w:spacing w:before="240" w:after="240" w:line="240" w:lineRule="auto"/>
      </w:pPr>
      <w:r w:rsidRPr="000F6CD1">
        <w:t xml:space="preserve">However, in cases where a </w:t>
      </w:r>
      <w:r w:rsidRPr="000F6CD1">
        <w:rPr>
          <w:i/>
        </w:rPr>
        <w:t>significant</w:t>
      </w:r>
      <w:r w:rsidRPr="000F6CD1">
        <w:t xml:space="preserve"> change is identified, a new aged care needs assessment must be undertaken. Significant changes in care needs and circumstances requiring a higher-level of care or different types of care (and/or changes to priority) will require a reassessment. </w:t>
      </w:r>
    </w:p>
    <w:p w14:paraId="2533FBDA" w14:textId="56B6147E" w:rsidR="0016744D" w:rsidRPr="000F6CD1" w:rsidRDefault="0016744D" w:rsidP="00856600">
      <w:pPr>
        <w:spacing w:before="240" w:after="240" w:line="240" w:lineRule="auto"/>
      </w:pPr>
      <w:r w:rsidRPr="000F6CD1">
        <w:t xml:space="preserve">Significant change is referenced in section 64 of the </w:t>
      </w:r>
      <w:r w:rsidRPr="000F6CD1">
        <w:rPr>
          <w:i/>
          <w:iCs/>
        </w:rPr>
        <w:t>Aged Care Act 2024</w:t>
      </w:r>
      <w:r w:rsidRPr="000F6CD1">
        <w:rPr>
          <w:i/>
        </w:rPr>
        <w:t xml:space="preserve"> </w:t>
      </w:r>
      <w:r w:rsidR="00906671" w:rsidRPr="000F6CD1">
        <w:rPr>
          <w:i/>
          <w:iCs/>
        </w:rPr>
        <w:t>(the Act)</w:t>
      </w:r>
      <w:r w:rsidRPr="000F6CD1">
        <w:t xml:space="preserve"> and defined in the </w:t>
      </w:r>
      <w:r w:rsidRPr="000F6CD1">
        <w:rPr>
          <w:i/>
          <w:iCs/>
        </w:rPr>
        <w:t>Aged Care Rules 2025</w:t>
      </w:r>
      <w:r w:rsidRPr="000F6CD1">
        <w:t>:</w:t>
      </w:r>
    </w:p>
    <w:p w14:paraId="56519098" w14:textId="5A41DEDF" w:rsidR="0016744D" w:rsidRPr="000F6CD1" w:rsidRDefault="0016744D" w:rsidP="00DF3F6B">
      <w:pPr>
        <w:pStyle w:val="ListParagraph"/>
        <w:numPr>
          <w:ilvl w:val="0"/>
          <w:numId w:val="76"/>
        </w:numPr>
        <w:spacing w:before="240" w:after="240" w:line="240" w:lineRule="auto"/>
      </w:pPr>
      <w:r w:rsidRPr="000F6CD1">
        <w:t xml:space="preserve">a carer for the individual has permanently ceased to provide some or all care to the </w:t>
      </w:r>
      <w:r w:rsidR="00B066E3" w:rsidRPr="000F6CD1">
        <w:t>individual.</w:t>
      </w:r>
      <w:r w:rsidRPr="000F6CD1">
        <w:t xml:space="preserve"> </w:t>
      </w:r>
    </w:p>
    <w:p w14:paraId="1224EC1E" w14:textId="77777777" w:rsidR="0016744D" w:rsidRPr="000F6CD1" w:rsidRDefault="0016744D" w:rsidP="00DF3F6B">
      <w:pPr>
        <w:pStyle w:val="ListParagraph"/>
        <w:numPr>
          <w:ilvl w:val="0"/>
          <w:numId w:val="76"/>
        </w:numPr>
        <w:spacing w:before="240" w:after="240" w:line="240" w:lineRule="auto"/>
      </w:pPr>
      <w:r w:rsidRPr="000F6CD1">
        <w:t>the individual has experienced an event, or a decline in their condition, that is likely to mean that they will require:</w:t>
      </w:r>
    </w:p>
    <w:p w14:paraId="2D82E6A8" w14:textId="77777777" w:rsidR="0016744D" w:rsidRPr="000F6CD1" w:rsidRDefault="0016744D" w:rsidP="00DF3F6B">
      <w:pPr>
        <w:pStyle w:val="ListParagraph"/>
        <w:numPr>
          <w:ilvl w:val="0"/>
          <w:numId w:val="76"/>
        </w:numPr>
        <w:spacing w:before="240" w:after="240" w:line="240" w:lineRule="auto"/>
      </w:pPr>
      <w:r w:rsidRPr="000F6CD1">
        <w:t>more frequent access to a service they are already receiving, or</w:t>
      </w:r>
    </w:p>
    <w:p w14:paraId="11D797DF" w14:textId="77777777" w:rsidR="0016744D" w:rsidRPr="000F6CD1" w:rsidRDefault="0016744D" w:rsidP="00DF3F6B">
      <w:pPr>
        <w:pStyle w:val="ListParagraph"/>
        <w:numPr>
          <w:ilvl w:val="0"/>
          <w:numId w:val="76"/>
        </w:numPr>
        <w:spacing w:before="240" w:after="240" w:line="240" w:lineRule="auto"/>
      </w:pPr>
      <w:r w:rsidRPr="000F6CD1">
        <w:t>access to a service they have been approved for but are not currently receiving, or</w:t>
      </w:r>
    </w:p>
    <w:p w14:paraId="16E9FB83" w14:textId="242AF500" w:rsidR="0016744D" w:rsidRPr="000F6CD1" w:rsidRDefault="0016744D" w:rsidP="00DF3F6B">
      <w:pPr>
        <w:pStyle w:val="ListParagraph"/>
        <w:numPr>
          <w:ilvl w:val="0"/>
          <w:numId w:val="76"/>
        </w:numPr>
        <w:spacing w:before="240" w:after="240" w:line="240" w:lineRule="auto"/>
      </w:pPr>
      <w:r w:rsidRPr="000F6CD1">
        <w:t xml:space="preserve">access to new services not covered in the older person’s access approval. </w:t>
      </w:r>
    </w:p>
    <w:p w14:paraId="29629E98" w14:textId="3D0E2E45" w:rsidR="0016744D" w:rsidRPr="000F6CD1" w:rsidRDefault="0016744D" w:rsidP="00856600">
      <w:pPr>
        <w:spacing w:before="240" w:after="240" w:line="240" w:lineRule="auto"/>
        <w:rPr>
          <w:rFonts w:eastAsia="Yu Gothic Light"/>
        </w:rPr>
      </w:pPr>
      <w:r w:rsidRPr="000F6CD1">
        <w:rPr>
          <w:rFonts w:eastAsia="Yu Gothic Light"/>
        </w:rPr>
        <w:t xml:space="preserve">The </w:t>
      </w:r>
      <w:r w:rsidR="0091752C" w:rsidRPr="000F6CD1">
        <w:rPr>
          <w:rFonts w:eastAsia="Yu Gothic Light"/>
        </w:rPr>
        <w:t>t</w:t>
      </w:r>
      <w:r w:rsidRPr="000F6CD1">
        <w:rPr>
          <w:rFonts w:eastAsia="Yu Gothic Light"/>
        </w:rPr>
        <w:t xml:space="preserve">riage </w:t>
      </w:r>
      <w:r w:rsidR="0091752C" w:rsidRPr="000F6CD1">
        <w:rPr>
          <w:rFonts w:eastAsia="Yu Gothic Light"/>
        </w:rPr>
        <w:t>d</w:t>
      </w:r>
      <w:r w:rsidRPr="000F6CD1">
        <w:rPr>
          <w:rFonts w:eastAsia="Yu Gothic Light"/>
        </w:rPr>
        <w:t>elegate will determine whether an individual is eligible for a reassessment.</w:t>
      </w:r>
      <w:r w:rsidR="006136BF" w:rsidRPr="000F6CD1">
        <w:rPr>
          <w:rFonts w:eastAsia="Yu Gothic Light"/>
        </w:rPr>
        <w:t xml:space="preserve"> </w:t>
      </w:r>
      <w:r w:rsidRPr="000F6CD1">
        <w:t>The information required by Triage Delegates to confirm a reassessment will be gathered by assessors during a support plan review.</w:t>
      </w:r>
    </w:p>
    <w:p w14:paraId="476AE411" w14:textId="1FD6ACCE" w:rsidR="0016744D" w:rsidRPr="000F6CD1" w:rsidRDefault="0016744D" w:rsidP="00856600">
      <w:pPr>
        <w:spacing w:before="240" w:after="240" w:line="240" w:lineRule="auto"/>
        <w:rPr>
          <w:rFonts w:eastAsia="Yu Gothic Light"/>
        </w:rPr>
      </w:pPr>
      <w:r w:rsidRPr="000F6CD1">
        <w:rPr>
          <w:rFonts w:eastAsia="Yu Gothic Light"/>
        </w:rPr>
        <w:t xml:space="preserve">All reassessment requests, including reassessments, begin through the SPR workflow in the </w:t>
      </w:r>
      <w:r w:rsidR="0060352D" w:rsidRPr="000F6CD1">
        <w:rPr>
          <w:rFonts w:eastAsia="Yu Gothic Light"/>
        </w:rPr>
        <w:t>assessor portal</w:t>
      </w:r>
      <w:r w:rsidRPr="000F6CD1">
        <w:rPr>
          <w:rFonts w:eastAsia="Yu Gothic Light"/>
        </w:rPr>
        <w:t xml:space="preserve">. A reassessment will be requested if required. </w:t>
      </w:r>
    </w:p>
    <w:p w14:paraId="6ABC3884" w14:textId="77777777" w:rsidR="0016744D" w:rsidRPr="000F6CD1" w:rsidRDefault="0016744D" w:rsidP="00856600">
      <w:pPr>
        <w:spacing w:before="240" w:after="240" w:line="240" w:lineRule="auto"/>
        <w:rPr>
          <w:rFonts w:eastAsia="Yu Gothic Light"/>
        </w:rPr>
      </w:pPr>
      <w:r w:rsidRPr="000F6CD1">
        <w:rPr>
          <w:rFonts w:eastAsia="Yu Gothic Light"/>
        </w:rPr>
        <w:t>When a client undergoes a reassessment, the system will prompt assessors to review and update the client’s urgency category, even if care needs have not changed.</w:t>
      </w:r>
    </w:p>
    <w:p w14:paraId="51D0FFB6" w14:textId="77777777" w:rsidR="0016744D" w:rsidRPr="000F6CD1" w:rsidRDefault="0016744D" w:rsidP="00856600">
      <w:pPr>
        <w:spacing w:before="240" w:after="240" w:line="240" w:lineRule="auto"/>
      </w:pPr>
      <w:r w:rsidRPr="000F6CD1">
        <w:t xml:space="preserve">One exception to this is the End-of-Life Pathway, where an SPR can be used to transfer a current Support at Home participant from an ongoing classification onto the End-of-Life Pathway. </w:t>
      </w:r>
    </w:p>
    <w:tbl>
      <w:tblPr>
        <w:tblStyle w:val="TableGrid"/>
        <w:tblW w:w="9098" w:type="dxa"/>
        <w:tblLook w:val="04A0" w:firstRow="1" w:lastRow="0" w:firstColumn="1" w:lastColumn="0" w:noHBand="0" w:noVBand="1"/>
      </w:tblPr>
      <w:tblGrid>
        <w:gridCol w:w="993"/>
        <w:gridCol w:w="8105"/>
      </w:tblGrid>
      <w:tr w:rsidR="0016744D" w:rsidRPr="000F6CD1" w14:paraId="26790F33" w14:textId="77777777" w:rsidTr="00D86489">
        <w:trPr>
          <w:trHeight w:val="1276"/>
        </w:trPr>
        <w:tc>
          <w:tcPr>
            <w:tcW w:w="993" w:type="dxa"/>
            <w:vAlign w:val="center"/>
          </w:tcPr>
          <w:p w14:paraId="59EEC833" w14:textId="77777777" w:rsidR="0016744D" w:rsidRPr="000F6CD1" w:rsidRDefault="0016744D" w:rsidP="00856600">
            <w:pPr>
              <w:spacing w:before="240" w:after="240"/>
              <w:rPr>
                <w:rFonts w:eastAsia="MS Mincho"/>
              </w:rPr>
            </w:pPr>
            <w:r w:rsidRPr="000F6CD1">
              <w:rPr>
                <w:noProof/>
              </w:rPr>
              <w:drawing>
                <wp:anchor distT="0" distB="0" distL="114300" distR="114300" simplePos="0" relativeHeight="251658282" behindDoc="0" locked="0" layoutInCell="1" allowOverlap="1" wp14:anchorId="6C364F7E" wp14:editId="7FE3A873">
                  <wp:simplePos x="0" y="0"/>
                  <wp:positionH relativeFrom="column">
                    <wp:posOffset>-4445</wp:posOffset>
                  </wp:positionH>
                  <wp:positionV relativeFrom="paragraph">
                    <wp:posOffset>21590</wp:posOffset>
                  </wp:positionV>
                  <wp:extent cx="447675" cy="445135"/>
                  <wp:effectExtent l="0" t="0" r="0" b="0"/>
                  <wp:wrapSquare wrapText="bothSides"/>
                  <wp:docPr id="1770708866" name="Picture 1770708866"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8866" name="Picture 1770708866"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05" w:type="dxa"/>
            <w:vAlign w:val="center"/>
          </w:tcPr>
          <w:p w14:paraId="1F80ACFC" w14:textId="64EC4FAC" w:rsidR="0016744D" w:rsidRPr="000F6CD1" w:rsidRDefault="00D37F49" w:rsidP="00856600">
            <w:pPr>
              <w:spacing w:before="240" w:after="240"/>
            </w:pPr>
            <w:r w:rsidRPr="000F6CD1">
              <w:t xml:space="preserve">Further information on SPRs and reassessments see </w:t>
            </w:r>
            <w:r w:rsidR="002B4B4F">
              <w:fldChar w:fldCharType="begin"/>
            </w:r>
            <w:r w:rsidR="002B4B4F">
              <w:instrText xml:space="preserve"> REF _Ref232597794 \h </w:instrText>
            </w:r>
            <w:r w:rsidR="002B4B4F">
              <w:fldChar w:fldCharType="separate"/>
            </w:r>
            <w:r w:rsidR="004B171E" w:rsidRPr="000F6CD1">
              <w:t>Chapter 10: Support plan reviews and reassessments</w:t>
            </w:r>
            <w:r w:rsidR="002B4B4F">
              <w:fldChar w:fldCharType="end"/>
            </w:r>
            <w:r w:rsidR="002B4B4F">
              <w:t xml:space="preserve">. </w:t>
            </w:r>
          </w:p>
        </w:tc>
      </w:tr>
    </w:tbl>
    <w:p w14:paraId="026E76F6" w14:textId="4CB68223" w:rsidR="0016744D" w:rsidRPr="000F6CD1" w:rsidRDefault="0016744D" w:rsidP="00856600">
      <w:pPr>
        <w:spacing w:before="240" w:after="240" w:line="240" w:lineRule="auto"/>
      </w:pPr>
      <w:r w:rsidRPr="000F6CD1">
        <w:t xml:space="preserve">Under paragraph 195(3) of the Act, a provider may submit a SPR to request a second concurrent unit of Restorative Care Pathway </w:t>
      </w:r>
      <w:r w:rsidR="00C747AE" w:rsidRPr="000F6CD1">
        <w:t xml:space="preserve">(RCP) </w:t>
      </w:r>
      <w:r w:rsidRPr="000F6CD1">
        <w:t>funding for a person already approved for, and accessing, the R</w:t>
      </w:r>
      <w:r w:rsidR="00C747AE" w:rsidRPr="000F6CD1">
        <w:t>CP</w:t>
      </w:r>
      <w:r w:rsidRPr="000F6CD1">
        <w:t>. To approve the SPR</w:t>
      </w:r>
      <w:r w:rsidR="004D6BC3" w:rsidRPr="000F6CD1">
        <w:t xml:space="preserve">, </w:t>
      </w:r>
      <w:r w:rsidR="00990B5D" w:rsidRPr="000F6CD1">
        <w:t>an assessment delegate</w:t>
      </w:r>
      <w:r w:rsidRPr="000F6CD1">
        <w:t xml:space="preserve"> must</w:t>
      </w:r>
      <w:r w:rsidR="5D514B64" w:rsidRPr="000F6CD1">
        <w:t xml:space="preserve"> </w:t>
      </w:r>
      <w:r w:rsidR="00737FC3" w:rsidRPr="000F6CD1">
        <w:t xml:space="preserve">confirm that the </w:t>
      </w:r>
      <w:r w:rsidR="00977848" w:rsidRPr="000F6CD1">
        <w:t xml:space="preserve">person is entered into </w:t>
      </w:r>
      <w:r w:rsidR="007B725D" w:rsidRPr="000F6CD1">
        <w:t>services and</w:t>
      </w:r>
      <w:r w:rsidR="5D514B64" w:rsidRPr="000F6CD1">
        <w:t xml:space="preserve"> consider the evidence provided outlines sufficient justification of higher needs for multidisciplinary allied health and/</w:t>
      </w:r>
      <w:r w:rsidR="74486B82" w:rsidRPr="000F6CD1">
        <w:t>nursing services to achieve identified restorative care goals.</w:t>
      </w:r>
      <w:r w:rsidR="00006D09" w:rsidRPr="000F6CD1">
        <w:t xml:space="preserve"> </w:t>
      </w:r>
      <w:r w:rsidR="00915785" w:rsidRPr="000F6CD1">
        <w:t xml:space="preserve">Assessment </w:t>
      </w:r>
      <w:r w:rsidR="002B6BE2" w:rsidRPr="000F6CD1">
        <w:t>d</w:t>
      </w:r>
      <w:r w:rsidR="00CF39B5" w:rsidRPr="000F6CD1">
        <w:t xml:space="preserve">elegates may also consider the availability of </w:t>
      </w:r>
      <w:r w:rsidRPr="000F6CD1">
        <w:t>R</w:t>
      </w:r>
      <w:r w:rsidR="00C747AE" w:rsidRPr="000F6CD1">
        <w:t xml:space="preserve">CP </w:t>
      </w:r>
      <w:r w:rsidRPr="000F6CD1">
        <w:t xml:space="preserve">funding units </w:t>
      </w:r>
      <w:r w:rsidR="00CF39B5" w:rsidRPr="000F6CD1">
        <w:t>f</w:t>
      </w:r>
      <w:r w:rsidRPr="000F6CD1">
        <w:t xml:space="preserve">or allocation. </w:t>
      </w:r>
    </w:p>
    <w:p w14:paraId="2EF5294B" w14:textId="4270276C" w:rsidR="00EC4A93" w:rsidRPr="000F6CD1" w:rsidRDefault="00EC4A93" w:rsidP="00856600">
      <w:pPr>
        <w:spacing w:before="240" w:after="240" w:line="240" w:lineRule="auto"/>
      </w:pPr>
      <w:r w:rsidRPr="000F6CD1">
        <w:t>Where an initial RCP place has been withdrawn due to the person not entering care within the required take up period (56 days, with a possible 2</w:t>
      </w:r>
      <w:r w:rsidR="00E814DA" w:rsidRPr="000F6CD1">
        <w:t>8</w:t>
      </w:r>
      <w:r w:rsidRPr="000F6CD1">
        <w:t xml:space="preserve">-day extension), a second unit </w:t>
      </w:r>
      <w:r w:rsidRPr="000F6CD1">
        <w:lastRenderedPageBreak/>
        <w:t>must not be approved</w:t>
      </w:r>
      <w:r w:rsidR="00E814DA" w:rsidRPr="000F6CD1">
        <w:t xml:space="preserve"> via a</w:t>
      </w:r>
      <w:r w:rsidR="2589AD94" w:rsidRPr="000F6CD1">
        <w:t>n</w:t>
      </w:r>
      <w:r w:rsidR="00E814DA" w:rsidRPr="000F6CD1">
        <w:t xml:space="preserve"> SPR</w:t>
      </w:r>
      <w:r w:rsidRPr="000F6CD1">
        <w:t>.</w:t>
      </w:r>
      <w:r w:rsidR="00716D14" w:rsidRPr="000F6CD1">
        <w:t xml:space="preserve"> In these circumstances, a</w:t>
      </w:r>
      <w:r w:rsidR="6BAF8332" w:rsidRPr="000F6CD1">
        <w:t>n</w:t>
      </w:r>
      <w:r w:rsidR="00716D14" w:rsidRPr="000F6CD1">
        <w:t xml:space="preserve"> SPR should not be used to </w:t>
      </w:r>
      <w:r w:rsidR="004A5143" w:rsidRPr="000F6CD1">
        <w:t>attempt to approve</w:t>
      </w:r>
      <w:r w:rsidR="00716D14" w:rsidRPr="000F6CD1">
        <w:t xml:space="preserve"> </w:t>
      </w:r>
      <w:r w:rsidR="000A7538" w:rsidRPr="000F6CD1">
        <w:t>a second unit</w:t>
      </w:r>
      <w:r w:rsidR="00716D14" w:rsidRPr="000F6CD1">
        <w:t xml:space="preserve"> </w:t>
      </w:r>
      <w:r w:rsidR="007F792B" w:rsidRPr="000F6CD1">
        <w:t>RCP but</w:t>
      </w:r>
      <w:r w:rsidR="00716D14" w:rsidRPr="000F6CD1">
        <w:t xml:space="preserve"> may be used to assess and approve alternative supports</w:t>
      </w:r>
      <w:r w:rsidR="00DA41CF" w:rsidRPr="000F6CD1">
        <w:t xml:space="preserve"> (including the need for a reassessment)</w:t>
      </w:r>
      <w:r w:rsidR="00716D14" w:rsidRPr="000F6CD1">
        <w:t xml:space="preserve">, based on the </w:t>
      </w:r>
      <w:r w:rsidR="006F6B6E" w:rsidRPr="000F6CD1">
        <w:t>person</w:t>
      </w:r>
      <w:r w:rsidR="00716D14" w:rsidRPr="000F6CD1">
        <w:t>’s needs.</w:t>
      </w:r>
    </w:p>
    <w:p w14:paraId="62D67356" w14:textId="20923841" w:rsidR="0016744D" w:rsidRPr="000F6CD1" w:rsidRDefault="0016744D" w:rsidP="00AD2CE5">
      <w:pPr>
        <w:pStyle w:val="H3"/>
      </w:pPr>
      <w:bookmarkStart w:id="315" w:name="_Toc204329536"/>
      <w:r w:rsidRPr="000F6CD1">
        <w:t>SPR and reassessment requests</w:t>
      </w:r>
      <w:bookmarkEnd w:id="315"/>
      <w:r w:rsidRPr="000F6CD1">
        <w:t xml:space="preserve"> </w:t>
      </w:r>
      <w:bookmarkEnd w:id="301"/>
      <w:bookmarkEnd w:id="302"/>
      <w:bookmarkEnd w:id="303"/>
      <w:bookmarkEnd w:id="304"/>
      <w:bookmarkEnd w:id="305"/>
      <w:bookmarkEnd w:id="306"/>
      <w:bookmarkEnd w:id="307"/>
      <w:bookmarkEnd w:id="308"/>
      <w:bookmarkEnd w:id="309"/>
      <w:bookmarkEnd w:id="310"/>
      <w:bookmarkEnd w:id="311"/>
      <w:bookmarkEnd w:id="312"/>
    </w:p>
    <w:p w14:paraId="58139E62" w14:textId="3F006C37" w:rsidR="0016744D" w:rsidRPr="000F6CD1" w:rsidRDefault="0016744D" w:rsidP="00856600">
      <w:pPr>
        <w:spacing w:before="240" w:after="240" w:line="240" w:lineRule="auto"/>
      </w:pPr>
      <w:bookmarkStart w:id="316" w:name="_Toc496022783"/>
      <w:r w:rsidRPr="000F6CD1">
        <w:t xml:space="preserve">A SPR request will be referred to the assessment organisation that undertook the most recent assessment. </w:t>
      </w:r>
    </w:p>
    <w:bookmarkEnd w:id="316"/>
    <w:p w14:paraId="03AFF4EA" w14:textId="61B6B957" w:rsidR="0016744D" w:rsidRPr="000F6CD1" w:rsidRDefault="0016744D" w:rsidP="00856600">
      <w:pPr>
        <w:spacing w:before="240" w:after="240" w:line="240" w:lineRule="auto"/>
      </w:pPr>
      <w:r w:rsidRPr="000F6CD1">
        <w:t>A SPR may be requested by:</w:t>
      </w:r>
    </w:p>
    <w:p w14:paraId="10536A49" w14:textId="77777777" w:rsidR="0016744D" w:rsidRPr="000F6CD1" w:rsidRDefault="0016744D" w:rsidP="00DF3F6B">
      <w:pPr>
        <w:pStyle w:val="ListParagraph"/>
        <w:numPr>
          <w:ilvl w:val="0"/>
          <w:numId w:val="63"/>
        </w:numPr>
        <w:spacing w:before="240" w:after="240" w:line="240" w:lineRule="auto"/>
        <w:ind w:left="568" w:hanging="284"/>
      </w:pPr>
      <w:r w:rsidRPr="000F6CD1">
        <w:t>the older person/registered supporter</w:t>
      </w:r>
      <w:r w:rsidRPr="000F6CD1" w:rsidDel="005B762E">
        <w:t xml:space="preserve"> </w:t>
      </w:r>
      <w:r w:rsidRPr="000F6CD1">
        <w:t>(through the My Aged Care Contact Centre or ACSO)</w:t>
      </w:r>
    </w:p>
    <w:p w14:paraId="6B212B9D" w14:textId="77777777" w:rsidR="0016744D" w:rsidRPr="000F6CD1" w:rsidRDefault="0016744D" w:rsidP="00DF3F6B">
      <w:pPr>
        <w:numPr>
          <w:ilvl w:val="0"/>
          <w:numId w:val="63"/>
        </w:numPr>
        <w:spacing w:before="240" w:after="240" w:line="240" w:lineRule="auto"/>
        <w:ind w:left="568" w:hanging="284"/>
      </w:pPr>
      <w:r w:rsidRPr="000F6CD1">
        <w:t>a service provider (through the My Aged Care Service and Support portal)</w:t>
      </w:r>
    </w:p>
    <w:p w14:paraId="23DDDA90" w14:textId="7B754E3A" w:rsidR="0038559D" w:rsidRPr="000F6CD1" w:rsidRDefault="0016744D" w:rsidP="00195891">
      <w:pPr>
        <w:numPr>
          <w:ilvl w:val="0"/>
          <w:numId w:val="63"/>
        </w:numPr>
        <w:spacing w:before="240" w:after="240" w:line="240" w:lineRule="auto"/>
        <w:ind w:left="568" w:hanging="284"/>
        <w:rPr>
          <w:shd w:val="clear" w:color="auto" w:fill="F2F2F2" w:themeFill="background1" w:themeFillShade="F2"/>
        </w:rPr>
      </w:pPr>
      <w:r w:rsidRPr="000F6CD1">
        <w:t xml:space="preserve">a GP, hospital, or community health professional through the My Aged Care </w:t>
      </w:r>
      <w:r w:rsidR="00102776" w:rsidRPr="000F6CD1">
        <w:t>Service Provider and Assessor Helpline</w:t>
      </w:r>
      <w:r w:rsidRPr="000F6CD1">
        <w:t xml:space="preserve"> or a My Aged Care web referral. </w:t>
      </w:r>
    </w:p>
    <w:p w14:paraId="0ECAAAF7" w14:textId="77777777" w:rsidR="0016744D" w:rsidRPr="000F6CD1" w:rsidRDefault="0016744D" w:rsidP="00DF3F6B">
      <w:pPr>
        <w:numPr>
          <w:ilvl w:val="0"/>
          <w:numId w:val="63"/>
        </w:numPr>
        <w:spacing w:before="240" w:after="240" w:line="240" w:lineRule="auto"/>
        <w:ind w:left="568" w:hanging="284"/>
      </w:pPr>
      <w:r w:rsidRPr="000F6CD1">
        <w:t>If a reablement or linking support period is open, the team leader will ask the assessor to finalise the support period so the SPR request can be issued</w:t>
      </w:r>
    </w:p>
    <w:p w14:paraId="100D90BD" w14:textId="77777777" w:rsidR="0016744D" w:rsidRPr="000F6CD1" w:rsidRDefault="0016744D" w:rsidP="00DF3F6B">
      <w:pPr>
        <w:numPr>
          <w:ilvl w:val="0"/>
          <w:numId w:val="63"/>
        </w:numPr>
        <w:spacing w:before="240" w:after="240" w:line="240" w:lineRule="auto"/>
        <w:ind w:left="568" w:hanging="284"/>
      </w:pPr>
      <w:r w:rsidRPr="000F6CD1">
        <w:t>the assessor may initiate a SPR without requiring a request or scheduled SPR.</w:t>
      </w:r>
    </w:p>
    <w:p w14:paraId="0F87DF4B" w14:textId="77777777" w:rsidR="00D47D94" w:rsidRPr="000F6CD1" w:rsidRDefault="00D47D94" w:rsidP="00806A21">
      <w:pPr>
        <w:pStyle w:val="Sub-headings"/>
      </w:pPr>
      <w:r w:rsidRPr="000F6CD1">
        <w:t xml:space="preserve">Note: </w:t>
      </w:r>
    </w:p>
    <w:p w14:paraId="0226A2E3" w14:textId="77777777" w:rsidR="00DF2B65" w:rsidRPr="000F6CD1" w:rsidRDefault="00D47D94" w:rsidP="00806A21">
      <w:pPr>
        <w:pStyle w:val="Sub-headings"/>
      </w:pPr>
      <w:r w:rsidRPr="000F6CD1">
        <w:t xml:space="preserve">A SPR may be requested when an older person is undergoing reablement and/or linking support. </w:t>
      </w:r>
    </w:p>
    <w:p w14:paraId="67D8E245" w14:textId="2AC27C48" w:rsidR="00DF2B65" w:rsidRPr="000F6CD1" w:rsidRDefault="00D47D94" w:rsidP="00806A21">
      <w:pPr>
        <w:pStyle w:val="Sub-headings"/>
      </w:pPr>
      <w:r w:rsidRPr="000F6CD1">
        <w:t xml:space="preserve">If the older person is undergoing reablement or linking support, the team leader will not be able to assign the SPR until the support period is marked as completed. </w:t>
      </w:r>
    </w:p>
    <w:p w14:paraId="4B48878E" w14:textId="3994DB09" w:rsidR="00D47D94" w:rsidRPr="000F6CD1" w:rsidRDefault="00D47D94" w:rsidP="00806A21">
      <w:pPr>
        <w:pStyle w:val="Sub-headings"/>
      </w:pPr>
      <w:r w:rsidRPr="000F6CD1">
        <w:t>To allow continuity of the support period, the assessor can re-add the support period during the SPR.</w:t>
      </w:r>
    </w:p>
    <w:p w14:paraId="1CCDBA28" w14:textId="77777777" w:rsidR="0016744D" w:rsidRPr="000F6CD1" w:rsidRDefault="0016744D" w:rsidP="00856600">
      <w:pPr>
        <w:spacing w:before="240" w:after="240" w:line="240" w:lineRule="auto"/>
        <w:rPr>
          <w:lang w:eastAsia="ko-KR"/>
        </w:rPr>
      </w:pPr>
      <w:r w:rsidRPr="000F6CD1">
        <w:rPr>
          <w:lang w:eastAsia="ko-KR"/>
        </w:rPr>
        <w:t>The My Aged Care Contact Centre, ACSO and service providers should include the following information when requesting a SPR or reassessment:</w:t>
      </w:r>
    </w:p>
    <w:p w14:paraId="1B6B6162"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why the request has been made (e.g., older person’s circumstance)</w:t>
      </w:r>
    </w:p>
    <w:p w14:paraId="01839FB5"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what is the request for (e.g., service type) and why it is needed (e.g., older person’s change in needs or goals)</w:t>
      </w:r>
    </w:p>
    <w:p w14:paraId="31929196"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if the request is urgent and why it is urgent</w:t>
      </w:r>
    </w:p>
    <w:p w14:paraId="5EE7EF20"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if the person has a preference to be assessed by an Aboriginal and Torres Strait Islander assessment organisation</w:t>
      </w:r>
    </w:p>
    <w:p w14:paraId="02CD767C"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what services the older person is currently receiving</w:t>
      </w:r>
    </w:p>
    <w:p w14:paraId="1F47125F"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identify options explored with the older person to increase their current support</w:t>
      </w:r>
    </w:p>
    <w:p w14:paraId="04987725" w14:textId="77777777" w:rsidR="0016744D" w:rsidRPr="000F6CD1" w:rsidRDefault="0016744D" w:rsidP="00DF3F6B">
      <w:pPr>
        <w:pStyle w:val="ListParagraph"/>
        <w:numPr>
          <w:ilvl w:val="0"/>
          <w:numId w:val="60"/>
        </w:numPr>
        <w:spacing w:before="240" w:after="240" w:line="240" w:lineRule="auto"/>
        <w:ind w:left="568" w:hanging="284"/>
        <w:rPr>
          <w:lang w:eastAsia="ko-KR"/>
        </w:rPr>
      </w:pPr>
      <w:r w:rsidRPr="000F6CD1">
        <w:rPr>
          <w:lang w:eastAsia="ko-KR"/>
        </w:rPr>
        <w:t>attach supporting documentation where relevant</w:t>
      </w:r>
    </w:p>
    <w:p w14:paraId="681F8C7F" w14:textId="4B658068" w:rsidR="006D66C9" w:rsidRDefault="0016744D" w:rsidP="00DF3F6B">
      <w:pPr>
        <w:pStyle w:val="ListParagraph"/>
        <w:numPr>
          <w:ilvl w:val="0"/>
          <w:numId w:val="60"/>
        </w:numPr>
        <w:spacing w:before="240" w:after="240" w:line="240" w:lineRule="auto"/>
        <w:ind w:left="568" w:hanging="284"/>
        <w:rPr>
          <w:lang w:eastAsia="ko-KR"/>
        </w:rPr>
      </w:pPr>
      <w:r w:rsidRPr="000F6CD1">
        <w:rPr>
          <w:lang w:eastAsia="ko-KR"/>
        </w:rPr>
        <w:t>identify significant changes in circumstances that the older person has experienced</w:t>
      </w:r>
    </w:p>
    <w:p w14:paraId="5D922A16" w14:textId="2AD3A7FB" w:rsidR="0016744D" w:rsidRPr="000F6CD1" w:rsidRDefault="006D66C9" w:rsidP="006D66C9">
      <w:pPr>
        <w:rPr>
          <w:lang w:eastAsia="ko-KR"/>
        </w:rPr>
      </w:pPr>
      <w:r>
        <w:rPr>
          <w:lang w:eastAsia="ko-KR"/>
        </w:rPr>
        <w:br w:type="page"/>
      </w:r>
    </w:p>
    <w:p w14:paraId="35195A45" w14:textId="07C0B4E6" w:rsidR="0016744D" w:rsidRPr="000F6CD1" w:rsidRDefault="0016744D" w:rsidP="00AD2CE5">
      <w:pPr>
        <w:pStyle w:val="H3"/>
      </w:pPr>
      <w:r w:rsidRPr="000F6CD1">
        <w:lastRenderedPageBreak/>
        <w:t>Managing a</w:t>
      </w:r>
      <w:r w:rsidR="00885496" w:rsidRPr="000F6CD1">
        <w:t>n SPR</w:t>
      </w:r>
      <w:r w:rsidRPr="000F6CD1">
        <w:t xml:space="preserve"> request</w:t>
      </w:r>
    </w:p>
    <w:p w14:paraId="28A8E77A" w14:textId="77777777" w:rsidR="0016744D" w:rsidRPr="000F6CD1" w:rsidRDefault="0016744D" w:rsidP="00856600">
      <w:pPr>
        <w:spacing w:before="240" w:after="240" w:line="240" w:lineRule="auto"/>
      </w:pPr>
      <w:r w:rsidRPr="000F6CD1">
        <w:t>Upon receiving a SPR request and understanding the client’s preferences and needs, the team leader should consider the most appropriate action:</w:t>
      </w:r>
    </w:p>
    <w:p w14:paraId="72C50810" w14:textId="77777777" w:rsidR="0016744D" w:rsidRPr="000F6CD1" w:rsidRDefault="0016744D" w:rsidP="00DF3F6B">
      <w:pPr>
        <w:pStyle w:val="ListParagraph"/>
        <w:numPr>
          <w:ilvl w:val="0"/>
          <w:numId w:val="62"/>
        </w:numPr>
        <w:spacing w:before="240" w:after="240" w:line="240" w:lineRule="auto"/>
        <w:ind w:left="568" w:hanging="284"/>
      </w:pPr>
      <w:r w:rsidRPr="000F6CD1">
        <w:t xml:space="preserve">assign the request </w:t>
      </w:r>
    </w:p>
    <w:p w14:paraId="0BD3385D" w14:textId="77777777" w:rsidR="0016744D" w:rsidRPr="000F6CD1" w:rsidRDefault="0016744D" w:rsidP="00DF3F6B">
      <w:pPr>
        <w:pStyle w:val="ListParagraph"/>
        <w:numPr>
          <w:ilvl w:val="0"/>
          <w:numId w:val="62"/>
        </w:numPr>
        <w:spacing w:before="240" w:after="240" w:line="240" w:lineRule="auto"/>
        <w:ind w:left="568" w:hanging="284"/>
      </w:pPr>
      <w:r w:rsidRPr="000F6CD1">
        <w:t>transfer the request</w:t>
      </w:r>
    </w:p>
    <w:p w14:paraId="412606A6" w14:textId="77777777" w:rsidR="0016744D" w:rsidRPr="000F6CD1" w:rsidRDefault="0016744D" w:rsidP="00DF3F6B">
      <w:pPr>
        <w:pStyle w:val="ListParagraph"/>
        <w:numPr>
          <w:ilvl w:val="0"/>
          <w:numId w:val="62"/>
        </w:numPr>
        <w:spacing w:before="240" w:after="240" w:line="240" w:lineRule="auto"/>
        <w:ind w:left="568" w:hanging="284"/>
      </w:pPr>
      <w:r w:rsidRPr="000F6CD1">
        <w:t>recommend a reassessment, or</w:t>
      </w:r>
    </w:p>
    <w:p w14:paraId="6AD9F75A" w14:textId="77777777" w:rsidR="0016744D" w:rsidRPr="000F6CD1" w:rsidRDefault="0016744D" w:rsidP="00DF3F6B">
      <w:pPr>
        <w:pStyle w:val="ListParagraph"/>
        <w:numPr>
          <w:ilvl w:val="0"/>
          <w:numId w:val="62"/>
        </w:numPr>
        <w:spacing w:before="240" w:after="240" w:line="240" w:lineRule="auto"/>
        <w:ind w:left="568" w:hanging="284"/>
      </w:pPr>
      <w:r w:rsidRPr="000F6CD1">
        <w:t>cancel the request</w:t>
      </w:r>
    </w:p>
    <w:p w14:paraId="7F89D442" w14:textId="0BCC8E6D" w:rsidR="00EE35B1" w:rsidRPr="000F6CD1" w:rsidRDefault="00EE35B1" w:rsidP="00856600">
      <w:pPr>
        <w:spacing w:before="240" w:after="240" w:line="240" w:lineRule="auto"/>
      </w:pPr>
      <w:r w:rsidRPr="000F6CD1">
        <w:t>While no priority category for SPRs exists as it does for assessment referrals, assessors should consider prioritising SPRs where there is an identifiable urgent need</w:t>
      </w:r>
      <w:r w:rsidR="007C0E19" w:rsidRPr="000F6CD1">
        <w:t xml:space="preserve">. This helps ensure </w:t>
      </w:r>
      <w:r w:rsidR="00516348" w:rsidRPr="000F6CD1">
        <w:t>older people</w:t>
      </w:r>
      <w:r w:rsidR="007C0E19" w:rsidRPr="000F6CD1">
        <w:t xml:space="preserve"> who require a higher level of care and services due to their condition are afforded an appropriate assessment with minimal delays</w:t>
      </w:r>
      <w:r w:rsidRPr="000F6CD1">
        <w:t>. In particular, assessors should prioritise:</w:t>
      </w:r>
    </w:p>
    <w:p w14:paraId="65A0F284" w14:textId="77777777" w:rsidR="00EE35B1" w:rsidRPr="000F6CD1" w:rsidRDefault="00EE35B1" w:rsidP="00DF3F6B">
      <w:pPr>
        <w:pStyle w:val="ListParagraph"/>
        <w:numPr>
          <w:ilvl w:val="0"/>
          <w:numId w:val="417"/>
        </w:numPr>
        <w:spacing w:before="240" w:after="240" w:line="240" w:lineRule="auto"/>
      </w:pPr>
      <w:r w:rsidRPr="000F6CD1">
        <w:t>End-of-Life SPRs,</w:t>
      </w:r>
      <w:r w:rsidRPr="000F6CD1">
        <w:rPr>
          <w:b/>
          <w:bCs/>
        </w:rPr>
        <w:t xml:space="preserve"> </w:t>
      </w:r>
      <w:r w:rsidRPr="000F6CD1">
        <w:t>completing them as soon as possible. These will be marked ‘urgent’ in the system.</w:t>
      </w:r>
    </w:p>
    <w:p w14:paraId="6A84AC9C" w14:textId="55F917DC" w:rsidR="00EE35B1" w:rsidRPr="000F6CD1" w:rsidRDefault="00EE35B1" w:rsidP="00DF3F6B">
      <w:pPr>
        <w:pStyle w:val="ListParagraph"/>
        <w:numPr>
          <w:ilvl w:val="0"/>
          <w:numId w:val="417"/>
        </w:numPr>
        <w:spacing w:before="240" w:after="240" w:line="240" w:lineRule="auto"/>
      </w:pPr>
      <w:r w:rsidRPr="000F6CD1">
        <w:t>Referrals where referral information indicates a significant event has occurred or the older person has a rapidly deteriorating condition, all of which will likely result in a reassessment. This will help ensure prompt review by a Triage Delegate</w:t>
      </w:r>
      <w:r w:rsidR="0062408B" w:rsidRPr="000F6CD1">
        <w:t>, who may</w:t>
      </w:r>
      <w:r w:rsidR="00CE27F4" w:rsidRPr="000F6CD1">
        <w:t xml:space="preserve"> recommend interim CHSP services for the individual.</w:t>
      </w:r>
    </w:p>
    <w:p w14:paraId="7EDEC3C5" w14:textId="4A9D94AB" w:rsidR="00EE35B1" w:rsidRPr="000F6CD1" w:rsidRDefault="00EE35B1" w:rsidP="00DF3F6B">
      <w:pPr>
        <w:pStyle w:val="ListParagraph"/>
        <w:numPr>
          <w:ilvl w:val="0"/>
          <w:numId w:val="417"/>
        </w:numPr>
        <w:spacing w:before="240" w:after="240" w:line="240" w:lineRule="auto"/>
      </w:pPr>
      <w:r w:rsidRPr="000F6CD1">
        <w:t xml:space="preserve">Requests for </w:t>
      </w:r>
      <w:r w:rsidRPr="000F6CD1">
        <w:rPr>
          <w:b/>
          <w:bCs/>
        </w:rPr>
        <w:t>a second unit of restorative care</w:t>
      </w:r>
      <w:r w:rsidRPr="000F6CD1">
        <w:t xml:space="preserve"> where </w:t>
      </w:r>
      <w:r w:rsidR="00FF369D" w:rsidRPr="000F6CD1">
        <w:t>the</w:t>
      </w:r>
      <w:r w:rsidR="00A321F0" w:rsidRPr="000F6CD1">
        <w:t xml:space="preserve"> older person is in service and</w:t>
      </w:r>
      <w:r w:rsidRPr="000F6CD1">
        <w:t xml:space="preserve"> there is a need for continuity of services</w:t>
      </w:r>
    </w:p>
    <w:p w14:paraId="79C01ACD" w14:textId="70393B2B" w:rsidR="0016744D" w:rsidRPr="000F6CD1" w:rsidRDefault="00EE35B1" w:rsidP="00856600">
      <w:pPr>
        <w:spacing w:before="240" w:after="240" w:line="240" w:lineRule="auto"/>
      </w:pPr>
      <w:r w:rsidRPr="000F6CD1">
        <w:t xml:space="preserve">Otherwise, </w:t>
      </w:r>
      <w:r w:rsidR="00CC630E" w:rsidRPr="000F6CD1">
        <w:t>a</w:t>
      </w:r>
      <w:r w:rsidR="0016744D" w:rsidRPr="000F6CD1">
        <w:t>ssessment organisations should make contact with the older person’s primary contact (who may be the older person, registered supporter</w:t>
      </w:r>
      <w:r w:rsidR="007051E1" w:rsidRPr="000F6CD1">
        <w:t>, appointed decision maker</w:t>
      </w:r>
      <w:r w:rsidR="0016744D" w:rsidRPr="000F6CD1">
        <w:t xml:space="preserve"> or agent organisation) about a non-urgent SPR request within </w:t>
      </w:r>
      <w:r w:rsidR="0016744D" w:rsidRPr="000F6CD1">
        <w:rPr>
          <w:b/>
        </w:rPr>
        <w:t>two</w:t>
      </w:r>
      <w:r w:rsidR="0016744D" w:rsidRPr="000F6CD1">
        <w:t xml:space="preserve"> to </w:t>
      </w:r>
      <w:r w:rsidR="0016744D" w:rsidRPr="000F6CD1">
        <w:rPr>
          <w:b/>
        </w:rPr>
        <w:t>four</w:t>
      </w:r>
      <w:r w:rsidR="0016744D" w:rsidRPr="000F6CD1">
        <w:t xml:space="preserve"> weeks. SPRs should be completed within 15 days from the date of the SPR referral is accepted, with priority given to older people with the greatest need (as specified within the request indicated by providers or by the My Aged Care contact centre/ACSO).</w:t>
      </w:r>
      <w:r w:rsidR="0062408B" w:rsidRPr="000F6CD1">
        <w:br/>
      </w:r>
    </w:p>
    <w:p w14:paraId="4792E9B4" w14:textId="77777777" w:rsidR="0016744D" w:rsidRPr="000F6CD1" w:rsidRDefault="0016744D" w:rsidP="00856600">
      <w:pPr>
        <w:pStyle w:val="H5"/>
        <w:spacing w:before="240" w:after="240" w:line="240" w:lineRule="auto"/>
      </w:pPr>
      <w:r w:rsidRPr="000F6CD1">
        <w:t>Transfer the request</w:t>
      </w:r>
    </w:p>
    <w:p w14:paraId="6A1C6977" w14:textId="0A9438D7" w:rsidR="0016744D" w:rsidRPr="000F6CD1" w:rsidRDefault="0016744D" w:rsidP="00856600">
      <w:pPr>
        <w:spacing w:before="240" w:after="240" w:line="240" w:lineRule="auto"/>
      </w:pPr>
      <w:r w:rsidRPr="000F6CD1">
        <w:t xml:space="preserve">In some instances, assessment organisations may need to transfer the SPR to another assessment organisation or return the request </w:t>
      </w:r>
      <w:r w:rsidR="00892B83" w:rsidRPr="000F6CD1">
        <w:t xml:space="preserve">for reallocation. </w:t>
      </w:r>
      <w:r w:rsidRPr="000F6CD1">
        <w:t>If the former, it is recommended that the assessment organisation contact the other assessment organisation to confirm the transfer before actioning in the system.</w:t>
      </w:r>
    </w:p>
    <w:p w14:paraId="2789AE44" w14:textId="77777777" w:rsidR="000E0B6C" w:rsidRPr="000F6CD1" w:rsidRDefault="0016744D" w:rsidP="00806A21">
      <w:pPr>
        <w:pStyle w:val="Sub-headings"/>
      </w:pPr>
      <w:r w:rsidRPr="000F6CD1">
        <w:t xml:space="preserve">Note: </w:t>
      </w:r>
    </w:p>
    <w:p w14:paraId="5008EC39" w14:textId="77777777" w:rsidR="00DF2B65" w:rsidRPr="000F6CD1" w:rsidRDefault="0016744D" w:rsidP="00806A21">
      <w:pPr>
        <w:pStyle w:val="Sub-headings"/>
      </w:pPr>
      <w:r w:rsidRPr="000F6CD1">
        <w:t xml:space="preserve">Extra care will need to be taken by team leaders during the staged rollout of Aboriginal and Torres Strait Islander assessment organisations. </w:t>
      </w:r>
    </w:p>
    <w:p w14:paraId="72E75398" w14:textId="7D170D47" w:rsidR="00DF2B65" w:rsidRPr="000F6CD1" w:rsidRDefault="0016744D" w:rsidP="00806A21">
      <w:pPr>
        <w:pStyle w:val="Sub-headings"/>
      </w:pPr>
      <w:r w:rsidRPr="000F6CD1">
        <w:t>There may be instances where a client has had previous interactions with a single assessment system organisation yet has a preference for an Aboriginal and Torres Strait Islander assessment organisation</w:t>
      </w:r>
      <w:r w:rsidR="17045C23" w:rsidRPr="000F6CD1">
        <w:t xml:space="preserve"> </w:t>
      </w:r>
      <w:r w:rsidR="00645684" w:rsidRPr="000F6CD1">
        <w:t>when one becomes available</w:t>
      </w:r>
      <w:r w:rsidRPr="000F6CD1">
        <w:t xml:space="preserve">. </w:t>
      </w:r>
    </w:p>
    <w:p w14:paraId="5F06FA95" w14:textId="3D68A74F" w:rsidR="0016744D" w:rsidRPr="000F6CD1" w:rsidRDefault="0016744D" w:rsidP="00806A21">
      <w:pPr>
        <w:pStyle w:val="Sub-headings"/>
      </w:pPr>
      <w:r w:rsidRPr="000F6CD1">
        <w:t>In this instance, it is recommended that the client be transferred to an Aboriginal and Torres Strait Islander organisation as per the current warm transfer process.</w:t>
      </w:r>
    </w:p>
    <w:p w14:paraId="6E233F62" w14:textId="77777777" w:rsidR="00AD6D81" w:rsidRDefault="00AD6D81">
      <w:pPr>
        <w:rPr>
          <w:b/>
          <w:bCs/>
        </w:rPr>
      </w:pPr>
      <w:r>
        <w:br w:type="page"/>
      </w:r>
    </w:p>
    <w:p w14:paraId="29C805BD" w14:textId="00DB0A35" w:rsidR="0016744D" w:rsidRPr="000F6CD1" w:rsidRDefault="0016744D" w:rsidP="00856600">
      <w:pPr>
        <w:pStyle w:val="H5"/>
        <w:spacing w:before="240" w:after="240" w:line="240" w:lineRule="auto"/>
        <w:rPr>
          <w:color w:val="auto"/>
        </w:rPr>
      </w:pPr>
      <w:r w:rsidRPr="000F6CD1">
        <w:rPr>
          <w:color w:val="auto"/>
        </w:rPr>
        <w:lastRenderedPageBreak/>
        <w:t>Recommend a reassessment</w:t>
      </w:r>
    </w:p>
    <w:p w14:paraId="7990F4CE" w14:textId="4680126D" w:rsidR="0016744D" w:rsidRPr="000F6CD1" w:rsidRDefault="0016744D" w:rsidP="00856600">
      <w:pPr>
        <w:spacing w:before="240" w:after="240" w:line="240" w:lineRule="auto"/>
      </w:pPr>
      <w:r w:rsidRPr="000F6CD1">
        <w:t>If the older person’s circumstances have significantly changed and it is more appropriate to request a reassessment rather than completing a SPR, select ‘Recommend a reassessment</w:t>
      </w:r>
      <w:r w:rsidR="006136BF" w:rsidRPr="000F6CD1">
        <w:t>.’</w:t>
      </w:r>
      <w:r w:rsidRPr="000F6CD1">
        <w:t xml:space="preserve"> </w:t>
      </w:r>
      <w:r w:rsidR="009C4B49" w:rsidRPr="000F6CD1">
        <w:t xml:space="preserve">The Triage Delegate will then determine </w:t>
      </w:r>
      <w:r w:rsidR="009C2B81" w:rsidRPr="000F6CD1">
        <w:t>whether or not a full reassessment is required.</w:t>
      </w:r>
    </w:p>
    <w:p w14:paraId="490C782C" w14:textId="77777777" w:rsidR="0016744D" w:rsidRPr="000F6CD1" w:rsidRDefault="0016744D" w:rsidP="00856600">
      <w:pPr>
        <w:pStyle w:val="H5"/>
        <w:spacing w:before="240" w:after="240" w:line="240" w:lineRule="auto"/>
        <w:rPr>
          <w:color w:val="auto"/>
        </w:rPr>
      </w:pPr>
      <w:r w:rsidRPr="000F6CD1">
        <w:rPr>
          <w:color w:val="auto"/>
        </w:rPr>
        <w:t>Cancel the request</w:t>
      </w:r>
    </w:p>
    <w:p w14:paraId="7E6B1B34" w14:textId="77777777" w:rsidR="0016744D" w:rsidRPr="000F6CD1" w:rsidRDefault="0016744D" w:rsidP="00856600">
      <w:pPr>
        <w:spacing w:before="240" w:after="240" w:line="240" w:lineRule="auto"/>
        <w:rPr>
          <w:lang w:eastAsia="ko-KR"/>
        </w:rPr>
      </w:pPr>
      <w:r w:rsidRPr="000F6CD1">
        <w:rPr>
          <w:lang w:eastAsia="ko-KR"/>
        </w:rPr>
        <w:t>Actions if considering cancelling the SPR:</w:t>
      </w:r>
    </w:p>
    <w:p w14:paraId="6DFF9751" w14:textId="77777777" w:rsidR="0016744D" w:rsidRPr="000F6CD1" w:rsidRDefault="0016744D" w:rsidP="00DF3F6B">
      <w:pPr>
        <w:pStyle w:val="ListParagraph"/>
        <w:numPr>
          <w:ilvl w:val="0"/>
          <w:numId w:val="61"/>
        </w:numPr>
        <w:spacing w:before="240" w:after="240" w:line="240" w:lineRule="auto"/>
        <w:ind w:left="567" w:hanging="283"/>
        <w:rPr>
          <w:lang w:eastAsia="ko-KR"/>
        </w:rPr>
      </w:pPr>
      <w:r w:rsidRPr="000F6CD1">
        <w:rPr>
          <w:lang w:eastAsia="ko-KR"/>
        </w:rPr>
        <w:t xml:space="preserve">If there is insufficient information on the SPR request, however clarification is required on certain aspects, the assessor should contact the older person or service provider where possible to clarify the request, prior to progressing a decision to cancel the SPR. This will manage the risk to older people to ensure the older person is not disadvantaged where they require changes to their aged care support. </w:t>
      </w:r>
    </w:p>
    <w:p w14:paraId="015D0154" w14:textId="72B14107" w:rsidR="0016744D" w:rsidRPr="000F6CD1" w:rsidRDefault="0016744D" w:rsidP="00DF3F6B">
      <w:pPr>
        <w:pStyle w:val="ListParagraph"/>
        <w:numPr>
          <w:ilvl w:val="0"/>
          <w:numId w:val="61"/>
        </w:numPr>
        <w:spacing w:before="240" w:after="240" w:line="240" w:lineRule="auto"/>
        <w:ind w:left="567" w:hanging="283"/>
        <w:rPr>
          <w:lang w:eastAsia="ko-KR"/>
        </w:rPr>
      </w:pPr>
      <w:r w:rsidRPr="000F6CD1">
        <w:rPr>
          <w:lang w:eastAsia="ko-KR"/>
        </w:rPr>
        <w:t xml:space="preserve">The review request may be cancelled by an assessor and a SPR not undertaken if it is inappropriate or if insufficient information is provided to warrant the SPR, or the assessor (after a number of attempts) has not been able to contact the older person’s primary contact (who may be the older person, registered supporter, </w:t>
      </w:r>
      <w:r w:rsidR="00522B8D" w:rsidRPr="000F6CD1">
        <w:rPr>
          <w:lang w:eastAsia="ko-KR"/>
        </w:rPr>
        <w:t xml:space="preserve">appointed decision maker </w:t>
      </w:r>
      <w:r w:rsidRPr="000F6CD1">
        <w:rPr>
          <w:lang w:eastAsia="ko-KR"/>
        </w:rPr>
        <w:t>or agent organisation).</w:t>
      </w:r>
    </w:p>
    <w:p w14:paraId="6808B394" w14:textId="3EDCD3A8" w:rsidR="0016744D" w:rsidRPr="000F6CD1" w:rsidRDefault="0016744D" w:rsidP="00DF3F6B">
      <w:pPr>
        <w:pStyle w:val="ListParagraph"/>
        <w:numPr>
          <w:ilvl w:val="0"/>
          <w:numId w:val="61"/>
        </w:numPr>
        <w:spacing w:before="240" w:after="240" w:line="240" w:lineRule="auto"/>
        <w:ind w:left="567" w:hanging="283"/>
        <w:rPr>
          <w:lang w:eastAsia="ko-KR"/>
        </w:rPr>
      </w:pPr>
      <w:r w:rsidRPr="000F6CD1">
        <w:rPr>
          <w:lang w:eastAsia="ko-KR"/>
        </w:rPr>
        <w:t xml:space="preserve">As a minimum requirement, where the assessor cancels the SPR, they must include the cancellation reason and provide clear explanation justifying the cancellation in the cancellation details field. </w:t>
      </w:r>
    </w:p>
    <w:p w14:paraId="72560488" w14:textId="341504B7" w:rsidR="003D72D3" w:rsidRPr="000F6CD1" w:rsidRDefault="00745B57" w:rsidP="00DF3F6B">
      <w:pPr>
        <w:pStyle w:val="ListParagraph"/>
        <w:numPr>
          <w:ilvl w:val="0"/>
          <w:numId w:val="61"/>
        </w:numPr>
        <w:spacing w:before="240" w:after="240" w:line="240" w:lineRule="auto"/>
        <w:ind w:left="567" w:hanging="283"/>
        <w:rPr>
          <w:lang w:eastAsia="ko-KR"/>
        </w:rPr>
      </w:pPr>
      <w:r w:rsidRPr="000F6CD1">
        <w:rPr>
          <w:lang w:eastAsia="ko-KR"/>
        </w:rPr>
        <w:t xml:space="preserve">Indicating a </w:t>
      </w:r>
      <w:r w:rsidR="0016744D" w:rsidRPr="000F6CD1">
        <w:rPr>
          <w:lang w:eastAsia="ko-KR"/>
        </w:rPr>
        <w:t xml:space="preserve">clear cancellation reason allows the person making the request </w:t>
      </w:r>
      <w:r w:rsidR="00C96B16" w:rsidRPr="000F6CD1">
        <w:rPr>
          <w:lang w:eastAsia="ko-KR"/>
        </w:rPr>
        <w:t xml:space="preserve">to, </w:t>
      </w:r>
      <w:r w:rsidR="0016744D" w:rsidRPr="000F6CD1">
        <w:rPr>
          <w:lang w:eastAsia="ko-KR"/>
        </w:rPr>
        <w:t>if necessary, amend and resubmit the request or follow up with the assessor as necessary.</w:t>
      </w:r>
    </w:p>
    <w:p w14:paraId="30DE1A39" w14:textId="38B0B810" w:rsidR="0016744D" w:rsidRPr="000F6CD1" w:rsidRDefault="003D72D3" w:rsidP="00DF3F6B">
      <w:pPr>
        <w:pStyle w:val="ListParagraph"/>
        <w:numPr>
          <w:ilvl w:val="0"/>
          <w:numId w:val="61"/>
        </w:numPr>
        <w:spacing w:before="240" w:after="240" w:line="240" w:lineRule="auto"/>
        <w:ind w:left="567" w:hanging="283"/>
        <w:rPr>
          <w:lang w:eastAsia="ko-KR"/>
        </w:rPr>
      </w:pPr>
      <w:r w:rsidRPr="000F6CD1">
        <w:rPr>
          <w:lang w:eastAsia="ko-KR"/>
        </w:rPr>
        <w:t>Where</w:t>
      </w:r>
      <w:r w:rsidR="000936B3" w:rsidRPr="000F6CD1">
        <w:rPr>
          <w:lang w:eastAsia="ko-KR"/>
        </w:rPr>
        <w:t xml:space="preserve">, through the course of the </w:t>
      </w:r>
      <w:r w:rsidR="00C937AA" w:rsidRPr="000F6CD1">
        <w:rPr>
          <w:lang w:eastAsia="ko-KR"/>
        </w:rPr>
        <w:t>SPR conversation,</w:t>
      </w:r>
      <w:r w:rsidRPr="000F6CD1">
        <w:rPr>
          <w:lang w:eastAsia="ko-KR"/>
        </w:rPr>
        <w:t xml:space="preserve"> the older person and/or their supporter</w:t>
      </w:r>
      <w:r w:rsidR="000936B3" w:rsidRPr="000F6CD1">
        <w:rPr>
          <w:lang w:eastAsia="ko-KR"/>
        </w:rPr>
        <w:t xml:space="preserve"> considers no changes are required</w:t>
      </w:r>
      <w:r w:rsidR="00C937AA" w:rsidRPr="000F6CD1">
        <w:rPr>
          <w:lang w:eastAsia="ko-KR"/>
        </w:rPr>
        <w:t xml:space="preserve">, they may </w:t>
      </w:r>
      <w:r w:rsidR="00112A51" w:rsidRPr="000F6CD1">
        <w:rPr>
          <w:lang w:eastAsia="ko-KR"/>
        </w:rPr>
        <w:t xml:space="preserve">agree that </w:t>
      </w:r>
      <w:r w:rsidR="00383083" w:rsidRPr="000F6CD1">
        <w:rPr>
          <w:lang w:eastAsia="ko-KR"/>
        </w:rPr>
        <w:t xml:space="preserve">the SPR can be cancelled and </w:t>
      </w:r>
      <w:r w:rsidR="00C937AA" w:rsidRPr="000F6CD1">
        <w:rPr>
          <w:lang w:eastAsia="ko-KR"/>
        </w:rPr>
        <w:t xml:space="preserve">withdraw their application. </w:t>
      </w:r>
      <w:r w:rsidR="003C58B4" w:rsidRPr="000F6CD1">
        <w:rPr>
          <w:lang w:eastAsia="ko-KR"/>
        </w:rPr>
        <w:t xml:space="preserve">A notice of decision advising on this outcome is not required </w:t>
      </w:r>
      <w:r w:rsidR="00C937AA" w:rsidRPr="000F6CD1">
        <w:rPr>
          <w:lang w:eastAsia="ko-KR"/>
        </w:rPr>
        <w:t>as the applicant’s application is taken to be withdrawn.</w:t>
      </w:r>
      <w:r w:rsidR="0016744D" w:rsidRPr="000F6CD1">
        <w:rPr>
          <w:lang w:eastAsia="ko-KR"/>
        </w:rPr>
        <w:t xml:space="preserve"> </w:t>
      </w:r>
    </w:p>
    <w:p w14:paraId="27A9FE20" w14:textId="77777777" w:rsidR="009C4600" w:rsidRPr="000F6CD1" w:rsidRDefault="0016744D" w:rsidP="00806A21">
      <w:pPr>
        <w:pStyle w:val="Sub-headings"/>
      </w:pPr>
      <w:bookmarkStart w:id="317" w:name="_Hlk85717557"/>
      <w:r w:rsidRPr="000F6CD1">
        <w:t xml:space="preserve">Note: </w:t>
      </w:r>
    </w:p>
    <w:p w14:paraId="57F55CD6" w14:textId="0EEFFC2D" w:rsidR="0016744D" w:rsidRPr="000F6CD1" w:rsidRDefault="0016744D" w:rsidP="00806A21">
      <w:pPr>
        <w:pStyle w:val="Sub-headings"/>
      </w:pPr>
      <w:r w:rsidRPr="000F6CD1">
        <w:t>If an older person is requesting a reassessment, an SPR should be undertaken in the first instance. Doing so will allow the assessor to review whether there has been a significant change in aged care needs and referring for a reassessment is warranted</w:t>
      </w:r>
      <w:bookmarkStart w:id="318" w:name="_Hlk85732044"/>
      <w:r w:rsidRPr="000F6CD1">
        <w:t xml:space="preserve">. </w:t>
      </w:r>
      <w:bookmarkEnd w:id="318"/>
    </w:p>
    <w:p w14:paraId="7AF77553" w14:textId="3D1A58FF" w:rsidR="0016744D" w:rsidRPr="000F6CD1" w:rsidRDefault="0016744D" w:rsidP="00806A21">
      <w:pPr>
        <w:pStyle w:val="Sub-headings"/>
      </w:pPr>
      <w:r w:rsidRPr="000F6CD1">
        <w:t>In most circumstances, the cancellation of the SPR should only occur where the older person or active, appointed decision maker</w:t>
      </w:r>
      <w:r w:rsidR="008E39B8" w:rsidRPr="000F6CD1">
        <w:t xml:space="preserve"> recognised under the Act</w:t>
      </w:r>
      <w:r w:rsidRPr="000F6CD1">
        <w:t xml:space="preserve">, (whether registered as a supporter or not), understands and agrees to the cancellation of the SPR. A registered supporter can communicate information, including the decisions of the older person. </w:t>
      </w:r>
    </w:p>
    <w:p w14:paraId="28BA8F9F" w14:textId="3E5CBC62" w:rsidR="000E0B6C" w:rsidRPr="000F6CD1" w:rsidRDefault="0016744D" w:rsidP="00806A21">
      <w:pPr>
        <w:pStyle w:val="Sub-headings"/>
      </w:pPr>
      <w:r w:rsidRPr="000F6CD1">
        <w:t xml:space="preserve">This is also applicable where the assessor decides to cancel an SPR due to the older person having been recently provided with an SPR and there has been no change in the older person’s care needs or situation since the SPR was conducted. </w:t>
      </w:r>
      <w:bookmarkStart w:id="319" w:name="_Toc204329537"/>
      <w:bookmarkStart w:id="320" w:name="_Toc209188975"/>
      <w:bookmarkStart w:id="321" w:name="_Toc159226873"/>
      <w:bookmarkStart w:id="322" w:name="_Toc184402283"/>
      <w:bookmarkStart w:id="323" w:name="_Hlk79572160"/>
      <w:bookmarkEnd w:id="317"/>
    </w:p>
    <w:p w14:paraId="6D21EE17" w14:textId="77777777" w:rsidR="00AD6D81" w:rsidRDefault="00AD6D81" w:rsidP="00AD6D81">
      <w:pPr>
        <w:rPr>
          <w:color w:val="358189"/>
          <w:sz w:val="36"/>
          <w:szCs w:val="36"/>
          <w:lang w:val="en-US"/>
        </w:rPr>
      </w:pPr>
      <w:r>
        <w:br w:type="page"/>
      </w:r>
    </w:p>
    <w:p w14:paraId="420E8888" w14:textId="7D9F8E45" w:rsidR="0016744D" w:rsidRPr="000F6CD1" w:rsidRDefault="0016744D" w:rsidP="006647CE">
      <w:pPr>
        <w:pStyle w:val="h2"/>
        <w:rPr>
          <w:sz w:val="32"/>
          <w:szCs w:val="32"/>
        </w:rPr>
      </w:pPr>
      <w:bookmarkStart w:id="324" w:name="_Toc233282438"/>
      <w:r w:rsidRPr="000F6CD1">
        <w:lastRenderedPageBreak/>
        <w:t xml:space="preserve">Deceased </w:t>
      </w:r>
      <w:bookmarkEnd w:id="319"/>
      <w:bookmarkEnd w:id="320"/>
      <w:r w:rsidR="00516348" w:rsidRPr="000F6CD1">
        <w:t>older people</w:t>
      </w:r>
      <w:bookmarkEnd w:id="324"/>
      <w:r w:rsidRPr="000F6CD1">
        <w:tab/>
      </w:r>
    </w:p>
    <w:p w14:paraId="429899E2" w14:textId="001925F0" w:rsidR="0016744D" w:rsidRPr="000F6CD1" w:rsidRDefault="0016744D" w:rsidP="00856600">
      <w:pPr>
        <w:spacing w:before="240" w:after="240" w:line="240" w:lineRule="auto"/>
      </w:pPr>
      <w:r w:rsidRPr="000F6CD1">
        <w:t xml:space="preserve">Team leaders and assessors can notify My Aged Care of a deceased older person or registered supporter through the </w:t>
      </w:r>
      <w:r w:rsidR="0060352D" w:rsidRPr="000F6CD1">
        <w:t>assessor portal</w:t>
      </w:r>
      <w:r w:rsidRPr="000F6CD1">
        <w:t xml:space="preserve"> to change the older person’s record status to inactive. If assessors are aware of this information during the assessment process, they should complete the notification from the client</w:t>
      </w:r>
      <w:r w:rsidRPr="000F6CD1" w:rsidDel="00E333F2">
        <w:t xml:space="preserve"> </w:t>
      </w:r>
      <w:r w:rsidRPr="000F6CD1">
        <w:t xml:space="preserve">details tab by selecting the ‘Notify My Aged Care of a death’ button. </w:t>
      </w:r>
    </w:p>
    <w:p w14:paraId="735440B9" w14:textId="77777777" w:rsidR="0016744D" w:rsidRPr="000F6CD1" w:rsidRDefault="0016744D" w:rsidP="00856600">
      <w:pPr>
        <w:spacing w:before="240" w:after="240" w:line="240" w:lineRule="auto"/>
        <w:rPr>
          <w:rFonts w:ascii="Calibri" w:eastAsiaTheme="minorHAnsi" w:hAnsi="Calibri" w:cs="Calibri"/>
        </w:rPr>
      </w:pPr>
      <w:r w:rsidRPr="000F6CD1">
        <w:t>Alternatively, the assessor can complete the notification process by selecting ‘Older person deceased’ from the drop-down list when:</w:t>
      </w:r>
    </w:p>
    <w:p w14:paraId="0244004F" w14:textId="77777777" w:rsidR="0016744D" w:rsidRPr="000F6CD1" w:rsidRDefault="0016744D" w:rsidP="00DF3F6B">
      <w:pPr>
        <w:pStyle w:val="ListParagraph"/>
        <w:numPr>
          <w:ilvl w:val="0"/>
          <w:numId w:val="68"/>
        </w:numPr>
        <w:spacing w:before="240" w:after="240" w:line="240" w:lineRule="auto"/>
        <w:ind w:left="568" w:hanging="284"/>
        <w:contextualSpacing w:val="0"/>
        <w:rPr>
          <w:szCs w:val="20"/>
        </w:rPr>
      </w:pPr>
      <w:r w:rsidRPr="000F6CD1">
        <w:rPr>
          <w:szCs w:val="20"/>
        </w:rPr>
        <w:t xml:space="preserve">rejecting a referral for assessment; or </w:t>
      </w:r>
    </w:p>
    <w:p w14:paraId="05CC76FF" w14:textId="77777777" w:rsidR="0016744D" w:rsidRPr="000F6CD1" w:rsidRDefault="0016744D" w:rsidP="00DF3F6B">
      <w:pPr>
        <w:pStyle w:val="ListParagraph"/>
        <w:numPr>
          <w:ilvl w:val="0"/>
          <w:numId w:val="68"/>
        </w:numPr>
        <w:spacing w:before="240" w:after="240" w:line="240" w:lineRule="auto"/>
        <w:ind w:left="568" w:hanging="284"/>
        <w:contextualSpacing w:val="0"/>
        <w:rPr>
          <w:szCs w:val="20"/>
        </w:rPr>
      </w:pPr>
      <w:r w:rsidRPr="000F6CD1">
        <w:rPr>
          <w:szCs w:val="20"/>
        </w:rPr>
        <w:t>cancelling a support plan review.</w:t>
      </w:r>
    </w:p>
    <w:p w14:paraId="0FFDD322" w14:textId="75A023E2" w:rsidR="0016744D" w:rsidRPr="000F6CD1" w:rsidRDefault="0016744D" w:rsidP="00856600">
      <w:pPr>
        <w:spacing w:before="240" w:after="240" w:line="240" w:lineRule="auto"/>
      </w:pPr>
      <w:r w:rsidRPr="000F6CD1">
        <w:t xml:space="preserve">In the case of a client passing away before an assessment could be completed, assessors should follow the ‘client deceased before assessment’ process available through the My Aged Care </w:t>
      </w:r>
      <w:r w:rsidR="0060352D" w:rsidRPr="000F6CD1">
        <w:t>assessor portal</w:t>
      </w:r>
      <w:r w:rsidRPr="000F6CD1">
        <w:t xml:space="preserve">. For further information, see the ‘exceptional circumstances’ section </w:t>
      </w:r>
      <w:r w:rsidR="00560575" w:rsidRPr="000F6CD1">
        <w:fldChar w:fldCharType="begin"/>
      </w:r>
      <w:r w:rsidR="00560575" w:rsidRPr="000F6CD1">
        <w:instrText xml:space="preserve"> REF _Ref212733742 \r \h </w:instrText>
      </w:r>
      <w:r w:rsidR="00560575" w:rsidRPr="000F6CD1">
        <w:fldChar w:fldCharType="separate"/>
      </w:r>
      <w:r w:rsidR="004B171E">
        <w:t>3.5</w:t>
      </w:r>
      <w:r w:rsidR="00560575" w:rsidRPr="000F6CD1">
        <w:fldChar w:fldCharType="end"/>
      </w:r>
      <w:r w:rsidRPr="000F6CD1">
        <w:t xml:space="preserve"> of Chapter </w:t>
      </w:r>
      <w:r w:rsidR="00980B8F" w:rsidRPr="000F6CD1">
        <w:fldChar w:fldCharType="begin"/>
      </w:r>
      <w:r w:rsidR="00980B8F" w:rsidRPr="000F6CD1">
        <w:instrText xml:space="preserve"> REF _Ref212735379 \w \h </w:instrText>
      </w:r>
      <w:r w:rsidR="00980B8F" w:rsidRPr="000F6CD1">
        <w:fldChar w:fldCharType="separate"/>
      </w:r>
      <w:r w:rsidR="004B171E">
        <w:t>3</w:t>
      </w:r>
      <w:r w:rsidR="00980B8F" w:rsidRPr="000F6CD1">
        <w:fldChar w:fldCharType="end"/>
      </w:r>
      <w:r w:rsidRPr="000F6CD1">
        <w:t>.</w:t>
      </w:r>
    </w:p>
    <w:tbl>
      <w:tblPr>
        <w:tblStyle w:val="TableGrid"/>
        <w:tblW w:w="0" w:type="auto"/>
        <w:tblLook w:val="04A0" w:firstRow="1" w:lastRow="0" w:firstColumn="1" w:lastColumn="0" w:noHBand="0" w:noVBand="1"/>
      </w:tblPr>
      <w:tblGrid>
        <w:gridCol w:w="844"/>
        <w:gridCol w:w="7922"/>
      </w:tblGrid>
      <w:tr w:rsidR="0016744D" w:rsidRPr="000F6CD1" w14:paraId="0081EE8D" w14:textId="77777777" w:rsidTr="003160C0">
        <w:trPr>
          <w:trHeight w:val="81"/>
        </w:trPr>
        <w:tc>
          <w:tcPr>
            <w:tcW w:w="844" w:type="dxa"/>
          </w:tcPr>
          <w:p w14:paraId="7557FEE4" w14:textId="77777777" w:rsidR="0016744D" w:rsidRPr="000F6CD1" w:rsidRDefault="0016744D" w:rsidP="00856600">
            <w:pPr>
              <w:spacing w:before="240" w:after="240"/>
              <w:rPr>
                <w:b/>
                <w:szCs w:val="22"/>
              </w:rPr>
            </w:pPr>
            <w:r w:rsidRPr="000F6CD1">
              <w:rPr>
                <w:noProof/>
                <w:shd w:val="clear" w:color="auto" w:fill="FFFFFF" w:themeFill="background1"/>
              </w:rPr>
              <w:drawing>
                <wp:inline distT="0" distB="0" distL="0" distR="0" wp14:anchorId="2D38D9C7" wp14:editId="361DCCC0">
                  <wp:extent cx="383111" cy="381000"/>
                  <wp:effectExtent l="0" t="0" r="0" b="0"/>
                  <wp:docPr id="755280313" name="Picture 75528031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80313" name="Picture 755280313"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4BDA6527" w14:textId="15A3E862" w:rsidR="0016744D" w:rsidRPr="000F6CD1" w:rsidRDefault="0016744D" w:rsidP="0038559D">
            <w:pPr>
              <w:rPr>
                <w:szCs w:val="22"/>
              </w:rPr>
            </w:pPr>
            <w:hyperlink r:id="rId114">
              <w:r w:rsidRPr="000F6CD1">
                <w:rPr>
                  <w:rStyle w:val="Hyperlink"/>
                  <w:szCs w:val="22"/>
                </w:rPr>
                <w:t xml:space="preserve">My Aged Care – Assessor Portal User Guide 1 – Registering and referring </w:t>
              </w:r>
              <w:r w:rsidR="00516348" w:rsidRPr="000F6CD1">
                <w:rPr>
                  <w:rStyle w:val="Hyperlink"/>
                  <w:szCs w:val="22"/>
                </w:rPr>
                <w:t>older people</w:t>
              </w:r>
            </w:hyperlink>
            <w:r w:rsidRPr="000F6CD1">
              <w:rPr>
                <w:szCs w:val="22"/>
              </w:rPr>
              <w:t xml:space="preserve"> </w:t>
            </w:r>
          </w:p>
          <w:p w14:paraId="14677631" w14:textId="3376BA45" w:rsidR="0016744D" w:rsidRPr="000F6CD1" w:rsidRDefault="0016744D" w:rsidP="0038559D">
            <w:pPr>
              <w:rPr>
                <w:szCs w:val="22"/>
              </w:rPr>
            </w:pPr>
            <w:hyperlink r:id="rId115">
              <w:r w:rsidRPr="000F6CD1">
                <w:rPr>
                  <w:rStyle w:val="Hyperlink"/>
                  <w:szCs w:val="22"/>
                </w:rPr>
                <w:t>My Aged Care Assessor Portal User Guide 3 – Managing Referrals for Assessment and Support Plan Reviews</w:t>
              </w:r>
            </w:hyperlink>
            <w:r w:rsidRPr="000F6CD1">
              <w:rPr>
                <w:szCs w:val="22"/>
              </w:rPr>
              <w:t xml:space="preserve"> </w:t>
            </w:r>
          </w:p>
          <w:p w14:paraId="602DF44A" w14:textId="54E7E90F" w:rsidR="0016744D" w:rsidRPr="000F6CD1" w:rsidRDefault="0016744D" w:rsidP="0038559D">
            <w:pPr>
              <w:rPr>
                <w:b/>
                <w:color w:val="1E1444"/>
                <w:sz w:val="32"/>
                <w:szCs w:val="32"/>
              </w:rPr>
            </w:pPr>
            <w:hyperlink r:id="rId116">
              <w:r w:rsidRPr="000F6CD1">
                <w:rPr>
                  <w:rStyle w:val="Hyperlink"/>
                  <w:szCs w:val="22"/>
                </w:rPr>
                <w:t>My Aged Care – Assessor Portal User Guide 4 – Navigating and updating the older person record</w:t>
              </w:r>
            </w:hyperlink>
          </w:p>
          <w:p w14:paraId="5E01A774" w14:textId="77777777" w:rsidR="0016744D" w:rsidRPr="000F6CD1" w:rsidRDefault="0016744D" w:rsidP="0038559D">
            <w:pPr>
              <w:rPr>
                <w:b/>
                <w:bCs/>
                <w:szCs w:val="22"/>
              </w:rPr>
            </w:pPr>
          </w:p>
        </w:tc>
      </w:tr>
    </w:tbl>
    <w:p w14:paraId="58893226" w14:textId="77777777" w:rsidR="009F4477" w:rsidRPr="000F6CD1" w:rsidRDefault="009F4477" w:rsidP="003160C0">
      <w:pPr>
        <w:sectPr w:rsidR="009F4477" w:rsidRPr="000F6CD1" w:rsidSect="00ED03BF">
          <w:headerReference w:type="even" r:id="rId117"/>
          <w:headerReference w:type="default" r:id="rId118"/>
          <w:footerReference w:type="even" r:id="rId119"/>
          <w:footerReference w:type="default" r:id="rId120"/>
          <w:headerReference w:type="first" r:id="rId121"/>
          <w:footerReference w:type="first" r:id="rId122"/>
          <w:pgSz w:w="11906" w:h="16838"/>
          <w:pgMar w:top="1440" w:right="1700" w:bottom="1440" w:left="1440" w:header="708" w:footer="708" w:gutter="0"/>
          <w:cols w:space="708"/>
          <w:docGrid w:linePitch="360"/>
        </w:sectPr>
      </w:pPr>
      <w:bookmarkStart w:id="325" w:name="_Toc198813669"/>
      <w:bookmarkStart w:id="326" w:name="_Toc204329541"/>
      <w:bookmarkStart w:id="327" w:name="_Toc209188976"/>
      <w:bookmarkStart w:id="328" w:name="Ch4_Triage"/>
      <w:bookmarkEnd w:id="321"/>
      <w:bookmarkEnd w:id="322"/>
      <w:bookmarkEnd w:id="323"/>
    </w:p>
    <w:p w14:paraId="631F9311" w14:textId="2D872661" w:rsidR="007A743C" w:rsidRPr="000F6CD1" w:rsidRDefault="007A743C" w:rsidP="00AC3600">
      <w:pPr>
        <w:pStyle w:val="H1"/>
      </w:pPr>
      <w:bookmarkStart w:id="329" w:name="_Ref212735055"/>
      <w:bookmarkStart w:id="330" w:name="_Ref212735077"/>
      <w:bookmarkStart w:id="331" w:name="_Ref212735165"/>
      <w:bookmarkStart w:id="332" w:name="_Ref212735941"/>
      <w:bookmarkStart w:id="333" w:name="_Ref212736043"/>
      <w:bookmarkStart w:id="334" w:name="_Ref212736098"/>
      <w:bookmarkStart w:id="335" w:name="_Ref212736166"/>
      <w:bookmarkStart w:id="336" w:name="_Ref212736469"/>
      <w:bookmarkStart w:id="337" w:name="_Ref212736487"/>
      <w:bookmarkStart w:id="338" w:name="_Ref212736507"/>
      <w:bookmarkStart w:id="339" w:name="_Toc233282439"/>
      <w:r w:rsidRPr="000F6CD1">
        <w:lastRenderedPageBreak/>
        <w:t xml:space="preserve">Chapter 5: </w:t>
      </w:r>
      <w:bookmarkEnd w:id="325"/>
      <w:r w:rsidRPr="000F6CD1">
        <w:t xml:space="preserve">Assessment </w:t>
      </w:r>
      <w:r w:rsidR="00CD761C" w:rsidRPr="000F6CD1">
        <w:t>a</w:t>
      </w:r>
      <w:r w:rsidRPr="000F6CD1">
        <w:t>ctivities</w:t>
      </w:r>
      <w:bookmarkEnd w:id="326"/>
      <w:bookmarkEnd w:id="327"/>
      <w:bookmarkEnd w:id="329"/>
      <w:bookmarkEnd w:id="330"/>
      <w:bookmarkEnd w:id="331"/>
      <w:bookmarkEnd w:id="332"/>
      <w:bookmarkEnd w:id="333"/>
      <w:bookmarkEnd w:id="334"/>
      <w:bookmarkEnd w:id="335"/>
      <w:bookmarkEnd w:id="336"/>
      <w:bookmarkEnd w:id="337"/>
      <w:bookmarkEnd w:id="338"/>
      <w:bookmarkEnd w:id="339"/>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56"/>
      </w:tblGrid>
      <w:tr w:rsidR="007A743C" w:rsidRPr="000F6CD1" w14:paraId="2C7CB611" w14:textId="77777777" w:rsidTr="000E0B6C">
        <w:tc>
          <w:tcPr>
            <w:tcW w:w="9016" w:type="dxa"/>
            <w:shd w:val="clear" w:color="auto" w:fill="F2F2F2" w:themeFill="background1" w:themeFillShade="F2"/>
          </w:tcPr>
          <w:p w14:paraId="4D59D45B" w14:textId="77777777" w:rsidR="007A743C" w:rsidRPr="000F6CD1" w:rsidRDefault="007A743C" w:rsidP="006D539A">
            <w:bookmarkStart w:id="340" w:name="_Toc198813670"/>
            <w:bookmarkStart w:id="341" w:name="_Toc204329542"/>
            <w:bookmarkStart w:id="342" w:name="_Toc209188977"/>
            <w:bookmarkEnd w:id="328"/>
            <w:r w:rsidRPr="000F6CD1">
              <w:rPr>
                <w:b/>
                <w:color w:val="358189"/>
                <w:sz w:val="36"/>
                <w:szCs w:val="36"/>
              </w:rPr>
              <w:t>What you’ll find in this chapter</w:t>
            </w:r>
            <w:bookmarkEnd w:id="340"/>
            <w:bookmarkEnd w:id="341"/>
            <w:bookmarkEnd w:id="342"/>
            <w:r w:rsidRPr="000F6CD1">
              <w:rPr>
                <w:b/>
                <w:color w:val="358189"/>
                <w:sz w:val="36"/>
                <w:szCs w:val="36"/>
              </w:rPr>
              <w:t xml:space="preserve"> </w:t>
            </w:r>
          </w:p>
          <w:p w14:paraId="0A349774" w14:textId="77777777" w:rsidR="007A743C" w:rsidRPr="000F6CD1" w:rsidRDefault="007A743C" w:rsidP="00A677C9">
            <w:pPr>
              <w:spacing w:before="240" w:after="240"/>
            </w:pPr>
            <w:r w:rsidRPr="000F6CD1">
              <w:t>This chapter includes important information about how to undertake an aged care needs assessment and complete a support plan for an older person. It</w:t>
            </w:r>
            <w:r w:rsidRPr="000F6CD1" w:rsidDel="00C86C97">
              <w:t xml:space="preserve"> </w:t>
            </w:r>
            <w:r w:rsidRPr="000F6CD1">
              <w:t>outlines the different services and programs that can be recommended to meet an older person’s needs and goals. This chapter includes:</w:t>
            </w:r>
          </w:p>
          <w:p w14:paraId="6E9C108C" w14:textId="77777777" w:rsidR="007A743C" w:rsidRPr="000F6CD1" w:rsidRDefault="007A743C" w:rsidP="00A677C9">
            <w:pPr>
              <w:pStyle w:val="ListParagraph"/>
              <w:numPr>
                <w:ilvl w:val="0"/>
                <w:numId w:val="30"/>
              </w:numPr>
              <w:spacing w:before="240" w:after="240"/>
            </w:pPr>
            <w:r w:rsidRPr="000F6CD1">
              <w:t>Consent for triage and assessment</w:t>
            </w:r>
          </w:p>
          <w:p w14:paraId="7433BD1F" w14:textId="77777777" w:rsidR="007A743C" w:rsidRPr="000F6CD1" w:rsidRDefault="007A743C" w:rsidP="00A677C9">
            <w:pPr>
              <w:pStyle w:val="ListParagraph"/>
              <w:numPr>
                <w:ilvl w:val="0"/>
                <w:numId w:val="30"/>
              </w:numPr>
              <w:spacing w:before="240" w:after="240"/>
            </w:pPr>
            <w:r w:rsidRPr="000F6CD1">
              <w:t>Triaging Assessments and Triage Delegate role</w:t>
            </w:r>
          </w:p>
          <w:p w14:paraId="7FEB4E9C" w14:textId="77777777" w:rsidR="007A743C" w:rsidRPr="000F6CD1" w:rsidRDefault="007A743C" w:rsidP="00A677C9">
            <w:pPr>
              <w:pStyle w:val="ListParagraph"/>
              <w:numPr>
                <w:ilvl w:val="0"/>
                <w:numId w:val="30"/>
              </w:numPr>
              <w:spacing w:before="240" w:after="240"/>
            </w:pPr>
            <w:r w:rsidRPr="000F6CD1">
              <w:t>Revocation of Eligibility</w:t>
            </w:r>
          </w:p>
          <w:p w14:paraId="0133BCB9" w14:textId="77777777" w:rsidR="007A743C" w:rsidRPr="000F6CD1" w:rsidRDefault="007A743C" w:rsidP="00A677C9">
            <w:pPr>
              <w:pStyle w:val="ListParagraph"/>
              <w:numPr>
                <w:ilvl w:val="0"/>
                <w:numId w:val="30"/>
              </w:numPr>
              <w:spacing w:before="240" w:after="240"/>
            </w:pPr>
            <w:r w:rsidRPr="000F6CD1">
              <w:t>Undertaking a needs assessment using the IAT</w:t>
            </w:r>
          </w:p>
          <w:p w14:paraId="38DBB709" w14:textId="77777777" w:rsidR="007A743C" w:rsidRPr="000F6CD1" w:rsidRDefault="007A743C" w:rsidP="00A677C9">
            <w:pPr>
              <w:pStyle w:val="ListParagraph"/>
              <w:numPr>
                <w:ilvl w:val="0"/>
                <w:numId w:val="30"/>
              </w:numPr>
              <w:spacing w:before="240" w:after="240"/>
            </w:pPr>
            <w:r w:rsidRPr="000F6CD1">
              <w:t>Assessment settings</w:t>
            </w:r>
          </w:p>
          <w:p w14:paraId="6009A617" w14:textId="77777777" w:rsidR="007A743C" w:rsidRPr="000F6CD1" w:rsidRDefault="007A743C" w:rsidP="00A677C9">
            <w:pPr>
              <w:pStyle w:val="ListParagraph"/>
              <w:numPr>
                <w:ilvl w:val="0"/>
                <w:numId w:val="30"/>
              </w:numPr>
              <w:spacing w:before="240" w:after="240"/>
            </w:pPr>
            <w:r w:rsidRPr="000F6CD1">
              <w:t>Clinical attendance</w:t>
            </w:r>
          </w:p>
          <w:p w14:paraId="6D35B325" w14:textId="0C009C24" w:rsidR="007A743C" w:rsidRPr="000F6CD1" w:rsidRDefault="00386B7E" w:rsidP="00A677C9">
            <w:pPr>
              <w:pStyle w:val="ListParagraph"/>
              <w:numPr>
                <w:ilvl w:val="0"/>
                <w:numId w:val="30"/>
              </w:numPr>
              <w:spacing w:before="240" w:after="240"/>
            </w:pPr>
            <w:r>
              <w:t>IAT Outcome</w:t>
            </w:r>
            <w:r w:rsidR="007A743C" w:rsidRPr="000F6CD1">
              <w:t xml:space="preserve"> </w:t>
            </w:r>
          </w:p>
          <w:p w14:paraId="402676C5" w14:textId="77777777" w:rsidR="007A743C" w:rsidRPr="000F6CD1" w:rsidRDefault="007A743C" w:rsidP="00A677C9">
            <w:pPr>
              <w:pStyle w:val="ListParagraph"/>
              <w:numPr>
                <w:ilvl w:val="0"/>
                <w:numId w:val="30"/>
              </w:numPr>
              <w:spacing w:before="240" w:after="240"/>
            </w:pPr>
            <w:r w:rsidRPr="000F6CD1">
              <w:t xml:space="preserve">Recommending service types and services </w:t>
            </w:r>
          </w:p>
          <w:p w14:paraId="1EA745CD" w14:textId="0DC7A0C2" w:rsidR="007A743C" w:rsidRPr="000F6CD1" w:rsidRDefault="007A743C" w:rsidP="00A677C9">
            <w:pPr>
              <w:pStyle w:val="ListParagraph"/>
              <w:numPr>
                <w:ilvl w:val="0"/>
                <w:numId w:val="30"/>
              </w:numPr>
              <w:spacing w:before="240" w:after="240"/>
            </w:pPr>
            <w:r w:rsidRPr="000F6CD1">
              <w:t>Converting a home support assessment to comprehensive</w:t>
            </w:r>
            <w:r w:rsidR="00AA095A" w:rsidRPr="000F6CD1">
              <w:t xml:space="preserve"> assessment</w:t>
            </w:r>
          </w:p>
          <w:p w14:paraId="122D81F9" w14:textId="77777777" w:rsidR="007A743C" w:rsidRPr="000F6CD1" w:rsidRDefault="007A743C" w:rsidP="00A677C9">
            <w:pPr>
              <w:pStyle w:val="ListParagraph"/>
              <w:numPr>
                <w:ilvl w:val="0"/>
                <w:numId w:val="30"/>
              </w:numPr>
              <w:spacing w:before="240" w:after="240"/>
            </w:pPr>
            <w:r w:rsidRPr="000F6CD1">
              <w:t>Support Plan</w:t>
            </w:r>
          </w:p>
          <w:p w14:paraId="76DFDF48" w14:textId="77777777" w:rsidR="007A743C" w:rsidRPr="000F6CD1" w:rsidRDefault="007A743C" w:rsidP="00A677C9">
            <w:pPr>
              <w:pStyle w:val="ListParagraph"/>
              <w:numPr>
                <w:ilvl w:val="0"/>
                <w:numId w:val="30"/>
              </w:numPr>
              <w:spacing w:before="240" w:after="240"/>
            </w:pPr>
            <w:r w:rsidRPr="000F6CD1">
              <w:t>Wellness &amp; Reablement Approach</w:t>
            </w:r>
          </w:p>
          <w:p w14:paraId="0585C558" w14:textId="77777777" w:rsidR="007A743C" w:rsidRPr="000F6CD1" w:rsidRDefault="007A743C" w:rsidP="00A677C9">
            <w:pPr>
              <w:pStyle w:val="ListParagraph"/>
              <w:numPr>
                <w:ilvl w:val="0"/>
                <w:numId w:val="30"/>
              </w:numPr>
              <w:spacing w:before="240" w:after="240"/>
            </w:pPr>
            <w:r w:rsidRPr="000F6CD1">
              <w:t>Recommending time-limited reablement under CHSP</w:t>
            </w:r>
          </w:p>
          <w:p w14:paraId="77F081EE" w14:textId="77777777" w:rsidR="007A743C" w:rsidRPr="000F6CD1" w:rsidRDefault="007A743C" w:rsidP="00A677C9">
            <w:pPr>
              <w:pStyle w:val="ListParagraph"/>
              <w:numPr>
                <w:ilvl w:val="0"/>
                <w:numId w:val="30"/>
              </w:numPr>
              <w:spacing w:before="240" w:after="240"/>
            </w:pPr>
            <w:r w:rsidRPr="000F6CD1">
              <w:t>Linking Supports</w:t>
            </w:r>
          </w:p>
          <w:p w14:paraId="60B573CE" w14:textId="77777777" w:rsidR="007A743C" w:rsidRPr="000F6CD1" w:rsidRDefault="007A743C" w:rsidP="00A677C9">
            <w:pPr>
              <w:pStyle w:val="ListParagraph"/>
              <w:numPr>
                <w:ilvl w:val="0"/>
                <w:numId w:val="30"/>
              </w:numPr>
              <w:spacing w:before="240" w:after="240"/>
            </w:pPr>
            <w:r w:rsidRPr="000F6CD1">
              <w:t>Assessment wrap-up</w:t>
            </w:r>
          </w:p>
          <w:p w14:paraId="2C2898DA" w14:textId="77777777" w:rsidR="007A743C" w:rsidRPr="000F6CD1" w:rsidRDefault="007A743C" w:rsidP="00A677C9">
            <w:pPr>
              <w:spacing w:before="240" w:after="240"/>
            </w:pPr>
          </w:p>
        </w:tc>
      </w:tr>
    </w:tbl>
    <w:p w14:paraId="47617FF8" w14:textId="3D523184" w:rsidR="007A743C" w:rsidRPr="000F6CD1" w:rsidRDefault="000C2C2A" w:rsidP="006647CE">
      <w:pPr>
        <w:pStyle w:val="h2"/>
      </w:pPr>
      <w:bookmarkStart w:id="343" w:name="_Ref127286448"/>
      <w:bookmarkStart w:id="344" w:name="_Ref127286761"/>
      <w:bookmarkStart w:id="345" w:name="_Toc159226875"/>
      <w:bookmarkStart w:id="346" w:name="_Toc184402285"/>
      <w:bookmarkStart w:id="347" w:name="_Toc204329543"/>
      <w:bookmarkStart w:id="348" w:name="_Toc209188978"/>
      <w:bookmarkStart w:id="349" w:name="_Ref212733813"/>
      <w:bookmarkStart w:id="350" w:name="_Ref212734121"/>
      <w:bookmarkStart w:id="351" w:name="_Toc233282440"/>
      <w:bookmarkStart w:id="352" w:name="_Toc198813671"/>
      <w:r>
        <w:rPr>
          <w:iCs/>
          <w:noProof/>
          <w:lang w:eastAsia="ko-KR"/>
        </w:rPr>
        <w:drawing>
          <wp:anchor distT="0" distB="0" distL="114300" distR="114300" simplePos="0" relativeHeight="251658283" behindDoc="0" locked="0" layoutInCell="1" allowOverlap="1" wp14:anchorId="452E4188" wp14:editId="75487913">
            <wp:simplePos x="0" y="0"/>
            <wp:positionH relativeFrom="margin">
              <wp:posOffset>-212090</wp:posOffset>
            </wp:positionH>
            <wp:positionV relativeFrom="margin">
              <wp:posOffset>4961255</wp:posOffset>
            </wp:positionV>
            <wp:extent cx="457200" cy="506095"/>
            <wp:effectExtent l="0" t="0" r="0" b="8255"/>
            <wp:wrapSquare wrapText="bothSides"/>
            <wp:docPr id="1888488561" name="Picture 74"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88561" name="Picture 74" descr="A bell with an exclamation mark that denotes a significant change in information from version 8.2 of the Aged Care Assessment Manual.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7A743C" w:rsidRPr="000F6CD1">
        <w:t xml:space="preserve">Obtaining </w:t>
      </w:r>
      <w:bookmarkEnd w:id="343"/>
      <w:bookmarkEnd w:id="344"/>
      <w:bookmarkEnd w:id="345"/>
      <w:bookmarkEnd w:id="346"/>
      <w:r w:rsidR="007A743C" w:rsidRPr="000F6CD1">
        <w:t>consent for triage and assessment</w:t>
      </w:r>
      <w:bookmarkEnd w:id="347"/>
      <w:bookmarkEnd w:id="348"/>
      <w:bookmarkEnd w:id="349"/>
      <w:bookmarkEnd w:id="350"/>
      <w:bookmarkEnd w:id="351"/>
    </w:p>
    <w:p w14:paraId="0277261D" w14:textId="77777777" w:rsidR="007A743C" w:rsidRPr="000F6CD1" w:rsidRDefault="007A743C" w:rsidP="00A677C9">
      <w:pPr>
        <w:spacing w:before="240" w:after="240" w:line="240" w:lineRule="auto"/>
      </w:pPr>
      <w:r w:rsidRPr="000F6CD1">
        <w:t xml:space="preserve">Assessors must obtain consent, written or verbal, from the older person prior to undertaking triage and assessment. </w:t>
      </w:r>
    </w:p>
    <w:p w14:paraId="2FFDD1EC" w14:textId="77777777" w:rsidR="007A743C" w:rsidRPr="000F6CD1" w:rsidRDefault="007A743C" w:rsidP="00A677C9">
      <w:pPr>
        <w:spacing w:before="240" w:after="240" w:line="240" w:lineRule="auto"/>
      </w:pPr>
      <w:r w:rsidRPr="000F6CD1">
        <w:t xml:space="preserve">When obtaining the older person’s consent to the assessment or before disclosing an older person’s personal or protected information to other parties, the department requires that assessment organisations establish policies and protocols that include the following considerations: </w:t>
      </w:r>
    </w:p>
    <w:p w14:paraId="376B04BB" w14:textId="3C892EE6"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Triage Delegates or assessors must use the applicable consent script online via the Assessor Portal (or in the app in the case of self-referrals).</w:t>
      </w:r>
    </w:p>
    <w:p w14:paraId="1FA15B0B"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The Triage Delegate or assessor should read out the consent script/s to ensure the older person understands and is informed of the purpose for collecting the information and how it will be used and stored, and who the personal or sensitive information will be collected from (such as contacting a person’s GP, other health professionals, disability service coordinator or service provider, family members or carers). If the older person prefers, the older person can read the consent script/s themselves on a printed form.</w:t>
      </w:r>
    </w:p>
    <w:p w14:paraId="0C2E780F" w14:textId="2E16AB0A"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For offline assessments</w:t>
      </w:r>
      <w:r w:rsidR="00035F6A" w:rsidRPr="000F6CD1">
        <w:rPr>
          <w:lang w:val="en-AU"/>
        </w:rPr>
        <w:t>,</w:t>
      </w:r>
      <w:r w:rsidRPr="000F6CD1">
        <w:rPr>
          <w:lang w:val="en-AU"/>
        </w:rPr>
        <w:t xml:space="preserve"> the assessor must use a hard copy version of the My Aged Care Assessment Consent Form. This form includes the consent scripts and fields to record the consent for assessment and service referrals. It is located via the </w:t>
      </w:r>
      <w:r w:rsidRPr="000F6CD1">
        <w:rPr>
          <w:i/>
          <w:lang w:val="en-AU"/>
        </w:rPr>
        <w:t xml:space="preserve">Reports and </w:t>
      </w:r>
      <w:r w:rsidRPr="000F6CD1">
        <w:rPr>
          <w:i/>
          <w:iCs/>
          <w:lang w:val="en-AU"/>
        </w:rPr>
        <w:t>Documents</w:t>
      </w:r>
      <w:r w:rsidRPr="000F6CD1">
        <w:rPr>
          <w:lang w:val="en-AU"/>
        </w:rPr>
        <w:t xml:space="preserve"> </w:t>
      </w:r>
      <w:r w:rsidR="003160C0" w:rsidRPr="000F6CD1">
        <w:rPr>
          <w:lang w:val="en-AU"/>
        </w:rPr>
        <w:t xml:space="preserve">tile </w:t>
      </w:r>
      <w:r w:rsidRPr="000F6CD1">
        <w:rPr>
          <w:lang w:val="en-AU"/>
        </w:rPr>
        <w:t xml:space="preserve">within the My Aged Care assessor portal. </w:t>
      </w:r>
    </w:p>
    <w:p w14:paraId="5CC5C9B5" w14:textId="3BD87C21" w:rsidR="00966BB2" w:rsidRPr="000F6CD1" w:rsidRDefault="00966BB2" w:rsidP="00DF3F6B">
      <w:pPr>
        <w:pStyle w:val="ListParagraph"/>
        <w:numPr>
          <w:ilvl w:val="0"/>
          <w:numId w:val="81"/>
        </w:numPr>
        <w:spacing w:before="240" w:after="240" w:line="240" w:lineRule="auto"/>
        <w:ind w:left="567"/>
      </w:pPr>
      <w:r w:rsidRPr="000F6CD1">
        <w:lastRenderedPageBreak/>
        <w:t xml:space="preserve">While the My Aged Care Assessment Consent Form </w:t>
      </w:r>
      <w:r w:rsidR="00370AFD" w:rsidRPr="000F6CD1">
        <w:t xml:space="preserve">and scripts </w:t>
      </w:r>
      <w:r w:rsidRPr="000F6CD1">
        <w:t xml:space="preserve">should be used to obtain consent from older Aboriginal and Torres Strait </w:t>
      </w:r>
      <w:r w:rsidR="00473B07" w:rsidRPr="000F6CD1">
        <w:t>Islander or</w:t>
      </w:r>
      <w:r w:rsidR="7481E81E" w:rsidRPr="000F6CD1">
        <w:t xml:space="preserve"> culturally and linguistically diverse clients</w:t>
      </w:r>
      <w:r w:rsidR="072090E0" w:rsidRPr="000F6CD1">
        <w:t xml:space="preserve"> </w:t>
      </w:r>
      <w:r w:rsidRPr="000F6CD1">
        <w:t>assessors should take care to adapt the consent script</w:t>
      </w:r>
      <w:r w:rsidR="780F1135" w:rsidRPr="000F6CD1">
        <w:t>, or access interpreters as needed,</w:t>
      </w:r>
      <w:r w:rsidRPr="000F6CD1">
        <w:t xml:space="preserve"> to ensure that it can be clearly understood. </w:t>
      </w:r>
    </w:p>
    <w:p w14:paraId="4E3CCB19" w14:textId="50E08E73" w:rsidR="00172EAD" w:rsidRPr="000F6CD1" w:rsidRDefault="00172EAD" w:rsidP="00FC6EC2">
      <w:pPr>
        <w:pStyle w:val="ListParagraph"/>
        <w:spacing w:before="240" w:after="240" w:line="240" w:lineRule="auto"/>
        <w:ind w:left="567"/>
      </w:pPr>
    </w:p>
    <w:p w14:paraId="673FC51C" w14:textId="62BE3F80" w:rsidR="00B13A72" w:rsidRPr="000F6CD1" w:rsidRDefault="00A27714" w:rsidP="00DF3F6B">
      <w:pPr>
        <w:pStyle w:val="ListParagraph"/>
        <w:numPr>
          <w:ilvl w:val="0"/>
          <w:numId w:val="81"/>
        </w:numPr>
        <w:spacing w:before="240" w:after="240" w:line="240" w:lineRule="auto"/>
        <w:ind w:left="567"/>
      </w:pPr>
      <w:r w:rsidRPr="000F6CD1">
        <w:t xml:space="preserve">Given that many Aboriginal and Torres Strait </w:t>
      </w:r>
      <w:r w:rsidR="00A3174E" w:rsidRPr="000F6CD1">
        <w:t>assessment organisations</w:t>
      </w:r>
      <w:r w:rsidRPr="000F6CD1">
        <w:t xml:space="preserve"> also deliver other services to the community such as Health, aged care or/and Elder Care Support services, consent must be obtained from the client before using information gathered through these services</w:t>
      </w:r>
      <w:r w:rsidRPr="000F6CD1" w:rsidDel="00A42518">
        <w:t xml:space="preserve"> to </w:t>
      </w:r>
      <w:r w:rsidRPr="000F6CD1">
        <w:t xml:space="preserve">inform the aged care assessment. </w:t>
      </w:r>
      <w:r w:rsidR="003861E5" w:rsidRPr="000F6CD1">
        <w:t>Under all circumstances, clients should be given a genuine choice whether they wish to receive an assessment or services from a particular service organisation and should be given the option to seek services from other providers if they so choose.</w:t>
      </w:r>
    </w:p>
    <w:p w14:paraId="6DC0A0BA" w14:textId="77B86E80"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An older person may wish to be supported by someone during their assessment. This could include a trusted family member or friend, advocate or cultural</w:t>
      </w:r>
      <w:r w:rsidR="003A5809" w:rsidRPr="000F6CD1">
        <w:rPr>
          <w:lang w:val="en-AU"/>
        </w:rPr>
        <w:t>ly appropriate support person</w:t>
      </w:r>
      <w:r w:rsidRPr="000F6CD1">
        <w:rPr>
          <w:lang w:val="en-AU"/>
        </w:rPr>
        <w:t>, care finder or elder care support worker, or community representative. These people do not have to be registered as a supporter under the Act to attend the assessment and support the older person</w:t>
      </w:r>
      <w:r w:rsidR="004C71C6" w:rsidRPr="000F6CD1">
        <w:rPr>
          <w:lang w:val="en-AU"/>
        </w:rPr>
        <w:t>, if the older person consents.</w:t>
      </w:r>
      <w:r w:rsidRPr="000F6CD1">
        <w:rPr>
          <w:lang w:val="en-AU"/>
        </w:rPr>
        <w:t xml:space="preserve"> </w:t>
      </w:r>
    </w:p>
    <w:p w14:paraId="064AD8A4" w14:textId="4BFDBF82" w:rsidR="00A3637F" w:rsidRPr="000F6CD1" w:rsidRDefault="00A3637F" w:rsidP="00DF3F6B">
      <w:pPr>
        <w:pStyle w:val="NumberedList"/>
        <w:numPr>
          <w:ilvl w:val="0"/>
          <w:numId w:val="81"/>
        </w:numPr>
        <w:spacing w:before="240" w:after="240" w:line="240" w:lineRule="auto"/>
        <w:ind w:left="568" w:hanging="284"/>
        <w:rPr>
          <w:lang w:val="en-AU"/>
        </w:rPr>
      </w:pPr>
      <w:r w:rsidRPr="000F6CD1">
        <w:rPr>
          <w:lang w:val="en-AU"/>
        </w:rPr>
        <w:t>Note that if a care finder has an Agent relationship established with the older person, the assessor should contact the care finder to assist in scheduling the assessment. The client should explicitly be asked if they would like the care finder to attend the assessment.</w:t>
      </w:r>
    </w:p>
    <w:p w14:paraId="11E2F224" w14:textId="62949690"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 xml:space="preserve">An older person may want, or have, a </w:t>
      </w:r>
      <w:hyperlink w:anchor="CH1_SupportedDecisionMaking" w:history="1">
        <w:r w:rsidRPr="000F6CD1">
          <w:rPr>
            <w:rStyle w:val="Hyperlink"/>
            <w:lang w:val="en-AU"/>
          </w:rPr>
          <w:t>registered supporter</w:t>
        </w:r>
      </w:hyperlink>
      <w:r w:rsidRPr="000F6CD1">
        <w:rPr>
          <w:lang w:val="en-AU"/>
        </w:rPr>
        <w:t xml:space="preserve">. A registered supporter is a person who is registered under the Act to help the older person make and communicate their own decisions. Registered supporters have duties they must uphold. These include </w:t>
      </w:r>
      <w:r w:rsidR="00432CEB" w:rsidRPr="000F6CD1">
        <w:rPr>
          <w:lang w:val="en-AU"/>
        </w:rPr>
        <w:t>acting</w:t>
      </w:r>
      <w:r w:rsidRPr="000F6CD1">
        <w:rPr>
          <w:lang w:val="en-AU"/>
        </w:rPr>
        <w:t xml:space="preserve"> in a way that promotes the will and preferences of the older person they are supporting and support the older person only to the extent needed for the older person to make their own decisions. </w:t>
      </w:r>
    </w:p>
    <w:p w14:paraId="4A6FF837" w14:textId="5D117D25"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Some supporters also have guardianship, enduring power of attorney or similar legal authority for the older person</w:t>
      </w:r>
      <w:r w:rsidR="008E39B8" w:rsidRPr="000F6CD1">
        <w:rPr>
          <w:lang w:val="en-AU"/>
        </w:rPr>
        <w:t xml:space="preserve"> recognised under the Act</w:t>
      </w:r>
      <w:r w:rsidRPr="000F6CD1">
        <w:rPr>
          <w:lang w:val="en-AU"/>
        </w:rPr>
        <w:t xml:space="preserve">. If the older person is not able to give consent at triage or assessment because they are experiencing a loss of decision-making ability, the assessor should check whether they have an appointed decision maker who has active, legal authority to give this consent, whether or not they are yet registered as a supporter. An appointed decision maker can only make decisions on the older person’s behalf in line with their active, legal authority. </w:t>
      </w:r>
    </w:p>
    <w:p w14:paraId="4492251B" w14:textId="3B37A365"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Appointed decision makers are encouraged to register as supporters. However, they are not required to register as supporters in order to exercise the authority they have under a Commonwealth, state or territory arrangement. Assessors can engage with these people before they have formally registered as supporters, as long as the assessor is satisfied that they are an active, appointed decision maker for the decision/s asked</w:t>
      </w:r>
      <w:r w:rsidR="008E39B8" w:rsidRPr="000F6CD1">
        <w:rPr>
          <w:lang w:val="en-AU"/>
        </w:rPr>
        <w:t xml:space="preserve"> recognised under the Act</w:t>
      </w:r>
      <w:r w:rsidRPr="000F6CD1">
        <w:rPr>
          <w:lang w:val="en-AU"/>
        </w:rPr>
        <w:t>. That is, the appointed decision maker is acting within their authority.</w:t>
      </w:r>
    </w:p>
    <w:p w14:paraId="35A64F75" w14:textId="41664AFF" w:rsidR="007A743C" w:rsidRPr="000F6CD1" w:rsidRDefault="00AE59E7" w:rsidP="00DF3F6B">
      <w:pPr>
        <w:pStyle w:val="NumberedList"/>
        <w:numPr>
          <w:ilvl w:val="0"/>
          <w:numId w:val="81"/>
        </w:numPr>
        <w:spacing w:before="240" w:after="240" w:line="240" w:lineRule="auto"/>
        <w:ind w:left="568" w:hanging="284"/>
        <w:rPr>
          <w:lang w:val="en-AU"/>
        </w:rPr>
      </w:pPr>
      <w:r w:rsidRPr="000F6CD1">
        <w:rPr>
          <w:lang w:val="en-AU"/>
        </w:rPr>
        <w:t>Under the Act, a</w:t>
      </w:r>
      <w:r w:rsidR="00AE7711" w:rsidRPr="000F6CD1">
        <w:rPr>
          <w:lang w:val="en-AU"/>
        </w:rPr>
        <w:t xml:space="preserve">ssessors must presume that an older person has the ability to make decisions for themselves. This is </w:t>
      </w:r>
      <w:r w:rsidR="00F9450B" w:rsidRPr="000F6CD1">
        <w:rPr>
          <w:lang w:val="en-AU"/>
        </w:rPr>
        <w:t>known as</w:t>
      </w:r>
      <w:r w:rsidR="00AE7711" w:rsidRPr="000F6CD1">
        <w:rPr>
          <w:lang w:val="en-AU"/>
        </w:rPr>
        <w:t xml:space="preserve"> the presumption of capacity. </w:t>
      </w:r>
      <w:r w:rsidR="00DB629C" w:rsidRPr="000F6CD1">
        <w:rPr>
          <w:lang w:val="en-AU"/>
        </w:rPr>
        <w:t>I</w:t>
      </w:r>
      <w:r w:rsidR="007A743C" w:rsidRPr="000F6CD1">
        <w:rPr>
          <w:lang w:val="en-AU"/>
        </w:rPr>
        <w:t xml:space="preserve">f </w:t>
      </w:r>
      <w:r w:rsidR="00AE7711" w:rsidRPr="000F6CD1">
        <w:rPr>
          <w:lang w:val="en-AU"/>
        </w:rPr>
        <w:t xml:space="preserve">an </w:t>
      </w:r>
      <w:r w:rsidR="007A743C" w:rsidRPr="000F6CD1">
        <w:rPr>
          <w:lang w:val="en-AU"/>
        </w:rPr>
        <w:t xml:space="preserve">assessor </w:t>
      </w:r>
      <w:r w:rsidR="00AE7711" w:rsidRPr="000F6CD1">
        <w:rPr>
          <w:lang w:val="en-AU"/>
        </w:rPr>
        <w:t>becomes</w:t>
      </w:r>
      <w:r w:rsidR="007A743C" w:rsidRPr="000F6CD1">
        <w:rPr>
          <w:lang w:val="en-AU"/>
        </w:rPr>
        <w:t xml:space="preserve"> aware of matters that suggest the older person ha</w:t>
      </w:r>
      <w:r w:rsidR="00DB629C" w:rsidRPr="000F6CD1">
        <w:rPr>
          <w:lang w:val="en-AU"/>
        </w:rPr>
        <w:t>s</w:t>
      </w:r>
      <w:r w:rsidR="007A743C" w:rsidRPr="000F6CD1">
        <w:rPr>
          <w:lang w:val="en-AU"/>
        </w:rPr>
        <w:t xml:space="preserve"> </w:t>
      </w:r>
      <w:r w:rsidR="00DB629C" w:rsidRPr="000F6CD1">
        <w:rPr>
          <w:lang w:val="en-AU"/>
        </w:rPr>
        <w:t>questioned</w:t>
      </w:r>
      <w:r w:rsidR="007A743C" w:rsidRPr="000F6CD1">
        <w:rPr>
          <w:lang w:val="en-AU"/>
        </w:rPr>
        <w:t xml:space="preserve"> decision-making ability and consequently may not have legal capacity to provide informed consent</w:t>
      </w:r>
      <w:r w:rsidR="00DB629C" w:rsidRPr="000F6CD1">
        <w:rPr>
          <w:lang w:val="en-AU"/>
        </w:rPr>
        <w:t xml:space="preserve"> to the assessment,</w:t>
      </w:r>
      <w:r w:rsidR="00AE19B2" w:rsidRPr="000F6CD1">
        <w:rPr>
          <w:lang w:val="en-AU"/>
        </w:rPr>
        <w:t xml:space="preserve"> </w:t>
      </w:r>
      <w:r w:rsidR="00FF7A6E" w:rsidRPr="000F6CD1">
        <w:rPr>
          <w:lang w:val="en-AU"/>
        </w:rPr>
        <w:t xml:space="preserve">the assessor may then seek </w:t>
      </w:r>
      <w:r w:rsidR="008D7C9F" w:rsidRPr="000F6CD1">
        <w:rPr>
          <w:lang w:val="en-AU"/>
        </w:rPr>
        <w:t>consent from the older person’s active, appointed decision maker (if they have one)</w:t>
      </w:r>
      <w:r w:rsidR="004D3E67" w:rsidRPr="000F6CD1">
        <w:rPr>
          <w:lang w:val="en-AU"/>
        </w:rPr>
        <w:t xml:space="preserve">. </w:t>
      </w:r>
      <w:r w:rsidR="006F416E" w:rsidRPr="000F6CD1">
        <w:rPr>
          <w:lang w:val="en-AU"/>
        </w:rPr>
        <w:t xml:space="preserve">In this </w:t>
      </w:r>
      <w:r w:rsidR="006F416E" w:rsidRPr="000F6CD1">
        <w:rPr>
          <w:lang w:val="en-AU"/>
        </w:rPr>
        <w:lastRenderedPageBreak/>
        <w:t xml:space="preserve">circumstance, if </w:t>
      </w:r>
      <w:r w:rsidR="00AE19B2" w:rsidRPr="000F6CD1">
        <w:rPr>
          <w:lang w:val="en-AU"/>
        </w:rPr>
        <w:t>the assessor cannot identify</w:t>
      </w:r>
      <w:r w:rsidR="00B3623E" w:rsidRPr="000F6CD1">
        <w:rPr>
          <w:lang w:val="en-AU"/>
        </w:rPr>
        <w:t xml:space="preserve"> an active, appointed decision maker </w:t>
      </w:r>
      <w:r w:rsidR="00AE19B2" w:rsidRPr="000F6CD1">
        <w:rPr>
          <w:lang w:val="en-AU"/>
        </w:rPr>
        <w:t>who has legal authority to consent to the assessment on behalf of the older person</w:t>
      </w:r>
      <w:r w:rsidR="00B3623E" w:rsidRPr="000F6CD1">
        <w:rPr>
          <w:lang w:val="en-AU"/>
        </w:rPr>
        <w:t xml:space="preserve">, </w:t>
      </w:r>
      <w:r w:rsidR="007A743C" w:rsidRPr="000F6CD1">
        <w:rPr>
          <w:lang w:val="en-AU"/>
        </w:rPr>
        <w:t xml:space="preserve">the assessor </w:t>
      </w:r>
      <w:r w:rsidR="004428D4" w:rsidRPr="000F6CD1">
        <w:rPr>
          <w:lang w:val="en-AU"/>
        </w:rPr>
        <w:t>may consider that the aged care assessment cannot be undertaken</w:t>
      </w:r>
      <w:r w:rsidR="00807BD4" w:rsidRPr="000F6CD1">
        <w:rPr>
          <w:lang w:val="en-AU"/>
        </w:rPr>
        <w:t xml:space="preserve">. </w:t>
      </w:r>
      <w:r w:rsidR="00670E2C" w:rsidRPr="000F6CD1">
        <w:rPr>
          <w:lang w:val="en-AU"/>
        </w:rPr>
        <w:t xml:space="preserve">Further information </w:t>
      </w:r>
      <w:r w:rsidR="009E76EA" w:rsidRPr="000F6CD1">
        <w:rPr>
          <w:lang w:val="en-AU"/>
        </w:rPr>
        <w:t xml:space="preserve">about the concept </w:t>
      </w:r>
      <w:r w:rsidR="00E80013" w:rsidRPr="000F6CD1">
        <w:rPr>
          <w:lang w:val="en-AU"/>
        </w:rPr>
        <w:t>of</w:t>
      </w:r>
      <w:r w:rsidR="009E76EA" w:rsidRPr="000F6CD1">
        <w:rPr>
          <w:lang w:val="en-AU"/>
        </w:rPr>
        <w:t xml:space="preserve"> capacity</w:t>
      </w:r>
      <w:r w:rsidR="00E80013" w:rsidRPr="000F6CD1">
        <w:rPr>
          <w:lang w:val="en-AU"/>
        </w:rPr>
        <w:t xml:space="preserve">, including </w:t>
      </w:r>
      <w:r w:rsidR="00186AD8" w:rsidRPr="000F6CD1">
        <w:rPr>
          <w:lang w:val="en-AU"/>
        </w:rPr>
        <w:t>when</w:t>
      </w:r>
      <w:r w:rsidR="00E80013" w:rsidRPr="000F6CD1">
        <w:rPr>
          <w:lang w:val="en-AU"/>
        </w:rPr>
        <w:t xml:space="preserve"> an older person is considered to have questioned decision-making ability,</w:t>
      </w:r>
      <w:r w:rsidR="00670E2C" w:rsidRPr="000F6CD1">
        <w:rPr>
          <w:lang w:val="en-AU"/>
        </w:rPr>
        <w:t xml:space="preserve"> is available in the </w:t>
      </w:r>
      <w:hyperlink r:id="rId123" w:history="1">
        <w:r w:rsidR="00670E2C" w:rsidRPr="000F6CD1">
          <w:rPr>
            <w:rStyle w:val="Hyperlink"/>
            <w:i/>
            <w:iCs/>
            <w:lang w:val="en-AU"/>
          </w:rPr>
          <w:t>Capacity in the registered supporter context</w:t>
        </w:r>
      </w:hyperlink>
      <w:r w:rsidR="00670E2C" w:rsidRPr="000F6CD1">
        <w:rPr>
          <w:lang w:val="en-AU"/>
        </w:rPr>
        <w:t xml:space="preserve"> policy document.</w:t>
      </w:r>
    </w:p>
    <w:p w14:paraId="4842FC64"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 xml:space="preserve">If an appointed decision maker is required but is not yet in place, people supporting the older person will need to be referred to the processes in their state or territory for appointing decision makers (see Note below). These usually involve formal assessments of decision-making ability by medical practitioners like geriatricians. If an older person has no support network, assessors may consider connecting with the older person’s treating medical practitioner such as a GP, if this information is known. </w:t>
      </w:r>
    </w:p>
    <w:p w14:paraId="4CD96DB5" w14:textId="3B23F958"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 xml:space="preserve">The older person must be able to make an informed decision about whether they want their personal information disclosed to others. When the older person consents to an assessment, they must be made aware that they are agreeing to their personal information being collected for the purposes of the assessment and, where appropriate, disclosed to or used by other parties for the purposes of providing aged care or other community, health, or social services to the older person. Reference should be made to consent scripting and/or privacy collection notices, where available. </w:t>
      </w:r>
    </w:p>
    <w:p w14:paraId="4C528960" w14:textId="1DEB8514"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An older person’s right to confidentiality must always be respected. If an assessor considers that maintaining confidentiality will interfere with or compromise their role in relation to an older person, the matter should be discussed with the older person. This discussion can also involve a registered supporter, if the older person wants their registered supporter involved. This discussion can also involve an older person’s appointed decision maker, if their active, legal authority relates to the personal information the confidentiality issue relate</w:t>
      </w:r>
      <w:r w:rsidR="00223382" w:rsidRPr="000F6CD1">
        <w:rPr>
          <w:lang w:val="en-AU"/>
        </w:rPr>
        <w:t>s</w:t>
      </w:r>
      <w:r w:rsidRPr="000F6CD1">
        <w:rPr>
          <w:lang w:val="en-AU"/>
        </w:rPr>
        <w:t xml:space="preserve"> to.</w:t>
      </w:r>
    </w:p>
    <w:p w14:paraId="156D12CD"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When sharing information from an older person with other parties, assessors should ensure the information is shared securely and is received by individuals who are authorised to receive the information on a ‘need to know’ basis.</w:t>
      </w:r>
    </w:p>
    <w:p w14:paraId="1476FDAB"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Ensure that third parties who receive an older person’s information are aware of privacy requirements and have procedures in place to ensure that the older person’s information is not misused.</w:t>
      </w:r>
    </w:p>
    <w:p w14:paraId="33EE4FA1"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If using online consent, the triage delegate or assessor must use the My Aged Care portal prompts to indicate that consent to triage/assessment was provided. If the older person does not wish to give consent, the triage delegate or assessor will be required to select a reason for not providing consent.</w:t>
      </w:r>
    </w:p>
    <w:p w14:paraId="5871AA67"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If using the Consent Form, the assessor must record the informed consent in the My Aged Care Assessment Consent Form and upload it in the older person’s record through the ‘Attachments’ function. The assessor can then use the ‘Notes’ section in the older person’s record to:</w:t>
      </w:r>
    </w:p>
    <w:p w14:paraId="1BA3263C" w14:textId="77777777" w:rsidR="007A743C" w:rsidRPr="000F6CD1" w:rsidRDefault="007A743C" w:rsidP="00DF3F6B">
      <w:pPr>
        <w:pStyle w:val="NumberedList"/>
        <w:numPr>
          <w:ilvl w:val="1"/>
          <w:numId w:val="81"/>
        </w:numPr>
        <w:spacing w:before="240" w:after="240" w:line="240" w:lineRule="auto"/>
        <w:rPr>
          <w:lang w:val="en-AU"/>
        </w:rPr>
      </w:pPr>
      <w:r w:rsidRPr="000F6CD1">
        <w:rPr>
          <w:lang w:val="en-AU"/>
        </w:rPr>
        <w:t xml:space="preserve">indicate the signed form has been uploaded and consent given </w:t>
      </w:r>
    </w:p>
    <w:p w14:paraId="5CFE8617" w14:textId="77777777" w:rsidR="007A743C" w:rsidRPr="000F6CD1" w:rsidRDefault="007A743C" w:rsidP="00DF3F6B">
      <w:pPr>
        <w:pStyle w:val="NumberedList"/>
        <w:numPr>
          <w:ilvl w:val="1"/>
          <w:numId w:val="81"/>
        </w:numPr>
        <w:spacing w:before="240" w:after="240" w:line="240" w:lineRule="auto"/>
        <w:rPr>
          <w:lang w:val="en-AU"/>
        </w:rPr>
      </w:pPr>
      <w:r w:rsidRPr="000F6CD1">
        <w:rPr>
          <w:lang w:val="en-AU"/>
        </w:rPr>
        <w:t>record any detail the circumstances regarding any disclosure of an older person’s personal information, and</w:t>
      </w:r>
    </w:p>
    <w:p w14:paraId="2B6B0656" w14:textId="77777777" w:rsidR="007A743C" w:rsidRPr="000F6CD1" w:rsidRDefault="007A743C" w:rsidP="00DF3F6B">
      <w:pPr>
        <w:pStyle w:val="NumberedList"/>
        <w:numPr>
          <w:ilvl w:val="1"/>
          <w:numId w:val="81"/>
        </w:numPr>
        <w:spacing w:before="240" w:after="240" w:line="240" w:lineRule="auto"/>
        <w:rPr>
          <w:lang w:val="en-AU"/>
        </w:rPr>
      </w:pPr>
      <w:r w:rsidRPr="000F6CD1">
        <w:rPr>
          <w:lang w:val="en-AU"/>
        </w:rPr>
        <w:lastRenderedPageBreak/>
        <w:t xml:space="preserve">record any instructions relating to the assessor’s conversation on informed consent with the older person (and/or active appointed decision maker) and where relevant, any registered supporters. </w:t>
      </w:r>
    </w:p>
    <w:p w14:paraId="43DECCE3"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If a carer is identified for the first time during the assessment under the ‘Carer profile’ section of the IAT, the assessor must confirm with the older person that the older person has the carer’s consent to provide the carer’s telephone number and related personal information.</w:t>
      </w:r>
    </w:p>
    <w:p w14:paraId="5566EA6B" w14:textId="77777777"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Older</w:t>
      </w:r>
      <w:r w:rsidRPr="000F6CD1" w:rsidDel="00752866">
        <w:rPr>
          <w:lang w:val="en-AU"/>
        </w:rPr>
        <w:t xml:space="preserve"> </w:t>
      </w:r>
      <w:r w:rsidRPr="000F6CD1">
        <w:rPr>
          <w:lang w:val="en-AU"/>
        </w:rPr>
        <w:t xml:space="preserve">people must be made aware that once consent for assessment is gained for the use and disclosure of personal information as authorised by the </w:t>
      </w:r>
      <w:r w:rsidRPr="000F6CD1">
        <w:rPr>
          <w:i/>
          <w:lang w:val="en-AU"/>
        </w:rPr>
        <w:t>Privacy Act 1988</w:t>
      </w:r>
      <w:r w:rsidRPr="000F6CD1">
        <w:rPr>
          <w:lang w:val="en-AU"/>
        </w:rPr>
        <w:t xml:space="preserve"> (Cth) (Privacy Act),</w:t>
      </w:r>
      <w:r w:rsidRPr="000F6CD1" w:rsidDel="00F50EB3">
        <w:rPr>
          <w:lang w:val="en-AU"/>
        </w:rPr>
        <w:t xml:space="preserve"> </w:t>
      </w:r>
      <w:r w:rsidRPr="000F6CD1">
        <w:rPr>
          <w:lang w:val="en-AU"/>
        </w:rPr>
        <w:t xml:space="preserve">these records need to be retained in accordance with the </w:t>
      </w:r>
      <w:r w:rsidRPr="000F6CD1">
        <w:rPr>
          <w:i/>
          <w:lang w:val="en-AU"/>
        </w:rPr>
        <w:t>Archives Act 1983</w:t>
      </w:r>
      <w:r w:rsidRPr="000F6CD1">
        <w:rPr>
          <w:lang w:val="en-AU"/>
        </w:rPr>
        <w:t>.</w:t>
      </w:r>
    </w:p>
    <w:p w14:paraId="0F30C8A3" w14:textId="1911505B" w:rsidR="007A743C" w:rsidRPr="000F6CD1" w:rsidRDefault="007A743C" w:rsidP="00DF3F6B">
      <w:pPr>
        <w:pStyle w:val="NumberedList"/>
        <w:numPr>
          <w:ilvl w:val="0"/>
          <w:numId w:val="81"/>
        </w:numPr>
        <w:spacing w:before="240" w:after="240" w:line="240" w:lineRule="auto"/>
        <w:ind w:left="568" w:hanging="284"/>
        <w:rPr>
          <w:lang w:val="en-AU"/>
        </w:rPr>
      </w:pPr>
      <w:r w:rsidRPr="000F6CD1">
        <w:rPr>
          <w:lang w:val="en-AU"/>
        </w:rPr>
        <w:t xml:space="preserve">When seeking consent to make the older person’s Support Plan available in their My Health Record (MHR), the assessor should ensure the older person understands that their GP, along with other authorised health professionals, will also be able to view their Support Plan on MHR. The assessor can make a note that the older person does not have to give their consent. They can also withdraw their consent at any time by </w:t>
      </w:r>
      <w:r w:rsidR="00F341A2" w:rsidRPr="000F6CD1">
        <w:rPr>
          <w:lang w:val="en-AU"/>
        </w:rPr>
        <w:t>contacting</w:t>
      </w:r>
      <w:r w:rsidR="003A4961" w:rsidRPr="000F6CD1">
        <w:rPr>
          <w:lang w:val="en-AU"/>
        </w:rPr>
        <w:t xml:space="preserve"> My</w:t>
      </w:r>
      <w:r w:rsidR="00F341A2" w:rsidRPr="000F6CD1">
        <w:rPr>
          <w:lang w:val="en-AU"/>
        </w:rPr>
        <w:t xml:space="preserve"> </w:t>
      </w:r>
      <w:r w:rsidRPr="000F6CD1">
        <w:rPr>
          <w:lang w:val="en-AU"/>
        </w:rPr>
        <w:t>Aged Care and requesting removal of their Support Plan from MHR.</w:t>
      </w:r>
    </w:p>
    <w:p w14:paraId="5E5CF94B" w14:textId="65A2C45D" w:rsidR="007A743C" w:rsidRPr="000F6CD1" w:rsidRDefault="007A743C" w:rsidP="00806A21">
      <w:pPr>
        <w:pStyle w:val="Sub-headings"/>
      </w:pPr>
      <w:r w:rsidRPr="000F6CD1">
        <w:t>Note</w:t>
      </w:r>
      <w:r w:rsidR="007F22CF" w:rsidRPr="000F6CD1">
        <w:t>:</w:t>
      </w:r>
    </w:p>
    <w:p w14:paraId="2FD4A423" w14:textId="416C6E89" w:rsidR="007A743C" w:rsidRPr="000F6CD1" w:rsidRDefault="007A743C" w:rsidP="00806A21">
      <w:pPr>
        <w:pStyle w:val="Sub-headings"/>
      </w:pPr>
      <w:r w:rsidRPr="000F6CD1">
        <w:t>1. If consent cannot be given by the older person or their active, appointed decision maker</w:t>
      </w:r>
      <w:r w:rsidR="00516160" w:rsidRPr="000F6CD1">
        <w:t xml:space="preserve"> recognised under the Act</w:t>
      </w:r>
      <w:r w:rsidRPr="000F6CD1">
        <w:t xml:space="preserve"> (either registered as a supporter or not), the triage or assessment cannot proceed, and the referral is rejected.</w:t>
      </w:r>
      <w:r w:rsidR="00883E83" w:rsidRPr="000F6CD1">
        <w:t xml:space="preserve"> Further information on registered supporters and active, appointed decision makers is available </w:t>
      </w:r>
      <w:hyperlink w:anchor="CH1_SupportedDecisionMaking" w:history="1">
        <w:r w:rsidR="00883E83" w:rsidRPr="000F6CD1">
          <w:rPr>
            <w:rStyle w:val="Hyperlink"/>
          </w:rPr>
          <w:t>earlier in this manual</w:t>
        </w:r>
      </w:hyperlink>
      <w:r w:rsidR="00883E83" w:rsidRPr="000F6CD1">
        <w:t xml:space="preserve">. </w:t>
      </w:r>
    </w:p>
    <w:p w14:paraId="07D78F0E" w14:textId="696BDA79" w:rsidR="007A743C" w:rsidRPr="00A42406" w:rsidRDefault="007A743C" w:rsidP="00806A21">
      <w:pPr>
        <w:pStyle w:val="Sub-headings"/>
      </w:pPr>
      <w:r w:rsidRPr="71E2F12B">
        <w:t xml:space="preserve">2. </w:t>
      </w:r>
      <w:r w:rsidR="0015562E" w:rsidRPr="0015562E">
        <w:t xml:space="preserve">Under changes to the Aged Care Rules from 29 June 2026, assessors can approve Disability Support for Older Australians (DSOA) clients for CHSP only (even if the </w:t>
      </w:r>
      <w:r w:rsidR="00386B7E">
        <w:t>IAT Outcome</w:t>
      </w:r>
      <w:r w:rsidR="0015562E" w:rsidRPr="0015562E">
        <w:t xml:space="preserve"> is a Support at Home classification). Should a DSOA client still wish to proceed with a Support at Home classification, the assessor should ensure the DSOA client is informed of the considerations relating to their DSOA funding and supports when they consent to proceed with the aged care assessment. DSOA clients must confirm they understand that if they receive aged care services under Support at Home, their DSOA funding is </w:t>
      </w:r>
      <w:r w:rsidR="000F6453" w:rsidRPr="0015562E">
        <w:t>capped,</w:t>
      </w:r>
      <w:r w:rsidR="0015562E" w:rsidRPr="0015562E">
        <w:t xml:space="preserve"> or they may be required to exit the existing DSOA Program</w:t>
      </w:r>
      <w:r w:rsidR="000F6453">
        <w:t xml:space="preserve"> </w:t>
      </w:r>
      <w:r w:rsidRPr="71E2F12B">
        <w:t xml:space="preserve">(see </w:t>
      </w:r>
      <w:r w:rsidR="004F720E">
        <w:fldChar w:fldCharType="begin"/>
      </w:r>
      <w:r w:rsidR="004F720E">
        <w:instrText xml:space="preserve"> REF _Ref232598041 \h </w:instrText>
      </w:r>
      <w:r w:rsidR="004F720E">
        <w:fldChar w:fldCharType="separate"/>
      </w:r>
      <w:r w:rsidR="004B171E" w:rsidRPr="000F6CD1">
        <w:t>Chapter 6: Aged care programs</w:t>
      </w:r>
      <w:r w:rsidR="004F720E">
        <w:fldChar w:fldCharType="end"/>
      </w:r>
      <w:r w:rsidRPr="71E2F12B">
        <w:t xml:space="preserve">). </w:t>
      </w:r>
    </w:p>
    <w:tbl>
      <w:tblPr>
        <w:tblStyle w:val="TableGrid"/>
        <w:tblW w:w="0" w:type="auto"/>
        <w:tblLook w:val="04A0" w:firstRow="1" w:lastRow="0" w:firstColumn="1" w:lastColumn="0" w:noHBand="0" w:noVBand="1"/>
      </w:tblPr>
      <w:tblGrid>
        <w:gridCol w:w="973"/>
        <w:gridCol w:w="7793"/>
      </w:tblGrid>
      <w:tr w:rsidR="007A743C" w:rsidRPr="000F6CD1" w14:paraId="03F68B61" w14:textId="77777777">
        <w:tc>
          <w:tcPr>
            <w:tcW w:w="988" w:type="dxa"/>
          </w:tcPr>
          <w:p w14:paraId="7397B91D" w14:textId="77777777" w:rsidR="007A743C" w:rsidRPr="000F6CD1" w:rsidRDefault="007A743C" w:rsidP="00A677C9">
            <w:pPr>
              <w:spacing w:before="240" w:after="240"/>
              <w:rPr>
                <w:b/>
              </w:rPr>
            </w:pPr>
            <w:r w:rsidRPr="000F6CD1">
              <w:rPr>
                <w:noProof/>
              </w:rPr>
              <w:drawing>
                <wp:inline distT="0" distB="0" distL="0" distR="0" wp14:anchorId="29696E93" wp14:editId="05524A48">
                  <wp:extent cx="383111" cy="381000"/>
                  <wp:effectExtent l="0" t="0" r="0" b="0"/>
                  <wp:docPr id="104986138" name="Picture 104986138"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6138" name="Picture 104986138"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362" w:type="dxa"/>
          </w:tcPr>
          <w:p w14:paraId="1EA5941C" w14:textId="025FECA3" w:rsidR="007A743C" w:rsidRPr="000F6CD1" w:rsidRDefault="00AB45B0" w:rsidP="00A677C9">
            <w:pPr>
              <w:spacing w:before="240" w:after="240"/>
              <w:rPr>
                <w:b/>
              </w:rPr>
            </w:pPr>
            <w:r w:rsidRPr="000F6CD1">
              <w:rPr>
                <w:b/>
                <w:bCs/>
              </w:rPr>
              <w:t xml:space="preserve">Privacy notice for Aged Care Needs Assessment: </w:t>
            </w:r>
            <w:hyperlink r:id="rId124">
              <w:r w:rsidR="007A743C" w:rsidRPr="000F6CD1">
                <w:rPr>
                  <w:rStyle w:val="Hyperlink"/>
                </w:rPr>
                <w:t>Privacy notice and consent web page</w:t>
              </w:r>
            </w:hyperlink>
          </w:p>
          <w:p w14:paraId="1374AC54" w14:textId="77777777" w:rsidR="0063594B" w:rsidRPr="000F6CD1" w:rsidRDefault="007A743C" w:rsidP="00A677C9">
            <w:pPr>
              <w:spacing w:before="240" w:after="240"/>
            </w:pPr>
            <w:r w:rsidRPr="000F6CD1">
              <w:rPr>
                <w:b/>
              </w:rPr>
              <w:t>Federal Register of Legislation website</w:t>
            </w:r>
            <w:r w:rsidRPr="000F6CD1">
              <w:t xml:space="preserve">: </w:t>
            </w:r>
          </w:p>
          <w:p w14:paraId="2DD987FA" w14:textId="30C5EA4C" w:rsidR="007A743C" w:rsidRPr="000F6CD1" w:rsidRDefault="007A743C" w:rsidP="000C43E7">
            <w:pPr>
              <w:pStyle w:val="ListParagraph"/>
              <w:numPr>
                <w:ilvl w:val="0"/>
                <w:numId w:val="525"/>
              </w:numPr>
              <w:spacing w:before="240" w:after="240"/>
            </w:pPr>
            <w:hyperlink r:id="rId125" w:history="1">
              <w:r w:rsidRPr="000F6CD1">
                <w:rPr>
                  <w:rStyle w:val="Hyperlink"/>
                </w:rPr>
                <w:t>Aged Care Act 2024 - Federal Register of Legislation</w:t>
              </w:r>
            </w:hyperlink>
          </w:p>
          <w:p w14:paraId="0D424988" w14:textId="77777777" w:rsidR="007A743C" w:rsidRPr="000F6CD1" w:rsidRDefault="007A743C" w:rsidP="000C43E7">
            <w:pPr>
              <w:pStyle w:val="ListParagraph"/>
              <w:numPr>
                <w:ilvl w:val="0"/>
                <w:numId w:val="525"/>
              </w:numPr>
              <w:spacing w:before="240" w:after="240"/>
            </w:pPr>
            <w:hyperlink r:id="rId126">
              <w:r w:rsidRPr="000F6CD1">
                <w:rPr>
                  <w:rStyle w:val="Hyperlink"/>
                </w:rPr>
                <w:t>The Privacy Act 1988</w:t>
              </w:r>
            </w:hyperlink>
            <w:r w:rsidRPr="000F6CD1">
              <w:t xml:space="preserve"> </w:t>
            </w:r>
          </w:p>
          <w:p w14:paraId="430B935D" w14:textId="77777777" w:rsidR="007A743C" w:rsidRPr="000F6CD1" w:rsidRDefault="007A743C" w:rsidP="00A677C9">
            <w:pPr>
              <w:spacing w:before="240" w:after="240"/>
            </w:pPr>
            <w:r w:rsidRPr="000F6CD1">
              <w:rPr>
                <w:b/>
              </w:rPr>
              <w:t>Healthdirect website:</w:t>
            </w:r>
            <w:r w:rsidRPr="000F6CD1">
              <w:t xml:space="preserve"> </w:t>
            </w:r>
            <w:hyperlink r:id="rId127">
              <w:r w:rsidRPr="000F6CD1">
                <w:rPr>
                  <w:rStyle w:val="Hyperlink"/>
                </w:rPr>
                <w:t>Healthdirect Privacy policy</w:t>
              </w:r>
            </w:hyperlink>
            <w:r w:rsidRPr="000F6CD1">
              <w:t xml:space="preserve"> </w:t>
            </w:r>
          </w:p>
          <w:p w14:paraId="7C3A4536" w14:textId="77777777" w:rsidR="00D95DF4" w:rsidRPr="000F6CD1" w:rsidRDefault="007A743C" w:rsidP="00A677C9">
            <w:pPr>
              <w:spacing w:before="240" w:after="240"/>
            </w:pPr>
            <w:r w:rsidRPr="000F6CD1">
              <w:rPr>
                <w:b/>
              </w:rPr>
              <w:t>My Aged Care website:</w:t>
            </w:r>
            <w:r w:rsidRPr="000F6CD1">
              <w:t xml:space="preserve"> </w:t>
            </w:r>
          </w:p>
          <w:p w14:paraId="70265E10" w14:textId="77777777" w:rsidR="00D95DF4" w:rsidRPr="005C45DD" w:rsidRDefault="00D95DF4" w:rsidP="006C3B17">
            <w:pPr>
              <w:pStyle w:val="ListParagraph"/>
              <w:numPr>
                <w:ilvl w:val="0"/>
                <w:numId w:val="526"/>
              </w:numPr>
              <w:spacing w:before="240" w:after="240"/>
              <w:rPr>
                <w:color w:val="005A64"/>
              </w:rPr>
            </w:pPr>
            <w:hyperlink r:id="rId128">
              <w:r w:rsidRPr="005C45DD">
                <w:rPr>
                  <w:color w:val="005A64"/>
                  <w:u w:val="single"/>
                </w:rPr>
                <w:t>Privacy Policy | My Aged Care</w:t>
              </w:r>
            </w:hyperlink>
            <w:r w:rsidRPr="005C45DD">
              <w:rPr>
                <w:color w:val="005A64"/>
              </w:rPr>
              <w:t xml:space="preserve"> </w:t>
            </w:r>
          </w:p>
          <w:p w14:paraId="4A3C3CD5" w14:textId="100EFA99" w:rsidR="007A743C" w:rsidRPr="000F6CD1" w:rsidRDefault="00D95DF4" w:rsidP="000C43E7">
            <w:pPr>
              <w:pStyle w:val="ListParagraph"/>
              <w:numPr>
                <w:ilvl w:val="0"/>
                <w:numId w:val="526"/>
              </w:numPr>
              <w:spacing w:before="240" w:after="240"/>
              <w:rPr>
                <w:color w:val="2BB1BB"/>
                <w:u w:val="single"/>
              </w:rPr>
            </w:pPr>
            <w:hyperlink r:id="rId129" w:history="1">
              <w:r w:rsidRPr="000F6CD1">
                <w:rPr>
                  <w:rStyle w:val="Hyperlink"/>
                </w:rPr>
                <w:t>Registering a supporter | My Aged Care</w:t>
              </w:r>
            </w:hyperlink>
          </w:p>
        </w:tc>
      </w:tr>
    </w:tbl>
    <w:p w14:paraId="244DAD1B" w14:textId="03BE76E1" w:rsidR="007A743C" w:rsidRPr="000F6CD1" w:rsidRDefault="00634C88" w:rsidP="006647CE">
      <w:pPr>
        <w:pStyle w:val="h2"/>
      </w:pPr>
      <w:bookmarkStart w:id="353" w:name="_Toc209188979"/>
      <w:bookmarkStart w:id="354" w:name="_Toc233282441"/>
      <w:r w:rsidRPr="000F6CD1">
        <w:rPr>
          <w:bCs w:val="0"/>
          <w:noProof/>
        </w:rPr>
        <w:lastRenderedPageBreak/>
        <w:drawing>
          <wp:anchor distT="0" distB="0" distL="114300" distR="114300" simplePos="0" relativeHeight="251658260" behindDoc="0" locked="0" layoutInCell="1" allowOverlap="1" wp14:anchorId="6BF47C8D" wp14:editId="72181F7A">
            <wp:simplePos x="0" y="0"/>
            <wp:positionH relativeFrom="margin">
              <wp:posOffset>-112735</wp:posOffset>
            </wp:positionH>
            <wp:positionV relativeFrom="margin">
              <wp:posOffset>438411</wp:posOffset>
            </wp:positionV>
            <wp:extent cx="457200" cy="502920"/>
            <wp:effectExtent l="0" t="0" r="0" b="0"/>
            <wp:wrapSquare wrapText="bothSides"/>
            <wp:docPr id="853943076" name="Picture 853943076"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3076" name="Picture 853943076" descr="A bell with an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0F6CD1">
        <w:t xml:space="preserve">Triaging </w:t>
      </w:r>
      <w:r w:rsidR="00CD761C" w:rsidRPr="000F6CD1">
        <w:t>a</w:t>
      </w:r>
      <w:r w:rsidR="007A743C" w:rsidRPr="000F6CD1">
        <w:t>ssessments</w:t>
      </w:r>
      <w:bookmarkEnd w:id="353"/>
      <w:bookmarkEnd w:id="354"/>
    </w:p>
    <w:p w14:paraId="5B5961E0" w14:textId="2E029BBA" w:rsidR="007A743C" w:rsidRPr="000F6CD1" w:rsidRDefault="007A743C" w:rsidP="00A677C9">
      <w:pPr>
        <w:spacing w:before="240" w:after="240" w:line="240" w:lineRule="auto"/>
      </w:pPr>
      <w:r w:rsidRPr="000F6CD1">
        <w:t>Triage is performed after the acceptance of a referral and prior to conducting an aged care assessment. Triage is conducted for every accepted referral, generally over the telephone and should occur within three calendar days of accepting a referral. Triage helps ensure that older people with low needs are not over-assessed and that those with complex needs have access to a comprehensive assessment. Triage also aims to validate the outcomes produced at screening, including the priority allocated to the assessment and whether urgent services are required. For participants seeking access to the End-of-Life Pathway who have submitted their End-of-Life Pathway Form at this stage, triage may also involve verifying this documentation. In addition, the triage process includes scheduling the assessment, work health and safety screening, arrangements for communication needs and confirming support people ahead of the assessment.</w:t>
      </w:r>
    </w:p>
    <w:p w14:paraId="0F0CC6A3" w14:textId="73BCE301" w:rsidR="007A743C" w:rsidRPr="000F6CD1" w:rsidRDefault="007A743C" w:rsidP="00A677C9">
      <w:pPr>
        <w:spacing w:before="240" w:after="240" w:line="240" w:lineRule="auto"/>
      </w:pPr>
      <w:r w:rsidRPr="000F6CD1">
        <w:t>Depending on the older person’s circumstances and referral priority, triage delegates should undertake triage with the person and/or the nominated contact within three calendar days</w:t>
      </w:r>
      <w:r w:rsidR="00C23EE3" w:rsidRPr="000F6CD1">
        <w:t xml:space="preserve"> of accepting the referral</w:t>
      </w:r>
      <w:r w:rsidRPr="000F6CD1">
        <w:t>. Older</w:t>
      </w:r>
      <w:r w:rsidRPr="000F6CD1" w:rsidDel="009E39C7">
        <w:t xml:space="preserve"> </w:t>
      </w:r>
      <w:r w:rsidRPr="000F6CD1">
        <w:t xml:space="preserve">people will require faster response times based on level of risk and need. </w:t>
      </w:r>
    </w:p>
    <w:p w14:paraId="5E03895F" w14:textId="18880822" w:rsidR="00D67284" w:rsidRPr="000F6CD1" w:rsidRDefault="0073481D" w:rsidP="00A677C9">
      <w:pPr>
        <w:spacing w:before="240" w:after="240" w:line="240" w:lineRule="auto"/>
      </w:pPr>
      <w:r w:rsidRPr="000F6CD1">
        <w:t>Please note for Aboriginal and Torres Strait Islander assessment organisations</w:t>
      </w:r>
      <w:r w:rsidR="009D793B" w:rsidRPr="000F6CD1">
        <w:t>-i</w:t>
      </w:r>
      <w:r w:rsidR="007D046D" w:rsidRPr="000F6CD1">
        <w:t xml:space="preserve">n alignment with targets under Outcome Two – Culturally safe, accurate and prioritised assessment under </w:t>
      </w:r>
      <w:hyperlink r:id="rId130" w:history="1">
        <w:r w:rsidR="007D046D" w:rsidRPr="000F6CD1">
          <w:rPr>
            <w:rStyle w:val="Hyperlink"/>
          </w:rPr>
          <w:t>the Aboriginal and Torres Strait Islander Aged Care framework</w:t>
        </w:r>
      </w:hyperlink>
      <w:r w:rsidR="007D046D" w:rsidRPr="000F6CD1">
        <w:t>, the client or their representatives should be contacted and an eligibility determined through triage</w:t>
      </w:r>
      <w:r w:rsidR="002315BB" w:rsidRPr="000F6CD1">
        <w:t>,</w:t>
      </w:r>
      <w:r w:rsidR="007D046D" w:rsidRPr="000F6CD1">
        <w:t xml:space="preserve"> within 10 days of a referral being accepted by the Aboriginal and Tor</w:t>
      </w:r>
      <w:r w:rsidR="004653DE" w:rsidRPr="000F6CD1">
        <w:t>r</w:t>
      </w:r>
      <w:r w:rsidR="007D046D" w:rsidRPr="000F6CD1">
        <w:t xml:space="preserve">es Strait Islander </w:t>
      </w:r>
      <w:r w:rsidR="000F5F6E" w:rsidRPr="000F6CD1">
        <w:t>assessment organisation</w:t>
      </w:r>
      <w:r w:rsidR="007D046D" w:rsidRPr="000F6CD1">
        <w:t>. This timeframe acknowledges the importance of culturally safe engagement, including the need for multiple contacts and additional time that may be needed to establish trust and rapport with the client. However, the timeframe will be dependent on the client circumstances and referral priority. The timeframe should not compromise on older people being able to access timely aged care services. To avoid disadvantaging the client, assessment organisations should still aim to complete the triage process within 3 days to enable the older person to receive a timely assessment.</w:t>
      </w:r>
    </w:p>
    <w:p w14:paraId="5B068211" w14:textId="77777777" w:rsidR="007D046D" w:rsidRPr="000F6CD1" w:rsidRDefault="007D046D" w:rsidP="00A677C9">
      <w:pPr>
        <w:spacing w:before="240" w:after="240" w:line="240" w:lineRule="auto"/>
      </w:pPr>
      <w:r w:rsidRPr="000F6CD1">
        <w:t xml:space="preserve">If an Elder Care Support worker has been facilitating an older person’s access to the aged care system, the assessment organisation should, with consent from the client, involve the Elder Care Support worker in the triage process. </w:t>
      </w:r>
    </w:p>
    <w:p w14:paraId="1897F010" w14:textId="64D753A1" w:rsidR="007D046D" w:rsidRPr="000F6CD1" w:rsidRDefault="007D046D" w:rsidP="00DF2B65">
      <w:pPr>
        <w:spacing w:before="240" w:after="240" w:line="240" w:lineRule="auto"/>
      </w:pPr>
      <w:r w:rsidRPr="000F6CD1">
        <w:t xml:space="preserve">Where an assessment is self-referred, and the assessor is with the client, the assessor may be able to conduct triage with the client at the same time as the assessment. If the assessor is not a Triage Delegate, the Triage must be completed with oversight from a Triage Delegate. </w:t>
      </w:r>
      <w:r w:rsidR="003522C6" w:rsidRPr="000F6CD1">
        <w:t>Note that, i</w:t>
      </w:r>
      <w:r w:rsidR="00253AB1" w:rsidRPr="000F6CD1">
        <w:t xml:space="preserve">n the instance of self-referral, triage constitutes one of the ‘approved forms’ </w:t>
      </w:r>
      <w:r w:rsidR="003522C6" w:rsidRPr="000F6CD1">
        <w:t>under section 56 of the Act.</w:t>
      </w:r>
    </w:p>
    <w:p w14:paraId="782D2325" w14:textId="7E1E0BB5" w:rsidR="007A743C" w:rsidRPr="000F6CD1" w:rsidRDefault="007A743C" w:rsidP="00AD2CE5">
      <w:pPr>
        <w:pStyle w:val="H3"/>
      </w:pPr>
      <w:bookmarkStart w:id="355" w:name="_Toc204329545"/>
      <w:bookmarkStart w:id="356" w:name="_Toc209188980"/>
      <w:r w:rsidRPr="000F6CD1">
        <w:t>Delegation to the Triage Delegate</w:t>
      </w:r>
      <w:bookmarkEnd w:id="355"/>
      <w:bookmarkEnd w:id="356"/>
    </w:p>
    <w:p w14:paraId="76AA2AAA" w14:textId="16D1A548" w:rsidR="007A743C" w:rsidRPr="000F6CD1" w:rsidRDefault="007A743C" w:rsidP="00A677C9">
      <w:pPr>
        <w:spacing w:before="240" w:after="240" w:line="240" w:lineRule="auto"/>
      </w:pPr>
      <w:r w:rsidRPr="000F6CD1">
        <w:t xml:space="preserve">Triage </w:t>
      </w:r>
      <w:r w:rsidR="00E33D44" w:rsidRPr="000F6CD1">
        <w:t>d</w:t>
      </w:r>
      <w:r w:rsidRPr="000F6CD1">
        <w:t>elegate</w:t>
      </w:r>
      <w:r w:rsidR="00E33D44" w:rsidRPr="000F6CD1">
        <w:t>s</w:t>
      </w:r>
      <w:r w:rsidRPr="000F6CD1">
        <w:t xml:space="preserve"> </w:t>
      </w:r>
      <w:r w:rsidR="00E33D44" w:rsidRPr="000F6CD1">
        <w:t>have</w:t>
      </w:r>
      <w:r w:rsidRPr="000F6CD1">
        <w:t xml:space="preserve"> powers and functions afforded to the System Governor under the</w:t>
      </w:r>
      <w:r w:rsidR="00B57AFB" w:rsidRPr="000F6CD1">
        <w:t xml:space="preserve"> </w:t>
      </w:r>
      <w:r w:rsidR="00B57AFB" w:rsidRPr="000F6CD1">
        <w:rPr>
          <w:i/>
          <w:iCs/>
        </w:rPr>
        <w:t>Aged Care</w:t>
      </w:r>
      <w:r w:rsidRPr="000F6CD1">
        <w:rPr>
          <w:i/>
          <w:iCs/>
        </w:rPr>
        <w:t xml:space="preserve"> Act</w:t>
      </w:r>
      <w:r w:rsidR="00B57AFB" w:rsidRPr="000F6CD1">
        <w:rPr>
          <w:i/>
          <w:iCs/>
        </w:rPr>
        <w:t xml:space="preserve"> 2024 </w:t>
      </w:r>
      <w:r w:rsidR="00B57AFB" w:rsidRPr="000F6CD1">
        <w:t>(the Act)</w:t>
      </w:r>
      <w:r w:rsidRPr="000F6CD1">
        <w:rPr>
          <w:i/>
        </w:rPr>
        <w:t xml:space="preserve"> </w:t>
      </w:r>
      <w:r w:rsidRPr="000F6CD1">
        <w:rPr>
          <w:iCs/>
        </w:rPr>
        <w:t>delegated to them</w:t>
      </w:r>
      <w:r w:rsidRPr="000F6CD1">
        <w:t>. Section 58 of the Act relates to eligibility for an aged care needs assessment.</w:t>
      </w:r>
      <w:r w:rsidRPr="000F6CD1">
        <w:rPr>
          <w:i/>
        </w:rPr>
        <w:t xml:space="preserve"> </w:t>
      </w:r>
    </w:p>
    <w:p w14:paraId="7933AF12" w14:textId="52651997" w:rsidR="007A743C" w:rsidRPr="000F6CD1" w:rsidRDefault="007A743C" w:rsidP="00A677C9">
      <w:pPr>
        <w:spacing w:before="240" w:after="240" w:line="240" w:lineRule="auto"/>
      </w:pPr>
      <w:r w:rsidRPr="000F6CD1">
        <w:t xml:space="preserve">Within an assessment organisation, the person holding a </w:t>
      </w:r>
      <w:r w:rsidR="00A64FFD" w:rsidRPr="000F6CD1">
        <w:t>t</w:t>
      </w:r>
      <w:r w:rsidRPr="000F6CD1">
        <w:t xml:space="preserve">riage </w:t>
      </w:r>
      <w:r w:rsidR="00A64FFD" w:rsidRPr="000F6CD1">
        <w:t>d</w:t>
      </w:r>
      <w:r w:rsidRPr="000F6CD1">
        <w:t>elegate role must meet certain qualification</w:t>
      </w:r>
      <w:r w:rsidR="001A3FAA" w:rsidRPr="000F6CD1">
        <w:t>s</w:t>
      </w:r>
      <w:r w:rsidRPr="000F6CD1">
        <w:t xml:space="preserve"> </w:t>
      </w:r>
      <w:r w:rsidR="00AB15C8" w:rsidRPr="000F6CD1">
        <w:t>(</w:t>
      </w:r>
      <w:r w:rsidRPr="000F6CD1">
        <w:t xml:space="preserve">detailed in Appendix </w:t>
      </w:r>
      <w:r w:rsidR="00B46456" w:rsidRPr="000F6CD1">
        <w:t>F</w:t>
      </w:r>
      <w:r w:rsidR="00AB15C8" w:rsidRPr="000F6CD1">
        <w:t>) and training requirements (detailed in the</w:t>
      </w:r>
      <w:r w:rsidR="001A3FAA" w:rsidRPr="000F6CD1">
        <w:t xml:space="preserve"> Aged Care</w:t>
      </w:r>
      <w:r w:rsidR="00AB15C8" w:rsidRPr="000F6CD1">
        <w:t xml:space="preserve"> Learning Strategy</w:t>
      </w:r>
      <w:r w:rsidR="00484C2F" w:rsidRPr="000F6CD1">
        <w:t>)</w:t>
      </w:r>
      <w:r w:rsidRPr="000F6CD1">
        <w:t xml:space="preserve">. </w:t>
      </w:r>
    </w:p>
    <w:p w14:paraId="4ED0345C" w14:textId="2FC9AF40" w:rsidR="007A743C" w:rsidRPr="000F6CD1" w:rsidRDefault="007A743C" w:rsidP="00A677C9">
      <w:pPr>
        <w:spacing w:before="240" w:after="240" w:line="240" w:lineRule="auto"/>
      </w:pPr>
      <w:r w:rsidRPr="000F6CD1">
        <w:lastRenderedPageBreak/>
        <w:t xml:space="preserve">The role of the </w:t>
      </w:r>
      <w:r w:rsidR="00A64FFD" w:rsidRPr="000F6CD1">
        <w:t>t</w:t>
      </w:r>
      <w:r w:rsidRPr="000F6CD1">
        <w:t xml:space="preserve">riage </w:t>
      </w:r>
      <w:r w:rsidR="00A64FFD" w:rsidRPr="000F6CD1">
        <w:t>d</w:t>
      </w:r>
      <w:r w:rsidRPr="000F6CD1">
        <w:t>elegate is to determine whether an older person is eligible for a needs assessment for funded aged care services. Prior to 1 November</w:t>
      </w:r>
      <w:r w:rsidR="00AB15C8" w:rsidRPr="000F6CD1">
        <w:t xml:space="preserve"> 2025</w:t>
      </w:r>
      <w:r w:rsidRPr="000F6CD1">
        <w:t>, an older person’s eligibility for assessment was determined by the My Aged Care contact centre</w:t>
      </w:r>
      <w:r w:rsidR="00910EDD" w:rsidRPr="000F6CD1">
        <w:t xml:space="preserve"> or ACSO</w:t>
      </w:r>
      <w:r w:rsidRPr="000F6CD1">
        <w:t xml:space="preserve"> after a person was screened. Under the </w:t>
      </w:r>
      <w:r w:rsidR="00C12FA2" w:rsidRPr="000F6CD1">
        <w:rPr>
          <w:iCs/>
        </w:rPr>
        <w:t>Act</w:t>
      </w:r>
      <w:r w:rsidRPr="000F6CD1">
        <w:t xml:space="preserve"> it is determined by the </w:t>
      </w:r>
      <w:r w:rsidR="000233D1" w:rsidRPr="000F6CD1">
        <w:t>t</w:t>
      </w:r>
      <w:r w:rsidRPr="000F6CD1">
        <w:t xml:space="preserve">riage </w:t>
      </w:r>
      <w:r w:rsidR="000233D1" w:rsidRPr="000F6CD1">
        <w:t>d</w:t>
      </w:r>
      <w:r w:rsidRPr="000F6CD1">
        <w:t xml:space="preserve">elegate. </w:t>
      </w:r>
    </w:p>
    <w:p w14:paraId="23E6830F" w14:textId="27011411" w:rsidR="000233D1" w:rsidRDefault="000233D1" w:rsidP="00A677C9">
      <w:pPr>
        <w:spacing w:before="240" w:after="240" w:line="240" w:lineRule="auto"/>
      </w:pPr>
      <w:r w:rsidRPr="000F6CD1">
        <w:t>A</w:t>
      </w:r>
      <w:r w:rsidR="007A743C" w:rsidRPr="000F6CD1">
        <w:t xml:space="preserve"> </w:t>
      </w:r>
      <w:r w:rsidRPr="000F6CD1">
        <w:t>t</w:t>
      </w:r>
      <w:r w:rsidR="007A743C" w:rsidRPr="000F6CD1">
        <w:t xml:space="preserve">riage </w:t>
      </w:r>
      <w:r w:rsidRPr="000F6CD1">
        <w:t>d</w:t>
      </w:r>
      <w:r w:rsidR="007A743C" w:rsidRPr="000F6CD1">
        <w:t xml:space="preserve">elegate, in reaching their decision to find someone eligible for a needs assessment, must be satisfied the older person meets the age eligibility requirement and has declared they have an aged care need. </w:t>
      </w:r>
    </w:p>
    <w:p w14:paraId="67214DD5" w14:textId="05A316F9" w:rsidR="00BC5022" w:rsidRPr="000F6CD1" w:rsidRDefault="00BC5022" w:rsidP="00A677C9">
      <w:pPr>
        <w:spacing w:before="240" w:after="240" w:line="240" w:lineRule="auto"/>
      </w:pPr>
      <w:r w:rsidRPr="00BC5022">
        <w:rPr>
          <w:noProof/>
        </w:rPr>
        <w:drawing>
          <wp:inline distT="0" distB="0" distL="0" distR="0" wp14:anchorId="5CB4F6C4" wp14:editId="77CFD0C9">
            <wp:extent cx="5566410" cy="2989580"/>
            <wp:effectExtent l="0" t="0" r="0" b="1270"/>
            <wp:docPr id="710291248" name="Picture 1" descr="Figure showing eligibility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1248" name="Picture 1" descr="Figure showing eligibility requirements "/>
                    <pic:cNvPicPr/>
                  </pic:nvPicPr>
                  <pic:blipFill>
                    <a:blip r:embed="rId131"/>
                    <a:stretch>
                      <a:fillRect/>
                    </a:stretch>
                  </pic:blipFill>
                  <pic:spPr>
                    <a:xfrm>
                      <a:off x="0" y="0"/>
                      <a:ext cx="5566410" cy="2989580"/>
                    </a:xfrm>
                    <a:prstGeom prst="rect">
                      <a:avLst/>
                    </a:prstGeom>
                  </pic:spPr>
                </pic:pic>
              </a:graphicData>
            </a:graphic>
          </wp:inline>
        </w:drawing>
      </w:r>
    </w:p>
    <w:p w14:paraId="2C29CCFC" w14:textId="0F495159" w:rsidR="00935142" w:rsidRPr="000F6CD1" w:rsidRDefault="0094490F" w:rsidP="00EC4086">
      <w:pPr>
        <w:spacing w:before="240" w:after="240" w:line="240" w:lineRule="auto"/>
        <w:rPr>
          <w:b/>
          <w:i/>
          <w:sz w:val="18"/>
          <w:szCs w:val="14"/>
        </w:rPr>
      </w:pPr>
      <w:r w:rsidRPr="000F6CD1">
        <w:rPr>
          <w:i/>
          <w:sz w:val="18"/>
          <w:szCs w:val="14"/>
        </w:rPr>
        <w:t xml:space="preserve">Figure </w:t>
      </w:r>
      <w:r w:rsidR="00E12776" w:rsidRPr="000F6CD1">
        <w:rPr>
          <w:i/>
          <w:sz w:val="18"/>
          <w:szCs w:val="14"/>
        </w:rPr>
        <w:t>2</w:t>
      </w:r>
      <w:r w:rsidRPr="000F6CD1">
        <w:rPr>
          <w:i/>
          <w:sz w:val="18"/>
          <w:szCs w:val="14"/>
        </w:rPr>
        <w:t xml:space="preserve"> - Eligibility requirements</w:t>
      </w:r>
    </w:p>
    <w:p w14:paraId="247579C7" w14:textId="2F58ABD6" w:rsidR="007A743C" w:rsidRPr="000F6CD1" w:rsidRDefault="007A743C" w:rsidP="00A677C9">
      <w:pPr>
        <w:spacing w:before="240" w:after="240" w:line="240" w:lineRule="auto"/>
      </w:pPr>
      <w:r w:rsidRPr="000F6CD1">
        <w:t xml:space="preserve">In doing this the </w:t>
      </w:r>
      <w:r w:rsidR="00031B5E" w:rsidRPr="000F6CD1">
        <w:t>t</w:t>
      </w:r>
      <w:r w:rsidRPr="000F6CD1">
        <w:t xml:space="preserve">riage </w:t>
      </w:r>
      <w:r w:rsidR="00031B5E" w:rsidRPr="000F6CD1">
        <w:t>d</w:t>
      </w:r>
      <w:r w:rsidRPr="000F6CD1">
        <w:t xml:space="preserve">elegate must check all information available on the older person’s My Aged Care record to confirm: </w:t>
      </w:r>
    </w:p>
    <w:p w14:paraId="49CD7E4A" w14:textId="704F4A6F" w:rsidR="007A743C" w:rsidRPr="000F6CD1" w:rsidRDefault="007A743C" w:rsidP="00DF3F6B">
      <w:pPr>
        <w:pStyle w:val="ListParagraph"/>
        <w:numPr>
          <w:ilvl w:val="0"/>
          <w:numId w:val="77"/>
        </w:numPr>
        <w:spacing w:before="240" w:after="240" w:line="240" w:lineRule="auto"/>
      </w:pPr>
      <w:r w:rsidRPr="000F6CD1">
        <w:t xml:space="preserve">the older person’s date of birth, by checking with the older person, their registered supporter and/or active, appointed decision maker </w:t>
      </w:r>
    </w:p>
    <w:p w14:paraId="5486415A" w14:textId="77777777" w:rsidR="0085259F" w:rsidRPr="000F6CD1" w:rsidRDefault="007A743C" w:rsidP="0085259F">
      <w:pPr>
        <w:pStyle w:val="ListParagraph"/>
        <w:numPr>
          <w:ilvl w:val="0"/>
          <w:numId w:val="77"/>
        </w:numPr>
        <w:spacing w:before="240" w:after="240" w:line="240" w:lineRule="auto"/>
      </w:pPr>
      <w:r w:rsidRPr="000F6CD1">
        <w:t xml:space="preserve">that the older person has declared they have care needs, noting this can be made by the older person through the registration and screening process or through a written statement from a person applying on the older person’s behalf, or through written medical records (see section 58-5 of the </w:t>
      </w:r>
      <w:r w:rsidRPr="000F6CD1">
        <w:rPr>
          <w:i/>
        </w:rPr>
        <w:t>Aged Care Rules 2025</w:t>
      </w:r>
      <w:r w:rsidRPr="000F6CD1">
        <w:t>)</w:t>
      </w:r>
    </w:p>
    <w:p w14:paraId="2CB5D36A" w14:textId="73DBDBA5" w:rsidR="007A743C" w:rsidRPr="000F6CD1" w:rsidRDefault="007A743C" w:rsidP="0085259F">
      <w:pPr>
        <w:pStyle w:val="ListParagraph"/>
        <w:numPr>
          <w:ilvl w:val="0"/>
          <w:numId w:val="77"/>
        </w:numPr>
        <w:spacing w:before="240" w:after="240" w:line="240" w:lineRule="auto"/>
      </w:pPr>
      <w:r w:rsidRPr="000F6CD1">
        <w:t>for older people who</w:t>
      </w:r>
      <w:r w:rsidR="002F58FA" w:rsidRPr="000F6CD1">
        <w:t xml:space="preserve"> </w:t>
      </w:r>
      <w:r w:rsidR="006C01EB" w:rsidRPr="000F6CD1">
        <w:t>have already been assessed at least once</w:t>
      </w:r>
      <w:r w:rsidRPr="000F6CD1">
        <w:t>, the older person has had a significant change in circumstances and a reassessment is required.</w:t>
      </w:r>
      <w:r w:rsidR="003B3F61" w:rsidRPr="000F6CD1">
        <w:t xml:space="preserve"> </w:t>
      </w:r>
      <w:r w:rsidRPr="000F6CD1">
        <w:t xml:space="preserve">Significant changes are provided for in the </w:t>
      </w:r>
      <w:r w:rsidRPr="000F6CD1">
        <w:rPr>
          <w:i/>
          <w:iCs/>
        </w:rPr>
        <w:t>Aged Care Rules 2025</w:t>
      </w:r>
      <w:r w:rsidRPr="000F6CD1">
        <w:t xml:space="preserve"> and include:</w:t>
      </w:r>
    </w:p>
    <w:p w14:paraId="567C42FA" w14:textId="77777777" w:rsidR="007A743C" w:rsidRPr="000F6CD1" w:rsidRDefault="007A743C" w:rsidP="00DF3F6B">
      <w:pPr>
        <w:pStyle w:val="ListParagraph"/>
        <w:numPr>
          <w:ilvl w:val="1"/>
          <w:numId w:val="77"/>
        </w:numPr>
        <w:spacing w:before="240" w:after="240" w:line="240" w:lineRule="auto"/>
      </w:pPr>
      <w:r w:rsidRPr="000F6CD1">
        <w:t xml:space="preserve">a carer for the older person has permanently ceased to provide some or all care to the older person; </w:t>
      </w:r>
    </w:p>
    <w:p w14:paraId="782256DF" w14:textId="77777777" w:rsidR="007A743C" w:rsidRPr="000F6CD1" w:rsidRDefault="007A743C" w:rsidP="00DF3F6B">
      <w:pPr>
        <w:pStyle w:val="ListParagraph"/>
        <w:numPr>
          <w:ilvl w:val="1"/>
          <w:numId w:val="77"/>
        </w:numPr>
        <w:spacing w:before="240" w:after="240" w:line="240" w:lineRule="auto"/>
      </w:pPr>
      <w:r w:rsidRPr="000F6CD1">
        <w:t>the older person has experienced an event, or a decline in their condition, that is likely to mean that they will require:</w:t>
      </w:r>
    </w:p>
    <w:p w14:paraId="586B91FC" w14:textId="77777777" w:rsidR="007A743C" w:rsidRPr="000F6CD1" w:rsidRDefault="007A743C" w:rsidP="00DF3F6B">
      <w:pPr>
        <w:pStyle w:val="ListParagraph"/>
        <w:numPr>
          <w:ilvl w:val="2"/>
          <w:numId w:val="77"/>
        </w:numPr>
        <w:spacing w:before="240" w:after="240" w:line="240" w:lineRule="auto"/>
      </w:pPr>
      <w:r w:rsidRPr="000F6CD1">
        <w:t>more frequent access to a service they are already receiving, or</w:t>
      </w:r>
    </w:p>
    <w:p w14:paraId="31CC5CD2" w14:textId="6F353C6F" w:rsidR="007A743C" w:rsidRPr="000F6CD1" w:rsidRDefault="007A743C" w:rsidP="00DF3F6B">
      <w:pPr>
        <w:pStyle w:val="ListParagraph"/>
        <w:numPr>
          <w:ilvl w:val="2"/>
          <w:numId w:val="77"/>
        </w:numPr>
        <w:spacing w:before="240" w:after="240" w:line="240" w:lineRule="auto"/>
      </w:pPr>
      <w:r w:rsidRPr="000F6CD1">
        <w:t xml:space="preserve">access to a service they have been approved for but are not currently </w:t>
      </w:r>
      <w:r w:rsidR="008E2D6D" w:rsidRPr="000F6CD1">
        <w:t>accessing</w:t>
      </w:r>
      <w:r w:rsidRPr="000F6CD1">
        <w:t>, or</w:t>
      </w:r>
    </w:p>
    <w:p w14:paraId="40430F53" w14:textId="77777777" w:rsidR="00D20E71" w:rsidRPr="000F6CD1" w:rsidRDefault="007A743C" w:rsidP="00DF3F6B">
      <w:pPr>
        <w:pStyle w:val="ListParagraph"/>
        <w:numPr>
          <w:ilvl w:val="2"/>
          <w:numId w:val="77"/>
        </w:numPr>
        <w:spacing w:before="240" w:after="240" w:line="240" w:lineRule="auto"/>
      </w:pPr>
      <w:r w:rsidRPr="000F6CD1">
        <w:t xml:space="preserve">access to new services not covered in the older person’s access approval. </w:t>
      </w:r>
    </w:p>
    <w:p w14:paraId="41414397" w14:textId="7EEE85C4" w:rsidR="00D20E71" w:rsidRPr="000F6CD1" w:rsidRDefault="00D20E71" w:rsidP="001704DC">
      <w:pPr>
        <w:spacing w:before="240" w:after="240" w:line="240" w:lineRule="auto"/>
      </w:pPr>
      <w:r w:rsidRPr="000F6CD1">
        <w:t xml:space="preserve">The triage delegate </w:t>
      </w:r>
      <w:r w:rsidR="00431707" w:rsidRPr="000F6CD1">
        <w:t>should</w:t>
      </w:r>
      <w:r w:rsidRPr="000F6CD1">
        <w:t xml:space="preserve"> also undertake the triage </w:t>
      </w:r>
      <w:r w:rsidR="000F1979" w:rsidRPr="000F6CD1">
        <w:t xml:space="preserve">questions within </w:t>
      </w:r>
      <w:r w:rsidRPr="000F6CD1">
        <w:t xml:space="preserve">the </w:t>
      </w:r>
      <w:r w:rsidR="00F86037" w:rsidRPr="000F6CD1">
        <w:t xml:space="preserve">Assessor </w:t>
      </w:r>
      <w:r w:rsidR="000F1979" w:rsidRPr="000F6CD1">
        <w:t xml:space="preserve">Portal </w:t>
      </w:r>
      <w:r w:rsidRPr="000F6CD1">
        <w:t xml:space="preserve">to determine the type of assessment (home support or comprehensive) for the individual. </w:t>
      </w:r>
    </w:p>
    <w:p w14:paraId="7FCAC720" w14:textId="672A9E85" w:rsidR="00D20E71" w:rsidRPr="000F6CD1" w:rsidRDefault="00D20E71" w:rsidP="001704DC">
      <w:pPr>
        <w:spacing w:before="240" w:after="240" w:line="240" w:lineRule="auto"/>
      </w:pPr>
      <w:r w:rsidRPr="000F6CD1">
        <w:lastRenderedPageBreak/>
        <w:t xml:space="preserve">If a person has gone through the screening process and been advised they are likely to be ineligible for the needs assessment, a flag will appear in the My Aged Care Assessor Portal. Triage delegates should use all available information from screening, on the older person’s My Aged Care Profile and provided during triage to reach their own decision regarding an individual’s eligibility. Triage Delegates are ultimately responsible </w:t>
      </w:r>
      <w:r w:rsidR="00DA47F5" w:rsidRPr="000F6CD1">
        <w:t xml:space="preserve">for the </w:t>
      </w:r>
      <w:r w:rsidRPr="000F6CD1">
        <w:t>decision about an older person’s eligibility for a needs assessment.</w:t>
      </w:r>
      <w:r w:rsidR="0056291A" w:rsidRPr="000F6CD1">
        <w:t xml:space="preserve"> </w:t>
      </w:r>
    </w:p>
    <w:p w14:paraId="5BC342E7" w14:textId="0B0A7EC6" w:rsidR="0000062C" w:rsidRPr="000F6CD1" w:rsidRDefault="0000062C" w:rsidP="001704DC">
      <w:pPr>
        <w:spacing w:before="240" w:after="240" w:line="240" w:lineRule="auto"/>
      </w:pPr>
      <w:r w:rsidRPr="000F6CD1">
        <w:t xml:space="preserve">Where the client is clearly ineligible, e.g., due to age, the Triage Delegate can decide that the client is not </w:t>
      </w:r>
      <w:r w:rsidR="00821791" w:rsidRPr="000F6CD1">
        <w:t>e</w:t>
      </w:r>
      <w:r w:rsidRPr="000F6CD1">
        <w:t xml:space="preserve">ligible without completing the triage </w:t>
      </w:r>
      <w:r w:rsidR="00F86037" w:rsidRPr="000F6CD1">
        <w:t xml:space="preserve">questions within the Assessor Portal. </w:t>
      </w:r>
    </w:p>
    <w:p w14:paraId="21461D93" w14:textId="5D3DEA06" w:rsidR="00D20E71" w:rsidRPr="000F6CD1" w:rsidRDefault="00D20E71" w:rsidP="001704DC">
      <w:pPr>
        <w:spacing w:before="240" w:after="240" w:line="240" w:lineRule="auto"/>
      </w:pPr>
      <w:r w:rsidRPr="000F6CD1">
        <w:t xml:space="preserve">In addition to determining the eligibility for an older person to undergo a needs assessment, Triage Delegates should also undertake the triage </w:t>
      </w:r>
      <w:r w:rsidR="00F86037" w:rsidRPr="000F6CD1">
        <w:t xml:space="preserve">questions within the Assessor Portal </w:t>
      </w:r>
      <w:r w:rsidRPr="000F6CD1">
        <w:t xml:space="preserve">and determine the assessment type and assign to an appropriate assessor. </w:t>
      </w:r>
    </w:p>
    <w:p w14:paraId="19E94920" w14:textId="75A8CBD7" w:rsidR="00D20E71" w:rsidRPr="000F6CD1" w:rsidRDefault="00D20E71" w:rsidP="001704DC">
      <w:pPr>
        <w:spacing w:before="240" w:after="240" w:line="240" w:lineRule="auto"/>
      </w:pPr>
      <w:r w:rsidRPr="000F6CD1">
        <w:t xml:space="preserve">Under the Instrument of Delegation, Triage Delegates will also be delegated the power to decide under section 64 of the </w:t>
      </w:r>
      <w:r w:rsidRPr="000F6CD1">
        <w:rPr>
          <w:i/>
        </w:rPr>
        <w:t>Aged Care Act 2024</w:t>
      </w:r>
      <w:r w:rsidRPr="000F6CD1">
        <w:t xml:space="preserve"> that an older person has undergone a significant change of circumstances or other change in their circumstances and requires a reassessment of their needs. The information required by Triage Delegates to confirm a reassessment will be gathered by assessors during a support plan review. </w:t>
      </w:r>
    </w:p>
    <w:p w14:paraId="25A7175C" w14:textId="5821C7E2" w:rsidR="00D20E71" w:rsidRPr="000F6CD1" w:rsidRDefault="00D20E71" w:rsidP="001704DC">
      <w:pPr>
        <w:spacing w:before="240" w:after="240" w:line="240" w:lineRule="auto"/>
      </w:pPr>
      <w:r w:rsidRPr="000F6CD1">
        <w:t xml:space="preserve">Triage Delegates should pay special attention to any clients that are marked as unlikely to be eligible due to their age and check if their application for care was already in-progress before 1 November 2025. See section </w:t>
      </w:r>
      <w:r w:rsidRPr="00924790">
        <w:fldChar w:fldCharType="begin"/>
      </w:r>
      <w:r w:rsidRPr="00924790">
        <w:instrText xml:space="preserve"> REF _Ref212733794 \r \h </w:instrText>
      </w:r>
      <w:r w:rsidR="00924790" w:rsidRPr="00924790">
        <w:instrText xml:space="preserve"> \* MERGEFORMAT </w:instrText>
      </w:r>
      <w:r w:rsidRPr="00924790">
        <w:fldChar w:fldCharType="separate"/>
      </w:r>
      <w:r w:rsidR="004B171E">
        <w:t>1.5.11</w:t>
      </w:r>
      <w:r w:rsidRPr="00924790">
        <w:fldChar w:fldCharType="end"/>
      </w:r>
      <w:r w:rsidR="00924790">
        <w:t xml:space="preserve"> </w:t>
      </w:r>
      <w:r w:rsidRPr="00924790">
        <w:t>Younger people</w:t>
      </w:r>
      <w:r w:rsidRPr="000F6CD1">
        <w:rPr>
          <w:i/>
        </w:rPr>
        <w:t xml:space="preserve"> </w:t>
      </w:r>
      <w:r w:rsidRPr="000F6CD1">
        <w:t xml:space="preserve">in Chapter </w:t>
      </w:r>
      <w:r w:rsidRPr="000F6CD1">
        <w:fldChar w:fldCharType="begin"/>
      </w:r>
      <w:r w:rsidRPr="000F6CD1">
        <w:instrText xml:space="preserve"> REF _Ref212735661 \w \h </w:instrText>
      </w:r>
      <w:r w:rsidRPr="000F6CD1">
        <w:fldChar w:fldCharType="separate"/>
      </w:r>
      <w:r w:rsidR="004B171E">
        <w:t>1</w:t>
      </w:r>
      <w:r w:rsidRPr="000F6CD1">
        <w:fldChar w:fldCharType="end"/>
      </w:r>
      <w:r w:rsidRPr="000F6CD1">
        <w:t>.</w:t>
      </w:r>
    </w:p>
    <w:p w14:paraId="02B5C3D3" w14:textId="28E3A524" w:rsidR="007F22CF" w:rsidRPr="000F6CD1" w:rsidRDefault="007A743C" w:rsidP="001704DC">
      <w:pPr>
        <w:spacing w:before="240" w:after="240" w:line="240" w:lineRule="auto"/>
      </w:pPr>
      <w:r w:rsidRPr="000F6CD1">
        <w:t xml:space="preserve"> </w:t>
      </w:r>
    </w:p>
    <w:p w14:paraId="28ACCCB6" w14:textId="77777777" w:rsidR="007A743C" w:rsidRPr="000F6CD1" w:rsidRDefault="007A743C" w:rsidP="00AD2CE5">
      <w:pPr>
        <w:pStyle w:val="H3"/>
        <w:rPr>
          <w:color w:val="434967"/>
        </w:rPr>
      </w:pPr>
      <w:r w:rsidRPr="000F6CD1">
        <w:t>Eligibility considerations for older Aboriginal and Torres Strait Islander people</w:t>
      </w:r>
    </w:p>
    <w:p w14:paraId="0836196B" w14:textId="521C55D1" w:rsidR="007A743C" w:rsidRPr="000F6CD1" w:rsidRDefault="007A743C" w:rsidP="00126AC2">
      <w:r w:rsidRPr="000F6CD1">
        <w:t xml:space="preserve">The </w:t>
      </w:r>
      <w:r w:rsidRPr="000F6CD1">
        <w:rPr>
          <w:lang w:eastAsia="ko-KR"/>
        </w:rPr>
        <w:t>assessment</w:t>
      </w:r>
      <w:r w:rsidRPr="000F6CD1">
        <w:t xml:space="preserve"> process for Aboriginal and Torres Strait Islander people between 50-64 years of age is the same process for assessing people aged 65 years and older. Under the </w:t>
      </w:r>
      <w:r w:rsidRPr="000F6CD1">
        <w:rPr>
          <w:i/>
        </w:rPr>
        <w:t>Aged Care Act 2024</w:t>
      </w:r>
      <w:r w:rsidRPr="000F6CD1">
        <w:t>, triage delegates will be required to inform people who are under 65 and seeking aged care services of alternative services that may meet their needs, prior to determining their eligibility</w:t>
      </w:r>
      <w:r w:rsidR="00111F45" w:rsidRPr="000F6CD1">
        <w:t xml:space="preserve"> (see section below)</w:t>
      </w:r>
      <w:r w:rsidRPr="000F6CD1">
        <w:t>.</w:t>
      </w:r>
      <w:r w:rsidR="009907C3" w:rsidRPr="000F6CD1">
        <w:t xml:space="preserve"> The person seeking assessment is not required to take up these services. </w:t>
      </w:r>
    </w:p>
    <w:p w14:paraId="1E79D34C" w14:textId="21FDA8E6" w:rsidR="007A743C" w:rsidRPr="000F6CD1" w:rsidRDefault="007A743C" w:rsidP="00126AC2">
      <w:r w:rsidRPr="000F6CD1">
        <w:t xml:space="preserve">A person does not need to provide proof that they are Aboriginal and Torres Strait Islander. Self-identification, or identification by a person or organisation they trust is sufficient for aged care purposes. </w:t>
      </w:r>
    </w:p>
    <w:p w14:paraId="5AEC27BB" w14:textId="7C4DBBA9" w:rsidR="00F53E5F" w:rsidRPr="000F6CD1" w:rsidRDefault="007A743C" w:rsidP="00126AC2">
      <w:r w:rsidRPr="000F6CD1">
        <w:t>Important</w:t>
      </w:r>
      <w:r w:rsidR="00DD0480" w:rsidRPr="000F6CD1">
        <w:t>:</w:t>
      </w:r>
      <w:r w:rsidRPr="000F6CD1" w:rsidDel="00451B2E">
        <w:t xml:space="preserve"> </w:t>
      </w:r>
      <w:r w:rsidRPr="000F6CD1">
        <w:t>older Aboriginal and Torres Strait Islander people may be members of the Stolen Generations and/or be impacted by displacement and social disruption and therefore may be traumatised by having to demonstrate their Indigeneity. If a person identifies as Aboriginal and Torres Strait Islander it is important for this to be documented during the assessment for eligibility, service and data collection purposes.</w:t>
      </w:r>
    </w:p>
    <w:p w14:paraId="543E5233" w14:textId="7D303324" w:rsidR="00862F78" w:rsidRPr="000F6CD1" w:rsidRDefault="00862F78" w:rsidP="00AD2CE5">
      <w:pPr>
        <w:pStyle w:val="H3"/>
      </w:pPr>
      <w:r w:rsidRPr="000F6CD1">
        <w:t>Eligibility considerations for people who are homeless or who are at risk of homelessness</w:t>
      </w:r>
    </w:p>
    <w:p w14:paraId="6946A83C" w14:textId="29AAF4AF" w:rsidR="00D816E6" w:rsidRPr="000F6CD1" w:rsidRDefault="00D816E6" w:rsidP="00D816E6">
      <w:r w:rsidRPr="000F6CD1">
        <w:t xml:space="preserve">The assessment process for </w:t>
      </w:r>
      <w:r w:rsidR="004B6DFD" w:rsidRPr="000F6CD1">
        <w:t xml:space="preserve">people who are homeless or at risk of homelessness </w:t>
      </w:r>
      <w:r w:rsidRPr="000F6CD1">
        <w:t>between 50-64 years of age is the same process for assessing people aged 65 years and older. Under the</w:t>
      </w:r>
      <w:r w:rsidR="00E90395" w:rsidRPr="000F6CD1">
        <w:t xml:space="preserve"> </w:t>
      </w:r>
      <w:r w:rsidRPr="000F6CD1">
        <w:t xml:space="preserve">Act, triage delegates will be required to inform people who are under 65 </w:t>
      </w:r>
      <w:r w:rsidRPr="000F6CD1">
        <w:lastRenderedPageBreak/>
        <w:t>and seeking aged care services of alternative services that may meet their needs, prior to determining their eligibility</w:t>
      </w:r>
      <w:r w:rsidR="00B1055F" w:rsidRPr="000F6CD1">
        <w:t xml:space="preserve"> (see section below)</w:t>
      </w:r>
      <w:r w:rsidRPr="000F6CD1">
        <w:t>.</w:t>
      </w:r>
      <w:r w:rsidR="00DD7C87" w:rsidRPr="000F6CD1">
        <w:t xml:space="preserve"> The person seeking assessment is not required to take up these services.</w:t>
      </w:r>
    </w:p>
    <w:p w14:paraId="2D3EB534" w14:textId="648C4FE0" w:rsidR="00DD7C87" w:rsidRPr="000F6CD1" w:rsidRDefault="00AA0DDE" w:rsidP="00D816E6">
      <w:r w:rsidRPr="000F6CD1">
        <w:t>The following definitions apply</w:t>
      </w:r>
      <w:r w:rsidR="009967F9" w:rsidRPr="000F6CD1">
        <w:t xml:space="preserve"> for this cohort and must be used when determining someone’s eligibility for an aged care needs assessment who is aged between 50 and 64 years.</w:t>
      </w:r>
    </w:p>
    <w:p w14:paraId="2C407A40" w14:textId="77777777" w:rsidR="00383133" w:rsidRPr="000F6CD1" w:rsidRDefault="00383133" w:rsidP="00D816E6">
      <w:pPr>
        <w:rPr>
          <w:b/>
          <w:bCs/>
        </w:rPr>
      </w:pPr>
      <w:r w:rsidRPr="000F6CD1">
        <w:rPr>
          <w:b/>
          <w:bCs/>
        </w:rPr>
        <w:t xml:space="preserve">Homeless definition </w:t>
      </w:r>
    </w:p>
    <w:p w14:paraId="235678CC" w14:textId="77777777" w:rsidR="00383133" w:rsidRPr="000F6CD1" w:rsidRDefault="00383133" w:rsidP="00D816E6">
      <w:r w:rsidRPr="000F6CD1">
        <w:t xml:space="preserve">‘Homeless’ in the context of aged care and for the purpose of receiving Australian Government funded aged care services refers to an individual who: </w:t>
      </w:r>
    </w:p>
    <w:p w14:paraId="33A31C1B" w14:textId="4053352F" w:rsidR="00383133" w:rsidRPr="000F6CD1" w:rsidRDefault="00383133" w:rsidP="000C43E7">
      <w:pPr>
        <w:pStyle w:val="ListParagraph"/>
        <w:numPr>
          <w:ilvl w:val="0"/>
          <w:numId w:val="537"/>
        </w:numPr>
      </w:pPr>
      <w:r w:rsidRPr="000F6CD1">
        <w:t xml:space="preserve">is aged 50 or older, and </w:t>
      </w:r>
    </w:p>
    <w:p w14:paraId="789EB051" w14:textId="199010E3" w:rsidR="00383133" w:rsidRPr="000F6CD1" w:rsidRDefault="00383133" w:rsidP="000C43E7">
      <w:pPr>
        <w:pStyle w:val="ListParagraph"/>
        <w:numPr>
          <w:ilvl w:val="0"/>
          <w:numId w:val="537"/>
        </w:numPr>
      </w:pPr>
      <w:r w:rsidRPr="000F6CD1">
        <w:t xml:space="preserve">has prematurely aged and requires services for their aged care needs, and </w:t>
      </w:r>
    </w:p>
    <w:p w14:paraId="59DD6918" w14:textId="7851BE15" w:rsidR="00383133" w:rsidRPr="000F6CD1" w:rsidRDefault="00383133" w:rsidP="000C43E7">
      <w:pPr>
        <w:pStyle w:val="ListParagraph"/>
        <w:numPr>
          <w:ilvl w:val="0"/>
          <w:numId w:val="537"/>
        </w:numPr>
      </w:pPr>
      <w:r w:rsidRPr="000F6CD1">
        <w:t xml:space="preserve">has the following living arrangements: </w:t>
      </w:r>
    </w:p>
    <w:p w14:paraId="4D012FD5" w14:textId="77777777" w:rsidR="00383133" w:rsidRPr="000F6CD1" w:rsidRDefault="00383133" w:rsidP="00383133">
      <w:pPr>
        <w:pStyle w:val="ListParagraph"/>
        <w:numPr>
          <w:ilvl w:val="0"/>
          <w:numId w:val="536"/>
        </w:numPr>
      </w:pPr>
      <w:r w:rsidRPr="000F6CD1">
        <w:t xml:space="preserve">Lacks any adequate roof over their head, or </w:t>
      </w:r>
    </w:p>
    <w:p w14:paraId="703B25DE" w14:textId="77777777" w:rsidR="00383133" w:rsidRPr="000F6CD1" w:rsidRDefault="00383133" w:rsidP="00383133">
      <w:pPr>
        <w:pStyle w:val="ListParagraph"/>
        <w:numPr>
          <w:ilvl w:val="0"/>
          <w:numId w:val="536"/>
        </w:numPr>
      </w:pPr>
      <w:r w:rsidRPr="000F6CD1">
        <w:t xml:space="preserve">Has no security of tenure, or moves between various forms of temporary or medium-term shelter, or </w:t>
      </w:r>
    </w:p>
    <w:p w14:paraId="2AC10AC8" w14:textId="77777777" w:rsidR="000E59F3" w:rsidRPr="000F6CD1" w:rsidRDefault="00383133" w:rsidP="00383133">
      <w:pPr>
        <w:pStyle w:val="ListParagraph"/>
        <w:numPr>
          <w:ilvl w:val="0"/>
          <w:numId w:val="536"/>
        </w:numPr>
      </w:pPr>
      <w:r w:rsidRPr="000F6CD1">
        <w:t>stays in accommodation that falls below minimum community standards4, and</w:t>
      </w:r>
    </w:p>
    <w:p w14:paraId="3D2A2474" w14:textId="473442B9" w:rsidR="009967F9" w:rsidRPr="000F6CD1" w:rsidRDefault="00383133" w:rsidP="000C43E7">
      <w:pPr>
        <w:pStyle w:val="ListParagraph"/>
        <w:numPr>
          <w:ilvl w:val="0"/>
          <w:numId w:val="537"/>
        </w:numPr>
      </w:pPr>
      <w:r w:rsidRPr="000F6CD1">
        <w:t>does not have the means to change their living arrangements.</w:t>
      </w:r>
    </w:p>
    <w:p w14:paraId="5F72B6BF" w14:textId="77777777" w:rsidR="00926B14" w:rsidRPr="000F6CD1" w:rsidRDefault="00926B14" w:rsidP="00D816E6">
      <w:pPr>
        <w:rPr>
          <w:b/>
          <w:bCs/>
        </w:rPr>
      </w:pPr>
      <w:r w:rsidRPr="000F6CD1">
        <w:rPr>
          <w:b/>
          <w:bCs/>
        </w:rPr>
        <w:t xml:space="preserve">At risk of homelessness definition </w:t>
      </w:r>
    </w:p>
    <w:p w14:paraId="1BF6BA3D" w14:textId="77777777" w:rsidR="00926B14" w:rsidRPr="000F6CD1" w:rsidRDefault="00926B14" w:rsidP="00D816E6">
      <w:r w:rsidRPr="000F6CD1">
        <w:t xml:space="preserve">‘At risk of homelessness’ in the context of aged care and for the purpose of receiving Australian Government funded aged care services refers to an individual who: </w:t>
      </w:r>
    </w:p>
    <w:p w14:paraId="06BCCFC6" w14:textId="5B8EB3BB" w:rsidR="00926B14" w:rsidRPr="000F6CD1" w:rsidRDefault="00926B14" w:rsidP="000C43E7">
      <w:pPr>
        <w:pStyle w:val="ListParagraph"/>
        <w:numPr>
          <w:ilvl w:val="1"/>
          <w:numId w:val="541"/>
        </w:numPr>
      </w:pPr>
      <w:r w:rsidRPr="000F6CD1">
        <w:t xml:space="preserve">is aged 50 or older, and </w:t>
      </w:r>
    </w:p>
    <w:p w14:paraId="59081B67" w14:textId="5295D78A" w:rsidR="00926B14" w:rsidRPr="000F6CD1" w:rsidRDefault="00926B14" w:rsidP="000C43E7">
      <w:pPr>
        <w:pStyle w:val="ListParagraph"/>
        <w:numPr>
          <w:ilvl w:val="1"/>
          <w:numId w:val="541"/>
        </w:numPr>
      </w:pPr>
      <w:r w:rsidRPr="000F6CD1">
        <w:t xml:space="preserve">has prematurely aged requiring services for their aged care needs, and </w:t>
      </w:r>
    </w:p>
    <w:p w14:paraId="11958729" w14:textId="44E72398" w:rsidR="00115B77" w:rsidRPr="000F6CD1" w:rsidRDefault="00926B14" w:rsidP="000C43E7">
      <w:pPr>
        <w:pStyle w:val="ListParagraph"/>
        <w:numPr>
          <w:ilvl w:val="1"/>
          <w:numId w:val="541"/>
        </w:numPr>
      </w:pPr>
      <w:r w:rsidRPr="000F6CD1">
        <w:t xml:space="preserve">is at risk of experiencing the following living arrangements: </w:t>
      </w:r>
    </w:p>
    <w:p w14:paraId="309E8A35" w14:textId="771FC7F7" w:rsidR="00115B77" w:rsidRPr="000F6CD1" w:rsidRDefault="00926B14" w:rsidP="000C43E7">
      <w:pPr>
        <w:pStyle w:val="ListParagraph"/>
        <w:numPr>
          <w:ilvl w:val="2"/>
          <w:numId w:val="541"/>
        </w:numPr>
        <w:ind w:left="1276" w:hanging="142"/>
      </w:pPr>
      <w:r w:rsidRPr="000F6CD1">
        <w:t xml:space="preserve">having no adequate roof over their head, or </w:t>
      </w:r>
    </w:p>
    <w:p w14:paraId="12D6BBBA" w14:textId="60B9C8CD" w:rsidR="00115B77" w:rsidRPr="000F6CD1" w:rsidRDefault="00926B14" w:rsidP="000C43E7">
      <w:pPr>
        <w:pStyle w:val="ListParagraph"/>
        <w:numPr>
          <w:ilvl w:val="2"/>
          <w:numId w:val="541"/>
        </w:numPr>
        <w:ind w:left="1276" w:hanging="142"/>
      </w:pPr>
      <w:r w:rsidRPr="000F6CD1">
        <w:t xml:space="preserve">having no security of tenure, or moves between various forms of temporary or medium-term shelter, or </w:t>
      </w:r>
    </w:p>
    <w:p w14:paraId="1BAA964C" w14:textId="77777777" w:rsidR="0096777F" w:rsidRPr="000F6CD1" w:rsidRDefault="00926B14" w:rsidP="000C43E7">
      <w:pPr>
        <w:pStyle w:val="ListParagraph"/>
        <w:numPr>
          <w:ilvl w:val="2"/>
          <w:numId w:val="541"/>
        </w:numPr>
        <w:ind w:left="1276" w:hanging="142"/>
      </w:pPr>
      <w:r w:rsidRPr="000F6CD1">
        <w:t xml:space="preserve">staying in accommodation that falls below minimum community standards, and </w:t>
      </w:r>
    </w:p>
    <w:p w14:paraId="35040124" w14:textId="6D9E8EF2" w:rsidR="00F45CFD" w:rsidRPr="000F6CD1" w:rsidRDefault="00926B14" w:rsidP="000C43E7">
      <w:pPr>
        <w:pStyle w:val="ListParagraph"/>
        <w:numPr>
          <w:ilvl w:val="1"/>
          <w:numId w:val="541"/>
        </w:numPr>
      </w:pPr>
      <w:r w:rsidRPr="000F6CD1">
        <w:t>does not have the means to change their living arrangements.</w:t>
      </w:r>
    </w:p>
    <w:p w14:paraId="0B2DC194" w14:textId="77777777" w:rsidR="00985812" w:rsidRPr="000F6CD1" w:rsidRDefault="00985812" w:rsidP="00862F78">
      <w:r w:rsidRPr="000F6CD1">
        <w:t xml:space="preserve">In the context of assessing eligibility criteria to receive Government funded aged care services under the Act, a homeless individual is someone who is currently without adequate, stable accommodation or accommodation that meets minimum standards, has no means to change their living arrangements, is at least 50 years old, has aged care needs and has prematurely aged due to experiencing homelessness, resulting in a need for aged care services. </w:t>
      </w:r>
    </w:p>
    <w:p w14:paraId="03E3B353" w14:textId="17180670" w:rsidR="00F27128" w:rsidRPr="000F6CD1" w:rsidRDefault="00985812" w:rsidP="000C43E7">
      <w:r w:rsidRPr="000F6CD1">
        <w:t>In the context of assessing eligibility criteria to receive Government funded aged care services under the Act, an individual who is at risk of homelessness, may currently be housed, however is in such a vulnerable position that it is reasonable to expect they will soon experience homelessness (without adequate, stable accommodation or accommodation that meets minimum standards), has no means to change their living arrangements, is at least 50 years old, has aged care needs and has prematurely aged due to experiencing homelessness, resulting in a need for aged care services.</w:t>
      </w:r>
    </w:p>
    <w:p w14:paraId="293902E6" w14:textId="77777777" w:rsidR="00F27128" w:rsidRPr="000F6CD1" w:rsidRDefault="00F27128" w:rsidP="00862F78"/>
    <w:p w14:paraId="616E4DCD" w14:textId="77777777" w:rsidR="00641561" w:rsidRPr="000F6CD1" w:rsidRDefault="00641561" w:rsidP="00862F78">
      <w:pPr>
        <w:rPr>
          <w:b/>
          <w:bCs/>
        </w:rPr>
      </w:pPr>
      <w:r w:rsidRPr="000F6CD1">
        <w:rPr>
          <w:b/>
          <w:bCs/>
        </w:rPr>
        <w:t xml:space="preserve">Eligibility criteria assessment </w:t>
      </w:r>
    </w:p>
    <w:p w14:paraId="51152C59" w14:textId="77777777" w:rsidR="00641561" w:rsidRPr="000F6CD1" w:rsidRDefault="00641561" w:rsidP="00862F78">
      <w:r w:rsidRPr="000F6CD1">
        <w:lastRenderedPageBreak/>
        <w:t xml:space="preserve">An individual is considered homeless or at risk of homelessness and eligible for Australian Government funded aged care services if all the following conditions are met: </w:t>
      </w:r>
    </w:p>
    <w:p w14:paraId="6864390D" w14:textId="3E9DDC33" w:rsidR="00641561" w:rsidRPr="000F6CD1" w:rsidRDefault="00641561" w:rsidP="00C548FC">
      <w:pPr>
        <w:pStyle w:val="ListParagraph"/>
        <w:numPr>
          <w:ilvl w:val="1"/>
          <w:numId w:val="9"/>
        </w:numPr>
        <w:ind w:left="426"/>
      </w:pPr>
      <w:r w:rsidRPr="000F6CD1">
        <w:rPr>
          <w:b/>
          <w:bCs/>
        </w:rPr>
        <w:t>Age:</w:t>
      </w:r>
      <w:r w:rsidRPr="000F6CD1">
        <w:t xml:space="preserve"> the individual is aged 50 or older. </w:t>
      </w:r>
    </w:p>
    <w:p w14:paraId="5100E394" w14:textId="1A02E7BC" w:rsidR="00641561" w:rsidRPr="000F6CD1" w:rsidRDefault="00641561" w:rsidP="00C548FC">
      <w:pPr>
        <w:pStyle w:val="ListParagraph"/>
        <w:numPr>
          <w:ilvl w:val="1"/>
          <w:numId w:val="9"/>
        </w:numPr>
        <w:ind w:left="426"/>
      </w:pPr>
      <w:r w:rsidRPr="000F6CD1">
        <w:rPr>
          <w:b/>
          <w:bCs/>
        </w:rPr>
        <w:t>Aged care needs:</w:t>
      </w:r>
      <w:r w:rsidRPr="000F6CD1">
        <w:t xml:space="preserve"> the individual has aged care needs requiring personal or clinical care, or both, due to difficulties performing daily living activities and requires assistance to maintain their capacity to function independently. </w:t>
      </w:r>
    </w:p>
    <w:p w14:paraId="5635F2EC" w14:textId="77777777" w:rsidR="001C3ACD" w:rsidRPr="000F6CD1" w:rsidRDefault="00641561" w:rsidP="001C3ACD">
      <w:pPr>
        <w:pStyle w:val="ListParagraph"/>
        <w:numPr>
          <w:ilvl w:val="1"/>
          <w:numId w:val="9"/>
        </w:numPr>
        <w:ind w:left="426"/>
      </w:pPr>
      <w:r w:rsidRPr="000F6CD1">
        <w:rPr>
          <w:b/>
          <w:bCs/>
        </w:rPr>
        <w:t>Prematurely aged due to experiencing homelessness:</w:t>
      </w:r>
      <w:r w:rsidRPr="000F6CD1">
        <w:t xml:space="preserve"> the individual’s aged care needs are equivalent to those of someone aged 65 or older and has aged prematurely due to experiencing homelessness. </w:t>
      </w:r>
    </w:p>
    <w:p w14:paraId="10EE7E48" w14:textId="17F612A5" w:rsidR="001B7397" w:rsidRPr="000F6CD1" w:rsidRDefault="00641561" w:rsidP="00C548FC">
      <w:pPr>
        <w:pStyle w:val="ListParagraph"/>
        <w:numPr>
          <w:ilvl w:val="1"/>
          <w:numId w:val="9"/>
        </w:numPr>
        <w:ind w:left="426"/>
        <w:rPr>
          <w:b/>
          <w:bCs/>
        </w:rPr>
      </w:pPr>
      <w:r w:rsidRPr="000F6CD1">
        <w:rPr>
          <w:b/>
          <w:bCs/>
        </w:rPr>
        <w:t>Living arrangements:</w:t>
      </w:r>
    </w:p>
    <w:p w14:paraId="4E761650" w14:textId="77777777" w:rsidR="001B7397" w:rsidRPr="000F6CD1" w:rsidRDefault="00641561" w:rsidP="001B7397">
      <w:pPr>
        <w:pStyle w:val="ListParagraph"/>
        <w:numPr>
          <w:ilvl w:val="0"/>
          <w:numId w:val="543"/>
        </w:numPr>
      </w:pPr>
      <w:r w:rsidRPr="000F6CD1">
        <w:t xml:space="preserve">For homeless individuals: the individual lacks secure, fit and adequate housing, or housing that meets minimum living standards from a community or human perspective. </w:t>
      </w:r>
    </w:p>
    <w:p w14:paraId="70070D5D" w14:textId="77777777" w:rsidR="001B7397" w:rsidRPr="000F6CD1" w:rsidRDefault="00641561" w:rsidP="001B7397">
      <w:pPr>
        <w:pStyle w:val="ListParagraph"/>
        <w:numPr>
          <w:ilvl w:val="0"/>
          <w:numId w:val="543"/>
        </w:numPr>
      </w:pPr>
      <w:r w:rsidRPr="000F6CD1">
        <w:t xml:space="preserve">For at risk of homelessness individuals: the individual is at imminent risk of lacking secure, fit and adequate housing, or housing that meets minimum living standards from a community or human perspective in the near future. </w:t>
      </w:r>
    </w:p>
    <w:p w14:paraId="051F60B1" w14:textId="4E64D93A" w:rsidR="001B7397" w:rsidRPr="000F6CD1" w:rsidRDefault="00641561" w:rsidP="00C548FC">
      <w:pPr>
        <w:pStyle w:val="ListParagraph"/>
        <w:numPr>
          <w:ilvl w:val="1"/>
          <w:numId w:val="9"/>
        </w:numPr>
        <w:ind w:left="426"/>
      </w:pPr>
      <w:r w:rsidRPr="000F6CD1">
        <w:rPr>
          <w:b/>
          <w:bCs/>
        </w:rPr>
        <w:t>Financial resources:</w:t>
      </w:r>
      <w:r w:rsidRPr="000F6CD1">
        <w:t xml:space="preserve"> the individual has limited or no financial means, resources or access to any sort of funding that would enable them to change their housing situation. The financial hardship often reflects a lack of control arising from their life circumstances.</w:t>
      </w:r>
    </w:p>
    <w:p w14:paraId="71F68022" w14:textId="22AC2042" w:rsidR="00641561" w:rsidRPr="000F6CD1" w:rsidRDefault="00641561" w:rsidP="00C548FC">
      <w:pPr>
        <w:pStyle w:val="ListParagraph"/>
        <w:numPr>
          <w:ilvl w:val="1"/>
          <w:numId w:val="9"/>
        </w:numPr>
        <w:ind w:left="426"/>
      </w:pPr>
      <w:r w:rsidRPr="000F6CD1">
        <w:rPr>
          <w:b/>
          <w:bCs/>
        </w:rPr>
        <w:t>Choice and consent:</w:t>
      </w:r>
      <w:r w:rsidRPr="000F6CD1">
        <w:t xml:space="preserve"> the individual does not choose to be homeless and consents to accessing Australian Government funded aged care services, particularly entering residential aged care.</w:t>
      </w:r>
    </w:p>
    <w:p w14:paraId="08DBAD31" w14:textId="77777777" w:rsidR="00F27128" w:rsidRPr="000F6CD1" w:rsidRDefault="00F27128" w:rsidP="00C548FC"/>
    <w:tbl>
      <w:tblPr>
        <w:tblStyle w:val="TableGrid"/>
        <w:tblW w:w="0" w:type="auto"/>
        <w:tblLook w:val="04A0" w:firstRow="1" w:lastRow="0" w:firstColumn="1" w:lastColumn="0" w:noHBand="0" w:noVBand="1"/>
      </w:tblPr>
      <w:tblGrid>
        <w:gridCol w:w="844"/>
        <w:gridCol w:w="7922"/>
      </w:tblGrid>
      <w:tr w:rsidR="00D20E71" w:rsidRPr="000F6CD1" w14:paraId="1932CD33" w14:textId="77777777">
        <w:tc>
          <w:tcPr>
            <w:tcW w:w="844" w:type="dxa"/>
          </w:tcPr>
          <w:p w14:paraId="34D0DDB4" w14:textId="77777777" w:rsidR="00D20E71" w:rsidRPr="000F6CD1" w:rsidRDefault="00D20E71">
            <w:pPr>
              <w:spacing w:before="240" w:after="240"/>
              <w:rPr>
                <w:b/>
                <w:szCs w:val="22"/>
              </w:rPr>
            </w:pPr>
            <w:r w:rsidRPr="000F6CD1">
              <w:rPr>
                <w:noProof/>
                <w:shd w:val="clear" w:color="auto" w:fill="FFFFFF" w:themeFill="background1"/>
              </w:rPr>
              <w:drawing>
                <wp:inline distT="0" distB="0" distL="0" distR="0" wp14:anchorId="4CF6D3DA" wp14:editId="528A53F0">
                  <wp:extent cx="383111" cy="381000"/>
                  <wp:effectExtent l="0" t="0" r="0" b="0"/>
                  <wp:docPr id="511142453" name="Picture 51114245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2453" name="Picture 511142453"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6F4DDD61" w14:textId="5A27345F" w:rsidR="00D20E71" w:rsidRPr="000F6CD1" w:rsidRDefault="00D20E71" w:rsidP="00DE77C5">
            <w:pPr>
              <w:spacing w:before="240" w:after="240"/>
              <w:rPr>
                <w:szCs w:val="22"/>
              </w:rPr>
            </w:pPr>
            <w:r w:rsidRPr="000F6CD1">
              <w:rPr>
                <w:szCs w:val="22"/>
              </w:rPr>
              <w:t>See</w:t>
            </w:r>
            <w:r w:rsidR="0028287C">
              <w:rPr>
                <w:szCs w:val="22"/>
              </w:rPr>
              <w:t xml:space="preserve"> </w:t>
            </w:r>
            <w:r w:rsidR="0028287C">
              <w:rPr>
                <w:szCs w:val="22"/>
              </w:rPr>
              <w:fldChar w:fldCharType="begin"/>
            </w:r>
            <w:r w:rsidR="0028287C">
              <w:rPr>
                <w:szCs w:val="22"/>
              </w:rPr>
              <w:instrText xml:space="preserve"> REF _Ref233290455 \h </w:instrText>
            </w:r>
            <w:r w:rsidR="0028287C">
              <w:rPr>
                <w:szCs w:val="22"/>
              </w:rPr>
            </w:r>
            <w:r w:rsidR="0028287C">
              <w:rPr>
                <w:szCs w:val="22"/>
              </w:rPr>
              <w:fldChar w:fldCharType="separate"/>
            </w:r>
            <w:r w:rsidR="004B171E" w:rsidRPr="000F6CD1">
              <w:t>APPENDIX H – Case studies- individuals experiencing homelessness or who are at risk of homelessness</w:t>
            </w:r>
            <w:r w:rsidR="0028287C">
              <w:rPr>
                <w:szCs w:val="22"/>
              </w:rPr>
              <w:fldChar w:fldCharType="end"/>
            </w:r>
            <w:r w:rsidR="0028287C">
              <w:rPr>
                <w:szCs w:val="22"/>
              </w:rPr>
              <w:t xml:space="preserve">. </w:t>
            </w:r>
            <w:r w:rsidR="0028287C" w:rsidRPr="000F6CD1">
              <w:rPr>
                <w:szCs w:val="22"/>
              </w:rPr>
              <w:t xml:space="preserve"> </w:t>
            </w:r>
          </w:p>
        </w:tc>
      </w:tr>
    </w:tbl>
    <w:p w14:paraId="282874B0" w14:textId="243EA7E1" w:rsidR="00A66259" w:rsidRPr="000F6CD1" w:rsidRDefault="00A66259" w:rsidP="00AD2CE5">
      <w:pPr>
        <w:pStyle w:val="H3"/>
      </w:pPr>
      <w:r w:rsidRPr="000F6CD1">
        <w:t>Informing the eligible younger person of other services</w:t>
      </w:r>
    </w:p>
    <w:p w14:paraId="390B9236" w14:textId="10299811" w:rsidR="00A66259" w:rsidRPr="000F6CD1" w:rsidRDefault="004B20C5" w:rsidP="00A677C9">
      <w:pPr>
        <w:spacing w:before="240" w:after="240" w:line="240" w:lineRule="auto"/>
      </w:pPr>
      <w:r w:rsidRPr="000F6CD1">
        <w:t>I</w:t>
      </w:r>
      <w:r w:rsidR="00A66259" w:rsidRPr="000F6CD1">
        <w:t>f the individual is under the age of 65 and falls into one or more of the eligible cohorts, they must</w:t>
      </w:r>
      <w:r w:rsidR="001B6906" w:rsidRPr="000F6CD1">
        <w:t xml:space="preserve"> </w:t>
      </w:r>
      <w:r w:rsidR="00A66259" w:rsidRPr="000F6CD1">
        <w:t xml:space="preserve">inform </w:t>
      </w:r>
      <w:r w:rsidR="008D0D66" w:rsidRPr="000F6CD1">
        <w:t xml:space="preserve">the eligible younger person </w:t>
      </w:r>
      <w:r w:rsidR="00A66259" w:rsidRPr="000F6CD1">
        <w:t xml:space="preserve">of other services that may be available to meet their care </w:t>
      </w:r>
      <w:r w:rsidR="00EF7F78" w:rsidRPr="000F6CD1">
        <w:t>needs, noting</w:t>
      </w:r>
      <w:r w:rsidR="00A66259" w:rsidRPr="000F6CD1">
        <w:t xml:space="preserve"> that it is not a requirement for a person under the age of 65 to take up other services in place of aged care services.</w:t>
      </w:r>
    </w:p>
    <w:p w14:paraId="36C5281C" w14:textId="77777777" w:rsidR="00197D89" w:rsidRPr="000F6CD1" w:rsidRDefault="00197D89" w:rsidP="00A677C9">
      <w:pPr>
        <w:spacing w:before="240" w:after="240" w:line="240" w:lineRule="auto"/>
      </w:pPr>
    </w:p>
    <w:p w14:paraId="530ECCAF" w14:textId="27BABA41" w:rsidR="000E0B6C" w:rsidRPr="000F6CD1" w:rsidRDefault="001B6906" w:rsidP="00806A21">
      <w:pPr>
        <w:pStyle w:val="Sub-headings"/>
      </w:pPr>
      <w:r w:rsidRPr="000F6CD1">
        <w:t xml:space="preserve">Note: </w:t>
      </w:r>
    </w:p>
    <w:p w14:paraId="6E0CFE79" w14:textId="5DC50C93" w:rsidR="001B6906" w:rsidRPr="000F6CD1" w:rsidRDefault="000E0B6C" w:rsidP="00806A21">
      <w:pPr>
        <w:pStyle w:val="Sub-headings"/>
      </w:pPr>
      <w:r w:rsidRPr="000F6CD1">
        <w:t>E</w:t>
      </w:r>
      <w:r w:rsidR="001B6906" w:rsidRPr="000F6CD1">
        <w:t>ligible younger people who have been referred via the My Aged Care contact centre</w:t>
      </w:r>
      <w:r w:rsidR="00B56E2A" w:rsidRPr="000F6CD1">
        <w:t xml:space="preserve"> or an ACSO</w:t>
      </w:r>
      <w:r w:rsidR="001B6906" w:rsidRPr="000F6CD1">
        <w:t xml:space="preserve"> would have been informed of other services prior to </w:t>
      </w:r>
      <w:r w:rsidR="007B273E" w:rsidRPr="000F6CD1">
        <w:t xml:space="preserve">agreeing to be referred for an assessment. </w:t>
      </w:r>
      <w:r w:rsidR="001B6906" w:rsidRPr="000F6CD1">
        <w:t xml:space="preserve">Triage Delegates should check the </w:t>
      </w:r>
      <w:r w:rsidR="00B50097" w:rsidRPr="000F6CD1">
        <w:t xml:space="preserve">eligible younger </w:t>
      </w:r>
      <w:r w:rsidR="001B6906" w:rsidRPr="000F6CD1">
        <w:t xml:space="preserve">person’s record to confirm whether </w:t>
      </w:r>
      <w:r w:rsidR="00FA56A4" w:rsidRPr="000F6CD1">
        <w:t>they</w:t>
      </w:r>
      <w:r w:rsidR="001B6906" w:rsidRPr="000F6CD1">
        <w:t xml:space="preserve"> have been advised of other services at the screening stage. </w:t>
      </w:r>
    </w:p>
    <w:p w14:paraId="485E3441" w14:textId="47C6B686" w:rsidR="00974DBF" w:rsidRPr="000F6CD1" w:rsidRDefault="00974DBF" w:rsidP="00974DBF">
      <w:pPr>
        <w:spacing w:before="240" w:after="240" w:line="240" w:lineRule="auto"/>
      </w:pPr>
      <w:r w:rsidRPr="000F6CD1">
        <w:t xml:space="preserve">If the </w:t>
      </w:r>
      <w:r w:rsidR="00B50097" w:rsidRPr="000F6CD1">
        <w:t xml:space="preserve">eligible younger </w:t>
      </w:r>
      <w:r w:rsidRPr="000F6CD1">
        <w:t xml:space="preserve">person advises that they do not wish to explore other options, proceed with </w:t>
      </w:r>
      <w:r w:rsidR="002B2BE7" w:rsidRPr="000F6CD1">
        <w:t xml:space="preserve">triage </w:t>
      </w:r>
      <w:r w:rsidRPr="000F6CD1">
        <w:t>as usual.</w:t>
      </w:r>
    </w:p>
    <w:p w14:paraId="19C1B433" w14:textId="5D924341" w:rsidR="00A66259" w:rsidRPr="000F6CD1" w:rsidRDefault="00974DBF" w:rsidP="00A677C9">
      <w:pPr>
        <w:keepNext/>
        <w:spacing w:before="240" w:after="240" w:line="240" w:lineRule="auto"/>
      </w:pPr>
      <w:r w:rsidRPr="000F6CD1">
        <w:lastRenderedPageBreak/>
        <w:t xml:space="preserve">If they indicate they would like the opportunity to explore alternative support options, they can be referred to the services list below at </w:t>
      </w:r>
      <w:r w:rsidRPr="000F6CD1">
        <w:rPr>
          <w:i/>
          <w:iCs/>
        </w:rPr>
        <w:t xml:space="preserve">Figure </w:t>
      </w:r>
      <w:r w:rsidR="00DE6378" w:rsidRPr="000F6CD1">
        <w:rPr>
          <w:i/>
          <w:iCs/>
        </w:rPr>
        <w:t>3</w:t>
      </w:r>
      <w:r w:rsidRPr="000F6CD1">
        <w:t xml:space="preserve">, where applicable and relevant to their local area. If they choose to pursue this pathway and do not want to be referred to an assessment organisation, </w:t>
      </w:r>
      <w:r w:rsidR="00D63ECB" w:rsidRPr="000F6CD1">
        <w:t xml:space="preserve">triage </w:t>
      </w:r>
      <w:r w:rsidRPr="000F6CD1">
        <w:t xml:space="preserve">should not </w:t>
      </w:r>
      <w:r w:rsidR="00EF7F78" w:rsidRPr="000F6CD1">
        <w:t>continue,</w:t>
      </w:r>
      <w:r w:rsidRPr="000F6CD1">
        <w:t xml:space="preserve"> and the assessment can be cancelled. A Notice of Decision does not need to be issued as the application has been withdrawn.</w:t>
      </w:r>
      <w:r w:rsidR="00A66259" w:rsidRPr="000F6CD1">
        <w:rPr>
          <w:noProof/>
          <w14:ligatures w14:val="standardContextual"/>
        </w:rPr>
        <w:drawing>
          <wp:inline distT="0" distB="0" distL="0" distR="0" wp14:anchorId="7DC320CC" wp14:editId="1FD20C82">
            <wp:extent cx="5731510" cy="3086100"/>
            <wp:effectExtent l="0" t="0" r="2540" b="0"/>
            <wp:docPr id="1672976007" name="Picture 1672976007" descr="Overview of alternative support options available for individuals under 65 years. List provided for Aboriginal and/or Torres Strait Islander people and individuals who are homeless or at risk of homeles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6007" name="Picture 1672976007" descr="Overview of alternative support options available for individuals under 65 years. List provided for Aboriginal and/or Torres Strait Islander people and individuals who are homeless or at risk of homelessness. "/>
                    <pic:cNvPicPr/>
                  </pic:nvPicPr>
                  <pic:blipFill>
                    <a:blip r:embed="rId132"/>
                    <a:stretch>
                      <a:fillRect/>
                    </a:stretch>
                  </pic:blipFill>
                  <pic:spPr>
                    <a:xfrm>
                      <a:off x="0" y="0"/>
                      <a:ext cx="5731510" cy="3086100"/>
                    </a:xfrm>
                    <a:prstGeom prst="rect">
                      <a:avLst/>
                    </a:prstGeom>
                  </pic:spPr>
                </pic:pic>
              </a:graphicData>
            </a:graphic>
          </wp:inline>
        </w:drawing>
      </w:r>
    </w:p>
    <w:p w14:paraId="46643847" w14:textId="22F288F4" w:rsidR="005B5B2C" w:rsidRPr="000F6CD1" w:rsidRDefault="009116A1" w:rsidP="000E0B6C">
      <w:pPr>
        <w:pStyle w:val="Caption"/>
        <w:spacing w:before="240" w:after="240"/>
        <w:rPr>
          <w:i/>
          <w:sz w:val="18"/>
          <w:szCs w:val="14"/>
        </w:rPr>
      </w:pPr>
      <w:r>
        <w:rPr>
          <w:noProof/>
          <w14:ligatures w14:val="standardContextual"/>
        </w:rPr>
        <w:drawing>
          <wp:anchor distT="0" distB="0" distL="114300" distR="114300" simplePos="0" relativeHeight="251658264" behindDoc="0" locked="0" layoutInCell="1" allowOverlap="1" wp14:anchorId="6EF717EE" wp14:editId="1F0BEB2E">
            <wp:simplePos x="0" y="0"/>
            <wp:positionH relativeFrom="margin">
              <wp:posOffset>15875</wp:posOffset>
            </wp:positionH>
            <wp:positionV relativeFrom="margin">
              <wp:posOffset>4439285</wp:posOffset>
            </wp:positionV>
            <wp:extent cx="365792" cy="403895"/>
            <wp:effectExtent l="0" t="0" r="0" b="0"/>
            <wp:wrapSquare wrapText="bothSides"/>
            <wp:docPr id="588703452"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3452"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A66259" w:rsidRPr="000F6CD1">
        <w:rPr>
          <w:b w:val="0"/>
          <w:bCs/>
          <w:i/>
          <w:iCs w:val="0"/>
          <w:sz w:val="18"/>
          <w:szCs w:val="14"/>
        </w:rPr>
        <w:t xml:space="preserve">Figure </w:t>
      </w:r>
      <w:r w:rsidR="00DE6378" w:rsidRPr="000F6CD1">
        <w:rPr>
          <w:b w:val="0"/>
          <w:bCs/>
          <w:i/>
          <w:iCs w:val="0"/>
          <w:sz w:val="18"/>
          <w:szCs w:val="14"/>
        </w:rPr>
        <w:t>3</w:t>
      </w:r>
      <w:r w:rsidR="00A66259" w:rsidRPr="000F6CD1">
        <w:rPr>
          <w:b w:val="0"/>
          <w:bCs/>
          <w:i/>
          <w:iCs w:val="0"/>
          <w:sz w:val="18"/>
          <w:szCs w:val="14"/>
        </w:rPr>
        <w:t xml:space="preserve"> – list of alternative options for the eligible younger person to consider</w:t>
      </w:r>
    </w:p>
    <w:p w14:paraId="5ACC2991" w14:textId="33501997" w:rsidR="007A743C" w:rsidRDefault="007A743C" w:rsidP="006647CE">
      <w:pPr>
        <w:pStyle w:val="h2"/>
      </w:pPr>
      <w:bookmarkStart w:id="357" w:name="_Toc204329546"/>
      <w:bookmarkStart w:id="358" w:name="_Toc209188981"/>
      <w:bookmarkStart w:id="359" w:name="_Toc233282442"/>
      <w:r w:rsidRPr="000F6CD1">
        <w:t xml:space="preserve">Conducting </w:t>
      </w:r>
      <w:r w:rsidR="00CD761C" w:rsidRPr="000F6CD1">
        <w:t>t</w:t>
      </w:r>
      <w:r w:rsidRPr="000F6CD1">
        <w:t>riage</w:t>
      </w:r>
      <w:bookmarkEnd w:id="357"/>
      <w:bookmarkEnd w:id="358"/>
      <w:bookmarkEnd w:id="359"/>
    </w:p>
    <w:p w14:paraId="1469E156" w14:textId="527398DC" w:rsidR="002F7475" w:rsidRPr="000F6CD1" w:rsidRDefault="002F7475" w:rsidP="002F7475">
      <w:pPr>
        <w:pStyle w:val="NormalText"/>
      </w:pPr>
    </w:p>
    <w:p w14:paraId="7838D25F" w14:textId="250ACAE4" w:rsidR="00A27171" w:rsidRPr="00197D89" w:rsidRDefault="00A27171" w:rsidP="00C548FC">
      <w:pPr>
        <w:pStyle w:val="Boxwithcolouredkeyline"/>
        <w:shd w:val="clear" w:color="auto" w:fill="F2F2F2" w:themeFill="background1" w:themeFillShade="F2"/>
      </w:pPr>
      <w:r w:rsidRPr="00197D89">
        <w:t>Note</w:t>
      </w:r>
    </w:p>
    <w:p w14:paraId="448378D6" w14:textId="15FAB629" w:rsidR="003D3768" w:rsidRPr="000F6CD1" w:rsidRDefault="00FA20A4" w:rsidP="00C548FC">
      <w:pPr>
        <w:pStyle w:val="Boxwithcolouredkeyline"/>
        <w:shd w:val="clear" w:color="auto" w:fill="F2F2F2" w:themeFill="background1" w:themeFillShade="F2"/>
      </w:pPr>
      <w:r w:rsidRPr="000F6CD1">
        <w:t xml:space="preserve">Only appropriately qualified and certified assessment staff </w:t>
      </w:r>
      <w:r w:rsidR="00AC1DCD" w:rsidRPr="000F6CD1">
        <w:t>can hold the triage delegate role and undertake triage</w:t>
      </w:r>
      <w:r w:rsidR="00954210" w:rsidRPr="000F6CD1">
        <w:t xml:space="preserve">. Please refer to </w:t>
      </w:r>
      <w:r w:rsidR="00954210" w:rsidRPr="000F6CD1">
        <w:rPr>
          <w:i/>
          <w:iCs/>
        </w:rPr>
        <w:t>training</w:t>
      </w:r>
      <w:r w:rsidR="00DE14E6" w:rsidRPr="000F6CD1">
        <w:rPr>
          <w:i/>
          <w:iCs/>
        </w:rPr>
        <w:t xml:space="preserve"> requirements f</w:t>
      </w:r>
      <w:r w:rsidR="00540726" w:rsidRPr="000F6CD1">
        <w:rPr>
          <w:i/>
          <w:iCs/>
        </w:rPr>
        <w:t>or assessment teams</w:t>
      </w:r>
      <w:r w:rsidR="00540726" w:rsidRPr="000F6CD1">
        <w:t xml:space="preserve"> in Chapter 2 and </w:t>
      </w:r>
      <w:r w:rsidR="006C3484" w:rsidRPr="000F6CD1">
        <w:rPr>
          <w:i/>
          <w:iCs/>
        </w:rPr>
        <w:t xml:space="preserve">Aged </w:t>
      </w:r>
      <w:r w:rsidR="00E91880" w:rsidRPr="000F6CD1">
        <w:rPr>
          <w:i/>
          <w:iCs/>
        </w:rPr>
        <w:t>c</w:t>
      </w:r>
      <w:r w:rsidR="006C3484" w:rsidRPr="000F6CD1">
        <w:rPr>
          <w:i/>
          <w:iCs/>
        </w:rPr>
        <w:t>are</w:t>
      </w:r>
      <w:r w:rsidR="00E91880" w:rsidRPr="000F6CD1">
        <w:rPr>
          <w:i/>
          <w:iCs/>
        </w:rPr>
        <w:t xml:space="preserve"> assessment</w:t>
      </w:r>
      <w:r w:rsidR="006C3484" w:rsidRPr="000F6CD1">
        <w:rPr>
          <w:i/>
          <w:iCs/>
        </w:rPr>
        <w:t xml:space="preserve"> workforce </w:t>
      </w:r>
      <w:r w:rsidR="00A27171" w:rsidRPr="000F6CD1">
        <w:rPr>
          <w:i/>
          <w:iCs/>
        </w:rPr>
        <w:t>minimum qualification requirements</w:t>
      </w:r>
      <w:r w:rsidR="006C3484" w:rsidRPr="000F6CD1">
        <w:t xml:space="preserve"> in Appendix </w:t>
      </w:r>
      <w:r w:rsidR="006F4C0F" w:rsidRPr="000F6CD1">
        <w:t>F</w:t>
      </w:r>
      <w:r w:rsidR="00AC1DCD" w:rsidRPr="000F6CD1">
        <w:t xml:space="preserve"> </w:t>
      </w:r>
    </w:p>
    <w:p w14:paraId="65638D5E" w14:textId="2AA8C5F3" w:rsidR="007A743C" w:rsidRPr="000F6CD1" w:rsidRDefault="007A743C" w:rsidP="00A677C9">
      <w:pPr>
        <w:spacing w:before="240" w:after="240" w:line="240" w:lineRule="auto"/>
      </w:pPr>
      <w:r w:rsidRPr="000F6CD1">
        <w:t xml:space="preserve">Prior to calling the older person to conduct triage, Triage Delegates should: </w:t>
      </w:r>
    </w:p>
    <w:p w14:paraId="18C83B6D" w14:textId="77777777" w:rsidR="006A6DCB" w:rsidRDefault="006A6DCB" w:rsidP="002F7475"/>
    <w:p w14:paraId="37334C5B" w14:textId="43D68C11" w:rsidR="007A743C" w:rsidRPr="000F6CD1" w:rsidRDefault="007A743C" w:rsidP="002F7475">
      <w:r w:rsidRPr="000F6CD1">
        <w:t>Review the older person’s My Aged Care record</w:t>
      </w:r>
    </w:p>
    <w:p w14:paraId="4605068A" w14:textId="41DCAD9C" w:rsidR="007A743C" w:rsidRPr="000F6CD1" w:rsidRDefault="007A743C" w:rsidP="00DF3F6B">
      <w:pPr>
        <w:pStyle w:val="ListParagraph"/>
        <w:numPr>
          <w:ilvl w:val="0"/>
          <w:numId w:val="82"/>
        </w:numPr>
        <w:spacing w:before="240" w:after="240" w:line="240" w:lineRule="auto"/>
        <w:ind w:left="567" w:hanging="283"/>
      </w:pPr>
      <w:r w:rsidRPr="000F6CD1">
        <w:t>Note the older person’s preferences, choices, any additional needs and communication preferences that will need to be accommodated during the assessment process (e.g. when a hearing impairment is identified or an interpreter is required)</w:t>
      </w:r>
    </w:p>
    <w:p w14:paraId="49D8C0E9" w14:textId="626E7ED9" w:rsidR="007A743C" w:rsidRPr="000F6CD1" w:rsidRDefault="007A743C" w:rsidP="00DF3F6B">
      <w:pPr>
        <w:pStyle w:val="ListParagraph"/>
        <w:numPr>
          <w:ilvl w:val="0"/>
          <w:numId w:val="82"/>
        </w:numPr>
        <w:spacing w:before="240" w:after="240" w:line="240" w:lineRule="auto"/>
        <w:ind w:left="567" w:hanging="283"/>
        <w:rPr>
          <w:rFonts w:eastAsia="Arial"/>
        </w:rPr>
      </w:pPr>
      <w:r w:rsidRPr="000F6CD1">
        <w:t xml:space="preserve">Note that information will be pre-populated from screening. In some circumstances, if an older person was previously found ineligible, then later is eligible, the screening information cannot be changed. </w:t>
      </w:r>
      <w:r w:rsidR="00404035" w:rsidRPr="000F6CD1">
        <w:t>T</w:t>
      </w:r>
      <w:r w:rsidRPr="000F6CD1">
        <w:t>he ‘likely ineligible’ flag will be unticked however screening information will not be able to be updated</w:t>
      </w:r>
      <w:r w:rsidR="004236F4" w:rsidRPr="000F6CD1">
        <w:t>.</w:t>
      </w:r>
    </w:p>
    <w:p w14:paraId="1B6D9040" w14:textId="73412619" w:rsidR="007A743C" w:rsidRPr="000F6CD1" w:rsidRDefault="007A743C" w:rsidP="00DF3F6B">
      <w:pPr>
        <w:pStyle w:val="ListParagraph"/>
        <w:numPr>
          <w:ilvl w:val="0"/>
          <w:numId w:val="82"/>
        </w:numPr>
        <w:spacing w:before="240" w:after="240" w:line="240" w:lineRule="auto"/>
        <w:ind w:left="567" w:hanging="283"/>
      </w:pPr>
      <w:r w:rsidRPr="000F6CD1">
        <w:lastRenderedPageBreak/>
        <w:t>Where the older person has nominated a primary contact, and the triage delegate is satisfied that the older person nominated this person to be contacted in place of the older person in all instances</w:t>
      </w:r>
      <w:r w:rsidR="00DC76F1" w:rsidRPr="000F6CD1">
        <w:t xml:space="preserve"> (or the primary contact has nominated themselves because they are an appointed decision maker </w:t>
      </w:r>
      <w:r w:rsidR="00DC0DFB" w:rsidRPr="000F6CD1">
        <w:t>recognised under the Act with relevant legal authority for the older person</w:t>
      </w:r>
      <w:r w:rsidR="00DC76F1" w:rsidRPr="000F6CD1">
        <w:t>)</w:t>
      </w:r>
      <w:r w:rsidRPr="000F6CD1">
        <w:t>, the triage delegate can contact the nominated primary contact in the first instance. This may be to inform the primary contact that the delegate is seeking to conduct triage, what triage would involve, and to ask the primary contact to discuss the process with the older person. An older person is encouraged to be present for triage, but this is not necessary if the primary contact either:</w:t>
      </w:r>
    </w:p>
    <w:p w14:paraId="5543A66A" w14:textId="77777777" w:rsidR="007A743C" w:rsidRPr="000F6CD1" w:rsidRDefault="007A743C" w:rsidP="00DF3F6B">
      <w:pPr>
        <w:pStyle w:val="ListParagraph"/>
        <w:numPr>
          <w:ilvl w:val="1"/>
          <w:numId w:val="82"/>
        </w:numPr>
        <w:spacing w:before="240" w:after="240" w:line="240" w:lineRule="auto"/>
      </w:pPr>
      <w:r w:rsidRPr="000F6CD1">
        <w:t xml:space="preserve">can communicate information for the older person, including in their capacity as an agent or a registered supporter, or </w:t>
      </w:r>
    </w:p>
    <w:p w14:paraId="1F540F12" w14:textId="427BF56D" w:rsidR="007A743C" w:rsidRPr="000F6CD1" w:rsidRDefault="007A743C" w:rsidP="00DF3F6B">
      <w:pPr>
        <w:pStyle w:val="ListParagraph"/>
        <w:numPr>
          <w:ilvl w:val="1"/>
          <w:numId w:val="82"/>
        </w:numPr>
        <w:spacing w:before="240" w:after="240" w:line="240" w:lineRule="auto"/>
      </w:pPr>
      <w:r w:rsidRPr="000F6CD1">
        <w:t>is an active, appointed decision maker for the older person</w:t>
      </w:r>
      <w:r w:rsidR="00DC0DFB" w:rsidRPr="000F6CD1">
        <w:t xml:space="preserve"> recognised under the Act</w:t>
      </w:r>
      <w:r w:rsidRPr="000F6CD1">
        <w:t xml:space="preserve"> and has legal authority to make decisions relevant to triage on behalf of the older person. </w:t>
      </w:r>
    </w:p>
    <w:p w14:paraId="69D50DB6" w14:textId="77777777" w:rsidR="007B371F" w:rsidRPr="000F6CD1" w:rsidRDefault="00D46F27" w:rsidP="00DF3F6B">
      <w:pPr>
        <w:pStyle w:val="ListParagraph"/>
        <w:numPr>
          <w:ilvl w:val="0"/>
          <w:numId w:val="82"/>
        </w:numPr>
        <w:spacing w:before="240" w:after="240" w:line="240" w:lineRule="auto"/>
      </w:pPr>
      <w:r w:rsidRPr="000F6CD1">
        <w:t>If the triage delegate is</w:t>
      </w:r>
      <w:r w:rsidR="00F65DFE" w:rsidRPr="000F6CD1">
        <w:t xml:space="preserve"> contacting the older person’s appointed decision maker, the triage delegate must ask them to confirm</w:t>
      </w:r>
      <w:r w:rsidR="007B371F" w:rsidRPr="000F6CD1">
        <w:t xml:space="preserve">: </w:t>
      </w:r>
    </w:p>
    <w:p w14:paraId="6BACB1AB" w14:textId="77777777" w:rsidR="007B371F" w:rsidRPr="000F6CD1" w:rsidRDefault="00F65DFE" w:rsidP="00DF3F6B">
      <w:pPr>
        <w:pStyle w:val="ListParagraph"/>
        <w:numPr>
          <w:ilvl w:val="1"/>
          <w:numId w:val="82"/>
        </w:numPr>
        <w:spacing w:before="240" w:after="240" w:line="240" w:lineRule="auto"/>
      </w:pPr>
      <w:r w:rsidRPr="000F6CD1">
        <w:t xml:space="preserve">that they are acting in line with their legal authority to make decisions for the client (mandatory), and </w:t>
      </w:r>
    </w:p>
    <w:p w14:paraId="3DB4F65C" w14:textId="746AD63B" w:rsidR="00F65DFE" w:rsidRPr="000F6CD1" w:rsidRDefault="00F65DFE" w:rsidP="00DF3F6B">
      <w:pPr>
        <w:pStyle w:val="ListParagraph"/>
        <w:numPr>
          <w:ilvl w:val="1"/>
          <w:numId w:val="82"/>
        </w:numPr>
        <w:spacing w:before="240" w:after="240" w:line="240" w:lineRule="auto"/>
      </w:pPr>
      <w:r w:rsidRPr="000F6CD1">
        <w:t xml:space="preserve">if they have talked to the client about the triage and what </w:t>
      </w:r>
      <w:r w:rsidR="007B371F" w:rsidRPr="000F6CD1">
        <w:t>it</w:t>
      </w:r>
      <w:r w:rsidRPr="000F6CD1">
        <w:t xml:space="preserve"> may involve</w:t>
      </w:r>
      <w:r w:rsidR="007B371F" w:rsidRPr="000F6CD1">
        <w:t xml:space="preserve"> (not mandatory, but this is in line with the principles of supported decision-making)</w:t>
      </w:r>
      <w:r w:rsidR="00B23AB0" w:rsidRPr="000F6CD1">
        <w:t xml:space="preserve">. </w:t>
      </w:r>
    </w:p>
    <w:p w14:paraId="3125EEA7" w14:textId="77777777" w:rsidR="000E0B6C" w:rsidRPr="000F6CD1" w:rsidRDefault="000E0B6C" w:rsidP="00806A21">
      <w:pPr>
        <w:pStyle w:val="Sub-headings"/>
      </w:pPr>
      <w:r w:rsidRPr="000F6CD1">
        <w:t>Note:</w:t>
      </w:r>
    </w:p>
    <w:p w14:paraId="76D2E1DA" w14:textId="10BF46C9" w:rsidR="007A743C" w:rsidRPr="000F6CD1" w:rsidRDefault="007A743C" w:rsidP="00806A21">
      <w:pPr>
        <w:pStyle w:val="Sub-headings"/>
      </w:pPr>
      <w:r w:rsidRPr="000F6CD1">
        <w:t xml:space="preserve">Registered supporters must act only within the scope of their roles. For example, the role of a registered supporter is to support the older person to make and communicate their own decisions, acting in line with the </w:t>
      </w:r>
      <w:r w:rsidR="00CD6747" w:rsidRPr="000F6CD1">
        <w:t>known</w:t>
      </w:r>
      <w:r w:rsidRPr="000F6CD1">
        <w:t xml:space="preserve"> will and preferences of the older person. Triage delegates should check that a registered supporter or agent is communicating information for the older person in line with their role, not making decisions on behalf of the older person. If in doubt, the triage delegate should contact the older person. </w:t>
      </w:r>
    </w:p>
    <w:p w14:paraId="4DAB3C4F" w14:textId="2AA683BD" w:rsidR="00505DCE" w:rsidRPr="000F6CD1" w:rsidRDefault="007A743C" w:rsidP="00806A21">
      <w:pPr>
        <w:pStyle w:val="Sub-headings"/>
      </w:pPr>
      <w:r w:rsidRPr="000F6CD1">
        <w:t>If an active, appointed decision maker</w:t>
      </w:r>
      <w:r w:rsidR="00DC0DFB" w:rsidRPr="000F6CD1">
        <w:t xml:space="preserve"> recognised under the Ac</w:t>
      </w:r>
      <w:r w:rsidR="007B7F37" w:rsidRPr="000F6CD1">
        <w:t>t</w:t>
      </w:r>
      <w:r w:rsidRPr="000F6CD1">
        <w:t xml:space="preserve"> (whether or not registered as a supporter), is making a decision on behalf of an older person, triage delegates must be satisfied that the appointed decision maker is acting in line with their legal authority under a Commonwealth, state or territory arrangement, and that the authority is relevant in the circumstances. </w:t>
      </w:r>
    </w:p>
    <w:p w14:paraId="154426C3" w14:textId="733E52BF" w:rsidR="00A139F2" w:rsidRPr="000F6CD1" w:rsidRDefault="001C7060" w:rsidP="00806A21">
      <w:pPr>
        <w:pStyle w:val="Sub-headings"/>
      </w:pPr>
      <w:r w:rsidRPr="000F6CD1">
        <w:t xml:space="preserve">Triage </w:t>
      </w:r>
      <w:r w:rsidR="0095167C" w:rsidRPr="000F6CD1">
        <w:t>D</w:t>
      </w:r>
      <w:r w:rsidRPr="000F6CD1">
        <w:t xml:space="preserve">elegates should review the </w:t>
      </w:r>
      <w:r w:rsidR="0095167C" w:rsidRPr="000F6CD1">
        <w:t xml:space="preserve">proof an appointed decision maker has provided to the System Governor to support their authority. </w:t>
      </w:r>
      <w:r w:rsidR="007A743C" w:rsidRPr="000F6CD1">
        <w:t>A Triage Delegate</w:t>
      </w:r>
      <w:r w:rsidRPr="000F6CD1">
        <w:t xml:space="preserve"> cannot</w:t>
      </w:r>
      <w:r w:rsidR="00EF7F78" w:rsidRPr="000F6CD1">
        <w:t xml:space="preserve"> </w:t>
      </w:r>
      <w:r w:rsidR="007A743C" w:rsidRPr="000F6CD1">
        <w:t xml:space="preserve">rely solely on a person’s registration </w:t>
      </w:r>
      <w:r w:rsidR="0095167C" w:rsidRPr="000F6CD1">
        <w:t xml:space="preserve">as a supporter </w:t>
      </w:r>
      <w:r w:rsidR="007A743C" w:rsidRPr="000F6CD1">
        <w:t>to assume their decision-making authority for aged care triage or assessment matters</w:t>
      </w:r>
      <w:r w:rsidR="00194095" w:rsidRPr="000F6CD1">
        <w:t xml:space="preserve"> or </w:t>
      </w:r>
      <w:r w:rsidR="00CF5341" w:rsidRPr="000F6CD1">
        <w:t xml:space="preserve">assume that simply because a person has a supporter guardian, the older person does not have decision-making capacity </w:t>
      </w:r>
      <w:r w:rsidR="0003398D" w:rsidRPr="000F6CD1">
        <w:t xml:space="preserve">for </w:t>
      </w:r>
      <w:r w:rsidR="0095167C" w:rsidRPr="000F6CD1">
        <w:t>some or</w:t>
      </w:r>
      <w:r w:rsidR="00CF5341" w:rsidRPr="000F6CD1">
        <w:t xml:space="preserve"> for all matters.</w:t>
      </w:r>
    </w:p>
    <w:p w14:paraId="132F70DE" w14:textId="351136C2" w:rsidR="007A743C" w:rsidRPr="000F6CD1" w:rsidRDefault="007A743C" w:rsidP="00806A21">
      <w:pPr>
        <w:pStyle w:val="Sub-headings"/>
      </w:pPr>
      <w:r w:rsidRPr="000F6CD1">
        <w:t>Triage Delegates should also inform the appointed decision maker that it is preferred, where possible, that the older person is present on the call.</w:t>
      </w:r>
    </w:p>
    <w:p w14:paraId="59EBB533" w14:textId="4B0B1153" w:rsidR="00167C84" w:rsidRPr="000F6CD1" w:rsidRDefault="007A743C" w:rsidP="00806A21">
      <w:pPr>
        <w:pStyle w:val="Sub-headings"/>
      </w:pPr>
      <w:r w:rsidRPr="000F6CD1">
        <w:t xml:space="preserve">If any information or documents must be shared with an older person during the triage process, </w:t>
      </w:r>
      <w:r w:rsidR="0095167C" w:rsidRPr="000F6CD1">
        <w:t xml:space="preserve">it </w:t>
      </w:r>
      <w:r w:rsidRPr="000F6CD1">
        <w:t xml:space="preserve">must </w:t>
      </w:r>
      <w:r w:rsidR="0095167C" w:rsidRPr="000F6CD1">
        <w:t xml:space="preserve">also </w:t>
      </w:r>
      <w:r w:rsidRPr="000F6CD1">
        <w:t xml:space="preserve">be shared with certain registered supporters </w:t>
      </w:r>
      <w:r w:rsidR="0095167C" w:rsidRPr="000F6CD1">
        <w:t>(supporters and supporter guardians)</w:t>
      </w:r>
      <w:r w:rsidRPr="000F6CD1">
        <w:t xml:space="preserve"> for an older person, in line with the Act</w:t>
      </w:r>
      <w:r w:rsidR="0095167C" w:rsidRPr="000F6CD1">
        <w:t xml:space="preserve"> (section 29).</w:t>
      </w:r>
      <w:r w:rsidR="00FB5825" w:rsidRPr="000F6CD1">
        <w:t xml:space="preserve"> Information cannot be automatically shared with an older person’s ‘supporter lite</w:t>
      </w:r>
      <w:r w:rsidR="00DA2EEB" w:rsidRPr="000F6CD1">
        <w:t>.’</w:t>
      </w:r>
    </w:p>
    <w:p w14:paraId="10E2C24A" w14:textId="77777777" w:rsidR="00460F72" w:rsidRPr="000F6CD1" w:rsidRDefault="007A743C" w:rsidP="00A677C9">
      <w:pPr>
        <w:spacing w:before="240" w:after="240" w:line="240" w:lineRule="auto"/>
      </w:pPr>
      <w:r w:rsidRPr="000F6CD1">
        <w:lastRenderedPageBreak/>
        <w:t xml:space="preserve">Triage delegates must consider a referral to care finder services for a vulnerable older person who does not have anybody who can support them. Information on care finder services is available at </w:t>
      </w:r>
      <w:r w:rsidR="00C61672" w:rsidRPr="000F6CD1">
        <w:t>My Aged Care</w:t>
      </w:r>
      <w:r w:rsidRPr="000F6CD1">
        <w:t>.</w:t>
      </w:r>
      <w:r w:rsidR="004745D5" w:rsidRPr="000F6CD1">
        <w:t xml:space="preserve"> </w:t>
      </w:r>
      <w:r w:rsidR="00AD0F68" w:rsidRPr="000F6CD1">
        <w:t xml:space="preserve">For Aboriginal and Torres Strait Islander clients, the assessor may </w:t>
      </w:r>
      <w:r w:rsidR="009C6D38" w:rsidRPr="000F6CD1">
        <w:t>also</w:t>
      </w:r>
      <w:r w:rsidR="00AD0F68" w:rsidRPr="000F6CD1">
        <w:t xml:space="preserve"> connect the older person with an </w:t>
      </w:r>
      <w:r w:rsidR="00516D69" w:rsidRPr="000F6CD1">
        <w:t xml:space="preserve">Elder Care Support worker to provide additional support </w:t>
      </w:r>
      <w:r w:rsidR="006A4584" w:rsidRPr="000F6CD1">
        <w:t>to the older person.</w:t>
      </w:r>
      <w:r w:rsidR="00516D69" w:rsidRPr="000F6CD1">
        <w:t xml:space="preserve"> </w:t>
      </w:r>
    </w:p>
    <w:p w14:paraId="754F909A" w14:textId="5A305636" w:rsidR="007A743C" w:rsidRPr="000F6CD1" w:rsidRDefault="00A51193" w:rsidP="00A677C9">
      <w:pPr>
        <w:spacing w:before="240" w:after="240" w:line="240" w:lineRule="auto"/>
      </w:pPr>
      <w:r w:rsidRPr="000F6CD1">
        <w:t xml:space="preserve">From 29 June 2026, a new pathway in the My Aged Care Assessor Portal will allow a Triage Delegate to determine that a client is not eligible for assessment without completing the triage process. Where a client is clearly ineligible (for example, due to age), the Triage Delegate can use the ‘Decide Not Eligible’ function in the My Aged Care Assessor Portal to record the decision without completing the triage section of the </w:t>
      </w:r>
      <w:r w:rsidR="00E47FB2" w:rsidRPr="000F6CD1">
        <w:t>Assessor Portal</w:t>
      </w:r>
      <w:r w:rsidRPr="000F6CD1">
        <w:t>. They must select the reason the client does not meet the eligibility criteria and will then be directed to the attachments tab to generate and upload the ineligibility letter. Clients found ineligible at triage must be issued an ‘Ineligible for Assessment’ letter, which must be uploaded to the client’s online record.</w:t>
      </w:r>
    </w:p>
    <w:tbl>
      <w:tblPr>
        <w:tblStyle w:val="TableGrid"/>
        <w:tblW w:w="0" w:type="auto"/>
        <w:tblLook w:val="04A0" w:firstRow="1" w:lastRow="0" w:firstColumn="1" w:lastColumn="0" w:noHBand="0" w:noVBand="1"/>
      </w:tblPr>
      <w:tblGrid>
        <w:gridCol w:w="844"/>
        <w:gridCol w:w="7922"/>
      </w:tblGrid>
      <w:tr w:rsidR="000749DD" w:rsidRPr="000F6CD1" w14:paraId="68C2352B" w14:textId="77777777">
        <w:tc>
          <w:tcPr>
            <w:tcW w:w="844" w:type="dxa"/>
          </w:tcPr>
          <w:p w14:paraId="532DC763" w14:textId="77777777" w:rsidR="000749DD" w:rsidRPr="000F6CD1" w:rsidRDefault="000749DD">
            <w:pPr>
              <w:spacing w:before="240" w:after="240"/>
              <w:rPr>
                <w:b/>
                <w:szCs w:val="22"/>
              </w:rPr>
            </w:pPr>
            <w:r w:rsidRPr="000F6CD1">
              <w:rPr>
                <w:noProof/>
                <w:shd w:val="clear" w:color="auto" w:fill="FFFFFF" w:themeFill="background1"/>
              </w:rPr>
              <w:drawing>
                <wp:inline distT="0" distB="0" distL="0" distR="0" wp14:anchorId="7D7EA149" wp14:editId="6816F6B3">
                  <wp:extent cx="383111" cy="381000"/>
                  <wp:effectExtent l="0" t="0" r="0" b="0"/>
                  <wp:docPr id="1299847525" name="Picture 1299847525"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7525" name="Picture 1299847525"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7922" w:type="dxa"/>
          </w:tcPr>
          <w:p w14:paraId="17472297" w14:textId="77777777" w:rsidR="000749DD" w:rsidRPr="000F6CD1" w:rsidRDefault="00C61672" w:rsidP="00DF3F6B">
            <w:pPr>
              <w:pStyle w:val="ListParagraph"/>
              <w:numPr>
                <w:ilvl w:val="0"/>
                <w:numId w:val="72"/>
              </w:numPr>
              <w:spacing w:before="240" w:after="240"/>
              <w:rPr>
                <w:szCs w:val="22"/>
              </w:rPr>
            </w:pPr>
            <w:hyperlink r:id="rId133" w:history="1">
              <w:r w:rsidRPr="000F6CD1">
                <w:rPr>
                  <w:rStyle w:val="Hyperlink"/>
                  <w:szCs w:val="22"/>
                </w:rPr>
                <w:t>Help from a care finder | My Aged Care</w:t>
              </w:r>
            </w:hyperlink>
          </w:p>
          <w:p w14:paraId="747933B9" w14:textId="309CDD37" w:rsidR="000749DD" w:rsidRPr="000F6CD1" w:rsidRDefault="00FA3CFB" w:rsidP="00DF3F6B">
            <w:pPr>
              <w:pStyle w:val="ListParagraph"/>
              <w:numPr>
                <w:ilvl w:val="0"/>
                <w:numId w:val="72"/>
              </w:numPr>
              <w:spacing w:before="240" w:after="240"/>
              <w:rPr>
                <w:szCs w:val="22"/>
              </w:rPr>
            </w:pPr>
            <w:hyperlink r:id="rId134" w:history="1">
              <w:r w:rsidRPr="000F6CD1">
                <w:rPr>
                  <w:rStyle w:val="Hyperlink"/>
                  <w:szCs w:val="22"/>
                </w:rPr>
                <w:t>Elder Care Support program | My Aged Care</w:t>
              </w:r>
            </w:hyperlink>
          </w:p>
        </w:tc>
      </w:tr>
    </w:tbl>
    <w:p w14:paraId="756C7ED2" w14:textId="77777777" w:rsidR="000749DD" w:rsidRPr="000F6CD1" w:rsidRDefault="000749DD" w:rsidP="00A677C9">
      <w:pPr>
        <w:spacing w:before="240" w:after="240" w:line="240" w:lineRule="auto"/>
      </w:pPr>
    </w:p>
    <w:p w14:paraId="086B5C82" w14:textId="77777777" w:rsidR="007A743C" w:rsidRPr="000F6CD1" w:rsidRDefault="007A743C" w:rsidP="00AD2CE5">
      <w:pPr>
        <w:pStyle w:val="H3"/>
      </w:pPr>
      <w:bookmarkStart w:id="360" w:name="_Toc184026568"/>
      <w:bookmarkStart w:id="361" w:name="_Toc184402287"/>
      <w:r w:rsidRPr="000F6CD1">
        <w:t>Initial discussion</w:t>
      </w:r>
      <w:bookmarkEnd w:id="360"/>
      <w:bookmarkEnd w:id="361"/>
    </w:p>
    <w:p w14:paraId="19C8A4BF" w14:textId="77777777" w:rsidR="007A743C" w:rsidRPr="000F6CD1" w:rsidRDefault="007A743C" w:rsidP="00A677C9">
      <w:pPr>
        <w:spacing w:before="240" w:after="240" w:line="240" w:lineRule="auto"/>
      </w:pPr>
      <w:r w:rsidRPr="000F6CD1">
        <w:t>When contacting the older person and/or nominated contact, triage delegates should:</w:t>
      </w:r>
    </w:p>
    <w:p w14:paraId="4164EBBC" w14:textId="08E5E783" w:rsidR="007A743C" w:rsidRPr="000F6CD1" w:rsidRDefault="007A743C" w:rsidP="00DF3F6B">
      <w:pPr>
        <w:pStyle w:val="ListParagraph"/>
        <w:numPr>
          <w:ilvl w:val="0"/>
          <w:numId w:val="82"/>
        </w:numPr>
        <w:spacing w:before="240" w:after="240" w:line="240" w:lineRule="auto"/>
        <w:ind w:left="567" w:hanging="283"/>
      </w:pPr>
      <w:r w:rsidRPr="000F6CD1">
        <w:t xml:space="preserve">Identify who </w:t>
      </w:r>
      <w:r w:rsidR="00D46738" w:rsidRPr="000F6CD1">
        <w:t xml:space="preserve">they </w:t>
      </w:r>
      <w:r w:rsidRPr="000F6CD1">
        <w:t xml:space="preserve">are and the organisation </w:t>
      </w:r>
      <w:r w:rsidR="00621812" w:rsidRPr="000F6CD1">
        <w:t xml:space="preserve">they </w:t>
      </w:r>
      <w:r w:rsidRPr="000F6CD1">
        <w:t>are from and confirm that they have 15 to 20 minutes to discuss their assessment request.</w:t>
      </w:r>
    </w:p>
    <w:p w14:paraId="57B4558D" w14:textId="3FBE6E66" w:rsidR="007A743C" w:rsidRPr="000F6CD1" w:rsidRDefault="007A743C" w:rsidP="00DF3F6B">
      <w:pPr>
        <w:pStyle w:val="ListParagraph"/>
        <w:numPr>
          <w:ilvl w:val="0"/>
          <w:numId w:val="82"/>
        </w:numPr>
        <w:spacing w:before="240" w:after="240" w:line="240" w:lineRule="auto"/>
        <w:ind w:left="567" w:hanging="283"/>
      </w:pPr>
      <w:r w:rsidRPr="000F6CD1">
        <w:rPr>
          <w:rFonts w:eastAsia="Times New Roman"/>
        </w:rPr>
        <w:t>Complete an identity check and confirm whether there is anyone else with the older person at the time (e.g., registered supporters</w:t>
      </w:r>
      <w:r w:rsidR="005B71E3" w:rsidRPr="000F6CD1">
        <w:rPr>
          <w:rFonts w:eastAsia="Times New Roman"/>
        </w:rPr>
        <w:t>, family members</w:t>
      </w:r>
      <w:r w:rsidRPr="000F6CD1">
        <w:rPr>
          <w:rFonts w:eastAsia="Times New Roman"/>
        </w:rPr>
        <w:t>). If they do not have anyone with them and would like someone with them, call back at a more suitable time.</w:t>
      </w:r>
    </w:p>
    <w:p w14:paraId="3C42DC49" w14:textId="7F9CD901" w:rsidR="007A743C" w:rsidRPr="000F6CD1" w:rsidRDefault="00194095" w:rsidP="00DF3F6B">
      <w:pPr>
        <w:pStyle w:val="ListParagraph"/>
        <w:numPr>
          <w:ilvl w:val="0"/>
          <w:numId w:val="82"/>
        </w:numPr>
        <w:spacing w:before="240" w:after="240" w:line="240" w:lineRule="auto"/>
        <w:ind w:left="567" w:hanging="283"/>
      </w:pPr>
      <w:r w:rsidRPr="000F6CD1">
        <w:t>Advi</w:t>
      </w:r>
      <w:r w:rsidR="00FF29B9" w:rsidRPr="000F6CD1">
        <w:t>s</w:t>
      </w:r>
      <w:r w:rsidRPr="000F6CD1">
        <w:t>e</w:t>
      </w:r>
      <w:r w:rsidR="007A743C" w:rsidRPr="000F6CD1" w:rsidDel="00D909AC">
        <w:t xml:space="preserve"> </w:t>
      </w:r>
      <w:r w:rsidR="00D909AC" w:rsidRPr="000F6CD1">
        <w:t xml:space="preserve">they </w:t>
      </w:r>
      <w:r w:rsidR="007A743C" w:rsidRPr="000F6CD1">
        <w:t xml:space="preserve">have received the referral, who it is from and the role </w:t>
      </w:r>
      <w:r w:rsidR="00D909AC" w:rsidRPr="000F6CD1">
        <w:t xml:space="preserve">the assessment </w:t>
      </w:r>
      <w:r w:rsidR="007A743C" w:rsidRPr="000F6CD1">
        <w:t>organisation plays.</w:t>
      </w:r>
    </w:p>
    <w:p w14:paraId="6C09C318" w14:textId="793D258E" w:rsidR="007A743C" w:rsidRPr="000F6CD1" w:rsidRDefault="007A743C" w:rsidP="00DF3F6B">
      <w:pPr>
        <w:pStyle w:val="ListParagraph"/>
        <w:numPr>
          <w:ilvl w:val="0"/>
          <w:numId w:val="82"/>
        </w:numPr>
        <w:spacing w:before="240" w:after="240" w:line="240" w:lineRule="auto"/>
        <w:ind w:left="567" w:hanging="283"/>
      </w:pPr>
      <w:r w:rsidRPr="000F6CD1">
        <w:t>Advise</w:t>
      </w:r>
      <w:r w:rsidRPr="000F6CD1" w:rsidDel="00D909AC">
        <w:t xml:space="preserve"> </w:t>
      </w:r>
      <w:r w:rsidR="00D909AC" w:rsidRPr="000F6CD1">
        <w:t xml:space="preserve">they </w:t>
      </w:r>
      <w:r w:rsidRPr="000F6CD1">
        <w:t>will be asking a few questions relating to their general health and wellbeing to help inform assessment needs.</w:t>
      </w:r>
    </w:p>
    <w:p w14:paraId="00924B44" w14:textId="00979267" w:rsidR="007A743C" w:rsidRPr="000F6CD1" w:rsidRDefault="007A743C" w:rsidP="00DF3F6B">
      <w:pPr>
        <w:pStyle w:val="ListParagraph"/>
        <w:numPr>
          <w:ilvl w:val="0"/>
          <w:numId w:val="82"/>
        </w:numPr>
        <w:spacing w:before="240" w:after="240" w:line="240" w:lineRule="auto"/>
        <w:ind w:left="567" w:hanging="283"/>
      </w:pPr>
      <w:r w:rsidRPr="000F6CD1">
        <w:t xml:space="preserve">Confirm consent (consistent with section </w:t>
      </w:r>
      <w:r w:rsidR="002F3D64" w:rsidRPr="000F6CD1">
        <w:fldChar w:fldCharType="begin"/>
      </w:r>
      <w:r w:rsidR="002F3D64" w:rsidRPr="000F6CD1">
        <w:instrText xml:space="preserve"> REF _Ref212733813 \r \h </w:instrText>
      </w:r>
      <w:r w:rsidR="002F3D64" w:rsidRPr="000F6CD1">
        <w:fldChar w:fldCharType="separate"/>
      </w:r>
      <w:r w:rsidR="004B171E">
        <w:t>5.1</w:t>
      </w:r>
      <w:r w:rsidR="002F3D64" w:rsidRPr="000F6CD1">
        <w:fldChar w:fldCharType="end"/>
      </w:r>
      <w:r w:rsidRPr="000F6CD1">
        <w:t xml:space="preserve">) and ensure the older person understands why they are having the assessment, why the assessor needs to come to their home (if applicable) and allay any concerns or fears that they may have about the assessment. Should the older person or their active, appointed decision maker </w:t>
      </w:r>
      <w:r w:rsidR="001C4276" w:rsidRPr="000F6CD1">
        <w:t xml:space="preserve">recognised under the Act </w:t>
      </w:r>
      <w:r w:rsidRPr="000F6CD1">
        <w:t xml:space="preserve">choose not to give consent, the triage process is to </w:t>
      </w:r>
      <w:r w:rsidR="00EC4F01" w:rsidRPr="000F6CD1">
        <w:t>end,</w:t>
      </w:r>
      <w:r w:rsidRPr="000F6CD1">
        <w:t xml:space="preserve"> and the assessment referral is rejected.</w:t>
      </w:r>
    </w:p>
    <w:p w14:paraId="0532ACB8" w14:textId="10E7F6FF" w:rsidR="00C76738" w:rsidRPr="000F6CD1" w:rsidRDefault="00C76738" w:rsidP="00DF3F6B">
      <w:pPr>
        <w:pStyle w:val="ListParagraph"/>
        <w:numPr>
          <w:ilvl w:val="0"/>
          <w:numId w:val="82"/>
        </w:numPr>
        <w:spacing w:before="240" w:after="240" w:line="240" w:lineRule="auto"/>
        <w:ind w:left="567" w:hanging="283"/>
      </w:pPr>
      <w:r w:rsidRPr="000F6CD1">
        <w:rPr>
          <w:shd w:val="clear" w:color="auto" w:fill="FFFFFF"/>
          <w:lang w:eastAsia="en-GB"/>
        </w:rPr>
        <w:t>Confirm their preference for an Aboriginal and Torres Strait Islander assessment organisation (</w:t>
      </w:r>
      <w:r w:rsidR="00D1076B" w:rsidRPr="000F6CD1">
        <w:rPr>
          <w:shd w:val="clear" w:color="auto" w:fill="FFFFFF"/>
          <w:lang w:eastAsia="en-GB"/>
        </w:rPr>
        <w:t>see below this section for further detail)</w:t>
      </w:r>
      <w:r w:rsidR="007D02B5" w:rsidRPr="000F6CD1">
        <w:rPr>
          <w:shd w:val="clear" w:color="auto" w:fill="FFFFFF"/>
          <w:lang w:eastAsia="en-GB"/>
        </w:rPr>
        <w:t>.</w:t>
      </w:r>
    </w:p>
    <w:p w14:paraId="6A7CF885" w14:textId="77777777" w:rsidR="007A743C" w:rsidRPr="000F6CD1" w:rsidRDefault="007A743C" w:rsidP="00DF3F6B">
      <w:pPr>
        <w:pStyle w:val="ListParagraph"/>
        <w:numPr>
          <w:ilvl w:val="0"/>
          <w:numId w:val="82"/>
        </w:numPr>
        <w:spacing w:before="240" w:after="240" w:line="240" w:lineRule="auto"/>
        <w:ind w:left="567" w:hanging="283"/>
      </w:pPr>
      <w:r w:rsidRPr="000F6CD1">
        <w:t xml:space="preserve">Check the contact information for the older person, and if appropriate, the contact information for the registered supporter or agent, such as a care finder (including address for receiving correspondence) to ensure it is complete, correct and validated. </w:t>
      </w:r>
    </w:p>
    <w:p w14:paraId="5756EDDE" w14:textId="36514E9E" w:rsidR="007A743C" w:rsidRPr="000F6CD1" w:rsidRDefault="007A743C" w:rsidP="00DF3F6B">
      <w:pPr>
        <w:pStyle w:val="ListParagraph"/>
        <w:numPr>
          <w:ilvl w:val="0"/>
          <w:numId w:val="82"/>
        </w:numPr>
        <w:spacing w:before="240" w:after="240" w:line="240" w:lineRule="auto"/>
        <w:ind w:left="567" w:hanging="283"/>
      </w:pPr>
      <w:r w:rsidRPr="000F6CD1">
        <w:t xml:space="preserve">Gather any additional information required, including whether the older person would like </w:t>
      </w:r>
      <w:r w:rsidR="00703E3B" w:rsidRPr="000F6CD1">
        <w:t>someone who supports them</w:t>
      </w:r>
      <w:r w:rsidRPr="000F6CD1">
        <w:t xml:space="preserve">/registered supporter/agent present for the triage questions asked using the Integrated Assessment Tool or at the assessment. </w:t>
      </w:r>
    </w:p>
    <w:p w14:paraId="3CF03889" w14:textId="6F784541" w:rsidR="007A743C" w:rsidRPr="000F6CD1" w:rsidRDefault="007A743C" w:rsidP="00DF3F6B">
      <w:pPr>
        <w:pStyle w:val="ListParagraph"/>
        <w:numPr>
          <w:ilvl w:val="1"/>
          <w:numId w:val="82"/>
        </w:numPr>
        <w:spacing w:before="240" w:after="240" w:line="240" w:lineRule="auto"/>
      </w:pPr>
      <w:r w:rsidRPr="000F6CD1">
        <w:t xml:space="preserve">If an older person lacks </w:t>
      </w:r>
      <w:r w:rsidR="00284A9F" w:rsidRPr="000F6CD1">
        <w:t>decision-making</w:t>
      </w:r>
      <w:r w:rsidRPr="000F6CD1">
        <w:t xml:space="preserve"> capacity, an active, appointed decision maker </w:t>
      </w:r>
      <w:r w:rsidR="001C4276" w:rsidRPr="000F6CD1">
        <w:t xml:space="preserve">recognised under the Act </w:t>
      </w:r>
      <w:r w:rsidRPr="000F6CD1">
        <w:t xml:space="preserve">(whether or not a registered </w:t>
      </w:r>
      <w:r w:rsidRPr="000F6CD1">
        <w:lastRenderedPageBreak/>
        <w:t xml:space="preserve">supporter) must be involved in the assessment to ensure the older person is accurately assessed. </w:t>
      </w:r>
      <w:r w:rsidR="0012635D" w:rsidRPr="000F6CD1">
        <w:t xml:space="preserve">An active, appointed decision maker for this purpose may already be identified on the older person’s </w:t>
      </w:r>
      <w:r w:rsidR="00737E40" w:rsidRPr="000F6CD1">
        <w:t xml:space="preserve">record </w:t>
      </w:r>
      <w:r w:rsidR="0012635D" w:rsidRPr="000F6CD1">
        <w:t>as a person to whom all correspondence must be sent.</w:t>
      </w:r>
      <w:r w:rsidRPr="000F6CD1">
        <w:t xml:space="preserve"> </w:t>
      </w:r>
      <w:r w:rsidR="009C1352" w:rsidRPr="000F6CD1">
        <w:t xml:space="preserve">Triage </w:t>
      </w:r>
      <w:r w:rsidR="000E2343" w:rsidRPr="000F6CD1">
        <w:t>d</w:t>
      </w:r>
      <w:r w:rsidR="009C1352" w:rsidRPr="000F6CD1">
        <w:t xml:space="preserve">elegates should review the proof an appointed decision maker has provided to the System Governor to support their authority. </w:t>
      </w:r>
      <w:r w:rsidRPr="000F6CD1">
        <w:t xml:space="preserve">Registered supporters who are not active, appointed decision makers can also be involved, in line with the </w:t>
      </w:r>
      <w:r w:rsidR="0012635D" w:rsidRPr="000F6CD1">
        <w:t>will and preferences of the older person</w:t>
      </w:r>
      <w:r w:rsidRPr="000F6CD1" w:rsidDel="00563C42">
        <w:t>.</w:t>
      </w:r>
      <w:r w:rsidRPr="000F6CD1">
        <w:t xml:space="preserve"> The assessor can submit a request to create a new registered supporter/agent relationship if required (see Chapter </w:t>
      </w:r>
      <w:r w:rsidR="00485278" w:rsidRPr="000F6CD1">
        <w:fldChar w:fldCharType="begin"/>
      </w:r>
      <w:r w:rsidR="00485278" w:rsidRPr="000F6CD1">
        <w:instrText xml:space="preserve"> REF _Ref212735676 \w \h </w:instrText>
      </w:r>
      <w:r w:rsidR="00485278" w:rsidRPr="000F6CD1">
        <w:fldChar w:fldCharType="separate"/>
      </w:r>
      <w:r w:rsidR="004B171E">
        <w:t>3</w:t>
      </w:r>
      <w:r w:rsidR="00485278" w:rsidRPr="000F6CD1">
        <w:fldChar w:fldCharType="end"/>
      </w:r>
      <w:r w:rsidRPr="000F6CD1">
        <w:t xml:space="preserve">). </w:t>
      </w:r>
    </w:p>
    <w:p w14:paraId="66B5C645" w14:textId="25A8AA0C" w:rsidR="007A743C" w:rsidRPr="000F6CD1" w:rsidRDefault="007A743C" w:rsidP="00DF3F6B">
      <w:pPr>
        <w:pStyle w:val="ListParagraph"/>
        <w:numPr>
          <w:ilvl w:val="1"/>
          <w:numId w:val="82"/>
        </w:numPr>
        <w:spacing w:before="240" w:after="240" w:line="240" w:lineRule="auto"/>
      </w:pPr>
      <w:r w:rsidRPr="000F6CD1">
        <w:t xml:space="preserve">Submitting a ‘request’ may mean a supporter relationship is recorded in the system as a pending relationship seeking to be registered by the System Governor. There are many ways to submit a request, including with the help of an assessor, </w:t>
      </w:r>
      <w:r w:rsidR="00C72BF0" w:rsidRPr="000F6CD1">
        <w:t xml:space="preserve">online, </w:t>
      </w:r>
      <w:r w:rsidRPr="000F6CD1">
        <w:t xml:space="preserve">by calling My Aged Care, or using a printed registration form. More information on the registration pathways </w:t>
      </w:r>
      <w:r w:rsidR="00FF30BE" w:rsidRPr="000F6CD1">
        <w:t>is</w:t>
      </w:r>
      <w:r w:rsidRPr="000F6CD1">
        <w:t xml:space="preserve"> available at: </w:t>
      </w:r>
      <w:hyperlink r:id="rId135" w:history="1">
        <w:r w:rsidR="006252FB" w:rsidRPr="000F6CD1">
          <w:rPr>
            <w:rStyle w:val="Hyperlink"/>
          </w:rPr>
          <w:t>www.myagedcare.gov.au/registering-supporter</w:t>
        </w:r>
      </w:hyperlink>
      <w:r w:rsidR="006252FB" w:rsidRPr="000F6CD1">
        <w:t>.</w:t>
      </w:r>
    </w:p>
    <w:p w14:paraId="6684317C" w14:textId="14321D9E" w:rsidR="007A743C" w:rsidRPr="000F6CD1" w:rsidRDefault="007A743C" w:rsidP="00DF3F6B">
      <w:pPr>
        <w:pStyle w:val="ListParagraph"/>
        <w:numPr>
          <w:ilvl w:val="1"/>
          <w:numId w:val="82"/>
        </w:numPr>
        <w:spacing w:before="240" w:after="240" w:line="240" w:lineRule="auto"/>
      </w:pPr>
      <w:r w:rsidRPr="000F6CD1">
        <w:t xml:space="preserve">A person who is seeking to become a registered </w:t>
      </w:r>
      <w:r w:rsidR="00EC4F01" w:rsidRPr="000F6CD1">
        <w:t>supporter and</w:t>
      </w:r>
      <w:r w:rsidR="00236DAC" w:rsidRPr="000F6CD1">
        <w:t xml:space="preserve"> wants to rely on their authority as an</w:t>
      </w:r>
      <w:r w:rsidRPr="000F6CD1">
        <w:t xml:space="preserve"> active, appointed decision maker </w:t>
      </w:r>
      <w:r w:rsidR="00236DAC" w:rsidRPr="000F6CD1">
        <w:t xml:space="preserve">to become registered, </w:t>
      </w:r>
      <w:r w:rsidRPr="000F6CD1">
        <w:t xml:space="preserve">must provide </w:t>
      </w:r>
      <w:r w:rsidR="00C21102" w:rsidRPr="000F6CD1">
        <w:t xml:space="preserve">proof </w:t>
      </w:r>
      <w:r w:rsidRPr="000F6CD1">
        <w:t xml:space="preserve">to show they are an active, appointed decision maker for the older person. </w:t>
      </w:r>
      <w:r w:rsidR="00C21102" w:rsidRPr="000F6CD1">
        <w:t xml:space="preserve">This is likely to be legal documentation. </w:t>
      </w:r>
      <w:r w:rsidRPr="000F6CD1">
        <w:t xml:space="preserve">Medical evidence may also be required to establish </w:t>
      </w:r>
      <w:r w:rsidR="00C754C6" w:rsidRPr="000F6CD1">
        <w:t xml:space="preserve">that the </w:t>
      </w:r>
      <w:r w:rsidRPr="000F6CD1">
        <w:t>older perso</w:t>
      </w:r>
      <w:r w:rsidR="00C754C6" w:rsidRPr="000F6CD1">
        <w:t xml:space="preserve">n is experiencing a </w:t>
      </w:r>
      <w:r w:rsidRPr="000F6CD1">
        <w:t>loss of decision-making capacity.</w:t>
      </w:r>
    </w:p>
    <w:p w14:paraId="786B5BE1" w14:textId="77777777" w:rsidR="007A743C" w:rsidRPr="000F6CD1" w:rsidRDefault="007A743C" w:rsidP="00DF3F6B">
      <w:pPr>
        <w:pStyle w:val="ListParagraph"/>
        <w:numPr>
          <w:ilvl w:val="0"/>
          <w:numId w:val="82"/>
        </w:numPr>
        <w:spacing w:before="240" w:after="240" w:line="240" w:lineRule="auto"/>
        <w:ind w:left="567" w:hanging="283"/>
        <w:contextualSpacing w:val="0"/>
      </w:pPr>
      <w:r w:rsidRPr="000F6CD1">
        <w:t>Organise an interpreter if required (e.g., for</w:t>
      </w:r>
      <w:r w:rsidRPr="000F6CD1" w:rsidDel="4847C88F">
        <w:t xml:space="preserve"> </w:t>
      </w:r>
      <w:r w:rsidRPr="000F6CD1">
        <w:t xml:space="preserve">interpreting services or Auslan) and ensure other necessary supports are in place for the assessment. </w:t>
      </w:r>
    </w:p>
    <w:p w14:paraId="4D478B33" w14:textId="30F19F1E" w:rsidR="00404869" w:rsidRPr="000F6CD1" w:rsidRDefault="00404869" w:rsidP="00DF3F6B">
      <w:pPr>
        <w:pStyle w:val="ListParagraph"/>
        <w:numPr>
          <w:ilvl w:val="0"/>
          <w:numId w:val="82"/>
        </w:numPr>
        <w:spacing w:before="240" w:after="240" w:line="240" w:lineRule="auto"/>
        <w:ind w:left="567" w:hanging="283"/>
        <w:contextualSpacing w:val="0"/>
      </w:pPr>
      <w:r w:rsidRPr="000F6CD1">
        <w:t>Acknowledge that</w:t>
      </w:r>
      <w:r w:rsidR="00D3215F" w:rsidRPr="000F6CD1">
        <w:t xml:space="preserve"> multiple contacts </w:t>
      </w:r>
      <w:r w:rsidR="00402217" w:rsidRPr="000F6CD1">
        <w:t>with older Aboriginal and Torres Strait Islander people may be required to build trust and rapport</w:t>
      </w:r>
      <w:r w:rsidR="006B196D" w:rsidRPr="000F6CD1">
        <w:t xml:space="preserve"> but this should not compromise on older people being able to access timely aged care services.</w:t>
      </w:r>
    </w:p>
    <w:p w14:paraId="5BDA967A" w14:textId="77777777" w:rsidR="000E0B6C" w:rsidRPr="000F6CD1" w:rsidRDefault="007A743C" w:rsidP="00806A21">
      <w:pPr>
        <w:pStyle w:val="Sub-headings"/>
      </w:pPr>
      <w:r w:rsidRPr="000F6CD1">
        <w:t xml:space="preserve">Note: </w:t>
      </w:r>
    </w:p>
    <w:p w14:paraId="49B0ADEA" w14:textId="77663EDD" w:rsidR="007A743C" w:rsidRPr="000F6CD1" w:rsidRDefault="000E0B6C" w:rsidP="00806A21">
      <w:pPr>
        <w:pStyle w:val="Sub-headings"/>
      </w:pPr>
      <w:r w:rsidRPr="000F6CD1">
        <w:t>A</w:t>
      </w:r>
      <w:r w:rsidR="007A743C" w:rsidRPr="000F6CD1">
        <w:t>n interpreter may need to be pre-booked, so early action on interpreter arrangements will assist meeting timeliness measures.</w:t>
      </w:r>
    </w:p>
    <w:p w14:paraId="46432017" w14:textId="77777777" w:rsidR="00F1593F" w:rsidRPr="000F6CD1" w:rsidRDefault="00F1593F" w:rsidP="000E0B6C">
      <w:pPr>
        <w:pStyle w:val="ListParagraph"/>
        <w:spacing w:before="240" w:after="240" w:line="240" w:lineRule="auto"/>
        <w:ind w:left="567"/>
      </w:pPr>
    </w:p>
    <w:p w14:paraId="1A0CC87F" w14:textId="77777777" w:rsidR="007A743C" w:rsidRPr="000F6CD1" w:rsidRDefault="007A743C" w:rsidP="00DF3F6B">
      <w:pPr>
        <w:pStyle w:val="ListParagraph"/>
        <w:numPr>
          <w:ilvl w:val="0"/>
          <w:numId w:val="82"/>
        </w:numPr>
        <w:spacing w:before="240" w:after="240" w:line="240" w:lineRule="auto"/>
        <w:ind w:left="567" w:hanging="283"/>
      </w:pPr>
      <w:r w:rsidRPr="000F6CD1">
        <w:t>There are several support networks that the triage delegate can refer to for older people who are more vulnerable or hesitant to participate. These include:</w:t>
      </w:r>
    </w:p>
    <w:p w14:paraId="7774657C" w14:textId="77777777" w:rsidR="007A743C" w:rsidRPr="00F20BA0" w:rsidRDefault="007A743C" w:rsidP="00DF3F6B">
      <w:pPr>
        <w:pStyle w:val="ListParagraph"/>
        <w:numPr>
          <w:ilvl w:val="1"/>
          <w:numId w:val="82"/>
        </w:numPr>
        <w:spacing w:before="240" w:after="240" w:line="240" w:lineRule="auto"/>
        <w:rPr>
          <w:rFonts w:eastAsia="Times New Roman"/>
          <w:color w:val="005A64"/>
        </w:rPr>
      </w:pPr>
      <w:hyperlink r:id="rId136" w:history="1">
        <w:r w:rsidRPr="00F20BA0">
          <w:rPr>
            <w:rFonts w:eastAsia="Times New Roman"/>
            <w:color w:val="005A64"/>
            <w:u w:val="single"/>
          </w:rPr>
          <w:t>Home - OPAN</w:t>
        </w:r>
      </w:hyperlink>
      <w:r w:rsidRPr="00F20BA0">
        <w:rPr>
          <w:rFonts w:eastAsia="Times New Roman"/>
          <w:color w:val="005A64"/>
        </w:rPr>
        <w:t xml:space="preserve"> </w:t>
      </w:r>
    </w:p>
    <w:p w14:paraId="47662C79" w14:textId="77777777" w:rsidR="007A743C" w:rsidRPr="00F75E1A" w:rsidRDefault="007A743C" w:rsidP="00DF3F6B">
      <w:pPr>
        <w:pStyle w:val="ListParagraph"/>
        <w:numPr>
          <w:ilvl w:val="1"/>
          <w:numId w:val="82"/>
        </w:numPr>
        <w:spacing w:before="240" w:after="240" w:line="240" w:lineRule="auto"/>
        <w:rPr>
          <w:rStyle w:val="Hyperlink"/>
        </w:rPr>
      </w:pPr>
      <w:hyperlink r:id="rId137" w:history="1">
        <w:r w:rsidRPr="00F75E1A">
          <w:rPr>
            <w:rStyle w:val="Hyperlink"/>
          </w:rPr>
          <w:t>Support for older culturally and linguistically diverse people | My Aged Care</w:t>
        </w:r>
      </w:hyperlink>
      <w:r w:rsidRPr="00F75E1A">
        <w:rPr>
          <w:rStyle w:val="Hyperlink"/>
        </w:rPr>
        <w:t xml:space="preserve"> </w:t>
      </w:r>
    </w:p>
    <w:p w14:paraId="35C5037C" w14:textId="77777777" w:rsidR="007A743C" w:rsidRPr="00F75E1A" w:rsidRDefault="007A743C" w:rsidP="00DF3F6B">
      <w:pPr>
        <w:pStyle w:val="ListParagraph"/>
        <w:numPr>
          <w:ilvl w:val="1"/>
          <w:numId w:val="82"/>
        </w:numPr>
        <w:spacing w:before="240" w:after="240" w:line="240" w:lineRule="auto"/>
        <w:rPr>
          <w:rStyle w:val="Hyperlink"/>
        </w:rPr>
      </w:pPr>
      <w:hyperlink r:id="rId138">
        <w:r w:rsidRPr="00F75E1A">
          <w:rPr>
            <w:rStyle w:val="Hyperlink"/>
          </w:rPr>
          <w:t>Getting support in aged care | My Aged Care</w:t>
        </w:r>
      </w:hyperlink>
      <w:r w:rsidRPr="00F75E1A">
        <w:rPr>
          <w:rStyle w:val="Hyperlink"/>
        </w:rPr>
        <w:t xml:space="preserve"> </w:t>
      </w:r>
    </w:p>
    <w:p w14:paraId="62238A9B" w14:textId="77777777" w:rsidR="007A743C" w:rsidRPr="00F75E1A" w:rsidRDefault="007A743C" w:rsidP="00DF3F6B">
      <w:pPr>
        <w:pStyle w:val="ListParagraph"/>
        <w:numPr>
          <w:ilvl w:val="1"/>
          <w:numId w:val="82"/>
        </w:numPr>
        <w:spacing w:before="240" w:after="240" w:line="240" w:lineRule="auto"/>
        <w:rPr>
          <w:rStyle w:val="Hyperlink"/>
        </w:rPr>
      </w:pPr>
      <w:hyperlink r:id="rId139">
        <w:r w:rsidRPr="00F75E1A">
          <w:rPr>
            <w:rStyle w:val="Hyperlink"/>
          </w:rPr>
          <w:t>Help from a care finder | My Aged Care</w:t>
        </w:r>
      </w:hyperlink>
    </w:p>
    <w:p w14:paraId="08893EFE" w14:textId="77777777" w:rsidR="007A743C" w:rsidRPr="000F6CD1" w:rsidRDefault="007A743C" w:rsidP="00DF3F6B">
      <w:pPr>
        <w:pStyle w:val="ListParagraph"/>
        <w:numPr>
          <w:ilvl w:val="1"/>
          <w:numId w:val="82"/>
        </w:numPr>
        <w:spacing w:before="240" w:after="240" w:line="240" w:lineRule="auto"/>
      </w:pPr>
      <w:hyperlink r:id="rId140">
        <w:r w:rsidRPr="000F6CD1">
          <w:rPr>
            <w:rStyle w:val="Hyperlink"/>
          </w:rPr>
          <w:t>Elder Care Support | Australian Government Department of Health, Disability and Ageing</w:t>
        </w:r>
      </w:hyperlink>
    </w:p>
    <w:p w14:paraId="41DF19D1" w14:textId="687CFCE8" w:rsidR="64946E2B" w:rsidRPr="000F6CD1" w:rsidRDefault="64946E2B" w:rsidP="7DD55CF5">
      <w:pPr>
        <w:pStyle w:val="ListParagraph"/>
        <w:numPr>
          <w:ilvl w:val="1"/>
          <w:numId w:val="82"/>
        </w:numPr>
        <w:spacing w:before="240" w:after="240" w:line="240" w:lineRule="auto"/>
        <w:rPr>
          <w:rStyle w:val="Hyperlink"/>
        </w:rPr>
      </w:pPr>
      <w:hyperlink r:id="rId141" w:history="1">
        <w:r w:rsidRPr="000F6CD1">
          <w:rPr>
            <w:rStyle w:val="Hyperlink"/>
          </w:rPr>
          <w:t>Support for people who are lesbian, gay, bisexual, transgender or intersex or other sexual orientations or are gender diverse or bodily diverse | My Aged Care</w:t>
        </w:r>
      </w:hyperlink>
    </w:p>
    <w:p w14:paraId="14425238" w14:textId="1DF5D870" w:rsidR="007A743C" w:rsidRPr="000F6CD1" w:rsidRDefault="007A743C" w:rsidP="00DF3F6B">
      <w:pPr>
        <w:pStyle w:val="ListParagraph"/>
        <w:numPr>
          <w:ilvl w:val="0"/>
          <w:numId w:val="82"/>
        </w:numPr>
        <w:spacing w:before="240" w:after="240" w:line="240" w:lineRule="auto"/>
        <w:ind w:left="567" w:hanging="283"/>
        <w:rPr>
          <w:szCs w:val="22"/>
        </w:rPr>
      </w:pPr>
      <w:r w:rsidRPr="000F6CD1">
        <w:t xml:space="preserve">Consider asking the older person if they have a My Health Record to help ensure their Support Plan can be linked to it (subject to their consent, as per section </w:t>
      </w:r>
      <w:r w:rsidR="003B2559" w:rsidRPr="000F6CD1">
        <w:fldChar w:fldCharType="begin"/>
      </w:r>
      <w:r w:rsidR="003B2559" w:rsidRPr="000F6CD1">
        <w:instrText xml:space="preserve"> REF _Ref212734121 \r \h </w:instrText>
      </w:r>
      <w:r w:rsidR="003B2559" w:rsidRPr="000F6CD1">
        <w:fldChar w:fldCharType="separate"/>
      </w:r>
      <w:r w:rsidR="004B171E">
        <w:t>5.1</w:t>
      </w:r>
      <w:r w:rsidR="003B2559" w:rsidRPr="000F6CD1">
        <w:fldChar w:fldCharType="end"/>
      </w:r>
      <w:r w:rsidRPr="000F6CD1">
        <w:t>).</w:t>
      </w:r>
    </w:p>
    <w:p w14:paraId="47EFC054" w14:textId="7D23488C" w:rsidR="000D5645" w:rsidRPr="000F6CD1" w:rsidRDefault="000D5645" w:rsidP="002A75E4">
      <w:pPr>
        <w:pStyle w:val="H4"/>
        <w:rPr>
          <w:shd w:val="clear" w:color="auto" w:fill="FFFFFF"/>
          <w:lang w:eastAsia="en-GB"/>
        </w:rPr>
      </w:pPr>
      <w:bookmarkStart w:id="362" w:name="_Toc184026569"/>
      <w:bookmarkStart w:id="363" w:name="_Toc184402288"/>
      <w:r w:rsidRPr="000F6CD1">
        <w:rPr>
          <w:shd w:val="clear" w:color="auto" w:fill="FFFFFF"/>
          <w:lang w:eastAsia="en-GB"/>
        </w:rPr>
        <w:t>Confirming a client’s preference for an Aboriginal and Torres Strait Islander assessment organisation</w:t>
      </w:r>
    </w:p>
    <w:p w14:paraId="1F902883" w14:textId="4838D928" w:rsidR="000D5645" w:rsidRPr="000F6CD1" w:rsidRDefault="000D5645" w:rsidP="000D5645">
      <w:pPr>
        <w:spacing w:before="120" w:after="120" w:line="288" w:lineRule="auto"/>
        <w:rPr>
          <w:rFonts w:eastAsia="Times New Roman"/>
          <w:color w:val="000000" w:themeColor="text1"/>
          <w:szCs w:val="20"/>
          <w:shd w:val="clear" w:color="auto" w:fill="FFFFFF"/>
          <w:lang w:eastAsia="en-GB"/>
        </w:rPr>
      </w:pPr>
      <w:r w:rsidRPr="000F6CD1">
        <w:rPr>
          <w:rFonts w:eastAsia="Times New Roman"/>
          <w:color w:val="000000" w:themeColor="text1"/>
          <w:szCs w:val="20"/>
          <w:shd w:val="clear" w:color="auto" w:fill="FFFFFF"/>
          <w:lang w:eastAsia="en-GB"/>
        </w:rPr>
        <w:t xml:space="preserve">A client’s preference for an Aboriginal and Torres Strait Islander assessment organisation, will usually be captured at registration. The client’s preference will be visible on their client card. </w:t>
      </w:r>
    </w:p>
    <w:p w14:paraId="786EFD82" w14:textId="77777777" w:rsidR="000D5645" w:rsidRPr="000F6CD1" w:rsidRDefault="000D5645" w:rsidP="000D5645">
      <w:pPr>
        <w:spacing w:before="120" w:after="120" w:line="288" w:lineRule="auto"/>
        <w:rPr>
          <w:rFonts w:eastAsia="Times New Roman"/>
          <w:color w:val="000000" w:themeColor="text1"/>
          <w:szCs w:val="20"/>
          <w:shd w:val="clear" w:color="auto" w:fill="FFFFFF"/>
          <w:lang w:eastAsia="en-GB"/>
        </w:rPr>
      </w:pPr>
      <w:r w:rsidRPr="000F6CD1">
        <w:rPr>
          <w:rFonts w:eastAsia="Times New Roman"/>
          <w:color w:val="000000" w:themeColor="text1"/>
          <w:szCs w:val="20"/>
          <w:shd w:val="clear" w:color="auto" w:fill="FFFFFF"/>
          <w:lang w:eastAsia="en-GB"/>
        </w:rPr>
        <w:lastRenderedPageBreak/>
        <w:t xml:space="preserve">It will need to be confirmed when completing the client’s demographic details at triage. </w:t>
      </w:r>
    </w:p>
    <w:p w14:paraId="55004ED9" w14:textId="77777777" w:rsidR="000D5645" w:rsidRPr="000F6CD1" w:rsidRDefault="000D5645" w:rsidP="000D5645">
      <w:pPr>
        <w:pStyle w:val="ListBullet"/>
      </w:pPr>
      <w:r w:rsidRPr="000F6CD1">
        <w:t xml:space="preserve">When a triage delegate receives a referral, they should view the client information to gain a preliminary understanding of the client’s situation. </w:t>
      </w:r>
    </w:p>
    <w:p w14:paraId="07DDC6F5" w14:textId="77777777" w:rsidR="000D5645" w:rsidRPr="000F6CD1" w:rsidRDefault="000D5645" w:rsidP="000D5645">
      <w:pPr>
        <w:pStyle w:val="ListBullet"/>
      </w:pPr>
      <w:r w:rsidRPr="000F6CD1">
        <w:t xml:space="preserve">If there is no preference listed, please record the preference after having a conversation with the older person. </w:t>
      </w:r>
    </w:p>
    <w:p w14:paraId="62265C99" w14:textId="77777777" w:rsidR="000D5645" w:rsidRPr="000F6CD1" w:rsidRDefault="000D5645" w:rsidP="00C548FC">
      <w:pPr>
        <w:pStyle w:val="ListBullet"/>
        <w:numPr>
          <w:ilvl w:val="0"/>
          <w:numId w:val="0"/>
        </w:numPr>
        <w:tabs>
          <w:tab w:val="clear" w:pos="170"/>
          <w:tab w:val="left" w:pos="709"/>
        </w:tabs>
        <w:ind w:left="426"/>
      </w:pPr>
      <w:r w:rsidRPr="000F6CD1">
        <w:t xml:space="preserve">It is important to have a conversation with the older person about their preference. It should not be assumed that all Aboriginal and Torres Strait Islander people will want their assessment with an Aboriginal and Torres Strait Islander assessment organisation. </w:t>
      </w:r>
    </w:p>
    <w:p w14:paraId="74BB513D" w14:textId="77777777" w:rsidR="000D5645" w:rsidRPr="000F6CD1" w:rsidRDefault="000D5645" w:rsidP="000D5645">
      <w:pPr>
        <w:pStyle w:val="ListBullet"/>
      </w:pPr>
      <w:r w:rsidRPr="000F6CD1">
        <w:t xml:space="preserve">The client’s preference will determine whether the referral is accepted, transferred or rejected. </w:t>
      </w:r>
    </w:p>
    <w:p w14:paraId="5128946F" w14:textId="68F72CE9" w:rsidR="000D5645" w:rsidRPr="000F6CD1" w:rsidRDefault="000D5645" w:rsidP="000D5645">
      <w:pPr>
        <w:pStyle w:val="ListBullet"/>
      </w:pPr>
      <w:r w:rsidRPr="000F6CD1">
        <w:t>If a transfer is required, this w</w:t>
      </w:r>
      <w:r w:rsidR="0070686D" w:rsidRPr="000F6CD1">
        <w:t>i</w:t>
      </w:r>
      <w:r w:rsidRPr="000F6CD1">
        <w:t xml:space="preserve">ll need to be managed with the support of a Team Leader. </w:t>
      </w:r>
    </w:p>
    <w:p w14:paraId="1CD34928" w14:textId="049ACAD2" w:rsidR="000D5645" w:rsidRPr="000F6CD1" w:rsidRDefault="000D5645" w:rsidP="000D5645">
      <w:pPr>
        <w:pStyle w:val="ListBullet"/>
      </w:pPr>
      <w:r w:rsidRPr="000F6CD1">
        <w:t>It will also ensure that the assessment process is responsive to the person’s individual situation</w:t>
      </w:r>
      <w:r w:rsidR="00B23AB0" w:rsidRPr="000F6CD1">
        <w:t xml:space="preserve">. </w:t>
      </w:r>
    </w:p>
    <w:p w14:paraId="70AA4D68" w14:textId="77777777" w:rsidR="000D5645" w:rsidRPr="000F6CD1" w:rsidRDefault="000D5645" w:rsidP="000D5645">
      <w:pPr>
        <w:spacing w:after="240" w:line="300" w:lineRule="exact"/>
        <w:rPr>
          <w:rFonts w:eastAsia="Yu Gothic Light"/>
          <w:color w:val="358189"/>
          <w:sz w:val="32"/>
          <w:szCs w:val="32"/>
        </w:rPr>
      </w:pPr>
    </w:p>
    <w:p w14:paraId="27210D73" w14:textId="3F7B8C57" w:rsidR="007A743C" w:rsidRPr="000F6CD1" w:rsidRDefault="007A743C" w:rsidP="007A743C">
      <w:pPr>
        <w:pStyle w:val="H4"/>
      </w:pPr>
      <w:r w:rsidRPr="000F6CD1">
        <w:t>Asking triage questions using the Integrated Assessment Tool</w:t>
      </w:r>
      <w:bookmarkEnd w:id="362"/>
      <w:bookmarkEnd w:id="363"/>
    </w:p>
    <w:p w14:paraId="3A0DCE78" w14:textId="77777777" w:rsidR="007A743C" w:rsidRPr="000F6CD1" w:rsidRDefault="007A743C" w:rsidP="00A677C9">
      <w:pPr>
        <w:spacing w:before="240" w:after="240" w:line="240" w:lineRule="auto"/>
      </w:pPr>
      <w:r w:rsidRPr="000F6CD1">
        <w:t>The triage component of the IAT helps validate the appropriateness of an assessment referral and to collect information to support the assessment process. Triage delegates must refer to the IAT User Guide to ensure competency in the use of the IAT and in the delivery of high-quality triage. Triage delegates are also required to complete mandatory online induction training and triage delegate training before undertaking the triage component of the IAT.</w:t>
      </w:r>
    </w:p>
    <w:tbl>
      <w:tblPr>
        <w:tblStyle w:val="TableGrid"/>
        <w:tblW w:w="9730" w:type="dxa"/>
        <w:tblLayout w:type="fixed"/>
        <w:tblLook w:val="04A0" w:firstRow="1" w:lastRow="0" w:firstColumn="1" w:lastColumn="0" w:noHBand="0" w:noVBand="1"/>
      </w:tblPr>
      <w:tblGrid>
        <w:gridCol w:w="988"/>
        <w:gridCol w:w="8742"/>
      </w:tblGrid>
      <w:tr w:rsidR="007A743C" w:rsidRPr="000F6CD1" w14:paraId="6F7F1447" w14:textId="77777777">
        <w:trPr>
          <w:trHeight w:val="300"/>
        </w:trPr>
        <w:tc>
          <w:tcPr>
            <w:tcW w:w="988" w:type="dxa"/>
          </w:tcPr>
          <w:p w14:paraId="3EB69554" w14:textId="77777777" w:rsidR="007A743C" w:rsidRPr="000F6CD1" w:rsidRDefault="007A743C" w:rsidP="00A677C9">
            <w:pPr>
              <w:spacing w:before="240" w:after="240"/>
              <w:rPr>
                <w:b/>
                <w:szCs w:val="22"/>
              </w:rPr>
            </w:pPr>
            <w:r w:rsidRPr="000F6CD1">
              <w:rPr>
                <w:noProof/>
              </w:rPr>
              <w:drawing>
                <wp:inline distT="0" distB="0" distL="0" distR="0" wp14:anchorId="45FD9206" wp14:editId="493CC598">
                  <wp:extent cx="383111" cy="381000"/>
                  <wp:effectExtent l="0" t="0" r="0" b="0"/>
                  <wp:docPr id="374214182" name="Picture 37421418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14182" name="Picture 374214182"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7D8B9925" w14:textId="77777777" w:rsidR="007A743C" w:rsidRPr="000F6CD1" w:rsidRDefault="007A743C" w:rsidP="00A677C9">
            <w:pPr>
              <w:spacing w:before="240" w:after="240"/>
            </w:pPr>
            <w:r w:rsidRPr="000F6CD1">
              <w:t xml:space="preserve">See the </w:t>
            </w:r>
            <w:hyperlink r:id="rId142">
              <w:r w:rsidRPr="000F6CD1">
                <w:rPr>
                  <w:rStyle w:val="Hyperlink"/>
                </w:rPr>
                <w:t>IAT User Guide</w:t>
              </w:r>
            </w:hyperlink>
            <w:r w:rsidRPr="000F6CD1">
              <w:t xml:space="preserve"> for further information.</w:t>
            </w:r>
          </w:p>
        </w:tc>
      </w:tr>
    </w:tbl>
    <w:p w14:paraId="3C7D7F48" w14:textId="77777777" w:rsidR="007A743C" w:rsidRPr="000F6CD1" w:rsidRDefault="007A743C" w:rsidP="00A677C9">
      <w:pPr>
        <w:spacing w:before="240" w:after="240" w:line="240" w:lineRule="auto"/>
      </w:pPr>
      <w:r w:rsidRPr="000F6CD1">
        <w:t xml:space="preserve">Triage delegates will be able to choose whether information gathered at screening is pre-populated into the triage component of the IAT. Pre-populating information will help reduce the older person’s need to repeat their story. </w:t>
      </w:r>
    </w:p>
    <w:p w14:paraId="3588C918" w14:textId="77777777" w:rsidR="007A743C" w:rsidRPr="000F6CD1" w:rsidRDefault="007A743C" w:rsidP="00A677C9">
      <w:pPr>
        <w:spacing w:before="240" w:after="240" w:line="240" w:lineRule="auto"/>
      </w:pPr>
      <w:r w:rsidRPr="000F6CD1">
        <w:t xml:space="preserve">The triage component of the IAT comprises questions relating to the reason for their assessment, current access to services, function, general health and general wellbeing and safety. </w:t>
      </w:r>
    </w:p>
    <w:p w14:paraId="6741A2D6" w14:textId="276574EF" w:rsidR="009B6ECD" w:rsidRPr="000F6CD1" w:rsidRDefault="00053A1D" w:rsidP="00A677C9">
      <w:pPr>
        <w:spacing w:before="240" w:after="240" w:line="240" w:lineRule="auto"/>
      </w:pPr>
      <w:r w:rsidRPr="000F6CD1">
        <w:t xml:space="preserve">When conducting triage with older Aboriginal and Torres Strait Islander clients, </w:t>
      </w:r>
      <w:r w:rsidR="00032E02" w:rsidRPr="000F6CD1">
        <w:t>a</w:t>
      </w:r>
      <w:r w:rsidR="009B6ECD" w:rsidRPr="000F6CD1">
        <w:t xml:space="preserve"> </w:t>
      </w:r>
      <w:r w:rsidR="00032E02" w:rsidRPr="000F6CD1">
        <w:t>t</w:t>
      </w:r>
      <w:r w:rsidR="009B6ECD" w:rsidRPr="000F6CD1">
        <w:t xml:space="preserve">riage </w:t>
      </w:r>
      <w:r w:rsidR="00032E02" w:rsidRPr="000F6CD1">
        <w:t>d</w:t>
      </w:r>
      <w:r w:rsidR="009B6ECD" w:rsidRPr="000F6CD1">
        <w:t xml:space="preserve">elegate should exercise discretion and professional judgement on how information is solicited from clients during the </w:t>
      </w:r>
      <w:r w:rsidR="00112A9D" w:rsidRPr="000F6CD1">
        <w:t>t</w:t>
      </w:r>
      <w:r w:rsidR="009B6ECD" w:rsidRPr="000F6CD1">
        <w:t>riage process. This includes ensuring that information is collected in a culturally safe manner. including the appropriate use of the IAT. A yarning approach may be employed to collect the necessary information and with consent from the older person, support persons may be present during the Triage process.</w:t>
      </w:r>
    </w:p>
    <w:p w14:paraId="72302F3E" w14:textId="2FFA59A4" w:rsidR="001702AA" w:rsidRPr="000F6CD1" w:rsidRDefault="00A05F46" w:rsidP="009C4600">
      <w:pPr>
        <w:spacing w:before="240" w:after="240" w:line="240" w:lineRule="auto"/>
      </w:pPr>
      <w:r w:rsidRPr="000F6CD1">
        <w:t xml:space="preserve">Where possible, the </w:t>
      </w:r>
      <w:r w:rsidR="00032E02" w:rsidRPr="000F6CD1">
        <w:t>t</w:t>
      </w:r>
      <w:r w:rsidRPr="000F6CD1">
        <w:t xml:space="preserve">riage </w:t>
      </w:r>
      <w:r w:rsidR="00032E02" w:rsidRPr="000F6CD1">
        <w:t>d</w:t>
      </w:r>
      <w:r w:rsidRPr="000F6CD1">
        <w:t>elegate should liaise with the client’s GP, service provider and support networks to help inform the triage process. The approach allows relevant information to be gathered in advance and confirmed during triage, reducing the need for the client to repeat their story multiple times.</w:t>
      </w:r>
    </w:p>
    <w:p w14:paraId="48BFF9A4" w14:textId="77777777" w:rsidR="000E0B6C" w:rsidRPr="000F6CD1" w:rsidRDefault="007A743C" w:rsidP="00806A21">
      <w:pPr>
        <w:pStyle w:val="Sub-headings"/>
      </w:pPr>
      <w:r w:rsidRPr="000F6CD1">
        <w:lastRenderedPageBreak/>
        <w:t>Note</w:t>
      </w:r>
      <w:r w:rsidR="000E0B6C" w:rsidRPr="000F6CD1">
        <w:t>:</w:t>
      </w:r>
    </w:p>
    <w:p w14:paraId="235BF7C9" w14:textId="77777777" w:rsidR="00DF2B65" w:rsidRPr="000F6CD1" w:rsidRDefault="000E0B6C" w:rsidP="00806A21">
      <w:pPr>
        <w:pStyle w:val="Sub-headings"/>
      </w:pPr>
      <w:r w:rsidRPr="000F6CD1">
        <w:t>F</w:t>
      </w:r>
      <w:r w:rsidR="007A743C" w:rsidRPr="000F6CD1">
        <w:t>or referrals for the End-of-Life Pathway, triage questions will be optional so there is flexibility to only ask questions that are appropriate to the individual.</w:t>
      </w:r>
    </w:p>
    <w:p w14:paraId="000DD0C1" w14:textId="6B7E100E" w:rsidR="000E0B6C" w:rsidRPr="000F6CD1" w:rsidRDefault="007A743C" w:rsidP="00806A21">
      <w:pPr>
        <w:pStyle w:val="Sub-headings"/>
      </w:pPr>
      <w:r w:rsidRPr="000F6CD1">
        <w:t>When completing the Triage section of the IAT, the triage delegate must provide clear justification in the 'Outcome/advice for assessment notes' field to support the recommended assessment type. This justification should explain why the selected assessment type is appropriate.</w:t>
      </w:r>
    </w:p>
    <w:p w14:paraId="5C17A307" w14:textId="295D0F82" w:rsidR="007A743C" w:rsidRPr="000F6CD1" w:rsidRDefault="007A743C" w:rsidP="000E0B6C">
      <w:pPr>
        <w:spacing w:before="240" w:after="240" w:line="240" w:lineRule="auto"/>
      </w:pPr>
      <w:r w:rsidRPr="000F6CD1">
        <w:t xml:space="preserve">At the conclusion of the triage component of the IAT, triage delegates will confirm eligibility for an assessment, the assessment type, </w:t>
      </w:r>
      <w:r w:rsidR="00A52564" w:rsidRPr="000F6CD1">
        <w:t xml:space="preserve">assessment </w:t>
      </w:r>
      <w:r w:rsidRPr="000F6CD1">
        <w:t>priority and whether urgent services and/or linking supports are required, in instances where these services were not provided at screening. In the case of End-of-Life Pathway referrals, if an End-of-Life Pathway Form has not already been submitted, the triage delegate should advise the older person of the steps required</w:t>
      </w:r>
      <w:r w:rsidR="0029605B" w:rsidRPr="000F6CD1">
        <w:t>. More information on the End-of-Life Pathway Form is included under section 5.3.4.</w:t>
      </w:r>
      <w:r w:rsidRPr="000F6CD1">
        <w:t xml:space="preserve"> </w:t>
      </w:r>
    </w:p>
    <w:p w14:paraId="11D61C43" w14:textId="5CD8CEB9" w:rsidR="007A743C" w:rsidRPr="000F6CD1" w:rsidRDefault="007A743C" w:rsidP="00A677C9">
      <w:pPr>
        <w:spacing w:before="240" w:after="240" w:line="240" w:lineRule="auto"/>
        <w:rPr>
          <w:rStyle w:val="normaltextrun"/>
        </w:rPr>
      </w:pPr>
      <w:r w:rsidRPr="000F6CD1">
        <w:rPr>
          <w:rStyle w:val="normaltextrun"/>
        </w:rPr>
        <w:t xml:space="preserve">If the </w:t>
      </w:r>
      <w:r w:rsidR="00404035" w:rsidRPr="000F6CD1">
        <w:rPr>
          <w:rStyle w:val="normaltextrun"/>
        </w:rPr>
        <w:t>T</w:t>
      </w:r>
      <w:r w:rsidRPr="000F6CD1">
        <w:rPr>
          <w:rStyle w:val="normaltextrun"/>
        </w:rPr>
        <w:t xml:space="preserve">riage </w:t>
      </w:r>
      <w:r w:rsidR="00404035" w:rsidRPr="000F6CD1">
        <w:rPr>
          <w:rStyle w:val="normaltextrun"/>
        </w:rPr>
        <w:t>D</w:t>
      </w:r>
      <w:r w:rsidRPr="000F6CD1">
        <w:rPr>
          <w:rStyle w:val="normaltextrun"/>
        </w:rPr>
        <w:t xml:space="preserve">elegate </w:t>
      </w:r>
      <w:r w:rsidRPr="000F6CD1">
        <w:t>disagrees</w:t>
      </w:r>
      <w:r w:rsidRPr="000F6CD1">
        <w:rPr>
          <w:rStyle w:val="normaltextrun"/>
        </w:rPr>
        <w:t xml:space="preserve"> with the assessment type and/or priority </w:t>
      </w:r>
      <w:r w:rsidRPr="000F6CD1">
        <w:t>recommendations</w:t>
      </w:r>
      <w:r w:rsidRPr="000F6CD1">
        <w:rPr>
          <w:rStyle w:val="normaltextrun"/>
        </w:rPr>
        <w:t xml:space="preserve"> made at the screening stage, the triage delegate will have the ability to change the recommendations.</w:t>
      </w:r>
    </w:p>
    <w:p w14:paraId="5E06EC36" w14:textId="77777777" w:rsidR="007A743C" w:rsidRPr="000F6CD1" w:rsidRDefault="007A743C" w:rsidP="00A677C9">
      <w:pPr>
        <w:spacing w:before="240" w:after="240" w:line="240" w:lineRule="auto"/>
      </w:pPr>
      <w:r w:rsidRPr="000F6CD1">
        <w:t>After triage, the team leader may also transfer the older person to another assessment organisation if appropriate. The team leader should ensure the older person understands why they are being transferred, and that the receiving assessment organisation is aware that they will receive the referral. </w:t>
      </w:r>
    </w:p>
    <w:p w14:paraId="5F44711F" w14:textId="77777777" w:rsidR="000E0B6C" w:rsidRPr="000F6CD1" w:rsidRDefault="007A743C" w:rsidP="00806A21">
      <w:pPr>
        <w:pStyle w:val="Sub-headings"/>
      </w:pPr>
      <w:r w:rsidRPr="000F6CD1">
        <w:t xml:space="preserve">Note: </w:t>
      </w:r>
    </w:p>
    <w:p w14:paraId="2982DD44" w14:textId="7B524EF3" w:rsidR="00DF2B65" w:rsidRPr="000F6CD1" w:rsidRDefault="007A743C" w:rsidP="00806A21">
      <w:pPr>
        <w:pStyle w:val="Sub-headings"/>
        <w:rPr>
          <w:rStyle w:val="normaltextrun"/>
        </w:rPr>
      </w:pPr>
      <w:r w:rsidRPr="000F6CD1">
        <w:rPr>
          <w:rStyle w:val="normaltextrun"/>
        </w:rPr>
        <w:t xml:space="preserve">If the older person is deemed to be ineligible for a needs assessment, the </w:t>
      </w:r>
      <w:r w:rsidR="000B3070" w:rsidRPr="000F6CD1">
        <w:rPr>
          <w:rStyle w:val="normaltextrun"/>
        </w:rPr>
        <w:t>t</w:t>
      </w:r>
      <w:r w:rsidRPr="000F6CD1">
        <w:rPr>
          <w:rStyle w:val="normaltextrun"/>
        </w:rPr>
        <w:t xml:space="preserve">riage </w:t>
      </w:r>
      <w:r w:rsidR="000B3070" w:rsidRPr="000F6CD1">
        <w:rPr>
          <w:rStyle w:val="normaltextrun"/>
        </w:rPr>
        <w:t>d</w:t>
      </w:r>
      <w:r w:rsidRPr="000F6CD1">
        <w:rPr>
          <w:rStyle w:val="normaltextrun"/>
        </w:rPr>
        <w:t xml:space="preserve">elegate should communicate the decision and inform them how to request an assessment in the future (this can occur at a separate time to the initial phone call, if necessary). </w:t>
      </w:r>
    </w:p>
    <w:p w14:paraId="57899471" w14:textId="77777777" w:rsidR="00DF2B65" w:rsidRPr="000F6CD1" w:rsidRDefault="007A743C" w:rsidP="00806A21">
      <w:pPr>
        <w:pStyle w:val="Sub-headings"/>
        <w:rPr>
          <w:rStyle w:val="normaltextrun"/>
        </w:rPr>
      </w:pPr>
      <w:r w:rsidRPr="000F6CD1">
        <w:rPr>
          <w:rStyle w:val="normaltextrun"/>
        </w:rPr>
        <w:t xml:space="preserve">Effective communication with the older person (and their active, appointed decision maker or registered supporter, where appropriate) on a decision to not recommend an assessment, and effective communication between assessors, assists with managing expectations and reducing complaints. </w:t>
      </w:r>
    </w:p>
    <w:p w14:paraId="4AA0C475" w14:textId="72E1B27F" w:rsidR="007A743C" w:rsidRPr="000F6CD1" w:rsidRDefault="007A743C" w:rsidP="00806A21">
      <w:pPr>
        <w:pStyle w:val="Sub-headings"/>
        <w:rPr>
          <w:rStyle w:val="normaltextrun"/>
        </w:rPr>
      </w:pPr>
      <w:r w:rsidRPr="000F6CD1">
        <w:rPr>
          <w:rStyle w:val="normaltextrun"/>
        </w:rPr>
        <w:t xml:space="preserve">An ‘Ineligible for Assessment Letter’ will need to be sent to the older person (and registered supporters, as required under the Act) as notice of this decision. </w:t>
      </w:r>
    </w:p>
    <w:p w14:paraId="149DAB7A" w14:textId="2C939A30" w:rsidR="007A743C" w:rsidRPr="000F6CD1" w:rsidRDefault="007A743C" w:rsidP="00A677C9">
      <w:pPr>
        <w:spacing w:before="240" w:after="240" w:line="240" w:lineRule="auto"/>
      </w:pPr>
      <w:r w:rsidRPr="000F6CD1">
        <w:br/>
        <w:t xml:space="preserve">Within the IAT, the </w:t>
      </w:r>
      <w:r w:rsidR="008C088C" w:rsidRPr="000F6CD1">
        <w:t>t</w:t>
      </w:r>
      <w:r w:rsidRPr="000F6CD1">
        <w:t xml:space="preserve">riage </w:t>
      </w:r>
      <w:r w:rsidR="008C088C" w:rsidRPr="000F6CD1">
        <w:t>d</w:t>
      </w:r>
      <w:r w:rsidRPr="000F6CD1">
        <w:t>elegate will be able to consider the type of assessor recommended for the older person’s assessment, having regard to:</w:t>
      </w:r>
    </w:p>
    <w:p w14:paraId="7FC81B2B" w14:textId="77777777" w:rsidR="007A743C" w:rsidRPr="000F6CD1" w:rsidRDefault="007A743C" w:rsidP="00DF3F6B">
      <w:pPr>
        <w:pStyle w:val="ListParagraph"/>
        <w:numPr>
          <w:ilvl w:val="0"/>
          <w:numId w:val="82"/>
        </w:numPr>
        <w:spacing w:before="240" w:after="240" w:line="240" w:lineRule="auto"/>
        <w:ind w:left="567" w:hanging="283"/>
      </w:pPr>
      <w:r w:rsidRPr="000F6CD1">
        <w:t>relevant cultural background or understanding</w:t>
      </w:r>
    </w:p>
    <w:p w14:paraId="3AC73523" w14:textId="71C1FE6A" w:rsidR="007A743C" w:rsidRPr="000F6CD1" w:rsidRDefault="007A743C" w:rsidP="00DF3F6B">
      <w:pPr>
        <w:pStyle w:val="ListParagraph"/>
        <w:numPr>
          <w:ilvl w:val="0"/>
          <w:numId w:val="82"/>
        </w:numPr>
        <w:spacing w:before="240" w:after="240" w:line="240" w:lineRule="auto"/>
        <w:ind w:left="567" w:hanging="283"/>
      </w:pPr>
      <w:r w:rsidRPr="000F6CD1">
        <w:t>who has the expertise to address the diverse needs of the older person</w:t>
      </w:r>
      <w:r w:rsidR="20A430D1" w:rsidRPr="000F6CD1">
        <w:t>, such as part trauma</w:t>
      </w:r>
    </w:p>
    <w:p w14:paraId="074E4494" w14:textId="77777777" w:rsidR="007A743C" w:rsidRPr="000F6CD1" w:rsidRDefault="007A743C" w:rsidP="00DF3F6B">
      <w:pPr>
        <w:pStyle w:val="ListParagraph"/>
        <w:numPr>
          <w:ilvl w:val="0"/>
          <w:numId w:val="82"/>
        </w:numPr>
        <w:spacing w:before="240" w:after="240" w:line="240" w:lineRule="auto"/>
        <w:ind w:left="567" w:hanging="283"/>
      </w:pPr>
      <w:r w:rsidRPr="000F6CD1">
        <w:t>who is geographically closest to the older person, which helps to ensure the older person is assessed in the most efficient, effective and timely manner.</w:t>
      </w:r>
    </w:p>
    <w:p w14:paraId="60A99278" w14:textId="5DDC4680" w:rsidR="007A743C" w:rsidRPr="000F6CD1" w:rsidRDefault="00DA359A" w:rsidP="00AD2CE5">
      <w:pPr>
        <w:pStyle w:val="H3"/>
      </w:pPr>
      <w:bookmarkStart w:id="364" w:name="_Ref212733155"/>
      <w:bookmarkStart w:id="365" w:name="_Toc198813674"/>
      <w:bookmarkEnd w:id="352"/>
      <w:r w:rsidRPr="000F6CD1">
        <w:lastRenderedPageBreak/>
        <w:t>Referring for urgent services and linking support at triage</w:t>
      </w:r>
      <w:bookmarkEnd w:id="364"/>
    </w:p>
    <w:p w14:paraId="2ACAF0F7" w14:textId="152F4412" w:rsidR="006B04D2" w:rsidRPr="000F6CD1" w:rsidRDefault="006B04D2" w:rsidP="00A677C9">
      <w:pPr>
        <w:spacing w:before="240" w:after="240" w:line="240" w:lineRule="auto"/>
        <w:rPr>
          <w:rFonts w:ascii="Calibri" w:hAnsi="Calibri" w:cs="Calibri"/>
          <w:color w:val="000000" w:themeColor="text1"/>
          <w:szCs w:val="22"/>
        </w:rPr>
      </w:pPr>
      <w:r w:rsidRPr="000F6CD1">
        <w:t>Triage delegates are responsible for determining whether individuals require referrals under the Alternative Entry Pathway. This allows clients to access services prior to undergoing an assessment.</w:t>
      </w:r>
    </w:p>
    <w:p w14:paraId="50A38F56" w14:textId="03D23F62" w:rsidR="007A743C" w:rsidRPr="000F6CD1" w:rsidRDefault="006B04D2" w:rsidP="00A677C9">
      <w:pPr>
        <w:spacing w:before="240" w:after="240" w:line="240" w:lineRule="auto"/>
        <w:rPr>
          <w:rFonts w:ascii="Calibri" w:hAnsi="Calibri" w:cs="Calibri"/>
          <w:color w:val="000000" w:themeColor="text1"/>
        </w:rPr>
      </w:pPr>
      <w:r w:rsidRPr="000F6CD1">
        <w:t xml:space="preserve">The </w:t>
      </w:r>
      <w:r w:rsidR="00F01767" w:rsidRPr="000F6CD1">
        <w:t>t</w:t>
      </w:r>
      <w:r w:rsidRPr="000F6CD1">
        <w:t xml:space="preserve">riage section of the IAT includes a question about an older person’s need for urgent service </w:t>
      </w:r>
      <w:r w:rsidR="006C5462" w:rsidRPr="000F6CD1">
        <w:t>provision;</w:t>
      </w:r>
      <w:r w:rsidRPr="000F6CD1">
        <w:t xml:space="preserve"> </w:t>
      </w:r>
      <w:r w:rsidRPr="000F6CD1">
        <w:rPr>
          <w:i/>
        </w:rPr>
        <w:t>Does the client require urgent service provision (direct to service)?</w:t>
      </w:r>
      <w:r w:rsidRPr="000F6CD1">
        <w:t xml:space="preserve"> This </w:t>
      </w:r>
      <w:r w:rsidR="00F01767" w:rsidRPr="000F6CD1">
        <w:t xml:space="preserve">is </w:t>
      </w:r>
      <w:r w:rsidRPr="000F6CD1">
        <w:t xml:space="preserve">a mandatory question and requires a </w:t>
      </w:r>
      <w:r w:rsidRPr="000F6CD1">
        <w:rPr>
          <w:i/>
        </w:rPr>
        <w:t>Yes</w:t>
      </w:r>
      <w:r w:rsidRPr="000F6CD1">
        <w:t xml:space="preserve"> or </w:t>
      </w:r>
      <w:r w:rsidRPr="000F6CD1">
        <w:rPr>
          <w:i/>
        </w:rPr>
        <w:t>No</w:t>
      </w:r>
      <w:r w:rsidRPr="000F6CD1">
        <w:t xml:space="preserve"> answer and details must be added to a free text box. This question is used to determine the need for urgent services via the Alternative Entry pathway. Information on issuing referrals under the Alternative Entry Pathway is included in Chapter </w:t>
      </w:r>
      <w:r w:rsidR="00485278" w:rsidRPr="000F6CD1">
        <w:fldChar w:fldCharType="begin"/>
      </w:r>
      <w:r w:rsidR="00485278" w:rsidRPr="000F6CD1">
        <w:instrText xml:space="preserve"> REF _Ref212735695 \w \h </w:instrText>
      </w:r>
      <w:r w:rsidR="00485278" w:rsidRPr="000F6CD1">
        <w:fldChar w:fldCharType="separate"/>
      </w:r>
      <w:r w:rsidR="004B171E">
        <w:t>3</w:t>
      </w:r>
      <w:r w:rsidR="00485278" w:rsidRPr="000F6CD1">
        <w:fldChar w:fldCharType="end"/>
      </w:r>
      <w:r w:rsidRPr="000F6CD1">
        <w:t>.</w:t>
      </w:r>
    </w:p>
    <w:p w14:paraId="2DBEB9E6" w14:textId="1744F0EB" w:rsidR="007A743C" w:rsidRPr="000F6CD1" w:rsidRDefault="007A743C" w:rsidP="00A677C9">
      <w:pPr>
        <w:spacing w:before="240" w:after="240" w:line="240" w:lineRule="auto"/>
        <w:ind w:left="-20" w:right="-20"/>
        <w:rPr>
          <w:szCs w:val="22"/>
        </w:rPr>
      </w:pPr>
      <w:r w:rsidRPr="000F6CD1">
        <w:rPr>
          <w:szCs w:val="22"/>
        </w:rPr>
        <w:t xml:space="preserve">Even if the urgent services are </w:t>
      </w:r>
      <w:r w:rsidR="006358C8" w:rsidRPr="000F6CD1">
        <w:rPr>
          <w:szCs w:val="22"/>
        </w:rPr>
        <w:t>only required for a short period</w:t>
      </w:r>
      <w:r w:rsidRPr="000F6CD1">
        <w:rPr>
          <w:szCs w:val="22"/>
        </w:rPr>
        <w:t>, the older person will still be required to undergo an assessment.</w:t>
      </w:r>
    </w:p>
    <w:p w14:paraId="66E20670" w14:textId="367E63CA" w:rsidR="005C61C4" w:rsidRPr="000F6CD1" w:rsidRDefault="007A743C" w:rsidP="00A677C9">
      <w:pPr>
        <w:spacing w:before="240" w:after="240" w:line="240" w:lineRule="auto"/>
        <w:ind w:right="-20"/>
        <w:rPr>
          <w:szCs w:val="22"/>
        </w:rPr>
      </w:pPr>
      <w:r w:rsidRPr="000F6CD1">
        <w:rPr>
          <w:szCs w:val="22"/>
        </w:rPr>
        <w:t>The triage delegate may also identify and recommend linking supports for the older person following triage, or for consideration by the assessor at assessment.</w:t>
      </w:r>
    </w:p>
    <w:p w14:paraId="2BE1B5CC" w14:textId="669C8401" w:rsidR="00265669" w:rsidRPr="000F6CD1" w:rsidRDefault="00D213C6" w:rsidP="00AD2CE5">
      <w:pPr>
        <w:pStyle w:val="H3"/>
      </w:pPr>
      <w:r w:rsidRPr="000F6CD1">
        <w:drawing>
          <wp:anchor distT="0" distB="0" distL="114300" distR="114300" simplePos="0" relativeHeight="251658284" behindDoc="0" locked="0" layoutInCell="1" allowOverlap="1" wp14:anchorId="654DCEF0" wp14:editId="5CAB7595">
            <wp:simplePos x="0" y="0"/>
            <wp:positionH relativeFrom="margin">
              <wp:align>left</wp:align>
            </wp:positionH>
            <wp:positionV relativeFrom="paragraph">
              <wp:posOffset>6012</wp:posOffset>
            </wp:positionV>
            <wp:extent cx="457200" cy="502920"/>
            <wp:effectExtent l="0" t="0" r="0" b="0"/>
            <wp:wrapSquare wrapText="bothSides"/>
            <wp:docPr id="2019276622" name="Picture 2019276622"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76622" name="Picture 2019276622" descr="A bell with an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0F6CD1">
        <w:t xml:space="preserve">Triage for clients who have been referred through a </w:t>
      </w:r>
      <w:r w:rsidR="14AA6FB2" w:rsidRPr="000F6CD1">
        <w:t>s</w:t>
      </w:r>
      <w:r w:rsidR="007A743C" w:rsidRPr="000F6CD1">
        <w:t xml:space="preserve">upport </w:t>
      </w:r>
      <w:r w:rsidR="5EE6361E" w:rsidRPr="000F6CD1">
        <w:t>p</w:t>
      </w:r>
      <w:r w:rsidR="007A743C" w:rsidRPr="000F6CD1">
        <w:t xml:space="preserve">lan </w:t>
      </w:r>
      <w:r w:rsidR="6E94D35D" w:rsidRPr="000F6CD1">
        <w:t>r</w:t>
      </w:r>
      <w:r w:rsidR="007A743C" w:rsidRPr="000F6CD1">
        <w:t>eview</w:t>
      </w:r>
    </w:p>
    <w:p w14:paraId="555E3B03" w14:textId="75C86C74" w:rsidR="00EC2C7E" w:rsidRPr="000F6CD1" w:rsidRDefault="007A743C" w:rsidP="00031117">
      <w:pPr>
        <w:spacing w:before="240" w:after="240" w:line="240" w:lineRule="auto"/>
        <w:ind w:left="10" w:hanging="10"/>
        <w:rPr>
          <w:rFonts w:eastAsia="Arial"/>
          <w:color w:val="000000" w:themeColor="text1"/>
          <w:szCs w:val="22"/>
        </w:rPr>
      </w:pPr>
      <w:r w:rsidRPr="000F6CD1">
        <w:rPr>
          <w:rFonts w:eastAsia="Arial"/>
          <w:color w:val="000000" w:themeColor="text1"/>
          <w:szCs w:val="22"/>
        </w:rPr>
        <w:t xml:space="preserve">In submitting a request for a reassessment following a SPR, the assessor </w:t>
      </w:r>
      <w:r w:rsidR="00211884" w:rsidRPr="000F6CD1">
        <w:rPr>
          <w:rFonts w:eastAsia="Arial"/>
          <w:color w:val="000000" w:themeColor="text1"/>
          <w:szCs w:val="22"/>
        </w:rPr>
        <w:t xml:space="preserve">will be able to </w:t>
      </w:r>
      <w:r w:rsidR="00E56F4F" w:rsidRPr="000F6CD1">
        <w:rPr>
          <w:rFonts w:eastAsia="Arial"/>
          <w:color w:val="000000" w:themeColor="text1"/>
          <w:szCs w:val="22"/>
        </w:rPr>
        <w:t>update</w:t>
      </w:r>
      <w:r w:rsidR="00F16D16" w:rsidRPr="000F6CD1">
        <w:rPr>
          <w:rFonts w:eastAsia="Arial"/>
          <w:color w:val="000000" w:themeColor="text1"/>
          <w:szCs w:val="22"/>
        </w:rPr>
        <w:t xml:space="preserve"> the triage </w:t>
      </w:r>
      <w:r w:rsidR="00E56F4F" w:rsidRPr="000F6CD1">
        <w:rPr>
          <w:rFonts w:eastAsia="Arial"/>
          <w:color w:val="000000" w:themeColor="text1"/>
          <w:szCs w:val="22"/>
        </w:rPr>
        <w:t xml:space="preserve">section of the </w:t>
      </w:r>
      <w:r w:rsidR="007B3C8E" w:rsidRPr="000F6CD1">
        <w:rPr>
          <w:rFonts w:eastAsia="Arial"/>
          <w:color w:val="000000" w:themeColor="text1"/>
          <w:szCs w:val="22"/>
        </w:rPr>
        <w:t>Assessor Portal</w:t>
      </w:r>
      <w:r w:rsidR="0063006A" w:rsidRPr="000F6CD1">
        <w:rPr>
          <w:rFonts w:eastAsia="Arial"/>
          <w:color w:val="000000" w:themeColor="text1"/>
          <w:szCs w:val="22"/>
        </w:rPr>
        <w:t xml:space="preserve"> and should</w:t>
      </w:r>
      <w:r w:rsidR="00C258B2" w:rsidRPr="000F6CD1">
        <w:rPr>
          <w:rFonts w:eastAsia="Arial"/>
          <w:color w:val="000000" w:themeColor="text1"/>
          <w:szCs w:val="22"/>
        </w:rPr>
        <w:t xml:space="preserve"> enter as much information </w:t>
      </w:r>
      <w:r w:rsidR="00610D6E" w:rsidRPr="000F6CD1">
        <w:rPr>
          <w:rFonts w:eastAsia="Arial"/>
          <w:color w:val="000000" w:themeColor="text1"/>
          <w:szCs w:val="22"/>
        </w:rPr>
        <w:t>as they can while</w:t>
      </w:r>
      <w:r w:rsidR="00B47AFC" w:rsidRPr="000F6CD1">
        <w:rPr>
          <w:rFonts w:eastAsia="Arial"/>
          <w:color w:val="000000" w:themeColor="text1"/>
          <w:szCs w:val="22"/>
        </w:rPr>
        <w:t xml:space="preserve"> conversing with the client </w:t>
      </w:r>
      <w:r w:rsidR="00A6506A" w:rsidRPr="000F6CD1">
        <w:rPr>
          <w:rFonts w:eastAsia="Arial"/>
          <w:color w:val="000000" w:themeColor="text1"/>
          <w:szCs w:val="22"/>
        </w:rPr>
        <w:t xml:space="preserve">at the </w:t>
      </w:r>
      <w:r w:rsidR="007C7B49" w:rsidRPr="000F6CD1">
        <w:rPr>
          <w:rFonts w:eastAsia="Arial"/>
          <w:color w:val="000000" w:themeColor="text1"/>
          <w:szCs w:val="22"/>
        </w:rPr>
        <w:t>end of the SPR.</w:t>
      </w:r>
    </w:p>
    <w:p w14:paraId="4FCEA131" w14:textId="223057A5" w:rsidR="007A743C" w:rsidRPr="000F6CD1" w:rsidRDefault="00D27564" w:rsidP="00C258B2">
      <w:pPr>
        <w:spacing w:before="240" w:after="240" w:line="240" w:lineRule="auto"/>
        <w:ind w:left="10" w:hanging="10"/>
        <w:rPr>
          <w:rFonts w:eastAsia="Arial"/>
          <w:color w:val="000000" w:themeColor="text1"/>
          <w:szCs w:val="22"/>
        </w:rPr>
      </w:pPr>
      <w:r w:rsidRPr="000F6CD1">
        <w:rPr>
          <w:rFonts w:eastAsia="Arial"/>
          <w:color w:val="000000" w:themeColor="text1"/>
          <w:szCs w:val="22"/>
        </w:rPr>
        <w:t xml:space="preserve">The triage delegate should consider the information </w:t>
      </w:r>
      <w:r w:rsidR="007E69E6" w:rsidRPr="000F6CD1">
        <w:rPr>
          <w:rFonts w:eastAsia="Arial"/>
          <w:color w:val="000000" w:themeColor="text1"/>
          <w:szCs w:val="22"/>
        </w:rPr>
        <w:t>entered</w:t>
      </w:r>
      <w:r w:rsidRPr="000F6CD1">
        <w:rPr>
          <w:rFonts w:eastAsia="Arial"/>
          <w:color w:val="000000" w:themeColor="text1"/>
          <w:szCs w:val="22"/>
        </w:rPr>
        <w:t xml:space="preserve"> </w:t>
      </w:r>
      <w:r w:rsidR="007E69E6" w:rsidRPr="000F6CD1">
        <w:rPr>
          <w:rFonts w:eastAsia="Arial"/>
          <w:color w:val="000000" w:themeColor="text1"/>
          <w:szCs w:val="22"/>
        </w:rPr>
        <w:t xml:space="preserve">in </w:t>
      </w:r>
      <w:r w:rsidRPr="000F6CD1">
        <w:rPr>
          <w:rFonts w:eastAsia="Arial"/>
          <w:color w:val="000000" w:themeColor="text1"/>
          <w:szCs w:val="22"/>
        </w:rPr>
        <w:t xml:space="preserve">the triage section of the </w:t>
      </w:r>
      <w:r w:rsidR="007B3C8E" w:rsidRPr="000F6CD1">
        <w:rPr>
          <w:rFonts w:eastAsia="Arial"/>
          <w:color w:val="000000" w:themeColor="text1"/>
          <w:szCs w:val="22"/>
        </w:rPr>
        <w:t>Assessor Portal</w:t>
      </w:r>
      <w:r w:rsidRPr="000F6CD1">
        <w:rPr>
          <w:rFonts w:eastAsia="Arial"/>
          <w:color w:val="000000" w:themeColor="text1"/>
          <w:szCs w:val="22"/>
        </w:rPr>
        <w:t xml:space="preserve"> by the assessor, and if satisfied can</w:t>
      </w:r>
      <w:r w:rsidR="000328E8" w:rsidRPr="000F6CD1">
        <w:rPr>
          <w:rFonts w:eastAsia="Arial"/>
          <w:color w:val="000000" w:themeColor="text1"/>
          <w:szCs w:val="22"/>
        </w:rPr>
        <w:t xml:space="preserve"> </w:t>
      </w:r>
      <w:r w:rsidR="007A743C" w:rsidRPr="000F6CD1">
        <w:rPr>
          <w:rFonts w:eastAsia="Arial"/>
          <w:color w:val="000000" w:themeColor="text1"/>
          <w:szCs w:val="22"/>
        </w:rPr>
        <w:t xml:space="preserve">complete the triage questions </w:t>
      </w:r>
      <w:r w:rsidR="00D37BE7" w:rsidRPr="000F6CD1">
        <w:rPr>
          <w:rFonts w:eastAsia="Arial"/>
          <w:color w:val="000000" w:themeColor="text1"/>
          <w:szCs w:val="22"/>
        </w:rPr>
        <w:t xml:space="preserve">in </w:t>
      </w:r>
      <w:r w:rsidR="007A743C" w:rsidRPr="000F6CD1">
        <w:rPr>
          <w:rFonts w:eastAsia="Arial"/>
          <w:color w:val="000000" w:themeColor="text1"/>
          <w:szCs w:val="22"/>
        </w:rPr>
        <w:t xml:space="preserve">the </w:t>
      </w:r>
      <w:r w:rsidR="007B3C8E" w:rsidRPr="000F6CD1">
        <w:rPr>
          <w:rFonts w:eastAsia="Arial"/>
          <w:color w:val="000000" w:themeColor="text1"/>
          <w:szCs w:val="22"/>
        </w:rPr>
        <w:t>Assessor Portal</w:t>
      </w:r>
      <w:r w:rsidR="007A743C" w:rsidRPr="000F6CD1">
        <w:rPr>
          <w:rFonts w:eastAsia="Arial"/>
          <w:color w:val="000000" w:themeColor="text1"/>
          <w:szCs w:val="22"/>
        </w:rPr>
        <w:t>, without needing to speak with the client, given this occurred at the SPR stage. An assessment can then be scheduled for the client at a time that aligns with their priority setting.</w:t>
      </w:r>
    </w:p>
    <w:p w14:paraId="556254A0" w14:textId="010AF68F" w:rsidR="00C31F51" w:rsidRPr="000F6CD1" w:rsidRDefault="00C31F51" w:rsidP="00C258B2">
      <w:pPr>
        <w:spacing w:before="240" w:after="240" w:line="240" w:lineRule="auto"/>
        <w:ind w:left="10" w:hanging="10"/>
        <w:rPr>
          <w:rFonts w:eastAsia="Arial"/>
          <w:color w:val="000000" w:themeColor="text1"/>
          <w:szCs w:val="22"/>
        </w:rPr>
      </w:pPr>
      <w:r w:rsidRPr="000F6CD1">
        <w:t xml:space="preserve">Where this occurs, consent to complete triage questions </w:t>
      </w:r>
      <w:r w:rsidR="00EC330A" w:rsidRPr="000F6CD1">
        <w:t xml:space="preserve">must </w:t>
      </w:r>
      <w:r w:rsidRPr="000F6CD1">
        <w:t xml:space="preserve">be sought by the assessor when the assessor is speaking with the client (or their registered supporter and/or appointed decision maker) at the SPR stage. </w:t>
      </w:r>
    </w:p>
    <w:p w14:paraId="46E30F5A" w14:textId="74D621C8" w:rsidR="007A743C" w:rsidRPr="000F6CD1" w:rsidRDefault="007A743C" w:rsidP="00A677C9">
      <w:pPr>
        <w:spacing w:before="240" w:after="240" w:line="240" w:lineRule="auto"/>
        <w:rPr>
          <w:rFonts w:eastAsia="Arial"/>
          <w:color w:val="000000" w:themeColor="text1"/>
          <w:szCs w:val="22"/>
        </w:rPr>
      </w:pPr>
      <w:r w:rsidRPr="000F6CD1">
        <w:rPr>
          <w:rFonts w:eastAsia="Arial"/>
          <w:color w:val="000000" w:themeColor="text1"/>
          <w:szCs w:val="22"/>
        </w:rPr>
        <w:t xml:space="preserve">If a conversation with the client has not occurred at the SPR stage, the </w:t>
      </w:r>
      <w:r w:rsidR="00B70CD6" w:rsidRPr="000F6CD1">
        <w:rPr>
          <w:rFonts w:eastAsia="Arial"/>
          <w:color w:val="000000" w:themeColor="text1"/>
          <w:szCs w:val="22"/>
        </w:rPr>
        <w:t>t</w:t>
      </w:r>
      <w:r w:rsidRPr="000F6CD1">
        <w:rPr>
          <w:rFonts w:eastAsia="Arial"/>
          <w:color w:val="000000" w:themeColor="text1"/>
          <w:szCs w:val="22"/>
        </w:rPr>
        <w:t xml:space="preserve">riage </w:t>
      </w:r>
      <w:r w:rsidR="00B70CD6" w:rsidRPr="000F6CD1">
        <w:rPr>
          <w:rFonts w:eastAsia="Arial"/>
          <w:color w:val="000000" w:themeColor="text1"/>
          <w:szCs w:val="22"/>
        </w:rPr>
        <w:t>d</w:t>
      </w:r>
      <w:r w:rsidRPr="000F6CD1">
        <w:rPr>
          <w:rFonts w:eastAsia="Arial"/>
          <w:color w:val="000000" w:themeColor="text1"/>
          <w:szCs w:val="22"/>
        </w:rPr>
        <w:t xml:space="preserve">elegate should speak with the client to confirm a significant change has occurred, drawing on the triage questions to inform response. If the </w:t>
      </w:r>
      <w:r w:rsidR="00B70CD6" w:rsidRPr="000F6CD1">
        <w:rPr>
          <w:rFonts w:eastAsia="Arial"/>
          <w:color w:val="000000" w:themeColor="text1"/>
          <w:szCs w:val="22"/>
        </w:rPr>
        <w:t>t</w:t>
      </w:r>
      <w:r w:rsidRPr="000F6CD1">
        <w:rPr>
          <w:rFonts w:eastAsia="Arial"/>
          <w:color w:val="000000" w:themeColor="text1"/>
          <w:szCs w:val="22"/>
        </w:rPr>
        <w:t xml:space="preserve">riage </w:t>
      </w:r>
      <w:r w:rsidR="00B70CD6" w:rsidRPr="000F6CD1">
        <w:rPr>
          <w:rFonts w:eastAsia="Arial"/>
          <w:color w:val="000000" w:themeColor="text1"/>
          <w:szCs w:val="22"/>
        </w:rPr>
        <w:t>d</w:t>
      </w:r>
      <w:r w:rsidRPr="000F6CD1">
        <w:rPr>
          <w:rFonts w:eastAsia="Arial"/>
          <w:color w:val="000000" w:themeColor="text1"/>
          <w:szCs w:val="22"/>
        </w:rPr>
        <w:t xml:space="preserve">elegate is satisfied a significant change has occurred, they should complete the triage questions and recommend a reassessment. </w:t>
      </w:r>
    </w:p>
    <w:p w14:paraId="31CA8B0C" w14:textId="77777777" w:rsidR="00670DD6" w:rsidRPr="000F6CD1" w:rsidRDefault="00670DD6" w:rsidP="00A677C9">
      <w:pPr>
        <w:spacing w:before="240" w:after="240" w:line="240" w:lineRule="auto"/>
        <w:rPr>
          <w:rFonts w:eastAsia="Arial"/>
          <w:color w:val="000000" w:themeColor="text1"/>
          <w:szCs w:val="22"/>
        </w:rPr>
      </w:pPr>
    </w:p>
    <w:p w14:paraId="3E6C6479" w14:textId="79AB8687" w:rsidR="007A743C" w:rsidRPr="000F6CD1" w:rsidRDefault="007A743C" w:rsidP="00AD2CE5">
      <w:pPr>
        <w:pStyle w:val="H3"/>
      </w:pPr>
      <w:bookmarkStart w:id="366" w:name="_Toc198813672"/>
      <w:bookmarkEnd w:id="365"/>
      <w:r w:rsidRPr="000F6CD1">
        <w:t xml:space="preserve">Conducting triage for the End-of-Life </w:t>
      </w:r>
      <w:bookmarkEnd w:id="366"/>
      <w:r w:rsidR="004B7505" w:rsidRPr="000F6CD1">
        <w:t>Pathway</w:t>
      </w:r>
    </w:p>
    <w:p w14:paraId="5F5741DC" w14:textId="77777777" w:rsidR="007A743C" w:rsidRPr="000F6CD1" w:rsidRDefault="007A743C" w:rsidP="00A677C9">
      <w:pPr>
        <w:spacing w:before="240" w:after="240" w:line="240" w:lineRule="auto"/>
      </w:pPr>
      <w:r w:rsidRPr="000F6CD1">
        <w:t>The End-of-Life Pathway is available to participants already accessing Support at Home as well as older people who are not currently accessing services through the Support at Home program.</w:t>
      </w:r>
    </w:p>
    <w:p w14:paraId="31866ED6" w14:textId="77777777" w:rsidR="007A743C" w:rsidRPr="000F6CD1" w:rsidRDefault="007A743C" w:rsidP="00A677C9">
      <w:pPr>
        <w:spacing w:before="240" w:after="240" w:line="240" w:lineRule="auto"/>
      </w:pPr>
      <w:r w:rsidRPr="000F6CD1">
        <w:lastRenderedPageBreak/>
        <w:t xml:space="preserve">A participant can access one episode of the End-of-Life Pathway through the Support at Home program. An older person is eligible to access the End-of-Life Pathway if they meet the following criteria: </w:t>
      </w:r>
    </w:p>
    <w:p w14:paraId="0D56E063" w14:textId="77777777" w:rsidR="007A743C" w:rsidRPr="000F6CD1" w:rsidRDefault="007A743C" w:rsidP="00DF3F6B">
      <w:pPr>
        <w:pStyle w:val="ListParagraph"/>
        <w:numPr>
          <w:ilvl w:val="0"/>
          <w:numId w:val="78"/>
        </w:numPr>
        <w:spacing w:before="240" w:after="240" w:line="240" w:lineRule="auto"/>
      </w:pPr>
      <w:r w:rsidRPr="000F6CD1">
        <w:t xml:space="preserve">a medical practitioner or nurse practitioner provides an estimated life expectancy of 3 months or less, and </w:t>
      </w:r>
    </w:p>
    <w:p w14:paraId="58EAE4DE" w14:textId="77777777" w:rsidR="007A743C" w:rsidRPr="000F6CD1" w:rsidRDefault="007A743C" w:rsidP="00DF3F6B">
      <w:pPr>
        <w:pStyle w:val="ListParagraph"/>
        <w:numPr>
          <w:ilvl w:val="0"/>
          <w:numId w:val="78"/>
        </w:numPr>
        <w:spacing w:before="240" w:after="240" w:line="240" w:lineRule="auto"/>
      </w:pPr>
      <w:r w:rsidRPr="000F6CD1">
        <w:t>a score of 40 or less on the Australian-modified Karnofsky Performance Status (AKPS) score (mobility/frailty indicator)</w:t>
      </w:r>
    </w:p>
    <w:p w14:paraId="465B0D9D" w14:textId="77777777" w:rsidR="007A743C" w:rsidRPr="000F6CD1" w:rsidRDefault="007A743C" w:rsidP="00A677C9">
      <w:pPr>
        <w:spacing w:before="240" w:after="240" w:line="240" w:lineRule="auto"/>
      </w:pPr>
      <w:r w:rsidRPr="000F6CD1">
        <w:t xml:space="preserve">Older people who are not currently accessing Support at Home, who would like to access the End-of-Life Pathway, can be referred for a high-priority aged care assessment. </w:t>
      </w:r>
    </w:p>
    <w:p w14:paraId="23A45093" w14:textId="7B8113EA" w:rsidR="007A743C" w:rsidRPr="000F6CD1" w:rsidRDefault="007A743C" w:rsidP="00A677C9">
      <w:pPr>
        <w:spacing w:before="240" w:after="240" w:line="240" w:lineRule="auto"/>
      </w:pPr>
      <w:r w:rsidRPr="000F6CD1">
        <w:t>The End-of-Life Pathway Form must be completed</w:t>
      </w:r>
      <w:r w:rsidR="001941C7" w:rsidRPr="000F6CD1">
        <w:t xml:space="preserve"> and validated</w:t>
      </w:r>
      <w:r w:rsidRPr="000F6CD1">
        <w:t xml:space="preserve"> before End-of-Life Pathway can be approved. The form captures specific medical information related to the participant’s medical condition and evidence of end-of-life. An appropriate medical practitioner (their GP, non-GP specialist or nurse practitioner) will complete the form. </w:t>
      </w:r>
    </w:p>
    <w:p w14:paraId="0417F671" w14:textId="77777777" w:rsidR="007A743C" w:rsidRPr="000F6CD1" w:rsidRDefault="007A743C" w:rsidP="00A677C9">
      <w:pPr>
        <w:spacing w:before="240" w:after="240" w:line="240" w:lineRule="auto"/>
      </w:pPr>
      <w:r w:rsidRPr="000F6CD1">
        <w:t xml:space="preserve">The assessment referral will follow the same process as it does for all assessments and will be assigned by a Team Leader for triage. </w:t>
      </w:r>
    </w:p>
    <w:p w14:paraId="26560972" w14:textId="77777777" w:rsidR="007A743C" w:rsidRPr="000F6CD1" w:rsidRDefault="007A743C" w:rsidP="00A677C9">
      <w:pPr>
        <w:spacing w:before="240" w:after="240" w:line="240" w:lineRule="auto"/>
      </w:pPr>
      <w:r w:rsidRPr="000F6CD1">
        <w:t xml:space="preserve">All triage questions will be </w:t>
      </w:r>
      <w:r w:rsidRPr="000F6CD1">
        <w:rPr>
          <w:i/>
        </w:rPr>
        <w:t>optional</w:t>
      </w:r>
      <w:r w:rsidRPr="000F6CD1">
        <w:t xml:space="preserve"> for the End-of-Life Pathway so there is flexibility in only asking questions that are appropriate to the individual. Questions that would be insensitive to ask during triage can be skipped. </w:t>
      </w:r>
    </w:p>
    <w:p w14:paraId="0A05F220" w14:textId="11B38BBB" w:rsidR="007A743C" w:rsidRPr="000F6CD1" w:rsidRDefault="007A743C" w:rsidP="00A677C9">
      <w:pPr>
        <w:spacing w:before="240" w:after="240" w:line="240" w:lineRule="auto"/>
      </w:pPr>
      <w:r w:rsidRPr="000F6CD1">
        <w:t>T</w:t>
      </w:r>
      <w:r w:rsidRPr="000F6CD1" w:rsidDel="00D25DBA">
        <w:t xml:space="preserve">he </w:t>
      </w:r>
      <w:r w:rsidRPr="000F6CD1">
        <w:t>End-of-Life Pathway Form does not need to be submitted for the triage delegate to complete triage and assign the assessment to an assessor. If an End-of-Life Pathway Form has not already been submitted, the triage delegate should advise the older person of the steps required (e.g. downloading the form and visiting their GP, non-GP specialist or nurse practitioner to have the form signed).</w:t>
      </w:r>
    </w:p>
    <w:p w14:paraId="51B98A90" w14:textId="06FAA168" w:rsidR="002F51F0" w:rsidRPr="000F6CD1" w:rsidRDefault="002F51F0" w:rsidP="00A677C9">
      <w:pPr>
        <w:spacing w:before="240" w:after="240" w:line="240" w:lineRule="auto"/>
      </w:pPr>
      <w:r w:rsidRPr="000F6CD1">
        <w:t xml:space="preserve">In cases </w:t>
      </w:r>
      <w:r w:rsidR="00712E1E" w:rsidRPr="000F6CD1">
        <w:t xml:space="preserve">where an aged care assessment or </w:t>
      </w:r>
      <w:r w:rsidR="6DF62CC1" w:rsidRPr="000F6CD1">
        <w:t>s</w:t>
      </w:r>
      <w:r w:rsidR="00712E1E" w:rsidRPr="000F6CD1">
        <w:t xml:space="preserve">upport </w:t>
      </w:r>
      <w:r w:rsidR="2BAF6D32" w:rsidRPr="000F6CD1">
        <w:t>p</w:t>
      </w:r>
      <w:r w:rsidR="00712E1E" w:rsidRPr="000F6CD1">
        <w:t xml:space="preserve">lan </w:t>
      </w:r>
      <w:r w:rsidR="720156BB" w:rsidRPr="000F6CD1">
        <w:t>r</w:t>
      </w:r>
      <w:r w:rsidR="00712E1E" w:rsidRPr="000F6CD1">
        <w:t xml:space="preserve">eview (SPR) will be undertaken via telehealth, assessors will need to assist older people to ensure the completed End-of-Life Pathway Form is submitted. More information </w:t>
      </w:r>
      <w:r w:rsidR="00A50A98" w:rsidRPr="000F6CD1">
        <w:t xml:space="preserve">on options </w:t>
      </w:r>
      <w:r w:rsidR="00184E99" w:rsidRPr="000F6CD1">
        <w:t>for submission</w:t>
      </w:r>
      <w:r w:rsidR="00A50A98" w:rsidRPr="000F6CD1">
        <w:t xml:space="preserve"> is included in section </w:t>
      </w:r>
      <w:r w:rsidR="0009557B">
        <w:fldChar w:fldCharType="begin"/>
      </w:r>
      <w:r w:rsidR="0009557B">
        <w:instrText xml:space="preserve"> REF _Ref233128798 \r \h </w:instrText>
      </w:r>
      <w:r w:rsidR="0009557B">
        <w:fldChar w:fldCharType="separate"/>
      </w:r>
      <w:r w:rsidR="004B171E">
        <w:t>0</w:t>
      </w:r>
      <w:r w:rsidR="0009557B">
        <w:fldChar w:fldCharType="end"/>
      </w:r>
      <w:r w:rsidR="00A50A98" w:rsidRPr="000F6CD1">
        <w:t>.</w:t>
      </w:r>
    </w:p>
    <w:p w14:paraId="3832DADC" w14:textId="77777777" w:rsidR="007A743C" w:rsidRPr="000F6CD1" w:rsidRDefault="007A743C" w:rsidP="00A677C9">
      <w:pPr>
        <w:spacing w:before="240" w:after="240" w:line="240" w:lineRule="auto"/>
      </w:pPr>
      <w:r w:rsidRPr="000F6CD1">
        <w:t>For participants seeking access to the End-of-Life Pathway who have submitted their End-of-Life Pathway Form at this stage, triage may also involve verifying this documentation.</w:t>
      </w:r>
    </w:p>
    <w:p w14:paraId="3052C7AE" w14:textId="2380A049" w:rsidR="0075210F" w:rsidRPr="000F6CD1" w:rsidRDefault="0075210F" w:rsidP="00A677C9">
      <w:pPr>
        <w:spacing w:before="240" w:after="240" w:line="240" w:lineRule="auto"/>
      </w:pPr>
      <w:r w:rsidRPr="000F6CD1">
        <w:t>If a Triage Delegate identifies a submitted End-of-Life Pathway Form contains a mistake or missing information</w:t>
      </w:r>
      <w:r w:rsidR="00FA1798" w:rsidRPr="000F6CD1">
        <w:t xml:space="preserve">, triage should still be completed and the older person should be </w:t>
      </w:r>
      <w:r w:rsidR="003E2CF3" w:rsidRPr="000F6CD1">
        <w:t xml:space="preserve">progressed to an assessment, while keeping the form as not validated. </w:t>
      </w:r>
      <w:r w:rsidR="00C50693" w:rsidRPr="000F6CD1">
        <w:t xml:space="preserve">An older </w:t>
      </w:r>
      <w:r w:rsidR="000142CD" w:rsidRPr="000F6CD1">
        <w:t xml:space="preserve">person should be informed the form contains missing or mistaken information </w:t>
      </w:r>
      <w:r w:rsidR="00B71781" w:rsidRPr="000F6CD1">
        <w:t xml:space="preserve">and what they need to do </w:t>
      </w:r>
      <w:r w:rsidR="00CC32A2" w:rsidRPr="000F6CD1">
        <w:t xml:space="preserve">for the form to be fixed. </w:t>
      </w:r>
      <w:r w:rsidR="00DE3B0E" w:rsidRPr="000F6CD1">
        <w:t xml:space="preserve">Once fixed, the form can be presented for validation at assessment. </w:t>
      </w:r>
    </w:p>
    <w:p w14:paraId="1202FE5F" w14:textId="0E6D3880" w:rsidR="007A743C" w:rsidRPr="000F6CD1" w:rsidRDefault="007A743C" w:rsidP="00A677C9">
      <w:pPr>
        <w:spacing w:before="240" w:after="240" w:line="240" w:lineRule="auto"/>
      </w:pPr>
      <w:r w:rsidRPr="000F6CD1">
        <w:t>The Triage Delegate can flag a referral as End-of-Life before or after (not during) triage by clicking the ‘Flag as End of Life</w:t>
      </w:r>
      <w:r w:rsidR="00DA2EEB" w:rsidRPr="000F6CD1">
        <w:t>.’</w:t>
      </w:r>
    </w:p>
    <w:p w14:paraId="17E52AD3" w14:textId="43F8B1CE" w:rsidR="007A743C" w:rsidRPr="000F6CD1" w:rsidRDefault="007A743C" w:rsidP="00A677C9">
      <w:pPr>
        <w:spacing w:before="240" w:after="240" w:line="240" w:lineRule="auto"/>
      </w:pPr>
      <w:r w:rsidRPr="000F6CD1">
        <w:t xml:space="preserve">To access the End-of-Life Pathway, existing Support at Home participants can request </w:t>
      </w:r>
      <w:r w:rsidR="004663CB" w:rsidRPr="000F6CD1">
        <w:t>an</w:t>
      </w:r>
      <w:r w:rsidRPr="000F6CD1">
        <w:t xml:space="preserve"> </w:t>
      </w:r>
      <w:r w:rsidR="00F42CDC" w:rsidRPr="000F6CD1">
        <w:t xml:space="preserve">urgent </w:t>
      </w:r>
      <w:r w:rsidR="53FDA39E" w:rsidRPr="000F6CD1">
        <w:t>s</w:t>
      </w:r>
      <w:r w:rsidRPr="000F6CD1">
        <w:t xml:space="preserve">upport </w:t>
      </w:r>
      <w:r w:rsidR="75124624" w:rsidRPr="000F6CD1">
        <w:t>p</w:t>
      </w:r>
      <w:r w:rsidRPr="000F6CD1">
        <w:t xml:space="preserve">lan </w:t>
      </w:r>
      <w:r w:rsidR="2124F960" w:rsidRPr="000F6CD1">
        <w:t>r</w:t>
      </w:r>
      <w:r w:rsidRPr="000F6CD1">
        <w:t>eview.</w:t>
      </w:r>
    </w:p>
    <w:p w14:paraId="4DA8AFDA" w14:textId="77777777" w:rsidR="007A743C" w:rsidRPr="000F6CD1" w:rsidRDefault="007A743C" w:rsidP="00AD2CE5">
      <w:pPr>
        <w:pStyle w:val="H3"/>
      </w:pPr>
      <w:bookmarkStart w:id="367" w:name="_Toc184026571"/>
      <w:bookmarkStart w:id="368" w:name="_Toc184402290"/>
      <w:r w:rsidRPr="000F6CD1">
        <w:lastRenderedPageBreak/>
        <w:t>In-hospital triage and self-referrals</w:t>
      </w:r>
      <w:bookmarkEnd w:id="367"/>
      <w:bookmarkEnd w:id="368"/>
    </w:p>
    <w:p w14:paraId="591D0B74" w14:textId="1213F7F4" w:rsidR="00E7696C" w:rsidRPr="000F6CD1" w:rsidRDefault="007A743C" w:rsidP="00A677C9">
      <w:pPr>
        <w:spacing w:before="240" w:after="240" w:line="240" w:lineRule="auto"/>
        <w:rPr>
          <w:rStyle w:val="normaltextrun"/>
        </w:rPr>
      </w:pPr>
      <w:r w:rsidRPr="000F6CD1">
        <w:t xml:space="preserve">For hospital assessments, in the first instance an assessor, once obtaining the older person’s consent, will complete the triage </w:t>
      </w:r>
      <w:r w:rsidRPr="000F6CD1">
        <w:rPr>
          <w:rStyle w:val="normaltextrun"/>
        </w:rPr>
        <w:t xml:space="preserve">questionnaire using clinical records and information that is available, in liaison with the hospital discharge team. </w:t>
      </w:r>
      <w:r w:rsidR="00BF1576" w:rsidRPr="000F6CD1">
        <w:rPr>
          <w:rStyle w:val="normaltextrun"/>
        </w:rPr>
        <w:t>Note, i</w:t>
      </w:r>
      <w:r w:rsidR="008D096A" w:rsidRPr="000F6CD1">
        <w:rPr>
          <w:rStyle w:val="normaltextrun"/>
        </w:rPr>
        <w:t xml:space="preserve">f the </w:t>
      </w:r>
      <w:r w:rsidR="002F2ABE" w:rsidRPr="000F6CD1">
        <w:rPr>
          <w:rStyle w:val="normaltextrun"/>
        </w:rPr>
        <w:t xml:space="preserve">older person is </w:t>
      </w:r>
      <w:r w:rsidR="00777B59" w:rsidRPr="000F6CD1">
        <w:rPr>
          <w:rStyle w:val="normaltextrun"/>
        </w:rPr>
        <w:t>currently</w:t>
      </w:r>
      <w:r w:rsidR="002F2ABE" w:rsidRPr="000F6CD1">
        <w:rPr>
          <w:rStyle w:val="normaltextrun"/>
        </w:rPr>
        <w:t xml:space="preserve"> receiving</w:t>
      </w:r>
      <w:r w:rsidR="008674DC" w:rsidRPr="000F6CD1">
        <w:rPr>
          <w:rStyle w:val="normaltextrun"/>
        </w:rPr>
        <w:t xml:space="preserve"> aged care services </w:t>
      </w:r>
      <w:r w:rsidR="00C81A28" w:rsidRPr="000F6CD1">
        <w:rPr>
          <w:rStyle w:val="normaltextrun"/>
        </w:rPr>
        <w:t>the Function, General Health</w:t>
      </w:r>
      <w:r w:rsidR="003A7D56" w:rsidRPr="000F6CD1">
        <w:rPr>
          <w:rStyle w:val="normaltextrun"/>
        </w:rPr>
        <w:t>,</w:t>
      </w:r>
      <w:r w:rsidR="00C81A28" w:rsidRPr="000F6CD1">
        <w:rPr>
          <w:rStyle w:val="normaltextrun"/>
        </w:rPr>
        <w:t xml:space="preserve"> and </w:t>
      </w:r>
      <w:r w:rsidR="003A7D56" w:rsidRPr="000F6CD1">
        <w:rPr>
          <w:rStyle w:val="normaltextrun"/>
        </w:rPr>
        <w:t>General</w:t>
      </w:r>
      <w:r w:rsidR="002C6831" w:rsidRPr="000F6CD1">
        <w:rPr>
          <w:rStyle w:val="normaltextrun"/>
        </w:rPr>
        <w:t xml:space="preserve"> Wellbeing and Safety sections </w:t>
      </w:r>
      <w:r w:rsidR="008A798E" w:rsidRPr="000F6CD1">
        <w:rPr>
          <w:rStyle w:val="normaltextrun"/>
        </w:rPr>
        <w:t xml:space="preserve">of the triage </w:t>
      </w:r>
      <w:r w:rsidR="00EF77FB" w:rsidRPr="000F6CD1">
        <w:rPr>
          <w:rStyle w:val="normaltextrun"/>
        </w:rPr>
        <w:t xml:space="preserve">questionnaire </w:t>
      </w:r>
      <w:r w:rsidR="006E0FBA" w:rsidRPr="000F6CD1">
        <w:rPr>
          <w:rStyle w:val="normaltextrun"/>
        </w:rPr>
        <w:t>are optional.</w:t>
      </w:r>
      <w:r w:rsidR="002F2ABE" w:rsidRPr="000F6CD1">
        <w:rPr>
          <w:rStyle w:val="normaltextrun"/>
        </w:rPr>
        <w:t xml:space="preserve"> </w:t>
      </w:r>
      <w:r w:rsidRPr="000F6CD1">
        <w:rPr>
          <w:rStyle w:val="normaltextrun"/>
        </w:rPr>
        <w:t>Following triage, the assessor may recommend a high or medium priority assessment.</w:t>
      </w:r>
    </w:p>
    <w:p w14:paraId="336CDD68" w14:textId="4DEC1008" w:rsidR="003304D0" w:rsidRPr="000F6CD1" w:rsidRDefault="007A743C" w:rsidP="00A677C9">
      <w:pPr>
        <w:spacing w:before="240" w:after="240" w:line="240" w:lineRule="auto"/>
        <w:rPr>
          <w:rStyle w:val="normaltextrun"/>
        </w:rPr>
      </w:pPr>
      <w:r w:rsidRPr="000F6CD1">
        <w:rPr>
          <w:rStyle w:val="normaltextrun"/>
        </w:rPr>
        <w:t xml:space="preserve">Where an assessment is self-referred, and the assessor is with the older person, assessors will be able to conduct triage with the older person at the same time as the assessment. For assessors who are not </w:t>
      </w:r>
      <w:r w:rsidR="00385041" w:rsidRPr="000F6CD1">
        <w:rPr>
          <w:rStyle w:val="normaltextrun"/>
        </w:rPr>
        <w:t>T</w:t>
      </w:r>
      <w:r w:rsidRPr="000F6CD1">
        <w:rPr>
          <w:rStyle w:val="normaltextrun"/>
        </w:rPr>
        <w:t xml:space="preserve">riage </w:t>
      </w:r>
      <w:r w:rsidR="00385041" w:rsidRPr="000F6CD1">
        <w:rPr>
          <w:rStyle w:val="normaltextrun"/>
        </w:rPr>
        <w:t>D</w:t>
      </w:r>
      <w:r w:rsidRPr="000F6CD1">
        <w:rPr>
          <w:rStyle w:val="normaltextrun"/>
        </w:rPr>
        <w:t>elegates</w:t>
      </w:r>
      <w:r w:rsidR="002C5A24" w:rsidRPr="000F6CD1">
        <w:rPr>
          <w:rStyle w:val="normaltextrun"/>
        </w:rPr>
        <w:t>,</w:t>
      </w:r>
      <w:r w:rsidRPr="000F6CD1">
        <w:rPr>
          <w:rStyle w:val="normaltextrun"/>
        </w:rPr>
        <w:t xml:space="preserve"> triage must be conducted with triage delegate oversight.</w:t>
      </w:r>
    </w:p>
    <w:p w14:paraId="4B8CC162" w14:textId="021827C9" w:rsidR="00CB68ED" w:rsidRPr="000F6CD1" w:rsidRDefault="0050331F" w:rsidP="00AD2CE5">
      <w:pPr>
        <w:pStyle w:val="H3"/>
      </w:pPr>
      <w:r w:rsidRPr="000F6CD1">
        <w:rPr>
          <w:rStyle w:val="normaltextrun"/>
          <w:lang w:val="en-AU"/>
        </w:rPr>
        <w:t xml:space="preserve">Recording eligibility for an assessment </w:t>
      </w:r>
      <w:r w:rsidR="00B9766A" w:rsidRPr="000F6CD1">
        <w:rPr>
          <w:rStyle w:val="normaltextrun"/>
          <w:lang w:val="en-AU"/>
        </w:rPr>
        <w:t xml:space="preserve">for </w:t>
      </w:r>
      <w:r w:rsidRPr="000F6CD1">
        <w:rPr>
          <w:rStyle w:val="normaltextrun"/>
          <w:lang w:val="en-AU"/>
        </w:rPr>
        <w:t xml:space="preserve">individuals aged 50-64 </w:t>
      </w:r>
    </w:p>
    <w:p w14:paraId="6D0F42C3" w14:textId="6D1AC506" w:rsidR="00CB68ED" w:rsidRPr="000F6CD1" w:rsidRDefault="00CB68ED" w:rsidP="00A677C9">
      <w:pPr>
        <w:spacing w:before="240" w:after="240" w:line="240" w:lineRule="auto"/>
      </w:pPr>
      <w:r w:rsidRPr="000F6CD1">
        <w:t xml:space="preserve">When determining </w:t>
      </w:r>
      <w:r w:rsidR="0DF5D8EF" w:rsidRPr="000F6CD1">
        <w:t xml:space="preserve">whether </w:t>
      </w:r>
      <w:r w:rsidR="00385041" w:rsidRPr="000F6CD1">
        <w:t>an individual</w:t>
      </w:r>
      <w:r w:rsidRPr="000F6CD1">
        <w:t xml:space="preserve"> aged 50-64 years is eligible for an aged care needs assessment, triage delegates should clearly record their decision and the information they relied upon to come to that decision. This should be recorded in the free text box at the end of the triage section. For example, when finding someone aged between 50-64 is eligible for an assessment under the homeless/risk of homelessness provisions of the Act</w:t>
      </w:r>
      <w:r w:rsidR="00C3661D" w:rsidRPr="000F6CD1">
        <w:t>,</w:t>
      </w:r>
      <w:r w:rsidRPr="000F6CD1">
        <w:t xml:space="preserve"> the </w:t>
      </w:r>
      <w:r w:rsidR="00C3661D" w:rsidRPr="000F6CD1">
        <w:t>t</w:t>
      </w:r>
      <w:r w:rsidRPr="000F6CD1">
        <w:t xml:space="preserve">riage </w:t>
      </w:r>
      <w:r w:rsidR="00C3661D" w:rsidRPr="000F6CD1">
        <w:t>d</w:t>
      </w:r>
      <w:r w:rsidRPr="000F6CD1">
        <w:t xml:space="preserve">elegate should make specific reference to which criteria under the relevant definition applies to the individual who is seeking an assessment. </w:t>
      </w:r>
      <w:r w:rsidR="00385D2F" w:rsidRPr="000F6CD1">
        <w:t xml:space="preserve">Refer to </w:t>
      </w:r>
      <w:r w:rsidR="004869E8" w:rsidRPr="000F6CD1">
        <w:t xml:space="preserve">section </w:t>
      </w:r>
      <w:r w:rsidR="0023035A" w:rsidRPr="000F6CD1">
        <w:t>5.3</w:t>
      </w:r>
      <w:r w:rsidR="001B57A9" w:rsidRPr="000F6CD1">
        <w:t xml:space="preserve"> of this Manual</w:t>
      </w:r>
      <w:r w:rsidR="00385D2F" w:rsidRPr="000F6CD1">
        <w:t xml:space="preserve"> for the definition of homeless </w:t>
      </w:r>
      <w:r w:rsidR="006427E4" w:rsidRPr="000F6CD1">
        <w:t xml:space="preserve">and risk of homelessness. </w:t>
      </w:r>
    </w:p>
    <w:p w14:paraId="6C8F21AA" w14:textId="14EBA9AB" w:rsidR="003D1826" w:rsidRPr="000F6CD1" w:rsidRDefault="00176D99" w:rsidP="00A677C9">
      <w:pPr>
        <w:spacing w:before="240" w:after="240" w:line="240" w:lineRule="auto"/>
      </w:pPr>
      <w:r w:rsidRPr="000F6CD1">
        <w:t xml:space="preserve">The free text box at the end of the </w:t>
      </w:r>
      <w:r w:rsidR="00754104" w:rsidRPr="000F6CD1">
        <w:t xml:space="preserve">triage section of the </w:t>
      </w:r>
      <w:r w:rsidR="00AB1DC7" w:rsidRPr="000F6CD1">
        <w:t xml:space="preserve">Assessor Portal </w:t>
      </w:r>
      <w:r w:rsidR="00122FBB" w:rsidRPr="000F6CD1">
        <w:t xml:space="preserve">should also be used by the triage delegate </w:t>
      </w:r>
      <w:r w:rsidR="00754104" w:rsidRPr="000F6CD1">
        <w:t xml:space="preserve">to </w:t>
      </w:r>
      <w:r w:rsidR="00122FBB" w:rsidRPr="000F6CD1">
        <w:t>record confirmation</w:t>
      </w:r>
      <w:r w:rsidR="00754104" w:rsidRPr="000F6CD1">
        <w:t xml:space="preserve"> </w:t>
      </w:r>
      <w:r w:rsidR="004C6046" w:rsidRPr="000F6CD1">
        <w:t xml:space="preserve">an individual aged under 65 has been informed of </w:t>
      </w:r>
      <w:r w:rsidR="00BC505B" w:rsidRPr="000F6CD1">
        <w:t>other</w:t>
      </w:r>
      <w:r w:rsidR="004C6046" w:rsidRPr="000F6CD1">
        <w:t xml:space="preserve"> services </w:t>
      </w:r>
      <w:r w:rsidR="00BC505B" w:rsidRPr="000F6CD1">
        <w:t xml:space="preserve">that may be available to meet their needs before electing to be provided funded aged care before the age of 65. </w:t>
      </w:r>
    </w:p>
    <w:p w14:paraId="15B65E0E" w14:textId="77777777" w:rsidR="000E0B6C" w:rsidRPr="000F6CD1" w:rsidRDefault="00526DC7" w:rsidP="00806A21">
      <w:pPr>
        <w:pStyle w:val="Sub-headings"/>
      </w:pPr>
      <w:r w:rsidRPr="000F6CD1">
        <w:t>Note</w:t>
      </w:r>
      <w:r w:rsidR="004B4CB0" w:rsidRPr="000F6CD1">
        <w:t>:</w:t>
      </w:r>
      <w:r w:rsidR="00E93079" w:rsidRPr="000F6CD1">
        <w:t xml:space="preserve"> </w:t>
      </w:r>
    </w:p>
    <w:p w14:paraId="1364FDD9" w14:textId="6F825AC6" w:rsidR="0050331F" w:rsidRPr="000F6CD1" w:rsidRDefault="004B4CB0" w:rsidP="00806A21">
      <w:pPr>
        <w:pStyle w:val="Sub-headings"/>
      </w:pPr>
      <w:r w:rsidRPr="000F6CD1">
        <w:t>T</w:t>
      </w:r>
      <w:r w:rsidR="00251828" w:rsidRPr="000F6CD1">
        <w:t xml:space="preserve">riage </w:t>
      </w:r>
      <w:r w:rsidRPr="000F6CD1">
        <w:t>D</w:t>
      </w:r>
      <w:r w:rsidR="00251828" w:rsidRPr="000F6CD1">
        <w:t>elegates should rev</w:t>
      </w:r>
      <w:r w:rsidR="008F3749" w:rsidRPr="000F6CD1">
        <w:t xml:space="preserve">iew </w:t>
      </w:r>
      <w:r w:rsidR="00DA03E9" w:rsidRPr="000F6CD1">
        <w:t>the ‘client story’ note in an older person’s record to confirm if a</w:t>
      </w:r>
      <w:r w:rsidR="00385D2F" w:rsidRPr="000F6CD1">
        <w:t>n</w:t>
      </w:r>
      <w:r w:rsidR="00DA03E9" w:rsidRPr="000F6CD1">
        <w:t xml:space="preserve"> eligible person aged 50-64 has been informed of other services that may meet their needs </w:t>
      </w:r>
      <w:r w:rsidR="009D00C7" w:rsidRPr="000F6CD1">
        <w:t xml:space="preserve">during screening. </w:t>
      </w:r>
    </w:p>
    <w:p w14:paraId="75B0D344" w14:textId="77777777" w:rsidR="007A743C" w:rsidRPr="000F6CD1" w:rsidRDefault="007A743C" w:rsidP="00AD2CE5">
      <w:pPr>
        <w:pStyle w:val="H3"/>
      </w:pPr>
      <w:bookmarkStart w:id="369" w:name="_Toc184026570"/>
      <w:bookmarkStart w:id="370" w:name="_Toc184402289"/>
      <w:r w:rsidRPr="000F6CD1">
        <w:t>Preparing an older person for their assessment</w:t>
      </w:r>
      <w:bookmarkEnd w:id="369"/>
      <w:bookmarkEnd w:id="370"/>
    </w:p>
    <w:p w14:paraId="1BA5CB2C" w14:textId="77777777" w:rsidR="007A743C" w:rsidRPr="000F6CD1" w:rsidRDefault="007A743C" w:rsidP="00A677C9">
      <w:pPr>
        <w:spacing w:before="240" w:after="240" w:line="240" w:lineRule="auto"/>
      </w:pPr>
      <w:r w:rsidRPr="000F6CD1">
        <w:t>Triage delegates should outline to the older person what will happen at the assessment, discuss their availability for the assessment and then make the appointment. Where possible, the triage delegate should give the name of the assessor that will be undertaking the assessment.</w:t>
      </w:r>
    </w:p>
    <w:p w14:paraId="42700703" w14:textId="77777777" w:rsidR="007A743C" w:rsidRPr="000F6CD1" w:rsidRDefault="007A743C" w:rsidP="00A677C9">
      <w:pPr>
        <w:spacing w:before="240" w:after="240" w:line="240" w:lineRule="auto"/>
      </w:pPr>
      <w:r w:rsidRPr="000F6CD1">
        <w:t>Additionally, triage delegates should:</w:t>
      </w:r>
    </w:p>
    <w:p w14:paraId="5EC9E87D" w14:textId="22DCD258" w:rsidR="007A743C" w:rsidRPr="000F6CD1" w:rsidRDefault="007A743C" w:rsidP="00DF3F6B">
      <w:pPr>
        <w:pStyle w:val="ListParagraph"/>
        <w:numPr>
          <w:ilvl w:val="0"/>
          <w:numId w:val="82"/>
        </w:numPr>
        <w:spacing w:before="240" w:after="240" w:line="240" w:lineRule="auto"/>
        <w:ind w:left="567" w:hanging="283"/>
        <w:contextualSpacing w:val="0"/>
      </w:pPr>
      <w:r w:rsidRPr="000F6CD1">
        <w:t xml:space="preserve">Complete the Work, Health and Safety (WHS)/Home Safety Risk screen and check for alerts and notes in the referral information on the My Aged Care record. Ask relevant questions to identify work, health and safety concerns which could affect the assessment for example: “Are there any risks or hazards the Assessor needs to be aware of before attending the assessment in your home?” The team leader may </w:t>
      </w:r>
      <w:r w:rsidRPr="000F6CD1">
        <w:lastRenderedPageBreak/>
        <w:t xml:space="preserve">already have knowledge of information that may be relevant to assessment services and assessor safety. </w:t>
      </w:r>
    </w:p>
    <w:p w14:paraId="17EC46C9" w14:textId="77777777" w:rsidR="000E0B6C" w:rsidRPr="000F6CD1" w:rsidRDefault="007A743C" w:rsidP="00806A21">
      <w:pPr>
        <w:pStyle w:val="Sub-headings"/>
      </w:pPr>
      <w:r w:rsidRPr="000F6CD1">
        <w:t>Note</w:t>
      </w:r>
      <w:r w:rsidR="004B4CB0" w:rsidRPr="000F6CD1">
        <w:t>:</w:t>
      </w:r>
      <w:r w:rsidRPr="000F6CD1">
        <w:t xml:space="preserve"> </w:t>
      </w:r>
    </w:p>
    <w:p w14:paraId="56C37A23" w14:textId="199F10CB" w:rsidR="009B09BC" w:rsidRPr="000F6CD1" w:rsidRDefault="000E0B6C" w:rsidP="00806A21">
      <w:pPr>
        <w:pStyle w:val="Sub-headings"/>
      </w:pPr>
      <w:r w:rsidRPr="000F6CD1">
        <w:t>S</w:t>
      </w:r>
      <w:r w:rsidR="007A743C" w:rsidRPr="000F6CD1">
        <w:t xml:space="preserve">pecial WHS requirements (such as the necessary presence of the older person’s guide dog) at the assessment. Arrange other responses (such as the need for two assessors to attend the assessment due to safety concerns). </w:t>
      </w:r>
    </w:p>
    <w:p w14:paraId="3A153694" w14:textId="77777777" w:rsidR="007A743C" w:rsidRPr="000F6CD1" w:rsidRDefault="007A743C" w:rsidP="00DF3F6B">
      <w:pPr>
        <w:pStyle w:val="ListParagraph"/>
        <w:numPr>
          <w:ilvl w:val="0"/>
          <w:numId w:val="82"/>
        </w:numPr>
        <w:spacing w:before="240" w:after="240" w:line="240" w:lineRule="auto"/>
        <w:ind w:left="567" w:hanging="283"/>
        <w:contextualSpacing w:val="0"/>
      </w:pPr>
      <w:r w:rsidRPr="000F6CD1">
        <w:t xml:space="preserve">Upload any additional older person information to the older person record (e.g., WHS screen) and use ‘Notes’ to record assessment booking details. Include if relevant, with older person’s consent, sensitive information in sensitive notes and attachments. </w:t>
      </w:r>
    </w:p>
    <w:p w14:paraId="5ADBA010" w14:textId="23FA5F03" w:rsidR="007A743C" w:rsidRPr="000F6CD1" w:rsidRDefault="007A743C" w:rsidP="00DF3F6B">
      <w:pPr>
        <w:pStyle w:val="ListParagraph"/>
        <w:numPr>
          <w:ilvl w:val="0"/>
          <w:numId w:val="82"/>
        </w:numPr>
        <w:spacing w:before="240" w:after="240" w:line="240" w:lineRule="auto"/>
        <w:ind w:left="567" w:hanging="283"/>
        <w:contextualSpacing w:val="0"/>
      </w:pPr>
      <w:r w:rsidRPr="000F6CD1">
        <w:t xml:space="preserve">Check to see if there are cohabitating </w:t>
      </w:r>
      <w:r w:rsidR="00516348" w:rsidRPr="000F6CD1">
        <w:t>older people</w:t>
      </w:r>
      <w:r w:rsidRPr="000F6CD1">
        <w:t xml:space="preserve"> in the house who may also require an </w:t>
      </w:r>
      <w:r w:rsidRPr="000F6CD1" w:rsidDel="004A2F69">
        <w:t>assessment</w:t>
      </w:r>
      <w:r w:rsidRPr="000F6CD1">
        <w:t xml:space="preserve"> and refer them to My Aged Care or include a note that they may be self-referred to their assessment organisation if circumstances meet the self-referral criteria and if appropriate.</w:t>
      </w:r>
    </w:p>
    <w:p w14:paraId="219D05A7" w14:textId="381BED96" w:rsidR="00965F1F" w:rsidRPr="000F6CD1" w:rsidRDefault="009A260E" w:rsidP="00AD2CE5">
      <w:pPr>
        <w:pStyle w:val="H3"/>
      </w:pPr>
      <w:r w:rsidRPr="000F6CD1">
        <w:t xml:space="preserve">Preparing for an assessment with an </w:t>
      </w:r>
      <w:r w:rsidR="00621BE3" w:rsidRPr="000F6CD1">
        <w:t xml:space="preserve">older Aboriginal and Torres Strait Islander </w:t>
      </w:r>
      <w:r w:rsidRPr="000F6CD1">
        <w:t>person</w:t>
      </w:r>
    </w:p>
    <w:p w14:paraId="5353B055" w14:textId="5C530B99" w:rsidR="00AB4071" w:rsidRPr="000F6CD1" w:rsidRDefault="00AB4071" w:rsidP="00A677C9">
      <w:pPr>
        <w:spacing w:before="240" w:after="240" w:line="240" w:lineRule="auto"/>
      </w:pPr>
      <w:r w:rsidRPr="000F6CD1">
        <w:t xml:space="preserve">Taking note of the community the older person belongs to, </w:t>
      </w:r>
      <w:r w:rsidR="3A3E7E3B" w:rsidRPr="000F6CD1">
        <w:t xml:space="preserve">assessors </w:t>
      </w:r>
      <w:r w:rsidRPr="000F6CD1">
        <w:t>can support culturally safe and appropriate assessment practices. This information may help ensure</w:t>
      </w:r>
      <w:r w:rsidRPr="000F6CD1" w:rsidDel="008E7D8B">
        <w:t xml:space="preserve"> </w:t>
      </w:r>
      <w:r w:rsidRPr="000F6CD1">
        <w:t xml:space="preserve">the referral is assigned to an assessor who is either from the same community or has a strong understanding of the local customs and </w:t>
      </w:r>
      <w:r w:rsidR="00DF532C" w:rsidRPr="000F6CD1">
        <w:t xml:space="preserve">cultural </w:t>
      </w:r>
      <w:r w:rsidRPr="000F6CD1">
        <w:t>context. This alignment may enhance the delivery of culturally safe, trauma aware and healing informed assessments.</w:t>
      </w:r>
    </w:p>
    <w:p w14:paraId="4CA08897" w14:textId="43FE85AE" w:rsidR="00AB4071" w:rsidRPr="000F6CD1" w:rsidRDefault="00AB4071" w:rsidP="00A677C9">
      <w:pPr>
        <w:spacing w:before="240" w:after="240" w:line="240" w:lineRule="auto"/>
      </w:pPr>
      <w:r w:rsidRPr="000F6CD1">
        <w:t>In preparation for the assessment, the assessor/</w:t>
      </w:r>
      <w:r w:rsidR="00DF532C" w:rsidRPr="000F6CD1">
        <w:t>t</w:t>
      </w:r>
      <w:r w:rsidRPr="000F6CD1">
        <w:t xml:space="preserve">riage delegate should collect as much relevant information as possible prior to the assessment. This helps to inform the process and reduces the need for the older person having to re-tell their story. </w:t>
      </w:r>
    </w:p>
    <w:p w14:paraId="45A4EF48" w14:textId="77777777" w:rsidR="00AB4071" w:rsidRPr="000F6CD1" w:rsidRDefault="00AB4071" w:rsidP="00A677C9">
      <w:pPr>
        <w:spacing w:before="240" w:after="240" w:line="240" w:lineRule="auto"/>
      </w:pPr>
      <w:r w:rsidRPr="000F6CD1">
        <w:t>Where consent is obtained from the older person, this may include:</w:t>
      </w:r>
    </w:p>
    <w:p w14:paraId="637C829B" w14:textId="77777777" w:rsidR="00AB4071" w:rsidRPr="000F6CD1" w:rsidRDefault="00AB4071" w:rsidP="00DF3F6B">
      <w:pPr>
        <w:pStyle w:val="ListParagraph"/>
        <w:numPr>
          <w:ilvl w:val="0"/>
          <w:numId w:val="443"/>
        </w:numPr>
        <w:spacing w:before="240" w:after="240" w:line="240" w:lineRule="auto"/>
      </w:pPr>
      <w:r w:rsidRPr="000F6CD1">
        <w:t>information collected by the Elder Care Support workforce</w:t>
      </w:r>
    </w:p>
    <w:p w14:paraId="3AAB7244" w14:textId="77777777" w:rsidR="00AB4071" w:rsidRPr="000F6CD1" w:rsidRDefault="00AB4071" w:rsidP="00DF3F6B">
      <w:pPr>
        <w:pStyle w:val="ListParagraph"/>
        <w:numPr>
          <w:ilvl w:val="0"/>
          <w:numId w:val="443"/>
        </w:numPr>
        <w:spacing w:before="240" w:after="240" w:line="240" w:lineRule="auto"/>
      </w:pPr>
      <w:r w:rsidRPr="000F6CD1">
        <w:t xml:space="preserve">Information from GPs or the Aboriginal Torres Strait Islander health/medical services, including results from MBS 715 health check </w:t>
      </w:r>
    </w:p>
    <w:p w14:paraId="39737DF4" w14:textId="08B6CF60" w:rsidR="00AB4071" w:rsidRPr="000F6CD1" w:rsidRDefault="00AB4071" w:rsidP="00DF3F6B">
      <w:pPr>
        <w:pStyle w:val="ListParagraph"/>
        <w:numPr>
          <w:ilvl w:val="0"/>
          <w:numId w:val="443"/>
        </w:numPr>
        <w:spacing w:before="240" w:after="240" w:line="240" w:lineRule="auto"/>
      </w:pPr>
      <w:r w:rsidRPr="000F6CD1">
        <w:t>Information from other health professionals, where appropriate</w:t>
      </w:r>
    </w:p>
    <w:p w14:paraId="36985D8E" w14:textId="77777777" w:rsidR="007A743C" w:rsidRPr="000F6CD1" w:rsidRDefault="007A743C" w:rsidP="00A677C9">
      <w:pPr>
        <w:spacing w:before="240" w:after="240" w:line="240" w:lineRule="auto"/>
      </w:pPr>
      <w:r w:rsidRPr="000F6CD1">
        <w:rPr>
          <w:bCs/>
        </w:rPr>
        <w:t xml:space="preserve">Once triage is finalised and the assessment assigned to an assessor, the answers to triage questions cannot be </w:t>
      </w:r>
      <w:r w:rsidRPr="000F6CD1">
        <w:t>altered</w:t>
      </w:r>
      <w:r w:rsidRPr="000F6CD1">
        <w:rPr>
          <w:bCs/>
        </w:rPr>
        <w:t xml:space="preserve"> by an assessor. </w:t>
      </w:r>
      <w:r w:rsidRPr="000F6CD1">
        <w:t xml:space="preserve">Assessors and team leaders will be able to access historical triage information on an older person’s record, which includes details such as the dates of previous triage, the organisation and individual who conducted it, and the outcomes of the triage. </w:t>
      </w:r>
    </w:p>
    <w:p w14:paraId="07866D48" w14:textId="1E4224D9" w:rsidR="00F571D0" w:rsidRPr="000F6CD1" w:rsidRDefault="00F93A17" w:rsidP="00046342">
      <w:pPr>
        <w:spacing w:before="240" w:after="240" w:line="240" w:lineRule="auto"/>
      </w:pPr>
      <w:r w:rsidRPr="000F6CD1">
        <w:t>Where possible,</w:t>
      </w:r>
      <w:r w:rsidR="007737DB" w:rsidRPr="000F6CD1">
        <w:t xml:space="preserve"> Aboriginal and Torres Strait </w:t>
      </w:r>
      <w:r w:rsidR="00253C45" w:rsidRPr="000F6CD1">
        <w:t>Islander people</w:t>
      </w:r>
      <w:r w:rsidRPr="000F6CD1">
        <w:t xml:space="preserve"> should be matched with an asse</w:t>
      </w:r>
      <w:r w:rsidR="00F20B61" w:rsidRPr="000F6CD1">
        <w:t>s</w:t>
      </w:r>
      <w:r w:rsidR="00AA7BDC" w:rsidRPr="000F6CD1">
        <w:t>s</w:t>
      </w:r>
      <w:r w:rsidR="00F20B61" w:rsidRPr="000F6CD1">
        <w:t>or</w:t>
      </w:r>
      <w:r w:rsidR="00AA7BDC" w:rsidRPr="000F6CD1">
        <w:t xml:space="preserve"> who is </w:t>
      </w:r>
      <w:r w:rsidR="00F571D0" w:rsidRPr="000F6CD1">
        <w:t xml:space="preserve">appropriate as per the local customs, protocols, kinship obligations and preferences of the older person. This may include the support of family members or advocates where appropriate. </w:t>
      </w:r>
    </w:p>
    <w:tbl>
      <w:tblPr>
        <w:tblStyle w:val="TableGrid"/>
        <w:tblW w:w="9730" w:type="dxa"/>
        <w:tblLayout w:type="fixed"/>
        <w:tblLook w:val="04A0" w:firstRow="1" w:lastRow="0" w:firstColumn="1" w:lastColumn="0" w:noHBand="0" w:noVBand="1"/>
      </w:tblPr>
      <w:tblGrid>
        <w:gridCol w:w="988"/>
        <w:gridCol w:w="8742"/>
      </w:tblGrid>
      <w:tr w:rsidR="007A743C" w:rsidRPr="000F6CD1" w14:paraId="46784F29" w14:textId="77777777">
        <w:trPr>
          <w:trHeight w:val="300"/>
        </w:trPr>
        <w:tc>
          <w:tcPr>
            <w:tcW w:w="988" w:type="dxa"/>
          </w:tcPr>
          <w:p w14:paraId="42FB5D0E" w14:textId="77777777" w:rsidR="007A743C" w:rsidRPr="000F6CD1" w:rsidRDefault="007A743C" w:rsidP="00A677C9">
            <w:pPr>
              <w:spacing w:before="240" w:after="240"/>
              <w:rPr>
                <w:b/>
                <w:szCs w:val="22"/>
              </w:rPr>
            </w:pPr>
            <w:r w:rsidRPr="000F6CD1">
              <w:rPr>
                <w:noProof/>
              </w:rPr>
              <w:drawing>
                <wp:inline distT="0" distB="0" distL="0" distR="0" wp14:anchorId="15900FBE" wp14:editId="5BAE81CA">
                  <wp:extent cx="383111" cy="381000"/>
                  <wp:effectExtent l="0" t="0" r="0" b="0"/>
                  <wp:docPr id="1020946753" name="Picture 102094675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46753" name="Picture 1020946753"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742" w:type="dxa"/>
          </w:tcPr>
          <w:p w14:paraId="402DCC2F" w14:textId="6191D61A" w:rsidR="007A743C" w:rsidRPr="000F6CD1" w:rsidRDefault="007A743C" w:rsidP="00A677C9">
            <w:pPr>
              <w:spacing w:before="240" w:after="240"/>
              <w:rPr>
                <w:b/>
                <w:szCs w:val="22"/>
              </w:rPr>
            </w:pPr>
            <w:r w:rsidRPr="000F6CD1">
              <w:rPr>
                <w:b/>
                <w:szCs w:val="22"/>
              </w:rPr>
              <w:t xml:space="preserve">Department of Health, Disability and </w:t>
            </w:r>
            <w:r w:rsidR="006E3E50" w:rsidRPr="000F6CD1">
              <w:rPr>
                <w:b/>
                <w:szCs w:val="22"/>
              </w:rPr>
              <w:t>Ageing</w:t>
            </w:r>
            <w:r w:rsidRPr="000F6CD1">
              <w:rPr>
                <w:b/>
                <w:szCs w:val="22"/>
              </w:rPr>
              <w:t xml:space="preserve"> website:</w:t>
            </w:r>
          </w:p>
          <w:p w14:paraId="37FF08B5" w14:textId="77777777" w:rsidR="007A743C" w:rsidRPr="000F6CD1" w:rsidRDefault="007A743C" w:rsidP="00A677C9">
            <w:pPr>
              <w:spacing w:before="240" w:after="240"/>
              <w:rPr>
                <w:szCs w:val="22"/>
              </w:rPr>
            </w:pPr>
            <w:hyperlink r:id="rId143" w:history="1">
              <w:r w:rsidRPr="000F6CD1">
                <w:rPr>
                  <w:rStyle w:val="Hyperlink"/>
                  <w:szCs w:val="22"/>
                </w:rPr>
                <w:t>Deaf Connect</w:t>
              </w:r>
            </w:hyperlink>
            <w:r w:rsidRPr="000F6CD1">
              <w:rPr>
                <w:szCs w:val="22"/>
              </w:rPr>
              <w:t xml:space="preserve"> (free face-to-face sign-language and Remote Video Interpreting Service)</w:t>
            </w:r>
          </w:p>
          <w:p w14:paraId="4DFDD53B" w14:textId="77777777" w:rsidR="007A743C" w:rsidRPr="000F6CD1" w:rsidRDefault="007A743C" w:rsidP="00A677C9">
            <w:pPr>
              <w:spacing w:before="240" w:after="240"/>
              <w:rPr>
                <w:szCs w:val="22"/>
              </w:rPr>
            </w:pPr>
            <w:hyperlink r:id="rId144" w:history="1">
              <w:r w:rsidRPr="000F6CD1">
                <w:rPr>
                  <w:rStyle w:val="Hyperlink"/>
                  <w:szCs w:val="22"/>
                </w:rPr>
                <w:t>Fact sheet for Assessors on care finders</w:t>
              </w:r>
            </w:hyperlink>
          </w:p>
          <w:p w14:paraId="1DEA0B3B" w14:textId="77777777" w:rsidR="007A743C" w:rsidRPr="000F6CD1" w:rsidRDefault="007A743C" w:rsidP="00A677C9">
            <w:pPr>
              <w:spacing w:before="240" w:after="240"/>
              <w:rPr>
                <w:rStyle w:val="Hyperlink"/>
              </w:rPr>
            </w:pPr>
            <w:r w:rsidRPr="000F6CD1">
              <w:rPr>
                <w:b/>
                <w:szCs w:val="22"/>
              </w:rPr>
              <w:t>My Aged Care website</w:t>
            </w:r>
            <w:r w:rsidRPr="000F6CD1">
              <w:rPr>
                <w:szCs w:val="22"/>
              </w:rPr>
              <w:t xml:space="preserve">: </w:t>
            </w:r>
            <w:hyperlink r:id="rId145">
              <w:r w:rsidRPr="000F6CD1">
                <w:rPr>
                  <w:rStyle w:val="Hyperlink"/>
                  <w:szCs w:val="22"/>
                </w:rPr>
                <w:t>Support for Hearing and Vision Impairment</w:t>
              </w:r>
            </w:hyperlink>
            <w:r w:rsidRPr="000F6CD1">
              <w:rPr>
                <w:rStyle w:val="Hyperlink"/>
                <w:szCs w:val="22"/>
              </w:rPr>
              <w:t>;</w:t>
            </w:r>
            <w:r w:rsidRPr="000F6CD1">
              <w:rPr>
                <w:rStyle w:val="Hyperlink"/>
              </w:rPr>
              <w:t xml:space="preserve"> </w:t>
            </w:r>
          </w:p>
          <w:p w14:paraId="36BDA542" w14:textId="77777777" w:rsidR="007A743C" w:rsidRPr="000F6CD1" w:rsidRDefault="007A743C" w:rsidP="00A677C9">
            <w:pPr>
              <w:spacing w:before="240" w:after="240"/>
              <w:rPr>
                <w:rStyle w:val="Hyperlink"/>
                <w:szCs w:val="22"/>
              </w:rPr>
            </w:pPr>
            <w:hyperlink r:id="rId146" w:history="1">
              <w:r w:rsidRPr="000F6CD1">
                <w:rPr>
                  <w:rStyle w:val="Hyperlink"/>
                  <w:szCs w:val="22"/>
                </w:rPr>
                <w:t>Help from a care finder</w:t>
              </w:r>
            </w:hyperlink>
          </w:p>
          <w:p w14:paraId="6BB2D3E8" w14:textId="69F5DC84" w:rsidR="007A743C" w:rsidRPr="000F6CD1" w:rsidRDefault="007A743C" w:rsidP="00A677C9">
            <w:pPr>
              <w:spacing w:before="240" w:after="240"/>
            </w:pPr>
          </w:p>
        </w:tc>
      </w:tr>
    </w:tbl>
    <w:p w14:paraId="1081B6AF" w14:textId="7428B297" w:rsidR="007A743C" w:rsidRPr="000F6CD1" w:rsidRDefault="007A743C" w:rsidP="006647CE">
      <w:pPr>
        <w:pStyle w:val="h2"/>
      </w:pPr>
      <w:bookmarkStart w:id="371" w:name="_Toc209188982"/>
      <w:bookmarkStart w:id="372" w:name="_Toc233282443"/>
      <w:r w:rsidRPr="000F6CD1">
        <w:lastRenderedPageBreak/>
        <w:t>Revo</w:t>
      </w:r>
      <w:r w:rsidR="00385041" w:rsidRPr="000F6CD1">
        <w:t>king</w:t>
      </w:r>
      <w:r w:rsidRPr="000F6CD1">
        <w:t xml:space="preserve"> eligibility during an assessment</w:t>
      </w:r>
      <w:bookmarkEnd w:id="371"/>
      <w:bookmarkEnd w:id="372"/>
      <w:r w:rsidRPr="000F6CD1">
        <w:t xml:space="preserve"> </w:t>
      </w:r>
    </w:p>
    <w:p w14:paraId="414C3244" w14:textId="77777777" w:rsidR="007A743C" w:rsidRPr="000F6CD1" w:rsidRDefault="007A743C" w:rsidP="00A677C9">
      <w:pPr>
        <w:spacing w:before="240" w:after="240" w:line="240" w:lineRule="auto"/>
      </w:pPr>
      <w:r w:rsidRPr="000F6CD1">
        <w:t xml:space="preserve">An individual's eligibility to undergo an assessment is determined by a triage delegate based on the information available to them when triage is conducted. The Act provides specific circumstances where an eligibility decision may be revoked on the initiative of the System Governor, including during the application process the individual gave information or documents which were false or misleading, omitted any matter or things that without would make the document false or misleading. This may include situations where key facts presented were inaccurate or misleading, resulting in the eligibility decision being granted erroneously. In such cases, it is the departmental delegate’s responsibility to assess the evidence, and if warranted, initiate the revocation process to maintain the integrity of the aged care system. </w:t>
      </w:r>
    </w:p>
    <w:p w14:paraId="233141A8" w14:textId="040897B6" w:rsidR="007A743C" w:rsidRPr="000F6CD1" w:rsidRDefault="007A743C" w:rsidP="00A677C9">
      <w:pPr>
        <w:spacing w:before="240" w:after="240" w:line="240" w:lineRule="auto"/>
      </w:pPr>
      <w:r w:rsidRPr="000F6CD1">
        <w:t xml:space="preserve">If an assessor or </w:t>
      </w:r>
      <w:r w:rsidR="00DE7287" w:rsidRPr="000F6CD1">
        <w:t>assessment</w:t>
      </w:r>
      <w:r w:rsidRPr="000F6CD1" w:rsidDel="00DE7287">
        <w:t xml:space="preserve"> </w:t>
      </w:r>
      <w:r w:rsidR="00DE7287" w:rsidRPr="000F6CD1">
        <w:t xml:space="preserve">delegate </w:t>
      </w:r>
      <w:r w:rsidRPr="000F6CD1">
        <w:t xml:space="preserve">has concerns about the information or documents provided by an older person and/or their registered supporter(s) or appointed decision makers, they should contact </w:t>
      </w:r>
      <w:r w:rsidR="006242FB" w:rsidRPr="000F6CD1">
        <w:t xml:space="preserve">their </w:t>
      </w:r>
      <w:r w:rsidR="00FB4182" w:rsidRPr="000F6CD1">
        <w:t xml:space="preserve">assessment </w:t>
      </w:r>
      <w:r w:rsidR="00285AD5" w:rsidRPr="000F6CD1">
        <w:t xml:space="preserve">organisation’s </w:t>
      </w:r>
      <w:r w:rsidR="00FB4182" w:rsidRPr="000F6CD1">
        <w:t>operational manager</w:t>
      </w:r>
      <w:r w:rsidR="00285AD5" w:rsidRPr="000F6CD1">
        <w:t>, who will make contact with the relevant area of the Department to resolve</w:t>
      </w:r>
      <w:r w:rsidR="001575EC" w:rsidRPr="000F6CD1">
        <w:t>.</w:t>
      </w:r>
    </w:p>
    <w:p w14:paraId="33B09389" w14:textId="4257E762" w:rsidR="007A743C" w:rsidRPr="000F6CD1" w:rsidRDefault="007A743C" w:rsidP="00A677C9">
      <w:pPr>
        <w:spacing w:before="240" w:after="240" w:line="240" w:lineRule="auto"/>
      </w:pPr>
      <w:r w:rsidRPr="000F6CD1">
        <w:t xml:space="preserve">For further information on revocations on the initiative of the System Governor and individual, please refer to </w:t>
      </w:r>
      <w:r w:rsidR="00FF504F">
        <w:fldChar w:fldCharType="begin"/>
      </w:r>
      <w:r w:rsidR="00FF504F">
        <w:instrText xml:space="preserve"> REF _Ref232600192 \h </w:instrText>
      </w:r>
      <w:r w:rsidR="00FF504F">
        <w:fldChar w:fldCharType="separate"/>
      </w:r>
      <w:r w:rsidR="004B171E" w:rsidRPr="000F6CD1">
        <w:t>Chapter 11: Reviewable decisions, revoking eligibility or approval decisions and complaints</w:t>
      </w:r>
      <w:r w:rsidR="00FF504F">
        <w:fldChar w:fldCharType="end"/>
      </w:r>
      <w:r w:rsidRPr="000F6CD1">
        <w:t>.</w:t>
      </w:r>
    </w:p>
    <w:p w14:paraId="1818CFE1" w14:textId="20AAA668" w:rsidR="007A743C" w:rsidRPr="000F6CD1" w:rsidRDefault="007A743C" w:rsidP="006647CE">
      <w:pPr>
        <w:pStyle w:val="h2"/>
      </w:pPr>
      <w:bookmarkStart w:id="373" w:name="_Toc159226877"/>
      <w:bookmarkStart w:id="374" w:name="_Toc184402292"/>
      <w:bookmarkStart w:id="375" w:name="_Toc204329548"/>
      <w:bookmarkStart w:id="376" w:name="_Toc209188983"/>
      <w:bookmarkStart w:id="377" w:name="_Toc233282444"/>
      <w:bookmarkStart w:id="378" w:name="_Toc198813677"/>
      <w:r w:rsidRPr="000F6CD1">
        <w:t xml:space="preserve">Assessment </w:t>
      </w:r>
      <w:r w:rsidR="006D2D28" w:rsidRPr="000F6CD1">
        <w:t>s</w:t>
      </w:r>
      <w:r w:rsidRPr="000F6CD1">
        <w:t>ettings</w:t>
      </w:r>
      <w:bookmarkEnd w:id="373"/>
      <w:bookmarkEnd w:id="374"/>
      <w:bookmarkEnd w:id="375"/>
      <w:bookmarkEnd w:id="376"/>
      <w:bookmarkEnd w:id="377"/>
    </w:p>
    <w:p w14:paraId="0AEBADCD" w14:textId="77777777" w:rsidR="007A743C" w:rsidRPr="000F6CD1" w:rsidRDefault="007A743C" w:rsidP="00AD2CE5">
      <w:pPr>
        <w:pStyle w:val="H3"/>
      </w:pPr>
      <w:r w:rsidRPr="000F6CD1">
        <w:t>Usual accommodation setting</w:t>
      </w:r>
    </w:p>
    <w:p w14:paraId="0E775AC2" w14:textId="647C9C11" w:rsidR="007A743C" w:rsidRPr="000F6CD1" w:rsidRDefault="00A07966" w:rsidP="00A677C9">
      <w:pPr>
        <w:spacing w:before="240" w:after="240" w:line="240" w:lineRule="auto"/>
        <w:rPr>
          <w:lang w:eastAsia="ko-KR"/>
        </w:rPr>
      </w:pPr>
      <w:r w:rsidRPr="000F6CD1">
        <w:rPr>
          <w:lang w:eastAsia="ko-KR"/>
        </w:rPr>
        <w:t>An</w:t>
      </w:r>
      <w:r w:rsidR="007A743C" w:rsidRPr="000F6CD1">
        <w:rPr>
          <w:lang w:eastAsia="ko-KR"/>
        </w:rPr>
        <w:t xml:space="preserve"> initial assessment should be face-to-face in the older person’s usual accommodation setting. This will assist with the environmental, physical, and social components of the assessment by observing the older person’s level of independence, functioning, and existing support arrangements in familiar surroundings. Due to the nature of transition care services, some assessments will occur in the hospital setting.</w:t>
      </w:r>
    </w:p>
    <w:p w14:paraId="5AFD543B" w14:textId="71994F69" w:rsidR="008E2851" w:rsidRPr="000F6CD1" w:rsidRDefault="008E2851" w:rsidP="00A677C9">
      <w:pPr>
        <w:spacing w:before="240" w:after="240" w:line="240" w:lineRule="auto"/>
      </w:pPr>
      <w:r w:rsidRPr="000F6CD1">
        <w:t xml:space="preserve">However, if this is not possible, assessments </w:t>
      </w:r>
      <w:r w:rsidR="00465039" w:rsidRPr="000F6CD1">
        <w:t xml:space="preserve">for Aboriginal and Torres Strait Islander people </w:t>
      </w:r>
      <w:r w:rsidRPr="000F6CD1">
        <w:t xml:space="preserve">should be undertaken at a setting that makes the older person feel safe, at ease and comfortable. </w:t>
      </w:r>
    </w:p>
    <w:p w14:paraId="4EA8B108" w14:textId="454F409B" w:rsidR="00AA7600" w:rsidRPr="000F6CD1" w:rsidRDefault="00AA7600" w:rsidP="006045D5">
      <w:pPr>
        <w:pStyle w:val="H4"/>
      </w:pPr>
      <w:r w:rsidRPr="000F6CD1">
        <w:t>Assessing an older person who is not in their usual accommodation setting</w:t>
      </w:r>
    </w:p>
    <w:p w14:paraId="061171B0" w14:textId="6B7E65E1" w:rsidR="001851B9" w:rsidRPr="000F6CD1" w:rsidRDefault="00262584" w:rsidP="00A677C9">
      <w:pPr>
        <w:spacing w:before="240" w:after="240" w:line="240" w:lineRule="auto"/>
        <w:rPr>
          <w:lang w:eastAsia="ko-KR"/>
        </w:rPr>
      </w:pPr>
      <w:r w:rsidRPr="000F6CD1">
        <w:rPr>
          <w:lang w:eastAsia="ko-KR"/>
        </w:rPr>
        <w:t xml:space="preserve">When assessing an older person </w:t>
      </w:r>
      <w:r w:rsidR="00B953F2" w:rsidRPr="000F6CD1">
        <w:rPr>
          <w:lang w:eastAsia="ko-KR"/>
        </w:rPr>
        <w:t xml:space="preserve">who </w:t>
      </w:r>
      <w:r w:rsidR="00BC1BC6" w:rsidRPr="000F6CD1">
        <w:rPr>
          <w:lang w:eastAsia="ko-KR"/>
        </w:rPr>
        <w:t xml:space="preserve">is residing </w:t>
      </w:r>
      <w:r w:rsidRPr="000F6CD1">
        <w:rPr>
          <w:lang w:eastAsia="ko-KR"/>
        </w:rPr>
        <w:t xml:space="preserve">in a residential aged care </w:t>
      </w:r>
      <w:r w:rsidR="00D715D1" w:rsidRPr="000F6CD1">
        <w:rPr>
          <w:lang w:eastAsia="ko-KR"/>
        </w:rPr>
        <w:t>or hospital</w:t>
      </w:r>
      <w:r w:rsidRPr="000F6CD1">
        <w:rPr>
          <w:lang w:eastAsia="ko-KR"/>
        </w:rPr>
        <w:t xml:space="preserve"> setting</w:t>
      </w:r>
      <w:r w:rsidR="00C818CD" w:rsidRPr="000F6CD1">
        <w:rPr>
          <w:lang w:eastAsia="ko-KR"/>
        </w:rPr>
        <w:t xml:space="preserve"> </w:t>
      </w:r>
      <w:r w:rsidR="00B953F2" w:rsidRPr="000F6CD1">
        <w:rPr>
          <w:lang w:eastAsia="ko-KR"/>
        </w:rPr>
        <w:t xml:space="preserve">for services to </w:t>
      </w:r>
      <w:r w:rsidR="00EF4F05" w:rsidRPr="000F6CD1">
        <w:rPr>
          <w:lang w:eastAsia="ko-KR"/>
        </w:rPr>
        <w:t>support their transition to residing</w:t>
      </w:r>
      <w:r w:rsidR="00B953F2" w:rsidRPr="000F6CD1">
        <w:rPr>
          <w:lang w:eastAsia="ko-KR"/>
        </w:rPr>
        <w:t xml:space="preserve"> </w:t>
      </w:r>
      <w:r w:rsidR="00BC1BC6" w:rsidRPr="000F6CD1">
        <w:rPr>
          <w:lang w:eastAsia="ko-KR"/>
        </w:rPr>
        <w:t>in</w:t>
      </w:r>
      <w:r w:rsidR="00C9195A" w:rsidRPr="000F6CD1">
        <w:rPr>
          <w:lang w:eastAsia="ko-KR"/>
        </w:rPr>
        <w:t xml:space="preserve"> the </w:t>
      </w:r>
      <w:r w:rsidR="00BC1BC6" w:rsidRPr="000F6CD1">
        <w:rPr>
          <w:lang w:eastAsia="ko-KR"/>
        </w:rPr>
        <w:t>community</w:t>
      </w:r>
      <w:r w:rsidR="00C9195A" w:rsidRPr="000F6CD1">
        <w:rPr>
          <w:lang w:eastAsia="ko-KR"/>
        </w:rPr>
        <w:t xml:space="preserve">, the assessor can still complete a ‘true’ assessment based on their best efforts to understand and assess against the person’s functional needs in </w:t>
      </w:r>
      <w:r w:rsidR="000E7950" w:rsidRPr="000F6CD1">
        <w:rPr>
          <w:lang w:eastAsia="ko-KR"/>
        </w:rPr>
        <w:t>the community</w:t>
      </w:r>
      <w:r w:rsidR="00C9195A" w:rsidRPr="000F6CD1">
        <w:rPr>
          <w:lang w:eastAsia="ko-KR"/>
        </w:rPr>
        <w:t xml:space="preserve"> setting </w:t>
      </w:r>
      <w:r w:rsidR="000E7950" w:rsidRPr="000F6CD1">
        <w:rPr>
          <w:lang w:eastAsia="ko-KR"/>
        </w:rPr>
        <w:t xml:space="preserve">they intend to reside in </w:t>
      </w:r>
      <w:r w:rsidR="00C9195A" w:rsidRPr="000F6CD1">
        <w:rPr>
          <w:lang w:eastAsia="ko-KR"/>
        </w:rPr>
        <w:t xml:space="preserve">not the setting where the assessment is being carried out. </w:t>
      </w:r>
      <w:r w:rsidR="00AA7600" w:rsidRPr="000F6CD1">
        <w:rPr>
          <w:lang w:eastAsia="ko-KR"/>
        </w:rPr>
        <w:t xml:space="preserve">in these </w:t>
      </w:r>
      <w:r w:rsidR="00AA7600" w:rsidRPr="000F6CD1">
        <w:rPr>
          <w:lang w:eastAsia="ko-KR"/>
        </w:rPr>
        <w:lastRenderedPageBreak/>
        <w:t>circumstances</w:t>
      </w:r>
      <w:r w:rsidR="00C9195A" w:rsidRPr="000F6CD1">
        <w:rPr>
          <w:lang w:eastAsia="ko-KR"/>
        </w:rPr>
        <w:t xml:space="preserve">, it may be necessary for assessors to seek information about the older person’s home environment from the older person’s care and support team to make an as accurate assessment as possible of their functional needs. </w:t>
      </w:r>
    </w:p>
    <w:p w14:paraId="13E16A52" w14:textId="08BAB9CC" w:rsidR="007A743C" w:rsidRPr="000F6CD1" w:rsidRDefault="007A743C" w:rsidP="00AD2CE5">
      <w:pPr>
        <w:pStyle w:val="H3"/>
        <w:rPr>
          <w:color w:val="1E1444"/>
        </w:rPr>
      </w:pPr>
      <w:r w:rsidRPr="000F6CD1">
        <w:t>Telehealth</w:t>
      </w:r>
    </w:p>
    <w:p w14:paraId="3AF26B9D" w14:textId="1B02C83A" w:rsidR="005F7F97" w:rsidRPr="000F6CD1" w:rsidRDefault="00BB398D" w:rsidP="00A677C9">
      <w:pPr>
        <w:spacing w:before="240" w:after="240" w:line="240" w:lineRule="auto"/>
        <w:rPr>
          <w:lang w:eastAsia="ko-KR"/>
        </w:rPr>
      </w:pPr>
      <w:r w:rsidRPr="000F6CD1">
        <w:rPr>
          <w:lang w:eastAsia="ko-KR"/>
        </w:rPr>
        <w:t>It is best practice for assessments to be conducted face-to-face</w:t>
      </w:r>
      <w:r w:rsidR="00166D4B" w:rsidRPr="000F6CD1">
        <w:rPr>
          <w:lang w:eastAsia="ko-KR"/>
        </w:rPr>
        <w:t>. A</w:t>
      </w:r>
      <w:r w:rsidR="00EA10AA" w:rsidRPr="000F6CD1">
        <w:rPr>
          <w:lang w:eastAsia="ko-KR"/>
        </w:rPr>
        <w:t xml:space="preserve">ssessment organisations are strongly </w:t>
      </w:r>
      <w:r w:rsidR="00CD611D" w:rsidRPr="000F6CD1">
        <w:rPr>
          <w:lang w:eastAsia="ko-KR"/>
        </w:rPr>
        <w:t>encouraged to ensure assessments are face-to-face wherever possible.</w:t>
      </w:r>
      <w:r w:rsidRPr="000F6CD1">
        <w:rPr>
          <w:lang w:eastAsia="ko-KR"/>
        </w:rPr>
        <w:t xml:space="preserve"> </w:t>
      </w:r>
      <w:r w:rsidR="007A743C" w:rsidRPr="000F6CD1">
        <w:rPr>
          <w:lang w:eastAsia="ko-KR"/>
        </w:rPr>
        <w:t xml:space="preserve">Where face-to-face contact between the assessor and older person is not possible (e.g., when assessing an older person in a remote area or the older person is inaccessible due to exceptional circumstances such as a seasonal weather event), a telehealth assessment may be undertaken. </w:t>
      </w:r>
      <w:r w:rsidR="001D2096" w:rsidRPr="000F6CD1">
        <w:rPr>
          <w:lang w:eastAsia="ko-KR"/>
        </w:rPr>
        <w:t xml:space="preserve">Where a telehealth assessment is </w:t>
      </w:r>
      <w:r w:rsidR="00AF7D7D" w:rsidRPr="000F6CD1">
        <w:rPr>
          <w:lang w:eastAsia="ko-KR"/>
        </w:rPr>
        <w:t>proposed</w:t>
      </w:r>
      <w:r w:rsidR="00E04504" w:rsidRPr="000F6CD1">
        <w:rPr>
          <w:lang w:eastAsia="ko-KR"/>
        </w:rPr>
        <w:t xml:space="preserve"> by the assessor</w:t>
      </w:r>
      <w:r w:rsidR="00055085" w:rsidRPr="000F6CD1">
        <w:rPr>
          <w:lang w:eastAsia="ko-KR"/>
        </w:rPr>
        <w:t>, it is important that the</w:t>
      </w:r>
      <w:r w:rsidR="00E04504" w:rsidRPr="000F6CD1">
        <w:rPr>
          <w:lang w:eastAsia="ko-KR"/>
        </w:rPr>
        <w:t xml:space="preserve">y </w:t>
      </w:r>
      <w:r w:rsidR="00055085" w:rsidRPr="000F6CD1">
        <w:rPr>
          <w:lang w:eastAsia="ko-KR"/>
        </w:rPr>
        <w:t>explain</w:t>
      </w:r>
      <w:r w:rsidR="00A12530" w:rsidRPr="000F6CD1">
        <w:rPr>
          <w:lang w:eastAsia="ko-KR"/>
        </w:rPr>
        <w:t xml:space="preserve"> to the client</w:t>
      </w:r>
      <w:r w:rsidR="00055085" w:rsidRPr="000F6CD1">
        <w:rPr>
          <w:lang w:eastAsia="ko-KR"/>
        </w:rPr>
        <w:t xml:space="preserve"> </w:t>
      </w:r>
      <w:r w:rsidR="009329B8" w:rsidRPr="000F6CD1">
        <w:rPr>
          <w:lang w:eastAsia="ko-KR"/>
        </w:rPr>
        <w:t xml:space="preserve">the rationale </w:t>
      </w:r>
      <w:r w:rsidR="00E04504" w:rsidRPr="000F6CD1">
        <w:rPr>
          <w:lang w:eastAsia="ko-KR"/>
        </w:rPr>
        <w:t xml:space="preserve">of </w:t>
      </w:r>
      <w:r w:rsidR="0040351A" w:rsidRPr="000F6CD1">
        <w:rPr>
          <w:lang w:eastAsia="ko-KR"/>
        </w:rPr>
        <w:t xml:space="preserve">using that assessment setting </w:t>
      </w:r>
      <w:r w:rsidR="004E35FA" w:rsidRPr="000F6CD1">
        <w:rPr>
          <w:lang w:eastAsia="ko-KR"/>
        </w:rPr>
        <w:t xml:space="preserve">and </w:t>
      </w:r>
      <w:r w:rsidR="00413EE2" w:rsidRPr="000F6CD1">
        <w:rPr>
          <w:lang w:eastAsia="ko-KR"/>
        </w:rPr>
        <w:t>any implications</w:t>
      </w:r>
      <w:r w:rsidR="00A12530" w:rsidRPr="000F6CD1">
        <w:rPr>
          <w:lang w:eastAsia="ko-KR"/>
        </w:rPr>
        <w:t xml:space="preserve"> this may have </w:t>
      </w:r>
      <w:r w:rsidR="00413EE2" w:rsidRPr="000F6CD1">
        <w:rPr>
          <w:lang w:eastAsia="ko-KR"/>
        </w:rPr>
        <w:t>such as timing</w:t>
      </w:r>
      <w:r w:rsidR="00A12530" w:rsidRPr="000F6CD1">
        <w:rPr>
          <w:lang w:eastAsia="ko-KR"/>
        </w:rPr>
        <w:t>,</w:t>
      </w:r>
      <w:r w:rsidR="00A50F4F" w:rsidRPr="000F6CD1">
        <w:rPr>
          <w:lang w:eastAsia="ko-KR"/>
        </w:rPr>
        <w:t xml:space="preserve"> </w:t>
      </w:r>
      <w:r w:rsidR="00C9336B" w:rsidRPr="000F6CD1">
        <w:rPr>
          <w:lang w:eastAsia="ko-KR"/>
        </w:rPr>
        <w:t xml:space="preserve">the </w:t>
      </w:r>
      <w:r w:rsidR="001A2964">
        <w:rPr>
          <w:lang w:eastAsia="ko-KR"/>
        </w:rPr>
        <w:t xml:space="preserve">potential </w:t>
      </w:r>
      <w:r w:rsidR="00C9336B" w:rsidRPr="000F6CD1">
        <w:rPr>
          <w:lang w:eastAsia="ko-KR"/>
        </w:rPr>
        <w:t>need f</w:t>
      </w:r>
      <w:r w:rsidR="001A2964">
        <w:rPr>
          <w:lang w:eastAsia="ko-KR"/>
        </w:rPr>
        <w:t>or</w:t>
      </w:r>
      <w:r w:rsidR="00C9336B" w:rsidRPr="000F6CD1">
        <w:rPr>
          <w:lang w:eastAsia="ko-KR"/>
        </w:rPr>
        <w:t xml:space="preserve"> </w:t>
      </w:r>
      <w:r w:rsidR="00010E74" w:rsidRPr="000F6CD1">
        <w:rPr>
          <w:lang w:eastAsia="ko-KR"/>
        </w:rPr>
        <w:t xml:space="preserve">other people </w:t>
      </w:r>
      <w:r w:rsidR="003B1954">
        <w:rPr>
          <w:lang w:eastAsia="ko-KR"/>
        </w:rPr>
        <w:t>to</w:t>
      </w:r>
      <w:r w:rsidR="00010E74" w:rsidRPr="000F6CD1">
        <w:rPr>
          <w:lang w:eastAsia="ko-KR"/>
        </w:rPr>
        <w:t xml:space="preserve"> be involved before, during and/or after the assessment</w:t>
      </w:r>
      <w:r w:rsidR="00B32256" w:rsidRPr="000F6CD1">
        <w:rPr>
          <w:lang w:eastAsia="ko-KR"/>
        </w:rPr>
        <w:t xml:space="preserve"> and</w:t>
      </w:r>
      <w:r w:rsidR="00C9336B" w:rsidRPr="000F6CD1">
        <w:rPr>
          <w:lang w:eastAsia="ko-KR"/>
        </w:rPr>
        <w:t xml:space="preserve"> logistical considerations such as </w:t>
      </w:r>
      <w:r w:rsidR="005F7F97" w:rsidRPr="000F6CD1">
        <w:rPr>
          <w:lang w:eastAsia="ko-KR"/>
        </w:rPr>
        <w:t>organising</w:t>
      </w:r>
      <w:r w:rsidR="00C9336B" w:rsidRPr="000F6CD1">
        <w:rPr>
          <w:lang w:eastAsia="ko-KR"/>
        </w:rPr>
        <w:t xml:space="preserve"> video call capabilities.</w:t>
      </w:r>
      <w:r w:rsidR="00010E74" w:rsidRPr="000F6CD1">
        <w:rPr>
          <w:lang w:eastAsia="ko-KR"/>
        </w:rPr>
        <w:t xml:space="preserve"> </w:t>
      </w:r>
    </w:p>
    <w:p w14:paraId="49B874D9" w14:textId="74150717" w:rsidR="007A743C" w:rsidRPr="000F6CD1" w:rsidRDefault="007A743C" w:rsidP="00A677C9">
      <w:pPr>
        <w:spacing w:before="240" w:after="240" w:line="240" w:lineRule="auto"/>
        <w:rPr>
          <w:lang w:eastAsia="ko-KR"/>
        </w:rPr>
      </w:pPr>
      <w:r w:rsidRPr="000F6CD1">
        <w:rPr>
          <w:lang w:eastAsia="ko-KR"/>
        </w:rPr>
        <w:t>The assessor must make additional efforts to ensure the quality of assessment is not compromised when conducting a telehealth assessment and that assessment decisions remain evidence based.</w:t>
      </w:r>
    </w:p>
    <w:p w14:paraId="073E623C" w14:textId="77777777" w:rsidR="00BF0A44" w:rsidRPr="000F6CD1" w:rsidRDefault="007A743C" w:rsidP="00A677C9">
      <w:pPr>
        <w:spacing w:before="240" w:after="240" w:line="240" w:lineRule="auto"/>
        <w:rPr>
          <w:lang w:eastAsia="ko-KR"/>
        </w:rPr>
      </w:pPr>
      <w:r w:rsidRPr="000F6CD1">
        <w:rPr>
          <w:lang w:eastAsia="ko-KR"/>
        </w:rPr>
        <w:t>Another suitably qualified person (such as a local health worker) and/or the older person’s agent</w:t>
      </w:r>
      <w:r w:rsidR="006947D3" w:rsidRPr="000F6CD1">
        <w:rPr>
          <w:lang w:eastAsia="ko-KR"/>
        </w:rPr>
        <w:t xml:space="preserve">, </w:t>
      </w:r>
      <w:r w:rsidRPr="000F6CD1">
        <w:rPr>
          <w:lang w:eastAsia="ko-KR"/>
        </w:rPr>
        <w:t xml:space="preserve">registered supporter </w:t>
      </w:r>
      <w:r w:rsidR="006947D3" w:rsidRPr="000F6CD1">
        <w:rPr>
          <w:lang w:eastAsia="ko-KR"/>
        </w:rPr>
        <w:t xml:space="preserve">or appointed decision maker </w:t>
      </w:r>
      <w:r w:rsidRPr="000F6CD1">
        <w:rPr>
          <w:lang w:eastAsia="ko-KR"/>
        </w:rPr>
        <w:t xml:space="preserve">may attend the assessment with the older person to assist the assessment process. </w:t>
      </w:r>
    </w:p>
    <w:p w14:paraId="4467975A" w14:textId="0E77066E" w:rsidR="007A743C" w:rsidRPr="000F6CD1" w:rsidDel="00004CFE" w:rsidRDefault="00356BF2" w:rsidP="00A677C9">
      <w:pPr>
        <w:spacing w:before="240" w:after="240" w:line="240" w:lineRule="auto"/>
      </w:pPr>
      <w:r w:rsidRPr="000F6CD1">
        <w:t>If a local health worker or provider is involved, and with consent from the older person, the assessor may, work with these individuals prior to an assessment to attain relevant information that can help inform the assessment process.</w:t>
      </w:r>
    </w:p>
    <w:p w14:paraId="0D31B943" w14:textId="2D6FB827" w:rsidR="002B440B" w:rsidRPr="000F6CD1" w:rsidRDefault="002B440B" w:rsidP="002B440B">
      <w:pPr>
        <w:spacing w:before="240" w:after="240" w:line="240" w:lineRule="auto"/>
      </w:pPr>
      <w:r w:rsidRPr="000F6CD1">
        <w:t xml:space="preserve">In cases where an aged care assessment or </w:t>
      </w:r>
      <w:r w:rsidR="7C20BD06" w:rsidRPr="000F6CD1">
        <w:t>s</w:t>
      </w:r>
      <w:r w:rsidRPr="000F6CD1">
        <w:t xml:space="preserve">upport </w:t>
      </w:r>
      <w:r w:rsidR="2F9558E7" w:rsidRPr="000F6CD1">
        <w:t>p</w:t>
      </w:r>
      <w:r w:rsidRPr="000F6CD1">
        <w:t xml:space="preserve">lan </w:t>
      </w:r>
      <w:r w:rsidR="176E0343" w:rsidRPr="000F6CD1">
        <w:t>r</w:t>
      </w:r>
      <w:r w:rsidRPr="000F6CD1">
        <w:t>eview (SPR) will be undertaken via telehealth to assess eligibility for the End-of-Life Pathway, assessors will need to assist older people to ensure the completed End-of-Life Pathway Form is submitted. More information on options for submission is included in section 6.3.1.</w:t>
      </w:r>
    </w:p>
    <w:p w14:paraId="1F8E6186" w14:textId="77777777" w:rsidR="00972EB6" w:rsidRPr="000F6CD1" w:rsidRDefault="00972EB6" w:rsidP="00A677C9">
      <w:pPr>
        <w:spacing w:before="240" w:after="240" w:line="240" w:lineRule="auto"/>
        <w:rPr>
          <w:b/>
          <w:lang w:eastAsia="ko-KR"/>
        </w:rPr>
      </w:pPr>
    </w:p>
    <w:p w14:paraId="55262E76" w14:textId="77777777" w:rsidR="007A743C" w:rsidRPr="000F6CD1" w:rsidRDefault="007A743C" w:rsidP="00AD2CE5">
      <w:pPr>
        <w:pStyle w:val="H3"/>
      </w:pPr>
      <w:r w:rsidRPr="000F6CD1">
        <w:t xml:space="preserve">Remote setting </w:t>
      </w:r>
    </w:p>
    <w:p w14:paraId="34D14BBF" w14:textId="0C918CEC" w:rsidR="007A743C" w:rsidRPr="000F6CD1" w:rsidRDefault="007A743C" w:rsidP="00A677C9">
      <w:pPr>
        <w:spacing w:before="240" w:after="240" w:line="240" w:lineRule="auto"/>
        <w:rPr>
          <w:lang w:eastAsia="ko-KR"/>
        </w:rPr>
      </w:pPr>
      <w:r w:rsidRPr="000F6CD1">
        <w:rPr>
          <w:lang w:eastAsia="ko-KR"/>
        </w:rPr>
        <w:t xml:space="preserve">Assessors should use the remote assessment indicator in the My Aged Care </w:t>
      </w:r>
      <w:r w:rsidR="0060352D" w:rsidRPr="000F6CD1">
        <w:rPr>
          <w:lang w:eastAsia="ko-KR"/>
        </w:rPr>
        <w:t>assessor portal</w:t>
      </w:r>
      <w:r w:rsidRPr="000F6CD1">
        <w:rPr>
          <w:lang w:eastAsia="ko-KR"/>
        </w:rPr>
        <w:t xml:space="preserve"> to indicate if an assessment has been or will be conducted in a remote area. This indicator can be checked before starting an assessment, when uploading from the Aged Care Assessor App or on finalisation of an older person’s Support Plan. </w:t>
      </w:r>
    </w:p>
    <w:p w14:paraId="0F5162F7" w14:textId="174E40F0" w:rsidR="007A743C" w:rsidRPr="000F6CD1" w:rsidRDefault="007A743C" w:rsidP="00A677C9">
      <w:pPr>
        <w:spacing w:before="240" w:after="240" w:line="240" w:lineRule="auto"/>
        <w:rPr>
          <w:lang w:eastAsia="ko-KR"/>
        </w:rPr>
      </w:pPr>
      <w:r w:rsidRPr="000F6CD1">
        <w:t xml:space="preserve">The Department uses the Modified Monash Model (MMM) as the classification system to define geographical remoteness. The remote assessment flag should only be selected where a face-to-face assessment is undertaken in a remote (MM6) or very remote (MM7) area. You can check the MMM classification by entering their address in the department’s </w:t>
      </w:r>
      <w:hyperlink r:id="rId147">
        <w:r w:rsidRPr="000F6CD1">
          <w:rPr>
            <w:rStyle w:val="Hyperlink"/>
          </w:rPr>
          <w:t>Health Workforce Locator</w:t>
        </w:r>
      </w:hyperlink>
      <w:r w:rsidRPr="000F6CD1">
        <w:t>.</w:t>
      </w:r>
      <w:bookmarkStart w:id="379" w:name="_Toc499195600"/>
    </w:p>
    <w:tbl>
      <w:tblPr>
        <w:tblStyle w:val="TableGrid"/>
        <w:tblW w:w="0" w:type="auto"/>
        <w:tblLook w:val="04A0" w:firstRow="1" w:lastRow="0" w:firstColumn="1" w:lastColumn="0" w:noHBand="0" w:noVBand="1"/>
      </w:tblPr>
      <w:tblGrid>
        <w:gridCol w:w="845"/>
        <w:gridCol w:w="7921"/>
      </w:tblGrid>
      <w:tr w:rsidR="007A743C" w:rsidRPr="000F6CD1" w14:paraId="36A7684B" w14:textId="77777777">
        <w:trPr>
          <w:trHeight w:val="300"/>
        </w:trPr>
        <w:tc>
          <w:tcPr>
            <w:tcW w:w="846" w:type="dxa"/>
          </w:tcPr>
          <w:p w14:paraId="404E606B" w14:textId="77777777"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r w:rsidRPr="000F6CD1">
              <w:rPr>
                <w:noProof/>
                <w:shd w:val="clear" w:color="auto" w:fill="FFFFFF" w:themeFill="background1"/>
              </w:rPr>
              <w:drawing>
                <wp:inline distT="0" distB="0" distL="0" distR="0" wp14:anchorId="1B1EC0C5" wp14:editId="39AA2843">
                  <wp:extent cx="383111" cy="381000"/>
                  <wp:effectExtent l="0" t="0" r="0" b="0"/>
                  <wp:docPr id="2095120939" name="Picture 209512093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20939" name="Picture 2095120939"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9D5B5AD" w14:textId="5FD60513"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hyperlink r:id="rId148">
              <w:r w:rsidRPr="000F6CD1">
                <w:rPr>
                  <w:rStyle w:val="Hyperlink"/>
                  <w:szCs w:val="22"/>
                </w:rPr>
                <w:t>My Aged Care – Assessor Portal User Guide 6 – Completing an assessment</w:t>
              </w:r>
            </w:hyperlink>
          </w:p>
        </w:tc>
      </w:tr>
    </w:tbl>
    <w:p w14:paraId="4F58D2CC" w14:textId="69DC22DD" w:rsidR="007A743C" w:rsidRPr="000F6CD1" w:rsidRDefault="007A743C" w:rsidP="00AD2CE5">
      <w:pPr>
        <w:pStyle w:val="H3"/>
        <w:rPr>
          <w:color w:val="1E1444"/>
        </w:rPr>
      </w:pPr>
      <w:r w:rsidRPr="000F6CD1">
        <w:lastRenderedPageBreak/>
        <w:t xml:space="preserve">Hospital </w:t>
      </w:r>
      <w:bookmarkEnd w:id="379"/>
      <w:r w:rsidR="006D2D28" w:rsidRPr="000F6CD1">
        <w:t>s</w:t>
      </w:r>
      <w:r w:rsidRPr="000F6CD1">
        <w:t>etting</w:t>
      </w:r>
    </w:p>
    <w:p w14:paraId="1D9BB5E0" w14:textId="77777777" w:rsidR="007A743C" w:rsidRPr="000F6CD1" w:rsidRDefault="007A743C" w:rsidP="00A677C9">
      <w:pPr>
        <w:spacing w:before="240" w:after="240" w:line="240" w:lineRule="auto"/>
        <w:rPr>
          <w:lang w:eastAsia="ko-KR"/>
        </w:rPr>
      </w:pPr>
      <w:r w:rsidRPr="000F6CD1">
        <w:rPr>
          <w:lang w:eastAsia="ko-KR"/>
        </w:rPr>
        <w:t>Assessments in a hospital setting are typically conducted by a clinical assessor.</w:t>
      </w:r>
    </w:p>
    <w:p w14:paraId="799D1D13" w14:textId="3A78C7EB" w:rsidR="007A743C" w:rsidRPr="000F6CD1" w:rsidRDefault="007A743C" w:rsidP="00A677C9">
      <w:pPr>
        <w:spacing w:before="240" w:after="240" w:line="240" w:lineRule="auto"/>
        <w:rPr>
          <w:lang w:eastAsia="ko-KR"/>
        </w:rPr>
      </w:pPr>
      <w:r w:rsidRPr="000F6CD1">
        <w:rPr>
          <w:lang w:eastAsia="ko-KR"/>
        </w:rPr>
        <w:t xml:space="preserve">For those </w:t>
      </w:r>
      <w:r w:rsidR="00516348" w:rsidRPr="000F6CD1">
        <w:rPr>
          <w:lang w:eastAsia="ko-KR"/>
        </w:rPr>
        <w:t>older people</w:t>
      </w:r>
      <w:r w:rsidRPr="000F6CD1">
        <w:rPr>
          <w:lang w:eastAsia="ko-KR"/>
        </w:rPr>
        <w:t xml:space="preserve"> in hospital requiring an assessment, they should be assessed in the same way as those assessed at home, utilising the IAT to ensure a nationally consistent approach to assessment of aged care needs, including consideration of the home environment and social issues. </w:t>
      </w:r>
      <w:bookmarkStart w:id="380" w:name="_Hlk89701488"/>
      <w:r w:rsidRPr="000F6CD1">
        <w:rPr>
          <w:lang w:eastAsia="ko-KR"/>
        </w:rPr>
        <w:t xml:space="preserve">An older person needs to be in a stable condition for a hospital-based assessment to take place (unless a rapidly deteriorating condition makes this impossible). Being medically stable ensures that the care needs of the older person outside of the hospital can be accurately assessed and the most appropriate care services recommended. </w:t>
      </w:r>
    </w:p>
    <w:bookmarkEnd w:id="380"/>
    <w:p w14:paraId="1B7165C7" w14:textId="77777777" w:rsidR="007A743C" w:rsidRPr="000F6CD1" w:rsidRDefault="007A743C" w:rsidP="00A677C9">
      <w:pPr>
        <w:spacing w:before="240" w:after="240" w:line="240" w:lineRule="auto"/>
        <w:rPr>
          <w:lang w:eastAsia="ko-KR"/>
        </w:rPr>
      </w:pPr>
      <w:r w:rsidRPr="000F6CD1">
        <w:rPr>
          <w:lang w:eastAsia="ko-KR"/>
        </w:rPr>
        <w:t xml:space="preserve">In hospital assessments, the assessor must ensure that a carer or other advocate is advised of the assessment in all circumstances and should be present during an assessment where possible. </w:t>
      </w:r>
    </w:p>
    <w:p w14:paraId="50C56926" w14:textId="0D4C432B" w:rsidR="00441E2B" w:rsidRPr="000F6CD1" w:rsidRDefault="007A743C" w:rsidP="00A677C9">
      <w:pPr>
        <w:spacing w:before="240" w:after="240" w:line="240" w:lineRule="auto"/>
        <w:rPr>
          <w:lang w:eastAsia="ko-KR"/>
        </w:rPr>
      </w:pPr>
      <w:r w:rsidRPr="000F6CD1">
        <w:rPr>
          <w:lang w:eastAsia="ko-KR"/>
        </w:rPr>
        <w:t xml:space="preserve">Approvals for all types of care can be made following an assessment in a hospital environment (e.g. an assessor can recommend </w:t>
      </w:r>
      <w:r w:rsidR="00872E60" w:rsidRPr="000F6CD1">
        <w:rPr>
          <w:lang w:eastAsia="ko-KR"/>
        </w:rPr>
        <w:t xml:space="preserve">for Assessment Delegate to approve </w:t>
      </w:r>
      <w:r w:rsidRPr="000F6CD1">
        <w:rPr>
          <w:lang w:eastAsia="ko-KR"/>
        </w:rPr>
        <w:t xml:space="preserve">CHSP). There should be no presumption that older people will progress from hospital to residential care, as they may be able to return to their previous living arrangements. This is especially appropriate following an acute incident where the individual may benefit from a reassessment in the home environment after the acute phase. </w:t>
      </w:r>
    </w:p>
    <w:p w14:paraId="6BE7C7B7" w14:textId="579D1308" w:rsidR="007A743C" w:rsidRPr="000F6CD1" w:rsidRDefault="007A743C" w:rsidP="00A677C9">
      <w:pPr>
        <w:spacing w:before="240" w:after="240" w:line="240" w:lineRule="auto"/>
        <w:rPr>
          <w:lang w:eastAsia="ko-KR"/>
        </w:rPr>
      </w:pPr>
      <w:r w:rsidRPr="000F6CD1">
        <w:rPr>
          <w:lang w:eastAsia="ko-KR"/>
        </w:rPr>
        <w:t xml:space="preserve">Assessors need to be aware that for an older person to be approved for TCP, the assessment must be conducted while the person is in hospital. Assessors should also consider arranging an assessment for </w:t>
      </w:r>
      <w:r w:rsidR="007A2F6D" w:rsidRPr="000F6CD1">
        <w:rPr>
          <w:lang w:eastAsia="ko-KR"/>
        </w:rPr>
        <w:t>Support at Home</w:t>
      </w:r>
      <w:r w:rsidR="00BE31BC" w:rsidRPr="000F6CD1">
        <w:rPr>
          <w:lang w:eastAsia="ko-KR"/>
        </w:rPr>
        <w:t xml:space="preserve"> or CHSP</w:t>
      </w:r>
      <w:r w:rsidRPr="000F6CD1">
        <w:rPr>
          <w:lang w:eastAsia="ko-KR"/>
        </w:rPr>
        <w:t xml:space="preserve"> when the older person is discharged from a hospital and returns to their usual accommodation setting. This allows a more accurate picture of care needs in the home setting and ensures the older person’s current needs and goals are being assessed. </w:t>
      </w:r>
    </w:p>
    <w:p w14:paraId="35E59810" w14:textId="78D508FE" w:rsidR="007A743C" w:rsidRPr="000F6CD1" w:rsidRDefault="007A743C" w:rsidP="00A677C9">
      <w:pPr>
        <w:spacing w:before="240" w:after="240" w:line="240" w:lineRule="auto"/>
        <w:rPr>
          <w:sz w:val="20"/>
          <w:szCs w:val="20"/>
        </w:rPr>
      </w:pPr>
      <w:r w:rsidRPr="000F6CD1">
        <w:rPr>
          <w:lang w:eastAsia="ko-KR"/>
        </w:rPr>
        <w:t xml:space="preserve">Assessors should be aware that a person </w:t>
      </w:r>
      <w:r w:rsidR="005D0E45" w:rsidRPr="000F6CD1">
        <w:rPr>
          <w:lang w:eastAsia="ko-KR"/>
        </w:rPr>
        <w:t xml:space="preserve">being assessed </w:t>
      </w:r>
      <w:r w:rsidRPr="000F6CD1">
        <w:rPr>
          <w:lang w:eastAsia="ko-KR"/>
        </w:rPr>
        <w:t xml:space="preserve">in </w:t>
      </w:r>
      <w:r w:rsidR="005D0E45" w:rsidRPr="000F6CD1">
        <w:rPr>
          <w:lang w:eastAsia="ko-KR"/>
        </w:rPr>
        <w:t xml:space="preserve">a </w:t>
      </w:r>
      <w:r w:rsidRPr="000F6CD1">
        <w:rPr>
          <w:lang w:eastAsia="ko-KR"/>
        </w:rPr>
        <w:t xml:space="preserve">hospital </w:t>
      </w:r>
      <w:r w:rsidR="005D0E45" w:rsidRPr="000F6CD1">
        <w:rPr>
          <w:lang w:eastAsia="ko-KR"/>
        </w:rPr>
        <w:t xml:space="preserve">setting </w:t>
      </w:r>
      <w:r w:rsidRPr="000F6CD1">
        <w:rPr>
          <w:lang w:eastAsia="ko-KR"/>
        </w:rPr>
        <w:t>cannot be approved for the Restorative Care Pathway or a period of reablement.</w:t>
      </w:r>
    </w:p>
    <w:p w14:paraId="44077CE6" w14:textId="0E10D09F" w:rsidR="007A743C" w:rsidRPr="000F6CD1" w:rsidRDefault="007A743C" w:rsidP="006647CE">
      <w:pPr>
        <w:pStyle w:val="h2"/>
      </w:pPr>
      <w:bookmarkStart w:id="381" w:name="_Toc499195601"/>
      <w:bookmarkStart w:id="382" w:name="_Ref46401537"/>
      <w:bookmarkStart w:id="383" w:name="_Ref49862933"/>
      <w:bookmarkStart w:id="384" w:name="_Ref50389524"/>
      <w:bookmarkStart w:id="385" w:name="_Ref58424942"/>
      <w:bookmarkStart w:id="386" w:name="_Ref128153976"/>
      <w:bookmarkStart w:id="387" w:name="_Toc159226878"/>
      <w:bookmarkStart w:id="388" w:name="_Toc184402293"/>
      <w:bookmarkStart w:id="389" w:name="_Toc204329549"/>
      <w:bookmarkStart w:id="390" w:name="_Toc209188984"/>
      <w:bookmarkStart w:id="391" w:name="_Ref212733648"/>
      <w:bookmarkStart w:id="392" w:name="_Ref212733690"/>
      <w:bookmarkStart w:id="393" w:name="_Toc233282445"/>
      <w:r w:rsidRPr="000F6CD1">
        <w:t xml:space="preserve">Commencing the </w:t>
      </w:r>
      <w:bookmarkEnd w:id="381"/>
      <w:bookmarkEnd w:id="382"/>
      <w:bookmarkEnd w:id="383"/>
      <w:bookmarkEnd w:id="384"/>
      <w:bookmarkEnd w:id="385"/>
      <w:bookmarkEnd w:id="386"/>
      <w:bookmarkEnd w:id="387"/>
      <w:bookmarkEnd w:id="388"/>
      <w:bookmarkEnd w:id="389"/>
      <w:bookmarkEnd w:id="390"/>
      <w:r w:rsidR="00BE31BC" w:rsidRPr="000F6CD1">
        <w:t>Assessment</w:t>
      </w:r>
      <w:bookmarkEnd w:id="391"/>
      <w:bookmarkEnd w:id="392"/>
      <w:bookmarkEnd w:id="393"/>
      <w:r w:rsidRPr="000F6CD1">
        <w:t xml:space="preserve"> </w:t>
      </w:r>
    </w:p>
    <w:p w14:paraId="344EED7F" w14:textId="23E2AA7E" w:rsidR="00D57514" w:rsidRPr="000F6CD1" w:rsidRDefault="00D57514" w:rsidP="00806A21">
      <w:pPr>
        <w:pStyle w:val="Sub-headings"/>
      </w:pPr>
      <w:r w:rsidRPr="000F6CD1">
        <w:t>Note</w:t>
      </w:r>
    </w:p>
    <w:p w14:paraId="1F3729B3" w14:textId="55E9E981" w:rsidR="00E0459C" w:rsidRPr="000F6CD1" w:rsidRDefault="002C0D59" w:rsidP="00806A21">
      <w:pPr>
        <w:pStyle w:val="Sub-headings"/>
      </w:pPr>
      <w:r w:rsidRPr="000F6CD1">
        <w:rPr>
          <w:bCs/>
          <w:noProof/>
        </w:rPr>
        <w:drawing>
          <wp:anchor distT="0" distB="0" distL="114300" distR="114300" simplePos="0" relativeHeight="251658285" behindDoc="0" locked="0" layoutInCell="1" allowOverlap="1" wp14:anchorId="3F85EE83" wp14:editId="0E738927">
            <wp:simplePos x="0" y="0"/>
            <wp:positionH relativeFrom="leftMargin">
              <wp:align>right</wp:align>
            </wp:positionH>
            <wp:positionV relativeFrom="margin">
              <wp:posOffset>1721485</wp:posOffset>
            </wp:positionV>
            <wp:extent cx="457200" cy="502920"/>
            <wp:effectExtent l="0" t="0" r="0" b="0"/>
            <wp:wrapSquare wrapText="bothSides"/>
            <wp:docPr id="1311916358" name="Picture 1311916358" descr="A bell with an exclamation mark that denotes a significant change in information from version 8.2 of the Aged Care Assessment Manu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16358" name="Picture 1311916358" descr="A bell with an exclamation mark that denotes a significant change in information from version 8.2 of the Aged Care Assessment Manual. &#10;"/>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D57514" w:rsidRPr="000F6CD1">
        <w:t>Only appr</w:t>
      </w:r>
      <w:r w:rsidR="00065F52" w:rsidRPr="000F6CD1">
        <w:t>opriately qualified and certified assessment staff can hold assessor roles</w:t>
      </w:r>
      <w:r w:rsidR="00EA25C6" w:rsidRPr="000F6CD1">
        <w:t xml:space="preserve"> and undertake assessments. There are different credentials for clinical and non-clinical assessors. Please refer to training requirements for assessment teams in Chapter </w:t>
      </w:r>
      <w:r w:rsidR="00EA556B">
        <w:fldChar w:fldCharType="begin"/>
      </w:r>
      <w:r w:rsidR="00EA556B">
        <w:instrText xml:space="preserve"> REF _Ref233128894 \r \h </w:instrText>
      </w:r>
      <w:r w:rsidR="00EA556B">
        <w:fldChar w:fldCharType="separate"/>
      </w:r>
      <w:r w:rsidR="004B171E">
        <w:t>2</w:t>
      </w:r>
      <w:r w:rsidR="00EA556B">
        <w:fldChar w:fldCharType="end"/>
      </w:r>
      <w:r w:rsidR="00EA25C6" w:rsidRPr="000F6CD1">
        <w:t xml:space="preserve"> and Aged care assessment workforce minimum qualification requirements in </w:t>
      </w:r>
      <w:r w:rsidR="00EA556B">
        <w:fldChar w:fldCharType="begin"/>
      </w:r>
      <w:r w:rsidR="00EA556B">
        <w:instrText xml:space="preserve"> REF _Ref233128914 \h </w:instrText>
      </w:r>
      <w:r w:rsidR="00EA556B">
        <w:fldChar w:fldCharType="separate"/>
      </w:r>
      <w:r w:rsidR="004B171E" w:rsidRPr="000F6CD1">
        <w:t>APPENDIX F – Aged care assessment workforce minimum qualifications</w:t>
      </w:r>
      <w:r w:rsidR="00EA556B">
        <w:fldChar w:fldCharType="end"/>
      </w:r>
      <w:r w:rsidR="00EA25C6" w:rsidRPr="000F6CD1">
        <w:t xml:space="preserve">. </w:t>
      </w:r>
    </w:p>
    <w:p w14:paraId="4A445C2F" w14:textId="60C9D085" w:rsidR="006964E3" w:rsidRPr="000F6CD1" w:rsidRDefault="007A743C" w:rsidP="00E0459C">
      <w:pPr>
        <w:spacing w:before="240" w:after="240" w:line="240" w:lineRule="auto"/>
      </w:pPr>
      <w:r w:rsidRPr="000F6CD1">
        <w:t>Assessors are required to do the following prior to attending the assessment:</w:t>
      </w:r>
    </w:p>
    <w:p w14:paraId="72E1BE57" w14:textId="77777777" w:rsidR="007A743C" w:rsidRPr="000F6CD1" w:rsidRDefault="007A743C" w:rsidP="00DF3F6B">
      <w:pPr>
        <w:pStyle w:val="ListParagraph"/>
        <w:numPr>
          <w:ilvl w:val="0"/>
          <w:numId w:val="115"/>
        </w:numPr>
        <w:spacing w:before="240" w:after="240" w:line="240" w:lineRule="auto"/>
      </w:pPr>
      <w:r w:rsidRPr="000F6CD1">
        <w:t>After the referral has been assigned to the assessor, the assessor must review all information in the older person’s record.</w:t>
      </w:r>
    </w:p>
    <w:p w14:paraId="594FF821" w14:textId="77777777" w:rsidR="007A743C" w:rsidRPr="000F6CD1" w:rsidRDefault="007A743C" w:rsidP="00DF3F6B">
      <w:pPr>
        <w:pStyle w:val="ListParagraph"/>
        <w:numPr>
          <w:ilvl w:val="0"/>
          <w:numId w:val="115"/>
        </w:numPr>
        <w:spacing w:before="240" w:after="240" w:line="240" w:lineRule="auto"/>
      </w:pPr>
      <w:r w:rsidRPr="000F6CD1">
        <w:t>With the older person’s consent, consider the collection of information on the older person’s situation and medical conditions diagnosed by suitably qualified medical personnel that may be required prior to the assessment. Contact the referrer or health professional if indicated prior to the assessment.</w:t>
      </w:r>
    </w:p>
    <w:p w14:paraId="6BEEF2D0" w14:textId="77777777" w:rsidR="007A743C" w:rsidRPr="000F6CD1" w:rsidRDefault="007A743C" w:rsidP="00DF3F6B">
      <w:pPr>
        <w:pStyle w:val="ListParagraph"/>
        <w:numPr>
          <w:ilvl w:val="0"/>
          <w:numId w:val="115"/>
        </w:numPr>
        <w:spacing w:before="240" w:after="240" w:line="240" w:lineRule="auto"/>
      </w:pPr>
      <w:r w:rsidRPr="000F6CD1">
        <w:t xml:space="preserve">Note and manage WHS risks. </w:t>
      </w:r>
    </w:p>
    <w:p w14:paraId="48E5F3D2" w14:textId="77777777" w:rsidR="007A743C" w:rsidRPr="000F6CD1" w:rsidRDefault="007A743C" w:rsidP="00DF3F6B">
      <w:pPr>
        <w:pStyle w:val="ListParagraph"/>
        <w:numPr>
          <w:ilvl w:val="0"/>
          <w:numId w:val="115"/>
        </w:numPr>
        <w:spacing w:before="240" w:after="240" w:line="240" w:lineRule="auto"/>
      </w:pPr>
      <w:r w:rsidRPr="000F6CD1">
        <w:lastRenderedPageBreak/>
        <w:t>Note the timeliness measure for completion of the assessment process.</w:t>
      </w:r>
    </w:p>
    <w:p w14:paraId="38C7AC9C" w14:textId="3B0A0DC0" w:rsidR="007A743C" w:rsidRPr="000F6CD1" w:rsidRDefault="007A743C" w:rsidP="00DF3F6B">
      <w:pPr>
        <w:pStyle w:val="ListParagraph"/>
        <w:numPr>
          <w:ilvl w:val="0"/>
          <w:numId w:val="115"/>
        </w:numPr>
        <w:spacing w:before="240" w:after="240" w:line="240" w:lineRule="auto"/>
      </w:pPr>
      <w:r w:rsidRPr="000F6CD1">
        <w:t>Determine whether a cultural</w:t>
      </w:r>
      <w:r w:rsidR="00C63ABD" w:rsidRPr="000F6CD1">
        <w:t>ly appropriate support person</w:t>
      </w:r>
      <w:r w:rsidRPr="000F6CD1">
        <w:t>, interpreter, care finder</w:t>
      </w:r>
      <w:r w:rsidR="005C67BF" w:rsidRPr="000F6CD1">
        <w:t>,</w:t>
      </w:r>
      <w:r w:rsidRPr="000F6CD1">
        <w:t xml:space="preserve"> elder care support worker</w:t>
      </w:r>
      <w:r w:rsidR="005C67BF" w:rsidRPr="000F6CD1">
        <w:t xml:space="preserve"> or advocate </w:t>
      </w:r>
      <w:r w:rsidR="00130735" w:rsidRPr="000F6CD1">
        <w:t>(through OPAN for example)</w:t>
      </w:r>
      <w:r w:rsidRPr="000F6CD1">
        <w:t xml:space="preserve"> needs to be included in the assessment.</w:t>
      </w:r>
    </w:p>
    <w:p w14:paraId="5F35B709" w14:textId="77777777" w:rsidR="007A743C" w:rsidRPr="000F6CD1" w:rsidRDefault="007A743C" w:rsidP="00DF3F6B">
      <w:pPr>
        <w:pStyle w:val="ListParagraph"/>
        <w:numPr>
          <w:ilvl w:val="0"/>
          <w:numId w:val="115"/>
        </w:numPr>
        <w:spacing w:before="240" w:after="240" w:line="240" w:lineRule="auto"/>
      </w:pPr>
      <w:r w:rsidRPr="000F6CD1">
        <w:t xml:space="preserve">Gather any anticipated forms or resources, including providing copies of relevant My Aged Care booklets and/or brochures depending on the type of assessment to be conducted. </w:t>
      </w:r>
    </w:p>
    <w:p w14:paraId="2ABBB05C" w14:textId="77777777" w:rsidR="007A743C" w:rsidRPr="000F6CD1" w:rsidRDefault="007A743C" w:rsidP="00DF3F6B">
      <w:pPr>
        <w:pStyle w:val="ListParagraph"/>
        <w:numPr>
          <w:ilvl w:val="0"/>
          <w:numId w:val="115"/>
        </w:numPr>
        <w:spacing w:before="240" w:after="240" w:line="240" w:lineRule="auto"/>
      </w:pPr>
      <w:r w:rsidRPr="000F6CD1">
        <w:t xml:space="preserve">Review </w:t>
      </w:r>
      <w:r w:rsidRPr="000F6CD1">
        <w:rPr>
          <w:i/>
          <w:iCs/>
        </w:rPr>
        <w:t>Best practice tools and tips for conducting the assessment</w:t>
      </w:r>
      <w:r w:rsidRPr="000F6CD1">
        <w:t xml:space="preserve"> in this manual for guidance on how to achieve a conversational, respectful, and empathetic approach during the assessment. This will allow the assessor to develop rapport with the older person and their support network.</w:t>
      </w:r>
    </w:p>
    <w:p w14:paraId="7D6975F6" w14:textId="77777777" w:rsidR="007A743C" w:rsidRPr="000F6CD1" w:rsidRDefault="007A743C" w:rsidP="00DF3F6B">
      <w:pPr>
        <w:pStyle w:val="ListParagraph"/>
        <w:numPr>
          <w:ilvl w:val="0"/>
          <w:numId w:val="115"/>
        </w:numPr>
        <w:spacing w:before="240" w:after="240" w:line="240" w:lineRule="auto"/>
      </w:pPr>
      <w:r w:rsidRPr="000F6CD1">
        <w:t>Download the assessment if using Aged Care Assessor App.</w:t>
      </w:r>
    </w:p>
    <w:p w14:paraId="51DF5594" w14:textId="3C7B6DFB" w:rsidR="007A743C" w:rsidRPr="000F6CD1" w:rsidRDefault="007A743C" w:rsidP="00DF3F6B">
      <w:pPr>
        <w:pStyle w:val="ListParagraph"/>
        <w:numPr>
          <w:ilvl w:val="0"/>
          <w:numId w:val="115"/>
        </w:numPr>
        <w:spacing w:before="240" w:after="240" w:line="240" w:lineRule="auto"/>
      </w:pPr>
      <w:r w:rsidRPr="000F6CD1">
        <w:t xml:space="preserve">Check whether a supporter or agent for the older person has been registered or established. If the client is already registered in My Aged Care, assessors can do this by using the </w:t>
      </w:r>
      <w:r w:rsidR="0060352D" w:rsidRPr="000F6CD1">
        <w:t>assessor portal</w:t>
      </w:r>
      <w:r w:rsidRPr="000F6CD1">
        <w:t xml:space="preserve"> to find the client, then view their support network (if any supporter relationships have been registered). Refer to Chapter </w:t>
      </w:r>
      <w:r w:rsidR="00873F8B" w:rsidRPr="000F6CD1">
        <w:fldChar w:fldCharType="begin"/>
      </w:r>
      <w:r w:rsidR="00873F8B" w:rsidRPr="000F6CD1">
        <w:instrText xml:space="preserve"> REF _Ref212735745 \w \h </w:instrText>
      </w:r>
      <w:r w:rsidR="00873F8B" w:rsidRPr="000F6CD1">
        <w:fldChar w:fldCharType="separate"/>
      </w:r>
      <w:r w:rsidR="004B171E">
        <w:t>3</w:t>
      </w:r>
      <w:r w:rsidR="00873F8B" w:rsidRPr="000F6CD1">
        <w:fldChar w:fldCharType="end"/>
      </w:r>
      <w:r w:rsidRPr="000F6CD1">
        <w:t xml:space="preserve"> for information on how registered supporters must engage with the older people they support, and how they might be involved in an assessment. </w:t>
      </w:r>
    </w:p>
    <w:p w14:paraId="7FE2E84D" w14:textId="7582A2D8" w:rsidR="007A743C" w:rsidRPr="000F6CD1" w:rsidRDefault="007A743C" w:rsidP="00DF3F6B">
      <w:pPr>
        <w:pStyle w:val="ListParagraph"/>
        <w:numPr>
          <w:ilvl w:val="0"/>
          <w:numId w:val="115"/>
        </w:numPr>
        <w:spacing w:before="240" w:after="240" w:line="240" w:lineRule="auto"/>
      </w:pPr>
      <w:r w:rsidRPr="000F6CD1">
        <w:t>Check the authority of any active, appointed decision makers of the older person, if they have made themselves known to the assessor or My Aged Care. Appointed decision makers are not required to register as supporters to exercise their legal authority under a Commonwealth, state or territory arrangement. However, this is encouraged to streamline authentication and information sharing to support older people. Assessors can engage with active, appointed decision makers before, or without them, formally registering as supporters, provided the assessor is satisfied they are acting within their authority</w:t>
      </w:r>
      <w:r w:rsidR="00847C8F" w:rsidRPr="000F6CD1">
        <w:t xml:space="preserve"> recognised under the Act</w:t>
      </w:r>
      <w:r w:rsidRPr="000F6CD1">
        <w:t>. To do so, assessors should seek legal documentation that shows the person is an active, appointed decision-maker for the older person and that their decision-making authority is relevant to the assessment</w:t>
      </w:r>
      <w:r w:rsidRPr="000F6CD1" w:rsidDel="00CE37C9">
        <w:t>.</w:t>
      </w:r>
      <w:r w:rsidRPr="000F6CD1">
        <w:t xml:space="preserve"> Medical evidence about the older person may also be required to show that the decision maker’s authority is active.</w:t>
      </w:r>
    </w:p>
    <w:p w14:paraId="3EF6D480" w14:textId="2DADB6C9" w:rsidR="007A743C" w:rsidRPr="000F6CD1" w:rsidRDefault="007A743C" w:rsidP="00DF3F6B">
      <w:pPr>
        <w:pStyle w:val="ListParagraph"/>
        <w:numPr>
          <w:ilvl w:val="0"/>
          <w:numId w:val="115"/>
        </w:numPr>
        <w:spacing w:before="240" w:after="240" w:line="240" w:lineRule="auto"/>
      </w:pPr>
      <w:r w:rsidRPr="000F6CD1">
        <w:t xml:space="preserve">Review notes entered at </w:t>
      </w:r>
      <w:r w:rsidR="009C23F8" w:rsidRPr="000F6CD1">
        <w:t xml:space="preserve">triage </w:t>
      </w:r>
      <w:r w:rsidRPr="000F6CD1">
        <w:t xml:space="preserve">including referrals, attached documents and previous support plans if applicable, to help </w:t>
      </w:r>
      <w:r w:rsidR="009C23F8" w:rsidRPr="000F6CD1">
        <w:t xml:space="preserve">familiarise </w:t>
      </w:r>
      <w:r w:rsidRPr="000F6CD1">
        <w:t>yourself with the older person and their needs and limit the need for the older person to repeat their story.</w:t>
      </w:r>
    </w:p>
    <w:p w14:paraId="7ACDD744" w14:textId="75E3C647" w:rsidR="0001020A" w:rsidRPr="000F6CD1" w:rsidRDefault="00354B52" w:rsidP="0001020A">
      <w:pPr>
        <w:pStyle w:val="ListParagraph"/>
        <w:numPr>
          <w:ilvl w:val="0"/>
          <w:numId w:val="115"/>
        </w:numPr>
        <w:spacing w:before="240" w:after="240" w:line="240" w:lineRule="auto"/>
      </w:pPr>
      <w:r w:rsidRPr="000F6CD1">
        <w:t xml:space="preserve">Connect with the local Aboriginal and Torres </w:t>
      </w:r>
      <w:r w:rsidR="7FA3BAF2" w:rsidRPr="000F6CD1">
        <w:t>Strait</w:t>
      </w:r>
      <w:r w:rsidRPr="000F6CD1">
        <w:t xml:space="preserve"> Islander community with their knowledge of local services and culture.</w:t>
      </w:r>
    </w:p>
    <w:p w14:paraId="33850FEB" w14:textId="2DD01502" w:rsidR="0001020A" w:rsidRPr="000F6CD1" w:rsidRDefault="0001020A" w:rsidP="0001020A">
      <w:pPr>
        <w:pStyle w:val="ListParagraph"/>
        <w:numPr>
          <w:ilvl w:val="0"/>
          <w:numId w:val="115"/>
        </w:numPr>
        <w:spacing w:before="240" w:after="240" w:line="240" w:lineRule="auto"/>
      </w:pPr>
      <w:r w:rsidRPr="000F6CD1">
        <w:t xml:space="preserve">It is recognised that building rapport and trust with older Aboriginal and Torres Strait Islander clients may require multiple contact attempts, particularly for individuals who have experienced trauma or institutionalisation. Assessment organisations should make all reasonable efforts to engage with the client in a respectful and culturally safe manner with their advocate if they have identified they are in contact with one. </w:t>
      </w:r>
    </w:p>
    <w:p w14:paraId="12C08244" w14:textId="7923721B" w:rsidR="0001020A" w:rsidRPr="000F6CD1" w:rsidRDefault="0001020A" w:rsidP="0001020A">
      <w:pPr>
        <w:pStyle w:val="ListParagraph"/>
        <w:numPr>
          <w:ilvl w:val="0"/>
          <w:numId w:val="115"/>
        </w:numPr>
        <w:spacing w:before="240" w:after="240" w:line="240" w:lineRule="auto"/>
      </w:pPr>
      <w:r w:rsidRPr="000F6CD1">
        <w:t xml:space="preserve">Assessment </w:t>
      </w:r>
      <w:r w:rsidR="00AD1E76" w:rsidRPr="000F6CD1">
        <w:t>o</w:t>
      </w:r>
      <w:r w:rsidRPr="000F6CD1">
        <w:t xml:space="preserve">rganisations are encouraged to consider culturally safe engagement strategies, such as involving trusted agents like Elder Care Support </w:t>
      </w:r>
      <w:r w:rsidR="003E4916" w:rsidRPr="000F6CD1">
        <w:t xml:space="preserve">workers </w:t>
      </w:r>
      <w:r w:rsidRPr="000F6CD1">
        <w:t xml:space="preserve">or other appropriate advocates as well as arranging face to face contact where possible. </w:t>
      </w:r>
    </w:p>
    <w:p w14:paraId="6FB3C297" w14:textId="769330E2" w:rsidR="004200AC" w:rsidRPr="000F6CD1" w:rsidRDefault="006A6DCB" w:rsidP="00AD2CE5">
      <w:pPr>
        <w:pStyle w:val="H3"/>
      </w:pPr>
      <w:r w:rsidRPr="000F6CD1">
        <w:rPr>
          <w:bCs w:val="0"/>
          <w:lang w:val="en-AU"/>
        </w:rPr>
        <w:drawing>
          <wp:anchor distT="0" distB="0" distL="114300" distR="114300" simplePos="0" relativeHeight="251658356" behindDoc="0" locked="0" layoutInCell="1" allowOverlap="1" wp14:anchorId="1094EFA4" wp14:editId="07C7325C">
            <wp:simplePos x="0" y="0"/>
            <wp:positionH relativeFrom="margin">
              <wp:align>left</wp:align>
            </wp:positionH>
            <wp:positionV relativeFrom="paragraph">
              <wp:posOffset>17598</wp:posOffset>
            </wp:positionV>
            <wp:extent cx="457200" cy="502920"/>
            <wp:effectExtent l="0" t="0" r="0" b="0"/>
            <wp:wrapSquare wrapText="bothSides"/>
            <wp:docPr id="51152706" name="Picture 51152706"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200AC" w:rsidRPr="000F6CD1">
        <w:t>Confirming an older person’s preference prior to the</w:t>
      </w:r>
      <w:r w:rsidR="00EC2EF9" w:rsidRPr="000F6CD1">
        <w:t xml:space="preserve"> </w:t>
      </w:r>
      <w:r w:rsidR="004200AC" w:rsidRPr="000F6CD1">
        <w:t xml:space="preserve">assessment </w:t>
      </w:r>
    </w:p>
    <w:p w14:paraId="5E3D1297" w14:textId="3302340A" w:rsidR="004200AC" w:rsidRPr="000F6CD1" w:rsidRDefault="004200AC" w:rsidP="00AB7A6F">
      <w:pPr>
        <w:spacing w:before="240" w:after="240" w:line="240" w:lineRule="auto"/>
        <w:rPr>
          <w:lang w:eastAsia="ko-KR"/>
        </w:rPr>
      </w:pPr>
      <w:r w:rsidRPr="000F6CD1">
        <w:rPr>
          <w:lang w:eastAsia="ko-KR"/>
        </w:rPr>
        <w:t>As it is a phased rollout, Aboriginal and Torres Strait Islander people who are booked with a Single Assessment System organisation need to have the choice to transfer their assessment to an Aboriginal and Torres Strait Islander assessment organisation if one commences in their area.</w:t>
      </w:r>
    </w:p>
    <w:p w14:paraId="67FF0EE2" w14:textId="1B649678" w:rsidR="004200AC" w:rsidRPr="000F6CD1" w:rsidRDefault="004200AC" w:rsidP="00AB7A6F">
      <w:pPr>
        <w:spacing w:before="240" w:after="240" w:line="240" w:lineRule="auto"/>
        <w:rPr>
          <w:lang w:eastAsia="ko-KR"/>
        </w:rPr>
      </w:pPr>
      <w:r w:rsidRPr="000F6CD1">
        <w:rPr>
          <w:lang w:eastAsia="ko-KR"/>
        </w:rPr>
        <w:lastRenderedPageBreak/>
        <w:t xml:space="preserve">Preferences for an Aboriginal and Torres Strait Islander assessment organisation should be uncovered during the assessor’s pre-assessment planning. This allows the assessor time to contact the client, discuss their preference and organise transferring the client prior to the assessment </w:t>
      </w:r>
      <w:r w:rsidR="00DD7AE0" w:rsidRPr="000F6CD1">
        <w:rPr>
          <w:lang w:eastAsia="ko-KR"/>
        </w:rPr>
        <w:t>commencing</w:t>
      </w:r>
      <w:r w:rsidRPr="000F6CD1">
        <w:rPr>
          <w:lang w:eastAsia="ko-KR"/>
        </w:rPr>
        <w:t xml:space="preserve">. </w:t>
      </w:r>
    </w:p>
    <w:p w14:paraId="3EEAE0BF" w14:textId="4A3504A4" w:rsidR="004200AC" w:rsidRPr="000F6CD1" w:rsidRDefault="00301110" w:rsidP="00882928">
      <w:pPr>
        <w:pStyle w:val="ListParagraph"/>
        <w:numPr>
          <w:ilvl w:val="0"/>
          <w:numId w:val="79"/>
        </w:numPr>
        <w:spacing w:before="240" w:after="240" w:line="240" w:lineRule="auto"/>
      </w:pPr>
      <w:r w:rsidRPr="000F6CD1">
        <w:t xml:space="preserve">If the preference is identified </w:t>
      </w:r>
      <w:r w:rsidR="00842B2F" w:rsidRPr="000F6CD1">
        <w:t>at</w:t>
      </w:r>
      <w:r w:rsidRPr="000F6CD1">
        <w:t xml:space="preserve"> </w:t>
      </w:r>
      <w:r w:rsidR="00D87B0D" w:rsidRPr="000F6CD1">
        <w:t>the start of the assessment</w:t>
      </w:r>
      <w:r w:rsidR="00A602C1" w:rsidRPr="000F6CD1">
        <w:t>,</w:t>
      </w:r>
      <w:r w:rsidR="00D87B0D" w:rsidRPr="000F6CD1">
        <w:t xml:space="preserve"> </w:t>
      </w:r>
      <w:r w:rsidR="00690658" w:rsidRPr="000F6CD1">
        <w:t>t</w:t>
      </w:r>
      <w:r w:rsidR="00FF42DA" w:rsidRPr="000F6CD1">
        <w:t xml:space="preserve">he assessor </w:t>
      </w:r>
      <w:r w:rsidR="00EA553E" w:rsidRPr="000F6CD1">
        <w:t xml:space="preserve">may wish to </w:t>
      </w:r>
      <w:r w:rsidR="00C247DE" w:rsidRPr="000F6CD1">
        <w:t xml:space="preserve">explain </w:t>
      </w:r>
      <w:r w:rsidR="006442BD" w:rsidRPr="000F6CD1">
        <w:t>to</w:t>
      </w:r>
      <w:r w:rsidR="00C247DE" w:rsidRPr="000F6CD1">
        <w:t xml:space="preserve"> </w:t>
      </w:r>
      <w:r w:rsidR="00EC774E" w:rsidRPr="000F6CD1">
        <w:t>the client that</w:t>
      </w:r>
      <w:r w:rsidR="0016294C" w:rsidRPr="000F6CD1">
        <w:t xml:space="preserve"> </w:t>
      </w:r>
      <w:r w:rsidR="00F61A32" w:rsidRPr="000F6CD1">
        <w:t xml:space="preserve">making a referral to </w:t>
      </w:r>
      <w:r w:rsidR="00C247DE" w:rsidRPr="000F6CD1">
        <w:t xml:space="preserve">an </w:t>
      </w:r>
      <w:r w:rsidR="00465993" w:rsidRPr="000F6CD1">
        <w:t xml:space="preserve">Aboriginal and Torres Strait Islander assessment organisation </w:t>
      </w:r>
      <w:r w:rsidR="0082303E" w:rsidRPr="000F6CD1">
        <w:t xml:space="preserve">may </w:t>
      </w:r>
      <w:r w:rsidR="00140DE8" w:rsidRPr="000F6CD1">
        <w:t xml:space="preserve">cause a delay with them receiving </w:t>
      </w:r>
      <w:r w:rsidR="00DF25C3" w:rsidRPr="000F6CD1">
        <w:t>their current</w:t>
      </w:r>
      <w:r w:rsidR="00140DE8" w:rsidRPr="000F6CD1">
        <w:t xml:space="preserve"> assessment or </w:t>
      </w:r>
      <w:r w:rsidR="00C17504" w:rsidRPr="000F6CD1">
        <w:t xml:space="preserve">an Aboriginal and Torres Strait Islander assessment organisation </w:t>
      </w:r>
      <w:r w:rsidR="00465993" w:rsidRPr="000F6CD1">
        <w:t xml:space="preserve">is not yet available in their region. </w:t>
      </w:r>
      <w:r w:rsidR="00454213" w:rsidRPr="000F6CD1">
        <w:t xml:space="preserve">Subject to </w:t>
      </w:r>
      <w:r w:rsidR="00531E32" w:rsidRPr="000F6CD1">
        <w:t>the client’s agreement, t</w:t>
      </w:r>
      <w:r w:rsidR="004200AC" w:rsidRPr="000F6CD1">
        <w:t>he general recommendation would be that the assessor with the booking continues with the assessment as planned</w:t>
      </w:r>
      <w:r w:rsidR="005C19FD" w:rsidRPr="000F6CD1">
        <w:t xml:space="preserve">. However, if the client </w:t>
      </w:r>
      <w:r w:rsidR="003F5CEF" w:rsidRPr="000F6CD1">
        <w:t>still</w:t>
      </w:r>
      <w:r w:rsidR="005C19FD" w:rsidRPr="000F6CD1">
        <w:t xml:space="preserve"> does not wish to proceed with the assessment, the assessment will need to be </w:t>
      </w:r>
      <w:r w:rsidR="006C2CB9" w:rsidRPr="000F6CD1">
        <w:t>cancelled.</w:t>
      </w:r>
      <w:r w:rsidR="004200AC" w:rsidRPr="000F6CD1">
        <w:t xml:space="preserve"> </w:t>
      </w:r>
    </w:p>
    <w:p w14:paraId="53BCE7C3" w14:textId="02FCE184" w:rsidR="004200AC" w:rsidRPr="000F6CD1" w:rsidRDefault="004200AC" w:rsidP="00882928">
      <w:pPr>
        <w:pStyle w:val="ListParagraph"/>
        <w:numPr>
          <w:ilvl w:val="0"/>
          <w:numId w:val="79"/>
        </w:numPr>
        <w:spacing w:before="240" w:after="240" w:line="240" w:lineRule="auto"/>
      </w:pPr>
      <w:r w:rsidRPr="000F6CD1">
        <w:t xml:space="preserve">The client’s condition needs to be taken into consideration, that their health condition and care needs would not be adversely impacted by a delay in assessment if they were to be referred to another organisation. </w:t>
      </w:r>
    </w:p>
    <w:p w14:paraId="1113FEA8" w14:textId="77777777" w:rsidR="004200AC" w:rsidRPr="000F6CD1" w:rsidRDefault="004200AC" w:rsidP="00882928">
      <w:pPr>
        <w:pStyle w:val="ListParagraph"/>
        <w:numPr>
          <w:ilvl w:val="0"/>
          <w:numId w:val="79"/>
        </w:numPr>
        <w:spacing w:before="240" w:after="240" w:line="240" w:lineRule="auto"/>
      </w:pPr>
      <w:r w:rsidRPr="000F6CD1">
        <w:t xml:space="preserve">A conversation with the client prior to the assessment is recommended to ensure that they have choice and control and the ability to make decisions regarding their care. </w:t>
      </w:r>
    </w:p>
    <w:p w14:paraId="471D2C34" w14:textId="1E1AD710" w:rsidR="004200AC" w:rsidRPr="000F6CD1" w:rsidRDefault="004200AC" w:rsidP="00882928">
      <w:pPr>
        <w:pStyle w:val="ListParagraph"/>
        <w:numPr>
          <w:ilvl w:val="0"/>
          <w:numId w:val="79"/>
        </w:numPr>
        <w:spacing w:before="240" w:after="240" w:line="240" w:lineRule="auto"/>
      </w:pPr>
      <w:r w:rsidRPr="000F6CD1">
        <w:t xml:space="preserve">If the client’s preference is to be assessed by the Aboriginal and Torres Strait Islander assessment organisation; and they understand the timing impacts; then the assessor can ensure a warm referral. </w:t>
      </w:r>
      <w:r w:rsidR="005A39D8" w:rsidRPr="000F6CD1">
        <w:t xml:space="preserve">The assessor may contact an Aboriginal and Torres Strait Islander assessment organisation </w:t>
      </w:r>
      <w:r w:rsidR="00A327B3" w:rsidRPr="000F6CD1">
        <w:t xml:space="preserve">and where suitable </w:t>
      </w:r>
      <w:r w:rsidR="0068079B" w:rsidRPr="000F6CD1">
        <w:t>the organisation may self refer the client</w:t>
      </w:r>
      <w:r w:rsidR="004876FF" w:rsidRPr="000F6CD1">
        <w:t>.</w:t>
      </w:r>
    </w:p>
    <w:p w14:paraId="45359112" w14:textId="236BB782" w:rsidR="004200AC" w:rsidRPr="000F6CD1" w:rsidRDefault="004200AC" w:rsidP="00882928">
      <w:pPr>
        <w:pStyle w:val="ListParagraph"/>
        <w:numPr>
          <w:ilvl w:val="0"/>
          <w:numId w:val="79"/>
        </w:numPr>
        <w:spacing w:before="240" w:after="240" w:line="240" w:lineRule="auto"/>
      </w:pPr>
      <w:r w:rsidRPr="000F6CD1">
        <w:t xml:space="preserve">A rejection reason ‘client prefers a FNAO’ is available in the </w:t>
      </w:r>
      <w:r w:rsidR="003823C6" w:rsidRPr="000F6CD1">
        <w:t>My Aged Care Assessor Portal</w:t>
      </w:r>
      <w:r w:rsidRPr="000F6CD1">
        <w:t xml:space="preserve">. An older Aboriginal and Torres Strait Islander person should not be rejected based on a client’s preference unless it is a last resort. A transfer prior to the assessment is preferable to a rejection. </w:t>
      </w:r>
    </w:p>
    <w:p w14:paraId="330B32A3" w14:textId="77777777" w:rsidR="004200AC" w:rsidRPr="000F6CD1" w:rsidRDefault="004200AC" w:rsidP="00882928">
      <w:pPr>
        <w:pStyle w:val="ListParagraph"/>
        <w:numPr>
          <w:ilvl w:val="0"/>
          <w:numId w:val="79"/>
        </w:numPr>
        <w:spacing w:before="240" w:after="240" w:line="240" w:lineRule="auto"/>
      </w:pPr>
      <w:r w:rsidRPr="000F6CD1">
        <w:t xml:space="preserve">If the referral is cancelled by the assessor at the point of assessment, this may slow down the process for the client which is not the desired outcome. </w:t>
      </w:r>
    </w:p>
    <w:p w14:paraId="1147BE52" w14:textId="1BEC9CB4" w:rsidR="00193FA0" w:rsidRPr="000F6CD1" w:rsidRDefault="00AF3ED5" w:rsidP="00A677C9">
      <w:pPr>
        <w:spacing w:before="240" w:after="240" w:line="240" w:lineRule="auto"/>
        <w:rPr>
          <w:b/>
        </w:rPr>
      </w:pPr>
      <w:r w:rsidRPr="000F6CD1">
        <w:t>The</w:t>
      </w:r>
      <w:r w:rsidR="004200AC" w:rsidRPr="000F6CD1">
        <w:t xml:space="preserve"> above process also applies to </w:t>
      </w:r>
      <w:r w:rsidR="335C6B08" w:rsidRPr="000F6CD1">
        <w:t>s</w:t>
      </w:r>
      <w:r w:rsidR="004200AC" w:rsidRPr="000F6CD1">
        <w:t xml:space="preserve">upport </w:t>
      </w:r>
      <w:r w:rsidR="5E6384F9" w:rsidRPr="000F6CD1">
        <w:t>p</w:t>
      </w:r>
      <w:r w:rsidR="004200AC" w:rsidRPr="000F6CD1">
        <w:t xml:space="preserve">lan </w:t>
      </w:r>
      <w:r w:rsidR="4FD6948E" w:rsidRPr="000F6CD1">
        <w:t>r</w:t>
      </w:r>
      <w:r w:rsidR="004200AC" w:rsidRPr="000F6CD1">
        <w:t>eviews, and subsequent new assessments.</w:t>
      </w:r>
      <w:r w:rsidR="004200AC" w:rsidRPr="000F6CD1">
        <w:rPr>
          <w:b/>
          <w:bCs/>
        </w:rPr>
        <w:t xml:space="preserve"> </w:t>
      </w:r>
    </w:p>
    <w:p w14:paraId="1E42F62A" w14:textId="77777777" w:rsidR="007A743C" w:rsidRPr="000F6CD1" w:rsidRDefault="007A743C" w:rsidP="00A677C9">
      <w:pPr>
        <w:spacing w:before="240" w:after="240" w:line="240" w:lineRule="auto"/>
      </w:pPr>
      <w:r w:rsidRPr="000F6CD1">
        <w:t xml:space="preserve">At the time of the assessment, the assessor must: </w:t>
      </w:r>
    </w:p>
    <w:p w14:paraId="09EA5D90" w14:textId="77777777" w:rsidR="007A743C" w:rsidRPr="000F6CD1" w:rsidRDefault="007A743C" w:rsidP="00882928">
      <w:pPr>
        <w:pStyle w:val="ListParagraph"/>
        <w:numPr>
          <w:ilvl w:val="0"/>
          <w:numId w:val="79"/>
        </w:numPr>
        <w:spacing w:before="240" w:after="240" w:line="240" w:lineRule="auto"/>
      </w:pPr>
      <w:r w:rsidRPr="000F6CD1">
        <w:t>Be clear to the older person who you are</w:t>
      </w:r>
      <w:r w:rsidRPr="000F6CD1">
        <w:rPr>
          <w:rFonts w:hint="eastAsia"/>
        </w:rPr>
        <w:t xml:space="preserve"> and </w:t>
      </w:r>
      <w:r w:rsidRPr="000F6CD1">
        <w:t xml:space="preserve">the organisation you are from and outline your </w:t>
      </w:r>
      <w:r w:rsidRPr="000F6CD1">
        <w:rPr>
          <w:rFonts w:hint="eastAsia"/>
        </w:rPr>
        <w:t>rol</w:t>
      </w:r>
      <w:r w:rsidRPr="000F6CD1">
        <w:t xml:space="preserve">e as an assessor on behalf of My Aged Care. </w:t>
      </w:r>
    </w:p>
    <w:p w14:paraId="7F14088B" w14:textId="77777777" w:rsidR="007A743C" w:rsidRPr="000F6CD1" w:rsidRDefault="007A743C" w:rsidP="00882928">
      <w:pPr>
        <w:pStyle w:val="ListParagraph"/>
        <w:numPr>
          <w:ilvl w:val="0"/>
          <w:numId w:val="79"/>
        </w:numPr>
        <w:spacing w:before="240" w:after="240" w:line="240" w:lineRule="auto"/>
      </w:pPr>
      <w:r w:rsidRPr="000F6CD1">
        <w:t>Wear the My Aged Care badge or ID according to assessor branding protocols and style guide.</w:t>
      </w:r>
    </w:p>
    <w:p w14:paraId="3E98B548" w14:textId="6BD7F2F9" w:rsidR="007A743C" w:rsidRPr="000F6CD1" w:rsidRDefault="005D4B8B" w:rsidP="00882928">
      <w:pPr>
        <w:pStyle w:val="ListParagraph"/>
        <w:numPr>
          <w:ilvl w:val="0"/>
          <w:numId w:val="79"/>
        </w:numPr>
        <w:spacing w:before="240" w:after="240" w:line="240" w:lineRule="auto"/>
      </w:pPr>
      <w:r w:rsidRPr="000F6CD1">
        <w:t>I</w:t>
      </w:r>
      <w:r w:rsidR="007A743C" w:rsidRPr="000F6CD1">
        <w:t xml:space="preserve">nform the older person of the assessment process and potential outcomes </w:t>
      </w:r>
    </w:p>
    <w:p w14:paraId="036F5D82" w14:textId="77777777" w:rsidR="007A743C" w:rsidRPr="000F6CD1" w:rsidRDefault="007A743C" w:rsidP="00882928">
      <w:pPr>
        <w:pStyle w:val="ListParagraph"/>
        <w:numPr>
          <w:ilvl w:val="0"/>
          <w:numId w:val="79"/>
        </w:numPr>
        <w:spacing w:before="240" w:after="240" w:line="240" w:lineRule="auto"/>
      </w:pPr>
      <w:r w:rsidRPr="000F6CD1">
        <w:t>Conduct a wallet check:</w:t>
      </w:r>
    </w:p>
    <w:p w14:paraId="6262E93D" w14:textId="77777777" w:rsidR="007A743C" w:rsidRPr="000F6CD1" w:rsidRDefault="007A743C" w:rsidP="007069E6">
      <w:pPr>
        <w:pStyle w:val="ListParagraph"/>
        <w:numPr>
          <w:ilvl w:val="1"/>
          <w:numId w:val="84"/>
        </w:numPr>
        <w:spacing w:before="240" w:after="0" w:line="240" w:lineRule="auto"/>
        <w:contextualSpacing w:val="0"/>
      </w:pPr>
      <w:r w:rsidRPr="000F6CD1">
        <w:rPr>
          <w:szCs w:val="20"/>
        </w:rPr>
        <w:t>explain to the older person why you need to do this</w:t>
      </w:r>
    </w:p>
    <w:p w14:paraId="079ABF07" w14:textId="77777777" w:rsidR="007A743C" w:rsidRPr="000F6CD1" w:rsidRDefault="007A743C" w:rsidP="007069E6">
      <w:pPr>
        <w:pStyle w:val="ListParagraph"/>
        <w:numPr>
          <w:ilvl w:val="1"/>
          <w:numId w:val="84"/>
        </w:numPr>
        <w:spacing w:after="240" w:line="240" w:lineRule="auto"/>
        <w:contextualSpacing w:val="0"/>
      </w:pPr>
      <w:r w:rsidRPr="000F6CD1">
        <w:rPr>
          <w:szCs w:val="20"/>
        </w:rPr>
        <w:t>sight two valid identity documents</w:t>
      </w:r>
    </w:p>
    <w:p w14:paraId="569F184E" w14:textId="77777777" w:rsidR="007A743C" w:rsidRPr="000F6CD1" w:rsidRDefault="007A743C" w:rsidP="00DF3F6B">
      <w:pPr>
        <w:pStyle w:val="ListParagraph"/>
        <w:numPr>
          <w:ilvl w:val="1"/>
          <w:numId w:val="84"/>
        </w:numPr>
        <w:spacing w:before="240" w:after="240" w:line="240" w:lineRule="auto"/>
      </w:pPr>
      <w:r w:rsidRPr="000F6CD1">
        <w:t>if the wallet check has been attempted but the older person is unable to produce two valid identity documents or has indicated they will provide documents at a later point, enter this information as a note in the older person record as evidence of attempting the wallet check</w:t>
      </w:r>
    </w:p>
    <w:p w14:paraId="30743AFC" w14:textId="77777777" w:rsidR="007A743C" w:rsidRPr="000F6CD1" w:rsidRDefault="007A743C" w:rsidP="00DF3F6B">
      <w:pPr>
        <w:pStyle w:val="ListParagraph"/>
        <w:numPr>
          <w:ilvl w:val="1"/>
          <w:numId w:val="84"/>
        </w:numPr>
        <w:spacing w:before="240" w:after="240" w:line="240" w:lineRule="auto"/>
      </w:pPr>
      <w:r w:rsidRPr="000F6CD1">
        <w:t>record the results on the older person’s record.</w:t>
      </w:r>
    </w:p>
    <w:p w14:paraId="7607966F" w14:textId="5E205F5F" w:rsidR="007A743C" w:rsidRPr="000F6CD1" w:rsidRDefault="007A743C" w:rsidP="00882928">
      <w:pPr>
        <w:pStyle w:val="ListParagraph"/>
        <w:numPr>
          <w:ilvl w:val="0"/>
          <w:numId w:val="79"/>
        </w:numPr>
        <w:spacing w:before="240" w:after="240" w:line="240" w:lineRule="auto"/>
      </w:pPr>
      <w:r w:rsidRPr="000F6CD1">
        <w:t xml:space="preserve">Confirm </w:t>
      </w:r>
      <w:r w:rsidRPr="000F6CD1">
        <w:rPr>
          <w:lang w:eastAsia="ko-KR"/>
        </w:rPr>
        <w:t>that the older person understands the role of the assessor and the assessment process</w:t>
      </w:r>
      <w:r w:rsidRPr="000F6CD1">
        <w:t xml:space="preserve"> and obtain the older person’s (or</w:t>
      </w:r>
      <w:r w:rsidR="00BB0B72" w:rsidRPr="000F6CD1">
        <w:t>, as appropriate, the</w:t>
      </w:r>
      <w:r w:rsidRPr="000F6CD1">
        <w:t xml:space="preserve"> active, appointed decision maker’s consent</w:t>
      </w:r>
      <w:r w:rsidR="00BB0B72" w:rsidRPr="000F6CD1">
        <w:t xml:space="preserve">, </w:t>
      </w:r>
      <w:r w:rsidRPr="000F6CD1">
        <w:t xml:space="preserve">whether or not they are a registered </w:t>
      </w:r>
      <w:r w:rsidRPr="000F6CD1">
        <w:lastRenderedPageBreak/>
        <w:t>supporter) before commencing the assessment</w:t>
      </w:r>
      <w:r w:rsidRPr="000F6CD1">
        <w:rPr>
          <w:lang w:eastAsia="ko-KR"/>
        </w:rPr>
        <w:t xml:space="preserve">. </w:t>
      </w:r>
      <w:r w:rsidRPr="000F6CD1">
        <w:t>Explain to the older person that the assessment</w:t>
      </w:r>
      <w:r w:rsidR="00882928" w:rsidRPr="000F6CD1">
        <w:t xml:space="preserve"> </w:t>
      </w:r>
      <w:r w:rsidRPr="000F6CD1">
        <w:t xml:space="preserve">has now commenced as they have provided consent, and </w:t>
      </w:r>
    </w:p>
    <w:p w14:paraId="1C2305B4" w14:textId="2990FCA6" w:rsidR="007A743C" w:rsidRPr="000F6CD1" w:rsidRDefault="00E33AC1" w:rsidP="00882928">
      <w:pPr>
        <w:pStyle w:val="ListParagraph"/>
        <w:numPr>
          <w:ilvl w:val="0"/>
          <w:numId w:val="79"/>
        </w:numPr>
        <w:spacing w:before="240" w:after="240" w:line="240" w:lineRule="auto"/>
      </w:pPr>
      <w:r w:rsidRPr="000F6CD1">
        <w:t>C</w:t>
      </w:r>
      <w:r w:rsidR="007A743C" w:rsidRPr="000F6CD1">
        <w:t>onfirm the identity of other people supporting the older person at the assessment, including the status of registered supporter and agent relationships</w:t>
      </w:r>
    </w:p>
    <w:p w14:paraId="069E9B18" w14:textId="05ACA9D0" w:rsidR="007A743C" w:rsidRPr="000F6CD1" w:rsidRDefault="007A743C" w:rsidP="00882928">
      <w:pPr>
        <w:pStyle w:val="ListParagraph"/>
        <w:numPr>
          <w:ilvl w:val="0"/>
          <w:numId w:val="79"/>
        </w:numPr>
        <w:spacing w:before="240" w:after="240" w:line="240" w:lineRule="auto"/>
      </w:pPr>
      <w:r w:rsidRPr="000F6CD1">
        <w:t xml:space="preserve">Submit requests to register supporters/agents as required and when practical, ensure </w:t>
      </w:r>
      <w:r w:rsidR="00E33AC1" w:rsidRPr="000F6CD1">
        <w:t xml:space="preserve">any </w:t>
      </w:r>
      <w:r w:rsidRPr="000F6CD1">
        <w:t xml:space="preserve">supporting documentation is uploaded, including </w:t>
      </w:r>
      <w:r w:rsidR="00E33AC1" w:rsidRPr="000F6CD1">
        <w:t xml:space="preserve">legal documentation and </w:t>
      </w:r>
      <w:r w:rsidRPr="000F6CD1">
        <w:t xml:space="preserve">medical evidence if required. </w:t>
      </w:r>
    </w:p>
    <w:p w14:paraId="01C919BC" w14:textId="2D16997B" w:rsidR="00D6246C" w:rsidRPr="000F6CD1" w:rsidRDefault="00B943D6" w:rsidP="00882928">
      <w:pPr>
        <w:pStyle w:val="ListParagraph"/>
        <w:numPr>
          <w:ilvl w:val="0"/>
          <w:numId w:val="79"/>
        </w:numPr>
        <w:spacing w:before="240" w:after="240" w:line="240" w:lineRule="auto"/>
      </w:pPr>
      <w:r w:rsidRPr="000F6CD1">
        <w:t>If the assessor is an Enrolled Nurse conducting a comprehensive assessment, they must be under direct or indirect Regist</w:t>
      </w:r>
      <w:r w:rsidR="00227C69" w:rsidRPr="000F6CD1">
        <w:t xml:space="preserve">ered Nurse supervision within the same organisation. </w:t>
      </w:r>
    </w:p>
    <w:p w14:paraId="2E47ED19" w14:textId="77777777" w:rsidR="000E0B6C" w:rsidRPr="000F6CD1" w:rsidRDefault="007A743C" w:rsidP="00806A21">
      <w:pPr>
        <w:pStyle w:val="Sub-headings"/>
      </w:pPr>
      <w:r w:rsidRPr="000F6CD1">
        <w:t xml:space="preserve">Note: </w:t>
      </w:r>
    </w:p>
    <w:p w14:paraId="0DB08CE3" w14:textId="5EDF0ECE" w:rsidR="007A743C" w:rsidRPr="000F6CD1" w:rsidRDefault="007A743C" w:rsidP="00806A21">
      <w:pPr>
        <w:pStyle w:val="Sub-headings"/>
      </w:pPr>
      <w:r w:rsidRPr="000F6CD1">
        <w:t xml:space="preserve">The older person can withdraw their consent at any time. In this case the assessment is discontinued. </w:t>
      </w:r>
      <w:bookmarkStart w:id="394" w:name="_Hlk88840709"/>
    </w:p>
    <w:p w14:paraId="42722093" w14:textId="77777777" w:rsidR="002364CD" w:rsidRPr="000F6CD1" w:rsidRDefault="002364CD" w:rsidP="00046342"/>
    <w:p w14:paraId="49199789" w14:textId="77777777" w:rsidR="007A743C" w:rsidRPr="000F6CD1" w:rsidRDefault="007A743C" w:rsidP="00AD2CE5">
      <w:pPr>
        <w:pStyle w:val="H3"/>
        <w:rPr>
          <w:color w:val="1E1444"/>
        </w:rPr>
      </w:pPr>
      <w:bookmarkStart w:id="395" w:name="_Ref212733666"/>
      <w:r w:rsidRPr="000F6CD1">
        <w:t>Wallet check</w:t>
      </w:r>
      <w:bookmarkEnd w:id="395"/>
    </w:p>
    <w:p w14:paraId="75D75003" w14:textId="17F0EA4F" w:rsidR="007A743C" w:rsidRPr="000F6CD1" w:rsidRDefault="007A743C" w:rsidP="00A677C9">
      <w:pPr>
        <w:spacing w:before="240" w:after="240" w:line="240" w:lineRule="auto"/>
      </w:pPr>
      <w:r w:rsidRPr="000F6CD1">
        <w:t xml:space="preserve">A wallet check assists to verify the older person’s identity and reduce the risk of duplicate records. Whoever has the first face-to-face contact with the older person following the creation of the older person’s record (e.g., an assessor or service provider) is expected to sight two types of valid older person identification and record this information on the older person record. The My Aged Care </w:t>
      </w:r>
      <w:r w:rsidR="0060352D" w:rsidRPr="000F6CD1">
        <w:t>assessor portal</w:t>
      </w:r>
      <w:r w:rsidRPr="000F6CD1">
        <w:t xml:space="preserve"> provides a list of types of identification that can be used for the wallet check. </w:t>
      </w:r>
    </w:p>
    <w:p w14:paraId="60257CD9" w14:textId="77777777" w:rsidR="007A743C" w:rsidRPr="000F6CD1" w:rsidRDefault="007A743C" w:rsidP="00A677C9">
      <w:pPr>
        <w:spacing w:before="240" w:after="240" w:line="240" w:lineRule="auto"/>
      </w:pPr>
      <w:r w:rsidRPr="000F6CD1">
        <w:t>The wallet check only needs to occur once. If a reassessment is being conducted for an older person who has previously had a wallet check it is best practice for the assessor to check the older person’s identification and confirm their details have not changed. Where possible</w:t>
      </w:r>
      <w:r w:rsidRPr="000F6CD1" w:rsidDel="004E5D63">
        <w:t xml:space="preserve"> </w:t>
      </w:r>
      <w:r w:rsidRPr="000F6CD1">
        <w:t xml:space="preserve">assessors should use the wallet check as an opportunity to confirm an individual’s age provided at screening or triage matches the age on their identification. If there are concerns that an individual does not meet the age eligibility requirement or one of the exceptions to undergo an assessment based on identification cited during a wallet check, the department should be contacted. </w:t>
      </w:r>
    </w:p>
    <w:p w14:paraId="54DBFD49" w14:textId="77777777" w:rsidR="000E0B6C" w:rsidRPr="000F6CD1" w:rsidRDefault="007A743C" w:rsidP="00806A21">
      <w:pPr>
        <w:pStyle w:val="Sub-headings"/>
      </w:pPr>
      <w:r w:rsidRPr="000F6CD1">
        <w:t>Note</w:t>
      </w:r>
      <w:r w:rsidR="000E0B6C" w:rsidRPr="000F6CD1">
        <w:t>:</w:t>
      </w:r>
      <w:r w:rsidRPr="000F6CD1">
        <w:t xml:space="preserve"> </w:t>
      </w:r>
    </w:p>
    <w:p w14:paraId="1933711E" w14:textId="77B3FEEC" w:rsidR="007A743C" w:rsidRPr="000F6CD1" w:rsidRDefault="000E0B6C" w:rsidP="00806A21">
      <w:pPr>
        <w:pStyle w:val="Sub-headings"/>
      </w:pPr>
      <w:r w:rsidRPr="000F6CD1">
        <w:t>T</w:t>
      </w:r>
      <w:r w:rsidR="007A743C" w:rsidRPr="000F6CD1">
        <w:t xml:space="preserve">he wallet check can be conducted at any stage of the registration or assessment process and through the Aged Care Assessor App. </w:t>
      </w:r>
    </w:p>
    <w:bookmarkEnd w:id="394"/>
    <w:p w14:paraId="65874F08" w14:textId="77777777" w:rsidR="007A743C" w:rsidRPr="000F6CD1" w:rsidRDefault="007A743C" w:rsidP="00A677C9">
      <w:pPr>
        <w:spacing w:before="240" w:after="240" w:line="240" w:lineRule="auto"/>
      </w:pPr>
    </w:p>
    <w:bookmarkEnd w:id="378"/>
    <w:p w14:paraId="12EFDC85" w14:textId="45D7166A" w:rsidR="007A743C" w:rsidRPr="000F6CD1" w:rsidRDefault="007A743C" w:rsidP="00AD2CE5">
      <w:pPr>
        <w:pStyle w:val="H3"/>
        <w:rPr>
          <w:color w:val="1E1444"/>
        </w:rPr>
      </w:pPr>
      <w:r w:rsidRPr="000F6CD1">
        <w:t>Registering a supporter</w:t>
      </w:r>
    </w:p>
    <w:p w14:paraId="16EBA266" w14:textId="77777777" w:rsidR="007A743C" w:rsidRPr="000F6CD1" w:rsidRDefault="007A743C" w:rsidP="00A677C9">
      <w:pPr>
        <w:spacing w:before="240" w:after="240" w:line="240" w:lineRule="auto"/>
      </w:pPr>
      <w:r w:rsidRPr="000F6CD1">
        <w:t xml:space="preserve">Registered supporters help older people to make and communicate their own decisions about aged care. A registered supporter can request and receive information about an older person’s aged care, help them to understand information and make their own decisions, and let people like My Aged Care and aged care providers know what the older person’s decisions are. </w:t>
      </w:r>
    </w:p>
    <w:p w14:paraId="738E8031" w14:textId="58781C5F" w:rsidR="007A743C" w:rsidRPr="000F6CD1" w:rsidRDefault="007A743C" w:rsidP="00A677C9">
      <w:pPr>
        <w:spacing w:before="240" w:after="240" w:line="240" w:lineRule="auto"/>
      </w:pPr>
      <w:r w:rsidRPr="000F6CD1">
        <w:t>During an assessment</w:t>
      </w:r>
      <w:r w:rsidR="004208D3" w:rsidRPr="000F6CD1">
        <w:t>,</w:t>
      </w:r>
      <w:r w:rsidRPr="000F6CD1">
        <w:t xml:space="preserve"> an older person and/or their prospective supporter can request to register a supporter relationship by:</w:t>
      </w:r>
    </w:p>
    <w:p w14:paraId="3CD8C054" w14:textId="14A01AC6" w:rsidR="007A743C" w:rsidRPr="000F6CD1" w:rsidRDefault="007A743C" w:rsidP="00DF3F6B">
      <w:pPr>
        <w:pStyle w:val="ListParagraph"/>
        <w:numPr>
          <w:ilvl w:val="0"/>
          <w:numId w:val="79"/>
        </w:numPr>
        <w:spacing w:before="240" w:after="240" w:line="240" w:lineRule="auto"/>
      </w:pPr>
      <w:r w:rsidRPr="000F6CD1">
        <w:lastRenderedPageBreak/>
        <w:t xml:space="preserve">completing the </w:t>
      </w:r>
      <w:hyperlink r:id="rId149" w:history="1">
        <w:r w:rsidRPr="000F6CD1">
          <w:rPr>
            <w:rStyle w:val="Hyperlink"/>
          </w:rPr>
          <w:t>Registration of a Supporter form</w:t>
        </w:r>
      </w:hyperlink>
      <w:r w:rsidRPr="000F6CD1">
        <w:t xml:space="preserve">. The assessor can upload the form and any associated documentation to the client’s record. </w:t>
      </w:r>
      <w:r w:rsidR="00D37D3D" w:rsidRPr="000F6CD1">
        <w:rPr>
          <w:b/>
          <w:bCs/>
        </w:rPr>
        <w:t>Note:</w:t>
      </w:r>
      <w:r w:rsidR="00D37D3D" w:rsidRPr="000F6CD1">
        <w:t xml:space="preserve"> a registration form may also be generated following the completion </w:t>
      </w:r>
      <w:r w:rsidR="003A0BB3" w:rsidRPr="000F6CD1">
        <w:t xml:space="preserve">of </w:t>
      </w:r>
      <w:r w:rsidR="00D37D3D" w:rsidRPr="000F6CD1">
        <w:t xml:space="preserve">the </w:t>
      </w:r>
      <w:hyperlink r:id="rId150" w:history="1">
        <w:r w:rsidR="00D37D3D" w:rsidRPr="000F6CD1">
          <w:rPr>
            <w:rStyle w:val="Hyperlink"/>
          </w:rPr>
          <w:t>online registration form</w:t>
        </w:r>
      </w:hyperlink>
      <w:r w:rsidR="00D37D3D" w:rsidRPr="000F6CD1">
        <w:t xml:space="preserve"> through the My Aged Care website. This will look different to the Registration of a Supporter form but should have all the same information. Assessors should treat it the same as the Registration of a Supporter form</w:t>
      </w:r>
      <w:r w:rsidR="00B23AB0" w:rsidRPr="000F6CD1">
        <w:t xml:space="preserve">. </w:t>
      </w:r>
    </w:p>
    <w:p w14:paraId="625718FA" w14:textId="79F93AF4" w:rsidR="007A743C" w:rsidRPr="000F6CD1" w:rsidRDefault="007A743C" w:rsidP="00DF3F6B">
      <w:pPr>
        <w:pStyle w:val="ListParagraph"/>
        <w:numPr>
          <w:ilvl w:val="0"/>
          <w:numId w:val="79"/>
        </w:numPr>
        <w:spacing w:before="240" w:after="240" w:line="240" w:lineRule="auto"/>
      </w:pPr>
      <w:r w:rsidRPr="000F6CD1">
        <w:t xml:space="preserve">submitting a registration request online with the assessor via the </w:t>
      </w:r>
      <w:r w:rsidR="0060352D" w:rsidRPr="000F6CD1">
        <w:t>assessor portal</w:t>
      </w:r>
      <w:r w:rsidRPr="000F6CD1">
        <w:t xml:space="preserve"> or app, including uploading any associated documentation. If necessary, the Aged Care Assessor App camera can take a photo of document</w:t>
      </w:r>
      <w:r w:rsidR="00F77636" w:rsidRPr="000F6CD1">
        <w:t>/s</w:t>
      </w:r>
      <w:r w:rsidRPr="000F6CD1">
        <w:t xml:space="preserve"> to upload as an attachment as long as the document photographs are clear and readable. </w:t>
      </w:r>
    </w:p>
    <w:p w14:paraId="42660D15" w14:textId="527CE15C" w:rsidR="007A743C" w:rsidRPr="000F6CD1" w:rsidRDefault="007A743C" w:rsidP="00A677C9">
      <w:pPr>
        <w:spacing w:before="240" w:after="240" w:line="240" w:lineRule="auto"/>
      </w:pPr>
      <w:r w:rsidRPr="000F6CD1">
        <w:t>A completed registration form and any associated documentation can be uploaded to the client’s record.</w:t>
      </w:r>
      <w:r w:rsidRPr="000F6CD1" w:rsidDel="00635C7B">
        <w:t xml:space="preserve"> </w:t>
      </w:r>
      <w:r w:rsidRPr="000F6CD1">
        <w:t xml:space="preserve">The prospective supporter can also mail a copy of the documents to My Aged Care </w:t>
      </w:r>
      <w:r w:rsidR="00055885" w:rsidRPr="000F6CD1">
        <w:t>,</w:t>
      </w:r>
      <w:r w:rsidRPr="000F6CD1">
        <w:t xml:space="preserve"> and the assessor can write a note in the older person’s record of this undertaking (see </w:t>
      </w:r>
      <w:r w:rsidR="00624630">
        <w:fldChar w:fldCharType="begin"/>
      </w:r>
      <w:r w:rsidR="00624630">
        <w:instrText xml:space="preserve"> REF _Ref233289737 \h </w:instrText>
      </w:r>
      <w:r w:rsidR="00624630">
        <w:fldChar w:fldCharType="separate"/>
      </w:r>
      <w:r w:rsidR="004B171E" w:rsidRPr="000F6CD1">
        <w:t>APPENDIX B – Contact details</w:t>
      </w:r>
      <w:r w:rsidR="00624630">
        <w:fldChar w:fldCharType="end"/>
      </w:r>
      <w:r w:rsidR="00624630">
        <w:t>.)</w:t>
      </w:r>
    </w:p>
    <w:p w14:paraId="046A23D0" w14:textId="77777777" w:rsidR="000E0B6C" w:rsidRPr="000F6CD1" w:rsidRDefault="007A743C" w:rsidP="00806A21">
      <w:pPr>
        <w:pStyle w:val="Sub-headings"/>
      </w:pPr>
      <w:r w:rsidRPr="000F6CD1">
        <w:t xml:space="preserve">Note: </w:t>
      </w:r>
    </w:p>
    <w:p w14:paraId="5CAA4DA4" w14:textId="38C5AB26" w:rsidR="00C214EE" w:rsidRPr="000F6CD1" w:rsidRDefault="007A743C" w:rsidP="00806A21">
      <w:pPr>
        <w:pStyle w:val="Sub-headings"/>
      </w:pPr>
      <w:r w:rsidRPr="000F6CD1">
        <w:t xml:space="preserve">Updated consent scripting and declarations for the registration of a supporter </w:t>
      </w:r>
      <w:r w:rsidRPr="000F6CD1">
        <w:rPr>
          <w:u w:val="single"/>
        </w:rPr>
        <w:t>must</w:t>
      </w:r>
      <w:r w:rsidRPr="000F6CD1">
        <w:t xml:space="preserve"> be used by assessors if they are assisting an older person or prospective supporter through the registration process. These will be available on the Assessor Portal or App, and the printed </w:t>
      </w:r>
      <w:r w:rsidR="00C214EE" w:rsidRPr="000F6CD1">
        <w:t>Registration of a Supporter</w:t>
      </w:r>
      <w:r w:rsidRPr="000F6CD1" w:rsidDel="00C214EE">
        <w:t xml:space="preserve"> </w:t>
      </w:r>
      <w:r w:rsidRPr="000F6CD1">
        <w:t>form</w:t>
      </w:r>
      <w:r w:rsidR="00C214EE" w:rsidRPr="000F6CD1">
        <w:t xml:space="preserve">. </w:t>
      </w:r>
    </w:p>
    <w:p w14:paraId="0A9D3323" w14:textId="55A65200" w:rsidR="002364CD" w:rsidRPr="000F6CD1" w:rsidRDefault="00C214EE" w:rsidP="001E3882">
      <w:r w:rsidRPr="000F6CD1">
        <w:t>Assessors must not use scripting or forms previously used for the appointment of regular or authorised representatives</w:t>
      </w:r>
      <w:r w:rsidR="00F93408" w:rsidRPr="000F6CD1">
        <w:t>, as these are not relevant to the registered supporter role</w:t>
      </w:r>
      <w:r w:rsidRPr="000F6CD1">
        <w:t>.</w:t>
      </w:r>
    </w:p>
    <w:p w14:paraId="79A7861C" w14:textId="77777777" w:rsidR="007A743C" w:rsidRPr="000F6CD1" w:rsidRDefault="007A743C" w:rsidP="00A677C9">
      <w:pPr>
        <w:spacing w:before="240" w:after="240" w:line="240" w:lineRule="auto"/>
      </w:pPr>
      <w:r w:rsidRPr="000F6CD1">
        <w:t xml:space="preserve">It is important to note that while assessors can collect and submit the required information, they may not be able to confirm or approve the registration of a supporter relationship, depending on the circumstances. For example, </w:t>
      </w:r>
      <w:r w:rsidR="00055885" w:rsidRPr="000F6CD1">
        <w:t xml:space="preserve">some </w:t>
      </w:r>
      <w:r w:rsidRPr="000F6CD1">
        <w:t>applications must be escalated to the departmental team responsible for supporters to consider before a decision to register can be made. This includes applications:</w:t>
      </w:r>
    </w:p>
    <w:p w14:paraId="2AD0EADE" w14:textId="77777777" w:rsidR="007A743C" w:rsidRPr="000F6CD1" w:rsidRDefault="007A743C" w:rsidP="00DF3F6B">
      <w:pPr>
        <w:pStyle w:val="ListParagraph"/>
        <w:numPr>
          <w:ilvl w:val="0"/>
          <w:numId w:val="79"/>
        </w:numPr>
        <w:spacing w:before="240" w:after="240" w:line="240" w:lineRule="auto"/>
      </w:pPr>
      <w:r w:rsidRPr="000F6CD1">
        <w:t>where the prospective supporter has declared a conflict of interest</w:t>
      </w:r>
    </w:p>
    <w:p w14:paraId="2BCF0285" w14:textId="1125150D" w:rsidR="007A743C" w:rsidRPr="000F6CD1" w:rsidRDefault="007A743C" w:rsidP="00DF3F6B">
      <w:pPr>
        <w:pStyle w:val="ListParagraph"/>
        <w:numPr>
          <w:ilvl w:val="0"/>
          <w:numId w:val="79"/>
        </w:numPr>
        <w:spacing w:before="240" w:after="240" w:line="240" w:lineRule="auto"/>
      </w:pPr>
      <w:r w:rsidRPr="000F6CD1">
        <w:t>where there is anything to suggest the prospective supporter cannot comply with the duties of a supporter</w:t>
      </w:r>
      <w:r w:rsidR="00A2500D" w:rsidRPr="000F6CD1">
        <w:t xml:space="preserve"> (e.g., the prospective supporter </w:t>
      </w:r>
      <w:r w:rsidR="0092611C" w:rsidRPr="000F6CD1">
        <w:t xml:space="preserve">is currently suspended or </w:t>
      </w:r>
      <w:r w:rsidR="00A2500D" w:rsidRPr="000F6CD1">
        <w:t>had a previous registered supporter relationship cancelled)</w:t>
      </w:r>
      <w:r w:rsidRPr="000F6CD1">
        <w:t>, or  </w:t>
      </w:r>
    </w:p>
    <w:p w14:paraId="3FA060D0" w14:textId="05BD6EC1" w:rsidR="007A743C" w:rsidRPr="000F6CD1" w:rsidRDefault="007A743C" w:rsidP="00DF3F6B">
      <w:pPr>
        <w:pStyle w:val="ListParagraph"/>
        <w:numPr>
          <w:ilvl w:val="0"/>
          <w:numId w:val="79"/>
        </w:numPr>
        <w:spacing w:before="240" w:after="240" w:line="240" w:lineRule="auto"/>
      </w:pPr>
      <w:r w:rsidRPr="000F6CD1">
        <w:t xml:space="preserve">where the prospective supporter </w:t>
      </w:r>
      <w:r w:rsidR="009D0231" w:rsidRPr="000F6CD1">
        <w:t>wishes to rely on their authority as an</w:t>
      </w:r>
      <w:r w:rsidRPr="000F6CD1">
        <w:t xml:space="preserve"> appointed decision maker </w:t>
      </w:r>
      <w:r w:rsidR="008B3300" w:rsidRPr="000F6CD1">
        <w:t>recognised under the Act</w:t>
      </w:r>
      <w:r w:rsidRPr="000F6CD1">
        <w:t xml:space="preserve"> and must provide additional documentation like legal and medical evidence.</w:t>
      </w:r>
      <w:r w:rsidR="0092611C" w:rsidRPr="000F6CD1">
        <w:t xml:space="preserve"> These documents must be submitted to, and validated by, the departmental delegate responsible for supporters.</w:t>
      </w:r>
      <w:r w:rsidRPr="000F6CD1">
        <w:t> </w:t>
      </w:r>
    </w:p>
    <w:p w14:paraId="06AEE3C2" w14:textId="015BEA43" w:rsidR="007A743C" w:rsidRPr="000F6CD1" w:rsidRDefault="0092611C" w:rsidP="00A677C9">
      <w:pPr>
        <w:spacing w:before="240" w:after="240" w:line="240" w:lineRule="auto"/>
      </w:pPr>
      <w:r w:rsidRPr="000F6CD1">
        <w:t>T</w:t>
      </w:r>
      <w:r w:rsidR="007A743C" w:rsidRPr="000F6CD1">
        <w:t>he My Aged Care website include</w:t>
      </w:r>
      <w:r w:rsidRPr="000F6CD1">
        <w:t>s</w:t>
      </w:r>
      <w:r w:rsidR="007A743C" w:rsidRPr="000F6CD1">
        <w:t xml:space="preserve"> information on the various ways a person can request to register, or become, a supporter.</w:t>
      </w:r>
      <w:r w:rsidR="00A2500D" w:rsidRPr="000F6CD1">
        <w:t xml:space="preserve"> </w:t>
      </w:r>
    </w:p>
    <w:p w14:paraId="1C34084C" w14:textId="4CC5F854" w:rsidR="005D56E0" w:rsidRPr="000F6CD1" w:rsidRDefault="005D56E0" w:rsidP="00A677C9">
      <w:pPr>
        <w:spacing w:before="240" w:after="240" w:line="240" w:lineRule="auto"/>
        <w:rPr>
          <w:b/>
        </w:rPr>
      </w:pPr>
    </w:p>
    <w:tbl>
      <w:tblPr>
        <w:tblStyle w:val="TableGrid"/>
        <w:tblW w:w="0" w:type="auto"/>
        <w:tblLook w:val="04A0" w:firstRow="1" w:lastRow="0" w:firstColumn="1" w:lastColumn="0" w:noHBand="0" w:noVBand="1"/>
      </w:tblPr>
      <w:tblGrid>
        <w:gridCol w:w="845"/>
        <w:gridCol w:w="7921"/>
      </w:tblGrid>
      <w:tr w:rsidR="008B6B13" w:rsidRPr="000F6CD1" w14:paraId="0987035C" w14:textId="77777777">
        <w:trPr>
          <w:trHeight w:val="300"/>
        </w:trPr>
        <w:tc>
          <w:tcPr>
            <w:tcW w:w="846" w:type="dxa"/>
          </w:tcPr>
          <w:p w14:paraId="7A122ECC" w14:textId="77777777" w:rsidR="008B6B13" w:rsidRPr="000F6CD1" w:rsidRDefault="008B6B13">
            <w:pPr>
              <w:pStyle w:val="NormalText"/>
              <w:spacing w:before="240" w:after="240" w:line="240" w:lineRule="auto"/>
              <w:rPr>
                <w:rFonts w:eastAsiaTheme="majorEastAsia" w:cs="Arial"/>
                <w:b/>
                <w:bCs/>
                <w:color w:val="1E1444"/>
                <w:szCs w:val="24"/>
                <w:shd w:val="clear" w:color="auto" w:fill="auto"/>
                <w:lang w:eastAsia="en-AU"/>
              </w:rPr>
            </w:pPr>
            <w:r w:rsidRPr="000F6CD1">
              <w:rPr>
                <w:noProof/>
                <w:shd w:val="clear" w:color="auto" w:fill="FFFFFF" w:themeFill="background1"/>
              </w:rPr>
              <w:drawing>
                <wp:inline distT="0" distB="0" distL="0" distR="0" wp14:anchorId="1B9898EC" wp14:editId="1897C700">
                  <wp:extent cx="383111" cy="381000"/>
                  <wp:effectExtent l="0" t="0" r="0" b="0"/>
                  <wp:docPr id="1076623103" name="Picture 107662310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23103" name="Picture 1076623103"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1FB34BD" w14:textId="48E001C8" w:rsidR="008B6B13" w:rsidRPr="000F6CD1" w:rsidRDefault="0060177B">
            <w:pPr>
              <w:pStyle w:val="NormalText"/>
              <w:spacing w:before="240" w:after="240" w:line="240" w:lineRule="auto"/>
            </w:pPr>
            <w:hyperlink r:id="rId151" w:history="1">
              <w:r>
                <w:rPr>
                  <w:rStyle w:val="Hyperlink"/>
                </w:rPr>
                <w:t>My Aged Care - Registering a Supporter</w:t>
              </w:r>
            </w:hyperlink>
          </w:p>
          <w:p w14:paraId="269A53A1" w14:textId="4AB02715" w:rsidR="008B6B13" w:rsidRPr="000F6CD1" w:rsidRDefault="0060177B">
            <w:pPr>
              <w:pStyle w:val="NormalText"/>
              <w:spacing w:before="240" w:after="240" w:line="240" w:lineRule="auto"/>
              <w:rPr>
                <w:rFonts w:eastAsiaTheme="majorEastAsia" w:cs="Arial"/>
                <w:b/>
                <w:bCs/>
                <w:color w:val="1E1444"/>
                <w:szCs w:val="24"/>
                <w:shd w:val="clear" w:color="auto" w:fill="auto"/>
                <w:lang w:eastAsia="en-AU"/>
              </w:rPr>
            </w:pPr>
            <w:hyperlink r:id="rId152" w:history="1">
              <w:r>
                <w:rPr>
                  <w:rStyle w:val="Hyperlink"/>
                </w:rPr>
                <w:t>My Aged Care - Registered Supporter Resources</w:t>
              </w:r>
            </w:hyperlink>
            <w:r w:rsidR="008B6B13" w:rsidRPr="000F6CD1">
              <w:t>.</w:t>
            </w:r>
          </w:p>
        </w:tc>
      </w:tr>
    </w:tbl>
    <w:p w14:paraId="654F9C26" w14:textId="121B02EF" w:rsidR="007A743C" w:rsidRPr="000F6CD1" w:rsidRDefault="007A743C" w:rsidP="00A677C9">
      <w:pPr>
        <w:spacing w:before="240" w:after="240" w:line="240" w:lineRule="auto"/>
      </w:pPr>
      <w:r w:rsidRPr="000F6CD1">
        <w:rPr>
          <w:lang w:eastAsia="ko-KR"/>
        </w:rPr>
        <w:t xml:space="preserve">If, in submitting a request to register a supporter </w:t>
      </w:r>
      <w:r w:rsidR="00787E11" w:rsidRPr="000F6CD1">
        <w:rPr>
          <w:lang w:eastAsia="ko-KR"/>
        </w:rPr>
        <w:t>who wishes to rely on their authority as an</w:t>
      </w:r>
      <w:r w:rsidRPr="000F6CD1">
        <w:rPr>
          <w:lang w:eastAsia="ko-KR"/>
        </w:rPr>
        <w:t xml:space="preserve"> appointed decision maker </w:t>
      </w:r>
      <w:r w:rsidR="008A5837" w:rsidRPr="000F6CD1">
        <w:rPr>
          <w:lang w:eastAsia="ko-KR"/>
        </w:rPr>
        <w:t xml:space="preserve">recognised under the Act </w:t>
      </w:r>
      <w:r w:rsidRPr="000F6CD1">
        <w:rPr>
          <w:lang w:eastAsia="ko-KR"/>
        </w:rPr>
        <w:t xml:space="preserve">for the older person, </w:t>
      </w:r>
      <w:r w:rsidR="00DE704B" w:rsidRPr="000F6CD1">
        <w:rPr>
          <w:lang w:eastAsia="ko-KR"/>
        </w:rPr>
        <w:t xml:space="preserve">proof of legal </w:t>
      </w:r>
      <w:r w:rsidR="00DE704B" w:rsidRPr="000F6CD1">
        <w:rPr>
          <w:lang w:eastAsia="ko-KR"/>
        </w:rPr>
        <w:lastRenderedPageBreak/>
        <w:t>decision-making authority</w:t>
      </w:r>
      <w:r w:rsidRPr="000F6CD1">
        <w:rPr>
          <w:lang w:eastAsia="ko-KR"/>
        </w:rPr>
        <w:t xml:space="preserve"> cannot be obtained, advise the pending registered supporter to provide the required </w:t>
      </w:r>
      <w:r w:rsidR="000E0BD7" w:rsidRPr="000F6CD1">
        <w:rPr>
          <w:lang w:eastAsia="ko-KR"/>
        </w:rPr>
        <w:t xml:space="preserve">proof, including any legal or medical documentation </w:t>
      </w:r>
      <w:r w:rsidRPr="000F6CD1">
        <w:rPr>
          <w:lang w:eastAsia="ko-KR"/>
        </w:rPr>
        <w:t xml:space="preserve">to the </w:t>
      </w:r>
      <w:r w:rsidR="000E0BD7" w:rsidRPr="000F6CD1">
        <w:rPr>
          <w:lang w:eastAsia="ko-KR"/>
        </w:rPr>
        <w:t xml:space="preserve">delegate </w:t>
      </w:r>
      <w:r w:rsidRPr="000F6CD1">
        <w:rPr>
          <w:lang w:eastAsia="ko-KR"/>
        </w:rPr>
        <w:t xml:space="preserve">team responsible for registered supporters. This team will process the documents and if validated, register the relationship. </w:t>
      </w:r>
    </w:p>
    <w:p w14:paraId="3A264A3A" w14:textId="7D851BA3" w:rsidR="007A743C" w:rsidRPr="000F6CD1" w:rsidRDefault="007A743C" w:rsidP="006647CE">
      <w:pPr>
        <w:pStyle w:val="h2"/>
      </w:pPr>
      <w:bookmarkStart w:id="396" w:name="_Toc209188985"/>
      <w:bookmarkStart w:id="397" w:name="_Toc233282446"/>
      <w:r w:rsidRPr="000F6CD1">
        <w:t>Undertaking an assessment using the Integrated Assessment Tool</w:t>
      </w:r>
      <w:bookmarkEnd w:id="396"/>
      <w:bookmarkEnd w:id="397"/>
    </w:p>
    <w:p w14:paraId="463CA34F" w14:textId="4DAB398E" w:rsidR="007A743C" w:rsidRPr="000F6CD1" w:rsidRDefault="6FEDC61C" w:rsidP="00A677C9">
      <w:pPr>
        <w:spacing w:before="240" w:after="240" w:line="240" w:lineRule="auto"/>
      </w:pPr>
      <w:r w:rsidRPr="000F6CD1">
        <w:rPr>
          <w:rFonts w:eastAsia="Arial"/>
        </w:rPr>
        <w:t>The assessment starts with getting the older person’s consent. Consent from the older person, or their active, appointed decision maker</w:t>
      </w:r>
      <w:r w:rsidR="00CC2BD8" w:rsidRPr="000F6CD1">
        <w:rPr>
          <w:rFonts w:eastAsia="Arial"/>
        </w:rPr>
        <w:t xml:space="preserve"> recognised under the Act</w:t>
      </w:r>
      <w:r w:rsidRPr="000F6CD1">
        <w:rPr>
          <w:rFonts w:eastAsia="Arial"/>
        </w:rPr>
        <w:t xml:space="preserve"> is recorded on the IAT.</w:t>
      </w:r>
      <w:r w:rsidR="009F1603" w:rsidRPr="000F6CD1">
        <w:rPr>
          <w:rFonts w:eastAsia="Arial"/>
        </w:rPr>
        <w:t xml:space="preserve"> </w:t>
      </w:r>
      <w:r w:rsidR="007A743C" w:rsidRPr="000F6CD1">
        <w:t xml:space="preserve">The IAT is an assessment tool that has been designed to support skilled assessors to </w:t>
      </w:r>
      <w:r w:rsidR="002B7393" w:rsidRPr="000F6CD1">
        <w:t xml:space="preserve">assess </w:t>
      </w:r>
      <w:r w:rsidR="007A743C" w:rsidRPr="000F6CD1">
        <w:t>a client’s aged care needs. It comprises questions across social, physical, medical, cognitive, and psychological domains as well as home and personal safety, risk of vulnerability and support considerations.</w:t>
      </w:r>
    </w:p>
    <w:p w14:paraId="1F51EC1C" w14:textId="2151D852" w:rsidR="007A743C" w:rsidRPr="000F6CD1" w:rsidRDefault="007A743C" w:rsidP="00A677C9">
      <w:pPr>
        <w:spacing w:before="240" w:after="240" w:line="240" w:lineRule="auto"/>
      </w:pPr>
      <w:r w:rsidRPr="000F6CD1">
        <w:t>The IAT is divided into t</w:t>
      </w:r>
      <w:r w:rsidR="00FD4082" w:rsidRPr="000F6CD1">
        <w:t>hirteen</w:t>
      </w:r>
      <w:r w:rsidRPr="000F6CD1">
        <w:t xml:space="preserve"> sections. Some sections of the IAT contain nested questions to tailor assessments, only diving deeper into areas where needed. This means that some question sets or validated tools in the IAT will only display to the assessor if certain answers are selected to the question directly proceeding it. The IAT integrates eleven validated tools directly into the assessment process, enhancing the depth and clinical relevance of the assessment.</w:t>
      </w:r>
    </w:p>
    <w:p w14:paraId="24DBC2EB" w14:textId="6D097593" w:rsidR="007A743C" w:rsidRPr="000F6CD1" w:rsidRDefault="007A743C" w:rsidP="00A677C9">
      <w:pPr>
        <w:spacing w:before="240" w:after="240" w:line="240" w:lineRule="auto"/>
      </w:pPr>
      <w:r w:rsidRPr="000F6CD1">
        <w:t xml:space="preserve">Assessors may wish to use assessment tools not included in the Validated Assessment </w:t>
      </w:r>
      <w:r w:rsidR="000C1718" w:rsidRPr="000F6CD1">
        <w:t>T</w:t>
      </w:r>
      <w:r w:rsidRPr="000F6CD1">
        <w:t xml:space="preserve">ools within the IAT to enhance assessment and strengthen objective evidence for an assessment recommendation(s). This is at the discretion of the assessment organisation. Each assessment organisation is responsible for providing their assessment staff with training on how to use these </w:t>
      </w:r>
      <w:r w:rsidR="002343C2">
        <w:t>Validated Assess</w:t>
      </w:r>
      <w:r w:rsidR="004A7E49">
        <w:t>ment T</w:t>
      </w:r>
      <w:r w:rsidRPr="000F6CD1">
        <w:t xml:space="preserve">ools. General information about each tool is provided in assessor induction training but additional training </w:t>
      </w:r>
      <w:r w:rsidR="002E4996" w:rsidRPr="000F6CD1">
        <w:t xml:space="preserve">provided by the assessment organisation </w:t>
      </w:r>
      <w:r w:rsidRPr="000F6CD1">
        <w:t xml:space="preserve">is recommended to make sure each assessor understands the results from each validated tool. </w:t>
      </w:r>
    </w:p>
    <w:p w14:paraId="1DD1758F" w14:textId="1603203B" w:rsidR="007A743C" w:rsidRPr="000F6CD1" w:rsidRDefault="007A743C" w:rsidP="00A677C9">
      <w:pPr>
        <w:spacing w:before="240" w:after="240" w:line="240" w:lineRule="auto"/>
      </w:pPr>
      <w:r w:rsidRPr="000F6CD1">
        <w:t xml:space="preserve">The IAT includes decision support rules to assist assessors to make recommendations for the type of support an older person requires based on the older person’s responses to relevant questions. </w:t>
      </w:r>
    </w:p>
    <w:p w14:paraId="76FDD446" w14:textId="5F2A61DF" w:rsidR="00882928" w:rsidRPr="000F6CD1" w:rsidRDefault="007A743C" w:rsidP="008B780F">
      <w:pPr>
        <w:spacing w:before="240" w:after="240" w:line="240" w:lineRule="auto"/>
      </w:pPr>
      <w:r w:rsidRPr="000F6CD1">
        <w:t>In completing the IAT, the assessment information should include:</w:t>
      </w:r>
    </w:p>
    <w:p w14:paraId="60EE2DDE" w14:textId="77777777" w:rsidR="007A743C" w:rsidRPr="000F6CD1" w:rsidRDefault="007A743C" w:rsidP="00DF3F6B">
      <w:pPr>
        <w:pStyle w:val="ListParagraph"/>
        <w:numPr>
          <w:ilvl w:val="0"/>
          <w:numId w:val="90"/>
        </w:numPr>
        <w:spacing w:before="240" w:after="240" w:line="240" w:lineRule="auto"/>
      </w:pPr>
      <w:r w:rsidRPr="000F6CD1">
        <w:t xml:space="preserve">evidence </w:t>
      </w:r>
      <w:r w:rsidRPr="000F6CD1">
        <w:rPr>
          <w:rFonts w:eastAsia="Arial"/>
          <w:szCs w:val="22"/>
        </w:rPr>
        <w:t>that</w:t>
      </w:r>
      <w:r w:rsidRPr="000F6CD1">
        <w:t xml:space="preserve"> the assessor has explored the older person’s own supports and/or non-funded services (e.g., state and local government programs, private services) as options to help maintain their independence.</w:t>
      </w:r>
    </w:p>
    <w:p w14:paraId="0BF5108C" w14:textId="106654BD" w:rsidR="027C059F" w:rsidRPr="000F6CD1" w:rsidRDefault="027C059F" w:rsidP="3FD93375">
      <w:pPr>
        <w:pStyle w:val="ListParagraph"/>
        <w:numPr>
          <w:ilvl w:val="0"/>
          <w:numId w:val="90"/>
        </w:numPr>
        <w:spacing w:before="240" w:after="240" w:line="240" w:lineRule="auto"/>
        <w:rPr>
          <w:rFonts w:eastAsia="Arial"/>
          <w:szCs w:val="22"/>
        </w:rPr>
      </w:pPr>
      <w:r w:rsidRPr="000F6CD1">
        <w:rPr>
          <w:rFonts w:eastAsia="Arial"/>
          <w:szCs w:val="22"/>
        </w:rPr>
        <w:t xml:space="preserve">evidence that the assessor has explored, observed and understands the older person’s needs, concerns, strengths and goals to justify the assessor’s recommendations for all </w:t>
      </w:r>
      <w:r w:rsidR="006020DA" w:rsidRPr="000F6CD1">
        <w:rPr>
          <w:rFonts w:eastAsia="Arial"/>
          <w:szCs w:val="22"/>
        </w:rPr>
        <w:t>a</w:t>
      </w:r>
      <w:r w:rsidRPr="000F6CD1">
        <w:rPr>
          <w:rFonts w:eastAsia="Arial"/>
          <w:szCs w:val="22"/>
        </w:rPr>
        <w:t xml:space="preserve">ged </w:t>
      </w:r>
      <w:r w:rsidR="006020DA" w:rsidRPr="000F6CD1">
        <w:rPr>
          <w:rFonts w:eastAsia="Arial"/>
          <w:szCs w:val="22"/>
        </w:rPr>
        <w:t>c</w:t>
      </w:r>
      <w:r w:rsidRPr="000F6CD1">
        <w:rPr>
          <w:rFonts w:eastAsia="Arial"/>
          <w:szCs w:val="22"/>
        </w:rPr>
        <w:t>are services.</w:t>
      </w:r>
    </w:p>
    <w:p w14:paraId="2C62990F" w14:textId="77777777" w:rsidR="007A743C" w:rsidRPr="000F6CD1" w:rsidRDefault="007A743C" w:rsidP="00DF3F6B">
      <w:pPr>
        <w:pStyle w:val="ListParagraph"/>
        <w:numPr>
          <w:ilvl w:val="0"/>
          <w:numId w:val="90"/>
        </w:numPr>
        <w:spacing w:before="240" w:after="240" w:line="240" w:lineRule="auto"/>
      </w:pPr>
      <w:r w:rsidRPr="000F6CD1">
        <w:t xml:space="preserve">evidence of supporting an older person’s communication or support person needs. </w:t>
      </w:r>
    </w:p>
    <w:p w14:paraId="5D968E24" w14:textId="77777777" w:rsidR="007A743C" w:rsidRPr="000F6CD1" w:rsidRDefault="007A743C" w:rsidP="00DF3F6B">
      <w:pPr>
        <w:pStyle w:val="ListParagraph"/>
        <w:numPr>
          <w:ilvl w:val="0"/>
          <w:numId w:val="90"/>
        </w:numPr>
        <w:spacing w:before="240" w:after="240" w:line="240" w:lineRule="auto"/>
      </w:pPr>
      <w:r w:rsidRPr="000F6CD1">
        <w:t>a completed ‘Support Considerations’ section to demonstrate an understanding of what is important for the older person in regard to how support is provided, such as the below list (note some of these may be sensitive topics):</w:t>
      </w:r>
    </w:p>
    <w:p w14:paraId="73D7F608" w14:textId="77777777" w:rsidR="007A743C" w:rsidRPr="000F6CD1" w:rsidRDefault="007A743C" w:rsidP="00DF3F6B">
      <w:pPr>
        <w:pStyle w:val="ListParagraph"/>
        <w:numPr>
          <w:ilvl w:val="1"/>
          <w:numId w:val="90"/>
        </w:numPr>
        <w:spacing w:before="240" w:after="240" w:line="240" w:lineRule="auto"/>
      </w:pPr>
      <w:r w:rsidRPr="000F6CD1">
        <w:t>any cultural and/or religious values and beliefs</w:t>
      </w:r>
    </w:p>
    <w:p w14:paraId="3F0693E2" w14:textId="77777777" w:rsidR="007A743C" w:rsidRPr="000F6CD1" w:rsidRDefault="007A743C" w:rsidP="00DF3F6B">
      <w:pPr>
        <w:pStyle w:val="ListParagraph"/>
        <w:numPr>
          <w:ilvl w:val="1"/>
          <w:numId w:val="90"/>
        </w:numPr>
        <w:spacing w:before="240" w:after="240" w:line="240" w:lineRule="auto"/>
      </w:pPr>
      <w:r w:rsidRPr="000F6CD1">
        <w:t>gender identity or sexual orientation/sexuality or experience of discrimination</w:t>
      </w:r>
    </w:p>
    <w:p w14:paraId="7A640C0E" w14:textId="77777777" w:rsidR="007A743C" w:rsidRPr="000F6CD1" w:rsidRDefault="007A743C" w:rsidP="00DF3F6B">
      <w:pPr>
        <w:pStyle w:val="ListParagraph"/>
        <w:numPr>
          <w:ilvl w:val="1"/>
          <w:numId w:val="90"/>
        </w:numPr>
        <w:spacing w:before="240" w:after="240" w:line="240" w:lineRule="auto"/>
      </w:pPr>
      <w:r w:rsidRPr="000F6CD1">
        <w:t>history of childhood experiences</w:t>
      </w:r>
    </w:p>
    <w:p w14:paraId="6B2F75CF" w14:textId="516E995E" w:rsidR="007A743C" w:rsidRPr="000F6CD1" w:rsidRDefault="1497D884" w:rsidP="00DF3F6B">
      <w:pPr>
        <w:pStyle w:val="ListParagraph"/>
        <w:numPr>
          <w:ilvl w:val="1"/>
          <w:numId w:val="90"/>
        </w:numPr>
        <w:spacing w:before="240" w:after="240" w:line="240" w:lineRule="auto"/>
      </w:pPr>
      <w:r w:rsidRPr="000F6CD1">
        <w:t>l</w:t>
      </w:r>
      <w:r w:rsidR="007A743C" w:rsidRPr="000F6CD1">
        <w:t>ife experiences including traumatic events and associated triggers</w:t>
      </w:r>
    </w:p>
    <w:p w14:paraId="16C788CD" w14:textId="77777777" w:rsidR="007A743C" w:rsidRPr="000F6CD1" w:rsidRDefault="007A743C" w:rsidP="00DF3F6B">
      <w:pPr>
        <w:pStyle w:val="ListParagraph"/>
        <w:numPr>
          <w:ilvl w:val="1"/>
          <w:numId w:val="90"/>
        </w:numPr>
        <w:spacing w:before="240" w:after="240" w:line="240" w:lineRule="auto"/>
      </w:pPr>
      <w:r w:rsidRPr="000F6CD1">
        <w:lastRenderedPageBreak/>
        <w:t>other relevant information relating to parole conditions or other information that should be sensitively discussed with the older person when developing the Support Plan and that providers should be aware of.</w:t>
      </w:r>
    </w:p>
    <w:p w14:paraId="7FD7EB06" w14:textId="77777777" w:rsidR="007A743C" w:rsidRPr="000F6CD1" w:rsidRDefault="007A743C" w:rsidP="00A677C9">
      <w:pPr>
        <w:spacing w:before="240" w:after="240" w:line="240" w:lineRule="auto"/>
      </w:pPr>
      <w:r w:rsidRPr="000F6CD1">
        <w:t xml:space="preserve">The </w:t>
      </w:r>
      <w:hyperlink r:id="rId153">
        <w:r w:rsidRPr="000F6CD1">
          <w:rPr>
            <w:rStyle w:val="Hyperlink"/>
          </w:rPr>
          <w:t>IAT User Guide</w:t>
        </w:r>
      </w:hyperlink>
      <w:r w:rsidRPr="000F6CD1">
        <w:t xml:space="preserve"> provides assessors with further advice about each question in the IAT and possible answers. </w:t>
      </w:r>
      <w:r w:rsidRPr="000F6CD1" w:rsidDel="002561D1">
        <w:t>Assessors must refer to the</w:t>
      </w:r>
      <w:r w:rsidRPr="000F6CD1">
        <w:t xml:space="preserve"> </w:t>
      </w:r>
      <w:hyperlink r:id="rId154">
        <w:r w:rsidRPr="000F6CD1">
          <w:rPr>
            <w:rStyle w:val="Hyperlink"/>
          </w:rPr>
          <w:t>IAT User Guide</w:t>
        </w:r>
      </w:hyperlink>
      <w:r w:rsidRPr="000F6CD1" w:rsidDel="002561D1">
        <w:t xml:space="preserve"> to ensure </w:t>
      </w:r>
      <w:r w:rsidRPr="000F6CD1">
        <w:t>accuracy</w:t>
      </w:r>
      <w:r w:rsidRPr="000F6CD1" w:rsidDel="002561D1">
        <w:t xml:space="preserve"> in the use of the </w:t>
      </w:r>
      <w:r w:rsidRPr="000F6CD1">
        <w:t>IAT</w:t>
      </w:r>
      <w:r w:rsidRPr="000F6CD1" w:rsidDel="002561D1">
        <w:t xml:space="preserve"> and in the delivery of high</w:t>
      </w:r>
      <w:r w:rsidRPr="000F6CD1">
        <w:t>-</w:t>
      </w:r>
      <w:r w:rsidRPr="000F6CD1" w:rsidDel="002561D1">
        <w:t xml:space="preserve">quality </w:t>
      </w:r>
      <w:r w:rsidRPr="000F6CD1">
        <w:t>a</w:t>
      </w:r>
      <w:r w:rsidRPr="000F6CD1" w:rsidDel="002561D1">
        <w:t>ssessments.</w:t>
      </w:r>
      <w:r w:rsidRPr="000F6CD1">
        <w:t xml:space="preserve"> </w:t>
      </w:r>
    </w:p>
    <w:p w14:paraId="5D25CC24" w14:textId="7A27E3B7" w:rsidR="007A743C" w:rsidRPr="00FB3031" w:rsidRDefault="008A080B" w:rsidP="00A677C9">
      <w:pPr>
        <w:spacing w:before="240" w:after="240" w:line="240" w:lineRule="auto"/>
        <w:rPr>
          <w:rFonts w:eastAsia="Aptos"/>
          <w:szCs w:val="22"/>
        </w:rPr>
      </w:pPr>
      <w:r w:rsidRPr="000F6CD1">
        <w:rPr>
          <w:bCs/>
          <w:noProof/>
        </w:rPr>
        <w:drawing>
          <wp:anchor distT="0" distB="0" distL="114300" distR="114300" simplePos="0" relativeHeight="251658286" behindDoc="0" locked="0" layoutInCell="1" allowOverlap="1" wp14:anchorId="3328E2B7" wp14:editId="2816B3F1">
            <wp:simplePos x="0" y="0"/>
            <wp:positionH relativeFrom="margin">
              <wp:align>left</wp:align>
            </wp:positionH>
            <wp:positionV relativeFrom="paragraph">
              <wp:posOffset>7185</wp:posOffset>
            </wp:positionV>
            <wp:extent cx="457200" cy="502920"/>
            <wp:effectExtent l="0" t="0" r="0" b="0"/>
            <wp:wrapSquare wrapText="bothSides"/>
            <wp:docPr id="1250303899" name="Picture 1250303899"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03899" name="Picture 1250303899" descr="A bell with an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29A03D29" w:rsidRPr="000F6CD1">
        <w:t xml:space="preserve">All mandatory questions must be completed, and it is best practice that the older person’s concerns and goals are added before finalising the IAT. </w:t>
      </w:r>
      <w:r w:rsidR="00624A70">
        <w:t>From 29 June 2026, t</w:t>
      </w:r>
      <w:r w:rsidR="2E04BCBD" w:rsidRPr="000F6CD1">
        <w:t xml:space="preserve">here will be a prompt to remind assessors to add client’s goals to the support plan before finalising the IAT </w:t>
      </w:r>
      <w:r w:rsidR="2E7F7CA7" w:rsidRPr="000F6CD1">
        <w:t xml:space="preserve">to ensure </w:t>
      </w:r>
      <w:r w:rsidR="4D2E7B02" w:rsidRPr="000F6CD1">
        <w:t>an accurate assessment of a</w:t>
      </w:r>
      <w:r w:rsidR="2E7F7CA7" w:rsidRPr="0077683E">
        <w:rPr>
          <w:rFonts w:eastAsia="Segoe UI"/>
          <w:color w:val="242424"/>
          <w:szCs w:val="22"/>
        </w:rPr>
        <w:t xml:space="preserve"> client's </w:t>
      </w:r>
      <w:r w:rsidR="53B9AA76" w:rsidRPr="0077683E">
        <w:rPr>
          <w:rFonts w:eastAsia="Segoe UI"/>
          <w:color w:val="242424"/>
          <w:szCs w:val="22"/>
        </w:rPr>
        <w:t xml:space="preserve">care </w:t>
      </w:r>
      <w:r w:rsidR="2E7F7CA7" w:rsidRPr="0077683E">
        <w:rPr>
          <w:rFonts w:eastAsia="Segoe UI"/>
          <w:color w:val="242424"/>
          <w:szCs w:val="22"/>
        </w:rPr>
        <w:t>needs</w:t>
      </w:r>
      <w:r w:rsidR="00344DC4" w:rsidRPr="0077683E">
        <w:rPr>
          <w:rFonts w:eastAsia="Segoe UI"/>
          <w:color w:val="242424"/>
          <w:szCs w:val="22"/>
        </w:rPr>
        <w:t>.</w:t>
      </w:r>
      <w:r w:rsidR="2E7F7CA7" w:rsidRPr="0077683E">
        <w:rPr>
          <w:rFonts w:eastAsia="Segoe UI"/>
          <w:color w:val="242424"/>
          <w:szCs w:val="22"/>
        </w:rPr>
        <w:t xml:space="preserve"> </w:t>
      </w:r>
      <w:r w:rsidR="634A0AF7" w:rsidRPr="0077683E">
        <w:rPr>
          <w:rFonts w:eastAsia="Segoe UI"/>
          <w:color w:val="242424"/>
          <w:szCs w:val="22"/>
        </w:rPr>
        <w:t>This</w:t>
      </w:r>
      <w:r w:rsidR="634A0AF7" w:rsidRPr="0077683E">
        <w:rPr>
          <w:rFonts w:eastAsia="Aptos"/>
          <w:szCs w:val="22"/>
        </w:rPr>
        <w:t xml:space="preserve"> is completed by navigating between the IAT and the support plan.</w:t>
      </w:r>
      <w:r w:rsidR="634A0AF7" w:rsidRPr="000F6CD1">
        <w:rPr>
          <w:rFonts w:eastAsia="Aptos"/>
          <w:szCs w:val="22"/>
        </w:rPr>
        <w:t xml:space="preserve"> </w:t>
      </w:r>
      <w:r w:rsidR="002B7CB3" w:rsidRPr="000F6CD1">
        <w:rPr>
          <w:rFonts w:eastAsia="Aptos"/>
          <w:szCs w:val="22"/>
        </w:rPr>
        <w:t>This change is intended to improve the accuracy of a client</w:t>
      </w:r>
      <w:r w:rsidR="00951B1E" w:rsidRPr="000F6CD1">
        <w:rPr>
          <w:rFonts w:eastAsia="Aptos"/>
          <w:szCs w:val="22"/>
        </w:rPr>
        <w:t>’</w:t>
      </w:r>
      <w:r w:rsidR="002B7CB3" w:rsidRPr="000F6CD1">
        <w:rPr>
          <w:rFonts w:eastAsia="Aptos"/>
          <w:szCs w:val="22"/>
        </w:rPr>
        <w:t xml:space="preserve">s care needs, as information captured under concerns and goals can help inform a system prompt indicating whether a client may be suitable for </w:t>
      </w:r>
      <w:r w:rsidR="0058506F" w:rsidRPr="000F6CD1">
        <w:rPr>
          <w:rFonts w:eastAsia="Aptos"/>
          <w:szCs w:val="22"/>
        </w:rPr>
        <w:t>Restorative Care</w:t>
      </w:r>
      <w:r w:rsidR="002B7CB3" w:rsidRPr="000F6CD1">
        <w:rPr>
          <w:rFonts w:eastAsia="Aptos"/>
          <w:szCs w:val="22"/>
        </w:rPr>
        <w:t xml:space="preserve">. Assessors have the option to either accept or reject this </w:t>
      </w:r>
      <w:r w:rsidR="0077683E" w:rsidRPr="000F6CD1">
        <w:rPr>
          <w:rFonts w:eastAsia="Aptos"/>
          <w:szCs w:val="22"/>
        </w:rPr>
        <w:t>prompt.</w:t>
      </w:r>
      <w:r w:rsidR="0077683E" w:rsidRPr="0077683E">
        <w:rPr>
          <w:rFonts w:eastAsia="Aptos"/>
          <w:szCs w:val="22"/>
        </w:rPr>
        <w:t xml:space="preserve"> If</w:t>
      </w:r>
      <w:r w:rsidR="634A0AF7" w:rsidRPr="0077683E">
        <w:rPr>
          <w:rFonts w:eastAsia="Aptos"/>
          <w:szCs w:val="22"/>
        </w:rPr>
        <w:t xml:space="preserve"> no client goals are required, assessors can still tick the check box in the prompt without navigating to the support </w:t>
      </w:r>
      <w:r w:rsidR="002D1CFE" w:rsidRPr="0077683E">
        <w:rPr>
          <w:rFonts w:eastAsia="Aptos"/>
          <w:szCs w:val="22"/>
        </w:rPr>
        <w:t>plan and</w:t>
      </w:r>
      <w:r w:rsidR="634A0AF7" w:rsidRPr="0077683E">
        <w:rPr>
          <w:rFonts w:eastAsia="Aptos"/>
          <w:szCs w:val="22"/>
        </w:rPr>
        <w:t xml:space="preserve"> proceed to finalise the IAT. </w:t>
      </w:r>
    </w:p>
    <w:p w14:paraId="19603B1F" w14:textId="5C2DEA3F" w:rsidR="007A743C" w:rsidRPr="000F6CD1" w:rsidRDefault="007A743C" w:rsidP="00A677C9">
      <w:pPr>
        <w:spacing w:before="240" w:after="240" w:line="240" w:lineRule="auto"/>
      </w:pPr>
      <w:r w:rsidRPr="000F6CD1">
        <w:t xml:space="preserve">The assessor then selects ‘Finalise IAT’ before moving to the support plan. This is so the </w:t>
      </w:r>
      <w:r w:rsidR="008A3590" w:rsidRPr="000F6CD1">
        <w:t xml:space="preserve">ongoing home support </w:t>
      </w:r>
      <w:r w:rsidR="002229BA" w:rsidRPr="000F6CD1">
        <w:t xml:space="preserve">Classification </w:t>
      </w:r>
      <w:r w:rsidR="00AF6709" w:rsidRPr="000F6CD1">
        <w:t>Algorithm</w:t>
      </w:r>
      <w:r w:rsidR="00E1636B" w:rsidRPr="000F6CD1">
        <w:t xml:space="preserve"> can generate an </w:t>
      </w:r>
      <w:r w:rsidR="00897405" w:rsidRPr="000F6CD1">
        <w:t>ongoing home</w:t>
      </w:r>
      <w:r w:rsidRPr="000F6CD1">
        <w:t xml:space="preserve"> support classification</w:t>
      </w:r>
      <w:r w:rsidR="00AD4F23" w:rsidRPr="000F6CD1">
        <w:t xml:space="preserve"> level (</w:t>
      </w:r>
      <w:r w:rsidR="00386B7E">
        <w:t>IAT Outcome</w:t>
      </w:r>
      <w:r w:rsidR="00AD4F23" w:rsidRPr="000F6CD1">
        <w:t xml:space="preserve"> in the system</w:t>
      </w:r>
      <w:r w:rsidR="00E74902" w:rsidRPr="000F6CD1">
        <w:t>),</w:t>
      </w:r>
      <w:r w:rsidRPr="000F6CD1">
        <w:t xml:space="preserve"> which may be a Support at Home classification or CHSP. </w:t>
      </w:r>
      <w:r w:rsidR="004B1D77" w:rsidRPr="000F6CD1">
        <w:t>A</w:t>
      </w:r>
      <w:r w:rsidRPr="000F6CD1">
        <w:t xml:space="preserve"> classification level recommendation must be made for people who choose to access services through the MPSP or NATISFACP. </w:t>
      </w:r>
    </w:p>
    <w:p w14:paraId="39DD7B08" w14:textId="45A8A17E" w:rsidR="007A743C" w:rsidRPr="000F6CD1" w:rsidRDefault="007A743C" w:rsidP="00D94233">
      <w:pPr>
        <w:spacing w:before="240" w:after="240" w:line="240" w:lineRule="auto"/>
      </w:pPr>
      <w:r w:rsidRPr="000F6CD1">
        <w:t xml:space="preserve">If the IAT has not been finalised, the </w:t>
      </w:r>
      <w:r w:rsidR="00386B7E">
        <w:t>IAT Outcome</w:t>
      </w:r>
      <w:r w:rsidRPr="000F6CD1">
        <w:t xml:space="preserve"> and classification will not be displayed. The assessor will not be able to recommend the person for funded aged care services.</w:t>
      </w:r>
    </w:p>
    <w:p w14:paraId="0924AAB4" w14:textId="77777777" w:rsidR="005C0E40" w:rsidRPr="000F6CD1" w:rsidRDefault="007A743C" w:rsidP="00A677C9">
      <w:pPr>
        <w:spacing w:before="240" w:after="240" w:line="240" w:lineRule="auto"/>
      </w:pPr>
      <w:r w:rsidRPr="000F6CD1">
        <w:t xml:space="preserve">Aboriginal and Torres Strait Islander assessment organisations will be required to use the IAT to conduct assessments and must do so in a way that is culturally safe for the region or older person. </w:t>
      </w:r>
      <w:r w:rsidR="005C0E40" w:rsidRPr="000F6CD1">
        <w:t>Assessors may conduct the assessment without a device. In such cases, the assessor should upload the information into the IAT when the assessment is completed. Assessors may also be able to make inferences from the yarn to complete the IAT.</w:t>
      </w:r>
    </w:p>
    <w:p w14:paraId="0019758B" w14:textId="72084313" w:rsidR="007A743C" w:rsidRPr="000F6CD1" w:rsidRDefault="005C0E40" w:rsidP="00A677C9">
      <w:pPr>
        <w:spacing w:before="240" w:after="240" w:line="240" w:lineRule="auto"/>
      </w:pPr>
      <w:r w:rsidRPr="000F6CD1">
        <w:t xml:space="preserve">Use the validated culturally appropriate assessment tools as needed (see the </w:t>
      </w:r>
      <w:hyperlink r:id="rId155" w:history="1">
        <w:r w:rsidRPr="000F6CD1">
          <w:rPr>
            <w:rStyle w:val="Hyperlink"/>
          </w:rPr>
          <w:t>IAT User Guide</w:t>
        </w:r>
      </w:hyperlink>
      <w:r w:rsidRPr="000F6CD1">
        <w:t xml:space="preserve"> for more information). </w:t>
      </w:r>
    </w:p>
    <w:p w14:paraId="2A50B148" w14:textId="70499235" w:rsidR="007A743C" w:rsidRPr="000F6CD1" w:rsidRDefault="00D94233" w:rsidP="00D94233">
      <w:r>
        <w:br w:type="page"/>
      </w:r>
    </w:p>
    <w:p w14:paraId="6412C46D" w14:textId="77777777" w:rsidR="00282961" w:rsidRPr="000F6CD1" w:rsidRDefault="007A743C" w:rsidP="00806A21">
      <w:pPr>
        <w:pStyle w:val="Sub-headings"/>
      </w:pPr>
      <w:r w:rsidRPr="000F6CD1">
        <w:lastRenderedPageBreak/>
        <w:t>Note</w:t>
      </w:r>
      <w:r w:rsidR="00282961" w:rsidRPr="000F6CD1">
        <w:t>:</w:t>
      </w:r>
    </w:p>
    <w:p w14:paraId="6BBF0E84" w14:textId="401A6E12" w:rsidR="007A743C" w:rsidRPr="000F6CD1" w:rsidRDefault="00282961" w:rsidP="00806A21">
      <w:pPr>
        <w:pStyle w:val="Sub-headings"/>
      </w:pPr>
      <w:r w:rsidRPr="000F6CD1">
        <w:t>F</w:t>
      </w:r>
      <w:r w:rsidR="007A743C" w:rsidRPr="000F6CD1">
        <w:t xml:space="preserve">or End-of-Life Pathway assessments, only mandatory questions that are required to run the </w:t>
      </w:r>
      <w:r w:rsidR="00386B7E">
        <w:t>IAT Outcome</w:t>
      </w:r>
      <w:r w:rsidR="007A743C" w:rsidRPr="000F6CD1">
        <w:t xml:space="preserve"> and generate a classification are required to be completed. This is to ensure the older person has a valid classification to return to if they need services beyond the End-of-Life Pathway funding period. Other questions are optional based on the individual’s needs and context.</w:t>
      </w:r>
    </w:p>
    <w:p w14:paraId="6896298E" w14:textId="77777777" w:rsidR="00FF216E" w:rsidRPr="000F6CD1" w:rsidRDefault="00FF216E" w:rsidP="00FF216E"/>
    <w:p w14:paraId="6D1FA90E" w14:textId="3652B171" w:rsidR="00FF216E" w:rsidRPr="000F6CD1" w:rsidRDefault="00FF216E" w:rsidP="00806A21">
      <w:pPr>
        <w:pStyle w:val="Sub-headings"/>
      </w:pPr>
      <w:r w:rsidRPr="000F6CD1">
        <w:t xml:space="preserve">Important: </w:t>
      </w:r>
    </w:p>
    <w:p w14:paraId="72A57200" w14:textId="2AB8B197" w:rsidR="00FF216E" w:rsidRPr="000F6CD1" w:rsidRDefault="00FF216E" w:rsidP="00806A21">
      <w:pPr>
        <w:pStyle w:val="Sub-headings"/>
      </w:pPr>
      <w:r w:rsidRPr="000F6CD1">
        <w:t xml:space="preserve">Under Support at Home, </w:t>
      </w:r>
      <w:r w:rsidR="00CB5F36">
        <w:t xml:space="preserve">the care </w:t>
      </w:r>
      <w:r w:rsidRPr="000F6CD1">
        <w:t xml:space="preserve">management supplement </w:t>
      </w:r>
      <w:r w:rsidR="005026D4">
        <w:t>may apply to a registered provider in respect of an individual</w:t>
      </w:r>
      <w:r w:rsidR="0038491C">
        <w:t xml:space="preserve"> who is a </w:t>
      </w:r>
      <w:r w:rsidRPr="000F6CD1">
        <w:t>care leaver</w:t>
      </w:r>
      <w:r w:rsidR="007E47EF">
        <w:t xml:space="preserve">. If applicable, the </w:t>
      </w:r>
      <w:r w:rsidRPr="000F6CD1">
        <w:t xml:space="preserve">care management supplement will be credited to the provider's care management account. </w:t>
      </w:r>
    </w:p>
    <w:p w14:paraId="50135AC4" w14:textId="2623B574" w:rsidR="00FF216E" w:rsidRPr="000F6CD1" w:rsidRDefault="00FF216E" w:rsidP="00806A21">
      <w:pPr>
        <w:pStyle w:val="Sub-headings"/>
      </w:pPr>
      <w:r w:rsidRPr="000F6CD1">
        <w:t xml:space="preserve">To identify </w:t>
      </w:r>
      <w:r w:rsidR="00CA06C7">
        <w:t>these</w:t>
      </w:r>
      <w:r w:rsidRPr="000F6CD1">
        <w:t xml:space="preserve"> individuals during the assessment, assessors must use the diversity fields in the IAT, which do not currently capture care leavers. </w:t>
      </w:r>
    </w:p>
    <w:p w14:paraId="118DF948" w14:textId="77777777" w:rsidR="00FF216E" w:rsidRPr="000F6CD1" w:rsidRDefault="00FF216E" w:rsidP="00806A21">
      <w:pPr>
        <w:pStyle w:val="Sub-headings"/>
      </w:pPr>
      <w:r w:rsidRPr="000F6CD1">
        <w:t xml:space="preserve">Assessors who have identified individuals who are care leavers during the assessment should select the diversity field 'a person separated from your parents or children by forced adoption or removal'. </w:t>
      </w:r>
    </w:p>
    <w:p w14:paraId="5C5227D3" w14:textId="0EA0FE19" w:rsidR="00FF216E" w:rsidRPr="000F6CD1" w:rsidRDefault="00FF216E" w:rsidP="00806A21">
      <w:pPr>
        <w:pStyle w:val="Sub-headings"/>
      </w:pPr>
      <w:r w:rsidRPr="000F6CD1">
        <w:t>This will ensure Services Australia is able to identify these individuals from the assessment and apply a care management supplement to their provider's care management account. Refer to the Support at Home Program Manual for more information on care management supplements</w:t>
      </w:r>
    </w:p>
    <w:tbl>
      <w:tblPr>
        <w:tblStyle w:val="TableGrid"/>
        <w:tblW w:w="0" w:type="auto"/>
        <w:tblLook w:val="04A0" w:firstRow="1" w:lastRow="0" w:firstColumn="1" w:lastColumn="0" w:noHBand="0" w:noVBand="1"/>
      </w:tblPr>
      <w:tblGrid>
        <w:gridCol w:w="845"/>
        <w:gridCol w:w="7921"/>
      </w:tblGrid>
      <w:tr w:rsidR="007A743C" w:rsidRPr="000F6CD1" w14:paraId="374607AC" w14:textId="77777777">
        <w:trPr>
          <w:trHeight w:val="300"/>
        </w:trPr>
        <w:tc>
          <w:tcPr>
            <w:tcW w:w="846" w:type="dxa"/>
          </w:tcPr>
          <w:p w14:paraId="1B9CC090" w14:textId="77777777"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r w:rsidRPr="000F6CD1">
              <w:rPr>
                <w:noProof/>
                <w:shd w:val="clear" w:color="auto" w:fill="FFFFFF" w:themeFill="background1"/>
              </w:rPr>
              <w:drawing>
                <wp:inline distT="0" distB="0" distL="0" distR="0" wp14:anchorId="2CF4B423" wp14:editId="43AE1C25">
                  <wp:extent cx="383111" cy="381000"/>
                  <wp:effectExtent l="0" t="0" r="0" b="0"/>
                  <wp:docPr id="1274114140" name="Picture 1274114140"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14140" name="Picture 1274114140"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1FFFC8C" w14:textId="77777777" w:rsidR="002364CD" w:rsidRPr="000F6CD1" w:rsidRDefault="002364CD" w:rsidP="00A677C9">
            <w:pPr>
              <w:pStyle w:val="NormalText"/>
              <w:spacing w:before="240" w:after="240" w:line="240" w:lineRule="auto"/>
            </w:pPr>
          </w:p>
          <w:p w14:paraId="67941712" w14:textId="77777777"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hyperlink r:id="rId156">
              <w:r w:rsidRPr="000F6CD1">
                <w:rPr>
                  <w:rStyle w:val="Hyperlink"/>
                </w:rPr>
                <w:t>IAT User Guide</w:t>
              </w:r>
            </w:hyperlink>
          </w:p>
        </w:tc>
      </w:tr>
    </w:tbl>
    <w:p w14:paraId="14A12E2C" w14:textId="77777777" w:rsidR="007A743C" w:rsidRPr="000F6CD1" w:rsidRDefault="007A743C" w:rsidP="00AD2CE5">
      <w:pPr>
        <w:pStyle w:val="H3"/>
        <w:rPr>
          <w:color w:val="1E1444"/>
        </w:rPr>
      </w:pPr>
      <w:bookmarkStart w:id="398" w:name="_Toc184026576"/>
      <w:bookmarkStart w:id="399" w:name="_Toc184402295"/>
      <w:bookmarkStart w:id="400" w:name="_Toc204329550"/>
      <w:bookmarkStart w:id="401" w:name="_Toc184026577"/>
      <w:bookmarkStart w:id="402" w:name="_Toc184402296"/>
      <w:r w:rsidRPr="000F6CD1">
        <w:t>Clinical attendance</w:t>
      </w:r>
      <w:bookmarkEnd w:id="398"/>
      <w:bookmarkEnd w:id="399"/>
      <w:bookmarkEnd w:id="400"/>
      <w:r w:rsidRPr="000F6CD1">
        <w:t xml:space="preserve"> </w:t>
      </w:r>
    </w:p>
    <w:p w14:paraId="06751BEA" w14:textId="77777777" w:rsidR="007A743C" w:rsidRPr="000F6CD1" w:rsidRDefault="007A743C" w:rsidP="00A677C9">
      <w:pPr>
        <w:spacing w:before="240" w:after="240" w:line="240" w:lineRule="auto"/>
      </w:pPr>
      <w:r w:rsidRPr="000F6CD1">
        <w:t xml:space="preserve">All sections of the IAT will be visible to both clinical and non-clinical assessors. </w:t>
      </w:r>
    </w:p>
    <w:p w14:paraId="55BC8FE3" w14:textId="1EA4CF08" w:rsidR="007A743C" w:rsidRPr="000F6CD1" w:rsidRDefault="007A743C" w:rsidP="00A677C9">
      <w:pPr>
        <w:spacing w:before="240" w:after="240" w:line="240" w:lineRule="auto"/>
      </w:pPr>
      <w:r w:rsidRPr="000F6CD1">
        <w:t xml:space="preserve">Where an assessment is initiated as a home support assessment by a non-clinical assessor and questions are triggered that require clinical judgement (referred to as clinical questions), the non-clinical assessor must arrange for the attendance of a clinical assessor to be involved in asking the clinical questions in the IAT. This process is known as clinical attendance and is supported by an assessment organisation’s Clinical </w:t>
      </w:r>
      <w:r w:rsidR="00342B20" w:rsidRPr="000F6CD1">
        <w:t xml:space="preserve">Governance </w:t>
      </w:r>
      <w:r w:rsidRPr="000F6CD1">
        <w:t xml:space="preserve">Framework (see Appendix </w:t>
      </w:r>
      <w:r w:rsidR="00A061AA" w:rsidRPr="000F6CD1">
        <w:t>C</w:t>
      </w:r>
      <w:r w:rsidRPr="000F6CD1">
        <w:t xml:space="preserve"> for guidance) and standard operating procedures. This process helps to make it easier for an older person to have their needs fully assessed without delaying their assessment or having to be transferred between assessors. The clinical attendance process is outlined in detail below. </w:t>
      </w:r>
    </w:p>
    <w:p w14:paraId="3DE8D3ED" w14:textId="77777777" w:rsidR="007A743C" w:rsidRPr="000F6CD1" w:rsidRDefault="007A743C" w:rsidP="007A743C">
      <w:pPr>
        <w:pStyle w:val="H4"/>
      </w:pPr>
      <w:r w:rsidRPr="000F6CD1">
        <w:t>Clinical attendance in practice</w:t>
      </w:r>
    </w:p>
    <w:p w14:paraId="28170A7C" w14:textId="1C027CE1" w:rsidR="007A743C" w:rsidRPr="000F6CD1" w:rsidRDefault="007A743C" w:rsidP="00A677C9">
      <w:pPr>
        <w:pStyle w:val="pf0"/>
        <w:spacing w:before="240" w:beforeAutospacing="0" w:after="240" w:afterAutospacing="0"/>
        <w:ind w:left="0"/>
        <w:rPr>
          <w:rFonts w:ascii="Arial" w:eastAsiaTheme="majorEastAsia" w:hAnsi="Arial" w:cs="Arial"/>
        </w:rPr>
      </w:pPr>
      <w:r w:rsidRPr="000F6CD1">
        <w:rPr>
          <w:rFonts w:ascii="Arial" w:eastAsiaTheme="majorEastAsia" w:hAnsi="Arial" w:cs="Arial"/>
        </w:rPr>
        <w:t xml:space="preserve">When a non-clinical assessor triggers clinical questions in the IAT, a warning message in the </w:t>
      </w:r>
      <w:r w:rsidR="00816359" w:rsidRPr="000F6CD1">
        <w:rPr>
          <w:rFonts w:ascii="Arial" w:eastAsiaTheme="majorEastAsia" w:hAnsi="Arial" w:cs="Arial"/>
        </w:rPr>
        <w:t xml:space="preserve">My Aged Care </w:t>
      </w:r>
      <w:r w:rsidRPr="000F6CD1">
        <w:rPr>
          <w:rFonts w:ascii="Arial" w:eastAsiaTheme="majorEastAsia" w:hAnsi="Arial" w:cs="Arial"/>
        </w:rPr>
        <w:t xml:space="preserve">Assessor Portal or Aged Care Assessor App will prompt the assessor to complete the section in accordance with their organisation’s clinical governance </w:t>
      </w:r>
      <w:r w:rsidRPr="000F6CD1">
        <w:rPr>
          <w:rFonts w:ascii="Arial" w:eastAsiaTheme="majorEastAsia" w:hAnsi="Arial" w:cs="Arial"/>
        </w:rPr>
        <w:lastRenderedPageBreak/>
        <w:t>framework. If the assessor is using the IAT offline form, the clinical questions are colour coded in light pink.</w:t>
      </w:r>
    </w:p>
    <w:p w14:paraId="16F9F34B" w14:textId="4B4D9AA0" w:rsidR="007A743C" w:rsidRPr="000F6CD1" w:rsidRDefault="007A743C" w:rsidP="00A677C9">
      <w:pPr>
        <w:spacing w:before="240" w:after="240" w:line="240" w:lineRule="auto"/>
      </w:pPr>
      <w:r w:rsidRPr="000F6CD1">
        <w:t xml:space="preserve">Where clinical questions are triggered, the assessor must seek clinical attendance to ask the clinical questions (listed at Appendix </w:t>
      </w:r>
      <w:r w:rsidR="002E162C" w:rsidRPr="000F6CD1">
        <w:t>D</w:t>
      </w:r>
      <w:r w:rsidRPr="000F6CD1">
        <w:t>). Clinical attendance will need to be sought from a staff member who is assigned a clinical assessor role in the My Aged Care Assessor Portal. The</w:t>
      </w:r>
      <w:r w:rsidRPr="000F6CD1" w:rsidDel="00F837EC">
        <w:t xml:space="preserve"> </w:t>
      </w:r>
      <w:r w:rsidRPr="000F6CD1">
        <w:t>ways in which clinical attendance can occur are detailed in the Table below and presented as tiers. Tier 1 is considered best practice; it is expected that an assessment organisation will adopt Tier 1 clinical attendance in the majority of cases.</w:t>
      </w:r>
    </w:p>
    <w:p w14:paraId="27927415" w14:textId="77777777" w:rsidR="00282961" w:rsidRPr="000F6CD1" w:rsidRDefault="007A743C" w:rsidP="00806A21">
      <w:pPr>
        <w:pStyle w:val="Sub-headings"/>
      </w:pPr>
      <w:r w:rsidRPr="000F6CD1">
        <w:t>Note</w:t>
      </w:r>
      <w:r w:rsidR="00282961" w:rsidRPr="000F6CD1">
        <w:t>:</w:t>
      </w:r>
    </w:p>
    <w:p w14:paraId="0DF73939" w14:textId="4CF0E8CB" w:rsidR="007A743C" w:rsidRPr="000F6CD1" w:rsidRDefault="007A743C" w:rsidP="00806A21">
      <w:pPr>
        <w:pStyle w:val="Sub-headings"/>
      </w:pPr>
      <w:r w:rsidRPr="000F6CD1">
        <w:t>Enrolled Nurses (EN) who hold the clinical assessor role cannot provide clinical attendance to non-clinical assessors. This is considered outside an EN’s scope of practice.</w:t>
      </w:r>
    </w:p>
    <w:p w14:paraId="77D50CB4" w14:textId="77777777" w:rsidR="002364CD" w:rsidRPr="000F6CD1" w:rsidRDefault="002364CD" w:rsidP="00A677C9">
      <w:pPr>
        <w:spacing w:before="240" w:after="240" w:line="240" w:lineRule="auto"/>
      </w:pPr>
    </w:p>
    <w:p w14:paraId="605B034A" w14:textId="57345E27" w:rsidR="007A743C" w:rsidRPr="000F6CD1" w:rsidRDefault="007A743C" w:rsidP="00A677C9">
      <w:pPr>
        <w:spacing w:before="240" w:after="240" w:line="240" w:lineRule="auto"/>
      </w:pPr>
      <w:r w:rsidRPr="000F6CD1">
        <w:t xml:space="preserve">For case studies of how clinical attendance will work in practice please see Appendix </w:t>
      </w:r>
      <w:r w:rsidR="001A29D8" w:rsidRPr="000F6CD1">
        <w:t>D</w:t>
      </w:r>
      <w:r w:rsidRPr="000F6CD1">
        <w:t>.</w:t>
      </w:r>
    </w:p>
    <w:p w14:paraId="1E9A27F2" w14:textId="75079E99" w:rsidR="007A743C" w:rsidRPr="000F6CD1" w:rsidRDefault="007A743C" w:rsidP="00A677C9">
      <w:pPr>
        <w:pStyle w:val="Caption"/>
        <w:spacing w:before="240" w:after="240"/>
        <w:rPr>
          <w:bCs/>
          <w:shd w:val="clear" w:color="auto" w:fill="FFFFFF"/>
        </w:rPr>
      </w:pPr>
      <w:r w:rsidRPr="000F6CD1">
        <w:rPr>
          <w:shd w:val="clear" w:color="auto" w:fill="FFFFFF"/>
        </w:rPr>
        <w:t xml:space="preserve">Table </w:t>
      </w:r>
      <w:r w:rsidR="005D1D4D" w:rsidRPr="000F6CD1">
        <w:rPr>
          <w:shd w:val="clear" w:color="auto" w:fill="FFFFFF"/>
        </w:rPr>
        <w:t>20</w:t>
      </w:r>
      <w:r w:rsidRPr="000F6CD1">
        <w:rPr>
          <w:shd w:val="clear" w:color="auto" w:fill="FFFFFF"/>
        </w:rPr>
        <w:t>. Clinical attendance procedure</w:t>
      </w:r>
      <w:r w:rsidRPr="000F6CD1">
        <w:rPr>
          <w:bCs/>
          <w:shd w:val="clear" w:color="auto" w:fill="FFFFFF"/>
        </w:rPr>
        <w:t xml:space="preserv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linical Attendance Procedure"/>
        <w:tblDescription w:val="Overview of the clinical attendance procedure"/>
      </w:tblPr>
      <w:tblGrid>
        <w:gridCol w:w="1468"/>
        <w:gridCol w:w="7298"/>
      </w:tblGrid>
      <w:tr w:rsidR="007A743C" w:rsidRPr="000F6CD1" w14:paraId="4BF62F11" w14:textId="77777777">
        <w:trPr>
          <w:trHeight w:val="300"/>
        </w:trPr>
        <w:tc>
          <w:tcPr>
            <w:tcW w:w="1555" w:type="dxa"/>
            <w:shd w:val="clear" w:color="auto" w:fill="002060"/>
          </w:tcPr>
          <w:p w14:paraId="1AFB1E45" w14:textId="77777777" w:rsidR="007A743C" w:rsidRPr="000F6CD1" w:rsidRDefault="007A743C" w:rsidP="00A677C9">
            <w:pPr>
              <w:pStyle w:val="NoSpacing"/>
              <w:spacing w:before="240" w:after="240"/>
              <w:rPr>
                <w:b/>
                <w:color w:val="FFFFFF" w:themeColor="background1"/>
                <w:shd w:val="clear" w:color="auto" w:fill="FFFFFF"/>
              </w:rPr>
            </w:pPr>
            <w:r w:rsidRPr="000F6CD1">
              <w:rPr>
                <w:rFonts w:ascii="Arial" w:hAnsi="Arial" w:cs="Arial"/>
                <w:b/>
                <w:color w:val="FFFFFF" w:themeColor="background1"/>
                <w:sz w:val="22"/>
                <w:szCs w:val="22"/>
              </w:rPr>
              <w:t>Tier 1</w:t>
            </w:r>
          </w:p>
        </w:tc>
        <w:tc>
          <w:tcPr>
            <w:tcW w:w="7795" w:type="dxa"/>
          </w:tcPr>
          <w:p w14:paraId="2EC50F1D" w14:textId="050452CF" w:rsidR="007A743C" w:rsidRPr="000F6CD1" w:rsidRDefault="007A743C" w:rsidP="00A677C9">
            <w:pPr>
              <w:spacing w:before="240" w:after="240"/>
              <w:rPr>
                <w:shd w:val="clear" w:color="auto" w:fill="FFFFFF"/>
              </w:rPr>
            </w:pPr>
            <w:r w:rsidRPr="000F6CD1">
              <w:rPr>
                <w:shd w:val="clear" w:color="auto" w:fill="FFFFFF"/>
              </w:rPr>
              <w:t>A clinical assessor who holds a clinical assessor role in the My Aged Care Assessor Portal is available by video or phone call at the time the assessment is taking place to b</w:t>
            </w:r>
            <w:r w:rsidRPr="000F6CD1">
              <w:t xml:space="preserve">e involved in </w:t>
            </w:r>
            <w:r w:rsidRPr="000F6CD1">
              <w:rPr>
                <w:shd w:val="clear" w:color="auto" w:fill="FFFFFF"/>
              </w:rPr>
              <w:t>aski</w:t>
            </w:r>
            <w:r w:rsidRPr="000F6CD1">
              <w:t>ng</w:t>
            </w:r>
            <w:r w:rsidRPr="000F6CD1">
              <w:rPr>
                <w:shd w:val="clear" w:color="auto" w:fill="FFFFFF"/>
              </w:rPr>
              <w:t xml:space="preserve"> the clinical questions w</w:t>
            </w:r>
            <w:r w:rsidRPr="000F6CD1">
              <w:t xml:space="preserve">ith the non-clinical assessor </w:t>
            </w:r>
            <w:r w:rsidRPr="000F6CD1">
              <w:rPr>
                <w:shd w:val="clear" w:color="auto" w:fill="FFFFFF"/>
              </w:rPr>
              <w:t xml:space="preserve">to the older person being assessed. A video call is </w:t>
            </w:r>
            <w:r w:rsidRPr="000F6CD1">
              <w:t>preferable</w:t>
            </w:r>
            <w:r w:rsidRPr="000F6CD1">
              <w:rPr>
                <w:shd w:val="clear" w:color="auto" w:fill="FFFFFF"/>
              </w:rPr>
              <w:t xml:space="preserve">. </w:t>
            </w:r>
          </w:p>
          <w:p w14:paraId="58E1A167" w14:textId="77777777" w:rsidR="007A743C" w:rsidRPr="000F6CD1" w:rsidRDefault="007A743C" w:rsidP="00A677C9">
            <w:pPr>
              <w:spacing w:before="240" w:after="240"/>
              <w:rPr>
                <w:shd w:val="clear" w:color="auto" w:fill="FFFFFF"/>
              </w:rPr>
            </w:pPr>
          </w:p>
          <w:p w14:paraId="62F9CC66" w14:textId="53C41E63" w:rsidR="007A743C" w:rsidRPr="000F6CD1" w:rsidRDefault="007A743C" w:rsidP="00A677C9">
            <w:pPr>
              <w:spacing w:before="240" w:after="240"/>
              <w:rPr>
                <w:shd w:val="clear" w:color="auto" w:fill="FFFFFF"/>
              </w:rPr>
            </w:pPr>
            <w:r w:rsidRPr="000F6CD1">
              <w:rPr>
                <w:shd w:val="clear" w:color="auto" w:fill="FFFFFF"/>
              </w:rPr>
              <w:t xml:space="preserve">The assessor can receive a call back when a clinical assessor becomes available. The assessment should continue while waiting for the callback. In this instance, if the assessor is using the IAT in the Assessor Portal or the Aged Care Assessor App, it is advised the assessor selects ‘no’ to the declaration. The assessor can revisit the question/s once a clinical assessor is in attendance. As the assessor continues through the IAT, they will need to make note of any other clinical questions (see appendix </w:t>
            </w:r>
            <w:r w:rsidR="00802E75" w:rsidRPr="000F6CD1">
              <w:rPr>
                <w:shd w:val="clear" w:color="auto" w:fill="FFFFFF"/>
              </w:rPr>
              <w:t>D</w:t>
            </w:r>
            <w:r w:rsidRPr="000F6CD1">
              <w:rPr>
                <w:shd w:val="clear" w:color="auto" w:fill="FFFFFF"/>
              </w:rPr>
              <w:t xml:space="preserve">) and ensure that these questions are answered with a clinical assessor in attendance. </w:t>
            </w:r>
          </w:p>
          <w:p w14:paraId="2423590C" w14:textId="77777777" w:rsidR="007A743C" w:rsidRPr="000F6CD1" w:rsidRDefault="007A743C" w:rsidP="00A677C9">
            <w:pPr>
              <w:spacing w:before="240" w:after="240"/>
              <w:rPr>
                <w:shd w:val="clear" w:color="auto" w:fill="FFFFFF"/>
              </w:rPr>
            </w:pPr>
          </w:p>
          <w:p w14:paraId="7B1BDBBA" w14:textId="77777777" w:rsidR="007A743C" w:rsidRPr="000F6CD1" w:rsidRDefault="007A743C" w:rsidP="00A677C9">
            <w:pPr>
              <w:spacing w:before="240" w:after="240"/>
              <w:rPr>
                <w:shd w:val="clear" w:color="auto" w:fill="FFFFFF"/>
              </w:rPr>
            </w:pPr>
            <w:r w:rsidRPr="000F6CD1">
              <w:rPr>
                <w:shd w:val="clear" w:color="auto" w:fill="FFFFFF"/>
              </w:rPr>
              <w:t>There may be situations where it is not appropriate for the assessor to continue with the assessment, even with virtual, clinical attendance. This will be determined using the following criteria:</w:t>
            </w:r>
          </w:p>
          <w:p w14:paraId="76C95B83" w14:textId="77777777" w:rsidR="007A743C" w:rsidRPr="000F6CD1" w:rsidRDefault="007A743C" w:rsidP="00A677C9">
            <w:pPr>
              <w:spacing w:before="240" w:after="240"/>
              <w:rPr>
                <w:shd w:val="clear" w:color="auto" w:fill="FFFFFF"/>
              </w:rPr>
            </w:pPr>
          </w:p>
          <w:p w14:paraId="25C8B4FD" w14:textId="77777777" w:rsidR="007A743C" w:rsidRPr="000F6CD1" w:rsidRDefault="007A743C" w:rsidP="00DF3F6B">
            <w:pPr>
              <w:pStyle w:val="ListParagraph"/>
              <w:numPr>
                <w:ilvl w:val="0"/>
                <w:numId w:val="88"/>
              </w:numPr>
              <w:spacing w:before="240" w:after="240"/>
              <w:rPr>
                <w:shd w:val="clear" w:color="auto" w:fill="FFFFFF"/>
              </w:rPr>
            </w:pPr>
            <w:r w:rsidRPr="000F6CD1">
              <w:rPr>
                <w:shd w:val="clear" w:color="auto" w:fill="FFFFFF"/>
              </w:rPr>
              <w:t xml:space="preserve">It is not physically or psychologically safe for the older person to continue the assessment, </w:t>
            </w:r>
          </w:p>
          <w:p w14:paraId="1FD42641" w14:textId="77777777" w:rsidR="007A743C" w:rsidRPr="000F6CD1" w:rsidRDefault="007A743C" w:rsidP="00DF3F6B">
            <w:pPr>
              <w:pStyle w:val="ListParagraph"/>
              <w:numPr>
                <w:ilvl w:val="0"/>
                <w:numId w:val="88"/>
              </w:numPr>
              <w:spacing w:before="240" w:after="240"/>
              <w:rPr>
                <w:shd w:val="clear" w:color="auto" w:fill="FFFFFF"/>
              </w:rPr>
            </w:pPr>
            <w:r w:rsidRPr="000F6CD1">
              <w:rPr>
                <w:shd w:val="clear" w:color="auto" w:fill="FFFFFF"/>
              </w:rPr>
              <w:t>It is not physically or psychologically safe for the assessor to continue the assessment,</w:t>
            </w:r>
          </w:p>
          <w:p w14:paraId="28CC4503" w14:textId="77777777" w:rsidR="007A743C" w:rsidRPr="000F6CD1" w:rsidRDefault="007A743C" w:rsidP="00DF3F6B">
            <w:pPr>
              <w:pStyle w:val="ListParagraph"/>
              <w:numPr>
                <w:ilvl w:val="0"/>
                <w:numId w:val="88"/>
              </w:numPr>
              <w:spacing w:before="240" w:after="240"/>
              <w:rPr>
                <w:shd w:val="clear" w:color="auto" w:fill="FFFFFF"/>
              </w:rPr>
            </w:pPr>
            <w:r w:rsidRPr="000F6CD1">
              <w:rPr>
                <w:shd w:val="clear" w:color="auto" w:fill="FFFFFF"/>
              </w:rPr>
              <w:t>The older person’s condition requires a clinical assessor to undertake an end-to-end assessment</w:t>
            </w:r>
          </w:p>
          <w:p w14:paraId="3F803CD0" w14:textId="77777777" w:rsidR="007A743C" w:rsidRPr="000F6CD1" w:rsidRDefault="007A743C" w:rsidP="00A677C9">
            <w:pPr>
              <w:pStyle w:val="ListParagraph"/>
              <w:spacing w:before="240" w:after="240"/>
              <w:ind w:left="768"/>
              <w:rPr>
                <w:shd w:val="clear" w:color="auto" w:fill="FFFFFF"/>
              </w:rPr>
            </w:pPr>
          </w:p>
          <w:p w14:paraId="35A9BE4C" w14:textId="77777777" w:rsidR="007A743C" w:rsidRPr="000F6CD1" w:rsidRDefault="007A743C" w:rsidP="00A677C9">
            <w:pPr>
              <w:spacing w:before="240" w:after="240"/>
              <w:rPr>
                <w:b/>
                <w:shd w:val="clear" w:color="auto" w:fill="FFFFFF"/>
              </w:rPr>
            </w:pPr>
            <w:r w:rsidRPr="000F6CD1">
              <w:rPr>
                <w:shd w:val="clear" w:color="auto" w:fill="FFFFFF"/>
              </w:rPr>
              <w:t>Where it is considered inappropriate to continue, the assessment will end and a team leader will reassign the incomplete assessment to a clinical assessor to undertake.</w:t>
            </w:r>
          </w:p>
        </w:tc>
      </w:tr>
      <w:tr w:rsidR="007A743C" w:rsidRPr="000F6CD1" w14:paraId="73F818A9" w14:textId="77777777">
        <w:trPr>
          <w:trHeight w:val="300"/>
        </w:trPr>
        <w:tc>
          <w:tcPr>
            <w:tcW w:w="1555" w:type="dxa"/>
            <w:shd w:val="clear" w:color="auto" w:fill="002060"/>
          </w:tcPr>
          <w:p w14:paraId="3E7887A0" w14:textId="77777777" w:rsidR="007A743C" w:rsidRPr="000F6CD1" w:rsidRDefault="007A743C" w:rsidP="00A677C9">
            <w:pPr>
              <w:pStyle w:val="NoSpacing"/>
              <w:spacing w:before="240" w:after="240"/>
              <w:rPr>
                <w:b/>
                <w:shd w:val="clear" w:color="auto" w:fill="FFFFFF"/>
              </w:rPr>
            </w:pPr>
            <w:r w:rsidRPr="000F6CD1">
              <w:rPr>
                <w:rFonts w:ascii="Arial" w:hAnsi="Arial" w:cs="Arial"/>
                <w:b/>
                <w:color w:val="FFFFFF" w:themeColor="background1"/>
                <w:sz w:val="22"/>
                <w:szCs w:val="22"/>
              </w:rPr>
              <w:lastRenderedPageBreak/>
              <w:t>Tier 2</w:t>
            </w:r>
          </w:p>
        </w:tc>
        <w:tc>
          <w:tcPr>
            <w:tcW w:w="7795" w:type="dxa"/>
          </w:tcPr>
          <w:p w14:paraId="30F7E6E8" w14:textId="77777777" w:rsidR="007A743C" w:rsidRPr="000F6CD1" w:rsidRDefault="007A743C" w:rsidP="00A677C9">
            <w:pPr>
              <w:spacing w:before="240" w:after="240"/>
            </w:pPr>
            <w:r w:rsidRPr="000F6CD1">
              <w:t xml:space="preserve">There may be circumstances where real-time clinical attendance is not possible. </w:t>
            </w:r>
            <w:r w:rsidRPr="000F6CD1">
              <w:rPr>
                <w:shd w:val="clear" w:color="auto" w:fill="FFFFFF"/>
              </w:rPr>
              <w:t xml:space="preserve">If a clinical assessor cannot be contacted at the time the assessment is taking place, the assessor will </w:t>
            </w:r>
            <w:r w:rsidRPr="000F6CD1">
              <w:t xml:space="preserve">complete the questions that do not require clinical judgement. All other clinical questions are noted and cannot be asked. </w:t>
            </w:r>
          </w:p>
          <w:p w14:paraId="31622DB2" w14:textId="77777777" w:rsidR="007A743C" w:rsidRPr="000F6CD1" w:rsidRDefault="007A743C" w:rsidP="00A677C9">
            <w:pPr>
              <w:spacing w:before="240" w:after="240"/>
            </w:pPr>
          </w:p>
          <w:p w14:paraId="1E7FD038" w14:textId="7DC4BDC6" w:rsidR="007A743C" w:rsidRPr="000F6CD1" w:rsidRDefault="007A743C" w:rsidP="00A677C9">
            <w:pPr>
              <w:spacing w:before="240" w:after="240"/>
              <w:rPr>
                <w:shd w:val="clear" w:color="auto" w:fill="FFFFFF"/>
              </w:rPr>
            </w:pPr>
            <w:r w:rsidRPr="000F6CD1">
              <w:rPr>
                <w:shd w:val="clear" w:color="auto" w:fill="FFFFFF"/>
              </w:rPr>
              <w:t>In this instance, if the assessor is using the IAT in the Assessor Portal or the Aged Care Assessor App, it is advised the assessor selects ‘no’ to the declaration. The assessor can revisit the question/s once a clinical assessor is in attendance. As the assessor continues through the IAT, they will need to make note of t</w:t>
            </w:r>
            <w:r w:rsidRPr="000F6CD1">
              <w:t>he</w:t>
            </w:r>
            <w:r w:rsidRPr="000F6CD1">
              <w:rPr>
                <w:shd w:val="clear" w:color="auto" w:fill="FFFFFF"/>
              </w:rPr>
              <w:t xml:space="preserve"> clinical questions p</w:t>
            </w:r>
            <w:r w:rsidRPr="000F6CD1">
              <w:t>rompted</w:t>
            </w:r>
            <w:r w:rsidRPr="000F6CD1">
              <w:rPr>
                <w:shd w:val="clear" w:color="auto" w:fill="FFFFFF"/>
              </w:rPr>
              <w:t xml:space="preserve"> (see appendix </w:t>
            </w:r>
            <w:r w:rsidR="0017588B" w:rsidRPr="000F6CD1">
              <w:rPr>
                <w:shd w:val="clear" w:color="auto" w:fill="FFFFFF"/>
              </w:rPr>
              <w:t>D</w:t>
            </w:r>
            <w:r w:rsidRPr="000F6CD1">
              <w:rPr>
                <w:shd w:val="clear" w:color="auto" w:fill="FFFFFF"/>
              </w:rPr>
              <w:t xml:space="preserve">) and ensure that these questions are answered with a clinical assessor in attendance. </w:t>
            </w:r>
          </w:p>
          <w:p w14:paraId="2863C3EB" w14:textId="77777777" w:rsidR="007A743C" w:rsidRPr="000F6CD1" w:rsidRDefault="007A743C" w:rsidP="00A677C9">
            <w:pPr>
              <w:spacing w:before="240" w:after="240"/>
              <w:rPr>
                <w:shd w:val="clear" w:color="auto" w:fill="FFFFFF"/>
              </w:rPr>
            </w:pPr>
          </w:p>
          <w:p w14:paraId="165FE477" w14:textId="77777777" w:rsidR="007A743C" w:rsidRPr="000F6CD1" w:rsidRDefault="007A743C" w:rsidP="00A677C9">
            <w:pPr>
              <w:spacing w:before="240" w:after="240"/>
            </w:pPr>
            <w:r w:rsidRPr="000F6CD1">
              <w:t xml:space="preserve">The assessment will end once </w:t>
            </w:r>
            <w:r w:rsidRPr="000F6CD1">
              <w:rPr>
                <w:shd w:val="clear" w:color="auto" w:fill="FFFFFF"/>
              </w:rPr>
              <w:t>the</w:t>
            </w:r>
            <w:r w:rsidRPr="000F6CD1">
              <w:t xml:space="preserve"> assessor has completed the non-clinical questions in the IAT (noting the IAT itself will remain incomplete). The assessor will need to speak with a clinical assessor in their organisation about the assessment and the clinical questions. </w:t>
            </w:r>
          </w:p>
          <w:p w14:paraId="77CC77C1" w14:textId="77777777" w:rsidR="007A743C" w:rsidRPr="000F6CD1" w:rsidRDefault="007A743C" w:rsidP="00A677C9">
            <w:pPr>
              <w:spacing w:before="240" w:after="240"/>
            </w:pPr>
          </w:p>
          <w:p w14:paraId="7A1B0EBC" w14:textId="77777777" w:rsidR="007A743C" w:rsidRPr="000F6CD1" w:rsidRDefault="007A743C" w:rsidP="00A677C9">
            <w:pPr>
              <w:spacing w:before="240" w:after="240"/>
            </w:pPr>
            <w:r w:rsidRPr="000F6CD1">
              <w:t xml:space="preserve">If it is appropriate for the clinical questions to be asked by a clinical assessor over the phone, arrangements will be made with the older person and relevant support people for this to take place. It is preferable the original, non-clinical assessor is also </w:t>
            </w:r>
            <w:r w:rsidRPr="000F6CD1">
              <w:rPr>
                <w:shd w:val="clear" w:color="auto" w:fill="FFFFFF"/>
              </w:rPr>
              <w:t>on</w:t>
            </w:r>
            <w:r w:rsidRPr="000F6CD1">
              <w:t xml:space="preserve"> the call. If the clinical components are completed over the phone by a clinical assessor, the assessment does not need to be reassigned to this assessor.</w:t>
            </w:r>
          </w:p>
          <w:p w14:paraId="7B114A97" w14:textId="77777777" w:rsidR="007A743C" w:rsidRPr="000F6CD1" w:rsidRDefault="007A743C" w:rsidP="00A677C9">
            <w:pPr>
              <w:spacing w:before="240" w:after="240"/>
            </w:pPr>
          </w:p>
          <w:p w14:paraId="61676C47" w14:textId="77777777" w:rsidR="007A743C" w:rsidRPr="000F6CD1" w:rsidRDefault="007A743C" w:rsidP="00A677C9">
            <w:pPr>
              <w:spacing w:before="240" w:after="240"/>
            </w:pPr>
            <w:r w:rsidRPr="000F6CD1">
              <w:t xml:space="preserve">It may be determined that the assessment should be reassigned to a clinical </w:t>
            </w:r>
            <w:r w:rsidRPr="000F6CD1">
              <w:rPr>
                <w:shd w:val="clear" w:color="auto" w:fill="FFFFFF"/>
              </w:rPr>
              <w:t>assessor</w:t>
            </w:r>
            <w:r w:rsidRPr="000F6CD1">
              <w:t xml:space="preserve"> to complete the assessment, either in person or over the phone. This may be required because:</w:t>
            </w:r>
          </w:p>
          <w:p w14:paraId="57B1CF83" w14:textId="77777777" w:rsidR="007A743C" w:rsidRPr="000F6CD1" w:rsidRDefault="007A743C" w:rsidP="00A677C9">
            <w:pPr>
              <w:spacing w:before="240" w:after="240"/>
            </w:pPr>
          </w:p>
          <w:p w14:paraId="5B72A7C2" w14:textId="77777777" w:rsidR="007A743C" w:rsidRPr="000F6CD1" w:rsidRDefault="007A743C" w:rsidP="00DF3F6B">
            <w:pPr>
              <w:pStyle w:val="ListParagraph"/>
              <w:numPr>
                <w:ilvl w:val="0"/>
                <w:numId w:val="88"/>
              </w:numPr>
              <w:spacing w:before="240" w:after="240"/>
              <w:rPr>
                <w:shd w:val="clear" w:color="auto" w:fill="FFFFFF"/>
              </w:rPr>
            </w:pPr>
            <w:r w:rsidRPr="000F6CD1">
              <w:rPr>
                <w:shd w:val="clear" w:color="auto" w:fill="FFFFFF"/>
              </w:rPr>
              <w:t>multiple clinical questions are triggered in the IAT,</w:t>
            </w:r>
          </w:p>
          <w:p w14:paraId="589AAF24" w14:textId="27E1C8F4" w:rsidR="007A743C" w:rsidRPr="000F6CD1" w:rsidRDefault="007A743C" w:rsidP="00DF3F6B">
            <w:pPr>
              <w:pStyle w:val="ListParagraph"/>
              <w:numPr>
                <w:ilvl w:val="0"/>
                <w:numId w:val="88"/>
              </w:numPr>
              <w:spacing w:before="240" w:after="240"/>
              <w:rPr>
                <w:shd w:val="clear" w:color="auto" w:fill="FFFFFF"/>
              </w:rPr>
            </w:pPr>
            <w:r w:rsidRPr="000F6CD1">
              <w:rPr>
                <w:shd w:val="clear" w:color="auto" w:fill="FFFFFF"/>
              </w:rPr>
              <w:t>the needs of the older person are best assessed in person to ensure a high-quality assessment</w:t>
            </w:r>
            <w:r w:rsidR="001B46D1" w:rsidRPr="000F6CD1">
              <w:rPr>
                <w:shd w:val="clear" w:color="auto" w:fill="FFFFFF"/>
              </w:rPr>
              <w:t>.</w:t>
            </w:r>
          </w:p>
          <w:p w14:paraId="413DE6F9" w14:textId="77777777" w:rsidR="007A743C" w:rsidRPr="000F6CD1" w:rsidRDefault="007A743C" w:rsidP="00A677C9">
            <w:pPr>
              <w:pStyle w:val="ListParagraph"/>
              <w:spacing w:before="240" w:after="240"/>
              <w:ind w:left="768"/>
              <w:rPr>
                <w:shd w:val="clear" w:color="auto" w:fill="FFFFFF"/>
              </w:rPr>
            </w:pPr>
          </w:p>
          <w:p w14:paraId="7ED2B1B3" w14:textId="77777777" w:rsidR="007A743C" w:rsidRPr="000F6CD1" w:rsidRDefault="007A743C" w:rsidP="00A677C9">
            <w:pPr>
              <w:spacing w:before="240" w:after="240"/>
              <w:rPr>
                <w:b/>
                <w:shd w:val="clear" w:color="auto" w:fill="FFFFFF"/>
              </w:rPr>
            </w:pPr>
            <w:r w:rsidRPr="000F6CD1">
              <w:rPr>
                <w:shd w:val="clear" w:color="auto" w:fill="FFFFFF"/>
              </w:rPr>
              <w:t>Where an in-person assessment with a clinical assessor is required, a team leader will reassign the assessment to a clinical assessor.</w:t>
            </w:r>
          </w:p>
        </w:tc>
      </w:tr>
    </w:tbl>
    <w:p w14:paraId="44B4630F" w14:textId="77777777" w:rsidR="007A743C" w:rsidRPr="000F6CD1" w:rsidRDefault="007A743C" w:rsidP="003D374A">
      <w:pPr>
        <w:pStyle w:val="Sub-headingnon-contentpage"/>
      </w:pPr>
      <w:r w:rsidRPr="000F6CD1">
        <w:lastRenderedPageBreak/>
        <w:t xml:space="preserve">If the clinical process is initiated the assessor must: </w:t>
      </w:r>
    </w:p>
    <w:p w14:paraId="574903ED" w14:textId="77777777" w:rsidR="007A743C" w:rsidRPr="000F6CD1" w:rsidRDefault="007A743C" w:rsidP="00DF3F6B">
      <w:pPr>
        <w:pStyle w:val="ListParagraph"/>
        <w:numPr>
          <w:ilvl w:val="0"/>
          <w:numId w:val="89"/>
        </w:numPr>
        <w:spacing w:before="240" w:after="240" w:line="240" w:lineRule="auto"/>
      </w:pPr>
      <w:r w:rsidRPr="000F6CD1">
        <w:t>ensure the older person understands that there are questions in the assessment tool that need to be asked with a clinically qualified assessor so that they can apply clinical knowledge and judgment to ensure that the older person’s needs are assessed in full and with their safety and wellbeing in mind. This should occur before the clinical assessor is contacted.</w:t>
      </w:r>
    </w:p>
    <w:p w14:paraId="27286DE5" w14:textId="77777777" w:rsidR="007A743C" w:rsidRPr="000F6CD1" w:rsidRDefault="007A743C" w:rsidP="00DF3F6B">
      <w:pPr>
        <w:pStyle w:val="ListParagraph"/>
        <w:numPr>
          <w:ilvl w:val="0"/>
          <w:numId w:val="89"/>
        </w:numPr>
        <w:spacing w:before="240" w:after="240" w:line="240" w:lineRule="auto"/>
      </w:pPr>
      <w:r w:rsidRPr="000F6CD1">
        <w:t>include the older person in the initial discussion when the clinical assessor is being briefed on the older person’s situation. The older person and/or their support person should be given the opportunity to describe their circumstances if they feel comfortable to do so.</w:t>
      </w:r>
    </w:p>
    <w:p w14:paraId="550CB904" w14:textId="77777777" w:rsidR="007A743C" w:rsidRPr="000F6CD1" w:rsidRDefault="007A743C" w:rsidP="00DF3F6B">
      <w:pPr>
        <w:pStyle w:val="ListParagraph"/>
        <w:numPr>
          <w:ilvl w:val="0"/>
          <w:numId w:val="89"/>
        </w:numPr>
        <w:spacing w:before="240" w:after="240" w:line="240" w:lineRule="auto"/>
      </w:pPr>
      <w:r w:rsidRPr="000F6CD1">
        <w:t xml:space="preserve">ensure the camera is on at both ends so that older person can see the clinical assessor if the clinical assessor is called in on a video enabled device. </w:t>
      </w:r>
    </w:p>
    <w:p w14:paraId="6422AB96" w14:textId="77777777" w:rsidR="007A743C" w:rsidRPr="000F6CD1" w:rsidRDefault="007A743C" w:rsidP="00DF3F6B">
      <w:pPr>
        <w:pStyle w:val="ListParagraph"/>
        <w:numPr>
          <w:ilvl w:val="0"/>
          <w:numId w:val="89"/>
        </w:numPr>
        <w:spacing w:before="240" w:after="240" w:line="240" w:lineRule="auto"/>
      </w:pPr>
      <w:r w:rsidRPr="000F6CD1">
        <w:t xml:space="preserve">ensure the call is on speaker phone so that the older person and clinical assessor can speak directly to one another, if the clinical assessor is called on a phone without video functionality. </w:t>
      </w:r>
    </w:p>
    <w:p w14:paraId="211D913B" w14:textId="77777777" w:rsidR="007A743C" w:rsidRPr="000F6CD1" w:rsidRDefault="007A743C" w:rsidP="00DF3F6B">
      <w:pPr>
        <w:pStyle w:val="ListParagraph"/>
        <w:numPr>
          <w:ilvl w:val="0"/>
          <w:numId w:val="89"/>
        </w:numPr>
        <w:spacing w:before="240" w:after="240" w:line="240" w:lineRule="auto"/>
      </w:pPr>
      <w:r w:rsidRPr="000F6CD1">
        <w:t xml:space="preserve">explain to the older person that a follow-up phone call will be necessary to complete their assessment, if real-time clinical attendance is not possible. </w:t>
      </w:r>
    </w:p>
    <w:p w14:paraId="065941F4" w14:textId="77777777" w:rsidR="007A743C" w:rsidRPr="000F6CD1" w:rsidRDefault="007A743C" w:rsidP="00A677C9">
      <w:pPr>
        <w:spacing w:before="240" w:after="240" w:line="240" w:lineRule="auto"/>
      </w:pPr>
      <w:r w:rsidRPr="000F6CD1">
        <w:t>If a follow-up call is necessary:</w:t>
      </w:r>
    </w:p>
    <w:p w14:paraId="2943E5FD" w14:textId="77777777" w:rsidR="007A743C" w:rsidRPr="000F6CD1" w:rsidRDefault="007A743C" w:rsidP="00DF3F6B">
      <w:pPr>
        <w:pStyle w:val="ListParagraph"/>
        <w:numPr>
          <w:ilvl w:val="0"/>
          <w:numId w:val="107"/>
        </w:numPr>
        <w:spacing w:before="240" w:after="240" w:line="240" w:lineRule="auto"/>
      </w:pPr>
      <w:r w:rsidRPr="000F6CD1">
        <w:t>the original non-clinical assessor should be present on the phone call to ensure there is continuity of contact with the original assessor.</w:t>
      </w:r>
    </w:p>
    <w:p w14:paraId="2CDAE52A" w14:textId="77777777" w:rsidR="00D8398E" w:rsidRDefault="007A743C" w:rsidP="00DF3F6B">
      <w:pPr>
        <w:pStyle w:val="ListParagraph"/>
        <w:numPr>
          <w:ilvl w:val="0"/>
          <w:numId w:val="107"/>
        </w:numPr>
        <w:spacing w:before="240" w:after="240" w:line="240" w:lineRule="auto"/>
      </w:pPr>
      <w:r w:rsidRPr="000F6CD1">
        <w:t>it is important that the non-clinical assessor keeps the older person, their primary contact and/or support person up to date on when the follow up phone call will take place.</w:t>
      </w:r>
    </w:p>
    <w:p w14:paraId="515FBBF2" w14:textId="07E60A59" w:rsidR="007A743C" w:rsidRPr="000F6CD1" w:rsidRDefault="00D8398E" w:rsidP="00D8398E">
      <w:r>
        <w:br w:type="page"/>
      </w:r>
    </w:p>
    <w:p w14:paraId="64965652" w14:textId="7F2A473B" w:rsidR="007A743C" w:rsidRPr="000F6CD1" w:rsidRDefault="007A743C" w:rsidP="00AD2CE5">
      <w:pPr>
        <w:pStyle w:val="H3"/>
      </w:pPr>
      <w:bookmarkStart w:id="403" w:name="_Toc204329551"/>
      <w:r w:rsidRPr="000F6CD1">
        <w:lastRenderedPageBreak/>
        <w:t xml:space="preserve">Tools and </w:t>
      </w:r>
      <w:r w:rsidR="00571879" w:rsidRPr="000F6CD1">
        <w:t>t</w:t>
      </w:r>
      <w:r w:rsidRPr="000F6CD1">
        <w:t>echniques for assessing an older person’s needs</w:t>
      </w:r>
      <w:bookmarkEnd w:id="401"/>
      <w:bookmarkEnd w:id="402"/>
      <w:bookmarkEnd w:id="403"/>
    </w:p>
    <w:p w14:paraId="767A6E5D" w14:textId="7734F22E" w:rsidR="007A743C" w:rsidRPr="000F6CD1" w:rsidRDefault="007A743C" w:rsidP="003D374A">
      <w:pPr>
        <w:pStyle w:val="Sub-headingnon-contentpage"/>
      </w:pPr>
      <w:r w:rsidRPr="000F6CD1">
        <w:t xml:space="preserve">The table below details best practice tools and techniques for undertaking aged care needs assessments. </w:t>
      </w:r>
    </w:p>
    <w:p w14:paraId="51E8D92D" w14:textId="69288C17" w:rsidR="007A743C" w:rsidRPr="000F6CD1" w:rsidRDefault="007A743C" w:rsidP="00A677C9">
      <w:pPr>
        <w:pStyle w:val="Caption"/>
        <w:spacing w:before="240" w:after="240"/>
      </w:pPr>
      <w:r w:rsidRPr="000F6CD1">
        <w:t xml:space="preserve">Table </w:t>
      </w:r>
      <w:r w:rsidR="004441F5" w:rsidRPr="000F6CD1">
        <w:t>2</w:t>
      </w:r>
      <w:r w:rsidR="005D1D4D" w:rsidRPr="000F6CD1">
        <w:t>1</w:t>
      </w:r>
      <w:r w:rsidRPr="000F6CD1">
        <w:t>. Aged care needs assessment best practice tools and techniques</w:t>
      </w:r>
    </w:p>
    <w:tbl>
      <w:tblPr>
        <w:tblStyle w:val="TableGrid2"/>
        <w:tblW w:w="8789" w:type="dxa"/>
        <w:tblInd w:w="-5" w:type="dxa"/>
        <w:tblLayout w:type="fixed"/>
        <w:tblLook w:val="04A0" w:firstRow="1" w:lastRow="0" w:firstColumn="1" w:lastColumn="0" w:noHBand="0" w:noVBand="1"/>
        <w:tblCaption w:val="Aged care needs assessment best practice tools and techniques "/>
        <w:tblDescription w:val="Best practice tools and techniques for undertaking aged care needs assessment"/>
      </w:tblPr>
      <w:tblGrid>
        <w:gridCol w:w="2127"/>
        <w:gridCol w:w="6662"/>
      </w:tblGrid>
      <w:tr w:rsidR="00BA1EF7" w:rsidRPr="000F6CD1" w14:paraId="1AF4CF05" w14:textId="77777777" w:rsidTr="001F6B35">
        <w:tc>
          <w:tcPr>
            <w:tcW w:w="2127" w:type="dxa"/>
            <w:shd w:val="clear" w:color="auto" w:fill="002060"/>
          </w:tcPr>
          <w:p w14:paraId="6CE062B2" w14:textId="77777777" w:rsidR="007A743C" w:rsidRPr="000F6CD1" w:rsidRDefault="007A743C" w:rsidP="00A677C9">
            <w:pPr>
              <w:spacing w:before="240" w:after="240"/>
              <w:rPr>
                <w:b/>
                <w:color w:val="FFFFFF" w:themeColor="background1"/>
              </w:rPr>
            </w:pPr>
            <w:r w:rsidRPr="000F6CD1">
              <w:rPr>
                <w:b/>
                <w:color w:val="FFFFFF" w:themeColor="background1"/>
              </w:rPr>
              <w:t xml:space="preserve">Use the </w:t>
            </w:r>
            <w:hyperlink r:id="rId157">
              <w:r w:rsidRPr="000F6CD1">
                <w:rPr>
                  <w:rStyle w:val="Hyperlink"/>
                  <w:b/>
                  <w:color w:val="FFFFFF" w:themeColor="background1"/>
                </w:rPr>
                <w:t>Aged Care Assessment Quality Framework</w:t>
              </w:r>
            </w:hyperlink>
            <w:r w:rsidRPr="000F6CD1">
              <w:rPr>
                <w:b/>
                <w:color w:val="FFFFFF" w:themeColor="background1"/>
              </w:rPr>
              <w:t xml:space="preserve"> </w:t>
            </w:r>
          </w:p>
        </w:tc>
        <w:tc>
          <w:tcPr>
            <w:tcW w:w="6662" w:type="dxa"/>
          </w:tcPr>
          <w:p w14:paraId="77372E36" w14:textId="1C33B673" w:rsidR="007A743C" w:rsidRPr="000F6CD1" w:rsidRDefault="0024535D" w:rsidP="00A53035">
            <w:pPr>
              <w:pStyle w:val="ListParagraph"/>
              <w:numPr>
                <w:ilvl w:val="0"/>
                <w:numId w:val="59"/>
              </w:numPr>
              <w:spacing w:before="240" w:after="240"/>
              <w:ind w:left="741" w:hanging="425"/>
            </w:pPr>
            <w:r w:rsidRPr="000F6CD1">
              <w:t>Use</w:t>
            </w:r>
            <w:r w:rsidR="007A743C" w:rsidRPr="000F6CD1">
              <w:t xml:space="preserve"> the four quality goals, personal, effective, connected and safe in your assessment practice</w:t>
            </w:r>
            <w:r w:rsidRPr="000F6CD1">
              <w:t>.</w:t>
            </w:r>
          </w:p>
        </w:tc>
      </w:tr>
      <w:tr w:rsidR="00BA1EF7" w:rsidRPr="000F6CD1" w14:paraId="2271D270" w14:textId="77777777" w:rsidTr="001F6B35">
        <w:tc>
          <w:tcPr>
            <w:tcW w:w="2127" w:type="dxa"/>
            <w:shd w:val="clear" w:color="auto" w:fill="002060"/>
          </w:tcPr>
          <w:p w14:paraId="3CB6C0F8" w14:textId="402D4686" w:rsidR="007A743C" w:rsidRPr="000F6CD1" w:rsidRDefault="007A743C" w:rsidP="00A677C9">
            <w:pPr>
              <w:spacing w:before="240" w:after="240"/>
              <w:rPr>
                <w:b/>
                <w:color w:val="FFFFFF" w:themeColor="background1"/>
              </w:rPr>
            </w:pPr>
            <w:r w:rsidRPr="000F6CD1">
              <w:rPr>
                <w:rFonts w:hint="eastAsia"/>
                <w:b/>
                <w:color w:val="FFFFFF" w:themeColor="background1"/>
              </w:rPr>
              <w:t>Use a c</w:t>
            </w:r>
            <w:r w:rsidRPr="000F6CD1">
              <w:rPr>
                <w:b/>
                <w:color w:val="FFFFFF" w:themeColor="background1"/>
              </w:rPr>
              <w:t xml:space="preserve">onversational approach </w:t>
            </w:r>
            <w:r w:rsidRPr="000F6CD1">
              <w:rPr>
                <w:rFonts w:hint="eastAsia"/>
                <w:b/>
                <w:color w:val="FFFFFF" w:themeColor="background1"/>
              </w:rPr>
              <w:t>when interacting with the older person</w:t>
            </w:r>
          </w:p>
          <w:p w14:paraId="4A15AEE1" w14:textId="77777777" w:rsidR="007A743C" w:rsidRPr="000F6CD1" w:rsidRDefault="007A743C" w:rsidP="00A677C9">
            <w:pPr>
              <w:pStyle w:val="ListParagraph"/>
              <w:spacing w:before="240" w:after="240"/>
              <w:ind w:left="567"/>
              <w:rPr>
                <w:color w:val="FFFFFF" w:themeColor="background1"/>
              </w:rPr>
            </w:pPr>
          </w:p>
        </w:tc>
        <w:tc>
          <w:tcPr>
            <w:tcW w:w="6662" w:type="dxa"/>
          </w:tcPr>
          <w:p w14:paraId="58763D86" w14:textId="74FBCA59" w:rsidR="00917600" w:rsidRPr="000F6CD1" w:rsidRDefault="00917600" w:rsidP="00DF3F6B">
            <w:pPr>
              <w:pStyle w:val="ListParagraph"/>
              <w:numPr>
                <w:ilvl w:val="0"/>
                <w:numId w:val="444"/>
              </w:numPr>
              <w:spacing w:before="240" w:after="240"/>
            </w:pPr>
            <w:r w:rsidRPr="000F6CD1">
              <w:t>Confirm with the older person that they are comfortable with digital devices being used during their assessment, ensuring that the older person understands why and how the information recorded is used during the assessment.</w:t>
            </w:r>
          </w:p>
          <w:p w14:paraId="3CE2BDD6" w14:textId="71C61DE8" w:rsidR="007A743C" w:rsidRPr="000F6CD1" w:rsidRDefault="0024535D" w:rsidP="00DF3F6B">
            <w:pPr>
              <w:pStyle w:val="ListParagraph"/>
              <w:numPr>
                <w:ilvl w:val="0"/>
                <w:numId w:val="444"/>
              </w:numPr>
              <w:spacing w:before="240" w:after="240"/>
            </w:pPr>
            <w:r w:rsidRPr="000F6CD1">
              <w:t>U</w:t>
            </w:r>
            <w:r w:rsidR="007A743C" w:rsidRPr="000F6CD1">
              <w:t xml:space="preserve">se a conversational approach </w:t>
            </w:r>
            <w:r w:rsidR="007A743C" w:rsidRPr="000F6CD1">
              <w:rPr>
                <w:rFonts w:hint="eastAsia"/>
              </w:rPr>
              <w:t>when asking questions</w:t>
            </w:r>
            <w:r w:rsidR="007A743C" w:rsidRPr="000F6CD1">
              <w:t>,</w:t>
            </w:r>
            <w:r w:rsidR="007A743C" w:rsidRPr="000F6CD1">
              <w:rPr>
                <w:rFonts w:hint="eastAsia"/>
              </w:rPr>
              <w:t xml:space="preserve"> rather than simply running through</w:t>
            </w:r>
            <w:r w:rsidR="007A743C" w:rsidRPr="000F6CD1">
              <w:t xml:space="preserve"> </w:t>
            </w:r>
            <w:r w:rsidR="007A743C" w:rsidRPr="000F6CD1">
              <w:rPr>
                <w:rFonts w:hint="eastAsia"/>
              </w:rPr>
              <w:t xml:space="preserve">the </w:t>
            </w:r>
            <w:r w:rsidR="007A743C" w:rsidRPr="000F6CD1">
              <w:t>assessment questions and tick</w:t>
            </w:r>
            <w:r w:rsidR="007A743C" w:rsidRPr="000F6CD1">
              <w:rPr>
                <w:rFonts w:hint="eastAsia"/>
              </w:rPr>
              <w:t>ing</w:t>
            </w:r>
            <w:r w:rsidR="007A743C" w:rsidRPr="000F6CD1">
              <w:t xml:space="preserve"> boxes. Ensure your conversation is undertaken in a manner that is respectful, non-judgmental, and non-confrontational.</w:t>
            </w:r>
          </w:p>
          <w:p w14:paraId="61999B40" w14:textId="403599C2" w:rsidR="007A743C" w:rsidRPr="000F6CD1" w:rsidRDefault="00753637" w:rsidP="00DF3F6B">
            <w:pPr>
              <w:pStyle w:val="ListParagraph"/>
              <w:numPr>
                <w:ilvl w:val="0"/>
                <w:numId w:val="444"/>
              </w:numPr>
              <w:spacing w:before="240" w:after="240"/>
            </w:pPr>
            <w:r w:rsidRPr="000F6CD1">
              <w:t>Know</w:t>
            </w:r>
            <w:r w:rsidR="007A743C" w:rsidRPr="000F6CD1">
              <w:t xml:space="preserve"> when and how to </w:t>
            </w:r>
            <w:r w:rsidR="007A743C" w:rsidRPr="000F6CD1">
              <w:rPr>
                <w:rFonts w:hint="eastAsia"/>
              </w:rPr>
              <w:t xml:space="preserve">best </w:t>
            </w:r>
            <w:r w:rsidR="007A743C" w:rsidRPr="000F6CD1">
              <w:t>use closed, open, direct, and indirect questioning</w:t>
            </w:r>
            <w:r w:rsidRPr="000F6CD1">
              <w:t>.</w:t>
            </w:r>
          </w:p>
          <w:p w14:paraId="5CE5BE4A" w14:textId="189A0A59" w:rsidR="007A743C" w:rsidRPr="000F6CD1" w:rsidRDefault="00753637" w:rsidP="00DF3F6B">
            <w:pPr>
              <w:pStyle w:val="ListParagraph"/>
              <w:numPr>
                <w:ilvl w:val="0"/>
                <w:numId w:val="444"/>
              </w:numPr>
              <w:spacing w:before="240" w:after="240"/>
            </w:pPr>
            <w:r w:rsidRPr="000F6CD1">
              <w:t>Use</w:t>
            </w:r>
            <w:r w:rsidR="007A743C" w:rsidRPr="000F6CD1">
              <w:t xml:space="preserve"> motivational interviewing techniques </w:t>
            </w:r>
            <w:r w:rsidR="007A743C" w:rsidRPr="000F6CD1">
              <w:rPr>
                <w:rFonts w:hint="eastAsia"/>
              </w:rPr>
              <w:t xml:space="preserve">such as </w:t>
            </w:r>
            <w:r w:rsidR="007A743C" w:rsidRPr="000F6CD1">
              <w:t>expressing</w:t>
            </w:r>
            <w:r w:rsidR="007A743C" w:rsidRPr="000F6CD1">
              <w:rPr>
                <w:rFonts w:hint="eastAsia"/>
              </w:rPr>
              <w:t xml:space="preserve"> empathy and eliciting self-motivational statements</w:t>
            </w:r>
            <w:r w:rsidR="007A743C" w:rsidRPr="000F6CD1">
              <w:t>.</w:t>
            </w:r>
          </w:p>
          <w:p w14:paraId="6EAA6EE3" w14:textId="3416741D" w:rsidR="007A743C" w:rsidRPr="000F6CD1" w:rsidRDefault="00753637" w:rsidP="00DF3F6B">
            <w:pPr>
              <w:pStyle w:val="ListParagraph"/>
              <w:numPr>
                <w:ilvl w:val="0"/>
                <w:numId w:val="444"/>
              </w:numPr>
              <w:spacing w:before="240" w:after="240"/>
            </w:pPr>
            <w:r w:rsidRPr="000F6CD1">
              <w:t xml:space="preserve">Use </w:t>
            </w:r>
            <w:r w:rsidR="007A743C" w:rsidRPr="000F6CD1">
              <w:t>active listening skills</w:t>
            </w:r>
            <w:r w:rsidRPr="000F6CD1">
              <w:t>.</w:t>
            </w:r>
          </w:p>
          <w:p w14:paraId="3C896F42" w14:textId="66AE8927" w:rsidR="007A743C" w:rsidRPr="000F6CD1" w:rsidRDefault="001177D0" w:rsidP="00DF3F6B">
            <w:pPr>
              <w:pStyle w:val="ListParagraph"/>
              <w:numPr>
                <w:ilvl w:val="0"/>
                <w:numId w:val="444"/>
              </w:numPr>
              <w:spacing w:before="240" w:after="240"/>
            </w:pPr>
            <w:r w:rsidRPr="000F6CD1">
              <w:t>Make eye contact to help engage the older person in the assessment process, unless it is culturally inappropriate to do so. For example, some Aboriginal and Torres Strait Islander people may consider direct eye contacts disrespectful or uncomfortable, but others may be more comfortable with Western norms of communication</w:t>
            </w:r>
            <w:r w:rsidR="00B12BFB" w:rsidRPr="000F6CD1">
              <w:t xml:space="preserve">. </w:t>
            </w:r>
            <w:r w:rsidR="00FE0673" w:rsidRPr="000F6CD1">
              <w:t>I</w:t>
            </w:r>
            <w:r w:rsidR="007A743C" w:rsidRPr="000F6CD1">
              <w:t>f using a computer at the older person’s home, ensure you are not focused on just the computer</w:t>
            </w:r>
            <w:r w:rsidR="00FE0673" w:rsidRPr="000F6CD1">
              <w:t>.</w:t>
            </w:r>
          </w:p>
          <w:p w14:paraId="33A88F43" w14:textId="77777777" w:rsidR="007A743C" w:rsidRPr="000F6CD1" w:rsidRDefault="00FE0673" w:rsidP="00DF3F6B">
            <w:pPr>
              <w:pStyle w:val="ListParagraph"/>
              <w:numPr>
                <w:ilvl w:val="0"/>
                <w:numId w:val="444"/>
              </w:numPr>
              <w:spacing w:before="240" w:after="240"/>
            </w:pPr>
            <w:r w:rsidRPr="000F6CD1">
              <w:t>G</w:t>
            </w:r>
            <w:r w:rsidR="007A743C" w:rsidRPr="000F6CD1">
              <w:t>auge the older person’s level of engagement in the assessment. Look for signs of fatigue or discomfort and adjust approach accordingly</w:t>
            </w:r>
            <w:r w:rsidRPr="000F6CD1">
              <w:t>.</w:t>
            </w:r>
          </w:p>
          <w:p w14:paraId="3E746CA3" w14:textId="77777777" w:rsidR="009063DD" w:rsidRPr="000F6CD1" w:rsidRDefault="009063DD" w:rsidP="00A677C9">
            <w:pPr>
              <w:pStyle w:val="ListParagraph"/>
              <w:spacing w:before="240" w:after="240"/>
              <w:ind w:left="318"/>
            </w:pPr>
          </w:p>
          <w:p w14:paraId="590CA383" w14:textId="6C777946" w:rsidR="003072F9" w:rsidRPr="000F6CD1" w:rsidRDefault="00207A3F" w:rsidP="00A677C9">
            <w:pPr>
              <w:pStyle w:val="ListParagraph"/>
              <w:spacing w:before="240" w:after="240"/>
              <w:ind w:left="318"/>
            </w:pPr>
            <w:r w:rsidRPr="000F6CD1">
              <w:t xml:space="preserve">For Aboriginal and Torres Strait </w:t>
            </w:r>
            <w:r w:rsidR="00357722" w:rsidRPr="000F6CD1">
              <w:t>Islander clients</w:t>
            </w:r>
          </w:p>
          <w:p w14:paraId="17E69B6E" w14:textId="1CD8EFF4" w:rsidR="00207A3F" w:rsidRPr="000F6CD1" w:rsidRDefault="73D9E90D" w:rsidP="00DF3F6B">
            <w:pPr>
              <w:pStyle w:val="ListParagraph"/>
              <w:numPr>
                <w:ilvl w:val="0"/>
                <w:numId w:val="444"/>
              </w:numPr>
              <w:spacing w:before="240" w:after="240"/>
            </w:pPr>
            <w:r w:rsidRPr="000F6CD1">
              <w:t>Observe</w:t>
            </w:r>
            <w:r w:rsidR="00357722" w:rsidRPr="000F6CD1">
              <w:t xml:space="preserve"> the local cultures and customs when conducting the assessment.</w:t>
            </w:r>
          </w:p>
          <w:p w14:paraId="31E5AC95" w14:textId="4688F3C2" w:rsidR="001D2F3E" w:rsidRPr="000F6CD1" w:rsidRDefault="1B96F9B0" w:rsidP="00DF3F6B">
            <w:pPr>
              <w:pStyle w:val="ListParagraph"/>
              <w:numPr>
                <w:ilvl w:val="0"/>
                <w:numId w:val="444"/>
              </w:numPr>
              <w:spacing w:before="240" w:after="240"/>
            </w:pPr>
            <w:r w:rsidRPr="000F6CD1">
              <w:t>S</w:t>
            </w:r>
            <w:r w:rsidR="64C7D3A0" w:rsidRPr="000F6CD1">
              <w:t>tart</w:t>
            </w:r>
            <w:r w:rsidR="001D2F3E" w:rsidRPr="000F6CD1">
              <w:t xml:space="preserve"> with a social yarn to build rapport and trust. Share stories or other topics of common interest.</w:t>
            </w:r>
          </w:p>
          <w:p w14:paraId="16784210" w14:textId="77777777" w:rsidR="005B2E9A" w:rsidRPr="000F6CD1" w:rsidRDefault="005B2E9A" w:rsidP="00DF3F6B">
            <w:pPr>
              <w:pStyle w:val="ListParagraph"/>
              <w:numPr>
                <w:ilvl w:val="0"/>
                <w:numId w:val="444"/>
              </w:numPr>
              <w:spacing w:before="240" w:after="240"/>
            </w:pPr>
            <w:r w:rsidRPr="000F6CD1">
              <w:t>Take a whole-of-person approach to the discussion – understanding what motivates a person and contributes to their wellbeing – spiritual, emotional, and physical.</w:t>
            </w:r>
          </w:p>
          <w:p w14:paraId="518A8B56" w14:textId="3011CF1B" w:rsidR="00F13C0C" w:rsidRPr="000F6CD1" w:rsidRDefault="5B53FF91" w:rsidP="00DF3F6B">
            <w:pPr>
              <w:pStyle w:val="ListParagraph"/>
              <w:numPr>
                <w:ilvl w:val="0"/>
                <w:numId w:val="444"/>
              </w:numPr>
              <w:spacing w:before="240" w:after="240"/>
            </w:pPr>
            <w:r w:rsidRPr="000F6CD1">
              <w:t xml:space="preserve">Explain to the older person and any support </w:t>
            </w:r>
            <w:r w:rsidR="0004642C" w:rsidRPr="000F6CD1">
              <w:t>people</w:t>
            </w:r>
            <w:r w:rsidRPr="000F6CD1">
              <w:t xml:space="preserve"> present that if they feel uncomfortable during the assessment at any time, the assessment will be paused and rescheduled to ensure their wellbeing. </w:t>
            </w:r>
            <w:r w:rsidR="006E78E0" w:rsidRPr="000F6CD1">
              <w:t>A</w:t>
            </w:r>
            <w:r w:rsidR="00BF7FC9" w:rsidRPr="000F6CD1">
              <w:t xml:space="preserve">llow for </w:t>
            </w:r>
            <w:r w:rsidR="00BF7FC9" w:rsidRPr="000F6CD1">
              <w:lastRenderedPageBreak/>
              <w:t xml:space="preserve">multiple visits, if required, to build trust and develop a relationship between the assessor and the older person </w:t>
            </w:r>
          </w:p>
          <w:p w14:paraId="2694F3DF" w14:textId="7EFDBF89" w:rsidR="00A91605" w:rsidRPr="000F6CD1" w:rsidRDefault="4362AFDA" w:rsidP="00DF3F6B">
            <w:pPr>
              <w:pStyle w:val="ListParagraph"/>
              <w:numPr>
                <w:ilvl w:val="0"/>
                <w:numId w:val="444"/>
              </w:numPr>
              <w:spacing w:before="240" w:after="240"/>
            </w:pPr>
            <w:r w:rsidRPr="000F6CD1">
              <w:t>W</w:t>
            </w:r>
            <w:r w:rsidR="298788F1" w:rsidRPr="000F6CD1">
              <w:t>elcome</w:t>
            </w:r>
            <w:r w:rsidR="00A91605" w:rsidRPr="000F6CD1">
              <w:t xml:space="preserve"> the presence of the older person</w:t>
            </w:r>
            <w:r w:rsidR="00401E5E" w:rsidRPr="000F6CD1">
              <w:t>’</w:t>
            </w:r>
            <w:r w:rsidR="00A91605" w:rsidRPr="000F6CD1">
              <w:t xml:space="preserve">s family member or advocate to be part of the meetings </w:t>
            </w:r>
          </w:p>
          <w:p w14:paraId="7F7E117D" w14:textId="320B7F38" w:rsidR="007A743C" w:rsidRPr="000F6CD1" w:rsidRDefault="7DB24B57" w:rsidP="00DF3F6B">
            <w:pPr>
              <w:pStyle w:val="ListParagraph"/>
              <w:numPr>
                <w:ilvl w:val="0"/>
                <w:numId w:val="444"/>
              </w:numPr>
              <w:spacing w:before="240" w:after="240"/>
            </w:pPr>
            <w:r w:rsidRPr="000F6CD1">
              <w:t>T</w:t>
            </w:r>
            <w:r w:rsidR="6A1C4298" w:rsidRPr="000F6CD1">
              <w:t>ake</w:t>
            </w:r>
            <w:r w:rsidR="00F6556B" w:rsidRPr="000F6CD1">
              <w:t xml:space="preserve"> a less formal, yarning approach to aged care assessment. </w:t>
            </w:r>
          </w:p>
        </w:tc>
      </w:tr>
      <w:tr w:rsidR="00BA1EF7" w:rsidRPr="000F6CD1" w14:paraId="352D7FEE" w14:textId="77777777" w:rsidTr="001F6B35">
        <w:tc>
          <w:tcPr>
            <w:tcW w:w="2127" w:type="dxa"/>
            <w:shd w:val="clear" w:color="auto" w:fill="002060"/>
          </w:tcPr>
          <w:p w14:paraId="03A2C711" w14:textId="77777777" w:rsidR="007A743C" w:rsidRPr="000F6CD1" w:rsidRDefault="007A743C" w:rsidP="00A677C9">
            <w:pPr>
              <w:spacing w:before="240" w:after="240"/>
              <w:rPr>
                <w:b/>
                <w:color w:val="FFFFFF" w:themeColor="background1"/>
              </w:rPr>
            </w:pPr>
            <w:r w:rsidRPr="000F6CD1">
              <w:rPr>
                <w:rFonts w:hint="eastAsia"/>
                <w:b/>
                <w:color w:val="FFFFFF" w:themeColor="background1"/>
              </w:rPr>
              <w:lastRenderedPageBreak/>
              <w:t>Use appropriate l</w:t>
            </w:r>
            <w:r w:rsidRPr="000F6CD1">
              <w:rPr>
                <w:b/>
                <w:color w:val="FFFFFF" w:themeColor="background1"/>
              </w:rPr>
              <w:t xml:space="preserve">anguage </w:t>
            </w:r>
            <w:r w:rsidRPr="000F6CD1">
              <w:rPr>
                <w:rFonts w:hint="eastAsia"/>
                <w:b/>
                <w:color w:val="FFFFFF" w:themeColor="background1"/>
              </w:rPr>
              <w:t>when speaking with the older person</w:t>
            </w:r>
          </w:p>
          <w:p w14:paraId="16BB8961" w14:textId="77777777" w:rsidR="007A743C" w:rsidRPr="000F6CD1" w:rsidRDefault="007A743C" w:rsidP="00A677C9">
            <w:pPr>
              <w:spacing w:before="240" w:after="240"/>
              <w:rPr>
                <w:b/>
                <w:color w:val="FFFFFF" w:themeColor="background1"/>
              </w:rPr>
            </w:pPr>
          </w:p>
        </w:tc>
        <w:tc>
          <w:tcPr>
            <w:tcW w:w="6662" w:type="dxa"/>
          </w:tcPr>
          <w:p w14:paraId="33921C8A" w14:textId="062AAFA1" w:rsidR="007A743C" w:rsidRPr="000F6CD1" w:rsidRDefault="00FE0673" w:rsidP="00DF3F6B">
            <w:pPr>
              <w:pStyle w:val="ListParagraph"/>
              <w:numPr>
                <w:ilvl w:val="0"/>
                <w:numId w:val="59"/>
              </w:numPr>
              <w:spacing w:before="240" w:after="240"/>
              <w:ind w:left="318"/>
            </w:pPr>
            <w:r w:rsidRPr="000F6CD1">
              <w:t>U</w:t>
            </w:r>
            <w:r w:rsidR="007A743C" w:rsidRPr="000F6CD1">
              <w:t>se needs-focused language, explaining what could be short-term vs. long-term</w:t>
            </w:r>
            <w:r w:rsidR="007A743C" w:rsidRPr="000F6CD1">
              <w:rPr>
                <w:rFonts w:hint="eastAsia"/>
              </w:rPr>
              <w:t xml:space="preserve"> options to meet their need</w:t>
            </w:r>
            <w:r w:rsidR="007A743C" w:rsidRPr="000F6CD1">
              <w:t>s</w:t>
            </w:r>
            <w:r w:rsidRPr="000F6CD1">
              <w:t>.</w:t>
            </w:r>
          </w:p>
          <w:p w14:paraId="075DACDC" w14:textId="68705BC6" w:rsidR="007A743C" w:rsidRPr="000F6CD1" w:rsidRDefault="00FE0673" w:rsidP="00DF3F6B">
            <w:pPr>
              <w:pStyle w:val="ListParagraph"/>
              <w:numPr>
                <w:ilvl w:val="0"/>
                <w:numId w:val="59"/>
              </w:numPr>
              <w:spacing w:before="240" w:after="240"/>
              <w:ind w:left="318"/>
            </w:pPr>
            <w:r w:rsidRPr="000F6CD1">
              <w:t>U</w:t>
            </w:r>
            <w:r w:rsidR="007A743C" w:rsidRPr="000F6CD1">
              <w:t>se language that is positive and not dismissive. If necessary, potentially sensitive topics (such as lack of service availability or older person fees) can be introduced at the appropriate place during the assessment process after the older person’s areas of concern and goals have been identified, and when support options are being explored in the Support Plan stage</w:t>
            </w:r>
            <w:r w:rsidRPr="000F6CD1">
              <w:t>.</w:t>
            </w:r>
          </w:p>
          <w:p w14:paraId="2FBD156B" w14:textId="4EC2B31D" w:rsidR="007A743C" w:rsidRPr="000F6CD1" w:rsidRDefault="00FE0673" w:rsidP="00DF3F6B">
            <w:pPr>
              <w:pStyle w:val="ListParagraph"/>
              <w:numPr>
                <w:ilvl w:val="0"/>
                <w:numId w:val="59"/>
              </w:numPr>
              <w:spacing w:before="240" w:after="240"/>
              <w:ind w:left="318"/>
            </w:pPr>
            <w:r w:rsidRPr="000F6CD1">
              <w:t>U</w:t>
            </w:r>
            <w:r w:rsidR="007A743C" w:rsidRPr="000F6CD1">
              <w:t>se language that focuses on the older person’s strengths, abilities and what they want to achieve and how these could be further supported – a focus on independence</w:t>
            </w:r>
            <w:r w:rsidRPr="000F6CD1">
              <w:t>.</w:t>
            </w:r>
          </w:p>
          <w:p w14:paraId="74DF69B2" w14:textId="108C43EC" w:rsidR="00B15351" w:rsidRPr="000F6CD1" w:rsidRDefault="00B15351" w:rsidP="00DF3F6B">
            <w:pPr>
              <w:pStyle w:val="ListParagraph"/>
              <w:numPr>
                <w:ilvl w:val="0"/>
                <w:numId w:val="59"/>
              </w:numPr>
              <w:spacing w:before="240" w:after="240"/>
              <w:ind w:left="318"/>
            </w:pPr>
            <w:r w:rsidRPr="000F6CD1">
              <w:t>Take the time to explain what will happen</w:t>
            </w:r>
          </w:p>
          <w:p w14:paraId="18D28FD5" w14:textId="605266A2" w:rsidR="00E409F2" w:rsidRPr="000F6CD1" w:rsidRDefault="00E409F2" w:rsidP="00DF3F6B">
            <w:pPr>
              <w:pStyle w:val="ListParagraph"/>
              <w:numPr>
                <w:ilvl w:val="0"/>
                <w:numId w:val="59"/>
              </w:numPr>
              <w:spacing w:before="240" w:after="240"/>
              <w:ind w:left="318"/>
            </w:pPr>
            <w:r w:rsidRPr="000F6CD1">
              <w:t>Use informal and the local language where possible and avoid jargon</w:t>
            </w:r>
          </w:p>
          <w:p w14:paraId="03EB64C5" w14:textId="1502AB17" w:rsidR="007A743C" w:rsidRPr="000F6CD1" w:rsidRDefault="00FE0673" w:rsidP="00DF3F6B">
            <w:pPr>
              <w:pStyle w:val="ListParagraph"/>
              <w:numPr>
                <w:ilvl w:val="0"/>
                <w:numId w:val="59"/>
              </w:numPr>
              <w:spacing w:before="240" w:after="240"/>
              <w:ind w:left="318"/>
            </w:pPr>
            <w:r w:rsidRPr="000F6CD1">
              <w:t>A</w:t>
            </w:r>
            <w:r w:rsidR="007A743C" w:rsidRPr="000F6CD1">
              <w:t>djust language as needed to ensure sensitivity towards End-of-Life Pathway participants (for example, focusing on more immediate needs rather than longer-term goals)</w:t>
            </w:r>
            <w:r w:rsidRPr="000F6CD1">
              <w:t>.</w:t>
            </w:r>
          </w:p>
          <w:p w14:paraId="78858433" w14:textId="07AE409E" w:rsidR="007A743C" w:rsidRPr="000F6CD1" w:rsidRDefault="00FE0673" w:rsidP="00DF3F6B">
            <w:pPr>
              <w:pStyle w:val="ListParagraph"/>
              <w:numPr>
                <w:ilvl w:val="0"/>
                <w:numId w:val="59"/>
              </w:numPr>
              <w:spacing w:before="240" w:after="240"/>
              <w:ind w:left="318"/>
            </w:pPr>
            <w:r w:rsidRPr="000F6CD1">
              <w:t>R</w:t>
            </w:r>
            <w:r w:rsidR="007A743C" w:rsidRPr="000F6CD1">
              <w:t>eflect the conversation back to the older person to ensure you have understood what was said and agreed on</w:t>
            </w:r>
            <w:r w:rsidR="00F66212" w:rsidRPr="000F6CD1">
              <w:t>.</w:t>
            </w:r>
          </w:p>
        </w:tc>
      </w:tr>
      <w:tr w:rsidR="00BA1EF7" w:rsidRPr="000F6CD1" w14:paraId="61D89C23" w14:textId="77777777" w:rsidTr="001F6B35">
        <w:tc>
          <w:tcPr>
            <w:tcW w:w="2127" w:type="dxa"/>
            <w:shd w:val="clear" w:color="auto" w:fill="002060"/>
          </w:tcPr>
          <w:p w14:paraId="2D919A6A" w14:textId="77777777" w:rsidR="007A743C" w:rsidRPr="000F6CD1" w:rsidRDefault="007A743C" w:rsidP="00A677C9">
            <w:pPr>
              <w:spacing w:before="240" w:after="240"/>
              <w:rPr>
                <w:b/>
                <w:color w:val="FFFFFF" w:themeColor="background1"/>
              </w:rPr>
            </w:pPr>
            <w:r w:rsidRPr="000F6CD1">
              <w:rPr>
                <w:b/>
                <w:color w:val="FFFFFF" w:themeColor="background1"/>
              </w:rPr>
              <w:t>Interpreters or support person</w:t>
            </w:r>
          </w:p>
        </w:tc>
        <w:tc>
          <w:tcPr>
            <w:tcW w:w="6662" w:type="dxa"/>
          </w:tcPr>
          <w:p w14:paraId="45DD9CE3" w14:textId="42F1AE5D" w:rsidR="007A743C" w:rsidRPr="000F6CD1" w:rsidRDefault="007A743C" w:rsidP="00DF3F6B">
            <w:pPr>
              <w:pStyle w:val="ListParagraph"/>
              <w:numPr>
                <w:ilvl w:val="0"/>
                <w:numId w:val="59"/>
              </w:numPr>
              <w:spacing w:before="240" w:after="240"/>
              <w:ind w:left="318"/>
            </w:pPr>
            <w:r w:rsidRPr="000F6CD1">
              <w:t>where the older person prefers to communicate in a language other than English or has indicated in their record that a support person is required, an interpreter or support person must attend the assessment (either in-person or via phone)</w:t>
            </w:r>
            <w:r w:rsidR="00F66212" w:rsidRPr="000F6CD1">
              <w:t>.</w:t>
            </w:r>
          </w:p>
        </w:tc>
      </w:tr>
      <w:tr w:rsidR="00BA1EF7" w:rsidRPr="000F6CD1" w14:paraId="20F45B81" w14:textId="77777777" w:rsidTr="001F6B35">
        <w:tc>
          <w:tcPr>
            <w:tcW w:w="2127" w:type="dxa"/>
            <w:shd w:val="clear" w:color="auto" w:fill="002060"/>
          </w:tcPr>
          <w:p w14:paraId="4DEAC53A" w14:textId="77777777" w:rsidR="007A743C" w:rsidRPr="000F6CD1" w:rsidRDefault="007A743C" w:rsidP="00A677C9">
            <w:pPr>
              <w:spacing w:before="240" w:after="240"/>
              <w:rPr>
                <w:b/>
                <w:color w:val="FFFFFF" w:themeColor="background1"/>
              </w:rPr>
            </w:pPr>
            <w:r w:rsidRPr="000F6CD1">
              <w:rPr>
                <w:b/>
                <w:color w:val="FFFFFF" w:themeColor="background1"/>
              </w:rPr>
              <w:t>Supporting people with dementia and other cognitive impairments</w:t>
            </w:r>
          </w:p>
        </w:tc>
        <w:tc>
          <w:tcPr>
            <w:tcW w:w="6662" w:type="dxa"/>
          </w:tcPr>
          <w:p w14:paraId="429D2C18" w14:textId="69596F89" w:rsidR="007A743C" w:rsidRPr="000F6CD1" w:rsidRDefault="007A743C"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Use simplified language where appropriate</w:t>
            </w:r>
            <w:r w:rsidR="00F66212" w:rsidRPr="000F6CD1">
              <w:rPr>
                <w:rFonts w:ascii="Arial" w:eastAsiaTheme="majorEastAsia" w:hAnsi="Arial" w:cs="Arial"/>
              </w:rPr>
              <w:t>.</w:t>
            </w:r>
          </w:p>
          <w:p w14:paraId="22B16F62" w14:textId="77777777" w:rsidR="007A743C" w:rsidRPr="000F6CD1" w:rsidRDefault="007A743C"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Repeat questions and information where needed</w:t>
            </w:r>
          </w:p>
          <w:p w14:paraId="0C0AD434" w14:textId="3794CA9E" w:rsidR="007A743C" w:rsidRPr="000F6CD1" w:rsidRDefault="007A743C"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Be attuned to non-verbal signs that the person may need further information to help them understand</w:t>
            </w:r>
            <w:r w:rsidR="00F66212" w:rsidRPr="000F6CD1">
              <w:rPr>
                <w:rFonts w:ascii="Arial" w:eastAsiaTheme="majorEastAsia" w:hAnsi="Arial" w:cs="Arial"/>
              </w:rPr>
              <w:t>.</w:t>
            </w:r>
          </w:p>
          <w:p w14:paraId="21435BB6" w14:textId="40B2AD4A" w:rsidR="009917C1" w:rsidRPr="000F6CD1" w:rsidRDefault="00BE7C74"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Consider</w:t>
            </w:r>
            <w:r w:rsidR="009917C1" w:rsidRPr="000F6CD1">
              <w:rPr>
                <w:rFonts w:ascii="Arial" w:eastAsiaTheme="majorEastAsia" w:hAnsi="Arial" w:cs="Arial"/>
              </w:rPr>
              <w:t xml:space="preserve"> </w:t>
            </w:r>
            <w:r w:rsidR="00F703B4" w:rsidRPr="000F6CD1">
              <w:rPr>
                <w:rFonts w:ascii="Arial" w:eastAsiaTheme="majorEastAsia" w:hAnsi="Arial" w:cs="Arial"/>
              </w:rPr>
              <w:t xml:space="preserve">body </w:t>
            </w:r>
            <w:r w:rsidR="00037A06" w:rsidRPr="000F6CD1">
              <w:rPr>
                <w:rFonts w:ascii="Arial" w:eastAsiaTheme="majorEastAsia" w:hAnsi="Arial" w:cs="Arial"/>
              </w:rPr>
              <w:t>language, including facial expressions and posture</w:t>
            </w:r>
            <w:r w:rsidR="00A06E5E" w:rsidRPr="000F6CD1">
              <w:rPr>
                <w:rFonts w:ascii="Arial" w:eastAsiaTheme="majorEastAsia" w:hAnsi="Arial" w:cs="Arial"/>
              </w:rPr>
              <w:t>.</w:t>
            </w:r>
          </w:p>
          <w:p w14:paraId="27AEE067" w14:textId="07234AEB" w:rsidR="007D3332" w:rsidRPr="000F6CD1" w:rsidRDefault="00BE7C74"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 xml:space="preserve">Consider the assessment environment, </w:t>
            </w:r>
            <w:r w:rsidR="00EA22F3" w:rsidRPr="000F6CD1">
              <w:rPr>
                <w:rFonts w:ascii="Arial" w:eastAsiaTheme="majorEastAsia" w:hAnsi="Arial" w:cs="Arial"/>
              </w:rPr>
              <w:t xml:space="preserve">particularly background noise or </w:t>
            </w:r>
            <w:r w:rsidR="00EF326A" w:rsidRPr="000F6CD1">
              <w:rPr>
                <w:rFonts w:ascii="Arial" w:eastAsiaTheme="majorEastAsia" w:hAnsi="Arial" w:cs="Arial"/>
              </w:rPr>
              <w:t>activities competing for attention</w:t>
            </w:r>
          </w:p>
          <w:p w14:paraId="167B7AF4" w14:textId="5F8AAF37" w:rsidR="007A743C" w:rsidRPr="000F6CD1" w:rsidRDefault="007A743C"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Seek discrete responses to questions (e.g. ‘Yes’ or ‘No</w:t>
            </w:r>
            <w:r w:rsidR="00F513CB" w:rsidRPr="000F6CD1">
              <w:rPr>
                <w:rFonts w:ascii="Arial" w:eastAsiaTheme="majorEastAsia" w:hAnsi="Arial" w:cs="Arial"/>
              </w:rPr>
              <w:t>,’</w:t>
            </w:r>
            <w:r w:rsidRPr="000F6CD1">
              <w:rPr>
                <w:rFonts w:ascii="Arial" w:eastAsiaTheme="majorEastAsia" w:hAnsi="Arial" w:cs="Arial"/>
              </w:rPr>
              <w:t xml:space="preserve"> or choices between two options) rather than multiple options</w:t>
            </w:r>
            <w:r w:rsidR="00F66212" w:rsidRPr="000F6CD1">
              <w:rPr>
                <w:rFonts w:ascii="Arial" w:eastAsiaTheme="majorEastAsia" w:hAnsi="Arial" w:cs="Arial"/>
              </w:rPr>
              <w:t>.</w:t>
            </w:r>
          </w:p>
          <w:p w14:paraId="1A288EA0" w14:textId="0CB16694" w:rsidR="007A743C" w:rsidRPr="000F6CD1" w:rsidRDefault="007A743C" w:rsidP="00DF3F6B">
            <w:pPr>
              <w:pStyle w:val="pf0"/>
              <w:numPr>
                <w:ilvl w:val="0"/>
                <w:numId w:val="59"/>
              </w:numPr>
              <w:spacing w:before="240" w:beforeAutospacing="0" w:after="240" w:afterAutospacing="0"/>
              <w:ind w:left="318"/>
              <w:rPr>
                <w:rFonts w:ascii="Arial" w:eastAsiaTheme="majorEastAsia" w:hAnsi="Arial" w:cs="Arial"/>
              </w:rPr>
            </w:pPr>
            <w:r w:rsidRPr="000F6CD1">
              <w:rPr>
                <w:rFonts w:ascii="Arial" w:eastAsiaTheme="majorEastAsia" w:hAnsi="Arial" w:cs="Arial"/>
              </w:rPr>
              <w:t>Provide ample time for a person to respond to questions</w:t>
            </w:r>
            <w:r w:rsidR="00F66212" w:rsidRPr="000F6CD1">
              <w:rPr>
                <w:rFonts w:ascii="Arial" w:eastAsiaTheme="majorEastAsia" w:hAnsi="Arial" w:cs="Arial"/>
              </w:rPr>
              <w:t>.</w:t>
            </w:r>
          </w:p>
        </w:tc>
      </w:tr>
      <w:tr w:rsidR="00BA1EF7" w:rsidRPr="000F6CD1" w14:paraId="053D01BC" w14:textId="77777777" w:rsidTr="001F6B35">
        <w:trPr>
          <w:trHeight w:val="300"/>
        </w:trPr>
        <w:tc>
          <w:tcPr>
            <w:tcW w:w="2127" w:type="dxa"/>
            <w:shd w:val="clear" w:color="auto" w:fill="002060"/>
          </w:tcPr>
          <w:p w14:paraId="5967335C" w14:textId="77777777" w:rsidR="007A743C" w:rsidRPr="000F6CD1" w:rsidRDefault="007A743C" w:rsidP="00A677C9">
            <w:pPr>
              <w:spacing w:before="240" w:after="240"/>
              <w:rPr>
                <w:b/>
                <w:color w:val="FFFFFF" w:themeColor="background1"/>
              </w:rPr>
            </w:pPr>
            <w:r w:rsidRPr="000F6CD1">
              <w:rPr>
                <w:b/>
                <w:color w:val="FFFFFF" w:themeColor="background1"/>
              </w:rPr>
              <w:lastRenderedPageBreak/>
              <w:t>Using Validated Assessment Tools</w:t>
            </w:r>
          </w:p>
        </w:tc>
        <w:tc>
          <w:tcPr>
            <w:tcW w:w="6662" w:type="dxa"/>
          </w:tcPr>
          <w:p w14:paraId="672A45E8" w14:textId="05987A3D" w:rsidR="007A743C" w:rsidRPr="000F6CD1" w:rsidRDefault="007A743C" w:rsidP="00A677C9">
            <w:pPr>
              <w:spacing w:before="240" w:after="240"/>
            </w:pPr>
            <w:r w:rsidRPr="000F6CD1">
              <w:t xml:space="preserve">Assessors may wish to use assessment tools not included in the Validated Assessment </w:t>
            </w:r>
            <w:r w:rsidR="0063027A" w:rsidRPr="000F6CD1">
              <w:t>T</w:t>
            </w:r>
            <w:r w:rsidRPr="000F6CD1">
              <w:t>ools within the IAT to enhance assessment and strengthen objective evidence for an assessment recommendation(s). This is at the discretion of the assessment organisation.</w:t>
            </w:r>
          </w:p>
          <w:p w14:paraId="5BC8CE4A" w14:textId="5817C93B" w:rsidR="007A743C" w:rsidRPr="000F6CD1" w:rsidRDefault="007A743C" w:rsidP="00A677C9">
            <w:pPr>
              <w:spacing w:before="240" w:after="240"/>
            </w:pPr>
            <w:r w:rsidRPr="000F6CD1">
              <w:t xml:space="preserve">Clinical assessors should use their clinical judgement to determine if it is appropriate to use other Validated Assessment Tools. If other </w:t>
            </w:r>
            <w:r w:rsidR="3D359DDB" w:rsidRPr="000F6CD1">
              <w:t xml:space="preserve">assessment </w:t>
            </w:r>
            <w:r w:rsidRPr="000F6CD1">
              <w:t xml:space="preserve">tools are used, the assessor should make a note of this in their assessment summary. </w:t>
            </w:r>
          </w:p>
          <w:p w14:paraId="419ED422" w14:textId="369CA5F4" w:rsidR="007A743C" w:rsidRPr="000F6CD1" w:rsidRDefault="13DFA324" w:rsidP="00A677C9">
            <w:pPr>
              <w:spacing w:before="240" w:after="240"/>
            </w:pPr>
            <w:r w:rsidRPr="000F6CD1">
              <w:t xml:space="preserve">The assessor should record assessment tool outcomes and recommendations based on these outcomes within the Assessment Summary. The assessor should also make sure that the older person and their support </w:t>
            </w:r>
            <w:r w:rsidR="00196CAC" w:rsidRPr="000F6CD1">
              <w:t>people</w:t>
            </w:r>
            <w:r w:rsidRPr="000F6CD1">
              <w:t xml:space="preserve"> understand the outcome of any assessment tools used.</w:t>
            </w:r>
          </w:p>
        </w:tc>
      </w:tr>
      <w:tr w:rsidR="00BA1EF7" w:rsidRPr="000F6CD1" w14:paraId="4F6FDBB3" w14:textId="77777777" w:rsidTr="001F6B35">
        <w:trPr>
          <w:trHeight w:val="300"/>
        </w:trPr>
        <w:tc>
          <w:tcPr>
            <w:tcW w:w="2127" w:type="dxa"/>
            <w:shd w:val="clear" w:color="auto" w:fill="002060"/>
          </w:tcPr>
          <w:p w14:paraId="1078338F" w14:textId="77777777" w:rsidR="007A743C" w:rsidRPr="000F6CD1" w:rsidRDefault="007A743C" w:rsidP="00A677C9">
            <w:pPr>
              <w:spacing w:before="240" w:after="240"/>
              <w:rPr>
                <w:b/>
                <w:color w:val="FFFFFF" w:themeColor="background1"/>
              </w:rPr>
            </w:pPr>
            <w:r w:rsidRPr="000F6CD1">
              <w:rPr>
                <w:b/>
                <w:color w:val="FFFFFF" w:themeColor="background1"/>
              </w:rPr>
              <w:t xml:space="preserve">Observing functional activities </w:t>
            </w:r>
          </w:p>
        </w:tc>
        <w:tc>
          <w:tcPr>
            <w:tcW w:w="6662" w:type="dxa"/>
          </w:tcPr>
          <w:p w14:paraId="6E5EB982" w14:textId="77777777" w:rsidR="007A743C" w:rsidRPr="000F6CD1" w:rsidRDefault="007A743C" w:rsidP="00A677C9">
            <w:pPr>
              <w:spacing w:before="240" w:after="240"/>
              <w:rPr>
                <w:lang w:eastAsia="ko-KR"/>
              </w:rPr>
            </w:pPr>
            <w:r w:rsidRPr="000F6CD1">
              <w:rPr>
                <w:lang w:eastAsia="ko-KR"/>
              </w:rPr>
              <w:t xml:space="preserve">Where possible, assessors must observe the older person’s activities to gain insight beyond information that is conveyed just verbally by the older person, a registered supporter or anyone else who supports the older person. Therefore, collect information through additional means: </w:t>
            </w:r>
          </w:p>
          <w:p w14:paraId="42FF91C9" w14:textId="77777777" w:rsidR="007A743C" w:rsidRPr="000F6CD1" w:rsidRDefault="007A743C" w:rsidP="00DF3F6B">
            <w:pPr>
              <w:pStyle w:val="ListParagraph"/>
              <w:numPr>
                <w:ilvl w:val="0"/>
                <w:numId w:val="59"/>
              </w:numPr>
              <w:spacing w:before="240" w:after="240"/>
              <w:ind w:left="567" w:hanging="283"/>
            </w:pPr>
            <w:r w:rsidRPr="000F6CD1">
              <w:t xml:space="preserve">ask the older person to </w:t>
            </w:r>
            <w:r w:rsidRPr="000F6CD1">
              <w:rPr>
                <w:rStyle w:val="SubtleEmphasis"/>
                <w:b/>
              </w:rPr>
              <w:t>show you</w:t>
            </w:r>
            <w:r w:rsidRPr="000F6CD1">
              <w:t xml:space="preserve"> how tasks are completed in the home and </w:t>
            </w:r>
            <w:r w:rsidRPr="000F6CD1">
              <w:rPr>
                <w:rStyle w:val="SubtleEmphasis"/>
                <w:b/>
              </w:rPr>
              <w:t>observe</w:t>
            </w:r>
            <w:r w:rsidRPr="000F6CD1">
              <w:t xml:space="preserve"> the older person undertaking those tasks (this is an ‘active’ assessment) and</w:t>
            </w:r>
          </w:p>
          <w:p w14:paraId="618892AD" w14:textId="77777777" w:rsidR="007A743C" w:rsidRPr="000F6CD1" w:rsidRDefault="007A743C" w:rsidP="00DF3F6B">
            <w:pPr>
              <w:pStyle w:val="ListParagraph"/>
              <w:numPr>
                <w:ilvl w:val="0"/>
                <w:numId w:val="59"/>
              </w:numPr>
              <w:spacing w:before="240" w:after="240"/>
              <w:ind w:left="567" w:hanging="283"/>
            </w:pPr>
            <w:r w:rsidRPr="000F6CD1">
              <w:t xml:space="preserve">advise the older person </w:t>
            </w:r>
            <w:r w:rsidRPr="000F6CD1">
              <w:rPr>
                <w:rStyle w:val="SubtleEmphasis"/>
                <w:b/>
              </w:rPr>
              <w:t>what</w:t>
            </w:r>
            <w:r w:rsidRPr="000F6CD1">
              <w:t xml:space="preserve"> you have observed/seen during the task.</w:t>
            </w:r>
          </w:p>
        </w:tc>
      </w:tr>
    </w:tbl>
    <w:p w14:paraId="3A4C6794" w14:textId="500A60CA" w:rsidR="00057751" w:rsidRPr="000F6CD1" w:rsidRDefault="00057751" w:rsidP="00AD2CE5">
      <w:pPr>
        <w:pStyle w:val="H3"/>
      </w:pPr>
      <w:bookmarkStart w:id="404" w:name="_Ref46401659"/>
      <w:bookmarkStart w:id="405" w:name="_Ref46401842"/>
      <w:bookmarkStart w:id="406" w:name="_Ref48662612"/>
      <w:bookmarkStart w:id="407" w:name="_Toc159226880"/>
      <w:bookmarkStart w:id="408" w:name="_Toc184402297"/>
      <w:bookmarkStart w:id="409" w:name="_Toc204329552"/>
      <w:bookmarkStart w:id="410" w:name="_Toc499195602"/>
      <w:bookmarkStart w:id="411" w:name="_Ref51434060"/>
      <w:r w:rsidRPr="000F6CD1">
        <w:t>Aboriginal and Torres Strait Islander assessment</w:t>
      </w:r>
      <w:r w:rsidR="2772E318" w:rsidRPr="000F6CD1">
        <w:t>s</w:t>
      </w:r>
      <w:r w:rsidRPr="000F6CD1">
        <w:t xml:space="preserve"> </w:t>
      </w:r>
    </w:p>
    <w:p w14:paraId="50AF865B" w14:textId="34DEE799" w:rsidR="00394179" w:rsidRPr="000F6CD1" w:rsidRDefault="00394179" w:rsidP="00A677C9">
      <w:pPr>
        <w:spacing w:before="240" w:after="240" w:line="240" w:lineRule="auto"/>
      </w:pPr>
      <w:r w:rsidRPr="000F6CD1">
        <w:t xml:space="preserve">To support timely access to services, assessors are encouraged to use their professional judgement to determine when an assessment can be completed in one session or, be split over a few sessions without disadvantaging the client from receiving timely services. </w:t>
      </w:r>
    </w:p>
    <w:p w14:paraId="78C22619" w14:textId="263199B0" w:rsidR="00394179" w:rsidRPr="000F6CD1" w:rsidRDefault="00394179" w:rsidP="00A677C9">
      <w:pPr>
        <w:spacing w:before="240" w:after="240" w:line="240" w:lineRule="auto"/>
      </w:pPr>
      <w:r w:rsidRPr="000F6CD1">
        <w:t xml:space="preserve">By starting the assessment with a yarn, the assessor should be able to gauge whether it is appropriate to proceed with completing the assessment during the session. </w:t>
      </w:r>
    </w:p>
    <w:p w14:paraId="4B3C9381" w14:textId="5E21F259" w:rsidR="00394179" w:rsidRPr="000F6CD1" w:rsidRDefault="00394179" w:rsidP="00A677C9">
      <w:pPr>
        <w:spacing w:before="240" w:after="240" w:line="240" w:lineRule="auto"/>
      </w:pPr>
      <w:r w:rsidRPr="000F6CD1">
        <w:t>Where an assessment cannot be finalised during the initial session</w:t>
      </w:r>
      <w:r w:rsidRPr="000F6CD1" w:rsidDel="0021087F">
        <w:t xml:space="preserve"> </w:t>
      </w:r>
      <w:r w:rsidRPr="000F6CD1">
        <w:t>and additional sittings are required, the assessors should complete the initial yarn and schedule a follow up assessment. The subsequent sessions should be conducted as soon as practicable, as service referrals cannot proceed until the assessment is completed</w:t>
      </w:r>
      <w:r w:rsidR="000A5006" w:rsidRPr="000F6CD1">
        <w:t xml:space="preserve"> and</w:t>
      </w:r>
      <w:r w:rsidRPr="000F6CD1">
        <w:t xml:space="preserve"> the Support Plan has been approved by the </w:t>
      </w:r>
      <w:r w:rsidR="00E45B54" w:rsidRPr="000F6CD1">
        <w:t>assessment delegate</w:t>
      </w:r>
      <w:r w:rsidRPr="000F6CD1">
        <w:t xml:space="preserve">. </w:t>
      </w:r>
    </w:p>
    <w:p w14:paraId="6DF3909B" w14:textId="1D5F5A29" w:rsidR="00394179" w:rsidRPr="000F6CD1" w:rsidRDefault="00394179" w:rsidP="00A677C9">
      <w:pPr>
        <w:spacing w:before="240" w:after="240" w:line="240" w:lineRule="auto"/>
      </w:pPr>
      <w:r w:rsidRPr="000F6CD1">
        <w:t xml:space="preserve">While the assessment remains open, the assessment organisation </w:t>
      </w:r>
      <w:r w:rsidR="008411CF" w:rsidRPr="000F6CD1">
        <w:t>should</w:t>
      </w:r>
      <w:r w:rsidRPr="000F6CD1">
        <w:t xml:space="preserve"> maintain regular check ins with the client to ensure their circumstances have not changed. This ongoing engagement helps ensure the assessment remains accurate and responsive to the older person’s needs.</w:t>
      </w:r>
    </w:p>
    <w:p w14:paraId="33FF74DC" w14:textId="2906363C" w:rsidR="00394179" w:rsidRPr="000F6CD1" w:rsidRDefault="00394179" w:rsidP="00A677C9">
      <w:pPr>
        <w:spacing w:before="240" w:after="240" w:line="240" w:lineRule="auto"/>
      </w:pPr>
      <w:r w:rsidRPr="000F6CD1">
        <w:lastRenderedPageBreak/>
        <w:t>Factors to consider in determining whether to complete the assessment on the first visit include:</w:t>
      </w:r>
    </w:p>
    <w:p w14:paraId="6A32DAC9" w14:textId="77777777" w:rsidR="00394179" w:rsidRPr="000F6CD1" w:rsidRDefault="00394179" w:rsidP="00DF3F6B">
      <w:pPr>
        <w:numPr>
          <w:ilvl w:val="0"/>
          <w:numId w:val="445"/>
        </w:numPr>
        <w:spacing w:before="240" w:after="240" w:line="240" w:lineRule="auto"/>
      </w:pPr>
      <w:r w:rsidRPr="000F6CD1">
        <w:rPr>
          <w:b/>
          <w:bCs/>
        </w:rPr>
        <w:t>Support from Elder Care Support worker</w:t>
      </w:r>
      <w:r w:rsidRPr="000F6CD1">
        <w:t xml:space="preserve">: Has an Elder Care Support worker facilitated the older person’s entry into the aged care system, explained the assessment process, and help built trust in engaging with aged care? </w:t>
      </w:r>
    </w:p>
    <w:p w14:paraId="3C003A12" w14:textId="77777777" w:rsidR="00394179" w:rsidRPr="000F6CD1" w:rsidRDefault="00394179" w:rsidP="00DF3F6B">
      <w:pPr>
        <w:numPr>
          <w:ilvl w:val="0"/>
          <w:numId w:val="445"/>
        </w:numPr>
        <w:spacing w:before="240" w:after="240" w:line="240" w:lineRule="auto"/>
      </w:pPr>
      <w:r w:rsidRPr="000F6CD1">
        <w:rPr>
          <w:b/>
          <w:bCs/>
        </w:rPr>
        <w:t xml:space="preserve">Client Engagement and Readiness: </w:t>
      </w:r>
      <w:r w:rsidRPr="000F6CD1">
        <w:t>Are the client’s body language and verbal cues non-responsive, suggesting they need more time to become familiar with the concept of aged care assessments?</w:t>
      </w:r>
    </w:p>
    <w:p w14:paraId="6FC09157" w14:textId="67299B9D" w:rsidR="00394179" w:rsidRPr="000F6CD1" w:rsidRDefault="00394179" w:rsidP="00DF3F6B">
      <w:pPr>
        <w:numPr>
          <w:ilvl w:val="0"/>
          <w:numId w:val="445"/>
        </w:numPr>
        <w:spacing w:before="240" w:after="240" w:line="240" w:lineRule="auto"/>
      </w:pPr>
      <w:r w:rsidRPr="000F6CD1">
        <w:rPr>
          <w:b/>
          <w:bCs/>
        </w:rPr>
        <w:t xml:space="preserve">Availability of Information: </w:t>
      </w:r>
      <w:r w:rsidRPr="000F6CD1">
        <w:t>Has</w:t>
      </w:r>
      <w:r w:rsidRPr="000F6CD1" w:rsidDel="00454969">
        <w:t xml:space="preserve"> </w:t>
      </w:r>
      <w:r w:rsidRPr="000F6CD1">
        <w:t xml:space="preserve">sufficient information been collected from various sources to allow </w:t>
      </w:r>
      <w:r w:rsidR="001A6B6C" w:rsidRPr="000F6CD1">
        <w:t xml:space="preserve">the </w:t>
      </w:r>
      <w:r w:rsidRPr="000F6CD1">
        <w:t>assessment to be undertaken in one sitting?</w:t>
      </w:r>
    </w:p>
    <w:p w14:paraId="4994976A" w14:textId="77777777" w:rsidR="00394179" w:rsidRPr="000F6CD1" w:rsidRDefault="00394179" w:rsidP="00DF3F6B">
      <w:pPr>
        <w:numPr>
          <w:ilvl w:val="0"/>
          <w:numId w:val="445"/>
        </w:numPr>
        <w:spacing w:before="240" w:after="240" w:line="240" w:lineRule="auto"/>
      </w:pPr>
      <w:r w:rsidRPr="000F6CD1">
        <w:rPr>
          <w:b/>
          <w:bCs/>
        </w:rPr>
        <w:t xml:space="preserve">Supportive Environment: </w:t>
      </w:r>
      <w:r w:rsidRPr="000F6CD1">
        <w:t>Are family and/or community members present and helping to create a safe and non-stressful environment for the assessment?</w:t>
      </w:r>
    </w:p>
    <w:p w14:paraId="76BD282A" w14:textId="55FD0EFC" w:rsidR="00043B08" w:rsidRPr="000F6CD1" w:rsidRDefault="00F313FA" w:rsidP="00AD2CE5">
      <w:pPr>
        <w:pStyle w:val="H3"/>
        <w:rPr>
          <w:sz w:val="36"/>
          <w:szCs w:val="36"/>
          <w:lang w:eastAsia="ko-KR"/>
        </w:rPr>
      </w:pPr>
      <w:r w:rsidRPr="000F6CD1">
        <w:t xml:space="preserve">Aboriginal and Torres Strait Islander </w:t>
      </w:r>
      <w:r w:rsidR="00642443" w:rsidRPr="000F6CD1">
        <w:t>assessment organisation</w:t>
      </w:r>
      <w:r w:rsidR="00D25142" w:rsidRPr="000F6CD1">
        <w:t>s</w:t>
      </w:r>
      <w:r w:rsidR="00642443" w:rsidRPr="000F6CD1">
        <w:t xml:space="preserve"> d</w:t>
      </w:r>
      <w:r w:rsidR="00043B08" w:rsidRPr="000F6CD1">
        <w:t xml:space="preserve">elivering </w:t>
      </w:r>
      <w:r w:rsidR="0053071C" w:rsidRPr="000F6CD1">
        <w:t xml:space="preserve">home support </w:t>
      </w:r>
      <w:r w:rsidR="00043B08" w:rsidRPr="000F6CD1">
        <w:t xml:space="preserve">assessments </w:t>
      </w:r>
    </w:p>
    <w:p w14:paraId="16AD63E4" w14:textId="2A7F3DE4" w:rsidR="00043B08" w:rsidRPr="000F6CD1" w:rsidRDefault="0037776D" w:rsidP="00043B08">
      <w:pPr>
        <w:rPr>
          <w:lang w:eastAsia="ko-KR"/>
        </w:rPr>
      </w:pPr>
      <w:r w:rsidRPr="000F6CD1">
        <w:rPr>
          <w:lang w:eastAsia="ko-KR"/>
        </w:rPr>
        <w:t>Aboriginal and Torres Strait Islander assessment organisation</w:t>
      </w:r>
      <w:r w:rsidR="009B46BC" w:rsidRPr="000F6CD1">
        <w:rPr>
          <w:lang w:eastAsia="ko-KR"/>
        </w:rPr>
        <w:t>s</w:t>
      </w:r>
      <w:r w:rsidR="00043B08" w:rsidRPr="000F6CD1" w:rsidDel="0037776D">
        <w:rPr>
          <w:lang w:eastAsia="ko-KR"/>
        </w:rPr>
        <w:t xml:space="preserve"> participating</w:t>
      </w:r>
      <w:r w:rsidR="00043B08" w:rsidRPr="000F6CD1">
        <w:rPr>
          <w:lang w:eastAsia="ko-KR"/>
        </w:rPr>
        <w:t xml:space="preserve"> </w:t>
      </w:r>
      <w:r w:rsidR="00C90EFF" w:rsidRPr="000F6CD1">
        <w:rPr>
          <w:lang w:eastAsia="ko-KR"/>
        </w:rPr>
        <w:t>in the pilot a</w:t>
      </w:r>
      <w:r w:rsidR="009A7595" w:rsidRPr="000F6CD1">
        <w:rPr>
          <w:lang w:eastAsia="ko-KR"/>
        </w:rPr>
        <w:t xml:space="preserve">re </w:t>
      </w:r>
      <w:r w:rsidR="00E0035C" w:rsidRPr="000F6CD1">
        <w:rPr>
          <w:lang w:eastAsia="ko-KR"/>
        </w:rPr>
        <w:t>expand</w:t>
      </w:r>
      <w:r w:rsidR="00043B08" w:rsidRPr="000F6CD1">
        <w:rPr>
          <w:lang w:eastAsia="ko-KR"/>
        </w:rPr>
        <w:t>ing</w:t>
      </w:r>
      <w:r w:rsidR="00043B08" w:rsidRPr="000F6CD1" w:rsidDel="00E0035C">
        <w:rPr>
          <w:lang w:eastAsia="ko-KR"/>
        </w:rPr>
        <w:t xml:space="preserve"> </w:t>
      </w:r>
      <w:r w:rsidR="00043B08" w:rsidRPr="000F6CD1">
        <w:rPr>
          <w:lang w:eastAsia="ko-KR"/>
        </w:rPr>
        <w:t xml:space="preserve">their </w:t>
      </w:r>
      <w:r w:rsidR="00E0035C" w:rsidRPr="000F6CD1">
        <w:rPr>
          <w:lang w:eastAsia="ko-KR"/>
        </w:rPr>
        <w:t xml:space="preserve">expertise </w:t>
      </w:r>
      <w:r w:rsidR="00043B08" w:rsidRPr="000F6CD1">
        <w:rPr>
          <w:lang w:eastAsia="ko-KR"/>
        </w:rPr>
        <w:t>to deliver comprehensive assessments.</w:t>
      </w:r>
      <w:r w:rsidR="004A38D5" w:rsidRPr="000F6CD1">
        <w:rPr>
          <w:lang w:eastAsia="ko-KR"/>
        </w:rPr>
        <w:t xml:space="preserve"> </w:t>
      </w:r>
      <w:r w:rsidR="005221CA" w:rsidRPr="000F6CD1">
        <w:rPr>
          <w:lang w:eastAsia="ko-KR"/>
        </w:rPr>
        <w:t>I</w:t>
      </w:r>
      <w:r w:rsidR="00043B08" w:rsidRPr="000F6CD1">
        <w:rPr>
          <w:lang w:eastAsia="ko-KR"/>
        </w:rPr>
        <w:t>f a non-clinical</w:t>
      </w:r>
      <w:r w:rsidR="00043B08" w:rsidRPr="000F6CD1" w:rsidDel="00EE63EB">
        <w:rPr>
          <w:lang w:eastAsia="ko-KR"/>
        </w:rPr>
        <w:t xml:space="preserve"> </w:t>
      </w:r>
      <w:r w:rsidR="5C7129A0" w:rsidRPr="000F6CD1">
        <w:rPr>
          <w:lang w:eastAsia="ko-KR"/>
        </w:rPr>
        <w:t>assessor</w:t>
      </w:r>
      <w:r w:rsidR="6A017987" w:rsidRPr="000F6CD1">
        <w:rPr>
          <w:lang w:eastAsia="ko-KR"/>
        </w:rPr>
        <w:t xml:space="preserve"> </w:t>
      </w:r>
      <w:r w:rsidR="00043B08" w:rsidRPr="000F6CD1">
        <w:rPr>
          <w:lang w:eastAsia="ko-KR"/>
        </w:rPr>
        <w:t>triggers clinical questions within the IAT</w:t>
      </w:r>
      <w:r w:rsidR="000D21DC" w:rsidRPr="000F6CD1">
        <w:rPr>
          <w:lang w:eastAsia="ko-KR"/>
        </w:rPr>
        <w:t xml:space="preserve"> </w:t>
      </w:r>
      <w:r w:rsidR="00043B08" w:rsidRPr="000F6CD1">
        <w:rPr>
          <w:lang w:eastAsia="ko-KR"/>
        </w:rPr>
        <w:t xml:space="preserve">and the </w:t>
      </w:r>
      <w:r w:rsidR="00BD54BD" w:rsidRPr="000F6CD1">
        <w:rPr>
          <w:lang w:eastAsia="ko-KR"/>
        </w:rPr>
        <w:t xml:space="preserve">organisation </w:t>
      </w:r>
      <w:r w:rsidR="00EC5E12" w:rsidRPr="000F6CD1">
        <w:rPr>
          <w:lang w:eastAsia="ko-KR"/>
        </w:rPr>
        <w:t>does</w:t>
      </w:r>
      <w:r w:rsidR="00BD54BD" w:rsidRPr="000F6CD1">
        <w:rPr>
          <w:lang w:eastAsia="ko-KR"/>
        </w:rPr>
        <w:t xml:space="preserve"> not</w:t>
      </w:r>
      <w:r w:rsidR="00043B08" w:rsidRPr="000F6CD1" w:rsidDel="00BD54BD">
        <w:rPr>
          <w:lang w:eastAsia="ko-KR"/>
        </w:rPr>
        <w:t xml:space="preserve"> </w:t>
      </w:r>
      <w:r w:rsidR="00043B08" w:rsidRPr="000F6CD1">
        <w:rPr>
          <w:lang w:eastAsia="ko-KR"/>
        </w:rPr>
        <w:t>yet</w:t>
      </w:r>
      <w:r w:rsidR="00EC5E12" w:rsidRPr="000F6CD1">
        <w:rPr>
          <w:lang w:eastAsia="ko-KR"/>
        </w:rPr>
        <w:t xml:space="preserve"> have</w:t>
      </w:r>
      <w:r w:rsidR="00043B08" w:rsidRPr="000F6CD1" w:rsidDel="00EC5E12">
        <w:rPr>
          <w:lang w:eastAsia="ko-KR"/>
        </w:rPr>
        <w:t xml:space="preserve"> </w:t>
      </w:r>
      <w:r w:rsidR="009C77E7" w:rsidRPr="000F6CD1">
        <w:rPr>
          <w:lang w:eastAsia="ko-KR"/>
        </w:rPr>
        <w:t>c</w:t>
      </w:r>
      <w:r w:rsidR="00043B08" w:rsidRPr="000F6CD1">
        <w:rPr>
          <w:lang w:eastAsia="ko-KR"/>
        </w:rPr>
        <w:t xml:space="preserve">linical assessors </w:t>
      </w:r>
      <w:r w:rsidR="00AE758C" w:rsidRPr="000F6CD1">
        <w:rPr>
          <w:lang w:eastAsia="ko-KR"/>
        </w:rPr>
        <w:t xml:space="preserve">or full capability </w:t>
      </w:r>
      <w:r w:rsidR="00043B08" w:rsidRPr="000F6CD1">
        <w:rPr>
          <w:lang w:eastAsia="ko-KR"/>
        </w:rPr>
        <w:t xml:space="preserve">to provide </w:t>
      </w:r>
      <w:r w:rsidR="00E9771B" w:rsidRPr="000F6CD1">
        <w:rPr>
          <w:lang w:eastAsia="ko-KR"/>
        </w:rPr>
        <w:t>comprehensive assessments</w:t>
      </w:r>
      <w:r w:rsidR="00E81CBF" w:rsidRPr="000F6CD1">
        <w:rPr>
          <w:lang w:eastAsia="ko-KR"/>
        </w:rPr>
        <w:t xml:space="preserve"> including if the </w:t>
      </w:r>
      <w:r w:rsidR="00386B7E">
        <w:rPr>
          <w:lang w:eastAsia="ko-KR"/>
        </w:rPr>
        <w:t>IAT Outcome</w:t>
      </w:r>
      <w:r w:rsidR="00E81CBF" w:rsidRPr="000F6CD1">
        <w:rPr>
          <w:lang w:eastAsia="ko-KR"/>
        </w:rPr>
        <w:t xml:space="preserve"> generates a Support at Home Classification level</w:t>
      </w:r>
      <w:r w:rsidR="00043B08" w:rsidRPr="000F6CD1">
        <w:rPr>
          <w:lang w:eastAsia="ko-KR"/>
        </w:rPr>
        <w:t xml:space="preserve">, the following </w:t>
      </w:r>
      <w:r w:rsidR="00D52296" w:rsidRPr="000F6CD1">
        <w:rPr>
          <w:lang w:eastAsia="ko-KR"/>
        </w:rPr>
        <w:t>action must be taken</w:t>
      </w:r>
      <w:r w:rsidR="00043B08" w:rsidRPr="000F6CD1">
        <w:rPr>
          <w:lang w:eastAsia="ko-KR"/>
        </w:rPr>
        <w:t xml:space="preserve"> to ensure continuity of care and </w:t>
      </w:r>
      <w:r w:rsidR="004369D5" w:rsidRPr="000F6CD1">
        <w:rPr>
          <w:lang w:eastAsia="ko-KR"/>
        </w:rPr>
        <w:t xml:space="preserve">uphold a </w:t>
      </w:r>
      <w:r w:rsidR="00043B08" w:rsidRPr="000F6CD1">
        <w:rPr>
          <w:lang w:eastAsia="ko-KR"/>
        </w:rPr>
        <w:t>client centred</w:t>
      </w:r>
      <w:r w:rsidR="004369D5" w:rsidRPr="000F6CD1">
        <w:rPr>
          <w:lang w:eastAsia="ko-KR"/>
        </w:rPr>
        <w:t xml:space="preserve"> </w:t>
      </w:r>
      <w:r w:rsidR="00922F23" w:rsidRPr="000F6CD1">
        <w:rPr>
          <w:lang w:eastAsia="ko-KR"/>
        </w:rPr>
        <w:t>experience</w:t>
      </w:r>
      <w:r w:rsidR="00043B08" w:rsidRPr="000F6CD1">
        <w:rPr>
          <w:lang w:eastAsia="ko-KR"/>
        </w:rPr>
        <w:t>:</w:t>
      </w:r>
    </w:p>
    <w:p w14:paraId="33C1EA81" w14:textId="4D2B5344" w:rsidR="00EE3675" w:rsidRPr="000F6CD1" w:rsidRDefault="00EE3675" w:rsidP="004A2239">
      <w:pPr>
        <w:pStyle w:val="ListParagraph"/>
        <w:numPr>
          <w:ilvl w:val="0"/>
          <w:numId w:val="516"/>
        </w:numPr>
        <w:rPr>
          <w:lang w:eastAsia="ko-KR"/>
        </w:rPr>
      </w:pPr>
      <w:r w:rsidRPr="000F6CD1">
        <w:rPr>
          <w:lang w:eastAsia="ko-KR"/>
        </w:rPr>
        <w:t xml:space="preserve">Clearly explain next steps </w:t>
      </w:r>
    </w:p>
    <w:p w14:paraId="2E51A00B" w14:textId="7475DD13" w:rsidR="002E28ED" w:rsidRPr="000F6CD1" w:rsidRDefault="00A54F8A" w:rsidP="004A2239">
      <w:pPr>
        <w:pStyle w:val="ListParagraph"/>
        <w:numPr>
          <w:ilvl w:val="0"/>
          <w:numId w:val="516"/>
        </w:numPr>
        <w:rPr>
          <w:lang w:eastAsia="ko-KR"/>
        </w:rPr>
      </w:pPr>
      <w:r w:rsidRPr="000F6CD1">
        <w:rPr>
          <w:lang w:eastAsia="ko-KR"/>
        </w:rPr>
        <w:t>If</w:t>
      </w:r>
      <w:r w:rsidR="00043B08" w:rsidRPr="000F6CD1" w:rsidDel="001F7C95">
        <w:rPr>
          <w:lang w:eastAsia="ko-KR"/>
        </w:rPr>
        <w:t xml:space="preserve"> </w:t>
      </w:r>
      <w:r w:rsidR="00043B08" w:rsidRPr="000F6CD1">
        <w:rPr>
          <w:lang w:eastAsia="ko-KR"/>
        </w:rPr>
        <w:t>the assessment is not finalised</w:t>
      </w:r>
      <w:r w:rsidR="001F7C95" w:rsidRPr="000F6CD1">
        <w:rPr>
          <w:lang w:eastAsia="ko-KR"/>
        </w:rPr>
        <w:t xml:space="preserve">, and </w:t>
      </w:r>
      <w:r w:rsidR="004A06DD" w:rsidRPr="000F6CD1">
        <w:rPr>
          <w:lang w:eastAsia="ko-KR"/>
        </w:rPr>
        <w:t>a</w:t>
      </w:r>
      <w:r w:rsidR="001F7C95" w:rsidRPr="000F6CD1">
        <w:rPr>
          <w:lang w:eastAsia="ko-KR"/>
        </w:rPr>
        <w:t xml:space="preserve"> cancellation is necessary</w:t>
      </w:r>
      <w:r w:rsidR="00040DF6" w:rsidRPr="000F6CD1">
        <w:rPr>
          <w:lang w:eastAsia="ko-KR"/>
        </w:rPr>
        <w:t xml:space="preserve">, </w:t>
      </w:r>
      <w:r w:rsidR="00977F8B" w:rsidRPr="000F6CD1">
        <w:rPr>
          <w:lang w:eastAsia="ko-KR"/>
        </w:rPr>
        <w:t>the assessor will only</w:t>
      </w:r>
      <w:r w:rsidR="00043B08" w:rsidRPr="000F6CD1">
        <w:rPr>
          <w:lang w:eastAsia="ko-KR"/>
        </w:rPr>
        <w:t xml:space="preserve"> </w:t>
      </w:r>
      <w:r w:rsidR="002E28ED" w:rsidRPr="000F6CD1">
        <w:rPr>
          <w:lang w:eastAsia="ko-KR"/>
        </w:rPr>
        <w:t>be able</w:t>
      </w:r>
      <w:r w:rsidR="00043B08" w:rsidRPr="000F6CD1">
        <w:rPr>
          <w:lang w:eastAsia="ko-KR"/>
        </w:rPr>
        <w:t xml:space="preserve"> to refer the client for </w:t>
      </w:r>
      <w:r w:rsidR="00977F8B" w:rsidRPr="000F6CD1">
        <w:rPr>
          <w:lang w:eastAsia="ko-KR"/>
        </w:rPr>
        <w:t>urgent</w:t>
      </w:r>
      <w:r w:rsidR="00043B08" w:rsidRPr="000F6CD1">
        <w:rPr>
          <w:lang w:eastAsia="ko-KR"/>
        </w:rPr>
        <w:t xml:space="preserve"> aged care services</w:t>
      </w:r>
      <w:r w:rsidR="00977F8B" w:rsidRPr="000F6CD1">
        <w:rPr>
          <w:lang w:eastAsia="ko-KR"/>
        </w:rPr>
        <w:t xml:space="preserve"> through the alternative entry pathway (see </w:t>
      </w:r>
      <w:r w:rsidR="003F2651" w:rsidRPr="000F6CD1">
        <w:rPr>
          <w:lang w:eastAsia="ko-KR"/>
        </w:rPr>
        <w:t>Chapter 3</w:t>
      </w:r>
      <w:r w:rsidR="00977F8B" w:rsidRPr="000F6CD1">
        <w:rPr>
          <w:lang w:eastAsia="ko-KR"/>
        </w:rPr>
        <w:t xml:space="preserve"> for further detail)</w:t>
      </w:r>
      <w:r w:rsidR="002E28ED" w:rsidRPr="000F6CD1">
        <w:rPr>
          <w:lang w:eastAsia="ko-KR"/>
        </w:rPr>
        <w:t>,</w:t>
      </w:r>
    </w:p>
    <w:p w14:paraId="1D752133" w14:textId="176A341E" w:rsidR="00043B08" w:rsidRPr="000F6CD1" w:rsidRDefault="00CC64CB" w:rsidP="00EB3A63">
      <w:pPr>
        <w:pStyle w:val="ListParagraph"/>
        <w:numPr>
          <w:ilvl w:val="0"/>
          <w:numId w:val="516"/>
        </w:numPr>
        <w:rPr>
          <w:lang w:eastAsia="ko-KR"/>
        </w:rPr>
      </w:pPr>
      <w:r w:rsidRPr="000F6CD1">
        <w:t>T</w:t>
      </w:r>
      <w:r w:rsidR="00043B08" w:rsidRPr="000F6CD1">
        <w:t xml:space="preserve">o </w:t>
      </w:r>
      <w:r w:rsidRPr="000F6CD1">
        <w:t xml:space="preserve">preserve valuable information, </w:t>
      </w:r>
      <w:r w:rsidR="00043B08" w:rsidRPr="000F6CD1">
        <w:t>the assess</w:t>
      </w:r>
      <w:r w:rsidRPr="000F6CD1">
        <w:t xml:space="preserve">or </w:t>
      </w:r>
      <w:r w:rsidR="00043B08" w:rsidRPr="000F6CD1">
        <w:t>should print</w:t>
      </w:r>
      <w:r w:rsidR="00420FE0" w:rsidRPr="000F6CD1">
        <w:t xml:space="preserve"> the information </w:t>
      </w:r>
      <w:r w:rsidR="00043B08" w:rsidRPr="000F6CD1">
        <w:t xml:space="preserve">from the “client’s assessment history” tab </w:t>
      </w:r>
      <w:r w:rsidR="003276AA" w:rsidRPr="000F6CD1">
        <w:t>before</w:t>
      </w:r>
      <w:r w:rsidR="00043B08" w:rsidRPr="000F6CD1">
        <w:t xml:space="preserve"> cancell</w:t>
      </w:r>
      <w:r w:rsidR="00DE4BCC" w:rsidRPr="000F6CD1">
        <w:t>ation</w:t>
      </w:r>
      <w:r w:rsidR="003276AA" w:rsidRPr="000F6CD1">
        <w:t xml:space="preserve"> and </w:t>
      </w:r>
      <w:r w:rsidR="00043B08" w:rsidRPr="000F6CD1">
        <w:t xml:space="preserve">upload the </w:t>
      </w:r>
      <w:r w:rsidR="002B1421" w:rsidRPr="000F6CD1">
        <w:t xml:space="preserve">document to the </w:t>
      </w:r>
      <w:r w:rsidR="00043B08" w:rsidRPr="000F6CD1">
        <w:t xml:space="preserve">client’s record. </w:t>
      </w:r>
    </w:p>
    <w:p w14:paraId="31A77113" w14:textId="50F2C05A" w:rsidR="007D57F0" w:rsidRPr="000F6CD1" w:rsidRDefault="00FC2A0C" w:rsidP="00EB3A63">
      <w:pPr>
        <w:pStyle w:val="ListParagraph"/>
        <w:numPr>
          <w:ilvl w:val="0"/>
          <w:numId w:val="516"/>
        </w:numPr>
        <w:rPr>
          <w:lang w:eastAsia="ko-KR"/>
        </w:rPr>
      </w:pPr>
      <w:r w:rsidRPr="000F6CD1">
        <w:rPr>
          <w:lang w:eastAsia="ko-KR"/>
        </w:rPr>
        <w:t>F</w:t>
      </w:r>
      <w:r w:rsidR="00315FD0" w:rsidRPr="000F6CD1">
        <w:rPr>
          <w:lang w:eastAsia="ko-KR"/>
        </w:rPr>
        <w:t>acilitate a supported referral by contacting another organisation with capacity for comprehensive assessmen</w:t>
      </w:r>
      <w:r w:rsidRPr="000F6CD1">
        <w:rPr>
          <w:lang w:eastAsia="ko-KR"/>
        </w:rPr>
        <w:t>t</w:t>
      </w:r>
      <w:r w:rsidR="008E1360" w:rsidRPr="000F6CD1">
        <w:rPr>
          <w:lang w:eastAsia="ko-KR"/>
        </w:rPr>
        <w:t>.</w:t>
      </w:r>
      <w:r w:rsidRPr="000F6CD1">
        <w:rPr>
          <w:lang w:eastAsia="ko-KR"/>
        </w:rPr>
        <w:t xml:space="preserve"> </w:t>
      </w:r>
    </w:p>
    <w:p w14:paraId="00026B6A" w14:textId="118BAD7F" w:rsidR="00EE0460" w:rsidRPr="000F6CD1" w:rsidRDefault="00EE0460" w:rsidP="004A2239">
      <w:pPr>
        <w:pStyle w:val="ListParagraph"/>
        <w:numPr>
          <w:ilvl w:val="0"/>
          <w:numId w:val="516"/>
        </w:numPr>
        <w:rPr>
          <w:lang w:eastAsia="ko-KR"/>
        </w:rPr>
      </w:pPr>
      <w:r w:rsidRPr="000F6CD1">
        <w:rPr>
          <w:lang w:eastAsia="ko-KR"/>
        </w:rPr>
        <w:t>Provide information on interim supports and assist with connections where possible.</w:t>
      </w:r>
    </w:p>
    <w:p w14:paraId="2E05408E" w14:textId="71203CA3" w:rsidR="004450ED" w:rsidRPr="000F6CD1" w:rsidRDefault="004450ED" w:rsidP="00BF4CEC">
      <w:pPr>
        <w:pStyle w:val="ListParagraph"/>
        <w:numPr>
          <w:ilvl w:val="0"/>
          <w:numId w:val="516"/>
        </w:numPr>
        <w:rPr>
          <w:lang w:eastAsia="ko-KR"/>
        </w:rPr>
      </w:pPr>
      <w:r w:rsidRPr="000F6CD1">
        <w:rPr>
          <w:lang w:eastAsia="ko-KR"/>
        </w:rPr>
        <w:t>Maintain engagement with client and their support network</w:t>
      </w:r>
      <w:r w:rsidR="001249BB" w:rsidRPr="000F6CD1">
        <w:rPr>
          <w:lang w:eastAsia="ko-KR"/>
        </w:rPr>
        <w:t xml:space="preserve"> and,</w:t>
      </w:r>
      <w:r w:rsidRPr="000F6CD1">
        <w:rPr>
          <w:lang w:eastAsia="ko-KR"/>
        </w:rPr>
        <w:t xml:space="preserve"> where appropriate</w:t>
      </w:r>
      <w:r w:rsidR="001249BB" w:rsidRPr="000F6CD1">
        <w:rPr>
          <w:lang w:eastAsia="ko-KR"/>
        </w:rPr>
        <w:t>,</w:t>
      </w:r>
      <w:r w:rsidRPr="000F6CD1">
        <w:rPr>
          <w:lang w:eastAsia="ko-KR"/>
        </w:rPr>
        <w:t xml:space="preserve"> includ</w:t>
      </w:r>
      <w:r w:rsidR="001249BB" w:rsidRPr="000F6CD1">
        <w:rPr>
          <w:lang w:eastAsia="ko-KR"/>
        </w:rPr>
        <w:t>e</w:t>
      </w:r>
      <w:r w:rsidRPr="000F6CD1">
        <w:rPr>
          <w:lang w:eastAsia="ko-KR"/>
        </w:rPr>
        <w:t xml:space="preserve"> </w:t>
      </w:r>
      <w:r w:rsidR="006635B8" w:rsidRPr="000F6CD1">
        <w:rPr>
          <w:lang w:eastAsia="ko-KR"/>
        </w:rPr>
        <w:t xml:space="preserve">an </w:t>
      </w:r>
      <w:r w:rsidRPr="000F6CD1">
        <w:rPr>
          <w:lang w:eastAsia="ko-KR"/>
        </w:rPr>
        <w:t>Elder Care Support</w:t>
      </w:r>
      <w:r w:rsidR="006635B8" w:rsidRPr="000F6CD1">
        <w:rPr>
          <w:lang w:eastAsia="ko-KR"/>
        </w:rPr>
        <w:t xml:space="preserve"> worker</w:t>
      </w:r>
      <w:r w:rsidRPr="000F6CD1">
        <w:rPr>
          <w:lang w:eastAsia="ko-KR"/>
        </w:rPr>
        <w:t>, to ensure continuity of care throughout the process.</w:t>
      </w:r>
    </w:p>
    <w:p w14:paraId="114C4E9A" w14:textId="35767D7E" w:rsidR="007A743C" w:rsidRPr="000F6CD1" w:rsidRDefault="007A743C" w:rsidP="00AD2CE5">
      <w:pPr>
        <w:pStyle w:val="H3"/>
        <w:rPr>
          <w:color w:val="1E1444"/>
        </w:rPr>
      </w:pPr>
      <w:r w:rsidRPr="000F6CD1">
        <w:t xml:space="preserve">Recording </w:t>
      </w:r>
      <w:r w:rsidR="008452AC" w:rsidRPr="000F6CD1">
        <w:t>a</w:t>
      </w:r>
      <w:r w:rsidRPr="000F6CD1">
        <w:t xml:space="preserve">ssessment </w:t>
      </w:r>
      <w:r w:rsidR="008452AC" w:rsidRPr="000F6CD1">
        <w:t>i</w:t>
      </w:r>
      <w:r w:rsidRPr="000F6CD1">
        <w:t>nformation</w:t>
      </w:r>
      <w:bookmarkEnd w:id="404"/>
      <w:bookmarkEnd w:id="405"/>
      <w:bookmarkEnd w:id="406"/>
      <w:bookmarkEnd w:id="407"/>
      <w:bookmarkEnd w:id="408"/>
      <w:bookmarkEnd w:id="409"/>
      <w:r w:rsidRPr="000F6CD1">
        <w:t xml:space="preserve"> </w:t>
      </w:r>
      <w:bookmarkEnd w:id="410"/>
      <w:bookmarkEnd w:id="411"/>
    </w:p>
    <w:p w14:paraId="377024FD" w14:textId="77777777" w:rsidR="007A743C" w:rsidRPr="000F6CD1" w:rsidRDefault="007A743C" w:rsidP="00A677C9">
      <w:pPr>
        <w:spacing w:before="240" w:after="240" w:line="240" w:lineRule="auto"/>
        <w:rPr>
          <w:lang w:eastAsia="ko-KR"/>
        </w:rPr>
      </w:pPr>
      <w:r w:rsidRPr="000F6CD1">
        <w:t xml:space="preserve">Assessors should make sure all important assessment information is recorded before leaving the assessment. </w:t>
      </w:r>
      <w:r w:rsidRPr="000F6CD1">
        <w:rPr>
          <w:rFonts w:hint="eastAsia"/>
          <w:lang w:eastAsia="ko-KR"/>
        </w:rPr>
        <w:t xml:space="preserve">The assessment information </w:t>
      </w:r>
      <w:r w:rsidRPr="000F6CD1">
        <w:rPr>
          <w:lang w:eastAsia="ko-KR"/>
        </w:rPr>
        <w:t xml:space="preserve">in the IAT </w:t>
      </w:r>
      <w:r w:rsidRPr="000F6CD1">
        <w:rPr>
          <w:rFonts w:hint="eastAsia"/>
          <w:lang w:eastAsia="ko-KR"/>
        </w:rPr>
        <w:t>should be</w:t>
      </w:r>
      <w:r w:rsidRPr="000F6CD1">
        <w:rPr>
          <w:lang w:eastAsia="ko-KR"/>
        </w:rPr>
        <w:t xml:space="preserve"> </w:t>
      </w:r>
      <w:r w:rsidRPr="000F6CD1">
        <w:t xml:space="preserve">transparent, objective, accurate, complete and in plain language. </w:t>
      </w:r>
    </w:p>
    <w:p w14:paraId="6447DCD8" w14:textId="77777777" w:rsidR="007A743C" w:rsidRPr="000F6CD1" w:rsidRDefault="007A743C" w:rsidP="00A677C9">
      <w:pPr>
        <w:spacing w:before="240" w:after="240" w:line="240" w:lineRule="auto"/>
      </w:pPr>
      <w:r w:rsidRPr="000F6CD1">
        <w:t xml:space="preserve">Before an assessment is finalised, assessors should perform a quality check on the assessment information, expanding on information and assessment evidence where required. Accurate recording of assessment information prevents unnecessary follow-up </w:t>
      </w:r>
      <w:r w:rsidRPr="000F6CD1">
        <w:lastRenderedPageBreak/>
        <w:t>queries and makes it more easily readable and usable for people who need to access it in the future.</w:t>
      </w:r>
      <w:r w:rsidRPr="000F6CD1" w:rsidDel="003374E9">
        <w:t xml:space="preserve"> </w:t>
      </w:r>
      <w:r w:rsidRPr="000F6CD1">
        <w:t>Once the IAT is finalised, it will become read-only and cannot be edited.</w:t>
      </w:r>
    </w:p>
    <w:p w14:paraId="33F029A1" w14:textId="77777777" w:rsidR="007A743C" w:rsidRPr="000F6CD1" w:rsidRDefault="007A743C" w:rsidP="00A677C9">
      <w:pPr>
        <w:spacing w:before="240" w:after="240" w:line="240" w:lineRule="auto"/>
        <w:rPr>
          <w:lang w:eastAsia="ko-KR"/>
        </w:rPr>
      </w:pPr>
      <w:r w:rsidRPr="000F6CD1">
        <w:t xml:space="preserve">The </w:t>
      </w:r>
      <w:r w:rsidRPr="000F6CD1">
        <w:rPr>
          <w:lang w:eastAsia="ko-KR"/>
        </w:rPr>
        <w:t xml:space="preserve">accurate recording of assessment information (see the </w:t>
      </w:r>
      <w:hyperlink r:id="rId158">
        <w:r w:rsidRPr="000F6CD1">
          <w:rPr>
            <w:rStyle w:val="Hyperlink"/>
            <w:lang w:eastAsia="ko-KR"/>
          </w:rPr>
          <w:t>Aged Care Assessment Quality Framework</w:t>
        </w:r>
      </w:hyperlink>
      <w:r w:rsidRPr="000F6CD1">
        <w:rPr>
          <w:lang w:eastAsia="ko-KR"/>
        </w:rPr>
        <w:t xml:space="preserve">): </w:t>
      </w:r>
    </w:p>
    <w:p w14:paraId="3EE0FAD7" w14:textId="2DF75A9C" w:rsidR="0EFC4FF1" w:rsidRPr="000F6CD1" w:rsidRDefault="0EFC4FF1" w:rsidP="1517D198">
      <w:pPr>
        <w:pStyle w:val="ListParagraph"/>
        <w:numPr>
          <w:ilvl w:val="0"/>
          <w:numId w:val="85"/>
        </w:numPr>
        <w:spacing w:before="240" w:after="240" w:line="240" w:lineRule="auto"/>
        <w:ind w:left="568" w:hanging="284"/>
      </w:pPr>
      <w:r w:rsidRPr="000F6CD1">
        <w:t xml:space="preserve">lays the foundation for creating the Support Plan for the older person and is reflective of what the older person </w:t>
      </w:r>
      <w:r w:rsidR="0869794D" w:rsidRPr="000F6CD1">
        <w:t>said, was observed doing, and/or reported by carers/support persons</w:t>
      </w:r>
    </w:p>
    <w:p w14:paraId="1FA7C024" w14:textId="77777777" w:rsidR="007A743C" w:rsidRPr="000F6CD1" w:rsidRDefault="007A743C" w:rsidP="00DF3F6B">
      <w:pPr>
        <w:pStyle w:val="ListParagraph"/>
        <w:numPr>
          <w:ilvl w:val="0"/>
          <w:numId w:val="85"/>
        </w:numPr>
        <w:spacing w:before="240" w:after="240" w:line="240" w:lineRule="auto"/>
        <w:ind w:left="568" w:hanging="284"/>
      </w:pPr>
      <w:r w:rsidRPr="000F6CD1">
        <w:t xml:space="preserve">minimises duplication between the assessment and Support Plan </w:t>
      </w:r>
    </w:p>
    <w:p w14:paraId="0182E78B" w14:textId="77777777" w:rsidR="007A743C" w:rsidRPr="000F6CD1" w:rsidRDefault="007A743C" w:rsidP="00DF3F6B">
      <w:pPr>
        <w:pStyle w:val="ListParagraph"/>
        <w:numPr>
          <w:ilvl w:val="0"/>
          <w:numId w:val="85"/>
        </w:numPr>
        <w:spacing w:before="240" w:after="240" w:line="240" w:lineRule="auto"/>
        <w:ind w:left="568" w:hanging="284"/>
      </w:pPr>
      <w:r w:rsidRPr="000F6CD1">
        <w:t>p</w:t>
      </w:r>
      <w:r w:rsidRPr="000F6CD1">
        <w:rPr>
          <w:rFonts w:hint="eastAsia"/>
        </w:rPr>
        <w:t xml:space="preserve">rovides sufficient </w:t>
      </w:r>
      <w:r w:rsidRPr="000F6CD1">
        <w:t xml:space="preserve">evidence for assessment delegate decision </w:t>
      </w:r>
    </w:p>
    <w:p w14:paraId="15F97765" w14:textId="77777777" w:rsidR="007A743C" w:rsidRPr="000F6CD1" w:rsidRDefault="007A743C" w:rsidP="00DF3F6B">
      <w:pPr>
        <w:pStyle w:val="ListParagraph"/>
        <w:numPr>
          <w:ilvl w:val="0"/>
          <w:numId w:val="85"/>
        </w:numPr>
        <w:spacing w:before="240" w:after="240" w:line="240" w:lineRule="auto"/>
        <w:ind w:left="568" w:hanging="284"/>
      </w:pPr>
      <w:r w:rsidRPr="000F6CD1">
        <w:t>is required for audit purposes</w:t>
      </w:r>
    </w:p>
    <w:p w14:paraId="1E662481" w14:textId="6E47ADD4" w:rsidR="007A743C" w:rsidRPr="000F6CD1" w:rsidRDefault="007A743C" w:rsidP="00DF3F6B">
      <w:pPr>
        <w:pStyle w:val="ListParagraph"/>
        <w:numPr>
          <w:ilvl w:val="0"/>
          <w:numId w:val="85"/>
        </w:numPr>
        <w:spacing w:before="240" w:after="240" w:line="240" w:lineRule="auto"/>
        <w:ind w:left="567" w:hanging="283"/>
      </w:pPr>
      <w:r w:rsidRPr="000F6CD1">
        <w:t xml:space="preserve">helps to inform an older person’s provision of care and highlights important information or risks about the older person’s situation that needs to be managed by the care provider or other parties </w:t>
      </w:r>
    </w:p>
    <w:p w14:paraId="4F931A6D" w14:textId="55755EC9" w:rsidR="007A743C" w:rsidRPr="000F6CD1" w:rsidRDefault="00F66212" w:rsidP="00DF3F6B">
      <w:pPr>
        <w:pStyle w:val="ListParagraph"/>
        <w:numPr>
          <w:ilvl w:val="0"/>
          <w:numId w:val="85"/>
        </w:numPr>
        <w:spacing w:before="240" w:after="240" w:line="240" w:lineRule="auto"/>
        <w:ind w:left="567" w:hanging="283"/>
      </w:pPr>
      <w:r w:rsidRPr="000F6CD1">
        <w:t>p</w:t>
      </w:r>
      <w:r w:rsidR="007A743C" w:rsidRPr="000F6CD1">
        <w:t>uts the older person at the centre of the Support Plan</w:t>
      </w:r>
    </w:p>
    <w:p w14:paraId="5969BA93" w14:textId="77777777" w:rsidR="007A743C" w:rsidRPr="000F6CD1" w:rsidRDefault="007A743C" w:rsidP="00A677C9">
      <w:pPr>
        <w:spacing w:before="240" w:after="240" w:line="240" w:lineRule="auto"/>
      </w:pPr>
      <w:r w:rsidRPr="000F6CD1">
        <w:t xml:space="preserve">Depending on the risk and issues highlighted in the assessment, the assessor must decide where to record the information in the older person’s record, e.g., in the IAT, the Support Plan, in Notes, as attachments or as sensitive notes or sensitive attachments. </w:t>
      </w:r>
    </w:p>
    <w:p w14:paraId="48277C02" w14:textId="2F77C8B7" w:rsidR="007A743C" w:rsidRPr="000F6CD1" w:rsidRDefault="007A743C" w:rsidP="00A677C9">
      <w:pPr>
        <w:spacing w:before="240" w:after="240" w:line="240" w:lineRule="auto"/>
        <w:rPr>
          <w:rFonts w:eastAsia="Arial"/>
          <w:iCs/>
          <w:color w:val="000000" w:themeColor="text1"/>
        </w:rPr>
      </w:pPr>
      <w:r w:rsidRPr="000F6CD1">
        <w:rPr>
          <w:rFonts w:eastAsia="Arial"/>
          <w:iCs/>
          <w:color w:val="000000" w:themeColor="text1"/>
        </w:rPr>
        <w:t>Assessment information and evidence should include all relevant documentation that supports the recommendations and decisions made throughout the assessment process</w:t>
      </w:r>
      <w:r w:rsidRPr="000F6CD1">
        <w:rPr>
          <w:rFonts w:eastAsia="Arial"/>
          <w:color w:val="000000" w:themeColor="text1"/>
        </w:rPr>
        <w:t xml:space="preserve">. </w:t>
      </w:r>
      <w:r w:rsidR="30DACAAE" w:rsidRPr="000F6CD1">
        <w:rPr>
          <w:rFonts w:eastAsia="Arial"/>
          <w:color w:val="000000" w:themeColor="text1"/>
        </w:rPr>
        <w:t xml:space="preserve">All documents must be in PDF format and finalised in the My Aged Care Assessor Portal. The department is unable to access documents submitted to the Assessor Portal unless they have been finalised. </w:t>
      </w:r>
      <w:r w:rsidRPr="000F6CD1">
        <w:rPr>
          <w:rFonts w:eastAsia="Arial"/>
          <w:iCs/>
          <w:color w:val="000000" w:themeColor="text1"/>
        </w:rPr>
        <w:t>The assessment documentation must include:</w:t>
      </w:r>
    </w:p>
    <w:p w14:paraId="2DCD3411" w14:textId="77777777" w:rsidR="007A743C" w:rsidRPr="000F6CD1" w:rsidRDefault="007A743C" w:rsidP="00DF3F6B">
      <w:pPr>
        <w:pStyle w:val="ListParagraph"/>
        <w:numPr>
          <w:ilvl w:val="0"/>
          <w:numId w:val="103"/>
        </w:numPr>
        <w:spacing w:before="240" w:after="240" w:line="240" w:lineRule="auto"/>
        <w:rPr>
          <w:rFonts w:eastAsia="Arial"/>
          <w:iCs/>
          <w:color w:val="000000" w:themeColor="text1"/>
        </w:rPr>
      </w:pPr>
      <w:r w:rsidRPr="000F6CD1">
        <w:rPr>
          <w:rFonts w:eastAsia="Arial"/>
          <w:iCs/>
          <w:color w:val="000000" w:themeColor="text1"/>
        </w:rPr>
        <w:t>Consent</w:t>
      </w:r>
    </w:p>
    <w:p w14:paraId="345333C3" w14:textId="6BB579B8" w:rsidR="007A743C" w:rsidRPr="000F6CD1" w:rsidRDefault="007A743C" w:rsidP="00DF3F6B">
      <w:pPr>
        <w:pStyle w:val="ListParagraph"/>
        <w:numPr>
          <w:ilvl w:val="0"/>
          <w:numId w:val="103"/>
        </w:numPr>
        <w:spacing w:before="240" w:after="240" w:line="240" w:lineRule="auto"/>
        <w:rPr>
          <w:rFonts w:eastAsia="Arial"/>
          <w:iCs/>
          <w:color w:val="000000" w:themeColor="text1"/>
        </w:rPr>
      </w:pPr>
      <w:r w:rsidRPr="000F6CD1">
        <w:rPr>
          <w:rFonts w:eastAsia="Arial"/>
          <w:iCs/>
          <w:color w:val="000000" w:themeColor="text1"/>
        </w:rPr>
        <w:t>IAT and Validated Assessment Tools (VATs)</w:t>
      </w:r>
    </w:p>
    <w:p w14:paraId="76F59388" w14:textId="77777777" w:rsidR="007A743C" w:rsidRPr="000F6CD1" w:rsidRDefault="007A743C" w:rsidP="00DF3F6B">
      <w:pPr>
        <w:pStyle w:val="ListParagraph"/>
        <w:numPr>
          <w:ilvl w:val="0"/>
          <w:numId w:val="103"/>
        </w:numPr>
        <w:spacing w:before="240" w:after="240" w:line="240" w:lineRule="auto"/>
        <w:rPr>
          <w:rFonts w:eastAsia="Arial"/>
          <w:iCs/>
          <w:color w:val="000000" w:themeColor="text1"/>
        </w:rPr>
      </w:pPr>
      <w:r w:rsidRPr="000F6CD1">
        <w:rPr>
          <w:rFonts w:eastAsia="Arial"/>
          <w:iCs/>
          <w:color w:val="000000" w:themeColor="text1"/>
        </w:rPr>
        <w:t>Additional Evidence</w:t>
      </w:r>
    </w:p>
    <w:p w14:paraId="4629C47D" w14:textId="77777777" w:rsidR="007A743C" w:rsidRPr="000F6CD1" w:rsidRDefault="007A743C" w:rsidP="00DF3F6B">
      <w:pPr>
        <w:pStyle w:val="ListParagraph"/>
        <w:numPr>
          <w:ilvl w:val="0"/>
          <w:numId w:val="103"/>
        </w:numPr>
        <w:spacing w:before="240" w:after="240" w:line="240" w:lineRule="auto"/>
        <w:rPr>
          <w:rFonts w:eastAsia="Arial"/>
          <w:iCs/>
          <w:color w:val="000000" w:themeColor="text1"/>
        </w:rPr>
      </w:pPr>
      <w:r w:rsidRPr="000F6CD1">
        <w:rPr>
          <w:rFonts w:eastAsia="Arial"/>
          <w:iCs/>
          <w:color w:val="000000" w:themeColor="text1"/>
        </w:rPr>
        <w:t>Support Plan and Recommendations</w:t>
      </w:r>
    </w:p>
    <w:p w14:paraId="4D017B5F" w14:textId="77777777" w:rsidR="007A743C" w:rsidRPr="000F6CD1" w:rsidRDefault="007A743C" w:rsidP="00DF3F6B">
      <w:pPr>
        <w:pStyle w:val="ListParagraph"/>
        <w:numPr>
          <w:ilvl w:val="0"/>
          <w:numId w:val="103"/>
        </w:numPr>
        <w:spacing w:before="240" w:after="240" w:line="240" w:lineRule="auto"/>
        <w:rPr>
          <w:rFonts w:eastAsia="Arial"/>
          <w:color w:val="000000" w:themeColor="text1"/>
        </w:rPr>
      </w:pPr>
      <w:r w:rsidRPr="000F6CD1">
        <w:rPr>
          <w:rFonts w:eastAsia="Arial"/>
          <w:color w:val="000000" w:themeColor="text1"/>
        </w:rPr>
        <w:t>Notice of Decision letter</w:t>
      </w:r>
    </w:p>
    <w:p w14:paraId="64C90751" w14:textId="4C367098" w:rsidR="00F66212" w:rsidRPr="000F6CD1" w:rsidRDefault="00F66212" w:rsidP="00DF3F6B">
      <w:pPr>
        <w:pStyle w:val="ListParagraph"/>
        <w:numPr>
          <w:ilvl w:val="0"/>
          <w:numId w:val="103"/>
        </w:numPr>
        <w:spacing w:before="240" w:after="240" w:line="240" w:lineRule="auto"/>
        <w:rPr>
          <w:rFonts w:eastAsia="Arial"/>
          <w:iCs/>
          <w:color w:val="000000" w:themeColor="text1"/>
        </w:rPr>
      </w:pPr>
      <w:r w:rsidRPr="000F6CD1">
        <w:rPr>
          <w:rFonts w:eastAsia="Arial"/>
          <w:iCs/>
          <w:color w:val="000000" w:themeColor="text1"/>
        </w:rPr>
        <w:t>Referral Information</w:t>
      </w:r>
    </w:p>
    <w:p w14:paraId="4CE6CB7F" w14:textId="77777777" w:rsidR="007A743C" w:rsidRPr="000F6CD1" w:rsidRDefault="007A743C" w:rsidP="00A677C9">
      <w:pPr>
        <w:pStyle w:val="ListParagraph"/>
        <w:spacing w:before="240" w:after="240" w:line="240" w:lineRule="auto"/>
        <w:rPr>
          <w:rFonts w:eastAsia="Arial"/>
          <w:iCs/>
          <w:color w:val="000000" w:themeColor="text1"/>
        </w:rPr>
      </w:pPr>
    </w:p>
    <w:p w14:paraId="4D1994C3" w14:textId="77777777" w:rsidR="007A743C" w:rsidRPr="000F6CD1" w:rsidRDefault="007A743C" w:rsidP="00A677C9">
      <w:pPr>
        <w:spacing w:before="240" w:after="240" w:line="240" w:lineRule="auto"/>
        <w:rPr>
          <w:rFonts w:eastAsia="Arial"/>
          <w:i/>
        </w:rPr>
      </w:pPr>
      <w:r w:rsidRPr="000F6CD1">
        <w:rPr>
          <w:rFonts w:eastAsia="Arial"/>
          <w:iCs/>
          <w:color w:val="000000" w:themeColor="text1"/>
        </w:rPr>
        <w:t>The assessment should contain comprehensive information to support the justification of the assessor’s recommendation for funded aged care approvals</w:t>
      </w:r>
      <w:r w:rsidRPr="000F6CD1">
        <w:rPr>
          <w:rFonts w:eastAsia="Arial"/>
          <w:i/>
          <w:color w:val="000000" w:themeColor="text1"/>
        </w:rPr>
        <w:t>.</w:t>
      </w:r>
    </w:p>
    <w:p w14:paraId="696CDD92" w14:textId="77777777" w:rsidR="007A743C" w:rsidRPr="000F6CD1" w:rsidRDefault="007A743C" w:rsidP="007A743C">
      <w:pPr>
        <w:pStyle w:val="H4"/>
        <w:rPr>
          <w:color w:val="1E1444"/>
          <w:szCs w:val="24"/>
        </w:rPr>
      </w:pPr>
      <w:bookmarkStart w:id="412" w:name="_Ref128234722"/>
      <w:bookmarkStart w:id="413" w:name="_Toc204329553"/>
      <w:r w:rsidRPr="000F6CD1">
        <w:t>Recording sensitive information</w:t>
      </w:r>
      <w:bookmarkEnd w:id="412"/>
      <w:bookmarkEnd w:id="413"/>
    </w:p>
    <w:p w14:paraId="107D16FD" w14:textId="7964B127" w:rsidR="007A743C" w:rsidRPr="000F6CD1" w:rsidRDefault="007A743C" w:rsidP="00A677C9">
      <w:pPr>
        <w:spacing w:before="240" w:after="240" w:line="240" w:lineRule="auto"/>
      </w:pPr>
      <w:r w:rsidRPr="000F6CD1">
        <w:t xml:space="preserve">If the older person shares (or the assessor is in receipt of) sensitive information, with the older person’s consent this can be recorded by adding a sensitive note and/or a sensitive attachment on the older person’s record. This information will not display to providers or to older persons viewing their information through the My Aged Care Online Account and will be visible only to assessors and contact centre/ACSO staff. </w:t>
      </w:r>
    </w:p>
    <w:p w14:paraId="29E79F6F" w14:textId="77777777" w:rsidR="007A743C" w:rsidRPr="000F6CD1" w:rsidRDefault="007A743C" w:rsidP="00A677C9">
      <w:pPr>
        <w:spacing w:before="240" w:after="240" w:line="240" w:lineRule="auto"/>
      </w:pPr>
      <w:r w:rsidRPr="000F6CD1">
        <w:t>Sensitive notes should be used to record information that is of importance. This may include information about:</w:t>
      </w:r>
    </w:p>
    <w:p w14:paraId="35DC2FA7" w14:textId="77777777" w:rsidR="007A743C" w:rsidRPr="000F6CD1" w:rsidRDefault="007A743C" w:rsidP="00DF3F6B">
      <w:pPr>
        <w:pStyle w:val="ListParagraph"/>
        <w:numPr>
          <w:ilvl w:val="0"/>
          <w:numId w:val="86"/>
        </w:numPr>
        <w:spacing w:before="240" w:after="240" w:line="240" w:lineRule="auto"/>
        <w:ind w:left="568" w:hanging="284"/>
      </w:pPr>
      <w:r w:rsidRPr="000F6CD1">
        <w:t>financial issues</w:t>
      </w:r>
    </w:p>
    <w:p w14:paraId="5B1CFAB3" w14:textId="77777777" w:rsidR="007A743C" w:rsidRPr="000F6CD1" w:rsidRDefault="007A743C" w:rsidP="00DF3F6B">
      <w:pPr>
        <w:pStyle w:val="ListParagraph"/>
        <w:numPr>
          <w:ilvl w:val="0"/>
          <w:numId w:val="86"/>
        </w:numPr>
        <w:spacing w:before="240" w:after="240" w:line="240" w:lineRule="auto"/>
        <w:ind w:left="568" w:hanging="284"/>
      </w:pPr>
      <w:r w:rsidRPr="000F6CD1">
        <w:t>safety concerns</w:t>
      </w:r>
    </w:p>
    <w:p w14:paraId="01CA877D" w14:textId="77777777" w:rsidR="007A743C" w:rsidRPr="000F6CD1" w:rsidRDefault="007A743C" w:rsidP="00DF3F6B">
      <w:pPr>
        <w:pStyle w:val="ListParagraph"/>
        <w:numPr>
          <w:ilvl w:val="0"/>
          <w:numId w:val="86"/>
        </w:numPr>
        <w:spacing w:before="240" w:after="240" w:line="240" w:lineRule="auto"/>
        <w:ind w:left="568" w:hanging="284"/>
      </w:pPr>
      <w:r w:rsidRPr="000F6CD1">
        <w:t>health issues</w:t>
      </w:r>
    </w:p>
    <w:p w14:paraId="51BC6D72" w14:textId="77777777" w:rsidR="007A743C" w:rsidRPr="000F6CD1" w:rsidRDefault="007A743C" w:rsidP="00DF3F6B">
      <w:pPr>
        <w:pStyle w:val="ListParagraph"/>
        <w:numPr>
          <w:ilvl w:val="0"/>
          <w:numId w:val="86"/>
        </w:numPr>
        <w:spacing w:before="240" w:after="240" w:line="240" w:lineRule="auto"/>
        <w:ind w:left="568" w:hanging="284"/>
      </w:pPr>
      <w:r w:rsidRPr="000F6CD1">
        <w:t>legal situations</w:t>
      </w:r>
    </w:p>
    <w:p w14:paraId="44BFA09B" w14:textId="77777777" w:rsidR="007A743C" w:rsidRPr="000F6CD1" w:rsidRDefault="007A743C" w:rsidP="00DF3F6B">
      <w:pPr>
        <w:pStyle w:val="ListParagraph"/>
        <w:numPr>
          <w:ilvl w:val="0"/>
          <w:numId w:val="86"/>
        </w:numPr>
        <w:spacing w:before="240" w:after="240" w:line="240" w:lineRule="auto"/>
        <w:ind w:left="568" w:hanging="284"/>
      </w:pPr>
      <w:r w:rsidRPr="000F6CD1">
        <w:t xml:space="preserve">past experiences of trauma </w:t>
      </w:r>
    </w:p>
    <w:p w14:paraId="06814443" w14:textId="77777777" w:rsidR="00897405" w:rsidRPr="000F6CD1" w:rsidRDefault="007A743C" w:rsidP="00A677C9">
      <w:pPr>
        <w:spacing w:before="240" w:after="240" w:line="240" w:lineRule="auto"/>
      </w:pPr>
      <w:r w:rsidRPr="000F6CD1">
        <w:lastRenderedPageBreak/>
        <w:t xml:space="preserve">For example, a sensitive note could be used to record a personal safety issue such as conflict between family members causing the older person to be anxious. </w:t>
      </w:r>
    </w:p>
    <w:p w14:paraId="31D94E0A" w14:textId="77777777" w:rsidR="00282961" w:rsidRPr="00BA6E21" w:rsidRDefault="007A743C" w:rsidP="00806A21">
      <w:pPr>
        <w:pStyle w:val="Sub-headings"/>
      </w:pPr>
      <w:r w:rsidRPr="00BA6E21">
        <w:t xml:space="preserve">Note: </w:t>
      </w:r>
    </w:p>
    <w:p w14:paraId="76D0DDE5" w14:textId="419D0CD6" w:rsidR="00643C9B" w:rsidRPr="000F6CD1" w:rsidRDefault="007A743C" w:rsidP="00806A21">
      <w:pPr>
        <w:pStyle w:val="Sub-headings"/>
      </w:pPr>
      <w:r w:rsidRPr="000F6CD1">
        <w:t>Assessors must follow their reporting obligation specified in relevant legislation and protocols in their state or territory where they identify an older person is at risk of elder abuse.</w:t>
      </w:r>
    </w:p>
    <w:p w14:paraId="18437B35" w14:textId="0F32DF7A" w:rsidR="007A743C" w:rsidRPr="000F6CD1" w:rsidRDefault="007A743C" w:rsidP="00A677C9">
      <w:pPr>
        <w:spacing w:before="240" w:after="240" w:line="240" w:lineRule="auto"/>
      </w:pPr>
      <w:r w:rsidRPr="000F6CD1">
        <w:t>Sensitive notes and attachments are not visible through the My Aged Care Service and Support portal. Instead, a message will display on the older person’s record stating “the older person has a sensitive note/attachment on their record</w:t>
      </w:r>
      <w:r w:rsidR="00F513CB" w:rsidRPr="000F6CD1">
        <w:t>.”</w:t>
      </w:r>
    </w:p>
    <w:p w14:paraId="6FDA4BEF" w14:textId="77777777" w:rsidR="007A743C" w:rsidRPr="000F6CD1" w:rsidRDefault="007A743C" w:rsidP="00A677C9">
      <w:pPr>
        <w:spacing w:before="240" w:after="240" w:line="240" w:lineRule="auto"/>
      </w:pPr>
      <w:r w:rsidRPr="000F6CD1">
        <w:t>Given the assessor may be best placed to discuss the sensitive issues with the provider/s, the provider could contact the assessment organisation for enquiries on notes and/or attachments. The provider may also contact the assessor directly if they have a question concerning sensitive attachments. Sensitive information may be disclosed to the provider if it is relevant to their particular service. For example, where it is recorded that an older person has a sensitive health issue, an assessor may be contacted by a garden maintenance provider and the assessor may consider it inappropriate to disclose the information; whereas if the assessor is contacted by a personal care provider, the assessor may have a duty of care to disclose the information as it has implications for the service being delivered.</w:t>
      </w:r>
    </w:p>
    <w:p w14:paraId="24A00C0F" w14:textId="206BBD0A" w:rsidR="007A743C" w:rsidRPr="000F6CD1" w:rsidRDefault="007A743C" w:rsidP="00A677C9">
      <w:pPr>
        <w:spacing w:before="240" w:after="240" w:line="240" w:lineRule="auto"/>
      </w:pPr>
      <w:r w:rsidRPr="000F6CD1">
        <w:t xml:space="preserve">Where an existing older person currently receiving services has received a reassessment, and has disclosed new information that is categorised and recorded as a ‘sensitive’ note (that may impact the safety and welfare of the older person, staff or other </w:t>
      </w:r>
      <w:r w:rsidR="00516348" w:rsidRPr="000F6CD1">
        <w:t>older people</w:t>
      </w:r>
      <w:r w:rsidRPr="000F6CD1">
        <w:t>), the assessor should contact the provider/s to make them aware of the sensitive information and enable them to make a risk-determination of how best to support the older person for the safe delivery of services (</w:t>
      </w:r>
      <w:r w:rsidR="00280CFF" w:rsidRPr="000F6CD1">
        <w:t xml:space="preserve">see section </w:t>
      </w:r>
      <w:r w:rsidR="00D775F3">
        <w:t>12.12.4</w:t>
      </w:r>
      <w:r w:rsidR="00280CFF" w:rsidRPr="000F6CD1">
        <w:t xml:space="preserve"> </w:t>
      </w:r>
      <w:r w:rsidR="00D775F3">
        <w:fldChar w:fldCharType="begin"/>
      </w:r>
      <w:r w:rsidR="00D775F3">
        <w:instrText xml:space="preserve"> REF _Ref232603743 \h </w:instrText>
      </w:r>
      <w:r w:rsidR="00D775F3">
        <w:fldChar w:fldCharType="separate"/>
      </w:r>
      <w:r w:rsidR="004B171E" w:rsidRPr="000F6CD1">
        <w:t>Older people who are in prison</w:t>
      </w:r>
      <w:r w:rsidR="00D775F3">
        <w:fldChar w:fldCharType="end"/>
      </w:r>
      <w:r w:rsidRPr="000F6CD1">
        <w:t>).</w:t>
      </w:r>
    </w:p>
    <w:p w14:paraId="2AFB5538" w14:textId="77777777" w:rsidR="007A743C" w:rsidRPr="000F6CD1" w:rsidRDefault="007A743C" w:rsidP="007A743C">
      <w:pPr>
        <w:pStyle w:val="H4"/>
        <w:rPr>
          <w:color w:val="1E1444"/>
          <w:szCs w:val="24"/>
        </w:rPr>
      </w:pPr>
      <w:r w:rsidRPr="000F6CD1">
        <w:t>Sensitive user flag</w:t>
      </w:r>
    </w:p>
    <w:p w14:paraId="070120E9" w14:textId="77777777" w:rsidR="007A743C" w:rsidRPr="000F6CD1" w:rsidRDefault="007A743C" w:rsidP="00A677C9">
      <w:pPr>
        <w:spacing w:before="240" w:after="240" w:line="240" w:lineRule="auto"/>
        <w:rPr>
          <w:rFonts w:eastAsia="MS PGothic"/>
        </w:rPr>
      </w:pPr>
      <w:r w:rsidRPr="000F6CD1">
        <w:t xml:space="preserve">The My Aged Care system also enables </w:t>
      </w:r>
      <w:r w:rsidRPr="000F6CD1">
        <w:rPr>
          <w:rFonts w:eastAsia="MS PGothic"/>
        </w:rPr>
        <w:t>an older person or registered supporter to be flagged as a ‘sensitive user’ if the older person or registered supporter requests to limit access to their information, AND the older person or registered supporter:</w:t>
      </w:r>
    </w:p>
    <w:p w14:paraId="51583CC5" w14:textId="77777777" w:rsidR="007A743C" w:rsidRPr="000F6CD1" w:rsidRDefault="007A743C" w:rsidP="00DF3F6B">
      <w:pPr>
        <w:numPr>
          <w:ilvl w:val="0"/>
          <w:numId w:val="87"/>
        </w:numPr>
        <w:spacing w:before="240" w:after="240" w:line="240" w:lineRule="auto"/>
        <w:ind w:left="568" w:hanging="284"/>
        <w:rPr>
          <w:rFonts w:eastAsia="MS PGothic"/>
        </w:rPr>
      </w:pPr>
      <w:r w:rsidRPr="000F6CD1">
        <w:rPr>
          <w:rFonts w:eastAsia="MS PGothic"/>
        </w:rPr>
        <w:t>works for My Aged Care or the department</w:t>
      </w:r>
      <w:r w:rsidRPr="000F6CD1" w:rsidDel="001F504E">
        <w:rPr>
          <w:rFonts w:eastAsia="MS PGothic"/>
        </w:rPr>
        <w:t xml:space="preserve"> </w:t>
      </w:r>
      <w:r w:rsidRPr="000F6CD1">
        <w:rPr>
          <w:rFonts w:eastAsia="MS PGothic"/>
        </w:rPr>
        <w:t xml:space="preserve"> </w:t>
      </w:r>
    </w:p>
    <w:p w14:paraId="41203F43" w14:textId="0E308CD9" w:rsidR="007A743C" w:rsidRPr="000F6CD1" w:rsidRDefault="007A743C" w:rsidP="00DF3F6B">
      <w:pPr>
        <w:numPr>
          <w:ilvl w:val="0"/>
          <w:numId w:val="87"/>
        </w:numPr>
        <w:spacing w:before="240" w:after="240" w:line="240" w:lineRule="auto"/>
        <w:ind w:left="568" w:hanging="284"/>
        <w:rPr>
          <w:rFonts w:eastAsia="MS PGothic"/>
        </w:rPr>
      </w:pPr>
      <w:r w:rsidRPr="000F6CD1">
        <w:rPr>
          <w:rFonts w:eastAsia="MS PGothic"/>
        </w:rPr>
        <w:t>has a conflict of interest with My Aged Care staff</w:t>
      </w:r>
      <w:r w:rsidR="006D19C0" w:rsidRPr="000F6CD1">
        <w:rPr>
          <w:rFonts w:eastAsia="MS PGothic"/>
        </w:rPr>
        <w:t>, or</w:t>
      </w:r>
    </w:p>
    <w:p w14:paraId="0D27C42F" w14:textId="77777777" w:rsidR="007A743C" w:rsidRPr="000F6CD1" w:rsidRDefault="007A743C" w:rsidP="00DF3F6B">
      <w:pPr>
        <w:numPr>
          <w:ilvl w:val="0"/>
          <w:numId w:val="87"/>
        </w:numPr>
        <w:spacing w:before="240" w:after="240" w:line="240" w:lineRule="auto"/>
        <w:ind w:left="567" w:hanging="283"/>
        <w:rPr>
          <w:rFonts w:eastAsia="MS PGothic"/>
        </w:rPr>
      </w:pPr>
      <w:r w:rsidRPr="000F6CD1">
        <w:rPr>
          <w:rFonts w:eastAsia="MS PGothic"/>
        </w:rPr>
        <w:t xml:space="preserve">has provided reasonable justification to support that their identity and contact information is to be protected. </w:t>
      </w:r>
    </w:p>
    <w:p w14:paraId="499E068E" w14:textId="4F2FEF9F" w:rsidR="007A743C" w:rsidRPr="000F6CD1" w:rsidRDefault="007A743C" w:rsidP="00A677C9">
      <w:pPr>
        <w:spacing w:before="240" w:after="240" w:line="240" w:lineRule="auto"/>
        <w:rPr>
          <w:rFonts w:eastAsia="MS PGothic"/>
        </w:rPr>
      </w:pPr>
      <w:r w:rsidRPr="000F6CD1">
        <w:rPr>
          <w:rFonts w:eastAsia="MS PGothic"/>
        </w:rPr>
        <w:t>An older person or their registered supporter may request that the older person or the registered supporter is made a ‘sensitive user’ through the My Aged Care contact centre. The request will be assessed and if appropriate the older person or registered supporter’s record will be flagged as a ‘sensitive user’ record</w:t>
      </w:r>
      <w:r w:rsidRPr="000F6CD1" w:rsidDel="00327FAC">
        <w:rPr>
          <w:rFonts w:eastAsia="MS PGothic"/>
        </w:rPr>
        <w:t>.</w:t>
      </w:r>
      <w:r w:rsidRPr="000F6CD1">
        <w:rPr>
          <w:rFonts w:eastAsia="MS PGothic"/>
        </w:rPr>
        <w:t xml:space="preserve"> </w:t>
      </w:r>
    </w:p>
    <w:p w14:paraId="4E6E5A5D" w14:textId="5342962B" w:rsidR="007A743C" w:rsidRPr="000F6CD1" w:rsidRDefault="007A743C" w:rsidP="00A677C9">
      <w:pPr>
        <w:spacing w:before="240" w:after="240" w:line="240" w:lineRule="auto"/>
        <w:rPr>
          <w:rFonts w:eastAsia="MS Mincho"/>
        </w:rPr>
      </w:pPr>
      <w:r w:rsidRPr="000F6CD1">
        <w:rPr>
          <w:rFonts w:eastAsia="MS PGothic"/>
        </w:rPr>
        <w:t>The details of a ‘sensitive user’ will remain available to assessors and service providers who are working with the older person.</w:t>
      </w:r>
      <w:r w:rsidRPr="000F6CD1">
        <w:rPr>
          <w:rFonts w:eastAsia="MS Mincho"/>
        </w:rPr>
        <w:t xml:space="preserve"> </w:t>
      </w:r>
      <w:r w:rsidR="00516348" w:rsidRPr="000F6CD1">
        <w:rPr>
          <w:rFonts w:eastAsia="MS Mincho"/>
        </w:rPr>
        <w:t>Older people</w:t>
      </w:r>
      <w:r w:rsidRPr="000F6CD1">
        <w:rPr>
          <w:rFonts w:eastAsia="MS Mincho"/>
        </w:rPr>
        <w:t xml:space="preserve"> or </w:t>
      </w:r>
      <w:r w:rsidRPr="000F6CD1">
        <w:rPr>
          <w:rFonts w:eastAsia="MS PGothic"/>
        </w:rPr>
        <w:t xml:space="preserve">registered </w:t>
      </w:r>
      <w:r w:rsidRPr="000F6CD1">
        <w:rPr>
          <w:rFonts w:eastAsia="MS Mincho"/>
        </w:rPr>
        <w:t>supporters who are flagged as a ‘sensitive user’ will need to disclose this status to the contact centre at the time of their interaction, as the information is restricted and will require a team leader to access and edit the record.</w:t>
      </w:r>
    </w:p>
    <w:tbl>
      <w:tblPr>
        <w:tblStyle w:val="TableGrid"/>
        <w:tblW w:w="0" w:type="auto"/>
        <w:tblLook w:val="04A0" w:firstRow="1" w:lastRow="0" w:firstColumn="1" w:lastColumn="0" w:noHBand="0" w:noVBand="1"/>
      </w:tblPr>
      <w:tblGrid>
        <w:gridCol w:w="845"/>
        <w:gridCol w:w="7921"/>
      </w:tblGrid>
      <w:tr w:rsidR="007A743C" w:rsidRPr="000F6CD1" w14:paraId="00BEAE69" w14:textId="77777777">
        <w:trPr>
          <w:trHeight w:val="300"/>
        </w:trPr>
        <w:tc>
          <w:tcPr>
            <w:tcW w:w="846" w:type="dxa"/>
          </w:tcPr>
          <w:p w14:paraId="7A8D8762" w14:textId="77777777" w:rsidR="007A743C" w:rsidRPr="000F6CD1" w:rsidRDefault="007A743C" w:rsidP="00A677C9">
            <w:pPr>
              <w:pStyle w:val="NormalText"/>
              <w:spacing w:before="240" w:after="240" w:line="240" w:lineRule="auto"/>
              <w:rPr>
                <w:rFonts w:eastAsiaTheme="majorEastAsia" w:cs="Arial"/>
                <w:b/>
                <w:color w:val="1E1444"/>
                <w:shd w:val="clear" w:color="auto" w:fill="auto"/>
                <w:lang w:eastAsia="en-AU"/>
              </w:rPr>
            </w:pPr>
            <w:r w:rsidRPr="000F6CD1">
              <w:rPr>
                <w:noProof/>
              </w:rPr>
              <w:lastRenderedPageBreak/>
              <w:drawing>
                <wp:inline distT="0" distB="0" distL="0" distR="0" wp14:anchorId="5E2B0935" wp14:editId="3FE74B02">
                  <wp:extent cx="383111" cy="381000"/>
                  <wp:effectExtent l="0" t="0" r="0" b="0"/>
                  <wp:docPr id="1845880569" name="Picture 184588056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80569" name="Picture 1845880569"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228FC67F" w14:textId="1364AF3A" w:rsidR="007A743C" w:rsidRPr="000F6CD1" w:rsidRDefault="007A743C" w:rsidP="00A677C9">
            <w:pPr>
              <w:spacing w:before="240" w:after="240"/>
              <w:rPr>
                <w:rStyle w:val="Hyperlink"/>
              </w:rPr>
            </w:pPr>
            <w:hyperlink r:id="rId159">
              <w:r w:rsidRPr="000F6CD1">
                <w:rPr>
                  <w:rStyle w:val="Hyperlink"/>
                </w:rPr>
                <w:t>My Aged Care – Assessor Portal User Guide 4 – Navigating and updating the older person record</w:t>
              </w:r>
            </w:hyperlink>
          </w:p>
        </w:tc>
      </w:tr>
    </w:tbl>
    <w:p w14:paraId="647BECD4" w14:textId="1F0D3D78" w:rsidR="008D1482" w:rsidRPr="000F6CD1" w:rsidRDefault="007A743C" w:rsidP="00AD2CE5">
      <w:pPr>
        <w:pStyle w:val="H3"/>
      </w:pPr>
      <w:r w:rsidRPr="000F6CD1">
        <w:t xml:space="preserve">Urgent </w:t>
      </w:r>
      <w:r w:rsidR="00F66212" w:rsidRPr="000F6CD1">
        <w:t>s</w:t>
      </w:r>
      <w:r w:rsidRPr="000F6CD1">
        <w:t xml:space="preserve">ervice </w:t>
      </w:r>
      <w:r w:rsidR="0013219F" w:rsidRPr="000F6CD1">
        <w:t>p</w:t>
      </w:r>
      <w:r w:rsidRPr="000F6CD1">
        <w:t xml:space="preserve">rovision in the IAT </w:t>
      </w:r>
    </w:p>
    <w:p w14:paraId="5D7E1B25" w14:textId="329D6BD5" w:rsidR="007A743C" w:rsidRPr="000F6CD1" w:rsidRDefault="00943C5D" w:rsidP="00A677C9">
      <w:pPr>
        <w:spacing w:before="240" w:after="240" w:line="240" w:lineRule="auto"/>
        <w:rPr>
          <w:iCs/>
        </w:rPr>
      </w:pPr>
      <w:r w:rsidRPr="000F6CD1">
        <w:rPr>
          <w:noProof/>
        </w:rPr>
        <w:drawing>
          <wp:inline distT="0" distB="0" distL="0" distR="0" wp14:anchorId="7CC40417" wp14:editId="2C04C924">
            <wp:extent cx="457200" cy="506095"/>
            <wp:effectExtent l="0" t="0" r="0" b="8255"/>
            <wp:docPr id="1757515238" name="Picture 1757515238"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15238" name="Picture 1757515238" descr="A bell with an exclamation mark that denotes a significant change in information from version 8.2 of the Aged Care Assessment Manual.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r w:rsidR="007A743C" w:rsidRPr="000F6CD1">
        <w:rPr>
          <w:iCs/>
        </w:rPr>
        <w:t>The IAT includes a question about an older person’s need for urgent service provision, “Does the client require urgent service provision?</w:t>
      </w:r>
      <w:r w:rsidR="00F513CB">
        <w:rPr>
          <w:iCs/>
        </w:rPr>
        <w:t>”</w:t>
      </w:r>
      <w:r w:rsidR="007A743C" w:rsidRPr="000F6CD1">
        <w:rPr>
          <w:iCs/>
        </w:rPr>
        <w:t xml:space="preserve"> This a mandatory question and requires a Yes or No answer. The response to this question is one of multiple factors used by the system to calculate a priority category for the person for the Support at Home Priority System. Other information is also used to calculate a priority category.  An older person’s priority for </w:t>
      </w:r>
      <w:r w:rsidR="00FB6511" w:rsidRPr="000F6CD1">
        <w:rPr>
          <w:iCs/>
        </w:rPr>
        <w:t xml:space="preserve">ongoing </w:t>
      </w:r>
      <w:r w:rsidR="007A743C" w:rsidRPr="000F6CD1">
        <w:rPr>
          <w:iCs/>
        </w:rPr>
        <w:t>funding is based on their personal circumstances and characteristics.</w:t>
      </w:r>
    </w:p>
    <w:p w14:paraId="49E44C25" w14:textId="00DA38B9" w:rsidR="007A743C" w:rsidRPr="000F6CD1" w:rsidRDefault="007A743C" w:rsidP="00A677C9">
      <w:pPr>
        <w:spacing w:before="240" w:after="240" w:line="240" w:lineRule="auto"/>
        <w:rPr>
          <w:iCs/>
        </w:rPr>
      </w:pPr>
      <w:r w:rsidRPr="000F6CD1">
        <w:rPr>
          <w:iCs/>
        </w:rPr>
        <w:t>An older person can be determined to need urgent service provision if the older person:  </w:t>
      </w:r>
    </w:p>
    <w:p w14:paraId="564A0699" w14:textId="1BC8EB4B" w:rsidR="007A743C" w:rsidRPr="000F6CD1" w:rsidRDefault="007A743C" w:rsidP="00DF3F6B">
      <w:pPr>
        <w:numPr>
          <w:ilvl w:val="0"/>
          <w:numId w:val="120"/>
        </w:numPr>
        <w:spacing w:before="240" w:after="240" w:line="240" w:lineRule="auto"/>
        <w:rPr>
          <w:iCs/>
        </w:rPr>
      </w:pPr>
      <w:r w:rsidRPr="000F6CD1">
        <w:rPr>
          <w:iCs/>
        </w:rPr>
        <w:t>is considered at urgent and immediate risk in terms of their personal safety; and/or </w:t>
      </w:r>
    </w:p>
    <w:p w14:paraId="70EC0FA5" w14:textId="1913C2D9" w:rsidR="007A743C" w:rsidRPr="000F6CD1" w:rsidRDefault="007A743C" w:rsidP="00DF3F6B">
      <w:pPr>
        <w:numPr>
          <w:ilvl w:val="0"/>
          <w:numId w:val="121"/>
        </w:numPr>
        <w:spacing w:before="240" w:after="240" w:line="240" w:lineRule="auto"/>
        <w:rPr>
          <w:iCs/>
        </w:rPr>
      </w:pPr>
      <w:r w:rsidRPr="000F6CD1">
        <w:rPr>
          <w:iCs/>
        </w:rPr>
        <w:t>is at immediate risk of admission into residential care; and/or  </w:t>
      </w:r>
    </w:p>
    <w:p w14:paraId="3DF578FE" w14:textId="19A07326" w:rsidR="00EF3113" w:rsidRPr="000F6CD1" w:rsidRDefault="00E80FE6" w:rsidP="00B73461">
      <w:pPr>
        <w:pStyle w:val="ListParagraph"/>
        <w:numPr>
          <w:ilvl w:val="0"/>
          <w:numId w:val="121"/>
        </w:numPr>
        <w:rPr>
          <w:iCs/>
        </w:rPr>
      </w:pPr>
      <w:r w:rsidRPr="000F6CD1">
        <w:rPr>
          <w:iCs/>
        </w:rPr>
        <w:t>is unable to be safely discharged from hospital without timely access to in-home care</w:t>
      </w:r>
      <w:r w:rsidR="00CD764E" w:rsidRPr="000F6CD1">
        <w:rPr>
          <w:iCs/>
        </w:rPr>
        <w:t>; and/or</w:t>
      </w:r>
    </w:p>
    <w:p w14:paraId="2B2114A5" w14:textId="45A4379E" w:rsidR="007A743C" w:rsidRPr="000F6CD1" w:rsidRDefault="00DE7669" w:rsidP="00DF3F6B">
      <w:pPr>
        <w:numPr>
          <w:ilvl w:val="0"/>
          <w:numId w:val="122"/>
        </w:numPr>
        <w:spacing w:before="240" w:after="240" w:line="240" w:lineRule="auto"/>
        <w:rPr>
          <w:iCs/>
        </w:rPr>
      </w:pPr>
      <w:r w:rsidRPr="000F6CD1">
        <w:rPr>
          <w:iCs/>
        </w:rPr>
        <w:t>ha</w:t>
      </w:r>
      <w:r w:rsidR="007A743C" w:rsidRPr="000F6CD1">
        <w:rPr>
          <w:iCs/>
        </w:rPr>
        <w:t>s a carer, and the carer arrangements are unsustainable, or the carer is at crisis point</w:t>
      </w:r>
      <w:r w:rsidR="00B23AB0" w:rsidRPr="000F6CD1">
        <w:rPr>
          <w:iCs/>
        </w:rPr>
        <w:t xml:space="preserve">. </w:t>
      </w:r>
    </w:p>
    <w:p w14:paraId="781F8FF3" w14:textId="085C5855" w:rsidR="000673FD" w:rsidRPr="000F6CD1" w:rsidRDefault="007A743C" w:rsidP="00A677C9">
      <w:pPr>
        <w:spacing w:before="240" w:after="240" w:line="240" w:lineRule="auto"/>
        <w:rPr>
          <w:szCs w:val="22"/>
        </w:rPr>
        <w:sectPr w:rsidR="000673FD" w:rsidRPr="000F6CD1" w:rsidSect="00ED03BF">
          <w:pgSz w:w="11906" w:h="16838"/>
          <w:pgMar w:top="1440" w:right="1700" w:bottom="1440" w:left="1440" w:header="708" w:footer="708" w:gutter="0"/>
          <w:cols w:space="708"/>
          <w:docGrid w:linePitch="360"/>
        </w:sectPr>
      </w:pPr>
      <w:r w:rsidRPr="000F6CD1">
        <w:rPr>
          <w:iCs/>
        </w:rPr>
        <w:t>The guide below has been developed to help assessors determine whether an older person requires urgent service provision</w:t>
      </w:r>
      <w:r w:rsidR="00DE7669" w:rsidRPr="000F6CD1">
        <w:rPr>
          <w:iCs/>
        </w:rPr>
        <w:t>.</w:t>
      </w:r>
      <w:r w:rsidR="00F513CB" w:rsidRPr="000F6CD1">
        <w:rPr>
          <w:iCs/>
        </w:rPr>
        <w:t xml:space="preserve"> </w:t>
      </w:r>
    </w:p>
    <w:p w14:paraId="3CDF0DAE" w14:textId="12B362CC" w:rsidR="007A743C" w:rsidRPr="000F6CD1" w:rsidRDefault="007A743C" w:rsidP="00A677C9">
      <w:pPr>
        <w:pStyle w:val="Caption"/>
        <w:spacing w:before="240" w:after="240"/>
      </w:pPr>
      <w:r w:rsidRPr="000F6CD1">
        <w:lastRenderedPageBreak/>
        <w:t>Table 2</w:t>
      </w:r>
      <w:r w:rsidR="00EC1CA5" w:rsidRPr="000F6CD1">
        <w:t>2</w:t>
      </w:r>
      <w:r w:rsidRPr="000F6CD1">
        <w:t xml:space="preserve">. Urgent service provision guide </w:t>
      </w:r>
    </w:p>
    <w:tbl>
      <w:tblPr>
        <w:tblpPr w:leftFromText="180" w:rightFromText="180" w:vertAnchor="text" w:tblpY="1"/>
        <w:tblOverlap w:val="never"/>
        <w:tblW w:w="5000" w:type="pct"/>
        <w:tblBorders>
          <w:bottom w:val="single" w:sz="4" w:space="0" w:color="auto"/>
          <w:insideH w:val="single" w:sz="4" w:space="0" w:color="auto"/>
        </w:tblBorders>
        <w:tblCellMar>
          <w:left w:w="0" w:type="dxa"/>
          <w:right w:w="0" w:type="dxa"/>
        </w:tblCellMar>
        <w:tblLook w:val="04A0" w:firstRow="1" w:lastRow="0" w:firstColumn="1" w:lastColumn="0" w:noHBand="0" w:noVBand="1"/>
        <w:tblCaption w:val="Urgent service provision guide "/>
        <w:tblDescription w:val="Guide to assist assessors determine whether an older person requires urgent service provision"/>
      </w:tblPr>
      <w:tblGrid>
        <w:gridCol w:w="1713"/>
        <w:gridCol w:w="3143"/>
        <w:gridCol w:w="4076"/>
        <w:gridCol w:w="2412"/>
        <w:gridCol w:w="2496"/>
        <w:gridCol w:w="31"/>
        <w:gridCol w:w="31"/>
        <w:gridCol w:w="31"/>
        <w:gridCol w:w="25"/>
      </w:tblGrid>
      <w:tr w:rsidR="007A743C" w:rsidRPr="000F6CD1" w14:paraId="3F116A96" w14:textId="2C7CF6E3" w:rsidTr="00E6431F">
        <w:trPr>
          <w:trHeight w:val="300"/>
          <w:tblHeader/>
        </w:trPr>
        <w:tc>
          <w:tcPr>
            <w:tcW w:w="614" w:type="pct"/>
            <w:shd w:val="clear" w:color="auto" w:fill="002060"/>
            <w:hideMark/>
          </w:tcPr>
          <w:p w14:paraId="541C9304" w14:textId="4C6C6FA4" w:rsidR="007A743C" w:rsidRPr="000F6CD1" w:rsidRDefault="007A743C" w:rsidP="00A677C9">
            <w:pPr>
              <w:spacing w:before="240" w:after="240" w:line="240" w:lineRule="auto"/>
              <w:rPr>
                <w:b/>
                <w:color w:val="FFFFFF" w:themeColor="background1"/>
              </w:rPr>
            </w:pPr>
            <w:r w:rsidRPr="000F6CD1">
              <w:rPr>
                <w:b/>
                <w:color w:val="FFFFFF" w:themeColor="background1"/>
              </w:rPr>
              <w:t> </w:t>
            </w:r>
          </w:p>
        </w:tc>
        <w:tc>
          <w:tcPr>
            <w:tcW w:w="1126" w:type="pct"/>
            <w:shd w:val="clear" w:color="auto" w:fill="002060"/>
            <w:hideMark/>
          </w:tcPr>
          <w:p w14:paraId="6740F33E" w14:textId="65EABF72" w:rsidR="007A743C" w:rsidRPr="000F6CD1" w:rsidRDefault="007A743C" w:rsidP="00A677C9">
            <w:pPr>
              <w:spacing w:before="240" w:after="240" w:line="240" w:lineRule="auto"/>
              <w:rPr>
                <w:b/>
                <w:color w:val="FFFFFF" w:themeColor="background1"/>
              </w:rPr>
            </w:pPr>
            <w:r w:rsidRPr="000F6CD1">
              <w:rPr>
                <w:b/>
                <w:color w:val="FFFFFF" w:themeColor="background1"/>
              </w:rPr>
              <w:t xml:space="preserve">Carer </w:t>
            </w:r>
            <w:r w:rsidR="00D223D9" w:rsidRPr="000F6CD1">
              <w:rPr>
                <w:b/>
                <w:color w:val="FFFFFF" w:themeColor="background1"/>
              </w:rPr>
              <w:t>a</w:t>
            </w:r>
            <w:r w:rsidRPr="000F6CD1">
              <w:rPr>
                <w:b/>
                <w:color w:val="FFFFFF" w:themeColor="background1"/>
              </w:rPr>
              <w:t>rrangements are unsustainable   </w:t>
            </w:r>
          </w:p>
        </w:tc>
        <w:tc>
          <w:tcPr>
            <w:tcW w:w="1460" w:type="pct"/>
            <w:shd w:val="clear" w:color="auto" w:fill="002060"/>
            <w:hideMark/>
          </w:tcPr>
          <w:p w14:paraId="41C075DA" w14:textId="5835450B" w:rsidR="007A743C" w:rsidRPr="000F6CD1" w:rsidRDefault="00917B63" w:rsidP="00A677C9">
            <w:pPr>
              <w:spacing w:before="240" w:after="240" w:line="240" w:lineRule="auto"/>
              <w:rPr>
                <w:b/>
                <w:color w:val="FFFFFF" w:themeColor="background1"/>
              </w:rPr>
            </w:pPr>
            <w:r w:rsidRPr="000F6CD1">
              <w:rPr>
                <w:b/>
                <w:color w:val="FFFFFF" w:themeColor="background1"/>
              </w:rPr>
              <w:t xml:space="preserve">Urgent and </w:t>
            </w:r>
            <w:r w:rsidR="007A743C" w:rsidRPr="000F6CD1">
              <w:rPr>
                <w:b/>
                <w:color w:val="FFFFFF" w:themeColor="background1"/>
              </w:rPr>
              <w:t xml:space="preserve">immediate </w:t>
            </w:r>
            <w:r w:rsidR="005D6D3B" w:rsidRPr="000F6CD1">
              <w:rPr>
                <w:b/>
                <w:color w:val="FFFFFF" w:themeColor="background1"/>
              </w:rPr>
              <w:t>r</w:t>
            </w:r>
            <w:r w:rsidR="007A743C" w:rsidRPr="000F6CD1">
              <w:rPr>
                <w:b/>
                <w:color w:val="FFFFFF" w:themeColor="background1"/>
              </w:rPr>
              <w:t>isk to personal safety  </w:t>
            </w:r>
          </w:p>
        </w:tc>
        <w:tc>
          <w:tcPr>
            <w:tcW w:w="864" w:type="pct"/>
            <w:shd w:val="clear" w:color="auto" w:fill="002060"/>
            <w:hideMark/>
          </w:tcPr>
          <w:p w14:paraId="0F760E5B" w14:textId="1E7E9EE5" w:rsidR="007A743C" w:rsidRPr="000F6CD1" w:rsidRDefault="007A743C" w:rsidP="00A677C9">
            <w:pPr>
              <w:spacing w:before="240" w:after="240" w:line="240" w:lineRule="auto"/>
              <w:rPr>
                <w:b/>
                <w:color w:val="FFFFFF" w:themeColor="background1"/>
              </w:rPr>
            </w:pPr>
            <w:r w:rsidRPr="000F6CD1">
              <w:rPr>
                <w:b/>
                <w:color w:val="FFFFFF" w:themeColor="background1"/>
              </w:rPr>
              <w:t>Immediate risk of admission into residential care </w:t>
            </w:r>
          </w:p>
        </w:tc>
        <w:tc>
          <w:tcPr>
            <w:tcW w:w="894" w:type="pct"/>
            <w:shd w:val="clear" w:color="auto" w:fill="002060"/>
          </w:tcPr>
          <w:p w14:paraId="611866D6" w14:textId="02B8E5BA" w:rsidR="008F3591" w:rsidRPr="000F6CD1" w:rsidRDefault="008F3591" w:rsidP="003D4876">
            <w:pPr>
              <w:spacing w:before="240" w:after="240" w:line="240" w:lineRule="auto"/>
              <w:rPr>
                <w:b/>
                <w:bCs/>
                <w:color w:val="FF0000"/>
              </w:rPr>
            </w:pPr>
            <w:r w:rsidRPr="000F6CD1">
              <w:rPr>
                <w:b/>
                <w:color w:val="FFFFFF" w:themeColor="background1"/>
              </w:rPr>
              <w:t xml:space="preserve">Requires </w:t>
            </w:r>
            <w:r w:rsidR="005E7313" w:rsidRPr="000F6CD1">
              <w:rPr>
                <w:b/>
                <w:color w:val="FFFFFF" w:themeColor="background1"/>
              </w:rPr>
              <w:t>home care support to be discharged from hospital</w:t>
            </w:r>
          </w:p>
        </w:tc>
        <w:tc>
          <w:tcPr>
            <w:tcW w:w="11" w:type="pct"/>
          </w:tcPr>
          <w:p w14:paraId="60AD3C59" w14:textId="4ADC18C7" w:rsidR="0098047A" w:rsidRPr="000F6CD1" w:rsidRDefault="0098047A" w:rsidP="003D4876">
            <w:pPr>
              <w:spacing w:before="240" w:after="240" w:line="240" w:lineRule="auto"/>
              <w:rPr>
                <w:b/>
                <w:color w:val="FFFFFF" w:themeColor="background1"/>
              </w:rPr>
            </w:pPr>
          </w:p>
        </w:tc>
        <w:tc>
          <w:tcPr>
            <w:tcW w:w="11" w:type="pct"/>
          </w:tcPr>
          <w:p w14:paraId="70F11233" w14:textId="77777777" w:rsidR="0098047A" w:rsidRPr="000F6CD1" w:rsidRDefault="0098047A" w:rsidP="003D4876">
            <w:pPr>
              <w:spacing w:before="240" w:after="240" w:line="240" w:lineRule="auto"/>
              <w:rPr>
                <w:b/>
                <w:color w:val="FFFFFF" w:themeColor="background1"/>
              </w:rPr>
            </w:pPr>
          </w:p>
        </w:tc>
        <w:tc>
          <w:tcPr>
            <w:tcW w:w="11" w:type="pct"/>
          </w:tcPr>
          <w:p w14:paraId="6B540FA2" w14:textId="77777777" w:rsidR="0098047A" w:rsidRPr="000F6CD1" w:rsidRDefault="0098047A" w:rsidP="003D4876">
            <w:pPr>
              <w:spacing w:before="240" w:after="240" w:line="240" w:lineRule="auto"/>
              <w:rPr>
                <w:b/>
                <w:color w:val="FFFFFF" w:themeColor="background1"/>
              </w:rPr>
            </w:pPr>
          </w:p>
        </w:tc>
        <w:tc>
          <w:tcPr>
            <w:tcW w:w="11" w:type="pct"/>
          </w:tcPr>
          <w:p w14:paraId="12E8A347" w14:textId="77777777" w:rsidR="0098047A" w:rsidRPr="000F6CD1" w:rsidRDefault="0098047A" w:rsidP="003D4876">
            <w:pPr>
              <w:spacing w:before="240" w:after="240" w:line="240" w:lineRule="auto"/>
              <w:rPr>
                <w:b/>
                <w:color w:val="FFFFFF" w:themeColor="background1"/>
              </w:rPr>
            </w:pPr>
          </w:p>
        </w:tc>
      </w:tr>
      <w:tr w:rsidR="007A743C" w:rsidRPr="000F6CD1" w14:paraId="19B07E94" w14:textId="003EADCD" w:rsidTr="00E6431F">
        <w:trPr>
          <w:trHeight w:val="300"/>
        </w:trPr>
        <w:tc>
          <w:tcPr>
            <w:tcW w:w="614" w:type="pct"/>
            <w:shd w:val="clear" w:color="auto" w:fill="002060"/>
            <w:hideMark/>
          </w:tcPr>
          <w:p w14:paraId="1A32D8CE" w14:textId="77777777" w:rsidR="007A743C" w:rsidRPr="000F6CD1" w:rsidRDefault="007A743C" w:rsidP="00A677C9">
            <w:pPr>
              <w:spacing w:before="240" w:after="240" w:line="240" w:lineRule="auto"/>
              <w:rPr>
                <w:b/>
                <w:bCs/>
                <w:iCs/>
              </w:rPr>
            </w:pPr>
            <w:r w:rsidRPr="000F6CD1">
              <w:rPr>
                <w:b/>
                <w:bCs/>
                <w:iCs/>
              </w:rPr>
              <w:t> </w:t>
            </w:r>
          </w:p>
          <w:p w14:paraId="2BB42849" w14:textId="77777777" w:rsidR="007A743C" w:rsidRPr="000F6CD1" w:rsidRDefault="007A743C" w:rsidP="00A677C9">
            <w:pPr>
              <w:spacing w:before="240" w:after="240" w:line="240" w:lineRule="auto"/>
              <w:rPr>
                <w:b/>
                <w:bCs/>
                <w:iCs/>
              </w:rPr>
            </w:pPr>
            <w:r w:rsidRPr="000F6CD1">
              <w:rPr>
                <w:b/>
                <w:bCs/>
                <w:iCs/>
              </w:rPr>
              <w:t> </w:t>
            </w:r>
          </w:p>
          <w:p w14:paraId="397A3D01" w14:textId="77777777" w:rsidR="007A743C" w:rsidRPr="000F6CD1" w:rsidRDefault="007A743C" w:rsidP="00A677C9">
            <w:pPr>
              <w:spacing w:before="240" w:after="240" w:line="240" w:lineRule="auto"/>
              <w:rPr>
                <w:b/>
                <w:bCs/>
                <w:iCs/>
              </w:rPr>
            </w:pPr>
            <w:r w:rsidRPr="000F6CD1">
              <w:rPr>
                <w:b/>
                <w:bCs/>
                <w:iCs/>
              </w:rPr>
              <w:t> </w:t>
            </w:r>
          </w:p>
          <w:p w14:paraId="218329F4" w14:textId="77777777" w:rsidR="007A743C" w:rsidRPr="000F6CD1" w:rsidRDefault="007A743C" w:rsidP="00A677C9">
            <w:pPr>
              <w:spacing w:before="240" w:after="240" w:line="240" w:lineRule="auto"/>
              <w:rPr>
                <w:b/>
                <w:bCs/>
                <w:iCs/>
              </w:rPr>
            </w:pPr>
            <w:r w:rsidRPr="000F6CD1">
              <w:rPr>
                <w:b/>
                <w:bCs/>
                <w:iCs/>
              </w:rPr>
              <w:t> </w:t>
            </w:r>
          </w:p>
          <w:p w14:paraId="3FED4045" w14:textId="77777777" w:rsidR="007A743C" w:rsidRPr="000F6CD1" w:rsidRDefault="007A743C" w:rsidP="00A677C9">
            <w:pPr>
              <w:spacing w:before="240" w:after="240" w:line="240" w:lineRule="auto"/>
              <w:rPr>
                <w:b/>
                <w:bCs/>
                <w:iCs/>
              </w:rPr>
            </w:pPr>
            <w:r w:rsidRPr="000F6CD1">
              <w:rPr>
                <w:b/>
                <w:bCs/>
                <w:iCs/>
              </w:rPr>
              <w:t> </w:t>
            </w:r>
          </w:p>
          <w:p w14:paraId="0BC76D9D" w14:textId="77777777" w:rsidR="007A743C" w:rsidRPr="000F6CD1" w:rsidRDefault="007A743C" w:rsidP="00A677C9">
            <w:pPr>
              <w:spacing w:before="240" w:after="240" w:line="240" w:lineRule="auto"/>
              <w:rPr>
                <w:b/>
                <w:bCs/>
                <w:iCs/>
              </w:rPr>
            </w:pPr>
            <w:r w:rsidRPr="000F6CD1">
              <w:rPr>
                <w:b/>
                <w:bCs/>
                <w:iCs/>
              </w:rPr>
              <w:t> </w:t>
            </w:r>
          </w:p>
          <w:p w14:paraId="7CC4CBA4" w14:textId="3D8A6E4A" w:rsidR="007A743C" w:rsidRPr="000F6CD1" w:rsidRDefault="007A743C" w:rsidP="00A677C9">
            <w:pPr>
              <w:spacing w:before="240" w:after="240" w:line="240" w:lineRule="auto"/>
              <w:rPr>
                <w:b/>
                <w:bCs/>
                <w:iCs/>
              </w:rPr>
            </w:pPr>
            <w:r w:rsidRPr="000F6CD1">
              <w:rPr>
                <w:b/>
                <w:color w:val="FFFFFF" w:themeColor="background1"/>
              </w:rPr>
              <w:t>Criteria for determining urgency   </w:t>
            </w:r>
          </w:p>
        </w:tc>
        <w:tc>
          <w:tcPr>
            <w:tcW w:w="1126" w:type="pct"/>
            <w:hideMark/>
          </w:tcPr>
          <w:p w14:paraId="24C547D8" w14:textId="77777777" w:rsidR="007A743C" w:rsidRPr="000F6CD1" w:rsidRDefault="007A743C" w:rsidP="00A677C9">
            <w:pPr>
              <w:spacing w:before="240" w:after="240" w:line="240" w:lineRule="auto"/>
              <w:rPr>
                <w:iCs/>
              </w:rPr>
            </w:pPr>
            <w:r w:rsidRPr="000F6CD1">
              <w:rPr>
                <w:iCs/>
              </w:rPr>
              <w:t>Indicators that a carer arrangement is unsustainable:  </w:t>
            </w:r>
          </w:p>
          <w:p w14:paraId="3F61E749" w14:textId="77777777" w:rsidR="007A743C" w:rsidRPr="000F6CD1" w:rsidRDefault="007A743C" w:rsidP="00DF3F6B">
            <w:pPr>
              <w:numPr>
                <w:ilvl w:val="0"/>
                <w:numId w:val="123"/>
              </w:numPr>
              <w:spacing w:before="240" w:after="240" w:line="240" w:lineRule="auto"/>
              <w:rPr>
                <w:iCs/>
              </w:rPr>
            </w:pPr>
            <w:r w:rsidRPr="000F6CD1">
              <w:rPr>
                <w:iCs/>
              </w:rPr>
              <w:t>Carer in crisis  </w:t>
            </w:r>
          </w:p>
          <w:p w14:paraId="29F2AFBE" w14:textId="5CAF5CE9" w:rsidR="007A743C" w:rsidRPr="000F6CD1" w:rsidRDefault="007A743C" w:rsidP="00DF3F6B">
            <w:pPr>
              <w:numPr>
                <w:ilvl w:val="0"/>
                <w:numId w:val="124"/>
              </w:numPr>
              <w:spacing w:before="240" w:after="240" w:line="240" w:lineRule="auto"/>
              <w:rPr>
                <w:iCs/>
              </w:rPr>
            </w:pPr>
            <w:r w:rsidRPr="000F6CD1">
              <w:rPr>
                <w:iCs/>
              </w:rPr>
              <w:t>Carer may have a dual caring role</w:t>
            </w:r>
            <w:r w:rsidR="00B23AB0" w:rsidRPr="000F6CD1">
              <w:rPr>
                <w:iCs/>
              </w:rPr>
              <w:t xml:space="preserve">. </w:t>
            </w:r>
          </w:p>
          <w:p w14:paraId="5E4CC5CB" w14:textId="77777777" w:rsidR="007A743C" w:rsidRPr="000F6CD1" w:rsidRDefault="007A743C" w:rsidP="00DF3F6B">
            <w:pPr>
              <w:numPr>
                <w:ilvl w:val="0"/>
                <w:numId w:val="125"/>
              </w:numPr>
              <w:spacing w:before="240" w:after="240" w:line="240" w:lineRule="auto"/>
              <w:rPr>
                <w:iCs/>
              </w:rPr>
            </w:pPr>
            <w:r w:rsidRPr="000F6CD1">
              <w:rPr>
                <w:iCs/>
              </w:rPr>
              <w:t>Carer’s employment is being jeopardised by their caring duties </w:t>
            </w:r>
          </w:p>
          <w:p w14:paraId="424CD84F" w14:textId="77777777" w:rsidR="007A743C" w:rsidRPr="000F6CD1" w:rsidRDefault="007A743C" w:rsidP="00DF3F6B">
            <w:pPr>
              <w:numPr>
                <w:ilvl w:val="0"/>
                <w:numId w:val="126"/>
              </w:numPr>
              <w:spacing w:before="240" w:after="240" w:line="240" w:lineRule="auto"/>
              <w:rPr>
                <w:iCs/>
              </w:rPr>
            </w:pPr>
            <w:r w:rsidRPr="000F6CD1">
              <w:rPr>
                <w:iCs/>
              </w:rPr>
              <w:t>Carer may be returning to full time employment. </w:t>
            </w:r>
          </w:p>
          <w:p w14:paraId="19132731" w14:textId="77777777" w:rsidR="007A743C" w:rsidRPr="000F6CD1" w:rsidRDefault="007A743C" w:rsidP="00DF3F6B">
            <w:pPr>
              <w:numPr>
                <w:ilvl w:val="0"/>
                <w:numId w:val="127"/>
              </w:numPr>
              <w:spacing w:before="240" w:after="240" w:line="240" w:lineRule="auto"/>
              <w:rPr>
                <w:iCs/>
              </w:rPr>
            </w:pPr>
            <w:r w:rsidRPr="000F6CD1">
              <w:rPr>
                <w:iCs/>
              </w:rPr>
              <w:t>The level of care required by the older person is increasingly more complex and the primary carer is unable to provide the level of assistance required. </w:t>
            </w:r>
          </w:p>
          <w:p w14:paraId="0ED34A23" w14:textId="41D4A765" w:rsidR="007A743C" w:rsidRPr="000F6CD1" w:rsidRDefault="007A743C" w:rsidP="00DF3F6B">
            <w:pPr>
              <w:numPr>
                <w:ilvl w:val="0"/>
                <w:numId w:val="128"/>
              </w:numPr>
              <w:spacing w:before="240" w:after="240" w:line="240" w:lineRule="auto"/>
              <w:rPr>
                <w:iCs/>
              </w:rPr>
            </w:pPr>
            <w:r w:rsidRPr="000F6CD1">
              <w:rPr>
                <w:iCs/>
              </w:rPr>
              <w:t xml:space="preserve">Recent changes in the </w:t>
            </w:r>
            <w:r w:rsidR="00516348" w:rsidRPr="000F6CD1">
              <w:rPr>
                <w:iCs/>
              </w:rPr>
              <w:t>older people</w:t>
            </w:r>
            <w:r w:rsidRPr="000F6CD1">
              <w:rPr>
                <w:iCs/>
              </w:rPr>
              <w:t xml:space="preserve">' family, cultural, housing or </w:t>
            </w:r>
            <w:r w:rsidRPr="000F6CD1">
              <w:rPr>
                <w:iCs/>
              </w:rPr>
              <w:lastRenderedPageBreak/>
              <w:t>social situation resulting in trauma</w:t>
            </w:r>
            <w:r w:rsidRPr="000F6CD1">
              <w:rPr>
                <w:iCs/>
                <w:u w:val="single"/>
              </w:rPr>
              <w:t>,</w:t>
            </w:r>
            <w:r w:rsidRPr="000F6CD1">
              <w:rPr>
                <w:iCs/>
              </w:rPr>
              <w:t xml:space="preserve"> or feeling unsafe (including culturally unsafe) </w:t>
            </w:r>
          </w:p>
          <w:p w14:paraId="5ACFD131" w14:textId="77777777" w:rsidR="007A743C" w:rsidRPr="000F6CD1" w:rsidRDefault="007A743C" w:rsidP="00A677C9">
            <w:pPr>
              <w:spacing w:before="240" w:after="240" w:line="240" w:lineRule="auto"/>
              <w:rPr>
                <w:iCs/>
              </w:rPr>
            </w:pPr>
            <w:r w:rsidRPr="000F6CD1">
              <w:rPr>
                <w:iCs/>
              </w:rPr>
              <w:t>The carer in crisis is no longer able to provide care due to:  </w:t>
            </w:r>
          </w:p>
          <w:p w14:paraId="719932A5" w14:textId="77777777" w:rsidR="007A743C" w:rsidRPr="000F6CD1" w:rsidRDefault="007A743C" w:rsidP="00DF3F6B">
            <w:pPr>
              <w:numPr>
                <w:ilvl w:val="0"/>
                <w:numId w:val="129"/>
              </w:numPr>
              <w:spacing w:before="240" w:after="240" w:line="240" w:lineRule="auto"/>
              <w:rPr>
                <w:iCs/>
              </w:rPr>
            </w:pPr>
            <w:r w:rsidRPr="000F6CD1">
              <w:rPr>
                <w:iCs/>
              </w:rPr>
              <w:t>A change in the carer’s personal circumstance i.e. death/significant decline in carers own health status </w:t>
            </w:r>
          </w:p>
          <w:p w14:paraId="1D38C8B9" w14:textId="77777777" w:rsidR="007A743C" w:rsidRPr="000F6CD1" w:rsidRDefault="007A743C" w:rsidP="00DF3F6B">
            <w:pPr>
              <w:numPr>
                <w:ilvl w:val="0"/>
                <w:numId w:val="130"/>
              </w:numPr>
              <w:spacing w:before="240" w:after="240" w:line="240" w:lineRule="auto"/>
              <w:rPr>
                <w:iCs/>
              </w:rPr>
            </w:pPr>
            <w:r w:rsidRPr="000F6CD1">
              <w:rPr>
                <w:iCs/>
              </w:rPr>
              <w:t>An inability to sustain their caring role due to a lack of assistance being received i.e. the older person has significant needs and no (or minimal) support is being provided. </w:t>
            </w:r>
          </w:p>
          <w:p w14:paraId="26792086" w14:textId="15C98467" w:rsidR="007A743C" w:rsidRPr="000F6CD1" w:rsidRDefault="007A743C" w:rsidP="00A677C9">
            <w:pPr>
              <w:spacing w:before="240" w:after="240" w:line="240" w:lineRule="auto"/>
              <w:rPr>
                <w:iCs/>
              </w:rPr>
            </w:pPr>
            <w:r w:rsidRPr="000F6CD1">
              <w:rPr>
                <w:b/>
                <w:bCs/>
                <w:iCs/>
              </w:rPr>
              <w:t>NOTE</w:t>
            </w:r>
            <w:r w:rsidRPr="000F6CD1">
              <w:rPr>
                <w:iCs/>
              </w:rPr>
              <w:t xml:space="preserve">: Carer in crisis is different to caregiver stress. Caregiver stress is a condition of exhaustion, anger, or guilt that results from unrelieved </w:t>
            </w:r>
            <w:r w:rsidRPr="000F6CD1">
              <w:rPr>
                <w:iCs/>
              </w:rPr>
              <w:lastRenderedPageBreak/>
              <w:t>caring for a chronically ill dependent. The stress can vary depending on the individual and generally does not prohibit the carer from providing care. Caregiver stress can be reduced by accessing respite care</w:t>
            </w:r>
            <w:r w:rsidR="00B23AB0" w:rsidRPr="000F6CD1">
              <w:rPr>
                <w:iCs/>
              </w:rPr>
              <w:t xml:space="preserve">. </w:t>
            </w:r>
          </w:p>
        </w:tc>
        <w:tc>
          <w:tcPr>
            <w:tcW w:w="1460" w:type="pct"/>
            <w:hideMark/>
          </w:tcPr>
          <w:p w14:paraId="0FE17AD1" w14:textId="6EC9D1A6" w:rsidR="007A743C" w:rsidRPr="000F6CD1" w:rsidRDefault="007A743C" w:rsidP="00A677C9">
            <w:pPr>
              <w:spacing w:before="240" w:after="240" w:line="240" w:lineRule="auto"/>
              <w:rPr>
                <w:iCs/>
              </w:rPr>
            </w:pPr>
            <w:r w:rsidRPr="000F6CD1">
              <w:rPr>
                <w:iCs/>
              </w:rPr>
              <w:lastRenderedPageBreak/>
              <w:t xml:space="preserve">Some indicators of a person being at urgent and immediate risk with respect </w:t>
            </w:r>
            <w:r w:rsidR="00E6431F" w:rsidRPr="000F6CD1">
              <w:rPr>
                <w:iCs/>
              </w:rPr>
              <w:t xml:space="preserve">  </w:t>
            </w:r>
            <w:r w:rsidRPr="000F6CD1">
              <w:rPr>
                <w:iCs/>
              </w:rPr>
              <w:t xml:space="preserve">to their personal safety may include, </w:t>
            </w:r>
            <w:r w:rsidR="00E6431F" w:rsidRPr="000F6CD1">
              <w:rPr>
                <w:iCs/>
              </w:rPr>
              <w:t xml:space="preserve">    </w:t>
            </w:r>
            <w:r w:rsidRPr="000F6CD1">
              <w:rPr>
                <w:iCs/>
              </w:rPr>
              <w:t>but are not limited to: </w:t>
            </w:r>
          </w:p>
          <w:p w14:paraId="58315800" w14:textId="77777777" w:rsidR="007A743C" w:rsidRPr="000F6CD1" w:rsidRDefault="007A743C" w:rsidP="00DF3F6B">
            <w:pPr>
              <w:numPr>
                <w:ilvl w:val="0"/>
                <w:numId w:val="131"/>
              </w:numPr>
              <w:spacing w:before="240" w:after="240" w:line="240" w:lineRule="auto"/>
              <w:rPr>
                <w:iCs/>
              </w:rPr>
            </w:pPr>
            <w:r w:rsidRPr="000F6CD1">
              <w:rPr>
                <w:iCs/>
              </w:rPr>
              <w:t>Neglect of basic needs i.e., unable to access or prepare food resulting in malnutrition, weight loss or dehydration </w:t>
            </w:r>
          </w:p>
          <w:p w14:paraId="7809DB0D" w14:textId="77777777" w:rsidR="007A743C" w:rsidRPr="000F6CD1" w:rsidRDefault="007A743C" w:rsidP="00DF3F6B">
            <w:pPr>
              <w:numPr>
                <w:ilvl w:val="0"/>
                <w:numId w:val="132"/>
              </w:numPr>
              <w:spacing w:before="240" w:after="240" w:line="240" w:lineRule="auto"/>
              <w:rPr>
                <w:iCs/>
              </w:rPr>
            </w:pPr>
            <w:r w:rsidRPr="000F6CD1">
              <w:rPr>
                <w:iCs/>
              </w:rPr>
              <w:t>Inadequate personal hygiene such as severe neglect of personal care leading to serious hygiene issues, infections or injuries. </w:t>
            </w:r>
          </w:p>
          <w:p w14:paraId="2D2586DF" w14:textId="77777777" w:rsidR="007A743C" w:rsidRPr="000F6CD1" w:rsidRDefault="007A743C" w:rsidP="00DF3F6B">
            <w:pPr>
              <w:numPr>
                <w:ilvl w:val="0"/>
                <w:numId w:val="133"/>
              </w:numPr>
              <w:spacing w:before="240" w:after="240" w:line="240" w:lineRule="auto"/>
              <w:rPr>
                <w:iCs/>
              </w:rPr>
            </w:pPr>
            <w:r w:rsidRPr="000F6CD1">
              <w:rPr>
                <w:iCs/>
              </w:rPr>
              <w:t>Repeated hospital admissions due to frequent falls with sustained injuries. </w:t>
            </w:r>
          </w:p>
          <w:p w14:paraId="13B3EA50" w14:textId="77777777" w:rsidR="007A743C" w:rsidRPr="000F6CD1" w:rsidRDefault="007A743C" w:rsidP="00DF3F6B">
            <w:pPr>
              <w:numPr>
                <w:ilvl w:val="0"/>
                <w:numId w:val="134"/>
              </w:numPr>
              <w:spacing w:before="240" w:after="240" w:line="240" w:lineRule="auto"/>
              <w:rPr>
                <w:iCs/>
              </w:rPr>
            </w:pPr>
            <w:r w:rsidRPr="000F6CD1">
              <w:rPr>
                <w:iCs/>
              </w:rPr>
              <w:t>Failure to administer necessary medications/treatments and/or attend medical appointments. For example, medication mishaps with potential for adverse outcomes. </w:t>
            </w:r>
          </w:p>
          <w:p w14:paraId="7830B59B" w14:textId="0A51C4B9" w:rsidR="007A743C" w:rsidRPr="000F6CD1" w:rsidRDefault="007A743C" w:rsidP="00DF3F6B">
            <w:pPr>
              <w:numPr>
                <w:ilvl w:val="0"/>
                <w:numId w:val="135"/>
              </w:numPr>
              <w:spacing w:before="240" w:after="240" w:line="240" w:lineRule="auto"/>
              <w:rPr>
                <w:iCs/>
              </w:rPr>
            </w:pPr>
            <w:r w:rsidRPr="000F6CD1">
              <w:rPr>
                <w:iCs/>
              </w:rPr>
              <w:lastRenderedPageBreak/>
              <w:t xml:space="preserve">Severe cognitive impairments with </w:t>
            </w:r>
            <w:r w:rsidR="00440DA1" w:rsidRPr="000F6CD1">
              <w:rPr>
                <w:iCs/>
              </w:rPr>
              <w:t xml:space="preserve">behavioural and psychological </w:t>
            </w:r>
            <w:r w:rsidR="004C790D" w:rsidRPr="000F6CD1">
              <w:rPr>
                <w:iCs/>
              </w:rPr>
              <w:t>symptoms</w:t>
            </w:r>
            <w:r w:rsidR="00D91AD9" w:rsidRPr="000F6CD1">
              <w:rPr>
                <w:iCs/>
              </w:rPr>
              <w:t xml:space="preserve"> </w:t>
            </w:r>
            <w:r w:rsidR="0040613F" w:rsidRPr="000F6CD1">
              <w:rPr>
                <w:iCs/>
              </w:rPr>
              <w:t xml:space="preserve">impacting </w:t>
            </w:r>
            <w:r w:rsidRPr="000F6CD1">
              <w:rPr>
                <w:iCs/>
              </w:rPr>
              <w:t xml:space="preserve">client </w:t>
            </w:r>
            <w:r w:rsidR="0040613F" w:rsidRPr="000F6CD1">
              <w:rPr>
                <w:iCs/>
              </w:rPr>
              <w:t>safety</w:t>
            </w:r>
            <w:r w:rsidR="004F648A" w:rsidRPr="000F6CD1">
              <w:rPr>
                <w:iCs/>
              </w:rPr>
              <w:t xml:space="preserve"> </w:t>
            </w:r>
            <w:r w:rsidRPr="000F6CD1">
              <w:rPr>
                <w:iCs/>
              </w:rPr>
              <w:t>(e.g. wandering) </w:t>
            </w:r>
          </w:p>
          <w:p w14:paraId="7FB40480" w14:textId="77777777" w:rsidR="007A743C" w:rsidRPr="000F6CD1" w:rsidRDefault="007A743C" w:rsidP="00DF3F6B">
            <w:pPr>
              <w:numPr>
                <w:ilvl w:val="0"/>
                <w:numId w:val="136"/>
              </w:numPr>
              <w:spacing w:before="240" w:after="240" w:line="240" w:lineRule="auto"/>
              <w:rPr>
                <w:iCs/>
              </w:rPr>
            </w:pPr>
            <w:r w:rsidRPr="000F6CD1">
              <w:rPr>
                <w:iCs/>
              </w:rPr>
              <w:t>Person is unable to safely navigate their home and community due to insufficient aids, equipment and/or home modifications.  </w:t>
            </w:r>
          </w:p>
          <w:p w14:paraId="381D92D1" w14:textId="0D3E9EFA" w:rsidR="007A743C" w:rsidRPr="000F6CD1" w:rsidRDefault="007A743C" w:rsidP="00DF3F6B">
            <w:pPr>
              <w:numPr>
                <w:ilvl w:val="0"/>
                <w:numId w:val="137"/>
              </w:numPr>
              <w:spacing w:before="240" w:after="240" w:line="240" w:lineRule="auto"/>
              <w:rPr>
                <w:iCs/>
              </w:rPr>
            </w:pPr>
            <w:r w:rsidRPr="000F6CD1">
              <w:rPr>
                <w:iCs/>
              </w:rPr>
              <w:t xml:space="preserve">Recent changes in the </w:t>
            </w:r>
            <w:r w:rsidR="00516348" w:rsidRPr="000F6CD1">
              <w:rPr>
                <w:iCs/>
              </w:rPr>
              <w:t>older pe</w:t>
            </w:r>
            <w:r w:rsidR="005C42F6" w:rsidRPr="000F6CD1">
              <w:rPr>
                <w:iCs/>
              </w:rPr>
              <w:t>rson’s</w:t>
            </w:r>
            <w:r w:rsidRPr="000F6CD1">
              <w:rPr>
                <w:iCs/>
              </w:rPr>
              <w:t xml:space="preserve"> family, cultural, housing or social situation resulting in trauma, or feeling unsafe (including culturally unsafe) </w:t>
            </w:r>
          </w:p>
          <w:p w14:paraId="6196408E" w14:textId="77777777" w:rsidR="007A743C" w:rsidRPr="000F6CD1" w:rsidRDefault="007A743C" w:rsidP="00A677C9">
            <w:pPr>
              <w:spacing w:before="240" w:after="240" w:line="240" w:lineRule="auto"/>
              <w:rPr>
                <w:iCs/>
              </w:rPr>
            </w:pPr>
            <w:r w:rsidRPr="000F6CD1">
              <w:rPr>
                <w:iCs/>
              </w:rPr>
              <w:t> </w:t>
            </w:r>
          </w:p>
          <w:p w14:paraId="5C375F40" w14:textId="77777777" w:rsidR="007A743C" w:rsidRPr="000F6CD1" w:rsidRDefault="007A743C" w:rsidP="00A677C9">
            <w:pPr>
              <w:spacing w:before="240" w:after="240" w:line="240" w:lineRule="auto"/>
              <w:rPr>
                <w:iCs/>
              </w:rPr>
            </w:pPr>
            <w:r w:rsidRPr="000F6CD1">
              <w:rPr>
                <w:iCs/>
              </w:rPr>
              <w:t> </w:t>
            </w:r>
          </w:p>
        </w:tc>
        <w:tc>
          <w:tcPr>
            <w:tcW w:w="864" w:type="pct"/>
            <w:hideMark/>
          </w:tcPr>
          <w:p w14:paraId="534E0805" w14:textId="77777777" w:rsidR="007A743C" w:rsidRPr="000F6CD1" w:rsidRDefault="007A743C" w:rsidP="00A677C9">
            <w:pPr>
              <w:spacing w:before="240" w:after="240" w:line="240" w:lineRule="auto"/>
              <w:rPr>
                <w:iCs/>
              </w:rPr>
            </w:pPr>
            <w:r w:rsidRPr="000F6CD1">
              <w:rPr>
                <w:iCs/>
              </w:rPr>
              <w:lastRenderedPageBreak/>
              <w:t>There is an immediate risk of the older person entering Residential Care due to:  </w:t>
            </w:r>
          </w:p>
          <w:p w14:paraId="739685A0" w14:textId="77777777" w:rsidR="007A743C" w:rsidRPr="000F6CD1" w:rsidRDefault="007A743C" w:rsidP="00DF3F6B">
            <w:pPr>
              <w:numPr>
                <w:ilvl w:val="0"/>
                <w:numId w:val="138"/>
              </w:numPr>
              <w:spacing w:before="240" w:after="240" w:line="240" w:lineRule="auto"/>
              <w:rPr>
                <w:iCs/>
              </w:rPr>
            </w:pPr>
            <w:r w:rsidRPr="000F6CD1">
              <w:rPr>
                <w:iCs/>
              </w:rPr>
              <w:t>carer in crisis and/or inability of carer to offer required support; or  </w:t>
            </w:r>
          </w:p>
          <w:p w14:paraId="709134D9" w14:textId="170750B2" w:rsidR="007A743C" w:rsidRPr="000F6CD1" w:rsidRDefault="007A743C" w:rsidP="00DF3F6B">
            <w:pPr>
              <w:numPr>
                <w:ilvl w:val="0"/>
                <w:numId w:val="139"/>
              </w:numPr>
              <w:spacing w:before="240" w:after="240" w:line="240" w:lineRule="auto"/>
              <w:rPr>
                <w:iCs/>
              </w:rPr>
            </w:pPr>
            <w:r w:rsidRPr="000F6CD1">
              <w:rPr>
                <w:iCs/>
              </w:rPr>
              <w:t>Lack of access to services to meet the older persons’ needs and fairly mitigate immediacy of risk to personal safety </w:t>
            </w:r>
          </w:p>
          <w:p w14:paraId="0DA54E10" w14:textId="77777777" w:rsidR="007A743C" w:rsidRPr="000F6CD1" w:rsidRDefault="007A743C" w:rsidP="00DF3F6B">
            <w:pPr>
              <w:pStyle w:val="ListParagraph"/>
              <w:numPr>
                <w:ilvl w:val="0"/>
                <w:numId w:val="139"/>
              </w:numPr>
              <w:spacing w:before="240" w:after="240" w:line="240" w:lineRule="auto"/>
              <w:rPr>
                <w:iCs/>
              </w:rPr>
            </w:pPr>
            <w:r w:rsidRPr="000F6CD1">
              <w:rPr>
                <w:iCs/>
              </w:rPr>
              <w:t xml:space="preserve">If the older person had access to these services (as </w:t>
            </w:r>
            <w:r w:rsidRPr="000F6CD1">
              <w:rPr>
                <w:iCs/>
              </w:rPr>
              <w:lastRenderedPageBreak/>
              <w:t>soon as possible), they could be managed at home. </w:t>
            </w:r>
          </w:p>
        </w:tc>
        <w:tc>
          <w:tcPr>
            <w:tcW w:w="894" w:type="pct"/>
          </w:tcPr>
          <w:p w14:paraId="4AECE4E6" w14:textId="77777777" w:rsidR="0098047A" w:rsidRPr="000F6CD1" w:rsidRDefault="006A75E0" w:rsidP="003D4876">
            <w:pPr>
              <w:spacing w:before="240" w:after="240" w:line="240" w:lineRule="auto"/>
              <w:rPr>
                <w:iCs/>
              </w:rPr>
            </w:pPr>
            <w:r w:rsidRPr="000F6CD1">
              <w:rPr>
                <w:iCs/>
              </w:rPr>
              <w:lastRenderedPageBreak/>
              <w:t>The older person cannot be safely discharged from hospital without significant risk, where:</w:t>
            </w:r>
          </w:p>
          <w:p w14:paraId="55323B8D" w14:textId="5741D882" w:rsidR="00635242" w:rsidRPr="000F6CD1" w:rsidRDefault="00CF738B" w:rsidP="003D4876">
            <w:pPr>
              <w:numPr>
                <w:ilvl w:val="0"/>
                <w:numId w:val="138"/>
              </w:numPr>
              <w:spacing w:before="240" w:after="240" w:line="240" w:lineRule="auto"/>
              <w:rPr>
                <w:iCs/>
              </w:rPr>
            </w:pPr>
            <w:r w:rsidRPr="000F6CD1">
              <w:t>A</w:t>
            </w:r>
            <w:r w:rsidR="00826108" w:rsidRPr="000F6CD1">
              <w:t xml:space="preserve"> l</w:t>
            </w:r>
            <w:r w:rsidR="009F3532" w:rsidRPr="000F6CD1">
              <w:t>ack of access to services in the home would create significant risk of re-admission</w:t>
            </w:r>
            <w:r w:rsidR="005E7313" w:rsidRPr="000F6CD1">
              <w:t xml:space="preserve"> to hospital</w:t>
            </w:r>
            <w:r w:rsidR="009F3532" w:rsidRPr="000F6CD1">
              <w:t xml:space="preserve">; and </w:t>
            </w:r>
          </w:p>
          <w:p w14:paraId="19342DE5" w14:textId="67177AFA" w:rsidR="007409ED" w:rsidRPr="000F6CD1" w:rsidRDefault="001B47E6" w:rsidP="003D4876">
            <w:pPr>
              <w:numPr>
                <w:ilvl w:val="0"/>
                <w:numId w:val="138"/>
              </w:numPr>
              <w:spacing w:before="240" w:after="240" w:line="240" w:lineRule="auto"/>
              <w:rPr>
                <w:iCs/>
              </w:rPr>
            </w:pPr>
            <w:r w:rsidRPr="000F6CD1">
              <w:t xml:space="preserve">If the older person had access to these services (as soon as possible following hospital discharge), </w:t>
            </w:r>
            <w:r w:rsidR="00F165EC" w:rsidRPr="000F6CD1">
              <w:t>their care needs could be managed at home</w:t>
            </w:r>
            <w:r w:rsidR="00957F9F" w:rsidRPr="000F6CD1">
              <w:t>.</w:t>
            </w:r>
          </w:p>
          <w:p w14:paraId="4A13B667" w14:textId="552878E5" w:rsidR="006A75E0" w:rsidRPr="000F6CD1" w:rsidRDefault="00DB24D9" w:rsidP="003D4876">
            <w:pPr>
              <w:spacing w:before="240" w:after="240" w:line="240" w:lineRule="auto"/>
              <w:rPr>
                <w:iCs/>
              </w:rPr>
            </w:pPr>
            <w:r w:rsidRPr="000F6CD1">
              <w:rPr>
                <w:iCs/>
              </w:rPr>
              <w:t xml:space="preserve">Note: As there will still be a wait time for the older </w:t>
            </w:r>
            <w:r w:rsidRPr="000F6CD1">
              <w:rPr>
                <w:iCs/>
              </w:rPr>
              <w:lastRenderedPageBreak/>
              <w:t>person’s Support at Home funding to be</w:t>
            </w:r>
            <w:r w:rsidR="00131894" w:rsidRPr="000F6CD1">
              <w:rPr>
                <w:iCs/>
              </w:rPr>
              <w:t>come</w:t>
            </w:r>
            <w:r w:rsidRPr="000F6CD1">
              <w:rPr>
                <w:iCs/>
              </w:rPr>
              <w:t xml:space="preserve"> </w:t>
            </w:r>
            <w:r w:rsidR="00CC50D8" w:rsidRPr="000F6CD1">
              <w:rPr>
                <w:iCs/>
              </w:rPr>
              <w:t>available</w:t>
            </w:r>
            <w:r w:rsidR="00462DAC" w:rsidRPr="000F6CD1">
              <w:rPr>
                <w:iCs/>
              </w:rPr>
              <w:t xml:space="preserve">, a </w:t>
            </w:r>
            <w:r w:rsidR="00DF0350" w:rsidRPr="000F6CD1">
              <w:rPr>
                <w:iCs/>
              </w:rPr>
              <w:t>comprehensive</w:t>
            </w:r>
            <w:r w:rsidR="00462DAC" w:rsidRPr="000F6CD1">
              <w:rPr>
                <w:iCs/>
              </w:rPr>
              <w:t xml:space="preserve"> assessment should be performed as soon as possible to support continuity of care and to not delay discharge.</w:t>
            </w:r>
          </w:p>
        </w:tc>
        <w:tc>
          <w:tcPr>
            <w:tcW w:w="11" w:type="pct"/>
          </w:tcPr>
          <w:p w14:paraId="703C7D28" w14:textId="418FFF7E" w:rsidR="0098047A" w:rsidRPr="000F6CD1" w:rsidRDefault="0098047A" w:rsidP="003D4876">
            <w:pPr>
              <w:spacing w:before="240" w:after="240" w:line="240" w:lineRule="auto"/>
              <w:rPr>
                <w:iCs/>
              </w:rPr>
            </w:pPr>
          </w:p>
        </w:tc>
        <w:tc>
          <w:tcPr>
            <w:tcW w:w="11" w:type="pct"/>
          </w:tcPr>
          <w:p w14:paraId="5B9A5812" w14:textId="77777777" w:rsidR="0098047A" w:rsidRPr="000F6CD1" w:rsidRDefault="0098047A" w:rsidP="003D4876">
            <w:pPr>
              <w:spacing w:before="240" w:after="240" w:line="240" w:lineRule="auto"/>
              <w:rPr>
                <w:iCs/>
              </w:rPr>
            </w:pPr>
          </w:p>
        </w:tc>
        <w:tc>
          <w:tcPr>
            <w:tcW w:w="11" w:type="pct"/>
          </w:tcPr>
          <w:p w14:paraId="4B31A426" w14:textId="77777777" w:rsidR="0098047A" w:rsidRPr="000F6CD1" w:rsidRDefault="0098047A" w:rsidP="003D4876">
            <w:pPr>
              <w:spacing w:before="240" w:after="240" w:line="240" w:lineRule="auto"/>
              <w:rPr>
                <w:iCs/>
              </w:rPr>
            </w:pPr>
          </w:p>
        </w:tc>
        <w:tc>
          <w:tcPr>
            <w:tcW w:w="11" w:type="pct"/>
          </w:tcPr>
          <w:p w14:paraId="4A731813" w14:textId="77777777" w:rsidR="0098047A" w:rsidRPr="000F6CD1" w:rsidRDefault="0098047A" w:rsidP="003D4876">
            <w:pPr>
              <w:spacing w:before="240" w:after="240" w:line="240" w:lineRule="auto"/>
              <w:rPr>
                <w:iCs/>
              </w:rPr>
            </w:pPr>
          </w:p>
        </w:tc>
      </w:tr>
    </w:tbl>
    <w:p w14:paraId="6D82DA75" w14:textId="77777777" w:rsidR="000673FD" w:rsidRPr="000F6CD1" w:rsidRDefault="000673FD" w:rsidP="007A743C">
      <w:pPr>
        <w:pStyle w:val="H4"/>
        <w:sectPr w:rsidR="000673FD" w:rsidRPr="000F6CD1" w:rsidSect="00E6431F">
          <w:pgSz w:w="16838" w:h="11906" w:orient="landscape"/>
          <w:pgMar w:top="1440" w:right="1440" w:bottom="1700" w:left="1440" w:header="708" w:footer="708" w:gutter="0"/>
          <w:cols w:space="708"/>
          <w:docGrid w:linePitch="360"/>
        </w:sectPr>
      </w:pPr>
      <w:bookmarkStart w:id="414" w:name="_Toc198813678"/>
    </w:p>
    <w:p w14:paraId="1DD7F1AC" w14:textId="498D91A8" w:rsidR="007A743C" w:rsidRPr="000F6CD1" w:rsidRDefault="00EB446F" w:rsidP="007A743C">
      <w:pPr>
        <w:pStyle w:val="H4"/>
      </w:pPr>
      <w:r w:rsidRPr="000F6CD1">
        <w:lastRenderedPageBreak/>
        <w:t xml:space="preserve">Concerns, </w:t>
      </w:r>
      <w:r w:rsidR="009D6FF9" w:rsidRPr="000F6CD1">
        <w:t xml:space="preserve">goals and recommendations </w:t>
      </w:r>
    </w:p>
    <w:p w14:paraId="005F216A" w14:textId="1EFE41E8" w:rsidR="007A743C" w:rsidRPr="000F6CD1" w:rsidRDefault="007A743C" w:rsidP="009C4600">
      <w:pPr>
        <w:spacing w:before="240" w:after="240" w:line="240" w:lineRule="auto"/>
        <w:ind w:left="-284"/>
      </w:pPr>
      <w:r w:rsidRPr="000F6CD1">
        <w:t xml:space="preserve">It is important to identify the goals the older person wants to achieve that are associated with the areas of concern that the older person wishes to address. The goals note the older person’s strengths and abilities, the domain the goal(s) relate to, their area of difficulty and level of motivation to achieve the goal. The recommendations represent the agreed strategies and </w:t>
      </w:r>
      <w:r w:rsidR="00AD7A21" w:rsidRPr="000F6CD1">
        <w:t>support</w:t>
      </w:r>
      <w:r w:rsidRPr="000F6CD1">
        <w:t xml:space="preserve"> to achieve goals. It is recommended that goals are added under ‘Client concerns and goals’ on the </w:t>
      </w:r>
      <w:r w:rsidRPr="000F6CD1">
        <w:rPr>
          <w:i/>
        </w:rPr>
        <w:t>Goals &amp; recommendations</w:t>
      </w:r>
      <w:r w:rsidRPr="000F6CD1">
        <w:t xml:space="preserve"> tab before accepting or overriding the </w:t>
      </w:r>
      <w:r w:rsidR="00386B7E">
        <w:t>IAT Outcome</w:t>
      </w:r>
      <w:r w:rsidRPr="000F6CD1">
        <w:t xml:space="preserve">. </w:t>
      </w:r>
    </w:p>
    <w:p w14:paraId="5C918F63" w14:textId="20F9E338" w:rsidR="007A743C" w:rsidRPr="000F6CD1" w:rsidRDefault="674F5884" w:rsidP="009C4600">
      <w:pPr>
        <w:spacing w:before="240" w:after="240" w:line="240" w:lineRule="auto"/>
        <w:ind w:left="-284"/>
        <w:rPr>
          <w:lang w:eastAsia="ko-KR"/>
        </w:rPr>
      </w:pPr>
      <w:r w:rsidRPr="000F6CD1">
        <w:rPr>
          <w:rFonts w:eastAsia="Arial"/>
          <w:szCs w:val="22"/>
        </w:rPr>
        <w:t xml:space="preserve">After recording observations under all relevant domains and categories in the IAT and prior to finalising the </w:t>
      </w:r>
      <w:r w:rsidR="009F6C8F" w:rsidRPr="000F6CD1">
        <w:rPr>
          <w:rFonts w:eastAsia="Arial"/>
          <w:szCs w:val="22"/>
        </w:rPr>
        <w:t>IAT (</w:t>
      </w:r>
      <w:r w:rsidRPr="000F6CD1">
        <w:rPr>
          <w:rFonts w:eastAsia="Arial"/>
          <w:szCs w:val="22"/>
        </w:rPr>
        <w:t>noting that once the IAT is finalised, answers in the IAT become read-only) the assessor supports the older person to identify the goals they would like to achieve to help address their areas of concern.</w:t>
      </w:r>
    </w:p>
    <w:p w14:paraId="5736A56D" w14:textId="19A946D3" w:rsidR="00AD7A21" w:rsidRPr="000F6CD1" w:rsidRDefault="007A743C" w:rsidP="009C4600">
      <w:pPr>
        <w:spacing w:before="240" w:after="240" w:line="240" w:lineRule="auto"/>
        <w:ind w:left="-284"/>
        <w:rPr>
          <w:lang w:eastAsia="ko-KR"/>
        </w:rPr>
      </w:pPr>
      <w:r w:rsidRPr="000F6CD1">
        <w:rPr>
          <w:lang w:eastAsia="ko-KR"/>
        </w:rPr>
        <w:t xml:space="preserve">The goals should reflect the older person’s current strengths, abilities, and areas of difficulty, along with the relevant domain and their level of motivation to achieve each goal. Recommendations must outline the agreed strategies and supports to help achieve these goals. Historical content from previous Support Plans should not be carried over unless it is clearly identified as historical or dated appropriately. Including outdated information can lead to confusion and reduce clarity. All content must focus on the older person’s present needs and circumstances. </w:t>
      </w:r>
    </w:p>
    <w:p w14:paraId="6675345E" w14:textId="1C8E77C3" w:rsidR="007A743C" w:rsidRPr="000F6CD1" w:rsidRDefault="007A743C" w:rsidP="003D374A">
      <w:pPr>
        <w:pStyle w:val="Sub-headingnon-contentpage"/>
      </w:pPr>
      <w:r w:rsidRPr="000F6CD1">
        <w:t xml:space="preserve">Assessors must: </w:t>
      </w:r>
    </w:p>
    <w:p w14:paraId="0153D1FD" w14:textId="277309DC" w:rsidR="000616E6" w:rsidRPr="000F6CD1" w:rsidRDefault="001D3AFF" w:rsidP="00C529FD">
      <w:pPr>
        <w:pStyle w:val="ListParagraph"/>
        <w:numPr>
          <w:ilvl w:val="0"/>
          <w:numId w:val="589"/>
        </w:numPr>
        <w:spacing w:before="240" w:after="240" w:line="240" w:lineRule="auto"/>
        <w:rPr>
          <w:rFonts w:eastAsia="MS PGothic"/>
        </w:rPr>
      </w:pPr>
      <w:r w:rsidRPr="000F6CD1">
        <w:rPr>
          <w:rFonts w:eastAsia="MS PGothic"/>
        </w:rPr>
        <w:t xml:space="preserve">Draft and include at least one Concern and Goal linked to any recommended services. If no services are recommended or no change to services is required, a Concern and Goal does not need to be included. </w:t>
      </w:r>
    </w:p>
    <w:p w14:paraId="3966D7F6" w14:textId="76A6C852" w:rsidR="007A743C" w:rsidRPr="000F6CD1" w:rsidRDefault="007A743C" w:rsidP="00C529FD">
      <w:pPr>
        <w:pStyle w:val="ListParagraph"/>
        <w:numPr>
          <w:ilvl w:val="0"/>
          <w:numId w:val="589"/>
        </w:numPr>
        <w:spacing w:before="240" w:after="240" w:line="240" w:lineRule="auto"/>
        <w:rPr>
          <w:rFonts w:eastAsia="MS PGothic"/>
        </w:rPr>
      </w:pPr>
      <w:r w:rsidRPr="000F6CD1">
        <w:rPr>
          <w:lang w:eastAsia="ko-KR"/>
        </w:rPr>
        <w:t xml:space="preserve">Draft Concerns and Goals that are clear, actionable, realistic and written from the older person’s perspective (e.g., I find showering to be painful (concern). I would </w:t>
      </w:r>
      <w:r w:rsidRPr="000F6CD1">
        <w:rPr>
          <w:rFonts w:eastAsia="MS PGothic"/>
        </w:rPr>
        <w:t>like to learn ways to have a shower without pain and reduce my pain rating from moderate (6/10) to mild to (3/10) (goal)).</w:t>
      </w:r>
    </w:p>
    <w:p w14:paraId="1F3485A0" w14:textId="703CC75D" w:rsidR="00336583" w:rsidRPr="000F6CD1" w:rsidRDefault="00BE6E33" w:rsidP="00C529FD">
      <w:pPr>
        <w:pStyle w:val="ListParagraph"/>
        <w:numPr>
          <w:ilvl w:val="0"/>
          <w:numId w:val="589"/>
        </w:numPr>
        <w:spacing w:before="240" w:after="240" w:line="240" w:lineRule="auto"/>
        <w:rPr>
          <w:rFonts w:eastAsia="MS PGothic"/>
        </w:rPr>
      </w:pPr>
      <w:r w:rsidRPr="000F6CD1">
        <w:rPr>
          <w:rFonts w:eastAsia="MS PGothic"/>
        </w:rPr>
        <w:t>The older person’s Concerns, Goals and recommendations will become clear as the assessor conducts the assessment and records their observations within the IAT. The assessor must ensure that the older person’s Concerns and Goals reflect their needs as detailed in the IAT (e.g., Physical and Medical domains of the IAT provide details of the Mr Arnolds functional limitations with showering and the pain he is experiencing)</w:t>
      </w:r>
      <w:r w:rsidR="003015FA" w:rsidRPr="000F6CD1">
        <w:rPr>
          <w:rFonts w:eastAsia="MS PGothic"/>
        </w:rPr>
        <w:t xml:space="preserve">. </w:t>
      </w:r>
    </w:p>
    <w:p w14:paraId="4169B3B9" w14:textId="6ED489EE" w:rsidR="007A743C" w:rsidRPr="000F6CD1" w:rsidRDefault="007A743C" w:rsidP="00C529FD">
      <w:pPr>
        <w:pStyle w:val="ListParagraph"/>
        <w:numPr>
          <w:ilvl w:val="0"/>
          <w:numId w:val="589"/>
        </w:numPr>
        <w:spacing w:before="240" w:after="240" w:line="240" w:lineRule="auto"/>
        <w:rPr>
          <w:rFonts w:eastAsia="MS PGothic"/>
        </w:rPr>
      </w:pPr>
      <w:r w:rsidRPr="000F6CD1">
        <w:rPr>
          <w:rFonts w:eastAsia="MS PGothic"/>
        </w:rPr>
        <w:t>Consider whether the older person will benefit from a short-term reablement intervention to maximise their independence, choice and quality of life, and the older person’s capability, motivation, and strengths to contribute to their goals. Reablement can be provided by the assessor or by CHSP providers, with assessor review to determine when the reablement period should be finalised and what ongoing support (if any) may be required for the older person.</w:t>
      </w:r>
    </w:p>
    <w:p w14:paraId="0F20A24B" w14:textId="28E39AF5" w:rsidR="007A743C" w:rsidRPr="000F6CD1" w:rsidRDefault="007A743C" w:rsidP="00C529FD">
      <w:pPr>
        <w:pStyle w:val="ListParagraph"/>
        <w:numPr>
          <w:ilvl w:val="0"/>
          <w:numId w:val="589"/>
        </w:numPr>
        <w:spacing w:before="240" w:after="240" w:line="240" w:lineRule="auto"/>
        <w:rPr>
          <w:lang w:eastAsia="ko-KR"/>
        </w:rPr>
      </w:pPr>
      <w:r w:rsidRPr="000F6CD1">
        <w:rPr>
          <w:rFonts w:eastAsia="MS PGothic"/>
        </w:rPr>
        <w:t>Consider whether the goals identified suggest suitability for Restorative Care Pathway</w:t>
      </w:r>
      <w:r w:rsidR="00D452AB" w:rsidRPr="000F6CD1">
        <w:rPr>
          <w:lang w:eastAsia="ko-KR"/>
        </w:rPr>
        <w:t xml:space="preserve"> (RCP)</w:t>
      </w:r>
      <w:r w:rsidRPr="000F6CD1" w:rsidDel="00D452AB">
        <w:rPr>
          <w:lang w:eastAsia="ko-KR"/>
        </w:rPr>
        <w:t xml:space="preserve"> </w:t>
      </w:r>
      <w:r w:rsidR="00414BF3" w:rsidRPr="000F6CD1">
        <w:rPr>
          <w:lang w:eastAsia="ko-KR"/>
        </w:rPr>
        <w:t>such as improving</w:t>
      </w:r>
      <w:r w:rsidRPr="000F6CD1">
        <w:rPr>
          <w:lang w:eastAsia="ko-KR"/>
        </w:rPr>
        <w:t xml:space="preserve"> function, learning, reablement, or other goals which support delaying the need for higher level or ongoing services. This consideration should include whether a person has the motivation and capacity to actively participate in </w:t>
      </w:r>
      <w:r w:rsidR="00F4017C" w:rsidRPr="000F6CD1">
        <w:rPr>
          <w:lang w:eastAsia="ko-KR"/>
        </w:rPr>
        <w:t xml:space="preserve">RCP </w:t>
      </w:r>
      <w:r w:rsidRPr="000F6CD1">
        <w:rPr>
          <w:lang w:eastAsia="ko-KR"/>
        </w:rPr>
        <w:t>including attending frequent allied health interventions (over more passive interventions). The need for a multi-disciplinary allied health and/or nursing approach to care must also be required before recommending R</w:t>
      </w:r>
      <w:r w:rsidR="00D452AB" w:rsidRPr="000F6CD1">
        <w:rPr>
          <w:lang w:eastAsia="ko-KR"/>
        </w:rPr>
        <w:t>CP</w:t>
      </w:r>
      <w:r w:rsidRPr="000F6CD1">
        <w:rPr>
          <w:lang w:eastAsia="ko-KR"/>
        </w:rPr>
        <w:t>. Consideration of long-term needs should also be given before approving R</w:t>
      </w:r>
      <w:r w:rsidR="00D452AB" w:rsidRPr="000F6CD1">
        <w:rPr>
          <w:lang w:eastAsia="ko-KR"/>
        </w:rPr>
        <w:t>CP</w:t>
      </w:r>
      <w:r w:rsidRPr="000F6CD1">
        <w:rPr>
          <w:lang w:eastAsia="ko-KR"/>
        </w:rPr>
        <w:t xml:space="preserve"> as it will impact their position on the Support at Home prioritisation system. </w:t>
      </w:r>
    </w:p>
    <w:p w14:paraId="71FEC1CD" w14:textId="14991EB0" w:rsidR="007A743C" w:rsidRPr="000F6CD1" w:rsidRDefault="002536C9" w:rsidP="00C529FD">
      <w:pPr>
        <w:pStyle w:val="ListParagraph"/>
        <w:numPr>
          <w:ilvl w:val="0"/>
          <w:numId w:val="589"/>
        </w:numPr>
        <w:spacing w:before="240" w:after="240" w:line="240" w:lineRule="auto"/>
        <w:rPr>
          <w:lang w:eastAsia="ko-KR"/>
        </w:rPr>
      </w:pPr>
      <w:r w:rsidRPr="00582739">
        <w:rPr>
          <w:lang w:eastAsia="ko-KR"/>
        </w:rPr>
        <w:t>Consider the overall volume of RCP recommendations being made and any guidance or operational advice regarding system pressures or delays in accessing RCP. If timely access to RCP may be uncertain, assessors may wish to discuss alternative supports with the older person</w:t>
      </w:r>
      <w:r w:rsidR="007A743C" w:rsidRPr="000F6CD1">
        <w:rPr>
          <w:lang w:eastAsia="ko-KR"/>
        </w:rPr>
        <w:t xml:space="preserve">. </w:t>
      </w:r>
    </w:p>
    <w:p w14:paraId="555DDC45" w14:textId="0F7BB4C6" w:rsidR="007A743C" w:rsidRPr="000F6CD1" w:rsidRDefault="007A743C" w:rsidP="00C529FD">
      <w:pPr>
        <w:pStyle w:val="ListParagraph"/>
        <w:numPr>
          <w:ilvl w:val="0"/>
          <w:numId w:val="589"/>
        </w:numPr>
        <w:spacing w:before="240" w:after="240" w:line="240" w:lineRule="auto"/>
        <w:rPr>
          <w:lang w:eastAsia="ko-KR"/>
        </w:rPr>
      </w:pPr>
      <w:r w:rsidRPr="000F6CD1">
        <w:rPr>
          <w:lang w:eastAsia="ko-KR"/>
        </w:rPr>
        <w:lastRenderedPageBreak/>
        <w:t>Consider, throughout the assessment, whether the older person will benefit from assistive technology and home modifications funding to support functional needs and safety at home in areas such as:</w:t>
      </w:r>
    </w:p>
    <w:p w14:paraId="0CD81438" w14:textId="42C5C1A2" w:rsidR="007A743C" w:rsidRPr="000F6CD1" w:rsidRDefault="007A743C" w:rsidP="00D8398E">
      <w:pPr>
        <w:numPr>
          <w:ilvl w:val="1"/>
          <w:numId w:val="87"/>
        </w:numPr>
        <w:spacing w:after="0" w:line="240" w:lineRule="auto"/>
        <w:rPr>
          <w:lang w:eastAsia="ko-KR"/>
        </w:rPr>
      </w:pPr>
      <w:r w:rsidRPr="000F6CD1">
        <w:rPr>
          <w:lang w:eastAsia="ko-KR"/>
        </w:rPr>
        <w:t>managing body functions</w:t>
      </w:r>
    </w:p>
    <w:p w14:paraId="588C50F4" w14:textId="1104141A" w:rsidR="007A743C" w:rsidRPr="000F6CD1" w:rsidRDefault="007A743C" w:rsidP="00D8398E">
      <w:pPr>
        <w:numPr>
          <w:ilvl w:val="1"/>
          <w:numId w:val="87"/>
        </w:numPr>
        <w:spacing w:after="0" w:line="240" w:lineRule="auto"/>
        <w:rPr>
          <w:lang w:eastAsia="ko-KR"/>
        </w:rPr>
      </w:pPr>
      <w:r w:rsidRPr="000F6CD1">
        <w:rPr>
          <w:lang w:eastAsia="ko-KR"/>
        </w:rPr>
        <w:t>self-care</w:t>
      </w:r>
    </w:p>
    <w:p w14:paraId="1A0A8BB7" w14:textId="19D95E71" w:rsidR="007A743C" w:rsidRPr="000F6CD1" w:rsidRDefault="007A743C" w:rsidP="00D8398E">
      <w:pPr>
        <w:numPr>
          <w:ilvl w:val="1"/>
          <w:numId w:val="87"/>
        </w:numPr>
        <w:spacing w:after="0" w:line="240" w:lineRule="auto"/>
        <w:rPr>
          <w:lang w:eastAsia="ko-KR"/>
        </w:rPr>
      </w:pPr>
      <w:r w:rsidRPr="000F6CD1">
        <w:rPr>
          <w:lang w:eastAsia="ko-KR"/>
        </w:rPr>
        <w:t>mobility</w:t>
      </w:r>
    </w:p>
    <w:p w14:paraId="219EB49D" w14:textId="481F726E" w:rsidR="007A743C" w:rsidRPr="000F6CD1" w:rsidRDefault="007A743C" w:rsidP="00D8398E">
      <w:pPr>
        <w:numPr>
          <w:ilvl w:val="1"/>
          <w:numId w:val="87"/>
        </w:numPr>
        <w:spacing w:after="0" w:line="240" w:lineRule="auto"/>
        <w:rPr>
          <w:lang w:eastAsia="ko-KR"/>
        </w:rPr>
      </w:pPr>
      <w:r w:rsidRPr="000F6CD1">
        <w:rPr>
          <w:lang w:eastAsia="ko-KR"/>
        </w:rPr>
        <w:t>domestic life</w:t>
      </w:r>
    </w:p>
    <w:p w14:paraId="6083A94D" w14:textId="20CC5DF8" w:rsidR="007A743C" w:rsidRPr="000F6CD1" w:rsidRDefault="00821103" w:rsidP="00D8398E">
      <w:pPr>
        <w:numPr>
          <w:ilvl w:val="1"/>
          <w:numId w:val="87"/>
        </w:numPr>
        <w:spacing w:after="0" w:line="240" w:lineRule="auto"/>
        <w:rPr>
          <w:lang w:eastAsia="ko-KR"/>
        </w:rPr>
      </w:pPr>
      <w:r w:rsidRPr="000F6CD1">
        <w:rPr>
          <w:bCs/>
          <w:noProof/>
        </w:rPr>
        <w:drawing>
          <wp:anchor distT="0" distB="0" distL="114300" distR="114300" simplePos="0" relativeHeight="251658287" behindDoc="0" locked="0" layoutInCell="1" allowOverlap="1" wp14:anchorId="175E9682" wp14:editId="561D78FB">
            <wp:simplePos x="0" y="0"/>
            <wp:positionH relativeFrom="margin">
              <wp:posOffset>-77821</wp:posOffset>
            </wp:positionH>
            <wp:positionV relativeFrom="paragraph">
              <wp:posOffset>173018</wp:posOffset>
            </wp:positionV>
            <wp:extent cx="457200" cy="502920"/>
            <wp:effectExtent l="0" t="0" r="0" b="0"/>
            <wp:wrapSquare wrapText="bothSides"/>
            <wp:docPr id="13611924" name="Picture 13611924"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924" name="Picture 13611924"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0F6CD1">
        <w:rPr>
          <w:lang w:eastAsia="ko-KR"/>
        </w:rPr>
        <w:t>communication and information management</w:t>
      </w:r>
    </w:p>
    <w:p w14:paraId="238B48FD" w14:textId="7F8774B9" w:rsidR="007A743C" w:rsidRPr="000F6CD1" w:rsidRDefault="008D524D" w:rsidP="00AD2CE5">
      <w:pPr>
        <w:pStyle w:val="H3"/>
      </w:pPr>
      <w:bookmarkStart w:id="415" w:name="_Toc204329554"/>
      <w:r w:rsidRPr="000F6CD1">
        <w:t xml:space="preserve">Classification </w:t>
      </w:r>
      <w:r w:rsidR="003A27AA" w:rsidRPr="000F6CD1">
        <w:t>a</w:t>
      </w:r>
      <w:r w:rsidRPr="000F6CD1">
        <w:t xml:space="preserve">lgorithm </w:t>
      </w:r>
      <w:bookmarkEnd w:id="415"/>
    </w:p>
    <w:p w14:paraId="50E6937B" w14:textId="429C1E48" w:rsidR="00C5184B" w:rsidRPr="000F6CD1" w:rsidRDefault="00C5184B" w:rsidP="000411E0">
      <w:pPr>
        <w:pStyle w:val="H4"/>
        <w:rPr>
          <w:rFonts w:eastAsiaTheme="majorEastAsia"/>
        </w:rPr>
      </w:pPr>
      <w:r w:rsidRPr="000F6CD1">
        <w:rPr>
          <w:rFonts w:eastAsiaTheme="majorEastAsia"/>
        </w:rPr>
        <w:t xml:space="preserve">About the </w:t>
      </w:r>
      <w:r w:rsidR="004A7A54">
        <w:rPr>
          <w:rFonts w:eastAsiaTheme="majorEastAsia"/>
        </w:rPr>
        <w:t xml:space="preserve">classification algorithm </w:t>
      </w:r>
    </w:p>
    <w:p w14:paraId="567C6B88" w14:textId="77777777" w:rsidR="009C1ED7" w:rsidRDefault="00CB3BCE" w:rsidP="00821103">
      <w:pPr>
        <w:spacing w:after="0" w:line="240" w:lineRule="auto"/>
        <w:textAlignment w:val="baseline"/>
        <w:rPr>
          <w:rFonts w:eastAsia="Arial"/>
          <w:szCs w:val="22"/>
        </w:rPr>
      </w:pPr>
      <w:r w:rsidRPr="000F6CD1">
        <w:rPr>
          <w:rFonts w:eastAsia="Arial"/>
          <w:szCs w:val="22"/>
        </w:rPr>
        <w:t>The</w:t>
      </w:r>
      <w:r w:rsidR="004A7A54">
        <w:rPr>
          <w:rFonts w:eastAsia="Arial"/>
          <w:szCs w:val="22"/>
        </w:rPr>
        <w:t xml:space="preserve"> ongoing home support classification algorithm (clas</w:t>
      </w:r>
      <w:r w:rsidR="006751D5">
        <w:rPr>
          <w:rFonts w:eastAsia="Arial"/>
          <w:szCs w:val="22"/>
        </w:rPr>
        <w:t xml:space="preserve">sification algorithm) is a set of business rules used to assign individuals an ongoing home support classification level. The outcome of the algorithm that </w:t>
      </w:r>
      <w:r w:rsidR="009C1ED7">
        <w:rPr>
          <w:rFonts w:eastAsia="Arial"/>
          <w:szCs w:val="22"/>
        </w:rPr>
        <w:t xml:space="preserve">is known as the IAT Outcome in the assessment workflow. </w:t>
      </w:r>
    </w:p>
    <w:p w14:paraId="7F291712" w14:textId="77777777" w:rsidR="009C1ED7" w:rsidRDefault="009C1ED7" w:rsidP="00821103">
      <w:pPr>
        <w:spacing w:after="0" w:line="240" w:lineRule="auto"/>
        <w:textAlignment w:val="baseline"/>
        <w:rPr>
          <w:rFonts w:eastAsia="Arial"/>
          <w:szCs w:val="22"/>
        </w:rPr>
      </w:pPr>
    </w:p>
    <w:p w14:paraId="60F5545A" w14:textId="41359833" w:rsidR="004859FC" w:rsidRPr="000F6CD1" w:rsidRDefault="009C1ED7" w:rsidP="00821103">
      <w:pPr>
        <w:spacing w:after="0" w:line="240" w:lineRule="auto"/>
        <w:textAlignment w:val="baseline"/>
        <w:rPr>
          <w:rFonts w:eastAsia="Arial"/>
          <w:szCs w:val="22"/>
        </w:rPr>
      </w:pPr>
      <w:r>
        <w:rPr>
          <w:rFonts w:eastAsia="Arial"/>
          <w:szCs w:val="22"/>
        </w:rPr>
        <w:t xml:space="preserve">The classification algorithm was introduced on the commencement of the Support at Home program and </w:t>
      </w:r>
      <w:r>
        <w:rPr>
          <w:rFonts w:eastAsia="Arial"/>
          <w:i/>
          <w:iCs/>
          <w:szCs w:val="22"/>
        </w:rPr>
        <w:t xml:space="preserve">Aged Care Act 2024. </w:t>
      </w:r>
      <w:r>
        <w:rPr>
          <w:rFonts w:eastAsia="Arial"/>
          <w:szCs w:val="22"/>
        </w:rPr>
        <w:t xml:space="preserve">It is designed </w:t>
      </w:r>
      <w:r w:rsidR="00393A2F">
        <w:rPr>
          <w:rFonts w:eastAsia="Arial"/>
          <w:szCs w:val="22"/>
        </w:rPr>
        <w:t xml:space="preserve">to place people with similar clinical care needs in a classification level for ongoing home support, which confers a funding amount. </w:t>
      </w:r>
      <w:r w:rsidR="008A5BDC">
        <w:rPr>
          <w:rFonts w:eastAsia="Arial"/>
          <w:szCs w:val="22"/>
        </w:rPr>
        <w:t xml:space="preserve">This intends to: </w:t>
      </w:r>
    </w:p>
    <w:p w14:paraId="3EB1EA0B" w14:textId="77777777" w:rsidR="004859FC" w:rsidRPr="000F6CD1" w:rsidRDefault="004859FC" w:rsidP="004859FC">
      <w:pPr>
        <w:numPr>
          <w:ilvl w:val="0"/>
          <w:numId w:val="456"/>
        </w:numPr>
        <w:spacing w:before="240" w:after="240" w:line="240" w:lineRule="auto"/>
        <w:rPr>
          <w:rFonts w:eastAsia="Arial"/>
          <w:szCs w:val="22"/>
        </w:rPr>
      </w:pPr>
      <w:r w:rsidRPr="000F6CD1">
        <w:rPr>
          <w:rFonts w:eastAsia="Arial"/>
          <w:b/>
          <w:bCs/>
          <w:szCs w:val="22"/>
        </w:rPr>
        <w:t>Achieve consistency</w:t>
      </w:r>
      <w:r w:rsidRPr="000F6CD1">
        <w:rPr>
          <w:rFonts w:eastAsia="Arial"/>
          <w:szCs w:val="22"/>
        </w:rPr>
        <w:t xml:space="preserve"> – so that decisions are not influenced by individual discretion or subjective judgment. </w:t>
      </w:r>
    </w:p>
    <w:p w14:paraId="4A6C90AC" w14:textId="77777777" w:rsidR="004859FC" w:rsidRPr="000F6CD1" w:rsidRDefault="004859FC" w:rsidP="004859FC">
      <w:pPr>
        <w:numPr>
          <w:ilvl w:val="0"/>
          <w:numId w:val="457"/>
        </w:numPr>
        <w:spacing w:before="240" w:after="240" w:line="240" w:lineRule="auto"/>
        <w:rPr>
          <w:rFonts w:eastAsia="Arial"/>
          <w:szCs w:val="22"/>
        </w:rPr>
      </w:pPr>
      <w:r w:rsidRPr="000F6CD1">
        <w:rPr>
          <w:rFonts w:eastAsia="Arial"/>
          <w:b/>
          <w:bCs/>
          <w:szCs w:val="22"/>
        </w:rPr>
        <w:t>Ensure equity</w:t>
      </w:r>
      <w:r w:rsidRPr="000F6CD1">
        <w:rPr>
          <w:rFonts w:eastAsia="Arial"/>
          <w:szCs w:val="22"/>
        </w:rPr>
        <w:t xml:space="preserve"> – so that everyone is treated fairly. </w:t>
      </w:r>
    </w:p>
    <w:p w14:paraId="41F6E6CF" w14:textId="1229773C" w:rsidR="004859FC" w:rsidRPr="000F6CD1" w:rsidRDefault="004859FC" w:rsidP="004859FC">
      <w:pPr>
        <w:numPr>
          <w:ilvl w:val="0"/>
          <w:numId w:val="458"/>
        </w:numPr>
        <w:spacing w:before="240" w:after="240" w:line="240" w:lineRule="auto"/>
        <w:rPr>
          <w:rFonts w:eastAsia="Arial"/>
        </w:rPr>
      </w:pPr>
      <w:r w:rsidRPr="000F6CD1">
        <w:rPr>
          <w:rFonts w:eastAsia="Arial"/>
          <w:b/>
        </w:rPr>
        <w:t>Build confidence</w:t>
      </w:r>
      <w:r w:rsidRPr="000F6CD1">
        <w:rPr>
          <w:rFonts w:eastAsia="Arial"/>
        </w:rPr>
        <w:t xml:space="preserve"> – so older people and their families can trust that the system is transparent and reliable.</w:t>
      </w:r>
      <w:r w:rsidRPr="000F6CD1">
        <w:t xml:space="preserve"> </w:t>
      </w:r>
    </w:p>
    <w:p w14:paraId="095A649D" w14:textId="125277F6" w:rsidR="00614B83" w:rsidRPr="000F6CD1" w:rsidRDefault="00A870DB" w:rsidP="00614B83">
      <w:pPr>
        <w:spacing w:before="240" w:after="240" w:line="240" w:lineRule="auto"/>
        <w:rPr>
          <w:rFonts w:eastAsia="Arial"/>
          <w:szCs w:val="22"/>
        </w:rPr>
      </w:pPr>
      <w:r w:rsidRPr="000F6CD1">
        <w:rPr>
          <w:rFonts w:eastAsia="Arial"/>
          <w:szCs w:val="22"/>
        </w:rPr>
        <w:t xml:space="preserve">The </w:t>
      </w:r>
      <w:r w:rsidR="001933B7" w:rsidRPr="000F6CD1">
        <w:rPr>
          <w:rFonts w:eastAsia="Arial"/>
          <w:szCs w:val="22"/>
        </w:rPr>
        <w:t>c</w:t>
      </w:r>
      <w:r w:rsidRPr="000F6CD1">
        <w:rPr>
          <w:rFonts w:eastAsia="Arial"/>
          <w:szCs w:val="22"/>
        </w:rPr>
        <w:t xml:space="preserve">lassification </w:t>
      </w:r>
      <w:r w:rsidR="001933B7" w:rsidRPr="000F6CD1">
        <w:rPr>
          <w:rFonts w:eastAsia="Arial"/>
          <w:szCs w:val="22"/>
        </w:rPr>
        <w:t>a</w:t>
      </w:r>
      <w:r w:rsidRPr="000F6CD1">
        <w:rPr>
          <w:rFonts w:eastAsia="Arial"/>
          <w:szCs w:val="22"/>
        </w:rPr>
        <w:t xml:space="preserve">lgorithm was </w:t>
      </w:r>
      <w:r w:rsidR="00614B83" w:rsidRPr="000F6CD1">
        <w:rPr>
          <w:rFonts w:eastAsia="Arial"/>
          <w:szCs w:val="22"/>
        </w:rPr>
        <w:t>carefully developed over time and built on data from over 22,000 assessments conducted in 2023 through the IAT live trial.</w:t>
      </w:r>
      <w:r w:rsidR="00357681" w:rsidRPr="000F6CD1">
        <w:rPr>
          <w:rFonts w:eastAsia="Arial"/>
          <w:szCs w:val="22"/>
        </w:rPr>
        <w:t xml:space="preserve"> </w:t>
      </w:r>
      <w:r w:rsidR="00614B83" w:rsidRPr="000F6CD1">
        <w:rPr>
          <w:rFonts w:eastAsia="Arial"/>
          <w:szCs w:val="22"/>
        </w:rPr>
        <w:t xml:space="preserve">Before </w:t>
      </w:r>
      <w:r w:rsidR="004A0A36" w:rsidRPr="000F6CD1">
        <w:rPr>
          <w:rFonts w:eastAsia="Arial"/>
          <w:szCs w:val="22"/>
        </w:rPr>
        <w:t>it was implemented</w:t>
      </w:r>
      <w:r w:rsidR="001933B7" w:rsidRPr="000F6CD1">
        <w:rPr>
          <w:rFonts w:eastAsia="Arial"/>
          <w:szCs w:val="22"/>
        </w:rPr>
        <w:t>,</w:t>
      </w:r>
      <w:r w:rsidR="00614B83" w:rsidRPr="000F6CD1">
        <w:rPr>
          <w:rFonts w:eastAsia="Arial"/>
          <w:szCs w:val="22"/>
        </w:rPr>
        <w:t xml:space="preserve"> the </w:t>
      </w:r>
      <w:r w:rsidR="00924F77" w:rsidRPr="000F6CD1">
        <w:rPr>
          <w:rFonts w:eastAsia="Arial"/>
          <w:szCs w:val="22"/>
        </w:rPr>
        <w:t>a</w:t>
      </w:r>
      <w:r w:rsidR="00614B83" w:rsidRPr="000F6CD1">
        <w:rPr>
          <w:rFonts w:eastAsia="Arial"/>
          <w:szCs w:val="22"/>
        </w:rPr>
        <w:t xml:space="preserve">lgorithm was refined </w:t>
      </w:r>
      <w:r w:rsidR="007C6531">
        <w:rPr>
          <w:rFonts w:eastAsia="Arial"/>
          <w:szCs w:val="22"/>
        </w:rPr>
        <w:t>using</w:t>
      </w:r>
      <w:r w:rsidR="00614B83" w:rsidRPr="000F6CD1">
        <w:rPr>
          <w:rFonts w:eastAsia="Arial"/>
          <w:szCs w:val="22"/>
        </w:rPr>
        <w:t xml:space="preserve"> more than 200,000 assessments completed in 2024-25. This process was undertaken to ensure it would</w:t>
      </w:r>
      <w:r w:rsidR="00234D09" w:rsidRPr="000F6CD1">
        <w:rPr>
          <w:rFonts w:eastAsia="Arial"/>
          <w:szCs w:val="22"/>
        </w:rPr>
        <w:t xml:space="preserve"> </w:t>
      </w:r>
      <w:r w:rsidR="00614B83" w:rsidRPr="000F6CD1">
        <w:rPr>
          <w:rFonts w:eastAsia="Arial"/>
          <w:szCs w:val="22"/>
        </w:rPr>
        <w:t>achieve the best outcomes for older people</w:t>
      </w:r>
      <w:r w:rsidR="00234D09" w:rsidRPr="000F6CD1">
        <w:rPr>
          <w:rFonts w:eastAsia="Arial"/>
          <w:szCs w:val="22"/>
        </w:rPr>
        <w:t xml:space="preserve">, deliver on the policy intent of the </w:t>
      </w:r>
      <w:r w:rsidR="00614B83" w:rsidRPr="000F6CD1">
        <w:rPr>
          <w:rFonts w:eastAsia="Arial"/>
          <w:szCs w:val="22"/>
        </w:rPr>
        <w:t>Support at Home program</w:t>
      </w:r>
      <w:r w:rsidR="00234D09" w:rsidRPr="000F6CD1">
        <w:rPr>
          <w:rFonts w:eastAsia="Arial"/>
          <w:szCs w:val="22"/>
        </w:rPr>
        <w:t xml:space="preserve"> and </w:t>
      </w:r>
      <w:r w:rsidR="00614B83" w:rsidRPr="000F6CD1">
        <w:rPr>
          <w:rFonts w:eastAsia="Arial"/>
          <w:szCs w:val="22"/>
        </w:rPr>
        <w:t>support the responsible use of taxpayer funds</w:t>
      </w:r>
      <w:r w:rsidR="00B23AB0" w:rsidRPr="000F6CD1">
        <w:rPr>
          <w:rFonts w:eastAsia="Arial"/>
          <w:szCs w:val="22"/>
        </w:rPr>
        <w:t xml:space="preserve">. </w:t>
      </w:r>
    </w:p>
    <w:p w14:paraId="0A7ABF60" w14:textId="1E90CDB2" w:rsidR="00EE25D7" w:rsidRPr="000F6CD1" w:rsidRDefault="00EE25D7" w:rsidP="00821103">
      <w:pPr>
        <w:pStyle w:val="H4"/>
      </w:pPr>
      <w:r w:rsidRPr="000F6CD1">
        <w:t xml:space="preserve">How the </w:t>
      </w:r>
      <w:r w:rsidR="00F43082" w:rsidRPr="000F6CD1">
        <w:t>c</w:t>
      </w:r>
      <w:r w:rsidRPr="000F6CD1">
        <w:t xml:space="preserve">lassification </w:t>
      </w:r>
      <w:r w:rsidR="00F43082" w:rsidRPr="000F6CD1">
        <w:t>a</w:t>
      </w:r>
      <w:r w:rsidRPr="000F6CD1">
        <w:t>lgorithm works</w:t>
      </w:r>
    </w:p>
    <w:p w14:paraId="004978DE" w14:textId="050BBF15" w:rsidR="00A870DB" w:rsidRPr="000F6CD1" w:rsidRDefault="00234D09" w:rsidP="009C540C">
      <w:pPr>
        <w:spacing w:before="240" w:after="240" w:line="240" w:lineRule="auto"/>
        <w:rPr>
          <w:rFonts w:eastAsia="Arial"/>
        </w:rPr>
      </w:pPr>
      <w:r w:rsidRPr="000F6CD1">
        <w:rPr>
          <w:rFonts w:eastAsia="Arial"/>
          <w:szCs w:val="22"/>
        </w:rPr>
        <w:t xml:space="preserve">The </w:t>
      </w:r>
      <w:r w:rsidR="00F43082" w:rsidRPr="000F6CD1">
        <w:rPr>
          <w:rFonts w:eastAsia="Arial"/>
          <w:szCs w:val="22"/>
        </w:rPr>
        <w:t>c</w:t>
      </w:r>
      <w:r w:rsidRPr="000F6CD1">
        <w:rPr>
          <w:rFonts w:eastAsia="Arial"/>
          <w:szCs w:val="22"/>
        </w:rPr>
        <w:t xml:space="preserve">lassification </w:t>
      </w:r>
      <w:r w:rsidR="00F43082" w:rsidRPr="000F6CD1">
        <w:rPr>
          <w:rFonts w:eastAsia="Arial"/>
          <w:szCs w:val="22"/>
        </w:rPr>
        <w:t>a</w:t>
      </w:r>
      <w:r w:rsidRPr="000F6CD1">
        <w:rPr>
          <w:rFonts w:eastAsia="Arial"/>
          <w:szCs w:val="22"/>
        </w:rPr>
        <w:t xml:space="preserve">lgorithm </w:t>
      </w:r>
      <w:r w:rsidR="00A870DB" w:rsidRPr="000F6CD1">
        <w:rPr>
          <w:rFonts w:eastAsia="Arial"/>
          <w:szCs w:val="22"/>
        </w:rPr>
        <w:t xml:space="preserve">uses data that an assessor enters into the IAT during </w:t>
      </w:r>
      <w:r w:rsidR="00DF4D4D" w:rsidRPr="000F6CD1">
        <w:rPr>
          <w:rFonts w:eastAsia="Arial"/>
          <w:szCs w:val="22"/>
        </w:rPr>
        <w:t>an</w:t>
      </w:r>
      <w:r w:rsidR="00A870DB" w:rsidRPr="000F6CD1">
        <w:rPr>
          <w:rFonts w:eastAsia="Arial"/>
          <w:szCs w:val="22"/>
        </w:rPr>
        <w:t xml:space="preserve"> assessment</w:t>
      </w:r>
      <w:r w:rsidR="00D51773" w:rsidRPr="000F6CD1">
        <w:rPr>
          <w:rFonts w:eastAsia="Arial"/>
          <w:szCs w:val="22"/>
        </w:rPr>
        <w:t xml:space="preserve"> across a number of domains</w:t>
      </w:r>
      <w:r w:rsidR="00C5184B" w:rsidRPr="000F6CD1">
        <w:rPr>
          <w:rFonts w:eastAsia="Arial"/>
          <w:szCs w:val="22"/>
        </w:rPr>
        <w:t xml:space="preserve"> in the tool</w:t>
      </w:r>
      <w:r w:rsidR="00B169E2" w:rsidRPr="000F6CD1">
        <w:rPr>
          <w:rFonts w:eastAsia="Arial"/>
          <w:szCs w:val="22"/>
        </w:rPr>
        <w:t xml:space="preserve">. </w:t>
      </w:r>
      <w:r w:rsidR="007C6531">
        <w:rPr>
          <w:rFonts w:eastAsia="Arial"/>
          <w:szCs w:val="22"/>
        </w:rPr>
        <w:t>The algorithm</w:t>
      </w:r>
      <w:r w:rsidR="00B169E2" w:rsidRPr="000F6CD1">
        <w:rPr>
          <w:rFonts w:eastAsia="Arial"/>
          <w:szCs w:val="22"/>
        </w:rPr>
        <w:t xml:space="preserve"> </w:t>
      </w:r>
      <w:r w:rsidR="00D51773" w:rsidRPr="000F6CD1">
        <w:rPr>
          <w:rFonts w:eastAsia="Arial"/>
          <w:szCs w:val="22"/>
        </w:rPr>
        <w:t>uses this data</w:t>
      </w:r>
      <w:r w:rsidR="00A870DB" w:rsidRPr="000F6CD1">
        <w:rPr>
          <w:rFonts w:eastAsia="Arial"/>
          <w:szCs w:val="22"/>
        </w:rPr>
        <w:t xml:space="preserve"> to evaluate an older person’s clinical characteristics</w:t>
      </w:r>
      <w:r w:rsidR="00D51773" w:rsidRPr="000F6CD1">
        <w:rPr>
          <w:rFonts w:eastAsia="Arial"/>
          <w:szCs w:val="22"/>
        </w:rPr>
        <w:t xml:space="preserve"> and assigns a classification level (or funding level) </w:t>
      </w:r>
      <w:r w:rsidR="00A870DB" w:rsidRPr="000F6CD1">
        <w:rPr>
          <w:rFonts w:eastAsia="Arial"/>
          <w:szCs w:val="22"/>
        </w:rPr>
        <w:t xml:space="preserve">for ongoing home support (i.e., </w:t>
      </w:r>
      <w:r w:rsidR="00DF6567" w:rsidRPr="000F6CD1">
        <w:rPr>
          <w:rFonts w:eastAsia="Arial"/>
          <w:szCs w:val="22"/>
        </w:rPr>
        <w:t>CHSP</w:t>
      </w:r>
      <w:r w:rsidR="00A870DB" w:rsidRPr="000F6CD1">
        <w:rPr>
          <w:rFonts w:eastAsia="Arial"/>
          <w:szCs w:val="22"/>
        </w:rPr>
        <w:t xml:space="preserve"> or Support at Home). </w:t>
      </w:r>
      <w:r w:rsidR="00D51773" w:rsidRPr="000F6CD1">
        <w:rPr>
          <w:rFonts w:eastAsia="Arial"/>
          <w:szCs w:val="22"/>
        </w:rPr>
        <w:t xml:space="preserve">The </w:t>
      </w:r>
      <w:r w:rsidR="00F43082" w:rsidRPr="000F6CD1">
        <w:rPr>
          <w:rFonts w:eastAsia="Arial"/>
          <w:szCs w:val="22"/>
        </w:rPr>
        <w:t>c</w:t>
      </w:r>
      <w:r w:rsidR="00D51773" w:rsidRPr="000F6CD1">
        <w:rPr>
          <w:rFonts w:eastAsia="Arial"/>
          <w:szCs w:val="22"/>
        </w:rPr>
        <w:t xml:space="preserve">lassification </w:t>
      </w:r>
      <w:r w:rsidR="00F43082" w:rsidRPr="000F6CD1">
        <w:rPr>
          <w:rFonts w:eastAsia="Arial"/>
          <w:szCs w:val="22"/>
        </w:rPr>
        <w:t>a</w:t>
      </w:r>
      <w:r w:rsidR="00D51773" w:rsidRPr="000F6CD1">
        <w:rPr>
          <w:rFonts w:eastAsia="Arial"/>
          <w:szCs w:val="22"/>
        </w:rPr>
        <w:t>lgorithm</w:t>
      </w:r>
      <w:r w:rsidR="00A870DB" w:rsidRPr="000F6CD1">
        <w:rPr>
          <w:rFonts w:eastAsia="Arial"/>
          <w:szCs w:val="22"/>
        </w:rPr>
        <w:t xml:space="preserve"> </w:t>
      </w:r>
      <w:r w:rsidR="00AF3D5B">
        <w:rPr>
          <w:rFonts w:eastAsia="Arial"/>
          <w:szCs w:val="22"/>
        </w:rPr>
        <w:t xml:space="preserve">ingests the information </w:t>
      </w:r>
      <w:r w:rsidR="0080508C">
        <w:rPr>
          <w:rFonts w:eastAsia="Arial"/>
          <w:szCs w:val="22"/>
        </w:rPr>
        <w:t>entered by the assessor about</w:t>
      </w:r>
      <w:r w:rsidR="00A870DB" w:rsidRPr="000F6CD1">
        <w:rPr>
          <w:rFonts w:eastAsia="Arial"/>
          <w:szCs w:val="22"/>
        </w:rPr>
        <w:t xml:space="preserve"> a</w:t>
      </w:r>
      <w:r w:rsidR="00E63D76" w:rsidRPr="000F6CD1">
        <w:rPr>
          <w:rFonts w:eastAsia="Arial"/>
          <w:szCs w:val="22"/>
        </w:rPr>
        <w:t xml:space="preserve">n older person’s </w:t>
      </w:r>
      <w:r w:rsidR="00AB69E5" w:rsidRPr="000F6CD1">
        <w:rPr>
          <w:rFonts w:eastAsia="Arial"/>
          <w:szCs w:val="22"/>
        </w:rPr>
        <w:t>functional ability, the extent to which their needs are being met, and other compounding factors that introduce additional complexity for an older person compared to others with similar functional ability and needs met.</w:t>
      </w:r>
    </w:p>
    <w:p w14:paraId="7D398A29" w14:textId="535D22F4" w:rsidR="00A870DB" w:rsidRPr="000F6CD1" w:rsidRDefault="002119A1" w:rsidP="00A870DB">
      <w:pPr>
        <w:spacing w:after="0" w:line="240" w:lineRule="auto"/>
        <w:textAlignment w:val="baseline"/>
        <w:rPr>
          <w:rFonts w:eastAsia="Arial"/>
          <w:color w:val="D13438"/>
        </w:rPr>
      </w:pPr>
      <w:r w:rsidRPr="000F6CD1">
        <w:rPr>
          <w:rStyle w:val="eop"/>
          <w:rFonts w:eastAsia="Arial"/>
        </w:rPr>
        <w:t xml:space="preserve">For a given set of clinical characteristics, the </w:t>
      </w:r>
      <w:r w:rsidR="00AB69E5" w:rsidRPr="000F6CD1">
        <w:rPr>
          <w:rStyle w:val="eop"/>
          <w:rFonts w:eastAsia="Arial"/>
        </w:rPr>
        <w:t>c</w:t>
      </w:r>
      <w:r w:rsidRPr="000F6CD1">
        <w:rPr>
          <w:rStyle w:val="eop"/>
          <w:rFonts w:eastAsia="Arial"/>
        </w:rPr>
        <w:t xml:space="preserve">lassification </w:t>
      </w:r>
      <w:r w:rsidR="00AB69E5" w:rsidRPr="000F6CD1">
        <w:rPr>
          <w:rStyle w:val="eop"/>
          <w:rFonts w:eastAsia="Arial"/>
        </w:rPr>
        <w:t>a</w:t>
      </w:r>
      <w:r w:rsidRPr="000F6CD1">
        <w:rPr>
          <w:rStyle w:val="eop"/>
          <w:rFonts w:eastAsia="Arial"/>
        </w:rPr>
        <w:t xml:space="preserve">lgorithm will always generate the same classification level. </w:t>
      </w:r>
      <w:r w:rsidR="00A870DB" w:rsidRPr="000F6CD1">
        <w:rPr>
          <w:rFonts w:eastAsia="Arial"/>
          <w:szCs w:val="22"/>
        </w:rPr>
        <w:t xml:space="preserve">The </w:t>
      </w:r>
      <w:r w:rsidR="00C52884" w:rsidRPr="000F6CD1">
        <w:rPr>
          <w:rFonts w:eastAsia="Arial"/>
          <w:szCs w:val="22"/>
        </w:rPr>
        <w:t>rules</w:t>
      </w:r>
      <w:r w:rsidR="00A17E53" w:rsidRPr="000F6CD1">
        <w:rPr>
          <w:rFonts w:eastAsia="Arial"/>
          <w:szCs w:val="22"/>
        </w:rPr>
        <w:t xml:space="preserve"> or criteria</w:t>
      </w:r>
      <w:r w:rsidR="00A870DB" w:rsidRPr="000F6CD1">
        <w:rPr>
          <w:rFonts w:eastAsia="Arial"/>
          <w:szCs w:val="22"/>
        </w:rPr>
        <w:t xml:space="preserve"> that must be met for each ongoing home support classification level are defined in section 81-10 of the </w:t>
      </w:r>
      <w:r w:rsidR="00A870DB" w:rsidRPr="00BD0F1D">
        <w:rPr>
          <w:rFonts w:eastAsia="Arial"/>
          <w:i/>
          <w:iCs/>
          <w:szCs w:val="22"/>
        </w:rPr>
        <w:t>Aged Care Rules 2025</w:t>
      </w:r>
      <w:r w:rsidR="00A870DB" w:rsidRPr="000F6CD1">
        <w:rPr>
          <w:rFonts w:eastAsia="Arial"/>
          <w:szCs w:val="22"/>
        </w:rPr>
        <w:t xml:space="preserve"> (the Rules)</w:t>
      </w:r>
      <w:r w:rsidR="002007FC" w:rsidRPr="000F6CD1">
        <w:rPr>
          <w:rFonts w:eastAsia="Arial"/>
          <w:szCs w:val="22"/>
        </w:rPr>
        <w:t>. The Rules are prescriptive</w:t>
      </w:r>
      <w:r w:rsidR="00CC11C6" w:rsidRPr="000F6CD1">
        <w:rPr>
          <w:rFonts w:eastAsia="Arial"/>
          <w:szCs w:val="22"/>
        </w:rPr>
        <w:t xml:space="preserve"> and do not allow for an ongoing </w:t>
      </w:r>
      <w:r w:rsidR="00C52884" w:rsidRPr="000F6CD1">
        <w:rPr>
          <w:rFonts w:eastAsia="Arial"/>
          <w:szCs w:val="22"/>
        </w:rPr>
        <w:t xml:space="preserve">home support classification to be approved that is different to the rules it describes and which the algorithm relies on. </w:t>
      </w:r>
      <w:r w:rsidR="00A17E53" w:rsidRPr="000F6CD1">
        <w:rPr>
          <w:rFonts w:eastAsia="Arial"/>
          <w:szCs w:val="22"/>
        </w:rPr>
        <w:t>T</w:t>
      </w:r>
      <w:r w:rsidR="007A695D" w:rsidRPr="000F6CD1">
        <w:rPr>
          <w:rFonts w:eastAsia="Arial"/>
          <w:szCs w:val="22"/>
        </w:rPr>
        <w:t>herefore</w:t>
      </w:r>
      <w:r w:rsidR="000A07A8" w:rsidRPr="000F6CD1">
        <w:rPr>
          <w:rFonts w:eastAsia="Arial"/>
          <w:szCs w:val="22"/>
        </w:rPr>
        <w:t>,</w:t>
      </w:r>
      <w:r w:rsidR="007A695D" w:rsidRPr="000F6CD1">
        <w:rPr>
          <w:rFonts w:eastAsia="Arial"/>
          <w:szCs w:val="22"/>
        </w:rPr>
        <w:t xml:space="preserve"> overriding the </w:t>
      </w:r>
      <w:r w:rsidR="000A07A8" w:rsidRPr="000F6CD1">
        <w:rPr>
          <w:rFonts w:eastAsia="Arial"/>
          <w:szCs w:val="22"/>
        </w:rPr>
        <w:t>c</w:t>
      </w:r>
      <w:r w:rsidR="007A695D" w:rsidRPr="000F6CD1">
        <w:rPr>
          <w:rFonts w:eastAsia="Arial"/>
          <w:szCs w:val="22"/>
        </w:rPr>
        <w:t xml:space="preserve">lassification </w:t>
      </w:r>
      <w:r w:rsidR="000A07A8" w:rsidRPr="000F6CD1">
        <w:rPr>
          <w:rFonts w:eastAsia="Arial"/>
          <w:szCs w:val="22"/>
        </w:rPr>
        <w:t>a</w:t>
      </w:r>
      <w:r w:rsidR="007A695D" w:rsidRPr="000F6CD1">
        <w:rPr>
          <w:rFonts w:eastAsia="Arial"/>
          <w:szCs w:val="22"/>
        </w:rPr>
        <w:t xml:space="preserve">lgorithm outcome to a different ongoing </w:t>
      </w:r>
      <w:r w:rsidR="007A695D" w:rsidRPr="000F6CD1">
        <w:rPr>
          <w:rFonts w:eastAsia="Arial"/>
          <w:szCs w:val="22"/>
        </w:rPr>
        <w:lastRenderedPageBreak/>
        <w:t>home support classification level (e.g., CHSP to SaH class 1-8</w:t>
      </w:r>
      <w:r w:rsidR="00A73FC5" w:rsidRPr="000F6CD1">
        <w:rPr>
          <w:rFonts w:eastAsia="Arial"/>
          <w:szCs w:val="22"/>
        </w:rPr>
        <w:t>; ineligible for CHSP/SaH to CHSP or SaH class 1-8; SaH class</w:t>
      </w:r>
      <w:r w:rsidR="00E92783" w:rsidRPr="000F6CD1">
        <w:rPr>
          <w:rFonts w:eastAsia="Arial"/>
          <w:szCs w:val="22"/>
        </w:rPr>
        <w:t xml:space="preserve"> 1-8 to a different SaH class 1-8) </w:t>
      </w:r>
      <w:r w:rsidR="00B169EC" w:rsidRPr="000F6CD1">
        <w:rPr>
          <w:rFonts w:eastAsia="Arial"/>
          <w:szCs w:val="22"/>
        </w:rPr>
        <w:t>is</w:t>
      </w:r>
      <w:r w:rsidR="00A17E53" w:rsidRPr="000F6CD1">
        <w:rPr>
          <w:rFonts w:eastAsia="Arial"/>
          <w:szCs w:val="22"/>
        </w:rPr>
        <w:t xml:space="preserve"> unlawful</w:t>
      </w:r>
      <w:r w:rsidR="00A870DB" w:rsidRPr="000F6CD1">
        <w:rPr>
          <w:rFonts w:eastAsia="Arial"/>
          <w:szCs w:val="22"/>
        </w:rPr>
        <w:t xml:space="preserve">. </w:t>
      </w:r>
    </w:p>
    <w:p w14:paraId="3BB6B2C7" w14:textId="21680BE3" w:rsidR="0016278A" w:rsidRPr="000F6CD1" w:rsidRDefault="00FD4927" w:rsidP="0000739C">
      <w:pPr>
        <w:spacing w:before="240" w:after="240" w:line="240" w:lineRule="auto"/>
        <w:rPr>
          <w:rFonts w:eastAsia="Arial"/>
          <w:szCs w:val="22"/>
        </w:rPr>
      </w:pPr>
      <w:r w:rsidRPr="000F6CD1">
        <w:rPr>
          <w:rStyle w:val="eop"/>
          <w:rFonts w:eastAsia="Arial"/>
        </w:rPr>
        <w:t xml:space="preserve">The accuracy of the </w:t>
      </w:r>
      <w:r w:rsidR="00386B7E">
        <w:rPr>
          <w:rStyle w:val="eop"/>
          <w:rFonts w:eastAsia="Arial"/>
        </w:rPr>
        <w:t>IAT Outcome</w:t>
      </w:r>
      <w:r w:rsidRPr="000F6CD1">
        <w:rPr>
          <w:rStyle w:val="eop"/>
          <w:rFonts w:eastAsia="Arial"/>
        </w:rPr>
        <w:t xml:space="preserve"> relies on information that has been entered into the IAT during the assessment. Assessors</w:t>
      </w:r>
      <w:r w:rsidR="001010F5" w:rsidRPr="000F6CD1">
        <w:rPr>
          <w:rStyle w:val="eop"/>
          <w:rFonts w:eastAsia="Arial"/>
        </w:rPr>
        <w:t xml:space="preserve"> continue</w:t>
      </w:r>
      <w:r w:rsidRPr="000F6CD1">
        <w:rPr>
          <w:rStyle w:val="eop"/>
          <w:rFonts w:eastAsia="Arial"/>
        </w:rPr>
        <w:t xml:space="preserve"> </w:t>
      </w:r>
      <w:r w:rsidR="00DB03E4" w:rsidRPr="000F6CD1">
        <w:rPr>
          <w:rStyle w:val="eop"/>
          <w:rFonts w:eastAsia="Arial"/>
        </w:rPr>
        <w:t>to</w:t>
      </w:r>
      <w:r w:rsidRPr="000F6CD1">
        <w:rPr>
          <w:rStyle w:val="eop"/>
          <w:rFonts w:eastAsia="Arial"/>
        </w:rPr>
        <w:t xml:space="preserve"> play a critical role in achieving high quality assessment outcomes by using their strong communication and interpersonal skills to complete the IAT during the assessment, and their clinical judgement when undertaking comprehensive assessments.</w:t>
      </w:r>
    </w:p>
    <w:p w14:paraId="2AAE6BA1" w14:textId="2ED4972A" w:rsidR="0016278A" w:rsidRPr="000F6CD1" w:rsidRDefault="0016278A" w:rsidP="003B269E">
      <w:pPr>
        <w:pStyle w:val="H4"/>
        <w:rPr>
          <w:rFonts w:eastAsia="Arial"/>
        </w:rPr>
      </w:pPr>
      <w:r w:rsidRPr="000F6CD1">
        <w:rPr>
          <w:rFonts w:eastAsia="Arial"/>
        </w:rPr>
        <w:t xml:space="preserve">Accepting the </w:t>
      </w:r>
      <w:r w:rsidR="00386B7E">
        <w:rPr>
          <w:rFonts w:eastAsia="Arial"/>
        </w:rPr>
        <w:t>IAT Outcome</w:t>
      </w:r>
    </w:p>
    <w:p w14:paraId="77535664" w14:textId="3F57E808" w:rsidR="00073158" w:rsidRPr="000F6CD1" w:rsidRDefault="00073158" w:rsidP="00073158">
      <w:pPr>
        <w:spacing w:after="0" w:line="240" w:lineRule="auto"/>
        <w:textAlignment w:val="baseline"/>
        <w:rPr>
          <w:rFonts w:eastAsia="Arial"/>
          <w:szCs w:val="22"/>
        </w:rPr>
      </w:pPr>
      <w:r w:rsidRPr="000F6CD1">
        <w:rPr>
          <w:rFonts w:eastAsia="Arial"/>
          <w:szCs w:val="22"/>
        </w:rPr>
        <w:t xml:space="preserve">If an assessor </w:t>
      </w:r>
      <w:r w:rsidR="00EE25D7" w:rsidRPr="000F6CD1">
        <w:rPr>
          <w:rFonts w:eastAsia="Arial"/>
          <w:szCs w:val="22"/>
        </w:rPr>
        <w:t xml:space="preserve">intends </w:t>
      </w:r>
      <w:r w:rsidRPr="000F6CD1">
        <w:rPr>
          <w:rFonts w:eastAsia="Arial"/>
          <w:szCs w:val="22"/>
        </w:rPr>
        <w:t xml:space="preserve">to recommend ongoing home support for an older person through Support at Home or CHSP, the </w:t>
      </w:r>
      <w:r w:rsidR="00DF6567" w:rsidRPr="000F6CD1">
        <w:rPr>
          <w:rFonts w:eastAsia="Arial"/>
          <w:szCs w:val="22"/>
        </w:rPr>
        <w:t xml:space="preserve">system generated </w:t>
      </w:r>
      <w:r w:rsidR="00386B7E">
        <w:rPr>
          <w:rFonts w:eastAsia="Arial"/>
          <w:szCs w:val="22"/>
        </w:rPr>
        <w:t>IAT Outcome</w:t>
      </w:r>
      <w:r w:rsidRPr="000F6CD1">
        <w:rPr>
          <w:rFonts w:eastAsia="Arial"/>
          <w:szCs w:val="22"/>
        </w:rPr>
        <w:t xml:space="preserve"> must be accepted by the assessor. For example, where the </w:t>
      </w:r>
      <w:r w:rsidR="00386B7E">
        <w:rPr>
          <w:rFonts w:eastAsia="Arial"/>
          <w:szCs w:val="22"/>
        </w:rPr>
        <w:t>IAT Outcome</w:t>
      </w:r>
      <w:r w:rsidRPr="000F6CD1">
        <w:rPr>
          <w:rFonts w:eastAsia="Arial"/>
          <w:szCs w:val="22"/>
        </w:rPr>
        <w:t xml:space="preserve"> recommends an ongoing SaH </w:t>
      </w:r>
      <w:r w:rsidR="00DF6567" w:rsidRPr="000F6CD1">
        <w:rPr>
          <w:rFonts w:eastAsia="Arial"/>
          <w:szCs w:val="22"/>
        </w:rPr>
        <w:t xml:space="preserve">class </w:t>
      </w:r>
      <w:r w:rsidRPr="000F6CD1">
        <w:rPr>
          <w:rFonts w:eastAsia="Arial"/>
          <w:szCs w:val="22"/>
        </w:rPr>
        <w:t>5</w:t>
      </w:r>
      <w:r w:rsidR="003175DD" w:rsidRPr="000F6CD1">
        <w:rPr>
          <w:rFonts w:eastAsia="Arial"/>
          <w:szCs w:val="22"/>
        </w:rPr>
        <w:t>,</w:t>
      </w:r>
      <w:r w:rsidRPr="000F6CD1">
        <w:rPr>
          <w:rFonts w:eastAsia="Arial"/>
          <w:szCs w:val="22"/>
        </w:rPr>
        <w:t xml:space="preserve"> the assessor will accept this </w:t>
      </w:r>
      <w:r w:rsidR="00386B7E">
        <w:rPr>
          <w:rFonts w:eastAsia="Arial"/>
          <w:szCs w:val="22"/>
        </w:rPr>
        <w:t>IAT Outcome</w:t>
      </w:r>
      <w:r w:rsidR="00DF6567" w:rsidRPr="000F6CD1">
        <w:rPr>
          <w:rFonts w:eastAsia="Arial"/>
          <w:szCs w:val="22"/>
        </w:rPr>
        <w:t xml:space="preserve"> to recommend ongoing SaH class 5</w:t>
      </w:r>
      <w:r w:rsidRPr="000F6CD1">
        <w:rPr>
          <w:rFonts w:eastAsia="Arial"/>
          <w:szCs w:val="22"/>
        </w:rPr>
        <w:t>.</w:t>
      </w:r>
    </w:p>
    <w:p w14:paraId="53262699" w14:textId="77777777" w:rsidR="00073158" w:rsidRPr="000F6CD1" w:rsidRDefault="00073158" w:rsidP="00073158">
      <w:pPr>
        <w:spacing w:after="0" w:line="240" w:lineRule="auto"/>
        <w:textAlignment w:val="baseline"/>
        <w:rPr>
          <w:rFonts w:eastAsia="Arial"/>
          <w:szCs w:val="22"/>
        </w:rPr>
      </w:pPr>
    </w:p>
    <w:p w14:paraId="74638C66" w14:textId="41419F13" w:rsidR="001A05A9" w:rsidRDefault="00F350AC" w:rsidP="00806A21">
      <w:pPr>
        <w:pStyle w:val="Sub-headings"/>
      </w:pPr>
      <w:r w:rsidRPr="00CB47DF">
        <w:t>Note:</w:t>
      </w:r>
      <w:r>
        <w:t xml:space="preserve"> </w:t>
      </w:r>
      <w:r w:rsidR="00E77C90">
        <w:t>U</w:t>
      </w:r>
      <w:r>
        <w:t xml:space="preserve">nder the </w:t>
      </w:r>
      <w:r>
        <w:rPr>
          <w:i/>
          <w:iCs/>
        </w:rPr>
        <w:t xml:space="preserve">Aged Care Rules 2025, </w:t>
      </w:r>
      <w:r>
        <w:t xml:space="preserve">if the individual is a Disability Support for Older Australians (DSOA) Program client </w:t>
      </w:r>
      <w:r w:rsidR="00735183">
        <w:t xml:space="preserve">and they receive an </w:t>
      </w:r>
      <w:r w:rsidR="00386B7E">
        <w:t>IAT Outcome</w:t>
      </w:r>
      <w:r w:rsidR="00735183">
        <w:t xml:space="preserve"> recommending an ongoing SaH class, the assessor is permitted to override the algorithm and select the CHSP classification, if that is preferred by the individual </w:t>
      </w:r>
    </w:p>
    <w:p w14:paraId="0CA24F1C" w14:textId="440178C0" w:rsidR="00735183" w:rsidRPr="00F11781" w:rsidRDefault="00735183" w:rsidP="00806A21">
      <w:pPr>
        <w:pStyle w:val="Sub-headings"/>
      </w:pPr>
      <w:r>
        <w:t xml:space="preserve">Accepting a SaH package outcome will result in a DSOA client having their DSOA funding capped on an ongoing basis. Should a DSOA client access a SaH package, this will result </w:t>
      </w:r>
      <w:r w:rsidR="005F161D">
        <w:t xml:space="preserve">in the DSOA client being exited from the DSOA Program. </w:t>
      </w:r>
      <w:r w:rsidR="008478EB">
        <w:t xml:space="preserve">Assessors should ensure that DSOA clients considering accessing a SaH package are fully informed of the impact of the assessment on their </w:t>
      </w:r>
      <w:r w:rsidR="00F11781">
        <w:t xml:space="preserve">DSOA funding </w:t>
      </w:r>
      <w:r w:rsidR="00F11781">
        <w:rPr>
          <w:i/>
          <w:iCs/>
        </w:rPr>
        <w:t xml:space="preserve">before </w:t>
      </w:r>
      <w:r w:rsidR="00F11781">
        <w:t xml:space="preserve">finalising the client’s assessment. </w:t>
      </w:r>
    </w:p>
    <w:p w14:paraId="6087F7B9" w14:textId="77777777" w:rsidR="001A05A9" w:rsidRPr="000F6CD1" w:rsidRDefault="001A05A9" w:rsidP="00073158">
      <w:pPr>
        <w:spacing w:after="0" w:line="240" w:lineRule="auto"/>
        <w:textAlignment w:val="baseline"/>
        <w:rPr>
          <w:rFonts w:eastAsia="Arial"/>
          <w:szCs w:val="22"/>
        </w:rPr>
      </w:pPr>
    </w:p>
    <w:p w14:paraId="01065336" w14:textId="659344CF" w:rsidR="001A05A9" w:rsidRPr="000F6CD1" w:rsidRDefault="00073158" w:rsidP="00073158">
      <w:pPr>
        <w:spacing w:after="0" w:line="240" w:lineRule="auto"/>
        <w:textAlignment w:val="baseline"/>
        <w:rPr>
          <w:rFonts w:eastAsia="Arial"/>
          <w:szCs w:val="22"/>
        </w:rPr>
      </w:pPr>
      <w:r w:rsidRPr="000F6CD1">
        <w:rPr>
          <w:rFonts w:eastAsia="Arial"/>
          <w:szCs w:val="22"/>
        </w:rPr>
        <w:t xml:space="preserve">If the </w:t>
      </w:r>
      <w:r w:rsidR="00386B7E">
        <w:rPr>
          <w:rFonts w:eastAsia="Arial"/>
          <w:szCs w:val="22"/>
        </w:rPr>
        <w:t>IAT Outcome</w:t>
      </w:r>
      <w:r w:rsidRPr="000F6CD1">
        <w:rPr>
          <w:rFonts w:eastAsia="Arial"/>
          <w:szCs w:val="22"/>
        </w:rPr>
        <w:t xml:space="preserve"> results in </w:t>
      </w:r>
      <w:r w:rsidR="0022072D" w:rsidRPr="000F6CD1">
        <w:rPr>
          <w:rFonts w:eastAsia="Arial"/>
          <w:szCs w:val="22"/>
        </w:rPr>
        <w:t>‘</w:t>
      </w:r>
      <w:r w:rsidRPr="000F6CD1">
        <w:rPr>
          <w:rFonts w:eastAsia="Arial"/>
          <w:szCs w:val="22"/>
        </w:rPr>
        <w:t>ineligib</w:t>
      </w:r>
      <w:r w:rsidR="006448AC" w:rsidRPr="000F6CD1">
        <w:rPr>
          <w:rFonts w:eastAsia="Arial"/>
          <w:szCs w:val="22"/>
        </w:rPr>
        <w:t>le</w:t>
      </w:r>
      <w:r w:rsidRPr="000F6CD1">
        <w:rPr>
          <w:rFonts w:eastAsia="Arial"/>
          <w:szCs w:val="22"/>
        </w:rPr>
        <w:t xml:space="preserve"> </w:t>
      </w:r>
      <w:r w:rsidR="005F72A0" w:rsidRPr="000F6CD1">
        <w:rPr>
          <w:rFonts w:eastAsia="Arial"/>
          <w:szCs w:val="22"/>
        </w:rPr>
        <w:t xml:space="preserve">for </w:t>
      </w:r>
      <w:r w:rsidR="00FE6BB7" w:rsidRPr="000F6CD1">
        <w:rPr>
          <w:rFonts w:eastAsia="Arial"/>
          <w:szCs w:val="22"/>
        </w:rPr>
        <w:t>CHSP</w:t>
      </w:r>
      <w:r w:rsidR="006448AC" w:rsidRPr="000F6CD1">
        <w:rPr>
          <w:rFonts w:eastAsia="Arial"/>
          <w:szCs w:val="22"/>
        </w:rPr>
        <w:t>/</w:t>
      </w:r>
      <w:r w:rsidR="0081047E" w:rsidRPr="000F6CD1">
        <w:rPr>
          <w:rFonts w:eastAsia="Arial"/>
          <w:szCs w:val="22"/>
        </w:rPr>
        <w:t>SaH</w:t>
      </w:r>
      <w:r w:rsidR="00F513CB" w:rsidRPr="000F6CD1">
        <w:rPr>
          <w:rFonts w:eastAsia="Arial"/>
          <w:szCs w:val="22"/>
        </w:rPr>
        <w:t>,’</w:t>
      </w:r>
      <w:r w:rsidRPr="000F6CD1">
        <w:rPr>
          <w:rFonts w:eastAsia="Arial"/>
          <w:szCs w:val="22"/>
        </w:rPr>
        <w:t xml:space="preserve"> the person is not eligible to receive </w:t>
      </w:r>
      <w:r w:rsidR="00A456F7" w:rsidRPr="000F6CD1">
        <w:rPr>
          <w:rFonts w:eastAsia="Arial"/>
          <w:szCs w:val="22"/>
        </w:rPr>
        <w:t xml:space="preserve">CHSP or </w:t>
      </w:r>
      <w:r w:rsidR="003F0834" w:rsidRPr="000F6CD1">
        <w:rPr>
          <w:rFonts w:eastAsia="Arial"/>
          <w:szCs w:val="22"/>
        </w:rPr>
        <w:t>ongoing SaH</w:t>
      </w:r>
      <w:r w:rsidRPr="000F6CD1">
        <w:rPr>
          <w:rFonts w:eastAsia="Arial"/>
          <w:szCs w:val="22"/>
        </w:rPr>
        <w:t xml:space="preserve">. </w:t>
      </w:r>
      <w:r w:rsidR="00405681" w:rsidRPr="000F6CD1">
        <w:rPr>
          <w:rFonts w:eastAsia="Arial"/>
          <w:szCs w:val="22"/>
        </w:rPr>
        <w:t xml:space="preserve">An assessor must not override the </w:t>
      </w:r>
      <w:r w:rsidR="00386B7E">
        <w:rPr>
          <w:rFonts w:eastAsia="Arial"/>
          <w:szCs w:val="22"/>
        </w:rPr>
        <w:t>IAT Outcome</w:t>
      </w:r>
      <w:r w:rsidR="00405681" w:rsidRPr="000F6CD1">
        <w:rPr>
          <w:rFonts w:eastAsia="Arial"/>
          <w:szCs w:val="22"/>
        </w:rPr>
        <w:t xml:space="preserve"> to recommend an ongoing home support classification level.</w:t>
      </w:r>
      <w:r w:rsidRPr="000F6CD1">
        <w:rPr>
          <w:rFonts w:eastAsia="Arial"/>
          <w:szCs w:val="22"/>
        </w:rPr>
        <w:t xml:space="preserve"> </w:t>
      </w:r>
      <w:r w:rsidR="0093453D" w:rsidRPr="000F6CD1">
        <w:rPr>
          <w:rFonts w:eastAsia="Arial"/>
          <w:szCs w:val="22"/>
        </w:rPr>
        <w:t xml:space="preserve">If </w:t>
      </w:r>
      <w:r w:rsidR="0036590D" w:rsidRPr="000F6CD1">
        <w:rPr>
          <w:rFonts w:eastAsia="Arial"/>
          <w:szCs w:val="22"/>
        </w:rPr>
        <w:t xml:space="preserve">by considering the eligibility criteria in the </w:t>
      </w:r>
      <w:r w:rsidR="0036590D" w:rsidRPr="000F6CD1">
        <w:rPr>
          <w:rFonts w:eastAsia="Arial"/>
          <w:i/>
          <w:szCs w:val="22"/>
        </w:rPr>
        <w:t>Aged Care Act 2024</w:t>
      </w:r>
      <w:r w:rsidR="0036590D" w:rsidRPr="000F6CD1">
        <w:rPr>
          <w:rFonts w:eastAsia="Arial"/>
          <w:szCs w:val="22"/>
        </w:rPr>
        <w:t xml:space="preserve"> for residential care,</w:t>
      </w:r>
      <w:r w:rsidR="0093453D" w:rsidRPr="000F6CD1">
        <w:rPr>
          <w:rFonts w:eastAsia="Arial"/>
          <w:szCs w:val="22"/>
        </w:rPr>
        <w:t xml:space="preserve"> </w:t>
      </w:r>
      <w:r w:rsidR="00475722" w:rsidRPr="000F6CD1">
        <w:rPr>
          <w:rFonts w:eastAsia="Arial"/>
          <w:szCs w:val="22"/>
        </w:rPr>
        <w:t>the</w:t>
      </w:r>
      <w:r w:rsidR="0093453D" w:rsidRPr="000F6CD1">
        <w:rPr>
          <w:rFonts w:eastAsia="Arial"/>
          <w:szCs w:val="22"/>
        </w:rPr>
        <w:t xml:space="preserve"> assessor </w:t>
      </w:r>
      <w:r w:rsidR="00475722" w:rsidRPr="000F6CD1">
        <w:rPr>
          <w:rFonts w:eastAsia="Arial"/>
          <w:szCs w:val="22"/>
        </w:rPr>
        <w:t xml:space="preserve">wants to recommend </w:t>
      </w:r>
      <w:r w:rsidR="00564B47" w:rsidRPr="000F6CD1">
        <w:rPr>
          <w:rFonts w:eastAsia="Arial"/>
          <w:szCs w:val="22"/>
        </w:rPr>
        <w:t>residential care</w:t>
      </w:r>
      <w:r w:rsidR="0036590D" w:rsidRPr="000F6CD1">
        <w:rPr>
          <w:rFonts w:eastAsia="Arial"/>
          <w:szCs w:val="22"/>
        </w:rPr>
        <w:t xml:space="preserve">, </w:t>
      </w:r>
      <w:r w:rsidR="00902435" w:rsidRPr="000F6CD1">
        <w:rPr>
          <w:rFonts w:eastAsia="Arial"/>
          <w:szCs w:val="22"/>
        </w:rPr>
        <w:t xml:space="preserve">it is appropriate </w:t>
      </w:r>
      <w:r w:rsidR="00B42E63" w:rsidRPr="000F6CD1">
        <w:rPr>
          <w:rFonts w:eastAsia="Arial"/>
          <w:szCs w:val="22"/>
        </w:rPr>
        <w:t xml:space="preserve">to </w:t>
      </w:r>
      <w:r w:rsidR="00233CA4" w:rsidRPr="000F6CD1">
        <w:rPr>
          <w:rFonts w:eastAsia="Arial"/>
          <w:szCs w:val="22"/>
        </w:rPr>
        <w:t>accept</w:t>
      </w:r>
      <w:r w:rsidR="00B42E63" w:rsidRPr="000F6CD1">
        <w:rPr>
          <w:rFonts w:eastAsia="Arial"/>
          <w:szCs w:val="22"/>
        </w:rPr>
        <w:t xml:space="preserve"> </w:t>
      </w:r>
      <w:r w:rsidR="005F72A0" w:rsidRPr="000F6CD1">
        <w:rPr>
          <w:rFonts w:eastAsia="Arial"/>
          <w:szCs w:val="22"/>
        </w:rPr>
        <w:t xml:space="preserve">the ineligibility </w:t>
      </w:r>
      <w:r w:rsidR="001F6180" w:rsidRPr="000F6CD1">
        <w:rPr>
          <w:rFonts w:eastAsia="Arial"/>
          <w:szCs w:val="22"/>
        </w:rPr>
        <w:t xml:space="preserve">outcome </w:t>
      </w:r>
      <w:r w:rsidR="0068581B" w:rsidRPr="000F6CD1">
        <w:rPr>
          <w:rFonts w:eastAsia="Arial"/>
          <w:szCs w:val="22"/>
        </w:rPr>
        <w:t>and</w:t>
      </w:r>
      <w:r w:rsidR="00145D7E" w:rsidRPr="000F6CD1">
        <w:rPr>
          <w:rFonts w:eastAsia="Arial"/>
          <w:szCs w:val="22"/>
        </w:rPr>
        <w:t xml:space="preserve"> recommend </w:t>
      </w:r>
      <w:r w:rsidR="00AA4716" w:rsidRPr="000F6CD1">
        <w:rPr>
          <w:rFonts w:eastAsia="Arial"/>
          <w:szCs w:val="22"/>
        </w:rPr>
        <w:t>residential care</w:t>
      </w:r>
      <w:r w:rsidR="00DF30A9" w:rsidRPr="000F6CD1">
        <w:rPr>
          <w:rFonts w:eastAsia="Arial"/>
          <w:szCs w:val="22"/>
        </w:rPr>
        <w:t xml:space="preserve">. </w:t>
      </w:r>
    </w:p>
    <w:p w14:paraId="165FC29D" w14:textId="77777777" w:rsidR="00073158" w:rsidRPr="000F6CD1" w:rsidRDefault="00073158" w:rsidP="00073158">
      <w:pPr>
        <w:spacing w:after="0" w:line="240" w:lineRule="auto"/>
        <w:textAlignment w:val="baseline"/>
        <w:rPr>
          <w:rFonts w:eastAsia="Arial"/>
          <w:szCs w:val="22"/>
        </w:rPr>
      </w:pPr>
    </w:p>
    <w:p w14:paraId="1637EF9F" w14:textId="77777777" w:rsidR="003B269E" w:rsidRPr="000F6CD1" w:rsidRDefault="00073158" w:rsidP="00806A21">
      <w:pPr>
        <w:pStyle w:val="Sub-headings"/>
      </w:pPr>
      <w:r w:rsidRPr="000F6CD1">
        <w:t xml:space="preserve">Important: </w:t>
      </w:r>
    </w:p>
    <w:p w14:paraId="1D096646" w14:textId="5614410C" w:rsidR="003808AD" w:rsidRPr="003808AD" w:rsidRDefault="00073158" w:rsidP="00806A21">
      <w:pPr>
        <w:pStyle w:val="Sub-headings"/>
        <w:rPr>
          <w:u w:val="single"/>
        </w:rPr>
      </w:pPr>
      <w:r w:rsidRPr="000F6CD1">
        <w:t xml:space="preserve">To support the </w:t>
      </w:r>
      <w:r w:rsidR="00386B7E">
        <w:t>IAT Outcome</w:t>
      </w:r>
      <w:r w:rsidRPr="000F6CD1">
        <w:t xml:space="preserve"> recommending a level of care which appropriately addresses an individual’s care needs, assessors should ensure all inputs into the IAT are accurate</w:t>
      </w:r>
      <w:r w:rsidR="00AA5F92" w:rsidRPr="000F6CD1">
        <w:t xml:space="preserve"> before it is finalised</w:t>
      </w:r>
      <w:r w:rsidRPr="000F6CD1">
        <w:t>.</w:t>
      </w:r>
      <w:r w:rsidR="00F274F7" w:rsidRPr="000F6CD1">
        <w:t xml:space="preserve"> </w:t>
      </w:r>
      <w:r w:rsidR="008A311D" w:rsidRPr="006B4853">
        <w:rPr>
          <w:u w:val="single"/>
        </w:rPr>
        <w:t>From 29 June 2026, the IAT amendment process will allow Assessment Delegates to return a finalised IAT to assessors to correct errors and resubmit it. This process can only be used once per assessment.</w:t>
      </w:r>
      <w:r w:rsidR="003808AD">
        <w:br w:type="page"/>
      </w:r>
    </w:p>
    <w:p w14:paraId="0C7084AE" w14:textId="5A3CE6C2" w:rsidR="00073158" w:rsidRPr="000F6CD1" w:rsidRDefault="00073158" w:rsidP="00073158">
      <w:pPr>
        <w:pStyle w:val="H4"/>
      </w:pPr>
      <w:r w:rsidRPr="000F6CD1">
        <w:lastRenderedPageBreak/>
        <w:t xml:space="preserve">Overriding the </w:t>
      </w:r>
      <w:r w:rsidR="00386B7E">
        <w:t>IAT Outcome</w:t>
      </w:r>
    </w:p>
    <w:p w14:paraId="57FF4618" w14:textId="77777777" w:rsidR="0002112D" w:rsidRPr="000F6CD1" w:rsidRDefault="0002112D" w:rsidP="00806A21">
      <w:pPr>
        <w:pStyle w:val="Sub-headings"/>
      </w:pPr>
      <w:r w:rsidRPr="000F6CD1">
        <w:t xml:space="preserve">Important: </w:t>
      </w:r>
    </w:p>
    <w:p w14:paraId="7730F7A2" w14:textId="6014ED23" w:rsidR="0002112D" w:rsidRPr="000F6CD1" w:rsidRDefault="00D2449E" w:rsidP="00806A21">
      <w:pPr>
        <w:pStyle w:val="Sub-headings"/>
      </w:pPr>
      <w:r w:rsidRPr="000F6CD1">
        <w:t>There is</w:t>
      </w:r>
      <w:r w:rsidR="0002112D" w:rsidRPr="000F6CD1">
        <w:t xml:space="preserve"> functionality </w:t>
      </w:r>
      <w:r w:rsidRPr="000F6CD1">
        <w:t xml:space="preserve">in the assessor workflow </w:t>
      </w:r>
      <w:r w:rsidR="0002112D" w:rsidRPr="000F6CD1">
        <w:t xml:space="preserve">that allows for actions that </w:t>
      </w:r>
      <w:r w:rsidR="0002112D" w:rsidRPr="000F6CD1">
        <w:rPr>
          <w:u w:val="single"/>
        </w:rPr>
        <w:t>must not</w:t>
      </w:r>
      <w:r w:rsidR="0002112D" w:rsidRPr="000F6CD1">
        <w:t xml:space="preserve"> be taken by assessors as these actions do not align with the </w:t>
      </w:r>
      <w:r w:rsidR="0002112D" w:rsidRPr="000F6CD1">
        <w:rPr>
          <w:i/>
        </w:rPr>
        <w:t>Aged Care Rules 2025 (the Rules)</w:t>
      </w:r>
      <w:r w:rsidR="00D55328" w:rsidRPr="000F6CD1">
        <w:rPr>
          <w:i/>
        </w:rPr>
        <w:t xml:space="preserve">, </w:t>
      </w:r>
      <w:r w:rsidR="00D55328" w:rsidRPr="000F6CD1">
        <w:t>deeming them unlawful</w:t>
      </w:r>
      <w:r w:rsidR="0002112D" w:rsidRPr="000F6CD1">
        <w:t>. This includes:</w:t>
      </w:r>
    </w:p>
    <w:p w14:paraId="6EFADDF6" w14:textId="3693F8C2" w:rsidR="003B269E" w:rsidRPr="000F6CD1" w:rsidRDefault="00CB47DF" w:rsidP="00806A21">
      <w:pPr>
        <w:pStyle w:val="Sub-headings"/>
      </w:pPr>
      <w:r>
        <w:sym w:font="Wingdings" w:char="F09F"/>
      </w:r>
      <w:r w:rsidR="003175DD" w:rsidRPr="000F6CD1">
        <w:t xml:space="preserve"> </w:t>
      </w:r>
      <w:r w:rsidR="0002112D" w:rsidRPr="000F6CD1">
        <w:t xml:space="preserve">the </w:t>
      </w:r>
      <w:r w:rsidR="00386B7E">
        <w:t>IAT Outcome</w:t>
      </w:r>
      <w:r w:rsidR="0002112D" w:rsidRPr="000F6CD1">
        <w:t xml:space="preserve"> </w:t>
      </w:r>
      <w:r w:rsidR="00BB49C6" w:rsidRPr="000F6CD1">
        <w:t>must</w:t>
      </w:r>
      <w:r w:rsidR="0002112D" w:rsidRPr="000F6CD1">
        <w:t xml:space="preserve"> not be overridden to recommend a different ongoing home support classification (</w:t>
      </w:r>
      <w:r w:rsidR="002A6328" w:rsidRPr="000F6CD1">
        <w:t>e.g</w:t>
      </w:r>
      <w:r w:rsidR="004B2556" w:rsidRPr="000F6CD1">
        <w:t xml:space="preserve">., Ineligible for CHSP/SaH to </w:t>
      </w:r>
      <w:r w:rsidR="00534515" w:rsidRPr="000F6CD1">
        <w:t>CHSP or SaH 1-8; CHSP to SaH 1-</w:t>
      </w:r>
      <w:r w:rsidR="00E74902" w:rsidRPr="000F6CD1">
        <w:t>8; SaH</w:t>
      </w:r>
      <w:r w:rsidR="00C042A9" w:rsidRPr="000F6CD1">
        <w:t xml:space="preserve"> 1-8 to CHSP;</w:t>
      </w:r>
      <w:r w:rsidR="00534515" w:rsidRPr="000F6CD1">
        <w:t xml:space="preserve"> </w:t>
      </w:r>
      <w:r w:rsidR="0002112D" w:rsidRPr="000F6CD1">
        <w:t>SaH 5 to SaH 6). In line with section 81-10 of the Rules</w:t>
      </w:r>
      <w:r w:rsidR="003C2F73" w:rsidRPr="000F6CD1">
        <w:t>,</w:t>
      </w:r>
      <w:r w:rsidR="0002112D" w:rsidRPr="000F6CD1">
        <w:t xml:space="preserve"> the criteria for each classification </w:t>
      </w:r>
      <w:r w:rsidR="00E74902" w:rsidRPr="000F6CD1">
        <w:t>are</w:t>
      </w:r>
      <w:r w:rsidR="0002112D" w:rsidRPr="000F6CD1">
        <w:t xml:space="preserve"> prescriptive and do not allow for </w:t>
      </w:r>
      <w:r w:rsidR="00FC1A33" w:rsidRPr="000F6CD1">
        <w:t xml:space="preserve">the recommendation of </w:t>
      </w:r>
      <w:r w:rsidR="0002112D" w:rsidRPr="000F6CD1">
        <w:t xml:space="preserve">an ongoing classification different to the </w:t>
      </w:r>
      <w:r w:rsidR="00386B7E">
        <w:t>IAT Outcome</w:t>
      </w:r>
      <w:r w:rsidR="0002112D" w:rsidRPr="000F6CD1">
        <w:t xml:space="preserve">. </w:t>
      </w:r>
    </w:p>
    <w:p w14:paraId="0366D6A1" w14:textId="385BF9B6" w:rsidR="0002112D" w:rsidRPr="000F6CD1" w:rsidRDefault="00CB47DF" w:rsidP="00806A21">
      <w:pPr>
        <w:pStyle w:val="Sub-headings"/>
      </w:pPr>
      <w:r>
        <w:sym w:font="Wingdings" w:char="F09F"/>
      </w:r>
      <w:r w:rsidR="003175DD" w:rsidRPr="000F6CD1">
        <w:t xml:space="preserve"> </w:t>
      </w:r>
      <w:r w:rsidR="0002112D" w:rsidRPr="000F6CD1">
        <w:t xml:space="preserve">a CHSP classification can be overridden to recommend Restorative Care Pathway (RCP) during a comprehensive assessment. In line with section 81-15 of the Rules, RCP cannot be recommended for approval when a Support at Home classification has not been generated by the </w:t>
      </w:r>
      <w:r w:rsidR="00386B7E">
        <w:t>IAT Outcome</w:t>
      </w:r>
      <w:r w:rsidR="0002112D" w:rsidRPr="000F6CD1">
        <w:t xml:space="preserve">. </w:t>
      </w:r>
    </w:p>
    <w:p w14:paraId="60117F5C" w14:textId="781EB7B3" w:rsidR="0002112D" w:rsidRPr="000F6CD1" w:rsidRDefault="0002112D" w:rsidP="00806A21">
      <w:pPr>
        <w:pStyle w:val="Sub-headings"/>
        <w:rPr>
          <w:rFonts w:eastAsia="Arial"/>
          <w:szCs w:val="22"/>
        </w:rPr>
      </w:pPr>
      <w:r w:rsidRPr="000F6CD1">
        <w:t xml:space="preserve">It is important that assessors do not take these actions and delegates do not approve recommendations when these actions have occurred. </w:t>
      </w:r>
    </w:p>
    <w:p w14:paraId="539ECDDE" w14:textId="5ECCCC17" w:rsidR="00073158" w:rsidRPr="000F6CD1" w:rsidRDefault="00073158" w:rsidP="00073158">
      <w:pPr>
        <w:spacing w:before="240" w:after="240" w:line="240" w:lineRule="auto"/>
        <w:rPr>
          <w:rFonts w:eastAsia="Arial"/>
          <w:szCs w:val="22"/>
        </w:rPr>
      </w:pPr>
      <w:r w:rsidRPr="000F6CD1">
        <w:rPr>
          <w:rFonts w:eastAsia="Arial"/>
          <w:szCs w:val="22"/>
        </w:rPr>
        <w:t xml:space="preserve">It </w:t>
      </w:r>
      <w:r w:rsidR="004E03E2">
        <w:rPr>
          <w:rFonts w:eastAsia="Arial"/>
          <w:szCs w:val="22"/>
        </w:rPr>
        <w:t>is</w:t>
      </w:r>
      <w:r w:rsidRPr="000F6CD1">
        <w:rPr>
          <w:rFonts w:eastAsia="Arial"/>
          <w:szCs w:val="22"/>
        </w:rPr>
        <w:t xml:space="preserve"> necessary to override the system-generated </w:t>
      </w:r>
      <w:r w:rsidR="00386B7E">
        <w:rPr>
          <w:rFonts w:eastAsia="Arial"/>
          <w:szCs w:val="22"/>
        </w:rPr>
        <w:t>IAT Outcome</w:t>
      </w:r>
      <w:r w:rsidRPr="000F6CD1">
        <w:rPr>
          <w:rFonts w:eastAsia="Arial"/>
          <w:szCs w:val="22"/>
        </w:rPr>
        <w:t xml:space="preserve"> to recommend the:</w:t>
      </w:r>
    </w:p>
    <w:p w14:paraId="0E4CA281" w14:textId="77777777" w:rsidR="00073158" w:rsidRPr="000F6CD1" w:rsidRDefault="00073158" w:rsidP="00DF3F6B">
      <w:pPr>
        <w:pStyle w:val="ListParagraph"/>
        <w:numPr>
          <w:ilvl w:val="0"/>
          <w:numId w:val="462"/>
        </w:numPr>
        <w:spacing w:before="240" w:after="240" w:line="240" w:lineRule="auto"/>
        <w:rPr>
          <w:rFonts w:eastAsia="Arial"/>
          <w:szCs w:val="22"/>
        </w:rPr>
      </w:pPr>
      <w:r w:rsidRPr="000F6CD1">
        <w:rPr>
          <w:rFonts w:eastAsia="Arial"/>
          <w:szCs w:val="22"/>
        </w:rPr>
        <w:t xml:space="preserve">SaH Restorative Care Pathway, </w:t>
      </w:r>
    </w:p>
    <w:p w14:paraId="2D02F513" w14:textId="6841F783" w:rsidR="00073158" w:rsidRPr="000F6CD1" w:rsidRDefault="00073158" w:rsidP="00DF3F6B">
      <w:pPr>
        <w:pStyle w:val="ListParagraph"/>
        <w:numPr>
          <w:ilvl w:val="0"/>
          <w:numId w:val="462"/>
        </w:numPr>
        <w:spacing w:before="240" w:after="240" w:line="240" w:lineRule="auto"/>
        <w:rPr>
          <w:rFonts w:eastAsia="Arial"/>
          <w:szCs w:val="22"/>
        </w:rPr>
      </w:pPr>
      <w:r w:rsidRPr="000F6CD1">
        <w:rPr>
          <w:rFonts w:eastAsia="Arial"/>
          <w:szCs w:val="22"/>
        </w:rPr>
        <w:t>SaH End</w:t>
      </w:r>
      <w:r w:rsidR="00D95ED5" w:rsidRPr="000F6CD1">
        <w:rPr>
          <w:rFonts w:eastAsia="Arial"/>
          <w:szCs w:val="22"/>
        </w:rPr>
        <w:t>-</w:t>
      </w:r>
      <w:r w:rsidRPr="000F6CD1">
        <w:rPr>
          <w:rFonts w:eastAsia="Arial"/>
          <w:szCs w:val="22"/>
        </w:rPr>
        <w:t>of</w:t>
      </w:r>
      <w:r w:rsidR="00D95ED5" w:rsidRPr="000F6CD1">
        <w:rPr>
          <w:rFonts w:eastAsia="Arial"/>
          <w:szCs w:val="22"/>
        </w:rPr>
        <w:t>-</w:t>
      </w:r>
      <w:r w:rsidRPr="000F6CD1">
        <w:rPr>
          <w:rFonts w:eastAsia="Arial"/>
          <w:szCs w:val="22"/>
        </w:rPr>
        <w:t>Life Pathway,</w:t>
      </w:r>
    </w:p>
    <w:p w14:paraId="658094F2" w14:textId="3B4ABF08" w:rsidR="00073158" w:rsidRPr="000F6CD1" w:rsidRDefault="00073158" w:rsidP="00DF3F6B">
      <w:pPr>
        <w:pStyle w:val="ListParagraph"/>
        <w:numPr>
          <w:ilvl w:val="0"/>
          <w:numId w:val="462"/>
        </w:numPr>
        <w:spacing w:before="240" w:after="240" w:line="240" w:lineRule="auto"/>
        <w:rPr>
          <w:rFonts w:eastAsia="Arial"/>
          <w:szCs w:val="22"/>
        </w:rPr>
      </w:pPr>
      <w:r w:rsidRPr="000F6CD1">
        <w:rPr>
          <w:rFonts w:eastAsia="Arial"/>
          <w:szCs w:val="22"/>
        </w:rPr>
        <w:t>Transition Care Program (TCP)</w:t>
      </w:r>
      <w:r w:rsidR="00473C25" w:rsidRPr="000F6CD1">
        <w:rPr>
          <w:rFonts w:eastAsia="Arial"/>
          <w:szCs w:val="22"/>
        </w:rPr>
        <w:t xml:space="preserve"> without ongoing in-home services</w:t>
      </w:r>
      <w:r w:rsidRPr="000F6CD1">
        <w:rPr>
          <w:rFonts w:eastAsia="Arial"/>
          <w:szCs w:val="22"/>
        </w:rPr>
        <w:t>,</w:t>
      </w:r>
    </w:p>
    <w:p w14:paraId="10DEE6DA" w14:textId="77777777" w:rsidR="00073158" w:rsidRPr="000F6CD1" w:rsidRDefault="00073158" w:rsidP="00DF3F6B">
      <w:pPr>
        <w:pStyle w:val="ListParagraph"/>
        <w:numPr>
          <w:ilvl w:val="0"/>
          <w:numId w:val="462"/>
        </w:numPr>
        <w:spacing w:before="240" w:after="240" w:line="240" w:lineRule="auto"/>
        <w:rPr>
          <w:rFonts w:eastAsia="Arial"/>
          <w:szCs w:val="22"/>
        </w:rPr>
      </w:pPr>
      <w:r w:rsidRPr="000F6CD1">
        <w:rPr>
          <w:rFonts w:eastAsia="Arial"/>
          <w:szCs w:val="22"/>
        </w:rPr>
        <w:t>Permanent Residential Care without ongoing in-home services,</w:t>
      </w:r>
    </w:p>
    <w:p w14:paraId="524AF1FD" w14:textId="5B648CEF" w:rsidR="00073158" w:rsidRPr="000F6CD1" w:rsidRDefault="00073158" w:rsidP="00DF3F6B">
      <w:pPr>
        <w:pStyle w:val="ListParagraph"/>
        <w:numPr>
          <w:ilvl w:val="0"/>
          <w:numId w:val="462"/>
        </w:numPr>
        <w:spacing w:before="240" w:after="240" w:line="240" w:lineRule="auto"/>
        <w:rPr>
          <w:rFonts w:eastAsia="Arial"/>
          <w:szCs w:val="22"/>
        </w:rPr>
      </w:pPr>
      <w:r w:rsidRPr="000F6CD1">
        <w:rPr>
          <w:rFonts w:eastAsia="Arial"/>
          <w:szCs w:val="22"/>
        </w:rPr>
        <w:t xml:space="preserve">Residential Respite care without ongoing in-home services. </w:t>
      </w:r>
    </w:p>
    <w:p w14:paraId="20326AFA" w14:textId="2788EBFB" w:rsidR="00073158" w:rsidRPr="00164928" w:rsidRDefault="00073158" w:rsidP="00806A21">
      <w:pPr>
        <w:pStyle w:val="Sub-headings"/>
      </w:pPr>
      <w:r w:rsidRPr="00CB47DF">
        <w:t>Note:</w:t>
      </w:r>
      <w:r w:rsidRPr="000F6CD1">
        <w:t xml:space="preserve"> </w:t>
      </w:r>
      <w:r w:rsidR="00CB47DF" w:rsidRPr="00CB47DF">
        <w:t>I</w:t>
      </w:r>
      <w:r w:rsidRPr="000F6CD1">
        <w:t xml:space="preserve">n order to </w:t>
      </w:r>
      <w:r w:rsidR="000D2528" w:rsidRPr="000F6CD1">
        <w:t>recommend residential</w:t>
      </w:r>
      <w:r w:rsidRPr="000F6CD1">
        <w:t xml:space="preserve"> care (permanent or short-term)</w:t>
      </w:r>
      <w:r w:rsidR="00473C25" w:rsidRPr="000F6CD1">
        <w:t xml:space="preserve"> </w:t>
      </w:r>
      <w:r w:rsidR="00473C25" w:rsidRPr="000F6CD1">
        <w:rPr>
          <w:rFonts w:eastAsia="Arial"/>
          <w:szCs w:val="22"/>
        </w:rPr>
        <w:t>without ongoing in-home services</w:t>
      </w:r>
      <w:r w:rsidRPr="000F6CD1">
        <w:t xml:space="preserve">, assessors will need to override the </w:t>
      </w:r>
      <w:r w:rsidR="00386B7E">
        <w:t>IAT Outcome</w:t>
      </w:r>
      <w:r w:rsidRPr="000F6CD1">
        <w:t xml:space="preserve"> </w:t>
      </w:r>
      <w:r w:rsidR="00F050A0" w:rsidRPr="000F6CD1">
        <w:t>of CHSP</w:t>
      </w:r>
      <w:r w:rsidRPr="000F6CD1">
        <w:t xml:space="preserve"> </w:t>
      </w:r>
      <w:r w:rsidR="000F19D1" w:rsidRPr="000F6CD1">
        <w:t>or Support at Home</w:t>
      </w:r>
      <w:r w:rsidRPr="000F6CD1">
        <w:t xml:space="preserve"> to ‘ineligible for ongoing SaH/CHSP</w:t>
      </w:r>
      <w:r w:rsidR="00F513CB" w:rsidRPr="000F6CD1">
        <w:t>.’</w:t>
      </w:r>
      <w:r w:rsidRPr="000F6CD1">
        <w:t xml:space="preserve"> Assessors can then recommend these care types in the support plan. </w:t>
      </w:r>
      <w:r w:rsidR="00164928">
        <w:t xml:space="preserve">Assessors may also approve an ongoing home support classification alongside </w:t>
      </w:r>
      <w:r w:rsidR="00164928" w:rsidRPr="00DA3A56">
        <w:t xml:space="preserve">residential </w:t>
      </w:r>
      <w:r w:rsidR="00A82738" w:rsidRPr="00DA3A56">
        <w:t>care and</w:t>
      </w:r>
      <w:r w:rsidR="00164928">
        <w:t xml:space="preserve"> select ‘not seeking services’ to avoid a reassessment being required for older person </w:t>
      </w:r>
      <w:r w:rsidR="00164928" w:rsidRPr="00DA3A56">
        <w:t xml:space="preserve">if they choose to return home. </w:t>
      </w:r>
    </w:p>
    <w:p w14:paraId="66B8B29A" w14:textId="6DFE4201" w:rsidR="00BD31F1" w:rsidRPr="000F6CD1" w:rsidRDefault="00BD31F1" w:rsidP="00806A21">
      <w:pPr>
        <w:pStyle w:val="Sub-headings"/>
        <w:rPr>
          <w:rFonts w:eastAsia="Aptos"/>
        </w:rPr>
      </w:pPr>
      <w:r w:rsidRPr="000F6CD1">
        <w:rPr>
          <w:rFonts w:eastAsia="Aptos"/>
        </w:rPr>
        <w:t xml:space="preserve">An older person can be recommended and approved for CHSP or Support at Home services at the same time as TCP, provided the </w:t>
      </w:r>
      <w:r w:rsidR="00386B7E">
        <w:rPr>
          <w:rFonts w:eastAsia="Aptos"/>
        </w:rPr>
        <w:t>IAT Outcome</w:t>
      </w:r>
      <w:r w:rsidRPr="000F6CD1">
        <w:rPr>
          <w:rFonts w:eastAsia="Aptos"/>
        </w:rPr>
        <w:t xml:space="preserve"> generates an ongoing home support outcome. </w:t>
      </w:r>
      <w:r w:rsidR="0063483D" w:rsidRPr="000F6CD1">
        <w:rPr>
          <w:rFonts w:eastAsia="Aptos"/>
        </w:rPr>
        <w:t xml:space="preserve">For </w:t>
      </w:r>
      <w:r w:rsidR="000D2528" w:rsidRPr="000F6CD1">
        <w:rPr>
          <w:rFonts w:eastAsia="Aptos"/>
        </w:rPr>
        <w:t>example,</w:t>
      </w:r>
      <w:r w:rsidRPr="000F6CD1">
        <w:rPr>
          <w:rFonts w:eastAsia="Aptos"/>
        </w:rPr>
        <w:t xml:space="preserve"> Support at Home services can only be recommended if the </w:t>
      </w:r>
      <w:r w:rsidR="00386B7E">
        <w:rPr>
          <w:rFonts w:eastAsia="Aptos"/>
        </w:rPr>
        <w:t>IAT Outcome</w:t>
      </w:r>
      <w:r w:rsidRPr="000F6CD1">
        <w:rPr>
          <w:rFonts w:eastAsia="Aptos"/>
        </w:rPr>
        <w:t xml:space="preserve"> generates a SaH 1-8 classification level</w:t>
      </w:r>
      <w:r w:rsidR="00DA0BF9" w:rsidRPr="000F6CD1">
        <w:rPr>
          <w:rFonts w:eastAsia="Aptos"/>
        </w:rPr>
        <w:t xml:space="preserve"> and interim CHSP services may also be recommended.</w:t>
      </w:r>
      <w:r w:rsidR="00A7731D" w:rsidRPr="000F6CD1">
        <w:rPr>
          <w:rFonts w:eastAsia="Aptos"/>
        </w:rPr>
        <w:t xml:space="preserve"> </w:t>
      </w:r>
      <w:r w:rsidR="00494A0F" w:rsidRPr="000F6CD1">
        <w:rPr>
          <w:rFonts w:eastAsia="Aptos"/>
        </w:rPr>
        <w:t xml:space="preserve">If the </w:t>
      </w:r>
      <w:r w:rsidR="00386B7E">
        <w:rPr>
          <w:rFonts w:eastAsia="Aptos"/>
        </w:rPr>
        <w:t>IAT Outcome</w:t>
      </w:r>
      <w:r w:rsidR="00494A0F" w:rsidRPr="000F6CD1">
        <w:rPr>
          <w:rFonts w:eastAsia="Aptos"/>
        </w:rPr>
        <w:t xml:space="preserve"> results in a CHSP classification, only CHSP services can be recommended. </w:t>
      </w:r>
    </w:p>
    <w:p w14:paraId="177411B2" w14:textId="07743EC9" w:rsidR="00565BF9" w:rsidRPr="000F6CD1" w:rsidRDefault="00BD31F1" w:rsidP="00806A21">
      <w:pPr>
        <w:pStyle w:val="Sub-headings"/>
      </w:pPr>
      <w:r w:rsidRPr="000F6CD1">
        <w:t xml:space="preserve">If it is not appropriate to recommend ongoing home support services at the same time as TCP for people new to the aged care system, the </w:t>
      </w:r>
      <w:r w:rsidR="00386B7E">
        <w:t>IAT Outcome</w:t>
      </w:r>
      <w:r w:rsidRPr="000F6CD1">
        <w:t xml:space="preserve"> can be overridden to ‘ineligible for CHSP/SaH’ and then the transition care option can be chosen under ‘Add a Care type for Delegate Decision’ button. The system will </w:t>
      </w:r>
      <w:r w:rsidR="001D34EB" w:rsidRPr="000F6CD1">
        <w:t xml:space="preserve">not </w:t>
      </w:r>
      <w:r w:rsidRPr="000F6CD1">
        <w:t>allow CHSP services to be recommended concurrently with TCP if</w:t>
      </w:r>
      <w:r w:rsidR="00D87FC6" w:rsidRPr="000F6CD1">
        <w:t xml:space="preserve"> the </w:t>
      </w:r>
      <w:r w:rsidR="00386B7E">
        <w:t>IAT Outcome</w:t>
      </w:r>
      <w:r w:rsidR="00D87FC6" w:rsidRPr="000F6CD1">
        <w:t xml:space="preserve"> has been overridden with</w:t>
      </w:r>
      <w:r w:rsidRPr="000F6CD1">
        <w:t xml:space="preserve"> </w:t>
      </w:r>
      <w:r w:rsidR="001D34EB" w:rsidRPr="000F6CD1">
        <w:t>‘</w:t>
      </w:r>
      <w:r w:rsidR="00BB2C23" w:rsidRPr="000F6CD1">
        <w:t>I</w:t>
      </w:r>
      <w:r w:rsidR="001D34EB" w:rsidRPr="000F6CD1">
        <w:t>neligible for CHSP/SaH</w:t>
      </w:r>
      <w:r w:rsidR="00F513CB" w:rsidRPr="000F6CD1">
        <w:t>.’</w:t>
      </w:r>
      <w:r w:rsidRPr="000F6CD1">
        <w:t xml:space="preserve"> </w:t>
      </w:r>
    </w:p>
    <w:p w14:paraId="23B9BC6C" w14:textId="6F2AE01C" w:rsidR="00BD31F1" w:rsidRPr="000F6CD1" w:rsidRDefault="00565BF9" w:rsidP="00806A21">
      <w:pPr>
        <w:pStyle w:val="Sub-headings"/>
      </w:pPr>
      <w:r w:rsidRPr="000F6CD1">
        <w:t xml:space="preserve">For transitioned HCP, SaH clients and CHSP clients who are assessed for TCP, the </w:t>
      </w:r>
      <w:r w:rsidR="00386B7E">
        <w:t>IAT Outcome</w:t>
      </w:r>
      <w:r w:rsidRPr="000F6CD1">
        <w:t xml:space="preserve"> will need to be </w:t>
      </w:r>
      <w:r w:rsidR="000D2528" w:rsidRPr="000F6CD1">
        <w:t>accepted,</w:t>
      </w:r>
      <w:r w:rsidRPr="000F6CD1">
        <w:t xml:space="preserve"> and TCP added as a care type. </w:t>
      </w:r>
      <w:r w:rsidRPr="000F6CD1">
        <w:rPr>
          <w:rFonts w:eastAsia="Aptos"/>
        </w:rPr>
        <w:t xml:space="preserve">These </w:t>
      </w:r>
      <w:r w:rsidR="00BF6F5F" w:rsidRPr="000F6CD1">
        <w:rPr>
          <w:rFonts w:eastAsia="Aptos"/>
        </w:rPr>
        <w:lastRenderedPageBreak/>
        <w:t>services</w:t>
      </w:r>
      <w:r w:rsidRPr="000F6CD1">
        <w:rPr>
          <w:rFonts w:eastAsia="Aptos"/>
        </w:rPr>
        <w:t xml:space="preserve"> can continue to be accessed while accessing TCP, as long as the services are not duplicative. See Chapter 6 for further information.</w:t>
      </w:r>
    </w:p>
    <w:p w14:paraId="0678795C" w14:textId="3A8698B7" w:rsidR="00073158" w:rsidRPr="000F6CD1" w:rsidRDefault="00073158" w:rsidP="00073158">
      <w:pPr>
        <w:spacing w:before="240" w:after="240" w:line="240" w:lineRule="auto"/>
        <w:rPr>
          <w:rFonts w:eastAsia="Arial"/>
          <w:szCs w:val="22"/>
        </w:rPr>
      </w:pPr>
      <w:r w:rsidRPr="000F6CD1">
        <w:rPr>
          <w:rFonts w:eastAsia="Arial"/>
          <w:szCs w:val="22"/>
        </w:rPr>
        <w:t xml:space="preserve">Once the override button is selected, a screen will display where an assessor can perform these actions. If an assessor overrides the </w:t>
      </w:r>
      <w:r w:rsidR="00386B7E">
        <w:rPr>
          <w:rFonts w:eastAsia="Arial"/>
          <w:szCs w:val="22"/>
        </w:rPr>
        <w:t>IAT Outcome</w:t>
      </w:r>
      <w:r w:rsidRPr="000F6CD1">
        <w:rPr>
          <w:rFonts w:eastAsia="Arial"/>
          <w:szCs w:val="22"/>
        </w:rPr>
        <w:t>, they will be required to: </w:t>
      </w:r>
    </w:p>
    <w:p w14:paraId="56D47651" w14:textId="2D2EFF86" w:rsidR="00073158" w:rsidRPr="000F6CD1" w:rsidRDefault="00073158" w:rsidP="00DF3F6B">
      <w:pPr>
        <w:numPr>
          <w:ilvl w:val="0"/>
          <w:numId w:val="463"/>
        </w:numPr>
        <w:spacing w:before="240" w:after="240" w:line="240" w:lineRule="auto"/>
        <w:rPr>
          <w:rFonts w:eastAsia="Arial"/>
          <w:szCs w:val="22"/>
        </w:rPr>
      </w:pPr>
      <w:r w:rsidRPr="000F6CD1">
        <w:rPr>
          <w:rFonts w:eastAsia="Arial"/>
          <w:szCs w:val="22"/>
        </w:rPr>
        <w:t xml:space="preserve">select a reason for overriding the </w:t>
      </w:r>
      <w:r w:rsidR="00386B7E">
        <w:rPr>
          <w:rFonts w:eastAsia="Arial"/>
          <w:szCs w:val="22"/>
        </w:rPr>
        <w:t>IAT Outcome</w:t>
      </w:r>
      <w:r w:rsidRPr="000F6CD1">
        <w:rPr>
          <w:rFonts w:eastAsia="Arial"/>
          <w:szCs w:val="22"/>
        </w:rPr>
        <w:t>, and </w:t>
      </w:r>
    </w:p>
    <w:p w14:paraId="2FCBEE99" w14:textId="43019084" w:rsidR="00073158" w:rsidRPr="000F6CD1" w:rsidRDefault="00073158" w:rsidP="00DF3F6B">
      <w:pPr>
        <w:numPr>
          <w:ilvl w:val="0"/>
          <w:numId w:val="464"/>
        </w:numPr>
        <w:spacing w:before="240" w:after="240" w:line="240" w:lineRule="auto"/>
      </w:pPr>
      <w:r w:rsidRPr="000F6CD1">
        <w:rPr>
          <w:rFonts w:eastAsia="Arial"/>
          <w:szCs w:val="22"/>
        </w:rPr>
        <w:t>provide a descriptive reason for overriding.</w:t>
      </w:r>
      <w:r w:rsidR="00F513CB" w:rsidRPr="000F6CD1">
        <w:rPr>
          <w:rFonts w:eastAsia="Arial"/>
          <w:szCs w:val="22"/>
        </w:rPr>
        <w:t xml:space="preserve"> </w:t>
      </w:r>
    </w:p>
    <w:p w14:paraId="3CAAF99F" w14:textId="42FF763E" w:rsidR="00073158" w:rsidRPr="000F6CD1" w:rsidRDefault="00073158" w:rsidP="00073158">
      <w:pPr>
        <w:spacing w:before="240" w:after="240"/>
      </w:pPr>
      <w:r w:rsidRPr="000F6CD1">
        <w:rPr>
          <w:rFonts w:eastAsia="Arial"/>
          <w:b/>
          <w:bCs/>
          <w:szCs w:val="22"/>
        </w:rPr>
        <w:t xml:space="preserve">Tips for assessors when explaining the </w:t>
      </w:r>
      <w:r w:rsidR="00386B7E">
        <w:rPr>
          <w:rFonts w:eastAsia="Arial"/>
          <w:b/>
          <w:szCs w:val="22"/>
        </w:rPr>
        <w:t>IAT Outcome</w:t>
      </w:r>
      <w:r w:rsidRPr="000F6CD1">
        <w:rPr>
          <w:rFonts w:eastAsia="Arial"/>
          <w:b/>
          <w:bCs/>
          <w:szCs w:val="22"/>
        </w:rPr>
        <w:t xml:space="preserve"> and recommended classification level for ongoing home support to older people and their supporters. </w:t>
      </w:r>
    </w:p>
    <w:p w14:paraId="7A623D4A" w14:textId="3E57F546" w:rsidR="00C6576C" w:rsidRPr="000F6CD1" w:rsidRDefault="00073158" w:rsidP="00DF3F6B">
      <w:pPr>
        <w:pStyle w:val="ListParagraph"/>
        <w:numPr>
          <w:ilvl w:val="0"/>
          <w:numId w:val="472"/>
        </w:numPr>
        <w:spacing w:after="0" w:line="257" w:lineRule="auto"/>
        <w:rPr>
          <w:rFonts w:eastAsia="Arial"/>
          <w:szCs w:val="22"/>
        </w:rPr>
      </w:pPr>
      <w:r w:rsidRPr="000F6CD1">
        <w:rPr>
          <w:rFonts w:eastAsia="Arial"/>
          <w:szCs w:val="22"/>
        </w:rPr>
        <w:t>I have put the information you/&lt;older person’s name&gt; have/has given me during your/their assessment into the assessment tool and the system has generated an outcome for your</w:t>
      </w:r>
      <w:r w:rsidR="00852D9F" w:rsidRPr="000F6CD1">
        <w:rPr>
          <w:rFonts w:eastAsia="Arial"/>
          <w:szCs w:val="22"/>
        </w:rPr>
        <w:t>/their</w:t>
      </w:r>
      <w:r w:rsidRPr="000F6CD1">
        <w:rPr>
          <w:rFonts w:eastAsia="Arial"/>
          <w:szCs w:val="22"/>
        </w:rPr>
        <w:t xml:space="preserve"> &lt;eligibility for CHSP/level of funding for Support of Home&gt; OR &lt;ineligibility for </w:t>
      </w:r>
      <w:r w:rsidR="00852D9F" w:rsidRPr="000F6CD1">
        <w:rPr>
          <w:rFonts w:eastAsia="Arial"/>
          <w:szCs w:val="22"/>
        </w:rPr>
        <w:t>ongoing home support</w:t>
      </w:r>
      <w:r w:rsidRPr="000F6CD1">
        <w:rPr>
          <w:rFonts w:eastAsia="Arial"/>
          <w:szCs w:val="22"/>
        </w:rPr>
        <w:t xml:space="preserve"> services&gt;.</w:t>
      </w:r>
    </w:p>
    <w:p w14:paraId="0B8227C5" w14:textId="77777777" w:rsidR="00073158" w:rsidRPr="000F6CD1" w:rsidRDefault="00073158" w:rsidP="00DF3F6B">
      <w:pPr>
        <w:pStyle w:val="ListParagraph"/>
        <w:numPr>
          <w:ilvl w:val="0"/>
          <w:numId w:val="472"/>
        </w:numPr>
        <w:spacing w:after="0" w:line="257" w:lineRule="auto"/>
        <w:rPr>
          <w:rFonts w:eastAsia="Arial"/>
          <w:szCs w:val="22"/>
        </w:rPr>
      </w:pPr>
      <w:r w:rsidRPr="000F6CD1">
        <w:rPr>
          <w:rFonts w:eastAsia="Arial"/>
          <w:szCs w:val="22"/>
        </w:rPr>
        <w:t>The system uses a set of rules which rely on information that you/they have told me during your/their assessment which include:</w:t>
      </w:r>
      <w:r w:rsidRPr="000F6CD1">
        <w:tab/>
      </w:r>
      <w:r w:rsidRPr="000F6CD1">
        <w:rPr>
          <w:rFonts w:eastAsia="Arial"/>
          <w:szCs w:val="22"/>
        </w:rPr>
        <w:t xml:space="preserve"> </w:t>
      </w:r>
    </w:p>
    <w:p w14:paraId="1B3C5AAE" w14:textId="16D4C47B" w:rsidR="00073158" w:rsidRPr="000F6CD1" w:rsidRDefault="00073158" w:rsidP="00DF3F6B">
      <w:pPr>
        <w:pStyle w:val="ListParagraph"/>
        <w:numPr>
          <w:ilvl w:val="1"/>
          <w:numId w:val="472"/>
        </w:numPr>
        <w:spacing w:after="0" w:line="257" w:lineRule="auto"/>
        <w:rPr>
          <w:rFonts w:eastAsia="Arial"/>
          <w:szCs w:val="22"/>
        </w:rPr>
      </w:pPr>
      <w:r w:rsidRPr="000F6CD1">
        <w:rPr>
          <w:rFonts w:eastAsia="Arial"/>
          <w:szCs w:val="22"/>
        </w:rPr>
        <w:t xml:space="preserve">Your/their functional ability to undertake daily tasks </w:t>
      </w:r>
      <w:r w:rsidR="0094490F" w:rsidRPr="000F6CD1">
        <w:rPr>
          <w:rFonts w:eastAsia="Arial"/>
          <w:szCs w:val="22"/>
        </w:rPr>
        <w:t>e.g.</w:t>
      </w:r>
      <w:r w:rsidRPr="000F6CD1">
        <w:rPr>
          <w:rFonts w:eastAsia="Arial"/>
          <w:szCs w:val="22"/>
        </w:rPr>
        <w:t xml:space="preserve"> walking, eating, bathing, toileting, managing their finances, cooking, and shopping, and  </w:t>
      </w:r>
    </w:p>
    <w:p w14:paraId="756F7BD5" w14:textId="77777777" w:rsidR="00073158" w:rsidRPr="000F6CD1" w:rsidRDefault="00073158" w:rsidP="00DF3F6B">
      <w:pPr>
        <w:pStyle w:val="ListParagraph"/>
        <w:numPr>
          <w:ilvl w:val="1"/>
          <w:numId w:val="472"/>
        </w:numPr>
        <w:spacing w:after="0" w:line="257" w:lineRule="auto"/>
        <w:rPr>
          <w:rFonts w:eastAsia="Arial"/>
          <w:szCs w:val="22"/>
        </w:rPr>
      </w:pPr>
      <w:r w:rsidRPr="000F6CD1">
        <w:rPr>
          <w:rFonts w:eastAsia="Arial"/>
          <w:szCs w:val="22"/>
        </w:rPr>
        <w:t xml:space="preserve">the extent to which your/their needs are currently being met, and </w:t>
      </w:r>
    </w:p>
    <w:p w14:paraId="50EE842D" w14:textId="2FCDA1DA" w:rsidR="00073158" w:rsidRPr="000F6CD1" w:rsidRDefault="00073158" w:rsidP="00DF3F6B">
      <w:pPr>
        <w:pStyle w:val="ListParagraph"/>
        <w:numPr>
          <w:ilvl w:val="1"/>
          <w:numId w:val="472"/>
        </w:numPr>
        <w:spacing w:after="0" w:line="257" w:lineRule="auto"/>
        <w:rPr>
          <w:rFonts w:eastAsia="Arial"/>
          <w:szCs w:val="22"/>
        </w:rPr>
      </w:pPr>
      <w:r w:rsidRPr="000F6CD1">
        <w:rPr>
          <w:rFonts w:eastAsia="Arial"/>
          <w:szCs w:val="22"/>
        </w:rPr>
        <w:t>other factors that may introduce additional complexity for you/them such as sensory concerns, medical conditions and co-morbidities</w:t>
      </w:r>
      <w:r w:rsidR="007D4529" w:rsidRPr="000F6CD1">
        <w:rPr>
          <w:rFonts w:eastAsia="Arial"/>
          <w:szCs w:val="22"/>
        </w:rPr>
        <w:t xml:space="preserve"> (i.e., the simultaneous presence of two or more diseases or medical conditions)</w:t>
      </w:r>
      <w:r w:rsidRPr="000F6CD1">
        <w:rPr>
          <w:rFonts w:eastAsia="Arial"/>
          <w:szCs w:val="22"/>
        </w:rPr>
        <w:t xml:space="preserve">, carer availability, mental health, continence, and vision impairment. </w:t>
      </w:r>
    </w:p>
    <w:p w14:paraId="69519E78" w14:textId="782023B4" w:rsidR="00073158" w:rsidRPr="000F6CD1" w:rsidRDefault="00B26E29" w:rsidP="00DF3F6B">
      <w:pPr>
        <w:pStyle w:val="ListParagraph"/>
        <w:numPr>
          <w:ilvl w:val="0"/>
          <w:numId w:val="472"/>
        </w:numPr>
        <w:spacing w:after="0" w:line="257" w:lineRule="auto"/>
        <w:rPr>
          <w:rFonts w:eastAsia="Arial"/>
          <w:szCs w:val="22"/>
        </w:rPr>
      </w:pPr>
      <w:r w:rsidRPr="000F6CD1">
        <w:rPr>
          <w:rFonts w:eastAsia="Arial"/>
          <w:szCs w:val="22"/>
        </w:rPr>
        <w:t>Y</w:t>
      </w:r>
      <w:r w:rsidR="00073158" w:rsidRPr="000F6CD1">
        <w:rPr>
          <w:rFonts w:eastAsia="Arial"/>
          <w:szCs w:val="22"/>
        </w:rPr>
        <w:t>our/their level of funding for ongoing</w:t>
      </w:r>
      <w:r w:rsidR="008811FC" w:rsidRPr="000F6CD1">
        <w:rPr>
          <w:rFonts w:eastAsia="Arial"/>
          <w:szCs w:val="22"/>
        </w:rPr>
        <w:t xml:space="preserve"> </w:t>
      </w:r>
      <w:r w:rsidR="00073158" w:rsidRPr="000F6CD1">
        <w:rPr>
          <w:rFonts w:eastAsia="Arial"/>
          <w:szCs w:val="22"/>
        </w:rPr>
        <w:t>home care</w:t>
      </w:r>
      <w:r w:rsidR="008811FC" w:rsidRPr="000F6CD1">
        <w:rPr>
          <w:rFonts w:eastAsia="Arial"/>
          <w:szCs w:val="22"/>
        </w:rPr>
        <w:t xml:space="preserve"> services</w:t>
      </w:r>
      <w:r w:rsidRPr="000F6CD1">
        <w:rPr>
          <w:rFonts w:eastAsia="Arial"/>
          <w:szCs w:val="22"/>
        </w:rPr>
        <w:t xml:space="preserve"> has been determined using this set of rules</w:t>
      </w:r>
      <w:r w:rsidR="00073158" w:rsidRPr="000F6CD1">
        <w:rPr>
          <w:rFonts w:eastAsia="Arial"/>
          <w:szCs w:val="22"/>
        </w:rPr>
        <w:t>.</w:t>
      </w:r>
    </w:p>
    <w:p w14:paraId="7B393F8D" w14:textId="29DF016B" w:rsidR="00073158" w:rsidRPr="000F6CD1" w:rsidRDefault="00073158" w:rsidP="00DF3F6B">
      <w:pPr>
        <w:pStyle w:val="ListParagraph"/>
        <w:numPr>
          <w:ilvl w:val="0"/>
          <w:numId w:val="472"/>
        </w:numPr>
        <w:spacing w:after="0" w:line="257" w:lineRule="auto"/>
        <w:rPr>
          <w:rFonts w:eastAsia="Arial"/>
          <w:szCs w:val="22"/>
        </w:rPr>
      </w:pPr>
      <w:r w:rsidRPr="000F6CD1">
        <w:rPr>
          <w:rFonts w:eastAsia="Arial"/>
          <w:szCs w:val="22"/>
        </w:rPr>
        <w:t xml:space="preserve">This helps to ensure consistency in how funding </w:t>
      </w:r>
      <w:r w:rsidR="00BE42BD" w:rsidRPr="000F6CD1">
        <w:rPr>
          <w:rFonts w:eastAsia="Arial"/>
          <w:szCs w:val="22"/>
        </w:rPr>
        <w:t xml:space="preserve">is </w:t>
      </w:r>
      <w:r w:rsidRPr="000F6CD1">
        <w:rPr>
          <w:rFonts w:eastAsia="Arial"/>
          <w:szCs w:val="22"/>
        </w:rPr>
        <w:t>assigned and means that your/their funding level will be the same as other people who have similar needs and clinical characteristics.</w:t>
      </w:r>
    </w:p>
    <w:p w14:paraId="5262DFD8" w14:textId="57513752" w:rsidR="00C6576C" w:rsidRPr="000F6CD1" w:rsidRDefault="00073158" w:rsidP="00C458DA">
      <w:pPr>
        <w:pStyle w:val="ListParagraph"/>
        <w:numPr>
          <w:ilvl w:val="0"/>
          <w:numId w:val="472"/>
        </w:numPr>
        <w:spacing w:after="0" w:line="257" w:lineRule="auto"/>
        <w:rPr>
          <w:rFonts w:eastAsia="Arial"/>
          <w:szCs w:val="22"/>
        </w:rPr>
      </w:pPr>
      <w:r w:rsidRPr="000F6CD1">
        <w:rPr>
          <w:rFonts w:eastAsia="Arial"/>
          <w:szCs w:val="22"/>
        </w:rPr>
        <w:t xml:space="preserve">I have included services in your support plan that will help to meet your goals and needs. Once approved and your funding is assigned to you, you can work with a provider to determine the services you will receive and how often within your </w:t>
      </w:r>
      <w:r w:rsidR="00C6576C" w:rsidRPr="000F6CD1">
        <w:rPr>
          <w:rFonts w:eastAsia="Arial"/>
          <w:szCs w:val="22"/>
        </w:rPr>
        <w:t xml:space="preserve">funding </w:t>
      </w:r>
      <w:r w:rsidRPr="000F6CD1">
        <w:rPr>
          <w:rFonts w:eastAsia="Arial"/>
          <w:szCs w:val="22"/>
        </w:rPr>
        <w:t xml:space="preserve">level. </w:t>
      </w:r>
    </w:p>
    <w:p w14:paraId="403AB60F" w14:textId="77777777" w:rsidR="00417136" w:rsidRDefault="00417136" w:rsidP="00417136">
      <w:pPr>
        <w:spacing w:after="0" w:line="257" w:lineRule="auto"/>
        <w:rPr>
          <w:rFonts w:eastAsia="Arial"/>
          <w:szCs w:val="22"/>
        </w:rPr>
      </w:pPr>
    </w:p>
    <w:p w14:paraId="30E18413" w14:textId="7BAAEA62" w:rsidR="00DB2665" w:rsidRPr="00B541B9" w:rsidRDefault="00DB2665" w:rsidP="00806A21">
      <w:pPr>
        <w:pStyle w:val="Sub-headings"/>
      </w:pPr>
      <w:r>
        <w:t xml:space="preserve">Note: While these tips aim to provide assessors with clear and accurate advice about how to describe </w:t>
      </w:r>
      <w:r w:rsidR="00386B7E">
        <w:t>IAT Outcome</w:t>
      </w:r>
      <w:r>
        <w:t>s for ongoing home support when talking to older people and their supporters, we encourage all Assessment Organisations to work with their assessors on scripts and strategies they can use to support them to have these conversations using a person centred, educative and positive approach.</w:t>
      </w:r>
    </w:p>
    <w:p w14:paraId="1AE87F98" w14:textId="77777777" w:rsidR="00417136" w:rsidRPr="00417136" w:rsidRDefault="00417136" w:rsidP="00417136">
      <w:pPr>
        <w:spacing w:after="0" w:line="257" w:lineRule="auto"/>
        <w:rPr>
          <w:rFonts w:eastAsia="Arial"/>
          <w:szCs w:val="22"/>
        </w:rPr>
      </w:pPr>
    </w:p>
    <w:p w14:paraId="70C93872" w14:textId="0F935908" w:rsidR="001E27DA" w:rsidRPr="000F6CD1" w:rsidRDefault="001E27DA" w:rsidP="00EC7373">
      <w:pPr>
        <w:spacing w:after="0" w:line="257" w:lineRule="auto"/>
        <w:ind w:left="360"/>
      </w:pPr>
    </w:p>
    <w:p w14:paraId="6C15592D" w14:textId="702000DB" w:rsidR="00EC7373" w:rsidRPr="000F6CD1" w:rsidRDefault="00EC7373" w:rsidP="00C458DA">
      <w:r w:rsidRPr="000F6CD1">
        <w:rPr>
          <w:b/>
          <w:iCs/>
          <w:noProof/>
        </w:rPr>
        <w:lastRenderedPageBreak/>
        <w:drawing>
          <wp:inline distT="0" distB="0" distL="0" distR="0" wp14:anchorId="16CDCD1E" wp14:editId="031558D9">
            <wp:extent cx="5566410" cy="3449320"/>
            <wp:effectExtent l="0" t="0" r="0" b="0"/>
            <wp:docPr id="1894662915" name="Picture 1" descr="Figure of the IAT recommendation pathways and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2915" name="Picture 1" descr="Figure of the IAT recommendation pathways and options "/>
                    <pic:cNvPicPr/>
                  </pic:nvPicPr>
                  <pic:blipFill>
                    <a:blip r:embed="rId161"/>
                    <a:stretch>
                      <a:fillRect/>
                    </a:stretch>
                  </pic:blipFill>
                  <pic:spPr>
                    <a:xfrm>
                      <a:off x="0" y="0"/>
                      <a:ext cx="5566410" cy="3449320"/>
                    </a:xfrm>
                    <a:prstGeom prst="rect">
                      <a:avLst/>
                    </a:prstGeom>
                  </pic:spPr>
                </pic:pic>
              </a:graphicData>
            </a:graphic>
          </wp:inline>
        </w:drawing>
      </w:r>
    </w:p>
    <w:p w14:paraId="5C1870FE" w14:textId="194209E5" w:rsidR="006B524A" w:rsidRPr="000F6CD1" w:rsidRDefault="00B232AD" w:rsidP="00100EEE">
      <w:pPr>
        <w:pStyle w:val="Caption"/>
        <w:rPr>
          <w:b w:val="0"/>
          <w:bCs/>
          <w:i/>
          <w:iCs w:val="0"/>
        </w:rPr>
      </w:pPr>
      <w:r w:rsidRPr="000F6CD1">
        <w:rPr>
          <w:b w:val="0"/>
          <w:bCs/>
          <w:i/>
          <w:iCs w:val="0"/>
        </w:rPr>
        <w:t xml:space="preserve">Figure </w:t>
      </w:r>
      <w:r w:rsidR="00EB2639" w:rsidRPr="000F6CD1">
        <w:rPr>
          <w:b w:val="0"/>
          <w:bCs/>
          <w:i/>
          <w:iCs w:val="0"/>
        </w:rPr>
        <w:t>4</w:t>
      </w:r>
      <w:r w:rsidRPr="000F6CD1">
        <w:rPr>
          <w:b w:val="0"/>
          <w:bCs/>
          <w:i/>
          <w:iCs w:val="0"/>
        </w:rPr>
        <w:t xml:space="preserve"> - IAT recommendation pathways and outcomes </w:t>
      </w:r>
    </w:p>
    <w:p w14:paraId="046F1E15" w14:textId="423D0D54" w:rsidR="00211DB4" w:rsidRPr="000F6CD1" w:rsidRDefault="00211DB4" w:rsidP="007F4972">
      <w:pPr>
        <w:rPr>
          <w:b/>
          <w:iCs/>
        </w:rPr>
      </w:pPr>
    </w:p>
    <w:p w14:paraId="2EA64BDD" w14:textId="2A8D6CDA" w:rsidR="007A743C" w:rsidRPr="000F6CD1" w:rsidRDefault="007A743C" w:rsidP="006647CE">
      <w:pPr>
        <w:pStyle w:val="h2"/>
      </w:pPr>
      <w:bookmarkStart w:id="416" w:name="_Toc204329555"/>
      <w:bookmarkStart w:id="417" w:name="_Toc209188986"/>
      <w:bookmarkStart w:id="418" w:name="_Toc233282447"/>
      <w:r w:rsidRPr="000F6CD1">
        <w:t>Converting a home support assessment to a comprehensive assessment</w:t>
      </w:r>
      <w:bookmarkEnd w:id="416"/>
      <w:bookmarkEnd w:id="417"/>
      <w:bookmarkEnd w:id="418"/>
    </w:p>
    <w:p w14:paraId="3CB92957" w14:textId="6D0E4A41" w:rsidR="007A743C" w:rsidRPr="000F6CD1" w:rsidRDefault="007A743C" w:rsidP="00A677C9">
      <w:pPr>
        <w:spacing w:before="240" w:after="240" w:line="240" w:lineRule="auto"/>
        <w:rPr>
          <w:shd w:val="clear" w:color="auto" w:fill="FFFFFF"/>
        </w:rPr>
      </w:pPr>
      <w:r w:rsidRPr="000F6CD1">
        <w:rPr>
          <w:shd w:val="clear" w:color="auto" w:fill="FFFFFF"/>
        </w:rPr>
        <w:t xml:space="preserve">If an assessment is triaged as a home support assessment and the </w:t>
      </w:r>
      <w:r w:rsidR="00386B7E">
        <w:rPr>
          <w:shd w:val="clear" w:color="auto" w:fill="FFFFFF"/>
        </w:rPr>
        <w:t>IAT Outcome</w:t>
      </w:r>
      <w:r w:rsidRPr="000F6CD1">
        <w:rPr>
          <w:shd w:val="clear" w:color="auto" w:fill="FFFFFF"/>
        </w:rPr>
        <w:t xml:space="preserve"> </w:t>
      </w:r>
      <w:r w:rsidR="00F27707" w:rsidRPr="000F6CD1">
        <w:rPr>
          <w:shd w:val="clear" w:color="auto" w:fill="FFFFFF"/>
        </w:rPr>
        <w:t xml:space="preserve">generates a </w:t>
      </w:r>
      <w:r w:rsidRPr="000F6CD1">
        <w:rPr>
          <w:shd w:val="clear" w:color="auto" w:fill="FFFFFF"/>
        </w:rPr>
        <w:t xml:space="preserve">Support at Home </w:t>
      </w:r>
      <w:r w:rsidR="00F27707" w:rsidRPr="000F6CD1">
        <w:rPr>
          <w:shd w:val="clear" w:color="auto" w:fill="FFFFFF"/>
        </w:rPr>
        <w:t>classification</w:t>
      </w:r>
      <w:r w:rsidR="2DE463BD" w:rsidRPr="000F6CD1">
        <w:t>,</w:t>
      </w:r>
      <w:r w:rsidRPr="000F6CD1">
        <w:t xml:space="preserve"> </w:t>
      </w:r>
      <w:r w:rsidR="2DE463BD" w:rsidRPr="000F6CD1">
        <w:t>and/or</w:t>
      </w:r>
      <w:r w:rsidRPr="000F6CD1" w:rsidDel="007A743C">
        <w:t xml:space="preserve"> </w:t>
      </w:r>
      <w:r w:rsidR="00FC726E" w:rsidRPr="000F6CD1">
        <w:t xml:space="preserve">the assessor wants to </w:t>
      </w:r>
      <w:r w:rsidR="008D6CC2" w:rsidRPr="000F6CD1">
        <w:t>recommend</w:t>
      </w:r>
      <w:r w:rsidR="00593934" w:rsidRPr="000F6CD1">
        <w:t xml:space="preserve"> </w:t>
      </w:r>
      <w:r w:rsidR="00FC726E" w:rsidRPr="000F6CD1">
        <w:t>residential care (permanent or short</w:t>
      </w:r>
      <w:r w:rsidR="00B32932" w:rsidRPr="000F6CD1">
        <w:t>-</w:t>
      </w:r>
      <w:r w:rsidR="00FC726E" w:rsidRPr="000F6CD1">
        <w:t>term</w:t>
      </w:r>
      <w:r w:rsidR="000D2528" w:rsidRPr="000F6CD1">
        <w:t>),</w:t>
      </w:r>
      <w:r w:rsidRPr="000F6CD1">
        <w:t xml:space="preserve"> the assessment will need to be converted to a comprehensive assessment under the supervision of a staff member who holds a clinical assessor role in the My Aged Care Assessor Portal.</w:t>
      </w:r>
    </w:p>
    <w:p w14:paraId="2673B018" w14:textId="6AF3920A" w:rsidR="007A743C" w:rsidRPr="000F6CD1" w:rsidRDefault="007A743C" w:rsidP="00806A21">
      <w:pPr>
        <w:pStyle w:val="Sub-headings"/>
      </w:pPr>
      <w:r w:rsidRPr="000F6CD1">
        <w:t>Note</w:t>
      </w:r>
      <w:r w:rsidR="00BB0543" w:rsidRPr="000F6CD1">
        <w:t>:</w:t>
      </w:r>
      <w:r w:rsidRPr="000F6CD1">
        <w:t xml:space="preserve"> Enrolled Nurses (EN) who hold the clinical assessor role </w:t>
      </w:r>
      <w:r w:rsidR="00DD1821" w:rsidRPr="000F6CD1">
        <w:t xml:space="preserve">may </w:t>
      </w:r>
      <w:r w:rsidRPr="000F6CD1">
        <w:t>provide</w:t>
      </w:r>
      <w:r w:rsidRPr="000F6CD1" w:rsidDel="00FE2D40">
        <w:t xml:space="preserve"> </w:t>
      </w:r>
      <w:r w:rsidRPr="000F6CD1">
        <w:t>supervision to non-clinical assessors</w:t>
      </w:r>
      <w:r w:rsidR="00E8059F" w:rsidRPr="000F6CD1">
        <w:t xml:space="preserve"> if a home support assessment </w:t>
      </w:r>
      <w:r w:rsidR="001A0F93" w:rsidRPr="000F6CD1">
        <w:t xml:space="preserve">is converted to recommend Support at Home and </w:t>
      </w:r>
      <w:r w:rsidR="005558BE" w:rsidRPr="000F6CD1">
        <w:t>no clinical questions have been triggered in the IAT</w:t>
      </w:r>
      <w:r w:rsidRPr="000F6CD1">
        <w:t xml:space="preserve">. </w:t>
      </w:r>
      <w:r w:rsidR="005558BE" w:rsidRPr="000F6CD1">
        <w:t>E</w:t>
      </w:r>
      <w:r w:rsidR="00746CA3" w:rsidRPr="000F6CD1">
        <w:t>Ns must ensure that they continue to act within their scope of practice.</w:t>
      </w:r>
      <w:r w:rsidR="00615EB4" w:rsidRPr="000F6CD1" w:rsidDel="00615EB4">
        <w:t xml:space="preserve"> </w:t>
      </w:r>
    </w:p>
    <w:p w14:paraId="3F37591E" w14:textId="77777777" w:rsidR="007A743C" w:rsidRPr="000F6CD1" w:rsidRDefault="007A743C" w:rsidP="00A677C9">
      <w:pPr>
        <w:spacing w:before="240" w:after="240" w:line="240" w:lineRule="auto"/>
        <w:rPr>
          <w:lang w:eastAsia="ko-KR"/>
        </w:rPr>
      </w:pPr>
      <w:r w:rsidRPr="000F6CD1">
        <w:t xml:space="preserve">In the expanded view of the </w:t>
      </w:r>
      <w:r w:rsidRPr="000F6CD1">
        <w:rPr>
          <w:i/>
        </w:rPr>
        <w:t>Goals and Recommendations</w:t>
      </w:r>
      <w:r w:rsidRPr="000F6CD1">
        <w:t xml:space="preserve"> tab, the assessor will have the option </w:t>
      </w:r>
      <w:r w:rsidRPr="000F6CD1">
        <w:rPr>
          <w:lang w:eastAsia="ko-KR"/>
        </w:rPr>
        <w:t>to</w:t>
      </w:r>
      <w:r w:rsidRPr="000F6CD1">
        <w:t xml:space="preserve"> convert to a comprehensive assessment if the current assessment type is Home Support. An assessor will only be allowed to convert to comprehensive </w:t>
      </w:r>
      <w:r w:rsidRPr="000F6CD1">
        <w:rPr>
          <w:lang w:eastAsia="ko-KR"/>
        </w:rPr>
        <w:t xml:space="preserve">assessment from a home support assessment. </w:t>
      </w:r>
    </w:p>
    <w:p w14:paraId="4962A9EA" w14:textId="00F7501D" w:rsidR="007A743C" w:rsidRPr="000F6CD1" w:rsidRDefault="007A743C" w:rsidP="00A677C9">
      <w:pPr>
        <w:spacing w:before="240" w:after="240" w:line="240" w:lineRule="auto"/>
        <w:rPr>
          <w:lang w:eastAsia="ko-KR"/>
        </w:rPr>
      </w:pPr>
      <w:r w:rsidRPr="000F6CD1">
        <w:rPr>
          <w:lang w:eastAsia="ko-KR"/>
        </w:rPr>
        <w:t xml:space="preserve">In assessments where services under the Support at Home program and/or residential care are recommended, but clinical questions are not triggered in the IAT during the assessment, </w:t>
      </w:r>
      <w:r w:rsidR="007532EA" w:rsidRPr="000F6CD1">
        <w:rPr>
          <w:lang w:eastAsia="ko-KR"/>
        </w:rPr>
        <w:t xml:space="preserve">a non-clinical </w:t>
      </w:r>
      <w:r w:rsidRPr="000F6CD1">
        <w:rPr>
          <w:lang w:eastAsia="ko-KR"/>
        </w:rPr>
        <w:t xml:space="preserve">assessor will need to seek the supervision of a staff member who holds a clinical assessor role in the My Aged Care Assessor Portal. The supervising assessor will need to be nominated before the assessment </w:t>
      </w:r>
      <w:r w:rsidR="00E44BBC" w:rsidRPr="000F6CD1">
        <w:rPr>
          <w:lang w:eastAsia="ko-KR"/>
        </w:rPr>
        <w:t xml:space="preserve">can </w:t>
      </w:r>
      <w:r w:rsidRPr="000F6CD1">
        <w:rPr>
          <w:lang w:eastAsia="ko-KR"/>
        </w:rPr>
        <w:t xml:space="preserve">be converted. </w:t>
      </w:r>
    </w:p>
    <w:p w14:paraId="691D63ED" w14:textId="77777777" w:rsidR="007A743C" w:rsidRPr="000F6CD1" w:rsidRDefault="007A743C" w:rsidP="00A677C9">
      <w:pPr>
        <w:spacing w:before="240" w:after="240" w:line="240" w:lineRule="auto"/>
        <w:rPr>
          <w:lang w:eastAsia="ko-KR"/>
        </w:rPr>
      </w:pPr>
      <w:r w:rsidRPr="000F6CD1">
        <w:rPr>
          <w:lang w:eastAsia="ko-KR"/>
        </w:rPr>
        <w:t xml:space="preserve">If a clinical assessor has already provided clinical attendance during the assessment and nominated as the supervising assessor, the details saved when the IAT was finalised will display as read-only. </w:t>
      </w:r>
    </w:p>
    <w:p w14:paraId="278F66D9" w14:textId="3332D3CA" w:rsidR="007A743C" w:rsidRPr="000F6CD1" w:rsidRDefault="007A743C" w:rsidP="00A677C9">
      <w:pPr>
        <w:spacing w:before="240" w:after="240" w:line="240" w:lineRule="auto"/>
      </w:pPr>
      <w:r w:rsidRPr="000F6CD1">
        <w:rPr>
          <w:lang w:eastAsia="ko-KR"/>
        </w:rPr>
        <w:lastRenderedPageBreak/>
        <w:t xml:space="preserve">When the assessment is finalised, a system notification 'Notification of Supervised Assessment' will be sent out to the outlet associated with the nominated supervising assessor. This notification will be visible on the Assessor </w:t>
      </w:r>
      <w:r w:rsidR="00E118B1" w:rsidRPr="000F6CD1">
        <w:rPr>
          <w:lang w:eastAsia="ko-KR"/>
        </w:rPr>
        <w:t>P</w:t>
      </w:r>
      <w:r w:rsidRPr="000F6CD1">
        <w:rPr>
          <w:lang w:eastAsia="ko-KR"/>
        </w:rPr>
        <w:t xml:space="preserve">ortal as per existing notifications functionality. </w:t>
      </w:r>
    </w:p>
    <w:p w14:paraId="39DE6255" w14:textId="715C0939" w:rsidR="727343B2" w:rsidRPr="000F6CD1" w:rsidRDefault="007B6D6E" w:rsidP="0515703D">
      <w:pPr>
        <w:spacing w:before="240" w:after="240" w:line="240" w:lineRule="auto"/>
      </w:pPr>
      <w:r w:rsidRPr="000F6CD1">
        <w:rPr>
          <w:lang w:eastAsia="ko-KR"/>
        </w:rPr>
        <w:t>The s</w:t>
      </w:r>
      <w:r w:rsidR="727343B2" w:rsidRPr="000F6CD1">
        <w:rPr>
          <w:lang w:eastAsia="ko-KR"/>
        </w:rPr>
        <w:t>upervision required to convert a home support assessment to a comprehensive assessment is not the same as the clinical attendance process outlined in Section 5.7. Rather, it is a conversation between assessors to ensure the support plan reflects the needs of the older person and the appropriate care recommendations are included for delegate approval. There is no requirement for the assessment to be undertaken again by the clinical assessor.</w:t>
      </w:r>
    </w:p>
    <w:p w14:paraId="43694DF3" w14:textId="77777777" w:rsidR="007A743C" w:rsidRPr="000F6CD1" w:rsidRDefault="007A743C" w:rsidP="006647CE">
      <w:pPr>
        <w:pStyle w:val="h2"/>
      </w:pPr>
      <w:bookmarkStart w:id="419" w:name="_Toc224888059"/>
      <w:bookmarkStart w:id="420" w:name="_Toc204329556"/>
      <w:bookmarkStart w:id="421" w:name="_Toc209188987"/>
      <w:bookmarkStart w:id="422" w:name="_Toc233282448"/>
      <w:bookmarkEnd w:id="419"/>
      <w:r w:rsidRPr="000F6CD1">
        <w:t>Developing a high-quality support plan</w:t>
      </w:r>
      <w:bookmarkEnd w:id="414"/>
      <w:bookmarkEnd w:id="420"/>
      <w:bookmarkEnd w:id="421"/>
      <w:bookmarkEnd w:id="422"/>
      <w:r w:rsidRPr="000F6CD1">
        <w:t xml:space="preserve"> </w:t>
      </w:r>
    </w:p>
    <w:p w14:paraId="39E0492E" w14:textId="77777777" w:rsidR="007A743C" w:rsidRPr="000F6CD1" w:rsidRDefault="007A743C" w:rsidP="00A677C9">
      <w:pPr>
        <w:spacing w:before="240" w:after="240" w:line="240" w:lineRule="auto"/>
      </w:pPr>
      <w:r w:rsidRPr="000F6CD1">
        <w:t xml:space="preserve">The Support Plan is a plain language summary of the older person’s situation, strengths, goals, aged care needs and recommendations, based on information obtained during the completion of the IAT. </w:t>
      </w:r>
    </w:p>
    <w:p w14:paraId="6C6444BF" w14:textId="77777777" w:rsidR="007A743C" w:rsidRPr="000F6CD1" w:rsidRDefault="007A743C" w:rsidP="00A677C9">
      <w:pPr>
        <w:spacing w:before="240" w:after="240" w:line="240" w:lineRule="auto"/>
      </w:pPr>
      <w:r w:rsidRPr="000F6CD1">
        <w:t>The Support Plan sections include:</w:t>
      </w:r>
    </w:p>
    <w:p w14:paraId="5DAE47D3" w14:textId="77777777" w:rsidR="007A743C" w:rsidRPr="000F6CD1" w:rsidRDefault="007A743C" w:rsidP="00DF3F6B">
      <w:pPr>
        <w:pStyle w:val="ListParagraph"/>
        <w:numPr>
          <w:ilvl w:val="0"/>
          <w:numId w:val="91"/>
        </w:numPr>
        <w:spacing w:before="240" w:after="240" w:line="240" w:lineRule="auto"/>
      </w:pPr>
      <w:r w:rsidRPr="000F6CD1">
        <w:t xml:space="preserve">Assessment summary </w:t>
      </w:r>
    </w:p>
    <w:p w14:paraId="02064DFC" w14:textId="77777777" w:rsidR="007A743C" w:rsidRPr="000F6CD1" w:rsidRDefault="007A743C" w:rsidP="00DF3F6B">
      <w:pPr>
        <w:pStyle w:val="ListParagraph"/>
        <w:numPr>
          <w:ilvl w:val="0"/>
          <w:numId w:val="91"/>
        </w:numPr>
        <w:spacing w:before="240" w:after="240" w:line="240" w:lineRule="auto"/>
      </w:pPr>
      <w:r w:rsidRPr="000F6CD1">
        <w:t>Concerns and goals</w:t>
      </w:r>
    </w:p>
    <w:p w14:paraId="46EA7857" w14:textId="77777777" w:rsidR="007A743C" w:rsidRPr="000F6CD1" w:rsidRDefault="007A743C" w:rsidP="00DF3F6B">
      <w:pPr>
        <w:pStyle w:val="ListParagraph"/>
        <w:numPr>
          <w:ilvl w:val="0"/>
          <w:numId w:val="91"/>
        </w:numPr>
        <w:spacing w:before="240" w:after="240" w:line="240" w:lineRule="auto"/>
      </w:pPr>
      <w:r w:rsidRPr="000F6CD1">
        <w:t>Service recommendations</w:t>
      </w:r>
    </w:p>
    <w:p w14:paraId="1B9CF074" w14:textId="0C063BEF" w:rsidR="007A743C" w:rsidRPr="000F6CD1" w:rsidRDefault="007A743C" w:rsidP="00282961">
      <w:pPr>
        <w:tabs>
          <w:tab w:val="left" w:pos="1134"/>
        </w:tabs>
        <w:spacing w:before="240" w:after="240" w:line="240" w:lineRule="auto"/>
      </w:pPr>
      <w:r w:rsidRPr="000F6CD1">
        <w:t xml:space="preserve">The role of an assessor, when developing the Support Plan with an older person, is to consider IAT findings and the older person’s needs holistically to recommend support most appropriate to their needs and circumstances. </w:t>
      </w:r>
    </w:p>
    <w:p w14:paraId="7DD413C0" w14:textId="06BDB9D8" w:rsidR="00ED737B" w:rsidRPr="00670DD6" w:rsidRDefault="00ED737B" w:rsidP="00806A21">
      <w:pPr>
        <w:pStyle w:val="Sub-headings"/>
      </w:pPr>
      <w:r w:rsidRPr="00670DD6">
        <w:t>Note:</w:t>
      </w:r>
      <w:r w:rsidR="00057E4C">
        <w:t xml:space="preserve"> </w:t>
      </w:r>
    </w:p>
    <w:p w14:paraId="4C06968C" w14:textId="63C5FABB" w:rsidR="00ED737B" w:rsidRPr="000F6CD1" w:rsidRDefault="007D7BC4" w:rsidP="00806A21">
      <w:pPr>
        <w:pStyle w:val="Sub-headings"/>
      </w:pPr>
      <w:r w:rsidRPr="000F6CD1">
        <w:t>T</w:t>
      </w:r>
      <w:r w:rsidR="00ED737B" w:rsidRPr="000F6CD1">
        <w:t>he Support Plan functionality in the system accommodate</w:t>
      </w:r>
      <w:r w:rsidRPr="000F6CD1">
        <w:t>s</w:t>
      </w:r>
      <w:r w:rsidR="00ED737B" w:rsidRPr="000F6CD1">
        <w:t xml:space="preserve"> the Support at Home classes and associated service recommendations and AT-HM scheme. </w:t>
      </w:r>
    </w:p>
    <w:p w14:paraId="33CA64FB" w14:textId="18F0FFDF" w:rsidR="00ED737B" w:rsidRPr="000F6CD1" w:rsidRDefault="00ED737B" w:rsidP="00806A21">
      <w:pPr>
        <w:pStyle w:val="Sub-headings"/>
      </w:pPr>
      <w:r w:rsidRPr="000F6CD1">
        <w:t xml:space="preserve">Once finalised, the Support Plan is sent to the older person, and their registered supporter/s and/or appointed decision maker/s as applicable (via post and/or email), as a record of the assessment, accompanied by a </w:t>
      </w:r>
      <w:r w:rsidR="005E6EF3" w:rsidRPr="000F6CD1">
        <w:t>Notice of Decision letter</w:t>
      </w:r>
      <w:r w:rsidRPr="000F6CD1">
        <w:t xml:space="preserve">. Registered providers also use the support plan to inform the individual's care </w:t>
      </w:r>
      <w:r w:rsidR="005E6EF3" w:rsidRPr="000F6CD1">
        <w:t>plan;</w:t>
      </w:r>
      <w:r w:rsidRPr="000F6CD1">
        <w:t xml:space="preserve"> </w:t>
      </w:r>
      <w:r w:rsidR="005E6EF3" w:rsidRPr="000F6CD1">
        <w:t>therefore,</w:t>
      </w:r>
      <w:r w:rsidRPr="000F6CD1">
        <w:t xml:space="preserve"> accuracy and clarity is essential. </w:t>
      </w:r>
    </w:p>
    <w:p w14:paraId="177F74AC" w14:textId="03AC21C1" w:rsidR="00ED737B" w:rsidRPr="000F6CD1" w:rsidRDefault="00ED737B" w:rsidP="00806A21">
      <w:pPr>
        <w:pStyle w:val="Sub-headings"/>
      </w:pPr>
      <w:r w:rsidRPr="000F6CD1">
        <w:t xml:space="preserve">Referral codes </w:t>
      </w:r>
      <w:r w:rsidR="2AFC19B0" w:rsidRPr="000F6CD1">
        <w:t>are</w:t>
      </w:r>
      <w:r w:rsidRPr="000F6CD1">
        <w:t xml:space="preserve"> included in the Support Plan for the majority of services approved however there are several nuances about where they will appear depending on the program or pathway. For further detail on how referral codes will be communicated to clients and providers, see </w:t>
      </w:r>
      <w:r w:rsidR="00F0731E">
        <w:t>section 9.4</w:t>
      </w:r>
      <w:r w:rsidRPr="000F6CD1">
        <w:t xml:space="preserve"> </w:t>
      </w:r>
      <w:r w:rsidR="00F0731E">
        <w:fldChar w:fldCharType="begin"/>
      </w:r>
      <w:r w:rsidR="00F0731E">
        <w:instrText xml:space="preserve"> REF _Ref232604449 \h </w:instrText>
      </w:r>
      <w:r w:rsidR="00F0731E">
        <w:fldChar w:fldCharType="separate"/>
      </w:r>
      <w:r w:rsidR="004B171E" w:rsidRPr="000F6CD1">
        <w:t>Referral and support for service access</w:t>
      </w:r>
      <w:r w:rsidR="00F0731E">
        <w:fldChar w:fldCharType="end"/>
      </w:r>
    </w:p>
    <w:p w14:paraId="240DB6A2" w14:textId="38ED4BFB" w:rsidR="00BA26AD" w:rsidRPr="000F6CD1" w:rsidRDefault="00BA26AD" w:rsidP="00BA26AD">
      <w:r w:rsidRPr="000F6CD1">
        <w:br w:type="page"/>
      </w:r>
    </w:p>
    <w:p w14:paraId="4971D888" w14:textId="0BA63C82" w:rsidR="007A743C" w:rsidRPr="000F6CD1" w:rsidRDefault="003B269E" w:rsidP="00AD2CE5">
      <w:pPr>
        <w:pStyle w:val="H3"/>
      </w:pPr>
      <w:bookmarkStart w:id="423" w:name="_Toc204329557"/>
      <w:bookmarkStart w:id="424" w:name="_Ref212736148"/>
      <w:r w:rsidRPr="000F6CD1">
        <w:lastRenderedPageBreak/>
        <w:drawing>
          <wp:anchor distT="0" distB="0" distL="114300" distR="114300" simplePos="0" relativeHeight="251658288" behindDoc="0" locked="0" layoutInCell="1" allowOverlap="1" wp14:anchorId="6BCBBF54" wp14:editId="2828778F">
            <wp:simplePos x="0" y="0"/>
            <wp:positionH relativeFrom="margin">
              <wp:align>left</wp:align>
            </wp:positionH>
            <wp:positionV relativeFrom="paragraph">
              <wp:posOffset>9444</wp:posOffset>
            </wp:positionV>
            <wp:extent cx="457200" cy="502920"/>
            <wp:effectExtent l="0" t="0" r="0" b="0"/>
            <wp:wrapSquare wrapText="bothSides"/>
            <wp:docPr id="1947480374" name="Picture 1947480374"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80374" name="Picture 1947480374"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7A743C" w:rsidRPr="000F6CD1">
        <w:t xml:space="preserve">Assessment </w:t>
      </w:r>
      <w:r w:rsidR="00991560" w:rsidRPr="000F6CD1">
        <w:t>s</w:t>
      </w:r>
      <w:r w:rsidR="007A743C" w:rsidRPr="000F6CD1">
        <w:t>ummary</w:t>
      </w:r>
      <w:bookmarkEnd w:id="423"/>
      <w:bookmarkEnd w:id="424"/>
      <w:r w:rsidR="007A743C" w:rsidRPr="000F6CD1">
        <w:t xml:space="preserve"> </w:t>
      </w:r>
    </w:p>
    <w:p w14:paraId="2F8CAB61" w14:textId="586F8B40" w:rsidR="007A743C" w:rsidRPr="000F6CD1" w:rsidRDefault="007A743C" w:rsidP="00A677C9">
      <w:pPr>
        <w:spacing w:before="240" w:after="240" w:line="240" w:lineRule="auto"/>
        <w:rPr>
          <w:lang w:eastAsia="ko-KR"/>
        </w:rPr>
      </w:pPr>
      <w:r w:rsidRPr="000F6CD1">
        <w:rPr>
          <w:lang w:eastAsia="ko-KR"/>
        </w:rPr>
        <w:t xml:space="preserve">The assessment summary section of the Support Plan is a succinct overview of the assessment that appears on the Support Plan for the older person. </w:t>
      </w:r>
    </w:p>
    <w:p w14:paraId="42977723" w14:textId="22FA0F31" w:rsidR="007A743C" w:rsidRPr="000F6CD1" w:rsidRDefault="007A743C" w:rsidP="00A677C9">
      <w:pPr>
        <w:spacing w:before="240" w:after="240" w:line="240" w:lineRule="auto"/>
      </w:pPr>
      <w:r w:rsidRPr="000F6CD1">
        <w:rPr>
          <w:lang w:eastAsia="ko-KR"/>
        </w:rPr>
        <w:t xml:space="preserve">When completing the assessment summary, the My Aged Care system allows the assessor to pre-populate a </w:t>
      </w:r>
      <w:r w:rsidRPr="000F6CD1">
        <w:t>summary of the older person’s functional ability, support considerations and complexity indicators that were identified during the assessment</w:t>
      </w:r>
      <w:r w:rsidR="238F8D75" w:rsidRPr="000F6CD1">
        <w:t xml:space="preserve"> and recorded in the IAT</w:t>
      </w:r>
      <w:r w:rsidR="0EFC4FF1" w:rsidRPr="000F6CD1">
        <w:t>.</w:t>
      </w:r>
      <w:r w:rsidRPr="000F6CD1">
        <w:t xml:space="preserve"> The pre-populated information will be displayed in the ISBAR format, which is the required template for recording information in the assessment summary. </w:t>
      </w:r>
    </w:p>
    <w:p w14:paraId="47C25DD2" w14:textId="77777777" w:rsidR="007A743C" w:rsidRPr="000F6CD1" w:rsidRDefault="007A743C" w:rsidP="00A677C9">
      <w:pPr>
        <w:spacing w:before="240" w:after="240" w:line="240" w:lineRule="auto"/>
        <w:rPr>
          <w:lang w:eastAsia="ko-KR"/>
        </w:rPr>
      </w:pPr>
      <w:r w:rsidRPr="000F6CD1">
        <w:rPr>
          <w:lang w:eastAsia="ko-KR"/>
        </w:rPr>
        <w:t xml:space="preserve">Assessors must use a standard template (see ISBAR approach below) to complete the assessment summary to ensure information is recorded in a consistent manner across assessment types. It is simple to adopt and helps make information easier to read while better supporting the delegation process and assisting the service provider to develop the care plan. </w:t>
      </w:r>
    </w:p>
    <w:p w14:paraId="06960E8B" w14:textId="77777777" w:rsidR="007A743C" w:rsidRPr="000F6CD1" w:rsidRDefault="007A743C" w:rsidP="00A677C9">
      <w:pPr>
        <w:spacing w:before="240" w:after="240" w:line="240" w:lineRule="auto"/>
        <w:rPr>
          <w:lang w:eastAsia="ko-KR"/>
        </w:rPr>
      </w:pPr>
      <w:r w:rsidRPr="000F6CD1">
        <w:rPr>
          <w:lang w:eastAsia="ko-KR"/>
        </w:rPr>
        <w:t xml:space="preserve">The assessment summary must: </w:t>
      </w:r>
    </w:p>
    <w:p w14:paraId="45B8A863" w14:textId="77777777" w:rsidR="007A743C" w:rsidRPr="000F6CD1" w:rsidRDefault="007A743C" w:rsidP="00DF3F6B">
      <w:pPr>
        <w:pStyle w:val="ListParagraph"/>
        <w:numPr>
          <w:ilvl w:val="0"/>
          <w:numId w:val="98"/>
        </w:numPr>
        <w:spacing w:before="240" w:after="240" w:line="240" w:lineRule="auto"/>
        <w:rPr>
          <w:lang w:eastAsia="ko-KR"/>
        </w:rPr>
      </w:pPr>
      <w:r w:rsidRPr="000F6CD1">
        <w:t xml:space="preserve">Be written </w:t>
      </w:r>
      <w:r w:rsidRPr="000F6CD1">
        <w:rPr>
          <w:lang w:eastAsia="ko-KR"/>
        </w:rPr>
        <w:t>in</w:t>
      </w:r>
      <w:r w:rsidRPr="000F6CD1">
        <w:t xml:space="preserve"> a succinct manner (using the ISBAR approach), focusing on relevant/essential information.</w:t>
      </w:r>
    </w:p>
    <w:p w14:paraId="5820B927" w14:textId="77777777" w:rsidR="007A743C" w:rsidRPr="000F6CD1" w:rsidRDefault="007A743C" w:rsidP="00DF3F6B">
      <w:pPr>
        <w:pStyle w:val="ListParagraph"/>
        <w:numPr>
          <w:ilvl w:val="0"/>
          <w:numId w:val="98"/>
        </w:numPr>
        <w:spacing w:before="240" w:after="240" w:line="240" w:lineRule="auto"/>
        <w:rPr>
          <w:lang w:eastAsia="ko-KR"/>
        </w:rPr>
      </w:pPr>
      <w:r w:rsidRPr="000F6CD1">
        <w:t>Be presented in a structured way that makes the information easy to interpret.</w:t>
      </w:r>
    </w:p>
    <w:p w14:paraId="7A6BE92D" w14:textId="7EA0C3A4" w:rsidR="007A743C" w:rsidRPr="000F6CD1" w:rsidRDefault="054BE6A0" w:rsidP="00DF3F6B">
      <w:pPr>
        <w:pStyle w:val="ListParagraph"/>
        <w:numPr>
          <w:ilvl w:val="0"/>
          <w:numId w:val="98"/>
        </w:numPr>
        <w:spacing w:before="240" w:after="240" w:line="240" w:lineRule="auto"/>
        <w:rPr>
          <w:lang w:eastAsia="ko-KR"/>
        </w:rPr>
      </w:pPr>
      <w:r w:rsidRPr="000F6CD1">
        <w:t xml:space="preserve">Be understandable to anyone without prior knowledge. Limit spelling and grammatical errors and avoid acronyms, abbreviations, jargon, and unnecessary headings. </w:t>
      </w:r>
    </w:p>
    <w:p w14:paraId="18DD65A7" w14:textId="77777777" w:rsidR="007A743C" w:rsidRPr="000F6CD1" w:rsidRDefault="007A743C" w:rsidP="00DF3F6B">
      <w:pPr>
        <w:pStyle w:val="ListParagraph"/>
        <w:numPr>
          <w:ilvl w:val="0"/>
          <w:numId w:val="98"/>
        </w:numPr>
        <w:spacing w:before="240" w:after="240" w:line="240" w:lineRule="auto"/>
        <w:rPr>
          <w:lang w:eastAsia="ko-KR"/>
        </w:rPr>
      </w:pPr>
      <w:r w:rsidRPr="000F6CD1">
        <w:rPr>
          <w:lang w:eastAsia="ko-KR"/>
        </w:rPr>
        <w:t>Provide a holistic and complete summary of the older person’s assessment at that time.</w:t>
      </w:r>
    </w:p>
    <w:p w14:paraId="0091665A" w14:textId="77777777" w:rsidR="007A743C" w:rsidRPr="000F6CD1" w:rsidRDefault="007A743C" w:rsidP="00DF3F6B">
      <w:pPr>
        <w:pStyle w:val="ListParagraph"/>
        <w:numPr>
          <w:ilvl w:val="0"/>
          <w:numId w:val="98"/>
        </w:numPr>
        <w:spacing w:before="240" w:after="240" w:line="240" w:lineRule="auto"/>
      </w:pPr>
      <w:r w:rsidRPr="000F6CD1">
        <w:t>Be relevant. Only include information that is relevant to the older person’s current situation. This may mean updating previous information.</w:t>
      </w:r>
    </w:p>
    <w:p w14:paraId="65104463" w14:textId="77777777" w:rsidR="007A743C" w:rsidRPr="000F6CD1" w:rsidRDefault="007A743C" w:rsidP="00A677C9">
      <w:pPr>
        <w:spacing w:before="240" w:after="240" w:line="240" w:lineRule="auto"/>
        <w:rPr>
          <w:b/>
          <w:lang w:eastAsia="ko-KR"/>
        </w:rPr>
      </w:pPr>
      <w:r w:rsidRPr="000F6CD1">
        <w:t xml:space="preserve">Assessors must also: </w:t>
      </w:r>
    </w:p>
    <w:p w14:paraId="42BF266C" w14:textId="24A99E51" w:rsidR="0EFC4FF1" w:rsidRPr="000F6CD1" w:rsidRDefault="007A743C" w:rsidP="3FD93375">
      <w:pPr>
        <w:pStyle w:val="ListParagraph"/>
        <w:numPr>
          <w:ilvl w:val="0"/>
          <w:numId w:val="117"/>
        </w:numPr>
        <w:spacing w:before="240" w:after="240" w:line="240" w:lineRule="auto"/>
        <w:rPr>
          <w:b/>
          <w:bCs/>
        </w:rPr>
      </w:pPr>
      <w:r w:rsidRPr="000F6CD1">
        <w:t xml:space="preserve">Use the ‘pre-populate’ function in the Assessor Portal to enable the ISBAR template to tailor the pre-populated assessment information in consultation with the older person. Ensure the Assessment summary is not limited to pre-populated information but includes a holistic, comprehensive view of the older person as per information collected from the assessment. </w:t>
      </w:r>
    </w:p>
    <w:p w14:paraId="42E34698" w14:textId="717E1021" w:rsidR="007A743C" w:rsidRPr="000F6CD1" w:rsidRDefault="41507263" w:rsidP="00DF3F6B">
      <w:pPr>
        <w:pStyle w:val="ListParagraph"/>
        <w:numPr>
          <w:ilvl w:val="0"/>
          <w:numId w:val="117"/>
        </w:numPr>
        <w:spacing w:before="240" w:after="240" w:line="240" w:lineRule="auto"/>
      </w:pPr>
      <w:r w:rsidRPr="000F6CD1">
        <w:t>Avoid simple dot point form. Information should be re-written in a sentence format that is succinct, objective, supports the client’s needs, readable to the older person and justifies funding for My Aged Care services. See template in the Table 23 below.</w:t>
      </w:r>
    </w:p>
    <w:p w14:paraId="2D2439D0" w14:textId="77777777" w:rsidR="007A743C" w:rsidRPr="000F6CD1" w:rsidRDefault="007A743C" w:rsidP="00DF3F6B">
      <w:pPr>
        <w:pStyle w:val="ListParagraph"/>
        <w:numPr>
          <w:ilvl w:val="0"/>
          <w:numId w:val="116"/>
        </w:numPr>
        <w:spacing w:before="240" w:after="240" w:line="240" w:lineRule="auto"/>
      </w:pPr>
      <w:r w:rsidRPr="000F6CD1">
        <w:t>Review and edit information populated from the assessment – such as functional needs, health conditions, support considerations, and complexity indicators. For a SPR or reassessment, the assessor (in updating previous information) may need to remove content that is no longer current to remain within the 5000 character system limit. All past versions of the Support Plan are retained as a record of any deleted content. Each Support Plan must reflect the older person's current needs and circumstances. Historical content needs to be clearly identified or removed to ensure clarity of current needs.</w:t>
      </w:r>
    </w:p>
    <w:p w14:paraId="3AB973FF" w14:textId="77777777" w:rsidR="007A743C" w:rsidRPr="000F6CD1" w:rsidRDefault="007A743C" w:rsidP="00DF3F6B">
      <w:pPr>
        <w:pStyle w:val="ListParagraph"/>
        <w:numPr>
          <w:ilvl w:val="0"/>
          <w:numId w:val="116"/>
        </w:numPr>
        <w:spacing w:before="240" w:after="240" w:line="240" w:lineRule="auto"/>
        <w:rPr>
          <w:b/>
        </w:rPr>
      </w:pPr>
      <w:r w:rsidRPr="000F6CD1">
        <w:t>If clinical attendance occurred during the assessment process, the assessor must make a note of this in the Support Plan.</w:t>
      </w:r>
    </w:p>
    <w:p w14:paraId="3F96333E" w14:textId="426FDBFB" w:rsidR="00235241" w:rsidRPr="000F6CD1" w:rsidRDefault="00235241" w:rsidP="00DF3F6B">
      <w:pPr>
        <w:pStyle w:val="ListParagraph"/>
        <w:numPr>
          <w:ilvl w:val="0"/>
          <w:numId w:val="116"/>
        </w:numPr>
        <w:spacing w:before="240" w:after="240" w:line="240" w:lineRule="auto"/>
        <w:rPr>
          <w:b/>
        </w:rPr>
      </w:pPr>
      <w:r w:rsidRPr="000F6CD1">
        <w:t>Enrolled Nurses (EN) who complete a comprehensive assessment must include a statement in the support plan that the assessment has been conducted under direct or indirect RN supervision within the same organisation</w:t>
      </w:r>
    </w:p>
    <w:p w14:paraId="0CD1208B" w14:textId="4BB7B67E" w:rsidR="00C43993" w:rsidRPr="000F6CD1" w:rsidRDefault="00C43993" w:rsidP="00806A21">
      <w:pPr>
        <w:pStyle w:val="Sub-headings"/>
      </w:pPr>
      <w:r w:rsidRPr="000F6CD1">
        <w:lastRenderedPageBreak/>
        <w:t>Note</w:t>
      </w:r>
    </w:p>
    <w:p w14:paraId="3F5BF1A7" w14:textId="2916F222" w:rsidR="00C43993" w:rsidRPr="000F6CD1" w:rsidRDefault="00C43993" w:rsidP="00806A21">
      <w:pPr>
        <w:pStyle w:val="Sub-headings"/>
      </w:pPr>
      <w:r w:rsidRPr="000F6CD1">
        <w:t>Learner assessors must be supervised by an experienced certified assessor through their learning pathway. The Support Plans developed by learners</w:t>
      </w:r>
      <w:r w:rsidR="00750F79" w:rsidRPr="000F6CD1">
        <w:t xml:space="preserve">, before their appraisal activity 2 is marked complete, </w:t>
      </w:r>
      <w:r w:rsidRPr="000F6CD1">
        <w:t xml:space="preserve">must include a statement that the assessment was conducted under supervision and include the </w:t>
      </w:r>
      <w:r w:rsidR="003738D0" w:rsidRPr="000F6CD1">
        <w:t>supervisor’s</w:t>
      </w:r>
      <w:r w:rsidRPr="000F6CD1">
        <w:t xml:space="preserve"> name.</w:t>
      </w:r>
    </w:p>
    <w:p w14:paraId="77A3DED1" w14:textId="77777777" w:rsidR="007A743C" w:rsidRPr="000F6CD1" w:rsidRDefault="007A743C" w:rsidP="00A677C9">
      <w:pPr>
        <w:spacing w:before="240" w:after="240" w:line="240" w:lineRule="auto"/>
        <w:rPr>
          <w:b/>
          <w:bCs/>
        </w:rPr>
      </w:pPr>
      <w:r w:rsidRPr="000F6CD1">
        <w:t>All support plans within the assessment summary must be written using the ISBAR approach. It is expected assessors use the ISBAR format as a guide on how information is structured in the assessment summary with clear headings and subheadings where required. This</w:t>
      </w:r>
      <w:r w:rsidRPr="000F6CD1" w:rsidDel="62107929">
        <w:t xml:space="preserve"> </w:t>
      </w:r>
      <w:r w:rsidRPr="000F6CD1">
        <w:t>ensures readability for not only the older person, but for their carers, service providers or future assessors, providing a holistic view of the assessment and older person.</w:t>
      </w:r>
      <w:r w:rsidRPr="000F6CD1">
        <w:rPr>
          <w:b/>
          <w:bCs/>
        </w:rPr>
        <w:t xml:space="preserve"> </w:t>
      </w:r>
    </w:p>
    <w:p w14:paraId="7D9802FF" w14:textId="190343CA" w:rsidR="00F56FDA" w:rsidRPr="000F6CD1" w:rsidRDefault="00F56FDA" w:rsidP="00806A21">
      <w:pPr>
        <w:pStyle w:val="Sub-headings"/>
      </w:pPr>
      <w:r w:rsidRPr="00DD330F">
        <w:t xml:space="preserve">Note </w:t>
      </w:r>
      <w:r w:rsidRPr="000F6CD1">
        <w:t>to Aboriginal and Torres Strait Islander Assessment organisations:</w:t>
      </w:r>
    </w:p>
    <w:p w14:paraId="04554D45" w14:textId="7F88C7C2" w:rsidR="00B83A7C" w:rsidRPr="000F6CD1" w:rsidRDefault="00B83A7C" w:rsidP="00806A21">
      <w:pPr>
        <w:pStyle w:val="Sub-headings"/>
      </w:pPr>
      <w:r w:rsidRPr="000F6CD1">
        <w:t>Assessors should be mindful that the Support Plan should be written in a way that can be understood by the older person and their support network. If needed, the assessor may follow up with the older person to explain the Support Plan to the older Aboriginal and/or Torres Strait Islander person.</w:t>
      </w:r>
    </w:p>
    <w:p w14:paraId="417C74DB" w14:textId="3B935D99" w:rsidR="007A743C" w:rsidRPr="000F6CD1" w:rsidRDefault="007A743C" w:rsidP="00A677C9">
      <w:pPr>
        <w:pStyle w:val="Caption"/>
        <w:spacing w:before="240" w:after="240"/>
      </w:pPr>
      <w:r w:rsidRPr="000F6CD1">
        <w:t>Table 2</w:t>
      </w:r>
      <w:r w:rsidR="00437A70" w:rsidRPr="000F6CD1">
        <w:t>3</w:t>
      </w:r>
      <w:r w:rsidRPr="000F6CD1">
        <w:t>. Assessment summary template using the ISBAR approach</w:t>
      </w:r>
    </w:p>
    <w:tbl>
      <w:tblPr>
        <w:tblStyle w:val="TableGrid"/>
        <w:tblW w:w="9350" w:type="dxa"/>
        <w:tblInd w:w="-5" w:type="dxa"/>
        <w:tblBorders>
          <w:bottom w:val="single" w:sz="4" w:space="0" w:color="auto"/>
          <w:insideH w:val="single" w:sz="4" w:space="0" w:color="auto"/>
        </w:tblBorders>
        <w:tblLayout w:type="fixed"/>
        <w:tblLook w:val="04A0" w:firstRow="1" w:lastRow="0" w:firstColumn="1" w:lastColumn="0" w:noHBand="0" w:noVBand="1"/>
        <w:tblCaption w:val="Assessment summary Template using ISBAR approach"/>
      </w:tblPr>
      <w:tblGrid>
        <w:gridCol w:w="2552"/>
        <w:gridCol w:w="6798"/>
      </w:tblGrid>
      <w:tr w:rsidR="00A562C4" w:rsidRPr="000F6CD1" w14:paraId="4239C24C" w14:textId="77777777" w:rsidTr="3FD93375">
        <w:trPr>
          <w:trHeight w:val="454"/>
          <w:tblHeader/>
        </w:trPr>
        <w:tc>
          <w:tcPr>
            <w:tcW w:w="2552" w:type="dxa"/>
            <w:shd w:val="clear" w:color="auto" w:fill="002060"/>
          </w:tcPr>
          <w:p w14:paraId="5E9BC176" w14:textId="77777777" w:rsidR="007A743C" w:rsidRPr="000F6CD1" w:rsidRDefault="007A743C" w:rsidP="003D374A">
            <w:pPr>
              <w:pStyle w:val="Sub-headingnon-contentpage"/>
            </w:pPr>
            <w:bookmarkStart w:id="425" w:name="_Hlk128230935"/>
            <w:r w:rsidRPr="000F6CD1">
              <w:t>ISBAR topic</w:t>
            </w:r>
          </w:p>
        </w:tc>
        <w:tc>
          <w:tcPr>
            <w:tcW w:w="6798" w:type="dxa"/>
            <w:shd w:val="clear" w:color="auto" w:fill="002060"/>
          </w:tcPr>
          <w:p w14:paraId="1859A5C9" w14:textId="77777777" w:rsidR="007A743C" w:rsidRPr="000F6CD1" w:rsidRDefault="007A743C" w:rsidP="003D374A">
            <w:pPr>
              <w:pStyle w:val="Sub-headingnon-contentpage"/>
            </w:pPr>
            <w:r w:rsidRPr="000F6CD1">
              <w:t>Assessment information</w:t>
            </w:r>
          </w:p>
        </w:tc>
      </w:tr>
      <w:tr w:rsidR="000201EF" w:rsidRPr="000F6CD1" w14:paraId="25FD4D2E" w14:textId="77777777" w:rsidTr="3FD93375">
        <w:trPr>
          <w:trHeight w:val="1094"/>
        </w:trPr>
        <w:tc>
          <w:tcPr>
            <w:tcW w:w="2552" w:type="dxa"/>
            <w:shd w:val="clear" w:color="auto" w:fill="002060"/>
          </w:tcPr>
          <w:p w14:paraId="3CDFB2E1" w14:textId="77777777" w:rsidR="007A743C" w:rsidRPr="000F6CD1" w:rsidRDefault="007A743C" w:rsidP="00A677C9">
            <w:pPr>
              <w:spacing w:before="240" w:after="240"/>
              <w:rPr>
                <w:b/>
                <w:color w:val="FFFFFF" w:themeColor="background1"/>
                <w:u w:val="single"/>
              </w:rPr>
            </w:pPr>
          </w:p>
          <w:p w14:paraId="6CDE3056" w14:textId="77777777" w:rsidR="007A743C" w:rsidRPr="000F6CD1" w:rsidRDefault="007A743C" w:rsidP="00A677C9">
            <w:pPr>
              <w:spacing w:before="240" w:after="240"/>
              <w:rPr>
                <w:b/>
                <w:color w:val="FFFFFF" w:themeColor="background1"/>
                <w:u w:val="single"/>
              </w:rPr>
            </w:pPr>
            <w:r w:rsidRPr="000F6CD1">
              <w:rPr>
                <w:b/>
                <w:color w:val="FFFFFF" w:themeColor="background1"/>
                <w:u w:val="single"/>
              </w:rPr>
              <w:t>I</w:t>
            </w:r>
            <w:r w:rsidRPr="000F6CD1">
              <w:rPr>
                <w:b/>
                <w:color w:val="FFFFFF" w:themeColor="background1"/>
              </w:rPr>
              <w:t>ntroduction</w:t>
            </w:r>
          </w:p>
        </w:tc>
        <w:tc>
          <w:tcPr>
            <w:tcW w:w="6798" w:type="dxa"/>
          </w:tcPr>
          <w:p w14:paraId="22F141D7" w14:textId="77777777" w:rsidR="007A743C" w:rsidRPr="000F6CD1" w:rsidRDefault="007A743C" w:rsidP="00DF3F6B">
            <w:pPr>
              <w:pStyle w:val="ListParagraph"/>
              <w:numPr>
                <w:ilvl w:val="0"/>
                <w:numId w:val="97"/>
              </w:numPr>
              <w:spacing w:before="240" w:after="240"/>
              <w:ind w:left="360"/>
              <w:rPr>
                <w:b/>
              </w:rPr>
            </w:pPr>
            <w:r w:rsidRPr="000F6CD1">
              <w:t>Older person’s name and age</w:t>
            </w:r>
          </w:p>
          <w:p w14:paraId="1C778C7B" w14:textId="77777777" w:rsidR="007A743C" w:rsidRPr="000F6CD1" w:rsidRDefault="007A743C" w:rsidP="00DF3F6B">
            <w:pPr>
              <w:pStyle w:val="ListParagraph"/>
              <w:numPr>
                <w:ilvl w:val="0"/>
                <w:numId w:val="92"/>
              </w:numPr>
              <w:spacing w:before="240" w:after="240"/>
              <w:ind w:left="360"/>
              <w:rPr>
                <w:b/>
                <w:bCs/>
              </w:rPr>
            </w:pPr>
            <w:r w:rsidRPr="000F6CD1">
              <w:t>Reason for assessment, including referral details (who made the referral and why, if appropriate)</w:t>
            </w:r>
          </w:p>
          <w:p w14:paraId="542A0C49" w14:textId="3A7B50A1" w:rsidR="007A743C" w:rsidRPr="000F6CD1" w:rsidRDefault="007A743C" w:rsidP="00DF3F6B">
            <w:pPr>
              <w:pStyle w:val="ListParagraph"/>
              <w:numPr>
                <w:ilvl w:val="0"/>
                <w:numId w:val="92"/>
              </w:numPr>
              <w:spacing w:before="240" w:after="240"/>
              <w:ind w:left="360"/>
            </w:pPr>
            <w:r w:rsidRPr="000F6CD1">
              <w:t>Assessment details – type (home support or comprehensive), date, location, mode, attendees, assessor name</w:t>
            </w:r>
          </w:p>
          <w:p w14:paraId="31550714" w14:textId="5D55F265" w:rsidR="007A743C" w:rsidRPr="000F6CD1" w:rsidRDefault="2CC0B500" w:rsidP="00DF3F6B">
            <w:pPr>
              <w:pStyle w:val="ListParagraph"/>
              <w:numPr>
                <w:ilvl w:val="0"/>
                <w:numId w:val="92"/>
              </w:numPr>
              <w:spacing w:before="240" w:after="240"/>
              <w:ind w:left="360"/>
              <w:rPr>
                <w:rFonts w:eastAsia="Arial"/>
                <w:szCs w:val="22"/>
              </w:rPr>
            </w:pPr>
            <w:r w:rsidRPr="000F6CD1">
              <w:rPr>
                <w:rFonts w:eastAsia="Arial"/>
                <w:szCs w:val="22"/>
              </w:rPr>
              <w:t>Whether the assessor is an EN requiring direct/indirect supervision from an RN.</w:t>
            </w:r>
          </w:p>
        </w:tc>
      </w:tr>
      <w:bookmarkEnd w:id="425"/>
      <w:tr w:rsidR="000201EF" w:rsidRPr="000F6CD1" w14:paraId="44188254" w14:textId="77777777" w:rsidTr="3FD93375">
        <w:trPr>
          <w:trHeight w:val="832"/>
        </w:trPr>
        <w:tc>
          <w:tcPr>
            <w:tcW w:w="2552" w:type="dxa"/>
            <w:shd w:val="clear" w:color="auto" w:fill="002060"/>
            <w:vAlign w:val="center"/>
          </w:tcPr>
          <w:p w14:paraId="0186990F" w14:textId="77777777" w:rsidR="007A743C" w:rsidRPr="000F6CD1" w:rsidRDefault="007A743C" w:rsidP="00A677C9">
            <w:pPr>
              <w:spacing w:before="240" w:after="240"/>
              <w:rPr>
                <w:b/>
                <w:color w:val="FFFFFF" w:themeColor="background1"/>
              </w:rPr>
            </w:pPr>
            <w:r w:rsidRPr="000F6CD1">
              <w:rPr>
                <w:b/>
                <w:color w:val="FFFFFF" w:themeColor="background1"/>
                <w:u w:val="single"/>
              </w:rPr>
              <w:t>S</w:t>
            </w:r>
            <w:r w:rsidRPr="000F6CD1">
              <w:rPr>
                <w:b/>
                <w:color w:val="FFFFFF" w:themeColor="background1"/>
              </w:rPr>
              <w:t>ituation</w:t>
            </w:r>
          </w:p>
        </w:tc>
        <w:tc>
          <w:tcPr>
            <w:tcW w:w="6798" w:type="dxa"/>
          </w:tcPr>
          <w:p w14:paraId="23AA8288" w14:textId="77777777" w:rsidR="007A743C" w:rsidRPr="000F6CD1" w:rsidRDefault="007A743C" w:rsidP="00DF3F6B">
            <w:pPr>
              <w:pStyle w:val="ListParagraph"/>
              <w:numPr>
                <w:ilvl w:val="0"/>
                <w:numId w:val="93"/>
              </w:numPr>
              <w:spacing w:before="240" w:after="240"/>
            </w:pPr>
            <w:r w:rsidRPr="000F6CD1">
              <w:t xml:space="preserve">Key health conditions that impact functional limitations and need for an aged care assessment </w:t>
            </w:r>
          </w:p>
          <w:p w14:paraId="5F5E6A15" w14:textId="00154878" w:rsidR="007A743C" w:rsidRPr="000F6CD1" w:rsidRDefault="007A743C" w:rsidP="00DF3F6B">
            <w:pPr>
              <w:pStyle w:val="ListParagraph"/>
              <w:numPr>
                <w:ilvl w:val="0"/>
                <w:numId w:val="93"/>
              </w:numPr>
              <w:spacing w:before="240" w:after="240"/>
            </w:pPr>
            <w:r w:rsidRPr="000F6CD1">
              <w:t xml:space="preserve">Medical issues (clinical assessors to include diagnosis </w:t>
            </w:r>
            <w:r w:rsidR="00437A70" w:rsidRPr="000F6CD1">
              <w:t>status) *</w:t>
            </w:r>
          </w:p>
        </w:tc>
      </w:tr>
      <w:tr w:rsidR="000201EF" w:rsidRPr="000F6CD1" w14:paraId="3F83DCF0" w14:textId="77777777" w:rsidTr="0047007F">
        <w:trPr>
          <w:trHeight w:hRule="exact" w:val="2974"/>
        </w:trPr>
        <w:tc>
          <w:tcPr>
            <w:tcW w:w="2552" w:type="dxa"/>
            <w:shd w:val="clear" w:color="auto" w:fill="002060"/>
            <w:vAlign w:val="center"/>
          </w:tcPr>
          <w:p w14:paraId="7B4CB8D0" w14:textId="77777777" w:rsidR="007A743C" w:rsidRPr="000F6CD1" w:rsidRDefault="007A743C" w:rsidP="00A677C9">
            <w:pPr>
              <w:spacing w:before="240" w:after="240"/>
              <w:rPr>
                <w:b/>
                <w:color w:val="FFFFFF" w:themeColor="background1"/>
              </w:rPr>
            </w:pPr>
            <w:r w:rsidRPr="000F6CD1">
              <w:rPr>
                <w:b/>
                <w:color w:val="FFFFFF" w:themeColor="background1"/>
                <w:u w:val="single"/>
              </w:rPr>
              <w:t>B</w:t>
            </w:r>
            <w:r w:rsidRPr="000F6CD1">
              <w:rPr>
                <w:b/>
                <w:color w:val="FFFFFF" w:themeColor="background1"/>
              </w:rPr>
              <w:t>ackground</w:t>
            </w:r>
          </w:p>
        </w:tc>
        <w:tc>
          <w:tcPr>
            <w:tcW w:w="6798" w:type="dxa"/>
          </w:tcPr>
          <w:p w14:paraId="495AFDC5" w14:textId="77777777" w:rsidR="007A743C" w:rsidRPr="000F6CD1" w:rsidRDefault="007A743C" w:rsidP="00DF3F6B">
            <w:pPr>
              <w:pStyle w:val="ListParagraph"/>
              <w:numPr>
                <w:ilvl w:val="0"/>
                <w:numId w:val="94"/>
              </w:numPr>
              <w:spacing w:before="240" w:after="240"/>
            </w:pPr>
            <w:r w:rsidRPr="000F6CD1">
              <w:t>Living arrangements*</w:t>
            </w:r>
          </w:p>
          <w:p w14:paraId="65AA2D91" w14:textId="16E38BC1" w:rsidR="00C749AA" w:rsidRPr="000F6CD1" w:rsidRDefault="00C749AA" w:rsidP="00DF3F6B">
            <w:pPr>
              <w:pStyle w:val="ListParagraph"/>
              <w:numPr>
                <w:ilvl w:val="0"/>
                <w:numId w:val="94"/>
              </w:numPr>
              <w:spacing w:before="240" w:after="240"/>
            </w:pPr>
            <w:r w:rsidRPr="000F6CD1">
              <w:t>Diversity considerations supporting the Statement of Rights and Principles</w:t>
            </w:r>
          </w:p>
          <w:p w14:paraId="42C6524C" w14:textId="77777777" w:rsidR="007A743C" w:rsidRPr="000F6CD1" w:rsidRDefault="007A743C" w:rsidP="00DF3F6B">
            <w:pPr>
              <w:pStyle w:val="ListParagraph"/>
              <w:numPr>
                <w:ilvl w:val="0"/>
                <w:numId w:val="94"/>
              </w:numPr>
              <w:spacing w:before="240" w:after="240"/>
            </w:pPr>
            <w:r w:rsidRPr="000F6CD1">
              <w:t>Current social situation and social history*</w:t>
            </w:r>
          </w:p>
          <w:p w14:paraId="4D4FFE62" w14:textId="77777777" w:rsidR="007A743C" w:rsidRPr="000F6CD1" w:rsidRDefault="007A743C" w:rsidP="00DF3F6B">
            <w:pPr>
              <w:pStyle w:val="ListParagraph"/>
              <w:numPr>
                <w:ilvl w:val="0"/>
                <w:numId w:val="94"/>
              </w:numPr>
              <w:spacing w:before="240" w:after="240"/>
            </w:pPr>
            <w:r w:rsidRPr="000F6CD1">
              <w:t>Current support</w:t>
            </w:r>
          </w:p>
          <w:p w14:paraId="10DEC81A" w14:textId="561637CE" w:rsidR="007A743C" w:rsidRPr="000F6CD1" w:rsidRDefault="007A743C" w:rsidP="00DF3F6B">
            <w:pPr>
              <w:pStyle w:val="ListParagraph"/>
              <w:numPr>
                <w:ilvl w:val="1"/>
                <w:numId w:val="94"/>
              </w:numPr>
              <w:spacing w:before="240" w:after="240"/>
            </w:pPr>
            <w:r w:rsidRPr="000F6CD1">
              <w:t xml:space="preserve">Carer </w:t>
            </w:r>
            <w:r w:rsidR="005F79F6" w:rsidRPr="000F6CD1">
              <w:t xml:space="preserve">profile </w:t>
            </w:r>
            <w:r w:rsidRPr="000F6CD1">
              <w:t>(including details of Power of Attorney in place)</w:t>
            </w:r>
          </w:p>
          <w:p w14:paraId="4DAF4065" w14:textId="77777777" w:rsidR="007A743C" w:rsidRPr="000F6CD1" w:rsidRDefault="007A743C" w:rsidP="00DF3F6B">
            <w:pPr>
              <w:pStyle w:val="ListParagraph"/>
              <w:numPr>
                <w:ilvl w:val="1"/>
                <w:numId w:val="94"/>
              </w:numPr>
              <w:spacing w:before="240" w:after="240"/>
            </w:pPr>
            <w:r w:rsidRPr="000F6CD1">
              <w:t>Other informal supports*</w:t>
            </w:r>
          </w:p>
          <w:p w14:paraId="5746504F" w14:textId="21770EE8" w:rsidR="007A743C" w:rsidRPr="000F6CD1" w:rsidRDefault="007A743C" w:rsidP="00DF3F6B">
            <w:pPr>
              <w:pStyle w:val="ListParagraph"/>
              <w:numPr>
                <w:ilvl w:val="1"/>
                <w:numId w:val="94"/>
              </w:numPr>
              <w:spacing w:before="240" w:after="240"/>
            </w:pPr>
            <w:r w:rsidRPr="000F6CD1">
              <w:rPr>
                <w:rFonts w:hint="eastAsia"/>
                <w:lang w:eastAsia="ko-KR"/>
              </w:rPr>
              <w:t xml:space="preserve">Current </w:t>
            </w:r>
            <w:r w:rsidR="005F79F6" w:rsidRPr="000F6CD1">
              <w:rPr>
                <w:lang w:eastAsia="ko-KR"/>
              </w:rPr>
              <w:t xml:space="preserve">and previous </w:t>
            </w:r>
            <w:r w:rsidRPr="000F6CD1">
              <w:rPr>
                <w:rFonts w:hint="eastAsia"/>
                <w:lang w:eastAsia="ko-KR"/>
              </w:rPr>
              <w:t>s</w:t>
            </w:r>
            <w:r w:rsidRPr="000F6CD1">
              <w:t>ervices including aged care, mental health, disability, palliative care</w:t>
            </w:r>
          </w:p>
        </w:tc>
      </w:tr>
      <w:tr w:rsidR="000201EF" w:rsidRPr="000F6CD1" w14:paraId="64597F28" w14:textId="77777777" w:rsidTr="3FD93375">
        <w:trPr>
          <w:trHeight w:val="877"/>
        </w:trPr>
        <w:tc>
          <w:tcPr>
            <w:tcW w:w="2552" w:type="dxa"/>
            <w:shd w:val="clear" w:color="auto" w:fill="002060"/>
            <w:vAlign w:val="center"/>
          </w:tcPr>
          <w:p w14:paraId="40BFAECA" w14:textId="77777777" w:rsidR="007A743C" w:rsidRPr="000F6CD1" w:rsidRDefault="007A743C" w:rsidP="00A677C9">
            <w:pPr>
              <w:spacing w:before="240" w:after="240"/>
              <w:rPr>
                <w:b/>
                <w:color w:val="FFFFFF" w:themeColor="background1"/>
              </w:rPr>
            </w:pPr>
            <w:r w:rsidRPr="000F6CD1">
              <w:rPr>
                <w:b/>
                <w:color w:val="FFFFFF" w:themeColor="background1"/>
                <w:u w:val="single"/>
              </w:rPr>
              <w:t>A</w:t>
            </w:r>
            <w:r w:rsidRPr="000F6CD1">
              <w:rPr>
                <w:b/>
                <w:color w:val="FFFFFF" w:themeColor="background1"/>
              </w:rPr>
              <w:t>ssessment</w:t>
            </w:r>
          </w:p>
        </w:tc>
        <w:tc>
          <w:tcPr>
            <w:tcW w:w="6798" w:type="dxa"/>
          </w:tcPr>
          <w:p w14:paraId="0DE48B26" w14:textId="63E0BD77" w:rsidR="007A743C" w:rsidRPr="000F6CD1" w:rsidRDefault="00AB5BE5" w:rsidP="00DF3F6B">
            <w:pPr>
              <w:pStyle w:val="ListParagraph"/>
              <w:numPr>
                <w:ilvl w:val="0"/>
                <w:numId w:val="95"/>
              </w:numPr>
              <w:spacing w:before="240" w:after="240"/>
            </w:pPr>
            <w:r w:rsidRPr="000F6CD1">
              <w:rPr>
                <w:lang w:eastAsia="ko-KR"/>
              </w:rPr>
              <w:t>Assessment observations (include carer involvement</w:t>
            </w:r>
            <w:r w:rsidR="00552816" w:rsidRPr="000F6CD1">
              <w:rPr>
                <w:lang w:eastAsia="ko-KR"/>
              </w:rPr>
              <w:t xml:space="preserve">/carer strain) under the relevant </w:t>
            </w:r>
            <w:r w:rsidR="00B56B30" w:rsidRPr="000F6CD1">
              <w:rPr>
                <w:lang w:eastAsia="ko-KR"/>
              </w:rPr>
              <w:t>domains: F</w:t>
            </w:r>
            <w:r w:rsidR="00B56B30" w:rsidRPr="000F6CD1">
              <w:t>unction</w:t>
            </w:r>
          </w:p>
          <w:p w14:paraId="13BADE37" w14:textId="77777777" w:rsidR="007A743C" w:rsidRPr="000F6CD1" w:rsidRDefault="007A743C" w:rsidP="00DF3F6B">
            <w:pPr>
              <w:pStyle w:val="ListParagraph"/>
              <w:numPr>
                <w:ilvl w:val="0"/>
                <w:numId w:val="95"/>
              </w:numPr>
              <w:spacing w:before="240" w:after="240"/>
            </w:pPr>
            <w:r w:rsidRPr="000F6CD1">
              <w:t>Medical and medications</w:t>
            </w:r>
          </w:p>
          <w:p w14:paraId="02EB9A4F" w14:textId="77777777" w:rsidR="007A743C" w:rsidRPr="000F6CD1" w:rsidRDefault="007A743C" w:rsidP="00DF3F6B">
            <w:pPr>
              <w:pStyle w:val="ListParagraph"/>
              <w:numPr>
                <w:ilvl w:val="0"/>
                <w:numId w:val="95"/>
              </w:numPr>
              <w:spacing w:before="240" w:after="240"/>
            </w:pPr>
            <w:r w:rsidRPr="000F6CD1">
              <w:lastRenderedPageBreak/>
              <w:t>Physical and personal health and frailty</w:t>
            </w:r>
          </w:p>
          <w:p w14:paraId="238B7043" w14:textId="77777777" w:rsidR="007A743C" w:rsidRPr="000F6CD1" w:rsidRDefault="007A743C" w:rsidP="00DF3F6B">
            <w:pPr>
              <w:pStyle w:val="ListParagraph"/>
              <w:numPr>
                <w:ilvl w:val="0"/>
                <w:numId w:val="95"/>
              </w:numPr>
              <w:spacing w:before="240" w:after="240"/>
            </w:pPr>
            <w:r w:rsidRPr="000F6CD1">
              <w:t>Social</w:t>
            </w:r>
          </w:p>
          <w:p w14:paraId="375E9096" w14:textId="77777777" w:rsidR="007A743C" w:rsidRPr="000F6CD1" w:rsidRDefault="007A743C" w:rsidP="00DF3F6B">
            <w:pPr>
              <w:pStyle w:val="ListParagraph"/>
              <w:numPr>
                <w:ilvl w:val="0"/>
                <w:numId w:val="95"/>
              </w:numPr>
              <w:spacing w:before="240" w:after="240"/>
            </w:pPr>
            <w:r w:rsidRPr="000F6CD1">
              <w:t>Cognition</w:t>
            </w:r>
          </w:p>
          <w:p w14:paraId="41DD9798" w14:textId="77777777" w:rsidR="007A743C" w:rsidRPr="000F6CD1" w:rsidRDefault="007A743C" w:rsidP="00DF3F6B">
            <w:pPr>
              <w:pStyle w:val="ListParagraph"/>
              <w:numPr>
                <w:ilvl w:val="0"/>
                <w:numId w:val="95"/>
              </w:numPr>
              <w:spacing w:before="240" w:after="240"/>
            </w:pPr>
            <w:r w:rsidRPr="000F6CD1">
              <w:t>Behaviour</w:t>
            </w:r>
          </w:p>
          <w:p w14:paraId="6D0D7889" w14:textId="77777777" w:rsidR="007A743C" w:rsidRPr="000F6CD1" w:rsidRDefault="007A743C" w:rsidP="00DF3F6B">
            <w:pPr>
              <w:pStyle w:val="ListParagraph"/>
              <w:numPr>
                <w:ilvl w:val="0"/>
                <w:numId w:val="95"/>
              </w:numPr>
              <w:spacing w:before="240" w:after="240"/>
            </w:pPr>
            <w:r w:rsidRPr="000F6CD1">
              <w:t>Psychological</w:t>
            </w:r>
          </w:p>
          <w:p w14:paraId="38D60333" w14:textId="77777777" w:rsidR="007A743C" w:rsidRPr="000F6CD1" w:rsidRDefault="007A743C" w:rsidP="00DF3F6B">
            <w:pPr>
              <w:pStyle w:val="ListParagraph"/>
              <w:numPr>
                <w:ilvl w:val="0"/>
                <w:numId w:val="95"/>
              </w:numPr>
              <w:spacing w:before="240" w:after="240"/>
            </w:pPr>
            <w:r w:rsidRPr="000F6CD1">
              <w:t>Home and personal safety</w:t>
            </w:r>
          </w:p>
          <w:p w14:paraId="054596DE" w14:textId="77777777" w:rsidR="007A743C" w:rsidRPr="000F6CD1" w:rsidRDefault="007A743C" w:rsidP="00DF3F6B">
            <w:pPr>
              <w:pStyle w:val="ListParagraph"/>
              <w:numPr>
                <w:ilvl w:val="0"/>
                <w:numId w:val="95"/>
              </w:numPr>
              <w:spacing w:before="240" w:after="240"/>
            </w:pPr>
            <w:r w:rsidRPr="000F6CD1">
              <w:t>Financial or legal</w:t>
            </w:r>
          </w:p>
          <w:p w14:paraId="59B9863C" w14:textId="77777777" w:rsidR="007A743C" w:rsidRPr="000F6CD1" w:rsidRDefault="007A743C" w:rsidP="00DF3F6B">
            <w:pPr>
              <w:pStyle w:val="ListParagraph"/>
              <w:numPr>
                <w:ilvl w:val="0"/>
                <w:numId w:val="95"/>
              </w:numPr>
              <w:spacing w:before="240" w:after="240"/>
            </w:pPr>
            <w:r w:rsidRPr="000F6CD1">
              <w:t>Support considerations</w:t>
            </w:r>
          </w:p>
          <w:p w14:paraId="3D5F7F7E" w14:textId="77777777" w:rsidR="007A743C" w:rsidRPr="000F6CD1" w:rsidRDefault="007A743C" w:rsidP="00DF3F6B">
            <w:pPr>
              <w:pStyle w:val="ListParagraph"/>
              <w:numPr>
                <w:ilvl w:val="0"/>
                <w:numId w:val="95"/>
              </w:numPr>
              <w:spacing w:before="240" w:after="240"/>
            </w:pPr>
            <w:r w:rsidRPr="000F6CD1">
              <w:t>Whether clinical attendance was sought by a non-clinical assessor</w:t>
            </w:r>
          </w:p>
          <w:p w14:paraId="13AADA7F" w14:textId="77777777" w:rsidR="007A743C" w:rsidRPr="000F6CD1" w:rsidRDefault="007A743C" w:rsidP="00DF3F6B">
            <w:pPr>
              <w:pStyle w:val="ListParagraph"/>
              <w:numPr>
                <w:ilvl w:val="0"/>
                <w:numId w:val="95"/>
              </w:numPr>
              <w:spacing w:before="240" w:after="240"/>
            </w:pPr>
            <w:r w:rsidRPr="000F6CD1">
              <w:t>Reference the use of any validated assessment tool (including those conducted through use of clinical attendance), the outcome of the tool and how that outcome was incorporated into the assessment.</w:t>
            </w:r>
          </w:p>
          <w:p w14:paraId="1C8CE5D3" w14:textId="77777777" w:rsidR="007A743C" w:rsidRPr="000F6CD1" w:rsidRDefault="007A743C" w:rsidP="00A677C9">
            <w:pPr>
              <w:pStyle w:val="ListParagraph"/>
              <w:spacing w:before="240" w:after="240"/>
              <w:ind w:left="360"/>
              <w:rPr>
                <w:color w:val="FFFFFF" w:themeColor="background1"/>
              </w:rPr>
            </w:pPr>
          </w:p>
        </w:tc>
      </w:tr>
      <w:tr w:rsidR="000201EF" w:rsidRPr="000F6CD1" w14:paraId="6E288241" w14:textId="77777777" w:rsidTr="3FD93375">
        <w:tc>
          <w:tcPr>
            <w:tcW w:w="2552" w:type="dxa"/>
            <w:shd w:val="clear" w:color="auto" w:fill="002060"/>
            <w:vAlign w:val="center"/>
          </w:tcPr>
          <w:p w14:paraId="58700183" w14:textId="77777777" w:rsidR="007A743C" w:rsidRPr="000F6CD1" w:rsidRDefault="007A743C" w:rsidP="00A677C9">
            <w:pPr>
              <w:spacing w:before="240" w:after="240"/>
              <w:rPr>
                <w:b/>
                <w:color w:val="FFFFFF" w:themeColor="background1"/>
              </w:rPr>
            </w:pPr>
            <w:r w:rsidRPr="000F6CD1">
              <w:rPr>
                <w:b/>
                <w:color w:val="FFFFFF" w:themeColor="background1"/>
                <w:u w:val="single"/>
              </w:rPr>
              <w:lastRenderedPageBreak/>
              <w:t>R</w:t>
            </w:r>
            <w:r w:rsidRPr="000F6CD1">
              <w:rPr>
                <w:b/>
                <w:color w:val="FFFFFF" w:themeColor="background1"/>
              </w:rPr>
              <w:t>ecommendations</w:t>
            </w:r>
          </w:p>
        </w:tc>
        <w:tc>
          <w:tcPr>
            <w:tcW w:w="6798" w:type="dxa"/>
          </w:tcPr>
          <w:p w14:paraId="5BF6F294" w14:textId="3A9BF734" w:rsidR="007A743C" w:rsidRPr="000F6CD1" w:rsidRDefault="007A743C" w:rsidP="00DF3F6B">
            <w:pPr>
              <w:pStyle w:val="ListParagraph"/>
              <w:numPr>
                <w:ilvl w:val="0"/>
                <w:numId w:val="96"/>
              </w:numPr>
              <w:spacing w:before="240" w:after="240"/>
            </w:pPr>
            <w:r w:rsidRPr="000F6CD1">
              <w:t>Previous approvals</w:t>
            </w:r>
          </w:p>
          <w:p w14:paraId="2BC4F880" w14:textId="43267C8A" w:rsidR="007A743C" w:rsidRPr="000F6CD1" w:rsidRDefault="007A743C" w:rsidP="00DF3F6B">
            <w:pPr>
              <w:pStyle w:val="ListParagraph"/>
              <w:numPr>
                <w:ilvl w:val="0"/>
                <w:numId w:val="96"/>
              </w:numPr>
              <w:spacing w:before="240" w:after="240"/>
            </w:pPr>
            <w:r w:rsidRPr="000F6CD1">
              <w:t>Current recommendations*</w:t>
            </w:r>
          </w:p>
          <w:p w14:paraId="3E7E0D15" w14:textId="77777777" w:rsidR="007A743C" w:rsidRPr="000F6CD1" w:rsidRDefault="007A743C" w:rsidP="00DF3F6B">
            <w:pPr>
              <w:pStyle w:val="ListParagraph"/>
              <w:numPr>
                <w:ilvl w:val="1"/>
                <w:numId w:val="96"/>
              </w:numPr>
              <w:spacing w:before="240" w:after="240"/>
            </w:pPr>
            <w:r w:rsidRPr="000F6CD1">
              <w:t>Reason for the recommendation (the older person benefit from X)</w:t>
            </w:r>
          </w:p>
          <w:p w14:paraId="4214B86B" w14:textId="5828B0A1" w:rsidR="7B47D507" w:rsidRPr="000F6CD1" w:rsidRDefault="7B47D507" w:rsidP="3FD93375">
            <w:pPr>
              <w:pStyle w:val="ListParagraph"/>
              <w:numPr>
                <w:ilvl w:val="1"/>
                <w:numId w:val="96"/>
              </w:numPr>
              <w:spacing w:before="240" w:after="240"/>
              <w:rPr>
                <w:rFonts w:eastAsia="Arial"/>
                <w:szCs w:val="22"/>
              </w:rPr>
            </w:pPr>
            <w:r w:rsidRPr="000F6CD1">
              <w:rPr>
                <w:rFonts w:eastAsia="Arial"/>
                <w:szCs w:val="22"/>
              </w:rPr>
              <w:t>Comments to support recommended interim services</w:t>
            </w:r>
          </w:p>
          <w:p w14:paraId="04C8BC85" w14:textId="77777777" w:rsidR="007A743C" w:rsidRPr="000F6CD1" w:rsidRDefault="007A743C" w:rsidP="00DF3F6B">
            <w:pPr>
              <w:pStyle w:val="ListParagraph"/>
              <w:numPr>
                <w:ilvl w:val="1"/>
                <w:numId w:val="96"/>
              </w:numPr>
              <w:spacing w:before="240" w:after="240"/>
            </w:pPr>
            <w:r w:rsidRPr="000F6CD1">
              <w:t xml:space="preserve">Comments relating to the urgency of service </w:t>
            </w:r>
          </w:p>
          <w:p w14:paraId="23F4DE49" w14:textId="77777777" w:rsidR="007A743C" w:rsidRPr="000F6CD1" w:rsidRDefault="007A743C" w:rsidP="00DF3F6B">
            <w:pPr>
              <w:pStyle w:val="ListParagraph"/>
              <w:numPr>
                <w:ilvl w:val="1"/>
                <w:numId w:val="96"/>
              </w:numPr>
              <w:spacing w:before="240" w:after="240"/>
            </w:pPr>
            <w:r w:rsidRPr="000F6CD1">
              <w:t>Who is to action the recommendation – older person, assessor</w:t>
            </w:r>
          </w:p>
          <w:p w14:paraId="2C0A0F53" w14:textId="0B3AD90E" w:rsidR="0EFC4FF1" w:rsidRPr="000F6CD1" w:rsidRDefault="0EFC4FF1" w:rsidP="3FD93375">
            <w:pPr>
              <w:pStyle w:val="ListParagraph"/>
              <w:numPr>
                <w:ilvl w:val="1"/>
                <w:numId w:val="96"/>
              </w:numPr>
              <w:spacing w:before="240" w:after="240"/>
              <w:rPr>
                <w:rFonts w:eastAsia="Arial"/>
                <w:szCs w:val="22"/>
              </w:rPr>
            </w:pPr>
            <w:r w:rsidRPr="000F6CD1" w:rsidDel="0EFC4FF1">
              <w:t xml:space="preserve">Recommendations associated with the carer </w:t>
            </w:r>
            <w:r w:rsidR="374A68DA" w:rsidRPr="000F6CD1">
              <w:rPr>
                <w:rFonts w:eastAsia="Arial"/>
                <w:szCs w:val="22"/>
              </w:rPr>
              <w:t>and/or affected support person/s</w:t>
            </w:r>
          </w:p>
          <w:p w14:paraId="1B3780E5" w14:textId="0B1901FA" w:rsidR="007A743C" w:rsidRPr="000F6CD1" w:rsidRDefault="007A743C" w:rsidP="00DF3F6B">
            <w:pPr>
              <w:pStyle w:val="ListParagraph"/>
              <w:numPr>
                <w:ilvl w:val="1"/>
                <w:numId w:val="96"/>
              </w:numPr>
              <w:spacing w:before="240" w:after="240"/>
            </w:pPr>
            <w:r w:rsidRPr="000F6CD1">
              <w:t xml:space="preserve">Recommendations </w:t>
            </w:r>
            <w:r w:rsidR="00E62F64" w:rsidRPr="000F6CD1">
              <w:t>must be justified by a clear link</w:t>
            </w:r>
            <w:r w:rsidRPr="000F6CD1">
              <w:t xml:space="preserve"> to assessment outcomes and</w:t>
            </w:r>
            <w:r w:rsidR="00E62F64" w:rsidRPr="000F6CD1">
              <w:t xml:space="preserve"> support </w:t>
            </w:r>
            <w:r w:rsidR="00B56B30" w:rsidRPr="000F6CD1">
              <w:t>the older</w:t>
            </w:r>
            <w:r w:rsidRPr="000F6CD1">
              <w:t xml:space="preserve"> person</w:t>
            </w:r>
            <w:r w:rsidR="00E62F64" w:rsidRPr="000F6CD1">
              <w:t>’</w:t>
            </w:r>
            <w:r w:rsidRPr="000F6CD1">
              <w:t xml:space="preserve">s </w:t>
            </w:r>
            <w:r w:rsidR="00E62F64" w:rsidRPr="000F6CD1">
              <w:t>g</w:t>
            </w:r>
            <w:r w:rsidRPr="000F6CD1">
              <w:t xml:space="preserve">oals and </w:t>
            </w:r>
            <w:r w:rsidR="00E62F64" w:rsidRPr="000F6CD1">
              <w:t>c</w:t>
            </w:r>
            <w:r w:rsidRPr="000F6CD1">
              <w:t>oncerns.</w:t>
            </w:r>
          </w:p>
          <w:p w14:paraId="3B589E98" w14:textId="77777777" w:rsidR="007A743C" w:rsidRPr="000F6CD1" w:rsidRDefault="007A743C" w:rsidP="00DF3F6B">
            <w:pPr>
              <w:pStyle w:val="ListParagraph"/>
              <w:numPr>
                <w:ilvl w:val="0"/>
                <w:numId w:val="96"/>
              </w:numPr>
              <w:spacing w:before="240" w:after="240"/>
            </w:pPr>
            <w:r w:rsidRPr="000F6CD1">
              <w:t>Referrals*</w:t>
            </w:r>
          </w:p>
          <w:p w14:paraId="51C8F90C" w14:textId="77777777" w:rsidR="007A743C" w:rsidRPr="000F6CD1" w:rsidRDefault="007A743C" w:rsidP="00DF3F6B">
            <w:pPr>
              <w:pStyle w:val="ListParagraph"/>
              <w:numPr>
                <w:ilvl w:val="1"/>
                <w:numId w:val="96"/>
              </w:numPr>
              <w:spacing w:before="240" w:after="240"/>
            </w:pPr>
            <w:r w:rsidRPr="000F6CD1">
              <w:t>Status of referral (e.g., referral made with consent, older person declined referral)</w:t>
            </w:r>
          </w:p>
          <w:p w14:paraId="2607144F" w14:textId="77777777" w:rsidR="007A743C" w:rsidRPr="000F6CD1" w:rsidRDefault="007A743C" w:rsidP="00DF3F6B">
            <w:pPr>
              <w:pStyle w:val="ListParagraph"/>
              <w:numPr>
                <w:ilvl w:val="1"/>
                <w:numId w:val="96"/>
              </w:numPr>
              <w:spacing w:before="240" w:after="240"/>
            </w:pPr>
            <w:r w:rsidRPr="000F6CD1">
              <w:t>Who is responsible for contacting services</w:t>
            </w:r>
          </w:p>
          <w:p w14:paraId="78A2D118" w14:textId="0421B208" w:rsidR="007A743C" w:rsidRPr="000F6CD1" w:rsidRDefault="007A743C" w:rsidP="00DF3F6B">
            <w:pPr>
              <w:pStyle w:val="ListParagraph"/>
              <w:numPr>
                <w:ilvl w:val="1"/>
                <w:numId w:val="96"/>
              </w:numPr>
              <w:spacing w:before="240" w:after="240"/>
            </w:pPr>
            <w:r w:rsidRPr="000F6CD1">
              <w:t>Time-limited/end date or review date, or a rationale for ongoing services.</w:t>
            </w:r>
          </w:p>
          <w:p w14:paraId="193C80FA" w14:textId="028E7294" w:rsidR="007A743C" w:rsidRPr="000F6CD1" w:rsidRDefault="007A743C" w:rsidP="00DF3F6B">
            <w:pPr>
              <w:pStyle w:val="ListParagraph"/>
              <w:numPr>
                <w:ilvl w:val="0"/>
                <w:numId w:val="96"/>
              </w:numPr>
              <w:spacing w:before="240" w:after="240"/>
            </w:pPr>
            <w:r w:rsidRPr="000F6CD1">
              <w:t xml:space="preserve">Contact details (if not older </w:t>
            </w:r>
            <w:r w:rsidR="00437A70" w:rsidRPr="000F6CD1">
              <w:t>person) *</w:t>
            </w:r>
          </w:p>
          <w:p w14:paraId="412CC904" w14:textId="77777777" w:rsidR="007A743C" w:rsidRPr="000F6CD1" w:rsidRDefault="007A743C" w:rsidP="0047007F">
            <w:pPr>
              <w:pStyle w:val="ListParagraph"/>
              <w:numPr>
                <w:ilvl w:val="0"/>
                <w:numId w:val="96"/>
              </w:numPr>
              <w:spacing w:before="240" w:after="240"/>
            </w:pPr>
            <w:r w:rsidRPr="000F6CD1">
              <w:t>Who has been sent a copy of the Support Plan, including whether it has been linked to the older person’s My Health Record*</w:t>
            </w:r>
          </w:p>
        </w:tc>
      </w:tr>
    </w:tbl>
    <w:p w14:paraId="2319F5B8" w14:textId="5B777A3C" w:rsidR="00B56B30" w:rsidRPr="000F6CD1" w:rsidRDefault="007A743C" w:rsidP="00A677C9">
      <w:pPr>
        <w:spacing w:before="240" w:after="240" w:line="240" w:lineRule="auto"/>
      </w:pPr>
      <w:r w:rsidRPr="000F6CD1">
        <w:t>*</w:t>
      </w:r>
      <w:r w:rsidR="00437A70" w:rsidRPr="000F6CD1">
        <w:t>Indicates</w:t>
      </w:r>
      <w:r w:rsidRPr="000F6CD1">
        <w:t xml:space="preserve"> items that are not pre-populated</w:t>
      </w:r>
    </w:p>
    <w:p w14:paraId="284A0759" w14:textId="7CA48241" w:rsidR="007A743C" w:rsidRPr="000F6CD1" w:rsidRDefault="00B56B30" w:rsidP="00B56B30">
      <w:r w:rsidRPr="000F6CD1">
        <w:br w:type="page"/>
      </w:r>
    </w:p>
    <w:p w14:paraId="35F4624B" w14:textId="77777777" w:rsidR="007A743C" w:rsidRPr="000F6CD1" w:rsidRDefault="007A743C" w:rsidP="00A677C9">
      <w:pPr>
        <w:spacing w:before="240" w:after="240" w:line="240" w:lineRule="auto"/>
        <w:rPr>
          <w:b/>
          <w:bCs/>
        </w:rPr>
      </w:pPr>
      <w:r w:rsidRPr="000F6CD1">
        <w:lastRenderedPageBreak/>
        <w:t xml:space="preserve">Further guidance on </w:t>
      </w:r>
      <w:r w:rsidRPr="000F6CD1">
        <w:rPr>
          <w:b/>
          <w:bCs/>
        </w:rPr>
        <w:t>the information that should be included under each heading is below:</w:t>
      </w:r>
    </w:p>
    <w:p w14:paraId="0FFCDC9C" w14:textId="5D45406A" w:rsidR="4AEDACC2" w:rsidRPr="000F6CD1" w:rsidRDefault="4AEDACC2" w:rsidP="0047007F">
      <w:pPr>
        <w:spacing w:before="240" w:after="240"/>
        <w:rPr>
          <w:rFonts w:eastAsia="Arial"/>
          <w:szCs w:val="22"/>
        </w:rPr>
      </w:pPr>
      <w:r w:rsidRPr="000F6CD1">
        <w:rPr>
          <w:rFonts w:eastAsia="Arial"/>
          <w:b/>
          <w:bCs/>
          <w:szCs w:val="22"/>
        </w:rPr>
        <w:t xml:space="preserve">Introduction section: </w:t>
      </w:r>
      <w:r w:rsidRPr="000F6CD1">
        <w:rPr>
          <w:rFonts w:eastAsia="Arial"/>
          <w:szCs w:val="22"/>
        </w:rPr>
        <w:t>Sets the scene for the assessment. This section should include the client’s name and age, the type of assessment being conducted, the reason for assessment, support persons present such as carers/registered support persons/translation services, the date of when the assessment took place, whether the assessment was conducted face-to-face or via telehealth or telephone, the name of the assessor including supervising assessors (including registered nurses if assessor is an enrolled nurse).</w:t>
      </w:r>
    </w:p>
    <w:p w14:paraId="7B6BB7E6" w14:textId="25082010" w:rsidR="007A743C" w:rsidRPr="000F6CD1" w:rsidRDefault="007A743C" w:rsidP="00A677C9">
      <w:pPr>
        <w:spacing w:before="240" w:after="240" w:line="240" w:lineRule="auto"/>
      </w:pPr>
      <w:r w:rsidRPr="000F6CD1">
        <w:rPr>
          <w:b/>
        </w:rPr>
        <w:t>Situation section:</w:t>
      </w:r>
      <w:r w:rsidRPr="000F6CD1">
        <w:t xml:space="preserve"> Ensure this section outlines the primary reasoning for the referral for aged care reason including any linkages to functional, social, psychosocial and environmental factors. This section should</w:t>
      </w:r>
      <w:r w:rsidRPr="000F6CD1" w:rsidDel="00557E6F">
        <w:t xml:space="preserve"> i</w:t>
      </w:r>
      <w:r w:rsidRPr="000F6CD1">
        <w:t>nclude an older persons’ medical history with specific reference to the primary health condition(s) that impact their activities of daily living and/or social situation. Include any recent hospitalisations or access to ongoing medical intervention. This should link to any medical services the older person is currently receiving including any specific specialists, doctors or other medical professionals they are currently seeing (e.g. GP)</w:t>
      </w:r>
    </w:p>
    <w:p w14:paraId="6E7AFEE5" w14:textId="72288F9C" w:rsidR="007A743C" w:rsidRPr="000F6CD1" w:rsidRDefault="007A743C" w:rsidP="00A677C9">
      <w:pPr>
        <w:spacing w:before="240" w:after="240" w:line="240" w:lineRule="auto"/>
      </w:pPr>
      <w:r w:rsidRPr="000F6CD1">
        <w:rPr>
          <w:b/>
        </w:rPr>
        <w:t>Background section</w:t>
      </w:r>
      <w:r w:rsidRPr="000F6CD1">
        <w:rPr>
          <w:b/>
          <w:bCs/>
        </w:rPr>
        <w:t>:</w:t>
      </w:r>
      <w:r w:rsidRPr="000F6CD1">
        <w:t xml:space="preserve"> Include information that pertains to the older person’s current social situation and any social history with details on living arrangements, work and/or social engagements. This includes caring arrangements (formal or informal) that are in place for the older person and what specific supports they are currently providing to the older person. This should also outline any carer stress or carer sustainability issues pertaining to the older person. Assessors should outline any aged care services</w:t>
      </w:r>
      <w:r w:rsidR="00EF5811" w:rsidRPr="000F6CD1">
        <w:t xml:space="preserve"> (past and present)</w:t>
      </w:r>
      <w:r w:rsidRPr="000F6CD1">
        <w:t xml:space="preserve"> or other government or </w:t>
      </w:r>
      <w:r w:rsidR="00437A70" w:rsidRPr="000F6CD1">
        <w:t>state-based</w:t>
      </w:r>
      <w:r w:rsidRPr="000F6CD1">
        <w:t xml:space="preserve"> services that are being accessed at the time of the assessment.</w:t>
      </w:r>
    </w:p>
    <w:p w14:paraId="7F917945" w14:textId="6D56F2A8" w:rsidR="007A743C" w:rsidRPr="000F6CD1" w:rsidRDefault="0EFC4FF1" w:rsidP="00A677C9">
      <w:pPr>
        <w:spacing w:before="240" w:after="240" w:line="240" w:lineRule="auto"/>
      </w:pPr>
      <w:r w:rsidRPr="000F6CD1">
        <w:rPr>
          <w:b/>
          <w:bCs/>
        </w:rPr>
        <w:t>Assessment section:</w:t>
      </w:r>
      <w:r w:rsidRPr="000F6CD1">
        <w:t xml:space="preserve"> </w:t>
      </w:r>
      <w:r w:rsidR="1E0BE84E" w:rsidRPr="000F6CD1">
        <w:rPr>
          <w:rFonts w:eastAsia="Arial"/>
          <w:szCs w:val="22"/>
        </w:rPr>
        <w:t>Include all relevant sections of the assessment and highlight any complexity indicators. Record detailed observations against the domains and use language such as ‘the older person experiences X and has difficulty with Y, they would benefit from Z</w:t>
      </w:r>
      <w:r w:rsidR="00F513CB" w:rsidRPr="000F6CD1">
        <w:rPr>
          <w:rFonts w:eastAsia="Arial"/>
          <w:szCs w:val="22"/>
        </w:rPr>
        <w:t>.’</w:t>
      </w:r>
      <w:r w:rsidR="007A743C" w:rsidRPr="000F6CD1">
        <w:rPr>
          <w:rFonts w:eastAsia="Arial"/>
          <w:szCs w:val="22"/>
        </w:rPr>
        <w:t xml:space="preserve"> </w:t>
      </w:r>
      <w:r w:rsidR="007A743C" w:rsidRPr="000F6CD1">
        <w:t xml:space="preserve">It should include all validated assessment tools and its scores that were used in the ‘assessment’ section along with an explanation of what the score indicates. </w:t>
      </w:r>
      <w:r w:rsidR="00392984" w:rsidRPr="000F6CD1">
        <w:t xml:space="preserve">This should include reference to completion of the DEMMI modified tool if </w:t>
      </w:r>
      <w:r w:rsidR="00A636BA" w:rsidRPr="000F6CD1">
        <w:t>respite is recommended</w:t>
      </w:r>
      <w:r w:rsidR="00B47DC0" w:rsidRPr="000F6CD1">
        <w:t xml:space="preserve"> – see section 6.10.1</w:t>
      </w:r>
      <w:r w:rsidR="008D4D2B">
        <w:fldChar w:fldCharType="begin"/>
      </w:r>
      <w:r w:rsidR="008D4D2B">
        <w:instrText xml:space="preserve"> REF _Ref232604509 \h </w:instrText>
      </w:r>
      <w:r w:rsidR="008D4D2B">
        <w:fldChar w:fldCharType="separate"/>
      </w:r>
      <w:r w:rsidR="004B171E" w:rsidRPr="000F6CD1">
        <w:t>Recommending residential respite care</w:t>
      </w:r>
      <w:r w:rsidR="008D4D2B">
        <w:fldChar w:fldCharType="end"/>
      </w:r>
      <w:r w:rsidR="00B47DC0" w:rsidRPr="000F6CD1">
        <w:t xml:space="preserve"> for more information</w:t>
      </w:r>
      <w:r w:rsidR="00A636BA" w:rsidRPr="000F6CD1">
        <w:t xml:space="preserve">. </w:t>
      </w:r>
      <w:r w:rsidR="007A743C" w:rsidRPr="000F6CD1">
        <w:t xml:space="preserve">The assessor should exercise clinical judgement on whether specific scores should be excluded (e.g. sensitivity content for the older person) </w:t>
      </w:r>
    </w:p>
    <w:p w14:paraId="0AE6436E" w14:textId="180CF5E1" w:rsidR="007A743C" w:rsidRDefault="007A743C" w:rsidP="00A677C9">
      <w:pPr>
        <w:spacing w:before="240" w:after="240" w:line="240" w:lineRule="auto"/>
      </w:pPr>
      <w:r w:rsidRPr="000F6CD1">
        <w:rPr>
          <w:b/>
        </w:rPr>
        <w:t>Recommendation section:</w:t>
      </w:r>
      <w:r w:rsidRPr="000F6CD1">
        <w:t xml:space="preserve"> </w:t>
      </w:r>
      <w:r w:rsidR="5D69F0EB" w:rsidRPr="000F6CD1">
        <w:t xml:space="preserve"> Include all new recommendations/continuation of existing approvals, status of service referrals, time limited/ongoing/interim supports, who is responsible for actioning next steps, older persons’ contact details and whether clinical attendance was required. Ensure that recommendations can be justified clearly through the Assessment Summary ISBAR format. Ensure that the information provided here can be linked to the older persons’ service recommendations and approvals under the Goals and Concerns. It is </w:t>
      </w:r>
      <w:r w:rsidR="00B56B30" w:rsidRPr="000F6CD1">
        <w:t>best practice</w:t>
      </w:r>
      <w:r w:rsidR="5D69F0EB" w:rsidRPr="000F6CD1">
        <w:t xml:space="preserve"> to revisit the recommendations section of the Assessment Summary following recording the older person’s Concerns and Goals</w:t>
      </w:r>
      <w:r w:rsidR="5D69F0EB" w:rsidRPr="000F6CD1">
        <w:rPr>
          <w:b/>
          <w:bCs/>
        </w:rPr>
        <w:t xml:space="preserve"> </w:t>
      </w:r>
      <w:r w:rsidR="5D69F0EB" w:rsidRPr="000F6CD1">
        <w:t>and prior to finalising the IAT.</w:t>
      </w:r>
    </w:p>
    <w:p w14:paraId="6E0E8C26" w14:textId="4663B984" w:rsidR="007A743C" w:rsidRPr="003738D0" w:rsidRDefault="003738D0" w:rsidP="003738D0">
      <w:r>
        <w:br w:type="page"/>
      </w:r>
    </w:p>
    <w:p w14:paraId="3EB59413" w14:textId="42D9FE6D" w:rsidR="007A743C" w:rsidRPr="000F6CD1" w:rsidRDefault="007A743C" w:rsidP="006647CE">
      <w:pPr>
        <w:pStyle w:val="h2"/>
      </w:pPr>
      <w:bookmarkStart w:id="426" w:name="_Toc198813655"/>
      <w:bookmarkStart w:id="427" w:name="_Toc204329558"/>
      <w:bookmarkStart w:id="428" w:name="_Toc209188988"/>
      <w:bookmarkStart w:id="429" w:name="_Toc233282449"/>
      <w:bookmarkStart w:id="430" w:name="CH1_WellnessandReablement"/>
      <w:r w:rsidRPr="000F6CD1">
        <w:lastRenderedPageBreak/>
        <w:t xml:space="preserve">Wellness and </w:t>
      </w:r>
      <w:r w:rsidR="00E02EDD" w:rsidRPr="000F6CD1">
        <w:t>r</w:t>
      </w:r>
      <w:r w:rsidRPr="000F6CD1">
        <w:t xml:space="preserve">eablement </w:t>
      </w:r>
      <w:r w:rsidR="00E02EDD" w:rsidRPr="000F6CD1">
        <w:t>a</w:t>
      </w:r>
      <w:r w:rsidRPr="000F6CD1">
        <w:t>pproach</w:t>
      </w:r>
      <w:bookmarkEnd w:id="426"/>
      <w:bookmarkEnd w:id="427"/>
      <w:bookmarkEnd w:id="428"/>
      <w:bookmarkEnd w:id="429"/>
    </w:p>
    <w:bookmarkEnd w:id="430"/>
    <w:p w14:paraId="56FE70D2" w14:textId="77777777" w:rsidR="007A743C" w:rsidRPr="000F6CD1" w:rsidRDefault="007A743C" w:rsidP="00A677C9">
      <w:pPr>
        <w:spacing w:before="240" w:after="240" w:line="240" w:lineRule="auto"/>
      </w:pPr>
      <w:r w:rsidRPr="000F6CD1">
        <w:t xml:space="preserve">Wellness and reablement are person-centred, holistic approaches to service delivery. They build on people’s strengths, capacity and goals to promote greater independence and autonomy. Wellness and reablement approaches are based on the premise that, even for individuals who experience frailty, older people want to improve their physical, social and emotional wellbeing, and remain living at home, connected to their community. </w:t>
      </w:r>
    </w:p>
    <w:p w14:paraId="7A3B12E9" w14:textId="77777777" w:rsidR="007A743C" w:rsidRPr="000F6CD1" w:rsidRDefault="007A743C" w:rsidP="00A677C9">
      <w:pPr>
        <w:spacing w:before="240" w:after="240" w:line="240" w:lineRule="auto"/>
        <w:rPr>
          <w:rFonts w:eastAsia="Arial"/>
        </w:rPr>
      </w:pPr>
      <w:r w:rsidRPr="000F6CD1">
        <w:rPr>
          <w:rFonts w:eastAsia="Arial"/>
        </w:rPr>
        <w:t>By focusing on capacity-building and restoring or maintaining function, wellness and reablement approaches directly contribute to the wellbeing outcomes described in the Act and the strengthened Aged Care Quality Standards. These support older people to live safely, independently, and with a sustained sense of meaning and connection in their own homes and communities.</w:t>
      </w:r>
      <w:bookmarkStart w:id="431" w:name="_Linking_Supports"/>
      <w:bookmarkEnd w:id="431"/>
    </w:p>
    <w:p w14:paraId="475160B1" w14:textId="1D7D654C" w:rsidR="007A743C" w:rsidRPr="000F6CD1" w:rsidRDefault="007A743C" w:rsidP="00AD2CE5">
      <w:pPr>
        <w:pStyle w:val="H3"/>
      </w:pPr>
      <w:r w:rsidRPr="000F6CD1">
        <w:t xml:space="preserve">Delivering </w:t>
      </w:r>
      <w:r w:rsidR="00E02EDD" w:rsidRPr="000F6CD1">
        <w:t>r</w:t>
      </w:r>
      <w:r w:rsidRPr="000F6CD1">
        <w:t xml:space="preserve">eablement </w:t>
      </w:r>
    </w:p>
    <w:p w14:paraId="17F73D72" w14:textId="77777777" w:rsidR="007A743C" w:rsidRPr="000F6CD1" w:rsidRDefault="007A743C" w:rsidP="00A677C9">
      <w:pPr>
        <w:spacing w:before="240" w:after="240" w:line="240" w:lineRule="auto"/>
        <w:rPr>
          <w:i/>
          <w:lang w:eastAsia="ko-KR"/>
        </w:rPr>
      </w:pPr>
      <w:r w:rsidRPr="000F6CD1">
        <w:rPr>
          <w:lang w:eastAsia="ko-KR"/>
        </w:rPr>
        <w:t>The provision of wellness and reablement approaches should be embedded in the assessment and support planning processes. Wellness and reablement underpins all assessment and service provision, drawing on the wellness philosophy to inform a way of working with people. Wellness and reablement are inclusive approaches that involve assessment, planning and delivery of supports that build on the strengths, capacity, and goals of individuals irrespective of age, capacity, diagnosis or setting</w:t>
      </w:r>
      <w:r w:rsidRPr="000F6CD1">
        <w:rPr>
          <w:rStyle w:val="FootnoteReference"/>
          <w:lang w:eastAsia="ko-KR"/>
        </w:rPr>
        <w:footnoteReference w:id="4"/>
      </w:r>
      <w:r w:rsidRPr="000F6CD1">
        <w:rPr>
          <w:lang w:eastAsia="ko-KR"/>
        </w:rPr>
        <w:t>. Additionally, these approaches build on people’s strengths and goals to promote greater independence and autonomy in daily living tasks, as well as reducing risks affecting the ability to live safely at home. They avoid 'doing for' when a 'doing with' approach can assist individuals to undertake a task or activity themselves (or with less assistance), and to increase satisfaction with any gains made.</w:t>
      </w:r>
      <w:r w:rsidRPr="000F6CD1">
        <w:rPr>
          <w:rFonts w:ascii="Calibri" w:hAnsi="Calibri" w:cs="Calibri"/>
        </w:rPr>
        <w:t xml:space="preserve"> </w:t>
      </w:r>
    </w:p>
    <w:p w14:paraId="02FCFB69" w14:textId="77777777" w:rsidR="007A743C" w:rsidRPr="000F6CD1" w:rsidRDefault="007A743C" w:rsidP="00A677C9">
      <w:pPr>
        <w:spacing w:before="240" w:after="240" w:line="240" w:lineRule="auto"/>
      </w:pPr>
      <w:r w:rsidRPr="000F6CD1">
        <w:t xml:space="preserve">Reablement approaches involve time-limited services for a period of up to 12 weeks and always include a specific goal. Time-limited support aims to address a specific barrier to independence and to support the older person getting back to doing things for themselves. This involves a targeted timeframe, developed with the older person, to achieve their goals. </w:t>
      </w:r>
    </w:p>
    <w:p w14:paraId="3E459913" w14:textId="12BF1DEC" w:rsidR="007A743C" w:rsidRPr="000F6CD1" w:rsidRDefault="007A743C" w:rsidP="00A677C9">
      <w:pPr>
        <w:spacing w:before="240" w:after="240" w:line="240" w:lineRule="auto"/>
      </w:pPr>
      <w:r w:rsidRPr="000F6CD1">
        <w:t xml:space="preserve">It should be noted that wellness and reablement approaches should be adopted by all assessors, including clinical assessors. For clinical assessors who are undertaking a comprehensive assessment, the option is </w:t>
      </w:r>
      <w:r w:rsidR="003C4B0A" w:rsidRPr="000F6CD1">
        <w:t xml:space="preserve">also </w:t>
      </w:r>
      <w:r w:rsidRPr="000F6CD1">
        <w:t xml:space="preserve">available to recommend an older person to receive a reablement service under CHSP if it is appropriate to do so. </w:t>
      </w:r>
    </w:p>
    <w:p w14:paraId="0F0E5502" w14:textId="79267EB5" w:rsidR="007A743C" w:rsidRPr="000F6CD1" w:rsidRDefault="007A743C" w:rsidP="00A677C9">
      <w:pPr>
        <w:spacing w:before="240" w:after="240" w:line="240" w:lineRule="auto"/>
      </w:pPr>
      <w:r w:rsidRPr="000F6CD1">
        <w:t>A wellness and reablement approach to assessment means where possible, assessors undertake a ‘show me’ (active) assessment in which older people demonstrate how they undertake certain tasks to better understand their limitations and identify risks. This is distinct from the traditional “tell me” approach used by assessors</w:t>
      </w:r>
      <w:r w:rsidR="00B23AB0" w:rsidRPr="000F6CD1">
        <w:t xml:space="preserve">. </w:t>
      </w:r>
    </w:p>
    <w:p w14:paraId="33DFF5CF" w14:textId="77777777" w:rsidR="007A743C" w:rsidRPr="000F6CD1" w:rsidRDefault="007A743C" w:rsidP="00A677C9">
      <w:pPr>
        <w:spacing w:before="240" w:after="240" w:line="240" w:lineRule="auto"/>
      </w:pPr>
      <w:r w:rsidRPr="000F6CD1">
        <w:t xml:space="preserve">Understanding what a good day looks like for an older person and how it relates to their individual goals and outcomes is important to determine short-term support needs during an assessment. This could be maintaining a level of activity or independence or working towards regaining it. Time-limited reablement is usually delivered within a 12-week period </w:t>
      </w:r>
      <w:r w:rsidRPr="000F6CD1">
        <w:lastRenderedPageBreak/>
        <w:t>with the aim to wrap up and cease the services when the older person has met their goal or specific outcome.</w:t>
      </w:r>
    </w:p>
    <w:p w14:paraId="31E5D600" w14:textId="46760076" w:rsidR="007A743C" w:rsidRPr="000F6CD1" w:rsidRDefault="007A743C" w:rsidP="00A677C9">
      <w:pPr>
        <w:spacing w:before="240" w:after="240" w:line="240" w:lineRule="auto"/>
      </w:pPr>
      <w:r w:rsidRPr="000F6CD1">
        <w:t>Time-limited reablement under the CHSP that assessors may refer older persons for can include:</w:t>
      </w:r>
    </w:p>
    <w:p w14:paraId="594F82A2" w14:textId="77777777" w:rsidR="007A743C" w:rsidRPr="000F6CD1" w:rsidRDefault="007A743C" w:rsidP="00DF3F6B">
      <w:pPr>
        <w:pStyle w:val="ListParagraph"/>
        <w:numPr>
          <w:ilvl w:val="0"/>
          <w:numId w:val="99"/>
        </w:numPr>
        <w:spacing w:before="240" w:after="240" w:line="240" w:lineRule="auto"/>
      </w:pPr>
      <w:r w:rsidRPr="000F6CD1">
        <w:t xml:space="preserve">Learning a new skill, or actively working to regain or maintain an existing skill </w:t>
      </w:r>
    </w:p>
    <w:p w14:paraId="5A536960" w14:textId="77777777" w:rsidR="007A743C" w:rsidRPr="000F6CD1" w:rsidRDefault="007A743C" w:rsidP="00A677C9">
      <w:pPr>
        <w:pStyle w:val="ListParagraph"/>
        <w:spacing w:before="240" w:after="240" w:line="240" w:lineRule="auto"/>
        <w:ind w:left="765" w:hanging="357"/>
      </w:pPr>
      <w:r w:rsidRPr="000F6CD1">
        <w:t xml:space="preserve">modification to a person’s home environment, </w:t>
      </w:r>
    </w:p>
    <w:p w14:paraId="4CFE70A0" w14:textId="77777777" w:rsidR="007A743C" w:rsidRPr="000F6CD1" w:rsidRDefault="007A743C" w:rsidP="00DF3F6B">
      <w:pPr>
        <w:pStyle w:val="ListParagraph"/>
        <w:numPr>
          <w:ilvl w:val="0"/>
          <w:numId w:val="99"/>
        </w:numPr>
        <w:spacing w:before="240" w:after="240" w:line="240" w:lineRule="auto"/>
      </w:pPr>
      <w:r w:rsidRPr="000F6CD1">
        <w:t>Providing access to assistive technology to help live more independently and safely in the home.</w:t>
      </w:r>
    </w:p>
    <w:p w14:paraId="5833816A" w14:textId="77777777" w:rsidR="007A743C" w:rsidRPr="000F6CD1" w:rsidRDefault="007A743C" w:rsidP="00A677C9">
      <w:pPr>
        <w:spacing w:before="240" w:after="240" w:line="240" w:lineRule="auto"/>
        <w:rPr>
          <w:lang w:eastAsia="ko-KR"/>
        </w:rPr>
      </w:pPr>
      <w:r w:rsidRPr="000F6CD1">
        <w:rPr>
          <w:lang w:eastAsia="ko-KR"/>
        </w:rPr>
        <w:t xml:space="preserve">For example, learning a new skill could require referral for support on how to prepare simple meals for themselves, rather than referring for meals delivery. Regaining or maintaining existing skills could require referral for Allied Health and Therapy Services to ensure the older person can continue to transfer around the home and reduce the risk of falls. </w:t>
      </w:r>
    </w:p>
    <w:p w14:paraId="4AF8B0CD" w14:textId="77777777" w:rsidR="007A743C" w:rsidRPr="000F6CD1" w:rsidRDefault="007A743C" w:rsidP="00A677C9">
      <w:pPr>
        <w:spacing w:before="240" w:after="240" w:line="240" w:lineRule="auto"/>
        <w:rPr>
          <w:lang w:eastAsia="ko-KR"/>
        </w:rPr>
      </w:pPr>
      <w:r w:rsidRPr="000F6CD1">
        <w:rPr>
          <w:lang w:eastAsia="ko-KR"/>
        </w:rPr>
        <w:t>As part of the assessment process, the assessor will need to work with the older person to identify whether they would benefit from a reablement approach to home support services, based on their needs and goals.</w:t>
      </w:r>
    </w:p>
    <w:p w14:paraId="41A37486" w14:textId="43DEB745" w:rsidR="007A743C" w:rsidRPr="000F6CD1" w:rsidRDefault="007A743C" w:rsidP="00A677C9">
      <w:pPr>
        <w:spacing w:before="240" w:after="240" w:line="240" w:lineRule="auto"/>
        <w:rPr>
          <w:lang w:eastAsia="ko-KR"/>
        </w:rPr>
      </w:pPr>
      <w:r w:rsidRPr="000F6CD1">
        <w:rPr>
          <w:lang w:eastAsia="ko-KR"/>
        </w:rPr>
        <w:t>If the older person agrees short-term reablement support is appropriate and/or beneficial to them, the assessor should include service solutions within the Support Plan to promote their independence. The assessor</w:t>
      </w:r>
      <w:r w:rsidRPr="000F6CD1" w:rsidDel="00AD4E4E">
        <w:rPr>
          <w:lang w:eastAsia="ko-KR"/>
        </w:rPr>
        <w:t xml:space="preserve"> </w:t>
      </w:r>
      <w:r w:rsidRPr="000F6CD1">
        <w:rPr>
          <w:lang w:eastAsia="ko-KR"/>
        </w:rPr>
        <w:t xml:space="preserve">must record the reason for the reablement period within the Support Plan such as: </w:t>
      </w:r>
    </w:p>
    <w:p w14:paraId="36BA2088"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rebuild confidence and independence in mobility</w:t>
      </w:r>
    </w:p>
    <w:p w14:paraId="1D7ED1CF" w14:textId="61237A01"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rebuild confidence and independence in cognitive abilities</w:t>
      </w:r>
      <w:r w:rsidR="3B0E7F91" w:rsidRPr="000F6CD1">
        <w:rPr>
          <w:lang w:eastAsia="ko-KR"/>
        </w:rPr>
        <w:t>, including for people living with dementia</w:t>
      </w:r>
    </w:p>
    <w:p w14:paraId="2543A1DB"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adaptation to functional limitation</w:t>
      </w:r>
    </w:p>
    <w:p w14:paraId="2EA5161E"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support the development/relearning of daily activities</w:t>
      </w:r>
    </w:p>
    <w:p w14:paraId="0E4E4249"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task simplification and energy conservation for managing housework</w:t>
      </w:r>
    </w:p>
    <w:p w14:paraId="6B51A5A3"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promote social contact, community access and participation</w:t>
      </w:r>
    </w:p>
    <w:p w14:paraId="364C441E"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skills development in using public transport</w:t>
      </w:r>
    </w:p>
    <w:p w14:paraId="26DE0DF0"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supporting independence through assessment for appropriate assistive technology</w:t>
      </w:r>
    </w:p>
    <w:p w14:paraId="2FC97E44"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training in the use of assistive technology</w:t>
      </w:r>
    </w:p>
    <w:p w14:paraId="5FFDB484" w14:textId="77777777" w:rsidR="007A743C" w:rsidRPr="000F6CD1" w:rsidRDefault="007A743C" w:rsidP="00DF3F6B">
      <w:pPr>
        <w:pStyle w:val="ListParagraph"/>
        <w:numPr>
          <w:ilvl w:val="0"/>
          <w:numId w:val="101"/>
        </w:numPr>
        <w:spacing w:before="240" w:after="240" w:line="240" w:lineRule="auto"/>
        <w:ind w:left="568" w:hanging="284"/>
        <w:rPr>
          <w:lang w:eastAsia="ko-KR"/>
        </w:rPr>
      </w:pPr>
      <w:r w:rsidRPr="000F6CD1">
        <w:rPr>
          <w:lang w:eastAsia="ko-KR"/>
        </w:rPr>
        <w:t>supporting independence through assessment for home modifications ensuring safe living environments.</w:t>
      </w:r>
    </w:p>
    <w:p w14:paraId="2303268A" w14:textId="170FE1BE" w:rsidR="007A743C" w:rsidRPr="000F6CD1" w:rsidRDefault="007A743C" w:rsidP="00A677C9">
      <w:pPr>
        <w:spacing w:before="240" w:after="240" w:line="240" w:lineRule="auto"/>
        <w:rPr>
          <w:lang w:eastAsia="ko-KR"/>
        </w:rPr>
      </w:pPr>
      <w:r w:rsidRPr="000F6CD1">
        <w:rPr>
          <w:lang w:eastAsia="ko-KR"/>
        </w:rPr>
        <w:t xml:space="preserve">The Support Plan may include recommendations to assist the older person to maintain and strengthen their capacity to continue to undertake daily activities and maintain social and community connections. Due to the nature of reablement supports, it is possible there will be several items in the Support Plan that need to be delivered in a coordinated way across a number of </w:t>
      </w:r>
      <w:r w:rsidR="00AC5DAE" w:rsidRPr="000F6CD1">
        <w:rPr>
          <w:lang w:eastAsia="ko-KR"/>
        </w:rPr>
        <w:t>CHSP</w:t>
      </w:r>
      <w:r w:rsidRPr="000F6CD1">
        <w:rPr>
          <w:lang w:eastAsia="ko-KR"/>
        </w:rPr>
        <w:t xml:space="preserve"> service types over a limited time period. In these circumstances, the assessor could refer an older person to a lead provider – the organisation or individual provider who will deliver the key services as identified in the Support Plan. </w:t>
      </w:r>
    </w:p>
    <w:p w14:paraId="4AEA35E7" w14:textId="77777777" w:rsidR="007A743C" w:rsidRPr="000F6CD1" w:rsidRDefault="007A743C" w:rsidP="00A677C9">
      <w:pPr>
        <w:spacing w:before="240" w:after="240" w:line="240" w:lineRule="auto"/>
        <w:rPr>
          <w:lang w:eastAsia="ko-KR"/>
        </w:rPr>
      </w:pPr>
      <w:r w:rsidRPr="000F6CD1">
        <w:rPr>
          <w:lang w:eastAsia="ko-KR"/>
        </w:rPr>
        <w:t xml:space="preserve">The assessor may also need to take on a coordination role to ensure that all services in the Support Plan are linked to a CHSP provider, and that they will all be delivered within the timeframe of the overall reablement service. For older people receiving reablement support, assessors must include review dates on the older person’s Support Plan for the purposes of reviewing the older person’s progress towards their goals and desired outcomes, requirement for ongoing services, or whether to adjust the services required. </w:t>
      </w:r>
    </w:p>
    <w:p w14:paraId="1622BA7C" w14:textId="7F8696DC" w:rsidR="007A743C" w:rsidRPr="000F6CD1" w:rsidRDefault="007A743C" w:rsidP="00A677C9">
      <w:pPr>
        <w:spacing w:before="240" w:after="240" w:line="240" w:lineRule="auto"/>
        <w:rPr>
          <w:lang w:eastAsia="ko-KR"/>
        </w:rPr>
      </w:pPr>
      <w:r w:rsidRPr="000F6CD1">
        <w:rPr>
          <w:lang w:eastAsia="ko-KR"/>
        </w:rPr>
        <w:lastRenderedPageBreak/>
        <w:t>The reablement function on My Aged Care is designed so that the Support Plan can be finalised but also kept open for the support period to allow additional edits to be made (by the assessor who completed the assessment). The timeliness Key Performance Indicator (KPI) will not be impacted. The timeliness KPI ends at the “finalise Support Plan &amp; keep open for support period</w:t>
      </w:r>
      <w:r w:rsidR="000B3946" w:rsidRPr="000F6CD1">
        <w:rPr>
          <w:lang w:eastAsia="ko-KR"/>
        </w:rPr>
        <w:t>.”</w:t>
      </w:r>
      <w:r w:rsidRPr="000F6CD1">
        <w:rPr>
          <w:lang w:eastAsia="ko-KR"/>
        </w:rPr>
        <w:t xml:space="preserve"> </w:t>
      </w:r>
    </w:p>
    <w:p w14:paraId="4D58D92C" w14:textId="29E5F211" w:rsidR="007A743C" w:rsidRPr="000F6CD1" w:rsidRDefault="007A743C" w:rsidP="00A677C9">
      <w:pPr>
        <w:spacing w:before="240" w:after="240" w:line="240" w:lineRule="auto"/>
      </w:pPr>
      <w:r w:rsidRPr="000F6CD1">
        <w:t>For a smaller sub-set of older people, CHSP restorative care may also be appropriate, where assessment indicates that the older person has potential to make a functional gain. Restorative care under CHSP involves evidence-based interventions led by an allied health worker or professional that allows a person to make a functional gain or improvement after a setback, or to avoid a preventable injury.</w:t>
      </w:r>
    </w:p>
    <w:p w14:paraId="64905AAD" w14:textId="008F26C8" w:rsidR="007A743C" w:rsidRPr="000F6CD1" w:rsidRDefault="007A743C" w:rsidP="00A677C9">
      <w:pPr>
        <w:spacing w:before="240" w:after="240" w:line="240" w:lineRule="auto"/>
        <w:rPr>
          <w:lang w:eastAsia="ko-KR"/>
        </w:rPr>
      </w:pPr>
      <w:r w:rsidRPr="000F6CD1">
        <w:rPr>
          <w:lang w:eastAsia="ko-KR"/>
        </w:rPr>
        <w:t>The department’s expected proportion is that assessment organisations recommend a period of reablement, which will include reablement based strategies and short-term support from the Aged Care Assessor and, where required, a referral to short</w:t>
      </w:r>
      <w:r w:rsidR="003863BD" w:rsidRPr="000F6CD1">
        <w:rPr>
          <w:lang w:eastAsia="ko-KR"/>
        </w:rPr>
        <w:t>-</w:t>
      </w:r>
      <w:r w:rsidRPr="000F6CD1">
        <w:rPr>
          <w:lang w:eastAsia="ko-KR"/>
        </w:rPr>
        <w:t xml:space="preserve">term CHSP Reablement based support services, to a minimum of 10% of </w:t>
      </w:r>
      <w:r w:rsidR="00516348" w:rsidRPr="000F6CD1">
        <w:rPr>
          <w:lang w:eastAsia="ko-KR"/>
        </w:rPr>
        <w:t>older people</w:t>
      </w:r>
      <w:r w:rsidRPr="000F6CD1">
        <w:rPr>
          <w:lang w:eastAsia="ko-KR"/>
        </w:rPr>
        <w:t>.</w:t>
      </w:r>
    </w:p>
    <w:p w14:paraId="10F39C0E" w14:textId="77777777" w:rsidR="007A743C" w:rsidRPr="000F6CD1" w:rsidRDefault="007A743C" w:rsidP="003D374A">
      <w:pPr>
        <w:pStyle w:val="Sub-headingnon-contentpage"/>
      </w:pPr>
      <w:r w:rsidRPr="000F6CD1">
        <w:t>The following Steps/Activities are required for facilitating reablement:</w:t>
      </w:r>
    </w:p>
    <w:p w14:paraId="7C4BC493" w14:textId="10DE8DAD" w:rsidR="0CB4DB6A" w:rsidRPr="000F6CD1" w:rsidRDefault="0CB4DB6A" w:rsidP="1CD32824">
      <w:pPr>
        <w:pStyle w:val="ListParagraph"/>
        <w:numPr>
          <w:ilvl w:val="0"/>
          <w:numId w:val="99"/>
        </w:numPr>
        <w:spacing w:before="240" w:after="240" w:line="240" w:lineRule="auto"/>
        <w:rPr>
          <w:lang w:eastAsia="ko-KR"/>
        </w:rPr>
      </w:pPr>
      <w:r w:rsidRPr="000F6CD1">
        <w:rPr>
          <w:lang w:eastAsia="ko-KR"/>
        </w:rPr>
        <w:t xml:space="preserve">Consider if the older person would benefit from short-term reablement </w:t>
      </w:r>
      <w:r w:rsidR="00A172FE" w:rsidRPr="000F6CD1">
        <w:rPr>
          <w:lang w:eastAsia="ko-KR"/>
        </w:rPr>
        <w:t>support, particularly</w:t>
      </w:r>
      <w:r w:rsidRPr="000F6CD1">
        <w:rPr>
          <w:lang w:eastAsia="ko-KR"/>
        </w:rPr>
        <w:t xml:space="preserve"> if the older person has experienced some functional loss and expresses the desire to improve independence and/or regain confidence and capacity to resume activities, including connecting with their community.</w:t>
      </w:r>
      <w:r w:rsidR="32C4E1F9" w:rsidRPr="000F6CD1">
        <w:rPr>
          <w:lang w:eastAsia="ko-KR"/>
        </w:rPr>
        <w:t xml:space="preserve"> </w:t>
      </w:r>
    </w:p>
    <w:p w14:paraId="63402AE2" w14:textId="64A86D68" w:rsidR="0CB4DB6A" w:rsidRPr="000F6CD1" w:rsidRDefault="253C6537" w:rsidP="1CD32824">
      <w:pPr>
        <w:pStyle w:val="ListParagraph"/>
        <w:numPr>
          <w:ilvl w:val="0"/>
          <w:numId w:val="99"/>
        </w:numPr>
        <w:spacing w:before="240" w:after="240" w:line="240" w:lineRule="auto"/>
        <w:rPr>
          <w:lang w:eastAsia="ko-KR"/>
        </w:rPr>
      </w:pPr>
      <w:r w:rsidRPr="000F6CD1">
        <w:rPr>
          <w:lang w:eastAsia="ko-KR"/>
        </w:rPr>
        <w:t>Consider assistive technology or home modifications for reablement</w:t>
      </w:r>
      <w:r w:rsidR="58031CCA" w:rsidRPr="000F6CD1">
        <w:rPr>
          <w:lang w:eastAsia="ko-KR"/>
        </w:rPr>
        <w:t xml:space="preserve"> support</w:t>
      </w:r>
      <w:r w:rsidRPr="000F6CD1">
        <w:rPr>
          <w:lang w:eastAsia="ko-KR"/>
        </w:rPr>
        <w:t xml:space="preserve">. </w:t>
      </w:r>
      <w:r w:rsidR="49AAE6ED" w:rsidRPr="000F6CD1">
        <w:rPr>
          <w:lang w:eastAsia="ko-KR"/>
        </w:rPr>
        <w:t xml:space="preserve">Support at Home participants </w:t>
      </w:r>
      <w:r w:rsidR="29041E2A" w:rsidRPr="000F6CD1">
        <w:rPr>
          <w:lang w:eastAsia="ko-KR"/>
        </w:rPr>
        <w:t>f</w:t>
      </w:r>
      <w:r w:rsidR="65E2E6F7" w:rsidRPr="000F6CD1">
        <w:rPr>
          <w:lang w:eastAsia="ko-KR"/>
        </w:rPr>
        <w:t>or</w:t>
      </w:r>
      <w:r w:rsidR="32C4E1F9" w:rsidRPr="000F6CD1">
        <w:rPr>
          <w:lang w:eastAsia="ko-KR"/>
        </w:rPr>
        <w:t xml:space="preserve"> example</w:t>
      </w:r>
      <w:r w:rsidR="1BB45D70" w:rsidRPr="000F6CD1">
        <w:rPr>
          <w:lang w:eastAsia="ko-KR"/>
        </w:rPr>
        <w:t>,</w:t>
      </w:r>
      <w:r w:rsidR="32C4E1F9" w:rsidRPr="000F6CD1">
        <w:rPr>
          <w:lang w:eastAsia="ko-KR"/>
        </w:rPr>
        <w:t xml:space="preserve"> if the older person would </w:t>
      </w:r>
      <w:r w:rsidR="6161CAC0" w:rsidRPr="000F6CD1">
        <w:rPr>
          <w:lang w:eastAsia="ko-KR"/>
        </w:rPr>
        <w:t>benefit</w:t>
      </w:r>
      <w:r w:rsidR="32C4E1F9" w:rsidRPr="000F6CD1">
        <w:rPr>
          <w:lang w:eastAsia="ko-KR"/>
        </w:rPr>
        <w:t xml:space="preserve"> from </w:t>
      </w:r>
      <w:r w:rsidR="7D60C498" w:rsidRPr="000F6CD1">
        <w:rPr>
          <w:lang w:eastAsia="ko-KR"/>
        </w:rPr>
        <w:t xml:space="preserve">a shower chair under the AT-HM scheme </w:t>
      </w:r>
      <w:r w:rsidR="584DAF8C" w:rsidRPr="000F6CD1">
        <w:rPr>
          <w:lang w:eastAsia="ko-KR"/>
        </w:rPr>
        <w:t xml:space="preserve">or </w:t>
      </w:r>
      <w:r w:rsidR="7DC0C285" w:rsidRPr="000F6CD1">
        <w:rPr>
          <w:lang w:eastAsia="ko-KR"/>
        </w:rPr>
        <w:t xml:space="preserve">for </w:t>
      </w:r>
      <w:r w:rsidR="34E93778" w:rsidRPr="000F6CD1">
        <w:rPr>
          <w:lang w:eastAsia="ko-KR"/>
        </w:rPr>
        <w:t xml:space="preserve">CHSP </w:t>
      </w:r>
      <w:r w:rsidR="576FCD35" w:rsidRPr="000F6CD1">
        <w:rPr>
          <w:lang w:eastAsia="ko-KR"/>
        </w:rPr>
        <w:t xml:space="preserve">clients, an </w:t>
      </w:r>
      <w:r w:rsidR="34E93778" w:rsidRPr="000F6CD1">
        <w:rPr>
          <w:lang w:eastAsia="ko-KR"/>
        </w:rPr>
        <w:t>equipment and products</w:t>
      </w:r>
      <w:r w:rsidR="6D94B580" w:rsidRPr="000F6CD1">
        <w:rPr>
          <w:lang w:eastAsia="ko-KR"/>
        </w:rPr>
        <w:t xml:space="preserve"> </w:t>
      </w:r>
      <w:r w:rsidR="526311DB" w:rsidRPr="000F6CD1">
        <w:rPr>
          <w:lang w:eastAsia="ko-KR"/>
        </w:rPr>
        <w:t xml:space="preserve">referral </w:t>
      </w:r>
      <w:r w:rsidR="7D60C498" w:rsidRPr="000F6CD1">
        <w:rPr>
          <w:lang w:eastAsia="ko-KR"/>
        </w:rPr>
        <w:t xml:space="preserve">to assist </w:t>
      </w:r>
      <w:r w:rsidR="7942A16B" w:rsidRPr="000F6CD1">
        <w:rPr>
          <w:lang w:eastAsia="ko-KR"/>
        </w:rPr>
        <w:t>them with</w:t>
      </w:r>
      <w:r w:rsidR="7D60C498" w:rsidRPr="000F6CD1">
        <w:rPr>
          <w:lang w:eastAsia="ko-KR"/>
        </w:rPr>
        <w:t xml:space="preserve"> shower</w:t>
      </w:r>
      <w:r w:rsidR="77FE4ED4" w:rsidRPr="000F6CD1">
        <w:rPr>
          <w:lang w:eastAsia="ko-KR"/>
        </w:rPr>
        <w:t>ing</w:t>
      </w:r>
      <w:r w:rsidR="7D60C498" w:rsidRPr="000F6CD1">
        <w:rPr>
          <w:lang w:eastAsia="ko-KR"/>
        </w:rPr>
        <w:t xml:space="preserve"> </w:t>
      </w:r>
      <w:r w:rsidR="0985220D" w:rsidRPr="000F6CD1">
        <w:rPr>
          <w:lang w:eastAsia="ko-KR"/>
        </w:rPr>
        <w:t>and</w:t>
      </w:r>
      <w:r w:rsidR="7D60C498" w:rsidRPr="000F6CD1">
        <w:rPr>
          <w:lang w:eastAsia="ko-KR"/>
        </w:rPr>
        <w:t xml:space="preserve"> </w:t>
      </w:r>
      <w:r w:rsidR="08766E26" w:rsidRPr="000F6CD1">
        <w:rPr>
          <w:lang w:eastAsia="ko-KR"/>
        </w:rPr>
        <w:t>preserve</w:t>
      </w:r>
      <w:r w:rsidR="7D60C498" w:rsidRPr="000F6CD1">
        <w:rPr>
          <w:lang w:eastAsia="ko-KR"/>
        </w:rPr>
        <w:t xml:space="preserve"> their </w:t>
      </w:r>
      <w:r w:rsidR="24361902" w:rsidRPr="000F6CD1">
        <w:rPr>
          <w:lang w:eastAsia="ko-KR"/>
        </w:rPr>
        <w:t>dignity</w:t>
      </w:r>
      <w:r w:rsidR="12DF35BD" w:rsidRPr="000F6CD1">
        <w:rPr>
          <w:lang w:eastAsia="ko-KR"/>
        </w:rPr>
        <w:t xml:space="preserve">, </w:t>
      </w:r>
      <w:r w:rsidR="7D60C498" w:rsidRPr="000F6CD1">
        <w:rPr>
          <w:lang w:eastAsia="ko-KR"/>
        </w:rPr>
        <w:t xml:space="preserve">instead of </w:t>
      </w:r>
      <w:r w:rsidR="55826CB4" w:rsidRPr="000F6CD1">
        <w:rPr>
          <w:lang w:eastAsia="ko-KR"/>
        </w:rPr>
        <w:t xml:space="preserve">having a </w:t>
      </w:r>
      <w:r w:rsidR="000A3D17" w:rsidRPr="000F6CD1">
        <w:rPr>
          <w:lang w:eastAsia="ko-KR"/>
        </w:rPr>
        <w:t>support worker</w:t>
      </w:r>
      <w:r w:rsidR="55826CB4" w:rsidRPr="000F6CD1">
        <w:rPr>
          <w:lang w:eastAsia="ko-KR"/>
        </w:rPr>
        <w:t xml:space="preserve"> to </w:t>
      </w:r>
      <w:r w:rsidR="00D754D3" w:rsidRPr="000F6CD1">
        <w:rPr>
          <w:lang w:eastAsia="ko-KR"/>
        </w:rPr>
        <w:t>attend</w:t>
      </w:r>
      <w:r w:rsidR="55826CB4" w:rsidRPr="000F6CD1">
        <w:rPr>
          <w:lang w:eastAsia="ko-KR"/>
        </w:rPr>
        <w:t xml:space="preserve"> and</w:t>
      </w:r>
      <w:r w:rsidR="7D60C498" w:rsidRPr="000F6CD1">
        <w:rPr>
          <w:lang w:eastAsia="ko-KR"/>
        </w:rPr>
        <w:t xml:space="preserve"> shower </w:t>
      </w:r>
      <w:r w:rsidR="55826CB4" w:rsidRPr="000F6CD1">
        <w:rPr>
          <w:lang w:eastAsia="ko-KR"/>
        </w:rPr>
        <w:t>them.</w:t>
      </w:r>
    </w:p>
    <w:p w14:paraId="323B7B75" w14:textId="040749C5"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 xml:space="preserve">Where reablement is to be provided by one or more CHSP providers, recommend a period of reablement on the older person’s Support Plan. This function allows assessors to identify </w:t>
      </w:r>
      <w:r w:rsidR="00516348" w:rsidRPr="000F6CD1">
        <w:rPr>
          <w:lang w:eastAsia="ko-KR"/>
        </w:rPr>
        <w:t>older people</w:t>
      </w:r>
      <w:r w:rsidRPr="000F6CD1">
        <w:rPr>
          <w:lang w:eastAsia="ko-KR"/>
        </w:rPr>
        <w:t xml:space="preserve"> who would benefit from reablement and allow assessors to make changes to the older person’s Support Plan during the reablement period. Users accessing the older person’s record (such as </w:t>
      </w:r>
      <w:r w:rsidR="00516348" w:rsidRPr="000F6CD1">
        <w:rPr>
          <w:lang w:eastAsia="ko-KR"/>
        </w:rPr>
        <w:t>older people</w:t>
      </w:r>
      <w:r w:rsidRPr="000F6CD1">
        <w:rPr>
          <w:lang w:eastAsia="ko-KR"/>
        </w:rPr>
        <w:t xml:space="preserve"> and service providers) will be informed that the older person is undergoing a period of linking support and/or reablement.</w:t>
      </w:r>
    </w:p>
    <w:p w14:paraId="2EFBF6D2"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Focus on elements of functional tasks that an older person can complete, and discuss what specific assistance they would benefit from in order to complete the task by themselves (to maintain and continue the independence to live at home)</w:t>
      </w:r>
    </w:p>
    <w:p w14:paraId="13389C6D"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Discuss strategies an older person can employ to more easily manage day-to-day tasks (e.g., transport planning to meet goals around the use of public transport to maintain usual activities)</w:t>
      </w:r>
    </w:p>
    <w:p w14:paraId="7DD5B5AB"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 xml:space="preserve">It is important to ask what goals the older person wants to achieve. This can be as simple as making a cup of tea without help, or to understand their bus timetable. A goal could be walking to the local bus stop to go shopping, or to get to regular senior’s events. Even small goals go a long way towards building self-confidence and regaining (or maintaining) skills to get back to doing things for oneself, to be more independent; </w:t>
      </w:r>
    </w:p>
    <w:p w14:paraId="0AA76A8B"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When looking at what goals the older person could achieve, start by asking what a good day looks like for them? Then work out with the older person what goals they need to achieve to have more of those good days.</w:t>
      </w:r>
    </w:p>
    <w:p w14:paraId="53AF0F11"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Consider the older person’s need for a mix of short-term, episodic, or ongoing services across CHSP service types (e.g., short-term personal care, episodic allied health, ongoing transport). Review this approach regularly to ensure the intensity of services matches the older person’s needs.</w:t>
      </w:r>
    </w:p>
    <w:p w14:paraId="7DE1DE55"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lastRenderedPageBreak/>
        <w:t>Maintain regular contact with the older person and providers and during the period of reablement.</w:t>
      </w:r>
    </w:p>
    <w:p w14:paraId="5D1B56F1" w14:textId="77777777"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In consultation, determine when the reablement period should be finalised and what ongoing support (if any) may be required for the older person.</w:t>
      </w:r>
    </w:p>
    <w:p w14:paraId="7CE34353" w14:textId="6E7EA1B2"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 xml:space="preserve">Develop local knowledge of reablement-type services in the region. Discuss with local providers their capacity and willingness to take on short-term </w:t>
      </w:r>
      <w:r w:rsidR="00516348" w:rsidRPr="000F6CD1">
        <w:rPr>
          <w:lang w:eastAsia="ko-KR"/>
        </w:rPr>
        <w:t>older people</w:t>
      </w:r>
      <w:r w:rsidRPr="000F6CD1">
        <w:rPr>
          <w:lang w:eastAsia="ko-KR"/>
        </w:rPr>
        <w:t xml:space="preserve"> as part of a reablement episode.</w:t>
      </w:r>
    </w:p>
    <w:p w14:paraId="359AB6F2" w14:textId="409BB25D" w:rsidR="007A743C" w:rsidRPr="000F6CD1" w:rsidRDefault="007A743C" w:rsidP="00DF3F6B">
      <w:pPr>
        <w:pStyle w:val="ListParagraph"/>
        <w:numPr>
          <w:ilvl w:val="0"/>
          <w:numId w:val="99"/>
        </w:numPr>
        <w:spacing w:before="240" w:after="240" w:line="240" w:lineRule="auto"/>
        <w:rPr>
          <w:lang w:eastAsia="ko-KR"/>
        </w:rPr>
      </w:pPr>
      <w:r w:rsidRPr="000F6CD1">
        <w:rPr>
          <w:lang w:eastAsia="ko-KR"/>
        </w:rPr>
        <w:t xml:space="preserve">An expanded in-depth description of Supporting Independence: Reablement including older person scenarios is at </w:t>
      </w:r>
      <w:r w:rsidR="00096876">
        <w:rPr>
          <w:lang w:eastAsia="ko-KR"/>
        </w:rPr>
        <w:fldChar w:fldCharType="begin"/>
      </w:r>
      <w:r w:rsidR="00096876">
        <w:rPr>
          <w:lang w:eastAsia="ko-KR"/>
        </w:rPr>
        <w:instrText xml:space="preserve"> REF _Ref233289776 \h </w:instrText>
      </w:r>
      <w:r w:rsidR="00096876">
        <w:rPr>
          <w:lang w:eastAsia="ko-KR"/>
        </w:rPr>
      </w:r>
      <w:r w:rsidR="00096876">
        <w:rPr>
          <w:lang w:eastAsia="ko-KR"/>
        </w:rPr>
        <w:fldChar w:fldCharType="separate"/>
      </w:r>
      <w:r w:rsidR="004B171E" w:rsidRPr="000F6CD1">
        <w:t>APPENDIX E – Wellness and reablement</w:t>
      </w:r>
      <w:r w:rsidR="00096876">
        <w:rPr>
          <w:lang w:eastAsia="ko-KR"/>
        </w:rPr>
        <w:fldChar w:fldCharType="end"/>
      </w:r>
      <w:r w:rsidR="00096876">
        <w:rPr>
          <w:lang w:eastAsia="ko-KR"/>
        </w:rPr>
        <w:t>.</w:t>
      </w:r>
    </w:p>
    <w:p w14:paraId="0B693C0E" w14:textId="77777777" w:rsidR="007A743C" w:rsidRPr="000F6CD1" w:rsidRDefault="007A743C" w:rsidP="00A677C9">
      <w:pPr>
        <w:pStyle w:val="ListParagraph"/>
        <w:spacing w:before="240" w:after="240" w:line="240" w:lineRule="auto"/>
        <w:ind w:left="360"/>
        <w:rPr>
          <w:lang w:eastAsia="ko-KR"/>
        </w:rPr>
      </w:pPr>
    </w:p>
    <w:tbl>
      <w:tblPr>
        <w:tblStyle w:val="TableGrid"/>
        <w:tblW w:w="0" w:type="auto"/>
        <w:tblLook w:val="04A0" w:firstRow="1" w:lastRow="0" w:firstColumn="1" w:lastColumn="0" w:noHBand="0" w:noVBand="1"/>
      </w:tblPr>
      <w:tblGrid>
        <w:gridCol w:w="846"/>
        <w:gridCol w:w="6866"/>
      </w:tblGrid>
      <w:tr w:rsidR="007A743C" w:rsidRPr="000F6CD1" w14:paraId="0D3EAEB7" w14:textId="77777777">
        <w:trPr>
          <w:trHeight w:val="1440"/>
        </w:trPr>
        <w:tc>
          <w:tcPr>
            <w:tcW w:w="846" w:type="dxa"/>
          </w:tcPr>
          <w:p w14:paraId="5F31AC44" w14:textId="77777777" w:rsidR="007A743C" w:rsidRPr="000F6CD1" w:rsidRDefault="007A743C" w:rsidP="00A677C9">
            <w:pPr>
              <w:tabs>
                <w:tab w:val="left" w:pos="709"/>
              </w:tabs>
              <w:spacing w:before="240" w:after="240"/>
              <w:rPr>
                <w:lang w:eastAsia="ko-KR"/>
              </w:rPr>
            </w:pPr>
            <w:r w:rsidRPr="000F6CD1">
              <w:rPr>
                <w:noProof/>
              </w:rPr>
              <w:drawing>
                <wp:anchor distT="0" distB="0" distL="114300" distR="114300" simplePos="0" relativeHeight="251658289" behindDoc="0" locked="0" layoutInCell="1" allowOverlap="1" wp14:anchorId="68502116" wp14:editId="7BD7DAED">
                  <wp:simplePos x="0" y="0"/>
                  <wp:positionH relativeFrom="margin">
                    <wp:posOffset>-15875</wp:posOffset>
                  </wp:positionH>
                  <wp:positionV relativeFrom="paragraph">
                    <wp:posOffset>255270</wp:posOffset>
                  </wp:positionV>
                  <wp:extent cx="342900" cy="340995"/>
                  <wp:effectExtent l="0" t="0" r="0" b="1905"/>
                  <wp:wrapSquare wrapText="bothSides"/>
                  <wp:docPr id="361579353" name="Picture 36157935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79353" name="Picture 361579353"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0FAA9BFA" w14:textId="77777777" w:rsidR="007A743C" w:rsidRPr="000F6CD1" w:rsidRDefault="007A743C" w:rsidP="00A677C9">
            <w:pPr>
              <w:spacing w:before="240" w:after="240"/>
              <w:rPr>
                <w:b/>
                <w:szCs w:val="22"/>
              </w:rPr>
            </w:pPr>
            <w:r w:rsidRPr="000F6CD1">
              <w:rPr>
                <w:b/>
                <w:szCs w:val="22"/>
              </w:rPr>
              <w:t xml:space="preserve">Department of Health, Disability and Ageing website: </w:t>
            </w:r>
          </w:p>
          <w:p w14:paraId="1F2E6F2F" w14:textId="77777777" w:rsidR="007A743C" w:rsidRPr="00F75E1A" w:rsidRDefault="007A743C" w:rsidP="00DF3F6B">
            <w:pPr>
              <w:pStyle w:val="ListParagraph"/>
              <w:numPr>
                <w:ilvl w:val="0"/>
                <w:numId w:val="105"/>
              </w:numPr>
              <w:spacing w:before="240" w:after="240"/>
              <w:ind w:left="458"/>
              <w:rPr>
                <w:rStyle w:val="Hyperlink"/>
              </w:rPr>
            </w:pPr>
            <w:hyperlink r:id="rId162">
              <w:r w:rsidRPr="00F75E1A">
                <w:rPr>
                  <w:rStyle w:val="Hyperlink"/>
                </w:rPr>
                <w:t>Commonwealth Home Support Program (CHSP) 2025-27 Manual | Australian Government Department of Health, Disability and Ageing</w:t>
              </w:r>
            </w:hyperlink>
          </w:p>
          <w:p w14:paraId="536C1BBD" w14:textId="77777777" w:rsidR="007A743C" w:rsidRPr="000F6CD1" w:rsidRDefault="007A743C" w:rsidP="00DF3F6B">
            <w:pPr>
              <w:pStyle w:val="ListParagraph"/>
              <w:numPr>
                <w:ilvl w:val="0"/>
                <w:numId w:val="105"/>
              </w:numPr>
              <w:spacing w:before="240" w:after="240"/>
              <w:ind w:left="458"/>
              <w:rPr>
                <w:lang w:eastAsia="ko-KR"/>
              </w:rPr>
            </w:pPr>
            <w:hyperlink r:id="rId163">
              <w:r w:rsidRPr="000F6CD1">
                <w:rPr>
                  <w:rStyle w:val="Hyperlink"/>
                </w:rPr>
                <w:t>Wellness and reablement resources</w:t>
              </w:r>
            </w:hyperlink>
          </w:p>
          <w:p w14:paraId="75710E4E" w14:textId="77777777" w:rsidR="007A743C" w:rsidRPr="000F6CD1" w:rsidRDefault="007A743C" w:rsidP="00DF3F6B">
            <w:pPr>
              <w:pStyle w:val="ListParagraph"/>
              <w:numPr>
                <w:ilvl w:val="0"/>
                <w:numId w:val="105"/>
              </w:numPr>
              <w:spacing w:before="240" w:after="240"/>
              <w:ind w:left="458"/>
              <w:rPr>
                <w:lang w:eastAsia="ko-KR"/>
              </w:rPr>
            </w:pPr>
            <w:hyperlink r:id="rId164">
              <w:r w:rsidRPr="000F6CD1">
                <w:rPr>
                  <w:rStyle w:val="Hyperlink"/>
                </w:rPr>
                <w:t>Living Well at Home – CHSP Good Practice Guide</w:t>
              </w:r>
            </w:hyperlink>
          </w:p>
        </w:tc>
      </w:tr>
    </w:tbl>
    <w:p w14:paraId="38C15702" w14:textId="7498E0A2" w:rsidR="007A743C" w:rsidRPr="000F6CD1" w:rsidRDefault="007A743C" w:rsidP="00AD2CE5">
      <w:pPr>
        <w:pStyle w:val="H3"/>
      </w:pPr>
      <w:bookmarkStart w:id="432" w:name="_Toc198813657"/>
      <w:bookmarkStart w:id="433" w:name="_Toc204329559"/>
      <w:bookmarkStart w:id="434" w:name="CH1_LinkingSupports"/>
      <w:bookmarkStart w:id="435" w:name="_Ref128155818"/>
      <w:r w:rsidRPr="000F6CD1">
        <w:t xml:space="preserve">Linking </w:t>
      </w:r>
      <w:r w:rsidR="004D00EC" w:rsidRPr="000F6CD1">
        <w:t>s</w:t>
      </w:r>
      <w:r w:rsidRPr="000F6CD1">
        <w:t>upports</w:t>
      </w:r>
      <w:bookmarkEnd w:id="432"/>
      <w:bookmarkEnd w:id="433"/>
    </w:p>
    <w:bookmarkEnd w:id="434"/>
    <w:p w14:paraId="56C77475" w14:textId="77777777" w:rsidR="00E87E6F" w:rsidRPr="000F6CD1" w:rsidRDefault="007A743C" w:rsidP="00A677C9">
      <w:pPr>
        <w:spacing w:before="240" w:after="240" w:line="240" w:lineRule="auto"/>
      </w:pPr>
      <w:r w:rsidRPr="000F6CD1">
        <w:t xml:space="preserve">The </w:t>
      </w:r>
      <w:r w:rsidR="003E58E9" w:rsidRPr="000F6CD1">
        <w:t>department</w:t>
      </w:r>
      <w:r w:rsidRPr="000F6CD1">
        <w:t xml:space="preserve"> has established services that will assist clients requiring support to access aged care services, including Care Finders, and Elder Care Support services.</w:t>
      </w:r>
    </w:p>
    <w:p w14:paraId="29627125" w14:textId="77777777" w:rsidR="00BE0F57" w:rsidRPr="000F6CD1" w:rsidRDefault="00BE0F57" w:rsidP="00BE0F57">
      <w:pPr>
        <w:spacing w:before="240" w:after="240" w:line="240" w:lineRule="auto"/>
      </w:pPr>
      <w:r w:rsidRPr="000F6CD1">
        <w:t xml:space="preserve">Where a client’s complex circumstances may be impeding their access to aged care services, linking service support will assist in linking them to the various services they require to live in the community with dignity, safety and independence. The aged care needs assessor must determine if a client requires linking support. </w:t>
      </w:r>
    </w:p>
    <w:p w14:paraId="409B634C" w14:textId="77777777" w:rsidR="00BE0F57" w:rsidRPr="000F6CD1" w:rsidRDefault="00BE0F57" w:rsidP="00BE0F57">
      <w:pPr>
        <w:spacing w:before="240" w:after="240" w:line="240" w:lineRule="auto"/>
      </w:pPr>
      <w:r w:rsidRPr="000F6CD1">
        <w:t>Linking service support activities are aimed at working with the client to address areas of vulnerability that are preventing access to receiving mainstream aged care support, to the extent that the client is willing or able to access aged care services. The issues include homelessness, mental health issues, drug and alcohol issues, elder and systems abuse, neglect, financial disadvantage and cognitive decline.</w:t>
      </w:r>
    </w:p>
    <w:p w14:paraId="243D1FB2" w14:textId="77777777" w:rsidR="00BE0F57" w:rsidRPr="000F6CD1" w:rsidRDefault="00BE0F57" w:rsidP="00BE0F57">
      <w:pPr>
        <w:spacing w:before="240" w:after="240" w:line="240" w:lineRule="auto"/>
      </w:pPr>
      <w:r w:rsidRPr="000F6CD1">
        <w:t>Linking service support through the assessment organisation is limited to short-term case management or care coordination to the Point of Effective Referral. It is not designed to provide ongoing support services. The role of the aged care needs assessor is finalised when:</w:t>
      </w:r>
    </w:p>
    <w:p w14:paraId="57F5B545" w14:textId="77777777" w:rsidR="00BE0F57" w:rsidRPr="000F6CD1" w:rsidRDefault="00BE0F57" w:rsidP="00BE0F57">
      <w:pPr>
        <w:pStyle w:val="ListParagraph"/>
        <w:numPr>
          <w:ilvl w:val="0"/>
          <w:numId w:val="109"/>
        </w:numPr>
        <w:spacing w:before="240" w:after="240" w:line="240" w:lineRule="auto"/>
      </w:pPr>
      <w:r w:rsidRPr="000F6CD1">
        <w:t>a referral for services is accepted by a service provider.</w:t>
      </w:r>
    </w:p>
    <w:p w14:paraId="08380E75" w14:textId="77777777" w:rsidR="00BE0F57" w:rsidRPr="000F6CD1" w:rsidRDefault="00BE0F57" w:rsidP="00BE0F57">
      <w:pPr>
        <w:pStyle w:val="ListParagraph"/>
        <w:numPr>
          <w:ilvl w:val="0"/>
          <w:numId w:val="109"/>
        </w:numPr>
        <w:spacing w:before="240" w:after="240" w:line="240" w:lineRule="auto"/>
      </w:pPr>
      <w:r w:rsidRPr="000F6CD1">
        <w:t xml:space="preserve">the client has accepted responsibility for managing their own referral for services; </w:t>
      </w:r>
    </w:p>
    <w:p w14:paraId="698F51AD" w14:textId="77777777" w:rsidR="00BE0F57" w:rsidRPr="000F6CD1" w:rsidRDefault="00BE0F57" w:rsidP="00BE0F57">
      <w:pPr>
        <w:pStyle w:val="ListParagraph"/>
        <w:numPr>
          <w:ilvl w:val="0"/>
          <w:numId w:val="109"/>
        </w:numPr>
        <w:spacing w:before="240" w:after="240" w:line="240" w:lineRule="auto"/>
      </w:pPr>
      <w:r w:rsidRPr="000F6CD1">
        <w:t xml:space="preserve">the client has made a choice not to proceed with aged care needs assessments or aged care needs assessment related services; or </w:t>
      </w:r>
    </w:p>
    <w:p w14:paraId="7F440577" w14:textId="1D8C5816" w:rsidR="00BE0F57" w:rsidRPr="000F6CD1" w:rsidRDefault="00BE0F57" w:rsidP="00A677C9">
      <w:pPr>
        <w:pStyle w:val="ListParagraph"/>
        <w:numPr>
          <w:ilvl w:val="0"/>
          <w:numId w:val="109"/>
        </w:numPr>
        <w:spacing w:before="240" w:after="240" w:line="240" w:lineRule="auto"/>
      </w:pPr>
      <w:r w:rsidRPr="000F6CD1">
        <w:t xml:space="preserve">the outcome of the aged care needs assessment is that no further action is required by the aged care needs assessor. </w:t>
      </w:r>
    </w:p>
    <w:p w14:paraId="43668E14" w14:textId="51DB8FA5" w:rsidR="00913756" w:rsidRPr="000F6CD1" w:rsidRDefault="00913756" w:rsidP="00A677C9">
      <w:pPr>
        <w:spacing w:before="240" w:after="240" w:line="240" w:lineRule="auto"/>
      </w:pPr>
      <w:r w:rsidRPr="000F6CD1">
        <w:t>Elder Care Support workers can be key partners in delivering culturally safe, trauma-aware, and healing informed assessments.</w:t>
      </w:r>
      <w:r w:rsidR="008460B0" w:rsidRPr="000F6CD1">
        <w:t xml:space="preserve"> </w:t>
      </w:r>
      <w:r w:rsidRPr="000F6CD1">
        <w:t xml:space="preserve">With </w:t>
      </w:r>
      <w:r w:rsidR="00DF0AAA" w:rsidRPr="000F6CD1">
        <w:t>a</w:t>
      </w:r>
      <w:r w:rsidRPr="000F6CD1">
        <w:t xml:space="preserve"> client’s consent, Elder Care Support workers could attend an assessment to provide trusted experience for the older person. The assessor should work closely with Elder Care Support staff to facilitate a warm handover. </w:t>
      </w:r>
      <w:r w:rsidRPr="000F6CD1">
        <w:lastRenderedPageBreak/>
        <w:t xml:space="preserve">This collaboration ensures continuity of care and supports a culturally safe and trusted transition for the older person into aged care services. </w:t>
      </w:r>
    </w:p>
    <w:p w14:paraId="5F9D8262" w14:textId="08A4F2D7" w:rsidR="00913756" w:rsidRPr="000F6CD1" w:rsidRDefault="00913756" w:rsidP="00A677C9">
      <w:pPr>
        <w:spacing w:before="240" w:after="240" w:line="240" w:lineRule="auto"/>
      </w:pPr>
      <w:r w:rsidRPr="000F6CD1">
        <w:t>If an Elder Care Support worker has not been engaged prior to the assessment, the assessor should assist the older person in connecting with Elder Care Support services delivered by Aboriginal Community Controlled Health Organisations</w:t>
      </w:r>
      <w:r w:rsidR="008A21E0" w:rsidRPr="000F6CD1">
        <w:t>.</w:t>
      </w:r>
      <w:r w:rsidRPr="000F6CD1">
        <w:t xml:space="preserve"> This support can help build trust, improve understanding of the aged care system and facilitate a smoother transition into services.</w:t>
      </w:r>
    </w:p>
    <w:tbl>
      <w:tblPr>
        <w:tblStyle w:val="TableGrid"/>
        <w:tblW w:w="0" w:type="auto"/>
        <w:tblLook w:val="04A0" w:firstRow="1" w:lastRow="0" w:firstColumn="1" w:lastColumn="0" w:noHBand="0" w:noVBand="1"/>
      </w:tblPr>
      <w:tblGrid>
        <w:gridCol w:w="846"/>
        <w:gridCol w:w="6866"/>
      </w:tblGrid>
      <w:tr w:rsidR="00E77149" w:rsidRPr="000F6CD1" w14:paraId="3E10F424" w14:textId="77777777">
        <w:trPr>
          <w:trHeight w:val="1440"/>
        </w:trPr>
        <w:tc>
          <w:tcPr>
            <w:tcW w:w="846" w:type="dxa"/>
          </w:tcPr>
          <w:p w14:paraId="28F10BDA" w14:textId="77777777" w:rsidR="00E77149" w:rsidRPr="000F6CD1" w:rsidRDefault="00E77149" w:rsidP="00173995">
            <w:pPr>
              <w:tabs>
                <w:tab w:val="left" w:pos="709"/>
              </w:tabs>
              <w:spacing w:before="240" w:after="240"/>
              <w:rPr>
                <w:lang w:eastAsia="ko-KR"/>
              </w:rPr>
            </w:pPr>
            <w:r w:rsidRPr="000F6CD1">
              <w:rPr>
                <w:noProof/>
              </w:rPr>
              <w:drawing>
                <wp:anchor distT="0" distB="0" distL="114300" distR="114300" simplePos="0" relativeHeight="251658290" behindDoc="0" locked="0" layoutInCell="1" allowOverlap="1" wp14:anchorId="2B72EBAF" wp14:editId="2068B45C">
                  <wp:simplePos x="0" y="0"/>
                  <wp:positionH relativeFrom="margin">
                    <wp:posOffset>-15875</wp:posOffset>
                  </wp:positionH>
                  <wp:positionV relativeFrom="paragraph">
                    <wp:posOffset>255270</wp:posOffset>
                  </wp:positionV>
                  <wp:extent cx="342900" cy="340995"/>
                  <wp:effectExtent l="0" t="0" r="0" b="1905"/>
                  <wp:wrapSquare wrapText="bothSides"/>
                  <wp:docPr id="551472161" name="Picture 55147216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72161" name="Picture 551472161"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42606085" w14:textId="77777777" w:rsidR="00E77149" w:rsidRPr="000F6CD1" w:rsidRDefault="00E77149" w:rsidP="00173995">
            <w:pPr>
              <w:spacing w:before="240" w:after="240"/>
              <w:rPr>
                <w:b/>
                <w:szCs w:val="22"/>
              </w:rPr>
            </w:pPr>
            <w:r w:rsidRPr="000F6CD1">
              <w:rPr>
                <w:b/>
                <w:szCs w:val="22"/>
              </w:rPr>
              <w:t xml:space="preserve">Department of Health, Disability and Ageing website: </w:t>
            </w:r>
          </w:p>
          <w:p w14:paraId="2D5557AB" w14:textId="2713CE2A" w:rsidR="00E77149" w:rsidRPr="000F6CD1" w:rsidRDefault="00E77149" w:rsidP="00DF3F6B">
            <w:pPr>
              <w:pStyle w:val="ListParagraph"/>
              <w:numPr>
                <w:ilvl w:val="0"/>
                <w:numId w:val="105"/>
              </w:numPr>
              <w:spacing w:before="240" w:after="240"/>
              <w:ind w:left="458"/>
              <w:rPr>
                <w:lang w:eastAsia="ko-KR"/>
              </w:rPr>
            </w:pPr>
            <w:hyperlink r:id="rId165" w:history="1">
              <w:r w:rsidRPr="000F6CD1">
                <w:rPr>
                  <w:rStyle w:val="Hyperlink"/>
                  <w:lang w:eastAsia="ko-KR"/>
                </w:rPr>
                <w:t>List of Elder Care Support Providers | Australian Government Department of Health, Disability and Ageing</w:t>
              </w:r>
            </w:hyperlink>
          </w:p>
        </w:tc>
      </w:tr>
    </w:tbl>
    <w:p w14:paraId="4A15C3BE" w14:textId="470F4027" w:rsidR="00F32404" w:rsidRPr="000F6CD1" w:rsidRDefault="00C74B13" w:rsidP="00A677C9">
      <w:pPr>
        <w:spacing w:before="240" w:after="240" w:line="240" w:lineRule="auto"/>
      </w:pPr>
      <w:r w:rsidRPr="000F6CD1">
        <w:t>If longer term support is needed, with consent from the older person, Elder Care Support workers or care finders should be engaged to help clients navigate the aged care system.</w:t>
      </w:r>
    </w:p>
    <w:p w14:paraId="502EBAEB" w14:textId="662189C7" w:rsidR="007A743C" w:rsidRPr="000F6CD1" w:rsidRDefault="007A743C" w:rsidP="00A677C9">
      <w:pPr>
        <w:spacing w:before="240" w:after="240" w:line="240" w:lineRule="auto"/>
        <w:rPr>
          <w:rFonts w:eastAsia="Arial"/>
          <w:color w:val="000000" w:themeColor="text1"/>
          <w:szCs w:val="22"/>
        </w:rPr>
      </w:pPr>
      <w:r w:rsidRPr="000F6CD1">
        <w:rPr>
          <w:rFonts w:eastAsia="Arial"/>
          <w:szCs w:val="22"/>
        </w:rPr>
        <w:t xml:space="preserve">Key Performance Indicators have been set by the department for assessment organisations to increase the referral of older people to time limited Linking Services Support. This </w:t>
      </w:r>
      <w:r w:rsidR="00C86062" w:rsidRPr="000F6CD1">
        <w:rPr>
          <w:rFonts w:eastAsia="Arial"/>
          <w:szCs w:val="22"/>
        </w:rPr>
        <w:t>KPI</w:t>
      </w:r>
      <w:r w:rsidRPr="000F6CD1">
        <w:rPr>
          <w:rFonts w:eastAsia="Arial"/>
          <w:szCs w:val="22"/>
        </w:rPr>
        <w:t xml:space="preserve"> specifies that </w:t>
      </w:r>
      <w:r w:rsidRPr="000F6CD1">
        <w:rPr>
          <w:rFonts w:eastAsia="Arial"/>
          <w:color w:val="000000" w:themeColor="text1"/>
          <w:szCs w:val="22"/>
        </w:rPr>
        <w:t xml:space="preserve">2.5 per cent of all </w:t>
      </w:r>
      <w:r w:rsidR="00C86062" w:rsidRPr="000F6CD1">
        <w:rPr>
          <w:rFonts w:eastAsia="Arial"/>
          <w:color w:val="000000" w:themeColor="text1"/>
          <w:szCs w:val="22"/>
        </w:rPr>
        <w:t xml:space="preserve">clients </w:t>
      </w:r>
      <w:r w:rsidRPr="000F6CD1">
        <w:rPr>
          <w:rFonts w:eastAsia="Arial"/>
          <w:color w:val="000000" w:themeColor="text1"/>
          <w:szCs w:val="22"/>
        </w:rPr>
        <w:t>will receive a time-limited Linking Services Support to address areas of vulnerability that are preventing access to receiving mainstream aged care support. Support may include short-term case management and non-aged care support.</w:t>
      </w:r>
    </w:p>
    <w:p w14:paraId="2BC59713" w14:textId="259E3E3C" w:rsidR="007A743C" w:rsidRPr="000F6CD1" w:rsidRDefault="007A743C" w:rsidP="00CC6081">
      <w:pPr>
        <w:pStyle w:val="H4"/>
      </w:pPr>
      <w:bookmarkStart w:id="436" w:name="_Toc204329560"/>
      <w:r w:rsidRPr="000F6CD1">
        <w:t xml:space="preserve">Delivering </w:t>
      </w:r>
      <w:r w:rsidR="004D00EC" w:rsidRPr="000F6CD1">
        <w:t>l</w:t>
      </w:r>
      <w:r w:rsidRPr="000F6CD1">
        <w:t xml:space="preserve">inking </w:t>
      </w:r>
      <w:r w:rsidR="004D00EC" w:rsidRPr="000F6CD1">
        <w:t>s</w:t>
      </w:r>
      <w:r w:rsidRPr="000F6CD1">
        <w:t>upport/</w:t>
      </w:r>
      <w:r w:rsidR="004D00EC" w:rsidRPr="000F6CD1">
        <w:t>c</w:t>
      </w:r>
      <w:r w:rsidRPr="000F6CD1">
        <w:t xml:space="preserve">are </w:t>
      </w:r>
      <w:r w:rsidR="004D00EC" w:rsidRPr="000F6CD1">
        <w:t>c</w:t>
      </w:r>
      <w:r w:rsidRPr="000F6CD1">
        <w:t xml:space="preserve">oordination to </w:t>
      </w:r>
      <w:bookmarkEnd w:id="435"/>
      <w:r w:rsidR="004D00EC" w:rsidRPr="000F6CD1">
        <w:t>v</w:t>
      </w:r>
      <w:r w:rsidRPr="000F6CD1">
        <w:t xml:space="preserve">ulnerable </w:t>
      </w:r>
      <w:bookmarkEnd w:id="436"/>
      <w:r w:rsidR="00516348" w:rsidRPr="000F6CD1">
        <w:t>older people</w:t>
      </w:r>
    </w:p>
    <w:p w14:paraId="5641753D" w14:textId="77777777" w:rsidR="007A743C" w:rsidRPr="000F6CD1" w:rsidRDefault="007A743C" w:rsidP="00A677C9">
      <w:pPr>
        <w:spacing w:before="240" w:after="240" w:line="240" w:lineRule="auto"/>
        <w:rPr>
          <w:lang w:eastAsia="ko-KR"/>
        </w:rPr>
      </w:pPr>
      <w:r w:rsidRPr="000F6CD1">
        <w:rPr>
          <w:lang w:eastAsia="ko-KR"/>
        </w:rPr>
        <w:t>Facilitating linking support can greatly benefit some older people whose circumstances may impede their access to aged care services. Linking support may be conducted b</w:t>
      </w:r>
      <w:r w:rsidRPr="000F6CD1">
        <w:t>y providing</w:t>
      </w:r>
      <w:r w:rsidRPr="000F6CD1">
        <w:rPr>
          <w:lang w:eastAsia="ko-KR"/>
        </w:rPr>
        <w:t xml:space="preserve"> </w:t>
      </w:r>
      <w:r w:rsidRPr="000F6CD1">
        <w:t>short-term case management or care coordination to the point of effective referral. Activities are aimed at working with the older person to address areas of vulnerability which prevent access to receiving mainstream aged care supports or care, to the extent that the older person is willing or able to access aged care services. Issues leading to vulnerability could include homelessness, mental health concerns, drug and alcohol issues, elder and systems abuse, neglect, financial disadvantage, cognitive decline and/or living in a remote locality.</w:t>
      </w:r>
      <w:r w:rsidRPr="000F6CD1">
        <w:rPr>
          <w:lang w:eastAsia="ko-KR"/>
        </w:rPr>
        <w:t xml:space="preserve"> </w:t>
      </w:r>
    </w:p>
    <w:p w14:paraId="283B8DFD" w14:textId="5653DD72" w:rsidR="007A743C" w:rsidRPr="000F6CD1" w:rsidRDefault="007A743C" w:rsidP="00A677C9">
      <w:pPr>
        <w:spacing w:before="240" w:after="240" w:line="240" w:lineRule="auto"/>
        <w:rPr>
          <w:i/>
          <w:color w:val="279986"/>
          <w:u w:val="single"/>
        </w:rPr>
      </w:pPr>
      <w:r w:rsidRPr="000F6CD1">
        <w:t xml:space="preserve">Assessment organisations are expected to provide short-term case management services for vulnerable </w:t>
      </w:r>
      <w:r w:rsidR="00516348" w:rsidRPr="000F6CD1">
        <w:t>older people</w:t>
      </w:r>
      <w:r w:rsidRPr="000F6CD1">
        <w:t xml:space="preserve"> who require linking services</w:t>
      </w:r>
      <w:r w:rsidRPr="000F6CD1">
        <w:rPr>
          <w:i/>
        </w:rPr>
        <w:t xml:space="preserve">. </w:t>
      </w:r>
    </w:p>
    <w:p w14:paraId="0FC2DACF" w14:textId="002FA578" w:rsidR="007A743C" w:rsidRPr="000F6CD1" w:rsidRDefault="007A743C" w:rsidP="00CC6081">
      <w:pPr>
        <w:pStyle w:val="H4"/>
      </w:pPr>
      <w:r w:rsidRPr="000F6CD1">
        <w:t>Identifying a vulnerable person for linking support</w:t>
      </w:r>
    </w:p>
    <w:p w14:paraId="4150FE02" w14:textId="77777777" w:rsidR="007A743C" w:rsidRPr="000F6CD1" w:rsidRDefault="007A743C" w:rsidP="00A677C9">
      <w:pPr>
        <w:spacing w:before="240" w:after="240" w:line="240" w:lineRule="auto"/>
      </w:pPr>
      <w:r w:rsidRPr="000F6CD1">
        <w:t xml:space="preserve">The IAT is designed to assist an assessor to identify the complexity of an older person who may require linking support. Assessor judgment also plays a significant role, noting the presence of the same risk in different people may signify varying degrees of vulnerability. If applicable, the assessor selects from the following complexity indicators. </w:t>
      </w:r>
    </w:p>
    <w:p w14:paraId="5B2D5F27" w14:textId="77777777" w:rsidR="007A743C" w:rsidRPr="000F6CD1" w:rsidRDefault="007A743C" w:rsidP="00A677C9">
      <w:pPr>
        <w:spacing w:before="240" w:after="240" w:line="240" w:lineRule="auto"/>
      </w:pPr>
      <w:r w:rsidRPr="000F6CD1">
        <w:t xml:space="preserve">The older person: </w:t>
      </w:r>
    </w:p>
    <w:p w14:paraId="76A83F7E" w14:textId="77777777" w:rsidR="007A743C" w:rsidRPr="000F6CD1" w:rsidRDefault="007A743C" w:rsidP="00DF3F6B">
      <w:pPr>
        <w:pStyle w:val="ListParagraph"/>
        <w:numPr>
          <w:ilvl w:val="1"/>
          <w:numId w:val="113"/>
        </w:numPr>
        <w:spacing w:before="240" w:after="240" w:line="240" w:lineRule="auto"/>
      </w:pPr>
      <w:r w:rsidRPr="000F6CD1">
        <w:t xml:space="preserve">is living in inadequate housing or with insecure tenure or is already homeless which compromises their health, wellbeing, and ability to remain living in the community, </w:t>
      </w:r>
    </w:p>
    <w:p w14:paraId="2F98CD4B" w14:textId="77777777" w:rsidR="007A743C" w:rsidRPr="000F6CD1" w:rsidRDefault="007A743C" w:rsidP="00DF3F6B">
      <w:pPr>
        <w:pStyle w:val="ListParagraph"/>
        <w:numPr>
          <w:ilvl w:val="1"/>
          <w:numId w:val="113"/>
        </w:numPr>
        <w:spacing w:before="240" w:after="240" w:line="240" w:lineRule="auto"/>
      </w:pPr>
      <w:r w:rsidRPr="000F6CD1">
        <w:t xml:space="preserve">is at risk of, experiencing (or suspected to be experiencing) abuse, </w:t>
      </w:r>
    </w:p>
    <w:p w14:paraId="14088E4A" w14:textId="77777777" w:rsidR="007A743C" w:rsidRPr="000F6CD1" w:rsidRDefault="007A743C" w:rsidP="00DF3F6B">
      <w:pPr>
        <w:pStyle w:val="ListParagraph"/>
        <w:numPr>
          <w:ilvl w:val="1"/>
          <w:numId w:val="113"/>
        </w:numPr>
        <w:spacing w:before="240" w:after="240" w:line="240" w:lineRule="auto"/>
      </w:pPr>
      <w:r w:rsidRPr="000F6CD1">
        <w:t>has emotional or mental health issues which significantly limits self-care capability, requires intensive supervision and/or frequent changes to support,</w:t>
      </w:r>
    </w:p>
    <w:p w14:paraId="274770C5" w14:textId="77777777" w:rsidR="007A743C" w:rsidRPr="000F6CD1" w:rsidRDefault="007A743C" w:rsidP="00DF3F6B">
      <w:pPr>
        <w:pStyle w:val="ListParagraph"/>
        <w:numPr>
          <w:ilvl w:val="1"/>
          <w:numId w:val="113"/>
        </w:numPr>
        <w:spacing w:before="240" w:after="240" w:line="240" w:lineRule="auto"/>
      </w:pPr>
      <w:r w:rsidRPr="000F6CD1">
        <w:lastRenderedPageBreak/>
        <w:t>is experiencing financial disadvantage or other barriers that threaten their access to services essential to their support,</w:t>
      </w:r>
    </w:p>
    <w:p w14:paraId="7ABDFEC5" w14:textId="77777777" w:rsidR="007A743C" w:rsidRPr="000F6CD1" w:rsidRDefault="007A743C" w:rsidP="00DF3F6B">
      <w:pPr>
        <w:pStyle w:val="ListParagraph"/>
        <w:numPr>
          <w:ilvl w:val="1"/>
          <w:numId w:val="113"/>
        </w:numPr>
        <w:spacing w:before="240" w:after="240" w:line="240" w:lineRule="auto"/>
      </w:pPr>
      <w:r w:rsidRPr="000F6CD1">
        <w:t>has experienced adverse effects of institutionalisation and/or systems abuse (e.g., spending time in institutions, prisons, foster care, residential care or out of home care) and is refusing assistance or services when they are clearly needed to maintain safety and wellbeing,</w:t>
      </w:r>
    </w:p>
    <w:p w14:paraId="65E3B729" w14:textId="77777777" w:rsidR="007A743C" w:rsidRPr="000F6CD1" w:rsidRDefault="007A743C" w:rsidP="00DF3F6B">
      <w:pPr>
        <w:pStyle w:val="ListParagraph"/>
        <w:numPr>
          <w:ilvl w:val="1"/>
          <w:numId w:val="113"/>
        </w:numPr>
        <w:spacing w:before="240" w:after="240" w:line="240" w:lineRule="auto"/>
      </w:pPr>
      <w:r w:rsidRPr="000F6CD1">
        <w:t>is exposed to risks due to drug and/or alcohol related issues and is likely to cause harm to themselves or others,</w:t>
      </w:r>
    </w:p>
    <w:p w14:paraId="6BF699CD" w14:textId="77777777" w:rsidR="007A743C" w:rsidRPr="000F6CD1" w:rsidRDefault="007A743C" w:rsidP="00DF3F6B">
      <w:pPr>
        <w:pStyle w:val="ListParagraph"/>
        <w:numPr>
          <w:ilvl w:val="1"/>
          <w:numId w:val="113"/>
        </w:numPr>
        <w:spacing w:before="240" w:after="240" w:line="240" w:lineRule="auto"/>
      </w:pPr>
      <w:r w:rsidRPr="000F6CD1">
        <w:t>is exposed to risks or is self-neglecting of personal care and/or safety and is likely to cause harm to themselves or others,</w:t>
      </w:r>
    </w:p>
    <w:p w14:paraId="6E773B9D" w14:textId="77777777" w:rsidR="007A743C" w:rsidRPr="000F6CD1" w:rsidRDefault="007A743C" w:rsidP="00DF3F6B">
      <w:pPr>
        <w:pStyle w:val="ListParagraph"/>
        <w:numPr>
          <w:ilvl w:val="1"/>
          <w:numId w:val="113"/>
        </w:numPr>
        <w:spacing w:before="240" w:after="240" w:line="240" w:lineRule="auto"/>
      </w:pPr>
      <w:r w:rsidRPr="000F6CD1">
        <w:t>has a cognitive impairment (e.g. memory problem or confusion) that significantly limits self-care capacity, requires intensive supervision and/or frequent changes to support.</w:t>
      </w:r>
    </w:p>
    <w:p w14:paraId="6F36F6D6" w14:textId="77777777" w:rsidR="007A743C" w:rsidRPr="000F6CD1" w:rsidRDefault="007A743C" w:rsidP="00A677C9">
      <w:pPr>
        <w:spacing w:before="240" w:after="240" w:line="240" w:lineRule="auto"/>
      </w:pPr>
      <w:r w:rsidRPr="000F6CD1">
        <w:t xml:space="preserve">The assessor may also need to consider challenges faced for people living in remote or very remote regions. </w:t>
      </w:r>
    </w:p>
    <w:p w14:paraId="2AA852E0" w14:textId="4389B67F" w:rsidR="007A743C" w:rsidRPr="000F6CD1" w:rsidRDefault="007A743C" w:rsidP="00A677C9">
      <w:pPr>
        <w:spacing w:before="240" w:after="240" w:line="240" w:lineRule="auto"/>
      </w:pPr>
      <w:r w:rsidRPr="000F6CD1">
        <w:t>The assessor then selects, if applicable, the ‘Risk of Vulnerability Cohort’ from the following</w:t>
      </w:r>
      <w:r w:rsidR="0016068B" w:rsidRPr="000F6CD1">
        <w:t xml:space="preserve"> options</w:t>
      </w:r>
      <w:r w:rsidR="00C305B5" w:rsidRPr="000F6CD1">
        <w:t xml:space="preserve"> within the IAT</w:t>
      </w:r>
    </w:p>
    <w:p w14:paraId="16801AD8" w14:textId="2EB0D2AB" w:rsidR="007A743C" w:rsidRPr="000F6CD1" w:rsidRDefault="00617753" w:rsidP="00DF3F6B">
      <w:pPr>
        <w:pStyle w:val="ListParagraph"/>
        <w:numPr>
          <w:ilvl w:val="0"/>
          <w:numId w:val="114"/>
        </w:numPr>
        <w:spacing w:before="240" w:after="240" w:line="240" w:lineRule="auto"/>
      </w:pPr>
      <w:r w:rsidRPr="000F6CD1">
        <w:t>from a c</w:t>
      </w:r>
      <w:r w:rsidR="007A743C" w:rsidRPr="000F6CD1">
        <w:t xml:space="preserve">ulturally and linguistically diverse </w:t>
      </w:r>
      <w:r w:rsidRPr="000F6CD1">
        <w:t>background</w:t>
      </w:r>
    </w:p>
    <w:p w14:paraId="4B927E2D" w14:textId="71FA8636" w:rsidR="007A743C" w:rsidRPr="000F6CD1" w:rsidRDefault="00C305B5" w:rsidP="00DF3F6B">
      <w:pPr>
        <w:pStyle w:val="ListParagraph"/>
        <w:numPr>
          <w:ilvl w:val="0"/>
          <w:numId w:val="114"/>
        </w:numPr>
        <w:spacing w:before="240" w:after="240" w:line="240" w:lineRule="auto"/>
      </w:pPr>
      <w:r w:rsidRPr="000F6CD1">
        <w:t xml:space="preserve">an </w:t>
      </w:r>
      <w:r w:rsidR="007A743C" w:rsidRPr="000F6CD1">
        <w:t xml:space="preserve">Aboriginal </w:t>
      </w:r>
      <w:r w:rsidRPr="000F6CD1">
        <w:t>and/</w:t>
      </w:r>
      <w:r w:rsidR="007A743C" w:rsidRPr="000F6CD1">
        <w:t xml:space="preserve">or Torres Strait Islander </w:t>
      </w:r>
      <w:r w:rsidRPr="000F6CD1">
        <w:t>person</w:t>
      </w:r>
    </w:p>
    <w:p w14:paraId="4DFF568B" w14:textId="77777777" w:rsidR="007A743C" w:rsidRPr="000F6CD1" w:rsidRDefault="007A743C" w:rsidP="00DF3F6B">
      <w:pPr>
        <w:pStyle w:val="ListParagraph"/>
        <w:numPr>
          <w:ilvl w:val="0"/>
          <w:numId w:val="114"/>
        </w:numPr>
        <w:spacing w:before="240" w:after="240" w:line="240" w:lineRule="auto"/>
      </w:pPr>
      <w:r w:rsidRPr="000F6CD1">
        <w:t>Living in a rural or remote area</w:t>
      </w:r>
    </w:p>
    <w:p w14:paraId="57A7F64D" w14:textId="77777777" w:rsidR="007A743C" w:rsidRPr="000F6CD1" w:rsidRDefault="007A743C" w:rsidP="00DF3F6B">
      <w:pPr>
        <w:pStyle w:val="ListParagraph"/>
        <w:numPr>
          <w:ilvl w:val="0"/>
          <w:numId w:val="114"/>
        </w:numPr>
        <w:spacing w:before="240" w:after="240" w:line="240" w:lineRule="auto"/>
      </w:pPr>
      <w:r w:rsidRPr="000F6CD1">
        <w:t>Financially or socially disadvantaged</w:t>
      </w:r>
    </w:p>
    <w:p w14:paraId="61A0BFB6" w14:textId="77777777" w:rsidR="007A743C" w:rsidRPr="000F6CD1" w:rsidRDefault="007A743C" w:rsidP="00DF3F6B">
      <w:pPr>
        <w:pStyle w:val="ListParagraph"/>
        <w:numPr>
          <w:ilvl w:val="0"/>
          <w:numId w:val="114"/>
        </w:numPr>
        <w:spacing w:before="240" w:after="240" w:line="240" w:lineRule="auto"/>
      </w:pPr>
      <w:r w:rsidRPr="000F6CD1">
        <w:t>A Veteran</w:t>
      </w:r>
    </w:p>
    <w:p w14:paraId="40EAC45B" w14:textId="27151E07" w:rsidR="00535A4B" w:rsidRPr="000F6CD1" w:rsidRDefault="007A743C" w:rsidP="00DF3F6B">
      <w:pPr>
        <w:pStyle w:val="ListParagraph"/>
        <w:numPr>
          <w:ilvl w:val="0"/>
          <w:numId w:val="114"/>
        </w:numPr>
        <w:spacing w:before="240" w:after="240" w:line="240" w:lineRule="auto"/>
      </w:pPr>
      <w:r w:rsidRPr="000F6CD1">
        <w:t xml:space="preserve">Homeless </w:t>
      </w:r>
    </w:p>
    <w:p w14:paraId="6EE79DDA" w14:textId="27A23084" w:rsidR="007A743C" w:rsidRPr="000F6CD1" w:rsidRDefault="007A743C" w:rsidP="00DF3F6B">
      <w:pPr>
        <w:pStyle w:val="ListParagraph"/>
        <w:numPr>
          <w:ilvl w:val="0"/>
          <w:numId w:val="114"/>
        </w:numPr>
        <w:spacing w:before="240" w:after="240" w:line="240" w:lineRule="auto"/>
      </w:pPr>
      <w:r w:rsidRPr="000F6CD1">
        <w:t xml:space="preserve">at risk of </w:t>
      </w:r>
      <w:r w:rsidR="005F3F78" w:rsidRPr="000F6CD1">
        <w:t xml:space="preserve">being </w:t>
      </w:r>
      <w:r w:rsidRPr="000F6CD1">
        <w:t>homelessness</w:t>
      </w:r>
    </w:p>
    <w:p w14:paraId="469FB43F" w14:textId="49A559CC" w:rsidR="007A743C" w:rsidRPr="000F6CD1" w:rsidRDefault="00503DC1" w:rsidP="00DF3F6B">
      <w:pPr>
        <w:pStyle w:val="ListParagraph"/>
        <w:numPr>
          <w:ilvl w:val="0"/>
          <w:numId w:val="114"/>
        </w:numPr>
        <w:spacing w:before="240" w:after="240" w:line="240" w:lineRule="auto"/>
      </w:pPr>
      <w:r w:rsidRPr="000F6CD1">
        <w:t xml:space="preserve">a </w:t>
      </w:r>
      <w:r w:rsidR="007A743C" w:rsidRPr="000F6CD1">
        <w:t>Lesbian, Gay, Bisexual, Transgender</w:t>
      </w:r>
      <w:r w:rsidR="005A1FED" w:rsidRPr="000F6CD1">
        <w:t xml:space="preserve"> </w:t>
      </w:r>
      <w:r w:rsidR="00911AE5" w:rsidRPr="000F6CD1">
        <w:t>or Intersex</w:t>
      </w:r>
      <w:r w:rsidR="005A1FED" w:rsidRPr="000F6CD1">
        <w:t xml:space="preserve"> person</w:t>
      </w:r>
    </w:p>
    <w:p w14:paraId="6AF88B0C" w14:textId="0ACBBA0D" w:rsidR="007A743C" w:rsidRPr="000F6CD1" w:rsidRDefault="007A743C" w:rsidP="00DF3F6B">
      <w:pPr>
        <w:pStyle w:val="ListParagraph"/>
        <w:numPr>
          <w:ilvl w:val="0"/>
          <w:numId w:val="114"/>
        </w:numPr>
        <w:spacing w:before="240" w:after="240" w:line="240" w:lineRule="auto"/>
      </w:pPr>
      <w:r w:rsidRPr="000F6CD1">
        <w:t xml:space="preserve">A person separated from </w:t>
      </w:r>
      <w:r w:rsidR="002C0F1A" w:rsidRPr="000F6CD1">
        <w:t xml:space="preserve">your </w:t>
      </w:r>
      <w:r w:rsidRPr="000F6CD1">
        <w:t xml:space="preserve">parents or children </w:t>
      </w:r>
      <w:r w:rsidR="00E52FA4" w:rsidRPr="000F6CD1">
        <w:t xml:space="preserve">by </w:t>
      </w:r>
      <w:r w:rsidRPr="000F6CD1">
        <w:t>forced adoption or removal</w:t>
      </w:r>
    </w:p>
    <w:p w14:paraId="5BFB3B13" w14:textId="77777777" w:rsidR="007A743C" w:rsidRPr="000F6CD1" w:rsidRDefault="007A743C" w:rsidP="00DF3F6B">
      <w:pPr>
        <w:pStyle w:val="ListParagraph"/>
        <w:numPr>
          <w:ilvl w:val="0"/>
          <w:numId w:val="114"/>
        </w:numPr>
        <w:spacing w:before="240" w:after="240" w:line="240" w:lineRule="auto"/>
      </w:pPr>
      <w:r w:rsidRPr="000F6CD1">
        <w:t>A socially isolated individual</w:t>
      </w:r>
    </w:p>
    <w:p w14:paraId="50164183" w14:textId="1A5D242D" w:rsidR="007A743C" w:rsidRPr="000F6CD1" w:rsidRDefault="007A743C" w:rsidP="00DF3F6B">
      <w:pPr>
        <w:pStyle w:val="ListParagraph"/>
        <w:numPr>
          <w:ilvl w:val="0"/>
          <w:numId w:val="114"/>
        </w:numPr>
        <w:spacing w:before="240" w:after="240" w:line="240" w:lineRule="auto"/>
      </w:pPr>
      <w:r w:rsidRPr="000F6CD1">
        <w:t>Other (assessor to specify)</w:t>
      </w:r>
    </w:p>
    <w:p w14:paraId="19E72E79" w14:textId="44C60840" w:rsidR="00E925C9" w:rsidRPr="000F6CD1" w:rsidRDefault="00E925C9" w:rsidP="00A677C9">
      <w:pPr>
        <w:spacing w:before="240" w:after="240" w:line="240" w:lineRule="auto"/>
      </w:pPr>
      <w:r w:rsidRPr="000F6CD1">
        <w:t xml:space="preserve">Further information on identifying and supporting vulnerable cohorts is included in </w:t>
      </w:r>
      <w:r w:rsidR="00214352">
        <w:fldChar w:fldCharType="begin"/>
      </w:r>
      <w:r w:rsidR="00214352">
        <w:instrText xml:space="preserve"> REF _Ref212735812 \h </w:instrText>
      </w:r>
      <w:r w:rsidR="00214352">
        <w:fldChar w:fldCharType="separate"/>
      </w:r>
      <w:r w:rsidR="004B171E" w:rsidRPr="000F6CD1">
        <w:t>Chapter 12: Supporting diverse experiences and needs</w:t>
      </w:r>
      <w:r w:rsidR="00214352">
        <w:fldChar w:fldCharType="end"/>
      </w:r>
      <w:r w:rsidRPr="000F6CD1">
        <w:t>.</w:t>
      </w:r>
    </w:p>
    <w:p w14:paraId="00DC10DE" w14:textId="77777777" w:rsidR="007A743C" w:rsidRPr="000F6CD1" w:rsidRDefault="007A743C" w:rsidP="00A677C9">
      <w:pPr>
        <w:spacing w:before="240" w:after="240" w:line="240" w:lineRule="auto"/>
      </w:pPr>
      <w:r w:rsidRPr="000F6CD1">
        <w:t xml:space="preserve">Following this, the assessor will decide whether the person would benefit from Linking Support by considering and selecting (if applicable):  </w:t>
      </w:r>
    </w:p>
    <w:p w14:paraId="157FB2B3" w14:textId="77777777" w:rsidR="007A743C" w:rsidRPr="000F6CD1" w:rsidRDefault="007A743C" w:rsidP="00A677C9">
      <w:pPr>
        <w:spacing w:before="240" w:after="240" w:line="240" w:lineRule="auto"/>
        <w:ind w:left="709" w:hanging="567"/>
      </w:pPr>
      <w:r w:rsidRPr="000F6CD1">
        <w:t>(a)</w:t>
      </w:r>
      <w:r w:rsidRPr="000F6CD1">
        <w:tab/>
        <w:t xml:space="preserve">whether complexity indicators impact the older person's ability to live independently in the community </w:t>
      </w:r>
    </w:p>
    <w:p w14:paraId="5EF72A49" w14:textId="77777777" w:rsidR="007A743C" w:rsidRPr="000F6CD1" w:rsidRDefault="007A743C" w:rsidP="00A677C9">
      <w:pPr>
        <w:spacing w:before="240" w:after="240" w:line="240" w:lineRule="auto"/>
        <w:ind w:left="709" w:hanging="567"/>
      </w:pPr>
      <w:r w:rsidRPr="000F6CD1">
        <w:t>(b)</w:t>
      </w:r>
      <w:r w:rsidRPr="000F6CD1">
        <w:tab/>
        <w:t xml:space="preserve">whether urgent intervention is required and </w:t>
      </w:r>
    </w:p>
    <w:p w14:paraId="4B1E0CC5" w14:textId="3249BA9E" w:rsidR="007A743C" w:rsidRPr="000F6CD1" w:rsidRDefault="007A743C" w:rsidP="00A677C9">
      <w:pPr>
        <w:spacing w:before="240" w:after="240" w:line="240" w:lineRule="auto"/>
        <w:ind w:left="709" w:hanging="566"/>
      </w:pPr>
      <w:r w:rsidRPr="000F6CD1">
        <w:t>(c)</w:t>
      </w:r>
      <w:r w:rsidRPr="000F6CD1">
        <w:tab/>
        <w:t xml:space="preserve">whether the older person has indicators that impede access to delivery of aged care services. </w:t>
      </w:r>
    </w:p>
    <w:p w14:paraId="5ADCC66B" w14:textId="77777777" w:rsidR="007A743C" w:rsidRPr="000F6CD1" w:rsidRDefault="007A743C" w:rsidP="00A677C9">
      <w:pPr>
        <w:spacing w:before="240" w:after="240" w:line="240" w:lineRule="auto"/>
      </w:pPr>
      <w:r w:rsidRPr="000F6CD1">
        <w:t xml:space="preserve">Where the access to delivery of aged care services might be impeded, the assessor is to recommend Linking Support and short-term case management. </w:t>
      </w:r>
    </w:p>
    <w:p w14:paraId="62B4E371" w14:textId="77777777" w:rsidR="007A743C" w:rsidRPr="000F6CD1" w:rsidRDefault="007A743C" w:rsidP="00CC6081">
      <w:pPr>
        <w:pStyle w:val="H4"/>
      </w:pPr>
      <w:r w:rsidRPr="000F6CD1">
        <w:t>Linking support and short-term case management activities</w:t>
      </w:r>
    </w:p>
    <w:p w14:paraId="19E624B8" w14:textId="77777777" w:rsidR="0016763A" w:rsidRPr="000F6CD1" w:rsidRDefault="007A743C" w:rsidP="00A677C9">
      <w:pPr>
        <w:spacing w:before="240" w:after="240" w:line="240" w:lineRule="auto"/>
      </w:pPr>
      <w:r w:rsidRPr="000F6CD1">
        <w:t>The level of linking service support offered by assessors is time</w:t>
      </w:r>
      <w:r w:rsidRPr="000F6CD1">
        <w:rPr>
          <w:color w:val="1F497D"/>
        </w:rPr>
        <w:t>-</w:t>
      </w:r>
      <w:r w:rsidRPr="000F6CD1">
        <w:t>limited and is not designed to provide ongoing support services.</w:t>
      </w:r>
    </w:p>
    <w:p w14:paraId="706D9DFE" w14:textId="46249570" w:rsidR="006F6FE8" w:rsidRPr="000F6CD1" w:rsidRDefault="006F6FE8" w:rsidP="00A677C9">
      <w:pPr>
        <w:spacing w:before="240" w:after="240" w:line="240" w:lineRule="auto"/>
      </w:pPr>
      <w:r w:rsidRPr="000F6CD1">
        <w:lastRenderedPageBreak/>
        <w:t xml:space="preserve">However, it is understood that in some circumstances due to ECS services not being available in their area or due to preferences of older people who have already established trusted relationships with an assessor from an Aboriginal and Torres Strait Islander assessment organisation, an assessor may have a role in providing ongoing case management services to their clients. </w:t>
      </w:r>
    </w:p>
    <w:p w14:paraId="50864775" w14:textId="529D7290" w:rsidR="007A743C" w:rsidRPr="000F6CD1" w:rsidRDefault="007A743C" w:rsidP="00A677C9">
      <w:pPr>
        <w:spacing w:before="240" w:after="240" w:line="240" w:lineRule="auto"/>
        <w:rPr>
          <w:color w:val="1F497D"/>
        </w:rPr>
      </w:pPr>
      <w:r w:rsidRPr="000F6CD1">
        <w:t>The activities that an assessor chooses to undertake when providing linking support will be dependent on the needs, circumstances, and preferences of the older person, and may include one or more of the following:</w:t>
      </w:r>
    </w:p>
    <w:p w14:paraId="4A703270" w14:textId="79CA3BA7" w:rsidR="007A743C" w:rsidRPr="000F6CD1" w:rsidRDefault="007A743C" w:rsidP="00DF3F6B">
      <w:pPr>
        <w:pStyle w:val="ListParagraph"/>
        <w:numPr>
          <w:ilvl w:val="0"/>
          <w:numId w:val="110"/>
        </w:numPr>
        <w:spacing w:before="240" w:after="240" w:line="240" w:lineRule="auto"/>
      </w:pPr>
      <w:r w:rsidRPr="000F6CD1">
        <w:rPr>
          <w:b/>
          <w:bCs/>
        </w:rPr>
        <w:t>Information provision and tailored advice</w:t>
      </w:r>
      <w:r w:rsidRPr="000F6CD1">
        <w:t xml:space="preserve"> – provision of clear, reliable, up-to-date, and relevant information and advice to </w:t>
      </w:r>
      <w:r w:rsidR="00516348" w:rsidRPr="000F6CD1">
        <w:t>older people</w:t>
      </w:r>
      <w:r w:rsidRPr="000F6CD1">
        <w:t xml:space="preserve"> regarding service options and pathways.</w:t>
      </w:r>
    </w:p>
    <w:p w14:paraId="4D4BD1D9" w14:textId="77777777" w:rsidR="007A743C" w:rsidRPr="000F6CD1" w:rsidRDefault="007A743C" w:rsidP="00A677C9">
      <w:pPr>
        <w:pStyle w:val="ListParagraph"/>
        <w:spacing w:before="240" w:after="240" w:line="240" w:lineRule="auto"/>
        <w:ind w:left="284" w:hanging="223"/>
      </w:pPr>
    </w:p>
    <w:p w14:paraId="70BE3F88" w14:textId="77777777" w:rsidR="007A743C" w:rsidRPr="000F6CD1" w:rsidRDefault="007A743C" w:rsidP="00DF3F6B">
      <w:pPr>
        <w:pStyle w:val="ListParagraph"/>
        <w:numPr>
          <w:ilvl w:val="0"/>
          <w:numId w:val="110"/>
        </w:numPr>
        <w:spacing w:before="240" w:after="240" w:line="240" w:lineRule="auto"/>
      </w:pPr>
      <w:r w:rsidRPr="000F6CD1">
        <w:rPr>
          <w:b/>
          <w:bCs/>
        </w:rPr>
        <w:t>Guided referral</w:t>
      </w:r>
      <w:r w:rsidRPr="000F6CD1">
        <w:t xml:space="preserve"> – facilitation and management of the process of linking a vulnerable older person to appropriate service pathways within or outside the aged care system. This includes monitoring the success of the referral process and ensuring that linking to the appropriate services is achieved.</w:t>
      </w:r>
    </w:p>
    <w:p w14:paraId="4D982C1B" w14:textId="77777777" w:rsidR="007A743C" w:rsidRPr="000F6CD1" w:rsidRDefault="007A743C" w:rsidP="00A677C9">
      <w:pPr>
        <w:pStyle w:val="ListParagraph"/>
        <w:spacing w:before="240" w:after="240" w:line="240" w:lineRule="auto"/>
        <w:ind w:left="284" w:hanging="283"/>
      </w:pPr>
    </w:p>
    <w:p w14:paraId="61E0F0A2" w14:textId="77777777" w:rsidR="007A743C" w:rsidRPr="000F6CD1" w:rsidRDefault="007A743C" w:rsidP="00DF3F6B">
      <w:pPr>
        <w:pStyle w:val="ListParagraph"/>
        <w:numPr>
          <w:ilvl w:val="0"/>
          <w:numId w:val="110"/>
        </w:numPr>
        <w:spacing w:before="240" w:after="240" w:line="240" w:lineRule="auto"/>
      </w:pPr>
      <w:r w:rsidRPr="000F6CD1">
        <w:rPr>
          <w:b/>
        </w:rPr>
        <w:t>Service coordination</w:t>
      </w:r>
      <w:r w:rsidRPr="000F6CD1">
        <w:t xml:space="preserve"> – where an older person’s needs are complex and require a range of services spanning multiple sectors, the assessment organisation oversees the coordination of these services.</w:t>
      </w:r>
    </w:p>
    <w:p w14:paraId="0D7C551D" w14:textId="77777777" w:rsidR="007A743C" w:rsidRPr="000F6CD1" w:rsidRDefault="007A743C" w:rsidP="00A677C9">
      <w:pPr>
        <w:pStyle w:val="ListParagraph"/>
        <w:spacing w:before="240" w:after="240" w:line="240" w:lineRule="auto"/>
        <w:ind w:left="284" w:hanging="223"/>
      </w:pPr>
    </w:p>
    <w:p w14:paraId="75DA0057" w14:textId="77777777" w:rsidR="007A743C" w:rsidRPr="000F6CD1" w:rsidRDefault="007A743C" w:rsidP="00DF3F6B">
      <w:pPr>
        <w:pStyle w:val="ListParagraph"/>
        <w:numPr>
          <w:ilvl w:val="0"/>
          <w:numId w:val="110"/>
        </w:numPr>
        <w:tabs>
          <w:tab w:val="left" w:pos="143"/>
        </w:tabs>
        <w:autoSpaceDE w:val="0"/>
        <w:autoSpaceDN w:val="0"/>
        <w:adjustRightInd w:val="0"/>
        <w:spacing w:before="240" w:after="240" w:line="240" w:lineRule="auto"/>
        <w:rPr>
          <w:color w:val="000000" w:themeColor="text1"/>
        </w:rPr>
      </w:pPr>
      <w:r w:rsidRPr="000F6CD1">
        <w:rPr>
          <w:b/>
          <w:bCs/>
          <w:color w:val="000000" w:themeColor="text1"/>
        </w:rPr>
        <w:t>Advocacy activities</w:t>
      </w:r>
      <w:r w:rsidRPr="000F6CD1">
        <w:rPr>
          <w:color w:val="000000" w:themeColor="text1"/>
        </w:rPr>
        <w:t xml:space="preserve"> – for the vulnerable older person to gain access to the identified support services, the assessment organisation may be required to speak, act, and write to the identified service providers on behalf of the vulnerable older person.</w:t>
      </w:r>
    </w:p>
    <w:p w14:paraId="474BFC65" w14:textId="77777777" w:rsidR="007A743C" w:rsidRPr="000F6CD1" w:rsidRDefault="007A743C" w:rsidP="00A677C9">
      <w:pPr>
        <w:pStyle w:val="ListParagraph"/>
        <w:autoSpaceDE w:val="0"/>
        <w:autoSpaceDN w:val="0"/>
        <w:adjustRightInd w:val="0"/>
        <w:spacing w:before="240" w:after="240" w:line="240" w:lineRule="auto"/>
        <w:ind w:left="284" w:hanging="283"/>
        <w:rPr>
          <w:color w:val="000000"/>
        </w:rPr>
      </w:pPr>
    </w:p>
    <w:p w14:paraId="491E9305" w14:textId="6169070F" w:rsidR="007A743C" w:rsidRPr="000F6CD1" w:rsidRDefault="007A743C" w:rsidP="00DF3F6B">
      <w:pPr>
        <w:pStyle w:val="ListParagraph"/>
        <w:numPr>
          <w:ilvl w:val="0"/>
          <w:numId w:val="110"/>
        </w:numPr>
        <w:spacing w:before="240" w:after="240" w:line="240" w:lineRule="auto"/>
      </w:pPr>
      <w:r w:rsidRPr="000F6CD1">
        <w:rPr>
          <w:b/>
          <w:bCs/>
        </w:rPr>
        <w:t>Case conferencing/multidisciplinary service coordination</w:t>
      </w:r>
      <w:r w:rsidRPr="000F6CD1">
        <w:t xml:space="preserve"> – provision of comprehensive, integrated service coordination for </w:t>
      </w:r>
      <w:r w:rsidR="00516348" w:rsidRPr="000F6CD1">
        <w:t>older people</w:t>
      </w:r>
      <w:r w:rsidRPr="000F6CD1">
        <w:t xml:space="preserve"> with high-level needs. This involves using a case conferencing/multidisciplinary service coordination approach which brings together a number of team members and a suite of services across sectors in order to meet the older person’s needs at different levels.</w:t>
      </w:r>
    </w:p>
    <w:p w14:paraId="34FB08F9" w14:textId="77777777" w:rsidR="007A743C" w:rsidRPr="000F6CD1" w:rsidRDefault="007A743C" w:rsidP="00A677C9">
      <w:pPr>
        <w:pStyle w:val="ListParagraph"/>
        <w:spacing w:before="240" w:after="240" w:line="240" w:lineRule="auto"/>
        <w:ind w:left="284" w:hanging="283"/>
      </w:pPr>
    </w:p>
    <w:p w14:paraId="1D94105A" w14:textId="77777777" w:rsidR="007A743C" w:rsidRPr="000F6CD1" w:rsidRDefault="007A743C" w:rsidP="00DF3F6B">
      <w:pPr>
        <w:pStyle w:val="ListParagraph"/>
        <w:numPr>
          <w:ilvl w:val="0"/>
          <w:numId w:val="110"/>
        </w:numPr>
        <w:spacing w:before="240" w:after="240" w:line="240" w:lineRule="auto"/>
      </w:pPr>
      <w:r w:rsidRPr="000F6CD1">
        <w:rPr>
          <w:b/>
          <w:bCs/>
        </w:rPr>
        <w:t>Establish local knowledge and networks</w:t>
      </w:r>
      <w:r w:rsidRPr="000F6CD1">
        <w:t xml:space="preserve"> – the assessment organisation establishes local connections with service providers which support vulnerable people in their region.</w:t>
      </w:r>
    </w:p>
    <w:p w14:paraId="544402A5" w14:textId="77777777" w:rsidR="007A743C" w:rsidRPr="000F6CD1" w:rsidRDefault="007A743C" w:rsidP="00A677C9">
      <w:pPr>
        <w:pStyle w:val="ListParagraph"/>
        <w:spacing w:before="240" w:after="240" w:line="240" w:lineRule="auto"/>
        <w:ind w:left="284" w:hanging="223"/>
      </w:pPr>
    </w:p>
    <w:p w14:paraId="50264563" w14:textId="19AC306C" w:rsidR="007A743C" w:rsidRPr="000F6CD1" w:rsidRDefault="007A743C" w:rsidP="00DF3F6B">
      <w:pPr>
        <w:pStyle w:val="ListParagraph"/>
        <w:numPr>
          <w:ilvl w:val="0"/>
          <w:numId w:val="110"/>
        </w:numPr>
        <w:spacing w:before="240" w:after="240" w:line="240" w:lineRule="auto"/>
      </w:pPr>
      <w:r w:rsidRPr="000F6CD1">
        <w:rPr>
          <w:b/>
          <w:bCs/>
        </w:rPr>
        <w:t xml:space="preserve">Administrative tasks </w:t>
      </w:r>
      <w:r w:rsidRPr="000F6CD1">
        <w:t>–</w:t>
      </w:r>
      <w:r w:rsidRPr="000F6CD1">
        <w:rPr>
          <w:b/>
          <w:bCs/>
        </w:rPr>
        <w:t xml:space="preserve"> </w:t>
      </w:r>
      <w:r w:rsidRPr="000F6CD1">
        <w:t xml:space="preserve">establish and undertake the administrative functions necessary to support the smooth and seamless progression of vulnerable </w:t>
      </w:r>
      <w:r w:rsidR="00516348" w:rsidRPr="000F6CD1">
        <w:t>older people</w:t>
      </w:r>
      <w:r w:rsidRPr="000F6CD1">
        <w:t xml:space="preserve"> through the required services. Some examples are:</w:t>
      </w:r>
    </w:p>
    <w:p w14:paraId="6740D1CF" w14:textId="77777777" w:rsidR="007A743C" w:rsidRPr="000F6CD1" w:rsidRDefault="007A743C" w:rsidP="00DF3F6B">
      <w:pPr>
        <w:pStyle w:val="ListParagraph"/>
        <w:numPr>
          <w:ilvl w:val="0"/>
          <w:numId w:val="111"/>
        </w:numPr>
        <w:spacing w:before="240" w:after="240" w:line="240" w:lineRule="auto"/>
      </w:pPr>
      <w:r w:rsidRPr="000F6CD1">
        <w:t>Contact the relevant service providers on behalf of the older person (e.g., legal services, health services, housing services etc.)</w:t>
      </w:r>
    </w:p>
    <w:p w14:paraId="3CBDF327" w14:textId="77777777" w:rsidR="007A743C" w:rsidRPr="000F6CD1" w:rsidRDefault="007A743C" w:rsidP="00DF3F6B">
      <w:pPr>
        <w:pStyle w:val="ListParagraph"/>
        <w:numPr>
          <w:ilvl w:val="0"/>
          <w:numId w:val="111"/>
        </w:numPr>
        <w:spacing w:before="240" w:after="240" w:line="240" w:lineRule="auto"/>
      </w:pPr>
      <w:r w:rsidRPr="000F6CD1">
        <w:t>Obtaining the necessary older person information from various sources and organisations</w:t>
      </w:r>
    </w:p>
    <w:p w14:paraId="5E25E9CC" w14:textId="77777777" w:rsidR="007A743C" w:rsidRPr="000F6CD1" w:rsidRDefault="007A743C" w:rsidP="00DF3F6B">
      <w:pPr>
        <w:pStyle w:val="ListParagraph"/>
        <w:numPr>
          <w:ilvl w:val="0"/>
          <w:numId w:val="111"/>
        </w:numPr>
        <w:spacing w:before="240" w:after="240" w:line="240" w:lineRule="auto"/>
      </w:pPr>
      <w:r w:rsidRPr="000F6CD1">
        <w:t>Compiling and completing the necessary forms on the older person’s behalf</w:t>
      </w:r>
    </w:p>
    <w:p w14:paraId="6F870DA6" w14:textId="77777777" w:rsidR="007A743C" w:rsidRPr="000F6CD1" w:rsidRDefault="007A743C" w:rsidP="00DF3F6B">
      <w:pPr>
        <w:pStyle w:val="ListParagraph"/>
        <w:numPr>
          <w:ilvl w:val="0"/>
          <w:numId w:val="111"/>
        </w:numPr>
        <w:spacing w:before="240" w:after="240" w:line="240" w:lineRule="auto"/>
      </w:pPr>
      <w:r w:rsidRPr="000F6CD1">
        <w:t>Organising relocation services for the older person, if required (e.g., removalist and utility services)</w:t>
      </w:r>
    </w:p>
    <w:p w14:paraId="2B2391A4" w14:textId="77777777" w:rsidR="007A743C" w:rsidRPr="000F6CD1" w:rsidRDefault="007A743C" w:rsidP="00DF3F6B">
      <w:pPr>
        <w:pStyle w:val="ListParagraph"/>
        <w:numPr>
          <w:ilvl w:val="0"/>
          <w:numId w:val="111"/>
        </w:numPr>
        <w:spacing w:before="240" w:after="240" w:line="240" w:lineRule="auto"/>
      </w:pPr>
      <w:r w:rsidRPr="000F6CD1">
        <w:t>Organising cleaning services for the older person’s place of residence, if required</w:t>
      </w:r>
    </w:p>
    <w:p w14:paraId="0E970FA1" w14:textId="77777777" w:rsidR="007A743C" w:rsidRPr="000F6CD1" w:rsidRDefault="007A743C" w:rsidP="00DF3F6B">
      <w:pPr>
        <w:pStyle w:val="ListParagraph"/>
        <w:numPr>
          <w:ilvl w:val="0"/>
          <w:numId w:val="111"/>
        </w:numPr>
        <w:spacing w:before="240" w:after="240" w:line="240" w:lineRule="auto"/>
      </w:pPr>
      <w:r w:rsidRPr="000F6CD1">
        <w:t>Documenting the older person’s progress.</w:t>
      </w:r>
    </w:p>
    <w:p w14:paraId="543F5F2A" w14:textId="421B1CE3" w:rsidR="007A743C" w:rsidRPr="000F6CD1" w:rsidDel="00015F34" w:rsidRDefault="007A743C" w:rsidP="00A677C9">
      <w:pPr>
        <w:spacing w:before="240" w:after="240" w:line="240" w:lineRule="auto"/>
        <w:rPr>
          <w:lang w:eastAsia="ko-KR"/>
        </w:rPr>
      </w:pPr>
      <w:r w:rsidRPr="000F6CD1">
        <w:rPr>
          <w:lang w:eastAsia="ko-KR"/>
        </w:rPr>
        <w:t xml:space="preserve">It is expected that assessors will work closely with vulnerable </w:t>
      </w:r>
      <w:r w:rsidR="00516348" w:rsidRPr="000F6CD1">
        <w:rPr>
          <w:lang w:eastAsia="ko-KR"/>
        </w:rPr>
        <w:t>older people</w:t>
      </w:r>
      <w:r w:rsidRPr="000F6CD1">
        <w:rPr>
          <w:lang w:eastAsia="ko-KR"/>
        </w:rPr>
        <w:t xml:space="preserve"> on a low income</w:t>
      </w:r>
      <w:r w:rsidR="00543B98" w:rsidRPr="000F6CD1">
        <w:rPr>
          <w:lang w:eastAsia="ko-KR"/>
        </w:rPr>
        <w:t>, or</w:t>
      </w:r>
      <w:r w:rsidRPr="000F6CD1">
        <w:rPr>
          <w:lang w:eastAsia="ko-KR"/>
        </w:rPr>
        <w:t xml:space="preserve"> who are living with hoarding behaviour or in a squalid environment and at risk of homelessness</w:t>
      </w:r>
      <w:r w:rsidR="00CA50A3" w:rsidRPr="000F6CD1">
        <w:rPr>
          <w:lang w:eastAsia="ko-KR"/>
        </w:rPr>
        <w:t>,</w:t>
      </w:r>
      <w:r w:rsidRPr="000F6CD1">
        <w:rPr>
          <w:lang w:eastAsia="ko-KR"/>
        </w:rPr>
        <w:t xml:space="preserve"> or </w:t>
      </w:r>
      <w:r w:rsidR="00CA50A3" w:rsidRPr="000F6CD1">
        <w:rPr>
          <w:lang w:eastAsia="ko-KR"/>
        </w:rPr>
        <w:t xml:space="preserve">who are </w:t>
      </w:r>
      <w:r w:rsidRPr="000F6CD1">
        <w:rPr>
          <w:lang w:eastAsia="ko-KR"/>
        </w:rPr>
        <w:t xml:space="preserve">unable </w:t>
      </w:r>
      <w:r w:rsidRPr="000F6CD1">
        <w:rPr>
          <w:rFonts w:eastAsia="MS Mincho"/>
        </w:rPr>
        <w:t>to</w:t>
      </w:r>
      <w:r w:rsidRPr="000F6CD1">
        <w:rPr>
          <w:lang w:eastAsia="ko-KR"/>
        </w:rPr>
        <w:t xml:space="preserve"> receive the aged care services they need. Where there </w:t>
      </w:r>
      <w:r w:rsidRPr="000F6CD1">
        <w:rPr>
          <w:lang w:eastAsia="ko-KR"/>
        </w:rPr>
        <w:lastRenderedPageBreak/>
        <w:t xml:space="preserve">is no coverage for hoarding and squalor </w:t>
      </w:r>
      <w:r w:rsidR="007B3022" w:rsidRPr="000F6CD1">
        <w:rPr>
          <w:lang w:eastAsia="ko-KR"/>
        </w:rPr>
        <w:t>assistance</w:t>
      </w:r>
      <w:r w:rsidRPr="000F6CD1">
        <w:rPr>
          <w:lang w:eastAsia="ko-KR"/>
        </w:rPr>
        <w:t xml:space="preserve">, the eligible older person can be referred to CHSP services such as social work and other services targeted at avoiding or reducing the impact of hoarding and squalor situations (see </w:t>
      </w:r>
      <w:r w:rsidR="004A4235">
        <w:rPr>
          <w:lang w:eastAsia="ko-KR"/>
        </w:rPr>
        <w:t xml:space="preserve">section </w:t>
      </w:r>
      <w:r w:rsidR="00120C1F">
        <w:rPr>
          <w:lang w:eastAsia="ko-KR"/>
        </w:rPr>
        <w:t>6.5.3</w:t>
      </w:r>
      <w:r w:rsidRPr="000F6CD1">
        <w:rPr>
          <w:lang w:eastAsia="ko-KR"/>
        </w:rPr>
        <w:t xml:space="preserve"> </w:t>
      </w:r>
      <w:r w:rsidR="004A4235">
        <w:rPr>
          <w:lang w:eastAsia="ko-KR"/>
        </w:rPr>
        <w:fldChar w:fldCharType="begin"/>
      </w:r>
      <w:r w:rsidR="004A4235">
        <w:rPr>
          <w:lang w:eastAsia="ko-KR"/>
        </w:rPr>
        <w:instrText xml:space="preserve"> REF _Ref232604770 \h </w:instrText>
      </w:r>
      <w:r w:rsidR="004A4235">
        <w:rPr>
          <w:lang w:eastAsia="ko-KR"/>
        </w:rPr>
      </w:r>
      <w:r w:rsidR="004A4235">
        <w:rPr>
          <w:lang w:eastAsia="ko-KR"/>
        </w:rPr>
        <w:fldChar w:fldCharType="separate"/>
      </w:r>
      <w:r w:rsidR="004B171E" w:rsidRPr="000F6CD1">
        <w:t>Hoarding &amp; squalor assistance</w:t>
      </w:r>
      <w:r w:rsidR="004A4235">
        <w:rPr>
          <w:lang w:eastAsia="ko-KR"/>
        </w:rPr>
        <w:fldChar w:fldCharType="end"/>
      </w:r>
      <w:r w:rsidRPr="000F6CD1">
        <w:rPr>
          <w:lang w:eastAsia="ko-KR"/>
        </w:rPr>
        <w:t xml:space="preserve">). </w:t>
      </w:r>
    </w:p>
    <w:p w14:paraId="1E32B9A2" w14:textId="11E11500" w:rsidR="007A743C" w:rsidRPr="000F6CD1" w:rsidDel="00015F34" w:rsidRDefault="00ED5B75" w:rsidP="00A677C9">
      <w:pPr>
        <w:spacing w:before="240" w:after="240" w:line="240" w:lineRule="auto"/>
        <w:rPr>
          <w:lang w:eastAsia="ko-KR"/>
        </w:rPr>
      </w:pPr>
      <w:r w:rsidRPr="000F6CD1">
        <w:rPr>
          <w:lang w:eastAsia="ko-KR"/>
        </w:rPr>
        <w:t>All Care Finder and Elder Care Support Program clients seeking aged care services must be assessed by My Aged Care via the assessment services to determine eligibility and the need to receive additional CHSP services</w:t>
      </w:r>
      <w:r w:rsidRPr="000F6CD1" w:rsidDel="00015F34">
        <w:rPr>
          <w:lang w:eastAsia="ko-KR"/>
        </w:rPr>
        <w:t xml:space="preserve">. </w:t>
      </w:r>
      <w:r w:rsidR="007A743C" w:rsidRPr="000F6CD1">
        <w:rPr>
          <w:lang w:eastAsia="ko-KR"/>
        </w:rPr>
        <w:t xml:space="preserve">People receiving assistance through the Care Finder program or Elder Care Support program may be eligible to access CHSP services targeted at avoiding homelessness or reducing the impact of homelessness. Any entry level CHSP services made available to a Care Finder or Elder Care Support Program older person between the age of 50 and 65 must be targeted at avoiding homelessness or reducing the impact of homelessness. </w:t>
      </w:r>
    </w:p>
    <w:p w14:paraId="3CDA5B89" w14:textId="77777777" w:rsidR="007A743C" w:rsidRPr="000F6CD1" w:rsidRDefault="007A743C" w:rsidP="00CC6081">
      <w:pPr>
        <w:pStyle w:val="H4"/>
      </w:pPr>
      <w:r w:rsidRPr="000F6CD1">
        <w:t>My Aged Care system function – linking support</w:t>
      </w:r>
    </w:p>
    <w:p w14:paraId="1FF67675" w14:textId="2819D493" w:rsidR="007A743C" w:rsidRPr="000F6CD1" w:rsidRDefault="007A743C" w:rsidP="00A677C9">
      <w:pPr>
        <w:spacing w:before="240" w:after="240" w:line="240" w:lineRule="auto"/>
        <w:rPr>
          <w:lang w:eastAsia="ko-KR"/>
        </w:rPr>
      </w:pPr>
      <w:r w:rsidRPr="000F6CD1">
        <w:rPr>
          <w:lang w:eastAsia="ko-KR"/>
        </w:rPr>
        <w:t xml:space="preserve">The linking support function on My Aged Care provides assessors with the opportunity to record activities for </w:t>
      </w:r>
      <w:r w:rsidR="00516348" w:rsidRPr="000F6CD1">
        <w:rPr>
          <w:lang w:eastAsia="ko-KR"/>
        </w:rPr>
        <w:t>older people</w:t>
      </w:r>
      <w:r w:rsidRPr="000F6CD1">
        <w:rPr>
          <w:lang w:eastAsia="ko-KR"/>
        </w:rPr>
        <w:t xml:space="preserve"> identified as benefiting from linking support. The function allows assessors to make changes to the older person’s Support Plan during the linking support </w:t>
      </w:r>
      <w:r w:rsidRPr="000F6CD1">
        <w:rPr>
          <w:rFonts w:eastAsiaTheme="minorEastAsia"/>
          <w:lang w:eastAsia="ko-KR"/>
        </w:rPr>
        <w:t>period</w:t>
      </w:r>
      <w:r w:rsidRPr="000F6CD1">
        <w:rPr>
          <w:lang w:eastAsia="ko-KR"/>
        </w:rPr>
        <w:t xml:space="preserve">. Users accessing the older person’s record, such as </w:t>
      </w:r>
      <w:r w:rsidR="00516348" w:rsidRPr="000F6CD1">
        <w:rPr>
          <w:lang w:eastAsia="ko-KR"/>
        </w:rPr>
        <w:t>older people</w:t>
      </w:r>
      <w:r w:rsidRPr="000F6CD1">
        <w:rPr>
          <w:lang w:eastAsia="ko-KR"/>
        </w:rPr>
        <w:t>, contact centre</w:t>
      </w:r>
      <w:r w:rsidR="00A426D2" w:rsidRPr="000F6CD1">
        <w:rPr>
          <w:lang w:eastAsia="ko-KR"/>
        </w:rPr>
        <w:t>, ACSOs</w:t>
      </w:r>
      <w:r w:rsidRPr="000F6CD1">
        <w:rPr>
          <w:lang w:eastAsia="ko-KR"/>
        </w:rPr>
        <w:t xml:space="preserve"> and service providers, will be informed that the older person is undergoing a period of linking support. The department’s expected proportion is that assessment organisations deliver linking support to a minimum of 2.5% of </w:t>
      </w:r>
      <w:r w:rsidR="00516348" w:rsidRPr="000F6CD1">
        <w:rPr>
          <w:lang w:eastAsia="ko-KR"/>
        </w:rPr>
        <w:t>older people</w:t>
      </w:r>
      <w:r w:rsidRPr="000F6CD1">
        <w:rPr>
          <w:lang w:eastAsia="ko-KR"/>
        </w:rPr>
        <w:t>.</w:t>
      </w:r>
    </w:p>
    <w:p w14:paraId="4D2B1841" w14:textId="0F3BDD25" w:rsidR="007A743C" w:rsidRPr="000F6CD1" w:rsidRDefault="007A743C" w:rsidP="00A677C9">
      <w:pPr>
        <w:spacing w:before="240" w:after="240" w:line="240" w:lineRule="auto"/>
        <w:rPr>
          <w:lang w:eastAsia="ko-KR"/>
        </w:rPr>
      </w:pPr>
      <w:r w:rsidRPr="000F6CD1">
        <w:rPr>
          <w:lang w:eastAsia="ko-KR"/>
        </w:rPr>
        <w:t>The function is designed so that the Support Plan can be finalised and kept open for the support period and the timeliness KPI will not be impacted. The timeliness KPI ends at the ‘Finalise Support Plan &amp; keep open for support period</w:t>
      </w:r>
      <w:r w:rsidR="000B3946" w:rsidRPr="000F6CD1">
        <w:rPr>
          <w:lang w:eastAsia="ko-KR"/>
        </w:rPr>
        <w:t>.’</w:t>
      </w:r>
      <w:r w:rsidRPr="000F6CD1">
        <w:rPr>
          <w:lang w:eastAsia="ko-KR"/>
        </w:rPr>
        <w:t xml:space="preserve"> </w:t>
      </w:r>
    </w:p>
    <w:p w14:paraId="094E66D5" w14:textId="7167D56C" w:rsidR="007A743C" w:rsidRPr="000F6CD1" w:rsidRDefault="007A743C" w:rsidP="006647CE">
      <w:pPr>
        <w:pStyle w:val="h2"/>
      </w:pPr>
      <w:bookmarkStart w:id="437" w:name="_Toc209188989"/>
      <w:bookmarkStart w:id="438" w:name="_Toc233282450"/>
      <w:r w:rsidRPr="000F6CD1">
        <w:t>Vulnerable older people relating to aged care services</w:t>
      </w:r>
      <w:bookmarkEnd w:id="437"/>
      <w:bookmarkEnd w:id="438"/>
      <w:r w:rsidRPr="000F6CD1">
        <w:t xml:space="preserve"> </w:t>
      </w:r>
    </w:p>
    <w:p w14:paraId="1FCBBE77" w14:textId="77777777" w:rsidR="007A743C" w:rsidRPr="000F6CD1" w:rsidRDefault="007A743C" w:rsidP="00A677C9">
      <w:pPr>
        <w:spacing w:before="240" w:after="240" w:line="240" w:lineRule="auto"/>
        <w:rPr>
          <w:lang w:eastAsia="ko-KR"/>
        </w:rPr>
      </w:pPr>
      <w:r w:rsidRPr="000F6CD1">
        <w:rPr>
          <w:lang w:eastAsia="ko-KR"/>
        </w:rPr>
        <w:t>Where the assessor wishes to monitor the older person’s access to aged care services more closely, they can elect (or at the older person or appointed decision maker’s request) to be notified of correspondence sent to the older person. This particularly applies to vulnerable older people who need assistance with the process of finding a suitable provider, and do not have support to assist them. Only one person from an assessment outlet can be selected to receive this notification. This person’s contact details will also appear on all correspondence with the older person.</w:t>
      </w:r>
    </w:p>
    <w:p w14:paraId="6656A0D6" w14:textId="77777777" w:rsidR="007A743C" w:rsidRPr="000F6CD1" w:rsidRDefault="007A743C" w:rsidP="00A677C9">
      <w:pPr>
        <w:spacing w:before="240" w:after="240" w:line="240" w:lineRule="auto"/>
        <w:rPr>
          <w:lang w:eastAsia="ko-KR"/>
        </w:rPr>
      </w:pPr>
      <w:r w:rsidRPr="000F6CD1">
        <w:rPr>
          <w:lang w:eastAsia="ko-KR"/>
        </w:rPr>
        <w:t xml:space="preserve">An assessor should also consider whether a person can access support through the Care Finder and Elder Care Support Program. </w:t>
      </w:r>
    </w:p>
    <w:p w14:paraId="24652822" w14:textId="2FE382EB" w:rsidR="007A743C" w:rsidRPr="000F6CD1" w:rsidRDefault="007A743C" w:rsidP="00A677C9">
      <w:pPr>
        <w:spacing w:before="240" w:after="240" w:line="240" w:lineRule="auto"/>
        <w:rPr>
          <w:lang w:eastAsia="ko-KR"/>
        </w:rPr>
      </w:pPr>
      <w:r w:rsidRPr="000F6CD1">
        <w:rPr>
          <w:lang w:eastAsia="ko-KR"/>
        </w:rPr>
        <w:t>This notification can be enabled from any tab in the older person’s Support Plan or on the ‘Approvals’ tab in the older person record. The notification link will only be enabled if the older person has been marked as ‘seeking services</w:t>
      </w:r>
      <w:r w:rsidR="000B3946" w:rsidRPr="000F6CD1">
        <w:rPr>
          <w:lang w:eastAsia="ko-KR"/>
        </w:rPr>
        <w:t>,’</w:t>
      </w:r>
      <w:r w:rsidRPr="000F6CD1">
        <w:rPr>
          <w:lang w:eastAsia="ko-KR"/>
        </w:rPr>
        <w:t xml:space="preserve"> or a recommendation has been made.</w:t>
      </w:r>
    </w:p>
    <w:p w14:paraId="57C15387" w14:textId="14146422" w:rsidR="007A743C" w:rsidRPr="000F6CD1" w:rsidRDefault="007A743C" w:rsidP="00A677C9">
      <w:pPr>
        <w:spacing w:before="240" w:after="240" w:line="240" w:lineRule="auto"/>
      </w:pPr>
      <w:r w:rsidRPr="000F6CD1">
        <w:t xml:space="preserve">Where an assessor is receiving </w:t>
      </w:r>
      <w:r w:rsidR="00AE7566" w:rsidRPr="000F6CD1">
        <w:t>Support at Home</w:t>
      </w:r>
      <w:r w:rsidRPr="000F6CD1">
        <w:t xml:space="preserve"> notifications for a vulnerable older person who has been approved to access funded aged care services, the assessor is able to extend an older person’s acceptance period for ongoing </w:t>
      </w:r>
      <w:r w:rsidR="00105622" w:rsidRPr="000F6CD1">
        <w:t>services</w:t>
      </w:r>
      <w:r w:rsidRPr="000F6CD1">
        <w:t xml:space="preserve"> beyond the 56-day entry period and extend the older person’s time to select provider for an additional 28 days through the extension process on My Aged Care. </w:t>
      </w:r>
    </w:p>
    <w:tbl>
      <w:tblPr>
        <w:tblStyle w:val="TableGrid"/>
        <w:tblW w:w="0" w:type="auto"/>
        <w:tblLook w:val="04A0" w:firstRow="1" w:lastRow="0" w:firstColumn="1" w:lastColumn="0" w:noHBand="0" w:noVBand="1"/>
      </w:tblPr>
      <w:tblGrid>
        <w:gridCol w:w="846"/>
        <w:gridCol w:w="8170"/>
      </w:tblGrid>
      <w:tr w:rsidR="007A743C" w:rsidRPr="000F6CD1" w14:paraId="416534A5" w14:textId="77777777">
        <w:trPr>
          <w:trHeight w:val="300"/>
        </w:trPr>
        <w:tc>
          <w:tcPr>
            <w:tcW w:w="846" w:type="dxa"/>
          </w:tcPr>
          <w:p w14:paraId="6D953AC3" w14:textId="77777777"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r w:rsidRPr="000F6CD1">
              <w:rPr>
                <w:noProof/>
                <w:shd w:val="clear" w:color="auto" w:fill="FFFFFF" w:themeFill="background1"/>
              </w:rPr>
              <w:lastRenderedPageBreak/>
              <w:drawing>
                <wp:inline distT="0" distB="0" distL="0" distR="0" wp14:anchorId="05D47FC7" wp14:editId="12EDD12A">
                  <wp:extent cx="383111" cy="381000"/>
                  <wp:effectExtent l="0" t="0" r="0" b="0"/>
                  <wp:docPr id="741271724" name="Picture 741271724"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1724" name="Picture 741271724"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0FC3DEF" w14:textId="77777777" w:rsidR="007A743C" w:rsidRPr="000F6CD1" w:rsidRDefault="007A743C" w:rsidP="00A677C9">
            <w:pPr>
              <w:pStyle w:val="NormalText"/>
              <w:spacing w:before="240" w:after="240" w:line="240" w:lineRule="auto"/>
            </w:pPr>
            <w:hyperlink r:id="rId166" w:history="1">
              <w:r w:rsidRPr="000F6CD1">
                <w:rPr>
                  <w:rStyle w:val="Hyperlink"/>
                  <w:rFonts w:cstheme="minorBidi"/>
                </w:rPr>
                <w:t>Care finder program | Australian Government Department of Health, Disability and Ageing</w:t>
              </w:r>
            </w:hyperlink>
          </w:p>
          <w:p w14:paraId="37E0AD4D" w14:textId="77777777" w:rsidR="007A743C" w:rsidRPr="000F6CD1" w:rsidRDefault="007A743C" w:rsidP="00A677C9">
            <w:pPr>
              <w:pStyle w:val="NormalText"/>
              <w:spacing w:before="240" w:after="240" w:line="240" w:lineRule="auto"/>
              <w:rPr>
                <w:rFonts w:eastAsiaTheme="majorEastAsia" w:cs="Arial"/>
                <w:color w:val="1E1444"/>
                <w:szCs w:val="24"/>
                <w:shd w:val="clear" w:color="auto" w:fill="auto"/>
                <w:lang w:eastAsia="en-AU"/>
              </w:rPr>
            </w:pPr>
            <w:hyperlink r:id="rId167" w:history="1">
              <w:r w:rsidRPr="000F6CD1">
                <w:rPr>
                  <w:rStyle w:val="Hyperlink"/>
                  <w:rFonts w:eastAsiaTheme="majorEastAsia"/>
                  <w:szCs w:val="24"/>
                  <w:shd w:val="clear" w:color="auto" w:fill="auto"/>
                  <w:lang w:eastAsia="en-AU"/>
                </w:rPr>
                <w:t>Elder Care Support | Australian Government Department of Health, Disability and Ageing</w:t>
              </w:r>
            </w:hyperlink>
          </w:p>
        </w:tc>
      </w:tr>
    </w:tbl>
    <w:p w14:paraId="62A17754" w14:textId="77777777" w:rsidR="007A743C" w:rsidRPr="000F6CD1" w:rsidRDefault="007A743C" w:rsidP="003D374A">
      <w:pPr>
        <w:pStyle w:val="Sub-headingnon-contentpage"/>
      </w:pPr>
      <w:r w:rsidRPr="000F6CD1">
        <w:t xml:space="preserve">The assessor must carry out the following steps and activities: </w:t>
      </w:r>
    </w:p>
    <w:p w14:paraId="676BC61A" w14:textId="77777777" w:rsidR="007A743C" w:rsidRPr="000F6CD1" w:rsidRDefault="007A743C" w:rsidP="00DF3F6B">
      <w:pPr>
        <w:pStyle w:val="ListParagraph"/>
        <w:numPr>
          <w:ilvl w:val="0"/>
          <w:numId w:val="108"/>
        </w:numPr>
        <w:tabs>
          <w:tab w:val="left" w:pos="709"/>
        </w:tabs>
        <w:spacing w:before="240" w:after="240" w:line="240" w:lineRule="auto"/>
        <w:rPr>
          <w:lang w:eastAsia="ko-KR"/>
        </w:rPr>
      </w:pPr>
      <w:r w:rsidRPr="000F6CD1">
        <w:rPr>
          <w:lang w:eastAsia="ko-KR"/>
        </w:rPr>
        <w:t>Consider if linking support is</w:t>
      </w:r>
      <w:r w:rsidRPr="000F6CD1">
        <w:rPr>
          <w:rFonts w:hint="eastAsia"/>
          <w:lang w:eastAsia="ko-KR"/>
        </w:rPr>
        <w:t xml:space="preserve"> required</w:t>
      </w:r>
      <w:r w:rsidRPr="000F6CD1">
        <w:rPr>
          <w:lang w:eastAsia="ko-KR"/>
        </w:rPr>
        <w:t xml:space="preserve"> – particularly</w:t>
      </w:r>
      <w:r w:rsidRPr="000F6CD1">
        <w:rPr>
          <w:rFonts w:hint="eastAsia"/>
          <w:lang w:eastAsia="ko-KR"/>
        </w:rPr>
        <w:t xml:space="preserve"> i</w:t>
      </w:r>
      <w:r w:rsidRPr="000F6CD1">
        <w:rPr>
          <w:lang w:eastAsia="ko-KR"/>
        </w:rPr>
        <w:t xml:space="preserve">f the older person presents with two or more complexities (and/or risk of vulnerability) – and may have been further confirmed through the support considerations process. </w:t>
      </w:r>
    </w:p>
    <w:p w14:paraId="2C9BC590" w14:textId="1E655C05" w:rsidR="007A743C" w:rsidRPr="000F6CD1" w:rsidRDefault="007A743C" w:rsidP="00DF3F6B">
      <w:pPr>
        <w:pStyle w:val="ListParagraph"/>
        <w:numPr>
          <w:ilvl w:val="0"/>
          <w:numId w:val="108"/>
        </w:numPr>
        <w:tabs>
          <w:tab w:val="left" w:pos="709"/>
        </w:tabs>
        <w:spacing w:before="240" w:after="240" w:line="240" w:lineRule="auto"/>
        <w:rPr>
          <w:lang w:eastAsia="ko-KR"/>
        </w:rPr>
      </w:pPr>
      <w:r w:rsidRPr="000F6CD1">
        <w:rPr>
          <w:lang w:eastAsia="ko-KR"/>
        </w:rPr>
        <w:t>If identified as ‘vulnerable</w:t>
      </w:r>
      <w:r w:rsidR="008F17D4" w:rsidRPr="000F6CD1">
        <w:rPr>
          <w:lang w:eastAsia="ko-KR"/>
        </w:rPr>
        <w:t>,’</w:t>
      </w:r>
      <w:r w:rsidRPr="000F6CD1">
        <w:rPr>
          <w:lang w:eastAsia="ko-KR"/>
        </w:rPr>
        <w:t xml:space="preserve"> with the older person’s agreement, the older person will be provided with linking support. If not applicable, check an appropriate plan is in place. Therefore, the IAT and/or the Support Plan evidences the complexity or risk of vulnerability support has been considered and documented.</w:t>
      </w:r>
      <w:r w:rsidRPr="000F6CD1" w:rsidDel="000D40C0">
        <w:rPr>
          <w:lang w:eastAsia="ko-KR"/>
        </w:rPr>
        <w:t xml:space="preserve"> </w:t>
      </w:r>
      <w:r w:rsidRPr="000F6CD1">
        <w:rPr>
          <w:lang w:eastAsia="ko-KR"/>
        </w:rPr>
        <w:t xml:space="preserve">If linking support is applicable, develop the Support Plan to include linking support, recommending the period of linking support and the planned activities. Action the recommended activities, monitor progress and record the outcomes (using the linking support function). </w:t>
      </w:r>
    </w:p>
    <w:p w14:paraId="6EF6F14A" w14:textId="77777777" w:rsidR="007A743C" w:rsidRPr="000F6CD1" w:rsidRDefault="007A743C" w:rsidP="00DF3F6B">
      <w:pPr>
        <w:pStyle w:val="ListParagraph"/>
        <w:numPr>
          <w:ilvl w:val="0"/>
          <w:numId w:val="108"/>
        </w:numPr>
        <w:tabs>
          <w:tab w:val="left" w:pos="709"/>
        </w:tabs>
        <w:spacing w:before="240" w:after="240" w:line="240" w:lineRule="auto"/>
        <w:rPr>
          <w:lang w:eastAsia="ko-KR"/>
        </w:rPr>
      </w:pPr>
      <w:r w:rsidRPr="000F6CD1">
        <w:rPr>
          <w:lang w:eastAsia="ko-KR"/>
        </w:rPr>
        <w:t>Consider all available care and support options appropriate to the needs of the older person and facilitate the provision of services to the point of effective referral.</w:t>
      </w:r>
    </w:p>
    <w:p w14:paraId="129384C5" w14:textId="77777777" w:rsidR="007A743C" w:rsidRPr="000F6CD1" w:rsidRDefault="007A743C" w:rsidP="00DF3F6B">
      <w:pPr>
        <w:pStyle w:val="ListParagraph"/>
        <w:numPr>
          <w:ilvl w:val="0"/>
          <w:numId w:val="108"/>
        </w:numPr>
        <w:tabs>
          <w:tab w:val="left" w:pos="709"/>
        </w:tabs>
        <w:spacing w:before="240" w:after="240" w:line="240" w:lineRule="auto"/>
        <w:rPr>
          <w:lang w:eastAsia="ko-KR"/>
        </w:rPr>
      </w:pPr>
      <w:r w:rsidRPr="000F6CD1">
        <w:rPr>
          <w:lang w:eastAsia="ko-KR"/>
        </w:rPr>
        <w:t xml:space="preserve">Liaise, consult, and work collaboratively with all stakeholders and service providers in a multidisciplinary approach across service sectors to support individual older person needs. For example: </w:t>
      </w:r>
    </w:p>
    <w:p w14:paraId="405927CC" w14:textId="77777777" w:rsidR="007A743C" w:rsidRPr="000F6CD1" w:rsidRDefault="007A743C" w:rsidP="00DF3F6B">
      <w:pPr>
        <w:pStyle w:val="ListParagraph"/>
        <w:numPr>
          <w:ilvl w:val="0"/>
          <w:numId w:val="100"/>
        </w:numPr>
        <w:tabs>
          <w:tab w:val="left" w:pos="709"/>
        </w:tabs>
        <w:spacing w:before="240" w:after="240" w:line="240" w:lineRule="auto"/>
        <w:ind w:left="1418" w:hanging="284"/>
        <w:rPr>
          <w:lang w:eastAsia="ko-KR"/>
        </w:rPr>
      </w:pPr>
      <w:r w:rsidRPr="000F6CD1">
        <w:rPr>
          <w:lang w:eastAsia="ko-KR"/>
        </w:rPr>
        <w:t>Contact relevant experts and service providers to discuss the older person's current situation and Support Plan moving forward, and to assist with the co-ordination of the older person’s care whilst receiving linking support (e.g., care finders, CHSP Hoarding and Squalor providers, health, housing and legal services, community Geriatric Evaluation and Management teams, advocates, social, case management and/or mental health workers and local councils).</w:t>
      </w:r>
    </w:p>
    <w:p w14:paraId="375899B9" w14:textId="77777777" w:rsidR="007A743C" w:rsidRPr="000F6CD1" w:rsidRDefault="007A743C" w:rsidP="00DF3F6B">
      <w:pPr>
        <w:pStyle w:val="ListParagraph"/>
        <w:numPr>
          <w:ilvl w:val="0"/>
          <w:numId w:val="100"/>
        </w:numPr>
        <w:tabs>
          <w:tab w:val="left" w:pos="709"/>
        </w:tabs>
        <w:spacing w:before="240" w:after="240" w:line="240" w:lineRule="auto"/>
        <w:ind w:left="1418" w:hanging="284"/>
        <w:rPr>
          <w:lang w:eastAsia="ko-KR"/>
        </w:rPr>
      </w:pPr>
      <w:r w:rsidRPr="000F6CD1">
        <w:rPr>
          <w:lang w:eastAsia="ko-KR"/>
        </w:rPr>
        <w:t>With older person’s consent, obtain the necessary older person information from various sources and organisations.</w:t>
      </w:r>
    </w:p>
    <w:p w14:paraId="5D0E152A" w14:textId="77777777" w:rsidR="007A743C" w:rsidRPr="000F6CD1" w:rsidRDefault="007A743C" w:rsidP="00DF3F6B">
      <w:pPr>
        <w:pStyle w:val="ListParagraph"/>
        <w:numPr>
          <w:ilvl w:val="0"/>
          <w:numId w:val="100"/>
        </w:numPr>
        <w:tabs>
          <w:tab w:val="left" w:pos="851"/>
        </w:tabs>
        <w:spacing w:before="240" w:after="240" w:line="240" w:lineRule="auto"/>
        <w:ind w:left="1418" w:hanging="284"/>
        <w:rPr>
          <w:lang w:eastAsia="ko-KR"/>
        </w:rPr>
      </w:pPr>
      <w:r w:rsidRPr="000F6CD1">
        <w:rPr>
          <w:lang w:eastAsia="ko-KR"/>
        </w:rPr>
        <w:t>Maintain regular contact with the older person, providers, and those co-ordinating services during the period of linking support.</w:t>
      </w:r>
    </w:p>
    <w:p w14:paraId="004EC6A0" w14:textId="206AC7DE" w:rsidR="007A743C" w:rsidRPr="000F6CD1" w:rsidRDefault="007A743C" w:rsidP="00DF3F6B">
      <w:pPr>
        <w:pStyle w:val="ListParagraph"/>
        <w:numPr>
          <w:ilvl w:val="0"/>
          <w:numId w:val="100"/>
        </w:numPr>
        <w:tabs>
          <w:tab w:val="left" w:pos="851"/>
        </w:tabs>
        <w:spacing w:before="240" w:after="240" w:line="240" w:lineRule="auto"/>
        <w:ind w:left="1418" w:hanging="284"/>
        <w:rPr>
          <w:lang w:eastAsia="ko-KR"/>
        </w:rPr>
      </w:pPr>
      <w:r w:rsidRPr="000F6CD1">
        <w:rPr>
          <w:lang w:eastAsia="ko-KR"/>
        </w:rPr>
        <w:t xml:space="preserve">Assist </w:t>
      </w:r>
      <w:r w:rsidR="00516348" w:rsidRPr="000F6CD1">
        <w:rPr>
          <w:lang w:eastAsia="ko-KR"/>
        </w:rPr>
        <w:t>older people</w:t>
      </w:r>
      <w:r w:rsidRPr="000F6CD1">
        <w:rPr>
          <w:lang w:eastAsia="ko-KR"/>
        </w:rPr>
        <w:t xml:space="preserve"> with issues relating to transition to alternate service options.</w:t>
      </w:r>
    </w:p>
    <w:p w14:paraId="69269DD9" w14:textId="77777777" w:rsidR="007A743C" w:rsidRPr="000F6CD1" w:rsidRDefault="007A743C" w:rsidP="00DF3F6B">
      <w:pPr>
        <w:pStyle w:val="ListParagraph"/>
        <w:numPr>
          <w:ilvl w:val="0"/>
          <w:numId w:val="100"/>
        </w:numPr>
        <w:tabs>
          <w:tab w:val="left" w:pos="851"/>
        </w:tabs>
        <w:spacing w:before="240" w:after="240" w:line="240" w:lineRule="auto"/>
        <w:ind w:left="1418" w:hanging="284"/>
        <w:rPr>
          <w:lang w:eastAsia="ko-KR"/>
        </w:rPr>
      </w:pPr>
      <w:r w:rsidRPr="000F6CD1">
        <w:rPr>
          <w:lang w:eastAsia="ko-KR"/>
        </w:rPr>
        <w:t xml:space="preserve">In consultation with the older person, determine when the linking support period should be finalised, and what ongoing support (if any) may be required for the older person </w:t>
      </w:r>
    </w:p>
    <w:p w14:paraId="098270BE" w14:textId="77777777" w:rsidR="007A743C" w:rsidRPr="000F6CD1" w:rsidRDefault="007A743C" w:rsidP="00DF3F6B">
      <w:pPr>
        <w:pStyle w:val="ListParagraph"/>
        <w:numPr>
          <w:ilvl w:val="0"/>
          <w:numId w:val="100"/>
        </w:numPr>
        <w:tabs>
          <w:tab w:val="left" w:pos="851"/>
        </w:tabs>
        <w:spacing w:before="240" w:after="240" w:line="240" w:lineRule="auto"/>
        <w:ind w:left="1418" w:hanging="284"/>
        <w:rPr>
          <w:lang w:eastAsia="ko-KR"/>
        </w:rPr>
      </w:pPr>
      <w:r w:rsidRPr="000F6CD1">
        <w:rPr>
          <w:lang w:eastAsia="ko-KR"/>
        </w:rPr>
        <w:t xml:space="preserve">If aged care service access is not approved, consider referral to a support service outside of aged care and if relevant a support service which provides a coordination or case management function. </w:t>
      </w:r>
    </w:p>
    <w:p w14:paraId="6C2BE1E4" w14:textId="77777777" w:rsidR="007A743C" w:rsidRPr="000F6CD1" w:rsidRDefault="007A743C" w:rsidP="00DF3F6B">
      <w:pPr>
        <w:pStyle w:val="ListParagraph"/>
        <w:numPr>
          <w:ilvl w:val="0"/>
          <w:numId w:val="104"/>
        </w:numPr>
        <w:tabs>
          <w:tab w:val="left" w:pos="851"/>
        </w:tabs>
        <w:spacing w:before="240" w:after="240" w:line="240" w:lineRule="auto"/>
        <w:ind w:left="426"/>
        <w:rPr>
          <w:lang w:eastAsia="ko-KR"/>
        </w:rPr>
      </w:pPr>
      <w:r w:rsidRPr="000F6CD1">
        <w:rPr>
          <w:lang w:eastAsia="ko-KR"/>
        </w:rPr>
        <w:t xml:space="preserve">Offer the information in a variety of formats to promote equitable access (e.g., paper-based, electronic, face-to-face, over the phone, etc.) and where appropriate, include information to self-refer to the identified services and supports and information on rights, responsibilities, and mechanisms for complaints. </w:t>
      </w:r>
    </w:p>
    <w:p w14:paraId="205B3838" w14:textId="4E8822A6" w:rsidR="007A743C" w:rsidRPr="000F6CD1" w:rsidRDefault="00AF4D61" w:rsidP="00AF4D61">
      <w:pPr>
        <w:rPr>
          <w:lang w:eastAsia="ko-KR"/>
        </w:rPr>
      </w:pPr>
      <w:r>
        <w:rPr>
          <w:lang w:eastAsia="ko-KR"/>
        </w:rPr>
        <w:br w:type="page"/>
      </w:r>
    </w:p>
    <w:p w14:paraId="6C38A637" w14:textId="28916237" w:rsidR="00D5327C" w:rsidRPr="000F6CD1" w:rsidRDefault="007A743C" w:rsidP="00D5327C">
      <w:pPr>
        <w:pStyle w:val="h2"/>
      </w:pPr>
      <w:bookmarkStart w:id="439" w:name="_Toc204329561"/>
      <w:bookmarkStart w:id="440" w:name="_Toc209188990"/>
      <w:bookmarkStart w:id="441" w:name="_Toc233282451"/>
      <w:r w:rsidRPr="000F6CD1">
        <w:lastRenderedPageBreak/>
        <w:t>Recommending aged care services</w:t>
      </w:r>
      <w:bookmarkEnd w:id="439"/>
      <w:bookmarkEnd w:id="440"/>
      <w:bookmarkEnd w:id="441"/>
    </w:p>
    <w:p w14:paraId="224699F2" w14:textId="5A988AFC" w:rsidR="00643C9B" w:rsidRPr="000F6CD1" w:rsidRDefault="007A743C" w:rsidP="00806A21">
      <w:pPr>
        <w:pStyle w:val="Sub-headings"/>
      </w:pPr>
      <w:r w:rsidRPr="009C1D38">
        <w:t>Note</w:t>
      </w:r>
      <w:r w:rsidR="009C154A" w:rsidRPr="009C1D38">
        <w:t>:</w:t>
      </w:r>
      <w:r w:rsidR="00B10983">
        <w:t xml:space="preserve"> </w:t>
      </w:r>
      <w:r w:rsidRPr="000F6CD1">
        <w:t xml:space="preserve">Providers will </w:t>
      </w:r>
      <w:r w:rsidR="00946106" w:rsidRPr="000F6CD1">
        <w:t xml:space="preserve">not be </w:t>
      </w:r>
      <w:r w:rsidR="00A172FE" w:rsidRPr="000F6CD1">
        <w:t>able to</w:t>
      </w:r>
      <w:r w:rsidRPr="000F6CD1">
        <w:t xml:space="preserve"> deliver or claim for any services for an individual that </w:t>
      </w:r>
      <w:r w:rsidR="008101D7" w:rsidRPr="000F6CD1">
        <w:t xml:space="preserve">are </w:t>
      </w:r>
      <w:r w:rsidRPr="000F6CD1">
        <w:t>not approved in the support plan (even if there is an immediate need).</w:t>
      </w:r>
    </w:p>
    <w:p w14:paraId="1FA4398D" w14:textId="3281E284" w:rsidR="007A743C" w:rsidRPr="000F6CD1" w:rsidRDefault="007A743C" w:rsidP="00A677C9">
      <w:pPr>
        <w:spacing w:before="240" w:after="240" w:line="240" w:lineRule="auto"/>
      </w:pPr>
      <w:r w:rsidRPr="000F6CD1">
        <w:t xml:space="preserve">Once the IAT has been finalised, an assessor will assess an older person’s need for aged care services as defined in </w:t>
      </w:r>
      <w:r w:rsidR="0042088F" w:rsidRPr="000F6CD1">
        <w:rPr>
          <w:b/>
        </w:rPr>
        <w:t xml:space="preserve">Sections </w:t>
      </w:r>
      <w:r w:rsidRPr="000F6CD1">
        <w:rPr>
          <w:b/>
        </w:rPr>
        <w:t>66 to 68</w:t>
      </w:r>
      <w:r w:rsidRPr="000F6CD1">
        <w:t xml:space="preserve"> of the </w:t>
      </w:r>
      <w:r w:rsidRPr="000F6CD1">
        <w:rPr>
          <w:i/>
        </w:rPr>
        <w:t>Aged Care Act 2024</w:t>
      </w:r>
      <w:r w:rsidRPr="000F6CD1">
        <w:t xml:space="preserve">. </w:t>
      </w:r>
    </w:p>
    <w:p w14:paraId="7A40892C" w14:textId="35A50989" w:rsidR="007A743C" w:rsidRPr="000F6CD1" w:rsidRDefault="00A172FE" w:rsidP="00A677C9">
      <w:pPr>
        <w:spacing w:before="240" w:after="240" w:line="240" w:lineRule="auto"/>
      </w:pPr>
      <w:r w:rsidRPr="000F6CD1">
        <w:t>If ongoing</w:t>
      </w:r>
      <w:r w:rsidR="007A743C" w:rsidRPr="000F6CD1">
        <w:t xml:space="preserve"> Support at Home, Restorative Care Pathway or End-of-life Pathway,</w:t>
      </w:r>
      <w:r w:rsidR="005E386C" w:rsidRPr="000F6CD1">
        <w:t xml:space="preserve"> are recommended</w:t>
      </w:r>
      <w:r w:rsidR="007A743C" w:rsidRPr="000F6CD1">
        <w:t xml:space="preserve"> assessors will be taken directly to the ‘Add Home Support services’ page. On this page specific services are grouped by service type. These service types relate to the services in the </w:t>
      </w:r>
      <w:r w:rsidR="007A743C" w:rsidRPr="00BD0F1D">
        <w:rPr>
          <w:i/>
          <w:iCs/>
        </w:rPr>
        <w:t>Aged Care Rules 2025</w:t>
      </w:r>
      <w:r w:rsidR="007A743C" w:rsidRPr="000F6CD1">
        <w:t xml:space="preserve">. </w:t>
      </w:r>
    </w:p>
    <w:p w14:paraId="18DB4A9B" w14:textId="4299C67F" w:rsidR="007A743C" w:rsidRPr="000F6CD1" w:rsidRDefault="007A743C" w:rsidP="00911AE5">
      <w:pPr>
        <w:spacing w:before="240" w:after="240" w:line="240" w:lineRule="auto"/>
      </w:pPr>
      <w:r w:rsidRPr="000F6CD1">
        <w:t>Under each service type, specific services will appear (known as service levels). For example, under the service type</w:t>
      </w:r>
      <w:r w:rsidRPr="000F6CD1">
        <w:rPr>
          <w:i/>
        </w:rPr>
        <w:t xml:space="preserve"> Domestic Assistance</w:t>
      </w:r>
      <w:r w:rsidRPr="000F6CD1">
        <w:t xml:space="preserve">, services such as general house cleaning, laundry service, shopping assistance etc. will display. All services are pre-selected, except for services in the ‘prescribed’ service types </w:t>
      </w:r>
      <w:r w:rsidRPr="000F6CD1">
        <w:rPr>
          <w:i/>
        </w:rPr>
        <w:t>Allied health and Therapy</w:t>
      </w:r>
      <w:r w:rsidRPr="000F6CD1">
        <w:t xml:space="preserve"> and </w:t>
      </w:r>
      <w:r w:rsidRPr="000F6CD1">
        <w:rPr>
          <w:i/>
        </w:rPr>
        <w:t>Therapeutic Services for Independent Living</w:t>
      </w:r>
      <w:r w:rsidRPr="000F6CD1">
        <w:t>. This is due to the specific nature of these services and should only be recommended if an older person has a need for them.</w:t>
      </w:r>
    </w:p>
    <w:p w14:paraId="024F8FD0" w14:textId="36530E4B" w:rsidR="000027E3" w:rsidRPr="00572555" w:rsidRDefault="007A743C" w:rsidP="00806A21">
      <w:pPr>
        <w:pStyle w:val="Sub-headings"/>
      </w:pPr>
      <w:r w:rsidRPr="00572555">
        <w:t xml:space="preserve">Important: </w:t>
      </w:r>
    </w:p>
    <w:p w14:paraId="4B6CCCA7" w14:textId="77777777" w:rsidR="002B7B30" w:rsidRPr="000F6CD1" w:rsidRDefault="007A743C" w:rsidP="00806A21">
      <w:pPr>
        <w:pStyle w:val="Sub-headings"/>
      </w:pPr>
      <w:r w:rsidRPr="000F6CD1">
        <w:rPr>
          <w:rFonts w:eastAsia="Arial"/>
          <w:color w:val="000000" w:themeColor="text1"/>
        </w:rPr>
        <w:t xml:space="preserve">For any service type other than </w:t>
      </w:r>
      <w:r w:rsidRPr="000F6CD1">
        <w:rPr>
          <w:i/>
        </w:rPr>
        <w:t>Allied health and Therapy</w:t>
      </w:r>
      <w:r w:rsidRPr="000F6CD1">
        <w:t xml:space="preserve"> and </w:t>
      </w:r>
      <w:r w:rsidRPr="000F6CD1">
        <w:rPr>
          <w:i/>
        </w:rPr>
        <w:t xml:space="preserve">Therapeutic Services for Independent Living </w:t>
      </w:r>
      <w:r w:rsidRPr="000F6CD1">
        <w:t xml:space="preserve">(the ‘non-prescribed’ service types), if you think the older person needs </w:t>
      </w:r>
      <w:r w:rsidRPr="000F6CD1">
        <w:rPr>
          <w:u w:val="single"/>
        </w:rPr>
        <w:t>any</w:t>
      </w:r>
      <w:r w:rsidRPr="000F6CD1">
        <w:t xml:space="preserve"> service in the service type, then you need to select </w:t>
      </w:r>
      <w:r w:rsidRPr="000F6CD1">
        <w:rPr>
          <w:u w:val="single"/>
        </w:rPr>
        <w:t>all</w:t>
      </w:r>
      <w:r w:rsidRPr="000F6CD1">
        <w:t xml:space="preserve"> services in the service type. </w:t>
      </w:r>
    </w:p>
    <w:p w14:paraId="2FC9EC42" w14:textId="387068AF" w:rsidR="007A743C" w:rsidRPr="000F6CD1" w:rsidRDefault="007A743C" w:rsidP="00806A21">
      <w:pPr>
        <w:pStyle w:val="Sub-headings"/>
      </w:pPr>
      <w:r w:rsidRPr="000F6CD1">
        <w:t xml:space="preserve">This is because, for the non-prescribed service types under the Act, an older person is approved for access </w:t>
      </w:r>
      <w:r w:rsidRPr="000F6CD1">
        <w:rPr>
          <w:i/>
        </w:rPr>
        <w:t>at the level of service type only</w:t>
      </w:r>
      <w:r w:rsidRPr="000F6CD1">
        <w:t>. This applies to service recommendations for Support at Home classifications and CHSP.</w:t>
      </w:r>
    </w:p>
    <w:p w14:paraId="3D835BCF" w14:textId="10F4E0AD" w:rsidR="002B7B30" w:rsidRPr="000F6CD1" w:rsidRDefault="007A743C" w:rsidP="00806A21">
      <w:pPr>
        <w:pStyle w:val="Sub-headings"/>
      </w:pPr>
      <w:r w:rsidRPr="000F6CD1">
        <w:t>Under Section 65 of the</w:t>
      </w:r>
      <w:r w:rsidRPr="000F6CD1">
        <w:rPr>
          <w:i/>
        </w:rPr>
        <w:t xml:space="preserve"> Aged Care Act 2024 </w:t>
      </w:r>
      <w:r w:rsidRPr="000F6CD1">
        <w:t>an</w:t>
      </w:r>
      <w:r w:rsidRPr="000F6CD1">
        <w:rPr>
          <w:i/>
        </w:rPr>
        <w:t xml:space="preserve"> </w:t>
      </w:r>
      <w:r w:rsidRPr="000F6CD1">
        <w:t xml:space="preserve">older Aboriginal and Torres Strait Islander person only needs an approval at the level of service group and classification type to receive aged care services. This means that if the older person is approved for a service group, they are automatically approved for </w:t>
      </w:r>
      <w:r w:rsidRPr="000F6CD1">
        <w:rPr>
          <w:i/>
        </w:rPr>
        <w:t>all service types</w:t>
      </w:r>
      <w:r w:rsidRPr="000F6CD1">
        <w:t xml:space="preserve"> </w:t>
      </w:r>
      <w:r w:rsidRPr="000F6CD1">
        <w:rPr>
          <w:i/>
        </w:rPr>
        <w:t>and services</w:t>
      </w:r>
      <w:r w:rsidRPr="000F6CD1">
        <w:t xml:space="preserve"> in that group. </w:t>
      </w:r>
    </w:p>
    <w:p w14:paraId="4388E9C2" w14:textId="3DBAD0EB" w:rsidR="007A743C" w:rsidRPr="000F6CD1" w:rsidRDefault="007A743C" w:rsidP="00806A21">
      <w:pPr>
        <w:pStyle w:val="Sub-headings"/>
      </w:pPr>
      <w:r w:rsidRPr="000F6CD1">
        <w:t xml:space="preserve">In the system, however, for the </w:t>
      </w:r>
      <w:r w:rsidRPr="000F6CD1">
        <w:rPr>
          <w:i/>
        </w:rPr>
        <w:t>home support</w:t>
      </w:r>
      <w:r w:rsidRPr="000F6CD1">
        <w:t xml:space="preserve"> service group you must ensure all service types and services are selected in the ‘Add home support services’ page, if the older person is Aboriginal or Torres Strait Islander. If you add Assistive Technology, Home Modifications or residential aged care to the support plan, there is no need for you to select specific services.</w:t>
      </w:r>
    </w:p>
    <w:p w14:paraId="03655FA8" w14:textId="77777777" w:rsidR="007A743C" w:rsidRPr="000F6CD1" w:rsidRDefault="007A743C" w:rsidP="00A677C9">
      <w:pPr>
        <w:spacing w:before="240" w:after="240" w:line="240" w:lineRule="auto"/>
      </w:pPr>
      <w:r w:rsidRPr="000F6CD1">
        <w:t xml:space="preserve">On the </w:t>
      </w:r>
      <w:r w:rsidRPr="000F6CD1">
        <w:rPr>
          <w:i/>
          <w:iCs/>
        </w:rPr>
        <w:t>Add Home Support services</w:t>
      </w:r>
      <w:r w:rsidRPr="000F6CD1">
        <w:t xml:space="preserve"> page, assessors can also: </w:t>
      </w:r>
    </w:p>
    <w:p w14:paraId="631360F5" w14:textId="77777777" w:rsidR="007A743C" w:rsidRPr="000F6CD1" w:rsidRDefault="007A743C" w:rsidP="00DF3F6B">
      <w:pPr>
        <w:pStyle w:val="ListParagraph"/>
        <w:numPr>
          <w:ilvl w:val="0"/>
          <w:numId w:val="80"/>
        </w:numPr>
        <w:spacing w:before="240" w:after="240" w:line="240" w:lineRule="auto"/>
      </w:pPr>
      <w:r w:rsidRPr="000F6CD1">
        <w:t>recommend the frequency and intensity of services</w:t>
      </w:r>
    </w:p>
    <w:p w14:paraId="797B884B" w14:textId="4817892E" w:rsidR="007A743C" w:rsidRPr="000F6CD1" w:rsidRDefault="007A743C" w:rsidP="00DF3F6B">
      <w:pPr>
        <w:pStyle w:val="ListParagraph"/>
        <w:numPr>
          <w:ilvl w:val="0"/>
          <w:numId w:val="80"/>
        </w:numPr>
        <w:spacing w:before="240" w:after="240" w:line="240" w:lineRule="auto"/>
      </w:pPr>
      <w:r w:rsidRPr="000F6CD1">
        <w:t xml:space="preserve">link the older person’s concerns and goals to the services that have been selected. </w:t>
      </w:r>
    </w:p>
    <w:p w14:paraId="132897AA" w14:textId="247DBAFD" w:rsidR="007A743C" w:rsidRPr="000F6CD1" w:rsidRDefault="007A743C" w:rsidP="00A677C9">
      <w:pPr>
        <w:spacing w:before="240" w:after="240" w:line="240" w:lineRule="auto"/>
      </w:pPr>
      <w:r w:rsidRPr="000F6CD1">
        <w:t xml:space="preserve">Care types and services that are not part of Support at Home can be recommended by clicking ‘Add a Service Recommendation’ or ‘Add a care type for delegate decision’ under </w:t>
      </w:r>
      <w:r w:rsidR="0061221A" w:rsidRPr="000F6CD1">
        <w:rPr>
          <w:i/>
        </w:rPr>
        <w:t>other</w:t>
      </w:r>
      <w:r w:rsidRPr="000F6CD1">
        <w:rPr>
          <w:i/>
        </w:rPr>
        <w:t xml:space="preserve"> recommendations</w:t>
      </w:r>
      <w:r w:rsidRPr="000F6CD1">
        <w:t xml:space="preserve"> in the </w:t>
      </w:r>
      <w:r w:rsidRPr="000F6CD1">
        <w:rPr>
          <w:i/>
        </w:rPr>
        <w:t>Goals &amp; recommendations</w:t>
      </w:r>
      <w:r w:rsidRPr="000F6CD1">
        <w:t xml:space="preserve"> tab. This applies to MPSP and NATSIFACP services, Residential Care, Transition Care and CHSP. </w:t>
      </w:r>
    </w:p>
    <w:p w14:paraId="174F1653" w14:textId="23BF78CD" w:rsidR="007A743C" w:rsidRPr="000F6CD1" w:rsidRDefault="007A743C" w:rsidP="00AD2CE5">
      <w:pPr>
        <w:pStyle w:val="H3"/>
      </w:pPr>
      <w:r w:rsidRPr="000F6CD1">
        <w:lastRenderedPageBreak/>
        <w:t xml:space="preserve">Making </w:t>
      </w:r>
      <w:r w:rsidR="00652EAB" w:rsidRPr="000F6CD1">
        <w:t>s</w:t>
      </w:r>
      <w:r w:rsidRPr="000F6CD1">
        <w:t xml:space="preserve">ervice </w:t>
      </w:r>
      <w:r w:rsidR="00652EAB" w:rsidRPr="000F6CD1">
        <w:t>r</w:t>
      </w:r>
      <w:r w:rsidRPr="000F6CD1">
        <w:t xml:space="preserve">ecommendations </w:t>
      </w:r>
    </w:p>
    <w:p w14:paraId="50181F28" w14:textId="77777777" w:rsidR="007A743C" w:rsidRPr="000F6CD1" w:rsidRDefault="007A743C" w:rsidP="00A677C9">
      <w:pPr>
        <w:spacing w:before="240" w:after="240" w:line="240" w:lineRule="auto"/>
        <w:rPr>
          <w:lang w:eastAsia="ko-KR"/>
        </w:rPr>
      </w:pPr>
      <w:r w:rsidRPr="000F6CD1">
        <w:rPr>
          <w:lang w:eastAsia="ko-KR"/>
        </w:rPr>
        <w:t xml:space="preserve">There are two types of recommendations that can be made on the Support Plan: </w:t>
      </w:r>
    </w:p>
    <w:p w14:paraId="4870136D" w14:textId="36EF0ED1" w:rsidR="007A743C" w:rsidRPr="000F6CD1" w:rsidRDefault="007A743C" w:rsidP="00DF3F6B">
      <w:pPr>
        <w:pStyle w:val="ListParagraph"/>
        <w:numPr>
          <w:ilvl w:val="0"/>
          <w:numId w:val="118"/>
        </w:numPr>
        <w:spacing w:before="240" w:after="240" w:line="240" w:lineRule="auto"/>
        <w:rPr>
          <w:lang w:eastAsia="ko-KR"/>
        </w:rPr>
      </w:pPr>
      <w:r w:rsidRPr="000F6CD1">
        <w:rPr>
          <w:b/>
          <w:lang w:eastAsia="ko-KR"/>
        </w:rPr>
        <w:t>Service recommendations</w:t>
      </w:r>
      <w:r w:rsidRPr="000F6CD1">
        <w:rPr>
          <w:lang w:eastAsia="ko-KR"/>
        </w:rPr>
        <w:t xml:space="preserve"> represent referrals that can be made through the Assessor Portal to Commonwealth-subsidised aged care services. </w:t>
      </w:r>
    </w:p>
    <w:p w14:paraId="0EA62AE5" w14:textId="3ECFDED9" w:rsidR="007A743C" w:rsidRPr="000F6CD1" w:rsidRDefault="007A743C" w:rsidP="00DF3F6B">
      <w:pPr>
        <w:pStyle w:val="ListParagraph"/>
        <w:numPr>
          <w:ilvl w:val="0"/>
          <w:numId w:val="118"/>
        </w:numPr>
        <w:spacing w:before="240" w:after="240" w:line="240" w:lineRule="auto"/>
      </w:pPr>
      <w:bookmarkStart w:id="442" w:name="_Hlk128331641"/>
      <w:r w:rsidRPr="000F6CD1">
        <w:rPr>
          <w:b/>
          <w:bCs/>
        </w:rPr>
        <w:t>General recommendations</w:t>
      </w:r>
      <w:r w:rsidRPr="000F6CD1">
        <w:t xml:space="preserve"> relate to a type of support that is non-government funded or where a referral is made outside of the Assessor Portal. </w:t>
      </w:r>
      <w:bookmarkEnd w:id="442"/>
      <w:r w:rsidRPr="000F6CD1">
        <w:t>All recommendations – whether government-funded services, specialist programs, linking support, or general actions – must be clearly documented in the Support Plan.</w:t>
      </w:r>
    </w:p>
    <w:p w14:paraId="17C8550E" w14:textId="77777777" w:rsidR="007A743C" w:rsidRPr="000F6CD1" w:rsidRDefault="007A743C" w:rsidP="00A677C9">
      <w:pPr>
        <w:pStyle w:val="ListParagraph"/>
        <w:spacing w:before="240" w:after="240" w:line="240" w:lineRule="auto"/>
        <w:ind w:left="1"/>
        <w:rPr>
          <w:lang w:eastAsia="ko-KR"/>
        </w:rPr>
      </w:pPr>
    </w:p>
    <w:p w14:paraId="7B73C6F6" w14:textId="11FEDFF1" w:rsidR="007A743C" w:rsidRPr="000F6CD1" w:rsidRDefault="007A743C" w:rsidP="00A677C9">
      <w:pPr>
        <w:pStyle w:val="ListParagraph"/>
        <w:spacing w:before="240" w:after="240" w:line="240" w:lineRule="auto"/>
        <w:ind w:left="1"/>
      </w:pPr>
      <w:r w:rsidRPr="000F6CD1">
        <w:rPr>
          <w:lang w:eastAsia="ko-KR"/>
        </w:rPr>
        <w:t>Recommendations for aged care services must be aligned to an older person’s current needs</w:t>
      </w:r>
      <w:r w:rsidRPr="000F6CD1">
        <w:t>. If multiple services are recommended, the assessor must clearly link each service to a relevant concern and goal. If there are no recommendations as a result of the assessment, the assessor must provide clear reasons for the outcome within the Support Plan and communicate clearly to the older person.</w:t>
      </w:r>
    </w:p>
    <w:p w14:paraId="23A4B325" w14:textId="77777777" w:rsidR="007A743C" w:rsidRPr="000F6CD1" w:rsidRDefault="007A743C" w:rsidP="00A677C9">
      <w:pPr>
        <w:pStyle w:val="ListParagraph"/>
        <w:spacing w:before="240" w:after="240" w:line="240" w:lineRule="auto"/>
        <w:ind w:left="1"/>
        <w:rPr>
          <w:lang w:eastAsia="ko-KR"/>
        </w:rPr>
      </w:pPr>
    </w:p>
    <w:p w14:paraId="00795BF3" w14:textId="6846990D" w:rsidR="007A743C" w:rsidRPr="000F6CD1" w:rsidRDefault="007A743C" w:rsidP="00A677C9">
      <w:pPr>
        <w:pStyle w:val="ListParagraph"/>
        <w:spacing w:before="240" w:after="240" w:line="240" w:lineRule="auto"/>
        <w:ind w:left="1"/>
        <w:rPr>
          <w:lang w:eastAsia="ko-KR"/>
        </w:rPr>
      </w:pPr>
      <w:r w:rsidRPr="000F6CD1">
        <w:rPr>
          <w:lang w:eastAsia="ko-KR"/>
        </w:rPr>
        <w:t>Assessors must clearly articulate the service recommendation details – service type and services (if applicable), start, end and review dates (if applicable), frequency, intensity, priority, and outcome</w:t>
      </w:r>
      <w:r w:rsidR="00C37A42" w:rsidRPr="000F6CD1">
        <w:rPr>
          <w:lang w:eastAsia="ko-KR"/>
        </w:rPr>
        <w:t xml:space="preserve">, </w:t>
      </w:r>
    </w:p>
    <w:p w14:paraId="4AC93405" w14:textId="77777777" w:rsidR="007A743C" w:rsidRPr="000F6CD1" w:rsidRDefault="007A743C" w:rsidP="00DF3F6B">
      <w:pPr>
        <w:pStyle w:val="ListParagraph"/>
        <w:numPr>
          <w:ilvl w:val="0"/>
          <w:numId w:val="102"/>
        </w:numPr>
        <w:spacing w:before="240" w:after="240" w:line="240" w:lineRule="auto"/>
        <w:rPr>
          <w:lang w:eastAsia="ko-KR"/>
        </w:rPr>
      </w:pPr>
      <w:r w:rsidRPr="000F6CD1">
        <w:rPr>
          <w:lang w:eastAsia="ko-KR"/>
        </w:rPr>
        <w:t>The frequency and intensity of the services may be recorded if indicated, however may be decided at a later point by the service provider with the development of the Care Plan. Example: Two times weekly.</w:t>
      </w:r>
    </w:p>
    <w:p w14:paraId="23DD8D3E" w14:textId="77777777" w:rsidR="007A743C" w:rsidRPr="000F6CD1" w:rsidRDefault="007A743C" w:rsidP="00DF3F6B">
      <w:pPr>
        <w:pStyle w:val="ListParagraph"/>
        <w:numPr>
          <w:ilvl w:val="0"/>
          <w:numId w:val="102"/>
        </w:numPr>
        <w:spacing w:before="240" w:after="240" w:line="240" w:lineRule="auto"/>
        <w:rPr>
          <w:lang w:eastAsia="ko-KR"/>
        </w:rPr>
      </w:pPr>
      <w:r w:rsidRPr="000F6CD1">
        <w:rPr>
          <w:lang w:eastAsia="ko-KR"/>
        </w:rPr>
        <w:t xml:space="preserve">The priority for the service recommendations is based on the older person’s needs and urgency for services. The determination of urgency for services is based on the older person’s circumstances, such that there is an urgent need for services which, if not met immediately, may place the older person’s health and safety at risk. </w:t>
      </w:r>
    </w:p>
    <w:p w14:paraId="05805845" w14:textId="77777777" w:rsidR="007A743C" w:rsidRPr="000F6CD1" w:rsidRDefault="007A743C" w:rsidP="00DF3F6B">
      <w:pPr>
        <w:pStyle w:val="ListParagraph"/>
        <w:numPr>
          <w:ilvl w:val="0"/>
          <w:numId w:val="102"/>
        </w:numPr>
        <w:spacing w:before="240" w:after="240" w:line="240" w:lineRule="auto"/>
        <w:rPr>
          <w:lang w:eastAsia="ko-KR"/>
        </w:rPr>
      </w:pPr>
      <w:r w:rsidRPr="000F6CD1">
        <w:rPr>
          <w:lang w:eastAsia="ko-KR"/>
        </w:rPr>
        <w:t xml:space="preserve">Include CHSP service (short-term or ongoing) information in the assessment summary (see previous sub-section: Assessment Summary). </w:t>
      </w:r>
    </w:p>
    <w:p w14:paraId="3E1D1981" w14:textId="7C7D48F2" w:rsidR="002B7B30" w:rsidRPr="000F6CD1" w:rsidRDefault="007A743C" w:rsidP="00806A21">
      <w:pPr>
        <w:pStyle w:val="Sub-headings"/>
      </w:pPr>
      <w:r w:rsidRPr="003B15E6">
        <w:t>Note</w:t>
      </w:r>
      <w:r w:rsidR="00E37E3A" w:rsidRPr="003B15E6">
        <w:t>:</w:t>
      </w:r>
      <w:r w:rsidRPr="003B15E6">
        <w:t xml:space="preserve"> </w:t>
      </w:r>
      <w:r w:rsidRPr="000F6CD1">
        <w:t xml:space="preserve">If a non-clinical assessor is recommending services other than CHSP, they must seek the supervision of a clinical assessor to assist with providing recommendations for those services e.g. Support at Home ongoing, residential care and AT-HM. </w:t>
      </w:r>
    </w:p>
    <w:p w14:paraId="0CE5A20D" w14:textId="77777777" w:rsidR="002B7B30" w:rsidRPr="000F6CD1" w:rsidRDefault="007A743C" w:rsidP="00806A21">
      <w:pPr>
        <w:pStyle w:val="Sub-headings"/>
      </w:pPr>
      <w:r w:rsidRPr="000F6CD1">
        <w:t xml:space="preserve">If clinical attendance occurred during the assessment, this supervision should be given by the clinical assessor who provided this attendance. </w:t>
      </w:r>
    </w:p>
    <w:p w14:paraId="1B6A4974" w14:textId="65EF14F7" w:rsidR="00AF7036" w:rsidRPr="000F6CD1" w:rsidRDefault="007A743C" w:rsidP="00806A21">
      <w:pPr>
        <w:pStyle w:val="Sub-headings"/>
        <w:rPr>
          <w:rFonts w:eastAsia="MS PGothic"/>
        </w:rPr>
      </w:pPr>
      <w:r w:rsidRPr="000F6CD1">
        <w:t xml:space="preserve">If services that are not CHSP services are recommended and clinical questions were not triggered in the IAT, the non-clinical assessor will need to seek the supervision of a clinical assessor upon converting the assessment to a comprehensive assessment. </w:t>
      </w:r>
    </w:p>
    <w:p w14:paraId="219C559F" w14:textId="77777777" w:rsidR="003738D0" w:rsidRDefault="003738D0">
      <w:pPr>
        <w:rPr>
          <w:rFonts w:eastAsia="MS PGothic"/>
        </w:rPr>
      </w:pPr>
      <w:r>
        <w:rPr>
          <w:rFonts w:eastAsia="MS PGothic"/>
        </w:rPr>
        <w:br w:type="page"/>
      </w:r>
    </w:p>
    <w:p w14:paraId="1B3A6355" w14:textId="77777777" w:rsidR="007A743C" w:rsidRPr="000F6CD1" w:rsidRDefault="007A743C" w:rsidP="00A677C9">
      <w:pPr>
        <w:spacing w:before="240" w:after="240" w:line="240" w:lineRule="auto"/>
        <w:rPr>
          <w:lang w:eastAsia="en-GB"/>
        </w:rPr>
      </w:pPr>
      <w:r w:rsidRPr="000F6CD1">
        <w:rPr>
          <w:rFonts w:eastAsia="MS PGothic"/>
        </w:rPr>
        <w:lastRenderedPageBreak/>
        <w:t>Detail</w:t>
      </w:r>
      <w:r w:rsidRPr="000F6CD1">
        <w:rPr>
          <w:lang w:eastAsia="ko-KR"/>
        </w:rPr>
        <w:t xml:space="preserve"> all care options agreed with the older person, ensuring general and service recommendations:</w:t>
      </w:r>
    </w:p>
    <w:p w14:paraId="2A0168A1" w14:textId="77777777" w:rsidR="007A743C" w:rsidRPr="000F6CD1" w:rsidRDefault="007A743C" w:rsidP="00DF3F6B">
      <w:pPr>
        <w:pStyle w:val="ListParagraph"/>
        <w:numPr>
          <w:ilvl w:val="0"/>
          <w:numId w:val="112"/>
        </w:numPr>
        <w:spacing w:before="240" w:after="240" w:line="240" w:lineRule="auto"/>
        <w:rPr>
          <w:lang w:eastAsia="ko-KR"/>
        </w:rPr>
      </w:pPr>
      <w:r w:rsidRPr="000F6CD1">
        <w:rPr>
          <w:lang w:eastAsia="ko-KR"/>
        </w:rPr>
        <w:t xml:space="preserve">Are evidence-based, defensible and </w:t>
      </w:r>
      <w:r w:rsidRPr="000F6CD1">
        <w:t xml:space="preserve">are clearly drawn from and linked to the older person’s goals and needs/area of concern. For example: a recommendation for respite, links to information on the older person/carer relationship, dementia support, and any difficulties or concerns that are experienced to reduce carer stress and support the care relationship. </w:t>
      </w:r>
    </w:p>
    <w:p w14:paraId="1317BD89" w14:textId="77777777" w:rsidR="007A743C" w:rsidRPr="000F6CD1" w:rsidRDefault="007A743C" w:rsidP="00DF3F6B">
      <w:pPr>
        <w:pStyle w:val="ListParagraph"/>
        <w:numPr>
          <w:ilvl w:val="0"/>
          <w:numId w:val="112"/>
        </w:numPr>
        <w:spacing w:before="240" w:after="240" w:line="240" w:lineRule="auto"/>
        <w:rPr>
          <w:lang w:eastAsia="ko-KR"/>
        </w:rPr>
      </w:pPr>
      <w:r w:rsidRPr="000F6CD1">
        <w:rPr>
          <w:lang w:eastAsia="ko-KR"/>
        </w:rPr>
        <w:t>relate to the older person’s current unmet needs and are supported by the assessment.</w:t>
      </w:r>
    </w:p>
    <w:p w14:paraId="10CEEA78" w14:textId="77777777" w:rsidR="007A743C" w:rsidRPr="000F6CD1" w:rsidRDefault="007A743C" w:rsidP="00DF3F6B">
      <w:pPr>
        <w:pStyle w:val="ListParagraph"/>
        <w:numPr>
          <w:ilvl w:val="0"/>
          <w:numId w:val="112"/>
        </w:numPr>
        <w:spacing w:before="240" w:after="240" w:line="240" w:lineRule="auto"/>
        <w:rPr>
          <w:lang w:eastAsia="ko-KR"/>
        </w:rPr>
      </w:pPr>
      <w:r w:rsidRPr="000F6CD1">
        <w:rPr>
          <w:lang w:eastAsia="ko-KR"/>
        </w:rPr>
        <w:t xml:space="preserve">take into account their identified support considerations when recommending options for support. </w:t>
      </w:r>
    </w:p>
    <w:p w14:paraId="6D05ABD2" w14:textId="77777777" w:rsidR="007A743C" w:rsidRPr="000F6CD1" w:rsidRDefault="007A743C" w:rsidP="00DF3F6B">
      <w:pPr>
        <w:pStyle w:val="ListParagraph"/>
        <w:numPr>
          <w:ilvl w:val="0"/>
          <w:numId w:val="112"/>
        </w:numPr>
        <w:spacing w:before="240" w:after="240" w:line="240" w:lineRule="auto"/>
        <w:rPr>
          <w:lang w:eastAsia="ko-KR"/>
        </w:rPr>
      </w:pPr>
      <w:r w:rsidRPr="000F6CD1">
        <w:rPr>
          <w:rFonts w:eastAsia="MS PGothic"/>
        </w:rPr>
        <w:t>consider</w:t>
      </w:r>
      <w:r w:rsidRPr="000F6CD1">
        <w:rPr>
          <w:lang w:eastAsia="ko-KR"/>
        </w:rPr>
        <w:t xml:space="preserve"> the availability and capability of services and supports to meet the older person's care needs including:</w:t>
      </w:r>
    </w:p>
    <w:p w14:paraId="0D9D9A44" w14:textId="77777777" w:rsidR="007A743C" w:rsidRPr="000F6CD1" w:rsidRDefault="007A743C" w:rsidP="00DF3F6B">
      <w:pPr>
        <w:pStyle w:val="ListParagraph"/>
        <w:numPr>
          <w:ilvl w:val="0"/>
          <w:numId w:val="112"/>
        </w:numPr>
        <w:spacing w:before="240" w:after="240" w:line="240" w:lineRule="auto"/>
        <w:rPr>
          <w:lang w:eastAsia="ko-KR"/>
        </w:rPr>
      </w:pPr>
      <w:r w:rsidRPr="000F6CD1">
        <w:rPr>
          <w:lang w:eastAsia="ko-KR"/>
        </w:rPr>
        <w:t>services in and outside of aged care</w:t>
      </w:r>
    </w:p>
    <w:p w14:paraId="7233E9A8" w14:textId="77777777" w:rsidR="007A743C" w:rsidRPr="000F6CD1" w:rsidRDefault="007A743C" w:rsidP="00DF3F6B">
      <w:pPr>
        <w:pStyle w:val="ListParagraph"/>
        <w:numPr>
          <w:ilvl w:val="0"/>
          <w:numId w:val="112"/>
        </w:numPr>
        <w:spacing w:before="240" w:after="240" w:line="240" w:lineRule="auto"/>
        <w:rPr>
          <w:lang w:eastAsia="ko-KR"/>
        </w:rPr>
      </w:pPr>
      <w:r w:rsidRPr="000F6CD1">
        <w:rPr>
          <w:lang w:eastAsia="ko-KR"/>
        </w:rPr>
        <w:t>informal supports, what family, friends and neighbours contribute (including the sustainability of these)</w:t>
      </w:r>
    </w:p>
    <w:p w14:paraId="5807ABA4" w14:textId="18523F49" w:rsidR="007A743C" w:rsidRPr="000F6CD1" w:rsidRDefault="007A743C" w:rsidP="00DF3F6B">
      <w:pPr>
        <w:pStyle w:val="ListParagraph"/>
        <w:numPr>
          <w:ilvl w:val="0"/>
          <w:numId w:val="112"/>
        </w:numPr>
        <w:spacing w:before="240" w:after="240" w:line="240" w:lineRule="auto"/>
      </w:pPr>
      <w:r w:rsidRPr="000F6CD1">
        <w:rPr>
          <w:rFonts w:eastAsia="MS PGothic"/>
        </w:rPr>
        <w:t>General</w:t>
      </w:r>
      <w:r w:rsidRPr="000F6CD1">
        <w:rPr>
          <w:lang w:eastAsia="ko-KR"/>
        </w:rPr>
        <w:t xml:space="preserve"> recommendations include responsibility to action (older person/other).</w:t>
      </w:r>
    </w:p>
    <w:p w14:paraId="5BAEC391" w14:textId="5CCA4A34" w:rsidR="00DE1E1B" w:rsidRPr="000F6CD1" w:rsidRDefault="00DE1E1B" w:rsidP="00DF3F6B">
      <w:pPr>
        <w:pStyle w:val="ListParagraph"/>
        <w:numPr>
          <w:ilvl w:val="0"/>
          <w:numId w:val="112"/>
        </w:numPr>
        <w:spacing w:before="240" w:after="240" w:line="240" w:lineRule="auto"/>
      </w:pPr>
      <w:r w:rsidRPr="000F6CD1">
        <w:t xml:space="preserve">In some </w:t>
      </w:r>
      <w:r w:rsidRPr="000F6CD1" w:rsidDel="0049335C">
        <w:t>instances</w:t>
      </w:r>
      <w:r w:rsidRPr="000F6CD1">
        <w:t xml:space="preserve">, Aboriginal and Torres Strait Islander assessment organisations may also be an aged care provider. It is critically important that clients are provided with choice and control over service providers from whom they would like to receive aged care services. Assessors should discuss all the options with the older person. </w:t>
      </w:r>
    </w:p>
    <w:p w14:paraId="1F9C2350" w14:textId="03F01E2C" w:rsidR="001E41D8" w:rsidRPr="000F6CD1" w:rsidRDefault="001E41D8" w:rsidP="00806A21">
      <w:pPr>
        <w:pStyle w:val="Sub-headings"/>
      </w:pPr>
      <w:r w:rsidRPr="00CB47DF">
        <w:t>Important:</w:t>
      </w:r>
      <w:r w:rsidRPr="000F6CD1">
        <w:t xml:space="preserve"> If a </w:t>
      </w:r>
      <w:r w:rsidR="004F37CB" w:rsidRPr="000F6CD1">
        <w:t xml:space="preserve">person can access some services from an MPSP or NATISFACP provider, you must </w:t>
      </w:r>
      <w:r w:rsidR="00EA4FC5" w:rsidRPr="000F6CD1">
        <w:t xml:space="preserve">add an MPSP or NATISFACP </w:t>
      </w:r>
      <w:r w:rsidR="00EB7644" w:rsidRPr="000F6CD1">
        <w:t xml:space="preserve">service </w:t>
      </w:r>
      <w:r w:rsidR="00EA4FC5" w:rsidRPr="000F6CD1">
        <w:t>re</w:t>
      </w:r>
      <w:r w:rsidR="00EB7644" w:rsidRPr="000F6CD1">
        <w:t>commendation</w:t>
      </w:r>
      <w:r w:rsidR="00EA4FC5" w:rsidRPr="000F6CD1">
        <w:t>.</w:t>
      </w:r>
      <w:r w:rsidR="00EB7644" w:rsidRPr="000F6CD1">
        <w:t xml:space="preserve"> See </w:t>
      </w:r>
      <w:r w:rsidR="004D2E46" w:rsidRPr="000F6CD1">
        <w:t>Chapter</w:t>
      </w:r>
      <w:r w:rsidR="00EB7644" w:rsidRPr="000F6CD1">
        <w:t xml:space="preserve"> </w:t>
      </w:r>
      <w:r w:rsidR="009E44AC" w:rsidRPr="000F6CD1">
        <w:t>6 for more information</w:t>
      </w:r>
      <w:r w:rsidR="00EA4FC5" w:rsidRPr="000F6CD1">
        <w:t xml:space="preserve">. </w:t>
      </w:r>
    </w:p>
    <w:p w14:paraId="777D38B6" w14:textId="6A3884CF" w:rsidR="007A743C" w:rsidRPr="000F6CD1" w:rsidRDefault="007A743C" w:rsidP="00AD2CE5">
      <w:pPr>
        <w:pStyle w:val="H3"/>
      </w:pPr>
      <w:r w:rsidRPr="000F6CD1">
        <w:t>Setting the ‘service seeking’ preference for prioritised services under the Support at Home program</w:t>
      </w:r>
    </w:p>
    <w:p w14:paraId="19F58EF6" w14:textId="3BB5E30D" w:rsidR="007A743C" w:rsidRPr="000F6CD1" w:rsidRDefault="007A743C" w:rsidP="00A677C9">
      <w:pPr>
        <w:spacing w:before="240" w:after="240" w:line="240" w:lineRule="auto"/>
      </w:pPr>
      <w:r w:rsidRPr="000F6CD1">
        <w:t xml:space="preserve">Access to ongoing Support at Home (SaH) classifications and AT-HM under the Support at Home </w:t>
      </w:r>
      <w:r w:rsidR="00972F39" w:rsidRPr="000F6CD1">
        <w:t>p</w:t>
      </w:r>
      <w:r w:rsidRPr="000F6CD1">
        <w:t>rogram (the AT-HM scheme) is managed through three independent priority systems:</w:t>
      </w:r>
    </w:p>
    <w:p w14:paraId="7C7A3C1F" w14:textId="77777777" w:rsidR="007A743C" w:rsidRPr="000F6CD1" w:rsidRDefault="007A743C" w:rsidP="00DF3F6B">
      <w:pPr>
        <w:pStyle w:val="ListParagraph"/>
        <w:numPr>
          <w:ilvl w:val="0"/>
          <w:numId w:val="112"/>
        </w:numPr>
        <w:spacing w:before="240" w:after="240" w:line="240" w:lineRule="auto"/>
      </w:pPr>
      <w:r w:rsidRPr="000F6CD1">
        <w:t>the Support at Home Priority System – for the ongoing SaH classifications</w:t>
      </w:r>
    </w:p>
    <w:p w14:paraId="78615969" w14:textId="77777777" w:rsidR="007A743C" w:rsidRPr="000F6CD1" w:rsidRDefault="007A743C" w:rsidP="00DF3F6B">
      <w:pPr>
        <w:pStyle w:val="ListParagraph"/>
        <w:numPr>
          <w:ilvl w:val="0"/>
          <w:numId w:val="112"/>
        </w:numPr>
        <w:spacing w:before="240" w:after="240" w:line="240" w:lineRule="auto"/>
      </w:pPr>
      <w:r w:rsidRPr="000F6CD1">
        <w:t>the Assistive Technology Priority System – for AT under the SaH program</w:t>
      </w:r>
    </w:p>
    <w:p w14:paraId="49AFFD91" w14:textId="04FC93EB" w:rsidR="007A743C" w:rsidRPr="000F6CD1" w:rsidRDefault="007A743C" w:rsidP="00DF3F6B">
      <w:pPr>
        <w:pStyle w:val="ListParagraph"/>
        <w:numPr>
          <w:ilvl w:val="0"/>
          <w:numId w:val="112"/>
        </w:numPr>
        <w:spacing w:before="240" w:after="240" w:line="240" w:lineRule="auto"/>
      </w:pPr>
      <w:r w:rsidRPr="000F6CD1">
        <w:t>the Home Modifications Priority System – for HM under the SaH program.</w:t>
      </w:r>
    </w:p>
    <w:p w14:paraId="7F9F7738" w14:textId="77777777" w:rsidR="007A743C" w:rsidRPr="000F6CD1" w:rsidRDefault="007A743C" w:rsidP="00A677C9">
      <w:pPr>
        <w:spacing w:before="240" w:after="240" w:line="240" w:lineRule="auto"/>
      </w:pPr>
      <w:r w:rsidRPr="000F6CD1">
        <w:t>As part of the assessment process, it is important for assessors to have a clear conversation with the individual about whether they are seeking to receive these services through the Support at Home program.</w:t>
      </w:r>
    </w:p>
    <w:p w14:paraId="23AD8D7E" w14:textId="7E357969" w:rsidR="007A743C" w:rsidRPr="000F6CD1" w:rsidRDefault="007A743C" w:rsidP="00A677C9">
      <w:pPr>
        <w:spacing w:before="240" w:after="240" w:line="240" w:lineRule="auto"/>
      </w:pPr>
      <w:r w:rsidRPr="000F6CD1">
        <w:t>There is a separate ‘seeking services’ preference field in the Support Plan section of the Assessor Portal for each of these recommendations (ongoing SaH classification, AT and HM). Assessors must record if the client is ‘seeking services’ or ‘not seeking services’ through the Support at Home program for each of the recommendations, in line with the following guidance:</w:t>
      </w:r>
    </w:p>
    <w:p w14:paraId="6E6138B7" w14:textId="7044CE40" w:rsidR="00015C2D" w:rsidRPr="000F6CD1" w:rsidRDefault="007A743C" w:rsidP="00DF3F6B">
      <w:pPr>
        <w:pStyle w:val="ListParagraph"/>
        <w:numPr>
          <w:ilvl w:val="0"/>
          <w:numId w:val="141"/>
        </w:numPr>
        <w:spacing w:before="240" w:after="240" w:line="240" w:lineRule="auto"/>
      </w:pPr>
      <w:r w:rsidRPr="000F6CD1">
        <w:t>For clients seeking these services through the Support at Home program</w:t>
      </w:r>
      <w:r w:rsidRPr="000F6CD1">
        <w:rPr>
          <w:bCs/>
        </w:rPr>
        <w:t>,</w:t>
      </w:r>
      <w:r w:rsidRPr="000F6CD1">
        <w:t xml:space="preserve"> the assessor should set the relevant service seeking preference to </w:t>
      </w:r>
      <w:r w:rsidRPr="000F6CD1">
        <w:rPr>
          <w:rFonts w:hint="eastAsia"/>
        </w:rPr>
        <w:t>‘</w:t>
      </w:r>
      <w:r w:rsidRPr="000F6CD1">
        <w:t>seeking services</w:t>
      </w:r>
      <w:r w:rsidR="008F17D4" w:rsidRPr="000F6CD1">
        <w:t>.’</w:t>
      </w:r>
    </w:p>
    <w:p w14:paraId="5419CED9" w14:textId="08D85231" w:rsidR="007A743C" w:rsidRPr="000F6CD1" w:rsidRDefault="007A743C" w:rsidP="00D848E0">
      <w:pPr>
        <w:pStyle w:val="ListParagraph"/>
        <w:spacing w:before="240" w:after="240" w:line="240" w:lineRule="auto"/>
      </w:pPr>
      <w:r w:rsidRPr="000F6CD1">
        <w:t>This ensures that the older person is placed on the appropriate priority system(s).</w:t>
      </w:r>
    </w:p>
    <w:p w14:paraId="338DDBA7" w14:textId="1479DD97" w:rsidR="00AB51F0" w:rsidRPr="000F6CD1" w:rsidRDefault="007A743C" w:rsidP="00DF3F6B">
      <w:pPr>
        <w:pStyle w:val="ListParagraph"/>
        <w:numPr>
          <w:ilvl w:val="0"/>
          <w:numId w:val="141"/>
        </w:numPr>
        <w:spacing w:before="240" w:after="240" w:line="240" w:lineRule="auto"/>
      </w:pPr>
      <w:r w:rsidRPr="000F6CD1">
        <w:lastRenderedPageBreak/>
        <w:t xml:space="preserve">For clients </w:t>
      </w:r>
      <w:r w:rsidRPr="000F6CD1">
        <w:rPr>
          <w:u w:val="single"/>
        </w:rPr>
        <w:t>not</w:t>
      </w:r>
      <w:r w:rsidRPr="000F6CD1">
        <w:t xml:space="preserve"> seeking these services through the Support at Home program</w:t>
      </w:r>
      <w:r w:rsidRPr="000F6CD1">
        <w:rPr>
          <w:bCs/>
        </w:rPr>
        <w:t>,</w:t>
      </w:r>
      <w:r w:rsidRPr="000F6CD1">
        <w:t xml:space="preserve"> the assessor should set the relevant service seeking preference to ‘not seeking services</w:t>
      </w:r>
      <w:r w:rsidR="00C479C4" w:rsidRPr="000F6CD1">
        <w:t>.’</w:t>
      </w:r>
      <w:r w:rsidRPr="000F6CD1">
        <w:t xml:space="preserve"> </w:t>
      </w:r>
    </w:p>
    <w:p w14:paraId="7D213DE2" w14:textId="6F2D2FC0" w:rsidR="007A743C" w:rsidRPr="000F6CD1" w:rsidRDefault="007A743C" w:rsidP="00DF3F6B">
      <w:pPr>
        <w:pStyle w:val="ListParagraph"/>
        <w:numPr>
          <w:ilvl w:val="0"/>
          <w:numId w:val="141"/>
        </w:numPr>
        <w:spacing w:before="240" w:after="240" w:line="240" w:lineRule="auto"/>
      </w:pPr>
      <w:r w:rsidRPr="000F6CD1">
        <w:t xml:space="preserve">This option makes sure the client </w:t>
      </w:r>
      <w:r w:rsidRPr="000F6CD1">
        <w:rPr>
          <w:b/>
        </w:rPr>
        <w:t>does not</w:t>
      </w:r>
      <w:r w:rsidRPr="000F6CD1">
        <w:t xml:space="preserve"> enter the relevant priority system(s) and will not be allocated funding under the Support at Home program. Relevant circumstances include when:</w:t>
      </w:r>
    </w:p>
    <w:p w14:paraId="7F500C3F" w14:textId="77777777" w:rsidR="007A743C" w:rsidRPr="000F6CD1" w:rsidRDefault="007A743C" w:rsidP="00DF3F6B">
      <w:pPr>
        <w:pStyle w:val="ListParagraph"/>
        <w:numPr>
          <w:ilvl w:val="1"/>
          <w:numId w:val="141"/>
        </w:numPr>
        <w:spacing w:before="240" w:after="240" w:line="240" w:lineRule="auto"/>
      </w:pPr>
      <w:r w:rsidRPr="000F6CD1">
        <w:t>the client has chosen to access services through NATSIFACP or MPSP and so they do not require services from a SaH provider (or funding from the SaH program)</w:t>
      </w:r>
    </w:p>
    <w:p w14:paraId="3CF2C48C" w14:textId="77777777" w:rsidR="007A743C" w:rsidRPr="000F6CD1" w:rsidRDefault="007A743C" w:rsidP="00DF3F6B">
      <w:pPr>
        <w:pStyle w:val="ListParagraph"/>
        <w:numPr>
          <w:ilvl w:val="1"/>
          <w:numId w:val="141"/>
        </w:numPr>
        <w:spacing w:before="240" w:after="240" w:line="240" w:lineRule="auto"/>
      </w:pPr>
      <w:r w:rsidRPr="000F6CD1">
        <w:t>the client does not want to access the recommended services at this time</w:t>
      </w:r>
      <w:r w:rsidRPr="000F6CD1" w:rsidDel="00587696">
        <w:t>.</w:t>
      </w:r>
    </w:p>
    <w:p w14:paraId="486B0BD8" w14:textId="77777777" w:rsidR="007A743C" w:rsidRPr="000F6CD1" w:rsidRDefault="007A743C" w:rsidP="00A677C9">
      <w:pPr>
        <w:spacing w:before="240" w:after="240" w:line="240" w:lineRule="auto"/>
      </w:pPr>
      <w:r w:rsidRPr="000F6CD1">
        <w:t>If the older person later wants to access one of these services through the Support at Home program, they can change their preference and enter the relevant priority system. Older people wanting to enter the AT or HM Priority System will need to be a Support at Home participant (for ongoing home support) to do this. For all three priority systems, wait time is always counted from the original access approval date of effect. That is, for older people who enter any of these priority systems at a later time, it will be as if they had stayed in the queue from their first approval.</w:t>
      </w:r>
    </w:p>
    <w:p w14:paraId="4DB24744" w14:textId="77777777" w:rsidR="007A743C" w:rsidRPr="000F6CD1" w:rsidRDefault="007A743C" w:rsidP="00A677C9">
      <w:pPr>
        <w:spacing w:before="240" w:after="240" w:line="240" w:lineRule="auto"/>
      </w:pPr>
      <w:r w:rsidRPr="000F6CD1">
        <w:t>An older person can change their service seeking preference by:</w:t>
      </w:r>
    </w:p>
    <w:p w14:paraId="4B64E7D3" w14:textId="77777777" w:rsidR="007A743C" w:rsidRPr="000F6CD1" w:rsidRDefault="007A743C" w:rsidP="00DF3F6B">
      <w:pPr>
        <w:pStyle w:val="ListParagraph"/>
        <w:numPr>
          <w:ilvl w:val="0"/>
          <w:numId w:val="141"/>
        </w:numPr>
        <w:spacing w:before="240" w:after="240" w:line="240" w:lineRule="auto"/>
      </w:pPr>
      <w:r w:rsidRPr="000F6CD1">
        <w:t>contacting My Aged Care</w:t>
      </w:r>
    </w:p>
    <w:p w14:paraId="791E679C" w14:textId="33933E48" w:rsidR="007A743C" w:rsidRPr="000F6CD1" w:rsidRDefault="007A743C" w:rsidP="00DF3F6B">
      <w:pPr>
        <w:pStyle w:val="ListParagraph"/>
        <w:numPr>
          <w:ilvl w:val="0"/>
          <w:numId w:val="141"/>
        </w:numPr>
        <w:spacing w:before="240" w:after="240" w:line="240" w:lineRule="auto"/>
      </w:pPr>
      <w:r w:rsidRPr="000F6CD1">
        <w:t>using the</w:t>
      </w:r>
      <w:r w:rsidR="009755EA">
        <w:t>ir</w:t>
      </w:r>
      <w:r w:rsidRPr="000F6CD1">
        <w:t xml:space="preserve"> </w:t>
      </w:r>
      <w:hyperlink r:id="rId168">
        <w:r w:rsidRPr="000F6CD1">
          <w:rPr>
            <w:rStyle w:val="Hyperlink"/>
            <w:rFonts w:eastAsia="Arial"/>
          </w:rPr>
          <w:t>My Aged Care Online Account</w:t>
        </w:r>
      </w:hyperlink>
      <w:r w:rsidRPr="000F6CD1">
        <w:t xml:space="preserve">. </w:t>
      </w:r>
    </w:p>
    <w:p w14:paraId="1E79C356" w14:textId="77777777" w:rsidR="007A743C" w:rsidRPr="000F6CD1" w:rsidRDefault="007A743C" w:rsidP="006647CE">
      <w:pPr>
        <w:pStyle w:val="h2"/>
      </w:pPr>
      <w:bookmarkStart w:id="443" w:name="_Toc209188991"/>
      <w:bookmarkStart w:id="444" w:name="_Toc233282452"/>
      <w:r w:rsidRPr="000F6CD1">
        <w:t>Review of Support Plan</w:t>
      </w:r>
      <w:bookmarkEnd w:id="443"/>
      <w:bookmarkEnd w:id="444"/>
    </w:p>
    <w:p w14:paraId="404770DD" w14:textId="731AD1AD" w:rsidR="007A743C" w:rsidRPr="000F6CD1" w:rsidRDefault="007A743C" w:rsidP="00A677C9">
      <w:pPr>
        <w:spacing w:before="240" w:after="240" w:line="240" w:lineRule="auto"/>
        <w:rPr>
          <w:lang w:eastAsia="ko-KR"/>
        </w:rPr>
      </w:pPr>
      <w:r w:rsidRPr="000F6CD1">
        <w:rPr>
          <w:lang w:eastAsia="ko-KR"/>
        </w:rPr>
        <w:t>A review date can be entered on the Support Plan and reason for the review for</w:t>
      </w:r>
      <w:r w:rsidR="009B0B86" w:rsidRPr="000F6CD1">
        <w:rPr>
          <w:lang w:eastAsia="ko-KR"/>
        </w:rPr>
        <w:t xml:space="preserve"> </w:t>
      </w:r>
      <w:r w:rsidR="00B626B6" w:rsidRPr="000F6CD1">
        <w:rPr>
          <w:lang w:eastAsia="ko-KR"/>
        </w:rPr>
        <w:t>example</w:t>
      </w:r>
      <w:r w:rsidRPr="000F6CD1">
        <w:rPr>
          <w:lang w:eastAsia="ko-KR"/>
        </w:rPr>
        <w:t xml:space="preserve"> “12-month review for CHSP ongoing service recommendation”. Linking support and reablement start and end dates and review dates are displayed on the Support Plan. The ‘Associated People’ section of the Support Plan helps assessors identify the people who will be helping the older person meet their goals, or who may be providing support. It also assists in checking whether the older person consents to the associated person receiving their Support Plan.</w:t>
      </w:r>
    </w:p>
    <w:p w14:paraId="67E778F0" w14:textId="40C53D37" w:rsidR="00B626B6" w:rsidRPr="000F6CD1" w:rsidRDefault="00B626B6" w:rsidP="00A677C9">
      <w:pPr>
        <w:spacing w:before="240" w:after="240" w:line="240" w:lineRule="auto"/>
        <w:rPr>
          <w:lang w:eastAsia="ko-KR"/>
        </w:rPr>
      </w:pPr>
      <w:r w:rsidRPr="000F6CD1">
        <w:rPr>
          <w:lang w:eastAsia="ko-KR"/>
        </w:rPr>
        <w:t>A review date of no longer than 12 months should be set for older Aboriginal and Torres Strait Islander people to ensure the services still meet their needs</w:t>
      </w:r>
      <w:r w:rsidR="00AB1FE5" w:rsidRPr="000F6CD1">
        <w:rPr>
          <w:lang w:eastAsia="ko-KR"/>
        </w:rPr>
        <w:t>.</w:t>
      </w:r>
    </w:p>
    <w:p w14:paraId="3D453E14" w14:textId="7EEE0C87" w:rsidR="005E445A" w:rsidRPr="000F6CD1" w:rsidRDefault="00743C5F" w:rsidP="00AD2CE5">
      <w:pPr>
        <w:pStyle w:val="H3"/>
      </w:pPr>
      <w:r w:rsidRPr="000F6CD1">
        <w:t xml:space="preserve">Scheduling a </w:t>
      </w:r>
      <w:r w:rsidR="0E4E667C" w:rsidRPr="000F6CD1">
        <w:t>s</w:t>
      </w:r>
      <w:r w:rsidRPr="000F6CD1">
        <w:t>uppo</w:t>
      </w:r>
      <w:r w:rsidR="00582A54" w:rsidRPr="000F6CD1">
        <w:t xml:space="preserve">rt </w:t>
      </w:r>
      <w:r w:rsidR="4CB3DBA3" w:rsidRPr="000F6CD1">
        <w:t>p</w:t>
      </w:r>
      <w:r w:rsidR="00582A54" w:rsidRPr="000F6CD1">
        <w:t xml:space="preserve">lan </w:t>
      </w:r>
      <w:r w:rsidR="0ABB0CA3" w:rsidRPr="000F6CD1">
        <w:t>r</w:t>
      </w:r>
      <w:r w:rsidR="00582A54" w:rsidRPr="000F6CD1">
        <w:t>eview f</w:t>
      </w:r>
      <w:r w:rsidR="003E339D" w:rsidRPr="000F6CD1">
        <w:t>or Aboriginal and Torres Strait Islander assessment organisations</w:t>
      </w:r>
    </w:p>
    <w:p w14:paraId="087CEA35" w14:textId="735AE798" w:rsidR="003B39B2" w:rsidRPr="000F6CD1" w:rsidRDefault="003B39B2" w:rsidP="00A677C9">
      <w:pPr>
        <w:spacing w:before="240" w:after="240" w:line="240" w:lineRule="auto"/>
      </w:pPr>
      <w:r w:rsidRPr="000F6CD1">
        <w:t>Acknowledging that it may take a longer time to accurately identify the holistic aged care needs of an older Aboriginal and Torres Strait Islander person, following an initial assessment, an SPR should be scheduled to ensure the Support Plan remains responsive to the client’s needs at the time of the assessment. The date should be:</w:t>
      </w:r>
    </w:p>
    <w:p w14:paraId="3B31AA2D" w14:textId="77777777" w:rsidR="003B39B2" w:rsidRPr="000F6CD1" w:rsidRDefault="003B39B2" w:rsidP="00DF3F6B">
      <w:pPr>
        <w:pStyle w:val="ListParagraph"/>
        <w:numPr>
          <w:ilvl w:val="0"/>
          <w:numId w:val="446"/>
        </w:numPr>
        <w:spacing w:before="240" w:after="240" w:line="240" w:lineRule="auto"/>
      </w:pPr>
      <w:r w:rsidRPr="000F6CD1">
        <w:t>no later than 12 months after the assessment, and</w:t>
      </w:r>
    </w:p>
    <w:p w14:paraId="7B5A5FA7" w14:textId="77777777" w:rsidR="003B39B2" w:rsidRPr="000F6CD1" w:rsidRDefault="003B39B2" w:rsidP="00DF3F6B">
      <w:pPr>
        <w:pStyle w:val="ListParagraph"/>
        <w:numPr>
          <w:ilvl w:val="0"/>
          <w:numId w:val="446"/>
        </w:numPr>
        <w:spacing w:before="240" w:after="240" w:line="240" w:lineRule="auto"/>
      </w:pPr>
      <w:r w:rsidRPr="000F6CD1">
        <w:t>sooner if appropriate.</w:t>
      </w:r>
    </w:p>
    <w:p w14:paraId="63649B32" w14:textId="62A678F1" w:rsidR="003E339D" w:rsidRPr="000F6CD1" w:rsidRDefault="00E0273C" w:rsidP="008566D6">
      <w:pPr>
        <w:spacing w:before="240" w:after="240" w:line="240" w:lineRule="auto"/>
        <w:rPr>
          <w:lang w:eastAsia="ko-KR"/>
        </w:rPr>
      </w:pPr>
      <w:r w:rsidRPr="000F6CD1">
        <w:t xml:space="preserve">This approach enables the older person to access aged care services while enabling </w:t>
      </w:r>
      <w:r w:rsidRPr="000F6CD1" w:rsidDel="00793FEC">
        <w:t>a</w:t>
      </w:r>
      <w:r w:rsidRPr="000F6CD1">
        <w:t>djustments to the Support Plan if more needs are identified over time (most likely identified by the service provider) at the review date.</w:t>
      </w:r>
    </w:p>
    <w:p w14:paraId="0FC1B816" w14:textId="0D6271B5" w:rsidR="007A743C" w:rsidRPr="000F6CD1" w:rsidRDefault="007A743C" w:rsidP="006647CE">
      <w:pPr>
        <w:pStyle w:val="h2"/>
      </w:pPr>
      <w:bookmarkStart w:id="445" w:name="_Toc209188992"/>
      <w:bookmarkStart w:id="446" w:name="_Toc233282453"/>
      <w:bookmarkStart w:id="447" w:name="_Toc198813679"/>
      <w:bookmarkStart w:id="448" w:name="_Toc204329562"/>
      <w:r w:rsidRPr="000F6CD1">
        <w:lastRenderedPageBreak/>
        <w:t xml:space="preserve">Assessment </w:t>
      </w:r>
      <w:r w:rsidR="002E6DD0" w:rsidRPr="000F6CD1">
        <w:t>w</w:t>
      </w:r>
      <w:r w:rsidRPr="000F6CD1">
        <w:t>rap-</w:t>
      </w:r>
      <w:r w:rsidR="002E6DD0" w:rsidRPr="000F6CD1">
        <w:t>u</w:t>
      </w:r>
      <w:r w:rsidRPr="000F6CD1">
        <w:t>p</w:t>
      </w:r>
      <w:bookmarkEnd w:id="445"/>
      <w:bookmarkEnd w:id="446"/>
    </w:p>
    <w:p w14:paraId="7E7748B5" w14:textId="61A69A33" w:rsidR="007A743C" w:rsidRPr="000F6CD1" w:rsidRDefault="007A743C" w:rsidP="00A677C9">
      <w:pPr>
        <w:spacing w:before="240" w:after="240" w:line="240" w:lineRule="auto"/>
        <w:rPr>
          <w:lang w:eastAsia="ko-KR"/>
        </w:rPr>
      </w:pPr>
      <w:r w:rsidRPr="000F6CD1">
        <w:rPr>
          <w:lang w:eastAsia="ko-KR"/>
        </w:rPr>
        <w:t>At the end of the assessment, an assessor should inform the older person of the next steps so they have a realistic expectation of what will occur following the assessment. This will help the older person to feel more assured and increase their satisfaction in the overall assessment experience.</w:t>
      </w:r>
      <w:r w:rsidR="003B66E9" w:rsidRPr="000F6CD1">
        <w:rPr>
          <w:lang w:eastAsia="ko-KR"/>
        </w:rPr>
        <w:t xml:space="preserve"> </w:t>
      </w:r>
      <w:r w:rsidRPr="000F6CD1">
        <w:rPr>
          <w:lang w:eastAsia="ko-KR"/>
        </w:rPr>
        <w:t xml:space="preserve">There are a variety of </w:t>
      </w:r>
      <w:hyperlink r:id="rId169" w:history="1">
        <w:r w:rsidRPr="000F6CD1">
          <w:t>resources</w:t>
        </w:r>
      </w:hyperlink>
      <w:r w:rsidRPr="000F6CD1">
        <w:rPr>
          <w:lang w:eastAsia="ko-KR"/>
        </w:rPr>
        <w:t xml:space="preserve"> an assessor might leave with an older person at the conclusion of an assessment that are also available in many languages other than English </w:t>
      </w:r>
      <w:r w:rsidRPr="000F6CD1">
        <w:t xml:space="preserve">(see </w:t>
      </w:r>
      <w:r w:rsidR="00DD0215">
        <w:t xml:space="preserve">section 13.6 </w:t>
      </w:r>
      <w:r w:rsidR="00DD0215">
        <w:fldChar w:fldCharType="begin"/>
      </w:r>
      <w:r w:rsidR="00DD0215">
        <w:instrText xml:space="preserve"> REF _Ref46401002 \h </w:instrText>
      </w:r>
      <w:r w:rsidR="00DD0215">
        <w:fldChar w:fldCharType="separate"/>
      </w:r>
      <w:r w:rsidR="004B171E" w:rsidRPr="000F6CD1">
        <w:t>Aged care resources for older people</w:t>
      </w:r>
      <w:r w:rsidR="00DD0215">
        <w:fldChar w:fldCharType="end"/>
      </w:r>
      <w:r w:rsidRPr="000F6CD1">
        <w:t>).</w:t>
      </w:r>
      <w:r w:rsidRPr="000F6CD1">
        <w:rPr>
          <w:lang w:eastAsia="ko-KR"/>
        </w:rPr>
        <w:t xml:space="preserve"> </w:t>
      </w:r>
    </w:p>
    <w:p w14:paraId="412D3F6A" w14:textId="77777777" w:rsidR="007A743C" w:rsidRPr="000F6CD1" w:rsidRDefault="007A743C" w:rsidP="003D374A">
      <w:pPr>
        <w:pStyle w:val="Sub-headingnon-contentpage"/>
      </w:pPr>
      <w:r w:rsidRPr="000F6CD1">
        <w:t>An assessor must:</w:t>
      </w:r>
    </w:p>
    <w:p w14:paraId="7FE6A27E" w14:textId="77777777" w:rsidR="007A743C" w:rsidRPr="000F6CD1" w:rsidRDefault="007A743C" w:rsidP="00DF3F6B">
      <w:pPr>
        <w:pStyle w:val="ListParagraph"/>
        <w:numPr>
          <w:ilvl w:val="0"/>
          <w:numId w:val="106"/>
        </w:numPr>
        <w:spacing w:before="240" w:after="240" w:line="240" w:lineRule="auto"/>
        <w:rPr>
          <w:lang w:eastAsia="ko-KR"/>
        </w:rPr>
      </w:pPr>
      <w:r w:rsidRPr="000F6CD1">
        <w:rPr>
          <w:rFonts w:hint="eastAsia"/>
          <w:lang w:eastAsia="ko-KR"/>
        </w:rPr>
        <w:t xml:space="preserve">Inform the older person on the next steps, such as: </w:t>
      </w:r>
    </w:p>
    <w:p w14:paraId="4DF4A592" w14:textId="77777777" w:rsidR="007A743C" w:rsidRPr="000F6CD1" w:rsidRDefault="007A743C" w:rsidP="00DF3F6B">
      <w:pPr>
        <w:pStyle w:val="ListParagraph"/>
        <w:numPr>
          <w:ilvl w:val="1"/>
          <w:numId w:val="60"/>
        </w:numPr>
        <w:spacing w:before="240" w:after="240" w:line="240" w:lineRule="auto"/>
        <w:ind w:left="1643"/>
        <w:rPr>
          <w:lang w:eastAsia="ko-KR"/>
        </w:rPr>
      </w:pPr>
      <w:r w:rsidRPr="000F6CD1">
        <w:rPr>
          <w:lang w:eastAsia="ko-KR"/>
        </w:rPr>
        <w:t>w</w:t>
      </w:r>
      <w:r w:rsidRPr="000F6CD1">
        <w:rPr>
          <w:rFonts w:hint="eastAsia"/>
          <w:lang w:eastAsia="ko-KR"/>
        </w:rPr>
        <w:t>ho to contact</w:t>
      </w:r>
      <w:r w:rsidRPr="000F6CD1">
        <w:rPr>
          <w:lang w:eastAsia="ko-KR"/>
        </w:rPr>
        <w:t xml:space="preserve"> and in what instance (e.g., if the older person has chosen to be referred to service providers, they will be contacted by these providers to discuss details of the service being requested; if the older person has chosen to receive a referral code, they will need to take the code to the provider of their choice to access the service)</w:t>
      </w:r>
    </w:p>
    <w:p w14:paraId="3D80BE29" w14:textId="77777777" w:rsidR="007A743C" w:rsidRPr="000F6CD1" w:rsidRDefault="007A743C" w:rsidP="00DF3F6B">
      <w:pPr>
        <w:pStyle w:val="ListParagraph"/>
        <w:numPr>
          <w:ilvl w:val="1"/>
          <w:numId w:val="60"/>
        </w:numPr>
        <w:tabs>
          <w:tab w:val="left" w:pos="1134"/>
        </w:tabs>
        <w:spacing w:before="240" w:after="240" w:line="240" w:lineRule="auto"/>
        <w:ind w:left="1643"/>
        <w:rPr>
          <w:lang w:eastAsia="ko-KR"/>
        </w:rPr>
      </w:pPr>
      <w:r w:rsidRPr="000F6CD1">
        <w:rPr>
          <w:lang w:eastAsia="ko-KR"/>
        </w:rPr>
        <w:t>t</w:t>
      </w:r>
      <w:r w:rsidRPr="000F6CD1">
        <w:rPr>
          <w:rFonts w:hint="eastAsia"/>
          <w:lang w:eastAsia="ko-KR"/>
        </w:rPr>
        <w:t>he actions they</w:t>
      </w:r>
      <w:r w:rsidRPr="000F6CD1">
        <w:rPr>
          <w:lang w:eastAsia="ko-KR"/>
        </w:rPr>
        <w:t>, or others identified in the Support Plan,</w:t>
      </w:r>
      <w:r w:rsidRPr="000F6CD1">
        <w:rPr>
          <w:rFonts w:hint="eastAsia"/>
          <w:lang w:eastAsia="ko-KR"/>
        </w:rPr>
        <w:t xml:space="preserve"> are responsible for (</w:t>
      </w:r>
      <w:r w:rsidRPr="000F6CD1">
        <w:rPr>
          <w:lang w:eastAsia="ko-KR"/>
        </w:rPr>
        <w:t>e.g.,</w:t>
      </w:r>
      <w:r w:rsidRPr="000F6CD1">
        <w:rPr>
          <w:rFonts w:hint="eastAsia"/>
          <w:lang w:eastAsia="ko-KR"/>
        </w:rPr>
        <w:t xml:space="preserve"> visiting providers, organising a </w:t>
      </w:r>
      <w:r w:rsidRPr="000F6CD1">
        <w:rPr>
          <w:lang w:eastAsia="ko-KR"/>
        </w:rPr>
        <w:t>check-up</w:t>
      </w:r>
      <w:r w:rsidRPr="000F6CD1">
        <w:rPr>
          <w:rFonts w:hint="eastAsia"/>
          <w:lang w:eastAsia="ko-KR"/>
        </w:rPr>
        <w:t xml:space="preserve"> with a GP/specialist) </w:t>
      </w:r>
    </w:p>
    <w:p w14:paraId="0F0C08DC" w14:textId="77777777" w:rsidR="007A743C" w:rsidRPr="000F6CD1" w:rsidRDefault="007A743C" w:rsidP="00DF3F6B">
      <w:pPr>
        <w:pStyle w:val="ListParagraph"/>
        <w:numPr>
          <w:ilvl w:val="1"/>
          <w:numId w:val="60"/>
        </w:numPr>
        <w:tabs>
          <w:tab w:val="left" w:pos="1134"/>
        </w:tabs>
        <w:spacing w:before="240" w:after="240" w:line="240" w:lineRule="auto"/>
        <w:ind w:left="1643"/>
        <w:rPr>
          <w:lang w:eastAsia="ko-KR"/>
        </w:rPr>
      </w:pPr>
      <w:r w:rsidRPr="000F6CD1">
        <w:rPr>
          <w:lang w:eastAsia="ko-KR"/>
        </w:rPr>
        <w:t xml:space="preserve">identify the older person’s preferred referral method to action service referrals to providers and specialist assessment (e.g., allied health, occupational therapy assessment or vision services) </w:t>
      </w:r>
    </w:p>
    <w:p w14:paraId="5BBC8ADB" w14:textId="77777777" w:rsidR="007A743C" w:rsidRPr="000F6CD1" w:rsidRDefault="007A743C" w:rsidP="00DF3F6B">
      <w:pPr>
        <w:pStyle w:val="ListParagraph"/>
        <w:numPr>
          <w:ilvl w:val="0"/>
          <w:numId w:val="60"/>
        </w:numPr>
        <w:spacing w:before="240" w:after="240" w:line="240" w:lineRule="auto"/>
        <w:ind w:left="567" w:hanging="283"/>
      </w:pPr>
      <w:r w:rsidRPr="000F6CD1">
        <w:t>Consider the older person’s information preferences (e.g., hardcopy or electronic copy) and their communication needs.</w:t>
      </w:r>
    </w:p>
    <w:p w14:paraId="6B27D078" w14:textId="25BB9BF7" w:rsidR="007A743C" w:rsidRPr="000F6CD1" w:rsidRDefault="007A743C" w:rsidP="00DF3F6B">
      <w:pPr>
        <w:pStyle w:val="ListParagraph"/>
        <w:numPr>
          <w:ilvl w:val="0"/>
          <w:numId w:val="60"/>
        </w:numPr>
        <w:spacing w:before="240" w:after="240" w:line="240" w:lineRule="auto"/>
        <w:ind w:left="567" w:hanging="283"/>
      </w:pPr>
      <w:r w:rsidRPr="000F6CD1">
        <w:rPr>
          <w:rFonts w:hint="eastAsia"/>
        </w:rPr>
        <w:t xml:space="preserve">Provide </w:t>
      </w:r>
      <w:r w:rsidRPr="000F6CD1">
        <w:t xml:space="preserve">contact details to </w:t>
      </w:r>
      <w:r w:rsidRPr="000F6CD1">
        <w:rPr>
          <w:rFonts w:hint="eastAsia"/>
        </w:rPr>
        <w:t xml:space="preserve">the </w:t>
      </w:r>
      <w:r w:rsidRPr="000F6CD1">
        <w:t xml:space="preserve">older person </w:t>
      </w:r>
      <w:r w:rsidRPr="000F6CD1">
        <w:rPr>
          <w:rFonts w:hint="eastAsia"/>
        </w:rPr>
        <w:t xml:space="preserve">on </w:t>
      </w:r>
      <w:r w:rsidRPr="000F6CD1">
        <w:t xml:space="preserve">who </w:t>
      </w:r>
      <w:r w:rsidRPr="000F6CD1">
        <w:rPr>
          <w:rFonts w:hint="eastAsia"/>
        </w:rPr>
        <w:t xml:space="preserve">they should </w:t>
      </w:r>
      <w:r w:rsidRPr="000F6CD1">
        <w:t>contact in the future</w:t>
      </w:r>
      <w:r w:rsidRPr="000F6CD1">
        <w:rPr>
          <w:rFonts w:hint="eastAsia"/>
        </w:rPr>
        <w:t xml:space="preserve"> </w:t>
      </w:r>
      <w:r w:rsidRPr="000F6CD1">
        <w:t>[e.g.,</w:t>
      </w:r>
      <w:r w:rsidRPr="000F6CD1">
        <w:rPr>
          <w:rFonts w:hint="eastAsia"/>
        </w:rPr>
        <w:t> </w:t>
      </w:r>
      <w:r w:rsidRPr="000F6CD1">
        <w:t xml:space="preserve">the My Aged Care, the </w:t>
      </w:r>
      <w:r w:rsidRPr="000F6CD1">
        <w:rPr>
          <w:rFonts w:hint="eastAsia"/>
        </w:rPr>
        <w:t>assessment organisation</w:t>
      </w:r>
      <w:r w:rsidRPr="000F6CD1">
        <w:t xml:space="preserve"> (name and contact details of the assessor)</w:t>
      </w:r>
      <w:r w:rsidRPr="000F6CD1">
        <w:rPr>
          <w:rFonts w:hint="eastAsia"/>
        </w:rPr>
        <w:t>,</w:t>
      </w:r>
      <w:r w:rsidRPr="000F6CD1">
        <w:t xml:space="preserve"> and one or more service providers]</w:t>
      </w:r>
      <w:r w:rsidRPr="000F6CD1">
        <w:rPr>
          <w:rFonts w:hint="eastAsia"/>
        </w:rPr>
        <w:t>.</w:t>
      </w:r>
    </w:p>
    <w:p w14:paraId="71756E6C" w14:textId="77777777" w:rsidR="007A743C" w:rsidRPr="000F6CD1" w:rsidRDefault="007A743C" w:rsidP="00DF3F6B">
      <w:pPr>
        <w:pStyle w:val="ListParagraph"/>
        <w:numPr>
          <w:ilvl w:val="0"/>
          <w:numId w:val="60"/>
        </w:numPr>
        <w:spacing w:before="240" w:after="240" w:line="240" w:lineRule="auto"/>
        <w:ind w:left="567" w:hanging="283"/>
        <w:rPr>
          <w:lang w:eastAsia="ko-KR"/>
        </w:rPr>
      </w:pPr>
      <w:r w:rsidRPr="000F6CD1">
        <w:rPr>
          <w:lang w:eastAsia="ko-KR"/>
        </w:rPr>
        <w:t>explain that the assessor recommendations will be submitted to the assessment delegate for approval and the older person will be contacted about the outcome.</w:t>
      </w:r>
    </w:p>
    <w:p w14:paraId="464FF7FE" w14:textId="08E9D268" w:rsidR="00896E32" w:rsidRPr="000F6CD1" w:rsidRDefault="00F274C0" w:rsidP="00AD2CE5">
      <w:pPr>
        <w:pStyle w:val="H3"/>
      </w:pPr>
      <w:bookmarkStart w:id="449" w:name="_Toc178942717"/>
      <w:bookmarkStart w:id="450" w:name="_Toc178946393"/>
      <w:bookmarkStart w:id="451" w:name="_Toc180396746"/>
      <w:bookmarkStart w:id="452" w:name="_Toc180396961"/>
      <w:bookmarkStart w:id="453" w:name="_Toc180418234"/>
      <w:bookmarkStart w:id="454" w:name="_Toc178942718"/>
      <w:bookmarkStart w:id="455" w:name="_Toc178946394"/>
      <w:bookmarkStart w:id="456" w:name="_Toc180396747"/>
      <w:bookmarkStart w:id="457" w:name="_Toc180396962"/>
      <w:bookmarkStart w:id="458" w:name="_Toc180418235"/>
      <w:bookmarkStart w:id="459" w:name="_Toc178942719"/>
      <w:bookmarkStart w:id="460" w:name="_Toc178946395"/>
      <w:bookmarkStart w:id="461" w:name="_Toc180396748"/>
      <w:bookmarkStart w:id="462" w:name="_Toc180396963"/>
      <w:bookmarkStart w:id="463" w:name="_Toc18041823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0F6CD1">
        <w:t>Aboriginal and Torres Strait Islander Assessment Organisations</w:t>
      </w:r>
      <w:r w:rsidR="008829DD" w:rsidRPr="000F6CD1">
        <w:t xml:space="preserve"> assessment wrap-up</w:t>
      </w:r>
    </w:p>
    <w:p w14:paraId="7C65404A" w14:textId="326F963F" w:rsidR="0058183E" w:rsidRPr="000F6CD1" w:rsidRDefault="0058183E" w:rsidP="00A677C9">
      <w:pPr>
        <w:spacing w:before="240" w:after="240" w:line="240" w:lineRule="auto"/>
      </w:pPr>
      <w:r w:rsidRPr="000F6CD1">
        <w:t xml:space="preserve">Due to the higher likelihood of older Aboriginal and Torres Strait Islander people being vulnerable and require additional support to access services, it </w:t>
      </w:r>
      <w:r w:rsidR="00B10DAE" w:rsidRPr="000F6CD1">
        <w:t>is</w:t>
      </w:r>
      <w:r w:rsidRPr="000F6CD1">
        <w:t xml:space="preserve"> best practice to </w:t>
      </w:r>
      <w:r w:rsidR="00F72EA6" w:rsidRPr="000F6CD1">
        <w:t xml:space="preserve">routinely </w:t>
      </w:r>
      <w:r w:rsidRPr="000F6CD1">
        <w:t xml:space="preserve">follow up with the client (or </w:t>
      </w:r>
      <w:r w:rsidR="00F72EA6" w:rsidRPr="000F6CD1">
        <w:t xml:space="preserve">their </w:t>
      </w:r>
      <w:r w:rsidRPr="000F6CD1">
        <w:t>support network) post assessment, particularly for those who:</w:t>
      </w:r>
    </w:p>
    <w:p w14:paraId="53604627" w14:textId="77777777" w:rsidR="0058183E" w:rsidRPr="000F6CD1" w:rsidRDefault="0058183E" w:rsidP="00DF3F6B">
      <w:pPr>
        <w:pStyle w:val="ListParagraph"/>
        <w:numPr>
          <w:ilvl w:val="0"/>
          <w:numId w:val="447"/>
        </w:numPr>
        <w:spacing w:before="240" w:after="240" w:line="240" w:lineRule="auto"/>
      </w:pPr>
      <w:r w:rsidRPr="000F6CD1">
        <w:t>have complex social need;</w:t>
      </w:r>
    </w:p>
    <w:p w14:paraId="2F7015F8" w14:textId="77777777" w:rsidR="0058183E" w:rsidRPr="000F6CD1" w:rsidRDefault="0058183E" w:rsidP="00DF3F6B">
      <w:pPr>
        <w:pStyle w:val="ListParagraph"/>
        <w:numPr>
          <w:ilvl w:val="0"/>
          <w:numId w:val="447"/>
        </w:numPr>
        <w:spacing w:before="240" w:after="240" w:line="240" w:lineRule="auto"/>
      </w:pPr>
      <w:r w:rsidRPr="000F6CD1">
        <w:t>have limited family or community support;</w:t>
      </w:r>
    </w:p>
    <w:p w14:paraId="7A078FBA" w14:textId="77777777" w:rsidR="0058183E" w:rsidRPr="000F6CD1" w:rsidRDefault="0058183E" w:rsidP="00DF3F6B">
      <w:pPr>
        <w:pStyle w:val="ListParagraph"/>
        <w:numPr>
          <w:ilvl w:val="0"/>
          <w:numId w:val="447"/>
        </w:numPr>
        <w:spacing w:before="240" w:after="240" w:line="240" w:lineRule="auto"/>
      </w:pPr>
      <w:r w:rsidRPr="000F6CD1">
        <w:t>have experienced recent changes in health, housing, or care arrangements;</w:t>
      </w:r>
    </w:p>
    <w:p w14:paraId="0F21BB19" w14:textId="77777777" w:rsidR="0058183E" w:rsidRPr="000F6CD1" w:rsidRDefault="0058183E" w:rsidP="00DF3F6B">
      <w:pPr>
        <w:pStyle w:val="ListParagraph"/>
        <w:numPr>
          <w:ilvl w:val="0"/>
          <w:numId w:val="447"/>
        </w:numPr>
        <w:spacing w:before="240" w:after="240" w:line="240" w:lineRule="auto"/>
      </w:pPr>
      <w:r w:rsidRPr="000F6CD1">
        <w:t>have communication or cognitive difficulties that may impact understanding of the assessment;</w:t>
      </w:r>
    </w:p>
    <w:p w14:paraId="1C13708C" w14:textId="77777777" w:rsidR="0058183E" w:rsidRPr="000F6CD1" w:rsidRDefault="0058183E" w:rsidP="00DF3F6B">
      <w:pPr>
        <w:pStyle w:val="ListParagraph"/>
        <w:numPr>
          <w:ilvl w:val="0"/>
          <w:numId w:val="447"/>
        </w:numPr>
        <w:spacing w:before="240" w:after="240" w:line="240" w:lineRule="auto"/>
      </w:pPr>
      <w:r w:rsidRPr="000F6CD1">
        <w:t xml:space="preserve">have referrals rejected/not actioned;  </w:t>
      </w:r>
    </w:p>
    <w:p w14:paraId="30D162C2" w14:textId="77777777" w:rsidR="0058183E" w:rsidRPr="000F6CD1" w:rsidRDefault="0058183E" w:rsidP="00DF3F6B">
      <w:pPr>
        <w:pStyle w:val="ListParagraph"/>
        <w:numPr>
          <w:ilvl w:val="0"/>
          <w:numId w:val="447"/>
        </w:numPr>
        <w:spacing w:before="240" w:after="240" w:line="240" w:lineRule="auto"/>
      </w:pPr>
      <w:r w:rsidRPr="000F6CD1">
        <w:t xml:space="preserve">have experience difficulties with accessing services; </w:t>
      </w:r>
    </w:p>
    <w:p w14:paraId="6BC67348" w14:textId="3106460F" w:rsidR="0058183E" w:rsidRPr="000F6CD1" w:rsidRDefault="0058183E" w:rsidP="00DF3F6B">
      <w:pPr>
        <w:pStyle w:val="ListParagraph"/>
        <w:numPr>
          <w:ilvl w:val="0"/>
          <w:numId w:val="447"/>
        </w:numPr>
        <w:spacing w:before="240" w:after="240" w:line="240" w:lineRule="auto"/>
      </w:pPr>
      <w:r w:rsidRPr="000F6CD1">
        <w:t xml:space="preserve">work on short-term goal(s) in line with the length of time stipulated in the Support </w:t>
      </w:r>
      <w:r w:rsidR="0061221A" w:rsidRPr="000F6CD1">
        <w:t>Plan;</w:t>
      </w:r>
    </w:p>
    <w:p w14:paraId="374183F2" w14:textId="77777777" w:rsidR="0058183E" w:rsidRPr="000F6CD1" w:rsidRDefault="0058183E" w:rsidP="00DF3F6B">
      <w:pPr>
        <w:pStyle w:val="ListParagraph"/>
        <w:numPr>
          <w:ilvl w:val="0"/>
          <w:numId w:val="447"/>
        </w:numPr>
        <w:spacing w:before="240" w:after="240" w:line="240" w:lineRule="auto"/>
      </w:pPr>
      <w:r w:rsidRPr="000F6CD1">
        <w:t xml:space="preserve">need linking support and require short-term linking assistance for the purpose of implementing the Support Plan; </w:t>
      </w:r>
    </w:p>
    <w:p w14:paraId="676FBF3E" w14:textId="77777777" w:rsidR="0058183E" w:rsidRPr="000F6CD1" w:rsidRDefault="0058183E" w:rsidP="00DF3F6B">
      <w:pPr>
        <w:pStyle w:val="ListParagraph"/>
        <w:numPr>
          <w:ilvl w:val="0"/>
          <w:numId w:val="447"/>
        </w:numPr>
        <w:spacing w:before="240" w:after="240" w:line="240" w:lineRule="auto"/>
      </w:pPr>
      <w:r w:rsidRPr="000F6CD1">
        <w:t>have expressed uncertainty or concern about the process or services recommended; and/or</w:t>
      </w:r>
    </w:p>
    <w:p w14:paraId="45088FAE" w14:textId="77777777" w:rsidR="0058183E" w:rsidRPr="000F6CD1" w:rsidRDefault="0058183E" w:rsidP="00DF3F6B">
      <w:pPr>
        <w:pStyle w:val="ListParagraph"/>
        <w:numPr>
          <w:ilvl w:val="0"/>
          <w:numId w:val="447"/>
        </w:numPr>
        <w:spacing w:before="240" w:after="240" w:line="240" w:lineRule="auto"/>
      </w:pPr>
      <w:r w:rsidRPr="000F6CD1">
        <w:lastRenderedPageBreak/>
        <w:t>are at risk of disengaging from services due to past negative experiences or systemic barriers.</w:t>
      </w:r>
    </w:p>
    <w:p w14:paraId="747CDE19" w14:textId="06E4F38F" w:rsidR="0058183E" w:rsidRPr="000F6CD1" w:rsidRDefault="0058183E" w:rsidP="00A677C9">
      <w:pPr>
        <w:spacing w:before="240" w:after="240" w:line="240" w:lineRule="auto"/>
      </w:pPr>
      <w:r w:rsidRPr="000F6CD1">
        <w:t xml:space="preserve">Follow up may include, but not limited </w:t>
      </w:r>
      <w:r w:rsidR="0061221A" w:rsidRPr="000F6CD1">
        <w:t>to:</w:t>
      </w:r>
    </w:p>
    <w:p w14:paraId="756167C1" w14:textId="77777777" w:rsidR="0058183E" w:rsidRPr="000F6CD1" w:rsidRDefault="0058183E" w:rsidP="00DF3F6B">
      <w:pPr>
        <w:pStyle w:val="ListParagraph"/>
        <w:numPr>
          <w:ilvl w:val="0"/>
          <w:numId w:val="448"/>
        </w:numPr>
        <w:spacing w:before="240" w:after="240" w:line="240" w:lineRule="auto"/>
      </w:pPr>
      <w:r w:rsidRPr="000F6CD1">
        <w:t xml:space="preserve">monitoring of referrals to services or negotiating with service providers for the provision of alternative services if necessary; </w:t>
      </w:r>
    </w:p>
    <w:p w14:paraId="34D64EED" w14:textId="77777777" w:rsidR="0058183E" w:rsidRPr="000F6CD1" w:rsidRDefault="0058183E" w:rsidP="00DF3F6B">
      <w:pPr>
        <w:pStyle w:val="ListParagraph"/>
        <w:numPr>
          <w:ilvl w:val="0"/>
          <w:numId w:val="448"/>
        </w:numPr>
        <w:spacing w:before="240" w:after="240" w:line="240" w:lineRule="auto"/>
      </w:pPr>
      <w:r w:rsidRPr="000F6CD1">
        <w:t>discussion with the service provider and give advice to client on any follow up actions taken; and/or</w:t>
      </w:r>
    </w:p>
    <w:p w14:paraId="320C7D15" w14:textId="76854329" w:rsidR="00F274C0" w:rsidRPr="000F6CD1" w:rsidRDefault="0058183E" w:rsidP="00DF3F6B">
      <w:pPr>
        <w:pStyle w:val="ListParagraph"/>
        <w:numPr>
          <w:ilvl w:val="0"/>
          <w:numId w:val="448"/>
        </w:numPr>
        <w:spacing w:before="240" w:after="240" w:line="240" w:lineRule="auto"/>
        <w:rPr>
          <w:lang w:eastAsia="ko-KR"/>
        </w:rPr>
      </w:pPr>
      <w:r w:rsidRPr="000F6CD1">
        <w:t>explaining any notifications/notices the older person may have received from M</w:t>
      </w:r>
      <w:r w:rsidR="009C1AC8" w:rsidRPr="000F6CD1">
        <w:t xml:space="preserve">y </w:t>
      </w:r>
      <w:r w:rsidRPr="000F6CD1">
        <w:t>A</w:t>
      </w:r>
      <w:r w:rsidR="009C1AC8" w:rsidRPr="000F6CD1">
        <w:t xml:space="preserve">ged </w:t>
      </w:r>
      <w:r w:rsidRPr="000F6CD1">
        <w:t>C</w:t>
      </w:r>
      <w:r w:rsidR="009C1AC8" w:rsidRPr="000F6CD1">
        <w:t>are</w:t>
      </w:r>
      <w:r w:rsidRPr="000F6CD1">
        <w:t>.</w:t>
      </w:r>
    </w:p>
    <w:tbl>
      <w:tblPr>
        <w:tblStyle w:val="TableGrid"/>
        <w:tblW w:w="0" w:type="auto"/>
        <w:tblLook w:val="04A0" w:firstRow="1" w:lastRow="0" w:firstColumn="1" w:lastColumn="0" w:noHBand="0" w:noVBand="1"/>
      </w:tblPr>
      <w:tblGrid>
        <w:gridCol w:w="846"/>
        <w:gridCol w:w="8170"/>
      </w:tblGrid>
      <w:tr w:rsidR="007A743C" w:rsidRPr="000F6CD1" w14:paraId="575375B1" w14:textId="77777777">
        <w:trPr>
          <w:trHeight w:val="300"/>
        </w:trPr>
        <w:tc>
          <w:tcPr>
            <w:tcW w:w="846" w:type="dxa"/>
          </w:tcPr>
          <w:p w14:paraId="20B9A6DB" w14:textId="77777777" w:rsidR="007A743C" w:rsidRPr="000F6CD1" w:rsidRDefault="007A743C" w:rsidP="00A677C9">
            <w:pPr>
              <w:pStyle w:val="NormalText"/>
              <w:spacing w:before="240" w:after="240" w:line="240" w:lineRule="auto"/>
              <w:rPr>
                <w:rFonts w:eastAsiaTheme="majorEastAsia" w:cs="Arial"/>
                <w:b/>
                <w:bCs/>
                <w:color w:val="1E1444"/>
                <w:szCs w:val="24"/>
                <w:shd w:val="clear" w:color="auto" w:fill="auto"/>
                <w:lang w:eastAsia="en-AU"/>
              </w:rPr>
            </w:pPr>
            <w:r w:rsidRPr="000F6CD1">
              <w:rPr>
                <w:noProof/>
                <w:shd w:val="clear" w:color="auto" w:fill="FFFFFF" w:themeFill="background1"/>
              </w:rPr>
              <w:drawing>
                <wp:inline distT="0" distB="0" distL="0" distR="0" wp14:anchorId="6A67AB6E" wp14:editId="4A95FE91">
                  <wp:extent cx="383111" cy="381000"/>
                  <wp:effectExtent l="0" t="0" r="0" b="0"/>
                  <wp:docPr id="198888159" name="Picture 19888815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159" name="Picture 198888159"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D42D0DD" w14:textId="77777777" w:rsidR="007A743C" w:rsidRPr="000F6CD1" w:rsidRDefault="007A743C" w:rsidP="00A677C9">
            <w:pPr>
              <w:pStyle w:val="NormalText"/>
              <w:spacing w:before="240" w:after="240" w:line="240" w:lineRule="auto"/>
              <w:rPr>
                <w:rFonts w:eastAsiaTheme="majorEastAsia" w:cs="Arial"/>
                <w:color w:val="1E1444"/>
                <w:szCs w:val="24"/>
                <w:shd w:val="clear" w:color="auto" w:fill="auto"/>
                <w:lang w:eastAsia="en-AU"/>
              </w:rPr>
            </w:pPr>
            <w:hyperlink r:id="rId170" w:history="1">
              <w:r w:rsidRPr="000F6CD1">
                <w:rPr>
                  <w:rStyle w:val="Hyperlink"/>
                  <w:rFonts w:eastAsiaTheme="majorEastAsia"/>
                  <w:szCs w:val="24"/>
                  <w:shd w:val="clear" w:color="auto" w:fill="auto"/>
                  <w:lang w:eastAsia="en-AU"/>
                </w:rPr>
                <w:t>Resources | My Aged Care</w:t>
              </w:r>
            </w:hyperlink>
          </w:p>
        </w:tc>
      </w:tr>
    </w:tbl>
    <w:p w14:paraId="37D6E51D" w14:textId="4262AF12" w:rsidR="007A743C" w:rsidRPr="000F6CD1" w:rsidRDefault="007A743C" w:rsidP="00AD2CE5">
      <w:pPr>
        <w:pStyle w:val="H3"/>
        <w:rPr>
          <w:lang w:eastAsia="ko-KR"/>
        </w:rPr>
      </w:pPr>
      <w:r w:rsidRPr="000F6CD1">
        <w:t xml:space="preserve">Providing an assessment report for approval </w:t>
      </w:r>
    </w:p>
    <w:p w14:paraId="4A204CE5" w14:textId="54770C37" w:rsidR="007A743C" w:rsidRPr="000F6CD1" w:rsidRDefault="007A743C" w:rsidP="00A677C9">
      <w:pPr>
        <w:spacing w:before="240" w:after="240" w:line="240" w:lineRule="auto"/>
        <w:rPr>
          <w:lang w:eastAsia="ko-KR"/>
        </w:rPr>
      </w:pPr>
      <w:r w:rsidRPr="000F6CD1">
        <w:rPr>
          <w:lang w:eastAsia="ko-KR"/>
        </w:rPr>
        <w:t xml:space="preserve">Once the assessor has finalised the assessment, they must submit it for approval by an assessment delegate. </w:t>
      </w:r>
    </w:p>
    <w:p w14:paraId="5432D258" w14:textId="7820FF15" w:rsidR="007A743C" w:rsidRPr="000F6CD1" w:rsidRDefault="007A743C" w:rsidP="00A677C9">
      <w:pPr>
        <w:spacing w:before="240" w:after="240" w:line="240" w:lineRule="auto"/>
      </w:pPr>
      <w:r w:rsidRPr="000F6CD1">
        <w:t xml:space="preserve">Under the </w:t>
      </w:r>
      <w:r w:rsidRPr="000F6CD1">
        <w:rPr>
          <w:i/>
        </w:rPr>
        <w:t>Aged Care Act 2024</w:t>
      </w:r>
      <w:r w:rsidRPr="000F6CD1">
        <w:t xml:space="preserve">, assessors are required to provide the System Governor with a report of the assessment as soon as practicable after the assessment has been completed. This report is the support plan. System Governor functions at this stage of the assessment process are performed by (delegated to) Assessment Delegates. The </w:t>
      </w:r>
      <w:r w:rsidR="0060352D" w:rsidRPr="000F6CD1">
        <w:t>assessor portal</w:t>
      </w:r>
      <w:r w:rsidRPr="000F6CD1">
        <w:t xml:space="preserve"> will support assessors to recommend the following to the assessment delegate for approval: </w:t>
      </w:r>
    </w:p>
    <w:p w14:paraId="3CBC5C0D" w14:textId="77777777" w:rsidR="007A743C" w:rsidRPr="000F6CD1" w:rsidRDefault="007A743C" w:rsidP="00DF3F6B">
      <w:pPr>
        <w:pStyle w:val="ListParagraph"/>
        <w:numPr>
          <w:ilvl w:val="0"/>
          <w:numId w:val="119"/>
        </w:numPr>
        <w:spacing w:before="240" w:after="240" w:line="240" w:lineRule="auto"/>
      </w:pPr>
      <w:r w:rsidRPr="000F6CD1">
        <w:rPr>
          <w:b/>
        </w:rPr>
        <w:t>service groups</w:t>
      </w:r>
      <w:r w:rsidRPr="000F6CD1">
        <w:t>,</w:t>
      </w:r>
    </w:p>
    <w:p w14:paraId="21242FA6" w14:textId="77777777" w:rsidR="007A743C" w:rsidRPr="000F6CD1" w:rsidRDefault="007A743C" w:rsidP="00DF3F6B">
      <w:pPr>
        <w:pStyle w:val="ListParagraph"/>
        <w:numPr>
          <w:ilvl w:val="0"/>
          <w:numId w:val="119"/>
        </w:numPr>
        <w:spacing w:before="240" w:after="240" w:line="240" w:lineRule="auto"/>
      </w:pPr>
      <w:r w:rsidRPr="000F6CD1">
        <w:t>the</w:t>
      </w:r>
      <w:r w:rsidRPr="000F6CD1">
        <w:rPr>
          <w:b/>
        </w:rPr>
        <w:t xml:space="preserve"> classification type</w:t>
      </w:r>
      <w:r w:rsidRPr="000F6CD1">
        <w:t xml:space="preserve"> (short-term, ongoing or hospital transition) for each recommended service group; </w:t>
      </w:r>
    </w:p>
    <w:p w14:paraId="0444AD61" w14:textId="77777777" w:rsidR="007A743C" w:rsidRPr="000F6CD1" w:rsidRDefault="007A743C" w:rsidP="00DF3F6B">
      <w:pPr>
        <w:pStyle w:val="ListParagraph"/>
        <w:numPr>
          <w:ilvl w:val="0"/>
          <w:numId w:val="119"/>
        </w:numPr>
        <w:spacing w:before="240" w:after="240" w:line="240" w:lineRule="auto"/>
      </w:pPr>
      <w:r w:rsidRPr="000F6CD1">
        <w:t xml:space="preserve">the </w:t>
      </w:r>
      <w:r w:rsidRPr="000F6CD1">
        <w:rPr>
          <w:b/>
        </w:rPr>
        <w:t>classification level</w:t>
      </w:r>
    </w:p>
    <w:p w14:paraId="59BC0CF2" w14:textId="77777777" w:rsidR="007A743C" w:rsidRPr="000F6CD1" w:rsidRDefault="007A743C" w:rsidP="00DF3F6B">
      <w:pPr>
        <w:pStyle w:val="ListParagraph"/>
        <w:numPr>
          <w:ilvl w:val="0"/>
          <w:numId w:val="119"/>
        </w:numPr>
        <w:spacing w:before="240" w:after="240" w:line="240" w:lineRule="auto"/>
      </w:pPr>
      <w:r w:rsidRPr="000F6CD1">
        <w:t xml:space="preserve">any </w:t>
      </w:r>
      <w:r w:rsidRPr="000F6CD1">
        <w:rPr>
          <w:b/>
        </w:rPr>
        <w:t>service types</w:t>
      </w:r>
      <w:r w:rsidRPr="000F6CD1">
        <w:t xml:space="preserve"> or </w:t>
      </w:r>
      <w:r w:rsidRPr="000F6CD1">
        <w:rPr>
          <w:b/>
        </w:rPr>
        <w:t>services</w:t>
      </w:r>
      <w:r w:rsidRPr="000F6CD1">
        <w:t xml:space="preserve"> </w:t>
      </w:r>
    </w:p>
    <w:p w14:paraId="1E498E49" w14:textId="77777777" w:rsidR="007A743C" w:rsidRPr="000F6CD1" w:rsidRDefault="007A743C" w:rsidP="00DF3F6B">
      <w:pPr>
        <w:pStyle w:val="ListParagraph"/>
        <w:numPr>
          <w:ilvl w:val="0"/>
          <w:numId w:val="119"/>
        </w:numPr>
        <w:spacing w:before="240" w:after="240" w:line="240" w:lineRule="auto"/>
      </w:pPr>
      <w:r w:rsidRPr="000F6CD1">
        <w:t xml:space="preserve">the </w:t>
      </w:r>
      <w:r w:rsidRPr="000F6CD1">
        <w:rPr>
          <w:b/>
          <w:bCs/>
        </w:rPr>
        <w:t>priority category</w:t>
      </w:r>
      <w:r w:rsidRPr="000F6CD1">
        <w:t xml:space="preserve"> if required.</w:t>
      </w:r>
    </w:p>
    <w:p w14:paraId="0D70FF42" w14:textId="428E66E0" w:rsidR="008A19AD" w:rsidRPr="000F6CD1" w:rsidRDefault="002227D3" w:rsidP="00A677C9">
      <w:pPr>
        <w:spacing w:before="240" w:after="240" w:line="240" w:lineRule="auto"/>
      </w:pPr>
      <w:r w:rsidRPr="000F6CD1">
        <w:t>F</w:t>
      </w:r>
      <w:r w:rsidR="00322984" w:rsidRPr="000F6CD1">
        <w:t>or older Aboriginal and Torres Strait Islander people</w:t>
      </w:r>
      <w:r w:rsidRPr="000F6CD1">
        <w:t>,</w:t>
      </w:r>
      <w:r w:rsidR="00322984" w:rsidRPr="000F6CD1">
        <w:t xml:space="preserve"> </w:t>
      </w:r>
      <w:r w:rsidR="008A19AD" w:rsidRPr="000F6CD1">
        <w:t xml:space="preserve">an </w:t>
      </w:r>
      <w:r w:rsidR="00B626B6" w:rsidRPr="000F6CD1">
        <w:t>a</w:t>
      </w:r>
      <w:r w:rsidR="008A19AD" w:rsidRPr="000F6CD1">
        <w:t xml:space="preserve">ssessment </w:t>
      </w:r>
      <w:r w:rsidR="00B626B6" w:rsidRPr="000F6CD1">
        <w:t>d</w:t>
      </w:r>
      <w:r w:rsidR="008A19AD" w:rsidRPr="000F6CD1">
        <w:t xml:space="preserve">elegate only </w:t>
      </w:r>
      <w:r w:rsidRPr="000F6CD1">
        <w:t>require</w:t>
      </w:r>
      <w:r w:rsidR="00D63440">
        <w:t>d</w:t>
      </w:r>
      <w:r w:rsidR="008A19AD" w:rsidRPr="000F6CD1">
        <w:t xml:space="preserve"> to approv</w:t>
      </w:r>
      <w:r w:rsidR="00F822D6" w:rsidRPr="000F6CD1">
        <w:t xml:space="preserve">e services at the service group level. </w:t>
      </w:r>
      <w:r w:rsidR="00941C32" w:rsidRPr="000F6CD1">
        <w:t xml:space="preserve">This means </w:t>
      </w:r>
      <w:r w:rsidR="00C00FB6" w:rsidRPr="000F6CD1">
        <w:t>t</w:t>
      </w:r>
      <w:r w:rsidR="0025700D" w:rsidRPr="000F6CD1">
        <w:t>he clients</w:t>
      </w:r>
      <w:r w:rsidR="00F822D6" w:rsidRPr="000F6CD1">
        <w:t xml:space="preserve"> are automatically approved for all the service types and </w:t>
      </w:r>
      <w:r w:rsidR="006206EC" w:rsidRPr="000F6CD1">
        <w:t xml:space="preserve">individual </w:t>
      </w:r>
      <w:r w:rsidR="00F822D6" w:rsidRPr="000F6CD1">
        <w:t xml:space="preserve">services </w:t>
      </w:r>
      <w:r w:rsidR="006206EC" w:rsidRPr="000F6CD1">
        <w:t>with</w:t>
      </w:r>
      <w:r w:rsidR="00F822D6" w:rsidRPr="000F6CD1">
        <w:t>in any service group they are approved for.</w:t>
      </w:r>
    </w:p>
    <w:p w14:paraId="06E44F5B" w14:textId="3D643CC5" w:rsidR="007A743C" w:rsidRPr="000F6CD1" w:rsidRDefault="007A743C" w:rsidP="00A677C9">
      <w:pPr>
        <w:spacing w:before="240" w:after="240" w:line="240" w:lineRule="auto"/>
      </w:pPr>
      <w:r w:rsidRPr="000F6CD1">
        <w:t>Assessors must also include in the support plan any information to support the Assessment Delegate to decide that the individual meets the relevant criteria (in the Act and its related rules) for the recommended approvals.</w:t>
      </w:r>
    </w:p>
    <w:p w14:paraId="7FC4F872" w14:textId="77777777" w:rsidR="007A743C" w:rsidRPr="000F6CD1" w:rsidRDefault="007A743C" w:rsidP="00A677C9">
      <w:pPr>
        <w:spacing w:before="240" w:after="240" w:line="240" w:lineRule="auto"/>
      </w:pPr>
      <w:r w:rsidRPr="000F6CD1">
        <w:t xml:space="preserve">Assessors must ensure all information generated during the assessment is uploaded to the older person’s My Aged Care Record following the completion of an assessment. </w:t>
      </w:r>
    </w:p>
    <w:p w14:paraId="7A94BE3A" w14:textId="3905E83D" w:rsidR="0061221A" w:rsidRPr="000F6CD1" w:rsidRDefault="0061221A" w:rsidP="00A677C9">
      <w:pPr>
        <w:spacing w:before="240" w:after="240" w:line="240" w:lineRule="auto"/>
      </w:pPr>
    </w:p>
    <w:p w14:paraId="61049A25" w14:textId="35F2B7BA" w:rsidR="004D556D" w:rsidRPr="000F6CD1" w:rsidRDefault="004D556D" w:rsidP="00A677C9">
      <w:pPr>
        <w:spacing w:before="240" w:after="240" w:line="240" w:lineRule="auto"/>
      </w:pPr>
    </w:p>
    <w:p w14:paraId="3B7F29C5" w14:textId="77777777" w:rsidR="004D556D" w:rsidRPr="000F6CD1" w:rsidRDefault="004D556D">
      <w:r w:rsidRPr="000F6CD1">
        <w:br w:type="page"/>
      </w:r>
    </w:p>
    <w:p w14:paraId="714F35E7" w14:textId="36F637AC" w:rsidR="004D556D" w:rsidRPr="000F6CD1" w:rsidRDefault="004D556D" w:rsidP="00AC3600">
      <w:pPr>
        <w:pStyle w:val="H1"/>
      </w:pPr>
      <w:bookmarkStart w:id="464" w:name="_Toc198813680"/>
      <w:bookmarkStart w:id="465" w:name="_Toc204329563"/>
      <w:bookmarkStart w:id="466" w:name="_Toc209188993"/>
      <w:bookmarkStart w:id="467" w:name="_Ref212734795"/>
      <w:bookmarkStart w:id="468" w:name="_Ref212735832"/>
      <w:bookmarkStart w:id="469" w:name="_Ref212736115"/>
      <w:bookmarkStart w:id="470" w:name="_Ref212736206"/>
      <w:bookmarkStart w:id="471" w:name="_Ref212736230"/>
      <w:bookmarkStart w:id="472" w:name="_Ref212736248"/>
      <w:bookmarkStart w:id="473" w:name="_Ref212736395"/>
      <w:bookmarkStart w:id="474" w:name="_Ref212736454"/>
      <w:bookmarkStart w:id="475" w:name="_Ref212738010"/>
      <w:bookmarkStart w:id="476" w:name="_Ref232598041"/>
      <w:bookmarkStart w:id="477" w:name="_Ref232689453"/>
      <w:bookmarkStart w:id="478" w:name="_Ref232690423"/>
      <w:bookmarkStart w:id="479" w:name="_Toc233282454"/>
      <w:r w:rsidRPr="000F6CD1">
        <w:lastRenderedPageBreak/>
        <w:t>Chapter 6: Aged care programs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F2F2F2" w:themeFill="background1" w:themeFillShade="F2"/>
        <w:tblLook w:val="04A0" w:firstRow="1" w:lastRow="0" w:firstColumn="1" w:lastColumn="0" w:noHBand="0" w:noVBand="1"/>
      </w:tblPr>
      <w:tblGrid>
        <w:gridCol w:w="9067"/>
        <w:gridCol w:w="293"/>
      </w:tblGrid>
      <w:tr w:rsidR="004D556D" w:rsidRPr="000F6CD1" w14:paraId="0C94282F" w14:textId="77777777" w:rsidTr="00097F05">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3D53C" w14:textId="77777777" w:rsidR="004D556D" w:rsidRPr="000F6CD1" w:rsidRDefault="004D556D" w:rsidP="00554F7E">
            <w:bookmarkStart w:id="480" w:name="_Toc209188994"/>
            <w:bookmarkStart w:id="481" w:name="_Toc198813681"/>
            <w:bookmarkStart w:id="482" w:name="_Toc204329564"/>
            <w:r w:rsidRPr="000F6CD1">
              <w:rPr>
                <w:b/>
                <w:color w:val="358189"/>
                <w:sz w:val="36"/>
                <w:szCs w:val="36"/>
              </w:rPr>
              <w:t>What you’ll find in this chapter</w:t>
            </w:r>
            <w:bookmarkEnd w:id="480"/>
            <w:r w:rsidRPr="000F6CD1">
              <w:rPr>
                <w:b/>
                <w:color w:val="358189"/>
                <w:sz w:val="36"/>
                <w:szCs w:val="36"/>
              </w:rPr>
              <w:t xml:space="preserve"> </w:t>
            </w:r>
          </w:p>
          <w:p w14:paraId="07A80B15" w14:textId="77777777" w:rsidR="004D556D" w:rsidRPr="000F6CD1" w:rsidRDefault="004D556D" w:rsidP="00A677C9">
            <w:pPr>
              <w:spacing w:before="240" w:after="240"/>
            </w:pPr>
            <w:r w:rsidRPr="000F6CD1">
              <w:t xml:space="preserve">This chapter includes important information about the aged care programs that can be recommended by assessors to meet an older person’s assessed needs and goals. It includes information about: </w:t>
            </w:r>
          </w:p>
          <w:p w14:paraId="141ADE56" w14:textId="77777777" w:rsidR="004D556D" w:rsidRPr="000F6CD1" w:rsidRDefault="004D556D">
            <w:pPr>
              <w:pStyle w:val="ListParagraph"/>
              <w:numPr>
                <w:ilvl w:val="0"/>
                <w:numId w:val="198"/>
              </w:numPr>
              <w:spacing w:before="240" w:after="240"/>
            </w:pPr>
            <w:r w:rsidRPr="000F6CD1">
              <w:t>Support at Home (Ongoing 1 – 8)</w:t>
            </w:r>
          </w:p>
          <w:p w14:paraId="65D03380" w14:textId="77777777" w:rsidR="004D556D" w:rsidRPr="000F6CD1" w:rsidRDefault="004D556D">
            <w:pPr>
              <w:pStyle w:val="ListParagraph"/>
              <w:numPr>
                <w:ilvl w:val="0"/>
                <w:numId w:val="198"/>
              </w:numPr>
              <w:spacing w:before="240" w:after="240"/>
            </w:pPr>
            <w:r w:rsidRPr="000F6CD1">
              <w:t>Support at Home (Restorative Care Pathway)</w:t>
            </w:r>
          </w:p>
          <w:p w14:paraId="7F54A06B" w14:textId="780D4F91" w:rsidR="004D556D" w:rsidRPr="000F6CD1" w:rsidRDefault="004D556D">
            <w:pPr>
              <w:pStyle w:val="ListParagraph"/>
              <w:numPr>
                <w:ilvl w:val="0"/>
                <w:numId w:val="198"/>
              </w:numPr>
              <w:spacing w:before="240" w:after="240"/>
            </w:pPr>
            <w:r w:rsidRPr="000F6CD1">
              <w:t>Support at Home (End-of-Life Pathway)</w:t>
            </w:r>
          </w:p>
          <w:p w14:paraId="6C9B30CA" w14:textId="24ACC862" w:rsidR="004D556D" w:rsidRPr="000F6CD1" w:rsidRDefault="004D556D">
            <w:pPr>
              <w:pStyle w:val="ListParagraph"/>
              <w:numPr>
                <w:ilvl w:val="0"/>
                <w:numId w:val="198"/>
              </w:numPr>
              <w:spacing w:before="240" w:after="240"/>
            </w:pPr>
            <w:r w:rsidRPr="000F6CD1">
              <w:t>Support at Home (Assistive Technology and Home Modifications (AT-HM scheme</w:t>
            </w:r>
          </w:p>
          <w:p w14:paraId="18ABA268" w14:textId="77777777" w:rsidR="004D556D" w:rsidRPr="000F6CD1" w:rsidRDefault="004D556D">
            <w:pPr>
              <w:pStyle w:val="ListParagraph"/>
              <w:numPr>
                <w:ilvl w:val="0"/>
                <w:numId w:val="198"/>
              </w:numPr>
              <w:spacing w:before="240" w:after="240"/>
            </w:pPr>
            <w:r w:rsidRPr="000F6CD1">
              <w:t>Commonwealth Home Support Program (CHSP)</w:t>
            </w:r>
          </w:p>
          <w:p w14:paraId="0B822E5A" w14:textId="77777777" w:rsidR="004D556D" w:rsidRPr="000F6CD1" w:rsidRDefault="004D556D">
            <w:pPr>
              <w:pStyle w:val="ListParagraph"/>
              <w:numPr>
                <w:ilvl w:val="0"/>
                <w:numId w:val="198"/>
              </w:numPr>
              <w:spacing w:before="240" w:after="240"/>
            </w:pPr>
            <w:r w:rsidRPr="000F6CD1">
              <w:t>National Aboriginal and Torres Strait Islander Flexible Aged Care Program (NATSIFACP)</w:t>
            </w:r>
          </w:p>
          <w:p w14:paraId="1C38D983" w14:textId="77777777" w:rsidR="004D556D" w:rsidRPr="000F6CD1" w:rsidRDefault="004D556D">
            <w:pPr>
              <w:pStyle w:val="ListParagraph"/>
              <w:numPr>
                <w:ilvl w:val="0"/>
                <w:numId w:val="198"/>
              </w:numPr>
              <w:spacing w:before="240" w:after="240"/>
            </w:pPr>
            <w:r w:rsidRPr="000F6CD1">
              <w:t>Multi-Purpose Service Program (MPSP)</w:t>
            </w:r>
          </w:p>
          <w:p w14:paraId="4BFD2D83" w14:textId="77777777" w:rsidR="004D556D" w:rsidRPr="000F6CD1" w:rsidRDefault="004D556D">
            <w:pPr>
              <w:pStyle w:val="ListParagraph"/>
              <w:numPr>
                <w:ilvl w:val="0"/>
                <w:numId w:val="198"/>
              </w:numPr>
              <w:spacing w:before="240" w:after="240"/>
            </w:pPr>
            <w:r w:rsidRPr="000F6CD1">
              <w:t>Transition Care Program (TCP)</w:t>
            </w:r>
          </w:p>
          <w:p w14:paraId="4AC7D9E6" w14:textId="77777777" w:rsidR="004D556D" w:rsidRPr="000F6CD1" w:rsidRDefault="004D556D">
            <w:pPr>
              <w:pStyle w:val="ListParagraph"/>
              <w:numPr>
                <w:ilvl w:val="0"/>
                <w:numId w:val="198"/>
              </w:numPr>
              <w:spacing w:before="240" w:after="240"/>
            </w:pPr>
            <w:r w:rsidRPr="000F6CD1">
              <w:t>Permanent residential care</w:t>
            </w:r>
          </w:p>
          <w:p w14:paraId="6FFF2830" w14:textId="77777777" w:rsidR="004D556D" w:rsidRPr="000F6CD1" w:rsidRDefault="004D556D">
            <w:pPr>
              <w:pStyle w:val="ListParagraph"/>
              <w:numPr>
                <w:ilvl w:val="0"/>
                <w:numId w:val="198"/>
              </w:numPr>
              <w:spacing w:before="240" w:after="240"/>
            </w:pPr>
            <w:r w:rsidRPr="000F6CD1">
              <w:t>Residential respite</w:t>
            </w:r>
          </w:p>
          <w:p w14:paraId="2AB5BF43" w14:textId="77777777" w:rsidR="004D556D" w:rsidRPr="000F6CD1" w:rsidRDefault="004D556D" w:rsidP="00A677C9">
            <w:pPr>
              <w:spacing w:before="240" w:after="240"/>
              <w:rPr>
                <w:rFonts w:eastAsia="Times New Roman"/>
              </w:rPr>
            </w:pPr>
          </w:p>
        </w:tc>
        <w:tc>
          <w:tcPr>
            <w:tcW w:w="293" w:type="dxa"/>
            <w:tcBorders>
              <w:left w:val="single" w:sz="4" w:space="0" w:color="auto"/>
            </w:tcBorders>
            <w:shd w:val="clear" w:color="auto" w:fill="F2F2F2" w:themeFill="background1" w:themeFillShade="F2"/>
          </w:tcPr>
          <w:p w14:paraId="197730B4" w14:textId="77777777" w:rsidR="004D556D" w:rsidRPr="000F6CD1" w:rsidRDefault="004D556D" w:rsidP="00A677C9">
            <w:pPr>
              <w:pStyle w:val="Heading2"/>
              <w:spacing w:before="240" w:after="240"/>
              <w:rPr>
                <w:rFonts w:ascii="Arial" w:hAnsi="Arial" w:cs="Arial"/>
              </w:rPr>
            </w:pPr>
          </w:p>
        </w:tc>
      </w:tr>
    </w:tbl>
    <w:p w14:paraId="2AD64ECB" w14:textId="0D7CE18E" w:rsidR="004D556D" w:rsidRPr="000F6CD1" w:rsidRDefault="00D63440" w:rsidP="006647CE">
      <w:pPr>
        <w:pStyle w:val="h2"/>
      </w:pPr>
      <w:bookmarkStart w:id="483" w:name="_Toc209188995"/>
      <w:bookmarkStart w:id="484" w:name="_Toc233282455"/>
      <w:r w:rsidRPr="000F6CD1">
        <w:rPr>
          <w:noProof/>
          <w:lang w:val="en-AU"/>
        </w:rPr>
        <w:drawing>
          <wp:anchor distT="0" distB="0" distL="114300" distR="114300" simplePos="0" relativeHeight="251658274" behindDoc="0" locked="0" layoutInCell="1" allowOverlap="1" wp14:anchorId="51DBEFE4" wp14:editId="7FF3EDCE">
            <wp:simplePos x="0" y="0"/>
            <wp:positionH relativeFrom="margin">
              <wp:posOffset>-19050</wp:posOffset>
            </wp:positionH>
            <wp:positionV relativeFrom="margin">
              <wp:posOffset>4404360</wp:posOffset>
            </wp:positionV>
            <wp:extent cx="457200" cy="502920"/>
            <wp:effectExtent l="0" t="0" r="0" b="0"/>
            <wp:wrapSquare wrapText="bothSides"/>
            <wp:docPr id="1907334620" name="Picture 1907334620"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34620" name="Picture 1907334620"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Support at Home - ongoing classifications 1-8</w:t>
      </w:r>
      <w:bookmarkEnd w:id="481"/>
      <w:bookmarkEnd w:id="482"/>
      <w:bookmarkEnd w:id="483"/>
      <w:bookmarkEnd w:id="484"/>
    </w:p>
    <w:p w14:paraId="7A9992AA" w14:textId="5D6BD951" w:rsidR="004D556D" w:rsidRPr="000F6CD1" w:rsidRDefault="004D556D" w:rsidP="00A677C9">
      <w:pPr>
        <w:spacing w:before="240" w:after="240" w:line="240" w:lineRule="auto"/>
      </w:pPr>
      <w:r w:rsidRPr="000F6CD1">
        <w:t xml:space="preserve">Support at Home improves on the four Home Care Package levels and consists of 8 ongoing classifications (1 – 8) with increasing levels of funding based on varying need in terms of the frequency and intensity of those services. </w:t>
      </w:r>
    </w:p>
    <w:p w14:paraId="407C3ABC" w14:textId="77777777" w:rsidR="004D556D" w:rsidRPr="000F6CD1" w:rsidRDefault="004D556D" w:rsidP="00A677C9">
      <w:pPr>
        <w:spacing w:before="240" w:after="240" w:line="240" w:lineRule="auto"/>
      </w:pPr>
      <w:r w:rsidRPr="000F6CD1">
        <w:t xml:space="preserve">Funding amounts for each Support at Home classification are outlined below. Note that these amounts include the funding for care management, are indicative and are subject to indexation revisions. </w:t>
      </w:r>
    </w:p>
    <w:p w14:paraId="78E60D58" w14:textId="77777777" w:rsidR="004D556D" w:rsidRPr="000F6CD1" w:rsidRDefault="004D556D" w:rsidP="00A677C9">
      <w:pPr>
        <w:spacing w:before="240" w:after="240" w:line="240" w:lineRule="auto"/>
      </w:pPr>
      <w:r w:rsidRPr="000F6CD1">
        <w:t xml:space="preserve">In addition, there are 3 short-term pathways which are part of the Support at Home program, and these are defined as stand-alone service groups under the Act: </w:t>
      </w:r>
    </w:p>
    <w:p w14:paraId="2C9ADB03" w14:textId="77777777" w:rsidR="004D556D" w:rsidRPr="000F6CD1" w:rsidRDefault="004D556D" w:rsidP="00DF3F6B">
      <w:pPr>
        <w:pStyle w:val="ListParagraph"/>
        <w:numPr>
          <w:ilvl w:val="0"/>
          <w:numId w:val="163"/>
        </w:numPr>
        <w:spacing w:before="240" w:after="240" w:line="240" w:lineRule="auto"/>
      </w:pPr>
      <w:r w:rsidRPr="000F6CD1">
        <w:t>Restorative Care Pathway</w:t>
      </w:r>
    </w:p>
    <w:p w14:paraId="4BD0C740" w14:textId="77777777" w:rsidR="004D556D" w:rsidRPr="000F6CD1" w:rsidRDefault="004D556D" w:rsidP="00DF3F6B">
      <w:pPr>
        <w:pStyle w:val="ListParagraph"/>
        <w:numPr>
          <w:ilvl w:val="0"/>
          <w:numId w:val="163"/>
        </w:numPr>
        <w:spacing w:before="240" w:after="240" w:line="240" w:lineRule="auto"/>
      </w:pPr>
      <w:r w:rsidRPr="000F6CD1">
        <w:t>End-of-Life Pathway</w:t>
      </w:r>
    </w:p>
    <w:p w14:paraId="2378AED4" w14:textId="77777777" w:rsidR="004D556D" w:rsidRPr="000F6CD1" w:rsidRDefault="004D556D" w:rsidP="00A677C9">
      <w:pPr>
        <w:pStyle w:val="ListParagraph"/>
        <w:numPr>
          <w:ilvl w:val="0"/>
          <w:numId w:val="163"/>
        </w:numPr>
        <w:spacing w:before="240" w:after="240" w:line="240" w:lineRule="auto"/>
      </w:pPr>
      <w:r w:rsidRPr="000F6CD1">
        <w:t xml:space="preserve">The Assistive Technology and Home Modifications (AT-HM) scheme. </w:t>
      </w:r>
    </w:p>
    <w:p w14:paraId="67D7C6EA" w14:textId="77777777" w:rsidR="004D556D" w:rsidRPr="000F6CD1" w:rsidRDefault="004D556D" w:rsidP="00CC562B">
      <w:pPr>
        <w:rPr>
          <w:b/>
          <w:iCs/>
          <w:color w:val="44546A" w:themeColor="text2"/>
          <w:sz w:val="21"/>
          <w:szCs w:val="18"/>
        </w:rPr>
      </w:pPr>
      <w:r w:rsidRPr="000F6CD1">
        <w:br w:type="page"/>
      </w:r>
    </w:p>
    <w:p w14:paraId="5BF6FF49" w14:textId="2AD5236A" w:rsidR="004D556D" w:rsidRPr="000F6CD1" w:rsidRDefault="004D556D">
      <w:pPr>
        <w:pStyle w:val="Caption"/>
        <w:spacing w:before="240" w:after="240"/>
      </w:pPr>
      <w:r w:rsidRPr="000F6CD1">
        <w:lastRenderedPageBreak/>
        <w:t>Table 24. Approximate budgets for Support at Home classifications</w:t>
      </w:r>
    </w:p>
    <w:p w14:paraId="2DAC6C29" w14:textId="77777777" w:rsidR="004D556D" w:rsidRPr="00582739" w:rsidRDefault="004D556D" w:rsidP="00A677C9">
      <w:pPr>
        <w:pStyle w:val="Caption"/>
        <w:spacing w:before="240" w:after="240"/>
        <w:rPr>
          <w:b w:val="0"/>
          <w:sz w:val="22"/>
          <w:szCs w:val="22"/>
        </w:rPr>
      </w:pPr>
      <w:r w:rsidRPr="005164D2">
        <w:rPr>
          <w:b w:val="0"/>
          <w:bCs/>
          <w:color w:val="000000" w:themeColor="text1"/>
          <w:sz w:val="22"/>
          <w:szCs w:val="22"/>
        </w:rPr>
        <w:t>The budget and annual amounts below are indicative, as indexation will occur on 1 July and 1 August 2026. For the latest budget information, please go to:</w:t>
      </w:r>
      <w:r w:rsidRPr="000F6CD1">
        <w:rPr>
          <w:b w:val="0"/>
          <w:bCs/>
          <w:sz w:val="22"/>
          <w:szCs w:val="22"/>
        </w:rPr>
        <w:t xml:space="preserve"> </w:t>
      </w:r>
      <w:hyperlink r:id="rId171" w:history="1">
        <w:r w:rsidRPr="000F6CD1">
          <w:rPr>
            <w:rStyle w:val="Hyperlink"/>
            <w:b w:val="0"/>
            <w:bCs/>
            <w:sz w:val="22"/>
            <w:szCs w:val="22"/>
          </w:rPr>
          <w:t>Schedules of Subsidies and Supplements for Aged Care | Australian Government Department of Health, Disability and Ageing</w:t>
        </w:r>
      </w:hyperlink>
    </w:p>
    <w:tbl>
      <w:tblPr>
        <w:tblStyle w:val="TableGrid"/>
        <w:tblW w:w="0" w:type="auto"/>
        <w:tblBorders>
          <w:bottom w:val="single" w:sz="4" w:space="0" w:color="auto"/>
          <w:insideH w:val="single" w:sz="4" w:space="0" w:color="auto"/>
        </w:tblBorders>
        <w:tblLook w:val="04A0" w:firstRow="1" w:lastRow="0" w:firstColumn="1" w:lastColumn="0" w:noHBand="0" w:noVBand="1"/>
        <w:tblCaption w:val="Budgets for Support at Home classifications"/>
      </w:tblPr>
      <w:tblGrid>
        <w:gridCol w:w="2689"/>
        <w:gridCol w:w="2835"/>
        <w:gridCol w:w="3492"/>
      </w:tblGrid>
      <w:tr w:rsidR="004D556D" w:rsidRPr="000F6CD1" w14:paraId="598C24E7" w14:textId="77777777">
        <w:trPr>
          <w:tblHeader/>
        </w:trPr>
        <w:tc>
          <w:tcPr>
            <w:tcW w:w="2689" w:type="dxa"/>
            <w:shd w:val="clear" w:color="auto" w:fill="002060"/>
          </w:tcPr>
          <w:p w14:paraId="4ABE362A" w14:textId="77777777" w:rsidR="004D556D" w:rsidRPr="000F6CD1" w:rsidRDefault="004D556D" w:rsidP="00A677C9">
            <w:pPr>
              <w:spacing w:before="240" w:after="240"/>
              <w:rPr>
                <w:b/>
                <w:color w:val="FFFFFF" w:themeColor="background1"/>
              </w:rPr>
            </w:pPr>
            <w:r w:rsidRPr="000F6CD1">
              <w:rPr>
                <w:b/>
                <w:color w:val="FFFFFF" w:themeColor="background1"/>
              </w:rPr>
              <w:t>Classification</w:t>
            </w:r>
          </w:p>
        </w:tc>
        <w:tc>
          <w:tcPr>
            <w:tcW w:w="2835" w:type="dxa"/>
            <w:shd w:val="clear" w:color="auto" w:fill="002060"/>
          </w:tcPr>
          <w:p w14:paraId="7E30B7DB" w14:textId="77777777" w:rsidR="004D556D" w:rsidRPr="000F6CD1" w:rsidRDefault="004D556D" w:rsidP="00A677C9">
            <w:pPr>
              <w:spacing w:before="240" w:after="240"/>
              <w:rPr>
                <w:b/>
                <w:color w:val="FFFFFF" w:themeColor="background1"/>
              </w:rPr>
            </w:pPr>
            <w:r w:rsidRPr="000F6CD1">
              <w:rPr>
                <w:b/>
                <w:color w:val="FFFFFF" w:themeColor="background1"/>
              </w:rPr>
              <w:t>Quarterly Budget</w:t>
            </w:r>
          </w:p>
        </w:tc>
        <w:tc>
          <w:tcPr>
            <w:tcW w:w="3492" w:type="dxa"/>
            <w:shd w:val="clear" w:color="auto" w:fill="002060"/>
          </w:tcPr>
          <w:p w14:paraId="2E0A3B27" w14:textId="77777777" w:rsidR="004D556D" w:rsidRPr="000F6CD1" w:rsidRDefault="004D556D" w:rsidP="00A677C9">
            <w:pPr>
              <w:spacing w:before="240" w:after="240"/>
              <w:rPr>
                <w:b/>
                <w:color w:val="FFFFFF" w:themeColor="background1"/>
              </w:rPr>
            </w:pPr>
            <w:r w:rsidRPr="000F6CD1">
              <w:rPr>
                <w:b/>
                <w:color w:val="FFFFFF" w:themeColor="background1"/>
              </w:rPr>
              <w:t>Annual Amount</w:t>
            </w:r>
          </w:p>
        </w:tc>
      </w:tr>
      <w:tr w:rsidR="004D556D" w:rsidRPr="000F6CD1" w14:paraId="46F1AE64" w14:textId="77777777">
        <w:tc>
          <w:tcPr>
            <w:tcW w:w="2689" w:type="dxa"/>
            <w:shd w:val="clear" w:color="auto" w:fill="002060"/>
          </w:tcPr>
          <w:p w14:paraId="707094AC" w14:textId="77777777" w:rsidR="004D556D" w:rsidRPr="000F6CD1" w:rsidRDefault="004D556D" w:rsidP="00A677C9">
            <w:pPr>
              <w:spacing w:before="240" w:after="240"/>
              <w:rPr>
                <w:color w:val="FFFFFF" w:themeColor="background1"/>
              </w:rPr>
            </w:pPr>
            <w:r w:rsidRPr="000F6CD1">
              <w:rPr>
                <w:color w:val="FFFFFF" w:themeColor="background1"/>
              </w:rPr>
              <w:t>1</w:t>
            </w:r>
          </w:p>
        </w:tc>
        <w:tc>
          <w:tcPr>
            <w:tcW w:w="2835" w:type="dxa"/>
          </w:tcPr>
          <w:p w14:paraId="2A0473C3" w14:textId="77777777" w:rsidR="004D556D" w:rsidRPr="000F6CD1" w:rsidRDefault="004D556D" w:rsidP="00A677C9">
            <w:pPr>
              <w:spacing w:before="240" w:after="240"/>
            </w:pPr>
            <w:r w:rsidRPr="000F6CD1">
              <w:t>$2,682.75</w:t>
            </w:r>
          </w:p>
        </w:tc>
        <w:tc>
          <w:tcPr>
            <w:tcW w:w="3492" w:type="dxa"/>
          </w:tcPr>
          <w:p w14:paraId="07D9BB43" w14:textId="77777777" w:rsidR="004D556D" w:rsidRPr="000F6CD1" w:rsidRDefault="004D556D" w:rsidP="00A677C9">
            <w:pPr>
              <w:spacing w:before="240" w:after="240"/>
            </w:pPr>
            <w:r w:rsidRPr="000F6CD1">
              <w:t>$10,731.00</w:t>
            </w:r>
          </w:p>
        </w:tc>
      </w:tr>
      <w:tr w:rsidR="004D556D" w:rsidRPr="000F6CD1" w14:paraId="6DFC2713" w14:textId="77777777">
        <w:tc>
          <w:tcPr>
            <w:tcW w:w="2689" w:type="dxa"/>
            <w:shd w:val="clear" w:color="auto" w:fill="002060"/>
          </w:tcPr>
          <w:p w14:paraId="40BBFCE2" w14:textId="77777777" w:rsidR="004D556D" w:rsidRPr="000F6CD1" w:rsidRDefault="004D556D" w:rsidP="00A677C9">
            <w:pPr>
              <w:spacing w:before="240" w:after="240"/>
              <w:rPr>
                <w:color w:val="FFFFFF" w:themeColor="background1"/>
              </w:rPr>
            </w:pPr>
            <w:r w:rsidRPr="000F6CD1">
              <w:rPr>
                <w:color w:val="FFFFFF" w:themeColor="background1"/>
              </w:rPr>
              <w:t>2</w:t>
            </w:r>
          </w:p>
        </w:tc>
        <w:tc>
          <w:tcPr>
            <w:tcW w:w="2835" w:type="dxa"/>
          </w:tcPr>
          <w:p w14:paraId="06E139AE" w14:textId="77777777" w:rsidR="004D556D" w:rsidRPr="000F6CD1" w:rsidRDefault="004D556D" w:rsidP="00A677C9">
            <w:pPr>
              <w:spacing w:before="240" w:after="240"/>
            </w:pPr>
            <w:r w:rsidRPr="000F6CD1">
              <w:t>$4,008.61</w:t>
            </w:r>
          </w:p>
        </w:tc>
        <w:tc>
          <w:tcPr>
            <w:tcW w:w="3492" w:type="dxa"/>
          </w:tcPr>
          <w:p w14:paraId="096E77F2" w14:textId="77777777" w:rsidR="004D556D" w:rsidRPr="000F6CD1" w:rsidRDefault="004D556D" w:rsidP="00A677C9">
            <w:pPr>
              <w:spacing w:before="240" w:after="240"/>
            </w:pPr>
            <w:r w:rsidRPr="000F6CD1">
              <w:t>$16,034.45</w:t>
            </w:r>
          </w:p>
        </w:tc>
      </w:tr>
      <w:tr w:rsidR="004D556D" w:rsidRPr="000F6CD1" w14:paraId="4769EF62" w14:textId="77777777">
        <w:tc>
          <w:tcPr>
            <w:tcW w:w="2689" w:type="dxa"/>
            <w:shd w:val="clear" w:color="auto" w:fill="002060"/>
          </w:tcPr>
          <w:p w14:paraId="7D73EB86" w14:textId="77777777" w:rsidR="004D556D" w:rsidRPr="000F6CD1" w:rsidRDefault="004D556D" w:rsidP="00A677C9">
            <w:pPr>
              <w:spacing w:before="240" w:after="240"/>
              <w:rPr>
                <w:color w:val="FFFFFF" w:themeColor="background1"/>
              </w:rPr>
            </w:pPr>
            <w:r w:rsidRPr="000F6CD1">
              <w:rPr>
                <w:color w:val="FFFFFF" w:themeColor="background1"/>
              </w:rPr>
              <w:t>3</w:t>
            </w:r>
          </w:p>
        </w:tc>
        <w:tc>
          <w:tcPr>
            <w:tcW w:w="2835" w:type="dxa"/>
          </w:tcPr>
          <w:p w14:paraId="631F7BF9" w14:textId="77777777" w:rsidR="004D556D" w:rsidRPr="000F6CD1" w:rsidRDefault="004D556D" w:rsidP="00A677C9">
            <w:pPr>
              <w:spacing w:before="240" w:after="240"/>
            </w:pPr>
            <w:r w:rsidRPr="000F6CD1">
              <w:t>$5,491.43</w:t>
            </w:r>
          </w:p>
        </w:tc>
        <w:tc>
          <w:tcPr>
            <w:tcW w:w="3492" w:type="dxa"/>
          </w:tcPr>
          <w:p w14:paraId="49E3E8E1" w14:textId="77777777" w:rsidR="004D556D" w:rsidRPr="000F6CD1" w:rsidRDefault="004D556D" w:rsidP="00A677C9">
            <w:pPr>
              <w:spacing w:before="240" w:after="240"/>
            </w:pPr>
            <w:r w:rsidRPr="000F6CD1">
              <w:t>$21,965.70</w:t>
            </w:r>
          </w:p>
        </w:tc>
      </w:tr>
      <w:tr w:rsidR="004D556D" w:rsidRPr="000F6CD1" w14:paraId="699E4CE7" w14:textId="77777777">
        <w:tc>
          <w:tcPr>
            <w:tcW w:w="2689" w:type="dxa"/>
            <w:shd w:val="clear" w:color="auto" w:fill="002060"/>
          </w:tcPr>
          <w:p w14:paraId="46114ECE" w14:textId="77777777" w:rsidR="004D556D" w:rsidRPr="000F6CD1" w:rsidRDefault="004D556D" w:rsidP="00A677C9">
            <w:pPr>
              <w:spacing w:before="240" w:after="240"/>
              <w:rPr>
                <w:color w:val="FFFFFF" w:themeColor="background1"/>
              </w:rPr>
            </w:pPr>
            <w:r w:rsidRPr="000F6CD1">
              <w:rPr>
                <w:color w:val="FFFFFF" w:themeColor="background1"/>
              </w:rPr>
              <w:t>4</w:t>
            </w:r>
          </w:p>
        </w:tc>
        <w:tc>
          <w:tcPr>
            <w:tcW w:w="2835" w:type="dxa"/>
          </w:tcPr>
          <w:p w14:paraId="21090443" w14:textId="77777777" w:rsidR="004D556D" w:rsidRPr="000F6CD1" w:rsidRDefault="004D556D" w:rsidP="00A677C9">
            <w:pPr>
              <w:spacing w:before="240" w:after="240"/>
            </w:pPr>
            <w:r w:rsidRPr="000F6CD1">
              <w:t>$7,424.10</w:t>
            </w:r>
          </w:p>
        </w:tc>
        <w:tc>
          <w:tcPr>
            <w:tcW w:w="3492" w:type="dxa"/>
          </w:tcPr>
          <w:p w14:paraId="71F5467E" w14:textId="77777777" w:rsidR="004D556D" w:rsidRPr="000F6CD1" w:rsidRDefault="004D556D" w:rsidP="00A677C9">
            <w:pPr>
              <w:spacing w:before="240" w:after="240"/>
            </w:pPr>
            <w:r w:rsidRPr="000F6CD1">
              <w:t>$29,696.40</w:t>
            </w:r>
          </w:p>
        </w:tc>
      </w:tr>
      <w:tr w:rsidR="004D556D" w:rsidRPr="000F6CD1" w14:paraId="6FDD11D1" w14:textId="77777777">
        <w:tc>
          <w:tcPr>
            <w:tcW w:w="2689" w:type="dxa"/>
            <w:shd w:val="clear" w:color="auto" w:fill="002060"/>
          </w:tcPr>
          <w:p w14:paraId="78F920F1" w14:textId="77777777" w:rsidR="004D556D" w:rsidRPr="000F6CD1" w:rsidRDefault="004D556D" w:rsidP="00A677C9">
            <w:pPr>
              <w:spacing w:before="240" w:after="240"/>
              <w:rPr>
                <w:color w:val="FFFFFF" w:themeColor="background1"/>
              </w:rPr>
            </w:pPr>
            <w:r w:rsidRPr="000F6CD1">
              <w:rPr>
                <w:color w:val="FFFFFF" w:themeColor="background1"/>
              </w:rPr>
              <w:t>5</w:t>
            </w:r>
          </w:p>
        </w:tc>
        <w:tc>
          <w:tcPr>
            <w:tcW w:w="2835" w:type="dxa"/>
          </w:tcPr>
          <w:p w14:paraId="0871B464" w14:textId="77777777" w:rsidR="004D556D" w:rsidRPr="000F6CD1" w:rsidRDefault="004D556D" w:rsidP="00A677C9">
            <w:pPr>
              <w:spacing w:before="240" w:after="240"/>
            </w:pPr>
            <w:r w:rsidRPr="000F6CD1">
              <w:t>$9,924.35</w:t>
            </w:r>
          </w:p>
        </w:tc>
        <w:tc>
          <w:tcPr>
            <w:tcW w:w="3492" w:type="dxa"/>
          </w:tcPr>
          <w:p w14:paraId="0D22171B" w14:textId="77777777" w:rsidR="004D556D" w:rsidRPr="000F6CD1" w:rsidRDefault="004D556D" w:rsidP="00A677C9">
            <w:pPr>
              <w:spacing w:before="240" w:after="240"/>
            </w:pPr>
            <w:r w:rsidRPr="000F6CD1">
              <w:t>$39,697.40</w:t>
            </w:r>
          </w:p>
        </w:tc>
      </w:tr>
      <w:tr w:rsidR="004D556D" w:rsidRPr="000F6CD1" w14:paraId="30517C7E" w14:textId="77777777">
        <w:tc>
          <w:tcPr>
            <w:tcW w:w="2689" w:type="dxa"/>
            <w:shd w:val="clear" w:color="auto" w:fill="002060"/>
          </w:tcPr>
          <w:p w14:paraId="0F0162CF" w14:textId="77777777" w:rsidR="004D556D" w:rsidRPr="000F6CD1" w:rsidRDefault="004D556D" w:rsidP="00A677C9">
            <w:pPr>
              <w:spacing w:before="240" w:after="240"/>
              <w:rPr>
                <w:color w:val="FFFFFF" w:themeColor="background1"/>
              </w:rPr>
            </w:pPr>
            <w:r w:rsidRPr="000F6CD1">
              <w:rPr>
                <w:color w:val="FFFFFF" w:themeColor="background1"/>
              </w:rPr>
              <w:t>6</w:t>
            </w:r>
          </w:p>
        </w:tc>
        <w:tc>
          <w:tcPr>
            <w:tcW w:w="2835" w:type="dxa"/>
          </w:tcPr>
          <w:p w14:paraId="4338579F" w14:textId="77777777" w:rsidR="004D556D" w:rsidRPr="000F6CD1" w:rsidRDefault="004D556D" w:rsidP="00A677C9">
            <w:pPr>
              <w:spacing w:before="240" w:after="240"/>
            </w:pPr>
            <w:r w:rsidRPr="000F6CD1">
              <w:t>$12,028.58</w:t>
            </w:r>
          </w:p>
        </w:tc>
        <w:tc>
          <w:tcPr>
            <w:tcW w:w="3492" w:type="dxa"/>
          </w:tcPr>
          <w:p w14:paraId="63863FFB" w14:textId="77777777" w:rsidR="004D556D" w:rsidRPr="000F6CD1" w:rsidRDefault="004D556D" w:rsidP="00A677C9">
            <w:pPr>
              <w:spacing w:before="240" w:after="240"/>
            </w:pPr>
            <w:r w:rsidRPr="000F6CD1">
              <w:t>$48,114.30</w:t>
            </w:r>
          </w:p>
        </w:tc>
      </w:tr>
      <w:tr w:rsidR="004D556D" w:rsidRPr="000F6CD1" w14:paraId="0ABA3556" w14:textId="77777777">
        <w:tc>
          <w:tcPr>
            <w:tcW w:w="2689" w:type="dxa"/>
            <w:shd w:val="clear" w:color="auto" w:fill="002060"/>
          </w:tcPr>
          <w:p w14:paraId="4121AE5D" w14:textId="77777777" w:rsidR="004D556D" w:rsidRPr="000F6CD1" w:rsidRDefault="004D556D" w:rsidP="00A677C9">
            <w:pPr>
              <w:spacing w:before="240" w:after="240"/>
              <w:rPr>
                <w:color w:val="FFFFFF" w:themeColor="background1"/>
              </w:rPr>
            </w:pPr>
            <w:r w:rsidRPr="000F6CD1">
              <w:rPr>
                <w:color w:val="FFFFFF" w:themeColor="background1"/>
              </w:rPr>
              <w:t>7</w:t>
            </w:r>
          </w:p>
        </w:tc>
        <w:tc>
          <w:tcPr>
            <w:tcW w:w="2835" w:type="dxa"/>
          </w:tcPr>
          <w:p w14:paraId="442AEF4A" w14:textId="77777777" w:rsidR="004D556D" w:rsidRPr="000F6CD1" w:rsidRDefault="004D556D" w:rsidP="00A677C9">
            <w:pPr>
              <w:spacing w:before="240" w:after="240"/>
            </w:pPr>
            <w:r w:rsidRPr="000F6CD1">
              <w:t>$14,537.04</w:t>
            </w:r>
          </w:p>
        </w:tc>
        <w:tc>
          <w:tcPr>
            <w:tcW w:w="3492" w:type="dxa"/>
          </w:tcPr>
          <w:p w14:paraId="3E2ACAFE" w14:textId="77777777" w:rsidR="004D556D" w:rsidRPr="000F6CD1" w:rsidRDefault="004D556D" w:rsidP="00A677C9">
            <w:pPr>
              <w:spacing w:before="240" w:after="240"/>
            </w:pPr>
            <w:r w:rsidRPr="000F6CD1">
              <w:t>$58,148.15</w:t>
            </w:r>
          </w:p>
        </w:tc>
      </w:tr>
      <w:tr w:rsidR="004D556D" w:rsidRPr="000F6CD1" w14:paraId="422C5D33" w14:textId="77777777">
        <w:tc>
          <w:tcPr>
            <w:tcW w:w="2689" w:type="dxa"/>
            <w:shd w:val="clear" w:color="auto" w:fill="002060"/>
          </w:tcPr>
          <w:p w14:paraId="249CED86" w14:textId="77777777" w:rsidR="004D556D" w:rsidRPr="000F6CD1" w:rsidRDefault="004D556D" w:rsidP="00A677C9">
            <w:pPr>
              <w:spacing w:before="240" w:after="240"/>
              <w:rPr>
                <w:color w:val="FFFFFF" w:themeColor="background1"/>
              </w:rPr>
            </w:pPr>
            <w:r w:rsidRPr="000F6CD1">
              <w:rPr>
                <w:color w:val="FFFFFF" w:themeColor="background1"/>
              </w:rPr>
              <w:t>8</w:t>
            </w:r>
          </w:p>
        </w:tc>
        <w:tc>
          <w:tcPr>
            <w:tcW w:w="2835" w:type="dxa"/>
          </w:tcPr>
          <w:p w14:paraId="3350F9E2" w14:textId="77777777" w:rsidR="004D556D" w:rsidRPr="000F6CD1" w:rsidRDefault="004D556D" w:rsidP="00A677C9">
            <w:pPr>
              <w:spacing w:before="240" w:after="240"/>
            </w:pPr>
            <w:r w:rsidRPr="000F6CD1">
              <w:t>$19,526.59</w:t>
            </w:r>
          </w:p>
        </w:tc>
        <w:tc>
          <w:tcPr>
            <w:tcW w:w="3492" w:type="dxa"/>
          </w:tcPr>
          <w:p w14:paraId="448F2287" w14:textId="77777777" w:rsidR="004D556D" w:rsidRPr="000F6CD1" w:rsidRDefault="004D556D" w:rsidP="00A677C9">
            <w:pPr>
              <w:spacing w:before="240" w:after="240"/>
            </w:pPr>
            <w:r w:rsidRPr="000F6CD1">
              <w:t>$78,106.35</w:t>
            </w:r>
          </w:p>
        </w:tc>
      </w:tr>
      <w:tr w:rsidR="004D556D" w:rsidRPr="000F6CD1" w14:paraId="6831381F" w14:textId="77777777">
        <w:tc>
          <w:tcPr>
            <w:tcW w:w="2689" w:type="dxa"/>
            <w:shd w:val="clear" w:color="auto" w:fill="002060"/>
          </w:tcPr>
          <w:p w14:paraId="3B00444C" w14:textId="77777777" w:rsidR="004D556D" w:rsidRPr="000F6CD1" w:rsidRDefault="004D556D" w:rsidP="00A677C9">
            <w:pPr>
              <w:spacing w:before="240" w:after="240"/>
              <w:rPr>
                <w:color w:val="FFFFFF" w:themeColor="background1"/>
              </w:rPr>
            </w:pPr>
            <w:r w:rsidRPr="000F6CD1">
              <w:rPr>
                <w:color w:val="FFFFFF" w:themeColor="background1"/>
              </w:rPr>
              <w:t>Restorative Care Pathway</w:t>
            </w:r>
          </w:p>
        </w:tc>
        <w:tc>
          <w:tcPr>
            <w:tcW w:w="6327" w:type="dxa"/>
            <w:gridSpan w:val="2"/>
          </w:tcPr>
          <w:p w14:paraId="1448D820" w14:textId="77777777" w:rsidR="004D556D" w:rsidRPr="000F6CD1" w:rsidRDefault="004D556D" w:rsidP="00A677C9">
            <w:pPr>
              <w:spacing w:before="240" w:after="240"/>
            </w:pPr>
            <w:r w:rsidRPr="000F6CD1">
              <w:t>$6,011.04 (up to 16 weeks)</w:t>
            </w:r>
          </w:p>
          <w:p w14:paraId="49980629" w14:textId="77777777" w:rsidR="004D556D" w:rsidRPr="000F6CD1" w:rsidRDefault="004D556D" w:rsidP="00A677C9">
            <w:pPr>
              <w:spacing w:before="240" w:after="240"/>
            </w:pPr>
            <w:r w:rsidRPr="000F6CD1">
              <w:t>May be increased to $12,000 when eligible and if units of funding are available</w:t>
            </w:r>
          </w:p>
        </w:tc>
      </w:tr>
      <w:tr w:rsidR="004D556D" w:rsidRPr="000F6CD1" w14:paraId="6E599A17" w14:textId="77777777">
        <w:tc>
          <w:tcPr>
            <w:tcW w:w="2689" w:type="dxa"/>
            <w:shd w:val="clear" w:color="auto" w:fill="002060"/>
          </w:tcPr>
          <w:p w14:paraId="4342E650" w14:textId="77777777" w:rsidR="004D556D" w:rsidRPr="000F6CD1" w:rsidRDefault="004D556D" w:rsidP="00A677C9">
            <w:pPr>
              <w:spacing w:before="240" w:after="240"/>
              <w:rPr>
                <w:color w:val="FFFFFF" w:themeColor="background1"/>
              </w:rPr>
            </w:pPr>
            <w:r w:rsidRPr="000F6CD1">
              <w:rPr>
                <w:color w:val="FFFFFF" w:themeColor="background1"/>
              </w:rPr>
              <w:t>End-of-Life Pathway</w:t>
            </w:r>
          </w:p>
        </w:tc>
        <w:tc>
          <w:tcPr>
            <w:tcW w:w="6327" w:type="dxa"/>
            <w:gridSpan w:val="2"/>
          </w:tcPr>
          <w:p w14:paraId="788A57DC" w14:textId="77777777" w:rsidR="004D556D" w:rsidRPr="000F6CD1" w:rsidRDefault="004D556D" w:rsidP="00A677C9">
            <w:pPr>
              <w:spacing w:before="240" w:after="240"/>
            </w:pPr>
            <w:r w:rsidRPr="000F6CD1">
              <w:t>$25,035.36 (up to 16 weeks)</w:t>
            </w:r>
          </w:p>
        </w:tc>
      </w:tr>
      <w:tr w:rsidR="004D556D" w:rsidRPr="000F6CD1" w14:paraId="6EFA1E07" w14:textId="77777777">
        <w:tc>
          <w:tcPr>
            <w:tcW w:w="2689" w:type="dxa"/>
            <w:shd w:val="clear" w:color="auto" w:fill="002060"/>
          </w:tcPr>
          <w:p w14:paraId="7E795844" w14:textId="77777777" w:rsidR="004D556D" w:rsidRPr="000F6CD1" w:rsidRDefault="004D556D" w:rsidP="00A677C9">
            <w:pPr>
              <w:spacing w:before="240" w:after="240"/>
              <w:rPr>
                <w:color w:val="FFFFFF" w:themeColor="background1"/>
              </w:rPr>
            </w:pPr>
            <w:r w:rsidRPr="000F6CD1">
              <w:rPr>
                <w:color w:val="FFFFFF" w:themeColor="background1"/>
              </w:rPr>
              <w:t>Assistive technology short-term (12months)</w:t>
            </w:r>
          </w:p>
        </w:tc>
        <w:tc>
          <w:tcPr>
            <w:tcW w:w="6327" w:type="dxa"/>
            <w:gridSpan w:val="2"/>
          </w:tcPr>
          <w:p w14:paraId="103C28E9" w14:textId="23C2FD1D" w:rsidR="004D556D" w:rsidRPr="000F6CD1" w:rsidRDefault="004D556D" w:rsidP="00A677C9">
            <w:pPr>
              <w:spacing w:before="240" w:after="240"/>
            </w:pPr>
            <w:r w:rsidRPr="000F6CD1">
              <w:t>Low ($500), medium ($2,000) and high ($15,000) funding tiers based on assessed need. A higher amount maybe approved with a valid prescription from a suitably qualified health professional. For progressive condition bundles, funding is available for 24 months (may be extended for another 24 months if required with declaration).</w:t>
            </w:r>
          </w:p>
        </w:tc>
      </w:tr>
      <w:tr w:rsidR="004D556D" w:rsidRPr="000F6CD1" w14:paraId="2BF5DEF0" w14:textId="77777777">
        <w:trPr>
          <w:trHeight w:val="300"/>
        </w:trPr>
        <w:tc>
          <w:tcPr>
            <w:tcW w:w="2689" w:type="dxa"/>
            <w:shd w:val="clear" w:color="auto" w:fill="002060"/>
          </w:tcPr>
          <w:p w14:paraId="0C5ED2E7" w14:textId="77777777" w:rsidR="004D556D" w:rsidRPr="000F6CD1" w:rsidRDefault="004D556D" w:rsidP="00A677C9">
            <w:pPr>
              <w:spacing w:before="240" w:after="240"/>
              <w:rPr>
                <w:color w:val="FFFFFF" w:themeColor="background1"/>
              </w:rPr>
            </w:pPr>
            <w:r w:rsidRPr="000F6CD1">
              <w:rPr>
                <w:color w:val="FFFFFF" w:themeColor="background1"/>
              </w:rPr>
              <w:t>Assistive technology</w:t>
            </w:r>
          </w:p>
          <w:p w14:paraId="2CCDB22C" w14:textId="77777777" w:rsidR="004D556D" w:rsidRPr="000F6CD1" w:rsidRDefault="004D556D" w:rsidP="00A677C9">
            <w:pPr>
              <w:spacing w:before="240" w:after="240"/>
              <w:rPr>
                <w:color w:val="FFFFFF" w:themeColor="background1"/>
              </w:rPr>
            </w:pPr>
            <w:r w:rsidRPr="000F6CD1">
              <w:rPr>
                <w:color w:val="FFFFFF" w:themeColor="background1"/>
              </w:rPr>
              <w:t>On-going</w:t>
            </w:r>
          </w:p>
        </w:tc>
        <w:tc>
          <w:tcPr>
            <w:tcW w:w="6327" w:type="dxa"/>
            <w:gridSpan w:val="2"/>
          </w:tcPr>
          <w:p w14:paraId="6A391C0C" w14:textId="77777777" w:rsidR="004D556D" w:rsidRPr="000F6CD1" w:rsidRDefault="004D556D" w:rsidP="00A677C9">
            <w:pPr>
              <w:spacing w:before="240" w:after="240"/>
            </w:pPr>
            <w:r w:rsidRPr="000F6CD1">
              <w:t>Assistance dogs $2,000 per year</w:t>
            </w:r>
          </w:p>
        </w:tc>
      </w:tr>
      <w:tr w:rsidR="004D556D" w:rsidRPr="000F6CD1" w14:paraId="45E4997C" w14:textId="77777777">
        <w:trPr>
          <w:trHeight w:val="300"/>
        </w:trPr>
        <w:tc>
          <w:tcPr>
            <w:tcW w:w="2689" w:type="dxa"/>
            <w:shd w:val="clear" w:color="auto" w:fill="002060"/>
          </w:tcPr>
          <w:p w14:paraId="12766A38" w14:textId="77777777" w:rsidR="004D556D" w:rsidRPr="000F6CD1" w:rsidRDefault="004D556D" w:rsidP="00A677C9">
            <w:pPr>
              <w:spacing w:before="240" w:after="240"/>
              <w:rPr>
                <w:color w:val="FFFFFF" w:themeColor="background1"/>
              </w:rPr>
            </w:pPr>
            <w:r w:rsidRPr="000F6CD1">
              <w:rPr>
                <w:color w:val="FFFFFF" w:themeColor="background1"/>
              </w:rPr>
              <w:lastRenderedPageBreak/>
              <w:t>Home modifications</w:t>
            </w:r>
          </w:p>
          <w:p w14:paraId="63D58F54" w14:textId="77777777" w:rsidR="004D556D" w:rsidRPr="000F6CD1" w:rsidRDefault="004D556D" w:rsidP="00A677C9">
            <w:pPr>
              <w:spacing w:before="240" w:after="240"/>
              <w:rPr>
                <w:color w:val="FFFFFF" w:themeColor="background1"/>
              </w:rPr>
            </w:pPr>
            <w:r w:rsidRPr="000F6CD1">
              <w:rPr>
                <w:color w:val="FFFFFF" w:themeColor="background1"/>
              </w:rPr>
              <w:t>Short-term (12 months)</w:t>
            </w:r>
          </w:p>
          <w:p w14:paraId="12E87112" w14:textId="77777777" w:rsidR="004D556D" w:rsidRPr="000F6CD1" w:rsidRDefault="004D556D" w:rsidP="00A677C9">
            <w:pPr>
              <w:spacing w:before="240" w:after="240"/>
              <w:rPr>
                <w:color w:val="FFFFFF" w:themeColor="background1"/>
              </w:rPr>
            </w:pPr>
          </w:p>
        </w:tc>
        <w:tc>
          <w:tcPr>
            <w:tcW w:w="6327" w:type="dxa"/>
            <w:gridSpan w:val="2"/>
          </w:tcPr>
          <w:p w14:paraId="7A467410" w14:textId="47663D8B" w:rsidR="004D556D" w:rsidRPr="000F6CD1" w:rsidRDefault="004D556D" w:rsidP="00A677C9">
            <w:pPr>
              <w:spacing w:before="240" w:after="240"/>
            </w:pPr>
            <w:r w:rsidRPr="000F6CD1">
              <w:t xml:space="preserve">Low ($500), medium ($2,000) and high ($15,000) funding tiers based on assessed need. </w:t>
            </w:r>
          </w:p>
          <w:p w14:paraId="7BDF7050" w14:textId="77777777" w:rsidR="004D556D" w:rsidRPr="000F6CD1" w:rsidRDefault="004D556D" w:rsidP="00A677C9">
            <w:pPr>
              <w:spacing w:before="240" w:after="240"/>
            </w:pPr>
            <w:r w:rsidRPr="000F6CD1">
              <w:t>Providers may apply for a funding tier time extension of an additional 12 months for HM high tier (24 months in total).</w:t>
            </w:r>
          </w:p>
        </w:tc>
      </w:tr>
    </w:tbl>
    <w:p w14:paraId="6DE0FD97" w14:textId="77777777" w:rsidR="004D556D" w:rsidRPr="000F6CD1" w:rsidRDefault="004D556D" w:rsidP="00A677C9">
      <w:pPr>
        <w:spacing w:before="240" w:after="240" w:line="240" w:lineRule="auto"/>
      </w:pPr>
      <w:r w:rsidRPr="000F6CD1">
        <w:t>A participant’s annual Support at Home budget is divided into quarterly (3-monthly) budgets. Older people receiving Support at Home (known as participants) can carry over unspent funds of up to $1,000 or 10% of the quarterly budget (whichever is greater) from one quarter to the next.</w:t>
      </w:r>
    </w:p>
    <w:p w14:paraId="6B6D77FF" w14:textId="77777777" w:rsidR="004D556D" w:rsidRPr="000F6CD1" w:rsidRDefault="004D556D" w:rsidP="00A677C9">
      <w:pPr>
        <w:spacing w:before="240" w:after="240" w:line="240" w:lineRule="auto"/>
      </w:pPr>
      <w:r w:rsidRPr="000F6CD1">
        <w:t>These budgets are segmented into quarterly allocations to provide tailored support based on the participant's classification.</w:t>
      </w:r>
    </w:p>
    <w:p w14:paraId="61A17270" w14:textId="77777777" w:rsidR="004D556D" w:rsidRPr="000F6CD1" w:rsidRDefault="004D556D" w:rsidP="00A677C9">
      <w:pPr>
        <w:spacing w:before="240" w:after="240" w:line="240" w:lineRule="auto"/>
      </w:pPr>
      <w:r w:rsidRPr="000F6CD1">
        <w:t>Ten percent (10%) will be deducted from each participant's quarterly budget for care management delivered by their service provider. Care management involves:</w:t>
      </w:r>
    </w:p>
    <w:p w14:paraId="09B015D2" w14:textId="77777777" w:rsidR="004D556D" w:rsidRPr="000F6CD1" w:rsidRDefault="004D556D" w:rsidP="00DF3F6B">
      <w:pPr>
        <w:pStyle w:val="ListParagraph"/>
        <w:numPr>
          <w:ilvl w:val="0"/>
          <w:numId w:val="150"/>
        </w:numPr>
        <w:spacing w:before="240" w:after="240" w:line="240" w:lineRule="auto"/>
      </w:pPr>
      <w:r w:rsidRPr="000F6CD1">
        <w:t>planning and coordinating services</w:t>
      </w:r>
    </w:p>
    <w:p w14:paraId="4341D8AE" w14:textId="77777777" w:rsidR="004D556D" w:rsidRPr="000F6CD1" w:rsidRDefault="004D556D" w:rsidP="00DF3F6B">
      <w:pPr>
        <w:pStyle w:val="ListParagraph"/>
        <w:numPr>
          <w:ilvl w:val="0"/>
          <w:numId w:val="150"/>
        </w:numPr>
        <w:spacing w:before="240" w:after="240" w:line="240" w:lineRule="auto"/>
      </w:pPr>
      <w:r w:rsidRPr="000F6CD1">
        <w:t>checking in with participants to ensure they are being well supported</w:t>
      </w:r>
    </w:p>
    <w:p w14:paraId="50225850" w14:textId="77777777" w:rsidR="004D556D" w:rsidRPr="000F6CD1" w:rsidRDefault="004D556D" w:rsidP="00DF3F6B">
      <w:pPr>
        <w:pStyle w:val="ListParagraph"/>
        <w:numPr>
          <w:ilvl w:val="0"/>
          <w:numId w:val="150"/>
        </w:numPr>
        <w:spacing w:before="240" w:after="240" w:line="240" w:lineRule="auto"/>
      </w:pPr>
      <w:r w:rsidRPr="000F6CD1">
        <w:t>clinical advice and practical support to address any changes in need or issues that arise</w:t>
      </w:r>
    </w:p>
    <w:p w14:paraId="50A2CB61" w14:textId="77777777" w:rsidR="004D556D" w:rsidRPr="000F6CD1" w:rsidRDefault="004D556D" w:rsidP="00DF3F6B">
      <w:pPr>
        <w:pStyle w:val="ListParagraph"/>
        <w:numPr>
          <w:ilvl w:val="0"/>
          <w:numId w:val="150"/>
        </w:numPr>
        <w:spacing w:before="240" w:after="240" w:line="240" w:lineRule="auto"/>
      </w:pPr>
      <w:r w:rsidRPr="000F6CD1">
        <w:rPr>
          <w:bCs/>
          <w:noProof/>
        </w:rPr>
        <w:drawing>
          <wp:anchor distT="0" distB="0" distL="114300" distR="114300" simplePos="0" relativeHeight="251658258" behindDoc="0" locked="0" layoutInCell="1" allowOverlap="1" wp14:anchorId="1938A67C" wp14:editId="0083431D">
            <wp:simplePos x="0" y="0"/>
            <wp:positionH relativeFrom="margin">
              <wp:posOffset>38911</wp:posOffset>
            </wp:positionH>
            <wp:positionV relativeFrom="paragraph">
              <wp:posOffset>224533</wp:posOffset>
            </wp:positionV>
            <wp:extent cx="457200" cy="502920"/>
            <wp:effectExtent l="0" t="0" r="0" b="0"/>
            <wp:wrapSquare wrapText="bothSides"/>
            <wp:docPr id="1999565050" name="Picture 1999565050"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65050" name="Picture 1999565050"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0F6CD1">
        <w:t>providing support and education where needed.</w:t>
      </w:r>
    </w:p>
    <w:p w14:paraId="10612BAC" w14:textId="77777777" w:rsidR="004D556D" w:rsidRPr="000F6CD1" w:rsidRDefault="004D556D">
      <w:pPr>
        <w:pStyle w:val="H4"/>
      </w:pPr>
      <w:r w:rsidRPr="000F6CD1">
        <w:t>Support at Home funding and finding a provider</w:t>
      </w:r>
    </w:p>
    <w:p w14:paraId="7AD51A61" w14:textId="1546826D" w:rsidR="004D556D" w:rsidRPr="000F6CD1" w:rsidRDefault="004D556D" w:rsidP="00B1522B">
      <w:pPr>
        <w:spacing w:before="240" w:after="240" w:line="240" w:lineRule="auto"/>
      </w:pPr>
      <w:r w:rsidRPr="000F6CD1">
        <w:t>Participants will receive a letter notifying them when funding (including interim funding) becomes available and is allocated. Participants have 56 calendar days from the date their funding was allocated to find a provider and enter a service agreement. They can contact My Aged Care to request a 28-day extension if required, giving them a total of 84 calendar days to enter a service agreement.</w:t>
      </w:r>
    </w:p>
    <w:p w14:paraId="3756A005" w14:textId="149D76D8" w:rsidR="004D556D" w:rsidRPr="000F6CD1" w:rsidRDefault="004D556D" w:rsidP="47BC12B3">
      <w:pPr>
        <w:spacing w:before="240" w:after="240" w:line="240" w:lineRule="auto"/>
      </w:pPr>
      <w:r w:rsidRPr="000F6CD1">
        <w:t xml:space="preserve">A participant’s Support at Home funding will be withdrawn if they have not entered a service agreement within 56 calendar days (or 84 days with an extension). This means funding for their classification is no longer available and providers cannot provide government-funded services. </w:t>
      </w:r>
    </w:p>
    <w:p w14:paraId="1145BC22" w14:textId="77777777" w:rsidR="004D556D" w:rsidRPr="000F6CD1" w:rsidRDefault="004D556D" w:rsidP="47BC12B3">
      <w:pPr>
        <w:spacing w:before="240" w:after="240" w:line="240" w:lineRule="auto"/>
      </w:pPr>
      <w:r w:rsidRPr="000F6CD1">
        <w:t>If the participant later decides they want to receive Support at Home services, they need to re-join the Support at Home Priority System by contacting My Aged Care. People who re-join the Support at Home Priority System will have their date of entry recorded as the date they were originally approved for Support at Home. Refer to Page 54 of the Support at Home program manual for more information.</w:t>
      </w:r>
    </w:p>
    <w:tbl>
      <w:tblPr>
        <w:tblStyle w:val="TableGrid"/>
        <w:tblW w:w="0" w:type="auto"/>
        <w:tblLook w:val="04A0" w:firstRow="1" w:lastRow="0" w:firstColumn="1" w:lastColumn="0" w:noHBand="0" w:noVBand="1"/>
      </w:tblPr>
      <w:tblGrid>
        <w:gridCol w:w="988"/>
        <w:gridCol w:w="8028"/>
      </w:tblGrid>
      <w:tr w:rsidR="004D556D" w:rsidRPr="000F6CD1" w14:paraId="6BAF3C07" w14:textId="77777777">
        <w:trPr>
          <w:trHeight w:val="300"/>
        </w:trPr>
        <w:tc>
          <w:tcPr>
            <w:tcW w:w="988" w:type="dxa"/>
          </w:tcPr>
          <w:p w14:paraId="3B4F0F70" w14:textId="77777777" w:rsidR="004D556D" w:rsidRPr="000F6CD1" w:rsidRDefault="004D556D" w:rsidP="00A677C9">
            <w:pPr>
              <w:spacing w:before="240" w:after="240"/>
            </w:pPr>
            <w:r w:rsidRPr="000F6CD1">
              <w:rPr>
                <w:noProof/>
              </w:rPr>
              <w:drawing>
                <wp:inline distT="0" distB="0" distL="0" distR="0" wp14:anchorId="17F95908" wp14:editId="53D93B75">
                  <wp:extent cx="447675" cy="438150"/>
                  <wp:effectExtent l="0" t="0" r="0" b="0"/>
                  <wp:docPr id="605718308" name="Picture 60571830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6310002C" w14:textId="77777777" w:rsidR="004D556D" w:rsidRPr="000F6CD1" w:rsidRDefault="004D556D" w:rsidP="00A677C9">
            <w:pPr>
              <w:spacing w:before="240" w:after="240"/>
            </w:pPr>
          </w:p>
          <w:p w14:paraId="77E37292" w14:textId="77777777" w:rsidR="004D556D" w:rsidRPr="000F6CD1" w:rsidRDefault="004D556D" w:rsidP="00A677C9">
            <w:pPr>
              <w:spacing w:before="240" w:after="240"/>
            </w:pPr>
            <w:hyperlink r:id="rId172">
              <w:r w:rsidRPr="000F6CD1">
                <w:rPr>
                  <w:rStyle w:val="Hyperlink"/>
                </w:rPr>
                <w:t>Support at Home Program Manual</w:t>
              </w:r>
            </w:hyperlink>
            <w:r w:rsidRPr="000F6CD1">
              <w:t xml:space="preserve">  </w:t>
            </w:r>
          </w:p>
        </w:tc>
      </w:tr>
    </w:tbl>
    <w:p w14:paraId="7B8365D6" w14:textId="31E6C9E3" w:rsidR="00806A21" w:rsidRDefault="00806A21" w:rsidP="00806A21"/>
    <w:p w14:paraId="32CB0760" w14:textId="72B6219D" w:rsidR="00806A21" w:rsidRDefault="00806A21" w:rsidP="00806A21">
      <w:r>
        <w:br w:type="page"/>
      </w:r>
    </w:p>
    <w:p w14:paraId="3C9ED573" w14:textId="6BB17B16" w:rsidR="004D556D" w:rsidRPr="000F6CD1" w:rsidRDefault="00BA4C87" w:rsidP="00806A21">
      <w:pPr>
        <w:pStyle w:val="Sub-headings"/>
      </w:pPr>
      <w:r>
        <w:lastRenderedPageBreak/>
        <w:t xml:space="preserve">Note: </w:t>
      </w:r>
      <w:r w:rsidR="004D556D" w:rsidRPr="000F6CD1">
        <w:t>An Assessor’s role in budget planning and contributions</w:t>
      </w:r>
    </w:p>
    <w:p w14:paraId="346F6ED3" w14:textId="77777777" w:rsidR="004D556D" w:rsidRPr="000F6CD1" w:rsidRDefault="004D556D" w:rsidP="00806A21">
      <w:pPr>
        <w:pStyle w:val="Sub-headings"/>
      </w:pPr>
      <w:r w:rsidRPr="000F6CD1">
        <w:t xml:space="preserve">Assessors are not expected to develop detailed budget plans or explain contributions with Support at Home participants. The assessor may wish to give a high-level overview based on the information in this guidance document and direct their client to the Support at Home fee estimator tool. </w:t>
      </w:r>
    </w:p>
    <w:p w14:paraId="31FB6A85" w14:textId="77777777" w:rsidR="004D556D" w:rsidRPr="000F6CD1" w:rsidRDefault="004D556D" w:rsidP="00806A21">
      <w:pPr>
        <w:pStyle w:val="Sub-headings"/>
      </w:pPr>
      <w:r w:rsidRPr="000F6CD1">
        <w:t xml:space="preserve">A full fee estimator is available via the department’s website </w:t>
      </w:r>
      <w:hyperlink r:id="rId173" w:history="1">
        <w:r w:rsidRPr="000F6CD1">
          <w:rPr>
            <w:rStyle w:val="Hyperlink"/>
          </w:rPr>
          <w:t>myagedcare.gov.au/support-at-home-fee-estimator</w:t>
        </w:r>
      </w:hyperlink>
      <w:r w:rsidRPr="000F6CD1">
        <w:t>. This tool will allow people to plan budgets and estimate their contributions.</w:t>
      </w:r>
    </w:p>
    <w:p w14:paraId="463F6799" w14:textId="46084A30" w:rsidR="004D556D" w:rsidRDefault="004D556D" w:rsidP="00806A21">
      <w:pPr>
        <w:pStyle w:val="Sub-headings"/>
      </w:pPr>
      <w:r w:rsidRPr="000F6CD1">
        <w:t>The assessor should emphasise that there will be an opportunity to discuss contributions further with their registered provider’s care partner. A budget must be developed between the participant and their provider alongside the development of the care plan. The budget must outline how funding for participant’s ongoing and/or short-term services will be spent in relation to the types and frequency of services outlined in their care plan, as well as any contributions for services to be delivered.</w:t>
      </w:r>
    </w:p>
    <w:p w14:paraId="5633717E" w14:textId="4712EA47" w:rsidR="00806A21" w:rsidRPr="000F6CD1" w:rsidRDefault="00806A21" w:rsidP="00806A21">
      <w:r w:rsidRPr="000F6CD1">
        <w:rPr>
          <w:bCs/>
          <w:noProof/>
        </w:rPr>
        <w:drawing>
          <wp:anchor distT="0" distB="0" distL="114300" distR="114300" simplePos="0" relativeHeight="251658271" behindDoc="0" locked="0" layoutInCell="1" allowOverlap="1" wp14:anchorId="3403C961" wp14:editId="3C33FFE6">
            <wp:simplePos x="0" y="0"/>
            <wp:positionH relativeFrom="margin">
              <wp:align>left</wp:align>
            </wp:positionH>
            <wp:positionV relativeFrom="margin">
              <wp:posOffset>2924175</wp:posOffset>
            </wp:positionV>
            <wp:extent cx="457200" cy="502920"/>
            <wp:effectExtent l="0" t="0" r="0" b="0"/>
            <wp:wrapSquare wrapText="bothSides"/>
            <wp:docPr id="14932095" name="Picture 14932095"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095" name="Picture 14932095" descr="A bell with an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p>
    <w:p w14:paraId="09763951" w14:textId="77777777" w:rsidR="004D556D" w:rsidRPr="000F6CD1" w:rsidRDefault="004D556D" w:rsidP="00AD2CE5">
      <w:pPr>
        <w:pStyle w:val="H3"/>
        <w:rPr>
          <w:i/>
        </w:rPr>
      </w:pPr>
      <w:r w:rsidRPr="000F6CD1">
        <w:t>The Support at Home Priority System</w:t>
      </w:r>
    </w:p>
    <w:p w14:paraId="17819F03" w14:textId="72BD1A05" w:rsidR="004D556D" w:rsidRPr="000F6CD1" w:rsidRDefault="004D556D" w:rsidP="00A677C9">
      <w:pPr>
        <w:spacing w:before="240" w:after="240" w:line="240" w:lineRule="auto"/>
      </w:pPr>
      <w:r w:rsidRPr="000F6CD1">
        <w:t xml:space="preserve">An older person approved for Support at Home classifications 1 to 8 will enter the Support at Home Priority System in one of its four priority categories: </w:t>
      </w:r>
    </w:p>
    <w:p w14:paraId="62BDED9C" w14:textId="77777777" w:rsidR="004D556D" w:rsidRPr="000F6CD1" w:rsidRDefault="004D556D" w:rsidP="00DF3F6B">
      <w:pPr>
        <w:pStyle w:val="ListParagraph"/>
        <w:numPr>
          <w:ilvl w:val="0"/>
          <w:numId w:val="104"/>
        </w:numPr>
        <w:spacing w:before="240" w:after="240" w:line="240" w:lineRule="auto"/>
      </w:pPr>
      <w:r w:rsidRPr="000F6CD1">
        <w:t>Urgent</w:t>
      </w:r>
    </w:p>
    <w:p w14:paraId="2B516A5E" w14:textId="77777777" w:rsidR="004D556D" w:rsidRPr="000F6CD1" w:rsidRDefault="004D556D" w:rsidP="00DF3F6B">
      <w:pPr>
        <w:pStyle w:val="ListParagraph"/>
        <w:numPr>
          <w:ilvl w:val="0"/>
          <w:numId w:val="104"/>
        </w:numPr>
        <w:spacing w:before="240" w:after="240" w:line="240" w:lineRule="auto"/>
      </w:pPr>
      <w:r w:rsidRPr="000F6CD1">
        <w:t>High</w:t>
      </w:r>
    </w:p>
    <w:p w14:paraId="6D6A52D1" w14:textId="77777777" w:rsidR="004D556D" w:rsidRPr="000F6CD1" w:rsidRDefault="004D556D" w:rsidP="00DF3F6B">
      <w:pPr>
        <w:pStyle w:val="ListParagraph"/>
        <w:numPr>
          <w:ilvl w:val="0"/>
          <w:numId w:val="104"/>
        </w:numPr>
        <w:spacing w:before="240" w:after="240" w:line="240" w:lineRule="auto"/>
      </w:pPr>
      <w:r w:rsidRPr="000F6CD1">
        <w:t>Medium</w:t>
      </w:r>
    </w:p>
    <w:p w14:paraId="22F7FE62" w14:textId="77777777" w:rsidR="004D556D" w:rsidRPr="000F6CD1" w:rsidRDefault="004D556D" w:rsidP="00DF3F6B">
      <w:pPr>
        <w:pStyle w:val="ListParagraph"/>
        <w:numPr>
          <w:ilvl w:val="0"/>
          <w:numId w:val="104"/>
        </w:numPr>
        <w:spacing w:before="240" w:after="240" w:line="240" w:lineRule="auto"/>
      </w:pPr>
      <w:r w:rsidRPr="000F6CD1">
        <w:t>Standard</w:t>
      </w:r>
    </w:p>
    <w:p w14:paraId="1EE6C328" w14:textId="436CD0C7" w:rsidR="004D556D" w:rsidRPr="000F6CD1" w:rsidRDefault="004D556D" w:rsidP="00A677C9">
      <w:pPr>
        <w:spacing w:before="240" w:after="240" w:line="240" w:lineRule="auto"/>
      </w:pPr>
      <w:r w:rsidRPr="000F6CD1">
        <w:t>An older person’s priority category is determined using a prioritisation algorithm. The prioritisation algorithm uses a standardised set of seven criteria from the IAT and the client’s record to place an older person in one of the four priority categories. The amount of time the older person waits to receive their funding will depend on the priority category they are given. The priority category will be displayed under ‘Approvals for a Client’ in the Assessor Portal.</w:t>
      </w:r>
    </w:p>
    <w:p w14:paraId="15D988EF" w14:textId="40923D68" w:rsidR="004D556D" w:rsidRPr="000F6CD1" w:rsidRDefault="004D556D" w:rsidP="00A677C9">
      <w:pPr>
        <w:spacing w:before="240" w:after="240" w:line="240" w:lineRule="auto"/>
      </w:pPr>
      <w:r w:rsidRPr="000F6CD1">
        <w:t>The system will automatically recalculate an older person’s priority category (if required) when changes are made to the following fields in their client profile:</w:t>
      </w:r>
    </w:p>
    <w:p w14:paraId="55670387" w14:textId="77777777" w:rsidR="004D556D" w:rsidRPr="000F6CD1" w:rsidRDefault="004D556D" w:rsidP="00DF3F6B">
      <w:pPr>
        <w:pStyle w:val="ListParagraph"/>
        <w:numPr>
          <w:ilvl w:val="0"/>
          <w:numId w:val="162"/>
        </w:numPr>
        <w:spacing w:before="240" w:after="240" w:line="240" w:lineRule="auto"/>
      </w:pPr>
      <w:r w:rsidRPr="000F6CD1">
        <w:t>Accommodation type</w:t>
      </w:r>
    </w:p>
    <w:p w14:paraId="6BFF2F8D" w14:textId="454A93D3" w:rsidR="004D556D" w:rsidRPr="000F6CD1" w:rsidRDefault="004D556D" w:rsidP="00DF3F6B">
      <w:pPr>
        <w:pStyle w:val="ListParagraph"/>
        <w:numPr>
          <w:ilvl w:val="0"/>
          <w:numId w:val="162"/>
        </w:numPr>
        <w:spacing w:before="240" w:after="240" w:line="240" w:lineRule="auto"/>
      </w:pPr>
      <w:r w:rsidRPr="000F6CD1" w:rsidDel="00EB0C51">
        <w:t>No fixed address</w:t>
      </w:r>
    </w:p>
    <w:p w14:paraId="37D02870" w14:textId="77777777" w:rsidR="004D556D" w:rsidRPr="000F6CD1" w:rsidRDefault="004D556D" w:rsidP="00DF3F6B">
      <w:pPr>
        <w:pStyle w:val="ListParagraph"/>
        <w:numPr>
          <w:ilvl w:val="0"/>
          <w:numId w:val="162"/>
        </w:numPr>
        <w:spacing w:before="240" w:after="240" w:line="240" w:lineRule="auto"/>
      </w:pPr>
      <w:r w:rsidRPr="000F6CD1">
        <w:t>Lives with</w:t>
      </w:r>
    </w:p>
    <w:p w14:paraId="47AC2009" w14:textId="77777777" w:rsidR="004D556D" w:rsidRPr="000F6CD1" w:rsidRDefault="004D556D" w:rsidP="00DF3F6B">
      <w:pPr>
        <w:pStyle w:val="ListParagraph"/>
        <w:numPr>
          <w:ilvl w:val="0"/>
          <w:numId w:val="162"/>
        </w:numPr>
        <w:spacing w:before="240" w:after="240" w:line="240" w:lineRule="auto"/>
      </w:pPr>
      <w:r w:rsidRPr="000F6CD1">
        <w:t>Aboriginal and Torres Strait Islander Status</w:t>
      </w:r>
    </w:p>
    <w:p w14:paraId="469EB32D" w14:textId="4A9CB059" w:rsidR="00806A21" w:rsidRDefault="004D556D" w:rsidP="00A677C9">
      <w:pPr>
        <w:spacing w:before="240" w:after="240" w:line="240" w:lineRule="auto"/>
      </w:pPr>
      <w:r w:rsidRPr="000F6CD1">
        <w:t xml:space="preserve">An older person can request to be set as ‘seeking services’ or ‘not seeking services’ at any point. This can be done by contacting My Aged Care, or by using the My Aged Care Online Account. </w:t>
      </w:r>
    </w:p>
    <w:p w14:paraId="0D694F7B" w14:textId="77777777" w:rsidR="00806A21" w:rsidRDefault="00806A21">
      <w:r>
        <w:br w:type="page"/>
      </w:r>
    </w:p>
    <w:p w14:paraId="6483CDE0" w14:textId="132BFE79" w:rsidR="004D556D" w:rsidRPr="000F6CD1" w:rsidRDefault="00806A21" w:rsidP="00A677C9">
      <w:pPr>
        <w:spacing w:before="240" w:after="240" w:line="240" w:lineRule="auto"/>
      </w:pPr>
      <w:r>
        <w:rPr>
          <w:noProof/>
          <w14:ligatures w14:val="standardContextual"/>
        </w:rPr>
        <w:lastRenderedPageBreak/>
        <w:drawing>
          <wp:anchor distT="0" distB="0" distL="114300" distR="114300" simplePos="0" relativeHeight="251658265" behindDoc="0" locked="0" layoutInCell="1" allowOverlap="1" wp14:anchorId="307DBFAA" wp14:editId="3C78E1D6">
            <wp:simplePos x="0" y="0"/>
            <wp:positionH relativeFrom="margin">
              <wp:posOffset>-76200</wp:posOffset>
            </wp:positionH>
            <wp:positionV relativeFrom="margin">
              <wp:posOffset>190500</wp:posOffset>
            </wp:positionV>
            <wp:extent cx="365792" cy="403895"/>
            <wp:effectExtent l="0" t="0" r="0" b="0"/>
            <wp:wrapSquare wrapText="bothSides"/>
            <wp:docPr id="1909857497"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57497"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p>
    <w:p w14:paraId="514CABD9" w14:textId="77777777" w:rsidR="004D556D" w:rsidRPr="000F6CD1" w:rsidRDefault="004D556D" w:rsidP="006647CE">
      <w:pPr>
        <w:pStyle w:val="h2"/>
      </w:pPr>
      <w:bookmarkStart w:id="485" w:name="_Toc198813682"/>
      <w:bookmarkStart w:id="486" w:name="_Toc204329565"/>
      <w:bookmarkStart w:id="487" w:name="_Toc209188996"/>
      <w:bookmarkStart w:id="488" w:name="_Toc233282456"/>
      <w:r w:rsidRPr="000F6CD1">
        <w:t>Support at Home - Restorative Care Pathway</w:t>
      </w:r>
      <w:bookmarkEnd w:id="485"/>
      <w:bookmarkEnd w:id="486"/>
      <w:bookmarkEnd w:id="487"/>
      <w:bookmarkEnd w:id="488"/>
    </w:p>
    <w:p w14:paraId="05699042" w14:textId="36A2EC86" w:rsidR="004D556D" w:rsidRPr="000F6CD1" w:rsidRDefault="004D556D" w:rsidP="00A677C9">
      <w:pPr>
        <w:spacing w:before="240" w:after="240" w:line="240" w:lineRule="auto"/>
      </w:pPr>
      <w:r w:rsidRPr="000F6CD1">
        <w:t>The Restorative Care Pathway (RCP) is designed to provide early intervention support to older people by:  </w:t>
      </w:r>
    </w:p>
    <w:p w14:paraId="3DCFE115" w14:textId="77777777" w:rsidR="004D556D" w:rsidRPr="000F6CD1" w:rsidRDefault="004D556D" w:rsidP="00DF3F6B">
      <w:pPr>
        <w:pStyle w:val="ListParagraph"/>
        <w:numPr>
          <w:ilvl w:val="0"/>
          <w:numId w:val="199"/>
        </w:numPr>
        <w:spacing w:before="240" w:after="240" w:line="240" w:lineRule="auto"/>
        <w:rPr>
          <w:b/>
        </w:rPr>
      </w:pPr>
      <w:r w:rsidRPr="000F6CD1">
        <w:t>preventing or delaying the need for ongoing in-home care services or the need to access higher levels of ongoing care</w:t>
      </w:r>
    </w:p>
    <w:p w14:paraId="6AFAC9CE" w14:textId="77777777" w:rsidR="004D556D" w:rsidRPr="000F6CD1" w:rsidRDefault="004D556D" w:rsidP="00DF3F6B">
      <w:pPr>
        <w:pStyle w:val="ListParagraph"/>
        <w:numPr>
          <w:ilvl w:val="0"/>
          <w:numId w:val="199"/>
        </w:numPr>
        <w:spacing w:before="240" w:after="240" w:line="240" w:lineRule="auto"/>
        <w:rPr>
          <w:b/>
        </w:rPr>
      </w:pPr>
      <w:r w:rsidRPr="000F6CD1">
        <w:t>supporting participants to regain their ability to carry out daily activities   </w:t>
      </w:r>
    </w:p>
    <w:p w14:paraId="321CC23F" w14:textId="77777777" w:rsidR="004D556D" w:rsidRPr="000F6CD1" w:rsidRDefault="004D556D" w:rsidP="00DF3F6B">
      <w:pPr>
        <w:pStyle w:val="ListParagraph"/>
        <w:numPr>
          <w:ilvl w:val="0"/>
          <w:numId w:val="199"/>
        </w:numPr>
        <w:spacing w:before="240" w:after="240" w:line="240" w:lineRule="auto"/>
        <w:rPr>
          <w:b/>
        </w:rPr>
      </w:pPr>
      <w:r w:rsidRPr="000F6CD1">
        <w:t>helping participants to manage new or changing age-related conditions  </w:t>
      </w:r>
    </w:p>
    <w:p w14:paraId="1454BFA2" w14:textId="77777777" w:rsidR="004D556D" w:rsidRPr="000F6CD1" w:rsidRDefault="004D556D" w:rsidP="00DF3F6B">
      <w:pPr>
        <w:pStyle w:val="ListParagraph"/>
        <w:numPr>
          <w:ilvl w:val="0"/>
          <w:numId w:val="199"/>
        </w:numPr>
        <w:spacing w:before="240" w:after="240" w:line="240" w:lineRule="auto"/>
        <w:rPr>
          <w:b/>
          <w:bCs/>
        </w:rPr>
      </w:pPr>
      <w:r w:rsidRPr="000F6CD1">
        <w:t>providing reablement education and skills to participants on how they can retain better function as they age for longer independent living. </w:t>
      </w:r>
    </w:p>
    <w:p w14:paraId="12486E0A" w14:textId="010ECBB9" w:rsidR="004D556D" w:rsidRPr="000F6CD1" w:rsidRDefault="004D556D" w:rsidP="00A677C9">
      <w:pPr>
        <w:spacing w:before="240" w:after="240" w:line="240" w:lineRule="auto"/>
      </w:pPr>
      <w:r w:rsidRPr="000F6CD1">
        <w:t>The RCP can be provided in a home or community setting, or a combination of both.</w:t>
      </w:r>
      <w:r w:rsidR="00C479C4" w:rsidRPr="000F6CD1">
        <w:t xml:space="preserve"> </w:t>
      </w:r>
      <w:r w:rsidRPr="000F6CD1">
        <w:t>An older person can receive up to a maximum of two units of RCP in any 12-month period. The RCP cannot be undertaken consecutively and must allow a minimum 90-day period between episodes. </w:t>
      </w:r>
    </w:p>
    <w:p w14:paraId="7FB23458" w14:textId="77777777" w:rsidR="004D556D" w:rsidRPr="000F6CD1" w:rsidRDefault="004D556D" w:rsidP="00A677C9">
      <w:pPr>
        <w:spacing w:before="240" w:after="240" w:line="240" w:lineRule="auto"/>
      </w:pPr>
      <w:r w:rsidRPr="000F6CD1">
        <w:t xml:space="preserve">The RCP can be delivered for up to a duration of 16 weeks. Participants may have a shorter RCP episode, for example, where they reach their goals earlier. </w:t>
      </w:r>
    </w:p>
    <w:p w14:paraId="572CBC50" w14:textId="628919BB" w:rsidR="00B626BA" w:rsidRPr="00822B09" w:rsidRDefault="004D556D" w:rsidP="00A677C9">
      <w:pPr>
        <w:spacing w:before="240" w:after="240" w:line="240" w:lineRule="auto"/>
      </w:pPr>
      <w:r w:rsidRPr="000F6CD1">
        <w:t xml:space="preserve">The RCP may also be accessed in addition to a participant’s ongoing Support at Home budget. </w:t>
      </w:r>
      <w:r w:rsidRPr="000F6CD1">
        <w:rPr>
          <w:bCs/>
        </w:rPr>
        <w:t>A participant with an ongoing Support at Home budget who is approved for RCP, can continue to access their ongoing services while undergoing the RCP. Restorative</w:t>
      </w:r>
      <w:r w:rsidRPr="000F6CD1">
        <w:t xml:space="preserve"> care partners will need to ensure that services are complementary. </w:t>
      </w:r>
    </w:p>
    <w:p w14:paraId="76368B74" w14:textId="77777777" w:rsidR="004D556D" w:rsidRPr="000F6CD1" w:rsidRDefault="004D556D" w:rsidP="00806A21">
      <w:pPr>
        <w:pStyle w:val="Sub-headings"/>
        <w:rPr>
          <w:bCs/>
        </w:rPr>
      </w:pPr>
      <w:r w:rsidRPr="000F6CD1">
        <w:t xml:space="preserve">Important: </w:t>
      </w:r>
    </w:p>
    <w:p w14:paraId="2590E7A4" w14:textId="2ED644B0" w:rsidR="004D556D" w:rsidRPr="000F6CD1" w:rsidRDefault="004D556D" w:rsidP="00806A21">
      <w:pPr>
        <w:pStyle w:val="Sub-headings"/>
      </w:pPr>
      <w:r w:rsidRPr="71E2F12B">
        <w:t xml:space="preserve">An approval for RCP is equal to 1 unit of RCP funding (approximately $6,000). RCP units are capped to 20,000 units of funding annually (managed as 5,000 units of funding per quarter) across Australia. </w:t>
      </w:r>
    </w:p>
    <w:p w14:paraId="431333DA" w14:textId="3488C022" w:rsidR="004D556D" w:rsidRPr="000F6CD1" w:rsidRDefault="004D556D" w:rsidP="00806A21">
      <w:pPr>
        <w:pStyle w:val="Sub-headings"/>
      </w:pPr>
      <w:r w:rsidRPr="000F6CD1">
        <w:t>System-based visibility of RCP caps is not available</w:t>
      </w:r>
      <w:r w:rsidR="0018529A" w:rsidRPr="000F6CD1">
        <w:t>.</w:t>
      </w:r>
      <w:r w:rsidRPr="000F6CD1">
        <w:t xml:space="preserve"> </w:t>
      </w:r>
    </w:p>
    <w:p w14:paraId="52B911A7" w14:textId="72EF8ED5" w:rsidR="004D556D" w:rsidRPr="000F6CD1" w:rsidRDefault="004D556D" w:rsidP="00806A21">
      <w:pPr>
        <w:pStyle w:val="Sub-headings"/>
      </w:pPr>
      <w:r w:rsidRPr="000F6CD1">
        <w:t xml:space="preserve">Weekly reports of allocations are generated, allowing the Department to monitor RCP approvals and communicate with assessment organisations when approvals approach or exceed the assigned caps. </w:t>
      </w:r>
    </w:p>
    <w:p w14:paraId="20E71D3F" w14:textId="0768777E" w:rsidR="004D556D" w:rsidRPr="000F6CD1" w:rsidRDefault="004D556D" w:rsidP="00806A21">
      <w:pPr>
        <w:pStyle w:val="Sub-headings"/>
      </w:pPr>
      <w:r w:rsidRPr="000F6CD1">
        <w:t>Assessors and Assessment Delegates should remain aware of any communication from the Department’s Assessment Delivery Section regarding RCP units.</w:t>
      </w:r>
    </w:p>
    <w:p w14:paraId="53F7FEFC" w14:textId="77777777" w:rsidR="004D556D" w:rsidRPr="000F6CD1" w:rsidRDefault="004D556D" w:rsidP="00A677C9">
      <w:pPr>
        <w:spacing w:before="240" w:after="240" w:line="240" w:lineRule="auto"/>
      </w:pPr>
    </w:p>
    <w:p w14:paraId="6BFDD9B8" w14:textId="77777777" w:rsidR="004D556D" w:rsidRPr="000F6CD1" w:rsidRDefault="004D556D" w:rsidP="00AD2CE5">
      <w:pPr>
        <w:pStyle w:val="H3"/>
        <w:rPr>
          <w:i/>
        </w:rPr>
      </w:pPr>
      <w:r w:rsidRPr="000F6CD1">
        <w:t>Assessing for the Restorative Care Pathway</w:t>
      </w:r>
    </w:p>
    <w:p w14:paraId="04964F53" w14:textId="77777777" w:rsidR="004D556D" w:rsidRPr="000F6CD1" w:rsidRDefault="004D556D" w:rsidP="00A677C9">
      <w:pPr>
        <w:spacing w:before="240" w:after="240" w:line="240" w:lineRule="auto"/>
        <w:rPr>
          <w:b/>
        </w:rPr>
      </w:pPr>
      <w:r w:rsidRPr="000F6CD1">
        <w:t xml:space="preserve">RCP provides a coordinated, multidisciplinary package of allied health and/or nursing services. An individual must require a range of different allied health and/or nursing interventions to be eligible for the RCP. For example, an individual only requiring physiotherapy, domestic assistance and gardening is not eligible as they do not meet the requirements for a multidisciplinary allied health and/or nursing team. </w:t>
      </w:r>
    </w:p>
    <w:p w14:paraId="156DD0C9" w14:textId="7B6882E2" w:rsidR="004D556D" w:rsidRPr="000F6CD1" w:rsidRDefault="004D556D" w:rsidP="00A677C9">
      <w:pPr>
        <w:spacing w:before="240" w:after="240" w:line="240" w:lineRule="auto"/>
        <w:rPr>
          <w:b/>
        </w:rPr>
      </w:pPr>
      <w:r w:rsidRPr="000F6CD1">
        <w:lastRenderedPageBreak/>
        <w:t>Supporting people to regain independence and function to facilitate less reliance on higher levels of care is a critical objective of RCP. The intent of the RCP is not for an older person to receive passive ‘care’ services but to be an active participant to safely regain lost independence based on their individual circumstances.</w:t>
      </w:r>
      <w:r w:rsidR="00C479C4" w:rsidRPr="000F6CD1">
        <w:t xml:space="preserve"> </w:t>
      </w:r>
    </w:p>
    <w:p w14:paraId="30EF7A40" w14:textId="77777777" w:rsidR="004D556D" w:rsidRPr="000F6CD1" w:rsidRDefault="004D556D" w:rsidP="00A677C9">
      <w:pPr>
        <w:spacing w:before="240" w:after="240" w:line="240" w:lineRule="auto"/>
      </w:pPr>
      <w:r w:rsidRPr="000F6CD1">
        <w:t>A reablement approach underpins the Support at Home RCP, aiming to restore capability and keep people as independent as possible.</w:t>
      </w:r>
    </w:p>
    <w:p w14:paraId="6E31AACF" w14:textId="77777777" w:rsidR="004D556D" w:rsidRPr="000F6CD1" w:rsidRDefault="004D556D" w:rsidP="00A677C9">
      <w:pPr>
        <w:spacing w:before="240" w:after="240" w:line="240" w:lineRule="auto"/>
        <w:rPr>
          <w:b/>
        </w:rPr>
      </w:pPr>
      <w:r w:rsidRPr="000F6CD1">
        <w:t>A person is eligible to receive RCP only if they meet all of the following criteria: </w:t>
      </w:r>
    </w:p>
    <w:p w14:paraId="0272C4EF"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The person is assessed as experiencing functional decline that is likely to be reversed through frequent, multidisciplinary allied health and/or nursing interventions over a short period of time </w:t>
      </w:r>
    </w:p>
    <w:p w14:paraId="07F9B083"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The person has goals which align with restorative care outcomes (improve function, want to be independent, rely less on others’ help, regain previous levels of function, etc)  </w:t>
      </w:r>
    </w:p>
    <w:p w14:paraId="10F5411A"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The person demonstrates motivation through willingness and capacity to engage and actively participate in short-term clinical interventions to increase independence (for example, willing to attend frequent allied health appointments, engage in exercise and/or nutrition classes, learn how to apply techniques to regain independence, increase health literacy and education, etc)  </w:t>
      </w:r>
    </w:p>
    <w:p w14:paraId="2BCF2CB2" w14:textId="5C22872B"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 xml:space="preserve">The person has received an ongoing SaH classification through the </w:t>
      </w:r>
      <w:r w:rsidR="00386B7E">
        <w:rPr>
          <w:rFonts w:eastAsiaTheme="majorEastAsia"/>
          <w:b w:val="0"/>
          <w:bCs w:val="0"/>
        </w:rPr>
        <w:t>IAT Outcome</w:t>
      </w:r>
      <w:r w:rsidRPr="000F6CD1">
        <w:rPr>
          <w:rFonts w:eastAsiaTheme="majorEastAsia"/>
          <w:b w:val="0"/>
          <w:bCs w:val="0"/>
        </w:rPr>
        <w:t xml:space="preserve"> (more information is included under section 6.2.3)</w:t>
      </w:r>
    </w:p>
    <w:p w14:paraId="45F28457"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The person is not receiving or, eligible for, the Transition Care Program (they should also not be in hospital at the time of assessment) </w:t>
      </w:r>
    </w:p>
    <w:p w14:paraId="03CBCD5F"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rPr>
      </w:pPr>
      <w:r w:rsidRPr="000F6CD1">
        <w:rPr>
          <w:rFonts w:eastAsiaTheme="majorEastAsia"/>
          <w:b w:val="0"/>
        </w:rPr>
        <w:t>The person is not in permanent residential care </w:t>
      </w:r>
    </w:p>
    <w:p w14:paraId="3C926385"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rPr>
      </w:pPr>
      <w:r w:rsidRPr="000F6CD1">
        <w:rPr>
          <w:rFonts w:eastAsiaTheme="majorEastAsia"/>
          <w:b w:val="0"/>
        </w:rPr>
        <w:t>The person is not eligible for, or has recently received, the End-of-Life Pathway </w:t>
      </w:r>
    </w:p>
    <w:p w14:paraId="5700AD06" w14:textId="58EDED51"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rPr>
      </w:pPr>
      <w:r w:rsidRPr="000F6CD1">
        <w:rPr>
          <w:rFonts w:eastAsiaTheme="majorEastAsia"/>
          <w:b w:val="0"/>
          <w:bCs w:val="0"/>
        </w:rPr>
        <w:t xml:space="preserve"> The person has not been approved for more than two units of RCP funding in any 12-month period and/or at least 90 days have passed from the end of the 16 weeks period associated with the original episode. </w:t>
      </w:r>
    </w:p>
    <w:p w14:paraId="4FFA9280" w14:textId="77777777" w:rsidR="004D556D" w:rsidRPr="000F6CD1" w:rsidRDefault="004D556D" w:rsidP="00A677C9">
      <w:pPr>
        <w:spacing w:before="240" w:after="240" w:line="240" w:lineRule="auto"/>
      </w:pPr>
      <w:r w:rsidRPr="000F6CD1">
        <w:t xml:space="preserve">Assessors must only recommend the RCP if all the above eligibility criteria are met. </w:t>
      </w:r>
    </w:p>
    <w:p w14:paraId="5AD311BD" w14:textId="78330CD8" w:rsidR="004D556D" w:rsidRPr="000F6CD1" w:rsidRDefault="004D556D" w:rsidP="00A677C9">
      <w:pPr>
        <w:spacing w:before="240" w:after="240" w:line="240" w:lineRule="auto"/>
      </w:pPr>
      <w:r w:rsidRPr="000F6CD1">
        <w:t>Assessors may consider contacting the older person to discuss alternative supports for recommendation if the RCP units are near exhaustion.</w:t>
      </w:r>
      <w:r w:rsidR="008A2A84" w:rsidRPr="000F6CD1">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firstRow="0" w:lastRow="0" w:firstColumn="0" w:lastColumn="0" w:noHBand="0" w:noVBand="0"/>
      </w:tblPr>
      <w:tblGrid>
        <w:gridCol w:w="8804"/>
      </w:tblGrid>
      <w:tr w:rsidR="00594A11" w14:paraId="266FCF4B" w14:textId="77777777" w:rsidTr="00594A11">
        <w:trPr>
          <w:trHeight w:val="16155"/>
        </w:trPr>
        <w:tc>
          <w:tcPr>
            <w:tcW w:w="8804" w:type="dxa"/>
            <w:shd w:val="clear" w:color="auto" w:fill="F2F2F2" w:themeFill="background1" w:themeFillShade="F2"/>
          </w:tcPr>
          <w:p w14:paraId="3475D034" w14:textId="77777777" w:rsidR="00594A11" w:rsidRDefault="00594A11" w:rsidP="00594A11">
            <w:pPr>
              <w:rPr>
                <w:b/>
                <w:bCs/>
              </w:rPr>
            </w:pPr>
            <w:r w:rsidRPr="006C35B9">
              <w:rPr>
                <w:b/>
                <w:bCs/>
              </w:rPr>
              <w:lastRenderedPageBreak/>
              <w:t>Case Study: Omar, age 66</w:t>
            </w:r>
          </w:p>
          <w:p w14:paraId="26C12E5D" w14:textId="77777777" w:rsidR="00594A11" w:rsidRPr="00806A21" w:rsidRDefault="00594A11" w:rsidP="00594A11"/>
          <w:p w14:paraId="5C1C6699" w14:textId="77777777" w:rsidR="00594A11" w:rsidRPr="00806A21" w:rsidRDefault="00594A11" w:rsidP="00594A11">
            <w:r w:rsidRPr="00806A21">
              <w:t>Omar is 66 and lives with his wife, Barbara. He recently had a  fall which has left him with a few small issues but has severely impacted his confidence. He is after some help around the home, so he doesn’t fall again. After talking to both Omar and Barbara, the assessor suggests he might like to consider Restorative Care Pathway (RCP) as:​ </w:t>
            </w:r>
          </w:p>
          <w:p w14:paraId="4898D9FE" w14:textId="77777777" w:rsidR="00594A11" w:rsidRDefault="00594A11" w:rsidP="00594A11">
            <w:r w:rsidRPr="00806A21">
              <w:t>Omar still has quite good mobility but needs some help building up his balance and strength to restore his confidence. </w:t>
            </w:r>
          </w:p>
          <w:p w14:paraId="2AEFBA05" w14:textId="77777777" w:rsidR="00594A11" w:rsidRPr="00806A21" w:rsidRDefault="00594A11" w:rsidP="00594A11"/>
          <w:p w14:paraId="49C01600" w14:textId="77777777" w:rsidR="00594A11" w:rsidRPr="00806A21" w:rsidRDefault="00594A11" w:rsidP="00594A11">
            <w:r w:rsidRPr="00806A21">
              <w:t>Omar has the support of Barbara and family who are keen to help him stay independent​. </w:t>
            </w:r>
          </w:p>
          <w:p w14:paraId="6918E313" w14:textId="77777777" w:rsidR="00594A11" w:rsidRPr="00806A21" w:rsidRDefault="00594A11" w:rsidP="00594A11">
            <w:r w:rsidRPr="00806A21">
              <w:t>Omar initially had some concerns about undertaking the RCP but after discussion with the assessor, he is willing to try it as he would like to remain independent at home.​ </w:t>
            </w:r>
          </w:p>
          <w:p w14:paraId="7ACC5160" w14:textId="77777777" w:rsidR="00594A11" w:rsidRPr="006C35B9" w:rsidRDefault="00594A11" w:rsidP="00594A11">
            <w:pPr>
              <w:rPr>
                <w:b/>
                <w:bCs/>
              </w:rPr>
            </w:pPr>
          </w:p>
          <w:p w14:paraId="0B5ACB49" w14:textId="77777777" w:rsidR="00594A11" w:rsidRPr="006C35B9" w:rsidRDefault="00594A11" w:rsidP="00594A11">
            <w:pPr>
              <w:rPr>
                <w:b/>
                <w:bCs/>
              </w:rPr>
            </w:pPr>
            <w:r w:rsidRPr="006C35B9">
              <w:rPr>
                <w:b/>
                <w:bCs/>
              </w:rPr>
              <w:t>Omar’s restorative care provides:​ </w:t>
            </w:r>
          </w:p>
          <w:p w14:paraId="3535694A" w14:textId="3930198C" w:rsidR="00594A11" w:rsidRPr="00806A21" w:rsidRDefault="00594A11" w:rsidP="00594A11">
            <w:r w:rsidRPr="00806A21">
              <w:t xml:space="preserve">Biweekly strength classes which start as individual classes at Omar’s home with an exercise physiologist but, as his confidence increases, transitions into group exercise classes at the allied health centre. This also provides opportunity for Omar to connect with others while supporting increases in physical and mental function. </w:t>
            </w:r>
          </w:p>
          <w:p w14:paraId="5D151772" w14:textId="77777777" w:rsidR="00594A11" w:rsidRDefault="00594A11" w:rsidP="00594A11">
            <w:r w:rsidRPr="00806A21">
              <w:t>Nutritionist support which provides insight and education into nutritional requirements to support his increased activity and support good health (plus meeting any cultural food requirements). </w:t>
            </w:r>
          </w:p>
          <w:p w14:paraId="0D3148E8" w14:textId="77777777" w:rsidR="00594A11" w:rsidRPr="00806A21" w:rsidRDefault="00594A11" w:rsidP="00594A11"/>
          <w:p w14:paraId="36C6B39D" w14:textId="77777777" w:rsidR="00594A11" w:rsidRDefault="00594A11" w:rsidP="00594A11">
            <w:r w:rsidRPr="00806A21">
              <w:t>Two podiatrist appointments to assess for issues with his feet which are impacting his balance. </w:t>
            </w:r>
          </w:p>
          <w:p w14:paraId="7FE564E0" w14:textId="77777777" w:rsidR="00594A11" w:rsidRPr="00806A21" w:rsidRDefault="00594A11" w:rsidP="00594A11"/>
          <w:p w14:paraId="1E5BD339" w14:textId="77777777" w:rsidR="00594A11" w:rsidRPr="00806A21" w:rsidRDefault="00594A11" w:rsidP="00594A11">
            <w:r w:rsidRPr="00806A21">
              <w:t>A restorative care partner who works with him on his goals and continues to support Omar, checking in periodically, monitoring his progress and continuing to discuss how problems achieving his goals can be resolved to help restore his confidence​ with the multidisciplinary team (MDT). </w:t>
            </w:r>
          </w:p>
          <w:p w14:paraId="43C2F046" w14:textId="77777777" w:rsidR="00594A11" w:rsidRPr="00806A21" w:rsidRDefault="00594A11" w:rsidP="00594A11"/>
          <w:p w14:paraId="28887A9C" w14:textId="77777777" w:rsidR="00594A11" w:rsidRPr="006C35B9" w:rsidRDefault="00594A11" w:rsidP="00594A11">
            <w:pPr>
              <w:rPr>
                <w:b/>
                <w:bCs/>
              </w:rPr>
            </w:pPr>
            <w:r w:rsidRPr="006C35B9">
              <w:rPr>
                <w:b/>
                <w:bCs/>
              </w:rPr>
              <w:t>Outcomes​ </w:t>
            </w:r>
          </w:p>
          <w:p w14:paraId="522667FA" w14:textId="651EF1BD" w:rsidR="00594A11" w:rsidRPr="00594A11" w:rsidRDefault="00594A11" w:rsidP="00594A11">
            <w:r w:rsidRPr="00806A21">
              <w:t>Omar regains confidence in his mobility. He teaches Barbara what he learns during his time receiving RCP services. They start attending strength building classes together at the local gym and join a walking group. After discussion with Omar and Barbara, the exit plan recommends no ongoing services are needed. </w:t>
            </w:r>
          </w:p>
        </w:tc>
      </w:tr>
    </w:tbl>
    <w:p w14:paraId="6897A014" w14:textId="77777777" w:rsidR="00594A11" w:rsidRPr="00806A21" w:rsidRDefault="00594A11" w:rsidP="00594A11">
      <w:r w:rsidRPr="000F6CD1">
        <w:rPr>
          <w:szCs w:val="22"/>
        </w:rPr>
        <w:lastRenderedPageBreak/>
        <w:t>​ </w:t>
      </w:r>
    </w:p>
    <w:tbl>
      <w:tblPr>
        <w:tblStyle w:val="TableGrid"/>
        <w:tblW w:w="895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955"/>
      </w:tblGrid>
      <w:tr w:rsidR="00594A11" w:rsidRPr="000F6CD1" w14:paraId="3AC85DB9" w14:textId="77777777">
        <w:tc>
          <w:tcPr>
            <w:tcW w:w="8955" w:type="dxa"/>
            <w:shd w:val="clear" w:color="auto" w:fill="F2F2F2" w:themeFill="background1" w:themeFillShade="F2"/>
          </w:tcPr>
          <w:p w14:paraId="1BE50279" w14:textId="77777777" w:rsidR="00594A11" w:rsidRPr="000F6CD1" w:rsidRDefault="00594A11">
            <w:pPr>
              <w:spacing w:before="240" w:after="240"/>
              <w:rPr>
                <w:b/>
                <w:szCs w:val="22"/>
              </w:rPr>
            </w:pPr>
            <w:r w:rsidRPr="000F6CD1">
              <w:rPr>
                <w:b/>
                <w:szCs w:val="22"/>
              </w:rPr>
              <w:t xml:space="preserve">Case study: John, age 55 </w:t>
            </w:r>
          </w:p>
          <w:p w14:paraId="3B9CA251" w14:textId="77777777" w:rsidR="00594A11" w:rsidRPr="000F6CD1" w:rsidRDefault="00594A11">
            <w:pPr>
              <w:spacing w:before="240" w:after="240"/>
              <w:rPr>
                <w:szCs w:val="22"/>
              </w:rPr>
            </w:pPr>
            <w:r w:rsidRPr="000F6CD1">
              <w:rPr>
                <w:szCs w:val="22"/>
              </w:rPr>
              <w:t>John is a 55 year old Aboriginal man. He currently receives Support at Home classification 1 to help support him at home. He has several chronic health conditions and lives with his wife and adult son. His GP has recommended he be reassessed to help him manage his health conditions. After yarning to John and his family, the assessor recommends the Restorative Care Pathway (RCP). This is because services and education on how he can remain independent at home could help the household which is a good outcome for everyone. John knows he can manage his health conditions if given the support to do so​.</w:t>
            </w:r>
          </w:p>
          <w:p w14:paraId="030BC669" w14:textId="77777777" w:rsidR="00594A11" w:rsidRPr="000F6CD1" w:rsidRDefault="00594A11">
            <w:pPr>
              <w:spacing w:before="240" w:after="240"/>
              <w:rPr>
                <w:szCs w:val="22"/>
              </w:rPr>
            </w:pPr>
            <w:r w:rsidRPr="000F6CD1">
              <w:rPr>
                <w:szCs w:val="22"/>
              </w:rPr>
              <w:t>His goals support restorative care outcomes (to regain function, keep level of independence, delay needing higher level of services). John was also approved for assistive technology and home modifications funding to support his RCP episode. This is funded through the Assistive Technology-Home Modifications (AT-HM) scheme​. </w:t>
            </w:r>
          </w:p>
          <w:p w14:paraId="75C75A78" w14:textId="77777777" w:rsidR="00594A11" w:rsidRPr="000F6CD1" w:rsidRDefault="00594A11">
            <w:pPr>
              <w:spacing w:before="240" w:after="240"/>
              <w:rPr>
                <w:b/>
                <w:szCs w:val="22"/>
              </w:rPr>
            </w:pPr>
            <w:r w:rsidRPr="000F6CD1">
              <w:rPr>
                <w:b/>
                <w:szCs w:val="22"/>
              </w:rPr>
              <w:t>Delivery​ </w:t>
            </w:r>
          </w:p>
          <w:p w14:paraId="7BE6B3DD" w14:textId="77777777" w:rsidR="00594A11" w:rsidRPr="000F6CD1" w:rsidRDefault="00594A11">
            <w:pPr>
              <w:spacing w:before="240" w:after="240"/>
              <w:rPr>
                <w:szCs w:val="22"/>
              </w:rPr>
            </w:pPr>
            <w:r w:rsidRPr="000F6CD1">
              <w:rPr>
                <w:szCs w:val="22"/>
              </w:rPr>
              <w:t>​John’s restorative care provides:​ </w:t>
            </w:r>
          </w:p>
          <w:p w14:paraId="5C8F2962" w14:textId="77777777" w:rsidR="00594A11" w:rsidRPr="000F6CD1" w:rsidRDefault="00594A11">
            <w:pPr>
              <w:pStyle w:val="ListParagraph"/>
              <w:numPr>
                <w:ilvl w:val="0"/>
                <w:numId w:val="202"/>
              </w:numPr>
              <w:spacing w:before="240" w:after="240"/>
              <w:rPr>
                <w:szCs w:val="22"/>
              </w:rPr>
            </w:pPr>
            <w:r w:rsidRPr="000F6CD1">
              <w:rPr>
                <w:szCs w:val="22"/>
              </w:rPr>
              <w:t>Support and referrals to help manage his health issues including to a care manager at the local primary health network for his diabetes​ </w:t>
            </w:r>
          </w:p>
          <w:p w14:paraId="7B33776E" w14:textId="77777777" w:rsidR="00594A11" w:rsidRPr="000F6CD1" w:rsidRDefault="00594A11">
            <w:pPr>
              <w:pStyle w:val="ListParagraph"/>
              <w:numPr>
                <w:ilvl w:val="0"/>
                <w:numId w:val="202"/>
              </w:numPr>
              <w:spacing w:before="240" w:after="240"/>
            </w:pPr>
            <w:r w:rsidRPr="000F6CD1">
              <w:t>Support from a registered nurse who provides education and advice around how John can manage his health conditions. </w:t>
            </w:r>
          </w:p>
          <w:p w14:paraId="0079A735" w14:textId="77777777" w:rsidR="00594A11" w:rsidRPr="000F6CD1" w:rsidRDefault="00594A11">
            <w:pPr>
              <w:pStyle w:val="ListParagraph"/>
              <w:numPr>
                <w:ilvl w:val="0"/>
                <w:numId w:val="202"/>
              </w:numPr>
              <w:spacing w:before="240" w:after="240"/>
            </w:pPr>
            <w:r w:rsidRPr="000F6CD1">
              <w:t>​An occupational therapist (OT) visits several times to talk to John and his family about what assistive technology and home modifications can help him and, how John and his family can use the assistive technology safely and to check that home modifications meet John’s needs.</w:t>
            </w:r>
          </w:p>
          <w:p w14:paraId="561053A0" w14:textId="0AD1F8D5" w:rsidR="00594A11" w:rsidRPr="000F6CD1" w:rsidRDefault="00594A11">
            <w:pPr>
              <w:pStyle w:val="ListParagraph"/>
              <w:numPr>
                <w:ilvl w:val="0"/>
                <w:numId w:val="202"/>
              </w:numPr>
              <w:spacing w:before="240" w:after="240"/>
            </w:pPr>
            <w:r w:rsidRPr="000F6CD1">
              <w:t>Administration and coordination costs of sourcing relevant AT-HM to support his restorative care goals.</w:t>
            </w:r>
            <w:r w:rsidR="008A2A84" w:rsidRPr="000F6CD1">
              <w:t xml:space="preserve"> </w:t>
            </w:r>
          </w:p>
          <w:p w14:paraId="4B6503E2" w14:textId="77777777" w:rsidR="00594A11" w:rsidRPr="000F6CD1" w:rsidRDefault="00594A11">
            <w:pPr>
              <w:pStyle w:val="ListParagraph"/>
              <w:numPr>
                <w:ilvl w:val="0"/>
                <w:numId w:val="202"/>
              </w:numPr>
              <w:spacing w:before="240" w:after="240"/>
              <w:rPr>
                <w:szCs w:val="22"/>
              </w:rPr>
            </w:pPr>
            <w:r w:rsidRPr="000F6CD1">
              <w:rPr>
                <w:szCs w:val="22"/>
              </w:rPr>
              <w:t xml:space="preserve">An Aboriginal and Torres Strait Islander Health Worker works with John to help provide cultural support, treatments and conduct relevant health assessments and provide connection to other relevant services, as required. </w:t>
            </w:r>
          </w:p>
          <w:p w14:paraId="7D52C379" w14:textId="77777777" w:rsidR="00594A11" w:rsidRPr="000F6CD1" w:rsidRDefault="00594A11">
            <w:pPr>
              <w:pStyle w:val="ListParagraph"/>
              <w:spacing w:before="240" w:after="240"/>
              <w:rPr>
                <w:szCs w:val="22"/>
              </w:rPr>
            </w:pPr>
          </w:p>
          <w:p w14:paraId="6B21F902" w14:textId="77777777" w:rsidR="00594A11" w:rsidRPr="000F6CD1" w:rsidRDefault="00594A11">
            <w:pPr>
              <w:spacing w:before="240" w:after="240"/>
              <w:rPr>
                <w:szCs w:val="22"/>
              </w:rPr>
            </w:pPr>
            <w:r w:rsidRPr="000F6CD1">
              <w:rPr>
                <w:szCs w:val="22"/>
              </w:rPr>
              <w:t>John’s ongoing Support at Home services continue. A restorative care partner helps ensure restorative care services complement his ongoing Support at Home services.</w:t>
            </w:r>
          </w:p>
          <w:p w14:paraId="115AABE7" w14:textId="77777777" w:rsidR="00594A11" w:rsidRPr="000F6CD1" w:rsidRDefault="00594A11">
            <w:pPr>
              <w:spacing w:before="240" w:after="240"/>
              <w:rPr>
                <w:b/>
                <w:szCs w:val="22"/>
              </w:rPr>
            </w:pPr>
            <w:r w:rsidRPr="000F6CD1">
              <w:rPr>
                <w:b/>
                <w:szCs w:val="22"/>
              </w:rPr>
              <w:t>Outcomes </w:t>
            </w:r>
          </w:p>
          <w:p w14:paraId="5E817F3A" w14:textId="27FDFC60" w:rsidR="00594A11" w:rsidRDefault="00594A11">
            <w:pPr>
              <w:spacing w:before="240" w:after="240"/>
              <w:rPr>
                <w:szCs w:val="22"/>
              </w:rPr>
            </w:pPr>
            <w:r w:rsidRPr="000F6CD1">
              <w:rPr>
                <w:szCs w:val="22"/>
              </w:rPr>
              <w:t>John’s restorative care partner finalises the exit plan after reviewing the goals identified in John’s goal plan. John feels that he can apply what he learnt about managing his conditions, deciding he was happy with his current level of ongoing support. His RCP episode ceases and his ongoing Support at Home services continue.</w:t>
            </w:r>
            <w:r w:rsidR="008A2A84" w:rsidRPr="000F6CD1">
              <w:rPr>
                <w:szCs w:val="22"/>
              </w:rPr>
              <w:t xml:space="preserve"> </w:t>
            </w:r>
          </w:p>
          <w:p w14:paraId="28FACAC2" w14:textId="77777777" w:rsidR="00594A11" w:rsidRDefault="00594A11">
            <w:pPr>
              <w:pStyle w:val="NormalText"/>
            </w:pPr>
          </w:p>
          <w:p w14:paraId="38414387" w14:textId="77777777" w:rsidR="00594A11" w:rsidRPr="000F6CD1" w:rsidRDefault="00594A11"/>
        </w:tc>
      </w:tr>
    </w:tbl>
    <w:p w14:paraId="204556B9" w14:textId="29E59BD2" w:rsidR="00594A11" w:rsidRPr="00806A21" w:rsidRDefault="00594A11" w:rsidP="00594A11"/>
    <w:p w14:paraId="6E5C664F" w14:textId="77777777" w:rsidR="006C35B9" w:rsidRDefault="004D556D" w:rsidP="006C35B9">
      <w:pPr>
        <w:spacing w:before="240" w:after="240" w:line="240" w:lineRule="auto"/>
      </w:pPr>
      <w:r w:rsidRPr="000F6CD1">
        <w:br w:type="page"/>
      </w:r>
    </w:p>
    <w:p w14:paraId="042DA650" w14:textId="77777777" w:rsidR="004D556D" w:rsidRPr="000F6CD1" w:rsidRDefault="004D556D" w:rsidP="00AD2CE5">
      <w:pPr>
        <w:pStyle w:val="H3"/>
      </w:pPr>
      <w:r w:rsidRPr="000F6CD1">
        <w:lastRenderedPageBreak/>
        <w:t>Expectation setting</w:t>
      </w:r>
    </w:p>
    <w:p w14:paraId="6651F000" w14:textId="68D12FAA" w:rsidR="004D556D" w:rsidRPr="000F6CD1" w:rsidRDefault="004D556D" w:rsidP="00A677C9">
      <w:pPr>
        <w:spacing w:before="240" w:after="240" w:line="240" w:lineRule="auto"/>
        <w:rPr>
          <w:b/>
        </w:rPr>
      </w:pPr>
      <w:r w:rsidRPr="000F6CD1">
        <w:t>Expectation setting is an important part of ensuring restorative care is successful and helps ensure people receive the care they need. Assessors should ensure the roles, responsibilities and objectives of RCP are fully explained during the assessment (including in comparison to ongoing care). This should happen before the RCP is recommended to ensure the older person fully understands the support that will be available to them and their role. Older people who do not have the capacity or the willingness to engage with the RCP should not be recommended and approved for it.</w:t>
      </w:r>
      <w:r w:rsidR="008A2A84" w:rsidRPr="000F6CD1">
        <w:t xml:space="preserve"> </w:t>
      </w:r>
    </w:p>
    <w:p w14:paraId="70711EE4" w14:textId="77777777" w:rsidR="004D556D" w:rsidRPr="000F6CD1" w:rsidRDefault="004D556D" w:rsidP="00A677C9">
      <w:pPr>
        <w:spacing w:before="240" w:after="240" w:line="240" w:lineRule="auto"/>
        <w:rPr>
          <w:b/>
        </w:rPr>
      </w:pPr>
      <w:r w:rsidRPr="000F6CD1">
        <w:t>For older people new to the aged care system and who are not receiving aged care services:</w:t>
      </w:r>
    </w:p>
    <w:p w14:paraId="3EBB0A70" w14:textId="77777777" w:rsidR="004D556D" w:rsidRPr="000F6CD1" w:rsidRDefault="004D556D" w:rsidP="00DF3F6B">
      <w:pPr>
        <w:pStyle w:val="ListParagraph"/>
        <w:numPr>
          <w:ilvl w:val="0"/>
          <w:numId w:val="166"/>
        </w:numPr>
        <w:spacing w:before="240" w:after="240" w:line="240" w:lineRule="auto"/>
        <w:rPr>
          <w:b/>
        </w:rPr>
      </w:pPr>
      <w:r w:rsidRPr="000F6CD1">
        <w:t>an ongoing Support at Home or CHSP classification cannot be recommended at the same time as the RCP.</w:t>
      </w:r>
    </w:p>
    <w:p w14:paraId="288C3D09" w14:textId="77777777" w:rsidR="004D556D" w:rsidRPr="000F6CD1" w:rsidRDefault="004D556D" w:rsidP="00DF3F6B">
      <w:pPr>
        <w:pStyle w:val="ListParagraph"/>
        <w:numPr>
          <w:ilvl w:val="0"/>
          <w:numId w:val="166"/>
        </w:numPr>
        <w:spacing w:before="240" w:after="240" w:line="240" w:lineRule="auto"/>
        <w:rPr>
          <w:b/>
        </w:rPr>
      </w:pPr>
      <w:r w:rsidRPr="000F6CD1">
        <w:t xml:space="preserve">the RCP is </w:t>
      </w:r>
      <w:r w:rsidRPr="000F6CD1">
        <w:rPr>
          <w:u w:val="single"/>
        </w:rPr>
        <w:t>not</w:t>
      </w:r>
      <w:r w:rsidRPr="000F6CD1">
        <w:t xml:space="preserve"> a mechanism to access urgent services.</w:t>
      </w:r>
    </w:p>
    <w:p w14:paraId="270E4DA6" w14:textId="77777777" w:rsidR="004D556D" w:rsidRPr="000F6CD1" w:rsidRDefault="004D556D" w:rsidP="00A677C9">
      <w:pPr>
        <w:spacing w:before="240" w:after="240" w:line="240" w:lineRule="auto"/>
        <w:rPr>
          <w:b/>
        </w:rPr>
      </w:pPr>
      <w:r w:rsidRPr="000F6CD1">
        <w:t>For older people who are receiving aged care services through an ongoing classification:</w:t>
      </w:r>
    </w:p>
    <w:p w14:paraId="6AC5A8CD" w14:textId="77777777" w:rsidR="004D556D" w:rsidRPr="000F6CD1" w:rsidRDefault="004D556D" w:rsidP="00DF3F6B">
      <w:pPr>
        <w:pStyle w:val="ListParagraph"/>
        <w:numPr>
          <w:ilvl w:val="0"/>
          <w:numId w:val="166"/>
        </w:numPr>
        <w:spacing w:before="240" w:after="240" w:line="240" w:lineRule="auto"/>
      </w:pPr>
      <w:r w:rsidRPr="000F6CD1">
        <w:t xml:space="preserve">The RCP can be recommended and approved where eligibility criteria </w:t>
      </w:r>
      <w:r w:rsidRPr="000F6CD1">
        <w:rPr>
          <w:b/>
        </w:rPr>
        <w:t>are</w:t>
      </w:r>
      <w:r w:rsidRPr="000F6CD1">
        <w:t xml:space="preserve"> met.</w:t>
      </w:r>
    </w:p>
    <w:p w14:paraId="3BE9B5F6" w14:textId="77777777" w:rsidR="004D556D" w:rsidRPr="000F6CD1" w:rsidRDefault="004D556D" w:rsidP="00DF3F6B">
      <w:pPr>
        <w:pStyle w:val="ListParagraph"/>
        <w:numPr>
          <w:ilvl w:val="1"/>
          <w:numId w:val="166"/>
        </w:numPr>
        <w:spacing w:before="240" w:after="240" w:line="240" w:lineRule="auto"/>
      </w:pPr>
      <w:r w:rsidRPr="000F6CD1">
        <w:t xml:space="preserve">Assessors must consider the potential for functional improvement that would delay the need for a higher-level classification when approving RCP (as a higher ongoing Support at Home classification cannot be recommended at the same time). </w:t>
      </w:r>
    </w:p>
    <w:p w14:paraId="0FF67104" w14:textId="77777777" w:rsidR="004D556D" w:rsidRPr="000F6CD1" w:rsidRDefault="004D556D" w:rsidP="00DF3F6B">
      <w:pPr>
        <w:pStyle w:val="ListParagraph"/>
        <w:numPr>
          <w:ilvl w:val="1"/>
          <w:numId w:val="166"/>
        </w:numPr>
        <w:spacing w:before="240" w:after="240" w:line="240" w:lineRule="auto"/>
        <w:rPr>
          <w:b/>
          <w:bCs/>
        </w:rPr>
      </w:pPr>
      <w:r w:rsidRPr="000F6CD1">
        <w:t xml:space="preserve">The RCP is </w:t>
      </w:r>
      <w:r w:rsidRPr="000F6CD1">
        <w:rPr>
          <w:u w:val="single"/>
        </w:rPr>
        <w:t>not</w:t>
      </w:r>
      <w:r w:rsidRPr="000F6CD1">
        <w:t xml:space="preserve"> a mechanism to provide additional funding to supplement ongoing services.</w:t>
      </w:r>
    </w:p>
    <w:p w14:paraId="7C5A6756" w14:textId="5D6E2E80"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rPr>
      </w:pPr>
      <w:r w:rsidRPr="000F6CD1">
        <w:rPr>
          <w:rFonts w:eastAsiaTheme="majorEastAsia"/>
          <w:b w:val="0"/>
        </w:rPr>
        <w:t xml:space="preserve">If, through a reassessment, the </w:t>
      </w:r>
      <w:r w:rsidR="00386B7E">
        <w:rPr>
          <w:rFonts w:eastAsiaTheme="majorEastAsia"/>
          <w:b w:val="0"/>
        </w:rPr>
        <w:t>IAT Outcome</w:t>
      </w:r>
      <w:r w:rsidRPr="000F6CD1">
        <w:rPr>
          <w:rFonts w:eastAsiaTheme="majorEastAsia"/>
          <w:b w:val="0"/>
        </w:rPr>
        <w:t xml:space="preserve"> is a higher ongoing classification, assessors will only be able to select the higher ongoing classification OR the RCP. </w:t>
      </w:r>
    </w:p>
    <w:p w14:paraId="333B59FC" w14:textId="78078E15" w:rsidR="004D556D" w:rsidRPr="000F6CD1" w:rsidRDefault="004D556D" w:rsidP="00DF3F6B">
      <w:pPr>
        <w:pStyle w:val="ListParagraph"/>
        <w:numPr>
          <w:ilvl w:val="1"/>
          <w:numId w:val="166"/>
        </w:numPr>
        <w:spacing w:before="240" w:after="240" w:line="240" w:lineRule="auto"/>
      </w:pPr>
      <w:r w:rsidRPr="000F6CD1">
        <w:t>If the RCP is selected, the person will remain on their current ongoing classification (rather than the higher classification recommended).</w:t>
      </w:r>
      <w:r w:rsidR="008A2A84" w:rsidRPr="000F6CD1">
        <w:t xml:space="preserve"> </w:t>
      </w:r>
    </w:p>
    <w:p w14:paraId="06F7E940" w14:textId="77777777" w:rsidR="004D556D" w:rsidRPr="000F6CD1" w:rsidRDefault="004D556D" w:rsidP="00DF3F6B">
      <w:pPr>
        <w:pStyle w:val="Header"/>
        <w:numPr>
          <w:ilvl w:val="0"/>
          <w:numId w:val="142"/>
        </w:numPr>
        <w:shd w:val="clear" w:color="auto" w:fill="FFFFFF" w:themeFill="background1"/>
        <w:spacing w:before="240" w:after="240" w:line="240" w:lineRule="auto"/>
        <w:rPr>
          <w:rFonts w:eastAsiaTheme="majorEastAsia"/>
          <w:b w:val="0"/>
        </w:rPr>
      </w:pPr>
      <w:r w:rsidRPr="000F6CD1">
        <w:rPr>
          <w:rFonts w:eastAsiaTheme="majorEastAsia"/>
          <w:b w:val="0"/>
        </w:rPr>
        <w:t xml:space="preserve">Assessors should consider if the older person’s current provider delivers the RCP. </w:t>
      </w:r>
    </w:p>
    <w:p w14:paraId="6FBBE169" w14:textId="77777777" w:rsidR="004D556D" w:rsidRPr="000F6CD1" w:rsidRDefault="004D556D" w:rsidP="00DF3F6B">
      <w:pPr>
        <w:pStyle w:val="ListParagraph"/>
        <w:numPr>
          <w:ilvl w:val="1"/>
          <w:numId w:val="166"/>
        </w:numPr>
        <w:spacing w:before="240" w:after="240" w:line="240" w:lineRule="auto"/>
      </w:pPr>
      <w:r w:rsidRPr="000F6CD1">
        <w:t xml:space="preserve">Under Support at Home, services must be delivered by a single provider (service delivery branch level). If the provider does not deliver the RCP, the participant will need to change providers to access both RCP and ongoing services. This should be considered before approving the RCP for people already accessing ongoing services through Support at Home. </w:t>
      </w:r>
    </w:p>
    <w:p w14:paraId="15C37CF2" w14:textId="77777777" w:rsidR="004D556D" w:rsidRPr="000F6CD1" w:rsidRDefault="004D556D" w:rsidP="00A677C9">
      <w:pPr>
        <w:spacing w:before="240" w:after="240" w:line="240" w:lineRule="auto"/>
      </w:pPr>
      <w:r w:rsidRPr="000F6CD1">
        <w:t xml:space="preserve">For those already accessing ongoing care, assessors should carefully consider ongoing needs before recommending the RCP. Assessors cannot recommend a new higher classification and the RCP at assessment. This will impact a new ongoing Support at Home classification entry into the Priority System. </w:t>
      </w:r>
    </w:p>
    <w:p w14:paraId="079D16E0" w14:textId="4672A496" w:rsidR="004D556D" w:rsidRPr="000F6CD1" w:rsidRDefault="00555059" w:rsidP="00A677C9">
      <w:pPr>
        <w:spacing w:before="240" w:after="240" w:line="240" w:lineRule="auto"/>
      </w:pPr>
      <w:r w:rsidRPr="000F6CD1">
        <w:rPr>
          <w:bCs/>
          <w:noProof/>
        </w:rPr>
        <w:drawing>
          <wp:anchor distT="0" distB="0" distL="114300" distR="114300" simplePos="0" relativeHeight="251658272" behindDoc="0" locked="0" layoutInCell="1" allowOverlap="1" wp14:anchorId="6763F74C" wp14:editId="3720EC87">
            <wp:simplePos x="0" y="0"/>
            <wp:positionH relativeFrom="margin">
              <wp:align>left</wp:align>
            </wp:positionH>
            <wp:positionV relativeFrom="margin">
              <wp:posOffset>7689084</wp:posOffset>
            </wp:positionV>
            <wp:extent cx="457200" cy="502920"/>
            <wp:effectExtent l="0" t="0" r="0" b="0"/>
            <wp:wrapSquare wrapText="bothSides"/>
            <wp:docPr id="2061857998" name="Picture 2061857998"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57998" name="Picture 2061857998" descr="A bell with an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 xml:space="preserve">For new participants, eligibility for ongoing services will need to be determined at the end of the RCP episode (if RCP is recommended). </w:t>
      </w:r>
    </w:p>
    <w:p w14:paraId="30834360" w14:textId="6B0553F4" w:rsidR="004D556D" w:rsidRPr="000F6CD1" w:rsidRDefault="004D556D" w:rsidP="00AD2CE5">
      <w:pPr>
        <w:pStyle w:val="H3"/>
        <w:rPr>
          <w:i/>
        </w:rPr>
      </w:pPr>
      <w:r w:rsidRPr="000F6CD1">
        <w:t>Recommending Restorative Care Pathway in the assessor portal</w:t>
      </w:r>
    </w:p>
    <w:p w14:paraId="36BC95F6" w14:textId="1B6F10A6" w:rsidR="004D556D" w:rsidRPr="000F6CD1" w:rsidRDefault="004D556D" w:rsidP="00A677C9">
      <w:pPr>
        <w:spacing w:before="240" w:after="240" w:line="240" w:lineRule="auto"/>
      </w:pPr>
      <w:r w:rsidRPr="000F6CD1">
        <w:t xml:space="preserve">Upon finalisation of the IAT, if the </w:t>
      </w:r>
      <w:r w:rsidR="00386B7E">
        <w:t>IAT Outcome</w:t>
      </w:r>
      <w:r w:rsidRPr="000F6CD1">
        <w:t xml:space="preserve"> recommends an ongoing Support at Home classification, this can be overridden to change the </w:t>
      </w:r>
      <w:r w:rsidR="00386B7E">
        <w:t>IAT Outcome</w:t>
      </w:r>
      <w:r w:rsidRPr="000F6CD1">
        <w:t xml:space="preserve"> to the RCP by clicking the </w:t>
      </w:r>
      <w:r w:rsidRPr="000F6CD1">
        <w:lastRenderedPageBreak/>
        <w:t>override button. By overriding to the RCP, assessors will be navigated to the ‘</w:t>
      </w:r>
      <w:r w:rsidRPr="000F6CD1">
        <w:rPr>
          <w:i/>
        </w:rPr>
        <w:t>Add Home Support Services</w:t>
      </w:r>
      <w:r w:rsidRPr="000F6CD1">
        <w:t>’ page to add services.</w:t>
      </w:r>
    </w:p>
    <w:p w14:paraId="7BD1E145" w14:textId="68CF2C39" w:rsidR="004D556D" w:rsidRPr="000F6CD1" w:rsidRDefault="004D556D">
      <w:pPr>
        <w:spacing w:before="240" w:after="240" w:line="240" w:lineRule="auto"/>
      </w:pPr>
      <w:r w:rsidRPr="000F6CD1">
        <w:t xml:space="preserve">Assessors may also be prompted that the participant may be eligible for RCP based on the older person’s goals, which appears upon finalising the IAT. The assessor will have the option to accept or reject this suggestion. </w:t>
      </w:r>
    </w:p>
    <w:p w14:paraId="72097C54" w14:textId="0605718E" w:rsidR="006C35B9" w:rsidRDefault="004D556D" w:rsidP="00F82A8B">
      <w:pPr>
        <w:spacing w:before="240" w:after="240" w:line="240" w:lineRule="auto"/>
      </w:pPr>
      <w:r w:rsidRPr="000F6CD1">
        <w:t xml:space="preserve">Upon overriding the </w:t>
      </w:r>
      <w:r w:rsidR="00386B7E">
        <w:t>IAT Outcome</w:t>
      </w:r>
      <w:r w:rsidRPr="000F6CD1">
        <w:t xml:space="preserve"> to RCP, or by accepting the prompt, the Assistive Technology Medium Tier and Home Modifications Medium tier will automatically be added to the recommendation. The assessor can choose to remove the recommendation of an AT or HM tier or edit the recommended AT or HM tier to align with the older person’s needs.</w:t>
      </w:r>
    </w:p>
    <w:p w14:paraId="70F3A50A" w14:textId="77777777" w:rsidR="004D556D" w:rsidRPr="003B15E6" w:rsidRDefault="004D556D" w:rsidP="00806A21">
      <w:pPr>
        <w:pStyle w:val="Sub-headings"/>
        <w:rPr>
          <w14:ligatures w14:val="standardContextual"/>
        </w:rPr>
      </w:pPr>
      <w:r w:rsidRPr="003B15E6">
        <w:t xml:space="preserve">Note: </w:t>
      </w:r>
    </w:p>
    <w:p w14:paraId="4E0F5AA8" w14:textId="77777777" w:rsidR="004D556D" w:rsidRPr="000F6CD1" w:rsidRDefault="004D556D" w:rsidP="00806A21">
      <w:pPr>
        <w:pStyle w:val="Sub-headings"/>
        <w:rPr>
          <w14:ligatures w14:val="standardContextual"/>
        </w:rPr>
      </w:pPr>
      <w:r w:rsidRPr="000F6CD1">
        <w:t xml:space="preserve">The IAT will allow a CHSP classification to be overridden to RCP during a comprehensive assessment. However, assessors must not undertake this action and delegates must not approve assessments where this occurs. </w:t>
      </w:r>
    </w:p>
    <w:p w14:paraId="3E15B9C5" w14:textId="77777777" w:rsidR="004D556D" w:rsidRPr="000F6CD1" w:rsidRDefault="004D556D" w:rsidP="00806A21">
      <w:pPr>
        <w:pStyle w:val="Sub-headings"/>
        <w:rPr>
          <w14:ligatures w14:val="standardContextual"/>
        </w:rPr>
      </w:pPr>
      <w:r w:rsidRPr="000F6CD1">
        <w:t xml:space="preserve">Where a CHSP classification outcome is generated, RCP cannot be recommended for approval (in line with section 81-15 of the Aged Care Rules.) </w:t>
      </w:r>
    </w:p>
    <w:p w14:paraId="62849321" w14:textId="77777777" w:rsidR="004D556D" w:rsidRPr="000F6CD1" w:rsidRDefault="004D556D" w:rsidP="00806A21">
      <w:pPr>
        <w:pStyle w:val="Sub-headings"/>
      </w:pPr>
      <w:r w:rsidRPr="000F6CD1">
        <w:t>An ongoing SaH classification must be generated to override and recommend RCP for approval. </w:t>
      </w:r>
    </w:p>
    <w:p w14:paraId="130D4DA8" w14:textId="77777777" w:rsidR="004D556D" w:rsidRPr="000F6CD1" w:rsidRDefault="004D556D" w:rsidP="00A677C9">
      <w:pPr>
        <w:spacing w:before="240" w:after="240" w:line="240" w:lineRule="auto"/>
        <w:rPr>
          <w:b/>
        </w:rPr>
      </w:pPr>
      <w:r w:rsidRPr="000F6CD1">
        <w:t xml:space="preserve">Older people approved for the RCP can only access services they have been approved for. </w:t>
      </w:r>
    </w:p>
    <w:p w14:paraId="0068D265" w14:textId="77777777" w:rsidR="004D556D" w:rsidRPr="000F6CD1" w:rsidRDefault="004D556D" w:rsidP="00A677C9">
      <w:pPr>
        <w:spacing w:before="240" w:after="240" w:line="240" w:lineRule="auto"/>
      </w:pPr>
      <w:r w:rsidRPr="000F6CD1">
        <w:t xml:space="preserve">Assessors should consider what services are being accessed under the person’s ongoing Support at Home classification and ensure they are complementary (and be based on need connected to their restorative care approval). Assessors should note that delivery of multidisciplinary intensive allied health/nursing services is a key element of the RCP. </w:t>
      </w:r>
    </w:p>
    <w:p w14:paraId="505C0E2F" w14:textId="77777777" w:rsidR="004D556D" w:rsidRPr="000F6CD1" w:rsidRDefault="004D556D" w:rsidP="00A677C9">
      <w:pPr>
        <w:spacing w:before="240" w:after="240" w:line="240" w:lineRule="auto"/>
      </w:pPr>
      <w:r w:rsidRPr="000F6CD1">
        <w:t xml:space="preserve">Restorative care management is also a mandatory service type when undertaking the RCP. To search for a RCP provider, people can search for the service type ‘restorative care management’ through the ‘Find a Provider’ website (when ‘Support at Home program’ is selected. </w:t>
      </w:r>
    </w:p>
    <w:p w14:paraId="76990254" w14:textId="72A91CE1" w:rsidR="004D556D" w:rsidRPr="000F6CD1" w:rsidRDefault="004D556D" w:rsidP="00806A21">
      <w:pPr>
        <w:pStyle w:val="Sub-headings"/>
      </w:pPr>
      <w:r w:rsidRPr="00AE7603">
        <w:t>Note:</w:t>
      </w:r>
      <w:r w:rsidRPr="000F6CD1">
        <w:t xml:space="preserve"> </w:t>
      </w:r>
      <w:r w:rsidR="00F23895">
        <w:br/>
      </w:r>
      <w:r w:rsidR="00F23895">
        <w:br/>
      </w:r>
      <w:r w:rsidRPr="000F6CD1">
        <w:t xml:space="preserve">From 29 June 2026, Hoarding and Squalor services and Restorative Care Pathway can be recommended together (which was previously blocked), however, they remain separate programs with Hoarding and Squalor still being delivered via CHSP. </w:t>
      </w:r>
    </w:p>
    <w:p w14:paraId="66FB5643" w14:textId="77777777" w:rsidR="004D556D" w:rsidRPr="000F6CD1" w:rsidRDefault="004D556D" w:rsidP="00806A21">
      <w:pPr>
        <w:pStyle w:val="Sub-headings"/>
      </w:pPr>
      <w:r w:rsidRPr="000F6CD1">
        <w:t xml:space="preserve">Note: If the client is assessed in hospital, the Restorative Care Pathway should not be recommended. Assessors should consider appropriate alternative services. </w:t>
      </w:r>
    </w:p>
    <w:p w14:paraId="53292B05" w14:textId="77777777" w:rsidR="004D556D" w:rsidRPr="000F6CD1" w:rsidRDefault="004D556D" w:rsidP="00AD2CE5">
      <w:pPr>
        <w:pStyle w:val="H3"/>
      </w:pPr>
      <w:r w:rsidRPr="000F6CD1">
        <w:t>Interactions with other programs</w:t>
      </w:r>
    </w:p>
    <w:p w14:paraId="6D64411F" w14:textId="77777777" w:rsidR="004D556D" w:rsidRPr="000F6CD1" w:rsidRDefault="004D556D" w:rsidP="00A677C9">
      <w:pPr>
        <w:pStyle w:val="Caption"/>
        <w:spacing w:before="240" w:after="240"/>
      </w:pPr>
      <w:r w:rsidRPr="000F6CD1">
        <w:t xml:space="preserve">Table 25. Restorative Care Pathway interaction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storative Care Pathway interaction with other programs"/>
        <w:tblDescription w:val="The table provides an overview of the interaction between the Support at Home Restorative Care Pathway and other funded aged care programs"/>
      </w:tblPr>
      <w:tblGrid>
        <w:gridCol w:w="2122"/>
        <w:gridCol w:w="6894"/>
      </w:tblGrid>
      <w:tr w:rsidR="004D556D" w:rsidRPr="000F6CD1" w14:paraId="4C8FDDAA" w14:textId="77777777">
        <w:trPr>
          <w:tblHeader/>
        </w:trPr>
        <w:tc>
          <w:tcPr>
            <w:tcW w:w="2122" w:type="dxa"/>
            <w:shd w:val="clear" w:color="auto" w:fill="002060"/>
          </w:tcPr>
          <w:p w14:paraId="3A232817" w14:textId="77777777" w:rsidR="004D556D" w:rsidRPr="000F6CD1" w:rsidRDefault="004D556D" w:rsidP="00A677C9">
            <w:pPr>
              <w:pStyle w:val="H5"/>
              <w:spacing w:before="240" w:after="240"/>
              <w:rPr>
                <w:color w:val="FFFFFF" w:themeColor="background1"/>
              </w:rPr>
            </w:pPr>
            <w:r w:rsidRPr="000F6CD1">
              <w:rPr>
                <w:color w:val="FFFFFF" w:themeColor="background1"/>
              </w:rPr>
              <w:lastRenderedPageBreak/>
              <w:t>Program</w:t>
            </w:r>
          </w:p>
        </w:tc>
        <w:tc>
          <w:tcPr>
            <w:tcW w:w="6894" w:type="dxa"/>
            <w:shd w:val="clear" w:color="auto" w:fill="002060"/>
          </w:tcPr>
          <w:p w14:paraId="71C5CE7F" w14:textId="77777777" w:rsidR="004D556D" w:rsidRPr="000F6CD1" w:rsidRDefault="004D556D" w:rsidP="00A677C9">
            <w:pPr>
              <w:spacing w:before="240" w:after="240"/>
              <w:rPr>
                <w:b/>
                <w:color w:val="FFFFFF" w:themeColor="background1"/>
              </w:rPr>
            </w:pPr>
            <w:r w:rsidRPr="000F6CD1">
              <w:rPr>
                <w:b/>
                <w:color w:val="FFFFFF" w:themeColor="background1"/>
              </w:rPr>
              <w:t>Interaction with Restorative Care Pathway (RCP)</w:t>
            </w:r>
          </w:p>
        </w:tc>
      </w:tr>
      <w:tr w:rsidR="004D556D" w:rsidRPr="000F6CD1" w14:paraId="6D8EE2CF" w14:textId="77777777">
        <w:tc>
          <w:tcPr>
            <w:tcW w:w="2122" w:type="dxa"/>
            <w:shd w:val="clear" w:color="auto" w:fill="002060"/>
          </w:tcPr>
          <w:p w14:paraId="4637A297"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Ongoing Support at Home</w:t>
            </w:r>
          </w:p>
        </w:tc>
        <w:tc>
          <w:tcPr>
            <w:tcW w:w="6894" w:type="dxa"/>
          </w:tcPr>
          <w:p w14:paraId="4F438D41" w14:textId="7194B95C" w:rsidR="004D556D" w:rsidRPr="000F6CD1" w:rsidRDefault="004D556D" w:rsidP="00A677C9">
            <w:pPr>
              <w:spacing w:before="240" w:after="240"/>
            </w:pPr>
            <w:r w:rsidRPr="000F6CD1">
              <w:t xml:space="preserve">If an older person receives an ongoing Support at Home classification through the IAT, this can be overridden to recommend the RCP. </w:t>
            </w:r>
          </w:p>
        </w:tc>
      </w:tr>
      <w:tr w:rsidR="004D556D" w:rsidRPr="000F6CD1" w14:paraId="43AB1DC0" w14:textId="77777777" w:rsidTr="00337D1F">
        <w:trPr>
          <w:trHeight w:val="1518"/>
        </w:trPr>
        <w:tc>
          <w:tcPr>
            <w:tcW w:w="2122" w:type="dxa"/>
            <w:shd w:val="clear" w:color="auto" w:fill="002060"/>
          </w:tcPr>
          <w:p w14:paraId="1ECB333E" w14:textId="0A00844C" w:rsidR="004D556D" w:rsidRPr="000F6CD1" w:rsidRDefault="004D556D" w:rsidP="00A677C9">
            <w:pPr>
              <w:pStyle w:val="H5"/>
              <w:spacing w:before="240" w:after="240"/>
              <w:rPr>
                <w:b w:val="0"/>
                <w:color w:val="FFFFFF" w:themeColor="background1"/>
              </w:rPr>
            </w:pPr>
            <w:r w:rsidRPr="000F6CD1">
              <w:rPr>
                <w:b w:val="0"/>
                <w:color w:val="FFFFFF" w:themeColor="background1"/>
              </w:rPr>
              <w:t>Assistive Technology and Home Modifications (AT-HM) scheme</w:t>
            </w:r>
          </w:p>
        </w:tc>
        <w:tc>
          <w:tcPr>
            <w:tcW w:w="6894" w:type="dxa"/>
          </w:tcPr>
          <w:p w14:paraId="74798F69" w14:textId="04361D1D" w:rsidR="004D556D" w:rsidRPr="000F6CD1" w:rsidRDefault="00A86FDB" w:rsidP="00A677C9">
            <w:pPr>
              <w:spacing w:before="240" w:after="240"/>
            </w:pPr>
            <w:r>
              <w:rPr>
                <w:noProof/>
                <w14:ligatures w14:val="standardContextual"/>
              </w:rPr>
              <w:drawing>
                <wp:anchor distT="0" distB="0" distL="114300" distR="114300" simplePos="0" relativeHeight="251658266" behindDoc="0" locked="0" layoutInCell="1" allowOverlap="1" wp14:anchorId="2B0787D3" wp14:editId="495A2208">
                  <wp:simplePos x="2314575" y="1543050"/>
                  <wp:positionH relativeFrom="margin">
                    <wp:align>left</wp:align>
                  </wp:positionH>
                  <wp:positionV relativeFrom="margin">
                    <wp:align>top</wp:align>
                  </wp:positionV>
                  <wp:extent cx="365792" cy="403895"/>
                  <wp:effectExtent l="0" t="0" r="0" b="0"/>
                  <wp:wrapSquare wrapText="bothSides"/>
                  <wp:docPr id="110868623"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623"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Older people approved for the RCP may also require Assistive Technology or Home Modifications to support good restorative care outcomes. Assessors must always ensure these needs are considered when approving the RCP. </w:t>
            </w:r>
          </w:p>
          <w:p w14:paraId="767FB0B1" w14:textId="67355C67" w:rsidR="004D556D" w:rsidRPr="000F6CD1" w:rsidRDefault="004D556D" w:rsidP="00A677C9">
            <w:pPr>
              <w:spacing w:before="240" w:after="240"/>
            </w:pPr>
            <w:r w:rsidRPr="000F6CD1">
              <w:t xml:space="preserve">Older people who are approved for the RCP are eligible to receive an Assistive Technology low, medium and high funding tier, and low and medium </w:t>
            </w:r>
            <w:r w:rsidRPr="000F6CD1">
              <w:rPr>
                <w:shd w:val="clear" w:color="auto" w:fill="FFFFFF" w:themeFill="background1"/>
              </w:rPr>
              <w:t>tier</w:t>
            </w:r>
            <w:r w:rsidRPr="000F6CD1">
              <w:rPr>
                <w:rStyle w:val="HeaderChar"/>
                <w:shd w:val="clear" w:color="auto" w:fill="FFFFFF" w:themeFill="background1"/>
                <w:lang w:val="en-AU"/>
              </w:rPr>
              <w:t xml:space="preserve"> home modifications</w:t>
            </w:r>
            <w:r w:rsidRPr="000F6CD1">
              <w:t>. Participants with an ongoing Support at Home classification who already have high tier home modifications funding can keep this approval, noting this approval is connected to their ongoing classification approval. </w:t>
            </w:r>
          </w:p>
          <w:p w14:paraId="75E740BA" w14:textId="4348F484" w:rsidR="004D556D" w:rsidRPr="000F6CD1" w:rsidRDefault="004D556D" w:rsidP="00337D1F">
            <w:pPr>
              <w:spacing w:before="240" w:after="240"/>
              <w:rPr>
                <w:b/>
              </w:rPr>
            </w:pPr>
            <w:r w:rsidRPr="000F6CD1">
              <w:t xml:space="preserve">Assistive Technology </w:t>
            </w:r>
            <w:r w:rsidRPr="00557A23">
              <w:rPr>
                <w:b/>
                <w:bCs/>
              </w:rPr>
              <w:t>Medium</w:t>
            </w:r>
            <w:r w:rsidRPr="000F6CD1">
              <w:t xml:space="preserve"> Tier and Home Modifications </w:t>
            </w:r>
            <w:r w:rsidRPr="00557A23">
              <w:rPr>
                <w:b/>
                <w:bCs/>
              </w:rPr>
              <w:t>Medium</w:t>
            </w:r>
            <w:r w:rsidRPr="000F6CD1">
              <w:t xml:space="preserve"> tier will also be added to the recommendation. The assessor can choose to remove the recommendation of AT or HM or edit the recommended AT or HM tier to align with the older person’s needs.</w:t>
            </w:r>
            <w:r w:rsidR="0021431D">
              <w:br/>
            </w:r>
          </w:p>
        </w:tc>
      </w:tr>
      <w:tr w:rsidR="004D556D" w:rsidRPr="000F6CD1" w14:paraId="56AA27B9" w14:textId="77777777">
        <w:tc>
          <w:tcPr>
            <w:tcW w:w="2122" w:type="dxa"/>
            <w:shd w:val="clear" w:color="auto" w:fill="002060"/>
          </w:tcPr>
          <w:p w14:paraId="16A12419"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CHSP</w:t>
            </w:r>
          </w:p>
          <w:p w14:paraId="3EF2824A" w14:textId="77777777" w:rsidR="004D556D" w:rsidRPr="000F6CD1" w:rsidRDefault="004D556D" w:rsidP="00A677C9">
            <w:pPr>
              <w:pStyle w:val="H5"/>
              <w:spacing w:before="240" w:after="240"/>
              <w:rPr>
                <w:b w:val="0"/>
                <w:color w:val="FFFFFF" w:themeColor="background1"/>
              </w:rPr>
            </w:pPr>
          </w:p>
        </w:tc>
        <w:tc>
          <w:tcPr>
            <w:tcW w:w="6894" w:type="dxa"/>
          </w:tcPr>
          <w:p w14:paraId="787D14FD" w14:textId="77777777" w:rsidR="004D556D" w:rsidRPr="000F6CD1" w:rsidRDefault="004D556D" w:rsidP="00A677C9">
            <w:pPr>
              <w:spacing w:before="240" w:after="240"/>
              <w:rPr>
                <w:b/>
              </w:rPr>
            </w:pPr>
            <w:r w:rsidRPr="000F6CD1">
              <w:t xml:space="preserve">Though the IAT will allow a CHSP classification to be overridden to RCP during a comprehensive assessment, an assessor must </w:t>
            </w:r>
            <w:r w:rsidRPr="000F6CD1">
              <w:rPr>
                <w:b/>
                <w:bCs/>
              </w:rPr>
              <w:t>not</w:t>
            </w:r>
            <w:r w:rsidRPr="000F6CD1">
              <w:rPr>
                <w:b/>
              </w:rPr>
              <w:t xml:space="preserve"> </w:t>
            </w:r>
            <w:r w:rsidRPr="000F6CD1">
              <w:t>recommend or approve the RCP for:</w:t>
            </w:r>
          </w:p>
          <w:p w14:paraId="719B3261" w14:textId="0EAFA73F" w:rsidR="004D556D" w:rsidRPr="000F6CD1" w:rsidRDefault="004D556D">
            <w:pPr>
              <w:pStyle w:val="ListParagraph"/>
              <w:numPr>
                <w:ilvl w:val="0"/>
                <w:numId w:val="169"/>
              </w:numPr>
              <w:spacing w:before="240" w:after="240"/>
              <w:rPr>
                <w:b/>
              </w:rPr>
            </w:pPr>
            <w:r w:rsidRPr="000F6CD1">
              <w:t xml:space="preserve">an older person new to the aged care system and not receiving aged care services, who is recommended CHSP by the </w:t>
            </w:r>
            <w:r w:rsidR="00386B7E">
              <w:t>IAT Outcome</w:t>
            </w:r>
            <w:r w:rsidRPr="000F6CD1">
              <w:t>; or</w:t>
            </w:r>
          </w:p>
          <w:p w14:paraId="69E8B8D5" w14:textId="0D3117C0" w:rsidR="004D556D" w:rsidRPr="000F6CD1" w:rsidRDefault="004D556D">
            <w:pPr>
              <w:pStyle w:val="ListParagraph"/>
              <w:numPr>
                <w:ilvl w:val="0"/>
                <w:numId w:val="169"/>
              </w:numPr>
              <w:spacing w:before="240" w:after="240"/>
              <w:rPr>
                <w:b/>
              </w:rPr>
            </w:pPr>
            <w:r w:rsidRPr="000F6CD1">
              <w:t xml:space="preserve">an older person already accessing CHSP, who is recommended CHSP by the </w:t>
            </w:r>
            <w:r w:rsidR="00386B7E">
              <w:t>IAT Outcome</w:t>
            </w:r>
            <w:r w:rsidRPr="000F6CD1">
              <w:t>.</w:t>
            </w:r>
          </w:p>
          <w:p w14:paraId="2007BE7D" w14:textId="77777777" w:rsidR="004D556D" w:rsidRPr="000F6CD1" w:rsidRDefault="004D556D" w:rsidP="00A677C9">
            <w:pPr>
              <w:spacing w:before="240" w:after="240"/>
            </w:pPr>
            <w:r w:rsidRPr="000F6CD1">
              <w:t>(Noting, where a CHSP classification outcome is generated, RCP cannot be recommended for approval (in line with section 81-15 of the Aged Care Rules.) </w:t>
            </w:r>
          </w:p>
          <w:p w14:paraId="64238598" w14:textId="5AEF40A8" w:rsidR="004D556D" w:rsidRPr="000F6CD1" w:rsidRDefault="004D556D" w:rsidP="00A677C9">
            <w:pPr>
              <w:spacing w:before="240" w:after="240"/>
            </w:pPr>
            <w:r w:rsidRPr="000F6CD1">
              <w:t xml:space="preserve">If an older person accessing CHSP is recommended an ongoing Support at Home classification through a reassessment using the IAT, this can be overridden to recommend the RCP. </w:t>
            </w:r>
          </w:p>
          <w:p w14:paraId="41C8FD4C" w14:textId="60D93B27" w:rsidR="004D556D" w:rsidRPr="000F6CD1" w:rsidRDefault="004D556D" w:rsidP="00A677C9">
            <w:pPr>
              <w:spacing w:before="240" w:after="240"/>
            </w:pPr>
            <w:r w:rsidRPr="000F6CD1">
              <w:t>Note: Older people can access allied health and therapy services through CHSP. Assessors can recommend reablement and/or allied health and therapy services on their support plan.</w:t>
            </w:r>
            <w:r w:rsidR="0021431D">
              <w:br/>
            </w:r>
          </w:p>
        </w:tc>
      </w:tr>
      <w:tr w:rsidR="004D556D" w:rsidRPr="000F6CD1" w14:paraId="174444DC" w14:textId="77777777" w:rsidTr="00776D02">
        <w:tc>
          <w:tcPr>
            <w:tcW w:w="2122" w:type="dxa"/>
            <w:tcBorders>
              <w:top w:val="single" w:sz="4" w:space="0" w:color="FFFFFF" w:themeColor="background1"/>
            </w:tcBorders>
            <w:shd w:val="clear" w:color="auto" w:fill="002060"/>
          </w:tcPr>
          <w:p w14:paraId="58C2B940" w14:textId="77777777" w:rsidR="004D556D" w:rsidRPr="000F6CD1" w:rsidRDefault="004D556D" w:rsidP="00E50AD0">
            <w:pPr>
              <w:pageBreakBefore/>
              <w:spacing w:before="240" w:after="240"/>
            </w:pPr>
            <w:r w:rsidRPr="000F6CD1">
              <w:rPr>
                <w:color w:val="FFFFFF" w:themeColor="background1"/>
              </w:rPr>
              <w:lastRenderedPageBreak/>
              <w:t>End-of-Life Pathway (or if they have recently accessed this pathway) </w:t>
            </w:r>
          </w:p>
        </w:tc>
        <w:tc>
          <w:tcPr>
            <w:tcW w:w="6894" w:type="dxa"/>
            <w:vMerge w:val="restart"/>
            <w:tcBorders>
              <w:top w:val="single" w:sz="4" w:space="0" w:color="FFFFFF" w:themeColor="background1"/>
            </w:tcBorders>
            <w:vAlign w:val="center"/>
          </w:tcPr>
          <w:p w14:paraId="4264274B" w14:textId="1FF6265A" w:rsidR="004D556D" w:rsidRPr="004E5CBC" w:rsidRDefault="004D556D" w:rsidP="00E50AD0">
            <w:pPr>
              <w:pageBreakBefore/>
              <w:spacing w:before="240" w:after="240"/>
              <w:rPr>
                <w:b/>
              </w:rPr>
            </w:pPr>
            <w:r w:rsidRPr="000F6CD1">
              <w:t>Cannot receive the Restorative Care Pathway at the same time (applicable for EoL, TCP and permanent Residential Care). </w:t>
            </w:r>
          </w:p>
        </w:tc>
      </w:tr>
      <w:tr w:rsidR="004D556D" w:rsidRPr="000F6CD1" w14:paraId="68A43D4F" w14:textId="77777777" w:rsidTr="00B44FCD">
        <w:trPr>
          <w:trHeight w:val="398"/>
        </w:trPr>
        <w:tc>
          <w:tcPr>
            <w:tcW w:w="2122" w:type="dxa"/>
            <w:shd w:val="clear" w:color="auto" w:fill="002060"/>
          </w:tcPr>
          <w:p w14:paraId="2BCDFC1A" w14:textId="3DF54022" w:rsidR="004D556D" w:rsidRPr="00B44FCD" w:rsidRDefault="004D556D" w:rsidP="00B44FCD">
            <w:pPr>
              <w:spacing w:before="240" w:after="240"/>
              <w:rPr>
                <w:color w:val="FFFFFF" w:themeColor="background1"/>
              </w:rPr>
            </w:pPr>
            <w:r w:rsidRPr="000F6CD1">
              <w:rPr>
                <w:color w:val="FFFFFF" w:themeColor="background1"/>
              </w:rPr>
              <w:t>Transition Care Program </w:t>
            </w:r>
          </w:p>
        </w:tc>
        <w:tc>
          <w:tcPr>
            <w:tcW w:w="6894" w:type="dxa"/>
            <w:vMerge/>
          </w:tcPr>
          <w:p w14:paraId="184D4D89" w14:textId="77777777" w:rsidR="004D556D" w:rsidRPr="000F6CD1" w:rsidRDefault="004D556D" w:rsidP="00A677C9">
            <w:pPr>
              <w:pStyle w:val="H5"/>
              <w:spacing w:before="240" w:after="240"/>
            </w:pPr>
          </w:p>
        </w:tc>
      </w:tr>
      <w:tr w:rsidR="004D556D" w:rsidRPr="000F6CD1" w14:paraId="3D326184" w14:textId="77777777">
        <w:tc>
          <w:tcPr>
            <w:tcW w:w="2122" w:type="dxa"/>
            <w:shd w:val="clear" w:color="auto" w:fill="002060"/>
          </w:tcPr>
          <w:p w14:paraId="7FD0F6E8" w14:textId="77777777" w:rsidR="004D556D" w:rsidRPr="000F6CD1" w:rsidRDefault="004D556D" w:rsidP="00A677C9">
            <w:pPr>
              <w:spacing w:before="240" w:after="240"/>
              <w:rPr>
                <w:color w:val="FFFFFF" w:themeColor="background1"/>
              </w:rPr>
            </w:pPr>
            <w:r w:rsidRPr="000F6CD1">
              <w:rPr>
                <w:color w:val="FFFFFF" w:themeColor="background1"/>
              </w:rPr>
              <w:t>Permanent Residential Care</w:t>
            </w:r>
          </w:p>
        </w:tc>
        <w:tc>
          <w:tcPr>
            <w:tcW w:w="6894" w:type="dxa"/>
            <w:vMerge/>
          </w:tcPr>
          <w:p w14:paraId="0E9D221D" w14:textId="77777777" w:rsidR="004D556D" w:rsidRPr="000F6CD1" w:rsidRDefault="004D556D" w:rsidP="00A677C9">
            <w:pPr>
              <w:pStyle w:val="H5"/>
              <w:spacing w:before="240" w:after="240"/>
            </w:pPr>
          </w:p>
        </w:tc>
      </w:tr>
    </w:tbl>
    <w:p w14:paraId="50D3DA85" w14:textId="77777777" w:rsidR="004D556D" w:rsidRPr="000F6CD1" w:rsidRDefault="004D556D" w:rsidP="00AD2CE5">
      <w:pPr>
        <w:pStyle w:val="H3"/>
        <w:rPr>
          <w:i/>
        </w:rPr>
      </w:pPr>
      <w:r w:rsidRPr="000F6CD1">
        <w:t>Lapse in Restorative Care Pathway access</w:t>
      </w:r>
    </w:p>
    <w:p w14:paraId="6A730ACA" w14:textId="77777777" w:rsidR="004D556D" w:rsidRPr="000F6CD1" w:rsidRDefault="004D556D" w:rsidP="00A677C9">
      <w:pPr>
        <w:spacing w:before="240" w:after="240" w:line="240" w:lineRule="auto"/>
        <w:rPr>
          <w:b/>
        </w:rPr>
      </w:pPr>
      <w:r w:rsidRPr="000F6CD1">
        <w:t>Access to the Restorative Care Pathway (RCP) will lapse if:  </w:t>
      </w:r>
    </w:p>
    <w:p w14:paraId="5A71C57E" w14:textId="77777777" w:rsidR="004D556D" w:rsidRPr="000F6CD1" w:rsidRDefault="004D556D" w:rsidP="00DF3F6B">
      <w:pPr>
        <w:pStyle w:val="ListParagraph"/>
        <w:numPr>
          <w:ilvl w:val="0"/>
          <w:numId w:val="168"/>
        </w:numPr>
        <w:spacing w:before="240" w:after="240" w:line="240" w:lineRule="auto"/>
      </w:pPr>
      <w:r w:rsidRPr="000F6CD1">
        <w:t>the older person’s episode of RCP ends (maximum 16 weeks); or </w:t>
      </w:r>
    </w:p>
    <w:p w14:paraId="59B25202" w14:textId="77777777" w:rsidR="004D556D" w:rsidRPr="000F6CD1" w:rsidRDefault="004D556D" w:rsidP="00DF3F6B">
      <w:pPr>
        <w:pStyle w:val="ListParagraph"/>
        <w:numPr>
          <w:ilvl w:val="0"/>
          <w:numId w:val="168"/>
        </w:numPr>
        <w:spacing w:before="240" w:after="240" w:line="240" w:lineRule="auto"/>
      </w:pPr>
      <w:r w:rsidRPr="000F6CD1">
        <w:t>a person does not enter into an agreement with a provider to deliver the RCP before the access code expires (within 56 days of approval with a further 28 days if My Aged Care is contacted for an extension). </w:t>
      </w:r>
    </w:p>
    <w:p w14:paraId="2900EB66" w14:textId="2E9B482A" w:rsidR="004D556D" w:rsidRPr="000F6CD1" w:rsidRDefault="004D556D" w:rsidP="00A677C9">
      <w:pPr>
        <w:spacing w:before="240" w:after="240" w:line="240" w:lineRule="auto"/>
      </w:pPr>
      <w:r w:rsidRPr="000F6CD1">
        <w:t>An older person will need to be reassessed if they wish to access the RCP after their access period ends lapses (with a 90 day break applied).</w:t>
      </w:r>
      <w:r w:rsidR="008A2A84" w:rsidRPr="000F6CD1">
        <w:t xml:space="preserve"> </w:t>
      </w:r>
    </w:p>
    <w:p w14:paraId="23536546" w14:textId="77777777" w:rsidR="004D556D" w:rsidRPr="000F6CD1" w:rsidRDefault="004D556D" w:rsidP="00AD2CE5">
      <w:pPr>
        <w:pStyle w:val="H3"/>
      </w:pPr>
      <w:bookmarkStart w:id="489" w:name="_Toc198008573"/>
      <w:r w:rsidRPr="000F6CD1">
        <w:t>Manual oversight of Restorative Care Pathway places</w:t>
      </w:r>
      <w:bookmarkEnd w:id="489"/>
    </w:p>
    <w:p w14:paraId="5160F144" w14:textId="696837BA" w:rsidR="004D556D" w:rsidRPr="000F6CD1" w:rsidRDefault="004D556D" w:rsidP="6CF46889">
      <w:pPr>
        <w:spacing w:before="240" w:after="240" w:line="240" w:lineRule="auto"/>
      </w:pPr>
      <w:r w:rsidRPr="000F6CD1">
        <w:t xml:space="preserve">RCP places are capped at 20,000 units per year across Australia, managed as around 5,000 units per quarter. There are no in-system prompts or controls to prevent the approval of RCP funding units beyond the quarterly caps. Weekly reports of approvals made are generated, allowing the Department to monitor RCP approvals and communicate with assessment organisations when approvals approach or exceed the assigned caps. </w:t>
      </w:r>
    </w:p>
    <w:p w14:paraId="0F149872" w14:textId="77777777" w:rsidR="004D556D" w:rsidRPr="000F6CD1" w:rsidRDefault="004D556D" w:rsidP="00A677C9">
      <w:pPr>
        <w:spacing w:before="240" w:after="240" w:line="240" w:lineRule="auto"/>
      </w:pPr>
      <w:r w:rsidRPr="000F6CD1">
        <w:t xml:space="preserve">Those with an active Short-Term Restorative Care (STRC) approval (who did not start STRC before 1 November 2025), have had their approvals transferred into an approval for RCP. </w:t>
      </w:r>
    </w:p>
    <w:p w14:paraId="2428FF9E" w14:textId="77777777" w:rsidR="004D556D" w:rsidRPr="000F6CD1" w:rsidRDefault="004D556D" w:rsidP="00A677C9">
      <w:pPr>
        <w:spacing w:before="240" w:after="240" w:line="240" w:lineRule="auto"/>
        <w:rPr>
          <w:b/>
        </w:rPr>
      </w:pPr>
      <w:r w:rsidRPr="000F6CD1">
        <w:rPr>
          <w:b/>
        </w:rPr>
        <w:t>Note for this cohort using their STRC approval to access the RCP</w:t>
      </w:r>
      <w:r w:rsidRPr="000F6CD1">
        <w:t>:</w:t>
      </w:r>
    </w:p>
    <w:p w14:paraId="53E31EB3" w14:textId="77777777" w:rsidR="004D556D" w:rsidRPr="000F6CD1" w:rsidRDefault="004D556D" w:rsidP="00DF3F6B">
      <w:pPr>
        <w:pStyle w:val="ListParagraph"/>
        <w:numPr>
          <w:ilvl w:val="0"/>
          <w:numId w:val="479"/>
        </w:numPr>
        <w:spacing w:before="240" w:after="240" w:line="240" w:lineRule="auto"/>
      </w:pPr>
      <w:r w:rsidRPr="000F6CD1">
        <w:t>This cohort will also be accessing the RCP units of funding for the first six months from 1 November 2025.</w:t>
      </w:r>
      <w:r w:rsidRPr="000F6CD1">
        <w:rPr>
          <w:rFonts w:eastAsiaTheme="minorEastAsia"/>
        </w:rPr>
        <w:t xml:space="preserve"> </w:t>
      </w:r>
    </w:p>
    <w:p w14:paraId="4B1D8BBF" w14:textId="77777777" w:rsidR="004D556D" w:rsidRPr="000F6CD1" w:rsidRDefault="004D556D" w:rsidP="00DF3F6B">
      <w:pPr>
        <w:pStyle w:val="ListParagraph"/>
        <w:numPr>
          <w:ilvl w:val="0"/>
          <w:numId w:val="208"/>
        </w:numPr>
        <w:spacing w:before="240" w:after="240" w:line="240" w:lineRule="auto"/>
        <w:rPr>
          <w:rFonts w:eastAsiaTheme="minorEastAsia"/>
        </w:rPr>
      </w:pPr>
      <w:r w:rsidRPr="000F6CD1">
        <w:rPr>
          <w:rFonts w:eastAsiaTheme="minorEastAsia"/>
        </w:rPr>
        <w:t xml:space="preserve">A second unit of funding to use within a single RCP episode can be requested via a support plan review (SPR) request. However, assessors will need to self-refer this for reassessment to grant access to a second unit of funding. This is because the ability to add a second unit via SPR will not be available on the assessor portal for those with an STRC approval. </w:t>
      </w:r>
    </w:p>
    <w:p w14:paraId="47870C9B" w14:textId="77777777" w:rsidR="004D556D" w:rsidRPr="000F6CD1" w:rsidRDefault="004D556D" w:rsidP="00DF3F6B">
      <w:pPr>
        <w:pStyle w:val="ListParagraph"/>
        <w:numPr>
          <w:ilvl w:val="1"/>
          <w:numId w:val="208"/>
        </w:numPr>
        <w:spacing w:before="240" w:after="240" w:line="240" w:lineRule="auto"/>
        <w:rPr>
          <w:rFonts w:eastAsiaTheme="minorEastAsia"/>
        </w:rPr>
      </w:pPr>
      <w:r w:rsidRPr="000F6CD1">
        <w:rPr>
          <w:rFonts w:eastAsiaTheme="minorEastAsia"/>
        </w:rPr>
        <w:t>The reassessment can be done over the phone and does not require queuing for a face-to-face assessment.</w:t>
      </w:r>
    </w:p>
    <w:p w14:paraId="22FB7791" w14:textId="77777777" w:rsidR="004D556D" w:rsidRPr="000F6CD1" w:rsidRDefault="004D556D" w:rsidP="00DF3F6B">
      <w:pPr>
        <w:pStyle w:val="ListParagraph"/>
        <w:numPr>
          <w:ilvl w:val="1"/>
          <w:numId w:val="208"/>
        </w:numPr>
        <w:spacing w:before="240" w:after="240" w:line="240" w:lineRule="auto"/>
      </w:pPr>
      <w:r w:rsidRPr="000F6CD1">
        <w:rPr>
          <w:rFonts w:eastAsiaTheme="minorEastAsia"/>
        </w:rPr>
        <w:lastRenderedPageBreak/>
        <w:t>The decision to approve a second unit will be informed by evidence submitted by the provider with the SPR request.</w:t>
      </w:r>
    </w:p>
    <w:p w14:paraId="2426C6AD" w14:textId="460CFEA2" w:rsidR="004D556D" w:rsidRPr="000F6CD1" w:rsidRDefault="004D556D" w:rsidP="00DF3F6B">
      <w:pPr>
        <w:pStyle w:val="ListParagraph"/>
        <w:numPr>
          <w:ilvl w:val="1"/>
          <w:numId w:val="208"/>
        </w:numPr>
        <w:spacing w:before="240" w:after="240" w:line="240" w:lineRule="auto"/>
      </w:pPr>
    </w:p>
    <w:p w14:paraId="7EA09BE2" w14:textId="77777777" w:rsidR="004D556D" w:rsidRPr="000F6CD1" w:rsidRDefault="004D556D" w:rsidP="00DF3F6B">
      <w:pPr>
        <w:pStyle w:val="ListParagraph"/>
        <w:numPr>
          <w:ilvl w:val="0"/>
          <w:numId w:val="208"/>
        </w:numPr>
        <w:spacing w:before="240" w:after="240" w:line="240" w:lineRule="auto"/>
        <w:rPr>
          <w:rFonts w:eastAsiaTheme="minorEastAsia"/>
        </w:rPr>
      </w:pPr>
      <w:r w:rsidRPr="000F6CD1">
        <w:t>When a request for a second unit of RCP is received assessors should confirm if there is ap</w:t>
      </w:r>
      <w:r w:rsidRPr="000F6CD1">
        <w:rPr>
          <w:rFonts w:eastAsiaTheme="minorEastAsia"/>
        </w:rPr>
        <w:t>proval for STRC and RCP on the client’s record. If there is approval for both, the assessor will need to confirm with the client if the client entered care under the RCP after 1 November 2025 using the STRC approval. If this is the case, then the assessor must not approve a third unit of RCP funding.</w:t>
      </w:r>
    </w:p>
    <w:p w14:paraId="7289206A" w14:textId="77777777" w:rsidR="004D556D" w:rsidRPr="000F6CD1" w:rsidRDefault="004D556D" w:rsidP="00DF3F6B">
      <w:pPr>
        <w:pStyle w:val="ListParagraph"/>
        <w:numPr>
          <w:ilvl w:val="0"/>
          <w:numId w:val="208"/>
        </w:numPr>
        <w:spacing w:before="240" w:after="240" w:line="240" w:lineRule="auto"/>
      </w:pPr>
      <w:r w:rsidRPr="000F6CD1">
        <w:rPr>
          <w:rFonts w:eastAsiaTheme="minorEastAsia"/>
        </w:rPr>
        <w:t>If the participant is eligible to access an additional RCP unit they must wait at least 12 months before accessing another episode.</w:t>
      </w:r>
    </w:p>
    <w:p w14:paraId="11AD7154" w14:textId="1608EFDC" w:rsidR="004D556D" w:rsidRPr="000F6CD1" w:rsidRDefault="004D556D" w:rsidP="00A677C9">
      <w:pPr>
        <w:spacing w:before="240" w:after="240" w:line="240" w:lineRule="auto"/>
      </w:pPr>
      <w:r w:rsidRPr="000F6CD1">
        <w:t>Assessors will need to remain acutely aware of any communication from the department regarding RCP caps to ensure you are making informed decisions. These communications will be the </w:t>
      </w:r>
      <w:r w:rsidRPr="000F6CD1">
        <w:rPr>
          <w:b/>
        </w:rPr>
        <w:t>primary tool</w:t>
      </w:r>
      <w:r w:rsidRPr="000F6CD1">
        <w:t> for identifying the number of RCP approvals made. Being responsive to these insights is essential for avoiding over-allocation.</w:t>
      </w:r>
    </w:p>
    <w:p w14:paraId="748D7502" w14:textId="6CFA8972" w:rsidR="004D556D" w:rsidRPr="000F6CD1" w:rsidRDefault="004D556D" w:rsidP="00A677C9">
      <w:pPr>
        <w:spacing w:before="240" w:after="240" w:line="240" w:lineRule="auto"/>
      </w:pPr>
      <w:r w:rsidRPr="000F6CD1">
        <w:t xml:space="preserve">Before recommending the RCP for approval, assessors should consider whether other service types or alternative supports - such as other Support at Home services or reablement options under the Commonwealth Home Support Program (CHSP) - could provide an equivalent level of support. This ensures that recommendations for approval are appropriate to an individual's </w:t>
      </w:r>
      <w:r w:rsidR="00FC0E80" w:rsidRPr="000F6CD1">
        <w:t>needs.</w:t>
      </w:r>
    </w:p>
    <w:p w14:paraId="71CEB400" w14:textId="77777777" w:rsidR="004D556D" w:rsidRPr="000F6CD1" w:rsidRDefault="004D556D" w:rsidP="00AD2CE5">
      <w:pPr>
        <w:pStyle w:val="H3"/>
        <w:rPr>
          <w:i/>
        </w:rPr>
      </w:pPr>
      <w:r w:rsidRPr="000F6CD1">
        <w:t>Restorative care funding</w:t>
      </w:r>
    </w:p>
    <w:p w14:paraId="21DC61F5" w14:textId="77777777" w:rsidR="004D556D" w:rsidRPr="000F6CD1" w:rsidRDefault="004D556D" w:rsidP="00A677C9">
      <w:pPr>
        <w:spacing w:before="240" w:after="240" w:line="240" w:lineRule="auto"/>
      </w:pPr>
      <w:r w:rsidRPr="000F6CD1">
        <w:t>The RCP provides around $6,000 of funding, for up to 16 weeks. The total amount of funding a participant uses and length of time to complete an episode can differ. Restorative care partners will consider this when developing the goal plan.</w:t>
      </w:r>
    </w:p>
    <w:p w14:paraId="1EA6B485" w14:textId="7C9654C0" w:rsidR="004D556D" w:rsidRPr="000F6CD1" w:rsidRDefault="004D556D" w:rsidP="00A677C9">
      <w:pPr>
        <w:spacing w:before="240" w:after="240" w:line="240" w:lineRule="auto"/>
      </w:pPr>
      <w:r w:rsidRPr="000F6CD1">
        <w:t xml:space="preserve">At times, participants with higher needs may require additional funding over and above the $6,000 allocated per episode. If the participant requires additional funding within a single 16-week episode, the provider can submit a request for a support plan review. If certain circumstances are met, approval can be given for the additional $6,000 in funds to support the episode (see Chapter </w:t>
      </w:r>
      <w:r w:rsidRPr="000F6CD1">
        <w:fldChar w:fldCharType="begin"/>
      </w:r>
      <w:r w:rsidRPr="000F6CD1">
        <w:instrText xml:space="preserve"> REF _Ref212735908 \w \h </w:instrText>
      </w:r>
      <w:r w:rsidRPr="000F6CD1">
        <w:fldChar w:fldCharType="separate"/>
      </w:r>
      <w:r w:rsidR="004B171E">
        <w:t>10</w:t>
      </w:r>
      <w:r w:rsidRPr="000F6CD1">
        <w:fldChar w:fldCharType="end"/>
      </w:r>
      <w:r w:rsidRPr="000F6CD1">
        <w:t xml:space="preserve"> on support plan reviews).</w:t>
      </w:r>
    </w:p>
    <w:p w14:paraId="7C6814D9" w14:textId="77777777" w:rsidR="004D556D" w:rsidRPr="000F6CD1" w:rsidRDefault="004D556D" w:rsidP="00A677C9">
      <w:pPr>
        <w:spacing w:before="240" w:after="240" w:line="240" w:lineRule="auto"/>
      </w:pPr>
      <w:r w:rsidRPr="000F6CD1">
        <w:t>If approved, a participant can access an additional unit of funding (up to $6,000), to provide a combined total of up to $12,000, for a single RCP episode. If additional funding is approved, a participant will not be eligible for a further episode of RCP within a 12-month period as they have accessed the maximum 2 units of funding within the first episode.</w:t>
      </w:r>
    </w:p>
    <w:p w14:paraId="3FF4D46C" w14:textId="77777777" w:rsidR="004D556D" w:rsidRPr="000F6CD1" w:rsidRDefault="004D556D" w:rsidP="00A677C9">
      <w:pPr>
        <w:spacing w:before="240" w:after="240" w:line="240" w:lineRule="auto"/>
        <w:rPr>
          <w:b/>
        </w:rPr>
      </w:pPr>
      <w:r w:rsidRPr="000F6CD1">
        <w:t xml:space="preserve">The decision to approve additional funding to the RCP episode is made under </w:t>
      </w:r>
      <w:r w:rsidRPr="000F6CD1">
        <w:rPr>
          <w:i/>
        </w:rPr>
        <w:t>subsection 195-3 of the Rules</w:t>
      </w:r>
      <w:r w:rsidRPr="000F6CD1">
        <w:t xml:space="preserve">. It is a non-reviewable decision. The criteria in the Rules includes that required evidence must be given by the participant’s provider and there must be units of funding available for approval. </w:t>
      </w:r>
    </w:p>
    <w:p w14:paraId="2E861C5C" w14:textId="77777777" w:rsidR="004D556D" w:rsidRPr="000F6CD1" w:rsidRDefault="004D556D" w:rsidP="00A677C9">
      <w:pPr>
        <w:spacing w:before="240" w:after="240" w:line="240" w:lineRule="auto"/>
      </w:pPr>
      <w:r w:rsidRPr="000F6CD1">
        <w:t>Evidence to support the additional funding may include:</w:t>
      </w:r>
    </w:p>
    <w:p w14:paraId="69FAC931" w14:textId="77777777" w:rsidR="004D556D" w:rsidRPr="000F6CD1" w:rsidRDefault="004D556D" w:rsidP="00DF3F6B">
      <w:pPr>
        <w:pStyle w:val="ListParagraph"/>
        <w:numPr>
          <w:ilvl w:val="1"/>
          <w:numId w:val="168"/>
        </w:numPr>
        <w:spacing w:before="240" w:after="240" w:line="240" w:lineRule="auto"/>
      </w:pPr>
      <w:r w:rsidRPr="000F6CD1">
        <w:t>Goal plan and individualised budget outlining how the required clinical interventions are not supported by the initial funding</w:t>
      </w:r>
    </w:p>
    <w:p w14:paraId="447B3E56" w14:textId="76BA3D05" w:rsidR="004D556D" w:rsidRPr="000F6CD1" w:rsidRDefault="004D556D" w:rsidP="00FC0E80">
      <w:pPr>
        <w:pStyle w:val="ListParagraph"/>
        <w:numPr>
          <w:ilvl w:val="1"/>
          <w:numId w:val="168"/>
        </w:numPr>
        <w:spacing w:before="240" w:after="240" w:line="240" w:lineRule="auto"/>
      </w:pPr>
      <w:r w:rsidRPr="000F6CD1">
        <w:t>Information as to why ongoing funding cannot be used to complement restorative care clinical goals.</w:t>
      </w:r>
    </w:p>
    <w:p w14:paraId="47133F7C" w14:textId="276B5E98" w:rsidR="00D41040" w:rsidRDefault="004D556D" w:rsidP="00A677C9">
      <w:pPr>
        <w:spacing w:before="240" w:after="240" w:line="240" w:lineRule="auto"/>
      </w:pPr>
      <w:r w:rsidRPr="000F6CD1">
        <w:t xml:space="preserve">The assessment delegate must send a letter to the older person (and their registered supporter/s, if required under the Act) notifying them of the outcome of the application for the additional funding. Refer to Section </w:t>
      </w:r>
      <w:r w:rsidR="00F34799">
        <w:fldChar w:fldCharType="begin"/>
      </w:r>
      <w:r w:rsidR="00F34799">
        <w:instrText xml:space="preserve"> REF _Ref232691010 \r \h </w:instrText>
      </w:r>
      <w:r w:rsidR="00F34799">
        <w:fldChar w:fldCharType="separate"/>
      </w:r>
      <w:r w:rsidR="004B171E">
        <w:t>9.3.6</w:t>
      </w:r>
      <w:r w:rsidR="00F34799">
        <w:fldChar w:fldCharType="end"/>
      </w:r>
      <w:r w:rsidR="00F34799">
        <w:t xml:space="preserve"> </w:t>
      </w:r>
      <w:r w:rsidRPr="000F6CD1">
        <w:t xml:space="preserve">for more details. </w:t>
      </w:r>
    </w:p>
    <w:p w14:paraId="48775482" w14:textId="77777777" w:rsidR="004D556D" w:rsidRPr="00F23895" w:rsidRDefault="004D556D" w:rsidP="00806A21">
      <w:pPr>
        <w:pStyle w:val="Sub-headings"/>
      </w:pPr>
      <w:r w:rsidRPr="00F23895">
        <w:lastRenderedPageBreak/>
        <w:t xml:space="preserve">Note: </w:t>
      </w:r>
    </w:p>
    <w:p w14:paraId="24F1DE9D" w14:textId="3F04F7DD" w:rsidR="004D556D" w:rsidRPr="000F6CD1" w:rsidRDefault="004D556D" w:rsidP="00806A21">
      <w:pPr>
        <w:pStyle w:val="Sub-headings"/>
      </w:pPr>
      <w:r w:rsidRPr="000F6CD1">
        <w:t>This is a different template to the Notice of Decision issue</w:t>
      </w:r>
      <w:r w:rsidR="00000807">
        <w:t>d</w:t>
      </w:r>
      <w:r w:rsidRPr="000F6CD1">
        <w:t xml:space="preserve"> for other approval decisions. </w:t>
      </w:r>
    </w:p>
    <w:p w14:paraId="6DF5E946" w14:textId="77777777" w:rsidR="004D556D" w:rsidRPr="000F6CD1" w:rsidRDefault="004D556D" w:rsidP="007601F4"/>
    <w:p w14:paraId="0E032422" w14:textId="77777777" w:rsidR="004D556D" w:rsidRPr="000F6CD1" w:rsidRDefault="004D556D" w:rsidP="00AD2CE5">
      <w:pPr>
        <w:pStyle w:val="H3"/>
        <w:rPr>
          <w:i/>
        </w:rPr>
      </w:pPr>
      <w:r w:rsidRPr="000F6CD1">
        <w:t xml:space="preserve">Restorative Care Pathway and the Support at Home Priority System </w:t>
      </w:r>
    </w:p>
    <w:p w14:paraId="298DF003" w14:textId="77777777" w:rsidR="004D556D" w:rsidRPr="000F6CD1" w:rsidRDefault="004D556D" w:rsidP="00A677C9">
      <w:pPr>
        <w:spacing w:before="240" w:after="240" w:line="240" w:lineRule="auto"/>
      </w:pPr>
      <w:r w:rsidRPr="000F6CD1">
        <w:t>The Restorative Care Pathway (RCP) is not subject to the Support at Home Priority System. People can access RCP</w:t>
      </w:r>
      <w:r w:rsidRPr="000F6CD1">
        <w:rPr>
          <w:b/>
        </w:rPr>
        <w:t xml:space="preserve"> </w:t>
      </w:r>
      <w:r w:rsidRPr="000F6CD1">
        <w:t xml:space="preserve">once a Notice of Decision letter has been received after delegate approval. Please note that selecting the RCP will mean that any new ongoing or higher ongoing Support at Home classifications cannot be selected. As such, assessors should consider long term need when approving for the RCP. An assessor may only select an ongoing (or new ongoing) Support at Home classification which will put them in the Priority system OR select RCP. </w:t>
      </w:r>
    </w:p>
    <w:p w14:paraId="453D7DC1" w14:textId="77777777" w:rsidR="004D556D" w:rsidRPr="000F6CD1" w:rsidRDefault="004D556D" w:rsidP="00A677C9">
      <w:pPr>
        <w:spacing w:before="240" w:after="240" w:line="240" w:lineRule="auto"/>
      </w:pPr>
      <w:r w:rsidRPr="000F6CD1">
        <w:t>RCP participants will have immediate access to any recommended assistive technology and home modifications under the AT-HM scheme based on their assessed needs.</w:t>
      </w:r>
    </w:p>
    <w:p w14:paraId="630E26B5" w14:textId="77777777" w:rsidR="004D556D" w:rsidRPr="000F6CD1" w:rsidRDefault="004D556D" w:rsidP="00AD2CE5">
      <w:pPr>
        <w:pStyle w:val="H3"/>
        <w:rPr>
          <w:i/>
        </w:rPr>
      </w:pPr>
      <w:r w:rsidRPr="000F6CD1">
        <w:t>Hospitalisation, residential respite and leave </w:t>
      </w:r>
    </w:p>
    <w:p w14:paraId="2E73A649" w14:textId="1BE92A52" w:rsidR="004D556D" w:rsidRPr="000F6CD1" w:rsidRDefault="004D556D" w:rsidP="00E5515B">
      <w:pPr>
        <w:spacing w:before="240" w:after="240" w:line="240" w:lineRule="auto"/>
      </w:pPr>
      <w:r w:rsidRPr="000F6CD1">
        <w:t xml:space="preserve">People may need to enter hospital or residential respite while accessing the RCP. There are no leave provisions under Support at Home. If a person’s RCP episode finishes while they are in hospital or residential respite, they will need to consider reassessment to determine what will meet their </w:t>
      </w:r>
      <w:bookmarkStart w:id="490" w:name="_Toc198813683"/>
      <w:bookmarkStart w:id="491" w:name="_Toc209188997"/>
      <w:bookmarkStart w:id="492" w:name="_Toc204329566"/>
      <w:r w:rsidR="00413E78" w:rsidRPr="000F6CD1">
        <w:t>needs</w:t>
      </w:r>
      <w:bookmarkEnd w:id="490"/>
      <w:bookmarkEnd w:id="491"/>
      <w:bookmarkEnd w:id="492"/>
      <w:r w:rsidR="00E5515B">
        <w:t xml:space="preserve">. </w:t>
      </w:r>
    </w:p>
    <w:p w14:paraId="4B76B7F8" w14:textId="77777777" w:rsidR="0040305C" w:rsidRDefault="0040305C">
      <w:r>
        <w:br w:type="page"/>
      </w:r>
    </w:p>
    <w:p w14:paraId="06954442" w14:textId="7CFB6889" w:rsidR="00861EB5" w:rsidRPr="000F6CD1" w:rsidRDefault="00861EB5" w:rsidP="00861EB5">
      <w:pPr>
        <w:pStyle w:val="h2"/>
      </w:pPr>
      <w:bookmarkStart w:id="493" w:name="_Toc233282457"/>
      <w:r>
        <w:lastRenderedPageBreak/>
        <w:t>Support at Home – End-of-Life Pathway</w:t>
      </w:r>
      <w:bookmarkEnd w:id="493"/>
    </w:p>
    <w:p w14:paraId="5FF96343" w14:textId="77777777" w:rsidR="00E5515B" w:rsidRPr="000F6CD1" w:rsidRDefault="00E5515B" w:rsidP="00E5515B">
      <w:pPr>
        <w:spacing w:before="240" w:after="240" w:line="240" w:lineRule="auto"/>
        <w:rPr>
          <w:rFonts w:eastAsia="Aptos"/>
        </w:rPr>
      </w:pPr>
      <w:bookmarkStart w:id="494" w:name="_Ref233128798"/>
      <w:r w:rsidRPr="000F6CD1">
        <w:rPr>
          <w:rFonts w:eastAsia="Aptos"/>
        </w:rPr>
        <w:t xml:space="preserve">The End-of-Life Pathway is one of the short-term home support classifications under the Support at Home program. </w:t>
      </w:r>
      <w:r w:rsidRPr="000F6CD1">
        <w:t xml:space="preserve">A participant can access one episode of the End-of-Life Pathway. A total of $25,000 is available per eligible participant over a 12-week period. This is the highest funding classification category (per day) available in the Support at Home program. </w:t>
      </w:r>
    </w:p>
    <w:p w14:paraId="7D61F7B9" w14:textId="77777777" w:rsidR="00E5515B" w:rsidRPr="000F6CD1" w:rsidRDefault="00E5515B" w:rsidP="00E5515B">
      <w:pPr>
        <w:spacing w:before="240" w:after="240" w:line="240" w:lineRule="auto"/>
      </w:pPr>
      <w:r w:rsidRPr="000F6CD1">
        <w:t>An older person is eligible to access this pathway if they meet the following criteria:</w:t>
      </w:r>
    </w:p>
    <w:p w14:paraId="3269741C" w14:textId="77777777" w:rsidR="00E5515B" w:rsidRPr="000F6CD1" w:rsidRDefault="00E5515B" w:rsidP="00E5515B">
      <w:pPr>
        <w:pStyle w:val="Header"/>
        <w:numPr>
          <w:ilvl w:val="0"/>
          <w:numId w:val="142"/>
        </w:numPr>
        <w:shd w:val="clear" w:color="auto" w:fill="FFFFFF" w:themeFill="background1"/>
        <w:spacing w:before="240" w:after="240" w:line="240" w:lineRule="auto"/>
        <w:rPr>
          <w:rFonts w:eastAsiaTheme="majorEastAsia"/>
          <w:b w:val="0"/>
          <w:bCs w:val="0"/>
        </w:rPr>
      </w:pPr>
      <w:r w:rsidRPr="000F6CD1">
        <w:rPr>
          <w:rFonts w:eastAsiaTheme="majorEastAsia"/>
          <w:b w:val="0"/>
          <w:bCs w:val="0"/>
        </w:rPr>
        <w:t>A doctor or nurse practitioner advises an estimated life expectancy of 3 months or less to live</w:t>
      </w:r>
    </w:p>
    <w:p w14:paraId="12983269" w14:textId="77777777" w:rsidR="00E5515B" w:rsidRPr="000F6CD1" w:rsidRDefault="00E5515B" w:rsidP="00E5515B">
      <w:pPr>
        <w:pStyle w:val="Header"/>
        <w:numPr>
          <w:ilvl w:val="0"/>
          <w:numId w:val="142"/>
        </w:numPr>
        <w:shd w:val="clear" w:color="auto" w:fill="FFFFFF" w:themeFill="background1"/>
        <w:spacing w:before="240" w:after="240" w:line="240" w:lineRule="auto"/>
        <w:rPr>
          <w:rFonts w:eastAsiaTheme="majorEastAsia"/>
          <w:b w:val="0"/>
        </w:rPr>
      </w:pPr>
      <w:r w:rsidRPr="000F6CD1">
        <w:rPr>
          <w:rFonts w:eastAsiaTheme="majorEastAsia"/>
          <w:b w:val="0"/>
        </w:rPr>
        <w:t>Australian-modified Karnofsky Performance Status (AKPS) score (mobility/frailty indicator) of 40 or less.</w:t>
      </w:r>
    </w:p>
    <w:p w14:paraId="0C8AC85A" w14:textId="70DB8163" w:rsidR="00E5515B" w:rsidRDefault="00E5515B" w:rsidP="00E5515B">
      <w:pPr>
        <w:spacing w:before="240" w:after="240" w:line="240" w:lineRule="auto"/>
      </w:pPr>
      <w:r w:rsidRPr="000F6CD1">
        <w:t xml:space="preserve">Funding can be used to access the participant’s approved services from the Home Support service list, including care management. </w:t>
      </w:r>
    </w:p>
    <w:p w14:paraId="25BF1CDB" w14:textId="5B093D8A" w:rsidR="004D556D" w:rsidRPr="000F6CD1" w:rsidRDefault="004D556D" w:rsidP="00E5515B">
      <w:pPr>
        <w:pStyle w:val="H3"/>
      </w:pPr>
      <w:r w:rsidRPr="000F6CD1">
        <w:t>End-of-Life Pathway form</w:t>
      </w:r>
      <w:bookmarkEnd w:id="494"/>
    </w:p>
    <w:p w14:paraId="2FC2CB56" w14:textId="77777777" w:rsidR="004D556D" w:rsidRPr="000F6CD1" w:rsidRDefault="004D556D" w:rsidP="00A677C9">
      <w:pPr>
        <w:spacing w:before="240" w:after="240" w:line="240" w:lineRule="auto"/>
        <w:rPr>
          <w:rFonts w:eastAsia="Aptos"/>
        </w:rPr>
      </w:pPr>
      <w:r w:rsidRPr="000F6CD1">
        <w:rPr>
          <w:rFonts w:eastAsia="Aptos"/>
        </w:rPr>
        <w:t>The End-of-Life Pathway form is used to document the required medical evidence for accessing the End-of-Life Pathway under the Support at Home program.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w:t>
      </w:r>
    </w:p>
    <w:p w14:paraId="5EFF6A8C" w14:textId="28606573" w:rsidR="004D556D" w:rsidRPr="000F6CD1" w:rsidRDefault="004D556D" w:rsidP="00F21947">
      <w:pPr>
        <w:spacing w:before="240" w:after="240" w:line="240" w:lineRule="auto"/>
        <w:rPr>
          <w:rFonts w:eastAsia="Aptos"/>
        </w:rPr>
      </w:pPr>
      <w:r w:rsidRPr="000F6CD1">
        <w:rPr>
          <w:rFonts w:eastAsia="Aptos"/>
        </w:rPr>
        <w:t>The End-of-Life Pathway Form is required to be completed and submitted before a participant can be assessed as eligible for the End-of-Life Pathway. Assessors are responsible for ensuring they receive the completed End-of-Life Pathway Form to proceed with the assessment. In cases where an aged care assessment or support plan review (SPR) is undertaken via telehealth (and where digital referral or GP e-referral is not used), assessors must assist older people to ensure the completed End-of-Life Pathway Form is submitted. Options for lodging the completed End-of-Life Pathway Form include:</w:t>
      </w:r>
    </w:p>
    <w:p w14:paraId="07A76191" w14:textId="77777777" w:rsidR="004D556D" w:rsidRPr="000F6CD1" w:rsidRDefault="004D556D" w:rsidP="002332D4">
      <w:pPr>
        <w:numPr>
          <w:ilvl w:val="1"/>
          <w:numId w:val="487"/>
        </w:numPr>
        <w:spacing w:before="240" w:after="240" w:line="240" w:lineRule="auto"/>
        <w:rPr>
          <w:rFonts w:eastAsia="Aptos"/>
        </w:rPr>
      </w:pPr>
      <w:r w:rsidRPr="000F6CD1">
        <w:rPr>
          <w:rFonts w:eastAsia="Aptos"/>
        </w:rPr>
        <w:t>An older person or their support person may nominate to send the signed form directly to the assessment organisation via their preferred mechanism (for example, email). Assessors should contact the person to discuss their options and assist to obtain the form in cases where a person is unable to send the form themselves due to circumstances such as digital barriers or limited access to support; or</w:t>
      </w:r>
    </w:p>
    <w:p w14:paraId="6CCE1856" w14:textId="28ABFDAF" w:rsidR="004D556D" w:rsidRPr="007940D7" w:rsidRDefault="004D556D" w:rsidP="00711284">
      <w:pPr>
        <w:numPr>
          <w:ilvl w:val="1"/>
          <w:numId w:val="487"/>
        </w:numPr>
        <w:spacing w:before="240" w:after="240" w:line="240" w:lineRule="auto"/>
        <w:rPr>
          <w:rFonts w:eastAsia="Aptos"/>
        </w:rPr>
      </w:pPr>
      <w:r w:rsidRPr="000F6CD1">
        <w:rPr>
          <w:rFonts w:eastAsia="Aptos"/>
        </w:rPr>
        <w:t>Assessors contact the relevant medical or nurse practitioner to request they send the completed End-of-Life Pathway Form to the assessment organisation via their standard processes for information sharing (for example, fax)</w:t>
      </w:r>
    </w:p>
    <w:p w14:paraId="39889227" w14:textId="77777777" w:rsidR="004D556D" w:rsidRPr="000F6CD1" w:rsidRDefault="004D556D" w:rsidP="00A677C9">
      <w:pPr>
        <w:spacing w:before="240" w:after="240" w:line="240" w:lineRule="auto"/>
        <w:rPr>
          <w:rFonts w:eastAsia="Aptos"/>
        </w:rPr>
      </w:pPr>
      <w:r w:rsidRPr="000F6CD1">
        <w:rPr>
          <w:rFonts w:eastAsia="Aptos"/>
        </w:rPr>
        <w:t>Assessment delegates are responsible for verifying the completion of this form in the older person’s record when the End-of-Life Pathway has been flagged in the My Aged Care assessor portal.</w:t>
      </w:r>
    </w:p>
    <w:p w14:paraId="475BC632" w14:textId="77777777" w:rsidR="004D556D" w:rsidRPr="000F6CD1" w:rsidRDefault="004D556D" w:rsidP="00A677C9">
      <w:pPr>
        <w:spacing w:before="240" w:after="240" w:line="240" w:lineRule="auto"/>
        <w:rPr>
          <w:rFonts w:eastAsia="Aptos"/>
        </w:rPr>
      </w:pPr>
      <w:r w:rsidRPr="000F6CD1">
        <w:rPr>
          <w:rFonts w:eastAsia="Aptos"/>
        </w:rPr>
        <w:t>Reviewing the form will involve:</w:t>
      </w:r>
    </w:p>
    <w:p w14:paraId="26CF58D0" w14:textId="77777777" w:rsidR="004D556D" w:rsidRPr="000F6CD1" w:rsidRDefault="004D556D" w:rsidP="00DF3F6B">
      <w:pPr>
        <w:numPr>
          <w:ilvl w:val="0"/>
          <w:numId w:val="192"/>
        </w:numPr>
        <w:spacing w:before="240" w:after="240" w:line="240" w:lineRule="auto"/>
        <w:contextualSpacing/>
        <w:rPr>
          <w:rFonts w:eastAsia="Aptos"/>
        </w:rPr>
      </w:pPr>
      <w:r w:rsidRPr="000F6CD1">
        <w:rPr>
          <w:rFonts w:eastAsia="Aptos"/>
        </w:rPr>
        <w:t>Checking the individual’s details to ensure they match the record in the portal.</w:t>
      </w:r>
    </w:p>
    <w:p w14:paraId="7B8EE592" w14:textId="77777777" w:rsidR="004D556D" w:rsidRPr="000F6CD1" w:rsidRDefault="004D556D" w:rsidP="00DF3F6B">
      <w:pPr>
        <w:numPr>
          <w:ilvl w:val="0"/>
          <w:numId w:val="192"/>
        </w:numPr>
        <w:spacing w:before="240" w:after="240" w:line="240" w:lineRule="auto"/>
        <w:contextualSpacing/>
        <w:rPr>
          <w:rFonts w:eastAsia="Aptos"/>
        </w:rPr>
      </w:pPr>
      <w:r w:rsidRPr="000F6CD1">
        <w:rPr>
          <w:rFonts w:eastAsia="Aptos"/>
        </w:rPr>
        <w:t>Verifying the completion of all areas of the Medical Assessment section to confirm:</w:t>
      </w:r>
    </w:p>
    <w:p w14:paraId="340A1337" w14:textId="77777777" w:rsidR="004D556D" w:rsidRPr="000F6CD1" w:rsidRDefault="004D556D" w:rsidP="000027E3">
      <w:pPr>
        <w:spacing w:before="240" w:after="240" w:line="240" w:lineRule="auto"/>
        <w:ind w:left="720"/>
        <w:contextualSpacing/>
        <w:rPr>
          <w:rFonts w:eastAsia="Aptos"/>
        </w:rPr>
      </w:pPr>
      <w:r w:rsidRPr="000F6CD1">
        <w:rPr>
          <w:rFonts w:eastAsia="Aptos"/>
        </w:rPr>
        <w:lastRenderedPageBreak/>
        <w:t xml:space="preserve"> </w:t>
      </w:r>
    </w:p>
    <w:p w14:paraId="01900485" w14:textId="77777777" w:rsidR="004D556D" w:rsidRPr="000F6CD1" w:rsidRDefault="004D556D" w:rsidP="00DF3F6B">
      <w:pPr>
        <w:numPr>
          <w:ilvl w:val="0"/>
          <w:numId w:val="193"/>
        </w:numPr>
        <w:spacing w:before="240" w:after="240" w:line="240" w:lineRule="auto"/>
        <w:contextualSpacing/>
        <w:rPr>
          <w:rFonts w:eastAsia="Aptos"/>
        </w:rPr>
      </w:pPr>
      <w:r w:rsidRPr="000F6CD1">
        <w:rPr>
          <w:rFonts w:eastAsia="Aptos"/>
        </w:rPr>
        <w:t>The individual has a prognosis of a life expectancy of three months or less, and </w:t>
      </w:r>
    </w:p>
    <w:p w14:paraId="0D0A0623" w14:textId="77777777" w:rsidR="004D556D" w:rsidRPr="000F6CD1" w:rsidRDefault="004D556D" w:rsidP="00DF3F6B">
      <w:pPr>
        <w:numPr>
          <w:ilvl w:val="0"/>
          <w:numId w:val="193"/>
        </w:numPr>
        <w:spacing w:before="240" w:after="240" w:line="240" w:lineRule="auto"/>
        <w:contextualSpacing/>
        <w:rPr>
          <w:rFonts w:eastAsia="Aptos"/>
        </w:rPr>
      </w:pPr>
      <w:r w:rsidRPr="000F6CD1">
        <w:rPr>
          <w:rFonts w:eastAsia="Aptos"/>
        </w:rPr>
        <w:t>An Australian-modified Karnofsky Performance Status (AKPS) score of 40 or less.</w:t>
      </w:r>
    </w:p>
    <w:p w14:paraId="549A1973" w14:textId="77777777" w:rsidR="004D556D" w:rsidRPr="000F6CD1" w:rsidRDefault="004D556D" w:rsidP="00DF3F6B">
      <w:pPr>
        <w:numPr>
          <w:ilvl w:val="0"/>
          <w:numId w:val="193"/>
        </w:numPr>
        <w:spacing w:before="240" w:after="240" w:line="240" w:lineRule="auto"/>
        <w:contextualSpacing/>
        <w:rPr>
          <w:rFonts w:eastAsia="Aptos"/>
        </w:rPr>
      </w:pPr>
      <w:r w:rsidRPr="000F6CD1">
        <w:rPr>
          <w:rFonts w:eastAsia="Aptos"/>
        </w:rPr>
        <w:t>Medical practitioner or nurse practitioner has completed and signed the form.</w:t>
      </w:r>
    </w:p>
    <w:p w14:paraId="36CF209D" w14:textId="77777777" w:rsidR="004D556D" w:rsidRPr="000F6CD1" w:rsidRDefault="004D556D" w:rsidP="00A677C9">
      <w:pPr>
        <w:spacing w:before="240" w:after="240" w:line="240" w:lineRule="auto"/>
        <w:rPr>
          <w:rFonts w:eastAsia="Aptos"/>
        </w:rPr>
      </w:pPr>
    </w:p>
    <w:p w14:paraId="4323024C" w14:textId="77777777" w:rsidR="004D556D" w:rsidRPr="000F6CD1" w:rsidRDefault="004D556D" w:rsidP="00A677C9">
      <w:pPr>
        <w:spacing w:before="240" w:after="240" w:line="240" w:lineRule="auto"/>
        <w:rPr>
          <w:rFonts w:eastAsia="Aptos"/>
        </w:rPr>
      </w:pPr>
      <w:r w:rsidRPr="000F6CD1">
        <w:rPr>
          <w:rFonts w:eastAsia="Aptos"/>
        </w:rPr>
        <w:t xml:space="preserve">An individual will </w:t>
      </w:r>
      <w:r w:rsidRPr="000F6CD1">
        <w:rPr>
          <w:rFonts w:eastAsia="Aptos"/>
          <w:b/>
        </w:rPr>
        <w:t>not</w:t>
      </w:r>
      <w:r w:rsidRPr="000F6CD1">
        <w:rPr>
          <w:rFonts w:eastAsia="Aptos"/>
        </w:rPr>
        <w:t xml:space="preserve"> be eligible for approval for the End-of-Life Pathway if the required criteria outlined in the medical assessment section are not met.</w:t>
      </w:r>
    </w:p>
    <w:p w14:paraId="311C0097" w14:textId="77777777" w:rsidR="004D556D" w:rsidRPr="000F6CD1" w:rsidRDefault="004D556D" w:rsidP="00AD2CE5">
      <w:pPr>
        <w:pStyle w:val="H3"/>
      </w:pPr>
      <w:r w:rsidRPr="000F6CD1">
        <w:t xml:space="preserve">Accessing the End-of-Life Pathway </w:t>
      </w:r>
    </w:p>
    <w:p w14:paraId="1A4F78AD" w14:textId="27CCBEEB" w:rsidR="004D556D" w:rsidRPr="000F6CD1" w:rsidRDefault="004D556D" w:rsidP="00A677C9">
      <w:pPr>
        <w:spacing w:before="240" w:after="240" w:line="240" w:lineRule="auto"/>
        <w:rPr>
          <w:rFonts w:eastAsia="Aptos"/>
          <w:b/>
        </w:rPr>
      </w:pPr>
      <w:r w:rsidRPr="000F6CD1">
        <w:rPr>
          <w:rFonts w:eastAsia="Aptos"/>
        </w:rPr>
        <w:t>Existing Support at Home participants can access End-of-Life Pathway through a support plan review. This is usually requested through the My Aged Care Service and Support Portal by the older person’s provider and should be made using the approved form.</w:t>
      </w:r>
      <w:r w:rsidRPr="000F6CD1">
        <w:rPr>
          <w:rFonts w:eastAsia="Aptos"/>
          <w:b/>
        </w:rPr>
        <w:t xml:space="preserve"> </w:t>
      </w:r>
    </w:p>
    <w:p w14:paraId="75D533D3" w14:textId="77777777" w:rsidR="004D556D" w:rsidRPr="000F6CD1" w:rsidRDefault="004D556D" w:rsidP="00A677C9">
      <w:pPr>
        <w:spacing w:before="240" w:after="240" w:line="240" w:lineRule="auto"/>
        <w:rPr>
          <w:rFonts w:eastAsia="Aptos"/>
          <w:b/>
        </w:rPr>
      </w:pPr>
      <w:r w:rsidRPr="000F6CD1">
        <w:rPr>
          <w:rFonts w:eastAsia="Aptos"/>
        </w:rPr>
        <w:t>Older people can seek a referral through their medical practitioner or other health professional (using the Make a Referral or GP e-referral channels) or by contacting the My Aged Care contact centre or using Apply Online. The End-of-Life Pathway form must be attached for referrals using Make a Referral or GP e-referral. For other entry pathways, Triage is still able to be undertaken without a completed End-of-Life Pathway Form. In these instances, participants should be advised at Triage to have the form completed by an appropriate medical practitioner (their GP, non-GP specialist or nurse practitioner.)  The End-of-Life Pathway Form</w:t>
      </w:r>
      <w:r w:rsidRPr="000F6CD1">
        <w:rPr>
          <w:rFonts w:eastAsia="Aptos"/>
          <w:b/>
        </w:rPr>
        <w:t xml:space="preserve"> </w:t>
      </w:r>
      <w:r w:rsidRPr="000F6CD1">
        <w:rPr>
          <w:rFonts w:eastAsia="Aptos"/>
        </w:rPr>
        <w:t>must be completed before the End-of-Life Pathway is approved</w:t>
      </w:r>
      <w:r w:rsidRPr="000F6CD1">
        <w:rPr>
          <w:rFonts w:eastAsia="Aptos"/>
          <w:b/>
        </w:rPr>
        <w:t xml:space="preserve">. </w:t>
      </w:r>
    </w:p>
    <w:p w14:paraId="0F322196" w14:textId="77777777" w:rsidR="004D556D" w:rsidRPr="000F6CD1" w:rsidRDefault="004D556D" w:rsidP="00A677C9">
      <w:pPr>
        <w:spacing w:before="240" w:after="240" w:line="240" w:lineRule="auto"/>
        <w:rPr>
          <w:rFonts w:eastAsia="Aptos"/>
        </w:rPr>
      </w:pPr>
      <w:r w:rsidRPr="000F6CD1">
        <w:rPr>
          <w:rFonts w:eastAsia="Aptos"/>
        </w:rPr>
        <w:t>Once approved, services are delivered under the End-of-Life Pathway classification and care partners work with any relevant state and territory palliative services to ensure care is appropriate and tailored to the individual's preferences and needs.</w:t>
      </w:r>
    </w:p>
    <w:p w14:paraId="113F3BC1" w14:textId="77777777" w:rsidR="004D556D" w:rsidRPr="000F6CD1" w:rsidRDefault="004D556D" w:rsidP="00AD2CE5">
      <w:pPr>
        <w:pStyle w:val="H3"/>
      </w:pPr>
      <w:r w:rsidRPr="000F6CD1">
        <w:t>Interactions with other programs</w:t>
      </w:r>
    </w:p>
    <w:p w14:paraId="41E420CC" w14:textId="77777777" w:rsidR="004D556D" w:rsidRPr="000F6CD1" w:rsidRDefault="004D556D" w:rsidP="00A677C9">
      <w:pPr>
        <w:pStyle w:val="Caption"/>
        <w:spacing w:before="240" w:after="240"/>
      </w:pPr>
      <w:r w:rsidRPr="000F6CD1">
        <w:t xml:space="preserve">Table 26. End-of-Life Pathway 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End-of-Life Pathway interactions with other programs"/>
        <w:tblDescription w:val="The table provides an overview of the interaction between the Support at Home End of Life Pathway and other funded aged care programs"/>
      </w:tblPr>
      <w:tblGrid>
        <w:gridCol w:w="2122"/>
        <w:gridCol w:w="6894"/>
      </w:tblGrid>
      <w:tr w:rsidR="004D556D" w:rsidRPr="000F6CD1" w14:paraId="06EC9DD3" w14:textId="77777777" w:rsidTr="00337D1F">
        <w:trPr>
          <w:tblHeader/>
        </w:trPr>
        <w:tc>
          <w:tcPr>
            <w:tcW w:w="2122" w:type="dxa"/>
            <w:shd w:val="clear" w:color="auto" w:fill="002060"/>
          </w:tcPr>
          <w:p w14:paraId="67CB0919" w14:textId="77777777" w:rsidR="004D556D" w:rsidRPr="000F6CD1" w:rsidRDefault="004D556D" w:rsidP="00A677C9">
            <w:pPr>
              <w:pStyle w:val="H5"/>
              <w:spacing w:before="240" w:after="240"/>
              <w:rPr>
                <w:color w:val="FFFFFF" w:themeColor="background1"/>
              </w:rPr>
            </w:pPr>
            <w:r w:rsidRPr="000F6CD1">
              <w:rPr>
                <w:color w:val="FFFFFF" w:themeColor="background1"/>
              </w:rPr>
              <w:t>Program</w:t>
            </w:r>
          </w:p>
        </w:tc>
        <w:tc>
          <w:tcPr>
            <w:tcW w:w="6894" w:type="dxa"/>
            <w:shd w:val="clear" w:color="auto" w:fill="002060"/>
          </w:tcPr>
          <w:p w14:paraId="7328FFDC" w14:textId="77777777" w:rsidR="004D556D" w:rsidRPr="000F6CD1" w:rsidRDefault="004D556D" w:rsidP="00A677C9">
            <w:pPr>
              <w:spacing w:before="240" w:after="240"/>
              <w:rPr>
                <w:b/>
                <w:bCs/>
                <w:color w:val="FFFFFF" w:themeColor="background1"/>
              </w:rPr>
            </w:pPr>
            <w:r w:rsidRPr="000F6CD1">
              <w:rPr>
                <w:b/>
                <w:bCs/>
                <w:color w:val="FFFFFF" w:themeColor="background1"/>
              </w:rPr>
              <w:t>Interaction with the End-of-Life Pathway</w:t>
            </w:r>
          </w:p>
        </w:tc>
      </w:tr>
      <w:tr w:rsidR="004D556D" w:rsidRPr="000F6CD1" w14:paraId="71FB5131" w14:textId="77777777" w:rsidTr="00A21115">
        <w:trPr>
          <w:trHeight w:val="1390"/>
        </w:trPr>
        <w:tc>
          <w:tcPr>
            <w:tcW w:w="2122" w:type="dxa"/>
            <w:shd w:val="clear" w:color="auto" w:fill="002060"/>
            <w:vAlign w:val="center"/>
          </w:tcPr>
          <w:p w14:paraId="3E6F67B7"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Assistive Technology and Home Modifications (AT-HM) scheme</w:t>
            </w:r>
          </w:p>
          <w:p w14:paraId="52EABCEF" w14:textId="77777777" w:rsidR="004D556D" w:rsidRPr="000F6CD1" w:rsidRDefault="004D556D" w:rsidP="00A677C9">
            <w:pPr>
              <w:pStyle w:val="H5"/>
              <w:spacing w:before="240" w:after="240"/>
              <w:rPr>
                <w:b w:val="0"/>
                <w:color w:val="FFFFFF" w:themeColor="background1"/>
              </w:rPr>
            </w:pPr>
          </w:p>
        </w:tc>
        <w:tc>
          <w:tcPr>
            <w:tcW w:w="6894" w:type="dxa"/>
          </w:tcPr>
          <w:p w14:paraId="125EF46B" w14:textId="77777777" w:rsidR="004D556D" w:rsidRPr="000F6CD1" w:rsidRDefault="004D556D" w:rsidP="00A677C9">
            <w:pPr>
              <w:spacing w:before="240" w:after="240"/>
            </w:pPr>
            <w:r w:rsidRPr="000F6CD1">
              <w:rPr>
                <w:rFonts w:eastAsia="Aptos"/>
              </w:rPr>
              <w:t xml:space="preserve">Individuals receiving support through the End-of-Life Pathway can be approved to access assistive technology </w:t>
            </w:r>
            <w:r w:rsidRPr="00F34799">
              <w:rPr>
                <w:rFonts w:eastAsia="Aptos"/>
                <w:b/>
                <w:bCs/>
              </w:rPr>
              <w:t>low</w:t>
            </w:r>
            <w:r w:rsidRPr="000F6CD1">
              <w:rPr>
                <w:rFonts w:eastAsia="Aptos"/>
              </w:rPr>
              <w:t xml:space="preserve"> or </w:t>
            </w:r>
            <w:r w:rsidRPr="00F34799">
              <w:rPr>
                <w:rFonts w:eastAsia="Aptos"/>
                <w:b/>
                <w:bCs/>
              </w:rPr>
              <w:t>medium</w:t>
            </w:r>
            <w:r w:rsidRPr="000F6CD1">
              <w:rPr>
                <w:rFonts w:eastAsia="Aptos"/>
              </w:rPr>
              <w:t xml:space="preserve"> tier only at the same time. </w:t>
            </w:r>
            <w:r w:rsidRPr="000F6CD1">
              <w:t>If approved for assistive technology, immediate AT-HM scheme funding can also be used to access products and equipment from the AT-HM list. If eligible, primary supplements will also apply to participants. The assessor will need to select assistive technology for this to be added to the support plan.</w:t>
            </w:r>
          </w:p>
          <w:p w14:paraId="5FD36D4F" w14:textId="77777777" w:rsidR="004D556D" w:rsidRPr="000F6CD1" w:rsidRDefault="004D556D" w:rsidP="00A677C9">
            <w:pPr>
              <w:spacing w:before="240" w:after="240"/>
              <w:rPr>
                <w:rFonts w:eastAsia="Aptos"/>
              </w:rPr>
            </w:pPr>
          </w:p>
          <w:p w14:paraId="2880D86B" w14:textId="151BE19B" w:rsidR="004D556D" w:rsidRPr="00A21115" w:rsidRDefault="004D556D" w:rsidP="00A21115">
            <w:pPr>
              <w:spacing w:before="240" w:after="240"/>
              <w:rPr>
                <w:rFonts w:eastAsia="Aptos"/>
              </w:rPr>
            </w:pPr>
            <w:r w:rsidRPr="000F6CD1">
              <w:rPr>
                <w:rFonts w:eastAsia="Aptos"/>
              </w:rPr>
              <w:t>Access to home modifications is not permitted. If home modifications are already underway through the AT-HM scheme at the time the End-of-Life Pathway is approved, these modifications can continue while accessing the End-of-Life Pathway.</w:t>
            </w:r>
          </w:p>
        </w:tc>
      </w:tr>
      <w:tr w:rsidR="004D556D" w:rsidRPr="000F6CD1" w14:paraId="181D4747" w14:textId="77777777">
        <w:tc>
          <w:tcPr>
            <w:tcW w:w="2122" w:type="dxa"/>
            <w:shd w:val="clear" w:color="auto" w:fill="002060"/>
            <w:vAlign w:val="center"/>
          </w:tcPr>
          <w:p w14:paraId="5166BA36"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lastRenderedPageBreak/>
              <w:t>Residential Respite</w:t>
            </w:r>
          </w:p>
        </w:tc>
        <w:tc>
          <w:tcPr>
            <w:tcW w:w="6894" w:type="dxa"/>
          </w:tcPr>
          <w:p w14:paraId="6D029BBB" w14:textId="77777777" w:rsidR="004D556D" w:rsidRPr="000F6CD1" w:rsidRDefault="004D556D" w:rsidP="00A677C9">
            <w:pPr>
              <w:spacing w:before="240" w:after="240"/>
              <w:rPr>
                <w:rFonts w:eastAsia="Aptos"/>
              </w:rPr>
            </w:pPr>
            <w:r w:rsidRPr="000F6CD1">
              <w:rPr>
                <w:rFonts w:eastAsia="Aptos"/>
              </w:rPr>
              <w:t>Participants accessing the End-of-Life Pathway may continue to access these services during a period of Residential Respite, as long as services are not duplicative.</w:t>
            </w:r>
          </w:p>
        </w:tc>
      </w:tr>
      <w:tr w:rsidR="004D556D" w:rsidRPr="000F6CD1" w14:paraId="03831B8F" w14:textId="77777777">
        <w:tc>
          <w:tcPr>
            <w:tcW w:w="2122" w:type="dxa"/>
            <w:shd w:val="clear" w:color="auto" w:fill="002060"/>
            <w:vAlign w:val="center"/>
          </w:tcPr>
          <w:p w14:paraId="36442976"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Transition Care Program</w:t>
            </w:r>
          </w:p>
        </w:tc>
        <w:tc>
          <w:tcPr>
            <w:tcW w:w="6894" w:type="dxa"/>
          </w:tcPr>
          <w:p w14:paraId="6FF77652" w14:textId="77777777" w:rsidR="004D556D" w:rsidRPr="000F6CD1" w:rsidRDefault="004D556D" w:rsidP="00A677C9">
            <w:pPr>
              <w:spacing w:before="240" w:after="240"/>
              <w:rPr>
                <w:rFonts w:eastAsia="Aptos"/>
              </w:rPr>
            </w:pPr>
            <w:r w:rsidRPr="000F6CD1">
              <w:rPr>
                <w:rFonts w:eastAsia="Aptos"/>
              </w:rPr>
              <w:t xml:space="preserve">Participants accessing the End-of-Life Pathway are not eligible to receive transition care. </w:t>
            </w:r>
          </w:p>
        </w:tc>
      </w:tr>
      <w:tr w:rsidR="004D556D" w:rsidRPr="000F6CD1" w14:paraId="301BF80E" w14:textId="77777777">
        <w:tc>
          <w:tcPr>
            <w:tcW w:w="2122" w:type="dxa"/>
            <w:shd w:val="clear" w:color="auto" w:fill="002060"/>
            <w:vAlign w:val="center"/>
          </w:tcPr>
          <w:p w14:paraId="57C4E27D"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CHSP</w:t>
            </w:r>
          </w:p>
        </w:tc>
        <w:tc>
          <w:tcPr>
            <w:tcW w:w="6894" w:type="dxa"/>
          </w:tcPr>
          <w:p w14:paraId="3731AF53" w14:textId="77777777" w:rsidR="004D556D" w:rsidRPr="000F6CD1" w:rsidRDefault="004D556D" w:rsidP="00A677C9">
            <w:pPr>
              <w:spacing w:before="240" w:after="240"/>
              <w:rPr>
                <w:rFonts w:eastAsia="Aptos"/>
              </w:rPr>
            </w:pPr>
            <w:r w:rsidRPr="000F6CD1">
              <w:rPr>
                <w:rFonts w:eastAsia="Aptos"/>
              </w:rPr>
              <w:t>Participants accessing the End-of-Life Pathway can access CHSP services, including urgent services, in limited circumstances.</w:t>
            </w:r>
          </w:p>
          <w:p w14:paraId="081FDBCC" w14:textId="77777777" w:rsidR="004D556D" w:rsidRPr="000F6CD1" w:rsidRDefault="004D556D" w:rsidP="00A677C9">
            <w:pPr>
              <w:spacing w:before="240" w:after="240"/>
              <w:rPr>
                <w:rFonts w:eastAsia="Aptos"/>
              </w:rPr>
            </w:pPr>
          </w:p>
          <w:p w14:paraId="493FD004" w14:textId="77777777" w:rsidR="004D556D" w:rsidRPr="000F6CD1" w:rsidRDefault="004D556D" w:rsidP="00A677C9">
            <w:pPr>
              <w:spacing w:before="240" w:after="240"/>
              <w:rPr>
                <w:rFonts w:eastAsia="Aptos"/>
              </w:rPr>
            </w:pPr>
            <w:r w:rsidRPr="000F6CD1">
              <w:rPr>
                <w:rFonts w:eastAsia="Aptos"/>
              </w:rPr>
              <w:t>See Table 29 for more information.</w:t>
            </w:r>
          </w:p>
        </w:tc>
      </w:tr>
      <w:tr w:rsidR="004D556D" w:rsidRPr="000F6CD1" w14:paraId="6127FA94" w14:textId="77777777">
        <w:trPr>
          <w:trHeight w:val="759"/>
        </w:trPr>
        <w:tc>
          <w:tcPr>
            <w:tcW w:w="2122" w:type="dxa"/>
            <w:shd w:val="clear" w:color="auto" w:fill="002060"/>
            <w:vAlign w:val="center"/>
          </w:tcPr>
          <w:p w14:paraId="3C07F951" w14:textId="77777777" w:rsidR="004D556D" w:rsidRPr="000F6CD1" w:rsidRDefault="004D556D" w:rsidP="00A677C9">
            <w:pPr>
              <w:pStyle w:val="H5"/>
              <w:spacing w:before="240" w:after="240"/>
              <w:rPr>
                <w:b w:val="0"/>
                <w:color w:val="FFFFFF" w:themeColor="background1"/>
              </w:rPr>
            </w:pPr>
            <w:r w:rsidRPr="000F6CD1">
              <w:rPr>
                <w:b w:val="0"/>
                <w:color w:val="FFFFFF" w:themeColor="background1"/>
              </w:rPr>
              <w:t>Support at Home ongoing</w:t>
            </w:r>
          </w:p>
        </w:tc>
        <w:tc>
          <w:tcPr>
            <w:tcW w:w="6894" w:type="dxa"/>
            <w:vMerge w:val="restart"/>
            <w:vAlign w:val="center"/>
          </w:tcPr>
          <w:p w14:paraId="18F4762A" w14:textId="77777777" w:rsidR="004D556D" w:rsidRPr="000F6CD1" w:rsidRDefault="004D556D" w:rsidP="00A677C9">
            <w:pPr>
              <w:spacing w:before="240" w:after="240"/>
              <w:rPr>
                <w:rFonts w:eastAsia="Aptos"/>
                <w:bCs/>
              </w:rPr>
            </w:pPr>
            <w:r w:rsidRPr="000F6CD1">
              <w:rPr>
                <w:rFonts w:eastAsia="Aptos"/>
                <w:bCs/>
              </w:rPr>
              <w:t xml:space="preserve">An individual cannot access these services under the End-of-Life Pathway </w:t>
            </w:r>
          </w:p>
          <w:p w14:paraId="7565E5A6" w14:textId="77777777" w:rsidR="004D556D" w:rsidRPr="000F6CD1" w:rsidRDefault="004D556D" w:rsidP="00A677C9">
            <w:pPr>
              <w:spacing w:before="240" w:after="240"/>
            </w:pPr>
          </w:p>
        </w:tc>
      </w:tr>
      <w:tr w:rsidR="004D556D" w:rsidRPr="000F6CD1" w14:paraId="4960C932" w14:textId="77777777">
        <w:tc>
          <w:tcPr>
            <w:tcW w:w="2122" w:type="dxa"/>
            <w:shd w:val="clear" w:color="auto" w:fill="002060"/>
            <w:vAlign w:val="center"/>
          </w:tcPr>
          <w:p w14:paraId="55C4E18C" w14:textId="77777777" w:rsidR="004D556D" w:rsidRPr="000F6CD1" w:rsidRDefault="004D556D" w:rsidP="00A677C9">
            <w:pPr>
              <w:spacing w:before="240" w:after="240"/>
              <w:rPr>
                <w:color w:val="FFFFFF" w:themeColor="background1"/>
              </w:rPr>
            </w:pPr>
            <w:r w:rsidRPr="000F6CD1">
              <w:rPr>
                <w:color w:val="FFFFFF" w:themeColor="background1"/>
              </w:rPr>
              <w:t>Restorative Care Pathway</w:t>
            </w:r>
          </w:p>
          <w:p w14:paraId="7D0D9345" w14:textId="77777777" w:rsidR="004D556D" w:rsidRPr="000F6CD1" w:rsidRDefault="004D556D" w:rsidP="00A677C9">
            <w:pPr>
              <w:pStyle w:val="H5"/>
              <w:spacing w:before="240" w:after="240"/>
              <w:rPr>
                <w:b w:val="0"/>
                <w:color w:val="FFFFFF" w:themeColor="background1"/>
              </w:rPr>
            </w:pPr>
          </w:p>
        </w:tc>
        <w:tc>
          <w:tcPr>
            <w:tcW w:w="6894" w:type="dxa"/>
            <w:vMerge/>
            <w:vAlign w:val="center"/>
          </w:tcPr>
          <w:p w14:paraId="0CD7AEFD" w14:textId="77777777" w:rsidR="004D556D" w:rsidRPr="000F6CD1" w:rsidRDefault="004D556D" w:rsidP="00A677C9">
            <w:pPr>
              <w:spacing w:before="240" w:after="240"/>
            </w:pPr>
          </w:p>
        </w:tc>
      </w:tr>
      <w:tr w:rsidR="004D556D" w:rsidRPr="000F6CD1" w14:paraId="5DDB4D56" w14:textId="77777777">
        <w:tc>
          <w:tcPr>
            <w:tcW w:w="2122" w:type="dxa"/>
            <w:shd w:val="clear" w:color="auto" w:fill="002060"/>
            <w:vAlign w:val="center"/>
          </w:tcPr>
          <w:p w14:paraId="7F5F5B78" w14:textId="66712CA9" w:rsidR="004D556D" w:rsidRPr="000F6CD1" w:rsidRDefault="004D556D" w:rsidP="00A677C9">
            <w:pPr>
              <w:spacing w:before="240" w:after="240"/>
              <w:rPr>
                <w:color w:val="FFFFFF" w:themeColor="background1"/>
              </w:rPr>
            </w:pPr>
            <w:r w:rsidRPr="000F6CD1">
              <w:rPr>
                <w:color w:val="FFFFFF" w:themeColor="background1"/>
              </w:rPr>
              <w:t>Permanent Residential Care </w:t>
            </w:r>
          </w:p>
        </w:tc>
        <w:tc>
          <w:tcPr>
            <w:tcW w:w="6894" w:type="dxa"/>
            <w:vMerge/>
          </w:tcPr>
          <w:p w14:paraId="084518F6" w14:textId="77777777" w:rsidR="004D556D" w:rsidRPr="000F6CD1" w:rsidRDefault="004D556D" w:rsidP="00A677C9">
            <w:pPr>
              <w:pStyle w:val="H5"/>
              <w:spacing w:before="240" w:after="240"/>
            </w:pPr>
          </w:p>
        </w:tc>
      </w:tr>
    </w:tbl>
    <w:p w14:paraId="4132D062" w14:textId="77777777" w:rsidR="004D556D" w:rsidRPr="000F6CD1" w:rsidRDefault="004D556D" w:rsidP="00A677C9">
      <w:pPr>
        <w:spacing w:before="240" w:after="240" w:line="240" w:lineRule="auto"/>
        <w:rPr>
          <w:rFonts w:eastAsia="Aptos"/>
        </w:rPr>
      </w:pPr>
      <w:r w:rsidRPr="000F6CD1">
        <w:rPr>
          <w:rFonts w:eastAsia="Aptos"/>
        </w:rPr>
        <w:t>If an individual is eligible for the End-of-Life Pathway, they can be referred and transitioned out of any of the above programs to begin receiving services under the End-of-Life Pathway. Individuals who are accessing services through MPSP or NATSIFACP, can access their SAH End-of-Life approval through those programs as well. Participants accessing the End-of-Life Pathway may continue to access these services during a period of Residential Respite, as long as services are not duplicative.</w:t>
      </w:r>
    </w:p>
    <w:p w14:paraId="557107E8" w14:textId="4989063E" w:rsidR="004D556D" w:rsidRPr="000F6CD1" w:rsidRDefault="004D556D" w:rsidP="00AD2CE5">
      <w:pPr>
        <w:pStyle w:val="H3"/>
      </w:pPr>
      <w:r w:rsidRPr="000F6CD1">
        <w:t>Funding for the End-of-Life Pathway</w:t>
      </w:r>
    </w:p>
    <w:p w14:paraId="6C4933FC" w14:textId="76A1EFA9" w:rsidR="004D556D" w:rsidRPr="000F6CD1" w:rsidRDefault="004D556D" w:rsidP="00A677C9">
      <w:pPr>
        <w:spacing w:before="240" w:after="240" w:line="240" w:lineRule="auto"/>
      </w:pPr>
      <w:r w:rsidRPr="000F6CD1">
        <w:t xml:space="preserve">Funding for the End-of-Life Pathway is discrete from other Support at Home classifications. If an existing Support at Home participant moves to the End-of-Life Pathway, this will replace their ongoing Support at Home classification. </w:t>
      </w:r>
    </w:p>
    <w:p w14:paraId="4F5C292E" w14:textId="542E94C4" w:rsidR="004D556D" w:rsidRPr="000F6CD1" w:rsidRDefault="004D556D" w:rsidP="00A677C9">
      <w:pPr>
        <w:spacing w:before="240" w:after="240" w:line="240" w:lineRule="auto"/>
      </w:pPr>
      <w:r w:rsidRPr="000F6CD1">
        <w:t>Unlike an ongoing classification, participants cannot accrue funds under the End-of-Life Pathway. This means that any unspent budget from an End-of-Life Pathway classification will not follow a participant if they live beyond the End-of-Life funding period and move to an ongoing classification.</w:t>
      </w:r>
    </w:p>
    <w:p w14:paraId="1DA4B370" w14:textId="75A03FA0" w:rsidR="004D556D" w:rsidRPr="000F6CD1" w:rsidRDefault="004D556D" w:rsidP="00A677C9">
      <w:pPr>
        <w:spacing w:before="240" w:after="240" w:line="240" w:lineRule="auto"/>
      </w:pPr>
      <w:r w:rsidRPr="000F6CD1">
        <w:lastRenderedPageBreak/>
        <w:t xml:space="preserve">Transitioned HCP clients can access the End-of-Life Pathway via an SPR, like all existing Support at Home participants. If they require services beyond the End-of-Life Pathway funding period, they can return to their previous transitional classification via an SPR. </w:t>
      </w:r>
    </w:p>
    <w:p w14:paraId="52848E7A" w14:textId="04EFE8DF" w:rsidR="004D556D" w:rsidRPr="000F6CD1" w:rsidRDefault="004D556D" w:rsidP="00AD2CE5">
      <w:pPr>
        <w:pStyle w:val="H3"/>
      </w:pPr>
      <w:r w:rsidRPr="000F6CD1">
        <w:t>Allocation of ongoing Support at Home to the client after End-of-Life Pathway</w:t>
      </w:r>
    </w:p>
    <w:p w14:paraId="425AC067" w14:textId="77777777" w:rsidR="004D556D" w:rsidRPr="000F6CD1" w:rsidRDefault="004D556D" w:rsidP="00A677C9">
      <w:pPr>
        <w:spacing w:before="240" w:after="240" w:line="240" w:lineRule="auto"/>
      </w:pPr>
      <w:r w:rsidRPr="000F6CD1">
        <w:t>If the participant requires ongoing Support at Home services following the completion of the End-of-Life Pathway, the following will apply:</w:t>
      </w:r>
    </w:p>
    <w:p w14:paraId="2E940058" w14:textId="478459E9" w:rsidR="004D556D" w:rsidRPr="000F6CD1" w:rsidRDefault="004D556D" w:rsidP="00A677C9">
      <w:pPr>
        <w:spacing w:before="240" w:after="240" w:line="240" w:lineRule="auto"/>
      </w:pPr>
      <w:r w:rsidRPr="000F6CD1">
        <w:t>Participants who were accessing ongoing Support at Home services prior to accessing the End-of-Life Pathway can be transferred to their previous Support at Home classification via an urgent support plan review. </w:t>
      </w:r>
    </w:p>
    <w:p w14:paraId="7EDDEA09" w14:textId="0AD1D9E4" w:rsidR="004D556D" w:rsidRPr="000F6CD1" w:rsidRDefault="004D556D" w:rsidP="00A677C9">
      <w:pPr>
        <w:spacing w:before="240" w:after="240" w:line="240" w:lineRule="auto"/>
      </w:pPr>
      <w:r w:rsidRPr="000F6CD1">
        <w:t>Participants who were new to Support at Home when they commenced the End-of-Life Pathway can be transferred to the inactive classification that was assigned at their aged care assessment, via an urgent support plan review.</w:t>
      </w:r>
    </w:p>
    <w:p w14:paraId="226852B5" w14:textId="09708815" w:rsidR="004D556D" w:rsidRPr="000F6CD1" w:rsidRDefault="004D556D" w:rsidP="00AD2CE5">
      <w:pPr>
        <w:pStyle w:val="H3"/>
      </w:pPr>
      <w:r w:rsidRPr="000F6CD1">
        <w:t xml:space="preserve">Assessing for End-of-Life Pathway </w:t>
      </w:r>
    </w:p>
    <w:p w14:paraId="1739B1EA" w14:textId="64717D6E" w:rsidR="004D556D" w:rsidRPr="000F6CD1" w:rsidRDefault="004D556D" w:rsidP="00A677C9">
      <w:pPr>
        <w:spacing w:before="240" w:after="240" w:line="240" w:lineRule="auto"/>
      </w:pPr>
      <w:r w:rsidRPr="000F6CD1">
        <w:t xml:space="preserve">When assessing for the End-of-Life Pathway, only mandatory questions that are required to run the </w:t>
      </w:r>
      <w:r w:rsidR="00386B7E">
        <w:t>IAT Outcome</w:t>
      </w:r>
      <w:r w:rsidRPr="000F6CD1">
        <w:t xml:space="preserve"> and generate an ongoing Support at Home classification are required to be completed. This is to ensure the older person has a valid classification to return to if they need services beyond the End-of-Life Pathway funding period. Other questions are optional based on the individual’s needs and context.</w:t>
      </w:r>
    </w:p>
    <w:p w14:paraId="1B6B0E6A" w14:textId="277444BB" w:rsidR="004D556D" w:rsidRPr="000F6CD1" w:rsidRDefault="004D556D" w:rsidP="00AD2CE5">
      <w:pPr>
        <w:pStyle w:val="H3"/>
      </w:pPr>
      <w:r w:rsidRPr="000F6CD1">
        <w:t>Recommending the End-of-Life Pathway in the assessor portal</w:t>
      </w:r>
    </w:p>
    <w:p w14:paraId="7514B905" w14:textId="740DA346" w:rsidR="004D556D" w:rsidRPr="000F6CD1" w:rsidRDefault="004D556D" w:rsidP="00A677C9">
      <w:pPr>
        <w:spacing w:before="240" w:after="240" w:line="240" w:lineRule="auto"/>
      </w:pPr>
      <w:r w:rsidRPr="000F6CD1">
        <w:t>Assessors can select the End-of-Life Pathway for older people under the ‘</w:t>
      </w:r>
      <w:r w:rsidRPr="000F6CD1">
        <w:rPr>
          <w:i/>
        </w:rPr>
        <w:t>Goals &amp; recommendations’</w:t>
      </w:r>
      <w:r w:rsidRPr="000F6CD1">
        <w:t xml:space="preserve"> tab within the Support Plan and services section of the My Aged Care Assessor Portal. It is best practice for End-of-Life to be flagged and verified prior to the commencement of the assessment, however there are allowances to be able to complete these two tasks after an assessment has started. </w:t>
      </w:r>
    </w:p>
    <w:p w14:paraId="370ADDB8" w14:textId="61157E12" w:rsidR="004D556D" w:rsidRPr="000F6CD1" w:rsidRDefault="004D556D">
      <w:pPr>
        <w:spacing w:before="240" w:after="240" w:line="240" w:lineRule="auto"/>
      </w:pPr>
      <w:r w:rsidRPr="000F6CD1">
        <w:t>Upon finalising the IAT, the system will recommend either a CHSP classification or an ongoing Support at Home classification (in nearly all instances, it will be a Support at Home classification for this cohort). If a Support at Home classification is generated,</w:t>
      </w:r>
      <w:r w:rsidRPr="000F6CD1">
        <w:rPr>
          <w:rFonts w:eastAsia="Arial"/>
        </w:rPr>
        <w:t xml:space="preserve"> assessors will need to override the recommendation and choose ‘End-of-Life</w:t>
      </w:r>
      <w:r w:rsidR="00B57E9E" w:rsidRPr="000F6CD1">
        <w:rPr>
          <w:rFonts w:eastAsia="Arial"/>
        </w:rPr>
        <w:t>.’</w:t>
      </w:r>
      <w:r w:rsidRPr="000F6CD1">
        <w:rPr>
          <w:rFonts w:eastAsia="Arial"/>
        </w:rPr>
        <w:t xml:space="preserve"> Assessors will be navigated to the ‘Add Home Support Services’ page where services are pre-selected. </w:t>
      </w:r>
      <w:r w:rsidRPr="000F6CD1">
        <w:rPr>
          <w:rFonts w:eastAsia="Arial"/>
          <w:color w:val="000000" w:themeColor="text1"/>
        </w:rPr>
        <w:t>Assessors should only unselect service sub types if they think the client may not have a need for this service.</w:t>
      </w:r>
      <w:r w:rsidRPr="000F6CD1">
        <w:rPr>
          <w:rFonts w:eastAsia="Arial"/>
        </w:rPr>
        <w:t xml:space="preserve"> Assessors should carefully consider </w:t>
      </w:r>
      <w:r w:rsidRPr="000F6CD1">
        <w:t>any services they deselect (for example, nursing care).</w:t>
      </w:r>
    </w:p>
    <w:p w14:paraId="36E89AB6" w14:textId="511E7774" w:rsidR="004D556D" w:rsidRPr="000F6CD1" w:rsidRDefault="004D556D" w:rsidP="00A677C9">
      <w:pPr>
        <w:spacing w:before="240" w:after="240" w:line="240" w:lineRule="auto"/>
      </w:pPr>
      <w:r w:rsidRPr="000F6CD1">
        <w:t xml:space="preserve">Note: the ‘Allied health and other therapeutic’ service type and all the services within, as well as the ‘Therapeutic services for independent living’ and all the services within, will not be pre-selected. An assessor must manually select these services for them to be approved in the support plan. </w:t>
      </w:r>
    </w:p>
    <w:p w14:paraId="1483FACE" w14:textId="77777777" w:rsidR="004D556D" w:rsidRPr="000F6CD1" w:rsidRDefault="004D556D" w:rsidP="00A677C9">
      <w:pPr>
        <w:spacing w:before="240" w:after="240" w:line="240" w:lineRule="auto"/>
      </w:pPr>
      <w:r w:rsidRPr="000F6CD1">
        <w:t>This will then enable assessors to allocate this pathway for assessment delegate approval.</w:t>
      </w:r>
    </w:p>
    <w:p w14:paraId="0695B707" w14:textId="366196AD" w:rsidR="004D556D" w:rsidRPr="000F6CD1" w:rsidRDefault="00122783" w:rsidP="00A677C9">
      <w:pPr>
        <w:spacing w:before="240" w:after="240" w:line="240" w:lineRule="auto"/>
      </w:pPr>
      <w:r>
        <w:rPr>
          <w:noProof/>
        </w:rPr>
        <w:drawing>
          <wp:anchor distT="0" distB="0" distL="114300" distR="114300" simplePos="0" relativeHeight="251658261" behindDoc="0" locked="0" layoutInCell="1" allowOverlap="1" wp14:anchorId="37178210" wp14:editId="31014CC0">
            <wp:simplePos x="0" y="0"/>
            <wp:positionH relativeFrom="margin">
              <wp:align>left</wp:align>
            </wp:positionH>
            <wp:positionV relativeFrom="margin">
              <wp:posOffset>5491928</wp:posOffset>
            </wp:positionV>
            <wp:extent cx="365760" cy="403860"/>
            <wp:effectExtent l="0" t="0" r="0" b="0"/>
            <wp:wrapSquare wrapText="bothSides"/>
            <wp:docPr id="967970472"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70472"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 xml:space="preserve">By recommending the End-of-Life Pathway, Assistive Technology Medium Tier will automatically be added to the recommendation. The assessor can choose to remove the </w:t>
      </w:r>
      <w:r w:rsidR="004D556D" w:rsidRPr="000F6CD1">
        <w:lastRenderedPageBreak/>
        <w:t>recommendation of AT or edit the recommended AT tier to align with the older person’s needs.</w:t>
      </w:r>
    </w:p>
    <w:p w14:paraId="389B2EBB" w14:textId="2665B11A" w:rsidR="004D556D" w:rsidRPr="000F6CD1" w:rsidRDefault="004D556D" w:rsidP="006647CE">
      <w:pPr>
        <w:pStyle w:val="h2"/>
      </w:pPr>
      <w:bookmarkStart w:id="495" w:name="_Toc198813684"/>
      <w:bookmarkStart w:id="496" w:name="_Toc204329567"/>
      <w:bookmarkStart w:id="497" w:name="_Toc209188998"/>
      <w:bookmarkStart w:id="498" w:name="_Toc233282458"/>
      <w:r w:rsidRPr="000F6CD1">
        <w:t xml:space="preserve">Support at Home – Assistive Technology and Home Modifications (AT-HM) </w:t>
      </w:r>
      <w:bookmarkEnd w:id="495"/>
      <w:bookmarkEnd w:id="496"/>
      <w:r w:rsidRPr="000F6CD1">
        <w:t>scheme</w:t>
      </w:r>
      <w:bookmarkEnd w:id="497"/>
      <w:bookmarkEnd w:id="498"/>
      <w:r w:rsidRPr="000F6CD1">
        <w:t xml:space="preserve"> </w:t>
      </w:r>
    </w:p>
    <w:p w14:paraId="345C95B3" w14:textId="7392B21E" w:rsidR="004D556D" w:rsidRPr="000F6CD1" w:rsidRDefault="004D556D" w:rsidP="00A677C9">
      <w:pPr>
        <w:spacing w:before="240" w:after="240" w:line="240" w:lineRule="auto"/>
      </w:pPr>
      <w:r w:rsidRPr="000F6CD1">
        <w:t xml:space="preserve">The Assistive Technology and Home Modification (AT-HM) scheme is a short-term pathway that supports older people to live at home and within their community with increased independence, safety, accessibility and wellbeing. The AT-HM scheme provides separate supports under Support at Home, with separate funding tiers (called </w:t>
      </w:r>
      <w:r w:rsidRPr="000F6CD1">
        <w:rPr>
          <w:i/>
          <w:iCs/>
        </w:rPr>
        <w:t>classification levels</w:t>
      </w:r>
      <w:r w:rsidRPr="000F6CD1">
        <w:t xml:space="preserve"> under the Act) and program settings. Participants can access both assistive technology and home modifications funding tiers at the same time if needed. This will provide a</w:t>
      </w:r>
      <w:r w:rsidRPr="000F6CD1" w:rsidDel="00C21AF5">
        <w:t xml:space="preserve"> </w:t>
      </w:r>
      <w:r w:rsidRPr="000F6CD1">
        <w:t xml:space="preserve">separate funding budget to access products, equipment and home modifications. The AT-HM scheme is delivered in parallel to a participant accessing ongoing services through Support at Home. This means that participants can access these supports without needing to save up funds from their Support at Home quarterly budgets. </w:t>
      </w:r>
    </w:p>
    <w:p w14:paraId="5EE7BEBB" w14:textId="3309D702" w:rsidR="004D556D" w:rsidRPr="000F6CD1" w:rsidRDefault="004D556D" w:rsidP="00A677C9">
      <w:pPr>
        <w:spacing w:before="240" w:after="240" w:line="240" w:lineRule="auto"/>
      </w:pPr>
      <w:r w:rsidRPr="000F6CD1">
        <w:t xml:space="preserve">Older people new to the aged care system who are approved for the Support at Home AT-HM scheme cannot be issued referrals to Commonwealth Home Support Program (CHSP) AT and/or HM services while they wait for AT-HM scheme funding. </w:t>
      </w:r>
    </w:p>
    <w:p w14:paraId="47699D0B" w14:textId="6C8A5F0E" w:rsidR="004D556D" w:rsidRPr="000F6CD1" w:rsidRDefault="004D556D" w:rsidP="00A410FF">
      <w:r w:rsidRPr="000F6CD1">
        <w:t xml:space="preserve">If an older person receiving CHSP services is reassessed for Support at Home and the AT-HM scheme, they may keep accessing CHSP AT and HM, if they have referrals for these services, until their AT-HM scheme budget becomes available. After that, CHSP-funded AT and HM services will no longer be available for them to access. </w:t>
      </w:r>
    </w:p>
    <w:p w14:paraId="454C680D" w14:textId="77777777" w:rsidR="004D556D" w:rsidRPr="000F6CD1" w:rsidRDefault="004D556D" w:rsidP="00AD2CE5">
      <w:pPr>
        <w:pStyle w:val="H3"/>
      </w:pPr>
      <w:r w:rsidRPr="000F6CD1">
        <w:t xml:space="preserve">AT-HM scheme participants </w:t>
      </w:r>
    </w:p>
    <w:p w14:paraId="1F40A247" w14:textId="4BC04E72" w:rsidR="00E445B6" w:rsidRDefault="004D556D" w:rsidP="00A677C9">
      <w:pPr>
        <w:spacing w:before="240" w:after="240" w:line="240" w:lineRule="auto"/>
        <w:rPr>
          <w:rFonts w:eastAsia="Arial"/>
          <w:color w:val="000000" w:themeColor="text1"/>
        </w:rPr>
      </w:pPr>
      <w:r w:rsidRPr="000F6CD1">
        <w:rPr>
          <w:rFonts w:eastAsia="Arial"/>
          <w:color w:val="000000" w:themeColor="text1"/>
        </w:rPr>
        <w:t xml:space="preserve">AT-HM scheme participants are empowered to actively participate in informed decision-making regarding the care, products, equipment and home modifications they receive. Providers are expected to consult participants to determine their support needs to ensure services are individualised and relevant. </w:t>
      </w:r>
    </w:p>
    <w:p w14:paraId="0D9E3252" w14:textId="77777777" w:rsidR="004D556D" w:rsidRPr="000F6CD1" w:rsidRDefault="004D556D" w:rsidP="00594A11">
      <w:pPr>
        <w:rPr>
          <w:rFonts w:eastAsia="Arial"/>
          <w:color w:val="000000" w:themeColor="text1"/>
        </w:rPr>
      </w:pPr>
      <w:r w:rsidRPr="000F6CD1">
        <w:rPr>
          <w:rFonts w:eastAsia="Arial"/>
          <w:color w:val="000000" w:themeColor="text1"/>
        </w:rPr>
        <w:t>Through the AT-HM scheme, participants will:</w:t>
      </w:r>
    </w:p>
    <w:p w14:paraId="08FD33EE" w14:textId="77777777" w:rsidR="004D556D" w:rsidRPr="000F6CD1" w:rsidRDefault="004D556D" w:rsidP="00DF3F6B">
      <w:pPr>
        <w:pStyle w:val="ListParagraph"/>
        <w:numPr>
          <w:ilvl w:val="0"/>
          <w:numId w:val="190"/>
        </w:numPr>
        <w:spacing w:before="240" w:after="240" w:line="240" w:lineRule="auto"/>
        <w:rPr>
          <w:rFonts w:eastAsia="Arial"/>
          <w:color w:val="000000" w:themeColor="text1"/>
        </w:rPr>
      </w:pPr>
      <w:r w:rsidRPr="000F6CD1">
        <w:rPr>
          <w:rFonts w:eastAsia="Arial"/>
          <w:color w:val="000000" w:themeColor="text1"/>
        </w:rPr>
        <w:t>have access to the AT-HM list to understand what equipment, products and home modifications are available to meet their assessed need,</w:t>
      </w:r>
    </w:p>
    <w:p w14:paraId="74BDF784" w14:textId="77777777" w:rsidR="004D556D" w:rsidRPr="000F6CD1" w:rsidRDefault="004D556D" w:rsidP="00DF3F6B">
      <w:pPr>
        <w:pStyle w:val="ListParagraph"/>
        <w:numPr>
          <w:ilvl w:val="0"/>
          <w:numId w:val="190"/>
        </w:numPr>
        <w:spacing w:before="240" w:after="240" w:line="240" w:lineRule="auto"/>
        <w:rPr>
          <w:rFonts w:eastAsia="Arial"/>
          <w:color w:val="000000" w:themeColor="text1"/>
        </w:rPr>
      </w:pPr>
      <w:r w:rsidRPr="000F6CD1">
        <w:rPr>
          <w:rFonts w:eastAsia="Arial"/>
          <w:color w:val="000000" w:themeColor="text1"/>
        </w:rPr>
        <w:t>actively participate in the care planning process and have the AT-HM scheme explained in a way that they understand,</w:t>
      </w:r>
    </w:p>
    <w:p w14:paraId="36CD7CCA" w14:textId="77777777" w:rsidR="004D556D" w:rsidRPr="000F6CD1" w:rsidRDefault="004D556D" w:rsidP="00DF3F6B">
      <w:pPr>
        <w:pStyle w:val="ListParagraph"/>
        <w:numPr>
          <w:ilvl w:val="0"/>
          <w:numId w:val="190"/>
        </w:numPr>
        <w:spacing w:before="240" w:after="240" w:line="240" w:lineRule="auto"/>
        <w:rPr>
          <w:rFonts w:eastAsia="Arial"/>
          <w:color w:val="000000" w:themeColor="text1"/>
        </w:rPr>
      </w:pPr>
      <w:r w:rsidRPr="000F6CD1">
        <w:rPr>
          <w:rFonts w:eastAsia="Arial"/>
          <w:color w:val="000000" w:themeColor="text1"/>
        </w:rPr>
        <w:t xml:space="preserve">identify their needs, life goals, strengths, and service delivery preferences including choice of health professionals, </w:t>
      </w:r>
    </w:p>
    <w:p w14:paraId="0439125A" w14:textId="77777777" w:rsidR="004D556D" w:rsidRPr="000F6CD1" w:rsidRDefault="004D556D" w:rsidP="00AD2CE5">
      <w:pPr>
        <w:pStyle w:val="H3"/>
      </w:pPr>
      <w:r w:rsidRPr="000F6CD1">
        <w:t>Assistive technology</w:t>
      </w:r>
    </w:p>
    <w:p w14:paraId="1C81A651" w14:textId="49910CE5" w:rsidR="004D556D" w:rsidRPr="000F6CD1" w:rsidRDefault="004D556D" w:rsidP="00A677C9">
      <w:pPr>
        <w:spacing w:before="240" w:after="240" w:line="240" w:lineRule="auto"/>
      </w:pPr>
      <w:r w:rsidRPr="000F6CD1">
        <w:t>Assistive technology (AT) is any item, piece of equipment or product that is used to help an older person do things more easily or complete activities they can no longer do independently at home or in the community.</w:t>
      </w:r>
      <w:r w:rsidR="00B57E9E" w:rsidRPr="000F6CD1">
        <w:t xml:space="preserve"> </w:t>
      </w:r>
    </w:p>
    <w:p w14:paraId="34D63DEE" w14:textId="77777777" w:rsidR="004D556D" w:rsidRPr="000F6CD1" w:rsidRDefault="004D556D" w:rsidP="00A677C9">
      <w:pPr>
        <w:spacing w:before="240" w:after="240" w:line="240" w:lineRule="auto"/>
      </w:pPr>
      <w:r w:rsidRPr="000F6CD1">
        <w:t>Examples of assistive technology include:  </w:t>
      </w:r>
    </w:p>
    <w:p w14:paraId="1A129866" w14:textId="77777777" w:rsidR="004D556D" w:rsidRPr="000F6CD1" w:rsidRDefault="004D556D" w:rsidP="00DF3F6B">
      <w:pPr>
        <w:pStyle w:val="ListParagraph"/>
        <w:numPr>
          <w:ilvl w:val="0"/>
          <w:numId w:val="152"/>
        </w:numPr>
        <w:spacing w:before="240" w:after="240" w:line="240" w:lineRule="auto"/>
      </w:pPr>
      <w:r w:rsidRPr="000F6CD1">
        <w:t>mobility equipment such as walking sticks, walking frames and wheelchairs </w:t>
      </w:r>
    </w:p>
    <w:p w14:paraId="566D38BA" w14:textId="77777777" w:rsidR="004D556D" w:rsidRPr="000F6CD1" w:rsidRDefault="004D556D" w:rsidP="00DF3F6B">
      <w:pPr>
        <w:pStyle w:val="ListParagraph"/>
        <w:numPr>
          <w:ilvl w:val="0"/>
          <w:numId w:val="152"/>
        </w:numPr>
        <w:spacing w:before="240" w:after="240" w:line="240" w:lineRule="auto"/>
      </w:pPr>
      <w:r w:rsidRPr="000F6CD1">
        <w:t>toileting supports including bedpans and commodes  </w:t>
      </w:r>
    </w:p>
    <w:p w14:paraId="37260FD6" w14:textId="77777777" w:rsidR="004D556D" w:rsidRPr="000F6CD1" w:rsidRDefault="004D556D" w:rsidP="00DF3F6B">
      <w:pPr>
        <w:pStyle w:val="ListParagraph"/>
        <w:numPr>
          <w:ilvl w:val="0"/>
          <w:numId w:val="152"/>
        </w:numPr>
        <w:spacing w:before="240" w:after="240" w:line="240" w:lineRule="auto"/>
      </w:pPr>
      <w:r w:rsidRPr="000F6CD1">
        <w:lastRenderedPageBreak/>
        <w:t>bathing devices including shower chairs and bath boards  </w:t>
      </w:r>
    </w:p>
    <w:p w14:paraId="4A3A5D88" w14:textId="77777777" w:rsidR="004D556D" w:rsidRPr="000F6CD1" w:rsidRDefault="004D556D" w:rsidP="00DF3F6B">
      <w:pPr>
        <w:pStyle w:val="ListParagraph"/>
        <w:numPr>
          <w:ilvl w:val="0"/>
          <w:numId w:val="152"/>
        </w:numPr>
        <w:spacing w:before="240" w:after="240" w:line="240" w:lineRule="auto"/>
      </w:pPr>
      <w:r w:rsidRPr="000F6CD1">
        <w:t>alternative and augmentative communication (AAC) products  </w:t>
      </w:r>
    </w:p>
    <w:p w14:paraId="3C230D9D" w14:textId="77777777" w:rsidR="004D556D" w:rsidRPr="000F6CD1" w:rsidRDefault="004D556D" w:rsidP="00DF3F6B">
      <w:pPr>
        <w:pStyle w:val="ListParagraph"/>
        <w:numPr>
          <w:ilvl w:val="0"/>
          <w:numId w:val="152"/>
        </w:numPr>
        <w:spacing w:before="240" w:after="240" w:line="240" w:lineRule="auto"/>
      </w:pPr>
      <w:r w:rsidRPr="000F6CD1">
        <w:t>products for food preparation and eating including adaptive cutting boards and knives, as well as modified cutlery</w:t>
      </w:r>
    </w:p>
    <w:p w14:paraId="27CE0665" w14:textId="4A2B5A3D" w:rsidR="004D556D" w:rsidRPr="000F6CD1" w:rsidRDefault="004D556D" w:rsidP="00DF3F6B">
      <w:pPr>
        <w:pStyle w:val="ListParagraph"/>
        <w:numPr>
          <w:ilvl w:val="0"/>
          <w:numId w:val="152"/>
        </w:numPr>
        <w:spacing w:before="240" w:after="240" w:line="240" w:lineRule="auto"/>
      </w:pPr>
      <w:r w:rsidRPr="000F6CD1">
        <w:t>a contribution toward costs associated with assistance dog maintenance.</w:t>
      </w:r>
      <w:r w:rsidR="00B57E9E" w:rsidRPr="000F6CD1">
        <w:t xml:space="preserve"> </w:t>
      </w:r>
    </w:p>
    <w:p w14:paraId="25D819AC" w14:textId="77777777" w:rsidR="004D556D" w:rsidRPr="000F6CD1" w:rsidRDefault="004D556D" w:rsidP="00A677C9">
      <w:pPr>
        <w:spacing w:before="240" w:after="240" w:line="240" w:lineRule="auto"/>
      </w:pPr>
      <w:r w:rsidRPr="000F6CD1">
        <w:t>The AT-HM scheme does not include items such as:  </w:t>
      </w:r>
    </w:p>
    <w:p w14:paraId="6E5DB22D" w14:textId="77777777" w:rsidR="004D556D" w:rsidRPr="000F6CD1" w:rsidRDefault="004D556D" w:rsidP="00DF3F6B">
      <w:pPr>
        <w:pStyle w:val="ListParagraph"/>
        <w:numPr>
          <w:ilvl w:val="0"/>
          <w:numId w:val="153"/>
        </w:numPr>
        <w:spacing w:before="240" w:after="240" w:line="240" w:lineRule="auto"/>
      </w:pPr>
      <w:r w:rsidRPr="000F6CD1">
        <w:t>everyday household appliances e.g., a dishwasher  </w:t>
      </w:r>
    </w:p>
    <w:p w14:paraId="1B894842" w14:textId="77777777" w:rsidR="004D556D" w:rsidRPr="000F6CD1" w:rsidRDefault="004D556D" w:rsidP="00DF3F6B">
      <w:pPr>
        <w:pStyle w:val="ListParagraph"/>
        <w:numPr>
          <w:ilvl w:val="0"/>
          <w:numId w:val="153"/>
        </w:numPr>
        <w:spacing w:before="240" w:after="240" w:line="240" w:lineRule="auto"/>
      </w:pPr>
      <w:r w:rsidRPr="000F6CD1">
        <w:t>assessment or therapy tools used by a therapist  </w:t>
      </w:r>
    </w:p>
    <w:p w14:paraId="5DD362AA" w14:textId="1ABDD037" w:rsidR="00DE700E" w:rsidRDefault="004D556D" w:rsidP="00DE700E">
      <w:pPr>
        <w:pStyle w:val="ListParagraph"/>
        <w:numPr>
          <w:ilvl w:val="0"/>
          <w:numId w:val="153"/>
        </w:numPr>
        <w:spacing w:before="240" w:after="240" w:line="240" w:lineRule="auto"/>
      </w:pPr>
      <w:r w:rsidRPr="000F6CD1">
        <w:t>products or technologies funded through an alternative national or state-based program (e.g., the Medical Aids Subsidy Scheme).</w:t>
      </w:r>
      <w:r w:rsidR="00B57E9E" w:rsidRPr="000F6CD1">
        <w:t xml:space="preserve"> </w:t>
      </w:r>
    </w:p>
    <w:tbl>
      <w:tblPr>
        <w:tblStyle w:val="TableGrid"/>
        <w:tblW w:w="0" w:type="auto"/>
        <w:tblLook w:val="04A0" w:firstRow="1" w:lastRow="0" w:firstColumn="1" w:lastColumn="0" w:noHBand="0" w:noVBand="1"/>
      </w:tblPr>
      <w:tblGrid>
        <w:gridCol w:w="988"/>
        <w:gridCol w:w="8028"/>
      </w:tblGrid>
      <w:tr w:rsidR="00DE700E" w:rsidRPr="000F6CD1" w14:paraId="2137B002" w14:textId="77777777">
        <w:trPr>
          <w:trHeight w:val="300"/>
        </w:trPr>
        <w:tc>
          <w:tcPr>
            <w:tcW w:w="988" w:type="dxa"/>
          </w:tcPr>
          <w:p w14:paraId="1D838011" w14:textId="77777777" w:rsidR="00DE700E" w:rsidRPr="000F6CD1" w:rsidRDefault="00DE700E">
            <w:pPr>
              <w:spacing w:before="240" w:after="240"/>
            </w:pPr>
            <w:r w:rsidRPr="000F6CD1">
              <w:rPr>
                <w:noProof/>
              </w:rPr>
              <w:drawing>
                <wp:inline distT="0" distB="0" distL="0" distR="0" wp14:anchorId="7067F525" wp14:editId="5F348406">
                  <wp:extent cx="389283" cy="381000"/>
                  <wp:effectExtent l="0" t="0" r="0" b="0"/>
                  <wp:docPr id="1044937773" name="Picture 10449377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151" cy="381850"/>
                          </a:xfrm>
                          <a:prstGeom prst="rect">
                            <a:avLst/>
                          </a:prstGeom>
                        </pic:spPr>
                      </pic:pic>
                    </a:graphicData>
                  </a:graphic>
                </wp:inline>
              </w:drawing>
            </w:r>
          </w:p>
        </w:tc>
        <w:tc>
          <w:tcPr>
            <w:tcW w:w="8028" w:type="dxa"/>
          </w:tcPr>
          <w:p w14:paraId="58D4E0C5" w14:textId="77777777" w:rsidR="00DE700E" w:rsidRPr="000F6CD1" w:rsidRDefault="00DE700E">
            <w:pPr>
              <w:spacing w:before="240" w:after="240"/>
            </w:pPr>
          </w:p>
          <w:p w14:paraId="79BFC22D" w14:textId="77777777" w:rsidR="00DE700E" w:rsidRDefault="00DE700E">
            <w:pPr>
              <w:spacing w:before="240" w:after="240"/>
            </w:pPr>
            <w:hyperlink r:id="rId174">
              <w:r w:rsidRPr="000F6CD1">
                <w:rPr>
                  <w:rStyle w:val="Hyperlink"/>
                </w:rPr>
                <w:t>Assistive Technology and Home Modifications list (AT-HM list)</w:t>
              </w:r>
            </w:hyperlink>
          </w:p>
          <w:p w14:paraId="4C8925AB" w14:textId="77777777" w:rsidR="00DE700E" w:rsidRDefault="00DE700E">
            <w:pPr>
              <w:spacing w:before="240" w:after="240"/>
            </w:pPr>
          </w:p>
          <w:p w14:paraId="4476EB8F" w14:textId="77777777" w:rsidR="00DE700E" w:rsidRPr="000F6CD1" w:rsidRDefault="00DE700E">
            <w:pPr>
              <w:spacing w:before="240" w:after="240"/>
            </w:pPr>
          </w:p>
        </w:tc>
      </w:tr>
    </w:tbl>
    <w:p w14:paraId="7ED597EE" w14:textId="354763C3" w:rsidR="004D556D" w:rsidRPr="000F6CD1" w:rsidRDefault="004D556D" w:rsidP="00DE700E">
      <w:pPr>
        <w:pStyle w:val="H3"/>
      </w:pPr>
      <w:r w:rsidRPr="000F6CD1">
        <w:t>Home modifications</w:t>
      </w:r>
    </w:p>
    <w:p w14:paraId="63328403" w14:textId="3F342D24" w:rsidR="004D556D" w:rsidRPr="000F6CD1" w:rsidRDefault="004D556D" w:rsidP="00A677C9">
      <w:pPr>
        <w:spacing w:before="240" w:after="240" w:line="240" w:lineRule="auto"/>
      </w:pPr>
      <w:r w:rsidRPr="000F6CD1">
        <w:t xml:space="preserve">Home modifications (HM) provide changes to an older person’s home to create an environment that is safer and more accessible. </w:t>
      </w:r>
    </w:p>
    <w:p w14:paraId="23FF5F5A" w14:textId="0C3CF7C6" w:rsidR="004D556D" w:rsidRPr="000F6CD1" w:rsidRDefault="004D556D" w:rsidP="00A677C9">
      <w:pPr>
        <w:spacing w:before="240" w:after="240" w:line="240" w:lineRule="auto"/>
      </w:pPr>
      <w:r w:rsidRPr="000F6CD1">
        <w:t>Examples of home modifications include:  </w:t>
      </w:r>
    </w:p>
    <w:p w14:paraId="16F9C7A1" w14:textId="345D21B2" w:rsidR="004D556D" w:rsidRPr="000F6CD1" w:rsidRDefault="004D556D" w:rsidP="00DF3F6B">
      <w:pPr>
        <w:pStyle w:val="ListParagraph"/>
        <w:numPr>
          <w:ilvl w:val="0"/>
          <w:numId w:val="154"/>
        </w:numPr>
        <w:spacing w:before="240" w:after="240" w:line="240" w:lineRule="auto"/>
      </w:pPr>
      <w:r w:rsidRPr="000F6CD1">
        <w:t>lever tap sets or lever door handles </w:t>
      </w:r>
    </w:p>
    <w:p w14:paraId="076C2D5B" w14:textId="2B253425" w:rsidR="004D556D" w:rsidRPr="000F6CD1" w:rsidRDefault="004D556D" w:rsidP="00DF3F6B">
      <w:pPr>
        <w:pStyle w:val="ListParagraph"/>
        <w:numPr>
          <w:ilvl w:val="0"/>
          <w:numId w:val="154"/>
        </w:numPr>
        <w:spacing w:before="240" w:after="240" w:line="240" w:lineRule="auto"/>
      </w:pPr>
      <w:r w:rsidRPr="000F6CD1">
        <w:t>grab rails in the shower or bathroom </w:t>
      </w:r>
    </w:p>
    <w:p w14:paraId="5C14A292" w14:textId="4DC9FC9C" w:rsidR="004D556D" w:rsidRPr="000F6CD1" w:rsidRDefault="004D556D" w:rsidP="00DF3F6B">
      <w:pPr>
        <w:pStyle w:val="ListParagraph"/>
        <w:numPr>
          <w:ilvl w:val="0"/>
          <w:numId w:val="154"/>
        </w:numPr>
        <w:spacing w:before="240" w:after="240" w:line="240" w:lineRule="auto"/>
      </w:pPr>
      <w:r w:rsidRPr="000F6CD1">
        <w:t>internal and external handrails </w:t>
      </w:r>
    </w:p>
    <w:p w14:paraId="1EADA2D1" w14:textId="79878D1C" w:rsidR="004D556D" w:rsidRPr="000F6CD1" w:rsidRDefault="004D556D" w:rsidP="00DF3F6B">
      <w:pPr>
        <w:pStyle w:val="ListParagraph"/>
        <w:numPr>
          <w:ilvl w:val="0"/>
          <w:numId w:val="154"/>
        </w:numPr>
        <w:spacing w:before="240" w:after="240" w:line="240" w:lineRule="auto"/>
      </w:pPr>
      <w:r w:rsidRPr="000F6CD1">
        <w:t>modified door locks </w:t>
      </w:r>
    </w:p>
    <w:p w14:paraId="064BF55C" w14:textId="77777777" w:rsidR="004D556D" w:rsidRPr="000F6CD1" w:rsidRDefault="004D556D" w:rsidP="00DF3F6B">
      <w:pPr>
        <w:pStyle w:val="ListParagraph"/>
        <w:numPr>
          <w:ilvl w:val="0"/>
          <w:numId w:val="154"/>
        </w:numPr>
        <w:spacing w:before="240" w:after="240" w:line="240" w:lineRule="auto"/>
      </w:pPr>
      <w:r w:rsidRPr="000F6CD1">
        <w:t>non-slip materials and surfaces for floors and stairs. </w:t>
      </w:r>
    </w:p>
    <w:p w14:paraId="2B107E33" w14:textId="1B7F75B8" w:rsidR="004D556D" w:rsidRPr="000F6CD1" w:rsidRDefault="004D556D" w:rsidP="00CA49D8">
      <w:r w:rsidRPr="000F6CD1">
        <w:t>In some circumstances, participants may be approved for more significant home modifications including:  </w:t>
      </w:r>
    </w:p>
    <w:p w14:paraId="32C631B6" w14:textId="102A9FDA" w:rsidR="004D556D" w:rsidRPr="000F6CD1" w:rsidRDefault="004D556D" w:rsidP="00A92213">
      <w:pPr>
        <w:pStyle w:val="ListParagraph"/>
        <w:numPr>
          <w:ilvl w:val="0"/>
          <w:numId w:val="155"/>
        </w:numPr>
        <w:spacing w:after="240" w:line="240" w:lineRule="auto"/>
      </w:pPr>
      <w:r w:rsidRPr="000F6CD1">
        <w:t>bathroom modification (e.g., level access shower and modifications to improve accessibility) </w:t>
      </w:r>
    </w:p>
    <w:p w14:paraId="786DDC05" w14:textId="00EB5BB4" w:rsidR="004D556D" w:rsidRPr="000F6CD1" w:rsidRDefault="004D556D" w:rsidP="00A92213">
      <w:pPr>
        <w:pStyle w:val="ListParagraph"/>
        <w:numPr>
          <w:ilvl w:val="0"/>
          <w:numId w:val="155"/>
        </w:numPr>
        <w:spacing w:after="240" w:line="240" w:lineRule="auto"/>
      </w:pPr>
      <w:r w:rsidRPr="000F6CD1">
        <w:t>ramps and stairlifts. </w:t>
      </w:r>
    </w:p>
    <w:p w14:paraId="299EA1E8" w14:textId="5A531B97" w:rsidR="004D556D" w:rsidRPr="000F6CD1" w:rsidRDefault="004D556D" w:rsidP="00A677C9">
      <w:pPr>
        <w:spacing w:before="240" w:after="240" w:line="240" w:lineRule="auto"/>
      </w:pPr>
      <w:r w:rsidRPr="000F6CD1">
        <w:t>The AT-HM scheme does not include:  </w:t>
      </w:r>
    </w:p>
    <w:p w14:paraId="45B5FEF2" w14:textId="23ADD502" w:rsidR="004D556D" w:rsidRPr="000F6CD1" w:rsidRDefault="004D556D" w:rsidP="00DF3F6B">
      <w:pPr>
        <w:pStyle w:val="ListParagraph"/>
        <w:numPr>
          <w:ilvl w:val="0"/>
          <w:numId w:val="156"/>
        </w:numPr>
        <w:spacing w:before="240" w:after="240" w:line="240" w:lineRule="auto"/>
      </w:pPr>
      <w:r w:rsidRPr="000F6CD1">
        <w:t>general renovations to a home or dwelling </w:t>
      </w:r>
    </w:p>
    <w:p w14:paraId="7202768F" w14:textId="568E894B" w:rsidR="004D556D" w:rsidRPr="000F6CD1" w:rsidRDefault="004D556D" w:rsidP="00DF3F6B">
      <w:pPr>
        <w:pStyle w:val="ListParagraph"/>
        <w:numPr>
          <w:ilvl w:val="0"/>
          <w:numId w:val="156"/>
        </w:numPr>
        <w:spacing w:before="240" w:after="240" w:line="240" w:lineRule="auto"/>
      </w:pPr>
      <w:r w:rsidRPr="000F6CD1">
        <w:t>restorations or repairs which are considered normal maintenance of home or dwelling </w:t>
      </w:r>
    </w:p>
    <w:p w14:paraId="6E107922" w14:textId="554082BD" w:rsidR="00DE700E" w:rsidRDefault="004D556D" w:rsidP="008A4F48">
      <w:pPr>
        <w:pStyle w:val="ListParagraph"/>
        <w:spacing w:before="240" w:after="240" w:line="240" w:lineRule="auto"/>
      </w:pPr>
      <w:r w:rsidRPr="000F6CD1">
        <w:t>changes to a home layout that do not relate to a participant’s assessed clinical need(s) in their support plan.</w:t>
      </w:r>
    </w:p>
    <w:p w14:paraId="6E944147" w14:textId="03612961" w:rsidR="004D556D" w:rsidRPr="000F6CD1" w:rsidRDefault="00DE700E" w:rsidP="00DE700E">
      <w:r>
        <w:br w:type="page"/>
      </w:r>
    </w:p>
    <w:p w14:paraId="0903F9C7" w14:textId="417D2C21" w:rsidR="004D556D" w:rsidRPr="000F6CD1" w:rsidRDefault="000922C8" w:rsidP="00AD2CE5">
      <w:pPr>
        <w:pStyle w:val="H3"/>
      </w:pPr>
      <w:r w:rsidRPr="005761BD">
        <w:lastRenderedPageBreak/>
        <w:drawing>
          <wp:anchor distT="0" distB="0" distL="114300" distR="114300" simplePos="0" relativeHeight="251658278" behindDoc="0" locked="0" layoutInCell="1" allowOverlap="1" wp14:anchorId="659A579B" wp14:editId="414FA8FA">
            <wp:simplePos x="0" y="0"/>
            <wp:positionH relativeFrom="margin">
              <wp:align>left</wp:align>
            </wp:positionH>
            <wp:positionV relativeFrom="margin">
              <wp:posOffset>-125095</wp:posOffset>
            </wp:positionV>
            <wp:extent cx="365760" cy="403860"/>
            <wp:effectExtent l="0" t="0" r="0" b="0"/>
            <wp:wrapSquare wrapText="bothSides"/>
            <wp:docPr id="1574494434"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94434"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Funding tiers for AT-HM</w:t>
      </w:r>
    </w:p>
    <w:p w14:paraId="6AA9C9E0" w14:textId="646A2164" w:rsidR="008D185C" w:rsidRDefault="004D556D" w:rsidP="008D185C">
      <w:pPr>
        <w:spacing w:before="240" w:after="240" w:line="240" w:lineRule="auto"/>
      </w:pPr>
      <w:r w:rsidRPr="000F6CD1">
        <w:t>The table below outlines the 3 funding tiers for assistive technology and home modifications. </w:t>
      </w:r>
      <w:r w:rsidR="00090F83">
        <w:t>I</w:t>
      </w:r>
      <w:r w:rsidR="00090F83">
        <w:rPr>
          <w:bCs/>
          <w:color w:val="000000" w:themeColor="text1"/>
          <w:szCs w:val="22"/>
        </w:rPr>
        <w:t xml:space="preserve">ndexation will be applied to the below amounts; </w:t>
      </w:r>
      <w:r w:rsidR="00090F83" w:rsidRPr="005164D2">
        <w:rPr>
          <w:bCs/>
          <w:color w:val="000000" w:themeColor="text1"/>
          <w:szCs w:val="22"/>
        </w:rPr>
        <w:t>indexation will occur on 1 July and 1 August 2026. For the latest budget information, please go to:</w:t>
      </w:r>
      <w:r w:rsidR="00090F83" w:rsidRPr="000F6CD1">
        <w:rPr>
          <w:bCs/>
          <w:szCs w:val="22"/>
        </w:rPr>
        <w:t xml:space="preserve"> </w:t>
      </w:r>
      <w:hyperlink r:id="rId175" w:history="1">
        <w:r w:rsidR="00090F83" w:rsidRPr="000F6CD1">
          <w:rPr>
            <w:rStyle w:val="Hyperlink"/>
            <w:bCs/>
            <w:szCs w:val="22"/>
          </w:rPr>
          <w:t>Schedules of Subsidies and Supplements for Aged Care | Australian Government Department of Health, Disability and Ageing</w:t>
        </w:r>
      </w:hyperlink>
    </w:p>
    <w:p w14:paraId="125CB41B" w14:textId="11AB10A2" w:rsidR="004D556D" w:rsidRPr="000F6CD1" w:rsidRDefault="004D556D" w:rsidP="00A92213">
      <w:pPr>
        <w:pStyle w:val="Caption"/>
      </w:pPr>
      <w:r w:rsidRPr="000F6CD1">
        <w:t xml:space="preserve"> Table 27. AT-HM funding tiers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funding tiers"/>
        <w:tblDescription w:val="The table provides an overview of AT and HM funding tiers "/>
      </w:tblPr>
      <w:tblGrid>
        <w:gridCol w:w="2992"/>
        <w:gridCol w:w="2985"/>
        <w:gridCol w:w="2992"/>
      </w:tblGrid>
      <w:tr w:rsidR="004D556D" w:rsidRPr="000F6CD1" w14:paraId="6C9A75A5" w14:textId="77777777" w:rsidTr="00782994">
        <w:trPr>
          <w:trHeight w:val="300"/>
          <w:tblHeader/>
        </w:trPr>
        <w:tc>
          <w:tcPr>
            <w:tcW w:w="2992" w:type="dxa"/>
            <w:shd w:val="clear" w:color="auto" w:fill="002060"/>
            <w:tcMar>
              <w:left w:w="105" w:type="dxa"/>
              <w:right w:w="105" w:type="dxa"/>
            </w:tcMar>
          </w:tcPr>
          <w:p w14:paraId="097623E3" w14:textId="77777777" w:rsidR="004D556D" w:rsidRPr="000F6CD1" w:rsidRDefault="004D556D" w:rsidP="00BD7051">
            <w:pPr>
              <w:spacing w:before="120" w:after="120"/>
              <w:rPr>
                <w:b/>
                <w:color w:val="FFFFFF" w:themeColor="background1"/>
              </w:rPr>
            </w:pPr>
            <w:r w:rsidRPr="000F6CD1">
              <w:rPr>
                <w:b/>
                <w:color w:val="FFFFFF" w:themeColor="background1"/>
              </w:rPr>
              <w:t>Funding tier</w:t>
            </w:r>
          </w:p>
        </w:tc>
        <w:tc>
          <w:tcPr>
            <w:tcW w:w="2985" w:type="dxa"/>
            <w:shd w:val="clear" w:color="auto" w:fill="002060"/>
            <w:tcMar>
              <w:left w:w="105" w:type="dxa"/>
              <w:right w:w="105" w:type="dxa"/>
            </w:tcMar>
          </w:tcPr>
          <w:p w14:paraId="144B7829" w14:textId="77777777" w:rsidR="004D556D" w:rsidRPr="000F6CD1" w:rsidRDefault="004D556D" w:rsidP="00BD7051">
            <w:pPr>
              <w:spacing w:before="120" w:after="120"/>
              <w:rPr>
                <w:b/>
                <w:color w:val="FFFFFF" w:themeColor="background1"/>
              </w:rPr>
            </w:pPr>
            <w:r w:rsidRPr="000F6CD1">
              <w:rPr>
                <w:b/>
                <w:color w:val="FFFFFF" w:themeColor="background1"/>
              </w:rPr>
              <w:t>Funding allocation cap</w:t>
            </w:r>
          </w:p>
        </w:tc>
        <w:tc>
          <w:tcPr>
            <w:tcW w:w="2992" w:type="dxa"/>
            <w:shd w:val="clear" w:color="auto" w:fill="002060"/>
            <w:tcMar>
              <w:left w:w="105" w:type="dxa"/>
              <w:right w:w="105" w:type="dxa"/>
            </w:tcMar>
          </w:tcPr>
          <w:p w14:paraId="2E4D7551" w14:textId="77777777" w:rsidR="004D556D" w:rsidRPr="000F6CD1" w:rsidRDefault="004D556D" w:rsidP="00BD7051">
            <w:pPr>
              <w:spacing w:before="120" w:after="120"/>
              <w:rPr>
                <w:b/>
                <w:color w:val="FFFFFF" w:themeColor="background1"/>
              </w:rPr>
            </w:pPr>
            <w:r w:rsidRPr="000F6CD1">
              <w:rPr>
                <w:b/>
                <w:color w:val="FFFFFF" w:themeColor="background1"/>
              </w:rPr>
              <w:t>Funding period</w:t>
            </w:r>
          </w:p>
        </w:tc>
      </w:tr>
      <w:tr w:rsidR="004D556D" w:rsidRPr="000F6CD1" w14:paraId="297452EA" w14:textId="77777777" w:rsidTr="00782994">
        <w:trPr>
          <w:trHeight w:val="300"/>
          <w:tblHeader/>
        </w:trPr>
        <w:tc>
          <w:tcPr>
            <w:tcW w:w="8969" w:type="dxa"/>
            <w:gridSpan w:val="3"/>
            <w:shd w:val="clear" w:color="auto" w:fill="002060"/>
            <w:tcMar>
              <w:left w:w="105" w:type="dxa"/>
              <w:right w:w="105" w:type="dxa"/>
            </w:tcMar>
          </w:tcPr>
          <w:p w14:paraId="7CA0373E" w14:textId="77777777" w:rsidR="004D556D" w:rsidRPr="000F6CD1" w:rsidRDefault="004D556D" w:rsidP="00BD7051">
            <w:pPr>
              <w:spacing w:before="120" w:after="120"/>
              <w:rPr>
                <w:color w:val="FFFFFF" w:themeColor="background1"/>
              </w:rPr>
            </w:pPr>
            <w:r w:rsidRPr="000F6CD1">
              <w:rPr>
                <w:color w:val="FFFFFF" w:themeColor="background1"/>
              </w:rPr>
              <w:t>Assistive technology</w:t>
            </w:r>
          </w:p>
        </w:tc>
      </w:tr>
      <w:tr w:rsidR="004D556D" w:rsidRPr="000F6CD1" w14:paraId="56753270" w14:textId="77777777" w:rsidTr="00782994">
        <w:trPr>
          <w:trHeight w:val="300"/>
          <w:tblHeader/>
        </w:trPr>
        <w:tc>
          <w:tcPr>
            <w:tcW w:w="2992" w:type="dxa"/>
            <w:tcMar>
              <w:left w:w="105" w:type="dxa"/>
              <w:right w:w="105" w:type="dxa"/>
            </w:tcMar>
          </w:tcPr>
          <w:p w14:paraId="6E9DAB8E" w14:textId="77777777" w:rsidR="004D556D" w:rsidRPr="000F6CD1" w:rsidRDefault="004D556D" w:rsidP="00BD7051">
            <w:pPr>
              <w:spacing w:before="120" w:after="120"/>
            </w:pPr>
            <w:r w:rsidRPr="000F6CD1">
              <w:t>Low</w:t>
            </w:r>
          </w:p>
        </w:tc>
        <w:tc>
          <w:tcPr>
            <w:tcW w:w="2985" w:type="dxa"/>
            <w:tcMar>
              <w:left w:w="105" w:type="dxa"/>
              <w:right w:w="105" w:type="dxa"/>
            </w:tcMar>
          </w:tcPr>
          <w:p w14:paraId="31CB4A8B" w14:textId="77777777" w:rsidR="004D556D" w:rsidRPr="000F6CD1" w:rsidRDefault="004D556D" w:rsidP="00BD7051">
            <w:pPr>
              <w:spacing w:before="120" w:after="120"/>
            </w:pPr>
            <w:r w:rsidRPr="000F6CD1">
              <w:t>$500</w:t>
            </w:r>
          </w:p>
        </w:tc>
        <w:tc>
          <w:tcPr>
            <w:tcW w:w="2992" w:type="dxa"/>
            <w:tcMar>
              <w:left w:w="105" w:type="dxa"/>
              <w:right w:w="105" w:type="dxa"/>
            </w:tcMar>
          </w:tcPr>
          <w:p w14:paraId="5EF775F5" w14:textId="77777777" w:rsidR="004D556D" w:rsidRPr="000F6CD1" w:rsidRDefault="004D556D" w:rsidP="00BD7051">
            <w:pPr>
              <w:spacing w:before="120" w:after="120"/>
            </w:pPr>
            <w:r w:rsidRPr="000F6CD1">
              <w:t>12 months (in most instances)</w:t>
            </w:r>
          </w:p>
        </w:tc>
      </w:tr>
      <w:tr w:rsidR="004D556D" w:rsidRPr="000F6CD1" w14:paraId="7A63BD8D" w14:textId="77777777" w:rsidTr="00782994">
        <w:trPr>
          <w:trHeight w:val="300"/>
          <w:tblHeader/>
        </w:trPr>
        <w:tc>
          <w:tcPr>
            <w:tcW w:w="2992" w:type="dxa"/>
            <w:tcMar>
              <w:left w:w="105" w:type="dxa"/>
              <w:right w:w="105" w:type="dxa"/>
            </w:tcMar>
          </w:tcPr>
          <w:p w14:paraId="691CC4E2" w14:textId="77777777" w:rsidR="004D556D" w:rsidRPr="000F6CD1" w:rsidRDefault="004D556D" w:rsidP="00BD7051">
            <w:pPr>
              <w:spacing w:before="120" w:after="120"/>
            </w:pPr>
            <w:r w:rsidRPr="000F6CD1">
              <w:t>Medium</w:t>
            </w:r>
          </w:p>
        </w:tc>
        <w:tc>
          <w:tcPr>
            <w:tcW w:w="2985" w:type="dxa"/>
            <w:tcMar>
              <w:left w:w="105" w:type="dxa"/>
              <w:right w:w="105" w:type="dxa"/>
            </w:tcMar>
          </w:tcPr>
          <w:p w14:paraId="0FB9F5E9" w14:textId="77777777" w:rsidR="004D556D" w:rsidRPr="000F6CD1" w:rsidRDefault="004D556D" w:rsidP="00BD7051">
            <w:pPr>
              <w:spacing w:before="120" w:after="120"/>
            </w:pPr>
            <w:r w:rsidRPr="000F6CD1">
              <w:t>$2,000</w:t>
            </w:r>
          </w:p>
        </w:tc>
        <w:tc>
          <w:tcPr>
            <w:tcW w:w="2992" w:type="dxa"/>
            <w:tcMar>
              <w:left w:w="105" w:type="dxa"/>
              <w:right w:w="105" w:type="dxa"/>
            </w:tcMar>
          </w:tcPr>
          <w:p w14:paraId="6C1B9D05" w14:textId="77777777" w:rsidR="004D556D" w:rsidRPr="000F6CD1" w:rsidRDefault="004D556D" w:rsidP="00BD7051">
            <w:pPr>
              <w:spacing w:before="120" w:after="120"/>
            </w:pPr>
            <w:r w:rsidRPr="000F6CD1">
              <w:t>12 months (in most instances)</w:t>
            </w:r>
          </w:p>
        </w:tc>
      </w:tr>
      <w:tr w:rsidR="004D556D" w:rsidRPr="000F6CD1" w14:paraId="4B8AC19F" w14:textId="77777777" w:rsidTr="00782994">
        <w:trPr>
          <w:trHeight w:val="300"/>
          <w:tblHeader/>
        </w:trPr>
        <w:tc>
          <w:tcPr>
            <w:tcW w:w="2992" w:type="dxa"/>
            <w:tcMar>
              <w:left w:w="105" w:type="dxa"/>
              <w:right w:w="105" w:type="dxa"/>
            </w:tcMar>
          </w:tcPr>
          <w:p w14:paraId="5F6BCA6C" w14:textId="77777777" w:rsidR="004D556D" w:rsidRPr="000F6CD1" w:rsidRDefault="004D556D" w:rsidP="00BD7051">
            <w:pPr>
              <w:spacing w:before="120" w:after="120"/>
            </w:pPr>
            <w:r w:rsidRPr="000F6CD1">
              <w:t>High</w:t>
            </w:r>
          </w:p>
        </w:tc>
        <w:tc>
          <w:tcPr>
            <w:tcW w:w="2985" w:type="dxa"/>
            <w:tcMar>
              <w:left w:w="105" w:type="dxa"/>
              <w:right w:w="105" w:type="dxa"/>
            </w:tcMar>
          </w:tcPr>
          <w:p w14:paraId="45418958" w14:textId="77777777" w:rsidR="004D556D" w:rsidRPr="000F6CD1" w:rsidRDefault="004D556D" w:rsidP="00BD7051">
            <w:pPr>
              <w:spacing w:before="120" w:after="120"/>
            </w:pPr>
            <w:r w:rsidRPr="000F6CD1">
              <w:t>$15,000</w:t>
            </w:r>
            <w:r w:rsidRPr="000F6CD1">
              <w:rPr>
                <w:vertAlign w:val="superscript"/>
              </w:rPr>
              <w:t>1 (</w:t>
            </w:r>
            <w:r w:rsidRPr="000F6CD1">
              <w:t>nominal)</w:t>
            </w:r>
          </w:p>
        </w:tc>
        <w:tc>
          <w:tcPr>
            <w:tcW w:w="2992" w:type="dxa"/>
            <w:tcMar>
              <w:left w:w="105" w:type="dxa"/>
              <w:right w:w="105" w:type="dxa"/>
            </w:tcMar>
          </w:tcPr>
          <w:p w14:paraId="7E3ED553" w14:textId="77777777" w:rsidR="004D556D" w:rsidRPr="000F6CD1" w:rsidRDefault="004D556D" w:rsidP="00BD7051">
            <w:pPr>
              <w:spacing w:before="120" w:after="120"/>
            </w:pPr>
            <w:r w:rsidRPr="000F6CD1">
              <w:t>12 months (in most instances)</w:t>
            </w:r>
          </w:p>
        </w:tc>
      </w:tr>
      <w:tr w:rsidR="004D556D" w:rsidRPr="000F6CD1" w14:paraId="26881F28" w14:textId="77777777" w:rsidTr="00782994">
        <w:trPr>
          <w:trHeight w:val="300"/>
          <w:tblHeader/>
        </w:trPr>
        <w:tc>
          <w:tcPr>
            <w:tcW w:w="8969" w:type="dxa"/>
            <w:gridSpan w:val="3"/>
            <w:tcMar>
              <w:left w:w="105" w:type="dxa"/>
              <w:right w:w="105" w:type="dxa"/>
            </w:tcMar>
          </w:tcPr>
          <w:p w14:paraId="2532BCF7" w14:textId="77777777" w:rsidR="004D556D" w:rsidRPr="000F6CD1" w:rsidRDefault="004D556D" w:rsidP="00BD7051">
            <w:pPr>
              <w:spacing w:before="120" w:after="120"/>
            </w:pPr>
            <w:r w:rsidRPr="000F6CD1">
              <w:rPr>
                <w:vertAlign w:val="superscript"/>
              </w:rPr>
              <w:t>1</w:t>
            </w:r>
            <w:r w:rsidRPr="000F6CD1">
              <w:t xml:space="preserve"> Products and equipment with costs greater than $15,000 are available to participants with a prescribed need.</w:t>
            </w:r>
          </w:p>
        </w:tc>
      </w:tr>
      <w:tr w:rsidR="004D556D" w:rsidRPr="000F6CD1" w14:paraId="1B207BB5" w14:textId="77777777" w:rsidTr="00782994">
        <w:trPr>
          <w:trHeight w:val="300"/>
          <w:tblHeader/>
        </w:trPr>
        <w:tc>
          <w:tcPr>
            <w:tcW w:w="8969" w:type="dxa"/>
            <w:gridSpan w:val="3"/>
            <w:shd w:val="clear" w:color="auto" w:fill="002060"/>
            <w:tcMar>
              <w:left w:w="105" w:type="dxa"/>
              <w:right w:w="105" w:type="dxa"/>
            </w:tcMar>
          </w:tcPr>
          <w:p w14:paraId="4F2009B0" w14:textId="77777777" w:rsidR="004D556D" w:rsidRPr="000F6CD1" w:rsidRDefault="004D556D" w:rsidP="00BD7051">
            <w:pPr>
              <w:spacing w:before="120" w:after="120"/>
              <w:rPr>
                <w:color w:val="FFFFFF" w:themeColor="background1"/>
              </w:rPr>
            </w:pPr>
            <w:r w:rsidRPr="000F6CD1">
              <w:rPr>
                <w:color w:val="FFFFFF" w:themeColor="background1"/>
              </w:rPr>
              <w:t>Home modifications</w:t>
            </w:r>
          </w:p>
        </w:tc>
      </w:tr>
      <w:tr w:rsidR="004D556D" w:rsidRPr="000F6CD1" w14:paraId="2D7B621C" w14:textId="77777777" w:rsidTr="00782994">
        <w:trPr>
          <w:trHeight w:val="300"/>
          <w:tblHeader/>
        </w:trPr>
        <w:tc>
          <w:tcPr>
            <w:tcW w:w="2992" w:type="dxa"/>
            <w:tcMar>
              <w:left w:w="105" w:type="dxa"/>
              <w:right w:w="105" w:type="dxa"/>
            </w:tcMar>
          </w:tcPr>
          <w:p w14:paraId="48368F44" w14:textId="77777777" w:rsidR="004D556D" w:rsidRPr="000F6CD1" w:rsidRDefault="004D556D" w:rsidP="00BD7051">
            <w:pPr>
              <w:spacing w:before="120" w:after="120"/>
            </w:pPr>
            <w:r w:rsidRPr="000F6CD1">
              <w:t>Low</w:t>
            </w:r>
          </w:p>
        </w:tc>
        <w:tc>
          <w:tcPr>
            <w:tcW w:w="2985" w:type="dxa"/>
            <w:tcMar>
              <w:left w:w="105" w:type="dxa"/>
              <w:right w:w="105" w:type="dxa"/>
            </w:tcMar>
          </w:tcPr>
          <w:p w14:paraId="70230C9A" w14:textId="77777777" w:rsidR="004D556D" w:rsidRPr="000F6CD1" w:rsidRDefault="004D556D" w:rsidP="00BD7051">
            <w:pPr>
              <w:spacing w:before="120" w:after="120"/>
            </w:pPr>
            <w:r w:rsidRPr="000F6CD1">
              <w:t>$500</w:t>
            </w:r>
          </w:p>
        </w:tc>
        <w:tc>
          <w:tcPr>
            <w:tcW w:w="2992" w:type="dxa"/>
            <w:tcMar>
              <w:left w:w="105" w:type="dxa"/>
              <w:right w:w="105" w:type="dxa"/>
            </w:tcMar>
          </w:tcPr>
          <w:p w14:paraId="0BA7552D" w14:textId="77777777" w:rsidR="004D556D" w:rsidRPr="000F6CD1" w:rsidRDefault="004D556D" w:rsidP="00BD7051">
            <w:pPr>
              <w:spacing w:before="120" w:after="120"/>
            </w:pPr>
            <w:r w:rsidRPr="000F6CD1">
              <w:t>12 months</w:t>
            </w:r>
          </w:p>
        </w:tc>
      </w:tr>
      <w:tr w:rsidR="004D556D" w:rsidRPr="000F6CD1" w14:paraId="3464511B" w14:textId="77777777" w:rsidTr="00782994">
        <w:trPr>
          <w:trHeight w:val="300"/>
          <w:tblHeader/>
        </w:trPr>
        <w:tc>
          <w:tcPr>
            <w:tcW w:w="2992" w:type="dxa"/>
            <w:tcMar>
              <w:left w:w="105" w:type="dxa"/>
              <w:right w:w="105" w:type="dxa"/>
            </w:tcMar>
          </w:tcPr>
          <w:p w14:paraId="716F9FF0" w14:textId="77777777" w:rsidR="004D556D" w:rsidRPr="000F6CD1" w:rsidRDefault="004D556D" w:rsidP="00BD7051">
            <w:pPr>
              <w:spacing w:before="120" w:after="120"/>
            </w:pPr>
            <w:r w:rsidRPr="000F6CD1">
              <w:t>Medium</w:t>
            </w:r>
          </w:p>
        </w:tc>
        <w:tc>
          <w:tcPr>
            <w:tcW w:w="2985" w:type="dxa"/>
            <w:tcMar>
              <w:left w:w="105" w:type="dxa"/>
              <w:right w:w="105" w:type="dxa"/>
            </w:tcMar>
          </w:tcPr>
          <w:p w14:paraId="6257BD3C" w14:textId="77777777" w:rsidR="004D556D" w:rsidRPr="000F6CD1" w:rsidRDefault="004D556D" w:rsidP="00BD7051">
            <w:pPr>
              <w:spacing w:before="120" w:after="120"/>
            </w:pPr>
            <w:r w:rsidRPr="000F6CD1">
              <w:t>$2,000</w:t>
            </w:r>
          </w:p>
        </w:tc>
        <w:tc>
          <w:tcPr>
            <w:tcW w:w="2992" w:type="dxa"/>
            <w:tcMar>
              <w:left w:w="105" w:type="dxa"/>
              <w:right w:w="105" w:type="dxa"/>
            </w:tcMar>
          </w:tcPr>
          <w:p w14:paraId="5B039B29" w14:textId="77777777" w:rsidR="004D556D" w:rsidRPr="000F6CD1" w:rsidRDefault="004D556D" w:rsidP="00BD7051">
            <w:pPr>
              <w:spacing w:before="120" w:after="120"/>
            </w:pPr>
            <w:r w:rsidRPr="000F6CD1">
              <w:t>12 months</w:t>
            </w:r>
          </w:p>
        </w:tc>
      </w:tr>
      <w:tr w:rsidR="004D556D" w:rsidRPr="000F6CD1" w14:paraId="214444CA" w14:textId="77777777" w:rsidTr="00782994">
        <w:trPr>
          <w:trHeight w:val="300"/>
          <w:tblHeader/>
        </w:trPr>
        <w:tc>
          <w:tcPr>
            <w:tcW w:w="2992" w:type="dxa"/>
            <w:tcMar>
              <w:left w:w="105" w:type="dxa"/>
              <w:right w:w="105" w:type="dxa"/>
            </w:tcMar>
          </w:tcPr>
          <w:p w14:paraId="07885127" w14:textId="77777777" w:rsidR="004D556D" w:rsidRPr="000F6CD1" w:rsidRDefault="004D556D" w:rsidP="00BD7051">
            <w:pPr>
              <w:spacing w:before="120" w:after="120"/>
            </w:pPr>
            <w:r w:rsidRPr="000F6CD1">
              <w:t>High</w:t>
            </w:r>
          </w:p>
        </w:tc>
        <w:tc>
          <w:tcPr>
            <w:tcW w:w="2985" w:type="dxa"/>
            <w:tcMar>
              <w:left w:w="105" w:type="dxa"/>
              <w:right w:w="105" w:type="dxa"/>
            </w:tcMar>
          </w:tcPr>
          <w:p w14:paraId="139DFE91" w14:textId="77777777" w:rsidR="004D556D" w:rsidRPr="000F6CD1" w:rsidRDefault="004D556D" w:rsidP="00BD7051">
            <w:pPr>
              <w:spacing w:before="120" w:after="120"/>
            </w:pPr>
            <w:r w:rsidRPr="000F6CD1">
              <w:t>$15,000</w:t>
            </w:r>
          </w:p>
        </w:tc>
        <w:tc>
          <w:tcPr>
            <w:tcW w:w="2992" w:type="dxa"/>
            <w:tcMar>
              <w:left w:w="105" w:type="dxa"/>
              <w:right w:w="105" w:type="dxa"/>
            </w:tcMar>
          </w:tcPr>
          <w:p w14:paraId="2F3BB966" w14:textId="77777777" w:rsidR="004D556D" w:rsidRPr="000F6CD1" w:rsidRDefault="004D556D" w:rsidP="00BD7051">
            <w:pPr>
              <w:spacing w:before="120" w:after="120"/>
              <w:rPr>
                <w:vertAlign w:val="superscript"/>
              </w:rPr>
            </w:pPr>
            <w:r w:rsidRPr="000F6CD1">
              <w:t>12 months</w:t>
            </w:r>
            <w:r w:rsidRPr="000F6CD1">
              <w:rPr>
                <w:vertAlign w:val="superscript"/>
              </w:rPr>
              <w:t>2</w:t>
            </w:r>
          </w:p>
        </w:tc>
      </w:tr>
      <w:tr w:rsidR="004D556D" w:rsidRPr="000F6CD1" w14:paraId="1E19268F" w14:textId="77777777" w:rsidTr="00782994">
        <w:trPr>
          <w:trHeight w:val="300"/>
          <w:tblHeader/>
        </w:trPr>
        <w:tc>
          <w:tcPr>
            <w:tcW w:w="8969" w:type="dxa"/>
            <w:gridSpan w:val="3"/>
            <w:tcMar>
              <w:left w:w="105" w:type="dxa"/>
              <w:right w:w="105" w:type="dxa"/>
            </w:tcMar>
          </w:tcPr>
          <w:p w14:paraId="530FBED7" w14:textId="77777777" w:rsidR="004D556D" w:rsidRPr="000F6CD1" w:rsidRDefault="004D556D" w:rsidP="00BD7051">
            <w:pPr>
              <w:spacing w:before="120" w:after="120"/>
            </w:pPr>
            <w:r w:rsidRPr="000F6CD1">
              <w:rPr>
                <w:vertAlign w:val="superscript"/>
              </w:rPr>
              <w:t xml:space="preserve">2 </w:t>
            </w:r>
            <w:r w:rsidRPr="000F6CD1">
              <w:t>Funding may be extended for an additional 12 months to complete complex home modifications (24 months in total) if evidence is provided to Services Australia</w:t>
            </w:r>
          </w:p>
        </w:tc>
      </w:tr>
      <w:tr w:rsidR="004D556D" w:rsidRPr="000F6CD1" w14:paraId="1566AC90" w14:textId="77777777" w:rsidTr="00782994">
        <w:trPr>
          <w:trHeight w:val="300"/>
          <w:tblHeader/>
        </w:trPr>
        <w:tc>
          <w:tcPr>
            <w:tcW w:w="8969" w:type="dxa"/>
            <w:gridSpan w:val="3"/>
            <w:shd w:val="clear" w:color="auto" w:fill="002060"/>
            <w:tcMar>
              <w:left w:w="105" w:type="dxa"/>
              <w:right w:w="105" w:type="dxa"/>
            </w:tcMar>
          </w:tcPr>
          <w:p w14:paraId="45E8F75E" w14:textId="77777777" w:rsidR="004D556D" w:rsidRPr="000F6CD1" w:rsidRDefault="004D556D" w:rsidP="00BD7051">
            <w:pPr>
              <w:spacing w:before="120" w:after="120"/>
              <w:rPr>
                <w:color w:val="FFFFFF" w:themeColor="background1"/>
              </w:rPr>
            </w:pPr>
            <w:r w:rsidRPr="000F6CD1">
              <w:rPr>
                <w:color w:val="FFFFFF" w:themeColor="background1"/>
              </w:rPr>
              <w:t>Other funding</w:t>
            </w:r>
          </w:p>
        </w:tc>
      </w:tr>
      <w:tr w:rsidR="004D556D" w:rsidRPr="000F6CD1" w14:paraId="09435D13" w14:textId="77777777" w:rsidTr="00782994">
        <w:trPr>
          <w:trHeight w:val="300"/>
          <w:tblHeader/>
        </w:trPr>
        <w:tc>
          <w:tcPr>
            <w:tcW w:w="2992" w:type="dxa"/>
            <w:tcMar>
              <w:left w:w="105" w:type="dxa"/>
              <w:right w:w="105" w:type="dxa"/>
            </w:tcMar>
          </w:tcPr>
          <w:p w14:paraId="1EF6DADE" w14:textId="77777777" w:rsidR="004D556D" w:rsidRPr="000F6CD1" w:rsidRDefault="004D556D" w:rsidP="00BD7051">
            <w:pPr>
              <w:spacing w:before="120" w:after="120"/>
            </w:pPr>
            <w:r w:rsidRPr="000F6CD1">
              <w:t>Assistance dog maintenance</w:t>
            </w:r>
          </w:p>
        </w:tc>
        <w:tc>
          <w:tcPr>
            <w:tcW w:w="2985" w:type="dxa"/>
            <w:tcMar>
              <w:left w:w="105" w:type="dxa"/>
              <w:right w:w="105" w:type="dxa"/>
            </w:tcMar>
          </w:tcPr>
          <w:p w14:paraId="7F374638" w14:textId="77777777" w:rsidR="004D556D" w:rsidRPr="000F6CD1" w:rsidRDefault="004D556D" w:rsidP="00BD7051">
            <w:pPr>
              <w:spacing w:before="120" w:after="120"/>
            </w:pPr>
            <w:r w:rsidRPr="000F6CD1">
              <w:t>$2,000 per year</w:t>
            </w:r>
          </w:p>
        </w:tc>
        <w:tc>
          <w:tcPr>
            <w:tcW w:w="2992" w:type="dxa"/>
            <w:tcMar>
              <w:left w:w="105" w:type="dxa"/>
              <w:right w:w="105" w:type="dxa"/>
            </w:tcMar>
          </w:tcPr>
          <w:p w14:paraId="068DCECE" w14:textId="77777777" w:rsidR="004D556D" w:rsidRPr="000F6CD1" w:rsidRDefault="004D556D" w:rsidP="00BD7051">
            <w:pPr>
              <w:spacing w:before="120" w:after="120"/>
              <w:rPr>
                <w:vertAlign w:val="superscript"/>
              </w:rPr>
            </w:pPr>
            <w:r w:rsidRPr="000F6CD1">
              <w:t>Ongoing</w:t>
            </w:r>
            <w:r w:rsidRPr="000F6CD1">
              <w:rPr>
                <w:vertAlign w:val="superscript"/>
              </w:rPr>
              <w:t>3</w:t>
            </w:r>
          </w:p>
        </w:tc>
      </w:tr>
      <w:tr w:rsidR="004D556D" w:rsidRPr="000F6CD1" w14:paraId="7935C6D2" w14:textId="77777777" w:rsidTr="00782994">
        <w:trPr>
          <w:trHeight w:val="300"/>
          <w:tblHeader/>
        </w:trPr>
        <w:tc>
          <w:tcPr>
            <w:tcW w:w="8969" w:type="dxa"/>
            <w:gridSpan w:val="3"/>
            <w:tcMar>
              <w:left w:w="105" w:type="dxa"/>
              <w:right w:w="105" w:type="dxa"/>
            </w:tcMar>
          </w:tcPr>
          <w:p w14:paraId="26327817" w14:textId="3971958E" w:rsidR="004D556D" w:rsidRPr="000F6CD1" w:rsidRDefault="004D556D" w:rsidP="00BD7051">
            <w:pPr>
              <w:spacing w:before="120" w:after="120"/>
            </w:pPr>
            <w:r w:rsidRPr="000F6CD1">
              <w:rPr>
                <w:vertAlign w:val="superscript"/>
              </w:rPr>
              <w:t>3</w:t>
            </w:r>
            <w:r w:rsidRPr="000F6CD1">
              <w:t xml:space="preserve"> Funding for assistance dog maintenance will be automatically allocated every 12 months; however, the funding cannot accrue or rollover.</w:t>
            </w:r>
          </w:p>
        </w:tc>
      </w:tr>
    </w:tbl>
    <w:p w14:paraId="1F195689" w14:textId="77777777" w:rsidR="004D556D" w:rsidRPr="000F6CD1" w:rsidRDefault="004D556D" w:rsidP="00A677C9">
      <w:pPr>
        <w:spacing w:before="240" w:after="240" w:line="240" w:lineRule="auto"/>
      </w:pPr>
      <w:r w:rsidRPr="000F6CD1">
        <w:t>This funding may cover the following:  </w:t>
      </w:r>
    </w:p>
    <w:p w14:paraId="2A197D25" w14:textId="77777777" w:rsidR="004D556D" w:rsidRPr="000F6CD1" w:rsidRDefault="004D556D" w:rsidP="00DF3F6B">
      <w:pPr>
        <w:pStyle w:val="ListParagraph"/>
        <w:numPr>
          <w:ilvl w:val="0"/>
          <w:numId w:val="156"/>
        </w:numPr>
        <w:spacing w:before="240" w:after="240" w:line="240" w:lineRule="auto"/>
      </w:pPr>
      <w:r w:rsidRPr="000F6CD1">
        <w:t>Assistive technology equipment and products </w:t>
      </w:r>
    </w:p>
    <w:p w14:paraId="2EE2B0D6" w14:textId="77777777" w:rsidR="004D556D" w:rsidRPr="000F6CD1" w:rsidRDefault="004D556D" w:rsidP="00DF3F6B">
      <w:pPr>
        <w:pStyle w:val="ListParagraph"/>
        <w:numPr>
          <w:ilvl w:val="0"/>
          <w:numId w:val="156"/>
        </w:numPr>
        <w:spacing w:before="240" w:after="240" w:line="240" w:lineRule="auto"/>
      </w:pPr>
      <w:r w:rsidRPr="000F6CD1">
        <w:t>Home modifications and associated services</w:t>
      </w:r>
    </w:p>
    <w:p w14:paraId="49A6C4A7" w14:textId="77777777" w:rsidR="004D556D" w:rsidRPr="000F6CD1" w:rsidRDefault="004D556D" w:rsidP="00DF3F6B">
      <w:pPr>
        <w:pStyle w:val="ListParagraph"/>
        <w:numPr>
          <w:ilvl w:val="0"/>
          <w:numId w:val="156"/>
        </w:numPr>
        <w:spacing w:before="240" w:after="240" w:line="240" w:lineRule="auto"/>
      </w:pPr>
      <w:r w:rsidRPr="000F6CD1">
        <w:t>Repairs or maintenance of assistive technology items available on the AT-HM list</w:t>
      </w:r>
    </w:p>
    <w:p w14:paraId="1DD31C60" w14:textId="77777777" w:rsidR="004D556D" w:rsidRPr="000F6CD1" w:rsidRDefault="004D556D" w:rsidP="00DF3F6B">
      <w:pPr>
        <w:pStyle w:val="ListParagraph"/>
        <w:numPr>
          <w:ilvl w:val="0"/>
          <w:numId w:val="156"/>
        </w:numPr>
        <w:spacing w:before="240" w:after="240" w:line="240" w:lineRule="auto"/>
      </w:pPr>
      <w:r w:rsidRPr="000F6CD1">
        <w:t>Prescription of items, where appropriate, by a suitably qualified health professional working within their professional scope of practice</w:t>
      </w:r>
    </w:p>
    <w:p w14:paraId="46F46352" w14:textId="7B29B26E" w:rsidR="004D556D" w:rsidRPr="000F6CD1" w:rsidRDefault="004D556D" w:rsidP="00DF3F6B">
      <w:pPr>
        <w:pStyle w:val="ListParagraph"/>
        <w:numPr>
          <w:ilvl w:val="0"/>
          <w:numId w:val="156"/>
        </w:numPr>
        <w:spacing w:before="240" w:after="240" w:line="240" w:lineRule="auto"/>
      </w:pPr>
      <w:r w:rsidRPr="000F6CD1">
        <w:t>Recurring AT costs including ongoing monitoring, software, subscription fees or rental costs.</w:t>
      </w:r>
    </w:p>
    <w:p w14:paraId="28930F77" w14:textId="61E6D6D8" w:rsidR="004D556D" w:rsidRPr="000F6CD1" w:rsidRDefault="004D556D" w:rsidP="00DF3F6B">
      <w:pPr>
        <w:pStyle w:val="ListParagraph"/>
        <w:numPr>
          <w:ilvl w:val="0"/>
          <w:numId w:val="156"/>
        </w:numPr>
        <w:spacing w:before="240" w:after="240" w:line="240" w:lineRule="auto"/>
      </w:pPr>
      <w:r w:rsidRPr="000F6CD1">
        <w:lastRenderedPageBreak/>
        <w:t>Associated administration activities (cap will apply – see the AT-HM scheme guidelines for further details).</w:t>
      </w:r>
      <w:r w:rsidR="00B57E9E" w:rsidRPr="000F6CD1">
        <w:t xml:space="preserve"> </w:t>
      </w:r>
    </w:p>
    <w:p w14:paraId="2CC5176E" w14:textId="25D57D94" w:rsidR="004D556D" w:rsidRPr="000F6CD1" w:rsidRDefault="004D556D" w:rsidP="00A677C9">
      <w:pPr>
        <w:spacing w:before="240" w:after="240" w:line="240" w:lineRule="auto"/>
      </w:pPr>
      <w:r w:rsidRPr="000F6CD1">
        <w:t xml:space="preserve">Participants will be allocated a funding tier for 12 months (in most cases) to spend their assistive technology and home modifications funding. </w:t>
      </w:r>
    </w:p>
    <w:p w14:paraId="2020B094" w14:textId="77777777" w:rsidR="004D556D" w:rsidRPr="000F6CD1" w:rsidRDefault="004D556D" w:rsidP="00A677C9">
      <w:pPr>
        <w:spacing w:before="240" w:after="240" w:line="240" w:lineRule="auto"/>
      </w:pPr>
      <w:r w:rsidRPr="000F6CD1">
        <w:t>The cost of wrap-around services—such as delivery, setup, training, and follow-up—are also drawn from the AT-HM funding tier. Providers can add a 10% charge on administration costs for AT claims and a 15% charge for coordination costs for HM claims. Assessors must consider these costs when allocating a funding tier.</w:t>
      </w:r>
    </w:p>
    <w:p w14:paraId="2122DA89" w14:textId="77777777" w:rsidR="004D556D" w:rsidRPr="000F6CD1" w:rsidRDefault="004D556D" w:rsidP="00A677C9">
      <w:pPr>
        <w:spacing w:before="240" w:after="240" w:line="240" w:lineRule="auto"/>
      </w:pPr>
      <w:r w:rsidRPr="000F6CD1">
        <w:t>Participants may be required to contribute towards their assistive technology or home modifications. </w:t>
      </w:r>
    </w:p>
    <w:p w14:paraId="51267928" w14:textId="3B4FB25F" w:rsidR="004D556D" w:rsidRPr="000F6CD1" w:rsidRDefault="004D556D" w:rsidP="00A677C9">
      <w:pPr>
        <w:spacing w:before="240" w:after="240" w:line="240" w:lineRule="auto"/>
      </w:pPr>
      <w:r w:rsidRPr="000F6CD1">
        <w:t xml:space="preserve">AT-HM funds will not accrue over </w:t>
      </w:r>
      <w:r w:rsidR="00817056" w:rsidRPr="000F6CD1">
        <w:t>time,</w:t>
      </w:r>
      <w:r w:rsidRPr="000F6CD1">
        <w:t xml:space="preserve"> and funding will be available for 12 months (in most instances) once a participant is assessed (or reassessed) and approved. If major home modifications take longer than 12 months, funding may be available for a further 12 months if the participant can provide evidence the work has commenced. This will ensure enough time to complete the work to the required standards. </w:t>
      </w:r>
    </w:p>
    <w:p w14:paraId="4C02E6FF" w14:textId="68991A5D" w:rsidR="004D556D" w:rsidRPr="000F6CD1" w:rsidRDefault="004D556D" w:rsidP="00E56323">
      <w:pPr>
        <w:spacing w:before="240" w:after="240" w:line="240" w:lineRule="auto"/>
      </w:pPr>
      <w:r w:rsidRPr="000F6CD1">
        <w:t>Recurring AT costs, e.g. subscription fees, rental costs, continued monitoring costs or software costs associated with an item on the AT-HM list must be paid out of the AT-HM scheme funds. For example, personal emergency alarm systems are included on the </w:t>
      </w:r>
      <w:hyperlink r:id="rId176" w:tgtFrame="_blank" w:tooltip="https://www.health.gov.au/resources/publications/assistive-technology-and-home-modifications-list-at-hm-list?language=en" w:history="1">
        <w:r w:rsidRPr="000F6CD1">
          <w:rPr>
            <w:rStyle w:val="Hyperlink"/>
          </w:rPr>
          <w:t>AT-HM list</w:t>
        </w:r>
      </w:hyperlink>
      <w:r w:rsidRPr="000F6CD1">
        <w:t>. The cost of the alarm and the ongoing monitoring (including by a third party) are both covered by AT-HM funding. Ongoing monitoring costs are part of the AT-HM item. The amount paid by the participant is the same as the independence category rate.</w:t>
      </w:r>
    </w:p>
    <w:p w14:paraId="26649AF5" w14:textId="5F7A820F" w:rsidR="004D556D" w:rsidRPr="000F6CD1" w:rsidRDefault="004D556D" w:rsidP="00E56323">
      <w:pPr>
        <w:spacing w:before="240" w:after="240" w:line="240" w:lineRule="auto"/>
      </w:pPr>
      <w:r w:rsidRPr="000F6CD1">
        <w:t>AT-HM funding normally lasts for 12 months. If the participant still needs to pay for recurring costs, subscription fees or continued monitoring after that, the participant will need to be reassessed by an aged care assessor, who can assess the participant for a new level of AT-HM funding if needed. </w:t>
      </w:r>
    </w:p>
    <w:p w14:paraId="23ED9BCE" w14:textId="77777777" w:rsidR="004D556D" w:rsidRPr="000F6CD1" w:rsidRDefault="004D556D" w:rsidP="00A677C9">
      <w:pPr>
        <w:spacing w:before="240" w:after="240" w:line="240" w:lineRule="auto"/>
      </w:pPr>
      <w:r w:rsidRPr="000F6CD1">
        <w:t>Older people identified at assessment with specific progressive conditions may be eligible to access assistive technology funding for 24 months to meet their rapidly changing needs.</w:t>
      </w:r>
      <w:r w:rsidRPr="000F6CD1">
        <w:br/>
        <w:t>The 13 conditions listed below are all eligible AT-HM progressive conditions under Support at Home.</w:t>
      </w:r>
    </w:p>
    <w:p w14:paraId="6D7EEA9A" w14:textId="77777777" w:rsidR="004D556D" w:rsidRPr="000F6CD1" w:rsidRDefault="004D556D" w:rsidP="00A677C9">
      <w:pPr>
        <w:spacing w:before="240" w:after="240" w:line="240" w:lineRule="auto"/>
        <w:rPr>
          <w:szCs w:val="22"/>
        </w:rPr>
      </w:pPr>
      <w:r w:rsidRPr="000F6CD1">
        <w:rPr>
          <w:szCs w:val="22"/>
        </w:rPr>
        <w:t>These conditions are: </w:t>
      </w:r>
    </w:p>
    <w:p w14:paraId="38FAFBB3"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Cerebral Palsy </w:t>
      </w:r>
    </w:p>
    <w:p w14:paraId="0F96CF48"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Epilepsy </w:t>
      </w:r>
    </w:p>
    <w:p w14:paraId="279ABB0D"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Huntington’s Disease </w:t>
      </w:r>
    </w:p>
    <w:p w14:paraId="7606968B"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Motor Neurone Disease (MND) noting different phenotypes require different management </w:t>
      </w:r>
    </w:p>
    <w:p w14:paraId="75CA54DE"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Multiple Sclerosis (MS) </w:t>
      </w:r>
    </w:p>
    <w:p w14:paraId="6E26CAF2"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Parkinson’s Disease </w:t>
      </w:r>
    </w:p>
    <w:p w14:paraId="6144A152"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Late effects of Polio </w:t>
      </w:r>
    </w:p>
    <w:p w14:paraId="20EDA6ED"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Spinal Cord Injury </w:t>
      </w:r>
    </w:p>
    <w:p w14:paraId="5829874C"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Spinal Muscular Atrophy </w:t>
      </w:r>
    </w:p>
    <w:p w14:paraId="4C384719"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Stroke </w:t>
      </w:r>
    </w:p>
    <w:p w14:paraId="260C77C7"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Acquired Brain Injury noting different types of brain injury require different management </w:t>
      </w:r>
    </w:p>
    <w:p w14:paraId="475BE422" w14:textId="77777777" w:rsidR="004D556D" w:rsidRPr="000F6CD1" w:rsidRDefault="004D556D" w:rsidP="00DF3F6B">
      <w:pPr>
        <w:pStyle w:val="ListParagraph"/>
        <w:numPr>
          <w:ilvl w:val="0"/>
          <w:numId w:val="397"/>
        </w:numPr>
        <w:spacing w:before="240" w:after="240" w:line="240" w:lineRule="auto"/>
        <w:rPr>
          <w:szCs w:val="22"/>
        </w:rPr>
      </w:pPr>
      <w:r w:rsidRPr="000F6CD1">
        <w:rPr>
          <w:szCs w:val="22"/>
        </w:rPr>
        <w:t>Muscular Dystrophies and Muscular Atrophies. </w:t>
      </w:r>
    </w:p>
    <w:p w14:paraId="2B4BDA33" w14:textId="77777777" w:rsidR="004D556D" w:rsidRPr="000F6CD1" w:rsidRDefault="004D556D" w:rsidP="00A677C9">
      <w:pPr>
        <w:spacing w:before="240" w:after="240" w:line="240" w:lineRule="auto"/>
      </w:pPr>
      <w:r w:rsidRPr="000F6CD1">
        <w:lastRenderedPageBreak/>
        <w:t>In some cases, this funding can be extended for another 24 months, providing a total of 48 months of support. If available, Home Care Package unspent funds must be used to access assistive technology and home modifications before AT-HM scheme funding is used.</w:t>
      </w:r>
    </w:p>
    <w:p w14:paraId="17FE94F2" w14:textId="77777777" w:rsidR="004D556D" w:rsidRPr="000F6CD1" w:rsidRDefault="004D556D" w:rsidP="00AD2CE5">
      <w:pPr>
        <w:pStyle w:val="H3"/>
      </w:pPr>
      <w:r w:rsidRPr="000F6CD1">
        <w:t>AT-HM list</w:t>
      </w:r>
    </w:p>
    <w:p w14:paraId="1CA4C728" w14:textId="77777777" w:rsidR="004D556D" w:rsidRPr="000F6CD1" w:rsidRDefault="004D556D" w:rsidP="00A677C9">
      <w:pPr>
        <w:spacing w:before="240" w:after="240" w:line="240" w:lineRule="auto"/>
      </w:pPr>
      <w:r w:rsidRPr="000F6CD1">
        <w:t>The AT-HM list sets out the assistive technology and home modifications that can be accessed and funded through the AT-HM scheme. </w:t>
      </w:r>
    </w:p>
    <w:p w14:paraId="787908B1" w14:textId="77777777" w:rsidR="004D556D" w:rsidRPr="000F6CD1" w:rsidRDefault="004D556D" w:rsidP="00A677C9">
      <w:pPr>
        <w:spacing w:before="240" w:after="240" w:line="240" w:lineRule="auto"/>
      </w:pPr>
      <w:r w:rsidRPr="000F6CD1">
        <w:t>The AT-HM list is sorted into the following categories:  </w:t>
      </w:r>
    </w:p>
    <w:p w14:paraId="564F7339" w14:textId="77777777" w:rsidR="004D556D" w:rsidRPr="000F6CD1" w:rsidRDefault="004D556D" w:rsidP="00DF3F6B">
      <w:pPr>
        <w:pStyle w:val="ListParagraph"/>
        <w:numPr>
          <w:ilvl w:val="0"/>
          <w:numId w:val="144"/>
        </w:numPr>
        <w:spacing w:before="240" w:after="240" w:line="240" w:lineRule="auto"/>
      </w:pPr>
      <w:r w:rsidRPr="000F6CD1">
        <w:rPr>
          <w:b/>
        </w:rPr>
        <w:t>managing body functions</w:t>
      </w:r>
      <w:r w:rsidRPr="000F6CD1">
        <w:t xml:space="preserve"> – including pressure cushions, anti-oedema stockings and memory support products </w:t>
      </w:r>
    </w:p>
    <w:p w14:paraId="4104348A" w14:textId="77777777" w:rsidR="004D556D" w:rsidRPr="000F6CD1" w:rsidRDefault="004D556D" w:rsidP="00DF3F6B">
      <w:pPr>
        <w:pStyle w:val="ListParagraph"/>
        <w:numPr>
          <w:ilvl w:val="0"/>
          <w:numId w:val="145"/>
        </w:numPr>
        <w:spacing w:before="240" w:after="240" w:line="240" w:lineRule="auto"/>
      </w:pPr>
      <w:r w:rsidRPr="000F6CD1">
        <w:rPr>
          <w:b/>
        </w:rPr>
        <w:t>self-care products</w:t>
      </w:r>
      <w:r w:rsidRPr="000F6CD1">
        <w:t xml:space="preserve"> – including adaptive clothing or shoes and assistive products for toileting, bathing and showering </w:t>
      </w:r>
    </w:p>
    <w:p w14:paraId="59605C03" w14:textId="77777777" w:rsidR="004D556D" w:rsidRPr="000F6CD1" w:rsidRDefault="004D556D" w:rsidP="00DF3F6B">
      <w:pPr>
        <w:pStyle w:val="ListParagraph"/>
        <w:numPr>
          <w:ilvl w:val="0"/>
          <w:numId w:val="146"/>
        </w:numPr>
        <w:spacing w:before="240" w:after="240" w:line="240" w:lineRule="auto"/>
      </w:pPr>
      <w:r w:rsidRPr="000F6CD1">
        <w:rPr>
          <w:b/>
        </w:rPr>
        <w:t>mobility products</w:t>
      </w:r>
      <w:r w:rsidRPr="000F6CD1">
        <w:t xml:space="preserve"> – including walking frames, wheelchairs and lifting devices  </w:t>
      </w:r>
    </w:p>
    <w:p w14:paraId="60B6BCAC" w14:textId="77777777" w:rsidR="004D556D" w:rsidRPr="000F6CD1" w:rsidRDefault="004D556D" w:rsidP="00DF3F6B">
      <w:pPr>
        <w:pStyle w:val="ListParagraph"/>
        <w:numPr>
          <w:ilvl w:val="0"/>
          <w:numId w:val="147"/>
        </w:numPr>
        <w:spacing w:before="240" w:after="240" w:line="240" w:lineRule="auto"/>
      </w:pPr>
      <w:r w:rsidRPr="000F6CD1">
        <w:rPr>
          <w:b/>
        </w:rPr>
        <w:t>domestic life products</w:t>
      </w:r>
      <w:r w:rsidRPr="000F6CD1">
        <w:t xml:space="preserve"> – including assistive products for food preparation, eating, drinking and house cleaning </w:t>
      </w:r>
    </w:p>
    <w:p w14:paraId="5D710DAA" w14:textId="77777777" w:rsidR="004D556D" w:rsidRPr="000F6CD1" w:rsidRDefault="004D556D" w:rsidP="00DF3F6B">
      <w:pPr>
        <w:pStyle w:val="ListParagraph"/>
        <w:numPr>
          <w:ilvl w:val="0"/>
          <w:numId w:val="148"/>
        </w:numPr>
        <w:spacing w:before="240" w:after="240" w:line="240" w:lineRule="auto"/>
      </w:pPr>
      <w:r w:rsidRPr="000F6CD1">
        <w:rPr>
          <w:b/>
        </w:rPr>
        <w:t>communication and information management products</w:t>
      </w:r>
      <w:r w:rsidRPr="000F6CD1">
        <w:t xml:space="preserve"> – products and equipment that assist with reading and writing, as well as alternative and augmentative communication (AAC) devices </w:t>
      </w:r>
    </w:p>
    <w:p w14:paraId="55262446" w14:textId="3D03D0AC" w:rsidR="004D556D" w:rsidRPr="000F6CD1" w:rsidRDefault="004D556D" w:rsidP="00DF3F6B">
      <w:pPr>
        <w:pStyle w:val="ListParagraph"/>
        <w:numPr>
          <w:ilvl w:val="0"/>
          <w:numId w:val="149"/>
        </w:numPr>
        <w:spacing w:before="240" w:after="240" w:line="240" w:lineRule="auto"/>
      </w:pPr>
      <w:r w:rsidRPr="000F6CD1">
        <w:rPr>
          <w:b/>
        </w:rPr>
        <w:t>home modifications</w:t>
      </w:r>
      <w:r w:rsidRPr="000F6CD1">
        <w:t xml:space="preserve"> - including accessible showers, grabrails, fixed ramps and safety barriers.</w:t>
      </w:r>
      <w:r w:rsidR="00B57E9E" w:rsidRPr="000F6CD1">
        <w:t xml:space="preserve"> </w:t>
      </w:r>
    </w:p>
    <w:p w14:paraId="334A7263" w14:textId="77777777" w:rsidR="004D556D" w:rsidRPr="000F6CD1" w:rsidRDefault="004D556D" w:rsidP="00A677C9">
      <w:pPr>
        <w:spacing w:before="240" w:after="240" w:line="240" w:lineRule="auto"/>
      </w:pPr>
      <w:r w:rsidRPr="000F6CD1">
        <w:t xml:space="preserve">The AT-HM list also includes a </w:t>
      </w:r>
      <w:r w:rsidRPr="000F6CD1">
        <w:rPr>
          <w:b/>
        </w:rPr>
        <w:t>guide</w:t>
      </w:r>
      <w:r w:rsidRPr="000F6CD1">
        <w:t xml:space="preserve"> on the recommended prescription category for each item. The prescription category is the suggested level of skill or qualification required to effectively provide recommendations for the safe and effective use of assistive products or equipment or installation of home modifications. </w:t>
      </w:r>
    </w:p>
    <w:tbl>
      <w:tblPr>
        <w:tblStyle w:val="TableGrid"/>
        <w:tblW w:w="0" w:type="auto"/>
        <w:tblLook w:val="04A0" w:firstRow="1" w:lastRow="0" w:firstColumn="1" w:lastColumn="0" w:noHBand="0" w:noVBand="1"/>
      </w:tblPr>
      <w:tblGrid>
        <w:gridCol w:w="988"/>
        <w:gridCol w:w="8028"/>
      </w:tblGrid>
      <w:tr w:rsidR="004D556D" w:rsidRPr="000F6CD1" w14:paraId="6A0E9115" w14:textId="77777777">
        <w:trPr>
          <w:trHeight w:val="300"/>
        </w:trPr>
        <w:tc>
          <w:tcPr>
            <w:tcW w:w="988" w:type="dxa"/>
          </w:tcPr>
          <w:p w14:paraId="4A131B74" w14:textId="77777777" w:rsidR="004D556D" w:rsidRPr="000F6CD1" w:rsidRDefault="004D556D" w:rsidP="00A677C9">
            <w:pPr>
              <w:spacing w:before="240" w:after="240"/>
            </w:pPr>
            <w:r w:rsidRPr="000F6CD1">
              <w:rPr>
                <w:noProof/>
              </w:rPr>
              <w:drawing>
                <wp:inline distT="0" distB="0" distL="0" distR="0" wp14:anchorId="7224F75E" wp14:editId="0F32B2DC">
                  <wp:extent cx="447675" cy="438150"/>
                  <wp:effectExtent l="0" t="0" r="0" b="0"/>
                  <wp:docPr id="1946842903" name="Picture 19468429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94967"/>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5A1102A9" w14:textId="77777777" w:rsidR="004D556D" w:rsidRPr="000F6CD1" w:rsidRDefault="004D556D" w:rsidP="00A677C9">
            <w:pPr>
              <w:spacing w:before="240" w:after="240"/>
            </w:pPr>
          </w:p>
          <w:p w14:paraId="599FFF36" w14:textId="77777777" w:rsidR="004D556D" w:rsidRPr="000F6CD1" w:rsidRDefault="004D556D" w:rsidP="00A677C9">
            <w:pPr>
              <w:spacing w:before="240" w:after="240"/>
            </w:pPr>
            <w:hyperlink r:id="rId177">
              <w:r w:rsidRPr="000F6CD1">
                <w:rPr>
                  <w:rStyle w:val="Hyperlink"/>
                </w:rPr>
                <w:t>Assistive Technology and Home Modifications list (AT-HM list)</w:t>
              </w:r>
            </w:hyperlink>
          </w:p>
        </w:tc>
      </w:tr>
    </w:tbl>
    <w:p w14:paraId="4BE0C3FF" w14:textId="77777777" w:rsidR="004D556D" w:rsidRPr="000F6CD1" w:rsidRDefault="004D556D" w:rsidP="00AD2CE5">
      <w:pPr>
        <w:pStyle w:val="H3"/>
      </w:pPr>
      <w:r w:rsidRPr="000F6CD1">
        <w:t>Assessing the need for AT-HM scheme funding</w:t>
      </w:r>
    </w:p>
    <w:p w14:paraId="08CBE0A9" w14:textId="77777777" w:rsidR="004D556D" w:rsidRPr="000F6CD1" w:rsidRDefault="004D556D" w:rsidP="00A677C9">
      <w:pPr>
        <w:spacing w:before="240" w:after="240" w:line="240" w:lineRule="auto"/>
      </w:pPr>
      <w:r w:rsidRPr="000F6CD1">
        <w:t>Existing questions in the IAT will help to identify and determine an older person’s need for assistive technology and home modifications. The AT-HM tier guide will assist the assessor to make a funding tier recommendation. For example, the function section will provide a more detailed understanding of a client’s functional ability, their ability to complete activities of daily living, and if the client requires further assistance with these.</w:t>
      </w:r>
    </w:p>
    <w:p w14:paraId="107670C4" w14:textId="77777777" w:rsidR="00E03ECA" w:rsidRDefault="004D556D" w:rsidP="00A677C9">
      <w:pPr>
        <w:spacing w:before="240" w:after="240" w:line="240" w:lineRule="auto"/>
      </w:pPr>
      <w:r w:rsidRPr="000F6CD1">
        <w:t>Assessors are </w:t>
      </w:r>
      <w:r w:rsidRPr="000F6CD1">
        <w:rPr>
          <w:b/>
          <w:bCs/>
        </w:rPr>
        <w:t>not required</w:t>
      </w:r>
      <w:r w:rsidRPr="000F6CD1">
        <w:t> to determine the exact item or product to be provided. Rather, an assessor’s role is to identify whether the person is likely to benefit from AT or HM supports based on observed and reported difficulties, risks, or goals. Assessors are asked to assign a funding tier for AT and HM based on the assessed need with the support of the AT-HM tier guide. It is recommended that assessors also familiarise themselves with the AT-HM list and how it is utilised in the AT-HM scheme. The specific types of AT-HM best suited to the client, and any required prescriptions, is the responsibility of</w:t>
      </w:r>
      <w:r w:rsidRPr="000F6CD1" w:rsidDel="00AD4E4E">
        <w:t xml:space="preserve"> </w:t>
      </w:r>
      <w:r w:rsidRPr="000F6CD1">
        <w:t>the registered provider at the point of service delivery.</w:t>
      </w:r>
    </w:p>
    <w:p w14:paraId="530AEB35" w14:textId="0F97C9B5" w:rsidR="004D556D" w:rsidRPr="000F6CD1" w:rsidRDefault="00E03ECA" w:rsidP="00E03ECA">
      <w:r>
        <w:br w:type="page"/>
      </w:r>
    </w:p>
    <w:p w14:paraId="2AD0B99D" w14:textId="77777777" w:rsidR="004D556D" w:rsidRPr="000F6CD1" w:rsidRDefault="004D556D" w:rsidP="00A677C9">
      <w:pPr>
        <w:spacing w:before="240" w:after="240" w:line="240" w:lineRule="auto"/>
      </w:pPr>
      <w:r w:rsidRPr="000F6CD1">
        <w:lastRenderedPageBreak/>
        <w:t>During the assessment, consider whether the older person:</w:t>
      </w:r>
    </w:p>
    <w:p w14:paraId="246D8E89" w14:textId="77777777" w:rsidR="004D556D" w:rsidRPr="000F6CD1" w:rsidRDefault="004D556D" w:rsidP="00DF3F6B">
      <w:pPr>
        <w:pStyle w:val="ListParagraph"/>
        <w:numPr>
          <w:ilvl w:val="0"/>
          <w:numId w:val="158"/>
        </w:numPr>
        <w:spacing w:before="240" w:after="240" w:line="240" w:lineRule="auto"/>
      </w:pPr>
      <w:r w:rsidRPr="000F6CD1">
        <w:t>has needs and goals that could be met through using assistive technology and home modifications</w:t>
      </w:r>
    </w:p>
    <w:p w14:paraId="1A01D0B9" w14:textId="77777777" w:rsidR="004D556D" w:rsidRPr="000F6CD1" w:rsidRDefault="004D556D" w:rsidP="00DF3F6B">
      <w:pPr>
        <w:pStyle w:val="ListParagraph"/>
        <w:numPr>
          <w:ilvl w:val="0"/>
          <w:numId w:val="158"/>
        </w:numPr>
        <w:spacing w:before="240" w:after="240" w:line="240" w:lineRule="auto"/>
      </w:pPr>
      <w:r w:rsidRPr="000F6CD1">
        <w:t>can have those needs met through the products, equipment and home modifications included</w:t>
      </w:r>
      <w:r w:rsidRPr="000F6CD1" w:rsidDel="00E546A0">
        <w:t xml:space="preserve"> </w:t>
      </w:r>
      <w:r w:rsidRPr="000F6CD1">
        <w:t>on the AT-HM list.</w:t>
      </w:r>
    </w:p>
    <w:p w14:paraId="52B11077" w14:textId="77777777" w:rsidR="004D556D" w:rsidRPr="000F6CD1" w:rsidRDefault="004D556D" w:rsidP="00DF3F6B">
      <w:pPr>
        <w:pStyle w:val="ListParagraph"/>
        <w:numPr>
          <w:ilvl w:val="0"/>
          <w:numId w:val="158"/>
        </w:numPr>
        <w:spacing w:before="240" w:after="240" w:line="240" w:lineRule="auto"/>
      </w:pPr>
      <w:r w:rsidRPr="000F6CD1">
        <w:t>may require prescription or wraparound services for the assessed needs of the assistive technology and home modifications. This will need to be considered and captured under the recommended funding tier allocation.</w:t>
      </w:r>
    </w:p>
    <w:p w14:paraId="6DD1751A" w14:textId="1A04E4F5" w:rsidR="004D556D" w:rsidRPr="000F6CD1" w:rsidRDefault="00711631" w:rsidP="00A410FF">
      <w:r w:rsidRPr="000F6CD1">
        <w:rPr>
          <w:bCs/>
          <w:noProof/>
        </w:rPr>
        <w:drawing>
          <wp:anchor distT="0" distB="0" distL="114300" distR="114300" simplePos="0" relativeHeight="251658357" behindDoc="0" locked="0" layoutInCell="1" allowOverlap="1" wp14:anchorId="5C938962" wp14:editId="48D05243">
            <wp:simplePos x="0" y="0"/>
            <wp:positionH relativeFrom="margin">
              <wp:align>left</wp:align>
            </wp:positionH>
            <wp:positionV relativeFrom="paragraph">
              <wp:posOffset>1225594</wp:posOffset>
            </wp:positionV>
            <wp:extent cx="457200" cy="502920"/>
            <wp:effectExtent l="0" t="0" r="0" b="0"/>
            <wp:wrapSquare wrapText="bothSides"/>
            <wp:docPr id="2138135312" name="Picture 2138135312"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 xml:space="preserve">Older Aboriginal and Torres Strait Islander people may not reveal the full care needs to service providers who they may not know or with whom they have a trusted relationship. If trust and rapport has already been built with the FNAO assessor through the assessment process or with the ECS worker, the assessor/ECS worker may (if appropriate) choose to facilitate service providers and the client with the process of identifying specific types of AT-HM which are best suited and advise on any cultural matters that may need to be considered. </w:t>
      </w:r>
    </w:p>
    <w:p w14:paraId="1786586A" w14:textId="77777777" w:rsidR="004D556D" w:rsidRPr="000F6CD1" w:rsidRDefault="004D556D" w:rsidP="00AD2CE5">
      <w:pPr>
        <w:pStyle w:val="H3"/>
      </w:pPr>
      <w:r w:rsidRPr="000F6CD1">
        <w:t>AT-HM funding tier guide</w:t>
      </w:r>
    </w:p>
    <w:p w14:paraId="17FA98A0" w14:textId="77777777" w:rsidR="004D556D" w:rsidRPr="000F6CD1" w:rsidRDefault="004D556D" w:rsidP="00F83062">
      <w:pPr>
        <w:spacing w:before="240" w:after="240" w:line="240" w:lineRule="auto"/>
        <w:ind w:right="379"/>
      </w:pPr>
      <w:r w:rsidRPr="000F6CD1">
        <w:t xml:space="preserve">If assessors identify that the older person requires AT-HM they are required to recommend a funding tier. AT-HM funding tier guidance has been developed to assist assessors to make a funding tier recommendation for AT and HM based on the older person’s assessed need in the IAT. This includes considering their current functional ability and home environment. </w:t>
      </w:r>
    </w:p>
    <w:p w14:paraId="03BDFBDC" w14:textId="77777777" w:rsidR="004D556D" w:rsidRPr="000F6CD1" w:rsidRDefault="004D556D" w:rsidP="00A677C9">
      <w:pPr>
        <w:spacing w:before="240" w:after="240" w:line="240" w:lineRule="auto"/>
      </w:pPr>
      <w:r w:rsidRPr="000F6CD1">
        <w:t xml:space="preserve">The guidance has been designed to consolidate the main elements of the IAT relevant to AT-HM and support assessors in choosing a funding tier. The guide will suggest an assessment tier which should sit where the majority of tier indicators have been selected. The guide groups indicators into three tiers: </w:t>
      </w:r>
      <w:r w:rsidRPr="000F6CD1">
        <w:rPr>
          <w:b/>
          <w:bCs/>
        </w:rPr>
        <w:t>low, medium, and high</w:t>
      </w:r>
      <w:r w:rsidRPr="000F6CD1">
        <w:t>—and uses a checkbox format for ease of completion. The AT-HM tier guide provides a non-scored pattern of recommendation—the more indicators selected within a particular tier, the stronger the alignment with that level of support.</w:t>
      </w:r>
    </w:p>
    <w:p w14:paraId="2A73D036" w14:textId="77777777" w:rsidR="004D556D" w:rsidRPr="000F6CD1" w:rsidRDefault="004D556D" w:rsidP="00A677C9">
      <w:pPr>
        <w:spacing w:before="240" w:after="240" w:line="240" w:lineRule="auto"/>
      </w:pPr>
      <w:r w:rsidRPr="000F6CD1">
        <w:t>Where the guide does not produce a clear outcome, or in more complex cases, clinical reasoning based on the person’s functional ability, safety, independence, and home environment should guide the tier allocation. Progressive conditions—particularly if multiple are present—may also justify a higher tier allocation, even if fewer indicators are ticked.</w:t>
      </w:r>
    </w:p>
    <w:p w14:paraId="38075E51" w14:textId="77777777" w:rsidR="004D556D" w:rsidRPr="000F6CD1" w:rsidRDefault="004D556D" w:rsidP="00A677C9">
      <w:pPr>
        <w:spacing w:before="240" w:after="240" w:line="240" w:lineRule="auto"/>
      </w:pPr>
      <w:r w:rsidRPr="000F6CD1">
        <w:t xml:space="preserve">Assessors should ensure their recommendations align with the participant’s goals, safety, independence, and overall ability to remain living at home. Assessors should also consider the need for a prescription and/or wraparound services when assigning a funding tier. They may choose to select an alternate tier if funding does not align with assessed need. Assessors can upload the document as an attachment to allow the assessment delegate to review as supporting evidence for any funding tier recommendations made. </w:t>
      </w:r>
    </w:p>
    <w:p w14:paraId="0DBA13D5" w14:textId="77777777" w:rsidR="004D556D" w:rsidRPr="000F6CD1" w:rsidRDefault="004D556D" w:rsidP="00806A21">
      <w:pPr>
        <w:pStyle w:val="Sub-headings"/>
      </w:pPr>
      <w:r w:rsidRPr="000F6CD1">
        <w:t>Note:</w:t>
      </w:r>
    </w:p>
    <w:p w14:paraId="36979404" w14:textId="77777777" w:rsidR="004D556D" w:rsidRPr="000F6CD1" w:rsidRDefault="004D556D" w:rsidP="00806A21">
      <w:pPr>
        <w:pStyle w:val="Sub-headings"/>
      </w:pPr>
      <w:r w:rsidRPr="000F6CD1">
        <w:t>Assessment operation managers will have access to the AT-HM tier guide document on the assessor SharePoint site. Operation managers can download and provide the template to assessors.</w:t>
      </w:r>
    </w:p>
    <w:p w14:paraId="70163BC9" w14:textId="77777777" w:rsidR="004D556D" w:rsidRPr="000F6CD1" w:rsidRDefault="004D556D" w:rsidP="00631758">
      <w:pPr>
        <w:rPr>
          <w:rFonts w:eastAsia="Aptos"/>
        </w:rPr>
      </w:pPr>
    </w:p>
    <w:p w14:paraId="20008229" w14:textId="77777777" w:rsidR="004D556D" w:rsidRPr="000F6CD1" w:rsidRDefault="004D556D" w:rsidP="00AD2CE5">
      <w:pPr>
        <w:pStyle w:val="H3"/>
      </w:pPr>
      <w:r w:rsidRPr="000F6CD1">
        <w:lastRenderedPageBreak/>
        <w:t>Instructions for assessors completing the AT-HM Tier Guide </w:t>
      </w:r>
    </w:p>
    <w:p w14:paraId="4E8E275A" w14:textId="357EF543" w:rsidR="004D556D" w:rsidRPr="000F6CD1" w:rsidRDefault="002D3563" w:rsidP="00A677C9">
      <w:pPr>
        <w:spacing w:before="240" w:after="240" w:line="240" w:lineRule="auto"/>
      </w:pPr>
      <w:r w:rsidRPr="000F6CD1">
        <w:rPr>
          <w:bCs/>
          <w:noProof/>
        </w:rPr>
        <w:drawing>
          <wp:anchor distT="0" distB="0" distL="114300" distR="114300" simplePos="0" relativeHeight="251658364" behindDoc="0" locked="0" layoutInCell="1" allowOverlap="1" wp14:anchorId="6293D897" wp14:editId="1835751B">
            <wp:simplePos x="0" y="0"/>
            <wp:positionH relativeFrom="margin">
              <wp:align>left</wp:align>
            </wp:positionH>
            <wp:positionV relativeFrom="paragraph">
              <wp:posOffset>11613</wp:posOffset>
            </wp:positionV>
            <wp:extent cx="457200" cy="502920"/>
            <wp:effectExtent l="0" t="0" r="0" b="0"/>
            <wp:wrapSquare wrapText="bothSides"/>
            <wp:docPr id="760983226" name="Picture 760983226"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 xml:space="preserve">The AT-HM Tier Guide is used by assessors and assessment delegates to determine the appropriate funding tier for an older person who has been assessed as having a need for AT and/or HM. </w:t>
      </w:r>
    </w:p>
    <w:p w14:paraId="3E8873F9" w14:textId="77777777" w:rsidR="004D556D" w:rsidRPr="000F6CD1" w:rsidRDefault="004D556D" w:rsidP="00A677C9">
      <w:pPr>
        <w:spacing w:before="240" w:after="240" w:line="240" w:lineRule="auto"/>
      </w:pPr>
      <w:r w:rsidRPr="000F6CD1">
        <w:t>Assessors are asked to complete the following:</w:t>
      </w:r>
    </w:p>
    <w:p w14:paraId="13D5EDDA" w14:textId="77777777" w:rsidR="004D556D" w:rsidRPr="000F6CD1" w:rsidRDefault="004D556D" w:rsidP="00DF3F6B">
      <w:pPr>
        <w:pStyle w:val="ListParagraph"/>
        <w:numPr>
          <w:ilvl w:val="0"/>
          <w:numId w:val="189"/>
        </w:numPr>
        <w:spacing w:before="240" w:after="240" w:line="240" w:lineRule="auto"/>
      </w:pPr>
      <w:r w:rsidRPr="000F6CD1">
        <w:t>use the relevant information from the older person’s assessment when completing the AT and HM tier guide</w:t>
      </w:r>
    </w:p>
    <w:p w14:paraId="1112883C" w14:textId="77777777" w:rsidR="004D556D" w:rsidRPr="000F6CD1" w:rsidRDefault="004D556D" w:rsidP="00DF3F6B">
      <w:pPr>
        <w:pStyle w:val="ListParagraph"/>
        <w:numPr>
          <w:ilvl w:val="0"/>
          <w:numId w:val="189"/>
        </w:numPr>
        <w:spacing w:before="240" w:after="240" w:line="240" w:lineRule="auto"/>
      </w:pPr>
      <w:r w:rsidRPr="000F6CD1">
        <w:t>select the relevant indicators on the tier guide for either AT and HM based on the older person’s assessed need</w:t>
      </w:r>
    </w:p>
    <w:p w14:paraId="0F011694" w14:textId="1D726630" w:rsidR="004D556D" w:rsidRPr="000F6CD1" w:rsidRDefault="004D556D" w:rsidP="00DF3F6B">
      <w:pPr>
        <w:pStyle w:val="ListParagraph"/>
        <w:numPr>
          <w:ilvl w:val="0"/>
          <w:numId w:val="189"/>
        </w:numPr>
        <w:spacing w:before="240" w:after="240" w:line="240" w:lineRule="auto"/>
      </w:pPr>
      <w:r w:rsidRPr="000F6CD1">
        <w:t xml:space="preserve">review the guide to support tier allocation recommendation. The AT-HM tier guide will suggest a tier where the highest number of tier indicators have been selected. </w:t>
      </w:r>
    </w:p>
    <w:p w14:paraId="37CBE8C2" w14:textId="15393779" w:rsidR="004D556D" w:rsidRPr="000F6CD1" w:rsidRDefault="004D556D" w:rsidP="00DF3F6B">
      <w:pPr>
        <w:pStyle w:val="ListParagraph"/>
        <w:numPr>
          <w:ilvl w:val="0"/>
          <w:numId w:val="189"/>
        </w:numPr>
        <w:spacing w:before="240" w:after="240" w:line="240" w:lineRule="auto"/>
      </w:pPr>
      <w:r w:rsidRPr="000F6CD1">
        <w:t>upload the completed AT-HM tier guide (mandatory) to the assessor portal under ‘other' and title the document ‘AT-HM Tier Guide</w:t>
      </w:r>
      <w:r w:rsidR="00B57E9E" w:rsidRPr="000F6CD1">
        <w:t>.’</w:t>
      </w:r>
      <w:r w:rsidRPr="000F6CD1">
        <w:t xml:space="preserve"> The Assessment Delegate should consider the guide when approving or declining the AT-HM funding tier.</w:t>
      </w:r>
    </w:p>
    <w:p w14:paraId="24AD2EC6" w14:textId="77777777" w:rsidR="004D556D" w:rsidRPr="000F6CD1" w:rsidRDefault="004D556D" w:rsidP="00DF3F6B">
      <w:pPr>
        <w:pStyle w:val="ListParagraph"/>
        <w:numPr>
          <w:ilvl w:val="0"/>
          <w:numId w:val="189"/>
        </w:numPr>
        <w:spacing w:before="240" w:after="240" w:line="240" w:lineRule="auto"/>
      </w:pPr>
      <w:r w:rsidRPr="000F6CD1">
        <w:t>manually add the recommended AT and HM tier in the support plan once a funding tier is determined.</w:t>
      </w:r>
    </w:p>
    <w:p w14:paraId="22E822AB" w14:textId="77777777" w:rsidR="004D556D" w:rsidRPr="000F6CD1" w:rsidRDefault="004D556D" w:rsidP="00A677C9">
      <w:pPr>
        <w:spacing w:before="240" w:after="240" w:line="240" w:lineRule="auto"/>
      </w:pPr>
      <w:r w:rsidRPr="000F6CD1">
        <w:t>Assessment decisions for AT-HM funding tier allocation can be reviewed through a support plan review if the funding tier does not cover the assessed need. </w:t>
      </w:r>
    </w:p>
    <w:p w14:paraId="3E86D190" w14:textId="77777777" w:rsidR="004D556D" w:rsidRPr="000F6CD1" w:rsidRDefault="004D556D" w:rsidP="00A677C9">
      <w:pPr>
        <w:spacing w:before="240" w:after="240" w:line="240" w:lineRule="auto"/>
      </w:pPr>
      <w:r w:rsidRPr="000F6CD1">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358189"/>
        <w:tblLook w:val="04A0" w:firstRow="1" w:lastRow="0" w:firstColumn="1" w:lastColumn="0" w:noHBand="0" w:noVBand="1"/>
      </w:tblPr>
      <w:tblGrid>
        <w:gridCol w:w="9016"/>
      </w:tblGrid>
      <w:tr w:rsidR="004D556D" w:rsidRPr="000F6CD1" w14:paraId="5EB5796D" w14:textId="77777777" w:rsidTr="008B3FC9">
        <w:tc>
          <w:tcPr>
            <w:tcW w:w="9016" w:type="dxa"/>
            <w:shd w:val="clear" w:color="auto" w:fill="F2F2F2" w:themeFill="background1" w:themeFillShade="F2"/>
          </w:tcPr>
          <w:p w14:paraId="55225A2D" w14:textId="77777777" w:rsidR="004D556D" w:rsidRPr="000F6CD1" w:rsidRDefault="004D556D" w:rsidP="0003231B">
            <w:pPr>
              <w:spacing w:before="120" w:after="120"/>
              <w:rPr>
                <w:b/>
                <w:szCs w:val="22"/>
              </w:rPr>
            </w:pPr>
          </w:p>
          <w:p w14:paraId="21EA5A86" w14:textId="77777777" w:rsidR="004D556D" w:rsidRPr="000F6CD1" w:rsidRDefault="004D556D" w:rsidP="0003231B">
            <w:pPr>
              <w:spacing w:before="120" w:after="120"/>
              <w:jc w:val="center"/>
              <w:rPr>
                <w:b/>
                <w:sz w:val="24"/>
              </w:rPr>
            </w:pPr>
            <w:r w:rsidRPr="000F6CD1">
              <w:rPr>
                <w:b/>
                <w:sz w:val="24"/>
              </w:rPr>
              <w:t>CASE STUDY: AT low tier</w:t>
            </w:r>
          </w:p>
          <w:p w14:paraId="369F88EB" w14:textId="77777777" w:rsidR="004D556D" w:rsidRPr="000F6CD1" w:rsidRDefault="004D556D" w:rsidP="0003231B">
            <w:pPr>
              <w:spacing w:before="120" w:after="120"/>
              <w:rPr>
                <w:b/>
                <w:szCs w:val="22"/>
              </w:rPr>
            </w:pPr>
            <w:r w:rsidRPr="000F6CD1">
              <w:rPr>
                <w:b/>
                <w:szCs w:val="22"/>
              </w:rPr>
              <w:t xml:space="preserve">  </w:t>
            </w:r>
          </w:p>
          <w:p w14:paraId="215468BA" w14:textId="77777777" w:rsidR="004D556D" w:rsidRPr="000F6CD1" w:rsidRDefault="004D556D" w:rsidP="0003231B">
            <w:pPr>
              <w:spacing w:before="120" w:after="120"/>
              <w:rPr>
                <w:szCs w:val="22"/>
              </w:rPr>
            </w:pPr>
            <w:r w:rsidRPr="000F6CD1">
              <w:rPr>
                <w:szCs w:val="22"/>
              </w:rPr>
              <w:t xml:space="preserve">Carol is 65 and has just been assessed and during her comprehensive assessment it was found that she is managing daily activities independently but would benefit from some help with housework and getting to and from the shops. She mentioned that she has some difficulty washing her legs, feet and back in the shower and finds it hard to bend down to put her shoes on. </w:t>
            </w:r>
          </w:p>
          <w:p w14:paraId="3E427ABE" w14:textId="77777777" w:rsidR="004D556D" w:rsidRPr="000F6CD1" w:rsidRDefault="004D556D" w:rsidP="0003231B">
            <w:pPr>
              <w:spacing w:before="120" w:after="120"/>
              <w:rPr>
                <w:szCs w:val="22"/>
              </w:rPr>
            </w:pPr>
          </w:p>
          <w:p w14:paraId="176B9654" w14:textId="77777777" w:rsidR="004D556D" w:rsidRPr="000F6CD1" w:rsidRDefault="004D556D" w:rsidP="0003231B">
            <w:pPr>
              <w:spacing w:before="120" w:after="120"/>
              <w:rPr>
                <w:szCs w:val="22"/>
              </w:rPr>
            </w:pPr>
            <w:r w:rsidRPr="000F6CD1">
              <w:rPr>
                <w:szCs w:val="22"/>
              </w:rPr>
              <w:t xml:space="preserve">The assessor thinks Carol may benefit from some basic items such as a long-handled sponge, a non-slip bathmat and a long-handled shoehorn. After looking at the AT-HM list the assessor believes that all these items are low-cost and low risk and Carol should be allocated Assistive Technology low tier (AT Tier 1) funding to cover the cost of these items. </w:t>
            </w:r>
          </w:p>
          <w:p w14:paraId="1572DD0D" w14:textId="77777777" w:rsidR="004D556D" w:rsidRPr="000F6CD1" w:rsidRDefault="004D556D" w:rsidP="0003231B">
            <w:pPr>
              <w:spacing w:before="120" w:after="120"/>
              <w:rPr>
                <w:szCs w:val="22"/>
              </w:rPr>
            </w:pPr>
          </w:p>
          <w:p w14:paraId="7296E89A" w14:textId="77777777" w:rsidR="004D556D" w:rsidRPr="000F6CD1" w:rsidRDefault="004D556D" w:rsidP="0003231B">
            <w:pPr>
              <w:spacing w:before="120" w:after="120"/>
              <w:rPr>
                <w:szCs w:val="22"/>
              </w:rPr>
            </w:pPr>
            <w:r w:rsidRPr="000F6CD1">
              <w:rPr>
                <w:szCs w:val="22"/>
              </w:rPr>
              <w:t>Using the assessment findings the assessor completes the assistive technology section of the AT-HM tier guide. All selected indicators sit within Tier 1. The assessor allocates Carol with an Assistive Technology low tier (AT Tier 1) on the support plan. This decision is supported by the information gained during the assessment and the AT-HM tier guide recommendation.</w:t>
            </w:r>
          </w:p>
          <w:p w14:paraId="22665495" w14:textId="77777777" w:rsidR="004D556D" w:rsidRPr="000F6CD1" w:rsidRDefault="004D556D" w:rsidP="0003231B">
            <w:pPr>
              <w:spacing w:before="120" w:after="120"/>
              <w:rPr>
                <w:szCs w:val="22"/>
              </w:rPr>
            </w:pPr>
          </w:p>
          <w:p w14:paraId="4AC79CB0" w14:textId="77777777" w:rsidR="004D556D" w:rsidRPr="000F6CD1" w:rsidRDefault="004D556D" w:rsidP="0003231B">
            <w:pPr>
              <w:spacing w:before="120" w:after="120"/>
              <w:rPr>
                <w:szCs w:val="22"/>
              </w:rPr>
            </w:pPr>
            <w:r w:rsidRPr="000F6CD1">
              <w:rPr>
                <w:szCs w:val="22"/>
              </w:rPr>
              <w:t>The assessor uploads the AT-HM tier guide to the assessor portal under ‘other’ naming the document ‘AT-HM tier guide.’ This is considered by the delegate as supporting evidence of AT-HM tier recommendation.</w:t>
            </w:r>
          </w:p>
          <w:p w14:paraId="66D2ED7E" w14:textId="77777777" w:rsidR="004D556D" w:rsidRPr="000F6CD1" w:rsidRDefault="004D556D" w:rsidP="0003231B">
            <w:pPr>
              <w:spacing w:before="120" w:after="120"/>
              <w:rPr>
                <w:szCs w:val="22"/>
              </w:rPr>
            </w:pPr>
          </w:p>
          <w:p w14:paraId="44EDE7A5" w14:textId="77777777" w:rsidR="004D556D" w:rsidRPr="000F6CD1" w:rsidRDefault="004D556D" w:rsidP="0003231B">
            <w:pPr>
              <w:spacing w:before="120" w:after="120"/>
              <w:rPr>
                <w:rStyle w:val="eop"/>
                <w:rFonts w:ascii="Aptos" w:hAnsi="Aptos"/>
                <w:szCs w:val="22"/>
                <w:shd w:val="clear" w:color="auto" w:fill="FFFFFF"/>
              </w:rPr>
            </w:pPr>
            <w:r w:rsidRPr="000F6CD1">
              <w:rPr>
                <w:szCs w:val="22"/>
              </w:rPr>
              <w:t>Carol’s AT recommendation is sent to the assessment delegate for approval. If approved by the assessor delegate, Carol will receive a Notice of Decision letter informing her that she has been approved for a SaH on-going classification and AT low tier funding for assistive technology. Once funding is assigned and the Funding Assignment Notice is sent to the participant, she can then find a provider to help source the low-cost and low risk AT items she needs.</w:t>
            </w:r>
            <w:r w:rsidRPr="000F6CD1">
              <w:rPr>
                <w:rStyle w:val="eop"/>
                <w:rFonts w:ascii="Aptos" w:hAnsi="Aptos"/>
                <w:szCs w:val="22"/>
                <w:shd w:val="clear" w:color="auto" w:fill="FFFFFF"/>
              </w:rPr>
              <w:t> </w:t>
            </w:r>
          </w:p>
          <w:p w14:paraId="75DC7BDB" w14:textId="77777777" w:rsidR="004D556D" w:rsidRPr="000F6CD1" w:rsidRDefault="004D556D" w:rsidP="51B38498">
            <w:pPr>
              <w:spacing w:before="120" w:after="120"/>
              <w:rPr>
                <w:rStyle w:val="eop"/>
                <w:rFonts w:ascii="Aptos" w:hAnsi="Aptos"/>
                <w:shd w:val="clear" w:color="auto" w:fill="FFFFFF"/>
              </w:rPr>
            </w:pPr>
          </w:p>
          <w:p w14:paraId="26887560" w14:textId="77777777" w:rsidR="004D556D" w:rsidRPr="000F6CD1" w:rsidRDefault="004D556D" w:rsidP="51B38498">
            <w:pPr>
              <w:spacing w:before="120" w:after="120"/>
              <w:rPr>
                <w:rStyle w:val="eop"/>
                <w:rFonts w:ascii="Aptos" w:hAnsi="Aptos"/>
                <w:shd w:val="clear" w:color="auto" w:fill="FFFFFF"/>
              </w:rPr>
            </w:pPr>
          </w:p>
          <w:p w14:paraId="5C0B9E3E" w14:textId="77777777" w:rsidR="004D556D" w:rsidRPr="000F6CD1" w:rsidRDefault="004D556D" w:rsidP="51B38498">
            <w:pPr>
              <w:spacing w:before="120" w:after="120"/>
              <w:rPr>
                <w:rStyle w:val="eop"/>
                <w:rFonts w:ascii="Aptos" w:hAnsi="Aptos"/>
                <w:shd w:val="clear" w:color="auto" w:fill="FFFFFF"/>
              </w:rPr>
            </w:pPr>
          </w:p>
          <w:p w14:paraId="44C29D78" w14:textId="77777777" w:rsidR="004D556D" w:rsidRPr="000F6CD1" w:rsidRDefault="004D556D" w:rsidP="51B38498">
            <w:pPr>
              <w:spacing w:before="120" w:after="120"/>
              <w:rPr>
                <w:rStyle w:val="eop"/>
                <w:rFonts w:ascii="Aptos" w:hAnsi="Aptos"/>
                <w:shd w:val="clear" w:color="auto" w:fill="FFFFFF"/>
              </w:rPr>
            </w:pPr>
          </w:p>
          <w:p w14:paraId="791FE27A" w14:textId="77777777" w:rsidR="004D556D" w:rsidRPr="000F6CD1" w:rsidRDefault="004D556D" w:rsidP="51B38498">
            <w:pPr>
              <w:spacing w:before="120" w:after="120"/>
              <w:rPr>
                <w:rStyle w:val="eop"/>
                <w:rFonts w:ascii="Aptos" w:hAnsi="Aptos"/>
                <w:shd w:val="clear" w:color="auto" w:fill="FFFFFF"/>
              </w:rPr>
            </w:pPr>
          </w:p>
          <w:p w14:paraId="57405303" w14:textId="77777777" w:rsidR="004D556D" w:rsidRPr="000F6CD1" w:rsidRDefault="004D556D" w:rsidP="51B38498">
            <w:pPr>
              <w:spacing w:before="120" w:after="120"/>
              <w:rPr>
                <w:rStyle w:val="eop"/>
                <w:rFonts w:ascii="Aptos" w:hAnsi="Aptos"/>
                <w:shd w:val="clear" w:color="auto" w:fill="FFFFFF"/>
              </w:rPr>
            </w:pPr>
          </w:p>
          <w:p w14:paraId="59BD7B1F" w14:textId="77777777" w:rsidR="004D556D" w:rsidRPr="000F6CD1" w:rsidRDefault="004D556D" w:rsidP="51B38498">
            <w:pPr>
              <w:spacing w:before="120" w:after="120"/>
              <w:rPr>
                <w:rStyle w:val="eop"/>
                <w:rFonts w:ascii="Aptos" w:hAnsi="Aptos"/>
                <w:shd w:val="clear" w:color="auto" w:fill="FFFFFF"/>
              </w:rPr>
            </w:pPr>
          </w:p>
          <w:p w14:paraId="552936B7" w14:textId="77777777" w:rsidR="004D556D" w:rsidRPr="000F6CD1" w:rsidRDefault="004D556D" w:rsidP="51B38498">
            <w:pPr>
              <w:spacing w:before="120" w:after="120"/>
              <w:rPr>
                <w:rStyle w:val="eop"/>
                <w:rFonts w:ascii="Aptos" w:hAnsi="Aptos"/>
                <w:shd w:val="clear" w:color="auto" w:fill="FFFFFF"/>
              </w:rPr>
            </w:pPr>
          </w:p>
          <w:p w14:paraId="2924FE3F" w14:textId="77777777" w:rsidR="004D556D" w:rsidRPr="000F6CD1" w:rsidRDefault="004D556D" w:rsidP="51B38498">
            <w:pPr>
              <w:spacing w:before="120" w:after="120"/>
              <w:rPr>
                <w:rStyle w:val="eop"/>
                <w:rFonts w:ascii="Aptos" w:hAnsi="Aptos"/>
                <w:shd w:val="clear" w:color="auto" w:fill="FFFFFF"/>
              </w:rPr>
            </w:pPr>
          </w:p>
          <w:p w14:paraId="0B3A82B8" w14:textId="77777777" w:rsidR="004D556D" w:rsidRPr="000F6CD1" w:rsidRDefault="004D556D" w:rsidP="0003231B">
            <w:pPr>
              <w:spacing w:before="120" w:after="120"/>
              <w:rPr>
                <w:szCs w:val="22"/>
              </w:rPr>
            </w:pPr>
          </w:p>
        </w:tc>
      </w:tr>
    </w:tbl>
    <w:p w14:paraId="7300275B" w14:textId="77777777" w:rsidR="004D556D" w:rsidRPr="000F6CD1" w:rsidRDefault="004D556D" w:rsidP="0003231B">
      <w:pPr>
        <w:spacing w:before="120" w:after="120" w:line="240" w:lineRule="auto"/>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4D556D" w:rsidRPr="000F6CD1" w14:paraId="55133699" w14:textId="77777777" w:rsidTr="00BB0DFC">
        <w:tc>
          <w:tcPr>
            <w:tcW w:w="9016" w:type="dxa"/>
            <w:shd w:val="clear" w:color="auto" w:fill="F2F2F2" w:themeFill="background1" w:themeFillShade="F2"/>
          </w:tcPr>
          <w:p w14:paraId="6821FA9F" w14:textId="77777777" w:rsidR="004D556D" w:rsidRPr="000F6CD1" w:rsidRDefault="004D556D" w:rsidP="0003231B">
            <w:pPr>
              <w:spacing w:before="120" w:after="120"/>
              <w:jc w:val="center"/>
              <w:rPr>
                <w:b/>
                <w:szCs w:val="22"/>
              </w:rPr>
            </w:pPr>
          </w:p>
          <w:p w14:paraId="7A988990" w14:textId="77777777" w:rsidR="004D556D" w:rsidRPr="000F6CD1" w:rsidRDefault="004D556D" w:rsidP="0003231B">
            <w:pPr>
              <w:spacing w:before="120" w:after="120"/>
              <w:jc w:val="center"/>
              <w:rPr>
                <w:b/>
                <w:sz w:val="24"/>
              </w:rPr>
            </w:pPr>
            <w:r w:rsidRPr="000F6CD1">
              <w:rPr>
                <w:b/>
                <w:sz w:val="24"/>
              </w:rPr>
              <w:t>CASE STUDY: HM high tier</w:t>
            </w:r>
          </w:p>
          <w:p w14:paraId="48E2576B" w14:textId="77777777" w:rsidR="004D556D" w:rsidRPr="000F6CD1" w:rsidRDefault="004D556D" w:rsidP="0003231B">
            <w:pPr>
              <w:spacing w:before="120" w:after="120"/>
              <w:rPr>
                <w:szCs w:val="22"/>
              </w:rPr>
            </w:pPr>
          </w:p>
          <w:p w14:paraId="2E407253" w14:textId="77777777" w:rsidR="004D556D" w:rsidRPr="000F6CD1" w:rsidRDefault="004D556D" w:rsidP="0003231B">
            <w:pPr>
              <w:spacing w:before="120" w:after="120"/>
              <w:rPr>
                <w:szCs w:val="22"/>
              </w:rPr>
            </w:pPr>
            <w:r w:rsidRPr="000F6CD1">
              <w:rPr>
                <w:szCs w:val="22"/>
              </w:rPr>
              <w:t xml:space="preserve">David is 55 and lives in a small rural community in Western Queensland. He attends an Elders’ social group at his local Aboriginal Community Controlled Organisation (ACCO). The ACCO’s Elder Care Support worker supported David during an aged care needs assessment conducted by an Aboriginal and Torres Strait Islander assessment organisation. David has just been assessed. During David’s assessment he explained that he would like to be able to come and go from his home more easily so he can do things for himself like shopping. During the subsequent discussion, the assessor noted that David has significant issues managing at home safely due to his home environment. He lives alone and is not able to easily enter or exit his house because of the steep front stairs and difficulties carrying his walking frame on the stairs. </w:t>
            </w:r>
          </w:p>
          <w:p w14:paraId="796E9472" w14:textId="77777777" w:rsidR="004D556D" w:rsidRPr="000F6CD1" w:rsidRDefault="004D556D" w:rsidP="0003231B">
            <w:pPr>
              <w:spacing w:before="120" w:after="120"/>
              <w:rPr>
                <w:szCs w:val="22"/>
              </w:rPr>
            </w:pPr>
          </w:p>
          <w:p w14:paraId="2241BF65" w14:textId="77777777" w:rsidR="004D556D" w:rsidRPr="000F6CD1" w:rsidRDefault="004D556D" w:rsidP="0003231B">
            <w:pPr>
              <w:spacing w:before="120" w:after="120"/>
              <w:rPr>
                <w:szCs w:val="22"/>
              </w:rPr>
            </w:pPr>
            <w:r w:rsidRPr="000F6CD1">
              <w:rPr>
                <w:szCs w:val="22"/>
              </w:rPr>
              <w:t xml:space="preserve">After spending time with David to build his trust and understanding of the assessment process, David explained he feared falling when entering and exiting his shower due to a large step into his shower recess. David’s son helps him when he can, but he lives in another town and can only visit a couple of times a week. </w:t>
            </w:r>
          </w:p>
          <w:p w14:paraId="4F584169" w14:textId="77777777" w:rsidR="004D556D" w:rsidRPr="000F6CD1" w:rsidRDefault="004D556D" w:rsidP="0003231B">
            <w:pPr>
              <w:spacing w:before="120" w:after="120"/>
              <w:rPr>
                <w:szCs w:val="22"/>
              </w:rPr>
            </w:pPr>
          </w:p>
          <w:p w14:paraId="07D22A12" w14:textId="77777777" w:rsidR="004D556D" w:rsidRPr="000F6CD1" w:rsidRDefault="004D556D" w:rsidP="0003231B">
            <w:pPr>
              <w:spacing w:before="120" w:after="120"/>
              <w:rPr>
                <w:szCs w:val="22"/>
              </w:rPr>
            </w:pPr>
            <w:r w:rsidRPr="000F6CD1">
              <w:rPr>
                <w:szCs w:val="22"/>
              </w:rPr>
              <w:t xml:space="preserve">The assessor and Elder Care Support worker identify in the AT-HM list that David could benefit from some modifications to his home which could include a ramp or railings at the front and modifications to his bathroom. David agrees with this assessment. The assessor completes the tier guide, and the indicators show mostly in the high tier, with some also in the medium tier. As it is likely he will need major modifications to his front access or bathroom, the assessor recommends a HM high tier (HM Tier 3). </w:t>
            </w:r>
          </w:p>
          <w:p w14:paraId="24A4AE9C" w14:textId="77777777" w:rsidR="004D556D" w:rsidRPr="000F6CD1" w:rsidRDefault="004D556D" w:rsidP="0003231B">
            <w:pPr>
              <w:spacing w:before="120" w:after="120"/>
              <w:rPr>
                <w:szCs w:val="22"/>
              </w:rPr>
            </w:pPr>
          </w:p>
          <w:p w14:paraId="5CCB67BE" w14:textId="77777777" w:rsidR="004D556D" w:rsidRPr="000F6CD1" w:rsidRDefault="004D556D" w:rsidP="0003231B">
            <w:pPr>
              <w:spacing w:before="120" w:after="120"/>
              <w:rPr>
                <w:szCs w:val="22"/>
              </w:rPr>
            </w:pPr>
            <w:r w:rsidRPr="000F6CD1">
              <w:rPr>
                <w:szCs w:val="22"/>
              </w:rPr>
              <w:t xml:space="preserve">The assessor uploads the AT-HM tier guide to the assessor portal under ‘other’ naming the document ‘AT-HM tier guide.’ This is considered by the delegate as supporting evidence of AT-HM tier recommendation. </w:t>
            </w:r>
          </w:p>
          <w:p w14:paraId="0257D266" w14:textId="77777777" w:rsidR="004D556D" w:rsidRPr="000F6CD1" w:rsidRDefault="004D556D" w:rsidP="0003231B">
            <w:pPr>
              <w:spacing w:before="120" w:after="120"/>
              <w:rPr>
                <w:szCs w:val="22"/>
              </w:rPr>
            </w:pPr>
          </w:p>
          <w:p w14:paraId="7E2F3585" w14:textId="77777777" w:rsidR="004D556D" w:rsidRPr="000F6CD1" w:rsidRDefault="004D556D" w:rsidP="0003231B">
            <w:pPr>
              <w:spacing w:before="120" w:after="120"/>
              <w:rPr>
                <w:szCs w:val="22"/>
              </w:rPr>
            </w:pPr>
            <w:r w:rsidRPr="000F6CD1">
              <w:rPr>
                <w:szCs w:val="22"/>
              </w:rPr>
              <w:t xml:space="preserve">David’s HM tier recommendation is sent to the assessment delegate for approval. If approved by the assessor delegate, David will receive a Notice of Decision letter informing him that he has approval for a SaH on-going classification and approval for a home modifications high tier. Once funding is assigned and the Funding Assignment Notice has been sent, he can then find a provider to help source the prescriber and home modifications he needs. The Elder Care Support worker can assist David with this process. When this is explained to David, he says he is excited to think about being able to do shopping and other tasks for himself whenever he needs to. He is also glad this will take some of the pressure off his son. </w:t>
            </w:r>
          </w:p>
          <w:p w14:paraId="4F0D877A" w14:textId="77777777" w:rsidR="004D556D" w:rsidRPr="000F6CD1" w:rsidRDefault="004D556D" w:rsidP="0003231B">
            <w:pPr>
              <w:spacing w:before="120" w:after="120"/>
              <w:rPr>
                <w:szCs w:val="22"/>
              </w:rPr>
            </w:pPr>
          </w:p>
        </w:tc>
      </w:tr>
      <w:tr w:rsidR="004D556D" w:rsidRPr="000F6CD1" w14:paraId="427E0B4A" w14:textId="77777777" w:rsidTr="00BB0DFC">
        <w:tc>
          <w:tcPr>
            <w:tcW w:w="9016" w:type="dxa"/>
            <w:shd w:val="clear" w:color="auto" w:fill="F2F2F2" w:themeFill="background1" w:themeFillShade="F2"/>
          </w:tcPr>
          <w:p w14:paraId="5D227F45" w14:textId="77777777" w:rsidR="004D556D" w:rsidRPr="000F6CD1" w:rsidRDefault="004D556D" w:rsidP="51B38498">
            <w:pPr>
              <w:spacing w:before="120" w:after="120"/>
              <w:rPr>
                <w:b/>
              </w:rPr>
            </w:pPr>
          </w:p>
          <w:p w14:paraId="0F79654B" w14:textId="77777777" w:rsidR="004D556D" w:rsidRPr="000F6CD1" w:rsidRDefault="004D556D" w:rsidP="51B38498">
            <w:pPr>
              <w:spacing w:before="120" w:after="120"/>
              <w:rPr>
                <w:b/>
              </w:rPr>
            </w:pPr>
          </w:p>
          <w:p w14:paraId="3F2F9EF3" w14:textId="77777777" w:rsidR="004D556D" w:rsidRPr="000F6CD1" w:rsidRDefault="004D556D" w:rsidP="51B38498">
            <w:pPr>
              <w:spacing w:before="120" w:after="120"/>
              <w:rPr>
                <w:b/>
              </w:rPr>
            </w:pPr>
          </w:p>
          <w:p w14:paraId="20F1ACAB" w14:textId="77777777" w:rsidR="004D556D" w:rsidRPr="000F6CD1" w:rsidRDefault="004D556D" w:rsidP="51B38498">
            <w:pPr>
              <w:spacing w:before="120" w:after="120"/>
              <w:rPr>
                <w:b/>
              </w:rPr>
            </w:pPr>
          </w:p>
          <w:p w14:paraId="7279CE2C" w14:textId="77777777" w:rsidR="004D556D" w:rsidRPr="000F6CD1" w:rsidRDefault="004D556D" w:rsidP="51B38498">
            <w:pPr>
              <w:spacing w:before="120" w:after="120"/>
              <w:jc w:val="center"/>
              <w:rPr>
                <w:b/>
                <w:sz w:val="24"/>
              </w:rPr>
            </w:pPr>
          </w:p>
          <w:p w14:paraId="6A1A639D" w14:textId="77777777" w:rsidR="00A10BFC" w:rsidRDefault="00A10BFC" w:rsidP="0003231B">
            <w:pPr>
              <w:spacing w:before="120" w:after="120"/>
              <w:jc w:val="center"/>
              <w:rPr>
                <w:b/>
                <w:sz w:val="24"/>
              </w:rPr>
            </w:pPr>
          </w:p>
          <w:p w14:paraId="45E754B6" w14:textId="77777777" w:rsidR="004D556D" w:rsidRPr="000F6CD1" w:rsidRDefault="004D556D" w:rsidP="0003231B">
            <w:pPr>
              <w:spacing w:before="120" w:after="120"/>
              <w:jc w:val="center"/>
              <w:rPr>
                <w:b/>
                <w:sz w:val="24"/>
              </w:rPr>
            </w:pPr>
            <w:r w:rsidRPr="000F6CD1">
              <w:rPr>
                <w:b/>
                <w:sz w:val="24"/>
              </w:rPr>
              <w:t>CASE STUDY: Progressive Condition</w:t>
            </w:r>
          </w:p>
          <w:p w14:paraId="56A9A527" w14:textId="77777777" w:rsidR="004D556D" w:rsidRPr="000F6CD1" w:rsidRDefault="004D556D" w:rsidP="0003231B">
            <w:pPr>
              <w:spacing w:before="120" w:after="120"/>
              <w:rPr>
                <w:szCs w:val="22"/>
              </w:rPr>
            </w:pPr>
          </w:p>
          <w:p w14:paraId="4531BD9B" w14:textId="77777777" w:rsidR="004D556D" w:rsidRPr="000F6CD1" w:rsidRDefault="004D556D" w:rsidP="0003231B">
            <w:pPr>
              <w:spacing w:before="120" w:after="120"/>
              <w:rPr>
                <w:szCs w:val="22"/>
              </w:rPr>
            </w:pPr>
            <w:r w:rsidRPr="000F6CD1">
              <w:rPr>
                <w:szCs w:val="22"/>
              </w:rPr>
              <w:t>Margaret is 68 and was assessed at home to increase Support at Home services as she is not managing with her current allocation. The assessor reviews her medical history and finds that she suffered a stroke 5 years ago which left her with left sided weakness. Recently she has found it much harder to manage at home, she cannot get up and down the stairs by herself and her family report she is unsteady when walking around her home. She lives with her son and daughter-in-law but does not like being reliant on them for daily tasks. As Stroke is one of the identified AT-HM progressive conditions, the assessor selects it in the health condition section of the assessment. The assessor thinks that Margaret may benefit from a range of assistive technology and home modifications to support her current needs and as her condition declines. She will require assessment and prescription from a suitably qualified health professional to determine her AT and HM needs.</w:t>
            </w:r>
          </w:p>
          <w:p w14:paraId="2043C77D" w14:textId="77777777" w:rsidR="004D556D" w:rsidRPr="000F6CD1" w:rsidRDefault="004D556D" w:rsidP="0003231B">
            <w:pPr>
              <w:spacing w:before="120" w:after="120"/>
              <w:rPr>
                <w:szCs w:val="22"/>
              </w:rPr>
            </w:pPr>
          </w:p>
          <w:p w14:paraId="6348DAA1" w14:textId="7B982B6C" w:rsidR="004D556D" w:rsidRPr="000F6CD1" w:rsidRDefault="004D556D" w:rsidP="0003231B">
            <w:pPr>
              <w:spacing w:before="120" w:after="120"/>
              <w:rPr>
                <w:szCs w:val="22"/>
              </w:rPr>
            </w:pPr>
            <w:r w:rsidRPr="000F6CD1">
              <w:rPr>
                <w:szCs w:val="22"/>
              </w:rPr>
              <w:t>The assessor fills out the AT-HM tier guide which indicates a AT high tier (AT Tier 3) and a HM medium tier (HM Tier 2</w:t>
            </w:r>
            <w:r w:rsidRPr="000F6CD1" w:rsidDel="001067C9">
              <w:rPr>
                <w:szCs w:val="22"/>
              </w:rPr>
              <w:t>)</w:t>
            </w:r>
            <w:r w:rsidRPr="000F6CD1">
              <w:rPr>
                <w:szCs w:val="22"/>
              </w:rPr>
              <w:t xml:space="preserve">, this aligns with the complex needs identified at assessment. The assessor recommends a SaH on-going classification and allocates AT high tier and </w:t>
            </w:r>
            <w:r w:rsidRPr="000F6CD1" w:rsidDel="0020390A">
              <w:rPr>
                <w:szCs w:val="22"/>
              </w:rPr>
              <w:t xml:space="preserve">HM </w:t>
            </w:r>
            <w:r w:rsidRPr="000F6CD1">
              <w:rPr>
                <w:szCs w:val="22"/>
              </w:rPr>
              <w:t>medium tier in the support plan. Margaret will have access to her AT funding allocation for 24 months and this can be further extended to 48 months if needed, as she has an identified progressive condition.</w:t>
            </w:r>
            <w:r w:rsidR="00B57E9E" w:rsidRPr="000F6CD1">
              <w:rPr>
                <w:szCs w:val="22"/>
              </w:rPr>
              <w:t xml:space="preserve"> </w:t>
            </w:r>
          </w:p>
          <w:p w14:paraId="7CF8329E" w14:textId="77777777" w:rsidR="004D556D" w:rsidRPr="000F6CD1" w:rsidRDefault="004D556D" w:rsidP="0003231B">
            <w:pPr>
              <w:spacing w:before="120" w:after="120"/>
              <w:rPr>
                <w:szCs w:val="22"/>
              </w:rPr>
            </w:pPr>
          </w:p>
          <w:p w14:paraId="58BAD953" w14:textId="77777777" w:rsidR="004D556D" w:rsidRPr="000F6CD1" w:rsidRDefault="004D556D" w:rsidP="0003231B">
            <w:pPr>
              <w:spacing w:before="120" w:after="120"/>
              <w:rPr>
                <w:szCs w:val="22"/>
              </w:rPr>
            </w:pPr>
            <w:r w:rsidRPr="000F6CD1">
              <w:rPr>
                <w:szCs w:val="22"/>
              </w:rPr>
              <w:t>The assessor uploads the AT-HM tier guide to the assessor portal under ‘other’ naming the document ‘AT-HM tier guide.’ This is considered by the delegate as supporting evidence of AT-HM tier recommendation.</w:t>
            </w:r>
          </w:p>
          <w:p w14:paraId="13301DCC" w14:textId="77777777" w:rsidR="004D556D" w:rsidRPr="000F6CD1" w:rsidRDefault="004D556D" w:rsidP="0003231B">
            <w:pPr>
              <w:spacing w:before="120" w:after="120"/>
              <w:rPr>
                <w:szCs w:val="22"/>
              </w:rPr>
            </w:pPr>
          </w:p>
          <w:p w14:paraId="37F3CA04" w14:textId="77777777" w:rsidR="004D556D" w:rsidRPr="000F6CD1" w:rsidRDefault="004D556D" w:rsidP="0003231B">
            <w:pPr>
              <w:spacing w:before="120" w:after="120"/>
              <w:rPr>
                <w:szCs w:val="22"/>
              </w:rPr>
            </w:pPr>
            <w:r w:rsidRPr="000F6CD1">
              <w:rPr>
                <w:szCs w:val="22"/>
              </w:rPr>
              <w:t xml:space="preserve">Margaret’s AT-HM tier recommendation is sent to the assessment delegate for approval. If approved by the assessor delegate Margaret will receive a Notice of Decision letter informing her of her new SaH ongoing classification and AT-HM funding. She has been recommended AT high tier and HM medium tier funding approval and once funding has been assigned and the Funding Assignment Notice sent, she can then find a provider to help source the prescriber, assistive technology and home modifications she needs. </w:t>
            </w:r>
          </w:p>
          <w:p w14:paraId="1E99CA0E" w14:textId="77777777" w:rsidR="004D556D" w:rsidRPr="000F6CD1" w:rsidRDefault="004D556D" w:rsidP="0003231B">
            <w:pPr>
              <w:spacing w:before="120" w:after="120"/>
              <w:rPr>
                <w:szCs w:val="22"/>
              </w:rPr>
            </w:pPr>
          </w:p>
          <w:p w14:paraId="0CE94352" w14:textId="77777777" w:rsidR="004D556D" w:rsidRPr="000F6CD1" w:rsidRDefault="004D556D" w:rsidP="0003231B">
            <w:pPr>
              <w:spacing w:before="120" w:after="120"/>
              <w:rPr>
                <w:szCs w:val="22"/>
              </w:rPr>
            </w:pPr>
          </w:p>
          <w:p w14:paraId="6BC85829" w14:textId="77777777" w:rsidR="004D556D" w:rsidRPr="000F6CD1" w:rsidRDefault="004D556D" w:rsidP="0003231B">
            <w:pPr>
              <w:spacing w:before="120" w:after="120"/>
              <w:rPr>
                <w:szCs w:val="22"/>
              </w:rPr>
            </w:pPr>
          </w:p>
          <w:p w14:paraId="7FEAFFA5" w14:textId="77777777" w:rsidR="004D556D" w:rsidRPr="000F6CD1" w:rsidRDefault="004D556D" w:rsidP="0003231B">
            <w:pPr>
              <w:spacing w:before="120" w:after="120"/>
              <w:rPr>
                <w:szCs w:val="22"/>
              </w:rPr>
            </w:pPr>
          </w:p>
          <w:p w14:paraId="755E6CBA" w14:textId="77777777" w:rsidR="004D556D" w:rsidRPr="000F6CD1" w:rsidRDefault="004D556D" w:rsidP="0003231B">
            <w:pPr>
              <w:spacing w:before="120" w:after="120"/>
              <w:rPr>
                <w:szCs w:val="22"/>
              </w:rPr>
            </w:pPr>
          </w:p>
        </w:tc>
      </w:tr>
    </w:tbl>
    <w:p w14:paraId="7883E920" w14:textId="77777777" w:rsidR="004D556D" w:rsidRPr="000F6CD1" w:rsidRDefault="004D556D" w:rsidP="00A677C9">
      <w:pPr>
        <w:spacing w:before="240" w:after="240" w:line="240" w:lineRule="auto"/>
        <w:rPr>
          <w:b/>
          <w:bCs/>
          <w:color w:val="358189"/>
          <w:sz w:val="32"/>
          <w:szCs w:val="32"/>
        </w:rPr>
      </w:pPr>
      <w:r w:rsidRPr="000F6CD1">
        <w:br w:type="page"/>
      </w:r>
    </w:p>
    <w:p w14:paraId="77936942" w14:textId="77777777" w:rsidR="004D556D" w:rsidRPr="000F6CD1" w:rsidRDefault="004D556D" w:rsidP="00AD2CE5">
      <w:pPr>
        <w:pStyle w:val="H3"/>
      </w:pPr>
      <w:r w:rsidRPr="000F6CD1">
        <w:lastRenderedPageBreak/>
        <w:t>Recommending</w:t>
      </w:r>
      <w:r w:rsidRPr="000F6CD1" w:rsidDel="705306F2">
        <w:t xml:space="preserve"> </w:t>
      </w:r>
      <w:r w:rsidRPr="000F6CD1">
        <w:t>AT-HM tiers in the assessor portal</w:t>
      </w:r>
    </w:p>
    <w:p w14:paraId="6D39F3E6" w14:textId="1AF8B019" w:rsidR="004D556D" w:rsidRPr="000F6CD1" w:rsidRDefault="00845DF6" w:rsidP="00A677C9">
      <w:pPr>
        <w:spacing w:before="240" w:after="240" w:line="240" w:lineRule="auto"/>
      </w:pPr>
      <w:r>
        <w:rPr>
          <w:noProof/>
          <w14:ligatures w14:val="standardContextual"/>
        </w:rPr>
        <w:drawing>
          <wp:anchor distT="0" distB="0" distL="114300" distR="114300" simplePos="0" relativeHeight="251658262" behindDoc="0" locked="0" layoutInCell="1" allowOverlap="1" wp14:anchorId="51887690" wp14:editId="0DE07EE1">
            <wp:simplePos x="914400" y="1530417"/>
            <wp:positionH relativeFrom="margin">
              <wp:align>left</wp:align>
            </wp:positionH>
            <wp:positionV relativeFrom="margin">
              <wp:align>top</wp:align>
            </wp:positionV>
            <wp:extent cx="365792" cy="403895"/>
            <wp:effectExtent l="0" t="0" r="0" b="0"/>
            <wp:wrapSquare wrapText="bothSides"/>
            <wp:docPr id="670081884"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1884"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 xml:space="preserve">The option to recommend an AT and HM funding tier will be available for those who have recommended ongoing Support at Home classification. The Restorative Care pathway and End-of-Life Pathway will display the AT and HM funding tier options that apply to that pathway. </w:t>
      </w:r>
    </w:p>
    <w:p w14:paraId="634EA02F" w14:textId="6F196F4A" w:rsidR="004D556D" w:rsidRPr="000F6CD1" w:rsidRDefault="00727A67" w:rsidP="00A677C9">
      <w:pPr>
        <w:spacing w:before="240" w:after="240" w:line="240" w:lineRule="auto"/>
      </w:pPr>
      <w:r>
        <w:t>From 29 June 2026, a</w:t>
      </w:r>
      <w:r w:rsidR="004D556D" w:rsidRPr="000F6CD1">
        <w:t xml:space="preserve"> new feature in the integrated assessment tool (IAT) will allow assessors to flag a consideration for either AT or HM throughout these categories of the assessment:</w:t>
      </w:r>
    </w:p>
    <w:p w14:paraId="5A641EFD" w14:textId="77777777" w:rsidR="004D556D" w:rsidRPr="000F6CD1" w:rsidRDefault="004D556D">
      <w:pPr>
        <w:pStyle w:val="ListParagraph"/>
        <w:numPr>
          <w:ilvl w:val="0"/>
          <w:numId w:val="479"/>
        </w:numPr>
        <w:spacing w:before="240" w:after="240" w:line="240" w:lineRule="auto"/>
      </w:pPr>
      <w:r w:rsidRPr="000F6CD1">
        <w:t>Function (AT and HM)</w:t>
      </w:r>
    </w:p>
    <w:p w14:paraId="4E05A9AC" w14:textId="77777777" w:rsidR="004D556D" w:rsidRPr="000F6CD1" w:rsidRDefault="004D556D">
      <w:pPr>
        <w:pStyle w:val="ListParagraph"/>
        <w:numPr>
          <w:ilvl w:val="0"/>
          <w:numId w:val="479"/>
        </w:numPr>
        <w:spacing w:before="240" w:after="240" w:line="240" w:lineRule="auto"/>
      </w:pPr>
      <w:r w:rsidRPr="000F6CD1">
        <w:t>Physical personal health and frailty (AT and HM)</w:t>
      </w:r>
    </w:p>
    <w:p w14:paraId="4A4B1C8D" w14:textId="77777777" w:rsidR="004D556D" w:rsidRPr="000F6CD1" w:rsidRDefault="004D556D">
      <w:pPr>
        <w:pStyle w:val="ListParagraph"/>
        <w:numPr>
          <w:ilvl w:val="0"/>
          <w:numId w:val="479"/>
        </w:numPr>
        <w:spacing w:before="240" w:after="240" w:line="240" w:lineRule="auto"/>
      </w:pPr>
      <w:r w:rsidRPr="000F6CD1">
        <w:t>Medications (AT only)</w:t>
      </w:r>
    </w:p>
    <w:p w14:paraId="3E932ABC" w14:textId="77777777" w:rsidR="004D556D" w:rsidRPr="000F6CD1" w:rsidRDefault="004D556D">
      <w:pPr>
        <w:pStyle w:val="ListParagraph"/>
        <w:numPr>
          <w:ilvl w:val="0"/>
          <w:numId w:val="479"/>
        </w:numPr>
        <w:spacing w:before="240" w:after="240" w:line="240" w:lineRule="auto"/>
      </w:pPr>
      <w:r w:rsidRPr="000F6CD1">
        <w:t>Cognition (AT and HM)</w:t>
      </w:r>
    </w:p>
    <w:p w14:paraId="2EDB3C26" w14:textId="77777777" w:rsidR="004D556D" w:rsidRPr="000F6CD1" w:rsidRDefault="004D556D">
      <w:pPr>
        <w:pStyle w:val="ListParagraph"/>
        <w:numPr>
          <w:ilvl w:val="0"/>
          <w:numId w:val="479"/>
        </w:numPr>
        <w:spacing w:before="240" w:after="240" w:line="240" w:lineRule="auto"/>
      </w:pPr>
      <w:r w:rsidRPr="000F6CD1">
        <w:t>Social (AT and HM)</w:t>
      </w:r>
    </w:p>
    <w:p w14:paraId="2B9F4D15" w14:textId="77777777" w:rsidR="004D556D" w:rsidRPr="000F6CD1" w:rsidRDefault="004D556D">
      <w:pPr>
        <w:pStyle w:val="ListParagraph"/>
        <w:numPr>
          <w:ilvl w:val="0"/>
          <w:numId w:val="479"/>
        </w:numPr>
        <w:spacing w:before="240" w:after="240" w:line="240" w:lineRule="auto"/>
      </w:pPr>
      <w:r w:rsidRPr="000F6CD1">
        <w:t>Psychological (AT and HM)</w:t>
      </w:r>
    </w:p>
    <w:p w14:paraId="195CD8DA" w14:textId="77777777" w:rsidR="004D556D" w:rsidRPr="000F6CD1" w:rsidRDefault="004D556D" w:rsidP="000728AD">
      <w:pPr>
        <w:pStyle w:val="ListParagraph"/>
        <w:numPr>
          <w:ilvl w:val="0"/>
          <w:numId w:val="479"/>
        </w:numPr>
        <w:spacing w:before="240" w:after="240" w:line="240" w:lineRule="auto"/>
      </w:pPr>
      <w:r w:rsidRPr="000F6CD1">
        <w:t>Home and safety (AT and HM)</w:t>
      </w:r>
    </w:p>
    <w:p w14:paraId="19F7DBD8" w14:textId="3F0EFEFE" w:rsidR="004D556D" w:rsidRPr="000F6CD1" w:rsidRDefault="004D556D" w:rsidP="00A677C9">
      <w:pPr>
        <w:spacing w:before="240" w:after="240" w:line="240" w:lineRule="auto"/>
      </w:pPr>
      <w:r w:rsidRPr="000F6CD1">
        <w:t xml:space="preserve">If tick boxes are selected for either AT or HM in the assessment this will then be displayed in the Identified needs under other considerations on the support plan to assist the assessor in making a final decision on the assistive technology or home modifications funding tier required for the participant. </w:t>
      </w:r>
    </w:p>
    <w:p w14:paraId="54B9AD3B" w14:textId="2B3BE1D8" w:rsidR="004D556D" w:rsidRPr="000F6CD1" w:rsidRDefault="004D556D" w:rsidP="00A677C9">
      <w:pPr>
        <w:spacing w:before="240" w:after="240" w:line="240" w:lineRule="auto"/>
      </w:pPr>
      <w:r w:rsidRPr="000F6CD1">
        <w:t xml:space="preserve">For more information, please see the </w:t>
      </w:r>
      <w:hyperlink r:id="rId178" w:history="1">
        <w:r w:rsidRPr="000F6CD1">
          <w:rPr>
            <w:rStyle w:val="Hyperlink"/>
          </w:rPr>
          <w:t>IAT User Guide</w:t>
        </w:r>
      </w:hyperlink>
      <w:r w:rsidRPr="000F6CD1">
        <w:t xml:space="preserve">. </w:t>
      </w:r>
    </w:p>
    <w:p w14:paraId="7237A060" w14:textId="77777777" w:rsidR="004D556D" w:rsidRPr="000F6CD1" w:rsidRDefault="004D556D" w:rsidP="00A677C9">
      <w:pPr>
        <w:pStyle w:val="H5"/>
        <w:spacing w:before="240" w:after="240" w:line="240" w:lineRule="auto"/>
      </w:pPr>
      <w:r w:rsidRPr="000F6CD1">
        <w:t>Assistive technology</w:t>
      </w:r>
    </w:p>
    <w:p w14:paraId="5B106AF3" w14:textId="77777777" w:rsidR="004D556D" w:rsidRPr="000F6CD1" w:rsidRDefault="004D556D" w:rsidP="00DF3F6B">
      <w:pPr>
        <w:pStyle w:val="ListParagraph"/>
        <w:numPr>
          <w:ilvl w:val="0"/>
          <w:numId w:val="159"/>
        </w:numPr>
        <w:spacing w:before="240" w:after="240" w:line="240" w:lineRule="auto"/>
      </w:pPr>
      <w:r w:rsidRPr="000F6CD1">
        <w:rPr>
          <w:b/>
          <w:bCs/>
        </w:rPr>
        <w:t>Short-term</w:t>
      </w:r>
      <w:r w:rsidRPr="000F6CD1">
        <w:t xml:space="preserve"> </w:t>
      </w:r>
      <w:r w:rsidRPr="000F6CD1">
        <w:rPr>
          <w:b/>
          <w:bCs/>
        </w:rPr>
        <w:t>classification</w:t>
      </w:r>
      <w:r w:rsidRPr="000F6CD1">
        <w:t xml:space="preserve"> should be selected if AT is recommended for all AT needs other than assistance dogs. </w:t>
      </w:r>
    </w:p>
    <w:p w14:paraId="1FE3D1A8" w14:textId="77777777" w:rsidR="004D556D" w:rsidRPr="000F6CD1" w:rsidRDefault="004D556D" w:rsidP="00DF3F6B">
      <w:pPr>
        <w:pStyle w:val="ListParagraph"/>
        <w:numPr>
          <w:ilvl w:val="0"/>
          <w:numId w:val="159"/>
        </w:numPr>
        <w:spacing w:before="240" w:after="240" w:line="240" w:lineRule="auto"/>
      </w:pPr>
      <w:r w:rsidRPr="000F6CD1">
        <w:rPr>
          <w:b/>
          <w:bCs/>
        </w:rPr>
        <w:t>Ongoing</w:t>
      </w:r>
      <w:r w:rsidRPr="000F6CD1">
        <w:t xml:space="preserve"> </w:t>
      </w:r>
      <w:r w:rsidRPr="000F6CD1">
        <w:rPr>
          <w:b/>
          <w:bCs/>
        </w:rPr>
        <w:t>classification</w:t>
      </w:r>
      <w:r w:rsidRPr="000F6CD1">
        <w:t xml:space="preserve"> should be selected if AT is recommended for assistance dogs. </w:t>
      </w:r>
    </w:p>
    <w:p w14:paraId="01EEEAA9" w14:textId="77777777" w:rsidR="004D556D" w:rsidRPr="000F6CD1" w:rsidRDefault="004D556D" w:rsidP="0083559A">
      <w:pPr>
        <w:spacing w:before="240" w:after="240" w:line="240" w:lineRule="auto"/>
      </w:pPr>
      <w:r w:rsidRPr="000F6CD1">
        <w:t xml:space="preserve">If the recommended classification is Support at Home Restorative Care Pathway, then an </w:t>
      </w:r>
      <w:r w:rsidRPr="0083559A">
        <w:rPr>
          <w:b/>
        </w:rPr>
        <w:t>automated medium tier</w:t>
      </w:r>
      <w:r w:rsidRPr="000F6CD1">
        <w:t xml:space="preserve"> will be assigned with the assessor being able to change to a low or high tier based on assessed need.</w:t>
      </w:r>
    </w:p>
    <w:p w14:paraId="1709C96B" w14:textId="592D7E6A" w:rsidR="004D556D" w:rsidRPr="000F6CD1" w:rsidRDefault="004D556D">
      <w:pPr>
        <w:spacing w:before="240" w:after="240" w:line="240" w:lineRule="auto"/>
      </w:pPr>
      <w:r w:rsidRPr="000F6CD1">
        <w:t xml:space="preserve">If the recommended classification is Support at Home End of Life pathway, then an </w:t>
      </w:r>
      <w:r w:rsidRPr="0083559A">
        <w:rPr>
          <w:b/>
        </w:rPr>
        <w:t>automated medium tier</w:t>
      </w:r>
      <w:r w:rsidRPr="000F6CD1">
        <w:t xml:space="preserve"> will be assigned with the assessor being able to change to a low tier based on assessed need.</w:t>
      </w:r>
    </w:p>
    <w:p w14:paraId="6D80C504" w14:textId="77777777" w:rsidR="004D556D" w:rsidRPr="000F6CD1" w:rsidRDefault="004D556D" w:rsidP="00A677C9">
      <w:pPr>
        <w:pStyle w:val="H5"/>
        <w:spacing w:before="240" w:after="240" w:line="240" w:lineRule="auto"/>
        <w:rPr>
          <w:color w:val="auto"/>
        </w:rPr>
      </w:pPr>
      <w:r w:rsidRPr="000F6CD1">
        <w:t>Assistance dogs </w:t>
      </w:r>
    </w:p>
    <w:p w14:paraId="00131EAC" w14:textId="77777777" w:rsidR="004D556D" w:rsidRPr="000F6CD1" w:rsidRDefault="004D556D" w:rsidP="00A677C9">
      <w:pPr>
        <w:pStyle w:val="paragraph"/>
        <w:spacing w:before="240" w:beforeAutospacing="0" w:after="240" w:afterAutospacing="0"/>
        <w:rPr>
          <w:rFonts w:eastAsiaTheme="majorEastAsia"/>
        </w:rPr>
      </w:pPr>
      <w:r w:rsidRPr="000F6CD1">
        <w:rPr>
          <w:rFonts w:eastAsiaTheme="majorEastAsia"/>
        </w:rPr>
        <w:t xml:space="preserve">If a participant is not eligible or is unable to access the </w:t>
      </w:r>
      <w:hyperlink r:id="rId179">
        <w:r w:rsidRPr="000F6CD1">
          <w:rPr>
            <w:rFonts w:eastAsiaTheme="majorEastAsia"/>
          </w:rPr>
          <w:t>Physical Assistance Dogs Program</w:t>
        </w:r>
      </w:hyperlink>
      <w:r w:rsidRPr="000F6CD1">
        <w:rPr>
          <w:rFonts w:eastAsiaTheme="majorEastAsia"/>
        </w:rPr>
        <w:t>, costs associated with essential assistance dog maintenance may be included under the AT-HM scheme where the services directly relate to the upkeep of the dog. </w:t>
      </w:r>
    </w:p>
    <w:p w14:paraId="788C5578" w14:textId="35D573A1" w:rsidR="004D556D" w:rsidRPr="000F6CD1" w:rsidRDefault="004D556D" w:rsidP="00A677C9">
      <w:pPr>
        <w:pStyle w:val="paragraph"/>
        <w:spacing w:before="240" w:beforeAutospacing="0" w:after="240" w:afterAutospacing="0"/>
        <w:rPr>
          <w:rFonts w:eastAsiaTheme="majorEastAsia"/>
        </w:rPr>
      </w:pPr>
      <w:r w:rsidRPr="000F6CD1">
        <w:rPr>
          <w:rFonts w:eastAsiaTheme="majorEastAsia"/>
        </w:rPr>
        <w:t xml:space="preserve">A dog must meet the definition of an assistance dog used by </w:t>
      </w:r>
      <w:hyperlink r:id="rId180" w:anchor=":~:text=An%20assistance%20dog%20is%20a,are%20individually%20trained%20in%20obedience">
        <w:r w:rsidRPr="000F6CD1">
          <w:rPr>
            <w:rFonts w:eastAsiaTheme="majorEastAsia"/>
          </w:rPr>
          <w:t>Health Direct</w:t>
        </w:r>
      </w:hyperlink>
      <w:r w:rsidRPr="000F6CD1">
        <w:rPr>
          <w:rFonts w:eastAsiaTheme="majorEastAsia"/>
        </w:rPr>
        <w:t xml:space="preserve"> and be required to enable participation in activities of domestic life.</w:t>
      </w:r>
      <w:r w:rsidR="00B57E9E" w:rsidRPr="000F6CD1">
        <w:rPr>
          <w:rFonts w:eastAsiaTheme="majorEastAsia"/>
        </w:rPr>
        <w:t xml:space="preserve"> </w:t>
      </w:r>
    </w:p>
    <w:p w14:paraId="3AB7C426" w14:textId="1A90174C" w:rsidR="004D556D" w:rsidRPr="000F6CD1" w:rsidRDefault="004D556D" w:rsidP="00A677C9">
      <w:pPr>
        <w:pStyle w:val="paragraph"/>
        <w:spacing w:before="240" w:beforeAutospacing="0" w:after="240" w:afterAutospacing="0"/>
        <w:rPr>
          <w:rFonts w:eastAsiaTheme="majorEastAsia"/>
        </w:rPr>
      </w:pPr>
      <w:r w:rsidRPr="000F6CD1">
        <w:rPr>
          <w:rFonts w:eastAsiaTheme="majorEastAsia"/>
        </w:rPr>
        <w:t>Funding for assistance dogs is capped at $2,000 per annum for ongoing maintenance of the assistance dogs e.g., paying veterinary bills, animal vaccinations, deworming and flea treatments, essential grooming and dog food.</w:t>
      </w:r>
      <w:r w:rsidR="00B57E9E" w:rsidRPr="000F6CD1">
        <w:rPr>
          <w:rFonts w:eastAsiaTheme="majorEastAsia"/>
        </w:rPr>
        <w:t xml:space="preserve"> </w:t>
      </w:r>
    </w:p>
    <w:p w14:paraId="36ECA81E" w14:textId="107E9625" w:rsidR="004D556D" w:rsidRPr="000F6CD1" w:rsidRDefault="004D556D" w:rsidP="00A677C9">
      <w:pPr>
        <w:pStyle w:val="paragraph"/>
        <w:spacing w:before="240" w:beforeAutospacing="0" w:after="240" w:afterAutospacing="0"/>
        <w:rPr>
          <w:rFonts w:eastAsiaTheme="majorEastAsia"/>
        </w:rPr>
      </w:pPr>
      <w:r w:rsidRPr="000F6CD1">
        <w:rPr>
          <w:rFonts w:eastAsiaTheme="majorEastAsia"/>
        </w:rPr>
        <w:lastRenderedPageBreak/>
        <w:t>Participants requiring assistance dogs will be identified and approved for funding through their aged care assessment. Funding for assistance dogs is a specific need, with separate funding for this purpose. If the participant no longer requires this specific funding, the provider must notify Services Australia through the Services Australia Aged Care Provider Portal.</w:t>
      </w:r>
      <w:r w:rsidR="00B57E9E" w:rsidRPr="000F6CD1">
        <w:rPr>
          <w:rFonts w:eastAsiaTheme="majorEastAsia"/>
        </w:rPr>
        <w:t xml:space="preserve"> </w:t>
      </w:r>
    </w:p>
    <w:p w14:paraId="2FFA5739" w14:textId="77777777" w:rsidR="004D556D" w:rsidRPr="000F6CD1" w:rsidRDefault="004D556D" w:rsidP="00A677C9">
      <w:pPr>
        <w:pStyle w:val="paragraph"/>
        <w:spacing w:before="240" w:beforeAutospacing="0" w:after="240" w:afterAutospacing="0"/>
        <w:rPr>
          <w:rFonts w:eastAsiaTheme="majorEastAsia"/>
        </w:rPr>
      </w:pPr>
      <w:r w:rsidRPr="000F6CD1">
        <w:rPr>
          <w:rFonts w:eastAsiaTheme="majorEastAsia"/>
        </w:rPr>
        <w:t>The IAT now captures if a participant has an assistance dog through three new questions, including if the participant is able to access the Federal Government funded Physical Assistance Dogs Program and whether the participant’s assistance dog meets the definition used by Health Direct.</w:t>
      </w:r>
    </w:p>
    <w:p w14:paraId="31F0F4C2" w14:textId="77777777" w:rsidR="004D556D" w:rsidRPr="000F6CD1" w:rsidRDefault="004D556D" w:rsidP="00A677C9">
      <w:pPr>
        <w:pStyle w:val="H5"/>
        <w:spacing w:before="240" w:after="240" w:line="240" w:lineRule="auto"/>
      </w:pPr>
      <w:r w:rsidRPr="000F6CD1">
        <w:t>Home modifications</w:t>
      </w:r>
    </w:p>
    <w:p w14:paraId="03EA8228" w14:textId="781AD58F" w:rsidR="004D556D" w:rsidRPr="000F6CD1" w:rsidRDefault="004D556D" w:rsidP="00A677C9">
      <w:pPr>
        <w:spacing w:before="240" w:after="240" w:line="240" w:lineRule="auto"/>
      </w:pPr>
      <w:r w:rsidRPr="000F6CD1">
        <w:t xml:space="preserve">By clicking the ‘Recommend a Home Modification’ button you will navigate to the Add Home Modification recommendation’ page. On this page you must select an HM tier. </w:t>
      </w:r>
    </w:p>
    <w:p w14:paraId="568FFD8A" w14:textId="374F975B" w:rsidR="004D556D" w:rsidRPr="000F6CD1" w:rsidRDefault="004D556D" w:rsidP="00A677C9">
      <w:pPr>
        <w:spacing w:before="240" w:after="240" w:line="240" w:lineRule="auto"/>
      </w:pPr>
      <w:r w:rsidRPr="000F6CD1">
        <w:t xml:space="preserve">If the recommended classification is Support at Home Restorative Care Pathway, then an automated medium tier will be assigned with the assessor being able to change to a low tier based on assessed need. </w:t>
      </w:r>
    </w:p>
    <w:p w14:paraId="6CFE7C22" w14:textId="77777777" w:rsidR="004D556D" w:rsidRPr="000F6CD1" w:rsidRDefault="004D556D" w:rsidP="00A677C9">
      <w:pPr>
        <w:spacing w:before="240" w:after="240" w:line="240" w:lineRule="auto"/>
      </w:pPr>
      <w:r w:rsidRPr="000F6CD1">
        <w:t xml:space="preserve">If there are concerns and goals on the older person’s support plan, the option to link goals will be available. </w:t>
      </w:r>
    </w:p>
    <w:p w14:paraId="79ED1EDB" w14:textId="77777777" w:rsidR="004D556D" w:rsidRPr="000F6CD1" w:rsidRDefault="004D556D" w:rsidP="00A677C9">
      <w:pPr>
        <w:spacing w:before="240" w:after="240" w:line="240" w:lineRule="auto"/>
      </w:pPr>
      <w:r w:rsidRPr="000F6CD1">
        <w:t xml:space="preserve">Service type and services will be pre-selected and read-only. </w:t>
      </w:r>
    </w:p>
    <w:p w14:paraId="18C5B72A" w14:textId="77777777" w:rsidR="004D556D" w:rsidRPr="000F6CD1" w:rsidRDefault="004D556D" w:rsidP="00AD2CE5">
      <w:pPr>
        <w:pStyle w:val="H3"/>
        <w:rPr>
          <w:color w:val="1E1444"/>
        </w:rPr>
      </w:pPr>
      <w:r w:rsidRPr="000F6CD1">
        <w:t>AT-HM Scheme Priority System</w:t>
      </w:r>
    </w:p>
    <w:p w14:paraId="7410869E" w14:textId="77777777" w:rsidR="004D556D" w:rsidRPr="000F6CD1" w:rsidRDefault="004D556D" w:rsidP="00A677C9">
      <w:pPr>
        <w:spacing w:before="240" w:after="240" w:line="240" w:lineRule="auto"/>
      </w:pPr>
      <w:r w:rsidRPr="000F6CD1">
        <w:t>The AT-HM scheme has a separate priority system to the Support at Home Priority System. The AT-HM</w:t>
      </w:r>
      <w:r w:rsidRPr="000F6CD1" w:rsidDel="00951ED4">
        <w:t xml:space="preserve"> </w:t>
      </w:r>
      <w:r w:rsidRPr="000F6CD1">
        <w:t xml:space="preserve">scheme has an Assistive Technology Priority System and a Home Modifications Priority System that allocate AT-HM scheme funding. An older person assessed as eligible for AT and HM will enter the AT-HM Priority Systems in one of its four priority categories (immediate, high, medium or standard). The older person will not be able to access AT-HM under Support at Home until funding has been allocated. The amount of time they wait for services will depend on the priority category they are in. </w:t>
      </w:r>
    </w:p>
    <w:p w14:paraId="39095CBA" w14:textId="77777777" w:rsidR="004D556D" w:rsidRPr="000F6CD1" w:rsidRDefault="004D556D" w:rsidP="00A677C9">
      <w:pPr>
        <w:spacing w:before="240" w:after="240" w:line="240" w:lineRule="auto"/>
        <w:rPr>
          <w:highlight w:val="yellow"/>
        </w:rPr>
      </w:pPr>
      <w:r w:rsidRPr="000F6CD1">
        <w:t xml:space="preserve">The AT-HM Priority Systems ensure the equitable allocation of funding based on standardised criteria determined using information collected by an assessor through the IAT. This is used to calculate the priority category which is generated by the system. The assessor is not required to choose the priority category. </w:t>
      </w:r>
    </w:p>
    <w:p w14:paraId="373712D4" w14:textId="77777777" w:rsidR="004D556D" w:rsidRPr="000F6CD1" w:rsidRDefault="004D556D" w:rsidP="00A677C9">
      <w:pPr>
        <w:spacing w:before="240" w:after="240" w:line="240" w:lineRule="auto"/>
      </w:pPr>
      <w:r w:rsidRPr="000F6CD1">
        <w:t xml:space="preserve">The following criteria are used. If the individual/’s: </w:t>
      </w:r>
    </w:p>
    <w:p w14:paraId="56DA1EE3" w14:textId="77777777" w:rsidR="004D556D" w:rsidRPr="000F6CD1" w:rsidRDefault="004D556D" w:rsidP="00DF3F6B">
      <w:pPr>
        <w:pStyle w:val="ListParagraph"/>
        <w:numPr>
          <w:ilvl w:val="0"/>
          <w:numId w:val="197"/>
        </w:numPr>
        <w:spacing w:before="240" w:after="240" w:line="240" w:lineRule="auto"/>
      </w:pPr>
      <w:r w:rsidRPr="000F6CD1">
        <w:t xml:space="preserve">lives alone </w:t>
      </w:r>
    </w:p>
    <w:p w14:paraId="08DFDC6F" w14:textId="77777777" w:rsidR="004D556D" w:rsidRPr="000F6CD1" w:rsidRDefault="004D556D" w:rsidP="00DF3F6B">
      <w:pPr>
        <w:pStyle w:val="ListParagraph"/>
        <w:numPr>
          <w:ilvl w:val="0"/>
          <w:numId w:val="197"/>
        </w:numPr>
        <w:spacing w:before="240" w:after="240" w:line="240" w:lineRule="auto"/>
      </w:pPr>
      <w:r w:rsidRPr="000F6CD1">
        <w:t xml:space="preserve">has an assessed severe mobility impairment </w:t>
      </w:r>
    </w:p>
    <w:p w14:paraId="0F184C5E" w14:textId="77777777" w:rsidR="004D556D" w:rsidRPr="000F6CD1" w:rsidRDefault="004D556D" w:rsidP="00DF3F6B">
      <w:pPr>
        <w:pStyle w:val="ListParagraph"/>
        <w:numPr>
          <w:ilvl w:val="0"/>
          <w:numId w:val="197"/>
        </w:numPr>
        <w:spacing w:before="240" w:after="240" w:line="240" w:lineRule="auto"/>
      </w:pPr>
      <w:r w:rsidRPr="000F6CD1">
        <w:t xml:space="preserve">is an Aboriginal or Torres Strait Islander person </w:t>
      </w:r>
    </w:p>
    <w:p w14:paraId="323674E9" w14:textId="77777777" w:rsidR="004D556D" w:rsidRPr="000F6CD1" w:rsidRDefault="004D556D" w:rsidP="00DF3F6B">
      <w:pPr>
        <w:pStyle w:val="ListParagraph"/>
        <w:numPr>
          <w:ilvl w:val="0"/>
          <w:numId w:val="197"/>
        </w:numPr>
        <w:spacing w:before="240" w:after="240" w:line="240" w:lineRule="auto"/>
      </w:pPr>
      <w:r w:rsidRPr="000F6CD1">
        <w:t xml:space="preserve">current place of residence poses a severe risk to their health or safety </w:t>
      </w:r>
    </w:p>
    <w:p w14:paraId="6E2FE269" w14:textId="77777777" w:rsidR="004D556D" w:rsidRPr="000F6CD1" w:rsidRDefault="004D556D" w:rsidP="00DF3F6B">
      <w:pPr>
        <w:pStyle w:val="ListParagraph"/>
        <w:numPr>
          <w:ilvl w:val="0"/>
          <w:numId w:val="197"/>
        </w:numPr>
        <w:spacing w:before="240" w:after="240" w:line="240" w:lineRule="auto"/>
      </w:pPr>
      <w:r w:rsidRPr="000F6CD1">
        <w:t>has waited more than 6 months from initial referral and resides in a rural or remote area categorised under MM5-7</w:t>
      </w:r>
    </w:p>
    <w:p w14:paraId="3E0DD932" w14:textId="77777777" w:rsidR="0044520C" w:rsidRDefault="004D556D" w:rsidP="00A677C9">
      <w:pPr>
        <w:spacing w:before="240" w:after="240" w:line="240" w:lineRule="auto"/>
      </w:pPr>
      <w:r w:rsidRPr="000F6CD1">
        <w:t>Older people actively seeking AT-HM at the time of their approval will be automatically placed in the AT and HM Priority System and set as ‘seeking services.’</w:t>
      </w:r>
    </w:p>
    <w:p w14:paraId="5CC3C571" w14:textId="3E0275D1" w:rsidR="004D556D" w:rsidRPr="000F6CD1" w:rsidRDefault="0044520C" w:rsidP="0044520C">
      <w:r>
        <w:br w:type="page"/>
      </w:r>
    </w:p>
    <w:p w14:paraId="3452212A" w14:textId="16E24375" w:rsidR="004D556D" w:rsidRPr="000F6CD1" w:rsidRDefault="00DF5F7D" w:rsidP="00806A21">
      <w:pPr>
        <w:pStyle w:val="Sub-headings"/>
      </w:pPr>
      <w:r>
        <w:rPr>
          <w:noProof/>
          <w14:ligatures w14:val="standardContextual"/>
        </w:rPr>
        <w:lastRenderedPageBreak/>
        <w:drawing>
          <wp:anchor distT="0" distB="0" distL="114300" distR="114300" simplePos="0" relativeHeight="251658263" behindDoc="0" locked="0" layoutInCell="1" allowOverlap="1" wp14:anchorId="78CF37B4" wp14:editId="1CF648A6">
            <wp:simplePos x="0" y="0"/>
            <wp:positionH relativeFrom="margin">
              <wp:posOffset>-125095</wp:posOffset>
            </wp:positionH>
            <wp:positionV relativeFrom="margin">
              <wp:posOffset>1029335</wp:posOffset>
            </wp:positionV>
            <wp:extent cx="365760" cy="403860"/>
            <wp:effectExtent l="0" t="0" r="0" b="0"/>
            <wp:wrapSquare wrapText="bothSides"/>
            <wp:docPr id="1895937906"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37906"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 xml:space="preserve">Note: Participants assigned to the Restorative Care Pathway or the End-of-Life Pathway who have an assessed need for AT and HM will be allocated AT-HM funding immediately once approved by the assessment delegate. Note that the system will display an AT-HM priority of ‘High’ in this scenario, however the funds are allocated immediately. Further information will be available in the </w:t>
      </w:r>
      <w:hyperlink r:id="rId181" w:history="1">
        <w:r w:rsidR="004D556D" w:rsidRPr="000F6CD1">
          <w:rPr>
            <w:rStyle w:val="Hyperlink"/>
          </w:rPr>
          <w:t>AT-HM scheme guidelines</w:t>
        </w:r>
      </w:hyperlink>
      <w:r w:rsidR="004D556D" w:rsidRPr="000F6CD1">
        <w:t xml:space="preserve">. </w:t>
      </w:r>
    </w:p>
    <w:p w14:paraId="4DCF2578" w14:textId="32D652D0" w:rsidR="004D556D" w:rsidRPr="000F6CD1" w:rsidRDefault="004D556D" w:rsidP="00AD2CE5">
      <w:pPr>
        <w:pStyle w:val="H3"/>
      </w:pPr>
      <w:r w:rsidRPr="000F6CD1">
        <w:t>Interactions with other programs</w:t>
      </w:r>
    </w:p>
    <w:p w14:paraId="1EDD44F0" w14:textId="68E91065" w:rsidR="004D556D" w:rsidRPr="000F6CD1" w:rsidRDefault="004D556D" w:rsidP="00A677C9">
      <w:pPr>
        <w:pStyle w:val="Caption"/>
        <w:spacing w:before="240" w:after="240"/>
      </w:pPr>
      <w:r w:rsidRPr="000F6CD1">
        <w:t xml:space="preserve">Table 28. AT-HM scheme interactions with other programs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T-HM Scheme interactions with other programs"/>
      </w:tblPr>
      <w:tblGrid>
        <w:gridCol w:w="2122"/>
        <w:gridCol w:w="3447"/>
        <w:gridCol w:w="3447"/>
      </w:tblGrid>
      <w:tr w:rsidR="004D556D" w:rsidRPr="000F6CD1" w14:paraId="4F0D0FB6" w14:textId="77777777" w:rsidTr="00F83062">
        <w:trPr>
          <w:tblHeader/>
        </w:trPr>
        <w:tc>
          <w:tcPr>
            <w:tcW w:w="2122" w:type="dxa"/>
            <w:shd w:val="clear" w:color="auto" w:fill="002060"/>
          </w:tcPr>
          <w:p w14:paraId="29AA6496" w14:textId="77777777" w:rsidR="004D556D" w:rsidRPr="000F6CD1" w:rsidRDefault="004D556D" w:rsidP="00A677C9">
            <w:pPr>
              <w:pStyle w:val="H5"/>
              <w:spacing w:before="240" w:after="240"/>
              <w:rPr>
                <w:color w:val="FFFFFF" w:themeColor="background1"/>
              </w:rPr>
            </w:pPr>
            <w:r w:rsidRPr="000F6CD1">
              <w:rPr>
                <w:color w:val="FFFFFF" w:themeColor="background1"/>
              </w:rPr>
              <w:t>Program</w:t>
            </w:r>
          </w:p>
        </w:tc>
        <w:tc>
          <w:tcPr>
            <w:tcW w:w="6894" w:type="dxa"/>
            <w:gridSpan w:val="2"/>
            <w:shd w:val="clear" w:color="auto" w:fill="002060"/>
          </w:tcPr>
          <w:p w14:paraId="08E18737" w14:textId="77777777" w:rsidR="004D556D" w:rsidRPr="000F6CD1" w:rsidRDefault="004D556D" w:rsidP="00A677C9">
            <w:pPr>
              <w:spacing w:before="240" w:after="240"/>
              <w:rPr>
                <w:b/>
                <w:bCs/>
                <w:color w:val="FFFFFF" w:themeColor="background1"/>
              </w:rPr>
            </w:pPr>
            <w:r w:rsidRPr="000F6CD1">
              <w:rPr>
                <w:b/>
                <w:bCs/>
                <w:color w:val="FFFFFF" w:themeColor="background1"/>
              </w:rPr>
              <w:t>Interaction with the AT-HM scheme</w:t>
            </w:r>
          </w:p>
        </w:tc>
      </w:tr>
      <w:tr w:rsidR="004D556D" w:rsidRPr="000F6CD1" w14:paraId="66B515FF" w14:textId="77777777">
        <w:tc>
          <w:tcPr>
            <w:tcW w:w="2122" w:type="dxa"/>
            <w:shd w:val="clear" w:color="auto" w:fill="002060"/>
          </w:tcPr>
          <w:p w14:paraId="4320A4F0" w14:textId="77777777" w:rsidR="004D556D" w:rsidRPr="000F6CD1" w:rsidRDefault="004D556D" w:rsidP="00A677C9">
            <w:pPr>
              <w:pStyle w:val="H5"/>
              <w:spacing w:before="240" w:after="240"/>
              <w:rPr>
                <w:b w:val="0"/>
                <w:bCs w:val="0"/>
                <w:color w:val="FFFFFF" w:themeColor="background1"/>
              </w:rPr>
            </w:pPr>
            <w:r w:rsidRPr="000F6CD1">
              <w:rPr>
                <w:b w:val="0"/>
                <w:bCs w:val="0"/>
                <w:color w:val="FFFFFF" w:themeColor="background1"/>
              </w:rPr>
              <w:t>Support at Home ongoing</w:t>
            </w:r>
          </w:p>
        </w:tc>
        <w:tc>
          <w:tcPr>
            <w:tcW w:w="6894" w:type="dxa"/>
            <w:gridSpan w:val="2"/>
          </w:tcPr>
          <w:p w14:paraId="566473A3" w14:textId="77777777" w:rsidR="004D556D" w:rsidRPr="000F6CD1" w:rsidRDefault="004D556D" w:rsidP="00A677C9">
            <w:pPr>
              <w:spacing w:before="240" w:after="240"/>
              <w:rPr>
                <w:b/>
                <w:bCs/>
                <w:color w:val="FFFFFF" w:themeColor="background1"/>
              </w:rPr>
            </w:pPr>
            <w:r w:rsidRPr="000F6CD1">
              <w:t xml:space="preserve">Can access funding through the AT-HM scheme at the same time. </w:t>
            </w:r>
          </w:p>
        </w:tc>
      </w:tr>
      <w:tr w:rsidR="004D556D" w:rsidRPr="000F6CD1" w14:paraId="7F9E4079" w14:textId="77777777">
        <w:tc>
          <w:tcPr>
            <w:tcW w:w="2122" w:type="dxa"/>
            <w:shd w:val="clear" w:color="auto" w:fill="002060"/>
            <w:vAlign w:val="center"/>
          </w:tcPr>
          <w:p w14:paraId="4C19B30C" w14:textId="77777777" w:rsidR="004D556D" w:rsidRPr="000F6CD1" w:rsidRDefault="004D556D" w:rsidP="00A677C9">
            <w:pPr>
              <w:spacing w:before="240" w:after="240"/>
              <w:rPr>
                <w:color w:val="FFFFFF" w:themeColor="background1"/>
              </w:rPr>
            </w:pPr>
            <w:r w:rsidRPr="000F6CD1">
              <w:rPr>
                <w:color w:val="FFFFFF" w:themeColor="background1"/>
              </w:rPr>
              <w:t>Restorative Care Pathway</w:t>
            </w:r>
          </w:p>
          <w:p w14:paraId="10F6C448" w14:textId="77777777" w:rsidR="004D556D" w:rsidRPr="000F6CD1" w:rsidRDefault="004D556D" w:rsidP="00A677C9">
            <w:pPr>
              <w:pStyle w:val="H5"/>
              <w:spacing w:before="240" w:after="240"/>
              <w:rPr>
                <w:b w:val="0"/>
                <w:bCs w:val="0"/>
                <w:color w:val="FFFFFF" w:themeColor="background1"/>
              </w:rPr>
            </w:pPr>
          </w:p>
        </w:tc>
        <w:tc>
          <w:tcPr>
            <w:tcW w:w="6894" w:type="dxa"/>
            <w:gridSpan w:val="2"/>
            <w:vAlign w:val="center"/>
          </w:tcPr>
          <w:p w14:paraId="65D4A75D" w14:textId="77777777" w:rsidR="004D556D" w:rsidRPr="000F6CD1" w:rsidRDefault="004D556D" w:rsidP="00A677C9">
            <w:pPr>
              <w:spacing w:before="240" w:after="240"/>
              <w:rPr>
                <w:b/>
              </w:rPr>
            </w:pPr>
            <w:r w:rsidRPr="000F6CD1">
              <w:t>Older people accessing the Restorative Care Pathway can access: </w:t>
            </w:r>
          </w:p>
          <w:p w14:paraId="2A25973E" w14:textId="77777777" w:rsidR="004D556D" w:rsidRPr="000F6CD1" w:rsidRDefault="004D556D">
            <w:pPr>
              <w:pStyle w:val="ListParagraph"/>
              <w:numPr>
                <w:ilvl w:val="0"/>
                <w:numId w:val="167"/>
              </w:numPr>
              <w:spacing w:before="240" w:after="240"/>
              <w:rPr>
                <w:b/>
                <w:bCs/>
              </w:rPr>
            </w:pPr>
            <w:r w:rsidRPr="000F6CD1">
              <w:t>Assistive technology: low, medium and high tiers</w:t>
            </w:r>
          </w:p>
          <w:p w14:paraId="7F27F40B" w14:textId="77777777" w:rsidR="004D556D" w:rsidRPr="000F6CD1" w:rsidRDefault="004D556D">
            <w:pPr>
              <w:pStyle w:val="ListParagraph"/>
              <w:numPr>
                <w:ilvl w:val="0"/>
                <w:numId w:val="167"/>
              </w:numPr>
              <w:spacing w:before="240" w:after="240"/>
            </w:pPr>
            <w:r w:rsidRPr="000F6CD1">
              <w:t>Home modifications: low and medium tiers</w:t>
            </w:r>
          </w:p>
          <w:p w14:paraId="3ACA57FC" w14:textId="3BEF7B90" w:rsidR="004D556D" w:rsidRPr="000F6CD1" w:rsidRDefault="004D556D" w:rsidP="00A677C9">
            <w:pPr>
              <w:spacing w:before="240" w:after="240"/>
            </w:pPr>
            <w:r w:rsidRPr="000F6CD1">
              <w:t>An automated medium tier will be selected for both unless the assessor indicates otherwise.</w:t>
            </w:r>
          </w:p>
        </w:tc>
      </w:tr>
      <w:tr w:rsidR="004D556D" w:rsidRPr="000F6CD1" w14:paraId="2A8C2100" w14:textId="77777777">
        <w:tc>
          <w:tcPr>
            <w:tcW w:w="2122" w:type="dxa"/>
            <w:shd w:val="clear" w:color="auto" w:fill="002060"/>
            <w:vAlign w:val="center"/>
          </w:tcPr>
          <w:p w14:paraId="751C71AB" w14:textId="246DFA64" w:rsidR="004D556D" w:rsidRPr="000F6CD1" w:rsidRDefault="004D556D" w:rsidP="00A677C9">
            <w:pPr>
              <w:pStyle w:val="H5"/>
              <w:spacing w:before="240" w:after="240"/>
              <w:rPr>
                <w:b w:val="0"/>
                <w:bCs w:val="0"/>
                <w:color w:val="FFFFFF" w:themeColor="background1"/>
              </w:rPr>
            </w:pPr>
            <w:r w:rsidRPr="000F6CD1">
              <w:rPr>
                <w:b w:val="0"/>
                <w:bCs w:val="0"/>
                <w:color w:val="FFFFFF" w:themeColor="background1"/>
              </w:rPr>
              <w:t>End-of-Life Pathway</w:t>
            </w:r>
          </w:p>
          <w:p w14:paraId="5F4195F2" w14:textId="77777777" w:rsidR="004D556D" w:rsidRPr="000F6CD1" w:rsidRDefault="004D556D" w:rsidP="00A677C9">
            <w:pPr>
              <w:pStyle w:val="H5"/>
              <w:spacing w:before="240" w:after="240"/>
              <w:rPr>
                <w:b w:val="0"/>
                <w:bCs w:val="0"/>
                <w:color w:val="FFFFFF" w:themeColor="background1"/>
              </w:rPr>
            </w:pPr>
          </w:p>
        </w:tc>
        <w:tc>
          <w:tcPr>
            <w:tcW w:w="6894" w:type="dxa"/>
            <w:gridSpan w:val="2"/>
          </w:tcPr>
          <w:p w14:paraId="25ABFFC2" w14:textId="77777777" w:rsidR="00183C95" w:rsidRDefault="004D556D" w:rsidP="00A677C9">
            <w:pPr>
              <w:spacing w:before="240" w:after="240"/>
            </w:pPr>
            <w:r w:rsidRPr="000F6CD1">
              <w:t>Older people accessing the End-of-Life Pathway can access: </w:t>
            </w:r>
          </w:p>
          <w:p w14:paraId="7222433F" w14:textId="29228AF6" w:rsidR="004D556D" w:rsidRPr="000F6CD1" w:rsidRDefault="004D556D" w:rsidP="00183C95">
            <w:pPr>
              <w:pStyle w:val="ListParagraph"/>
              <w:numPr>
                <w:ilvl w:val="0"/>
                <w:numId w:val="626"/>
              </w:numPr>
              <w:spacing w:before="240" w:after="240"/>
            </w:pPr>
            <w:r w:rsidRPr="000F6CD1">
              <w:t>Assistive technology</w:t>
            </w:r>
            <w:r w:rsidR="00183C95">
              <w:t xml:space="preserve"> (short-term)</w:t>
            </w:r>
            <w:r w:rsidRPr="000F6CD1">
              <w:t>: low and medium tiers</w:t>
            </w:r>
          </w:p>
          <w:p w14:paraId="277ABC07" w14:textId="3E0B7D36" w:rsidR="004D556D" w:rsidRPr="000F6CD1" w:rsidRDefault="004D556D" w:rsidP="00A677C9">
            <w:pPr>
              <w:spacing w:before="240" w:after="240"/>
            </w:pPr>
            <w:r w:rsidRPr="000F6CD1">
              <w:t>An automated medium tier will be selected for AT</w:t>
            </w:r>
            <w:r w:rsidR="00183C95">
              <w:t>.</w:t>
            </w:r>
            <w:r w:rsidR="00D63BF6">
              <w:t xml:space="preserve"> The assessor can change the AT recommendation to AT low or remove the auto-recommendation. They cannot select AT high tier. </w:t>
            </w:r>
          </w:p>
        </w:tc>
      </w:tr>
      <w:tr w:rsidR="004D556D" w:rsidRPr="000F6CD1" w14:paraId="53E41879" w14:textId="77777777">
        <w:tc>
          <w:tcPr>
            <w:tcW w:w="2122" w:type="dxa"/>
            <w:shd w:val="clear" w:color="auto" w:fill="002060"/>
            <w:vAlign w:val="center"/>
          </w:tcPr>
          <w:p w14:paraId="5CDAC947" w14:textId="77777777" w:rsidR="004D556D" w:rsidRPr="000F6CD1" w:rsidRDefault="004D556D" w:rsidP="00A677C9">
            <w:pPr>
              <w:pStyle w:val="H5"/>
              <w:spacing w:before="240" w:after="240"/>
              <w:rPr>
                <w:b w:val="0"/>
                <w:bCs w:val="0"/>
                <w:color w:val="FFFFFF" w:themeColor="background1"/>
              </w:rPr>
            </w:pPr>
            <w:r w:rsidRPr="000F6CD1">
              <w:rPr>
                <w:b w:val="0"/>
                <w:bCs w:val="0"/>
                <w:color w:val="FFFFFF" w:themeColor="background1"/>
              </w:rPr>
              <w:t>Residential Respite</w:t>
            </w:r>
          </w:p>
        </w:tc>
        <w:tc>
          <w:tcPr>
            <w:tcW w:w="6894" w:type="dxa"/>
            <w:gridSpan w:val="2"/>
          </w:tcPr>
          <w:p w14:paraId="50687F2F" w14:textId="77777777" w:rsidR="004D556D" w:rsidRPr="000F6CD1" w:rsidRDefault="004D556D" w:rsidP="00A677C9">
            <w:pPr>
              <w:spacing w:before="240" w:after="240"/>
              <w:rPr>
                <w:rFonts w:eastAsia="Aptos"/>
              </w:rPr>
            </w:pPr>
            <w:r w:rsidRPr="000F6CD1">
              <w:rPr>
                <w:rFonts w:eastAsia="Aptos"/>
              </w:rPr>
              <w:t xml:space="preserve">Can receive AT-HM in their home while in respite </w:t>
            </w:r>
          </w:p>
        </w:tc>
      </w:tr>
      <w:tr w:rsidR="004D556D" w:rsidRPr="000F6CD1" w14:paraId="7FA03073" w14:textId="77777777">
        <w:tc>
          <w:tcPr>
            <w:tcW w:w="2122" w:type="dxa"/>
            <w:shd w:val="clear" w:color="auto" w:fill="002060"/>
            <w:vAlign w:val="center"/>
          </w:tcPr>
          <w:p w14:paraId="708BB119" w14:textId="77777777" w:rsidR="004D556D" w:rsidRPr="000F6CD1" w:rsidRDefault="004D556D" w:rsidP="00A677C9">
            <w:pPr>
              <w:pStyle w:val="H5"/>
              <w:spacing w:before="240" w:after="240"/>
              <w:rPr>
                <w:b w:val="0"/>
                <w:bCs w:val="0"/>
                <w:color w:val="FFFFFF" w:themeColor="background1"/>
              </w:rPr>
            </w:pPr>
            <w:r w:rsidRPr="000F6CD1">
              <w:rPr>
                <w:b w:val="0"/>
                <w:bCs w:val="0"/>
                <w:color w:val="FFFFFF" w:themeColor="background1"/>
              </w:rPr>
              <w:t>Transition Care Program</w:t>
            </w:r>
          </w:p>
        </w:tc>
        <w:tc>
          <w:tcPr>
            <w:tcW w:w="6894" w:type="dxa"/>
            <w:gridSpan w:val="2"/>
          </w:tcPr>
          <w:p w14:paraId="3A15EF70" w14:textId="77777777" w:rsidR="004D556D" w:rsidRPr="000F6CD1" w:rsidRDefault="004D556D" w:rsidP="00A677C9">
            <w:pPr>
              <w:spacing w:before="240" w:after="240"/>
            </w:pPr>
            <w:r w:rsidRPr="000F6CD1">
              <w:t xml:space="preserve">TCP clients who have an on-going Support at Home classification will be eligible for the AT-HM scheme under Support at Home. </w:t>
            </w:r>
          </w:p>
          <w:p w14:paraId="768F7021" w14:textId="77777777" w:rsidR="004D556D" w:rsidRPr="000F6CD1" w:rsidRDefault="004D556D" w:rsidP="00A677C9">
            <w:pPr>
              <w:spacing w:before="240" w:after="240"/>
            </w:pPr>
          </w:p>
          <w:p w14:paraId="77CD9706" w14:textId="7318CCD3" w:rsidR="004D556D" w:rsidRPr="000F6CD1" w:rsidRDefault="004D556D" w:rsidP="00A677C9">
            <w:pPr>
              <w:spacing w:before="240" w:after="240"/>
            </w:pPr>
            <w:r w:rsidRPr="000F6CD1">
              <w:t xml:space="preserve">TCP clients who are </w:t>
            </w:r>
            <w:r w:rsidRPr="000F6CD1">
              <w:rPr>
                <w:i/>
              </w:rPr>
              <w:t>not</w:t>
            </w:r>
            <w:r w:rsidRPr="000F6CD1">
              <w:t xml:space="preserve"> currently on a Support at Home package will be able to access AT through TCP. </w:t>
            </w:r>
          </w:p>
          <w:p w14:paraId="2527B6E5" w14:textId="77777777" w:rsidR="004D556D" w:rsidRPr="000F6CD1" w:rsidRDefault="004D556D" w:rsidP="00A677C9">
            <w:pPr>
              <w:spacing w:before="240" w:after="240"/>
              <w:rPr>
                <w:rFonts w:eastAsia="Aptos"/>
              </w:rPr>
            </w:pPr>
          </w:p>
        </w:tc>
      </w:tr>
      <w:tr w:rsidR="004D556D" w:rsidRPr="000F6CD1" w14:paraId="29645881" w14:textId="77777777">
        <w:tc>
          <w:tcPr>
            <w:tcW w:w="2122" w:type="dxa"/>
            <w:shd w:val="clear" w:color="auto" w:fill="002060"/>
            <w:vAlign w:val="center"/>
          </w:tcPr>
          <w:p w14:paraId="3F6FB3FF" w14:textId="77777777" w:rsidR="004D556D" w:rsidRPr="000F6CD1" w:rsidRDefault="004D556D" w:rsidP="00A677C9">
            <w:pPr>
              <w:pStyle w:val="H5"/>
              <w:spacing w:before="240" w:after="240"/>
              <w:rPr>
                <w:b w:val="0"/>
                <w:bCs w:val="0"/>
                <w:color w:val="FFFFFF" w:themeColor="background1"/>
              </w:rPr>
            </w:pPr>
            <w:r w:rsidRPr="000F6CD1">
              <w:rPr>
                <w:b w:val="0"/>
                <w:bCs w:val="0"/>
                <w:color w:val="FFFFFF" w:themeColor="background1"/>
              </w:rPr>
              <w:t>CHSP</w:t>
            </w:r>
          </w:p>
          <w:p w14:paraId="3B59202B" w14:textId="77777777" w:rsidR="004D556D" w:rsidRPr="000F6CD1" w:rsidRDefault="004D556D" w:rsidP="00A677C9">
            <w:pPr>
              <w:pStyle w:val="H5"/>
              <w:spacing w:before="240" w:after="240"/>
              <w:rPr>
                <w:b w:val="0"/>
                <w:bCs w:val="0"/>
                <w:color w:val="FFFFFF" w:themeColor="background1"/>
              </w:rPr>
            </w:pPr>
          </w:p>
        </w:tc>
        <w:tc>
          <w:tcPr>
            <w:tcW w:w="6894" w:type="dxa"/>
            <w:gridSpan w:val="2"/>
            <w:vAlign w:val="center"/>
          </w:tcPr>
          <w:p w14:paraId="130B08FC" w14:textId="3A3F11C2" w:rsidR="004D556D" w:rsidRPr="000F6CD1" w:rsidRDefault="004D556D" w:rsidP="00A677C9">
            <w:pPr>
              <w:spacing w:before="240" w:after="240"/>
            </w:pPr>
            <w:r w:rsidRPr="000F6CD1">
              <w:t xml:space="preserve">Cannot access AT-HM. Older people with a CHSP classification will access Equipment and products and/or Home adjustment services under CHSP. </w:t>
            </w:r>
          </w:p>
        </w:tc>
      </w:tr>
      <w:tr w:rsidR="004D556D" w:rsidRPr="000F6CD1" w14:paraId="66667891" w14:textId="77777777">
        <w:tc>
          <w:tcPr>
            <w:tcW w:w="2122" w:type="dxa"/>
            <w:shd w:val="clear" w:color="auto" w:fill="002060"/>
            <w:vAlign w:val="center"/>
          </w:tcPr>
          <w:p w14:paraId="09A4261B" w14:textId="77777777" w:rsidR="004D556D" w:rsidRPr="000F6CD1" w:rsidRDefault="004D556D" w:rsidP="00A677C9">
            <w:pPr>
              <w:spacing w:before="240" w:after="240"/>
              <w:rPr>
                <w:color w:val="FFFFFF" w:themeColor="background1"/>
              </w:rPr>
            </w:pPr>
            <w:r w:rsidRPr="000F6CD1">
              <w:rPr>
                <w:color w:val="FFFFFF" w:themeColor="background1"/>
              </w:rPr>
              <w:lastRenderedPageBreak/>
              <w:t>Permanent Residential Care </w:t>
            </w:r>
          </w:p>
          <w:p w14:paraId="79569A18" w14:textId="77777777" w:rsidR="004D556D" w:rsidRPr="000F6CD1" w:rsidRDefault="004D556D" w:rsidP="00A677C9">
            <w:pPr>
              <w:spacing w:before="240" w:after="240"/>
              <w:rPr>
                <w:color w:val="FFFFFF" w:themeColor="background1"/>
              </w:rPr>
            </w:pPr>
          </w:p>
        </w:tc>
        <w:tc>
          <w:tcPr>
            <w:tcW w:w="3447" w:type="dxa"/>
          </w:tcPr>
          <w:p w14:paraId="0A628515" w14:textId="77777777" w:rsidR="004D556D" w:rsidRPr="000F6CD1" w:rsidRDefault="004D556D" w:rsidP="00A677C9">
            <w:pPr>
              <w:pStyle w:val="H5"/>
              <w:spacing w:before="240" w:after="240"/>
              <w:rPr>
                <w:b w:val="0"/>
              </w:rPr>
            </w:pPr>
            <w:r w:rsidRPr="000F6CD1">
              <w:rPr>
                <w:b w:val="0"/>
                <w:bCs w:val="0"/>
              </w:rPr>
              <w:t>Cannot access AT-HM</w:t>
            </w:r>
          </w:p>
        </w:tc>
        <w:tc>
          <w:tcPr>
            <w:tcW w:w="3447" w:type="dxa"/>
          </w:tcPr>
          <w:p w14:paraId="00981B93" w14:textId="77777777" w:rsidR="004D556D" w:rsidRPr="000F6CD1" w:rsidRDefault="004D556D" w:rsidP="00A677C9">
            <w:pPr>
              <w:pStyle w:val="H5"/>
              <w:spacing w:before="240" w:after="240"/>
            </w:pPr>
          </w:p>
        </w:tc>
      </w:tr>
    </w:tbl>
    <w:p w14:paraId="042C4C4A" w14:textId="38A34798" w:rsidR="004D556D" w:rsidRPr="000F6CD1" w:rsidRDefault="004D556D" w:rsidP="00A677C9">
      <w:pPr>
        <w:pStyle w:val="H5"/>
        <w:spacing w:before="240" w:after="240" w:line="240" w:lineRule="auto"/>
      </w:pPr>
    </w:p>
    <w:p w14:paraId="32776A42" w14:textId="77777777" w:rsidR="004D556D" w:rsidRPr="000F6CD1" w:rsidRDefault="004D556D" w:rsidP="006647CE">
      <w:pPr>
        <w:pStyle w:val="h2"/>
      </w:pPr>
      <w:bookmarkStart w:id="499" w:name="_Toc198813685"/>
      <w:bookmarkStart w:id="500" w:name="_Toc204329568"/>
      <w:bookmarkStart w:id="501" w:name="_Toc209188999"/>
      <w:bookmarkStart w:id="502" w:name="_Toc233282459"/>
      <w:r w:rsidRPr="000F6CD1">
        <w:t>Commonwealth Home Support Program (CHSP</w:t>
      </w:r>
      <w:bookmarkEnd w:id="499"/>
      <w:r w:rsidRPr="000F6CD1">
        <w:t>)</w:t>
      </w:r>
      <w:bookmarkEnd w:id="500"/>
      <w:bookmarkEnd w:id="501"/>
      <w:bookmarkEnd w:id="502"/>
    </w:p>
    <w:p w14:paraId="2A34225F" w14:textId="77777777" w:rsidR="004D556D" w:rsidRPr="000F6CD1" w:rsidRDefault="004D556D" w:rsidP="000279E2">
      <w:pPr>
        <w:autoSpaceDE w:val="0"/>
        <w:autoSpaceDN w:val="0"/>
        <w:adjustRightInd w:val="0"/>
        <w:spacing w:after="0" w:line="240" w:lineRule="auto"/>
      </w:pPr>
      <w:r w:rsidRPr="000F6CD1">
        <w:t xml:space="preserve">The CHSP is a grant funded program suitable for people who can live independently at home but </w:t>
      </w:r>
      <w:r w:rsidRPr="000F6CD1" w:rsidDel="005C0B6A">
        <w:t>need small amounts</w:t>
      </w:r>
      <w:r w:rsidRPr="000F6CD1">
        <w:t xml:space="preserve"> of entry-level support to do so. CHSP is not designed for people with intensive or complex care needs. People with higher needs are supported through other aged care programs such as the Support at Home program</w:t>
      </w:r>
      <w:r w:rsidRPr="000F6CD1" w:rsidDel="00261894">
        <w:t xml:space="preserve"> </w:t>
      </w:r>
      <w:r w:rsidRPr="000F6CD1">
        <w:t xml:space="preserve">or residential aged care. </w:t>
      </w:r>
    </w:p>
    <w:p w14:paraId="2D17596D" w14:textId="3FDA3404" w:rsidR="004D556D" w:rsidRPr="000F6CD1" w:rsidRDefault="004D556D" w:rsidP="00AC252D">
      <w:pPr>
        <w:spacing w:before="240" w:after="240" w:line="240" w:lineRule="auto"/>
      </w:pPr>
      <w:r w:rsidRPr="000F6CD1">
        <w:t xml:space="preserve">The CHSP operates under the </w:t>
      </w:r>
      <w:r w:rsidRPr="000F6CD1">
        <w:rPr>
          <w:i/>
        </w:rPr>
        <w:t xml:space="preserve">Aged Care Act 2024 </w:t>
      </w:r>
      <w:r w:rsidRPr="000F6CD1">
        <w:t>(the Act)</w:t>
      </w:r>
      <w:r w:rsidRPr="000F6CD1">
        <w:rPr>
          <w:iCs/>
        </w:rPr>
        <w:t>.</w:t>
      </w:r>
      <w:r w:rsidRPr="000F6CD1">
        <w:t xml:space="preserve"> </w:t>
      </w:r>
      <w:r w:rsidRPr="000F6CD1">
        <w:rPr>
          <w:iCs/>
        </w:rPr>
        <w:t>I</w:t>
      </w:r>
      <w:r w:rsidRPr="000F6CD1">
        <w:t xml:space="preserve">ndividuals </w:t>
      </w:r>
      <w:r w:rsidRPr="000F6CD1">
        <w:rPr>
          <w:iCs/>
        </w:rPr>
        <w:t xml:space="preserve">seeking CHSP services, even if they are time-limited such as urgent services, </w:t>
      </w:r>
      <w:r w:rsidRPr="000F6CD1">
        <w:t>must meet the eligibility criteria under section 58 of the Act to be assessed for aged care services</w:t>
      </w:r>
      <w:r w:rsidRPr="000F6CD1">
        <w:rPr>
          <w:iCs/>
        </w:rPr>
        <w:t xml:space="preserve"> and then </w:t>
      </w:r>
      <w:r w:rsidRPr="000F6CD1">
        <w:t xml:space="preserve">meet the eligibility requirements for CHSP as specified in the Act and </w:t>
      </w:r>
      <w:r w:rsidRPr="00BD0F1D">
        <w:rPr>
          <w:i/>
          <w:iCs/>
        </w:rPr>
        <w:t>Aged Care Rules 2025.</w:t>
      </w:r>
      <w:r w:rsidRPr="000F6CD1">
        <w:t xml:space="preserve"> </w:t>
      </w:r>
    </w:p>
    <w:p w14:paraId="73CE65F0" w14:textId="77777777" w:rsidR="004D556D" w:rsidRPr="000F6CD1" w:rsidRDefault="004D556D" w:rsidP="00A677C9">
      <w:pPr>
        <w:spacing w:before="240" w:after="240" w:line="240" w:lineRule="auto"/>
      </w:pPr>
      <w:r w:rsidRPr="000F6CD1">
        <w:t>CHSP will transition to Support at Home no earlier than 1 July 2027.</w:t>
      </w:r>
    </w:p>
    <w:p w14:paraId="5029A2FF" w14:textId="77777777" w:rsidR="004D556D" w:rsidRPr="000F6CD1" w:rsidRDefault="004D556D" w:rsidP="00A677C9">
      <w:pPr>
        <w:spacing w:before="240" w:after="240" w:line="240" w:lineRule="auto"/>
      </w:pPr>
      <w:r w:rsidRPr="000F6CD1">
        <w:t>The service catalogue for CHSP is closely aligned with the Support at Home list. See the CHSP service catalogue for further information.</w:t>
      </w:r>
    </w:p>
    <w:tbl>
      <w:tblPr>
        <w:tblStyle w:val="TableGrid"/>
        <w:tblW w:w="0" w:type="auto"/>
        <w:tblLook w:val="04A0" w:firstRow="1" w:lastRow="0" w:firstColumn="1" w:lastColumn="0" w:noHBand="0" w:noVBand="1"/>
      </w:tblPr>
      <w:tblGrid>
        <w:gridCol w:w="988"/>
        <w:gridCol w:w="8028"/>
      </w:tblGrid>
      <w:tr w:rsidR="004D556D" w:rsidRPr="000F6CD1" w14:paraId="2D6C4FB1" w14:textId="77777777">
        <w:tc>
          <w:tcPr>
            <w:tcW w:w="988" w:type="dxa"/>
          </w:tcPr>
          <w:p w14:paraId="685EDF62" w14:textId="77777777" w:rsidR="004D556D" w:rsidRPr="000F6CD1" w:rsidRDefault="004D556D" w:rsidP="00A677C9">
            <w:pPr>
              <w:spacing w:before="240" w:after="240"/>
            </w:pPr>
            <w:r w:rsidRPr="000F6CD1">
              <w:rPr>
                <w:noProof/>
              </w:rPr>
              <w:drawing>
                <wp:inline distT="0" distB="0" distL="0" distR="0" wp14:anchorId="5C941FD5" wp14:editId="42055316">
                  <wp:extent cx="383111" cy="381000"/>
                  <wp:effectExtent l="0" t="0" r="0" b="0"/>
                  <wp:docPr id="1327074461" name="Picture 132707446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4461" name="Picture 1327074461"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1AACAF23" w14:textId="77777777" w:rsidR="004D556D" w:rsidRPr="000F6CD1" w:rsidRDefault="004D556D" w:rsidP="00A677C9">
            <w:pPr>
              <w:spacing w:before="240" w:after="240"/>
            </w:pPr>
            <w:hyperlink r:id="rId182">
              <w:r w:rsidRPr="000F6CD1">
                <w:rPr>
                  <w:rStyle w:val="Hyperlink"/>
                </w:rPr>
                <w:t>CHSP service catalogue 2025-2027</w:t>
              </w:r>
            </w:hyperlink>
          </w:p>
          <w:p w14:paraId="6DC780D8" w14:textId="77777777" w:rsidR="004D556D" w:rsidRPr="000F6CD1" w:rsidRDefault="004D556D" w:rsidP="00A677C9">
            <w:pPr>
              <w:spacing w:before="240" w:after="240"/>
            </w:pPr>
            <w:hyperlink r:id="rId183" w:history="1">
              <w:r w:rsidRPr="000F6CD1">
                <w:rPr>
                  <w:rStyle w:val="Hyperlink"/>
                </w:rPr>
                <w:t>Commonwealth Home Support Program (CHSP) 2025–27 Manual (from 1 November 2025) | Australian Government Department of Health, Disability and Ageing</w:t>
              </w:r>
            </w:hyperlink>
          </w:p>
          <w:p w14:paraId="19A6C1FA" w14:textId="77777777" w:rsidR="004D556D" w:rsidRPr="000F6CD1" w:rsidRDefault="004D556D" w:rsidP="00BB3081">
            <w:pPr>
              <w:spacing w:before="240" w:after="240"/>
            </w:pPr>
          </w:p>
        </w:tc>
      </w:tr>
    </w:tbl>
    <w:p w14:paraId="2F39F1CC" w14:textId="77777777" w:rsidR="004D556D" w:rsidRPr="000F6CD1" w:rsidRDefault="004D556D" w:rsidP="00AD2CE5">
      <w:pPr>
        <w:pStyle w:val="H3"/>
      </w:pPr>
      <w:bookmarkStart w:id="503" w:name="_Hlk169010002"/>
      <w:bookmarkStart w:id="504" w:name="_Toc191373553"/>
      <w:bookmarkStart w:id="505" w:name="_Toc192861497"/>
      <w:r w:rsidRPr="000F6CD1">
        <w:t>Care Finder program and Elder Care Support program participants</w:t>
      </w:r>
    </w:p>
    <w:bookmarkEnd w:id="503"/>
    <w:p w14:paraId="5CFDF74C" w14:textId="77777777" w:rsidR="004D556D" w:rsidRPr="000F6CD1" w:rsidRDefault="004D556D" w:rsidP="00A677C9">
      <w:pPr>
        <w:spacing w:before="240" w:after="240" w:line="240" w:lineRule="auto"/>
      </w:pPr>
      <w:r w:rsidRPr="000F6CD1">
        <w:t xml:space="preserve">Clients in the Care Finder program and Elder Care Support program may be eligible for CHSP services that help to avoid homelessness or reduce the impact of homelessness. To access these CHSP services, clients must meet the eligibility </w:t>
      </w:r>
      <w:r w:rsidRPr="000F6CD1" w:rsidDel="00BB3081">
        <w:t>requirements</w:t>
      </w:r>
      <w:r w:rsidRPr="000F6CD1">
        <w:t xml:space="preserve"> under section 58 of the </w:t>
      </w:r>
      <w:r w:rsidRPr="000F6CD1">
        <w:rPr>
          <w:i/>
          <w:iCs/>
        </w:rPr>
        <w:t xml:space="preserve">Aged Care Act 2024 </w:t>
      </w:r>
      <w:r w:rsidRPr="000F6CD1">
        <w:t xml:space="preserve">and </w:t>
      </w:r>
      <w:r w:rsidRPr="000F6CD1">
        <w:rPr>
          <w:iCs/>
        </w:rPr>
        <w:t xml:space="preserve">then </w:t>
      </w:r>
      <w:r w:rsidRPr="000F6CD1">
        <w:t xml:space="preserve">meet the eligibility requirements for CHSP specified in the Act and </w:t>
      </w:r>
      <w:r w:rsidRPr="00BD0F1D">
        <w:rPr>
          <w:i/>
          <w:iCs/>
        </w:rPr>
        <w:t>Aged Care Rules 2025</w:t>
      </w:r>
      <w:r w:rsidRPr="000F6CD1">
        <w:t xml:space="preserve">. </w:t>
      </w:r>
    </w:p>
    <w:tbl>
      <w:tblPr>
        <w:tblStyle w:val="TableGrid"/>
        <w:tblW w:w="0" w:type="auto"/>
        <w:tblLook w:val="04A0" w:firstRow="1" w:lastRow="0" w:firstColumn="1" w:lastColumn="0" w:noHBand="0" w:noVBand="1"/>
      </w:tblPr>
      <w:tblGrid>
        <w:gridCol w:w="988"/>
        <w:gridCol w:w="8028"/>
      </w:tblGrid>
      <w:tr w:rsidR="004D556D" w:rsidRPr="000F6CD1" w14:paraId="08E3CFF8" w14:textId="77777777">
        <w:tc>
          <w:tcPr>
            <w:tcW w:w="988" w:type="dxa"/>
          </w:tcPr>
          <w:p w14:paraId="160516CC" w14:textId="3492E81F" w:rsidR="004D556D" w:rsidRPr="000F6CD1" w:rsidRDefault="004D556D" w:rsidP="00A677C9">
            <w:pPr>
              <w:spacing w:before="240" w:after="240"/>
            </w:pPr>
            <w:r w:rsidRPr="000F6CD1">
              <w:rPr>
                <w:noProof/>
              </w:rPr>
              <w:drawing>
                <wp:inline distT="0" distB="0" distL="0" distR="0" wp14:anchorId="4BC05E46" wp14:editId="5857F4F2">
                  <wp:extent cx="383111" cy="381000"/>
                  <wp:effectExtent l="0" t="0" r="0" b="0"/>
                  <wp:docPr id="197344727" name="Picture 19734472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4727" name="Picture 197344727"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5C485112" w14:textId="77777777" w:rsidR="004D556D" w:rsidRPr="000F6CD1" w:rsidRDefault="004D556D" w:rsidP="00A677C9">
            <w:pPr>
              <w:spacing w:before="240" w:after="240"/>
              <w:rPr>
                <w:color w:val="2BB1BB"/>
              </w:rPr>
            </w:pPr>
            <w:hyperlink r:id="rId184">
              <w:r w:rsidRPr="000F6CD1">
                <w:rPr>
                  <w:rStyle w:val="Hyperlink"/>
                </w:rPr>
                <w:t>Elder Care Support program</w:t>
              </w:r>
            </w:hyperlink>
          </w:p>
          <w:p w14:paraId="5D5B0BE2" w14:textId="77777777" w:rsidR="004D556D" w:rsidRPr="000F6CD1" w:rsidRDefault="004D556D" w:rsidP="00A677C9">
            <w:pPr>
              <w:spacing w:before="240" w:after="240"/>
            </w:pPr>
            <w:hyperlink r:id="rId185" w:anchor="who-can-use-the-care-finder-service">
              <w:r w:rsidRPr="000F6CD1">
                <w:rPr>
                  <w:rStyle w:val="Hyperlink"/>
                </w:rPr>
                <w:t>Care Finders program</w:t>
              </w:r>
            </w:hyperlink>
          </w:p>
        </w:tc>
      </w:tr>
    </w:tbl>
    <w:p w14:paraId="26AE2208" w14:textId="61EC52E5" w:rsidR="004D556D" w:rsidRPr="000F6CD1" w:rsidRDefault="004D4281" w:rsidP="00AD2CE5">
      <w:pPr>
        <w:pStyle w:val="H3"/>
        <w:rPr>
          <w:i/>
        </w:rPr>
      </w:pPr>
      <w:r>
        <w:lastRenderedPageBreak/>
        <w:drawing>
          <wp:anchor distT="0" distB="0" distL="114300" distR="114300" simplePos="0" relativeHeight="251658273" behindDoc="0" locked="0" layoutInCell="1" allowOverlap="1" wp14:anchorId="7568C111" wp14:editId="4235182C">
            <wp:simplePos x="0" y="0"/>
            <wp:positionH relativeFrom="margin">
              <wp:align>left</wp:align>
            </wp:positionH>
            <wp:positionV relativeFrom="margin">
              <wp:posOffset>6985</wp:posOffset>
            </wp:positionV>
            <wp:extent cx="365792" cy="403895"/>
            <wp:effectExtent l="0" t="0" r="0" b="0"/>
            <wp:wrapSquare wrapText="bothSides"/>
            <wp:docPr id="1116873530"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73530"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 xml:space="preserve">Access to CHSP services </w:t>
      </w:r>
    </w:p>
    <w:p w14:paraId="015C4495" w14:textId="324CDB29" w:rsidR="004D556D" w:rsidRPr="000F6CD1" w:rsidRDefault="004D556D" w:rsidP="0013012B">
      <w:pPr>
        <w:pStyle w:val="ListParagraph"/>
        <w:numPr>
          <w:ilvl w:val="0"/>
          <w:numId w:val="183"/>
        </w:numPr>
        <w:spacing w:before="240" w:after="240" w:line="240" w:lineRule="auto"/>
      </w:pPr>
      <w:r w:rsidRPr="000F6CD1">
        <w:t xml:space="preserve">An older person seeking CHSP services must be approved through an aged care needs assessment. </w:t>
      </w:r>
    </w:p>
    <w:p w14:paraId="4BBFBA08" w14:textId="135FEBF8" w:rsidR="004D556D" w:rsidRPr="000F6CD1" w:rsidRDefault="004D556D" w:rsidP="00DF3F6B">
      <w:pPr>
        <w:pStyle w:val="ListParagraph"/>
        <w:numPr>
          <w:ilvl w:val="0"/>
          <w:numId w:val="183"/>
        </w:numPr>
        <w:spacing w:before="240" w:after="240" w:line="240" w:lineRule="auto"/>
      </w:pPr>
      <w:r w:rsidRPr="000F6CD1">
        <w:t>Once the assessment has been finalised, based on the information entered into the IAT, the My Aged Care assessor portal or Aged Care Assessor App will indicate whether the client requires CHSP or Support at Home (SAH) services.</w:t>
      </w:r>
    </w:p>
    <w:p w14:paraId="15509DB3" w14:textId="3A4B3F55" w:rsidR="004D556D" w:rsidRPr="000F6CD1" w:rsidRDefault="004D556D" w:rsidP="00F7179F">
      <w:pPr>
        <w:pStyle w:val="ListParagraph"/>
        <w:numPr>
          <w:ilvl w:val="0"/>
          <w:numId w:val="183"/>
        </w:numPr>
        <w:spacing w:before="240" w:after="240" w:line="240" w:lineRule="auto"/>
        <w:ind w:left="709"/>
      </w:pPr>
      <w:r w:rsidRPr="000F6CD1">
        <w:t xml:space="preserve">If the </w:t>
      </w:r>
      <w:r w:rsidR="00386B7E">
        <w:t>IAT Outcome</w:t>
      </w:r>
      <w:r w:rsidRPr="000F6CD1">
        <w:t xml:space="preserve"> is CHSP, the assessor will proceed to recommend services. </w:t>
      </w:r>
    </w:p>
    <w:p w14:paraId="50BEA455" w14:textId="77777777" w:rsidR="004D556D" w:rsidRPr="000F6CD1" w:rsidRDefault="004D556D" w:rsidP="00DF3F6B">
      <w:pPr>
        <w:pStyle w:val="ListParagraph"/>
        <w:numPr>
          <w:ilvl w:val="0"/>
          <w:numId w:val="183"/>
        </w:numPr>
        <w:spacing w:before="240" w:after="240" w:line="240" w:lineRule="auto"/>
      </w:pPr>
      <w:r w:rsidRPr="000F6CD1">
        <w:t>When assessors also recommend urgent services or periods of time-limited reablement under CHSP, they are requested to record any additional information about the client’s situation in the assessment summary, as comments entered in the My Aged Care assessor portal will not appear on the Support Plan.</w:t>
      </w:r>
    </w:p>
    <w:p w14:paraId="3CB33595" w14:textId="6F382CB3" w:rsidR="004D556D" w:rsidRPr="000F6CD1" w:rsidRDefault="004D556D" w:rsidP="00AC252D">
      <w:pPr>
        <w:pStyle w:val="ListParagraph"/>
        <w:numPr>
          <w:ilvl w:val="1"/>
          <w:numId w:val="183"/>
        </w:numPr>
        <w:spacing w:before="240" w:after="240" w:line="240" w:lineRule="auto"/>
      </w:pPr>
      <w:r w:rsidRPr="000F6CD1">
        <w:t xml:space="preserve">For </w:t>
      </w:r>
      <w:r w:rsidR="00306AB8" w:rsidRPr="000F6CD1">
        <w:t>example,</w:t>
      </w:r>
      <w:r w:rsidRPr="000F6CD1">
        <w:t xml:space="preserve"> “client needs urgent transport services until 28 February 2026 to purchase groceries/attend medical appointments, as they are unable to drive while recovering from acute episode/surgery”. </w:t>
      </w:r>
    </w:p>
    <w:p w14:paraId="421B73C3" w14:textId="0565A73E" w:rsidR="004D556D" w:rsidRPr="000F6CD1" w:rsidRDefault="004D556D" w:rsidP="00DF3F6B">
      <w:pPr>
        <w:pStyle w:val="ListParagraph"/>
        <w:numPr>
          <w:ilvl w:val="0"/>
          <w:numId w:val="183"/>
        </w:numPr>
        <w:spacing w:before="240" w:after="240" w:line="240" w:lineRule="auto"/>
      </w:pPr>
      <w:r w:rsidRPr="000F6CD1">
        <w:t>Urgent service referrals should cease if the CHSP episode is ongoing. The recommendation should explain why ongoing services are needed for the client (e.g., ‘due to an ongoing health condition’). Ensure the explanation is justified, well-evidenced and consistent with the 2025 – 2027 CHSP Manual.</w:t>
      </w:r>
    </w:p>
    <w:p w14:paraId="3234E97D" w14:textId="77777777" w:rsidR="004D556D" w:rsidRPr="000F6CD1" w:rsidRDefault="004D556D" w:rsidP="0088174B">
      <w:pPr>
        <w:pStyle w:val="ListParagraph"/>
        <w:numPr>
          <w:ilvl w:val="0"/>
          <w:numId w:val="479"/>
        </w:numPr>
        <w:spacing w:before="240" w:after="240" w:line="240" w:lineRule="auto"/>
      </w:pPr>
      <w:r w:rsidRPr="000F6CD1">
        <w:t>If there is a significant change in the client’s needs, they should be reassessed to determine if they should continue accessing services through CHSP or are</w:t>
      </w:r>
      <w:r w:rsidRPr="000F6CD1" w:rsidDel="00902FAA">
        <w:t xml:space="preserve"> </w:t>
      </w:r>
      <w:r w:rsidRPr="000F6CD1">
        <w:t>better suited to Support at Home.</w:t>
      </w:r>
    </w:p>
    <w:p w14:paraId="32EE3E99" w14:textId="77777777" w:rsidR="004D556D" w:rsidRPr="000F6CD1" w:rsidRDefault="004D556D" w:rsidP="0088174B">
      <w:pPr>
        <w:pStyle w:val="ListParagraph"/>
        <w:numPr>
          <w:ilvl w:val="0"/>
          <w:numId w:val="479"/>
        </w:numPr>
        <w:spacing w:before="240" w:after="240" w:line="240" w:lineRule="auto"/>
      </w:pPr>
      <w:r w:rsidRPr="000F6CD1">
        <w:t xml:space="preserve">There are some existing CHSP clients who have never been assessed for services. This includes clients who have been ‘grandfathered’ into the CHSP from previous programs. It is a requirement for all clients to be referred for an assessment, even if they are already accessing CHSP services. These CHSP clients need to be directed to contact My Aged Care or their provider and be referred for an assessment to continue receiving services if eligible. </w:t>
      </w:r>
    </w:p>
    <w:p w14:paraId="78E4336B" w14:textId="56E56D45" w:rsidR="004D556D" w:rsidRPr="000F6CD1" w:rsidRDefault="004D556D" w:rsidP="0088174B">
      <w:pPr>
        <w:pStyle w:val="ListParagraph"/>
        <w:numPr>
          <w:ilvl w:val="0"/>
          <w:numId w:val="479"/>
        </w:numPr>
        <w:spacing w:before="240" w:after="240" w:line="240" w:lineRule="auto"/>
      </w:pPr>
      <w:r w:rsidRPr="000F6CD1">
        <w:t xml:space="preserve">Unassessed clients, including those who choose not to be assessed, need to move to full fee-for-service arrangements if they wish to continue accessing aged care services. </w:t>
      </w:r>
    </w:p>
    <w:p w14:paraId="659586C8" w14:textId="77777777" w:rsidR="004D556D" w:rsidRPr="00FF5653" w:rsidRDefault="004D556D" w:rsidP="0088174B">
      <w:pPr>
        <w:pStyle w:val="ListParagraph"/>
        <w:numPr>
          <w:ilvl w:val="0"/>
          <w:numId w:val="479"/>
        </w:numPr>
        <w:spacing w:before="240" w:after="240" w:line="240" w:lineRule="auto"/>
        <w:rPr>
          <w:u w:val="single"/>
        </w:rPr>
      </w:pPr>
      <w:r w:rsidRPr="00FF5653">
        <w:rPr>
          <w:u w:val="single"/>
        </w:rPr>
        <w:t xml:space="preserve">If the client has pre-existing CHSP referrals in My Aged Care, and those services are approved in an assessment, the </w:t>
      </w:r>
      <w:r w:rsidRPr="00FF5653">
        <w:rPr>
          <w:b/>
          <w:u w:val="single"/>
        </w:rPr>
        <w:t xml:space="preserve">referrals must be reissued by the assessor. </w:t>
      </w:r>
    </w:p>
    <w:p w14:paraId="34608AB0" w14:textId="1671E6D7" w:rsidR="004D556D" w:rsidRPr="000F6CD1" w:rsidRDefault="004D556D" w:rsidP="00B4136D">
      <w:pPr>
        <w:pStyle w:val="Boxwithcolouredkeyline"/>
        <w:shd w:val="clear" w:color="auto" w:fill="F2F2F2" w:themeFill="background1" w:themeFillShade="F2"/>
      </w:pPr>
      <w:r w:rsidRPr="003044E1">
        <w:t>Note</w:t>
      </w:r>
      <w:r w:rsidRPr="000F6CD1">
        <w:rPr>
          <w:b/>
        </w:rPr>
        <w:t>:</w:t>
      </w:r>
      <w:r w:rsidRPr="000F6CD1">
        <w:t xml:space="preserve"> Assessors cannot issue CHSP referral codes until </w:t>
      </w:r>
      <w:r w:rsidRPr="000F6CD1">
        <w:rPr>
          <w:i/>
        </w:rPr>
        <w:t>after</w:t>
      </w:r>
      <w:r w:rsidRPr="000F6CD1">
        <w:t xml:space="preserve"> the assessment delegate has approved the recommendation. This is because all CHSP services require assessment delegate approval.</w:t>
      </w:r>
    </w:p>
    <w:bookmarkEnd w:id="504"/>
    <w:bookmarkEnd w:id="505"/>
    <w:p w14:paraId="76B54838" w14:textId="77777777" w:rsidR="004D556D" w:rsidRPr="000F6CD1" w:rsidRDefault="004D556D" w:rsidP="00A14157"/>
    <w:p w14:paraId="23A074B9" w14:textId="77777777" w:rsidR="004D556D" w:rsidRPr="000F6CD1" w:rsidRDefault="004D556D" w:rsidP="00AD2CE5">
      <w:pPr>
        <w:pStyle w:val="H3"/>
      </w:pPr>
      <w:bookmarkStart w:id="506" w:name="_Ref232604770"/>
      <w:r w:rsidRPr="000F6CD1">
        <w:t>Hoarding &amp; squalor assistance</w:t>
      </w:r>
      <w:bookmarkEnd w:id="506"/>
    </w:p>
    <w:p w14:paraId="5DAA91BB" w14:textId="759E2016" w:rsidR="004D556D" w:rsidRPr="000F6CD1" w:rsidRDefault="004D556D" w:rsidP="00A14157">
      <w:pPr>
        <w:spacing w:before="240" w:after="240" w:line="240" w:lineRule="auto"/>
      </w:pPr>
      <w:r w:rsidRPr="000F6CD1">
        <w:t xml:space="preserve">Hoarding and squalor assistance aims to support clients who are experiencing symptoms of hoarding disorder or are living in severe domestic squalor. Under the CHSP it is intended these services are accessed by individuals on a low income, who are living with hoarding behaviour or in squalid conditions, and are at risk of homelessness. </w:t>
      </w:r>
    </w:p>
    <w:p w14:paraId="73A5996F" w14:textId="32006CED" w:rsidR="007264A3" w:rsidRDefault="004D556D" w:rsidP="00A14157">
      <w:pPr>
        <w:rPr>
          <w:color w:val="000000"/>
        </w:rPr>
      </w:pPr>
      <w:r w:rsidRPr="000F6CD1">
        <w:rPr>
          <w:color w:val="000000"/>
        </w:rPr>
        <w:t>Note that people under 65 intending to access this service must first meet eligibility requirements under section 58 of the Act and then be assessed for ongoing home support.</w:t>
      </w:r>
    </w:p>
    <w:p w14:paraId="555F9331" w14:textId="77777777" w:rsidR="007264A3" w:rsidRDefault="007264A3">
      <w:pPr>
        <w:rPr>
          <w:color w:val="000000"/>
        </w:rPr>
      </w:pPr>
      <w:r>
        <w:rPr>
          <w:color w:val="000000"/>
        </w:rPr>
        <w:br w:type="page"/>
      </w:r>
    </w:p>
    <w:p w14:paraId="32FC23BF" w14:textId="77777777" w:rsidR="004D556D" w:rsidRPr="00AF6CB1" w:rsidRDefault="004D556D" w:rsidP="00B4136D">
      <w:pPr>
        <w:pStyle w:val="Boxwithcolouredkeyline"/>
        <w:shd w:val="clear" w:color="auto" w:fill="F2F2F2" w:themeFill="background1" w:themeFillShade="F2"/>
      </w:pPr>
      <w:r w:rsidRPr="00AF6CB1">
        <w:lastRenderedPageBreak/>
        <w:t>Note:</w:t>
      </w:r>
    </w:p>
    <w:p w14:paraId="0DF429EF" w14:textId="77777777" w:rsidR="004D556D" w:rsidRPr="000F6CD1" w:rsidRDefault="004D556D" w:rsidP="00B4136D">
      <w:pPr>
        <w:pStyle w:val="Boxwithcolouredkeyline"/>
        <w:shd w:val="clear" w:color="auto" w:fill="F2F2F2" w:themeFill="background1" w:themeFillShade="F2"/>
      </w:pPr>
      <w:r w:rsidRPr="000F6CD1">
        <w:t>New clients that are Aboriginal and Torres Strait Islander people who are 45-49 years old are no longer eligible to access Hoarding and Squalor assistance.</w:t>
      </w:r>
    </w:p>
    <w:p w14:paraId="6AF97D9A" w14:textId="68046152" w:rsidR="004D556D" w:rsidRPr="000F6CD1" w:rsidRDefault="004D556D" w:rsidP="00A14157">
      <w:r w:rsidRPr="000F6CD1">
        <w:rPr>
          <w:color w:val="000000"/>
        </w:rPr>
        <w:t>Older people eligible for hoarding and squalor assistance keep their eligibility indefinitely and do not need reassessment, even after pausing services for years. They can also access other CHSP services aimed at reducing or preventing hoarding and squalor such as domestic assistance</w:t>
      </w:r>
      <w:r w:rsidR="002109B9">
        <w:rPr>
          <w:color w:val="000000"/>
        </w:rPr>
        <w:t>.</w:t>
      </w:r>
      <w:r w:rsidRPr="000F6CD1">
        <w:t> </w:t>
      </w:r>
    </w:p>
    <w:p w14:paraId="00547D9A" w14:textId="77777777" w:rsidR="004D556D" w:rsidRPr="000F6CD1" w:rsidRDefault="004D556D" w:rsidP="00A677C9">
      <w:pPr>
        <w:spacing w:before="240" w:after="240" w:line="240" w:lineRule="auto"/>
      </w:pPr>
      <w:r w:rsidRPr="000F6CD1">
        <w:t>Assessment organisations should work collaboratively with hoarding and squalor assistance service providers to ensure services match the person’s particular circumstances. Services may include:</w:t>
      </w:r>
    </w:p>
    <w:p w14:paraId="44632BC7" w14:textId="77777777" w:rsidR="004D556D" w:rsidRPr="000F6CD1" w:rsidRDefault="004D556D" w:rsidP="007C2D29">
      <w:pPr>
        <w:numPr>
          <w:ilvl w:val="0"/>
          <w:numId w:val="184"/>
        </w:numPr>
        <w:spacing w:before="120" w:after="120" w:line="240" w:lineRule="auto"/>
        <w:ind w:left="714" w:hanging="357"/>
      </w:pPr>
      <w:r w:rsidRPr="000F6CD1">
        <w:t>one-off clean-ups </w:t>
      </w:r>
    </w:p>
    <w:p w14:paraId="2B9338ED" w14:textId="77777777" w:rsidR="004D556D" w:rsidRPr="000F6CD1" w:rsidRDefault="004D556D" w:rsidP="007C2D29">
      <w:pPr>
        <w:numPr>
          <w:ilvl w:val="0"/>
          <w:numId w:val="185"/>
        </w:numPr>
        <w:spacing w:before="120" w:after="120" w:line="240" w:lineRule="auto"/>
        <w:ind w:left="714" w:hanging="357"/>
      </w:pPr>
      <w:r w:rsidRPr="000F6CD1">
        <w:t>developing a client plan and reviewing care plans </w:t>
      </w:r>
    </w:p>
    <w:p w14:paraId="49FBB6D6" w14:textId="77777777" w:rsidR="004D556D" w:rsidRPr="000F6CD1" w:rsidRDefault="004D556D" w:rsidP="007C2D29">
      <w:pPr>
        <w:numPr>
          <w:ilvl w:val="0"/>
          <w:numId w:val="186"/>
        </w:numPr>
        <w:spacing w:before="120" w:after="120" w:line="240" w:lineRule="auto"/>
        <w:ind w:left="714" w:hanging="357"/>
      </w:pPr>
      <w:r w:rsidRPr="000F6CD1">
        <w:t>linking to specialist support services. </w:t>
      </w:r>
    </w:p>
    <w:p w14:paraId="58A2084E" w14:textId="77777777" w:rsidR="004D556D" w:rsidRPr="000F6CD1" w:rsidRDefault="004D556D" w:rsidP="00A677C9">
      <w:pPr>
        <w:spacing w:before="240" w:after="240" w:line="240" w:lineRule="auto"/>
      </w:pPr>
      <w:r w:rsidRPr="000F6CD1">
        <w:t>Aged care assessors may also refer suitable clients identified during the assessment process to care finders for further support. </w:t>
      </w:r>
    </w:p>
    <w:p w14:paraId="5B258CFF" w14:textId="77777777" w:rsidR="004D556D" w:rsidRPr="000F6CD1" w:rsidRDefault="004D556D" w:rsidP="00A677C9">
      <w:pPr>
        <w:spacing w:before="240" w:after="240" w:line="240" w:lineRule="auto"/>
      </w:pPr>
      <w:r w:rsidRPr="000F6CD1">
        <w:t>Where there are significant changes in need or additional services needed, CHSP providers can request a support plan review, which may lead to a reassessment.</w:t>
      </w:r>
    </w:p>
    <w:p w14:paraId="4A9F0BB8" w14:textId="77777777" w:rsidR="004D556D" w:rsidRPr="000F6CD1" w:rsidRDefault="004D556D">
      <w:pPr>
        <w:pStyle w:val="H4"/>
      </w:pPr>
      <w:r w:rsidRPr="000F6CD1">
        <w:t xml:space="preserve">Hoarding and squalor assistance does not include: </w:t>
      </w:r>
    </w:p>
    <w:p w14:paraId="52918010" w14:textId="77777777" w:rsidR="004D556D" w:rsidRPr="000F6CD1" w:rsidRDefault="004D556D" w:rsidP="00DF3F6B">
      <w:pPr>
        <w:pStyle w:val="ListParagraph"/>
        <w:numPr>
          <w:ilvl w:val="0"/>
          <w:numId w:val="187"/>
        </w:numPr>
        <w:spacing w:before="240" w:after="240" w:line="240" w:lineRule="auto"/>
      </w:pPr>
      <w:r w:rsidRPr="000F6CD1">
        <w:t>Assessment (referrals) and advocacy services (financial, legal), unless targeted at avoiding or reducing the impact of hoarding and squalor situations.</w:t>
      </w:r>
    </w:p>
    <w:p w14:paraId="32EAC712" w14:textId="77777777" w:rsidR="004D556D" w:rsidRPr="000F6CD1" w:rsidRDefault="004D556D" w:rsidP="00DF3F6B">
      <w:pPr>
        <w:pStyle w:val="ListParagraph"/>
        <w:numPr>
          <w:ilvl w:val="0"/>
          <w:numId w:val="187"/>
        </w:numPr>
        <w:spacing w:before="240" w:after="240" w:line="240" w:lineRule="auto"/>
      </w:pPr>
      <w:r w:rsidRPr="000F6CD1">
        <w:t>Funding to purchase accommodation for clients.</w:t>
      </w:r>
    </w:p>
    <w:p w14:paraId="73E3CE89" w14:textId="3B36051C" w:rsidR="004D556D" w:rsidRPr="000F6CD1" w:rsidRDefault="00BC2FDD" w:rsidP="003E7BDF">
      <w:pPr>
        <w:spacing w:before="240" w:after="240" w:line="240" w:lineRule="auto"/>
      </w:pPr>
      <w:r w:rsidRPr="000F6CD1">
        <w:rPr>
          <w:bCs/>
          <w:noProof/>
        </w:rPr>
        <w:drawing>
          <wp:anchor distT="0" distB="0" distL="114300" distR="114300" simplePos="0" relativeHeight="251658358" behindDoc="0" locked="0" layoutInCell="1" allowOverlap="1" wp14:anchorId="39786001" wp14:editId="226EDC6A">
            <wp:simplePos x="0" y="0"/>
            <wp:positionH relativeFrom="margin">
              <wp:align>left</wp:align>
            </wp:positionH>
            <wp:positionV relativeFrom="paragraph">
              <wp:posOffset>310515</wp:posOffset>
            </wp:positionV>
            <wp:extent cx="457200" cy="502920"/>
            <wp:effectExtent l="0" t="0" r="0" b="0"/>
            <wp:wrapSquare wrapText="bothSides"/>
            <wp:docPr id="1790382076" name="Picture 1790382076"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Clients do not pay a client contribution towards their Hoarding and squalor services.</w:t>
      </w:r>
    </w:p>
    <w:p w14:paraId="0577452D" w14:textId="77777777" w:rsidR="004D556D" w:rsidRPr="000F6CD1" w:rsidRDefault="004D556D" w:rsidP="00AD2CE5">
      <w:pPr>
        <w:pStyle w:val="H3"/>
        <w:rPr>
          <w:rFonts w:eastAsia="Times New Roman"/>
          <w:color w:val="0F4761"/>
          <w:sz w:val="18"/>
          <w:szCs w:val="18"/>
        </w:rPr>
      </w:pPr>
      <w:r w:rsidRPr="000F6CD1">
        <w:t>Understanding AT and HM under CHSP  </w:t>
      </w:r>
    </w:p>
    <w:p w14:paraId="4BA575EF" w14:textId="4266EC24" w:rsidR="004D556D" w:rsidRPr="000F6CD1" w:rsidRDefault="004D556D" w:rsidP="00A677C9">
      <w:pPr>
        <w:spacing w:before="240" w:after="240" w:line="240" w:lineRule="auto"/>
        <w:textAlignment w:val="baseline"/>
      </w:pPr>
      <w:r w:rsidRPr="000F6CD1">
        <w:t>Equipment and products and Home adjustment services are available to eligible people under the CHSP. An annual subsidy cap applies:</w:t>
      </w:r>
    </w:p>
    <w:p w14:paraId="25AA4092" w14:textId="7036ACB0" w:rsidR="004D556D" w:rsidRPr="000F6CD1" w:rsidRDefault="004D556D" w:rsidP="00864893">
      <w:pPr>
        <w:pStyle w:val="ListParagraph"/>
        <w:numPr>
          <w:ilvl w:val="0"/>
          <w:numId w:val="161"/>
        </w:numPr>
        <w:spacing w:before="240" w:after="240" w:line="240" w:lineRule="auto"/>
      </w:pPr>
      <w:r w:rsidRPr="000F6CD1">
        <w:t>Equipment and products: low-cost assistive technology and products up to $1,000 per year. </w:t>
      </w:r>
    </w:p>
    <w:p w14:paraId="0F7BE65A" w14:textId="77777777" w:rsidR="004D556D" w:rsidRPr="000F6CD1" w:rsidRDefault="004D556D" w:rsidP="003E37D3">
      <w:pPr>
        <w:pStyle w:val="ListParagraph"/>
        <w:spacing w:before="240" w:after="240" w:line="240" w:lineRule="auto"/>
      </w:pPr>
    </w:p>
    <w:p w14:paraId="1F40BED9" w14:textId="395D7B73" w:rsidR="004D556D" w:rsidRPr="000F6CD1" w:rsidRDefault="004D556D" w:rsidP="00DF3F6B">
      <w:pPr>
        <w:pStyle w:val="ListParagraph"/>
        <w:numPr>
          <w:ilvl w:val="0"/>
          <w:numId w:val="161"/>
        </w:numPr>
        <w:spacing w:before="240" w:after="240" w:line="240" w:lineRule="auto"/>
      </w:pPr>
      <w:r w:rsidRPr="000F6CD1">
        <w:t>Home adjustments:  home modifications up to $15,000 per year. </w:t>
      </w:r>
    </w:p>
    <w:p w14:paraId="11E64E7F" w14:textId="77777777" w:rsidR="004D556D" w:rsidRPr="000F6CD1" w:rsidRDefault="004D556D" w:rsidP="00A677C9">
      <w:pPr>
        <w:spacing w:before="240" w:after="240" w:line="240" w:lineRule="auto"/>
        <w:textAlignment w:val="baseline"/>
      </w:pPr>
      <w:r w:rsidRPr="000F6CD1">
        <w:t>To access these services through the CHSP, eligible people will be approved for: </w:t>
      </w:r>
    </w:p>
    <w:p w14:paraId="4B5E1270" w14:textId="33092779" w:rsidR="004D556D" w:rsidRPr="000F6CD1" w:rsidRDefault="004D556D" w:rsidP="00DF3F6B">
      <w:pPr>
        <w:pStyle w:val="ListParagraph"/>
        <w:numPr>
          <w:ilvl w:val="0"/>
          <w:numId w:val="161"/>
        </w:numPr>
        <w:spacing w:before="240" w:after="240" w:line="240" w:lineRule="auto"/>
      </w:pPr>
      <w:r w:rsidRPr="000F6CD1">
        <w:t>the Home Support Service group with a classification level CHSP class, and </w:t>
      </w:r>
    </w:p>
    <w:p w14:paraId="72F62448" w14:textId="77777777" w:rsidR="004D556D" w:rsidRPr="000F6CD1" w:rsidRDefault="004D556D" w:rsidP="00DF3F6B">
      <w:pPr>
        <w:pStyle w:val="ListParagraph"/>
        <w:numPr>
          <w:ilvl w:val="0"/>
          <w:numId w:val="161"/>
        </w:numPr>
        <w:spacing w:before="240" w:after="240" w:line="240" w:lineRule="auto"/>
      </w:pPr>
      <w:r w:rsidRPr="000F6CD1">
        <w:t>the Assistive technology service group with a classification level of AT CHSP or </w:t>
      </w:r>
    </w:p>
    <w:p w14:paraId="37D96027" w14:textId="1B813F87" w:rsidR="007264A3" w:rsidRDefault="004D556D" w:rsidP="007264A3">
      <w:pPr>
        <w:pStyle w:val="ListParagraph"/>
        <w:numPr>
          <w:ilvl w:val="0"/>
          <w:numId w:val="161"/>
        </w:numPr>
        <w:spacing w:before="240" w:after="240" w:line="240" w:lineRule="auto"/>
      </w:pPr>
      <w:r w:rsidRPr="000F6CD1">
        <w:t>the Home adjustment service group with a classification level of HM CHSP. </w:t>
      </w:r>
    </w:p>
    <w:p w14:paraId="54174364" w14:textId="46AB4EDE" w:rsidR="007264A3" w:rsidRPr="000F6CD1" w:rsidRDefault="007264A3" w:rsidP="007264A3">
      <w:r>
        <w:br w:type="page"/>
      </w:r>
    </w:p>
    <w:p w14:paraId="5174ADE5" w14:textId="40B5A1B3" w:rsidR="004D556D" w:rsidRPr="000F6CD1" w:rsidRDefault="004D556D">
      <w:pPr>
        <w:pStyle w:val="Boxwithcolouredkeyline"/>
        <w:shd w:val="clear" w:color="auto" w:fill="F2F2F2" w:themeFill="background1" w:themeFillShade="F2"/>
        <w:rPr>
          <w:color w:val="000000"/>
        </w:rPr>
      </w:pPr>
      <w:r w:rsidRPr="000F6CD1">
        <w:lastRenderedPageBreak/>
        <w:t>Note</w:t>
      </w:r>
      <w:r w:rsidRPr="000F6CD1">
        <w:rPr>
          <w:bCs/>
        </w:rPr>
        <w:t>:</w:t>
      </w:r>
      <w:r w:rsidRPr="000F6CD1">
        <w:rPr>
          <w:color w:val="000000"/>
        </w:rPr>
        <w:t xml:space="preserve"> Unlike the Support at Home AT-HM scheme, AT and HM services under CHSP are not assigned a funding tier.</w:t>
      </w:r>
    </w:p>
    <w:p w14:paraId="2A7C6F53" w14:textId="214D4180" w:rsidR="004D556D" w:rsidRPr="000F6CD1" w:rsidRDefault="004D556D" w:rsidP="000D7DE9">
      <w:r w:rsidRPr="000F6CD1">
        <w:t> </w:t>
      </w:r>
    </w:p>
    <w:p w14:paraId="3D438070" w14:textId="275CDE46" w:rsidR="004D556D" w:rsidRPr="000F6CD1" w:rsidRDefault="004D556D" w:rsidP="00A677C9">
      <w:pPr>
        <w:spacing w:before="240" w:after="240" w:line="240" w:lineRule="auto"/>
        <w:textAlignment w:val="baseline"/>
      </w:pPr>
      <w:r w:rsidRPr="000F6CD1">
        <w:t>Equipment and products </w:t>
      </w:r>
    </w:p>
    <w:p w14:paraId="61A32FF0" w14:textId="4D9F5A0B" w:rsidR="004D556D" w:rsidRPr="000F6CD1" w:rsidRDefault="004D556D" w:rsidP="00DF3F6B">
      <w:pPr>
        <w:numPr>
          <w:ilvl w:val="0"/>
          <w:numId w:val="181"/>
        </w:numPr>
        <w:spacing w:before="120" w:after="120" w:line="240" w:lineRule="auto"/>
        <w:ind w:left="714" w:hanging="357"/>
        <w:textAlignment w:val="baseline"/>
      </w:pPr>
      <w:r w:rsidRPr="000F6CD1">
        <w:t>Self-care products </w:t>
      </w:r>
    </w:p>
    <w:p w14:paraId="4C730691" w14:textId="75D4295E" w:rsidR="004D556D" w:rsidRPr="000F6CD1" w:rsidRDefault="004D556D" w:rsidP="00DF3F6B">
      <w:pPr>
        <w:numPr>
          <w:ilvl w:val="0"/>
          <w:numId w:val="181"/>
        </w:numPr>
        <w:spacing w:before="120" w:after="120" w:line="240" w:lineRule="auto"/>
        <w:ind w:left="714" w:hanging="357"/>
        <w:textAlignment w:val="baseline"/>
      </w:pPr>
      <w:r w:rsidRPr="000F6CD1">
        <w:t>Mobility products </w:t>
      </w:r>
    </w:p>
    <w:p w14:paraId="73CFD698" w14:textId="15828E01" w:rsidR="004D556D" w:rsidRPr="000F6CD1" w:rsidRDefault="004D556D" w:rsidP="00DF3F6B">
      <w:pPr>
        <w:numPr>
          <w:ilvl w:val="0"/>
          <w:numId w:val="181"/>
        </w:numPr>
        <w:spacing w:before="120" w:after="120" w:line="240" w:lineRule="auto"/>
        <w:ind w:left="714" w:hanging="357"/>
        <w:textAlignment w:val="baseline"/>
      </w:pPr>
      <w:r w:rsidRPr="000F6CD1">
        <w:t>Domestic life products </w:t>
      </w:r>
    </w:p>
    <w:p w14:paraId="076870F8" w14:textId="6EC85BD9" w:rsidR="004D556D" w:rsidRPr="000F6CD1" w:rsidRDefault="004D556D" w:rsidP="00DF3F6B">
      <w:pPr>
        <w:numPr>
          <w:ilvl w:val="0"/>
          <w:numId w:val="181"/>
        </w:numPr>
        <w:spacing w:before="120" w:after="120" w:line="240" w:lineRule="auto"/>
        <w:ind w:left="714" w:hanging="357"/>
        <w:textAlignment w:val="baseline"/>
      </w:pPr>
      <w:r w:rsidRPr="000F6CD1">
        <w:t>Communication and information management products </w:t>
      </w:r>
    </w:p>
    <w:p w14:paraId="4CC2955D" w14:textId="0B63EA60" w:rsidR="004D556D" w:rsidRPr="000F6CD1" w:rsidRDefault="004D556D" w:rsidP="00DF3F6B">
      <w:pPr>
        <w:numPr>
          <w:ilvl w:val="0"/>
          <w:numId w:val="181"/>
        </w:numPr>
        <w:spacing w:before="120" w:after="120" w:line="240" w:lineRule="auto"/>
        <w:ind w:left="714" w:hanging="357"/>
        <w:textAlignment w:val="baseline"/>
      </w:pPr>
      <w:r w:rsidRPr="000F6CD1">
        <w:t>Managing body functions </w:t>
      </w:r>
    </w:p>
    <w:p w14:paraId="5FE8DE42" w14:textId="37273F79" w:rsidR="004D556D" w:rsidRPr="000F6CD1" w:rsidRDefault="004D556D" w:rsidP="00A677C9">
      <w:pPr>
        <w:spacing w:before="240" w:after="240" w:line="240" w:lineRule="auto"/>
        <w:textAlignment w:val="baseline"/>
      </w:pPr>
      <w:r w:rsidRPr="000F6CD1">
        <w:t> Home adjustments </w:t>
      </w:r>
    </w:p>
    <w:p w14:paraId="03A38324" w14:textId="12F98E74" w:rsidR="004D556D" w:rsidRPr="000F6CD1" w:rsidRDefault="004D556D" w:rsidP="00DF3F6B">
      <w:pPr>
        <w:pStyle w:val="ListParagraph"/>
        <w:numPr>
          <w:ilvl w:val="0"/>
          <w:numId w:val="182"/>
        </w:numPr>
        <w:spacing w:before="240" w:after="240" w:line="240" w:lineRule="auto"/>
        <w:textAlignment w:val="baseline"/>
      </w:pPr>
      <w:r w:rsidRPr="000F6CD1">
        <w:t>Home modifications </w:t>
      </w:r>
    </w:p>
    <w:p w14:paraId="32EAA48A" w14:textId="709F058D" w:rsidR="004D556D" w:rsidRPr="000F6CD1" w:rsidRDefault="004D556D" w:rsidP="00AD2CE5">
      <w:pPr>
        <w:pStyle w:val="H3"/>
      </w:pPr>
      <w:r w:rsidRPr="000F6CD1">
        <w:t> </w:t>
      </w:r>
      <w:bookmarkStart w:id="507" w:name="_Ref212738069"/>
      <w:r w:rsidRPr="000F6CD1">
        <w:t>Interactions between CHSP and other programs</w:t>
      </w:r>
      <w:bookmarkEnd w:id="507"/>
    </w:p>
    <w:p w14:paraId="6EB71F44" w14:textId="432B242C" w:rsidR="004D556D" w:rsidRPr="000F6CD1" w:rsidRDefault="004D556D" w:rsidP="00A677C9">
      <w:pPr>
        <w:spacing w:before="240" w:after="240" w:line="240" w:lineRule="auto"/>
      </w:pPr>
      <w:r w:rsidRPr="000F6CD1">
        <w:t xml:space="preserve">There are limited circumstances where a person can access CHSP services in addition to other government funded services, detailed in tables 29 and 30 below. </w:t>
      </w:r>
    </w:p>
    <w:p w14:paraId="02376B71" w14:textId="51076960" w:rsidR="004D556D" w:rsidRPr="000F6CD1" w:rsidRDefault="004D556D" w:rsidP="00A677C9">
      <w:pPr>
        <w:spacing w:before="240" w:after="240" w:line="240" w:lineRule="auto"/>
      </w:pPr>
      <w:r w:rsidRPr="000F6CD1">
        <w:t xml:space="preserve">Services should not be duplicative. For example, if a client has access to domestic assistance from the Veterans’ Home Care Program, they cannot access domestic assistance through the CHSP at the same time. </w:t>
      </w:r>
    </w:p>
    <w:p w14:paraId="03E54302" w14:textId="36D3115B" w:rsidR="004D556D" w:rsidRPr="000F6CD1" w:rsidRDefault="004D556D" w:rsidP="02182358">
      <w:pPr>
        <w:spacing w:before="240" w:after="240" w:line="240" w:lineRule="auto"/>
      </w:pPr>
      <w:r w:rsidRPr="000F6CD1">
        <w:t xml:space="preserve">Current CHSP participants can continue to access CHSP services they are already approved for, including Equipment and products and Home adjustments, while </w:t>
      </w:r>
      <w:r w:rsidR="00AF6CB1" w:rsidRPr="000F6CD1">
        <w:t>waiting</w:t>
      </w:r>
      <w:r w:rsidRPr="000F6CD1">
        <w:t xml:space="preserve"> for funding to be approved under the Support at Home AT-HM scheme. Once services are accessed through the AT-HM Scheme, Support at Home participants will no longer be able to access these services under CHSP.</w:t>
      </w:r>
    </w:p>
    <w:p w14:paraId="0D484F1D" w14:textId="5A4D9EBB" w:rsidR="004D556D" w:rsidRPr="000F6CD1" w:rsidRDefault="004039FA" w:rsidP="00A677C9">
      <w:pPr>
        <w:pStyle w:val="Caption"/>
        <w:spacing w:before="240" w:after="240"/>
      </w:pPr>
      <w:r>
        <w:rPr>
          <w:noProof/>
          <w14:ligatures w14:val="standardContextual"/>
        </w:rPr>
        <w:drawing>
          <wp:anchor distT="0" distB="0" distL="114300" distR="114300" simplePos="0" relativeHeight="251658267" behindDoc="0" locked="0" layoutInCell="1" allowOverlap="1" wp14:anchorId="636CCE57" wp14:editId="0EE28542">
            <wp:simplePos x="0" y="0"/>
            <wp:positionH relativeFrom="margin">
              <wp:posOffset>-112735</wp:posOffset>
            </wp:positionH>
            <wp:positionV relativeFrom="margin">
              <wp:posOffset>5699212</wp:posOffset>
            </wp:positionV>
            <wp:extent cx="365792" cy="403895"/>
            <wp:effectExtent l="0" t="0" r="0" b="0"/>
            <wp:wrapSquare wrapText="bothSides"/>
            <wp:docPr id="769747793"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7793"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Table 29. Guide to approving concurrent CHSP services with other government funded programs</w:t>
      </w:r>
    </w:p>
    <w:tbl>
      <w:tblPr>
        <w:tblW w:w="9015" w:type="dxa"/>
        <w:tblLayout w:type="fixed"/>
        <w:tblLook w:val="04A0" w:firstRow="1" w:lastRow="0" w:firstColumn="1" w:lastColumn="0" w:noHBand="0" w:noVBand="1"/>
        <w:tblCaption w:val="Guide to approval for concurrent access to CHSP services with other government funded services"/>
      </w:tblPr>
      <w:tblGrid>
        <w:gridCol w:w="2770"/>
        <w:gridCol w:w="6245"/>
      </w:tblGrid>
      <w:tr w:rsidR="004D556D" w:rsidRPr="000F6CD1" w14:paraId="0861B9B9" w14:textId="77777777">
        <w:trPr>
          <w:trHeight w:val="300"/>
          <w:tblHeader/>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2A0FC588" w14:textId="77777777" w:rsidR="004D556D" w:rsidRPr="000F6CD1" w:rsidRDefault="004D556D" w:rsidP="00A677C9">
            <w:pPr>
              <w:spacing w:before="240" w:after="240" w:line="240" w:lineRule="auto"/>
              <w:rPr>
                <w:rFonts w:eastAsia="Arial"/>
                <w:b/>
                <w:szCs w:val="22"/>
              </w:rPr>
            </w:pPr>
            <w:r w:rsidRPr="000F6CD1">
              <w:rPr>
                <w:rFonts w:eastAsia="Arial"/>
                <w:b/>
                <w:szCs w:val="22"/>
              </w:rPr>
              <w:t>Program</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3A19BC83" w14:textId="77777777" w:rsidR="004D556D" w:rsidRPr="000F6CD1" w:rsidRDefault="004D556D" w:rsidP="00A677C9">
            <w:pPr>
              <w:spacing w:before="240" w:after="240" w:line="240" w:lineRule="auto"/>
              <w:rPr>
                <w:rFonts w:eastAsia="Arial"/>
                <w:b/>
                <w:szCs w:val="22"/>
              </w:rPr>
            </w:pPr>
            <w:r w:rsidRPr="000F6CD1">
              <w:rPr>
                <w:rFonts w:eastAsia="Arial"/>
                <w:b/>
                <w:szCs w:val="22"/>
              </w:rPr>
              <w:t>Can participant access CHSP services?</w:t>
            </w:r>
          </w:p>
        </w:tc>
      </w:tr>
      <w:tr w:rsidR="004D556D" w:rsidRPr="000F6CD1" w14:paraId="634BDE80" w14:textId="77777777" w:rsidTr="00337D1F">
        <w:trPr>
          <w:trHeight w:val="87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281E904D" w14:textId="7E0FFA75" w:rsidR="004D556D" w:rsidRPr="000F6CD1" w:rsidRDefault="004D556D" w:rsidP="00A677C9">
            <w:pPr>
              <w:spacing w:before="240" w:after="240" w:line="240" w:lineRule="auto"/>
              <w:rPr>
                <w:rFonts w:eastAsia="Arial"/>
                <w:b/>
                <w:bCs/>
                <w:szCs w:val="22"/>
              </w:rPr>
            </w:pPr>
            <w:r w:rsidRPr="000F6CD1">
              <w:rPr>
                <w:b/>
                <w:bCs/>
                <w:color w:val="FFFFFF" w:themeColor="background1"/>
              </w:rPr>
              <w:t>Support at Home participants (including participants who have accepted a Minimum Service Offer)</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3792A640" w14:textId="77777777" w:rsidR="004D556D" w:rsidRPr="000F6CD1" w:rsidRDefault="004D556D" w:rsidP="00A677C9">
            <w:pPr>
              <w:spacing w:before="240" w:after="240" w:line="240" w:lineRule="auto"/>
              <w:rPr>
                <w:rFonts w:eastAsia="Arial"/>
                <w:szCs w:val="22"/>
              </w:rPr>
            </w:pPr>
            <w:r w:rsidRPr="000F6CD1">
              <w:rPr>
                <w:rFonts w:eastAsia="Arial"/>
                <w:szCs w:val="22"/>
              </w:rPr>
              <w:t xml:space="preserve">There are five circumstances where a Support at Home participant can access </w:t>
            </w:r>
            <w:r w:rsidRPr="000D2492">
              <w:rPr>
                <w:rFonts w:eastAsia="Arial"/>
                <w:szCs w:val="22"/>
                <w:u w:val="single"/>
              </w:rPr>
              <w:t>additional services</w:t>
            </w:r>
            <w:r w:rsidRPr="000F6CD1">
              <w:rPr>
                <w:rFonts w:eastAsia="Arial"/>
                <w:szCs w:val="22"/>
              </w:rPr>
              <w:t xml:space="preserve"> through the CHSP. </w:t>
            </w:r>
          </w:p>
          <w:p w14:paraId="1000BBA5" w14:textId="77777777" w:rsidR="004D556D" w:rsidRPr="000F6CD1" w:rsidRDefault="004D556D" w:rsidP="00A677C9">
            <w:pPr>
              <w:spacing w:before="240" w:after="240" w:line="240" w:lineRule="auto"/>
              <w:rPr>
                <w:rFonts w:eastAsia="Arial"/>
                <w:szCs w:val="22"/>
              </w:rPr>
            </w:pPr>
            <w:r w:rsidRPr="000F6CD1">
              <w:rPr>
                <w:rFonts w:eastAsia="Arial"/>
                <w:szCs w:val="22"/>
              </w:rPr>
              <w:t>These are:</w:t>
            </w:r>
          </w:p>
          <w:p w14:paraId="072B6CFB" w14:textId="5AD31252" w:rsidR="004D556D" w:rsidRPr="000F6CD1" w:rsidRDefault="004D556D" w:rsidP="00427F73">
            <w:pPr>
              <w:spacing w:before="240" w:after="0" w:line="240" w:lineRule="auto"/>
              <w:rPr>
                <w:rFonts w:eastAsia="Arial"/>
                <w:szCs w:val="22"/>
              </w:rPr>
            </w:pPr>
            <w:r w:rsidRPr="000F6CD1">
              <w:rPr>
                <w:rFonts w:eastAsia="Arial"/>
                <w:szCs w:val="22"/>
              </w:rPr>
              <w:t>1. Pre-existing CHSP social support group</w:t>
            </w:r>
            <w:r w:rsidRPr="000F6CD1">
              <w:rPr>
                <w:rFonts w:eastAsia="Arial"/>
                <w:szCs w:val="22"/>
              </w:rPr>
              <w:br/>
              <w:t>2. Hoarding and Squalor 3. Cottage respite, Community and centre-based respite and Flexible respite</w:t>
            </w:r>
            <w:r w:rsidRPr="000F6CD1">
              <w:rPr>
                <w:rFonts w:eastAsia="Arial"/>
                <w:szCs w:val="22"/>
              </w:rPr>
              <w:br/>
              <w:t xml:space="preserve">4. Emergency access (this does not include </w:t>
            </w:r>
            <w:r w:rsidRPr="000F6CD1" w:rsidDel="006407AC">
              <w:rPr>
                <w:rFonts w:eastAsia="Arial"/>
                <w:szCs w:val="22"/>
              </w:rPr>
              <w:t xml:space="preserve">equipment and product </w:t>
            </w:r>
            <w:r w:rsidRPr="000F6CD1">
              <w:rPr>
                <w:rFonts w:eastAsia="Arial"/>
                <w:szCs w:val="22"/>
              </w:rPr>
              <w:t>services</w:t>
            </w:r>
            <w:r w:rsidRPr="000F6CD1" w:rsidDel="006407AC">
              <w:rPr>
                <w:rFonts w:eastAsia="Arial"/>
                <w:szCs w:val="22"/>
              </w:rPr>
              <w:t xml:space="preserve"> or home </w:t>
            </w:r>
            <w:r w:rsidRPr="000F6CD1">
              <w:rPr>
                <w:rFonts w:eastAsia="Arial"/>
                <w:szCs w:val="22"/>
              </w:rPr>
              <w:t>adjustments services)</w:t>
            </w:r>
          </w:p>
          <w:p w14:paraId="280089F7" w14:textId="77777777" w:rsidR="004D556D" w:rsidRPr="000F6CD1" w:rsidRDefault="004D556D" w:rsidP="00F776E2">
            <w:pPr>
              <w:pStyle w:val="ListParagraph"/>
              <w:numPr>
                <w:ilvl w:val="0"/>
                <w:numId w:val="511"/>
              </w:numPr>
              <w:spacing w:after="240" w:line="240" w:lineRule="auto"/>
              <w:ind w:left="277" w:hanging="284"/>
              <w:rPr>
                <w:rFonts w:eastAsia="Arial"/>
                <w:szCs w:val="22"/>
              </w:rPr>
            </w:pPr>
            <w:r w:rsidRPr="000F6CD1">
              <w:rPr>
                <w:rFonts w:eastAsia="Arial"/>
                <w:szCs w:val="22"/>
              </w:rPr>
              <w:t xml:space="preserve">Specialised support (Vision advisory services) </w:t>
            </w:r>
            <w:r w:rsidRPr="000F6CD1">
              <w:rPr>
                <w:rFonts w:eastAsia="Arial"/>
                <w:szCs w:val="22"/>
              </w:rPr>
              <w:tab/>
            </w:r>
          </w:p>
          <w:p w14:paraId="37B985B9" w14:textId="77777777" w:rsidR="004D556D" w:rsidRPr="000F6CD1" w:rsidRDefault="004D556D" w:rsidP="00A677C9">
            <w:pPr>
              <w:spacing w:before="240" w:after="240" w:line="240" w:lineRule="auto"/>
              <w:rPr>
                <w:rFonts w:eastAsia="Arial"/>
                <w:szCs w:val="22"/>
              </w:rPr>
            </w:pPr>
          </w:p>
        </w:tc>
      </w:tr>
      <w:tr w:rsidR="004D556D" w:rsidRPr="000F6CD1" w14:paraId="512D8FBB"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70A3BB99" w14:textId="77777777" w:rsidR="004D556D" w:rsidRPr="000F6CD1" w:rsidRDefault="004D556D" w:rsidP="00A677C9">
            <w:pPr>
              <w:spacing w:before="240" w:after="240" w:line="240" w:lineRule="auto"/>
              <w:rPr>
                <w:rFonts w:eastAsia="Arial"/>
                <w:b/>
              </w:rPr>
            </w:pPr>
            <w:r w:rsidRPr="000F6CD1">
              <w:rPr>
                <w:rFonts w:eastAsia="Arial"/>
                <w:b/>
              </w:rPr>
              <w:t>Waiting for a Support at Home place allocation</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5460DA63" w14:textId="510C578D" w:rsidR="004D556D" w:rsidRPr="000F6CD1" w:rsidRDefault="004D556D">
            <w:pPr>
              <w:spacing w:before="240" w:after="240" w:line="240" w:lineRule="auto"/>
              <w:rPr>
                <w:rFonts w:eastAsia="Arial"/>
                <w:szCs w:val="22"/>
              </w:rPr>
            </w:pPr>
            <w:r w:rsidRPr="000F6CD1">
              <w:rPr>
                <w:rFonts w:eastAsia="Arial"/>
                <w:szCs w:val="22"/>
              </w:rPr>
              <w:t xml:space="preserve">A </w:t>
            </w:r>
            <w:r w:rsidRPr="000F6CD1">
              <w:rPr>
                <w:rFonts w:eastAsia="Arial"/>
                <w:b/>
                <w:bCs/>
                <w:szCs w:val="22"/>
              </w:rPr>
              <w:t>current CHSP client</w:t>
            </w:r>
            <w:r w:rsidRPr="000F6CD1">
              <w:rPr>
                <w:rFonts w:eastAsia="Arial"/>
                <w:szCs w:val="22"/>
              </w:rPr>
              <w:t xml:space="preserve"> can continue using approved CHSP services, including equipment and products and home adjustments, while they wait for ongoing Support at Home funding (including Minimum Service Offers) or AT-HM scheme funding. Once services begin through the </w:t>
            </w:r>
            <w:r w:rsidRPr="000F6CD1">
              <w:rPr>
                <w:rFonts w:eastAsia="Arial"/>
                <w:b/>
                <w:bCs/>
                <w:szCs w:val="22"/>
              </w:rPr>
              <w:t xml:space="preserve">AT-HM scheme, </w:t>
            </w:r>
            <w:r w:rsidRPr="000F6CD1">
              <w:rPr>
                <w:rFonts w:eastAsia="Arial"/>
                <w:szCs w:val="22"/>
              </w:rPr>
              <w:t>the individual will no longer be able to access these services through the CHSP. However, they may continue using their other CHSP services until Support at Home ongoing funding is accepted.</w:t>
            </w:r>
          </w:p>
          <w:p w14:paraId="22A6E0E8" w14:textId="7ED2C15B" w:rsidR="004D556D" w:rsidRPr="000F6CD1" w:rsidRDefault="004D556D">
            <w:pPr>
              <w:spacing w:before="240" w:after="240" w:line="240" w:lineRule="auto"/>
              <w:rPr>
                <w:rFonts w:eastAsia="Arial"/>
                <w:szCs w:val="22"/>
              </w:rPr>
            </w:pPr>
            <w:r w:rsidRPr="000F6CD1">
              <w:rPr>
                <w:rFonts w:eastAsia="Arial"/>
                <w:b/>
                <w:bCs/>
                <w:szCs w:val="22"/>
              </w:rPr>
              <w:t xml:space="preserve">New aged care clients </w:t>
            </w:r>
            <w:r w:rsidRPr="000F6CD1">
              <w:rPr>
                <w:rFonts w:eastAsia="Arial"/>
                <w:szCs w:val="22"/>
              </w:rPr>
              <w:t xml:space="preserve">waiting for AT-HM scheme funding, </w:t>
            </w:r>
            <w:r w:rsidRPr="00AA0B64">
              <w:rPr>
                <w:rFonts w:eastAsia="Arial"/>
                <w:b/>
                <w:bCs/>
                <w:szCs w:val="22"/>
              </w:rPr>
              <w:t>and</w:t>
            </w:r>
            <w:r w:rsidRPr="000F6CD1">
              <w:rPr>
                <w:rFonts w:eastAsia="Arial"/>
                <w:szCs w:val="22"/>
              </w:rPr>
              <w:t xml:space="preserve"> are </w:t>
            </w:r>
            <w:r w:rsidRPr="000F6CD1">
              <w:rPr>
                <w:rFonts w:eastAsia="Arial"/>
                <w:b/>
                <w:bCs/>
                <w:szCs w:val="22"/>
              </w:rPr>
              <w:t>not</w:t>
            </w:r>
            <w:r w:rsidRPr="000F6CD1">
              <w:rPr>
                <w:rFonts w:eastAsia="Arial"/>
                <w:szCs w:val="22"/>
              </w:rPr>
              <w:t xml:space="preserve"> approved for CHSP services, cannot access equipment and products or home adjustment services through the CHSP. They will need to access services through the AT-HM scheme.</w:t>
            </w:r>
          </w:p>
          <w:p w14:paraId="30A55152" w14:textId="647CE39F" w:rsidR="004D556D" w:rsidRPr="000F6CD1" w:rsidRDefault="004D556D" w:rsidP="00A677C9">
            <w:pPr>
              <w:spacing w:before="240" w:after="240" w:line="240" w:lineRule="auto"/>
              <w:rPr>
                <w:rFonts w:eastAsia="Arial"/>
                <w:szCs w:val="22"/>
              </w:rPr>
            </w:pPr>
            <w:r w:rsidRPr="000F6CD1">
              <w:rPr>
                <w:rFonts w:eastAsia="Arial"/>
                <w:szCs w:val="22"/>
              </w:rPr>
              <w:t>Urgent equipment and product services, or urgent home adjustments are not available through the CHSP for people approved for Support at Home AT-HM and waiting for funding.</w:t>
            </w:r>
          </w:p>
        </w:tc>
      </w:tr>
      <w:tr w:rsidR="004D556D" w:rsidRPr="000F6CD1" w14:paraId="3D652298" w14:textId="77777777" w:rsidTr="00337D1F">
        <w:trPr>
          <w:trHeight w:val="68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5BEFCF36" w14:textId="77777777" w:rsidR="004D556D" w:rsidRPr="000F6CD1" w:rsidRDefault="004D556D" w:rsidP="00A677C9">
            <w:pPr>
              <w:spacing w:before="240" w:after="240" w:line="240" w:lineRule="auto"/>
              <w:rPr>
                <w:rFonts w:eastAsia="Arial"/>
                <w:b/>
                <w:szCs w:val="22"/>
              </w:rPr>
            </w:pPr>
            <w:r w:rsidRPr="000F6CD1">
              <w:rPr>
                <w:rFonts w:eastAsia="Arial"/>
                <w:b/>
                <w:szCs w:val="22"/>
              </w:rPr>
              <w:t xml:space="preserve">Residential Aged Care </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19ED3DB6" w14:textId="26354665" w:rsidR="004D556D" w:rsidRPr="000F6CD1" w:rsidRDefault="004D556D" w:rsidP="00A677C9">
            <w:pPr>
              <w:spacing w:before="240" w:after="240" w:line="240" w:lineRule="auto"/>
              <w:rPr>
                <w:rFonts w:eastAsia="Arial"/>
                <w:szCs w:val="22"/>
              </w:rPr>
            </w:pPr>
            <w:r w:rsidRPr="000F6CD1">
              <w:rPr>
                <w:rFonts w:eastAsia="Arial"/>
                <w:szCs w:val="22"/>
              </w:rPr>
              <w:t>Approved residents of residential aged care facilities cannot access subsidised CHSP services</w:t>
            </w:r>
          </w:p>
        </w:tc>
      </w:tr>
      <w:tr w:rsidR="004D556D" w:rsidRPr="000F6CD1" w14:paraId="2F75A8A5" w14:textId="77777777" w:rsidTr="00337D1F">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6BECF2E3" w14:textId="77777777" w:rsidR="004D556D" w:rsidRPr="000F6CD1" w:rsidRDefault="004D556D" w:rsidP="00A677C9">
            <w:pPr>
              <w:spacing w:before="240" w:after="240" w:line="240" w:lineRule="auto"/>
              <w:rPr>
                <w:rFonts w:eastAsia="Arial"/>
                <w:b/>
                <w:szCs w:val="22"/>
              </w:rPr>
            </w:pPr>
            <w:r w:rsidRPr="000F6CD1">
              <w:rPr>
                <w:rFonts w:eastAsia="Arial"/>
                <w:b/>
                <w:szCs w:val="22"/>
              </w:rPr>
              <w:t>Disability Support for Older Australians, National Disability Insurance Scheme (NDIS), NATSIFAC Program, Transitional Care Program (TCP) and Veterans’ Home Care Program</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7C2EEE37" w14:textId="310C91D8" w:rsidR="004D556D" w:rsidRPr="00DB1067" w:rsidRDefault="004D556D" w:rsidP="00DB1067">
            <w:pPr>
              <w:rPr>
                <w:color w:val="000000"/>
              </w:rPr>
            </w:pPr>
            <w:r w:rsidRPr="00DB1067">
              <w:rPr>
                <w:color w:val="000000"/>
              </w:rPr>
              <w:t xml:space="preserve">CHSP services are available </w:t>
            </w:r>
            <w:r w:rsidRPr="00DB1067">
              <w:rPr>
                <w:color w:val="000000"/>
                <w:u w:val="single"/>
              </w:rPr>
              <w:t>with a referral for each service</w:t>
            </w:r>
            <w:r w:rsidRPr="00DB1067">
              <w:rPr>
                <w:color w:val="000000"/>
              </w:rPr>
              <w:t xml:space="preserve">, provided that there is </w:t>
            </w:r>
            <w:r w:rsidRPr="00DB1067">
              <w:rPr>
                <w:b/>
                <w:bCs/>
                <w:color w:val="000000"/>
              </w:rPr>
              <w:t>no duplication of services</w:t>
            </w:r>
            <w:r w:rsidRPr="00DB1067">
              <w:rPr>
                <w:color w:val="000000"/>
              </w:rPr>
              <w:t>.</w:t>
            </w:r>
          </w:p>
        </w:tc>
      </w:tr>
    </w:tbl>
    <w:p w14:paraId="4FD394BD" w14:textId="77777777" w:rsidR="004D556D" w:rsidRPr="000F6CD1" w:rsidRDefault="004D556D">
      <w:pPr>
        <w:rPr>
          <w:b/>
          <w:iCs/>
          <w:color w:val="44546A" w:themeColor="text2"/>
          <w:sz w:val="21"/>
          <w:szCs w:val="18"/>
        </w:rPr>
      </w:pPr>
      <w:r w:rsidRPr="000F6CD1">
        <w:br w:type="page"/>
      </w:r>
    </w:p>
    <w:p w14:paraId="02FDE57D" w14:textId="02966198" w:rsidR="004D556D" w:rsidRPr="000F6CD1" w:rsidRDefault="004D556D" w:rsidP="00A677C9">
      <w:pPr>
        <w:pStyle w:val="Caption"/>
        <w:spacing w:before="240" w:after="240"/>
        <w:rPr>
          <w:rFonts w:eastAsia="Arial"/>
          <w:szCs w:val="22"/>
        </w:rPr>
      </w:pPr>
      <w:r w:rsidRPr="000F6CD1">
        <w:lastRenderedPageBreak/>
        <w:t>Table 30. Circumstances when a Support at Home participant can access CHSP services</w:t>
      </w:r>
    </w:p>
    <w:tbl>
      <w:tblPr>
        <w:tblW w:w="9015" w:type="dxa"/>
        <w:tblLayout w:type="fixed"/>
        <w:tblLook w:val="04A0" w:firstRow="1" w:lastRow="0" w:firstColumn="1" w:lastColumn="0" w:noHBand="0" w:noVBand="1"/>
        <w:tblCaption w:val="Circumstances when a Support at Home participant can access CHSP"/>
      </w:tblPr>
      <w:tblGrid>
        <w:gridCol w:w="2770"/>
        <w:gridCol w:w="6245"/>
      </w:tblGrid>
      <w:tr w:rsidR="004D556D" w:rsidRPr="000F6CD1" w14:paraId="1DB4F74D" w14:textId="77777777" w:rsidTr="000A6746">
        <w:trPr>
          <w:trHeight w:val="1395"/>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6159A32E" w14:textId="36C47F6A" w:rsidR="004D556D" w:rsidRPr="000F6CD1" w:rsidRDefault="004D556D" w:rsidP="00A677C9">
            <w:pPr>
              <w:spacing w:before="240" w:after="240" w:line="240" w:lineRule="auto"/>
              <w:rPr>
                <w:rFonts w:eastAsia="Arial"/>
                <w:b/>
                <w:szCs w:val="22"/>
              </w:rPr>
            </w:pPr>
            <w:r w:rsidRPr="000F6CD1">
              <w:rPr>
                <w:rFonts w:eastAsia="Arial"/>
                <w:b/>
                <w:szCs w:val="22"/>
              </w:rPr>
              <w:t>1. Pre-existing CHSP social support group</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46D61373" w14:textId="77777777" w:rsidR="004D556D" w:rsidRPr="000F6CD1" w:rsidRDefault="004D556D" w:rsidP="00A677C9">
            <w:pPr>
              <w:spacing w:before="240" w:after="240" w:line="240" w:lineRule="auto"/>
              <w:rPr>
                <w:rFonts w:eastAsia="Arial"/>
                <w:szCs w:val="22"/>
              </w:rPr>
            </w:pPr>
            <w:r w:rsidRPr="000F6CD1">
              <w:rPr>
                <w:rFonts w:eastAsia="Arial"/>
                <w:szCs w:val="22"/>
              </w:rPr>
              <w:t>Support at Home participants who have transitioned from the CHSP may continue to access their pre-existing CHSP social support group through the social support and community engagement service</w:t>
            </w:r>
            <w:r w:rsidRPr="000F6CD1">
              <w:rPr>
                <w:rFonts w:eastAsia="Arial"/>
                <w:b/>
                <w:szCs w:val="22"/>
              </w:rPr>
              <w:t xml:space="preserve"> </w:t>
            </w:r>
            <w:r w:rsidRPr="000F6CD1">
              <w:rPr>
                <w:rFonts w:eastAsia="Arial"/>
                <w:szCs w:val="22"/>
              </w:rPr>
              <w:t xml:space="preserve">on an ongoing basis to allow the continuity of social relationships. This only applies to participants attending a </w:t>
            </w:r>
            <w:r w:rsidRPr="00DB1067">
              <w:rPr>
                <w:rFonts w:eastAsia="Arial"/>
                <w:b/>
                <w:bCs/>
                <w:szCs w:val="22"/>
              </w:rPr>
              <w:t>pre-existing</w:t>
            </w:r>
            <w:r w:rsidRPr="000F6CD1">
              <w:rPr>
                <w:rFonts w:eastAsia="Arial"/>
                <w:szCs w:val="22"/>
              </w:rPr>
              <w:t xml:space="preserve"> CHSP social support group service. </w:t>
            </w:r>
          </w:p>
        </w:tc>
      </w:tr>
      <w:tr w:rsidR="004D556D" w:rsidRPr="000F6CD1" w14:paraId="04215C4B" w14:textId="77777777" w:rsidTr="00922943">
        <w:trPr>
          <w:trHeight w:val="1918"/>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427FF441" w14:textId="1EBA1A2F" w:rsidR="004D556D" w:rsidRPr="000F6CD1" w:rsidRDefault="004D556D" w:rsidP="00A677C9">
            <w:pPr>
              <w:spacing w:before="240" w:after="240" w:line="240" w:lineRule="auto"/>
              <w:rPr>
                <w:rFonts w:eastAsia="Arial"/>
                <w:b/>
                <w:szCs w:val="22"/>
              </w:rPr>
            </w:pPr>
            <w:r w:rsidRPr="000F6CD1">
              <w:rPr>
                <w:rFonts w:eastAsia="Arial"/>
                <w:b/>
                <w:szCs w:val="22"/>
              </w:rPr>
              <w:t>2. Hoarding and Squalor</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41CA2CB1" w14:textId="4DB64CD0" w:rsidR="004D556D" w:rsidRPr="000F6CD1" w:rsidRDefault="004D556D" w:rsidP="00A677C9">
            <w:pPr>
              <w:spacing w:before="240" w:after="240" w:line="240" w:lineRule="auto"/>
            </w:pPr>
            <w:r w:rsidRPr="000F6CD1">
              <w:rPr>
                <w:rFonts w:eastAsia="Arial"/>
              </w:rPr>
              <w:t>Support at Home participants who are living with hoarding behaviour or in a squalid environment who are at risk of homelessness or unable to receive the aged care supports they need, can access time-limited Hoarding and Squalor services through the CHSP (in addition to their Support at Home funding) via reassessment.</w:t>
            </w:r>
          </w:p>
        </w:tc>
      </w:tr>
      <w:tr w:rsidR="004D556D" w:rsidRPr="000F6CD1" w14:paraId="6F64B2D3"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0EDE627F" w14:textId="77A6370D" w:rsidR="004D556D" w:rsidRPr="000F6CD1" w:rsidRDefault="004D556D" w:rsidP="00A677C9">
            <w:pPr>
              <w:spacing w:before="240" w:after="240" w:line="240" w:lineRule="auto"/>
              <w:rPr>
                <w:rFonts w:eastAsiaTheme="minorHAnsi"/>
                <w:b/>
                <w:bCs/>
                <w:szCs w:val="22"/>
              </w:rPr>
            </w:pPr>
            <w:r w:rsidRPr="000F6CD1">
              <w:rPr>
                <w:b/>
                <w:bCs/>
                <w:szCs w:val="22"/>
              </w:rPr>
              <w:t xml:space="preserve">3. </w:t>
            </w:r>
            <w:bookmarkStart w:id="508" w:name="_Hlk210747347"/>
            <w:r w:rsidRPr="000F6CD1">
              <w:rPr>
                <w:b/>
                <w:bCs/>
                <w:szCs w:val="22"/>
              </w:rPr>
              <w:t>Community and centre-based respite, Flexible respite and Cottage respite</w:t>
            </w:r>
            <w:bookmarkEnd w:id="508"/>
          </w:p>
          <w:p w14:paraId="04754CED" w14:textId="77777777" w:rsidR="004D556D" w:rsidRPr="000F6CD1" w:rsidRDefault="004D556D" w:rsidP="00A677C9">
            <w:pPr>
              <w:spacing w:before="240" w:after="240" w:line="240" w:lineRule="auto"/>
              <w:rPr>
                <w:rFonts w:eastAsia="Arial"/>
                <w:b/>
                <w:szCs w:val="22"/>
              </w:rPr>
            </w:pP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2314C8B6" w14:textId="77777777" w:rsidR="004D556D" w:rsidRPr="000F6CD1" w:rsidRDefault="004D556D" w:rsidP="00A677C9">
            <w:pPr>
              <w:spacing w:before="240" w:after="240" w:line="240" w:lineRule="auto"/>
              <w:rPr>
                <w:rFonts w:eastAsia="Arial"/>
                <w:szCs w:val="22"/>
              </w:rPr>
            </w:pPr>
            <w:r w:rsidRPr="000F6CD1">
              <w:t xml:space="preserve">Support at Home participants may access additional planned respite services through the </w:t>
            </w:r>
            <w:bookmarkStart w:id="509" w:name="_Hlk210747325"/>
            <w:r w:rsidRPr="000F6CD1">
              <w:t xml:space="preserve">Home or community general </w:t>
            </w:r>
            <w:bookmarkEnd w:id="509"/>
            <w:r w:rsidRPr="000F6CD1">
              <w:t>respite service or Community cottage respite.</w:t>
            </w:r>
          </w:p>
        </w:tc>
      </w:tr>
      <w:tr w:rsidR="004D556D" w:rsidRPr="000F6CD1" w14:paraId="683B3234"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052D3826" w14:textId="56BFC341" w:rsidR="004D556D" w:rsidRPr="000F6CD1" w:rsidRDefault="004D556D" w:rsidP="00A677C9">
            <w:pPr>
              <w:spacing w:before="240" w:after="240" w:line="240" w:lineRule="auto"/>
              <w:rPr>
                <w:rFonts w:eastAsia="Arial"/>
                <w:b/>
                <w:szCs w:val="22"/>
              </w:rPr>
            </w:pPr>
            <w:r w:rsidRPr="000F6CD1">
              <w:rPr>
                <w:rFonts w:eastAsia="Arial"/>
                <w:b/>
                <w:szCs w:val="22"/>
              </w:rPr>
              <w:t>4. Urgent services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32CFC812" w14:textId="0CE2C7E1" w:rsidR="004D556D" w:rsidRPr="000F6CD1" w:rsidRDefault="004D556D" w:rsidP="00A677C9">
            <w:pPr>
              <w:spacing w:before="240" w:after="240" w:line="240" w:lineRule="auto"/>
              <w:rPr>
                <w:rFonts w:eastAsia="Arial"/>
              </w:rPr>
            </w:pPr>
            <w:r w:rsidRPr="000F6CD1">
              <w:rPr>
                <w:rFonts w:eastAsia="Arial"/>
              </w:rPr>
              <w:t>In situations where a Support at Home participant has an</w:t>
            </w:r>
            <w:r w:rsidRPr="000F6CD1">
              <w:rPr>
                <w:rFonts w:eastAsia="Arial"/>
                <w:b/>
              </w:rPr>
              <w:t xml:space="preserve"> </w:t>
            </w:r>
            <w:r w:rsidRPr="000F6CD1">
              <w:rPr>
                <w:rFonts w:eastAsia="Arial"/>
              </w:rPr>
              <w:t>urgent and immediate health or safety need, and their individualised budget has been fully allocated or they are waiting for their budget allocation, some additional time-limited CHSP services can be accessed on a short-term basis. This does not include equipment and product services or home adjustments services.</w:t>
            </w:r>
          </w:p>
        </w:tc>
      </w:tr>
      <w:tr w:rsidR="004D556D" w:rsidRPr="000F6CD1" w14:paraId="788EF39C" w14:textId="77777777" w:rsidTr="000A6746">
        <w:trPr>
          <w:trHeight w:val="300"/>
        </w:trPr>
        <w:tc>
          <w:tcPr>
            <w:tcW w:w="2770" w:type="dxa"/>
            <w:tcBorders>
              <w:top w:val="single" w:sz="8" w:space="0" w:color="auto"/>
              <w:left w:val="single" w:sz="8" w:space="0" w:color="auto"/>
              <w:bottom w:val="single" w:sz="8" w:space="0" w:color="auto"/>
              <w:right w:val="single" w:sz="8" w:space="0" w:color="auto"/>
            </w:tcBorders>
            <w:shd w:val="clear" w:color="auto" w:fill="002060"/>
            <w:tcMar>
              <w:left w:w="57" w:type="dxa"/>
              <w:right w:w="57" w:type="dxa"/>
            </w:tcMar>
          </w:tcPr>
          <w:p w14:paraId="4201E2A9" w14:textId="69C8ED2A" w:rsidR="004D556D" w:rsidRPr="000F6CD1" w:rsidRDefault="004D556D" w:rsidP="00A677C9">
            <w:pPr>
              <w:spacing w:before="240" w:after="240" w:line="240" w:lineRule="auto"/>
              <w:rPr>
                <w:rFonts w:eastAsia="Arial"/>
                <w:b/>
              </w:rPr>
            </w:pPr>
            <w:r w:rsidRPr="000F6CD1">
              <w:rPr>
                <w:rFonts w:eastAsia="Arial"/>
                <w:b/>
              </w:rPr>
              <w:t xml:space="preserve">5. Specialised support </w:t>
            </w:r>
            <w:r w:rsidRPr="000F6CD1">
              <w:rPr>
                <w:rFonts w:eastAsia="Arial"/>
                <w:b/>
                <w:bCs/>
              </w:rPr>
              <w:t xml:space="preserve">services </w:t>
            </w:r>
            <w:r w:rsidRPr="000F6CD1">
              <w:rPr>
                <w:rFonts w:eastAsia="Arial"/>
                <w:b/>
              </w:rPr>
              <w:t>(Vision advisory services)</w:t>
            </w:r>
          </w:p>
        </w:tc>
        <w:tc>
          <w:tcPr>
            <w:tcW w:w="6245" w:type="dxa"/>
            <w:tcBorders>
              <w:top w:val="single" w:sz="8" w:space="0" w:color="auto"/>
              <w:left w:val="single" w:sz="8" w:space="0" w:color="auto"/>
              <w:bottom w:val="single" w:sz="8" w:space="0" w:color="auto"/>
              <w:right w:val="single" w:sz="8" w:space="0" w:color="auto"/>
            </w:tcBorders>
            <w:tcMar>
              <w:left w:w="57" w:type="dxa"/>
              <w:right w:w="57" w:type="dxa"/>
            </w:tcMar>
          </w:tcPr>
          <w:p w14:paraId="5D614B34" w14:textId="22B693D1" w:rsidR="004D556D" w:rsidRPr="000F6CD1" w:rsidRDefault="004D556D" w:rsidP="00E85D13">
            <w:pPr>
              <w:spacing w:before="240" w:after="240" w:line="240" w:lineRule="auto"/>
            </w:pPr>
            <w:r w:rsidRPr="000F6CD1">
              <w:t>Support at Home participants may access Vision advisory services under Specialised support services on an ongoing basis to receive the aged care supports they need.</w:t>
            </w:r>
          </w:p>
        </w:tc>
      </w:tr>
    </w:tbl>
    <w:p w14:paraId="413BA560" w14:textId="731AAA4C" w:rsidR="004D556D" w:rsidRPr="000F6CD1" w:rsidRDefault="0005784E" w:rsidP="00AD2CE5">
      <w:pPr>
        <w:pStyle w:val="H3"/>
      </w:pPr>
      <w:r>
        <w:drawing>
          <wp:anchor distT="0" distB="0" distL="114300" distR="114300" simplePos="0" relativeHeight="251658268" behindDoc="0" locked="0" layoutInCell="1" allowOverlap="1" wp14:anchorId="5F07A529" wp14:editId="0A88D76C">
            <wp:simplePos x="0" y="0"/>
            <wp:positionH relativeFrom="margin">
              <wp:align>left</wp:align>
            </wp:positionH>
            <wp:positionV relativeFrom="margin">
              <wp:posOffset>6715125</wp:posOffset>
            </wp:positionV>
            <wp:extent cx="365792" cy="403895"/>
            <wp:effectExtent l="0" t="0" r="0" b="0"/>
            <wp:wrapSquare wrapText="bothSides"/>
            <wp:docPr id="1194904788"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04788"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Recording CHSP classification and Support at Home classification 1 to 8 approvals in the Notice of Decision</w:t>
      </w:r>
    </w:p>
    <w:p w14:paraId="284425B3" w14:textId="49C70F9E" w:rsidR="004D556D" w:rsidRPr="000F6CD1" w:rsidRDefault="004D556D" w:rsidP="00A677C9">
      <w:pPr>
        <w:spacing w:before="240" w:after="240" w:line="240" w:lineRule="auto"/>
        <w:rPr>
          <w:rFonts w:eastAsia="Arial"/>
          <w:szCs w:val="22"/>
        </w:rPr>
      </w:pPr>
      <w:r w:rsidRPr="000F6CD1">
        <w:rPr>
          <w:rFonts w:eastAsia="Arial"/>
          <w:szCs w:val="22"/>
        </w:rPr>
        <w:t xml:space="preserve">For CHSP Ongoing – there is one classification in the system. However, when an individual is approved for CHSP services </w:t>
      </w:r>
      <w:r w:rsidRPr="00097321">
        <w:rPr>
          <w:rFonts w:eastAsia="Arial"/>
          <w:szCs w:val="22"/>
          <w:u w:val="single"/>
        </w:rPr>
        <w:t>alongside</w:t>
      </w:r>
      <w:r w:rsidRPr="000F6CD1">
        <w:rPr>
          <w:rFonts w:eastAsia="Arial"/>
          <w:szCs w:val="22"/>
        </w:rPr>
        <w:t xml:space="preserve"> Support at Home (1 to 8 classification), the older person will </w:t>
      </w:r>
      <w:r w:rsidRPr="000F6CD1">
        <w:rPr>
          <w:rFonts w:eastAsia="Arial"/>
          <w:b/>
          <w:i/>
          <w:szCs w:val="22"/>
        </w:rPr>
        <w:t>only</w:t>
      </w:r>
      <w:r w:rsidRPr="000F6CD1">
        <w:rPr>
          <w:rFonts w:eastAsia="Arial"/>
          <w:szCs w:val="22"/>
        </w:rPr>
        <w:t xml:space="preserve"> be approved for the Support at Home classification. </w:t>
      </w:r>
    </w:p>
    <w:p w14:paraId="63883D9E" w14:textId="17CD6251" w:rsidR="004D556D" w:rsidRPr="000F6CD1" w:rsidRDefault="004D556D" w:rsidP="00A677C9">
      <w:pPr>
        <w:spacing w:before="240" w:after="240" w:line="240" w:lineRule="auto"/>
        <w:rPr>
          <w:rFonts w:eastAsia="Arial"/>
          <w:szCs w:val="22"/>
        </w:rPr>
      </w:pPr>
      <w:r w:rsidRPr="000F6CD1">
        <w:rPr>
          <w:rFonts w:eastAsia="Arial"/>
          <w:szCs w:val="22"/>
        </w:rPr>
        <w:t xml:space="preserve">If an older person is approved for one of the Support at Home classification </w:t>
      </w:r>
      <w:r w:rsidR="001A5CB8" w:rsidRPr="000F6CD1">
        <w:rPr>
          <w:rFonts w:eastAsia="Arial"/>
          <w:szCs w:val="22"/>
        </w:rPr>
        <w:t xml:space="preserve">levels </w:t>
      </w:r>
      <w:r w:rsidR="001A5CB8" w:rsidRPr="001A5CB8">
        <w:rPr>
          <w:rFonts w:eastAsia="Arial"/>
          <w:b/>
          <w:bCs/>
          <w:szCs w:val="22"/>
        </w:rPr>
        <w:t>and</w:t>
      </w:r>
      <w:r w:rsidRPr="001A5CB8">
        <w:rPr>
          <w:rFonts w:eastAsia="Arial"/>
          <w:b/>
          <w:bCs/>
          <w:szCs w:val="22"/>
        </w:rPr>
        <w:t xml:space="preserve"> has not previously </w:t>
      </w:r>
      <w:r w:rsidRPr="000F6CD1">
        <w:rPr>
          <w:rFonts w:eastAsia="Arial"/>
          <w:szCs w:val="22"/>
        </w:rPr>
        <w:t xml:space="preserve">been approved for funded aged care services in the home support service group, they can be referred to a CHSP provider to access approved services while they wait </w:t>
      </w:r>
      <w:r w:rsidRPr="000F6CD1">
        <w:rPr>
          <w:rFonts w:eastAsia="Arial"/>
          <w:szCs w:val="22"/>
        </w:rPr>
        <w:lastRenderedPageBreak/>
        <w:t xml:space="preserve">for the Support at Home place to be allocated, </w:t>
      </w:r>
      <w:r w:rsidRPr="000F6CD1">
        <w:rPr>
          <w:rFonts w:eastAsia="Arial"/>
          <w:b/>
          <w:szCs w:val="22"/>
        </w:rPr>
        <w:t>without</w:t>
      </w:r>
      <w:r w:rsidRPr="000F6CD1">
        <w:rPr>
          <w:rFonts w:eastAsia="Arial"/>
          <w:szCs w:val="22"/>
        </w:rPr>
        <w:t xml:space="preserve"> having an assigned CHSP classification level (CHSP class).  </w:t>
      </w:r>
    </w:p>
    <w:p w14:paraId="7CB0B46E" w14:textId="19D3050C" w:rsidR="004D556D" w:rsidRPr="000F6CD1" w:rsidRDefault="004D556D" w:rsidP="00A677C9">
      <w:pPr>
        <w:spacing w:before="240" w:after="240" w:line="240" w:lineRule="auto"/>
        <w:rPr>
          <w:rFonts w:eastAsia="Arial"/>
        </w:rPr>
      </w:pPr>
      <w:r w:rsidRPr="000F6CD1">
        <w:rPr>
          <w:rFonts w:eastAsia="Arial"/>
        </w:rPr>
        <w:t>See</w:t>
      </w:r>
      <w:r w:rsidRPr="000F6CD1" w:rsidDel="00DD0361">
        <w:rPr>
          <w:rFonts w:eastAsia="Arial"/>
        </w:rPr>
        <w:t xml:space="preserve"> </w:t>
      </w:r>
      <w:r w:rsidRPr="000F6CD1">
        <w:rPr>
          <w:rFonts w:eastAsia="Arial"/>
        </w:rPr>
        <w:fldChar w:fldCharType="begin"/>
      </w:r>
      <w:r w:rsidRPr="000F6CD1">
        <w:rPr>
          <w:rFonts w:eastAsia="Arial"/>
        </w:rPr>
        <w:instrText xml:space="preserve"> REF _Ref212738069 \w \h </w:instrText>
      </w:r>
      <w:r w:rsidRPr="000F6CD1">
        <w:rPr>
          <w:rFonts w:eastAsia="Arial"/>
        </w:rPr>
      </w:r>
      <w:r w:rsidRPr="000F6CD1">
        <w:rPr>
          <w:rFonts w:eastAsia="Arial"/>
        </w:rPr>
        <w:fldChar w:fldCharType="separate"/>
      </w:r>
      <w:r w:rsidR="004B171E">
        <w:rPr>
          <w:rFonts w:eastAsia="Arial"/>
        </w:rPr>
        <w:t>6.5.5</w:t>
      </w:r>
      <w:r w:rsidRPr="000F6CD1">
        <w:rPr>
          <w:rFonts w:eastAsia="Arial"/>
        </w:rPr>
        <w:fldChar w:fldCharType="end"/>
      </w:r>
      <w:r w:rsidRPr="000F6CD1">
        <w:rPr>
          <w:rFonts w:eastAsia="Arial"/>
        </w:rPr>
        <w:t xml:space="preserve"> section for further details about when an individual with a SaH classification can be approved to access CHSP services.</w:t>
      </w:r>
    </w:p>
    <w:p w14:paraId="2206DE98" w14:textId="0E82D159" w:rsidR="004D556D" w:rsidRPr="000F6CD1" w:rsidRDefault="004D556D" w:rsidP="00AD2CE5">
      <w:pPr>
        <w:pStyle w:val="H3"/>
      </w:pPr>
      <w:bookmarkStart w:id="510" w:name="_Toc198813686"/>
      <w:bookmarkStart w:id="511" w:name="_Toc204329569"/>
      <w:r w:rsidRPr="000F6CD1">
        <w:t>Time-limited definition</w:t>
      </w:r>
    </w:p>
    <w:p w14:paraId="7C961FCB" w14:textId="394B9378" w:rsidR="004D556D" w:rsidRPr="000F6CD1" w:rsidRDefault="004D556D" w:rsidP="001A5CB8">
      <w:r w:rsidRPr="001A5CB8">
        <w:rPr>
          <w:color w:val="000000"/>
        </w:rPr>
        <w:t>Short-term or time-limited services are defined according to the unique circumstances and requirements of each client. Generally, services provided for up to two months are regarded as short-term.</w:t>
      </w:r>
      <w:r w:rsidRPr="000F6CD1">
        <w:rPr>
          <w:color w:val="000000"/>
        </w:rPr>
        <w:t xml:space="preserve"> </w:t>
      </w:r>
    </w:p>
    <w:p w14:paraId="264E9FE4" w14:textId="70D3936E" w:rsidR="004D556D" w:rsidRPr="000F6CD1" w:rsidRDefault="00BC2FDD" w:rsidP="00AD2CE5">
      <w:pPr>
        <w:pStyle w:val="H3"/>
      </w:pPr>
      <w:r w:rsidRPr="000F6CD1">
        <w:rPr>
          <w:bCs w:val="0"/>
          <w:lang w:val="en-AU"/>
        </w:rPr>
        <w:drawing>
          <wp:anchor distT="0" distB="0" distL="114300" distR="114300" simplePos="0" relativeHeight="251658359" behindDoc="0" locked="0" layoutInCell="1" allowOverlap="1" wp14:anchorId="3A14FC1B" wp14:editId="65C6664D">
            <wp:simplePos x="0" y="0"/>
            <wp:positionH relativeFrom="margin">
              <wp:posOffset>-114300</wp:posOffset>
            </wp:positionH>
            <wp:positionV relativeFrom="paragraph">
              <wp:posOffset>60186</wp:posOffset>
            </wp:positionV>
            <wp:extent cx="457200" cy="502920"/>
            <wp:effectExtent l="0" t="0" r="0" b="0"/>
            <wp:wrapSquare wrapText="bothSides"/>
            <wp:docPr id="1142538881" name="Picture 1142538881"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Wellness and reablement under CHSP</w:t>
      </w:r>
    </w:p>
    <w:p w14:paraId="3158AC18" w14:textId="77777777" w:rsidR="004D556D" w:rsidRPr="000F6CD1" w:rsidRDefault="004D556D" w:rsidP="00A677C9">
      <w:pPr>
        <w:spacing w:before="240" w:after="240" w:line="240" w:lineRule="auto"/>
      </w:pPr>
      <w:r w:rsidRPr="000F6CD1">
        <w:t xml:space="preserve">Reablement approaches under CHSP involve recommending time-limited services for a period of up to 12 weeks. Time-limited support aims to address a specific barrier to independence and to support the older person getting back to doing things for themselves. This involves a targeted timeframe, developed with the older person, to achieve their goals. </w:t>
      </w:r>
    </w:p>
    <w:p w14:paraId="31CEEC63" w14:textId="77777777" w:rsidR="004D556D" w:rsidRPr="000F6CD1" w:rsidRDefault="004D556D" w:rsidP="00A677C9">
      <w:pPr>
        <w:spacing w:before="240" w:after="240" w:line="240" w:lineRule="auto"/>
      </w:pPr>
      <w:r w:rsidRPr="000F6CD1">
        <w:rPr>
          <w:rFonts w:eastAsia="Times New Roman"/>
        </w:rPr>
        <w:t xml:space="preserve">All providers are able to deliver this service under every CHSP service type. (i.e. assessors can refer for short-term reablement to any CHSP provider). </w:t>
      </w:r>
    </w:p>
    <w:p w14:paraId="6A4F595F" w14:textId="21ABCE7C" w:rsidR="004D556D" w:rsidRPr="000F6CD1" w:rsidRDefault="004D556D" w:rsidP="00A677C9">
      <w:pPr>
        <w:spacing w:before="240" w:after="240" w:line="240" w:lineRule="auto"/>
        <w:rPr>
          <w:rFonts w:eastAsia="Times New Roman"/>
        </w:rPr>
      </w:pPr>
      <w:r w:rsidRPr="000F6CD1">
        <w:rPr>
          <w:rFonts w:eastAsia="Times New Roman"/>
        </w:rPr>
        <w:t xml:space="preserve">For further guidance taking a wellness and reablement approach through CHSP, see ‘Delivering Time Limited Reablement’ section in </w:t>
      </w:r>
      <w:r w:rsidR="00B84159">
        <w:rPr>
          <w:rFonts w:eastAsia="Times New Roman"/>
        </w:rPr>
        <w:fldChar w:fldCharType="begin"/>
      </w:r>
      <w:r w:rsidR="00B84159">
        <w:rPr>
          <w:rFonts w:eastAsia="Times New Roman"/>
        </w:rPr>
        <w:instrText xml:space="preserve"> REF _Ref212735055 \h </w:instrText>
      </w:r>
      <w:r w:rsidR="00B84159">
        <w:rPr>
          <w:rFonts w:eastAsia="Times New Roman"/>
        </w:rPr>
      </w:r>
      <w:r w:rsidR="00B84159">
        <w:rPr>
          <w:rFonts w:eastAsia="Times New Roman"/>
        </w:rPr>
        <w:fldChar w:fldCharType="separate"/>
      </w:r>
      <w:r w:rsidR="004B171E" w:rsidRPr="000F6CD1">
        <w:t>Chapter 5: Assessment activities</w:t>
      </w:r>
      <w:r w:rsidR="00B84159">
        <w:rPr>
          <w:rFonts w:eastAsia="Times New Roman"/>
        </w:rPr>
        <w:fldChar w:fldCharType="end"/>
      </w:r>
      <w:r w:rsidR="0052144F">
        <w:rPr>
          <w:rFonts w:eastAsia="Times New Roman"/>
        </w:rPr>
        <w:t xml:space="preserve">. </w:t>
      </w:r>
    </w:p>
    <w:tbl>
      <w:tblPr>
        <w:tblStyle w:val="TableGrid"/>
        <w:tblW w:w="0" w:type="auto"/>
        <w:tblLook w:val="04A0" w:firstRow="1" w:lastRow="0" w:firstColumn="1" w:lastColumn="0" w:noHBand="0" w:noVBand="1"/>
      </w:tblPr>
      <w:tblGrid>
        <w:gridCol w:w="846"/>
        <w:gridCol w:w="6866"/>
      </w:tblGrid>
      <w:tr w:rsidR="004D556D" w:rsidRPr="000F6CD1" w14:paraId="4F9CFC87" w14:textId="77777777">
        <w:trPr>
          <w:trHeight w:val="1440"/>
        </w:trPr>
        <w:tc>
          <w:tcPr>
            <w:tcW w:w="846" w:type="dxa"/>
          </w:tcPr>
          <w:p w14:paraId="01246F53" w14:textId="77777777" w:rsidR="004D556D" w:rsidRPr="000F6CD1" w:rsidRDefault="004D556D" w:rsidP="00A677C9">
            <w:pPr>
              <w:tabs>
                <w:tab w:val="left" w:pos="709"/>
              </w:tabs>
              <w:spacing w:before="240" w:after="240"/>
              <w:rPr>
                <w:lang w:eastAsia="ko-KR"/>
              </w:rPr>
            </w:pPr>
            <w:r w:rsidRPr="000F6CD1">
              <w:rPr>
                <w:noProof/>
              </w:rPr>
              <w:drawing>
                <wp:anchor distT="0" distB="0" distL="114300" distR="114300" simplePos="0" relativeHeight="251658256" behindDoc="0" locked="0" layoutInCell="1" allowOverlap="1" wp14:anchorId="0C16844B" wp14:editId="2DB33F2F">
                  <wp:simplePos x="0" y="0"/>
                  <wp:positionH relativeFrom="margin">
                    <wp:posOffset>-68522</wp:posOffset>
                  </wp:positionH>
                  <wp:positionV relativeFrom="paragraph">
                    <wp:posOffset>255270</wp:posOffset>
                  </wp:positionV>
                  <wp:extent cx="342900" cy="340995"/>
                  <wp:effectExtent l="0" t="0" r="0" b="1905"/>
                  <wp:wrapSquare wrapText="bothSides"/>
                  <wp:docPr id="19317281" name="Picture 1931728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81" name="Picture 19317281"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6866" w:type="dxa"/>
          </w:tcPr>
          <w:p w14:paraId="6DCF8683" w14:textId="77777777" w:rsidR="004D556D" w:rsidRPr="000F6CD1" w:rsidRDefault="004D556D" w:rsidP="00A677C9">
            <w:pPr>
              <w:spacing w:before="240" w:after="240"/>
              <w:rPr>
                <w:b/>
                <w:szCs w:val="22"/>
              </w:rPr>
            </w:pPr>
            <w:r w:rsidRPr="000F6CD1">
              <w:rPr>
                <w:b/>
                <w:szCs w:val="22"/>
              </w:rPr>
              <w:t xml:space="preserve">Department of Health, Disability and Ageing website: </w:t>
            </w:r>
          </w:p>
          <w:p w14:paraId="4D6834BE" w14:textId="77777777" w:rsidR="004D556D" w:rsidRPr="00F75E1A" w:rsidRDefault="004D556D">
            <w:pPr>
              <w:pStyle w:val="ListParagraph"/>
              <w:numPr>
                <w:ilvl w:val="0"/>
                <w:numId w:val="209"/>
              </w:numPr>
              <w:spacing w:before="240" w:after="240"/>
              <w:rPr>
                <w:rStyle w:val="Hyperlink"/>
              </w:rPr>
            </w:pPr>
            <w:hyperlink r:id="rId186">
              <w:r w:rsidRPr="00F75E1A">
                <w:rPr>
                  <w:rStyle w:val="Hyperlink"/>
                </w:rPr>
                <w:t>Commonwealth Home Support Program (CHSP) 2025-27 Manual | Australian Government Department of Health, Disability and Ageing</w:t>
              </w:r>
            </w:hyperlink>
          </w:p>
          <w:p w14:paraId="31BC4AA5" w14:textId="77777777" w:rsidR="004D556D" w:rsidRPr="000F6CD1" w:rsidRDefault="004D556D">
            <w:pPr>
              <w:pStyle w:val="ListParagraph"/>
              <w:numPr>
                <w:ilvl w:val="0"/>
                <w:numId w:val="209"/>
              </w:numPr>
              <w:spacing w:before="240" w:after="240"/>
              <w:rPr>
                <w:color w:val="2BB1BB"/>
                <w:szCs w:val="22"/>
                <w:u w:val="single"/>
              </w:rPr>
            </w:pPr>
            <w:hyperlink r:id="rId187">
              <w:r w:rsidRPr="000F6CD1">
                <w:rPr>
                  <w:rStyle w:val="Hyperlink"/>
                </w:rPr>
                <w:t>Wellness and reablement resources</w:t>
              </w:r>
            </w:hyperlink>
          </w:p>
          <w:p w14:paraId="1F886BD1" w14:textId="77777777" w:rsidR="004D556D" w:rsidRPr="000F6CD1" w:rsidRDefault="004D556D">
            <w:pPr>
              <w:pStyle w:val="ListParagraph"/>
              <w:numPr>
                <w:ilvl w:val="0"/>
                <w:numId w:val="209"/>
              </w:numPr>
              <w:spacing w:before="240" w:after="240"/>
              <w:rPr>
                <w:color w:val="2BB1BB"/>
                <w:szCs w:val="22"/>
                <w:u w:val="single"/>
              </w:rPr>
            </w:pPr>
            <w:hyperlink r:id="rId188">
              <w:r w:rsidRPr="000F6CD1">
                <w:rPr>
                  <w:rStyle w:val="Hyperlink"/>
                </w:rPr>
                <w:t>Living Well at Home – CHSP Good Practice Guide</w:t>
              </w:r>
            </w:hyperlink>
          </w:p>
        </w:tc>
      </w:tr>
    </w:tbl>
    <w:p w14:paraId="5490AB72" w14:textId="77777777" w:rsidR="004D556D" w:rsidRPr="000F6CD1" w:rsidRDefault="004D556D" w:rsidP="006647CE">
      <w:pPr>
        <w:pStyle w:val="h2"/>
      </w:pPr>
      <w:bookmarkStart w:id="512" w:name="_Toc209189000"/>
      <w:bookmarkStart w:id="513" w:name="_Toc233282460"/>
      <w:r w:rsidRPr="000F6CD1">
        <w:t>National Aboriginal and Torres Strait Islander Flexible Aged Care Program (NATSIFACP)</w:t>
      </w:r>
      <w:bookmarkEnd w:id="510"/>
      <w:bookmarkEnd w:id="511"/>
      <w:bookmarkEnd w:id="512"/>
      <w:bookmarkEnd w:id="513"/>
      <w:r w:rsidRPr="000F6CD1">
        <w:t xml:space="preserve"> </w:t>
      </w:r>
    </w:p>
    <w:p w14:paraId="4D0E1D8A" w14:textId="7AE3C17D" w:rsidR="004D556D" w:rsidRPr="000F6CD1" w:rsidRDefault="004D556D" w:rsidP="00A677C9">
      <w:pPr>
        <w:spacing w:before="240" w:after="240" w:line="240" w:lineRule="auto"/>
      </w:pPr>
      <w:r w:rsidRPr="000F6CD1">
        <w:t>The NATSIFACP funds service providers to provide flexible, culturally safe aged care to older Aboriginal and Torres Strait Islander people close to their family, country, island home and community.</w:t>
      </w:r>
    </w:p>
    <w:p w14:paraId="31900AE7" w14:textId="4BA5FD67" w:rsidR="004D556D" w:rsidRPr="000F6CD1" w:rsidRDefault="004D556D" w:rsidP="00A677C9">
      <w:pPr>
        <w:spacing w:before="240" w:after="240" w:line="240" w:lineRule="auto"/>
      </w:pPr>
      <w:r w:rsidRPr="000F6CD1">
        <w:t>Service providers deliver a mix of residential, home and community care services in accordance with the needs of the community which are located mainly in rural and remote areas.</w:t>
      </w:r>
    </w:p>
    <w:p w14:paraId="7DFF1C9A" w14:textId="77777777" w:rsidR="004D556D" w:rsidRPr="000F6CD1" w:rsidRDefault="004D556D" w:rsidP="00A677C9">
      <w:pPr>
        <w:spacing w:before="240" w:after="240" w:line="240" w:lineRule="auto"/>
      </w:pPr>
      <w:r w:rsidRPr="000F6CD1">
        <w:t xml:space="preserve">The NATSIFACP is administered under the </w:t>
      </w:r>
      <w:r w:rsidRPr="000F6CD1">
        <w:rPr>
          <w:i/>
        </w:rPr>
        <w:t xml:space="preserve">Aged Care Act 2024 </w:t>
      </w:r>
      <w:r w:rsidRPr="000F6CD1">
        <w:t>as a specialist aged care program.</w:t>
      </w:r>
    </w:p>
    <w:p w14:paraId="3EF9343C" w14:textId="77777777" w:rsidR="004D556D" w:rsidRPr="000F6CD1" w:rsidRDefault="004D556D" w:rsidP="00A677C9">
      <w:pPr>
        <w:spacing w:before="240" w:after="240" w:line="240" w:lineRule="auto"/>
      </w:pPr>
      <w:r w:rsidRPr="000F6CD1">
        <w:t xml:space="preserve">The services provided through NATSIFACP must reflect the service list prescribed by the </w:t>
      </w:r>
      <w:r w:rsidRPr="000F6CD1">
        <w:rPr>
          <w:i/>
        </w:rPr>
        <w:t>Aged Care Rules 2025</w:t>
      </w:r>
      <w:r w:rsidRPr="000F6CD1">
        <w:t xml:space="preserve">. </w:t>
      </w:r>
    </w:p>
    <w:p w14:paraId="7955B809" w14:textId="77777777" w:rsidR="004D556D" w:rsidRPr="000F6CD1" w:rsidRDefault="004D556D" w:rsidP="00AD2CE5">
      <w:pPr>
        <w:pStyle w:val="H3"/>
      </w:pPr>
      <w:r w:rsidRPr="000F6CD1">
        <w:lastRenderedPageBreak/>
        <w:t>Assessing for NATSIFACP</w:t>
      </w:r>
    </w:p>
    <w:p w14:paraId="68823418" w14:textId="77777777" w:rsidR="004D556D" w:rsidRPr="000F6CD1" w:rsidRDefault="004D556D" w:rsidP="00A677C9">
      <w:pPr>
        <w:spacing w:before="240" w:after="240" w:line="240" w:lineRule="auto"/>
      </w:pPr>
      <w:r w:rsidRPr="000F6CD1">
        <w:t xml:space="preserve">Anyone seeking NATSIFACP aged care services requires an aged care needs assessment under the </w:t>
      </w:r>
      <w:r w:rsidRPr="000F6CD1">
        <w:rPr>
          <w:i/>
        </w:rPr>
        <w:t>Aged Care Act 2024</w:t>
      </w:r>
      <w:r w:rsidRPr="000F6CD1">
        <w:t>.</w:t>
      </w:r>
      <w:r w:rsidRPr="000F6CD1">
        <w:rPr>
          <w:rFonts w:ascii="Times New Roman" w:eastAsia="Times New Roman" w:hAnsi="Times New Roman" w:cs="Times New Roman"/>
          <w:color w:val="000000"/>
          <w:sz w:val="27"/>
          <w:szCs w:val="27"/>
        </w:rPr>
        <w:t xml:space="preserve"> </w:t>
      </w:r>
      <w:r w:rsidRPr="000F6CD1">
        <w:t>NATSIFACP providers can also make this application on the older person’s behalf, either by phone or online. This may include supporting the older person by self-referring the assessment to known assessment organisations in the area, including Aboriginal and Torres Strait Islander assessment organisations where one is available.</w:t>
      </w:r>
    </w:p>
    <w:p w14:paraId="66155C40" w14:textId="39F7297E" w:rsidR="004D556D" w:rsidRPr="000F6CD1" w:rsidRDefault="004D556D" w:rsidP="00A677C9">
      <w:pPr>
        <w:spacing w:before="240" w:after="240" w:line="240" w:lineRule="auto"/>
      </w:pPr>
      <w:r w:rsidRPr="000F6CD1">
        <w:t>Under the NATSIFACP, providers deliver a mix of residential, home and community care services in accordance with the individual’s assessed care needs, and the needs of the community. Services may be provided on a permanent (ongoing) or short term (non-ongoing) basis, as well as to support emergency needs. To support this flexible service delivery model, the NATSIFACP is block funded. This means individuals accessing care under the program do not have allocated budgets. Arrangements for care recipient contributions are also variable and take into account the capacity of individuals to contribute toward the cost of the services delivered to them.</w:t>
      </w:r>
    </w:p>
    <w:p w14:paraId="5C80F3CA" w14:textId="6B7FC5DA" w:rsidR="004D556D" w:rsidRPr="000F6CD1" w:rsidRDefault="004D556D" w:rsidP="00A677C9">
      <w:pPr>
        <w:spacing w:before="240" w:after="240" w:line="240" w:lineRule="auto"/>
      </w:pPr>
      <w:r w:rsidRPr="000F6CD1">
        <w:t xml:space="preserve">Older people already receiving NATSIFACP services in the 12-months before 1 November 2025 will be deemed across to the </w:t>
      </w:r>
      <w:r w:rsidRPr="000F6CD1">
        <w:rPr>
          <w:i/>
        </w:rPr>
        <w:t>Aged Care Act 2024</w:t>
      </w:r>
      <w:r w:rsidRPr="000F6CD1">
        <w:rPr>
          <w:i/>
          <w:iCs/>
        </w:rPr>
        <w:t xml:space="preserve"> (the Act)</w:t>
      </w:r>
      <w:r w:rsidRPr="000F6CD1">
        <w:t xml:space="preserve"> and will not have to have an aged care needs assessment if they wish to continue receiving NATSIFACP services after the Act starts. </w:t>
      </w:r>
    </w:p>
    <w:p w14:paraId="5A1585D7" w14:textId="77777777" w:rsidR="004D556D" w:rsidRPr="000F6CD1" w:rsidRDefault="004D556D" w:rsidP="00A677C9">
      <w:pPr>
        <w:spacing w:before="240" w:after="240" w:line="240" w:lineRule="auto"/>
      </w:pPr>
      <w:r w:rsidRPr="000F6CD1">
        <w:t>In all cases, assessors should work with NATSIFACP organisations already providing care to inform their aged care assessments. By working together, assessors and providers can avoid older Aboriginal and Torres Strait Islander people having to tell their story multiple times and ensure culturally safe assessments are conducted. This includes using information the NATSIFACP provider has gathered to help inform the assessment.</w:t>
      </w:r>
    </w:p>
    <w:tbl>
      <w:tblPr>
        <w:tblStyle w:val="TableGrid"/>
        <w:tblW w:w="0" w:type="auto"/>
        <w:tblLook w:val="04A0" w:firstRow="1" w:lastRow="0" w:firstColumn="1" w:lastColumn="0" w:noHBand="0" w:noVBand="1"/>
      </w:tblPr>
      <w:tblGrid>
        <w:gridCol w:w="846"/>
        <w:gridCol w:w="8085"/>
      </w:tblGrid>
      <w:tr w:rsidR="004D556D" w:rsidRPr="000F6CD1" w14:paraId="70B0B7F2" w14:textId="77777777" w:rsidTr="008149E9">
        <w:trPr>
          <w:trHeight w:val="1440"/>
        </w:trPr>
        <w:tc>
          <w:tcPr>
            <w:tcW w:w="846" w:type="dxa"/>
          </w:tcPr>
          <w:p w14:paraId="06BC73CF" w14:textId="77777777" w:rsidR="004D556D" w:rsidRPr="000F6CD1" w:rsidRDefault="004D556D">
            <w:pPr>
              <w:tabs>
                <w:tab w:val="left" w:pos="709"/>
              </w:tabs>
              <w:spacing w:before="240" w:after="240"/>
              <w:rPr>
                <w:lang w:eastAsia="ko-KR"/>
              </w:rPr>
            </w:pPr>
            <w:r w:rsidRPr="000F6CD1">
              <w:rPr>
                <w:noProof/>
              </w:rPr>
              <w:drawing>
                <wp:anchor distT="0" distB="0" distL="114300" distR="114300" simplePos="0" relativeHeight="251658257" behindDoc="0" locked="0" layoutInCell="1" allowOverlap="1" wp14:anchorId="188E2B0A" wp14:editId="3ECED392">
                  <wp:simplePos x="0" y="0"/>
                  <wp:positionH relativeFrom="margin">
                    <wp:posOffset>-68522</wp:posOffset>
                  </wp:positionH>
                  <wp:positionV relativeFrom="paragraph">
                    <wp:posOffset>255270</wp:posOffset>
                  </wp:positionV>
                  <wp:extent cx="342900" cy="340995"/>
                  <wp:effectExtent l="0" t="0" r="0" b="1905"/>
                  <wp:wrapSquare wrapText="bothSides"/>
                  <wp:docPr id="1355356612" name="Picture 135535661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6612" name="Picture 135535661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40995"/>
                          </a:xfrm>
                          <a:prstGeom prst="rect">
                            <a:avLst/>
                          </a:prstGeom>
                        </pic:spPr>
                      </pic:pic>
                    </a:graphicData>
                  </a:graphic>
                  <wp14:sizeRelH relativeFrom="page">
                    <wp14:pctWidth>0</wp14:pctWidth>
                  </wp14:sizeRelH>
                  <wp14:sizeRelV relativeFrom="page">
                    <wp14:pctHeight>0</wp14:pctHeight>
                  </wp14:sizeRelV>
                </wp:anchor>
              </w:drawing>
            </w:r>
          </w:p>
        </w:tc>
        <w:tc>
          <w:tcPr>
            <w:tcW w:w="8085" w:type="dxa"/>
          </w:tcPr>
          <w:p w14:paraId="06B3727E" w14:textId="1E689DC3" w:rsidR="004D556D" w:rsidRPr="000F6CD1" w:rsidRDefault="004D556D" w:rsidP="00DD3B48">
            <w:pPr>
              <w:spacing w:before="240" w:after="240"/>
            </w:pPr>
            <w:r w:rsidRPr="000F6CD1">
              <w:t xml:space="preserve">More information is available on the department’s website at </w:t>
            </w:r>
            <w:hyperlink r:id="rId189" w:history="1">
              <w:r w:rsidRPr="000F6CD1">
                <w:rPr>
                  <w:rStyle w:val="Hyperlink"/>
                </w:rPr>
                <w:t>National Aboriginal and Torres Strait Islander Flexible Aged Care Program.</w:t>
              </w:r>
            </w:hyperlink>
          </w:p>
          <w:p w14:paraId="2D3BF848" w14:textId="77777777" w:rsidR="004D556D" w:rsidRPr="000F6CD1" w:rsidRDefault="004D556D" w:rsidP="00940488">
            <w:pPr>
              <w:pStyle w:val="ListParagraph"/>
              <w:spacing w:before="240" w:after="240"/>
              <w:ind w:left="818"/>
              <w:rPr>
                <w:color w:val="2BB1BB"/>
                <w:szCs w:val="22"/>
                <w:u w:val="single"/>
              </w:rPr>
            </w:pPr>
          </w:p>
        </w:tc>
      </w:tr>
    </w:tbl>
    <w:p w14:paraId="468DBE4B" w14:textId="77777777" w:rsidR="004D556D" w:rsidRPr="000F6CD1" w:rsidRDefault="004D556D" w:rsidP="00AD2CE5">
      <w:pPr>
        <w:pStyle w:val="H3"/>
      </w:pPr>
      <w:r w:rsidRPr="000F6CD1">
        <w:t xml:space="preserve">Recommending NATSIFACP pathway </w:t>
      </w:r>
    </w:p>
    <w:p w14:paraId="46CA14FE" w14:textId="59FF8EC7" w:rsidR="004D556D" w:rsidRPr="000F6CD1" w:rsidRDefault="004D556D" w:rsidP="00A677C9">
      <w:pPr>
        <w:spacing w:before="240" w:after="240" w:line="240" w:lineRule="auto"/>
      </w:pPr>
    </w:p>
    <w:p w14:paraId="519434A1" w14:textId="77777777" w:rsidR="004D556D" w:rsidRPr="000F6CD1" w:rsidRDefault="004D556D" w:rsidP="00A677C9">
      <w:pPr>
        <w:spacing w:before="240" w:after="240" w:line="240" w:lineRule="auto"/>
      </w:pPr>
      <w:r w:rsidRPr="000F6CD1">
        <w:rPr>
          <w:noProof/>
        </w:rPr>
        <w:drawing>
          <wp:inline distT="0" distB="0" distL="0" distR="0" wp14:anchorId="15F1FF12" wp14:editId="22653AC8">
            <wp:extent cx="5724000" cy="1071158"/>
            <wp:effectExtent l="0" t="0" r="0" b="0"/>
            <wp:docPr id="828002968" name="Picture 20" descr="The figure provides an overview of the process for assessors to recommend NATSIFACP in the assessor portal  ">
              <a:extLst xmlns:a="http://schemas.openxmlformats.org/drawingml/2006/main">
                <a:ext uri="{FF2B5EF4-FFF2-40B4-BE49-F238E27FC236}">
                  <a16:creationId xmlns:a16="http://schemas.microsoft.com/office/drawing/2014/main" id="{CA52EEF6-8C81-E23E-3ABD-8C903471D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2968" name="Picture 20" descr="The figure provides an overview of the process for assessors to recommend NATSIFACP in the assessor portal  ">
                      <a:extLst>
                        <a:ext uri="{FF2B5EF4-FFF2-40B4-BE49-F238E27FC236}">
                          <a16:creationId xmlns:a16="http://schemas.microsoft.com/office/drawing/2014/main" id="{CA52EEF6-8C81-E23E-3ABD-8C903471D650}"/>
                        </a:ext>
                      </a:extLst>
                    </pic:cNvPr>
                    <pic:cNvPicPr>
                      <a:picLocks noChangeAspect="1"/>
                    </pic:cNvPicPr>
                  </pic:nvPicPr>
                  <pic:blipFill>
                    <a:blip r:embed="rId190"/>
                    <a:stretch>
                      <a:fillRect/>
                    </a:stretch>
                  </pic:blipFill>
                  <pic:spPr>
                    <a:xfrm>
                      <a:off x="0" y="0"/>
                      <a:ext cx="5724000" cy="1071158"/>
                    </a:xfrm>
                    <a:prstGeom prst="rect">
                      <a:avLst/>
                    </a:prstGeom>
                  </pic:spPr>
                </pic:pic>
              </a:graphicData>
            </a:graphic>
          </wp:inline>
        </w:drawing>
      </w:r>
    </w:p>
    <w:p w14:paraId="3DB3F4F5" w14:textId="77777777" w:rsidR="004D556D" w:rsidRPr="000F6CD1" w:rsidRDefault="004D556D" w:rsidP="00E72553">
      <w:pPr>
        <w:pStyle w:val="Caption"/>
        <w:rPr>
          <w:b w:val="0"/>
          <w:bCs/>
          <w:i/>
          <w:iCs w:val="0"/>
        </w:rPr>
      </w:pPr>
      <w:r w:rsidRPr="000F6CD1">
        <w:rPr>
          <w:b w:val="0"/>
          <w:bCs/>
          <w:i/>
          <w:iCs w:val="0"/>
        </w:rPr>
        <w:t xml:space="preserve">Figure 5 – recommending NATSIFACP pathway in the assessor portal </w:t>
      </w:r>
    </w:p>
    <w:p w14:paraId="3BC92722" w14:textId="0881A916" w:rsidR="004D556D" w:rsidRPr="000F6CD1" w:rsidRDefault="004D556D" w:rsidP="00A677C9">
      <w:pPr>
        <w:spacing w:before="240" w:after="240" w:line="240" w:lineRule="auto"/>
      </w:pPr>
      <w:r w:rsidRPr="000F6CD1">
        <w:t>The option to add Services under the NATSIFACP as a service recommendation in an older person’s Support Plan are available via the ‘Add a service recommendation button’ on the ‘Support plan and services page</w:t>
      </w:r>
      <w:r w:rsidR="00B57E9E" w:rsidRPr="000F6CD1">
        <w:t>.’</w:t>
      </w:r>
    </w:p>
    <w:p w14:paraId="2EEF0BCF" w14:textId="0CCABD95" w:rsidR="004D556D" w:rsidRPr="000F6CD1" w:rsidRDefault="004D556D" w:rsidP="00A677C9">
      <w:pPr>
        <w:spacing w:before="240" w:after="240" w:line="240" w:lineRule="auto"/>
      </w:pPr>
      <w:r w:rsidRPr="000F6CD1">
        <w:lastRenderedPageBreak/>
        <w:t xml:space="preserve">When adding a service recommendation of Services under the NATSIFACP, a drop-down box will require the assessor to select a priority. From 1 November 2025, there is no priority system in place to receive services through NATSIFACP and the priority value in the service recommendation tab will not impact the timeliness of receiving these services. For consistency, assessors are required to set the priority value for the NATSIFACP service recommendation to low. </w:t>
      </w:r>
    </w:p>
    <w:p w14:paraId="23A4D07A" w14:textId="58D7C74F" w:rsidR="004D556D" w:rsidRPr="000F6CD1" w:rsidRDefault="004D556D" w:rsidP="00A677C9">
      <w:pPr>
        <w:spacing w:before="240" w:after="240" w:line="240" w:lineRule="auto"/>
      </w:pPr>
      <w:r w:rsidRPr="000F6CD1">
        <w:t xml:space="preserve">It is best practice for a service recommendation of Services under the NATISFACP to be fully recorded in the assessment notes to ensure that information in the support plan is accurate and complete. </w:t>
      </w:r>
    </w:p>
    <w:p w14:paraId="04DEAEB7" w14:textId="77777777" w:rsidR="004D556D" w:rsidRPr="000F6CD1" w:rsidRDefault="004D556D" w:rsidP="00A677C9">
      <w:pPr>
        <w:spacing w:before="240" w:after="240" w:line="240" w:lineRule="auto"/>
      </w:pPr>
      <w:r w:rsidRPr="000F6CD1">
        <w:t>In the Notes section, assessors should include the following information:</w:t>
      </w:r>
    </w:p>
    <w:p w14:paraId="6DE16683" w14:textId="77777777" w:rsidR="004D556D" w:rsidRPr="000F6CD1" w:rsidRDefault="004D556D" w:rsidP="00DF3F6B">
      <w:pPr>
        <w:pStyle w:val="ListParagraph"/>
        <w:numPr>
          <w:ilvl w:val="0"/>
          <w:numId w:val="164"/>
        </w:numPr>
        <w:spacing w:before="240" w:after="240" w:line="240" w:lineRule="auto"/>
      </w:pPr>
      <w:r w:rsidRPr="000F6CD1">
        <w:t>If the older person would benefit from accessing services through a NATISFACP provider in their local area</w:t>
      </w:r>
    </w:p>
    <w:p w14:paraId="7B26AD17" w14:textId="77777777" w:rsidR="004D556D" w:rsidRPr="000F6CD1" w:rsidRDefault="004D556D" w:rsidP="00DF3F6B">
      <w:pPr>
        <w:pStyle w:val="ListParagraph"/>
        <w:numPr>
          <w:ilvl w:val="0"/>
          <w:numId w:val="164"/>
        </w:numPr>
        <w:spacing w:before="240" w:after="240" w:line="240" w:lineRule="auto"/>
      </w:pPr>
      <w:r w:rsidRPr="000F6CD1">
        <w:t>If the person would like to access services through a NATISFACP provider in their local area</w:t>
      </w:r>
    </w:p>
    <w:p w14:paraId="15CB5527" w14:textId="77777777" w:rsidR="004D556D" w:rsidRPr="000F6CD1" w:rsidRDefault="004D556D" w:rsidP="00AD2CE5">
      <w:pPr>
        <w:pStyle w:val="H3"/>
      </w:pPr>
      <w:r w:rsidRPr="000F6CD1">
        <w:t>Interactions with other programs</w:t>
      </w:r>
    </w:p>
    <w:p w14:paraId="348E6E25" w14:textId="77777777" w:rsidR="004D556D" w:rsidRPr="000F6CD1" w:rsidRDefault="004D556D" w:rsidP="00A677C9">
      <w:pPr>
        <w:spacing w:before="240" w:after="240" w:line="240" w:lineRule="auto"/>
      </w:pPr>
      <w:r w:rsidRPr="000F6CD1">
        <w:t xml:space="preserve">All service groups and types can be delivered under NATSIFACP. </w:t>
      </w:r>
    </w:p>
    <w:p w14:paraId="57244507" w14:textId="4FCDF095" w:rsidR="004D556D" w:rsidRPr="000F6CD1" w:rsidRDefault="004D556D" w:rsidP="00A677C9">
      <w:pPr>
        <w:spacing w:before="240" w:after="240" w:line="240" w:lineRule="auto"/>
      </w:pPr>
      <w:r w:rsidRPr="000F6CD1">
        <w:rPr>
          <w:rFonts w:eastAsia="Arial"/>
        </w:rPr>
        <w:t>In general, home care services must not be provided to individuals who are receiving other government-subsidised services that are similar. However, individuals may access both the NATSIFACP and Support at Home at the same time, provided the services accessed under the programs are different. For example, a participant could access gardening through Support at Home and personal care via</w:t>
      </w:r>
      <w:r w:rsidRPr="000F6CD1">
        <w:rPr>
          <w:rFonts w:eastAsia="Arial"/>
          <w:color w:val="333333"/>
        </w:rPr>
        <w:t xml:space="preserve"> the NATSIFACP. </w:t>
      </w:r>
      <w:r w:rsidRPr="000F6CD1">
        <w:t xml:space="preserve">They may require a reassessment to change providers, this will depend on whether they only have a NATSIFACP default classification level, the service types they require and the range of programs available at their new location. </w:t>
      </w:r>
    </w:p>
    <w:tbl>
      <w:tblPr>
        <w:tblStyle w:val="TableGrid"/>
        <w:tblW w:w="9098" w:type="dxa"/>
        <w:tblLook w:val="04A0" w:firstRow="1" w:lastRow="0" w:firstColumn="1" w:lastColumn="0" w:noHBand="0" w:noVBand="1"/>
      </w:tblPr>
      <w:tblGrid>
        <w:gridCol w:w="993"/>
        <w:gridCol w:w="8105"/>
      </w:tblGrid>
      <w:tr w:rsidR="004D556D" w:rsidRPr="000F6CD1" w14:paraId="3A0237C9" w14:textId="77777777">
        <w:trPr>
          <w:trHeight w:val="300"/>
        </w:trPr>
        <w:tc>
          <w:tcPr>
            <w:tcW w:w="993" w:type="dxa"/>
            <w:vAlign w:val="center"/>
          </w:tcPr>
          <w:p w14:paraId="2578F13D" w14:textId="77777777" w:rsidR="004D556D" w:rsidRPr="000F6CD1" w:rsidRDefault="004D556D" w:rsidP="00A677C9">
            <w:pPr>
              <w:spacing w:before="240" w:after="240"/>
              <w:rPr>
                <w:rFonts w:eastAsia="MS Mincho"/>
              </w:rPr>
            </w:pPr>
            <w:bookmarkStart w:id="514" w:name="_Toc198813687"/>
            <w:bookmarkStart w:id="515" w:name="_Toc204329570"/>
            <w:r w:rsidRPr="000F6CD1">
              <w:rPr>
                <w:noProof/>
              </w:rPr>
              <w:drawing>
                <wp:inline distT="0" distB="0" distL="0" distR="0" wp14:anchorId="617788CF" wp14:editId="496F2C52">
                  <wp:extent cx="447675" cy="445208"/>
                  <wp:effectExtent l="0" t="0" r="0" b="0"/>
                  <wp:docPr id="1933034986" name="Picture 1933034986"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4986" name="Picture 1933034986"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vAlign w:val="center"/>
          </w:tcPr>
          <w:p w14:paraId="2BCB86E1" w14:textId="77777777" w:rsidR="004D556D" w:rsidRPr="000F6CD1" w:rsidRDefault="004D556D" w:rsidP="00A677C9">
            <w:pPr>
              <w:spacing w:before="240" w:after="240"/>
            </w:pPr>
            <w:r w:rsidRPr="000F6CD1">
              <w:rPr>
                <w:rFonts w:eastAsia="Arial"/>
              </w:rPr>
              <w:t xml:space="preserve">For further information, please refer to the </w:t>
            </w:r>
            <w:hyperlink r:id="rId191" w:history="1">
              <w:r w:rsidRPr="000F6CD1">
                <w:rPr>
                  <w:rStyle w:val="Hyperlink"/>
                  <w:rFonts w:eastAsia="Arial"/>
                </w:rPr>
                <w:t>NATSIFACP Manual</w:t>
              </w:r>
            </w:hyperlink>
            <w:r w:rsidRPr="000F6CD1">
              <w:t>.</w:t>
            </w:r>
          </w:p>
        </w:tc>
      </w:tr>
    </w:tbl>
    <w:p w14:paraId="0222EFE4" w14:textId="77777777" w:rsidR="004D556D" w:rsidRPr="000F6CD1" w:rsidRDefault="004D556D" w:rsidP="006647CE">
      <w:pPr>
        <w:pStyle w:val="h2"/>
      </w:pPr>
      <w:bookmarkStart w:id="516" w:name="_Toc209189001"/>
      <w:bookmarkStart w:id="517" w:name="_Toc233282461"/>
      <w:r w:rsidRPr="000F6CD1">
        <w:t>Multi-Purpose Service Program (MPSP)</w:t>
      </w:r>
      <w:bookmarkEnd w:id="514"/>
      <w:bookmarkEnd w:id="515"/>
      <w:bookmarkEnd w:id="516"/>
      <w:bookmarkEnd w:id="517"/>
    </w:p>
    <w:p w14:paraId="1159B773" w14:textId="77777777" w:rsidR="004D556D" w:rsidRPr="000F6CD1" w:rsidRDefault="004D556D" w:rsidP="00A677C9">
      <w:pPr>
        <w:spacing w:before="240" w:after="240" w:line="240" w:lineRule="auto"/>
      </w:pPr>
      <w:r w:rsidRPr="000F6CD1">
        <w:t>The MPSP provides integrated health and aged care services for older people living in small rural towns and remote areas that cannot support stand-alone aged care and health services.</w:t>
      </w:r>
    </w:p>
    <w:p w14:paraId="39DF8468" w14:textId="77777777" w:rsidR="004D556D" w:rsidRPr="000F6CD1" w:rsidRDefault="004D556D" w:rsidP="00A677C9">
      <w:pPr>
        <w:spacing w:before="240" w:after="240" w:line="240" w:lineRule="auto"/>
      </w:pPr>
      <w:r w:rsidRPr="000F6CD1">
        <w:t xml:space="preserve">The MPSP is managed under the </w:t>
      </w:r>
      <w:r w:rsidRPr="000F6CD1">
        <w:rPr>
          <w:i/>
        </w:rPr>
        <w:t>Aged Care Act 2024</w:t>
      </w:r>
      <w:r w:rsidRPr="000F6CD1">
        <w:t xml:space="preserve"> as a type of specialist aged care program.</w:t>
      </w:r>
    </w:p>
    <w:p w14:paraId="4EE75B27" w14:textId="77777777" w:rsidR="004D556D" w:rsidRPr="000F6CD1" w:rsidRDefault="004D556D" w:rsidP="00A677C9">
      <w:pPr>
        <w:spacing w:before="240" w:after="240" w:line="240" w:lineRule="auto"/>
      </w:pPr>
      <w:r w:rsidRPr="000F6CD1">
        <w:t>The following aged care services can be delivered under the MPSP:</w:t>
      </w:r>
    </w:p>
    <w:p w14:paraId="1CA0CB0D" w14:textId="77777777" w:rsidR="004D556D" w:rsidRPr="000F6CD1" w:rsidRDefault="004D556D" w:rsidP="00DF3F6B">
      <w:pPr>
        <w:pStyle w:val="ListParagraph"/>
        <w:numPr>
          <w:ilvl w:val="0"/>
          <w:numId w:val="157"/>
        </w:numPr>
        <w:spacing w:before="240" w:after="240" w:line="240" w:lineRule="auto"/>
      </w:pPr>
      <w:r w:rsidRPr="000F6CD1">
        <w:t>Permanent residential care services</w:t>
      </w:r>
    </w:p>
    <w:p w14:paraId="5F9A6A11" w14:textId="77777777" w:rsidR="004D556D" w:rsidRPr="000F6CD1" w:rsidRDefault="004D556D" w:rsidP="00DF3F6B">
      <w:pPr>
        <w:pStyle w:val="ListParagraph"/>
        <w:numPr>
          <w:ilvl w:val="0"/>
          <w:numId w:val="157"/>
        </w:numPr>
        <w:spacing w:before="240" w:after="240" w:line="240" w:lineRule="auto"/>
      </w:pPr>
      <w:r w:rsidRPr="000F6CD1">
        <w:t>Residential respite</w:t>
      </w:r>
    </w:p>
    <w:p w14:paraId="41E3FECB" w14:textId="77777777" w:rsidR="004D556D" w:rsidRPr="000F6CD1" w:rsidRDefault="004D556D" w:rsidP="00DF3F6B">
      <w:pPr>
        <w:pStyle w:val="ListParagraph"/>
        <w:numPr>
          <w:ilvl w:val="0"/>
          <w:numId w:val="157"/>
        </w:numPr>
        <w:spacing w:before="240" w:after="240" w:line="240" w:lineRule="auto"/>
      </w:pPr>
      <w:r w:rsidRPr="000F6CD1">
        <w:t>Home or community services</w:t>
      </w:r>
    </w:p>
    <w:p w14:paraId="62B28BCF" w14:textId="77777777" w:rsidR="004D556D" w:rsidRPr="000F6CD1" w:rsidRDefault="004D556D" w:rsidP="00A677C9">
      <w:pPr>
        <w:pStyle w:val="ListParagraph"/>
        <w:spacing w:before="240" w:after="240" w:line="240" w:lineRule="auto"/>
      </w:pPr>
    </w:p>
    <w:p w14:paraId="76AA6AC6" w14:textId="77777777" w:rsidR="004D556D" w:rsidRPr="000F6CD1" w:rsidRDefault="004D556D" w:rsidP="00AD2CE5">
      <w:pPr>
        <w:pStyle w:val="H3"/>
      </w:pPr>
      <w:r w:rsidRPr="000F6CD1">
        <w:lastRenderedPageBreak/>
        <w:t>Assessing for MPS</w:t>
      </w:r>
      <w:r w:rsidRPr="000F6CD1" w:rsidDel="00F71FE3">
        <w:t>P</w:t>
      </w:r>
    </w:p>
    <w:p w14:paraId="02CF2153" w14:textId="77777777" w:rsidR="004D556D" w:rsidRPr="000F6CD1" w:rsidRDefault="004D556D" w:rsidP="00A677C9">
      <w:pPr>
        <w:spacing w:before="240" w:after="240" w:line="240" w:lineRule="auto"/>
      </w:pPr>
      <w:r w:rsidRPr="000F6CD1">
        <w:t>Any person seeking to access services under the MPS</w:t>
      </w:r>
      <w:r w:rsidRPr="000F6CD1" w:rsidDel="00F71FE3">
        <w:t>P</w:t>
      </w:r>
      <w:r w:rsidRPr="000F6CD1">
        <w:t xml:space="preserve"> must make an application for funded aged care services. This must be in the approved form.</w:t>
      </w:r>
    </w:p>
    <w:p w14:paraId="6BE42444" w14:textId="67CA8B4E" w:rsidR="004D556D" w:rsidRPr="000F6CD1" w:rsidRDefault="004D556D" w:rsidP="00AD2CE5">
      <w:pPr>
        <w:pStyle w:val="H3"/>
      </w:pPr>
      <w:r w:rsidRPr="000F6CD1">
        <w:t xml:space="preserve">Recommending MPSP pathway in the assessor portal </w:t>
      </w:r>
    </w:p>
    <w:p w14:paraId="2A503699" w14:textId="77777777" w:rsidR="004D556D" w:rsidRPr="000F6CD1" w:rsidRDefault="004D556D" w:rsidP="00A677C9">
      <w:pPr>
        <w:spacing w:before="240" w:after="240" w:line="240" w:lineRule="auto"/>
      </w:pPr>
      <w:r w:rsidRPr="000F6CD1">
        <w:rPr>
          <w:noProof/>
        </w:rPr>
        <w:drawing>
          <wp:inline distT="0" distB="0" distL="0" distR="0" wp14:anchorId="531A51AC" wp14:editId="449F1216">
            <wp:extent cx="5729605" cy="1284605"/>
            <wp:effectExtent l="0" t="0" r="4445" b="0"/>
            <wp:docPr id="1066948624" name="Picture 22" descr="The figure provides an overview of the process for assessors to recommend MPSP in the assessor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8624" name="Picture 22" descr="The figure provides an overview of the process for assessors to recommend MPSP in the assessor portal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9605" cy="1284605"/>
                    </a:xfrm>
                    <a:prstGeom prst="rect">
                      <a:avLst/>
                    </a:prstGeom>
                    <a:noFill/>
                    <a:ln>
                      <a:noFill/>
                    </a:ln>
                  </pic:spPr>
                </pic:pic>
              </a:graphicData>
            </a:graphic>
          </wp:inline>
        </w:drawing>
      </w:r>
    </w:p>
    <w:p w14:paraId="624B42A7" w14:textId="77777777" w:rsidR="004D556D" w:rsidRPr="000F6CD1" w:rsidRDefault="004D556D" w:rsidP="00E72553">
      <w:pPr>
        <w:pStyle w:val="Caption"/>
        <w:rPr>
          <w:b w:val="0"/>
          <w:bCs/>
          <w:i/>
          <w:iCs w:val="0"/>
        </w:rPr>
      </w:pPr>
      <w:r w:rsidRPr="000F6CD1">
        <w:rPr>
          <w:b w:val="0"/>
          <w:bCs/>
          <w:i/>
          <w:iCs w:val="0"/>
        </w:rPr>
        <w:t xml:space="preserve">Figure 6 – Recommending MPSP pathway in the assessor portal </w:t>
      </w:r>
    </w:p>
    <w:p w14:paraId="7C48EDE9" w14:textId="215F7D13" w:rsidR="004D556D" w:rsidRPr="000F6CD1" w:rsidRDefault="004D556D" w:rsidP="00A677C9">
      <w:pPr>
        <w:spacing w:before="240" w:after="240" w:line="240" w:lineRule="auto"/>
      </w:pPr>
      <w:r w:rsidRPr="000F6CD1">
        <w:t xml:space="preserve">When adding a service recommendation of Services under the MPSP, a drop-down box will require the assessor to select a priority. There is no priority system in place to receive services through the MPSP and the priority value in the service recommendation tab will not impact the timeliness of receiving these services. For consistency, assessors are required to set the priority value for the MPSP service recommendation to low. </w:t>
      </w:r>
    </w:p>
    <w:p w14:paraId="14DBFD68" w14:textId="709D9D84" w:rsidR="004D556D" w:rsidRPr="000F6CD1" w:rsidRDefault="004D556D" w:rsidP="00A677C9">
      <w:pPr>
        <w:spacing w:before="240" w:after="240" w:line="240" w:lineRule="auto"/>
      </w:pPr>
      <w:r w:rsidRPr="000F6CD1">
        <w:t xml:space="preserve">It is best practice for all service recommendations of Services under the MPSP to be fully recorded in the assessment notes to ensure that information in the support plan is accurate and complete. </w:t>
      </w:r>
    </w:p>
    <w:p w14:paraId="569538B3" w14:textId="77777777" w:rsidR="004D556D" w:rsidRPr="000F6CD1" w:rsidRDefault="004D556D" w:rsidP="00A677C9">
      <w:pPr>
        <w:spacing w:before="240" w:after="240" w:line="240" w:lineRule="auto"/>
      </w:pPr>
      <w:r w:rsidRPr="000F6CD1">
        <w:t>In the Notes section, assessors should include the following information:</w:t>
      </w:r>
    </w:p>
    <w:p w14:paraId="35AD1487" w14:textId="77777777" w:rsidR="004D556D" w:rsidRPr="000F6CD1" w:rsidRDefault="004D556D" w:rsidP="00DF3F6B">
      <w:pPr>
        <w:pStyle w:val="ListParagraph"/>
        <w:numPr>
          <w:ilvl w:val="0"/>
          <w:numId w:val="164"/>
        </w:numPr>
        <w:spacing w:before="240" w:after="240" w:line="240" w:lineRule="auto"/>
      </w:pPr>
      <w:r w:rsidRPr="000F6CD1">
        <w:t>If the older person would benefit from accessing services through a MPSP provider in their local area</w:t>
      </w:r>
    </w:p>
    <w:p w14:paraId="4BF94F4A" w14:textId="77777777" w:rsidR="004D556D" w:rsidRPr="000F6CD1" w:rsidRDefault="004D556D" w:rsidP="00DF3F6B">
      <w:pPr>
        <w:pStyle w:val="ListParagraph"/>
        <w:numPr>
          <w:ilvl w:val="0"/>
          <w:numId w:val="164"/>
        </w:numPr>
        <w:spacing w:before="240" w:after="240" w:line="240" w:lineRule="auto"/>
      </w:pPr>
      <w:r w:rsidRPr="000F6CD1">
        <w:t>If the person would like to access services through a MPSP provider in their local area</w:t>
      </w:r>
    </w:p>
    <w:p w14:paraId="3663B854" w14:textId="77777777" w:rsidR="004D556D" w:rsidRPr="000F6CD1" w:rsidRDefault="004D556D" w:rsidP="00AD2CE5">
      <w:pPr>
        <w:pStyle w:val="H3"/>
      </w:pPr>
      <w:r w:rsidRPr="000F6CD1">
        <w:t>Interactions with other programs</w:t>
      </w:r>
    </w:p>
    <w:p w14:paraId="2AA33E51" w14:textId="77777777" w:rsidR="004D556D" w:rsidRPr="000F6CD1" w:rsidRDefault="004D556D" w:rsidP="00A677C9">
      <w:pPr>
        <w:spacing w:before="240" w:after="240" w:line="240" w:lineRule="auto"/>
      </w:pPr>
      <w:r w:rsidRPr="000F6CD1">
        <w:t>An older person cannot usually access services in the home and community and in a residential care home at the same time.</w:t>
      </w:r>
    </w:p>
    <w:p w14:paraId="539A6E0F" w14:textId="77777777" w:rsidR="004D556D" w:rsidRPr="000F6CD1" w:rsidRDefault="004D556D" w:rsidP="00A677C9">
      <w:pPr>
        <w:spacing w:before="240" w:after="240" w:line="240" w:lineRule="auto"/>
      </w:pPr>
      <w:r w:rsidRPr="000F6CD1">
        <w:t xml:space="preserve">A person approved for home support, assistive technology and home modification service groups may concurrently access some services through an MPSP, and other services through a mainstream registered provider (e.g. a provider who delivers services under the Support at Home program). For example, the person could access gardening and meal delivery services through Support at Home, while accessing nursing care through the MPSP. However, they cannot access the same type of service on the same day from a specialist aged care program provider and another service provider. </w:t>
      </w:r>
    </w:p>
    <w:p w14:paraId="667D1DF9" w14:textId="77777777" w:rsidR="004D556D" w:rsidRPr="000F6CD1" w:rsidRDefault="004D556D" w:rsidP="00A677C9">
      <w:pPr>
        <w:spacing w:before="240" w:after="240" w:line="240" w:lineRule="auto"/>
      </w:pPr>
      <w:r w:rsidRPr="000F6CD1">
        <w:t xml:space="preserve">Where the needs assessor discussed the person seeking access to services through their local MPSP, the decision and plan should also include a specific referral code for Services under the MPSP that a provider delivering services under the MPSP can use. </w:t>
      </w:r>
    </w:p>
    <w:tbl>
      <w:tblPr>
        <w:tblStyle w:val="TableGrid"/>
        <w:tblW w:w="0" w:type="auto"/>
        <w:tblLook w:val="04A0" w:firstRow="1" w:lastRow="0" w:firstColumn="1" w:lastColumn="0" w:noHBand="0" w:noVBand="1"/>
      </w:tblPr>
      <w:tblGrid>
        <w:gridCol w:w="988"/>
        <w:gridCol w:w="8028"/>
      </w:tblGrid>
      <w:tr w:rsidR="004D556D" w:rsidRPr="000F6CD1" w14:paraId="22FBBFCA" w14:textId="77777777">
        <w:tc>
          <w:tcPr>
            <w:tcW w:w="988" w:type="dxa"/>
          </w:tcPr>
          <w:p w14:paraId="68F3C234" w14:textId="77777777" w:rsidR="004D556D" w:rsidRPr="000F6CD1" w:rsidRDefault="004D556D" w:rsidP="00A677C9">
            <w:pPr>
              <w:spacing w:before="240" w:after="240"/>
            </w:pPr>
            <w:r w:rsidRPr="000F6CD1">
              <w:rPr>
                <w:noProof/>
              </w:rPr>
              <w:lastRenderedPageBreak/>
              <w:drawing>
                <wp:inline distT="0" distB="0" distL="0" distR="0" wp14:anchorId="4F72052B" wp14:editId="2672C63B">
                  <wp:extent cx="383111" cy="381000"/>
                  <wp:effectExtent l="0" t="0" r="0" b="0"/>
                  <wp:docPr id="203304193" name="Picture 20330419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193" name="Picture 203304193"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6A6E428B" w14:textId="77777777" w:rsidR="004D556D" w:rsidRPr="000F6CD1" w:rsidRDefault="004D556D" w:rsidP="00A677C9">
            <w:pPr>
              <w:spacing w:before="240" w:after="240"/>
            </w:pPr>
            <w:hyperlink r:id="rId193" w:history="1">
              <w:r w:rsidRPr="000F6CD1">
                <w:rPr>
                  <w:rStyle w:val="Hyperlink"/>
                </w:rPr>
                <w:t>About the Multi-Purpose Service Program | Australian Government Department of Health, Disability and Ageing</w:t>
              </w:r>
            </w:hyperlink>
          </w:p>
        </w:tc>
      </w:tr>
    </w:tbl>
    <w:p w14:paraId="2EF97470" w14:textId="77777777" w:rsidR="004D556D" w:rsidRPr="000F6CD1" w:rsidRDefault="004D556D" w:rsidP="00AD2CE5">
      <w:pPr>
        <w:pStyle w:val="H3"/>
      </w:pPr>
      <w:bookmarkStart w:id="518" w:name="_Toc198813688"/>
      <w:bookmarkStart w:id="519" w:name="_Toc204329571"/>
      <w:r w:rsidRPr="000F6CD1">
        <w:t>Referrals to NATSIFACP and MPSP providers </w:t>
      </w:r>
    </w:p>
    <w:p w14:paraId="32F4AE2D" w14:textId="77777777" w:rsidR="004D556D" w:rsidRPr="000F6CD1" w:rsidRDefault="004D556D" w:rsidP="00A677C9">
      <w:pPr>
        <w:spacing w:before="240" w:after="240" w:line="240" w:lineRule="auto"/>
      </w:pPr>
      <w:r w:rsidRPr="000F6CD1">
        <w:t xml:space="preserve">If a person is recommended for one or more services groups (e.g. Home Support, Assistive Technology, Home Modifications or Residential Care) and they intend to access the services under MPSP or NATSIFACP, the assessor should provide a Services under the MPSP or Services under the NATSIFACP service recommendation for the person as appropriate. </w:t>
      </w:r>
    </w:p>
    <w:p w14:paraId="6FCAC4BE" w14:textId="77777777" w:rsidR="004D556D" w:rsidRPr="000F6CD1" w:rsidRDefault="004D556D" w:rsidP="00A677C9">
      <w:pPr>
        <w:spacing w:before="240" w:after="240" w:line="240" w:lineRule="auto"/>
      </w:pPr>
      <w:r w:rsidRPr="000F6CD1">
        <w:t xml:space="preserve">This is in addition to providing service recommendations for one or more service groups which the assessor considers they meet the criteria for (e.g. Home Support, Assistive Technology, Home Modifications or Residential Care). </w:t>
      </w:r>
    </w:p>
    <w:p w14:paraId="50EAA967" w14:textId="77777777" w:rsidR="004D556D" w:rsidRPr="000F6CD1" w:rsidRDefault="004D556D" w:rsidP="00A677C9">
      <w:pPr>
        <w:spacing w:before="240" w:after="240" w:line="240" w:lineRule="auto"/>
      </w:pPr>
      <w:r w:rsidRPr="000F6CD1">
        <w:t xml:space="preserve">This will ensure the person will have a lawful access approval under the </w:t>
      </w:r>
      <w:r w:rsidRPr="000F6CD1">
        <w:rPr>
          <w:i/>
        </w:rPr>
        <w:t>Aged Care Act 202</w:t>
      </w:r>
      <w:r w:rsidRPr="000F6CD1">
        <w:rPr>
          <w:i/>
          <w:iCs/>
        </w:rPr>
        <w:t>4</w:t>
      </w:r>
      <w:r w:rsidRPr="000F6CD1">
        <w:t>, but also that they can be referred to a specialist provider in their local area where they are approved to access services. It will also ensure that additional information about the relevant specialist aged care program is included in their decision letter. </w:t>
      </w:r>
    </w:p>
    <w:p w14:paraId="5571C256" w14:textId="77777777" w:rsidR="004D556D" w:rsidRPr="000F6CD1" w:rsidRDefault="004D556D" w:rsidP="00A677C9">
      <w:pPr>
        <w:spacing w:before="240" w:after="240" w:line="240" w:lineRule="auto"/>
      </w:pPr>
      <w:r w:rsidRPr="000F6CD1">
        <w:t>Assessment delegates are responsible for approving service recommendations. </w:t>
      </w:r>
    </w:p>
    <w:p w14:paraId="083948FE" w14:textId="77777777" w:rsidR="004D556D" w:rsidRPr="000F6CD1" w:rsidRDefault="004D556D" w:rsidP="00806A21">
      <w:pPr>
        <w:pStyle w:val="Sub-headings"/>
      </w:pPr>
      <w:r w:rsidRPr="000F6CD1">
        <w:t>Important </w:t>
      </w:r>
    </w:p>
    <w:p w14:paraId="18B1F365" w14:textId="69B0C9E3" w:rsidR="004D556D" w:rsidRPr="000F6CD1" w:rsidRDefault="004D556D" w:rsidP="00806A21">
      <w:pPr>
        <w:pStyle w:val="Sub-headings"/>
      </w:pPr>
      <w:r w:rsidRPr="000F6CD1">
        <w:t>It is not sufficient to only make a service recommendation of Services under the MPSP or Services under the NATSIFACP, as an individual cannot access services under these programs without an access approval from a delegate for one or more service groups. </w:t>
      </w:r>
    </w:p>
    <w:p w14:paraId="7DD3293A" w14:textId="734C3BF8" w:rsidR="004D556D" w:rsidRPr="000F6CD1" w:rsidRDefault="004D556D" w:rsidP="00806A21">
      <w:pPr>
        <w:pStyle w:val="Sub-headings"/>
      </w:pPr>
      <w:r w:rsidRPr="000F6CD1">
        <w:t>If the client has been approved for home support with an ongoing Support at Home (SaH) classification or for the AT-HM scheme but intends to initially access services through their local MPSP or NATSIFACP provider, the assessor should set the ‘Seeking Services’ field to ‘No’ for one or all of these recommendations as needed. This must be confirmed with the individual before selecting the field. This will prevent the individual from being added to the prioritisation queue(s) for these services and being offered a place which they do not intend to accept at that time. You should not do this if you expect the older person will need to concurrently access services from both the MPSP/NATSIFACP and SaH program and/or the AT-HM scheme. </w:t>
      </w:r>
    </w:p>
    <w:p w14:paraId="28E19779" w14:textId="77777777" w:rsidR="004D556D" w:rsidRPr="000F6CD1" w:rsidRDefault="004D556D" w:rsidP="00A677C9">
      <w:pPr>
        <w:spacing w:before="240" w:after="240" w:line="240" w:lineRule="auto"/>
      </w:pPr>
      <w:r w:rsidRPr="000F6CD1">
        <w:t>If the client has only been approved for Home Support with a CHSP class, then an assessment delegate will need to ensure that: </w:t>
      </w:r>
    </w:p>
    <w:p w14:paraId="717CCB1B" w14:textId="77777777" w:rsidR="004D556D" w:rsidRPr="000F6CD1" w:rsidRDefault="004D556D" w:rsidP="00DF3F6B">
      <w:pPr>
        <w:pStyle w:val="ListParagraph"/>
        <w:numPr>
          <w:ilvl w:val="0"/>
          <w:numId w:val="210"/>
        </w:numPr>
        <w:spacing w:before="240" w:after="240" w:line="240" w:lineRule="auto"/>
      </w:pPr>
      <w:r w:rsidRPr="000F6CD1">
        <w:t>the Services under the MPSP or Services under the NATSIFACP service recommendation is recorded in the Notes section (as well as being a service recommendation in the support plan) </w:t>
      </w:r>
    </w:p>
    <w:p w14:paraId="5B88B5F4" w14:textId="3E3DE9E6" w:rsidR="004D556D" w:rsidRPr="000F6CD1" w:rsidRDefault="004D556D" w:rsidP="00DF3F6B">
      <w:pPr>
        <w:pStyle w:val="ListParagraph"/>
        <w:numPr>
          <w:ilvl w:val="0"/>
          <w:numId w:val="210"/>
        </w:numPr>
        <w:spacing w:before="240" w:after="240" w:line="240" w:lineRule="auto"/>
      </w:pPr>
      <w:r w:rsidRPr="000F6CD1">
        <w:t>the support plan </w:t>
      </w:r>
    </w:p>
    <w:p w14:paraId="26B94841" w14:textId="77777777" w:rsidR="004D556D" w:rsidRPr="000F6CD1" w:rsidRDefault="004D556D" w:rsidP="006647CE">
      <w:pPr>
        <w:pStyle w:val="h2"/>
      </w:pPr>
      <w:bookmarkStart w:id="520" w:name="_Toc209189002"/>
      <w:bookmarkStart w:id="521" w:name="_Toc233282462"/>
      <w:r w:rsidRPr="000F6CD1">
        <w:t>Transition Care Program (TCP)</w:t>
      </w:r>
      <w:bookmarkEnd w:id="518"/>
      <w:bookmarkEnd w:id="519"/>
      <w:bookmarkEnd w:id="520"/>
      <w:bookmarkEnd w:id="521"/>
    </w:p>
    <w:p w14:paraId="2D15ADB2"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 xml:space="preserve">Transition care is available to older people following admission to hospital. The program is delivered under the service groups home support, assistive technology, and residential </w:t>
      </w:r>
      <w:r w:rsidRPr="000F6CD1">
        <w:rPr>
          <w:rFonts w:eastAsia="Times New Roman"/>
        </w:rPr>
        <w:lastRenderedPageBreak/>
        <w:t>care</w:t>
      </w:r>
      <w:r w:rsidRPr="000F6CD1">
        <w:rPr>
          <w:rFonts w:eastAsia="Times New Roman"/>
          <w:b/>
        </w:rPr>
        <w:t>. </w:t>
      </w:r>
      <w:r w:rsidRPr="000F6CD1">
        <w:rPr>
          <w:rFonts w:eastAsia="Times New Roman"/>
        </w:rPr>
        <w:t>Transition Care is designed to support individuals in the period immediately after discharge from hospital. It aims to facilitate recovery, improve functional capacity, and provide time and support in a non-hospital environment while long-term care arrangements are being considered. </w:t>
      </w:r>
    </w:p>
    <w:p w14:paraId="33B55577" w14:textId="77777777" w:rsidR="004D556D" w:rsidRPr="000F6CD1" w:rsidRDefault="004D556D" w:rsidP="00A677C9">
      <w:pPr>
        <w:spacing w:before="240" w:after="240" w:line="240" w:lineRule="auto"/>
      </w:pPr>
      <w:r w:rsidRPr="000F6CD1">
        <w:t>Services include:</w:t>
      </w:r>
    </w:p>
    <w:p w14:paraId="4E9C7ADD" w14:textId="77777777" w:rsidR="004D556D" w:rsidRPr="000F6CD1" w:rsidRDefault="004D556D" w:rsidP="00DF3F6B">
      <w:pPr>
        <w:pStyle w:val="ListParagraph"/>
        <w:numPr>
          <w:ilvl w:val="0"/>
          <w:numId w:val="143"/>
        </w:numPr>
        <w:spacing w:before="240" w:after="240" w:line="240" w:lineRule="auto"/>
      </w:pPr>
      <w:r w:rsidRPr="000F6CD1">
        <w:t>social work</w:t>
      </w:r>
    </w:p>
    <w:p w14:paraId="642258CF" w14:textId="77777777" w:rsidR="004D556D" w:rsidRPr="000F6CD1" w:rsidRDefault="004D556D" w:rsidP="00DF3F6B">
      <w:pPr>
        <w:pStyle w:val="ListParagraph"/>
        <w:numPr>
          <w:ilvl w:val="0"/>
          <w:numId w:val="143"/>
        </w:numPr>
        <w:spacing w:before="240" w:after="240" w:line="240" w:lineRule="auto"/>
      </w:pPr>
      <w:r w:rsidRPr="000F6CD1">
        <w:t>nursing support</w:t>
      </w:r>
    </w:p>
    <w:p w14:paraId="14B5E5F4" w14:textId="77777777" w:rsidR="004D556D" w:rsidRPr="000F6CD1" w:rsidRDefault="004D556D" w:rsidP="00DF3F6B">
      <w:pPr>
        <w:pStyle w:val="ListParagraph"/>
        <w:numPr>
          <w:ilvl w:val="0"/>
          <w:numId w:val="143"/>
        </w:numPr>
        <w:spacing w:before="240" w:after="240" w:line="240" w:lineRule="auto"/>
      </w:pPr>
      <w:r w:rsidRPr="000F6CD1">
        <w:t>personal care</w:t>
      </w:r>
    </w:p>
    <w:p w14:paraId="21437292" w14:textId="77777777" w:rsidR="004D556D" w:rsidRPr="000F6CD1" w:rsidRDefault="004D556D" w:rsidP="00DF3F6B">
      <w:pPr>
        <w:pStyle w:val="ListParagraph"/>
        <w:numPr>
          <w:ilvl w:val="0"/>
          <w:numId w:val="143"/>
        </w:numPr>
        <w:spacing w:before="240" w:after="240" w:line="240" w:lineRule="auto"/>
      </w:pPr>
      <w:r w:rsidRPr="000F6CD1">
        <w:t>allied health care</w:t>
      </w:r>
    </w:p>
    <w:p w14:paraId="338F15F8" w14:textId="77777777" w:rsidR="004D556D" w:rsidRPr="000F6CD1" w:rsidRDefault="004D556D" w:rsidP="00DF3F6B">
      <w:pPr>
        <w:pStyle w:val="ListParagraph"/>
        <w:numPr>
          <w:ilvl w:val="0"/>
          <w:numId w:val="143"/>
        </w:numPr>
        <w:spacing w:before="240" w:after="240" w:line="240" w:lineRule="auto"/>
      </w:pPr>
      <w:r w:rsidRPr="000F6CD1">
        <w:t>equipment and products to assist with mobility.</w:t>
      </w:r>
    </w:p>
    <w:p w14:paraId="134A9726" w14:textId="77777777" w:rsidR="004D556D" w:rsidRPr="000F6CD1" w:rsidRDefault="004D556D" w:rsidP="00A677C9">
      <w:pPr>
        <w:spacing w:before="240" w:after="240" w:line="240" w:lineRule="auto"/>
      </w:pPr>
      <w:r w:rsidRPr="000F6CD1">
        <w:t xml:space="preserve">Transition care can take place in a person’s home, a community setting or a residential aged care setting. Older people accessing Support at Home can also access TCP services if they are assessed as eligible to receive transition care and there is no duplication in service provision. </w:t>
      </w:r>
    </w:p>
    <w:p w14:paraId="2F954E4B" w14:textId="77777777" w:rsidR="004D556D" w:rsidRPr="000F6CD1" w:rsidRDefault="004D556D" w:rsidP="00AD2CE5">
      <w:pPr>
        <w:pStyle w:val="H3"/>
      </w:pPr>
      <w:r w:rsidRPr="000F6CD1">
        <w:t>Access to transition care</w:t>
      </w:r>
    </w:p>
    <w:p w14:paraId="0DE963A6" w14:textId="77777777" w:rsidR="004D556D" w:rsidRPr="000F6CD1" w:rsidRDefault="004D556D" w:rsidP="00A677C9">
      <w:pPr>
        <w:spacing w:before="240" w:after="240" w:line="240" w:lineRule="auto"/>
      </w:pPr>
      <w:r w:rsidRPr="000F6CD1">
        <w:t>Transition care is time-limited</w:t>
      </w:r>
      <w:r w:rsidRPr="000F6CD1">
        <w:rPr>
          <w:bCs/>
        </w:rPr>
        <w:t>,</w:t>
      </w:r>
      <w:r w:rsidRPr="000F6CD1">
        <w:t xml:space="preserve"> with individuals allocated a funded period of 12 weeks to access services under the program. However, if the individual's recovery requires additional time, the service provider can apply for an extension.</w:t>
      </w:r>
    </w:p>
    <w:p w14:paraId="4DA086F5" w14:textId="77777777" w:rsidR="004D556D" w:rsidRPr="000F6CD1" w:rsidRDefault="004D556D" w:rsidP="00A677C9">
      <w:pPr>
        <w:spacing w:before="240" w:after="240" w:line="240" w:lineRule="auto"/>
      </w:pPr>
      <w:r w:rsidRPr="000F6CD1">
        <w:t xml:space="preserve">The Transition Care Program is defined under the </w:t>
      </w:r>
      <w:r w:rsidRPr="000F6CD1">
        <w:rPr>
          <w:i/>
        </w:rPr>
        <w:t>Aged Care Act 202</w:t>
      </w:r>
      <w:r w:rsidRPr="000F6CD1">
        <w:t>4 as a specialist aged care program. The number of places available for this care type is determined by the Federal Minister for Health, Disability and Ageing, based on state and territory needs. Only registered providers are permitted to deliver hospital transition care using these allocated places.</w:t>
      </w:r>
    </w:p>
    <w:p w14:paraId="226652ED" w14:textId="77777777" w:rsidR="004D556D" w:rsidRPr="000F6CD1" w:rsidRDefault="004D556D" w:rsidP="00A677C9">
      <w:pPr>
        <w:spacing w:before="240" w:after="240" w:line="240" w:lineRule="auto"/>
      </w:pPr>
      <w:r w:rsidRPr="000F6CD1">
        <w:t>Importantly, to be eligible for the program, the individual must be:</w:t>
      </w:r>
    </w:p>
    <w:p w14:paraId="4A88137B" w14:textId="77777777" w:rsidR="004D556D" w:rsidRPr="000F6CD1" w:rsidRDefault="004D556D" w:rsidP="00DF3F6B">
      <w:pPr>
        <w:pStyle w:val="ListParagraph"/>
        <w:numPr>
          <w:ilvl w:val="0"/>
          <w:numId w:val="194"/>
        </w:numPr>
        <w:spacing w:before="240" w:after="240" w:line="240" w:lineRule="auto"/>
      </w:pPr>
      <w:r w:rsidRPr="000F6CD1">
        <w:t>medically stable at the time of assessment; and</w:t>
      </w:r>
    </w:p>
    <w:p w14:paraId="6160372A" w14:textId="77777777" w:rsidR="004D556D" w:rsidRPr="000F6CD1" w:rsidRDefault="004D556D" w:rsidP="00DF3F6B">
      <w:pPr>
        <w:pStyle w:val="ListParagraph"/>
        <w:numPr>
          <w:ilvl w:val="0"/>
          <w:numId w:val="194"/>
        </w:numPr>
        <w:spacing w:before="240" w:after="240" w:line="240" w:lineRule="auto"/>
      </w:pPr>
      <w:r w:rsidRPr="000F6CD1">
        <w:t>is in the concluding stage of a hospital episode; and</w:t>
      </w:r>
    </w:p>
    <w:p w14:paraId="43312C29" w14:textId="77777777" w:rsidR="004D556D" w:rsidRPr="000F6CD1" w:rsidRDefault="004D556D" w:rsidP="00DF3F6B">
      <w:pPr>
        <w:pStyle w:val="ListParagraph"/>
        <w:numPr>
          <w:ilvl w:val="0"/>
          <w:numId w:val="194"/>
        </w:numPr>
        <w:spacing w:before="240" w:after="240" w:line="240" w:lineRule="auto"/>
      </w:pPr>
      <w:r w:rsidRPr="000F6CD1">
        <w:t xml:space="preserve">has the potential to benefit </w:t>
      </w:r>
      <w:r w:rsidRPr="000F6CD1">
        <w:rPr>
          <w:bCs/>
        </w:rPr>
        <w:t>from</w:t>
      </w:r>
      <w:r w:rsidRPr="000F6CD1">
        <w:t xml:space="preserve"> accessing services delivered through the relevant service group under the TCP; and</w:t>
      </w:r>
    </w:p>
    <w:p w14:paraId="5077FBEF" w14:textId="40251F4F" w:rsidR="004D556D" w:rsidRPr="000F6CD1" w:rsidRDefault="004D556D" w:rsidP="00DF3F6B">
      <w:pPr>
        <w:pStyle w:val="ListParagraph"/>
        <w:numPr>
          <w:ilvl w:val="0"/>
          <w:numId w:val="194"/>
        </w:numPr>
        <w:spacing w:before="240" w:after="240" w:line="240" w:lineRule="auto"/>
      </w:pPr>
      <w:r w:rsidRPr="000F6CD1">
        <w:t xml:space="preserve">at the time the assessment was carried out, an admitted hospital patient. This includes people receiving hospital-in-the-home. </w:t>
      </w:r>
    </w:p>
    <w:p w14:paraId="2608CDE7" w14:textId="77777777" w:rsidR="004D556D" w:rsidRPr="000F6CD1" w:rsidRDefault="004D556D" w:rsidP="00A677C9">
      <w:pPr>
        <w:spacing w:before="240" w:after="240" w:line="240" w:lineRule="auto"/>
      </w:pPr>
      <w:r w:rsidRPr="000F6CD1">
        <w:t>Once an individual is approved for hospital transition care, it is usual practice for hospital discharge staff to refer them directly to their local Transition Care provider</w:t>
      </w:r>
      <w:r w:rsidRPr="000F6CD1">
        <w:rPr>
          <w:bCs/>
        </w:rPr>
        <w:t>, following delegated approval.</w:t>
      </w:r>
    </w:p>
    <w:p w14:paraId="3ACFD4BC" w14:textId="77777777" w:rsidR="004D556D" w:rsidRPr="000F6CD1" w:rsidRDefault="004D556D" w:rsidP="00AD2CE5">
      <w:pPr>
        <w:pStyle w:val="H3"/>
      </w:pPr>
      <w:r w:rsidRPr="000F6CD1">
        <w:t>Recommending transition care</w:t>
      </w:r>
    </w:p>
    <w:p w14:paraId="52210484" w14:textId="77777777" w:rsidR="004D556D" w:rsidRPr="000F6CD1" w:rsidRDefault="004D556D" w:rsidP="00A677C9">
      <w:pPr>
        <w:spacing w:before="240" w:after="240" w:line="240" w:lineRule="auto"/>
        <w:rPr>
          <w:rFonts w:eastAsia="Aptos"/>
        </w:rPr>
      </w:pPr>
      <w:bookmarkStart w:id="522" w:name="_Toc198813689"/>
      <w:r w:rsidRPr="000F6CD1">
        <w:rPr>
          <w:rFonts w:eastAsia="Aptos"/>
        </w:rPr>
        <w:t>When recommending Transition Care in the support plan, assessors will add the care type Transition Care – After Hospital Care. When approved by the assessment delegate, the client will be approved for the following Service Groups:</w:t>
      </w:r>
    </w:p>
    <w:p w14:paraId="57B71C16" w14:textId="77777777" w:rsidR="004D556D" w:rsidRPr="000F6CD1" w:rsidRDefault="004D556D" w:rsidP="00DF3F6B">
      <w:pPr>
        <w:pStyle w:val="ListParagraph"/>
        <w:numPr>
          <w:ilvl w:val="0"/>
          <w:numId w:val="177"/>
        </w:numPr>
        <w:spacing w:before="240" w:after="240" w:line="240" w:lineRule="auto"/>
        <w:rPr>
          <w:rFonts w:eastAsia="Aptos"/>
        </w:rPr>
      </w:pPr>
      <w:r w:rsidRPr="000F6CD1">
        <w:rPr>
          <w:rFonts w:eastAsia="Aptos"/>
        </w:rPr>
        <w:t>Home Support;</w:t>
      </w:r>
    </w:p>
    <w:p w14:paraId="26BD538E" w14:textId="77777777" w:rsidR="004D556D" w:rsidRPr="000F6CD1" w:rsidRDefault="004D556D" w:rsidP="00DF3F6B">
      <w:pPr>
        <w:pStyle w:val="ListParagraph"/>
        <w:numPr>
          <w:ilvl w:val="0"/>
          <w:numId w:val="177"/>
        </w:numPr>
        <w:spacing w:before="240" w:after="240" w:line="240" w:lineRule="auto"/>
        <w:rPr>
          <w:rFonts w:eastAsia="Aptos"/>
        </w:rPr>
      </w:pPr>
      <w:r w:rsidRPr="000F6CD1">
        <w:rPr>
          <w:rFonts w:eastAsia="Aptos"/>
        </w:rPr>
        <w:t>Assistive Technology; and</w:t>
      </w:r>
    </w:p>
    <w:p w14:paraId="483B4713" w14:textId="77777777" w:rsidR="004D556D" w:rsidRPr="000F6CD1" w:rsidRDefault="004D556D" w:rsidP="00DF3F6B">
      <w:pPr>
        <w:pStyle w:val="ListParagraph"/>
        <w:numPr>
          <w:ilvl w:val="0"/>
          <w:numId w:val="177"/>
        </w:numPr>
        <w:spacing w:before="240" w:after="240" w:line="240" w:lineRule="auto"/>
        <w:rPr>
          <w:rFonts w:eastAsia="Aptos"/>
        </w:rPr>
      </w:pPr>
      <w:r w:rsidRPr="000F6CD1">
        <w:rPr>
          <w:rFonts w:eastAsia="Aptos"/>
        </w:rPr>
        <w:t>Residential Care.</w:t>
      </w:r>
    </w:p>
    <w:p w14:paraId="25229199"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lastRenderedPageBreak/>
        <w:t>The client will then have access to all of the required Transition Care service types under each service group, to allow them to receive transition care across different care settings including their home/in the community and Residential Care or a mixture of both. The Assessor and Assessment Delegate are not required to action any additional tasks such as selecting service types within the system in order for the client to be approved for all of the service groups above. These service group approvals will appear in the Notice of Decision Letter.</w:t>
      </w:r>
    </w:p>
    <w:p w14:paraId="3A38716D"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Approving all three service groups will allow TCP to provide all of the following Service Types to TCP clients when needed:</w:t>
      </w:r>
    </w:p>
    <w:p w14:paraId="22642A15" w14:textId="77777777" w:rsidR="004D556D" w:rsidRPr="000F6CD1" w:rsidRDefault="004D556D" w:rsidP="00DF3F6B">
      <w:pPr>
        <w:pStyle w:val="ListParagraph"/>
        <w:numPr>
          <w:ilvl w:val="0"/>
          <w:numId w:val="207"/>
        </w:numPr>
        <w:spacing w:before="240" w:after="240" w:line="240" w:lineRule="auto"/>
        <w:rPr>
          <w:rFonts w:eastAsia="Times New Roman"/>
        </w:rPr>
      </w:pPr>
      <w:r w:rsidRPr="000F6CD1">
        <w:rPr>
          <w:rFonts w:eastAsia="Times New Roman"/>
        </w:rPr>
        <w:t>Section 8-15 – Allied health and therapy</w:t>
      </w:r>
    </w:p>
    <w:p w14:paraId="77AF260B" w14:textId="77777777" w:rsidR="004D556D" w:rsidRPr="000F6CD1" w:rsidRDefault="004D556D" w:rsidP="00DF3F6B">
      <w:pPr>
        <w:pStyle w:val="ListParagraph"/>
        <w:numPr>
          <w:ilvl w:val="0"/>
          <w:numId w:val="207"/>
        </w:numPr>
        <w:spacing w:before="240" w:after="240" w:line="240" w:lineRule="auto"/>
        <w:textAlignment w:val="baseline"/>
        <w:rPr>
          <w:rFonts w:eastAsia="Times New Roman"/>
        </w:rPr>
      </w:pPr>
      <w:r w:rsidRPr="000F6CD1">
        <w:rPr>
          <w:szCs w:val="20"/>
        </w:rPr>
        <w:t>Section 8-20 – Assistance with transition care</w:t>
      </w:r>
    </w:p>
    <w:p w14:paraId="1553599A" w14:textId="77777777" w:rsidR="004D556D" w:rsidRPr="000F6CD1" w:rsidRDefault="004D556D" w:rsidP="00DF3F6B">
      <w:pPr>
        <w:pStyle w:val="ListParagraph"/>
        <w:numPr>
          <w:ilvl w:val="0"/>
          <w:numId w:val="206"/>
        </w:numPr>
        <w:spacing w:before="240" w:after="240" w:line="240" w:lineRule="auto"/>
        <w:rPr>
          <w:szCs w:val="20"/>
        </w:rPr>
      </w:pPr>
      <w:r w:rsidRPr="000F6CD1">
        <w:rPr>
          <w:szCs w:val="20"/>
        </w:rPr>
        <w:t>Section 8-35 – Domestic assistance</w:t>
      </w:r>
    </w:p>
    <w:p w14:paraId="39A1281C" w14:textId="77777777" w:rsidR="004D556D" w:rsidRPr="000F6CD1" w:rsidRDefault="004D556D" w:rsidP="00DF3F6B">
      <w:pPr>
        <w:pStyle w:val="ListParagraph"/>
        <w:numPr>
          <w:ilvl w:val="0"/>
          <w:numId w:val="206"/>
        </w:numPr>
        <w:spacing w:before="240" w:after="240" w:line="240" w:lineRule="auto"/>
        <w:rPr>
          <w:szCs w:val="20"/>
        </w:rPr>
      </w:pPr>
      <w:r w:rsidRPr="000F6CD1">
        <w:rPr>
          <w:szCs w:val="20"/>
        </w:rPr>
        <w:t>Section 8-45 – Home maintenance and repairs</w:t>
      </w:r>
    </w:p>
    <w:p w14:paraId="768C98BA" w14:textId="77777777" w:rsidR="004D556D" w:rsidRPr="000F6CD1" w:rsidRDefault="004D556D" w:rsidP="00DF3F6B">
      <w:pPr>
        <w:pStyle w:val="ListParagraph"/>
        <w:numPr>
          <w:ilvl w:val="0"/>
          <w:numId w:val="206"/>
        </w:numPr>
        <w:spacing w:before="240" w:after="240" w:line="240" w:lineRule="auto"/>
        <w:rPr>
          <w:szCs w:val="20"/>
        </w:rPr>
      </w:pPr>
      <w:r w:rsidRPr="000F6CD1">
        <w:rPr>
          <w:szCs w:val="20"/>
        </w:rPr>
        <w:t>Section 8-55 – Meals</w:t>
      </w:r>
    </w:p>
    <w:p w14:paraId="0ACC209E" w14:textId="77777777" w:rsidR="004D556D" w:rsidRPr="000F6CD1" w:rsidRDefault="004D556D" w:rsidP="00DF3F6B">
      <w:pPr>
        <w:pStyle w:val="ListParagraph"/>
        <w:numPr>
          <w:ilvl w:val="0"/>
          <w:numId w:val="206"/>
        </w:numPr>
        <w:spacing w:before="240" w:after="240" w:line="240" w:lineRule="auto"/>
        <w:rPr>
          <w:szCs w:val="20"/>
        </w:rPr>
      </w:pPr>
      <w:r w:rsidRPr="000F6CD1">
        <w:rPr>
          <w:szCs w:val="20"/>
        </w:rPr>
        <w:t>Section 8-60 – Nursing care</w:t>
      </w:r>
    </w:p>
    <w:p w14:paraId="540C096A" w14:textId="77777777" w:rsidR="004D556D" w:rsidRPr="000F6CD1" w:rsidRDefault="004D556D" w:rsidP="00DF3F6B">
      <w:pPr>
        <w:pStyle w:val="ListParagraph"/>
        <w:numPr>
          <w:ilvl w:val="0"/>
          <w:numId w:val="206"/>
        </w:numPr>
        <w:spacing w:before="240" w:after="240" w:line="240" w:lineRule="auto"/>
        <w:rPr>
          <w:szCs w:val="20"/>
        </w:rPr>
      </w:pPr>
      <w:r w:rsidRPr="000F6CD1">
        <w:rPr>
          <w:szCs w:val="20"/>
        </w:rPr>
        <w:t>Section 8-65 – Nutrition</w:t>
      </w:r>
    </w:p>
    <w:p w14:paraId="6CD2144D"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szCs w:val="20"/>
        </w:rPr>
        <w:t>Section 8-70 – Personal care</w:t>
      </w:r>
    </w:p>
    <w:p w14:paraId="5261C449"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szCs w:val="20"/>
        </w:rPr>
        <w:t>Section 8-110 – Equipment and products</w:t>
      </w:r>
    </w:p>
    <w:p w14:paraId="0BB3F72B"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rFonts w:eastAsia="Times New Roman"/>
        </w:rPr>
        <w:t>Section 8-140 - Residential accommodation</w:t>
      </w:r>
    </w:p>
    <w:p w14:paraId="121DED83"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rFonts w:eastAsia="Times New Roman"/>
        </w:rPr>
        <w:t>Section 8-145 - Residential everyday living</w:t>
      </w:r>
    </w:p>
    <w:p w14:paraId="212D799B"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rFonts w:eastAsia="Times New Roman"/>
        </w:rPr>
        <w:t>Section 8-150 - Residential non-clinical care</w:t>
      </w:r>
    </w:p>
    <w:p w14:paraId="689EFFEE" w14:textId="77777777" w:rsidR="004D556D" w:rsidRPr="000F6CD1" w:rsidRDefault="004D556D" w:rsidP="00DF3F6B">
      <w:pPr>
        <w:pStyle w:val="ListParagraph"/>
        <w:numPr>
          <w:ilvl w:val="0"/>
          <w:numId w:val="206"/>
        </w:numPr>
        <w:spacing w:before="240" w:after="240" w:line="240" w:lineRule="auto"/>
        <w:textAlignment w:val="baseline"/>
        <w:rPr>
          <w:rFonts w:eastAsia="Times New Roman"/>
        </w:rPr>
      </w:pPr>
      <w:r w:rsidRPr="000F6CD1">
        <w:rPr>
          <w:rFonts w:eastAsia="Times New Roman"/>
        </w:rPr>
        <w:t xml:space="preserve">Section 8-155 - Residential clinical care. </w:t>
      </w:r>
    </w:p>
    <w:p w14:paraId="36CD3862"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These service types are all funded through the Transition Care daily subsidy rate (paid to providers). There is no need to apply for separate funding through Support at Home or Residential Care.</w:t>
      </w:r>
    </w:p>
    <w:p w14:paraId="79F8E928"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 xml:space="preserve">Under Assistive Technology, the provision of loaned equipment and products to assist clients with mobility will continue to be offered by providers, funding for this will continue to be covered through the transition care daily subsidy rate (paid to providers). There is no need to apply for separate funding under the Assistive Technology Service Group. </w:t>
      </w:r>
    </w:p>
    <w:p w14:paraId="5D159067"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However, the provision and management of equipment under TCP is determined at the discretion of each state and territory. Jurisdictions may choose to provide equipment on either a permanent or loaned basis, depending on their local policies and operational arrangements.</w:t>
      </w:r>
    </w:p>
    <w:p w14:paraId="1F519669" w14:textId="77777777" w:rsidR="004D556D" w:rsidRPr="000F6CD1" w:rsidRDefault="004D556D" w:rsidP="002668C8">
      <w:pPr>
        <w:spacing w:before="240" w:after="240" w:line="240" w:lineRule="auto"/>
        <w:textAlignment w:val="baseline"/>
      </w:pPr>
      <w:r w:rsidRPr="000F6CD1">
        <w:rPr>
          <w:rFonts w:eastAsia="Times New Roman"/>
        </w:rPr>
        <w:t>When the older person is approved as eligible for transition care at the time of the initial assessment, they may need a support plan review or reassessment before the completion of their transition care episode, to establish their long-term care requirements. Where this is necessary, the assessor should review any changes to the person’s care needs and ensure that the long-term care recommendations reflect the revised level of need and the person’s preferences. For older Aboriginal and Torres Strait Islander people, where applicable, an ECS worker may work with the client, the client’s family and assessor to assist with identifying the best care arrangements.</w:t>
      </w:r>
    </w:p>
    <w:p w14:paraId="18040F91" w14:textId="1735A89C" w:rsidR="004D556D" w:rsidRPr="000F6CD1" w:rsidRDefault="004D556D" w:rsidP="00AD2CE5">
      <w:pPr>
        <w:pStyle w:val="H3"/>
        <w:rPr>
          <w:color w:val="0F4761"/>
        </w:rPr>
      </w:pPr>
      <w:bookmarkStart w:id="523" w:name="_Toc205444694"/>
      <w:bookmarkStart w:id="524" w:name="_Toc408512042"/>
      <w:r w:rsidRPr="000F6CD1">
        <w:drawing>
          <wp:anchor distT="0" distB="0" distL="114300" distR="114300" simplePos="0" relativeHeight="251658259" behindDoc="0" locked="0" layoutInCell="1" allowOverlap="1" wp14:anchorId="1AD24601" wp14:editId="013E3695">
            <wp:simplePos x="0" y="0"/>
            <wp:positionH relativeFrom="margin">
              <wp:posOffset>57150</wp:posOffset>
            </wp:positionH>
            <wp:positionV relativeFrom="paragraph">
              <wp:posOffset>8255</wp:posOffset>
            </wp:positionV>
            <wp:extent cx="457200" cy="502920"/>
            <wp:effectExtent l="0" t="0" r="0" b="0"/>
            <wp:wrapSquare wrapText="bothSides"/>
            <wp:docPr id="492835061" name="Picture 49283506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35061" name="Picture 492835061" descr="A bell with an exclamation mark that denotes a significant change in information from version 8.2 of the Aged Care Assessment Manual."/>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Pr="000F6CD1">
        <w:t xml:space="preserve">Accessing Transition Care Program with Support at Home or CHSP </w:t>
      </w:r>
      <w:bookmarkEnd w:id="523"/>
      <w:bookmarkEnd w:id="524"/>
    </w:p>
    <w:p w14:paraId="6ED5E3D9" w14:textId="00CC4322" w:rsidR="004D556D" w:rsidRPr="000F6CD1" w:rsidRDefault="004D556D" w:rsidP="00A677C9">
      <w:pPr>
        <w:spacing w:before="240" w:after="240" w:line="240" w:lineRule="auto"/>
        <w:rPr>
          <w:rFonts w:eastAsia="Aptos"/>
        </w:rPr>
      </w:pPr>
      <w:r w:rsidRPr="000F6CD1">
        <w:rPr>
          <w:rFonts w:eastAsia="Aptos"/>
        </w:rPr>
        <w:t xml:space="preserve">An older person can be recommended and approved for CHSP or Support at Home services at the same time as TCP, provided the </w:t>
      </w:r>
      <w:r w:rsidR="00386B7E">
        <w:rPr>
          <w:rFonts w:eastAsia="Aptos"/>
        </w:rPr>
        <w:t>IAT Outcome</w:t>
      </w:r>
      <w:r w:rsidRPr="000F6CD1">
        <w:rPr>
          <w:rFonts w:eastAsia="Aptos"/>
        </w:rPr>
        <w:t xml:space="preserve"> generates an ongoing home support </w:t>
      </w:r>
      <w:r w:rsidRPr="000F6CD1">
        <w:rPr>
          <w:rFonts w:eastAsia="Aptos"/>
        </w:rPr>
        <w:lastRenderedPageBreak/>
        <w:t xml:space="preserve">outcome. For example, Support at Home services can only be recommended if the </w:t>
      </w:r>
      <w:r w:rsidR="00386B7E">
        <w:rPr>
          <w:rFonts w:eastAsia="Aptos"/>
        </w:rPr>
        <w:t>IAT Outcome</w:t>
      </w:r>
      <w:r w:rsidRPr="000F6CD1">
        <w:rPr>
          <w:rFonts w:eastAsia="Aptos"/>
        </w:rPr>
        <w:t xml:space="preserve"> generates a SaH 1-8 classification level. The assessor must accept the </w:t>
      </w:r>
      <w:r w:rsidR="00386B7E">
        <w:rPr>
          <w:rFonts w:eastAsia="Aptos"/>
        </w:rPr>
        <w:t>IAT Outcome</w:t>
      </w:r>
      <w:r w:rsidRPr="000F6CD1">
        <w:rPr>
          <w:rFonts w:eastAsia="Aptos"/>
        </w:rPr>
        <w:t xml:space="preserve"> in line with 81-10 of the Rules. </w:t>
      </w:r>
    </w:p>
    <w:p w14:paraId="1E92E230" w14:textId="77777777" w:rsidR="004D556D" w:rsidRPr="000F6CD1" w:rsidRDefault="004D556D" w:rsidP="00A677C9">
      <w:pPr>
        <w:spacing w:before="240" w:after="240" w:line="240" w:lineRule="auto"/>
        <w:rPr>
          <w:rFonts w:eastAsia="Aptos"/>
        </w:rPr>
      </w:pPr>
      <w:r w:rsidRPr="000F6CD1">
        <w:rPr>
          <w:rFonts w:eastAsia="Aptos"/>
        </w:rPr>
        <w:t>Assessors should consider whether a hospital setting is the most appropriate setting to assess a patient for ongoing home support. They may determine the older person would be better assessed in their home. Alternatively, they may seek information about the older person’s home environment from the older person’s care and support team to make as accurate an assessment as possible of their ongoing aged care needs.</w:t>
      </w:r>
      <w:r w:rsidRPr="000F6CD1" w:rsidDel="00934235">
        <w:rPr>
          <w:rFonts w:eastAsia="Aptos"/>
        </w:rPr>
        <w:t xml:space="preserve"> </w:t>
      </w:r>
      <w:r w:rsidRPr="000F6CD1">
        <w:rPr>
          <w:rFonts w:eastAsia="Aptos"/>
        </w:rPr>
        <w:t>See Chapter 5 for further information on undertaking assessments in a hospital setting.</w:t>
      </w:r>
    </w:p>
    <w:p w14:paraId="03FC03B6" w14:textId="6200E2A5" w:rsidR="004D556D" w:rsidRPr="000F6CD1" w:rsidRDefault="004D556D" w:rsidP="00A677C9">
      <w:pPr>
        <w:spacing w:before="240" w:after="240" w:line="240" w:lineRule="auto"/>
        <w:rPr>
          <w:rFonts w:eastAsia="Aptos"/>
        </w:rPr>
      </w:pPr>
      <w:r w:rsidRPr="000F6CD1">
        <w:rPr>
          <w:rFonts w:eastAsia="Aptos"/>
        </w:rPr>
        <w:t xml:space="preserve">The client may need a support plan review or reassessment at the end of their transition care period </w:t>
      </w:r>
      <w:r w:rsidRPr="000F6CD1">
        <w:rPr>
          <w:rFonts w:eastAsia="Times New Roman"/>
        </w:rPr>
        <w:t>to establish their long-term care requirements.</w:t>
      </w:r>
    </w:p>
    <w:p w14:paraId="76272066" w14:textId="1288CD1F" w:rsidR="004D556D" w:rsidRPr="000F6CD1" w:rsidRDefault="004D556D" w:rsidP="00850125">
      <w:pPr>
        <w:spacing w:before="240" w:after="240" w:line="240" w:lineRule="auto"/>
      </w:pPr>
      <w:r w:rsidRPr="000F6CD1">
        <w:t xml:space="preserve">For transitioned HCP, SaH clients and CHSP clients who are assessed for TCP, the </w:t>
      </w:r>
      <w:r w:rsidR="00386B7E">
        <w:t>IAT Outcome</w:t>
      </w:r>
      <w:r w:rsidRPr="000F6CD1">
        <w:t xml:space="preserve"> will need to be accepted, and TCP added as a care type. </w:t>
      </w:r>
    </w:p>
    <w:p w14:paraId="5612ED9A" w14:textId="77777777" w:rsidR="004D556D" w:rsidRPr="000F6CD1" w:rsidRDefault="004D556D" w:rsidP="00A677C9">
      <w:pPr>
        <w:spacing w:before="240" w:after="240" w:line="240" w:lineRule="auto"/>
        <w:rPr>
          <w:rFonts w:eastAsia="Aptos"/>
        </w:rPr>
      </w:pPr>
      <w:r w:rsidRPr="000F6CD1">
        <w:t>Transitioned HCP, SaH and CHSP clients</w:t>
      </w:r>
      <w:r w:rsidRPr="000F6CD1">
        <w:rPr>
          <w:rFonts w:eastAsia="Aptos"/>
        </w:rPr>
        <w:t>, can continue to access Support at Home and CHSP services while accessing TCP, as long as the services are not duplicative. For example, an older person may elect to continue receiving gardening services under Support at Home in order to maintain a safe home environment, while they receive other services under TCP. It is the responsibility of the participant to notify their Support at Home or CHSP provider of their intention to enter transition care. It is expected that the participant’s Support at Home or CHSP provider and the relevant transition care provider will discuss and coordinate care provision to ensure the participant’s needs are met.</w:t>
      </w:r>
    </w:p>
    <w:p w14:paraId="2F18493A" w14:textId="77777777" w:rsidR="004D556D" w:rsidRPr="000F6CD1" w:rsidRDefault="004D556D" w:rsidP="001C5012">
      <w:pPr>
        <w:pStyle w:val="H3"/>
      </w:pPr>
      <w:bookmarkStart w:id="525" w:name="_Toc198008594"/>
      <w:bookmarkStart w:id="526" w:name="_Toc198787197"/>
      <w:bookmarkStart w:id="527" w:name="_Toc1702848649"/>
      <w:bookmarkStart w:id="528" w:name="_Toc199344584"/>
      <w:r w:rsidRPr="000F6CD1">
        <w:t>Accessing residential care/residential respite and transition care</w:t>
      </w:r>
    </w:p>
    <w:p w14:paraId="51BDEF8A" w14:textId="77777777" w:rsidR="004D556D" w:rsidRPr="000F6CD1" w:rsidRDefault="004D556D" w:rsidP="00A677C9">
      <w:pPr>
        <w:spacing w:before="240" w:after="240" w:line="240" w:lineRule="auto"/>
      </w:pPr>
      <w:r w:rsidRPr="000F6CD1">
        <w:t>A person in permanent</w:t>
      </w:r>
      <w:r w:rsidRPr="000F6CD1">
        <w:rPr>
          <w:bCs/>
        </w:rPr>
        <w:t xml:space="preserve"> </w:t>
      </w:r>
      <w:r w:rsidRPr="000F6CD1">
        <w:t>residential care who is receiving Transition Care must take Hospital Transition Leave for the duration of their TCP episode. In addition, they are not eligible to receive services under the Restorative Care Pathway</w:t>
      </w:r>
      <w:r w:rsidRPr="000F6CD1">
        <w:rPr>
          <w:b/>
        </w:rPr>
        <w:t xml:space="preserve"> </w:t>
      </w:r>
      <w:r w:rsidRPr="000F6CD1">
        <w:t>under</w:t>
      </w:r>
      <w:r w:rsidRPr="000F6CD1">
        <w:rPr>
          <w:b/>
        </w:rPr>
        <w:t xml:space="preserve"> </w:t>
      </w:r>
      <w:r w:rsidRPr="000F6CD1">
        <w:t xml:space="preserve">Support at Home. </w:t>
      </w:r>
    </w:p>
    <w:p w14:paraId="7E9B672F" w14:textId="77777777" w:rsidR="004D556D" w:rsidRPr="000F6CD1" w:rsidRDefault="004D556D" w:rsidP="00A677C9">
      <w:pPr>
        <w:spacing w:before="240" w:after="240" w:line="240" w:lineRule="auto"/>
        <w:rPr>
          <w:b/>
        </w:rPr>
      </w:pPr>
      <w:r w:rsidRPr="000F6CD1">
        <w:t xml:space="preserve">An individual receiving Transition Care is unable to access residential respite care while Transition Care is in effect. </w:t>
      </w:r>
    </w:p>
    <w:p w14:paraId="2AD25F0D" w14:textId="77777777" w:rsidR="004D556D" w:rsidRPr="000F6CD1" w:rsidRDefault="004D556D" w:rsidP="00AD2CE5">
      <w:pPr>
        <w:pStyle w:val="H3"/>
      </w:pPr>
      <w:bookmarkStart w:id="529" w:name="_Toc205372121"/>
      <w:bookmarkStart w:id="530" w:name="_Toc991219576"/>
      <w:r w:rsidRPr="000F6CD1">
        <w:t>Duration of transition care</w:t>
      </w:r>
      <w:bookmarkEnd w:id="525"/>
      <w:bookmarkEnd w:id="526"/>
      <w:bookmarkEnd w:id="527"/>
      <w:bookmarkEnd w:id="528"/>
      <w:bookmarkEnd w:id="529"/>
      <w:bookmarkEnd w:id="530"/>
    </w:p>
    <w:p w14:paraId="63953BA1" w14:textId="77777777" w:rsidR="004D556D" w:rsidRPr="000F6CD1" w:rsidRDefault="004D556D" w:rsidP="00A677C9">
      <w:pPr>
        <w:spacing w:before="240" w:after="240" w:line="240" w:lineRule="auto"/>
      </w:pPr>
      <w:r w:rsidRPr="000F6CD1">
        <w:t xml:space="preserve">The standard period for a transition care episode is 12 weeks (84 days).​ </w:t>
      </w:r>
    </w:p>
    <w:p w14:paraId="6F1D7B62" w14:textId="77777777" w:rsidR="004D556D" w:rsidRPr="000F6CD1" w:rsidRDefault="004D556D" w:rsidP="00A677C9">
      <w:pPr>
        <w:spacing w:before="240" w:after="240" w:line="240" w:lineRule="auto"/>
      </w:pPr>
      <w:r w:rsidRPr="000F6CD1">
        <w:t>This period may be extended by 6 weeks so the total transition care episode is 18 weeks (126 days) if the provider makes an application on behalf of the individual in accordance with the requirements of the Rules and is determined to require access to the services for the additional period.​</w:t>
      </w:r>
    </w:p>
    <w:p w14:paraId="59134E05" w14:textId="77777777" w:rsidR="004D556D" w:rsidRPr="000F6CD1" w:rsidRDefault="004D556D" w:rsidP="00A677C9">
      <w:pPr>
        <w:pStyle w:val="Heading4"/>
        <w:spacing w:before="240" w:after="240" w:line="240" w:lineRule="auto"/>
        <w:rPr>
          <w:rFonts w:ascii="Arial" w:hAnsi="Arial" w:cs="Arial"/>
          <w:b/>
          <w:color w:val="1E1444"/>
          <w:sz w:val="28"/>
          <w:szCs w:val="28"/>
        </w:rPr>
      </w:pPr>
      <w:r w:rsidRPr="000F6CD1">
        <w:rPr>
          <w:rFonts w:ascii="Arial" w:hAnsi="Arial" w:cs="Arial"/>
          <w:b/>
          <w:i w:val="0"/>
          <w:color w:val="44546A" w:themeColor="text2"/>
        </w:rPr>
        <w:t>Lapsing of transition care approval </w:t>
      </w:r>
    </w:p>
    <w:p w14:paraId="54A4F38D" w14:textId="77777777" w:rsidR="004D556D" w:rsidRPr="000F6CD1" w:rsidRDefault="004D556D" w:rsidP="00A677C9">
      <w:pPr>
        <w:spacing w:before="240" w:after="240" w:line="240" w:lineRule="auto"/>
        <w:textAlignment w:val="baseline"/>
        <w:rPr>
          <w:rFonts w:eastAsia="Times New Roman"/>
          <w:sz w:val="20"/>
          <w:szCs w:val="20"/>
        </w:rPr>
      </w:pPr>
      <w:r w:rsidRPr="000F6CD1">
        <w:rPr>
          <w:rFonts w:eastAsia="Times New Roman"/>
        </w:rPr>
        <w:t>A transition care approval will lapse under the following circumstances: </w:t>
      </w:r>
    </w:p>
    <w:p w14:paraId="57204AFA" w14:textId="77777777" w:rsidR="004D556D" w:rsidRPr="000F6CD1" w:rsidRDefault="004D556D" w:rsidP="00DF3F6B">
      <w:pPr>
        <w:numPr>
          <w:ilvl w:val="0"/>
          <w:numId w:val="178"/>
        </w:numPr>
        <w:spacing w:before="240" w:after="240" w:line="240" w:lineRule="auto"/>
        <w:textAlignment w:val="baseline"/>
        <w:rPr>
          <w:rFonts w:eastAsia="Times New Roman"/>
        </w:rPr>
      </w:pPr>
      <w:r w:rsidRPr="000F6CD1">
        <w:rPr>
          <w:rFonts w:eastAsia="Times New Roman"/>
          <w:b/>
        </w:rPr>
        <w:t>Delayed Entry into Care:</w:t>
      </w:r>
      <w:r w:rsidRPr="000F6CD1">
        <w:rPr>
          <w:rFonts w:eastAsia="Times New Roman"/>
        </w:rPr>
        <w:t> If the individual does not commence transition care within four weeks (28 days) following the approval date, the approval will lapse.​ </w:t>
      </w:r>
    </w:p>
    <w:p w14:paraId="0CE94219" w14:textId="77777777" w:rsidR="004D556D" w:rsidRPr="000F6CD1" w:rsidRDefault="004D556D" w:rsidP="00DF3F6B">
      <w:pPr>
        <w:numPr>
          <w:ilvl w:val="0"/>
          <w:numId w:val="178"/>
        </w:numPr>
        <w:spacing w:before="240" w:after="240" w:line="240" w:lineRule="auto"/>
        <w:textAlignment w:val="baseline"/>
        <w:rPr>
          <w:rFonts w:eastAsia="Times New Roman"/>
        </w:rPr>
      </w:pPr>
      <w:r w:rsidRPr="000F6CD1">
        <w:rPr>
          <w:rFonts w:eastAsia="Times New Roman"/>
          <w:b/>
        </w:rPr>
        <w:lastRenderedPageBreak/>
        <w:t>Re-entry After Hospitalisation:</w:t>
      </w:r>
      <w:r w:rsidRPr="000F6CD1">
        <w:rPr>
          <w:rFonts w:eastAsia="Times New Roman"/>
        </w:rPr>
        <w:t> If an individual completes a transition care episode and, after a subsequent hospital stay, seeks to begin a new transition care episode beyond the initial four-week entry period, a new approval is required. </w:t>
      </w:r>
    </w:p>
    <w:p w14:paraId="6B99746C" w14:textId="77777777" w:rsidR="004D556D" w:rsidRPr="000F6CD1" w:rsidRDefault="004D556D" w:rsidP="00A677C9">
      <w:pPr>
        <w:pStyle w:val="Heading4"/>
        <w:spacing w:before="240" w:after="240" w:line="240" w:lineRule="auto"/>
        <w:rPr>
          <w:rFonts w:ascii="Arial" w:hAnsi="Arial" w:cs="Arial"/>
          <w:b/>
          <w:color w:val="1E1444"/>
          <w:sz w:val="28"/>
          <w:szCs w:val="28"/>
        </w:rPr>
      </w:pPr>
      <w:r w:rsidRPr="000F6CD1">
        <w:rPr>
          <w:rFonts w:ascii="Arial" w:hAnsi="Arial" w:cs="Arial"/>
          <w:b/>
          <w:i w:val="0"/>
          <w:color w:val="44546A" w:themeColor="text2"/>
        </w:rPr>
        <w:t>Breaks in care </w:t>
      </w:r>
    </w:p>
    <w:p w14:paraId="79144E0A"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Individuals in the Transition Care Program (TCP) may take breaks in their care, known as break days, for up to seven days in total during a single episode of transition care. These leave days do not need to be consecutive and may be used for a range of reasons, such as brief hospital readmission or personal/social circumstances. </w:t>
      </w:r>
    </w:p>
    <w:p w14:paraId="1B02CAC0"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If the individual exceeds the seven-day leave limit, their TCP approval will automatically expire. In such cases, the individual must be reassessed, and the older person must receive a new approval before they can recommence transition care. </w:t>
      </w:r>
    </w:p>
    <w:p w14:paraId="5528D7A1" w14:textId="77777777" w:rsidR="004D556D" w:rsidRPr="000F6CD1" w:rsidRDefault="004D556D" w:rsidP="00AD2CE5">
      <w:pPr>
        <w:pStyle w:val="H3"/>
      </w:pPr>
      <w:r w:rsidRPr="000F6CD1">
        <w:t>Transition care extensions </w:t>
      </w:r>
    </w:p>
    <w:p w14:paraId="1AE517F4"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If an individual is still making functional gains and would benefit from additional time in Transition Care, the Transition Care provider can request an extension of up to 42 days, with the potential for a further 42-day extension if clinically appropriate. </w:t>
      </w:r>
    </w:p>
    <w:p w14:paraId="61D4A4A9"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 xml:space="preserve">To initiate the process, the Transition Care provider must submit an extension request via the My Aged Care Service and Support Portal to the assessment organisation. This request must be submitted before and approved by the 84th day of the care episode. The request should include the reason for the extension, the duration requested, and any supporting information relevant to the individual’s ongoing care needs. </w:t>
      </w:r>
      <w:r w:rsidRPr="000F6CD1">
        <w:t>Note there is no right of review if an extension request is declined​.</w:t>
      </w:r>
    </w:p>
    <w:p w14:paraId="35BDCA00"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The assessment organisation will receive and action the request through the My Aged Care Assessor Portal. The Assessment Delegate will be responsible for reviewing and making a decision on the request. </w:t>
      </w:r>
    </w:p>
    <w:p w14:paraId="4CFB3D56" w14:textId="77777777" w:rsidR="004D556D" w:rsidRPr="000F6CD1" w:rsidRDefault="004D556D" w:rsidP="00A677C9">
      <w:pPr>
        <w:spacing w:before="240" w:after="240" w:line="240" w:lineRule="auto"/>
        <w:textAlignment w:val="baseline"/>
        <w:rPr>
          <w:rFonts w:eastAsia="Times New Roman"/>
        </w:rPr>
      </w:pPr>
      <w:r w:rsidRPr="000F6CD1">
        <w:rPr>
          <w:rFonts w:eastAsia="Times New Roman"/>
        </w:rPr>
        <w:t xml:space="preserve">When recording a decision to approve an individual for Transition Care, a drop-down box will require the assessor to select a priority. There is no priority system in place to receive services through Transition Care, and the priority value will not impact the timeliness of receiving these services. For consistency, assessors are required to set the priority to ‘high’ for all assessments. </w:t>
      </w:r>
    </w:p>
    <w:tbl>
      <w:tblPr>
        <w:tblStyle w:val="TableGrid"/>
        <w:tblW w:w="0" w:type="auto"/>
        <w:tblLook w:val="04A0" w:firstRow="1" w:lastRow="0" w:firstColumn="1" w:lastColumn="0" w:noHBand="0" w:noVBand="1"/>
      </w:tblPr>
      <w:tblGrid>
        <w:gridCol w:w="988"/>
        <w:gridCol w:w="8028"/>
      </w:tblGrid>
      <w:tr w:rsidR="004D556D" w:rsidRPr="000F6CD1" w14:paraId="4600A2DB" w14:textId="77777777">
        <w:tc>
          <w:tcPr>
            <w:tcW w:w="988" w:type="dxa"/>
          </w:tcPr>
          <w:p w14:paraId="5D6CF630" w14:textId="77777777" w:rsidR="004D556D" w:rsidRPr="000F6CD1" w:rsidRDefault="004D556D" w:rsidP="00A677C9">
            <w:pPr>
              <w:spacing w:before="240" w:after="240"/>
            </w:pPr>
            <w:r w:rsidRPr="000F6CD1">
              <w:rPr>
                <w:noProof/>
              </w:rPr>
              <w:drawing>
                <wp:inline distT="0" distB="0" distL="0" distR="0" wp14:anchorId="5DB25654" wp14:editId="06CB6818">
                  <wp:extent cx="383111" cy="381000"/>
                  <wp:effectExtent l="0" t="0" r="0" b="0"/>
                  <wp:docPr id="157107727" name="Picture 15710772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727" name="Picture 157107727"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028" w:type="dxa"/>
          </w:tcPr>
          <w:p w14:paraId="382D897F" w14:textId="77777777" w:rsidR="004D556D" w:rsidRPr="000F6CD1" w:rsidRDefault="004D556D" w:rsidP="00A677C9">
            <w:pPr>
              <w:spacing w:before="240" w:after="240"/>
            </w:pPr>
            <w:hyperlink r:id="rId194" w:history="1">
              <w:r w:rsidRPr="000F6CD1">
                <w:rPr>
                  <w:rStyle w:val="Hyperlink"/>
                  <w:rFonts w:eastAsia="Times New Roman"/>
                </w:rPr>
                <w:t>Transition Care Program Guidelines – November 2025 | Australian Government Department of Health, Disability and Ageing</w:t>
              </w:r>
            </w:hyperlink>
          </w:p>
        </w:tc>
      </w:tr>
    </w:tbl>
    <w:p w14:paraId="21747D9B" w14:textId="77777777" w:rsidR="004D556D" w:rsidRPr="000F6CD1" w:rsidRDefault="004D556D" w:rsidP="006647CE">
      <w:pPr>
        <w:pStyle w:val="h2"/>
      </w:pPr>
      <w:bookmarkStart w:id="531" w:name="_Toc209189004"/>
      <w:bookmarkStart w:id="532" w:name="_Toc233282463"/>
      <w:bookmarkStart w:id="533" w:name="_Toc204329572"/>
      <w:r w:rsidRPr="000F6CD1">
        <w:t>Residential care</w:t>
      </w:r>
      <w:bookmarkEnd w:id="522"/>
      <w:bookmarkEnd w:id="531"/>
      <w:bookmarkEnd w:id="532"/>
      <w:r w:rsidRPr="000F6CD1">
        <w:t xml:space="preserve"> </w:t>
      </w:r>
      <w:bookmarkEnd w:id="533"/>
    </w:p>
    <w:p w14:paraId="0D03792E" w14:textId="77777777" w:rsidR="004D556D" w:rsidRPr="000F6CD1" w:rsidRDefault="004D556D" w:rsidP="00A677C9">
      <w:pPr>
        <w:spacing w:before="240" w:after="240" w:line="240" w:lineRule="auto"/>
      </w:pPr>
      <w:r w:rsidRPr="000F6CD1">
        <w:t>Residential aged care is a care type that can be recommended to an older person. There are two types of residential care: ongoing (permanent) and short-term (respite).</w:t>
      </w:r>
    </w:p>
    <w:p w14:paraId="594C9354" w14:textId="77777777" w:rsidR="004D556D" w:rsidRPr="000F6CD1" w:rsidRDefault="004D556D" w:rsidP="00A677C9">
      <w:pPr>
        <w:spacing w:before="240" w:after="240" w:line="240" w:lineRule="auto"/>
      </w:pPr>
      <w:r w:rsidRPr="000F6CD1">
        <w:t xml:space="preserve">An ongoing residential care approval does not compel an older person to enter residential care, it simply enables a person to commence residential care services if and when they choose to do so, without the need for further assessment. </w:t>
      </w:r>
    </w:p>
    <w:p w14:paraId="69BCF181" w14:textId="77777777" w:rsidR="004D556D" w:rsidRPr="000F6CD1" w:rsidRDefault="004D556D" w:rsidP="00A677C9">
      <w:pPr>
        <w:spacing w:before="240" w:after="240" w:line="240" w:lineRule="auto"/>
      </w:pPr>
      <w:r w:rsidRPr="000F6CD1">
        <w:t xml:space="preserve">Matters relating to residential care must be decided with the consent of the older person, and if they do not have capacity, their appointed decision maker recognised under the Act </w:t>
      </w:r>
      <w:r w:rsidRPr="000F6CD1">
        <w:lastRenderedPageBreak/>
        <w:t xml:space="preserve">(whether or not that person is a registered supporter). Appointed decision makers must have authority to make any decisions relative to residential care, and that authority must be active. </w:t>
      </w:r>
    </w:p>
    <w:p w14:paraId="1089C299" w14:textId="77777777" w:rsidR="004D556D" w:rsidRPr="000F6CD1" w:rsidRDefault="004D556D" w:rsidP="00A677C9">
      <w:pPr>
        <w:spacing w:before="240" w:after="240" w:line="240" w:lineRule="auto"/>
        <w:rPr>
          <w:rFonts w:eastAsia="MS Mincho"/>
        </w:rPr>
      </w:pPr>
      <w:r w:rsidRPr="000F6CD1">
        <w:t>Where possible, older people should be supported to live in their community for as long as possible. An assessment may, however, identify residential care as a suitable option for an older person who is no longer able to be adequately cared for by carers or family, and is incapable of living in their community without support.</w:t>
      </w:r>
      <w:r w:rsidRPr="000F6CD1">
        <w:rPr>
          <w:rFonts w:eastAsia="MS Mincho"/>
        </w:rPr>
        <w:t xml:space="preserve"> </w:t>
      </w:r>
    </w:p>
    <w:p w14:paraId="0FFB2E2B" w14:textId="40D21DEE" w:rsidR="004D556D" w:rsidRPr="000F6CD1" w:rsidRDefault="004D556D" w:rsidP="00A677C9">
      <w:pPr>
        <w:spacing w:before="240" w:after="240" w:line="240" w:lineRule="auto"/>
        <w:rPr>
          <w:rFonts w:eastAsia="MS Mincho"/>
        </w:rPr>
      </w:pPr>
      <w:r w:rsidRPr="000F6CD1">
        <w:rPr>
          <w:rFonts w:eastAsia="MS Mincho"/>
        </w:rPr>
        <w:t xml:space="preserve">Application and approval for residential care means the person meets the eligibility criteria and the care type is appropriate for their care needs. To be approved for residential care a delegate must be satisfied that section 68 of the Act applies to an older person (except for older Aboriginal and Torres Strait Islander people who access services on a different constitution basis). The older non-Aboriginal and Torres Strait Islander person must require aged care services due to their sickness as defined under the Act. For further information on the Act’s definition of sickness and approvals under sections 67 and 68, refer to section </w:t>
      </w:r>
      <w:r w:rsidRPr="000F6CD1">
        <w:rPr>
          <w:rFonts w:eastAsia="MS Mincho"/>
        </w:rPr>
        <w:fldChar w:fldCharType="begin"/>
      </w:r>
      <w:r w:rsidRPr="000F6CD1">
        <w:rPr>
          <w:rFonts w:eastAsia="MS Mincho"/>
        </w:rPr>
        <w:instrText xml:space="preserve"> REF _Ref212738703 \w \h </w:instrText>
      </w:r>
      <w:r w:rsidRPr="000F6CD1">
        <w:rPr>
          <w:rFonts w:eastAsia="MS Mincho"/>
        </w:rPr>
      </w:r>
      <w:r w:rsidRPr="000F6CD1">
        <w:rPr>
          <w:rFonts w:eastAsia="MS Mincho"/>
        </w:rPr>
        <w:fldChar w:fldCharType="separate"/>
      </w:r>
      <w:r w:rsidR="004B171E">
        <w:rPr>
          <w:rFonts w:eastAsia="MS Mincho"/>
        </w:rPr>
        <w:t>7.6.4</w:t>
      </w:r>
      <w:r w:rsidRPr="000F6CD1">
        <w:rPr>
          <w:rFonts w:eastAsia="MS Mincho"/>
        </w:rPr>
        <w:fldChar w:fldCharType="end"/>
      </w:r>
      <w:r w:rsidRPr="000F6CD1">
        <w:rPr>
          <w:rFonts w:eastAsia="MS Mincho"/>
        </w:rPr>
        <w:t xml:space="preserve"> of Chapter </w:t>
      </w:r>
      <w:r w:rsidRPr="000F6CD1">
        <w:rPr>
          <w:rFonts w:eastAsia="MS Mincho"/>
        </w:rPr>
        <w:fldChar w:fldCharType="begin"/>
      </w:r>
      <w:r w:rsidRPr="000F6CD1">
        <w:rPr>
          <w:rFonts w:eastAsia="MS Mincho"/>
        </w:rPr>
        <w:instrText xml:space="preserve"> REF _Ref212738728 \w \h </w:instrText>
      </w:r>
      <w:r w:rsidRPr="000F6CD1">
        <w:rPr>
          <w:rFonts w:eastAsia="MS Mincho"/>
        </w:rPr>
      </w:r>
      <w:r w:rsidRPr="000F6CD1">
        <w:rPr>
          <w:rFonts w:eastAsia="MS Mincho"/>
        </w:rPr>
        <w:fldChar w:fldCharType="separate"/>
      </w:r>
      <w:r w:rsidR="004B171E">
        <w:rPr>
          <w:rFonts w:eastAsia="MS Mincho"/>
        </w:rPr>
        <w:t>7</w:t>
      </w:r>
      <w:r w:rsidRPr="000F6CD1">
        <w:rPr>
          <w:rFonts w:eastAsia="MS Mincho"/>
        </w:rPr>
        <w:fldChar w:fldCharType="end"/>
      </w:r>
      <w:r w:rsidRPr="000F6CD1">
        <w:rPr>
          <w:rFonts w:eastAsia="MS Mincho"/>
        </w:rPr>
        <w:t xml:space="preserve">. </w:t>
      </w:r>
    </w:p>
    <w:p w14:paraId="3226DF25" w14:textId="77777777" w:rsidR="004D556D" w:rsidRPr="000F6CD1" w:rsidRDefault="004D556D" w:rsidP="00A677C9">
      <w:pPr>
        <w:spacing w:before="240" w:after="240" w:line="240" w:lineRule="auto"/>
      </w:pPr>
      <w:r w:rsidRPr="000F6CD1">
        <w:t xml:space="preserve">On 1 October 2022, the Australian National Aged Care Classification (AN-ACC) residential care funding model replaced the Aged Care Funding Instrument. </w:t>
      </w:r>
    </w:p>
    <w:p w14:paraId="184B58C6" w14:textId="7CD410C2" w:rsidR="004D556D" w:rsidRPr="000F6CD1" w:rsidRDefault="004D556D" w:rsidP="00A677C9">
      <w:pPr>
        <w:spacing w:before="240" w:after="240" w:line="240" w:lineRule="auto"/>
      </w:pPr>
      <w:r w:rsidRPr="000F6CD1">
        <w:t xml:space="preserve">Following an older person’s admission to residential care, a residential aged care funding assessor (RAC funding assessor) will conduct an assessment using the AN-ACC assessment tool. The assessment information is uploaded and is used to determine the resident’s classification. </w:t>
      </w:r>
    </w:p>
    <w:p w14:paraId="1D995E9A" w14:textId="77777777" w:rsidR="004D556D" w:rsidRPr="000F6CD1" w:rsidRDefault="004D556D" w:rsidP="00A677C9">
      <w:pPr>
        <w:keepNext/>
        <w:spacing w:before="240" w:after="240" w:line="240" w:lineRule="auto"/>
        <w:ind w:left="357" w:hanging="357"/>
        <w:rPr>
          <w:rFonts w:eastAsia="MS Mincho"/>
        </w:rPr>
      </w:pPr>
      <w:r w:rsidRPr="000F6CD1">
        <w:rPr>
          <w:rFonts w:eastAsia="MS Mincho"/>
        </w:rPr>
        <w:t>A person who is eligible for residential care may require daily assistance with:</w:t>
      </w:r>
    </w:p>
    <w:p w14:paraId="1FCEF60A" w14:textId="77777777" w:rsidR="004D556D" w:rsidRPr="000F6CD1" w:rsidRDefault="004D556D" w:rsidP="00DF3F6B">
      <w:pPr>
        <w:pStyle w:val="ListParagraph"/>
        <w:numPr>
          <w:ilvl w:val="0"/>
          <w:numId w:val="180"/>
        </w:numPr>
        <w:spacing w:before="240" w:after="240" w:line="240" w:lineRule="auto"/>
        <w:ind w:left="567" w:hanging="284"/>
      </w:pPr>
      <w:r w:rsidRPr="000F6CD1">
        <w:t>meals (including special diets)</w:t>
      </w:r>
    </w:p>
    <w:p w14:paraId="61C1AB08" w14:textId="77777777" w:rsidR="004D556D" w:rsidRPr="000F6CD1" w:rsidRDefault="004D556D" w:rsidP="00DF3F6B">
      <w:pPr>
        <w:pStyle w:val="ListParagraph"/>
        <w:numPr>
          <w:ilvl w:val="0"/>
          <w:numId w:val="180"/>
        </w:numPr>
        <w:spacing w:before="240" w:after="240" w:line="240" w:lineRule="auto"/>
        <w:ind w:left="567" w:hanging="284"/>
      </w:pPr>
      <w:r w:rsidRPr="000F6CD1">
        <w:t>bathing, showering, dressing and personal hygiene</w:t>
      </w:r>
    </w:p>
    <w:p w14:paraId="5DCB4418" w14:textId="77777777" w:rsidR="004D556D" w:rsidRPr="000F6CD1" w:rsidRDefault="004D556D" w:rsidP="00DF3F6B">
      <w:pPr>
        <w:pStyle w:val="ListParagraph"/>
        <w:numPr>
          <w:ilvl w:val="0"/>
          <w:numId w:val="180"/>
        </w:numPr>
        <w:spacing w:before="240" w:after="240" w:line="240" w:lineRule="auto"/>
        <w:ind w:left="567" w:hanging="284"/>
      </w:pPr>
      <w:r w:rsidRPr="000F6CD1">
        <w:t>toileting and continence management</w:t>
      </w:r>
    </w:p>
    <w:p w14:paraId="5A004607" w14:textId="77777777" w:rsidR="004D556D" w:rsidRPr="000F6CD1" w:rsidRDefault="004D556D" w:rsidP="00DF3F6B">
      <w:pPr>
        <w:pStyle w:val="ListParagraph"/>
        <w:numPr>
          <w:ilvl w:val="0"/>
          <w:numId w:val="180"/>
        </w:numPr>
        <w:spacing w:before="240" w:after="240" w:line="240" w:lineRule="auto"/>
        <w:ind w:left="567" w:hanging="284"/>
      </w:pPr>
      <w:r w:rsidRPr="000F6CD1">
        <w:t>general nursing care (e.g. wound management)</w:t>
      </w:r>
    </w:p>
    <w:p w14:paraId="578B574E" w14:textId="77777777" w:rsidR="004D556D" w:rsidRPr="000F6CD1" w:rsidRDefault="004D556D" w:rsidP="00DF3F6B">
      <w:pPr>
        <w:pStyle w:val="ListParagraph"/>
        <w:numPr>
          <w:ilvl w:val="0"/>
          <w:numId w:val="180"/>
        </w:numPr>
        <w:spacing w:before="240" w:after="240" w:line="240" w:lineRule="auto"/>
        <w:ind w:left="567" w:hanging="284"/>
      </w:pPr>
      <w:r w:rsidRPr="000F6CD1">
        <w:t>organising and taking medication</w:t>
      </w:r>
    </w:p>
    <w:p w14:paraId="17A1203C" w14:textId="77777777" w:rsidR="004D556D" w:rsidRPr="000F6CD1" w:rsidRDefault="004D556D" w:rsidP="00DF3F6B">
      <w:pPr>
        <w:pStyle w:val="ListParagraph"/>
        <w:numPr>
          <w:ilvl w:val="0"/>
          <w:numId w:val="180"/>
        </w:numPr>
        <w:spacing w:before="240" w:after="240" w:line="240" w:lineRule="auto"/>
        <w:ind w:left="567" w:hanging="284"/>
      </w:pPr>
      <w:r w:rsidRPr="000F6CD1">
        <w:t>communication (including fitting sensory or communication aids)</w:t>
      </w:r>
    </w:p>
    <w:p w14:paraId="1B5E498F" w14:textId="77777777" w:rsidR="004D556D" w:rsidRPr="000F6CD1" w:rsidRDefault="004D556D" w:rsidP="00DF3F6B">
      <w:pPr>
        <w:pStyle w:val="ListParagraph"/>
        <w:numPr>
          <w:ilvl w:val="0"/>
          <w:numId w:val="180"/>
        </w:numPr>
        <w:spacing w:before="240" w:after="240" w:line="240" w:lineRule="auto"/>
        <w:ind w:left="567" w:hanging="284"/>
      </w:pPr>
      <w:r w:rsidRPr="000F6CD1">
        <w:t>transfers and mobility</w:t>
      </w:r>
    </w:p>
    <w:p w14:paraId="0B38A96D" w14:textId="44E83624" w:rsidR="004D556D" w:rsidRPr="000F6CD1" w:rsidRDefault="004D556D" w:rsidP="00DF3F6B">
      <w:pPr>
        <w:pStyle w:val="ListParagraph"/>
        <w:numPr>
          <w:ilvl w:val="0"/>
          <w:numId w:val="180"/>
        </w:numPr>
        <w:spacing w:before="240" w:after="240" w:line="240" w:lineRule="auto"/>
        <w:ind w:left="567" w:hanging="284"/>
      </w:pPr>
      <w:r w:rsidRPr="000F6CD1">
        <w:t>assessment and referral for appropriate health services; and/or</w:t>
      </w:r>
    </w:p>
    <w:p w14:paraId="17C87019" w14:textId="77777777" w:rsidR="004D556D" w:rsidRPr="000F6CD1" w:rsidRDefault="004D556D" w:rsidP="00DF3F6B">
      <w:pPr>
        <w:pStyle w:val="ListParagraph"/>
        <w:numPr>
          <w:ilvl w:val="0"/>
          <w:numId w:val="180"/>
        </w:numPr>
        <w:spacing w:before="240" w:after="240" w:line="240" w:lineRule="auto"/>
        <w:ind w:left="567" w:hanging="284"/>
      </w:pPr>
      <w:r w:rsidRPr="000F6CD1">
        <w:t>emotional support</w:t>
      </w:r>
    </w:p>
    <w:p w14:paraId="7F813D14" w14:textId="77777777" w:rsidR="004D556D" w:rsidRPr="000F6CD1" w:rsidRDefault="004D556D" w:rsidP="00A677C9">
      <w:pPr>
        <w:spacing w:before="240" w:after="240" w:line="240" w:lineRule="auto"/>
      </w:pPr>
      <w:bookmarkStart w:id="534" w:name="_Toc198008577"/>
      <w:bookmarkStart w:id="535" w:name="_Toc198787183"/>
      <w:bookmarkStart w:id="536" w:name="_Toc1563280314"/>
      <w:bookmarkStart w:id="537" w:name="_Toc199344570"/>
      <w:bookmarkStart w:id="538" w:name="_Toc205372107"/>
      <w:bookmarkStart w:id="539" w:name="_Toc1355946124"/>
      <w:r w:rsidRPr="000F6CD1">
        <w:t xml:space="preserve">If an older person’s concerns and goals identify the need for residential care, ongoing and short-term residential care can be added to a person’s support plan through the ‘add care type’ button on the </w:t>
      </w:r>
      <w:r w:rsidRPr="000F6CD1">
        <w:rPr>
          <w:i/>
        </w:rPr>
        <w:t>Goals &amp; recommendations</w:t>
      </w:r>
      <w:r w:rsidRPr="000F6CD1">
        <w:t xml:space="preserve"> tab. </w:t>
      </w:r>
    </w:p>
    <w:p w14:paraId="1C112BD8" w14:textId="77777777" w:rsidR="004D556D" w:rsidRPr="000F6CD1" w:rsidRDefault="004D556D" w:rsidP="00A677C9">
      <w:pPr>
        <w:spacing w:before="240" w:after="240" w:line="240" w:lineRule="auto"/>
      </w:pPr>
      <w:r w:rsidRPr="000F6CD1">
        <w:t>An assessor will need to consider the person’s:</w:t>
      </w:r>
    </w:p>
    <w:p w14:paraId="59CBAF72" w14:textId="77777777" w:rsidR="004D556D" w:rsidRPr="000F6CD1" w:rsidRDefault="004D556D" w:rsidP="00DF3F6B">
      <w:pPr>
        <w:pStyle w:val="ListParagraph"/>
        <w:numPr>
          <w:ilvl w:val="0"/>
          <w:numId w:val="165"/>
        </w:numPr>
        <w:spacing w:before="240" w:after="240" w:line="240" w:lineRule="auto"/>
      </w:pPr>
      <w:r w:rsidRPr="000F6CD1">
        <w:t>physical needs – how much support does the person need for daily living activities (i.e. preparing meals, eating, showering, dressing etc.) their level of mobility and whether they need assistance to walk, sit and stand</w:t>
      </w:r>
    </w:p>
    <w:p w14:paraId="7616882B" w14:textId="77777777" w:rsidR="004D556D" w:rsidRPr="000F6CD1" w:rsidRDefault="004D556D" w:rsidP="00DF3F6B">
      <w:pPr>
        <w:pStyle w:val="ListParagraph"/>
        <w:numPr>
          <w:ilvl w:val="0"/>
          <w:numId w:val="165"/>
        </w:numPr>
        <w:spacing w:before="240" w:after="240" w:line="240" w:lineRule="auto"/>
      </w:pPr>
      <w:r w:rsidRPr="000F6CD1">
        <w:t>health needs - does the person have chronic health issues that require nursing intervention or regular clinical/medical procedures</w:t>
      </w:r>
    </w:p>
    <w:p w14:paraId="5972DF11" w14:textId="0D30B655" w:rsidR="004D556D" w:rsidRPr="000F6CD1" w:rsidRDefault="004D556D" w:rsidP="00DF3F6B">
      <w:pPr>
        <w:pStyle w:val="ListParagraph"/>
        <w:numPr>
          <w:ilvl w:val="0"/>
          <w:numId w:val="165"/>
        </w:numPr>
        <w:spacing w:before="240" w:after="240" w:line="240" w:lineRule="auto"/>
      </w:pPr>
      <w:r w:rsidRPr="000F6CD1">
        <w:t>cognitive needs – does the person have issues with memory, orientation, or thinking abilities? is there a diagnosis of dementia?</w:t>
      </w:r>
    </w:p>
    <w:p w14:paraId="26E47C59" w14:textId="77777777" w:rsidR="004D556D" w:rsidRPr="000F6CD1" w:rsidRDefault="004D556D" w:rsidP="00DF3F6B">
      <w:pPr>
        <w:pStyle w:val="ListParagraph"/>
        <w:numPr>
          <w:ilvl w:val="0"/>
          <w:numId w:val="165"/>
        </w:numPr>
        <w:spacing w:before="240" w:after="240" w:line="240" w:lineRule="auto"/>
      </w:pPr>
      <w:r w:rsidRPr="000F6CD1">
        <w:t>psychological and wellbeing needs – do they have any symptoms of depression, anxiety or other mental health challenges, or isolation. Is there a strong social support network for the person</w:t>
      </w:r>
    </w:p>
    <w:p w14:paraId="26832EC3" w14:textId="77777777" w:rsidR="004D556D" w:rsidRPr="000F6CD1" w:rsidRDefault="004D556D" w:rsidP="00DF3F6B">
      <w:pPr>
        <w:pStyle w:val="ListParagraph"/>
        <w:numPr>
          <w:ilvl w:val="0"/>
          <w:numId w:val="165"/>
        </w:numPr>
        <w:spacing w:before="240" w:after="240" w:line="240" w:lineRule="auto"/>
      </w:pPr>
      <w:r w:rsidRPr="000F6CD1">
        <w:t>current living arrangements – what is their living situation and is their living environment safe, do they have family and friends for informal support</w:t>
      </w:r>
    </w:p>
    <w:p w14:paraId="11A5ACCF" w14:textId="77777777" w:rsidR="004D556D" w:rsidRPr="000F6CD1" w:rsidRDefault="004D556D" w:rsidP="00DF3F6B">
      <w:pPr>
        <w:pStyle w:val="ListParagraph"/>
        <w:numPr>
          <w:ilvl w:val="0"/>
          <w:numId w:val="165"/>
        </w:numPr>
        <w:spacing w:before="240" w:after="240" w:line="240" w:lineRule="auto"/>
      </w:pPr>
      <w:r w:rsidRPr="000F6CD1">
        <w:lastRenderedPageBreak/>
        <w:t>carer impacts – does the carer need a break and would respite support the person’s wishes to stay in their own home longer</w:t>
      </w:r>
    </w:p>
    <w:p w14:paraId="1BE33CFF" w14:textId="77777777" w:rsidR="004D556D" w:rsidRPr="000F6CD1" w:rsidRDefault="004D556D" w:rsidP="00A677C9">
      <w:pPr>
        <w:spacing w:before="240" w:after="240" w:line="240" w:lineRule="auto"/>
      </w:pPr>
      <w:r w:rsidRPr="000F6CD1">
        <w:t>There may be a combination of any of the above needs or factors, or a single need that results in the assessor determining that an individual is incapable of living in a home or community setting without support (</w:t>
      </w:r>
      <w:r w:rsidRPr="000F6CD1">
        <w:rPr>
          <w:i/>
        </w:rPr>
        <w:t>Aged Care Rules 2025</w:t>
      </w:r>
      <w:r w:rsidRPr="000F6CD1">
        <w:t xml:space="preserve"> Section 65-20 eligibility requirement – service group residential care) and has a continuing need for funded aged care services, including nursing services (</w:t>
      </w:r>
      <w:r w:rsidRPr="000F6CD1">
        <w:rPr>
          <w:i/>
        </w:rPr>
        <w:t>Aged Care Act 2024</w:t>
      </w:r>
      <w:r w:rsidRPr="000F6CD1">
        <w:t xml:space="preserve">, Division 3, Section 68). </w:t>
      </w:r>
    </w:p>
    <w:bookmarkEnd w:id="534"/>
    <w:bookmarkEnd w:id="535"/>
    <w:bookmarkEnd w:id="536"/>
    <w:bookmarkEnd w:id="537"/>
    <w:bookmarkEnd w:id="538"/>
    <w:bookmarkEnd w:id="539"/>
    <w:p w14:paraId="77A7B429" w14:textId="77777777" w:rsidR="004D556D" w:rsidRPr="000F6CD1" w:rsidRDefault="004D556D" w:rsidP="00AD2CE5">
      <w:pPr>
        <w:pStyle w:val="H3"/>
      </w:pPr>
      <w:r w:rsidRPr="000F6CD1">
        <w:t>Recommending residential care</w:t>
      </w:r>
    </w:p>
    <w:p w14:paraId="77B78B91" w14:textId="77777777" w:rsidR="004D556D" w:rsidRPr="000F6CD1" w:rsidRDefault="004D556D" w:rsidP="00A677C9">
      <w:pPr>
        <w:spacing w:before="240" w:after="240" w:line="240" w:lineRule="auto"/>
      </w:pPr>
      <w:r w:rsidRPr="000F6CD1">
        <w:t xml:space="preserve">If an assessor recommends that a client only receive ongoing residential care and/or short-term residential care, there are two pathways to consider when recommending these services: </w:t>
      </w:r>
    </w:p>
    <w:p w14:paraId="5772317C" w14:textId="037407EE" w:rsidR="004D556D" w:rsidRPr="000F6CD1" w:rsidRDefault="004D556D" w:rsidP="00DF3F6B">
      <w:pPr>
        <w:pStyle w:val="ListParagraph"/>
        <w:numPr>
          <w:ilvl w:val="0"/>
          <w:numId w:val="179"/>
        </w:numPr>
        <w:spacing w:before="240" w:after="240" w:line="240" w:lineRule="auto"/>
      </w:pPr>
      <w:r w:rsidRPr="000F6CD1">
        <w:t xml:space="preserve">An assessor can choose to override the </w:t>
      </w:r>
      <w:r w:rsidR="00386B7E">
        <w:t>IAT Outcome</w:t>
      </w:r>
      <w:r w:rsidRPr="000F6CD1">
        <w:t xml:space="preserve"> to ‘ineligible for CHSP/SAH’ and then choose Residential Permanent and/or Residential Respite options under the ‘Add a Care type for Delegate Decision’ button </w:t>
      </w:r>
    </w:p>
    <w:p w14:paraId="52E14CF8" w14:textId="43C37A9E" w:rsidR="004D556D" w:rsidRPr="000F6CD1" w:rsidRDefault="004D556D" w:rsidP="00DF3F6B">
      <w:pPr>
        <w:pStyle w:val="ListParagraph"/>
        <w:numPr>
          <w:ilvl w:val="0"/>
          <w:numId w:val="179"/>
        </w:numPr>
        <w:spacing w:before="240" w:after="240" w:line="240" w:lineRule="auto"/>
      </w:pPr>
      <w:r w:rsidRPr="000F6CD1">
        <w:t xml:space="preserve">An assessor can accept a ‘SaH Classification’ or ‘CHSP’ </w:t>
      </w:r>
      <w:r w:rsidR="00386B7E">
        <w:t>IAT Outcome</w:t>
      </w:r>
      <w:r w:rsidRPr="000F6CD1">
        <w:t xml:space="preserve">, then choose Residential Permanent and/or Residential Respite from the ‘Add a care type for delegate decision’ button. The assessor must then ensure that the Support at Home classification is switched to ‘not seeking services’ and kept as a latent class. This provides the client with flexibility in case they want to return home in the future and access home support services. </w:t>
      </w:r>
    </w:p>
    <w:p w14:paraId="2852A7A7" w14:textId="77777777" w:rsidR="004D556D" w:rsidRPr="000F6CD1" w:rsidRDefault="004D556D" w:rsidP="00AD2CE5">
      <w:pPr>
        <w:pStyle w:val="H3"/>
      </w:pPr>
      <w:r w:rsidRPr="000F6CD1">
        <w:t>Priority for ongoing residential care</w:t>
      </w:r>
    </w:p>
    <w:p w14:paraId="05F6782E" w14:textId="77777777" w:rsidR="004D556D" w:rsidRPr="000F6CD1" w:rsidRDefault="004D556D" w:rsidP="00A677C9">
      <w:pPr>
        <w:spacing w:before="240" w:after="240" w:line="240" w:lineRule="auto"/>
      </w:pPr>
      <w:r w:rsidRPr="000F6CD1">
        <w:t xml:space="preserve">To meet the requirements of the </w:t>
      </w:r>
      <w:r w:rsidRPr="000F6CD1">
        <w:rPr>
          <w:i/>
        </w:rPr>
        <w:t>Aged Care Act 2024</w:t>
      </w:r>
      <w:r w:rsidRPr="000F6CD1">
        <w:t>, an older person being approved for permanent residential care will be assigned a priority category (1, 2 or 3). Although important, the priority category will not impact when a person can access residential care services or services under a specialist aged care program.</w:t>
      </w:r>
    </w:p>
    <w:p w14:paraId="5B6D2D43" w14:textId="77777777" w:rsidR="004D556D" w:rsidRPr="000F6CD1" w:rsidRDefault="004D556D" w:rsidP="00A677C9">
      <w:pPr>
        <w:pStyle w:val="Caption"/>
        <w:spacing w:before="240" w:after="240"/>
      </w:pPr>
      <w:r w:rsidRPr="000F6CD1">
        <w:t xml:space="preserve">Table 31. Description of priority categories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Description of priority categories"/>
        <w:tblDescription w:val="The table provides descriptions of priority categories for ongoing residential care"/>
      </w:tblPr>
      <w:tblGrid>
        <w:gridCol w:w="1696"/>
        <w:gridCol w:w="7320"/>
      </w:tblGrid>
      <w:tr w:rsidR="004D556D" w:rsidRPr="000F6CD1" w14:paraId="63E474A1" w14:textId="77777777" w:rsidTr="00B1264E">
        <w:tc>
          <w:tcPr>
            <w:tcW w:w="1696" w:type="dxa"/>
            <w:shd w:val="clear" w:color="auto" w:fill="002060"/>
          </w:tcPr>
          <w:p w14:paraId="066E5828" w14:textId="77777777" w:rsidR="004D556D" w:rsidRPr="000F6CD1" w:rsidRDefault="004D556D" w:rsidP="0003231B">
            <w:pPr>
              <w:spacing w:before="120" w:after="120"/>
              <w:rPr>
                <w:b/>
              </w:rPr>
            </w:pPr>
            <w:r w:rsidRPr="000F6CD1">
              <w:rPr>
                <w:b/>
              </w:rPr>
              <w:t xml:space="preserve">Category </w:t>
            </w:r>
          </w:p>
        </w:tc>
        <w:tc>
          <w:tcPr>
            <w:tcW w:w="7320" w:type="dxa"/>
            <w:shd w:val="clear" w:color="auto" w:fill="002060"/>
          </w:tcPr>
          <w:p w14:paraId="5238B0D3" w14:textId="77777777" w:rsidR="004D556D" w:rsidRPr="000F6CD1" w:rsidRDefault="004D556D" w:rsidP="0003231B">
            <w:pPr>
              <w:spacing w:before="120" w:after="120"/>
              <w:rPr>
                <w:b/>
              </w:rPr>
            </w:pPr>
            <w:r w:rsidRPr="000F6CD1">
              <w:rPr>
                <w:b/>
              </w:rPr>
              <w:t>Description</w:t>
            </w:r>
          </w:p>
        </w:tc>
      </w:tr>
      <w:tr w:rsidR="004D556D" w:rsidRPr="000F6CD1" w14:paraId="169F3593" w14:textId="77777777">
        <w:tc>
          <w:tcPr>
            <w:tcW w:w="1696" w:type="dxa"/>
          </w:tcPr>
          <w:p w14:paraId="4E5B267E" w14:textId="77777777" w:rsidR="004D556D" w:rsidRPr="000F6CD1" w:rsidRDefault="004D556D" w:rsidP="0003231B">
            <w:pPr>
              <w:spacing w:before="120" w:after="120"/>
            </w:pPr>
            <w:r w:rsidRPr="000F6CD1">
              <w:t>1</w:t>
            </w:r>
          </w:p>
        </w:tc>
        <w:tc>
          <w:tcPr>
            <w:tcW w:w="7320" w:type="dxa"/>
          </w:tcPr>
          <w:p w14:paraId="19E0A018" w14:textId="77777777" w:rsidR="004D556D" w:rsidRPr="000F6CD1" w:rsidRDefault="004D556D" w:rsidP="0003231B">
            <w:pPr>
              <w:spacing w:before="120" w:after="120"/>
            </w:pPr>
            <w:r w:rsidRPr="000F6CD1">
              <w:t>The person:</w:t>
            </w:r>
          </w:p>
          <w:p w14:paraId="596A76E8" w14:textId="77777777" w:rsidR="004D556D" w:rsidRPr="000F6CD1" w:rsidRDefault="004D556D">
            <w:pPr>
              <w:pStyle w:val="ListParagraph"/>
              <w:numPr>
                <w:ilvl w:val="0"/>
                <w:numId w:val="195"/>
              </w:numPr>
              <w:spacing w:before="120" w:after="120"/>
              <w:ind w:left="315" w:hanging="284"/>
            </w:pPr>
            <w:r w:rsidRPr="000F6CD1">
              <w:t>has a high urgency rating; or</w:t>
            </w:r>
          </w:p>
          <w:p w14:paraId="64609957" w14:textId="77777777" w:rsidR="004D556D" w:rsidRPr="000F6CD1" w:rsidRDefault="004D556D">
            <w:pPr>
              <w:pStyle w:val="ListParagraph"/>
              <w:numPr>
                <w:ilvl w:val="0"/>
                <w:numId w:val="195"/>
              </w:numPr>
              <w:spacing w:before="120" w:after="120"/>
              <w:ind w:left="315" w:hanging="284"/>
            </w:pPr>
            <w:r w:rsidRPr="000F6CD1">
              <w:t>resides in a rural or remote area classified as MM 5, MM 6 or MMM 7; or</w:t>
            </w:r>
          </w:p>
          <w:p w14:paraId="68E7907F" w14:textId="77777777" w:rsidR="004D556D" w:rsidRPr="000F6CD1" w:rsidRDefault="004D556D">
            <w:pPr>
              <w:pStyle w:val="ListParagraph"/>
              <w:numPr>
                <w:ilvl w:val="0"/>
                <w:numId w:val="195"/>
              </w:numPr>
              <w:spacing w:before="120" w:after="120"/>
              <w:ind w:left="315" w:hanging="284"/>
            </w:pPr>
            <w:r w:rsidRPr="000F6CD1">
              <w:t>is Aboriginal or Torres Strait Islander, homeless, or is entering residential care due to emergency circumstances.</w:t>
            </w:r>
          </w:p>
        </w:tc>
      </w:tr>
      <w:tr w:rsidR="004D556D" w:rsidRPr="000F6CD1" w14:paraId="0FD2F376" w14:textId="77777777">
        <w:tc>
          <w:tcPr>
            <w:tcW w:w="1696" w:type="dxa"/>
          </w:tcPr>
          <w:p w14:paraId="74D70F48" w14:textId="77777777" w:rsidR="004D556D" w:rsidRPr="000F6CD1" w:rsidRDefault="004D556D" w:rsidP="0003231B">
            <w:pPr>
              <w:spacing w:before="120" w:after="120"/>
            </w:pPr>
            <w:r w:rsidRPr="000F6CD1">
              <w:t>2</w:t>
            </w:r>
          </w:p>
        </w:tc>
        <w:tc>
          <w:tcPr>
            <w:tcW w:w="7320" w:type="dxa"/>
          </w:tcPr>
          <w:p w14:paraId="797236E9" w14:textId="77777777" w:rsidR="004D556D" w:rsidRPr="000F6CD1" w:rsidRDefault="004D556D" w:rsidP="0003231B">
            <w:pPr>
              <w:spacing w:before="120" w:after="120"/>
            </w:pPr>
            <w:r w:rsidRPr="000F6CD1">
              <w:t>The person does not meet the criteria for Priority Category 1 and has a medium urgency rating.</w:t>
            </w:r>
          </w:p>
          <w:p w14:paraId="2DB18F4B" w14:textId="77777777" w:rsidR="004D556D" w:rsidRPr="000F6CD1" w:rsidRDefault="004D556D" w:rsidP="0003231B">
            <w:pPr>
              <w:spacing w:before="120" w:after="120"/>
            </w:pPr>
          </w:p>
        </w:tc>
      </w:tr>
      <w:tr w:rsidR="004D556D" w:rsidRPr="000F6CD1" w14:paraId="794900CB" w14:textId="77777777">
        <w:trPr>
          <w:trHeight w:val="185"/>
        </w:trPr>
        <w:tc>
          <w:tcPr>
            <w:tcW w:w="1696" w:type="dxa"/>
          </w:tcPr>
          <w:p w14:paraId="2AD2A6B9" w14:textId="77777777" w:rsidR="004D556D" w:rsidRPr="000F6CD1" w:rsidRDefault="004D556D" w:rsidP="0003231B">
            <w:pPr>
              <w:spacing w:before="120" w:after="120"/>
            </w:pPr>
            <w:r w:rsidRPr="000F6CD1">
              <w:t>3</w:t>
            </w:r>
          </w:p>
        </w:tc>
        <w:tc>
          <w:tcPr>
            <w:tcW w:w="7320" w:type="dxa"/>
          </w:tcPr>
          <w:p w14:paraId="6E52CB2A" w14:textId="77777777" w:rsidR="004D556D" w:rsidRPr="000F6CD1" w:rsidRDefault="004D556D" w:rsidP="0003231B">
            <w:pPr>
              <w:spacing w:before="120" w:after="120"/>
            </w:pPr>
            <w:r w:rsidRPr="000F6CD1">
              <w:t>The person does not meet the criteria for Priority Category 1 and has a low urgency rating.</w:t>
            </w:r>
          </w:p>
        </w:tc>
      </w:tr>
    </w:tbl>
    <w:p w14:paraId="00B05360" w14:textId="77777777" w:rsidR="004D556D" w:rsidRPr="000F6CD1" w:rsidRDefault="004D556D" w:rsidP="00A677C9">
      <w:pPr>
        <w:spacing w:before="240" w:after="240" w:line="240" w:lineRule="auto"/>
      </w:pPr>
      <w:r w:rsidRPr="000F6CD1">
        <w:lastRenderedPageBreak/>
        <w:t xml:space="preserve">The priority category is automatically generated by the assessor portal based on the individual's circumstances, urgency rating and in accordance with the criteria specified by the </w:t>
      </w:r>
      <w:r w:rsidRPr="00BD0F1D">
        <w:rPr>
          <w:i/>
          <w:iCs/>
        </w:rPr>
        <w:t>Aged Care Rules 2025</w:t>
      </w:r>
      <w:r w:rsidRPr="000F6CD1">
        <w:t xml:space="preserve">. </w:t>
      </w:r>
    </w:p>
    <w:p w14:paraId="077B4572" w14:textId="41C85C74" w:rsidR="004D556D" w:rsidRPr="000F6CD1" w:rsidRDefault="004D556D" w:rsidP="00A677C9">
      <w:pPr>
        <w:spacing w:before="240" w:after="240" w:line="240" w:lineRule="auto"/>
      </w:pPr>
      <w:r w:rsidRPr="000F6CD1">
        <w:t>Assessment Delegates will need to verify that the urgency rating assigned to the individual accurately reflects their needs and are supported by the evidence provided.</w:t>
      </w:r>
    </w:p>
    <w:p w14:paraId="1F23E967" w14:textId="41EBA688" w:rsidR="004D556D" w:rsidRPr="000F6CD1" w:rsidRDefault="006C39BC" w:rsidP="00AD2CE5">
      <w:pPr>
        <w:pStyle w:val="H3"/>
      </w:pPr>
      <w:r w:rsidRPr="000F6CD1">
        <w:rPr>
          <w:bCs w:val="0"/>
          <w:lang w:val="en-AU"/>
        </w:rPr>
        <w:drawing>
          <wp:anchor distT="0" distB="0" distL="114300" distR="114300" simplePos="0" relativeHeight="251658360" behindDoc="0" locked="0" layoutInCell="1" allowOverlap="1" wp14:anchorId="50490FE0" wp14:editId="05EE357F">
            <wp:simplePos x="0" y="0"/>
            <wp:positionH relativeFrom="margin">
              <wp:posOffset>-88265</wp:posOffset>
            </wp:positionH>
            <wp:positionV relativeFrom="paragraph">
              <wp:posOffset>21590</wp:posOffset>
            </wp:positionV>
            <wp:extent cx="457200" cy="502920"/>
            <wp:effectExtent l="0" t="0" r="0" b="0"/>
            <wp:wrapSquare wrapText="bothSides"/>
            <wp:docPr id="189463379" name="Picture 189463379"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Urgency rating for residential care</w:t>
      </w:r>
    </w:p>
    <w:p w14:paraId="3FBDE23B" w14:textId="4D72A332" w:rsidR="004D556D" w:rsidRPr="000F6CD1" w:rsidRDefault="004D556D" w:rsidP="00A677C9">
      <w:pPr>
        <w:spacing w:before="240" w:after="240" w:line="240" w:lineRule="auto"/>
      </w:pPr>
      <w:r w:rsidRPr="000F6CD1">
        <w:t xml:space="preserve">A person’s urgency rating is different to their need for residential care. While it is expected that all people with a recommendation for residential care have been assessed as having high-level care needs, their level of urgency indicates the extent to which a person may be at immediate risk, including to personal health and safety, if they are not admitted to residential care within a timely manner. </w:t>
      </w:r>
    </w:p>
    <w:p w14:paraId="729CD067" w14:textId="77777777" w:rsidR="004D556D" w:rsidRPr="000F6CD1" w:rsidRDefault="004D556D" w:rsidP="00A677C9">
      <w:pPr>
        <w:spacing w:before="240" w:after="240" w:line="240" w:lineRule="auto"/>
      </w:pPr>
      <w:r w:rsidRPr="000F6CD1">
        <w:t>This rating will not undermine the older person’s ability to choose to remain in their home but will provide a guide for providers of residential care homes and others (such as Care Finders) to prioritise people who may be most at risk.</w:t>
      </w:r>
    </w:p>
    <w:p w14:paraId="04F3F536" w14:textId="3A01A3D2" w:rsidR="004D556D" w:rsidRPr="000F6CD1" w:rsidRDefault="004D556D" w:rsidP="00A677C9">
      <w:pPr>
        <w:spacing w:before="240" w:after="240" w:line="240" w:lineRule="auto"/>
      </w:pPr>
      <w:r w:rsidRPr="000F6CD1">
        <w:t>When selecting ‘Residential Permanent’ under the ‘Add a care type for Delegate decision’ in the My Aged Care assessor portal, assessors will be required to give a response to ‘What is the urgency of this care type</w:t>
      </w:r>
      <w:r w:rsidR="00B57E9E" w:rsidRPr="000F6CD1">
        <w:t>.’</w:t>
      </w:r>
      <w:r w:rsidRPr="000F6CD1">
        <w:t xml:space="preserve"> This question is a mandatory question with a rating to be selected from high, medium or low. </w:t>
      </w:r>
    </w:p>
    <w:p w14:paraId="1E12BA6A" w14:textId="77777777" w:rsidR="004D556D" w:rsidRPr="000F6CD1" w:rsidRDefault="004D556D" w:rsidP="00A677C9">
      <w:pPr>
        <w:spacing w:before="240" w:after="240" w:line="240" w:lineRule="auto"/>
        <w:rPr>
          <w:rFonts w:eastAsia="Arial"/>
        </w:rPr>
      </w:pPr>
      <w:r w:rsidRPr="000F6CD1">
        <w:t>The Rules specify when an urgency rating of low, medium or high will apply to an individual in relation the classification type ongoing for residential care.</w:t>
      </w:r>
      <w:r w:rsidRPr="000F6CD1">
        <w:rPr>
          <w:rFonts w:eastAsia="Arial"/>
        </w:rPr>
        <w:t xml:space="preserve"> </w:t>
      </w:r>
      <w:r w:rsidRPr="000F6CD1">
        <w:t>The table below summarises the criteria for each urgency rating.</w:t>
      </w:r>
    </w:p>
    <w:p w14:paraId="4F8624E9" w14:textId="77777777" w:rsidR="004D556D" w:rsidRPr="000F6CD1" w:rsidRDefault="004D556D" w:rsidP="00A677C9">
      <w:pPr>
        <w:spacing w:before="240" w:after="240" w:line="240" w:lineRule="auto"/>
      </w:pPr>
      <w:r w:rsidRPr="000F6CD1">
        <w:t xml:space="preserve">Provide a rating (low, medium or high) which balances objective consideration of needs with the subjective perspective of the older person. The older person’s perspective may be conveyed by their registered supporter. Include a brief note in the </w:t>
      </w:r>
      <w:r w:rsidRPr="000F6CD1">
        <w:rPr>
          <w:i/>
        </w:rPr>
        <w:t>reason or comments</w:t>
      </w:r>
      <w:r w:rsidRPr="000F6CD1">
        <w:t xml:space="preserve"> section explaining key reasons for the rating, which may include:</w:t>
      </w:r>
    </w:p>
    <w:p w14:paraId="6842E585" w14:textId="77777777" w:rsidR="004D556D" w:rsidRPr="000F6CD1" w:rsidRDefault="004D556D" w:rsidP="00DF3F6B">
      <w:pPr>
        <w:pStyle w:val="ListParagraph"/>
        <w:numPr>
          <w:ilvl w:val="0"/>
          <w:numId w:val="160"/>
        </w:numPr>
        <w:spacing w:before="240" w:after="240" w:line="240" w:lineRule="auto"/>
      </w:pPr>
      <w:r w:rsidRPr="000F6CD1">
        <w:t>Key individual, care related or contextual needs and how these relate to any safety/wellbeing risks</w:t>
      </w:r>
    </w:p>
    <w:p w14:paraId="696C0837" w14:textId="77777777" w:rsidR="004D556D" w:rsidRPr="000F6CD1" w:rsidRDefault="004D556D" w:rsidP="00DF3F6B">
      <w:pPr>
        <w:pStyle w:val="ListParagraph"/>
        <w:numPr>
          <w:ilvl w:val="0"/>
          <w:numId w:val="160"/>
        </w:numPr>
        <w:spacing w:before="240" w:after="240" w:line="240" w:lineRule="auto"/>
      </w:pPr>
      <w:r w:rsidRPr="000F6CD1">
        <w:t>Whether the older person/ has expressed an urgent need to enter care</w:t>
      </w:r>
    </w:p>
    <w:p w14:paraId="70840B35" w14:textId="77777777" w:rsidR="004D556D" w:rsidRPr="000F6CD1" w:rsidRDefault="004D556D" w:rsidP="00DF3F6B">
      <w:pPr>
        <w:pStyle w:val="ListParagraph"/>
        <w:numPr>
          <w:ilvl w:val="0"/>
          <w:numId w:val="160"/>
        </w:numPr>
        <w:spacing w:before="240" w:after="240" w:line="240" w:lineRule="auto"/>
      </w:pPr>
      <w:r w:rsidRPr="000F6CD1">
        <w:t>Perspective on estimated timeframe the older person needs to enter care</w:t>
      </w:r>
    </w:p>
    <w:p w14:paraId="14AED94E" w14:textId="77777777" w:rsidR="004D556D" w:rsidRPr="000F6CD1" w:rsidRDefault="004D556D" w:rsidP="00A677C9">
      <w:pPr>
        <w:spacing w:before="240" w:after="240" w:line="240" w:lineRule="auto"/>
      </w:pPr>
      <w:r w:rsidRPr="000F6CD1">
        <w:t>Relevant factors to consider in determining urgency may include:</w:t>
      </w:r>
    </w:p>
    <w:p w14:paraId="12D3524A" w14:textId="77777777" w:rsidR="004D556D" w:rsidRPr="000F6CD1" w:rsidRDefault="004D556D" w:rsidP="00DF3F6B">
      <w:pPr>
        <w:pStyle w:val="ListParagraph"/>
        <w:numPr>
          <w:ilvl w:val="0"/>
          <w:numId w:val="160"/>
        </w:numPr>
        <w:spacing w:before="240" w:after="240" w:line="240" w:lineRule="auto"/>
      </w:pPr>
      <w:r w:rsidRPr="000F6CD1">
        <w:t>Current care settings (including if the person is transitioning into residential aged care from hospital or residential respite care)</w:t>
      </w:r>
    </w:p>
    <w:p w14:paraId="5008A943" w14:textId="77777777" w:rsidR="004D556D" w:rsidRPr="000F6CD1" w:rsidRDefault="004D556D" w:rsidP="00DF3F6B">
      <w:pPr>
        <w:pStyle w:val="ListParagraph"/>
        <w:numPr>
          <w:ilvl w:val="0"/>
          <w:numId w:val="160"/>
        </w:numPr>
        <w:spacing w:before="240" w:after="240" w:line="240" w:lineRule="auto"/>
      </w:pPr>
      <w:r w:rsidRPr="000F6CD1">
        <w:t>Significant and visible decline in the level of function, cognition and/or ability to perform activities of daily living in the home with available support</w:t>
      </w:r>
    </w:p>
    <w:p w14:paraId="77525B02" w14:textId="77777777" w:rsidR="004D556D" w:rsidRPr="000F6CD1" w:rsidRDefault="004D556D" w:rsidP="00DF3F6B">
      <w:pPr>
        <w:pStyle w:val="ListParagraph"/>
        <w:numPr>
          <w:ilvl w:val="0"/>
          <w:numId w:val="160"/>
        </w:numPr>
        <w:spacing w:before="240" w:after="240" w:line="240" w:lineRule="auto"/>
      </w:pPr>
      <w:r w:rsidRPr="000F6CD1">
        <w:t>Health conditions and ability to manage these in the home with available support</w:t>
      </w:r>
    </w:p>
    <w:p w14:paraId="2D7A5C9B" w14:textId="77777777" w:rsidR="004D556D" w:rsidRPr="000F6CD1" w:rsidRDefault="004D556D" w:rsidP="00DF3F6B">
      <w:pPr>
        <w:pStyle w:val="ListParagraph"/>
        <w:numPr>
          <w:ilvl w:val="0"/>
          <w:numId w:val="160"/>
        </w:numPr>
        <w:spacing w:before="240" w:after="240" w:line="240" w:lineRule="auto"/>
      </w:pPr>
      <w:r w:rsidRPr="000F6CD1">
        <w:t xml:space="preserve">Severe incontinence that cannot be managed within the current care settings </w:t>
      </w:r>
    </w:p>
    <w:p w14:paraId="4A3F69F8" w14:textId="77777777" w:rsidR="004D556D" w:rsidRPr="000F6CD1" w:rsidRDefault="004D556D" w:rsidP="00DF3F6B">
      <w:pPr>
        <w:pStyle w:val="ListParagraph"/>
        <w:numPr>
          <w:ilvl w:val="0"/>
          <w:numId w:val="160"/>
        </w:numPr>
        <w:spacing w:before="240" w:after="240" w:line="240" w:lineRule="auto"/>
      </w:pPr>
      <w:r w:rsidRPr="000F6CD1">
        <w:t>High risk to personal safety (e.g. hazardous home environment, high risk of falls, wandering, or elder abuse)</w:t>
      </w:r>
    </w:p>
    <w:p w14:paraId="7DD129C1" w14:textId="77777777" w:rsidR="004D556D" w:rsidRPr="000F6CD1" w:rsidRDefault="004D556D" w:rsidP="00DF3F6B">
      <w:pPr>
        <w:pStyle w:val="ListParagraph"/>
        <w:numPr>
          <w:ilvl w:val="0"/>
          <w:numId w:val="160"/>
        </w:numPr>
        <w:spacing w:before="240" w:after="240" w:line="240" w:lineRule="auto"/>
      </w:pPr>
      <w:r w:rsidRPr="000F6CD1">
        <w:t>Complex factors, including but not limited to homelessness or risk of homelessness; drug and alcohol abuse; mental health issues; or severe social isolation</w:t>
      </w:r>
    </w:p>
    <w:p w14:paraId="5C3BC912" w14:textId="77777777" w:rsidR="004D556D" w:rsidRPr="000F6CD1" w:rsidRDefault="004D556D" w:rsidP="00DF3F6B">
      <w:pPr>
        <w:pStyle w:val="ListParagraph"/>
        <w:numPr>
          <w:ilvl w:val="0"/>
          <w:numId w:val="160"/>
        </w:numPr>
        <w:spacing w:before="240" w:after="240" w:line="240" w:lineRule="auto"/>
      </w:pPr>
      <w:r w:rsidRPr="000F6CD1">
        <w:t>Lack of available and sustainable formal, informal support (including any impacts on carers)</w:t>
      </w:r>
    </w:p>
    <w:p w14:paraId="4885125E" w14:textId="681AB525" w:rsidR="004D556D" w:rsidRPr="000F6CD1" w:rsidRDefault="004D556D" w:rsidP="00A677C9">
      <w:pPr>
        <w:spacing w:before="240" w:after="240" w:line="240" w:lineRule="auto"/>
      </w:pPr>
      <w:r w:rsidRPr="000F6CD1">
        <w:lastRenderedPageBreak/>
        <w:t xml:space="preserve">The following can be used as a guide to what urgency may look like within each category. Examples are provided for demonstrative purposes only and each case will need to be judged independently based on diverse individual factors. </w:t>
      </w:r>
    </w:p>
    <w:p w14:paraId="341E8DC5" w14:textId="77777777" w:rsidR="004D556D" w:rsidRPr="000F6CD1" w:rsidRDefault="004D556D" w:rsidP="00A677C9">
      <w:pPr>
        <w:pStyle w:val="Caption"/>
        <w:spacing w:before="240" w:after="240"/>
      </w:pPr>
      <w:r w:rsidRPr="000F6CD1">
        <w:t xml:space="preserve">Table 32. Guide to urgency ratings for residential care </w:t>
      </w:r>
    </w:p>
    <w:tbl>
      <w:tblPr>
        <w:tblStyle w:val="TableGrid"/>
        <w:tblW w:w="0" w:type="auto"/>
        <w:tblBorders>
          <w:bottom w:val="single" w:sz="4" w:space="0" w:color="auto"/>
          <w:insideH w:val="single" w:sz="4" w:space="0" w:color="auto"/>
        </w:tblBorders>
        <w:tblLook w:val="04A0" w:firstRow="1" w:lastRow="0" w:firstColumn="1" w:lastColumn="0" w:noHBand="0" w:noVBand="1"/>
        <w:tblCaption w:val="Guide to urgency ratings for residential care"/>
        <w:tblDescription w:val="The table provides a guide for urgency ratings for residential care"/>
      </w:tblPr>
      <w:tblGrid>
        <w:gridCol w:w="2263"/>
        <w:gridCol w:w="6753"/>
      </w:tblGrid>
      <w:tr w:rsidR="004D556D" w:rsidRPr="000F6CD1" w14:paraId="784CFB12" w14:textId="77777777">
        <w:trPr>
          <w:trHeight w:val="300"/>
          <w:tblHeader/>
        </w:trPr>
        <w:tc>
          <w:tcPr>
            <w:tcW w:w="2263" w:type="dxa"/>
            <w:shd w:val="clear" w:color="auto" w:fill="002060"/>
          </w:tcPr>
          <w:p w14:paraId="13318E71" w14:textId="77777777" w:rsidR="004D556D" w:rsidRPr="000F6CD1" w:rsidRDefault="004D556D" w:rsidP="00A677C9">
            <w:pPr>
              <w:spacing w:before="240" w:after="240"/>
              <w:rPr>
                <w:b/>
                <w:color w:val="FFFFFF" w:themeColor="background1"/>
              </w:rPr>
            </w:pPr>
            <w:r w:rsidRPr="000F6CD1">
              <w:rPr>
                <w:b/>
                <w:color w:val="FFFFFF" w:themeColor="background1"/>
              </w:rPr>
              <w:t>Level of urgency</w:t>
            </w:r>
          </w:p>
        </w:tc>
        <w:tc>
          <w:tcPr>
            <w:tcW w:w="6753" w:type="dxa"/>
            <w:shd w:val="clear" w:color="auto" w:fill="002060"/>
          </w:tcPr>
          <w:p w14:paraId="6F3250A7" w14:textId="77777777" w:rsidR="004D556D" w:rsidRPr="000F6CD1" w:rsidRDefault="004D556D" w:rsidP="00A677C9">
            <w:pPr>
              <w:spacing w:before="240" w:after="240"/>
              <w:rPr>
                <w:b/>
                <w:color w:val="FFFFFF" w:themeColor="background1"/>
              </w:rPr>
            </w:pPr>
            <w:r w:rsidRPr="000F6CD1">
              <w:rPr>
                <w:b/>
                <w:color w:val="FFFFFF" w:themeColor="background1"/>
              </w:rPr>
              <w:t>Description</w:t>
            </w:r>
          </w:p>
        </w:tc>
      </w:tr>
      <w:tr w:rsidR="004D556D" w:rsidRPr="000F6CD1" w14:paraId="6FB884B9" w14:textId="77777777">
        <w:trPr>
          <w:trHeight w:val="300"/>
        </w:trPr>
        <w:tc>
          <w:tcPr>
            <w:tcW w:w="2263" w:type="dxa"/>
            <w:shd w:val="clear" w:color="auto" w:fill="002060"/>
          </w:tcPr>
          <w:p w14:paraId="3C48CAAA" w14:textId="77777777" w:rsidR="004D556D" w:rsidRPr="000F6CD1" w:rsidRDefault="004D556D" w:rsidP="00A677C9">
            <w:pPr>
              <w:spacing w:before="240" w:after="240"/>
              <w:rPr>
                <w:b/>
                <w:color w:val="FFFFFF" w:themeColor="background1"/>
              </w:rPr>
            </w:pPr>
            <w:r w:rsidRPr="000F6CD1">
              <w:rPr>
                <w:b/>
                <w:color w:val="FFFFFF" w:themeColor="background1"/>
              </w:rPr>
              <w:t>High urgency</w:t>
            </w:r>
          </w:p>
        </w:tc>
        <w:tc>
          <w:tcPr>
            <w:tcW w:w="6753" w:type="dxa"/>
          </w:tcPr>
          <w:p w14:paraId="4F93AF9A" w14:textId="77777777" w:rsidR="004D556D" w:rsidRPr="000F6CD1" w:rsidRDefault="004D556D" w:rsidP="00A677C9">
            <w:pPr>
              <w:spacing w:before="240" w:after="240"/>
              <w:rPr>
                <w:b/>
              </w:rPr>
            </w:pPr>
            <w:r w:rsidRPr="000F6CD1">
              <w:rPr>
                <w:b/>
              </w:rPr>
              <w:t xml:space="preserve">This rating applies if: </w:t>
            </w:r>
          </w:p>
          <w:p w14:paraId="6FC48A99" w14:textId="30CCAB3C" w:rsidR="004D556D" w:rsidRPr="000F6CD1" w:rsidRDefault="004D556D">
            <w:pPr>
              <w:pStyle w:val="ListParagraph"/>
              <w:numPr>
                <w:ilvl w:val="0"/>
                <w:numId w:val="195"/>
              </w:numPr>
              <w:spacing w:before="240" w:after="240"/>
            </w:pPr>
            <w:r w:rsidRPr="000F6CD1">
              <w:t xml:space="preserve">The individual has a need for immediate access to ongoing funded aged care services delivered in an approved residential care home which, if not met, may place the individual’s safety, health or wellbeing at risk. </w:t>
            </w:r>
          </w:p>
          <w:p w14:paraId="6205FFBF" w14:textId="77777777" w:rsidR="004D556D" w:rsidRPr="000F6CD1" w:rsidRDefault="004D556D" w:rsidP="00A677C9">
            <w:pPr>
              <w:spacing w:before="240" w:after="240"/>
              <w:rPr>
                <w:b/>
              </w:rPr>
            </w:pPr>
          </w:p>
          <w:p w14:paraId="1B313F72" w14:textId="77777777" w:rsidR="004D556D" w:rsidRPr="000F6CD1" w:rsidRDefault="004D556D" w:rsidP="00A677C9">
            <w:pPr>
              <w:spacing w:before="240" w:after="240"/>
            </w:pPr>
            <w:r w:rsidRPr="000F6CD1">
              <w:rPr>
                <w:b/>
              </w:rPr>
              <w:t>Indicators</w:t>
            </w:r>
            <w:r w:rsidRPr="000F6CD1">
              <w:t>: Recent falls, hospital admission, unsafe to return home, severe decline.</w:t>
            </w:r>
          </w:p>
          <w:p w14:paraId="4B5BB1F5" w14:textId="77777777" w:rsidR="004D556D" w:rsidRPr="000F6CD1" w:rsidRDefault="004D556D" w:rsidP="00A677C9">
            <w:pPr>
              <w:spacing w:before="240" w:after="240"/>
            </w:pPr>
            <w:r w:rsidRPr="000F6CD1">
              <w:rPr>
                <w:b/>
              </w:rPr>
              <w:t>Example</w:t>
            </w:r>
            <w:r w:rsidRPr="000F6CD1">
              <w:t>: A client in hospital post-fall who lives alone and whose needs exceed Home Care supports.</w:t>
            </w:r>
          </w:p>
          <w:p w14:paraId="17C6F107" w14:textId="77777777" w:rsidR="004D556D" w:rsidRPr="000F6CD1" w:rsidRDefault="004D556D" w:rsidP="00A677C9">
            <w:pPr>
              <w:spacing w:before="240" w:after="240"/>
            </w:pPr>
          </w:p>
          <w:p w14:paraId="46195808" w14:textId="77777777" w:rsidR="004D556D" w:rsidRPr="000F6CD1" w:rsidRDefault="004D556D" w:rsidP="00A677C9">
            <w:pPr>
              <w:spacing w:before="240" w:after="240"/>
            </w:pPr>
            <w:r w:rsidRPr="000F6CD1">
              <w:t>Example:</w:t>
            </w:r>
          </w:p>
          <w:p w14:paraId="5553177A" w14:textId="5520F3B2" w:rsidR="004D556D" w:rsidRPr="000F6CD1" w:rsidRDefault="004D556D" w:rsidP="00A677C9">
            <w:pPr>
              <w:spacing w:before="240" w:after="240"/>
            </w:pPr>
            <w:r w:rsidRPr="000F6CD1">
              <w:t>John has an ongoing Support at Home classification 8. He recently had a fall and is currently in hospital. John feels like he is unable to return home, and the hospital requests an urgent aged care assessment. The outcomes of John’s assessment reveal several risk factors. His health and function are declining, and he has experienced several incidences of falls in recent months leading to hospital admissions. He lives alone, feels socially isolated and needs substantially more hours of care than is possible through the formal support he can receive through Support at Home. The Assessment Delegate approves John for ongoing residential aged care services, with a high urgency rating.</w:t>
            </w:r>
            <w:r w:rsidRPr="000F6CD1">
              <w:rPr>
                <w:rFonts w:eastAsia="Times New Roman"/>
              </w:rPr>
              <w:t xml:space="preserve"> </w:t>
            </w:r>
          </w:p>
        </w:tc>
      </w:tr>
      <w:tr w:rsidR="004D556D" w:rsidRPr="000F6CD1" w14:paraId="279AA873" w14:textId="77777777">
        <w:trPr>
          <w:trHeight w:val="300"/>
        </w:trPr>
        <w:tc>
          <w:tcPr>
            <w:tcW w:w="2263" w:type="dxa"/>
            <w:shd w:val="clear" w:color="auto" w:fill="002060"/>
          </w:tcPr>
          <w:p w14:paraId="14C8B282" w14:textId="77777777" w:rsidR="004D556D" w:rsidRPr="000F6CD1" w:rsidRDefault="004D556D" w:rsidP="00A677C9">
            <w:pPr>
              <w:spacing w:before="240" w:after="240"/>
              <w:rPr>
                <w:b/>
                <w:color w:val="FFFFFF" w:themeColor="background1"/>
              </w:rPr>
            </w:pPr>
            <w:r w:rsidRPr="000F6CD1">
              <w:rPr>
                <w:b/>
                <w:color w:val="FFFFFF" w:themeColor="background1"/>
              </w:rPr>
              <w:t>Medium urgency</w:t>
            </w:r>
          </w:p>
        </w:tc>
        <w:tc>
          <w:tcPr>
            <w:tcW w:w="6753" w:type="dxa"/>
          </w:tcPr>
          <w:p w14:paraId="7274DE18" w14:textId="77777777" w:rsidR="004D556D" w:rsidRPr="000F6CD1" w:rsidRDefault="004D556D" w:rsidP="00A677C9">
            <w:pPr>
              <w:spacing w:before="240" w:after="240"/>
              <w:rPr>
                <w:b/>
              </w:rPr>
            </w:pPr>
            <w:r w:rsidRPr="000F6CD1">
              <w:rPr>
                <w:b/>
              </w:rPr>
              <w:t>This rating applies if:</w:t>
            </w:r>
          </w:p>
          <w:p w14:paraId="087939C1" w14:textId="77777777" w:rsidR="004D556D" w:rsidRPr="000F6CD1" w:rsidRDefault="004D556D">
            <w:pPr>
              <w:pStyle w:val="ListParagraph"/>
              <w:numPr>
                <w:ilvl w:val="0"/>
                <w:numId w:val="196"/>
              </w:numPr>
              <w:spacing w:before="240" w:after="240"/>
            </w:pPr>
            <w:r w:rsidRPr="000F6CD1">
              <w:t>The circumstances for a high urgency rating do not apply to the individual; and</w:t>
            </w:r>
          </w:p>
          <w:p w14:paraId="2DA95E7B" w14:textId="77777777" w:rsidR="004D556D" w:rsidRPr="000F6CD1" w:rsidRDefault="004D556D">
            <w:pPr>
              <w:pStyle w:val="ListParagraph"/>
              <w:numPr>
                <w:ilvl w:val="0"/>
                <w:numId w:val="196"/>
              </w:numPr>
              <w:spacing w:before="240" w:after="240"/>
            </w:pPr>
            <w:r w:rsidRPr="000F6CD1">
              <w:t>When considering the individual’s circumstances and preferences, the individual is expected to seek access to permanent residential care within the next 6 months.</w:t>
            </w:r>
          </w:p>
          <w:p w14:paraId="559A6575" w14:textId="77777777" w:rsidR="004D556D" w:rsidRPr="000F6CD1" w:rsidRDefault="004D556D" w:rsidP="00A677C9">
            <w:pPr>
              <w:spacing w:before="240" w:after="240"/>
            </w:pPr>
          </w:p>
          <w:p w14:paraId="1F330C01" w14:textId="77777777" w:rsidR="004D556D" w:rsidRPr="000F6CD1" w:rsidRDefault="004D556D" w:rsidP="00A677C9">
            <w:pPr>
              <w:spacing w:before="240" w:after="240"/>
            </w:pPr>
            <w:r w:rsidRPr="000F6CD1">
              <w:t>Example:</w:t>
            </w:r>
          </w:p>
          <w:p w14:paraId="04603552" w14:textId="77777777" w:rsidR="004D556D" w:rsidRPr="000F6CD1" w:rsidRDefault="004D556D" w:rsidP="00A677C9">
            <w:pPr>
              <w:spacing w:before="240" w:after="240"/>
            </w:pPr>
            <w:r w:rsidRPr="000F6CD1">
              <w:lastRenderedPageBreak/>
              <w:t>Mei has been receiving CHSP services for a few years and recently requested a support plan review to have her needs and services reviewed. As her needs have increased, and she has some complex factors, including declining cognition and moderate incontinence, a reassessment was arranged by the assessor. Mei’s daughter, Tao, is her primary carer and is becoming overwhelmed. She’s concerned about how much longer Mei will be able to remain living at home by herself, should her cognition and incontinence deteriorate. Mei speaks to her GP and requests a reassessment. The assessor has a conversation with Mei and Tao about the option of ongoing residential care, and they agree that Mei will likely move into an aged care home within the next three to six months. Mei is approved for ongoing Support at Home as well as ongoing residential aged care services, with a medium urgency rating.</w:t>
            </w:r>
          </w:p>
          <w:p w14:paraId="79EA2BAE" w14:textId="77777777" w:rsidR="004D556D" w:rsidRPr="000F6CD1" w:rsidRDefault="004D556D" w:rsidP="00A677C9">
            <w:pPr>
              <w:spacing w:before="240" w:after="240"/>
            </w:pPr>
          </w:p>
        </w:tc>
      </w:tr>
      <w:tr w:rsidR="004D556D" w:rsidRPr="000F6CD1" w14:paraId="3860E5A3" w14:textId="77777777">
        <w:trPr>
          <w:trHeight w:val="300"/>
        </w:trPr>
        <w:tc>
          <w:tcPr>
            <w:tcW w:w="2263" w:type="dxa"/>
            <w:shd w:val="clear" w:color="auto" w:fill="002060"/>
          </w:tcPr>
          <w:p w14:paraId="733D0F87" w14:textId="77777777" w:rsidR="004D556D" w:rsidRPr="000F6CD1" w:rsidRDefault="004D556D" w:rsidP="00A677C9">
            <w:pPr>
              <w:spacing w:before="240" w:after="240"/>
              <w:rPr>
                <w:b/>
                <w:color w:val="FFFFFF" w:themeColor="background1"/>
              </w:rPr>
            </w:pPr>
            <w:r w:rsidRPr="000F6CD1">
              <w:rPr>
                <w:b/>
                <w:color w:val="FFFFFF" w:themeColor="background1"/>
              </w:rPr>
              <w:lastRenderedPageBreak/>
              <w:t xml:space="preserve">Low urgency </w:t>
            </w:r>
          </w:p>
        </w:tc>
        <w:tc>
          <w:tcPr>
            <w:tcW w:w="6753" w:type="dxa"/>
          </w:tcPr>
          <w:p w14:paraId="0889A063" w14:textId="77777777" w:rsidR="004D556D" w:rsidRPr="000F6CD1" w:rsidRDefault="004D556D" w:rsidP="00A677C9">
            <w:pPr>
              <w:spacing w:before="240" w:after="240"/>
            </w:pPr>
            <w:r w:rsidRPr="000F6CD1">
              <w:rPr>
                <w:b/>
              </w:rPr>
              <w:t>This rating applies if</w:t>
            </w:r>
            <w:r w:rsidRPr="000F6CD1">
              <w:t xml:space="preserve">: </w:t>
            </w:r>
          </w:p>
          <w:p w14:paraId="22DAB0A3" w14:textId="3C989009" w:rsidR="004D556D" w:rsidRPr="000F6CD1" w:rsidRDefault="004D556D">
            <w:pPr>
              <w:pStyle w:val="ListParagraph"/>
              <w:numPr>
                <w:ilvl w:val="0"/>
                <w:numId w:val="196"/>
              </w:numPr>
              <w:spacing w:before="240" w:after="240"/>
            </w:pPr>
            <w:r w:rsidRPr="000F6CD1">
              <w:t xml:space="preserve">The circumstances for a high or medium urgency rating do not apply to the individual. </w:t>
            </w:r>
          </w:p>
          <w:p w14:paraId="3AB7194F" w14:textId="77777777" w:rsidR="004D556D" w:rsidRPr="000F6CD1" w:rsidRDefault="004D556D" w:rsidP="00A677C9">
            <w:pPr>
              <w:spacing w:before="240" w:after="240"/>
            </w:pPr>
          </w:p>
          <w:p w14:paraId="1D52B91A" w14:textId="77777777" w:rsidR="004D556D" w:rsidRPr="000F6CD1" w:rsidRDefault="004D556D" w:rsidP="00A677C9">
            <w:pPr>
              <w:spacing w:before="240" w:after="240"/>
            </w:pPr>
            <w:r w:rsidRPr="000F6CD1">
              <w:t>Example:</w:t>
            </w:r>
          </w:p>
          <w:p w14:paraId="0993E647" w14:textId="77777777" w:rsidR="004D556D" w:rsidRPr="000F6CD1" w:rsidRDefault="004D556D" w:rsidP="00A677C9">
            <w:pPr>
              <w:spacing w:before="240" w:after="240"/>
            </w:pPr>
            <w:r w:rsidRPr="000F6CD1">
              <w:t>Maria has been receiving CHSP services in her home. She can still complete many basic and daily living tasks without help but has had a few minor falls recently and is becoming less mobile around the house. Through a reassessment, an ongoing Support at Home classification is approved to meet her current needs. She’s feeling very lonely as many of her friends in the community have already moved into aged care facilities, and her children live interstate. She is worried that she might have another fall and need to move into an aged care home. Maria’s son agrees to move in with her to provide informal care for 6 months, but she knows that she’ll probably need to move into residential aged care once he leaves. Maria is approved for</w:t>
            </w:r>
            <w:r w:rsidRPr="000F6CD1" w:rsidDel="004521FB">
              <w:t xml:space="preserve"> </w:t>
            </w:r>
            <w:r w:rsidRPr="000F6CD1">
              <w:t>ongoing residential aged care, with a low urgency rating.</w:t>
            </w:r>
          </w:p>
          <w:p w14:paraId="09F5DE61" w14:textId="77777777" w:rsidR="004D556D" w:rsidRPr="000F6CD1" w:rsidRDefault="004D556D" w:rsidP="00A677C9">
            <w:pPr>
              <w:spacing w:before="240" w:after="240"/>
            </w:pPr>
          </w:p>
        </w:tc>
      </w:tr>
    </w:tbl>
    <w:p w14:paraId="7856731B" w14:textId="77777777" w:rsidR="004D556D" w:rsidRPr="000F6CD1" w:rsidRDefault="004D556D">
      <w:pPr>
        <w:pStyle w:val="H4"/>
      </w:pPr>
      <w:r w:rsidRPr="000F6CD1">
        <w:t xml:space="preserve">Clients residing in rural and remote areas </w:t>
      </w:r>
    </w:p>
    <w:p w14:paraId="278ACB4C" w14:textId="77777777" w:rsidR="004D556D" w:rsidRPr="000F6CD1" w:rsidRDefault="004D556D" w:rsidP="00A677C9">
      <w:pPr>
        <w:spacing w:before="240" w:after="240" w:line="240" w:lineRule="auto"/>
      </w:pPr>
      <w:r w:rsidRPr="000F6CD1">
        <w:t xml:space="preserve">IT System enhancements have been built to map a client’s residential address to their relevant Modified Monash Model (MMM) 2023 region which is needed to determine their priority. This will be completed automatically for every client approved for residential aged care. </w:t>
      </w:r>
    </w:p>
    <w:p w14:paraId="12A5D916" w14:textId="77777777" w:rsidR="004D556D" w:rsidRPr="000F6CD1" w:rsidRDefault="004D556D" w:rsidP="00A677C9">
      <w:pPr>
        <w:spacing w:before="240" w:after="240" w:line="240" w:lineRule="auto"/>
      </w:pPr>
      <w:r w:rsidRPr="000F6CD1">
        <w:lastRenderedPageBreak/>
        <w:t>If the client is being assessed in a temporary location, the address where the client is generally located should be used. If the older person is being assessed in a city whilst staying with family, this will greatly skew the urgency rating.</w:t>
      </w:r>
    </w:p>
    <w:p w14:paraId="7F85D67D" w14:textId="77777777" w:rsidR="004D556D" w:rsidRPr="000F6CD1" w:rsidRDefault="004D556D" w:rsidP="00A677C9">
      <w:pPr>
        <w:spacing w:before="240" w:after="240" w:line="240" w:lineRule="auto"/>
      </w:pPr>
      <w:r w:rsidRPr="000F6CD1">
        <w:t xml:space="preserve">When an older person registers with My Aged Care, they will be prompted to enter in relevant contact details including their home address. If a home address has not been inputted or is incorrect, an assessor may input or update a clients address at the time of assessment. This is a mandatory field as part of My Aged Care registration/assessment. If you update the individual’s address, you will need to click on the ‘validate this address’ button to populate the MM classification. </w:t>
      </w:r>
    </w:p>
    <w:p w14:paraId="4C826DC6" w14:textId="77777777" w:rsidR="004D556D" w:rsidRPr="000F6CD1" w:rsidRDefault="004D556D" w:rsidP="00A677C9">
      <w:pPr>
        <w:spacing w:before="240" w:after="240" w:line="240" w:lineRule="auto"/>
      </w:pPr>
      <w:r w:rsidRPr="000F6CD1">
        <w:t xml:space="preserve">A yellow text box may appear when residential care is added or edited as a care type in the </w:t>
      </w:r>
      <w:r w:rsidRPr="000F6CD1">
        <w:rPr>
          <w:i/>
        </w:rPr>
        <w:t xml:space="preserve">‘goals and recommendations’ </w:t>
      </w:r>
      <w:r w:rsidRPr="000F6CD1">
        <w:t>section of the support plan and the MM classification has not been mapped to the individual’s record. The yellow box will seek to update the clients address in their record or manually select the appropriate Modified Monash (MM) area.</w:t>
      </w:r>
    </w:p>
    <w:tbl>
      <w:tblPr>
        <w:tblStyle w:val="TableGrid"/>
        <w:tblW w:w="0" w:type="auto"/>
        <w:tblLook w:val="04A0" w:firstRow="1" w:lastRow="0" w:firstColumn="1" w:lastColumn="0" w:noHBand="0" w:noVBand="1"/>
      </w:tblPr>
      <w:tblGrid>
        <w:gridCol w:w="1129"/>
        <w:gridCol w:w="7887"/>
      </w:tblGrid>
      <w:tr w:rsidR="004D556D" w:rsidRPr="000F6CD1" w14:paraId="41502D85" w14:textId="77777777">
        <w:tc>
          <w:tcPr>
            <w:tcW w:w="1129" w:type="dxa"/>
          </w:tcPr>
          <w:p w14:paraId="42BA2237" w14:textId="77777777" w:rsidR="004D556D" w:rsidRPr="000F6CD1" w:rsidRDefault="004D556D" w:rsidP="00A677C9">
            <w:pPr>
              <w:spacing w:before="240" w:after="240"/>
            </w:pPr>
            <w:r w:rsidRPr="000F6CD1">
              <w:rPr>
                <w:noProof/>
              </w:rPr>
              <w:drawing>
                <wp:inline distT="0" distB="0" distL="0" distR="0" wp14:anchorId="2013D85E" wp14:editId="654AD7E7">
                  <wp:extent cx="447675" cy="445208"/>
                  <wp:effectExtent l="0" t="0" r="0" b="0"/>
                  <wp:docPr id="1950018322" name="Picture 195001832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18322" name="Picture 195001832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79BF7749" w14:textId="77777777" w:rsidR="004D556D" w:rsidRPr="000F6CD1" w:rsidRDefault="004D556D" w:rsidP="00A677C9">
            <w:pPr>
              <w:spacing w:before="240" w:after="240"/>
            </w:pPr>
            <w:hyperlink r:id="rId195">
              <w:r w:rsidRPr="000F6CD1">
                <w:rPr>
                  <w:rStyle w:val="Hyperlink"/>
                </w:rPr>
                <w:t>Modified Monash Model | Australian Government Department of Health, Disability and Ageing</w:t>
              </w:r>
            </w:hyperlink>
          </w:p>
        </w:tc>
      </w:tr>
    </w:tbl>
    <w:p w14:paraId="3BEF26DA" w14:textId="77777777" w:rsidR="004D556D" w:rsidRPr="000F6CD1" w:rsidRDefault="004D556D" w:rsidP="00AD2CE5">
      <w:pPr>
        <w:pStyle w:val="H3"/>
      </w:pPr>
      <w:r w:rsidRPr="000F6CD1">
        <w:t>Place allocation</w:t>
      </w:r>
    </w:p>
    <w:p w14:paraId="60B2435F" w14:textId="77777777" w:rsidR="004D556D" w:rsidRPr="000F6CD1" w:rsidRDefault="004D556D" w:rsidP="00A677C9">
      <w:pPr>
        <w:spacing w:before="240" w:after="240" w:line="240" w:lineRule="auto"/>
      </w:pPr>
      <w:r w:rsidRPr="000F6CD1">
        <w:t>The residential care system allocates residential care places (permanent or respite) directly to older people. This is the ‘Places to People’ reform.</w:t>
      </w:r>
    </w:p>
    <w:p w14:paraId="31CF8CF9" w14:textId="77777777" w:rsidR="004D556D" w:rsidRPr="000F6CD1" w:rsidRDefault="004D556D" w:rsidP="00A677C9">
      <w:pPr>
        <w:spacing w:before="240" w:after="240" w:line="240" w:lineRule="auto"/>
      </w:pPr>
      <w:r w:rsidRPr="000F6CD1">
        <w:t>Places will be assigned directly to older people who can then access government-funded residential care services. This will give them more choice and control over what provider delivers their services.</w:t>
      </w:r>
    </w:p>
    <w:p w14:paraId="025FF0CC" w14:textId="77777777" w:rsidR="004D556D" w:rsidRPr="000F6CD1" w:rsidRDefault="004D556D" w:rsidP="00A677C9">
      <w:pPr>
        <w:spacing w:before="240" w:after="240" w:line="240" w:lineRule="auto"/>
      </w:pPr>
      <w:r w:rsidRPr="000F6CD1">
        <w:t>Mainstream residential care providers will no longer need an allocation of places to deliver government-funded aged care services.</w:t>
      </w:r>
    </w:p>
    <w:p w14:paraId="35A56866" w14:textId="77777777" w:rsidR="004D556D" w:rsidRPr="000F6CD1" w:rsidRDefault="004D556D" w:rsidP="00A677C9">
      <w:pPr>
        <w:spacing w:before="240" w:after="240" w:line="240" w:lineRule="auto"/>
      </w:pPr>
      <w:r w:rsidRPr="000F6CD1">
        <w:t>Providers that deliver residential aged care through a specialist program (such as MPSP or TCP) will still get allocated places, for further information see resource below.</w:t>
      </w:r>
    </w:p>
    <w:tbl>
      <w:tblPr>
        <w:tblStyle w:val="TableGrid"/>
        <w:tblW w:w="0" w:type="auto"/>
        <w:tblLook w:val="04A0" w:firstRow="1" w:lastRow="0" w:firstColumn="1" w:lastColumn="0" w:noHBand="0" w:noVBand="1"/>
      </w:tblPr>
      <w:tblGrid>
        <w:gridCol w:w="1129"/>
        <w:gridCol w:w="7887"/>
      </w:tblGrid>
      <w:tr w:rsidR="004D556D" w:rsidRPr="000F6CD1" w14:paraId="57E30C24" w14:textId="77777777">
        <w:tc>
          <w:tcPr>
            <w:tcW w:w="1129" w:type="dxa"/>
          </w:tcPr>
          <w:p w14:paraId="25A2E3EE" w14:textId="77777777" w:rsidR="004D556D" w:rsidRPr="000F6CD1" w:rsidRDefault="004D556D" w:rsidP="00A677C9">
            <w:pPr>
              <w:spacing w:before="240" w:after="240"/>
            </w:pPr>
            <w:r w:rsidRPr="000F6CD1">
              <w:rPr>
                <w:noProof/>
              </w:rPr>
              <w:drawing>
                <wp:inline distT="0" distB="0" distL="0" distR="0" wp14:anchorId="6FFB382B" wp14:editId="04338CC6">
                  <wp:extent cx="447675" cy="445208"/>
                  <wp:effectExtent l="0" t="0" r="0" b="0"/>
                  <wp:docPr id="1237936748" name="Picture 123793674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36748" name="Picture 1237936748"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750EE7E4" w14:textId="77777777" w:rsidR="004D556D" w:rsidRPr="000F6CD1" w:rsidRDefault="004D556D" w:rsidP="00A677C9">
            <w:pPr>
              <w:spacing w:before="240" w:after="240"/>
            </w:pPr>
            <w:hyperlink r:id="rId196">
              <w:r w:rsidRPr="000F6CD1">
                <w:rPr>
                  <w:rStyle w:val="Hyperlink"/>
                </w:rPr>
                <w:t>Places to people – Embedding choice in residential aged care | Australian Government Department of Health, Disability and Ageing</w:t>
              </w:r>
            </w:hyperlink>
          </w:p>
        </w:tc>
      </w:tr>
    </w:tbl>
    <w:p w14:paraId="3C5593B9" w14:textId="77777777" w:rsidR="004D556D" w:rsidRPr="000F6CD1" w:rsidRDefault="004D556D" w:rsidP="00A677C9">
      <w:pPr>
        <w:spacing w:before="240" w:after="240" w:line="240" w:lineRule="auto"/>
      </w:pPr>
      <w:r w:rsidRPr="000F6CD1">
        <w:t xml:space="preserve">If a person has been approved for residential care, (permanent or respite), they will be allocated a place immediately. They will be advised on this in the Notice of Decision letter. </w:t>
      </w:r>
    </w:p>
    <w:p w14:paraId="3A110775" w14:textId="7042028A" w:rsidR="004D556D" w:rsidRPr="000F6CD1" w:rsidRDefault="004D556D" w:rsidP="00A677C9">
      <w:pPr>
        <w:spacing w:before="240" w:after="240" w:line="240" w:lineRule="auto"/>
      </w:pPr>
      <w:r w:rsidRPr="000F6CD1">
        <w:t>There will be no delays to allocate the place. Once the person has their place it stays on their My Aged Care account and will not be withdrawn. There are no time limits for when people need to enter into care.</w:t>
      </w:r>
    </w:p>
    <w:p w14:paraId="3A57F8E2" w14:textId="77777777" w:rsidR="004D556D" w:rsidRPr="000F6CD1" w:rsidRDefault="004D556D" w:rsidP="00AD2CE5">
      <w:pPr>
        <w:pStyle w:val="H3"/>
      </w:pPr>
      <w:r w:rsidRPr="000F6CD1">
        <w:t>Exiting residential care</w:t>
      </w:r>
    </w:p>
    <w:p w14:paraId="5BF3C6B9" w14:textId="77777777" w:rsidR="004D556D" w:rsidRPr="000F6CD1" w:rsidRDefault="004D556D" w:rsidP="66BAB544">
      <w:r w:rsidRPr="000F6CD1">
        <w:t>If an individual has an existing transitioned Home Care Package or Support at Home approval and chooses to exit residential care, they can rejoin the Support at Home Priority System queue by:</w:t>
      </w:r>
    </w:p>
    <w:p w14:paraId="321B9222" w14:textId="77777777" w:rsidR="004D556D" w:rsidRPr="000F6CD1" w:rsidRDefault="004D556D" w:rsidP="004D556D">
      <w:pPr>
        <w:pStyle w:val="ListParagraph"/>
        <w:numPr>
          <w:ilvl w:val="0"/>
          <w:numId w:val="585"/>
        </w:numPr>
      </w:pPr>
      <w:r w:rsidRPr="000F6CD1">
        <w:lastRenderedPageBreak/>
        <w:t>being formally exited by their residential care provider in the Services Australia system</w:t>
      </w:r>
    </w:p>
    <w:p w14:paraId="66C1DD8B" w14:textId="77777777" w:rsidR="004D556D" w:rsidRPr="000F6CD1" w:rsidRDefault="004D556D" w:rsidP="004D556D">
      <w:pPr>
        <w:pStyle w:val="ListParagraph"/>
        <w:numPr>
          <w:ilvl w:val="0"/>
          <w:numId w:val="585"/>
        </w:numPr>
      </w:pPr>
      <w:r w:rsidRPr="000F6CD1">
        <w:t>calling My Aged Care and requesting to opt back in, once formally exited.</w:t>
      </w:r>
    </w:p>
    <w:p w14:paraId="365D0A5E" w14:textId="77777777" w:rsidR="004D556D" w:rsidRPr="000F6CD1" w:rsidRDefault="004D556D" w:rsidP="66BAB544">
      <w:r w:rsidRPr="000F6CD1">
        <w:t>When an older person with an existing transitioned Home Care Package or Support at Home approval contacts My Aged Care and requests to opt back in to the Priority System, their queue status will be re-activated and place determined by their previous approval date and priority.</w:t>
      </w:r>
    </w:p>
    <w:p w14:paraId="2A638F11" w14:textId="77777777" w:rsidR="004D556D" w:rsidRPr="000F6CD1" w:rsidRDefault="004D556D" w:rsidP="66BAB544">
      <w:r w:rsidRPr="000F6CD1">
        <w:t xml:space="preserve">Depending on the date of their previous approval under HCP/SaH, they will be assigned funding when it is available. While waiting for assignment of Support at Home funding, individuals may have other care options available. </w:t>
      </w:r>
    </w:p>
    <w:p w14:paraId="48744DA0" w14:textId="77777777" w:rsidR="004D556D" w:rsidRPr="000F6CD1" w:rsidRDefault="004D556D" w:rsidP="66BAB544">
      <w:r w:rsidRPr="000F6CD1">
        <w:t xml:space="preserve">They could consider accessing aged care services through the Commonwealth Home Support Program (CHSP), state or privately funded services. </w:t>
      </w:r>
    </w:p>
    <w:p w14:paraId="30D2D3C9" w14:textId="77777777" w:rsidR="004D556D" w:rsidRPr="000F6CD1" w:rsidRDefault="004D556D" w:rsidP="66BAB544">
      <w:r w:rsidRPr="000F6CD1">
        <w:t>If an individual has approvals for residential respite care, this service may also be accessed, noting it is a temporary arrangement.</w:t>
      </w:r>
    </w:p>
    <w:p w14:paraId="231385A3" w14:textId="77777777" w:rsidR="004D556D" w:rsidRPr="000F6CD1" w:rsidRDefault="004D556D" w:rsidP="66BAB544">
      <w:r w:rsidRPr="000F6CD1">
        <w:t xml:space="preserve">If an individual is interested in understanding if CHSP or residential respite is an option in the interim, they can call My Aged Care for support with accessing approvals and arranging services. </w:t>
      </w:r>
    </w:p>
    <w:p w14:paraId="3EFA79DC" w14:textId="77777777" w:rsidR="004D556D" w:rsidRPr="000F6CD1" w:rsidRDefault="004D556D" w:rsidP="66BAB544">
      <w:r w:rsidRPr="000F6CD1">
        <w:t>Additionally, all Australians are eligible to access the primary care health system through hospitals, GPs and allied health practitioners. All Australians, regardless of age can and should access these services as needed.</w:t>
      </w:r>
    </w:p>
    <w:p w14:paraId="2A21B6E1" w14:textId="77777777" w:rsidR="004D556D" w:rsidRPr="000F6CD1" w:rsidRDefault="004D556D" w:rsidP="14E031C6"/>
    <w:p w14:paraId="6A7193ED" w14:textId="77777777" w:rsidR="004D556D" w:rsidRPr="000F6CD1" w:rsidRDefault="004D556D" w:rsidP="006647CE">
      <w:pPr>
        <w:pStyle w:val="h2"/>
      </w:pPr>
      <w:bookmarkStart w:id="540" w:name="_Toc209189005"/>
      <w:bookmarkStart w:id="541" w:name="_Toc233282464"/>
      <w:r w:rsidRPr="000F6CD1">
        <w:t>Residential respite care</w:t>
      </w:r>
      <w:bookmarkEnd w:id="540"/>
      <w:bookmarkEnd w:id="541"/>
    </w:p>
    <w:p w14:paraId="2244E229" w14:textId="77777777" w:rsidR="004D556D" w:rsidRPr="000F6CD1" w:rsidRDefault="004D556D" w:rsidP="00A677C9">
      <w:pPr>
        <w:spacing w:before="240" w:after="240" w:line="240" w:lineRule="auto"/>
      </w:pPr>
      <w:r w:rsidRPr="000F6CD1">
        <w:t>Short-term (respite) care is provided as an alternative care arrangement with the primary purpose of giving a carer or an individual in need of care a short-term break from their usual care arrangement. Residential respite is not intended as an alternative to restorative care.</w:t>
      </w:r>
    </w:p>
    <w:p w14:paraId="47A50A6C" w14:textId="77777777" w:rsidR="004D556D" w:rsidRPr="000F6CD1" w:rsidRDefault="004D556D" w:rsidP="00A677C9">
      <w:pPr>
        <w:spacing w:before="240" w:after="240" w:line="240" w:lineRule="auto"/>
      </w:pPr>
      <w:r w:rsidRPr="000F6CD1">
        <w:t>Older people will continue to be able to access emergency respite care through the alternative entry pathway, even if they have not been assessed and approved for short-term residential care.</w:t>
      </w:r>
    </w:p>
    <w:p w14:paraId="218DAEAC" w14:textId="77777777" w:rsidR="004D556D" w:rsidRPr="000F6CD1" w:rsidRDefault="004D556D" w:rsidP="00AD2CE5">
      <w:pPr>
        <w:pStyle w:val="H3"/>
      </w:pPr>
      <w:bookmarkStart w:id="542" w:name="_Ref232604509"/>
      <w:r w:rsidRPr="000F6CD1">
        <w:t>Recommending residential respite care</w:t>
      </w:r>
      <w:bookmarkEnd w:id="542"/>
    </w:p>
    <w:p w14:paraId="5372C35E" w14:textId="77777777" w:rsidR="004D556D" w:rsidRPr="000F6CD1" w:rsidRDefault="004D556D" w:rsidP="00A677C9">
      <w:pPr>
        <w:spacing w:before="240" w:after="240" w:line="240" w:lineRule="auto"/>
      </w:pPr>
      <w:bookmarkStart w:id="543" w:name="_Toc198008584"/>
      <w:r w:rsidRPr="000F6CD1">
        <w:t>When recommending an individual for residential respite care, assessors should complete the De Morton Mobility Index – modified (DEMMI-modified) assessment. This tool assesses the individual's mobility and determines their eligibility for one of three respite funding classes: Respite class 1, Respite class 2, Respite class 3, based on the level of mobility observed.</w:t>
      </w:r>
    </w:p>
    <w:p w14:paraId="74BDC08A" w14:textId="2B9889D3" w:rsidR="004D556D" w:rsidRPr="000F6CD1" w:rsidRDefault="004D556D" w:rsidP="00A677C9">
      <w:pPr>
        <w:spacing w:before="240" w:after="240" w:line="240" w:lineRule="auto"/>
      </w:pPr>
      <w:r w:rsidRPr="000F6CD1">
        <w:t xml:space="preserve">The DEMMI-modified assessment is available within the IAT and can only be used as part of a comprehensive assessment, as it must be completed by a clinically trained assessor. A non-clinical assessor cannot complete the DEMMI-modified even with clinical attendance. </w:t>
      </w:r>
    </w:p>
    <w:p w14:paraId="2E9074B5" w14:textId="77777777" w:rsidR="004D556D" w:rsidRPr="000F6CD1" w:rsidRDefault="004D556D" w:rsidP="00A677C9">
      <w:pPr>
        <w:spacing w:before="240" w:after="240" w:line="240" w:lineRule="auto"/>
      </w:pPr>
      <w:r w:rsidRPr="000F6CD1">
        <w:t>The question, ‘</w:t>
      </w:r>
      <w:r w:rsidRPr="000F6CD1">
        <w:rPr>
          <w:rStyle w:val="Emphasis"/>
          <w:b w:val="0"/>
        </w:rPr>
        <w:t>Are you likely to recommend residential respite care</w:t>
      </w:r>
      <w:r w:rsidRPr="000F6CD1">
        <w:t xml:space="preserve">’ in the IAT is only available in comprehensive assessments. Assessors who are completing a home support assessment and likely to recommend residential respite must convert the assessment to a comprehensive assessment. </w:t>
      </w:r>
    </w:p>
    <w:p w14:paraId="76D9FFEB" w14:textId="77777777" w:rsidR="004D556D" w:rsidRPr="000F6CD1" w:rsidRDefault="004D556D" w:rsidP="00A677C9">
      <w:pPr>
        <w:spacing w:before="240" w:after="240" w:line="240" w:lineRule="auto"/>
      </w:pPr>
      <w:r w:rsidRPr="000F6CD1">
        <w:lastRenderedPageBreak/>
        <w:t>If the DEMMI-modified assessment cannot be completed at the time of assessment, the individual will be temporarily assigned a default funding class (Class 0)</w:t>
      </w:r>
      <w:r w:rsidRPr="000F6CD1">
        <w:rPr>
          <w:bCs/>
        </w:rPr>
        <w:t>. This classification remains in place until a formal </w:t>
      </w:r>
      <w:r w:rsidRPr="000F6CD1">
        <w:t xml:space="preserve">RAC funding assessment is carried out within the residential aged care home, by a RAC funding assessor, at which point the appropriate funding class can be determined based on the individual’s assessed mobility. </w:t>
      </w:r>
    </w:p>
    <w:p w14:paraId="243BD51B" w14:textId="77777777" w:rsidR="004D556D" w:rsidRPr="000F6CD1" w:rsidRDefault="004D556D" w:rsidP="00806A21">
      <w:pPr>
        <w:pStyle w:val="Sub-headings"/>
      </w:pPr>
      <w:r w:rsidRPr="000F6CD1">
        <w:t xml:space="preserve">Note: </w:t>
      </w:r>
    </w:p>
    <w:p w14:paraId="266B34AB" w14:textId="77777777" w:rsidR="004D556D" w:rsidRPr="000F6CD1" w:rsidRDefault="004D556D" w:rsidP="00806A21">
      <w:pPr>
        <w:pStyle w:val="Sub-headings"/>
      </w:pPr>
      <w:r w:rsidRPr="000F6CD1">
        <w:t>Approvals for short-term residential care will not be prioritised. When you view the care type recommendation for Residential Respite Care, you will see the ‘Urgency’ field has been automatically set to ‘High’ and cannot be edited.</w:t>
      </w:r>
    </w:p>
    <w:p w14:paraId="79D03F03" w14:textId="77777777" w:rsidR="004D556D" w:rsidRPr="000F6CD1" w:rsidRDefault="004D556D" w:rsidP="00AD2CE5">
      <w:pPr>
        <w:pStyle w:val="H3"/>
      </w:pPr>
      <w:bookmarkStart w:id="544" w:name="_Toc198008589"/>
      <w:bookmarkStart w:id="545" w:name="_Toc198787191"/>
      <w:bookmarkStart w:id="546" w:name="_Toc1559177051"/>
      <w:bookmarkStart w:id="547" w:name="_Toc199344578"/>
      <w:bookmarkStart w:id="548" w:name="_Toc205372115"/>
      <w:bookmarkStart w:id="549" w:name="_Toc344543759"/>
      <w:r w:rsidRPr="000F6CD1">
        <w:t>Extensions for residential respite</w:t>
      </w:r>
      <w:bookmarkEnd w:id="544"/>
      <w:bookmarkEnd w:id="545"/>
      <w:bookmarkEnd w:id="546"/>
      <w:bookmarkEnd w:id="547"/>
      <w:bookmarkEnd w:id="548"/>
      <w:bookmarkEnd w:id="549"/>
    </w:p>
    <w:p w14:paraId="450E4D73" w14:textId="77777777" w:rsidR="004D556D" w:rsidRPr="000F6CD1" w:rsidRDefault="004D556D" w:rsidP="00A677C9">
      <w:pPr>
        <w:spacing w:before="240" w:after="240" w:line="240" w:lineRule="auto"/>
      </w:pPr>
      <w:r w:rsidRPr="000F6CD1">
        <w:t>Assessment</w:t>
      </w:r>
      <w:r w:rsidRPr="000F6CD1" w:rsidDel="005D1C1B">
        <w:t xml:space="preserve"> </w:t>
      </w:r>
      <w:r w:rsidRPr="000F6CD1">
        <w:t>delegates may receive requests for a</w:t>
      </w:r>
      <w:r w:rsidRPr="000F6CD1">
        <w:rPr>
          <w:b/>
        </w:rPr>
        <w:t> </w:t>
      </w:r>
      <w:r w:rsidRPr="000F6CD1">
        <w:t>21-day extension</w:t>
      </w:r>
      <w:r w:rsidRPr="000F6CD1">
        <w:rPr>
          <w:bCs/>
        </w:rPr>
        <w:t> to</w:t>
      </w:r>
      <w:r w:rsidRPr="000F6CD1">
        <w:t xml:space="preserve"> residential respite care —for example, when a carer is unwell or temporarily unable to resume their care responsibilities. There is no limit to the number of extensions that may be granted beyond the standard 63 days of respite care per financial year​.</w:t>
      </w:r>
    </w:p>
    <w:p w14:paraId="50BE1C41" w14:textId="77777777" w:rsidR="004D556D" w:rsidRPr="000F6CD1" w:rsidRDefault="004D556D" w:rsidP="00A677C9">
      <w:pPr>
        <w:spacing w:before="240" w:after="240" w:line="240" w:lineRule="auto"/>
      </w:pPr>
      <w:r w:rsidRPr="000F6CD1">
        <w:t>Typically, the residential aged care provider submits the extension request via the My Aged Care Service and Support Portal, and the assessment organisation receives it through the Assessor Portal for the assessment delegate’s action​.</w:t>
      </w:r>
    </w:p>
    <w:p w14:paraId="284EBD89" w14:textId="77777777" w:rsidR="004D556D" w:rsidRPr="000F6CD1" w:rsidRDefault="004D556D" w:rsidP="00A677C9">
      <w:pPr>
        <w:spacing w:before="240" w:after="240" w:line="240" w:lineRule="auto"/>
      </w:pPr>
      <w:r w:rsidRPr="000F6CD1">
        <w:t xml:space="preserve">An assessment delegate’s responsibility is to review the request and either approve or decline it. Once a decision is made, they must communicate the outcome to the provider. </w:t>
      </w:r>
    </w:p>
    <w:p w14:paraId="6FC9F507" w14:textId="77777777" w:rsidR="004D556D" w:rsidRPr="000F6CD1" w:rsidRDefault="004D556D" w:rsidP="00A677C9">
      <w:pPr>
        <w:spacing w:before="240" w:after="240" w:line="240" w:lineRule="auto"/>
      </w:pPr>
      <w:r w:rsidRPr="000F6CD1">
        <w:t>The assessment</w:t>
      </w:r>
      <w:r w:rsidRPr="000F6CD1" w:rsidDel="00440187">
        <w:t xml:space="preserve"> </w:t>
      </w:r>
      <w:r w:rsidRPr="000F6CD1">
        <w:t>delegate will need to be satisfied that an increase in the number of respite days was necessary due to any of the following:</w:t>
      </w:r>
    </w:p>
    <w:p w14:paraId="31C9F997" w14:textId="77777777" w:rsidR="004D556D" w:rsidRPr="000F6CD1" w:rsidRDefault="004D556D" w:rsidP="00A677C9">
      <w:pPr>
        <w:spacing w:before="240" w:after="240" w:line="240" w:lineRule="auto"/>
        <w:ind w:firstLine="720"/>
      </w:pPr>
      <w:r w:rsidRPr="000F6CD1">
        <w:t>(a) carer stress</w:t>
      </w:r>
    </w:p>
    <w:p w14:paraId="2C78ED00" w14:textId="77777777" w:rsidR="004D556D" w:rsidRPr="000F6CD1" w:rsidRDefault="004D556D" w:rsidP="00A677C9">
      <w:pPr>
        <w:spacing w:before="240" w:after="240" w:line="240" w:lineRule="auto"/>
        <w:ind w:firstLine="720"/>
      </w:pPr>
      <w:r w:rsidRPr="000F6CD1">
        <w:t>(b) severity of the individual’s condition</w:t>
      </w:r>
    </w:p>
    <w:p w14:paraId="3628D5FE" w14:textId="77777777" w:rsidR="004D556D" w:rsidRPr="000F6CD1" w:rsidRDefault="004D556D" w:rsidP="00A677C9">
      <w:pPr>
        <w:spacing w:before="240" w:after="240" w:line="240" w:lineRule="auto"/>
        <w:ind w:firstLine="720"/>
      </w:pPr>
      <w:r w:rsidRPr="000F6CD1">
        <w:t>(c) absence of the individual’s carer</w:t>
      </w:r>
    </w:p>
    <w:p w14:paraId="57A64591" w14:textId="77777777" w:rsidR="004D556D" w:rsidRPr="000F6CD1" w:rsidRDefault="004D556D" w:rsidP="00A677C9">
      <w:pPr>
        <w:spacing w:before="240" w:after="240" w:line="240" w:lineRule="auto"/>
        <w:ind w:left="720"/>
      </w:pPr>
      <w:r w:rsidRPr="000F6CD1">
        <w:t>(d) any other relevant matter (for example, where a provider delivers an episode of respite care in good faith but subsequently finds out the care recipient’s allocation of respite days had already been exhausted).</w:t>
      </w:r>
    </w:p>
    <w:p w14:paraId="20C7B2C8" w14:textId="77777777" w:rsidR="004D556D" w:rsidRPr="000F6CD1" w:rsidRDefault="004D556D" w:rsidP="00806A21">
      <w:pPr>
        <w:pStyle w:val="Sub-headings"/>
      </w:pPr>
      <w:r w:rsidRPr="000F6CD1">
        <w:t>Note:</w:t>
      </w:r>
    </w:p>
    <w:p w14:paraId="282253BC" w14:textId="77777777" w:rsidR="004D556D" w:rsidRPr="000F6CD1" w:rsidRDefault="004D556D" w:rsidP="00806A21">
      <w:pPr>
        <w:pStyle w:val="Sub-headings"/>
      </w:pPr>
      <w:r w:rsidRPr="000F6CD1">
        <w:t>There is no right of review if an extension request is declined​.</w:t>
      </w:r>
    </w:p>
    <w:p w14:paraId="47F32C29" w14:textId="77777777" w:rsidR="004D556D" w:rsidRPr="000F6CD1" w:rsidRDefault="004D556D" w:rsidP="00A677C9">
      <w:pPr>
        <w:spacing w:before="240" w:after="240" w:line="240" w:lineRule="auto"/>
      </w:pPr>
    </w:p>
    <w:p w14:paraId="56F20B11" w14:textId="77777777" w:rsidR="004D556D" w:rsidRPr="000F6CD1" w:rsidRDefault="004D556D" w:rsidP="00A677C9">
      <w:pPr>
        <w:spacing w:before="240" w:after="240" w:line="240" w:lineRule="auto"/>
        <w:rPr>
          <w:rFonts w:eastAsiaTheme="minorHAnsi"/>
          <w:szCs w:val="22"/>
        </w:rPr>
      </w:pPr>
      <w:r w:rsidRPr="000F6CD1">
        <w:t xml:space="preserve">Once decided, the assessment delegate must give written notice to the registered provider of your decision whether to extend within 28 days after the application was made. </w:t>
      </w:r>
      <w:r w:rsidRPr="000F6CD1">
        <w:rPr>
          <w:rFonts w:eastAsiaTheme="minorHAnsi"/>
          <w:szCs w:val="22"/>
        </w:rPr>
        <w:t>T</w:t>
      </w:r>
      <w:r w:rsidRPr="000F6CD1">
        <w:t>his written notice</w:t>
      </w:r>
      <w:r w:rsidRPr="000F6CD1">
        <w:rPr>
          <w:rFonts w:eastAsiaTheme="minorHAnsi"/>
          <w:szCs w:val="22"/>
        </w:rPr>
        <w:t xml:space="preserve"> must include the day the decision takes effect, which may be before the day the decision is made.</w:t>
      </w:r>
    </w:p>
    <w:p w14:paraId="1E9F73C7" w14:textId="77777777" w:rsidR="004D556D" w:rsidRPr="000F6CD1" w:rsidRDefault="004D556D" w:rsidP="00A677C9">
      <w:pPr>
        <w:spacing w:before="240" w:after="240" w:line="240" w:lineRule="auto"/>
      </w:pPr>
      <w:r w:rsidRPr="000F6CD1">
        <w:t>Extensions are granted only at the previously approved level of care</w:t>
      </w:r>
      <w:r w:rsidRPr="000F6CD1">
        <w:rPr>
          <w:bCs/>
        </w:rPr>
        <w:t>.</w:t>
      </w:r>
      <w:r w:rsidRPr="000F6CD1">
        <w:t xml:space="preserve"> If a higher level is needed, a reassessment and new approval by a Clinical Assessment Delegate is required before the extension can be granted​</w:t>
      </w:r>
    </w:p>
    <w:p w14:paraId="662962A5" w14:textId="77777777" w:rsidR="004D556D" w:rsidRPr="000F6CD1" w:rsidRDefault="004D556D" w:rsidP="00A677C9">
      <w:pPr>
        <w:spacing w:before="240" w:after="240" w:line="240" w:lineRule="auto"/>
      </w:pPr>
      <w:r w:rsidRPr="000F6CD1">
        <w:lastRenderedPageBreak/>
        <w:t>Where multiple extensions are being requested in one financial year, the assessor should review the Support Plan in consultation with the client, family and provider, to confirm the appropriateness of the residential respite care with the possibility of considering other care options. This will include whether there is an appropriate Support Plan in place to safely support the person to return home following the residential respite care episode (see section: Residential Care).</w:t>
      </w:r>
    </w:p>
    <w:tbl>
      <w:tblPr>
        <w:tblStyle w:val="TableGrid"/>
        <w:tblW w:w="9026" w:type="dxa"/>
        <w:tblInd w:w="-5" w:type="dxa"/>
        <w:tblLook w:val="04A0" w:firstRow="1" w:lastRow="0" w:firstColumn="1" w:lastColumn="0" w:noHBand="0" w:noVBand="1"/>
      </w:tblPr>
      <w:tblGrid>
        <w:gridCol w:w="9026"/>
      </w:tblGrid>
      <w:tr w:rsidR="004D556D" w:rsidRPr="000F6CD1" w14:paraId="723B0C9F" w14:textId="77777777">
        <w:tc>
          <w:tcPr>
            <w:tcW w:w="9026" w:type="dxa"/>
          </w:tcPr>
          <w:p w14:paraId="5CBA4D79" w14:textId="77777777" w:rsidR="004D556D" w:rsidRPr="000F6CD1" w:rsidRDefault="004D556D" w:rsidP="00A677C9">
            <w:pPr>
              <w:spacing w:before="240" w:after="240"/>
            </w:pPr>
            <w:r w:rsidRPr="000F6CD1">
              <w:rPr>
                <w:noProof/>
              </w:rPr>
              <w:drawing>
                <wp:inline distT="0" distB="0" distL="0" distR="0" wp14:anchorId="09E2E4D8" wp14:editId="38683AB7">
                  <wp:extent cx="383111" cy="381000"/>
                  <wp:effectExtent l="0" t="0" r="0" b="0"/>
                  <wp:docPr id="275039975" name="Picture 275039975"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39975" name="Picture 275039975"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0F6CD1">
              <w:rPr>
                <w:b/>
                <w:bCs/>
              </w:rPr>
              <w:t xml:space="preserve"> For more information on managing residential respite extensions, refer to </w:t>
            </w:r>
            <w:hyperlink r:id="rId197">
              <w:r w:rsidRPr="000F6CD1">
                <w:rPr>
                  <w:rStyle w:val="Hyperlink"/>
                </w:rPr>
                <w:t>Managing residential respite care | Australian Government Department of Health, Disability and Ageing</w:t>
              </w:r>
            </w:hyperlink>
          </w:p>
        </w:tc>
      </w:tr>
    </w:tbl>
    <w:p w14:paraId="5E601EA7" w14:textId="77777777" w:rsidR="004D556D" w:rsidRPr="000F6CD1" w:rsidRDefault="004D556D" w:rsidP="006647CE">
      <w:pPr>
        <w:pStyle w:val="h2"/>
      </w:pPr>
      <w:bookmarkStart w:id="550" w:name="_Toc204329573"/>
      <w:bookmarkStart w:id="551" w:name="_Toc209189006"/>
      <w:bookmarkStart w:id="552" w:name="_Toc233282465"/>
      <w:bookmarkStart w:id="553" w:name="_Toc198813690"/>
      <w:bookmarkEnd w:id="543"/>
      <w:r w:rsidRPr="000F6CD1">
        <w:t>Other programs and supports</w:t>
      </w:r>
      <w:bookmarkEnd w:id="550"/>
      <w:bookmarkEnd w:id="551"/>
      <w:bookmarkEnd w:id="552"/>
    </w:p>
    <w:p w14:paraId="2884E647" w14:textId="77777777" w:rsidR="004D556D" w:rsidRPr="000F6CD1" w:rsidRDefault="004D556D" w:rsidP="00AD2CE5">
      <w:pPr>
        <w:pStyle w:val="H3"/>
      </w:pPr>
      <w:bookmarkStart w:id="554" w:name="_Ref128155966"/>
      <w:bookmarkStart w:id="555" w:name="_Ref128157437"/>
      <w:bookmarkStart w:id="556" w:name="_Toc159226953"/>
      <w:bookmarkStart w:id="557" w:name="_Toc184402370"/>
      <w:bookmarkStart w:id="558" w:name="_Ref506980859"/>
      <w:bookmarkStart w:id="559" w:name="_Toc496022848"/>
      <w:r w:rsidRPr="000F6CD1">
        <w:t>Dementia specific programs and supports</w:t>
      </w:r>
      <w:bookmarkEnd w:id="554"/>
      <w:bookmarkEnd w:id="555"/>
      <w:bookmarkEnd w:id="556"/>
      <w:bookmarkEnd w:id="557"/>
      <w:r w:rsidRPr="000F6CD1">
        <w:t xml:space="preserve"> </w:t>
      </w:r>
    </w:p>
    <w:p w14:paraId="0D830411" w14:textId="77777777" w:rsidR="004D556D" w:rsidRPr="000F6CD1" w:rsidRDefault="004D556D" w:rsidP="00A677C9">
      <w:pPr>
        <w:spacing w:before="240" w:after="240" w:line="240" w:lineRule="auto"/>
        <w:rPr>
          <w:rFonts w:eastAsia="MS PGothic"/>
        </w:rPr>
      </w:pPr>
      <w:r w:rsidRPr="000F6CD1">
        <w:rPr>
          <w:rFonts w:eastAsia="MS PGothic"/>
        </w:rPr>
        <w:t xml:space="preserve">Counselling, education, information, and other support for people living with dementia or experiencing cognitive decline, and their care partners, families, and representatives is available through the National Dementia Support Program (NDSP), delivered by Dementia Australia. They can be contacted 24 hours a day, 7 days a week via the National Dementia Helpline on </w:t>
      </w:r>
      <w:r w:rsidRPr="000F6CD1">
        <w:rPr>
          <w:rFonts w:eastAsia="MS PGothic"/>
          <w:b/>
        </w:rPr>
        <w:t xml:space="preserve">1800 100 500 </w:t>
      </w:r>
      <w:r w:rsidRPr="000F6CD1">
        <w:rPr>
          <w:rFonts w:eastAsia="MS PGothic"/>
          <w:bCs/>
        </w:rPr>
        <w:t xml:space="preserve">or by visiting the </w:t>
      </w:r>
      <w:hyperlink r:id="rId198">
        <w:r w:rsidRPr="000F6CD1">
          <w:rPr>
            <w:rStyle w:val="Hyperlink"/>
            <w:rFonts w:eastAsia="MS PGothic"/>
          </w:rPr>
          <w:t>Dementia Australia</w:t>
        </w:r>
      </w:hyperlink>
      <w:r w:rsidRPr="000F6CD1">
        <w:rPr>
          <w:rFonts w:eastAsia="MS PGothic"/>
          <w:bCs/>
        </w:rPr>
        <w:t xml:space="preserve"> website</w:t>
      </w:r>
      <w:r w:rsidRPr="000F6CD1">
        <w:rPr>
          <w:rFonts w:eastAsia="MS PGothic"/>
        </w:rPr>
        <w:t xml:space="preserve">. </w:t>
      </w:r>
    </w:p>
    <w:p w14:paraId="763FC495" w14:textId="752E5D28" w:rsidR="004D556D" w:rsidRPr="000F6CD1" w:rsidRDefault="008A61F3" w:rsidP="005960D3">
      <w:pPr>
        <w:spacing w:before="240" w:after="240" w:line="240" w:lineRule="auto"/>
        <w:rPr>
          <w:rFonts w:eastAsia="MS PGothic"/>
        </w:rPr>
      </w:pPr>
      <w:r>
        <w:rPr>
          <w:rFonts w:eastAsia="MS PGothic"/>
        </w:rPr>
        <w:fldChar w:fldCharType="begin"/>
      </w:r>
      <w:r>
        <w:rPr>
          <w:rFonts w:eastAsia="MS PGothic"/>
        </w:rPr>
        <w:instrText xml:space="preserve"> REF _Ref212735812 \h </w:instrText>
      </w:r>
      <w:r>
        <w:rPr>
          <w:rFonts w:eastAsia="MS PGothic"/>
        </w:rPr>
      </w:r>
      <w:r>
        <w:rPr>
          <w:rFonts w:eastAsia="MS PGothic"/>
        </w:rPr>
        <w:fldChar w:fldCharType="separate"/>
      </w:r>
      <w:r w:rsidR="004B171E" w:rsidRPr="000F6CD1">
        <w:t>Chapter 12: Supporting diverse experiences and needs</w:t>
      </w:r>
      <w:r>
        <w:rPr>
          <w:rFonts w:eastAsia="MS PGothic"/>
        </w:rPr>
        <w:fldChar w:fldCharType="end"/>
      </w:r>
      <w:r>
        <w:rPr>
          <w:rFonts w:eastAsia="MS PGothic"/>
        </w:rPr>
        <w:t xml:space="preserve">, </w:t>
      </w:r>
      <w:r w:rsidR="004D556D" w:rsidRPr="000F6CD1">
        <w:rPr>
          <w:rFonts w:eastAsia="MS PGothic"/>
        </w:rPr>
        <w:t xml:space="preserve">outlines a system to refer carers of older people living with dementia or experiencing cognitive decline to the National Dementia Helpline, with their consent. A trained professional from Dementia Australia will call the older person and speak to them about dementia-specific services and supports that might assist to help improve or maintain their quality of life. </w:t>
      </w:r>
    </w:p>
    <w:p w14:paraId="0765821E" w14:textId="77777777" w:rsidR="004D556D" w:rsidRPr="000F6CD1" w:rsidRDefault="004D556D" w:rsidP="00806A21">
      <w:pPr>
        <w:pStyle w:val="Sub-headings"/>
      </w:pPr>
      <w:r w:rsidRPr="000F6CD1">
        <w:t>Note:</w:t>
      </w:r>
    </w:p>
    <w:p w14:paraId="5C3D6149" w14:textId="77777777" w:rsidR="004D556D" w:rsidRPr="000F6CD1" w:rsidRDefault="004D556D" w:rsidP="00806A21">
      <w:pPr>
        <w:pStyle w:val="Sub-headings"/>
      </w:pPr>
      <w:r w:rsidRPr="000F6CD1">
        <w:t>A person does not need to have a formal dementia diagnosis to be referred to Dementia Australia for support.</w:t>
      </w:r>
    </w:p>
    <w:p w14:paraId="39CA03B0" w14:textId="77777777" w:rsidR="004D556D" w:rsidRPr="000F6CD1" w:rsidRDefault="004D556D" w:rsidP="005942E6"/>
    <w:p w14:paraId="15FC4C6F" w14:textId="77777777" w:rsidR="004D556D" w:rsidRPr="000F6CD1" w:rsidRDefault="004D556D" w:rsidP="00AD2CE5">
      <w:pPr>
        <w:pStyle w:val="H3"/>
      </w:pPr>
      <w:r w:rsidRPr="000F6CD1">
        <w:t xml:space="preserve">Dementia Carer Respite and Wellbeing Program </w:t>
      </w:r>
    </w:p>
    <w:p w14:paraId="0B0CFB78" w14:textId="77777777" w:rsidR="004D556D" w:rsidRPr="000F6CD1" w:rsidRDefault="004D556D" w:rsidP="00A677C9">
      <w:pPr>
        <w:spacing w:before="240" w:after="240" w:line="240" w:lineRule="auto"/>
        <w:rPr>
          <w:lang w:eastAsia="en-US"/>
        </w:rPr>
      </w:pPr>
      <w:r w:rsidRPr="000F6CD1">
        <w:rPr>
          <w:lang w:eastAsia="en-US"/>
        </w:rPr>
        <w:t xml:space="preserve">The Dementia Carer Respite and Wellbeing Program (also known as the Staying at Home program) delivers models of </w:t>
      </w:r>
      <w:r w:rsidRPr="000F6CD1">
        <w:rPr>
          <w:rFonts w:eastAsiaTheme="minorEastAsia"/>
          <w:color w:val="000000" w:themeColor="text1"/>
        </w:rPr>
        <w:t>respite care</w:t>
      </w:r>
      <w:r w:rsidRPr="000F6CD1">
        <w:rPr>
          <w:lang w:eastAsia="en-US"/>
        </w:rPr>
        <w:t xml:space="preserve"> through a shared </w:t>
      </w:r>
      <w:r w:rsidRPr="000F6CD1">
        <w:rPr>
          <w:rFonts w:eastAsia="MS PGothic"/>
        </w:rPr>
        <w:t>respite</w:t>
      </w:r>
      <w:r w:rsidRPr="000F6CD1">
        <w:rPr>
          <w:lang w:eastAsia="en-US"/>
        </w:rPr>
        <w:t xml:space="preserve"> experience, attended by both the person living with dementia and their care partner. </w:t>
      </w:r>
    </w:p>
    <w:p w14:paraId="0C17E677" w14:textId="77777777" w:rsidR="004D556D" w:rsidRPr="000F6CD1" w:rsidRDefault="004D556D" w:rsidP="00A677C9">
      <w:pPr>
        <w:spacing w:before="240" w:after="240" w:line="240" w:lineRule="auto"/>
        <w:rPr>
          <w:lang w:eastAsia="en-US"/>
        </w:rPr>
      </w:pPr>
      <w:r w:rsidRPr="000F6CD1">
        <w:t>The program expands on existing supports to:</w:t>
      </w:r>
    </w:p>
    <w:p w14:paraId="0BF11BBB" w14:textId="77777777" w:rsidR="004D556D" w:rsidRPr="000F6CD1" w:rsidRDefault="004D556D" w:rsidP="00DF3F6B">
      <w:pPr>
        <w:pStyle w:val="ListParagraph"/>
        <w:numPr>
          <w:ilvl w:val="0"/>
          <w:numId w:val="175"/>
        </w:numPr>
        <w:spacing w:before="240" w:after="240" w:line="240" w:lineRule="auto"/>
      </w:pPr>
      <w:r w:rsidRPr="000F6CD1">
        <w:t xml:space="preserve">maintain or improve quality of life for care partners and people living with dementia </w:t>
      </w:r>
    </w:p>
    <w:p w14:paraId="3BC186C3" w14:textId="77777777" w:rsidR="004D556D" w:rsidRPr="000F6CD1" w:rsidRDefault="004D556D" w:rsidP="00DF3F6B">
      <w:pPr>
        <w:pStyle w:val="ListParagraph"/>
        <w:numPr>
          <w:ilvl w:val="0"/>
          <w:numId w:val="175"/>
        </w:numPr>
        <w:spacing w:before="240" w:after="240" w:line="240" w:lineRule="auto"/>
      </w:pPr>
      <w:r w:rsidRPr="000F6CD1">
        <w:t xml:space="preserve">increase </w:t>
      </w:r>
      <w:r w:rsidRPr="000F6CD1" w:rsidDel="00631AB1">
        <w:t>care</w:t>
      </w:r>
      <w:r w:rsidRPr="000F6CD1">
        <w:t xml:space="preserve"> partner knowledge, skills and capability to care for a person living with dementia at home improve the experience and quality of respite care for care partners and people living with dementia</w:t>
      </w:r>
    </w:p>
    <w:p w14:paraId="0A5BB8AA" w14:textId="77777777" w:rsidR="004D556D" w:rsidRPr="000F6CD1" w:rsidRDefault="004D556D" w:rsidP="00DF3F6B">
      <w:pPr>
        <w:pStyle w:val="ListParagraph"/>
        <w:numPr>
          <w:ilvl w:val="0"/>
          <w:numId w:val="175"/>
        </w:numPr>
        <w:spacing w:before="240" w:after="240" w:line="240" w:lineRule="auto"/>
      </w:pPr>
      <w:r w:rsidRPr="000F6CD1">
        <w:t>support people living with dementia to stay at home for longer</w:t>
      </w:r>
    </w:p>
    <w:p w14:paraId="7BC812B8" w14:textId="77777777" w:rsidR="004D556D" w:rsidRPr="000F6CD1" w:rsidRDefault="004D556D" w:rsidP="00DF3F6B">
      <w:pPr>
        <w:pStyle w:val="ListParagraph"/>
        <w:numPr>
          <w:ilvl w:val="0"/>
          <w:numId w:val="175"/>
        </w:numPr>
        <w:spacing w:before="240" w:after="240" w:line="240" w:lineRule="auto"/>
      </w:pPr>
      <w:r w:rsidRPr="000F6CD1">
        <w:t xml:space="preserve">provide peer support connections for </w:t>
      </w:r>
      <w:r w:rsidRPr="000F6CD1" w:rsidDel="00E20020">
        <w:t>care</w:t>
      </w:r>
      <w:r w:rsidRPr="000F6CD1">
        <w:t xml:space="preserve"> partners and people living with dementia </w:t>
      </w:r>
    </w:p>
    <w:p w14:paraId="45830931" w14:textId="3CBCBD83" w:rsidR="004D556D" w:rsidRPr="000F6CD1" w:rsidRDefault="004D556D" w:rsidP="00A677C9">
      <w:pPr>
        <w:spacing w:before="240" w:after="240" w:line="240" w:lineRule="auto"/>
        <w:rPr>
          <w:rFonts w:eastAsia="MS PGothic"/>
          <w:b/>
        </w:rPr>
      </w:pPr>
      <w:r w:rsidRPr="000F6CD1" w:rsidDel="002B10F3">
        <w:rPr>
          <w:rFonts w:eastAsiaTheme="minorEastAsia"/>
          <w:color w:val="313131"/>
        </w:rPr>
        <w:lastRenderedPageBreak/>
        <w:t>C</w:t>
      </w:r>
      <w:r w:rsidRPr="000F6CD1" w:rsidDel="0091487D">
        <w:rPr>
          <w:rFonts w:eastAsiaTheme="minorEastAsia"/>
          <w:color w:val="313131"/>
        </w:rPr>
        <w:t>are</w:t>
      </w:r>
      <w:r w:rsidRPr="000F6CD1">
        <w:rPr>
          <w:rFonts w:eastAsiaTheme="minorEastAsia"/>
          <w:color w:val="313131"/>
        </w:rPr>
        <w:t xml:space="preserve"> providers (supported by Dementia Support Australia) deliver the Staying at </w:t>
      </w:r>
      <w:r w:rsidRPr="000F6CD1">
        <w:rPr>
          <w:rFonts w:eastAsia="MS PGothic"/>
        </w:rPr>
        <w:t>Home program</w:t>
      </w:r>
      <w:r w:rsidRPr="000F6CD1">
        <w:rPr>
          <w:rFonts w:eastAsiaTheme="minorEastAsia"/>
          <w:color w:val="313131"/>
        </w:rPr>
        <w:t xml:space="preserve">. </w:t>
      </w:r>
      <w:r w:rsidRPr="000F6CD1">
        <w:rPr>
          <w:rFonts w:eastAsia="MS PGothic"/>
        </w:rPr>
        <w:t xml:space="preserve">Family carers can find more information about the program on the Dementia Support Australia </w:t>
      </w:r>
      <w:r w:rsidR="007502A9" w:rsidRPr="000F6CD1">
        <w:rPr>
          <w:rFonts w:eastAsia="MS PGothic"/>
        </w:rPr>
        <w:t>website.</w:t>
      </w:r>
      <w:r w:rsidRPr="000F6CD1">
        <w:rPr>
          <w:rFonts w:eastAsia="MS PGothic"/>
          <w:b/>
          <w:bCs/>
        </w:rPr>
        <w:t xml:space="preserve"> </w:t>
      </w:r>
    </w:p>
    <w:p w14:paraId="4F046974" w14:textId="20E8148F" w:rsidR="004D556D" w:rsidRPr="000F6CD1" w:rsidRDefault="004D556D" w:rsidP="00A677C9">
      <w:pPr>
        <w:spacing w:before="240" w:after="240" w:line="240" w:lineRule="auto"/>
        <w:rPr>
          <w:rFonts w:eastAsiaTheme="minorEastAsia"/>
          <w:color w:val="313131"/>
        </w:rPr>
      </w:pPr>
      <w:r w:rsidRPr="000F6CD1">
        <w:rPr>
          <w:rFonts w:eastAsia="MS PGothic"/>
        </w:rPr>
        <w:t xml:space="preserve">There are also a small number of dementia specific innovative respite care programs being trialled across Australia. </w:t>
      </w:r>
    </w:p>
    <w:p w14:paraId="774E5A02" w14:textId="5EF7377F" w:rsidR="004D556D" w:rsidRPr="000F6CD1" w:rsidRDefault="00833446" w:rsidP="00AD2CE5">
      <w:pPr>
        <w:pStyle w:val="H3"/>
      </w:pPr>
      <w:r>
        <w:drawing>
          <wp:anchor distT="0" distB="0" distL="114300" distR="114300" simplePos="0" relativeHeight="251658269" behindDoc="0" locked="0" layoutInCell="1" allowOverlap="1" wp14:anchorId="22853C94" wp14:editId="794AE2C6">
            <wp:simplePos x="0" y="0"/>
            <wp:positionH relativeFrom="margin">
              <wp:align>left</wp:align>
            </wp:positionH>
            <wp:positionV relativeFrom="margin">
              <wp:posOffset>1114425</wp:posOffset>
            </wp:positionV>
            <wp:extent cx="365792" cy="403895"/>
            <wp:effectExtent l="0" t="0" r="0" b="0"/>
            <wp:wrapSquare wrapText="bothSides"/>
            <wp:docPr id="1639242738"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42738"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Dementia behaviour support</w:t>
      </w:r>
    </w:p>
    <w:p w14:paraId="13DFFAE3" w14:textId="5C9BC591" w:rsidR="004D556D" w:rsidRPr="000F6CD1" w:rsidRDefault="004D556D" w:rsidP="00A677C9">
      <w:pPr>
        <w:spacing w:before="240" w:after="240" w:line="240" w:lineRule="auto"/>
        <w:rPr>
          <w:rFonts w:eastAsia="MS PGothic"/>
        </w:rPr>
      </w:pPr>
      <w:r w:rsidRPr="000F6CD1">
        <w:rPr>
          <w:rFonts w:eastAsia="MS PGothic"/>
        </w:rPr>
        <w:t xml:space="preserve">The Australian Government funds national dementia behaviour support programs through </w:t>
      </w:r>
      <w:hyperlink r:id="rId199" w:history="1">
        <w:r w:rsidRPr="000F6CD1">
          <w:rPr>
            <w:rStyle w:val="Hyperlink"/>
            <w:rFonts w:eastAsia="MS PGothic"/>
          </w:rPr>
          <w:t>Dementia</w:t>
        </w:r>
        <w:bookmarkStart w:id="560" w:name="_Hlt219896362"/>
        <w:r w:rsidRPr="000F6CD1">
          <w:rPr>
            <w:rStyle w:val="Hyperlink"/>
            <w:rFonts w:eastAsia="MS PGothic"/>
          </w:rPr>
          <w:t xml:space="preserve"> </w:t>
        </w:r>
        <w:bookmarkEnd w:id="560"/>
        <w:r w:rsidRPr="000F6CD1">
          <w:rPr>
            <w:rStyle w:val="Hyperlink"/>
            <w:rFonts w:eastAsia="MS PGothic"/>
          </w:rPr>
          <w:t>Support Australia</w:t>
        </w:r>
      </w:hyperlink>
      <w:r w:rsidRPr="000F6CD1">
        <w:rPr>
          <w:rFonts w:eastAsia="MS PGothic"/>
        </w:rPr>
        <w:t xml:space="preserve"> (DSA) to support carers and service providers, which can be accessed by contacting the 24-hour DSA helpline on </w:t>
      </w:r>
      <w:r w:rsidRPr="000F6CD1">
        <w:rPr>
          <w:rFonts w:eastAsia="MS PGothic"/>
          <w:b/>
          <w:bCs/>
        </w:rPr>
        <w:t>1800 699 799</w:t>
      </w:r>
      <w:r w:rsidRPr="000F6CD1">
        <w:rPr>
          <w:rFonts w:eastAsia="MS PGothic"/>
        </w:rPr>
        <w:t>.</w:t>
      </w:r>
    </w:p>
    <w:p w14:paraId="12A88932" w14:textId="77777777" w:rsidR="004D556D" w:rsidRPr="000F6CD1" w:rsidRDefault="004D556D" w:rsidP="00A677C9">
      <w:pPr>
        <w:spacing w:before="240" w:after="240" w:line="240" w:lineRule="auto"/>
        <w:rPr>
          <w:rFonts w:eastAsia="MS PGothic"/>
        </w:rPr>
      </w:pPr>
      <w:r w:rsidRPr="000F6CD1">
        <w:rPr>
          <w:rFonts w:eastAsia="MS PGothic"/>
          <w:b/>
          <w:bCs/>
        </w:rPr>
        <w:t>Dementia Behaviour Management Advisory Service (DBMAS)</w:t>
      </w:r>
      <w:r w:rsidRPr="000F6CD1">
        <w:rPr>
          <w:rFonts w:eastAsia="MS PGothic"/>
        </w:rPr>
        <w:t>, delivered by DSA,</w:t>
      </w:r>
      <w:r w:rsidRPr="000F6CD1" w:rsidDel="00DB0E38">
        <w:rPr>
          <w:rFonts w:eastAsia="MS PGothic"/>
        </w:rPr>
        <w:t xml:space="preserve"> </w:t>
      </w:r>
      <w:r w:rsidRPr="000F6CD1">
        <w:rPr>
          <w:rFonts w:eastAsia="MS PGothic"/>
        </w:rPr>
        <w:t xml:space="preserve">provides free personalised support and advice to service providers and individuals caring for people with dementia in any location or setting in Australia. It provides support when the behavioural and psychological symptoms of dementia (BPSD) start to impact a person's quality of care. </w:t>
      </w:r>
      <w:r w:rsidRPr="001C1A55">
        <w:rPr>
          <w:rFonts w:eastAsia="Aptos"/>
          <w:szCs w:val="22"/>
        </w:rPr>
        <w:t>DBMAS assists carers and service providers to understand the underlying causes of behaviour, promotes person</w:t>
      </w:r>
      <w:r w:rsidRPr="001C1A55">
        <w:rPr>
          <w:szCs w:val="22"/>
        </w:rPr>
        <w:noBreakHyphen/>
      </w:r>
      <w:r w:rsidRPr="001C1A55">
        <w:rPr>
          <w:rFonts w:eastAsia="Aptos"/>
          <w:szCs w:val="22"/>
        </w:rPr>
        <w:t>centred and trauma</w:t>
      </w:r>
      <w:r w:rsidRPr="001C1A55">
        <w:rPr>
          <w:szCs w:val="22"/>
        </w:rPr>
        <w:noBreakHyphen/>
      </w:r>
      <w:r w:rsidRPr="001C1A55">
        <w:rPr>
          <w:rFonts w:eastAsia="Aptos"/>
          <w:szCs w:val="22"/>
        </w:rPr>
        <w:t>informed approaches, and assists with practical strategies to reduce distress, use of restraints, and inappropriate responses to behaviour</w:t>
      </w:r>
      <w:r w:rsidRPr="001C1A55">
        <w:rPr>
          <w:rFonts w:ascii="Aptos" w:eastAsia="Aptos" w:hAnsi="Aptos" w:cs="Aptos"/>
          <w:sz w:val="24"/>
        </w:rPr>
        <w:t>.</w:t>
      </w:r>
    </w:p>
    <w:p w14:paraId="66A3F584" w14:textId="7EB19231" w:rsidR="004D556D" w:rsidRPr="000F6CD1" w:rsidRDefault="004D556D" w:rsidP="00A677C9">
      <w:pPr>
        <w:spacing w:before="240" w:after="240" w:line="240" w:lineRule="auto"/>
        <w:rPr>
          <w:rFonts w:eastAsia="MS PGothic"/>
        </w:rPr>
      </w:pPr>
      <w:r w:rsidRPr="000F6CD1">
        <w:rPr>
          <w:rFonts w:eastAsia="MS PGothic"/>
          <w:b/>
          <w:bCs/>
        </w:rPr>
        <w:t>Severe Behaviour Response Teams (SBRT)</w:t>
      </w:r>
      <w:r w:rsidRPr="000F6CD1">
        <w:rPr>
          <w:rFonts w:eastAsia="MS PGothic"/>
        </w:rPr>
        <w:t xml:space="preserve">, </w:t>
      </w:r>
      <w:r w:rsidRPr="00DF405C">
        <w:rPr>
          <w:rFonts w:eastAsia="MS PGothic"/>
        </w:rPr>
        <w:t>also delivered by DSA,</w:t>
      </w:r>
      <w:r w:rsidRPr="00DF405C">
        <w:rPr>
          <w:rFonts w:eastAsia="MS PGothic"/>
          <w:b/>
        </w:rPr>
        <w:t xml:space="preserve"> </w:t>
      </w:r>
      <w:r w:rsidRPr="00DF405C">
        <w:rPr>
          <w:rFonts w:eastAsia="Aptos"/>
          <w:szCs w:val="22"/>
        </w:rPr>
        <w:t>provide urgent, specialist outreach support where behaviours are severe, persistent or place the person or others at significant risk.</w:t>
      </w:r>
      <w:r w:rsidRPr="00DF405C">
        <w:rPr>
          <w:rFonts w:eastAsia="Arial"/>
        </w:rPr>
        <w:t xml:space="preserve"> It offers free support and advice to approved aged care providers where there is heightened severity of BPSD or risk to the person living with dementia, or their care network. </w:t>
      </w:r>
      <w:r w:rsidRPr="00DF405C">
        <w:rPr>
          <w:rFonts w:eastAsia="Aptos"/>
          <w:szCs w:val="22"/>
        </w:rPr>
        <w:t>SBRT may provide onsite assessment (or virtual support where appropriate), multidisciplinary clinical input, and short</w:t>
      </w:r>
      <w:r w:rsidRPr="00DF405C">
        <w:noBreakHyphen/>
      </w:r>
      <w:r w:rsidRPr="00DF405C">
        <w:rPr>
          <w:rFonts w:eastAsia="Aptos"/>
          <w:szCs w:val="22"/>
        </w:rPr>
        <w:t>term intensive interventions.</w:t>
      </w:r>
      <w:r w:rsidRPr="00DF405C">
        <w:rPr>
          <w:rFonts w:ascii="Aptos" w:eastAsia="Aptos" w:hAnsi="Aptos" w:cs="Aptos"/>
          <w:sz w:val="24"/>
        </w:rPr>
        <w:t xml:space="preserve"> </w:t>
      </w:r>
      <w:r w:rsidRPr="00DF405C">
        <w:rPr>
          <w:rFonts w:eastAsia="Arial"/>
        </w:rPr>
        <w:t xml:space="preserve">SBRT will partner with the person living with dementia and their care network to identify unmet needs, contributing factors, and appropriate strategies to stabilise behaviour and support continuity of care. </w:t>
      </w:r>
    </w:p>
    <w:p w14:paraId="3B0EA531" w14:textId="77777777" w:rsidR="004D556D" w:rsidRPr="000F6CD1" w:rsidRDefault="004D556D" w:rsidP="00587E82">
      <w:pPr>
        <w:spacing w:before="240" w:after="240" w:line="240" w:lineRule="auto"/>
      </w:pPr>
      <w:r w:rsidRPr="000F6CD1">
        <w:t xml:space="preserve">The </w:t>
      </w:r>
      <w:r w:rsidRPr="000F6CD1">
        <w:rPr>
          <w:b/>
          <w:bCs/>
        </w:rPr>
        <w:t>Specialist Dementia Care Program (SDCP)</w:t>
      </w:r>
      <w:r w:rsidRPr="000F6CD1">
        <w:t xml:space="preserve"> supports people with very severe BPSD whose support needs cannot be met in a residential aged care home. Care is provided in a small unit in a cottage-like dementia friendly environment</w:t>
      </w:r>
      <w:r w:rsidRPr="000F6CD1">
        <w:rPr>
          <w:rFonts w:cstheme="minorBidi"/>
          <w:lang w:eastAsia="en-US"/>
        </w:rPr>
        <w:t xml:space="preserve">. </w:t>
      </w:r>
      <w:r w:rsidRPr="000F6CD1">
        <w:t>The program enables specialised care in circumstances where the person has very severe BPSD complicated by physical aggression or other behaviours that the person’s residential aged care home or carer partners cannot manage, even with help from other services.</w:t>
      </w:r>
    </w:p>
    <w:p w14:paraId="3BE41348" w14:textId="0849BFC4" w:rsidR="004D556D" w:rsidRPr="000F6CD1" w:rsidRDefault="004D556D" w:rsidP="00587E82">
      <w:pPr>
        <w:spacing w:before="240" w:after="240" w:line="240" w:lineRule="auto"/>
        <w:rPr>
          <w:rFonts w:cstheme="minorBidi"/>
          <w:lang w:eastAsia="en-US"/>
        </w:rPr>
      </w:pPr>
      <w:r w:rsidRPr="000F6CD1">
        <w:rPr>
          <w:rFonts w:cstheme="minorBidi"/>
          <w:lang w:eastAsia="en-US"/>
        </w:rPr>
        <w:t>The program provides transitional care aimed at stabilising behaviours over approximately a 12-month period to enable the resident to transition to a less intensive care setting when they no longer need SDCP care.</w:t>
      </w:r>
    </w:p>
    <w:p w14:paraId="37C479C3" w14:textId="77777777" w:rsidR="004D556D" w:rsidRPr="000F6CD1" w:rsidRDefault="004D556D" w:rsidP="00587E82">
      <w:pPr>
        <w:spacing w:before="240" w:after="240" w:line="240" w:lineRule="auto"/>
        <w:rPr>
          <w:rFonts w:eastAsia="MS PGothic"/>
        </w:rPr>
      </w:pPr>
      <w:r w:rsidRPr="000F6CD1">
        <w:t>Referral and eligibility for the program is undertaken by Dementia Support Australia (DSA) through the Needs Based Assessment service.</w:t>
      </w:r>
    </w:p>
    <w:p w14:paraId="0780080F" w14:textId="77777777" w:rsidR="004D556D" w:rsidRPr="000F6CD1" w:rsidRDefault="004D556D" w:rsidP="00A677C9">
      <w:pPr>
        <w:spacing w:before="240" w:after="240" w:line="240" w:lineRule="auto"/>
        <w:rPr>
          <w:rFonts w:eastAsia="Arial"/>
        </w:rPr>
      </w:pPr>
      <w:r w:rsidRPr="000F6CD1">
        <w:rPr>
          <w:rFonts w:eastAsia="Arial"/>
        </w:rPr>
        <w:t xml:space="preserve">The </w:t>
      </w:r>
      <w:r w:rsidRPr="000F6CD1">
        <w:rPr>
          <w:rFonts w:eastAsia="Arial"/>
          <w:b/>
          <w:bCs/>
        </w:rPr>
        <w:t>Hospital to Aged Care Dementia Support Program</w:t>
      </w:r>
      <w:r w:rsidRPr="000F6CD1">
        <w:rPr>
          <w:rFonts w:eastAsia="Arial"/>
        </w:rPr>
        <w:t xml:space="preserve"> helps older people living with dementia transition from hospital into residential aged care or home with aged care support. The program supports hospital and aged care staff, the older person and their family or carers: </w:t>
      </w:r>
    </w:p>
    <w:p w14:paraId="55C1CF3C" w14:textId="77777777" w:rsidR="004D556D" w:rsidRPr="000F6CD1" w:rsidRDefault="004D556D" w:rsidP="00DF3F6B">
      <w:pPr>
        <w:numPr>
          <w:ilvl w:val="0"/>
          <w:numId w:val="174"/>
        </w:numPr>
        <w:spacing w:before="240" w:after="240" w:line="240" w:lineRule="auto"/>
        <w:rPr>
          <w:rFonts w:eastAsia="Arial"/>
        </w:rPr>
      </w:pPr>
      <w:r w:rsidRPr="000F6CD1">
        <w:rPr>
          <w:rFonts w:eastAsia="Arial"/>
        </w:rPr>
        <w:t>during their hospital stay </w:t>
      </w:r>
    </w:p>
    <w:p w14:paraId="07381BF3" w14:textId="77777777" w:rsidR="004D556D" w:rsidRPr="000F6CD1" w:rsidRDefault="004D556D" w:rsidP="00DF3F6B">
      <w:pPr>
        <w:numPr>
          <w:ilvl w:val="0"/>
          <w:numId w:val="174"/>
        </w:numPr>
        <w:spacing w:before="240" w:after="240" w:line="240" w:lineRule="auto"/>
        <w:rPr>
          <w:rFonts w:eastAsia="Arial"/>
        </w:rPr>
      </w:pPr>
      <w:r w:rsidRPr="000F6CD1">
        <w:rPr>
          <w:rFonts w:eastAsia="Arial"/>
        </w:rPr>
        <w:t>when transitioning out of hospital </w:t>
      </w:r>
    </w:p>
    <w:p w14:paraId="0E94E304" w14:textId="77777777" w:rsidR="004D556D" w:rsidRPr="000F6CD1" w:rsidRDefault="004D556D" w:rsidP="00DF3F6B">
      <w:pPr>
        <w:numPr>
          <w:ilvl w:val="0"/>
          <w:numId w:val="174"/>
        </w:numPr>
        <w:spacing w:before="240" w:after="240" w:line="240" w:lineRule="auto"/>
        <w:rPr>
          <w:rFonts w:eastAsia="Arial"/>
        </w:rPr>
      </w:pPr>
      <w:r w:rsidRPr="000F6CD1">
        <w:rPr>
          <w:rFonts w:eastAsia="Arial"/>
        </w:rPr>
        <w:lastRenderedPageBreak/>
        <w:t>following hospital discharge into an aged care supported environment for up to 3 months</w:t>
      </w:r>
    </w:p>
    <w:p w14:paraId="00D5CA9A" w14:textId="5959A3C2" w:rsidR="004D556D" w:rsidRPr="000F6CD1" w:rsidRDefault="004D556D" w:rsidP="00A677C9">
      <w:pPr>
        <w:spacing w:before="240" w:after="240" w:line="240" w:lineRule="auto"/>
        <w:rPr>
          <w:rFonts w:eastAsia="Arial"/>
        </w:rPr>
      </w:pPr>
      <w:r w:rsidRPr="000F6CD1">
        <w:rPr>
          <w:rFonts w:eastAsia="Arial"/>
        </w:rPr>
        <w:t xml:space="preserve">DSA are delivering the program in select locations across all states and territories and referrals are accepted from hospital staff in participating hospital sites. </w:t>
      </w:r>
    </w:p>
    <w:p w14:paraId="24CA27A0" w14:textId="77777777" w:rsidR="004D556D" w:rsidRPr="000F6CD1" w:rsidRDefault="004D556D" w:rsidP="00A677C9">
      <w:pPr>
        <w:spacing w:before="240" w:after="240" w:line="240" w:lineRule="auto"/>
        <w:rPr>
          <w:rFonts w:eastAsia="Arial"/>
        </w:rPr>
      </w:pPr>
      <w:r w:rsidRPr="000F6CD1">
        <w:rPr>
          <w:rFonts w:eastAsia="Arial"/>
        </w:rPr>
        <w:t xml:space="preserve">A HACDSP program framework has been developed and provides high level program overview, scope, and administrative arrangements and is available by emailing </w:t>
      </w:r>
      <w:hyperlink r:id="rId200">
        <w:r w:rsidRPr="000F6CD1">
          <w:rPr>
            <w:rStyle w:val="Hyperlink"/>
            <w:rFonts w:eastAsia="Arial"/>
          </w:rPr>
          <w:t>HACDSP@health.gov.au</w:t>
        </w:r>
      </w:hyperlink>
      <w:r w:rsidRPr="000F6CD1">
        <w:rPr>
          <w:rFonts w:eastAsia="Arial"/>
        </w:rPr>
        <w:t xml:space="preserve"> </w:t>
      </w:r>
    </w:p>
    <w:p w14:paraId="6512221A" w14:textId="5AC5110B" w:rsidR="004D556D" w:rsidRPr="000F6CD1" w:rsidRDefault="004D556D" w:rsidP="00A677C9">
      <w:pPr>
        <w:spacing w:before="240" w:after="240" w:line="240" w:lineRule="auto"/>
        <w:rPr>
          <w:rFonts w:eastAsia="MS PGothic"/>
        </w:rPr>
      </w:pPr>
      <w:r w:rsidRPr="000F6CD1">
        <w:rPr>
          <w:rFonts w:eastAsia="Arial"/>
        </w:rPr>
        <w:t xml:space="preserve">A list of current locations and participating hospital sites, along with information on program eligibility and referral processes, is available on DSA’s website </w:t>
      </w:r>
      <w:hyperlink r:id="rId201">
        <w:r w:rsidRPr="000F6CD1">
          <w:rPr>
            <w:rStyle w:val="Hyperlink"/>
            <w:rFonts w:eastAsia="Arial"/>
          </w:rPr>
          <w:t xml:space="preserve">Hospital to Aged Care Dementia Support Program (HACDSP)  </w:t>
        </w:r>
      </w:hyperlink>
    </w:p>
    <w:tbl>
      <w:tblPr>
        <w:tblStyle w:val="TableGrid"/>
        <w:tblW w:w="0" w:type="auto"/>
        <w:tblLook w:val="04A0" w:firstRow="1" w:lastRow="0" w:firstColumn="1" w:lastColumn="0" w:noHBand="0" w:noVBand="1"/>
      </w:tblPr>
      <w:tblGrid>
        <w:gridCol w:w="846"/>
        <w:gridCol w:w="8170"/>
      </w:tblGrid>
      <w:tr w:rsidR="004D556D" w:rsidRPr="000F6CD1" w14:paraId="2FFAD2EE" w14:textId="77777777">
        <w:tc>
          <w:tcPr>
            <w:tcW w:w="846" w:type="dxa"/>
          </w:tcPr>
          <w:p w14:paraId="03B3310A"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0FBCC1FD" wp14:editId="5E1168E8">
                  <wp:extent cx="383111" cy="381000"/>
                  <wp:effectExtent l="0" t="0" r="0" b="0"/>
                  <wp:docPr id="1130245942" name="Picture 113024594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5942" name="Picture 1130245942"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0C6D0E33" w14:textId="77777777" w:rsidR="004D556D" w:rsidRPr="000F6CD1" w:rsidRDefault="004D556D" w:rsidP="00A677C9">
            <w:pPr>
              <w:spacing w:before="240" w:after="240"/>
            </w:pPr>
            <w:hyperlink r:id="rId202">
              <w:r w:rsidRPr="000F6CD1">
                <w:rPr>
                  <w:rStyle w:val="Hyperlink"/>
                  <w:u w:val="none"/>
                </w:rPr>
                <w:t>Dementia Support Australia</w:t>
              </w:r>
            </w:hyperlink>
          </w:p>
          <w:p w14:paraId="4EC66B88" w14:textId="77777777" w:rsidR="004D556D" w:rsidRPr="000F6CD1" w:rsidRDefault="004D556D" w:rsidP="00A677C9">
            <w:pPr>
              <w:spacing w:before="240" w:after="240"/>
            </w:pPr>
            <w:hyperlink r:id="rId203">
              <w:r w:rsidRPr="000F6CD1">
                <w:rPr>
                  <w:rStyle w:val="Hyperlink"/>
                  <w:u w:val="none"/>
                </w:rPr>
                <w:t>Staying at Home</w:t>
              </w:r>
            </w:hyperlink>
            <w:r w:rsidRPr="000F6CD1">
              <w:t xml:space="preserve"> </w:t>
            </w:r>
          </w:p>
          <w:p w14:paraId="2D18124E" w14:textId="77777777" w:rsidR="004D556D" w:rsidRPr="000F6CD1" w:rsidRDefault="004D556D" w:rsidP="00A677C9">
            <w:pPr>
              <w:spacing w:before="240" w:after="240"/>
            </w:pPr>
            <w:hyperlink r:id="rId204" w:history="1">
              <w:r w:rsidRPr="000F6CD1">
                <w:rPr>
                  <w:rStyle w:val="Hyperlink"/>
                </w:rPr>
                <w:t>Assessing for Eligibility for the Specialist Dementia Care Program (SDCP)</w:t>
              </w:r>
            </w:hyperlink>
          </w:p>
          <w:p w14:paraId="0F830245" w14:textId="77777777" w:rsidR="004D556D" w:rsidRPr="000F6CD1" w:rsidRDefault="004D556D" w:rsidP="00A677C9">
            <w:pPr>
              <w:spacing w:before="240" w:after="240"/>
            </w:pPr>
            <w:hyperlink r:id="rId205">
              <w:r w:rsidRPr="000F6CD1">
                <w:rPr>
                  <w:rStyle w:val="Hyperlink"/>
                  <w:u w:val="none"/>
                </w:rPr>
                <w:t>Specialist Dementia Care Program information booklet</w:t>
              </w:r>
            </w:hyperlink>
          </w:p>
        </w:tc>
      </w:tr>
    </w:tbl>
    <w:p w14:paraId="447AC156" w14:textId="77777777" w:rsidR="004D556D" w:rsidRPr="000F6CD1" w:rsidRDefault="004D556D" w:rsidP="00AD2CE5">
      <w:pPr>
        <w:pStyle w:val="H3"/>
      </w:pPr>
      <w:bookmarkStart w:id="561" w:name="_Ref128155973"/>
      <w:bookmarkStart w:id="562" w:name="_Toc159226954"/>
      <w:bookmarkStart w:id="563" w:name="_Toc184402371"/>
      <w:r w:rsidRPr="000F6CD1">
        <w:t>Department of Veterans’ Affairs (DVA)</w:t>
      </w:r>
      <w:bookmarkEnd w:id="558"/>
      <w:bookmarkEnd w:id="561"/>
      <w:bookmarkEnd w:id="562"/>
      <w:bookmarkEnd w:id="563"/>
    </w:p>
    <w:p w14:paraId="3457E805" w14:textId="77777777" w:rsidR="004D556D" w:rsidRPr="000F6CD1" w:rsidRDefault="004D556D" w:rsidP="00A677C9">
      <w:pPr>
        <w:spacing w:before="240" w:after="240" w:line="240" w:lineRule="auto"/>
        <w:rPr>
          <w:rFonts w:eastAsia="Calibri" w:cs="Calibri"/>
          <w:color w:val="000000" w:themeColor="text1"/>
        </w:rPr>
      </w:pPr>
      <w:r w:rsidRPr="000F6CD1">
        <w:t>Veterans have</w:t>
      </w:r>
      <w:r w:rsidRPr="000F6CD1">
        <w:rPr>
          <w:rFonts w:eastAsia="Calibri" w:cs="Calibri"/>
          <w:color w:val="000000" w:themeColor="text1"/>
        </w:rPr>
        <w:t xml:space="preserve"> the same right of access to community and aged care programs as any other member of the community. The </w:t>
      </w:r>
      <w:r w:rsidRPr="000F6CD1">
        <w:rPr>
          <w:rFonts w:eastAsia="Calibri" w:cs="Calibri"/>
          <w:i/>
          <w:color w:val="000000" w:themeColor="text1"/>
        </w:rPr>
        <w:t xml:space="preserve">Aged Care Act 2024 </w:t>
      </w:r>
      <w:r w:rsidRPr="000F6CD1">
        <w:rPr>
          <w:rFonts w:eastAsia="Calibri" w:cs="Calibri"/>
          <w:color w:val="000000" w:themeColor="text1"/>
        </w:rPr>
        <w:t>lists veterans under the Statement of Principles (section 25). Veterans should not be discriminated against or refused care when accessing services from other community and aged care programs on an assumption that DVA will provide for all their care needs. DVA provides some entry-level care services but does not provide higher-level care services.</w:t>
      </w:r>
    </w:p>
    <w:p w14:paraId="2B6CD13F" w14:textId="77777777" w:rsidR="004D556D" w:rsidRPr="000F6CD1" w:rsidRDefault="004D556D">
      <w:pPr>
        <w:pStyle w:val="H4"/>
      </w:pPr>
      <w:r w:rsidRPr="000F6CD1">
        <w:t>Veterans’ Home Care (VHC) Program</w:t>
      </w:r>
    </w:p>
    <w:p w14:paraId="08A43807" w14:textId="77777777" w:rsidR="004D556D" w:rsidRPr="000F6CD1" w:rsidRDefault="004D556D" w:rsidP="00A677C9">
      <w:pPr>
        <w:spacing w:before="240" w:after="240" w:line="240" w:lineRule="auto"/>
      </w:pPr>
      <w:r w:rsidRPr="000F6CD1">
        <w:t xml:space="preserve">Veterans' Home Care (VHC) is a DVA program designed to assist veterans and war widows/widowers who need a small amount of practical help to continue living independently in their own home. Services include domestic assistance, personal care, respite care, and safety-related home and garden maintenance. VHC is not designed to meet complex or high-level care needs. </w:t>
      </w:r>
    </w:p>
    <w:p w14:paraId="1F062BBA" w14:textId="77777777" w:rsidR="004D556D" w:rsidRPr="000F6CD1" w:rsidRDefault="004D556D">
      <w:pPr>
        <w:pStyle w:val="H4"/>
      </w:pPr>
      <w:r w:rsidRPr="000F6CD1">
        <w:t>Community nursing (CN)</w:t>
      </w:r>
    </w:p>
    <w:p w14:paraId="4AC8477A" w14:textId="77777777" w:rsidR="004D556D" w:rsidRPr="000F6CD1" w:rsidRDefault="004D556D" w:rsidP="00A677C9">
      <w:pPr>
        <w:spacing w:before="240" w:after="240" w:line="240" w:lineRule="auto"/>
      </w:pPr>
      <w:r w:rsidRPr="000F6CD1">
        <w:t>CN provides clinical nursing and/or personal care services to eligible members of the veteran community in their own home. CN services can assist with medication, wound care, hygiene and dressing. CN services can help to restore or maintain health and independence at home and assist to avoid early admittance to hospital or residential care. Veterans requiring high-level care require prior approval by DVA.</w:t>
      </w:r>
    </w:p>
    <w:p w14:paraId="006AE30C" w14:textId="77777777" w:rsidR="004D556D" w:rsidRPr="000F6CD1" w:rsidRDefault="004D556D" w:rsidP="00A677C9">
      <w:pPr>
        <w:spacing w:before="240" w:after="240" w:line="240" w:lineRule="auto"/>
      </w:pPr>
      <w:r w:rsidRPr="000F6CD1">
        <w:t xml:space="preserve">CN services are provided by a mix of personnel including registered and enrolled nurses and nursing support staff, who work within the framework of their relevant national standards. </w:t>
      </w:r>
    </w:p>
    <w:p w14:paraId="1F950107" w14:textId="4A21EEAF" w:rsidR="004D556D" w:rsidRPr="000F6CD1" w:rsidRDefault="004D556D">
      <w:pPr>
        <w:pStyle w:val="H4"/>
      </w:pPr>
      <w:r w:rsidRPr="000F6CD1">
        <w:lastRenderedPageBreak/>
        <w:t>Duplication of services</w:t>
      </w:r>
    </w:p>
    <w:p w14:paraId="32552FD4" w14:textId="6A9BFDBD" w:rsidR="004D556D" w:rsidRPr="000F6CD1" w:rsidRDefault="004D556D" w:rsidP="00A677C9">
      <w:pPr>
        <w:spacing w:before="240" w:after="240" w:line="240" w:lineRule="auto"/>
      </w:pPr>
      <w:r w:rsidRPr="000F6CD1">
        <w:t xml:space="preserve">As long as there is no duplication of services between the programs, Veterans may access DVA’s VHC and CN services at the same time as accessing </w:t>
      </w:r>
      <w:r w:rsidRPr="000F6CD1">
        <w:rPr>
          <w:b/>
        </w:rPr>
        <w:t>different services</w:t>
      </w:r>
      <w:r w:rsidRPr="000F6CD1">
        <w:t xml:space="preserve"> from:</w:t>
      </w:r>
    </w:p>
    <w:p w14:paraId="0918A588" w14:textId="05EB4D3F" w:rsidR="004D556D" w:rsidRPr="000F6CD1" w:rsidRDefault="004D556D" w:rsidP="00DF3F6B">
      <w:pPr>
        <w:pStyle w:val="ListParagraph"/>
        <w:numPr>
          <w:ilvl w:val="0"/>
          <w:numId w:val="171"/>
        </w:numPr>
        <w:spacing w:before="240" w:after="240" w:line="240" w:lineRule="auto"/>
        <w:ind w:left="567" w:hanging="284"/>
      </w:pPr>
      <w:r w:rsidRPr="000F6CD1">
        <w:t xml:space="preserve">Ongoing Support at Home </w:t>
      </w:r>
    </w:p>
    <w:p w14:paraId="11931582" w14:textId="77777777" w:rsidR="004D556D" w:rsidRPr="000F6CD1" w:rsidRDefault="004D556D" w:rsidP="00DF3F6B">
      <w:pPr>
        <w:pStyle w:val="ListParagraph"/>
        <w:numPr>
          <w:ilvl w:val="0"/>
          <w:numId w:val="171"/>
        </w:numPr>
        <w:spacing w:before="240" w:after="240" w:line="240" w:lineRule="auto"/>
        <w:ind w:left="567" w:hanging="284"/>
      </w:pPr>
      <w:r w:rsidRPr="000F6CD1">
        <w:t>CHSP</w:t>
      </w:r>
    </w:p>
    <w:p w14:paraId="52ACD5CF" w14:textId="4E98B653" w:rsidR="004D556D" w:rsidRPr="000F6CD1" w:rsidRDefault="004D556D" w:rsidP="00DF3F6B">
      <w:pPr>
        <w:pStyle w:val="ListParagraph"/>
        <w:numPr>
          <w:ilvl w:val="0"/>
          <w:numId w:val="171"/>
        </w:numPr>
        <w:spacing w:before="240" w:after="240" w:line="240" w:lineRule="auto"/>
        <w:ind w:left="567" w:hanging="284"/>
      </w:pPr>
      <w:r w:rsidRPr="000F6CD1">
        <w:t>TCP</w:t>
      </w:r>
    </w:p>
    <w:p w14:paraId="4B934386" w14:textId="77777777" w:rsidR="004D556D" w:rsidRPr="000F6CD1" w:rsidRDefault="004D556D" w:rsidP="00A677C9">
      <w:pPr>
        <w:spacing w:before="240" w:after="240" w:line="240" w:lineRule="auto"/>
      </w:pPr>
      <w:r w:rsidRPr="000F6CD1">
        <w:t xml:space="preserve">For ongoing Support at Home, this access can occur regardless of the level of the package. </w:t>
      </w:r>
    </w:p>
    <w:p w14:paraId="6B923B40" w14:textId="43B6A4A1" w:rsidR="004D556D" w:rsidRPr="000F6CD1" w:rsidRDefault="004D556D" w:rsidP="00A677C9">
      <w:pPr>
        <w:spacing w:before="240" w:after="240" w:line="240" w:lineRule="auto"/>
      </w:pPr>
      <w:r w:rsidRPr="000F6CD1">
        <w:t>CHSP offers services that are not available through the VHC Program or other DVA arrangements, such as a wide range of social support, food services, community transport and centre-based day respite.</w:t>
      </w:r>
    </w:p>
    <w:p w14:paraId="63F802B4" w14:textId="0E36D426" w:rsidR="004D556D" w:rsidRPr="000F6CD1" w:rsidRDefault="004D556D">
      <w:pPr>
        <w:pStyle w:val="H4"/>
      </w:pPr>
      <w:r w:rsidRPr="000F6CD1">
        <w:t>Assistance with fees</w:t>
      </w:r>
    </w:p>
    <w:p w14:paraId="3C8CA85B" w14:textId="3DB60DCC" w:rsidR="004D556D" w:rsidRPr="000F6CD1" w:rsidRDefault="004D556D" w:rsidP="00A677C9">
      <w:pPr>
        <w:spacing w:before="240" w:after="240" w:line="240" w:lineRule="auto"/>
        <w:rPr>
          <w:b/>
          <w:bCs/>
          <w:szCs w:val="22"/>
        </w:rPr>
      </w:pPr>
      <w:r w:rsidRPr="000F6CD1">
        <w:rPr>
          <w:szCs w:val="22"/>
        </w:rPr>
        <w:t>DVA may assist with the cost of fees for government funded aged care services for veterans, depending on the type of aged care and the eligibility of the veteran. We recommend the older person contact DVA on 1800 838 372 to check if they are eligible for assistance. If the person is a Prisoner of War or Victoria Cross recipient that served with the Australian Defence Force, DVA may provide additional fee assistance.</w:t>
      </w:r>
    </w:p>
    <w:tbl>
      <w:tblPr>
        <w:tblStyle w:val="TableGrid"/>
        <w:tblW w:w="0" w:type="auto"/>
        <w:tblLook w:val="04A0" w:firstRow="1" w:lastRow="0" w:firstColumn="1" w:lastColumn="0" w:noHBand="0" w:noVBand="1"/>
      </w:tblPr>
      <w:tblGrid>
        <w:gridCol w:w="846"/>
        <w:gridCol w:w="8170"/>
      </w:tblGrid>
      <w:tr w:rsidR="004D556D" w:rsidRPr="000F6CD1" w14:paraId="6C5855C7" w14:textId="77777777">
        <w:tc>
          <w:tcPr>
            <w:tcW w:w="846" w:type="dxa"/>
            <w:vAlign w:val="bottom"/>
          </w:tcPr>
          <w:p w14:paraId="7B237349"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37DE72B6" wp14:editId="77FA2086">
                  <wp:extent cx="383111" cy="381000"/>
                  <wp:effectExtent l="0" t="0" r="0" b="0"/>
                  <wp:docPr id="959787767" name="Picture 95978776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7767" name="Picture 959787767"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1A0ABB9F" w14:textId="77777777" w:rsidR="004D556D" w:rsidRPr="000F6CD1" w:rsidRDefault="004D556D">
            <w:pPr>
              <w:pStyle w:val="ListParagraph"/>
              <w:numPr>
                <w:ilvl w:val="0"/>
                <w:numId w:val="196"/>
              </w:numPr>
              <w:spacing w:before="240" w:after="240"/>
              <w:rPr>
                <w:b/>
                <w:bCs/>
              </w:rPr>
            </w:pPr>
            <w:hyperlink r:id="rId206">
              <w:r w:rsidRPr="000F6CD1">
                <w:rPr>
                  <w:rStyle w:val="Hyperlink"/>
                </w:rPr>
                <w:t>Department of Veterans’ Affairs</w:t>
              </w:r>
            </w:hyperlink>
            <w:r w:rsidRPr="000F6CD1">
              <w:rPr>
                <w:b/>
                <w:bCs/>
              </w:rPr>
              <w:t xml:space="preserve"> </w:t>
            </w:r>
          </w:p>
          <w:p w14:paraId="28CC7F3B" w14:textId="77777777" w:rsidR="004D556D" w:rsidRPr="000F6CD1" w:rsidRDefault="004D556D">
            <w:pPr>
              <w:pStyle w:val="ListParagraph"/>
              <w:numPr>
                <w:ilvl w:val="0"/>
                <w:numId w:val="196"/>
              </w:numPr>
              <w:spacing w:before="240" w:after="240"/>
              <w:rPr>
                <w:rStyle w:val="Hyperlink"/>
              </w:rPr>
            </w:pPr>
            <w:hyperlink r:id="rId207" w:history="1">
              <w:r w:rsidRPr="000F6CD1">
                <w:rPr>
                  <w:rStyle w:val="Hyperlink"/>
                </w:rPr>
                <w:t>Care at home and aged care services</w:t>
              </w:r>
            </w:hyperlink>
          </w:p>
          <w:p w14:paraId="4839C450" w14:textId="77777777" w:rsidR="004D556D" w:rsidRPr="000F6CD1" w:rsidRDefault="004D556D">
            <w:pPr>
              <w:pStyle w:val="ListParagraph"/>
              <w:numPr>
                <w:ilvl w:val="0"/>
                <w:numId w:val="196"/>
              </w:numPr>
              <w:spacing w:before="240" w:after="240"/>
              <w:rPr>
                <w:rStyle w:val="Hyperlink"/>
              </w:rPr>
            </w:pPr>
            <w:hyperlink r:id="rId208">
              <w:r w:rsidRPr="000F6CD1">
                <w:rPr>
                  <w:rStyle w:val="Hyperlink"/>
                </w:rPr>
                <w:t>Community nursing</w:t>
              </w:r>
            </w:hyperlink>
            <w:r w:rsidRPr="000F6CD1">
              <w:rPr>
                <w:rStyle w:val="Hyperlink"/>
              </w:rPr>
              <w:t xml:space="preserve"> </w:t>
            </w:r>
          </w:p>
          <w:p w14:paraId="6B2D0EA5" w14:textId="77777777" w:rsidR="004D556D" w:rsidRPr="000F6CD1" w:rsidRDefault="004D556D">
            <w:pPr>
              <w:pStyle w:val="ListParagraph"/>
              <w:numPr>
                <w:ilvl w:val="0"/>
                <w:numId w:val="196"/>
              </w:numPr>
              <w:spacing w:before="240" w:after="240"/>
            </w:pPr>
            <w:hyperlink r:id="rId209">
              <w:r w:rsidRPr="000F6CD1">
                <w:rPr>
                  <w:rStyle w:val="Hyperlink"/>
                </w:rPr>
                <w:t>Community Nursing Services and Providers</w:t>
              </w:r>
            </w:hyperlink>
            <w:r w:rsidRPr="000F6CD1">
              <w:t xml:space="preserve"> </w:t>
            </w:r>
          </w:p>
          <w:p w14:paraId="3A97CB20" w14:textId="77777777" w:rsidR="004D556D" w:rsidRPr="000F6CD1" w:rsidRDefault="004D556D" w:rsidP="00A677C9">
            <w:pPr>
              <w:pStyle w:val="ListParagraph"/>
              <w:spacing w:before="240" w:after="240"/>
            </w:pPr>
          </w:p>
        </w:tc>
      </w:tr>
    </w:tbl>
    <w:p w14:paraId="13DF9441" w14:textId="465F0EAB" w:rsidR="004D556D" w:rsidRPr="000F6CD1" w:rsidRDefault="004D556D" w:rsidP="00AD2CE5">
      <w:pPr>
        <w:pStyle w:val="H3"/>
      </w:pPr>
      <w:r w:rsidRPr="000F6CD1">
        <w:t>NDIS participants</w:t>
      </w:r>
    </w:p>
    <w:p w14:paraId="034736E4" w14:textId="5E2563AA" w:rsidR="004D556D" w:rsidRPr="000F6CD1" w:rsidRDefault="004D556D" w:rsidP="00A677C9">
      <w:pPr>
        <w:spacing w:before="240" w:after="240" w:line="240" w:lineRule="auto"/>
        <w:rPr>
          <w:rFonts w:eastAsia="Calibri" w:cs="Calibri"/>
          <w:color w:val="000000" w:themeColor="text1"/>
        </w:rPr>
      </w:pPr>
      <w:r w:rsidRPr="000F6CD1">
        <w:rPr>
          <w:rFonts w:eastAsia="Calibri" w:cs="Calibri"/>
          <w:color w:val="000000" w:themeColor="text1"/>
        </w:rPr>
        <w:t xml:space="preserve">For NDIS participants who have turned 65 requesting access to CHSP, assessors must ensure a person is not referred for services they are already receiving through the NDIS and/or other Commonwealth, state, territory or local government programs. </w:t>
      </w:r>
    </w:p>
    <w:p w14:paraId="5E1181EC" w14:textId="5437398A" w:rsidR="004D556D" w:rsidRPr="000F6CD1" w:rsidRDefault="004D556D" w:rsidP="00A677C9">
      <w:pPr>
        <w:spacing w:before="240" w:after="240" w:line="240" w:lineRule="auto"/>
        <w:rPr>
          <w:rFonts w:eastAsia="Calibri" w:cs="Calibri"/>
          <w:color w:val="000000" w:themeColor="text1"/>
        </w:rPr>
      </w:pPr>
      <w:r w:rsidRPr="000F6CD1">
        <w:rPr>
          <w:rFonts w:eastAsia="Calibri" w:cs="Calibri"/>
          <w:color w:val="000000" w:themeColor="text1"/>
        </w:rPr>
        <w:t>An assessment</w:t>
      </w:r>
      <w:r w:rsidRPr="000F6CD1" w:rsidDel="00466BD4">
        <w:rPr>
          <w:rFonts w:eastAsia="Calibri" w:cs="Calibri"/>
          <w:color w:val="000000" w:themeColor="text1"/>
        </w:rPr>
        <w:t xml:space="preserve"> </w:t>
      </w:r>
      <w:r w:rsidRPr="000F6CD1">
        <w:rPr>
          <w:rFonts w:eastAsia="Calibri" w:cs="Calibri"/>
          <w:color w:val="000000" w:themeColor="text1"/>
        </w:rPr>
        <w:t xml:space="preserve">delegate should be aware of and advise NDIS participants that under the </w:t>
      </w:r>
      <w:r w:rsidRPr="000F6CD1">
        <w:rPr>
          <w:rFonts w:eastAsia="Calibri" w:cs="Calibri"/>
          <w:i/>
          <w:color w:val="000000" w:themeColor="text1"/>
        </w:rPr>
        <w:t>NDIS Act 2013</w:t>
      </w:r>
      <w:r w:rsidRPr="000F6CD1">
        <w:rPr>
          <w:rFonts w:eastAsia="Calibri" w:cs="Calibri"/>
          <w:color w:val="000000" w:themeColor="text1"/>
        </w:rPr>
        <w:t xml:space="preserve"> (NDIS Act) an under 65 NDIS participant can remain in the NDIS if they are an aged care recipient who subsequently turns 65. However, a NDIS participant whose first permanent entry to residential care or home care (but not residential respite care) is after the age of 65, ceases to be a NDIS participant. (NDIS Act section 29 (1)(b)). </w:t>
      </w:r>
    </w:p>
    <w:p w14:paraId="60B2244F" w14:textId="47C28313" w:rsidR="004D556D" w:rsidRPr="000F6CD1" w:rsidRDefault="00C67D80" w:rsidP="00AD2CE5">
      <w:pPr>
        <w:pStyle w:val="H3"/>
      </w:pPr>
      <w:bookmarkStart w:id="564" w:name="_Ref128324991"/>
      <w:bookmarkStart w:id="565" w:name="_Toc159226956"/>
      <w:bookmarkStart w:id="566" w:name="_Toc184402373"/>
      <w:bookmarkStart w:id="567" w:name="_Ref506980950"/>
      <w:bookmarkStart w:id="568" w:name="_Toc496022849"/>
      <w:bookmarkStart w:id="569" w:name="_Ref48660091"/>
      <w:bookmarkEnd w:id="559"/>
      <w:r>
        <w:drawing>
          <wp:anchor distT="0" distB="0" distL="114300" distR="114300" simplePos="0" relativeHeight="251658270" behindDoc="0" locked="0" layoutInCell="1" allowOverlap="1" wp14:anchorId="43A0480B" wp14:editId="78C9EBEA">
            <wp:simplePos x="0" y="0"/>
            <wp:positionH relativeFrom="margin">
              <wp:align>left</wp:align>
            </wp:positionH>
            <wp:positionV relativeFrom="margin">
              <wp:posOffset>6953250</wp:posOffset>
            </wp:positionV>
            <wp:extent cx="365792" cy="403895"/>
            <wp:effectExtent l="0" t="0" r="0" b="0"/>
            <wp:wrapSquare wrapText="bothSides"/>
            <wp:docPr id="1096565014"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65014"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Disability Support for Older Australians (DSOA) and aged care</w:t>
      </w:r>
      <w:bookmarkEnd w:id="564"/>
      <w:bookmarkEnd w:id="565"/>
      <w:bookmarkEnd w:id="566"/>
    </w:p>
    <w:p w14:paraId="2D27D8EC" w14:textId="0735344E" w:rsidR="004D556D" w:rsidRPr="000F6CD1" w:rsidRDefault="004D556D" w:rsidP="00A677C9">
      <w:pPr>
        <w:spacing w:before="240" w:after="240" w:line="240" w:lineRule="auto"/>
        <w:rPr>
          <w:rFonts w:eastAsia="Calibri" w:cs="Calibri"/>
          <w:color w:val="000000" w:themeColor="text1"/>
        </w:rPr>
      </w:pPr>
      <w:r w:rsidRPr="000F6CD1">
        <w:rPr>
          <w:rFonts w:eastAsia="Calibri" w:cs="Calibri"/>
          <w:color w:val="000000" w:themeColor="text1"/>
        </w:rPr>
        <w:t xml:space="preserve">The Disability Support for Older Australians (DSOA) Program commenced on 1 July 2021. It is a closed program with no new participants and provides funding for a range of services including Assistance in Supported Independent Living, Assistance with Self-Care Activities, Specialist/Behavioural Intervention Support, Therapy, and Case Management. </w:t>
      </w:r>
    </w:p>
    <w:p w14:paraId="5B3701A6" w14:textId="77777777" w:rsidR="0045781A" w:rsidRDefault="004D556D" w:rsidP="00A677C9">
      <w:pPr>
        <w:spacing w:before="240" w:after="240" w:line="240" w:lineRule="auto"/>
        <w:rPr>
          <w:rFonts w:eastAsia="Calibri"/>
          <w:color w:val="000000" w:themeColor="text1"/>
        </w:rPr>
      </w:pPr>
      <w:r w:rsidRPr="000F6CD1">
        <w:rPr>
          <w:rFonts w:eastAsia="Calibri"/>
          <w:color w:val="000000" w:themeColor="text1"/>
        </w:rPr>
        <w:t xml:space="preserve">DSOA supports older Australians with a disability who cannot be supported by the in-home aged care system and were not eligible for the NDIS when it was rolled out in their region. </w:t>
      </w:r>
    </w:p>
    <w:p w14:paraId="5E24A50E" w14:textId="6C232B29" w:rsidR="00007307" w:rsidRDefault="0045781A" w:rsidP="00A677C9">
      <w:pPr>
        <w:spacing w:before="240" w:after="240" w:line="240" w:lineRule="auto"/>
        <w:rPr>
          <w:rFonts w:eastAsia="Calibri"/>
          <w:color w:val="000000" w:themeColor="text1"/>
        </w:rPr>
      </w:pPr>
      <w:r>
        <w:rPr>
          <w:rFonts w:eastAsia="Calibri"/>
          <w:color w:val="000000" w:themeColor="text1"/>
        </w:rPr>
        <w:lastRenderedPageBreak/>
        <w:t xml:space="preserve">Under changes to the </w:t>
      </w:r>
      <w:r>
        <w:rPr>
          <w:rFonts w:eastAsia="Calibri"/>
          <w:i/>
          <w:iCs/>
          <w:color w:val="000000" w:themeColor="text1"/>
        </w:rPr>
        <w:t xml:space="preserve">Aged Care Rules 2025 </w:t>
      </w:r>
      <w:r>
        <w:rPr>
          <w:rFonts w:eastAsia="Calibri"/>
          <w:color w:val="000000" w:themeColor="text1"/>
        </w:rPr>
        <w:t xml:space="preserve">from 29 June 2026, assessors can approve Disability Support for Older Australians (DSOA) clients for CHSP only, even if the </w:t>
      </w:r>
      <w:r w:rsidR="00386B7E">
        <w:rPr>
          <w:rFonts w:eastAsia="Calibri"/>
          <w:color w:val="000000" w:themeColor="text1"/>
        </w:rPr>
        <w:t>IAT Outcome</w:t>
      </w:r>
      <w:r>
        <w:rPr>
          <w:rFonts w:eastAsia="Calibri"/>
          <w:color w:val="000000" w:themeColor="text1"/>
        </w:rPr>
        <w:t xml:space="preserve"> is a Support at Home classification. </w:t>
      </w:r>
      <w:r w:rsidR="00007307">
        <w:rPr>
          <w:rFonts w:eastAsia="Calibri"/>
          <w:color w:val="000000" w:themeColor="text1"/>
        </w:rPr>
        <w:t xml:space="preserve">Selecting a CHSP outcome means the DSOA client can continue to receive their DSOA services alongside the CHSP services listed below. </w:t>
      </w:r>
    </w:p>
    <w:p w14:paraId="6CB990A0" w14:textId="2F3E0DDB" w:rsidR="004D556D" w:rsidRPr="000F6CD1" w:rsidRDefault="00007307" w:rsidP="00A677C9">
      <w:pPr>
        <w:spacing w:before="240" w:after="240" w:line="240" w:lineRule="auto"/>
        <w:rPr>
          <w:rFonts w:eastAsia="Calibri"/>
          <w:color w:val="000000" w:themeColor="text1"/>
        </w:rPr>
      </w:pPr>
      <w:r>
        <w:rPr>
          <w:rFonts w:eastAsia="Calibri"/>
          <w:color w:val="000000" w:themeColor="text1"/>
        </w:rPr>
        <w:t xml:space="preserve">Should a DSOA client </w:t>
      </w:r>
      <w:r w:rsidR="002B6B17">
        <w:rPr>
          <w:rFonts w:eastAsia="Calibri"/>
          <w:color w:val="000000" w:themeColor="text1"/>
        </w:rPr>
        <w:t xml:space="preserve">want a Support at Home classification, the assessor should ensure the DSOA client is informed of the considerations relating to their DSOA funding and supports when they consent to proceed with the aged care assessment. DSOA clients must confirm </w:t>
      </w:r>
      <w:r w:rsidR="007F10A9">
        <w:rPr>
          <w:rFonts w:eastAsia="Calibri"/>
          <w:color w:val="000000" w:themeColor="text1"/>
        </w:rPr>
        <w:t xml:space="preserve">they </w:t>
      </w:r>
      <w:r w:rsidR="00167F47">
        <w:rPr>
          <w:rFonts w:eastAsia="Calibri"/>
          <w:color w:val="000000" w:themeColor="text1"/>
        </w:rPr>
        <w:t>understand</w:t>
      </w:r>
      <w:r w:rsidR="007F10A9">
        <w:rPr>
          <w:rFonts w:eastAsia="Calibri"/>
          <w:color w:val="000000" w:themeColor="text1"/>
        </w:rPr>
        <w:t xml:space="preserve"> </w:t>
      </w:r>
      <w:r w:rsidR="006074AA">
        <w:rPr>
          <w:rFonts w:eastAsia="Calibri"/>
          <w:color w:val="000000" w:themeColor="text1"/>
        </w:rPr>
        <w:t>that if they want to be deemed eligible for aged care services under Support at Home rather than CHSP, their DSOA funding will be capped</w:t>
      </w:r>
      <w:r w:rsidR="00167F47">
        <w:rPr>
          <w:rFonts w:eastAsia="Calibri"/>
          <w:color w:val="000000" w:themeColor="text1"/>
        </w:rPr>
        <w:t>,</w:t>
      </w:r>
      <w:r w:rsidR="006074AA">
        <w:rPr>
          <w:rFonts w:eastAsia="Calibri"/>
          <w:color w:val="000000" w:themeColor="text1"/>
        </w:rPr>
        <w:t xml:space="preserve"> or they may be required to exit the existing DSOA program. </w:t>
      </w:r>
    </w:p>
    <w:p w14:paraId="40531986" w14:textId="54193770" w:rsidR="004D556D" w:rsidRPr="000F6CD1" w:rsidRDefault="004D556D" w:rsidP="00A677C9">
      <w:pPr>
        <w:spacing w:before="240" w:after="240" w:line="240" w:lineRule="auto"/>
        <w:rPr>
          <w:rFonts w:eastAsia="Calibri"/>
          <w:color w:val="000000" w:themeColor="text1"/>
        </w:rPr>
      </w:pPr>
      <w:r w:rsidRPr="000F6CD1">
        <w:rPr>
          <w:rFonts w:eastAsia="Calibri"/>
          <w:color w:val="000000" w:themeColor="text1"/>
        </w:rPr>
        <w:t xml:space="preserve">The following services under CHSP can be accessed by DSOA clients at the same time as DSOA: </w:t>
      </w:r>
    </w:p>
    <w:p w14:paraId="4F06FD99"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 xml:space="preserve">Hoarding and squalor assistance </w:t>
      </w:r>
    </w:p>
    <w:p w14:paraId="5A3BC134"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Social support and community engagement (Social Supports Group and Individual)</w:t>
      </w:r>
    </w:p>
    <w:p w14:paraId="416FD3F0"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Equipment and products</w:t>
      </w:r>
    </w:p>
    <w:p w14:paraId="7A22752D"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Home adjustments</w:t>
      </w:r>
    </w:p>
    <w:p w14:paraId="16F63B22"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Domestic assistance (General house cleaning and other approved household activities)</w:t>
      </w:r>
    </w:p>
    <w:p w14:paraId="7F473D85"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Home maintenance and repairs (Home and Garden Maintenance)</w:t>
      </w:r>
    </w:p>
    <w:p w14:paraId="6B102408"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Meals</w:t>
      </w:r>
    </w:p>
    <w:p w14:paraId="6543258A"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Transport</w:t>
      </w:r>
    </w:p>
    <w:p w14:paraId="5C0408DB" w14:textId="77777777" w:rsidR="004D556D" w:rsidRPr="000F6CD1" w:rsidRDefault="004D556D" w:rsidP="00DF3F6B">
      <w:pPr>
        <w:pStyle w:val="ListParagraph"/>
        <w:numPr>
          <w:ilvl w:val="0"/>
          <w:numId w:val="173"/>
        </w:numPr>
        <w:spacing w:before="240" w:after="240" w:line="240" w:lineRule="auto"/>
        <w:rPr>
          <w:rFonts w:eastAsia="Calibri"/>
          <w:color w:val="000000" w:themeColor="text1"/>
        </w:rPr>
      </w:pPr>
      <w:r w:rsidRPr="000F6CD1">
        <w:rPr>
          <w:rFonts w:eastAsia="Calibri"/>
          <w:color w:val="000000" w:themeColor="text1"/>
        </w:rPr>
        <w:t>Specialised support services (Vision advisory services)</w:t>
      </w:r>
    </w:p>
    <w:p w14:paraId="21D49EB7" w14:textId="77777777" w:rsidR="004D556D" w:rsidRPr="000F6CD1" w:rsidRDefault="004D556D" w:rsidP="00A677C9">
      <w:pPr>
        <w:spacing w:before="240" w:after="240" w:line="240" w:lineRule="auto"/>
        <w:rPr>
          <w:rFonts w:eastAsia="Calibri"/>
          <w:color w:val="000000" w:themeColor="text1"/>
        </w:rPr>
      </w:pPr>
      <w:r w:rsidRPr="000F6CD1">
        <w:rPr>
          <w:rFonts w:eastAsia="Calibri"/>
          <w:color w:val="000000" w:themeColor="text1"/>
        </w:rPr>
        <w:t>Specialist aged care services also do not affect DSOA funding (i.e. TCP).</w:t>
      </w:r>
    </w:p>
    <w:p w14:paraId="74D98E32" w14:textId="77777777" w:rsidR="004D556D" w:rsidRPr="000F6CD1" w:rsidRDefault="004D556D" w:rsidP="00A677C9">
      <w:pPr>
        <w:spacing w:before="240" w:after="240" w:line="240" w:lineRule="auto"/>
        <w:rPr>
          <w:rFonts w:eastAsia="Calibri"/>
          <w:color w:val="000000" w:themeColor="text1"/>
        </w:rPr>
      </w:pPr>
      <w:r w:rsidRPr="000F6CD1">
        <w:rPr>
          <w:rFonts w:eastAsia="Calibri"/>
          <w:color w:val="000000" w:themeColor="text1"/>
        </w:rPr>
        <w:t>All other assessment outcomes will affect DSOA funding, and will do so in the following ways:</w:t>
      </w:r>
    </w:p>
    <w:p w14:paraId="59310B73" w14:textId="77777777" w:rsidR="004D556D" w:rsidRPr="000F6CD1" w:rsidRDefault="004D556D" w:rsidP="00DF3F6B">
      <w:pPr>
        <w:pStyle w:val="ListParagraph"/>
        <w:numPr>
          <w:ilvl w:val="0"/>
          <w:numId w:val="196"/>
        </w:numPr>
        <w:spacing w:before="240" w:after="240" w:line="240" w:lineRule="auto"/>
        <w:rPr>
          <w:rFonts w:eastAsia="Calibri"/>
          <w:color w:val="000000" w:themeColor="text1"/>
        </w:rPr>
      </w:pPr>
      <w:r w:rsidRPr="000F6CD1">
        <w:rPr>
          <w:rFonts w:eastAsia="Calibri"/>
          <w:color w:val="000000" w:themeColor="text1"/>
        </w:rPr>
        <w:t>An assessment for permanent Residential Aged Care will result in DSOA funding being capped at current levels. This also applies to CHSP service referrals not listed above. If a DSOA client is assessed as eligible for Support at Home and commences services, they will be required to exit the DSOA Program from the date aged care services commenced. These dates will be verified through My Aged Care.</w:t>
      </w:r>
    </w:p>
    <w:p w14:paraId="49911B36" w14:textId="77777777" w:rsidR="004D556D" w:rsidRPr="000F6CD1" w:rsidRDefault="004D556D" w:rsidP="00DF3F6B">
      <w:pPr>
        <w:pStyle w:val="ListParagraph"/>
        <w:numPr>
          <w:ilvl w:val="0"/>
          <w:numId w:val="196"/>
        </w:numPr>
        <w:spacing w:before="240" w:after="240" w:line="240" w:lineRule="auto"/>
        <w:rPr>
          <w:rFonts w:eastAsia="Calibri"/>
          <w:color w:val="000000" w:themeColor="text1"/>
        </w:rPr>
      </w:pPr>
      <w:r w:rsidRPr="000F6CD1">
        <w:rPr>
          <w:rFonts w:eastAsia="Calibri"/>
          <w:color w:val="000000" w:themeColor="text1"/>
        </w:rPr>
        <w:t>If a client commenced their Home Care Package prior to 1 July 2021 and are a transitioned HCP care recipient under SaH, they can continue in the DSOA Program. However, their DSOA funding will remain capped.</w:t>
      </w:r>
    </w:p>
    <w:p w14:paraId="5ECDB7B0" w14:textId="77777777" w:rsidR="004D556D" w:rsidRPr="000F6CD1" w:rsidRDefault="004D556D" w:rsidP="00DF3F6B">
      <w:pPr>
        <w:pStyle w:val="ListParagraph"/>
        <w:numPr>
          <w:ilvl w:val="0"/>
          <w:numId w:val="196"/>
        </w:numPr>
        <w:spacing w:before="240" w:after="240" w:line="240" w:lineRule="auto"/>
        <w:rPr>
          <w:rFonts w:eastAsia="Calibri"/>
          <w:color w:val="000000" w:themeColor="text1"/>
        </w:rPr>
      </w:pPr>
      <w:r w:rsidRPr="000F6CD1">
        <w:rPr>
          <w:rFonts w:eastAsia="Calibri"/>
          <w:color w:val="000000" w:themeColor="text1"/>
        </w:rPr>
        <w:t xml:space="preserve">If a client commenced CHSP services that are available through the DSOA program, they will be required to exit the DSOA Program from the date the aged care services commenced. These dates will be verified through My Aged Care. However, if a client commenced CHSP services, which are not available via the DSOA program, </w:t>
      </w:r>
      <w:r w:rsidRPr="000F6CD1">
        <w:rPr>
          <w:rFonts w:eastAsia="Calibri"/>
          <w:b/>
          <w:bCs/>
          <w:color w:val="000000" w:themeColor="text1"/>
        </w:rPr>
        <w:t>prior to 30 June 2021</w:t>
      </w:r>
      <w:r w:rsidRPr="000F6CD1">
        <w:rPr>
          <w:rFonts w:eastAsia="Calibri"/>
          <w:color w:val="000000" w:themeColor="text1"/>
        </w:rPr>
        <w:t>, the client can continue to access these services as a grandfathered support without any impact to their DSOA funding.</w:t>
      </w:r>
    </w:p>
    <w:p w14:paraId="150CC94F" w14:textId="64CCA1DE" w:rsidR="004D556D" w:rsidRPr="000F6CD1" w:rsidRDefault="004D556D" w:rsidP="00A677C9">
      <w:pPr>
        <w:spacing w:before="240" w:after="240" w:line="240" w:lineRule="auto"/>
        <w:rPr>
          <w:rFonts w:eastAsia="Calibri"/>
          <w:color w:val="000000" w:themeColor="text1"/>
        </w:rPr>
      </w:pPr>
      <w:r w:rsidRPr="000F6CD1">
        <w:rPr>
          <w:rFonts w:eastAsia="Calibri"/>
          <w:color w:val="000000" w:themeColor="text1"/>
        </w:rPr>
        <w:t>If an assessor receives a referral for a DSOA older person</w:t>
      </w:r>
      <w:r w:rsidR="002E1D48" w:rsidRPr="000F6CD1">
        <w:rPr>
          <w:rFonts w:eastAsia="Calibri"/>
          <w:color w:val="000000" w:themeColor="text1"/>
        </w:rPr>
        <w:t>,</w:t>
      </w:r>
      <w:r w:rsidRPr="000F6CD1">
        <w:rPr>
          <w:rFonts w:eastAsia="Calibri"/>
          <w:color w:val="000000" w:themeColor="text1"/>
        </w:rPr>
        <w:t xml:space="preserve"> they should:</w:t>
      </w:r>
    </w:p>
    <w:p w14:paraId="2693A488" w14:textId="77777777" w:rsidR="004D556D" w:rsidRPr="000F6CD1" w:rsidRDefault="004D556D" w:rsidP="00DF3F6B">
      <w:pPr>
        <w:pStyle w:val="ListParagraph"/>
        <w:numPr>
          <w:ilvl w:val="0"/>
          <w:numId w:val="172"/>
        </w:numPr>
        <w:spacing w:before="240" w:after="240" w:line="240" w:lineRule="auto"/>
        <w:ind w:left="567" w:hanging="283"/>
        <w:rPr>
          <w:rFonts w:eastAsia="Calibri"/>
          <w:color w:val="000000" w:themeColor="text1"/>
        </w:rPr>
      </w:pPr>
      <w:r w:rsidRPr="000F6CD1">
        <w:rPr>
          <w:rFonts w:eastAsia="Calibri"/>
          <w:color w:val="000000" w:themeColor="text1"/>
        </w:rPr>
        <w:t>establish if the older person has advised their DSOA service coordinator (provider) that they are seeking a referral for an aged care assessment;</w:t>
      </w:r>
    </w:p>
    <w:p w14:paraId="091BBE2A" w14:textId="77777777" w:rsidR="004D556D" w:rsidRPr="000F6CD1" w:rsidRDefault="004D556D" w:rsidP="00DF3F6B">
      <w:pPr>
        <w:pStyle w:val="ListParagraph"/>
        <w:numPr>
          <w:ilvl w:val="0"/>
          <w:numId w:val="172"/>
        </w:numPr>
        <w:spacing w:before="240" w:after="240" w:line="240" w:lineRule="auto"/>
        <w:ind w:left="567" w:hanging="283"/>
        <w:rPr>
          <w:rFonts w:eastAsia="Calibri"/>
          <w:color w:val="000000" w:themeColor="text1"/>
        </w:rPr>
      </w:pPr>
      <w:r w:rsidRPr="000F6CD1">
        <w:rPr>
          <w:rFonts w:eastAsia="Calibri"/>
          <w:color w:val="000000" w:themeColor="text1"/>
        </w:rPr>
        <w:t>establish if the older person discussed with their DSOA service coordinator their options to increase supports under the DSOA Program prior to an aged care assessment;</w:t>
      </w:r>
    </w:p>
    <w:p w14:paraId="085B130C" w14:textId="77777777" w:rsidR="004D556D" w:rsidRPr="000F6CD1" w:rsidRDefault="004D556D" w:rsidP="00DF3F6B">
      <w:pPr>
        <w:pStyle w:val="ListParagraph"/>
        <w:numPr>
          <w:ilvl w:val="0"/>
          <w:numId w:val="172"/>
        </w:numPr>
        <w:spacing w:before="240" w:after="240" w:line="240" w:lineRule="auto"/>
        <w:ind w:left="567" w:hanging="283"/>
        <w:rPr>
          <w:rFonts w:eastAsia="Calibri"/>
          <w:color w:val="000000" w:themeColor="text1"/>
        </w:rPr>
      </w:pPr>
      <w:r w:rsidRPr="000F6CD1">
        <w:rPr>
          <w:rFonts w:eastAsia="Calibri"/>
          <w:color w:val="000000" w:themeColor="text1"/>
        </w:rPr>
        <w:lastRenderedPageBreak/>
        <w:t>establish if the DSOA service coordinator has initiated a Change of Needs application and reviewed the DSOA older person’s Individual Support Package prior to consideration of an aged care assessment; and</w:t>
      </w:r>
    </w:p>
    <w:p w14:paraId="28F67945" w14:textId="77777777" w:rsidR="004D556D" w:rsidRPr="000F6CD1" w:rsidRDefault="004D556D" w:rsidP="00DF3F6B">
      <w:pPr>
        <w:pStyle w:val="ListParagraph"/>
        <w:numPr>
          <w:ilvl w:val="0"/>
          <w:numId w:val="172"/>
        </w:numPr>
        <w:spacing w:before="240" w:after="240" w:line="240" w:lineRule="auto"/>
        <w:ind w:left="567" w:hanging="283"/>
        <w:rPr>
          <w:rFonts w:eastAsia="Calibri"/>
          <w:color w:val="000000" w:themeColor="text1"/>
        </w:rPr>
      </w:pPr>
      <w:r w:rsidRPr="000F6CD1">
        <w:rPr>
          <w:rFonts w:eastAsia="Calibri"/>
          <w:color w:val="000000" w:themeColor="text1"/>
        </w:rPr>
        <w:t>establish that the DSOA older people understands the impacts on their DSOA funding should they proceed to assessment.</w:t>
      </w:r>
    </w:p>
    <w:p w14:paraId="1297119A" w14:textId="77777777" w:rsidR="004D556D" w:rsidRPr="000F6CD1" w:rsidRDefault="004D556D" w:rsidP="00A677C9">
      <w:pPr>
        <w:spacing w:before="240" w:after="240" w:line="240" w:lineRule="auto"/>
        <w:rPr>
          <w:rFonts w:eastAsia="Calibri" w:cs="Calibri"/>
          <w:color w:val="000000" w:themeColor="text1"/>
        </w:rPr>
      </w:pPr>
      <w:r w:rsidRPr="000F6CD1">
        <w:rPr>
          <w:rFonts w:eastAsia="Calibri" w:cs="Calibri"/>
          <w:color w:val="000000" w:themeColor="text1"/>
        </w:rPr>
        <w:t>Aged care assessors should keep these policy settings in mind when making recommendations for aged care supports for a DSOA older person. That is, in making a recommendation, the aged care assessor needs to consider whether aged care services can appropriately support the older person were they to exit the DSOA Program.</w:t>
      </w:r>
    </w:p>
    <w:p w14:paraId="488B0A00" w14:textId="77777777" w:rsidR="004D556D" w:rsidRPr="000F6CD1" w:rsidRDefault="004D556D" w:rsidP="00A677C9">
      <w:pPr>
        <w:spacing w:before="240" w:after="240" w:line="240" w:lineRule="auto"/>
        <w:rPr>
          <w:b/>
          <w:szCs w:val="22"/>
        </w:rPr>
      </w:pPr>
      <w:r w:rsidRPr="000F6CD1">
        <w:rPr>
          <w:noProof/>
        </w:rPr>
        <w:drawing>
          <wp:anchor distT="0" distB="0" distL="114300" distR="114300" simplePos="0" relativeHeight="251658255" behindDoc="0" locked="0" layoutInCell="1" allowOverlap="1" wp14:anchorId="11338492" wp14:editId="7D010385">
            <wp:simplePos x="0" y="0"/>
            <wp:positionH relativeFrom="column">
              <wp:posOffset>0</wp:posOffset>
            </wp:positionH>
            <wp:positionV relativeFrom="paragraph">
              <wp:posOffset>47684</wp:posOffset>
            </wp:positionV>
            <wp:extent cx="447675" cy="445208"/>
            <wp:effectExtent l="0" t="0" r="0" b="0"/>
            <wp:wrapSquare wrapText="bothSides"/>
            <wp:docPr id="108039635" name="Picture 108039635"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9635" name="Picture 108039635" descr="A black-and-white “i” icon inside a speech bubble, used to show where there are links to additional information and resources. &#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sidRPr="000F6CD1">
        <w:rPr>
          <w:rFonts w:eastAsia="Calibri" w:cs="Calibri"/>
          <w:color w:val="000000" w:themeColor="text1"/>
        </w:rPr>
        <w:t xml:space="preserve"> </w:t>
      </w:r>
      <w:r w:rsidRPr="000F6CD1">
        <w:rPr>
          <w:b/>
          <w:szCs w:val="22"/>
        </w:rPr>
        <w:t>Department</w:t>
      </w:r>
      <w:r w:rsidRPr="000F6CD1" w:rsidDel="00861417">
        <w:rPr>
          <w:b/>
          <w:szCs w:val="22"/>
        </w:rPr>
        <w:t xml:space="preserve"> of Health</w:t>
      </w:r>
      <w:r w:rsidRPr="000F6CD1">
        <w:rPr>
          <w:b/>
          <w:szCs w:val="22"/>
        </w:rPr>
        <w:t>, Disability and Ageing website:</w:t>
      </w:r>
    </w:p>
    <w:p w14:paraId="190B7FAA" w14:textId="77777777" w:rsidR="004D556D" w:rsidRPr="000F6CD1" w:rsidRDefault="004D556D" w:rsidP="00A677C9">
      <w:pPr>
        <w:spacing w:before="240" w:after="240" w:line="240" w:lineRule="auto"/>
        <w:rPr>
          <w:szCs w:val="22"/>
        </w:rPr>
      </w:pPr>
      <w:hyperlink r:id="rId210">
        <w:r w:rsidRPr="000F6CD1">
          <w:rPr>
            <w:rStyle w:val="Hyperlink"/>
            <w:szCs w:val="22"/>
          </w:rPr>
          <w:t>Disability Support for Older Australians Program (DSOA) manual</w:t>
        </w:r>
      </w:hyperlink>
      <w:r w:rsidRPr="000F6CD1">
        <w:rPr>
          <w:szCs w:val="22"/>
        </w:rPr>
        <w:t xml:space="preserve"> </w:t>
      </w:r>
    </w:p>
    <w:p w14:paraId="692D522E" w14:textId="77777777" w:rsidR="004D556D" w:rsidRPr="000F6CD1" w:rsidRDefault="004D556D" w:rsidP="00355E35">
      <w:pPr>
        <w:spacing w:before="240" w:after="240" w:line="240" w:lineRule="auto"/>
        <w:ind w:left="720"/>
        <w:rPr>
          <w:rFonts w:eastAsia="Calibri" w:cs="Calibri"/>
          <w:color w:val="000000" w:themeColor="text1"/>
        </w:rPr>
      </w:pPr>
      <w:hyperlink r:id="rId211">
        <w:r w:rsidRPr="000F6CD1">
          <w:rPr>
            <w:rStyle w:val="Hyperlink"/>
            <w:szCs w:val="22"/>
          </w:rPr>
          <w:t>About the Disability Support for Older Australians Program</w:t>
        </w:r>
      </w:hyperlink>
    </w:p>
    <w:p w14:paraId="0AB69C1C" w14:textId="77777777" w:rsidR="004D556D" w:rsidRPr="000F6CD1" w:rsidRDefault="004D556D" w:rsidP="00AD2CE5">
      <w:pPr>
        <w:pStyle w:val="H3"/>
      </w:pPr>
      <w:bookmarkStart w:id="570" w:name="_Ref58333758"/>
      <w:bookmarkStart w:id="571" w:name="_Toc159226957"/>
      <w:bookmarkStart w:id="572" w:name="_Toc184402374"/>
      <w:r w:rsidRPr="000F6CD1">
        <w:t>Carer support</w:t>
      </w:r>
      <w:bookmarkEnd w:id="567"/>
      <w:bookmarkEnd w:id="568"/>
      <w:bookmarkEnd w:id="569"/>
      <w:bookmarkEnd w:id="570"/>
      <w:bookmarkEnd w:id="571"/>
      <w:bookmarkEnd w:id="572"/>
    </w:p>
    <w:p w14:paraId="1A8F9925" w14:textId="77777777" w:rsidR="004D556D" w:rsidRPr="000F6CD1" w:rsidRDefault="004D556D" w:rsidP="00A677C9">
      <w:pPr>
        <w:spacing w:before="240" w:after="240" w:line="240" w:lineRule="auto"/>
      </w:pPr>
      <w:r w:rsidRPr="000F6CD1">
        <w:t xml:space="preserve">Assessors should inform carers there is support and services specifically for them to access. This support is available through </w:t>
      </w:r>
      <w:r w:rsidRPr="000F6CD1">
        <w:rPr>
          <w:b/>
        </w:rPr>
        <w:t>Carer Gateway</w:t>
      </w:r>
      <w:r w:rsidRPr="000F6CD1">
        <w:t xml:space="preserve"> and the National Dementia Helpline (for care partners of people with dementia or experiencing cognitive decline), both funded by the department. </w:t>
      </w:r>
    </w:p>
    <w:p w14:paraId="11F2D20C" w14:textId="77777777" w:rsidR="004D556D" w:rsidRPr="000F6CD1" w:rsidRDefault="004D556D" w:rsidP="00A677C9">
      <w:pPr>
        <w:spacing w:before="240" w:after="240" w:line="240" w:lineRule="auto"/>
        <w:rPr>
          <w:rFonts w:eastAsia="Arial"/>
        </w:rPr>
      </w:pPr>
      <w:r w:rsidRPr="000F6CD1">
        <w:rPr>
          <w:rFonts w:eastAsia="Arial"/>
        </w:rPr>
        <w:t>Carer Gateway provides early-intervention and preventative supports and services to carers to help improve their well-</w:t>
      </w:r>
      <w:r w:rsidRPr="000F6CD1">
        <w:t>being</w:t>
      </w:r>
      <w:r w:rsidRPr="000F6CD1">
        <w:rPr>
          <w:rFonts w:eastAsia="Arial"/>
        </w:rPr>
        <w:t xml:space="preserve"> and long-term outcomes.</w:t>
      </w:r>
    </w:p>
    <w:p w14:paraId="2B70D347" w14:textId="77777777" w:rsidR="004D556D" w:rsidRPr="000F6CD1" w:rsidRDefault="004D556D" w:rsidP="00A677C9">
      <w:pPr>
        <w:spacing w:before="240" w:after="240" w:line="240" w:lineRule="auto"/>
        <w:rPr>
          <w:rFonts w:eastAsia="Arial"/>
        </w:rPr>
      </w:pPr>
      <w:r w:rsidRPr="000F6CD1">
        <w:rPr>
          <w:rFonts w:eastAsia="Arial"/>
        </w:rPr>
        <w:t>Carer Gateway is for all carers, no matter their age or the condition of the person they are caring for.</w:t>
      </w:r>
    </w:p>
    <w:p w14:paraId="2266181F" w14:textId="77777777" w:rsidR="004D556D" w:rsidRPr="000F6CD1" w:rsidRDefault="004D556D" w:rsidP="00A677C9">
      <w:pPr>
        <w:spacing w:before="240" w:after="240" w:line="240" w:lineRule="auto"/>
        <w:rPr>
          <w:rFonts w:eastAsia="Arial"/>
        </w:rPr>
      </w:pPr>
      <w:r w:rsidRPr="000F6CD1">
        <w:rPr>
          <w:rFonts w:eastAsia="Arial"/>
        </w:rPr>
        <w:t>Carer Gateway consists of a website (</w:t>
      </w:r>
      <w:hyperlink r:id="rId212">
        <w:r w:rsidRPr="000F6CD1">
          <w:rPr>
            <w:rStyle w:val="Hyperlink"/>
            <w:rFonts w:eastAsia="Arial"/>
          </w:rPr>
          <w:t>www.carergateway.gov.au</w:t>
        </w:r>
      </w:hyperlink>
      <w:r w:rsidRPr="000F6CD1">
        <w:rPr>
          <w:rFonts w:eastAsia="Arial"/>
        </w:rPr>
        <w:t>) and a national network of Carer Gateway service providers (CGSPs) (located in each state and territory).</w:t>
      </w:r>
    </w:p>
    <w:p w14:paraId="41B8221F" w14:textId="77777777" w:rsidR="004D556D" w:rsidRPr="000F6CD1" w:rsidRDefault="004D556D" w:rsidP="00A677C9">
      <w:pPr>
        <w:spacing w:before="240" w:after="240" w:line="240" w:lineRule="auto"/>
        <w:rPr>
          <w:rFonts w:eastAsia="Arial"/>
        </w:rPr>
      </w:pPr>
      <w:r w:rsidRPr="000F6CD1">
        <w:rPr>
          <w:rFonts w:eastAsia="Arial"/>
        </w:rPr>
        <w:t xml:space="preserve">CGSPs support carers with access to in person and digitally based supports and services including support </w:t>
      </w:r>
      <w:r w:rsidRPr="000F6CD1">
        <w:t>planning</w:t>
      </w:r>
      <w:r w:rsidRPr="000F6CD1">
        <w:rPr>
          <w:rFonts w:eastAsia="Arial"/>
        </w:rPr>
        <w:t>, counselling, peer support, coaching, tailored support packages (including access to planned respite), emergency respite, and information and practical advice:</w:t>
      </w:r>
    </w:p>
    <w:p w14:paraId="5001D654" w14:textId="77777777" w:rsidR="004D556D" w:rsidRPr="000F6CD1" w:rsidRDefault="004D556D" w:rsidP="00DF3F6B">
      <w:pPr>
        <w:pStyle w:val="ListParagraph"/>
        <w:numPr>
          <w:ilvl w:val="0"/>
          <w:numId w:val="196"/>
        </w:numPr>
        <w:spacing w:before="240" w:after="240" w:line="240" w:lineRule="auto"/>
        <w:rPr>
          <w:szCs w:val="22"/>
        </w:rPr>
      </w:pPr>
      <w:r w:rsidRPr="000F6CD1">
        <w:rPr>
          <w:szCs w:val="22"/>
        </w:rPr>
        <w:t xml:space="preserve">Support Planning – assess the carer’s needs and work with the carer to develop an agreed individual support plan. </w:t>
      </w:r>
    </w:p>
    <w:p w14:paraId="718830E6" w14:textId="77777777" w:rsidR="004D556D" w:rsidRPr="000F6CD1" w:rsidRDefault="004D556D" w:rsidP="00DF3F6B">
      <w:pPr>
        <w:pStyle w:val="ListParagraph"/>
        <w:numPr>
          <w:ilvl w:val="0"/>
          <w:numId w:val="196"/>
        </w:numPr>
        <w:spacing w:before="240" w:after="240" w:line="240" w:lineRule="auto"/>
      </w:pPr>
      <w:r w:rsidRPr="000F6CD1">
        <w:t xml:space="preserve">Counselling - professional counsellors for carers who are experiencing difficulties with anxiety, stress, depression and low mood as a result of their caring role. </w:t>
      </w:r>
    </w:p>
    <w:p w14:paraId="10C8E656" w14:textId="77777777" w:rsidR="004D556D" w:rsidRPr="000F6CD1" w:rsidRDefault="004D556D" w:rsidP="00DF3F6B">
      <w:pPr>
        <w:pStyle w:val="ListParagraph"/>
        <w:numPr>
          <w:ilvl w:val="0"/>
          <w:numId w:val="196"/>
        </w:numPr>
        <w:spacing w:before="240" w:after="240" w:line="240" w:lineRule="auto"/>
        <w:rPr>
          <w:szCs w:val="22"/>
        </w:rPr>
      </w:pPr>
      <w:r w:rsidRPr="000F6CD1">
        <w:rPr>
          <w:szCs w:val="22"/>
        </w:rPr>
        <w:t>Peer Support – a service for carers to connect with people in similar caring circumstances and learning from their peers through the sharing of lived experiences.</w:t>
      </w:r>
    </w:p>
    <w:p w14:paraId="0639319C" w14:textId="77777777" w:rsidR="004D556D" w:rsidRPr="000F6CD1" w:rsidRDefault="004D556D" w:rsidP="00DF3F6B">
      <w:pPr>
        <w:pStyle w:val="ListParagraph"/>
        <w:numPr>
          <w:ilvl w:val="0"/>
          <w:numId w:val="196"/>
        </w:numPr>
        <w:spacing w:before="240" w:after="240" w:line="240" w:lineRule="auto"/>
        <w:rPr>
          <w:szCs w:val="22"/>
        </w:rPr>
      </w:pPr>
      <w:r w:rsidRPr="000F6CD1">
        <w:rPr>
          <w:szCs w:val="22"/>
        </w:rPr>
        <w:t xml:space="preserve">Coaching – carers work one to one with a coach, taking time to think about their own wellbeing and steps towards personal life goals. </w:t>
      </w:r>
    </w:p>
    <w:p w14:paraId="5B30E245" w14:textId="77777777" w:rsidR="004D556D" w:rsidRPr="000F6CD1" w:rsidRDefault="004D556D" w:rsidP="00DF3F6B">
      <w:pPr>
        <w:pStyle w:val="ListParagraph"/>
        <w:numPr>
          <w:ilvl w:val="0"/>
          <w:numId w:val="196"/>
        </w:numPr>
        <w:spacing w:before="240" w:after="240" w:line="240" w:lineRule="auto"/>
      </w:pPr>
      <w:r w:rsidRPr="000F6CD1">
        <w:t>Tailored Support Packages – offers a range of practical supports to support carers access education and/or employment or assist carers in their caring role (e.g., access to planned respite, assistance with transport).</w:t>
      </w:r>
    </w:p>
    <w:p w14:paraId="7D655E89" w14:textId="77777777" w:rsidR="004D556D" w:rsidRPr="000F6CD1" w:rsidRDefault="004D556D" w:rsidP="00DF3F6B">
      <w:pPr>
        <w:pStyle w:val="ListParagraph"/>
        <w:numPr>
          <w:ilvl w:val="0"/>
          <w:numId w:val="196"/>
        </w:numPr>
        <w:spacing w:before="240" w:after="240" w:line="240" w:lineRule="auto"/>
      </w:pPr>
      <w:r w:rsidRPr="000F6CD1">
        <w:t>Emergency Respite - help with accessing emergency respite support when a carer can no longer maintain the caring role due to illness for example.</w:t>
      </w:r>
    </w:p>
    <w:p w14:paraId="34E89612" w14:textId="77777777" w:rsidR="004D556D" w:rsidRPr="000F6CD1" w:rsidRDefault="004D556D" w:rsidP="00A677C9">
      <w:pPr>
        <w:spacing w:before="240" w:after="240" w:line="240" w:lineRule="auto"/>
        <w:rPr>
          <w:rFonts w:eastAsia="Arial"/>
          <w:color w:val="000000" w:themeColor="text1"/>
        </w:rPr>
      </w:pPr>
      <w:r w:rsidRPr="000F6CD1">
        <w:rPr>
          <w:rFonts w:eastAsia="Arial"/>
          <w:color w:val="000000" w:themeColor="text1"/>
        </w:rPr>
        <w:lastRenderedPageBreak/>
        <w:t xml:space="preserve">CGSPs also assist with navigating relevant, local services available to carers, including My Aged Care, National Disability Insurance Scheme, Dementia Australia and referrals to other state/territory government funded carer support services. </w:t>
      </w:r>
    </w:p>
    <w:p w14:paraId="59D20462" w14:textId="5B219D57" w:rsidR="004D556D" w:rsidRPr="000F6CD1" w:rsidRDefault="004D556D" w:rsidP="00A677C9">
      <w:pPr>
        <w:spacing w:before="240" w:after="240" w:line="240" w:lineRule="auto"/>
        <w:rPr>
          <w:rFonts w:eastAsia="Arial"/>
          <w:color w:val="000000" w:themeColor="text1"/>
        </w:rPr>
      </w:pPr>
      <w:r w:rsidRPr="000F6CD1">
        <w:rPr>
          <w:rFonts w:eastAsia="Arial"/>
          <w:color w:val="000000" w:themeColor="text1"/>
        </w:rPr>
        <w:t xml:space="preserve">CGSP staff talk with carers about the registration and support planning process and then work with them to provide access to supports and services based on their individual needs and caring circumstances. The intent of the support planning is for carers to have the most appropriate supports in place to help maintain their wellbeing, which in turn helps maintain their capacity to continue their caring role and also to participate in their communities. </w:t>
      </w:r>
    </w:p>
    <w:p w14:paraId="68FF0741" w14:textId="77777777" w:rsidR="004D556D" w:rsidRPr="000F6CD1" w:rsidRDefault="004D556D" w:rsidP="00A677C9">
      <w:pPr>
        <w:spacing w:before="240" w:after="240" w:line="240" w:lineRule="auto"/>
        <w:rPr>
          <w:rFonts w:eastAsia="Arial"/>
        </w:rPr>
      </w:pPr>
      <w:r w:rsidRPr="000F6CD1">
        <w:rPr>
          <w:rFonts w:eastAsia="Arial"/>
        </w:rPr>
        <w:t xml:space="preserve">Assessors should collect carer information in the My Aged Care Assessor Portal or Aged Care Assessor App and register the older person and their carer’s </w:t>
      </w:r>
      <w:r w:rsidRPr="000F6CD1" w:rsidDel="00F87F82">
        <w:rPr>
          <w:rFonts w:eastAsia="Arial"/>
        </w:rPr>
        <w:t>consent</w:t>
      </w:r>
      <w:r w:rsidRPr="000F6CD1">
        <w:rPr>
          <w:rFonts w:eastAsia="Arial"/>
        </w:rPr>
        <w:t xml:space="preserve"> to request a call back from Carer Gateway and/or the National Dementia Helpline. The carer’s local CGSP and/or the National Dementia Helpline will then contact them to assist with accessing supports to help them in their caring role. </w:t>
      </w:r>
    </w:p>
    <w:p w14:paraId="1AC638C9" w14:textId="77777777" w:rsidR="004D556D" w:rsidRPr="000F6CD1" w:rsidRDefault="004D556D" w:rsidP="00A677C9">
      <w:pPr>
        <w:spacing w:before="240" w:after="240" w:line="240" w:lineRule="auto"/>
        <w:rPr>
          <w:rFonts w:eastAsia="Arial"/>
        </w:rPr>
      </w:pPr>
      <w:r w:rsidRPr="000F6CD1">
        <w:rPr>
          <w:rFonts w:eastAsia="Arial"/>
        </w:rPr>
        <w:t xml:space="preserve">Alternatively, assessors may inform carers they can contact their local CGSP by calling 1800 422 737 (selecting Option 1), Monday to Friday, between 8am and 5pm, or by visiting the Carer Gateway </w:t>
      </w:r>
      <w:hyperlink r:id="rId213">
        <w:r w:rsidRPr="000F6CD1">
          <w:rPr>
            <w:rStyle w:val="Hyperlink"/>
            <w:rFonts w:eastAsia="Arial"/>
          </w:rPr>
          <w:t>website</w:t>
        </w:r>
      </w:hyperlink>
      <w:r w:rsidRPr="000F6CD1">
        <w:rPr>
          <w:rFonts w:eastAsia="Arial"/>
          <w:color w:val="0563C1"/>
          <w:u w:val="single"/>
        </w:rPr>
        <w:t xml:space="preserve"> (</w:t>
      </w:r>
      <w:hyperlink r:id="rId214">
        <w:r w:rsidRPr="000F6CD1">
          <w:rPr>
            <w:rStyle w:val="Hyperlink"/>
            <w:rFonts w:eastAsia="Arial"/>
          </w:rPr>
          <w:t>www.carergateway.gov.au</w:t>
        </w:r>
      </w:hyperlink>
      <w:r w:rsidRPr="000F6CD1">
        <w:rPr>
          <w:rFonts w:eastAsia="Arial"/>
          <w:color w:val="0563C1"/>
          <w:u w:val="single"/>
        </w:rPr>
        <w:t xml:space="preserve">) </w:t>
      </w:r>
      <w:r w:rsidRPr="000F6CD1">
        <w:rPr>
          <w:rFonts w:eastAsia="Arial"/>
        </w:rPr>
        <w:t>and completing the online ‘Request for Call Back’ form.</w:t>
      </w:r>
    </w:p>
    <w:p w14:paraId="417D2746" w14:textId="77777777" w:rsidR="004D556D" w:rsidRPr="000F6CD1" w:rsidDel="00FA13EF" w:rsidRDefault="004D556D" w:rsidP="00A677C9">
      <w:pPr>
        <w:spacing w:before="240" w:after="240" w:line="240" w:lineRule="auto"/>
        <w:rPr>
          <w:rFonts w:eastAsia="Arial"/>
        </w:rPr>
      </w:pPr>
      <w:r w:rsidRPr="000F6CD1" w:rsidDel="00484ECF">
        <w:rPr>
          <w:rFonts w:eastAsia="Arial"/>
        </w:rPr>
        <w:t xml:space="preserve">The Carer Gateway </w:t>
      </w:r>
      <w:hyperlink r:id="rId215">
        <w:r w:rsidRPr="000F6CD1">
          <w:rPr>
            <w:rStyle w:val="Hyperlink"/>
            <w:rFonts w:eastAsia="Arial"/>
          </w:rPr>
          <w:t>website</w:t>
        </w:r>
      </w:hyperlink>
      <w:r w:rsidRPr="000F6CD1">
        <w:rPr>
          <w:rFonts w:eastAsia="Arial"/>
        </w:rPr>
        <w:t xml:space="preserve"> also provides carers with</w:t>
      </w:r>
      <w:r w:rsidRPr="000F6CD1">
        <w:rPr>
          <w:rFonts w:eastAsia="Arial"/>
          <w:u w:val="single"/>
        </w:rPr>
        <w:t xml:space="preserve"> </w:t>
      </w:r>
      <w:r w:rsidRPr="000F6CD1">
        <w:rPr>
          <w:rFonts w:eastAsia="Arial"/>
        </w:rPr>
        <w:t xml:space="preserve">practical advice, information and resources to help them in their caring role, as well as access to: </w:t>
      </w:r>
    </w:p>
    <w:p w14:paraId="7958815E" w14:textId="77777777" w:rsidR="004D556D" w:rsidRPr="000F6CD1" w:rsidRDefault="004D556D" w:rsidP="004D556D">
      <w:pPr>
        <w:pStyle w:val="ListParagraph"/>
        <w:numPr>
          <w:ilvl w:val="0"/>
          <w:numId w:val="588"/>
        </w:numPr>
        <w:spacing w:before="240" w:after="240" w:line="240" w:lineRule="auto"/>
        <w:ind w:left="709"/>
        <w:rPr>
          <w:rFonts w:eastAsia="Arial"/>
        </w:rPr>
      </w:pPr>
      <w:r w:rsidRPr="000F6CD1">
        <w:rPr>
          <w:rFonts w:eastAsia="Arial"/>
        </w:rPr>
        <w:t>a national carer phone counselling service to help them manage daily challenges, reduce stress and strain, and plan for the future;</w:t>
      </w:r>
    </w:p>
    <w:p w14:paraId="5367E44A" w14:textId="77777777" w:rsidR="004D556D" w:rsidRPr="000F6CD1" w:rsidRDefault="004D556D" w:rsidP="00DF3F6B">
      <w:pPr>
        <w:pStyle w:val="ListParagraph"/>
        <w:numPr>
          <w:ilvl w:val="0"/>
          <w:numId w:val="170"/>
        </w:numPr>
        <w:spacing w:before="240" w:after="240" w:line="240" w:lineRule="auto"/>
        <w:rPr>
          <w:rFonts w:eastAsia="Arial"/>
        </w:rPr>
      </w:pPr>
      <w:r w:rsidRPr="000F6CD1">
        <w:rPr>
          <w:rFonts w:eastAsia="Arial"/>
        </w:rPr>
        <w:t>an online peer support forum, connecting carers with other carers for knowledge and experience sharing, emotional support and mentoring;</w:t>
      </w:r>
    </w:p>
    <w:p w14:paraId="53ADCF83" w14:textId="77777777" w:rsidR="004D556D" w:rsidRPr="000F6CD1" w:rsidRDefault="004D556D" w:rsidP="00DF3F6B">
      <w:pPr>
        <w:pStyle w:val="ListParagraph"/>
        <w:numPr>
          <w:ilvl w:val="0"/>
          <w:numId w:val="170"/>
        </w:numPr>
        <w:spacing w:before="240" w:after="240" w:line="240" w:lineRule="auto"/>
        <w:rPr>
          <w:rFonts w:eastAsia="Arial"/>
        </w:rPr>
      </w:pPr>
      <w:r w:rsidRPr="000F6CD1">
        <w:rPr>
          <w:rFonts w:eastAsia="Arial"/>
        </w:rPr>
        <w:t xml:space="preserve">online self-guided coaching resources with simple techniques and strategies for goal-setting and future planning; and sources to increase skills and knowledge of carers relating to specific caring situations, to build confidence and improve wellbeing. </w:t>
      </w:r>
    </w:p>
    <w:p w14:paraId="4DFEAC41" w14:textId="77777777" w:rsidR="004D556D" w:rsidRPr="000F6CD1" w:rsidRDefault="004D556D" w:rsidP="00A677C9">
      <w:pPr>
        <w:spacing w:before="240" w:after="240" w:line="240" w:lineRule="auto"/>
      </w:pPr>
      <w:r w:rsidRPr="000F6CD1">
        <w:t xml:space="preserve">Assessors should also </w:t>
      </w:r>
      <w:r w:rsidRPr="000F6CD1">
        <w:rPr>
          <w:b/>
        </w:rPr>
        <w:t>note</w:t>
      </w:r>
      <w:r w:rsidRPr="000F6CD1">
        <w:t xml:space="preserve">, that CGSPs currently </w:t>
      </w:r>
      <w:r w:rsidRPr="000F6CD1">
        <w:rPr>
          <w:b/>
        </w:rPr>
        <w:t xml:space="preserve">do not </w:t>
      </w:r>
      <w:r w:rsidRPr="000F6CD1">
        <w:t>have the capability to receive referrals to book flexible, centre-based, cottage or residential respite for carers of My Aged Care older people.</w:t>
      </w:r>
    </w:p>
    <w:p w14:paraId="3E232762" w14:textId="77777777" w:rsidR="004D556D" w:rsidRPr="000F6CD1" w:rsidRDefault="004D556D" w:rsidP="00A677C9">
      <w:pPr>
        <w:spacing w:before="240" w:after="240" w:line="240" w:lineRule="auto"/>
      </w:pPr>
      <w:r w:rsidRPr="000F6CD1">
        <w:t xml:space="preserve">Assessors should also be aware that under the Carer Gateway model, assistance for young carers to continue with or commence study through the Young Carer Bursary Program is available. Further information on the Young Carer Bursary Program and the application process is available at </w:t>
      </w:r>
      <w:hyperlink r:id="rId216">
        <w:r w:rsidRPr="000F6CD1">
          <w:rPr>
            <w:rStyle w:val="Hyperlink"/>
          </w:rPr>
          <w:t>www.youngcarersnetwork.com.au/young-carer-bursary</w:t>
        </w:r>
      </w:hyperlink>
      <w:r w:rsidRPr="000F6CD1">
        <w:t xml:space="preserve">. </w:t>
      </w:r>
    </w:p>
    <w:p w14:paraId="65AAB869" w14:textId="77777777" w:rsidR="004D556D" w:rsidRPr="000F6CD1" w:rsidRDefault="004D556D" w:rsidP="00A677C9">
      <w:pPr>
        <w:spacing w:before="240" w:after="240" w:line="240" w:lineRule="auto"/>
      </w:pPr>
      <w:r w:rsidRPr="000F6CD1">
        <w:t xml:space="preserve">Dementia Australia’s support for carers, family members, and representatives of people with dementia or experiencing cognitive decline includes providing in person, phone-based, or online dementia-specific counselling, peer support, and education. </w:t>
      </w:r>
    </w:p>
    <w:p w14:paraId="61717DDE" w14:textId="77777777" w:rsidR="004D556D" w:rsidRPr="000F6CD1" w:rsidRDefault="004D556D" w:rsidP="00A677C9">
      <w:pPr>
        <w:spacing w:before="240" w:after="240" w:line="240" w:lineRule="auto"/>
      </w:pPr>
      <w:r w:rsidRPr="000F6CD1">
        <w:t>Dementia Australia’s carer supports can help people better understand the nature and impact of dementia, develop strategies to manage stress and mixed emotions, plan for the future, and manage grief.</w:t>
      </w:r>
    </w:p>
    <w:tbl>
      <w:tblPr>
        <w:tblStyle w:val="TableGrid"/>
        <w:tblW w:w="0" w:type="auto"/>
        <w:tblLook w:val="04A0" w:firstRow="1" w:lastRow="0" w:firstColumn="1" w:lastColumn="0" w:noHBand="0" w:noVBand="1"/>
      </w:tblPr>
      <w:tblGrid>
        <w:gridCol w:w="846"/>
        <w:gridCol w:w="8170"/>
      </w:tblGrid>
      <w:tr w:rsidR="004D556D" w:rsidRPr="000F6CD1" w14:paraId="67B5507F" w14:textId="77777777">
        <w:tc>
          <w:tcPr>
            <w:tcW w:w="846" w:type="dxa"/>
          </w:tcPr>
          <w:p w14:paraId="59F692CD"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1E94C15E" wp14:editId="08511566">
                  <wp:extent cx="383111" cy="381000"/>
                  <wp:effectExtent l="0" t="0" r="0" b="0"/>
                  <wp:docPr id="1512616363" name="Picture 1512616363"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16363" name="Picture 1512616363" descr="A black-and-white “i” icon inside a speech bubble, used to show where there are links to additional information and resources.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636AA48D" w14:textId="77777777" w:rsidR="004D556D" w:rsidRPr="000F6CD1" w:rsidRDefault="004D556D" w:rsidP="00A677C9">
            <w:pPr>
              <w:spacing w:before="240" w:after="240"/>
            </w:pPr>
            <w:hyperlink r:id="rId217">
              <w:r w:rsidRPr="000F6CD1">
                <w:rPr>
                  <w:rStyle w:val="Hyperlink"/>
                </w:rPr>
                <w:t>Carer Gateway</w:t>
              </w:r>
            </w:hyperlink>
            <w:r w:rsidRPr="000F6CD1">
              <w:t xml:space="preserve"> website</w:t>
            </w:r>
          </w:p>
          <w:p w14:paraId="0D37AC83" w14:textId="77777777" w:rsidR="004D556D" w:rsidRPr="000F6CD1" w:rsidRDefault="004D556D" w:rsidP="00A677C9">
            <w:pPr>
              <w:spacing w:before="240" w:after="240"/>
            </w:pPr>
            <w:r w:rsidRPr="000F6CD1">
              <w:t>Carer Gateway service provider free call:1800 422 737</w:t>
            </w:r>
          </w:p>
          <w:p w14:paraId="2BE1D7A9" w14:textId="77777777" w:rsidR="004D556D" w:rsidRPr="000F6CD1" w:rsidRDefault="004D556D" w:rsidP="00A677C9">
            <w:pPr>
              <w:spacing w:before="240" w:after="240"/>
              <w:rPr>
                <w:b/>
              </w:rPr>
            </w:pPr>
            <w:r w:rsidRPr="000F6CD1">
              <w:rPr>
                <w:b/>
              </w:rPr>
              <w:lastRenderedPageBreak/>
              <w:t>Department</w:t>
            </w:r>
            <w:r w:rsidRPr="000F6CD1" w:rsidDel="00DB3D09">
              <w:rPr>
                <w:b/>
              </w:rPr>
              <w:t xml:space="preserve"> of Health</w:t>
            </w:r>
            <w:r w:rsidRPr="000F6CD1">
              <w:rPr>
                <w:b/>
              </w:rPr>
              <w:t xml:space="preserve">, Disability and Ageing website: </w:t>
            </w:r>
          </w:p>
          <w:p w14:paraId="121B3F78" w14:textId="77777777" w:rsidR="004D556D" w:rsidRPr="000F6CD1" w:rsidRDefault="004D556D" w:rsidP="00A677C9">
            <w:pPr>
              <w:spacing w:before="240" w:after="240"/>
            </w:pPr>
            <w:hyperlink r:id="rId218">
              <w:r w:rsidRPr="000F6CD1">
                <w:rPr>
                  <w:rStyle w:val="Hyperlink"/>
                </w:rPr>
                <w:t>My Aged Care – Assessor Portal User Guide 2 – Registering support people and adding relationships</w:t>
              </w:r>
            </w:hyperlink>
          </w:p>
          <w:p w14:paraId="3A5EA69A" w14:textId="77777777" w:rsidR="004D556D" w:rsidRDefault="004D556D" w:rsidP="00A677C9">
            <w:pPr>
              <w:spacing w:before="240" w:after="240"/>
            </w:pPr>
            <w:hyperlink r:id="rId219">
              <w:r w:rsidRPr="000F6CD1">
                <w:rPr>
                  <w:rStyle w:val="Hyperlink"/>
                </w:rPr>
                <w:t>Young Carers Network</w:t>
              </w:r>
            </w:hyperlink>
            <w:r w:rsidRPr="000F6CD1">
              <w:t xml:space="preserve"> website</w:t>
            </w:r>
          </w:p>
          <w:p w14:paraId="7F7A90FD" w14:textId="36B46EA1" w:rsidR="00681188" w:rsidRPr="000F6CD1" w:rsidRDefault="00681188" w:rsidP="00A677C9">
            <w:pPr>
              <w:spacing w:before="240" w:after="240"/>
            </w:pPr>
            <w:hyperlink r:id="rId220" w:history="1">
              <w:r w:rsidRPr="00681188">
                <w:rPr>
                  <w:rStyle w:val="Hyperlink"/>
                </w:rPr>
                <w:t>For family, friends and carers | Dementia Australia</w:t>
              </w:r>
            </w:hyperlink>
          </w:p>
          <w:p w14:paraId="58B7DD0C" w14:textId="77777777" w:rsidR="004D556D" w:rsidRPr="000F6CD1" w:rsidRDefault="004D556D" w:rsidP="00A677C9">
            <w:pPr>
              <w:spacing w:before="240" w:after="240"/>
            </w:pPr>
            <w:r w:rsidRPr="000F6CD1">
              <w:t>National Dementia Helpline: 1800 100 500 - 24 hours a day, 7 days a week</w:t>
            </w:r>
          </w:p>
          <w:p w14:paraId="20A7FD83" w14:textId="77777777" w:rsidR="004D556D" w:rsidRPr="000F6CD1" w:rsidRDefault="004D556D" w:rsidP="00A677C9">
            <w:pPr>
              <w:spacing w:before="240" w:after="240"/>
            </w:pPr>
          </w:p>
        </w:tc>
      </w:tr>
    </w:tbl>
    <w:p w14:paraId="31DE0409" w14:textId="77777777" w:rsidR="004D556D" w:rsidRPr="000F6CD1" w:rsidRDefault="004D556D" w:rsidP="00AD2CE5">
      <w:pPr>
        <w:pStyle w:val="H3"/>
      </w:pPr>
      <w:r w:rsidRPr="000F6CD1">
        <w:lastRenderedPageBreak/>
        <w:t>Aged Care Volunteers Visitors Scheme (ACVVS)</w:t>
      </w:r>
    </w:p>
    <w:p w14:paraId="2D4D9653" w14:textId="77777777" w:rsidR="004D556D" w:rsidRPr="000F6CD1" w:rsidRDefault="004D556D" w:rsidP="00A677C9">
      <w:pPr>
        <w:spacing w:before="240" w:after="240" w:line="240" w:lineRule="auto"/>
      </w:pPr>
      <w:r w:rsidRPr="000F6CD1">
        <w:t xml:space="preserve">The Aged Care Volunteer Visitors Scheme (ACVVS) provides friendship and companionship to older people who are feeling lonely or socially isolated by matching them with a volunteer visitor. The ACVVS is a free program for eligible aged care recipients. Visits are available to anyone receiving Australian government-subsidised residential aged care or the Support at Home services. This includes care recipients approved or on the Support at Home Priority System and excludes those with a Commonwealth Home Support Program (CHSP). </w:t>
      </w:r>
    </w:p>
    <w:p w14:paraId="148CCBD1" w14:textId="77777777" w:rsidR="004D556D" w:rsidRPr="000F6CD1" w:rsidRDefault="004D556D" w:rsidP="00A677C9">
      <w:pPr>
        <w:spacing w:before="240" w:after="240" w:line="240" w:lineRule="auto"/>
      </w:pPr>
      <w:r w:rsidRPr="000F6CD1">
        <w:t xml:space="preserve">The program requires the volunteer to make 20 ACVVS visits per year. These occur for approximately an hour a fortnight. </w:t>
      </w:r>
    </w:p>
    <w:p w14:paraId="7873C659" w14:textId="77777777" w:rsidR="004D556D" w:rsidRPr="000F6CD1" w:rsidRDefault="004D556D" w:rsidP="00A677C9">
      <w:pPr>
        <w:spacing w:before="240" w:after="240" w:line="240" w:lineRule="auto"/>
      </w:pPr>
      <w:r w:rsidRPr="000F6CD1">
        <w:t>Anyone can refer an eligible older person to the ACVVS, including Aged Care Assessors, aged care service providers, health professionals, family members and friends. Older people can also refer themselves.</w:t>
      </w:r>
    </w:p>
    <w:p w14:paraId="0C8D31BB" w14:textId="4E8F2396" w:rsidR="004D556D" w:rsidRPr="000F6CD1" w:rsidRDefault="004D556D" w:rsidP="00A677C9">
      <w:pPr>
        <w:spacing w:before="240" w:after="240" w:line="240" w:lineRule="auto"/>
      </w:pPr>
      <w:r w:rsidRPr="000F6CD1">
        <w:t xml:space="preserve"> You can request a volunteer for an older person via the </w:t>
      </w:r>
      <w:hyperlink r:id="rId221">
        <w:r w:rsidRPr="000F6CD1">
          <w:rPr>
            <w:rStyle w:val="Hyperlink"/>
          </w:rPr>
          <w:t>ACVVS website</w:t>
        </w:r>
      </w:hyperlink>
      <w:r w:rsidRPr="000F6CD1">
        <w:t>.</w:t>
      </w:r>
      <w:r w:rsidR="003F1861" w:rsidRPr="000F6CD1">
        <w:t xml:space="preserve"> </w:t>
      </w:r>
    </w:p>
    <w:tbl>
      <w:tblPr>
        <w:tblStyle w:val="TableGrid"/>
        <w:tblW w:w="0" w:type="auto"/>
        <w:tblLook w:val="04A0" w:firstRow="1" w:lastRow="0" w:firstColumn="1" w:lastColumn="0" w:noHBand="0" w:noVBand="1"/>
      </w:tblPr>
      <w:tblGrid>
        <w:gridCol w:w="846"/>
        <w:gridCol w:w="8170"/>
      </w:tblGrid>
      <w:tr w:rsidR="004D556D" w:rsidRPr="000F6CD1" w14:paraId="1F92F762" w14:textId="77777777">
        <w:tc>
          <w:tcPr>
            <w:tcW w:w="846" w:type="dxa"/>
          </w:tcPr>
          <w:p w14:paraId="1FB98DE8"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4670B216" wp14:editId="189CB73A">
                  <wp:extent cx="383111" cy="381000"/>
                  <wp:effectExtent l="0" t="0" r="0" b="0"/>
                  <wp:docPr id="558321248" name="Picture 55832124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21248" name="Picture 558321248"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2C85AEE3" w14:textId="77777777" w:rsidR="004D556D" w:rsidRPr="000F6CD1" w:rsidRDefault="004D556D" w:rsidP="00A677C9">
            <w:pPr>
              <w:spacing w:before="240" w:after="240"/>
            </w:pPr>
            <w:hyperlink r:id="rId222">
              <w:r w:rsidRPr="000F6CD1">
                <w:rPr>
                  <w:rStyle w:val="Hyperlink"/>
                </w:rPr>
                <w:t>Aged Care Volunteer Visitors Scheme (ACVVS) | Australian Government Department of Health, Disability and Aged Care</w:t>
              </w:r>
            </w:hyperlink>
            <w:r w:rsidRPr="000F6CD1">
              <w:t> </w:t>
            </w:r>
          </w:p>
        </w:tc>
      </w:tr>
    </w:tbl>
    <w:p w14:paraId="642937ED" w14:textId="77777777" w:rsidR="004D556D" w:rsidRPr="000F6CD1" w:rsidRDefault="004D556D" w:rsidP="00AD2CE5">
      <w:pPr>
        <w:pStyle w:val="H3"/>
      </w:pPr>
      <w:bookmarkStart w:id="573" w:name="_Toc159226959"/>
      <w:bookmarkStart w:id="574" w:name="_Toc184402376"/>
      <w:r w:rsidRPr="000F6CD1">
        <w:t>Interpreting and translation services for people from culturally and linguistically diverse backgrounds</w:t>
      </w:r>
      <w:bookmarkEnd w:id="573"/>
      <w:bookmarkEnd w:id="574"/>
    </w:p>
    <w:p w14:paraId="1C536A53" w14:textId="77777777" w:rsidR="004D556D" w:rsidRPr="000F6CD1" w:rsidRDefault="004D556D" w:rsidP="00A677C9">
      <w:pPr>
        <w:spacing w:before="240" w:after="240" w:line="240" w:lineRule="auto"/>
      </w:pPr>
      <w:r w:rsidRPr="000F6CD1">
        <w:t>Every older person has a right to communicate in their preferred language or method of communication, with access to interpreters and communication aids as required.</w:t>
      </w:r>
    </w:p>
    <w:p w14:paraId="4722A2DB" w14:textId="77777777" w:rsidR="004D556D" w:rsidRPr="000F6CD1" w:rsidRDefault="004D556D" w:rsidP="00A677C9">
      <w:pPr>
        <w:spacing w:before="240" w:after="240" w:line="240" w:lineRule="auto"/>
        <w:rPr>
          <w:rFonts w:eastAsia="Century Gothic"/>
          <w:sz w:val="20"/>
          <w:szCs w:val="20"/>
        </w:rPr>
      </w:pPr>
      <w:r w:rsidRPr="000F6CD1">
        <w:t>If an older person requires an interpreter or translation services, it is the responsibility of the assessment organisation to access these services as needed to support the older person through the assessment process.</w:t>
      </w:r>
    </w:p>
    <w:p w14:paraId="16CE87F3" w14:textId="77777777" w:rsidR="004D556D" w:rsidRPr="000F6CD1" w:rsidRDefault="004D556D">
      <w:pPr>
        <w:pStyle w:val="H4"/>
      </w:pPr>
      <w:bookmarkStart w:id="575" w:name="_Toc159226960"/>
      <w:bookmarkStart w:id="576" w:name="_Toc184402377"/>
      <w:r w:rsidRPr="000F6CD1">
        <w:t>Sign language interpreting services</w:t>
      </w:r>
      <w:bookmarkEnd w:id="575"/>
      <w:bookmarkEnd w:id="576"/>
    </w:p>
    <w:p w14:paraId="0C422755" w14:textId="77777777" w:rsidR="004D556D" w:rsidRPr="000F6CD1" w:rsidRDefault="004D556D" w:rsidP="00A677C9">
      <w:pPr>
        <w:spacing w:before="240" w:after="240" w:line="240" w:lineRule="auto"/>
      </w:pPr>
      <w:r w:rsidRPr="000F6CD1">
        <w:t xml:space="preserve">Older Australians who are deaf, deafblind or hard of hearing, who are seeking to access or are in receipt of Commonwealth funded aged care services can access </w:t>
      </w:r>
      <w:r w:rsidRPr="000F6CD1">
        <w:rPr>
          <w:b/>
        </w:rPr>
        <w:t>free</w:t>
      </w:r>
      <w:r w:rsidRPr="000F6CD1">
        <w:t xml:space="preserve"> sign language interpreting and captioning services. Sign language services can be provided face-to-face or by Video Remote, and live captioning services are available to support older people to better engage and fully participate in their aged care journey and activities of daily living. </w:t>
      </w:r>
    </w:p>
    <w:p w14:paraId="60EBA83E" w14:textId="77777777" w:rsidR="004D556D" w:rsidRPr="000F6CD1" w:rsidRDefault="004D556D" w:rsidP="00A677C9">
      <w:pPr>
        <w:spacing w:before="240" w:after="240" w:line="240" w:lineRule="auto"/>
        <w:rPr>
          <w:i/>
        </w:rPr>
      </w:pPr>
      <w:r w:rsidRPr="000F6CD1">
        <w:lastRenderedPageBreak/>
        <w:t xml:space="preserve">Information on how service providers can access interpreting services is available online at </w:t>
      </w:r>
      <w:hyperlink r:id="rId223" w:anchor="relay">
        <w:r w:rsidRPr="000F6CD1">
          <w:rPr>
            <w:rStyle w:val="Hyperlink"/>
          </w:rPr>
          <w:t>My Aged Care</w:t>
        </w:r>
      </w:hyperlink>
      <w:r w:rsidRPr="000F6CD1">
        <w:t xml:space="preserve"> (or by calling 1800 200 422) or </w:t>
      </w:r>
      <w:hyperlink r:id="rId224">
        <w:r w:rsidRPr="000F6CD1">
          <w:rPr>
            <w:rStyle w:val="Hyperlink"/>
          </w:rPr>
          <w:t>Deaf Connect</w:t>
        </w:r>
      </w:hyperlink>
      <w:r w:rsidRPr="000F6CD1">
        <w:t xml:space="preserve"> (or by calling 1300 773 803)</w:t>
      </w:r>
      <w:r w:rsidRPr="000F6CD1">
        <w:rPr>
          <w:i/>
          <w:iCs/>
        </w:rPr>
        <w:t>.</w:t>
      </w:r>
    </w:p>
    <w:p w14:paraId="4BA22D7C" w14:textId="77777777" w:rsidR="004D556D" w:rsidRPr="000F6CD1" w:rsidRDefault="004D556D" w:rsidP="00A677C9">
      <w:pPr>
        <w:spacing w:before="240" w:after="240" w:line="240" w:lineRule="auto"/>
      </w:pPr>
      <w:r w:rsidRPr="000F6CD1">
        <w:t xml:space="preserve">If an older person enquires about sign language interpreting for daily activities, not aged care related, please refer them to </w:t>
      </w:r>
      <w:hyperlink r:id="rId225">
        <w:r w:rsidRPr="000F6CD1">
          <w:rPr>
            <w:rStyle w:val="Hyperlink"/>
          </w:rPr>
          <w:t>Deaf Connect</w:t>
        </w:r>
      </w:hyperlink>
      <w:r w:rsidRPr="000F6CD1">
        <w:t xml:space="preserve"> where they can also receive free services.</w:t>
      </w:r>
    </w:p>
    <w:p w14:paraId="27B7DB85" w14:textId="77777777" w:rsidR="004D556D" w:rsidRPr="000F6CD1" w:rsidRDefault="004D556D" w:rsidP="00A677C9">
      <w:pPr>
        <w:spacing w:before="240" w:after="240" w:line="240" w:lineRule="auto"/>
      </w:pPr>
      <w:r w:rsidRPr="000F6CD1">
        <w:t>Sign language services are available in Auslan, American Sign Language, International Sign Language, and Signed English for Deaf or people who are hard of hearing, and tactile signing and hand over hand for people who are deafblind.</w:t>
      </w:r>
    </w:p>
    <w:p w14:paraId="536D3F41" w14:textId="77777777" w:rsidR="004D556D" w:rsidRPr="000F6CD1" w:rsidRDefault="004D556D" w:rsidP="00AD2CE5">
      <w:pPr>
        <w:pStyle w:val="H3"/>
      </w:pPr>
      <w:bookmarkStart w:id="577" w:name="_Ref128155866"/>
      <w:bookmarkStart w:id="578" w:name="_Toc159226961"/>
      <w:bookmarkStart w:id="579" w:name="_Toc184402378"/>
      <w:r w:rsidRPr="000F6CD1">
        <w:t>Interpreting services</w:t>
      </w:r>
      <w:bookmarkEnd w:id="577"/>
      <w:bookmarkEnd w:id="578"/>
      <w:bookmarkEnd w:id="579"/>
      <w:r w:rsidRPr="000F6CD1">
        <w:t xml:space="preserve"> for Aboriginal and Torres Strait Islander people</w:t>
      </w:r>
    </w:p>
    <w:p w14:paraId="21207476" w14:textId="77777777" w:rsidR="004D556D" w:rsidRPr="000F6CD1" w:rsidRDefault="004D556D" w:rsidP="00A677C9">
      <w:pPr>
        <w:spacing w:before="240" w:after="240" w:line="240" w:lineRule="auto"/>
        <w:rPr>
          <w:rFonts w:eastAsia="Century Gothic"/>
          <w:sz w:val="20"/>
          <w:szCs w:val="20"/>
        </w:rPr>
      </w:pPr>
      <w:r w:rsidRPr="000F6CD1">
        <w:t>It is important for older Aboriginal and Torres Strait Islander people accessing or thinking of accessing Australian Government-funded aged care services to be able to communicate in an Aboriginal and Torres Strait Islander language if that is their preference. </w:t>
      </w:r>
    </w:p>
    <w:p w14:paraId="75209028" w14:textId="77777777" w:rsidR="004D556D" w:rsidRPr="000F6CD1" w:rsidRDefault="004D556D" w:rsidP="00A677C9">
      <w:pPr>
        <w:spacing w:before="240" w:after="240" w:line="240" w:lineRule="auto"/>
      </w:pPr>
      <w:r w:rsidRPr="000F6CD1">
        <w:t>To access Interpreter Connect, an Aboriginal and Torres Strait Islander person should call My Aged Care on 1800 200 422 and ask for an interpreter from the following list of languages. Through the interpreter, My Aged Care will answer the person’s aged care questions and then, if asked to, will assist them with accessing services. Languages available include:</w:t>
      </w:r>
    </w:p>
    <w:tbl>
      <w:tblPr>
        <w:tblStyle w:val="TableGrid"/>
        <w:tblW w:w="0" w:type="auto"/>
        <w:tblLook w:val="04A0" w:firstRow="1" w:lastRow="0" w:firstColumn="1" w:lastColumn="0" w:noHBand="0" w:noVBand="1"/>
      </w:tblPr>
      <w:tblGrid>
        <w:gridCol w:w="4508"/>
        <w:gridCol w:w="4508"/>
      </w:tblGrid>
      <w:tr w:rsidR="004D556D" w:rsidRPr="000F6CD1" w14:paraId="191ADBB0" w14:textId="77777777">
        <w:tc>
          <w:tcPr>
            <w:tcW w:w="4508" w:type="dxa"/>
          </w:tcPr>
          <w:p w14:paraId="7D473EB2" w14:textId="77777777" w:rsidR="004D556D" w:rsidRPr="000F6CD1" w:rsidRDefault="004D556D">
            <w:pPr>
              <w:pStyle w:val="ListParagraph"/>
              <w:numPr>
                <w:ilvl w:val="0"/>
                <w:numId w:val="176"/>
              </w:numPr>
              <w:spacing w:before="240" w:after="240"/>
            </w:pPr>
            <w:r w:rsidRPr="000F6CD1">
              <w:t>Alyawarre</w:t>
            </w:r>
          </w:p>
          <w:p w14:paraId="313D2FB8" w14:textId="77777777" w:rsidR="004D556D" w:rsidRPr="000F6CD1" w:rsidRDefault="004D556D">
            <w:pPr>
              <w:pStyle w:val="ListParagraph"/>
              <w:numPr>
                <w:ilvl w:val="0"/>
                <w:numId w:val="176"/>
              </w:numPr>
              <w:spacing w:before="240" w:after="240"/>
            </w:pPr>
            <w:r w:rsidRPr="000F6CD1">
              <w:t>Anmatyerre</w:t>
            </w:r>
          </w:p>
          <w:p w14:paraId="135C85D4" w14:textId="77777777" w:rsidR="004D556D" w:rsidRPr="000F6CD1" w:rsidRDefault="004D556D">
            <w:pPr>
              <w:pStyle w:val="ListParagraph"/>
              <w:numPr>
                <w:ilvl w:val="0"/>
                <w:numId w:val="176"/>
              </w:numPr>
              <w:spacing w:before="240" w:after="240"/>
            </w:pPr>
            <w:r w:rsidRPr="000F6CD1">
              <w:t xml:space="preserve">Arrernte (Eastern and Central) </w:t>
            </w:r>
          </w:p>
          <w:p w14:paraId="5F86E3A4" w14:textId="77777777" w:rsidR="004D556D" w:rsidRPr="000F6CD1" w:rsidRDefault="004D556D">
            <w:pPr>
              <w:pStyle w:val="ListParagraph"/>
              <w:numPr>
                <w:ilvl w:val="0"/>
                <w:numId w:val="176"/>
              </w:numPr>
              <w:spacing w:before="240" w:after="240"/>
            </w:pPr>
            <w:r w:rsidRPr="000F6CD1">
              <w:t>Arrernte (Western)</w:t>
            </w:r>
          </w:p>
          <w:p w14:paraId="54D7EB4F" w14:textId="77777777" w:rsidR="004D556D" w:rsidRPr="000F6CD1" w:rsidRDefault="004D556D">
            <w:pPr>
              <w:pStyle w:val="ListParagraph"/>
              <w:numPr>
                <w:ilvl w:val="0"/>
                <w:numId w:val="176"/>
              </w:numPr>
              <w:spacing w:before="240" w:after="240"/>
            </w:pPr>
            <w:r w:rsidRPr="000F6CD1">
              <w:t>Djambarrpuyngu</w:t>
            </w:r>
          </w:p>
          <w:p w14:paraId="7A6B22A4" w14:textId="77777777" w:rsidR="004D556D" w:rsidRPr="000F6CD1" w:rsidRDefault="004D556D">
            <w:pPr>
              <w:pStyle w:val="ListParagraph"/>
              <w:numPr>
                <w:ilvl w:val="0"/>
                <w:numId w:val="176"/>
              </w:numPr>
              <w:spacing w:before="240" w:after="240"/>
            </w:pPr>
            <w:r w:rsidRPr="000F6CD1">
              <w:t>Gumatj</w:t>
            </w:r>
          </w:p>
          <w:p w14:paraId="7B1CF1D3" w14:textId="77777777" w:rsidR="004D556D" w:rsidRPr="000F6CD1" w:rsidRDefault="004D556D">
            <w:pPr>
              <w:pStyle w:val="ListParagraph"/>
              <w:numPr>
                <w:ilvl w:val="0"/>
                <w:numId w:val="176"/>
              </w:numPr>
              <w:spacing w:before="240" w:after="240"/>
            </w:pPr>
            <w:r w:rsidRPr="000F6CD1">
              <w:t>Kriol (Top End)</w:t>
            </w:r>
          </w:p>
          <w:p w14:paraId="20761C6C" w14:textId="77777777" w:rsidR="004D556D" w:rsidRPr="000F6CD1" w:rsidRDefault="004D556D">
            <w:pPr>
              <w:pStyle w:val="ListParagraph"/>
              <w:numPr>
                <w:ilvl w:val="0"/>
                <w:numId w:val="176"/>
              </w:numPr>
              <w:spacing w:before="240" w:after="240"/>
            </w:pPr>
            <w:r w:rsidRPr="000F6CD1">
              <w:t>Murrinh Patha</w:t>
            </w:r>
          </w:p>
          <w:p w14:paraId="6E2D1CF2" w14:textId="77777777" w:rsidR="004D556D" w:rsidRPr="000F6CD1" w:rsidRDefault="004D556D">
            <w:pPr>
              <w:pStyle w:val="ListParagraph"/>
              <w:numPr>
                <w:ilvl w:val="0"/>
                <w:numId w:val="176"/>
              </w:numPr>
              <w:spacing w:before="240" w:after="240"/>
            </w:pPr>
            <w:r w:rsidRPr="000F6CD1">
              <w:t>Ngaanyatjarra</w:t>
            </w:r>
          </w:p>
        </w:tc>
        <w:tc>
          <w:tcPr>
            <w:tcW w:w="4508" w:type="dxa"/>
          </w:tcPr>
          <w:p w14:paraId="53BC5537" w14:textId="77777777" w:rsidR="004D556D" w:rsidRPr="000F6CD1" w:rsidRDefault="004D556D">
            <w:pPr>
              <w:pStyle w:val="ListParagraph"/>
              <w:numPr>
                <w:ilvl w:val="0"/>
                <w:numId w:val="176"/>
              </w:numPr>
              <w:spacing w:before="240" w:after="240"/>
            </w:pPr>
            <w:r w:rsidRPr="000F6CD1">
              <w:t>Ngaatjatjarra</w:t>
            </w:r>
          </w:p>
          <w:p w14:paraId="7B1E0EFF" w14:textId="77777777" w:rsidR="004D556D" w:rsidRPr="000F6CD1" w:rsidRDefault="004D556D">
            <w:pPr>
              <w:pStyle w:val="ListParagraph"/>
              <w:numPr>
                <w:ilvl w:val="0"/>
                <w:numId w:val="176"/>
              </w:numPr>
              <w:spacing w:before="240" w:after="240"/>
            </w:pPr>
            <w:r w:rsidRPr="000F6CD1">
              <w:t>Pintupi-Luritja</w:t>
            </w:r>
          </w:p>
          <w:p w14:paraId="4B323BAE" w14:textId="77777777" w:rsidR="004D556D" w:rsidRPr="000F6CD1" w:rsidRDefault="004D556D">
            <w:pPr>
              <w:pStyle w:val="ListParagraph"/>
              <w:numPr>
                <w:ilvl w:val="0"/>
                <w:numId w:val="176"/>
              </w:numPr>
              <w:spacing w:before="240" w:after="240"/>
            </w:pPr>
            <w:r w:rsidRPr="000F6CD1">
              <w:t>Pitjantjatjara</w:t>
            </w:r>
          </w:p>
          <w:p w14:paraId="6128638B" w14:textId="77777777" w:rsidR="004D556D" w:rsidRPr="000F6CD1" w:rsidRDefault="004D556D">
            <w:pPr>
              <w:pStyle w:val="ListParagraph"/>
              <w:numPr>
                <w:ilvl w:val="0"/>
                <w:numId w:val="176"/>
              </w:numPr>
              <w:spacing w:before="240" w:after="240"/>
            </w:pPr>
            <w:r w:rsidRPr="000F6CD1">
              <w:t>Torres Strait Creole/Yumpla Tok</w:t>
            </w:r>
          </w:p>
          <w:p w14:paraId="657FA376" w14:textId="77777777" w:rsidR="004D556D" w:rsidRPr="000F6CD1" w:rsidRDefault="004D556D">
            <w:pPr>
              <w:pStyle w:val="ListParagraph"/>
              <w:numPr>
                <w:ilvl w:val="0"/>
                <w:numId w:val="176"/>
              </w:numPr>
              <w:spacing w:before="240" w:after="240"/>
            </w:pPr>
            <w:r w:rsidRPr="000F6CD1">
              <w:t>Warlpiri</w:t>
            </w:r>
          </w:p>
          <w:p w14:paraId="6CAEC925" w14:textId="77777777" w:rsidR="004D556D" w:rsidRPr="000F6CD1" w:rsidRDefault="004D556D">
            <w:pPr>
              <w:pStyle w:val="ListParagraph"/>
              <w:numPr>
                <w:ilvl w:val="0"/>
                <w:numId w:val="176"/>
              </w:numPr>
              <w:spacing w:before="240" w:after="240"/>
            </w:pPr>
            <w:r w:rsidRPr="000F6CD1">
              <w:t>Yankunytjatjara</w:t>
            </w:r>
          </w:p>
          <w:p w14:paraId="08678422" w14:textId="77777777" w:rsidR="004D556D" w:rsidRPr="000F6CD1" w:rsidRDefault="004D556D">
            <w:pPr>
              <w:pStyle w:val="ListParagraph"/>
              <w:numPr>
                <w:ilvl w:val="0"/>
                <w:numId w:val="176"/>
              </w:numPr>
              <w:spacing w:before="240" w:after="240"/>
            </w:pPr>
            <w:r w:rsidRPr="000F6CD1">
              <w:t>Yolngu Matha</w:t>
            </w:r>
          </w:p>
          <w:p w14:paraId="0644D137" w14:textId="77777777" w:rsidR="004D556D" w:rsidRPr="000F6CD1" w:rsidRDefault="004D556D" w:rsidP="00A677C9">
            <w:pPr>
              <w:spacing w:before="240" w:after="240"/>
            </w:pPr>
          </w:p>
        </w:tc>
      </w:tr>
    </w:tbl>
    <w:p w14:paraId="366AA4F6" w14:textId="77777777" w:rsidR="004D556D" w:rsidRPr="000F6CD1" w:rsidRDefault="004D556D" w:rsidP="00A677C9">
      <w:pPr>
        <w:spacing w:before="240" w:after="240" w:line="240" w:lineRule="auto"/>
      </w:pPr>
      <w:r w:rsidRPr="000F6CD1">
        <w:t xml:space="preserve">If an interpreter from the above list is not available at the time of the call, an appropriate time that suits the Aboriginal and Torres Strait Islander person will be arranged. This service aims </w:t>
      </w:r>
      <w:r w:rsidRPr="000F6CD1" w:rsidDel="00CE3B83">
        <w:t xml:space="preserve">to </w:t>
      </w:r>
      <w:r w:rsidRPr="000F6CD1">
        <w:t xml:space="preserve">make it easier for older Aboriginal and Torres Strait Islander people, their families and carers to access information on ageing and aged care, to have their needs assessed and to be supported to find the most appropriate services. </w:t>
      </w:r>
    </w:p>
    <w:p w14:paraId="344749C9" w14:textId="77777777" w:rsidR="004D556D" w:rsidRPr="000F6CD1" w:rsidRDefault="004D556D" w:rsidP="00AD2CE5">
      <w:pPr>
        <w:pStyle w:val="H3"/>
      </w:pPr>
      <w:r w:rsidRPr="000F6CD1">
        <w:t>Elder Care Support</w:t>
      </w:r>
    </w:p>
    <w:p w14:paraId="2DE66462" w14:textId="77777777" w:rsidR="004D556D" w:rsidRPr="000F6CD1" w:rsidRDefault="004D556D" w:rsidP="00A677C9">
      <w:pPr>
        <w:spacing w:before="240" w:after="240" w:line="240" w:lineRule="auto"/>
      </w:pPr>
      <w:r w:rsidRPr="000F6CD1">
        <w:rPr>
          <w:rFonts w:eastAsia="Aptos"/>
        </w:rPr>
        <w:t>T</w:t>
      </w:r>
      <w:r w:rsidRPr="000F6CD1">
        <w:t xml:space="preserve">he Elder Care Support Program was established to recruit and train a trusted workforce to support older Aboriginal and Torres Strait Islander people and their families throughout their aged care journey. This support contributes to older people achieving a better, safer experience when accessing aged care services and having the information to make decisions on the care they need and receive. </w:t>
      </w:r>
    </w:p>
    <w:p w14:paraId="7AA5DE90" w14:textId="77777777" w:rsidR="004D556D" w:rsidRPr="000F6CD1" w:rsidRDefault="004D556D" w:rsidP="00A677C9">
      <w:pPr>
        <w:spacing w:before="240" w:after="240" w:line="240" w:lineRule="auto"/>
      </w:pPr>
      <w:r w:rsidRPr="000F6CD1">
        <w:t>The Elder Care Support program provides services that include: </w:t>
      </w:r>
    </w:p>
    <w:p w14:paraId="485827C8" w14:textId="77777777" w:rsidR="004D556D" w:rsidRPr="000F6CD1" w:rsidRDefault="004D556D" w:rsidP="00DF3F6B">
      <w:pPr>
        <w:pStyle w:val="ListParagraph"/>
        <w:numPr>
          <w:ilvl w:val="0"/>
          <w:numId w:val="151"/>
        </w:numPr>
        <w:spacing w:before="240" w:after="240" w:line="240" w:lineRule="auto"/>
      </w:pPr>
      <w:r w:rsidRPr="000F6CD1">
        <w:t>supporting older Aboriginal and Torres Strait Islander people to understand aged care services, navigate the assessment process and help with choosing a provider </w:t>
      </w:r>
    </w:p>
    <w:p w14:paraId="78FB0C07" w14:textId="77777777" w:rsidR="004D556D" w:rsidRPr="000F6CD1" w:rsidRDefault="004D556D" w:rsidP="00DF3F6B">
      <w:pPr>
        <w:pStyle w:val="ListParagraph"/>
        <w:numPr>
          <w:ilvl w:val="0"/>
          <w:numId w:val="151"/>
        </w:numPr>
        <w:spacing w:before="240" w:after="240" w:line="240" w:lineRule="auto"/>
      </w:pPr>
      <w:r w:rsidRPr="000F6CD1">
        <w:lastRenderedPageBreak/>
        <w:t>supporting families, friends and carers to understand how to access aged care services </w:t>
      </w:r>
    </w:p>
    <w:p w14:paraId="520969B8" w14:textId="77777777" w:rsidR="004D556D" w:rsidRPr="000F6CD1" w:rsidRDefault="004D556D" w:rsidP="00DF3F6B">
      <w:pPr>
        <w:pStyle w:val="ListParagraph"/>
        <w:numPr>
          <w:ilvl w:val="0"/>
          <w:numId w:val="151"/>
        </w:numPr>
        <w:spacing w:before="240" w:after="240" w:line="240" w:lineRule="auto"/>
      </w:pPr>
      <w:r w:rsidRPr="000F6CD1">
        <w:t>advocating for older Aboriginal and Torres Strait Islander people by working with assessors and providers to meet their needs </w:t>
      </w:r>
    </w:p>
    <w:p w14:paraId="4E299760" w14:textId="77777777" w:rsidR="004D556D" w:rsidRPr="000F6CD1" w:rsidRDefault="004D556D" w:rsidP="00DF3F6B">
      <w:pPr>
        <w:pStyle w:val="ListParagraph"/>
        <w:numPr>
          <w:ilvl w:val="0"/>
          <w:numId w:val="151"/>
        </w:numPr>
        <w:spacing w:before="240" w:after="240" w:line="240" w:lineRule="auto"/>
      </w:pPr>
      <w:r w:rsidRPr="000F6CD1">
        <w:t>supporting older Aboriginal and Torres Strait Islander people while they receive aged care services </w:t>
      </w:r>
    </w:p>
    <w:p w14:paraId="2CA12E6B" w14:textId="77777777" w:rsidR="004D556D" w:rsidRPr="000F6CD1" w:rsidRDefault="004D556D" w:rsidP="00DF3F6B">
      <w:pPr>
        <w:pStyle w:val="ListParagraph"/>
        <w:numPr>
          <w:ilvl w:val="0"/>
          <w:numId w:val="151"/>
        </w:numPr>
        <w:spacing w:before="240" w:after="240" w:line="240" w:lineRule="auto"/>
      </w:pPr>
      <w:r w:rsidRPr="000F6CD1">
        <w:t>assisting with other types of health needs, such as disability supports.</w:t>
      </w:r>
    </w:p>
    <w:p w14:paraId="3E7E91F8" w14:textId="77777777" w:rsidR="004D556D" w:rsidRPr="000F6CD1" w:rsidRDefault="004D556D" w:rsidP="00A677C9">
      <w:pPr>
        <w:spacing w:before="240" w:after="240" w:line="240" w:lineRule="auto"/>
      </w:pPr>
      <w:r w:rsidRPr="000F6CD1">
        <w:t xml:space="preserve">The </w:t>
      </w:r>
      <w:hyperlink r:id="rId226">
        <w:r w:rsidRPr="000F6CD1">
          <w:rPr>
            <w:rStyle w:val="Hyperlink"/>
          </w:rPr>
          <w:t>National Aboriginal Community Controlled Health Organisation (NACCHO)</w:t>
        </w:r>
      </w:hyperlink>
      <w:r w:rsidRPr="000F6CD1">
        <w:t xml:space="preserve"> Aged Care Programs team can provide further information about the program at </w:t>
      </w:r>
      <w:hyperlink r:id="rId227">
        <w:r w:rsidRPr="000F6CD1">
          <w:rPr>
            <w:rStyle w:val="Hyperlink"/>
          </w:rPr>
          <w:t>agedcare@naccho.org.au</w:t>
        </w:r>
      </w:hyperlink>
      <w:r w:rsidRPr="000F6CD1">
        <w:t>.</w:t>
      </w:r>
    </w:p>
    <w:tbl>
      <w:tblPr>
        <w:tblStyle w:val="TableGrid"/>
        <w:tblW w:w="0" w:type="auto"/>
        <w:tblLook w:val="04A0" w:firstRow="1" w:lastRow="0" w:firstColumn="1" w:lastColumn="0" w:noHBand="0" w:noVBand="1"/>
      </w:tblPr>
      <w:tblGrid>
        <w:gridCol w:w="846"/>
        <w:gridCol w:w="8170"/>
      </w:tblGrid>
      <w:tr w:rsidR="004D556D" w:rsidRPr="000F6CD1" w14:paraId="332234E8" w14:textId="77777777">
        <w:tc>
          <w:tcPr>
            <w:tcW w:w="846" w:type="dxa"/>
            <w:vAlign w:val="center"/>
          </w:tcPr>
          <w:p w14:paraId="18B29B6E"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2473DB4E" wp14:editId="386EE593">
                  <wp:extent cx="383111" cy="381000"/>
                  <wp:effectExtent l="0" t="0" r="0" b="0"/>
                  <wp:docPr id="2016669095" name="Picture 2016669095"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69095" name="Picture 2016669095" descr="A black-and-white “i” icon inside a speech bubble, used to show where there are links to additional information and resources.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1701979E" w14:textId="77777777" w:rsidR="004D556D" w:rsidRPr="000F6CD1" w:rsidRDefault="004D556D" w:rsidP="00A677C9">
            <w:pPr>
              <w:spacing w:before="240" w:after="240"/>
            </w:pPr>
            <w:hyperlink r:id="rId228">
              <w:r w:rsidRPr="000F6CD1">
                <w:rPr>
                  <w:rStyle w:val="Hyperlink"/>
                </w:rPr>
                <w:t>Elder Care Support</w:t>
              </w:r>
            </w:hyperlink>
          </w:p>
        </w:tc>
      </w:tr>
    </w:tbl>
    <w:p w14:paraId="42547E13" w14:textId="77777777" w:rsidR="004D556D" w:rsidRPr="000F6CD1" w:rsidRDefault="004D556D" w:rsidP="00AD2CE5">
      <w:pPr>
        <w:pStyle w:val="H3"/>
      </w:pPr>
      <w:r w:rsidRPr="000F6CD1">
        <w:t>Care Finder Program</w:t>
      </w:r>
    </w:p>
    <w:p w14:paraId="3E7577EB" w14:textId="77777777" w:rsidR="004D556D" w:rsidRPr="000F6CD1" w:rsidRDefault="004D556D" w:rsidP="00A677C9">
      <w:pPr>
        <w:spacing w:before="240" w:after="240" w:line="240" w:lineRule="auto"/>
      </w:pPr>
      <w:r w:rsidRPr="000F6CD1">
        <w:t>The care finder program offers tailored, intensive support to people who have one or more reasons for requiring assistance to interact with My Aged Care and access aged care services and other relevant community supports.</w:t>
      </w:r>
    </w:p>
    <w:p w14:paraId="3B86441E" w14:textId="77777777" w:rsidR="004D556D" w:rsidRPr="000F6CD1" w:rsidRDefault="004D556D" w:rsidP="00A677C9">
      <w:pPr>
        <w:spacing w:before="240" w:after="240" w:line="240" w:lineRule="auto"/>
      </w:pPr>
      <w:r w:rsidRPr="000F6CD1">
        <w:t>Care finders help vulnerable older people understand and access aged care and connect with other relevant supports in their community. This includes people who are, or are not yet, receiving aged care services or other relevant supports.</w:t>
      </w:r>
    </w:p>
    <w:p w14:paraId="28F01342" w14:textId="77777777" w:rsidR="004D556D" w:rsidRPr="000F6CD1" w:rsidRDefault="004D556D" w:rsidP="00A677C9">
      <w:pPr>
        <w:spacing w:before="240" w:after="240" w:line="240" w:lineRule="auto"/>
      </w:pPr>
      <w:r w:rsidRPr="000F6CD1">
        <w:t>Care finders support people who don’t have family, friends, a carer or any other person they are comfortable receiving help from and who is willing and able to help them access aged care services and supports.</w:t>
      </w:r>
      <w:r w:rsidRPr="000F6CD1">
        <w:rPr>
          <w:sz w:val="18"/>
          <w:szCs w:val="18"/>
        </w:rPr>
        <w:t xml:space="preserve"> </w:t>
      </w:r>
      <w:r w:rsidRPr="000F6CD1">
        <w:t>Care finders conduct outreach and then register the older person through the My Aged Care contact centre.</w:t>
      </w:r>
    </w:p>
    <w:p w14:paraId="1D1F9515" w14:textId="77777777" w:rsidR="004D556D" w:rsidRPr="000F6CD1" w:rsidRDefault="004D556D" w:rsidP="00A677C9">
      <w:pPr>
        <w:spacing w:before="240" w:after="240" w:line="240" w:lineRule="auto"/>
        <w:rPr>
          <w:color w:val="313131"/>
          <w:shd w:val="clear" w:color="auto" w:fill="FFFFFF"/>
        </w:rPr>
      </w:pPr>
      <w:r w:rsidRPr="000F6CD1">
        <w:t>Primary Health Networks (PHNs) are responsible for commissioning and managing care finder services, leveraging their commissioning expertise and in-depth understanding of local community needs.</w:t>
      </w:r>
    </w:p>
    <w:p w14:paraId="5FA712C1" w14:textId="77777777" w:rsidR="004D556D" w:rsidRPr="000F6CD1" w:rsidRDefault="004D556D" w:rsidP="00A677C9">
      <w:pPr>
        <w:spacing w:before="240" w:after="240" w:line="240" w:lineRule="auto"/>
        <w:rPr>
          <w:shd w:val="clear" w:color="auto" w:fill="FFFFFF"/>
        </w:rPr>
      </w:pPr>
      <w:r w:rsidRPr="000F6CD1">
        <w:rPr>
          <w:shd w:val="clear" w:color="auto" w:fill="FFFFFF"/>
        </w:rPr>
        <w:t xml:space="preserve">Contact information for care finder services in each region is on the My Aged Care website at </w:t>
      </w:r>
      <w:hyperlink r:id="rId229" w:history="1">
        <w:r w:rsidRPr="000F6CD1">
          <w:rPr>
            <w:rStyle w:val="Hyperlink"/>
            <w:shd w:val="clear" w:color="auto" w:fill="FFFFFF"/>
          </w:rPr>
          <w:t>Help from a care finder</w:t>
        </w:r>
      </w:hyperlink>
      <w:r w:rsidRPr="000F6CD1">
        <w:rPr>
          <w:shd w:val="clear" w:color="auto" w:fill="FFFFFF"/>
        </w:rPr>
        <w:t xml:space="preserve">. </w:t>
      </w:r>
    </w:p>
    <w:tbl>
      <w:tblPr>
        <w:tblStyle w:val="TableGrid"/>
        <w:tblW w:w="0" w:type="auto"/>
        <w:tblLook w:val="04A0" w:firstRow="1" w:lastRow="0" w:firstColumn="1" w:lastColumn="0" w:noHBand="0" w:noVBand="1"/>
      </w:tblPr>
      <w:tblGrid>
        <w:gridCol w:w="846"/>
        <w:gridCol w:w="8170"/>
      </w:tblGrid>
      <w:tr w:rsidR="004D556D" w:rsidRPr="000F6CD1" w14:paraId="4D2948D6" w14:textId="77777777">
        <w:tc>
          <w:tcPr>
            <w:tcW w:w="846" w:type="dxa"/>
            <w:vAlign w:val="center"/>
          </w:tcPr>
          <w:p w14:paraId="278764EF" w14:textId="77777777" w:rsidR="004D556D" w:rsidRPr="000F6CD1" w:rsidRDefault="004D556D" w:rsidP="00A677C9">
            <w:pPr>
              <w:pStyle w:val="NormalText"/>
              <w:spacing w:before="240" w:after="240" w:line="240" w:lineRule="auto"/>
              <w:rPr>
                <w:rFonts w:eastAsiaTheme="majorEastAsia" w:cs="Arial"/>
                <w:b/>
                <w:color w:val="1E1444"/>
                <w:shd w:val="clear" w:color="auto" w:fill="auto"/>
                <w:lang w:eastAsia="en-AU"/>
              </w:rPr>
            </w:pPr>
            <w:r w:rsidRPr="000F6CD1">
              <w:rPr>
                <w:rFonts w:cs="Arial"/>
                <w:noProof/>
              </w:rPr>
              <w:drawing>
                <wp:inline distT="0" distB="0" distL="0" distR="0" wp14:anchorId="204E50FE" wp14:editId="5D2E8754">
                  <wp:extent cx="383111" cy="381000"/>
                  <wp:effectExtent l="0" t="0" r="0" b="0"/>
                  <wp:docPr id="150681001" name="Picture 15068100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001" name="Picture 150681001"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vAlign w:val="center"/>
          </w:tcPr>
          <w:p w14:paraId="1037F11B" w14:textId="77777777" w:rsidR="004D556D" w:rsidRPr="000F6CD1" w:rsidRDefault="004D556D" w:rsidP="00A677C9">
            <w:pPr>
              <w:spacing w:before="240" w:after="240"/>
              <w:rPr>
                <w:bCs/>
              </w:rPr>
            </w:pPr>
            <w:hyperlink r:id="rId230" w:history="1">
              <w:r w:rsidRPr="000F6CD1">
                <w:rPr>
                  <w:rStyle w:val="Hyperlink"/>
                  <w:bCs/>
                  <w:shd w:val="clear" w:color="auto" w:fill="FFFFFF"/>
                </w:rPr>
                <w:t>Care finder program</w:t>
              </w:r>
            </w:hyperlink>
          </w:p>
        </w:tc>
      </w:tr>
      <w:bookmarkEnd w:id="553"/>
    </w:tbl>
    <w:p w14:paraId="43DC2424" w14:textId="77777777" w:rsidR="004D556D" w:rsidRPr="000F6CD1" w:rsidRDefault="004D556D" w:rsidP="00960A13">
      <w:pPr>
        <w:sectPr w:rsidR="004D556D" w:rsidRPr="000F6CD1" w:rsidSect="004D556D">
          <w:headerReference w:type="even" r:id="rId231"/>
          <w:headerReference w:type="default" r:id="rId232"/>
          <w:footerReference w:type="even" r:id="rId233"/>
          <w:footerReference w:type="default" r:id="rId234"/>
          <w:headerReference w:type="first" r:id="rId235"/>
          <w:footerReference w:type="first" r:id="rId236"/>
          <w:pgSz w:w="11906" w:h="16838"/>
          <w:pgMar w:top="1440" w:right="1440" w:bottom="1440" w:left="1440" w:header="708" w:footer="708" w:gutter="0"/>
          <w:cols w:space="708"/>
          <w:docGrid w:linePitch="360"/>
        </w:sectPr>
      </w:pPr>
    </w:p>
    <w:p w14:paraId="6F635038" w14:textId="77777777" w:rsidR="004D556D" w:rsidRPr="000F6CD1" w:rsidRDefault="004D556D" w:rsidP="00960A13"/>
    <w:p w14:paraId="500957B3" w14:textId="77777777" w:rsidR="004D556D" w:rsidRPr="000F6CD1" w:rsidRDefault="004D556D" w:rsidP="00AC3600">
      <w:pPr>
        <w:pStyle w:val="H1"/>
      </w:pPr>
      <w:bookmarkStart w:id="580" w:name="_Toc198813691"/>
      <w:bookmarkStart w:id="581" w:name="_Toc204329576"/>
      <w:bookmarkStart w:id="582" w:name="_Toc209189007"/>
      <w:bookmarkStart w:id="583" w:name="_Ref212733238"/>
      <w:bookmarkStart w:id="584" w:name="_Ref212734971"/>
      <w:bookmarkStart w:id="585" w:name="_Ref212734996"/>
      <w:bookmarkStart w:id="586" w:name="_Ref212735019"/>
      <w:bookmarkStart w:id="587" w:name="_Ref212735138"/>
      <w:bookmarkStart w:id="588" w:name="_Ref212735789"/>
      <w:bookmarkStart w:id="589" w:name="_Ref212738728"/>
      <w:bookmarkStart w:id="590" w:name="_Ref212739254"/>
      <w:bookmarkStart w:id="591" w:name="_Ref232589765"/>
      <w:bookmarkStart w:id="592" w:name="_Ref232589880"/>
      <w:bookmarkStart w:id="593" w:name="_Ref232589914"/>
      <w:bookmarkStart w:id="594" w:name="_Ref232590039"/>
      <w:bookmarkStart w:id="595" w:name="_Ref232591327"/>
      <w:bookmarkStart w:id="596" w:name="_Toc233282466"/>
      <w:r w:rsidRPr="000F6CD1">
        <w:t xml:space="preserve">Chapter 7: </w:t>
      </w:r>
      <w:bookmarkEnd w:id="580"/>
      <w:bookmarkEnd w:id="581"/>
      <w:r w:rsidRPr="000F6CD1">
        <w:t>Delegations and approvals under the Act</w:t>
      </w:r>
      <w:bookmarkStart w:id="597" w:name="Ch6_AssessmentOutcome"/>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blLook w:val="04A0" w:firstRow="1" w:lastRow="0" w:firstColumn="1" w:lastColumn="0" w:noHBand="0" w:noVBand="1"/>
      </w:tblPr>
      <w:tblGrid>
        <w:gridCol w:w="8992"/>
      </w:tblGrid>
      <w:tr w:rsidR="004D556D" w:rsidRPr="000F6CD1" w14:paraId="5652C5D6" w14:textId="77777777" w:rsidTr="00097F05">
        <w:trPr>
          <w:trHeight w:val="2571"/>
        </w:trPr>
        <w:tc>
          <w:tcPr>
            <w:tcW w:w="8992" w:type="dxa"/>
            <w:shd w:val="clear" w:color="auto" w:fill="F2F2F2"/>
          </w:tcPr>
          <w:p w14:paraId="1176427A" w14:textId="77777777" w:rsidR="004D556D" w:rsidRPr="000F6CD1" w:rsidRDefault="004D556D" w:rsidP="00380A8B">
            <w:pPr>
              <w:rPr>
                <w:b/>
                <w:color w:val="358189"/>
                <w:sz w:val="36"/>
                <w:szCs w:val="36"/>
              </w:rPr>
            </w:pPr>
            <w:bookmarkStart w:id="598" w:name="_Toc198813692"/>
            <w:bookmarkStart w:id="599" w:name="_Toc204329577"/>
            <w:bookmarkStart w:id="600" w:name="_Toc209189008"/>
            <w:bookmarkEnd w:id="597"/>
            <w:r w:rsidRPr="000F6CD1">
              <w:rPr>
                <w:b/>
                <w:color w:val="358189"/>
                <w:sz w:val="36"/>
                <w:szCs w:val="36"/>
              </w:rPr>
              <w:t>What you’ll find in this chapter</w:t>
            </w:r>
            <w:bookmarkEnd w:id="598"/>
            <w:bookmarkEnd w:id="599"/>
            <w:bookmarkEnd w:id="600"/>
            <w:r w:rsidRPr="000F6CD1">
              <w:rPr>
                <w:b/>
                <w:color w:val="358189"/>
                <w:sz w:val="36"/>
                <w:szCs w:val="36"/>
              </w:rPr>
              <w:t xml:space="preserve"> </w:t>
            </w:r>
          </w:p>
          <w:p w14:paraId="00E0EAA3" w14:textId="77777777" w:rsidR="004D556D" w:rsidRPr="000F6CD1" w:rsidRDefault="004D556D" w:rsidP="00622CFF">
            <w:pPr>
              <w:spacing w:before="240" w:after="240"/>
              <w:rPr>
                <w:rFonts w:eastAsia="Yu Gothic Light"/>
              </w:rPr>
            </w:pPr>
            <w:r w:rsidRPr="000F6CD1">
              <w:rPr>
                <w:rFonts w:eastAsia="Yu Gothic Light"/>
              </w:rPr>
              <w:t>This chapter includes information about:</w:t>
            </w:r>
          </w:p>
          <w:p w14:paraId="4F96180D" w14:textId="77777777" w:rsidR="004D556D" w:rsidRPr="000F6CD1" w:rsidRDefault="004D556D">
            <w:pPr>
              <w:numPr>
                <w:ilvl w:val="0"/>
                <w:numId w:val="35"/>
              </w:numPr>
              <w:spacing w:before="240" w:after="240"/>
              <w:contextualSpacing/>
              <w:rPr>
                <w:rFonts w:eastAsia="Yu Gothic Light"/>
              </w:rPr>
            </w:pPr>
            <w:r w:rsidRPr="000F6CD1">
              <w:rPr>
                <w:rFonts w:eastAsia="Yu Gothic Light"/>
              </w:rPr>
              <w:t xml:space="preserve">the powers under the </w:t>
            </w:r>
            <w:r w:rsidRPr="000F6CD1">
              <w:rPr>
                <w:rFonts w:eastAsia="Yu Gothic Light"/>
                <w:i/>
              </w:rPr>
              <w:t>Aged Care Act 2024</w:t>
            </w:r>
            <w:r w:rsidRPr="000F6CD1">
              <w:rPr>
                <w:rFonts w:eastAsia="Yu Gothic Light"/>
                <w:iCs/>
              </w:rPr>
              <w:t xml:space="preserve"> that are delegated </w:t>
            </w:r>
            <w:r w:rsidRPr="000F6CD1">
              <w:rPr>
                <w:rFonts w:eastAsia="Yu Gothic Light"/>
              </w:rPr>
              <w:t xml:space="preserve">to triage delegates and clinical and non-Clinical assessment delegates. </w:t>
            </w:r>
          </w:p>
          <w:p w14:paraId="4C258456" w14:textId="77777777" w:rsidR="004D556D" w:rsidRPr="000F6CD1" w:rsidRDefault="004D556D">
            <w:pPr>
              <w:numPr>
                <w:ilvl w:val="0"/>
                <w:numId w:val="35"/>
              </w:numPr>
              <w:spacing w:before="240" w:after="240"/>
              <w:contextualSpacing/>
              <w:rPr>
                <w:rFonts w:eastAsia="Yu Gothic Light"/>
              </w:rPr>
            </w:pPr>
            <w:r w:rsidRPr="000F6CD1">
              <w:rPr>
                <w:rFonts w:eastAsia="Yu Gothic Light"/>
              </w:rPr>
              <w:t xml:space="preserve">how approvals work under the </w:t>
            </w:r>
            <w:r w:rsidRPr="000F6CD1">
              <w:rPr>
                <w:rFonts w:eastAsia="Yu Gothic Light"/>
                <w:i/>
                <w:iCs/>
              </w:rPr>
              <w:t xml:space="preserve">Aged Care Act </w:t>
            </w:r>
            <w:r w:rsidRPr="000F6CD1">
              <w:rPr>
                <w:rFonts w:eastAsia="Yu Gothic Light"/>
              </w:rPr>
              <w:t>2024, and the decisions that delegates make.</w:t>
            </w:r>
          </w:p>
        </w:tc>
      </w:tr>
    </w:tbl>
    <w:p w14:paraId="407C807A" w14:textId="77777777" w:rsidR="004D556D" w:rsidRPr="000F6CD1" w:rsidRDefault="004D556D" w:rsidP="006647CE">
      <w:pPr>
        <w:pStyle w:val="h2"/>
        <w:rPr>
          <w:i/>
        </w:rPr>
      </w:pPr>
      <w:bookmarkStart w:id="601" w:name="_Toc204329578"/>
      <w:bookmarkStart w:id="602" w:name="_Toc209189009"/>
      <w:bookmarkStart w:id="603" w:name="_Toc233282467"/>
      <w:bookmarkStart w:id="604" w:name="_Toc198813693"/>
      <w:r w:rsidRPr="000F6CD1">
        <w:t xml:space="preserve">Delegation of powers and functions under the </w:t>
      </w:r>
      <w:bookmarkEnd w:id="601"/>
      <w:r w:rsidRPr="000F6CD1">
        <w:rPr>
          <w:i/>
        </w:rPr>
        <w:t>Aged Care Act 2024</w:t>
      </w:r>
      <w:bookmarkEnd w:id="602"/>
      <w:bookmarkEnd w:id="603"/>
    </w:p>
    <w:p w14:paraId="0359AB14" w14:textId="77777777" w:rsidR="004D556D" w:rsidRPr="000F6CD1" w:rsidRDefault="004D556D" w:rsidP="00622CFF">
      <w:pPr>
        <w:spacing w:before="240" w:after="240" w:line="240" w:lineRule="auto"/>
        <w:rPr>
          <w:rFonts w:eastAsia="Yu Gothic Light"/>
        </w:rPr>
      </w:pPr>
      <w:r w:rsidRPr="000F6CD1">
        <w:rPr>
          <w:rFonts w:eastAsia="Yu Gothic Light"/>
        </w:rPr>
        <w:t xml:space="preserve">Under section 339 of the </w:t>
      </w:r>
      <w:r w:rsidRPr="000F6CD1">
        <w:rPr>
          <w:rFonts w:eastAsia="Yu Gothic Light"/>
          <w:i/>
        </w:rPr>
        <w:t xml:space="preserve">Aged Care Act 2024 </w:t>
      </w:r>
      <w:r w:rsidRPr="000F6CD1">
        <w:rPr>
          <w:rFonts w:eastAsia="Yu Gothic Light"/>
        </w:rPr>
        <w:t>(the Act)</w:t>
      </w:r>
      <w:r w:rsidRPr="000F6CD1">
        <w:rPr>
          <w:rFonts w:eastAsia="Yu Gothic Light"/>
          <w:iCs/>
        </w:rPr>
        <w:t xml:space="preserve">, </w:t>
      </w:r>
      <w:r w:rsidRPr="000F6CD1">
        <w:rPr>
          <w:rFonts w:eastAsia="Yu Gothic Light"/>
        </w:rPr>
        <w:t xml:space="preserve">the System Governor plays a key role in the governance of the aged care system responsible for facilitating equitable access to funded aged care services. Section 7 of the </w:t>
      </w:r>
      <w:r w:rsidRPr="000F6CD1">
        <w:rPr>
          <w:rFonts w:eastAsia="Yu Gothic Light"/>
          <w:iCs/>
        </w:rPr>
        <w:t>Act</w:t>
      </w:r>
      <w:r w:rsidRPr="000F6CD1">
        <w:rPr>
          <w:rFonts w:eastAsia="Yu Gothic Light"/>
        </w:rPr>
        <w:t xml:space="preserve"> specifies the position of the System Governor is occupied by the Secretary of the Department of Health, Disability and Ageing. </w:t>
      </w:r>
    </w:p>
    <w:p w14:paraId="2204E12E"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System Governor has the power under section 567 of the Act to delegate their functions and powers to others who may exercise them on their behalf. The Instrument of Delegation outlines the specific functions, powers and responsibilities of the System Governor which are delegated to certain positions within assessment organisations. Staff who occupy these positions are considered delegates and will continue to be nominated through the on/off delegate form. </w:t>
      </w:r>
    </w:p>
    <w:p w14:paraId="303F5D0E" w14:textId="77777777" w:rsidR="004D556D" w:rsidRPr="000F6CD1" w:rsidRDefault="004D556D" w:rsidP="00622CFF">
      <w:pPr>
        <w:spacing w:before="240" w:after="240" w:line="240" w:lineRule="auto"/>
        <w:rPr>
          <w:rFonts w:eastAsia="Yu Gothic Light"/>
        </w:rPr>
      </w:pPr>
      <w:r w:rsidRPr="000F6CD1">
        <w:rPr>
          <w:rFonts w:eastAsia="Yu Gothic Light"/>
        </w:rPr>
        <w:t>Delegations are tied to the position, not to the individual. This means that the powers and functions stay with the role, and any qualified person who has been approved to hold the position can exercise these powers. The Instrument of Delegation outlines which positions within each assessment organisation can hold these responsibilities.</w:t>
      </w:r>
    </w:p>
    <w:p w14:paraId="09E1B689" w14:textId="21570DFD" w:rsidR="004D556D" w:rsidRPr="000F6CD1" w:rsidRDefault="004D556D" w:rsidP="00622CFF">
      <w:pPr>
        <w:spacing w:before="240" w:after="240" w:line="240" w:lineRule="auto"/>
        <w:rPr>
          <w:rFonts w:eastAsia="Yu Gothic Light"/>
        </w:rPr>
      </w:pPr>
      <w:r w:rsidRPr="000F6CD1">
        <w:rPr>
          <w:rFonts w:eastAsia="Yu Gothic Light"/>
        </w:rPr>
        <w:t xml:space="preserve">These delegations operate within the Single Assessment </w:t>
      </w:r>
      <w:r w:rsidR="00F50C9E" w:rsidRPr="000F6CD1">
        <w:rPr>
          <w:rFonts w:eastAsia="Yu Gothic Light"/>
        </w:rPr>
        <w:t>System,</w:t>
      </w:r>
      <w:r w:rsidRPr="000F6CD1">
        <w:rPr>
          <w:rFonts w:eastAsia="Yu Gothic Light"/>
        </w:rPr>
        <w:t xml:space="preserve"> and delegates must comply with Commonwealth guidelines, and any directions issued by the Secretary. This ensures that the delegation framework remains in line with current policies and standards.</w:t>
      </w:r>
    </w:p>
    <w:p w14:paraId="33244E15" w14:textId="77777777" w:rsidR="004D556D" w:rsidRPr="000F6CD1" w:rsidRDefault="004D556D" w:rsidP="006647CE">
      <w:pPr>
        <w:pStyle w:val="h2"/>
        <w:rPr>
          <w:rFonts w:eastAsia="Yu Gothic Light"/>
        </w:rPr>
      </w:pPr>
      <w:bookmarkStart w:id="605" w:name="_Toc209189010"/>
      <w:bookmarkStart w:id="606" w:name="_Toc233282468"/>
      <w:r w:rsidRPr="000F6CD1">
        <w:t>Delegate responsibility</w:t>
      </w:r>
      <w:bookmarkEnd w:id="605"/>
      <w:bookmarkEnd w:id="606"/>
    </w:p>
    <w:p w14:paraId="12D44AD5" w14:textId="77777777" w:rsidR="004D556D" w:rsidRPr="000F6CD1" w:rsidRDefault="004D556D" w:rsidP="00622CFF">
      <w:pPr>
        <w:spacing w:before="240" w:after="240" w:line="240" w:lineRule="auto"/>
        <w:rPr>
          <w:rFonts w:eastAsia="Yu Gothic Light"/>
        </w:rPr>
      </w:pPr>
      <w:r w:rsidRPr="000F6CD1">
        <w:rPr>
          <w:rFonts w:eastAsia="Yu Gothic Light"/>
        </w:rPr>
        <w:t>The role of the delegate is that of a primary decision-maker within a structured legal system. This means delegate decisions must be based on</w:t>
      </w:r>
      <w:r w:rsidRPr="000F6CD1">
        <w:rPr>
          <w:rFonts w:eastAsia="Yu Gothic Light" w:hint="eastAsia"/>
        </w:rPr>
        <w:t> </w:t>
      </w:r>
      <w:r w:rsidRPr="000F6CD1">
        <w:rPr>
          <w:rFonts w:eastAsia="Yu Gothic Light"/>
        </w:rPr>
        <w:t>the legal requirements, facts, evidence, and clear reasoning</w:t>
      </w:r>
      <w:r w:rsidRPr="000F6CD1">
        <w:rPr>
          <w:rFonts w:eastAsia="Yu Gothic Light"/>
          <w:bCs/>
        </w:rPr>
        <w:t xml:space="preserve">. </w:t>
      </w:r>
      <w:r w:rsidRPr="000F6CD1">
        <w:rPr>
          <w:rFonts w:eastAsia="Yu Gothic Light"/>
        </w:rPr>
        <w:t>Understanding the legal framework and decision-making requirements is essential to making sound, defensible judgments.</w:t>
      </w:r>
    </w:p>
    <w:p w14:paraId="754780A0" w14:textId="77777777" w:rsidR="004D556D" w:rsidRPr="000F6CD1" w:rsidRDefault="004D556D" w:rsidP="00622CFF">
      <w:pPr>
        <w:spacing w:before="240" w:after="240" w:line="240" w:lineRule="auto"/>
        <w:rPr>
          <w:rFonts w:eastAsia="Yu Gothic Light"/>
        </w:rPr>
      </w:pPr>
      <w:r w:rsidRPr="000F6CD1">
        <w:rPr>
          <w:rFonts w:eastAsia="Yu Gothic Light"/>
        </w:rPr>
        <w:t>The Single Assessment System relies on delegates to fulfil their role efficiently and effectively. Delegate decisions ensure that due process is followed and that eligible clients receive the care and support they need.</w:t>
      </w:r>
    </w:p>
    <w:p w14:paraId="531E839E"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Decisions made by assessment delegates may be subject to</w:t>
      </w:r>
      <w:r w:rsidRPr="000F6CD1">
        <w:rPr>
          <w:rFonts w:eastAsia="Yu Gothic Light" w:hint="eastAsia"/>
        </w:rPr>
        <w:t> </w:t>
      </w:r>
      <w:r w:rsidRPr="000F6CD1">
        <w:rPr>
          <w:rFonts w:eastAsia="Yu Gothic Light"/>
        </w:rPr>
        <w:t>review</w:t>
      </w:r>
      <w:r w:rsidRPr="000F6CD1">
        <w:rPr>
          <w:rFonts w:eastAsia="Yu Gothic Light" w:hint="eastAsia"/>
          <w:bCs/>
        </w:rPr>
        <w:t> </w:t>
      </w:r>
      <w:r w:rsidRPr="000F6CD1">
        <w:rPr>
          <w:rFonts w:eastAsia="Yu Gothic Light"/>
        </w:rPr>
        <w:t>in various contexts. This could include reconsideration requests or formal reviews by bodies such as the</w:t>
      </w:r>
      <w:r w:rsidRPr="000F6CD1">
        <w:rPr>
          <w:rFonts w:eastAsia="Yu Gothic Light" w:hint="eastAsia"/>
        </w:rPr>
        <w:t> </w:t>
      </w:r>
      <w:r w:rsidRPr="000F6CD1">
        <w:rPr>
          <w:rFonts w:eastAsia="Yu Gothic Light"/>
        </w:rPr>
        <w:t>Administrative Review Tribunal (ART)</w:t>
      </w:r>
      <w:r w:rsidRPr="000F6CD1">
        <w:rPr>
          <w:rFonts w:eastAsia="Yu Gothic Light"/>
          <w:bCs/>
        </w:rPr>
        <w:t>.</w:t>
      </w:r>
    </w:p>
    <w:p w14:paraId="54AC2A3A" w14:textId="77777777" w:rsidR="004D556D" w:rsidRPr="000F6CD1" w:rsidRDefault="004D556D" w:rsidP="00622CFF">
      <w:pPr>
        <w:spacing w:before="240" w:after="240" w:line="240" w:lineRule="auto"/>
        <w:rPr>
          <w:rFonts w:eastAsia="Yu Gothic Light"/>
        </w:rPr>
      </w:pPr>
      <w:r w:rsidRPr="000F6CD1">
        <w:rPr>
          <w:rFonts w:eastAsia="Yu Gothic Light"/>
        </w:rPr>
        <w:t>As a result, it is important that delegates maintain accurate, complete records and clear justifications for every decision they make.</w:t>
      </w:r>
    </w:p>
    <w:p w14:paraId="6BDCC723" w14:textId="77777777" w:rsidR="004D556D" w:rsidRPr="000F6CD1" w:rsidRDefault="004D556D" w:rsidP="00622CFF">
      <w:pPr>
        <w:spacing w:before="240" w:after="240" w:line="240" w:lineRule="auto"/>
        <w:rPr>
          <w:rFonts w:eastAsia="Yu Gothic Light"/>
        </w:rPr>
      </w:pPr>
      <w:r w:rsidRPr="000F6CD1">
        <w:rPr>
          <w:rFonts w:eastAsia="Yu Gothic Light"/>
        </w:rPr>
        <w:t xml:space="preserve">There are three delegate positions which sit within assessment organisations: </w:t>
      </w:r>
    </w:p>
    <w:p w14:paraId="0FD08247" w14:textId="77777777" w:rsidR="004D556D" w:rsidRPr="000F6CD1" w:rsidRDefault="004D556D" w:rsidP="00DF3F6B">
      <w:pPr>
        <w:numPr>
          <w:ilvl w:val="0"/>
          <w:numId w:val="211"/>
        </w:numPr>
        <w:spacing w:before="240" w:after="240" w:line="240" w:lineRule="auto"/>
        <w:contextualSpacing/>
        <w:rPr>
          <w:rFonts w:eastAsia="Yu Gothic Light"/>
        </w:rPr>
      </w:pPr>
      <w:r w:rsidRPr="000F6CD1">
        <w:rPr>
          <w:rFonts w:eastAsia="Yu Gothic Light"/>
        </w:rPr>
        <w:t>Triage delegates</w:t>
      </w:r>
    </w:p>
    <w:p w14:paraId="4D229B4F" w14:textId="77777777" w:rsidR="004D556D" w:rsidRPr="000F6CD1" w:rsidRDefault="004D556D" w:rsidP="00DF3F6B">
      <w:pPr>
        <w:numPr>
          <w:ilvl w:val="0"/>
          <w:numId w:val="211"/>
        </w:numPr>
        <w:spacing w:before="240" w:after="240" w:line="240" w:lineRule="auto"/>
        <w:contextualSpacing/>
        <w:rPr>
          <w:rFonts w:eastAsia="Yu Gothic Light"/>
        </w:rPr>
      </w:pPr>
      <w:r w:rsidRPr="000F6CD1">
        <w:rPr>
          <w:rFonts w:eastAsia="Yu Gothic Light"/>
        </w:rPr>
        <w:t>Clinical assessment delegates</w:t>
      </w:r>
    </w:p>
    <w:p w14:paraId="43AD0469" w14:textId="77777777" w:rsidR="004D556D" w:rsidRPr="000F6CD1" w:rsidRDefault="004D556D" w:rsidP="00DF3F6B">
      <w:pPr>
        <w:numPr>
          <w:ilvl w:val="0"/>
          <w:numId w:val="211"/>
        </w:numPr>
        <w:spacing w:before="240" w:after="240" w:line="240" w:lineRule="auto"/>
        <w:contextualSpacing/>
        <w:rPr>
          <w:rFonts w:eastAsia="Yu Gothic Light"/>
        </w:rPr>
      </w:pPr>
      <w:r w:rsidRPr="000F6CD1">
        <w:rPr>
          <w:rFonts w:eastAsia="Yu Gothic Light"/>
        </w:rPr>
        <w:t>Non-clinical assessment delegates</w:t>
      </w:r>
    </w:p>
    <w:p w14:paraId="5F8EFA66" w14:textId="77777777" w:rsidR="004D556D" w:rsidRPr="000F6CD1" w:rsidRDefault="004D556D" w:rsidP="00622CFF">
      <w:pPr>
        <w:spacing w:before="240" w:after="240" w:line="240" w:lineRule="auto"/>
        <w:ind w:left="720"/>
        <w:contextualSpacing/>
        <w:rPr>
          <w:rFonts w:eastAsia="Yu Gothic Light"/>
        </w:rPr>
      </w:pPr>
    </w:p>
    <w:p w14:paraId="0B28F51F" w14:textId="2B9E04B4" w:rsidR="004D556D" w:rsidRPr="000F6CD1" w:rsidRDefault="004D556D" w:rsidP="00622CFF">
      <w:pPr>
        <w:spacing w:before="240" w:after="240" w:line="240" w:lineRule="auto"/>
        <w:rPr>
          <w:rFonts w:eastAsia="Yu Gothic Light"/>
        </w:rPr>
      </w:pPr>
      <w:r w:rsidRPr="000F6CD1">
        <w:rPr>
          <w:rFonts w:eastAsia="Yu Gothic Light"/>
        </w:rPr>
        <w:t xml:space="preserve">Under the </w:t>
      </w:r>
      <w:r w:rsidRPr="000F6CD1">
        <w:rPr>
          <w:rFonts w:eastAsia="Yu Gothic Light"/>
          <w:i/>
        </w:rPr>
        <w:t>Aged Care Act 2024</w:t>
      </w:r>
      <w:r w:rsidRPr="000F6CD1">
        <w:rPr>
          <w:rFonts w:eastAsia="Yu Gothic Light"/>
        </w:rPr>
        <w:t xml:space="preserve">, these delegate positions will be involved in certain assessment related activities outlined in the table below. </w:t>
      </w:r>
    </w:p>
    <w:p w14:paraId="3D50667A" w14:textId="77777777" w:rsidR="004D556D" w:rsidRPr="000F6CD1" w:rsidRDefault="004D556D" w:rsidP="00622CFF">
      <w:pPr>
        <w:pStyle w:val="Caption"/>
        <w:spacing w:before="240" w:after="240"/>
        <w:rPr>
          <w:rFonts w:eastAsia="Yu Gothic Light"/>
        </w:rPr>
      </w:pPr>
      <w:r w:rsidRPr="000F6CD1">
        <w:rPr>
          <w:rFonts w:eastAsia="Yu Gothic Light"/>
        </w:rPr>
        <w:t xml:space="preserve">Table 33. Assessment related activities of delegate positions </w:t>
      </w:r>
    </w:p>
    <w:tbl>
      <w:tblPr>
        <w:tblStyle w:val="TableGrid"/>
        <w:tblW w:w="0" w:type="auto"/>
        <w:tblBorders>
          <w:bottom w:val="single" w:sz="4" w:space="0" w:color="auto"/>
          <w:insideH w:val="single" w:sz="4" w:space="0" w:color="auto"/>
        </w:tblBorders>
        <w:tblLook w:val="04A0" w:firstRow="1" w:lastRow="0" w:firstColumn="1" w:lastColumn="0" w:noHBand="0" w:noVBand="1"/>
        <w:tblCaption w:val="Assessment related activities of delegate positions"/>
        <w:tblDescription w:val="The table provides an overview of assessment related activities of delegate positions"/>
      </w:tblPr>
      <w:tblGrid>
        <w:gridCol w:w="2972"/>
        <w:gridCol w:w="6044"/>
      </w:tblGrid>
      <w:tr w:rsidR="004D556D" w:rsidRPr="000F6CD1" w14:paraId="524EE6C3" w14:textId="77777777">
        <w:trPr>
          <w:trHeight w:val="300"/>
          <w:tblHeader/>
        </w:trPr>
        <w:tc>
          <w:tcPr>
            <w:tcW w:w="2972" w:type="dxa"/>
            <w:shd w:val="clear" w:color="auto" w:fill="153A6E"/>
          </w:tcPr>
          <w:p w14:paraId="50782359" w14:textId="77777777" w:rsidR="004D556D" w:rsidRPr="000F6CD1" w:rsidRDefault="004D556D" w:rsidP="00622CFF">
            <w:pPr>
              <w:spacing w:before="240" w:after="240"/>
              <w:rPr>
                <w:rFonts w:eastAsia="Yu Gothic Light"/>
                <w:b/>
              </w:rPr>
            </w:pPr>
            <w:r w:rsidRPr="000F6CD1">
              <w:rPr>
                <w:rFonts w:eastAsia="Yu Gothic Light"/>
                <w:b/>
              </w:rPr>
              <w:t>Delegate position</w:t>
            </w:r>
          </w:p>
        </w:tc>
        <w:tc>
          <w:tcPr>
            <w:tcW w:w="6044" w:type="dxa"/>
            <w:shd w:val="clear" w:color="auto" w:fill="153A6E"/>
          </w:tcPr>
          <w:p w14:paraId="2BF0DCAF" w14:textId="77777777" w:rsidR="004D556D" w:rsidRPr="000F6CD1" w:rsidRDefault="004D556D" w:rsidP="00622CFF">
            <w:pPr>
              <w:spacing w:before="240" w:after="240"/>
              <w:rPr>
                <w:rFonts w:eastAsia="Yu Gothic Light"/>
                <w:b/>
              </w:rPr>
            </w:pPr>
            <w:r w:rsidRPr="000F6CD1">
              <w:rPr>
                <w:rFonts w:eastAsia="Yu Gothic Light"/>
                <w:b/>
              </w:rPr>
              <w:t>Delegate</w:t>
            </w:r>
            <w:r w:rsidRPr="000F6CD1" w:rsidDel="00D94B6E">
              <w:rPr>
                <w:rFonts w:eastAsia="Yu Gothic Light"/>
                <w:b/>
              </w:rPr>
              <w:t xml:space="preserve"> </w:t>
            </w:r>
            <w:r w:rsidRPr="000F6CD1">
              <w:rPr>
                <w:rFonts w:eastAsia="Yu Gothic Light"/>
                <w:b/>
              </w:rPr>
              <w:t xml:space="preserve">activity </w:t>
            </w:r>
          </w:p>
        </w:tc>
      </w:tr>
      <w:tr w:rsidR="004D556D" w:rsidRPr="000F6CD1" w14:paraId="617726C7" w14:textId="77777777">
        <w:trPr>
          <w:trHeight w:val="300"/>
        </w:trPr>
        <w:tc>
          <w:tcPr>
            <w:tcW w:w="2972" w:type="dxa"/>
          </w:tcPr>
          <w:p w14:paraId="37F7A1BB" w14:textId="77777777" w:rsidR="004D556D" w:rsidRPr="000F6CD1" w:rsidRDefault="004D556D" w:rsidP="00622CFF">
            <w:pPr>
              <w:spacing w:before="240" w:after="240"/>
              <w:rPr>
                <w:rFonts w:eastAsia="Yu Gothic Light"/>
              </w:rPr>
            </w:pPr>
            <w:r w:rsidRPr="000F6CD1">
              <w:rPr>
                <w:rFonts w:eastAsia="Yu Gothic Light"/>
              </w:rPr>
              <w:t>Triage Delegates</w:t>
            </w:r>
          </w:p>
        </w:tc>
        <w:tc>
          <w:tcPr>
            <w:tcW w:w="6044" w:type="dxa"/>
          </w:tcPr>
          <w:p w14:paraId="32044313" w14:textId="77777777" w:rsidR="004D556D" w:rsidRPr="000F6CD1" w:rsidRDefault="004D556D">
            <w:pPr>
              <w:numPr>
                <w:ilvl w:val="0"/>
                <w:numId w:val="212"/>
              </w:numPr>
              <w:spacing w:before="240" w:after="240"/>
              <w:contextualSpacing/>
              <w:rPr>
                <w:rFonts w:eastAsia="Yu Gothic Light"/>
              </w:rPr>
            </w:pPr>
            <w:r w:rsidRPr="000F6CD1">
              <w:rPr>
                <w:rFonts w:eastAsia="Yu Gothic Light"/>
              </w:rPr>
              <w:t xml:space="preserve">Consider and determine an older person’s eligibility for an aged care needs assessment or reassessment </w:t>
            </w:r>
          </w:p>
          <w:p w14:paraId="688DF5F5" w14:textId="77777777" w:rsidR="004D556D" w:rsidRPr="000F6CD1" w:rsidRDefault="004D556D">
            <w:pPr>
              <w:numPr>
                <w:ilvl w:val="0"/>
                <w:numId w:val="212"/>
              </w:numPr>
              <w:spacing w:before="240" w:after="240"/>
              <w:contextualSpacing/>
              <w:rPr>
                <w:rFonts w:eastAsia="Yu Gothic Light"/>
              </w:rPr>
            </w:pPr>
            <w:r w:rsidRPr="000F6CD1">
              <w:rPr>
                <w:rFonts w:eastAsia="Yu Gothic Light"/>
              </w:rPr>
              <w:t xml:space="preserve">Determine whether an older person requires a reassessment </w:t>
            </w:r>
          </w:p>
          <w:p w14:paraId="2921B1D7" w14:textId="77777777" w:rsidR="004D556D" w:rsidRPr="000F6CD1" w:rsidRDefault="004D556D">
            <w:pPr>
              <w:numPr>
                <w:ilvl w:val="0"/>
                <w:numId w:val="212"/>
              </w:numPr>
              <w:spacing w:before="240" w:after="240"/>
              <w:contextualSpacing/>
              <w:rPr>
                <w:rFonts w:eastAsia="Yu Gothic Light"/>
              </w:rPr>
            </w:pPr>
            <w:r w:rsidRPr="000F6CD1">
              <w:rPr>
                <w:rFonts w:eastAsia="Yu Gothic Light"/>
              </w:rPr>
              <w:t>Notify an older person of decisions and their right to review</w:t>
            </w:r>
          </w:p>
          <w:p w14:paraId="0CB045EC" w14:textId="77777777" w:rsidR="004D556D" w:rsidRPr="000F6CD1" w:rsidRDefault="004D556D">
            <w:pPr>
              <w:numPr>
                <w:ilvl w:val="0"/>
                <w:numId w:val="212"/>
              </w:numPr>
              <w:spacing w:before="240" w:after="240"/>
              <w:contextualSpacing/>
              <w:rPr>
                <w:rFonts w:eastAsia="Yu Gothic Light"/>
              </w:rPr>
            </w:pPr>
            <w:r w:rsidRPr="000F6CD1">
              <w:rPr>
                <w:rFonts w:eastAsia="Yu Gothic Light"/>
              </w:rPr>
              <w:t>Consider whether the older person requires access to urgent services</w:t>
            </w:r>
          </w:p>
        </w:tc>
      </w:tr>
      <w:tr w:rsidR="004D556D" w:rsidRPr="000F6CD1" w14:paraId="1E4108F1" w14:textId="77777777">
        <w:trPr>
          <w:trHeight w:val="300"/>
        </w:trPr>
        <w:tc>
          <w:tcPr>
            <w:tcW w:w="2972" w:type="dxa"/>
          </w:tcPr>
          <w:p w14:paraId="33179B67" w14:textId="77777777" w:rsidR="004D556D" w:rsidRPr="000F6CD1" w:rsidRDefault="004D556D" w:rsidP="00622CFF">
            <w:pPr>
              <w:spacing w:before="240" w:after="240"/>
              <w:rPr>
                <w:rFonts w:eastAsia="Yu Gothic Light"/>
              </w:rPr>
            </w:pPr>
            <w:r w:rsidRPr="000F6CD1">
              <w:rPr>
                <w:rFonts w:eastAsia="Yu Gothic Light"/>
              </w:rPr>
              <w:t xml:space="preserve">Non-clinical Assessment Delegate </w:t>
            </w:r>
          </w:p>
        </w:tc>
        <w:tc>
          <w:tcPr>
            <w:tcW w:w="6044" w:type="dxa"/>
          </w:tcPr>
          <w:p w14:paraId="2BB1829B"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Approve an older person’s eligibility to access aged care services under the Commonwealth Home Support Program  </w:t>
            </w:r>
          </w:p>
          <w:p w14:paraId="53EC3306"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Limit or vary an older person’s approval for funded aged care services </w:t>
            </w:r>
          </w:p>
          <w:p w14:paraId="276E484B"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Notify an older person of decisions and their right to review</w:t>
            </w:r>
          </w:p>
          <w:p w14:paraId="4CD83A4A" w14:textId="23FCCFD0"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Consider and approve any appropriate changes to an older person’s access approval for services under the CHSP as a result of a support plan review  </w:t>
            </w:r>
          </w:p>
        </w:tc>
      </w:tr>
      <w:tr w:rsidR="004D556D" w:rsidRPr="000F6CD1" w14:paraId="1549EB5D" w14:textId="77777777">
        <w:trPr>
          <w:trHeight w:val="300"/>
        </w:trPr>
        <w:tc>
          <w:tcPr>
            <w:tcW w:w="2972" w:type="dxa"/>
          </w:tcPr>
          <w:p w14:paraId="4000DA25" w14:textId="77777777" w:rsidR="004D556D" w:rsidRPr="000F6CD1" w:rsidRDefault="004D556D" w:rsidP="00622CFF">
            <w:pPr>
              <w:spacing w:before="240" w:after="240"/>
              <w:rPr>
                <w:rFonts w:eastAsia="Yu Gothic Light"/>
              </w:rPr>
            </w:pPr>
            <w:r w:rsidRPr="000F6CD1">
              <w:rPr>
                <w:rFonts w:eastAsia="Yu Gothic Light"/>
              </w:rPr>
              <w:t>Clinical Assessment Delegate</w:t>
            </w:r>
          </w:p>
        </w:tc>
        <w:tc>
          <w:tcPr>
            <w:tcW w:w="6044" w:type="dxa"/>
          </w:tcPr>
          <w:p w14:paraId="7BBD9A0D"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Approve an older person’s eligibility to access funded aged care services, including Urgent services through the CHSP </w:t>
            </w:r>
          </w:p>
          <w:p w14:paraId="33CBD20B"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Limit or varying an older person’s approval for funded aged care services </w:t>
            </w:r>
          </w:p>
          <w:p w14:paraId="2D45CA70"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Approve extensions for transition care and residential respite care services </w:t>
            </w:r>
          </w:p>
          <w:p w14:paraId="6973E761"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Notify an older person of decisions and their right to review</w:t>
            </w:r>
          </w:p>
          <w:p w14:paraId="1E805306"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Consider and approve any appropriate changes to an older person’s access approval for services as a result of a support plan review </w:t>
            </w:r>
          </w:p>
          <w:p w14:paraId="3BFDDE67" w14:textId="77777777" w:rsidR="004D556D" w:rsidRPr="000F6CD1" w:rsidRDefault="004D556D">
            <w:pPr>
              <w:numPr>
                <w:ilvl w:val="0"/>
                <w:numId w:val="213"/>
              </w:numPr>
              <w:spacing w:before="240" w:after="240"/>
              <w:contextualSpacing/>
              <w:rPr>
                <w:rFonts w:eastAsia="Yu Gothic Light"/>
              </w:rPr>
            </w:pPr>
            <w:r w:rsidRPr="000F6CD1">
              <w:rPr>
                <w:rFonts w:eastAsia="Yu Gothic Light"/>
              </w:rPr>
              <w:t xml:space="preserve">Consider and determine the outcome of a classification reassessment </w:t>
            </w:r>
          </w:p>
        </w:tc>
      </w:tr>
    </w:tbl>
    <w:p w14:paraId="4FD70F5F" w14:textId="5C3D3DFC" w:rsidR="004D556D" w:rsidRPr="000F6CD1" w:rsidRDefault="004D556D" w:rsidP="00622CFF">
      <w:pPr>
        <w:spacing w:before="240" w:after="240" w:line="240" w:lineRule="auto"/>
        <w:rPr>
          <w:rFonts w:eastAsia="Yu Gothic Light"/>
        </w:rPr>
      </w:pPr>
    </w:p>
    <w:tbl>
      <w:tblPr>
        <w:tblW w:w="0" w:type="auto"/>
        <w:tblLook w:val="04A0" w:firstRow="1" w:lastRow="0" w:firstColumn="1" w:lastColumn="0" w:noHBand="0" w:noVBand="1"/>
      </w:tblPr>
      <w:tblGrid>
        <w:gridCol w:w="921"/>
        <w:gridCol w:w="8105"/>
      </w:tblGrid>
      <w:tr w:rsidR="004D556D" w:rsidRPr="000F6CD1" w14:paraId="21887265" w14:textId="77777777">
        <w:trPr>
          <w:trHeight w:val="677"/>
        </w:trPr>
        <w:tc>
          <w:tcPr>
            <w:tcW w:w="921" w:type="dxa"/>
          </w:tcPr>
          <w:p w14:paraId="08759F62" w14:textId="77777777" w:rsidR="004D556D" w:rsidRPr="000F6CD1" w:rsidRDefault="004D556D" w:rsidP="00622CFF">
            <w:pPr>
              <w:spacing w:before="240" w:after="240" w:line="240" w:lineRule="auto"/>
              <w:rPr>
                <w:rFonts w:eastAsia="Yu Gothic Light"/>
              </w:rPr>
            </w:pPr>
            <w:r w:rsidRPr="000F6CD1">
              <w:rPr>
                <w:rFonts w:eastAsia="Yu Gothic Light"/>
                <w:noProof/>
              </w:rPr>
              <w:drawing>
                <wp:inline distT="0" distB="0" distL="0" distR="0" wp14:anchorId="670A5C89" wp14:editId="61682D76">
                  <wp:extent cx="447675" cy="445208"/>
                  <wp:effectExtent l="0" t="0" r="0" b="0"/>
                  <wp:docPr id="195464043" name="Picture 19546404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4043" name="Picture 195464043"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23702D59" w14:textId="573FF8EF" w:rsidR="004D556D" w:rsidRPr="000F6CD1" w:rsidRDefault="004D556D" w:rsidP="00622CFF">
            <w:pPr>
              <w:spacing w:before="240" w:after="240" w:line="240" w:lineRule="auto"/>
              <w:rPr>
                <w:rFonts w:eastAsia="Yu Gothic Light"/>
              </w:rPr>
            </w:pPr>
            <w:r w:rsidRPr="000F6CD1">
              <w:rPr>
                <w:rFonts w:eastAsia="Yu Gothic Light"/>
              </w:rPr>
              <w:t xml:space="preserve">For information about how to assign individuals to delegate positions, see </w:t>
            </w:r>
            <w:r w:rsidR="00601774">
              <w:rPr>
                <w:rFonts w:eastAsia="Yu Gothic Light"/>
              </w:rPr>
              <w:fldChar w:fldCharType="begin"/>
            </w:r>
            <w:r w:rsidR="00601774">
              <w:rPr>
                <w:rFonts w:eastAsia="Yu Gothic Light"/>
              </w:rPr>
              <w:instrText xml:space="preserve"> REF _Ref212735882 \h </w:instrText>
            </w:r>
            <w:r w:rsidR="00601774">
              <w:rPr>
                <w:rFonts w:eastAsia="Yu Gothic Light"/>
              </w:rPr>
            </w:r>
            <w:r w:rsidR="00601774">
              <w:rPr>
                <w:rFonts w:eastAsia="Yu Gothic Light"/>
              </w:rPr>
              <w:fldChar w:fldCharType="separate"/>
            </w:r>
            <w:r w:rsidR="004B171E" w:rsidRPr="000F6CD1">
              <w:t>Chapter 13: Operating procedures</w:t>
            </w:r>
            <w:r w:rsidR="00601774">
              <w:rPr>
                <w:rFonts w:eastAsia="Yu Gothic Light"/>
              </w:rPr>
              <w:fldChar w:fldCharType="end"/>
            </w:r>
            <w:r w:rsidR="00601774">
              <w:rPr>
                <w:rFonts w:eastAsia="Yu Gothic Light"/>
              </w:rPr>
              <w:t xml:space="preserve">. </w:t>
            </w:r>
          </w:p>
        </w:tc>
      </w:tr>
    </w:tbl>
    <w:p w14:paraId="0A9955FA" w14:textId="160E054E" w:rsidR="004D556D" w:rsidRPr="000F6CD1" w:rsidRDefault="004D556D" w:rsidP="006647CE">
      <w:pPr>
        <w:pStyle w:val="h2"/>
        <w:rPr>
          <w:rFonts w:eastAsia="Yu Gothic Light"/>
        </w:rPr>
      </w:pPr>
      <w:bookmarkStart w:id="607" w:name="_Toc209189011"/>
      <w:bookmarkStart w:id="608" w:name="_Toc233282469"/>
      <w:bookmarkStart w:id="609" w:name="_Toc204329579"/>
      <w:r w:rsidRPr="000F6CD1">
        <w:t xml:space="preserve">Triage </w:t>
      </w:r>
      <w:bookmarkEnd w:id="607"/>
      <w:r w:rsidRPr="000F6CD1">
        <w:t>delegates</w:t>
      </w:r>
      <w:bookmarkEnd w:id="608"/>
    </w:p>
    <w:p w14:paraId="3783FDA9" w14:textId="3FEF2BAB" w:rsidR="004D556D" w:rsidRPr="000F6CD1" w:rsidRDefault="004D556D" w:rsidP="00622CFF">
      <w:pPr>
        <w:spacing w:before="240" w:after="240" w:line="240" w:lineRule="auto"/>
        <w:rPr>
          <w:rFonts w:eastAsia="Yu Gothic Light"/>
        </w:rPr>
      </w:pPr>
      <w:r w:rsidRPr="000F6CD1">
        <w:rPr>
          <w:rFonts w:eastAsia="Yu Gothic Light"/>
        </w:rPr>
        <w:t xml:space="preserve"> Triage delegates are delegated under the </w:t>
      </w:r>
      <w:r w:rsidRPr="000F6CD1">
        <w:rPr>
          <w:rFonts w:eastAsia="Yu Gothic Light"/>
          <w:i/>
        </w:rPr>
        <w:t>Aged Care Act 2024</w:t>
      </w:r>
      <w:r w:rsidRPr="000F6CD1">
        <w:rPr>
          <w:rFonts w:eastAsia="Yu Gothic Light"/>
        </w:rPr>
        <w:t xml:space="preserve"> (the Act) to decide:</w:t>
      </w:r>
    </w:p>
    <w:p w14:paraId="5DA70BD1" w14:textId="77777777" w:rsidR="004D556D" w:rsidRPr="000F6CD1" w:rsidRDefault="004D556D" w:rsidP="00DF3F6B">
      <w:pPr>
        <w:numPr>
          <w:ilvl w:val="0"/>
          <w:numId w:val="247"/>
        </w:numPr>
        <w:spacing w:before="240" w:after="240" w:line="240" w:lineRule="auto"/>
        <w:contextualSpacing/>
        <w:rPr>
          <w:rFonts w:eastAsia="Yu Gothic Light"/>
        </w:rPr>
      </w:pPr>
      <w:r w:rsidRPr="000F6CD1">
        <w:rPr>
          <w:rFonts w:eastAsia="Yu Gothic Light"/>
        </w:rPr>
        <w:t xml:space="preserve">under Section 58 of the Act, whether an older person is eligible for a needs assessment for government funded aged care services. </w:t>
      </w:r>
    </w:p>
    <w:p w14:paraId="6C7D3F71" w14:textId="24E3E92E" w:rsidR="004D556D" w:rsidRPr="000F6CD1" w:rsidRDefault="004D556D" w:rsidP="00DF3F6B">
      <w:pPr>
        <w:numPr>
          <w:ilvl w:val="0"/>
          <w:numId w:val="247"/>
        </w:numPr>
        <w:spacing w:before="240" w:after="240" w:line="240" w:lineRule="auto"/>
        <w:contextualSpacing/>
        <w:rPr>
          <w:rFonts w:eastAsia="Yu Gothic Light"/>
        </w:rPr>
      </w:pPr>
      <w:r w:rsidRPr="000F6CD1">
        <w:rPr>
          <w:rFonts w:eastAsia="Yu Gothic Light"/>
        </w:rPr>
        <w:t>under section 64 of the Act, whether an older person has undergone a significant change of circumstances or other change in their circumstances and requires a reassessment of their needs.</w:t>
      </w:r>
    </w:p>
    <w:p w14:paraId="1BF7CF2F" w14:textId="152CB2E5" w:rsidR="004D556D" w:rsidRPr="000F6CD1" w:rsidRDefault="004D556D" w:rsidP="00622CFF">
      <w:pPr>
        <w:spacing w:before="240" w:after="240" w:line="240" w:lineRule="auto"/>
        <w:rPr>
          <w:rFonts w:eastAsia="Yu Gothic Light"/>
        </w:rPr>
      </w:pPr>
    </w:p>
    <w:p w14:paraId="0CD3FEBE" w14:textId="1EADD926" w:rsidR="004D556D" w:rsidRPr="000F6CD1" w:rsidRDefault="004D556D" w:rsidP="00622CFF">
      <w:pPr>
        <w:spacing w:before="240" w:after="240" w:line="240" w:lineRule="auto"/>
        <w:rPr>
          <w:rFonts w:eastAsia="Yu Gothic Light"/>
        </w:rPr>
      </w:pPr>
      <w:r w:rsidRPr="000F6CD1">
        <w:rPr>
          <w:rFonts w:eastAsia="Yu Gothic Light"/>
        </w:rPr>
        <w:t>To find someone eligible for a needs assessment, a triage delegate must be satisfied the older person meets the age eligibility requirement and has declared they have an aged care need.</w:t>
      </w:r>
    </w:p>
    <w:p w14:paraId="3BE06922" w14:textId="269443E9" w:rsidR="004D556D" w:rsidRPr="000F6CD1" w:rsidRDefault="004D556D" w:rsidP="00622CFF">
      <w:pPr>
        <w:spacing w:before="240" w:after="240" w:line="240" w:lineRule="auto"/>
        <w:rPr>
          <w:rFonts w:eastAsia="Yu Gothic Light"/>
        </w:rPr>
      </w:pPr>
      <w:r w:rsidRPr="000F6CD1">
        <w:rPr>
          <w:rFonts w:eastAsia="Yu Gothic Light"/>
        </w:rPr>
        <w:t xml:space="preserve">See </w:t>
      </w:r>
      <w:r w:rsidR="00EA5D7E">
        <w:rPr>
          <w:rFonts w:eastAsia="Yu Gothic Light"/>
        </w:rPr>
        <w:fldChar w:fldCharType="begin"/>
      </w:r>
      <w:r w:rsidR="00EA5D7E">
        <w:rPr>
          <w:rFonts w:eastAsia="Yu Gothic Light"/>
        </w:rPr>
        <w:instrText xml:space="preserve"> REF _Ref212735055 \h </w:instrText>
      </w:r>
      <w:r w:rsidR="00EA5D7E">
        <w:rPr>
          <w:rFonts w:eastAsia="Yu Gothic Light"/>
        </w:rPr>
      </w:r>
      <w:r w:rsidR="00EA5D7E">
        <w:rPr>
          <w:rFonts w:eastAsia="Yu Gothic Light"/>
        </w:rPr>
        <w:fldChar w:fldCharType="separate"/>
      </w:r>
      <w:r w:rsidR="004B171E" w:rsidRPr="000F6CD1">
        <w:t>Chapter 5: Assessment activities</w:t>
      </w:r>
      <w:r w:rsidR="00EA5D7E">
        <w:rPr>
          <w:rFonts w:eastAsia="Yu Gothic Light"/>
        </w:rPr>
        <w:fldChar w:fldCharType="end"/>
      </w:r>
      <w:r w:rsidR="00EA5D7E">
        <w:rPr>
          <w:rFonts w:eastAsia="Yu Gothic Light"/>
        </w:rPr>
        <w:t xml:space="preserve"> </w:t>
      </w:r>
      <w:r w:rsidRPr="000F6CD1">
        <w:rPr>
          <w:rFonts w:eastAsia="Yu Gothic Light"/>
        </w:rPr>
        <w:t xml:space="preserve">for information about the function of the triage delegate and conducting triage. </w:t>
      </w:r>
    </w:p>
    <w:p w14:paraId="2B2E1A57" w14:textId="33401260" w:rsidR="004D556D" w:rsidRPr="000F6CD1" w:rsidRDefault="004D556D" w:rsidP="006647CE">
      <w:pPr>
        <w:pStyle w:val="h2"/>
        <w:rPr>
          <w:rFonts w:eastAsia="Yu Gothic Light"/>
        </w:rPr>
      </w:pPr>
      <w:bookmarkStart w:id="610" w:name="_Toc209189012"/>
      <w:bookmarkStart w:id="611" w:name="_Toc233282470"/>
      <w:r w:rsidRPr="000F6CD1">
        <w:t xml:space="preserve">Assessment </w:t>
      </w:r>
      <w:bookmarkEnd w:id="610"/>
      <w:r w:rsidRPr="000F6CD1">
        <w:t>delegates</w:t>
      </w:r>
      <w:bookmarkEnd w:id="611"/>
    </w:p>
    <w:p w14:paraId="22B53F0B" w14:textId="5162EA68" w:rsidR="004D556D" w:rsidRPr="000F6CD1" w:rsidRDefault="004D556D" w:rsidP="00AD2CE5">
      <w:pPr>
        <w:pStyle w:val="H3"/>
        <w:rPr>
          <w:rFonts w:eastAsia="Yu Gothic"/>
        </w:rPr>
      </w:pPr>
      <w:r w:rsidRPr="000F6CD1">
        <w:t>Non-clinical assessment delegates</w:t>
      </w:r>
      <w:r w:rsidRPr="000F6CD1">
        <w:rPr>
          <w:rFonts w:eastAsia="Yu Gothic"/>
        </w:rPr>
        <w:t xml:space="preserve"> </w:t>
      </w:r>
    </w:p>
    <w:p w14:paraId="1E404EC2" w14:textId="159050B8" w:rsidR="004D556D" w:rsidRPr="000F6CD1" w:rsidRDefault="004D556D" w:rsidP="00622CFF">
      <w:pPr>
        <w:spacing w:before="240" w:after="240" w:line="240" w:lineRule="auto"/>
        <w:rPr>
          <w:rFonts w:eastAsia="Yu Gothic Light"/>
        </w:rPr>
      </w:pPr>
      <w:r w:rsidRPr="000F6CD1">
        <w:rPr>
          <w:rFonts w:eastAsia="Yu Gothic Light"/>
        </w:rPr>
        <w:t xml:space="preserve">Non-clinical Assessment Delegates are delegated the authority under the Act to approve entry-level services arising from a home support assessment. </w:t>
      </w:r>
    </w:p>
    <w:p w14:paraId="194D4A34" w14:textId="1E8F3B0C" w:rsidR="004D556D" w:rsidRPr="00A3584D" w:rsidRDefault="004D556D" w:rsidP="00A3584D">
      <w:pPr>
        <w:pStyle w:val="ListParagraph"/>
        <w:numPr>
          <w:ilvl w:val="0"/>
          <w:numId w:val="625"/>
        </w:numPr>
        <w:spacing w:before="240" w:after="240" w:line="240" w:lineRule="auto"/>
        <w:rPr>
          <w:rFonts w:eastAsia="Times New Roman"/>
          <w:szCs w:val="22"/>
        </w:rPr>
      </w:pPr>
      <w:r w:rsidRPr="00A3584D">
        <w:rPr>
          <w:rFonts w:eastAsia="Yu Gothic Light"/>
        </w:rPr>
        <w:t>This means</w:t>
      </w:r>
      <w:r w:rsidRPr="00A3584D" w:rsidDel="00C61251">
        <w:rPr>
          <w:rFonts w:eastAsia="Yu Gothic Light"/>
        </w:rPr>
        <w:t xml:space="preserve"> </w:t>
      </w:r>
      <w:r w:rsidRPr="00A3584D">
        <w:rPr>
          <w:rFonts w:eastAsia="Yu Gothic Light"/>
        </w:rPr>
        <w:t xml:space="preserve">they can only approve access to the </w:t>
      </w:r>
      <w:r w:rsidRPr="00A3584D">
        <w:rPr>
          <w:rFonts w:eastAsia="Times New Roman"/>
          <w:szCs w:val="22"/>
        </w:rPr>
        <w:t>Commonwealth Home Support Program (CHSP).</w:t>
      </w:r>
    </w:p>
    <w:p w14:paraId="45246370" w14:textId="60CF2286" w:rsidR="004D556D" w:rsidRPr="000F6CD1" w:rsidDel="001B12C5" w:rsidRDefault="004D556D">
      <w:pPr>
        <w:numPr>
          <w:ilvl w:val="0"/>
          <w:numId w:val="248"/>
        </w:numPr>
        <w:spacing w:before="240" w:after="240" w:line="240" w:lineRule="auto"/>
        <w:textAlignment w:val="baseline"/>
        <w:rPr>
          <w:rFonts w:eastAsia="Times New Roman"/>
          <w:szCs w:val="22"/>
        </w:rPr>
      </w:pPr>
      <w:r w:rsidRPr="000F6CD1" w:rsidDel="001B12C5">
        <w:rPr>
          <w:rFonts w:eastAsia="Times New Roman"/>
          <w:szCs w:val="22"/>
        </w:rPr>
        <w:t>assistive technology (AT) and/or home modifications (HM) under CHSP  </w:t>
      </w:r>
      <w:r w:rsidRPr="000F6CD1" w:rsidDel="001B12C5">
        <w:rPr>
          <w:rFonts w:eastAsia="Times New Roman"/>
          <w:szCs w:val="22"/>
        </w:rPr>
        <w:br/>
        <w:t>(</w:t>
      </w:r>
      <w:r w:rsidRPr="000F6CD1" w:rsidDel="001B12C5">
        <w:rPr>
          <w:rFonts w:eastAsia="Times New Roman"/>
          <w:i/>
          <w:iCs/>
          <w:szCs w:val="22"/>
        </w:rPr>
        <w:t>not</w:t>
      </w:r>
      <w:r w:rsidRPr="000F6CD1" w:rsidDel="001B12C5">
        <w:rPr>
          <w:rFonts w:eastAsia="Times New Roman"/>
          <w:szCs w:val="22"/>
        </w:rPr>
        <w:t xml:space="preserve"> under the AT-HM scheme). </w:t>
      </w:r>
    </w:p>
    <w:p w14:paraId="2007A285" w14:textId="291E1EB7" w:rsidR="004D556D" w:rsidRPr="000F6CD1" w:rsidRDefault="004D556D" w:rsidP="00622CFF">
      <w:pPr>
        <w:spacing w:before="240" w:after="240" w:line="240" w:lineRule="auto"/>
        <w:ind w:left="720"/>
        <w:contextualSpacing/>
        <w:rPr>
          <w:rFonts w:eastAsia="Yu Gothic Light"/>
        </w:rPr>
      </w:pPr>
    </w:p>
    <w:p w14:paraId="5FF29232" w14:textId="2EC127C1" w:rsidR="004D556D" w:rsidRPr="000F6CD1" w:rsidRDefault="004D556D" w:rsidP="00622CFF">
      <w:pPr>
        <w:spacing w:before="240" w:after="240" w:line="240" w:lineRule="auto"/>
        <w:rPr>
          <w:rFonts w:eastAsia="Yu Gothic Light"/>
        </w:rPr>
      </w:pPr>
      <w:r w:rsidRPr="000F6CD1">
        <w:rPr>
          <w:szCs w:val="22"/>
        </w:rPr>
        <w:t>If any</w:t>
      </w:r>
      <w:r w:rsidRPr="000F6CD1" w:rsidDel="00BC0568">
        <w:rPr>
          <w:szCs w:val="22"/>
        </w:rPr>
        <w:t xml:space="preserve"> </w:t>
      </w:r>
      <w:r w:rsidRPr="000F6CD1">
        <w:rPr>
          <w:szCs w:val="22"/>
        </w:rPr>
        <w:t>approvals other than those listed above are required, the assessor must convert the assessment to a comprehensive assessment. Once an assessment is c</w:t>
      </w:r>
      <w:r w:rsidRPr="000F6CD1">
        <w:rPr>
          <w:rFonts w:eastAsia="Yu Gothic Light"/>
        </w:rPr>
        <w:t>onverted to a comprehensive assessment, the approval will flow to a Clinical Assessment Delegate. Clinical Assess</w:t>
      </w:r>
      <w:r w:rsidRPr="000F6CD1">
        <w:rPr>
          <w:szCs w:val="22"/>
        </w:rPr>
        <w:t xml:space="preserve">ment Delegate approval is required for all other approvals as outlined in detail in the next section. </w:t>
      </w:r>
    </w:p>
    <w:p w14:paraId="77DF65BF" w14:textId="74AF335E" w:rsidR="004D556D" w:rsidRPr="000F6CD1" w:rsidRDefault="004D556D" w:rsidP="00622CFF">
      <w:pPr>
        <w:spacing w:before="240" w:after="240" w:line="240" w:lineRule="auto"/>
        <w:rPr>
          <w:rFonts w:eastAsia="Yu Gothic Light"/>
        </w:rPr>
      </w:pPr>
      <w:r w:rsidRPr="000F6CD1">
        <w:rPr>
          <w:rFonts w:eastAsia="Yu Gothic Light"/>
        </w:rPr>
        <w:t xml:space="preserve">All needs assessors will have the ability to apply for non-clinical assessment delegation under the </w:t>
      </w:r>
      <w:r w:rsidRPr="00A3584D">
        <w:rPr>
          <w:rFonts w:eastAsia="Yu Gothic Light"/>
          <w:i/>
        </w:rPr>
        <w:t xml:space="preserve">Aged Care Act 2024 </w:t>
      </w:r>
      <w:r w:rsidRPr="000F6CD1">
        <w:rPr>
          <w:rFonts w:eastAsia="Yu Gothic Light"/>
        </w:rPr>
        <w:t xml:space="preserve">(the Act) to approve entry-level services. Assessment organisations can determine whether to permit all needs assessors to perform this function. </w:t>
      </w:r>
    </w:p>
    <w:p w14:paraId="504F4B91" w14:textId="5C755186" w:rsidR="004D556D" w:rsidRPr="000F6CD1" w:rsidRDefault="005D3F85">
      <w:pPr>
        <w:spacing w:before="240" w:after="240" w:line="240" w:lineRule="auto"/>
        <w:rPr>
          <w:rFonts w:eastAsia="Yu Gothic Light"/>
        </w:rPr>
      </w:pPr>
      <w:r>
        <w:rPr>
          <w:noProof/>
          <w14:ligatures w14:val="standardContextual"/>
        </w:rPr>
        <w:drawing>
          <wp:anchor distT="0" distB="0" distL="114300" distR="114300" simplePos="0" relativeHeight="251658291" behindDoc="0" locked="0" layoutInCell="1" allowOverlap="1" wp14:anchorId="0AF6C4E7" wp14:editId="28A53008">
            <wp:simplePos x="0" y="0"/>
            <wp:positionH relativeFrom="margin">
              <wp:align>left</wp:align>
            </wp:positionH>
            <wp:positionV relativeFrom="margin">
              <wp:posOffset>8181975</wp:posOffset>
            </wp:positionV>
            <wp:extent cx="365760" cy="403860"/>
            <wp:effectExtent l="0" t="0" r="0" b="0"/>
            <wp:wrapSquare wrapText="bothSides"/>
            <wp:docPr id="943534776"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34776"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14:sizeRelV relativeFrom="margin">
              <wp14:pctHeight>0</wp14:pctHeight>
            </wp14:sizeRelV>
          </wp:anchor>
        </w:drawing>
      </w:r>
      <w:r w:rsidR="004D556D" w:rsidRPr="000F6CD1">
        <w:rPr>
          <w:rFonts w:eastAsia="Yu Gothic Light"/>
        </w:rPr>
        <w:t xml:space="preserve">A learner assessor must not be appointed a non-clinical delegate until they have completed all mandatory training requirements set out in the </w:t>
      </w:r>
      <w:hyperlink r:id="rId237" w:history="1">
        <w:r w:rsidR="004D556D" w:rsidRPr="000F6CD1">
          <w:rPr>
            <w:rStyle w:val="Hyperlink"/>
            <w:rFonts w:eastAsia="Yu Gothic Light"/>
          </w:rPr>
          <w:t>My Aged Care Workforce Learning Strategy</w:t>
        </w:r>
      </w:hyperlink>
      <w:r w:rsidR="004D556D" w:rsidRPr="000F6CD1">
        <w:rPr>
          <w:rFonts w:eastAsia="Yu Gothic Light"/>
        </w:rPr>
        <w:t xml:space="preserve"> and been issued with a completion certificate on MAClearning. </w:t>
      </w:r>
    </w:p>
    <w:p w14:paraId="29D597C2"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 xml:space="preserve">When approving the recommendations from an </w:t>
      </w:r>
      <w:r w:rsidRPr="000F6CD1" w:rsidDel="00E05465">
        <w:rPr>
          <w:rFonts w:eastAsia="Yu Gothic Light"/>
        </w:rPr>
        <w:t>assessment</w:t>
      </w:r>
      <w:r w:rsidRPr="000F6CD1">
        <w:rPr>
          <w:rFonts w:eastAsia="Yu Gothic Light"/>
        </w:rPr>
        <w:t xml:space="preserve"> they have undertaken, needs assessors, acting in their capacity as a non-clinical assessment delegate should exercise due care to ensure the assessment is complete, evidence based, free from errors, </w:t>
      </w:r>
      <w:r w:rsidRPr="000F6CD1" w:rsidDel="001F207D">
        <w:rPr>
          <w:rFonts w:eastAsia="Yu Gothic Light"/>
        </w:rPr>
        <w:t>contradictions</w:t>
      </w:r>
      <w:r w:rsidRPr="000F6CD1">
        <w:rPr>
          <w:rFonts w:eastAsia="Yu Gothic Light"/>
        </w:rPr>
        <w:t xml:space="preserve">, or omissions. </w:t>
      </w:r>
    </w:p>
    <w:p w14:paraId="022BC8F8" w14:textId="77777777" w:rsidR="004D556D" w:rsidRPr="000F6CD1" w:rsidRDefault="004D556D" w:rsidP="00AD2CE5">
      <w:pPr>
        <w:pStyle w:val="H3"/>
        <w:rPr>
          <w:rFonts w:eastAsia="Aptos"/>
        </w:rPr>
      </w:pPr>
      <w:r w:rsidRPr="000F6CD1">
        <w:t>Clinical assessment delegates</w:t>
      </w:r>
    </w:p>
    <w:p w14:paraId="64C97D40" w14:textId="77777777" w:rsidR="004D556D" w:rsidRPr="000F6CD1" w:rsidRDefault="004D556D" w:rsidP="00622CFF">
      <w:pPr>
        <w:spacing w:before="240" w:after="240" w:line="240" w:lineRule="auto"/>
        <w:rPr>
          <w:rFonts w:eastAsia="Yu Gothic Light"/>
        </w:rPr>
      </w:pPr>
      <w:r w:rsidRPr="000F6CD1">
        <w:rPr>
          <w:rFonts w:eastAsia="Yu Gothic Light"/>
        </w:rPr>
        <w:t>Clinical assessment delegates are delegated the authority under the Act to approve an older person for all service groups, classification types and classification levels.</w:t>
      </w:r>
    </w:p>
    <w:p w14:paraId="20D6F212" w14:textId="77777777" w:rsidR="004D556D" w:rsidRPr="000F6CD1" w:rsidRDefault="004D556D" w:rsidP="00806A21">
      <w:pPr>
        <w:pStyle w:val="Sub-headings"/>
      </w:pPr>
      <w:r w:rsidRPr="000F6CD1">
        <w:t xml:space="preserve">Note: Clinical Assessment Delegates can approve entry-level home support services (as non-clinical assessment delegates do) if assessment organisations have chosen to allocate home support assessments to clinical assessment delegates. </w:t>
      </w:r>
    </w:p>
    <w:p w14:paraId="711163A5" w14:textId="77777777" w:rsidR="004D556D" w:rsidRPr="000F6CD1" w:rsidRDefault="004D556D" w:rsidP="006647CE">
      <w:pPr>
        <w:pStyle w:val="h2"/>
      </w:pPr>
      <w:bookmarkStart w:id="612" w:name="_Toc209189013"/>
      <w:bookmarkStart w:id="613" w:name="_Toc233282471"/>
      <w:bookmarkEnd w:id="604"/>
      <w:bookmarkEnd w:id="609"/>
      <w:r w:rsidRPr="000F6CD1">
        <w:t xml:space="preserve">Overview of approvals under the </w:t>
      </w:r>
      <w:r w:rsidRPr="000818E0">
        <w:rPr>
          <w:i/>
          <w:iCs/>
        </w:rPr>
        <w:t>Aged Care Act</w:t>
      </w:r>
      <w:bookmarkEnd w:id="612"/>
      <w:r w:rsidRPr="000818E0">
        <w:rPr>
          <w:i/>
          <w:iCs/>
        </w:rPr>
        <w:t xml:space="preserve"> 2024</w:t>
      </w:r>
      <w:bookmarkEnd w:id="613"/>
    </w:p>
    <w:p w14:paraId="4328993E"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w:t>
      </w:r>
      <w:r w:rsidRPr="000818E0">
        <w:rPr>
          <w:rFonts w:eastAsia="Yu Gothic Light"/>
          <w:i/>
          <w:iCs/>
        </w:rPr>
        <w:t>Aged Care Act 2024</w:t>
      </w:r>
      <w:r w:rsidRPr="000F6CD1">
        <w:rPr>
          <w:rFonts w:eastAsia="Yu Gothic Light"/>
        </w:rPr>
        <w:t xml:space="preserve"> (the Act) standardises the approval approach</w:t>
      </w:r>
      <w:r w:rsidRPr="000F6CD1">
        <w:rPr>
          <w:rFonts w:eastAsia="Yu Gothic Light"/>
          <w:bCs/>
        </w:rPr>
        <w:t xml:space="preserve"> for funded aged care services, with </w:t>
      </w:r>
      <w:r w:rsidRPr="000F6CD1">
        <w:rPr>
          <w:rFonts w:eastAsia="Yu Gothic Light"/>
        </w:rPr>
        <w:t>all approvals given under the Act</w:t>
      </w:r>
      <w:r w:rsidRPr="000F6CD1">
        <w:rPr>
          <w:rFonts w:eastAsia="Yu Gothic Light"/>
          <w:bCs/>
        </w:rPr>
        <w:t xml:space="preserve">, using </w:t>
      </w:r>
      <w:r w:rsidRPr="000F6CD1">
        <w:rPr>
          <w:rFonts w:eastAsia="Yu Gothic Light"/>
        </w:rPr>
        <w:t>one service list</w:t>
      </w:r>
      <w:r w:rsidRPr="000F6CD1">
        <w:rPr>
          <w:rFonts w:eastAsia="Yu Gothic Light"/>
          <w:bCs/>
        </w:rPr>
        <w:t xml:space="preserve"> which is divided into four </w:t>
      </w:r>
      <w:r w:rsidRPr="000F6CD1">
        <w:rPr>
          <w:rFonts w:eastAsia="Yu Gothic Light"/>
        </w:rPr>
        <w:t>Service Groups</w:t>
      </w:r>
      <w:r w:rsidRPr="000F6CD1">
        <w:rPr>
          <w:rFonts w:eastAsia="Yu Gothic Light"/>
          <w:bCs/>
        </w:rPr>
        <w:t xml:space="preserve">. </w:t>
      </w:r>
      <w:r w:rsidRPr="000F6CD1">
        <w:rPr>
          <w:rFonts w:eastAsia="Yu Gothic Light"/>
        </w:rPr>
        <w:t>This makes it more straightforward to give an older person a tailored package of care that meets their needs.</w:t>
      </w:r>
    </w:p>
    <w:p w14:paraId="078BB35F" w14:textId="77777777" w:rsidR="004D556D" w:rsidRPr="000F6CD1" w:rsidRDefault="004D556D" w:rsidP="00622CFF">
      <w:pPr>
        <w:spacing w:before="240" w:after="240" w:line="240" w:lineRule="auto"/>
        <w:rPr>
          <w:rFonts w:eastAsia="Yu Gothic Light"/>
        </w:rPr>
      </w:pPr>
      <w:r w:rsidRPr="000F6CD1">
        <w:rPr>
          <w:rFonts w:eastAsia="Yu Gothic Light"/>
        </w:rPr>
        <w:t xml:space="preserve">To be eligible for any </w:t>
      </w:r>
      <w:r w:rsidRPr="000F6CD1">
        <w:rPr>
          <w:rFonts w:eastAsia="Yu Gothic Light"/>
          <w:bCs/>
        </w:rPr>
        <w:t>funded aged care service an individual must first meet the criteria for an aged care needs assessment (as specified in</w:t>
      </w:r>
      <w:r w:rsidRPr="000F6CD1">
        <w:rPr>
          <w:rFonts w:eastAsia="Yu Gothic Light" w:hint="eastAsia"/>
          <w:bCs/>
        </w:rPr>
        <w:t> </w:t>
      </w:r>
      <w:r w:rsidRPr="000F6CD1">
        <w:rPr>
          <w:rFonts w:eastAsia="Yu Gothic Light"/>
        </w:rPr>
        <w:t>Section 58</w:t>
      </w:r>
      <w:r w:rsidRPr="000F6CD1">
        <w:rPr>
          <w:rFonts w:eastAsia="Yu Gothic Light" w:hint="eastAsia"/>
          <w:bCs/>
        </w:rPr>
        <w:t> </w:t>
      </w:r>
      <w:r w:rsidRPr="000F6CD1">
        <w:rPr>
          <w:rFonts w:eastAsia="Yu Gothic Light"/>
          <w:bCs/>
        </w:rPr>
        <w:t>of the Act). Eligibility is now determined by a</w:t>
      </w:r>
      <w:r w:rsidRPr="000F6CD1">
        <w:rPr>
          <w:rFonts w:eastAsia="Yu Gothic Light" w:hint="eastAsia"/>
          <w:bCs/>
        </w:rPr>
        <w:t> </w:t>
      </w:r>
      <w:r w:rsidRPr="000F6CD1">
        <w:rPr>
          <w:rFonts w:eastAsia="Yu Gothic Light"/>
        </w:rPr>
        <w:t>triage delegate</w:t>
      </w:r>
      <w:r w:rsidRPr="000F6CD1">
        <w:rPr>
          <w:rFonts w:eastAsia="Yu Gothic Light"/>
          <w:bCs/>
        </w:rPr>
        <w:t>, who</w:t>
      </w:r>
      <w:r w:rsidRPr="000F6CD1">
        <w:rPr>
          <w:rFonts w:eastAsia="Yu Gothic Light"/>
        </w:rPr>
        <w:t xml:space="preserve"> holds relevant decision-making powers delegated by the System Governor.</w:t>
      </w:r>
    </w:p>
    <w:p w14:paraId="156D00CE" w14:textId="77777777" w:rsidR="004D556D" w:rsidRPr="000F6CD1" w:rsidRDefault="004D556D" w:rsidP="00622CFF">
      <w:pPr>
        <w:spacing w:before="240" w:after="240" w:line="240" w:lineRule="auto"/>
        <w:rPr>
          <w:rFonts w:eastAsia="Yu Gothic Light"/>
        </w:rPr>
      </w:pPr>
      <w:r w:rsidRPr="000F6CD1">
        <w:rPr>
          <w:rFonts w:eastAsia="Yu Gothic Light"/>
        </w:rPr>
        <w:t>Once determined as eligible, an</w:t>
      </w:r>
      <w:r w:rsidRPr="000F6CD1">
        <w:rPr>
          <w:rFonts w:eastAsia="Yu Gothic Light" w:hint="eastAsia"/>
        </w:rPr>
        <w:t> </w:t>
      </w:r>
      <w:r w:rsidRPr="000F6CD1">
        <w:rPr>
          <w:rFonts w:eastAsia="Yu Gothic Light"/>
        </w:rPr>
        <w:t>aged care needs assessment</w:t>
      </w:r>
      <w:r w:rsidRPr="000F6CD1">
        <w:rPr>
          <w:rFonts w:eastAsia="Yu Gothic Light" w:hint="eastAsia"/>
        </w:rPr>
        <w:t> </w:t>
      </w:r>
      <w:r w:rsidRPr="000F6CD1">
        <w:rPr>
          <w:rFonts w:eastAsia="Yu Gothic Light"/>
        </w:rPr>
        <w:t xml:space="preserve">is conducted to determine whether the older </w:t>
      </w:r>
      <w:r w:rsidRPr="000F6CD1" w:rsidDel="0062183E">
        <w:rPr>
          <w:rFonts w:eastAsia="Yu Gothic Light"/>
        </w:rPr>
        <w:t xml:space="preserve">person </w:t>
      </w:r>
      <w:r w:rsidRPr="000F6CD1">
        <w:rPr>
          <w:rFonts w:eastAsia="Yu Gothic Light"/>
        </w:rPr>
        <w:t>requires funded aged care services. Based on this assessment, the assessor recommends funded aged care services they consider the individual needs to meet their care needs as well as any services, service types and service groups they consider the individual should be approved for under section 65 of the Act. It should be noted that under the same provision, older Aboriginal and Torres Strait Islander persons only need an approval at the service group level to receive aged care services. These recommendations are documented in a</w:t>
      </w:r>
      <w:r w:rsidRPr="000F6CD1">
        <w:rPr>
          <w:rFonts w:eastAsia="Yu Gothic Light" w:hint="eastAsia"/>
        </w:rPr>
        <w:t> </w:t>
      </w:r>
      <w:r w:rsidRPr="000F6CD1">
        <w:rPr>
          <w:rFonts w:eastAsia="Yu Gothic Light"/>
        </w:rPr>
        <w:t>support plan, which is issued to an assessment delegate for consideration shortly after the assessment has been completed.</w:t>
      </w:r>
    </w:p>
    <w:p w14:paraId="11C4A8A5" w14:textId="77777777" w:rsidR="004D556D" w:rsidRPr="000F6CD1" w:rsidRDefault="004D556D" w:rsidP="00622CFF">
      <w:pPr>
        <w:spacing w:before="240" w:after="240" w:line="240" w:lineRule="auto"/>
        <w:rPr>
          <w:rFonts w:eastAsia="Yu Gothic Light"/>
        </w:rPr>
      </w:pPr>
      <w:r w:rsidRPr="000F6CD1">
        <w:rPr>
          <w:rFonts w:eastAsia="Yu Gothic Light"/>
        </w:rPr>
        <w:t xml:space="preserve">For an older person to start using funded aged care services, they need to be approved for the following under the Act: </w:t>
      </w:r>
    </w:p>
    <w:p w14:paraId="40867232" w14:textId="77777777" w:rsidR="004D556D" w:rsidRPr="000F6CD1" w:rsidRDefault="004D556D" w:rsidP="00DF3F6B">
      <w:pPr>
        <w:numPr>
          <w:ilvl w:val="0"/>
          <w:numId w:val="263"/>
        </w:numPr>
        <w:spacing w:before="240" w:after="240" w:line="240" w:lineRule="auto"/>
        <w:ind w:left="851" w:hanging="425"/>
        <w:contextualSpacing/>
        <w:rPr>
          <w:rFonts w:eastAsia="Yu Gothic Light"/>
        </w:rPr>
      </w:pPr>
      <w:r w:rsidRPr="000F6CD1">
        <w:rPr>
          <w:rFonts w:eastAsia="Yu Gothic Light"/>
          <w:b/>
        </w:rPr>
        <w:t xml:space="preserve">Service groups, </w:t>
      </w:r>
      <w:r w:rsidRPr="000F6CD1">
        <w:rPr>
          <w:rFonts w:eastAsia="Yu Gothic Light"/>
        </w:rPr>
        <w:t>which specify the setting and nature of care an individual can access</w:t>
      </w:r>
    </w:p>
    <w:p w14:paraId="00D7C11C" w14:textId="77777777" w:rsidR="004D556D" w:rsidRPr="000F6CD1" w:rsidRDefault="004D556D" w:rsidP="00DF3F6B">
      <w:pPr>
        <w:numPr>
          <w:ilvl w:val="0"/>
          <w:numId w:val="263"/>
        </w:numPr>
        <w:spacing w:before="240" w:after="240" w:line="240" w:lineRule="auto"/>
        <w:ind w:left="851" w:hanging="425"/>
        <w:contextualSpacing/>
        <w:rPr>
          <w:rFonts w:eastAsia="Yu Gothic Light"/>
        </w:rPr>
      </w:pPr>
      <w:r w:rsidRPr="000F6CD1">
        <w:rPr>
          <w:rFonts w:eastAsia="Yu Gothic Light"/>
          <w:b/>
        </w:rPr>
        <w:t>Classification types,</w:t>
      </w:r>
      <w:r w:rsidRPr="000F6CD1">
        <w:rPr>
          <w:rFonts w:eastAsia="Yu Gothic Light"/>
        </w:rPr>
        <w:t xml:space="preserve"> which specify the different time periods that services are delivered for under the service group.</w:t>
      </w:r>
    </w:p>
    <w:p w14:paraId="7017F396" w14:textId="77777777" w:rsidR="004D556D" w:rsidRPr="000F6CD1" w:rsidRDefault="004D556D" w:rsidP="00DF3F6B">
      <w:pPr>
        <w:numPr>
          <w:ilvl w:val="0"/>
          <w:numId w:val="263"/>
        </w:numPr>
        <w:spacing w:before="240" w:after="240" w:line="240" w:lineRule="auto"/>
        <w:ind w:left="851" w:hanging="425"/>
        <w:contextualSpacing/>
        <w:rPr>
          <w:rFonts w:eastAsia="Yu Gothic Light"/>
        </w:rPr>
      </w:pPr>
      <w:r w:rsidRPr="000F6CD1">
        <w:rPr>
          <w:rFonts w:eastAsia="Yu Gothic Light"/>
          <w:b/>
        </w:rPr>
        <w:t xml:space="preserve">Service types </w:t>
      </w:r>
      <w:r w:rsidRPr="000F6CD1">
        <w:rPr>
          <w:rFonts w:eastAsia="Yu Gothic Light"/>
        </w:rPr>
        <w:t xml:space="preserve">and </w:t>
      </w:r>
      <w:r w:rsidRPr="000F6CD1">
        <w:rPr>
          <w:rFonts w:eastAsia="Yu Gothic Light"/>
          <w:b/>
        </w:rPr>
        <w:t xml:space="preserve">services </w:t>
      </w:r>
      <w:r w:rsidRPr="000F6CD1">
        <w:rPr>
          <w:rFonts w:eastAsia="Yu Gothic Light"/>
        </w:rPr>
        <w:t xml:space="preserve">(for some older people, in some circumstances) </w:t>
      </w:r>
      <w:r w:rsidRPr="000F6CD1">
        <w:rPr>
          <w:rFonts w:eastAsia="Yu Gothic Light" w:hint="eastAsia"/>
        </w:rPr>
        <w:t>–</w:t>
      </w:r>
      <w:r w:rsidRPr="000F6CD1">
        <w:rPr>
          <w:rFonts w:eastAsia="Yu Gothic Light"/>
        </w:rPr>
        <w:t xml:space="preserve"> </w:t>
      </w:r>
      <w:r w:rsidRPr="000F6CD1">
        <w:rPr>
          <w:rFonts w:eastAsia="Aptos"/>
        </w:rPr>
        <w:t xml:space="preserve">Service types are groups of different services. The services under these types are set out under the Aged Care Service list. Different service types sit under each service group. Older Aboriginal and Torres Strait Islander people only need an approval at the service group level </w:t>
      </w:r>
      <w:r w:rsidRPr="000F6CD1">
        <w:rPr>
          <w:rFonts w:eastAsia="Aptos" w:hint="eastAsia"/>
        </w:rPr>
        <w:t>–</w:t>
      </w:r>
      <w:r w:rsidRPr="000F6CD1">
        <w:rPr>
          <w:rFonts w:eastAsia="Aptos"/>
        </w:rPr>
        <w:t xml:space="preserve"> they are automatically approved for all service types and services in that group.</w:t>
      </w:r>
    </w:p>
    <w:p w14:paraId="61E8A5F8" w14:textId="4D71A4A2" w:rsidR="004D556D" w:rsidRPr="000F6CD1" w:rsidRDefault="004D556D" w:rsidP="00DF3F6B">
      <w:pPr>
        <w:numPr>
          <w:ilvl w:val="0"/>
          <w:numId w:val="263"/>
        </w:numPr>
        <w:spacing w:before="240" w:after="240" w:line="240" w:lineRule="auto"/>
        <w:ind w:left="851" w:hanging="425"/>
        <w:contextualSpacing/>
        <w:rPr>
          <w:rFonts w:eastAsia="Yu Gothic Light"/>
        </w:rPr>
      </w:pPr>
      <w:r w:rsidRPr="000F6CD1">
        <w:rPr>
          <w:rFonts w:eastAsia="Aptos"/>
          <w:b/>
        </w:rPr>
        <w:lastRenderedPageBreak/>
        <w:t>Classification levels,</w:t>
      </w:r>
      <w:r w:rsidRPr="000F6CD1">
        <w:rPr>
          <w:rFonts w:eastAsia="Aptos"/>
        </w:rPr>
        <w:t xml:space="preserve"> which determine the amount of funding available to deliver funded aged care services to the individual. The individual receives a classification level for the classification type for the service group they have been approved to access. </w:t>
      </w:r>
      <w:r w:rsidRPr="000F6CD1">
        <w:rPr>
          <w:rFonts w:eastAsia="Yu Gothic Light"/>
        </w:rPr>
        <w:t>The classification levels are specified in the Rules (see Division 3 Part 3 of Chapter 2 of the Rules).</w:t>
      </w:r>
    </w:p>
    <w:p w14:paraId="2A5B8C0B" w14:textId="4C6BBACF" w:rsidR="004D556D" w:rsidRPr="00235EC8" w:rsidRDefault="004D556D" w:rsidP="00622CFF">
      <w:pPr>
        <w:numPr>
          <w:ilvl w:val="0"/>
          <w:numId w:val="263"/>
        </w:numPr>
        <w:spacing w:before="240" w:after="240" w:line="240" w:lineRule="auto"/>
        <w:ind w:left="851" w:hanging="425"/>
        <w:contextualSpacing/>
        <w:rPr>
          <w:rFonts w:eastAsia="Yu Gothic Light"/>
        </w:rPr>
      </w:pPr>
      <w:r w:rsidRPr="000F6CD1">
        <w:rPr>
          <w:rFonts w:eastAsia="Yu Gothic Light"/>
          <w:b/>
        </w:rPr>
        <w:t xml:space="preserve">Priority categories </w:t>
      </w:r>
      <w:r w:rsidRPr="000F6CD1">
        <w:rPr>
          <w:rFonts w:eastAsia="Yu Gothic Light" w:hint="eastAsia"/>
          <w:b/>
        </w:rPr>
        <w:t>–</w:t>
      </w:r>
      <w:r w:rsidRPr="000F6CD1">
        <w:rPr>
          <w:rFonts w:eastAsia="Yu Gothic Light"/>
          <w:b/>
        </w:rPr>
        <w:t xml:space="preserve"> </w:t>
      </w:r>
      <w:r w:rsidRPr="000F6CD1">
        <w:rPr>
          <w:rFonts w:eastAsia="Yu Gothic Light"/>
        </w:rPr>
        <w:t>determines priority for a classification type for a service group.</w:t>
      </w:r>
    </w:p>
    <w:p w14:paraId="1518461C" w14:textId="529DF248" w:rsidR="004D556D" w:rsidRPr="000F6CD1" w:rsidRDefault="004D556D" w:rsidP="00806A21">
      <w:pPr>
        <w:pStyle w:val="Sub-headings"/>
      </w:pPr>
      <w:r w:rsidRPr="000F6CD1">
        <w:t xml:space="preserve">Note: individuals must be approved under the </w:t>
      </w:r>
      <w:r w:rsidRPr="000F6CD1">
        <w:rPr>
          <w:i/>
        </w:rPr>
        <w:t xml:space="preserve">Aged Care Act 2024 </w:t>
      </w:r>
      <w:r w:rsidRPr="000F6CD1">
        <w:t>to access any funded aged care services</w:t>
      </w:r>
      <w:r w:rsidRPr="000F6CD1">
        <w:rPr>
          <w:i/>
        </w:rPr>
        <w:t>,</w:t>
      </w:r>
      <w:r w:rsidRPr="000F6CD1">
        <w:t xml:space="preserve"> including if delivered through CHSP, MPSP and NATISFACP. This is a significant change as individuals could previously access services through these programs without approval under the </w:t>
      </w:r>
      <w:r w:rsidRPr="000F6CD1">
        <w:rPr>
          <w:i/>
        </w:rPr>
        <w:t>Aged Care Act 1997</w:t>
      </w:r>
      <w:r w:rsidRPr="000F6CD1">
        <w:t>.</w:t>
      </w:r>
    </w:p>
    <w:p w14:paraId="5F4657EB" w14:textId="77777777" w:rsidR="004D556D" w:rsidRPr="000818E0" w:rsidRDefault="004D556D" w:rsidP="006647CE">
      <w:pPr>
        <w:pStyle w:val="h2"/>
        <w:rPr>
          <w:i/>
          <w:iCs/>
        </w:rPr>
      </w:pPr>
      <w:bookmarkStart w:id="614" w:name="_Toc209189014"/>
      <w:bookmarkStart w:id="615" w:name="_Ref233106772"/>
      <w:bookmarkStart w:id="616" w:name="_Toc233282472"/>
      <w:r w:rsidRPr="000F6CD1">
        <w:t xml:space="preserve">Delegate decisions under the </w:t>
      </w:r>
      <w:r w:rsidRPr="000818E0">
        <w:rPr>
          <w:i/>
          <w:iCs/>
        </w:rPr>
        <w:t>Aged Care Act</w:t>
      </w:r>
      <w:bookmarkEnd w:id="614"/>
      <w:r w:rsidRPr="000818E0">
        <w:rPr>
          <w:i/>
          <w:iCs/>
        </w:rPr>
        <w:t xml:space="preserve"> 2024</w:t>
      </w:r>
      <w:bookmarkEnd w:id="615"/>
      <w:bookmarkEnd w:id="616"/>
    </w:p>
    <w:p w14:paraId="28A7B19B" w14:textId="77777777" w:rsidR="004D556D" w:rsidRPr="000F6CD1" w:rsidRDefault="004D556D" w:rsidP="00622CFF">
      <w:pPr>
        <w:spacing w:before="240" w:after="240" w:line="240" w:lineRule="auto"/>
        <w:rPr>
          <w:rFonts w:eastAsia="Yu Gothic Light"/>
        </w:rPr>
      </w:pPr>
      <w:r w:rsidRPr="000F6CD1">
        <w:rPr>
          <w:rFonts w:eastAsia="Yu Gothic Light"/>
        </w:rPr>
        <w:t>Although assessors provide recommendations and supporting evidence via the assessment report (support plan), the final approval decision rests with the assessment delegate, except an ongoing home support classification level and assigning a priority level for Support at Home which are automated decisions</w:t>
      </w:r>
      <w:r w:rsidRPr="000F6CD1" w:rsidDel="008E6FD7">
        <w:rPr>
          <w:rFonts w:eastAsia="Yu Gothic Light"/>
        </w:rPr>
        <w:t>.</w:t>
      </w:r>
    </w:p>
    <w:p w14:paraId="44555BFA" w14:textId="77777777" w:rsidR="004D556D" w:rsidRPr="000F6CD1" w:rsidRDefault="004D556D" w:rsidP="00622CFF">
      <w:pPr>
        <w:spacing w:before="240" w:after="240" w:line="240" w:lineRule="auto"/>
        <w:rPr>
          <w:rFonts w:eastAsia="Yu Gothic Light"/>
        </w:rPr>
      </w:pPr>
      <w:r w:rsidRPr="000F6CD1">
        <w:rPr>
          <w:rFonts w:eastAsia="Yu Gothic Light"/>
        </w:rPr>
        <w:t>While assessment</w:t>
      </w:r>
      <w:r w:rsidRPr="000F6CD1" w:rsidDel="00867B41">
        <w:rPr>
          <w:rFonts w:eastAsia="Yu Gothic Light"/>
        </w:rPr>
        <w:t xml:space="preserve"> </w:t>
      </w:r>
      <w:r w:rsidRPr="000F6CD1">
        <w:rPr>
          <w:rFonts w:eastAsia="Yu Gothic Light"/>
        </w:rPr>
        <w:t xml:space="preserve">delegates exercise the powers of the aged care System Governor, they remain personally accountable for the decisions they make under the </w:t>
      </w:r>
      <w:r w:rsidRPr="000F6CD1">
        <w:rPr>
          <w:rFonts w:eastAsia="Yu Gothic Light"/>
          <w:i/>
        </w:rPr>
        <w:t>Aged Care Act 2024</w:t>
      </w:r>
      <w:r w:rsidRPr="000F6CD1">
        <w:rPr>
          <w:rFonts w:eastAsia="Yu Gothic Light"/>
        </w:rPr>
        <w:t xml:space="preserve"> (the Act). This underscores the significant responsibility of the Assessment Delegate role.</w:t>
      </w:r>
    </w:p>
    <w:p w14:paraId="19B66967" w14:textId="77777777" w:rsidR="004D556D" w:rsidRPr="000F6CD1" w:rsidRDefault="004D556D" w:rsidP="00622CFF">
      <w:pPr>
        <w:spacing w:before="240" w:after="240" w:line="240" w:lineRule="auto"/>
        <w:rPr>
          <w:rFonts w:eastAsia="Yu Gothic Light"/>
        </w:rPr>
      </w:pPr>
      <w:r w:rsidRPr="000F6CD1">
        <w:rPr>
          <w:rFonts w:eastAsia="Yu Gothic Light"/>
        </w:rPr>
        <w:t>Once an aged care needs assessment is finalised, the assessment delegate must ensure that all eligibility requirements are met before approving any service group, service type, or specific funded aged care service. This means that the older person’s situation must comply with the conditions outlined in sections 65-68 of the Act and any additional eligibility criteria set by the relevant rules must be satisfied. If these requirements are not met, the assessment delegate cannot approve the provision of aged care services. </w:t>
      </w:r>
    </w:p>
    <w:p w14:paraId="05F65742" w14:textId="77777777" w:rsidR="004D556D" w:rsidRPr="000F6CD1" w:rsidDel="0094614C" w:rsidRDefault="004D556D" w:rsidP="00AD2CE5">
      <w:pPr>
        <w:pStyle w:val="H3"/>
      </w:pPr>
      <w:bookmarkStart w:id="617" w:name="_Toc198787132"/>
      <w:bookmarkStart w:id="618" w:name="_Toc2065233794"/>
      <w:bookmarkStart w:id="619" w:name="_Toc199344499"/>
      <w:bookmarkStart w:id="620" w:name="_Toc205372029"/>
      <w:bookmarkStart w:id="621" w:name="_Toc207713934"/>
      <w:bookmarkStart w:id="622" w:name="_Ref233220267"/>
      <w:r w:rsidRPr="000F6CD1" w:rsidDel="0094614C">
        <w:t>Deciding if the older person requires aged care services</w:t>
      </w:r>
      <w:bookmarkEnd w:id="617"/>
      <w:bookmarkEnd w:id="618"/>
      <w:bookmarkEnd w:id="619"/>
      <w:bookmarkEnd w:id="620"/>
      <w:bookmarkEnd w:id="621"/>
      <w:bookmarkEnd w:id="622"/>
    </w:p>
    <w:p w14:paraId="567E335A" w14:textId="77777777" w:rsidR="004D556D" w:rsidRPr="000F6CD1" w:rsidDel="0094614C" w:rsidRDefault="004D556D" w:rsidP="00622CFF">
      <w:pPr>
        <w:spacing w:before="240" w:after="240" w:line="240" w:lineRule="auto"/>
        <w:rPr>
          <w:rFonts w:eastAsia="Yu Gothic Light"/>
        </w:rPr>
      </w:pPr>
      <w:r w:rsidRPr="000F6CD1" w:rsidDel="0094614C">
        <w:rPr>
          <w:rFonts w:eastAsia="Yu Gothic Light"/>
        </w:rPr>
        <w:t>Assessment delegates must first determine whether the individual requires access to funded aged care services, and which service groups, and in some cases service types and services they require. This requirement is set out in section 65(2) of the Act.</w:t>
      </w:r>
    </w:p>
    <w:p w14:paraId="4284DC43" w14:textId="77777777" w:rsidR="004D556D" w:rsidRPr="000F6CD1" w:rsidDel="0094614C" w:rsidRDefault="004D556D" w:rsidP="00622CFF">
      <w:pPr>
        <w:spacing w:before="240" w:after="240" w:line="240" w:lineRule="auto"/>
        <w:rPr>
          <w:rFonts w:eastAsia="Yu Gothic Light"/>
        </w:rPr>
      </w:pPr>
      <w:r w:rsidRPr="000F6CD1" w:rsidDel="0094614C">
        <w:rPr>
          <w:rFonts w:eastAsia="Yu Gothic Light"/>
        </w:rPr>
        <w:t>This decision is made based on:</w:t>
      </w:r>
    </w:p>
    <w:p w14:paraId="7E02C4A3" w14:textId="77777777" w:rsidR="004D556D" w:rsidRPr="000F6CD1" w:rsidDel="0094614C" w:rsidRDefault="004D556D" w:rsidP="00DF3F6B">
      <w:pPr>
        <w:numPr>
          <w:ilvl w:val="0"/>
          <w:numId w:val="217"/>
        </w:numPr>
        <w:spacing w:before="240" w:after="240" w:line="240" w:lineRule="auto"/>
        <w:rPr>
          <w:rFonts w:eastAsia="Yu Gothic Light"/>
        </w:rPr>
      </w:pPr>
      <w:r w:rsidRPr="000F6CD1" w:rsidDel="0094614C">
        <w:rPr>
          <w:rFonts w:eastAsia="Yu Gothic Light"/>
        </w:rPr>
        <w:t xml:space="preserve">An assessment report (referred to in practice as the support plan), </w:t>
      </w:r>
    </w:p>
    <w:p w14:paraId="4B3E9A4C" w14:textId="77777777" w:rsidR="004D556D" w:rsidRPr="000F6CD1" w:rsidDel="0094614C" w:rsidRDefault="004D556D" w:rsidP="00DF3F6B">
      <w:pPr>
        <w:numPr>
          <w:ilvl w:val="0"/>
          <w:numId w:val="217"/>
        </w:numPr>
        <w:spacing w:before="240" w:after="240" w:line="240" w:lineRule="auto"/>
        <w:rPr>
          <w:rFonts w:eastAsia="Yu Gothic Light"/>
        </w:rPr>
      </w:pPr>
      <w:r w:rsidRPr="000F6CD1" w:rsidDel="0094614C">
        <w:rPr>
          <w:rFonts w:eastAsia="Yu Gothic Light"/>
        </w:rPr>
        <w:t>In the case of reassessments in accordance with 64(1)(c)(ii) of the Act, any relevant information relating to the individual provided.</w:t>
      </w:r>
    </w:p>
    <w:p w14:paraId="3BB243D4" w14:textId="77777777" w:rsidR="00F50C9E" w:rsidRDefault="004D556D" w:rsidP="00622CFF">
      <w:pPr>
        <w:spacing w:before="240" w:after="240" w:line="240" w:lineRule="auto"/>
        <w:rPr>
          <w:rFonts w:eastAsia="Yu Gothic Light"/>
        </w:rPr>
      </w:pPr>
      <w:r w:rsidRPr="000F6CD1" w:rsidDel="0094614C">
        <w:rPr>
          <w:rFonts w:eastAsia="Yu Gothic Light"/>
        </w:rPr>
        <w:t>The table below summarises the sections of the Act that relate to eligibility for access to services. These sections of the Act, and how they apply to an assessment delegate’s decision-making, are explained in detail in the following sections.</w:t>
      </w:r>
    </w:p>
    <w:p w14:paraId="25D2D939" w14:textId="5D02F6E4" w:rsidR="004D556D" w:rsidRPr="000F6CD1" w:rsidDel="0094614C" w:rsidRDefault="00F50C9E" w:rsidP="00F50C9E">
      <w:pPr>
        <w:rPr>
          <w:rFonts w:eastAsia="Yu Gothic Light"/>
        </w:rPr>
      </w:pPr>
      <w:r>
        <w:rPr>
          <w:rFonts w:eastAsia="Yu Gothic Light"/>
        </w:rPr>
        <w:br w:type="page"/>
      </w:r>
    </w:p>
    <w:p w14:paraId="40E0FD46" w14:textId="77777777" w:rsidR="004D556D" w:rsidRPr="000F6CD1" w:rsidDel="0094614C" w:rsidRDefault="004D556D" w:rsidP="00622CFF">
      <w:pPr>
        <w:pStyle w:val="Caption"/>
        <w:spacing w:before="240" w:after="240"/>
        <w:rPr>
          <w:rFonts w:eastAsia="Yu Gothic Light"/>
          <w:bCs/>
        </w:rPr>
      </w:pPr>
      <w:r w:rsidRPr="000F6CD1" w:rsidDel="0094614C">
        <w:rPr>
          <w:rFonts w:eastAsia="Yu Gothic Light"/>
          <w:bCs/>
        </w:rPr>
        <w:lastRenderedPageBreak/>
        <w:t xml:space="preserve">Table 34: </w:t>
      </w:r>
      <w:r w:rsidRPr="000F6CD1" w:rsidDel="0094614C">
        <w:rPr>
          <w:rFonts w:eastAsia="Yu Gothic Light"/>
        </w:rPr>
        <w:t>Approval to access funded aged care services under section 65 </w:t>
      </w:r>
    </w:p>
    <w:tbl>
      <w:tblPr>
        <w:tblW w:w="955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Approval to access funded aged care services under section 65 "/>
        <w:tblDescription w:val="Summary of sections of the Aged Care Act 2024 that relate to eligibility for access to services"/>
      </w:tblPr>
      <w:tblGrid>
        <w:gridCol w:w="795"/>
        <w:gridCol w:w="2278"/>
        <w:gridCol w:w="1981"/>
        <w:gridCol w:w="1818"/>
        <w:gridCol w:w="2679"/>
        <w:gridCol w:w="6"/>
      </w:tblGrid>
      <w:tr w:rsidR="004D556D" w:rsidRPr="000F6CD1" w:rsidDel="0094614C" w14:paraId="1FD2CCC3" w14:textId="77777777">
        <w:trPr>
          <w:trHeight w:val="300"/>
          <w:tblHeader/>
        </w:trPr>
        <w:tc>
          <w:tcPr>
            <w:tcW w:w="654" w:type="dxa"/>
            <w:shd w:val="clear" w:color="auto" w:fill="002060"/>
            <w:hideMark/>
          </w:tcPr>
          <w:p w14:paraId="1261376E" w14:textId="77777777" w:rsidR="004D556D" w:rsidRPr="000F6CD1" w:rsidDel="0094614C" w:rsidRDefault="004D556D" w:rsidP="00622CFF">
            <w:pPr>
              <w:spacing w:before="240" w:after="240" w:line="240" w:lineRule="auto"/>
              <w:rPr>
                <w:rFonts w:eastAsia="Yu Gothic Light"/>
                <w:color w:val="FFFFFF"/>
                <w:szCs w:val="22"/>
              </w:rPr>
            </w:pPr>
            <w:r w:rsidRPr="000F6CD1" w:rsidDel="0094614C">
              <w:rPr>
                <w:rFonts w:eastAsia="Yu Gothic Light"/>
                <w:b/>
                <w:color w:val="FFFFFF"/>
                <w:szCs w:val="22"/>
              </w:rPr>
              <w:t>Section of the Act</w:t>
            </w:r>
            <w:r w:rsidRPr="000F6CD1" w:rsidDel="0094614C">
              <w:rPr>
                <w:rFonts w:eastAsia="Yu Gothic Light"/>
                <w:color w:val="FFFFFF"/>
                <w:szCs w:val="22"/>
              </w:rPr>
              <w:t> </w:t>
            </w:r>
          </w:p>
        </w:tc>
        <w:tc>
          <w:tcPr>
            <w:tcW w:w="2323" w:type="dxa"/>
            <w:shd w:val="clear" w:color="auto" w:fill="002060"/>
            <w:hideMark/>
          </w:tcPr>
          <w:p w14:paraId="36983800" w14:textId="77777777" w:rsidR="004D556D" w:rsidRPr="000F6CD1" w:rsidDel="0094614C" w:rsidRDefault="004D556D" w:rsidP="00622CFF">
            <w:pPr>
              <w:spacing w:before="240" w:after="240" w:line="240" w:lineRule="auto"/>
              <w:rPr>
                <w:rFonts w:eastAsia="Yu Gothic Light"/>
                <w:color w:val="FFFFFF"/>
                <w:szCs w:val="22"/>
              </w:rPr>
            </w:pPr>
            <w:r w:rsidRPr="000F6CD1" w:rsidDel="0094614C">
              <w:rPr>
                <w:rFonts w:eastAsia="Yu Gothic Light"/>
                <w:b/>
                <w:color w:val="FFFFFF"/>
                <w:szCs w:val="22"/>
              </w:rPr>
              <w:t xml:space="preserve"> criteria</w:t>
            </w:r>
            <w:r w:rsidRPr="000F6CD1" w:rsidDel="0094614C">
              <w:rPr>
                <w:rFonts w:eastAsia="Yu Gothic Light"/>
                <w:color w:val="FFFFFF"/>
                <w:szCs w:val="22"/>
              </w:rPr>
              <w:t> </w:t>
            </w:r>
          </w:p>
        </w:tc>
        <w:tc>
          <w:tcPr>
            <w:tcW w:w="1990" w:type="dxa"/>
            <w:shd w:val="clear" w:color="auto" w:fill="002060"/>
            <w:hideMark/>
          </w:tcPr>
          <w:p w14:paraId="08A924F4" w14:textId="77777777" w:rsidR="004D556D" w:rsidRPr="000F6CD1" w:rsidDel="0094614C" w:rsidRDefault="004D556D" w:rsidP="00622CFF">
            <w:pPr>
              <w:spacing w:before="240" w:after="240" w:line="240" w:lineRule="auto"/>
              <w:ind w:firstLine="7"/>
              <w:rPr>
                <w:rFonts w:eastAsia="Yu Gothic Light"/>
                <w:color w:val="FFFFFF"/>
                <w:szCs w:val="22"/>
              </w:rPr>
            </w:pPr>
            <w:r w:rsidRPr="000F6CD1" w:rsidDel="0094614C">
              <w:rPr>
                <w:rFonts w:eastAsia="Yu Gothic Light"/>
                <w:b/>
                <w:color w:val="FFFFFF"/>
                <w:szCs w:val="22"/>
              </w:rPr>
              <w:t>Available service group/s</w:t>
            </w:r>
            <w:r w:rsidRPr="000F6CD1" w:rsidDel="0094614C">
              <w:rPr>
                <w:rFonts w:eastAsia="Yu Gothic Light"/>
                <w:color w:val="FFFFFF"/>
                <w:szCs w:val="22"/>
              </w:rPr>
              <w:t> </w:t>
            </w:r>
          </w:p>
        </w:tc>
        <w:tc>
          <w:tcPr>
            <w:tcW w:w="1837" w:type="dxa"/>
            <w:shd w:val="clear" w:color="auto" w:fill="002060"/>
            <w:hideMark/>
          </w:tcPr>
          <w:p w14:paraId="5BFB6D05" w14:textId="77777777" w:rsidR="004D556D" w:rsidRPr="000F6CD1" w:rsidDel="0094614C" w:rsidRDefault="004D556D" w:rsidP="00622CFF">
            <w:pPr>
              <w:spacing w:before="240" w:after="240" w:line="240" w:lineRule="auto"/>
              <w:rPr>
                <w:rFonts w:eastAsia="Yu Gothic Light"/>
                <w:color w:val="FFFFFF"/>
                <w:szCs w:val="22"/>
              </w:rPr>
            </w:pPr>
            <w:r w:rsidRPr="000F6CD1" w:rsidDel="0094614C">
              <w:rPr>
                <w:rFonts w:eastAsia="Yu Gothic Light"/>
                <w:b/>
                <w:color w:val="FFFFFF"/>
                <w:szCs w:val="22"/>
              </w:rPr>
              <w:t>Available classification type/s</w:t>
            </w:r>
            <w:r w:rsidRPr="000F6CD1" w:rsidDel="0094614C">
              <w:rPr>
                <w:rFonts w:eastAsia="Yu Gothic Light"/>
                <w:color w:val="FFFFFF"/>
                <w:szCs w:val="22"/>
              </w:rPr>
              <w:t> </w:t>
            </w:r>
          </w:p>
        </w:tc>
        <w:tc>
          <w:tcPr>
            <w:tcW w:w="2724" w:type="dxa"/>
            <w:shd w:val="clear" w:color="auto" w:fill="002060"/>
            <w:hideMark/>
          </w:tcPr>
          <w:p w14:paraId="5792447D" w14:textId="77777777" w:rsidR="004D556D" w:rsidRPr="000F6CD1" w:rsidDel="0094614C" w:rsidRDefault="004D556D" w:rsidP="00622CFF">
            <w:pPr>
              <w:spacing w:before="240" w:after="240" w:line="240" w:lineRule="auto"/>
              <w:rPr>
                <w:rFonts w:eastAsia="Yu Gothic Light"/>
                <w:color w:val="FFFFFF"/>
                <w:szCs w:val="22"/>
              </w:rPr>
            </w:pPr>
            <w:r w:rsidRPr="000F6CD1" w:rsidDel="0094614C">
              <w:rPr>
                <w:rFonts w:eastAsia="Yu Gothic Light"/>
                <w:b/>
                <w:color w:val="FFFFFF"/>
                <w:szCs w:val="22"/>
              </w:rPr>
              <w:t>Relevant program/s</w:t>
            </w:r>
            <w:r w:rsidRPr="000F6CD1" w:rsidDel="0094614C">
              <w:rPr>
                <w:rFonts w:eastAsia="Yu Gothic Light"/>
                <w:color w:val="FFFFFF"/>
                <w:szCs w:val="22"/>
              </w:rPr>
              <w:t> </w:t>
            </w:r>
          </w:p>
        </w:tc>
        <w:tc>
          <w:tcPr>
            <w:tcW w:w="0" w:type="auto"/>
            <w:shd w:val="clear" w:color="auto" w:fill="3F4A75"/>
            <w:vAlign w:val="center"/>
            <w:hideMark/>
          </w:tcPr>
          <w:p w14:paraId="215A49ED" w14:textId="77777777" w:rsidR="004D556D" w:rsidRPr="000F6CD1" w:rsidDel="0094614C" w:rsidRDefault="004D556D" w:rsidP="00622CFF">
            <w:pPr>
              <w:spacing w:before="240" w:after="240" w:line="240" w:lineRule="auto"/>
              <w:rPr>
                <w:rFonts w:eastAsia="Yu Gothic Light"/>
                <w:color w:val="FFFFFF"/>
                <w:szCs w:val="22"/>
              </w:rPr>
            </w:pPr>
          </w:p>
        </w:tc>
      </w:tr>
      <w:tr w:rsidR="004D556D" w:rsidRPr="000F6CD1" w:rsidDel="0094614C" w14:paraId="3501D054" w14:textId="77777777">
        <w:trPr>
          <w:trHeight w:val="300"/>
        </w:trPr>
        <w:tc>
          <w:tcPr>
            <w:tcW w:w="654" w:type="dxa"/>
            <w:hideMark/>
          </w:tcPr>
          <w:p w14:paraId="75060923"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66 </w:t>
            </w:r>
          </w:p>
        </w:tc>
        <w:tc>
          <w:tcPr>
            <w:tcW w:w="2323" w:type="dxa"/>
            <w:hideMark/>
          </w:tcPr>
          <w:p w14:paraId="03997BAE"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Individual must be an Aboriginal or Torres Strait Islander person </w:t>
            </w:r>
          </w:p>
          <w:p w14:paraId="322A6E58"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rPr>
              <w:t xml:space="preserve">The individual must meet any eligibility requirements prescribed by the rules for the relevant service group. </w:t>
            </w:r>
          </w:p>
        </w:tc>
        <w:tc>
          <w:tcPr>
            <w:tcW w:w="1990" w:type="dxa"/>
            <w:hideMark/>
          </w:tcPr>
          <w:p w14:paraId="20D7FF49" w14:textId="77777777" w:rsidR="004D556D" w:rsidRPr="000F6CD1" w:rsidDel="0094614C" w:rsidRDefault="004D556D" w:rsidP="00622CFF">
            <w:pPr>
              <w:numPr>
                <w:ilvl w:val="0"/>
                <w:numId w:val="11"/>
              </w:numPr>
              <w:spacing w:before="240" w:after="240" w:line="240" w:lineRule="auto"/>
              <w:ind w:left="360" w:hanging="276"/>
              <w:rPr>
                <w:rFonts w:eastAsia="Yu Gothic Light"/>
                <w:szCs w:val="22"/>
              </w:rPr>
            </w:pPr>
            <w:r w:rsidRPr="000F6CD1" w:rsidDel="0094614C">
              <w:rPr>
                <w:rFonts w:eastAsia="Yu Gothic Light"/>
                <w:szCs w:val="22"/>
              </w:rPr>
              <w:t>Residential Care </w:t>
            </w:r>
          </w:p>
          <w:p w14:paraId="19695AC7" w14:textId="77777777" w:rsidR="004D556D" w:rsidRPr="000F6CD1" w:rsidDel="0094614C" w:rsidRDefault="004D556D" w:rsidP="00622CFF">
            <w:pPr>
              <w:numPr>
                <w:ilvl w:val="0"/>
                <w:numId w:val="12"/>
              </w:numPr>
              <w:spacing w:before="240" w:after="240" w:line="240" w:lineRule="auto"/>
              <w:ind w:left="360" w:hanging="276"/>
              <w:rPr>
                <w:rFonts w:eastAsia="Yu Gothic Light"/>
                <w:szCs w:val="22"/>
              </w:rPr>
            </w:pPr>
            <w:r w:rsidRPr="000F6CD1" w:rsidDel="0094614C">
              <w:rPr>
                <w:rFonts w:eastAsia="Yu Gothic Light"/>
                <w:szCs w:val="22"/>
              </w:rPr>
              <w:t>Home Support </w:t>
            </w:r>
          </w:p>
          <w:p w14:paraId="79CC542A" w14:textId="77777777" w:rsidR="004D556D" w:rsidRPr="000F6CD1" w:rsidDel="0094614C" w:rsidRDefault="004D556D" w:rsidP="00622CFF">
            <w:pPr>
              <w:numPr>
                <w:ilvl w:val="0"/>
                <w:numId w:val="13"/>
              </w:numPr>
              <w:spacing w:before="240" w:after="240" w:line="240" w:lineRule="auto"/>
              <w:ind w:left="360" w:hanging="276"/>
              <w:rPr>
                <w:rFonts w:eastAsia="Yu Gothic Light"/>
                <w:szCs w:val="22"/>
              </w:rPr>
            </w:pPr>
            <w:r w:rsidRPr="000F6CD1" w:rsidDel="0094614C">
              <w:rPr>
                <w:rFonts w:eastAsia="Yu Gothic Light"/>
                <w:szCs w:val="22"/>
              </w:rPr>
              <w:t>Assistive Technology </w:t>
            </w:r>
          </w:p>
          <w:p w14:paraId="2EC5C13A" w14:textId="77777777" w:rsidR="004D556D" w:rsidRPr="000F6CD1" w:rsidDel="0094614C" w:rsidRDefault="004D556D" w:rsidP="00622CFF">
            <w:pPr>
              <w:numPr>
                <w:ilvl w:val="0"/>
                <w:numId w:val="14"/>
              </w:numPr>
              <w:spacing w:before="240" w:after="240" w:line="240" w:lineRule="auto"/>
              <w:ind w:left="360" w:hanging="276"/>
              <w:rPr>
                <w:rFonts w:eastAsia="Yu Gothic Light"/>
                <w:szCs w:val="22"/>
              </w:rPr>
            </w:pPr>
            <w:r w:rsidRPr="000F6CD1" w:rsidDel="0094614C">
              <w:rPr>
                <w:rFonts w:eastAsia="Yu Gothic Light"/>
                <w:szCs w:val="22"/>
              </w:rPr>
              <w:t>Home Modifications  </w:t>
            </w:r>
          </w:p>
        </w:tc>
        <w:tc>
          <w:tcPr>
            <w:tcW w:w="1837" w:type="dxa"/>
            <w:hideMark/>
          </w:tcPr>
          <w:p w14:paraId="73928C2F"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All classification types </w:t>
            </w:r>
          </w:p>
        </w:tc>
        <w:tc>
          <w:tcPr>
            <w:tcW w:w="2724" w:type="dxa"/>
            <w:hideMark/>
          </w:tcPr>
          <w:p w14:paraId="5818D72A"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All programs. </w:t>
            </w:r>
          </w:p>
          <w:p w14:paraId="4C035C45"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 </w:t>
            </w:r>
          </w:p>
          <w:p w14:paraId="37F7A021"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 </w:t>
            </w:r>
          </w:p>
        </w:tc>
        <w:tc>
          <w:tcPr>
            <w:tcW w:w="0" w:type="auto"/>
            <w:vAlign w:val="center"/>
            <w:hideMark/>
          </w:tcPr>
          <w:p w14:paraId="31C6DC65" w14:textId="77777777" w:rsidR="004D556D" w:rsidRPr="000F6CD1" w:rsidDel="0094614C" w:rsidRDefault="004D556D" w:rsidP="00622CFF">
            <w:pPr>
              <w:spacing w:before="240" w:after="240" w:line="240" w:lineRule="auto"/>
              <w:rPr>
                <w:rFonts w:eastAsia="Yu Gothic Light"/>
                <w:szCs w:val="22"/>
              </w:rPr>
            </w:pPr>
          </w:p>
        </w:tc>
      </w:tr>
      <w:tr w:rsidR="004D556D" w:rsidRPr="000F6CD1" w:rsidDel="0094614C" w14:paraId="626DB668" w14:textId="77777777">
        <w:trPr>
          <w:trHeight w:val="300"/>
        </w:trPr>
        <w:tc>
          <w:tcPr>
            <w:tcW w:w="654" w:type="dxa"/>
            <w:hideMark/>
          </w:tcPr>
          <w:p w14:paraId="21A204DA"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67 </w:t>
            </w:r>
          </w:p>
        </w:tc>
        <w:tc>
          <w:tcPr>
            <w:tcW w:w="2323" w:type="dxa"/>
            <w:hideMark/>
          </w:tcPr>
          <w:p w14:paraId="5FA0ECF8"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 xml:space="preserve">Individual must have an impairment; </w:t>
            </w:r>
            <w:r w:rsidRPr="000F6CD1" w:rsidDel="0094614C">
              <w:rPr>
                <w:rFonts w:eastAsia="Yu Gothic Light"/>
                <w:b/>
                <w:szCs w:val="22"/>
              </w:rPr>
              <w:t>and</w:t>
            </w:r>
            <w:r w:rsidRPr="000F6CD1" w:rsidDel="0094614C">
              <w:rPr>
                <w:rFonts w:eastAsia="Yu Gothic Light"/>
                <w:szCs w:val="22"/>
              </w:rPr>
              <w:t> </w:t>
            </w:r>
          </w:p>
          <w:p w14:paraId="3BAFD4C3"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 xml:space="preserve">There must be a specific reason why the individual requires access to the service type/s or services. </w:t>
            </w:r>
          </w:p>
          <w:p w14:paraId="6382218B"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rPr>
              <w:t>The individual must meet any eligibility requirements prescribed by the rules for the relevant service group.</w:t>
            </w:r>
          </w:p>
        </w:tc>
        <w:tc>
          <w:tcPr>
            <w:tcW w:w="1990" w:type="dxa"/>
            <w:hideMark/>
          </w:tcPr>
          <w:p w14:paraId="124DB022" w14:textId="77777777" w:rsidR="004D556D" w:rsidRPr="000F6CD1" w:rsidDel="0094614C" w:rsidRDefault="004D556D" w:rsidP="00622CFF">
            <w:pPr>
              <w:numPr>
                <w:ilvl w:val="0"/>
                <w:numId w:val="15"/>
              </w:numPr>
              <w:spacing w:before="240" w:after="240" w:line="240" w:lineRule="auto"/>
              <w:ind w:left="360" w:hanging="276"/>
              <w:rPr>
                <w:rFonts w:eastAsia="Yu Gothic Light"/>
                <w:szCs w:val="22"/>
              </w:rPr>
            </w:pPr>
            <w:r w:rsidRPr="000F6CD1" w:rsidDel="0094614C">
              <w:rPr>
                <w:rFonts w:eastAsia="Yu Gothic Light"/>
                <w:szCs w:val="22"/>
              </w:rPr>
              <w:t>Home Support </w:t>
            </w:r>
          </w:p>
          <w:p w14:paraId="496ACBA3" w14:textId="77777777" w:rsidR="004D556D" w:rsidRPr="000F6CD1" w:rsidDel="0094614C" w:rsidRDefault="004D556D" w:rsidP="00622CFF">
            <w:pPr>
              <w:numPr>
                <w:ilvl w:val="0"/>
                <w:numId w:val="16"/>
              </w:numPr>
              <w:spacing w:before="240" w:after="240" w:line="240" w:lineRule="auto"/>
              <w:ind w:left="360" w:hanging="276"/>
              <w:rPr>
                <w:rFonts w:eastAsia="Yu Gothic Light"/>
                <w:szCs w:val="22"/>
              </w:rPr>
            </w:pPr>
            <w:r w:rsidRPr="000F6CD1" w:rsidDel="0094614C">
              <w:rPr>
                <w:rFonts w:eastAsia="Yu Gothic Light"/>
                <w:szCs w:val="22"/>
              </w:rPr>
              <w:t>Assistive Technology </w:t>
            </w:r>
          </w:p>
          <w:p w14:paraId="21130A67" w14:textId="77777777" w:rsidR="004D556D" w:rsidRPr="000F6CD1" w:rsidDel="0094614C" w:rsidRDefault="004D556D" w:rsidP="00622CFF">
            <w:pPr>
              <w:numPr>
                <w:ilvl w:val="0"/>
                <w:numId w:val="17"/>
              </w:numPr>
              <w:spacing w:before="240" w:after="240" w:line="240" w:lineRule="auto"/>
              <w:ind w:left="360" w:hanging="276"/>
              <w:rPr>
                <w:rFonts w:eastAsia="Yu Gothic Light"/>
                <w:szCs w:val="22"/>
              </w:rPr>
            </w:pPr>
            <w:r w:rsidRPr="000F6CD1" w:rsidDel="0094614C">
              <w:rPr>
                <w:rFonts w:eastAsia="Yu Gothic Light"/>
                <w:szCs w:val="22"/>
              </w:rPr>
              <w:t>Home modifications </w:t>
            </w:r>
          </w:p>
        </w:tc>
        <w:tc>
          <w:tcPr>
            <w:tcW w:w="1837" w:type="dxa"/>
            <w:hideMark/>
          </w:tcPr>
          <w:p w14:paraId="7282D141"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All classification types </w:t>
            </w:r>
          </w:p>
        </w:tc>
        <w:tc>
          <w:tcPr>
            <w:tcW w:w="2724" w:type="dxa"/>
            <w:hideMark/>
          </w:tcPr>
          <w:p w14:paraId="1FA2A187" w14:textId="77777777" w:rsidR="004D556D" w:rsidRPr="000F6CD1" w:rsidDel="0094614C" w:rsidRDefault="004D556D" w:rsidP="00622CFF">
            <w:pPr>
              <w:numPr>
                <w:ilvl w:val="0"/>
                <w:numId w:val="18"/>
              </w:numPr>
              <w:spacing w:before="240" w:after="240" w:line="240" w:lineRule="auto"/>
              <w:ind w:left="360"/>
              <w:rPr>
                <w:rFonts w:eastAsia="Yu Gothic Light"/>
                <w:szCs w:val="22"/>
              </w:rPr>
            </w:pPr>
            <w:r w:rsidRPr="000F6CD1" w:rsidDel="0094614C">
              <w:rPr>
                <w:rFonts w:eastAsia="Yu Gothic Light"/>
                <w:szCs w:val="22"/>
              </w:rPr>
              <w:t>Support at Home </w:t>
            </w:r>
          </w:p>
          <w:p w14:paraId="3D1B75B6" w14:textId="77777777" w:rsidR="004D556D" w:rsidRPr="000F6CD1" w:rsidDel="0094614C" w:rsidRDefault="004D556D" w:rsidP="00622CFF">
            <w:pPr>
              <w:numPr>
                <w:ilvl w:val="0"/>
                <w:numId w:val="19"/>
              </w:numPr>
              <w:spacing w:before="240" w:after="240" w:line="240" w:lineRule="auto"/>
              <w:ind w:left="360"/>
              <w:rPr>
                <w:rFonts w:eastAsia="Yu Gothic Light"/>
                <w:szCs w:val="22"/>
              </w:rPr>
            </w:pPr>
            <w:r w:rsidRPr="000F6CD1" w:rsidDel="0094614C">
              <w:rPr>
                <w:rFonts w:eastAsia="Yu Gothic Light"/>
                <w:szCs w:val="22"/>
              </w:rPr>
              <w:t>CHSP </w:t>
            </w:r>
          </w:p>
          <w:p w14:paraId="617F8D66" w14:textId="77777777" w:rsidR="004D556D" w:rsidRPr="000F6CD1" w:rsidDel="0094614C" w:rsidRDefault="004D556D" w:rsidP="00622CFF">
            <w:pPr>
              <w:numPr>
                <w:ilvl w:val="0"/>
                <w:numId w:val="20"/>
              </w:numPr>
              <w:spacing w:before="240" w:after="240" w:line="240" w:lineRule="auto"/>
              <w:ind w:left="360"/>
              <w:rPr>
                <w:rFonts w:eastAsia="Yu Gothic Light"/>
                <w:szCs w:val="22"/>
              </w:rPr>
            </w:pPr>
            <w:r w:rsidRPr="000F6CD1" w:rsidDel="0094614C">
              <w:rPr>
                <w:rFonts w:eastAsia="Yu Gothic Light"/>
                <w:szCs w:val="22"/>
              </w:rPr>
              <w:t>TCP </w:t>
            </w:r>
          </w:p>
          <w:p w14:paraId="75606A6D" w14:textId="77777777" w:rsidR="004D556D" w:rsidRPr="000F6CD1" w:rsidDel="0094614C" w:rsidRDefault="004D556D" w:rsidP="00622CFF">
            <w:pPr>
              <w:numPr>
                <w:ilvl w:val="0"/>
                <w:numId w:val="21"/>
              </w:numPr>
              <w:spacing w:before="240" w:after="240" w:line="240" w:lineRule="auto"/>
              <w:ind w:left="360"/>
              <w:rPr>
                <w:rFonts w:eastAsia="Yu Gothic Light"/>
                <w:szCs w:val="22"/>
              </w:rPr>
            </w:pPr>
            <w:r w:rsidRPr="000F6CD1" w:rsidDel="0094614C">
              <w:rPr>
                <w:rFonts w:eastAsia="Yu Gothic Light"/>
                <w:szCs w:val="22"/>
              </w:rPr>
              <w:t>MPSP </w:t>
            </w:r>
          </w:p>
          <w:p w14:paraId="0EDFD8C7" w14:textId="77777777" w:rsidR="004D556D" w:rsidRPr="000F6CD1" w:rsidDel="0094614C" w:rsidRDefault="004D556D" w:rsidP="00622CFF">
            <w:pPr>
              <w:numPr>
                <w:ilvl w:val="0"/>
                <w:numId w:val="22"/>
              </w:numPr>
              <w:spacing w:before="240" w:after="240" w:line="240" w:lineRule="auto"/>
              <w:ind w:left="360"/>
              <w:rPr>
                <w:rFonts w:eastAsia="Yu Gothic Light"/>
                <w:szCs w:val="22"/>
              </w:rPr>
            </w:pPr>
            <w:r w:rsidRPr="000F6CD1" w:rsidDel="0094614C">
              <w:rPr>
                <w:rFonts w:eastAsia="Yu Gothic Light"/>
                <w:szCs w:val="22"/>
              </w:rPr>
              <w:t>NATSIFACP </w:t>
            </w:r>
          </w:p>
        </w:tc>
        <w:tc>
          <w:tcPr>
            <w:tcW w:w="0" w:type="auto"/>
            <w:vAlign w:val="center"/>
            <w:hideMark/>
          </w:tcPr>
          <w:p w14:paraId="3C8C0377" w14:textId="77777777" w:rsidR="004D556D" w:rsidRPr="000F6CD1" w:rsidDel="0094614C" w:rsidRDefault="004D556D" w:rsidP="00622CFF">
            <w:pPr>
              <w:spacing w:before="240" w:after="240" w:line="240" w:lineRule="auto"/>
              <w:rPr>
                <w:rFonts w:eastAsia="Yu Gothic Light"/>
                <w:szCs w:val="22"/>
              </w:rPr>
            </w:pPr>
          </w:p>
        </w:tc>
      </w:tr>
      <w:tr w:rsidR="004D556D" w:rsidRPr="000F6CD1" w:rsidDel="0094614C" w14:paraId="0C7486F5" w14:textId="77777777">
        <w:trPr>
          <w:trHeight w:val="300"/>
        </w:trPr>
        <w:tc>
          <w:tcPr>
            <w:tcW w:w="654" w:type="dxa"/>
            <w:hideMark/>
          </w:tcPr>
          <w:p w14:paraId="25FBAD3E"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68 </w:t>
            </w:r>
          </w:p>
        </w:tc>
        <w:tc>
          <w:tcPr>
            <w:tcW w:w="2323" w:type="dxa"/>
            <w:hideMark/>
          </w:tcPr>
          <w:p w14:paraId="4331E7DC" w14:textId="77777777" w:rsidR="004D556D" w:rsidRPr="000F6CD1" w:rsidDel="0094614C" w:rsidRDefault="004D556D" w:rsidP="00622CFF">
            <w:pPr>
              <w:spacing w:before="240" w:after="240" w:line="240" w:lineRule="auto"/>
              <w:rPr>
                <w:rFonts w:eastAsia="Yu Gothic Light"/>
              </w:rPr>
            </w:pPr>
            <w:r w:rsidRPr="000F6CD1" w:rsidDel="0094614C">
              <w:rPr>
                <w:rFonts w:eastAsia="Yu Gothic Light"/>
              </w:rPr>
              <w:t>Individual must have a continuing need for residential care because they are ‘sick’</w:t>
            </w:r>
          </w:p>
          <w:p w14:paraId="6C98AF92" w14:textId="77777777" w:rsidR="004D556D" w:rsidRPr="000F6CD1" w:rsidDel="0094614C" w:rsidRDefault="004D556D" w:rsidP="00622CFF">
            <w:pPr>
              <w:spacing w:before="240" w:after="240" w:line="240" w:lineRule="auto"/>
              <w:rPr>
                <w:rFonts w:eastAsia="Yu Gothic Light"/>
              </w:rPr>
            </w:pPr>
            <w:r w:rsidRPr="000F6CD1" w:rsidDel="0094614C">
              <w:rPr>
                <w:rFonts w:eastAsia="Yu Gothic Light"/>
              </w:rPr>
              <w:t>The individual must meet the eligibility requirements prescribed by the rules for the service group residential care.</w:t>
            </w:r>
          </w:p>
        </w:tc>
        <w:tc>
          <w:tcPr>
            <w:tcW w:w="1990" w:type="dxa"/>
            <w:hideMark/>
          </w:tcPr>
          <w:p w14:paraId="38946D46" w14:textId="77777777" w:rsidR="004D556D" w:rsidRPr="000F6CD1" w:rsidDel="0094614C" w:rsidRDefault="004D556D" w:rsidP="00622CFF">
            <w:pPr>
              <w:numPr>
                <w:ilvl w:val="0"/>
                <w:numId w:val="23"/>
              </w:numPr>
              <w:spacing w:before="240" w:after="240" w:line="240" w:lineRule="auto"/>
              <w:ind w:hanging="276"/>
              <w:rPr>
                <w:rFonts w:eastAsia="Yu Gothic Light"/>
                <w:szCs w:val="22"/>
              </w:rPr>
            </w:pPr>
            <w:r w:rsidRPr="000F6CD1" w:rsidDel="0094614C">
              <w:rPr>
                <w:rFonts w:eastAsia="Yu Gothic Light"/>
                <w:szCs w:val="22"/>
              </w:rPr>
              <w:t>Residential Care </w:t>
            </w:r>
          </w:p>
        </w:tc>
        <w:tc>
          <w:tcPr>
            <w:tcW w:w="1837" w:type="dxa"/>
            <w:hideMark/>
          </w:tcPr>
          <w:p w14:paraId="3130EC60" w14:textId="77777777" w:rsidR="004D556D" w:rsidRPr="000F6CD1" w:rsidDel="0094614C" w:rsidRDefault="004D556D" w:rsidP="00622CFF">
            <w:pPr>
              <w:spacing w:before="240" w:after="240" w:line="240" w:lineRule="auto"/>
              <w:rPr>
                <w:rFonts w:eastAsia="Yu Gothic Light"/>
                <w:szCs w:val="22"/>
              </w:rPr>
            </w:pPr>
            <w:r w:rsidRPr="000F6CD1" w:rsidDel="0094614C">
              <w:rPr>
                <w:rFonts w:eastAsia="Yu Gothic Light"/>
                <w:szCs w:val="22"/>
              </w:rPr>
              <w:t>All classification types </w:t>
            </w:r>
          </w:p>
        </w:tc>
        <w:tc>
          <w:tcPr>
            <w:tcW w:w="2724" w:type="dxa"/>
            <w:hideMark/>
          </w:tcPr>
          <w:p w14:paraId="3CE8DF77" w14:textId="77777777" w:rsidR="004D556D" w:rsidRPr="000F6CD1" w:rsidDel="0094614C" w:rsidRDefault="004D556D" w:rsidP="00622CFF">
            <w:pPr>
              <w:numPr>
                <w:ilvl w:val="0"/>
                <w:numId w:val="24"/>
              </w:numPr>
              <w:spacing w:before="240" w:after="240" w:line="240" w:lineRule="auto"/>
              <w:ind w:left="360"/>
              <w:rPr>
                <w:rFonts w:eastAsia="Yu Gothic Light"/>
                <w:szCs w:val="22"/>
              </w:rPr>
            </w:pPr>
            <w:r w:rsidRPr="000F6CD1" w:rsidDel="0094614C">
              <w:rPr>
                <w:rFonts w:eastAsia="Yu Gothic Light"/>
                <w:szCs w:val="22"/>
              </w:rPr>
              <w:t>Residential care (ongoing or short-term) </w:t>
            </w:r>
          </w:p>
          <w:p w14:paraId="4CD1A1BC" w14:textId="77777777" w:rsidR="004D556D" w:rsidRPr="000F6CD1" w:rsidDel="0094614C" w:rsidRDefault="004D556D" w:rsidP="00622CFF">
            <w:pPr>
              <w:numPr>
                <w:ilvl w:val="0"/>
                <w:numId w:val="25"/>
              </w:numPr>
              <w:spacing w:before="240" w:after="240" w:line="240" w:lineRule="auto"/>
              <w:ind w:left="360"/>
              <w:rPr>
                <w:rFonts w:eastAsia="Yu Gothic Light"/>
                <w:szCs w:val="22"/>
              </w:rPr>
            </w:pPr>
            <w:r w:rsidRPr="000F6CD1" w:rsidDel="0094614C">
              <w:rPr>
                <w:rFonts w:eastAsia="Yu Gothic Light"/>
                <w:szCs w:val="22"/>
              </w:rPr>
              <w:t>TCP </w:t>
            </w:r>
          </w:p>
          <w:p w14:paraId="21368A68" w14:textId="77777777" w:rsidR="004D556D" w:rsidRPr="000F6CD1" w:rsidDel="0094614C" w:rsidRDefault="004D556D" w:rsidP="00622CFF">
            <w:pPr>
              <w:numPr>
                <w:ilvl w:val="0"/>
                <w:numId w:val="26"/>
              </w:numPr>
              <w:spacing w:before="240" w:after="240" w:line="240" w:lineRule="auto"/>
              <w:ind w:left="360"/>
              <w:rPr>
                <w:rFonts w:eastAsia="Yu Gothic Light"/>
                <w:szCs w:val="22"/>
              </w:rPr>
            </w:pPr>
            <w:r w:rsidRPr="000F6CD1" w:rsidDel="0094614C">
              <w:rPr>
                <w:rFonts w:eastAsia="Yu Gothic Light"/>
                <w:szCs w:val="22"/>
              </w:rPr>
              <w:t>MPSP </w:t>
            </w:r>
          </w:p>
          <w:p w14:paraId="44687AD8" w14:textId="77777777" w:rsidR="004D556D" w:rsidRPr="000F6CD1" w:rsidDel="0094614C" w:rsidRDefault="004D556D" w:rsidP="00622CFF">
            <w:pPr>
              <w:numPr>
                <w:ilvl w:val="0"/>
                <w:numId w:val="27"/>
              </w:numPr>
              <w:spacing w:before="240" w:after="240" w:line="240" w:lineRule="auto"/>
              <w:ind w:left="360"/>
              <w:rPr>
                <w:rFonts w:eastAsia="Yu Gothic Light"/>
                <w:szCs w:val="22"/>
              </w:rPr>
            </w:pPr>
            <w:r w:rsidRPr="000F6CD1" w:rsidDel="0094614C">
              <w:rPr>
                <w:rFonts w:eastAsia="Yu Gothic Light"/>
                <w:szCs w:val="22"/>
              </w:rPr>
              <w:t>NATSIFACP </w:t>
            </w:r>
          </w:p>
        </w:tc>
        <w:tc>
          <w:tcPr>
            <w:tcW w:w="0" w:type="auto"/>
            <w:vAlign w:val="center"/>
            <w:hideMark/>
          </w:tcPr>
          <w:p w14:paraId="773D79BF" w14:textId="77777777" w:rsidR="004D556D" w:rsidRPr="000F6CD1" w:rsidDel="0094614C" w:rsidRDefault="004D556D" w:rsidP="00622CFF">
            <w:pPr>
              <w:spacing w:before="240" w:after="240" w:line="240" w:lineRule="auto"/>
              <w:rPr>
                <w:rFonts w:eastAsia="Yu Gothic Light"/>
                <w:szCs w:val="22"/>
              </w:rPr>
            </w:pPr>
          </w:p>
        </w:tc>
      </w:tr>
    </w:tbl>
    <w:p w14:paraId="6D6A0E23" w14:textId="77777777" w:rsidR="004D556D" w:rsidRPr="000F6CD1" w:rsidDel="0094614C" w:rsidRDefault="004D556D" w:rsidP="006962F6">
      <w:pPr>
        <w:pStyle w:val="NormalText"/>
      </w:pPr>
      <w:bookmarkStart w:id="623" w:name="_Toc525248863"/>
      <w:bookmarkStart w:id="624" w:name="_Toc199344500"/>
      <w:bookmarkStart w:id="625" w:name="_Toc199402631"/>
    </w:p>
    <w:p w14:paraId="18AD4A35" w14:textId="77777777" w:rsidR="004D556D" w:rsidRPr="000F6CD1" w:rsidDel="0094614C" w:rsidRDefault="004D556D" w:rsidP="002B6E5A">
      <w:pPr>
        <w:rPr>
          <w:rFonts w:eastAsia="Times New Roman" w:cstheme="minorBidi"/>
          <w:color w:val="000000" w:themeColor="text1"/>
          <w:szCs w:val="20"/>
          <w:shd w:val="clear" w:color="auto" w:fill="FFFFFF"/>
          <w:lang w:eastAsia="en-GB"/>
        </w:rPr>
      </w:pPr>
      <w:r w:rsidRPr="000F6CD1" w:rsidDel="0094614C">
        <w:br w:type="page"/>
      </w:r>
    </w:p>
    <w:p w14:paraId="4B047F89" w14:textId="77777777" w:rsidR="004D556D" w:rsidRPr="000F6CD1" w:rsidDel="0094614C" w:rsidRDefault="004D556D" w:rsidP="006962F6">
      <w:pPr>
        <w:pStyle w:val="NormalText"/>
      </w:pPr>
      <w:r w:rsidRPr="000F6CD1" w:rsidDel="0094614C">
        <w:lastRenderedPageBreak/>
        <w:t>Figure 7 below provides a visual summary of the three pathways to access approval (sections 66, 67 and 68).</w:t>
      </w:r>
    </w:p>
    <w:p w14:paraId="069D9206" w14:textId="77777777" w:rsidR="004D556D" w:rsidRPr="000F6CD1" w:rsidDel="0094614C" w:rsidRDefault="004D556D" w:rsidP="006962F6">
      <w:pPr>
        <w:pStyle w:val="NormalText"/>
      </w:pPr>
      <w:r w:rsidRPr="000F6CD1" w:rsidDel="0094614C">
        <w:rPr>
          <w:noProof/>
          <w14:ligatures w14:val="standardContextual"/>
        </w:rPr>
        <w:drawing>
          <wp:inline distT="0" distB="0" distL="0" distR="0" wp14:anchorId="2092737A" wp14:editId="08C921FD">
            <wp:extent cx="5731510" cy="2846705"/>
            <wp:effectExtent l="0" t="0" r="2540" b="0"/>
            <wp:docPr id="1627679096" name="Picture 1" descr="The figure provides a visual summary of three pathways to access approval under sections 66, 67 and 68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9096" name="Picture 1" descr="The figure provides a visual summary of three pathways to access approval under sections 66, 67 and 68 under the Aged Care Act 2024"/>
                    <pic:cNvPicPr/>
                  </pic:nvPicPr>
                  <pic:blipFill>
                    <a:blip r:embed="rId238"/>
                    <a:stretch>
                      <a:fillRect/>
                    </a:stretch>
                  </pic:blipFill>
                  <pic:spPr>
                    <a:xfrm>
                      <a:off x="0" y="0"/>
                      <a:ext cx="5731510" cy="2846705"/>
                    </a:xfrm>
                    <a:prstGeom prst="rect">
                      <a:avLst/>
                    </a:prstGeom>
                  </pic:spPr>
                </pic:pic>
              </a:graphicData>
            </a:graphic>
          </wp:inline>
        </w:drawing>
      </w:r>
    </w:p>
    <w:p w14:paraId="65F7AF31" w14:textId="77777777" w:rsidR="004D556D" w:rsidRPr="000F6CD1" w:rsidDel="0094614C" w:rsidRDefault="004D556D" w:rsidP="00183BEF">
      <w:pPr>
        <w:pStyle w:val="Caption"/>
        <w:spacing w:before="240" w:after="240"/>
        <w:rPr>
          <w:i/>
          <w:sz w:val="18"/>
          <w:szCs w:val="14"/>
        </w:rPr>
      </w:pPr>
      <w:r w:rsidRPr="000F6CD1" w:rsidDel="0094614C">
        <w:rPr>
          <w:b w:val="0"/>
          <w:bCs/>
          <w:i/>
          <w:iCs w:val="0"/>
          <w:sz w:val="18"/>
          <w:szCs w:val="14"/>
        </w:rPr>
        <w:t>Figure 7 – Overview of pathways to approval for service access under the Act</w:t>
      </w:r>
    </w:p>
    <w:p w14:paraId="6A08E1C9" w14:textId="77777777" w:rsidR="004D556D" w:rsidRPr="000F6CD1" w:rsidDel="0094614C" w:rsidRDefault="004D556D" w:rsidP="00674659">
      <w:pPr>
        <w:pStyle w:val="NormalText"/>
      </w:pPr>
    </w:p>
    <w:p w14:paraId="71CAC6F1" w14:textId="77777777" w:rsidR="004D556D" w:rsidRPr="000F6CD1" w:rsidRDefault="004D556D" w:rsidP="00AD2CE5">
      <w:pPr>
        <w:pStyle w:val="H3"/>
      </w:pPr>
      <w:r w:rsidRPr="000F6CD1">
        <w:t>Section 66 – Aboriginal or Torres Strait Islander persons</w:t>
      </w:r>
      <w:bookmarkEnd w:id="623"/>
      <w:bookmarkEnd w:id="624"/>
      <w:bookmarkEnd w:id="625"/>
      <w:r w:rsidRPr="000F6CD1">
        <w:t> </w:t>
      </w:r>
    </w:p>
    <w:p w14:paraId="0B3EED1C" w14:textId="77777777" w:rsidR="004D556D" w:rsidRPr="000F6CD1" w:rsidRDefault="004D556D" w:rsidP="00622CFF">
      <w:pPr>
        <w:spacing w:before="240" w:after="240" w:line="240" w:lineRule="auto"/>
        <w:rPr>
          <w:rFonts w:eastAsia="Yu Gothic Light"/>
        </w:rPr>
      </w:pPr>
      <w:r w:rsidRPr="000F6CD1">
        <w:rPr>
          <w:rFonts w:eastAsia="Yu Gothic Light"/>
        </w:rPr>
        <w:t>Section 66 provides a special pathway for Aboriginal or Torres Strait Islander people to be approved under section 65(1) to access funded aged care services. This pathway is unique for Aboriginal and Torres Strait Islander people because it relies on a different power in the Constitution to the other eligibility for approval provisions. </w:t>
      </w:r>
    </w:p>
    <w:p w14:paraId="081B11D5" w14:textId="77777777" w:rsidR="004D556D" w:rsidRPr="000F6CD1" w:rsidRDefault="004D556D" w:rsidP="00622CFF">
      <w:pPr>
        <w:spacing w:before="240" w:after="240" w:line="240" w:lineRule="auto"/>
        <w:rPr>
          <w:rFonts w:eastAsia="Yu Gothic Light"/>
        </w:rPr>
      </w:pPr>
      <w:r w:rsidRPr="000F6CD1">
        <w:rPr>
          <w:rFonts w:eastAsia="Yu Gothic Light"/>
        </w:rPr>
        <w:t>Under section 66, an older Aboriginal or Torres Strait Islander person can be approved under section 65(1) for any service group</w:t>
      </w:r>
      <w:r w:rsidRPr="000F6CD1">
        <w:rPr>
          <w:rFonts w:eastAsia="Yu Gothic Light"/>
          <w:bCs/>
        </w:rPr>
        <w:t xml:space="preserve">, which includes </w:t>
      </w:r>
      <w:r w:rsidRPr="000F6CD1">
        <w:rPr>
          <w:rFonts w:eastAsia="Yu Gothic Light"/>
        </w:rPr>
        <w:t>all of the service types and services in the group</w:t>
      </w:r>
      <w:r w:rsidRPr="000F6CD1">
        <w:rPr>
          <w:rFonts w:eastAsia="Yu Gothic Light"/>
          <w:bCs/>
        </w:rPr>
        <w:t>.</w:t>
      </w:r>
      <w:r w:rsidRPr="000F6CD1">
        <w:rPr>
          <w:rFonts w:eastAsia="Yu Gothic Light"/>
        </w:rPr>
        <w:t> </w:t>
      </w:r>
    </w:p>
    <w:p w14:paraId="1187D6DF" w14:textId="77777777" w:rsidR="004D556D" w:rsidRPr="000F6CD1" w:rsidRDefault="004D556D" w:rsidP="001F3023">
      <w:pPr>
        <w:spacing w:before="240" w:after="240" w:line="240" w:lineRule="auto"/>
        <w:rPr>
          <w:rFonts w:eastAsia="Yu Gothic Light"/>
        </w:rPr>
      </w:pPr>
      <w:r w:rsidRPr="000F6CD1">
        <w:rPr>
          <w:rFonts w:eastAsia="Yu Gothic Light"/>
        </w:rPr>
        <w:t>Figure 8 below gives an overview of the section 66 pathway to access approval for older people who are Aboriginal or Torres Strait Islander.</w:t>
      </w:r>
    </w:p>
    <w:p w14:paraId="234AEF39" w14:textId="77777777" w:rsidR="004D556D" w:rsidRPr="000F6CD1" w:rsidRDefault="004D556D" w:rsidP="001F3023">
      <w:pPr>
        <w:spacing w:before="240" w:after="240" w:line="240" w:lineRule="auto"/>
        <w:rPr>
          <w:rFonts w:eastAsia="Yu Gothic Light"/>
        </w:rPr>
      </w:pPr>
      <w:r w:rsidRPr="000F6CD1">
        <w:rPr>
          <w:noProof/>
          <w14:ligatures w14:val="standardContextual"/>
        </w:rPr>
        <w:lastRenderedPageBreak/>
        <w:drawing>
          <wp:inline distT="0" distB="0" distL="0" distR="0" wp14:anchorId="10EA773F" wp14:editId="6FEC01E3">
            <wp:extent cx="5731510" cy="2718794"/>
            <wp:effectExtent l="0" t="0" r="2540" b="5715"/>
            <wp:docPr id="1097233497" name="Picture 1" descr="The figure provides an overview of the section 66 pathway to access approval for older people who are Aboriginal and/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33497" name="Picture 1" descr="The figure provides an overview of the section 66 pathway to access approval for older people who are Aboriginal and/or Torres Strait Islander"/>
                    <pic:cNvPicPr/>
                  </pic:nvPicPr>
                  <pic:blipFill rotWithShape="1">
                    <a:blip r:embed="rId239"/>
                    <a:srcRect t="428"/>
                    <a:stretch>
                      <a:fillRect/>
                    </a:stretch>
                  </pic:blipFill>
                  <pic:spPr bwMode="auto">
                    <a:xfrm>
                      <a:off x="0" y="0"/>
                      <a:ext cx="5731510" cy="2718794"/>
                    </a:xfrm>
                    <a:prstGeom prst="rect">
                      <a:avLst/>
                    </a:prstGeom>
                    <a:ln>
                      <a:noFill/>
                    </a:ln>
                    <a:extLst>
                      <a:ext uri="{53640926-AAD7-44D8-BBD7-CCE9431645EC}">
                        <a14:shadowObscured xmlns:a14="http://schemas.microsoft.com/office/drawing/2010/main"/>
                      </a:ext>
                    </a:extLst>
                  </pic:spPr>
                </pic:pic>
              </a:graphicData>
            </a:graphic>
          </wp:inline>
        </w:drawing>
      </w:r>
    </w:p>
    <w:p w14:paraId="0CC818C1" w14:textId="77777777" w:rsidR="004D556D" w:rsidRPr="000F6CD1" w:rsidRDefault="004D556D" w:rsidP="001F3023">
      <w:pPr>
        <w:pStyle w:val="Caption"/>
        <w:spacing w:before="240" w:after="240"/>
        <w:rPr>
          <w:i/>
          <w:sz w:val="18"/>
          <w:szCs w:val="14"/>
        </w:rPr>
      </w:pPr>
      <w:r w:rsidRPr="000F6CD1">
        <w:rPr>
          <w:b w:val="0"/>
          <w:bCs/>
          <w:i/>
          <w:iCs w:val="0"/>
          <w:sz w:val="18"/>
          <w:szCs w:val="14"/>
        </w:rPr>
        <w:t>Figure 8 – Overview of section 66 pathway to approval for service access</w:t>
      </w:r>
    </w:p>
    <w:p w14:paraId="736A5CAE" w14:textId="77777777" w:rsidR="004D556D" w:rsidRPr="000F6CD1" w:rsidRDefault="004D556D" w:rsidP="00622CFF">
      <w:pPr>
        <w:spacing w:before="240" w:after="240" w:line="240" w:lineRule="auto"/>
        <w:rPr>
          <w:rFonts w:eastAsia="Yu Gothic Light"/>
        </w:rPr>
      </w:pPr>
    </w:p>
    <w:p w14:paraId="527284BB" w14:textId="77777777" w:rsidR="004D556D" w:rsidRPr="000F6CD1" w:rsidRDefault="004D556D">
      <w:pPr>
        <w:pStyle w:val="H4"/>
      </w:pPr>
      <w:r w:rsidRPr="000F6CD1">
        <w:t>Additional eligibility requirements</w:t>
      </w:r>
    </w:p>
    <w:p w14:paraId="0E5AEE27" w14:textId="77777777" w:rsidR="004D556D" w:rsidRPr="000F6CD1" w:rsidRDefault="004D556D" w:rsidP="00622CFF">
      <w:pPr>
        <w:spacing w:before="240" w:after="240" w:line="240" w:lineRule="auto"/>
        <w:rPr>
          <w:rFonts w:eastAsia="Yu Gothic Light"/>
        </w:rPr>
      </w:pPr>
      <w:r w:rsidRPr="000F6CD1">
        <w:rPr>
          <w:rFonts w:eastAsia="Yu Gothic Light"/>
        </w:rPr>
        <w:t xml:space="preserve">While an older Aboriginal or Torres Strait Islander person can be approved at the service group level for any service group, delegates will still need to take into account the additional eligibility requirements in the </w:t>
      </w:r>
      <w:r w:rsidRPr="000F6CD1">
        <w:rPr>
          <w:rFonts w:eastAsia="Yu Gothic Light"/>
          <w:i/>
          <w:iCs/>
        </w:rPr>
        <w:t>Aged Care Rules 2025</w:t>
      </w:r>
      <w:r w:rsidRPr="000F6CD1">
        <w:rPr>
          <w:rFonts w:eastAsia="Yu Gothic Light"/>
        </w:rPr>
        <w:t xml:space="preserve">  (the Rules) for the service group (or groups) the person is actually approved for (section 65-10 to section 65-20 of the Rules). This is required because of section 65(3) of the </w:t>
      </w:r>
      <w:r w:rsidRPr="000818E0">
        <w:rPr>
          <w:rFonts w:eastAsia="Yu Gothic Light"/>
          <w:i/>
          <w:iCs/>
        </w:rPr>
        <w:t>Aged Care Act 2024</w:t>
      </w:r>
      <w:r w:rsidRPr="000F6CD1">
        <w:rPr>
          <w:rFonts w:eastAsia="Yu Gothic Light"/>
        </w:rPr>
        <w:t xml:space="preserve">. </w:t>
      </w:r>
    </w:p>
    <w:p w14:paraId="516EF714" w14:textId="77777777" w:rsidR="004D556D" w:rsidRPr="000F6CD1" w:rsidRDefault="004D556D" w:rsidP="00622CFF">
      <w:pPr>
        <w:spacing w:before="240" w:after="240" w:line="240" w:lineRule="auto"/>
        <w:rPr>
          <w:rFonts w:eastAsia="Yu Gothic Light"/>
        </w:rPr>
      </w:pPr>
      <w:r w:rsidRPr="000F6CD1">
        <w:rPr>
          <w:rFonts w:eastAsia="Yu Gothic Light"/>
        </w:rPr>
        <w:t>The additional requirements for each service group are set out below.</w:t>
      </w:r>
    </w:p>
    <w:p w14:paraId="29099ADA" w14:textId="77777777" w:rsidR="004D556D" w:rsidRPr="000F6CD1" w:rsidRDefault="004D556D" w:rsidP="00622CFF">
      <w:pPr>
        <w:spacing w:before="240" w:after="240" w:line="240" w:lineRule="auto"/>
        <w:rPr>
          <w:rFonts w:eastAsia="Yu Gothic Light"/>
          <w:b/>
          <w:bCs/>
          <w:color w:val="1E1444"/>
        </w:rPr>
      </w:pPr>
      <w:r w:rsidRPr="000F6CD1" w:rsidDel="00E820EE">
        <w:rPr>
          <w:rFonts w:eastAsia="Yu Gothic Light"/>
          <w:b/>
          <w:bCs/>
          <w:color w:val="1E1444"/>
        </w:rPr>
        <w:t xml:space="preserve">Additional </w:t>
      </w:r>
      <w:r w:rsidRPr="000F6CD1">
        <w:rPr>
          <w:rFonts w:eastAsia="Yu Gothic Light"/>
          <w:b/>
          <w:bCs/>
          <w:color w:val="1E1444"/>
        </w:rPr>
        <w:t>eligibility</w:t>
      </w:r>
      <w:r w:rsidRPr="000F6CD1">
        <w:rPr>
          <w:rFonts w:eastAsia="Yu Gothic Light"/>
          <w:b/>
          <w:bCs/>
        </w:rPr>
        <w:t xml:space="preserve"> </w:t>
      </w:r>
      <w:r w:rsidRPr="000F6CD1">
        <w:rPr>
          <w:rFonts w:eastAsia="Yu Gothic Light"/>
          <w:b/>
          <w:bCs/>
          <w:color w:val="1E1444"/>
        </w:rPr>
        <w:t>requirements for home support</w:t>
      </w:r>
    </w:p>
    <w:p w14:paraId="708655D7" w14:textId="77777777" w:rsidR="004D556D" w:rsidRPr="000F6CD1" w:rsidRDefault="004D556D" w:rsidP="00622CFF">
      <w:pPr>
        <w:spacing w:before="240" w:after="240" w:line="240" w:lineRule="auto"/>
        <w:rPr>
          <w:rFonts w:eastAsia="Yu Gothic Light"/>
        </w:rPr>
      </w:pPr>
      <w:r w:rsidRPr="000F6CD1">
        <w:rPr>
          <w:rFonts w:eastAsia="Yu Gothic Light"/>
        </w:rPr>
        <w:t>The system will calculate the score necessary to determine whether an older person has met the additional eligibility requirements for the home support service group listed below. This calculation is made by drawing on the responses from within the Integrated Assessment Tool (IAT). The role of an assessment delegate is to ensure information is accurately recorded in the IAT and to have consideration for the legislative eligibility criteria even though the score is calculated by the system.</w:t>
      </w:r>
    </w:p>
    <w:p w14:paraId="6C97FF3B" w14:textId="4BC75043" w:rsidR="00235EC8" w:rsidRDefault="004D556D" w:rsidP="00622CFF">
      <w:pPr>
        <w:spacing w:before="240" w:after="240" w:line="240" w:lineRule="auto"/>
        <w:rPr>
          <w:rFonts w:eastAsia="Yu Gothic Light"/>
        </w:rPr>
      </w:pPr>
      <w:r w:rsidRPr="000F6CD1">
        <w:rPr>
          <w:rFonts w:eastAsia="Yu Gothic Light"/>
        </w:rPr>
        <w:t xml:space="preserve">The additional requirements for the home support service group are that the person meets any of the ‘score’ requirements for the particular questions in the IAT. These are outlined in the table below. </w:t>
      </w:r>
    </w:p>
    <w:p w14:paraId="4DFF0749" w14:textId="682FCDB7" w:rsidR="004D556D" w:rsidRPr="000F6CD1" w:rsidRDefault="00235EC8" w:rsidP="00235EC8">
      <w:pPr>
        <w:rPr>
          <w:rFonts w:eastAsia="Yu Gothic Light"/>
        </w:rPr>
      </w:pPr>
      <w:r>
        <w:rPr>
          <w:rFonts w:eastAsia="Yu Gothic Light"/>
        </w:rPr>
        <w:br w:type="page"/>
      </w:r>
    </w:p>
    <w:p w14:paraId="1E276A74" w14:textId="77777777" w:rsidR="004D556D" w:rsidRPr="000F6CD1" w:rsidRDefault="004D556D" w:rsidP="00622CFF">
      <w:pPr>
        <w:pStyle w:val="Caption"/>
        <w:spacing w:before="240" w:after="240"/>
        <w:rPr>
          <w:rFonts w:eastAsia="Yu Gothic Light"/>
        </w:rPr>
      </w:pPr>
      <w:r w:rsidRPr="000F6CD1">
        <w:rPr>
          <w:rFonts w:eastAsia="Yu Gothic Light"/>
        </w:rPr>
        <w:lastRenderedPageBreak/>
        <w:t xml:space="preserve">Table 35. Additional eligibility requirements for the home support service group under section 66 </w:t>
      </w:r>
    </w:p>
    <w:tbl>
      <w:tblPr>
        <w:tblStyle w:val="TableGrid"/>
        <w:tblW w:w="0" w:type="auto"/>
        <w:tblLook w:val="04A0" w:firstRow="1" w:lastRow="0" w:firstColumn="1" w:lastColumn="0" w:noHBand="0" w:noVBand="1"/>
        <w:tblCaption w:val="Additional eligibility requirements for the home support service group under section 66 of the Act"/>
        <w:tblDescription w:val="The table provides details of the additional eligibility requirements for the home support service group under section 66 of the Act"/>
      </w:tblPr>
      <w:tblGrid>
        <w:gridCol w:w="4508"/>
        <w:gridCol w:w="4508"/>
      </w:tblGrid>
      <w:tr w:rsidR="004D556D" w:rsidRPr="000F6CD1" w14:paraId="0CEFE830" w14:textId="77777777">
        <w:tc>
          <w:tcPr>
            <w:tcW w:w="4508" w:type="dxa"/>
            <w:shd w:val="clear" w:color="auto" w:fill="002060"/>
          </w:tcPr>
          <w:p w14:paraId="692BACE5" w14:textId="77777777" w:rsidR="004D556D" w:rsidRPr="000F6CD1" w:rsidRDefault="004D556D" w:rsidP="00622CFF">
            <w:pPr>
              <w:spacing w:before="240" w:after="240"/>
              <w:rPr>
                <w:rFonts w:eastAsia="Yu Gothic Light"/>
              </w:rPr>
            </w:pPr>
            <w:r w:rsidRPr="000F6CD1">
              <w:rPr>
                <w:rFonts w:eastAsia="Yu Gothic Light"/>
              </w:rPr>
              <w:t xml:space="preserve">A person has a total score of less than 20 for the questions in the IAT with the following headings: </w:t>
            </w:r>
          </w:p>
        </w:tc>
        <w:tc>
          <w:tcPr>
            <w:tcW w:w="4508" w:type="dxa"/>
          </w:tcPr>
          <w:p w14:paraId="4B94B557"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Climb stairs</w:t>
            </w:r>
          </w:p>
          <w:p w14:paraId="22FDB6E1"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Eating </w:t>
            </w:r>
          </w:p>
          <w:p w14:paraId="7A5D9B45"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Dressing</w:t>
            </w:r>
          </w:p>
          <w:p w14:paraId="741A957B"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Take a bath or shower</w:t>
            </w:r>
          </w:p>
          <w:p w14:paraId="3AE593C8"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Grooming </w:t>
            </w:r>
          </w:p>
          <w:p w14:paraId="1463427D"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Transfers </w:t>
            </w:r>
          </w:p>
          <w:p w14:paraId="3EFA7F4A"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Toilet use </w:t>
            </w:r>
          </w:p>
          <w:p w14:paraId="2AF21778"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Toileting – bladder</w:t>
            </w:r>
          </w:p>
          <w:p w14:paraId="247B2B6A"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Toileting – bowels </w:t>
            </w:r>
          </w:p>
          <w:p w14:paraId="243D4CAA" w14:textId="77777777" w:rsidR="004D556D" w:rsidRPr="000F6CD1" w:rsidRDefault="004D556D">
            <w:pPr>
              <w:numPr>
                <w:ilvl w:val="0"/>
                <w:numId w:val="236"/>
              </w:numPr>
              <w:spacing w:before="240" w:after="240"/>
              <w:contextualSpacing/>
              <w:rPr>
                <w:rFonts w:eastAsia="Yu Gothic Light"/>
              </w:rPr>
            </w:pPr>
            <w:r w:rsidRPr="000F6CD1">
              <w:rPr>
                <w:rFonts w:eastAsia="Yu Gothic Light"/>
              </w:rPr>
              <w:t xml:space="preserve">Walk </w:t>
            </w:r>
          </w:p>
          <w:p w14:paraId="5EB2D05A" w14:textId="77777777" w:rsidR="004D556D" w:rsidRPr="000F6CD1" w:rsidRDefault="004D556D" w:rsidP="00121861">
            <w:pPr>
              <w:spacing w:before="240" w:after="240"/>
              <w:ind w:left="1080"/>
              <w:contextualSpacing/>
              <w:rPr>
                <w:rFonts w:eastAsia="Yu Gothic Light"/>
              </w:rPr>
            </w:pPr>
          </w:p>
        </w:tc>
      </w:tr>
      <w:tr w:rsidR="004D556D" w:rsidRPr="000F6CD1" w14:paraId="42A7CD09" w14:textId="77777777">
        <w:tc>
          <w:tcPr>
            <w:tcW w:w="9016" w:type="dxa"/>
            <w:gridSpan w:val="2"/>
            <w:shd w:val="clear" w:color="auto" w:fill="002060"/>
          </w:tcPr>
          <w:p w14:paraId="6AAB2498" w14:textId="77777777" w:rsidR="004D556D" w:rsidRPr="000F6CD1" w:rsidRDefault="004D556D" w:rsidP="00622CFF">
            <w:pPr>
              <w:spacing w:before="240" w:after="240"/>
              <w:jc w:val="center"/>
              <w:rPr>
                <w:rFonts w:eastAsia="Yu Gothic Light"/>
              </w:rPr>
            </w:pPr>
            <w:r w:rsidRPr="000F6CD1">
              <w:rPr>
                <w:rFonts w:eastAsia="Yu Gothic Light"/>
              </w:rPr>
              <w:t>OR</w:t>
            </w:r>
          </w:p>
        </w:tc>
      </w:tr>
      <w:tr w:rsidR="004D556D" w:rsidRPr="000F6CD1" w14:paraId="0A273D23" w14:textId="77777777">
        <w:tc>
          <w:tcPr>
            <w:tcW w:w="4508" w:type="dxa"/>
            <w:shd w:val="clear" w:color="auto" w:fill="002060"/>
          </w:tcPr>
          <w:p w14:paraId="3A71A8BD" w14:textId="77777777" w:rsidR="004D556D" w:rsidRPr="000F6CD1" w:rsidRDefault="004D556D" w:rsidP="00622CFF">
            <w:pPr>
              <w:spacing w:before="240" w:after="240"/>
              <w:rPr>
                <w:rFonts w:eastAsia="Yu Gothic Light"/>
              </w:rPr>
            </w:pPr>
            <w:r w:rsidRPr="000F6CD1">
              <w:rPr>
                <w:rFonts w:eastAsia="Yu Gothic Light"/>
              </w:rPr>
              <w:t xml:space="preserve">The person has a total score of less than 14 for the questions in the IAT with the following headings: </w:t>
            </w:r>
          </w:p>
        </w:tc>
        <w:tc>
          <w:tcPr>
            <w:tcW w:w="4508" w:type="dxa"/>
          </w:tcPr>
          <w:p w14:paraId="356325AA"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Get to places out of walking distance</w:t>
            </w:r>
          </w:p>
          <w:p w14:paraId="37A8BDC7"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Undertake housework (heavy/moderate) </w:t>
            </w:r>
          </w:p>
          <w:p w14:paraId="5F855F05"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Go shopping (assuming transportation) </w:t>
            </w:r>
          </w:p>
          <w:p w14:paraId="1A9B39F4"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Prepare meals </w:t>
            </w:r>
          </w:p>
          <w:p w14:paraId="500B1823"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Take medicine </w:t>
            </w:r>
          </w:p>
          <w:p w14:paraId="54A9D007"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Handle money </w:t>
            </w:r>
          </w:p>
          <w:p w14:paraId="119E8A2B" w14:textId="77777777" w:rsidR="004D556D" w:rsidRPr="000F6CD1" w:rsidRDefault="004D556D">
            <w:pPr>
              <w:numPr>
                <w:ilvl w:val="0"/>
                <w:numId w:val="237"/>
              </w:numPr>
              <w:spacing w:before="240" w:after="240"/>
              <w:contextualSpacing/>
              <w:rPr>
                <w:rFonts w:eastAsia="Yu Gothic Light"/>
              </w:rPr>
            </w:pPr>
            <w:r w:rsidRPr="000F6CD1">
              <w:rPr>
                <w:rFonts w:eastAsia="Yu Gothic Light"/>
              </w:rPr>
              <w:t xml:space="preserve">Use the telephone </w:t>
            </w:r>
          </w:p>
        </w:tc>
      </w:tr>
      <w:tr w:rsidR="004D556D" w:rsidRPr="000F6CD1" w14:paraId="0C3AD10C" w14:textId="77777777">
        <w:tc>
          <w:tcPr>
            <w:tcW w:w="9016" w:type="dxa"/>
            <w:gridSpan w:val="2"/>
            <w:shd w:val="clear" w:color="auto" w:fill="002060"/>
          </w:tcPr>
          <w:p w14:paraId="1E610CF5" w14:textId="77777777" w:rsidR="004D556D" w:rsidRPr="000F6CD1" w:rsidRDefault="004D556D" w:rsidP="00622CFF">
            <w:pPr>
              <w:spacing w:before="240" w:after="240"/>
              <w:jc w:val="center"/>
              <w:rPr>
                <w:rFonts w:eastAsia="Yu Gothic Light"/>
              </w:rPr>
            </w:pPr>
            <w:r w:rsidRPr="000F6CD1">
              <w:rPr>
                <w:rFonts w:eastAsia="Yu Gothic Light"/>
              </w:rPr>
              <w:t>OR</w:t>
            </w:r>
          </w:p>
        </w:tc>
      </w:tr>
      <w:tr w:rsidR="004D556D" w:rsidRPr="000F6CD1" w14:paraId="7DA27524" w14:textId="77777777">
        <w:tc>
          <w:tcPr>
            <w:tcW w:w="4508" w:type="dxa"/>
            <w:shd w:val="clear" w:color="auto" w:fill="002060"/>
          </w:tcPr>
          <w:p w14:paraId="47727C1F" w14:textId="77777777" w:rsidR="004D556D" w:rsidRPr="000F6CD1" w:rsidRDefault="004D556D" w:rsidP="00622CFF">
            <w:pPr>
              <w:spacing w:before="240" w:after="240"/>
              <w:rPr>
                <w:rFonts w:eastAsia="Yu Gothic Light"/>
              </w:rPr>
            </w:pPr>
            <w:r w:rsidRPr="000F6CD1">
              <w:rPr>
                <w:rFonts w:eastAsia="Yu Gothic Light"/>
              </w:rPr>
              <w:t xml:space="preserve">The person has a score greater than zero for the questions in the sections of the IAT headed:  </w:t>
            </w:r>
          </w:p>
        </w:tc>
        <w:tc>
          <w:tcPr>
            <w:tcW w:w="4508" w:type="dxa"/>
          </w:tcPr>
          <w:p w14:paraId="0E108509" w14:textId="77777777" w:rsidR="004D556D" w:rsidRPr="000F6CD1" w:rsidRDefault="004D556D">
            <w:pPr>
              <w:numPr>
                <w:ilvl w:val="0"/>
                <w:numId w:val="238"/>
              </w:numPr>
              <w:spacing w:before="240" w:after="240"/>
              <w:contextualSpacing/>
              <w:rPr>
                <w:rFonts w:eastAsia="Yu Gothic Light"/>
              </w:rPr>
            </w:pPr>
            <w:r w:rsidRPr="000F6CD1">
              <w:rPr>
                <w:rFonts w:eastAsia="Yu Gothic Light"/>
              </w:rPr>
              <w:t xml:space="preserve">Cognition </w:t>
            </w:r>
          </w:p>
          <w:p w14:paraId="2ACC6098" w14:textId="77777777" w:rsidR="004D556D" w:rsidRPr="000F6CD1" w:rsidRDefault="004D556D">
            <w:pPr>
              <w:numPr>
                <w:ilvl w:val="0"/>
                <w:numId w:val="238"/>
              </w:numPr>
              <w:spacing w:before="240" w:after="240"/>
              <w:contextualSpacing/>
              <w:rPr>
                <w:rFonts w:eastAsia="Yu Gothic Light"/>
              </w:rPr>
            </w:pPr>
            <w:r w:rsidRPr="000F6CD1">
              <w:rPr>
                <w:rFonts w:eastAsia="Yu Gothic Light"/>
              </w:rPr>
              <w:t xml:space="preserve">Medical and Medications </w:t>
            </w:r>
          </w:p>
        </w:tc>
      </w:tr>
      <w:tr w:rsidR="004D556D" w:rsidRPr="000F6CD1" w14:paraId="0B29301D" w14:textId="77777777">
        <w:tc>
          <w:tcPr>
            <w:tcW w:w="9016" w:type="dxa"/>
            <w:gridSpan w:val="2"/>
            <w:shd w:val="clear" w:color="auto" w:fill="002060"/>
          </w:tcPr>
          <w:p w14:paraId="5C74E2AF" w14:textId="77777777" w:rsidR="004D556D" w:rsidRPr="000F6CD1" w:rsidRDefault="004D556D" w:rsidP="00622CFF">
            <w:pPr>
              <w:spacing w:before="240" w:after="240"/>
              <w:jc w:val="center"/>
              <w:rPr>
                <w:rFonts w:eastAsia="Yu Gothic Light"/>
              </w:rPr>
            </w:pPr>
            <w:r w:rsidRPr="000F6CD1">
              <w:rPr>
                <w:rFonts w:eastAsia="Yu Gothic Light"/>
              </w:rPr>
              <w:t>OR</w:t>
            </w:r>
          </w:p>
        </w:tc>
      </w:tr>
      <w:tr w:rsidR="004D556D" w:rsidRPr="000F6CD1" w14:paraId="168F35F9" w14:textId="77777777">
        <w:tc>
          <w:tcPr>
            <w:tcW w:w="4508" w:type="dxa"/>
            <w:shd w:val="clear" w:color="auto" w:fill="002060"/>
          </w:tcPr>
          <w:p w14:paraId="46278886" w14:textId="77777777" w:rsidR="004D556D" w:rsidRPr="000F6CD1" w:rsidRDefault="004D556D" w:rsidP="00622CFF">
            <w:pPr>
              <w:spacing w:before="240" w:after="240"/>
              <w:rPr>
                <w:rFonts w:eastAsia="Yu Gothic Light"/>
              </w:rPr>
            </w:pPr>
            <w:r w:rsidRPr="000F6CD1">
              <w:rPr>
                <w:rFonts w:eastAsia="Yu Gothic Light"/>
              </w:rPr>
              <w:t xml:space="preserve">The individual has a score greater than zero for questions in the section of the IAT headed: </w:t>
            </w:r>
          </w:p>
        </w:tc>
        <w:tc>
          <w:tcPr>
            <w:tcW w:w="4508" w:type="dxa"/>
          </w:tcPr>
          <w:p w14:paraId="75AD5B29" w14:textId="77777777" w:rsidR="004D556D" w:rsidRPr="000F6CD1" w:rsidRDefault="004D556D">
            <w:pPr>
              <w:numPr>
                <w:ilvl w:val="0"/>
                <w:numId w:val="239"/>
              </w:numPr>
              <w:spacing w:before="240" w:after="240"/>
              <w:contextualSpacing/>
              <w:rPr>
                <w:rFonts w:eastAsia="Yu Gothic Light"/>
              </w:rPr>
            </w:pPr>
            <w:r w:rsidRPr="000F6CD1">
              <w:rPr>
                <w:rFonts w:eastAsia="Yu Gothic Light"/>
              </w:rPr>
              <w:t xml:space="preserve">Psychological </w:t>
            </w:r>
          </w:p>
        </w:tc>
      </w:tr>
      <w:tr w:rsidR="004D556D" w:rsidRPr="000F6CD1" w14:paraId="664240C4" w14:textId="77777777">
        <w:tc>
          <w:tcPr>
            <w:tcW w:w="9016" w:type="dxa"/>
            <w:gridSpan w:val="2"/>
            <w:shd w:val="clear" w:color="auto" w:fill="002060"/>
          </w:tcPr>
          <w:p w14:paraId="0F165186" w14:textId="77777777" w:rsidR="004D556D" w:rsidRPr="000F6CD1" w:rsidRDefault="004D556D" w:rsidP="00622CFF">
            <w:pPr>
              <w:spacing w:before="240" w:after="240"/>
              <w:jc w:val="center"/>
              <w:rPr>
                <w:rFonts w:eastAsia="Yu Gothic Light"/>
              </w:rPr>
            </w:pPr>
            <w:r w:rsidRPr="000F6CD1">
              <w:rPr>
                <w:rFonts w:eastAsia="Yu Gothic Light"/>
              </w:rPr>
              <w:t>OR</w:t>
            </w:r>
          </w:p>
        </w:tc>
      </w:tr>
      <w:tr w:rsidR="004D556D" w:rsidRPr="000F6CD1" w14:paraId="3E2C14D0" w14:textId="77777777">
        <w:tc>
          <w:tcPr>
            <w:tcW w:w="4508" w:type="dxa"/>
            <w:shd w:val="clear" w:color="auto" w:fill="002060"/>
          </w:tcPr>
          <w:p w14:paraId="16BB9D29" w14:textId="77777777" w:rsidR="004D556D" w:rsidRPr="000F6CD1" w:rsidRDefault="004D556D" w:rsidP="00622CFF">
            <w:pPr>
              <w:spacing w:before="240" w:after="240"/>
              <w:rPr>
                <w:rFonts w:eastAsia="Yu Gothic Light"/>
              </w:rPr>
            </w:pPr>
            <w:r w:rsidRPr="000F6CD1">
              <w:rPr>
                <w:rFonts w:eastAsia="Yu Gothic Light"/>
              </w:rPr>
              <w:t xml:space="preserve">The individual has a score greater than zero for the questions in the section of the IAT headed:  </w:t>
            </w:r>
          </w:p>
        </w:tc>
        <w:tc>
          <w:tcPr>
            <w:tcW w:w="4508" w:type="dxa"/>
          </w:tcPr>
          <w:p w14:paraId="3688EE55" w14:textId="77777777" w:rsidR="004D556D" w:rsidRPr="000F6CD1" w:rsidRDefault="004D556D">
            <w:pPr>
              <w:numPr>
                <w:ilvl w:val="0"/>
                <w:numId w:val="239"/>
              </w:numPr>
              <w:spacing w:before="240" w:after="240"/>
              <w:contextualSpacing/>
              <w:rPr>
                <w:rFonts w:eastAsia="Yu Gothic Light"/>
              </w:rPr>
            </w:pPr>
            <w:r w:rsidRPr="000F6CD1">
              <w:rPr>
                <w:rFonts w:eastAsia="Yu Gothic Light"/>
              </w:rPr>
              <w:t>Physical, Personal Health or Frailty</w:t>
            </w:r>
          </w:p>
        </w:tc>
      </w:tr>
    </w:tbl>
    <w:p w14:paraId="3C27328D" w14:textId="0E77A32F" w:rsidR="00235EC8" w:rsidRDefault="004D556D" w:rsidP="00622CFF">
      <w:pPr>
        <w:spacing w:before="240" w:after="240" w:line="240" w:lineRule="auto"/>
        <w:rPr>
          <w:rFonts w:eastAsia="Yu Gothic Light"/>
        </w:rPr>
      </w:pPr>
      <w:r w:rsidRPr="000F6CD1">
        <w:rPr>
          <w:rFonts w:eastAsia="Yu Gothic Light"/>
        </w:rPr>
        <w:t> </w:t>
      </w:r>
    </w:p>
    <w:p w14:paraId="7EEE13B9" w14:textId="2067A413" w:rsidR="004D556D" w:rsidRPr="000F6CD1" w:rsidRDefault="00235EC8" w:rsidP="00235EC8">
      <w:pPr>
        <w:rPr>
          <w:rFonts w:eastAsia="Yu Gothic Light"/>
        </w:rPr>
      </w:pPr>
      <w:r>
        <w:rPr>
          <w:rFonts w:eastAsia="Yu Gothic Light"/>
        </w:rPr>
        <w:br w:type="page"/>
      </w:r>
    </w:p>
    <w:p w14:paraId="46CB0D89" w14:textId="77777777" w:rsidR="004D556D" w:rsidRPr="000F6CD1" w:rsidRDefault="004D556D" w:rsidP="00622CFF">
      <w:pPr>
        <w:spacing w:before="240" w:after="240" w:line="240" w:lineRule="auto"/>
        <w:rPr>
          <w:rFonts w:eastAsia="Yu Gothic Light"/>
          <w:b/>
          <w:bCs/>
          <w:color w:val="1E1444"/>
        </w:rPr>
      </w:pPr>
      <w:r w:rsidRPr="000F6CD1">
        <w:rPr>
          <w:rFonts w:eastAsia="Yu Gothic Light"/>
          <w:b/>
          <w:bCs/>
          <w:color w:val="1E1444"/>
        </w:rPr>
        <w:lastRenderedPageBreak/>
        <w:t>Additional eligibility requirements for assistive technology and home modifications </w:t>
      </w:r>
    </w:p>
    <w:p w14:paraId="76D31117" w14:textId="77777777" w:rsidR="004D556D" w:rsidRPr="000F6CD1" w:rsidRDefault="004D556D" w:rsidP="00DF3F6B">
      <w:pPr>
        <w:numPr>
          <w:ilvl w:val="0"/>
          <w:numId w:val="218"/>
        </w:numPr>
        <w:spacing w:before="240" w:after="240" w:line="240" w:lineRule="auto"/>
        <w:rPr>
          <w:rFonts w:eastAsia="Yu Gothic Light"/>
        </w:rPr>
      </w:pPr>
      <w:r w:rsidRPr="000F6CD1">
        <w:rPr>
          <w:rFonts w:eastAsia="Yu Gothic Light"/>
        </w:rPr>
        <w:t>the individual is also approved for the home support service group. </w:t>
      </w:r>
    </w:p>
    <w:p w14:paraId="1A4394C5" w14:textId="77777777" w:rsidR="004D556D" w:rsidRPr="000F6CD1" w:rsidRDefault="004D556D" w:rsidP="00622CFF">
      <w:pPr>
        <w:spacing w:before="240" w:after="240" w:line="240" w:lineRule="auto"/>
        <w:rPr>
          <w:rFonts w:eastAsia="Yu Gothic Light"/>
          <w:b/>
          <w:bCs/>
          <w:color w:val="1E1444"/>
        </w:rPr>
      </w:pPr>
      <w:r w:rsidRPr="000F6CD1">
        <w:rPr>
          <w:rFonts w:eastAsia="Yu Gothic Light"/>
          <w:b/>
          <w:bCs/>
          <w:color w:val="1E1444"/>
        </w:rPr>
        <w:t>Additional eligibility requirements for residential care</w:t>
      </w:r>
    </w:p>
    <w:p w14:paraId="2DAF1552" w14:textId="77777777" w:rsidR="004D556D" w:rsidRPr="000F6CD1" w:rsidRDefault="004D556D" w:rsidP="00DF3F6B">
      <w:pPr>
        <w:numPr>
          <w:ilvl w:val="0"/>
          <w:numId w:val="219"/>
        </w:numPr>
        <w:spacing w:before="240" w:after="240" w:line="240" w:lineRule="auto"/>
        <w:rPr>
          <w:rFonts w:eastAsia="Yu Gothic Light"/>
        </w:rPr>
      </w:pPr>
      <w:r w:rsidRPr="000F6CD1">
        <w:rPr>
          <w:rFonts w:eastAsia="Yu Gothic Light"/>
        </w:rPr>
        <w:t>the individual is incapable of living in home or community setting without support. </w:t>
      </w:r>
    </w:p>
    <w:p w14:paraId="30D1B6C5" w14:textId="77777777" w:rsidR="004D556D" w:rsidRPr="000F6CD1" w:rsidRDefault="004D556D" w:rsidP="00AD2CE5">
      <w:pPr>
        <w:pStyle w:val="H3"/>
      </w:pPr>
      <w:bookmarkStart w:id="626" w:name="_Toc2118177032"/>
      <w:bookmarkStart w:id="627" w:name="_Toc199344501"/>
      <w:bookmarkStart w:id="628" w:name="_Toc199402632"/>
      <w:bookmarkStart w:id="629" w:name="_Ref212739235"/>
      <w:r w:rsidRPr="000F6CD1">
        <w:t xml:space="preserve">Section 67 – a person who has </w:t>
      </w:r>
      <w:bookmarkEnd w:id="626"/>
      <w:bookmarkEnd w:id="627"/>
      <w:bookmarkEnd w:id="628"/>
      <w:r w:rsidRPr="000F6CD1">
        <w:t>an impairment or sickness</w:t>
      </w:r>
      <w:bookmarkEnd w:id="629"/>
    </w:p>
    <w:p w14:paraId="785D5E15" w14:textId="77777777" w:rsidR="004D556D" w:rsidRPr="000F6CD1" w:rsidRDefault="004D556D" w:rsidP="00622CFF">
      <w:pPr>
        <w:spacing w:before="240" w:after="240" w:line="240" w:lineRule="auto"/>
        <w:rPr>
          <w:rFonts w:eastAsia="Yu Gothic Light"/>
        </w:rPr>
      </w:pPr>
      <w:r w:rsidRPr="000F6CD1">
        <w:rPr>
          <w:rFonts w:eastAsia="Yu Gothic Light"/>
        </w:rPr>
        <w:t>Section 67 is the pathway for non- Aboriginal or Torres Strait Islander people to be approved under section 65(1) for the following service groups: </w:t>
      </w:r>
    </w:p>
    <w:p w14:paraId="30EF4683" w14:textId="77777777" w:rsidR="004D556D" w:rsidRPr="000F6CD1" w:rsidRDefault="004D556D" w:rsidP="00DF3F6B">
      <w:pPr>
        <w:numPr>
          <w:ilvl w:val="0"/>
          <w:numId w:val="220"/>
        </w:numPr>
        <w:spacing w:before="240" w:after="240" w:line="240" w:lineRule="auto"/>
        <w:rPr>
          <w:rFonts w:eastAsia="Yu Gothic Light"/>
          <w:bCs/>
        </w:rPr>
      </w:pPr>
      <w:r w:rsidRPr="000F6CD1">
        <w:rPr>
          <w:rFonts w:eastAsia="Yu Gothic Light"/>
        </w:rPr>
        <w:t>home support</w:t>
      </w:r>
      <w:r w:rsidRPr="000F6CD1">
        <w:rPr>
          <w:rFonts w:eastAsia="Yu Gothic Light"/>
          <w:bCs/>
        </w:rPr>
        <w:t> </w:t>
      </w:r>
    </w:p>
    <w:p w14:paraId="6670E53B" w14:textId="77777777" w:rsidR="004D556D" w:rsidRPr="000F6CD1" w:rsidRDefault="004D556D" w:rsidP="00DF3F6B">
      <w:pPr>
        <w:numPr>
          <w:ilvl w:val="0"/>
          <w:numId w:val="221"/>
        </w:numPr>
        <w:spacing w:before="240" w:after="240" w:line="240" w:lineRule="auto"/>
        <w:rPr>
          <w:rFonts w:eastAsia="Yu Gothic Light"/>
          <w:bCs/>
        </w:rPr>
      </w:pPr>
      <w:r w:rsidRPr="000F6CD1">
        <w:rPr>
          <w:rFonts w:eastAsia="Yu Gothic Light"/>
        </w:rPr>
        <w:t>assistive technology</w:t>
      </w:r>
      <w:r w:rsidRPr="000F6CD1">
        <w:rPr>
          <w:rFonts w:eastAsia="Yu Gothic Light"/>
          <w:bCs/>
        </w:rPr>
        <w:t> </w:t>
      </w:r>
    </w:p>
    <w:p w14:paraId="1416F9E1" w14:textId="77777777" w:rsidR="004D556D" w:rsidRPr="000F6CD1" w:rsidRDefault="004D556D" w:rsidP="00DF3F6B">
      <w:pPr>
        <w:numPr>
          <w:ilvl w:val="0"/>
          <w:numId w:val="222"/>
        </w:numPr>
        <w:spacing w:before="240" w:after="240" w:line="240" w:lineRule="auto"/>
        <w:rPr>
          <w:rFonts w:eastAsia="Yu Gothic Light"/>
          <w:bCs/>
        </w:rPr>
      </w:pPr>
      <w:r w:rsidRPr="000F6CD1">
        <w:rPr>
          <w:rFonts w:eastAsia="Yu Gothic Light"/>
        </w:rPr>
        <w:t>home modifications.</w:t>
      </w:r>
      <w:r w:rsidRPr="000F6CD1">
        <w:rPr>
          <w:rFonts w:eastAsia="Yu Gothic Light"/>
          <w:bCs/>
        </w:rPr>
        <w:t> </w:t>
      </w:r>
    </w:p>
    <w:p w14:paraId="507CE05D" w14:textId="77777777" w:rsidR="004D556D" w:rsidRPr="000F6CD1" w:rsidRDefault="004D556D" w:rsidP="00622CFF">
      <w:pPr>
        <w:spacing w:before="240" w:after="240" w:line="240" w:lineRule="auto"/>
        <w:rPr>
          <w:rFonts w:eastAsia="Yu Gothic Light"/>
        </w:rPr>
      </w:pPr>
      <w:r w:rsidRPr="000F6CD1">
        <w:rPr>
          <w:rFonts w:eastAsia="Yu Gothic Light"/>
        </w:rPr>
        <w:t>There are special requirements for approving a person where section 67 applies to them, because of the legal basis in the Constitution that supports the approvals. </w:t>
      </w:r>
    </w:p>
    <w:p w14:paraId="61B82F64"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approving a person for service types or particular government-funded aged care services because section 67 applies to them, it is not possible to approve them at the service group level. Assessment Delegates will need to select and decide the particular service type/s </w:t>
      </w:r>
      <w:r w:rsidRPr="000F6CD1">
        <w:rPr>
          <w:rFonts w:eastAsia="Yu Gothic Light"/>
          <w:bCs/>
        </w:rPr>
        <w:t xml:space="preserve">the older person requires, or for particular service types the </w:t>
      </w:r>
      <w:r w:rsidRPr="000F6CD1">
        <w:rPr>
          <w:rFonts w:eastAsia="Yu Gothic Light"/>
        </w:rPr>
        <w:t>individual service/s</w:t>
      </w:r>
      <w:r w:rsidRPr="000F6CD1">
        <w:rPr>
          <w:rFonts w:eastAsia="Yu Gothic Light"/>
          <w:b/>
        </w:rPr>
        <w:t xml:space="preserve"> </w:t>
      </w:r>
      <w:r w:rsidRPr="000F6CD1">
        <w:rPr>
          <w:rFonts w:eastAsia="Yu Gothic Light"/>
        </w:rPr>
        <w:t xml:space="preserve">(further information below). This is a necessary legal requirement because of the constitutional powers that support the provision of these types of services under the </w:t>
      </w:r>
      <w:r w:rsidRPr="000F6CD1">
        <w:rPr>
          <w:rFonts w:eastAsia="Yu Gothic Light"/>
          <w:i/>
        </w:rPr>
        <w:t>Aged Care Act 2024</w:t>
      </w:r>
      <w:r w:rsidRPr="000F6CD1">
        <w:rPr>
          <w:rFonts w:eastAsia="Yu Gothic Light"/>
          <w:i/>
          <w:iCs/>
        </w:rPr>
        <w:t xml:space="preserve"> (the Act)</w:t>
      </w:r>
      <w:r w:rsidRPr="000F6CD1">
        <w:rPr>
          <w:rFonts w:eastAsia="Yu Gothic Light"/>
        </w:rPr>
        <w:t xml:space="preserve">. </w:t>
      </w:r>
    </w:p>
    <w:p w14:paraId="71FF06D6" w14:textId="77777777" w:rsidR="004D556D" w:rsidRPr="000F6CD1" w:rsidRDefault="004D556D" w:rsidP="00622CFF">
      <w:pPr>
        <w:spacing w:before="240" w:after="240" w:line="240" w:lineRule="auto"/>
        <w:rPr>
          <w:rFonts w:eastAsia="Yu Gothic Light"/>
        </w:rPr>
      </w:pPr>
      <w:r w:rsidRPr="000F6CD1">
        <w:rPr>
          <w:rFonts w:eastAsia="Yu Gothic Light"/>
        </w:rPr>
        <w:t>Figure 9 below gives an overview of the section 67 pathway to access approval.</w:t>
      </w:r>
    </w:p>
    <w:p w14:paraId="5FB63514" w14:textId="77777777" w:rsidR="004D556D" w:rsidRPr="000F6CD1" w:rsidRDefault="004D556D" w:rsidP="00622CFF">
      <w:pPr>
        <w:spacing w:before="240" w:after="240" w:line="240" w:lineRule="auto"/>
        <w:rPr>
          <w:rFonts w:eastAsia="Yu Gothic Light"/>
        </w:rPr>
      </w:pPr>
      <w:r w:rsidRPr="000F6CD1">
        <w:rPr>
          <w:noProof/>
          <w14:ligatures w14:val="standardContextual"/>
        </w:rPr>
        <w:drawing>
          <wp:inline distT="0" distB="0" distL="0" distR="0" wp14:anchorId="664DC602" wp14:editId="434A42F9">
            <wp:extent cx="5731510" cy="2238375"/>
            <wp:effectExtent l="0" t="0" r="2540" b="9525"/>
            <wp:docPr id="822461012" name="Picture 1" descr="The figure provides an overview of section 67 pathway to access approval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61012" name="Picture 1" descr="The figure provides an overview of section 67 pathway to access approval under the Aged Care Act 2024"/>
                    <pic:cNvPicPr/>
                  </pic:nvPicPr>
                  <pic:blipFill>
                    <a:blip r:embed="rId240"/>
                    <a:stretch>
                      <a:fillRect/>
                    </a:stretch>
                  </pic:blipFill>
                  <pic:spPr>
                    <a:xfrm>
                      <a:off x="0" y="0"/>
                      <a:ext cx="5731510" cy="2238375"/>
                    </a:xfrm>
                    <a:prstGeom prst="rect">
                      <a:avLst/>
                    </a:prstGeom>
                  </pic:spPr>
                </pic:pic>
              </a:graphicData>
            </a:graphic>
          </wp:inline>
        </w:drawing>
      </w:r>
    </w:p>
    <w:p w14:paraId="6C1F2B7C" w14:textId="77777777" w:rsidR="004D556D" w:rsidRPr="000F6CD1" w:rsidRDefault="004D556D" w:rsidP="00121861">
      <w:pPr>
        <w:pStyle w:val="Caption"/>
        <w:spacing w:before="240" w:after="240"/>
        <w:rPr>
          <w:i/>
          <w:sz w:val="18"/>
          <w:szCs w:val="14"/>
        </w:rPr>
      </w:pPr>
      <w:r w:rsidRPr="000F6CD1">
        <w:rPr>
          <w:b w:val="0"/>
          <w:bCs/>
          <w:i/>
          <w:iCs w:val="0"/>
          <w:sz w:val="18"/>
          <w:szCs w:val="14"/>
        </w:rPr>
        <w:t>Figure 9 – Overview of section 67 pathway to approval for service access</w:t>
      </w:r>
    </w:p>
    <w:p w14:paraId="0C4B450F" w14:textId="77777777" w:rsidR="007A02E8" w:rsidRDefault="007A02E8">
      <w:pPr>
        <w:rPr>
          <w:rFonts w:eastAsia="Yu Gothic Light"/>
          <w:b/>
          <w:i/>
          <w:iCs/>
          <w:szCs w:val="22"/>
        </w:rPr>
      </w:pPr>
      <w:r>
        <w:br w:type="page"/>
      </w:r>
    </w:p>
    <w:p w14:paraId="02D4317B" w14:textId="77777777" w:rsidR="004D556D" w:rsidRPr="000F6CD1" w:rsidRDefault="004D556D">
      <w:pPr>
        <w:pStyle w:val="H4"/>
      </w:pPr>
      <w:r w:rsidRPr="000F6CD1">
        <w:lastRenderedPageBreak/>
        <w:t xml:space="preserve">Deciding if the person should be approved </w:t>
      </w:r>
    </w:p>
    <w:p w14:paraId="217AF1DC" w14:textId="77777777" w:rsidR="004D556D" w:rsidRPr="000F6CD1" w:rsidRDefault="004D556D" w:rsidP="00622CFF">
      <w:pPr>
        <w:spacing w:before="240" w:after="240" w:line="240" w:lineRule="auto"/>
        <w:rPr>
          <w:rFonts w:eastAsia="Yu Gothic Light"/>
        </w:rPr>
      </w:pPr>
      <w:r w:rsidRPr="000F6CD1">
        <w:rPr>
          <w:rFonts w:eastAsia="Yu Gothic Light"/>
        </w:rPr>
        <w:t>When deciding if an older person should be approved for the Home Support, Assistive Technology or Home Modifications service group/s under section 65 of the Act where section 67 applies to them, assessment delegates will need to take the following steps:  </w:t>
      </w:r>
    </w:p>
    <w:p w14:paraId="049D44EB" w14:textId="77777777" w:rsidR="004D556D" w:rsidRPr="000F6CD1" w:rsidRDefault="004D556D" w:rsidP="00DF3F6B">
      <w:pPr>
        <w:numPr>
          <w:ilvl w:val="0"/>
          <w:numId w:val="223"/>
        </w:numPr>
        <w:spacing w:before="240" w:after="240" w:line="240" w:lineRule="auto"/>
        <w:rPr>
          <w:rFonts w:eastAsia="Yu Gothic Light"/>
        </w:rPr>
      </w:pPr>
      <w:r w:rsidRPr="000F6CD1">
        <w:rPr>
          <w:rFonts w:eastAsia="Yu Gothic Light"/>
        </w:rPr>
        <w:t>Assessment delegates must be satisfied that the older person has a disability or an “impairment” </w:t>
      </w:r>
    </w:p>
    <w:p w14:paraId="20699422" w14:textId="77777777" w:rsidR="004D556D" w:rsidRPr="000F6CD1" w:rsidRDefault="004D556D" w:rsidP="00DF3F6B">
      <w:pPr>
        <w:numPr>
          <w:ilvl w:val="0"/>
          <w:numId w:val="224"/>
        </w:numPr>
        <w:tabs>
          <w:tab w:val="num" w:pos="1080"/>
        </w:tabs>
        <w:spacing w:before="240" w:after="240" w:line="240" w:lineRule="auto"/>
        <w:ind w:left="1080"/>
        <w:rPr>
          <w:rFonts w:eastAsia="Yu Gothic Light"/>
        </w:rPr>
      </w:pPr>
      <w:r w:rsidRPr="000F6CD1">
        <w:rPr>
          <w:rFonts w:eastAsia="Yu Gothic Light"/>
        </w:rPr>
        <w:t>the impairment must be long-term and be a physical, mental, sensory or intellectual impairment, and </w:t>
      </w:r>
    </w:p>
    <w:p w14:paraId="0D64AF00" w14:textId="77777777" w:rsidR="004D556D" w:rsidRPr="000F6CD1" w:rsidRDefault="004D556D" w:rsidP="00DF3F6B">
      <w:pPr>
        <w:numPr>
          <w:ilvl w:val="0"/>
          <w:numId w:val="225"/>
        </w:numPr>
        <w:tabs>
          <w:tab w:val="num" w:pos="1080"/>
        </w:tabs>
        <w:spacing w:before="240" w:after="240" w:line="240" w:lineRule="auto"/>
        <w:ind w:left="1080"/>
        <w:rPr>
          <w:rFonts w:eastAsia="Yu Gothic Light"/>
        </w:rPr>
      </w:pPr>
      <w:r w:rsidRPr="000F6CD1">
        <w:rPr>
          <w:rFonts w:eastAsia="Yu Gothic Light"/>
        </w:rPr>
        <w:t>because of its interaction with various barriers, the impairment may hinder the person’s participation in society on an equal basis with others. </w:t>
      </w:r>
    </w:p>
    <w:p w14:paraId="6A9A53E3" w14:textId="77777777" w:rsidR="004D556D" w:rsidRPr="000F6CD1" w:rsidRDefault="004D556D" w:rsidP="00DF3F6B">
      <w:pPr>
        <w:numPr>
          <w:ilvl w:val="0"/>
          <w:numId w:val="226"/>
        </w:numPr>
        <w:spacing w:before="240" w:after="240" w:line="240" w:lineRule="auto"/>
        <w:rPr>
          <w:rFonts w:eastAsia="Yu Gothic Light"/>
        </w:rPr>
      </w:pPr>
      <w:r w:rsidRPr="000F6CD1">
        <w:rPr>
          <w:rFonts w:eastAsia="Yu Gothic Light"/>
        </w:rPr>
        <w:t>Decide which service types the older person requires access to. </w:t>
      </w:r>
    </w:p>
    <w:p w14:paraId="3D9110D8" w14:textId="77777777" w:rsidR="004D556D" w:rsidRPr="000F6CD1" w:rsidRDefault="004D556D" w:rsidP="00DF3F6B">
      <w:pPr>
        <w:numPr>
          <w:ilvl w:val="0"/>
          <w:numId w:val="227"/>
        </w:numPr>
        <w:tabs>
          <w:tab w:val="num" w:pos="720"/>
        </w:tabs>
        <w:spacing w:before="240" w:after="240" w:line="240" w:lineRule="auto"/>
        <w:rPr>
          <w:rFonts w:eastAsia="Yu Gothic Light"/>
        </w:rPr>
      </w:pPr>
      <w:r w:rsidRPr="000F6CD1">
        <w:rPr>
          <w:rFonts w:eastAsia="Yu Gothic Light"/>
        </w:rPr>
        <w:t>For the service types ‘Allied health and therapy’ and ‘Therapeutic services for independent living’ an assessment delegate must also decide which individual services in those service types they require access to. </w:t>
      </w:r>
    </w:p>
    <w:p w14:paraId="013FFF19" w14:textId="77777777" w:rsidR="004D556D" w:rsidRPr="000F6CD1" w:rsidRDefault="004D556D" w:rsidP="00DF3F6B">
      <w:pPr>
        <w:numPr>
          <w:ilvl w:val="0"/>
          <w:numId w:val="228"/>
        </w:numPr>
        <w:spacing w:before="240" w:after="240" w:line="240" w:lineRule="auto"/>
        <w:rPr>
          <w:rFonts w:eastAsia="Yu Gothic Light"/>
        </w:rPr>
      </w:pPr>
      <w:r w:rsidRPr="000F6CD1">
        <w:rPr>
          <w:rFonts w:eastAsia="Yu Gothic Light"/>
        </w:rPr>
        <w:t>Assessment delegates must then be satisfied that there is a specific reason why the person requires access to the service types (or the particular funded aged care services – see step 2a.). These reasons are set out in section 67(1)(b) of the Act and explained further below. </w:t>
      </w:r>
    </w:p>
    <w:p w14:paraId="0F2A0048" w14:textId="77777777" w:rsidR="004D556D" w:rsidRPr="000F6CD1" w:rsidRDefault="004D556D" w:rsidP="00DF3F6B">
      <w:pPr>
        <w:numPr>
          <w:ilvl w:val="0"/>
          <w:numId w:val="229"/>
        </w:numPr>
        <w:spacing w:before="240" w:after="240" w:line="240" w:lineRule="auto"/>
        <w:rPr>
          <w:rFonts w:eastAsia="Yu Gothic Light"/>
        </w:rPr>
      </w:pPr>
      <w:r w:rsidRPr="000F6CD1">
        <w:rPr>
          <w:rFonts w:eastAsia="Yu Gothic Light"/>
        </w:rPr>
        <w:t>Assessment delegates must also be satisfied that the person meets the additional eligibility criteria in the Rules. These criteria are outlined below. </w:t>
      </w:r>
    </w:p>
    <w:p w14:paraId="59598559" w14:textId="77777777" w:rsidR="004D556D" w:rsidRPr="000F6CD1" w:rsidRDefault="004D556D">
      <w:pPr>
        <w:pStyle w:val="H4"/>
      </w:pPr>
      <w:r w:rsidRPr="000F6CD1">
        <w:t>Impairment </w:t>
      </w:r>
    </w:p>
    <w:p w14:paraId="5A5D9FB4" w14:textId="77777777" w:rsidR="004D556D" w:rsidRPr="000F6CD1" w:rsidRDefault="004D556D" w:rsidP="00622CFF">
      <w:pPr>
        <w:spacing w:before="240" w:after="240" w:line="240" w:lineRule="auto"/>
        <w:rPr>
          <w:rFonts w:eastAsia="Yu Gothic Light"/>
        </w:rPr>
      </w:pPr>
      <w:r w:rsidRPr="000F6CD1">
        <w:rPr>
          <w:rFonts w:eastAsia="Yu Gothic Light"/>
        </w:rPr>
        <w:t>Information about the person’s “impairment” will already be reflected in the information collected using the Integrated Assessment Tool (IAT) and any other relevant information gathered during the assessment, such as information from the person’s GP or other health records. For the purposes of recording the approval decision,</w:t>
      </w:r>
      <w:r w:rsidRPr="000F6CD1" w:rsidDel="00E823B1">
        <w:rPr>
          <w:rFonts w:eastAsia="Yu Gothic Light"/>
        </w:rPr>
        <w:t xml:space="preserve"> </w:t>
      </w:r>
      <w:r w:rsidRPr="000F6CD1">
        <w:rPr>
          <w:rFonts w:eastAsia="Yu Gothic Light"/>
        </w:rPr>
        <w:t xml:space="preserve">an assessment delegate will need to be satisfied the information provided identifies the long-term impairment (or impairments) that the older person has. This should be evident from the assessment information. </w:t>
      </w:r>
    </w:p>
    <w:p w14:paraId="54C4A1FE" w14:textId="77777777" w:rsidR="007A02E8" w:rsidRDefault="004D556D" w:rsidP="00622CFF">
      <w:pPr>
        <w:spacing w:before="240" w:after="240" w:line="240" w:lineRule="auto"/>
        <w:rPr>
          <w:rFonts w:eastAsia="Yu Gothic Light"/>
        </w:rPr>
      </w:pPr>
      <w:r w:rsidRPr="000F6CD1">
        <w:rPr>
          <w:rFonts w:eastAsia="Yu Gothic Light"/>
        </w:rPr>
        <w:t>It should also be evident from the assessment/IAT/Support Plan information the barriers the person faces to their independence because of their impairment and how this impacts their ability to participate and be included in the community. </w:t>
      </w:r>
    </w:p>
    <w:p w14:paraId="5E910A5E" w14:textId="035E7743" w:rsidR="004D556D" w:rsidRPr="000F6CD1" w:rsidRDefault="007A02E8" w:rsidP="007A02E8">
      <w:pPr>
        <w:rPr>
          <w:rFonts w:eastAsia="Yu Gothic Light"/>
        </w:rPr>
      </w:pPr>
      <w:r>
        <w:rPr>
          <w:rFonts w:eastAsia="Yu Gothic Light"/>
        </w:rPr>
        <w:br w:type="page"/>
      </w:r>
    </w:p>
    <w:p w14:paraId="168772CE" w14:textId="77777777" w:rsidR="004D556D" w:rsidRPr="000F6CD1" w:rsidRDefault="004D556D"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0F6CD1">
        <w:rPr>
          <w:rFonts w:eastAsia="Yu Gothic Light"/>
          <w:b/>
          <w:bCs/>
        </w:rPr>
        <w:lastRenderedPageBreak/>
        <w:t>EXAMPLE 1 </w:t>
      </w:r>
    </w:p>
    <w:p w14:paraId="654C0108" w14:textId="77777777" w:rsidR="004D556D" w:rsidRPr="000F6CD1" w:rsidRDefault="004D556D"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0F6CD1">
        <w:rPr>
          <w:rFonts w:eastAsia="Yu Gothic Light"/>
          <w:bCs/>
        </w:rPr>
        <w:t>The older person may be physically impaired because of a musculoskeletal disorder or be vision impaired, which was identified through their assessment and recorded in the IAT, or evidenced in a record or report for the person provided by a GP or other health professional. This may impact, among other things, their functional ability and be recorded under the Function section of the IAT. </w:t>
      </w:r>
    </w:p>
    <w:p w14:paraId="2FD07297" w14:textId="77777777" w:rsidR="004D556D" w:rsidRPr="000F6CD1" w:rsidRDefault="004D556D"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0F6CD1">
        <w:rPr>
          <w:rFonts w:eastAsia="Yu Gothic Light"/>
          <w:b/>
          <w:bCs/>
        </w:rPr>
        <w:t>EXAMPLE 2  </w:t>
      </w:r>
    </w:p>
    <w:p w14:paraId="6AC8C6CC" w14:textId="0A7B1E6F" w:rsidR="004D556D" w:rsidRPr="000F6CD1" w:rsidRDefault="004D556D" w:rsidP="00622CFF">
      <w:pPr>
        <w:pBdr>
          <w:top w:val="single" w:sz="4" w:space="1" w:color="auto"/>
          <w:left w:val="single" w:sz="4" w:space="4" w:color="auto"/>
          <w:bottom w:val="single" w:sz="4" w:space="1" w:color="auto"/>
          <w:right w:val="single" w:sz="4" w:space="4" w:color="auto"/>
        </w:pBdr>
        <w:shd w:val="clear" w:color="auto" w:fill="F2F2F2"/>
        <w:spacing w:before="240" w:after="240" w:line="240" w:lineRule="auto"/>
        <w:rPr>
          <w:rFonts w:eastAsia="Yu Gothic Light"/>
          <w:b/>
          <w:bCs/>
        </w:rPr>
      </w:pPr>
      <w:r w:rsidRPr="000F6CD1">
        <w:rPr>
          <w:rFonts w:eastAsia="Yu Gothic Light"/>
          <w:bCs/>
        </w:rPr>
        <w:t>The older person may have a diagnosis of a pre-existing condition, such as arthritis or another physical or neurological condition, such as dementia or Motor neurone disease, as identified through their assessment in the IAT. This may be recorded as a health condition under the Medical and medications section.</w:t>
      </w:r>
      <w:r w:rsidR="006D07BE" w:rsidRPr="000F6CD1">
        <w:rPr>
          <w:rFonts w:eastAsia="Yu Gothic Light"/>
          <w:bCs/>
        </w:rPr>
        <w:t xml:space="preserve"> </w:t>
      </w:r>
    </w:p>
    <w:p w14:paraId="337F65F0" w14:textId="77777777" w:rsidR="004D556D" w:rsidRPr="000F6CD1" w:rsidRDefault="004D556D"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rPr>
      </w:pPr>
      <w:r w:rsidRPr="000F6CD1">
        <w:rPr>
          <w:rFonts w:eastAsia="Yu Gothic Light"/>
          <w:bCs/>
        </w:rPr>
        <w:t>For both above examples, the older person’s condition may impact their ability to participate in the community, as they would require support to enable them to continue living at home and maintain their independence. </w:t>
      </w:r>
    </w:p>
    <w:p w14:paraId="39767C55" w14:textId="77777777" w:rsidR="004D556D" w:rsidRPr="000F6CD1" w:rsidRDefault="004D556D" w:rsidP="51B38498">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eastAsia="Yu Gothic Light"/>
          <w:b/>
        </w:rPr>
      </w:pPr>
    </w:p>
    <w:p w14:paraId="118CA20C" w14:textId="77777777" w:rsidR="004D556D" w:rsidRPr="000F6CD1" w:rsidRDefault="004D556D">
      <w:pPr>
        <w:pStyle w:val="H4"/>
      </w:pPr>
      <w:r w:rsidRPr="000F6CD1">
        <w:t>Special requirements for ‘Allied health and therapy’ and ‘Therapeutic services for independent living’ </w:t>
      </w:r>
    </w:p>
    <w:p w14:paraId="5B315FAE"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approving an older person for the service types ‘Allied health and therapy’ and ‘Therapeutic services for independent living,’ assessment delegates will need to consider which individual service (or services) in the service type the person requires access to because of their needs. </w:t>
      </w:r>
    </w:p>
    <w:p w14:paraId="10306E54" w14:textId="7D258333" w:rsidR="004D556D" w:rsidRPr="000F6CD1" w:rsidRDefault="00382B0B" w:rsidP="00622CFF">
      <w:pPr>
        <w:spacing w:before="240" w:after="240" w:line="240" w:lineRule="auto"/>
        <w:rPr>
          <w:rFonts w:eastAsia="Yu Gothic Light"/>
        </w:rPr>
      </w:pPr>
      <w:r w:rsidRPr="000F6CD1">
        <w:rPr>
          <w:bCs/>
          <w:noProof/>
        </w:rPr>
        <w:drawing>
          <wp:anchor distT="0" distB="0" distL="114300" distR="114300" simplePos="0" relativeHeight="251658361" behindDoc="0" locked="0" layoutInCell="1" allowOverlap="1" wp14:anchorId="2F6F9AEB" wp14:editId="458E4BF1">
            <wp:simplePos x="0" y="0"/>
            <wp:positionH relativeFrom="margin">
              <wp:posOffset>-150312</wp:posOffset>
            </wp:positionH>
            <wp:positionV relativeFrom="paragraph">
              <wp:posOffset>990061</wp:posOffset>
            </wp:positionV>
            <wp:extent cx="457200" cy="502920"/>
            <wp:effectExtent l="0" t="0" r="0" b="0"/>
            <wp:wrapSquare wrapText="bothSides"/>
            <wp:docPr id="1856675127" name="Picture 1856675127"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rPr>
          <w:rFonts w:eastAsia="Yu Gothic Light"/>
        </w:rPr>
        <w:t xml:space="preserve">This is because each funded aged care service that is considered an allied health, therapy or other therapeutic service is directed at a different physical, functional or cognitive issue – it’s not possible to determine that a person with disabilities requires access to allied health or therapeutic services </w:t>
      </w:r>
      <w:r w:rsidR="004D556D" w:rsidRPr="000F6CD1">
        <w:rPr>
          <w:rFonts w:eastAsia="Yu Gothic Light"/>
          <w:i/>
        </w:rPr>
        <w:t>generally</w:t>
      </w:r>
      <w:r w:rsidR="004D556D" w:rsidRPr="000F6CD1">
        <w:rPr>
          <w:rFonts w:eastAsia="Yu Gothic Light"/>
        </w:rPr>
        <w:t xml:space="preserve"> without considering if each particular service is required. This is an essential requirement because of the changes to the legal basis supporting the </w:t>
      </w:r>
      <w:r w:rsidR="004D556D" w:rsidRPr="000818E0">
        <w:rPr>
          <w:rFonts w:eastAsia="Yu Gothic Light"/>
          <w:i/>
          <w:iCs/>
        </w:rPr>
        <w:t xml:space="preserve">Aged Care Act 2024 </w:t>
      </w:r>
      <w:r w:rsidR="004D556D" w:rsidRPr="000F6CD1">
        <w:rPr>
          <w:rFonts w:eastAsia="Yu Gothic Light"/>
        </w:rPr>
        <w:t>(the Act). </w:t>
      </w:r>
    </w:p>
    <w:p w14:paraId="2D05575F" w14:textId="18AABA0E" w:rsidR="004D556D" w:rsidRPr="000F6CD1" w:rsidRDefault="004D556D">
      <w:pPr>
        <w:pStyle w:val="H4"/>
      </w:pPr>
      <w:r w:rsidRPr="000F6CD1">
        <w:t>Specific reason/s why access is needed under Section 67</w:t>
      </w:r>
    </w:p>
    <w:p w14:paraId="40F59C99" w14:textId="729C9C4F" w:rsidR="004D556D" w:rsidRPr="000F6CD1" w:rsidRDefault="004D556D" w:rsidP="00622CFF">
      <w:pPr>
        <w:spacing w:before="240" w:after="240" w:line="240" w:lineRule="auto"/>
        <w:rPr>
          <w:rFonts w:eastAsia="Yu Gothic Light"/>
        </w:rPr>
      </w:pPr>
      <w:r w:rsidRPr="000F6CD1">
        <w:rPr>
          <w:rFonts w:eastAsia="Yu Gothic Light"/>
        </w:rPr>
        <w:t>The</w:t>
      </w:r>
      <w:r w:rsidRPr="000F6CD1" w:rsidDel="008903D2">
        <w:rPr>
          <w:rFonts w:eastAsia="Yu Gothic Light"/>
        </w:rPr>
        <w:t xml:space="preserve"> </w:t>
      </w:r>
      <w:r w:rsidRPr="000F6CD1">
        <w:rPr>
          <w:rFonts w:eastAsia="Yu Gothic Light"/>
        </w:rPr>
        <w:t xml:space="preserve">Act requires Assessment Delegates to consider reasons why an older person needs access to the service types or particular services. Assessment Delegates must turn their minds to these reasons when deciding on the service types/services. </w:t>
      </w:r>
    </w:p>
    <w:p w14:paraId="29855F31"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reasons are that the service type (or service(s) within the service types of </w:t>
      </w:r>
      <w:r w:rsidRPr="000F6CD1">
        <w:rPr>
          <w:rFonts w:eastAsia="Yu Gothic Light"/>
          <w:i/>
          <w:iCs/>
        </w:rPr>
        <w:t>Allied health and therapy</w:t>
      </w:r>
      <w:r w:rsidRPr="000F6CD1">
        <w:rPr>
          <w:rFonts w:eastAsia="Yu Gothic Light"/>
        </w:rPr>
        <w:t xml:space="preserve"> and </w:t>
      </w:r>
      <w:r w:rsidRPr="000F6CD1">
        <w:rPr>
          <w:rFonts w:eastAsia="Yu Gothic Light"/>
          <w:i/>
          <w:iCs/>
        </w:rPr>
        <w:t>Therapeutic services for independent living</w:t>
      </w:r>
      <w:r w:rsidRPr="000F6CD1">
        <w:rPr>
          <w:rFonts w:eastAsia="Yu Gothic Light"/>
        </w:rPr>
        <w:t>):</w:t>
      </w:r>
    </w:p>
    <w:p w14:paraId="7CA1AAD2"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is an in-home, residential or community support service that is necessary to support the person to live and be included in the community and prevent them from being isolated or segregated from their community</w:t>
      </w:r>
    </w:p>
    <w:p w14:paraId="61233A31"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will facilitate personal mobility of the person in a way that the individual chooses</w:t>
      </w:r>
    </w:p>
    <w:p w14:paraId="1F7C460A"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involves a mobility device or equipment, or assistive technology, that will facilitate personal mobility</w:t>
      </w:r>
    </w:p>
    <w:p w14:paraId="7D97B81C" w14:textId="6B94093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lastRenderedPageBreak/>
        <w:t>is a health service that the person needs because of their impairment or because of the impairment and the interaction with various barriers</w:t>
      </w:r>
    </w:p>
    <w:p w14:paraId="407EF924"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is a habilitation or rehabilitation service</w:t>
      </w:r>
    </w:p>
    <w:p w14:paraId="6228B45D"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is a service that will assist the person to access any of the services they need because of any of the reasons above</w:t>
      </w:r>
    </w:p>
    <w:p w14:paraId="4E9C4F44"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will minimise the prospects of the person, or prevent the person from, acquiring a further impairment</w:t>
      </w:r>
    </w:p>
    <w:p w14:paraId="5D99CABA" w14:textId="77777777" w:rsidR="004D556D" w:rsidRPr="000F6CD1" w:rsidRDefault="004D556D" w:rsidP="00DF3F6B">
      <w:pPr>
        <w:numPr>
          <w:ilvl w:val="0"/>
          <w:numId w:val="234"/>
        </w:numPr>
        <w:spacing w:before="240" w:after="240" w:line="240" w:lineRule="auto"/>
        <w:rPr>
          <w:rFonts w:eastAsia="Yu Gothic Light"/>
        </w:rPr>
      </w:pPr>
      <w:r w:rsidRPr="000F6CD1">
        <w:rPr>
          <w:rFonts w:eastAsia="Yu Gothic Light"/>
        </w:rPr>
        <w:t>is a medical service required by the person because of sickness.</w:t>
      </w:r>
    </w:p>
    <w:p w14:paraId="4697CAC4" w14:textId="14B8AB75" w:rsidR="004D556D" w:rsidRPr="000F6CD1" w:rsidRDefault="004D556D" w:rsidP="007A02E8">
      <w:pPr>
        <w:spacing w:before="240" w:after="240" w:line="240" w:lineRule="auto"/>
        <w:rPr>
          <w:rFonts w:eastAsia="Yu Gothic Light"/>
        </w:rPr>
      </w:pPr>
      <w:r w:rsidRPr="000F6CD1">
        <w:rPr>
          <w:rFonts w:eastAsia="Yu Gothic Light"/>
        </w:rPr>
        <w:t>For ease of understanding, these have been re-framed as needs of the older person in the table below (this is how they appear in the Notice of Decision).</w:t>
      </w:r>
    </w:p>
    <w:p w14:paraId="484AAB14" w14:textId="2BA16425" w:rsidR="004D556D" w:rsidRPr="000F6CD1" w:rsidRDefault="004D556D" w:rsidP="00622CFF">
      <w:pPr>
        <w:pStyle w:val="Caption"/>
        <w:spacing w:before="240" w:after="240"/>
        <w:rPr>
          <w:rFonts w:eastAsia="Yu Gothic Light"/>
        </w:rPr>
      </w:pPr>
      <w:r w:rsidRPr="000F6CD1">
        <w:rPr>
          <w:rFonts w:eastAsia="Yu Gothic Light"/>
        </w:rPr>
        <w:t>Table 36. Reframed reasons for access under section 67</w:t>
      </w:r>
    </w:p>
    <w:tbl>
      <w:tblPr>
        <w:tblStyle w:val="TableGrid"/>
        <w:tblW w:w="9351" w:type="dxa"/>
        <w:jc w:val="center"/>
        <w:tblCellMar>
          <w:top w:w="57" w:type="dxa"/>
          <w:bottom w:w="57" w:type="dxa"/>
        </w:tblCellMar>
        <w:tblLook w:val="04A0" w:firstRow="1" w:lastRow="0" w:firstColumn="1" w:lastColumn="0" w:noHBand="0" w:noVBand="1"/>
        <w:tblCaption w:val="Reframed reasons for access to funded services under section 67 of the Act"/>
        <w:tblDescription w:val="The table provides reframed reasons for access to funded services under section 67 of the Act"/>
      </w:tblPr>
      <w:tblGrid>
        <w:gridCol w:w="9351"/>
      </w:tblGrid>
      <w:tr w:rsidR="004D556D" w:rsidRPr="000F6CD1" w14:paraId="3FF0EC1D" w14:textId="77777777" w:rsidTr="0098479D">
        <w:trPr>
          <w:jc w:val="center"/>
        </w:trPr>
        <w:tc>
          <w:tcPr>
            <w:tcW w:w="9351" w:type="dxa"/>
            <w:shd w:val="clear" w:color="auto" w:fill="002060"/>
          </w:tcPr>
          <w:p w14:paraId="7391EAFD" w14:textId="77777777" w:rsidR="004D556D" w:rsidRPr="000F6CD1" w:rsidRDefault="004D556D" w:rsidP="005960D3">
            <w:pPr>
              <w:spacing w:before="120" w:after="120"/>
              <w:rPr>
                <w:rFonts w:eastAsia="Yu Gothic Light"/>
                <w:b/>
                <w:bCs/>
              </w:rPr>
            </w:pPr>
            <w:r w:rsidRPr="000F6CD1">
              <w:rPr>
                <w:rFonts w:eastAsia="Yu Gothic Light"/>
                <w:b/>
                <w:bCs/>
              </w:rPr>
              <w:t>It has also been determined that you require access to the stated service types and/or services because you …</w:t>
            </w:r>
          </w:p>
        </w:tc>
      </w:tr>
      <w:tr w:rsidR="004D556D" w:rsidRPr="000F6CD1" w14:paraId="22F53884" w14:textId="77777777" w:rsidTr="0098479D">
        <w:trPr>
          <w:jc w:val="center"/>
        </w:trPr>
        <w:tc>
          <w:tcPr>
            <w:tcW w:w="9351" w:type="dxa"/>
          </w:tcPr>
          <w:p w14:paraId="189EE649" w14:textId="1CC53FB5" w:rsidR="004D556D" w:rsidRPr="000F6CD1" w:rsidRDefault="004D556D" w:rsidP="005960D3">
            <w:pPr>
              <w:spacing w:before="120" w:after="120"/>
              <w:rPr>
                <w:rFonts w:eastAsia="Yu Gothic Light"/>
              </w:rPr>
            </w:pPr>
            <w:r w:rsidRPr="000F6CD1">
              <w:rPr>
                <w:rFonts w:eastAsia="Yu Gothic Light"/>
              </w:rPr>
              <w:t xml:space="preserve">need support to live and be included in your community </w:t>
            </w:r>
          </w:p>
        </w:tc>
      </w:tr>
      <w:tr w:rsidR="004D556D" w:rsidRPr="000F6CD1" w14:paraId="10710D94" w14:textId="77777777" w:rsidTr="0098479D">
        <w:trPr>
          <w:jc w:val="center"/>
        </w:trPr>
        <w:tc>
          <w:tcPr>
            <w:tcW w:w="9351" w:type="dxa"/>
          </w:tcPr>
          <w:p w14:paraId="3485EA0F" w14:textId="08DD4190" w:rsidR="004D556D" w:rsidRPr="000F6CD1" w:rsidRDefault="004D556D" w:rsidP="005960D3">
            <w:pPr>
              <w:spacing w:before="120" w:after="120"/>
              <w:rPr>
                <w:rFonts w:eastAsia="Yu Gothic Light"/>
              </w:rPr>
            </w:pPr>
            <w:r w:rsidRPr="000F6CD1">
              <w:rPr>
                <w:rFonts w:eastAsia="Yu Gothic Light"/>
              </w:rPr>
              <w:t>need support with your mobility</w:t>
            </w:r>
          </w:p>
        </w:tc>
      </w:tr>
      <w:tr w:rsidR="004D556D" w:rsidRPr="000F6CD1" w14:paraId="39A8E9FC" w14:textId="77777777" w:rsidTr="0098479D">
        <w:trPr>
          <w:jc w:val="center"/>
        </w:trPr>
        <w:tc>
          <w:tcPr>
            <w:tcW w:w="9351" w:type="dxa"/>
          </w:tcPr>
          <w:p w14:paraId="5C22AF38" w14:textId="58E79C11" w:rsidR="004D556D" w:rsidRPr="000F6CD1" w:rsidRDefault="004D556D" w:rsidP="005960D3">
            <w:pPr>
              <w:spacing w:before="120" w:after="120"/>
              <w:rPr>
                <w:rFonts w:eastAsia="Yu Gothic Light"/>
              </w:rPr>
            </w:pPr>
            <w:r w:rsidRPr="000F6CD1">
              <w:rPr>
                <w:rFonts w:eastAsia="Yu Gothic Light"/>
              </w:rPr>
              <w:t>need support to reduce the chances of you becoming more impaired</w:t>
            </w:r>
          </w:p>
        </w:tc>
      </w:tr>
      <w:tr w:rsidR="004D556D" w:rsidRPr="000F6CD1" w14:paraId="56A77635" w14:textId="77777777" w:rsidTr="0098479D">
        <w:trPr>
          <w:jc w:val="center"/>
        </w:trPr>
        <w:tc>
          <w:tcPr>
            <w:tcW w:w="9351" w:type="dxa"/>
          </w:tcPr>
          <w:p w14:paraId="20253EF1" w14:textId="77777777" w:rsidR="004D556D" w:rsidRPr="000F6CD1" w:rsidRDefault="004D556D" w:rsidP="005960D3">
            <w:pPr>
              <w:spacing w:before="120" w:after="120"/>
              <w:rPr>
                <w:rFonts w:eastAsia="Yu Gothic Light"/>
              </w:rPr>
            </w:pPr>
            <w:r w:rsidRPr="000F6CD1">
              <w:rPr>
                <w:rFonts w:eastAsia="Yu Gothic Light"/>
              </w:rPr>
              <w:t>need health services because of your impairment</w:t>
            </w:r>
          </w:p>
          <w:p w14:paraId="4FEC6796" w14:textId="77777777" w:rsidR="004D556D" w:rsidRPr="000F6CD1" w:rsidRDefault="004D556D" w:rsidP="005960D3">
            <w:pPr>
              <w:spacing w:before="120" w:after="120"/>
              <w:rPr>
                <w:rFonts w:eastAsia="Yu Gothic Light"/>
              </w:rPr>
            </w:pPr>
          </w:p>
          <w:p w14:paraId="3B4EBCA2" w14:textId="0FECD5F5" w:rsidR="004D556D" w:rsidRPr="000F6CD1" w:rsidRDefault="004D556D" w:rsidP="005960D3">
            <w:pPr>
              <w:spacing w:before="120" w:after="120"/>
              <w:rPr>
                <w:rFonts w:eastAsia="Yu Gothic Light"/>
              </w:rPr>
            </w:pPr>
            <w:r w:rsidRPr="000F6CD1">
              <w:rPr>
                <w:rFonts w:eastAsia="Yu Gothic Light"/>
              </w:rPr>
              <w:t>need support to regain skills and abilities or learn new ones</w:t>
            </w:r>
          </w:p>
        </w:tc>
      </w:tr>
      <w:tr w:rsidR="004D556D" w:rsidRPr="000F6CD1" w14:paraId="3C8518F6" w14:textId="77777777" w:rsidTr="0098479D">
        <w:trPr>
          <w:jc w:val="center"/>
        </w:trPr>
        <w:tc>
          <w:tcPr>
            <w:tcW w:w="9351" w:type="dxa"/>
          </w:tcPr>
          <w:p w14:paraId="716EA38C" w14:textId="72457E26" w:rsidR="004D556D" w:rsidRPr="000F6CD1" w:rsidRDefault="004D556D" w:rsidP="005960D3">
            <w:pPr>
              <w:spacing w:before="120" w:after="120"/>
              <w:rPr>
                <w:rFonts w:eastAsia="Yu Gothic Light"/>
              </w:rPr>
            </w:pPr>
            <w:r w:rsidRPr="000F6CD1">
              <w:rPr>
                <w:rFonts w:eastAsia="Yu Gothic Light"/>
              </w:rPr>
              <w:t>need help to access services for which you’ve been approved</w:t>
            </w:r>
            <w:r w:rsidRPr="000F6CD1" w:rsidDel="004151CF">
              <w:rPr>
                <w:rFonts w:eastAsia="Yu Gothic Light"/>
              </w:rPr>
              <w:t xml:space="preserve"> </w:t>
            </w:r>
          </w:p>
        </w:tc>
      </w:tr>
    </w:tbl>
    <w:p w14:paraId="4636C1FC" w14:textId="77777777" w:rsidR="004D556D" w:rsidRPr="000F6CD1" w:rsidRDefault="004D556D" w:rsidP="00622CFF">
      <w:pPr>
        <w:spacing w:before="240" w:after="240" w:line="240" w:lineRule="auto"/>
        <w:rPr>
          <w:rFonts w:eastAsia="Yu Gothic Light"/>
        </w:rPr>
      </w:pPr>
      <w:r w:rsidRPr="000F6CD1">
        <w:rPr>
          <w:rFonts w:eastAsia="Yu Gothic Light"/>
        </w:rPr>
        <w:t>When making a decision, assessment delegates must consider the older person’s circumstances overall and what service types and services they need, and for what reason. This should already be evident from the information recorded in the Integrated Assessment Tool (IAT) or the support plan, which detail what the person’s needs are, and why the person needs support and what help they need.</w:t>
      </w:r>
    </w:p>
    <w:p w14:paraId="3DBCC926" w14:textId="77777777" w:rsidR="004D556D" w:rsidRPr="000F6CD1" w:rsidRDefault="004D556D" w:rsidP="00622CFF">
      <w:pPr>
        <w:spacing w:before="240" w:after="240" w:line="240" w:lineRule="auto"/>
        <w:rPr>
          <w:rFonts w:eastAsia="Yu Gothic Light"/>
        </w:rPr>
      </w:pPr>
      <w:r w:rsidRPr="000F6CD1">
        <w:rPr>
          <w:rFonts w:eastAsia="Yu Gothic Light"/>
        </w:rPr>
        <w:t xml:space="preserve">Potential applicable reasons for service types/services are set out in the table below. </w:t>
      </w:r>
    </w:p>
    <w:p w14:paraId="306266C1" w14:textId="77777777" w:rsidR="00382B0B" w:rsidRDefault="00382B0B">
      <w:pPr>
        <w:rPr>
          <w:rFonts w:eastAsia="Yu Gothic Light"/>
          <w:b/>
          <w:iCs/>
          <w:color w:val="44546A" w:themeColor="text2"/>
          <w:sz w:val="21"/>
          <w:szCs w:val="18"/>
        </w:rPr>
      </w:pPr>
      <w:r>
        <w:rPr>
          <w:rFonts w:eastAsia="Yu Gothic Light"/>
        </w:rPr>
        <w:br w:type="page"/>
      </w:r>
    </w:p>
    <w:p w14:paraId="0E7D802A" w14:textId="23272926" w:rsidR="004D556D" w:rsidRPr="000F6CD1" w:rsidRDefault="004D556D" w:rsidP="00622CFF">
      <w:pPr>
        <w:pStyle w:val="Caption"/>
        <w:spacing w:before="240" w:after="240"/>
        <w:rPr>
          <w:rFonts w:eastAsia="Yu Gothic Light"/>
        </w:rPr>
      </w:pPr>
      <w:r w:rsidRPr="000F6CD1">
        <w:rPr>
          <w:rFonts w:eastAsia="Yu Gothic Light"/>
        </w:rPr>
        <w:lastRenderedPageBreak/>
        <w:t>Table 37. Service types/services and potential applicable reasons under section 67</w:t>
      </w:r>
    </w:p>
    <w:p w14:paraId="7FAA7810" w14:textId="3E3BDCE7" w:rsidR="004D556D" w:rsidRPr="000F6CD1" w:rsidRDefault="004D556D" w:rsidP="00E475AF"/>
    <w:tbl>
      <w:tblPr>
        <w:tblStyle w:val="TableGrid"/>
        <w:tblW w:w="7660" w:type="dxa"/>
        <w:tblInd w:w="-5" w:type="dxa"/>
        <w:tblBorders>
          <w:bottom w:val="single" w:sz="4" w:space="0" w:color="auto"/>
          <w:insideH w:val="single" w:sz="4" w:space="0" w:color="auto"/>
        </w:tblBorders>
        <w:tblLayout w:type="fixed"/>
        <w:tblCellMar>
          <w:top w:w="57" w:type="dxa"/>
          <w:bottom w:w="57" w:type="dxa"/>
        </w:tblCellMar>
        <w:tblLook w:val="04A0" w:firstRow="1" w:lastRow="0" w:firstColumn="1" w:lastColumn="0" w:noHBand="0" w:noVBand="1"/>
        <w:tblCaption w:val="Service types, services and potential applicable reasons under section 67 of the Act"/>
        <w:tblDescription w:val="The table details service types, services and potential applicable reasons under section 67 of the Act"/>
      </w:tblPr>
      <w:tblGrid>
        <w:gridCol w:w="3124"/>
        <w:gridCol w:w="4536"/>
      </w:tblGrid>
      <w:tr w:rsidR="004D556D" w:rsidRPr="000F6CD1" w14:paraId="26F39319" w14:textId="77777777" w:rsidTr="00E87641">
        <w:trPr>
          <w:tblHeader/>
        </w:trPr>
        <w:tc>
          <w:tcPr>
            <w:tcW w:w="3124" w:type="dxa"/>
            <w:shd w:val="clear" w:color="auto" w:fill="002060"/>
          </w:tcPr>
          <w:p w14:paraId="49CCEF7A" w14:textId="7C3E8EA1" w:rsidR="004D556D" w:rsidRPr="000F6CD1" w:rsidRDefault="004D556D" w:rsidP="005960D3">
            <w:pPr>
              <w:spacing w:before="120" w:after="120"/>
              <w:rPr>
                <w:rFonts w:eastAsia="Yu Gothic Light"/>
                <w:b/>
                <w:color w:val="FFFFFF"/>
              </w:rPr>
            </w:pPr>
            <w:r w:rsidRPr="000F6CD1">
              <w:rPr>
                <w:rFonts w:eastAsia="Yu Gothic Light"/>
                <w:b/>
                <w:color w:val="FFFFFF"/>
              </w:rPr>
              <w:t>Reason</w:t>
            </w:r>
          </w:p>
        </w:tc>
        <w:tc>
          <w:tcPr>
            <w:tcW w:w="4536" w:type="dxa"/>
            <w:shd w:val="clear" w:color="auto" w:fill="002060"/>
          </w:tcPr>
          <w:p w14:paraId="560C0A4A" w14:textId="77777777" w:rsidR="004D556D" w:rsidRPr="000F6CD1" w:rsidRDefault="004D556D" w:rsidP="005960D3">
            <w:pPr>
              <w:spacing w:before="120" w:after="120"/>
              <w:rPr>
                <w:rFonts w:eastAsia="Yu Gothic Light"/>
                <w:b/>
                <w:color w:val="FFFFFF"/>
              </w:rPr>
            </w:pPr>
            <w:r w:rsidRPr="000F6CD1">
              <w:rPr>
                <w:rFonts w:eastAsia="Yu Gothic Light"/>
                <w:b/>
                <w:color w:val="FFFFFF"/>
              </w:rPr>
              <w:t xml:space="preserve">Reason </w:t>
            </w:r>
            <w:r w:rsidRPr="000F6CD1">
              <w:rPr>
                <w:rFonts w:eastAsia="Yu Gothic Light"/>
                <w:b/>
                <w:color w:val="FFFFFF"/>
                <w:u w:val="single"/>
              </w:rPr>
              <w:t>may</w:t>
            </w:r>
            <w:r w:rsidRPr="000F6CD1">
              <w:rPr>
                <w:rFonts w:eastAsia="Yu Gothic Light"/>
                <w:b/>
                <w:color w:val="FFFFFF"/>
              </w:rPr>
              <w:t xml:space="preserve"> apply when approving the older person for…</w:t>
            </w:r>
          </w:p>
        </w:tc>
      </w:tr>
      <w:tr w:rsidR="004D556D" w:rsidRPr="000F6CD1" w14:paraId="19FBBBA8" w14:textId="77777777" w:rsidTr="00E87641">
        <w:tc>
          <w:tcPr>
            <w:tcW w:w="3124" w:type="dxa"/>
          </w:tcPr>
          <w:p w14:paraId="695EF43B" w14:textId="376BDBE4" w:rsidR="004D556D" w:rsidRPr="000F6CD1" w:rsidRDefault="004D556D" w:rsidP="005960D3">
            <w:pPr>
              <w:spacing w:before="120" w:after="120"/>
              <w:rPr>
                <w:rFonts w:eastAsia="Yu Gothic Light"/>
              </w:rPr>
            </w:pPr>
            <w:r w:rsidRPr="000F6CD1">
              <w:rPr>
                <w:rFonts w:eastAsia="Yu Gothic Light"/>
                <w:b/>
                <w:bCs/>
              </w:rPr>
              <w:t>1.</w:t>
            </w:r>
            <w:r w:rsidRPr="000F6CD1">
              <w:rPr>
                <w:rFonts w:eastAsia="Yu Gothic Light"/>
              </w:rPr>
              <w:t xml:space="preserve"> Need support to live and be included in your community </w:t>
            </w:r>
          </w:p>
        </w:tc>
        <w:tc>
          <w:tcPr>
            <w:tcW w:w="4536" w:type="dxa"/>
          </w:tcPr>
          <w:p w14:paraId="7ACC6694" w14:textId="30C37998" w:rsidR="004D556D" w:rsidRPr="000F6CD1" w:rsidRDefault="004D556D">
            <w:pPr>
              <w:numPr>
                <w:ilvl w:val="0"/>
                <w:numId w:val="235"/>
              </w:numPr>
              <w:spacing w:before="120" w:after="120"/>
              <w:ind w:left="318" w:hanging="283"/>
              <w:rPr>
                <w:rFonts w:eastAsia="Yu Gothic Light"/>
              </w:rPr>
            </w:pPr>
            <w:r w:rsidRPr="000F6CD1">
              <w:rPr>
                <w:rFonts w:eastAsia="Yu Gothic Light"/>
              </w:rPr>
              <w:t xml:space="preserve">any service type </w:t>
            </w:r>
            <w:r w:rsidRPr="000F6CD1">
              <w:rPr>
                <w:rFonts w:eastAsia="Yu Gothic Light"/>
                <w:b/>
                <w:bCs/>
              </w:rPr>
              <w:t>except</w:t>
            </w:r>
            <w:r w:rsidRPr="000F6CD1">
              <w:rPr>
                <w:rFonts w:eastAsia="Yu Gothic Light"/>
              </w:rPr>
              <w:t xml:space="preserve"> ‘Nursing care’ from the service group ‘home support’ (including services accessed through TCP)</w:t>
            </w:r>
          </w:p>
          <w:p w14:paraId="0E88323B"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‘Equipment and products’ or ‘Home adjustments’ under the AT-HM Scheme, CHSP or TCP</w:t>
            </w:r>
          </w:p>
        </w:tc>
      </w:tr>
      <w:tr w:rsidR="004D556D" w:rsidRPr="000F6CD1" w14:paraId="5AC87721" w14:textId="77777777" w:rsidTr="00E87641">
        <w:tc>
          <w:tcPr>
            <w:tcW w:w="3124" w:type="dxa"/>
          </w:tcPr>
          <w:p w14:paraId="695AD4AD" w14:textId="61B26B98" w:rsidR="004D556D" w:rsidRPr="000F6CD1" w:rsidRDefault="004D556D" w:rsidP="005960D3">
            <w:pPr>
              <w:spacing w:before="120" w:after="120"/>
              <w:rPr>
                <w:rFonts w:eastAsia="Yu Gothic Light"/>
              </w:rPr>
            </w:pPr>
            <w:r w:rsidRPr="000F6CD1">
              <w:rPr>
                <w:rFonts w:eastAsia="Yu Gothic Light"/>
                <w:b/>
                <w:bCs/>
              </w:rPr>
              <w:t>2.</w:t>
            </w:r>
            <w:r w:rsidRPr="000F6CD1">
              <w:rPr>
                <w:rFonts w:eastAsia="Yu Gothic Light"/>
              </w:rPr>
              <w:t xml:space="preserve"> Need support with your mobility </w:t>
            </w:r>
          </w:p>
        </w:tc>
        <w:tc>
          <w:tcPr>
            <w:tcW w:w="4536" w:type="dxa"/>
          </w:tcPr>
          <w:p w14:paraId="5C9DD6F9"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‘Transport’ from the service group ‘home support’ (included in any approval for TCP)</w:t>
            </w:r>
          </w:p>
          <w:p w14:paraId="2E4CFE67"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‘Equipment and products’ or ‘Home adjustments’ under the AT-HM Scheme or CHSP</w:t>
            </w:r>
          </w:p>
        </w:tc>
      </w:tr>
      <w:tr w:rsidR="004D556D" w:rsidRPr="000F6CD1" w14:paraId="52A5ECC3" w14:textId="77777777" w:rsidTr="00E87641">
        <w:tc>
          <w:tcPr>
            <w:tcW w:w="3124" w:type="dxa"/>
          </w:tcPr>
          <w:p w14:paraId="578F124A" w14:textId="7618F8FD" w:rsidR="004D556D" w:rsidRPr="000F6CD1" w:rsidRDefault="004D556D" w:rsidP="005960D3">
            <w:pPr>
              <w:spacing w:before="120" w:after="120"/>
              <w:rPr>
                <w:rFonts w:eastAsia="Yu Gothic Light"/>
              </w:rPr>
            </w:pPr>
            <w:r w:rsidRPr="000F6CD1">
              <w:rPr>
                <w:rFonts w:eastAsia="Yu Gothic Light"/>
                <w:b/>
                <w:bCs/>
              </w:rPr>
              <w:t>3.</w:t>
            </w:r>
            <w:r w:rsidRPr="000F6CD1">
              <w:rPr>
                <w:rFonts w:eastAsia="Yu Gothic Light"/>
              </w:rPr>
              <w:t xml:space="preserve"> Need support to reduce the chances of you becoming more impaired</w:t>
            </w:r>
          </w:p>
        </w:tc>
        <w:tc>
          <w:tcPr>
            <w:tcW w:w="4536" w:type="dxa"/>
          </w:tcPr>
          <w:p w14:paraId="26BD90E7"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‘Assistance with transition care’ (part of any approval for TCP)</w:t>
            </w:r>
          </w:p>
          <w:p w14:paraId="516CB699"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‘Equipment and products’ or ‘Home adjustments’ under the AT-HM Scheme or CHSP</w:t>
            </w:r>
          </w:p>
        </w:tc>
      </w:tr>
      <w:tr w:rsidR="004D556D" w:rsidRPr="000F6CD1" w14:paraId="677E9ECC" w14:textId="77777777">
        <w:tc>
          <w:tcPr>
            <w:tcW w:w="3124" w:type="dxa"/>
          </w:tcPr>
          <w:p w14:paraId="4278E53C" w14:textId="4B435AEA" w:rsidR="004D556D" w:rsidRPr="000F6CD1" w:rsidRDefault="004D556D">
            <w:pPr>
              <w:spacing w:before="120" w:after="120"/>
              <w:rPr>
                <w:rFonts w:eastAsia="Yu Gothic Light"/>
              </w:rPr>
            </w:pPr>
            <w:r w:rsidRPr="000F6CD1">
              <w:rPr>
                <w:rFonts w:eastAsia="Yu Gothic Light"/>
                <w:b/>
                <w:bCs/>
              </w:rPr>
              <w:t>4.</w:t>
            </w:r>
            <w:r w:rsidRPr="000F6CD1">
              <w:rPr>
                <w:rFonts w:eastAsia="Yu Gothic Light"/>
              </w:rPr>
              <w:t xml:space="preserve"> Need health services because of your impairment </w:t>
            </w:r>
          </w:p>
        </w:tc>
        <w:tc>
          <w:tcPr>
            <w:tcW w:w="4536" w:type="dxa"/>
          </w:tcPr>
          <w:p w14:paraId="32FEF3F5"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‘Allied health and therapy’</w:t>
            </w:r>
            <w:r w:rsidRPr="000F6CD1">
              <w:rPr>
                <w:rFonts w:eastAsia="Yu Gothic Light"/>
                <w:vertAlign w:val="superscript"/>
              </w:rPr>
              <w:footnoteReference w:id="5"/>
            </w:r>
          </w:p>
          <w:p w14:paraId="79E1CA94"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‘Nursing care’</w:t>
            </w:r>
          </w:p>
          <w:p w14:paraId="66258207"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‘Therapeutic services for independent living’</w:t>
            </w:r>
            <w:r w:rsidRPr="000F6CD1">
              <w:rPr>
                <w:rFonts w:eastAsia="Yu Gothic Light"/>
                <w:vertAlign w:val="superscript"/>
              </w:rPr>
              <w:footnoteReference w:id="6"/>
            </w:r>
          </w:p>
          <w:p w14:paraId="47FA46E5" w14:textId="3B3A3703" w:rsidR="004D556D" w:rsidRPr="000F6CD1" w:rsidRDefault="004D556D">
            <w:pPr>
              <w:numPr>
                <w:ilvl w:val="0"/>
                <w:numId w:val="235"/>
              </w:numPr>
              <w:spacing w:before="120" w:after="120"/>
              <w:ind w:left="318" w:hanging="283"/>
              <w:rPr>
                <w:rFonts w:eastAsia="Yu Gothic Light"/>
              </w:rPr>
            </w:pPr>
            <w:r w:rsidRPr="000F6CD1">
              <w:rPr>
                <w:rFonts w:eastAsia="Yu Gothic Light"/>
                <w:i/>
                <w:iCs/>
              </w:rPr>
              <w:t>Note that all of the above may be accessed through TCP</w:t>
            </w:r>
          </w:p>
        </w:tc>
      </w:tr>
      <w:tr w:rsidR="004D556D" w:rsidRPr="000F6CD1" w14:paraId="42C09885" w14:textId="77777777">
        <w:tc>
          <w:tcPr>
            <w:tcW w:w="3124" w:type="dxa"/>
          </w:tcPr>
          <w:p w14:paraId="7F9EEF9E" w14:textId="77777777" w:rsidR="004D556D" w:rsidRPr="000F6CD1" w:rsidRDefault="004D556D">
            <w:pPr>
              <w:spacing w:before="120" w:after="120"/>
              <w:rPr>
                <w:rFonts w:eastAsia="Yu Gothic Light"/>
                <w:b/>
                <w:bCs/>
              </w:rPr>
            </w:pPr>
            <w:r w:rsidRPr="000F6CD1">
              <w:rPr>
                <w:rFonts w:eastAsia="Yu Gothic Light"/>
                <w:b/>
                <w:bCs/>
              </w:rPr>
              <w:t>5.</w:t>
            </w:r>
            <w:r w:rsidRPr="000F6CD1">
              <w:rPr>
                <w:rFonts w:eastAsia="Yu Gothic Light"/>
              </w:rPr>
              <w:t xml:space="preserve"> Need support to regain skills and abilities or learn new ones</w:t>
            </w:r>
          </w:p>
        </w:tc>
        <w:tc>
          <w:tcPr>
            <w:tcW w:w="4536" w:type="dxa"/>
          </w:tcPr>
          <w:p w14:paraId="0F5B75BD"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‘Assistance with transition care’ (part of any approval for TCP)</w:t>
            </w:r>
          </w:p>
        </w:tc>
      </w:tr>
      <w:tr w:rsidR="004D556D" w:rsidRPr="000F6CD1" w14:paraId="16AF86C3" w14:textId="77777777" w:rsidTr="00E87641">
        <w:tc>
          <w:tcPr>
            <w:tcW w:w="3124" w:type="dxa"/>
          </w:tcPr>
          <w:p w14:paraId="76C49DCE" w14:textId="10D2C423" w:rsidR="004D556D" w:rsidRPr="000F6CD1" w:rsidRDefault="004D556D" w:rsidP="005960D3">
            <w:pPr>
              <w:spacing w:before="120" w:after="120"/>
              <w:rPr>
                <w:rFonts w:eastAsia="Yu Gothic Light"/>
              </w:rPr>
            </w:pPr>
            <w:r w:rsidRPr="000F6CD1">
              <w:rPr>
                <w:rFonts w:eastAsia="Yu Gothic Light"/>
                <w:b/>
                <w:bCs/>
              </w:rPr>
              <w:lastRenderedPageBreak/>
              <w:t>6.</w:t>
            </w:r>
            <w:r w:rsidRPr="000F6CD1">
              <w:rPr>
                <w:rFonts w:eastAsia="Yu Gothic Light"/>
              </w:rPr>
              <w:t xml:space="preserve"> Need help to access services for which you’ve been approved</w:t>
            </w:r>
          </w:p>
        </w:tc>
        <w:tc>
          <w:tcPr>
            <w:tcW w:w="4536" w:type="dxa"/>
          </w:tcPr>
          <w:p w14:paraId="6FE6CD70"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‘Equipment and products’ under the AT-HM Scheme or CHSP</w:t>
            </w:r>
          </w:p>
          <w:p w14:paraId="04642738"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‘Restorative care management’ under the service group ‘home support’ (e.g. Restorative Care Pathway)</w:t>
            </w:r>
          </w:p>
          <w:p w14:paraId="1141479E" w14:textId="77777777" w:rsidR="004D556D" w:rsidRPr="000F6CD1" w:rsidRDefault="004D556D">
            <w:pPr>
              <w:numPr>
                <w:ilvl w:val="0"/>
                <w:numId w:val="235"/>
              </w:numPr>
              <w:spacing w:before="120" w:after="120"/>
              <w:ind w:left="318" w:hanging="283"/>
              <w:rPr>
                <w:rFonts w:eastAsia="Yu Gothic Light"/>
              </w:rPr>
            </w:pPr>
            <w:r w:rsidRPr="000F6CD1">
              <w:rPr>
                <w:rFonts w:eastAsia="Yu Gothic Light"/>
              </w:rPr>
              <w:t>the service type ‘Assistance with transition care’ (part of any approval for TCP)</w:t>
            </w:r>
          </w:p>
          <w:p w14:paraId="10653BB0" w14:textId="77777777" w:rsidR="004D556D" w:rsidRPr="000F6CD1" w:rsidRDefault="004D556D" w:rsidP="00E475AF">
            <w:pPr>
              <w:spacing w:before="120" w:after="120"/>
              <w:rPr>
                <w:rFonts w:eastAsia="Yu Gothic Light"/>
              </w:rPr>
            </w:pPr>
          </w:p>
        </w:tc>
      </w:tr>
    </w:tbl>
    <w:p w14:paraId="59FC90AB" w14:textId="77777777" w:rsidR="004D556D" w:rsidRPr="000F6CD1" w:rsidRDefault="004D556D" w:rsidP="00622CFF">
      <w:pPr>
        <w:spacing w:before="240" w:after="240" w:line="240" w:lineRule="auto"/>
        <w:rPr>
          <w:rFonts w:eastAsia="Yu Gothic Light"/>
        </w:rPr>
      </w:pPr>
      <w:r w:rsidRPr="000F6CD1">
        <w:rPr>
          <w:rFonts w:eastAsia="Yu Gothic Light"/>
        </w:rPr>
        <w:t>Once an Assessment Delegate has considered which service types are needed and why, they need to record the reasons for their decision in the Notice of Decision</w:t>
      </w:r>
      <w:r w:rsidRPr="000F6CD1">
        <w:rPr>
          <w:rFonts w:eastAsia="Yu Gothic Light"/>
          <w:bCs/>
        </w:rPr>
        <w:t>.</w:t>
      </w:r>
      <w:r w:rsidRPr="000F6CD1">
        <w:rPr>
          <w:rFonts w:eastAsia="Yu Gothic Light"/>
        </w:rPr>
        <w:t xml:space="preserve"> Assessment Delegates will be required to delete the reasons which they consider do not apply from the list of reasons above.</w:t>
      </w:r>
    </w:p>
    <w:p w14:paraId="4946D713" w14:textId="77777777" w:rsidR="004D556D" w:rsidRPr="000F6CD1" w:rsidRDefault="004D556D" w:rsidP="00622CFF">
      <w:pPr>
        <w:spacing w:before="240" w:after="240" w:line="240" w:lineRule="auto"/>
        <w:rPr>
          <w:rFonts w:eastAsia="Yu Gothic Light"/>
          <w:b/>
        </w:rPr>
      </w:pPr>
      <w:r w:rsidRPr="000F6CD1">
        <w:rPr>
          <w:rFonts w:eastAsia="Yu Gothic Light"/>
          <w:b/>
        </w:rPr>
        <w:t>Health services - examples</w:t>
      </w:r>
    </w:p>
    <w:p w14:paraId="3DB5BD68" w14:textId="77777777" w:rsidR="004D556D" w:rsidRPr="000F6CD1" w:rsidRDefault="004D556D" w:rsidP="00622CFF">
      <w:pPr>
        <w:spacing w:before="240" w:after="240" w:line="240" w:lineRule="auto"/>
      </w:pPr>
      <w:r w:rsidRPr="000F6CD1">
        <w:rPr>
          <w:rFonts w:eastAsia="Yu Gothic Light"/>
        </w:rPr>
        <w:t xml:space="preserve">An example of a health service is physiotherapy or other services delivered by a registered health professional. </w:t>
      </w:r>
    </w:p>
    <w:p w14:paraId="00301FE4" w14:textId="516D1734" w:rsidR="004D556D" w:rsidRPr="000F6CD1" w:rsidRDefault="004D556D" w:rsidP="00622CFF">
      <w:pPr>
        <w:spacing w:before="240" w:after="240" w:line="240" w:lineRule="auto"/>
      </w:pPr>
      <w:r w:rsidRPr="000F6CD1">
        <w:rPr>
          <w:rFonts w:eastAsia="Yu Gothic Light"/>
        </w:rPr>
        <w:t>An example of approving access to a service because it is a ‘health service’ required ‘because of the individual’s impairment’ could be approving them for the service ‘Physiotherapy’ in the ‘Allied health and therapy service type</w:t>
      </w:r>
      <w:r w:rsidR="006D07BE" w:rsidRPr="000F6CD1">
        <w:rPr>
          <w:rFonts w:eastAsia="Yu Gothic Light"/>
        </w:rPr>
        <w:t>.’</w:t>
      </w:r>
      <w:r w:rsidRPr="000F6CD1">
        <w:rPr>
          <w:rFonts w:eastAsia="Yu Gothic Light"/>
        </w:rPr>
        <w:t xml:space="preserve"> This is because the physiotherapy is required to support them with managing their diagnosis of Motor Neuron disease.</w:t>
      </w:r>
    </w:p>
    <w:p w14:paraId="514430E3" w14:textId="77777777" w:rsidR="004D556D" w:rsidRPr="000F6CD1" w:rsidRDefault="004D556D" w:rsidP="00622CFF">
      <w:pPr>
        <w:spacing w:before="240" w:after="240" w:line="240" w:lineRule="auto"/>
        <w:rPr>
          <w:rFonts w:eastAsia="Yu Gothic Light"/>
          <w:b/>
        </w:rPr>
      </w:pPr>
      <w:r w:rsidRPr="000F6CD1">
        <w:rPr>
          <w:rFonts w:eastAsia="Yu Gothic Light"/>
          <w:b/>
        </w:rPr>
        <w:t>Habilitation and rehabilitation services - examples</w:t>
      </w:r>
    </w:p>
    <w:p w14:paraId="4014641C" w14:textId="61C1E34A" w:rsidR="004D556D" w:rsidRPr="000F6CD1" w:rsidRDefault="004D556D" w:rsidP="00622CFF">
      <w:pPr>
        <w:spacing w:before="240" w:after="240" w:line="240" w:lineRule="auto"/>
      </w:pPr>
      <w:r w:rsidRPr="000F6CD1">
        <w:rPr>
          <w:rFonts w:eastAsia="Yu Gothic Light"/>
        </w:rPr>
        <w:t>Allied health services such as occupational therapy or physiotherapy are examples of habilitation or rehabilitation services.</w:t>
      </w:r>
    </w:p>
    <w:p w14:paraId="695160C2" w14:textId="77777777" w:rsidR="004D556D" w:rsidRPr="000F6CD1" w:rsidRDefault="004D556D" w:rsidP="00622CFF">
      <w:pPr>
        <w:spacing w:before="240" w:after="240" w:line="240" w:lineRule="auto"/>
      </w:pPr>
      <w:r w:rsidRPr="000F6CD1">
        <w:rPr>
          <w:rFonts w:eastAsia="Yu Gothic Light"/>
        </w:rPr>
        <w:t>An example of approving access to a service because it is a ‘habilitation or rehabilitation service’ could be approving them for ‘Acupuncture’ in the ‘Therapeutic services for independent living’ service type, to support them in rehabilitation following a stroke.</w:t>
      </w:r>
    </w:p>
    <w:p w14:paraId="71F9E377" w14:textId="77777777" w:rsidR="004D556D" w:rsidRPr="000F6CD1" w:rsidRDefault="004D556D">
      <w:pPr>
        <w:pStyle w:val="H4"/>
      </w:pPr>
      <w:r w:rsidRPr="000F6CD1">
        <w:t>Additional eligibility requirements</w:t>
      </w:r>
    </w:p>
    <w:p w14:paraId="1A984923"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approving a person under section 65(1) because section 67 applies to them, Assessment Delegates will also need to turn their mind to the additional eligibility requirements in the </w:t>
      </w:r>
      <w:r w:rsidRPr="00BD0F1D">
        <w:rPr>
          <w:rFonts w:eastAsia="Yu Gothic Light"/>
          <w:i/>
          <w:iCs/>
        </w:rPr>
        <w:t>Aged Care Rules 2025</w:t>
      </w:r>
      <w:r w:rsidRPr="000F6CD1">
        <w:rPr>
          <w:rFonts w:eastAsia="Yu Gothic Light"/>
        </w:rPr>
        <w:t xml:space="preserve"> for the service groups the person is actually approved for. This is required because of section 65(3) of the </w:t>
      </w:r>
      <w:r w:rsidRPr="000F6CD1">
        <w:rPr>
          <w:rFonts w:eastAsia="Yu Gothic Light"/>
          <w:i/>
        </w:rPr>
        <w:t>Aged Care Act 2024</w:t>
      </w:r>
      <w:r w:rsidRPr="000F6CD1">
        <w:rPr>
          <w:rFonts w:eastAsia="Yu Gothic Light"/>
        </w:rPr>
        <w:t xml:space="preserve">. </w:t>
      </w:r>
    </w:p>
    <w:p w14:paraId="5F3A95C2" w14:textId="77777777" w:rsidR="007A71BB" w:rsidRDefault="004D556D" w:rsidP="00622CFF">
      <w:pPr>
        <w:spacing w:before="240" w:after="240" w:line="240" w:lineRule="auto"/>
        <w:rPr>
          <w:rFonts w:eastAsia="Yu Gothic Light"/>
        </w:rPr>
      </w:pPr>
      <w:r w:rsidRPr="000F6CD1">
        <w:rPr>
          <w:rFonts w:eastAsia="Yu Gothic Light"/>
        </w:rPr>
        <w:t>The additional requirements for each service group are set out below.</w:t>
      </w:r>
    </w:p>
    <w:p w14:paraId="6A1BF06C" w14:textId="4ECE32F8" w:rsidR="004D556D" w:rsidRPr="000F6CD1" w:rsidRDefault="007A71BB" w:rsidP="007A71BB">
      <w:pPr>
        <w:rPr>
          <w:rFonts w:eastAsia="Yu Gothic Light"/>
        </w:rPr>
      </w:pPr>
      <w:r>
        <w:rPr>
          <w:rFonts w:eastAsia="Yu Gothic Light"/>
        </w:rPr>
        <w:br w:type="page"/>
      </w:r>
    </w:p>
    <w:p w14:paraId="65902FB5" w14:textId="77777777" w:rsidR="004D556D" w:rsidRPr="000F6CD1" w:rsidRDefault="004D556D" w:rsidP="00622CFF">
      <w:pPr>
        <w:spacing w:before="240" w:after="240" w:line="240" w:lineRule="auto"/>
        <w:rPr>
          <w:rFonts w:eastAsia="Yu Gothic Light"/>
          <w:b/>
          <w:bCs/>
          <w:color w:val="1E1444"/>
        </w:rPr>
      </w:pPr>
      <w:r w:rsidRPr="000F6CD1">
        <w:rPr>
          <w:rFonts w:eastAsia="Yu Gothic Light"/>
          <w:b/>
          <w:bCs/>
          <w:color w:val="1E1444"/>
        </w:rPr>
        <w:lastRenderedPageBreak/>
        <w:t>Additional requirements for home support</w:t>
      </w:r>
    </w:p>
    <w:p w14:paraId="678312BC" w14:textId="77777777" w:rsidR="004D556D" w:rsidRPr="000F6CD1" w:rsidRDefault="004D556D" w:rsidP="00622CFF">
      <w:pPr>
        <w:spacing w:before="240" w:after="240" w:line="240" w:lineRule="auto"/>
        <w:rPr>
          <w:rFonts w:eastAsia="Yu Gothic Light"/>
        </w:rPr>
      </w:pPr>
      <w:r w:rsidRPr="000F6CD1">
        <w:rPr>
          <w:rFonts w:eastAsia="Yu Gothic Light"/>
        </w:rPr>
        <w:t>The system will do the work in calculating the score necessary to determine whether an older person has met the additional eligibility requirements for the home support service group listed below. This calculation is made by drawing on the responses from within the Integrated Assessment Tool (IAT). The Assessment Delegate is to ensure information is accurately recorded in the IAT and that you have consideration for legislative eligibility criteria even though the score is calculated by the system.</w:t>
      </w:r>
    </w:p>
    <w:p w14:paraId="2A72AA4A" w14:textId="77777777" w:rsidR="004D556D" w:rsidRPr="000F6CD1" w:rsidRDefault="004D556D" w:rsidP="00622CFF">
      <w:pPr>
        <w:spacing w:before="240" w:after="240" w:line="240" w:lineRule="auto"/>
        <w:rPr>
          <w:rFonts w:eastAsia="Yu Gothic Light"/>
        </w:rPr>
      </w:pPr>
      <w:r w:rsidRPr="000F6CD1">
        <w:rPr>
          <w:rFonts w:eastAsia="Yu Gothic Light"/>
        </w:rPr>
        <w:t>The additional requirements for the home support service group are that the person meets any of the ‘score’ requirements for the particular questions in the IAT, outlined in the table below. </w:t>
      </w:r>
    </w:p>
    <w:p w14:paraId="0BFB9341" w14:textId="77777777" w:rsidR="004D556D" w:rsidRPr="000F6CD1" w:rsidRDefault="004D556D" w:rsidP="00622CFF">
      <w:pPr>
        <w:pStyle w:val="Caption"/>
        <w:spacing w:before="240" w:after="240"/>
        <w:rPr>
          <w:rFonts w:eastAsia="Yu Gothic Light"/>
        </w:rPr>
      </w:pPr>
      <w:r w:rsidRPr="000F6CD1">
        <w:rPr>
          <w:rFonts w:eastAsia="Yu Gothic Light"/>
        </w:rPr>
        <w:t>Table 38. Additional eligibility requirements for the home support service group under the Rules</w:t>
      </w:r>
    </w:p>
    <w:tbl>
      <w:tblPr>
        <w:tblStyle w:val="TableGrid"/>
        <w:tblW w:w="0" w:type="auto"/>
        <w:tblLook w:val="04A0" w:firstRow="1" w:lastRow="0" w:firstColumn="1" w:lastColumn="0" w:noHBand="0" w:noVBand="1"/>
        <w:tblCaption w:val="Additional eligibility requirements for the home support service group under the Aged Care Rules"/>
        <w:tblDescription w:val="The table details additional eligibility requirements for the home support service group under the Aged Care Rules"/>
      </w:tblPr>
      <w:tblGrid>
        <w:gridCol w:w="4508"/>
        <w:gridCol w:w="4508"/>
      </w:tblGrid>
      <w:tr w:rsidR="004D556D" w:rsidRPr="000F6CD1" w14:paraId="2D2D8491" w14:textId="77777777">
        <w:tc>
          <w:tcPr>
            <w:tcW w:w="4508" w:type="dxa"/>
            <w:shd w:val="clear" w:color="auto" w:fill="002060"/>
          </w:tcPr>
          <w:p w14:paraId="4D4CEB32" w14:textId="77777777" w:rsidR="004D556D" w:rsidRPr="000F6CD1" w:rsidRDefault="004D556D" w:rsidP="00622CFF">
            <w:pPr>
              <w:spacing w:before="240" w:after="240"/>
            </w:pPr>
            <w:r w:rsidRPr="000F6CD1">
              <w:t xml:space="preserve">A person has a total score of less than 20 for the questions in the IAT with the following headings: </w:t>
            </w:r>
          </w:p>
        </w:tc>
        <w:tc>
          <w:tcPr>
            <w:tcW w:w="4508" w:type="dxa"/>
          </w:tcPr>
          <w:p w14:paraId="1AE7BB0D" w14:textId="77777777" w:rsidR="004D556D" w:rsidRPr="000F6CD1" w:rsidRDefault="004D556D">
            <w:pPr>
              <w:numPr>
                <w:ilvl w:val="0"/>
                <w:numId w:val="236"/>
              </w:numPr>
              <w:spacing w:before="240" w:after="240"/>
              <w:contextualSpacing/>
            </w:pPr>
            <w:r w:rsidRPr="000F6CD1">
              <w:t>Climb stairs</w:t>
            </w:r>
          </w:p>
          <w:p w14:paraId="46FFAC0D" w14:textId="77777777" w:rsidR="004D556D" w:rsidRPr="000F6CD1" w:rsidRDefault="004D556D">
            <w:pPr>
              <w:numPr>
                <w:ilvl w:val="0"/>
                <w:numId w:val="236"/>
              </w:numPr>
              <w:spacing w:before="240" w:after="240"/>
              <w:contextualSpacing/>
            </w:pPr>
            <w:r w:rsidRPr="000F6CD1">
              <w:t xml:space="preserve">Eating </w:t>
            </w:r>
          </w:p>
          <w:p w14:paraId="59784FC1" w14:textId="77777777" w:rsidR="004D556D" w:rsidRPr="000F6CD1" w:rsidRDefault="004D556D">
            <w:pPr>
              <w:numPr>
                <w:ilvl w:val="0"/>
                <w:numId w:val="236"/>
              </w:numPr>
              <w:spacing w:before="240" w:after="240"/>
              <w:contextualSpacing/>
            </w:pPr>
            <w:r w:rsidRPr="000F6CD1">
              <w:t>Dressing</w:t>
            </w:r>
          </w:p>
          <w:p w14:paraId="77988191" w14:textId="77777777" w:rsidR="004D556D" w:rsidRPr="000F6CD1" w:rsidRDefault="004D556D">
            <w:pPr>
              <w:numPr>
                <w:ilvl w:val="0"/>
                <w:numId w:val="236"/>
              </w:numPr>
              <w:spacing w:before="240" w:after="240"/>
              <w:contextualSpacing/>
            </w:pPr>
            <w:r w:rsidRPr="000F6CD1">
              <w:t>Take a bath or shower</w:t>
            </w:r>
          </w:p>
          <w:p w14:paraId="30AF8B71" w14:textId="77777777" w:rsidR="004D556D" w:rsidRPr="000F6CD1" w:rsidRDefault="004D556D">
            <w:pPr>
              <w:numPr>
                <w:ilvl w:val="0"/>
                <w:numId w:val="236"/>
              </w:numPr>
              <w:spacing w:before="240" w:after="240"/>
              <w:contextualSpacing/>
            </w:pPr>
            <w:r w:rsidRPr="000F6CD1">
              <w:t xml:space="preserve">Grooming </w:t>
            </w:r>
          </w:p>
          <w:p w14:paraId="598539F4" w14:textId="77777777" w:rsidR="004D556D" w:rsidRPr="000F6CD1" w:rsidRDefault="004D556D">
            <w:pPr>
              <w:numPr>
                <w:ilvl w:val="0"/>
                <w:numId w:val="236"/>
              </w:numPr>
              <w:spacing w:before="240" w:after="240"/>
              <w:contextualSpacing/>
            </w:pPr>
            <w:r w:rsidRPr="000F6CD1">
              <w:t xml:space="preserve">Transfers </w:t>
            </w:r>
          </w:p>
          <w:p w14:paraId="670D1F8D" w14:textId="77777777" w:rsidR="004D556D" w:rsidRPr="000F6CD1" w:rsidRDefault="004D556D">
            <w:pPr>
              <w:numPr>
                <w:ilvl w:val="0"/>
                <w:numId w:val="236"/>
              </w:numPr>
              <w:spacing w:before="240" w:after="240"/>
              <w:contextualSpacing/>
            </w:pPr>
            <w:r w:rsidRPr="000F6CD1">
              <w:t xml:space="preserve">Toilet use </w:t>
            </w:r>
          </w:p>
          <w:p w14:paraId="7D806339" w14:textId="77777777" w:rsidR="004D556D" w:rsidRPr="000F6CD1" w:rsidRDefault="004D556D">
            <w:pPr>
              <w:numPr>
                <w:ilvl w:val="0"/>
                <w:numId w:val="236"/>
              </w:numPr>
              <w:spacing w:before="240" w:after="240"/>
              <w:contextualSpacing/>
            </w:pPr>
            <w:r w:rsidRPr="000F6CD1">
              <w:t>Toileting – bladder</w:t>
            </w:r>
          </w:p>
          <w:p w14:paraId="416B7D57" w14:textId="77777777" w:rsidR="004D556D" w:rsidRPr="000F6CD1" w:rsidRDefault="004D556D">
            <w:pPr>
              <w:numPr>
                <w:ilvl w:val="0"/>
                <w:numId w:val="236"/>
              </w:numPr>
              <w:spacing w:before="240" w:after="240"/>
              <w:contextualSpacing/>
            </w:pPr>
            <w:r w:rsidRPr="000F6CD1">
              <w:t xml:space="preserve">Toileting – bowels </w:t>
            </w:r>
          </w:p>
          <w:p w14:paraId="53B4415B" w14:textId="77777777" w:rsidR="004D556D" w:rsidRPr="000F6CD1" w:rsidRDefault="004D556D">
            <w:pPr>
              <w:numPr>
                <w:ilvl w:val="0"/>
                <w:numId w:val="236"/>
              </w:numPr>
              <w:spacing w:before="240" w:after="240"/>
              <w:contextualSpacing/>
            </w:pPr>
            <w:r w:rsidRPr="000F6CD1">
              <w:t xml:space="preserve">Walk </w:t>
            </w:r>
          </w:p>
          <w:p w14:paraId="453C163A" w14:textId="77777777" w:rsidR="004D556D" w:rsidRPr="000F6CD1" w:rsidRDefault="004D556D" w:rsidP="00BE1072">
            <w:pPr>
              <w:spacing w:before="240" w:after="240"/>
              <w:ind w:left="1080"/>
              <w:contextualSpacing/>
            </w:pPr>
          </w:p>
        </w:tc>
      </w:tr>
      <w:tr w:rsidR="004D556D" w:rsidRPr="000F6CD1" w14:paraId="238C1329" w14:textId="77777777">
        <w:tc>
          <w:tcPr>
            <w:tcW w:w="9016" w:type="dxa"/>
            <w:gridSpan w:val="2"/>
            <w:shd w:val="clear" w:color="auto" w:fill="002060"/>
          </w:tcPr>
          <w:p w14:paraId="46436BD1" w14:textId="77777777" w:rsidR="004D556D" w:rsidRPr="000F6CD1" w:rsidRDefault="004D556D" w:rsidP="00622CFF">
            <w:pPr>
              <w:spacing w:before="240" w:after="240"/>
              <w:jc w:val="center"/>
            </w:pPr>
            <w:r w:rsidRPr="000F6CD1">
              <w:t>OR</w:t>
            </w:r>
          </w:p>
        </w:tc>
      </w:tr>
      <w:tr w:rsidR="004D556D" w:rsidRPr="000F6CD1" w14:paraId="17669333" w14:textId="77777777">
        <w:tc>
          <w:tcPr>
            <w:tcW w:w="4508" w:type="dxa"/>
            <w:shd w:val="clear" w:color="auto" w:fill="002060"/>
          </w:tcPr>
          <w:p w14:paraId="4FC7C464" w14:textId="77777777" w:rsidR="004D556D" w:rsidRPr="000F6CD1" w:rsidRDefault="004D556D" w:rsidP="00622CFF">
            <w:pPr>
              <w:spacing w:before="240" w:after="240"/>
            </w:pPr>
            <w:r w:rsidRPr="000F6CD1">
              <w:t xml:space="preserve">The person has a total score of less than 14 for the questions in the IAT with the following headings: </w:t>
            </w:r>
          </w:p>
        </w:tc>
        <w:tc>
          <w:tcPr>
            <w:tcW w:w="4508" w:type="dxa"/>
          </w:tcPr>
          <w:p w14:paraId="3DC60885" w14:textId="77777777" w:rsidR="004D556D" w:rsidRPr="000F6CD1" w:rsidRDefault="004D556D">
            <w:pPr>
              <w:numPr>
                <w:ilvl w:val="0"/>
                <w:numId w:val="237"/>
              </w:numPr>
              <w:spacing w:before="240" w:after="240"/>
              <w:contextualSpacing/>
            </w:pPr>
            <w:r w:rsidRPr="000F6CD1">
              <w:t>Get to places out of walking distance</w:t>
            </w:r>
          </w:p>
          <w:p w14:paraId="7141A823" w14:textId="77777777" w:rsidR="004D556D" w:rsidRPr="000F6CD1" w:rsidRDefault="004D556D">
            <w:pPr>
              <w:numPr>
                <w:ilvl w:val="0"/>
                <w:numId w:val="237"/>
              </w:numPr>
              <w:spacing w:before="240" w:after="240"/>
              <w:contextualSpacing/>
            </w:pPr>
            <w:r w:rsidRPr="000F6CD1">
              <w:t xml:space="preserve">Undertake housework (heavy/moderate) </w:t>
            </w:r>
          </w:p>
          <w:p w14:paraId="7EDC2E0A" w14:textId="77777777" w:rsidR="004D556D" w:rsidRPr="000F6CD1" w:rsidRDefault="004D556D">
            <w:pPr>
              <w:numPr>
                <w:ilvl w:val="0"/>
                <w:numId w:val="237"/>
              </w:numPr>
              <w:spacing w:before="240" w:after="240"/>
              <w:contextualSpacing/>
            </w:pPr>
            <w:r w:rsidRPr="000F6CD1">
              <w:t xml:space="preserve">Go shopping (assuming transportation) </w:t>
            </w:r>
          </w:p>
          <w:p w14:paraId="5FDF220D" w14:textId="77777777" w:rsidR="004D556D" w:rsidRPr="000F6CD1" w:rsidRDefault="004D556D">
            <w:pPr>
              <w:numPr>
                <w:ilvl w:val="0"/>
                <w:numId w:val="237"/>
              </w:numPr>
              <w:spacing w:before="240" w:after="240"/>
              <w:contextualSpacing/>
            </w:pPr>
            <w:r w:rsidRPr="000F6CD1">
              <w:t xml:space="preserve">Prepare meals </w:t>
            </w:r>
          </w:p>
          <w:p w14:paraId="0E2A46A2" w14:textId="77777777" w:rsidR="004D556D" w:rsidRPr="000F6CD1" w:rsidRDefault="004D556D">
            <w:pPr>
              <w:numPr>
                <w:ilvl w:val="0"/>
                <w:numId w:val="237"/>
              </w:numPr>
              <w:spacing w:before="240" w:after="240"/>
              <w:contextualSpacing/>
            </w:pPr>
            <w:r w:rsidRPr="000F6CD1">
              <w:t xml:space="preserve">Take medicine </w:t>
            </w:r>
          </w:p>
          <w:p w14:paraId="06E47CA3" w14:textId="77777777" w:rsidR="004D556D" w:rsidRPr="000F6CD1" w:rsidRDefault="004D556D">
            <w:pPr>
              <w:numPr>
                <w:ilvl w:val="0"/>
                <w:numId w:val="237"/>
              </w:numPr>
              <w:spacing w:before="240" w:after="240"/>
              <w:contextualSpacing/>
            </w:pPr>
            <w:r w:rsidRPr="000F6CD1">
              <w:t xml:space="preserve">Handle money </w:t>
            </w:r>
          </w:p>
          <w:p w14:paraId="068E2D25" w14:textId="77777777" w:rsidR="004D556D" w:rsidRPr="000F6CD1" w:rsidRDefault="004D556D">
            <w:pPr>
              <w:numPr>
                <w:ilvl w:val="0"/>
                <w:numId w:val="237"/>
              </w:numPr>
              <w:spacing w:before="240" w:after="240"/>
              <w:contextualSpacing/>
            </w:pPr>
            <w:r w:rsidRPr="000F6CD1">
              <w:t xml:space="preserve">Use the telephone </w:t>
            </w:r>
          </w:p>
        </w:tc>
      </w:tr>
      <w:tr w:rsidR="004D556D" w:rsidRPr="000F6CD1" w14:paraId="3F8B4446" w14:textId="77777777">
        <w:tc>
          <w:tcPr>
            <w:tcW w:w="9016" w:type="dxa"/>
            <w:gridSpan w:val="2"/>
            <w:shd w:val="clear" w:color="auto" w:fill="002060"/>
          </w:tcPr>
          <w:p w14:paraId="5529CC31" w14:textId="77777777" w:rsidR="004D556D" w:rsidRPr="000F6CD1" w:rsidRDefault="004D556D" w:rsidP="00622CFF">
            <w:pPr>
              <w:spacing w:before="240" w:after="240"/>
              <w:jc w:val="center"/>
            </w:pPr>
            <w:r w:rsidRPr="000F6CD1">
              <w:t>OR</w:t>
            </w:r>
          </w:p>
        </w:tc>
      </w:tr>
      <w:tr w:rsidR="004D556D" w:rsidRPr="000F6CD1" w14:paraId="37428477" w14:textId="77777777">
        <w:tc>
          <w:tcPr>
            <w:tcW w:w="4508" w:type="dxa"/>
            <w:shd w:val="clear" w:color="auto" w:fill="002060"/>
          </w:tcPr>
          <w:p w14:paraId="5CC70E6A" w14:textId="77777777" w:rsidR="004D556D" w:rsidRPr="000F6CD1" w:rsidRDefault="004D556D" w:rsidP="00622CFF">
            <w:pPr>
              <w:spacing w:before="240" w:after="240"/>
            </w:pPr>
            <w:r w:rsidRPr="000F6CD1">
              <w:t xml:space="preserve">The person has a score greater than zero for the questions in the sections of the IAT headed:  </w:t>
            </w:r>
          </w:p>
        </w:tc>
        <w:tc>
          <w:tcPr>
            <w:tcW w:w="4508" w:type="dxa"/>
          </w:tcPr>
          <w:p w14:paraId="5B80E24E" w14:textId="77777777" w:rsidR="004D556D" w:rsidRPr="000F6CD1" w:rsidRDefault="004D556D">
            <w:pPr>
              <w:numPr>
                <w:ilvl w:val="0"/>
                <w:numId w:val="238"/>
              </w:numPr>
              <w:spacing w:before="240" w:after="240"/>
              <w:contextualSpacing/>
            </w:pPr>
            <w:r w:rsidRPr="000F6CD1">
              <w:t xml:space="preserve">Cognition </w:t>
            </w:r>
          </w:p>
          <w:p w14:paraId="7A76B674" w14:textId="77777777" w:rsidR="004D556D" w:rsidRPr="000F6CD1" w:rsidRDefault="004D556D">
            <w:pPr>
              <w:numPr>
                <w:ilvl w:val="0"/>
                <w:numId w:val="238"/>
              </w:numPr>
              <w:spacing w:before="240" w:after="240"/>
              <w:contextualSpacing/>
            </w:pPr>
            <w:r w:rsidRPr="000F6CD1">
              <w:t xml:space="preserve">Medical and Medications </w:t>
            </w:r>
          </w:p>
        </w:tc>
      </w:tr>
      <w:tr w:rsidR="004D556D" w:rsidRPr="000F6CD1" w14:paraId="7C9AC9B1" w14:textId="77777777">
        <w:tc>
          <w:tcPr>
            <w:tcW w:w="9016" w:type="dxa"/>
            <w:gridSpan w:val="2"/>
            <w:shd w:val="clear" w:color="auto" w:fill="002060"/>
          </w:tcPr>
          <w:p w14:paraId="0DE09AAE" w14:textId="77777777" w:rsidR="004D556D" w:rsidRPr="000F6CD1" w:rsidRDefault="004D556D" w:rsidP="00622CFF">
            <w:pPr>
              <w:spacing w:before="240" w:after="240"/>
              <w:jc w:val="center"/>
            </w:pPr>
            <w:r w:rsidRPr="000F6CD1">
              <w:t>OR</w:t>
            </w:r>
          </w:p>
        </w:tc>
      </w:tr>
      <w:tr w:rsidR="004D556D" w:rsidRPr="000F6CD1" w14:paraId="0B3A54F1" w14:textId="77777777">
        <w:tc>
          <w:tcPr>
            <w:tcW w:w="4508" w:type="dxa"/>
            <w:shd w:val="clear" w:color="auto" w:fill="002060"/>
          </w:tcPr>
          <w:p w14:paraId="59388C40" w14:textId="77777777" w:rsidR="004D556D" w:rsidRPr="000F6CD1" w:rsidRDefault="004D556D" w:rsidP="00622CFF">
            <w:pPr>
              <w:spacing w:before="240" w:after="240"/>
            </w:pPr>
            <w:r w:rsidRPr="000F6CD1">
              <w:lastRenderedPageBreak/>
              <w:t xml:space="preserve">The individual has a score greater than zero for questions in the section of the IAT headed: </w:t>
            </w:r>
          </w:p>
        </w:tc>
        <w:tc>
          <w:tcPr>
            <w:tcW w:w="4508" w:type="dxa"/>
          </w:tcPr>
          <w:p w14:paraId="69696451" w14:textId="77777777" w:rsidR="004D556D" w:rsidRPr="000F6CD1" w:rsidRDefault="004D556D">
            <w:pPr>
              <w:numPr>
                <w:ilvl w:val="0"/>
                <w:numId w:val="239"/>
              </w:numPr>
              <w:spacing w:before="240" w:after="240"/>
              <w:contextualSpacing/>
            </w:pPr>
            <w:r w:rsidRPr="000F6CD1">
              <w:t xml:space="preserve">Psychological </w:t>
            </w:r>
          </w:p>
        </w:tc>
      </w:tr>
      <w:tr w:rsidR="004D556D" w:rsidRPr="000F6CD1" w14:paraId="45D3D3E8" w14:textId="77777777">
        <w:tc>
          <w:tcPr>
            <w:tcW w:w="9016" w:type="dxa"/>
            <w:gridSpan w:val="2"/>
            <w:shd w:val="clear" w:color="auto" w:fill="002060"/>
          </w:tcPr>
          <w:p w14:paraId="57D94909" w14:textId="77777777" w:rsidR="004D556D" w:rsidRPr="000F6CD1" w:rsidRDefault="004D556D" w:rsidP="00622CFF">
            <w:pPr>
              <w:spacing w:before="240" w:after="240"/>
              <w:jc w:val="center"/>
            </w:pPr>
            <w:r w:rsidRPr="000F6CD1">
              <w:t>OR</w:t>
            </w:r>
          </w:p>
        </w:tc>
      </w:tr>
      <w:tr w:rsidR="004D556D" w:rsidRPr="000F6CD1" w14:paraId="71D1EF5F" w14:textId="77777777">
        <w:tc>
          <w:tcPr>
            <w:tcW w:w="4508" w:type="dxa"/>
            <w:shd w:val="clear" w:color="auto" w:fill="002060"/>
          </w:tcPr>
          <w:p w14:paraId="6A754BDD" w14:textId="77777777" w:rsidR="004D556D" w:rsidRPr="000F6CD1" w:rsidRDefault="004D556D" w:rsidP="00622CFF">
            <w:pPr>
              <w:spacing w:before="240" w:after="240"/>
            </w:pPr>
            <w:r w:rsidRPr="000F6CD1">
              <w:t xml:space="preserve">The individual has a score greater than zero for the questions in the section of the IAT headed:  </w:t>
            </w:r>
          </w:p>
        </w:tc>
        <w:tc>
          <w:tcPr>
            <w:tcW w:w="4508" w:type="dxa"/>
          </w:tcPr>
          <w:p w14:paraId="30EC3C4C" w14:textId="77777777" w:rsidR="004D556D" w:rsidRPr="000F6CD1" w:rsidRDefault="004D556D">
            <w:pPr>
              <w:numPr>
                <w:ilvl w:val="0"/>
                <w:numId w:val="239"/>
              </w:numPr>
              <w:spacing w:before="240" w:after="240"/>
              <w:contextualSpacing/>
            </w:pPr>
            <w:r w:rsidRPr="000F6CD1">
              <w:t>Physical, Personal Health or Frailty</w:t>
            </w:r>
          </w:p>
        </w:tc>
      </w:tr>
    </w:tbl>
    <w:p w14:paraId="1DD8FF75" w14:textId="77777777" w:rsidR="004D556D" w:rsidRPr="000F6CD1" w:rsidRDefault="004D556D" w:rsidP="00622CFF">
      <w:pPr>
        <w:spacing w:before="240" w:after="240" w:line="240" w:lineRule="auto"/>
        <w:rPr>
          <w:rFonts w:eastAsia="Yu Gothic Light"/>
          <w:b/>
          <w:highlight w:val="yellow"/>
        </w:rPr>
      </w:pPr>
      <w:r w:rsidRPr="000F6CD1">
        <w:rPr>
          <w:rFonts w:eastAsia="Yu Gothic Light"/>
          <w:b/>
        </w:rPr>
        <w:t>Additional requirements for assistive technology and home modifications: </w:t>
      </w:r>
    </w:p>
    <w:p w14:paraId="28CCED5E" w14:textId="77777777" w:rsidR="004D556D" w:rsidRPr="000F6CD1" w:rsidRDefault="004D556D" w:rsidP="00DF3F6B">
      <w:pPr>
        <w:numPr>
          <w:ilvl w:val="0"/>
          <w:numId w:val="239"/>
        </w:numPr>
        <w:spacing w:before="240" w:after="240" w:line="240" w:lineRule="auto"/>
        <w:contextualSpacing/>
        <w:rPr>
          <w:rFonts w:eastAsia="Yu Gothic Light"/>
        </w:rPr>
      </w:pPr>
      <w:r w:rsidRPr="000F6CD1">
        <w:rPr>
          <w:rFonts w:eastAsia="Yu Gothic Light"/>
        </w:rPr>
        <w:t>the individual is also approved for the home support service group. </w:t>
      </w:r>
    </w:p>
    <w:p w14:paraId="58BAFC06" w14:textId="77777777" w:rsidR="004D556D" w:rsidRPr="000F6CD1" w:rsidRDefault="004D556D" w:rsidP="00AD2CE5">
      <w:pPr>
        <w:pStyle w:val="H3"/>
      </w:pPr>
      <w:bookmarkStart w:id="630" w:name="_Toc402687366"/>
      <w:bookmarkStart w:id="631" w:name="_Toc199344502"/>
      <w:bookmarkStart w:id="632" w:name="_Toc199402633"/>
      <w:bookmarkStart w:id="633" w:name="_Ref212738703"/>
      <w:r w:rsidRPr="000F6CD1">
        <w:t xml:space="preserve">Section 68 – </w:t>
      </w:r>
      <w:bookmarkEnd w:id="630"/>
      <w:bookmarkEnd w:id="631"/>
      <w:bookmarkEnd w:id="632"/>
      <w:r w:rsidRPr="000F6CD1">
        <w:t>‘individuals with a sickness’</w:t>
      </w:r>
      <w:bookmarkEnd w:id="633"/>
    </w:p>
    <w:p w14:paraId="186359F5" w14:textId="77777777" w:rsidR="004D556D" w:rsidRPr="000F6CD1" w:rsidRDefault="004D556D" w:rsidP="00622CFF">
      <w:pPr>
        <w:spacing w:before="240" w:after="240" w:line="240" w:lineRule="auto"/>
        <w:rPr>
          <w:rFonts w:eastAsia="Yu Gothic Light"/>
        </w:rPr>
      </w:pPr>
      <w:r w:rsidRPr="000F6CD1">
        <w:rPr>
          <w:rFonts w:eastAsia="Yu Gothic Light"/>
        </w:rPr>
        <w:t>Section 68 is the pathway for non Aboriginal or Torres Strait Islander people to be approved under section 65(1) for funded aged care services in residential care. </w:t>
      </w:r>
    </w:p>
    <w:p w14:paraId="367ED56F" w14:textId="77777777" w:rsidR="004D556D" w:rsidRPr="000F6CD1" w:rsidRDefault="004D556D" w:rsidP="00622CFF">
      <w:pPr>
        <w:spacing w:before="240" w:after="240" w:line="240" w:lineRule="auto"/>
        <w:rPr>
          <w:rFonts w:eastAsia="Yu Gothic Light"/>
        </w:rPr>
      </w:pPr>
      <w:r w:rsidRPr="000F6CD1">
        <w:rPr>
          <w:rFonts w:eastAsia="Yu Gothic Light"/>
        </w:rPr>
        <w:t>This covers the residential care service group which includes both permanent (ongoing) and respite (short-term) residential care. It also covers older people who will access funded aged care services through the residential care service group under the Transition Care Program (TCP). </w:t>
      </w:r>
    </w:p>
    <w:p w14:paraId="4CD2AF8B" w14:textId="2D50A507" w:rsidR="004D556D" w:rsidRPr="000F6CD1" w:rsidRDefault="004D556D" w:rsidP="0085527F">
      <w:pPr>
        <w:spacing w:before="240" w:after="240" w:line="240" w:lineRule="auto"/>
        <w:rPr>
          <w:rFonts w:eastAsia="Yu Gothic Light"/>
        </w:rPr>
      </w:pPr>
      <w:r w:rsidRPr="000F6CD1">
        <w:rPr>
          <w:rFonts w:eastAsia="Yu Gothic Light"/>
        </w:rPr>
        <w:t>Approving a person for the residential care service group because section 68 applies to them will automatically approve them for all residential care service types, including the services under those types. </w:t>
      </w:r>
    </w:p>
    <w:p w14:paraId="2D12E56A" w14:textId="77777777" w:rsidR="004D556D" w:rsidRPr="000F6CD1" w:rsidRDefault="004D556D" w:rsidP="00E607CB">
      <w:pPr>
        <w:spacing w:before="240" w:after="240" w:line="240" w:lineRule="auto"/>
        <w:rPr>
          <w:rFonts w:eastAsia="Yu Gothic Light"/>
        </w:rPr>
      </w:pPr>
      <w:r w:rsidRPr="000F6CD1">
        <w:rPr>
          <w:rFonts w:eastAsia="Yu Gothic Light"/>
        </w:rPr>
        <w:t>Figure 10 below gives an overview of the section 68 pathway to approval to access the residential care service group.</w:t>
      </w:r>
    </w:p>
    <w:p w14:paraId="48F7DC6A" w14:textId="77777777" w:rsidR="004D556D" w:rsidRPr="000F6CD1" w:rsidRDefault="004D556D" w:rsidP="00E607CB">
      <w:pPr>
        <w:spacing w:before="240" w:after="240" w:line="240" w:lineRule="auto"/>
        <w:rPr>
          <w:rFonts w:eastAsia="Yu Gothic Light"/>
        </w:rPr>
      </w:pPr>
      <w:r w:rsidRPr="000F6CD1">
        <w:rPr>
          <w:noProof/>
          <w14:ligatures w14:val="standardContextual"/>
        </w:rPr>
        <w:drawing>
          <wp:inline distT="0" distB="0" distL="0" distR="0" wp14:anchorId="1D90673A" wp14:editId="20F806B5">
            <wp:extent cx="5731510" cy="1349375"/>
            <wp:effectExtent l="0" t="0" r="2540" b="3175"/>
            <wp:docPr id="1853561986" name="Picture 1" descr="The figure provides an overview of section 68 pathway to approval to access the residential care service group under the Aged Care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1986" name="Picture 1" descr="The figure provides an overview of section 68 pathway to approval to access the residential care service group under the Aged Care Act 2024"/>
                    <pic:cNvPicPr/>
                  </pic:nvPicPr>
                  <pic:blipFill>
                    <a:blip r:embed="rId241"/>
                    <a:stretch>
                      <a:fillRect/>
                    </a:stretch>
                  </pic:blipFill>
                  <pic:spPr>
                    <a:xfrm>
                      <a:off x="0" y="0"/>
                      <a:ext cx="5731510" cy="1349375"/>
                    </a:xfrm>
                    <a:prstGeom prst="rect">
                      <a:avLst/>
                    </a:prstGeom>
                  </pic:spPr>
                </pic:pic>
              </a:graphicData>
            </a:graphic>
          </wp:inline>
        </w:drawing>
      </w:r>
    </w:p>
    <w:p w14:paraId="67CF9E3B" w14:textId="77777777" w:rsidR="004D556D" w:rsidRPr="000F6CD1" w:rsidRDefault="004D556D" w:rsidP="00E607CB">
      <w:pPr>
        <w:pStyle w:val="Caption"/>
        <w:spacing w:before="240" w:after="240"/>
        <w:rPr>
          <w:i/>
          <w:sz w:val="18"/>
          <w:szCs w:val="14"/>
        </w:rPr>
      </w:pPr>
      <w:r w:rsidRPr="000F6CD1">
        <w:rPr>
          <w:b w:val="0"/>
          <w:bCs/>
          <w:i/>
          <w:iCs w:val="0"/>
          <w:sz w:val="18"/>
          <w:szCs w:val="14"/>
        </w:rPr>
        <w:t>Figure 10– Overview of section 68 pathway to access approval for residential care</w:t>
      </w:r>
    </w:p>
    <w:p w14:paraId="3501E3B8" w14:textId="68D2FC29" w:rsidR="004D556D" w:rsidRPr="000F6CD1" w:rsidRDefault="0085527F" w:rsidP="0085527F">
      <w:pPr>
        <w:rPr>
          <w:rFonts w:eastAsia="Yu Gothic Light"/>
        </w:rPr>
      </w:pPr>
      <w:r>
        <w:rPr>
          <w:rFonts w:eastAsia="Yu Gothic Light"/>
        </w:rPr>
        <w:br w:type="page"/>
      </w:r>
    </w:p>
    <w:p w14:paraId="576E9883" w14:textId="77777777" w:rsidR="004D556D" w:rsidRPr="000F6CD1" w:rsidRDefault="004D556D">
      <w:pPr>
        <w:pStyle w:val="H4"/>
      </w:pPr>
      <w:r w:rsidRPr="000F6CD1">
        <w:lastRenderedPageBreak/>
        <w:t>Deciding if the person should be approved </w:t>
      </w:r>
    </w:p>
    <w:p w14:paraId="48DDC1F7" w14:textId="77777777" w:rsidR="004D556D" w:rsidRPr="000F6CD1" w:rsidRDefault="004D556D" w:rsidP="00622CFF">
      <w:pPr>
        <w:spacing w:before="240" w:after="240" w:line="240" w:lineRule="auto"/>
        <w:rPr>
          <w:rFonts w:eastAsia="Yu Gothic Light"/>
        </w:rPr>
      </w:pPr>
      <w:r w:rsidRPr="000F6CD1">
        <w:rPr>
          <w:rFonts w:eastAsia="Yu Gothic Light"/>
        </w:rPr>
        <w:t>When approving an older person for the residential care service group, Assessment Delegates will need to be satisfied that: </w:t>
      </w:r>
    </w:p>
    <w:p w14:paraId="7E66FB8A" w14:textId="77777777" w:rsidR="004D556D" w:rsidRPr="000F6CD1" w:rsidRDefault="004D556D" w:rsidP="00DF3F6B">
      <w:pPr>
        <w:numPr>
          <w:ilvl w:val="0"/>
          <w:numId w:val="230"/>
        </w:numPr>
        <w:spacing w:before="240" w:after="240" w:line="240" w:lineRule="auto"/>
        <w:rPr>
          <w:rFonts w:eastAsia="Yu Gothic Light"/>
        </w:rPr>
      </w:pPr>
      <w:r w:rsidRPr="000F6CD1">
        <w:rPr>
          <w:rFonts w:eastAsia="Yu Gothic Light"/>
        </w:rPr>
        <w:t>the person is “sick,” and </w:t>
      </w:r>
    </w:p>
    <w:p w14:paraId="4FCCE307" w14:textId="77777777" w:rsidR="004D556D" w:rsidRPr="000F6CD1" w:rsidRDefault="004D556D" w:rsidP="00DF3F6B">
      <w:pPr>
        <w:numPr>
          <w:ilvl w:val="0"/>
          <w:numId w:val="231"/>
        </w:numPr>
        <w:spacing w:before="240" w:after="240" w:line="240" w:lineRule="auto"/>
        <w:rPr>
          <w:rFonts w:eastAsia="Yu Gothic Light"/>
        </w:rPr>
      </w:pPr>
      <w:r w:rsidRPr="000F6CD1">
        <w:rPr>
          <w:rFonts w:eastAsia="Yu Gothic Light"/>
        </w:rPr>
        <w:t>Because of their “sickness,” they have a continuing need for residential care services, including nursing services. </w:t>
      </w:r>
    </w:p>
    <w:p w14:paraId="022E742A" w14:textId="77777777" w:rsidR="004D556D" w:rsidRPr="000F6CD1" w:rsidRDefault="004D556D" w:rsidP="00DF3F6B">
      <w:pPr>
        <w:numPr>
          <w:ilvl w:val="0"/>
          <w:numId w:val="232"/>
        </w:numPr>
        <w:spacing w:before="240" w:after="240" w:line="240" w:lineRule="auto"/>
        <w:rPr>
          <w:rFonts w:eastAsia="Yu Gothic Light"/>
        </w:rPr>
      </w:pPr>
      <w:r w:rsidRPr="000F6CD1">
        <w:rPr>
          <w:rFonts w:eastAsia="Yu Gothic Light"/>
        </w:rPr>
        <w:t>The person meets the additional eligibility criteria in the Rules. These criteria are outlined below. </w:t>
      </w:r>
    </w:p>
    <w:p w14:paraId="4B2B22F5" w14:textId="77777777" w:rsidR="004D556D" w:rsidRPr="000F6CD1" w:rsidRDefault="004D556D">
      <w:pPr>
        <w:pStyle w:val="H4"/>
      </w:pPr>
      <w:r w:rsidRPr="000F6CD1">
        <w:t>Sickness </w:t>
      </w:r>
    </w:p>
    <w:p w14:paraId="50E8F795" w14:textId="27E0A2CA" w:rsidR="004D556D" w:rsidRPr="000F6CD1" w:rsidRDefault="004D556D" w:rsidP="00622CFF">
      <w:pPr>
        <w:spacing w:before="240" w:after="240" w:line="240" w:lineRule="auto"/>
        <w:rPr>
          <w:rFonts w:eastAsia="Yu Gothic Light"/>
        </w:rPr>
      </w:pPr>
      <w:r w:rsidRPr="000F6CD1">
        <w:rPr>
          <w:rFonts w:eastAsia="Yu Gothic Light"/>
        </w:rPr>
        <w:t xml:space="preserve">“Sickness” for the purposes of the </w:t>
      </w:r>
      <w:r w:rsidRPr="000F6CD1">
        <w:rPr>
          <w:rFonts w:eastAsia="Yu Gothic Light"/>
          <w:i/>
        </w:rPr>
        <w:t>Aged Care Act 2024</w:t>
      </w:r>
      <w:r w:rsidRPr="000F6CD1">
        <w:rPr>
          <w:rFonts w:eastAsia="Yu Gothic Light"/>
        </w:rPr>
        <w:t xml:space="preserve"> (the Act) means an infirmity, illness, disease, incapacity or impairment. Sickness can be a strictly physical illness, such as a heart condition but will also encompass mental health conditions like depression or anxiety, or neurological disorders, such as dementia. </w:t>
      </w:r>
    </w:p>
    <w:p w14:paraId="146EF329" w14:textId="77777777" w:rsidR="004D556D" w:rsidRPr="000F6CD1" w:rsidRDefault="004D556D" w:rsidP="00622CFF">
      <w:pPr>
        <w:spacing w:before="240" w:after="240" w:line="240" w:lineRule="auto"/>
        <w:rPr>
          <w:rFonts w:eastAsia="Yu Gothic Light"/>
        </w:rPr>
      </w:pPr>
      <w:r w:rsidRPr="000F6CD1">
        <w:rPr>
          <w:rFonts w:eastAsia="Yu Gothic Light"/>
        </w:rPr>
        <w:t>Information about the person and their “sickness” will already be reflected in the information collected using the Integrated Assessment Tool and any other relevant information gathered during the assessment, such as information from the person’s GP or other health records. For the purposes of recording the approval decision Assessment Delegates will need to be satisfied the information provided identifies that the older person is “sick” and because of that they have a continuing need for residential care, including nursing services. This is a necessary legal requirement because of the constitutional powers that support the provision of residential care under the Act. </w:t>
      </w:r>
    </w:p>
    <w:p w14:paraId="7F73322C" w14:textId="77777777" w:rsidR="004D556D" w:rsidRPr="000F6CD1" w:rsidRDefault="004D556D" w:rsidP="00622CFF">
      <w:pPr>
        <w:spacing w:before="240" w:after="240" w:line="240" w:lineRule="auto"/>
        <w:rPr>
          <w:rFonts w:eastAsia="Yu Gothic Light"/>
        </w:rPr>
      </w:pPr>
      <w:r w:rsidRPr="000F6CD1">
        <w:rPr>
          <w:rFonts w:eastAsia="Yu Gothic Light"/>
        </w:rPr>
        <w:t>The requirement that the person is sick and has a “continuing need” for residential care “including nursing services” applies in the same way to respite care (short-term) and Transition Care (hospital transition) as it does to permanent (ongoing) residential care. While the person will only be approved to access care for a limited period of time if they are approved for respite or Transition Care, Assessment Delegates will still need to be satisfied they at the time of the assessment that they have a continuing need for residential care including nursing services due to their sickness. </w:t>
      </w:r>
    </w:p>
    <w:p w14:paraId="0158D0BA" w14:textId="77777777" w:rsidR="004D556D" w:rsidRPr="000F6CD1" w:rsidRDefault="004D556D">
      <w:pPr>
        <w:pStyle w:val="H4"/>
      </w:pPr>
      <w:r w:rsidRPr="000F6CD1">
        <w:t>Additional eligibility requirements </w:t>
      </w:r>
    </w:p>
    <w:p w14:paraId="474C2418"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approving a person for the residential care service group because section 68 applies to them, Assessment Delegates will also need to turn their mind to the additional eligibility requirement in the Rules. This is required because of section 65(3) of the Act. </w:t>
      </w:r>
    </w:p>
    <w:p w14:paraId="4F119339" w14:textId="77777777" w:rsidR="004D556D" w:rsidRPr="000F6CD1" w:rsidRDefault="004D556D" w:rsidP="00622CFF">
      <w:pPr>
        <w:spacing w:before="240" w:after="240" w:line="240" w:lineRule="auto"/>
        <w:rPr>
          <w:rFonts w:eastAsia="Yu Gothic Light"/>
        </w:rPr>
      </w:pPr>
      <w:r w:rsidRPr="000F6CD1">
        <w:rPr>
          <w:rFonts w:eastAsia="Yu Gothic Light"/>
        </w:rPr>
        <w:t>The additional requirement is: </w:t>
      </w:r>
    </w:p>
    <w:p w14:paraId="7049C33A" w14:textId="77777777" w:rsidR="004D556D" w:rsidRPr="000F6CD1" w:rsidRDefault="004D556D" w:rsidP="00DF3F6B">
      <w:pPr>
        <w:numPr>
          <w:ilvl w:val="0"/>
          <w:numId w:val="233"/>
        </w:numPr>
        <w:spacing w:before="240" w:after="240" w:line="240" w:lineRule="auto"/>
        <w:rPr>
          <w:rFonts w:eastAsia="Yu Gothic Light"/>
        </w:rPr>
      </w:pPr>
      <w:r w:rsidRPr="000F6CD1">
        <w:rPr>
          <w:rFonts w:eastAsia="Yu Gothic Light"/>
        </w:rPr>
        <w:t>the person is incapable of living in a home or community setting without support. </w:t>
      </w:r>
    </w:p>
    <w:p w14:paraId="58D379E3" w14:textId="77777777" w:rsidR="004D556D" w:rsidRPr="000F6CD1" w:rsidRDefault="004D556D" w:rsidP="006647CE">
      <w:pPr>
        <w:pStyle w:val="h2"/>
      </w:pPr>
      <w:bookmarkStart w:id="634" w:name="_Toc198787133"/>
      <w:bookmarkStart w:id="635" w:name="_Toc1342975295"/>
      <w:bookmarkStart w:id="636" w:name="_Toc199344503"/>
      <w:bookmarkStart w:id="637" w:name="_Toc205372033"/>
      <w:bookmarkStart w:id="638" w:name="_Toc207713938"/>
      <w:bookmarkStart w:id="639" w:name="_Toc209189015"/>
      <w:bookmarkStart w:id="640" w:name="_Toc233282473"/>
      <w:r w:rsidRPr="000F6CD1">
        <w:t>Approvals for service groups, classification types and classification levels</w:t>
      </w:r>
      <w:bookmarkEnd w:id="634"/>
      <w:bookmarkEnd w:id="635"/>
      <w:bookmarkEnd w:id="636"/>
      <w:bookmarkEnd w:id="637"/>
      <w:bookmarkEnd w:id="638"/>
      <w:bookmarkEnd w:id="639"/>
      <w:bookmarkEnd w:id="640"/>
    </w:p>
    <w:p w14:paraId="43F7D002"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foundational building blocks of approvals under the </w:t>
      </w:r>
      <w:r w:rsidRPr="000F6CD1">
        <w:rPr>
          <w:rFonts w:eastAsia="Yu Gothic Light"/>
          <w:i/>
        </w:rPr>
        <w:t>Aged Care Act 2024 (</w:t>
      </w:r>
      <w:r w:rsidRPr="000F6CD1">
        <w:rPr>
          <w:rFonts w:eastAsia="Yu Gothic Light"/>
        </w:rPr>
        <w:t>the</w:t>
      </w:r>
      <w:r w:rsidRPr="000F6CD1">
        <w:rPr>
          <w:rFonts w:eastAsia="Yu Gothic Light"/>
          <w:i/>
        </w:rPr>
        <w:t xml:space="preserve"> </w:t>
      </w:r>
      <w:r w:rsidRPr="000F6CD1">
        <w:rPr>
          <w:rFonts w:eastAsia="Yu Gothic Light"/>
        </w:rPr>
        <w:t>Act) are service groups, classification types and classification levels.</w:t>
      </w:r>
    </w:p>
    <w:p w14:paraId="14F3AEB3" w14:textId="77777777" w:rsidR="004D556D" w:rsidRPr="000F6CD1" w:rsidRDefault="004D556D" w:rsidP="00622CFF">
      <w:pPr>
        <w:numPr>
          <w:ilvl w:val="0"/>
          <w:numId w:val="29"/>
        </w:numPr>
        <w:spacing w:before="240" w:after="240" w:line="240" w:lineRule="auto"/>
        <w:contextualSpacing/>
        <w:rPr>
          <w:rFonts w:eastAsia="Yu Gothic Light"/>
        </w:rPr>
      </w:pPr>
      <w:r w:rsidRPr="000F6CD1">
        <w:rPr>
          <w:rFonts w:eastAsia="Yu Gothic Light"/>
        </w:rPr>
        <w:lastRenderedPageBreak/>
        <w:t>Service groups specify the setting and nature of care an individual can access. There are four service groups: home support, assistive technology, home modifications and residential care.</w:t>
      </w:r>
    </w:p>
    <w:p w14:paraId="6381D7ED" w14:textId="77777777" w:rsidR="004D556D" w:rsidRPr="000F6CD1" w:rsidRDefault="004D556D" w:rsidP="00622CFF">
      <w:pPr>
        <w:numPr>
          <w:ilvl w:val="0"/>
          <w:numId w:val="29"/>
        </w:numPr>
        <w:spacing w:before="240" w:after="240" w:line="240" w:lineRule="auto"/>
        <w:contextualSpacing/>
        <w:rPr>
          <w:rFonts w:eastAsia="Yu Gothic Light"/>
        </w:rPr>
      </w:pPr>
      <w:r w:rsidRPr="000F6CD1">
        <w:rPr>
          <w:rFonts w:eastAsia="Yu Gothic Light"/>
        </w:rPr>
        <w:t>Classification types differentiate the time period that services are delivered for under the service group. There are three classification types: ongoing, short-term and hospital transition. Each classification type has a different purpose in meeting the needs of an individual and so are funded and timed accordingly.</w:t>
      </w:r>
    </w:p>
    <w:p w14:paraId="07458335" w14:textId="77777777" w:rsidR="004D556D" w:rsidRPr="000F6CD1" w:rsidRDefault="004D556D" w:rsidP="00622CFF">
      <w:pPr>
        <w:numPr>
          <w:ilvl w:val="0"/>
          <w:numId w:val="29"/>
        </w:numPr>
        <w:spacing w:before="240" w:after="240" w:line="240" w:lineRule="auto"/>
        <w:contextualSpacing/>
        <w:rPr>
          <w:rFonts w:eastAsia="Yu Gothic Light"/>
        </w:rPr>
      </w:pPr>
      <w:r w:rsidRPr="000F6CD1">
        <w:rPr>
          <w:rFonts w:eastAsia="Yu Gothic Light"/>
        </w:rPr>
        <w:t xml:space="preserve">Classification levels determine the amount of funding available to deliver the aged care services that an individual has been approved to access under a service group. </w:t>
      </w:r>
    </w:p>
    <w:p w14:paraId="10C72F25" w14:textId="77777777" w:rsidR="004D556D" w:rsidRPr="000F6CD1" w:rsidRDefault="004D556D" w:rsidP="00622CFF">
      <w:pPr>
        <w:spacing w:before="240" w:after="240" w:line="240" w:lineRule="auto"/>
        <w:rPr>
          <w:rFonts w:eastAsia="Yu Gothic Light"/>
        </w:rPr>
      </w:pPr>
    </w:p>
    <w:p w14:paraId="44685C55" w14:textId="77777777" w:rsidR="004D556D" w:rsidRPr="000F6CD1" w:rsidRDefault="004D556D" w:rsidP="00622CFF">
      <w:pPr>
        <w:spacing w:before="240" w:after="240" w:line="240" w:lineRule="auto"/>
        <w:rPr>
          <w:rFonts w:eastAsia="Yu Gothic Light"/>
        </w:rPr>
      </w:pPr>
      <w:r w:rsidRPr="000F6CD1">
        <w:rPr>
          <w:rFonts w:eastAsia="Yu Gothic Light"/>
        </w:rPr>
        <w:t>Under the Act,</w:t>
      </w:r>
      <w:r w:rsidRPr="000F6CD1">
        <w:rPr>
          <w:rFonts w:eastAsia="Yu Gothic Light"/>
          <w:i/>
        </w:rPr>
        <w:t xml:space="preserve"> </w:t>
      </w:r>
      <w:r w:rsidRPr="000F6CD1">
        <w:rPr>
          <w:rFonts w:eastAsia="Yu Gothic Light"/>
        </w:rPr>
        <w:t xml:space="preserve">approvals for a service group, a classification type and a classification level combine to create something that is comparable to an approval for a program under the </w:t>
      </w:r>
      <w:r w:rsidRPr="000F6CD1">
        <w:rPr>
          <w:rFonts w:eastAsia="Yu Gothic Light"/>
          <w:i/>
        </w:rPr>
        <w:t>Aged Care Act 1997</w:t>
      </w:r>
      <w:r w:rsidRPr="000F6CD1">
        <w:rPr>
          <w:rFonts w:eastAsia="Yu Gothic Light"/>
        </w:rPr>
        <w:t>.</w:t>
      </w:r>
    </w:p>
    <w:p w14:paraId="25C7DC31" w14:textId="74E82C2E" w:rsidR="004D556D" w:rsidRPr="0085527F" w:rsidRDefault="004D556D" w:rsidP="0085527F">
      <w:pPr>
        <w:spacing w:before="240" w:after="240" w:line="240" w:lineRule="auto"/>
        <w:rPr>
          <w:rFonts w:eastAsia="Yu Gothic Light"/>
        </w:rPr>
      </w:pPr>
      <w:r w:rsidRPr="000F6CD1">
        <w:rPr>
          <w:rFonts w:eastAsia="Yu Gothic Light"/>
        </w:rPr>
        <w:t>The table below compares some examples before and after the introduction of the Act.</w:t>
      </w:r>
    </w:p>
    <w:p w14:paraId="7F56F95F" w14:textId="77777777" w:rsidR="004D556D" w:rsidRPr="000F6CD1" w:rsidRDefault="004D556D" w:rsidP="001572D4">
      <w:pPr>
        <w:pStyle w:val="Caption"/>
        <w:rPr>
          <w:rFonts w:eastAsia="Yu Gothic Light"/>
          <w:i/>
        </w:rPr>
      </w:pPr>
      <w:r w:rsidRPr="000F6CD1">
        <w:t>Table</w:t>
      </w:r>
      <w:r w:rsidRPr="000F6CD1">
        <w:rPr>
          <w:rFonts w:eastAsia="Yu Gothic Light"/>
        </w:rPr>
        <w:t xml:space="preserve"> 39. Comparison of approvals under the Aged Care Act 1997 and Act Care Act 2024 </w:t>
      </w:r>
    </w:p>
    <w:tbl>
      <w:tblPr>
        <w:tblStyle w:val="TableGrid"/>
        <w:tblW w:w="0" w:type="auto"/>
        <w:tblBorders>
          <w:bottom w:val="single" w:sz="4" w:space="0" w:color="auto"/>
          <w:insideH w:val="single" w:sz="4" w:space="0" w:color="auto"/>
        </w:tblBorders>
        <w:tblLook w:val="04A0" w:firstRow="1" w:lastRow="0" w:firstColumn="1" w:lastColumn="0" w:noHBand="0" w:noVBand="1"/>
        <w:tblCaption w:val="Comparison of approvals under the Aged Care Act 1997 and the Aged Care Act 2024"/>
        <w:tblDescription w:val="The table provides a comparison of approvals under the Aged Care Act 1997 and the Aged Care Act 2024"/>
      </w:tblPr>
      <w:tblGrid>
        <w:gridCol w:w="4106"/>
        <w:gridCol w:w="4820"/>
      </w:tblGrid>
      <w:tr w:rsidR="004D556D" w:rsidRPr="000F6CD1" w14:paraId="43F30D68" w14:textId="77777777">
        <w:tc>
          <w:tcPr>
            <w:tcW w:w="4106" w:type="dxa"/>
            <w:shd w:val="clear" w:color="auto" w:fill="002060"/>
          </w:tcPr>
          <w:p w14:paraId="46A9ACD8" w14:textId="77777777" w:rsidR="004D556D" w:rsidRPr="000F6CD1" w:rsidRDefault="004D556D" w:rsidP="0003231B">
            <w:pPr>
              <w:keepNext/>
              <w:spacing w:before="120" w:after="120"/>
              <w:rPr>
                <w:rFonts w:eastAsia="Yu Gothic Light"/>
                <w:b/>
                <w:i/>
                <w:color w:val="FFFFFF"/>
              </w:rPr>
            </w:pPr>
            <w:r w:rsidRPr="000F6CD1">
              <w:rPr>
                <w:rFonts w:eastAsia="Yu Gothic Light"/>
                <w:b/>
                <w:color w:val="FFFFFF"/>
                <w:u w:val="single"/>
              </w:rPr>
              <w:t>Before</w:t>
            </w:r>
            <w:r w:rsidRPr="000F6CD1">
              <w:rPr>
                <w:rFonts w:eastAsia="Yu Gothic Light"/>
                <w:b/>
                <w:color w:val="FFFFFF"/>
              </w:rPr>
              <w:t xml:space="preserve"> the introduction of the </w:t>
            </w:r>
            <w:r w:rsidRPr="000F6CD1">
              <w:rPr>
                <w:rFonts w:eastAsia="Yu Gothic Light"/>
                <w:b/>
                <w:i/>
                <w:color w:val="FFFFFF"/>
              </w:rPr>
              <w:t>Aged Care Act 2024</w:t>
            </w:r>
          </w:p>
        </w:tc>
        <w:tc>
          <w:tcPr>
            <w:tcW w:w="4820" w:type="dxa"/>
            <w:shd w:val="clear" w:color="auto" w:fill="002060"/>
          </w:tcPr>
          <w:p w14:paraId="7658B3B5" w14:textId="77777777" w:rsidR="004D556D" w:rsidRPr="000F6CD1" w:rsidRDefault="004D556D" w:rsidP="0003231B">
            <w:pPr>
              <w:keepNext/>
              <w:spacing w:before="120" w:after="120"/>
              <w:rPr>
                <w:rFonts w:eastAsia="Yu Gothic Light"/>
                <w:b/>
                <w:color w:val="FFFFFF"/>
              </w:rPr>
            </w:pPr>
            <w:r w:rsidRPr="000F6CD1">
              <w:rPr>
                <w:rFonts w:eastAsia="Yu Gothic Light"/>
                <w:b/>
                <w:color w:val="FFFFFF"/>
              </w:rPr>
              <w:t xml:space="preserve">After the introduction of the </w:t>
            </w:r>
            <w:r w:rsidRPr="000F6CD1">
              <w:rPr>
                <w:rFonts w:eastAsia="Yu Gothic Light"/>
                <w:b/>
                <w:i/>
                <w:color w:val="FFFFFF"/>
              </w:rPr>
              <w:t>Aged Care Act 2024</w:t>
            </w:r>
            <w:r w:rsidRPr="000F6CD1">
              <w:rPr>
                <w:rFonts w:eastAsia="Yu Gothic Light"/>
                <w:b/>
                <w:color w:val="FFFFFF"/>
              </w:rPr>
              <w:t>, the older person is approved for</w:t>
            </w:r>
            <w:r w:rsidRPr="000F6CD1">
              <w:rPr>
                <w:rFonts w:eastAsia="Yu Gothic Light" w:hint="eastAsia"/>
                <w:b/>
                <w:color w:val="FFFFFF"/>
              </w:rPr>
              <w:t>…</w:t>
            </w:r>
          </w:p>
        </w:tc>
      </w:tr>
      <w:tr w:rsidR="004D556D" w:rsidRPr="000F6CD1" w14:paraId="22A38177" w14:textId="77777777">
        <w:tc>
          <w:tcPr>
            <w:tcW w:w="4106" w:type="dxa"/>
          </w:tcPr>
          <w:p w14:paraId="5E5622ED" w14:textId="77777777" w:rsidR="004D556D" w:rsidRPr="000F6CD1" w:rsidRDefault="004D556D" w:rsidP="0003231B">
            <w:pPr>
              <w:keepNext/>
              <w:spacing w:before="120" w:after="120"/>
              <w:rPr>
                <w:rFonts w:eastAsia="Yu Gothic Light"/>
              </w:rPr>
            </w:pPr>
            <w:r w:rsidRPr="000F6CD1">
              <w:rPr>
                <w:rFonts w:eastAsia="Yu Gothic Light"/>
              </w:rPr>
              <w:t>Home Care Package Level (1-4)</w:t>
            </w:r>
          </w:p>
        </w:tc>
        <w:tc>
          <w:tcPr>
            <w:tcW w:w="4820" w:type="dxa"/>
          </w:tcPr>
          <w:p w14:paraId="2986B744" w14:textId="77777777" w:rsidR="004D556D" w:rsidRPr="000F6CD1" w:rsidRDefault="004D556D" w:rsidP="0003231B">
            <w:pPr>
              <w:keepNext/>
              <w:spacing w:before="120" w:after="120"/>
              <w:rPr>
                <w:rFonts w:eastAsia="Yu Gothic Light"/>
              </w:rPr>
            </w:pPr>
            <w:r w:rsidRPr="000F6CD1">
              <w:rPr>
                <w:rFonts w:eastAsia="Yu Gothic Light"/>
                <w:b/>
              </w:rPr>
              <w:t>Service group:</w:t>
            </w:r>
            <w:r w:rsidRPr="000F6CD1">
              <w:rPr>
                <w:rFonts w:eastAsia="Yu Gothic Light"/>
              </w:rPr>
              <w:t xml:space="preserve"> Home support</w:t>
            </w:r>
          </w:p>
          <w:p w14:paraId="30316506" w14:textId="77777777" w:rsidR="004D556D" w:rsidRPr="000F6CD1" w:rsidRDefault="004D556D" w:rsidP="0003231B">
            <w:pPr>
              <w:keepNext/>
              <w:spacing w:before="120" w:after="120"/>
              <w:rPr>
                <w:rFonts w:eastAsia="Yu Gothic Light"/>
              </w:rPr>
            </w:pPr>
            <w:r w:rsidRPr="000F6CD1">
              <w:rPr>
                <w:rFonts w:eastAsia="Yu Gothic Light"/>
                <w:b/>
              </w:rPr>
              <w:t>Classification type:</w:t>
            </w:r>
            <w:r w:rsidRPr="000F6CD1">
              <w:rPr>
                <w:rFonts w:eastAsia="Yu Gothic Light"/>
              </w:rPr>
              <w:t xml:space="preserve"> Ongoing</w:t>
            </w:r>
          </w:p>
          <w:p w14:paraId="71FD6F4B" w14:textId="77777777" w:rsidR="004D556D" w:rsidRPr="000F6CD1" w:rsidRDefault="004D556D" w:rsidP="0003231B">
            <w:pPr>
              <w:keepNext/>
              <w:spacing w:before="120" w:after="120"/>
              <w:rPr>
                <w:rFonts w:eastAsia="Yu Gothic Light"/>
              </w:rPr>
            </w:pPr>
            <w:r w:rsidRPr="000F6CD1">
              <w:rPr>
                <w:rFonts w:eastAsia="Yu Gothic Light"/>
                <w:b/>
              </w:rPr>
              <w:t>Classification level:</w:t>
            </w:r>
            <w:r w:rsidRPr="000F6CD1">
              <w:rPr>
                <w:rFonts w:eastAsia="Yu Gothic Light"/>
              </w:rPr>
              <w:t xml:space="preserve"> SAH (Support at Home) Class (1-8)</w:t>
            </w:r>
          </w:p>
        </w:tc>
      </w:tr>
      <w:tr w:rsidR="004D556D" w:rsidRPr="000F6CD1" w14:paraId="41508955" w14:textId="77777777">
        <w:tc>
          <w:tcPr>
            <w:tcW w:w="4106" w:type="dxa"/>
          </w:tcPr>
          <w:p w14:paraId="75AA7763" w14:textId="49A6404E" w:rsidR="004D556D" w:rsidRPr="000F6CD1" w:rsidRDefault="004D556D" w:rsidP="0003231B">
            <w:pPr>
              <w:keepNext/>
              <w:spacing w:before="120" w:after="120"/>
              <w:rPr>
                <w:rFonts w:eastAsia="Yu Gothic Light"/>
              </w:rPr>
            </w:pPr>
            <w:r w:rsidRPr="000F6CD1">
              <w:rPr>
                <w:rFonts w:eastAsia="Yu Gothic Light"/>
              </w:rPr>
              <w:t>Commonwealth Home Support Program (CHSP)</w:t>
            </w:r>
          </w:p>
        </w:tc>
        <w:tc>
          <w:tcPr>
            <w:tcW w:w="4820" w:type="dxa"/>
          </w:tcPr>
          <w:p w14:paraId="27B303E8" w14:textId="77777777" w:rsidR="004D556D" w:rsidRPr="000F6CD1" w:rsidRDefault="004D556D" w:rsidP="0003231B">
            <w:pPr>
              <w:keepNext/>
              <w:spacing w:before="120" w:after="120"/>
              <w:rPr>
                <w:rFonts w:eastAsia="Yu Gothic Light"/>
              </w:rPr>
            </w:pPr>
            <w:r w:rsidRPr="000F6CD1">
              <w:rPr>
                <w:rFonts w:eastAsia="Yu Gothic Light"/>
                <w:b/>
              </w:rPr>
              <w:t>Service group:</w:t>
            </w:r>
            <w:r w:rsidRPr="000F6CD1">
              <w:rPr>
                <w:rFonts w:eastAsia="Yu Gothic Light"/>
              </w:rPr>
              <w:t xml:space="preserve"> Home support</w:t>
            </w:r>
          </w:p>
          <w:p w14:paraId="19A9A756" w14:textId="77777777" w:rsidR="004D556D" w:rsidRPr="000F6CD1" w:rsidRDefault="004D556D" w:rsidP="0003231B">
            <w:pPr>
              <w:keepNext/>
              <w:spacing w:before="120" w:after="120"/>
              <w:rPr>
                <w:rFonts w:eastAsia="Yu Gothic Light"/>
              </w:rPr>
            </w:pPr>
            <w:r w:rsidRPr="000F6CD1">
              <w:rPr>
                <w:rFonts w:eastAsia="Yu Gothic Light"/>
                <w:b/>
              </w:rPr>
              <w:t>Classification type:</w:t>
            </w:r>
            <w:r w:rsidRPr="000F6CD1">
              <w:rPr>
                <w:rFonts w:eastAsia="Yu Gothic Light"/>
              </w:rPr>
              <w:t xml:space="preserve"> Ongoing</w:t>
            </w:r>
          </w:p>
          <w:p w14:paraId="1C854FBB" w14:textId="77777777" w:rsidR="004D556D" w:rsidRPr="000F6CD1" w:rsidRDefault="004D556D" w:rsidP="0003231B">
            <w:pPr>
              <w:keepNext/>
              <w:spacing w:before="120" w:after="120"/>
              <w:rPr>
                <w:rFonts w:eastAsia="Yu Gothic Light"/>
              </w:rPr>
            </w:pPr>
            <w:r w:rsidRPr="000F6CD1">
              <w:rPr>
                <w:rFonts w:eastAsia="Yu Gothic Light"/>
                <w:b/>
              </w:rPr>
              <w:t>Classification level:</w:t>
            </w:r>
            <w:r w:rsidRPr="000F6CD1">
              <w:rPr>
                <w:rFonts w:eastAsia="Yu Gothic Light"/>
              </w:rPr>
              <w:t xml:space="preserve"> CHSP Class</w:t>
            </w:r>
          </w:p>
        </w:tc>
      </w:tr>
      <w:tr w:rsidR="004D556D" w:rsidRPr="000F6CD1" w14:paraId="66FC5019" w14:textId="77777777">
        <w:tc>
          <w:tcPr>
            <w:tcW w:w="4106" w:type="dxa"/>
          </w:tcPr>
          <w:p w14:paraId="49B157E5" w14:textId="77777777" w:rsidR="004D556D" w:rsidRPr="000F6CD1" w:rsidRDefault="004D556D" w:rsidP="0003231B">
            <w:pPr>
              <w:keepNext/>
              <w:spacing w:before="120" w:after="120"/>
              <w:rPr>
                <w:rFonts w:eastAsia="Yu Gothic Light"/>
              </w:rPr>
            </w:pPr>
            <w:r w:rsidRPr="000F6CD1">
              <w:rPr>
                <w:rFonts w:eastAsia="Yu Gothic Light"/>
              </w:rPr>
              <w:t>Residential respite care</w:t>
            </w:r>
          </w:p>
        </w:tc>
        <w:tc>
          <w:tcPr>
            <w:tcW w:w="4820" w:type="dxa"/>
          </w:tcPr>
          <w:p w14:paraId="3385DA1D" w14:textId="77777777" w:rsidR="004D556D" w:rsidRPr="000F6CD1" w:rsidRDefault="004D556D" w:rsidP="0003231B">
            <w:pPr>
              <w:keepNext/>
              <w:spacing w:before="120" w:after="120"/>
              <w:rPr>
                <w:rFonts w:eastAsia="Yu Gothic Light"/>
              </w:rPr>
            </w:pPr>
            <w:r w:rsidRPr="000F6CD1">
              <w:rPr>
                <w:rFonts w:eastAsia="Yu Gothic Light"/>
                <w:b/>
              </w:rPr>
              <w:t>Service group:</w:t>
            </w:r>
            <w:r w:rsidRPr="000F6CD1">
              <w:rPr>
                <w:rFonts w:eastAsia="Yu Gothic Light"/>
              </w:rPr>
              <w:t xml:space="preserve"> Residential care</w:t>
            </w:r>
          </w:p>
          <w:p w14:paraId="310D4FEC" w14:textId="77777777" w:rsidR="004D556D" w:rsidRPr="000F6CD1" w:rsidRDefault="004D556D" w:rsidP="0003231B">
            <w:pPr>
              <w:keepNext/>
              <w:spacing w:before="120" w:after="120"/>
              <w:rPr>
                <w:rFonts w:eastAsia="Yu Gothic Light"/>
              </w:rPr>
            </w:pPr>
            <w:r w:rsidRPr="000F6CD1">
              <w:rPr>
                <w:rFonts w:eastAsia="Yu Gothic Light"/>
                <w:b/>
              </w:rPr>
              <w:t>Classification type:</w:t>
            </w:r>
            <w:r w:rsidRPr="000F6CD1">
              <w:rPr>
                <w:rFonts w:eastAsia="Yu Gothic Light"/>
              </w:rPr>
              <w:t xml:space="preserve"> Short-term</w:t>
            </w:r>
          </w:p>
          <w:p w14:paraId="66BFCBDA" w14:textId="77777777" w:rsidR="004D556D" w:rsidRPr="000F6CD1" w:rsidRDefault="004D556D" w:rsidP="0003231B">
            <w:pPr>
              <w:keepNext/>
              <w:spacing w:before="120" w:after="120"/>
              <w:rPr>
                <w:rFonts w:eastAsia="Yu Gothic Light"/>
                <w:b/>
              </w:rPr>
            </w:pPr>
            <w:r w:rsidRPr="000F6CD1">
              <w:rPr>
                <w:rFonts w:eastAsia="Yu Gothic Light"/>
                <w:b/>
              </w:rPr>
              <w:t>Classification level:</w:t>
            </w:r>
            <w:r w:rsidRPr="000F6CD1">
              <w:rPr>
                <w:rFonts w:eastAsia="Yu Gothic Light"/>
              </w:rPr>
              <w:t xml:space="preserve"> Respite Class (1-3)</w:t>
            </w:r>
          </w:p>
        </w:tc>
      </w:tr>
      <w:tr w:rsidR="004D556D" w:rsidRPr="000F6CD1" w14:paraId="62D8750E" w14:textId="77777777">
        <w:tc>
          <w:tcPr>
            <w:tcW w:w="4106" w:type="dxa"/>
          </w:tcPr>
          <w:p w14:paraId="7899AA1E" w14:textId="77777777" w:rsidR="004D556D" w:rsidRPr="000F6CD1" w:rsidRDefault="004D556D" w:rsidP="0003231B">
            <w:pPr>
              <w:keepNext/>
              <w:spacing w:before="120" w:after="120"/>
              <w:rPr>
                <w:rFonts w:eastAsia="Yu Gothic Light"/>
              </w:rPr>
            </w:pPr>
            <w:r w:rsidRPr="000F6CD1">
              <w:rPr>
                <w:rFonts w:eastAsia="Yu Gothic Light"/>
              </w:rPr>
              <w:t>Short-term Restorative Care Programme</w:t>
            </w:r>
          </w:p>
        </w:tc>
        <w:tc>
          <w:tcPr>
            <w:tcW w:w="4820" w:type="dxa"/>
          </w:tcPr>
          <w:p w14:paraId="3A203556" w14:textId="77777777" w:rsidR="004D556D" w:rsidRPr="000F6CD1" w:rsidRDefault="004D556D" w:rsidP="0003231B">
            <w:pPr>
              <w:keepNext/>
              <w:spacing w:before="120" w:after="120"/>
              <w:rPr>
                <w:rFonts w:eastAsia="Yu Gothic Light"/>
              </w:rPr>
            </w:pPr>
            <w:r w:rsidRPr="000F6CD1">
              <w:rPr>
                <w:rFonts w:eastAsia="Yu Gothic Light"/>
                <w:b/>
              </w:rPr>
              <w:t>Service group:</w:t>
            </w:r>
            <w:r w:rsidRPr="000F6CD1">
              <w:rPr>
                <w:rFonts w:eastAsia="Yu Gothic Light"/>
              </w:rPr>
              <w:t xml:space="preserve"> Home support</w:t>
            </w:r>
          </w:p>
          <w:p w14:paraId="00AB0893" w14:textId="77777777" w:rsidR="004D556D" w:rsidRPr="000F6CD1" w:rsidRDefault="004D556D" w:rsidP="0003231B">
            <w:pPr>
              <w:keepNext/>
              <w:spacing w:before="120" w:after="120"/>
              <w:rPr>
                <w:rFonts w:eastAsia="Yu Gothic Light"/>
              </w:rPr>
            </w:pPr>
            <w:r w:rsidRPr="000F6CD1">
              <w:rPr>
                <w:rFonts w:eastAsia="Yu Gothic Light"/>
                <w:b/>
              </w:rPr>
              <w:t>Classification type:</w:t>
            </w:r>
            <w:r w:rsidRPr="000F6CD1">
              <w:rPr>
                <w:rFonts w:eastAsia="Yu Gothic Light"/>
              </w:rPr>
              <w:t xml:space="preserve"> Short-term</w:t>
            </w:r>
          </w:p>
          <w:p w14:paraId="3C74AB32" w14:textId="77777777" w:rsidR="004D556D" w:rsidRPr="000F6CD1" w:rsidRDefault="004D556D" w:rsidP="0003231B">
            <w:pPr>
              <w:keepNext/>
              <w:spacing w:before="120" w:after="120"/>
              <w:rPr>
                <w:rFonts w:eastAsia="Yu Gothic Light"/>
                <w:b/>
              </w:rPr>
            </w:pPr>
            <w:r w:rsidRPr="000F6CD1">
              <w:rPr>
                <w:rFonts w:eastAsia="Yu Gothic Light"/>
                <w:b/>
              </w:rPr>
              <w:t>Classification level:</w:t>
            </w:r>
            <w:r w:rsidRPr="000F6CD1">
              <w:rPr>
                <w:rFonts w:eastAsia="Yu Gothic Light"/>
              </w:rPr>
              <w:t xml:space="preserve"> SAH Restorative Care Pathway</w:t>
            </w:r>
          </w:p>
        </w:tc>
      </w:tr>
    </w:tbl>
    <w:p w14:paraId="250F81DD"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following sections show the possible combinations of classification type and classification level a person can be approved for under each service group. </w:t>
      </w:r>
    </w:p>
    <w:p w14:paraId="5EF5C4B7" w14:textId="77777777" w:rsidR="0085527F" w:rsidRDefault="004D556D" w:rsidP="00622CFF">
      <w:pPr>
        <w:spacing w:before="240" w:after="240" w:line="240" w:lineRule="auto"/>
        <w:rPr>
          <w:rFonts w:eastAsia="Yu Gothic Light"/>
        </w:rPr>
      </w:pPr>
      <w:r w:rsidRPr="000F6CD1">
        <w:rPr>
          <w:rFonts w:eastAsia="Yu Gothic Light"/>
        </w:rPr>
        <w:t>Decisions for service group and classification type are made under section 65(2) of the Act. Decisions for classification level are made under section 78 of the Act.</w:t>
      </w:r>
    </w:p>
    <w:p w14:paraId="6BB4E694" w14:textId="42FF80D6" w:rsidR="004D556D" w:rsidRPr="0085527F" w:rsidRDefault="0085527F" w:rsidP="0085527F">
      <w:pPr>
        <w:rPr>
          <w:rFonts w:eastAsia="Yu Gothic Light"/>
        </w:rPr>
      </w:pPr>
      <w:r>
        <w:rPr>
          <w:rFonts w:eastAsia="Yu Gothic Light"/>
        </w:rPr>
        <w:br w:type="page"/>
      </w:r>
    </w:p>
    <w:p w14:paraId="15887A9F" w14:textId="77777777" w:rsidR="004D556D" w:rsidRPr="000F6CD1" w:rsidRDefault="004D556D" w:rsidP="00AD2CE5">
      <w:pPr>
        <w:pStyle w:val="H3"/>
      </w:pPr>
      <w:r w:rsidRPr="000F6CD1">
        <w:lastRenderedPageBreak/>
        <w:t>Service group: Home support</w:t>
      </w:r>
    </w:p>
    <w:p w14:paraId="2FD4ECF2" w14:textId="77777777" w:rsidR="004D556D" w:rsidRPr="000F6CD1" w:rsidRDefault="004D556D" w:rsidP="00622CFF">
      <w:pPr>
        <w:pStyle w:val="Caption"/>
        <w:spacing w:before="240" w:after="240"/>
        <w:rPr>
          <w:rFonts w:eastAsia="Yu Gothic Light"/>
        </w:rPr>
      </w:pPr>
      <w:r w:rsidRPr="000F6CD1">
        <w:rPr>
          <w:rFonts w:eastAsia="Yu Gothic Light"/>
        </w:rPr>
        <w:t xml:space="preserve">Table 40. Possible combinations of classification type and classification level under the service group of home support </w:t>
      </w:r>
    </w:p>
    <w:tbl>
      <w:tblPr>
        <w:tblW w:w="9006" w:type="dxa"/>
        <w:tblBorders>
          <w:bottom w:val="single" w:sz="4" w:space="0" w:color="auto"/>
          <w:insideH w:val="single" w:sz="4" w:space="0" w:color="auto"/>
        </w:tblBorders>
        <w:tblCellMar>
          <w:left w:w="0" w:type="dxa"/>
          <w:right w:w="0" w:type="dxa"/>
        </w:tblCellMar>
        <w:tblLook w:val="0420" w:firstRow="1" w:lastRow="0" w:firstColumn="0" w:lastColumn="0" w:noHBand="0" w:noVBand="1"/>
        <w:tblCaption w:val="Possible combinations of classification type and classification level under the service group home support"/>
        <w:tblDescription w:val="The table provides an overview of possible combinations of classification type and classification level under the service group home support"/>
      </w:tblPr>
      <w:tblGrid>
        <w:gridCol w:w="1837"/>
        <w:gridCol w:w="2229"/>
        <w:gridCol w:w="4940"/>
      </w:tblGrid>
      <w:tr w:rsidR="004D556D" w:rsidRPr="000F6CD1" w14:paraId="1DDE768C" w14:textId="77777777">
        <w:trPr>
          <w:trHeight w:val="269"/>
        </w:trPr>
        <w:tc>
          <w:tcPr>
            <w:tcW w:w="1837" w:type="dxa"/>
            <w:shd w:val="clear" w:color="auto" w:fill="002060"/>
          </w:tcPr>
          <w:p w14:paraId="1692C8D2" w14:textId="77777777" w:rsidR="004D556D" w:rsidRPr="000F6CD1" w:rsidRDefault="004D556D" w:rsidP="00622CFF">
            <w:pPr>
              <w:spacing w:before="240" w:after="240" w:line="240" w:lineRule="auto"/>
              <w:rPr>
                <w:rFonts w:eastAsia="Yu Gothic Light"/>
                <w:b/>
                <w:color w:val="FFFFFF"/>
              </w:rPr>
            </w:pPr>
            <w:r w:rsidRPr="000F6CD1">
              <w:rPr>
                <w:rFonts w:eastAsia="Yu Gothic Light"/>
                <w:b/>
              </w:rPr>
              <w:t>Service group</w:t>
            </w:r>
          </w:p>
        </w:tc>
        <w:tc>
          <w:tcPr>
            <w:tcW w:w="2229" w:type="dxa"/>
            <w:shd w:val="clear" w:color="auto" w:fill="002060"/>
            <w:tcMar>
              <w:top w:w="72" w:type="dxa"/>
              <w:left w:w="144" w:type="dxa"/>
              <w:bottom w:w="72" w:type="dxa"/>
              <w:right w:w="144" w:type="dxa"/>
            </w:tcMar>
            <w:hideMark/>
          </w:tcPr>
          <w:p w14:paraId="182EF004" w14:textId="77777777" w:rsidR="004D556D" w:rsidRPr="000F6CD1" w:rsidRDefault="004D556D" w:rsidP="00622CFF">
            <w:pPr>
              <w:spacing w:before="240" w:after="240" w:line="240" w:lineRule="auto"/>
              <w:rPr>
                <w:rFonts w:eastAsia="Yu Gothic Light"/>
                <w:b/>
                <w:color w:val="FFFFFF"/>
              </w:rPr>
            </w:pPr>
            <w:r w:rsidRPr="000F6CD1">
              <w:rPr>
                <w:rFonts w:eastAsia="Yu Gothic Light"/>
                <w:b/>
              </w:rPr>
              <w:t>Classification type</w:t>
            </w:r>
          </w:p>
        </w:tc>
        <w:tc>
          <w:tcPr>
            <w:tcW w:w="4940" w:type="dxa"/>
            <w:shd w:val="clear" w:color="auto" w:fill="002060"/>
            <w:tcMar>
              <w:top w:w="72" w:type="dxa"/>
              <w:left w:w="144" w:type="dxa"/>
              <w:bottom w:w="72" w:type="dxa"/>
              <w:right w:w="144" w:type="dxa"/>
            </w:tcMar>
            <w:hideMark/>
          </w:tcPr>
          <w:p w14:paraId="5BBA871E" w14:textId="77777777" w:rsidR="004D556D" w:rsidRPr="000F6CD1" w:rsidRDefault="004D556D" w:rsidP="00622CFF">
            <w:pPr>
              <w:spacing w:before="240" w:after="240" w:line="240" w:lineRule="auto"/>
              <w:rPr>
                <w:rFonts w:eastAsia="Yu Gothic Light"/>
                <w:b/>
                <w:color w:val="FFFFFF"/>
              </w:rPr>
            </w:pPr>
            <w:r w:rsidRPr="000F6CD1">
              <w:rPr>
                <w:rFonts w:eastAsia="Yu Gothic Light"/>
                <w:b/>
              </w:rPr>
              <w:t>Classification level</w:t>
            </w:r>
            <w:r w:rsidRPr="000F6CD1">
              <w:rPr>
                <w:rFonts w:eastAsia="Yu Gothic Light"/>
                <w:b/>
              </w:rPr>
              <w:br/>
            </w:r>
          </w:p>
        </w:tc>
      </w:tr>
      <w:tr w:rsidR="004D556D" w:rsidRPr="000F6CD1" w14:paraId="0AD7F09F" w14:textId="77777777">
        <w:trPr>
          <w:trHeight w:val="584"/>
        </w:trPr>
        <w:tc>
          <w:tcPr>
            <w:tcW w:w="1837" w:type="dxa"/>
          </w:tcPr>
          <w:p w14:paraId="7A769ADE" w14:textId="77777777" w:rsidR="004D556D" w:rsidRPr="000F6CD1" w:rsidRDefault="004D556D" w:rsidP="005960D3">
            <w:pPr>
              <w:spacing w:before="120" w:after="120" w:line="240" w:lineRule="auto"/>
              <w:rPr>
                <w:rFonts w:eastAsia="Yu Gothic Light"/>
                <w:b/>
                <w:color w:val="FFFFFF"/>
              </w:rPr>
            </w:pPr>
            <w:r w:rsidRPr="000F6CD1">
              <w:rPr>
                <w:rFonts w:eastAsia="Yu Gothic Light"/>
                <w:b/>
              </w:rPr>
              <w:t>Home Support</w:t>
            </w:r>
          </w:p>
        </w:tc>
        <w:tc>
          <w:tcPr>
            <w:tcW w:w="2229" w:type="dxa"/>
            <w:tcMar>
              <w:top w:w="72" w:type="dxa"/>
              <w:left w:w="144" w:type="dxa"/>
              <w:bottom w:w="72" w:type="dxa"/>
              <w:right w:w="144" w:type="dxa"/>
            </w:tcMar>
            <w:hideMark/>
          </w:tcPr>
          <w:p w14:paraId="332037D3" w14:textId="77777777" w:rsidR="004D556D" w:rsidRPr="000F6CD1" w:rsidRDefault="004D556D" w:rsidP="005960D3">
            <w:pPr>
              <w:spacing w:before="120" w:after="120" w:line="240" w:lineRule="auto"/>
              <w:rPr>
                <w:rFonts w:eastAsia="Yu Gothic Light"/>
                <w:b/>
                <w:color w:val="FFFFFF"/>
              </w:rPr>
            </w:pPr>
            <w:r w:rsidRPr="000F6CD1">
              <w:rPr>
                <w:rFonts w:eastAsia="Yu Gothic Light"/>
                <w:b/>
              </w:rPr>
              <w:t>Ongoing</w:t>
            </w:r>
          </w:p>
        </w:tc>
        <w:tc>
          <w:tcPr>
            <w:tcW w:w="4940" w:type="dxa"/>
            <w:tcMar>
              <w:top w:w="72" w:type="dxa"/>
              <w:left w:w="144" w:type="dxa"/>
              <w:bottom w:w="72" w:type="dxa"/>
              <w:right w:w="144" w:type="dxa"/>
            </w:tcMar>
            <w:hideMark/>
          </w:tcPr>
          <w:p w14:paraId="760A792F" w14:textId="77777777" w:rsidR="004D556D" w:rsidRPr="000F6CD1" w:rsidRDefault="004D556D" w:rsidP="005960D3">
            <w:pPr>
              <w:spacing w:before="120" w:after="120" w:line="240" w:lineRule="auto"/>
              <w:rPr>
                <w:rFonts w:eastAsia="Yu Gothic Light"/>
                <w:b/>
                <w:color w:val="FFFFFF"/>
              </w:rPr>
            </w:pPr>
            <w:r w:rsidRPr="000F6CD1">
              <w:rPr>
                <w:rFonts w:eastAsia="Yu Gothic Light"/>
              </w:rPr>
              <w:t>CHSP class</w:t>
            </w:r>
            <w:r w:rsidRPr="000F6CD1">
              <w:rPr>
                <w:rFonts w:eastAsia="Yu Gothic Light"/>
              </w:rPr>
              <w:br/>
              <w:t>Support at Home (SAH) class 1 to 8</w:t>
            </w:r>
          </w:p>
        </w:tc>
      </w:tr>
      <w:tr w:rsidR="004D556D" w:rsidRPr="000F6CD1" w14:paraId="308F6A07" w14:textId="77777777">
        <w:trPr>
          <w:trHeight w:val="584"/>
        </w:trPr>
        <w:tc>
          <w:tcPr>
            <w:tcW w:w="1837" w:type="dxa"/>
          </w:tcPr>
          <w:p w14:paraId="1936B0A5" w14:textId="77777777" w:rsidR="004D556D" w:rsidRPr="000F6CD1" w:rsidRDefault="004D556D"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62237C36" w14:textId="77777777" w:rsidR="004D556D" w:rsidRPr="000F6CD1" w:rsidRDefault="004D556D" w:rsidP="005960D3">
            <w:pPr>
              <w:spacing w:before="120" w:after="120" w:line="240" w:lineRule="auto"/>
              <w:rPr>
                <w:rFonts w:eastAsia="Yu Gothic Light"/>
                <w:b/>
                <w:color w:val="FFFFFF"/>
              </w:rPr>
            </w:pPr>
            <w:r w:rsidRPr="000F6CD1">
              <w:rPr>
                <w:rFonts w:eastAsia="Yu Gothic Light"/>
                <w:b/>
              </w:rPr>
              <w:t>Short-term</w:t>
            </w:r>
          </w:p>
        </w:tc>
        <w:tc>
          <w:tcPr>
            <w:tcW w:w="4940" w:type="dxa"/>
            <w:tcMar>
              <w:top w:w="72" w:type="dxa"/>
              <w:left w:w="144" w:type="dxa"/>
              <w:bottom w:w="72" w:type="dxa"/>
              <w:right w:w="144" w:type="dxa"/>
            </w:tcMar>
            <w:hideMark/>
          </w:tcPr>
          <w:p w14:paraId="06610E65" w14:textId="77777777" w:rsidR="004D556D" w:rsidRPr="000F6CD1" w:rsidRDefault="004D556D" w:rsidP="005960D3">
            <w:pPr>
              <w:spacing w:before="120" w:after="120" w:line="240" w:lineRule="auto"/>
              <w:rPr>
                <w:rFonts w:eastAsia="Yu Gothic Light"/>
              </w:rPr>
            </w:pPr>
            <w:r w:rsidRPr="000F6CD1">
              <w:rPr>
                <w:rFonts w:eastAsia="Yu Gothic Light"/>
              </w:rPr>
              <w:t>SAH restorative care pathway</w:t>
            </w:r>
          </w:p>
          <w:p w14:paraId="5471E5F2" w14:textId="77777777" w:rsidR="004D556D" w:rsidRPr="000F6CD1" w:rsidRDefault="004D556D" w:rsidP="005960D3">
            <w:pPr>
              <w:spacing w:before="120" w:after="120" w:line="240" w:lineRule="auto"/>
              <w:rPr>
                <w:rFonts w:eastAsia="Yu Gothic Light"/>
                <w:b/>
                <w:color w:val="FFFFFF"/>
              </w:rPr>
            </w:pPr>
            <w:r w:rsidRPr="000F6CD1">
              <w:rPr>
                <w:rFonts w:eastAsia="Yu Gothic Light"/>
              </w:rPr>
              <w:t>SAH end-of-life pathway</w:t>
            </w:r>
          </w:p>
        </w:tc>
      </w:tr>
      <w:tr w:rsidR="004D556D" w:rsidRPr="000F6CD1" w14:paraId="2B557B95" w14:textId="77777777">
        <w:trPr>
          <w:trHeight w:val="794"/>
        </w:trPr>
        <w:tc>
          <w:tcPr>
            <w:tcW w:w="1837" w:type="dxa"/>
          </w:tcPr>
          <w:p w14:paraId="08E364B7" w14:textId="77777777" w:rsidR="004D556D" w:rsidRPr="000F6CD1" w:rsidRDefault="004D556D" w:rsidP="005960D3">
            <w:pPr>
              <w:spacing w:before="120" w:after="120" w:line="240" w:lineRule="auto"/>
              <w:rPr>
                <w:rFonts w:eastAsia="Yu Gothic Light"/>
                <w:b/>
                <w:color w:val="FFFFFF"/>
              </w:rPr>
            </w:pPr>
          </w:p>
        </w:tc>
        <w:tc>
          <w:tcPr>
            <w:tcW w:w="2229" w:type="dxa"/>
            <w:tcMar>
              <w:top w:w="72" w:type="dxa"/>
              <w:left w:w="144" w:type="dxa"/>
              <w:bottom w:w="72" w:type="dxa"/>
              <w:right w:w="144" w:type="dxa"/>
            </w:tcMar>
            <w:hideMark/>
          </w:tcPr>
          <w:p w14:paraId="169B6F9D" w14:textId="77777777" w:rsidR="004D556D" w:rsidRPr="000F6CD1" w:rsidRDefault="004D556D" w:rsidP="005960D3">
            <w:pPr>
              <w:spacing w:before="120" w:after="120" w:line="240" w:lineRule="auto"/>
              <w:rPr>
                <w:rFonts w:eastAsia="Yu Gothic Light"/>
                <w:b/>
                <w:color w:val="FFFFFF"/>
              </w:rPr>
            </w:pPr>
            <w:r w:rsidRPr="000F6CD1">
              <w:rPr>
                <w:rFonts w:eastAsia="Yu Gothic Light"/>
                <w:b/>
              </w:rPr>
              <w:t>Hospital transition</w:t>
            </w:r>
          </w:p>
        </w:tc>
        <w:tc>
          <w:tcPr>
            <w:tcW w:w="4940" w:type="dxa"/>
            <w:tcMar>
              <w:top w:w="72" w:type="dxa"/>
              <w:left w:w="144" w:type="dxa"/>
              <w:bottom w:w="72" w:type="dxa"/>
              <w:right w:w="144" w:type="dxa"/>
            </w:tcMar>
            <w:hideMark/>
          </w:tcPr>
          <w:p w14:paraId="6415972D" w14:textId="77777777" w:rsidR="004D556D" w:rsidRPr="000F6CD1" w:rsidRDefault="004D556D" w:rsidP="005960D3">
            <w:pPr>
              <w:spacing w:before="120" w:after="120" w:line="240" w:lineRule="auto"/>
              <w:rPr>
                <w:rFonts w:eastAsia="Yu Gothic Light"/>
                <w:b/>
                <w:color w:val="FFFFFF"/>
              </w:rPr>
            </w:pPr>
            <w:r w:rsidRPr="000F6CD1">
              <w:rPr>
                <w:rFonts w:eastAsia="Yu Gothic Light"/>
              </w:rPr>
              <w:t>Home Support Hospital Transition class (HS HT class)</w:t>
            </w:r>
          </w:p>
        </w:tc>
      </w:tr>
    </w:tbl>
    <w:p w14:paraId="0972BBA1" w14:textId="77777777" w:rsidR="004D556D" w:rsidRPr="000F6CD1" w:rsidRDefault="004D556D" w:rsidP="00AD2CE5">
      <w:pPr>
        <w:pStyle w:val="H3"/>
      </w:pPr>
      <w:r w:rsidRPr="000F6CD1">
        <w:t>Service group: Assistive technology</w:t>
      </w:r>
    </w:p>
    <w:p w14:paraId="1194C152" w14:textId="77777777" w:rsidR="004D556D" w:rsidRPr="000F6CD1" w:rsidRDefault="004D556D" w:rsidP="005960D3">
      <w:pPr>
        <w:pStyle w:val="Caption"/>
        <w:spacing w:before="120" w:after="120"/>
        <w:rPr>
          <w:rFonts w:eastAsia="Yu Gothic Light"/>
        </w:rPr>
      </w:pPr>
      <w:r w:rsidRPr="000F6CD1">
        <w:rPr>
          <w:rFonts w:eastAsia="Yu Gothic Light"/>
        </w:rPr>
        <w:t>Table 41. Possible combinations of classification type and classification level under the service group of assistive technology</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assistive technology"/>
        <w:tblDescription w:val="The table provides an overview of possible combinations of classification type and classification level under the service group assistive technology"/>
      </w:tblPr>
      <w:tblGrid>
        <w:gridCol w:w="1837"/>
        <w:gridCol w:w="2229"/>
        <w:gridCol w:w="4940"/>
      </w:tblGrid>
      <w:tr w:rsidR="004D556D" w:rsidRPr="000F6CD1" w14:paraId="45C6593B" w14:textId="77777777" w:rsidTr="00BF1A2E">
        <w:trPr>
          <w:trHeight w:val="20"/>
        </w:trPr>
        <w:tc>
          <w:tcPr>
            <w:tcW w:w="1837" w:type="dxa"/>
            <w:tcBorders>
              <w:top w:val="single" w:sz="8" w:space="0" w:color="FFFFFF"/>
              <w:left w:val="single" w:sz="8" w:space="0" w:color="FFFFFF"/>
              <w:bottom w:val="single" w:sz="24" w:space="0" w:color="FFFFFF"/>
              <w:right w:val="single" w:sz="8" w:space="0" w:color="FFFFFF"/>
            </w:tcBorders>
            <w:shd w:val="clear" w:color="auto" w:fill="002060"/>
          </w:tcPr>
          <w:p w14:paraId="12C91240"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46CDE236"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Classification type</w:t>
            </w:r>
          </w:p>
        </w:tc>
        <w:tc>
          <w:tcPr>
            <w:tcW w:w="4940"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36C1DF6"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Classification level</w:t>
            </w:r>
            <w:r w:rsidRPr="000F6CD1">
              <w:rPr>
                <w:rFonts w:eastAsia="Yu Gothic Light"/>
                <w:b/>
                <w:color w:val="FFFFFF"/>
              </w:rPr>
              <w:br/>
            </w:r>
          </w:p>
        </w:tc>
      </w:tr>
      <w:tr w:rsidR="004D556D" w:rsidRPr="000F6CD1" w14:paraId="19FD0A37" w14:textId="77777777" w:rsidTr="00BF1A2E">
        <w:trPr>
          <w:trHeight w:val="335"/>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655A17BB" w14:textId="77777777" w:rsidR="004D556D" w:rsidRPr="000F6CD1" w:rsidRDefault="004D556D" w:rsidP="005960D3">
            <w:pPr>
              <w:spacing w:before="120" w:after="120" w:line="240" w:lineRule="auto"/>
              <w:rPr>
                <w:rFonts w:eastAsia="Yu Gothic Light"/>
                <w:b/>
              </w:rPr>
            </w:pPr>
            <w:r w:rsidRPr="000F6CD1">
              <w:rPr>
                <w:rFonts w:eastAsia="Yu Gothic Light"/>
                <w:b/>
              </w:rPr>
              <w:t>Assistive technology</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C4D3EF8" w14:textId="77777777" w:rsidR="004D556D" w:rsidRPr="000F6CD1" w:rsidRDefault="004D556D" w:rsidP="005960D3">
            <w:pPr>
              <w:spacing w:before="120" w:after="120" w:line="240" w:lineRule="auto"/>
              <w:rPr>
                <w:rFonts w:eastAsia="Yu Gothic Light"/>
                <w:b/>
              </w:rPr>
            </w:pPr>
            <w:r w:rsidRPr="000F6CD1">
              <w:rPr>
                <w:rFonts w:eastAsia="Yu Gothic Light"/>
                <w:b/>
              </w:rPr>
              <w:t>Ongoing</w:t>
            </w:r>
          </w:p>
        </w:tc>
        <w:tc>
          <w:tcPr>
            <w:tcW w:w="4940"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A75885C" w14:textId="77777777" w:rsidR="004D556D" w:rsidRPr="000F6CD1" w:rsidRDefault="004D556D" w:rsidP="005960D3">
            <w:pPr>
              <w:spacing w:before="120" w:after="120" w:line="240" w:lineRule="auto"/>
              <w:rPr>
                <w:rFonts w:eastAsia="Yu Gothic Light"/>
              </w:rPr>
            </w:pPr>
            <w:r w:rsidRPr="000F6CD1">
              <w:rPr>
                <w:rFonts w:eastAsia="Yu Gothic Light"/>
              </w:rPr>
              <w:t>assistance dogs</w:t>
            </w:r>
          </w:p>
        </w:tc>
      </w:tr>
      <w:tr w:rsidR="004D556D" w:rsidRPr="000F6CD1" w14:paraId="53D0520D" w14:textId="77777777" w:rsidTr="00BF1A2E">
        <w:trPr>
          <w:trHeight w:val="584"/>
        </w:trPr>
        <w:tc>
          <w:tcPr>
            <w:tcW w:w="1837"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1B7D9CD3" w14:textId="77777777" w:rsidR="004D556D" w:rsidRPr="000F6CD1" w:rsidRDefault="004D556D" w:rsidP="005960D3">
            <w:pPr>
              <w:spacing w:before="120" w:after="120" w:line="240" w:lineRule="auto"/>
              <w:rPr>
                <w:rFonts w:eastAsia="Yu Gothic Light"/>
                <w:b/>
              </w:rPr>
            </w:pP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3CF61103" w14:textId="77777777" w:rsidR="004D556D" w:rsidRPr="000F6CD1" w:rsidRDefault="004D556D" w:rsidP="005960D3">
            <w:pPr>
              <w:spacing w:before="120" w:after="120" w:line="240" w:lineRule="auto"/>
              <w:rPr>
                <w:rFonts w:eastAsia="Yu Gothic Light"/>
                <w:b/>
              </w:rPr>
            </w:pPr>
            <w:r w:rsidRPr="000F6CD1">
              <w:rPr>
                <w:rFonts w:eastAsia="Yu Gothic Light"/>
                <w:b/>
              </w:rPr>
              <w:t>Short-term</w:t>
            </w:r>
          </w:p>
        </w:tc>
        <w:tc>
          <w:tcPr>
            <w:tcW w:w="4940"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6F76912" w14:textId="77777777" w:rsidR="004D556D" w:rsidRPr="000F6CD1" w:rsidRDefault="004D556D" w:rsidP="005960D3">
            <w:pPr>
              <w:spacing w:before="120" w:after="120" w:line="240" w:lineRule="auto"/>
              <w:rPr>
                <w:rFonts w:eastAsia="Yu Gothic Light"/>
              </w:rPr>
            </w:pPr>
            <w:r w:rsidRPr="000F6CD1">
              <w:rPr>
                <w:rFonts w:eastAsia="Yu Gothic Light"/>
              </w:rPr>
              <w:t>AT CHSP</w:t>
            </w:r>
          </w:p>
          <w:p w14:paraId="1C86AE3C" w14:textId="77777777" w:rsidR="004D556D" w:rsidRPr="000F6CD1" w:rsidRDefault="004D556D" w:rsidP="005960D3">
            <w:pPr>
              <w:spacing w:before="120" w:after="120" w:line="240" w:lineRule="auto"/>
              <w:rPr>
                <w:rFonts w:eastAsia="Yu Gothic Light"/>
              </w:rPr>
            </w:pPr>
            <w:r w:rsidRPr="000F6CD1">
              <w:rPr>
                <w:rFonts w:eastAsia="Yu Gothic Light"/>
              </w:rPr>
              <w:t>AT low</w:t>
            </w:r>
          </w:p>
          <w:p w14:paraId="75D6ED57" w14:textId="77777777" w:rsidR="004D556D" w:rsidRPr="000F6CD1" w:rsidRDefault="004D556D" w:rsidP="005960D3">
            <w:pPr>
              <w:spacing w:before="120" w:after="120" w:line="240" w:lineRule="auto"/>
              <w:rPr>
                <w:rFonts w:eastAsia="Yu Gothic Light"/>
              </w:rPr>
            </w:pPr>
            <w:r w:rsidRPr="000F6CD1">
              <w:rPr>
                <w:rFonts w:eastAsia="Yu Gothic Light"/>
              </w:rPr>
              <w:t>AT medium</w:t>
            </w:r>
          </w:p>
          <w:p w14:paraId="515C0FA0" w14:textId="77777777" w:rsidR="004D556D" w:rsidRPr="000F6CD1" w:rsidRDefault="004D556D" w:rsidP="005960D3">
            <w:pPr>
              <w:spacing w:before="120" w:after="120" w:line="240" w:lineRule="auto"/>
              <w:rPr>
                <w:rFonts w:eastAsia="Yu Gothic Light"/>
              </w:rPr>
            </w:pPr>
            <w:r w:rsidRPr="000F6CD1">
              <w:rPr>
                <w:rFonts w:eastAsia="Yu Gothic Light"/>
              </w:rPr>
              <w:t>AT high</w:t>
            </w:r>
          </w:p>
        </w:tc>
      </w:tr>
      <w:tr w:rsidR="004D556D" w:rsidRPr="000F6CD1" w14:paraId="314B01E9" w14:textId="77777777" w:rsidTr="00BF1A2E">
        <w:trPr>
          <w:trHeight w:val="584"/>
        </w:trPr>
        <w:tc>
          <w:tcPr>
            <w:tcW w:w="1837" w:type="dxa"/>
            <w:tcBorders>
              <w:top w:val="single" w:sz="8" w:space="0" w:color="FFFFFF"/>
              <w:left w:val="single" w:sz="8" w:space="0" w:color="FFFFFF"/>
              <w:bottom w:val="single" w:sz="8" w:space="0" w:color="FFFFFF"/>
            </w:tcBorders>
            <w:shd w:val="clear" w:color="auto" w:fill="FFFFFF" w:themeFill="background1"/>
          </w:tcPr>
          <w:p w14:paraId="79E8B042" w14:textId="77777777" w:rsidR="004D556D" w:rsidRPr="000F6CD1" w:rsidRDefault="004D556D" w:rsidP="005960D3">
            <w:pPr>
              <w:spacing w:before="120" w:after="120" w:line="240" w:lineRule="auto"/>
              <w:rPr>
                <w:rFonts w:eastAsia="Yu Gothic Light"/>
                <w:b/>
              </w:rPr>
            </w:pPr>
          </w:p>
        </w:tc>
        <w:tc>
          <w:tcPr>
            <w:tcW w:w="2229" w:type="dxa"/>
            <w:tcBorders>
              <w:top w:val="single" w:sz="4" w:space="0" w:color="auto"/>
            </w:tcBorders>
            <w:shd w:val="clear" w:color="auto" w:fill="FFFFFF" w:themeFill="background1"/>
            <w:tcMar>
              <w:top w:w="72" w:type="dxa"/>
              <w:left w:w="144" w:type="dxa"/>
              <w:bottom w:w="72" w:type="dxa"/>
              <w:right w:w="144" w:type="dxa"/>
            </w:tcMar>
            <w:hideMark/>
          </w:tcPr>
          <w:p w14:paraId="6EBED7A0" w14:textId="77777777" w:rsidR="004D556D" w:rsidRPr="000F6CD1" w:rsidRDefault="004D556D" w:rsidP="005960D3">
            <w:pPr>
              <w:spacing w:before="120" w:after="120" w:line="240" w:lineRule="auto"/>
              <w:rPr>
                <w:rFonts w:eastAsia="Yu Gothic Light"/>
                <w:b/>
              </w:rPr>
            </w:pPr>
            <w:r w:rsidRPr="000F6CD1">
              <w:rPr>
                <w:rFonts w:eastAsia="Yu Gothic Light"/>
                <w:b/>
              </w:rPr>
              <w:t>Hospital transition</w:t>
            </w:r>
          </w:p>
        </w:tc>
        <w:tc>
          <w:tcPr>
            <w:tcW w:w="4940" w:type="dxa"/>
            <w:tcBorders>
              <w:top w:val="single" w:sz="4" w:space="0" w:color="auto"/>
              <w:left w:val="nil"/>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2A62F483" w14:textId="77777777" w:rsidR="004D556D" w:rsidRPr="000F6CD1" w:rsidRDefault="004D556D" w:rsidP="005960D3">
            <w:pPr>
              <w:spacing w:before="120" w:after="120" w:line="240" w:lineRule="auto"/>
              <w:rPr>
                <w:rFonts w:eastAsia="Yu Gothic Light"/>
              </w:rPr>
            </w:pPr>
            <w:r w:rsidRPr="000F6CD1">
              <w:rPr>
                <w:rFonts w:eastAsia="Yu Gothic Light"/>
              </w:rPr>
              <w:t>AT HT class</w:t>
            </w:r>
          </w:p>
        </w:tc>
      </w:tr>
    </w:tbl>
    <w:p w14:paraId="25950397" w14:textId="77777777" w:rsidR="0085527F" w:rsidRDefault="004D556D" w:rsidP="005960D3">
      <w:pPr>
        <w:spacing w:before="120" w:after="120" w:line="240" w:lineRule="auto"/>
        <w:rPr>
          <w:rFonts w:eastAsia="Yu Gothic Light"/>
        </w:rPr>
      </w:pPr>
      <w:r w:rsidRPr="000F6CD1">
        <w:rPr>
          <w:rFonts w:eastAsia="Yu Gothic Light"/>
        </w:rPr>
        <w:t xml:space="preserve">Note that classification levels are also referred to as </w:t>
      </w:r>
      <w:r w:rsidRPr="000F6CD1">
        <w:rPr>
          <w:rFonts w:eastAsia="Yu Gothic Light" w:hint="eastAsia"/>
        </w:rPr>
        <w:t>‘</w:t>
      </w:r>
      <w:r w:rsidRPr="000F6CD1">
        <w:rPr>
          <w:rFonts w:eastAsia="Yu Gothic Light"/>
        </w:rPr>
        <w:t>funding tiers</w:t>
      </w:r>
      <w:r w:rsidRPr="000F6CD1">
        <w:rPr>
          <w:rFonts w:eastAsia="Yu Gothic Light" w:hint="eastAsia"/>
        </w:rPr>
        <w:t>’</w:t>
      </w:r>
      <w:r w:rsidRPr="000F6CD1">
        <w:rPr>
          <w:rFonts w:eastAsia="Yu Gothic Light"/>
        </w:rPr>
        <w:t xml:space="preserve"> in the Support at Home program.</w:t>
      </w:r>
    </w:p>
    <w:p w14:paraId="61F07F1C" w14:textId="720EA097" w:rsidR="004D556D" w:rsidRPr="000F6CD1" w:rsidRDefault="0085527F" w:rsidP="0085527F">
      <w:pPr>
        <w:rPr>
          <w:rFonts w:eastAsia="Yu Gothic Light"/>
        </w:rPr>
      </w:pPr>
      <w:r>
        <w:rPr>
          <w:rFonts w:eastAsia="Yu Gothic Light"/>
        </w:rPr>
        <w:br w:type="page"/>
      </w:r>
    </w:p>
    <w:p w14:paraId="60B77751" w14:textId="77777777" w:rsidR="004D556D" w:rsidRPr="000F6CD1" w:rsidRDefault="004D556D" w:rsidP="00AD2CE5">
      <w:pPr>
        <w:pStyle w:val="H3"/>
      </w:pPr>
      <w:r w:rsidRPr="000F6CD1">
        <w:lastRenderedPageBreak/>
        <w:t>Service group: Home modifications</w:t>
      </w:r>
    </w:p>
    <w:p w14:paraId="796958DB" w14:textId="77777777" w:rsidR="004D556D" w:rsidRPr="000F6CD1" w:rsidRDefault="004D556D" w:rsidP="005960D3">
      <w:pPr>
        <w:pStyle w:val="Caption"/>
        <w:spacing w:before="120" w:after="120"/>
        <w:rPr>
          <w:rFonts w:eastAsia="Yu Gothic Light"/>
        </w:rPr>
      </w:pPr>
      <w:r w:rsidRPr="000F6CD1">
        <w:rPr>
          <w:rFonts w:eastAsia="Yu Gothic Light"/>
        </w:rPr>
        <w:t xml:space="preserve">Table 42. Possible combinations of classification type and classification level under the service group of home modifications </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home modifications "/>
        <w:tblDescription w:val="This table provides an overview of the possible combinations of classification type and classification level under the service group home modifications "/>
      </w:tblPr>
      <w:tblGrid>
        <w:gridCol w:w="2359"/>
        <w:gridCol w:w="2701"/>
        <w:gridCol w:w="3946"/>
      </w:tblGrid>
      <w:tr w:rsidR="004D556D" w:rsidRPr="000F6CD1" w14:paraId="50F2F99E" w14:textId="77777777" w:rsidTr="00BF1A2E">
        <w:trPr>
          <w:trHeight w:val="20"/>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5982C21E"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085DDCC8"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Classification type</w:t>
            </w:r>
          </w:p>
        </w:tc>
        <w:tc>
          <w:tcPr>
            <w:tcW w:w="3946"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13EB9D01" w14:textId="77777777" w:rsidR="004D556D" w:rsidRPr="000F6CD1" w:rsidRDefault="004D556D" w:rsidP="005960D3">
            <w:pPr>
              <w:spacing w:before="120" w:after="120" w:line="240" w:lineRule="auto"/>
              <w:rPr>
                <w:rFonts w:eastAsia="Yu Gothic Light"/>
                <w:b/>
                <w:color w:val="FFFFFF"/>
              </w:rPr>
            </w:pPr>
            <w:r w:rsidRPr="000F6CD1">
              <w:rPr>
                <w:rFonts w:eastAsia="Yu Gothic Light"/>
                <w:b/>
                <w:color w:val="FFFFFF"/>
              </w:rPr>
              <w:t>Classification level</w:t>
            </w:r>
            <w:r w:rsidRPr="000F6CD1">
              <w:rPr>
                <w:rFonts w:eastAsia="Yu Gothic Light"/>
                <w:b/>
                <w:color w:val="FFFFFF"/>
              </w:rPr>
              <w:br/>
            </w:r>
          </w:p>
        </w:tc>
      </w:tr>
      <w:tr w:rsidR="004D556D" w:rsidRPr="000F6CD1" w14:paraId="6EFA7ABD"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145EFC77" w14:textId="77777777" w:rsidR="004D556D" w:rsidRPr="000F6CD1" w:rsidRDefault="004D556D" w:rsidP="005960D3">
            <w:pPr>
              <w:spacing w:before="120" w:after="120" w:line="240" w:lineRule="auto"/>
              <w:rPr>
                <w:rFonts w:eastAsia="Yu Gothic Light"/>
                <w:b/>
              </w:rPr>
            </w:pPr>
            <w:r w:rsidRPr="000F6CD1">
              <w:rPr>
                <w:rFonts w:eastAsia="Yu Gothic Light"/>
                <w:b/>
              </w:rPr>
              <w:t>Home modifications</w:t>
            </w:r>
          </w:p>
        </w:tc>
        <w:tc>
          <w:tcPr>
            <w:tcW w:w="2701" w:type="dxa"/>
            <w:shd w:val="clear" w:color="auto" w:fill="FFFFFF" w:themeFill="background1"/>
            <w:tcMar>
              <w:top w:w="72" w:type="dxa"/>
              <w:left w:w="144" w:type="dxa"/>
              <w:bottom w:w="72" w:type="dxa"/>
              <w:right w:w="144" w:type="dxa"/>
            </w:tcMar>
            <w:hideMark/>
          </w:tcPr>
          <w:p w14:paraId="1B082172" w14:textId="77777777" w:rsidR="004D556D" w:rsidRPr="000F6CD1" w:rsidRDefault="004D556D" w:rsidP="005960D3">
            <w:pPr>
              <w:spacing w:before="120" w:after="120" w:line="240" w:lineRule="auto"/>
              <w:rPr>
                <w:rFonts w:eastAsia="Yu Gothic Light"/>
                <w:b/>
              </w:rPr>
            </w:pPr>
            <w:r w:rsidRPr="000F6CD1">
              <w:rPr>
                <w:rFonts w:eastAsia="Yu Gothic Light"/>
                <w:b/>
              </w:rPr>
              <w:t>Short-term</w:t>
            </w:r>
          </w:p>
        </w:tc>
        <w:tc>
          <w:tcPr>
            <w:tcW w:w="3946" w:type="dxa"/>
            <w:tcBorders>
              <w:left w:val="nil"/>
            </w:tcBorders>
            <w:shd w:val="clear" w:color="auto" w:fill="FFFFFF" w:themeFill="background1"/>
            <w:tcMar>
              <w:top w:w="72" w:type="dxa"/>
              <w:left w:w="144" w:type="dxa"/>
              <w:bottom w:w="72" w:type="dxa"/>
              <w:right w:w="144" w:type="dxa"/>
            </w:tcMar>
            <w:hideMark/>
          </w:tcPr>
          <w:p w14:paraId="21F7DF71" w14:textId="77777777" w:rsidR="004D556D" w:rsidRPr="000F6CD1" w:rsidRDefault="004D556D" w:rsidP="005960D3">
            <w:pPr>
              <w:spacing w:before="120" w:after="120" w:line="240" w:lineRule="auto"/>
              <w:rPr>
                <w:rFonts w:eastAsia="Yu Gothic Light"/>
              </w:rPr>
            </w:pPr>
            <w:r w:rsidRPr="000F6CD1">
              <w:rPr>
                <w:rFonts w:eastAsia="Yu Gothic Light"/>
              </w:rPr>
              <w:t>HM CHSP</w:t>
            </w:r>
          </w:p>
          <w:p w14:paraId="3D43C166" w14:textId="77777777" w:rsidR="004D556D" w:rsidRPr="000F6CD1" w:rsidRDefault="004D556D" w:rsidP="005960D3">
            <w:pPr>
              <w:spacing w:before="120" w:after="120" w:line="240" w:lineRule="auto"/>
              <w:rPr>
                <w:rFonts w:eastAsia="Yu Gothic Light"/>
              </w:rPr>
            </w:pPr>
            <w:r w:rsidRPr="000F6CD1">
              <w:rPr>
                <w:rFonts w:eastAsia="Yu Gothic Light"/>
              </w:rPr>
              <w:t>HM low</w:t>
            </w:r>
          </w:p>
          <w:p w14:paraId="6B5F4D9A" w14:textId="77777777" w:rsidR="004D556D" w:rsidRPr="000F6CD1" w:rsidRDefault="004D556D" w:rsidP="005960D3">
            <w:pPr>
              <w:spacing w:before="120" w:after="120" w:line="240" w:lineRule="auto"/>
              <w:rPr>
                <w:rFonts w:eastAsia="Yu Gothic Light"/>
              </w:rPr>
            </w:pPr>
            <w:r w:rsidRPr="000F6CD1">
              <w:rPr>
                <w:rFonts w:eastAsia="Yu Gothic Light"/>
              </w:rPr>
              <w:t>HM medium</w:t>
            </w:r>
          </w:p>
          <w:p w14:paraId="42310E32" w14:textId="77777777" w:rsidR="004D556D" w:rsidRPr="000F6CD1" w:rsidRDefault="004D556D" w:rsidP="005960D3">
            <w:pPr>
              <w:spacing w:before="120" w:after="120" w:line="240" w:lineRule="auto"/>
              <w:rPr>
                <w:rFonts w:eastAsia="Yu Gothic Light"/>
              </w:rPr>
            </w:pPr>
            <w:r w:rsidRPr="000F6CD1">
              <w:rPr>
                <w:rFonts w:eastAsia="Yu Gothic Light"/>
              </w:rPr>
              <w:t>HM high</w:t>
            </w:r>
          </w:p>
        </w:tc>
      </w:tr>
    </w:tbl>
    <w:p w14:paraId="1A43980D" w14:textId="77777777" w:rsidR="004D556D" w:rsidRPr="000F6CD1" w:rsidRDefault="004D556D" w:rsidP="005960D3">
      <w:pPr>
        <w:spacing w:before="120" w:after="120" w:line="240" w:lineRule="auto"/>
        <w:rPr>
          <w:rFonts w:eastAsia="Yu Gothic Light"/>
        </w:rPr>
      </w:pPr>
      <w:r w:rsidRPr="000F6CD1">
        <w:rPr>
          <w:rFonts w:eastAsia="Yu Gothic Light"/>
        </w:rPr>
        <w:t xml:space="preserve">Note that classification levels are also referred to as </w:t>
      </w:r>
      <w:r w:rsidRPr="000F6CD1">
        <w:rPr>
          <w:rFonts w:eastAsia="Yu Gothic Light" w:hint="eastAsia"/>
        </w:rPr>
        <w:t>‘</w:t>
      </w:r>
      <w:r w:rsidRPr="000F6CD1">
        <w:rPr>
          <w:rFonts w:eastAsia="Yu Gothic Light"/>
        </w:rPr>
        <w:t>funding tiers</w:t>
      </w:r>
      <w:r w:rsidRPr="000F6CD1">
        <w:rPr>
          <w:rFonts w:eastAsia="Yu Gothic Light" w:hint="eastAsia"/>
        </w:rPr>
        <w:t>’</w:t>
      </w:r>
      <w:r w:rsidRPr="000F6CD1">
        <w:rPr>
          <w:rFonts w:eastAsia="Yu Gothic Light"/>
        </w:rPr>
        <w:t xml:space="preserve"> in the Support at Home program.</w:t>
      </w:r>
    </w:p>
    <w:p w14:paraId="2E2CFA13" w14:textId="77777777" w:rsidR="004D556D" w:rsidRPr="000F6CD1" w:rsidRDefault="004D556D" w:rsidP="00AD2CE5">
      <w:pPr>
        <w:pStyle w:val="H3"/>
      </w:pPr>
      <w:r w:rsidRPr="000F6CD1">
        <w:t>Service group: Residential care</w:t>
      </w:r>
    </w:p>
    <w:p w14:paraId="0E826C18" w14:textId="77777777" w:rsidR="004D556D" w:rsidRPr="000F6CD1" w:rsidRDefault="004D556D" w:rsidP="0003231B">
      <w:pPr>
        <w:pStyle w:val="Caption"/>
        <w:keepNext/>
        <w:spacing w:before="120" w:after="120"/>
        <w:rPr>
          <w:rFonts w:eastAsia="Yu Gothic Light"/>
          <w:color w:val="358189"/>
          <w:sz w:val="28"/>
          <w:szCs w:val="28"/>
        </w:rPr>
      </w:pPr>
      <w:r w:rsidRPr="000F6CD1">
        <w:rPr>
          <w:rFonts w:eastAsia="Yu Gothic Light"/>
        </w:rPr>
        <w:t>Table 43. Possible combinations of classification type and classification level under the service group of residential care</w:t>
      </w:r>
    </w:p>
    <w:tbl>
      <w:tblPr>
        <w:tblW w:w="9006" w:type="dxa"/>
        <w:tblCellMar>
          <w:left w:w="0" w:type="dxa"/>
          <w:right w:w="0" w:type="dxa"/>
        </w:tblCellMar>
        <w:tblLook w:val="0420" w:firstRow="1" w:lastRow="0" w:firstColumn="0" w:lastColumn="0" w:noHBand="0" w:noVBand="1"/>
        <w:tblCaption w:val="Possible combinations of classification type and classification level under the service group of residential care"/>
        <w:tblDescription w:val="The table provides an overview of the possible combinations of classification type and classification level under the service group of residential care"/>
      </w:tblPr>
      <w:tblGrid>
        <w:gridCol w:w="2359"/>
        <w:gridCol w:w="2701"/>
        <w:gridCol w:w="3946"/>
      </w:tblGrid>
      <w:tr w:rsidR="004D556D" w:rsidRPr="000F6CD1" w14:paraId="3E56576A" w14:textId="77777777" w:rsidTr="00BF1A2E">
        <w:trPr>
          <w:trHeight w:val="247"/>
          <w:tblHeader/>
        </w:trPr>
        <w:tc>
          <w:tcPr>
            <w:tcW w:w="2359" w:type="dxa"/>
            <w:tcBorders>
              <w:top w:val="single" w:sz="8" w:space="0" w:color="FFFFFF"/>
              <w:left w:val="single" w:sz="8" w:space="0" w:color="FFFFFF"/>
              <w:bottom w:val="single" w:sz="24" w:space="0" w:color="FFFFFF"/>
              <w:right w:val="single" w:sz="8" w:space="0" w:color="FFFFFF"/>
            </w:tcBorders>
            <w:shd w:val="clear" w:color="auto" w:fill="002060"/>
          </w:tcPr>
          <w:p w14:paraId="3C79893E" w14:textId="77777777" w:rsidR="004D556D" w:rsidRPr="000F6CD1" w:rsidRDefault="004D556D" w:rsidP="0003231B">
            <w:pPr>
              <w:keepNext/>
              <w:spacing w:before="120" w:after="120" w:line="240" w:lineRule="auto"/>
              <w:rPr>
                <w:rFonts w:eastAsia="Yu Gothic Light"/>
                <w:b/>
                <w:color w:val="FFFFFF"/>
              </w:rPr>
            </w:pPr>
            <w:r w:rsidRPr="000F6CD1">
              <w:rPr>
                <w:rFonts w:eastAsia="Yu Gothic Light"/>
                <w:b/>
                <w:color w:val="FFFFFF"/>
              </w:rPr>
              <w:t>Service group</w:t>
            </w:r>
          </w:p>
        </w:tc>
        <w:tc>
          <w:tcPr>
            <w:tcW w:w="2701" w:type="dxa"/>
            <w:tcBorders>
              <w:top w:val="single" w:sz="8" w:space="0" w:color="FFFFFF"/>
              <w:left w:val="single" w:sz="8" w:space="0" w:color="FFFFFF"/>
              <w:right w:val="single" w:sz="8" w:space="0" w:color="FFFFFF"/>
            </w:tcBorders>
            <w:shd w:val="clear" w:color="auto" w:fill="002060"/>
            <w:tcMar>
              <w:top w:w="72" w:type="dxa"/>
              <w:left w:w="144" w:type="dxa"/>
              <w:bottom w:w="72" w:type="dxa"/>
              <w:right w:w="144" w:type="dxa"/>
            </w:tcMar>
            <w:hideMark/>
          </w:tcPr>
          <w:p w14:paraId="1D92F607" w14:textId="77777777" w:rsidR="004D556D" w:rsidRPr="000F6CD1" w:rsidRDefault="004D556D" w:rsidP="0003231B">
            <w:pPr>
              <w:keepNext/>
              <w:spacing w:before="120" w:after="120" w:line="240" w:lineRule="auto"/>
              <w:rPr>
                <w:rFonts w:eastAsia="Yu Gothic Light"/>
                <w:b/>
                <w:color w:val="FFFFFF"/>
              </w:rPr>
            </w:pPr>
            <w:r w:rsidRPr="000F6CD1">
              <w:rPr>
                <w:rFonts w:eastAsia="Yu Gothic Light"/>
                <w:b/>
                <w:color w:val="FFFFFF"/>
              </w:rPr>
              <w:t>Classification type</w:t>
            </w:r>
          </w:p>
        </w:tc>
        <w:tc>
          <w:tcPr>
            <w:tcW w:w="394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9F5309A" w14:textId="77777777" w:rsidR="004D556D" w:rsidRPr="000F6CD1" w:rsidRDefault="004D556D" w:rsidP="0003231B">
            <w:pPr>
              <w:keepNext/>
              <w:spacing w:before="120" w:after="120" w:line="240" w:lineRule="auto"/>
              <w:rPr>
                <w:rFonts w:eastAsia="Yu Gothic Light"/>
                <w:b/>
                <w:color w:val="FFFFFF"/>
              </w:rPr>
            </w:pPr>
            <w:r w:rsidRPr="000F6CD1">
              <w:rPr>
                <w:rFonts w:eastAsia="Yu Gothic Light"/>
                <w:b/>
                <w:color w:val="FFFFFF"/>
              </w:rPr>
              <w:t>Classification level</w:t>
            </w:r>
            <w:r w:rsidRPr="000F6CD1">
              <w:rPr>
                <w:rFonts w:eastAsia="Yu Gothic Light"/>
                <w:b/>
                <w:color w:val="FFFFFF"/>
              </w:rPr>
              <w:br/>
            </w:r>
          </w:p>
        </w:tc>
      </w:tr>
      <w:tr w:rsidR="004D556D" w:rsidRPr="000F6CD1" w14:paraId="06CB3C6F" w14:textId="77777777" w:rsidTr="00BF1A2E">
        <w:trPr>
          <w:trHeight w:val="584"/>
        </w:trPr>
        <w:tc>
          <w:tcPr>
            <w:tcW w:w="2359" w:type="dxa"/>
            <w:tcBorders>
              <w:top w:val="single" w:sz="8" w:space="0" w:color="FFFFFF"/>
              <w:left w:val="single" w:sz="8" w:space="0" w:color="FFFFFF"/>
              <w:bottom w:val="single" w:sz="8" w:space="0" w:color="FFFFFF"/>
            </w:tcBorders>
            <w:shd w:val="clear" w:color="auto" w:fill="FFFFFF" w:themeFill="background1"/>
          </w:tcPr>
          <w:p w14:paraId="116464B0" w14:textId="77777777" w:rsidR="004D556D" w:rsidRPr="000F6CD1" w:rsidRDefault="004D556D" w:rsidP="0003231B">
            <w:pPr>
              <w:keepNext/>
              <w:spacing w:before="120" w:after="120" w:line="240" w:lineRule="auto"/>
              <w:rPr>
                <w:rFonts w:eastAsia="Yu Gothic Light"/>
                <w:b/>
              </w:rPr>
            </w:pPr>
            <w:r w:rsidRPr="000F6CD1">
              <w:rPr>
                <w:rFonts w:eastAsia="Yu Gothic Light"/>
                <w:b/>
              </w:rPr>
              <w:t>Residential Care</w:t>
            </w:r>
          </w:p>
        </w:tc>
        <w:tc>
          <w:tcPr>
            <w:tcW w:w="2701" w:type="dxa"/>
            <w:tcBorders>
              <w:bottom w:val="single" w:sz="4" w:space="0" w:color="auto"/>
            </w:tcBorders>
            <w:shd w:val="clear" w:color="auto" w:fill="FFFFFF" w:themeFill="background1"/>
            <w:tcMar>
              <w:top w:w="72" w:type="dxa"/>
              <w:left w:w="144" w:type="dxa"/>
              <w:bottom w:w="72" w:type="dxa"/>
              <w:right w:w="144" w:type="dxa"/>
            </w:tcMar>
            <w:hideMark/>
          </w:tcPr>
          <w:p w14:paraId="53776BFC" w14:textId="77777777" w:rsidR="004D556D" w:rsidRPr="000F6CD1" w:rsidRDefault="004D556D" w:rsidP="0003231B">
            <w:pPr>
              <w:keepNext/>
              <w:spacing w:before="120" w:after="120" w:line="240" w:lineRule="auto"/>
              <w:rPr>
                <w:rFonts w:eastAsia="Yu Gothic Light"/>
                <w:b/>
              </w:rPr>
            </w:pPr>
            <w:r w:rsidRPr="000F6CD1">
              <w:rPr>
                <w:rFonts w:eastAsia="Yu Gothic Light"/>
                <w:b/>
              </w:rPr>
              <w:t>Ongoing</w:t>
            </w:r>
          </w:p>
        </w:tc>
        <w:tc>
          <w:tcPr>
            <w:tcW w:w="3946" w:type="dxa"/>
            <w:tcBorders>
              <w:top w:val="single" w:sz="24" w:space="0" w:color="FFFFFF"/>
              <w:left w:val="nil"/>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2776774B" w14:textId="77777777" w:rsidR="004D556D" w:rsidRPr="000F6CD1" w:rsidRDefault="004D556D" w:rsidP="0003231B">
            <w:pPr>
              <w:keepNext/>
              <w:spacing w:before="120" w:after="120" w:line="240" w:lineRule="auto"/>
              <w:rPr>
                <w:rFonts w:eastAsia="Yu Gothic Light"/>
              </w:rPr>
            </w:pPr>
            <w:r w:rsidRPr="000F6CD1">
              <w:rPr>
                <w:rFonts w:eastAsia="Yu Gothic Light"/>
              </w:rPr>
              <w:t>Class 0</w:t>
            </w:r>
            <w:r w:rsidRPr="000F6CD1">
              <w:rPr>
                <w:rFonts w:eastAsia="Yu Gothic Light"/>
              </w:rPr>
              <w:br/>
              <w:t>Class 1 to Class 13</w:t>
            </w:r>
          </w:p>
        </w:tc>
      </w:tr>
      <w:tr w:rsidR="004D556D" w:rsidRPr="000F6CD1" w14:paraId="1D647349"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3DDA2D0A" w14:textId="77777777" w:rsidR="004D556D" w:rsidRPr="000F6CD1" w:rsidRDefault="004D556D"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75FEB3BE" w14:textId="77777777" w:rsidR="004D556D" w:rsidRPr="000F6CD1" w:rsidRDefault="004D556D" w:rsidP="0003231B">
            <w:pPr>
              <w:keepNext/>
              <w:spacing w:before="120" w:after="120" w:line="240" w:lineRule="auto"/>
              <w:rPr>
                <w:rFonts w:eastAsia="Yu Gothic Light"/>
                <w:b/>
              </w:rPr>
            </w:pPr>
            <w:r w:rsidRPr="000F6CD1">
              <w:rPr>
                <w:rFonts w:eastAsia="Yu Gothic Light"/>
                <w:b/>
              </w:rPr>
              <w:t>Short-term</w:t>
            </w:r>
          </w:p>
        </w:tc>
        <w:tc>
          <w:tcPr>
            <w:tcW w:w="3946"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hideMark/>
          </w:tcPr>
          <w:p w14:paraId="47427B6E" w14:textId="77777777" w:rsidR="004D556D" w:rsidRPr="000F6CD1" w:rsidRDefault="004D556D" w:rsidP="0003231B">
            <w:pPr>
              <w:keepNext/>
              <w:spacing w:before="120" w:after="120" w:line="240" w:lineRule="auto"/>
              <w:rPr>
                <w:rFonts w:eastAsia="Yu Gothic Light"/>
              </w:rPr>
            </w:pPr>
            <w:r w:rsidRPr="000F6CD1">
              <w:rPr>
                <w:rFonts w:eastAsia="Yu Gothic Light"/>
              </w:rPr>
              <w:t>Class 0</w:t>
            </w:r>
          </w:p>
          <w:p w14:paraId="5C860B18" w14:textId="77777777" w:rsidR="004D556D" w:rsidRPr="000F6CD1" w:rsidRDefault="004D556D" w:rsidP="0003231B">
            <w:pPr>
              <w:keepNext/>
              <w:spacing w:before="120" w:after="120" w:line="240" w:lineRule="auto"/>
              <w:rPr>
                <w:rFonts w:eastAsia="Yu Gothic Light"/>
              </w:rPr>
            </w:pPr>
            <w:r w:rsidRPr="000F6CD1">
              <w:rPr>
                <w:rFonts w:eastAsia="Yu Gothic Light"/>
              </w:rPr>
              <w:t>Respite class 1 to Respite class 3</w:t>
            </w:r>
          </w:p>
        </w:tc>
      </w:tr>
      <w:tr w:rsidR="004D556D" w:rsidRPr="000F6CD1" w14:paraId="02D8E703" w14:textId="77777777" w:rsidTr="00BF1A2E">
        <w:trPr>
          <w:trHeight w:val="584"/>
        </w:trPr>
        <w:tc>
          <w:tcPr>
            <w:tcW w:w="2359" w:type="dxa"/>
            <w:tcBorders>
              <w:top w:val="single" w:sz="8" w:space="0" w:color="FFFFFF"/>
              <w:left w:val="single" w:sz="8" w:space="0" w:color="FFFFFF"/>
              <w:bottom w:val="single" w:sz="8" w:space="0" w:color="FFFFFF"/>
              <w:right w:val="single" w:sz="8" w:space="0" w:color="FFFFFF"/>
            </w:tcBorders>
            <w:shd w:val="clear" w:color="auto" w:fill="FFFFFF" w:themeFill="background1"/>
          </w:tcPr>
          <w:p w14:paraId="31A769A6" w14:textId="77777777" w:rsidR="004D556D" w:rsidRPr="000F6CD1" w:rsidRDefault="004D556D" w:rsidP="0003231B">
            <w:pPr>
              <w:keepNext/>
              <w:spacing w:before="120" w:after="120" w:line="240" w:lineRule="auto"/>
              <w:rPr>
                <w:rFonts w:eastAsia="Yu Gothic Light"/>
                <w:b/>
              </w:rPr>
            </w:pPr>
          </w:p>
        </w:tc>
        <w:tc>
          <w:tcPr>
            <w:tcW w:w="2701"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E8CCCA2" w14:textId="77777777" w:rsidR="004D556D" w:rsidRPr="000F6CD1" w:rsidRDefault="004D556D" w:rsidP="0003231B">
            <w:pPr>
              <w:keepNext/>
              <w:spacing w:before="120" w:after="120" w:line="240" w:lineRule="auto"/>
              <w:rPr>
                <w:rFonts w:eastAsia="Yu Gothic Light"/>
                <w:b/>
              </w:rPr>
            </w:pPr>
            <w:r w:rsidRPr="000F6CD1">
              <w:rPr>
                <w:rFonts w:eastAsia="Yu Gothic Light"/>
                <w:b/>
              </w:rPr>
              <w:t>Hospital transition</w:t>
            </w:r>
          </w:p>
        </w:tc>
        <w:tc>
          <w:tcPr>
            <w:tcW w:w="3946"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7A93600E" w14:textId="77777777" w:rsidR="004D556D" w:rsidRPr="000F6CD1" w:rsidRDefault="004D556D" w:rsidP="0003231B">
            <w:pPr>
              <w:keepNext/>
              <w:spacing w:before="120" w:after="120" w:line="240" w:lineRule="auto"/>
              <w:rPr>
                <w:rFonts w:eastAsia="Yu Gothic Light"/>
              </w:rPr>
            </w:pPr>
            <w:r w:rsidRPr="000F6CD1">
              <w:rPr>
                <w:rFonts w:eastAsia="Yu Gothic Light"/>
              </w:rPr>
              <w:t>RC HT class</w:t>
            </w:r>
          </w:p>
        </w:tc>
      </w:tr>
    </w:tbl>
    <w:p w14:paraId="5622FD2F" w14:textId="77777777" w:rsidR="004D556D" w:rsidRPr="000F6CD1" w:rsidRDefault="004D556D" w:rsidP="0003231B">
      <w:pPr>
        <w:keepNext/>
        <w:spacing w:before="240" w:after="240" w:line="240" w:lineRule="auto"/>
        <w:rPr>
          <w:rFonts w:eastAsia="Yu Gothic Light"/>
        </w:rPr>
      </w:pPr>
      <w:r w:rsidRPr="000F6CD1">
        <w:rPr>
          <w:rFonts w:eastAsia="Yu Gothic Light"/>
        </w:rPr>
        <w:t xml:space="preserve">Note that </w:t>
      </w:r>
      <w:r w:rsidRPr="000F6CD1">
        <w:rPr>
          <w:rFonts w:eastAsia="Yu Gothic Light" w:hint="eastAsia"/>
        </w:rPr>
        <w:t>‘</w:t>
      </w:r>
      <w:r w:rsidRPr="000F6CD1">
        <w:rPr>
          <w:rFonts w:eastAsia="Yu Gothic Light"/>
        </w:rPr>
        <w:t>Class 0</w:t>
      </w:r>
      <w:r w:rsidRPr="000F6CD1">
        <w:rPr>
          <w:rFonts w:eastAsia="Yu Gothic Light" w:hint="eastAsia"/>
        </w:rPr>
        <w:t>’</w:t>
      </w:r>
      <w:r w:rsidRPr="000F6CD1">
        <w:rPr>
          <w:rFonts w:eastAsia="Yu Gothic Light"/>
        </w:rPr>
        <w:t xml:space="preserve"> is a default classification applied before the client has been assessed for their classification level.</w:t>
      </w:r>
    </w:p>
    <w:p w14:paraId="1757DC88" w14:textId="77777777" w:rsidR="004D556D" w:rsidRPr="000F6CD1" w:rsidRDefault="004D556D" w:rsidP="006647CE">
      <w:pPr>
        <w:pStyle w:val="h2"/>
      </w:pPr>
      <w:bookmarkStart w:id="641" w:name="_Toc199418562"/>
      <w:bookmarkStart w:id="642" w:name="_Toc199420955"/>
      <w:bookmarkStart w:id="643" w:name="_Toc209189016"/>
      <w:bookmarkStart w:id="644" w:name="_Toc233282474"/>
      <w:r w:rsidRPr="000F6CD1">
        <w:t>Approvals for service types and services</w:t>
      </w:r>
      <w:bookmarkEnd w:id="641"/>
      <w:bookmarkEnd w:id="642"/>
      <w:bookmarkEnd w:id="643"/>
      <w:bookmarkEnd w:id="644"/>
    </w:p>
    <w:p w14:paraId="20B3F977" w14:textId="77777777" w:rsidR="004D556D" w:rsidRPr="000F6CD1" w:rsidRDefault="004D556D" w:rsidP="00622CFF">
      <w:pPr>
        <w:spacing w:before="240" w:after="240" w:line="240" w:lineRule="auto"/>
        <w:rPr>
          <w:rFonts w:eastAsia="Yu Gothic Light"/>
        </w:rPr>
      </w:pPr>
      <w:r w:rsidRPr="000F6CD1">
        <w:rPr>
          <w:rFonts w:eastAsia="Yu Gothic Light"/>
        </w:rPr>
        <w:t>The Aged Care Service List is defined in the </w:t>
      </w:r>
      <w:r w:rsidRPr="008F125E">
        <w:rPr>
          <w:rFonts w:eastAsia="Yu Gothic Light"/>
          <w:i/>
          <w:iCs/>
        </w:rPr>
        <w:t>Aged Care Rules 2025</w:t>
      </w:r>
      <w:r w:rsidRPr="000F6CD1">
        <w:rPr>
          <w:rFonts w:eastAsia="Yu Gothic Light"/>
        </w:rPr>
        <w:t xml:space="preserve">. It lists the four service groups, and the service types and services within them. </w:t>
      </w:r>
    </w:p>
    <w:p w14:paraId="33761C94" w14:textId="77777777" w:rsidR="004D556D" w:rsidRPr="000F6CD1" w:rsidRDefault="004D556D" w:rsidP="00806A21">
      <w:pPr>
        <w:pStyle w:val="Sub-headings"/>
        <w:rPr>
          <w:rFonts w:eastAsia="Yu Gothic Light"/>
        </w:rPr>
      </w:pPr>
      <w:r w:rsidRPr="00FF5A29">
        <w:rPr>
          <w:rFonts w:eastAsia="Yu Gothic Light"/>
        </w:rPr>
        <w:t>Important:</w:t>
      </w:r>
      <w:r w:rsidRPr="000F6CD1">
        <w:rPr>
          <w:rFonts w:eastAsia="Yu Gothic Light"/>
        </w:rPr>
        <w:t xml:space="preserve"> </w:t>
      </w:r>
    </w:p>
    <w:p w14:paraId="55332524" w14:textId="77777777" w:rsidR="004D556D" w:rsidRPr="000F6CD1" w:rsidRDefault="004D556D" w:rsidP="00806A21">
      <w:pPr>
        <w:pStyle w:val="Sub-headings"/>
        <w:rPr>
          <w:b/>
        </w:rPr>
      </w:pPr>
      <w:r w:rsidRPr="000F6CD1">
        <w:rPr>
          <w:rFonts w:eastAsia="Yu Gothic Light"/>
        </w:rPr>
        <w:t>For an Aboriginal or Torres Strait Islander person, an Assessment Delegate only needs to approve them for one or more service groups. They are automatically approved for all the service types and services in any service group they are approved for.</w:t>
      </w:r>
    </w:p>
    <w:p w14:paraId="2624CBF1"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 xml:space="preserve">If the older person is </w:t>
      </w:r>
      <w:r w:rsidRPr="000F6CD1">
        <w:rPr>
          <w:rFonts w:eastAsia="Yu Gothic Light"/>
          <w:u w:val="single"/>
        </w:rPr>
        <w:t>not</w:t>
      </w:r>
      <w:r w:rsidRPr="000F6CD1">
        <w:rPr>
          <w:rFonts w:eastAsia="Yu Gothic Light"/>
        </w:rPr>
        <w:t xml:space="preserve"> an Aboriginal or Torres Strait Islander person, and an Assessment Delegate is approving the Home Support, Assistive Technology or Home Modifications service groups, they must decide:</w:t>
      </w:r>
    </w:p>
    <w:p w14:paraId="6CB0ABAC" w14:textId="77777777" w:rsidR="004D556D" w:rsidRPr="000F6CD1" w:rsidRDefault="004D556D" w:rsidP="00DF3F6B">
      <w:pPr>
        <w:numPr>
          <w:ilvl w:val="0"/>
          <w:numId w:val="240"/>
        </w:numPr>
        <w:spacing w:before="240" w:after="240" w:line="240" w:lineRule="auto"/>
        <w:rPr>
          <w:rFonts w:eastAsia="Yu Gothic Light"/>
        </w:rPr>
      </w:pPr>
      <w:r w:rsidRPr="000F6CD1">
        <w:rPr>
          <w:rFonts w:eastAsia="Yu Gothic Light"/>
        </w:rPr>
        <w:t xml:space="preserve">which </w:t>
      </w:r>
      <w:r w:rsidRPr="000F6CD1">
        <w:rPr>
          <w:rFonts w:eastAsia="Yu Gothic Light"/>
          <w:b/>
          <w:bCs/>
        </w:rPr>
        <w:t>service types</w:t>
      </w:r>
      <w:r w:rsidRPr="000F6CD1">
        <w:rPr>
          <w:rFonts w:eastAsia="Yu Gothic Light"/>
        </w:rPr>
        <w:t xml:space="preserve"> to approve within each service group</w:t>
      </w:r>
    </w:p>
    <w:p w14:paraId="50B6DE7E" w14:textId="77777777" w:rsidR="004D556D" w:rsidRPr="000F6CD1" w:rsidRDefault="004D556D" w:rsidP="00DF3F6B">
      <w:pPr>
        <w:numPr>
          <w:ilvl w:val="0"/>
          <w:numId w:val="240"/>
        </w:numPr>
        <w:spacing w:before="240" w:after="240" w:line="240" w:lineRule="auto"/>
        <w:rPr>
          <w:rFonts w:eastAsia="Yu Gothic Light"/>
        </w:rPr>
      </w:pPr>
      <w:r w:rsidRPr="000F6CD1">
        <w:rPr>
          <w:rFonts w:eastAsia="Yu Gothic Light"/>
        </w:rPr>
        <w:t xml:space="preserve">which </w:t>
      </w:r>
      <w:r w:rsidRPr="000F6CD1">
        <w:rPr>
          <w:rFonts w:eastAsia="Yu Gothic Light"/>
          <w:b/>
          <w:bCs/>
        </w:rPr>
        <w:t xml:space="preserve">services </w:t>
      </w:r>
      <w:r w:rsidRPr="000F6CD1">
        <w:rPr>
          <w:rFonts w:eastAsia="Yu Gothic Light"/>
        </w:rPr>
        <w:t xml:space="preserve">to approve, but </w:t>
      </w:r>
      <w:r w:rsidRPr="000F6CD1">
        <w:rPr>
          <w:rFonts w:eastAsia="Yu Gothic Light"/>
          <w:b/>
          <w:bCs/>
        </w:rPr>
        <w:t>only if they are being approved for the following ‘prescribed’ service types</w:t>
      </w:r>
      <w:r w:rsidRPr="000F6CD1">
        <w:rPr>
          <w:rFonts w:eastAsia="Yu Gothic Light"/>
        </w:rPr>
        <w:t xml:space="preserve">: </w:t>
      </w:r>
      <w:r w:rsidRPr="000F6CD1">
        <w:rPr>
          <w:rFonts w:eastAsia="Yu Gothic Light"/>
          <w:i/>
          <w:iCs/>
        </w:rPr>
        <w:t>Allied health and Therapy</w:t>
      </w:r>
      <w:r w:rsidRPr="000F6CD1">
        <w:rPr>
          <w:rFonts w:eastAsia="Yu Gothic Light"/>
        </w:rPr>
        <w:t xml:space="preserve"> and </w:t>
      </w:r>
      <w:r w:rsidRPr="000F6CD1">
        <w:rPr>
          <w:rFonts w:eastAsia="Yu Gothic Light"/>
          <w:i/>
          <w:iCs/>
        </w:rPr>
        <w:t>Therapeutic Services for Independent Living.</w:t>
      </w:r>
    </w:p>
    <w:p w14:paraId="12826F1A" w14:textId="77777777" w:rsidR="004D556D" w:rsidRPr="000F6CD1" w:rsidRDefault="004D556D" w:rsidP="00806A21">
      <w:pPr>
        <w:pStyle w:val="Sub-headings"/>
      </w:pPr>
      <w:r w:rsidRPr="000F6CD1">
        <w:t>Note:</w:t>
      </w:r>
    </w:p>
    <w:p w14:paraId="30ECFE6E" w14:textId="77777777" w:rsidR="004D556D" w:rsidRPr="000F6CD1" w:rsidRDefault="004D556D" w:rsidP="00806A21">
      <w:pPr>
        <w:pStyle w:val="Sub-headings"/>
      </w:pPr>
      <w:r w:rsidRPr="000F6CD1">
        <w:t>If an Assessment Delegate is approving an older person for any service type other than the ‘prescribed’ service types (Allied health and Therapy and Therapeutic Services for Independent Living), they are also approved for all services in that service type.</w:t>
      </w:r>
    </w:p>
    <w:p w14:paraId="310B302A" w14:textId="585B7F6D" w:rsidR="004D556D" w:rsidRPr="000F6CD1" w:rsidRDefault="004D556D" w:rsidP="00622CFF">
      <w:pPr>
        <w:spacing w:before="240" w:after="240" w:line="240" w:lineRule="auto"/>
        <w:rPr>
          <w:rFonts w:eastAsia="Yu Gothic Light"/>
        </w:rPr>
      </w:pPr>
      <w:r w:rsidRPr="000F6CD1">
        <w:rPr>
          <w:rFonts w:eastAsia="Yu Gothic Light"/>
        </w:rPr>
        <w:t xml:space="preserve">Any older person approved for the residential care service group is automatically approved for </w:t>
      </w:r>
      <w:r w:rsidRPr="000F6CD1">
        <w:rPr>
          <w:rFonts w:eastAsia="Yu Gothic Light"/>
          <w:b/>
          <w:bCs/>
        </w:rPr>
        <w:t>all service types and services in that service group</w:t>
      </w:r>
      <w:r w:rsidR="00503D87">
        <w:rPr>
          <w:rFonts w:eastAsia="Yu Gothic Light"/>
          <w:b/>
          <w:bCs/>
        </w:rPr>
        <w:t xml:space="preserve">. </w:t>
      </w:r>
      <w:r w:rsidRPr="000F6CD1">
        <w:rPr>
          <w:rFonts w:eastAsia="Yu Gothic Light"/>
        </w:rPr>
        <w:t>Section 65(2) of the Act has more information about these requirements.</w:t>
      </w:r>
    </w:p>
    <w:p w14:paraId="1543994C" w14:textId="77777777" w:rsidR="004D556D" w:rsidRPr="000F6CD1" w:rsidRDefault="004D556D" w:rsidP="006647CE">
      <w:pPr>
        <w:pStyle w:val="h2"/>
      </w:pPr>
      <w:bookmarkStart w:id="645" w:name="_Toc209189017"/>
      <w:bookmarkStart w:id="646" w:name="_Toc233282475"/>
      <w:r w:rsidRPr="000F6CD1">
        <w:t>Approvals for priority categories</w:t>
      </w:r>
      <w:bookmarkEnd w:id="645"/>
      <w:bookmarkEnd w:id="646"/>
    </w:p>
    <w:p w14:paraId="5D5CAA83" w14:textId="77777777" w:rsidR="004D556D" w:rsidRPr="000F6CD1" w:rsidRDefault="004D556D" w:rsidP="00622CFF">
      <w:pPr>
        <w:spacing w:before="240" w:after="240" w:line="240" w:lineRule="auto"/>
        <w:rPr>
          <w:rFonts w:eastAsia="Yu Gothic Light"/>
        </w:rPr>
      </w:pPr>
      <w:r w:rsidRPr="000F6CD1">
        <w:rPr>
          <w:rFonts w:eastAsia="Yu Gothic Light"/>
        </w:rPr>
        <w:t xml:space="preserve">Priority categories are assigned to individuals (under section 86 of the </w:t>
      </w:r>
      <w:r w:rsidRPr="002C7D2B">
        <w:rPr>
          <w:rFonts w:eastAsia="Yu Gothic Light"/>
          <w:i/>
          <w:iCs/>
        </w:rPr>
        <w:t>Aged Care Act 2024</w:t>
      </w:r>
      <w:r w:rsidRPr="000F6CD1">
        <w:rPr>
          <w:rFonts w:eastAsia="Yu Gothic Light"/>
        </w:rPr>
        <w:t xml:space="preserve"> (the Act)) to determine when certain services are allocated under section 92 of the Act. These categories are based on the assessed urgency of need, complexity of care requirements and potential risks associated with delayed support. </w:t>
      </w:r>
    </w:p>
    <w:p w14:paraId="47063C61" w14:textId="77777777" w:rsidR="004D556D" w:rsidRPr="000F6CD1" w:rsidRDefault="004D556D" w:rsidP="00622CFF">
      <w:pPr>
        <w:spacing w:before="240" w:after="240" w:line="240" w:lineRule="auto"/>
        <w:rPr>
          <w:rFonts w:eastAsia="Yu Gothic Light"/>
        </w:rPr>
      </w:pPr>
      <w:r w:rsidRPr="000F6CD1">
        <w:rPr>
          <w:rFonts w:eastAsia="Yu Gothic Light"/>
        </w:rPr>
        <w:t>The Assessment Delegate does not make decisions on priority category under the Act.</w:t>
      </w:r>
      <w:r w:rsidRPr="000F6CD1">
        <w:rPr>
          <w:rFonts w:eastAsia="Yu Gothic Light"/>
          <w:b/>
          <w:bCs/>
        </w:rPr>
        <w:t xml:space="preserve"> </w:t>
      </w:r>
      <w:r w:rsidRPr="000F6CD1">
        <w:rPr>
          <w:rFonts w:eastAsia="Yu Gothic Light"/>
        </w:rPr>
        <w:t xml:space="preserve">Priority categories are assigned by the system (assessor portal). However, Assessment Delegates are responsible for ensuring the correct information is used to calculate any priority category and communicating any priority category decision to the older person. </w:t>
      </w:r>
    </w:p>
    <w:p w14:paraId="55473871" w14:textId="2EC579B5" w:rsidR="004D556D" w:rsidRPr="000F6CD1" w:rsidRDefault="000F06D0" w:rsidP="00622CFF">
      <w:pPr>
        <w:spacing w:before="240" w:after="240" w:line="240" w:lineRule="auto"/>
        <w:rPr>
          <w:rFonts w:eastAsia="Yu Gothic Light"/>
        </w:rPr>
      </w:pPr>
      <w:r>
        <w:rPr>
          <w:rFonts w:eastAsia="Yu Gothic Light"/>
        </w:rPr>
        <w:t xml:space="preserve">Priority categories are required to be assigned </w:t>
      </w:r>
      <w:r w:rsidR="004D556D" w:rsidRPr="000F6CD1">
        <w:rPr>
          <w:rFonts w:eastAsia="Yu Gothic Light"/>
        </w:rPr>
        <w:t>for an individual for the following service groups and classification types:</w:t>
      </w:r>
    </w:p>
    <w:p w14:paraId="284D33C6" w14:textId="77777777" w:rsidR="004D556D" w:rsidRPr="000F6CD1" w:rsidRDefault="004D556D" w:rsidP="00DF3F6B">
      <w:pPr>
        <w:numPr>
          <w:ilvl w:val="0"/>
          <w:numId w:val="214"/>
        </w:numPr>
        <w:spacing w:before="240" w:after="240" w:line="240" w:lineRule="auto"/>
        <w:contextualSpacing/>
        <w:rPr>
          <w:rFonts w:eastAsia="Yu Gothic Light"/>
        </w:rPr>
      </w:pPr>
      <w:r w:rsidRPr="000F6CD1">
        <w:rPr>
          <w:rFonts w:eastAsia="Yu Gothic Light"/>
        </w:rPr>
        <w:t>Home support – ongoing (excluding CHSP class)</w:t>
      </w:r>
    </w:p>
    <w:p w14:paraId="34C7FBE9" w14:textId="77777777" w:rsidR="004D556D" w:rsidRPr="000F6CD1" w:rsidRDefault="004D556D" w:rsidP="00DF3F6B">
      <w:pPr>
        <w:numPr>
          <w:ilvl w:val="0"/>
          <w:numId w:val="214"/>
        </w:numPr>
        <w:spacing w:before="240" w:after="240" w:line="240" w:lineRule="auto"/>
        <w:contextualSpacing/>
        <w:rPr>
          <w:rFonts w:eastAsia="Yu Gothic Light"/>
        </w:rPr>
      </w:pPr>
      <w:r w:rsidRPr="000F6CD1">
        <w:rPr>
          <w:rFonts w:eastAsia="Yu Gothic Light"/>
        </w:rPr>
        <w:t>Assistive technology – ongoing and short-term</w:t>
      </w:r>
    </w:p>
    <w:p w14:paraId="7717F055" w14:textId="77777777" w:rsidR="004D556D" w:rsidRPr="000F6CD1" w:rsidRDefault="004D556D" w:rsidP="00DF3F6B">
      <w:pPr>
        <w:numPr>
          <w:ilvl w:val="0"/>
          <w:numId w:val="214"/>
        </w:numPr>
        <w:spacing w:before="240" w:after="240" w:line="240" w:lineRule="auto"/>
        <w:contextualSpacing/>
        <w:rPr>
          <w:rFonts w:eastAsia="Yu Gothic Light"/>
        </w:rPr>
      </w:pPr>
      <w:r w:rsidRPr="000F6CD1">
        <w:rPr>
          <w:rFonts w:eastAsia="Yu Gothic Light"/>
        </w:rPr>
        <w:t>Home modifications – short-term</w:t>
      </w:r>
    </w:p>
    <w:p w14:paraId="6C6BF326" w14:textId="77777777" w:rsidR="004D556D" w:rsidRPr="000F6CD1" w:rsidRDefault="004D556D" w:rsidP="00DF3F6B">
      <w:pPr>
        <w:numPr>
          <w:ilvl w:val="0"/>
          <w:numId w:val="214"/>
        </w:numPr>
        <w:spacing w:before="240" w:after="240" w:line="240" w:lineRule="auto"/>
        <w:contextualSpacing/>
        <w:rPr>
          <w:rFonts w:eastAsia="Yu Gothic Light"/>
        </w:rPr>
      </w:pPr>
      <w:r w:rsidRPr="000F6CD1">
        <w:rPr>
          <w:rFonts w:eastAsia="Yu Gothic Light"/>
        </w:rPr>
        <w:t xml:space="preserve">Residential care – ongoing </w:t>
      </w:r>
    </w:p>
    <w:p w14:paraId="045BE5D4" w14:textId="77777777" w:rsidR="004D556D" w:rsidRPr="000F6CD1" w:rsidRDefault="004D556D" w:rsidP="00622CFF">
      <w:pPr>
        <w:spacing w:before="240" w:after="240" w:line="240" w:lineRule="auto"/>
        <w:rPr>
          <w:rFonts w:eastAsia="Yu Gothic Light"/>
          <w:bCs/>
        </w:rPr>
      </w:pPr>
    </w:p>
    <w:p w14:paraId="548CB494" w14:textId="77777777" w:rsidR="004D556D" w:rsidRPr="000F6CD1" w:rsidRDefault="004D556D" w:rsidP="00622CFF">
      <w:pPr>
        <w:spacing w:before="240" w:after="240" w:line="240" w:lineRule="auto"/>
        <w:rPr>
          <w:rFonts w:eastAsia="Yu Gothic Light"/>
          <w:bCs/>
        </w:rPr>
      </w:pPr>
      <w:r w:rsidRPr="000F6CD1">
        <w:rPr>
          <w:rFonts w:eastAsia="Yu Gothic Light"/>
          <w:bCs/>
        </w:rPr>
        <w:t>In practice, this looks like the following: </w:t>
      </w:r>
    </w:p>
    <w:p w14:paraId="34F8854E" w14:textId="77777777" w:rsidR="004D556D" w:rsidRPr="000F6CD1" w:rsidRDefault="004D556D" w:rsidP="00DF3F6B">
      <w:pPr>
        <w:numPr>
          <w:ilvl w:val="0"/>
          <w:numId w:val="241"/>
        </w:numPr>
        <w:spacing w:before="240" w:after="240" w:line="240" w:lineRule="auto"/>
        <w:rPr>
          <w:rFonts w:eastAsia="Yu Gothic Light"/>
          <w:bCs/>
        </w:rPr>
      </w:pPr>
      <w:r w:rsidRPr="000F6CD1">
        <w:rPr>
          <w:rFonts w:eastAsia="Yu Gothic Light"/>
          <w:bCs/>
        </w:rPr>
        <w:t xml:space="preserve">The aged care needs assessment is carried out. </w:t>
      </w:r>
    </w:p>
    <w:p w14:paraId="3D1EDE9F" w14:textId="77777777" w:rsidR="004D556D" w:rsidRPr="000F6CD1" w:rsidRDefault="004D556D" w:rsidP="00DF3F6B">
      <w:pPr>
        <w:numPr>
          <w:ilvl w:val="0"/>
          <w:numId w:val="242"/>
        </w:numPr>
        <w:spacing w:before="240" w:after="240" w:line="240" w:lineRule="auto"/>
        <w:rPr>
          <w:rFonts w:eastAsia="Yu Gothic Light"/>
          <w:bCs/>
        </w:rPr>
      </w:pPr>
      <w:r w:rsidRPr="000F6CD1">
        <w:rPr>
          <w:rFonts w:eastAsia="Yu Gothic Light"/>
          <w:bCs/>
        </w:rPr>
        <w:t>A priority category is calculated and assigned by the system (</w:t>
      </w:r>
      <w:r w:rsidRPr="000F6CD1">
        <w:rPr>
          <w:rFonts w:eastAsia="Yu Gothic Light"/>
          <w:b/>
          <w:bCs/>
        </w:rPr>
        <w:t>not</w:t>
      </w:r>
      <w:r w:rsidRPr="000F6CD1">
        <w:rPr>
          <w:rFonts w:eastAsia="Yu Gothic Light"/>
          <w:bCs/>
        </w:rPr>
        <w:t xml:space="preserve"> the assessor) at the end of an assessment. In some cases, there is only one applicable priority category. </w:t>
      </w:r>
    </w:p>
    <w:p w14:paraId="644F5912" w14:textId="77777777" w:rsidR="004D556D" w:rsidRPr="000F6CD1" w:rsidRDefault="004D556D" w:rsidP="00DF3F6B">
      <w:pPr>
        <w:numPr>
          <w:ilvl w:val="0"/>
          <w:numId w:val="243"/>
        </w:numPr>
        <w:spacing w:before="240" w:after="240" w:line="240" w:lineRule="auto"/>
        <w:rPr>
          <w:rFonts w:eastAsia="Yu Gothic Light"/>
          <w:bCs/>
        </w:rPr>
      </w:pPr>
      <w:r w:rsidRPr="000F6CD1">
        <w:rPr>
          <w:rFonts w:eastAsia="Yu Gothic Light"/>
          <w:bCs/>
        </w:rPr>
        <w:t>The assessment delegate confirms the information that has been used to calculate the priority category.</w:t>
      </w:r>
    </w:p>
    <w:p w14:paraId="5318E32D" w14:textId="77777777" w:rsidR="004D556D" w:rsidRPr="000F6CD1" w:rsidRDefault="004D556D" w:rsidP="00DF3F6B">
      <w:pPr>
        <w:numPr>
          <w:ilvl w:val="0"/>
          <w:numId w:val="244"/>
        </w:numPr>
        <w:spacing w:before="240" w:after="240" w:line="240" w:lineRule="auto"/>
        <w:rPr>
          <w:rFonts w:eastAsia="Yu Gothic Light"/>
          <w:bCs/>
        </w:rPr>
      </w:pPr>
      <w:r w:rsidRPr="000F6CD1">
        <w:rPr>
          <w:rFonts w:eastAsia="Yu Gothic Light"/>
          <w:bCs/>
        </w:rPr>
        <w:t xml:space="preserve">The priority category is pre-populated into the Notice of Decision (the assessment outcome letter). </w:t>
      </w:r>
    </w:p>
    <w:p w14:paraId="7CD014CE" w14:textId="77777777" w:rsidR="004D556D" w:rsidRPr="000F6CD1" w:rsidRDefault="004D556D" w:rsidP="00622CFF">
      <w:pPr>
        <w:spacing w:before="240" w:after="240" w:line="240" w:lineRule="auto"/>
        <w:rPr>
          <w:rFonts w:eastAsia="Yu Gothic Light"/>
          <w:bCs/>
        </w:rPr>
      </w:pPr>
      <w:r w:rsidRPr="000F6CD1">
        <w:rPr>
          <w:rFonts w:eastAsia="Yu Gothic Light"/>
          <w:bCs/>
        </w:rPr>
        <w:lastRenderedPageBreak/>
        <w:t>Approvals for Transition Care, End-of-Life Pathway, Restorative Care Pathway, short-term residential care (respite care), and CHSP class do not require a priority category. The Notice of Decision template marks the priority category for these as ‘N/A,’ you should leave these fields unchanged. </w:t>
      </w:r>
    </w:p>
    <w:p w14:paraId="7A08C4CD" w14:textId="5156517A" w:rsidR="004D556D" w:rsidRPr="00503D87" w:rsidRDefault="004D556D" w:rsidP="00D24DB4">
      <w:pPr>
        <w:spacing w:before="240" w:after="240" w:line="240" w:lineRule="auto"/>
        <w:rPr>
          <w:rFonts w:eastAsia="Yu Gothic Light"/>
          <w:bCs/>
        </w:rPr>
      </w:pPr>
      <w:r w:rsidRPr="000F6CD1">
        <w:rPr>
          <w:rFonts w:eastAsia="Yu Gothic Light"/>
          <w:bCs/>
        </w:rPr>
        <w:t>The below table summarises the service groups, classification types, classification levels, and priority categories covered in this section. </w:t>
      </w:r>
    </w:p>
    <w:p w14:paraId="03D7EF71" w14:textId="733CC4FA" w:rsidR="004D556D" w:rsidRPr="000F6CD1" w:rsidRDefault="004D556D" w:rsidP="00622CFF">
      <w:pPr>
        <w:pStyle w:val="Caption"/>
        <w:spacing w:before="240" w:after="240"/>
        <w:rPr>
          <w:rFonts w:eastAsia="Yu Gothic Light"/>
        </w:rPr>
      </w:pPr>
      <w:r w:rsidRPr="000F6CD1">
        <w:rPr>
          <w:rFonts w:eastAsia="Yu Gothic Light"/>
        </w:rPr>
        <w:t>Table 4</w:t>
      </w:r>
      <w:r w:rsidR="005020D7">
        <w:rPr>
          <w:rFonts w:eastAsia="Yu Gothic Light"/>
        </w:rPr>
        <w:t>4</w:t>
      </w:r>
      <w:r w:rsidRPr="000F6CD1">
        <w:rPr>
          <w:rFonts w:eastAsia="Yu Gothic Light"/>
        </w:rPr>
        <w:t>. Priority categories for service groups, classification types and classification levels</w:t>
      </w:r>
    </w:p>
    <w:tbl>
      <w:tblPr>
        <w:tblW w:w="9010"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iority categories for service groups, classificiation types and classification levels"/>
        <w:tblDescription w:val="The table provides an overview of priority categories for service groups, classificiation types and classification levels"/>
      </w:tblPr>
      <w:tblGrid>
        <w:gridCol w:w="1770"/>
        <w:gridCol w:w="1650"/>
        <w:gridCol w:w="2838"/>
        <w:gridCol w:w="2752"/>
      </w:tblGrid>
      <w:tr w:rsidR="004D556D" w:rsidRPr="000F6CD1" w14:paraId="59AF288E" w14:textId="77777777">
        <w:trPr>
          <w:trHeight w:val="570"/>
          <w:tblHeader/>
        </w:trPr>
        <w:tc>
          <w:tcPr>
            <w:tcW w:w="1770" w:type="dxa"/>
            <w:shd w:val="clear" w:color="auto" w:fill="002060"/>
            <w:hideMark/>
          </w:tcPr>
          <w:p w14:paraId="0E09669F" w14:textId="77777777" w:rsidR="004D556D" w:rsidRPr="000F6CD1" w:rsidRDefault="004D556D" w:rsidP="005960D3">
            <w:pPr>
              <w:spacing w:before="120" w:after="120" w:line="240" w:lineRule="auto"/>
              <w:textAlignment w:val="baseline"/>
              <w:rPr>
                <w:rFonts w:eastAsia="Times New Roman"/>
                <w:color w:val="FFFFFF"/>
                <w:szCs w:val="22"/>
              </w:rPr>
            </w:pPr>
            <w:r w:rsidRPr="000F6CD1">
              <w:rPr>
                <w:rFonts w:eastAsia="Times New Roman"/>
                <w:b/>
                <w:color w:val="FFFFFF"/>
                <w:szCs w:val="22"/>
              </w:rPr>
              <w:t>Service group</w:t>
            </w:r>
            <w:r w:rsidRPr="000F6CD1">
              <w:rPr>
                <w:rFonts w:eastAsia="Times New Roman"/>
                <w:color w:val="FFFFFF"/>
                <w:szCs w:val="22"/>
              </w:rPr>
              <w:t> </w:t>
            </w:r>
          </w:p>
        </w:tc>
        <w:tc>
          <w:tcPr>
            <w:tcW w:w="1650" w:type="dxa"/>
            <w:shd w:val="clear" w:color="auto" w:fill="002060"/>
            <w:hideMark/>
          </w:tcPr>
          <w:p w14:paraId="19B28774" w14:textId="77777777" w:rsidR="004D556D" w:rsidRPr="000F6CD1" w:rsidRDefault="004D556D" w:rsidP="005960D3">
            <w:pPr>
              <w:spacing w:before="120" w:after="120" w:line="240" w:lineRule="auto"/>
              <w:textAlignment w:val="baseline"/>
              <w:rPr>
                <w:rFonts w:eastAsia="Times New Roman"/>
                <w:color w:val="FFFFFF"/>
                <w:szCs w:val="22"/>
              </w:rPr>
            </w:pPr>
            <w:r w:rsidRPr="000F6CD1">
              <w:rPr>
                <w:rFonts w:eastAsia="Times New Roman"/>
                <w:b/>
                <w:color w:val="FFFFFF"/>
                <w:szCs w:val="22"/>
              </w:rPr>
              <w:t>Classification type</w:t>
            </w:r>
            <w:r w:rsidRPr="000F6CD1">
              <w:rPr>
                <w:rFonts w:eastAsia="Times New Roman"/>
                <w:color w:val="FFFFFF"/>
                <w:szCs w:val="22"/>
              </w:rPr>
              <w:t> </w:t>
            </w:r>
          </w:p>
        </w:tc>
        <w:tc>
          <w:tcPr>
            <w:tcW w:w="2838" w:type="dxa"/>
            <w:shd w:val="clear" w:color="auto" w:fill="002060"/>
            <w:hideMark/>
          </w:tcPr>
          <w:p w14:paraId="71032EA0" w14:textId="77777777" w:rsidR="004D556D" w:rsidRPr="000F6CD1" w:rsidRDefault="004D556D" w:rsidP="005960D3">
            <w:pPr>
              <w:spacing w:before="120" w:after="120" w:line="240" w:lineRule="auto"/>
              <w:textAlignment w:val="baseline"/>
              <w:rPr>
                <w:rFonts w:eastAsia="Times New Roman"/>
                <w:color w:val="FFFFFF"/>
                <w:szCs w:val="22"/>
              </w:rPr>
            </w:pPr>
            <w:r w:rsidRPr="000F6CD1">
              <w:rPr>
                <w:rFonts w:eastAsia="Times New Roman"/>
                <w:b/>
                <w:color w:val="FFFFFF"/>
                <w:szCs w:val="22"/>
              </w:rPr>
              <w:t>Classification level</w:t>
            </w:r>
            <w:r w:rsidRPr="000F6CD1">
              <w:rPr>
                <w:rFonts w:eastAsia="Times New Roman"/>
                <w:color w:val="FFFFFF"/>
                <w:szCs w:val="22"/>
              </w:rPr>
              <w:t> </w:t>
            </w:r>
            <w:r w:rsidRPr="000F6CD1">
              <w:rPr>
                <w:rFonts w:eastAsia="Times New Roman"/>
                <w:color w:val="FFFFFF"/>
                <w:szCs w:val="22"/>
              </w:rPr>
              <w:br/>
            </w:r>
            <w:r w:rsidRPr="000F6CD1">
              <w:rPr>
                <w:rFonts w:eastAsia="Times New Roman"/>
                <w:i/>
                <w:color w:val="FFFFFF"/>
                <w:szCs w:val="22"/>
              </w:rPr>
              <w:t xml:space="preserve">Referred to as </w:t>
            </w:r>
            <w:r w:rsidRPr="000F6CD1">
              <w:rPr>
                <w:rFonts w:eastAsia="Times New Roman"/>
                <w:color w:val="FFFFFF"/>
                <w:szCs w:val="22"/>
              </w:rPr>
              <w:t> </w:t>
            </w:r>
            <w:r w:rsidRPr="000F6CD1">
              <w:rPr>
                <w:rFonts w:eastAsia="Times New Roman"/>
                <w:color w:val="FFFFFF"/>
                <w:szCs w:val="22"/>
              </w:rPr>
              <w:br/>
            </w:r>
            <w:r w:rsidRPr="000F6CD1">
              <w:rPr>
                <w:rFonts w:eastAsia="Times New Roman"/>
                <w:i/>
                <w:color w:val="FFFFFF"/>
                <w:szCs w:val="22"/>
              </w:rPr>
              <w:t xml:space="preserve">‘funding tiers’ </w:t>
            </w:r>
            <w:r w:rsidRPr="000F6CD1">
              <w:rPr>
                <w:rFonts w:eastAsia="Times New Roman"/>
                <w:color w:val="FFFFFF"/>
                <w:szCs w:val="22"/>
              </w:rPr>
              <w:t> </w:t>
            </w:r>
            <w:r w:rsidRPr="000F6CD1">
              <w:rPr>
                <w:rFonts w:eastAsia="Times New Roman"/>
                <w:color w:val="FFFFFF"/>
                <w:szCs w:val="22"/>
              </w:rPr>
              <w:br/>
            </w:r>
            <w:r w:rsidRPr="000F6CD1">
              <w:rPr>
                <w:rFonts w:eastAsia="Times New Roman"/>
                <w:i/>
                <w:color w:val="FFFFFF"/>
                <w:szCs w:val="22"/>
              </w:rPr>
              <w:t>for AT and HM</w:t>
            </w:r>
            <w:r w:rsidRPr="000F6CD1">
              <w:rPr>
                <w:rFonts w:eastAsia="Times New Roman"/>
                <w:color w:val="FFFFFF"/>
                <w:szCs w:val="22"/>
              </w:rPr>
              <w:t> </w:t>
            </w:r>
          </w:p>
        </w:tc>
        <w:tc>
          <w:tcPr>
            <w:tcW w:w="2752" w:type="dxa"/>
            <w:shd w:val="clear" w:color="auto" w:fill="002060"/>
            <w:hideMark/>
          </w:tcPr>
          <w:p w14:paraId="2220A6E3" w14:textId="77777777" w:rsidR="004D556D" w:rsidRPr="000F6CD1" w:rsidRDefault="004D556D" w:rsidP="005960D3">
            <w:pPr>
              <w:spacing w:before="120" w:after="120" w:line="240" w:lineRule="auto"/>
              <w:textAlignment w:val="baseline"/>
              <w:rPr>
                <w:rFonts w:eastAsia="Times New Roman"/>
                <w:color w:val="FFFFFF"/>
                <w:szCs w:val="22"/>
              </w:rPr>
            </w:pPr>
            <w:r w:rsidRPr="000F6CD1">
              <w:rPr>
                <w:rFonts w:eastAsia="Times New Roman"/>
                <w:b/>
                <w:color w:val="FFFFFF"/>
                <w:szCs w:val="22"/>
              </w:rPr>
              <w:t>Priority category</w:t>
            </w:r>
            <w:r w:rsidRPr="000F6CD1">
              <w:rPr>
                <w:rFonts w:eastAsia="Times New Roman"/>
                <w:color w:val="FFFFFF"/>
                <w:szCs w:val="22"/>
              </w:rPr>
              <w:t> </w:t>
            </w:r>
          </w:p>
        </w:tc>
      </w:tr>
      <w:tr w:rsidR="004D556D" w:rsidRPr="000F6CD1" w14:paraId="501C2FF8" w14:textId="77777777">
        <w:trPr>
          <w:trHeight w:val="570"/>
        </w:trPr>
        <w:tc>
          <w:tcPr>
            <w:tcW w:w="1770" w:type="dxa"/>
            <w:vMerge w:val="restart"/>
            <w:hideMark/>
          </w:tcPr>
          <w:p w14:paraId="2FB3C47A"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b/>
                <w:szCs w:val="22"/>
              </w:rPr>
              <w:t>Home support</w:t>
            </w:r>
            <w:r w:rsidRPr="000F6CD1">
              <w:rPr>
                <w:rFonts w:eastAsia="Times New Roman"/>
                <w:szCs w:val="22"/>
              </w:rPr>
              <w:t> </w:t>
            </w:r>
          </w:p>
        </w:tc>
        <w:tc>
          <w:tcPr>
            <w:tcW w:w="1650" w:type="dxa"/>
            <w:hideMark/>
          </w:tcPr>
          <w:p w14:paraId="1E853D96"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Ongoing </w:t>
            </w:r>
          </w:p>
        </w:tc>
        <w:tc>
          <w:tcPr>
            <w:tcW w:w="2838" w:type="dxa"/>
            <w:hideMark/>
          </w:tcPr>
          <w:p w14:paraId="78985EFB"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SAH class 1 SAH class 8 </w:t>
            </w:r>
          </w:p>
        </w:tc>
        <w:tc>
          <w:tcPr>
            <w:tcW w:w="2752" w:type="dxa"/>
            <w:hideMark/>
          </w:tcPr>
          <w:p w14:paraId="0880CBEE"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Urgent, High, Medium, Standard </w:t>
            </w:r>
          </w:p>
        </w:tc>
      </w:tr>
      <w:tr w:rsidR="004D556D" w:rsidRPr="000F6CD1" w14:paraId="1D39616E" w14:textId="77777777">
        <w:trPr>
          <w:trHeight w:val="570"/>
        </w:trPr>
        <w:tc>
          <w:tcPr>
            <w:tcW w:w="0" w:type="auto"/>
            <w:vMerge/>
            <w:vAlign w:val="center"/>
            <w:hideMark/>
          </w:tcPr>
          <w:p w14:paraId="64691402" w14:textId="77777777" w:rsidR="004D556D" w:rsidRPr="000F6CD1" w:rsidRDefault="004D556D" w:rsidP="005960D3">
            <w:pPr>
              <w:spacing w:before="120" w:after="120" w:line="240" w:lineRule="auto"/>
              <w:rPr>
                <w:rFonts w:eastAsia="Times New Roman"/>
                <w:szCs w:val="22"/>
              </w:rPr>
            </w:pPr>
          </w:p>
        </w:tc>
        <w:tc>
          <w:tcPr>
            <w:tcW w:w="1650" w:type="dxa"/>
            <w:hideMark/>
          </w:tcPr>
          <w:p w14:paraId="2E31858B"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Ongoing </w:t>
            </w:r>
          </w:p>
        </w:tc>
        <w:tc>
          <w:tcPr>
            <w:tcW w:w="2838" w:type="dxa"/>
            <w:hideMark/>
          </w:tcPr>
          <w:p w14:paraId="3CDCDFCA"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CHSP class </w:t>
            </w:r>
          </w:p>
        </w:tc>
        <w:tc>
          <w:tcPr>
            <w:tcW w:w="2752" w:type="dxa"/>
            <w:hideMark/>
          </w:tcPr>
          <w:p w14:paraId="00822E5D"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N/A </w:t>
            </w:r>
          </w:p>
        </w:tc>
      </w:tr>
      <w:tr w:rsidR="004D556D" w:rsidRPr="000F6CD1" w14:paraId="0262FBAB" w14:textId="77777777">
        <w:trPr>
          <w:trHeight w:val="570"/>
        </w:trPr>
        <w:tc>
          <w:tcPr>
            <w:tcW w:w="0" w:type="auto"/>
            <w:vMerge/>
            <w:vAlign w:val="center"/>
            <w:hideMark/>
          </w:tcPr>
          <w:p w14:paraId="3D5B82EB" w14:textId="77777777" w:rsidR="004D556D" w:rsidRPr="000F6CD1" w:rsidRDefault="004D556D" w:rsidP="005960D3">
            <w:pPr>
              <w:spacing w:before="120" w:after="120" w:line="240" w:lineRule="auto"/>
              <w:rPr>
                <w:rFonts w:eastAsia="Times New Roman"/>
                <w:szCs w:val="22"/>
              </w:rPr>
            </w:pPr>
          </w:p>
        </w:tc>
        <w:tc>
          <w:tcPr>
            <w:tcW w:w="1650" w:type="dxa"/>
            <w:hideMark/>
          </w:tcPr>
          <w:p w14:paraId="7ABA3B0F"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Short-term </w:t>
            </w:r>
          </w:p>
        </w:tc>
        <w:tc>
          <w:tcPr>
            <w:tcW w:w="2838" w:type="dxa"/>
            <w:hideMark/>
          </w:tcPr>
          <w:p w14:paraId="5578B41F"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SAH restorative care pathway </w:t>
            </w:r>
          </w:p>
          <w:p w14:paraId="12A2E4E7"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SAH end-of-life pathway </w:t>
            </w:r>
          </w:p>
        </w:tc>
        <w:tc>
          <w:tcPr>
            <w:tcW w:w="2752" w:type="dxa"/>
            <w:hideMark/>
          </w:tcPr>
          <w:p w14:paraId="0E342B04"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N/A </w:t>
            </w:r>
          </w:p>
        </w:tc>
      </w:tr>
      <w:tr w:rsidR="004D556D" w:rsidRPr="000F6CD1" w14:paraId="244B0721" w14:textId="77777777">
        <w:trPr>
          <w:trHeight w:val="570"/>
        </w:trPr>
        <w:tc>
          <w:tcPr>
            <w:tcW w:w="0" w:type="auto"/>
            <w:vMerge/>
            <w:vAlign w:val="center"/>
            <w:hideMark/>
          </w:tcPr>
          <w:p w14:paraId="2A5D7FFA" w14:textId="77777777" w:rsidR="004D556D" w:rsidRPr="000F6CD1" w:rsidRDefault="004D556D" w:rsidP="005960D3">
            <w:pPr>
              <w:spacing w:before="120" w:after="120" w:line="240" w:lineRule="auto"/>
              <w:rPr>
                <w:rFonts w:eastAsia="Times New Roman"/>
                <w:szCs w:val="22"/>
              </w:rPr>
            </w:pPr>
          </w:p>
        </w:tc>
        <w:tc>
          <w:tcPr>
            <w:tcW w:w="1650" w:type="dxa"/>
            <w:hideMark/>
          </w:tcPr>
          <w:p w14:paraId="60035DC8"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Hospital transition </w:t>
            </w:r>
          </w:p>
        </w:tc>
        <w:tc>
          <w:tcPr>
            <w:tcW w:w="2838" w:type="dxa"/>
            <w:hideMark/>
          </w:tcPr>
          <w:p w14:paraId="7C31A8D4"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HS HT class </w:t>
            </w:r>
          </w:p>
        </w:tc>
        <w:tc>
          <w:tcPr>
            <w:tcW w:w="2752" w:type="dxa"/>
            <w:hideMark/>
          </w:tcPr>
          <w:p w14:paraId="1826D1CB"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N/A </w:t>
            </w:r>
          </w:p>
        </w:tc>
      </w:tr>
      <w:tr w:rsidR="004D556D" w:rsidRPr="000F6CD1" w14:paraId="0EAAC608" w14:textId="77777777">
        <w:trPr>
          <w:trHeight w:val="570"/>
        </w:trPr>
        <w:tc>
          <w:tcPr>
            <w:tcW w:w="1770" w:type="dxa"/>
            <w:vMerge w:val="restart"/>
            <w:hideMark/>
          </w:tcPr>
          <w:p w14:paraId="6D5D412C"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b/>
                <w:szCs w:val="22"/>
              </w:rPr>
              <w:t>Assistive technology</w:t>
            </w:r>
            <w:r w:rsidRPr="000F6CD1">
              <w:rPr>
                <w:rFonts w:eastAsia="Times New Roman"/>
                <w:szCs w:val="22"/>
              </w:rPr>
              <w:t> </w:t>
            </w:r>
          </w:p>
        </w:tc>
        <w:tc>
          <w:tcPr>
            <w:tcW w:w="1650" w:type="dxa"/>
            <w:hideMark/>
          </w:tcPr>
          <w:p w14:paraId="2D9A1A10"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Ongoing </w:t>
            </w:r>
          </w:p>
        </w:tc>
        <w:tc>
          <w:tcPr>
            <w:tcW w:w="2838" w:type="dxa"/>
            <w:hideMark/>
          </w:tcPr>
          <w:p w14:paraId="0BE6B301"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assistance dogs </w:t>
            </w:r>
          </w:p>
        </w:tc>
        <w:tc>
          <w:tcPr>
            <w:tcW w:w="2752" w:type="dxa"/>
            <w:hideMark/>
          </w:tcPr>
          <w:p w14:paraId="2C6DE303" w14:textId="52A50CBC" w:rsidR="004D556D" w:rsidRPr="000F6CD1" w:rsidRDefault="004D556D" w:rsidP="005960D3">
            <w:pPr>
              <w:spacing w:before="120" w:after="120" w:line="240" w:lineRule="auto"/>
              <w:textAlignment w:val="baseline"/>
              <w:rPr>
                <w:rFonts w:eastAsia="Times New Roman"/>
              </w:rPr>
            </w:pPr>
            <w:r w:rsidRPr="000F6CD1">
              <w:rPr>
                <w:rFonts w:eastAsia="Times New Roman"/>
              </w:rPr>
              <w:t xml:space="preserve"> High, Medium, Standard </w:t>
            </w:r>
          </w:p>
        </w:tc>
      </w:tr>
      <w:tr w:rsidR="004D556D" w:rsidRPr="000F6CD1" w14:paraId="0B1F9BC8" w14:textId="77777777">
        <w:trPr>
          <w:trHeight w:val="570"/>
        </w:trPr>
        <w:tc>
          <w:tcPr>
            <w:tcW w:w="0" w:type="auto"/>
            <w:vMerge/>
            <w:vAlign w:val="center"/>
            <w:hideMark/>
          </w:tcPr>
          <w:p w14:paraId="487BCF83" w14:textId="77777777" w:rsidR="004D556D" w:rsidRPr="000F6CD1" w:rsidRDefault="004D556D" w:rsidP="005960D3">
            <w:pPr>
              <w:spacing w:before="120" w:after="120" w:line="240" w:lineRule="auto"/>
              <w:rPr>
                <w:rFonts w:eastAsia="Times New Roman"/>
                <w:szCs w:val="22"/>
              </w:rPr>
            </w:pPr>
          </w:p>
        </w:tc>
        <w:tc>
          <w:tcPr>
            <w:tcW w:w="1650" w:type="dxa"/>
            <w:vMerge w:val="restart"/>
            <w:hideMark/>
          </w:tcPr>
          <w:p w14:paraId="50D4ADAE"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Short-term </w:t>
            </w:r>
          </w:p>
        </w:tc>
        <w:tc>
          <w:tcPr>
            <w:tcW w:w="2838" w:type="dxa"/>
            <w:hideMark/>
          </w:tcPr>
          <w:p w14:paraId="0A17C4EE"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AT low </w:t>
            </w:r>
          </w:p>
          <w:p w14:paraId="4CEA9455"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AT medium </w:t>
            </w:r>
          </w:p>
          <w:p w14:paraId="5E4971B8"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AT high </w:t>
            </w:r>
          </w:p>
        </w:tc>
        <w:tc>
          <w:tcPr>
            <w:tcW w:w="2752" w:type="dxa"/>
            <w:hideMark/>
          </w:tcPr>
          <w:p w14:paraId="429C8ED0" w14:textId="2B40FF5F" w:rsidR="004D556D" w:rsidRPr="000F6CD1" w:rsidRDefault="004D556D" w:rsidP="005960D3">
            <w:pPr>
              <w:spacing w:before="120" w:after="120" w:line="240" w:lineRule="auto"/>
              <w:textAlignment w:val="baseline"/>
              <w:rPr>
                <w:rFonts w:eastAsia="Times New Roman"/>
              </w:rPr>
            </w:pPr>
            <w:r w:rsidRPr="000F6CD1">
              <w:rPr>
                <w:rFonts w:eastAsia="Times New Roman"/>
              </w:rPr>
              <w:t xml:space="preserve"> High, Medium, Standard </w:t>
            </w:r>
          </w:p>
        </w:tc>
      </w:tr>
      <w:tr w:rsidR="004D556D" w:rsidRPr="000F6CD1" w14:paraId="10BFC5E5" w14:textId="77777777">
        <w:trPr>
          <w:trHeight w:val="570"/>
        </w:trPr>
        <w:tc>
          <w:tcPr>
            <w:tcW w:w="0" w:type="auto"/>
            <w:vMerge/>
            <w:vAlign w:val="center"/>
            <w:hideMark/>
          </w:tcPr>
          <w:p w14:paraId="56A7EF71" w14:textId="77777777" w:rsidR="004D556D" w:rsidRPr="000F6CD1" w:rsidRDefault="004D556D" w:rsidP="005960D3">
            <w:pPr>
              <w:spacing w:before="120" w:after="120" w:line="240" w:lineRule="auto"/>
              <w:rPr>
                <w:rFonts w:eastAsia="Times New Roman"/>
                <w:szCs w:val="22"/>
              </w:rPr>
            </w:pPr>
          </w:p>
        </w:tc>
        <w:tc>
          <w:tcPr>
            <w:tcW w:w="0" w:type="auto"/>
            <w:vMerge/>
            <w:vAlign w:val="center"/>
            <w:hideMark/>
          </w:tcPr>
          <w:p w14:paraId="0399AD34" w14:textId="77777777" w:rsidR="004D556D" w:rsidRPr="000F6CD1" w:rsidRDefault="004D556D" w:rsidP="005960D3">
            <w:pPr>
              <w:spacing w:before="120" w:after="120" w:line="240" w:lineRule="auto"/>
              <w:rPr>
                <w:rFonts w:eastAsia="Times New Roman"/>
                <w:szCs w:val="22"/>
              </w:rPr>
            </w:pPr>
          </w:p>
        </w:tc>
        <w:tc>
          <w:tcPr>
            <w:tcW w:w="2838" w:type="dxa"/>
            <w:hideMark/>
          </w:tcPr>
          <w:p w14:paraId="39964DA0"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AT CHSP </w:t>
            </w:r>
          </w:p>
        </w:tc>
        <w:tc>
          <w:tcPr>
            <w:tcW w:w="2752" w:type="dxa"/>
            <w:hideMark/>
          </w:tcPr>
          <w:p w14:paraId="562CD3A2"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Immediate </w:t>
            </w:r>
          </w:p>
        </w:tc>
      </w:tr>
      <w:tr w:rsidR="004D556D" w:rsidRPr="000F6CD1" w14:paraId="17458A1E" w14:textId="77777777">
        <w:trPr>
          <w:trHeight w:val="570"/>
        </w:trPr>
        <w:tc>
          <w:tcPr>
            <w:tcW w:w="0" w:type="auto"/>
            <w:vMerge/>
            <w:vAlign w:val="center"/>
            <w:hideMark/>
          </w:tcPr>
          <w:p w14:paraId="2817A614" w14:textId="77777777" w:rsidR="004D556D" w:rsidRPr="000F6CD1" w:rsidRDefault="004D556D" w:rsidP="005960D3">
            <w:pPr>
              <w:spacing w:before="120" w:after="120" w:line="240" w:lineRule="auto"/>
              <w:rPr>
                <w:rFonts w:eastAsia="Times New Roman"/>
                <w:szCs w:val="22"/>
              </w:rPr>
            </w:pPr>
          </w:p>
        </w:tc>
        <w:tc>
          <w:tcPr>
            <w:tcW w:w="1650" w:type="dxa"/>
            <w:hideMark/>
          </w:tcPr>
          <w:p w14:paraId="2E4B1679"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Hospital transition </w:t>
            </w:r>
          </w:p>
        </w:tc>
        <w:tc>
          <w:tcPr>
            <w:tcW w:w="2838" w:type="dxa"/>
            <w:hideMark/>
          </w:tcPr>
          <w:p w14:paraId="11A9E532"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AT HT class </w:t>
            </w:r>
          </w:p>
        </w:tc>
        <w:tc>
          <w:tcPr>
            <w:tcW w:w="2752" w:type="dxa"/>
            <w:hideMark/>
          </w:tcPr>
          <w:p w14:paraId="3DCA5C59"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N/A</w:t>
            </w:r>
          </w:p>
        </w:tc>
      </w:tr>
      <w:tr w:rsidR="004D556D" w:rsidRPr="000F6CD1" w14:paraId="40CE3796" w14:textId="77777777">
        <w:trPr>
          <w:trHeight w:val="570"/>
        </w:trPr>
        <w:tc>
          <w:tcPr>
            <w:tcW w:w="1770" w:type="dxa"/>
            <w:vMerge w:val="restart"/>
            <w:hideMark/>
          </w:tcPr>
          <w:p w14:paraId="61D054D2"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b/>
                <w:szCs w:val="22"/>
              </w:rPr>
              <w:t>Home modifications</w:t>
            </w:r>
            <w:r w:rsidRPr="000F6CD1">
              <w:rPr>
                <w:rFonts w:eastAsia="Times New Roman"/>
                <w:szCs w:val="22"/>
              </w:rPr>
              <w:t> </w:t>
            </w:r>
          </w:p>
          <w:p w14:paraId="1052F7C6"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 </w:t>
            </w:r>
          </w:p>
        </w:tc>
        <w:tc>
          <w:tcPr>
            <w:tcW w:w="1650" w:type="dxa"/>
            <w:vMerge w:val="restart"/>
            <w:hideMark/>
          </w:tcPr>
          <w:p w14:paraId="59F82797"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Short-term </w:t>
            </w:r>
          </w:p>
          <w:p w14:paraId="2013C2B2"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 </w:t>
            </w:r>
          </w:p>
        </w:tc>
        <w:tc>
          <w:tcPr>
            <w:tcW w:w="2838" w:type="dxa"/>
            <w:hideMark/>
          </w:tcPr>
          <w:p w14:paraId="3120DD4A"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HM low </w:t>
            </w:r>
          </w:p>
          <w:p w14:paraId="54D62351"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HM medium </w:t>
            </w:r>
          </w:p>
          <w:p w14:paraId="3615C68C"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HM high </w:t>
            </w:r>
          </w:p>
        </w:tc>
        <w:tc>
          <w:tcPr>
            <w:tcW w:w="2752" w:type="dxa"/>
            <w:hideMark/>
          </w:tcPr>
          <w:p w14:paraId="7C6EC6D1" w14:textId="5CF3B0F9" w:rsidR="004D556D" w:rsidRPr="000F6CD1" w:rsidRDefault="004D556D" w:rsidP="005960D3">
            <w:pPr>
              <w:spacing w:before="120" w:after="120" w:line="240" w:lineRule="auto"/>
              <w:textAlignment w:val="baseline"/>
              <w:rPr>
                <w:rFonts w:eastAsia="Times New Roman"/>
              </w:rPr>
            </w:pPr>
            <w:r w:rsidRPr="000F6CD1">
              <w:rPr>
                <w:rFonts w:eastAsia="Times New Roman"/>
              </w:rPr>
              <w:t xml:space="preserve"> High, Medium, Standard </w:t>
            </w:r>
          </w:p>
        </w:tc>
      </w:tr>
      <w:tr w:rsidR="004D556D" w:rsidRPr="000F6CD1" w14:paraId="2A5FCCC5" w14:textId="77777777">
        <w:trPr>
          <w:trHeight w:val="570"/>
        </w:trPr>
        <w:tc>
          <w:tcPr>
            <w:tcW w:w="0" w:type="auto"/>
            <w:vMerge/>
            <w:vAlign w:val="center"/>
            <w:hideMark/>
          </w:tcPr>
          <w:p w14:paraId="4237527A" w14:textId="77777777" w:rsidR="004D556D" w:rsidRPr="000F6CD1" w:rsidRDefault="004D556D" w:rsidP="005960D3">
            <w:pPr>
              <w:spacing w:before="120" w:after="120" w:line="240" w:lineRule="auto"/>
              <w:rPr>
                <w:rFonts w:eastAsia="Times New Roman"/>
                <w:szCs w:val="22"/>
              </w:rPr>
            </w:pPr>
          </w:p>
        </w:tc>
        <w:tc>
          <w:tcPr>
            <w:tcW w:w="0" w:type="auto"/>
            <w:vMerge/>
            <w:vAlign w:val="center"/>
            <w:hideMark/>
          </w:tcPr>
          <w:p w14:paraId="5F63FC1E" w14:textId="77777777" w:rsidR="004D556D" w:rsidRPr="000F6CD1" w:rsidRDefault="004D556D" w:rsidP="005960D3">
            <w:pPr>
              <w:spacing w:before="120" w:after="120" w:line="240" w:lineRule="auto"/>
              <w:rPr>
                <w:rFonts w:eastAsia="Times New Roman"/>
                <w:szCs w:val="22"/>
              </w:rPr>
            </w:pPr>
          </w:p>
        </w:tc>
        <w:tc>
          <w:tcPr>
            <w:tcW w:w="2838" w:type="dxa"/>
            <w:hideMark/>
          </w:tcPr>
          <w:p w14:paraId="19CBF706"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HM CHSP </w:t>
            </w:r>
          </w:p>
          <w:p w14:paraId="40D058C7"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 </w:t>
            </w:r>
          </w:p>
        </w:tc>
        <w:tc>
          <w:tcPr>
            <w:tcW w:w="2752" w:type="dxa"/>
            <w:hideMark/>
          </w:tcPr>
          <w:p w14:paraId="13EA9B98"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Immediate </w:t>
            </w:r>
          </w:p>
        </w:tc>
      </w:tr>
      <w:tr w:rsidR="004D556D" w:rsidRPr="000F6CD1" w14:paraId="5187FDD4" w14:textId="77777777">
        <w:trPr>
          <w:trHeight w:val="570"/>
        </w:trPr>
        <w:tc>
          <w:tcPr>
            <w:tcW w:w="1770" w:type="dxa"/>
            <w:vMerge w:val="restart"/>
            <w:hideMark/>
          </w:tcPr>
          <w:p w14:paraId="383F5E09"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b/>
                <w:szCs w:val="22"/>
              </w:rPr>
              <w:t>Residential care</w:t>
            </w:r>
            <w:r w:rsidRPr="000F6CD1">
              <w:rPr>
                <w:rFonts w:eastAsia="Times New Roman"/>
                <w:szCs w:val="22"/>
              </w:rPr>
              <w:t> </w:t>
            </w:r>
          </w:p>
        </w:tc>
        <w:tc>
          <w:tcPr>
            <w:tcW w:w="1650" w:type="dxa"/>
            <w:hideMark/>
          </w:tcPr>
          <w:p w14:paraId="72074925"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Ongoing </w:t>
            </w:r>
          </w:p>
        </w:tc>
        <w:tc>
          <w:tcPr>
            <w:tcW w:w="2838" w:type="dxa"/>
            <w:hideMark/>
          </w:tcPr>
          <w:p w14:paraId="1C8E1465"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Class 0 (pre AN-ACC assessment) </w:t>
            </w:r>
            <w:r w:rsidRPr="000F6CD1">
              <w:rPr>
                <w:rFonts w:eastAsia="Times New Roman"/>
                <w:szCs w:val="22"/>
              </w:rPr>
              <w:br/>
              <w:t>Class 1 to Class 13 </w:t>
            </w:r>
          </w:p>
        </w:tc>
        <w:tc>
          <w:tcPr>
            <w:tcW w:w="2752" w:type="dxa"/>
            <w:hideMark/>
          </w:tcPr>
          <w:p w14:paraId="11B1153A"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Priority One, Priority Two, Priority Three </w:t>
            </w:r>
          </w:p>
        </w:tc>
      </w:tr>
      <w:tr w:rsidR="004D556D" w:rsidRPr="000F6CD1" w14:paraId="13000E7A" w14:textId="77777777">
        <w:trPr>
          <w:trHeight w:val="1395"/>
        </w:trPr>
        <w:tc>
          <w:tcPr>
            <w:tcW w:w="0" w:type="auto"/>
            <w:vMerge/>
            <w:vAlign w:val="center"/>
            <w:hideMark/>
          </w:tcPr>
          <w:p w14:paraId="69218AD9" w14:textId="77777777" w:rsidR="004D556D" w:rsidRPr="000F6CD1" w:rsidRDefault="004D556D" w:rsidP="005960D3">
            <w:pPr>
              <w:spacing w:before="120" w:after="120" w:line="240" w:lineRule="auto"/>
              <w:rPr>
                <w:rFonts w:eastAsia="Times New Roman"/>
                <w:szCs w:val="22"/>
              </w:rPr>
            </w:pPr>
          </w:p>
        </w:tc>
        <w:tc>
          <w:tcPr>
            <w:tcW w:w="1650" w:type="dxa"/>
            <w:hideMark/>
          </w:tcPr>
          <w:p w14:paraId="46D8A90F"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Short-term </w:t>
            </w:r>
          </w:p>
        </w:tc>
        <w:tc>
          <w:tcPr>
            <w:tcW w:w="2838" w:type="dxa"/>
            <w:hideMark/>
          </w:tcPr>
          <w:p w14:paraId="00DA7274"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Class 0 (pre AN-ACC assessment) </w:t>
            </w:r>
          </w:p>
          <w:p w14:paraId="576582FD"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Respite class 1 to Respite class 3 </w:t>
            </w:r>
          </w:p>
        </w:tc>
        <w:tc>
          <w:tcPr>
            <w:tcW w:w="2752" w:type="dxa"/>
            <w:hideMark/>
          </w:tcPr>
          <w:p w14:paraId="6C5EFC40"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N/A  </w:t>
            </w:r>
          </w:p>
        </w:tc>
      </w:tr>
      <w:tr w:rsidR="004D556D" w:rsidRPr="000F6CD1" w14:paraId="722880D4" w14:textId="77777777">
        <w:trPr>
          <w:trHeight w:val="570"/>
        </w:trPr>
        <w:tc>
          <w:tcPr>
            <w:tcW w:w="0" w:type="auto"/>
            <w:vMerge/>
            <w:vAlign w:val="center"/>
            <w:hideMark/>
          </w:tcPr>
          <w:p w14:paraId="04380F1A" w14:textId="77777777" w:rsidR="004D556D" w:rsidRPr="000F6CD1" w:rsidRDefault="004D556D" w:rsidP="005960D3">
            <w:pPr>
              <w:spacing w:before="120" w:after="120" w:line="240" w:lineRule="auto"/>
              <w:rPr>
                <w:rFonts w:eastAsia="Times New Roman"/>
                <w:szCs w:val="22"/>
              </w:rPr>
            </w:pPr>
          </w:p>
        </w:tc>
        <w:tc>
          <w:tcPr>
            <w:tcW w:w="1650" w:type="dxa"/>
            <w:hideMark/>
          </w:tcPr>
          <w:p w14:paraId="75A8156F"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Hospital transition </w:t>
            </w:r>
          </w:p>
        </w:tc>
        <w:tc>
          <w:tcPr>
            <w:tcW w:w="2838" w:type="dxa"/>
            <w:hideMark/>
          </w:tcPr>
          <w:p w14:paraId="4C4B3DFB"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RC HT class </w:t>
            </w:r>
          </w:p>
        </w:tc>
        <w:tc>
          <w:tcPr>
            <w:tcW w:w="2752" w:type="dxa"/>
            <w:hideMark/>
          </w:tcPr>
          <w:p w14:paraId="7D95AD5B" w14:textId="77777777" w:rsidR="004D556D" w:rsidRPr="000F6CD1" w:rsidRDefault="004D556D" w:rsidP="005960D3">
            <w:pPr>
              <w:spacing w:before="120" w:after="120" w:line="240" w:lineRule="auto"/>
              <w:textAlignment w:val="baseline"/>
              <w:rPr>
                <w:rFonts w:eastAsia="Times New Roman"/>
                <w:szCs w:val="22"/>
              </w:rPr>
            </w:pPr>
            <w:r w:rsidRPr="000F6CD1">
              <w:rPr>
                <w:rFonts w:eastAsia="Times New Roman"/>
                <w:szCs w:val="22"/>
              </w:rPr>
              <w:t> N/A</w:t>
            </w:r>
          </w:p>
        </w:tc>
      </w:tr>
    </w:tbl>
    <w:p w14:paraId="16E34020" w14:textId="766959B3" w:rsidR="004D556D" w:rsidRPr="000F6CD1" w:rsidRDefault="00D24DB4" w:rsidP="00E66AF1">
      <w:r w:rsidRPr="00A83B12">
        <w:rPr>
          <w:noProof/>
        </w:rPr>
        <w:drawing>
          <wp:anchor distT="0" distB="0" distL="114300" distR="114300" simplePos="0" relativeHeight="251658292" behindDoc="0" locked="0" layoutInCell="1" allowOverlap="1" wp14:anchorId="2B537F7C" wp14:editId="294016AF">
            <wp:simplePos x="0" y="0"/>
            <wp:positionH relativeFrom="margin">
              <wp:posOffset>55245</wp:posOffset>
            </wp:positionH>
            <wp:positionV relativeFrom="margin">
              <wp:posOffset>2404110</wp:posOffset>
            </wp:positionV>
            <wp:extent cx="365792" cy="403895"/>
            <wp:effectExtent l="0" t="0" r="0" b="0"/>
            <wp:wrapSquare wrapText="bothSides"/>
            <wp:docPr id="1867817726"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17726"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p>
    <w:p w14:paraId="271FCFE3" w14:textId="77777777" w:rsidR="004D556D" w:rsidRPr="000F6CD1" w:rsidRDefault="004D556D" w:rsidP="00AD2CE5">
      <w:pPr>
        <w:pStyle w:val="H3"/>
      </w:pPr>
      <w:r w:rsidRPr="000F6CD1" w:rsidDel="005D65F8">
        <w:t xml:space="preserve">Home </w:t>
      </w:r>
      <w:r w:rsidRPr="000F6CD1">
        <w:t>support – ongoing</w:t>
      </w:r>
    </w:p>
    <w:p w14:paraId="0A76FD27" w14:textId="6E50727F" w:rsidR="004D556D" w:rsidRPr="000F6CD1" w:rsidRDefault="004D556D" w:rsidP="00622CFF">
      <w:pPr>
        <w:spacing w:before="240" w:after="240" w:line="240" w:lineRule="auto"/>
        <w:rPr>
          <w:rFonts w:eastAsia="Yu Gothic Light"/>
        </w:rPr>
      </w:pPr>
      <w:r w:rsidRPr="000F6CD1">
        <w:rPr>
          <w:rFonts w:eastAsia="Yu Gothic Light"/>
        </w:rPr>
        <w:t>The priority category for ongoing Support at Home is assigned by the prioritisation algorithm using seven</w:t>
      </w:r>
      <w:r w:rsidRPr="000F6CD1" w:rsidDel="00B320FF">
        <w:rPr>
          <w:rFonts w:eastAsia="Yu Gothic Light"/>
        </w:rPr>
        <w:t xml:space="preserve"> </w:t>
      </w:r>
      <w:r w:rsidRPr="000F6CD1">
        <w:rPr>
          <w:rFonts w:eastAsia="Yu Gothic Light"/>
        </w:rPr>
        <w:t>criteria captured in the Integrated Assessment Tool (IAT) or on the client’s record. These are whether the older person: </w:t>
      </w:r>
    </w:p>
    <w:p w14:paraId="11DA71CD"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lives alone </w:t>
      </w:r>
    </w:p>
    <w:p w14:paraId="044C7488"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identifies as Aboriginal or Torres Strait Islander </w:t>
      </w:r>
    </w:p>
    <w:p w14:paraId="041F3B95"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has an assessed cognitive impairment</w:t>
      </w:r>
    </w:p>
    <w:p w14:paraId="3D3D831E"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is experiencing homelessness or is at risk of homelessness </w:t>
      </w:r>
    </w:p>
    <w:p w14:paraId="7BDBF461"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requires urgent service provision  </w:t>
      </w:r>
    </w:p>
    <w:p w14:paraId="403B2F50" w14:textId="060B92CA"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has waited more than six months from the initial assessment referral and lives in a regional or remote area categorised under MMM 5-7 </w:t>
      </w:r>
    </w:p>
    <w:p w14:paraId="3992F67D" w14:textId="77777777" w:rsidR="004D556D" w:rsidRPr="000F6CD1" w:rsidRDefault="004D556D" w:rsidP="00DF3F6B">
      <w:pPr>
        <w:numPr>
          <w:ilvl w:val="0"/>
          <w:numId w:val="215"/>
        </w:numPr>
        <w:spacing w:before="240" w:after="240" w:line="240" w:lineRule="auto"/>
        <w:contextualSpacing/>
        <w:rPr>
          <w:rFonts w:eastAsia="Yu Gothic Light"/>
        </w:rPr>
      </w:pPr>
      <w:r w:rsidRPr="000F6CD1">
        <w:rPr>
          <w:rFonts w:eastAsia="Yu Gothic Light"/>
        </w:rPr>
        <w:t>has Motor Neurone Disease (MND).</w:t>
      </w:r>
    </w:p>
    <w:p w14:paraId="656C3BE0" w14:textId="0F51998E" w:rsidR="004D556D" w:rsidRPr="000F6CD1" w:rsidRDefault="004D556D" w:rsidP="00AD2CE5">
      <w:pPr>
        <w:pStyle w:val="H3"/>
      </w:pPr>
      <w:r w:rsidRPr="000F6CD1">
        <w:t>AT-HM scheme</w:t>
      </w:r>
    </w:p>
    <w:p w14:paraId="0441E72E" w14:textId="226EBE1D" w:rsidR="004D556D" w:rsidRPr="000F6CD1" w:rsidRDefault="004D556D" w:rsidP="00622CFF">
      <w:pPr>
        <w:spacing w:before="240" w:after="240" w:line="240" w:lineRule="auto"/>
        <w:rPr>
          <w:rFonts w:eastAsia="Yu Gothic Light"/>
        </w:rPr>
      </w:pPr>
      <w:r w:rsidRPr="000F6CD1">
        <w:rPr>
          <w:rFonts w:eastAsia="Yu Gothic Light"/>
        </w:rPr>
        <w:t xml:space="preserve">The priority categories for AT-HM are calculated based on 5 different criteria captured in the Integrated Assessment Tool (IAT) or on the client record. These are whether the person: </w:t>
      </w:r>
    </w:p>
    <w:p w14:paraId="6F4E8B47" w14:textId="77777777" w:rsidR="004D556D" w:rsidRPr="000F6CD1" w:rsidRDefault="004D556D" w:rsidP="00DF3F6B">
      <w:pPr>
        <w:numPr>
          <w:ilvl w:val="0"/>
          <w:numId w:val="435"/>
        </w:numPr>
        <w:spacing w:before="240" w:after="240" w:line="240" w:lineRule="auto"/>
        <w:contextualSpacing/>
        <w:rPr>
          <w:rFonts w:eastAsia="Yu Gothic Light"/>
        </w:rPr>
      </w:pPr>
      <w:r w:rsidRPr="000F6CD1">
        <w:rPr>
          <w:rFonts w:eastAsia="Yu Gothic Light"/>
        </w:rPr>
        <w:t xml:space="preserve">lives alone </w:t>
      </w:r>
    </w:p>
    <w:p w14:paraId="33420C25" w14:textId="77777777" w:rsidR="004D556D" w:rsidRPr="000F6CD1" w:rsidRDefault="004D556D" w:rsidP="00DF3F6B">
      <w:pPr>
        <w:numPr>
          <w:ilvl w:val="0"/>
          <w:numId w:val="435"/>
        </w:numPr>
        <w:spacing w:before="240" w:after="240" w:line="240" w:lineRule="auto"/>
        <w:contextualSpacing/>
        <w:rPr>
          <w:rFonts w:eastAsia="Yu Gothic Light"/>
        </w:rPr>
      </w:pPr>
      <w:r w:rsidRPr="000F6CD1">
        <w:rPr>
          <w:rFonts w:eastAsia="Yu Gothic Light"/>
        </w:rPr>
        <w:t xml:space="preserve">has an assessed severe mobility impairment </w:t>
      </w:r>
    </w:p>
    <w:p w14:paraId="07D8A9E8" w14:textId="0DDC0F4A" w:rsidR="004D556D" w:rsidRPr="000F6CD1" w:rsidRDefault="004D556D" w:rsidP="00DF3F6B">
      <w:pPr>
        <w:numPr>
          <w:ilvl w:val="0"/>
          <w:numId w:val="435"/>
        </w:numPr>
        <w:spacing w:before="240" w:after="240" w:line="240" w:lineRule="auto"/>
        <w:contextualSpacing/>
        <w:rPr>
          <w:rFonts w:eastAsia="Yu Gothic Light"/>
        </w:rPr>
      </w:pPr>
      <w:r w:rsidRPr="000F6CD1">
        <w:rPr>
          <w:rFonts w:eastAsia="Yu Gothic Light"/>
        </w:rPr>
        <w:t xml:space="preserve">identifies as Aboriginal or Torres Strait Islander person </w:t>
      </w:r>
    </w:p>
    <w:p w14:paraId="1DFAE12E" w14:textId="77777777" w:rsidR="004D556D" w:rsidRPr="000F6CD1" w:rsidRDefault="004D556D" w:rsidP="00DF3F6B">
      <w:pPr>
        <w:numPr>
          <w:ilvl w:val="0"/>
          <w:numId w:val="435"/>
        </w:numPr>
        <w:spacing w:before="240" w:after="240" w:line="240" w:lineRule="auto"/>
        <w:contextualSpacing/>
        <w:rPr>
          <w:rFonts w:eastAsia="Yu Gothic Light"/>
        </w:rPr>
      </w:pPr>
      <w:r w:rsidRPr="000F6CD1">
        <w:rPr>
          <w:rFonts w:eastAsia="Yu Gothic Light"/>
        </w:rPr>
        <w:t xml:space="preserve">current place of residence poses a severe risk to their health or safety  </w:t>
      </w:r>
    </w:p>
    <w:p w14:paraId="3C9D6885" w14:textId="77777777" w:rsidR="004D556D" w:rsidRPr="000F6CD1" w:rsidRDefault="004D556D">
      <w:pPr>
        <w:numPr>
          <w:ilvl w:val="0"/>
          <w:numId w:val="435"/>
        </w:numPr>
        <w:spacing w:before="240" w:after="240" w:line="240" w:lineRule="auto"/>
        <w:contextualSpacing/>
        <w:rPr>
          <w:rFonts w:eastAsia="Yu Gothic Light"/>
        </w:rPr>
      </w:pPr>
      <w:r w:rsidRPr="000F6CD1">
        <w:rPr>
          <w:rFonts w:eastAsia="Yu Gothic Light"/>
        </w:rPr>
        <w:t>has waited more than six months from the initial assessment referral and lives in a regional or remote area categorised under MMM 5-7. </w:t>
      </w:r>
    </w:p>
    <w:p w14:paraId="3707975A" w14:textId="77777777" w:rsidR="004D556D" w:rsidRPr="000F6CD1" w:rsidRDefault="004D556D" w:rsidP="00622CFF">
      <w:pPr>
        <w:spacing w:before="240" w:after="240" w:line="240" w:lineRule="auto"/>
        <w:ind w:left="1080"/>
        <w:contextualSpacing/>
        <w:rPr>
          <w:rFonts w:eastAsia="Yu Gothic Light"/>
        </w:rPr>
      </w:pPr>
    </w:p>
    <w:p w14:paraId="394639ED" w14:textId="77777777" w:rsidR="004D556D" w:rsidRPr="000F6CD1" w:rsidRDefault="004D556D" w:rsidP="00622CFF">
      <w:pPr>
        <w:spacing w:before="240" w:after="240" w:line="240" w:lineRule="auto"/>
        <w:rPr>
          <w:rFonts w:eastAsia="Yu Gothic Light"/>
        </w:rPr>
      </w:pPr>
      <w:r w:rsidRPr="000F6CD1">
        <w:rPr>
          <w:rFonts w:eastAsia="Yu Gothic Light"/>
        </w:rPr>
        <w:t xml:space="preserve">Further information is available in the </w:t>
      </w:r>
      <w:hyperlink r:id="rId242" w:history="1">
        <w:r w:rsidRPr="000F6CD1">
          <w:rPr>
            <w:rStyle w:val="Hyperlink"/>
            <w:rFonts w:eastAsia="Yu Gothic Light"/>
          </w:rPr>
          <w:t>AT-HM scheme guidelines</w:t>
        </w:r>
      </w:hyperlink>
      <w:r w:rsidRPr="000F6CD1">
        <w:rPr>
          <w:rFonts w:eastAsia="Yu Gothic Light"/>
        </w:rPr>
        <w:t xml:space="preserve">. </w:t>
      </w:r>
    </w:p>
    <w:p w14:paraId="562917F5" w14:textId="25CD41A6" w:rsidR="00D24DB4" w:rsidRDefault="004D556D" w:rsidP="00622CFF">
      <w:pPr>
        <w:spacing w:before="240" w:after="240" w:line="240" w:lineRule="auto"/>
        <w:rPr>
          <w:rFonts w:eastAsia="Yu Gothic Light"/>
        </w:rPr>
      </w:pPr>
      <w:r w:rsidRPr="000F6CD1">
        <w:rPr>
          <w:rFonts w:eastAsia="Yu Gothic Light"/>
        </w:rPr>
        <w:t>The priority category for all ongoing CHSP services will be ‘Not applicable</w:t>
      </w:r>
      <w:r w:rsidR="006D07BE" w:rsidRPr="000F6CD1">
        <w:rPr>
          <w:rFonts w:eastAsia="Yu Gothic Light"/>
        </w:rPr>
        <w:t>.’</w:t>
      </w:r>
    </w:p>
    <w:p w14:paraId="36FB1EA9" w14:textId="3FF53A13" w:rsidR="004D556D" w:rsidRPr="000F6CD1" w:rsidRDefault="00D24DB4" w:rsidP="00D24DB4">
      <w:pPr>
        <w:rPr>
          <w:rFonts w:eastAsia="Yu Gothic Light"/>
        </w:rPr>
      </w:pPr>
      <w:r>
        <w:rPr>
          <w:rFonts w:eastAsia="Yu Gothic Light"/>
        </w:rPr>
        <w:br w:type="page"/>
      </w:r>
    </w:p>
    <w:p w14:paraId="0188EA33" w14:textId="77777777" w:rsidR="004D556D" w:rsidRPr="000F6CD1" w:rsidRDefault="004D556D" w:rsidP="00AD2CE5">
      <w:pPr>
        <w:pStyle w:val="H3"/>
      </w:pPr>
      <w:r w:rsidRPr="000F6CD1">
        <w:lastRenderedPageBreak/>
        <w:t>Residential care</w:t>
      </w:r>
    </w:p>
    <w:p w14:paraId="7C8D51FB"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priority category for Residential Care is calculated based on 5 different criteria captured in the IAT or on the client’s record. The criteria is the older person/’s:  </w:t>
      </w:r>
    </w:p>
    <w:p w14:paraId="548F17E0" w14:textId="77777777" w:rsidR="004D556D" w:rsidRPr="000F6CD1" w:rsidRDefault="004D556D" w:rsidP="00DF3F6B">
      <w:pPr>
        <w:numPr>
          <w:ilvl w:val="0"/>
          <w:numId w:val="216"/>
        </w:numPr>
        <w:spacing w:before="240" w:after="240" w:line="240" w:lineRule="auto"/>
        <w:contextualSpacing/>
        <w:rPr>
          <w:rFonts w:eastAsia="Yu Gothic Light"/>
        </w:rPr>
      </w:pPr>
      <w:r w:rsidRPr="000F6CD1">
        <w:rPr>
          <w:rFonts w:eastAsia="Yu Gothic Light"/>
        </w:rPr>
        <w:t>identifies as Aboriginal or Torres Strait Islander </w:t>
      </w:r>
    </w:p>
    <w:p w14:paraId="1093BDFA" w14:textId="77777777" w:rsidR="004D556D" w:rsidRPr="000F6CD1" w:rsidRDefault="004D556D" w:rsidP="00DF3F6B">
      <w:pPr>
        <w:numPr>
          <w:ilvl w:val="0"/>
          <w:numId w:val="216"/>
        </w:numPr>
        <w:spacing w:before="240" w:after="240" w:line="240" w:lineRule="auto"/>
        <w:contextualSpacing/>
        <w:rPr>
          <w:rFonts w:eastAsia="Yu Gothic Light"/>
        </w:rPr>
      </w:pPr>
      <w:r w:rsidRPr="000F6CD1">
        <w:rPr>
          <w:rFonts w:eastAsia="Yu Gothic Light"/>
        </w:rPr>
        <w:t>is experiencing homelessness</w:t>
      </w:r>
    </w:p>
    <w:p w14:paraId="0EEBCBE2" w14:textId="0D332746" w:rsidR="004D556D" w:rsidRPr="000F6CD1" w:rsidRDefault="004D556D" w:rsidP="00DF3F6B">
      <w:pPr>
        <w:numPr>
          <w:ilvl w:val="0"/>
          <w:numId w:val="216"/>
        </w:numPr>
        <w:spacing w:before="240" w:after="240" w:line="240" w:lineRule="auto"/>
        <w:contextualSpacing/>
        <w:rPr>
          <w:rFonts w:eastAsia="Yu Gothic Light"/>
        </w:rPr>
      </w:pPr>
      <w:r w:rsidRPr="000F6CD1">
        <w:rPr>
          <w:rFonts w:eastAsia="Yu Gothic Light"/>
        </w:rPr>
        <w:t>resides in a rural or remote area (MMM 5 - 7)</w:t>
      </w:r>
    </w:p>
    <w:p w14:paraId="06F94917" w14:textId="77777777" w:rsidR="004D556D" w:rsidRPr="000F6CD1" w:rsidRDefault="004D556D" w:rsidP="00DF3F6B">
      <w:pPr>
        <w:numPr>
          <w:ilvl w:val="0"/>
          <w:numId w:val="216"/>
        </w:numPr>
        <w:spacing w:before="240" w:after="240" w:line="240" w:lineRule="auto"/>
        <w:contextualSpacing/>
        <w:rPr>
          <w:rFonts w:eastAsia="Yu Gothic Light"/>
        </w:rPr>
      </w:pPr>
      <w:r w:rsidRPr="000F6CD1">
        <w:rPr>
          <w:rFonts w:eastAsia="Yu Gothic Light"/>
        </w:rPr>
        <w:t>has entered residential care through emergency circumstances</w:t>
      </w:r>
    </w:p>
    <w:p w14:paraId="24759C5F" w14:textId="77777777" w:rsidR="004D556D" w:rsidRPr="000F6CD1" w:rsidRDefault="004D556D" w:rsidP="00DF3F6B">
      <w:pPr>
        <w:numPr>
          <w:ilvl w:val="0"/>
          <w:numId w:val="216"/>
        </w:numPr>
        <w:spacing w:before="240" w:after="240" w:line="240" w:lineRule="auto"/>
        <w:contextualSpacing/>
        <w:rPr>
          <w:rFonts w:eastAsia="Yu Gothic Light"/>
        </w:rPr>
      </w:pPr>
      <w:r w:rsidRPr="000F6CD1">
        <w:rPr>
          <w:rFonts w:eastAsia="Yu Gothic Light"/>
        </w:rPr>
        <w:t>Urgency rating for residential care</w:t>
      </w:r>
    </w:p>
    <w:p w14:paraId="4EFCB803" w14:textId="77777777" w:rsidR="004D556D" w:rsidRPr="000F6CD1" w:rsidRDefault="004D556D" w:rsidP="00622CFF">
      <w:pPr>
        <w:spacing w:before="240" w:after="240" w:line="240" w:lineRule="auto"/>
        <w:ind w:left="1080"/>
        <w:contextualSpacing/>
        <w:rPr>
          <w:rFonts w:eastAsia="Yu Gothic Light"/>
        </w:rPr>
      </w:pPr>
    </w:p>
    <w:p w14:paraId="502C1A37" w14:textId="77777777" w:rsidR="004D556D" w:rsidRPr="000F6CD1" w:rsidRDefault="004D556D" w:rsidP="006647CE">
      <w:pPr>
        <w:pStyle w:val="h2"/>
      </w:pPr>
      <w:bookmarkStart w:id="647" w:name="_Toc209189018"/>
      <w:bookmarkStart w:id="648" w:name="_Toc233282476"/>
      <w:r w:rsidRPr="000F6CD1">
        <w:t>Period of effect of approvals</w:t>
      </w:r>
      <w:bookmarkEnd w:id="647"/>
      <w:bookmarkEnd w:id="648"/>
      <w:r w:rsidRPr="000F6CD1">
        <w:t xml:space="preserve"> </w:t>
      </w:r>
    </w:p>
    <w:p w14:paraId="46F682A0" w14:textId="30544844" w:rsidR="004D556D" w:rsidRPr="000F6CD1" w:rsidRDefault="004D556D" w:rsidP="00622CFF">
      <w:pPr>
        <w:spacing w:before="240" w:after="240" w:line="240" w:lineRule="auto"/>
        <w:rPr>
          <w:rFonts w:eastAsia="Yu Gothic Light"/>
        </w:rPr>
      </w:pPr>
      <w:r w:rsidRPr="000F6CD1">
        <w:rPr>
          <w:rFonts w:eastAsia="Yu Gothic Light"/>
        </w:rPr>
        <w:t>Each access approval, classification level, and priority category has a period of effect</w:t>
      </w:r>
      <w:r w:rsidRPr="000F6CD1">
        <w:rPr>
          <w:rFonts w:eastAsia="Yu Gothic Light"/>
          <w:b/>
          <w:bCs/>
        </w:rPr>
        <w:t xml:space="preserve"> </w:t>
      </w:r>
      <w:r w:rsidRPr="000F6CD1">
        <w:rPr>
          <w:rFonts w:eastAsia="Yu Gothic Light"/>
        </w:rPr>
        <w:t xml:space="preserve">that is prescribed under the </w:t>
      </w:r>
      <w:r w:rsidRPr="000818E0">
        <w:rPr>
          <w:rFonts w:eastAsia="Yu Gothic Light"/>
          <w:i/>
          <w:iCs/>
        </w:rPr>
        <w:t>Aged Care Act 2024</w:t>
      </w:r>
      <w:r w:rsidRPr="000F6CD1">
        <w:rPr>
          <w:rFonts w:eastAsia="Yu Gothic Light"/>
        </w:rPr>
        <w:t xml:space="preserve"> (the Act)</w:t>
      </w:r>
      <w:r w:rsidRPr="000F6CD1">
        <w:rPr>
          <w:rFonts w:eastAsia="Yu Gothic Light"/>
          <w:i/>
        </w:rPr>
        <w:t>.</w:t>
      </w:r>
      <w:r w:rsidRPr="000F6CD1">
        <w:rPr>
          <w:rFonts w:eastAsia="Yu Gothic Light"/>
        </w:rPr>
        <w:t xml:space="preserve"> This means that access approvals remain in effect for the period of time specified by the Act unless the approval is revoked or a reassessment occurs resulting in a new approval.</w:t>
      </w:r>
    </w:p>
    <w:p w14:paraId="79FE1B5F" w14:textId="77777777" w:rsidR="004D556D" w:rsidRPr="000F6CD1" w:rsidRDefault="004D556D" w:rsidP="00622CFF">
      <w:pPr>
        <w:spacing w:before="240" w:after="240" w:line="240" w:lineRule="auto"/>
        <w:rPr>
          <w:rFonts w:eastAsia="Yu Gothic Light"/>
        </w:rPr>
      </w:pPr>
      <w:r w:rsidRPr="000F6CD1">
        <w:rPr>
          <w:rFonts w:eastAsia="Yu Gothic Light"/>
        </w:rPr>
        <w:t xml:space="preserve">In addition to the other legislative requirements, for an older person to receive funded aged care services they need both: </w:t>
      </w:r>
    </w:p>
    <w:p w14:paraId="246D1741" w14:textId="77777777" w:rsidR="004D556D" w:rsidRPr="000F6CD1" w:rsidRDefault="004D556D" w:rsidP="00DF3F6B">
      <w:pPr>
        <w:numPr>
          <w:ilvl w:val="0"/>
          <w:numId w:val="239"/>
        </w:numPr>
        <w:spacing w:before="240" w:after="240" w:line="240" w:lineRule="auto"/>
        <w:contextualSpacing/>
        <w:rPr>
          <w:rFonts w:eastAsia="Yu Gothic Light"/>
        </w:rPr>
      </w:pPr>
      <w:r w:rsidRPr="000F6CD1">
        <w:rPr>
          <w:rFonts w:eastAsia="Yu Gothic Light"/>
        </w:rPr>
        <w:t>An access approval</w:t>
      </w:r>
      <w:r w:rsidRPr="000F6CD1">
        <w:rPr>
          <w:rFonts w:eastAsia="Yu Gothic Light"/>
          <w:b/>
          <w:bCs/>
        </w:rPr>
        <w:t xml:space="preserve"> </w:t>
      </w:r>
      <w:r w:rsidRPr="000F6CD1">
        <w:rPr>
          <w:rFonts w:eastAsia="Yu Gothic Light"/>
        </w:rPr>
        <w:t>that is in effect (or ‘active’) and</w:t>
      </w:r>
    </w:p>
    <w:p w14:paraId="0821E951" w14:textId="77777777" w:rsidR="004D556D" w:rsidRPr="000F6CD1" w:rsidRDefault="004D556D" w:rsidP="00DF3F6B">
      <w:pPr>
        <w:numPr>
          <w:ilvl w:val="0"/>
          <w:numId w:val="239"/>
        </w:numPr>
        <w:spacing w:before="240" w:after="240" w:line="240" w:lineRule="auto"/>
        <w:contextualSpacing/>
        <w:rPr>
          <w:rFonts w:eastAsia="Yu Gothic Light"/>
        </w:rPr>
      </w:pPr>
      <w:r w:rsidRPr="000F6CD1">
        <w:rPr>
          <w:rFonts w:eastAsia="Yu Gothic Light"/>
        </w:rPr>
        <w:t>A classification level</w:t>
      </w:r>
      <w:r w:rsidRPr="000F6CD1">
        <w:rPr>
          <w:rFonts w:eastAsia="Yu Gothic Light"/>
          <w:b/>
          <w:bCs/>
        </w:rPr>
        <w:t xml:space="preserve"> </w:t>
      </w:r>
      <w:r w:rsidRPr="000F6CD1">
        <w:rPr>
          <w:rFonts w:eastAsia="Yu Gothic Light"/>
        </w:rPr>
        <w:t xml:space="preserve">that is in effect </w:t>
      </w:r>
    </w:p>
    <w:p w14:paraId="18006D98" w14:textId="77777777" w:rsidR="004D556D" w:rsidRPr="000F6CD1" w:rsidRDefault="004D556D" w:rsidP="00622CFF">
      <w:pPr>
        <w:spacing w:before="240" w:after="240" w:line="240" w:lineRule="auto"/>
        <w:rPr>
          <w:rFonts w:eastAsia="Yu Gothic Light"/>
        </w:rPr>
      </w:pPr>
      <w:r w:rsidRPr="000F6CD1">
        <w:rPr>
          <w:rFonts w:eastAsia="Yu Gothic Light"/>
        </w:rPr>
        <w:t xml:space="preserve">Periods of effect for an approval decision made by Assessment Delegates are detailed in sections 71, 80 and 89 of the Act. </w:t>
      </w:r>
    </w:p>
    <w:p w14:paraId="6379174A" w14:textId="77777777" w:rsidR="004D556D" w:rsidRPr="000F6CD1" w:rsidRDefault="004D556D" w:rsidP="00AD2CE5">
      <w:pPr>
        <w:pStyle w:val="H3"/>
      </w:pPr>
      <w:r w:rsidRPr="000F6CD1">
        <w:t xml:space="preserve">Period of effect of access approvals </w:t>
      </w:r>
    </w:p>
    <w:p w14:paraId="377F5F21"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an individual is approved for access to funded aged care services 65(2) of the </w:t>
      </w:r>
      <w:r w:rsidRPr="000818E0">
        <w:rPr>
          <w:rFonts w:eastAsia="Yu Gothic Light"/>
          <w:i/>
          <w:iCs/>
        </w:rPr>
        <w:t xml:space="preserve">Aged Care Act 2024 </w:t>
      </w:r>
      <w:r w:rsidRPr="000F6CD1">
        <w:rPr>
          <w:rFonts w:eastAsia="Yu Gothic Light"/>
        </w:rPr>
        <w:t>(the Act)</w:t>
      </w:r>
      <w:r w:rsidRPr="000F6CD1">
        <w:rPr>
          <w:rFonts w:eastAsia="Yu Gothic Light"/>
          <w:i/>
        </w:rPr>
        <w:t>,</w:t>
      </w:r>
      <w:r w:rsidRPr="000F6CD1">
        <w:rPr>
          <w:rFonts w:eastAsia="Yu Gothic Light"/>
        </w:rPr>
        <w:t> the approval takes effect from the access approval date of effect specified in the Notice of Decision (as outlined in Section 70). The approval stays in effect unless it is revoked under the Act or replaced by a new decision. </w:t>
      </w:r>
    </w:p>
    <w:p w14:paraId="2C714863" w14:textId="77777777" w:rsidR="004D556D" w:rsidRPr="000F6CD1" w:rsidRDefault="004D556D" w:rsidP="00AD2CE5">
      <w:pPr>
        <w:pStyle w:val="H3"/>
        <w:rPr>
          <w:sz w:val="28"/>
          <w:szCs w:val="28"/>
        </w:rPr>
      </w:pPr>
      <w:r w:rsidRPr="000F6CD1">
        <w:t xml:space="preserve">Period of effect of classification levels </w:t>
      </w:r>
    </w:p>
    <w:p w14:paraId="10F2B7D0" w14:textId="77777777" w:rsidR="004D556D" w:rsidRPr="000F6CD1" w:rsidRDefault="004D556D" w:rsidP="00622CFF">
      <w:pPr>
        <w:spacing w:before="240" w:after="240" w:line="240" w:lineRule="auto"/>
        <w:rPr>
          <w:rFonts w:eastAsia="Yu Gothic Light"/>
        </w:rPr>
      </w:pPr>
      <w:r w:rsidRPr="000F6CD1">
        <w:rPr>
          <w:rFonts w:eastAsia="Yu Gothic Light"/>
        </w:rPr>
        <w:t>Classification levels are in effect for the period specified</w:t>
      </w:r>
      <w:r w:rsidRPr="000F6CD1">
        <w:rPr>
          <w:rFonts w:eastAsia="Yu Gothic Light"/>
          <w:b/>
          <w:bCs/>
        </w:rPr>
        <w:t xml:space="preserve"> </w:t>
      </w:r>
      <w:r w:rsidRPr="000F6CD1">
        <w:rPr>
          <w:rFonts w:eastAsia="Yu Gothic Light"/>
        </w:rPr>
        <w:t xml:space="preserve">in the </w:t>
      </w:r>
      <w:r w:rsidRPr="00BD0F1D">
        <w:rPr>
          <w:rFonts w:eastAsia="Yu Gothic Light"/>
          <w:i/>
          <w:iCs/>
        </w:rPr>
        <w:t>Aged Care Rules 2025</w:t>
      </w:r>
      <w:r w:rsidRPr="000F6CD1">
        <w:rPr>
          <w:rFonts w:eastAsia="Yu Gothic Light"/>
        </w:rPr>
        <w:t xml:space="preserve"> (the Rules). Once the specified period has elapsed, the classification level will cease to be in effect. A classification may also cease to be in effect once another classification level comes in effect. </w:t>
      </w:r>
    </w:p>
    <w:p w14:paraId="4A8262BB" w14:textId="77777777" w:rsidR="004D556D" w:rsidRPr="000F6CD1" w:rsidRDefault="004D556D" w:rsidP="00622CFF">
      <w:pPr>
        <w:spacing w:before="240" w:after="240" w:line="240" w:lineRule="auto"/>
        <w:rPr>
          <w:rFonts w:eastAsia="Yu Gothic Light"/>
        </w:rPr>
      </w:pPr>
      <w:r w:rsidRPr="000F6CD1">
        <w:rPr>
          <w:rFonts w:eastAsia="Yu Gothic Light"/>
        </w:rPr>
        <w:t>Written notice must be provided to an individual in accordance with section 79 of the Act which specifies the day when each classification level comes into effect. For individuals approved for the service groups home support, assistive technology or home modifications this notice is usually included in the Notice of Decision provided under section 70 of the Act. </w:t>
      </w:r>
    </w:p>
    <w:p w14:paraId="0712744F" w14:textId="77777777" w:rsidR="004D556D" w:rsidRPr="000F6CD1" w:rsidRDefault="004D556D" w:rsidP="00622CFF">
      <w:pPr>
        <w:spacing w:before="240" w:after="240" w:line="240" w:lineRule="auto"/>
        <w:rPr>
          <w:rFonts w:eastAsia="Yu Gothic Light"/>
        </w:rPr>
      </w:pPr>
      <w:r w:rsidRPr="000F6CD1">
        <w:rPr>
          <w:rFonts w:eastAsia="Yu Gothic Light"/>
        </w:rPr>
        <w:t xml:space="preserve">Some classification levels, such as </w:t>
      </w:r>
      <w:r w:rsidRPr="000F6CD1">
        <w:rPr>
          <w:rFonts w:eastAsia="Yu Gothic Light"/>
          <w:i/>
          <w:iCs/>
        </w:rPr>
        <w:t>CHSP class</w:t>
      </w:r>
      <w:r w:rsidRPr="000F6CD1">
        <w:rPr>
          <w:rFonts w:eastAsia="Yu Gothic Light"/>
        </w:rPr>
        <w:t>, come into effect on the access approval date of effect. Others, such as the residential care classification levels, do not come into effect until the service provider notifies Services Australia that service has commenced. </w:t>
      </w:r>
    </w:p>
    <w:p w14:paraId="6A049C0A" w14:textId="77777777" w:rsidR="004D556D" w:rsidRPr="000F6CD1" w:rsidRDefault="004D556D" w:rsidP="00622CFF">
      <w:pPr>
        <w:spacing w:before="240" w:after="240" w:line="240" w:lineRule="auto"/>
        <w:rPr>
          <w:rFonts w:eastAsia="Yu Gothic Light"/>
        </w:rPr>
      </w:pPr>
      <w:r w:rsidRPr="000F6CD1">
        <w:rPr>
          <w:rFonts w:eastAsia="Yu Gothic Light"/>
        </w:rPr>
        <w:t>The Rules also prescribe that, for some classification levels, the maximum period of effect may be extended. The criteria and requirements for granting such extensions are prescribed within the rules under the Act. </w:t>
      </w:r>
    </w:p>
    <w:p w14:paraId="4DE32551" w14:textId="77777777" w:rsidR="004D556D" w:rsidRPr="000F6CD1" w:rsidRDefault="004D556D" w:rsidP="00AD2CE5">
      <w:pPr>
        <w:pStyle w:val="H3"/>
      </w:pPr>
      <w:r w:rsidRPr="000F6CD1">
        <w:lastRenderedPageBreak/>
        <w:t xml:space="preserve">Period of effect of priority categories </w:t>
      </w:r>
    </w:p>
    <w:p w14:paraId="1E1B6DAB" w14:textId="77777777" w:rsidR="004D556D" w:rsidRPr="000F6CD1" w:rsidRDefault="004D556D" w:rsidP="00622CFF">
      <w:pPr>
        <w:spacing w:before="240" w:after="240" w:line="240" w:lineRule="auto"/>
        <w:rPr>
          <w:rFonts w:eastAsia="Yu Gothic Light"/>
        </w:rPr>
      </w:pPr>
      <w:r w:rsidRPr="000F6CD1">
        <w:rPr>
          <w:rFonts w:eastAsia="Yu Gothic Light"/>
        </w:rPr>
        <w:t>A priority category for a classification type for a service group</w:t>
      </w:r>
      <w:r w:rsidRPr="000654A8">
        <w:rPr>
          <w:rFonts w:eastAsia="Yu Gothic Light"/>
        </w:rPr>
        <w:t xml:space="preserve"> </w:t>
      </w:r>
      <w:r w:rsidRPr="000F6CD1">
        <w:rPr>
          <w:rFonts w:eastAsia="Yu Gothic Light"/>
          <w:u w:val="single"/>
        </w:rPr>
        <w:t>determines</w:t>
      </w:r>
      <w:r w:rsidRPr="000F6CD1">
        <w:rPr>
          <w:rFonts w:eastAsia="Yu Gothic Light"/>
        </w:rPr>
        <w:t xml:space="preserve"> the level of priority for accessing those services. </w:t>
      </w:r>
    </w:p>
    <w:p w14:paraId="1D4AF969" w14:textId="77777777" w:rsidR="004D556D" w:rsidRPr="000F6CD1" w:rsidRDefault="004D556D" w:rsidP="00622CFF">
      <w:pPr>
        <w:spacing w:before="240" w:after="240" w:line="240" w:lineRule="auto"/>
        <w:rPr>
          <w:rFonts w:eastAsia="Yu Gothic Light"/>
        </w:rPr>
      </w:pPr>
      <w:r w:rsidRPr="000F6CD1">
        <w:rPr>
          <w:rFonts w:eastAsia="Yu Gothic Light"/>
        </w:rPr>
        <w:t>An individual’s priority category for a classification type for a service group takes effect immediately from when the prioritisation decision is made and remains in effect until either: </w:t>
      </w:r>
    </w:p>
    <w:p w14:paraId="604F0523" w14:textId="77777777" w:rsidR="004D556D" w:rsidRPr="000F6CD1" w:rsidRDefault="004D556D" w:rsidP="00DF3F6B">
      <w:pPr>
        <w:numPr>
          <w:ilvl w:val="0"/>
          <w:numId w:val="245"/>
        </w:numPr>
        <w:spacing w:before="240" w:after="240" w:line="240" w:lineRule="auto"/>
        <w:rPr>
          <w:rFonts w:eastAsia="Yu Gothic Light"/>
        </w:rPr>
      </w:pPr>
      <w:r w:rsidRPr="000F6CD1">
        <w:rPr>
          <w:rFonts w:eastAsia="Yu Gothic Light"/>
        </w:rPr>
        <w:t>The individual is allocated a place for that classification type and service group (under section 92), or </w:t>
      </w:r>
    </w:p>
    <w:p w14:paraId="5285014E" w14:textId="77777777" w:rsidR="004D556D" w:rsidRPr="000F6CD1" w:rsidRDefault="004D556D" w:rsidP="00DF3F6B">
      <w:pPr>
        <w:numPr>
          <w:ilvl w:val="0"/>
          <w:numId w:val="246"/>
        </w:numPr>
        <w:spacing w:before="240" w:after="240" w:line="240" w:lineRule="auto"/>
        <w:rPr>
          <w:rFonts w:eastAsia="Yu Gothic Light"/>
        </w:rPr>
      </w:pPr>
      <w:r w:rsidRPr="000F6CD1">
        <w:rPr>
          <w:rFonts w:eastAsia="Yu Gothic Light"/>
        </w:rPr>
        <w:t>A new priority category decision is made for that classification type for that service group following a reassessment of the individual (as per subsection 86(1) and paragraph 61(1)(b)). </w:t>
      </w:r>
    </w:p>
    <w:p w14:paraId="538FF543" w14:textId="77777777" w:rsidR="004D556D" w:rsidRPr="000F6CD1" w:rsidRDefault="004D556D" w:rsidP="006647CE">
      <w:pPr>
        <w:pStyle w:val="h2"/>
      </w:pPr>
      <w:bookmarkStart w:id="649" w:name="_Toc209189019"/>
      <w:bookmarkStart w:id="650" w:name="_Toc233282477"/>
      <w:r w:rsidRPr="000F6CD1">
        <w:t>Reassessment of a classification level</w:t>
      </w:r>
      <w:bookmarkEnd w:id="649"/>
      <w:bookmarkEnd w:id="650"/>
      <w:r w:rsidRPr="000F6CD1">
        <w:t> </w:t>
      </w:r>
    </w:p>
    <w:p w14:paraId="54C0E2B5" w14:textId="77777777" w:rsidR="004D556D" w:rsidRPr="000F6CD1" w:rsidRDefault="004D556D" w:rsidP="00622CFF">
      <w:pPr>
        <w:spacing w:before="240" w:after="240" w:line="240" w:lineRule="auto"/>
        <w:rPr>
          <w:rFonts w:eastAsia="Yu Gothic Light"/>
        </w:rPr>
      </w:pPr>
      <w:r w:rsidRPr="000F6CD1">
        <w:rPr>
          <w:rFonts w:eastAsia="Yu Gothic Light"/>
        </w:rPr>
        <w:t>Depending on the classification type for service group, an individual or a registered provider acting on behalf of the individual may have the right to apply for a reassessment</w:t>
      </w:r>
      <w:r w:rsidRPr="000F6CD1">
        <w:rPr>
          <w:rFonts w:eastAsia="Yu Gothic Light"/>
          <w:bCs/>
        </w:rPr>
        <w:t xml:space="preserve"> </w:t>
      </w:r>
      <w:r w:rsidRPr="000F6CD1">
        <w:rPr>
          <w:rFonts w:eastAsia="Yu Gothic Light"/>
        </w:rPr>
        <w:t>of a classification level under section 82. Section 82 of the Act outlines who may apply for a classification assessment for each classification type for a service group and when an application may be made. This is outlined in the table below.</w:t>
      </w:r>
    </w:p>
    <w:p w14:paraId="06C60BA8" w14:textId="1B9F2D11" w:rsidR="004D556D" w:rsidRPr="000F6CD1" w:rsidRDefault="004D556D" w:rsidP="00622CFF">
      <w:pPr>
        <w:pStyle w:val="Caption"/>
        <w:spacing w:before="240" w:after="240"/>
        <w:rPr>
          <w:rFonts w:eastAsia="Yu Gothic Light"/>
        </w:rPr>
      </w:pPr>
      <w:r w:rsidRPr="000F6CD1">
        <w:rPr>
          <w:rFonts w:eastAsia="Yu Gothic Light"/>
        </w:rPr>
        <w:t>Table 4</w:t>
      </w:r>
      <w:r w:rsidR="006E724C">
        <w:rPr>
          <w:rFonts w:eastAsia="Yu Gothic Light"/>
        </w:rPr>
        <w:t>5</w:t>
      </w:r>
      <w:r w:rsidRPr="000F6CD1">
        <w:rPr>
          <w:rFonts w:eastAsia="Yu Gothic Light"/>
        </w:rPr>
        <w:t xml:space="preserve">. Circumstances when a classification reassessment can be sought </w:t>
      </w:r>
    </w:p>
    <w:tbl>
      <w:tblPr>
        <w:tblStyle w:val="GridTable5Dark-Accent11"/>
        <w:tblW w:w="0" w:type="auto"/>
        <w:tblBorders>
          <w:bottom w:val="single" w:sz="4" w:space="0" w:color="auto"/>
          <w:insideH w:val="single" w:sz="4" w:space="0" w:color="auto"/>
        </w:tblBorders>
        <w:tblLayout w:type="fixed"/>
        <w:tblLook w:val="04A0" w:firstRow="1" w:lastRow="0" w:firstColumn="1" w:lastColumn="0" w:noHBand="0" w:noVBand="1"/>
        <w:tblCaption w:val="Circumstances when a classification reassessment can be sought"/>
        <w:tblDescription w:val="The table provides an overview of the circumstances when a classification reassessment can be sought"/>
      </w:tblPr>
      <w:tblGrid>
        <w:gridCol w:w="1701"/>
        <w:gridCol w:w="1333"/>
        <w:gridCol w:w="6035"/>
      </w:tblGrid>
      <w:tr w:rsidR="004D556D" w:rsidRPr="000F6CD1" w14:paraId="1A56288D"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tcMar>
              <w:left w:w="108" w:type="dxa"/>
              <w:right w:w="108" w:type="dxa"/>
            </w:tcMar>
          </w:tcPr>
          <w:p w14:paraId="76B9CD99" w14:textId="77777777" w:rsidR="004D556D" w:rsidRPr="000F6CD1" w:rsidRDefault="004D556D" w:rsidP="005960D3">
            <w:pPr>
              <w:spacing w:before="120" w:after="120"/>
              <w:jc w:val="center"/>
              <w:rPr>
                <w:rFonts w:eastAsia="Yu Gothic Light"/>
              </w:rPr>
            </w:pPr>
            <w:r w:rsidRPr="000F6CD1">
              <w:rPr>
                <w:rFonts w:eastAsia="Yu Gothic Light"/>
              </w:rPr>
              <w:t>Classification type for a service group</w:t>
            </w:r>
          </w:p>
        </w:tc>
        <w:tc>
          <w:tcPr>
            <w:tcW w:w="1333" w:type="dxa"/>
            <w:shd w:val="clear" w:color="auto" w:fill="002060"/>
            <w:tcMar>
              <w:left w:w="108" w:type="dxa"/>
              <w:right w:w="108" w:type="dxa"/>
            </w:tcMar>
          </w:tcPr>
          <w:p w14:paraId="51114ECE" w14:textId="77777777" w:rsidR="004D556D" w:rsidRPr="000F6CD1" w:rsidRDefault="004D556D"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Who can apply for a classification reassessment</w:t>
            </w:r>
          </w:p>
        </w:tc>
        <w:tc>
          <w:tcPr>
            <w:tcW w:w="6035" w:type="dxa"/>
            <w:shd w:val="clear" w:color="auto" w:fill="002060"/>
            <w:tcMar>
              <w:left w:w="108" w:type="dxa"/>
              <w:right w:w="108" w:type="dxa"/>
            </w:tcMar>
          </w:tcPr>
          <w:p w14:paraId="20092827" w14:textId="77777777" w:rsidR="004D556D" w:rsidRPr="000F6CD1" w:rsidRDefault="004D556D" w:rsidP="005960D3">
            <w:pPr>
              <w:spacing w:before="120" w:after="120"/>
              <w:jc w:val="center"/>
              <w:cnfStyle w:val="100000000000" w:firstRow="1"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When can a classification reassessment be sought</w:t>
            </w:r>
          </w:p>
        </w:tc>
      </w:tr>
      <w:tr w:rsidR="004D556D" w:rsidRPr="000F6CD1" w14:paraId="0B32D3E3"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765E6E87" w14:textId="77777777" w:rsidR="004D556D" w:rsidRPr="000F6CD1" w:rsidRDefault="004D556D" w:rsidP="005960D3">
            <w:pPr>
              <w:spacing w:before="120" w:after="120"/>
              <w:rPr>
                <w:rFonts w:eastAsia="Yu Gothic Light"/>
              </w:rPr>
            </w:pPr>
            <w:r w:rsidRPr="000F6CD1">
              <w:rPr>
                <w:rFonts w:eastAsia="Yu Gothic Light"/>
              </w:rPr>
              <w:t>Ongoing or short</w:t>
            </w:r>
            <w:r w:rsidRPr="000F6CD1">
              <w:rPr>
                <w:rFonts w:ascii="Cambria Math" w:eastAsia="Cambria Math" w:hAnsi="Cambria Math" w:cs="Cambria Math"/>
              </w:rPr>
              <w:t>‑</w:t>
            </w:r>
            <w:r w:rsidRPr="000F6CD1">
              <w:rPr>
                <w:rFonts w:eastAsia="Yu Gothic Light"/>
              </w:rPr>
              <w:t>term for home support, assistive technology or home modifications</w:t>
            </w:r>
          </w:p>
        </w:tc>
        <w:tc>
          <w:tcPr>
            <w:tcW w:w="0" w:type="dxa"/>
            <w:tcMar>
              <w:left w:w="108" w:type="dxa"/>
              <w:right w:w="108" w:type="dxa"/>
            </w:tcMar>
          </w:tcPr>
          <w:p w14:paraId="1FC331EC"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The individual </w:t>
            </w:r>
          </w:p>
        </w:tc>
        <w:tc>
          <w:tcPr>
            <w:tcW w:w="0" w:type="dxa"/>
            <w:tcMar>
              <w:left w:w="108" w:type="dxa"/>
              <w:right w:w="108" w:type="dxa"/>
            </w:tcMar>
          </w:tcPr>
          <w:p w14:paraId="1E5EEE66"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If:</w:t>
            </w:r>
          </w:p>
          <w:p w14:paraId="3AEC735B" w14:textId="77777777" w:rsidR="004D556D" w:rsidRPr="000F6CD1" w:rsidRDefault="004D556D">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classification type is in effect for the individual; </w:t>
            </w:r>
            <w:r w:rsidRPr="000F6CD1">
              <w:rPr>
                <w:rFonts w:eastAsia="Yu Gothic Light"/>
                <w:color w:val="000000"/>
                <w:u w:val="single"/>
              </w:rPr>
              <w:t>and</w:t>
            </w:r>
          </w:p>
          <w:p w14:paraId="1C123BA8" w14:textId="77777777" w:rsidR="004D556D" w:rsidRPr="000F6CD1" w:rsidRDefault="004D556D">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individual considers a different classification level in the classification type for the service group should be approved; </w:t>
            </w:r>
            <w:r w:rsidRPr="000F6CD1">
              <w:rPr>
                <w:rFonts w:eastAsia="Yu Gothic Light"/>
                <w:color w:val="000000"/>
                <w:u w:val="single"/>
              </w:rPr>
              <w:t>and</w:t>
            </w:r>
          </w:p>
          <w:p w14:paraId="02876E75" w14:textId="77777777" w:rsidR="004D556D" w:rsidRPr="000F6CD1" w:rsidRDefault="004D556D">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funded aged care services are </w:t>
            </w:r>
            <w:r w:rsidRPr="000F6CD1">
              <w:rPr>
                <w:rFonts w:eastAsia="Yu Gothic Light"/>
                <w:color w:val="000000"/>
                <w:u w:val="single"/>
              </w:rPr>
              <w:t xml:space="preserve">not </w:t>
            </w:r>
            <w:r w:rsidRPr="000F6CD1">
              <w:rPr>
                <w:rFonts w:eastAsia="Yu Gothic Light"/>
                <w:color w:val="000000"/>
              </w:rPr>
              <w:t xml:space="preserve">being delivered under a specialist aged care program; </w:t>
            </w:r>
            <w:r w:rsidRPr="000F6CD1">
              <w:rPr>
                <w:rFonts w:eastAsia="Yu Gothic Light"/>
                <w:color w:val="000000"/>
                <w:u w:val="single"/>
              </w:rPr>
              <w:t>and</w:t>
            </w:r>
          </w:p>
          <w:p w14:paraId="20A52A7D" w14:textId="77777777" w:rsidR="004D556D" w:rsidRPr="000F6CD1" w:rsidRDefault="004D556D">
            <w:pPr>
              <w:numPr>
                <w:ilvl w:val="0"/>
                <w:numId w:val="256"/>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you consider the circumstances (if any) prescribed by the rules apply.</w:t>
            </w:r>
          </w:p>
          <w:p w14:paraId="7B5BC8C9"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tc>
      </w:tr>
      <w:tr w:rsidR="004D556D" w:rsidRPr="000F6CD1" w14:paraId="77A3E604"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37F77186" w14:textId="77777777" w:rsidR="004D556D" w:rsidRPr="000F6CD1" w:rsidRDefault="004D556D" w:rsidP="005960D3">
            <w:pPr>
              <w:spacing w:before="120" w:after="120"/>
              <w:rPr>
                <w:rFonts w:eastAsia="Yu Gothic Light"/>
              </w:rPr>
            </w:pPr>
            <w:r w:rsidRPr="000F6CD1">
              <w:rPr>
                <w:rFonts w:eastAsia="Yu Gothic Light"/>
              </w:rPr>
              <w:t>Ongoing for residential care</w:t>
            </w:r>
          </w:p>
        </w:tc>
        <w:tc>
          <w:tcPr>
            <w:tcW w:w="0" w:type="dxa"/>
            <w:tcMar>
              <w:left w:w="108" w:type="dxa"/>
              <w:right w:w="108" w:type="dxa"/>
            </w:tcMar>
          </w:tcPr>
          <w:p w14:paraId="2ACAF527"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The individual </w:t>
            </w:r>
          </w:p>
          <w:p w14:paraId="472B99FB"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p w14:paraId="6EBF1097"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A registered provider on behalf of </w:t>
            </w:r>
            <w:r w:rsidRPr="000F6CD1">
              <w:rPr>
                <w:rFonts w:eastAsia="Yu Gothic Light"/>
                <w:color w:val="000000"/>
              </w:rPr>
              <w:lastRenderedPageBreak/>
              <w:t xml:space="preserve">the individual </w:t>
            </w:r>
          </w:p>
        </w:tc>
        <w:tc>
          <w:tcPr>
            <w:tcW w:w="0" w:type="dxa"/>
            <w:tcMar>
              <w:left w:w="108" w:type="dxa"/>
              <w:right w:w="108" w:type="dxa"/>
            </w:tcMar>
          </w:tcPr>
          <w:p w14:paraId="32EC6BF7"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lastRenderedPageBreak/>
              <w:t>If:</w:t>
            </w:r>
          </w:p>
          <w:p w14:paraId="32F6A6FE" w14:textId="77777777" w:rsidR="004D556D" w:rsidRPr="000F6CD1" w:rsidRDefault="004D556D">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registered provider is delivering ongoing funded aged care services to the individual through the service group in an approved residential care home; </w:t>
            </w:r>
            <w:r w:rsidRPr="000F6CD1">
              <w:rPr>
                <w:rFonts w:eastAsia="Yu Gothic Light"/>
                <w:color w:val="000000"/>
                <w:u w:val="single"/>
              </w:rPr>
              <w:t>and</w:t>
            </w:r>
          </w:p>
          <w:p w14:paraId="3B7123F5" w14:textId="77777777" w:rsidR="004D556D" w:rsidRPr="000F6CD1" w:rsidRDefault="004D556D">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applicant considers a different classification level in the classification type for the service group should be approved for the individual; </w:t>
            </w:r>
            <w:r w:rsidRPr="000F6CD1">
              <w:rPr>
                <w:rFonts w:eastAsia="Yu Gothic Light"/>
                <w:color w:val="000000"/>
                <w:u w:val="single"/>
              </w:rPr>
              <w:t>and</w:t>
            </w:r>
          </w:p>
          <w:p w14:paraId="7E7D44FE" w14:textId="77777777" w:rsidR="004D556D" w:rsidRPr="000F6CD1" w:rsidRDefault="004D556D">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lastRenderedPageBreak/>
              <w:t xml:space="preserve">the funded aged care services are </w:t>
            </w:r>
            <w:r w:rsidRPr="000F6CD1">
              <w:rPr>
                <w:rFonts w:eastAsia="Yu Gothic Light"/>
                <w:color w:val="000000"/>
                <w:u w:val="single"/>
              </w:rPr>
              <w:t>not</w:t>
            </w:r>
            <w:r w:rsidRPr="000F6CD1">
              <w:rPr>
                <w:rFonts w:eastAsia="Yu Gothic Light"/>
                <w:color w:val="000000"/>
              </w:rPr>
              <w:t xml:space="preserve"> being delivered under a specialist aged care program; </w:t>
            </w:r>
            <w:r w:rsidRPr="000F6CD1">
              <w:rPr>
                <w:rFonts w:eastAsia="Yu Gothic Light"/>
                <w:color w:val="000000"/>
                <w:u w:val="single"/>
              </w:rPr>
              <w:t>and</w:t>
            </w:r>
          </w:p>
          <w:p w14:paraId="26CCC00F" w14:textId="77777777" w:rsidR="004D556D" w:rsidRPr="000F6CD1" w:rsidRDefault="004D556D">
            <w:pPr>
              <w:numPr>
                <w:ilvl w:val="0"/>
                <w:numId w:val="255"/>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either of the following apply:</w:t>
            </w:r>
          </w:p>
          <w:p w14:paraId="17F0B5A0" w14:textId="77777777" w:rsidR="004D556D" w:rsidRPr="000F6CD1" w:rsidRDefault="004D556D">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if the rules prescribe a time period</w:t>
            </w:r>
            <w:r w:rsidRPr="000F6CD1">
              <w:rPr>
                <w:rFonts w:eastAsia="Yu Gothic Light" w:hint="eastAsia"/>
                <w:color w:val="000000"/>
              </w:rPr>
              <w:t>—</w:t>
            </w:r>
            <w:r w:rsidRPr="000F6CD1">
              <w:rPr>
                <w:rFonts w:eastAsia="Yu Gothic Light"/>
                <w:color w:val="000000"/>
              </w:rPr>
              <w:t>not more than the number of applications prescribed by the rules have been made for the individual under subsection 82(2) of the Act in that time period;</w:t>
            </w:r>
          </w:p>
          <w:p w14:paraId="08747B1E" w14:textId="77777777" w:rsidR="004D556D" w:rsidRPr="000F6CD1" w:rsidRDefault="004D556D">
            <w:pPr>
              <w:numPr>
                <w:ilvl w:val="0"/>
                <w:numId w:val="254"/>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 you consider the circumstances (if any) prescribed by the rules apply.</w:t>
            </w:r>
          </w:p>
        </w:tc>
      </w:tr>
      <w:tr w:rsidR="004D556D" w:rsidRPr="000F6CD1" w14:paraId="57B038CE"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65BC2987" w14:textId="77777777" w:rsidR="004D556D" w:rsidRPr="000F6CD1" w:rsidRDefault="004D556D" w:rsidP="005960D3">
            <w:pPr>
              <w:tabs>
                <w:tab w:val="left" w:pos="0"/>
                <w:tab w:val="left" w:pos="0"/>
                <w:tab w:val="left" w:pos="1837"/>
              </w:tabs>
              <w:spacing w:before="120" w:after="120"/>
              <w:rPr>
                <w:rFonts w:eastAsia="Yu Gothic Light"/>
              </w:rPr>
            </w:pPr>
            <w:r w:rsidRPr="000F6CD1">
              <w:rPr>
                <w:rFonts w:eastAsia="Yu Gothic Light"/>
              </w:rPr>
              <w:lastRenderedPageBreak/>
              <w:t>Short-term for residential care</w:t>
            </w:r>
          </w:p>
        </w:tc>
        <w:tc>
          <w:tcPr>
            <w:tcW w:w="0" w:type="dxa"/>
            <w:tcMar>
              <w:left w:w="108" w:type="dxa"/>
              <w:right w:w="108" w:type="dxa"/>
            </w:tcMar>
          </w:tcPr>
          <w:p w14:paraId="7E920677"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The individual </w:t>
            </w:r>
          </w:p>
          <w:p w14:paraId="430F0F0C"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p w14:paraId="33C1171A"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The registered provider on behalf of the individual </w:t>
            </w:r>
          </w:p>
        </w:tc>
        <w:tc>
          <w:tcPr>
            <w:tcW w:w="0" w:type="dxa"/>
            <w:tcMar>
              <w:left w:w="108" w:type="dxa"/>
              <w:right w:w="108" w:type="dxa"/>
            </w:tcMar>
          </w:tcPr>
          <w:p w14:paraId="11A00ED3"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If:</w:t>
            </w:r>
          </w:p>
          <w:p w14:paraId="446567FA"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p w14:paraId="0152CBEC" w14:textId="77777777" w:rsidR="004D556D" w:rsidRPr="000F6CD1" w:rsidRDefault="004D556D">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the applicant considers a different classification level in the classification type for the service group should be approved for the individual; </w:t>
            </w:r>
            <w:r w:rsidRPr="000F6CD1">
              <w:rPr>
                <w:rFonts w:eastAsia="Yu Gothic Light"/>
                <w:color w:val="000000"/>
                <w:u w:val="single"/>
              </w:rPr>
              <w:t>and</w:t>
            </w:r>
          </w:p>
          <w:p w14:paraId="6065D800" w14:textId="77777777" w:rsidR="004D556D" w:rsidRPr="000F6CD1" w:rsidRDefault="004D556D">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 an access approval is in effect for the individual for the classification type for the service group; </w:t>
            </w:r>
            <w:r w:rsidRPr="000F6CD1">
              <w:rPr>
                <w:rFonts w:eastAsia="Yu Gothic Light"/>
                <w:color w:val="000000"/>
                <w:u w:val="single"/>
              </w:rPr>
              <w:t>and</w:t>
            </w:r>
          </w:p>
          <w:p w14:paraId="3E1C6BD7" w14:textId="77777777" w:rsidR="004D556D" w:rsidRPr="000F6CD1" w:rsidRDefault="004D556D">
            <w:pPr>
              <w:numPr>
                <w:ilvl w:val="0"/>
                <w:numId w:val="253"/>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if the application is made by the registered provider:</w:t>
            </w:r>
          </w:p>
          <w:p w14:paraId="6361F55D" w14:textId="77777777" w:rsidR="004D556D" w:rsidRPr="000F6CD1" w:rsidRDefault="004D556D">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the registered provider is delivering short</w:t>
            </w:r>
            <w:r w:rsidRPr="000F6CD1">
              <w:rPr>
                <w:rFonts w:ascii="Cambria Math" w:eastAsia="Yu Gothic Light" w:hAnsi="Cambria Math" w:cs="Cambria Math"/>
                <w:color w:val="000000"/>
              </w:rPr>
              <w:t>‑</w:t>
            </w:r>
            <w:r w:rsidRPr="000F6CD1">
              <w:rPr>
                <w:rFonts w:eastAsia="Yu Gothic Light"/>
                <w:color w:val="000000"/>
              </w:rPr>
              <w:t>term funded aged care services through the residential care service group to the individual in an approved residential care home; and</w:t>
            </w:r>
          </w:p>
          <w:p w14:paraId="400EDDF5" w14:textId="77777777" w:rsidR="004D556D" w:rsidRPr="000F6CD1" w:rsidRDefault="004D556D">
            <w:pPr>
              <w:numPr>
                <w:ilvl w:val="0"/>
                <w:numId w:val="252"/>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u w:val="single"/>
              </w:rPr>
            </w:pPr>
            <w:r w:rsidRPr="000F6CD1">
              <w:rPr>
                <w:rFonts w:eastAsia="Yu Gothic Light"/>
                <w:color w:val="000000"/>
              </w:rPr>
              <w:t xml:space="preserve">those funded aged care services are </w:t>
            </w:r>
            <w:r w:rsidRPr="000F6CD1">
              <w:rPr>
                <w:rFonts w:eastAsia="Yu Gothic Light"/>
                <w:color w:val="000000"/>
                <w:u w:val="single"/>
              </w:rPr>
              <w:t>not</w:t>
            </w:r>
            <w:r w:rsidRPr="000F6CD1">
              <w:rPr>
                <w:rFonts w:eastAsia="Yu Gothic Light"/>
                <w:color w:val="000000"/>
              </w:rPr>
              <w:t xml:space="preserve"> being delivered under a specialist aged care program; </w:t>
            </w:r>
            <w:r w:rsidRPr="000F6CD1">
              <w:rPr>
                <w:rFonts w:eastAsia="Yu Gothic Light"/>
                <w:color w:val="000000"/>
                <w:u w:val="single"/>
              </w:rPr>
              <w:t xml:space="preserve">and </w:t>
            </w:r>
          </w:p>
          <w:p w14:paraId="1565CC6F" w14:textId="77777777" w:rsidR="004D556D" w:rsidRPr="000F6CD1" w:rsidRDefault="004D556D">
            <w:pPr>
              <w:numPr>
                <w:ilvl w:val="0"/>
                <w:numId w:val="251"/>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either of the following apply:</w:t>
            </w:r>
          </w:p>
          <w:p w14:paraId="7D607C49" w14:textId="77777777" w:rsidR="004D556D" w:rsidRPr="000F6CD1" w:rsidRDefault="004D556D">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if the rules prescribe a time period</w:t>
            </w:r>
            <w:r w:rsidRPr="000F6CD1">
              <w:rPr>
                <w:rFonts w:eastAsia="Yu Gothic Light" w:hint="eastAsia"/>
                <w:color w:val="000000"/>
              </w:rPr>
              <w:t>—</w:t>
            </w:r>
            <w:r w:rsidRPr="000F6CD1">
              <w:rPr>
                <w:rFonts w:eastAsia="Yu Gothic Light"/>
                <w:color w:val="000000"/>
              </w:rPr>
              <w:t>not more than the number of applications prescribed by the rules have been made for the individual under subsection 82(3) of the Act in that time period;</w:t>
            </w:r>
          </w:p>
          <w:p w14:paraId="798D0509" w14:textId="77777777" w:rsidR="004D556D" w:rsidRPr="000F6CD1" w:rsidRDefault="004D556D">
            <w:pPr>
              <w:numPr>
                <w:ilvl w:val="0"/>
                <w:numId w:val="250"/>
              </w:numPr>
              <w:spacing w:before="120" w:after="120"/>
              <w:ind w:left="144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You consider the circumstances (if any) prescribed by the rules apply.</w:t>
            </w:r>
          </w:p>
          <w:p w14:paraId="320728AD"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tc>
      </w:tr>
      <w:tr w:rsidR="004D556D" w:rsidRPr="000F6CD1" w14:paraId="378AA426"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Mar>
              <w:left w:w="108" w:type="dxa"/>
              <w:right w:w="108" w:type="dxa"/>
            </w:tcMar>
          </w:tcPr>
          <w:p w14:paraId="1E802D60" w14:textId="77777777" w:rsidR="004D556D" w:rsidRPr="000F6CD1" w:rsidRDefault="004D556D" w:rsidP="005960D3">
            <w:pPr>
              <w:spacing w:before="120" w:after="120"/>
              <w:rPr>
                <w:rFonts w:eastAsia="Yu Gothic Light"/>
              </w:rPr>
            </w:pPr>
            <w:r w:rsidRPr="000F6CD1">
              <w:rPr>
                <w:rFonts w:eastAsia="Yu Gothic Light"/>
              </w:rPr>
              <w:t>Hospital transition (for any service group)</w:t>
            </w:r>
          </w:p>
        </w:tc>
        <w:tc>
          <w:tcPr>
            <w:tcW w:w="0" w:type="dxa"/>
            <w:tcMar>
              <w:left w:w="108" w:type="dxa"/>
              <w:right w:w="108" w:type="dxa"/>
            </w:tcMar>
          </w:tcPr>
          <w:p w14:paraId="36597CFD"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A registered provider on behalf of an individual </w:t>
            </w:r>
          </w:p>
        </w:tc>
        <w:tc>
          <w:tcPr>
            <w:tcW w:w="0" w:type="dxa"/>
            <w:tcMar>
              <w:left w:w="108" w:type="dxa"/>
              <w:right w:w="108" w:type="dxa"/>
            </w:tcMar>
          </w:tcPr>
          <w:p w14:paraId="221CC9D5"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All of the following apply:</w:t>
            </w:r>
          </w:p>
          <w:p w14:paraId="4577B4A3"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p w14:paraId="1C59BD44" w14:textId="77777777" w:rsidR="004D556D" w:rsidRPr="000F6CD1" w:rsidRDefault="004D556D">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the registered provider is delivering hospital transition funded aged care services to the individual through the service group; and</w:t>
            </w:r>
          </w:p>
          <w:p w14:paraId="39BE8A55" w14:textId="77777777" w:rsidR="004D556D" w:rsidRPr="000F6CD1" w:rsidRDefault="004D556D">
            <w:pPr>
              <w:numPr>
                <w:ilvl w:val="0"/>
                <w:numId w:val="249"/>
              </w:numPr>
              <w:spacing w:before="120" w:after="120"/>
              <w:contextualSpacing/>
              <w:cnfStyle w:val="000000000000" w:firstRow="0" w:lastRow="0" w:firstColumn="0" w:lastColumn="0" w:oddVBand="0" w:evenVBand="0" w:oddHBand="0" w:evenHBand="0" w:firstRowFirstColumn="0" w:firstRowLastColumn="0" w:lastRowFirstColumn="0" w:lastRowLastColumn="0"/>
              <w:rPr>
                <w:rFonts w:eastAsia="Yu Gothic Light"/>
                <w:color w:val="000000"/>
              </w:rPr>
            </w:pPr>
            <w:r w:rsidRPr="000F6CD1">
              <w:rPr>
                <w:rFonts w:eastAsia="Yu Gothic Light"/>
                <w:color w:val="000000"/>
              </w:rPr>
              <w:t xml:space="preserve">the registered provider or the individual considers that an extension of the period of effect for the classification level that is in effect for the individual </w:t>
            </w:r>
            <w:r w:rsidRPr="000F6CD1">
              <w:rPr>
                <w:rFonts w:eastAsia="Yu Gothic Light"/>
                <w:color w:val="000000"/>
              </w:rPr>
              <w:lastRenderedPageBreak/>
              <w:t>for the classification type for the service group should be approved for the individual.</w:t>
            </w:r>
          </w:p>
          <w:p w14:paraId="5DCDB44C" w14:textId="77777777" w:rsidR="004D556D" w:rsidRPr="000F6CD1" w:rsidRDefault="004D556D" w:rsidP="005960D3">
            <w:pPr>
              <w:spacing w:before="120" w:after="120"/>
              <w:cnfStyle w:val="000000000000" w:firstRow="0" w:lastRow="0" w:firstColumn="0" w:lastColumn="0" w:oddVBand="0" w:evenVBand="0" w:oddHBand="0" w:evenHBand="0" w:firstRowFirstColumn="0" w:firstRowLastColumn="0" w:lastRowFirstColumn="0" w:lastRowLastColumn="0"/>
              <w:rPr>
                <w:rFonts w:eastAsia="Yu Gothic Light"/>
              </w:rPr>
            </w:pPr>
            <w:r w:rsidRPr="000F6CD1">
              <w:rPr>
                <w:rFonts w:eastAsia="Yu Gothic Light"/>
              </w:rPr>
              <w:t xml:space="preserve"> </w:t>
            </w:r>
          </w:p>
        </w:tc>
      </w:tr>
    </w:tbl>
    <w:p w14:paraId="5CC805CB"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When a reassessment is needed (for all classifications except those for the residential care service group), triage</w:t>
      </w:r>
      <w:r w:rsidRPr="000F6CD1" w:rsidDel="004727B0">
        <w:rPr>
          <w:rFonts w:eastAsia="Yu Gothic Light"/>
        </w:rPr>
        <w:t xml:space="preserve"> </w:t>
      </w:r>
      <w:r w:rsidRPr="000F6CD1">
        <w:rPr>
          <w:rFonts w:eastAsia="Yu Gothic Light"/>
        </w:rPr>
        <w:t>delegates will review the application, considering the individual</w:t>
      </w:r>
      <w:r w:rsidRPr="000F6CD1">
        <w:rPr>
          <w:rFonts w:eastAsia="Yu Gothic Light" w:hint="eastAsia"/>
        </w:rPr>
        <w:t>’</w:t>
      </w:r>
      <w:r w:rsidRPr="000F6CD1">
        <w:rPr>
          <w:rFonts w:eastAsia="Yu Gothic Light"/>
        </w:rPr>
        <w:t>s current care needs and whether they still meet the requirements for a classification reassessment.</w:t>
      </w:r>
    </w:p>
    <w:p w14:paraId="00931B3C" w14:textId="77777777" w:rsidR="004D556D" w:rsidRPr="000F6CD1" w:rsidRDefault="004D556D" w:rsidP="00622CFF">
      <w:pPr>
        <w:spacing w:before="240" w:after="240" w:line="240" w:lineRule="auto"/>
        <w:rPr>
          <w:rFonts w:eastAsia="Yu Gothic Light"/>
          <w:b/>
        </w:rPr>
      </w:pPr>
      <w:r w:rsidRPr="000F6CD1">
        <w:rPr>
          <w:rFonts w:eastAsia="Yu Gothic Light"/>
        </w:rPr>
        <w:t>If the application meets the necessary criteria, a reassessment will be carried out, and a new recommendation will be prepared and presented to the assessment delegate</w:t>
      </w:r>
      <w:r w:rsidRPr="000F6CD1">
        <w:rPr>
          <w:rFonts w:eastAsia="Yu Gothic Light"/>
          <w:bCs/>
        </w:rPr>
        <w:t>.</w:t>
      </w:r>
      <w:r w:rsidRPr="000F6CD1">
        <w:rPr>
          <w:rFonts w:eastAsia="Yu Gothic Light"/>
        </w:rPr>
        <w:t xml:space="preserve"> Assessment</w:t>
      </w:r>
      <w:r w:rsidRPr="000F6CD1" w:rsidDel="0044640F">
        <w:rPr>
          <w:rFonts w:eastAsia="Yu Gothic Light"/>
        </w:rPr>
        <w:t xml:space="preserve"> </w:t>
      </w:r>
      <w:r w:rsidRPr="000F6CD1">
        <w:rPr>
          <w:rFonts w:eastAsia="Yu Gothic Light"/>
        </w:rPr>
        <w:t>delegates are responsible for deciding whether to approve a different classification level for the classification type for a service group or</w:t>
      </w:r>
      <w:r w:rsidRPr="000F6CD1" w:rsidDel="009239D1">
        <w:rPr>
          <w:rFonts w:eastAsia="Yu Gothic Light"/>
        </w:rPr>
        <w:t xml:space="preserve"> </w:t>
      </w:r>
      <w:r w:rsidRPr="000F6CD1">
        <w:rPr>
          <w:rFonts w:eastAsia="Yu Gothic Light"/>
        </w:rPr>
        <w:t xml:space="preserve">an extension of the classification level (if relevant) under section 78 of the </w:t>
      </w:r>
      <w:r w:rsidRPr="00EB1D79">
        <w:rPr>
          <w:rFonts w:eastAsia="Yu Gothic Light"/>
          <w:i/>
          <w:iCs/>
        </w:rPr>
        <w:t>Aged Care Act 2024</w:t>
      </w:r>
      <w:r w:rsidRPr="000F6CD1">
        <w:rPr>
          <w:rFonts w:eastAsia="Yu Gothic Light"/>
        </w:rPr>
        <w:t xml:space="preserve"> (the Act). All new decisions must be documented in a new Notice of Decision</w:t>
      </w:r>
      <w:r w:rsidRPr="000F6CD1">
        <w:rPr>
          <w:rFonts w:eastAsia="Yu Gothic Light"/>
          <w:b/>
        </w:rPr>
        <w:t xml:space="preserve"> </w:t>
      </w:r>
      <w:r w:rsidRPr="000F6CD1">
        <w:rPr>
          <w:rFonts w:eastAsia="Yu Gothic Light"/>
        </w:rPr>
        <w:t>letter which must be made in accordance with the requirements of section 79 of the Act</w:t>
      </w:r>
      <w:r w:rsidRPr="000F6CD1">
        <w:rPr>
          <w:rFonts w:eastAsia="Yu Gothic Light"/>
          <w:b/>
        </w:rPr>
        <w:t>.</w:t>
      </w:r>
    </w:p>
    <w:p w14:paraId="26888226" w14:textId="77777777" w:rsidR="004D556D" w:rsidRPr="000F6CD1" w:rsidRDefault="004D556D" w:rsidP="00622CFF">
      <w:pPr>
        <w:spacing w:before="240" w:after="240" w:line="240" w:lineRule="auto"/>
        <w:rPr>
          <w:rFonts w:eastAsia="Yu Gothic Light"/>
        </w:rPr>
      </w:pPr>
      <w:r w:rsidRPr="000F6CD1">
        <w:rPr>
          <w:rFonts w:eastAsia="Yu Gothic Light"/>
        </w:rPr>
        <w:t>Note that a classification reassessment for ongoing residential care is commonly known as an AN-ACC reclassification and is the responsibility of Residential Aged Care funding assessors.</w:t>
      </w:r>
    </w:p>
    <w:p w14:paraId="5DF5ABDE" w14:textId="77777777" w:rsidR="004D556D" w:rsidRPr="000F6CD1" w:rsidRDefault="004D556D" w:rsidP="006647CE">
      <w:pPr>
        <w:pStyle w:val="h2"/>
      </w:pPr>
      <w:bookmarkStart w:id="651" w:name="_Toc1022004093"/>
      <w:bookmarkStart w:id="652" w:name="_Toc199344514"/>
      <w:bookmarkStart w:id="653" w:name="_Toc205372044"/>
      <w:bookmarkStart w:id="654" w:name="_Toc207713949"/>
      <w:bookmarkStart w:id="655" w:name="_Toc209189020"/>
      <w:bookmarkStart w:id="656" w:name="_Toc233282478"/>
      <w:r w:rsidRPr="000F6CD1">
        <w:t>Summary of assessment delegate responsibilities under the Act</w:t>
      </w:r>
      <w:bookmarkEnd w:id="651"/>
      <w:bookmarkEnd w:id="652"/>
      <w:bookmarkEnd w:id="653"/>
      <w:bookmarkEnd w:id="654"/>
      <w:bookmarkEnd w:id="655"/>
      <w:bookmarkEnd w:id="656"/>
    </w:p>
    <w:p w14:paraId="34CF549B"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table below summarises all of the decisions that assessment delegates are empowered to make or actions they are empowered to take under the </w:t>
      </w:r>
      <w:r w:rsidRPr="000F6CD1" w:rsidDel="00A25B31">
        <w:rPr>
          <w:rFonts w:eastAsia="Yu Gothic Light"/>
        </w:rPr>
        <w:t>Act</w:t>
      </w:r>
      <w:r w:rsidRPr="000F6CD1">
        <w:rPr>
          <w:rFonts w:eastAsia="Yu Gothic Light"/>
          <w:i/>
        </w:rPr>
        <w:t>,</w:t>
      </w:r>
      <w:r w:rsidRPr="000F6CD1" w:rsidDel="00EF5AE3">
        <w:rPr>
          <w:rFonts w:eastAsia="Yu Gothic Light"/>
        </w:rPr>
        <w:t xml:space="preserve"> </w:t>
      </w:r>
      <w:r w:rsidRPr="000F6CD1">
        <w:rPr>
          <w:rFonts w:eastAsia="Yu Gothic Light"/>
        </w:rPr>
        <w:t>assessment</w:t>
      </w:r>
      <w:r w:rsidRPr="000F6CD1" w:rsidDel="00A25B31">
        <w:rPr>
          <w:rFonts w:eastAsia="Yu Gothic Light"/>
        </w:rPr>
        <w:t xml:space="preserve"> </w:t>
      </w:r>
      <w:r w:rsidRPr="000F6CD1">
        <w:rPr>
          <w:rFonts w:eastAsia="Yu Gothic Light"/>
        </w:rPr>
        <w:t>delegate responsibilities include notifying the older person (and their registered supporter/s, if applicable) of the outcome of their assessment; this is explained in detail in the following chapter.</w:t>
      </w:r>
    </w:p>
    <w:p w14:paraId="10ED7E27" w14:textId="4DD25F7F" w:rsidR="004D556D" w:rsidRPr="000F6CD1" w:rsidRDefault="004D556D" w:rsidP="00622CFF">
      <w:pPr>
        <w:pStyle w:val="Caption"/>
        <w:spacing w:before="240" w:after="240"/>
        <w:rPr>
          <w:rFonts w:eastAsia="Yu Gothic Light"/>
        </w:rPr>
      </w:pPr>
      <w:r w:rsidRPr="000F6CD1">
        <w:rPr>
          <w:rFonts w:eastAsia="Yu Gothic Light"/>
        </w:rPr>
        <w:t>Table 4</w:t>
      </w:r>
      <w:r w:rsidR="006E724C">
        <w:rPr>
          <w:rFonts w:eastAsia="Yu Gothic Light"/>
        </w:rPr>
        <w:t>6</w:t>
      </w:r>
      <w:r w:rsidRPr="000F6CD1">
        <w:rPr>
          <w:rFonts w:eastAsia="Yu Gothic Light"/>
        </w:rPr>
        <w:t>. Summary of decisions and actions Assessment Delegates are empowered to undertake</w:t>
      </w:r>
    </w:p>
    <w:tbl>
      <w:tblPr>
        <w:tblStyle w:val="TableGrid"/>
        <w:tblW w:w="9070" w:type="dxa"/>
        <w:tblLayout w:type="fixed"/>
        <w:tblLook w:val="04A0" w:firstRow="1" w:lastRow="0" w:firstColumn="1" w:lastColumn="0" w:noHBand="0" w:noVBand="1"/>
        <w:tblCaption w:val="Summary of decisions and actions Assessment Delegates are empowered to undertake"/>
        <w:tblDescription w:val="The table provides a summary of decisions and actions Assessment Delegates are empowered to undertake"/>
      </w:tblPr>
      <w:tblGrid>
        <w:gridCol w:w="1694"/>
        <w:gridCol w:w="1131"/>
        <w:gridCol w:w="6245"/>
      </w:tblGrid>
      <w:tr w:rsidR="004D556D" w:rsidRPr="000F6CD1" w14:paraId="3640F9AF" w14:textId="77777777">
        <w:trPr>
          <w:trHeight w:val="300"/>
          <w:tblHeader/>
        </w:trPr>
        <w:tc>
          <w:tcPr>
            <w:tcW w:w="169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20D485B" w14:textId="77777777" w:rsidR="004D556D" w:rsidRPr="000F6CD1" w:rsidRDefault="004D556D" w:rsidP="00622CFF">
            <w:pPr>
              <w:spacing w:before="240" w:after="240"/>
              <w:rPr>
                <w:rFonts w:eastAsia="Arial"/>
                <w:b/>
                <w:szCs w:val="22"/>
              </w:rPr>
            </w:pPr>
            <w:r w:rsidRPr="000F6CD1">
              <w:rPr>
                <w:rFonts w:eastAsia="Arial"/>
                <w:b/>
                <w:szCs w:val="22"/>
              </w:rPr>
              <w:t xml:space="preserve">Decision Type </w:t>
            </w:r>
          </w:p>
        </w:tc>
        <w:tc>
          <w:tcPr>
            <w:tcW w:w="113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529D88A6" w14:textId="77777777" w:rsidR="004D556D" w:rsidRPr="000F6CD1" w:rsidRDefault="004D556D" w:rsidP="00622CFF">
            <w:pPr>
              <w:spacing w:before="240" w:after="240"/>
              <w:rPr>
                <w:rFonts w:eastAsia="Arial"/>
                <w:b/>
                <w:szCs w:val="22"/>
              </w:rPr>
            </w:pPr>
            <w:r w:rsidRPr="000F6CD1">
              <w:rPr>
                <w:rFonts w:eastAsia="Arial"/>
                <w:b/>
                <w:szCs w:val="22"/>
              </w:rPr>
              <w:t xml:space="preserve">Section </w:t>
            </w:r>
          </w:p>
        </w:tc>
        <w:tc>
          <w:tcPr>
            <w:tcW w:w="6245"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0902DFD" w14:textId="77777777" w:rsidR="004D556D" w:rsidRPr="000F6CD1" w:rsidRDefault="004D556D" w:rsidP="00622CFF">
            <w:pPr>
              <w:spacing w:before="240" w:after="240"/>
              <w:rPr>
                <w:rFonts w:eastAsia="Arial"/>
                <w:b/>
                <w:szCs w:val="22"/>
              </w:rPr>
            </w:pPr>
            <w:r w:rsidRPr="000F6CD1">
              <w:rPr>
                <w:rFonts w:eastAsia="Arial"/>
                <w:b/>
                <w:szCs w:val="22"/>
              </w:rPr>
              <w:t>Decision/Action</w:t>
            </w:r>
          </w:p>
        </w:tc>
      </w:tr>
      <w:tr w:rsidR="004D556D" w:rsidRPr="000F6CD1" w14:paraId="601F57C5" w14:textId="77777777">
        <w:trPr>
          <w:trHeight w:val="300"/>
        </w:trPr>
        <w:tc>
          <w:tcPr>
            <w:tcW w:w="1694" w:type="dxa"/>
            <w:vMerge w:val="restart"/>
            <w:tcBorders>
              <w:top w:val="single" w:sz="8" w:space="0" w:color="auto"/>
              <w:left w:val="single" w:sz="8" w:space="0" w:color="auto"/>
              <w:right w:val="single" w:sz="8" w:space="0" w:color="auto"/>
            </w:tcBorders>
            <w:shd w:val="clear" w:color="auto" w:fill="002060"/>
            <w:tcMar>
              <w:left w:w="108" w:type="dxa"/>
              <w:right w:w="108" w:type="dxa"/>
            </w:tcMar>
          </w:tcPr>
          <w:p w14:paraId="75B77FF2" w14:textId="77777777" w:rsidR="004D556D" w:rsidRPr="000F6CD1" w:rsidRDefault="004D556D" w:rsidP="00622CFF">
            <w:pPr>
              <w:spacing w:before="240" w:after="240"/>
              <w:rPr>
                <w:rFonts w:eastAsia="Arial"/>
                <w:color w:val="FFFFFF" w:themeColor="background1"/>
                <w:szCs w:val="22"/>
              </w:rPr>
            </w:pPr>
            <w:r w:rsidRPr="000F6CD1">
              <w:rPr>
                <w:rFonts w:eastAsia="Arial"/>
                <w:color w:val="FFFFFF" w:themeColor="background1"/>
                <w:szCs w:val="22"/>
              </w:rPr>
              <w:t xml:space="preserve">Access Approval Decisions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BB45643" w14:textId="77777777" w:rsidR="004D556D" w:rsidRPr="000F6CD1" w:rsidRDefault="004D556D" w:rsidP="00622CFF">
            <w:pPr>
              <w:spacing w:before="240" w:after="240"/>
              <w:rPr>
                <w:rFonts w:eastAsia="Arial"/>
                <w:color w:val="000000"/>
                <w:szCs w:val="22"/>
              </w:rPr>
            </w:pPr>
            <w:r w:rsidRPr="000F6CD1">
              <w:rPr>
                <w:rFonts w:eastAsia="Arial"/>
                <w:color w:val="000000"/>
                <w:szCs w:val="22"/>
              </w:rPr>
              <w:t xml:space="preserve">65(1)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705DF8D1" w14:textId="63F0AD35" w:rsidR="004D556D" w:rsidRPr="000F6CD1" w:rsidRDefault="004D556D" w:rsidP="00622CFF">
            <w:pPr>
              <w:spacing w:before="240" w:after="240"/>
              <w:rPr>
                <w:rFonts w:eastAsia="Arial"/>
                <w:color w:val="000000"/>
                <w:szCs w:val="22"/>
              </w:rPr>
            </w:pPr>
            <w:r w:rsidRPr="000F6CD1">
              <w:rPr>
                <w:rFonts w:eastAsia="Arial"/>
                <w:color w:val="000000"/>
                <w:szCs w:val="22"/>
              </w:rPr>
              <w:t>An assessment</w:t>
            </w:r>
            <w:r w:rsidRPr="000F6CD1" w:rsidDel="00EF5AE3">
              <w:rPr>
                <w:rFonts w:eastAsia="Arial"/>
                <w:color w:val="000000"/>
                <w:szCs w:val="22"/>
              </w:rPr>
              <w:t xml:space="preserve"> </w:t>
            </w:r>
            <w:r w:rsidRPr="000F6CD1">
              <w:rPr>
                <w:rFonts w:eastAsia="Arial"/>
                <w:color w:val="000000"/>
                <w:szCs w:val="22"/>
              </w:rPr>
              <w:t xml:space="preserve">delegate receives and considers an individual’s support plan, deciding whether </w:t>
            </w:r>
            <w:r w:rsidR="00BA03B8">
              <w:rPr>
                <w:rFonts w:eastAsia="Arial"/>
                <w:color w:val="000000"/>
                <w:szCs w:val="22"/>
              </w:rPr>
              <w:t xml:space="preserve">the </w:t>
            </w:r>
            <w:r w:rsidR="00157081">
              <w:rPr>
                <w:rFonts w:eastAsia="Arial"/>
                <w:color w:val="000000"/>
                <w:szCs w:val="22"/>
              </w:rPr>
              <w:t>individual requires</w:t>
            </w:r>
            <w:r w:rsidRPr="000F6CD1">
              <w:rPr>
                <w:rFonts w:eastAsia="Arial"/>
                <w:color w:val="000000"/>
                <w:szCs w:val="22"/>
              </w:rPr>
              <w:t xml:space="preserve"> access to funded services </w:t>
            </w:r>
          </w:p>
        </w:tc>
      </w:tr>
      <w:tr w:rsidR="004D556D" w:rsidRPr="000F6CD1" w14:paraId="33331837" w14:textId="77777777">
        <w:trPr>
          <w:trHeight w:val="300"/>
        </w:trPr>
        <w:tc>
          <w:tcPr>
            <w:tcW w:w="1694" w:type="dxa"/>
            <w:vMerge/>
            <w:shd w:val="clear" w:color="auto" w:fill="002060"/>
            <w:vAlign w:val="center"/>
          </w:tcPr>
          <w:p w14:paraId="2D77057F" w14:textId="77777777" w:rsidR="004D556D" w:rsidRPr="000F6CD1" w:rsidRDefault="004D556D"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A1AA650" w14:textId="77777777" w:rsidR="004D556D" w:rsidRPr="000F6CD1" w:rsidRDefault="004D556D" w:rsidP="00622CFF">
            <w:pPr>
              <w:spacing w:before="240" w:after="240"/>
              <w:rPr>
                <w:rFonts w:eastAsia="Arial"/>
                <w:color w:val="000000"/>
                <w:szCs w:val="22"/>
              </w:rPr>
            </w:pPr>
            <w:r w:rsidRPr="000F6CD1">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7B6B2858" w14:textId="77777777" w:rsidR="004D556D" w:rsidRPr="000F6CD1" w:rsidRDefault="004D556D" w:rsidP="00622CFF">
            <w:pPr>
              <w:spacing w:before="240" w:after="240"/>
              <w:rPr>
                <w:rFonts w:eastAsia="Arial"/>
                <w:color w:val="000000"/>
                <w:szCs w:val="22"/>
              </w:rPr>
            </w:pPr>
            <w:r w:rsidRPr="000F6CD1">
              <w:rPr>
                <w:rFonts w:eastAsia="Arial"/>
                <w:color w:val="000000"/>
                <w:szCs w:val="22"/>
              </w:rPr>
              <w:t>An assessment</w:t>
            </w:r>
            <w:r w:rsidRPr="000F6CD1" w:rsidDel="00A25B31">
              <w:rPr>
                <w:rFonts w:eastAsia="Arial"/>
                <w:color w:val="000000"/>
                <w:szCs w:val="22"/>
              </w:rPr>
              <w:t xml:space="preserve"> </w:t>
            </w:r>
            <w:r w:rsidRPr="000F6CD1">
              <w:rPr>
                <w:rFonts w:eastAsia="Arial"/>
                <w:color w:val="000000"/>
                <w:szCs w:val="22"/>
              </w:rPr>
              <w:t xml:space="preserve">delegate must decide whether to approve one or more service groups and the classification types for the service groups </w:t>
            </w:r>
          </w:p>
          <w:p w14:paraId="58F7BDA4" w14:textId="196D5F85" w:rsidR="004D556D" w:rsidRPr="000F6CD1" w:rsidRDefault="004D556D" w:rsidP="00622CFF">
            <w:pPr>
              <w:spacing w:before="240" w:after="240"/>
              <w:rPr>
                <w:rFonts w:eastAsia="Arial"/>
                <w:color w:val="000000"/>
                <w:szCs w:val="22"/>
              </w:rPr>
            </w:pPr>
            <w:r w:rsidRPr="000F6CD1">
              <w:rPr>
                <w:rFonts w:eastAsia="Arial"/>
                <w:color w:val="000000"/>
                <w:szCs w:val="22"/>
              </w:rPr>
              <w:t xml:space="preserve">In making this decision, the assessment delegate must be satisfied that all the </w:t>
            </w:r>
            <w:r w:rsidR="001F1B29">
              <w:rPr>
                <w:rFonts w:eastAsia="Arial"/>
                <w:color w:val="000000"/>
                <w:szCs w:val="22"/>
              </w:rPr>
              <w:t>re</w:t>
            </w:r>
            <w:r w:rsidR="00936162">
              <w:rPr>
                <w:rFonts w:eastAsia="Arial"/>
                <w:color w:val="000000"/>
                <w:szCs w:val="22"/>
              </w:rPr>
              <w:t>quirements</w:t>
            </w:r>
            <w:r w:rsidRPr="000F6CD1">
              <w:rPr>
                <w:rFonts w:eastAsia="Arial"/>
                <w:color w:val="000000"/>
                <w:szCs w:val="22"/>
              </w:rPr>
              <w:t xml:space="preserve"> prescribed in s 65(3) is met.</w:t>
            </w:r>
          </w:p>
        </w:tc>
      </w:tr>
      <w:tr w:rsidR="004D556D" w:rsidRPr="000F6CD1" w14:paraId="21902C67" w14:textId="77777777">
        <w:trPr>
          <w:trHeight w:val="300"/>
        </w:trPr>
        <w:tc>
          <w:tcPr>
            <w:tcW w:w="1694" w:type="dxa"/>
            <w:vMerge/>
            <w:shd w:val="clear" w:color="auto" w:fill="002060"/>
            <w:vAlign w:val="center"/>
          </w:tcPr>
          <w:p w14:paraId="4A34D570" w14:textId="77777777" w:rsidR="004D556D" w:rsidRPr="000F6CD1" w:rsidRDefault="004D556D"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67ED1342" w14:textId="77777777" w:rsidR="004D556D" w:rsidRPr="000F6CD1" w:rsidRDefault="004D556D" w:rsidP="00622CFF">
            <w:pPr>
              <w:spacing w:before="240" w:after="240"/>
              <w:rPr>
                <w:rFonts w:eastAsia="Arial"/>
                <w:color w:val="000000"/>
                <w:szCs w:val="22"/>
              </w:rPr>
            </w:pPr>
            <w:r w:rsidRPr="000F6CD1">
              <w:rPr>
                <w:rFonts w:eastAsia="Arial"/>
                <w:color w:val="000000"/>
                <w:szCs w:val="22"/>
              </w:rPr>
              <w:t>65(2)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D08C88F" w14:textId="77777777" w:rsidR="004D556D" w:rsidRPr="000F6CD1" w:rsidRDefault="004D556D" w:rsidP="00622CFF">
            <w:pPr>
              <w:spacing w:before="240" w:after="240"/>
              <w:rPr>
                <w:rFonts w:eastAsia="Arial"/>
                <w:color w:val="000000"/>
                <w:szCs w:val="22"/>
              </w:rPr>
            </w:pPr>
            <w:r w:rsidRPr="000F6CD1">
              <w:rPr>
                <w:rFonts w:eastAsia="Arial"/>
                <w:color w:val="000000"/>
                <w:szCs w:val="22"/>
              </w:rPr>
              <w:t xml:space="preserve">If the service group is home support, assistive technology or home modifications and the individual is not an Aboriginal and Torres Strait Islander person, an assessment delegate must decide: </w:t>
            </w:r>
          </w:p>
          <w:p w14:paraId="2502D9E9" w14:textId="77777777" w:rsidR="004D556D" w:rsidRPr="000F6CD1" w:rsidRDefault="004D556D">
            <w:pPr>
              <w:numPr>
                <w:ilvl w:val="0"/>
                <w:numId w:val="259"/>
              </w:numPr>
              <w:spacing w:before="240" w:after="240"/>
              <w:contextualSpacing/>
              <w:rPr>
                <w:rFonts w:eastAsia="Arial"/>
                <w:color w:val="000000"/>
                <w:szCs w:val="22"/>
              </w:rPr>
            </w:pPr>
            <w:r w:rsidRPr="000F6CD1">
              <w:rPr>
                <w:rFonts w:eastAsia="Arial"/>
                <w:color w:val="000000"/>
                <w:szCs w:val="22"/>
              </w:rPr>
              <w:t xml:space="preserve">Whether to approve one or more service types in that group </w:t>
            </w:r>
          </w:p>
          <w:p w14:paraId="796E8FD1" w14:textId="77777777" w:rsidR="004D556D" w:rsidRPr="000F6CD1" w:rsidRDefault="004D556D">
            <w:pPr>
              <w:numPr>
                <w:ilvl w:val="0"/>
                <w:numId w:val="259"/>
              </w:numPr>
              <w:spacing w:before="240" w:after="240"/>
              <w:contextualSpacing/>
              <w:rPr>
                <w:rFonts w:eastAsia="Arial"/>
                <w:color w:val="000000"/>
                <w:szCs w:val="22"/>
              </w:rPr>
            </w:pPr>
            <w:r w:rsidRPr="000F6CD1">
              <w:rPr>
                <w:rFonts w:eastAsia="Arial"/>
                <w:color w:val="000000"/>
                <w:szCs w:val="22"/>
              </w:rPr>
              <w:t xml:space="preserve">If the service type is allied health therapy or therapeutic services for independent living whether to approve one or more funded services in that type </w:t>
            </w:r>
          </w:p>
        </w:tc>
      </w:tr>
      <w:tr w:rsidR="004D556D" w:rsidRPr="000F6CD1" w14:paraId="327ADFA5" w14:textId="77777777">
        <w:trPr>
          <w:trHeight w:val="300"/>
        </w:trPr>
        <w:tc>
          <w:tcPr>
            <w:tcW w:w="1694" w:type="dxa"/>
            <w:vMerge/>
            <w:shd w:val="clear" w:color="auto" w:fill="002060"/>
            <w:vAlign w:val="center"/>
          </w:tcPr>
          <w:p w14:paraId="33043F6A" w14:textId="77777777" w:rsidR="004D556D" w:rsidRPr="000F6CD1" w:rsidRDefault="004D556D"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50190BC" w14:textId="77777777" w:rsidR="004D556D" w:rsidRPr="000F6CD1" w:rsidRDefault="004D556D" w:rsidP="00622CFF">
            <w:pPr>
              <w:spacing w:before="240" w:after="240"/>
              <w:rPr>
                <w:rFonts w:eastAsia="Arial"/>
                <w:color w:val="000000"/>
                <w:szCs w:val="22"/>
              </w:rPr>
            </w:pPr>
            <w:r w:rsidRPr="000F6CD1">
              <w:rPr>
                <w:rFonts w:eastAsia="Arial"/>
                <w:color w:val="000000"/>
                <w:szCs w:val="22"/>
              </w:rPr>
              <w:t>65(4)</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681A6438" w14:textId="77777777" w:rsidR="004D556D" w:rsidRPr="000F6CD1" w:rsidRDefault="004D556D" w:rsidP="00622CFF">
            <w:pPr>
              <w:spacing w:before="240" w:after="240"/>
              <w:rPr>
                <w:rFonts w:eastAsia="Arial"/>
                <w:color w:val="000000"/>
                <w:szCs w:val="22"/>
              </w:rPr>
            </w:pPr>
            <w:r w:rsidRPr="000F6CD1">
              <w:rPr>
                <w:rFonts w:eastAsia="Arial"/>
                <w:color w:val="000000"/>
                <w:szCs w:val="22"/>
              </w:rPr>
              <w:t xml:space="preserve">In exceptional circumstances an assessment delegate can approve access for an individual who has not undergone an assessment if: </w:t>
            </w:r>
          </w:p>
          <w:p w14:paraId="5783B613" w14:textId="397CE00B" w:rsidR="004D556D" w:rsidRDefault="004D556D">
            <w:pPr>
              <w:numPr>
                <w:ilvl w:val="0"/>
                <w:numId w:val="258"/>
              </w:numPr>
              <w:spacing w:before="240" w:after="240"/>
              <w:contextualSpacing/>
              <w:rPr>
                <w:rFonts w:eastAsia="Arial"/>
                <w:color w:val="000000"/>
                <w:szCs w:val="22"/>
              </w:rPr>
            </w:pPr>
            <w:r w:rsidRPr="000F6CD1">
              <w:rPr>
                <w:rFonts w:eastAsia="Arial"/>
                <w:color w:val="000000"/>
                <w:szCs w:val="22"/>
              </w:rPr>
              <w:t xml:space="preserve">The assessment delegate is satisfied exceptional circumstances apply </w:t>
            </w:r>
            <w:r w:rsidR="0072503A">
              <w:rPr>
                <w:rFonts w:eastAsia="Arial"/>
                <w:color w:val="000000"/>
                <w:szCs w:val="22"/>
              </w:rPr>
              <w:t xml:space="preserve">that </w:t>
            </w:r>
            <w:r w:rsidR="00510EDA">
              <w:rPr>
                <w:rFonts w:eastAsia="Arial"/>
                <w:color w:val="000000"/>
                <w:szCs w:val="22"/>
              </w:rPr>
              <w:t xml:space="preserve">justify making the decision without an assessment. </w:t>
            </w:r>
          </w:p>
          <w:p w14:paraId="0901FA13" w14:textId="3E15DF7E" w:rsidR="00510EDA" w:rsidRPr="000F6CD1" w:rsidRDefault="00173600">
            <w:pPr>
              <w:numPr>
                <w:ilvl w:val="0"/>
                <w:numId w:val="258"/>
              </w:numPr>
              <w:spacing w:before="240" w:after="240"/>
              <w:contextualSpacing/>
              <w:rPr>
                <w:rFonts w:eastAsia="Arial"/>
                <w:color w:val="000000"/>
                <w:szCs w:val="22"/>
              </w:rPr>
            </w:pPr>
            <w:r>
              <w:rPr>
                <w:rFonts w:eastAsia="Arial"/>
                <w:color w:val="000000"/>
                <w:szCs w:val="22"/>
              </w:rPr>
              <w:t xml:space="preserve">An individual, or a registered provided on behalf of the individual makes an application in an approved for. </w:t>
            </w:r>
          </w:p>
          <w:p w14:paraId="00E02868" w14:textId="77777777" w:rsidR="004D556D" w:rsidRPr="000F6CD1" w:rsidRDefault="004D556D">
            <w:pPr>
              <w:numPr>
                <w:ilvl w:val="0"/>
                <w:numId w:val="258"/>
              </w:numPr>
              <w:spacing w:before="240" w:after="240"/>
              <w:contextualSpacing/>
              <w:rPr>
                <w:rFonts w:eastAsia="Arial"/>
                <w:color w:val="000000"/>
                <w:szCs w:val="22"/>
              </w:rPr>
            </w:pPr>
            <w:r w:rsidRPr="000F6CD1">
              <w:rPr>
                <w:rFonts w:eastAsia="Arial"/>
                <w:color w:val="000000"/>
                <w:szCs w:val="22"/>
              </w:rPr>
              <w:t xml:space="preserve">Any circumstances prescribed by the rules do not apply. </w:t>
            </w:r>
          </w:p>
        </w:tc>
      </w:tr>
      <w:tr w:rsidR="004D556D" w:rsidRPr="000F6CD1" w14:paraId="51E4B89B" w14:textId="77777777">
        <w:trPr>
          <w:trHeight w:val="300"/>
        </w:trPr>
        <w:tc>
          <w:tcPr>
            <w:tcW w:w="1694" w:type="dxa"/>
            <w:vMerge/>
            <w:shd w:val="clear" w:color="auto" w:fill="002060"/>
            <w:vAlign w:val="center"/>
          </w:tcPr>
          <w:p w14:paraId="2EE289D2" w14:textId="77777777" w:rsidR="004D556D" w:rsidRPr="000F6CD1" w:rsidRDefault="004D556D"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3CE0A34" w14:textId="5BC9A6CA" w:rsidR="004D556D" w:rsidRPr="000F6CD1" w:rsidRDefault="004D556D" w:rsidP="00622CFF">
            <w:pPr>
              <w:spacing w:before="240" w:after="240"/>
              <w:rPr>
                <w:rFonts w:eastAsia="Arial"/>
                <w:color w:val="000000"/>
                <w:szCs w:val="22"/>
              </w:rPr>
            </w:pPr>
            <w:r w:rsidRPr="000F6CD1">
              <w:rPr>
                <w:rFonts w:eastAsia="Arial"/>
                <w:color w:val="000000"/>
                <w:szCs w:val="22"/>
              </w:rPr>
              <w:t>70</w:t>
            </w:r>
            <w:r w:rsidR="0072503A">
              <w:rPr>
                <w:rFonts w:eastAsia="Arial"/>
                <w:color w:val="000000"/>
                <w:szCs w:val="22"/>
              </w:rPr>
              <w:t>(1)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526A44F8" w14:textId="7CC71606" w:rsidR="004D556D" w:rsidRPr="000F6CD1" w:rsidRDefault="004D556D" w:rsidP="00622CFF">
            <w:pPr>
              <w:spacing w:before="240" w:after="240"/>
              <w:rPr>
                <w:rFonts w:eastAsia="Arial"/>
                <w:color w:val="000000"/>
                <w:szCs w:val="22"/>
              </w:rPr>
            </w:pPr>
            <w:r w:rsidRPr="000F6CD1">
              <w:rPr>
                <w:rFonts w:eastAsia="Arial"/>
                <w:color w:val="000000"/>
                <w:szCs w:val="22"/>
              </w:rPr>
              <w:t xml:space="preserve">The </w:t>
            </w:r>
            <w:r w:rsidR="00111E9A">
              <w:rPr>
                <w:rFonts w:eastAsia="Arial"/>
                <w:color w:val="000000"/>
                <w:szCs w:val="22"/>
              </w:rPr>
              <w:t>assessment delegate</w:t>
            </w:r>
            <w:r w:rsidRPr="000F6CD1">
              <w:rPr>
                <w:rFonts w:eastAsia="Arial"/>
                <w:color w:val="000000"/>
                <w:szCs w:val="22"/>
              </w:rPr>
              <w:t xml:space="preserve"> must give written notice of a decision under subsection 65(1) or (2) to the individual within 14 days after the decision is made</w:t>
            </w:r>
          </w:p>
        </w:tc>
      </w:tr>
      <w:tr w:rsidR="004D556D" w:rsidRPr="000F6CD1" w14:paraId="286F2DEA" w14:textId="77777777">
        <w:trPr>
          <w:trHeight w:val="300"/>
        </w:trPr>
        <w:tc>
          <w:tcPr>
            <w:tcW w:w="1694" w:type="dxa"/>
            <w:vMerge/>
            <w:shd w:val="clear" w:color="auto" w:fill="002060"/>
            <w:vAlign w:val="center"/>
          </w:tcPr>
          <w:p w14:paraId="4E8AFC55" w14:textId="77777777" w:rsidR="004D556D" w:rsidRPr="000F6CD1" w:rsidRDefault="004D556D" w:rsidP="00622CFF">
            <w:pPr>
              <w:spacing w:before="240" w:after="240"/>
              <w:rPr>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4FF238B" w14:textId="77777777" w:rsidR="004D556D" w:rsidRPr="000F6CD1" w:rsidRDefault="004D556D" w:rsidP="00622CFF">
            <w:pPr>
              <w:spacing w:before="240" w:after="240"/>
              <w:rPr>
                <w:rFonts w:eastAsia="Arial"/>
                <w:color w:val="000000"/>
                <w:szCs w:val="22"/>
              </w:rPr>
            </w:pPr>
            <w:r w:rsidRPr="000F6CD1">
              <w:rPr>
                <w:rFonts w:eastAsia="Arial"/>
                <w:color w:val="000000"/>
                <w:szCs w:val="22"/>
              </w:rPr>
              <w:t>71(2)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B035D19" w14:textId="5663F73F" w:rsidR="004D556D" w:rsidRPr="000F6CD1" w:rsidRDefault="004D556D" w:rsidP="00622CFF">
            <w:pPr>
              <w:spacing w:before="240" w:after="240"/>
              <w:rPr>
                <w:rFonts w:eastAsia="Arial"/>
                <w:color w:val="000000"/>
                <w:szCs w:val="22"/>
              </w:rPr>
            </w:pPr>
            <w:r w:rsidRPr="000F6CD1">
              <w:rPr>
                <w:rFonts w:eastAsia="Arial"/>
                <w:color w:val="000000"/>
                <w:szCs w:val="22"/>
              </w:rPr>
              <w:t>The access approval date (which is specified in the notice of decision) may be a date earlier than the access approval/notice is given. This can occur if you (as the assessment delegate), are satisfied</w:t>
            </w:r>
            <w:r w:rsidR="00D30829">
              <w:rPr>
                <w:rFonts w:eastAsia="Arial"/>
                <w:color w:val="000000"/>
                <w:szCs w:val="22"/>
              </w:rPr>
              <w:t xml:space="preserve"> than an individual</w:t>
            </w:r>
            <w:r w:rsidRPr="000F6CD1">
              <w:rPr>
                <w:rFonts w:eastAsia="Arial"/>
                <w:color w:val="000000"/>
                <w:szCs w:val="22"/>
              </w:rPr>
              <w:t xml:space="preserve">: </w:t>
            </w:r>
          </w:p>
          <w:p w14:paraId="1B173424" w14:textId="205CCB6A" w:rsidR="004D556D" w:rsidRPr="000F6CD1" w:rsidRDefault="004D556D">
            <w:pPr>
              <w:numPr>
                <w:ilvl w:val="0"/>
                <w:numId w:val="257"/>
              </w:numPr>
              <w:spacing w:before="240" w:after="240"/>
              <w:contextualSpacing/>
              <w:rPr>
                <w:rFonts w:eastAsia="Arial"/>
                <w:color w:val="000000"/>
                <w:szCs w:val="22"/>
              </w:rPr>
            </w:pPr>
            <w:r w:rsidRPr="000F6CD1">
              <w:rPr>
                <w:rFonts w:eastAsia="Arial"/>
                <w:color w:val="000000"/>
                <w:szCs w:val="22"/>
              </w:rPr>
              <w:t>needed urgent access to funded services and there was a significant risk of harm if services were not provided before an approval was given</w:t>
            </w:r>
            <w:r w:rsidR="00D30829">
              <w:rPr>
                <w:rFonts w:eastAsia="Arial"/>
                <w:color w:val="000000"/>
                <w:szCs w:val="22"/>
              </w:rPr>
              <w:t xml:space="preserve">; or </w:t>
            </w:r>
          </w:p>
          <w:p w14:paraId="64381B6C" w14:textId="13074CDD" w:rsidR="004D556D" w:rsidRPr="000F6CD1" w:rsidRDefault="00D30829">
            <w:pPr>
              <w:numPr>
                <w:ilvl w:val="0"/>
                <w:numId w:val="257"/>
              </w:numPr>
              <w:spacing w:before="240" w:after="240"/>
              <w:contextualSpacing/>
              <w:rPr>
                <w:rFonts w:eastAsia="Arial"/>
                <w:color w:val="000000"/>
                <w:szCs w:val="22"/>
              </w:rPr>
            </w:pPr>
            <w:r>
              <w:rPr>
                <w:rFonts w:eastAsia="Arial"/>
                <w:color w:val="000000"/>
                <w:szCs w:val="22"/>
              </w:rPr>
              <w:t>is</w:t>
            </w:r>
            <w:r w:rsidR="004D556D" w:rsidRPr="000F6CD1">
              <w:rPr>
                <w:rFonts w:eastAsia="Arial"/>
                <w:color w:val="000000"/>
                <w:szCs w:val="22"/>
              </w:rPr>
              <w:t xml:space="preserve"> an Aboriginal or Tores Strait Islander person and at the time they were seeking services there was a lack of available assessors to undertake a culturally safe assessment</w:t>
            </w:r>
            <w:r>
              <w:rPr>
                <w:rFonts w:eastAsia="Arial"/>
                <w:color w:val="000000"/>
                <w:szCs w:val="22"/>
              </w:rPr>
              <w:t xml:space="preserve">; or </w:t>
            </w:r>
          </w:p>
          <w:p w14:paraId="5780EFF9" w14:textId="5C80AEDE" w:rsidR="004D556D" w:rsidRDefault="004D556D">
            <w:pPr>
              <w:numPr>
                <w:ilvl w:val="0"/>
                <w:numId w:val="257"/>
              </w:numPr>
              <w:spacing w:before="240" w:after="240"/>
              <w:contextualSpacing/>
              <w:rPr>
                <w:rFonts w:eastAsia="Arial"/>
                <w:color w:val="000000"/>
                <w:szCs w:val="22"/>
              </w:rPr>
            </w:pPr>
            <w:r w:rsidRPr="000F6CD1">
              <w:rPr>
                <w:rFonts w:eastAsia="Arial"/>
                <w:color w:val="000000"/>
                <w:szCs w:val="22"/>
              </w:rPr>
              <w:lastRenderedPageBreak/>
              <w:t xml:space="preserve">commenced receiving services through a specialist program before an approval was given and at the time </w:t>
            </w:r>
            <w:r w:rsidR="00D30829">
              <w:rPr>
                <w:rFonts w:eastAsia="Arial"/>
                <w:color w:val="000000"/>
                <w:szCs w:val="22"/>
              </w:rPr>
              <w:t xml:space="preserve">the </w:t>
            </w:r>
            <w:r w:rsidRPr="000F6CD1">
              <w:rPr>
                <w:rFonts w:eastAsia="Arial"/>
                <w:color w:val="000000"/>
                <w:szCs w:val="22"/>
              </w:rPr>
              <w:t xml:space="preserve">individual was seeking services there was a delay in the availability of a needs assessor </w:t>
            </w:r>
          </w:p>
          <w:p w14:paraId="7E3BC3C8" w14:textId="77777777" w:rsidR="0072503A" w:rsidRDefault="0072503A" w:rsidP="0072503A">
            <w:pPr>
              <w:spacing w:before="240" w:after="240"/>
              <w:ind w:left="360"/>
              <w:contextualSpacing/>
              <w:rPr>
                <w:rFonts w:eastAsia="Arial"/>
                <w:color w:val="000000"/>
                <w:szCs w:val="22"/>
              </w:rPr>
            </w:pPr>
          </w:p>
          <w:p w14:paraId="08831953" w14:textId="64D160EA" w:rsidR="004D556D" w:rsidRPr="000F6CD1" w:rsidRDefault="0072503A" w:rsidP="0072503A">
            <w:pPr>
              <w:spacing w:before="240" w:after="240"/>
              <w:ind w:left="360"/>
              <w:contextualSpacing/>
              <w:rPr>
                <w:rFonts w:eastAsia="Arial"/>
                <w:color w:val="000000"/>
                <w:szCs w:val="22"/>
              </w:rPr>
            </w:pPr>
            <w:r>
              <w:rPr>
                <w:rFonts w:eastAsia="Arial"/>
                <w:color w:val="000000"/>
                <w:szCs w:val="22"/>
              </w:rPr>
              <w:t xml:space="preserve">It is also necessary that the criteria under s71(2) is met. </w:t>
            </w:r>
          </w:p>
        </w:tc>
      </w:tr>
      <w:tr w:rsidR="004D556D" w:rsidRPr="000F6CD1" w14:paraId="2DCC1A4C" w14:textId="77777777">
        <w:trPr>
          <w:trHeight w:val="300"/>
        </w:trPr>
        <w:tc>
          <w:tcPr>
            <w:tcW w:w="1694" w:type="dxa"/>
            <w:vMerge w:val="restart"/>
            <w:tcBorders>
              <w:top w:val="nil"/>
              <w:left w:val="single" w:sz="8" w:space="0" w:color="auto"/>
              <w:right w:val="single" w:sz="8" w:space="0" w:color="auto"/>
            </w:tcBorders>
            <w:shd w:val="clear" w:color="auto" w:fill="002060"/>
            <w:tcMar>
              <w:left w:w="108" w:type="dxa"/>
              <w:right w:w="108" w:type="dxa"/>
            </w:tcMar>
          </w:tcPr>
          <w:p w14:paraId="77569E35" w14:textId="77777777" w:rsidR="004D556D" w:rsidRPr="000F6CD1" w:rsidRDefault="004D556D" w:rsidP="00622CFF">
            <w:pPr>
              <w:spacing w:before="240" w:after="240"/>
              <w:rPr>
                <w:rFonts w:eastAsia="Arial"/>
                <w:color w:val="FFFFFF" w:themeColor="background1"/>
                <w:szCs w:val="22"/>
              </w:rPr>
            </w:pPr>
            <w:r w:rsidRPr="000F6CD1">
              <w:rPr>
                <w:rFonts w:eastAsia="Arial"/>
                <w:color w:val="FFFFFF" w:themeColor="background1"/>
                <w:szCs w:val="22"/>
              </w:rPr>
              <w:lastRenderedPageBreak/>
              <w:t xml:space="preserve">Classification Decision </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51006026" w14:textId="77777777" w:rsidR="004D556D" w:rsidRPr="000F6CD1" w:rsidRDefault="004D556D" w:rsidP="00622CFF">
            <w:pPr>
              <w:spacing w:before="240" w:after="240"/>
              <w:rPr>
                <w:rFonts w:eastAsia="Arial"/>
                <w:color w:val="000000"/>
                <w:szCs w:val="22"/>
              </w:rPr>
            </w:pPr>
            <w:r w:rsidRPr="000F6CD1">
              <w:rPr>
                <w:rFonts w:eastAsia="Arial"/>
                <w:color w:val="000000"/>
                <w:szCs w:val="22"/>
              </w:rPr>
              <w:t>78(1)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6756640" w14:textId="77777777" w:rsidR="004D556D" w:rsidRPr="000F6CD1" w:rsidRDefault="004D556D" w:rsidP="00622CFF">
            <w:pPr>
              <w:spacing w:before="240" w:after="240"/>
              <w:rPr>
                <w:rFonts w:eastAsia="Arial"/>
                <w:color w:val="000000"/>
                <w:szCs w:val="22"/>
              </w:rPr>
            </w:pPr>
            <w:r w:rsidRPr="000F6CD1">
              <w:rPr>
                <w:rFonts w:eastAsia="Arial"/>
                <w:color w:val="000000"/>
                <w:szCs w:val="22"/>
              </w:rPr>
              <w:t>An assessment</w:t>
            </w:r>
            <w:r w:rsidRPr="000F6CD1" w:rsidDel="00EF5AE3">
              <w:rPr>
                <w:rFonts w:eastAsia="Arial"/>
                <w:color w:val="000000"/>
                <w:szCs w:val="22"/>
              </w:rPr>
              <w:t xml:space="preserve"> </w:t>
            </w:r>
            <w:r w:rsidRPr="000F6CD1">
              <w:rPr>
                <w:rFonts w:eastAsia="Arial"/>
                <w:color w:val="000000"/>
                <w:szCs w:val="22"/>
              </w:rPr>
              <w:t>delegate must approve a classification level for the classification type and service group they have approved for the individual.</w:t>
            </w:r>
          </w:p>
          <w:p w14:paraId="30E073ED" w14:textId="3A76AD58" w:rsidR="004D556D" w:rsidRPr="000F6CD1" w:rsidRDefault="004D556D" w:rsidP="00622CFF">
            <w:pPr>
              <w:spacing w:before="240" w:after="240"/>
              <w:rPr>
                <w:rFonts w:eastAsia="Arial"/>
                <w:color w:val="000000"/>
                <w:szCs w:val="22"/>
              </w:rPr>
            </w:pPr>
            <w:r w:rsidRPr="000F6CD1">
              <w:rPr>
                <w:rFonts w:eastAsia="Arial"/>
                <w:color w:val="000000"/>
                <w:szCs w:val="22"/>
              </w:rPr>
              <w:t xml:space="preserve">The classification level decision for ongoing home support (i.e., CHSP or Support at Home 1-8) is an automated decision and is determined by the </w:t>
            </w:r>
            <w:r w:rsidR="006D6109">
              <w:rPr>
                <w:rFonts w:eastAsia="Arial"/>
                <w:color w:val="000000"/>
                <w:szCs w:val="22"/>
              </w:rPr>
              <w:t>ongoing home support cla</w:t>
            </w:r>
            <w:r w:rsidR="00C1614A">
              <w:rPr>
                <w:rFonts w:eastAsia="Arial"/>
                <w:color w:val="000000"/>
                <w:szCs w:val="22"/>
              </w:rPr>
              <w:t>ssification algorithm</w:t>
            </w:r>
            <w:r w:rsidRPr="000F6CD1">
              <w:rPr>
                <w:rFonts w:eastAsia="Arial"/>
                <w:color w:val="000000"/>
                <w:szCs w:val="22"/>
              </w:rPr>
              <w:t xml:space="preserve">. </w:t>
            </w:r>
          </w:p>
        </w:tc>
      </w:tr>
      <w:tr w:rsidR="00EA383A" w:rsidRPr="000F6CD1" w14:paraId="7A9AD868" w14:textId="77777777">
        <w:trPr>
          <w:trHeight w:val="300"/>
        </w:trPr>
        <w:tc>
          <w:tcPr>
            <w:tcW w:w="1694" w:type="dxa"/>
            <w:vMerge/>
            <w:tcBorders>
              <w:top w:val="nil"/>
              <w:left w:val="single" w:sz="8" w:space="0" w:color="auto"/>
              <w:right w:val="single" w:sz="8" w:space="0" w:color="auto"/>
            </w:tcBorders>
            <w:shd w:val="clear" w:color="auto" w:fill="002060"/>
            <w:tcMar>
              <w:left w:w="108" w:type="dxa"/>
              <w:right w:w="108" w:type="dxa"/>
            </w:tcMar>
          </w:tcPr>
          <w:p w14:paraId="30D3A6EC" w14:textId="77777777" w:rsidR="00EA383A" w:rsidRPr="000F6CD1" w:rsidRDefault="00EA383A" w:rsidP="00622CFF">
            <w:pPr>
              <w:spacing w:before="240" w:after="240"/>
              <w:rPr>
                <w:rFonts w:eastAsia="Arial"/>
                <w:color w:val="FFFFFF" w:themeColor="background1"/>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2B777C9" w14:textId="5677F56E" w:rsidR="00EA383A" w:rsidRPr="000F6CD1" w:rsidRDefault="00EA383A" w:rsidP="00622CFF">
            <w:pPr>
              <w:spacing w:before="240" w:after="240"/>
              <w:rPr>
                <w:rFonts w:eastAsia="Arial"/>
                <w:color w:val="000000"/>
                <w:szCs w:val="22"/>
              </w:rPr>
            </w:pPr>
            <w:r>
              <w:rPr>
                <w:rFonts w:eastAsia="Arial"/>
                <w:color w:val="000000"/>
                <w:szCs w:val="22"/>
              </w:rPr>
              <w:t>79(1)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37B41E0" w14:textId="14949F1B" w:rsidR="00EA383A" w:rsidRPr="000F6CD1" w:rsidRDefault="00EA383A" w:rsidP="00622CFF">
            <w:pPr>
              <w:spacing w:before="240" w:after="240"/>
              <w:rPr>
                <w:rFonts w:eastAsia="Arial"/>
                <w:color w:val="000000"/>
                <w:szCs w:val="22"/>
              </w:rPr>
            </w:pPr>
            <w:r>
              <w:rPr>
                <w:rFonts w:eastAsia="Arial"/>
                <w:color w:val="000000"/>
                <w:szCs w:val="22"/>
              </w:rPr>
              <w:t xml:space="preserve">Section 79(1) requires than individual is given written notice of a classification decision made under section 78 for the individual within 14 days after the decision is made. The notice must comply with the requirements set out in s 79(2) and (3). </w:t>
            </w:r>
          </w:p>
        </w:tc>
      </w:tr>
      <w:tr w:rsidR="004D556D" w:rsidRPr="000F6CD1" w14:paraId="4A7EA1ED" w14:textId="77777777">
        <w:trPr>
          <w:trHeight w:val="300"/>
        </w:trPr>
        <w:tc>
          <w:tcPr>
            <w:tcW w:w="1694" w:type="dxa"/>
            <w:vMerge/>
            <w:shd w:val="clear" w:color="auto" w:fill="002060"/>
            <w:tcMar>
              <w:left w:w="108" w:type="dxa"/>
              <w:right w:w="108" w:type="dxa"/>
            </w:tcMar>
          </w:tcPr>
          <w:p w14:paraId="0A19AF3A" w14:textId="77777777" w:rsidR="004D556D" w:rsidRPr="000F6CD1" w:rsidRDefault="004D556D"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66400D7" w14:textId="77777777" w:rsidR="004D556D" w:rsidRPr="000F6CD1" w:rsidRDefault="004D556D" w:rsidP="00622CFF">
            <w:pPr>
              <w:spacing w:before="240" w:after="240"/>
              <w:rPr>
                <w:rFonts w:eastAsia="Arial"/>
                <w:color w:val="000000"/>
                <w:szCs w:val="22"/>
              </w:rPr>
            </w:pPr>
            <w:r w:rsidRPr="000F6CD1">
              <w:rPr>
                <w:rFonts w:eastAsia="Arial"/>
                <w:color w:val="000000"/>
                <w:szCs w:val="22"/>
              </w:rPr>
              <w:t xml:space="preserve">80 </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14B82EF4" w14:textId="38559D10" w:rsidR="00FC3184" w:rsidRDefault="004D556D" w:rsidP="00622CFF">
            <w:pPr>
              <w:spacing w:before="240" w:after="240"/>
              <w:rPr>
                <w:rFonts w:eastAsia="Arial"/>
                <w:color w:val="000000"/>
                <w:szCs w:val="22"/>
              </w:rPr>
            </w:pPr>
            <w:r w:rsidRPr="000F6CD1">
              <w:rPr>
                <w:rFonts w:eastAsia="Arial"/>
                <w:color w:val="000000"/>
                <w:szCs w:val="22"/>
              </w:rPr>
              <w:t xml:space="preserve">Section 80 </w:t>
            </w:r>
            <w:r w:rsidR="005976CD">
              <w:rPr>
                <w:rFonts w:eastAsia="Arial"/>
                <w:color w:val="000000"/>
                <w:szCs w:val="22"/>
              </w:rPr>
              <w:t>prescribes the</w:t>
            </w:r>
            <w:r w:rsidRPr="000F6CD1">
              <w:rPr>
                <w:rFonts w:eastAsia="Arial"/>
                <w:color w:val="000000"/>
                <w:szCs w:val="22"/>
              </w:rPr>
              <w:t xml:space="preserve"> period of effect for a classification level that has been established under section 78</w:t>
            </w:r>
            <w:r w:rsidR="00FC3184">
              <w:rPr>
                <w:rFonts w:eastAsia="Arial"/>
                <w:color w:val="000000"/>
                <w:szCs w:val="22"/>
              </w:rPr>
              <w:t xml:space="preserve">, with the maximum period of effect being prescribed under the Rules. </w:t>
            </w:r>
          </w:p>
          <w:p w14:paraId="1580F77F" w14:textId="3F34687B" w:rsidR="004D556D" w:rsidRPr="000F6CD1" w:rsidRDefault="004D556D" w:rsidP="00622CFF">
            <w:pPr>
              <w:spacing w:before="240" w:after="240"/>
              <w:rPr>
                <w:rFonts w:eastAsia="Arial"/>
                <w:color w:val="000000"/>
                <w:szCs w:val="22"/>
              </w:rPr>
            </w:pPr>
            <w:r w:rsidRPr="000F6CD1">
              <w:rPr>
                <w:rFonts w:eastAsia="Arial"/>
                <w:color w:val="000000"/>
                <w:szCs w:val="22"/>
              </w:rPr>
              <w:t>The Rules</w:t>
            </w:r>
            <w:r w:rsidR="00084616">
              <w:rPr>
                <w:rFonts w:eastAsia="Arial"/>
                <w:color w:val="000000"/>
                <w:szCs w:val="22"/>
              </w:rPr>
              <w:t xml:space="preserve"> also</w:t>
            </w:r>
            <w:r w:rsidRPr="000F6CD1">
              <w:rPr>
                <w:rFonts w:eastAsia="Arial"/>
                <w:color w:val="000000"/>
                <w:szCs w:val="22"/>
              </w:rPr>
              <w:t xml:space="preserve"> allow for a registered provider to apply for an extension to the maximum period of effect. The</w:t>
            </w:r>
            <w:r w:rsidRPr="000F6CD1" w:rsidDel="005002F2">
              <w:rPr>
                <w:rFonts w:eastAsia="Arial"/>
                <w:color w:val="000000"/>
                <w:szCs w:val="22"/>
              </w:rPr>
              <w:t xml:space="preserve"> </w:t>
            </w:r>
            <w:r w:rsidRPr="000F6CD1">
              <w:rPr>
                <w:rFonts w:eastAsia="Arial"/>
                <w:color w:val="000000"/>
                <w:szCs w:val="22"/>
              </w:rPr>
              <w:t xml:space="preserve">assessment delegate must consider the application and decide if a longer period should apply. </w:t>
            </w:r>
          </w:p>
          <w:p w14:paraId="3A47945C" w14:textId="77777777" w:rsidR="00E96CFD" w:rsidRDefault="004D556D" w:rsidP="00622CFF">
            <w:pPr>
              <w:spacing w:before="240" w:after="240"/>
              <w:rPr>
                <w:rFonts w:eastAsia="Arial"/>
                <w:color w:val="000000"/>
                <w:szCs w:val="22"/>
              </w:rPr>
            </w:pPr>
            <w:r w:rsidRPr="000F6CD1">
              <w:rPr>
                <w:rFonts w:eastAsia="Arial"/>
                <w:color w:val="000000"/>
                <w:szCs w:val="22"/>
              </w:rPr>
              <w:t xml:space="preserve">Extensions can be sought </w:t>
            </w:r>
            <w:r w:rsidR="00E96CFD">
              <w:rPr>
                <w:rFonts w:eastAsia="Arial"/>
                <w:color w:val="000000"/>
                <w:szCs w:val="22"/>
              </w:rPr>
              <w:t xml:space="preserve">for a classification level or the classification type hospital transition for the following service groups: </w:t>
            </w:r>
          </w:p>
          <w:p w14:paraId="6CD51960" w14:textId="357CBC81" w:rsidR="00E96CFD" w:rsidRDefault="00E96CFD" w:rsidP="00E96CFD">
            <w:pPr>
              <w:pStyle w:val="ListParagraph"/>
              <w:numPr>
                <w:ilvl w:val="0"/>
                <w:numId w:val="634"/>
              </w:numPr>
              <w:spacing w:before="240" w:after="240"/>
              <w:rPr>
                <w:rFonts w:eastAsia="Arial"/>
                <w:color w:val="000000"/>
                <w:szCs w:val="22"/>
              </w:rPr>
            </w:pPr>
            <w:r>
              <w:rPr>
                <w:rFonts w:eastAsia="Arial"/>
                <w:color w:val="000000"/>
                <w:szCs w:val="22"/>
              </w:rPr>
              <w:t xml:space="preserve">Home support </w:t>
            </w:r>
          </w:p>
          <w:p w14:paraId="15400A63" w14:textId="155E8B1A" w:rsidR="00E96CFD" w:rsidRDefault="00E96CFD" w:rsidP="00E96CFD">
            <w:pPr>
              <w:pStyle w:val="ListParagraph"/>
              <w:numPr>
                <w:ilvl w:val="0"/>
                <w:numId w:val="634"/>
              </w:numPr>
              <w:spacing w:before="240" w:after="240"/>
              <w:rPr>
                <w:rFonts w:eastAsia="Arial"/>
                <w:color w:val="000000"/>
                <w:szCs w:val="22"/>
              </w:rPr>
            </w:pPr>
            <w:r>
              <w:rPr>
                <w:rFonts w:eastAsia="Arial"/>
                <w:color w:val="000000"/>
                <w:szCs w:val="22"/>
              </w:rPr>
              <w:t xml:space="preserve">Assistive technology </w:t>
            </w:r>
          </w:p>
          <w:p w14:paraId="2EFAD1E9" w14:textId="17BBE1AC" w:rsidR="00E96CFD" w:rsidRPr="00E96CFD" w:rsidRDefault="00E96CFD" w:rsidP="00E96CFD">
            <w:pPr>
              <w:pStyle w:val="ListParagraph"/>
              <w:numPr>
                <w:ilvl w:val="0"/>
                <w:numId w:val="634"/>
              </w:numPr>
              <w:spacing w:before="240" w:after="240"/>
              <w:rPr>
                <w:rFonts w:eastAsia="Arial"/>
                <w:color w:val="000000"/>
                <w:szCs w:val="22"/>
              </w:rPr>
            </w:pPr>
            <w:r>
              <w:rPr>
                <w:rFonts w:eastAsia="Arial"/>
                <w:color w:val="000000"/>
                <w:szCs w:val="22"/>
              </w:rPr>
              <w:t xml:space="preserve">Residential care </w:t>
            </w:r>
          </w:p>
          <w:p w14:paraId="2DF30DC0" w14:textId="64737E93" w:rsidR="004D556D" w:rsidRPr="000F6CD1" w:rsidRDefault="004D556D" w:rsidP="00E96CFD">
            <w:pPr>
              <w:spacing w:before="240" w:after="240"/>
              <w:rPr>
                <w:rFonts w:eastAsia="Arial"/>
                <w:color w:val="000000"/>
                <w:szCs w:val="22"/>
              </w:rPr>
            </w:pPr>
            <w:r w:rsidRPr="000F6CD1">
              <w:rPr>
                <w:rFonts w:eastAsia="Arial"/>
                <w:color w:val="000000"/>
                <w:szCs w:val="22"/>
              </w:rPr>
              <w:t xml:space="preserve"> </w:t>
            </w:r>
            <w:r w:rsidR="00E96CFD">
              <w:rPr>
                <w:rFonts w:eastAsia="Arial"/>
                <w:color w:val="000000"/>
                <w:szCs w:val="22"/>
              </w:rPr>
              <w:t xml:space="preserve">One or more additional periods, </w:t>
            </w:r>
            <w:r w:rsidR="00C62A3A">
              <w:rPr>
                <w:rFonts w:eastAsia="Arial"/>
                <w:color w:val="000000"/>
                <w:szCs w:val="22"/>
              </w:rPr>
              <w:t xml:space="preserve">together totalling not more than 42 days, for the classification level for the individual may be granted if the assessment delegate is satisfied that the individual requires access to funded aged care services for that level for the additional periods. </w:t>
            </w:r>
          </w:p>
          <w:p w14:paraId="60635A03" w14:textId="77777777" w:rsidR="004D556D" w:rsidRPr="000F6CD1" w:rsidRDefault="004D556D" w:rsidP="00622CFF">
            <w:pPr>
              <w:spacing w:before="240" w:after="240"/>
              <w:ind w:left="1080"/>
              <w:contextualSpacing/>
              <w:rPr>
                <w:rFonts w:eastAsia="Arial"/>
                <w:color w:val="000000"/>
                <w:szCs w:val="22"/>
              </w:rPr>
            </w:pPr>
          </w:p>
          <w:p w14:paraId="5E810812" w14:textId="2542DB96" w:rsidR="004D556D" w:rsidRPr="000F6CD1" w:rsidRDefault="004D556D" w:rsidP="00622CFF">
            <w:pPr>
              <w:spacing w:before="240" w:after="240"/>
              <w:rPr>
                <w:rFonts w:eastAsia="Arial"/>
                <w:color w:val="000000"/>
                <w:szCs w:val="22"/>
              </w:rPr>
            </w:pPr>
            <w:r w:rsidRPr="000F6CD1">
              <w:rPr>
                <w:rFonts w:eastAsia="Arial"/>
                <w:color w:val="000000"/>
                <w:szCs w:val="22"/>
              </w:rPr>
              <w:t xml:space="preserve">The Rules also allow a registered provider to apply for an increase in the number of days for the classification level for </w:t>
            </w:r>
            <w:r w:rsidR="00D27A6C">
              <w:rPr>
                <w:rFonts w:eastAsia="Arial"/>
                <w:color w:val="000000"/>
                <w:szCs w:val="22"/>
              </w:rPr>
              <w:t xml:space="preserve">the classification type short-term for </w:t>
            </w:r>
            <w:r w:rsidRPr="000F6CD1">
              <w:rPr>
                <w:rFonts w:eastAsia="Arial"/>
                <w:color w:val="000000"/>
                <w:szCs w:val="22"/>
              </w:rPr>
              <w:t xml:space="preserve">the service group </w:t>
            </w:r>
            <w:r w:rsidRPr="000F6CD1">
              <w:rPr>
                <w:rFonts w:eastAsia="Arial"/>
                <w:color w:val="000000"/>
                <w:szCs w:val="22"/>
              </w:rPr>
              <w:lastRenderedPageBreak/>
              <w:t>residential care, classification type short-term. An assessment</w:t>
            </w:r>
            <w:r w:rsidRPr="000F6CD1" w:rsidDel="005002F2">
              <w:rPr>
                <w:rFonts w:eastAsia="Arial"/>
                <w:color w:val="000000"/>
                <w:szCs w:val="22"/>
              </w:rPr>
              <w:t xml:space="preserve"> </w:t>
            </w:r>
            <w:r w:rsidRPr="000F6CD1">
              <w:rPr>
                <w:rFonts w:eastAsia="Arial"/>
                <w:color w:val="000000"/>
                <w:szCs w:val="22"/>
              </w:rPr>
              <w:t>delegate must consider the application and decide whether to approve an additional 21 days for the classification level</w:t>
            </w:r>
            <w:r w:rsidR="006D5EA4">
              <w:rPr>
                <w:rFonts w:eastAsia="Arial"/>
                <w:color w:val="000000"/>
                <w:szCs w:val="22"/>
              </w:rPr>
              <w:t xml:space="preserve">. The assessment may delegate (you) may increase the number of days where you are </w:t>
            </w:r>
            <w:r w:rsidRPr="000F6CD1">
              <w:rPr>
                <w:rFonts w:eastAsia="Arial"/>
                <w:color w:val="000000"/>
                <w:szCs w:val="22"/>
              </w:rPr>
              <w:t xml:space="preserve">satisfied it is necessary because of any of the following: </w:t>
            </w:r>
          </w:p>
          <w:p w14:paraId="171F725C" w14:textId="77777777" w:rsidR="004D556D" w:rsidRPr="000F6CD1" w:rsidRDefault="004D556D">
            <w:pPr>
              <w:numPr>
                <w:ilvl w:val="0"/>
                <w:numId w:val="262"/>
              </w:numPr>
              <w:spacing w:before="240" w:after="240"/>
              <w:contextualSpacing/>
              <w:rPr>
                <w:rFonts w:eastAsia="Arial"/>
                <w:color w:val="000000"/>
                <w:szCs w:val="22"/>
              </w:rPr>
            </w:pPr>
            <w:r w:rsidRPr="000F6CD1">
              <w:rPr>
                <w:rFonts w:eastAsia="Arial"/>
                <w:color w:val="000000"/>
                <w:szCs w:val="22"/>
              </w:rPr>
              <w:t xml:space="preserve">Carer stress </w:t>
            </w:r>
          </w:p>
          <w:p w14:paraId="2C72E267" w14:textId="77777777" w:rsidR="004D556D" w:rsidRPr="000F6CD1" w:rsidRDefault="004D556D">
            <w:pPr>
              <w:numPr>
                <w:ilvl w:val="0"/>
                <w:numId w:val="262"/>
              </w:numPr>
              <w:spacing w:before="240" w:after="240"/>
              <w:contextualSpacing/>
              <w:rPr>
                <w:rFonts w:eastAsia="Arial"/>
                <w:color w:val="000000"/>
                <w:szCs w:val="22"/>
              </w:rPr>
            </w:pPr>
            <w:r w:rsidRPr="000F6CD1">
              <w:rPr>
                <w:rFonts w:eastAsia="Arial"/>
                <w:color w:val="000000"/>
                <w:szCs w:val="22"/>
              </w:rPr>
              <w:t xml:space="preserve">Severity of the older person’s condition </w:t>
            </w:r>
          </w:p>
          <w:p w14:paraId="4E645EFC" w14:textId="77777777" w:rsidR="004D556D" w:rsidRPr="000F6CD1" w:rsidRDefault="004D556D">
            <w:pPr>
              <w:numPr>
                <w:ilvl w:val="0"/>
                <w:numId w:val="262"/>
              </w:numPr>
              <w:spacing w:before="240" w:after="240"/>
              <w:contextualSpacing/>
              <w:rPr>
                <w:rFonts w:eastAsia="Arial"/>
                <w:color w:val="000000"/>
                <w:szCs w:val="22"/>
              </w:rPr>
            </w:pPr>
            <w:r w:rsidRPr="000F6CD1">
              <w:rPr>
                <w:rFonts w:eastAsia="Arial"/>
                <w:color w:val="000000"/>
                <w:szCs w:val="22"/>
              </w:rPr>
              <w:t xml:space="preserve">Absence of the older person’s carer </w:t>
            </w:r>
          </w:p>
          <w:p w14:paraId="7B9CD404" w14:textId="77777777" w:rsidR="004D556D" w:rsidRPr="000F6CD1" w:rsidRDefault="004D556D">
            <w:pPr>
              <w:numPr>
                <w:ilvl w:val="0"/>
                <w:numId w:val="262"/>
              </w:numPr>
              <w:spacing w:before="240" w:after="240"/>
              <w:contextualSpacing/>
              <w:rPr>
                <w:rFonts w:eastAsia="Arial"/>
                <w:color w:val="000000"/>
                <w:szCs w:val="22"/>
              </w:rPr>
            </w:pPr>
            <w:r w:rsidRPr="000F6CD1">
              <w:rPr>
                <w:rFonts w:eastAsia="Arial"/>
                <w:color w:val="000000"/>
                <w:szCs w:val="22"/>
              </w:rPr>
              <w:t xml:space="preserve">Any other relevant matter </w:t>
            </w:r>
          </w:p>
        </w:tc>
      </w:tr>
      <w:tr w:rsidR="004D556D" w:rsidRPr="000F6CD1" w14:paraId="25F750A1" w14:textId="77777777">
        <w:trPr>
          <w:trHeight w:val="300"/>
        </w:trPr>
        <w:tc>
          <w:tcPr>
            <w:tcW w:w="1694" w:type="dxa"/>
            <w:vMerge w:val="restart"/>
            <w:shd w:val="clear" w:color="auto" w:fill="002060"/>
            <w:tcMar>
              <w:left w:w="108" w:type="dxa"/>
              <w:right w:w="108" w:type="dxa"/>
            </w:tcMar>
          </w:tcPr>
          <w:p w14:paraId="7716E054" w14:textId="77777777" w:rsidR="004D556D" w:rsidRPr="000F6CD1" w:rsidRDefault="004D556D" w:rsidP="00622CFF">
            <w:pPr>
              <w:spacing w:before="240" w:after="240"/>
              <w:rPr>
                <w:rFonts w:eastAsia="Arial"/>
                <w:color w:val="000000"/>
                <w:szCs w:val="22"/>
              </w:rPr>
            </w:pPr>
            <w:r w:rsidRPr="000F6CD1">
              <w:rPr>
                <w:rFonts w:eastAsia="Arial"/>
                <w:szCs w:val="22"/>
              </w:rPr>
              <w:lastRenderedPageBreak/>
              <w:t>Registration and cancellation of a supporter</w:t>
            </w: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43A8F18C" w14:textId="77777777" w:rsidR="004D556D" w:rsidRPr="000F6CD1" w:rsidRDefault="004D556D" w:rsidP="00622CFF">
            <w:pPr>
              <w:spacing w:before="240" w:after="240"/>
              <w:rPr>
                <w:rFonts w:eastAsia="Arial"/>
                <w:color w:val="000000"/>
                <w:szCs w:val="22"/>
              </w:rPr>
            </w:pPr>
            <w:r w:rsidRPr="000F6CD1">
              <w:rPr>
                <w:rFonts w:eastAsia="Arial"/>
                <w:szCs w:val="22"/>
              </w:rPr>
              <w:t>37(1)</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43476B97" w14:textId="77777777" w:rsidR="004D556D" w:rsidRPr="000F6CD1" w:rsidRDefault="004D556D" w:rsidP="00622CFF">
            <w:pPr>
              <w:spacing w:before="240" w:after="240"/>
              <w:rPr>
                <w:rFonts w:eastAsia="Arial"/>
                <w:color w:val="000000"/>
                <w:szCs w:val="22"/>
              </w:rPr>
            </w:pPr>
            <w:r w:rsidRPr="000F6CD1">
              <w:rPr>
                <w:rFonts w:eastAsia="Arial"/>
                <w:szCs w:val="22"/>
              </w:rPr>
              <w:t>A decision to register a person as a supporter of an older person seeking or receiving aged care services. For Assessment Delegates, this responsibility does not include the registration of a person as a supporter without the consent of the older person, nor where the prospective supporter has declared a conflict or there is anything else to suggest they may not be able to comply with the supporter duties (e.g., the prospective supporter is currently suspended or had a previous supporter relationship cancelled). In these circumstances, the</w:t>
            </w:r>
            <w:r w:rsidRPr="000F6CD1" w:rsidDel="007F5E62">
              <w:rPr>
                <w:rFonts w:eastAsia="Arial"/>
                <w:szCs w:val="22"/>
              </w:rPr>
              <w:t xml:space="preserve"> </w:t>
            </w:r>
            <w:r w:rsidRPr="000F6CD1">
              <w:rPr>
                <w:rFonts w:eastAsia="Arial"/>
                <w:szCs w:val="22"/>
              </w:rPr>
              <w:t>Assessment Delegate should progress the request to register the supporter relationship to the departmental delegate team responsible for supporters.</w:t>
            </w:r>
          </w:p>
        </w:tc>
      </w:tr>
      <w:tr w:rsidR="004D556D" w:rsidRPr="000F6CD1" w14:paraId="41955B5F" w14:textId="77777777">
        <w:trPr>
          <w:trHeight w:val="300"/>
        </w:trPr>
        <w:tc>
          <w:tcPr>
            <w:tcW w:w="1694" w:type="dxa"/>
            <w:vMerge/>
            <w:shd w:val="clear" w:color="auto" w:fill="002060"/>
            <w:tcMar>
              <w:left w:w="108" w:type="dxa"/>
              <w:right w:w="108" w:type="dxa"/>
            </w:tcMar>
          </w:tcPr>
          <w:p w14:paraId="1BDD02FD" w14:textId="77777777" w:rsidR="004D556D" w:rsidRPr="000F6CD1" w:rsidRDefault="004D556D"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08C856DD" w14:textId="77777777" w:rsidR="004D556D" w:rsidRPr="000F6CD1" w:rsidRDefault="004D556D" w:rsidP="00622CFF">
            <w:pPr>
              <w:spacing w:before="240" w:after="240"/>
              <w:rPr>
                <w:rFonts w:eastAsia="Arial"/>
                <w:color w:val="000000"/>
                <w:szCs w:val="22"/>
              </w:rPr>
            </w:pPr>
            <w:r w:rsidRPr="000F6CD1">
              <w:rPr>
                <w:rFonts w:eastAsia="Arial"/>
                <w:szCs w:val="22"/>
              </w:rPr>
              <w:t>37(7)</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08B9238C" w14:textId="18AC37EC" w:rsidR="004D556D" w:rsidRPr="000F6CD1" w:rsidRDefault="004D556D" w:rsidP="00622CFF">
            <w:pPr>
              <w:spacing w:before="240" w:after="240"/>
              <w:rPr>
                <w:rFonts w:eastAsia="Arial"/>
                <w:color w:val="000000"/>
                <w:szCs w:val="22"/>
              </w:rPr>
            </w:pPr>
            <w:r w:rsidRPr="000F6CD1">
              <w:rPr>
                <w:rFonts w:eastAsia="Arial"/>
                <w:szCs w:val="22"/>
              </w:rPr>
              <w:t xml:space="preserve">The </w:t>
            </w:r>
            <w:r w:rsidR="005675C6">
              <w:rPr>
                <w:rFonts w:eastAsia="Arial"/>
                <w:szCs w:val="22"/>
              </w:rPr>
              <w:t>assessment delegate</w:t>
            </w:r>
            <w:r w:rsidRPr="000F6CD1">
              <w:rPr>
                <w:rFonts w:eastAsia="Arial"/>
                <w:szCs w:val="22"/>
              </w:rPr>
              <w:t xml:space="preserve"> may make a registration under section 37(1), in the circumstances described, verbally or in writing. </w:t>
            </w:r>
          </w:p>
        </w:tc>
      </w:tr>
      <w:tr w:rsidR="004D556D" w:rsidRPr="000F6CD1" w14:paraId="3B41BFD5" w14:textId="77777777">
        <w:trPr>
          <w:trHeight w:val="300"/>
        </w:trPr>
        <w:tc>
          <w:tcPr>
            <w:tcW w:w="1694" w:type="dxa"/>
            <w:vMerge/>
            <w:shd w:val="clear" w:color="auto" w:fill="002060"/>
            <w:tcMar>
              <w:left w:w="108" w:type="dxa"/>
              <w:right w:w="108" w:type="dxa"/>
            </w:tcMar>
          </w:tcPr>
          <w:p w14:paraId="19DF171E" w14:textId="77777777" w:rsidR="004D556D" w:rsidRPr="000F6CD1" w:rsidRDefault="004D556D"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1E8697F1" w14:textId="77777777" w:rsidR="004D556D" w:rsidRPr="000F6CD1" w:rsidRDefault="004D556D" w:rsidP="00622CFF">
            <w:pPr>
              <w:spacing w:before="240" w:after="240"/>
              <w:rPr>
                <w:rFonts w:eastAsia="Arial"/>
                <w:color w:val="000000"/>
                <w:szCs w:val="22"/>
              </w:rPr>
            </w:pPr>
            <w:r w:rsidRPr="000F6CD1">
              <w:rPr>
                <w:rFonts w:eastAsia="Arial"/>
                <w:szCs w:val="22"/>
              </w:rPr>
              <w:t>52</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2C7FBB50" w14:textId="77777777" w:rsidR="004D556D" w:rsidRPr="000F6CD1" w:rsidRDefault="004D556D" w:rsidP="00622CFF">
            <w:pPr>
              <w:spacing w:before="240" w:after="240"/>
              <w:rPr>
                <w:rFonts w:eastAsia="Arial"/>
                <w:color w:val="000000"/>
                <w:szCs w:val="22"/>
              </w:rPr>
            </w:pPr>
            <w:r w:rsidRPr="000F6CD1">
              <w:rPr>
                <w:rFonts w:eastAsia="Arial"/>
                <w:szCs w:val="22"/>
              </w:rPr>
              <w:t>Cancellation of a supporter’s registration upon request of the registered supporter. This applies to supporter, supporter lite and supporter guardian relationships.</w:t>
            </w:r>
          </w:p>
        </w:tc>
      </w:tr>
      <w:tr w:rsidR="004D556D" w:rsidRPr="000F6CD1" w14:paraId="3722AC66" w14:textId="77777777">
        <w:trPr>
          <w:trHeight w:val="300"/>
        </w:trPr>
        <w:tc>
          <w:tcPr>
            <w:tcW w:w="1694" w:type="dxa"/>
            <w:vMerge/>
            <w:shd w:val="clear" w:color="auto" w:fill="002060"/>
            <w:tcMar>
              <w:left w:w="108" w:type="dxa"/>
              <w:right w:w="108" w:type="dxa"/>
            </w:tcMar>
          </w:tcPr>
          <w:p w14:paraId="64692B10" w14:textId="77777777" w:rsidR="004D556D" w:rsidRPr="000F6CD1" w:rsidRDefault="004D556D" w:rsidP="00622CFF">
            <w:pPr>
              <w:spacing w:before="240" w:after="240"/>
              <w:rPr>
                <w:rFonts w:eastAsia="Arial"/>
                <w:color w:val="000000"/>
                <w:szCs w:val="22"/>
              </w:rPr>
            </w:pPr>
          </w:p>
        </w:tc>
        <w:tc>
          <w:tcPr>
            <w:tcW w:w="1131" w:type="dxa"/>
            <w:tcBorders>
              <w:top w:val="single" w:sz="8" w:space="0" w:color="auto"/>
              <w:left w:val="single" w:sz="8" w:space="0" w:color="auto"/>
              <w:bottom w:val="single" w:sz="8" w:space="0" w:color="auto"/>
              <w:right w:val="single" w:sz="8" w:space="0" w:color="auto"/>
            </w:tcBorders>
            <w:tcMar>
              <w:left w:w="108" w:type="dxa"/>
              <w:right w:w="108" w:type="dxa"/>
            </w:tcMar>
          </w:tcPr>
          <w:p w14:paraId="31A5F91A" w14:textId="77777777" w:rsidR="004D556D" w:rsidRPr="000F6CD1" w:rsidRDefault="004D556D" w:rsidP="00622CFF">
            <w:pPr>
              <w:spacing w:before="240" w:after="240"/>
              <w:rPr>
                <w:rFonts w:eastAsia="Arial"/>
                <w:color w:val="000000"/>
                <w:szCs w:val="22"/>
              </w:rPr>
            </w:pPr>
            <w:r w:rsidRPr="000F6CD1">
              <w:rPr>
                <w:rFonts w:eastAsia="Arial"/>
                <w:szCs w:val="22"/>
              </w:rPr>
              <w:t>53(1)(a)</w:t>
            </w:r>
          </w:p>
        </w:tc>
        <w:tc>
          <w:tcPr>
            <w:tcW w:w="6245" w:type="dxa"/>
            <w:tcBorders>
              <w:top w:val="single" w:sz="8" w:space="0" w:color="auto"/>
              <w:left w:val="single" w:sz="8" w:space="0" w:color="auto"/>
              <w:bottom w:val="single" w:sz="8" w:space="0" w:color="auto"/>
              <w:right w:val="single" w:sz="8" w:space="0" w:color="auto"/>
            </w:tcBorders>
            <w:tcMar>
              <w:left w:w="108" w:type="dxa"/>
              <w:right w:w="108" w:type="dxa"/>
            </w:tcMar>
          </w:tcPr>
          <w:p w14:paraId="475230B0" w14:textId="77777777" w:rsidR="004D556D" w:rsidRPr="000F6CD1" w:rsidRDefault="004D556D" w:rsidP="00622CFF">
            <w:pPr>
              <w:spacing w:before="240" w:after="240"/>
              <w:rPr>
                <w:rFonts w:eastAsia="Arial"/>
                <w:color w:val="000000"/>
                <w:szCs w:val="22"/>
              </w:rPr>
            </w:pPr>
            <w:r w:rsidRPr="000F6CD1">
              <w:rPr>
                <w:rFonts w:eastAsia="Arial"/>
                <w:szCs w:val="22"/>
              </w:rPr>
              <w:t xml:space="preserve">Cancellation of a supporter’s registration upon request of the older person, where the registered supporter is not also an active, appointed decision maker for the older person (that is, a person captured by section 28(2)) – meaning it is </w:t>
            </w:r>
            <w:r w:rsidRPr="000F6CD1">
              <w:rPr>
                <w:rFonts w:eastAsia="Arial"/>
                <w:b/>
                <w:bCs/>
                <w:szCs w:val="22"/>
              </w:rPr>
              <w:t>not</w:t>
            </w:r>
            <w:r w:rsidRPr="000F6CD1">
              <w:rPr>
                <w:rFonts w:eastAsia="Arial"/>
                <w:szCs w:val="22"/>
              </w:rPr>
              <w:t xml:space="preserve"> a supporter guardian relationship). </w:t>
            </w:r>
          </w:p>
        </w:tc>
      </w:tr>
    </w:tbl>
    <w:p w14:paraId="2F5E6BF6" w14:textId="77777777" w:rsidR="004D556D" w:rsidRPr="000F6CD1" w:rsidRDefault="004D556D" w:rsidP="00622CFF">
      <w:pPr>
        <w:spacing w:before="240" w:after="240" w:line="240" w:lineRule="auto"/>
        <w:rPr>
          <w:rFonts w:eastAsia="Yu Gothic Light"/>
          <w:color w:val="3F4A75"/>
          <w:sz w:val="44"/>
          <w:szCs w:val="36"/>
        </w:rPr>
      </w:pPr>
    </w:p>
    <w:p w14:paraId="54609216" w14:textId="77777777" w:rsidR="004D556D" w:rsidRPr="000F6CD1" w:rsidRDefault="004D556D" w:rsidP="00AC3600">
      <w:pPr>
        <w:pStyle w:val="H1"/>
      </w:pPr>
      <w:r w:rsidRPr="000F6CD1">
        <w:br w:type="page"/>
      </w:r>
      <w:bookmarkStart w:id="657" w:name="_Toc209189021"/>
      <w:bookmarkStart w:id="658" w:name="_Ref212733349"/>
      <w:bookmarkStart w:id="659" w:name="_Ref212736309"/>
      <w:bookmarkStart w:id="660" w:name="_Ref212736334"/>
      <w:bookmarkStart w:id="661" w:name="_Ref232589810"/>
      <w:bookmarkStart w:id="662" w:name="_Toc233282479"/>
      <w:r w:rsidRPr="000F6CD1">
        <w:lastRenderedPageBreak/>
        <w:t>Chapter 8: Delegate decisions in practice</w:t>
      </w:r>
      <w:bookmarkEnd w:id="657"/>
      <w:bookmarkEnd w:id="658"/>
      <w:bookmarkEnd w:id="659"/>
      <w:bookmarkEnd w:id="660"/>
      <w:bookmarkEnd w:id="661"/>
      <w:bookmarkEnd w:id="662"/>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shd w:val="clear" w:color="auto" w:fill="EAEDF1"/>
        <w:tblLook w:val="04A0" w:firstRow="1" w:lastRow="0" w:firstColumn="1" w:lastColumn="0" w:noHBand="0" w:noVBand="1"/>
      </w:tblPr>
      <w:tblGrid>
        <w:gridCol w:w="9016"/>
      </w:tblGrid>
      <w:tr w:rsidR="004D556D" w:rsidRPr="000F6CD1" w14:paraId="0B58B3FD"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cPr>
          <w:p w14:paraId="17D1280B" w14:textId="77777777" w:rsidR="004D556D" w:rsidRPr="000F6CD1" w:rsidRDefault="004D556D" w:rsidP="00760601">
            <w:pPr>
              <w:rPr>
                <w:b/>
                <w:bCs/>
                <w:color w:val="358189"/>
                <w:sz w:val="36"/>
                <w:szCs w:val="36"/>
              </w:rPr>
            </w:pPr>
            <w:bookmarkStart w:id="663" w:name="_Toc209189022"/>
            <w:bookmarkStart w:id="664" w:name="_Toc205372055"/>
            <w:bookmarkStart w:id="665" w:name="_Toc207713960"/>
            <w:r w:rsidRPr="000F6CD1">
              <w:rPr>
                <w:b/>
                <w:bCs/>
                <w:color w:val="358189"/>
                <w:sz w:val="36"/>
                <w:szCs w:val="36"/>
              </w:rPr>
              <w:t>What you’ll find in this chapter</w:t>
            </w:r>
            <w:bookmarkEnd w:id="663"/>
            <w:r w:rsidRPr="000F6CD1">
              <w:rPr>
                <w:b/>
                <w:bCs/>
                <w:color w:val="358189"/>
                <w:sz w:val="36"/>
                <w:szCs w:val="36"/>
              </w:rPr>
              <w:t xml:space="preserve">: </w:t>
            </w:r>
          </w:p>
          <w:p w14:paraId="4DF9DD80" w14:textId="77777777" w:rsidR="004D556D" w:rsidRPr="000F6CD1" w:rsidRDefault="004D556D" w:rsidP="00622CFF">
            <w:pPr>
              <w:spacing w:before="240" w:after="240"/>
              <w:rPr>
                <w:rFonts w:eastAsia="Yu Gothic Light"/>
              </w:rPr>
            </w:pPr>
            <w:r w:rsidRPr="000F6CD1">
              <w:rPr>
                <w:rFonts w:eastAsia="Yu Gothic Light"/>
              </w:rPr>
              <w:t>This chapter includes guidance for assessment delegates covering:</w:t>
            </w:r>
          </w:p>
          <w:p w14:paraId="05B3577D" w14:textId="77777777" w:rsidR="004D556D" w:rsidRPr="000F6CD1" w:rsidRDefault="004D556D">
            <w:pPr>
              <w:numPr>
                <w:ilvl w:val="0"/>
                <w:numId w:val="35"/>
              </w:numPr>
              <w:spacing w:before="240" w:after="240"/>
              <w:contextualSpacing/>
              <w:rPr>
                <w:rFonts w:eastAsia="Yu Gothic Light"/>
              </w:rPr>
            </w:pPr>
            <w:r w:rsidRPr="000F6CD1">
              <w:rPr>
                <w:rFonts w:eastAsia="Yu Gothic Light"/>
              </w:rPr>
              <w:t>how to make sound, evidence-based decisions</w:t>
            </w:r>
          </w:p>
          <w:p w14:paraId="4C2FFDAC" w14:textId="77777777" w:rsidR="004D556D" w:rsidRPr="000F6CD1" w:rsidRDefault="004D556D">
            <w:pPr>
              <w:numPr>
                <w:ilvl w:val="0"/>
                <w:numId w:val="35"/>
              </w:numPr>
              <w:spacing w:before="240" w:after="240"/>
              <w:contextualSpacing/>
              <w:rPr>
                <w:rFonts w:eastAsia="Yu Gothic Light"/>
              </w:rPr>
            </w:pPr>
            <w:r w:rsidRPr="000F6CD1">
              <w:rPr>
                <w:rFonts w:eastAsia="Yu Gothic Light"/>
              </w:rPr>
              <w:t>step-by-step processes for approving aged care services across the service groups</w:t>
            </w:r>
          </w:p>
          <w:p w14:paraId="68239037" w14:textId="77777777" w:rsidR="004D556D" w:rsidRPr="000F6CD1" w:rsidRDefault="004D556D">
            <w:pPr>
              <w:numPr>
                <w:ilvl w:val="0"/>
                <w:numId w:val="35"/>
              </w:numPr>
              <w:spacing w:before="240" w:after="240"/>
              <w:contextualSpacing/>
              <w:rPr>
                <w:rFonts w:eastAsia="Yu Gothic Light"/>
              </w:rPr>
            </w:pPr>
            <w:r w:rsidRPr="000F6CD1">
              <w:rPr>
                <w:rFonts w:eastAsia="Yu Gothic Light"/>
              </w:rPr>
              <w:t>other approvals (including giving approvals after a service has commenced and approving a service without an assessment).</w:t>
            </w:r>
          </w:p>
          <w:p w14:paraId="37607AED" w14:textId="77777777" w:rsidR="004D556D" w:rsidRPr="000F6CD1" w:rsidRDefault="004D556D" w:rsidP="00622CFF">
            <w:pPr>
              <w:spacing w:before="240" w:after="240"/>
              <w:rPr>
                <w:rFonts w:eastAsia="Yu Gothic Light"/>
              </w:rPr>
            </w:pPr>
          </w:p>
        </w:tc>
      </w:tr>
    </w:tbl>
    <w:p w14:paraId="64FD94E0" w14:textId="77777777" w:rsidR="004D556D" w:rsidRPr="000F6CD1" w:rsidRDefault="004D556D" w:rsidP="00622CFF">
      <w:pPr>
        <w:spacing w:before="240" w:after="240" w:line="240" w:lineRule="auto"/>
        <w:rPr>
          <w:rFonts w:eastAsia="Yu Gothic Light"/>
        </w:rPr>
      </w:pPr>
    </w:p>
    <w:p w14:paraId="6F453668" w14:textId="77777777" w:rsidR="004D556D" w:rsidRPr="000F6CD1" w:rsidRDefault="004D556D" w:rsidP="006647CE">
      <w:pPr>
        <w:pStyle w:val="h2"/>
        <w:rPr>
          <w:rFonts w:ascii="Aptos Display" w:hAnsi="Aptos Display"/>
          <w:color w:val="0F4761"/>
          <w:sz w:val="32"/>
        </w:rPr>
      </w:pPr>
      <w:bookmarkStart w:id="666" w:name="_Toc209189023"/>
      <w:bookmarkStart w:id="667" w:name="_Toc233282480"/>
      <w:r w:rsidRPr="000F6CD1">
        <w:t>Decision-making fundamentals</w:t>
      </w:r>
      <w:bookmarkEnd w:id="664"/>
      <w:bookmarkEnd w:id="665"/>
      <w:bookmarkEnd w:id="666"/>
      <w:bookmarkEnd w:id="667"/>
      <w:r w:rsidRPr="000F6CD1">
        <w:t xml:space="preserve"> </w:t>
      </w:r>
    </w:p>
    <w:p w14:paraId="4D45163D" w14:textId="77777777" w:rsidR="004D556D" w:rsidRPr="000F6CD1" w:rsidRDefault="004D556D" w:rsidP="00622CFF">
      <w:pPr>
        <w:spacing w:before="240" w:after="240" w:line="240" w:lineRule="auto"/>
        <w:rPr>
          <w:rFonts w:eastAsia="Aptos"/>
        </w:rPr>
      </w:pPr>
      <w:r w:rsidRPr="000F6CD1">
        <w:rPr>
          <w:rFonts w:eastAsia="Aptos"/>
        </w:rPr>
        <w:t xml:space="preserve">Effective decision-making requires sound judgment, evidence-based reasoning, and a commitment to fairness and accountability. </w:t>
      </w:r>
    </w:p>
    <w:p w14:paraId="6E72EFB5" w14:textId="77777777" w:rsidR="004D556D" w:rsidRPr="000F6CD1" w:rsidRDefault="004D556D" w:rsidP="00AD2CE5">
      <w:pPr>
        <w:pStyle w:val="H3"/>
      </w:pPr>
      <w:bookmarkStart w:id="668" w:name="_Toc198787154"/>
      <w:bookmarkStart w:id="669" w:name="_Toc1550800580"/>
      <w:bookmarkStart w:id="670" w:name="_Toc199344526"/>
      <w:bookmarkStart w:id="671" w:name="_Toc205372056"/>
      <w:bookmarkStart w:id="672" w:name="_Toc207713961"/>
      <w:r w:rsidRPr="000F6CD1">
        <w:t>Essentials of good decision-making</w:t>
      </w:r>
      <w:bookmarkEnd w:id="668"/>
      <w:bookmarkEnd w:id="669"/>
      <w:bookmarkEnd w:id="670"/>
      <w:bookmarkEnd w:id="671"/>
      <w:bookmarkEnd w:id="672"/>
    </w:p>
    <w:p w14:paraId="4A62F2E2" w14:textId="77777777" w:rsidR="004D556D" w:rsidRPr="000F6CD1" w:rsidRDefault="004D556D" w:rsidP="00622CFF">
      <w:pPr>
        <w:spacing w:before="240" w:after="240" w:line="240" w:lineRule="auto"/>
        <w:rPr>
          <w:rFonts w:eastAsia="Aptos"/>
        </w:rPr>
      </w:pPr>
      <w:r w:rsidRPr="000F6CD1">
        <w:rPr>
          <w:rFonts w:eastAsia="Aptos"/>
        </w:rPr>
        <w:t>Delegates</w:t>
      </w:r>
      <w:r w:rsidRPr="000F6CD1" w:rsidDel="002D42B9">
        <w:rPr>
          <w:rFonts w:eastAsia="Aptos"/>
        </w:rPr>
        <w:t xml:space="preserve"> </w:t>
      </w:r>
      <w:r w:rsidRPr="000F6CD1">
        <w:rPr>
          <w:rFonts w:eastAsia="Aptos"/>
        </w:rPr>
        <w:t>need to exercise independent judgment when determining whether an individual is eligible to be approved for funded aged care services. Delegate decisions must be based on all relevant information obtained through the assessment process. Delegates are considered to possess the necessary skills and expertise to fulfil this delegated role with honesty, integrity and accuracy.</w:t>
      </w:r>
    </w:p>
    <w:p w14:paraId="510C92F4" w14:textId="77777777" w:rsidR="004D556D" w:rsidRPr="000F6CD1" w:rsidRDefault="004D556D" w:rsidP="00622CFF">
      <w:pPr>
        <w:spacing w:before="240" w:after="240" w:line="240" w:lineRule="auto"/>
        <w:rPr>
          <w:rFonts w:eastAsia="Aptos"/>
        </w:rPr>
      </w:pPr>
      <w:r w:rsidRPr="000F6CD1">
        <w:rPr>
          <w:rFonts w:eastAsia="Aptos"/>
        </w:rPr>
        <w:t>To minimise the risk of errors and ensure consistency in decision-making, Delegates should adhere to the following key principles:</w:t>
      </w:r>
      <w:r w:rsidRPr="000F6CD1">
        <w:rPr>
          <w:rFonts w:eastAsia="Aptos" w:hint="eastAsia"/>
          <w:b/>
        </w:rPr>
        <w:t> </w:t>
      </w:r>
    </w:p>
    <w:p w14:paraId="6A6E8616" w14:textId="77777777" w:rsidR="004D556D" w:rsidRPr="000F6CD1" w:rsidRDefault="004D556D" w:rsidP="00DF3F6B">
      <w:pPr>
        <w:numPr>
          <w:ilvl w:val="0"/>
          <w:numId w:val="274"/>
        </w:numPr>
        <w:spacing w:before="240" w:after="240" w:line="240" w:lineRule="auto"/>
        <w:contextualSpacing/>
        <w:rPr>
          <w:rFonts w:eastAsia="Aptos"/>
        </w:rPr>
      </w:pPr>
      <w:r w:rsidRPr="000F6CD1">
        <w:rPr>
          <w:rFonts w:eastAsia="Aptos"/>
          <w:b/>
        </w:rPr>
        <w:t>Identify all material facts:</w:t>
      </w:r>
      <w:r w:rsidRPr="000F6CD1">
        <w:rPr>
          <w:rFonts w:eastAsia="Aptos" w:hint="eastAsia"/>
        </w:rPr>
        <w:t> </w:t>
      </w:r>
      <w:r w:rsidRPr="000F6CD1">
        <w:rPr>
          <w:rFonts w:eastAsia="Aptos"/>
        </w:rPr>
        <w:t>Delegates must establish all material facts that are essential to the decision. Only facts supported by reliable evidence should be taken into account.</w:t>
      </w:r>
    </w:p>
    <w:p w14:paraId="2D1AE5F7" w14:textId="77777777" w:rsidR="004D556D" w:rsidRPr="000F6CD1" w:rsidRDefault="004D556D" w:rsidP="00DF3F6B">
      <w:pPr>
        <w:numPr>
          <w:ilvl w:val="0"/>
          <w:numId w:val="274"/>
        </w:numPr>
        <w:spacing w:before="240" w:after="240" w:line="240" w:lineRule="auto"/>
        <w:contextualSpacing/>
        <w:rPr>
          <w:rFonts w:eastAsia="Aptos"/>
        </w:rPr>
      </w:pPr>
      <w:r w:rsidRPr="000F6CD1">
        <w:rPr>
          <w:rFonts w:eastAsia="Aptos"/>
          <w:b/>
        </w:rPr>
        <w:t>Base decisions on evidence:</w:t>
      </w:r>
      <w:r w:rsidRPr="000F6CD1">
        <w:rPr>
          <w:rFonts w:eastAsia="Aptos" w:hint="eastAsia"/>
        </w:rPr>
        <w:t> </w:t>
      </w:r>
      <w:r w:rsidRPr="000F6CD1">
        <w:rPr>
          <w:rFonts w:eastAsia="Aptos"/>
        </w:rPr>
        <w:t>Avoid making decisions based on unsubstantiated facts. Every finding must be backed by relevant and logical evidence that clearly supports the conclusions.</w:t>
      </w:r>
    </w:p>
    <w:p w14:paraId="7BF504C0" w14:textId="77777777" w:rsidR="004D556D" w:rsidRPr="000F6CD1" w:rsidRDefault="004D556D" w:rsidP="00DF3F6B">
      <w:pPr>
        <w:numPr>
          <w:ilvl w:val="0"/>
          <w:numId w:val="274"/>
        </w:numPr>
        <w:spacing w:before="240" w:after="240" w:line="240" w:lineRule="auto"/>
        <w:contextualSpacing/>
        <w:rPr>
          <w:rFonts w:eastAsia="Aptos"/>
        </w:rPr>
      </w:pPr>
      <w:r w:rsidRPr="000F6CD1">
        <w:rPr>
          <w:rFonts w:eastAsia="Aptos"/>
          <w:b/>
        </w:rPr>
        <w:t>Ensure reasonable judgement:</w:t>
      </w:r>
      <w:r w:rsidRPr="000F6CD1">
        <w:rPr>
          <w:rFonts w:eastAsia="Aptos" w:hint="eastAsia"/>
        </w:rPr>
        <w:t> </w:t>
      </w:r>
      <w:r w:rsidRPr="000F6CD1">
        <w:rPr>
          <w:rFonts w:eastAsia="Aptos"/>
        </w:rPr>
        <w:t xml:space="preserve"> Delegate decisions must be reasonable and not be based on findings that are manifestly unreasonable. This means that the conclusions should be rational, defensible, and clearly justifiable.</w:t>
      </w:r>
    </w:p>
    <w:p w14:paraId="01C439A8" w14:textId="77777777" w:rsidR="004D556D" w:rsidRPr="000F6CD1" w:rsidRDefault="004D556D" w:rsidP="00DF3F6B">
      <w:pPr>
        <w:numPr>
          <w:ilvl w:val="0"/>
          <w:numId w:val="274"/>
        </w:numPr>
        <w:spacing w:before="240" w:after="240" w:line="240" w:lineRule="auto"/>
        <w:contextualSpacing/>
        <w:rPr>
          <w:rFonts w:eastAsia="Aptos"/>
        </w:rPr>
      </w:pPr>
      <w:r w:rsidRPr="000F6CD1">
        <w:rPr>
          <w:rFonts w:eastAsia="Aptos"/>
          <w:b/>
        </w:rPr>
        <w:t>Observe natural justice:</w:t>
      </w:r>
      <w:r w:rsidRPr="000F6CD1">
        <w:rPr>
          <w:rFonts w:eastAsia="Aptos" w:hint="eastAsia"/>
        </w:rPr>
        <w:t> </w:t>
      </w:r>
      <w:r w:rsidRPr="000F6CD1">
        <w:rPr>
          <w:rFonts w:eastAsia="Aptos"/>
        </w:rPr>
        <w:t>Delegates must respect the principles of natural justice throughout the decision-making process. In essence, this means ensuring that individuals are given a fair opportunity to explain their circumstances before a decision is made.</w:t>
      </w:r>
    </w:p>
    <w:p w14:paraId="5FE497E7" w14:textId="77777777" w:rsidR="004D556D" w:rsidRPr="000F6CD1" w:rsidRDefault="004D556D" w:rsidP="00DF3F6B">
      <w:pPr>
        <w:numPr>
          <w:ilvl w:val="0"/>
          <w:numId w:val="274"/>
        </w:numPr>
        <w:spacing w:before="240" w:after="240" w:line="240" w:lineRule="auto"/>
        <w:contextualSpacing/>
        <w:rPr>
          <w:rFonts w:ascii="Aptos" w:eastAsia="Aptos" w:hAnsi="Aptos"/>
        </w:rPr>
      </w:pPr>
      <w:r w:rsidRPr="000F6CD1">
        <w:rPr>
          <w:rFonts w:eastAsia="Aptos"/>
          <w:b/>
        </w:rPr>
        <w:t>Comply with legal requirements:</w:t>
      </w:r>
      <w:r w:rsidRPr="000F6CD1">
        <w:rPr>
          <w:rFonts w:eastAsia="Aptos" w:hint="eastAsia"/>
        </w:rPr>
        <w:t> </w:t>
      </w:r>
      <w:r w:rsidRPr="000F6CD1">
        <w:rPr>
          <w:rFonts w:eastAsia="Aptos"/>
        </w:rPr>
        <w:t>Delegates must comply with any statutory obligations, including understanding the important new eligibility criteria for approvals and the requirement to provide a written statement of reasons</w:t>
      </w:r>
      <w:r w:rsidRPr="000F6CD1">
        <w:rPr>
          <w:rFonts w:ascii="Aptos" w:eastAsia="Aptos" w:hAnsi="Aptos"/>
        </w:rPr>
        <w:t xml:space="preserve"> </w:t>
      </w:r>
      <w:r w:rsidRPr="000F6CD1">
        <w:rPr>
          <w:rFonts w:eastAsia="Aptos"/>
        </w:rPr>
        <w:t>when necessary.</w:t>
      </w:r>
    </w:p>
    <w:p w14:paraId="5FA469C3" w14:textId="77777777" w:rsidR="004D556D" w:rsidRPr="000F6CD1" w:rsidRDefault="004D556D" w:rsidP="0003231B">
      <w:pPr>
        <w:spacing w:before="240" w:after="240" w:line="240" w:lineRule="auto"/>
        <w:ind w:left="720"/>
        <w:contextualSpacing/>
        <w:rPr>
          <w:rFonts w:ascii="Aptos" w:eastAsia="Aptos" w:hAnsi="Aptos"/>
        </w:rPr>
      </w:pPr>
    </w:p>
    <w:p w14:paraId="417A3D73" w14:textId="77777777" w:rsidR="004D556D" w:rsidRPr="000F6CD1" w:rsidRDefault="004D556D" w:rsidP="00AD2CE5">
      <w:pPr>
        <w:pStyle w:val="H3"/>
        <w:rPr>
          <w:sz w:val="28"/>
          <w:szCs w:val="28"/>
        </w:rPr>
      </w:pPr>
      <w:bookmarkStart w:id="673" w:name="_Toc197616757"/>
      <w:bookmarkStart w:id="674" w:name="_Toc198787155"/>
      <w:bookmarkStart w:id="675" w:name="_Toc2043829873"/>
      <w:bookmarkStart w:id="676" w:name="_Toc199344527"/>
      <w:bookmarkStart w:id="677" w:name="_Toc205372057"/>
      <w:bookmarkStart w:id="678" w:name="_Toc207713962"/>
      <w:r w:rsidRPr="000F6CD1">
        <w:lastRenderedPageBreak/>
        <w:t>Best practice guides for decision-making</w:t>
      </w:r>
      <w:bookmarkEnd w:id="673"/>
      <w:bookmarkEnd w:id="674"/>
      <w:bookmarkEnd w:id="675"/>
      <w:bookmarkEnd w:id="676"/>
      <w:bookmarkEnd w:id="677"/>
      <w:bookmarkEnd w:id="678"/>
    </w:p>
    <w:p w14:paraId="099435EE" w14:textId="77777777" w:rsidR="004D556D" w:rsidRPr="000F6CD1" w:rsidRDefault="004D556D" w:rsidP="00622CFF">
      <w:pPr>
        <w:spacing w:before="240" w:after="240" w:line="240" w:lineRule="auto"/>
        <w:rPr>
          <w:rFonts w:eastAsia="Aptos"/>
        </w:rPr>
      </w:pPr>
      <w:r w:rsidRPr="000F6CD1">
        <w:rPr>
          <w:rFonts w:eastAsia="Aptos"/>
        </w:rPr>
        <w:t>To support</w:t>
      </w:r>
      <w:r w:rsidRPr="000F6CD1" w:rsidDel="00B954B4">
        <w:rPr>
          <w:rFonts w:eastAsia="Aptos"/>
        </w:rPr>
        <w:t xml:space="preserve"> </w:t>
      </w:r>
      <w:r w:rsidRPr="000F6CD1">
        <w:rPr>
          <w:rFonts w:eastAsia="Aptos"/>
        </w:rPr>
        <w:t>delegates in this role, the</w:t>
      </w:r>
      <w:r w:rsidRPr="000F6CD1">
        <w:rPr>
          <w:rFonts w:eastAsia="Aptos" w:hint="eastAsia"/>
        </w:rPr>
        <w:t> </w:t>
      </w:r>
      <w:r w:rsidRPr="000F6CD1">
        <w:rPr>
          <w:rFonts w:eastAsia="Aptos"/>
          <w:bCs/>
        </w:rPr>
        <w:t>Administrative Review Council (ARC)</w:t>
      </w:r>
      <w:r w:rsidRPr="000F6CD1">
        <w:rPr>
          <w:rFonts w:eastAsia="Aptos" w:hint="eastAsia"/>
        </w:rPr>
        <w:t> </w:t>
      </w:r>
      <w:r w:rsidRPr="000F6CD1">
        <w:rPr>
          <w:rFonts w:eastAsia="Aptos"/>
        </w:rPr>
        <w:t>has developed a series of</w:t>
      </w:r>
      <w:r w:rsidRPr="000F6CD1">
        <w:rPr>
          <w:rFonts w:eastAsia="Aptos" w:hint="eastAsia"/>
        </w:rPr>
        <w:t> </w:t>
      </w:r>
      <w:r w:rsidRPr="000F6CD1">
        <w:rPr>
          <w:rFonts w:eastAsia="Aptos"/>
          <w:bCs/>
        </w:rPr>
        <w:t>Best Practice Guides.</w:t>
      </w:r>
      <w:r w:rsidRPr="000F6CD1">
        <w:rPr>
          <w:rFonts w:eastAsia="Aptos"/>
        </w:rPr>
        <w:t xml:space="preserve"> These guides serve as both a training resource and a reference tool for primary decision-makers in Commonwealth agencies, including Delegates. They cover key aspects of decision-making and provide practical guidance to help you make sound, evidence-based decisions.</w:t>
      </w:r>
    </w:p>
    <w:p w14:paraId="15E59413" w14:textId="77777777" w:rsidR="004D556D" w:rsidRPr="000F6CD1" w:rsidRDefault="004D556D" w:rsidP="00622CFF">
      <w:pPr>
        <w:spacing w:before="240" w:after="240" w:line="240" w:lineRule="auto"/>
        <w:rPr>
          <w:rFonts w:eastAsia="Aptos"/>
        </w:rPr>
      </w:pPr>
      <w:r w:rsidRPr="000F6CD1">
        <w:rPr>
          <w:rFonts w:eastAsia="Aptos"/>
        </w:rPr>
        <w:t xml:space="preserve">You can refer to the five ARC Best Practice Guides on the Attorney-General's Department website. </w:t>
      </w:r>
    </w:p>
    <w:tbl>
      <w:tblPr>
        <w:tblW w:w="0" w:type="auto"/>
        <w:tblLook w:val="04A0" w:firstRow="1" w:lastRow="0" w:firstColumn="1" w:lastColumn="0" w:noHBand="0" w:noVBand="1"/>
      </w:tblPr>
      <w:tblGrid>
        <w:gridCol w:w="921"/>
        <w:gridCol w:w="8105"/>
      </w:tblGrid>
      <w:tr w:rsidR="004D556D" w:rsidRPr="000F6CD1" w14:paraId="096B68E4" w14:textId="77777777">
        <w:trPr>
          <w:trHeight w:val="677"/>
        </w:trPr>
        <w:tc>
          <w:tcPr>
            <w:tcW w:w="921" w:type="dxa"/>
          </w:tcPr>
          <w:p w14:paraId="236E619D" w14:textId="77777777" w:rsidR="004D556D" w:rsidRPr="000F6CD1" w:rsidRDefault="004D556D">
            <w:pPr>
              <w:spacing w:before="240" w:after="240" w:line="240" w:lineRule="auto"/>
              <w:rPr>
                <w:rFonts w:eastAsia="Yu Gothic Light"/>
              </w:rPr>
            </w:pPr>
            <w:r w:rsidRPr="000F6CD1">
              <w:rPr>
                <w:rFonts w:eastAsia="Yu Gothic Light"/>
                <w:noProof/>
              </w:rPr>
              <w:drawing>
                <wp:inline distT="0" distB="0" distL="0" distR="0" wp14:anchorId="4D9AAEF6" wp14:editId="44D04071">
                  <wp:extent cx="447675" cy="445208"/>
                  <wp:effectExtent l="0" t="0" r="0" b="0"/>
                  <wp:docPr id="1632818657" name="Picture 163281865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18657" name="Picture 1632818657"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5CA38D2A" w14:textId="77777777" w:rsidR="004D556D" w:rsidRPr="000F6CD1" w:rsidRDefault="004D556D">
            <w:pPr>
              <w:spacing w:before="240" w:after="240" w:line="240" w:lineRule="auto"/>
              <w:rPr>
                <w:rFonts w:eastAsia="Yu Gothic Light"/>
              </w:rPr>
            </w:pPr>
            <w:r w:rsidRPr="000F6CD1">
              <w:rPr>
                <w:rFonts w:eastAsia="Aptos"/>
              </w:rPr>
              <w:t xml:space="preserve">ARC Best Practice Guides : </w:t>
            </w:r>
            <w:hyperlink r:id="rId243" w:history="1">
              <w:r w:rsidRPr="000F6CD1">
                <w:rPr>
                  <w:rFonts w:eastAsia="Aptos"/>
                  <w:color w:val="467886"/>
                  <w:u w:val="single"/>
                </w:rPr>
                <w:t>Administrative Review Council publications | Attorney-General's Department</w:t>
              </w:r>
            </w:hyperlink>
          </w:p>
        </w:tc>
      </w:tr>
    </w:tbl>
    <w:p w14:paraId="7C51B75C" w14:textId="0C0BE48C" w:rsidR="004D556D" w:rsidRPr="000F6CD1" w:rsidRDefault="004D556D" w:rsidP="00E67399">
      <w:pPr>
        <w:pStyle w:val="Sub-headings"/>
      </w:pPr>
      <w:r w:rsidRPr="000F6CD1">
        <w:t>Note:</w:t>
      </w:r>
      <w:r w:rsidR="003C0901">
        <w:t xml:space="preserve"> </w:t>
      </w:r>
      <w:r w:rsidRPr="000F6CD1">
        <w:t>The Administrative Review Council (ARC) published the Best Practice Guides prior to 2015. While they continue to be regarded as sound policy, it is important to note that they have</w:t>
      </w:r>
      <w:r w:rsidRPr="000F6CD1">
        <w:rPr>
          <w:rFonts w:hint="eastAsia"/>
        </w:rPr>
        <w:t> </w:t>
      </w:r>
      <w:r w:rsidRPr="000F6CD1">
        <w:t>not been updated</w:t>
      </w:r>
      <w:r w:rsidRPr="000F6CD1">
        <w:rPr>
          <w:rFonts w:hint="eastAsia"/>
        </w:rPr>
        <w:t> </w:t>
      </w:r>
      <w:r w:rsidRPr="000F6CD1">
        <w:t>to reflect any changes in case law or relevant legislation since their publication.</w:t>
      </w:r>
      <w:bookmarkStart w:id="679" w:name="_Toc198787156"/>
      <w:bookmarkStart w:id="680" w:name="_Toc379818902"/>
      <w:bookmarkStart w:id="681" w:name="_Toc199344528"/>
      <w:bookmarkStart w:id="682" w:name="_Toc205372058"/>
      <w:bookmarkStart w:id="683" w:name="_Toc207713963"/>
      <w:bookmarkStart w:id="684" w:name="_Toc209189024"/>
    </w:p>
    <w:p w14:paraId="65F4351D" w14:textId="77777777" w:rsidR="004D556D" w:rsidRPr="000F6CD1" w:rsidRDefault="004D556D" w:rsidP="006647CE">
      <w:pPr>
        <w:pStyle w:val="h2"/>
      </w:pPr>
      <w:bookmarkStart w:id="685" w:name="_Toc233282481"/>
      <w:r w:rsidRPr="000F6CD1">
        <w:t>Quality assurance</w:t>
      </w:r>
      <w:bookmarkEnd w:id="679"/>
      <w:bookmarkEnd w:id="680"/>
      <w:bookmarkEnd w:id="681"/>
      <w:bookmarkEnd w:id="682"/>
      <w:bookmarkEnd w:id="683"/>
      <w:bookmarkEnd w:id="684"/>
      <w:bookmarkEnd w:id="685"/>
    </w:p>
    <w:p w14:paraId="64A67A91" w14:textId="77777777" w:rsidR="004D556D" w:rsidRPr="000F6CD1" w:rsidRDefault="004D556D" w:rsidP="00622CFF">
      <w:pPr>
        <w:spacing w:before="240" w:after="240" w:line="240" w:lineRule="auto"/>
        <w:rPr>
          <w:rFonts w:eastAsia="Aptos"/>
        </w:rPr>
      </w:pPr>
      <w:r w:rsidRPr="000F6CD1">
        <w:rPr>
          <w:rFonts w:eastAsia="Aptos"/>
        </w:rPr>
        <w:t>Delegates play a crucial</w:t>
      </w:r>
      <w:r w:rsidRPr="000F6CD1">
        <w:rPr>
          <w:rFonts w:eastAsia="Aptos" w:hint="eastAsia"/>
        </w:rPr>
        <w:t> </w:t>
      </w:r>
      <w:r w:rsidRPr="000F6CD1">
        <w:rPr>
          <w:rFonts w:eastAsia="Aptos"/>
          <w:bCs/>
        </w:rPr>
        <w:t>quality assurance</w:t>
      </w:r>
      <w:r w:rsidRPr="000F6CD1">
        <w:rPr>
          <w:rFonts w:eastAsia="Aptos" w:hint="eastAsia"/>
        </w:rPr>
        <w:t> </w:t>
      </w:r>
      <w:r w:rsidRPr="000F6CD1">
        <w:rPr>
          <w:rFonts w:eastAsia="Aptos"/>
        </w:rPr>
        <w:t>role within the aged care needs assessment system. It is the</w:t>
      </w:r>
      <w:r w:rsidRPr="000F6CD1" w:rsidDel="00CA5921">
        <w:rPr>
          <w:rFonts w:eastAsia="Aptos"/>
        </w:rPr>
        <w:t xml:space="preserve"> </w:t>
      </w:r>
      <w:r w:rsidRPr="000F6CD1">
        <w:rPr>
          <w:rFonts w:eastAsia="Aptos"/>
        </w:rPr>
        <w:t>delegate’s responsibility to ensure that due process is followed. Delegates are responsible for ensuring that</w:t>
      </w:r>
      <w:r w:rsidRPr="000F6CD1" w:rsidDel="00C96C57">
        <w:rPr>
          <w:rFonts w:eastAsia="Aptos"/>
        </w:rPr>
        <w:t xml:space="preserve"> </w:t>
      </w:r>
      <w:r w:rsidRPr="000F6CD1">
        <w:rPr>
          <w:rFonts w:eastAsia="Aptos"/>
        </w:rPr>
        <w:t>the person being assessed genuinely requires government-funded aged care services. Additionally,</w:t>
      </w:r>
      <w:r w:rsidRPr="000F6CD1" w:rsidDel="00541385">
        <w:rPr>
          <w:rFonts w:eastAsia="Aptos"/>
        </w:rPr>
        <w:t xml:space="preserve"> </w:t>
      </w:r>
      <w:r w:rsidRPr="000F6CD1">
        <w:rPr>
          <w:rFonts w:eastAsia="Aptos"/>
        </w:rPr>
        <w:t>delegates must ensure that any missing information or gaps in the required evidence have been identified, followed up, and clarified with the assessor. This is essential to support accurate, well-informed delegate decisions and uphold the integrity of the assessment process.</w:t>
      </w:r>
    </w:p>
    <w:p w14:paraId="61B8EF21" w14:textId="77777777" w:rsidR="004D556D" w:rsidRPr="000F6CD1" w:rsidRDefault="004D556D" w:rsidP="00622CFF">
      <w:pPr>
        <w:spacing w:before="240" w:after="240" w:line="240" w:lineRule="auto"/>
        <w:rPr>
          <w:rFonts w:eastAsia="Aptos"/>
        </w:rPr>
      </w:pPr>
      <w:r w:rsidRPr="000F6CD1">
        <w:rPr>
          <w:rFonts w:eastAsia="Aptos"/>
        </w:rPr>
        <w:t>It is essential that assessment delegates maintain accuracy and consistency in their practice. Assessment delegates can do this by:</w:t>
      </w:r>
    </w:p>
    <w:p w14:paraId="0EBAB8C1" w14:textId="77777777" w:rsidR="004D556D" w:rsidRPr="000F6CD1" w:rsidRDefault="004D556D" w:rsidP="00DF3F6B">
      <w:pPr>
        <w:numPr>
          <w:ilvl w:val="0"/>
          <w:numId w:val="277"/>
        </w:numPr>
        <w:spacing w:before="240" w:after="240" w:line="240" w:lineRule="auto"/>
        <w:contextualSpacing/>
        <w:rPr>
          <w:rFonts w:eastAsia="Aptos"/>
          <w:b/>
        </w:rPr>
      </w:pPr>
      <w:r w:rsidRPr="000F6CD1">
        <w:rPr>
          <w:rFonts w:eastAsia="Aptos"/>
        </w:rPr>
        <w:t>Regularly consulting this</w:t>
      </w:r>
      <w:r w:rsidRPr="000F6CD1">
        <w:rPr>
          <w:rFonts w:eastAsia="Aptos"/>
          <w:bCs/>
        </w:rPr>
        <w:t xml:space="preserve"> Manual</w:t>
      </w:r>
    </w:p>
    <w:p w14:paraId="2C4E8FF1" w14:textId="77777777" w:rsidR="004D556D" w:rsidRPr="000F6CD1" w:rsidRDefault="004D556D" w:rsidP="00DF3F6B">
      <w:pPr>
        <w:numPr>
          <w:ilvl w:val="0"/>
          <w:numId w:val="277"/>
        </w:numPr>
        <w:spacing w:before="240" w:after="240" w:line="240" w:lineRule="auto"/>
        <w:contextualSpacing/>
        <w:rPr>
          <w:rFonts w:eastAsia="Aptos"/>
        </w:rPr>
      </w:pPr>
      <w:r w:rsidRPr="000F6CD1">
        <w:rPr>
          <w:rFonts w:eastAsia="Aptos"/>
        </w:rPr>
        <w:t>Adhering to the Aged Care Assessment Quality Framework to ensure continuous monitoring and enhancement of assessment practices in alignment with the Framework’s goals.</w:t>
      </w:r>
    </w:p>
    <w:p w14:paraId="5CF4E37F" w14:textId="77777777" w:rsidR="004D556D" w:rsidRPr="000F6CD1" w:rsidRDefault="004D556D" w:rsidP="00DF3F6B">
      <w:pPr>
        <w:numPr>
          <w:ilvl w:val="0"/>
          <w:numId w:val="277"/>
        </w:numPr>
        <w:spacing w:before="240" w:after="240" w:line="240" w:lineRule="auto"/>
        <w:contextualSpacing/>
        <w:rPr>
          <w:rFonts w:eastAsia="Aptos"/>
        </w:rPr>
      </w:pPr>
      <w:r w:rsidRPr="000F6CD1">
        <w:rPr>
          <w:rFonts w:eastAsia="Aptos"/>
        </w:rPr>
        <w:t>Seek guidance in situations that are complex or uncommon e.g. from a Team Leader, Manager, Workplace Trainer, or another assessment delegate who can provide appropriate support and clarification.</w:t>
      </w:r>
      <w:r w:rsidRPr="000F6CD1" w:rsidDel="00185461">
        <w:rPr>
          <w:rFonts w:eastAsia="Aptos"/>
          <w:b/>
        </w:rPr>
        <w:t xml:space="preserve"> </w:t>
      </w:r>
    </w:p>
    <w:p w14:paraId="39C85BE6" w14:textId="2359612C" w:rsidR="004D556D" w:rsidRPr="000F6CD1" w:rsidRDefault="004D556D" w:rsidP="00DF3F6B">
      <w:pPr>
        <w:numPr>
          <w:ilvl w:val="0"/>
          <w:numId w:val="277"/>
        </w:numPr>
        <w:spacing w:before="240" w:after="240" w:line="240" w:lineRule="auto"/>
        <w:contextualSpacing/>
        <w:rPr>
          <w:rFonts w:eastAsia="Aptos"/>
        </w:rPr>
      </w:pPr>
      <w:r w:rsidRPr="000F6CD1">
        <w:rPr>
          <w:rFonts w:eastAsia="Aptos"/>
        </w:rPr>
        <w:t xml:space="preserve">Understanding and adhering to the </w:t>
      </w:r>
      <w:r w:rsidRPr="000F6CD1">
        <w:rPr>
          <w:rFonts w:eastAsia="Aptos"/>
          <w:bCs/>
        </w:rPr>
        <w:t>legal requirements</w:t>
      </w:r>
      <w:r w:rsidRPr="000F6CD1">
        <w:rPr>
          <w:rFonts w:eastAsia="Aptos"/>
        </w:rPr>
        <w:t xml:space="preserve"> set out in the </w:t>
      </w:r>
      <w:r w:rsidRPr="000F6CD1">
        <w:rPr>
          <w:rFonts w:eastAsia="Aptos"/>
          <w:i/>
          <w:iCs/>
        </w:rPr>
        <w:t>Aged Care Act 2024)</w:t>
      </w:r>
      <w:r w:rsidRPr="000F6CD1">
        <w:rPr>
          <w:rFonts w:eastAsia="Aptos"/>
        </w:rPr>
        <w:t xml:space="preserve">. </w:t>
      </w:r>
      <w:bookmarkStart w:id="686" w:name="_Toc198787157"/>
      <w:bookmarkStart w:id="687" w:name="_Toc612751019"/>
      <w:bookmarkStart w:id="688" w:name="_Toc199344529"/>
      <w:bookmarkStart w:id="689" w:name="_Toc205372059"/>
      <w:bookmarkStart w:id="690" w:name="_Toc207713964"/>
    </w:p>
    <w:p w14:paraId="567A5B73" w14:textId="77777777" w:rsidR="004D556D" w:rsidRPr="000F6CD1" w:rsidRDefault="004D556D" w:rsidP="00DF3F6B">
      <w:pPr>
        <w:numPr>
          <w:ilvl w:val="0"/>
          <w:numId w:val="277"/>
        </w:numPr>
        <w:spacing w:before="240" w:after="240" w:line="240" w:lineRule="auto"/>
        <w:contextualSpacing/>
        <w:rPr>
          <w:rFonts w:eastAsia="Aptos"/>
        </w:rPr>
      </w:pPr>
      <w:r w:rsidRPr="000F6CD1">
        <w:rPr>
          <w:rFonts w:eastAsia="Aptos"/>
        </w:rPr>
        <w:t xml:space="preserve">Completing mandatory refresher delegate training every two years through MAClearning. </w:t>
      </w:r>
    </w:p>
    <w:p w14:paraId="4F668851" w14:textId="19E48751" w:rsidR="004D556D" w:rsidRPr="000F6CD1" w:rsidRDefault="00E67399" w:rsidP="00E67399">
      <w:pPr>
        <w:rPr>
          <w:rFonts w:eastAsia="Aptos"/>
        </w:rPr>
      </w:pPr>
      <w:r>
        <w:rPr>
          <w:rFonts w:eastAsia="Aptos"/>
        </w:rPr>
        <w:br w:type="page"/>
      </w:r>
    </w:p>
    <w:p w14:paraId="0B488065" w14:textId="77777777" w:rsidR="004D556D" w:rsidRPr="000F6CD1" w:rsidRDefault="004D556D" w:rsidP="00AD2CE5">
      <w:pPr>
        <w:pStyle w:val="H3"/>
        <w:rPr>
          <w:rFonts w:eastAsia="Aptos"/>
        </w:rPr>
      </w:pPr>
      <w:r w:rsidRPr="000F6CD1">
        <w:lastRenderedPageBreak/>
        <w:t>Validating the assessment process and evidence</w:t>
      </w:r>
      <w:bookmarkEnd w:id="686"/>
      <w:bookmarkEnd w:id="687"/>
      <w:bookmarkEnd w:id="688"/>
      <w:bookmarkEnd w:id="689"/>
      <w:bookmarkEnd w:id="690"/>
      <w:r w:rsidRPr="000F6CD1">
        <w:t xml:space="preserve"> </w:t>
      </w:r>
    </w:p>
    <w:p w14:paraId="77725830" w14:textId="77777777" w:rsidR="004D556D" w:rsidRPr="000F6CD1" w:rsidRDefault="004D556D" w:rsidP="00622CFF">
      <w:pPr>
        <w:spacing w:before="240" w:after="240" w:line="240" w:lineRule="auto"/>
        <w:rPr>
          <w:rFonts w:eastAsia="Aptos"/>
        </w:rPr>
      </w:pPr>
      <w:r w:rsidRPr="000F6CD1">
        <w:rPr>
          <w:rFonts w:eastAsia="Aptos"/>
        </w:rPr>
        <w:t>To ensure evidence-based reasoning, and a commitment to fairness and accountability, it is essential that throughout the delegate decision making process assessment delegates:</w:t>
      </w:r>
    </w:p>
    <w:p w14:paraId="78AE1DCC" w14:textId="77777777" w:rsidR="004D556D" w:rsidRPr="000F6CD1" w:rsidRDefault="004D556D" w:rsidP="00DF3F6B">
      <w:pPr>
        <w:numPr>
          <w:ilvl w:val="0"/>
          <w:numId w:val="280"/>
        </w:numPr>
        <w:spacing w:before="240" w:after="240" w:line="240" w:lineRule="auto"/>
        <w:contextualSpacing/>
        <w:rPr>
          <w:rFonts w:eastAsia="Aptos"/>
          <w:b/>
        </w:rPr>
      </w:pPr>
      <w:r w:rsidRPr="000F6CD1">
        <w:rPr>
          <w:rFonts w:eastAsia="Aptos"/>
        </w:rPr>
        <w:t>Validate the assessment process</w:t>
      </w:r>
    </w:p>
    <w:p w14:paraId="4ABA1EC2" w14:textId="77777777" w:rsidR="004D556D" w:rsidRPr="000F6CD1" w:rsidRDefault="004D556D" w:rsidP="00DF3F6B">
      <w:pPr>
        <w:numPr>
          <w:ilvl w:val="0"/>
          <w:numId w:val="280"/>
        </w:numPr>
        <w:spacing w:before="240" w:after="240" w:line="240" w:lineRule="auto"/>
        <w:contextualSpacing/>
        <w:rPr>
          <w:rFonts w:eastAsia="Aptos"/>
          <w:b/>
        </w:rPr>
      </w:pPr>
      <w:r w:rsidRPr="000F6CD1">
        <w:rPr>
          <w:rFonts w:eastAsia="Aptos"/>
        </w:rPr>
        <w:t xml:space="preserve">Review the assessment evidence </w:t>
      </w:r>
    </w:p>
    <w:p w14:paraId="613AD7DC" w14:textId="77777777" w:rsidR="004D556D" w:rsidRPr="000F6CD1" w:rsidRDefault="004D556D" w:rsidP="00622CFF">
      <w:pPr>
        <w:spacing w:before="240" w:after="240" w:line="240" w:lineRule="auto"/>
        <w:rPr>
          <w:rFonts w:eastAsia="Aptos"/>
          <w:b/>
        </w:rPr>
      </w:pPr>
    </w:p>
    <w:p w14:paraId="2977F587" w14:textId="79C25B88" w:rsidR="004D556D" w:rsidRPr="000F6CD1" w:rsidRDefault="004D556D" w:rsidP="00806A21">
      <w:pPr>
        <w:pStyle w:val="Sub-headings"/>
      </w:pPr>
      <w:r w:rsidRPr="000F6CD1">
        <w:t>Note: It is important that assessment</w:t>
      </w:r>
      <w:r w:rsidRPr="000F6CD1" w:rsidDel="000B746B">
        <w:t xml:space="preserve"> </w:t>
      </w:r>
      <w:r w:rsidRPr="000F6CD1">
        <w:t xml:space="preserve">delegates check that an individual’s eligibility for an aged care needs assessment is thoroughly documented and supported by evidence. The Corrections and Reconsiderations sections in </w:t>
      </w:r>
      <w:r w:rsidR="00745CBB">
        <w:fldChar w:fldCharType="begin"/>
      </w:r>
      <w:r w:rsidR="00745CBB">
        <w:instrText xml:space="preserve"> REF _Ref232689383 \h </w:instrText>
      </w:r>
      <w:r w:rsidR="00745CBB">
        <w:fldChar w:fldCharType="separate"/>
      </w:r>
      <w:r w:rsidR="004B171E" w:rsidRPr="000F6CD1">
        <w:t>Chapter 11: Reviewable decisions, revoking eligibility or approval decisions and complaints</w:t>
      </w:r>
      <w:r w:rsidR="00745CBB">
        <w:fldChar w:fldCharType="end"/>
      </w:r>
      <w:r w:rsidR="00F57315">
        <w:t>,</w:t>
      </w:r>
      <w:r w:rsidRPr="000F6CD1">
        <w:t xml:space="preserve"> provide information on what assessment delegates should do if you have concerns about their eligibility for an aged care needs assessment. </w:t>
      </w:r>
    </w:p>
    <w:p w14:paraId="7A131761" w14:textId="77777777" w:rsidR="004D556D" w:rsidRPr="000F6CD1" w:rsidRDefault="004D556D" w:rsidP="00AD2CE5">
      <w:pPr>
        <w:pStyle w:val="H3"/>
      </w:pPr>
      <w:bookmarkStart w:id="691" w:name="_Toc198787158"/>
      <w:bookmarkStart w:id="692" w:name="_Toc655187190"/>
      <w:bookmarkStart w:id="693" w:name="_Toc199344530"/>
      <w:bookmarkStart w:id="694" w:name="_Toc205372060"/>
      <w:bookmarkStart w:id="695" w:name="_Toc207713965"/>
      <w:r w:rsidRPr="000F6CD1">
        <w:t>Validating the assessment process</w:t>
      </w:r>
      <w:bookmarkEnd w:id="691"/>
      <w:bookmarkEnd w:id="692"/>
      <w:bookmarkEnd w:id="693"/>
      <w:bookmarkEnd w:id="694"/>
      <w:bookmarkEnd w:id="695"/>
    </w:p>
    <w:p w14:paraId="4974CE30" w14:textId="77777777" w:rsidR="004D556D" w:rsidRPr="000F6CD1" w:rsidRDefault="004D556D" w:rsidP="00622CFF">
      <w:pPr>
        <w:spacing w:before="240" w:after="240" w:line="240" w:lineRule="auto"/>
        <w:rPr>
          <w:rFonts w:eastAsia="Aptos"/>
        </w:rPr>
      </w:pPr>
      <w:r w:rsidRPr="000F6CD1" w:rsidDel="00C3742B">
        <w:rPr>
          <w:rFonts w:eastAsia="Aptos"/>
        </w:rPr>
        <w:t xml:space="preserve">Assessment </w:t>
      </w:r>
      <w:r w:rsidRPr="000F6CD1">
        <w:rPr>
          <w:rFonts w:eastAsia="Aptos"/>
        </w:rPr>
        <w:t xml:space="preserve">delegates must ensure that the correct assessment processes have been followed by the assessor. Section 62 of the </w:t>
      </w:r>
      <w:r w:rsidRPr="00F57315">
        <w:rPr>
          <w:rFonts w:eastAsia="Aptos"/>
          <w:i/>
        </w:rPr>
        <w:t>Aged Care 2024</w:t>
      </w:r>
      <w:r w:rsidRPr="000F6CD1">
        <w:rPr>
          <w:rFonts w:eastAsia="Aptos"/>
        </w:rPr>
        <w:t xml:space="preserve"> (the </w:t>
      </w:r>
      <w:r w:rsidRPr="000F6CD1">
        <w:rPr>
          <w:rFonts w:eastAsia="Aptos"/>
          <w:bCs/>
        </w:rPr>
        <w:t xml:space="preserve">Act) </w:t>
      </w:r>
      <w:r w:rsidRPr="000F6CD1">
        <w:rPr>
          <w:rFonts w:eastAsia="Aptos"/>
          <w:i/>
        </w:rPr>
        <w:t>Undertaking aged care needs assessments</w:t>
      </w:r>
      <w:r w:rsidRPr="000F6CD1">
        <w:rPr>
          <w:rFonts w:eastAsia="Aptos"/>
          <w:b/>
        </w:rPr>
        <w:t xml:space="preserve">, </w:t>
      </w:r>
      <w:r w:rsidRPr="000F6CD1">
        <w:rPr>
          <w:rFonts w:eastAsia="Aptos"/>
        </w:rPr>
        <w:t>sets out how an aged care needs assessment must be completed and the key components it must include.</w:t>
      </w:r>
    </w:p>
    <w:p w14:paraId="2116DB49" w14:textId="77777777" w:rsidR="004D556D" w:rsidRPr="000F6CD1" w:rsidRDefault="004D556D" w:rsidP="00622CFF">
      <w:pPr>
        <w:spacing w:before="240" w:after="240" w:line="240" w:lineRule="auto"/>
        <w:rPr>
          <w:rFonts w:eastAsia="Aptos"/>
        </w:rPr>
      </w:pPr>
      <w:r w:rsidRPr="000F6CD1">
        <w:rPr>
          <w:rFonts w:eastAsia="Aptos"/>
        </w:rPr>
        <w:t>In line with the Act, assessment delegates must confirm the assessment:</w:t>
      </w:r>
    </w:p>
    <w:p w14:paraId="04E73CD1" w14:textId="77777777"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Was completed by an approved aged care assessor.</w:t>
      </w:r>
    </w:p>
    <w:p w14:paraId="3614C15E" w14:textId="77777777"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 xml:space="preserve">Was completed using the Integrated Assessment Tool </w:t>
      </w:r>
    </w:p>
    <w:p w14:paraId="554B09C4" w14:textId="77777777"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Used the appropriate assessment tools.</w:t>
      </w:r>
    </w:p>
    <w:p w14:paraId="3AC27D25" w14:textId="77777777"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Has appropriately evidenced and aligned recommended funded aged care services with the older person’s immediate care needs.</w:t>
      </w:r>
    </w:p>
    <w:p w14:paraId="5247BF38" w14:textId="77777777"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Includes a discussion with the older person about:</w:t>
      </w:r>
    </w:p>
    <w:p w14:paraId="257FABD3" w14:textId="77777777" w:rsidR="004D556D" w:rsidRPr="000F6CD1" w:rsidRDefault="004D556D" w:rsidP="00DF3F6B">
      <w:pPr>
        <w:numPr>
          <w:ilvl w:val="1"/>
          <w:numId w:val="278"/>
        </w:numPr>
        <w:spacing w:before="240" w:after="240" w:line="240" w:lineRule="auto"/>
        <w:contextualSpacing/>
        <w:rPr>
          <w:rFonts w:eastAsia="Aptos"/>
        </w:rPr>
      </w:pPr>
      <w:r w:rsidRPr="000F6CD1">
        <w:rPr>
          <w:rFonts w:eastAsia="Aptos"/>
        </w:rPr>
        <w:t xml:space="preserve">What the assessment has identified in terms of funded aged care services. </w:t>
      </w:r>
    </w:p>
    <w:p w14:paraId="2DEF8762" w14:textId="77777777" w:rsidR="004D556D" w:rsidRPr="000F6CD1" w:rsidRDefault="004D556D" w:rsidP="00DF3F6B">
      <w:pPr>
        <w:numPr>
          <w:ilvl w:val="1"/>
          <w:numId w:val="278"/>
        </w:numPr>
        <w:spacing w:before="240" w:after="240" w:line="240" w:lineRule="auto"/>
        <w:contextualSpacing/>
        <w:rPr>
          <w:rFonts w:eastAsia="Aptos"/>
        </w:rPr>
      </w:pPr>
      <w:r w:rsidRPr="000F6CD1">
        <w:rPr>
          <w:rFonts w:eastAsia="Aptos"/>
        </w:rPr>
        <w:t>How recommended aged care services may assist the older person to maintain their independence.</w:t>
      </w:r>
    </w:p>
    <w:p w14:paraId="59298A40" w14:textId="77777777" w:rsidR="004D556D" w:rsidRPr="000F6CD1" w:rsidRDefault="004D556D" w:rsidP="00DF3F6B">
      <w:pPr>
        <w:numPr>
          <w:ilvl w:val="1"/>
          <w:numId w:val="278"/>
        </w:numPr>
        <w:spacing w:before="240" w:after="240" w:line="240" w:lineRule="auto"/>
        <w:contextualSpacing/>
        <w:rPr>
          <w:rFonts w:eastAsia="Aptos"/>
        </w:rPr>
      </w:pPr>
      <w:r w:rsidRPr="000F6CD1">
        <w:rPr>
          <w:rFonts w:eastAsia="Aptos"/>
        </w:rPr>
        <w:t>The older person’s strengths and motivations in setting individualised goals.</w:t>
      </w:r>
    </w:p>
    <w:p w14:paraId="29A99650" w14:textId="77777777" w:rsidR="004D556D" w:rsidRPr="000F6CD1" w:rsidRDefault="004D556D" w:rsidP="00DF3F6B">
      <w:pPr>
        <w:numPr>
          <w:ilvl w:val="1"/>
          <w:numId w:val="278"/>
        </w:numPr>
        <w:spacing w:before="240" w:after="240" w:line="240" w:lineRule="auto"/>
        <w:contextualSpacing/>
        <w:rPr>
          <w:rFonts w:eastAsia="Aptos"/>
        </w:rPr>
      </w:pPr>
      <w:r w:rsidRPr="000F6CD1">
        <w:rPr>
          <w:rFonts w:eastAsia="Aptos"/>
        </w:rPr>
        <w:t>The next steps in their application for funded aged care services.</w:t>
      </w:r>
    </w:p>
    <w:p w14:paraId="69F84577" w14:textId="77777777" w:rsidR="004D556D" w:rsidRPr="000F6CD1" w:rsidRDefault="004D556D" w:rsidP="00DF3F6B">
      <w:pPr>
        <w:numPr>
          <w:ilvl w:val="1"/>
          <w:numId w:val="278"/>
        </w:numPr>
        <w:spacing w:before="240" w:after="240" w:line="240" w:lineRule="auto"/>
        <w:contextualSpacing/>
        <w:rPr>
          <w:rFonts w:eastAsia="Aptos"/>
        </w:rPr>
      </w:pPr>
      <w:r w:rsidRPr="000F6CD1">
        <w:rPr>
          <w:rFonts w:eastAsia="Aptos"/>
        </w:rPr>
        <w:t xml:space="preserve">Advising the older person how they will be informed of the outcome of their application, including the expected timeframe for receiving a notice of decision, and the support available to help them make appropriate linkages to services as required. </w:t>
      </w:r>
    </w:p>
    <w:p w14:paraId="748DCE3A" w14:textId="722F2584" w:rsidR="004D556D" w:rsidRPr="000F6CD1" w:rsidRDefault="004D556D" w:rsidP="00DF3F6B">
      <w:pPr>
        <w:numPr>
          <w:ilvl w:val="0"/>
          <w:numId w:val="278"/>
        </w:numPr>
        <w:spacing w:before="240" w:after="240" w:line="240" w:lineRule="auto"/>
        <w:contextualSpacing/>
        <w:rPr>
          <w:rFonts w:eastAsia="Aptos"/>
        </w:rPr>
      </w:pPr>
      <w:r w:rsidRPr="000F6CD1">
        <w:rPr>
          <w:rFonts w:eastAsia="Aptos"/>
        </w:rPr>
        <w:t>Involves the registered support persons if this was required and requested by the individual.</w:t>
      </w:r>
    </w:p>
    <w:p w14:paraId="7F2D8BC4" w14:textId="77777777" w:rsidR="004D556D" w:rsidRPr="000F6CD1" w:rsidRDefault="004D556D" w:rsidP="00622CFF">
      <w:pPr>
        <w:spacing w:before="240" w:after="240" w:line="240" w:lineRule="auto"/>
        <w:rPr>
          <w:rFonts w:eastAsia="Aptos"/>
        </w:rPr>
      </w:pPr>
    </w:p>
    <w:p w14:paraId="1157D26C" w14:textId="399345F0" w:rsidR="004D556D" w:rsidRPr="000F6CD1" w:rsidRDefault="004D556D" w:rsidP="00622CFF">
      <w:pPr>
        <w:spacing w:before="240" w:after="240" w:line="240" w:lineRule="auto"/>
        <w:rPr>
          <w:rFonts w:eastAsia="Aptos"/>
        </w:rPr>
      </w:pPr>
      <w:r w:rsidRPr="000F6CD1">
        <w:rPr>
          <w:rFonts w:eastAsia="Aptos"/>
        </w:rPr>
        <w:t>Assessment</w:t>
      </w:r>
      <w:r w:rsidRPr="000F6CD1" w:rsidDel="00921039">
        <w:rPr>
          <w:rFonts w:eastAsia="Aptos"/>
        </w:rPr>
        <w:t xml:space="preserve"> </w:t>
      </w:r>
      <w:r w:rsidRPr="000F6CD1">
        <w:rPr>
          <w:rFonts w:eastAsia="Aptos"/>
        </w:rPr>
        <w:t xml:space="preserve">delegates can find further detail and guidance regarding best practice for the above steps in </w:t>
      </w:r>
      <w:r w:rsidR="00F57315">
        <w:rPr>
          <w:rFonts w:eastAsia="Aptos"/>
        </w:rPr>
        <w:fldChar w:fldCharType="begin"/>
      </w:r>
      <w:r w:rsidR="00F57315">
        <w:rPr>
          <w:rFonts w:eastAsia="Aptos"/>
        </w:rPr>
        <w:instrText xml:space="preserve"> REF _Ref212735055 \h </w:instrText>
      </w:r>
      <w:r w:rsidR="00F57315">
        <w:rPr>
          <w:rFonts w:eastAsia="Aptos"/>
        </w:rPr>
      </w:r>
      <w:r w:rsidR="00F57315">
        <w:rPr>
          <w:rFonts w:eastAsia="Aptos"/>
        </w:rPr>
        <w:fldChar w:fldCharType="separate"/>
      </w:r>
      <w:r w:rsidR="004B171E" w:rsidRPr="000F6CD1">
        <w:t>Chapter 5: Assessment activities</w:t>
      </w:r>
      <w:r w:rsidR="00F57315">
        <w:rPr>
          <w:rFonts w:eastAsia="Aptos"/>
        </w:rPr>
        <w:fldChar w:fldCharType="end"/>
      </w:r>
      <w:r w:rsidR="00F57315">
        <w:rPr>
          <w:rFonts w:eastAsia="Aptos"/>
        </w:rPr>
        <w:t xml:space="preserve"> </w:t>
      </w:r>
      <w:r w:rsidRPr="000F6CD1">
        <w:rPr>
          <w:rFonts w:eastAsia="Aptos"/>
        </w:rPr>
        <w:t xml:space="preserve">and </w:t>
      </w:r>
      <w:r w:rsidR="00F57315">
        <w:rPr>
          <w:rFonts w:eastAsia="Aptos"/>
        </w:rPr>
        <w:fldChar w:fldCharType="begin"/>
      </w:r>
      <w:r w:rsidR="00F57315">
        <w:rPr>
          <w:rFonts w:eastAsia="Aptos"/>
        </w:rPr>
        <w:instrText xml:space="preserve"> REF _Ref232689453 \h </w:instrText>
      </w:r>
      <w:r w:rsidR="00F57315">
        <w:rPr>
          <w:rFonts w:eastAsia="Aptos"/>
        </w:rPr>
      </w:r>
      <w:r w:rsidR="00F57315">
        <w:rPr>
          <w:rFonts w:eastAsia="Aptos"/>
        </w:rPr>
        <w:fldChar w:fldCharType="separate"/>
      </w:r>
      <w:r w:rsidR="004B171E" w:rsidRPr="000F6CD1">
        <w:t>Chapter 6: Aged care programs</w:t>
      </w:r>
      <w:r w:rsidR="00F57315">
        <w:rPr>
          <w:rFonts w:eastAsia="Aptos"/>
        </w:rPr>
        <w:fldChar w:fldCharType="end"/>
      </w:r>
      <w:r w:rsidR="00F57315">
        <w:rPr>
          <w:rFonts w:eastAsia="Aptos"/>
        </w:rPr>
        <w:t xml:space="preserve"> </w:t>
      </w:r>
      <w:r w:rsidRPr="000F6CD1">
        <w:rPr>
          <w:rFonts w:eastAsia="Aptos"/>
        </w:rPr>
        <w:t xml:space="preserve">of this manual. </w:t>
      </w:r>
    </w:p>
    <w:p w14:paraId="71302238" w14:textId="77777777" w:rsidR="004D556D" w:rsidRPr="000F6CD1" w:rsidRDefault="004D556D" w:rsidP="004E0DC5">
      <w:pPr>
        <w:rPr>
          <w:rFonts w:eastAsia="Aptos"/>
        </w:rPr>
      </w:pPr>
      <w:r w:rsidRPr="000F6CD1">
        <w:rPr>
          <w:rFonts w:eastAsia="Aptos"/>
        </w:rPr>
        <w:br w:type="page"/>
      </w:r>
    </w:p>
    <w:p w14:paraId="60F21D3A" w14:textId="44578D52" w:rsidR="004D556D" w:rsidRPr="000F6CD1" w:rsidRDefault="004D556D" w:rsidP="00806A21">
      <w:pPr>
        <w:pStyle w:val="Sub-headings"/>
      </w:pPr>
      <w:r w:rsidRPr="000F6CD1">
        <w:lastRenderedPageBreak/>
        <w:t>Note:</w:t>
      </w:r>
      <w:r w:rsidR="003C0901">
        <w:t xml:space="preserve"> </w:t>
      </w:r>
      <w:r w:rsidRPr="000F6CD1">
        <w:t>Supporting independence, autonomy, empowerment and freedom of choice.</w:t>
      </w:r>
    </w:p>
    <w:p w14:paraId="20C93BEE" w14:textId="48E58B29" w:rsidR="004D556D" w:rsidRPr="000F6CD1" w:rsidRDefault="004D556D" w:rsidP="00806A21">
      <w:pPr>
        <w:pStyle w:val="Sub-headings"/>
        <w:rPr>
          <w:rFonts w:eastAsia="Aptos"/>
        </w:rPr>
      </w:pPr>
      <w:r w:rsidRPr="000F6CD1">
        <w:t xml:space="preserve">During the assessment, the assessor must ensure the individual they are assessing is aware of their rights under Section 23 Statement of Rights of the </w:t>
      </w:r>
      <w:r w:rsidRPr="00EB1D79">
        <w:rPr>
          <w:i/>
          <w:iCs/>
        </w:rPr>
        <w:t>Aged Care Act 2024</w:t>
      </w:r>
      <w:r w:rsidRPr="000F6CD1">
        <w:t xml:space="preserve"> and support them to understand and empower them to exercise these rights. </w:t>
      </w:r>
      <w:r w:rsidR="00B100A3" w:rsidRPr="00B100A3">
        <w:rPr>
          <w:noProof/>
        </w:rPr>
        <w:drawing>
          <wp:anchor distT="0" distB="0" distL="114300" distR="114300" simplePos="0" relativeHeight="251658293" behindDoc="0" locked="0" layoutInCell="1" allowOverlap="1" wp14:anchorId="3947E943" wp14:editId="18881BBC">
            <wp:simplePos x="0" y="0"/>
            <wp:positionH relativeFrom="margin">
              <wp:posOffset>-126577</wp:posOffset>
            </wp:positionH>
            <wp:positionV relativeFrom="margin">
              <wp:posOffset>5952066</wp:posOffset>
            </wp:positionV>
            <wp:extent cx="365792" cy="403895"/>
            <wp:effectExtent l="0" t="0" r="0" b="0"/>
            <wp:wrapSquare wrapText="bothSides"/>
            <wp:docPr id="626604532"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04532"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p>
    <w:p w14:paraId="630CE49D" w14:textId="77777777" w:rsidR="004D556D" w:rsidRPr="000F6CD1" w:rsidRDefault="004D556D" w:rsidP="00AD2CE5">
      <w:pPr>
        <w:pStyle w:val="H3"/>
        <w:rPr>
          <w:rFonts w:eastAsia="Aptos"/>
        </w:rPr>
      </w:pPr>
      <w:r w:rsidRPr="000F6CD1">
        <w:t>Review the assessment evidence </w:t>
      </w:r>
    </w:p>
    <w:p w14:paraId="00AB3BFF" w14:textId="77777777" w:rsidR="004D556D" w:rsidRPr="000F6CD1" w:rsidRDefault="004D556D">
      <w:pPr>
        <w:spacing w:before="240" w:after="240" w:line="240" w:lineRule="auto"/>
        <w:rPr>
          <w:rFonts w:eastAsia="Aptos"/>
        </w:rPr>
      </w:pPr>
      <w:r w:rsidRPr="000F6CD1">
        <w:rPr>
          <w:rFonts w:eastAsia="Aptos"/>
        </w:rPr>
        <w:t>Assessment delegates must ensure that all assessment information and documentation submitted by the assessor is accurate, relevant, and of high quality. </w:t>
      </w:r>
    </w:p>
    <w:p w14:paraId="44295AC3" w14:textId="77777777" w:rsidR="004D556D" w:rsidRPr="000F6CD1" w:rsidRDefault="004D556D">
      <w:pPr>
        <w:spacing w:before="240" w:after="240" w:line="240" w:lineRule="auto"/>
        <w:rPr>
          <w:rFonts w:eastAsia="Aptos"/>
        </w:rPr>
      </w:pPr>
      <w:r w:rsidRPr="000F6CD1">
        <w:rPr>
          <w:rFonts w:eastAsia="Aptos"/>
        </w:rPr>
        <w:t>Assessment delegates must carefully examine the documentation to confirm: </w:t>
      </w:r>
    </w:p>
    <w:p w14:paraId="018BBC5E" w14:textId="77777777" w:rsidR="004D556D" w:rsidRPr="000F6CD1" w:rsidRDefault="004D556D">
      <w:pPr>
        <w:numPr>
          <w:ilvl w:val="0"/>
          <w:numId w:val="278"/>
        </w:numPr>
        <w:spacing w:before="240" w:after="240" w:line="240" w:lineRule="auto"/>
        <w:contextualSpacing/>
        <w:rPr>
          <w:rFonts w:eastAsia="Aptos"/>
        </w:rPr>
      </w:pPr>
      <w:r w:rsidRPr="000F6CD1">
        <w:rPr>
          <w:rFonts w:eastAsia="Aptos"/>
        </w:rPr>
        <w:t>It provides a thorough and clear record of the entire assessment process. </w:t>
      </w:r>
    </w:p>
    <w:p w14:paraId="68C612B3" w14:textId="77777777" w:rsidR="004D556D" w:rsidRPr="000F6CD1" w:rsidRDefault="004D556D">
      <w:pPr>
        <w:numPr>
          <w:ilvl w:val="0"/>
          <w:numId w:val="278"/>
        </w:numPr>
        <w:spacing w:before="240" w:after="240" w:line="240" w:lineRule="auto"/>
        <w:contextualSpacing/>
        <w:rPr>
          <w:rFonts w:eastAsia="Aptos"/>
        </w:rPr>
      </w:pPr>
      <w:r w:rsidRPr="000F6CD1">
        <w:rPr>
          <w:rFonts w:eastAsia="Aptos"/>
        </w:rPr>
        <w:t>It demonstrates the assessor’s reasoning. </w:t>
      </w:r>
    </w:p>
    <w:p w14:paraId="11C851D8" w14:textId="77777777" w:rsidR="004D556D" w:rsidRPr="000F6CD1" w:rsidRDefault="004D556D">
      <w:pPr>
        <w:numPr>
          <w:ilvl w:val="0"/>
          <w:numId w:val="278"/>
        </w:numPr>
        <w:spacing w:before="240" w:after="240" w:line="240" w:lineRule="auto"/>
        <w:contextualSpacing/>
        <w:rPr>
          <w:rFonts w:eastAsia="Aptos"/>
        </w:rPr>
      </w:pPr>
      <w:r w:rsidRPr="000F6CD1">
        <w:rPr>
          <w:rFonts w:eastAsia="Aptos"/>
        </w:rPr>
        <w:t>The evidence presented adequately supports their recommendations for aged care services. </w:t>
      </w:r>
    </w:p>
    <w:p w14:paraId="4CF8913A" w14:textId="77777777" w:rsidR="004D556D" w:rsidRPr="000F6CD1" w:rsidRDefault="004D556D">
      <w:pPr>
        <w:spacing w:before="240" w:after="240" w:line="240" w:lineRule="auto"/>
        <w:ind w:left="720"/>
        <w:contextualSpacing/>
        <w:rPr>
          <w:rFonts w:eastAsia="Aptos"/>
        </w:rPr>
      </w:pPr>
    </w:p>
    <w:p w14:paraId="76E83C07" w14:textId="6B7FF002" w:rsidR="004D556D" w:rsidRPr="000F6CD1" w:rsidRDefault="004D556D">
      <w:pPr>
        <w:spacing w:before="240" w:after="240" w:line="240" w:lineRule="auto"/>
        <w:rPr>
          <w:rFonts w:eastAsia="Aptos"/>
        </w:rPr>
      </w:pPr>
      <w:r w:rsidRPr="000F6CD1">
        <w:rPr>
          <w:rFonts w:eastAsia="Aptos"/>
        </w:rPr>
        <w:t>Section 63 of the </w:t>
      </w:r>
      <w:r w:rsidRPr="000F6CD1">
        <w:rPr>
          <w:rFonts w:eastAsia="Aptos"/>
          <w:i/>
          <w:iCs/>
        </w:rPr>
        <w:t>Aged Care Act 2024</w:t>
      </w:r>
      <w:r w:rsidRPr="000F6CD1">
        <w:rPr>
          <w:rFonts w:eastAsia="Aptos"/>
        </w:rPr>
        <w:t> requires assessors to provide the assessment delegate with an accurate report of the assessment as soon as practicable after the assessment has been completed.</w:t>
      </w:r>
      <w:r w:rsidR="00402E21" w:rsidRPr="000F6CD1">
        <w:rPr>
          <w:rFonts w:eastAsia="Aptos"/>
        </w:rPr>
        <w:t xml:space="preserve"> </w:t>
      </w:r>
    </w:p>
    <w:p w14:paraId="4653D034" w14:textId="53948C58" w:rsidR="004D556D" w:rsidRPr="000F6CD1" w:rsidRDefault="004D556D">
      <w:pPr>
        <w:spacing w:before="240" w:after="240" w:line="240" w:lineRule="auto"/>
        <w:rPr>
          <w:rFonts w:eastAsia="Aptos"/>
        </w:rPr>
      </w:pPr>
      <w:r w:rsidRPr="000F6CD1">
        <w:rPr>
          <w:rFonts w:eastAsia="Aptos"/>
        </w:rPr>
        <w:t>During the assessment, assessors are required to ensure all inputs into the IAT are accurate prior to finalising the IAT and submitting the assessment with the support plan to the assessment delegate for approval.</w:t>
      </w:r>
      <w:r w:rsidR="00402E21" w:rsidRPr="000F6CD1">
        <w:rPr>
          <w:rFonts w:eastAsia="Aptos"/>
        </w:rPr>
        <w:t xml:space="preserve"> </w:t>
      </w:r>
    </w:p>
    <w:p w14:paraId="186737E1" w14:textId="1372FFA7" w:rsidR="004D556D" w:rsidRPr="000F6CD1" w:rsidRDefault="004D556D">
      <w:pPr>
        <w:spacing w:before="240" w:after="240" w:line="240" w:lineRule="auto"/>
        <w:rPr>
          <w:rFonts w:eastAsia="Aptos"/>
        </w:rPr>
      </w:pPr>
      <w:r w:rsidRPr="000F6CD1">
        <w:rPr>
          <w:rFonts w:eastAsia="Aptos"/>
        </w:rPr>
        <w:t>Assessment delegates must ensure that the assessment has been conducted correctly and that due process has been followed as outlined in sections 5.6 to 5.9 of this Assessment Manual. The assessment delegate must confirm that the individual being assessed genuinely requires government</w:t>
      </w:r>
      <w:r w:rsidRPr="000F6CD1">
        <w:rPr>
          <w:rFonts w:eastAsia="Aptos"/>
        </w:rPr>
        <w:noBreakHyphen/>
        <w:t>funded aged care services, including identifying any missing information, inconsistencies, or gaps in evidence, and ensuring these matters are clarified with the assessor prior to making an access approval decision/s. This oversight supports accurate, well</w:t>
      </w:r>
      <w:r w:rsidRPr="000F6CD1">
        <w:rPr>
          <w:rFonts w:eastAsia="Aptos"/>
        </w:rPr>
        <w:noBreakHyphen/>
        <w:t>informed, evidence-based delegate decisions and upholds the integrity of the assessment process.</w:t>
      </w:r>
      <w:r w:rsidR="00402E21" w:rsidRPr="000F6CD1">
        <w:rPr>
          <w:rFonts w:eastAsia="Aptos"/>
        </w:rPr>
        <w:t xml:space="preserve"> </w:t>
      </w:r>
    </w:p>
    <w:p w14:paraId="4AD7762C" w14:textId="77777777" w:rsidR="004D556D" w:rsidRPr="000F6CD1" w:rsidRDefault="004D556D">
      <w:pPr>
        <w:spacing w:before="240" w:after="240" w:line="240" w:lineRule="auto"/>
        <w:rPr>
          <w:rFonts w:eastAsia="Aptos"/>
        </w:rPr>
      </w:pPr>
      <w:r w:rsidRPr="000F6CD1">
        <w:rPr>
          <w:rFonts w:eastAsia="Aptos"/>
        </w:rPr>
        <w:t>If the IAT or the support plan lack sufficient detail, contain errors, or include inconsistencies, assessment delegates may use the ‘Return to Assessor’ functionality to return them for amendment to the assessor via the Assessment Portal. When doing so, delegates must clearly outline the required amendments and ensure that appropriate quality assurance checks are completed. </w:t>
      </w:r>
    </w:p>
    <w:p w14:paraId="46DD621B" w14:textId="77777777" w:rsidR="004D556D" w:rsidRPr="000F6CD1" w:rsidRDefault="004D556D">
      <w:pPr>
        <w:pStyle w:val="H4"/>
        <w:rPr>
          <w:rFonts w:eastAsia="Aptos"/>
        </w:rPr>
      </w:pPr>
      <w:r w:rsidRPr="000F6CD1">
        <w:t>System Functionality for returning the IAT and/or support plan to the assessor </w:t>
      </w:r>
      <w:r w:rsidRPr="000F6CD1">
        <w:rPr>
          <w:rFonts w:eastAsia="Aptos"/>
        </w:rPr>
        <w:t> </w:t>
      </w:r>
    </w:p>
    <w:p w14:paraId="360983C5" w14:textId="77777777" w:rsidR="004D556D" w:rsidRPr="000F6CD1" w:rsidRDefault="004D556D">
      <w:pPr>
        <w:spacing w:before="240" w:after="240" w:line="240" w:lineRule="auto"/>
        <w:rPr>
          <w:rFonts w:eastAsia="Aptos"/>
        </w:rPr>
      </w:pPr>
      <w:r w:rsidRPr="000F6CD1">
        <w:rPr>
          <w:rFonts w:eastAsia="Aptos"/>
        </w:rPr>
        <w:t>Only an assessment delegate can return the IAT or support plan to an assessor for edits, using the ‘</w:t>
      </w:r>
      <w:r w:rsidRPr="000F6CD1">
        <w:rPr>
          <w:rFonts w:eastAsia="Aptos"/>
          <w:i/>
          <w:iCs/>
        </w:rPr>
        <w:t>Return to Assessor’</w:t>
      </w:r>
      <w:r w:rsidRPr="000F6CD1">
        <w:rPr>
          <w:rFonts w:eastAsia="Aptos"/>
        </w:rPr>
        <w:t xml:space="preserve"> function in the Assessor Portal. </w:t>
      </w:r>
      <w:r w:rsidRPr="000F6CD1">
        <w:rPr>
          <w:rFonts w:eastAsia="Arial"/>
          <w:szCs w:val="22"/>
        </w:rPr>
        <w:t>The functionality to return the IAT is not available in the Assessor App</w:t>
      </w:r>
      <w:r w:rsidRPr="000F6CD1">
        <w:rPr>
          <w:rFonts w:eastAsia="Aptos"/>
        </w:rPr>
        <w:t>. When an assessment is returned, any delegate decisions marked as ‘</w:t>
      </w:r>
      <w:r w:rsidRPr="000F6CD1">
        <w:rPr>
          <w:rFonts w:eastAsia="Aptos"/>
          <w:i/>
          <w:iCs/>
        </w:rPr>
        <w:t>agree’</w:t>
      </w:r>
      <w:r w:rsidRPr="000F6CD1">
        <w:rPr>
          <w:rFonts w:eastAsia="Aptos"/>
        </w:rPr>
        <w:t> or ‘</w:t>
      </w:r>
      <w:r w:rsidRPr="000F6CD1">
        <w:rPr>
          <w:rFonts w:eastAsia="Aptos"/>
          <w:i/>
          <w:iCs/>
        </w:rPr>
        <w:t>disagree’</w:t>
      </w:r>
      <w:r w:rsidRPr="000F6CD1">
        <w:rPr>
          <w:rFonts w:eastAsia="Aptos"/>
        </w:rPr>
        <w:t> in the support plan are removed and must be actioned again once the amended assessment is resubmitted. </w:t>
      </w:r>
    </w:p>
    <w:p w14:paraId="2610EDDE" w14:textId="77777777" w:rsidR="004D556D" w:rsidRPr="000F6CD1" w:rsidRDefault="004D556D">
      <w:pPr>
        <w:spacing w:before="240" w:after="240" w:line="240" w:lineRule="auto"/>
        <w:rPr>
          <w:rFonts w:eastAsia="Aptos"/>
        </w:rPr>
      </w:pPr>
      <w:r w:rsidRPr="000F6CD1">
        <w:rPr>
          <w:rFonts w:eastAsia="Aptos"/>
        </w:rPr>
        <w:t>Delegates may select one of the following ‘Return to Assessor’ options: </w:t>
      </w:r>
    </w:p>
    <w:p w14:paraId="72821432" w14:textId="77777777" w:rsidR="004D556D" w:rsidRPr="000F6CD1" w:rsidRDefault="004D556D">
      <w:pPr>
        <w:numPr>
          <w:ilvl w:val="0"/>
          <w:numId w:val="278"/>
        </w:numPr>
        <w:spacing w:before="240" w:after="240" w:line="240" w:lineRule="auto"/>
        <w:contextualSpacing/>
        <w:rPr>
          <w:rFonts w:eastAsia="Aptos"/>
        </w:rPr>
      </w:pPr>
      <w:r w:rsidRPr="000F6CD1">
        <w:rPr>
          <w:rFonts w:eastAsia="Aptos"/>
        </w:rPr>
        <w:t>IAT amendments and Support Plan amendments   </w:t>
      </w:r>
    </w:p>
    <w:p w14:paraId="034DA500" w14:textId="5994E6BC" w:rsidR="004D556D" w:rsidRPr="000F6CD1" w:rsidRDefault="004D556D">
      <w:pPr>
        <w:numPr>
          <w:ilvl w:val="0"/>
          <w:numId w:val="278"/>
        </w:numPr>
        <w:spacing w:before="240" w:after="240" w:line="240" w:lineRule="auto"/>
        <w:contextualSpacing/>
        <w:rPr>
          <w:rFonts w:eastAsia="Aptos"/>
        </w:rPr>
      </w:pPr>
      <w:r w:rsidRPr="000F6CD1">
        <w:rPr>
          <w:rFonts w:eastAsia="Aptos"/>
        </w:rPr>
        <w:t>Support Plan amendments only </w:t>
      </w:r>
    </w:p>
    <w:p w14:paraId="54BF9497" w14:textId="2105D6BD" w:rsidR="004D556D" w:rsidRPr="000F6CD1" w:rsidRDefault="004D556D">
      <w:pPr>
        <w:spacing w:before="240" w:after="240" w:line="240" w:lineRule="auto"/>
        <w:ind w:left="720"/>
        <w:contextualSpacing/>
        <w:rPr>
          <w:rFonts w:eastAsia="Aptos"/>
        </w:rPr>
      </w:pPr>
    </w:p>
    <w:p w14:paraId="54B44969" w14:textId="6D6BB901" w:rsidR="004D556D" w:rsidRPr="000F6CD1" w:rsidRDefault="004D556D">
      <w:pPr>
        <w:spacing w:before="240" w:after="240" w:line="240" w:lineRule="auto"/>
        <w:rPr>
          <w:rFonts w:eastAsia="Aptos"/>
        </w:rPr>
      </w:pPr>
      <w:r w:rsidRPr="000F6CD1">
        <w:rPr>
          <w:rFonts w:eastAsia="Aptos"/>
        </w:rPr>
        <w:lastRenderedPageBreak/>
        <w:t>The IAT can only be returned to an assessor once per assessment. However, the support plan may continue to be edited multiple times if required. </w:t>
      </w:r>
    </w:p>
    <w:p w14:paraId="237128D9" w14:textId="184AAF68" w:rsidR="004D556D" w:rsidRPr="000F6CD1" w:rsidRDefault="00CD552D" w:rsidP="00AD2CE5">
      <w:pPr>
        <w:pStyle w:val="H3"/>
        <w:rPr>
          <w:rFonts w:eastAsia="Aptos"/>
        </w:rPr>
      </w:pPr>
      <w:r>
        <w:drawing>
          <wp:anchor distT="0" distB="0" distL="114300" distR="114300" simplePos="0" relativeHeight="251658294" behindDoc="0" locked="0" layoutInCell="1" allowOverlap="1" wp14:anchorId="50E4B60B" wp14:editId="55CE6D6E">
            <wp:simplePos x="0" y="0"/>
            <wp:positionH relativeFrom="margin">
              <wp:align>left</wp:align>
            </wp:positionH>
            <wp:positionV relativeFrom="margin">
              <wp:posOffset>809625</wp:posOffset>
            </wp:positionV>
            <wp:extent cx="365760" cy="403860"/>
            <wp:effectExtent l="0" t="0" r="0" b="0"/>
            <wp:wrapSquare wrapText="bothSides"/>
            <wp:docPr id="1995260586"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60586"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Assessment Delegate returning the support plan to the assessor for amendments</w:t>
      </w:r>
      <w:r w:rsidR="004D556D" w:rsidRPr="000F6CD1">
        <w:rPr>
          <w:rFonts w:eastAsia="Aptos"/>
        </w:rPr>
        <w:t> </w:t>
      </w:r>
    </w:p>
    <w:p w14:paraId="4738CF4B" w14:textId="0145DFB5" w:rsidR="004D556D" w:rsidRPr="000F6CD1" w:rsidRDefault="004D556D">
      <w:pPr>
        <w:spacing w:before="240" w:after="240" w:line="240" w:lineRule="auto"/>
        <w:rPr>
          <w:rFonts w:eastAsia="Aptos"/>
        </w:rPr>
      </w:pPr>
      <w:r w:rsidRPr="000F6CD1">
        <w:rPr>
          <w:rFonts w:eastAsia="Aptos"/>
        </w:rPr>
        <w:t xml:space="preserve">An assessment delegate may return the support plan to the assessor if the client’s concerns and goals, service recommendations and assessment summary need amending before delegate approval. Returned assessments will display under ‘Returned to assessor’ in the Assessment Tab. Assessors are able to amend the client’s concerns and goals, other recommendations, assessment summary and service recommendations according to the instructions provided by the delegate. Assessors must ensure all service recommendations are aligned with the </w:t>
      </w:r>
      <w:r w:rsidR="00386B7E">
        <w:rPr>
          <w:rFonts w:eastAsia="Aptos"/>
        </w:rPr>
        <w:t>IAT Outcome</w:t>
      </w:r>
      <w:r w:rsidRPr="000F6CD1">
        <w:rPr>
          <w:rFonts w:eastAsia="Aptos"/>
        </w:rPr>
        <w:t xml:space="preserve"> and ‘Recommended Classification</w:t>
      </w:r>
      <w:r w:rsidR="00402E21" w:rsidRPr="000F6CD1">
        <w:rPr>
          <w:rFonts w:eastAsia="Aptos"/>
        </w:rPr>
        <w:t>.’</w:t>
      </w:r>
      <w:r w:rsidRPr="000F6CD1">
        <w:rPr>
          <w:rFonts w:eastAsia="Aptos"/>
        </w:rPr>
        <w:t>  </w:t>
      </w:r>
    </w:p>
    <w:p w14:paraId="69754E81" w14:textId="77777777" w:rsidR="004D556D" w:rsidRPr="000F6CD1" w:rsidRDefault="004D556D">
      <w:pPr>
        <w:spacing w:before="240" w:after="240" w:line="240" w:lineRule="auto"/>
        <w:rPr>
          <w:rFonts w:eastAsia="Aptos"/>
        </w:rPr>
      </w:pPr>
      <w:r w:rsidRPr="000F6CD1">
        <w:rPr>
          <w:rFonts w:eastAsia="Aptos"/>
        </w:rPr>
        <w:t>Once the revised support plan and assessment is resubmitted for delegation, assessment delegates must conduct a final review to check that it meets the required quality standards before granting final approval. To support continuous improvement, it is expected assessment delegates provide assessors with constructive feedback that promotes best practice and helps them understand and meet documentation expectations. </w:t>
      </w:r>
    </w:p>
    <w:p w14:paraId="59425DB2" w14:textId="50577838" w:rsidR="004D556D" w:rsidRPr="000F6CD1" w:rsidRDefault="000654A8" w:rsidP="00AD2CE5">
      <w:pPr>
        <w:pStyle w:val="H3"/>
        <w:rPr>
          <w:rFonts w:eastAsia="Aptos"/>
        </w:rPr>
      </w:pPr>
      <w:r>
        <w:drawing>
          <wp:anchor distT="0" distB="0" distL="114300" distR="114300" simplePos="0" relativeHeight="251658295" behindDoc="0" locked="0" layoutInCell="1" allowOverlap="1" wp14:anchorId="09F5C412" wp14:editId="7CE4215B">
            <wp:simplePos x="0" y="0"/>
            <wp:positionH relativeFrom="margin">
              <wp:align>left</wp:align>
            </wp:positionH>
            <wp:positionV relativeFrom="margin">
              <wp:posOffset>3667125</wp:posOffset>
            </wp:positionV>
            <wp:extent cx="365792" cy="403895"/>
            <wp:effectExtent l="0" t="0" r="0" b="0"/>
            <wp:wrapSquare wrapText="bothSides"/>
            <wp:docPr id="705015898"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15898"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Assessment Delegate returning the IAT to the assessor for amendments </w:t>
      </w:r>
      <w:r w:rsidR="004D556D" w:rsidRPr="000F6CD1">
        <w:rPr>
          <w:rFonts w:eastAsia="Aptos"/>
        </w:rPr>
        <w:t> </w:t>
      </w:r>
    </w:p>
    <w:p w14:paraId="621159FE" w14:textId="6146AFE2" w:rsidR="004D556D" w:rsidRPr="000F6CD1" w:rsidRDefault="004D556D">
      <w:pPr>
        <w:spacing w:before="240" w:after="240" w:line="240" w:lineRule="auto"/>
        <w:rPr>
          <w:rFonts w:eastAsia="Aptos"/>
        </w:rPr>
      </w:pPr>
      <w:r w:rsidRPr="000F6CD1">
        <w:rPr>
          <w:rFonts w:eastAsia="Aptos"/>
        </w:rPr>
        <w:t xml:space="preserve"> Where the assessment delegate identifies errors in the IAT, they may return the IAT to the assessor to apply requested changes. This function can be used once per assessment. Using this function is appropriate </w:t>
      </w:r>
      <w:r w:rsidR="00B8081E" w:rsidRPr="000F6CD1">
        <w:rPr>
          <w:rFonts w:eastAsia="Aptos"/>
        </w:rPr>
        <w:t>where factual</w:t>
      </w:r>
      <w:r w:rsidRPr="000F6CD1">
        <w:rPr>
          <w:rFonts w:eastAsia="Aptos"/>
        </w:rPr>
        <w:t xml:space="preserve"> errors are identified by the assessment delegate, including: </w:t>
      </w:r>
    </w:p>
    <w:p w14:paraId="4EB6476E" w14:textId="77777777" w:rsidR="004D556D" w:rsidRPr="000F6CD1" w:rsidRDefault="004D556D" w:rsidP="004D556D">
      <w:pPr>
        <w:numPr>
          <w:ilvl w:val="0"/>
          <w:numId w:val="606"/>
        </w:numPr>
        <w:spacing w:before="240" w:after="240" w:line="240" w:lineRule="auto"/>
        <w:rPr>
          <w:rFonts w:eastAsia="Aptos"/>
        </w:rPr>
      </w:pPr>
      <w:r w:rsidRPr="000F6CD1">
        <w:rPr>
          <w:rFonts w:eastAsia="Aptos"/>
        </w:rPr>
        <w:t>inconsistencies between responses across the different IAT domains,  </w:t>
      </w:r>
    </w:p>
    <w:p w14:paraId="41DF1EDA" w14:textId="77777777" w:rsidR="004D556D" w:rsidRPr="000F6CD1" w:rsidRDefault="004D556D" w:rsidP="004D556D">
      <w:pPr>
        <w:numPr>
          <w:ilvl w:val="0"/>
          <w:numId w:val="607"/>
        </w:numPr>
        <w:spacing w:before="240" w:after="240" w:line="240" w:lineRule="auto"/>
        <w:rPr>
          <w:rFonts w:eastAsia="Aptos"/>
        </w:rPr>
      </w:pPr>
      <w:r w:rsidRPr="000F6CD1">
        <w:rPr>
          <w:rFonts w:eastAsia="Aptos"/>
        </w:rPr>
        <w:t>incorrect entry of information in comparison to a clients’ assessment summary, support plan, or relevant reports and supplied evidence,  </w:t>
      </w:r>
    </w:p>
    <w:p w14:paraId="27AF6D82" w14:textId="77777777" w:rsidR="004D556D" w:rsidRPr="000F6CD1" w:rsidRDefault="004D556D" w:rsidP="004D556D">
      <w:pPr>
        <w:numPr>
          <w:ilvl w:val="0"/>
          <w:numId w:val="608"/>
        </w:numPr>
        <w:spacing w:before="240" w:after="240" w:line="240" w:lineRule="auto"/>
        <w:rPr>
          <w:rFonts w:eastAsia="Aptos"/>
        </w:rPr>
      </w:pPr>
      <w:r w:rsidRPr="000F6CD1">
        <w:rPr>
          <w:rFonts w:eastAsia="Aptos"/>
        </w:rPr>
        <w:t>missing or incomplete information relating to the client’s circumstances, and </w:t>
      </w:r>
    </w:p>
    <w:p w14:paraId="1008E5AD" w14:textId="77777777" w:rsidR="004D556D" w:rsidRPr="000F6CD1" w:rsidRDefault="004D556D" w:rsidP="000654A8">
      <w:pPr>
        <w:numPr>
          <w:ilvl w:val="0"/>
          <w:numId w:val="609"/>
        </w:numPr>
        <w:spacing w:before="240" w:after="240" w:line="240" w:lineRule="auto"/>
        <w:rPr>
          <w:rFonts w:eastAsia="Aptos"/>
        </w:rPr>
      </w:pPr>
      <w:r w:rsidRPr="000F6CD1">
        <w:rPr>
          <w:rFonts w:eastAsia="Aptos"/>
        </w:rPr>
        <w:t>insufficient detail within IAT responses, including free</w:t>
      </w:r>
      <w:r w:rsidRPr="000F6CD1">
        <w:rPr>
          <w:rFonts w:eastAsia="Aptos"/>
        </w:rPr>
        <w:noBreakHyphen/>
        <w:t>text fields. </w:t>
      </w:r>
    </w:p>
    <w:p w14:paraId="405FE255" w14:textId="77777777" w:rsidR="004D556D" w:rsidRPr="000F6CD1" w:rsidRDefault="004D556D">
      <w:pPr>
        <w:spacing w:before="240" w:after="240" w:line="240" w:lineRule="auto"/>
        <w:rPr>
          <w:rFonts w:eastAsia="Aptos"/>
        </w:rPr>
      </w:pPr>
      <w:r w:rsidRPr="000F6CD1">
        <w:rPr>
          <w:rFonts w:eastAsia="Aptos"/>
        </w:rPr>
        <w:t>When returning the IAT to the assessor, the delegate must complete a notes field with a template that lists all IAT domains. This template is used to provide clear and specific instructions to the assessor. For each relevant IAT domain, the delegate must identify: </w:t>
      </w:r>
    </w:p>
    <w:p w14:paraId="397AB178" w14:textId="77777777" w:rsidR="004D556D" w:rsidRPr="000F6CD1" w:rsidRDefault="004D556D" w:rsidP="004D556D">
      <w:pPr>
        <w:numPr>
          <w:ilvl w:val="0"/>
          <w:numId w:val="610"/>
        </w:numPr>
        <w:spacing w:before="240" w:after="240" w:line="240" w:lineRule="auto"/>
        <w:rPr>
          <w:rFonts w:eastAsia="Aptos"/>
        </w:rPr>
      </w:pPr>
      <w:r w:rsidRPr="000F6CD1">
        <w:rPr>
          <w:rFonts w:eastAsia="Aptos"/>
        </w:rPr>
        <w:t>the specific question(s) requiring correction </w:t>
      </w:r>
    </w:p>
    <w:p w14:paraId="32F71339" w14:textId="77777777" w:rsidR="004D556D" w:rsidRPr="000F6CD1" w:rsidRDefault="004D556D" w:rsidP="004D556D">
      <w:pPr>
        <w:numPr>
          <w:ilvl w:val="0"/>
          <w:numId w:val="611"/>
        </w:numPr>
        <w:spacing w:before="240" w:after="240" w:line="240" w:lineRule="auto"/>
        <w:rPr>
          <w:rFonts w:eastAsia="Aptos"/>
        </w:rPr>
      </w:pPr>
      <w:r w:rsidRPr="000F6CD1">
        <w:rPr>
          <w:rFonts w:eastAsia="Aptos"/>
        </w:rPr>
        <w:t>the nature of the correction required (for example, updating a response, providing further detail, or adding missing information) </w:t>
      </w:r>
    </w:p>
    <w:p w14:paraId="4BA94840" w14:textId="58DA018B" w:rsidR="004D556D" w:rsidRPr="000F6CD1" w:rsidRDefault="004D556D" w:rsidP="004D556D">
      <w:pPr>
        <w:numPr>
          <w:ilvl w:val="0"/>
          <w:numId w:val="612"/>
        </w:numPr>
        <w:spacing w:before="240" w:after="240" w:line="240" w:lineRule="auto"/>
        <w:rPr>
          <w:rFonts w:eastAsia="Aptos"/>
        </w:rPr>
      </w:pPr>
      <w:r w:rsidRPr="000F6CD1">
        <w:rPr>
          <w:rFonts w:eastAsia="Aptos"/>
        </w:rPr>
        <w:t>any additional Validated Assessment Tools (VATs) that must be completed. Most VATs can be completed via telehealth or may also be completed face to face if able. The DEMMI and all Cognition VATs should not be completed via telehealth.</w:t>
      </w:r>
      <w:r w:rsidR="00402E21" w:rsidRPr="000F6CD1">
        <w:rPr>
          <w:rFonts w:eastAsia="Aptos"/>
        </w:rPr>
        <w:t xml:space="preserve"> </w:t>
      </w:r>
    </w:p>
    <w:p w14:paraId="38459139" w14:textId="77777777" w:rsidR="004D556D" w:rsidRPr="000F6CD1" w:rsidRDefault="004D556D" w:rsidP="000654A8">
      <w:pPr>
        <w:pStyle w:val="H4"/>
      </w:pPr>
      <w:r w:rsidRPr="000F6CD1">
        <w:lastRenderedPageBreak/>
        <w:t>Assessor amending the IAT</w:t>
      </w:r>
    </w:p>
    <w:p w14:paraId="5FE1069B" w14:textId="77777777" w:rsidR="004D556D" w:rsidRPr="000F6CD1" w:rsidRDefault="004D556D">
      <w:pPr>
        <w:spacing w:before="240" w:after="240" w:line="240" w:lineRule="auto"/>
        <w:rPr>
          <w:rFonts w:eastAsia="Aptos"/>
        </w:rPr>
      </w:pPr>
      <w:r w:rsidRPr="000F6CD1">
        <w:rPr>
          <w:rFonts w:eastAsia="Aptos"/>
        </w:rPr>
        <w:t xml:space="preserve">Once the assessor receives the instructions from the delegate, they are required to action the requested changes in the relevant sections of the IAT. Refer to Appendix I of this Assessment Manual for further guidance on completing the notes template. </w:t>
      </w:r>
    </w:p>
    <w:p w14:paraId="56C74C69" w14:textId="6EEE876C" w:rsidR="004D556D" w:rsidRPr="000F6CD1" w:rsidRDefault="004D556D" w:rsidP="00806A21">
      <w:pPr>
        <w:pStyle w:val="Sub-headings"/>
      </w:pPr>
      <w:r w:rsidRPr="00C317D7">
        <w:t>Note:</w:t>
      </w:r>
      <w:r w:rsidR="00965CF5">
        <w:t xml:space="preserve"> </w:t>
      </w:r>
      <w:r w:rsidRPr="000F6CD1">
        <w:t>Clinical attendance remains vital and is still required as part of the assessment process. Non-clinical assessors must document all clinical supervisor(s) involved throughout the assessment process in the ‘Notes to Delegate’ section upon completion of the IAT amendments. Refer to section 5.7.1 of this Assessment Manual for further guidance on clinical attendance.</w:t>
      </w:r>
      <w:r w:rsidR="00402E21" w:rsidRPr="000F6CD1">
        <w:t xml:space="preserve"> </w:t>
      </w:r>
    </w:p>
    <w:p w14:paraId="36CB4BC3" w14:textId="35D86A1B" w:rsidR="004D556D" w:rsidRPr="000F6CD1" w:rsidRDefault="004D556D">
      <w:pPr>
        <w:spacing w:before="240" w:after="240" w:line="240" w:lineRule="auto"/>
        <w:rPr>
          <w:rFonts w:eastAsia="Aptos"/>
        </w:rPr>
      </w:pPr>
      <w:r w:rsidRPr="000F6CD1">
        <w:rPr>
          <w:rFonts w:eastAsia="Aptos"/>
        </w:rPr>
        <w:t>The assessor must also confirm all information is correct under each IAT domain, confirm that all goals were completed prior to completion of the IAT and then, select ‘Finalise IAT</w:t>
      </w:r>
      <w:r w:rsidR="00402E21" w:rsidRPr="000F6CD1">
        <w:rPr>
          <w:rFonts w:eastAsia="Aptos"/>
        </w:rPr>
        <w:t>,’</w:t>
      </w:r>
      <w:r w:rsidRPr="000F6CD1">
        <w:rPr>
          <w:rFonts w:eastAsia="Aptos"/>
        </w:rPr>
        <w:t>  </w:t>
      </w:r>
    </w:p>
    <w:p w14:paraId="44E8221F" w14:textId="073CB8E3" w:rsidR="004D556D" w:rsidRPr="000F6CD1" w:rsidRDefault="004D556D" w:rsidP="00806A21">
      <w:pPr>
        <w:pStyle w:val="Sub-headings"/>
        <w:rPr>
          <w:rFonts w:eastAsia="Aptos"/>
        </w:rPr>
      </w:pPr>
      <w:r w:rsidRPr="00C317D7">
        <w:t>Note</w:t>
      </w:r>
      <w:r w:rsidRPr="000654A8">
        <w:t xml:space="preserve">: The system does not automatically return the updated IAT to the original delegate. Assessment organisations must have an internal process for assessors to notify the appropriate delegate when the IAT is ready for review. This process should also account for situations where the original delegate is unavailable (e.g. on leave) or where the required delegate type has changed following a new </w:t>
      </w:r>
      <w:r w:rsidR="00386B7E">
        <w:t>IAT Outcome</w:t>
      </w:r>
      <w:r w:rsidRPr="000654A8">
        <w:t xml:space="preserve"> (for example, from CHSP to SAH).</w:t>
      </w:r>
    </w:p>
    <w:p w14:paraId="1871DB47" w14:textId="352E1E58" w:rsidR="004D556D" w:rsidRPr="000F6CD1" w:rsidRDefault="004D556D">
      <w:pPr>
        <w:spacing w:before="240" w:after="240" w:line="240" w:lineRule="auto"/>
        <w:rPr>
          <w:rFonts w:eastAsia="Aptos"/>
        </w:rPr>
      </w:pPr>
      <w:r w:rsidRPr="000F6CD1">
        <w:rPr>
          <w:rFonts w:eastAsia="Aptos"/>
        </w:rPr>
        <w:t xml:space="preserve">On finalisation of the IAT post-amendment, the system will generate a classification level for ongoing home support (referred to the </w:t>
      </w:r>
      <w:r w:rsidR="00386B7E">
        <w:rPr>
          <w:rFonts w:eastAsia="Aptos"/>
        </w:rPr>
        <w:t>IAT Outcome</w:t>
      </w:r>
      <w:r w:rsidRPr="000F6CD1">
        <w:rPr>
          <w:rFonts w:eastAsia="Aptos"/>
        </w:rPr>
        <w:t xml:space="preserve"> in the assessment workflow) which may be a Support at Home classification or CHSP level, or ineligibility for CHSP/SaH. </w:t>
      </w:r>
    </w:p>
    <w:p w14:paraId="62F5E85D" w14:textId="16CFED55" w:rsidR="004D556D" w:rsidRPr="000F6CD1" w:rsidRDefault="004D556D">
      <w:pPr>
        <w:spacing w:before="240" w:after="240" w:line="240" w:lineRule="auto"/>
        <w:rPr>
          <w:rFonts w:eastAsia="Aptos"/>
        </w:rPr>
      </w:pPr>
      <w:r w:rsidRPr="000F6CD1">
        <w:rPr>
          <w:rFonts w:eastAsia="Aptos"/>
        </w:rPr>
        <w:t>The new </w:t>
      </w:r>
      <w:r w:rsidR="00386B7E">
        <w:rPr>
          <w:rFonts w:eastAsia="Aptos"/>
        </w:rPr>
        <w:t>IAT Outcome</w:t>
      </w:r>
      <w:r w:rsidRPr="000F6CD1">
        <w:rPr>
          <w:rFonts w:eastAsia="Aptos"/>
        </w:rPr>
        <w:t> may be higher or lower than the previous classification outcome, and if the intention is to recommend an ongoing Home Support Classification, the assessor must ensure the ‘Recommended Classification’ matches the new ‘</w:t>
      </w:r>
      <w:r w:rsidR="00386B7E">
        <w:rPr>
          <w:rFonts w:eastAsia="Aptos"/>
        </w:rPr>
        <w:t>IAT Outcome</w:t>
      </w:r>
      <w:r w:rsidRPr="000F6CD1">
        <w:rPr>
          <w:rFonts w:eastAsia="Aptos"/>
        </w:rPr>
        <w:t>’ via the edit functionality (see ‘Note’ below for exception). If the assessor recommended a short-term pathway or ‘ineligible for CHSP/SaH’ for the purpose of recommending TCP and/or Residential care, this will remain displayed as the ‘Recommended Classification</w:t>
      </w:r>
      <w:r w:rsidR="00402E21" w:rsidRPr="000F6CD1">
        <w:rPr>
          <w:rFonts w:eastAsia="Aptos"/>
        </w:rPr>
        <w:t>.’</w:t>
      </w:r>
      <w:r w:rsidRPr="000F6CD1">
        <w:rPr>
          <w:rFonts w:eastAsia="Aptos"/>
        </w:rPr>
        <w:t>  </w:t>
      </w:r>
    </w:p>
    <w:p w14:paraId="0EE0331F" w14:textId="7823DA60" w:rsidR="004D556D" w:rsidRPr="000F6CD1" w:rsidRDefault="004D556D" w:rsidP="00806A21">
      <w:pPr>
        <w:pStyle w:val="Sub-headings"/>
      </w:pPr>
      <w:r w:rsidRPr="00C317D7">
        <w:t>Note:</w:t>
      </w:r>
      <w:r w:rsidRPr="000F6CD1">
        <w:t xml:space="preserve"> For existing clients already receiving Home Support, either with a Transitioned Home Care Package classification, or a Support at Home or CHSP classification, the new </w:t>
      </w:r>
      <w:r w:rsidR="00386B7E">
        <w:t>IAT Outcome</w:t>
      </w:r>
      <w:r w:rsidRPr="000F6CD1">
        <w:t xml:space="preserve"> may be lower than what they are currently receiving. Assessors must ensure that the ‘Recommended Classification’ is equivalent to their existing classification. Please refer to Table 2 in Chapter 1 of this Assessment Manual. Assessors may have to make manual edits to the ‘Recommended Classification’ if necessary.</w:t>
      </w:r>
      <w:r w:rsidR="00402E21" w:rsidRPr="000F6CD1">
        <w:t xml:space="preserve"> </w:t>
      </w:r>
    </w:p>
    <w:p w14:paraId="4A15DEFD" w14:textId="4B3282FC" w:rsidR="004D556D" w:rsidRPr="000F6CD1" w:rsidRDefault="004D556D">
      <w:pPr>
        <w:spacing w:before="240" w:after="240" w:line="240" w:lineRule="auto"/>
        <w:rPr>
          <w:rFonts w:eastAsia="Aptos"/>
        </w:rPr>
      </w:pPr>
      <w:r w:rsidRPr="000F6CD1">
        <w:rPr>
          <w:rFonts w:eastAsia="Aptos"/>
        </w:rPr>
        <w:t xml:space="preserve">As per existing functionality, the assessor can override the ‘Recommended Classification’ to recommend a short-term pathway or Residential Care if required. If the new </w:t>
      </w:r>
      <w:r w:rsidR="00386B7E">
        <w:rPr>
          <w:rFonts w:eastAsia="Aptos"/>
        </w:rPr>
        <w:t>IAT Outcome</w:t>
      </w:r>
      <w:r w:rsidRPr="000F6CD1">
        <w:rPr>
          <w:rFonts w:eastAsia="Aptos"/>
        </w:rPr>
        <w:t xml:space="preserve"> recommends a different pathway (e.g. CHSP to SaH ongoing), the ‘Convert to Comprehensive Assessment’ functionality will continue as per current functionality. </w:t>
      </w:r>
    </w:p>
    <w:p w14:paraId="441868A0" w14:textId="7412715C" w:rsidR="004D556D" w:rsidRPr="000F6CD1" w:rsidRDefault="004D556D">
      <w:pPr>
        <w:spacing w:before="240" w:after="240" w:line="240" w:lineRule="auto"/>
        <w:rPr>
          <w:rFonts w:eastAsia="Aptos"/>
        </w:rPr>
      </w:pPr>
      <w:r w:rsidRPr="000F6CD1">
        <w:rPr>
          <w:rFonts w:eastAsia="Aptos"/>
        </w:rPr>
        <w:t>The assessor must ensure all service recommendations in the Support Plan align with the updated care pathways recommended once the IAT has been amended.</w:t>
      </w:r>
      <w:r w:rsidR="00402E21" w:rsidRPr="000F6CD1">
        <w:rPr>
          <w:rFonts w:eastAsia="Aptos"/>
        </w:rPr>
        <w:t xml:space="preserve"> </w:t>
      </w:r>
    </w:p>
    <w:p w14:paraId="77729E5C" w14:textId="77777777" w:rsidR="004D556D" w:rsidRPr="000F6CD1" w:rsidRDefault="004D556D">
      <w:pPr>
        <w:spacing w:before="240" w:after="240" w:line="240" w:lineRule="auto"/>
        <w:rPr>
          <w:rFonts w:eastAsia="Aptos"/>
        </w:rPr>
      </w:pPr>
      <w:r w:rsidRPr="000F6CD1">
        <w:rPr>
          <w:rFonts w:eastAsia="Aptos"/>
        </w:rPr>
        <w:t xml:space="preserve">The assessor is required to document all amendments completed in the IAT in response to the delegate’s instructions in a notes field template. Non-clinical assessors are required to include all clinical supervisor(s) that were involved throughout the completion of the </w:t>
      </w:r>
      <w:r w:rsidRPr="000F6CD1">
        <w:rPr>
          <w:rFonts w:eastAsia="Aptos"/>
        </w:rPr>
        <w:lastRenderedPageBreak/>
        <w:t>IAT. Assessment delegates must ensure that assessors have implemented all amendments to the IAT in accordance with the provided instructions, and that all required actions, including completion of an accurate Support Plan, have been completed as outlined above. </w:t>
      </w:r>
    </w:p>
    <w:p w14:paraId="03322045" w14:textId="77777777" w:rsidR="004D556D" w:rsidRPr="000F6CD1" w:rsidRDefault="004D556D" w:rsidP="00E4108D">
      <w:pPr>
        <w:pStyle w:val="H4"/>
        <w:rPr>
          <w:rFonts w:eastAsia="Aptos"/>
        </w:rPr>
      </w:pPr>
      <w:r w:rsidRPr="000F6CD1">
        <w:t>Delegate approval of the updated IAT</w:t>
      </w:r>
    </w:p>
    <w:p w14:paraId="350C9976" w14:textId="77777777" w:rsidR="004D556D" w:rsidRPr="000F6CD1" w:rsidRDefault="004D556D">
      <w:pPr>
        <w:spacing w:before="240" w:after="240" w:line="240" w:lineRule="auto"/>
        <w:rPr>
          <w:rFonts w:eastAsia="Aptos"/>
        </w:rPr>
      </w:pPr>
      <w:r w:rsidRPr="000F6CD1">
        <w:rPr>
          <w:rFonts w:eastAsia="Aptos"/>
        </w:rPr>
        <w:t>Once the assessment has been updated and re-submitted for approval, the Assessment Delegate will be able to action as per usual process. Assessment Delegates must ensure that assessors have implemented all amendments to the IAT in accordance with the provided instructions, and that all required actions, including completion of an accurate Support Plan, have been completed as outlined above.</w:t>
      </w:r>
    </w:p>
    <w:p w14:paraId="3F6805A8" w14:textId="612C1B8C" w:rsidR="004D556D" w:rsidRPr="000F6CD1" w:rsidRDefault="004D556D">
      <w:pPr>
        <w:spacing w:before="240" w:after="240" w:line="240" w:lineRule="auto"/>
        <w:rPr>
          <w:rFonts w:eastAsia="Aptos"/>
        </w:rPr>
      </w:pPr>
      <w:r w:rsidRPr="000F6CD1">
        <w:rPr>
          <w:rFonts w:eastAsia="Aptos"/>
        </w:rPr>
        <w:t xml:space="preserve">When reviewing the client's Support Plan, the delegate will be able to view both the old and the new </w:t>
      </w:r>
      <w:r w:rsidR="00386B7E">
        <w:rPr>
          <w:rFonts w:eastAsia="Aptos"/>
        </w:rPr>
        <w:t>IAT Outcome</w:t>
      </w:r>
      <w:r w:rsidRPr="000F6CD1">
        <w:rPr>
          <w:rFonts w:eastAsia="Aptos"/>
        </w:rPr>
        <w:t xml:space="preserve"> which will display under the</w:t>
      </w:r>
      <w:r w:rsidRPr="00E4108D">
        <w:rPr>
          <w:rFonts w:eastAsia="Aptos"/>
        </w:rPr>
        <w:t> </w:t>
      </w:r>
      <w:r w:rsidR="00386B7E">
        <w:rPr>
          <w:rFonts w:eastAsia="Aptos"/>
        </w:rPr>
        <w:t>IAT Outcome</w:t>
      </w:r>
      <w:r w:rsidRPr="00E4108D">
        <w:rPr>
          <w:rFonts w:eastAsia="Aptos"/>
        </w:rPr>
        <w:t xml:space="preserve"> and classification</w:t>
      </w:r>
      <w:r w:rsidRPr="000F6CD1">
        <w:rPr>
          <w:rFonts w:eastAsia="Aptos"/>
        </w:rPr>
        <w:t> section. They will also be able to view the notes recorded by the assessor when the assessment was submitted for delegation. </w:t>
      </w:r>
      <w:r w:rsidR="00C31999" w:rsidRPr="00C31999">
        <w:rPr>
          <w:rFonts w:eastAsia="Aptos"/>
        </w:rPr>
        <w:t xml:space="preserve">Once the algorithm has produced the new </w:t>
      </w:r>
      <w:r w:rsidR="00386B7E">
        <w:rPr>
          <w:rFonts w:eastAsia="Aptos"/>
        </w:rPr>
        <w:t>IAT Outcome</w:t>
      </w:r>
      <w:r w:rsidR="00C31999" w:rsidRPr="00C31999">
        <w:rPr>
          <w:rFonts w:eastAsia="Aptos"/>
        </w:rPr>
        <w:t>, the new or amended outcome must be used for the assessment or support plan. The previous outcome cannot be selected or used. </w:t>
      </w:r>
    </w:p>
    <w:p w14:paraId="14ADDAF2" w14:textId="77777777" w:rsidR="004D556D" w:rsidRPr="000F6CD1" w:rsidRDefault="004D556D">
      <w:pPr>
        <w:spacing w:before="240" w:after="240" w:line="240" w:lineRule="auto"/>
        <w:rPr>
          <w:rFonts w:eastAsia="Aptos"/>
        </w:rPr>
      </w:pPr>
      <w:r w:rsidRPr="000F6CD1">
        <w:rPr>
          <w:rFonts w:eastAsia="Aptos"/>
        </w:rPr>
        <w:t>Once the delegate has recorded their decision and actioned as required, the assessment will flow back through to the assessor for finalisation as per existing process. </w:t>
      </w:r>
    </w:p>
    <w:p w14:paraId="6CB53261" w14:textId="64FC9447" w:rsidR="004D556D" w:rsidRPr="000F6CD1" w:rsidRDefault="004D556D">
      <w:pPr>
        <w:spacing w:before="240" w:after="240" w:line="240" w:lineRule="auto"/>
        <w:rPr>
          <w:rFonts w:eastAsia="Aptos"/>
        </w:rPr>
      </w:pPr>
      <w:r w:rsidRPr="000F6CD1">
        <w:rPr>
          <w:rFonts w:eastAsia="Aptos"/>
        </w:rPr>
        <w:t>All information in both note</w:t>
      </w:r>
      <w:r w:rsidR="007B29A9">
        <w:rPr>
          <w:rFonts w:eastAsia="Aptos"/>
        </w:rPr>
        <w:t>s</w:t>
      </w:r>
      <w:r w:rsidRPr="000F6CD1">
        <w:rPr>
          <w:rFonts w:eastAsia="Aptos"/>
        </w:rPr>
        <w:t xml:space="preserve"> fields from the assessor and delegate will not be available after the assessment is finalised. </w:t>
      </w:r>
    </w:p>
    <w:p w14:paraId="7E5AA37A" w14:textId="77777777" w:rsidR="004D556D" w:rsidRPr="000F6CD1" w:rsidRDefault="004D556D">
      <w:pPr>
        <w:spacing w:before="240" w:after="240" w:line="240" w:lineRule="auto"/>
        <w:rPr>
          <w:rFonts w:eastAsia="Aptos"/>
        </w:rPr>
      </w:pPr>
      <w:r w:rsidRPr="000F6CD1">
        <w:rPr>
          <w:rFonts w:eastAsia="Aptos"/>
        </w:rPr>
        <w:t>For further guidance on this process, refer to the </w:t>
      </w:r>
      <w:r w:rsidRPr="000F6CD1">
        <w:rPr>
          <w:rFonts w:eastAsia="Aptos"/>
          <w:i/>
          <w:iCs/>
        </w:rPr>
        <w:t>Assessor Portal User Guide 7, 10</w:t>
      </w:r>
      <w:r w:rsidRPr="000F6CD1">
        <w:rPr>
          <w:rFonts w:eastAsia="Aptos"/>
        </w:rPr>
        <w:t xml:space="preserve">  and Appendix I of this Assessment Manual. </w:t>
      </w:r>
    </w:p>
    <w:p w14:paraId="763E836A" w14:textId="77777777" w:rsidR="004D556D" w:rsidRPr="000F6CD1" w:rsidRDefault="004D556D" w:rsidP="00622CFF">
      <w:pPr>
        <w:spacing w:before="240" w:after="240" w:line="240" w:lineRule="auto"/>
        <w:rPr>
          <w:rFonts w:eastAsia="Aptos"/>
        </w:rPr>
      </w:pPr>
    </w:p>
    <w:p w14:paraId="574482B3" w14:textId="77777777" w:rsidR="004D556D" w:rsidRPr="000F6CD1" w:rsidRDefault="004D556D" w:rsidP="00AD2CE5">
      <w:pPr>
        <w:pStyle w:val="H3"/>
        <w:rPr>
          <w:color w:val="0F4761"/>
        </w:rPr>
      </w:pPr>
      <w:bookmarkStart w:id="696" w:name="_Toc198787160"/>
      <w:bookmarkStart w:id="697" w:name="_Toc1252615336"/>
      <w:bookmarkStart w:id="698" w:name="_Toc199344532"/>
      <w:bookmarkStart w:id="699" w:name="_Toc205372062"/>
      <w:bookmarkStart w:id="700" w:name="_Toc207713967"/>
      <w:r w:rsidRPr="000F6CD1">
        <w:t>Assessment information and evidence</w:t>
      </w:r>
      <w:bookmarkEnd w:id="696"/>
      <w:bookmarkEnd w:id="697"/>
      <w:bookmarkEnd w:id="698"/>
      <w:bookmarkEnd w:id="699"/>
      <w:bookmarkEnd w:id="700"/>
    </w:p>
    <w:p w14:paraId="7A56FD57" w14:textId="77777777" w:rsidR="004D556D" w:rsidRPr="000F6CD1" w:rsidRDefault="004D556D" w:rsidP="00622CFF">
      <w:pPr>
        <w:spacing w:before="240" w:after="240" w:line="240" w:lineRule="auto"/>
        <w:rPr>
          <w:rFonts w:eastAsia="Aptos"/>
        </w:rPr>
      </w:pPr>
      <w:r w:rsidRPr="000F6CD1">
        <w:rPr>
          <w:rFonts w:eastAsia="Aptos"/>
        </w:rPr>
        <w:t>Assessment information and evidence should include all relevant documentation that supports the</w:t>
      </w:r>
      <w:r w:rsidRPr="000F6CD1">
        <w:rPr>
          <w:rFonts w:eastAsia="Aptos" w:hint="eastAsia"/>
        </w:rPr>
        <w:t> </w:t>
      </w:r>
      <w:r w:rsidRPr="000F6CD1">
        <w:rPr>
          <w:rFonts w:eastAsia="Aptos"/>
        </w:rPr>
        <w:t>recommendations and decisions</w:t>
      </w:r>
      <w:r w:rsidRPr="000F6CD1">
        <w:rPr>
          <w:rFonts w:eastAsia="Aptos" w:hint="eastAsia"/>
        </w:rPr>
        <w:t> </w:t>
      </w:r>
      <w:r w:rsidRPr="000F6CD1">
        <w:rPr>
          <w:rFonts w:eastAsia="Aptos"/>
        </w:rPr>
        <w:t>made throughout the assessment process. The assessment documentation must include:</w:t>
      </w:r>
    </w:p>
    <w:p w14:paraId="7641FD85"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Consent</w:t>
      </w:r>
    </w:p>
    <w:p w14:paraId="5CA7CE87"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 xml:space="preserve">Integrated Assessment Tool and Validated Assessment Tools </w:t>
      </w:r>
    </w:p>
    <w:p w14:paraId="2CAAEA95"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Emergency Residential Care - Application for Care Form (where applicable)</w:t>
      </w:r>
    </w:p>
    <w:p w14:paraId="33F6324B"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Additional Evidence</w:t>
      </w:r>
    </w:p>
    <w:p w14:paraId="06F42AC3"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Support plan and Recommendations</w:t>
      </w:r>
    </w:p>
    <w:p w14:paraId="60192134" w14:textId="77777777" w:rsidR="004D556D" w:rsidRPr="000F6CD1" w:rsidRDefault="004D556D" w:rsidP="00DF3F6B">
      <w:pPr>
        <w:numPr>
          <w:ilvl w:val="0"/>
          <w:numId w:val="275"/>
        </w:numPr>
        <w:spacing w:before="240" w:after="240" w:line="240" w:lineRule="auto"/>
        <w:rPr>
          <w:rFonts w:eastAsia="Aptos"/>
        </w:rPr>
      </w:pPr>
      <w:r w:rsidRPr="000F6CD1">
        <w:rPr>
          <w:rFonts w:eastAsia="Aptos"/>
        </w:rPr>
        <w:t>Referral Information</w:t>
      </w:r>
    </w:p>
    <w:p w14:paraId="3F1BA1BB" w14:textId="77777777" w:rsidR="004D556D" w:rsidRPr="000F6CD1" w:rsidRDefault="004D556D" w:rsidP="00622CFF">
      <w:pPr>
        <w:spacing w:before="240" w:after="240" w:line="240" w:lineRule="auto"/>
        <w:rPr>
          <w:rFonts w:eastAsia="Aptos"/>
        </w:rPr>
      </w:pPr>
      <w:r w:rsidRPr="000F6CD1">
        <w:rPr>
          <w:rFonts w:eastAsia="Aptos"/>
        </w:rPr>
        <w:t xml:space="preserve">Assessment Delegates must ensure that the assessment information contains comprehensive information to support the justification of the assessor’s recommendation for funded aged care approvals. The following sections provide further detail on the requirements and how to ensure the evidence is </w:t>
      </w:r>
      <w:r w:rsidRPr="000F6CD1" w:rsidDel="00C861DB">
        <w:rPr>
          <w:rFonts w:eastAsia="Aptos"/>
        </w:rPr>
        <w:t>sufficient</w:t>
      </w:r>
      <w:r w:rsidRPr="000F6CD1">
        <w:rPr>
          <w:rFonts w:eastAsia="Aptos"/>
        </w:rPr>
        <w:t>.</w:t>
      </w:r>
    </w:p>
    <w:p w14:paraId="2218549C" w14:textId="77777777" w:rsidR="004D556D" w:rsidRPr="000F6CD1" w:rsidRDefault="004D556D">
      <w:pPr>
        <w:pStyle w:val="H4"/>
        <w:rPr>
          <w:color w:val="0F4761"/>
        </w:rPr>
      </w:pPr>
      <w:bookmarkStart w:id="701" w:name="_Toc1506993917"/>
      <w:bookmarkStart w:id="702" w:name="_Toc199344533"/>
      <w:bookmarkStart w:id="703" w:name="_Toc205372063"/>
      <w:bookmarkStart w:id="704" w:name="_Toc207713968"/>
      <w:r w:rsidRPr="000F6CD1">
        <w:lastRenderedPageBreak/>
        <w:t>Support plans</w:t>
      </w:r>
      <w:bookmarkEnd w:id="701"/>
      <w:bookmarkEnd w:id="702"/>
      <w:bookmarkEnd w:id="703"/>
      <w:bookmarkEnd w:id="704"/>
    </w:p>
    <w:p w14:paraId="1A7297B3" w14:textId="77777777" w:rsidR="004D556D" w:rsidRPr="000F6CD1" w:rsidRDefault="004D556D" w:rsidP="00622CFF">
      <w:pPr>
        <w:spacing w:before="240" w:after="240" w:line="240" w:lineRule="auto"/>
        <w:rPr>
          <w:rFonts w:eastAsia="Aptos"/>
        </w:rPr>
      </w:pPr>
      <w:r w:rsidRPr="000F6CD1">
        <w:rPr>
          <w:rFonts w:eastAsia="Aptos"/>
        </w:rPr>
        <w:t>Under the</w:t>
      </w:r>
      <w:r w:rsidRPr="000F6CD1">
        <w:rPr>
          <w:rFonts w:eastAsia="Aptos" w:hint="eastAsia"/>
        </w:rPr>
        <w:t> </w:t>
      </w:r>
      <w:r w:rsidRPr="00EB1D79">
        <w:rPr>
          <w:rFonts w:eastAsia="Yu Gothic Light"/>
          <w:i/>
          <w:iCs/>
        </w:rPr>
        <w:t>Aged Care Act 2024</w:t>
      </w:r>
      <w:r w:rsidRPr="000F6CD1">
        <w:rPr>
          <w:rFonts w:eastAsia="Yu Gothic Light"/>
        </w:rPr>
        <w:t xml:space="preserve"> (the Act)</w:t>
      </w:r>
      <w:r w:rsidRPr="000F6CD1">
        <w:rPr>
          <w:rFonts w:eastAsia="Yu Gothic Light"/>
          <w:i/>
        </w:rPr>
        <w:t>,</w:t>
      </w:r>
      <w:r w:rsidRPr="000F6CD1">
        <w:rPr>
          <w:rFonts w:eastAsia="Aptos"/>
        </w:rPr>
        <w:t xml:space="preserve"> two key types of reports are required when assessing an individual's eligibility and needs for aged care services: the</w:t>
      </w:r>
      <w:r w:rsidRPr="000F6CD1">
        <w:rPr>
          <w:rFonts w:eastAsia="Aptos" w:hint="eastAsia"/>
        </w:rPr>
        <w:t> </w:t>
      </w:r>
      <w:r w:rsidRPr="000F6CD1">
        <w:rPr>
          <w:rFonts w:eastAsia="Aptos"/>
        </w:rPr>
        <w:t>Assessment Report</w:t>
      </w:r>
      <w:r w:rsidRPr="000F6CD1">
        <w:rPr>
          <w:rFonts w:eastAsia="Aptos" w:hint="eastAsia"/>
        </w:rPr>
        <w:t> </w:t>
      </w:r>
      <w:r w:rsidRPr="000F6CD1">
        <w:rPr>
          <w:rFonts w:eastAsia="Aptos"/>
        </w:rPr>
        <w:t>(as per</w:t>
      </w:r>
      <w:r w:rsidRPr="000F6CD1">
        <w:rPr>
          <w:rFonts w:eastAsia="Aptos" w:hint="eastAsia"/>
        </w:rPr>
        <w:t> </w:t>
      </w:r>
      <w:r w:rsidRPr="000F6CD1">
        <w:rPr>
          <w:rFonts w:eastAsia="Aptos"/>
        </w:rPr>
        <w:t>Section 63) and the</w:t>
      </w:r>
      <w:r w:rsidRPr="000F6CD1">
        <w:rPr>
          <w:rFonts w:eastAsia="Aptos" w:hint="eastAsia"/>
        </w:rPr>
        <w:t> </w:t>
      </w:r>
      <w:r w:rsidRPr="000F6CD1">
        <w:rPr>
          <w:rFonts w:eastAsia="Aptos"/>
        </w:rPr>
        <w:t>Classification Report</w:t>
      </w:r>
      <w:r w:rsidRPr="000F6CD1">
        <w:rPr>
          <w:rFonts w:eastAsia="Aptos" w:hint="eastAsia"/>
        </w:rPr>
        <w:t> </w:t>
      </w:r>
      <w:r w:rsidRPr="000F6CD1">
        <w:rPr>
          <w:rFonts w:eastAsia="Aptos"/>
        </w:rPr>
        <w:t>(as per</w:t>
      </w:r>
      <w:r w:rsidRPr="000F6CD1">
        <w:rPr>
          <w:rFonts w:eastAsia="Aptos" w:hint="eastAsia"/>
        </w:rPr>
        <w:t> </w:t>
      </w:r>
      <w:r w:rsidRPr="000F6CD1">
        <w:rPr>
          <w:rFonts w:eastAsia="Aptos"/>
        </w:rPr>
        <w:t>Section 77).</w:t>
      </w:r>
    </w:p>
    <w:p w14:paraId="39327C41" w14:textId="77777777" w:rsidR="004D556D" w:rsidRPr="000F6CD1" w:rsidRDefault="004D556D" w:rsidP="00622CFF">
      <w:pPr>
        <w:spacing w:before="240" w:after="240" w:line="240" w:lineRule="auto"/>
        <w:rPr>
          <w:rFonts w:eastAsia="Aptos"/>
        </w:rPr>
      </w:pPr>
      <w:r w:rsidRPr="000F6CD1">
        <w:rPr>
          <w:rFonts w:eastAsia="Aptos"/>
        </w:rPr>
        <w:t>In practice, these reports comprise the support plan and the finalised Integrated Assessment Tool (IAT) respectively.</w:t>
      </w:r>
    </w:p>
    <w:p w14:paraId="60D5955D" w14:textId="77777777" w:rsidR="004D556D" w:rsidRPr="000F6CD1" w:rsidRDefault="004D556D" w:rsidP="00622CFF">
      <w:pPr>
        <w:spacing w:before="240" w:after="240" w:line="240" w:lineRule="auto"/>
        <w:rPr>
          <w:rFonts w:eastAsia="Aptos"/>
        </w:rPr>
      </w:pPr>
      <w:r w:rsidRPr="000F6CD1">
        <w:rPr>
          <w:rFonts w:eastAsia="Aptos"/>
        </w:rPr>
        <w:t>The support plan and its associated areas of concern, goals, and recommendations are among the most important pieces of needs assessment documentation available to the Assessment Delegate. The support plan helps determine whether to approve an individual for access to aged care services and must contain all relevant information from the older person’s aged care needs assessment.</w:t>
      </w:r>
    </w:p>
    <w:p w14:paraId="7CD0031F" w14:textId="5A0A03C8" w:rsidR="004D556D" w:rsidRPr="000F6CD1" w:rsidRDefault="004D556D" w:rsidP="00622CFF">
      <w:pPr>
        <w:spacing w:before="240" w:after="240" w:line="240" w:lineRule="auto"/>
        <w:rPr>
          <w:rFonts w:eastAsia="Aptos"/>
        </w:rPr>
      </w:pPr>
      <w:r w:rsidRPr="000F6CD1">
        <w:rPr>
          <w:rFonts w:eastAsia="Aptos"/>
        </w:rPr>
        <w:t>It is essential that the</w:t>
      </w:r>
      <w:r w:rsidRPr="000F6CD1">
        <w:rPr>
          <w:rFonts w:eastAsia="Aptos" w:hint="eastAsia"/>
        </w:rPr>
        <w:t> </w:t>
      </w:r>
      <w:r w:rsidRPr="000F6CD1">
        <w:rPr>
          <w:rFonts w:eastAsia="Aptos"/>
        </w:rPr>
        <w:t>assessment summary</w:t>
      </w:r>
      <w:r w:rsidRPr="000F6CD1">
        <w:rPr>
          <w:rFonts w:eastAsia="Aptos" w:hint="eastAsia"/>
        </w:rPr>
        <w:t> </w:t>
      </w:r>
      <w:r w:rsidRPr="000F6CD1">
        <w:rPr>
          <w:rFonts w:eastAsia="Aptos"/>
        </w:rPr>
        <w:t>is written clearly and succinctly, following the</w:t>
      </w:r>
      <w:r w:rsidRPr="000F6CD1">
        <w:rPr>
          <w:rFonts w:eastAsia="Aptos" w:hint="eastAsia"/>
        </w:rPr>
        <w:t> </w:t>
      </w:r>
      <w:r w:rsidRPr="000F6CD1">
        <w:rPr>
          <w:rFonts w:eastAsia="Aptos"/>
        </w:rPr>
        <w:t>ISBAR format</w:t>
      </w:r>
      <w:r w:rsidRPr="000F6CD1">
        <w:rPr>
          <w:rFonts w:eastAsia="Aptos" w:hint="eastAsia"/>
        </w:rPr>
        <w:t>—</w:t>
      </w:r>
      <w:r w:rsidRPr="000F6CD1">
        <w:rPr>
          <w:rFonts w:eastAsia="Aptos"/>
        </w:rPr>
        <w:t xml:space="preserve">Introduction, Situation, Background, Assessment, and Recommendation in </w:t>
      </w:r>
      <w:r w:rsidR="000945DB">
        <w:rPr>
          <w:rFonts w:eastAsia="Aptos"/>
        </w:rPr>
        <w:fldChar w:fldCharType="begin"/>
      </w:r>
      <w:r w:rsidR="000945DB">
        <w:rPr>
          <w:rFonts w:eastAsia="Aptos"/>
        </w:rPr>
        <w:instrText xml:space="preserve"> REF _Ref212735055 \h </w:instrText>
      </w:r>
      <w:r w:rsidR="000945DB">
        <w:rPr>
          <w:rFonts w:eastAsia="Aptos"/>
        </w:rPr>
      </w:r>
      <w:r w:rsidR="000945DB">
        <w:rPr>
          <w:rFonts w:eastAsia="Aptos"/>
        </w:rPr>
        <w:fldChar w:fldCharType="separate"/>
      </w:r>
      <w:r w:rsidR="004B171E" w:rsidRPr="000F6CD1">
        <w:t>Chapter 5: Assessment activities</w:t>
      </w:r>
      <w:r w:rsidR="000945DB">
        <w:rPr>
          <w:rFonts w:eastAsia="Aptos"/>
        </w:rPr>
        <w:fldChar w:fldCharType="end"/>
      </w:r>
      <w:r w:rsidR="000945DB">
        <w:rPr>
          <w:rFonts w:eastAsia="Aptos"/>
        </w:rPr>
        <w:t>.</w:t>
      </w:r>
    </w:p>
    <w:p w14:paraId="5314C382" w14:textId="77777777" w:rsidR="004D556D" w:rsidRPr="000F6CD1" w:rsidRDefault="004D556D" w:rsidP="00622CFF">
      <w:pPr>
        <w:spacing w:before="240" w:after="240" w:line="240" w:lineRule="auto"/>
        <w:rPr>
          <w:rFonts w:eastAsia="Aptos"/>
        </w:rPr>
      </w:pPr>
      <w:r w:rsidRPr="000F6CD1">
        <w:rPr>
          <w:rFonts w:eastAsia="Aptos"/>
        </w:rPr>
        <w:t>Particular emphasis should be placed on the</w:t>
      </w:r>
      <w:r w:rsidRPr="000F6CD1">
        <w:rPr>
          <w:rFonts w:eastAsia="Aptos" w:hint="eastAsia"/>
        </w:rPr>
        <w:t> </w:t>
      </w:r>
      <w:r w:rsidRPr="000F6CD1">
        <w:rPr>
          <w:rFonts w:eastAsia="Aptos"/>
        </w:rPr>
        <w:t>Assessment</w:t>
      </w:r>
      <w:r w:rsidRPr="000F6CD1">
        <w:rPr>
          <w:rFonts w:eastAsia="Aptos" w:hint="eastAsia"/>
        </w:rPr>
        <w:t> </w:t>
      </w:r>
      <w:r w:rsidRPr="000F6CD1">
        <w:rPr>
          <w:rFonts w:eastAsia="Aptos"/>
        </w:rPr>
        <w:t>section, as it typically forms the most substantial part of the summary. This section should comprehensively detail the findings of the assessment, providing a clear and accurate reflection of the individual’s needs and circumstances.</w:t>
      </w:r>
    </w:p>
    <w:p w14:paraId="5E9D26D2" w14:textId="77777777" w:rsidR="004D556D" w:rsidRPr="000F6CD1" w:rsidRDefault="004D556D" w:rsidP="00622CFF">
      <w:pPr>
        <w:spacing w:before="240" w:after="240" w:line="240" w:lineRule="auto"/>
        <w:rPr>
          <w:rFonts w:eastAsia="Aptos"/>
        </w:rPr>
      </w:pPr>
      <w:r w:rsidRPr="000F6CD1">
        <w:rPr>
          <w:rFonts w:eastAsia="Aptos"/>
        </w:rPr>
        <w:t xml:space="preserve">The support plan must be consistent with the information collected using the IAT and any other relevant information gathered during the assessment, such as GP health summaries. The assessment summary should clearly inform the goals, recommendations, and any areas of concern outlined in the support plan. These elements should reflect what the person is concerned about, what they hope to achieve or change, and how funded aged care services can support them in addressing their needs and aspirations. Any cultural considerations or preferences expressed by the older person during the assessment or identified through the information gathering process should also be captured within the support plan to ensure culturally appropriate services are delivered. E.g. Whether older Aboriginal and Torres Strait Islander people would like to receive services from First Nations providers. </w:t>
      </w:r>
    </w:p>
    <w:p w14:paraId="4DE722E6" w14:textId="77777777" w:rsidR="004D556D" w:rsidRPr="000F6CD1" w:rsidRDefault="004D556D" w:rsidP="00622CFF">
      <w:pPr>
        <w:spacing w:before="240" w:after="240" w:line="240" w:lineRule="auto"/>
        <w:rPr>
          <w:rFonts w:eastAsia="Aptos"/>
        </w:rPr>
      </w:pPr>
      <w:r w:rsidRPr="000F6CD1">
        <w:rPr>
          <w:rFonts w:eastAsia="Aptos"/>
        </w:rPr>
        <w:t>It is crucial that support plan recommendations are not just presented as a list of needs without context or explanation. Instead, the document should include clear elaborations on how each identified need was assessed and how this assessment informs the recommended care interventions or services.</w:t>
      </w:r>
    </w:p>
    <w:p w14:paraId="3732BEE0" w14:textId="77777777" w:rsidR="004D556D" w:rsidRPr="000F6CD1" w:rsidRDefault="004D556D" w:rsidP="00622CFF">
      <w:pPr>
        <w:spacing w:before="240" w:after="240" w:line="240" w:lineRule="auto"/>
        <w:rPr>
          <w:rFonts w:eastAsia="Aptos"/>
        </w:rPr>
      </w:pPr>
      <w:r w:rsidRPr="000F6CD1">
        <w:rPr>
          <w:rFonts w:eastAsia="Aptos"/>
        </w:rPr>
        <w:t>When reviewing a support plan, assessment delegates should consider the following questions to ensure the documentation is thorough and meaningful:</w:t>
      </w:r>
    </w:p>
    <w:p w14:paraId="30D171BD"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Why is the person having a needs assessment?</w:t>
      </w:r>
      <w:r w:rsidRPr="000F6CD1">
        <w:rPr>
          <w:rFonts w:eastAsia="Aptos" w:hint="eastAsia"/>
        </w:rPr>
        <w:t> </w:t>
      </w:r>
      <w:r w:rsidRPr="000F6CD1">
        <w:rPr>
          <w:rFonts w:eastAsia="Aptos"/>
        </w:rPr>
        <w:t xml:space="preserve">- The support plan should clearly articulate the purpose of the assessment. Look for background information that explains the circumstances leading to the referral and the rationale for undertaking the assessment. </w:t>
      </w:r>
    </w:p>
    <w:p w14:paraId="6E053BBF"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What are the older person's identified needs?</w:t>
      </w:r>
      <w:r w:rsidRPr="000F6CD1">
        <w:rPr>
          <w:rFonts w:eastAsia="Aptos" w:hint="eastAsia"/>
        </w:rPr>
        <w:t> </w:t>
      </w:r>
      <w:r w:rsidRPr="000F6CD1">
        <w:rPr>
          <w:rFonts w:eastAsia="Aptos"/>
        </w:rPr>
        <w:t>- Confirm that the support plan provides a comprehensive and evidence-based description of the older person’s needs. This should encompass physical, medical, psychological and social domains as identified through the IAT and other validated assessment tools.</w:t>
      </w:r>
    </w:p>
    <w:p w14:paraId="59D1F14A"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What types of support are required, and why?</w:t>
      </w:r>
      <w:r w:rsidRPr="000F6CD1">
        <w:rPr>
          <w:rFonts w:eastAsia="Aptos" w:hint="eastAsia"/>
        </w:rPr>
        <w:t> </w:t>
      </w:r>
      <w:r w:rsidRPr="000F6CD1">
        <w:rPr>
          <w:rFonts w:eastAsia="Aptos"/>
        </w:rPr>
        <w:t>- Ensure the support plan outlines the specific supports recommended along with a clear justification for each. These should be directly linked to the older person’s assessed needs and supported by relevant evidence.</w:t>
      </w:r>
    </w:p>
    <w:p w14:paraId="66229B17"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lastRenderedPageBreak/>
        <w:t>What barriers are limiting the older person’s independence?</w:t>
      </w:r>
      <w:r w:rsidRPr="000F6CD1">
        <w:rPr>
          <w:rFonts w:eastAsia="Aptos" w:hint="eastAsia"/>
        </w:rPr>
        <w:t> </w:t>
      </w:r>
      <w:r w:rsidRPr="000F6CD1">
        <w:rPr>
          <w:rFonts w:eastAsia="Aptos" w:hint="eastAsia"/>
        </w:rPr>
        <w:t>–</w:t>
      </w:r>
      <w:r w:rsidRPr="000F6CD1">
        <w:rPr>
          <w:rFonts w:eastAsia="Aptos"/>
        </w:rPr>
        <w:t xml:space="preserve"> Assess whether the support plan identifies any factors, such as cognitive impairment, physical limitations, or safety risks; that prevent the older person from performing tasks independently. These barriers must be clearly connected to the recommended supports and services. </w:t>
      </w:r>
    </w:p>
    <w:p w14:paraId="58A4C12F"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What are the older person's concerns and priorities?</w:t>
      </w:r>
      <w:r w:rsidRPr="000F6CD1">
        <w:rPr>
          <w:rFonts w:eastAsia="Aptos" w:hint="eastAsia"/>
        </w:rPr>
        <w:t> </w:t>
      </w:r>
      <w:r w:rsidRPr="000F6CD1">
        <w:rPr>
          <w:rFonts w:eastAsia="Aptos"/>
        </w:rPr>
        <w:t>- Ensure the support plan accurately reflects the older person’s concerns, perspectives and priorities. These may relate to safety, daily living, mobility, or social participation and should be acknowledged and addressed appropriately.</w:t>
      </w:r>
    </w:p>
    <w:p w14:paraId="4393FD45"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What goals does the older person wish to achieve with support?</w:t>
      </w:r>
      <w:r w:rsidRPr="000F6CD1">
        <w:rPr>
          <w:rFonts w:eastAsia="Aptos" w:hint="eastAsia"/>
        </w:rPr>
        <w:t> </w:t>
      </w:r>
      <w:r w:rsidRPr="000F6CD1">
        <w:rPr>
          <w:rFonts w:eastAsia="Aptos" w:hint="eastAsia"/>
        </w:rPr>
        <w:t>–</w:t>
      </w:r>
      <w:r w:rsidRPr="000F6CD1">
        <w:rPr>
          <w:rFonts w:eastAsia="Aptos"/>
        </w:rPr>
        <w:t xml:space="preserve"> Verify that the support plan includes the older person’s goals and desired outcomes. Ensure recommended supports align with these goals and demonstrate respect for the older person’s autonomy, preferences and aspirations.</w:t>
      </w:r>
    </w:p>
    <w:p w14:paraId="1F6807B3" w14:textId="77777777" w:rsidR="004D556D" w:rsidRPr="000F6CD1" w:rsidRDefault="004D556D" w:rsidP="00DF3F6B">
      <w:pPr>
        <w:numPr>
          <w:ilvl w:val="0"/>
          <w:numId w:val="276"/>
        </w:numPr>
        <w:spacing w:before="240" w:after="240" w:line="240" w:lineRule="auto"/>
        <w:contextualSpacing/>
        <w:rPr>
          <w:rFonts w:eastAsia="Aptos"/>
        </w:rPr>
      </w:pPr>
      <w:r w:rsidRPr="000F6CD1">
        <w:rPr>
          <w:rFonts w:eastAsia="Aptos"/>
          <w:b/>
        </w:rPr>
        <w:t>Are the recommended supports appropriate and proportionate?</w:t>
      </w:r>
      <w:r w:rsidRPr="000F6CD1">
        <w:rPr>
          <w:rFonts w:eastAsia="Aptos" w:hint="eastAsia"/>
        </w:rPr>
        <w:t> </w:t>
      </w:r>
      <w:r w:rsidRPr="000F6CD1">
        <w:rPr>
          <w:rFonts w:eastAsia="Aptos"/>
        </w:rPr>
        <w:t>- Evaluate whether the recommended services are reasonable, tailored to the older person’s current circumstances and likely to achieve the intended outcome.</w:t>
      </w:r>
    </w:p>
    <w:p w14:paraId="74FC2A60" w14:textId="77777777" w:rsidR="004D556D" w:rsidRPr="000F6CD1" w:rsidRDefault="004D556D" w:rsidP="00622CFF">
      <w:pPr>
        <w:spacing w:before="240" w:after="240" w:line="240" w:lineRule="auto"/>
        <w:ind w:left="720"/>
        <w:contextualSpacing/>
        <w:rPr>
          <w:rFonts w:eastAsia="Aptos"/>
        </w:rPr>
      </w:pPr>
    </w:p>
    <w:p w14:paraId="08F2A89A" w14:textId="77777777" w:rsidR="004D556D" w:rsidRPr="000F6CD1" w:rsidRDefault="004D556D" w:rsidP="00622CFF">
      <w:pPr>
        <w:spacing w:before="240" w:after="240" w:line="240" w:lineRule="auto"/>
        <w:rPr>
          <w:rFonts w:eastAsia="Aptos"/>
        </w:rPr>
      </w:pPr>
      <w:r w:rsidRPr="000F6CD1">
        <w:rPr>
          <w:rFonts w:eastAsia="Aptos"/>
        </w:rPr>
        <w:t>Once finalised, the support plan is sent to the older person, and their registered supporter/s and/or appointed decision makers as applicable, as a record of the assessment, accompanied by a Notice of Decision letter. Registered providers also use the support plan to inform the individual's care plan, therefore accuracy and clarity essential.</w:t>
      </w:r>
    </w:p>
    <w:p w14:paraId="603ADC02" w14:textId="77777777" w:rsidR="004D556D" w:rsidRPr="000F6CD1" w:rsidRDefault="004D556D">
      <w:pPr>
        <w:pStyle w:val="H4"/>
        <w:rPr>
          <w:color w:val="0F4761"/>
        </w:rPr>
      </w:pPr>
      <w:bookmarkStart w:id="705" w:name="_Toc327040788"/>
      <w:bookmarkStart w:id="706" w:name="_Toc199344534"/>
      <w:bookmarkStart w:id="707" w:name="_Toc205372064"/>
      <w:bookmarkStart w:id="708" w:name="_Toc207713969"/>
      <w:r w:rsidRPr="000F6CD1">
        <w:t>Referral information</w:t>
      </w:r>
      <w:bookmarkEnd w:id="705"/>
      <w:bookmarkEnd w:id="706"/>
      <w:bookmarkEnd w:id="707"/>
      <w:bookmarkEnd w:id="708"/>
    </w:p>
    <w:p w14:paraId="4D171E2E" w14:textId="77777777" w:rsidR="004D556D" w:rsidRPr="000F6CD1" w:rsidRDefault="004D556D" w:rsidP="00622CFF">
      <w:pPr>
        <w:spacing w:before="240" w:after="240" w:line="240" w:lineRule="auto"/>
        <w:rPr>
          <w:rFonts w:eastAsia="Aptos"/>
        </w:rPr>
      </w:pPr>
      <w:r w:rsidRPr="000F6CD1">
        <w:rPr>
          <w:rFonts w:eastAsia="Aptos"/>
        </w:rPr>
        <w:t>The support plan will contain referral codes for services that have been approved and listed in the Notice of Decision letter, except where the referral code has not yet been issued.</w:t>
      </w:r>
      <w:r w:rsidRPr="000F6CD1">
        <w:rPr>
          <w:rStyle w:val="FootnoteReference"/>
          <w:rFonts w:eastAsia="Aptos"/>
        </w:rPr>
        <w:footnoteReference w:id="7"/>
      </w:r>
      <w:r w:rsidRPr="000F6CD1">
        <w:rPr>
          <w:rFonts w:eastAsia="Aptos"/>
        </w:rPr>
        <w:t xml:space="preserve"> or used to action a referral. Referral information is a vital component of the older person’s record and typically consists of documents and notes gathered from various sources during the initial screening, triage, and assessment process.</w:t>
      </w:r>
    </w:p>
    <w:p w14:paraId="0AEDA24E" w14:textId="77777777" w:rsidR="004D556D" w:rsidRPr="000F6CD1" w:rsidRDefault="004D556D" w:rsidP="00622CFF">
      <w:pPr>
        <w:spacing w:before="240" w:after="240" w:line="240" w:lineRule="auto"/>
        <w:rPr>
          <w:rFonts w:eastAsia="Aptos"/>
        </w:rPr>
      </w:pPr>
      <w:r w:rsidRPr="000F6CD1">
        <w:rPr>
          <w:rFonts w:eastAsia="Aptos"/>
        </w:rPr>
        <w:t>In most cases, referral information will be attached to the older person’s record or documented as ‘client notes’ within the My Aged Care assessor portal.</w:t>
      </w:r>
    </w:p>
    <w:p w14:paraId="59784AC6" w14:textId="77777777" w:rsidR="004D556D" w:rsidRPr="000F6CD1" w:rsidRDefault="004D556D" w:rsidP="00622CFF">
      <w:pPr>
        <w:spacing w:before="240" w:after="240" w:line="240" w:lineRule="auto"/>
        <w:rPr>
          <w:rFonts w:eastAsia="Aptos"/>
        </w:rPr>
      </w:pPr>
      <w:r w:rsidRPr="000F6CD1">
        <w:rPr>
          <w:rFonts w:eastAsia="Aptos"/>
        </w:rPr>
        <w:t>It is essential to use referral information when making a decision, as it provides important context and justification for any recommendations made.</w:t>
      </w:r>
    </w:p>
    <w:p w14:paraId="76D96FDC" w14:textId="77777777" w:rsidR="004D556D" w:rsidRPr="000F6CD1" w:rsidRDefault="004D556D">
      <w:pPr>
        <w:pStyle w:val="H4"/>
      </w:pPr>
      <w:bookmarkStart w:id="709" w:name="_Toc1249074296"/>
      <w:bookmarkStart w:id="710" w:name="_Toc199344535"/>
      <w:bookmarkStart w:id="711" w:name="_Toc205372065"/>
      <w:bookmarkStart w:id="712" w:name="_Toc207713970"/>
      <w:r w:rsidRPr="000F6CD1">
        <w:t>Record of consent</w:t>
      </w:r>
      <w:bookmarkEnd w:id="709"/>
      <w:bookmarkEnd w:id="710"/>
      <w:bookmarkEnd w:id="711"/>
      <w:bookmarkEnd w:id="712"/>
    </w:p>
    <w:p w14:paraId="0EA53446" w14:textId="77777777" w:rsidR="004D556D" w:rsidRPr="000F6CD1" w:rsidRDefault="004D556D" w:rsidP="00622CFF">
      <w:pPr>
        <w:spacing w:before="240" w:after="240" w:line="240" w:lineRule="auto"/>
        <w:rPr>
          <w:rFonts w:eastAsia="Aptos"/>
        </w:rPr>
      </w:pPr>
      <w:r w:rsidRPr="000F6CD1">
        <w:rPr>
          <w:rFonts w:eastAsia="Aptos"/>
        </w:rPr>
        <w:t>Assessment Delegates must ensure that consent has been properly recorded in the system before making any approval decisions.</w:t>
      </w:r>
    </w:p>
    <w:p w14:paraId="72D323E3" w14:textId="77777777" w:rsidR="004D556D" w:rsidRPr="000F6CD1" w:rsidRDefault="004D556D" w:rsidP="00622CFF">
      <w:pPr>
        <w:spacing w:before="240" w:after="240" w:line="240" w:lineRule="auto"/>
        <w:rPr>
          <w:rFonts w:eastAsia="Aptos"/>
        </w:rPr>
      </w:pPr>
      <w:r w:rsidRPr="000F6CD1">
        <w:rPr>
          <w:rFonts w:eastAsia="Aptos"/>
        </w:rPr>
        <w:t>Consent is a mandatory part of the assessment process and must reflect that the older person—or their appointed decision-maker recognised under the Act—has agreed to the assessment and referral to services. This protects older person’s rights and ensures decisions are made in accordance with legislative and procedural requirements.</w:t>
      </w:r>
    </w:p>
    <w:p w14:paraId="2914C017" w14:textId="77777777" w:rsidR="004D556D" w:rsidRPr="000F6CD1" w:rsidRDefault="004D556D">
      <w:pPr>
        <w:pStyle w:val="H4"/>
        <w:rPr>
          <w:color w:val="0F4761"/>
        </w:rPr>
      </w:pPr>
      <w:bookmarkStart w:id="713" w:name="_Toc199344536"/>
      <w:bookmarkStart w:id="714" w:name="_Toc205372066"/>
      <w:bookmarkStart w:id="715" w:name="_Toc207713971"/>
      <w:r w:rsidRPr="000F6CD1">
        <w:t>Application for Care form</w:t>
      </w:r>
      <w:bookmarkEnd w:id="713"/>
      <w:bookmarkEnd w:id="714"/>
      <w:bookmarkEnd w:id="715"/>
    </w:p>
    <w:p w14:paraId="1C19F951" w14:textId="77777777" w:rsidR="004D556D" w:rsidRPr="000F6CD1" w:rsidRDefault="004D556D" w:rsidP="00622CFF">
      <w:pPr>
        <w:spacing w:before="240" w:after="240" w:line="240" w:lineRule="auto"/>
        <w:rPr>
          <w:rFonts w:eastAsia="Aptos"/>
        </w:rPr>
      </w:pPr>
      <w:r w:rsidRPr="000F6CD1">
        <w:rPr>
          <w:rFonts w:eastAsia="Aptos"/>
        </w:rPr>
        <w:t xml:space="preserve">Older people seeking access to funded aged care services will not be required to complete an Application for Care Form. The act of applying for access to services will commence </w:t>
      </w:r>
      <w:r w:rsidRPr="000F6CD1">
        <w:rPr>
          <w:rFonts w:eastAsia="Aptos"/>
        </w:rPr>
        <w:lastRenderedPageBreak/>
        <w:t>through one of the existing registration pathways (i.</w:t>
      </w:r>
      <w:r w:rsidRPr="000F6CD1" w:rsidDel="004543A1">
        <w:rPr>
          <w:rFonts w:eastAsia="Aptos"/>
        </w:rPr>
        <w:t>e.</w:t>
      </w:r>
      <w:r w:rsidRPr="000F6CD1">
        <w:rPr>
          <w:rFonts w:eastAsia="Aptos"/>
        </w:rPr>
        <w:t xml:space="preserve"> the My Aged Care contact centre or Aged Care Specialist Officers). </w:t>
      </w:r>
    </w:p>
    <w:p w14:paraId="2B7E4C6D" w14:textId="77777777" w:rsidR="004D556D" w:rsidRPr="000F6CD1" w:rsidRDefault="004D556D" w:rsidP="00622CFF">
      <w:pPr>
        <w:spacing w:before="240" w:after="240" w:line="240" w:lineRule="auto"/>
        <w:rPr>
          <w:rFonts w:eastAsia="Aptos"/>
        </w:rPr>
      </w:pPr>
      <w:r w:rsidRPr="000F6CD1">
        <w:rPr>
          <w:rFonts w:eastAsia="Aptos"/>
        </w:rPr>
        <w:t xml:space="preserve">However, older people seeking access to residential care and emergency respite care will be required to complete an </w:t>
      </w:r>
      <w:hyperlink r:id="rId244" w:history="1">
        <w:r w:rsidRPr="000F6CD1">
          <w:rPr>
            <w:rStyle w:val="Hyperlink"/>
            <w:rFonts w:eastAsia="Aptos"/>
            <w:i/>
            <w:iCs/>
          </w:rPr>
          <w:t>Emergency Residential Care - Application for Care Form</w:t>
        </w:r>
      </w:hyperlink>
      <w:r w:rsidRPr="000F6CD1">
        <w:rPr>
          <w:rFonts w:eastAsia="Aptos"/>
        </w:rPr>
        <w:t xml:space="preserve">. This form is used by providers and must be completed and uploaded to the older person’s My Aged Care Record, to confirm when they commenced receiving services. </w:t>
      </w:r>
    </w:p>
    <w:p w14:paraId="2746CDB0" w14:textId="77777777" w:rsidR="004D556D" w:rsidRPr="000F6CD1" w:rsidRDefault="004D556D" w:rsidP="00622CFF">
      <w:pPr>
        <w:spacing w:before="240" w:after="240" w:line="240" w:lineRule="auto"/>
        <w:rPr>
          <w:rFonts w:eastAsia="Aptos"/>
        </w:rPr>
      </w:pPr>
      <w:r w:rsidRPr="000F6CD1">
        <w:rPr>
          <w:rFonts w:eastAsia="Aptos"/>
        </w:rPr>
        <w:t xml:space="preserve">Triage Delegates must review the form for completeness and be satisfied that the requirements under s58 are met. The Assessment Delegate is responsible for reviewing and approving the application form. </w:t>
      </w:r>
    </w:p>
    <w:p w14:paraId="624D957A" w14:textId="77777777" w:rsidR="004D556D" w:rsidRPr="000F6CD1" w:rsidRDefault="004D556D" w:rsidP="00622CFF">
      <w:pPr>
        <w:spacing w:before="240" w:after="240" w:line="240" w:lineRule="auto"/>
        <w:rPr>
          <w:rFonts w:eastAsia="Aptos"/>
          <w:i/>
        </w:rPr>
      </w:pPr>
      <w:r w:rsidRPr="000F6CD1">
        <w:rPr>
          <w:rFonts w:eastAsia="Aptos"/>
        </w:rPr>
        <w:t xml:space="preserve">See the section titled </w:t>
      </w:r>
      <w:r w:rsidRPr="000F6CD1">
        <w:rPr>
          <w:rFonts w:eastAsia="Aptos"/>
          <w:i/>
        </w:rPr>
        <w:t>Further guidance Application process for people who have received aged care services but not yet applied for an assessment under My Aged Care</w:t>
      </w:r>
      <w:r w:rsidRPr="000F6CD1">
        <w:rPr>
          <w:rFonts w:eastAsia="Aptos"/>
        </w:rPr>
        <w:t xml:space="preserve"> at the end of this chapter for more information</w:t>
      </w:r>
      <w:r w:rsidRPr="000F6CD1">
        <w:rPr>
          <w:rFonts w:eastAsia="Aptos"/>
          <w:i/>
          <w:iCs/>
        </w:rPr>
        <w:t>.</w:t>
      </w:r>
    </w:p>
    <w:p w14:paraId="556C6088" w14:textId="77777777" w:rsidR="004D556D" w:rsidRPr="000F6CD1" w:rsidRDefault="004D556D">
      <w:pPr>
        <w:pStyle w:val="H4"/>
        <w:rPr>
          <w:color w:val="0F4761"/>
        </w:rPr>
      </w:pPr>
      <w:bookmarkStart w:id="716" w:name="_Toc1118874775"/>
      <w:bookmarkStart w:id="717" w:name="_Toc199344537"/>
      <w:bookmarkStart w:id="718" w:name="_Toc205372067"/>
      <w:bookmarkStart w:id="719" w:name="_Toc207713972"/>
      <w:r w:rsidRPr="000F6CD1">
        <w:t>Integrated Assessment Tool (IAT) and Validated Assessment Tools</w:t>
      </w:r>
      <w:bookmarkEnd w:id="716"/>
      <w:bookmarkEnd w:id="717"/>
      <w:bookmarkEnd w:id="718"/>
      <w:bookmarkEnd w:id="719"/>
      <w:r w:rsidRPr="000F6CD1">
        <w:t xml:space="preserve"> (VaTs)</w:t>
      </w:r>
    </w:p>
    <w:p w14:paraId="39C01ADF" w14:textId="77777777" w:rsidR="004D556D" w:rsidRPr="000F6CD1" w:rsidRDefault="004D556D" w:rsidP="00622CFF">
      <w:pPr>
        <w:spacing w:before="240" w:after="240" w:line="240" w:lineRule="auto"/>
        <w:rPr>
          <w:rFonts w:eastAsia="Aptos"/>
        </w:rPr>
      </w:pPr>
      <w:r w:rsidRPr="000F6CD1">
        <w:rPr>
          <w:rFonts w:eastAsia="Aptos"/>
        </w:rPr>
        <w:t>The</w:t>
      </w:r>
      <w:r w:rsidRPr="000F6CD1">
        <w:rPr>
          <w:rFonts w:eastAsia="Aptos" w:hint="eastAsia"/>
        </w:rPr>
        <w:t> </w:t>
      </w:r>
      <w:r w:rsidRPr="000F6CD1">
        <w:rPr>
          <w:rFonts w:eastAsia="Aptos"/>
          <w:bCs/>
        </w:rPr>
        <w:t>IAT</w:t>
      </w:r>
      <w:r w:rsidRPr="000F6CD1">
        <w:rPr>
          <w:rFonts w:eastAsia="Aptos" w:hint="eastAsia"/>
          <w:bCs/>
        </w:rPr>
        <w:t> </w:t>
      </w:r>
      <w:r w:rsidRPr="000F6CD1">
        <w:rPr>
          <w:rFonts w:eastAsia="Aptos"/>
          <w:bCs/>
        </w:rPr>
        <w:t>and</w:t>
      </w:r>
      <w:r w:rsidRPr="000F6CD1">
        <w:rPr>
          <w:rFonts w:eastAsia="Aptos"/>
        </w:rPr>
        <w:t xml:space="preserve"> its VATs is the prescribed tool that assessors must use under s62-5 of the Rules. The IAT is essential for capturing a comprehensive profile of an older person’s needs, ensuring accuracy and consistency in decision-making. The IAT consolidates key information about an older person’s needs across a number of domains, providing a holistic view of their health and circumstances. Additionally, embedded validated tools assess abilities and capacity, forming a solid evidence base for determining care needs.</w:t>
      </w:r>
    </w:p>
    <w:p w14:paraId="19D3B235" w14:textId="77777777" w:rsidR="004D556D" w:rsidRPr="000F6CD1" w:rsidRDefault="004D556D" w:rsidP="00622CFF">
      <w:pPr>
        <w:spacing w:before="240" w:after="240" w:line="240" w:lineRule="auto"/>
        <w:rPr>
          <w:rFonts w:eastAsia="Aptos"/>
        </w:rPr>
      </w:pPr>
      <w:r w:rsidRPr="000F6CD1">
        <w:rPr>
          <w:rFonts w:eastAsia="Aptos"/>
        </w:rPr>
        <w:t>Assessment</w:t>
      </w:r>
      <w:r w:rsidRPr="000F6CD1" w:rsidDel="003E4256">
        <w:rPr>
          <w:rFonts w:eastAsia="Aptos"/>
        </w:rPr>
        <w:t xml:space="preserve"> </w:t>
      </w:r>
      <w:r w:rsidRPr="000F6CD1">
        <w:rPr>
          <w:rFonts w:eastAsia="Aptos"/>
        </w:rPr>
        <w:t>delegates must evaluate the information captured in these tools to determine an older person’s eligibility for aged care services. This means cross-referencing the assessor’s recommendations with the data recorded in the IAT to ensure the decision aligns with the</w:t>
      </w:r>
      <w:r w:rsidRPr="000F6CD1">
        <w:rPr>
          <w:rFonts w:eastAsia="Aptos" w:hint="eastAsia"/>
        </w:rPr>
        <w:t> </w:t>
      </w:r>
      <w:r w:rsidRPr="000F6CD1">
        <w:rPr>
          <w:rFonts w:eastAsia="Aptos"/>
          <w:bCs/>
        </w:rPr>
        <w:t>support plan</w:t>
      </w:r>
      <w:r w:rsidRPr="000F6CD1">
        <w:rPr>
          <w:rFonts w:eastAsia="Aptos" w:hint="eastAsia"/>
        </w:rPr>
        <w:t> </w:t>
      </w:r>
      <w:r w:rsidRPr="000F6CD1">
        <w:rPr>
          <w:rFonts w:eastAsia="Aptos"/>
        </w:rPr>
        <w:t>and matches the level and type of care identified during the assessment process.</w:t>
      </w:r>
    </w:p>
    <w:p w14:paraId="696862E2" w14:textId="7D24A3DD" w:rsidR="004D556D" w:rsidRPr="000F6CD1" w:rsidRDefault="004D556D" w:rsidP="00622CFF">
      <w:pPr>
        <w:spacing w:before="240" w:after="240" w:line="240" w:lineRule="auto"/>
        <w:rPr>
          <w:rFonts w:eastAsia="Aptos"/>
        </w:rPr>
      </w:pPr>
      <w:r w:rsidRPr="000F6CD1">
        <w:rPr>
          <w:rFonts w:eastAsia="Aptos"/>
        </w:rPr>
        <w:t>If assessors choose to use any additional VATs beyond the IAT, assessment delegates must ensure they are uploaded as attachments to the ‘client record</w:t>
      </w:r>
      <w:r w:rsidR="00402E21" w:rsidRPr="000F6CD1">
        <w:rPr>
          <w:rFonts w:eastAsia="Aptos"/>
        </w:rPr>
        <w:t>.’</w:t>
      </w:r>
      <w:r w:rsidRPr="000F6CD1">
        <w:rPr>
          <w:rFonts w:eastAsia="Aptos" w:hint="eastAsia"/>
        </w:rPr>
        <w:t> </w:t>
      </w:r>
      <w:r w:rsidRPr="000F6CD1">
        <w:rPr>
          <w:rFonts w:eastAsia="Aptos"/>
        </w:rPr>
        <w:t>This is essential for maintaining complete documentation.</w:t>
      </w:r>
    </w:p>
    <w:p w14:paraId="64A66AD1" w14:textId="77777777" w:rsidR="004D556D" w:rsidRPr="000F6CD1" w:rsidRDefault="004D556D">
      <w:pPr>
        <w:pStyle w:val="H4"/>
        <w:rPr>
          <w:color w:val="0F4761"/>
        </w:rPr>
      </w:pPr>
      <w:bookmarkStart w:id="720" w:name="_Toc159579833"/>
      <w:bookmarkStart w:id="721" w:name="_Toc199344538"/>
      <w:bookmarkStart w:id="722" w:name="_Toc205372068"/>
      <w:bookmarkStart w:id="723" w:name="_Toc207713973"/>
      <w:r w:rsidRPr="000F6CD1">
        <w:t>Additional evidence</w:t>
      </w:r>
      <w:bookmarkEnd w:id="720"/>
      <w:bookmarkEnd w:id="721"/>
      <w:bookmarkEnd w:id="722"/>
      <w:bookmarkEnd w:id="723"/>
    </w:p>
    <w:p w14:paraId="5F5CB149" w14:textId="77777777" w:rsidR="004D556D" w:rsidRPr="000F6CD1" w:rsidRDefault="004D556D" w:rsidP="00622CFF">
      <w:pPr>
        <w:spacing w:before="240" w:after="240" w:line="240" w:lineRule="auto"/>
        <w:rPr>
          <w:rFonts w:eastAsia="Aptos"/>
        </w:rPr>
      </w:pPr>
      <w:r w:rsidRPr="000F6CD1">
        <w:rPr>
          <w:rFonts w:eastAsia="Aptos"/>
        </w:rPr>
        <w:t>Assessment evidence can come from a range of sources, including letters or emails</w:t>
      </w:r>
      <w:r w:rsidRPr="000F6CD1">
        <w:rPr>
          <w:rFonts w:eastAsia="Aptos" w:hint="eastAsia"/>
          <w:b/>
        </w:rPr>
        <w:t> </w:t>
      </w:r>
      <w:r w:rsidRPr="000F6CD1">
        <w:rPr>
          <w:rFonts w:eastAsia="Aptos"/>
        </w:rPr>
        <w:t>from health professionals such as geriatricians, GPs, or social workers. Additional useful documents might include written information from family or friends, GP medical summaries, completed AT-HM tier guide, hospital discharge summaries, and correspondence from current service providers, Care Finders, Elder Care Support workers, government or non-government agencies, or others involved in the older person’s care. These documents offer</w:t>
      </w:r>
      <w:r w:rsidRPr="000F6CD1">
        <w:rPr>
          <w:rFonts w:eastAsia="Aptos" w:hint="eastAsia"/>
        </w:rPr>
        <w:t> </w:t>
      </w:r>
      <w:r w:rsidRPr="000F6CD1">
        <w:rPr>
          <w:rFonts w:eastAsia="Aptos"/>
          <w:bCs/>
        </w:rPr>
        <w:t>valuable insights</w:t>
      </w:r>
      <w:r w:rsidRPr="000F6CD1">
        <w:rPr>
          <w:rFonts w:eastAsia="Aptos" w:hint="eastAsia"/>
        </w:rPr>
        <w:t> </w:t>
      </w:r>
      <w:r w:rsidRPr="000F6CD1">
        <w:rPr>
          <w:rFonts w:eastAsia="Aptos"/>
        </w:rPr>
        <w:t>into the older person’s needs and may help identify the type and urgency of required care and support.</w:t>
      </w:r>
    </w:p>
    <w:p w14:paraId="020A23CD" w14:textId="77777777" w:rsidR="00AB1DAA" w:rsidRDefault="004D556D" w:rsidP="00622CFF">
      <w:pPr>
        <w:spacing w:before="240" w:after="240" w:line="240" w:lineRule="auto"/>
        <w:rPr>
          <w:rFonts w:eastAsia="Aptos"/>
        </w:rPr>
      </w:pPr>
      <w:r w:rsidRPr="000F6CD1">
        <w:rPr>
          <w:rFonts w:eastAsia="Aptos"/>
        </w:rPr>
        <w:t>Assessment organisations may also hold regular delegation meetings to review assessed individuals and ensure a</w:t>
      </w:r>
      <w:r w:rsidRPr="000F6CD1">
        <w:rPr>
          <w:rFonts w:eastAsia="Aptos" w:hint="eastAsia"/>
        </w:rPr>
        <w:t> </w:t>
      </w:r>
      <w:r w:rsidRPr="000F6CD1">
        <w:rPr>
          <w:rFonts w:eastAsia="Aptos"/>
          <w:bCs/>
        </w:rPr>
        <w:t>multidisciplinary approach</w:t>
      </w:r>
      <w:r w:rsidRPr="000F6CD1">
        <w:rPr>
          <w:rFonts w:eastAsia="Aptos" w:hint="eastAsia"/>
        </w:rPr>
        <w:t> </w:t>
      </w:r>
      <w:r w:rsidRPr="000F6CD1">
        <w:rPr>
          <w:rFonts w:eastAsia="Aptos"/>
        </w:rPr>
        <w:t>has been applied. These meetings help guide assessors in making well-informed recommendations before support plan submission and support</w:t>
      </w:r>
      <w:r w:rsidRPr="000F6CD1" w:rsidDel="003125FB">
        <w:rPr>
          <w:rFonts w:eastAsia="Aptos"/>
        </w:rPr>
        <w:t xml:space="preserve"> </w:t>
      </w:r>
      <w:r w:rsidRPr="000F6CD1">
        <w:rPr>
          <w:rFonts w:eastAsia="Aptos"/>
        </w:rPr>
        <w:t>assessment delegates, in fully understanding an individual’s aged care needs, enabling accurate and informed decision-making.</w:t>
      </w:r>
    </w:p>
    <w:p w14:paraId="0B4BAA3F" w14:textId="15D19C9F" w:rsidR="004D556D" w:rsidRPr="000F6CD1" w:rsidRDefault="00AB1DAA" w:rsidP="00AB1DAA">
      <w:pPr>
        <w:rPr>
          <w:rFonts w:eastAsia="Aptos"/>
        </w:rPr>
      </w:pPr>
      <w:r>
        <w:rPr>
          <w:rFonts w:eastAsia="Aptos"/>
        </w:rPr>
        <w:br w:type="page"/>
      </w:r>
    </w:p>
    <w:p w14:paraId="5A0C20A0" w14:textId="77777777" w:rsidR="004D556D" w:rsidRPr="000F6CD1" w:rsidRDefault="004D556D" w:rsidP="00806A21">
      <w:pPr>
        <w:pStyle w:val="Sub-headings"/>
      </w:pPr>
      <w:r w:rsidRPr="000F6CD1">
        <w:lastRenderedPageBreak/>
        <w:t>Note:</w:t>
      </w:r>
    </w:p>
    <w:p w14:paraId="1E4C79F7" w14:textId="77777777" w:rsidR="004D556D" w:rsidRPr="000F6CD1" w:rsidRDefault="004D556D" w:rsidP="00806A21">
      <w:pPr>
        <w:pStyle w:val="Sub-headings"/>
        <w:rPr>
          <w:rFonts w:ascii="Aptos" w:hAnsi="Aptos"/>
        </w:rPr>
      </w:pPr>
      <w:r w:rsidRPr="000F6CD1">
        <w:t>If Assessment Delegates have any concerns about the quality or completeness of the evidence provided, it is important they discuss these with the assessor before proceeding with approvals. Assessment Delegates may also involve a manager or team leader in this discussion, if necessary, to ensure that all aspects of the assessment are properly addressed.</w:t>
      </w:r>
    </w:p>
    <w:p w14:paraId="76EFA90E" w14:textId="77777777" w:rsidR="004D556D" w:rsidRPr="000F6CD1" w:rsidRDefault="004D556D" w:rsidP="00622CFF">
      <w:pPr>
        <w:spacing w:before="240" w:after="240" w:line="240" w:lineRule="auto"/>
      </w:pPr>
    </w:p>
    <w:p w14:paraId="6335845B" w14:textId="77777777" w:rsidR="004D556D" w:rsidRPr="000F6CD1" w:rsidRDefault="004D556D" w:rsidP="006647CE">
      <w:pPr>
        <w:pStyle w:val="h2"/>
      </w:pPr>
      <w:bookmarkStart w:id="724" w:name="_Toc209189025"/>
      <w:bookmarkStart w:id="725" w:name="_Toc233282482"/>
      <w:r w:rsidRPr="000F6CD1">
        <w:t>Approving home support</w:t>
      </w:r>
      <w:bookmarkEnd w:id="724"/>
      <w:bookmarkEnd w:id="725"/>
    </w:p>
    <w:p w14:paraId="17238415" w14:textId="77777777" w:rsidR="004D556D" w:rsidRPr="000F6CD1" w:rsidRDefault="004D556D" w:rsidP="00AD2CE5">
      <w:pPr>
        <w:pStyle w:val="H3"/>
      </w:pPr>
      <w:bookmarkStart w:id="726" w:name="_Toc198787165"/>
      <w:bookmarkStart w:id="727" w:name="_Toc2917926"/>
      <w:bookmarkStart w:id="728" w:name="_Toc199344543"/>
      <w:bookmarkStart w:id="729" w:name="_Toc205372073"/>
      <w:bookmarkStart w:id="730" w:name="_Toc207713978"/>
      <w:r w:rsidRPr="000F6CD1">
        <w:t>Step 1. Decide if the older person is eligible for home support</w:t>
      </w:r>
      <w:bookmarkEnd w:id="726"/>
      <w:bookmarkEnd w:id="727"/>
      <w:bookmarkEnd w:id="728"/>
      <w:bookmarkEnd w:id="729"/>
      <w:bookmarkEnd w:id="730"/>
    </w:p>
    <w:p w14:paraId="488ED81E" w14:textId="77BCEAC0" w:rsidR="004D556D" w:rsidRPr="000F6CD1" w:rsidRDefault="004D556D" w:rsidP="00461569">
      <w:pPr>
        <w:rPr>
          <w:rFonts w:eastAsia="Arial"/>
          <w:szCs w:val="22"/>
        </w:rPr>
      </w:pPr>
      <w:r w:rsidRPr="000F6CD1">
        <w:rPr>
          <w:rFonts w:eastAsia="Arial"/>
          <w:szCs w:val="22"/>
        </w:rPr>
        <w:t xml:space="preserve">Before approving a recommendation for the home support service group, the Assessment Delegate first needs to decide if an older person requires and is eligible to access this service group. </w:t>
      </w:r>
      <w:r w:rsidR="009F6889">
        <w:rPr>
          <w:rFonts w:eastAsia="Arial"/>
          <w:szCs w:val="22"/>
        </w:rPr>
        <w:t>Please refer to section</w:t>
      </w:r>
      <w:r w:rsidR="00AD5170">
        <w:rPr>
          <w:rFonts w:eastAsia="Arial"/>
          <w:szCs w:val="22"/>
        </w:rPr>
        <w:t xml:space="preserve"> 7.6.1</w:t>
      </w:r>
      <w:r w:rsidR="009F6889">
        <w:rPr>
          <w:rFonts w:eastAsia="Arial"/>
          <w:szCs w:val="22"/>
        </w:rPr>
        <w:t xml:space="preserve"> </w:t>
      </w:r>
      <w:r w:rsidR="00BE6170">
        <w:rPr>
          <w:rFonts w:eastAsia="Arial"/>
          <w:szCs w:val="22"/>
        </w:rPr>
        <w:fldChar w:fldCharType="begin"/>
      </w:r>
      <w:r w:rsidR="00BE6170">
        <w:rPr>
          <w:rFonts w:eastAsia="Arial"/>
          <w:szCs w:val="22"/>
        </w:rPr>
        <w:instrText xml:space="preserve"> REF _Ref233220267 \h </w:instrText>
      </w:r>
      <w:r w:rsidR="00BE6170">
        <w:rPr>
          <w:rFonts w:eastAsia="Arial"/>
          <w:szCs w:val="22"/>
        </w:rPr>
      </w:r>
      <w:r w:rsidR="00BE6170">
        <w:rPr>
          <w:rFonts w:eastAsia="Arial"/>
          <w:szCs w:val="22"/>
        </w:rPr>
        <w:fldChar w:fldCharType="separate"/>
      </w:r>
      <w:r w:rsidR="004B171E" w:rsidRPr="000F6CD1" w:rsidDel="0094614C">
        <w:t>Deciding if the older person requires aged care services</w:t>
      </w:r>
      <w:r w:rsidR="00BE6170">
        <w:rPr>
          <w:rFonts w:eastAsia="Arial"/>
          <w:szCs w:val="22"/>
        </w:rPr>
        <w:fldChar w:fldCharType="end"/>
      </w:r>
      <w:r w:rsidR="00AD5170">
        <w:rPr>
          <w:rFonts w:eastAsia="Arial"/>
          <w:szCs w:val="22"/>
        </w:rPr>
        <w:t xml:space="preserve"> and section 7.6.3 </w:t>
      </w:r>
      <w:r w:rsidR="005B4E2E">
        <w:rPr>
          <w:rFonts w:eastAsia="Arial"/>
          <w:szCs w:val="22"/>
        </w:rPr>
        <w:fldChar w:fldCharType="begin"/>
      </w:r>
      <w:r w:rsidR="005B4E2E">
        <w:rPr>
          <w:rFonts w:eastAsia="Arial"/>
          <w:szCs w:val="22"/>
        </w:rPr>
        <w:instrText xml:space="preserve"> REF _Ref212739235 \h </w:instrText>
      </w:r>
      <w:r w:rsidR="005B4E2E">
        <w:rPr>
          <w:rFonts w:eastAsia="Arial"/>
          <w:szCs w:val="22"/>
        </w:rPr>
      </w:r>
      <w:r w:rsidR="005B4E2E">
        <w:rPr>
          <w:rFonts w:eastAsia="Arial"/>
          <w:szCs w:val="22"/>
        </w:rPr>
        <w:fldChar w:fldCharType="separate"/>
      </w:r>
      <w:r w:rsidR="004B171E" w:rsidRPr="000F6CD1">
        <w:t>Section 67 – a person who has an impairment or sickness</w:t>
      </w:r>
      <w:r w:rsidR="005B4E2E">
        <w:rPr>
          <w:rFonts w:eastAsia="Arial"/>
          <w:szCs w:val="22"/>
        </w:rPr>
        <w:fldChar w:fldCharType="end"/>
      </w:r>
      <w:r w:rsidR="005B4E2E">
        <w:rPr>
          <w:rFonts w:eastAsia="Arial"/>
          <w:szCs w:val="22"/>
        </w:rPr>
        <w:t xml:space="preserve">. </w:t>
      </w:r>
    </w:p>
    <w:p w14:paraId="2B05E379" w14:textId="4BD6A889" w:rsidR="004D556D" w:rsidRPr="000F6CD1" w:rsidRDefault="004D556D" w:rsidP="00461569">
      <w:pPr>
        <w:rPr>
          <w:rFonts w:eastAsia="Arial"/>
          <w:szCs w:val="22"/>
        </w:rPr>
      </w:pPr>
      <w:r w:rsidRPr="000F6CD1">
        <w:rPr>
          <w:rFonts w:eastAsia="Arial"/>
          <w:szCs w:val="22"/>
        </w:rPr>
        <w:t xml:space="preserve">During the assessment, once the IAT is finalised, the </w:t>
      </w:r>
      <w:r w:rsidR="00386B7E">
        <w:rPr>
          <w:rFonts w:eastAsia="Arial"/>
          <w:szCs w:val="22"/>
        </w:rPr>
        <w:t>IAT Outcome</w:t>
      </w:r>
      <w:r w:rsidRPr="000F6CD1">
        <w:rPr>
          <w:rFonts w:eastAsia="Arial"/>
          <w:szCs w:val="22"/>
        </w:rPr>
        <w:t xml:space="preserve"> will generate a recommendation for the older person to receive ongoing home support through the Commonwealth Home Support Program (CHSP) or Support at Home (SaH). It may also recommend ‘ineligible for CHSP/SaH</w:t>
      </w:r>
      <w:r w:rsidR="004E6199" w:rsidRPr="000F6CD1">
        <w:rPr>
          <w:rFonts w:eastAsia="Arial"/>
          <w:szCs w:val="22"/>
        </w:rPr>
        <w:t>.’</w:t>
      </w:r>
      <w:r w:rsidRPr="000F6CD1">
        <w:rPr>
          <w:rFonts w:eastAsia="Arial"/>
          <w:szCs w:val="22"/>
        </w:rPr>
        <w:t xml:space="preserve"> As such, the </w:t>
      </w:r>
      <w:r w:rsidR="00386B7E">
        <w:rPr>
          <w:rFonts w:eastAsia="Arial"/>
          <w:szCs w:val="22"/>
        </w:rPr>
        <w:t>IAT Outcome</w:t>
      </w:r>
      <w:r w:rsidRPr="000F6CD1">
        <w:rPr>
          <w:rFonts w:eastAsia="Arial"/>
          <w:szCs w:val="22"/>
        </w:rPr>
        <w:t xml:space="preserve"> will guide the Assessment Delegate to determine whether the older person is eligible for ongoing home support through CHSP or Support at Home. </w:t>
      </w:r>
    </w:p>
    <w:p w14:paraId="1BF45401" w14:textId="7686C1D8" w:rsidR="004D556D" w:rsidRPr="000F6CD1" w:rsidRDefault="004D556D" w:rsidP="00806A21">
      <w:pPr>
        <w:pStyle w:val="Sub-headings"/>
      </w:pPr>
      <w:r w:rsidRPr="000F6CD1">
        <w:t xml:space="preserve">Note: An </w:t>
      </w:r>
      <w:r w:rsidR="00386B7E">
        <w:t>IAT Outcome</w:t>
      </w:r>
      <w:r w:rsidRPr="000F6CD1">
        <w:t xml:space="preserve"> of ‘ineligible for CHSP/SaH’ means that the older person has not met the minimum threshold to receive ongoing home support through CHSP or Support at Home. </w:t>
      </w:r>
    </w:p>
    <w:p w14:paraId="074762F0" w14:textId="2FBA3C74" w:rsidR="004D556D" w:rsidRPr="000F6CD1" w:rsidRDefault="004D556D" w:rsidP="00AD2CE5">
      <w:pPr>
        <w:pStyle w:val="H3"/>
      </w:pPr>
      <w:r w:rsidRPr="000F6CD1">
        <w:t xml:space="preserve">Step 2. </w:t>
      </w:r>
      <w:r w:rsidRPr="000F6CD1" w:rsidDel="00B85AB8">
        <w:t xml:space="preserve">Decide </w:t>
      </w:r>
      <w:r w:rsidRPr="000F6CD1">
        <w:t xml:space="preserve">the classification type and level </w:t>
      </w:r>
    </w:p>
    <w:p w14:paraId="58AB49FB" w14:textId="3F8D41ED" w:rsidR="004D556D" w:rsidRPr="000F6CD1" w:rsidRDefault="004D556D" w:rsidP="00DA5E7F">
      <w:pPr>
        <w:spacing w:before="240" w:after="240" w:line="240" w:lineRule="auto"/>
        <w:rPr>
          <w:rFonts w:eastAsia="Arial"/>
          <w:szCs w:val="22"/>
        </w:rPr>
      </w:pPr>
      <w:r w:rsidRPr="000F6CD1">
        <w:rPr>
          <w:rFonts w:eastAsia="Arial"/>
          <w:szCs w:val="22"/>
        </w:rPr>
        <w:t xml:space="preserve">The </w:t>
      </w:r>
      <w:r w:rsidR="00386B7E">
        <w:rPr>
          <w:rFonts w:eastAsia="Arial"/>
          <w:szCs w:val="22"/>
        </w:rPr>
        <w:t>IAT Outcome</w:t>
      </w:r>
      <w:r w:rsidRPr="000F6CD1">
        <w:rPr>
          <w:rFonts w:eastAsia="Arial"/>
          <w:szCs w:val="22"/>
        </w:rPr>
        <w:t xml:space="preserve"> includes a service group (care type), classification type (duration) and classification level (funding). For example, a person who has been assessed as needing access to ongoing home support services under Support at Home, the approval will be the following: </w:t>
      </w:r>
    </w:p>
    <w:p w14:paraId="3E42163F" w14:textId="0F6F1CD5" w:rsidR="004D556D" w:rsidRPr="000F6CD1" w:rsidRDefault="004D556D" w:rsidP="00DF3F6B">
      <w:pPr>
        <w:numPr>
          <w:ilvl w:val="0"/>
          <w:numId w:val="267"/>
        </w:numPr>
        <w:spacing w:before="240" w:after="240" w:line="240" w:lineRule="auto"/>
        <w:rPr>
          <w:rFonts w:eastAsia="Arial"/>
          <w:szCs w:val="22"/>
        </w:rPr>
      </w:pPr>
      <w:r w:rsidRPr="000F6CD1">
        <w:rPr>
          <w:rFonts w:eastAsia="Arial"/>
          <w:b/>
          <w:bCs/>
          <w:szCs w:val="22"/>
        </w:rPr>
        <w:t>Service group:</w:t>
      </w:r>
      <w:r w:rsidRPr="000F6CD1">
        <w:rPr>
          <w:rFonts w:eastAsia="Arial"/>
          <w:szCs w:val="22"/>
        </w:rPr>
        <w:t xml:space="preserve"> Home support </w:t>
      </w:r>
    </w:p>
    <w:p w14:paraId="085C5697" w14:textId="44083BFA" w:rsidR="004D556D" w:rsidRPr="000F6CD1" w:rsidRDefault="004D556D" w:rsidP="00DF3F6B">
      <w:pPr>
        <w:numPr>
          <w:ilvl w:val="0"/>
          <w:numId w:val="268"/>
        </w:numPr>
        <w:spacing w:before="240" w:after="240" w:line="240" w:lineRule="auto"/>
        <w:rPr>
          <w:rFonts w:eastAsia="Arial"/>
          <w:szCs w:val="22"/>
        </w:rPr>
      </w:pPr>
      <w:r w:rsidRPr="000F6CD1">
        <w:rPr>
          <w:rFonts w:eastAsia="Arial"/>
          <w:b/>
          <w:bCs/>
          <w:szCs w:val="22"/>
        </w:rPr>
        <w:t>Classification type:</w:t>
      </w:r>
      <w:r w:rsidRPr="000F6CD1">
        <w:rPr>
          <w:rFonts w:eastAsia="Arial"/>
          <w:szCs w:val="22"/>
        </w:rPr>
        <w:t xml:space="preserve"> Ongoing </w:t>
      </w:r>
    </w:p>
    <w:p w14:paraId="5972A151" w14:textId="7DB5D355" w:rsidR="004D556D" w:rsidRPr="000F6CD1" w:rsidRDefault="004D556D" w:rsidP="00DF3F6B">
      <w:pPr>
        <w:numPr>
          <w:ilvl w:val="0"/>
          <w:numId w:val="269"/>
        </w:numPr>
        <w:spacing w:before="240" w:after="240" w:line="240" w:lineRule="auto"/>
        <w:rPr>
          <w:rFonts w:eastAsia="Arial"/>
          <w:szCs w:val="22"/>
        </w:rPr>
      </w:pPr>
      <w:r w:rsidRPr="000F6CD1">
        <w:rPr>
          <w:rFonts w:eastAsia="Arial"/>
          <w:b/>
          <w:bCs/>
          <w:szCs w:val="22"/>
        </w:rPr>
        <w:t>Classification level:</w:t>
      </w:r>
      <w:r w:rsidRPr="000F6CD1">
        <w:rPr>
          <w:rFonts w:eastAsia="Arial"/>
          <w:szCs w:val="22"/>
        </w:rPr>
        <w:t xml:space="preserve"> SAH class (1 to 8) </w:t>
      </w:r>
    </w:p>
    <w:p w14:paraId="1DA37EB0" w14:textId="2713A99C" w:rsidR="004D556D" w:rsidRPr="000F6CD1" w:rsidRDefault="004D556D" w:rsidP="00DA5E7F">
      <w:pPr>
        <w:spacing w:before="240" w:after="240" w:line="240" w:lineRule="auto"/>
        <w:rPr>
          <w:rFonts w:eastAsia="Arial"/>
          <w:szCs w:val="22"/>
        </w:rPr>
      </w:pPr>
      <w:r w:rsidRPr="000F6CD1">
        <w:rPr>
          <w:rFonts w:eastAsia="Arial"/>
          <w:szCs w:val="22"/>
        </w:rPr>
        <w:t xml:space="preserve">Section 81-10 of the </w:t>
      </w:r>
      <w:r w:rsidRPr="000F6CD1">
        <w:rPr>
          <w:rFonts w:eastAsia="Arial"/>
          <w:i/>
          <w:iCs/>
          <w:szCs w:val="22"/>
        </w:rPr>
        <w:t>Aged Care Rules 2025</w:t>
      </w:r>
      <w:r w:rsidRPr="000F6CD1">
        <w:rPr>
          <w:rFonts w:eastAsia="Arial"/>
          <w:szCs w:val="22"/>
        </w:rPr>
        <w:t xml:space="preserve"> provides criteria that an older person must meet to be approved access for ongoing home support through CHSP or Support at Home. These criteria are based on a defined set of rules that has been built into the IAT to generate the </w:t>
      </w:r>
      <w:r w:rsidR="00386B7E">
        <w:rPr>
          <w:rFonts w:eastAsia="Arial"/>
          <w:szCs w:val="22"/>
        </w:rPr>
        <w:t>IAT Outcome</w:t>
      </w:r>
      <w:r w:rsidRPr="000F6CD1">
        <w:rPr>
          <w:rFonts w:eastAsia="Arial"/>
          <w:szCs w:val="22"/>
        </w:rPr>
        <w:t xml:space="preserve">. This means that the </w:t>
      </w:r>
      <w:r w:rsidR="00386B7E">
        <w:rPr>
          <w:rFonts w:eastAsia="Arial"/>
          <w:szCs w:val="22"/>
        </w:rPr>
        <w:t>IAT Outcome</w:t>
      </w:r>
      <w:r w:rsidRPr="000F6CD1">
        <w:rPr>
          <w:rFonts w:eastAsia="Arial"/>
          <w:szCs w:val="22"/>
        </w:rPr>
        <w:t xml:space="preserve"> will determine whether the older person meets the criteria in section 81-10 of the Rules and the classification level (funding) for ongoing home support.</w:t>
      </w:r>
    </w:p>
    <w:p w14:paraId="243FECBF" w14:textId="4B1C7B38" w:rsidR="004D556D" w:rsidRPr="000F6CD1" w:rsidRDefault="004D556D" w:rsidP="00DA5E7F">
      <w:pPr>
        <w:rPr>
          <w:rFonts w:eastAsia="Arial"/>
          <w:szCs w:val="22"/>
        </w:rPr>
      </w:pPr>
      <w:r w:rsidRPr="000F6CD1">
        <w:rPr>
          <w:rFonts w:eastAsia="Arial"/>
          <w:szCs w:val="22"/>
        </w:rPr>
        <w:lastRenderedPageBreak/>
        <w:t xml:space="preserve">Chapter 5 provides guidance to assessors to accept the </w:t>
      </w:r>
      <w:r w:rsidR="00386B7E">
        <w:rPr>
          <w:rFonts w:eastAsia="Arial"/>
          <w:szCs w:val="22"/>
        </w:rPr>
        <w:t>IAT Outcome</w:t>
      </w:r>
      <w:r w:rsidRPr="000F6CD1">
        <w:rPr>
          <w:rFonts w:eastAsia="Arial"/>
          <w:szCs w:val="22"/>
        </w:rPr>
        <w:t xml:space="preserve"> if they are intending to recommend ongoing home support services through CHSP or Support at Home. Before approving any recommended classification level, assessment delegates must ensure that the classification level recommended by the assessor is the same as the classification level generated by the </w:t>
      </w:r>
      <w:r w:rsidR="00386B7E">
        <w:rPr>
          <w:rFonts w:eastAsia="Arial"/>
          <w:szCs w:val="22"/>
        </w:rPr>
        <w:t>IAT Outcome</w:t>
      </w:r>
      <w:r w:rsidRPr="000F6CD1">
        <w:rPr>
          <w:rFonts w:eastAsia="Arial"/>
          <w:szCs w:val="22"/>
        </w:rPr>
        <w:t>. The system-generated recommendation is labelled ‘</w:t>
      </w:r>
      <w:r w:rsidR="00386B7E">
        <w:rPr>
          <w:rFonts w:eastAsia="Arial"/>
          <w:szCs w:val="22"/>
        </w:rPr>
        <w:t>IAT Outcome</w:t>
      </w:r>
      <w:r w:rsidR="004E6199" w:rsidRPr="000F6CD1">
        <w:rPr>
          <w:rFonts w:eastAsia="Arial"/>
          <w:szCs w:val="22"/>
        </w:rPr>
        <w:t>,’</w:t>
      </w:r>
      <w:r w:rsidRPr="000F6CD1">
        <w:rPr>
          <w:rFonts w:eastAsia="Arial"/>
          <w:szCs w:val="22"/>
        </w:rPr>
        <w:t xml:space="preserve"> and the assessor’s recommendation is labelled ‘Recommended classification</w:t>
      </w:r>
      <w:r w:rsidR="004E6199" w:rsidRPr="000F6CD1">
        <w:rPr>
          <w:rFonts w:eastAsia="Arial"/>
          <w:szCs w:val="22"/>
        </w:rPr>
        <w:t>.’</w:t>
      </w:r>
      <w:r w:rsidRPr="000F6CD1">
        <w:rPr>
          <w:rFonts w:eastAsia="Arial"/>
          <w:szCs w:val="22"/>
        </w:rPr>
        <w:t xml:space="preserve"> If these two values are different, then the assessor has overridden the </w:t>
      </w:r>
      <w:r w:rsidR="00386B7E">
        <w:rPr>
          <w:rFonts w:eastAsia="Arial"/>
          <w:szCs w:val="22"/>
        </w:rPr>
        <w:t>IAT Outcome</w:t>
      </w:r>
      <w:r w:rsidRPr="000F6CD1">
        <w:rPr>
          <w:rFonts w:eastAsia="Arial"/>
          <w:szCs w:val="22"/>
        </w:rPr>
        <w:t xml:space="preserve">. </w:t>
      </w:r>
    </w:p>
    <w:p w14:paraId="436A27D0" w14:textId="15C4E55E" w:rsidR="004D556D" w:rsidRPr="000F6CD1" w:rsidRDefault="004D556D" w:rsidP="00DA5E7F">
      <w:pPr>
        <w:rPr>
          <w:rFonts w:eastAsia="Arial"/>
          <w:szCs w:val="22"/>
        </w:rPr>
      </w:pPr>
      <w:r w:rsidRPr="000F6CD1">
        <w:rPr>
          <w:rFonts w:eastAsia="Arial"/>
          <w:szCs w:val="22"/>
        </w:rPr>
        <w:t xml:space="preserve">In instances where the assessor has overridden the </w:t>
      </w:r>
      <w:r w:rsidR="00386B7E">
        <w:rPr>
          <w:rFonts w:eastAsia="Arial"/>
          <w:szCs w:val="22"/>
        </w:rPr>
        <w:t>IAT Outcome</w:t>
      </w:r>
      <w:r w:rsidRPr="000F6CD1">
        <w:rPr>
          <w:rFonts w:eastAsia="Arial"/>
          <w:szCs w:val="22"/>
        </w:rPr>
        <w:t xml:space="preserve"> to another ongoing home support classification (e.g. SaH class 4 to SaH class 5, CHSP to SaH class 1, ‘ineligible for CHSP/SaH’ to CHSP), the delegate must disagree with the assessor’s recommended classification level and edit it to the classification level recommended by the </w:t>
      </w:r>
      <w:r w:rsidR="00386B7E">
        <w:rPr>
          <w:rFonts w:eastAsia="Arial"/>
          <w:szCs w:val="22"/>
        </w:rPr>
        <w:t>IAT Outcome</w:t>
      </w:r>
      <w:r w:rsidRPr="000F6CD1">
        <w:rPr>
          <w:rFonts w:eastAsia="Arial"/>
          <w:szCs w:val="22"/>
        </w:rPr>
        <w:t xml:space="preserve">. </w:t>
      </w:r>
    </w:p>
    <w:p w14:paraId="5A863AE4" w14:textId="10732315" w:rsidR="004D556D" w:rsidRPr="000F6CD1" w:rsidRDefault="004D556D" w:rsidP="00806A21">
      <w:pPr>
        <w:pStyle w:val="Sub-headings"/>
      </w:pPr>
      <w:r w:rsidRPr="000F6CD1">
        <w:t>Note:</w:t>
      </w:r>
    </w:p>
    <w:p w14:paraId="6A8E1EFB" w14:textId="3C226C06" w:rsidR="004D556D" w:rsidRPr="000F6CD1" w:rsidRDefault="004D556D" w:rsidP="00806A21">
      <w:pPr>
        <w:pStyle w:val="Sub-headings"/>
      </w:pPr>
      <w:r w:rsidRPr="000F6CD1">
        <w:t xml:space="preserve">It </w:t>
      </w:r>
      <w:r w:rsidR="00B2126E">
        <w:t>is</w:t>
      </w:r>
      <w:r w:rsidRPr="000F6CD1">
        <w:t xml:space="preserve"> necessary for the assessor to override a CHSP/SaH classification (or accept in the case of an ‘ineligible for CHSP/SaH) generated by the </w:t>
      </w:r>
      <w:r w:rsidR="00386B7E">
        <w:t>IAT Outcome</w:t>
      </w:r>
      <w:r w:rsidRPr="000F6CD1">
        <w:t xml:space="preserve"> to recommend the following pathways: </w:t>
      </w:r>
    </w:p>
    <w:p w14:paraId="69478170" w14:textId="28D9977E" w:rsidR="004D556D" w:rsidRPr="000F6CD1" w:rsidRDefault="003C0901" w:rsidP="00806A21">
      <w:pPr>
        <w:pStyle w:val="Sub-headings"/>
      </w:pPr>
      <w:r>
        <w:sym w:font="Wingdings" w:char="F09F"/>
      </w:r>
      <w:r w:rsidR="00EE7736">
        <w:t xml:space="preserve"> </w:t>
      </w:r>
      <w:r w:rsidR="004D556D" w:rsidRPr="000F6CD1">
        <w:t xml:space="preserve">SaH Restorative Care Pathway, </w:t>
      </w:r>
    </w:p>
    <w:p w14:paraId="58F6A77B" w14:textId="76EB12F6" w:rsidR="00EE7736" w:rsidRPr="00DD70C7" w:rsidRDefault="003C0901" w:rsidP="00806A21">
      <w:pPr>
        <w:pStyle w:val="Sub-headings"/>
      </w:pPr>
      <w:r>
        <w:sym w:font="Wingdings" w:char="F09F"/>
      </w:r>
      <w:r w:rsidR="00EE7736">
        <w:t xml:space="preserve"> </w:t>
      </w:r>
      <w:r w:rsidR="004D556D" w:rsidRPr="000F6CD1">
        <w:t>SaH End-of-Life Pathway.</w:t>
      </w:r>
    </w:p>
    <w:p w14:paraId="0984050F" w14:textId="30ABA460" w:rsidR="00EE7736" w:rsidRPr="00DD70C7" w:rsidRDefault="003C0901" w:rsidP="00806A21">
      <w:pPr>
        <w:pStyle w:val="Sub-headings"/>
      </w:pPr>
      <w:r>
        <w:sym w:font="Wingdings" w:char="F09F"/>
      </w:r>
      <w:r w:rsidR="00EE7736">
        <w:t xml:space="preserve"> Transition Care Program without ongoing in-home services,</w:t>
      </w:r>
    </w:p>
    <w:p w14:paraId="28C2CF17" w14:textId="44EC14D0" w:rsidR="00EE7736" w:rsidRPr="00DD70C7" w:rsidRDefault="003C0901" w:rsidP="00806A21">
      <w:pPr>
        <w:pStyle w:val="Sub-headings"/>
      </w:pPr>
      <w:r>
        <w:sym w:font="Wingdings" w:char="F09F"/>
      </w:r>
      <w:r w:rsidR="00EE7736">
        <w:t xml:space="preserve"> Permanent Residential Care without ongoing in-home services,</w:t>
      </w:r>
    </w:p>
    <w:p w14:paraId="548F7980" w14:textId="5D000332" w:rsidR="00EE7736" w:rsidRPr="00CB2F4C" w:rsidRDefault="003C0901" w:rsidP="00806A21">
      <w:pPr>
        <w:pStyle w:val="Sub-headings"/>
      </w:pPr>
      <w:r>
        <w:sym w:font="Wingdings" w:char="F09F"/>
      </w:r>
      <w:r w:rsidR="00EE7736">
        <w:t xml:space="preserve"> Residential Respite care without ongoing in-home services. </w:t>
      </w:r>
    </w:p>
    <w:p w14:paraId="3736B7F0" w14:textId="34A7E8DF" w:rsidR="00EE7736" w:rsidRPr="000F6CD1" w:rsidRDefault="00EE7736" w:rsidP="00806A21">
      <w:pPr>
        <w:pStyle w:val="Sub-headings"/>
      </w:pPr>
      <w:r w:rsidRPr="006C0ACD">
        <w:rPr>
          <w:lang w:val="en-US"/>
        </w:rPr>
        <w:t xml:space="preserve">Assessors may also approve an ongoing home support classification (SaH) alongside TCP and Residential </w:t>
      </w:r>
      <w:r w:rsidRPr="01CCA254">
        <w:t>Care and</w:t>
      </w:r>
      <w:r w:rsidRPr="006C0ACD">
        <w:rPr>
          <w:lang w:val="en-US"/>
        </w:rPr>
        <w:t xml:space="preserve"> select ‘not seeking services’ to avoid a reassessment being required for the older person. </w:t>
      </w:r>
      <w:r w:rsidRPr="01CCA254">
        <w:t xml:space="preserve"> </w:t>
      </w:r>
    </w:p>
    <w:p w14:paraId="5D3AE9FB" w14:textId="77777777" w:rsidR="004D556D" w:rsidRPr="000F6CD1" w:rsidRDefault="004D556D">
      <w:pPr>
        <w:pStyle w:val="H4"/>
      </w:pPr>
      <w:r w:rsidRPr="000F6CD1">
        <w:t>Approving CHSP services alongside Support at Home classifications </w:t>
      </w:r>
    </w:p>
    <w:p w14:paraId="382F191A" w14:textId="77777777" w:rsidR="004D556D" w:rsidRPr="000F6CD1" w:rsidRDefault="004D556D" w:rsidP="00622CFF">
      <w:pPr>
        <w:spacing w:before="240" w:after="240" w:line="240" w:lineRule="auto"/>
        <w:rPr>
          <w:rFonts w:eastAsia="Yu Gothic Light"/>
          <w:szCs w:val="22"/>
        </w:rPr>
      </w:pPr>
      <w:r w:rsidRPr="000F6CD1">
        <w:rPr>
          <w:rFonts w:eastAsia="Yu Gothic Light"/>
          <w:szCs w:val="22"/>
        </w:rPr>
        <w:t xml:space="preserve">Under the </w:t>
      </w:r>
      <w:r w:rsidRPr="00E9704A">
        <w:rPr>
          <w:rFonts w:eastAsia="Yu Gothic Light"/>
          <w:i/>
          <w:iCs/>
        </w:rPr>
        <w:t>Aged Care Act 2024</w:t>
      </w:r>
      <w:r w:rsidRPr="000F6CD1">
        <w:rPr>
          <w:rFonts w:eastAsia="Yu Gothic Light"/>
        </w:rPr>
        <w:t xml:space="preserve"> (the Act)</w:t>
      </w:r>
      <w:r w:rsidRPr="000F6CD1">
        <w:rPr>
          <w:rFonts w:eastAsia="Yu Gothic Light"/>
          <w:i/>
        </w:rPr>
        <w:t>,</w:t>
      </w:r>
      <w:r w:rsidRPr="000F6CD1">
        <w:rPr>
          <w:rFonts w:eastAsia="Yu Gothic Light"/>
          <w:szCs w:val="22"/>
        </w:rPr>
        <w:t xml:space="preserve"> an older person cannot be approved for the Commonwealth Home Support Program (CHSP) class at the same time as any Support at Home (SaH) classification level (SaH class 1-8, SaH Restorative Care Pathway or SaH End-of-Life Pathway).</w:t>
      </w:r>
    </w:p>
    <w:p w14:paraId="01E2C8E6" w14:textId="77777777" w:rsidR="004D556D" w:rsidRPr="000F6CD1" w:rsidRDefault="004D556D" w:rsidP="00985D45">
      <w:pPr>
        <w:spacing w:before="240" w:after="240" w:line="240" w:lineRule="auto"/>
        <w:rPr>
          <w:rFonts w:eastAsia="Yu Gothic Light"/>
          <w:szCs w:val="22"/>
        </w:rPr>
      </w:pPr>
      <w:r w:rsidRPr="000F6CD1">
        <w:rPr>
          <w:rFonts w:eastAsia="Yu Gothic Light"/>
          <w:szCs w:val="22"/>
        </w:rPr>
        <w:t>In limited circumstances, SaH participants can access additional CHSP services and assessors can issue referrals for CHSP services for individuals with a SaH classification.</w:t>
      </w:r>
    </w:p>
    <w:p w14:paraId="7441D9D9" w14:textId="3BF44CF2" w:rsidR="004D556D" w:rsidRPr="000F6CD1" w:rsidRDefault="004D556D" w:rsidP="00622CFF">
      <w:pPr>
        <w:spacing w:before="240" w:after="240" w:line="240" w:lineRule="auto"/>
        <w:rPr>
          <w:rFonts w:eastAsia="Yu Gothic Light"/>
          <w:szCs w:val="22"/>
        </w:rPr>
      </w:pPr>
      <w:r w:rsidRPr="000F6CD1">
        <w:rPr>
          <w:rFonts w:eastAsia="Arial"/>
          <w:szCs w:val="22"/>
        </w:rPr>
        <w:t>See tables 2</w:t>
      </w:r>
      <w:r w:rsidR="000F15CF">
        <w:rPr>
          <w:rFonts w:eastAsia="Arial"/>
          <w:szCs w:val="22"/>
        </w:rPr>
        <w:t>9</w:t>
      </w:r>
      <w:r w:rsidRPr="000F6CD1">
        <w:rPr>
          <w:rFonts w:eastAsia="Arial"/>
          <w:szCs w:val="22"/>
        </w:rPr>
        <w:t xml:space="preserve"> and </w:t>
      </w:r>
      <w:r w:rsidR="000F15CF">
        <w:rPr>
          <w:rFonts w:eastAsia="Arial"/>
          <w:szCs w:val="22"/>
        </w:rPr>
        <w:t>30 i</w:t>
      </w:r>
      <w:r w:rsidRPr="000F6CD1">
        <w:rPr>
          <w:rFonts w:eastAsia="Arial"/>
          <w:szCs w:val="22"/>
        </w:rPr>
        <w:t xml:space="preserve">n Chapter </w:t>
      </w:r>
      <w:r w:rsidRPr="000F6CD1">
        <w:rPr>
          <w:rFonts w:eastAsia="Arial"/>
          <w:szCs w:val="22"/>
        </w:rPr>
        <w:fldChar w:fldCharType="begin"/>
      </w:r>
      <w:r w:rsidRPr="000F6CD1">
        <w:rPr>
          <w:rFonts w:eastAsia="Arial"/>
          <w:szCs w:val="22"/>
        </w:rPr>
        <w:instrText xml:space="preserve"> REF _Ref212736206 \w \h </w:instrText>
      </w:r>
      <w:r w:rsidRPr="000F6CD1">
        <w:rPr>
          <w:rFonts w:eastAsia="Arial"/>
          <w:szCs w:val="22"/>
        </w:rPr>
      </w:r>
      <w:r w:rsidRPr="000F6CD1">
        <w:rPr>
          <w:rFonts w:eastAsia="Arial"/>
          <w:szCs w:val="22"/>
        </w:rPr>
        <w:fldChar w:fldCharType="separate"/>
      </w:r>
      <w:r w:rsidR="004B171E">
        <w:rPr>
          <w:rFonts w:eastAsia="Arial"/>
          <w:szCs w:val="22"/>
        </w:rPr>
        <w:t>6</w:t>
      </w:r>
      <w:r w:rsidRPr="000F6CD1">
        <w:rPr>
          <w:rFonts w:eastAsia="Arial"/>
          <w:szCs w:val="22"/>
        </w:rPr>
        <w:fldChar w:fldCharType="end"/>
      </w:r>
      <w:r w:rsidRPr="000F6CD1">
        <w:rPr>
          <w:rFonts w:eastAsia="Arial"/>
          <w:szCs w:val="22"/>
        </w:rPr>
        <w:t xml:space="preserve"> for further details about when an individual with a Support at Home classification can be approved to access CHSP services.</w:t>
      </w:r>
    </w:p>
    <w:p w14:paraId="1D4F3FD0" w14:textId="77777777" w:rsidR="004D556D" w:rsidRPr="000F6CD1" w:rsidRDefault="004D556D">
      <w:pPr>
        <w:pStyle w:val="H4"/>
      </w:pPr>
      <w:r w:rsidRPr="000F6CD1">
        <w:t>Approving the SaH Restorative Care Pathway </w:t>
      </w:r>
    </w:p>
    <w:p w14:paraId="044FE136" w14:textId="3BA6006E" w:rsidR="004D556D" w:rsidRPr="000F6CD1" w:rsidRDefault="004D556D" w:rsidP="00622CFF">
      <w:pPr>
        <w:spacing w:before="240" w:after="240" w:line="240" w:lineRule="auto"/>
        <w:rPr>
          <w:rFonts w:eastAsia="Yu Gothic Light"/>
        </w:rPr>
      </w:pPr>
      <w:r w:rsidRPr="000F6CD1">
        <w:rPr>
          <w:rFonts w:eastAsia="Yu Gothic Light"/>
        </w:rPr>
        <w:t>Each financial year, 20,000 Restorative Care units of funding will be available nationally, distributed across four quarters at approximately 5,000 units per quarter. These units of funding are limited and must be carefully allocated to ensure the pathway remains sustainable and appropriately targeted to individuals with short-term restorative care needs. Assessors will be able to recommend Restorative Care Pathway (RCP) regardless of the caps on units of funding. The Assessment Delegate may not approve this recommendation if RCP units of funding have run out.</w:t>
      </w:r>
      <w:r w:rsidR="004E6199" w:rsidRPr="000F6CD1">
        <w:rPr>
          <w:rFonts w:eastAsia="Yu Gothic Light"/>
        </w:rPr>
        <w:t xml:space="preserve"> </w:t>
      </w:r>
    </w:p>
    <w:p w14:paraId="077F9582"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 xml:space="preserve">For SaH participants receiving ongoing services at the time the RCP is approved, the RCP episode can be accessed concurrently with their ongoing services. This allows individuals to continue using their ongoing services while also receiving additional, clinically focused services through RCP. </w:t>
      </w:r>
    </w:p>
    <w:p w14:paraId="44975B3E" w14:textId="77777777" w:rsidR="004D556D" w:rsidRPr="000F6CD1" w:rsidRDefault="004D556D" w:rsidP="00622CFF">
      <w:pPr>
        <w:spacing w:before="240" w:after="240" w:line="240" w:lineRule="auto"/>
        <w:rPr>
          <w:rFonts w:eastAsia="Yu Gothic Light"/>
        </w:rPr>
      </w:pPr>
      <w:r w:rsidRPr="000F6CD1">
        <w:rPr>
          <w:rFonts w:eastAsia="Yu Gothic Light"/>
        </w:rPr>
        <w:t>However, it is important to ensure that services provided under RCP are complementary to ongoing services. The restorative care partner and ongoing care partner should ensure coordination of services to achieve this. </w:t>
      </w:r>
    </w:p>
    <w:p w14:paraId="7D942A25" w14:textId="77777777" w:rsidR="004D556D" w:rsidRPr="000F6CD1" w:rsidRDefault="004D556D" w:rsidP="00622CFF">
      <w:pPr>
        <w:spacing w:before="240" w:after="240" w:line="240" w:lineRule="auto"/>
        <w:rPr>
          <w:rFonts w:eastAsia="Yu Gothic Light"/>
        </w:rPr>
      </w:pPr>
      <w:r w:rsidRPr="000F6CD1">
        <w:rPr>
          <w:rFonts w:eastAsia="Yu Gothic Light"/>
        </w:rPr>
        <w:t>Services delivered through RCP should focus on reablement and allied health and/or nursing interventions—aimed at improving function and independence, rather than duplicating routine or maintenance care. </w:t>
      </w:r>
    </w:p>
    <w:p w14:paraId="3821B85D" w14:textId="77777777" w:rsidR="004D556D" w:rsidRPr="000F6CD1" w:rsidRDefault="004D556D" w:rsidP="00622CFF">
      <w:pPr>
        <w:spacing w:before="240" w:after="240" w:line="240" w:lineRule="auto"/>
        <w:rPr>
          <w:rFonts w:eastAsia="Yu Gothic Light"/>
        </w:rPr>
      </w:pPr>
      <w:r w:rsidRPr="000F6CD1">
        <w:rPr>
          <w:rFonts w:eastAsia="Yu Gothic Light"/>
        </w:rPr>
        <w:t xml:space="preserve">For those already accessing ongoing care, assessors should carefully consider ongoing needs before recommending RCP. Assessors cannot recommend a new higher classification and the RCP at assessment. This will impact a new ongoing classification entry into the SaH Priority System. </w:t>
      </w:r>
    </w:p>
    <w:p w14:paraId="00AAA96C" w14:textId="77777777" w:rsidR="004D556D" w:rsidRPr="000F6CD1" w:rsidRDefault="004D556D" w:rsidP="00622CFF">
      <w:pPr>
        <w:spacing w:before="240" w:after="240" w:line="240" w:lineRule="auto"/>
        <w:rPr>
          <w:rFonts w:eastAsia="Yu Gothic Light"/>
        </w:rPr>
      </w:pPr>
      <w:r w:rsidRPr="000F6CD1">
        <w:rPr>
          <w:rFonts w:eastAsia="Yu Gothic Light"/>
        </w:rPr>
        <w:t>For new individuals being assessed for SaH and considered for RCP, eligibility for ongoing services will need to be determined at the end of the RCP episode. Individuals cannot be simultaneously approved for both RCP and an ongoing SaH or CHSP classifications at the time of assessment. </w:t>
      </w:r>
    </w:p>
    <w:p w14:paraId="2E323B59" w14:textId="77777777" w:rsidR="004D556D" w:rsidRPr="000F6CD1" w:rsidRDefault="004D556D" w:rsidP="00622CFF">
      <w:pPr>
        <w:spacing w:before="240" w:after="240" w:line="240" w:lineRule="auto"/>
        <w:rPr>
          <w:rFonts w:eastAsia="Yu Gothic Light"/>
        </w:rPr>
      </w:pPr>
      <w:r w:rsidRPr="000F6CD1">
        <w:rPr>
          <w:rFonts w:eastAsia="Yu Gothic Light"/>
        </w:rPr>
        <w:t xml:space="preserve">When selecting the RCP, an assessor will not be able to select a new ongoing classification. </w:t>
      </w:r>
    </w:p>
    <w:p w14:paraId="581B9821" w14:textId="09BA4903" w:rsidR="004D556D" w:rsidRPr="000F6CD1" w:rsidRDefault="004D556D" w:rsidP="00622CFF">
      <w:pPr>
        <w:spacing w:before="240" w:after="240" w:line="240" w:lineRule="auto"/>
        <w:rPr>
          <w:rFonts w:eastAsia="Yu Gothic Light"/>
        </w:rPr>
      </w:pPr>
      <w:r w:rsidRPr="000F6CD1">
        <w:rPr>
          <w:rFonts w:eastAsia="Yu Gothic Light"/>
        </w:rPr>
        <w:t xml:space="preserve">For those accessing ongoing services, an assessor may select a new ongoing SaH classification </w:t>
      </w:r>
      <w:r w:rsidRPr="00133F86">
        <w:rPr>
          <w:rFonts w:eastAsia="Yu Gothic Light"/>
          <w:b/>
        </w:rPr>
        <w:t>or</w:t>
      </w:r>
      <w:r w:rsidRPr="000F6CD1">
        <w:rPr>
          <w:rFonts w:eastAsia="Yu Gothic Light"/>
        </w:rPr>
        <w:t xml:space="preserve"> RCP. If RCP is selected, the person will automatically retain their current classification. </w:t>
      </w:r>
    </w:p>
    <w:p w14:paraId="35A80451" w14:textId="77777777" w:rsidR="004D556D" w:rsidRPr="000F6CD1" w:rsidRDefault="004D556D" w:rsidP="00806A21">
      <w:pPr>
        <w:pStyle w:val="Sub-headings"/>
      </w:pPr>
      <w:r w:rsidRPr="000F6CD1">
        <w:t>Note:  </w:t>
      </w:r>
    </w:p>
    <w:p w14:paraId="09BA5CD0" w14:textId="77777777" w:rsidR="004D556D" w:rsidRPr="000F6CD1" w:rsidRDefault="004D556D" w:rsidP="00806A21">
      <w:pPr>
        <w:pStyle w:val="Sub-headings"/>
      </w:pPr>
      <w:r w:rsidRPr="000F6CD1">
        <w:t xml:space="preserve">The IAT will allow a CHSP classification to be overridden to RCP during a comprehensive assessment. However, assessors must </w:t>
      </w:r>
      <w:r w:rsidRPr="000F6CD1">
        <w:rPr>
          <w:rStyle w:val="Strong"/>
        </w:rPr>
        <w:t>not </w:t>
      </w:r>
      <w:r w:rsidRPr="000F6CD1">
        <w:t>undertake this action and delegates must not approve assessments where this occurs. Where a CHSP classification outcome is generated, RCP cannot be recommended for approval (in line with section 81-15 of the Aged Care Rules.) An ongoing SaH classification must be generated by the IAT to override and recommend RCP for approval. </w:t>
      </w:r>
    </w:p>
    <w:p w14:paraId="4D8752AE" w14:textId="33CFDF3F" w:rsidR="004D556D" w:rsidRPr="000F6CD1" w:rsidRDefault="004D556D" w:rsidP="00806A21">
      <w:pPr>
        <w:pStyle w:val="Sub-headings"/>
      </w:pPr>
      <w:r w:rsidRPr="000F6CD1">
        <w:t xml:space="preserve">To recommend the </w:t>
      </w:r>
      <w:r w:rsidRPr="000F6CD1">
        <w:rPr>
          <w:rFonts w:eastAsia="Yu Gothic Light"/>
        </w:rPr>
        <w:t xml:space="preserve">RCP </w:t>
      </w:r>
      <w:r w:rsidRPr="000F6CD1">
        <w:t xml:space="preserve">classification, the individual must have received an initial ongoing SaH classification through the </w:t>
      </w:r>
      <w:r w:rsidR="00386B7E">
        <w:t>IAT Outcome</w:t>
      </w:r>
      <w:r w:rsidRPr="000F6CD1">
        <w:t xml:space="preserve">. This is then overridden by the assessor to recommend the </w:t>
      </w:r>
      <w:r w:rsidRPr="000F6CD1">
        <w:rPr>
          <w:rFonts w:eastAsia="Yu Gothic Light"/>
        </w:rPr>
        <w:t>RCP</w:t>
      </w:r>
      <w:r w:rsidRPr="000F6CD1">
        <w:t>.</w:t>
      </w:r>
      <w:r w:rsidR="004E6199" w:rsidRPr="000F6CD1">
        <w:t xml:space="preserve"> </w:t>
      </w:r>
    </w:p>
    <w:p w14:paraId="5B7BC31D" w14:textId="77777777" w:rsidR="004D556D" w:rsidRPr="000F6CD1" w:rsidRDefault="004D556D" w:rsidP="00806A21">
      <w:pPr>
        <w:pStyle w:val="Sub-headings"/>
      </w:pPr>
      <w:r w:rsidRPr="000F6CD1">
        <w:t xml:space="preserve">Participants assigned to the </w:t>
      </w:r>
      <w:r w:rsidRPr="000F6CD1">
        <w:rPr>
          <w:rFonts w:eastAsia="Yu Gothic Light"/>
        </w:rPr>
        <w:t xml:space="preserve">RCP </w:t>
      </w:r>
      <w:r w:rsidRPr="000F6CD1">
        <w:t>who have an assessed need for AT and / or HM will be allocated AT-HM funding immediately. </w:t>
      </w:r>
    </w:p>
    <w:p w14:paraId="2E17777B" w14:textId="48B1E342" w:rsidR="004D556D" w:rsidRPr="00E72609" w:rsidRDefault="004D556D" w:rsidP="00806A21">
      <w:pPr>
        <w:pStyle w:val="Sub-headings"/>
      </w:pPr>
      <w:r w:rsidRPr="000F6CD1">
        <w:t>After a restorative care episode, a participant will undertake a reassessment to get approval for an ongoing classification and be placed in the SaH prioritisation system, if required.</w:t>
      </w:r>
      <w:r w:rsidR="004E6199" w:rsidRPr="000F6CD1">
        <w:t xml:space="preserve"> </w:t>
      </w:r>
    </w:p>
    <w:p w14:paraId="40C8A6C1" w14:textId="77777777" w:rsidR="00635B22" w:rsidRDefault="00635B22">
      <w:pPr>
        <w:rPr>
          <w:rFonts w:eastAsia="Yu Gothic Light"/>
          <w:b/>
          <w:i/>
          <w:iCs/>
          <w:szCs w:val="22"/>
        </w:rPr>
      </w:pPr>
      <w:r>
        <w:br w:type="page"/>
      </w:r>
    </w:p>
    <w:p w14:paraId="554F6780" w14:textId="77777777" w:rsidR="004D556D" w:rsidRPr="000F6CD1" w:rsidRDefault="004D556D" w:rsidP="00E72609">
      <w:pPr>
        <w:pStyle w:val="H4"/>
      </w:pPr>
      <w:r w:rsidRPr="000F6CD1">
        <w:lastRenderedPageBreak/>
        <w:t>Approving restorative care - guidance for assessment delegates</w:t>
      </w:r>
    </w:p>
    <w:p w14:paraId="62426DB8" w14:textId="0EB47724" w:rsidR="004D556D" w:rsidRPr="000F6CD1" w:rsidRDefault="004D556D" w:rsidP="00622CFF">
      <w:pPr>
        <w:spacing w:before="240" w:after="240" w:line="240" w:lineRule="auto"/>
        <w:rPr>
          <w:rFonts w:eastAsia="Yu Gothic Light"/>
        </w:rPr>
      </w:pPr>
      <w:r w:rsidRPr="000F6CD1">
        <w:rPr>
          <w:rFonts w:eastAsia="Yu Gothic Light"/>
        </w:rPr>
        <w:t>An assessment delegate is responsible for approving access to the RCP. The assessment</w:t>
      </w:r>
      <w:r w:rsidRPr="000F6CD1" w:rsidDel="00D36C4D">
        <w:rPr>
          <w:rFonts w:eastAsia="Yu Gothic Light"/>
        </w:rPr>
        <w:t xml:space="preserve"> </w:t>
      </w:r>
      <w:r w:rsidRPr="000F6CD1">
        <w:rPr>
          <w:rFonts w:eastAsia="Yu Gothic Light"/>
        </w:rPr>
        <w:t>delegate can only approve someone for RCP if all eligibility criteria are met. They may consider if places are available for allocation. The assessment must clearly show that the individual is likely to benefit from short-term, multidisciplinary allied health and/or nursing support aimed at improving their function and independence. An</w:t>
      </w:r>
      <w:r w:rsidRPr="000F6CD1" w:rsidDel="00D36C4D">
        <w:rPr>
          <w:rFonts w:eastAsia="Yu Gothic Light"/>
        </w:rPr>
        <w:t xml:space="preserve"> </w:t>
      </w:r>
      <w:r w:rsidRPr="000F6CD1">
        <w:rPr>
          <w:rFonts w:eastAsia="Yu Gothic Light"/>
        </w:rPr>
        <w:t xml:space="preserve">assessment delegate must make sure that their decision is backed by appropriate evidence. </w:t>
      </w:r>
    </w:p>
    <w:p w14:paraId="29780BFA" w14:textId="4980EE36" w:rsidR="004D556D" w:rsidRPr="000F6CD1" w:rsidRDefault="004D556D" w:rsidP="00806A21">
      <w:pPr>
        <w:pStyle w:val="Sub-headings"/>
      </w:pPr>
      <w:r w:rsidRPr="000F6CD1">
        <w:t>Note: To be approved for the RCP, the older person must not be in hospital or residing in permanent residential care at the time of the assessment. The older person must be residing in the home or community setting.</w:t>
      </w:r>
    </w:p>
    <w:p w14:paraId="7D705161" w14:textId="77777777" w:rsidR="004D556D" w:rsidRPr="000F6CD1" w:rsidRDefault="004D556D" w:rsidP="00622CFF">
      <w:pPr>
        <w:spacing w:before="240" w:after="240" w:line="240" w:lineRule="auto"/>
        <w:rPr>
          <w:rFonts w:eastAsia="Yu Gothic Light"/>
        </w:rPr>
      </w:pPr>
      <w:r w:rsidRPr="000F6CD1">
        <w:rPr>
          <w:rFonts w:eastAsia="Yu Gothic Light"/>
        </w:rPr>
        <w:t>The assessment delegate is also responsible for making sure all decisions follow pathway rules, including: </w:t>
      </w:r>
    </w:p>
    <w:p w14:paraId="58EEF517" w14:textId="6EA298E1" w:rsidR="004D556D" w:rsidRPr="000F6CD1" w:rsidRDefault="004D556D" w:rsidP="00DF3F6B">
      <w:pPr>
        <w:numPr>
          <w:ilvl w:val="0"/>
          <w:numId w:val="203"/>
        </w:numPr>
        <w:spacing w:before="240" w:after="240" w:line="240" w:lineRule="auto"/>
        <w:rPr>
          <w:rFonts w:eastAsia="Yu Gothic Light"/>
        </w:rPr>
      </w:pPr>
      <w:r w:rsidRPr="000F6CD1">
        <w:rPr>
          <w:rFonts w:eastAsia="Yu Gothic Light"/>
        </w:rPr>
        <w:t>The person has not already been approved for two units of funding for Restorative Care in the past 12 months.</w:t>
      </w:r>
    </w:p>
    <w:p w14:paraId="623D6120" w14:textId="18D2FB2F" w:rsidR="004D556D" w:rsidRPr="000F6CD1" w:rsidRDefault="004D556D" w:rsidP="00DF3F6B">
      <w:pPr>
        <w:numPr>
          <w:ilvl w:val="0"/>
          <w:numId w:val="204"/>
        </w:numPr>
        <w:spacing w:before="240" w:after="240" w:line="240" w:lineRule="auto"/>
        <w:rPr>
          <w:rFonts w:eastAsia="Yu Gothic Light"/>
        </w:rPr>
      </w:pPr>
      <w:r w:rsidRPr="000F6CD1">
        <w:rPr>
          <w:rFonts w:eastAsia="Yu Gothic Light"/>
        </w:rPr>
        <w:t>It has been 90 days from the maximum period of effect from a previous episode of Restorative Care.</w:t>
      </w:r>
      <w:r w:rsidR="004E6199" w:rsidRPr="000F6CD1">
        <w:rPr>
          <w:rFonts w:eastAsia="Yu Gothic Light"/>
        </w:rPr>
        <w:t xml:space="preserve"> </w:t>
      </w:r>
    </w:p>
    <w:p w14:paraId="67C3E66F" w14:textId="69605EE3" w:rsidR="004D556D" w:rsidRPr="000F6CD1" w:rsidRDefault="004D556D" w:rsidP="00DF3F6B">
      <w:pPr>
        <w:numPr>
          <w:ilvl w:val="0"/>
          <w:numId w:val="205"/>
        </w:numPr>
        <w:spacing w:before="240" w:after="240" w:line="240" w:lineRule="auto"/>
        <w:rPr>
          <w:rFonts w:eastAsia="Yu Gothic Light"/>
        </w:rPr>
      </w:pPr>
      <w:r w:rsidRPr="000F6CD1">
        <w:rPr>
          <w:rFonts w:eastAsia="Yu Gothic Light"/>
        </w:rPr>
        <w:t>For the relevant transition period, delegates should also confirm if a person has accessed RCP through a Short-term Restorative Care (STRC) approval to determine eligibility for further RCP funding units.</w:t>
      </w:r>
      <w:r w:rsidR="004E6199" w:rsidRPr="000F6CD1">
        <w:rPr>
          <w:rFonts w:eastAsia="Yu Gothic Light"/>
        </w:rPr>
        <w:t xml:space="preserve"> </w:t>
      </w:r>
    </w:p>
    <w:p w14:paraId="616C1A0C" w14:textId="77A3CDA8" w:rsidR="004D556D" w:rsidRPr="000F6CD1" w:rsidRDefault="004D556D" w:rsidP="00622CFF">
      <w:pPr>
        <w:spacing w:before="240" w:after="240" w:line="240" w:lineRule="auto"/>
        <w:rPr>
          <w:rFonts w:eastAsia="Yu Gothic Light"/>
        </w:rPr>
      </w:pPr>
      <w:r w:rsidRPr="000F6CD1">
        <w:rPr>
          <w:rFonts w:eastAsia="Yu Gothic Light"/>
        </w:rPr>
        <w:t>If an additional unit of funding is requested through a support plan review (SPR), the assessment</w:t>
      </w:r>
      <w:r w:rsidRPr="000F6CD1" w:rsidDel="00D36C4D">
        <w:rPr>
          <w:rFonts w:eastAsia="Yu Gothic Light"/>
        </w:rPr>
        <w:t xml:space="preserve"> </w:t>
      </w:r>
      <w:r w:rsidRPr="000F6CD1">
        <w:rPr>
          <w:rFonts w:eastAsia="Yu Gothic Light"/>
        </w:rPr>
        <w:t>delegate must ensure that the documentation clearly explains the reason, how it links to the person’s goals, and that evidence is provided to support your decision. The assessment</w:t>
      </w:r>
      <w:r w:rsidRPr="000F6CD1" w:rsidDel="00D36C4D">
        <w:rPr>
          <w:rFonts w:eastAsia="Yu Gothic Light"/>
        </w:rPr>
        <w:t xml:space="preserve"> </w:t>
      </w:r>
      <w:r w:rsidRPr="000F6CD1">
        <w:rPr>
          <w:rFonts w:eastAsia="Yu Gothic Light"/>
        </w:rPr>
        <w:t>delegate’s role in reviewing and approving these cases is essential to making sure the RCP is used fairly, consistently, and in line with the pathway’s goals of early intervention and reablement. Availability of RCP units may also be considered.</w:t>
      </w:r>
      <w:r w:rsidR="004E6199" w:rsidRPr="000F6CD1">
        <w:rPr>
          <w:rFonts w:eastAsia="Yu Gothic Light"/>
        </w:rPr>
        <w:t xml:space="preserve"> </w:t>
      </w:r>
    </w:p>
    <w:p w14:paraId="0B302384" w14:textId="77777777" w:rsidR="004D556D" w:rsidRPr="000F6CD1" w:rsidRDefault="004D556D" w:rsidP="00622CFF">
      <w:pPr>
        <w:spacing w:before="240" w:after="240" w:line="240" w:lineRule="auto"/>
        <w:rPr>
          <w:rFonts w:eastAsia="Yu Gothic Light"/>
        </w:rPr>
      </w:pPr>
      <w:r w:rsidRPr="000F6CD1">
        <w:rPr>
          <w:rFonts w:eastAsia="Yu Gothic Light"/>
        </w:rPr>
        <w:t>If the participant is accessing two separate episodes of restorative care, they will need to wait at least 3 months from the end of the 16 weeks period associated with the original episode before being eligible to receive a second episode within the 12-month period. </w:t>
      </w:r>
    </w:p>
    <w:p w14:paraId="50CF3AAC" w14:textId="7F827631" w:rsidR="004D556D" w:rsidRPr="000F6CD1" w:rsidRDefault="004D556D" w:rsidP="00622CFF">
      <w:pPr>
        <w:spacing w:before="240" w:after="240" w:line="240" w:lineRule="auto"/>
        <w:rPr>
          <w:rFonts w:eastAsia="Yu Gothic Light"/>
        </w:rPr>
      </w:pPr>
      <w:r w:rsidRPr="000F6CD1">
        <w:rPr>
          <w:rFonts w:eastAsia="Yu Gothic Light"/>
        </w:rPr>
        <w:t xml:space="preserve">An RCP recommendation may not be approved if there are  no RCP places available for allocation. The assessor may contact the older person to discuss alternative supports for recommendation. </w:t>
      </w:r>
    </w:p>
    <w:p w14:paraId="390AA968" w14:textId="77777777" w:rsidR="004D556D" w:rsidRPr="000F6CD1" w:rsidRDefault="004D556D" w:rsidP="00806A21">
      <w:pPr>
        <w:pStyle w:val="Sub-headings"/>
      </w:pPr>
      <w:r w:rsidRPr="000F6CD1">
        <w:t>Note: Decisions made about RCP through the IAT are made under s65 and s78 which are reviewable decisions under the Act. Decisions made about the additional unit of Restorative Care Pathway funding through an SPR are made under section 195-3 of the Rules and are not reviewable. </w:t>
      </w:r>
    </w:p>
    <w:p w14:paraId="06864B63" w14:textId="77777777" w:rsidR="00635B22" w:rsidRDefault="00635B22">
      <w:pPr>
        <w:rPr>
          <w:rFonts w:eastAsia="Yu Gothic Light"/>
          <w:b/>
          <w:i/>
          <w:iCs/>
          <w:szCs w:val="22"/>
        </w:rPr>
      </w:pPr>
      <w:r>
        <w:br w:type="page"/>
      </w:r>
    </w:p>
    <w:p w14:paraId="6911DB36" w14:textId="77777777" w:rsidR="004D556D" w:rsidRPr="000F6CD1" w:rsidRDefault="004D556D" w:rsidP="00E72609">
      <w:pPr>
        <w:pStyle w:val="H4"/>
        <w:rPr>
          <w:b w:val="0"/>
          <w:color w:val="1E1444"/>
        </w:rPr>
      </w:pPr>
      <w:r w:rsidRPr="000F6CD1">
        <w:lastRenderedPageBreak/>
        <w:t>Eligibility considerations and exclusions </w:t>
      </w:r>
    </w:p>
    <w:p w14:paraId="6D139E0D" w14:textId="77777777" w:rsidR="004D556D" w:rsidRPr="000F6CD1" w:rsidRDefault="004D556D" w:rsidP="00622CFF">
      <w:pPr>
        <w:spacing w:before="240" w:after="240" w:line="240" w:lineRule="auto"/>
        <w:rPr>
          <w:rFonts w:eastAsia="Yu Gothic Light"/>
        </w:rPr>
      </w:pPr>
      <w:r w:rsidRPr="000F6CD1">
        <w:rPr>
          <w:rFonts w:eastAsia="Yu Gothic Light"/>
        </w:rPr>
        <w:t>An individual </w:t>
      </w:r>
      <w:r w:rsidRPr="000F6CD1">
        <w:rPr>
          <w:rFonts w:eastAsia="Yu Gothic Light"/>
          <w:b/>
          <w:bCs/>
        </w:rPr>
        <w:t>cannot</w:t>
      </w:r>
      <w:r w:rsidRPr="000F6CD1">
        <w:rPr>
          <w:rFonts w:eastAsia="Yu Gothic Light"/>
        </w:rPr>
        <w:t> access the Restorative Care Pathway (RCP) if they: </w:t>
      </w:r>
    </w:p>
    <w:p w14:paraId="24A34718" w14:textId="77777777" w:rsidR="004D556D" w:rsidRPr="000F6CD1" w:rsidRDefault="004D556D" w:rsidP="00DF3F6B">
      <w:pPr>
        <w:numPr>
          <w:ilvl w:val="0"/>
          <w:numId w:val="270"/>
        </w:numPr>
        <w:spacing w:before="120" w:after="120" w:line="240" w:lineRule="auto"/>
        <w:ind w:left="714" w:hanging="357"/>
        <w:rPr>
          <w:rFonts w:eastAsia="Yu Gothic Light"/>
        </w:rPr>
      </w:pPr>
      <w:r w:rsidRPr="000F6CD1">
        <w:rPr>
          <w:rFonts w:eastAsia="Yu Gothic Light"/>
        </w:rPr>
        <w:t>Are receiving, or are eligible to receive, the End-of-Life Pathway </w:t>
      </w:r>
    </w:p>
    <w:p w14:paraId="26EB2CA0" w14:textId="77777777" w:rsidR="004D556D" w:rsidRPr="000F6CD1" w:rsidRDefault="004D556D" w:rsidP="00DF3F6B">
      <w:pPr>
        <w:numPr>
          <w:ilvl w:val="0"/>
          <w:numId w:val="271"/>
        </w:numPr>
        <w:spacing w:before="120" w:after="120" w:line="240" w:lineRule="auto"/>
        <w:ind w:left="714" w:hanging="357"/>
        <w:rPr>
          <w:rFonts w:eastAsia="Yu Gothic Light"/>
        </w:rPr>
      </w:pPr>
      <w:r w:rsidRPr="000F6CD1">
        <w:rPr>
          <w:rFonts w:eastAsia="Yu Gothic Light"/>
        </w:rPr>
        <w:t>Have been approved for two episodes or two separate units of Restorative Care funding within the past 12 months or have recently accessed Restorative Care (a 90 day gap is required from the end of the 16-week period associated with the first episode of care). </w:t>
      </w:r>
    </w:p>
    <w:p w14:paraId="271BC5DA" w14:textId="77777777" w:rsidR="004D556D" w:rsidRPr="000F6CD1" w:rsidRDefault="004D556D" w:rsidP="00DF3F6B">
      <w:pPr>
        <w:numPr>
          <w:ilvl w:val="0"/>
          <w:numId w:val="272"/>
        </w:numPr>
        <w:spacing w:before="120" w:after="120" w:line="240" w:lineRule="auto"/>
        <w:ind w:left="714" w:hanging="357"/>
        <w:rPr>
          <w:rFonts w:eastAsia="Yu Gothic Light"/>
        </w:rPr>
      </w:pPr>
      <w:r w:rsidRPr="000F6CD1">
        <w:rPr>
          <w:rFonts w:eastAsia="Yu Gothic Light"/>
        </w:rPr>
        <w:t xml:space="preserve">Are receiving, or are eligible to receive, services under the Transition Care Program </w:t>
      </w:r>
    </w:p>
    <w:p w14:paraId="6F81F9DC" w14:textId="77EEF1A4" w:rsidR="004D556D" w:rsidRPr="000F6CD1" w:rsidRDefault="004D556D" w:rsidP="00DF3F6B">
      <w:pPr>
        <w:numPr>
          <w:ilvl w:val="0"/>
          <w:numId w:val="273"/>
        </w:numPr>
        <w:spacing w:before="120" w:after="120" w:line="240" w:lineRule="auto"/>
        <w:ind w:left="714" w:hanging="357"/>
        <w:rPr>
          <w:rFonts w:eastAsia="Yu Gothic Light"/>
        </w:rPr>
      </w:pPr>
      <w:r w:rsidRPr="000F6CD1">
        <w:rPr>
          <w:rFonts w:eastAsia="Yu Gothic Light"/>
        </w:rPr>
        <w:t>Are in permanent residential aged care.</w:t>
      </w:r>
      <w:r w:rsidR="008D7D37" w:rsidRPr="000F6CD1">
        <w:rPr>
          <w:rFonts w:eastAsia="Yu Gothic Light"/>
        </w:rPr>
        <w:t xml:space="preserve"> </w:t>
      </w:r>
    </w:p>
    <w:p w14:paraId="685B5991" w14:textId="6AF803C0" w:rsidR="004D556D" w:rsidRPr="000F6CD1" w:rsidRDefault="004D556D" w:rsidP="00622CFF">
      <w:pPr>
        <w:spacing w:before="240" w:after="240" w:line="240" w:lineRule="auto"/>
        <w:rPr>
          <w:rFonts w:eastAsia="Yu Gothic Light"/>
        </w:rPr>
      </w:pPr>
      <w:r w:rsidRPr="000F6CD1">
        <w:rPr>
          <w:rFonts w:eastAsia="Yu Gothic Light"/>
        </w:rPr>
        <w:t>Individuals who have been approved for the RCP may access services through Multi-Purpose Services Program or National Aboriginal and Torres Strait Islander Flexible Aged Care Program, if eligible for those programs and in-line with program rules.</w:t>
      </w:r>
      <w:r w:rsidR="008D7D37" w:rsidRPr="000F6CD1">
        <w:rPr>
          <w:rFonts w:eastAsia="Yu Gothic Light"/>
        </w:rPr>
        <w:t xml:space="preserve"> </w:t>
      </w:r>
    </w:p>
    <w:p w14:paraId="1387F834" w14:textId="7C1821CD" w:rsidR="004D556D" w:rsidRPr="000F6CD1" w:rsidRDefault="004D556D" w:rsidP="00622CFF">
      <w:pPr>
        <w:spacing w:before="240" w:after="240" w:line="240" w:lineRule="auto"/>
        <w:rPr>
          <w:rFonts w:eastAsia="Yu Gothic Light"/>
        </w:rPr>
      </w:pPr>
      <w:r w:rsidRPr="000F6CD1">
        <w:rPr>
          <w:rFonts w:eastAsia="Yu Gothic Light"/>
        </w:rPr>
        <w:t>Assessment</w:t>
      </w:r>
      <w:r w:rsidRPr="000F6CD1" w:rsidDel="00D36C4D">
        <w:rPr>
          <w:rFonts w:eastAsia="Yu Gothic Light"/>
        </w:rPr>
        <w:t xml:space="preserve"> </w:t>
      </w:r>
      <w:r w:rsidRPr="000F6CD1">
        <w:rPr>
          <w:rFonts w:eastAsia="Yu Gothic Light"/>
        </w:rPr>
        <w:t>delegates should be aware when a client who has an ongoing SaH classification and is reassessed for the RCP there is no impact on the person’s current ongoing SaH classification or position in the SaH Priority System. A new ongoing SaH classification and RCP are unable to be recommended at the same time. Assessors and Assessment Delegates should consider a person’s current ongoing needs before recommending the RCP episode. If an older person needs a new ongoing classification, they will need to be reassessed following the RCP episode.</w:t>
      </w:r>
      <w:r w:rsidR="008D7D37" w:rsidRPr="000F6CD1">
        <w:rPr>
          <w:rFonts w:eastAsia="Yu Gothic Light"/>
        </w:rPr>
        <w:t xml:space="preserve"> </w:t>
      </w:r>
    </w:p>
    <w:p w14:paraId="6249A546" w14:textId="77777777" w:rsidR="004D556D" w:rsidRPr="000F6CD1" w:rsidRDefault="004D556D" w:rsidP="00E72609">
      <w:pPr>
        <w:pStyle w:val="H4"/>
        <w:rPr>
          <w:b w:val="0"/>
          <w:color w:val="1E1444"/>
        </w:rPr>
      </w:pPr>
      <w:r w:rsidRPr="000F6CD1">
        <w:t>Manual oversight of restorative care places </w:t>
      </w:r>
    </w:p>
    <w:p w14:paraId="3E566C16" w14:textId="55A49FCC" w:rsidR="004D556D" w:rsidRPr="000F6CD1" w:rsidRDefault="004D556D" w:rsidP="00622CFF">
      <w:pPr>
        <w:spacing w:before="240" w:after="240" w:line="240" w:lineRule="auto"/>
        <w:rPr>
          <w:rFonts w:eastAsia="Yu Gothic Light"/>
        </w:rPr>
      </w:pPr>
      <w:r w:rsidRPr="000F6CD1">
        <w:rPr>
          <w:rFonts w:eastAsia="Yu Gothic Light"/>
        </w:rPr>
        <w:t>RCP places are capped at 20,000 units per year, managed as around 5,000 units per quarter. From 1 November 2025, system-based visibility of Restorative Care units will not be available. As a result, there will be no in-system prompts or controls to prevent the approval of RCP funding units beyond the quarterly caps. Weekly reports of approvals made will be generated, allowing the Department to monitor RCP approvals and communicate with assessment organisations when approvals approach or exceed the assigned caps.</w:t>
      </w:r>
      <w:r w:rsidR="008D7D37" w:rsidRPr="000F6CD1">
        <w:rPr>
          <w:rFonts w:eastAsia="Yu Gothic Light"/>
        </w:rPr>
        <w:t xml:space="preserve"> </w:t>
      </w:r>
    </w:p>
    <w:p w14:paraId="147D52EC" w14:textId="5720738E" w:rsidR="004D556D" w:rsidRPr="000F6CD1" w:rsidRDefault="004D556D" w:rsidP="00622CFF">
      <w:pPr>
        <w:spacing w:before="240" w:after="240" w:line="240" w:lineRule="auto"/>
        <w:rPr>
          <w:rFonts w:eastAsia="Yu Gothic Light"/>
        </w:rPr>
      </w:pPr>
      <w:r w:rsidRPr="000F6CD1">
        <w:rPr>
          <w:rFonts w:eastAsia="Yu Gothic Light"/>
        </w:rPr>
        <w:t>In addition to RCP approvals confirmed after 1 November 2025, those with an active Short-Term Restorative Care (STRC) approval (who did not start STRC before 1 November 2025), will have their approvals transferred into an approval for RCP.</w:t>
      </w:r>
      <w:r w:rsidR="008D7D37" w:rsidRPr="000F6CD1">
        <w:rPr>
          <w:rFonts w:eastAsia="Yu Gothic Light"/>
        </w:rPr>
        <w:t xml:space="preserve"> </w:t>
      </w:r>
    </w:p>
    <w:p w14:paraId="26E2F3CA" w14:textId="36119DFF" w:rsidR="004D556D" w:rsidRPr="000F6CD1" w:rsidRDefault="004D556D" w:rsidP="00DC6357">
      <w:r w:rsidRPr="000F6CD1">
        <w:t>Note for this cohort using their STRC approval to access the RCP: they will also be accessing the RCP units of funding for the first six months from 1 November 2025.</w:t>
      </w:r>
      <w:r w:rsidR="008D7D37" w:rsidRPr="000F6CD1">
        <w:t xml:space="preserve"> </w:t>
      </w:r>
    </w:p>
    <w:p w14:paraId="6BAF4DDE" w14:textId="65ABBBC8" w:rsidR="004D556D" w:rsidRPr="000F6CD1" w:rsidRDefault="004D556D" w:rsidP="00D90607">
      <w:pPr>
        <w:rPr>
          <w:rFonts w:eastAsia="Yu Gothic Light"/>
        </w:rPr>
      </w:pPr>
      <w:r w:rsidRPr="000F6CD1">
        <w:t xml:space="preserve">A second unit of funding to use within a single RCP episode can be requested via a support plan review (SPR) request noting the assessor will need to </w:t>
      </w:r>
      <w:r w:rsidRPr="000F6CD1">
        <w:rPr>
          <w:rFonts w:eastAsia="Yu Gothic Light"/>
        </w:rPr>
        <w:t xml:space="preserve">self-refer this for reassessment to grant access to a second unit of funding (see Chapter </w:t>
      </w:r>
      <w:r w:rsidRPr="000F6CD1">
        <w:rPr>
          <w:rFonts w:eastAsia="Yu Gothic Light"/>
        </w:rPr>
        <w:fldChar w:fldCharType="begin"/>
      </w:r>
      <w:r w:rsidRPr="000F6CD1">
        <w:rPr>
          <w:rFonts w:eastAsia="Yu Gothic Light"/>
        </w:rPr>
        <w:instrText xml:space="preserve"> REF _Ref212736230 \w \h </w:instrText>
      </w:r>
      <w:r w:rsidRPr="000F6CD1">
        <w:rPr>
          <w:rFonts w:eastAsia="Yu Gothic Light"/>
        </w:rPr>
      </w:r>
      <w:r w:rsidRPr="000F6CD1">
        <w:rPr>
          <w:rFonts w:eastAsia="Yu Gothic Light"/>
        </w:rPr>
        <w:fldChar w:fldCharType="separate"/>
      </w:r>
      <w:r w:rsidR="004B171E">
        <w:rPr>
          <w:rFonts w:eastAsia="Yu Gothic Light"/>
        </w:rPr>
        <w:t>6</w:t>
      </w:r>
      <w:r w:rsidRPr="000F6CD1">
        <w:rPr>
          <w:rFonts w:eastAsia="Yu Gothic Light"/>
        </w:rPr>
        <w:fldChar w:fldCharType="end"/>
      </w:r>
      <w:r w:rsidRPr="000F6CD1">
        <w:rPr>
          <w:rFonts w:eastAsia="Yu Gothic Light"/>
        </w:rPr>
        <w:t xml:space="preserve">). </w:t>
      </w:r>
    </w:p>
    <w:p w14:paraId="3F4B3469" w14:textId="77777777" w:rsidR="004D556D" w:rsidRPr="000F6CD1" w:rsidRDefault="004D556D" w:rsidP="00622CFF">
      <w:pPr>
        <w:spacing w:before="240" w:after="240" w:line="240" w:lineRule="auto"/>
        <w:rPr>
          <w:rFonts w:eastAsia="Yu Gothic Light"/>
        </w:rPr>
      </w:pPr>
      <w:r w:rsidRPr="000F6CD1">
        <w:rPr>
          <w:rFonts w:eastAsia="Yu Gothic Light"/>
        </w:rPr>
        <w:t>The decision to approve a second unit will be informed by evidence submitted by the provider with the SPR request. Availability of the RCP funding units may also be considered. When a request for a second unit of RCP is received assessors should confirm if there is approval for STRC and RCP on the client’s record. If there is approval for both, the assessor will need to confirm with the client if they entered care under the RCP after 1 November 2025 using the STRC approval. If this is the case, then the assessor must not approve a third unit of RCP funding. </w:t>
      </w:r>
    </w:p>
    <w:p w14:paraId="4326763D" w14:textId="77777777" w:rsidR="004D556D" w:rsidRPr="000F6CD1" w:rsidRDefault="004D556D" w:rsidP="00622CFF">
      <w:pPr>
        <w:spacing w:before="240" w:after="240" w:line="240" w:lineRule="auto"/>
        <w:rPr>
          <w:rFonts w:eastAsia="Yu Gothic Light"/>
        </w:rPr>
      </w:pPr>
      <w:r w:rsidRPr="000F6CD1">
        <w:rPr>
          <w:rFonts w:eastAsia="Yu Gothic Light"/>
        </w:rPr>
        <w:t>If the participant is eligible to access an additional restorative care pathway they must wait at least 12 months before accessing another episode. </w:t>
      </w:r>
    </w:p>
    <w:p w14:paraId="3592D0B0" w14:textId="35B38997" w:rsidR="004D556D" w:rsidRPr="000F6CD1" w:rsidRDefault="004D556D" w:rsidP="00B52F8F">
      <w:pPr>
        <w:spacing w:before="240" w:after="240" w:line="240" w:lineRule="auto"/>
      </w:pPr>
      <w:r w:rsidRPr="000F6CD1">
        <w:lastRenderedPageBreak/>
        <w:t>Assessment</w:t>
      </w:r>
      <w:r w:rsidRPr="000F6CD1" w:rsidDel="005B3CCC">
        <w:t xml:space="preserve"> </w:t>
      </w:r>
      <w:r w:rsidRPr="000F6CD1">
        <w:t>delegates will need to remain acutely aware of any communication from the department regarding RCP caps to ensure they are making informed decisions. These communications will be the </w:t>
      </w:r>
      <w:r w:rsidRPr="000F6CD1">
        <w:rPr>
          <w:b/>
          <w:bCs/>
        </w:rPr>
        <w:t>primary tool</w:t>
      </w:r>
      <w:r w:rsidRPr="000F6CD1">
        <w:t> for identifying when the allocation of RCP units are close to being fully utilised. Being responsive to these insights is essential for maintaining compliance with pathway limits and avoiding over-allocation.</w:t>
      </w:r>
    </w:p>
    <w:p w14:paraId="5C5CB133" w14:textId="77777777" w:rsidR="004D556D" w:rsidRPr="000F6CD1" w:rsidRDefault="004D556D" w:rsidP="00E72609">
      <w:pPr>
        <w:pStyle w:val="H4"/>
        <w:rPr>
          <w:b w:val="0"/>
          <w:color w:val="1E1444"/>
        </w:rPr>
      </w:pPr>
      <w:r w:rsidRPr="000F6CD1">
        <w:t>Restorative care funding</w:t>
      </w:r>
    </w:p>
    <w:p w14:paraId="6B06D362" w14:textId="77777777" w:rsidR="004D556D" w:rsidRPr="000F6CD1" w:rsidRDefault="004D556D" w:rsidP="00622CFF">
      <w:pPr>
        <w:spacing w:before="240" w:after="240" w:line="240" w:lineRule="auto"/>
        <w:rPr>
          <w:rFonts w:eastAsia="Yu Gothic Light"/>
        </w:rPr>
      </w:pPr>
      <w:r w:rsidRPr="000F6CD1">
        <w:rPr>
          <w:rFonts w:eastAsia="Yu Gothic Light"/>
        </w:rPr>
        <w:t>The Restorative Care Pathway (RCP) provides around $6,000 of funding (one unit), for up to 16 weeks. The total amount of funding a participant uses and length of time to complete an episode can differ. Restorative care partners will consider this when developing the goal plan.</w:t>
      </w:r>
    </w:p>
    <w:p w14:paraId="7FE838FB" w14:textId="77777777" w:rsidR="004D556D" w:rsidRPr="000F6CD1" w:rsidRDefault="004D556D" w:rsidP="00622CFF">
      <w:pPr>
        <w:spacing w:before="240" w:after="240" w:line="240" w:lineRule="auto"/>
        <w:rPr>
          <w:rFonts w:eastAsia="Yu Gothic Light"/>
        </w:rPr>
      </w:pPr>
      <w:r w:rsidRPr="000F6CD1">
        <w:rPr>
          <w:rFonts w:eastAsia="Yu Gothic Light"/>
        </w:rPr>
        <w:t>At times, participants with higher needs may require additional funding over and above the $6,000 allocated per episode. If the participant requires additional funding within a single 16-week episode, the provider can submit a request for a support plan review. If certain circumstances are met, approval can be given for the additional $6,000 in funds to support the episode.</w:t>
      </w:r>
    </w:p>
    <w:p w14:paraId="0ADEE20F" w14:textId="77777777" w:rsidR="004D556D" w:rsidRPr="000F6CD1" w:rsidRDefault="004D556D" w:rsidP="00622CFF">
      <w:pPr>
        <w:spacing w:before="240" w:after="240" w:line="240" w:lineRule="auto"/>
        <w:rPr>
          <w:rFonts w:eastAsia="Yu Gothic Light"/>
        </w:rPr>
      </w:pPr>
      <w:r w:rsidRPr="000F6CD1">
        <w:rPr>
          <w:rFonts w:eastAsia="Yu Gothic Light"/>
        </w:rPr>
        <w:t>If approved, a participant can access an additional unit of funding (up to $6,000), to provide a combined total of up to $12,000 (two units), for a single episode of restorative care. If additional funding is approved, a participant will not be eligible for a further episode of restorative care within a 12-month period as they have accessed the maximum 2 units of funding within the first episode.</w:t>
      </w:r>
    </w:p>
    <w:p w14:paraId="23930A14" w14:textId="77777777" w:rsidR="004D556D" w:rsidRPr="000F6CD1" w:rsidRDefault="004D556D" w:rsidP="00622CFF">
      <w:pPr>
        <w:spacing w:before="240" w:after="240" w:line="240" w:lineRule="auto"/>
        <w:rPr>
          <w:rFonts w:eastAsia="Yu Gothic Light"/>
          <w:b/>
        </w:rPr>
      </w:pPr>
      <w:r w:rsidRPr="000F6CD1">
        <w:rPr>
          <w:rFonts w:eastAsia="Yu Gothic Light"/>
          <w:b/>
        </w:rPr>
        <w:t xml:space="preserve">Important: </w:t>
      </w:r>
    </w:p>
    <w:p w14:paraId="5AF676AF" w14:textId="77777777" w:rsidR="004D556D" w:rsidRPr="000F6CD1" w:rsidRDefault="004D556D" w:rsidP="00DF3F6B">
      <w:pPr>
        <w:numPr>
          <w:ilvl w:val="0"/>
          <w:numId w:val="168"/>
        </w:numPr>
        <w:spacing w:before="240" w:after="240" w:line="240" w:lineRule="auto"/>
        <w:contextualSpacing/>
        <w:rPr>
          <w:rFonts w:eastAsia="Yu Gothic Light"/>
        </w:rPr>
      </w:pPr>
      <w:r w:rsidRPr="000F6CD1">
        <w:rPr>
          <w:rFonts w:eastAsia="Yu Gothic Light"/>
        </w:rPr>
        <w:t xml:space="preserve">The decision to approve additional concurrent funding to the RCP episode is made under subsection 195-3 of the </w:t>
      </w:r>
      <w:r w:rsidRPr="000F6CD1">
        <w:rPr>
          <w:rFonts w:eastAsia="Yu Gothic Light"/>
          <w:i/>
          <w:iCs/>
        </w:rPr>
        <w:t>Aged Care Rules 2025 (the Rules)</w:t>
      </w:r>
      <w:r w:rsidRPr="000F6CD1">
        <w:rPr>
          <w:rFonts w:eastAsia="Yu Gothic Light"/>
        </w:rPr>
        <w:t xml:space="preserve">. It is a non-reviewable decision. The criteria in the Rules includes that required evidence must be given by the participant’s provider and there must be units of funding available for approval. </w:t>
      </w:r>
    </w:p>
    <w:p w14:paraId="3C33F41C" w14:textId="77777777" w:rsidR="004D556D" w:rsidRPr="000F6CD1" w:rsidRDefault="004D556D" w:rsidP="00DF3F6B">
      <w:pPr>
        <w:numPr>
          <w:ilvl w:val="0"/>
          <w:numId w:val="168"/>
        </w:numPr>
        <w:spacing w:before="240" w:after="240" w:line="240" w:lineRule="auto"/>
        <w:contextualSpacing/>
        <w:rPr>
          <w:rFonts w:eastAsia="Yu Gothic Light"/>
        </w:rPr>
      </w:pPr>
      <w:r w:rsidRPr="000F6CD1">
        <w:rPr>
          <w:rFonts w:eastAsia="Yu Gothic Light"/>
        </w:rPr>
        <w:t xml:space="preserve">The assessment delegate must send a letter to the older person (and their registered supporter/s and/or appointed decision maker/s, if applicable) notifying them of the outcome of the application for the additional funding. </w:t>
      </w:r>
    </w:p>
    <w:p w14:paraId="3028BC86" w14:textId="77777777" w:rsidR="004D556D" w:rsidRPr="000F6CD1" w:rsidRDefault="004D556D">
      <w:pPr>
        <w:pStyle w:val="H4"/>
      </w:pPr>
      <w:r w:rsidRPr="000F6CD1">
        <w:t>Approving the End-of-Life Pathway </w:t>
      </w:r>
    </w:p>
    <w:p w14:paraId="25D53F2B" w14:textId="77777777" w:rsidR="004D556D" w:rsidRPr="000F6CD1" w:rsidRDefault="004D556D" w:rsidP="00622CFF">
      <w:pPr>
        <w:spacing w:before="240" w:after="240" w:line="240" w:lineRule="auto"/>
        <w:rPr>
          <w:rFonts w:eastAsia="Yu Gothic Light"/>
        </w:rPr>
      </w:pPr>
      <w:r w:rsidRPr="000F6CD1">
        <w:rPr>
          <w:rFonts w:eastAsia="Yu Gothic Light"/>
        </w:rPr>
        <w:t>The End-of-Life (EoL) Pathway is one of the short-term home support classifications under the Support at Home program. It provides 12 weeks of funded support at around $25,000 for older people who are medically assessed to have three months or less to live</w:t>
      </w:r>
      <w:r w:rsidRPr="000F6CD1">
        <w:rPr>
          <w:rFonts w:eastAsia="Yu Gothic Light"/>
          <w:b/>
        </w:rPr>
        <w:t xml:space="preserve"> </w:t>
      </w:r>
      <w:r w:rsidRPr="000F6CD1">
        <w:rPr>
          <w:rFonts w:eastAsia="Yu Gothic Light"/>
        </w:rPr>
        <w:t>and have an Australian-modified Karnofsky Performance Status score of 40 or less</w:t>
      </w:r>
      <w:r w:rsidRPr="000F6CD1" w:rsidDel="004C36AF">
        <w:rPr>
          <w:rFonts w:eastAsia="Yu Gothic Light"/>
        </w:rPr>
        <w:t>.</w:t>
      </w:r>
      <w:r w:rsidRPr="000F6CD1">
        <w:rPr>
          <w:rFonts w:eastAsia="Yu Gothic Light"/>
        </w:rPr>
        <w:t xml:space="preserve"> The pathway is designed to enable people to remain at home with appropriate care during their final stage of life. </w:t>
      </w:r>
    </w:p>
    <w:p w14:paraId="00E509F9" w14:textId="77777777" w:rsidR="004D556D" w:rsidRPr="000F6CD1" w:rsidRDefault="004D556D" w:rsidP="00E72609">
      <w:pPr>
        <w:pStyle w:val="H4"/>
        <w:rPr>
          <w:bCs/>
        </w:rPr>
      </w:pPr>
      <w:r w:rsidRPr="000F6CD1">
        <w:t>End-of-Life Pathway form </w:t>
      </w:r>
    </w:p>
    <w:p w14:paraId="6DBC5585" w14:textId="77777777" w:rsidR="004D556D" w:rsidRPr="000F6CD1" w:rsidRDefault="004D556D" w:rsidP="00622CFF">
      <w:pPr>
        <w:spacing w:before="240" w:after="240" w:line="240" w:lineRule="auto"/>
        <w:rPr>
          <w:rFonts w:eastAsia="Yu Gothic Light"/>
        </w:rPr>
      </w:pPr>
      <w:r w:rsidRPr="000F6CD1">
        <w:rPr>
          <w:rFonts w:eastAsia="Yu Gothic Light"/>
        </w:rPr>
        <w:t>The End-of-Life Pathway form is used to document the required medical evidence for accessing the End-of-Life Pathway under the Support at Home program. An individual seeking access to the End-of-Life Pathway must complete all relevant sections and present this form to a medical practitioner or nurse practitioner for completion. The completed form should then be submitted as part of the assessment process—either before or during triage, or assessment—and reviewed to confirm eligibility for the End-of-Life Pathway. </w:t>
      </w:r>
    </w:p>
    <w:p w14:paraId="6D29B4C5"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The assessment</w:t>
      </w:r>
      <w:r w:rsidRPr="000F6CD1" w:rsidDel="00D36C4D">
        <w:rPr>
          <w:rFonts w:eastAsia="Yu Gothic Light"/>
        </w:rPr>
        <w:t xml:space="preserve"> </w:t>
      </w:r>
      <w:r w:rsidRPr="000F6CD1">
        <w:rPr>
          <w:rFonts w:eastAsia="Yu Gothic Light"/>
        </w:rPr>
        <w:t>delegate is responsible for verifying the completion of this form in the older person’s record when the End-of-Life Pathway has been flagged in the My Aged Care assessor portal. </w:t>
      </w:r>
    </w:p>
    <w:p w14:paraId="7408CCB2" w14:textId="77777777" w:rsidR="004D556D" w:rsidRPr="000F6CD1" w:rsidRDefault="004D556D" w:rsidP="00622CFF">
      <w:pPr>
        <w:spacing w:before="240" w:after="240" w:line="240" w:lineRule="auto"/>
        <w:rPr>
          <w:rFonts w:eastAsia="Yu Gothic Light"/>
        </w:rPr>
      </w:pPr>
      <w:r w:rsidRPr="000F6CD1">
        <w:rPr>
          <w:rFonts w:eastAsia="Yu Gothic Light"/>
        </w:rPr>
        <w:t>Reviewing the form will involve: </w:t>
      </w:r>
    </w:p>
    <w:p w14:paraId="10A1AE7F" w14:textId="77777777" w:rsidR="004D556D" w:rsidRPr="000F6CD1" w:rsidRDefault="004D556D" w:rsidP="00DF3F6B">
      <w:pPr>
        <w:numPr>
          <w:ilvl w:val="0"/>
          <w:numId w:val="265"/>
        </w:numPr>
        <w:spacing w:before="240" w:after="240" w:line="240" w:lineRule="auto"/>
        <w:rPr>
          <w:rFonts w:eastAsia="Yu Gothic Light"/>
        </w:rPr>
      </w:pPr>
      <w:r w:rsidRPr="000F6CD1">
        <w:rPr>
          <w:rFonts w:eastAsia="Yu Gothic Light"/>
        </w:rPr>
        <w:t>Checking the individual’s details to ensure they match the record in the portal. </w:t>
      </w:r>
    </w:p>
    <w:p w14:paraId="25AFEBEB" w14:textId="77777777" w:rsidR="004D556D" w:rsidRPr="000F6CD1" w:rsidRDefault="004D556D" w:rsidP="00DF3F6B">
      <w:pPr>
        <w:numPr>
          <w:ilvl w:val="0"/>
          <w:numId w:val="266"/>
        </w:numPr>
        <w:spacing w:before="240" w:after="240" w:line="240" w:lineRule="auto"/>
        <w:rPr>
          <w:rFonts w:eastAsia="Yu Gothic Light"/>
        </w:rPr>
      </w:pPr>
      <w:r w:rsidRPr="000F6CD1">
        <w:rPr>
          <w:rFonts w:eastAsia="Yu Gothic Light"/>
        </w:rPr>
        <w:t>Verifying the completion of all areas of the Medical Assessment section to confirm  </w:t>
      </w:r>
    </w:p>
    <w:p w14:paraId="68FA6F89" w14:textId="77777777" w:rsidR="004D556D" w:rsidRPr="000F6CD1" w:rsidRDefault="004D556D" w:rsidP="00DF3F6B">
      <w:pPr>
        <w:numPr>
          <w:ilvl w:val="0"/>
          <w:numId w:val="471"/>
        </w:numPr>
        <w:spacing w:before="240" w:after="240" w:line="240" w:lineRule="auto"/>
        <w:rPr>
          <w:rFonts w:eastAsia="Yu Gothic Light"/>
        </w:rPr>
      </w:pPr>
      <w:r w:rsidRPr="000F6CD1">
        <w:rPr>
          <w:rFonts w:eastAsia="Yu Gothic Light"/>
        </w:rPr>
        <w:t>The individual has a prognosis of a life expectancy of three months or less,  </w:t>
      </w:r>
      <w:r w:rsidRPr="000F6CD1">
        <w:rPr>
          <w:rFonts w:eastAsia="Yu Gothic Light"/>
          <w:bCs/>
        </w:rPr>
        <w:t>and</w:t>
      </w:r>
      <w:r w:rsidRPr="000F6CD1">
        <w:rPr>
          <w:rFonts w:eastAsia="Yu Gothic Light"/>
          <w:b/>
        </w:rPr>
        <w:t> </w:t>
      </w:r>
      <w:r w:rsidRPr="000F6CD1">
        <w:rPr>
          <w:rFonts w:eastAsia="Yu Gothic Light"/>
        </w:rPr>
        <w:t> </w:t>
      </w:r>
    </w:p>
    <w:p w14:paraId="6A95BA73" w14:textId="77777777" w:rsidR="004D556D" w:rsidRPr="000F6CD1" w:rsidRDefault="004D556D" w:rsidP="00DF3F6B">
      <w:pPr>
        <w:numPr>
          <w:ilvl w:val="0"/>
          <w:numId w:val="471"/>
        </w:numPr>
        <w:spacing w:before="240" w:after="240" w:line="240" w:lineRule="auto"/>
        <w:rPr>
          <w:rFonts w:eastAsia="Yu Gothic Light"/>
        </w:rPr>
      </w:pPr>
      <w:r w:rsidRPr="000F6CD1">
        <w:rPr>
          <w:rFonts w:eastAsia="Yu Gothic Light"/>
        </w:rPr>
        <w:t>An Australian-modified Karnofsky Performance Status (AKPS) score of 40 or less. </w:t>
      </w:r>
    </w:p>
    <w:p w14:paraId="0D1ECC42" w14:textId="77777777" w:rsidR="004D556D" w:rsidRPr="000F6CD1" w:rsidRDefault="004D556D" w:rsidP="00DF3F6B">
      <w:pPr>
        <w:numPr>
          <w:ilvl w:val="0"/>
          <w:numId w:val="471"/>
        </w:numPr>
        <w:spacing w:before="240" w:after="240" w:line="240" w:lineRule="auto"/>
        <w:rPr>
          <w:rFonts w:eastAsia="Yu Gothic Light"/>
        </w:rPr>
      </w:pPr>
      <w:r w:rsidRPr="000F6CD1">
        <w:rPr>
          <w:rFonts w:eastAsia="Yu Gothic Light"/>
          <w:bCs/>
        </w:rPr>
        <w:t>Medical practitioner or nurse practitioner has</w:t>
      </w:r>
      <w:r w:rsidRPr="000F6CD1">
        <w:rPr>
          <w:rFonts w:eastAsia="Yu Gothic Light"/>
        </w:rPr>
        <w:t xml:space="preserve"> completed and signed the form. </w:t>
      </w:r>
    </w:p>
    <w:p w14:paraId="718ECAD4" w14:textId="77777777" w:rsidR="004D556D" w:rsidRPr="000F6CD1" w:rsidRDefault="004D556D" w:rsidP="00622CFF">
      <w:pPr>
        <w:spacing w:before="240" w:after="240" w:line="240" w:lineRule="auto"/>
        <w:rPr>
          <w:rFonts w:eastAsia="Yu Gothic Light"/>
        </w:rPr>
      </w:pPr>
      <w:r w:rsidRPr="000F6CD1">
        <w:rPr>
          <w:rFonts w:eastAsia="Yu Gothic Light"/>
        </w:rPr>
        <w:t xml:space="preserve">An individual will </w:t>
      </w:r>
      <w:r w:rsidRPr="000F6CD1">
        <w:rPr>
          <w:rFonts w:eastAsia="Yu Gothic Light"/>
          <w:b/>
          <w:bCs/>
        </w:rPr>
        <w:t>not</w:t>
      </w:r>
      <w:r w:rsidRPr="000F6CD1">
        <w:rPr>
          <w:rFonts w:eastAsia="Yu Gothic Light"/>
        </w:rPr>
        <w:t xml:space="preserve"> be eligible for approval for the End-of-Life Pathway if the required criteria outlined in the medical assessment section are not met. </w:t>
      </w:r>
    </w:p>
    <w:p w14:paraId="0E081277" w14:textId="77777777" w:rsidR="004D556D" w:rsidRPr="000F6CD1" w:rsidRDefault="004D556D" w:rsidP="00AD2CE5">
      <w:pPr>
        <w:pStyle w:val="H3"/>
      </w:pPr>
      <w:r w:rsidRPr="000F6CD1">
        <w:t>Step 3. Decide the service types and services</w:t>
      </w:r>
    </w:p>
    <w:p w14:paraId="66B924FD" w14:textId="77777777" w:rsidR="004D556D" w:rsidRPr="000F6CD1" w:rsidRDefault="004D556D">
      <w:pPr>
        <w:pStyle w:val="H4"/>
      </w:pPr>
      <w:bookmarkStart w:id="731" w:name="_Toc1059306426"/>
      <w:bookmarkStart w:id="732" w:name="_Toc199344549"/>
      <w:bookmarkStart w:id="733" w:name="_Toc205372084"/>
      <w:bookmarkStart w:id="734" w:name="_Toc207713989"/>
      <w:bookmarkStart w:id="735" w:name="_Toc198787171"/>
      <w:r w:rsidRPr="000F6CD1">
        <w:t>Older person is Aboriginal and Torres Strait Islander</w:t>
      </w:r>
      <w:bookmarkEnd w:id="731"/>
      <w:bookmarkEnd w:id="732"/>
      <w:bookmarkEnd w:id="733"/>
      <w:bookmarkEnd w:id="734"/>
    </w:p>
    <w:p w14:paraId="67CCDBDE" w14:textId="77777777" w:rsidR="004D556D" w:rsidRPr="000F6CD1" w:rsidRDefault="004D556D" w:rsidP="00622CFF">
      <w:pPr>
        <w:spacing w:before="240" w:after="240" w:line="240" w:lineRule="auto"/>
        <w:rPr>
          <w:rFonts w:eastAsia="Yu Gothic Light"/>
        </w:rPr>
      </w:pPr>
      <w:r w:rsidRPr="000F6CD1">
        <w:rPr>
          <w:rFonts w:eastAsia="Yu Gothic Light"/>
          <w:bCs/>
        </w:rPr>
        <w:t>If the older person is an Aboriginal or Torres Strait Islander person,</w:t>
      </w:r>
      <w:r w:rsidRPr="000F6CD1">
        <w:rPr>
          <w:rFonts w:eastAsia="Yu Gothic Light"/>
        </w:rPr>
        <w:t xml:space="preserve"> the </w:t>
      </w:r>
      <w:r w:rsidRPr="000F6CD1">
        <w:rPr>
          <w:rFonts w:eastAsia="Yu Gothic Light"/>
          <w:i/>
          <w:iCs/>
        </w:rPr>
        <w:t>Aged Care Act 2024</w:t>
      </w:r>
      <w:r w:rsidRPr="000F6CD1">
        <w:rPr>
          <w:rFonts w:eastAsia="Yu Gothic Light"/>
        </w:rPr>
        <w:t xml:space="preserve"> (the Act) provides that they only need to be approved for one or more service groups. That is, under the Act they are automatically approved for all the service types and services in any service group they are approved for. However, an Assessment Delegate will still need to make sure that all the service types and services they are approved for are selected in the system (more guidance on this follows below).</w:t>
      </w:r>
    </w:p>
    <w:p w14:paraId="391BCB4F" w14:textId="77777777" w:rsidR="004D556D" w:rsidRPr="000F6CD1" w:rsidRDefault="004D556D">
      <w:pPr>
        <w:pStyle w:val="H4"/>
      </w:pPr>
      <w:bookmarkStart w:id="736" w:name="_Toc1132258255"/>
      <w:bookmarkStart w:id="737" w:name="_Toc199344550"/>
      <w:bookmarkStart w:id="738" w:name="_Toc205372085"/>
      <w:bookmarkStart w:id="739" w:name="_Toc207713990"/>
      <w:r w:rsidRPr="000F6CD1">
        <w:t>Older person is neither Aboriginal nor Torres Strait Islander</w:t>
      </w:r>
      <w:bookmarkEnd w:id="736"/>
      <w:bookmarkEnd w:id="737"/>
      <w:bookmarkEnd w:id="738"/>
      <w:bookmarkEnd w:id="739"/>
    </w:p>
    <w:p w14:paraId="7A53729B" w14:textId="77777777" w:rsidR="004D556D" w:rsidRPr="000F6CD1" w:rsidRDefault="004D556D" w:rsidP="00622CFF">
      <w:pPr>
        <w:spacing w:before="240" w:after="240" w:line="240" w:lineRule="auto"/>
        <w:rPr>
          <w:rFonts w:eastAsia="Yu Gothic Light"/>
        </w:rPr>
      </w:pPr>
      <w:r w:rsidRPr="000F6CD1">
        <w:rPr>
          <w:rFonts w:eastAsia="Yu Gothic Light"/>
          <w:bCs/>
        </w:rPr>
        <w:t xml:space="preserve">If the older person is </w:t>
      </w:r>
      <w:r w:rsidRPr="000F6CD1">
        <w:rPr>
          <w:rFonts w:eastAsia="Yu Gothic Light"/>
          <w:bCs/>
          <w:u w:val="single"/>
        </w:rPr>
        <w:t>not</w:t>
      </w:r>
      <w:r w:rsidRPr="000F6CD1">
        <w:rPr>
          <w:rFonts w:eastAsia="Yu Gothic Light"/>
          <w:bCs/>
        </w:rPr>
        <w:t xml:space="preserve"> an Aboriginal or Torres Strait Islander person,</w:t>
      </w:r>
      <w:r w:rsidRPr="000F6CD1">
        <w:rPr>
          <w:rFonts w:eastAsia="Yu Gothic Light"/>
        </w:rPr>
        <w:t xml:space="preserve"> and an Assessment Delegate is approving the </w:t>
      </w:r>
      <w:r w:rsidRPr="000F6CD1">
        <w:rPr>
          <w:rFonts w:eastAsia="Yu Gothic Light"/>
          <w:bCs/>
        </w:rPr>
        <w:t xml:space="preserve">Home Support, Assistive Technology or Home Modifications </w:t>
      </w:r>
      <w:r w:rsidRPr="000F6CD1">
        <w:rPr>
          <w:rFonts w:eastAsia="Yu Gothic Light"/>
        </w:rPr>
        <w:t>service groups, they must decide:</w:t>
      </w:r>
    </w:p>
    <w:p w14:paraId="6E60AD80" w14:textId="77777777" w:rsidR="004D556D" w:rsidRPr="000F6CD1" w:rsidRDefault="004D556D" w:rsidP="00DF3F6B">
      <w:pPr>
        <w:numPr>
          <w:ilvl w:val="0"/>
          <w:numId w:val="240"/>
        </w:numPr>
        <w:spacing w:before="240" w:after="240" w:line="240" w:lineRule="auto"/>
        <w:contextualSpacing/>
        <w:rPr>
          <w:rFonts w:eastAsia="Yu Gothic Light"/>
        </w:rPr>
      </w:pPr>
      <w:r w:rsidRPr="000F6CD1">
        <w:rPr>
          <w:rFonts w:eastAsia="Yu Gothic Light"/>
        </w:rPr>
        <w:t>which service types to approve them for within each service group</w:t>
      </w:r>
    </w:p>
    <w:p w14:paraId="0DECF7D2" w14:textId="77777777" w:rsidR="004D556D" w:rsidRPr="000F6CD1" w:rsidRDefault="004D556D" w:rsidP="00DF3F6B">
      <w:pPr>
        <w:numPr>
          <w:ilvl w:val="0"/>
          <w:numId w:val="240"/>
        </w:numPr>
        <w:spacing w:before="240" w:after="240" w:line="240" w:lineRule="auto"/>
        <w:contextualSpacing/>
        <w:rPr>
          <w:rFonts w:eastAsia="Yu Gothic Light"/>
        </w:rPr>
      </w:pPr>
      <w:r w:rsidRPr="000F6CD1">
        <w:rPr>
          <w:rFonts w:eastAsia="Yu Gothic Light"/>
        </w:rPr>
        <w:t xml:space="preserve">which </w:t>
      </w:r>
      <w:r w:rsidRPr="000F6CD1">
        <w:rPr>
          <w:rFonts w:eastAsia="Yu Gothic Light"/>
          <w:bCs/>
        </w:rPr>
        <w:t xml:space="preserve">services </w:t>
      </w:r>
      <w:r w:rsidRPr="000F6CD1">
        <w:rPr>
          <w:rFonts w:eastAsia="Yu Gothic Light"/>
        </w:rPr>
        <w:t>to approve them for, but</w:t>
      </w:r>
      <w:r w:rsidRPr="000F6CD1">
        <w:rPr>
          <w:rFonts w:eastAsia="Yu Gothic Light"/>
          <w:b/>
        </w:rPr>
        <w:t xml:space="preserve"> </w:t>
      </w:r>
      <w:r w:rsidRPr="000F6CD1">
        <w:rPr>
          <w:rFonts w:eastAsia="Yu Gothic Light"/>
          <w:bCs/>
        </w:rPr>
        <w:t>only if the Assessment Delegate is approving the following</w:t>
      </w:r>
      <w:r w:rsidRPr="000F6CD1">
        <w:rPr>
          <w:rFonts w:eastAsia="Yu Gothic Light"/>
          <w:b/>
        </w:rPr>
        <w:t xml:space="preserve"> </w:t>
      </w:r>
      <w:r w:rsidRPr="000F6CD1">
        <w:rPr>
          <w:rFonts w:eastAsia="Yu Gothic Light" w:hint="eastAsia"/>
          <w:b/>
        </w:rPr>
        <w:t>‘</w:t>
      </w:r>
      <w:r w:rsidRPr="000F6CD1">
        <w:rPr>
          <w:rFonts w:eastAsia="Yu Gothic Light"/>
          <w:bCs/>
        </w:rPr>
        <w:t>prescribed</w:t>
      </w:r>
      <w:r w:rsidRPr="000F6CD1">
        <w:rPr>
          <w:rFonts w:eastAsia="Yu Gothic Light" w:hint="eastAsia"/>
          <w:bCs/>
        </w:rPr>
        <w:t>’</w:t>
      </w:r>
      <w:r w:rsidRPr="000F6CD1">
        <w:rPr>
          <w:rFonts w:eastAsia="Yu Gothic Light"/>
          <w:bCs/>
        </w:rPr>
        <w:t xml:space="preserve"> service types:</w:t>
      </w:r>
      <w:r w:rsidRPr="000F6CD1">
        <w:rPr>
          <w:rFonts w:eastAsia="Yu Gothic Light"/>
        </w:rPr>
        <w:t xml:space="preserve"> </w:t>
      </w:r>
      <w:r w:rsidRPr="000F6CD1">
        <w:rPr>
          <w:rFonts w:eastAsia="Yu Gothic Light"/>
          <w:i/>
        </w:rPr>
        <w:t>Allied health and Therapy</w:t>
      </w:r>
      <w:r w:rsidRPr="000F6CD1">
        <w:rPr>
          <w:rFonts w:eastAsia="Yu Gothic Light"/>
        </w:rPr>
        <w:t xml:space="preserve"> and </w:t>
      </w:r>
      <w:r w:rsidRPr="000F6CD1">
        <w:rPr>
          <w:rFonts w:eastAsia="Yu Gothic Light"/>
          <w:i/>
        </w:rPr>
        <w:t>Therapeutic Services for Independent Living.</w:t>
      </w:r>
    </w:p>
    <w:p w14:paraId="56EBF18E" w14:textId="77777777" w:rsidR="004D556D" w:rsidRPr="000F6CD1" w:rsidRDefault="004D556D" w:rsidP="00622CFF">
      <w:pPr>
        <w:spacing w:before="240" w:after="240" w:line="240" w:lineRule="auto"/>
        <w:rPr>
          <w:rFonts w:eastAsia="Yu Gothic Light"/>
        </w:rPr>
      </w:pPr>
    </w:p>
    <w:p w14:paraId="349EAC41" w14:textId="013017F9" w:rsidR="004D556D" w:rsidRPr="000F6CD1" w:rsidRDefault="00635B22" w:rsidP="00622CFF">
      <w:pPr>
        <w:spacing w:before="240" w:after="240" w:line="240" w:lineRule="auto"/>
        <w:rPr>
          <w:rFonts w:eastAsia="Yu Gothic Light"/>
        </w:rPr>
      </w:pPr>
      <w:r>
        <w:rPr>
          <w:noProof/>
        </w:rPr>
        <w:drawing>
          <wp:anchor distT="0" distB="0" distL="114300" distR="114300" simplePos="0" relativeHeight="251658297" behindDoc="0" locked="0" layoutInCell="1" allowOverlap="1" wp14:anchorId="148D65E0" wp14:editId="2C057F5E">
            <wp:simplePos x="0" y="0"/>
            <wp:positionH relativeFrom="margin">
              <wp:align>left</wp:align>
            </wp:positionH>
            <wp:positionV relativeFrom="margin">
              <wp:posOffset>7972425</wp:posOffset>
            </wp:positionV>
            <wp:extent cx="365760" cy="403860"/>
            <wp:effectExtent l="0" t="0" r="0" b="0"/>
            <wp:wrapSquare wrapText="bothSides"/>
            <wp:docPr id="894249925"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9925"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rPr>
          <w:rFonts w:eastAsia="Yu Gothic Light"/>
        </w:rPr>
        <w:t xml:space="preserve">For any service type </w:t>
      </w:r>
      <w:r w:rsidR="004D556D" w:rsidRPr="000F6CD1">
        <w:rPr>
          <w:rFonts w:eastAsia="Yu Gothic Light"/>
          <w:bCs/>
        </w:rPr>
        <w:t>other than</w:t>
      </w:r>
      <w:r w:rsidR="004D556D" w:rsidRPr="000F6CD1">
        <w:rPr>
          <w:rFonts w:eastAsia="Yu Gothic Light"/>
        </w:rPr>
        <w:t xml:space="preserve"> </w:t>
      </w:r>
      <w:r w:rsidR="004D556D" w:rsidRPr="000F6CD1">
        <w:rPr>
          <w:rFonts w:eastAsia="Yu Gothic Light"/>
          <w:i/>
        </w:rPr>
        <w:t>Allied health and Therapy</w:t>
      </w:r>
      <w:r w:rsidR="004D556D" w:rsidRPr="000F6CD1">
        <w:rPr>
          <w:rFonts w:eastAsia="Yu Gothic Light"/>
        </w:rPr>
        <w:t xml:space="preserve"> and </w:t>
      </w:r>
      <w:r w:rsidR="004D556D" w:rsidRPr="000F6CD1">
        <w:rPr>
          <w:rFonts w:eastAsia="Yu Gothic Light"/>
          <w:i/>
        </w:rPr>
        <w:t>Therapeutic Services for Independent Living</w:t>
      </w:r>
      <w:r w:rsidR="004D556D" w:rsidRPr="000F6CD1">
        <w:rPr>
          <w:rFonts w:eastAsia="Yu Gothic Light"/>
        </w:rPr>
        <w:t xml:space="preserve"> (the </w:t>
      </w:r>
      <w:r w:rsidR="004D556D" w:rsidRPr="000F6CD1">
        <w:rPr>
          <w:rFonts w:eastAsia="Yu Gothic Light" w:hint="eastAsia"/>
        </w:rPr>
        <w:t>‘</w:t>
      </w:r>
      <w:r w:rsidR="004D556D" w:rsidRPr="000F6CD1">
        <w:rPr>
          <w:rFonts w:eastAsia="Yu Gothic Light"/>
        </w:rPr>
        <w:t>non-prescribed</w:t>
      </w:r>
      <w:r w:rsidR="004D556D" w:rsidRPr="000F6CD1">
        <w:rPr>
          <w:rFonts w:eastAsia="Yu Gothic Light" w:hint="eastAsia"/>
        </w:rPr>
        <w:t>’</w:t>
      </w:r>
      <w:r w:rsidR="004D556D" w:rsidRPr="000F6CD1">
        <w:rPr>
          <w:rFonts w:eastAsia="Yu Gothic Light"/>
        </w:rPr>
        <w:t xml:space="preserve"> service types), if an Assessment Delegate thinks the older person needs any service in the service type, then they need to make sure that </w:t>
      </w:r>
      <w:r w:rsidR="004D556D" w:rsidRPr="000F6CD1">
        <w:rPr>
          <w:rFonts w:eastAsia="Yu Gothic Light"/>
          <w:bCs/>
        </w:rPr>
        <w:t>all services</w:t>
      </w:r>
      <w:r w:rsidR="004D556D" w:rsidRPr="000F6CD1">
        <w:rPr>
          <w:rFonts w:eastAsia="Yu Gothic Light"/>
        </w:rPr>
        <w:t xml:space="preserve"> in the service type are selected.</w:t>
      </w:r>
    </w:p>
    <w:p w14:paraId="46430105" w14:textId="77777777" w:rsidR="004D556D" w:rsidRPr="000F6CD1" w:rsidRDefault="004D556D">
      <w:pPr>
        <w:pStyle w:val="H4"/>
      </w:pPr>
      <w:bookmarkStart w:id="740" w:name="_Toc1075657379"/>
      <w:bookmarkStart w:id="741" w:name="_Toc199344551"/>
      <w:bookmarkStart w:id="742" w:name="_Toc205372086"/>
      <w:bookmarkStart w:id="743" w:name="_Toc207713991"/>
      <w:r w:rsidRPr="000F6CD1">
        <w:t>Check to make sure the required services are selected</w:t>
      </w:r>
      <w:bookmarkEnd w:id="740"/>
      <w:bookmarkEnd w:id="741"/>
      <w:bookmarkEnd w:id="742"/>
      <w:bookmarkEnd w:id="743"/>
    </w:p>
    <w:p w14:paraId="138AFAA1"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system currently allows services to be de-selected in the non-prescribed service types, which leaves open the possibility that services the person is actually entitled to are left out. </w:t>
      </w:r>
    </w:p>
    <w:p w14:paraId="55BDB5D9" w14:textId="77777777" w:rsidR="004D556D" w:rsidRPr="000F6CD1" w:rsidRDefault="004D556D" w:rsidP="00622CFF">
      <w:pPr>
        <w:spacing w:before="240" w:after="240" w:line="240" w:lineRule="auto"/>
        <w:rPr>
          <w:rFonts w:eastAsia="Yu Gothic Light"/>
        </w:rPr>
      </w:pPr>
      <w:r w:rsidRPr="000F6CD1">
        <w:rPr>
          <w:rFonts w:eastAsia="Yu Gothic Light"/>
          <w:bCs/>
        </w:rPr>
        <w:lastRenderedPageBreak/>
        <w:t>Assessment delegates need to carefully check to make sure that the all the required services have been selected.</w:t>
      </w:r>
      <w:r w:rsidRPr="000F6CD1">
        <w:rPr>
          <w:rFonts w:eastAsia="Yu Gothic Light"/>
          <w:b/>
        </w:rPr>
        <w:t xml:space="preserve"> </w:t>
      </w:r>
      <w:r w:rsidRPr="000F6CD1">
        <w:rPr>
          <w:rFonts w:eastAsia="Yu Gothic Light"/>
        </w:rPr>
        <w:t>This is particularly important for any approvals given under CHSP, as the services under the service type are not pre-selected in the system.</w:t>
      </w:r>
    </w:p>
    <w:p w14:paraId="69F62AFC" w14:textId="77777777" w:rsidR="004D556D" w:rsidRPr="000F6CD1" w:rsidRDefault="004D556D">
      <w:pPr>
        <w:pStyle w:val="H4"/>
      </w:pPr>
      <w:bookmarkStart w:id="744" w:name="_Toc2029822367"/>
      <w:bookmarkStart w:id="745" w:name="_Toc199344552"/>
      <w:bookmarkStart w:id="746" w:name="_Toc205372087"/>
      <w:bookmarkStart w:id="747" w:name="_Toc207713992"/>
      <w:r w:rsidRPr="000F6CD1">
        <w:t>Recording the decision for Support at Home classes (ongoing and short-term)</w:t>
      </w:r>
      <w:bookmarkEnd w:id="735"/>
      <w:bookmarkEnd w:id="744"/>
      <w:bookmarkEnd w:id="745"/>
      <w:bookmarkEnd w:id="746"/>
      <w:bookmarkEnd w:id="747"/>
    </w:p>
    <w:p w14:paraId="23DBE7A1" w14:textId="77777777" w:rsidR="004D556D" w:rsidRPr="000F6CD1" w:rsidRDefault="004D556D" w:rsidP="00622CFF">
      <w:pPr>
        <w:spacing w:before="240" w:after="240" w:line="240" w:lineRule="auto"/>
        <w:rPr>
          <w:rFonts w:eastAsia="Yu Gothic Light"/>
        </w:rPr>
      </w:pPr>
      <w:r w:rsidRPr="000F6CD1">
        <w:rPr>
          <w:rFonts w:eastAsia="Yu Gothic Light"/>
        </w:rPr>
        <w:t xml:space="preserve">This process applies if the approved classification level (labelled </w:t>
      </w:r>
      <w:r w:rsidRPr="000F6CD1">
        <w:rPr>
          <w:rFonts w:eastAsia="Yu Gothic Light" w:hint="eastAsia"/>
        </w:rPr>
        <w:t>‘</w:t>
      </w:r>
      <w:r w:rsidRPr="000F6CD1">
        <w:rPr>
          <w:rFonts w:eastAsia="Yu Gothic Light"/>
        </w:rPr>
        <w:t>classification</w:t>
      </w:r>
      <w:r w:rsidRPr="000F6CD1">
        <w:rPr>
          <w:rFonts w:eastAsia="Yu Gothic Light" w:hint="eastAsia"/>
        </w:rPr>
        <w:t>’</w:t>
      </w:r>
      <w:r w:rsidRPr="000F6CD1">
        <w:rPr>
          <w:rFonts w:eastAsia="Yu Gothic Light"/>
        </w:rPr>
        <w:t xml:space="preserve"> in the system) is any of the following:</w:t>
      </w:r>
    </w:p>
    <w:p w14:paraId="4651DC69" w14:textId="77777777" w:rsidR="004D556D" w:rsidRPr="000F6CD1" w:rsidRDefault="004D556D" w:rsidP="00DF3F6B">
      <w:pPr>
        <w:numPr>
          <w:ilvl w:val="0"/>
          <w:numId w:val="191"/>
        </w:numPr>
        <w:spacing w:before="240" w:after="240" w:line="240" w:lineRule="auto"/>
        <w:contextualSpacing/>
        <w:rPr>
          <w:rFonts w:eastAsia="Yu Gothic Light"/>
          <w:iCs/>
        </w:rPr>
      </w:pPr>
      <w:r w:rsidRPr="000F6CD1">
        <w:rPr>
          <w:rFonts w:eastAsia="Yu Gothic Light"/>
          <w:iCs/>
        </w:rPr>
        <w:t>SAH class 1 to 8</w:t>
      </w:r>
    </w:p>
    <w:p w14:paraId="4D818894" w14:textId="77777777" w:rsidR="004D556D" w:rsidRPr="000F6CD1" w:rsidRDefault="004D556D" w:rsidP="00DF3F6B">
      <w:pPr>
        <w:numPr>
          <w:ilvl w:val="0"/>
          <w:numId w:val="191"/>
        </w:numPr>
        <w:spacing w:before="240" w:after="240" w:line="240" w:lineRule="auto"/>
        <w:contextualSpacing/>
        <w:rPr>
          <w:rFonts w:eastAsia="Yu Gothic Light"/>
          <w:iCs/>
        </w:rPr>
      </w:pPr>
      <w:r w:rsidRPr="000F6CD1">
        <w:rPr>
          <w:rFonts w:eastAsia="Yu Gothic Light"/>
          <w:iCs/>
        </w:rPr>
        <w:t>SAH Restorative Care Pathway</w:t>
      </w:r>
    </w:p>
    <w:p w14:paraId="7D6166D6" w14:textId="77777777" w:rsidR="004D556D" w:rsidRPr="000F6CD1" w:rsidRDefault="004D556D" w:rsidP="00DF3F6B">
      <w:pPr>
        <w:numPr>
          <w:ilvl w:val="0"/>
          <w:numId w:val="191"/>
        </w:numPr>
        <w:spacing w:before="240" w:after="240" w:line="240" w:lineRule="auto"/>
        <w:contextualSpacing/>
        <w:rPr>
          <w:rFonts w:eastAsia="Yu Gothic Light"/>
          <w:iCs/>
        </w:rPr>
      </w:pPr>
      <w:r w:rsidRPr="000F6CD1">
        <w:rPr>
          <w:rFonts w:eastAsia="Yu Gothic Light"/>
          <w:iCs/>
        </w:rPr>
        <w:t>SAH End-of-Life Pathway.</w:t>
      </w:r>
    </w:p>
    <w:p w14:paraId="1CB30E1D" w14:textId="77777777" w:rsidR="004D556D" w:rsidRPr="000F6CD1" w:rsidRDefault="004D556D" w:rsidP="00806A21">
      <w:pPr>
        <w:pStyle w:val="Sub-headings"/>
      </w:pPr>
      <w:r w:rsidRPr="000F6CD1">
        <w:t>Note:</w:t>
      </w:r>
    </w:p>
    <w:p w14:paraId="1C313771" w14:textId="23A37247" w:rsidR="004D556D" w:rsidRPr="000F6CD1" w:rsidRDefault="004D556D" w:rsidP="00806A21">
      <w:pPr>
        <w:pStyle w:val="Sub-headings"/>
      </w:pPr>
      <w:r w:rsidRPr="000F6CD1">
        <w:t xml:space="preserve">The Support at Home AT-HM scheme is referred to as a </w:t>
      </w:r>
      <w:r w:rsidRPr="000F6CD1">
        <w:rPr>
          <w:rFonts w:hint="eastAsia"/>
        </w:rPr>
        <w:t>‘</w:t>
      </w:r>
      <w:r w:rsidRPr="000F6CD1">
        <w:t>short-term pathway</w:t>
      </w:r>
      <w:r w:rsidR="008D7D37" w:rsidRPr="000F6CD1">
        <w:rPr>
          <w:rFonts w:hint="eastAsia"/>
        </w:rPr>
        <w:t>.</w:t>
      </w:r>
      <w:r w:rsidR="008D7D37" w:rsidRPr="000F6CD1">
        <w:rPr>
          <w:rFonts w:hint="eastAsia"/>
        </w:rPr>
        <w:t>’</w:t>
      </w:r>
      <w:r w:rsidRPr="000F6CD1">
        <w:t xml:space="preserve"> Under the Act, the AT-HM scheme is enabled through the Assistive Technology and Home Modifications service groups. AT-HM can be added to an older person</w:t>
      </w:r>
      <w:r w:rsidRPr="000F6CD1">
        <w:rPr>
          <w:rFonts w:hint="eastAsia"/>
        </w:rPr>
        <w:t>’</w:t>
      </w:r>
      <w:r w:rsidRPr="000F6CD1">
        <w:t>s support plan, if there is an assessed need, after adding one of the ongoing or short-term Support at Home classifications above.</w:t>
      </w:r>
    </w:p>
    <w:p w14:paraId="2728B9C7" w14:textId="25586741" w:rsidR="004D556D" w:rsidRPr="000F6CD1" w:rsidRDefault="004D556D" w:rsidP="00622CFF">
      <w:pPr>
        <w:spacing w:before="240" w:after="240" w:line="240" w:lineRule="auto"/>
        <w:rPr>
          <w:rFonts w:eastAsia="Yu Gothic Light"/>
          <w:iCs/>
        </w:rPr>
      </w:pPr>
    </w:p>
    <w:p w14:paraId="606BC4F5" w14:textId="6C640AF4" w:rsidR="004D556D" w:rsidRPr="000F6CD1" w:rsidRDefault="004D556D">
      <w:pPr>
        <w:pStyle w:val="H4"/>
      </w:pPr>
      <w:bookmarkStart w:id="748" w:name="_Toc198787172"/>
      <w:bookmarkStart w:id="749" w:name="_Toc380951114"/>
      <w:bookmarkStart w:id="750" w:name="_Toc199344553"/>
      <w:bookmarkStart w:id="751" w:name="_Toc205372088"/>
      <w:bookmarkStart w:id="752" w:name="_Toc207713993"/>
      <w:r w:rsidRPr="000F6CD1">
        <w:t xml:space="preserve">Review CHSP </w:t>
      </w:r>
      <w:bookmarkEnd w:id="748"/>
      <w:bookmarkEnd w:id="749"/>
      <w:bookmarkEnd w:id="750"/>
      <w:r w:rsidRPr="000F6CD1">
        <w:t>service recommendations</w:t>
      </w:r>
      <w:bookmarkEnd w:id="751"/>
      <w:bookmarkEnd w:id="752"/>
    </w:p>
    <w:p w14:paraId="216FD7A7" w14:textId="5379C15C" w:rsidR="004D556D" w:rsidRPr="000F6CD1" w:rsidRDefault="004D556D" w:rsidP="00622CFF">
      <w:pPr>
        <w:spacing w:before="240" w:after="240" w:line="240" w:lineRule="auto"/>
        <w:rPr>
          <w:rFonts w:eastAsia="Yu Gothic Light"/>
        </w:rPr>
      </w:pPr>
      <w:r w:rsidRPr="000F6CD1">
        <w:rPr>
          <w:rFonts w:eastAsia="Yu Gothic Light"/>
        </w:rPr>
        <w:t>Assessment delegates should review any CHSP service recommendations listed. If they disagree with any of them, they should contact the assessor to discuss and amend the list if required.</w:t>
      </w:r>
    </w:p>
    <w:p w14:paraId="5AB0E3AE" w14:textId="2760CFC8" w:rsidR="004D556D" w:rsidRPr="000F6CD1" w:rsidRDefault="00635B22" w:rsidP="009B630A">
      <w:r>
        <w:rPr>
          <w:noProof/>
        </w:rPr>
        <w:drawing>
          <wp:anchor distT="0" distB="0" distL="114300" distR="114300" simplePos="0" relativeHeight="251658298" behindDoc="0" locked="0" layoutInCell="1" allowOverlap="1" wp14:anchorId="5C39BAD8" wp14:editId="191F95CA">
            <wp:simplePos x="0" y="0"/>
            <wp:positionH relativeFrom="margin">
              <wp:align>left</wp:align>
            </wp:positionH>
            <wp:positionV relativeFrom="margin">
              <wp:posOffset>5603240</wp:posOffset>
            </wp:positionV>
            <wp:extent cx="365760" cy="403860"/>
            <wp:effectExtent l="0" t="0" r="0" b="0"/>
            <wp:wrapSquare wrapText="bothSides"/>
            <wp:docPr id="1948075140"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75140"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Assessment</w:t>
      </w:r>
      <w:r w:rsidR="004D556D" w:rsidRPr="000F6CD1" w:rsidDel="00D36C4D">
        <w:t xml:space="preserve"> </w:t>
      </w:r>
      <w:r w:rsidR="004D556D" w:rsidRPr="000F6CD1">
        <w:t>delegates are able to record their agreement or disagreement alongside each CHSP service recommendation in the assessor portal. An assessment delegate’s decision to agree with the recommended CHSP services will be automatically recorded in the Notice of Decision.</w:t>
      </w:r>
    </w:p>
    <w:p w14:paraId="4F1B6506" w14:textId="27BA5ADA" w:rsidR="004D556D" w:rsidRPr="00A252E2" w:rsidRDefault="004315BE" w:rsidP="00AD2CE5">
      <w:pPr>
        <w:pStyle w:val="H3"/>
      </w:pPr>
      <w:r w:rsidRPr="00A252E2">
        <w:t>Step 4. Confirm the priority category</w:t>
      </w:r>
    </w:p>
    <w:p w14:paraId="68FF76B6" w14:textId="4E2D3837" w:rsidR="004D556D" w:rsidRPr="000F6CD1" w:rsidRDefault="004D556D" w:rsidP="00622CFF">
      <w:pPr>
        <w:spacing w:before="240" w:after="240" w:line="240" w:lineRule="auto"/>
        <w:rPr>
          <w:rFonts w:eastAsia="Yu Gothic Light"/>
        </w:rPr>
      </w:pPr>
      <w:r w:rsidRPr="000F6CD1">
        <w:rPr>
          <w:rFonts w:eastAsia="Yu Gothic Light"/>
        </w:rPr>
        <w:t>Access to the ongoing Support at Home classifications (SAH classification 1 to 8) will be prioritised using information collected during the assessment process and on the client’s record, through the Support at Home Priority System.</w:t>
      </w:r>
    </w:p>
    <w:p w14:paraId="2B7A14A9" w14:textId="409F5072" w:rsidR="004D556D" w:rsidRPr="000F6CD1" w:rsidRDefault="004D556D" w:rsidP="00622CFF">
      <w:pPr>
        <w:spacing w:before="240" w:after="240" w:line="240" w:lineRule="auto"/>
        <w:rPr>
          <w:rFonts w:eastAsia="Yu Gothic Light"/>
        </w:rPr>
      </w:pPr>
      <w:r w:rsidRPr="000F6CD1">
        <w:rPr>
          <w:rFonts w:eastAsia="Yu Gothic Light"/>
        </w:rPr>
        <w:t>An older person’s priority category is determined by the prioritisation algorithm based on a standardised set of seven</w:t>
      </w:r>
      <w:r w:rsidRPr="000F6CD1" w:rsidDel="00B903FD">
        <w:rPr>
          <w:rFonts w:eastAsia="Yu Gothic Light"/>
        </w:rPr>
        <w:t xml:space="preserve"> </w:t>
      </w:r>
      <w:r w:rsidRPr="000F6CD1">
        <w:rPr>
          <w:rFonts w:eastAsia="Yu Gothic Light"/>
        </w:rPr>
        <w:t xml:space="preserve">criteria. The seven criteria have ‘points’ allocated to them, and how many points an individual has determines their eligibility for a priority category of Urgent, High, Medium, or Standard. </w:t>
      </w:r>
    </w:p>
    <w:p w14:paraId="05776A7E" w14:textId="0843212F" w:rsidR="004D556D" w:rsidRPr="000F6CD1" w:rsidRDefault="004D556D" w:rsidP="00622CFF">
      <w:pPr>
        <w:spacing w:before="240" w:after="240" w:line="240" w:lineRule="auto"/>
        <w:rPr>
          <w:rFonts w:eastAsia="Yu Gothic Light"/>
        </w:rPr>
      </w:pPr>
      <w:r w:rsidRPr="000F6CD1">
        <w:rPr>
          <w:rFonts w:eastAsia="Yu Gothic Light"/>
        </w:rPr>
        <w:t xml:space="preserve">The AT-HM scheme has its own priority systems, and these are described further under the section </w:t>
      </w:r>
      <w:r w:rsidRPr="000F6CD1">
        <w:rPr>
          <w:rFonts w:eastAsia="Yu Gothic Light"/>
          <w:i/>
        </w:rPr>
        <w:t>Approving AT and HM under Support at Home</w:t>
      </w:r>
      <w:r w:rsidRPr="000F6CD1">
        <w:rPr>
          <w:rFonts w:eastAsia="Yu Gothic Light"/>
        </w:rPr>
        <w:t xml:space="preserve">, below. </w:t>
      </w:r>
    </w:p>
    <w:p w14:paraId="20E8A840" w14:textId="77777777" w:rsidR="0037221F" w:rsidRDefault="0037221F">
      <w:pPr>
        <w:rPr>
          <w:rFonts w:eastAsia="Arial"/>
        </w:rPr>
      </w:pPr>
      <w:r>
        <w:rPr>
          <w:rFonts w:eastAsia="Arial"/>
        </w:rPr>
        <w:br w:type="page"/>
      </w:r>
    </w:p>
    <w:p w14:paraId="513D281B" w14:textId="026995AD" w:rsidR="004D556D" w:rsidRPr="000F6CD1" w:rsidDel="00BB5A15" w:rsidRDefault="004D556D" w:rsidP="00622CFF">
      <w:pPr>
        <w:spacing w:before="240" w:after="240" w:line="240" w:lineRule="auto"/>
        <w:rPr>
          <w:rFonts w:eastAsia="Arial"/>
        </w:rPr>
      </w:pPr>
      <w:r w:rsidRPr="000F6CD1" w:rsidDel="00BB5A15">
        <w:rPr>
          <w:rFonts w:eastAsia="Arial"/>
        </w:rPr>
        <w:lastRenderedPageBreak/>
        <w:t xml:space="preserve">The </w:t>
      </w:r>
      <w:r w:rsidRPr="000F6CD1">
        <w:rPr>
          <w:rFonts w:eastAsia="Arial"/>
        </w:rPr>
        <w:t>seven</w:t>
      </w:r>
      <w:r w:rsidRPr="000F6CD1" w:rsidDel="00BB5A15">
        <w:rPr>
          <w:rFonts w:eastAsia="Arial"/>
        </w:rPr>
        <w:t xml:space="preserve"> criteria captured in the IAT or on the client’s record that calculate the Support at Home priority category </w:t>
      </w:r>
      <w:r w:rsidRPr="000F6CD1">
        <w:rPr>
          <w:rFonts w:eastAsia="Arial"/>
        </w:rPr>
        <w:t xml:space="preserve">are </w:t>
      </w:r>
      <w:r w:rsidRPr="000F6CD1" w:rsidDel="00BB5A15">
        <w:rPr>
          <w:rFonts w:eastAsia="Arial"/>
        </w:rPr>
        <w:t>whether the person:</w:t>
      </w:r>
    </w:p>
    <w:p w14:paraId="323886D3" w14:textId="77777777" w:rsidR="004D556D" w:rsidRPr="000F6CD1" w:rsidDel="00BB5A15" w:rsidRDefault="004D556D" w:rsidP="00DF3F6B">
      <w:pPr>
        <w:numPr>
          <w:ilvl w:val="0"/>
          <w:numId w:val="281"/>
        </w:numPr>
        <w:spacing w:before="240" w:after="240" w:line="240" w:lineRule="auto"/>
        <w:contextualSpacing/>
        <w:rPr>
          <w:rFonts w:eastAsia="Arial"/>
        </w:rPr>
      </w:pPr>
      <w:r w:rsidRPr="000F6CD1" w:rsidDel="00BB5A15">
        <w:rPr>
          <w:rFonts w:eastAsia="Arial"/>
        </w:rPr>
        <w:t>lives alone (1 point)</w:t>
      </w:r>
    </w:p>
    <w:p w14:paraId="3D991F86" w14:textId="77777777" w:rsidR="004D556D" w:rsidRPr="000F6CD1" w:rsidDel="00BB5A15" w:rsidRDefault="004D556D" w:rsidP="00DF3F6B">
      <w:pPr>
        <w:numPr>
          <w:ilvl w:val="0"/>
          <w:numId w:val="281"/>
        </w:numPr>
        <w:spacing w:before="240" w:after="240" w:line="240" w:lineRule="auto"/>
        <w:contextualSpacing/>
        <w:rPr>
          <w:rFonts w:eastAsia="Arial"/>
        </w:rPr>
      </w:pPr>
      <w:r w:rsidRPr="000F6CD1" w:rsidDel="00BB5A15">
        <w:rPr>
          <w:rFonts w:eastAsia="Arial"/>
        </w:rPr>
        <w:t>identifies as Aboriginal or Torres Strait Islander (1 point)</w:t>
      </w:r>
    </w:p>
    <w:p w14:paraId="365B2D79" w14:textId="77777777" w:rsidR="004D556D" w:rsidRPr="000F6CD1" w:rsidDel="00BB5A15" w:rsidRDefault="004D556D" w:rsidP="00DF3F6B">
      <w:pPr>
        <w:numPr>
          <w:ilvl w:val="0"/>
          <w:numId w:val="281"/>
        </w:numPr>
        <w:spacing w:before="240" w:after="240" w:line="240" w:lineRule="auto"/>
        <w:contextualSpacing/>
        <w:rPr>
          <w:rFonts w:eastAsia="Arial"/>
        </w:rPr>
      </w:pPr>
      <w:r w:rsidRPr="000F6CD1" w:rsidDel="00BB5A15">
        <w:rPr>
          <w:rFonts w:eastAsia="Arial"/>
        </w:rPr>
        <w:t>has an assessed cognitive impairment (1 point)</w:t>
      </w:r>
    </w:p>
    <w:p w14:paraId="62EC53F8" w14:textId="77777777" w:rsidR="004D556D" w:rsidRPr="000F6CD1" w:rsidDel="00BB5A15" w:rsidRDefault="004D556D" w:rsidP="00DF3F6B">
      <w:pPr>
        <w:numPr>
          <w:ilvl w:val="0"/>
          <w:numId w:val="281"/>
        </w:numPr>
        <w:spacing w:before="240" w:after="240" w:line="240" w:lineRule="auto"/>
        <w:contextualSpacing/>
        <w:rPr>
          <w:rFonts w:eastAsia="Arial"/>
        </w:rPr>
      </w:pPr>
      <w:r w:rsidRPr="000F6CD1" w:rsidDel="00BB5A15">
        <w:rPr>
          <w:rFonts w:eastAsia="Arial"/>
        </w:rPr>
        <w:t>is experiencing homelessness or is at risk of homelessness (1 point)</w:t>
      </w:r>
    </w:p>
    <w:p w14:paraId="1F5E4935" w14:textId="77777777" w:rsidR="004D556D" w:rsidRPr="000F6CD1" w:rsidDel="00BB5A15" w:rsidRDefault="004D556D" w:rsidP="00DF3F6B">
      <w:pPr>
        <w:numPr>
          <w:ilvl w:val="0"/>
          <w:numId w:val="281"/>
        </w:numPr>
        <w:spacing w:before="240" w:after="240" w:line="240" w:lineRule="auto"/>
        <w:contextualSpacing/>
        <w:rPr>
          <w:rFonts w:eastAsia="Arial"/>
        </w:rPr>
      </w:pPr>
      <w:r w:rsidRPr="000F6CD1" w:rsidDel="00BB5A15">
        <w:rPr>
          <w:rFonts w:eastAsia="Arial"/>
        </w:rPr>
        <w:t>requires urgent ongoing service provision (2 point)</w:t>
      </w:r>
    </w:p>
    <w:p w14:paraId="7F2B303F" w14:textId="5E41291B" w:rsidR="004D556D" w:rsidRPr="001E5356" w:rsidRDefault="004D556D" w:rsidP="00DF3F6B">
      <w:pPr>
        <w:numPr>
          <w:ilvl w:val="0"/>
          <w:numId w:val="281"/>
        </w:numPr>
        <w:spacing w:before="240" w:after="240" w:line="240" w:lineRule="auto"/>
        <w:contextualSpacing/>
        <w:rPr>
          <w:rFonts w:eastAsia="Yu Gothic Light"/>
        </w:rPr>
      </w:pPr>
      <w:r w:rsidRPr="000F6CD1">
        <w:rPr>
          <w:rFonts w:eastAsia="Arial"/>
        </w:rPr>
        <w:t>waited more than six months between assessment referral and completion and lives in a rural or remote area (in a Modified Monash Model category 5, 6, or 7 area) (1 point)</w:t>
      </w:r>
    </w:p>
    <w:p w14:paraId="36E6D15B" w14:textId="77777777" w:rsidR="004D556D" w:rsidRPr="001E5356" w:rsidDel="00BB5A15" w:rsidRDefault="004D556D" w:rsidP="00DF3F6B">
      <w:pPr>
        <w:numPr>
          <w:ilvl w:val="0"/>
          <w:numId w:val="281"/>
        </w:numPr>
        <w:spacing w:before="240" w:after="240" w:line="240" w:lineRule="auto"/>
        <w:contextualSpacing/>
        <w:rPr>
          <w:rFonts w:eastAsia="Yu Gothic Light"/>
        </w:rPr>
      </w:pPr>
      <w:r w:rsidRPr="000F6CD1">
        <w:rPr>
          <w:rFonts w:eastAsia="Arial"/>
        </w:rPr>
        <w:t>has Motor Neurone Disease (MND) (5 points)</w:t>
      </w:r>
    </w:p>
    <w:p w14:paraId="4FFA5C43" w14:textId="77777777" w:rsidR="004D556D" w:rsidRPr="000F6CD1" w:rsidRDefault="004D556D" w:rsidP="00622CFF">
      <w:pPr>
        <w:spacing w:before="240" w:after="240" w:line="240" w:lineRule="auto"/>
        <w:ind w:left="720"/>
        <w:contextualSpacing/>
        <w:rPr>
          <w:rFonts w:eastAsia="Yu Gothic Light"/>
        </w:rPr>
      </w:pPr>
    </w:p>
    <w:p w14:paraId="52B245C3" w14:textId="2F8FCFCA" w:rsidR="0097528A" w:rsidRDefault="004D556D" w:rsidP="00622CFF">
      <w:pPr>
        <w:spacing w:before="240" w:after="240" w:line="240" w:lineRule="auto"/>
        <w:rPr>
          <w:rFonts w:eastAsia="Yu Gothic Light"/>
        </w:rPr>
      </w:pPr>
      <w:r w:rsidRPr="000F6CD1">
        <w:rPr>
          <w:rFonts w:eastAsia="Yu Gothic Light"/>
        </w:rPr>
        <w:t xml:space="preserve">Assessment Delegates </w:t>
      </w:r>
      <w:r w:rsidRPr="000F6CD1">
        <w:rPr>
          <w:rFonts w:eastAsia="Yu Gothic Light"/>
          <w:bCs/>
        </w:rPr>
        <w:t>should check the responses to the seven fields above</w:t>
      </w:r>
      <w:r w:rsidRPr="000F6CD1">
        <w:rPr>
          <w:rFonts w:eastAsia="Yu Gothic Light"/>
        </w:rPr>
        <w:t xml:space="preserve"> to make sure that the correct inputs are recorded.</w:t>
      </w:r>
    </w:p>
    <w:p w14:paraId="1C2B385D" w14:textId="77777777" w:rsidR="004D556D" w:rsidRPr="000F6CD1" w:rsidRDefault="004D556D" w:rsidP="00806A21">
      <w:pPr>
        <w:pStyle w:val="Sub-headings"/>
      </w:pPr>
      <w:r w:rsidRPr="000F6CD1">
        <w:t>Note:</w:t>
      </w:r>
    </w:p>
    <w:p w14:paraId="411DF830" w14:textId="77777777" w:rsidR="004D556D" w:rsidRPr="000F6CD1" w:rsidRDefault="004D556D" w:rsidP="00806A21">
      <w:pPr>
        <w:pStyle w:val="Sub-headings"/>
        <w:rPr>
          <w:rFonts w:eastAsia="Yu Gothic Light"/>
        </w:rPr>
      </w:pPr>
      <w:r w:rsidRPr="000F6CD1">
        <w:t>Assessment</w:t>
      </w:r>
      <w:r w:rsidRPr="000F6CD1" w:rsidDel="005B3CCC">
        <w:t xml:space="preserve"> </w:t>
      </w:r>
      <w:r w:rsidRPr="000F6CD1">
        <w:t xml:space="preserve">delegates will not know the priority category until after they click the </w:t>
      </w:r>
      <w:r w:rsidRPr="000F6CD1">
        <w:rPr>
          <w:rFonts w:hint="eastAsia"/>
        </w:rPr>
        <w:t>‘</w:t>
      </w:r>
      <w:r w:rsidRPr="000F6CD1">
        <w:t>Save and Delegate</w:t>
      </w:r>
      <w:r w:rsidRPr="000F6CD1">
        <w:rPr>
          <w:rFonts w:hint="eastAsia"/>
        </w:rPr>
        <w:t>’</w:t>
      </w:r>
      <w:r w:rsidRPr="000F6CD1">
        <w:t xml:space="preserve"> button in the portal.</w:t>
      </w:r>
    </w:p>
    <w:p w14:paraId="35C73051" w14:textId="77777777" w:rsidR="004D556D" w:rsidRPr="000F6CD1" w:rsidRDefault="004D556D" w:rsidP="00622CFF">
      <w:pPr>
        <w:spacing w:before="240" w:after="240" w:line="240" w:lineRule="auto"/>
        <w:rPr>
          <w:rFonts w:eastAsia="Yu Gothic Light"/>
        </w:rPr>
      </w:pPr>
      <w:r w:rsidRPr="000F6CD1">
        <w:rPr>
          <w:rFonts w:eastAsia="Yu Gothic Light"/>
        </w:rPr>
        <w:t>The four priority categories are as follows:</w:t>
      </w:r>
    </w:p>
    <w:p w14:paraId="359555F7" w14:textId="617C2E2C" w:rsidR="004D556D" w:rsidRPr="000F6CD1" w:rsidRDefault="004D556D" w:rsidP="00622CFF">
      <w:pPr>
        <w:pStyle w:val="Caption"/>
        <w:spacing w:before="240" w:after="240"/>
        <w:rPr>
          <w:rFonts w:eastAsia="Yu Gothic Light"/>
        </w:rPr>
      </w:pPr>
      <w:r w:rsidRPr="000F6CD1">
        <w:rPr>
          <w:rFonts w:eastAsia="Yu Gothic Light"/>
        </w:rPr>
        <w:t>Table 4</w:t>
      </w:r>
      <w:r w:rsidR="00141FE6">
        <w:rPr>
          <w:rFonts w:eastAsia="Yu Gothic Light"/>
        </w:rPr>
        <w:t>7</w:t>
      </w:r>
      <w:r w:rsidRPr="000F6CD1">
        <w:rPr>
          <w:rFonts w:eastAsia="Yu Gothic Light"/>
        </w:rPr>
        <w:t xml:space="preserve">. Priority categories for ongoing Support at Home classifications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ongoing Support at Home classifications"/>
        <w:tblDescription w:val="The table details priority categories for ongoing Support at Home classifications"/>
      </w:tblPr>
      <w:tblGrid>
        <w:gridCol w:w="1413"/>
        <w:gridCol w:w="7603"/>
      </w:tblGrid>
      <w:tr w:rsidR="004D556D" w:rsidRPr="000F6CD1" w14:paraId="1B633B75" w14:textId="77777777" w:rsidTr="00E340A7">
        <w:tc>
          <w:tcPr>
            <w:tcW w:w="1413" w:type="dxa"/>
            <w:shd w:val="clear" w:color="auto" w:fill="002060"/>
          </w:tcPr>
          <w:p w14:paraId="3D0FA399" w14:textId="77777777" w:rsidR="004D556D" w:rsidRPr="000F6CD1" w:rsidRDefault="004D556D" w:rsidP="005960D3">
            <w:pPr>
              <w:spacing w:before="120" w:after="120"/>
              <w:rPr>
                <w:rFonts w:eastAsia="Arial"/>
              </w:rPr>
            </w:pPr>
            <w:r w:rsidRPr="000F6CD1">
              <w:rPr>
                <w:rFonts w:eastAsia="Arial"/>
                <w:b/>
              </w:rPr>
              <w:t xml:space="preserve">Urgent </w:t>
            </w:r>
          </w:p>
          <w:p w14:paraId="1C03E745" w14:textId="77777777" w:rsidR="004D556D" w:rsidRPr="000F6CD1" w:rsidRDefault="004D556D" w:rsidP="005960D3">
            <w:pPr>
              <w:spacing w:before="120" w:after="120"/>
              <w:rPr>
                <w:rFonts w:eastAsia="Yu Gothic Light"/>
              </w:rPr>
            </w:pPr>
          </w:p>
        </w:tc>
        <w:tc>
          <w:tcPr>
            <w:tcW w:w="7603" w:type="dxa"/>
          </w:tcPr>
          <w:p w14:paraId="5CCC0EDE" w14:textId="77777777" w:rsidR="004D556D" w:rsidRPr="000F6CD1" w:rsidRDefault="004D556D" w:rsidP="005960D3">
            <w:pPr>
              <w:spacing w:before="120" w:after="120"/>
              <w:rPr>
                <w:rFonts w:eastAsia="Yu Gothic Light"/>
              </w:rPr>
            </w:pPr>
            <w:r w:rsidRPr="000F6CD1">
              <w:rPr>
                <w:rFonts w:eastAsia="Arial"/>
              </w:rPr>
              <w:t xml:space="preserve">The older person has five or more points. </w:t>
            </w:r>
          </w:p>
        </w:tc>
      </w:tr>
      <w:tr w:rsidR="004D556D" w:rsidRPr="000F6CD1" w14:paraId="54FEB110" w14:textId="77777777" w:rsidTr="00E340A7">
        <w:tc>
          <w:tcPr>
            <w:tcW w:w="1413" w:type="dxa"/>
            <w:shd w:val="clear" w:color="auto" w:fill="002060"/>
          </w:tcPr>
          <w:p w14:paraId="48ECC50E" w14:textId="77777777" w:rsidR="004D556D" w:rsidRPr="000F6CD1" w:rsidRDefault="004D556D" w:rsidP="005960D3">
            <w:pPr>
              <w:spacing w:before="120" w:after="120"/>
              <w:rPr>
                <w:rFonts w:eastAsia="Arial"/>
                <w:b/>
              </w:rPr>
            </w:pPr>
            <w:r w:rsidRPr="000F6CD1">
              <w:rPr>
                <w:rFonts w:eastAsia="Arial"/>
                <w:b/>
              </w:rPr>
              <w:t>High</w:t>
            </w:r>
          </w:p>
        </w:tc>
        <w:tc>
          <w:tcPr>
            <w:tcW w:w="7603" w:type="dxa"/>
          </w:tcPr>
          <w:p w14:paraId="3E5083DA" w14:textId="77777777" w:rsidR="004D556D" w:rsidRPr="000F6CD1" w:rsidRDefault="004D556D" w:rsidP="005960D3">
            <w:pPr>
              <w:spacing w:before="120" w:after="120"/>
              <w:rPr>
                <w:rFonts w:eastAsia="Arial"/>
              </w:rPr>
            </w:pPr>
            <w:r w:rsidRPr="000F6CD1">
              <w:rPr>
                <w:rFonts w:eastAsia="Arial"/>
              </w:rPr>
              <w:t>The older person has four points.</w:t>
            </w:r>
          </w:p>
          <w:p w14:paraId="31DF0CE6" w14:textId="77777777" w:rsidR="004D556D" w:rsidRPr="000F6CD1" w:rsidRDefault="004D556D" w:rsidP="005960D3">
            <w:pPr>
              <w:spacing w:before="120" w:after="120"/>
              <w:rPr>
                <w:rFonts w:eastAsia="Arial"/>
              </w:rPr>
            </w:pPr>
          </w:p>
        </w:tc>
      </w:tr>
      <w:tr w:rsidR="004D556D" w:rsidRPr="000F6CD1" w14:paraId="17ECBA3D" w14:textId="77777777" w:rsidTr="00E340A7">
        <w:tc>
          <w:tcPr>
            <w:tcW w:w="1413" w:type="dxa"/>
            <w:shd w:val="clear" w:color="auto" w:fill="002060"/>
          </w:tcPr>
          <w:p w14:paraId="49DBA707" w14:textId="77777777" w:rsidR="004D556D" w:rsidRPr="000F6CD1" w:rsidRDefault="004D556D" w:rsidP="005960D3">
            <w:pPr>
              <w:spacing w:before="120" w:after="120"/>
              <w:rPr>
                <w:rFonts w:eastAsia="Arial"/>
                <w:b/>
              </w:rPr>
            </w:pPr>
            <w:r w:rsidRPr="000F6CD1">
              <w:rPr>
                <w:rFonts w:eastAsia="Arial"/>
                <w:b/>
              </w:rPr>
              <w:t>Medium</w:t>
            </w:r>
          </w:p>
        </w:tc>
        <w:tc>
          <w:tcPr>
            <w:tcW w:w="7603" w:type="dxa"/>
          </w:tcPr>
          <w:p w14:paraId="0AA386D2" w14:textId="77777777" w:rsidR="004D556D" w:rsidRPr="000F6CD1" w:rsidRDefault="004D556D" w:rsidP="005960D3">
            <w:pPr>
              <w:spacing w:before="120" w:after="120"/>
              <w:rPr>
                <w:rFonts w:eastAsia="Arial"/>
              </w:rPr>
            </w:pPr>
            <w:r w:rsidRPr="000F6CD1">
              <w:rPr>
                <w:rFonts w:eastAsia="Arial"/>
              </w:rPr>
              <w:t xml:space="preserve">The older person has two or three points. </w:t>
            </w:r>
          </w:p>
          <w:p w14:paraId="3E77E082" w14:textId="77777777" w:rsidR="004D556D" w:rsidRPr="000F6CD1" w:rsidRDefault="004D556D" w:rsidP="005960D3">
            <w:pPr>
              <w:spacing w:before="120" w:after="120"/>
              <w:rPr>
                <w:rFonts w:eastAsia="Arial"/>
              </w:rPr>
            </w:pPr>
          </w:p>
        </w:tc>
      </w:tr>
      <w:tr w:rsidR="004D556D" w:rsidRPr="000F6CD1" w14:paraId="716DC4C7" w14:textId="77777777" w:rsidTr="00E340A7">
        <w:tc>
          <w:tcPr>
            <w:tcW w:w="1413" w:type="dxa"/>
            <w:shd w:val="clear" w:color="auto" w:fill="002060"/>
          </w:tcPr>
          <w:p w14:paraId="6FB175EC" w14:textId="77777777" w:rsidR="004D556D" w:rsidRPr="000F6CD1" w:rsidRDefault="004D556D" w:rsidP="005960D3">
            <w:pPr>
              <w:spacing w:before="120" w:after="120"/>
              <w:rPr>
                <w:rFonts w:eastAsia="Arial"/>
                <w:b/>
              </w:rPr>
            </w:pPr>
            <w:r w:rsidRPr="000F6CD1">
              <w:rPr>
                <w:rFonts w:eastAsia="Arial"/>
                <w:b/>
              </w:rPr>
              <w:t>Standard</w:t>
            </w:r>
          </w:p>
        </w:tc>
        <w:tc>
          <w:tcPr>
            <w:tcW w:w="7603" w:type="dxa"/>
          </w:tcPr>
          <w:p w14:paraId="0605CEAE" w14:textId="77777777" w:rsidR="004D556D" w:rsidRPr="000F6CD1" w:rsidRDefault="004D556D" w:rsidP="005960D3">
            <w:pPr>
              <w:spacing w:before="120" w:after="120"/>
              <w:rPr>
                <w:rFonts w:eastAsia="Arial"/>
              </w:rPr>
            </w:pPr>
            <w:r w:rsidRPr="000F6CD1">
              <w:rPr>
                <w:rFonts w:eastAsia="Arial"/>
              </w:rPr>
              <w:t xml:space="preserve">The older person has one or no points. </w:t>
            </w:r>
          </w:p>
          <w:p w14:paraId="27D6AB13" w14:textId="77777777" w:rsidR="004D556D" w:rsidRPr="000F6CD1" w:rsidRDefault="004D556D" w:rsidP="005960D3">
            <w:pPr>
              <w:spacing w:before="120" w:after="120"/>
              <w:rPr>
                <w:rFonts w:eastAsia="Arial"/>
              </w:rPr>
            </w:pPr>
          </w:p>
        </w:tc>
      </w:tr>
    </w:tbl>
    <w:p w14:paraId="1B22EE12" w14:textId="40C22B6D" w:rsidR="004D556D" w:rsidRPr="000F6CD1" w:rsidRDefault="004D556D" w:rsidP="00622CFF">
      <w:pPr>
        <w:spacing w:before="240" w:after="240" w:line="240" w:lineRule="auto"/>
        <w:rPr>
          <w:rFonts w:eastAsia="Yu Gothic Light"/>
        </w:rPr>
      </w:pPr>
      <w:r w:rsidRPr="000F6CD1">
        <w:rPr>
          <w:rFonts w:eastAsia="Yu Gothic Light"/>
        </w:rPr>
        <w:t xml:space="preserve">The priority category will be displayed under </w:t>
      </w:r>
      <w:r w:rsidRPr="000F6CD1">
        <w:rPr>
          <w:rFonts w:eastAsia="Yu Gothic Light" w:hint="eastAsia"/>
        </w:rPr>
        <w:t>‘</w:t>
      </w:r>
      <w:r w:rsidRPr="000F6CD1">
        <w:rPr>
          <w:rFonts w:eastAsia="Yu Gothic Light"/>
        </w:rPr>
        <w:t>Approvals for a Client</w:t>
      </w:r>
      <w:r w:rsidRPr="000F6CD1">
        <w:rPr>
          <w:rFonts w:eastAsia="Yu Gothic Light" w:hint="eastAsia"/>
        </w:rPr>
        <w:t>’</w:t>
      </w:r>
      <w:r w:rsidRPr="000F6CD1">
        <w:rPr>
          <w:rFonts w:eastAsia="Yu Gothic Light"/>
        </w:rPr>
        <w:t xml:space="preserve"> in the Assessor Portal.</w:t>
      </w:r>
    </w:p>
    <w:p w14:paraId="2613F20C" w14:textId="77777777" w:rsidR="004D556D" w:rsidRPr="000F6CD1" w:rsidRDefault="004D556D">
      <w:pPr>
        <w:spacing w:before="240" w:after="240" w:line="240" w:lineRule="auto"/>
      </w:pPr>
      <w:r w:rsidRPr="000F6CD1">
        <w:t>The system will automatically recalculate an older person’s priority category (if required) when changes are made to the following fields in their client profile:</w:t>
      </w:r>
    </w:p>
    <w:p w14:paraId="44B4DBDF" w14:textId="77777777" w:rsidR="004D556D" w:rsidRPr="000F6CD1" w:rsidRDefault="004D556D" w:rsidP="00DF3F6B">
      <w:pPr>
        <w:numPr>
          <w:ilvl w:val="0"/>
          <w:numId w:val="162"/>
        </w:numPr>
        <w:spacing w:before="240" w:after="240" w:line="240" w:lineRule="auto"/>
        <w:contextualSpacing/>
        <w:rPr>
          <w:rFonts w:eastAsia="Yu Gothic Light"/>
        </w:rPr>
      </w:pPr>
      <w:r w:rsidRPr="000F6CD1">
        <w:rPr>
          <w:rFonts w:eastAsia="Yu Gothic Light"/>
        </w:rPr>
        <w:t>Accommodation type</w:t>
      </w:r>
    </w:p>
    <w:p w14:paraId="6963C34A" w14:textId="324DD765" w:rsidR="004D556D" w:rsidRPr="000F6CD1" w:rsidRDefault="004D556D" w:rsidP="00DF3F6B">
      <w:pPr>
        <w:numPr>
          <w:ilvl w:val="0"/>
          <w:numId w:val="162"/>
        </w:numPr>
        <w:spacing w:before="240" w:after="240" w:line="240" w:lineRule="auto"/>
        <w:contextualSpacing/>
        <w:rPr>
          <w:rFonts w:eastAsia="Yu Gothic Light"/>
        </w:rPr>
      </w:pPr>
      <w:r w:rsidRPr="000F6CD1">
        <w:rPr>
          <w:rFonts w:eastAsia="Yu Gothic Light"/>
        </w:rPr>
        <w:t>No fixed address</w:t>
      </w:r>
    </w:p>
    <w:p w14:paraId="3347E073" w14:textId="77777777" w:rsidR="004D556D" w:rsidRPr="000F6CD1" w:rsidRDefault="004D556D" w:rsidP="00DF3F6B">
      <w:pPr>
        <w:numPr>
          <w:ilvl w:val="0"/>
          <w:numId w:val="162"/>
        </w:numPr>
        <w:spacing w:before="240" w:after="240" w:line="240" w:lineRule="auto"/>
        <w:contextualSpacing/>
        <w:rPr>
          <w:rFonts w:eastAsia="Yu Gothic Light"/>
        </w:rPr>
      </w:pPr>
      <w:r w:rsidRPr="000F6CD1">
        <w:rPr>
          <w:rFonts w:eastAsia="Yu Gothic Light"/>
        </w:rPr>
        <w:t>Lives With</w:t>
      </w:r>
    </w:p>
    <w:p w14:paraId="677A6B33" w14:textId="77777777" w:rsidR="004D556D" w:rsidRPr="000F6CD1" w:rsidRDefault="004D556D" w:rsidP="00DF3F6B">
      <w:pPr>
        <w:numPr>
          <w:ilvl w:val="0"/>
          <w:numId w:val="162"/>
        </w:numPr>
        <w:spacing w:before="240" w:after="240" w:line="240" w:lineRule="auto"/>
        <w:contextualSpacing/>
        <w:rPr>
          <w:rFonts w:eastAsia="Yu Gothic Light"/>
        </w:rPr>
      </w:pPr>
      <w:r w:rsidRPr="000F6CD1">
        <w:rPr>
          <w:rFonts w:eastAsia="Yu Gothic Light"/>
        </w:rPr>
        <w:t>Aboriginal and Torres Strait Islander Status</w:t>
      </w:r>
    </w:p>
    <w:p w14:paraId="5E6F720C" w14:textId="77777777" w:rsidR="004D556D" w:rsidRPr="000F6CD1" w:rsidRDefault="004D556D" w:rsidP="00AD2CE5">
      <w:pPr>
        <w:pStyle w:val="H3"/>
      </w:pPr>
      <w:r w:rsidRPr="000F6CD1">
        <w:lastRenderedPageBreak/>
        <w:t>Step 5. Confirm service seeking status (ongoing Support at Home classifications only)</w:t>
      </w:r>
    </w:p>
    <w:p w14:paraId="74770D20" w14:textId="77777777" w:rsidR="004D556D" w:rsidRPr="000F6CD1" w:rsidRDefault="004D556D" w:rsidP="00622CFF">
      <w:pPr>
        <w:spacing w:before="240" w:after="240" w:line="240" w:lineRule="auto"/>
        <w:rPr>
          <w:rFonts w:eastAsia="Aptos"/>
          <w:bCs/>
        </w:rPr>
      </w:pPr>
      <w:r w:rsidRPr="000F6CD1">
        <w:rPr>
          <w:rFonts w:eastAsia="Aptos"/>
        </w:rPr>
        <w:t xml:space="preserve">As part of the assessment process, assessors are expected to have a clear conversation with the individual about whether they are seeking to receive services </w:t>
      </w:r>
      <w:r w:rsidRPr="000F6CD1">
        <w:rPr>
          <w:rFonts w:eastAsia="Aptos"/>
          <w:bCs/>
        </w:rPr>
        <w:t>through the Support at Home program. This helps ensure the individual's current needs are met and supports fair and timely access to services for others. When individuals who are</w:t>
      </w:r>
      <w:r w:rsidRPr="000F6CD1">
        <w:rPr>
          <w:rFonts w:eastAsia="Aptos" w:hint="eastAsia"/>
          <w:bCs/>
        </w:rPr>
        <w:t> </w:t>
      </w:r>
      <w:r w:rsidRPr="000F6CD1">
        <w:rPr>
          <w:rFonts w:eastAsia="Aptos"/>
          <w:bCs/>
        </w:rPr>
        <w:t>not actively seeking services</w:t>
      </w:r>
      <w:r w:rsidRPr="000F6CD1">
        <w:rPr>
          <w:rFonts w:eastAsia="Aptos" w:hint="eastAsia"/>
          <w:bCs/>
        </w:rPr>
        <w:t> </w:t>
      </w:r>
      <w:r w:rsidRPr="000F6CD1">
        <w:rPr>
          <w:rFonts w:eastAsia="Aptos"/>
          <w:bCs/>
        </w:rPr>
        <w:t xml:space="preserve">through the Support at Home program remain on the Support at Home Priority System, it can cause delays for those who are ready and actively seeking services. </w:t>
      </w:r>
    </w:p>
    <w:p w14:paraId="163F6B81" w14:textId="77777777" w:rsidR="004D556D" w:rsidRPr="000F6CD1" w:rsidRDefault="004D556D" w:rsidP="00622CFF">
      <w:pPr>
        <w:spacing w:before="240" w:after="240" w:line="240" w:lineRule="auto"/>
        <w:rPr>
          <w:rFonts w:eastAsia="Yu Gothic Light"/>
        </w:rPr>
      </w:pPr>
      <w:r w:rsidRPr="000F6CD1">
        <w:rPr>
          <w:rFonts w:eastAsia="Yu Gothic Light"/>
        </w:rPr>
        <w:t xml:space="preserve">Before referring the client for services, the assessor should confirm with the client if they wish to seek home support from the Support at Home program and record their preference in the support plan: </w:t>
      </w:r>
    </w:p>
    <w:p w14:paraId="1A0BF67A"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 xml:space="preserve">For clients seeking to access their ongoing home support through the Support at Home program, the assessor should set the service seeking preference for the ongoing SaH classification to </w:t>
      </w:r>
      <w:r w:rsidRPr="000F6CD1">
        <w:rPr>
          <w:rFonts w:eastAsia="Yu Gothic Light" w:hint="eastAsia"/>
        </w:rPr>
        <w:t>‘</w:t>
      </w:r>
      <w:r w:rsidRPr="000F6CD1">
        <w:rPr>
          <w:rFonts w:eastAsia="Yu Gothic Light"/>
        </w:rPr>
        <w:t>seeking services</w:t>
      </w:r>
      <w:r w:rsidRPr="000F6CD1">
        <w:rPr>
          <w:rFonts w:eastAsia="Yu Gothic Light" w:hint="eastAsia"/>
        </w:rPr>
        <w:t>’</w:t>
      </w:r>
    </w:p>
    <w:p w14:paraId="57FB6C27" w14:textId="25523D0D"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 xml:space="preserve">For clients </w:t>
      </w:r>
      <w:r w:rsidRPr="000F6CD1">
        <w:rPr>
          <w:rFonts w:eastAsia="Yu Gothic Light"/>
          <w:u w:val="single"/>
        </w:rPr>
        <w:t>not</w:t>
      </w:r>
      <w:r w:rsidRPr="000F6CD1">
        <w:rPr>
          <w:rFonts w:eastAsia="Yu Gothic Light"/>
        </w:rPr>
        <w:t xml:space="preserve"> seeking to access their ongoing home support services through the Support at Home program, the assessor should set the service seeking preference for their ongoing SaH classification </w:t>
      </w:r>
      <w:r w:rsidRPr="000F6CD1">
        <w:rPr>
          <w:rFonts w:eastAsia="Yu Gothic Light" w:hint="eastAsia"/>
        </w:rPr>
        <w:t>‘</w:t>
      </w:r>
      <w:r w:rsidRPr="000F6CD1">
        <w:rPr>
          <w:rFonts w:eastAsia="Yu Gothic Light"/>
        </w:rPr>
        <w:t>not seeking services</w:t>
      </w:r>
      <w:r w:rsidR="008D7D37" w:rsidRPr="000F6CD1">
        <w:rPr>
          <w:rFonts w:eastAsia="Yu Gothic Light" w:hint="eastAsia"/>
        </w:rPr>
        <w:t>.</w:t>
      </w:r>
      <w:r w:rsidR="008D7D37" w:rsidRPr="000F6CD1">
        <w:rPr>
          <w:rFonts w:eastAsia="Yu Gothic Light" w:hint="eastAsia"/>
        </w:rPr>
        <w:t>’</w:t>
      </w:r>
      <w:r w:rsidRPr="000F6CD1">
        <w:rPr>
          <w:rFonts w:eastAsia="Yu Gothic Light"/>
        </w:rPr>
        <w:t xml:space="preserve"> The assessor should do this for clients who choose to access services through NATSIFACP or MPSP and so do not require services from a Support at Home provider. This option makes sure the client does not enter the Support at Home Priority System and so is not allocated funding under Support at Home.</w:t>
      </w:r>
    </w:p>
    <w:p w14:paraId="6370F918" w14:textId="77777777" w:rsidR="004D556D" w:rsidRPr="000F6CD1" w:rsidRDefault="004D556D" w:rsidP="00622CFF">
      <w:pPr>
        <w:spacing w:before="240" w:after="240" w:line="240" w:lineRule="auto"/>
        <w:rPr>
          <w:rFonts w:eastAsia="Yu Gothic Light"/>
        </w:rPr>
      </w:pPr>
    </w:p>
    <w:p w14:paraId="00110143" w14:textId="77777777" w:rsidR="004D556D" w:rsidRPr="000F6CD1" w:rsidRDefault="004D556D" w:rsidP="00622CFF">
      <w:pPr>
        <w:spacing w:before="240" w:after="240" w:line="240" w:lineRule="auto"/>
        <w:rPr>
          <w:rFonts w:eastAsia="Yu Gothic Light"/>
        </w:rPr>
      </w:pPr>
      <w:r w:rsidRPr="000F6CD1">
        <w:rPr>
          <w:rFonts w:eastAsia="Yu Gothic Light"/>
        </w:rPr>
        <w:t>If the older person later wants to use their ongoing SaH classification through the Support at Home program, they can change their preference and enter the Support at Home Priority System. Their wait time will be counted from their original access approval date of effect. That is, it will be as if they had stayed in the queue from their first approval. They can change their preference by:</w:t>
      </w:r>
    </w:p>
    <w:p w14:paraId="276A1E44"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contacting My Aged Care</w:t>
      </w:r>
    </w:p>
    <w:p w14:paraId="2D17CFA7"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 xml:space="preserve">using the </w:t>
      </w:r>
      <w:hyperlink r:id="rId245">
        <w:r w:rsidRPr="00F75E1A">
          <w:rPr>
            <w:rStyle w:val="Hyperlink"/>
          </w:rPr>
          <w:t>My Aged Care Online Account</w:t>
        </w:r>
      </w:hyperlink>
      <w:r w:rsidRPr="000F6CD1">
        <w:rPr>
          <w:rFonts w:eastAsia="Yu Gothic Light"/>
        </w:rPr>
        <w:t xml:space="preserve">. </w:t>
      </w:r>
    </w:p>
    <w:p w14:paraId="0585FC95" w14:textId="77777777" w:rsidR="004D556D" w:rsidRPr="000F6CD1" w:rsidRDefault="004D556D" w:rsidP="00622CFF">
      <w:pPr>
        <w:spacing w:before="240" w:after="240" w:line="240" w:lineRule="auto"/>
        <w:ind w:left="720"/>
        <w:contextualSpacing/>
        <w:rPr>
          <w:rFonts w:eastAsia="Yu Gothic Light"/>
        </w:rPr>
      </w:pPr>
    </w:p>
    <w:p w14:paraId="00379B7A" w14:textId="77777777" w:rsidR="004D556D" w:rsidRPr="000F6CD1" w:rsidRDefault="004D556D" w:rsidP="00622CFF">
      <w:pPr>
        <w:pStyle w:val="NoSpacing"/>
        <w:spacing w:before="240" w:after="240" w:line="240" w:lineRule="auto"/>
      </w:pPr>
      <w:r w:rsidRPr="000F6CD1">
        <w:rPr>
          <w:rFonts w:ascii="Arial" w:hAnsi="Arial" w:cs="Arial"/>
          <w:sz w:val="22"/>
          <w:szCs w:val="22"/>
        </w:rPr>
        <w:t>Assessment Delegates are responsible for confirming that the client's preference</w:t>
      </w:r>
      <w:r w:rsidRPr="000F6CD1">
        <w:rPr>
          <w:rFonts w:ascii="Arial" w:hAnsi="Arial" w:cs="Arial" w:hint="eastAsia"/>
          <w:sz w:val="22"/>
          <w:szCs w:val="22"/>
        </w:rPr>
        <w:t>—</w:t>
      </w:r>
      <w:r w:rsidRPr="000F6CD1">
        <w:rPr>
          <w:rFonts w:ascii="Arial" w:hAnsi="Arial" w:cs="Arial"/>
          <w:sz w:val="22"/>
          <w:szCs w:val="22"/>
        </w:rPr>
        <w:t>whether to seek or not seek services through the Support at Home program</w:t>
      </w:r>
      <w:r w:rsidRPr="000F6CD1">
        <w:rPr>
          <w:rFonts w:ascii="Arial" w:hAnsi="Arial" w:cs="Arial" w:hint="eastAsia"/>
          <w:sz w:val="22"/>
          <w:szCs w:val="22"/>
        </w:rPr>
        <w:t>—</w:t>
      </w:r>
      <w:r w:rsidRPr="000F6CD1">
        <w:rPr>
          <w:rFonts w:ascii="Arial" w:hAnsi="Arial" w:cs="Arial"/>
          <w:sz w:val="22"/>
          <w:szCs w:val="22"/>
        </w:rPr>
        <w:t>has been</w:t>
      </w:r>
      <w:r w:rsidRPr="000F6CD1">
        <w:rPr>
          <w:rFonts w:ascii="Arial" w:hAnsi="Arial" w:cs="Arial" w:hint="eastAsia"/>
          <w:sz w:val="22"/>
          <w:szCs w:val="22"/>
        </w:rPr>
        <w:t> </w:t>
      </w:r>
      <w:r w:rsidRPr="000F6CD1">
        <w:rPr>
          <w:rFonts w:ascii="Arial" w:hAnsi="Arial" w:cs="Arial"/>
          <w:sz w:val="22"/>
          <w:szCs w:val="22"/>
        </w:rPr>
        <w:t>accurately recorded</w:t>
      </w:r>
      <w:r w:rsidRPr="000F6CD1">
        <w:rPr>
          <w:rFonts w:ascii="Arial" w:hAnsi="Arial" w:cs="Arial" w:hint="eastAsia"/>
          <w:sz w:val="22"/>
          <w:szCs w:val="22"/>
        </w:rPr>
        <w:t> </w:t>
      </w:r>
      <w:r w:rsidRPr="000F6CD1">
        <w:rPr>
          <w:rFonts w:ascii="Arial" w:hAnsi="Arial" w:cs="Arial"/>
          <w:sz w:val="22"/>
          <w:szCs w:val="22"/>
        </w:rPr>
        <w:t>in the support plan and that it aligns with their assessed needs.</w:t>
      </w:r>
    </w:p>
    <w:p w14:paraId="70544566" w14:textId="77777777" w:rsidR="004D556D" w:rsidRPr="000F6CD1" w:rsidRDefault="004D556D" w:rsidP="006647CE">
      <w:pPr>
        <w:pStyle w:val="h2"/>
      </w:pPr>
      <w:bookmarkStart w:id="753" w:name="_Toc209189026"/>
      <w:bookmarkStart w:id="754" w:name="_Toc233282483"/>
      <w:r w:rsidRPr="000F6CD1">
        <w:t>Approving Assistive Technology and Home Modifications under Support at Home</w:t>
      </w:r>
      <w:bookmarkEnd w:id="753"/>
      <w:bookmarkEnd w:id="754"/>
      <w:r w:rsidRPr="000F6CD1">
        <w:t> </w:t>
      </w:r>
    </w:p>
    <w:p w14:paraId="6BF74F17" w14:textId="3472829A" w:rsidR="004D556D" w:rsidRPr="000F6CD1" w:rsidRDefault="004D556D" w:rsidP="00622CFF">
      <w:pPr>
        <w:spacing w:before="240" w:after="240" w:line="240" w:lineRule="auto"/>
        <w:rPr>
          <w:rFonts w:eastAsia="Yu Gothic Light"/>
        </w:rPr>
      </w:pPr>
      <w:r w:rsidRPr="000F6CD1">
        <w:rPr>
          <w:rFonts w:eastAsia="Yu Gothic Light"/>
        </w:rPr>
        <w:t xml:space="preserve">This section relates to approving Assistive Technology (AT) or Home Modifications (HM) under the AT-HM scheme. The AT-HM scheme is one of the short-term pathways of the Support at Home (SaH) program. To be approved for the AT-HM scheme, the older person must also be approved for home support with a SAH classification level. A later section will show how to approve AT or HM when the classification level of the older person is </w:t>
      </w:r>
      <w:r w:rsidRPr="000F6CD1">
        <w:rPr>
          <w:rFonts w:eastAsia="Yu Gothic Light"/>
          <w:i/>
        </w:rPr>
        <w:t>CHSP class</w:t>
      </w:r>
      <w:r w:rsidRPr="000F6CD1">
        <w:rPr>
          <w:rFonts w:eastAsia="Yu Gothic Light"/>
        </w:rPr>
        <w:t>.</w:t>
      </w:r>
    </w:p>
    <w:p w14:paraId="09A2294F" w14:textId="77777777" w:rsidR="004D556D" w:rsidRPr="000F6CD1" w:rsidRDefault="004D556D" w:rsidP="00AD2CE5">
      <w:pPr>
        <w:pStyle w:val="H3"/>
      </w:pPr>
      <w:bookmarkStart w:id="755" w:name="_Toc198787176"/>
      <w:bookmarkStart w:id="756" w:name="_Toc1318243315"/>
      <w:bookmarkStart w:id="757" w:name="_Toc199344557"/>
      <w:bookmarkStart w:id="758" w:name="_Toc205372094"/>
      <w:bookmarkStart w:id="759" w:name="_Toc207713997"/>
      <w:r w:rsidRPr="000F6CD1">
        <w:lastRenderedPageBreak/>
        <w:t>Step 1. Decide if the older person is eligible for AT or HM</w:t>
      </w:r>
      <w:bookmarkEnd w:id="755"/>
      <w:bookmarkEnd w:id="756"/>
      <w:bookmarkEnd w:id="757"/>
      <w:bookmarkEnd w:id="758"/>
      <w:bookmarkEnd w:id="759"/>
    </w:p>
    <w:p w14:paraId="2D176A3B" w14:textId="77777777" w:rsidR="004D556D" w:rsidRPr="000F6CD1" w:rsidRDefault="004D556D" w:rsidP="00622CFF">
      <w:pPr>
        <w:spacing w:before="240" w:after="240" w:line="240" w:lineRule="auto"/>
        <w:rPr>
          <w:rFonts w:eastAsia="Yu Gothic Light"/>
        </w:rPr>
      </w:pPr>
      <w:r w:rsidRPr="000F6CD1">
        <w:rPr>
          <w:rFonts w:eastAsia="Yu Gothic Light"/>
        </w:rPr>
        <w:t xml:space="preserve">Before approving a recommendation for AT and/or HM, an Assessment Delegate first needs to decide if an older person requires and is eligible to access one or both of these service groups. </w:t>
      </w:r>
    </w:p>
    <w:p w14:paraId="76532B8D" w14:textId="77777777" w:rsidR="004D556D" w:rsidRPr="000F6CD1" w:rsidRDefault="004D556D" w:rsidP="00622CFF">
      <w:pPr>
        <w:spacing w:before="240" w:after="240" w:line="240" w:lineRule="auto"/>
        <w:rPr>
          <w:rFonts w:eastAsia="Arial"/>
          <w:color w:val="000000"/>
        </w:rPr>
      </w:pPr>
      <w:r w:rsidRPr="000F6CD1">
        <w:rPr>
          <w:rFonts w:eastAsia="Arial"/>
          <w:color w:val="000000"/>
        </w:rPr>
        <w:t xml:space="preserve">Existing questions in the IAT will help to identify and determine an older person’s need for AT or HM. For example, the purpose of the function section is to understand a client’s functional ability, their ability to complete activities of daily living, and if the client requires further assistance with these. </w:t>
      </w:r>
    </w:p>
    <w:p w14:paraId="6FBAC36B" w14:textId="77777777" w:rsidR="004D556D" w:rsidRPr="000F6CD1" w:rsidRDefault="004D556D" w:rsidP="00622CFF">
      <w:pPr>
        <w:spacing w:before="240" w:after="240" w:line="240" w:lineRule="auto"/>
        <w:rPr>
          <w:rFonts w:eastAsia="Arial"/>
          <w:color w:val="000000"/>
        </w:rPr>
      </w:pPr>
      <w:r w:rsidRPr="000F6CD1">
        <w:rPr>
          <w:rFonts w:eastAsia="Arial"/>
          <w:color w:val="000000"/>
        </w:rPr>
        <w:t xml:space="preserve">As part of an Assessment Delegate’s decision-making, they must consider whether the older person: </w:t>
      </w:r>
    </w:p>
    <w:p w14:paraId="6AE7E22B" w14:textId="77777777" w:rsidR="004D556D" w:rsidRPr="000F6CD1" w:rsidRDefault="004D556D" w:rsidP="00DF3F6B">
      <w:pPr>
        <w:numPr>
          <w:ilvl w:val="0"/>
          <w:numId w:val="283"/>
        </w:numPr>
        <w:spacing w:before="240" w:after="240" w:line="240" w:lineRule="auto"/>
        <w:contextualSpacing/>
        <w:rPr>
          <w:rFonts w:eastAsia="Arial"/>
          <w:color w:val="000000"/>
        </w:rPr>
      </w:pPr>
      <w:r w:rsidRPr="000F6CD1">
        <w:rPr>
          <w:rFonts w:eastAsia="Arial"/>
          <w:color w:val="000000"/>
        </w:rPr>
        <w:t>has needs and goals that could be met through using assistive technology or home modifications, or both</w:t>
      </w:r>
    </w:p>
    <w:p w14:paraId="5CDC8707" w14:textId="77777777" w:rsidR="004D556D" w:rsidRPr="000F6CD1" w:rsidRDefault="004D556D" w:rsidP="00DF3F6B">
      <w:pPr>
        <w:numPr>
          <w:ilvl w:val="0"/>
          <w:numId w:val="283"/>
        </w:numPr>
        <w:spacing w:before="240" w:after="240" w:line="240" w:lineRule="auto"/>
        <w:contextualSpacing/>
        <w:rPr>
          <w:rFonts w:eastAsia="Arial"/>
          <w:color w:val="000000"/>
        </w:rPr>
      </w:pPr>
      <w:r w:rsidRPr="000F6CD1">
        <w:rPr>
          <w:rFonts w:eastAsia="Arial"/>
          <w:color w:val="000000" w:themeColor="text1"/>
        </w:rPr>
        <w:t>can have those needs met through the assistive technology or home modifications service groups, and therefore the products, equipment and home modifications on the AT-HM list.</w:t>
      </w:r>
    </w:p>
    <w:p w14:paraId="1334F7AE" w14:textId="77777777" w:rsidR="004D556D" w:rsidRPr="000F6CD1" w:rsidRDefault="004D556D" w:rsidP="00622CFF">
      <w:pPr>
        <w:spacing w:before="240" w:after="240" w:line="240" w:lineRule="auto"/>
        <w:ind w:left="720"/>
        <w:contextualSpacing/>
        <w:rPr>
          <w:rFonts w:eastAsia="Arial"/>
          <w:color w:val="000000"/>
        </w:rPr>
      </w:pPr>
    </w:p>
    <w:p w14:paraId="720E8368" w14:textId="77777777" w:rsidR="004D556D" w:rsidRPr="000F6CD1" w:rsidRDefault="004D556D" w:rsidP="00AD2CE5">
      <w:pPr>
        <w:pStyle w:val="H3"/>
      </w:pPr>
      <w:bookmarkStart w:id="760" w:name="_Toc205372095"/>
      <w:bookmarkStart w:id="761" w:name="_Toc207713998"/>
      <w:r w:rsidRPr="000F6CD1">
        <w:t>Step 2. Approve the classification type and level (funding tier)</w:t>
      </w:r>
      <w:bookmarkEnd w:id="760"/>
      <w:bookmarkEnd w:id="761"/>
    </w:p>
    <w:p w14:paraId="31D42BA3" w14:textId="6D8A8DE2" w:rsidR="004D556D" w:rsidRPr="000F6CD1" w:rsidRDefault="004D556D" w:rsidP="00622CFF">
      <w:pPr>
        <w:spacing w:before="240" w:after="240" w:line="240" w:lineRule="auto"/>
        <w:rPr>
          <w:rFonts w:eastAsia="Yu Gothic Light"/>
          <w:color w:val="000000"/>
        </w:rPr>
      </w:pPr>
      <w:r w:rsidRPr="000F6CD1">
        <w:rPr>
          <w:rFonts w:eastAsia="Yu Gothic Light"/>
        </w:rPr>
        <w:t>Assessment Delegates are responsible for</w:t>
      </w:r>
      <w:r w:rsidRPr="000F6CD1">
        <w:rPr>
          <w:rFonts w:eastAsia="Yu Gothic Light" w:hint="eastAsia"/>
        </w:rPr>
        <w:t> </w:t>
      </w:r>
      <w:r w:rsidRPr="000F6CD1">
        <w:rPr>
          <w:rFonts w:eastAsia="Yu Gothic Light"/>
        </w:rPr>
        <w:t>approving the classification type</w:t>
      </w:r>
      <w:r w:rsidRPr="000F6CD1">
        <w:rPr>
          <w:rFonts w:eastAsia="Yu Gothic Light"/>
          <w:b/>
        </w:rPr>
        <w:t xml:space="preserve"> </w:t>
      </w:r>
      <w:r w:rsidRPr="000F6CD1">
        <w:rPr>
          <w:rFonts w:eastAsia="Yu Gothic Light"/>
        </w:rPr>
        <w:t xml:space="preserve">(ongoing or </w:t>
      </w:r>
      <w:r w:rsidRPr="000F6CD1">
        <w:rPr>
          <w:rFonts w:eastAsia="Yu Gothic Light"/>
          <w:color w:val="000000"/>
        </w:rPr>
        <w:t>short-term) and funding tier for AT and HM recommended by the assessor. Once approved, funding must be used within the 12-month period</w:t>
      </w:r>
      <w:r w:rsidRPr="000F6CD1">
        <w:rPr>
          <w:rFonts w:eastAsia="Yu Gothic Light"/>
          <w:b/>
          <w:color w:val="000000"/>
        </w:rPr>
        <w:t xml:space="preserve"> </w:t>
      </w:r>
      <w:r w:rsidRPr="000F6CD1">
        <w:rPr>
          <w:rFonts w:eastAsia="Yu Gothic Light"/>
          <w:color w:val="000000"/>
        </w:rPr>
        <w:t>(in most instances).</w:t>
      </w:r>
      <w:r w:rsidR="008D7D37" w:rsidRPr="000F6CD1">
        <w:rPr>
          <w:rFonts w:eastAsia="Yu Gothic Light"/>
          <w:color w:val="000000"/>
        </w:rPr>
        <w:t xml:space="preserve"> </w:t>
      </w:r>
    </w:p>
    <w:p w14:paraId="339AD39F" w14:textId="77777777" w:rsidR="004D556D" w:rsidRPr="000F6CD1" w:rsidRDefault="004D556D" w:rsidP="00622CFF">
      <w:pPr>
        <w:spacing w:before="240" w:after="240" w:line="240" w:lineRule="auto"/>
        <w:rPr>
          <w:rFonts w:eastAsia="Yu Gothic Light"/>
          <w:color w:val="000000"/>
        </w:rPr>
      </w:pPr>
      <w:r w:rsidRPr="000F6CD1">
        <w:rPr>
          <w:rFonts w:eastAsia="Yu Gothic Light"/>
          <w:color w:val="000000"/>
        </w:rPr>
        <w:t xml:space="preserve">A ‘funding tier’ for AT-HM has been implemented as a ‘classification level’ under the </w:t>
      </w:r>
      <w:r w:rsidRPr="000F6CD1">
        <w:rPr>
          <w:rFonts w:eastAsia="Yu Gothic Light"/>
          <w:i/>
          <w:iCs/>
          <w:color w:val="000000"/>
        </w:rPr>
        <w:t>Aged Care Act 2024</w:t>
      </w:r>
      <w:r w:rsidRPr="000F6CD1">
        <w:rPr>
          <w:rFonts w:eastAsia="Yu Gothic Light"/>
          <w:color w:val="000000"/>
        </w:rPr>
        <w:t xml:space="preserve"> (the Act). These funding tiers determine the</w:t>
      </w:r>
      <w:r w:rsidRPr="000F6CD1">
        <w:rPr>
          <w:rFonts w:eastAsia="Yu Gothic Light" w:hint="eastAsia"/>
          <w:b/>
          <w:color w:val="000000"/>
        </w:rPr>
        <w:t> </w:t>
      </w:r>
      <w:r w:rsidRPr="000F6CD1">
        <w:rPr>
          <w:rFonts w:eastAsia="Yu Gothic Light"/>
          <w:color w:val="000000"/>
        </w:rPr>
        <w:t>maximum budget</w:t>
      </w:r>
      <w:r w:rsidRPr="000F6CD1">
        <w:rPr>
          <w:rFonts w:eastAsia="Yu Gothic Light" w:hint="eastAsia"/>
          <w:color w:val="000000"/>
        </w:rPr>
        <w:t> </w:t>
      </w:r>
      <w:r w:rsidRPr="000F6CD1">
        <w:rPr>
          <w:rFonts w:eastAsia="Yu Gothic Light"/>
          <w:color w:val="000000"/>
        </w:rPr>
        <w:t>(except for AT high tier where there is no maximum budget) available and are</w:t>
      </w:r>
      <w:r w:rsidRPr="000F6CD1">
        <w:rPr>
          <w:rFonts w:eastAsia="Yu Gothic Light" w:hint="eastAsia"/>
          <w:color w:val="000000"/>
        </w:rPr>
        <w:t> </w:t>
      </w:r>
      <w:r w:rsidRPr="000F6CD1">
        <w:rPr>
          <w:rFonts w:eastAsia="Yu Gothic Light"/>
          <w:color w:val="000000"/>
        </w:rPr>
        <w:t>valid for 12 months</w:t>
      </w:r>
      <w:r w:rsidRPr="000F6CD1">
        <w:rPr>
          <w:rFonts w:eastAsia="Yu Gothic Light"/>
          <w:b/>
          <w:color w:val="000000"/>
        </w:rPr>
        <w:t xml:space="preserve"> </w:t>
      </w:r>
      <w:r w:rsidRPr="000F6CD1">
        <w:rPr>
          <w:rFonts w:eastAsia="Yu Gothic Light"/>
          <w:bCs/>
          <w:color w:val="000000"/>
        </w:rPr>
        <w:t>(</w:t>
      </w:r>
      <w:r w:rsidRPr="000F6CD1">
        <w:rPr>
          <w:rFonts w:eastAsia="Yu Gothic Light"/>
          <w:color w:val="000000"/>
        </w:rPr>
        <w:t>in most instances</w:t>
      </w:r>
      <w:r w:rsidRPr="000F6CD1">
        <w:rPr>
          <w:rFonts w:eastAsia="Yu Gothic Light"/>
          <w:bCs/>
          <w:color w:val="000000"/>
        </w:rPr>
        <w:t>)</w:t>
      </w:r>
      <w:r w:rsidRPr="000F6CD1">
        <w:rPr>
          <w:rFonts w:eastAsia="Yu Gothic Light" w:hint="eastAsia"/>
          <w:color w:val="000000"/>
        </w:rPr>
        <w:t> </w:t>
      </w:r>
      <w:r w:rsidRPr="000F6CD1">
        <w:rPr>
          <w:rFonts w:eastAsia="Yu Gothic Light"/>
          <w:color w:val="000000"/>
        </w:rPr>
        <w:t>from the date the individual started care with their provider (as notified by the provider in the start notification for the person).</w:t>
      </w:r>
      <w:r w:rsidRPr="000F6CD1">
        <w:rPr>
          <w:rFonts w:eastAsia="Yu Gothic Light" w:hint="eastAsia"/>
          <w:color w:val="000000"/>
        </w:rPr>
        <w:t> </w:t>
      </w:r>
    </w:p>
    <w:p w14:paraId="55B55892" w14:textId="6A435323" w:rsidR="004D556D" w:rsidRPr="000F6CD1" w:rsidRDefault="004D556D" w:rsidP="00622CFF">
      <w:pPr>
        <w:spacing w:before="240" w:after="240" w:line="240" w:lineRule="auto"/>
        <w:rPr>
          <w:rFonts w:eastAsia="Yu Gothic Light"/>
          <w:color w:val="000000"/>
        </w:rPr>
      </w:pPr>
      <w:r w:rsidRPr="000F6CD1">
        <w:rPr>
          <w:rFonts w:eastAsia="Yu Gothic Light"/>
          <w:color w:val="000000"/>
        </w:rPr>
        <w:t xml:space="preserve">Individuals can access AT ongoing (assistance dogs) and short-term and HM tiers concurrently if needed and may be required to contribute financially depending on the category of support. </w:t>
      </w:r>
    </w:p>
    <w:p w14:paraId="2913C2C4" w14:textId="77777777" w:rsidR="004D556D" w:rsidRPr="000F6CD1" w:rsidRDefault="004D556D" w:rsidP="00622CFF">
      <w:pPr>
        <w:spacing w:before="240" w:after="240" w:line="240" w:lineRule="auto"/>
        <w:rPr>
          <w:rFonts w:eastAsia="Yu Gothic Light"/>
          <w:color w:val="000000"/>
        </w:rPr>
      </w:pPr>
      <w:r w:rsidRPr="000F6CD1">
        <w:rPr>
          <w:rFonts w:eastAsia="Yu Gothic Light"/>
          <w:color w:val="000000"/>
        </w:rPr>
        <w:t>The cost of prescription and wrap-around services—such as delivery, setup, training, and follow-up—are also drawn from the AT-HM funding tier. Providers may charge:</w:t>
      </w:r>
    </w:p>
    <w:p w14:paraId="762397FD" w14:textId="77777777" w:rsidR="004D556D" w:rsidRPr="000F6CD1" w:rsidRDefault="004D556D" w:rsidP="00DF3F6B">
      <w:pPr>
        <w:numPr>
          <w:ilvl w:val="0"/>
          <w:numId w:val="296"/>
        </w:numPr>
        <w:spacing w:before="240" w:after="240" w:line="240" w:lineRule="auto"/>
        <w:contextualSpacing/>
        <w:rPr>
          <w:rFonts w:eastAsia="Yu Gothic Light"/>
          <w:color w:val="000000"/>
        </w:rPr>
      </w:pPr>
      <w:r w:rsidRPr="000F6CD1">
        <w:rPr>
          <w:rFonts w:eastAsia="Yu Gothic Light"/>
          <w:color w:val="000000"/>
        </w:rPr>
        <w:t>up to 10</w:t>
      </w:r>
      <w:r w:rsidRPr="000F6CD1">
        <w:rPr>
          <w:rFonts w:eastAsia="Yu Gothic Light"/>
        </w:rPr>
        <w:t>%</w:t>
      </w:r>
      <w:r w:rsidRPr="000F6CD1">
        <w:rPr>
          <w:rFonts w:eastAsia="Arial"/>
        </w:rPr>
        <w:t xml:space="preserve"> of the cost of the item or item bundle or up to $500 (whichever is lower)</w:t>
      </w:r>
      <w:r w:rsidRPr="000F6CD1">
        <w:rPr>
          <w:rFonts w:eastAsia="Yu Gothic Light"/>
        </w:rPr>
        <w:t xml:space="preserve"> on </w:t>
      </w:r>
      <w:r w:rsidRPr="000F6CD1">
        <w:rPr>
          <w:rFonts w:eastAsia="Yu Gothic Light"/>
          <w:color w:val="000000"/>
        </w:rPr>
        <w:t>administrati</w:t>
      </w:r>
      <w:r w:rsidRPr="000F6CD1">
        <w:rPr>
          <w:rFonts w:eastAsia="Yu Gothic Light"/>
        </w:rPr>
        <w:t>on costs for AT.</w:t>
      </w:r>
    </w:p>
    <w:p w14:paraId="4E8ACD5B" w14:textId="77777777" w:rsidR="004D556D" w:rsidRPr="000F6CD1" w:rsidRDefault="004D556D" w:rsidP="00DF3F6B">
      <w:pPr>
        <w:numPr>
          <w:ilvl w:val="0"/>
          <w:numId w:val="296"/>
        </w:numPr>
        <w:spacing w:before="240" w:after="240" w:line="240" w:lineRule="auto"/>
        <w:contextualSpacing/>
        <w:rPr>
          <w:rFonts w:eastAsia="Yu Gothic Light"/>
          <w:color w:val="000000"/>
          <w:szCs w:val="22"/>
        </w:rPr>
      </w:pPr>
      <w:r w:rsidRPr="000F6CD1">
        <w:rPr>
          <w:rFonts w:eastAsia="Yu Gothic Light"/>
          <w:szCs w:val="22"/>
        </w:rPr>
        <w:t xml:space="preserve">up to 15% </w:t>
      </w:r>
      <w:r w:rsidRPr="000F6CD1">
        <w:rPr>
          <w:rFonts w:eastAsia="Arial"/>
          <w:szCs w:val="22"/>
        </w:rPr>
        <w:t>of the total quoted cost of a participant’s home modification or up to $1,500 (whichever is lower) on c</w:t>
      </w:r>
      <w:r w:rsidRPr="000F6CD1">
        <w:rPr>
          <w:rFonts w:eastAsia="Yu Gothic Light"/>
          <w:szCs w:val="22"/>
        </w:rPr>
        <w:t>oordination costs for HM.</w:t>
      </w:r>
    </w:p>
    <w:p w14:paraId="3DF4ED0E" w14:textId="77777777" w:rsidR="004D556D" w:rsidRPr="000F6CD1" w:rsidRDefault="004D556D" w:rsidP="00622CFF">
      <w:pPr>
        <w:spacing w:before="240" w:after="240" w:line="240" w:lineRule="auto"/>
        <w:rPr>
          <w:rFonts w:eastAsia="Yu Gothic Light"/>
        </w:rPr>
      </w:pPr>
    </w:p>
    <w:p w14:paraId="7837197C" w14:textId="0B8CC93C" w:rsidR="004D556D" w:rsidRPr="000F6CD1" w:rsidRDefault="004D556D" w:rsidP="00B33924">
      <w:pPr>
        <w:spacing w:before="240" w:after="240" w:line="240" w:lineRule="auto"/>
        <w:rPr>
          <w:rFonts w:eastAsia="Yu Gothic Light"/>
        </w:rPr>
      </w:pPr>
      <w:r w:rsidRPr="000F6CD1">
        <w:rPr>
          <w:rFonts w:eastAsia="Yu Gothic Light"/>
        </w:rPr>
        <w:t>The AT-HM funding tier must align with the individual's assessed needs and be documented in their support plan. An Assessment Delegate’s approval ensures appropriate funding allocation, program compliance, and timely access to essential supports.</w:t>
      </w:r>
      <w:r w:rsidR="008D7D37" w:rsidRPr="000F6CD1">
        <w:rPr>
          <w:rFonts w:eastAsia="Yu Gothic Light"/>
        </w:rPr>
        <w:t xml:space="preserve"> </w:t>
      </w:r>
    </w:p>
    <w:p w14:paraId="74D99D5C" w14:textId="77777777" w:rsidR="004D556D" w:rsidRPr="000F6CD1" w:rsidRDefault="004D556D" w:rsidP="00622CFF">
      <w:pPr>
        <w:spacing w:before="240" w:after="240" w:line="240" w:lineRule="auto"/>
        <w:rPr>
          <w:rFonts w:eastAsia="Yu Gothic Light"/>
          <w:color w:val="000000"/>
        </w:rPr>
      </w:pPr>
      <w:r w:rsidRPr="000F6CD1">
        <w:rPr>
          <w:rFonts w:eastAsia="Yu Gothic Light"/>
        </w:rPr>
        <w:lastRenderedPageBreak/>
        <w:t>Assessment Delegates must consider the costs of prescription and wrapround services when approving a funding tier.</w:t>
      </w:r>
      <w:r w:rsidRPr="000F6CD1">
        <w:rPr>
          <w:rFonts w:eastAsia="Yu Gothic Light" w:hint="eastAsia"/>
        </w:rPr>
        <w:t> </w:t>
      </w:r>
    </w:p>
    <w:p w14:paraId="5B76C13D" w14:textId="77777777" w:rsidR="004D556D" w:rsidRPr="000F6CD1" w:rsidRDefault="004D556D" w:rsidP="00622CFF">
      <w:pPr>
        <w:spacing w:before="240" w:after="240" w:line="240" w:lineRule="auto"/>
        <w:rPr>
          <w:rFonts w:eastAsia="Yu Gothic Light"/>
        </w:rPr>
      </w:pPr>
      <w:r w:rsidRPr="000F6CD1">
        <w:rPr>
          <w:rFonts w:eastAsia="Yu Gothic Light"/>
        </w:rPr>
        <w:t>An individual is not eligible for the AT-HM scheme if they are currently receiving permanent residential aged care.</w:t>
      </w:r>
      <w:r w:rsidRPr="000F6CD1">
        <w:rPr>
          <w:rFonts w:eastAsia="Yu Gothic Light" w:hint="eastAsia"/>
        </w:rPr>
        <w:t> </w:t>
      </w:r>
    </w:p>
    <w:p w14:paraId="75E033DF" w14:textId="77777777" w:rsidR="004D556D" w:rsidRPr="000F6CD1" w:rsidRDefault="004D556D">
      <w:pPr>
        <w:pStyle w:val="H4"/>
      </w:pPr>
      <w:bookmarkStart w:id="762" w:name="_Toc205372096"/>
      <w:bookmarkStart w:id="763" w:name="_Toc207713999"/>
      <w:r w:rsidRPr="000F6CD1">
        <w:t>AT-HM scheme funding tiers</w:t>
      </w:r>
      <w:bookmarkEnd w:id="762"/>
      <w:bookmarkEnd w:id="763"/>
    </w:p>
    <w:p w14:paraId="3532F5BD" w14:textId="345FD202" w:rsidR="004D556D" w:rsidRPr="000F6CD1" w:rsidRDefault="004D556D" w:rsidP="00622CFF">
      <w:pPr>
        <w:spacing w:before="240" w:after="240" w:line="240" w:lineRule="auto"/>
        <w:rPr>
          <w:rFonts w:eastAsia="Yu Gothic Light"/>
        </w:rPr>
      </w:pPr>
      <w:r w:rsidRPr="000F6CD1">
        <w:rPr>
          <w:rFonts w:eastAsia="Yu Gothic Light"/>
        </w:rPr>
        <w:t>If AT or HM are approved, individuals will be assigned a funding tier for AT, HM, or both - based on their assessed needs.</w:t>
      </w:r>
      <w:r w:rsidR="008D7D37" w:rsidRPr="000F6CD1">
        <w:rPr>
          <w:rFonts w:eastAsia="Yu Gothic Light"/>
        </w:rPr>
        <w:t xml:space="preserve"> </w:t>
      </w:r>
    </w:p>
    <w:p w14:paraId="40A385A9" w14:textId="253A2381" w:rsidR="004D556D" w:rsidRDefault="004D556D" w:rsidP="00622CFF">
      <w:pPr>
        <w:pStyle w:val="Caption"/>
        <w:spacing w:before="240" w:after="240"/>
        <w:rPr>
          <w:rFonts w:eastAsia="Yu Gothic Light"/>
        </w:rPr>
      </w:pPr>
      <w:r w:rsidRPr="000F6CD1">
        <w:rPr>
          <w:rFonts w:eastAsia="Yu Gothic Light"/>
        </w:rPr>
        <w:t>Table 4</w:t>
      </w:r>
      <w:r w:rsidR="00C046CD">
        <w:rPr>
          <w:rFonts w:eastAsia="Yu Gothic Light"/>
        </w:rPr>
        <w:t>8</w:t>
      </w:r>
      <w:r w:rsidRPr="000F6CD1">
        <w:rPr>
          <w:rFonts w:eastAsia="Yu Gothic Light"/>
        </w:rPr>
        <w:t>. Funding tiers for both AT and HM: Low, Medium and High</w:t>
      </w:r>
      <w:r w:rsidRPr="000F6CD1">
        <w:rPr>
          <w:rFonts w:eastAsia="Yu Gothic Light" w:hint="eastAsia"/>
        </w:rPr>
        <w:t> </w:t>
      </w:r>
    </w:p>
    <w:p w14:paraId="7F761A10" w14:textId="16FB7FA5" w:rsidR="000A2D70" w:rsidRPr="008521C3" w:rsidRDefault="008521C3" w:rsidP="008521C3">
      <w:pPr>
        <w:pStyle w:val="Caption"/>
        <w:spacing w:before="240" w:after="240"/>
        <w:rPr>
          <w:b w:val="0"/>
          <w:sz w:val="22"/>
          <w:szCs w:val="22"/>
        </w:rPr>
      </w:pPr>
      <w:r>
        <w:rPr>
          <w:b w:val="0"/>
          <w:bCs/>
          <w:color w:val="000000" w:themeColor="text1"/>
          <w:sz w:val="22"/>
          <w:szCs w:val="22"/>
        </w:rPr>
        <w:t xml:space="preserve">Indexation will be applied to the below amounts; </w:t>
      </w:r>
      <w:r w:rsidRPr="005164D2">
        <w:rPr>
          <w:b w:val="0"/>
          <w:bCs/>
          <w:color w:val="000000" w:themeColor="text1"/>
          <w:sz w:val="22"/>
          <w:szCs w:val="22"/>
        </w:rPr>
        <w:t>indexation will occur on 1 July and 1 August 2026. For the latest budget information, please go to:</w:t>
      </w:r>
      <w:r w:rsidRPr="000F6CD1">
        <w:rPr>
          <w:b w:val="0"/>
          <w:bCs/>
          <w:sz w:val="22"/>
          <w:szCs w:val="22"/>
        </w:rPr>
        <w:t xml:space="preserve"> </w:t>
      </w:r>
      <w:hyperlink r:id="rId246" w:history="1">
        <w:r w:rsidRPr="000F6CD1">
          <w:rPr>
            <w:rStyle w:val="Hyperlink"/>
            <w:b w:val="0"/>
            <w:bCs/>
            <w:sz w:val="22"/>
            <w:szCs w:val="22"/>
          </w:rPr>
          <w:t>Schedules of Subsidies and Supplements for Aged Care | Australian Government Department of Health, Disability and Ageing</w:t>
        </w:r>
      </w:hyperlink>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unding tiers for both AT and HM: Low, Medium and High "/>
        <w:tblDescription w:val="The table provides details of the funding tiers for both AT and HM: Low, Medium and High "/>
      </w:tblPr>
      <w:tblGrid>
        <w:gridCol w:w="3000"/>
        <w:gridCol w:w="3000"/>
        <w:gridCol w:w="3000"/>
      </w:tblGrid>
      <w:tr w:rsidR="004D556D" w:rsidRPr="000F6CD1" w14:paraId="1D60CD19" w14:textId="77777777">
        <w:trPr>
          <w:trHeight w:val="300"/>
        </w:trPr>
        <w:tc>
          <w:tcPr>
            <w:tcW w:w="3000" w:type="dxa"/>
            <w:tcBorders>
              <w:top w:val="single" w:sz="6" w:space="0" w:color="auto"/>
              <w:left w:val="nil"/>
              <w:bottom w:val="single" w:sz="6" w:space="0" w:color="44546A"/>
              <w:right w:val="nil"/>
            </w:tcBorders>
            <w:shd w:val="clear" w:color="auto" w:fill="002060"/>
            <w:hideMark/>
          </w:tcPr>
          <w:p w14:paraId="5C4B7C22" w14:textId="77777777" w:rsidR="004D556D" w:rsidRPr="000F6CD1" w:rsidRDefault="004D556D" w:rsidP="00315498">
            <w:pPr>
              <w:spacing w:before="120" w:after="120" w:line="240" w:lineRule="auto"/>
              <w:rPr>
                <w:rFonts w:eastAsia="Yu Gothic Light"/>
              </w:rPr>
            </w:pPr>
            <w:r w:rsidRPr="000F6CD1">
              <w:rPr>
                <w:rFonts w:eastAsia="Yu Gothic Light"/>
                <w:b/>
              </w:rPr>
              <w:t>Funding tier</w:t>
            </w:r>
            <w:r w:rsidRPr="000F6CD1">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56E61917" w14:textId="77777777" w:rsidR="004D556D" w:rsidRPr="000F6CD1" w:rsidRDefault="004D556D" w:rsidP="00315498">
            <w:pPr>
              <w:spacing w:before="120" w:after="120" w:line="240" w:lineRule="auto"/>
              <w:rPr>
                <w:rFonts w:eastAsia="Yu Gothic Light"/>
              </w:rPr>
            </w:pPr>
            <w:r w:rsidRPr="000F6CD1">
              <w:rPr>
                <w:rFonts w:eastAsia="Yu Gothic Light"/>
                <w:b/>
              </w:rPr>
              <w:t>Funding allocation cap</w:t>
            </w:r>
            <w:r w:rsidRPr="000F6CD1">
              <w:rPr>
                <w:rFonts w:eastAsia="Yu Gothic Light" w:hint="eastAsia"/>
              </w:rPr>
              <w:t> </w:t>
            </w:r>
          </w:p>
        </w:tc>
        <w:tc>
          <w:tcPr>
            <w:tcW w:w="3000" w:type="dxa"/>
            <w:tcBorders>
              <w:top w:val="single" w:sz="6" w:space="0" w:color="auto"/>
              <w:left w:val="nil"/>
              <w:bottom w:val="single" w:sz="6" w:space="0" w:color="44546A"/>
              <w:right w:val="nil"/>
            </w:tcBorders>
            <w:shd w:val="clear" w:color="auto" w:fill="002060"/>
            <w:hideMark/>
          </w:tcPr>
          <w:p w14:paraId="545D610B" w14:textId="77777777" w:rsidR="004D556D" w:rsidRPr="000F6CD1" w:rsidRDefault="004D556D" w:rsidP="00315498">
            <w:pPr>
              <w:spacing w:before="120" w:after="120" w:line="240" w:lineRule="auto"/>
              <w:rPr>
                <w:rFonts w:eastAsia="Yu Gothic Light"/>
              </w:rPr>
            </w:pPr>
            <w:r w:rsidRPr="000F6CD1">
              <w:rPr>
                <w:rFonts w:eastAsia="Yu Gothic Light"/>
                <w:b/>
              </w:rPr>
              <w:t>Funding period</w:t>
            </w:r>
            <w:r w:rsidRPr="000F6CD1">
              <w:rPr>
                <w:rFonts w:eastAsia="Yu Gothic Light" w:hint="eastAsia"/>
              </w:rPr>
              <w:t> </w:t>
            </w:r>
          </w:p>
        </w:tc>
      </w:tr>
      <w:tr w:rsidR="004D556D" w:rsidRPr="000F6CD1" w14:paraId="5D8C912B"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25A8F35A" w14:textId="77777777" w:rsidR="004D556D" w:rsidRPr="000F6CD1" w:rsidRDefault="004D556D" w:rsidP="00315498">
            <w:pPr>
              <w:spacing w:before="120" w:after="120" w:line="240" w:lineRule="auto"/>
              <w:rPr>
                <w:rFonts w:eastAsia="Yu Gothic Light"/>
              </w:rPr>
            </w:pPr>
            <w:r w:rsidRPr="000F6CD1">
              <w:rPr>
                <w:rFonts w:eastAsia="Yu Gothic Light"/>
                <w:b/>
              </w:rPr>
              <w:t>Assistive technology</w:t>
            </w:r>
            <w:r w:rsidRPr="000F6CD1">
              <w:rPr>
                <w:rFonts w:eastAsia="Yu Gothic Light" w:hint="eastAsia"/>
              </w:rPr>
              <w:t> </w:t>
            </w:r>
          </w:p>
        </w:tc>
      </w:tr>
      <w:tr w:rsidR="004D556D" w:rsidRPr="000F6CD1" w14:paraId="1B783AAA"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74AA17C7" w14:textId="77777777" w:rsidR="004D556D" w:rsidRPr="000F6CD1" w:rsidRDefault="004D556D" w:rsidP="00315498">
            <w:pPr>
              <w:spacing w:before="120" w:after="120" w:line="240" w:lineRule="auto"/>
              <w:rPr>
                <w:rFonts w:eastAsia="Yu Gothic Light"/>
              </w:rPr>
            </w:pPr>
            <w:r w:rsidRPr="000F6CD1">
              <w:rPr>
                <w:rFonts w:eastAsia="Yu Gothic Light"/>
              </w:rPr>
              <w:t>Low</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3C5F227B" w14:textId="77777777" w:rsidR="004D556D" w:rsidRPr="000F6CD1" w:rsidRDefault="004D556D" w:rsidP="00315498">
            <w:pPr>
              <w:spacing w:before="120" w:after="120" w:line="240" w:lineRule="auto"/>
              <w:rPr>
                <w:rFonts w:eastAsia="Yu Gothic Light"/>
              </w:rPr>
            </w:pPr>
            <w:r w:rsidRPr="000F6CD1">
              <w:rPr>
                <w:rFonts w:eastAsia="Yu Gothic Light"/>
              </w:rPr>
              <w:t>$500</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28BAA5D2"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hint="eastAsia"/>
              </w:rPr>
              <w:t> </w:t>
            </w:r>
          </w:p>
        </w:tc>
      </w:tr>
      <w:tr w:rsidR="004D556D" w:rsidRPr="000F6CD1" w14:paraId="102652F2"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6E6F4945" w14:textId="77777777" w:rsidR="004D556D" w:rsidRPr="000F6CD1" w:rsidRDefault="004D556D" w:rsidP="00315498">
            <w:pPr>
              <w:spacing w:before="120" w:after="120" w:line="240" w:lineRule="auto"/>
              <w:rPr>
                <w:rFonts w:eastAsia="Yu Gothic Light"/>
              </w:rPr>
            </w:pPr>
            <w:r w:rsidRPr="000F6CD1">
              <w:rPr>
                <w:rFonts w:eastAsia="Yu Gothic Light"/>
              </w:rPr>
              <w:t>Medium</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3E5AE124" w14:textId="77777777" w:rsidR="004D556D" w:rsidRPr="000F6CD1" w:rsidRDefault="004D556D" w:rsidP="00315498">
            <w:pPr>
              <w:spacing w:before="120" w:after="120" w:line="240" w:lineRule="auto"/>
              <w:rPr>
                <w:rFonts w:eastAsia="Yu Gothic Light"/>
              </w:rPr>
            </w:pPr>
            <w:r w:rsidRPr="000F6CD1">
              <w:rPr>
                <w:rFonts w:eastAsia="Yu Gothic Light"/>
              </w:rPr>
              <w:t>$2,000</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3F7BEC55"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hint="eastAsia"/>
              </w:rPr>
              <w:t> </w:t>
            </w:r>
          </w:p>
        </w:tc>
      </w:tr>
      <w:tr w:rsidR="004D556D" w:rsidRPr="000F6CD1" w14:paraId="41C8650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2948CE21" w14:textId="77777777" w:rsidR="004D556D" w:rsidRPr="000F6CD1" w:rsidRDefault="004D556D" w:rsidP="00315498">
            <w:pPr>
              <w:spacing w:before="120" w:after="120" w:line="240" w:lineRule="auto"/>
              <w:rPr>
                <w:rFonts w:eastAsia="Yu Gothic Light"/>
              </w:rPr>
            </w:pPr>
            <w:r w:rsidRPr="000F6CD1">
              <w:rPr>
                <w:rFonts w:eastAsia="Yu Gothic Light"/>
              </w:rPr>
              <w:t>High</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69189503" w14:textId="77777777" w:rsidR="004D556D" w:rsidRPr="000F6CD1" w:rsidRDefault="004D556D" w:rsidP="00315498">
            <w:pPr>
              <w:spacing w:before="120" w:after="120" w:line="240" w:lineRule="auto"/>
              <w:rPr>
                <w:rFonts w:eastAsia="Yu Gothic Light"/>
              </w:rPr>
            </w:pPr>
            <w:r w:rsidRPr="000F6CD1">
              <w:rPr>
                <w:rFonts w:eastAsia="Yu Gothic Light"/>
              </w:rPr>
              <w:t>$15,000</w:t>
            </w:r>
            <w:r w:rsidRPr="000F6CD1">
              <w:rPr>
                <w:rFonts w:eastAsia="Yu Gothic Light"/>
                <w:vertAlign w:val="superscript"/>
              </w:rPr>
              <w:t>1</w:t>
            </w:r>
            <w:r w:rsidRPr="000F6CD1">
              <w:rPr>
                <w:rFonts w:eastAsia="Yu Gothic Light" w:hint="eastAsia"/>
                <w:vertAlign w:val="superscript"/>
              </w:rPr>
              <w:t> </w:t>
            </w:r>
            <w:r w:rsidRPr="000F6CD1">
              <w:rPr>
                <w:rFonts w:eastAsia="Yu Gothic Light"/>
              </w:rPr>
              <w:t>(nominal)</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6F1989CD"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hint="eastAsia"/>
              </w:rPr>
              <w:t> </w:t>
            </w:r>
          </w:p>
        </w:tc>
      </w:tr>
      <w:tr w:rsidR="004D556D" w:rsidRPr="000F6CD1" w14:paraId="6DA29C6B"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3FD87238" w14:textId="77777777" w:rsidR="004D556D" w:rsidRPr="000F6CD1" w:rsidRDefault="004D556D" w:rsidP="00315498">
            <w:pPr>
              <w:spacing w:before="120" w:after="120" w:line="240" w:lineRule="auto"/>
              <w:rPr>
                <w:rFonts w:eastAsia="Yu Gothic Light"/>
              </w:rPr>
            </w:pPr>
            <w:r w:rsidRPr="000F6CD1">
              <w:rPr>
                <w:rFonts w:eastAsia="Yu Gothic Light"/>
                <w:vertAlign w:val="superscript"/>
              </w:rPr>
              <w:t>1</w:t>
            </w:r>
            <w:r w:rsidRPr="000F6CD1">
              <w:rPr>
                <w:rFonts w:eastAsia="Yu Gothic Light"/>
              </w:rPr>
              <w:t xml:space="preserve"> Participants can access more than $15,000 with a prescribed need.</w:t>
            </w:r>
            <w:r w:rsidRPr="000F6CD1">
              <w:rPr>
                <w:rFonts w:eastAsia="Yu Gothic Light" w:hint="eastAsia"/>
              </w:rPr>
              <w:t> </w:t>
            </w:r>
          </w:p>
        </w:tc>
      </w:tr>
      <w:tr w:rsidR="004D556D" w:rsidRPr="000F6CD1" w14:paraId="45975C04"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1257990E" w14:textId="77777777" w:rsidR="004D556D" w:rsidRPr="000F6CD1" w:rsidRDefault="004D556D" w:rsidP="00315498">
            <w:pPr>
              <w:spacing w:before="120" w:after="120" w:line="240" w:lineRule="auto"/>
              <w:rPr>
                <w:rFonts w:eastAsia="Yu Gothic Light"/>
              </w:rPr>
            </w:pPr>
            <w:r w:rsidRPr="000F6CD1">
              <w:rPr>
                <w:rFonts w:eastAsia="Yu Gothic Light"/>
                <w:b/>
              </w:rPr>
              <w:t>Home modifications</w:t>
            </w:r>
            <w:r w:rsidRPr="000F6CD1">
              <w:rPr>
                <w:rFonts w:eastAsia="Yu Gothic Light" w:hint="eastAsia"/>
              </w:rPr>
              <w:t> </w:t>
            </w:r>
          </w:p>
        </w:tc>
      </w:tr>
      <w:tr w:rsidR="004D556D" w:rsidRPr="000F6CD1" w14:paraId="68ADA41A"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5AB1EC8E" w14:textId="77777777" w:rsidR="004D556D" w:rsidRPr="000F6CD1" w:rsidRDefault="004D556D" w:rsidP="00315498">
            <w:pPr>
              <w:spacing w:before="120" w:after="120" w:line="240" w:lineRule="auto"/>
              <w:rPr>
                <w:rFonts w:eastAsia="Yu Gothic Light"/>
              </w:rPr>
            </w:pPr>
            <w:r w:rsidRPr="000F6CD1">
              <w:rPr>
                <w:rFonts w:eastAsia="Yu Gothic Light"/>
              </w:rPr>
              <w:t>Low</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6CCDB06" w14:textId="77777777" w:rsidR="004D556D" w:rsidRPr="000F6CD1" w:rsidRDefault="004D556D" w:rsidP="00315498">
            <w:pPr>
              <w:spacing w:before="120" w:after="120" w:line="240" w:lineRule="auto"/>
              <w:rPr>
                <w:rFonts w:eastAsia="Yu Gothic Light"/>
              </w:rPr>
            </w:pPr>
            <w:r w:rsidRPr="000F6CD1">
              <w:rPr>
                <w:rFonts w:eastAsia="Yu Gothic Light"/>
              </w:rPr>
              <w:t>$500</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2BFB7469"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hint="eastAsia"/>
              </w:rPr>
              <w:t> </w:t>
            </w:r>
          </w:p>
        </w:tc>
      </w:tr>
      <w:tr w:rsidR="004D556D" w:rsidRPr="000F6CD1" w14:paraId="4A07E1AF"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687D6FFB" w14:textId="77777777" w:rsidR="004D556D" w:rsidRPr="000F6CD1" w:rsidRDefault="004D556D" w:rsidP="00315498">
            <w:pPr>
              <w:spacing w:before="120" w:after="120" w:line="240" w:lineRule="auto"/>
              <w:rPr>
                <w:rFonts w:eastAsia="Yu Gothic Light"/>
              </w:rPr>
            </w:pPr>
            <w:r w:rsidRPr="000F6CD1">
              <w:rPr>
                <w:rFonts w:eastAsia="Yu Gothic Light"/>
              </w:rPr>
              <w:t>Medium</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2F3DD7A9" w14:textId="77777777" w:rsidR="004D556D" w:rsidRPr="000F6CD1" w:rsidRDefault="004D556D" w:rsidP="00315498">
            <w:pPr>
              <w:spacing w:before="120" w:after="120" w:line="240" w:lineRule="auto"/>
              <w:rPr>
                <w:rFonts w:eastAsia="Yu Gothic Light"/>
              </w:rPr>
            </w:pPr>
            <w:r w:rsidRPr="000F6CD1">
              <w:rPr>
                <w:rFonts w:eastAsia="Yu Gothic Light"/>
              </w:rPr>
              <w:t>$2,000</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72874250"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hint="eastAsia"/>
              </w:rPr>
              <w:t> </w:t>
            </w:r>
          </w:p>
        </w:tc>
      </w:tr>
      <w:tr w:rsidR="004D556D" w:rsidRPr="000F6CD1" w14:paraId="3E2B8F25"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2B69E2B3" w14:textId="77777777" w:rsidR="004D556D" w:rsidRPr="000F6CD1" w:rsidRDefault="004D556D" w:rsidP="00315498">
            <w:pPr>
              <w:spacing w:before="120" w:after="120" w:line="240" w:lineRule="auto"/>
              <w:rPr>
                <w:rFonts w:eastAsia="Yu Gothic Light"/>
              </w:rPr>
            </w:pPr>
            <w:r w:rsidRPr="000F6CD1">
              <w:rPr>
                <w:rFonts w:eastAsia="Yu Gothic Light"/>
              </w:rPr>
              <w:t>High</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182AA4A0" w14:textId="77777777" w:rsidR="004D556D" w:rsidRPr="000F6CD1" w:rsidRDefault="004D556D" w:rsidP="00315498">
            <w:pPr>
              <w:spacing w:before="120" w:after="120" w:line="240" w:lineRule="auto"/>
              <w:rPr>
                <w:rFonts w:eastAsia="Yu Gothic Light"/>
              </w:rPr>
            </w:pPr>
            <w:r w:rsidRPr="000F6CD1">
              <w:rPr>
                <w:rFonts w:eastAsia="Yu Gothic Light"/>
              </w:rPr>
              <w:t>$15,000</w:t>
            </w:r>
            <w:r w:rsidRPr="000F6CD1">
              <w:rPr>
                <w:rFonts w:eastAsia="Yu Gothic Light" w:hint="eastAsia"/>
              </w:rPr>
              <w:t> </w:t>
            </w:r>
          </w:p>
        </w:tc>
        <w:tc>
          <w:tcPr>
            <w:tcW w:w="3000" w:type="dxa"/>
            <w:tcBorders>
              <w:top w:val="single" w:sz="6" w:space="0" w:color="44546A"/>
              <w:left w:val="single" w:sz="6" w:space="0" w:color="44546A"/>
              <w:bottom w:val="single" w:sz="6" w:space="0" w:color="44546A"/>
              <w:right w:val="single" w:sz="6" w:space="0" w:color="44546A"/>
            </w:tcBorders>
            <w:hideMark/>
          </w:tcPr>
          <w:p w14:paraId="36FA5F6C" w14:textId="77777777" w:rsidR="004D556D" w:rsidRPr="000F6CD1" w:rsidRDefault="004D556D" w:rsidP="00315498">
            <w:pPr>
              <w:spacing w:before="120" w:after="120" w:line="240" w:lineRule="auto"/>
              <w:rPr>
                <w:rFonts w:eastAsia="Yu Gothic Light"/>
              </w:rPr>
            </w:pPr>
            <w:r w:rsidRPr="000F6CD1">
              <w:rPr>
                <w:rFonts w:eastAsia="Yu Gothic Light"/>
              </w:rPr>
              <w:t>12 months</w:t>
            </w:r>
            <w:r w:rsidRPr="000F6CD1">
              <w:rPr>
                <w:rFonts w:eastAsia="Yu Gothic Light"/>
                <w:vertAlign w:val="superscript"/>
              </w:rPr>
              <w:t>2</w:t>
            </w:r>
            <w:r w:rsidRPr="000F6CD1">
              <w:rPr>
                <w:rFonts w:eastAsia="Yu Gothic Light" w:hint="eastAsia"/>
              </w:rPr>
              <w:t> </w:t>
            </w:r>
          </w:p>
        </w:tc>
      </w:tr>
      <w:tr w:rsidR="004D556D" w:rsidRPr="000F6CD1" w14:paraId="56E3844F"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281F6146" w14:textId="77777777" w:rsidR="004D556D" w:rsidRPr="000F6CD1" w:rsidRDefault="004D556D" w:rsidP="00315498">
            <w:pPr>
              <w:spacing w:before="120" w:after="120" w:line="240" w:lineRule="auto"/>
              <w:rPr>
                <w:rFonts w:eastAsia="Yu Gothic Light"/>
              </w:rPr>
            </w:pPr>
            <w:r w:rsidRPr="000F6CD1">
              <w:rPr>
                <w:rFonts w:eastAsia="Yu Gothic Light"/>
                <w:vertAlign w:val="superscript"/>
              </w:rPr>
              <w:t xml:space="preserve">2 </w:t>
            </w:r>
            <w:r w:rsidRPr="000F6CD1">
              <w:rPr>
                <w:rFonts w:eastAsia="Yu Gothic Light"/>
              </w:rPr>
              <w:t>Funding may be extended for an additional 12 months to complete complex home modifications (24 months in total) if evidence is provided to Services Australia</w:t>
            </w:r>
            <w:r w:rsidRPr="000F6CD1">
              <w:rPr>
                <w:rFonts w:eastAsia="Yu Gothic Light" w:hint="eastAsia"/>
              </w:rPr>
              <w:t> </w:t>
            </w:r>
          </w:p>
        </w:tc>
      </w:tr>
      <w:tr w:rsidR="004D556D" w:rsidRPr="000F6CD1" w14:paraId="4ADFCD57" w14:textId="77777777" w:rsidTr="00315498">
        <w:trPr>
          <w:trHeight w:val="300"/>
        </w:trPr>
        <w:tc>
          <w:tcPr>
            <w:tcW w:w="9000" w:type="dxa"/>
            <w:gridSpan w:val="3"/>
            <w:tcBorders>
              <w:top w:val="single" w:sz="6" w:space="0" w:color="44546A"/>
              <w:left w:val="single" w:sz="6" w:space="0" w:color="44546A"/>
              <w:bottom w:val="single" w:sz="6" w:space="0" w:color="44546A"/>
              <w:right w:val="single" w:sz="6" w:space="0" w:color="44546A"/>
            </w:tcBorders>
            <w:shd w:val="clear" w:color="auto" w:fill="002060"/>
            <w:hideMark/>
          </w:tcPr>
          <w:p w14:paraId="7157A848" w14:textId="77777777" w:rsidR="004D556D" w:rsidRPr="000F6CD1" w:rsidRDefault="004D556D" w:rsidP="00315498">
            <w:pPr>
              <w:spacing w:before="120" w:after="120" w:line="240" w:lineRule="auto"/>
              <w:rPr>
                <w:rFonts w:eastAsia="Yu Gothic Light"/>
              </w:rPr>
            </w:pPr>
            <w:r w:rsidRPr="000F6CD1">
              <w:rPr>
                <w:rFonts w:eastAsia="Yu Gothic Light"/>
                <w:b/>
              </w:rPr>
              <w:t>Other funding</w:t>
            </w:r>
            <w:r w:rsidRPr="000F6CD1">
              <w:rPr>
                <w:rFonts w:eastAsia="Yu Gothic Light" w:hint="eastAsia"/>
              </w:rPr>
              <w:t> </w:t>
            </w:r>
          </w:p>
        </w:tc>
      </w:tr>
      <w:tr w:rsidR="004D556D" w:rsidRPr="000F6CD1" w14:paraId="2C19B216" w14:textId="77777777">
        <w:trPr>
          <w:trHeight w:val="300"/>
        </w:trPr>
        <w:tc>
          <w:tcPr>
            <w:tcW w:w="3000" w:type="dxa"/>
            <w:tcBorders>
              <w:top w:val="single" w:sz="6" w:space="0" w:color="44546A"/>
              <w:left w:val="single" w:sz="6" w:space="0" w:color="44546A"/>
              <w:bottom w:val="single" w:sz="6" w:space="0" w:color="44546A"/>
              <w:right w:val="single" w:sz="6" w:space="0" w:color="44546A"/>
            </w:tcBorders>
            <w:hideMark/>
          </w:tcPr>
          <w:p w14:paraId="06D54DC3" w14:textId="77777777" w:rsidR="004D556D" w:rsidRPr="000F6CD1" w:rsidRDefault="004D556D" w:rsidP="00315498">
            <w:pPr>
              <w:spacing w:before="120" w:after="120" w:line="240" w:lineRule="auto"/>
              <w:rPr>
                <w:rFonts w:eastAsia="Yu Gothic Light"/>
              </w:rPr>
            </w:pPr>
            <w:r w:rsidRPr="000F6CD1">
              <w:rPr>
                <w:rFonts w:eastAsia="Yu Gothic Light"/>
              </w:rPr>
              <w:t>Assistance dog maintenance</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4014EC6F" w14:textId="77777777" w:rsidR="004D556D" w:rsidRPr="000F6CD1" w:rsidRDefault="004D556D" w:rsidP="00315498">
            <w:pPr>
              <w:spacing w:before="120" w:after="120" w:line="240" w:lineRule="auto"/>
              <w:rPr>
                <w:rFonts w:eastAsia="Yu Gothic Light"/>
              </w:rPr>
            </w:pPr>
            <w:r w:rsidRPr="000F6CD1">
              <w:rPr>
                <w:rFonts w:eastAsia="Yu Gothic Light"/>
              </w:rPr>
              <w:t>$2,000 per year</w:t>
            </w:r>
            <w:r w:rsidRPr="000F6CD1">
              <w:rPr>
                <w:rFonts w:eastAsia="Yu Gothic Light" w:hint="eastAsia"/>
              </w:rPr>
              <w:t> </w:t>
            </w:r>
          </w:p>
        </w:tc>
        <w:tc>
          <w:tcPr>
            <w:tcW w:w="3000" w:type="dxa"/>
            <w:tcBorders>
              <w:top w:val="nil"/>
              <w:left w:val="single" w:sz="6" w:space="0" w:color="44546A"/>
              <w:bottom w:val="single" w:sz="6" w:space="0" w:color="44546A"/>
              <w:right w:val="single" w:sz="6" w:space="0" w:color="44546A"/>
            </w:tcBorders>
            <w:hideMark/>
          </w:tcPr>
          <w:p w14:paraId="7DBF39CF" w14:textId="77777777" w:rsidR="004D556D" w:rsidRPr="000F6CD1" w:rsidRDefault="004D556D" w:rsidP="00315498">
            <w:pPr>
              <w:spacing w:before="120" w:after="120" w:line="240" w:lineRule="auto"/>
              <w:rPr>
                <w:rFonts w:eastAsia="Yu Gothic Light"/>
              </w:rPr>
            </w:pPr>
            <w:r w:rsidRPr="000F6CD1">
              <w:rPr>
                <w:rFonts w:eastAsia="Yu Gothic Light"/>
              </w:rPr>
              <w:t>Ongoing</w:t>
            </w:r>
            <w:r w:rsidRPr="000F6CD1">
              <w:rPr>
                <w:rFonts w:eastAsia="Yu Gothic Light"/>
                <w:vertAlign w:val="superscript"/>
              </w:rPr>
              <w:t>3</w:t>
            </w:r>
            <w:r w:rsidRPr="000F6CD1">
              <w:rPr>
                <w:rFonts w:eastAsia="Yu Gothic Light" w:hint="eastAsia"/>
              </w:rPr>
              <w:t> </w:t>
            </w:r>
          </w:p>
        </w:tc>
      </w:tr>
      <w:tr w:rsidR="004D556D" w:rsidRPr="000F6CD1" w14:paraId="39F708E2" w14:textId="77777777">
        <w:trPr>
          <w:trHeight w:val="300"/>
        </w:trPr>
        <w:tc>
          <w:tcPr>
            <w:tcW w:w="9000" w:type="dxa"/>
            <w:gridSpan w:val="3"/>
            <w:tcBorders>
              <w:top w:val="single" w:sz="6" w:space="0" w:color="44546A"/>
              <w:left w:val="single" w:sz="6" w:space="0" w:color="44546A"/>
              <w:bottom w:val="single" w:sz="6" w:space="0" w:color="44546A"/>
              <w:right w:val="single" w:sz="6" w:space="0" w:color="44546A"/>
            </w:tcBorders>
            <w:hideMark/>
          </w:tcPr>
          <w:p w14:paraId="70D1C171" w14:textId="77777777" w:rsidR="004D556D" w:rsidRPr="000F6CD1" w:rsidRDefault="004D556D" w:rsidP="00315498">
            <w:pPr>
              <w:spacing w:before="120" w:after="120" w:line="240" w:lineRule="auto"/>
              <w:rPr>
                <w:rFonts w:eastAsia="Yu Gothic Light"/>
              </w:rPr>
            </w:pPr>
            <w:r w:rsidRPr="000F6CD1">
              <w:rPr>
                <w:rFonts w:eastAsia="Yu Gothic Light"/>
                <w:vertAlign w:val="superscript"/>
              </w:rPr>
              <w:t>3</w:t>
            </w:r>
            <w:r w:rsidRPr="000F6CD1">
              <w:rPr>
                <w:rFonts w:eastAsia="Yu Gothic Light"/>
              </w:rPr>
              <w:t xml:space="preserve"> Funding for assistance dog maintenance will be automatically allocated every 12 months; however, the funding cannot accrue or rollover.</w:t>
            </w:r>
            <w:r w:rsidRPr="000F6CD1">
              <w:rPr>
                <w:rFonts w:eastAsia="Yu Gothic Light" w:hint="eastAsia"/>
              </w:rPr>
              <w:t> </w:t>
            </w:r>
          </w:p>
        </w:tc>
      </w:tr>
    </w:tbl>
    <w:p w14:paraId="551C9141" w14:textId="77777777" w:rsidR="004D556D" w:rsidRPr="000F6CD1" w:rsidRDefault="004D556D" w:rsidP="00622CFF">
      <w:pPr>
        <w:spacing w:before="240" w:after="240" w:line="240" w:lineRule="auto"/>
        <w:rPr>
          <w:rFonts w:eastAsia="Yu Gothic Light"/>
        </w:rPr>
      </w:pPr>
      <w:r w:rsidRPr="000F6CD1">
        <w:rPr>
          <w:rFonts w:eastAsia="Yu Gothic Light"/>
        </w:rPr>
        <w:t>An AT-HM tier guide has been developed to assist assessors to make a funding tier recommendation for assistive technology and/or home modifications based on the older person</w:t>
      </w:r>
      <w:r w:rsidRPr="000F6CD1">
        <w:rPr>
          <w:rFonts w:eastAsia="Yu Gothic Light" w:hint="eastAsia"/>
        </w:rPr>
        <w:t>’</w:t>
      </w:r>
      <w:r w:rsidRPr="000F6CD1">
        <w:rPr>
          <w:rFonts w:eastAsia="Yu Gothic Light"/>
        </w:rPr>
        <w:t xml:space="preserve">s assessed need in the IAT. This includes considering their current functional ability and home environment. The guidance has been designed to consolidate the main elements of the IAT relevant to AT-HM to support assessors in choosing a funding tier. The guide will </w:t>
      </w:r>
      <w:r w:rsidRPr="000F6CD1">
        <w:rPr>
          <w:rFonts w:eastAsia="Yu Gothic Light"/>
        </w:rPr>
        <w:lastRenderedPageBreak/>
        <w:t>suggest a funding tier which should sit where the majority of tier indicators have been selected. Assessors should ensure their recommendations align with the participant</w:t>
      </w:r>
      <w:r w:rsidRPr="000F6CD1">
        <w:rPr>
          <w:rFonts w:eastAsia="Yu Gothic Light" w:hint="eastAsia"/>
        </w:rPr>
        <w:t>’</w:t>
      </w:r>
      <w:r w:rsidRPr="000F6CD1">
        <w:rPr>
          <w:rFonts w:eastAsia="Yu Gothic Light"/>
        </w:rPr>
        <w:t xml:space="preserve">s goals, safety, independence, and overall ability to remain living at home. They may choose to select an alternate tier if funding does not align with assessed need. Assessors can upload the document as an attachment to allow Assessment Delegates to review as supporting evidence for any funding tier recommendations made. </w:t>
      </w:r>
    </w:p>
    <w:p w14:paraId="43FD4B92" w14:textId="77777777" w:rsidR="004D556D" w:rsidRPr="000F6CD1" w:rsidRDefault="004D556D" w:rsidP="00622CFF">
      <w:pPr>
        <w:spacing w:before="240" w:after="240" w:line="240" w:lineRule="auto"/>
        <w:rPr>
          <w:rFonts w:eastAsia="Yu Gothic Light"/>
        </w:rPr>
      </w:pPr>
      <w:r w:rsidRPr="000F6CD1">
        <w:rPr>
          <w:rFonts w:eastAsia="Arial"/>
          <w:color w:val="000000"/>
        </w:rPr>
        <w:t>The assessment delegate may also use the completed AT-HM tier guide, uploaded by the assessor, to review evidence related to the decision making process on allocation of a particular AT or HM funding tier.</w:t>
      </w:r>
    </w:p>
    <w:tbl>
      <w:tblPr>
        <w:tblW w:w="0" w:type="auto"/>
        <w:tblLook w:val="04A0" w:firstRow="1" w:lastRow="0" w:firstColumn="1" w:lastColumn="0" w:noHBand="0" w:noVBand="1"/>
      </w:tblPr>
      <w:tblGrid>
        <w:gridCol w:w="921"/>
        <w:gridCol w:w="8105"/>
      </w:tblGrid>
      <w:tr w:rsidR="004D556D" w:rsidRPr="000F6CD1" w14:paraId="1C87F522" w14:textId="77777777" w:rsidTr="00FB0F8A">
        <w:trPr>
          <w:trHeight w:val="677"/>
        </w:trPr>
        <w:tc>
          <w:tcPr>
            <w:tcW w:w="921" w:type="dxa"/>
          </w:tcPr>
          <w:p w14:paraId="6748FB86" w14:textId="77777777" w:rsidR="004D556D" w:rsidRPr="000F6CD1" w:rsidRDefault="004D556D">
            <w:pPr>
              <w:spacing w:before="240" w:after="240" w:line="240" w:lineRule="auto"/>
              <w:rPr>
                <w:rFonts w:eastAsia="Yu Gothic Light"/>
              </w:rPr>
            </w:pPr>
            <w:r w:rsidRPr="000F6CD1">
              <w:rPr>
                <w:rFonts w:eastAsia="Yu Gothic Light"/>
                <w:noProof/>
              </w:rPr>
              <w:drawing>
                <wp:inline distT="0" distB="0" distL="0" distR="0" wp14:anchorId="4F8783D0" wp14:editId="3223E86E">
                  <wp:extent cx="447675" cy="445208"/>
                  <wp:effectExtent l="0" t="0" r="0" b="0"/>
                  <wp:docPr id="781714139" name="Picture 78171413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4139" name="Picture 781714139"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75E63B90" w14:textId="713C1BF2" w:rsidR="004D556D" w:rsidRPr="000F6CD1" w:rsidRDefault="004D556D">
            <w:pPr>
              <w:spacing w:before="240" w:after="240" w:line="240" w:lineRule="auto"/>
              <w:rPr>
                <w:rFonts w:eastAsia="Yu Gothic Light"/>
              </w:rPr>
            </w:pPr>
            <w:r w:rsidRPr="000F6CD1">
              <w:rPr>
                <w:rFonts w:eastAsia="Yu Gothic Light"/>
              </w:rPr>
              <w:t xml:space="preserve">See </w:t>
            </w:r>
            <w:r w:rsidR="00F677B0">
              <w:rPr>
                <w:rFonts w:eastAsia="Yu Gothic Light"/>
              </w:rPr>
              <w:fldChar w:fldCharType="begin"/>
            </w:r>
            <w:r w:rsidR="00F677B0">
              <w:rPr>
                <w:rFonts w:eastAsia="Yu Gothic Light"/>
              </w:rPr>
              <w:instrText xml:space="preserve"> REF _Ref233188921 \h </w:instrText>
            </w:r>
            <w:r w:rsidR="00F677B0">
              <w:rPr>
                <w:rFonts w:eastAsia="Yu Gothic Light"/>
              </w:rPr>
            </w:r>
            <w:r w:rsidR="00F677B0">
              <w:rPr>
                <w:rFonts w:eastAsia="Yu Gothic Light"/>
              </w:rPr>
              <w:fldChar w:fldCharType="separate"/>
            </w:r>
            <w:r w:rsidR="004B171E" w:rsidRPr="000F6CD1">
              <w:t>APPENDIX G – AT-HM terms</w:t>
            </w:r>
            <w:r w:rsidR="00F677B0">
              <w:rPr>
                <w:rFonts w:eastAsia="Yu Gothic Light"/>
              </w:rPr>
              <w:fldChar w:fldCharType="end"/>
            </w:r>
            <w:r w:rsidR="00F677B0">
              <w:rPr>
                <w:rFonts w:eastAsia="Yu Gothic Light"/>
              </w:rPr>
              <w:t xml:space="preserve"> </w:t>
            </w:r>
            <w:r w:rsidRPr="000F6CD1">
              <w:rPr>
                <w:rFonts w:eastAsia="Yu Gothic Light"/>
              </w:rPr>
              <w:t>for further information regarding the AT-HM Terms</w:t>
            </w:r>
            <w:r w:rsidR="00F677B0">
              <w:rPr>
                <w:rFonts w:eastAsia="Yu Gothic Light"/>
              </w:rPr>
              <w:t xml:space="preserve"> and</w:t>
            </w:r>
            <w:r w:rsidRPr="000F6CD1">
              <w:rPr>
                <w:rFonts w:eastAsia="Yu Gothic Light"/>
              </w:rPr>
              <w:t xml:space="preserve"> </w:t>
            </w:r>
            <w:r w:rsidR="00BB214B">
              <w:rPr>
                <w:rFonts w:eastAsia="Yu Gothic Light"/>
              </w:rPr>
              <w:fldChar w:fldCharType="begin"/>
            </w:r>
            <w:r w:rsidR="00BB214B">
              <w:rPr>
                <w:rFonts w:eastAsia="Yu Gothic Light"/>
              </w:rPr>
              <w:instrText xml:space="preserve"> REF _Ref232690423 \h </w:instrText>
            </w:r>
            <w:r w:rsidR="00BB214B">
              <w:rPr>
                <w:rFonts w:eastAsia="Yu Gothic Light"/>
              </w:rPr>
            </w:r>
            <w:r w:rsidR="00BB214B">
              <w:rPr>
                <w:rFonts w:eastAsia="Yu Gothic Light"/>
              </w:rPr>
              <w:fldChar w:fldCharType="separate"/>
            </w:r>
            <w:r w:rsidR="004B171E" w:rsidRPr="000F6CD1">
              <w:t>Chapter 6: Aged care programs</w:t>
            </w:r>
            <w:r w:rsidR="00BB214B">
              <w:rPr>
                <w:rFonts w:eastAsia="Yu Gothic Light"/>
              </w:rPr>
              <w:fldChar w:fldCharType="end"/>
            </w:r>
            <w:r w:rsidR="00BB214B">
              <w:rPr>
                <w:rFonts w:eastAsia="Yu Gothic Light"/>
              </w:rPr>
              <w:t xml:space="preserve"> </w:t>
            </w:r>
            <w:r w:rsidRPr="000F6CD1">
              <w:rPr>
                <w:rFonts w:eastAsia="Yu Gothic Light"/>
              </w:rPr>
              <w:t>for AT-HM case studies</w:t>
            </w:r>
          </w:p>
        </w:tc>
      </w:tr>
    </w:tbl>
    <w:p w14:paraId="26D3C988" w14:textId="77777777" w:rsidR="004D556D" w:rsidRPr="000F6CD1" w:rsidRDefault="004D556D" w:rsidP="00622CFF">
      <w:pPr>
        <w:spacing w:before="240" w:after="240" w:line="240" w:lineRule="auto"/>
        <w:rPr>
          <w:rFonts w:eastAsia="Yu Gothic Light"/>
        </w:rPr>
      </w:pPr>
    </w:p>
    <w:p w14:paraId="25E73861" w14:textId="77777777" w:rsidR="004D556D" w:rsidRPr="000F6CD1" w:rsidRDefault="004D556D">
      <w:pPr>
        <w:pStyle w:val="H4"/>
      </w:pPr>
      <w:bookmarkStart w:id="764" w:name="_Toc205372097"/>
      <w:bookmarkStart w:id="765" w:name="_Toc207714000"/>
      <w:r w:rsidRPr="000F6CD1">
        <w:t>AT-HM list</w:t>
      </w:r>
      <w:bookmarkEnd w:id="764"/>
      <w:bookmarkEnd w:id="765"/>
    </w:p>
    <w:p w14:paraId="326AB024" w14:textId="77777777" w:rsidR="004D556D" w:rsidRPr="000F6CD1" w:rsidRDefault="004D556D" w:rsidP="00622CFF">
      <w:pPr>
        <w:spacing w:before="240" w:after="240" w:line="240" w:lineRule="auto"/>
        <w:rPr>
          <w:rFonts w:eastAsia="Yu Gothic Light"/>
        </w:rPr>
      </w:pPr>
      <w:bookmarkStart w:id="766" w:name="_Toc205372098"/>
      <w:r w:rsidRPr="000F6CD1">
        <w:rPr>
          <w:rFonts w:eastAsia="Yu Gothic"/>
        </w:rPr>
        <w:t>T</w:t>
      </w:r>
      <w:bookmarkEnd w:id="766"/>
      <w:r w:rsidRPr="000F6CD1">
        <w:rPr>
          <w:rFonts w:eastAsia="Yu Gothic"/>
        </w:rPr>
        <w:t>he AT-HM list sets out the equipment, products and home modifications that are available for Support at Home participants under the AT-HM scheme. The AT-HM list sits under the main Aged Care Service list, which lists all other services and service types.</w:t>
      </w:r>
    </w:p>
    <w:p w14:paraId="41F412D2" w14:textId="77777777" w:rsidR="004D556D" w:rsidRPr="000F6CD1" w:rsidRDefault="004D556D" w:rsidP="00622CFF">
      <w:pPr>
        <w:spacing w:before="240" w:after="240" w:line="240" w:lineRule="auto"/>
        <w:rPr>
          <w:rFonts w:eastAsia="Yu Gothic Light"/>
        </w:rPr>
      </w:pPr>
      <w:r w:rsidRPr="000F6CD1">
        <w:rPr>
          <w:rFonts w:eastAsia="Yu Gothic"/>
        </w:rPr>
        <w:t>The list was constructed using the internationally agreed instruments and Australian-adopted AS/NZS ISO Assistive Product- classification and terminology standard (2023) and informed by subject matter experts.</w:t>
      </w:r>
    </w:p>
    <w:p w14:paraId="4B82CF8A" w14:textId="77777777" w:rsidR="004D556D" w:rsidRPr="000F6CD1" w:rsidRDefault="004D556D" w:rsidP="00622CFF">
      <w:pPr>
        <w:spacing w:before="240" w:after="240" w:line="240" w:lineRule="auto"/>
        <w:rPr>
          <w:rFonts w:eastAsia="Yu Gothic"/>
        </w:rPr>
      </w:pPr>
      <w:r w:rsidRPr="000F6CD1">
        <w:rPr>
          <w:rFonts w:eastAsia="Yu Gothic"/>
        </w:rPr>
        <w:t>Participants may use their AT-HM scheme funding on items listed under ‘Inclusions’ where an assessed need is documented in their support plan. Conditional inclusions are subject to additional criteria.</w:t>
      </w:r>
    </w:p>
    <w:p w14:paraId="7460C562" w14:textId="77777777" w:rsidR="004D556D" w:rsidRPr="000F6CD1" w:rsidRDefault="004D556D" w:rsidP="00622CFF">
      <w:pPr>
        <w:spacing w:before="240" w:after="240" w:line="240" w:lineRule="auto"/>
        <w:rPr>
          <w:rFonts w:eastAsia="Aptos"/>
        </w:rPr>
      </w:pPr>
      <w:r w:rsidRPr="000F6CD1">
        <w:rPr>
          <w:rFonts w:eastAsia="Yu Gothic"/>
        </w:rPr>
        <w:t xml:space="preserve">Home modification items are included on the AT-HM list. Services associated with the sourcing, supply and provision of the home modification products on the AT-HM list, such as installation, fitting, council approval and planning, will also be funded through the AT-HM scheme. </w:t>
      </w:r>
    </w:p>
    <w:p w14:paraId="3F814227" w14:textId="77777777" w:rsidR="004D556D" w:rsidRPr="000F6CD1" w:rsidRDefault="004D556D" w:rsidP="00622CFF">
      <w:pPr>
        <w:spacing w:before="240" w:after="240" w:line="240" w:lineRule="auto"/>
        <w:rPr>
          <w:rFonts w:eastAsia="Yu Gothic"/>
          <w:b/>
        </w:rPr>
      </w:pPr>
      <w:r w:rsidRPr="000F6CD1">
        <w:rPr>
          <w:rFonts w:eastAsia="Yu Gothic"/>
          <w:b/>
        </w:rPr>
        <w:t xml:space="preserve">The AT-HM list includes the following categories: </w:t>
      </w:r>
    </w:p>
    <w:p w14:paraId="5CD3AE41"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managing body functions </w:t>
      </w:r>
      <w:r w:rsidRPr="000F6CD1">
        <w:rPr>
          <w:rFonts w:eastAsia="Yu Gothic" w:hint="eastAsia"/>
        </w:rPr>
        <w:t>–</w:t>
      </w:r>
      <w:r w:rsidRPr="000F6CD1">
        <w:rPr>
          <w:rFonts w:eastAsia="Yu Gothic"/>
        </w:rPr>
        <w:t xml:space="preserve"> including pressure cushions, anti-oedema stockings and memory support products</w:t>
      </w:r>
    </w:p>
    <w:p w14:paraId="3FD0D685"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self-care products </w:t>
      </w:r>
      <w:r w:rsidRPr="000F6CD1">
        <w:rPr>
          <w:rFonts w:eastAsia="Yu Gothic" w:hint="eastAsia"/>
        </w:rPr>
        <w:t>–</w:t>
      </w:r>
      <w:r w:rsidRPr="000F6CD1">
        <w:rPr>
          <w:rFonts w:eastAsia="Yu Gothic"/>
        </w:rPr>
        <w:t xml:space="preserve"> including adaptive clothing or shoes and assistive products for toileting, bathing and showering</w:t>
      </w:r>
    </w:p>
    <w:p w14:paraId="49C27D2A"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mobility products </w:t>
      </w:r>
      <w:r w:rsidRPr="000F6CD1">
        <w:rPr>
          <w:rFonts w:eastAsia="Yu Gothic" w:hint="eastAsia"/>
        </w:rPr>
        <w:t>–</w:t>
      </w:r>
      <w:r w:rsidRPr="000F6CD1">
        <w:rPr>
          <w:rFonts w:eastAsia="Yu Gothic"/>
        </w:rPr>
        <w:t xml:space="preserve"> including walking frames, wheelchairs and lifting devices </w:t>
      </w:r>
    </w:p>
    <w:p w14:paraId="45488DB9"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domestic life products </w:t>
      </w:r>
      <w:r w:rsidRPr="000F6CD1">
        <w:rPr>
          <w:rFonts w:eastAsia="Yu Gothic" w:hint="eastAsia"/>
        </w:rPr>
        <w:t>–</w:t>
      </w:r>
      <w:r w:rsidRPr="000F6CD1">
        <w:rPr>
          <w:rFonts w:eastAsia="Yu Gothic"/>
        </w:rPr>
        <w:t xml:space="preserve"> including assistive products for food preparation, eating, drinking and house cleaning</w:t>
      </w:r>
    </w:p>
    <w:p w14:paraId="0B71C767"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communication and information management products </w:t>
      </w:r>
      <w:r w:rsidRPr="000F6CD1">
        <w:rPr>
          <w:rFonts w:eastAsia="Yu Gothic" w:hint="eastAsia"/>
        </w:rPr>
        <w:t>–</w:t>
      </w:r>
      <w:r w:rsidRPr="000F6CD1">
        <w:rPr>
          <w:rFonts w:eastAsia="Yu Gothic"/>
        </w:rPr>
        <w:t xml:space="preserve"> aids that assist with reading and writing, as well as alternative and augmentative communication (AAC) devices</w:t>
      </w:r>
    </w:p>
    <w:p w14:paraId="26FB820D" w14:textId="77777777"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w:rPr>
        <w:t xml:space="preserve">home modifications - including accessible showers, grabrails, fixed ramps and safety barriers. </w:t>
      </w:r>
    </w:p>
    <w:p w14:paraId="19B8F914" w14:textId="77777777" w:rsidR="004D556D" w:rsidRPr="000F6CD1" w:rsidRDefault="004D556D" w:rsidP="00622CFF">
      <w:pPr>
        <w:spacing w:before="240" w:after="240" w:line="240" w:lineRule="auto"/>
        <w:ind w:left="720"/>
        <w:contextualSpacing/>
        <w:rPr>
          <w:rFonts w:eastAsia="Yu Gothic Light"/>
        </w:rPr>
      </w:pPr>
    </w:p>
    <w:tbl>
      <w:tblPr>
        <w:tblW w:w="0" w:type="auto"/>
        <w:tblLook w:val="04A0" w:firstRow="1" w:lastRow="0" w:firstColumn="1" w:lastColumn="0" w:noHBand="0" w:noVBand="1"/>
      </w:tblPr>
      <w:tblGrid>
        <w:gridCol w:w="921"/>
        <w:gridCol w:w="8105"/>
      </w:tblGrid>
      <w:tr w:rsidR="004D556D" w:rsidRPr="000F6CD1" w14:paraId="02EF2BD8" w14:textId="77777777">
        <w:trPr>
          <w:trHeight w:val="677"/>
        </w:trPr>
        <w:tc>
          <w:tcPr>
            <w:tcW w:w="921" w:type="dxa"/>
          </w:tcPr>
          <w:p w14:paraId="68382B43" w14:textId="77777777" w:rsidR="004D556D" w:rsidRPr="000F6CD1" w:rsidRDefault="004D556D">
            <w:pPr>
              <w:spacing w:before="240" w:after="240" w:line="240" w:lineRule="auto"/>
              <w:rPr>
                <w:rFonts w:eastAsia="Yu Gothic Light"/>
              </w:rPr>
            </w:pPr>
            <w:r w:rsidRPr="000F6CD1">
              <w:rPr>
                <w:rFonts w:eastAsia="Yu Gothic Light"/>
                <w:noProof/>
              </w:rPr>
              <w:lastRenderedPageBreak/>
              <w:drawing>
                <wp:inline distT="0" distB="0" distL="0" distR="0" wp14:anchorId="40112944" wp14:editId="50C05F1F">
                  <wp:extent cx="447675" cy="445208"/>
                  <wp:effectExtent l="0" t="0" r="0" b="0"/>
                  <wp:docPr id="406273798" name="Picture 40627379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73798" name="Picture 406273798"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4DE08F9E" w14:textId="77777777" w:rsidR="004D556D" w:rsidRPr="000F6CD1" w:rsidRDefault="004D556D">
            <w:pPr>
              <w:spacing w:before="240" w:after="240" w:line="240" w:lineRule="auto"/>
              <w:rPr>
                <w:rFonts w:eastAsia="Yu Gothic"/>
              </w:rPr>
            </w:pPr>
            <w:hyperlink r:id="rId247" w:history="1">
              <w:r w:rsidRPr="000F6CD1">
                <w:rPr>
                  <w:rStyle w:val="Hyperlink"/>
                  <w:rFonts w:eastAsia="Yu Gothic"/>
                </w:rPr>
                <w:t>The AT-HM list</w:t>
              </w:r>
            </w:hyperlink>
          </w:p>
          <w:p w14:paraId="3AF277EA" w14:textId="77777777" w:rsidR="004D556D" w:rsidRPr="000F6CD1" w:rsidRDefault="004D556D">
            <w:pPr>
              <w:spacing w:before="240" w:after="240" w:line="240" w:lineRule="auto"/>
              <w:rPr>
                <w:rFonts w:eastAsia="Yu Gothic Light"/>
              </w:rPr>
            </w:pPr>
            <w:hyperlink r:id="rId248" w:history="1">
              <w:r w:rsidRPr="000F6CD1">
                <w:rPr>
                  <w:rStyle w:val="Hyperlink"/>
                  <w:rFonts w:eastAsia="Yu Gothic Light"/>
                </w:rPr>
                <w:t>The AT-HM scheme guidelines</w:t>
              </w:r>
            </w:hyperlink>
          </w:p>
        </w:tc>
      </w:tr>
    </w:tbl>
    <w:p w14:paraId="2C71BD29" w14:textId="466AEC4A" w:rsidR="004D556D" w:rsidRPr="000F6CD1" w:rsidRDefault="004D556D" w:rsidP="00AD2CE5">
      <w:pPr>
        <w:pStyle w:val="H3"/>
      </w:pPr>
      <w:bookmarkStart w:id="767" w:name="_Toc205372099"/>
      <w:bookmarkStart w:id="768" w:name="_Toc207714001"/>
      <w:r w:rsidRPr="000F6CD1">
        <w:t>Step 3. Confirm the priority category</w:t>
      </w:r>
      <w:bookmarkEnd w:id="767"/>
      <w:bookmarkEnd w:id="768"/>
    </w:p>
    <w:p w14:paraId="22729083" w14:textId="00A5F67D" w:rsidR="004D556D" w:rsidRPr="000F6CD1" w:rsidRDefault="000855A1" w:rsidP="00622CFF">
      <w:pPr>
        <w:spacing w:before="240" w:after="240" w:line="240" w:lineRule="auto"/>
      </w:pPr>
      <w:r w:rsidRPr="000855A1">
        <w:t xml:space="preserve"> </w:t>
      </w:r>
      <w:r w:rsidR="004D556D" w:rsidRPr="000F6CD1">
        <w:rPr>
          <w:rFonts w:eastAsia="Yu Gothic"/>
        </w:rPr>
        <w:t>The AT-HM scheme has separate priority systems to the Support at Home Priority System, as the funding is separate. The AT-HM scheme has an Assistive Technology Priority System and a Home Modifications Priority System that allocate AT and/or HM funding. An older person assessed as eligible for AT and/or HM will enter the AT-HM Priority Systems in one of its three priority categories ( high, medium, standard). The older person will not be able to access AT-HM under Support at Home until funding has been allocated. The amount of time they wait for services will depend on the priority category they are in.</w:t>
      </w:r>
    </w:p>
    <w:p w14:paraId="201EA811" w14:textId="77777777" w:rsidR="004D556D" w:rsidRPr="000F6CD1" w:rsidRDefault="004D556D" w:rsidP="00622CFF">
      <w:pPr>
        <w:spacing w:before="240" w:after="240" w:line="240" w:lineRule="auto"/>
        <w:rPr>
          <w:rFonts w:eastAsia="Yu Gothic"/>
        </w:rPr>
      </w:pPr>
      <w:r w:rsidRPr="000F6CD1">
        <w:rPr>
          <w:rFonts w:eastAsia="Yu Gothic"/>
        </w:rPr>
        <w:t xml:space="preserve">Older people receiving AT or HM funding under EoL or RCP will be a high priority and have their funding immediately allocated. </w:t>
      </w:r>
    </w:p>
    <w:p w14:paraId="532249AC" w14:textId="77777777" w:rsidR="004D556D" w:rsidRPr="000F6CD1" w:rsidRDefault="004D556D" w:rsidP="00622CFF">
      <w:pPr>
        <w:spacing w:before="240" w:after="240" w:line="240" w:lineRule="auto"/>
        <w:rPr>
          <w:rFonts w:eastAsia="Yu Gothic"/>
        </w:rPr>
      </w:pPr>
      <w:r w:rsidRPr="000F6CD1">
        <w:rPr>
          <w:rFonts w:eastAsia="Yu Gothic"/>
        </w:rPr>
        <w:t xml:space="preserve">The AT-HM Priority Systems ensure the equitable allocation of funding based on standardised criteria determined using information collected by the aged care assessor through the IAT. </w:t>
      </w:r>
    </w:p>
    <w:p w14:paraId="65713FD9" w14:textId="77777777" w:rsidR="004D556D" w:rsidRPr="000F6CD1" w:rsidRDefault="004D556D" w:rsidP="00622CFF">
      <w:pPr>
        <w:spacing w:before="240" w:after="240" w:line="240" w:lineRule="auto"/>
        <w:rPr>
          <w:rFonts w:eastAsia="Yu Gothic"/>
        </w:rPr>
      </w:pPr>
      <w:r w:rsidRPr="000F6CD1">
        <w:rPr>
          <w:rFonts w:eastAsia="Arial"/>
        </w:rPr>
        <w:t>The criteria captured in the IAT or on the client’s record that calculate the priority category are</w:t>
      </w:r>
      <w:r w:rsidRPr="000F6CD1">
        <w:rPr>
          <w:rFonts w:eastAsia="Yu Gothic"/>
        </w:rPr>
        <w:t xml:space="preserve">: </w:t>
      </w:r>
    </w:p>
    <w:p w14:paraId="44AB450B" w14:textId="77777777" w:rsidR="004D556D" w:rsidRPr="000F6CD1" w:rsidRDefault="004D556D" w:rsidP="00DF3F6B">
      <w:pPr>
        <w:numPr>
          <w:ilvl w:val="1"/>
          <w:numId w:val="282"/>
        </w:numPr>
        <w:spacing w:before="240" w:after="240" w:line="240" w:lineRule="auto"/>
        <w:ind w:left="567" w:hanging="425"/>
        <w:contextualSpacing/>
        <w:rPr>
          <w:rFonts w:eastAsia="Yu Gothic"/>
        </w:rPr>
      </w:pPr>
      <w:r w:rsidRPr="000F6CD1">
        <w:rPr>
          <w:rFonts w:eastAsia="Yu Gothic"/>
        </w:rPr>
        <w:t xml:space="preserve">Individual lives alone </w:t>
      </w:r>
    </w:p>
    <w:p w14:paraId="79848F55" w14:textId="77777777" w:rsidR="004D556D" w:rsidRPr="000F6CD1" w:rsidRDefault="004D556D" w:rsidP="00DF3F6B">
      <w:pPr>
        <w:numPr>
          <w:ilvl w:val="1"/>
          <w:numId w:val="282"/>
        </w:numPr>
        <w:spacing w:before="240" w:after="240" w:line="240" w:lineRule="auto"/>
        <w:ind w:left="567" w:hanging="425"/>
        <w:contextualSpacing/>
        <w:rPr>
          <w:rFonts w:eastAsia="Yu Gothic"/>
        </w:rPr>
      </w:pPr>
      <w:r w:rsidRPr="000F6CD1">
        <w:rPr>
          <w:rFonts w:eastAsia="Yu Gothic"/>
        </w:rPr>
        <w:t xml:space="preserve">Individual has an assessed severe mobility impairment </w:t>
      </w:r>
    </w:p>
    <w:p w14:paraId="6D7BB600" w14:textId="77777777" w:rsidR="004D556D" w:rsidRPr="000F6CD1" w:rsidRDefault="004D556D" w:rsidP="00DF3F6B">
      <w:pPr>
        <w:numPr>
          <w:ilvl w:val="1"/>
          <w:numId w:val="282"/>
        </w:numPr>
        <w:spacing w:before="240" w:after="240" w:line="240" w:lineRule="auto"/>
        <w:ind w:left="567" w:hanging="425"/>
        <w:contextualSpacing/>
        <w:rPr>
          <w:rFonts w:eastAsia="Yu Gothic"/>
        </w:rPr>
      </w:pPr>
      <w:r w:rsidRPr="000F6CD1">
        <w:rPr>
          <w:rFonts w:eastAsia="Yu Gothic"/>
        </w:rPr>
        <w:t xml:space="preserve">Individual is an Aboriginal or Torres Strait Islander person </w:t>
      </w:r>
    </w:p>
    <w:p w14:paraId="684B68F1" w14:textId="77777777" w:rsidR="007E4BBF" w:rsidRDefault="004D556D" w:rsidP="00622CFF">
      <w:pPr>
        <w:numPr>
          <w:ilvl w:val="1"/>
          <w:numId w:val="282"/>
        </w:numPr>
        <w:spacing w:before="240" w:after="240" w:line="240" w:lineRule="auto"/>
        <w:ind w:left="567" w:hanging="425"/>
        <w:contextualSpacing/>
        <w:rPr>
          <w:rFonts w:eastAsia="Yu Gothic"/>
        </w:rPr>
      </w:pPr>
      <w:r w:rsidRPr="000F6CD1">
        <w:rPr>
          <w:rFonts w:eastAsia="Yu Gothic"/>
        </w:rPr>
        <w:t xml:space="preserve">Individual's current place of residence poses a severe risk to their health or safety  </w:t>
      </w:r>
    </w:p>
    <w:p w14:paraId="55182871" w14:textId="10CECAEC" w:rsidR="007E4BBF" w:rsidRPr="007E4BBF" w:rsidRDefault="004D556D" w:rsidP="00622CFF">
      <w:pPr>
        <w:numPr>
          <w:ilvl w:val="1"/>
          <w:numId w:val="282"/>
        </w:numPr>
        <w:spacing w:before="240" w:after="240" w:line="240" w:lineRule="auto"/>
        <w:ind w:left="567" w:hanging="425"/>
        <w:contextualSpacing/>
        <w:rPr>
          <w:rFonts w:eastAsia="Yu Gothic"/>
        </w:rPr>
      </w:pPr>
      <w:r w:rsidRPr="007E4BBF">
        <w:rPr>
          <w:rFonts w:eastAsia="Yu Gothic"/>
        </w:rPr>
        <w:t xml:space="preserve">Individual has waited more than six months between assessment referral and completion and lives in a rural or remote area (in a Modified Monash Model category 5, 6, or 7 area) </w:t>
      </w:r>
    </w:p>
    <w:p w14:paraId="61942571" w14:textId="77777777" w:rsidR="007E4BBF" w:rsidRDefault="007E4BBF" w:rsidP="00622CFF">
      <w:pPr>
        <w:spacing w:before="240" w:after="240" w:line="240" w:lineRule="auto"/>
        <w:contextualSpacing/>
        <w:rPr>
          <w:rFonts w:eastAsia="Yu Gothic"/>
        </w:rPr>
      </w:pPr>
    </w:p>
    <w:p w14:paraId="4BC90370" w14:textId="1AD46785" w:rsidR="004D556D" w:rsidRPr="000F6CD1" w:rsidRDefault="00FB0F8A" w:rsidP="00622CFF">
      <w:pPr>
        <w:spacing w:before="240" w:after="240" w:line="240" w:lineRule="auto"/>
        <w:contextualSpacing/>
        <w:rPr>
          <w:rFonts w:eastAsia="Yu Gothic Light"/>
        </w:rPr>
      </w:pPr>
      <w:r w:rsidRPr="000855A1">
        <w:rPr>
          <w:noProof/>
        </w:rPr>
        <w:drawing>
          <wp:anchor distT="0" distB="0" distL="114300" distR="114300" simplePos="0" relativeHeight="251658308" behindDoc="0" locked="0" layoutInCell="1" allowOverlap="1" wp14:anchorId="2CB033A7" wp14:editId="6B2A3B56">
            <wp:simplePos x="0" y="0"/>
            <wp:positionH relativeFrom="margin">
              <wp:align>left</wp:align>
            </wp:positionH>
            <wp:positionV relativeFrom="margin">
              <wp:posOffset>5466080</wp:posOffset>
            </wp:positionV>
            <wp:extent cx="365760" cy="403860"/>
            <wp:effectExtent l="0" t="0" r="0" b="0"/>
            <wp:wrapSquare wrapText="bothSides"/>
            <wp:docPr id="384588388"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88388"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rPr>
          <w:rFonts w:eastAsia="Yu Gothic"/>
        </w:rPr>
        <w:t xml:space="preserve">Individuals who are being approved for the Restorative Care or the End-of-Life pathways under Support at Home will have immediate access to any AT-HM funding allocated. Note that the system will display an AT-HM priority of ‘High’ in this scenario, but the funds are allocated immediately. Further information is available in the AT-HM scheme guidelines. </w:t>
      </w:r>
    </w:p>
    <w:p w14:paraId="7995C8BC" w14:textId="77777777" w:rsidR="004D556D" w:rsidRPr="000F6CD1" w:rsidRDefault="004D556D" w:rsidP="00622CFF">
      <w:pPr>
        <w:spacing w:before="240" w:after="240" w:line="240" w:lineRule="auto"/>
        <w:contextualSpacing/>
        <w:rPr>
          <w:rFonts w:eastAsia="Yu Gothic"/>
        </w:rPr>
      </w:pPr>
    </w:p>
    <w:p w14:paraId="56EADAC0" w14:textId="45980566" w:rsidR="004D556D" w:rsidRDefault="004D556D" w:rsidP="00622CFF">
      <w:pPr>
        <w:spacing w:before="240" w:after="240" w:line="240" w:lineRule="auto"/>
        <w:contextualSpacing/>
        <w:rPr>
          <w:rFonts w:eastAsia="Yu Gothic Light"/>
        </w:rPr>
      </w:pPr>
      <w:r w:rsidRPr="000F6CD1">
        <w:rPr>
          <w:rFonts w:eastAsia="Yu Gothic Light"/>
        </w:rPr>
        <w:t>Although the system calculates priority automatically, the Assessment Delegate should check the responses to the five fields above to make sure that the correct priority category is applied.</w:t>
      </w:r>
    </w:p>
    <w:p w14:paraId="3E8E7232" w14:textId="77777777" w:rsidR="00186B02" w:rsidRPr="00186B02" w:rsidRDefault="00186B02" w:rsidP="00622CFF">
      <w:pPr>
        <w:spacing w:before="240" w:after="240" w:line="240" w:lineRule="auto"/>
        <w:contextualSpacing/>
        <w:rPr>
          <w:rFonts w:eastAsia="Yu Gothic Light"/>
        </w:rPr>
      </w:pPr>
    </w:p>
    <w:p w14:paraId="0AD6CC46" w14:textId="77777777" w:rsidR="00FB0F8A" w:rsidRPr="000F6CD1" w:rsidRDefault="004D556D" w:rsidP="00622CFF">
      <w:pPr>
        <w:spacing w:before="240" w:after="240" w:line="240" w:lineRule="auto"/>
        <w:rPr>
          <w:rFonts w:eastAsia="Yu Gothic"/>
        </w:rPr>
      </w:pPr>
      <w:r w:rsidRPr="000F6CD1">
        <w:rPr>
          <w:rFonts w:eastAsia="Yu Gothic Light"/>
          <w:color w:val="000000"/>
        </w:rPr>
        <w:t xml:space="preserve">Note the priority category will not be displayed until </w:t>
      </w:r>
      <w:r w:rsidRPr="000F6CD1">
        <w:rPr>
          <w:rFonts w:eastAsia="Yu Gothic Light"/>
          <w:b/>
          <w:color w:val="000000"/>
        </w:rPr>
        <w:t>after</w:t>
      </w:r>
      <w:r w:rsidRPr="000F6CD1">
        <w:rPr>
          <w:rFonts w:eastAsia="Yu Gothic Light"/>
          <w:color w:val="000000"/>
        </w:rPr>
        <w:t xml:space="preserve"> you click the ‘Save and Delegate’ button in the portal.</w:t>
      </w:r>
      <w:r w:rsidRPr="000F6CD1">
        <w:rPr>
          <w:rFonts w:eastAsia="Yu Gothic Light"/>
        </w:rPr>
        <w:t xml:space="preserve"> The Priority Category will be displayed under ‘Approvals for a Client’ in the My Aged Care Assessor Portal. </w:t>
      </w:r>
    </w:p>
    <w:p w14:paraId="6094E4A4" w14:textId="0275E112" w:rsidR="004D556D" w:rsidRPr="00FB0F8A" w:rsidRDefault="00FB0F8A" w:rsidP="00FB0F8A">
      <w:pPr>
        <w:rPr>
          <w:rFonts w:eastAsia="Yu Gothic Light"/>
        </w:rPr>
      </w:pPr>
      <w:r>
        <w:rPr>
          <w:rFonts w:eastAsia="Yu Gothic Light"/>
        </w:rPr>
        <w:br w:type="page"/>
      </w:r>
    </w:p>
    <w:p w14:paraId="6D675FB6" w14:textId="7F844E24" w:rsidR="004D556D" w:rsidRPr="000F6CD1" w:rsidRDefault="004D556D" w:rsidP="00AD2CE5">
      <w:pPr>
        <w:pStyle w:val="H3"/>
      </w:pPr>
      <w:bookmarkStart w:id="769" w:name="_Toc207714002"/>
      <w:r w:rsidRPr="000F6CD1">
        <w:lastRenderedPageBreak/>
        <w:t>Step 4. Confirm service seeking status (AT-HM)</w:t>
      </w:r>
    </w:p>
    <w:bookmarkEnd w:id="769"/>
    <w:p w14:paraId="31CFB17E" w14:textId="558B1557" w:rsidR="004D556D" w:rsidRPr="000F6CD1" w:rsidRDefault="004D556D" w:rsidP="00AF2F61">
      <w:pPr>
        <w:spacing w:after="0" w:line="240" w:lineRule="auto"/>
        <w:rPr>
          <w:rFonts w:eastAsia="Yu Gothic Light"/>
        </w:rPr>
      </w:pPr>
      <w:r w:rsidRPr="000F6CD1">
        <w:rPr>
          <w:rFonts w:eastAsia="Yu Gothic Light"/>
          <w:b/>
        </w:rPr>
        <w:t>Assessment Delegates</w:t>
      </w:r>
      <w:r w:rsidRPr="000F6CD1">
        <w:rPr>
          <w:rFonts w:eastAsia="Yu Gothic Light"/>
        </w:rPr>
        <w:t xml:space="preserve"> are responsible for confirming that the individual's preference—whether to seek or not seek AT-HM funding through the Support at Home program—has been </w:t>
      </w:r>
      <w:r w:rsidRPr="000F6CD1">
        <w:rPr>
          <w:rFonts w:eastAsia="Yu Gothic Light"/>
          <w:bCs/>
        </w:rPr>
        <w:t>accurately recorded</w:t>
      </w:r>
      <w:r w:rsidRPr="000F6CD1">
        <w:rPr>
          <w:rFonts w:eastAsia="Yu Gothic Light"/>
        </w:rPr>
        <w:t> in the support plan and that it aligns with their assessed needs.</w:t>
      </w:r>
    </w:p>
    <w:p w14:paraId="07D909AA" w14:textId="6E0CB9C2" w:rsidR="004D556D" w:rsidRPr="000F6CD1" w:rsidRDefault="004D556D" w:rsidP="00622CFF">
      <w:pPr>
        <w:spacing w:before="240" w:after="240" w:line="240" w:lineRule="auto"/>
        <w:rPr>
          <w:rFonts w:eastAsia="Yu Gothic Light"/>
        </w:rPr>
      </w:pPr>
      <w:r w:rsidRPr="000F6CD1">
        <w:rPr>
          <w:rFonts w:eastAsia="Yu Gothic Light"/>
        </w:rPr>
        <w:t xml:space="preserve">Assessors are expected to confirm with the client if they wish to seek AT-HM funding from the Support at Home program and record their preference in the support plan. </w:t>
      </w:r>
    </w:p>
    <w:p w14:paraId="2C547EE6" w14:textId="0AC1FA91" w:rsidR="004D556D" w:rsidRPr="000F6CD1" w:rsidRDefault="004D556D" w:rsidP="004D556D">
      <w:pPr>
        <w:pStyle w:val="NoSpacing"/>
        <w:numPr>
          <w:ilvl w:val="0"/>
          <w:numId w:val="613"/>
        </w:numPr>
        <w:spacing w:before="240" w:after="240" w:line="240" w:lineRule="auto"/>
        <w:rPr>
          <w:szCs w:val="22"/>
        </w:rPr>
      </w:pPr>
      <w:r w:rsidRPr="000F6CD1">
        <w:rPr>
          <w:rFonts w:ascii="Arial" w:hAnsi="Arial" w:cs="Arial"/>
          <w:b/>
          <w:sz w:val="22"/>
          <w:szCs w:val="22"/>
        </w:rPr>
        <w:t>For clients seeking AT and/or HM services through the Support at Home program</w:t>
      </w:r>
      <w:r w:rsidRPr="000F6CD1">
        <w:rPr>
          <w:rFonts w:ascii="Arial" w:hAnsi="Arial" w:cs="Arial"/>
          <w:sz w:val="22"/>
          <w:szCs w:val="22"/>
        </w:rPr>
        <w:t xml:space="preserve">, the assessor should set the AT and/or HM service seeking preference to </w:t>
      </w:r>
      <w:r w:rsidRPr="000F6CD1">
        <w:rPr>
          <w:rFonts w:ascii="Arial" w:hAnsi="Arial" w:cs="Arial" w:hint="eastAsia"/>
          <w:sz w:val="22"/>
          <w:szCs w:val="22"/>
        </w:rPr>
        <w:t>‘</w:t>
      </w:r>
      <w:r w:rsidRPr="000F6CD1">
        <w:rPr>
          <w:rFonts w:ascii="Arial" w:hAnsi="Arial" w:cs="Arial"/>
          <w:sz w:val="22"/>
          <w:szCs w:val="22"/>
        </w:rPr>
        <w:t>seeking services</w:t>
      </w:r>
      <w:r w:rsidR="008D7D37" w:rsidRPr="000F6CD1">
        <w:rPr>
          <w:rFonts w:ascii="Arial" w:hAnsi="Arial" w:cs="Arial"/>
          <w:sz w:val="22"/>
          <w:szCs w:val="22"/>
        </w:rPr>
        <w:t>.’</w:t>
      </w:r>
      <w:r w:rsidRPr="000F6CD1">
        <w:rPr>
          <w:rFonts w:ascii="Arial" w:hAnsi="Arial" w:cs="Arial"/>
          <w:sz w:val="22"/>
          <w:szCs w:val="22"/>
        </w:rPr>
        <w:t xml:space="preserve"> This ensures that the older person is placed on the AT and/or HM Priority System(s).</w:t>
      </w:r>
    </w:p>
    <w:p w14:paraId="4095039D" w14:textId="40AB2B22"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b/>
        </w:rPr>
        <w:t xml:space="preserve">For clients </w:t>
      </w:r>
      <w:r w:rsidRPr="000F6CD1">
        <w:rPr>
          <w:rFonts w:eastAsia="Yu Gothic Light"/>
          <w:b/>
          <w:u w:val="single"/>
        </w:rPr>
        <w:t>not</w:t>
      </w:r>
      <w:r w:rsidRPr="000F6CD1">
        <w:rPr>
          <w:rFonts w:eastAsia="Yu Gothic Light"/>
          <w:b/>
        </w:rPr>
        <w:t xml:space="preserve"> seeking AT and/or HM services through the Support at Home program</w:t>
      </w:r>
      <w:r w:rsidRPr="000F6CD1">
        <w:rPr>
          <w:rFonts w:eastAsia="Yu Gothic Light"/>
        </w:rPr>
        <w:t>, the assessor should set the AT and/or HM service seeking preference to ‘not seeking services</w:t>
      </w:r>
      <w:r w:rsidR="008D7D37" w:rsidRPr="000F6CD1">
        <w:rPr>
          <w:rFonts w:eastAsia="Yu Gothic Light"/>
        </w:rPr>
        <w:t>.’</w:t>
      </w:r>
      <w:r w:rsidRPr="000F6CD1">
        <w:rPr>
          <w:rFonts w:eastAsia="Yu Gothic Light"/>
        </w:rPr>
        <w:t xml:space="preserve"> This option makes sure the client </w:t>
      </w:r>
      <w:r w:rsidRPr="000F6CD1">
        <w:rPr>
          <w:rFonts w:eastAsia="Yu Gothic Light"/>
          <w:b/>
          <w:bCs/>
        </w:rPr>
        <w:t>does not</w:t>
      </w:r>
      <w:r w:rsidRPr="000F6CD1">
        <w:rPr>
          <w:rFonts w:eastAsia="Yu Gothic Light"/>
        </w:rPr>
        <w:t xml:space="preserve"> enter the AT or HM Support at Home Priority Systems, and so is not allocated funding under the AT-HM scheme. Relevant circumstances include when:</w:t>
      </w:r>
    </w:p>
    <w:p w14:paraId="2FB87182" w14:textId="77777777" w:rsidR="004D556D" w:rsidRPr="000F6CD1" w:rsidRDefault="004D556D" w:rsidP="00DF3F6B">
      <w:pPr>
        <w:numPr>
          <w:ilvl w:val="1"/>
          <w:numId w:val="141"/>
        </w:numPr>
        <w:spacing w:before="240" w:after="240" w:line="240" w:lineRule="auto"/>
        <w:contextualSpacing/>
        <w:rPr>
          <w:rFonts w:eastAsia="Yu Gothic Light"/>
        </w:rPr>
      </w:pPr>
      <w:r w:rsidRPr="000F6CD1">
        <w:rPr>
          <w:rFonts w:eastAsia="Yu Gothic Light"/>
        </w:rPr>
        <w:t>the client has chosen to access services through NATSIFACP or MPSP and so they do not require services from a Support at Home provider (or funding from the Support at Home program)</w:t>
      </w:r>
    </w:p>
    <w:p w14:paraId="51E7490A" w14:textId="77777777" w:rsidR="004D556D" w:rsidRPr="000F6CD1" w:rsidRDefault="004D556D" w:rsidP="00DF3F6B">
      <w:pPr>
        <w:numPr>
          <w:ilvl w:val="1"/>
          <w:numId w:val="141"/>
        </w:numPr>
        <w:spacing w:before="240" w:after="240" w:line="240" w:lineRule="auto"/>
        <w:contextualSpacing/>
        <w:rPr>
          <w:rFonts w:eastAsia="Yu Gothic Light"/>
        </w:rPr>
      </w:pPr>
      <w:r w:rsidRPr="000F6CD1">
        <w:rPr>
          <w:rFonts w:eastAsia="Yu Gothic Light"/>
        </w:rPr>
        <w:t>the client does not want to access AT and/or HM services at this time.</w:t>
      </w:r>
    </w:p>
    <w:p w14:paraId="30E9E30B" w14:textId="77777777" w:rsidR="004D556D" w:rsidRPr="000F6CD1" w:rsidRDefault="004D556D" w:rsidP="00622CFF">
      <w:pPr>
        <w:spacing w:before="240" w:after="240" w:line="240" w:lineRule="auto"/>
        <w:rPr>
          <w:rFonts w:eastAsia="Yu Gothic Light"/>
        </w:rPr>
      </w:pPr>
    </w:p>
    <w:p w14:paraId="17B7F1BE" w14:textId="77777777" w:rsidR="004D556D" w:rsidRPr="000F6CD1" w:rsidRDefault="004D556D" w:rsidP="00622CFF">
      <w:pPr>
        <w:spacing w:before="240" w:after="240" w:line="240" w:lineRule="auto"/>
        <w:rPr>
          <w:rFonts w:eastAsia="Yu Gothic Light"/>
        </w:rPr>
      </w:pPr>
      <w:r w:rsidRPr="000F6CD1">
        <w:rPr>
          <w:rFonts w:eastAsia="Yu Gothic Light"/>
        </w:rPr>
        <w:t xml:space="preserve">There are separate AT and HM Support at Home Priority Systems with independent ‘service seeking’ statuses for each. This means that if the older person is approved for both AT and HM, they may seek services through the Support at Home program for one, both or neither. </w:t>
      </w:r>
    </w:p>
    <w:p w14:paraId="06C1CA36" w14:textId="77777777" w:rsidR="004D556D" w:rsidRPr="000F6CD1" w:rsidRDefault="004D556D" w:rsidP="00622CFF">
      <w:pPr>
        <w:spacing w:before="240" w:after="240" w:line="240" w:lineRule="auto"/>
        <w:rPr>
          <w:rFonts w:eastAsia="Yu Gothic Light"/>
        </w:rPr>
      </w:pPr>
      <w:r w:rsidRPr="000F6CD1">
        <w:rPr>
          <w:rFonts w:eastAsia="Yu Gothic Light"/>
        </w:rPr>
        <w:t xml:space="preserve">If the older person later wants to access their AT or HM services through the Support at Home program, they can change their preference and enter the AT or HM Priority Systems. The older person will need to be a Support at Home participant (for ongoing home support) to do this. Their wait time will be counted from their original access approval date of effect. That is, it will be as if they had stayed in the queue from their first approval. </w:t>
      </w:r>
    </w:p>
    <w:p w14:paraId="53773855" w14:textId="77777777" w:rsidR="004D556D" w:rsidRPr="000F6CD1" w:rsidRDefault="004D556D" w:rsidP="00622CFF">
      <w:pPr>
        <w:spacing w:before="240" w:after="240" w:line="240" w:lineRule="auto"/>
        <w:rPr>
          <w:rFonts w:eastAsia="Yu Gothic Light"/>
        </w:rPr>
      </w:pPr>
      <w:r w:rsidRPr="000F6CD1">
        <w:rPr>
          <w:rFonts w:eastAsia="Yu Gothic Light"/>
        </w:rPr>
        <w:t>An older person can change their service seeking preference by:</w:t>
      </w:r>
    </w:p>
    <w:p w14:paraId="1FB8EFFE" w14:textId="21B5ACF8"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contacting My Aged Care</w:t>
      </w:r>
    </w:p>
    <w:p w14:paraId="14DBB852" w14:textId="6F18C53C" w:rsidR="004D556D" w:rsidRPr="000F6CD1" w:rsidRDefault="004D556D" w:rsidP="00DF3F6B">
      <w:pPr>
        <w:numPr>
          <w:ilvl w:val="0"/>
          <w:numId w:val="141"/>
        </w:numPr>
        <w:spacing w:before="240" w:after="240" w:line="240" w:lineRule="auto"/>
        <w:contextualSpacing/>
        <w:rPr>
          <w:rFonts w:eastAsia="Yu Gothic Light"/>
        </w:rPr>
      </w:pPr>
      <w:r w:rsidRPr="000F6CD1">
        <w:rPr>
          <w:rFonts w:eastAsia="Yu Gothic Light"/>
        </w:rPr>
        <w:t xml:space="preserve">using the </w:t>
      </w:r>
      <w:hyperlink r:id="rId249">
        <w:r w:rsidRPr="00F75E1A">
          <w:rPr>
            <w:rStyle w:val="Hyperlink"/>
          </w:rPr>
          <w:t>My Aged Care Online Account</w:t>
        </w:r>
      </w:hyperlink>
    </w:p>
    <w:p w14:paraId="4C3ADB7C" w14:textId="0021D0BC" w:rsidR="004D556D" w:rsidRPr="000F6CD1" w:rsidRDefault="004D556D" w:rsidP="00AA3BF1">
      <w:pPr>
        <w:spacing w:before="240" w:after="240" w:line="240" w:lineRule="auto"/>
        <w:contextualSpacing/>
      </w:pPr>
    </w:p>
    <w:p w14:paraId="0902F8A5" w14:textId="243E2EF5" w:rsidR="004D556D" w:rsidRPr="000F6CD1" w:rsidRDefault="004D556D" w:rsidP="00AA3BF1">
      <w:pPr>
        <w:spacing w:before="240" w:after="240" w:line="240" w:lineRule="auto"/>
        <w:contextualSpacing/>
      </w:pPr>
    </w:p>
    <w:p w14:paraId="52098830" w14:textId="0D1F12F7" w:rsidR="004D556D" w:rsidRPr="000F6CD1" w:rsidRDefault="004D556D" w:rsidP="00806A21">
      <w:pPr>
        <w:pStyle w:val="Sub-headings"/>
      </w:pPr>
      <w:r w:rsidRPr="000F6CD1">
        <w:t xml:space="preserve">Note: </w:t>
      </w:r>
    </w:p>
    <w:p w14:paraId="52BA86C2" w14:textId="5504D255" w:rsidR="004D556D" w:rsidRPr="000F6CD1" w:rsidRDefault="004D556D" w:rsidP="00806A21">
      <w:pPr>
        <w:pStyle w:val="Sub-headings"/>
      </w:pPr>
      <w:r w:rsidRPr="000F6CD1">
        <w:t xml:space="preserve">Participants assigned to the Restorative Care Pathway or the End-of-Life Pathway who have an assessed need for AT and HM will be allocated AT-HM funding immediately. </w:t>
      </w:r>
    </w:p>
    <w:p w14:paraId="58D09AD7" w14:textId="77777777" w:rsidR="004D556D" w:rsidRPr="000F6CD1" w:rsidRDefault="004D556D" w:rsidP="006A075D">
      <w:pPr>
        <w:spacing w:before="240" w:after="240" w:line="240" w:lineRule="auto"/>
        <w:ind w:left="720"/>
        <w:contextualSpacing/>
        <w:rPr>
          <w:rFonts w:eastAsia="Yu Gothic Light"/>
        </w:rPr>
      </w:pPr>
    </w:p>
    <w:p w14:paraId="55D10631" w14:textId="77777777" w:rsidR="004D556D" w:rsidRPr="000F6CD1" w:rsidRDefault="004D556D" w:rsidP="006647CE">
      <w:pPr>
        <w:pStyle w:val="h2"/>
      </w:pPr>
      <w:bookmarkStart w:id="770" w:name="_Toc209189027"/>
      <w:bookmarkStart w:id="771" w:name="_Toc233282484"/>
      <w:r w:rsidRPr="000F6CD1">
        <w:lastRenderedPageBreak/>
        <w:t>Approving AT and HM under CHSP</w:t>
      </w:r>
      <w:bookmarkEnd w:id="770"/>
      <w:bookmarkEnd w:id="771"/>
      <w:r w:rsidRPr="000F6CD1">
        <w:t> </w:t>
      </w:r>
    </w:p>
    <w:p w14:paraId="4EE768B5" w14:textId="550F0CFF" w:rsidR="004D556D" w:rsidRPr="000F6CD1" w:rsidRDefault="00315484" w:rsidP="00622CFF">
      <w:pPr>
        <w:spacing w:before="240" w:after="240" w:line="240" w:lineRule="auto"/>
        <w:rPr>
          <w:rFonts w:eastAsia="Yu Gothic Light"/>
        </w:rPr>
      </w:pPr>
      <w:r w:rsidRPr="000F6CD1">
        <w:rPr>
          <w:bCs/>
          <w:noProof/>
        </w:rPr>
        <w:drawing>
          <wp:anchor distT="0" distB="0" distL="114300" distR="114300" simplePos="0" relativeHeight="251658362" behindDoc="0" locked="0" layoutInCell="1" allowOverlap="1" wp14:anchorId="14C7FC15" wp14:editId="17A149B8">
            <wp:simplePos x="0" y="0"/>
            <wp:positionH relativeFrom="margin">
              <wp:posOffset>-200417</wp:posOffset>
            </wp:positionH>
            <wp:positionV relativeFrom="paragraph">
              <wp:posOffset>357835</wp:posOffset>
            </wp:positionV>
            <wp:extent cx="457200" cy="502920"/>
            <wp:effectExtent l="0" t="0" r="0" b="0"/>
            <wp:wrapSquare wrapText="bothSides"/>
            <wp:docPr id="1072410390" name="Picture 1072410390"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rPr>
          <w:rFonts w:eastAsia="Yu Gothic Light"/>
        </w:rPr>
        <w:t>This section relates to approving AT or HM for an older person who are also approved for ongoing home support with a classification level of CHSP class. </w:t>
      </w:r>
    </w:p>
    <w:p w14:paraId="1EA8B89B" w14:textId="667E4562" w:rsidR="004D556D" w:rsidRPr="000F6CD1" w:rsidRDefault="004D556D" w:rsidP="00AD2CE5">
      <w:pPr>
        <w:pStyle w:val="H3"/>
      </w:pPr>
      <w:r w:rsidRPr="000F6CD1">
        <w:t>Understanding AT and HM under CHSP  </w:t>
      </w:r>
    </w:p>
    <w:p w14:paraId="49BEC569" w14:textId="1E4B97E6" w:rsidR="004D556D" w:rsidRPr="000F6CD1" w:rsidRDefault="00E34A69" w:rsidP="00622CFF">
      <w:pPr>
        <w:spacing w:before="240" w:after="240" w:line="240" w:lineRule="auto"/>
        <w:rPr>
          <w:rFonts w:eastAsia="Yu Gothic Light"/>
        </w:rPr>
      </w:pPr>
      <w:r w:rsidRPr="000F6CD1">
        <w:rPr>
          <w:rFonts w:eastAsia="Yu Gothic Light"/>
        </w:rPr>
        <w:t xml:space="preserve"> </w:t>
      </w:r>
      <w:r w:rsidR="004D556D" w:rsidRPr="000F6CD1">
        <w:rPr>
          <w:rFonts w:eastAsia="Yu Gothic Light"/>
        </w:rPr>
        <w:t xml:space="preserve">Under the </w:t>
      </w:r>
      <w:r w:rsidR="004D556D" w:rsidRPr="000F6CD1">
        <w:rPr>
          <w:rFonts w:eastAsia="Yu Gothic Light"/>
          <w:i/>
          <w:iCs/>
        </w:rPr>
        <w:t>Aged Care Act 2024</w:t>
      </w:r>
      <w:r w:rsidR="004D556D" w:rsidRPr="000F6CD1">
        <w:rPr>
          <w:rFonts w:eastAsia="Yu Gothic Light"/>
        </w:rPr>
        <w:t xml:space="preserve"> (the Act), AT and HM services will continue to be available to older people under the CHSP. The relevant service types will be: </w:t>
      </w:r>
    </w:p>
    <w:p w14:paraId="36A82257" w14:textId="2D41873E" w:rsidR="004D556D" w:rsidRPr="000F6CD1" w:rsidRDefault="004D556D" w:rsidP="00DF3F6B">
      <w:pPr>
        <w:numPr>
          <w:ilvl w:val="0"/>
          <w:numId w:val="284"/>
        </w:numPr>
        <w:spacing w:before="240" w:after="240" w:line="240" w:lineRule="auto"/>
        <w:rPr>
          <w:rFonts w:eastAsia="Yu Gothic Light"/>
        </w:rPr>
      </w:pPr>
      <w:r w:rsidRPr="000F6CD1">
        <w:rPr>
          <w:rFonts w:eastAsia="Yu Gothic Light"/>
          <w:b/>
          <w:bCs/>
        </w:rPr>
        <w:t>Home adjustments</w:t>
      </w:r>
      <w:r w:rsidRPr="000F6CD1">
        <w:rPr>
          <w:rFonts w:eastAsia="Yu Gothic Light"/>
        </w:rPr>
        <w:t>: subsidised home modification services</w:t>
      </w:r>
      <w:r w:rsidR="001E5356">
        <w:rPr>
          <w:rFonts w:eastAsia="Yu Gothic Light"/>
        </w:rPr>
        <w:t xml:space="preserve"> </w:t>
      </w:r>
      <w:r w:rsidRPr="000F6CD1">
        <w:rPr>
          <w:rFonts w:eastAsia="Yu Gothic Light"/>
        </w:rPr>
        <w:t>funding is capped at  $15,000 per annum. </w:t>
      </w:r>
    </w:p>
    <w:p w14:paraId="6B3A2B3C" w14:textId="5F1C6F2A" w:rsidR="004D556D" w:rsidRPr="000F6CD1" w:rsidRDefault="004D556D" w:rsidP="00DF3F6B">
      <w:pPr>
        <w:numPr>
          <w:ilvl w:val="0"/>
          <w:numId w:val="285"/>
        </w:numPr>
        <w:spacing w:before="240" w:after="240" w:line="240" w:lineRule="auto"/>
        <w:rPr>
          <w:rFonts w:eastAsia="Yu Gothic Light"/>
        </w:rPr>
      </w:pPr>
      <w:r w:rsidRPr="000F6CD1">
        <w:rPr>
          <w:rFonts w:eastAsia="Yu Gothic Light"/>
          <w:b/>
          <w:bCs/>
        </w:rPr>
        <w:t>Equipment and products :</w:t>
      </w:r>
      <w:r w:rsidRPr="000F6CD1">
        <w:rPr>
          <w:rFonts w:eastAsia="Yu Gothic Light"/>
        </w:rPr>
        <w:t xml:space="preserve"> subsidised low-cost equipment and products with funding of up to $1,000 per year in total (not per item). </w:t>
      </w:r>
    </w:p>
    <w:p w14:paraId="31998F83" w14:textId="77777777" w:rsidR="004D556D" w:rsidRPr="000F6CD1" w:rsidRDefault="004D556D" w:rsidP="00622CFF">
      <w:pPr>
        <w:spacing w:before="240" w:after="240" w:line="240" w:lineRule="auto"/>
        <w:rPr>
          <w:rFonts w:eastAsia="Yu Gothic Light"/>
        </w:rPr>
      </w:pPr>
      <w:r w:rsidRPr="000F6CD1">
        <w:rPr>
          <w:rFonts w:eastAsia="Yu Gothic Light"/>
        </w:rPr>
        <w:t>Under the Act, eligible people will be approved for: </w:t>
      </w:r>
    </w:p>
    <w:p w14:paraId="6B237206" w14:textId="77777777" w:rsidR="004D556D" w:rsidRPr="000F6CD1" w:rsidRDefault="004D556D" w:rsidP="00DF3F6B">
      <w:pPr>
        <w:numPr>
          <w:ilvl w:val="0"/>
          <w:numId w:val="286"/>
        </w:numPr>
        <w:spacing w:before="240" w:after="240" w:line="240" w:lineRule="auto"/>
        <w:rPr>
          <w:rFonts w:eastAsia="Yu Gothic Light"/>
        </w:rPr>
      </w:pPr>
      <w:r w:rsidRPr="000F6CD1">
        <w:rPr>
          <w:rFonts w:eastAsia="Yu Gothic Light"/>
        </w:rPr>
        <w:t>the home support service group with a classification level CHSP class, and </w:t>
      </w:r>
    </w:p>
    <w:p w14:paraId="49DA3D6D" w14:textId="77777777" w:rsidR="004D556D" w:rsidRPr="000F6CD1" w:rsidRDefault="004D556D" w:rsidP="00DF3F6B">
      <w:pPr>
        <w:numPr>
          <w:ilvl w:val="0"/>
          <w:numId w:val="287"/>
        </w:numPr>
        <w:spacing w:before="240" w:after="240" w:line="240" w:lineRule="auto"/>
        <w:rPr>
          <w:rFonts w:eastAsia="Yu Gothic Light"/>
        </w:rPr>
      </w:pPr>
      <w:r w:rsidRPr="000F6CD1">
        <w:rPr>
          <w:rFonts w:eastAsia="Yu Gothic Light"/>
        </w:rPr>
        <w:t>the assistive technology service group with a classification level of AT CHSP or </w:t>
      </w:r>
    </w:p>
    <w:p w14:paraId="54735224" w14:textId="77777777" w:rsidR="004D556D" w:rsidRPr="000F6CD1" w:rsidRDefault="004D556D" w:rsidP="00DF3F6B">
      <w:pPr>
        <w:numPr>
          <w:ilvl w:val="0"/>
          <w:numId w:val="288"/>
        </w:numPr>
        <w:spacing w:before="240" w:after="240" w:line="240" w:lineRule="auto"/>
        <w:rPr>
          <w:rFonts w:eastAsia="Yu Gothic Light"/>
        </w:rPr>
      </w:pPr>
      <w:r w:rsidRPr="000F6CD1">
        <w:rPr>
          <w:rFonts w:eastAsia="Yu Gothic Light"/>
        </w:rPr>
        <w:t>the home modifications service group with a classification level of HM CHSP. </w:t>
      </w:r>
    </w:p>
    <w:p w14:paraId="67231D38" w14:textId="594B6F87" w:rsidR="004D556D" w:rsidRPr="000F6CD1" w:rsidRDefault="004D556D" w:rsidP="00622CFF">
      <w:pPr>
        <w:spacing w:before="240" w:after="240" w:line="240" w:lineRule="auto"/>
        <w:rPr>
          <w:rFonts w:eastAsia="Yu Gothic Light"/>
        </w:rPr>
      </w:pPr>
      <w:r w:rsidRPr="000F6CD1">
        <w:rPr>
          <w:rFonts w:eastAsia="Yu Gothic Light"/>
        </w:rPr>
        <w:t xml:space="preserve">There are no funding tiers for AT or HM under CHSP. The subsidy for AT is capped to $1,000 per year and up to $15,000 per year for HM. </w:t>
      </w:r>
    </w:p>
    <w:p w14:paraId="28CB24C2" w14:textId="77777777" w:rsidR="004D556D" w:rsidRPr="000F6CD1" w:rsidRDefault="004D556D" w:rsidP="00AD2CE5">
      <w:pPr>
        <w:pStyle w:val="H3"/>
      </w:pPr>
      <w:r w:rsidRPr="000F6CD1">
        <w:t>Step 1. Decide if the older person requires AT or HM under CHSP  </w:t>
      </w:r>
    </w:p>
    <w:p w14:paraId="144DE725" w14:textId="77777777" w:rsidR="004D556D" w:rsidRPr="000F6CD1" w:rsidRDefault="004D556D" w:rsidP="00622CFF">
      <w:pPr>
        <w:spacing w:before="240" w:after="240" w:line="240" w:lineRule="auto"/>
        <w:rPr>
          <w:rFonts w:eastAsia="Yu Gothic Light"/>
        </w:rPr>
      </w:pPr>
      <w:r w:rsidRPr="000F6CD1">
        <w:rPr>
          <w:rFonts w:eastAsia="Yu Gothic Light"/>
        </w:rPr>
        <w:t xml:space="preserve">Before approving a recommendation for AT or HM, Assessment Delegates first need to decide if an older person requires and is eligible to access one or both of these service groups. </w:t>
      </w:r>
    </w:p>
    <w:p w14:paraId="0BA9208E" w14:textId="77777777" w:rsidR="004D556D" w:rsidRPr="000F6CD1" w:rsidRDefault="004D556D" w:rsidP="00622CFF">
      <w:pPr>
        <w:spacing w:before="240" w:after="240" w:line="240" w:lineRule="auto"/>
        <w:rPr>
          <w:rFonts w:eastAsia="Yu Gothic Light"/>
        </w:rPr>
      </w:pPr>
      <w:r w:rsidRPr="000F6CD1">
        <w:rPr>
          <w:rFonts w:eastAsia="Yu Gothic Light"/>
        </w:rPr>
        <w:t>Existing questions in the function section of the IAT will help to identify and determine an older person’s need for assistive technology or home modifications. The purpose of the function section is to understand a client’s functional ability, their ability to complete activities of daily living, and if the client requires further assistance with these. </w:t>
      </w:r>
    </w:p>
    <w:p w14:paraId="72529E35" w14:textId="77777777" w:rsidR="004D556D" w:rsidRPr="000F6CD1" w:rsidRDefault="004D556D" w:rsidP="00622CFF">
      <w:pPr>
        <w:spacing w:before="240" w:after="240" w:line="240" w:lineRule="auto"/>
        <w:rPr>
          <w:rFonts w:eastAsia="Yu Gothic Light"/>
        </w:rPr>
      </w:pPr>
      <w:r w:rsidRPr="000F6CD1">
        <w:rPr>
          <w:rFonts w:eastAsia="Yu Gothic Light"/>
        </w:rPr>
        <w:t>When reviewing the assessment and IAT, Assessment Delegates will need to consider whether the older person’s:  </w:t>
      </w:r>
    </w:p>
    <w:p w14:paraId="668C410D" w14:textId="77777777" w:rsidR="004D556D" w:rsidRPr="000F6CD1" w:rsidRDefault="004D556D" w:rsidP="00DF3F6B">
      <w:pPr>
        <w:numPr>
          <w:ilvl w:val="0"/>
          <w:numId w:val="289"/>
        </w:numPr>
        <w:spacing w:before="240" w:after="240" w:line="240" w:lineRule="auto"/>
        <w:rPr>
          <w:rFonts w:eastAsia="Yu Gothic Light"/>
        </w:rPr>
      </w:pPr>
      <w:r w:rsidRPr="000F6CD1">
        <w:rPr>
          <w:rFonts w:eastAsia="Yu Gothic Light"/>
        </w:rPr>
        <w:t>needs and goals that could be met through using assistive technology or home modifications </w:t>
      </w:r>
    </w:p>
    <w:p w14:paraId="2DA87BD8" w14:textId="77777777" w:rsidR="00FB0F8A" w:rsidRDefault="004D556D" w:rsidP="00DF3F6B">
      <w:pPr>
        <w:numPr>
          <w:ilvl w:val="0"/>
          <w:numId w:val="290"/>
        </w:numPr>
        <w:spacing w:before="240" w:after="240" w:line="240" w:lineRule="auto"/>
        <w:rPr>
          <w:rFonts w:eastAsia="Yu Gothic Light"/>
        </w:rPr>
      </w:pPr>
      <w:r w:rsidRPr="000F6CD1">
        <w:rPr>
          <w:rFonts w:eastAsia="Yu Gothic Light"/>
        </w:rPr>
        <w:t>can have those needs met through the services under Assistive Technology and Home Modifications  </w:t>
      </w:r>
    </w:p>
    <w:p w14:paraId="3F690C3C" w14:textId="2CADCB48" w:rsidR="004D556D" w:rsidRPr="000F6CD1" w:rsidRDefault="00FB0F8A" w:rsidP="00FB0F8A">
      <w:pPr>
        <w:rPr>
          <w:rFonts w:eastAsia="Yu Gothic Light"/>
        </w:rPr>
      </w:pPr>
      <w:r>
        <w:rPr>
          <w:rFonts w:eastAsia="Yu Gothic Light"/>
        </w:rPr>
        <w:br w:type="page"/>
      </w:r>
    </w:p>
    <w:p w14:paraId="33A3EB6E" w14:textId="77777777" w:rsidR="004D556D" w:rsidRPr="000F6CD1" w:rsidRDefault="004D556D" w:rsidP="00AD2CE5">
      <w:pPr>
        <w:pStyle w:val="H3"/>
      </w:pPr>
      <w:r w:rsidRPr="000F6CD1">
        <w:lastRenderedPageBreak/>
        <w:t>Step 2. Review service recommendations for AT or HM under CHSP  </w:t>
      </w:r>
    </w:p>
    <w:p w14:paraId="328BAC42" w14:textId="77777777" w:rsidR="004D556D" w:rsidRPr="000F6CD1" w:rsidRDefault="004D556D" w:rsidP="00622CFF">
      <w:pPr>
        <w:spacing w:before="240" w:after="240" w:line="240" w:lineRule="auto"/>
        <w:rPr>
          <w:rFonts w:eastAsia="Yu Gothic Light"/>
        </w:rPr>
      </w:pPr>
      <w:r w:rsidRPr="000F6CD1">
        <w:rPr>
          <w:rFonts w:eastAsia="Yu Gothic Light"/>
        </w:rPr>
        <w:t>Service recommendations</w:t>
      </w:r>
      <w:r w:rsidRPr="000F6CD1">
        <w:rPr>
          <w:rFonts w:eastAsia="Yu Gothic Light"/>
          <w:b/>
          <w:bCs/>
        </w:rPr>
        <w:t xml:space="preserve"> </w:t>
      </w:r>
      <w:r w:rsidRPr="000F6CD1">
        <w:rPr>
          <w:rFonts w:eastAsia="Yu Gothic Light"/>
        </w:rPr>
        <w:t>represent referrals that can be made through the Assessor Portal to Commonwealth-subsidised aged care services. </w:t>
      </w:r>
    </w:p>
    <w:p w14:paraId="335C3CE4" w14:textId="77777777" w:rsidR="004D556D" w:rsidRPr="000F6CD1" w:rsidRDefault="004D556D" w:rsidP="00622CFF">
      <w:pPr>
        <w:spacing w:before="240" w:after="240" w:line="240" w:lineRule="auto"/>
        <w:rPr>
          <w:rFonts w:eastAsia="Yu Gothic Light"/>
        </w:rPr>
      </w:pPr>
      <w:r w:rsidRPr="000F6CD1">
        <w:rPr>
          <w:rFonts w:eastAsia="Yu Gothic Light"/>
        </w:rPr>
        <w:t>Review the service recommendation details for CHSP Assistive Technology and CHSP Home Modifications including: </w:t>
      </w:r>
    </w:p>
    <w:p w14:paraId="7498B34B" w14:textId="77777777" w:rsidR="004D556D" w:rsidRPr="000F6CD1" w:rsidRDefault="004D556D" w:rsidP="00DF3F6B">
      <w:pPr>
        <w:numPr>
          <w:ilvl w:val="0"/>
          <w:numId w:val="291"/>
        </w:numPr>
        <w:spacing w:before="240" w:after="240" w:line="240" w:lineRule="auto"/>
        <w:rPr>
          <w:rFonts w:eastAsia="Yu Gothic Light"/>
        </w:rPr>
      </w:pPr>
      <w:r w:rsidRPr="000F6CD1">
        <w:rPr>
          <w:rFonts w:eastAsia="Yu Gothic Light"/>
        </w:rPr>
        <w:t>service type and service (sub-type) – if applicable </w:t>
      </w:r>
    </w:p>
    <w:p w14:paraId="2123347E" w14:textId="77777777" w:rsidR="004D556D" w:rsidRPr="000F6CD1" w:rsidRDefault="004D556D" w:rsidP="00DF3F6B">
      <w:pPr>
        <w:numPr>
          <w:ilvl w:val="0"/>
          <w:numId w:val="292"/>
        </w:numPr>
        <w:spacing w:before="240" w:after="240" w:line="240" w:lineRule="auto"/>
        <w:rPr>
          <w:rFonts w:eastAsia="Yu Gothic Light"/>
        </w:rPr>
      </w:pPr>
      <w:r w:rsidRPr="000F6CD1">
        <w:rPr>
          <w:rFonts w:eastAsia="Yu Gothic Light"/>
        </w:rPr>
        <w:t>start, end and review dates – if applicable </w:t>
      </w:r>
    </w:p>
    <w:p w14:paraId="5EA17D25" w14:textId="77777777" w:rsidR="004D556D" w:rsidRPr="000F6CD1" w:rsidRDefault="004D556D" w:rsidP="00DF3F6B">
      <w:pPr>
        <w:numPr>
          <w:ilvl w:val="0"/>
          <w:numId w:val="293"/>
        </w:numPr>
        <w:spacing w:before="240" w:after="240" w:line="240" w:lineRule="auto"/>
        <w:rPr>
          <w:rFonts w:eastAsia="Yu Gothic Light"/>
        </w:rPr>
      </w:pPr>
      <w:r w:rsidRPr="000F6CD1">
        <w:rPr>
          <w:rFonts w:eastAsia="Yu Gothic Light"/>
        </w:rPr>
        <w:t>frequency, intensity </w:t>
      </w:r>
    </w:p>
    <w:p w14:paraId="744AD732" w14:textId="77777777" w:rsidR="004D556D" w:rsidRPr="000F6CD1" w:rsidRDefault="004D556D" w:rsidP="00DF3F6B">
      <w:pPr>
        <w:numPr>
          <w:ilvl w:val="0"/>
          <w:numId w:val="294"/>
        </w:numPr>
        <w:spacing w:before="240" w:after="240" w:line="240" w:lineRule="auto"/>
        <w:rPr>
          <w:rFonts w:eastAsia="Yu Gothic Light"/>
        </w:rPr>
      </w:pPr>
      <w:r w:rsidRPr="000F6CD1">
        <w:rPr>
          <w:rFonts w:eastAsia="Yu Gothic Light"/>
        </w:rPr>
        <w:t>priority </w:t>
      </w:r>
    </w:p>
    <w:p w14:paraId="762E826F" w14:textId="77777777" w:rsidR="004D556D" w:rsidRPr="000F6CD1" w:rsidRDefault="004D556D" w:rsidP="00DF3F6B">
      <w:pPr>
        <w:numPr>
          <w:ilvl w:val="0"/>
          <w:numId w:val="295"/>
        </w:numPr>
        <w:spacing w:before="240" w:after="240" w:line="240" w:lineRule="auto"/>
        <w:rPr>
          <w:rFonts w:eastAsia="Yu Gothic Light"/>
        </w:rPr>
      </w:pPr>
      <w:r w:rsidRPr="000F6CD1">
        <w:rPr>
          <w:rFonts w:eastAsia="Yu Gothic Light"/>
        </w:rPr>
        <w:t xml:space="preserve">outcome. </w:t>
      </w:r>
    </w:p>
    <w:p w14:paraId="714EE477" w14:textId="77777777" w:rsidR="004D556D" w:rsidRPr="000F6CD1" w:rsidRDefault="004D556D" w:rsidP="006647CE">
      <w:pPr>
        <w:pStyle w:val="h2"/>
      </w:pPr>
      <w:bookmarkStart w:id="772" w:name="_Toc209189028"/>
      <w:bookmarkStart w:id="773" w:name="_Toc233282485"/>
      <w:r w:rsidRPr="000F6CD1">
        <w:t>Approving permanent residential care</w:t>
      </w:r>
      <w:bookmarkEnd w:id="772"/>
      <w:bookmarkEnd w:id="773"/>
      <w:r w:rsidRPr="000F6CD1">
        <w:t> </w:t>
      </w:r>
    </w:p>
    <w:p w14:paraId="7A9FAB14" w14:textId="77777777" w:rsidR="004D556D" w:rsidRPr="000F6CD1" w:rsidRDefault="004D556D" w:rsidP="00AD2CE5">
      <w:pPr>
        <w:pStyle w:val="H3"/>
      </w:pPr>
      <w:bookmarkStart w:id="774" w:name="_Toc207714018"/>
      <w:r w:rsidRPr="000F6CD1">
        <w:t>Step 1. Decide if the older person requires ongoing residential care</w:t>
      </w:r>
      <w:bookmarkEnd w:id="774"/>
    </w:p>
    <w:p w14:paraId="5A731639" w14:textId="77777777" w:rsidR="004D556D" w:rsidRPr="000F6CD1" w:rsidRDefault="004D556D" w:rsidP="00622CFF">
      <w:pPr>
        <w:spacing w:before="240" w:after="240" w:line="240" w:lineRule="auto"/>
        <w:rPr>
          <w:rFonts w:eastAsia="Yu Gothic Light"/>
        </w:rPr>
      </w:pPr>
      <w:r w:rsidRPr="000F6CD1">
        <w:rPr>
          <w:rFonts w:eastAsia="Yu Gothic Light"/>
        </w:rPr>
        <w:t>Permanent residential care is delivered through the service group residential care</w:t>
      </w:r>
      <w:r w:rsidRPr="000F6CD1">
        <w:rPr>
          <w:rFonts w:eastAsia="Yu Gothic Light"/>
          <w:b/>
        </w:rPr>
        <w:t xml:space="preserve"> </w:t>
      </w:r>
      <w:r w:rsidRPr="000F6CD1">
        <w:rPr>
          <w:rFonts w:eastAsia="Yu Gothic Light"/>
        </w:rPr>
        <w:t>and</w:t>
      </w:r>
      <w:r w:rsidRPr="000F6CD1">
        <w:rPr>
          <w:rFonts w:eastAsia="Yu Gothic Light"/>
          <w:b/>
        </w:rPr>
        <w:t xml:space="preserve"> </w:t>
      </w:r>
      <w:r w:rsidRPr="000F6CD1">
        <w:rPr>
          <w:rFonts w:eastAsia="Yu Gothic Light"/>
        </w:rPr>
        <w:t>an access approval for the</w:t>
      </w:r>
      <w:r w:rsidRPr="000F6CD1">
        <w:rPr>
          <w:rFonts w:eastAsia="Yu Gothic Light" w:hint="eastAsia"/>
        </w:rPr>
        <w:t> </w:t>
      </w:r>
      <w:r w:rsidRPr="000F6CD1">
        <w:rPr>
          <w:rFonts w:eastAsia="Yu Gothic Light"/>
        </w:rPr>
        <w:t>ongoing</w:t>
      </w:r>
      <w:r w:rsidRPr="000F6CD1">
        <w:rPr>
          <w:rFonts w:eastAsia="Yu Gothic Light" w:hint="eastAsia"/>
        </w:rPr>
        <w:t> </w:t>
      </w:r>
      <w:r w:rsidRPr="000F6CD1">
        <w:rPr>
          <w:rFonts w:eastAsia="Yu Gothic Light"/>
        </w:rPr>
        <w:t>classification type. It is provided by registered providers in approved residential care homes.</w:t>
      </w:r>
    </w:p>
    <w:p w14:paraId="0C288192" w14:textId="77777777" w:rsidR="004D556D" w:rsidRPr="000F6CD1" w:rsidRDefault="004D556D" w:rsidP="00622CFF">
      <w:pPr>
        <w:spacing w:before="240" w:after="240" w:line="240" w:lineRule="auto"/>
        <w:rPr>
          <w:rFonts w:eastAsia="Yu Gothic Light"/>
        </w:rPr>
      </w:pPr>
      <w:r w:rsidRPr="000F6CD1">
        <w:rPr>
          <w:rFonts w:eastAsia="Yu Gothic Light"/>
        </w:rPr>
        <w:t xml:space="preserve">Before approving a recommendation for residential care, Assessment Delegates first need to decide if an older person requires and is eligible to access this service group. </w:t>
      </w:r>
    </w:p>
    <w:p w14:paraId="08FF70FE" w14:textId="77777777" w:rsidR="004D556D" w:rsidRPr="000F6CD1" w:rsidRDefault="004D556D" w:rsidP="00622CFF">
      <w:pPr>
        <w:spacing w:before="240" w:after="240" w:line="240" w:lineRule="auto"/>
        <w:rPr>
          <w:rFonts w:eastAsia="Yu Gothic Light"/>
        </w:rPr>
      </w:pPr>
      <w:r w:rsidRPr="000F6CD1">
        <w:rPr>
          <w:rFonts w:eastAsia="Yu Gothic Light"/>
        </w:rPr>
        <w:t>There is one key point to remember when deciding on access for non-Aboriginal or Torres Strait Islander people.</w:t>
      </w:r>
      <w:r w:rsidRPr="000F6CD1">
        <w:rPr>
          <w:rFonts w:eastAsia="Yu Gothic Light"/>
          <w:b/>
        </w:rPr>
        <w:t xml:space="preserve"> Section 68 </w:t>
      </w:r>
      <w:r w:rsidRPr="000F6CD1">
        <w:rPr>
          <w:rFonts w:eastAsia="Yu Gothic Light"/>
        </w:rPr>
        <w:t xml:space="preserve">of the </w:t>
      </w:r>
      <w:r w:rsidRPr="00EB1D79">
        <w:rPr>
          <w:rFonts w:eastAsia="Yu Gothic Light"/>
          <w:i/>
          <w:iCs/>
        </w:rPr>
        <w:t>Aged Care Act 2024</w:t>
      </w:r>
      <w:r w:rsidRPr="000F6CD1">
        <w:rPr>
          <w:rFonts w:eastAsia="Yu Gothic Light"/>
        </w:rPr>
        <w:t xml:space="preserve"> (the Act)</w:t>
      </w:r>
      <w:r w:rsidRPr="000F6CD1">
        <w:rPr>
          <w:rFonts w:eastAsia="Yu Gothic Light"/>
          <w:b/>
        </w:rPr>
        <w:t xml:space="preserve"> </w:t>
      </w:r>
      <w:r w:rsidRPr="000F6CD1">
        <w:rPr>
          <w:rFonts w:eastAsia="Yu Gothic Light"/>
        </w:rPr>
        <w:t xml:space="preserve">requires these older </w:t>
      </w:r>
      <w:r w:rsidRPr="00EB1D79">
        <w:rPr>
          <w:rFonts w:eastAsia="Yu Gothic Light"/>
        </w:rPr>
        <w:t>people to have a continuing need for funded aged care services because of sickness in order to access the residential care service group. Assessment Delegates need to be satisfied, that the person’s sickness at the time of assessment means that they have a continuing need for residential care.</w:t>
      </w:r>
    </w:p>
    <w:p w14:paraId="4A9E8788" w14:textId="77777777" w:rsidR="004D556D" w:rsidRPr="000F6CD1" w:rsidRDefault="004D556D" w:rsidP="00AD2CE5">
      <w:pPr>
        <w:pStyle w:val="H3"/>
      </w:pPr>
      <w:bookmarkStart w:id="775" w:name="_Toc198787184"/>
      <w:bookmarkStart w:id="776" w:name="_Toc1564589390"/>
      <w:bookmarkStart w:id="777" w:name="_Toc199344571"/>
      <w:bookmarkStart w:id="778" w:name="_Toc205372108"/>
      <w:bookmarkStart w:id="779" w:name="_Toc207714019"/>
      <w:r w:rsidRPr="000F6CD1">
        <w:t>Step 2. Confirm the priority category</w:t>
      </w:r>
      <w:bookmarkEnd w:id="775"/>
      <w:bookmarkEnd w:id="776"/>
      <w:bookmarkEnd w:id="777"/>
      <w:bookmarkEnd w:id="778"/>
      <w:bookmarkEnd w:id="779"/>
    </w:p>
    <w:p w14:paraId="3EC23C48" w14:textId="77777777" w:rsidR="00FB0F8A" w:rsidRDefault="004D556D" w:rsidP="00622CFF">
      <w:pPr>
        <w:spacing w:before="240" w:after="240" w:line="240" w:lineRule="auto"/>
        <w:rPr>
          <w:rFonts w:eastAsia="Yu Gothic Light"/>
        </w:rPr>
      </w:pPr>
      <w:r w:rsidRPr="000F6CD1">
        <w:rPr>
          <w:rFonts w:eastAsia="Yu Gothic Light"/>
        </w:rPr>
        <w:t>To meet the requirements of the Act, an older person being approved for permanent residential care will be assigned a priority category (1, 2 or 3). The priority category is not currently being used to prioritise access to residential care.</w:t>
      </w:r>
    </w:p>
    <w:p w14:paraId="4B1B3BA8" w14:textId="7DDFC4DF" w:rsidR="004D556D" w:rsidRPr="000F6CD1" w:rsidRDefault="00FB0F8A" w:rsidP="00FB0F8A">
      <w:pPr>
        <w:rPr>
          <w:rFonts w:eastAsia="Yu Gothic Light"/>
        </w:rPr>
      </w:pPr>
      <w:r>
        <w:rPr>
          <w:rFonts w:eastAsia="Yu Gothic Light"/>
        </w:rPr>
        <w:br w:type="page"/>
      </w:r>
    </w:p>
    <w:p w14:paraId="3C8F61C2" w14:textId="1E30FA2E" w:rsidR="004D556D" w:rsidRPr="000F6CD1" w:rsidRDefault="004D556D" w:rsidP="00622CFF">
      <w:pPr>
        <w:pStyle w:val="Caption"/>
        <w:spacing w:before="240" w:after="240"/>
        <w:rPr>
          <w:rFonts w:eastAsia="Yu Gothic Light"/>
        </w:rPr>
      </w:pPr>
      <w:r w:rsidRPr="000F6CD1">
        <w:rPr>
          <w:rFonts w:eastAsia="Yu Gothic Light"/>
        </w:rPr>
        <w:lastRenderedPageBreak/>
        <w:t>Table 4</w:t>
      </w:r>
      <w:r w:rsidR="008D33A2">
        <w:rPr>
          <w:rFonts w:eastAsia="Yu Gothic Light"/>
        </w:rPr>
        <w:t>9</w:t>
      </w:r>
      <w:r w:rsidRPr="000F6CD1">
        <w:rPr>
          <w:rFonts w:eastAsia="Yu Gothic Light"/>
        </w:rPr>
        <w:t xml:space="preserve">. Priority categories for permanent residential care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ity categories for permanent residential care"/>
        <w:tblDescription w:val="The table details the prioirty categories for permanent residential care "/>
      </w:tblPr>
      <w:tblGrid>
        <w:gridCol w:w="1696"/>
        <w:gridCol w:w="7320"/>
      </w:tblGrid>
      <w:tr w:rsidR="004D556D" w:rsidRPr="000F6CD1" w14:paraId="65031D0E" w14:textId="77777777" w:rsidTr="00E2517D">
        <w:tc>
          <w:tcPr>
            <w:tcW w:w="1696" w:type="dxa"/>
            <w:shd w:val="clear" w:color="auto" w:fill="002060"/>
          </w:tcPr>
          <w:p w14:paraId="63A633E1" w14:textId="77777777" w:rsidR="004D556D" w:rsidRPr="000F6CD1" w:rsidRDefault="004D556D" w:rsidP="006A075D">
            <w:pPr>
              <w:spacing w:before="120" w:after="120"/>
              <w:rPr>
                <w:rFonts w:eastAsia="Yu Gothic Light"/>
                <w:b/>
              </w:rPr>
            </w:pPr>
            <w:r w:rsidRPr="000F6CD1">
              <w:rPr>
                <w:rFonts w:eastAsia="Yu Gothic Light"/>
                <w:b/>
              </w:rPr>
              <w:t>Category #</w:t>
            </w:r>
          </w:p>
        </w:tc>
        <w:tc>
          <w:tcPr>
            <w:tcW w:w="7320" w:type="dxa"/>
            <w:shd w:val="clear" w:color="auto" w:fill="002060"/>
          </w:tcPr>
          <w:p w14:paraId="7A2127DC" w14:textId="77777777" w:rsidR="004D556D" w:rsidRPr="000F6CD1" w:rsidRDefault="004D556D" w:rsidP="006A075D">
            <w:pPr>
              <w:spacing w:before="120" w:after="120"/>
              <w:rPr>
                <w:rFonts w:eastAsia="Yu Gothic Light"/>
                <w:b/>
              </w:rPr>
            </w:pPr>
            <w:r w:rsidRPr="000F6CD1">
              <w:rPr>
                <w:rFonts w:eastAsia="Yu Gothic Light"/>
                <w:b/>
              </w:rPr>
              <w:t>Description</w:t>
            </w:r>
          </w:p>
        </w:tc>
      </w:tr>
      <w:tr w:rsidR="004D556D" w:rsidRPr="000F6CD1" w14:paraId="74872FAB" w14:textId="77777777" w:rsidTr="00E2517D">
        <w:tc>
          <w:tcPr>
            <w:tcW w:w="1696" w:type="dxa"/>
            <w:shd w:val="clear" w:color="auto" w:fill="002060"/>
          </w:tcPr>
          <w:p w14:paraId="437E7EEC" w14:textId="77777777" w:rsidR="004D556D" w:rsidRPr="000F6CD1" w:rsidRDefault="004D556D" w:rsidP="006A075D">
            <w:pPr>
              <w:spacing w:before="120" w:after="120"/>
              <w:rPr>
                <w:rFonts w:eastAsia="Yu Gothic Light"/>
              </w:rPr>
            </w:pPr>
            <w:r w:rsidRPr="000F6CD1">
              <w:rPr>
                <w:rFonts w:eastAsia="Yu Gothic Light"/>
              </w:rPr>
              <w:t>1</w:t>
            </w:r>
          </w:p>
        </w:tc>
        <w:tc>
          <w:tcPr>
            <w:tcW w:w="7320" w:type="dxa"/>
          </w:tcPr>
          <w:p w14:paraId="66D7FF98" w14:textId="77777777" w:rsidR="004D556D" w:rsidRPr="000F6CD1" w:rsidRDefault="004D556D" w:rsidP="006A075D">
            <w:pPr>
              <w:spacing w:before="120" w:after="120"/>
              <w:rPr>
                <w:rFonts w:eastAsia="Yu Gothic Light"/>
              </w:rPr>
            </w:pPr>
            <w:r w:rsidRPr="000F6CD1">
              <w:rPr>
                <w:rFonts w:eastAsia="Yu Gothic Light"/>
              </w:rPr>
              <w:t>The person:</w:t>
            </w:r>
          </w:p>
          <w:p w14:paraId="07755E96" w14:textId="77777777" w:rsidR="004D556D" w:rsidRPr="000F6CD1" w:rsidRDefault="004D556D">
            <w:pPr>
              <w:numPr>
                <w:ilvl w:val="0"/>
                <w:numId w:val="195"/>
              </w:numPr>
              <w:spacing w:before="120" w:after="120"/>
              <w:ind w:left="315" w:hanging="284"/>
              <w:contextualSpacing/>
              <w:rPr>
                <w:rFonts w:eastAsia="Yu Gothic Light"/>
              </w:rPr>
            </w:pPr>
            <w:r w:rsidRPr="000F6CD1">
              <w:rPr>
                <w:rFonts w:eastAsia="Yu Gothic Light"/>
              </w:rPr>
              <w:t>has a</w:t>
            </w:r>
            <w:r w:rsidRPr="000F6CD1">
              <w:rPr>
                <w:rFonts w:eastAsia="Yu Gothic Light" w:hint="eastAsia"/>
              </w:rPr>
              <w:t> </w:t>
            </w:r>
            <w:r w:rsidRPr="000F6CD1">
              <w:rPr>
                <w:rFonts w:eastAsia="Yu Gothic Light"/>
              </w:rPr>
              <w:t>high urgency rating; or</w:t>
            </w:r>
          </w:p>
          <w:p w14:paraId="3CBA5757" w14:textId="77777777" w:rsidR="004D556D" w:rsidRPr="000F6CD1" w:rsidRDefault="004D556D">
            <w:pPr>
              <w:numPr>
                <w:ilvl w:val="0"/>
                <w:numId w:val="195"/>
              </w:numPr>
              <w:spacing w:before="120" w:after="120"/>
              <w:ind w:left="315" w:hanging="284"/>
              <w:contextualSpacing/>
              <w:rPr>
                <w:rFonts w:eastAsia="Yu Gothic Light"/>
              </w:rPr>
            </w:pPr>
            <w:r w:rsidRPr="000F6CD1">
              <w:rPr>
                <w:rFonts w:eastAsia="Yu Gothic Light"/>
              </w:rPr>
              <w:t>resides in a rural or remote area classified as</w:t>
            </w:r>
            <w:r w:rsidRPr="000F6CD1">
              <w:rPr>
                <w:rFonts w:eastAsia="Yu Gothic Light" w:hint="eastAsia"/>
              </w:rPr>
              <w:t> </w:t>
            </w:r>
            <w:r w:rsidRPr="000F6CD1">
              <w:rPr>
                <w:rFonts w:eastAsia="Yu Gothic Light"/>
              </w:rPr>
              <w:t>MM 5, MM 6 or MMM 7; or</w:t>
            </w:r>
          </w:p>
          <w:p w14:paraId="53B57CF2" w14:textId="77777777" w:rsidR="004D556D" w:rsidRPr="000F6CD1" w:rsidRDefault="004D556D">
            <w:pPr>
              <w:numPr>
                <w:ilvl w:val="0"/>
                <w:numId w:val="195"/>
              </w:numPr>
              <w:spacing w:before="120" w:after="120"/>
              <w:ind w:left="315" w:hanging="284"/>
              <w:contextualSpacing/>
              <w:rPr>
                <w:rFonts w:eastAsia="Yu Gothic Light"/>
              </w:rPr>
            </w:pPr>
            <w:r w:rsidRPr="000F6CD1">
              <w:rPr>
                <w:rFonts w:eastAsia="Yu Gothic Light"/>
              </w:rPr>
              <w:t>is</w:t>
            </w:r>
            <w:r w:rsidRPr="000F6CD1">
              <w:rPr>
                <w:rFonts w:eastAsia="Yu Gothic Light" w:hint="eastAsia"/>
              </w:rPr>
              <w:t> </w:t>
            </w:r>
            <w:r w:rsidRPr="000F6CD1">
              <w:rPr>
                <w:rFonts w:eastAsia="Yu Gothic Light"/>
              </w:rPr>
              <w:t>Aboriginal or Torres Strait Islander, homeless, or is entering residential care due to</w:t>
            </w:r>
            <w:r w:rsidRPr="000F6CD1">
              <w:rPr>
                <w:rFonts w:eastAsia="Yu Gothic Light" w:hint="eastAsia"/>
              </w:rPr>
              <w:t> </w:t>
            </w:r>
            <w:r w:rsidRPr="000F6CD1">
              <w:rPr>
                <w:rFonts w:eastAsia="Yu Gothic Light"/>
              </w:rPr>
              <w:t>emergency circumstances.</w:t>
            </w:r>
          </w:p>
        </w:tc>
      </w:tr>
      <w:tr w:rsidR="004D556D" w:rsidRPr="000F6CD1" w14:paraId="4F02F7CE" w14:textId="77777777" w:rsidTr="00E2517D">
        <w:tc>
          <w:tcPr>
            <w:tcW w:w="1696" w:type="dxa"/>
            <w:shd w:val="clear" w:color="auto" w:fill="002060"/>
          </w:tcPr>
          <w:p w14:paraId="013CB893" w14:textId="77777777" w:rsidR="004D556D" w:rsidRPr="000F6CD1" w:rsidRDefault="004D556D" w:rsidP="006A075D">
            <w:pPr>
              <w:spacing w:before="120" w:after="120"/>
              <w:rPr>
                <w:rFonts w:eastAsia="Yu Gothic Light"/>
              </w:rPr>
            </w:pPr>
            <w:r w:rsidRPr="000F6CD1">
              <w:rPr>
                <w:rFonts w:eastAsia="Yu Gothic Light"/>
              </w:rPr>
              <w:t>2</w:t>
            </w:r>
          </w:p>
        </w:tc>
        <w:tc>
          <w:tcPr>
            <w:tcW w:w="7320" w:type="dxa"/>
          </w:tcPr>
          <w:p w14:paraId="11817FD9" w14:textId="77777777" w:rsidR="004D556D" w:rsidRPr="000F6CD1" w:rsidRDefault="004D556D" w:rsidP="006A075D">
            <w:pPr>
              <w:spacing w:before="120" w:after="120"/>
              <w:rPr>
                <w:rFonts w:eastAsia="Yu Gothic Light"/>
              </w:rPr>
            </w:pPr>
            <w:r w:rsidRPr="000F6CD1">
              <w:rPr>
                <w:rFonts w:eastAsia="Yu Gothic Light"/>
              </w:rPr>
              <w:t>The person does</w:t>
            </w:r>
            <w:r w:rsidRPr="000F6CD1">
              <w:rPr>
                <w:rFonts w:eastAsia="Yu Gothic Light" w:hint="eastAsia"/>
              </w:rPr>
              <w:t> </w:t>
            </w:r>
            <w:r w:rsidRPr="000F6CD1">
              <w:rPr>
                <w:rFonts w:eastAsia="Yu Gothic Light"/>
              </w:rPr>
              <w:t>not</w:t>
            </w:r>
            <w:r w:rsidRPr="000F6CD1">
              <w:rPr>
                <w:rFonts w:eastAsia="Yu Gothic Light" w:hint="eastAsia"/>
              </w:rPr>
              <w:t> </w:t>
            </w:r>
            <w:r w:rsidRPr="000F6CD1">
              <w:rPr>
                <w:rFonts w:eastAsia="Yu Gothic Light"/>
              </w:rPr>
              <w:t>meet the criteria for Priority Category 1 and has a</w:t>
            </w:r>
            <w:r w:rsidRPr="000F6CD1">
              <w:rPr>
                <w:rFonts w:eastAsia="Yu Gothic Light" w:hint="eastAsia"/>
              </w:rPr>
              <w:t> </w:t>
            </w:r>
            <w:r w:rsidRPr="000F6CD1">
              <w:rPr>
                <w:rFonts w:eastAsia="Yu Gothic Light"/>
              </w:rPr>
              <w:t>medium urgency rating.</w:t>
            </w:r>
          </w:p>
          <w:p w14:paraId="30127443" w14:textId="77777777" w:rsidR="004D556D" w:rsidRPr="000F6CD1" w:rsidRDefault="004D556D" w:rsidP="006A075D">
            <w:pPr>
              <w:spacing w:before="120" w:after="120"/>
              <w:rPr>
                <w:rFonts w:eastAsia="Yu Gothic Light"/>
              </w:rPr>
            </w:pPr>
          </w:p>
        </w:tc>
      </w:tr>
      <w:tr w:rsidR="004D556D" w:rsidRPr="000F6CD1" w14:paraId="14E67043" w14:textId="77777777" w:rsidTr="00E2517D">
        <w:trPr>
          <w:trHeight w:val="185"/>
        </w:trPr>
        <w:tc>
          <w:tcPr>
            <w:tcW w:w="1696" w:type="dxa"/>
            <w:shd w:val="clear" w:color="auto" w:fill="002060"/>
          </w:tcPr>
          <w:p w14:paraId="3FE98AA4" w14:textId="77777777" w:rsidR="004D556D" w:rsidRPr="000F6CD1" w:rsidRDefault="004D556D" w:rsidP="006A075D">
            <w:pPr>
              <w:spacing w:before="120" w:after="120"/>
              <w:rPr>
                <w:rFonts w:eastAsia="Yu Gothic Light"/>
              </w:rPr>
            </w:pPr>
            <w:r w:rsidRPr="000F6CD1">
              <w:rPr>
                <w:rFonts w:eastAsia="Yu Gothic Light"/>
              </w:rPr>
              <w:t>3</w:t>
            </w:r>
          </w:p>
        </w:tc>
        <w:tc>
          <w:tcPr>
            <w:tcW w:w="7320" w:type="dxa"/>
          </w:tcPr>
          <w:p w14:paraId="7D788DD7" w14:textId="77777777" w:rsidR="004D556D" w:rsidRPr="000F6CD1" w:rsidRDefault="004D556D" w:rsidP="006A075D">
            <w:pPr>
              <w:spacing w:before="120" w:after="120"/>
              <w:rPr>
                <w:rFonts w:eastAsia="Yu Gothic Light"/>
              </w:rPr>
            </w:pPr>
            <w:r w:rsidRPr="000F6CD1">
              <w:rPr>
                <w:rFonts w:eastAsia="Yu Gothic Light"/>
              </w:rPr>
              <w:t>The person does not meet the criteria for Priority Category 1 and has a</w:t>
            </w:r>
            <w:r w:rsidRPr="000F6CD1">
              <w:rPr>
                <w:rFonts w:eastAsia="Yu Gothic Light" w:hint="eastAsia"/>
              </w:rPr>
              <w:t> </w:t>
            </w:r>
            <w:r w:rsidRPr="000F6CD1">
              <w:rPr>
                <w:rFonts w:eastAsia="Yu Gothic Light"/>
              </w:rPr>
              <w:t>low urgency rating.</w:t>
            </w:r>
          </w:p>
        </w:tc>
      </w:tr>
    </w:tbl>
    <w:p w14:paraId="676D7741" w14:textId="77777777" w:rsidR="004D556D" w:rsidRPr="000F6CD1" w:rsidRDefault="004D556D" w:rsidP="00622CFF">
      <w:pPr>
        <w:spacing w:before="240" w:after="240" w:line="240" w:lineRule="auto"/>
        <w:rPr>
          <w:rFonts w:eastAsia="Yu Gothic Light"/>
        </w:rPr>
      </w:pPr>
      <w:bookmarkStart w:id="780" w:name="_Toc198787185"/>
      <w:bookmarkStart w:id="781" w:name="_Toc1057079819"/>
      <w:bookmarkStart w:id="782" w:name="_Toc199344572"/>
      <w:r w:rsidRPr="000F6CD1">
        <w:rPr>
          <w:rFonts w:eastAsia="Yu Gothic Light"/>
        </w:rPr>
        <w:t>The</w:t>
      </w:r>
      <w:r w:rsidRPr="000F6CD1">
        <w:rPr>
          <w:rFonts w:eastAsia="Yu Gothic Light" w:hint="eastAsia"/>
        </w:rPr>
        <w:t> </w:t>
      </w:r>
      <w:r w:rsidRPr="000F6CD1">
        <w:rPr>
          <w:rFonts w:eastAsia="Yu Gothic Light"/>
        </w:rPr>
        <w:t xml:space="preserve">priority category is automatically generated by the assessor portal based on the individual's circumstances, urgency rating and in accordance with the criteria specified by the </w:t>
      </w:r>
      <w:r w:rsidRPr="00BD0F1D">
        <w:rPr>
          <w:rFonts w:eastAsia="Yu Gothic Light"/>
          <w:i/>
          <w:iCs/>
        </w:rPr>
        <w:t>Aged Care Rules 2025</w:t>
      </w:r>
      <w:r w:rsidRPr="000F6CD1">
        <w:rPr>
          <w:rFonts w:eastAsia="Yu Gothic Light"/>
        </w:rPr>
        <w:t xml:space="preserve"> (the Rules). </w:t>
      </w:r>
    </w:p>
    <w:p w14:paraId="6D84EC4D" w14:textId="77777777" w:rsidR="004D556D" w:rsidRPr="000F6CD1" w:rsidRDefault="004D556D" w:rsidP="00622CFF">
      <w:pPr>
        <w:spacing w:before="240" w:after="240" w:line="240" w:lineRule="auto"/>
        <w:rPr>
          <w:rFonts w:eastAsia="Yu Gothic Light"/>
        </w:rPr>
      </w:pPr>
      <w:r w:rsidRPr="000F6CD1">
        <w:rPr>
          <w:rFonts w:eastAsia="Yu Gothic Light"/>
        </w:rPr>
        <w:t>Assessment Delegates need to verify that the urgency rating assigned to the individual accurately reflects their needs and are supported by the evidence provided.</w:t>
      </w:r>
    </w:p>
    <w:p w14:paraId="1F6A3133" w14:textId="77777777" w:rsidR="004D556D" w:rsidRPr="000F6CD1" w:rsidRDefault="004D556D" w:rsidP="00AD2CE5">
      <w:pPr>
        <w:pStyle w:val="H3"/>
        <w:rPr>
          <w:sz w:val="28"/>
        </w:rPr>
      </w:pPr>
      <w:bookmarkStart w:id="783" w:name="_Toc205372109"/>
      <w:bookmarkStart w:id="784" w:name="_Toc207714020"/>
      <w:r w:rsidRPr="000F6CD1">
        <w:t>Urgency rating for residential care</w:t>
      </w:r>
      <w:bookmarkEnd w:id="780"/>
      <w:bookmarkEnd w:id="781"/>
      <w:bookmarkEnd w:id="782"/>
      <w:bookmarkEnd w:id="783"/>
      <w:bookmarkEnd w:id="784"/>
    </w:p>
    <w:p w14:paraId="47EE224E" w14:textId="77777777" w:rsidR="004D556D" w:rsidRPr="000F6CD1" w:rsidRDefault="004D556D" w:rsidP="00622CFF">
      <w:pPr>
        <w:spacing w:before="240" w:after="240" w:line="240" w:lineRule="auto"/>
        <w:rPr>
          <w:rFonts w:eastAsia="Yu Gothic Light"/>
        </w:rPr>
      </w:pPr>
      <w:r w:rsidRPr="000F6CD1">
        <w:rPr>
          <w:rFonts w:eastAsia="Yu Gothic Light"/>
        </w:rPr>
        <w:t>A person</w:t>
      </w:r>
      <w:r w:rsidRPr="000F6CD1">
        <w:rPr>
          <w:rFonts w:eastAsia="Yu Gothic Light" w:hint="eastAsia"/>
        </w:rPr>
        <w:t>’</w:t>
      </w:r>
      <w:r w:rsidRPr="000F6CD1">
        <w:rPr>
          <w:rFonts w:eastAsia="Yu Gothic Light"/>
        </w:rPr>
        <w:t xml:space="preserve">s urgency rating is different to their need for residential care. </w:t>
      </w:r>
    </w:p>
    <w:p w14:paraId="15A6EDB2" w14:textId="4A1B167F" w:rsidR="004D556D" w:rsidRPr="000F6CD1" w:rsidRDefault="004D556D" w:rsidP="005C72A8">
      <w:pPr>
        <w:spacing w:after="0" w:line="240" w:lineRule="auto"/>
        <w:rPr>
          <w:rFonts w:eastAsia="Yu Gothic Light"/>
        </w:rPr>
      </w:pPr>
      <w:r w:rsidRPr="000F6CD1">
        <w:rPr>
          <w:rFonts w:eastAsia="Yu Gothic Light"/>
        </w:rPr>
        <w:t xml:space="preserve">When selecting Residential Permanent assessors will be required to give a response to </w:t>
      </w:r>
      <w:r w:rsidRPr="000F6CD1">
        <w:rPr>
          <w:rFonts w:eastAsia="Yu Gothic Light" w:hint="eastAsia"/>
        </w:rPr>
        <w:t>‘</w:t>
      </w:r>
      <w:r w:rsidRPr="000F6CD1">
        <w:rPr>
          <w:rFonts w:eastAsia="Yu Gothic Light"/>
        </w:rPr>
        <w:t>What is the urgency of this care type</w:t>
      </w:r>
      <w:r w:rsidR="009F2ECF" w:rsidRPr="000F6CD1">
        <w:rPr>
          <w:rFonts w:eastAsia="Yu Gothic Light" w:hint="eastAsia"/>
        </w:rPr>
        <w:t>.</w:t>
      </w:r>
      <w:r w:rsidR="009F2ECF" w:rsidRPr="000F6CD1">
        <w:rPr>
          <w:rFonts w:eastAsia="Yu Gothic Light" w:hint="eastAsia"/>
        </w:rPr>
        <w:t>’</w:t>
      </w:r>
      <w:r w:rsidRPr="000F6CD1">
        <w:rPr>
          <w:rFonts w:eastAsia="Yu Gothic Light"/>
        </w:rPr>
        <w:t xml:space="preserve"> This question is a mandatory question with a rating to be selected from high, medium or low. </w:t>
      </w:r>
    </w:p>
    <w:p w14:paraId="3FF97398" w14:textId="77777777" w:rsidR="004D556D" w:rsidRPr="000F6CD1" w:rsidRDefault="004D556D" w:rsidP="00622CFF">
      <w:pPr>
        <w:spacing w:before="240" w:after="240" w:line="240" w:lineRule="auto"/>
        <w:rPr>
          <w:rFonts w:eastAsia="Yu Gothic Light"/>
        </w:rPr>
      </w:pPr>
      <w:r w:rsidRPr="000F6CD1">
        <w:rPr>
          <w:rFonts w:eastAsia="Yu Gothic Light"/>
        </w:rPr>
        <w:t>The Rules specify when an urgency rating of low, medium or high will apply to an individual in relation the classification type ongoing for residential care.</w:t>
      </w:r>
      <w:r w:rsidRPr="000F6CD1">
        <w:rPr>
          <w:rFonts w:eastAsia="Arial"/>
        </w:rPr>
        <w:t xml:space="preserve"> </w:t>
      </w:r>
      <w:r w:rsidRPr="000F6CD1">
        <w:rPr>
          <w:rFonts w:eastAsia="Yu Gothic Light"/>
        </w:rPr>
        <w:t>The table below summarises the criteria for each urgency rating.</w:t>
      </w:r>
    </w:p>
    <w:p w14:paraId="5FD47552" w14:textId="66A9CE8F" w:rsidR="004D556D" w:rsidRPr="000F6CD1" w:rsidRDefault="004D556D" w:rsidP="00622CFF">
      <w:pPr>
        <w:pStyle w:val="Caption"/>
        <w:spacing w:before="240" w:after="240"/>
        <w:rPr>
          <w:rFonts w:eastAsia="Arial"/>
          <w:sz w:val="22"/>
        </w:rPr>
      </w:pPr>
      <w:r w:rsidRPr="000F6CD1">
        <w:rPr>
          <w:rFonts w:eastAsia="Arial"/>
        </w:rPr>
        <w:t xml:space="preserve">Table </w:t>
      </w:r>
      <w:r w:rsidR="00A01110">
        <w:rPr>
          <w:rFonts w:eastAsia="Arial"/>
        </w:rPr>
        <w:t>50</w:t>
      </w:r>
      <w:r w:rsidRPr="000F6CD1">
        <w:rPr>
          <w:rFonts w:eastAsia="Arial"/>
        </w:rPr>
        <w:t xml:space="preserve">. </w:t>
      </w:r>
      <w:r w:rsidRPr="000F6CD1">
        <w:rPr>
          <w:rFonts w:eastAsia="Arial"/>
          <w:sz w:val="22"/>
        </w:rPr>
        <w:t xml:space="preserve">criteria for urgency ratings for residential care </w:t>
      </w:r>
    </w:p>
    <w:tbl>
      <w:tblPr>
        <w:tblStyle w:val="TableGrid"/>
        <w:tblW w:w="0" w:type="auto"/>
        <w:tblLook w:val="04A0" w:firstRow="1" w:lastRow="0" w:firstColumn="1" w:lastColumn="0" w:noHBand="0" w:noVBand="1"/>
        <w:tblCaption w:val="Criteria for urgency ratings for residential care"/>
        <w:tblDescription w:val="The table details the criteria for urgency ratings for residential care"/>
      </w:tblPr>
      <w:tblGrid>
        <w:gridCol w:w="2547"/>
        <w:gridCol w:w="6469"/>
      </w:tblGrid>
      <w:tr w:rsidR="004D556D" w:rsidRPr="000F6CD1" w14:paraId="66BF6FEE" w14:textId="77777777" w:rsidTr="005C4D4A">
        <w:trPr>
          <w:tblHeader/>
        </w:trPr>
        <w:tc>
          <w:tcPr>
            <w:tcW w:w="2547" w:type="dxa"/>
            <w:shd w:val="clear" w:color="auto" w:fill="002060"/>
          </w:tcPr>
          <w:p w14:paraId="74A5A23A" w14:textId="77777777" w:rsidR="004D556D" w:rsidRPr="000F6CD1" w:rsidRDefault="004D556D" w:rsidP="00622CFF">
            <w:pPr>
              <w:spacing w:before="240" w:after="240"/>
              <w:rPr>
                <w:rFonts w:eastAsia="Yu Gothic Light"/>
                <w:b/>
              </w:rPr>
            </w:pPr>
            <w:r w:rsidRPr="000F6CD1">
              <w:rPr>
                <w:rFonts w:eastAsia="Yu Gothic Light"/>
                <w:b/>
              </w:rPr>
              <w:t>Urgency rating</w:t>
            </w:r>
          </w:p>
        </w:tc>
        <w:tc>
          <w:tcPr>
            <w:tcW w:w="6469" w:type="dxa"/>
            <w:shd w:val="clear" w:color="auto" w:fill="002060"/>
          </w:tcPr>
          <w:p w14:paraId="114D8A4D" w14:textId="77777777" w:rsidR="004D556D" w:rsidRPr="000F6CD1" w:rsidRDefault="004D556D" w:rsidP="00622CFF">
            <w:pPr>
              <w:spacing w:before="240" w:after="240"/>
              <w:rPr>
                <w:rFonts w:eastAsia="Yu Gothic Light"/>
                <w:b/>
              </w:rPr>
            </w:pPr>
            <w:r w:rsidRPr="000F6CD1">
              <w:rPr>
                <w:rFonts w:eastAsia="Yu Gothic Light"/>
                <w:b/>
              </w:rPr>
              <w:t>Description</w:t>
            </w:r>
          </w:p>
        </w:tc>
      </w:tr>
      <w:tr w:rsidR="004D556D" w:rsidRPr="000F6CD1" w14:paraId="7C1019EB" w14:textId="77777777">
        <w:tc>
          <w:tcPr>
            <w:tcW w:w="2547" w:type="dxa"/>
            <w:shd w:val="clear" w:color="auto" w:fill="002060"/>
          </w:tcPr>
          <w:p w14:paraId="5935F3FF" w14:textId="77777777" w:rsidR="004D556D" w:rsidRPr="000F6CD1" w:rsidRDefault="004D556D" w:rsidP="00622CFF">
            <w:pPr>
              <w:spacing w:before="240" w:after="240"/>
              <w:rPr>
                <w:rFonts w:eastAsia="Yu Gothic Light"/>
              </w:rPr>
            </w:pPr>
            <w:r w:rsidRPr="000F6CD1">
              <w:rPr>
                <w:rFonts w:eastAsia="Yu Gothic Light"/>
              </w:rPr>
              <w:t>High urgency</w:t>
            </w:r>
          </w:p>
        </w:tc>
        <w:tc>
          <w:tcPr>
            <w:tcW w:w="6469" w:type="dxa"/>
          </w:tcPr>
          <w:p w14:paraId="05DE651E" w14:textId="77777777" w:rsidR="004D556D" w:rsidRPr="000F6CD1" w:rsidRDefault="004D556D" w:rsidP="00622CFF">
            <w:pPr>
              <w:spacing w:before="240" w:after="240"/>
              <w:rPr>
                <w:rFonts w:eastAsia="Yu Gothic Light"/>
                <w:b/>
              </w:rPr>
            </w:pPr>
            <w:r w:rsidRPr="000F6CD1">
              <w:rPr>
                <w:rFonts w:eastAsia="Yu Gothic Light"/>
                <w:b/>
              </w:rPr>
              <w:t xml:space="preserve">This rating applies if: </w:t>
            </w:r>
          </w:p>
          <w:p w14:paraId="3FD9DD75" w14:textId="47BE01DE" w:rsidR="004D556D" w:rsidRPr="000F6CD1" w:rsidRDefault="004D556D">
            <w:pPr>
              <w:numPr>
                <w:ilvl w:val="0"/>
                <w:numId w:val="195"/>
              </w:numPr>
              <w:spacing w:before="240" w:after="240"/>
              <w:contextualSpacing/>
              <w:rPr>
                <w:rFonts w:eastAsia="Yu Gothic Light"/>
              </w:rPr>
            </w:pPr>
            <w:r w:rsidRPr="000F6CD1">
              <w:rPr>
                <w:rFonts w:eastAsia="Yu Gothic Light"/>
              </w:rPr>
              <w:t>The individual has a need for immediate access to ongoing funded aged care services delivered in an approved residential care home which, if not met, may place the individual</w:t>
            </w:r>
            <w:r w:rsidRPr="000F6CD1">
              <w:rPr>
                <w:rFonts w:eastAsia="Yu Gothic Light" w:hint="eastAsia"/>
              </w:rPr>
              <w:t>’</w:t>
            </w:r>
            <w:r w:rsidRPr="000F6CD1">
              <w:rPr>
                <w:rFonts w:eastAsia="Yu Gothic Light"/>
              </w:rPr>
              <w:t xml:space="preserve">s safety, health or wellbeing at risk. </w:t>
            </w:r>
          </w:p>
          <w:p w14:paraId="241195C4" w14:textId="77777777" w:rsidR="004D556D" w:rsidRPr="000F6CD1" w:rsidRDefault="004D556D" w:rsidP="00622CFF">
            <w:pPr>
              <w:spacing w:before="240" w:after="240"/>
              <w:rPr>
                <w:rFonts w:eastAsia="Yu Gothic Light"/>
                <w:b/>
              </w:rPr>
            </w:pPr>
          </w:p>
          <w:p w14:paraId="51AB45E3" w14:textId="77777777" w:rsidR="004D556D" w:rsidRPr="000F6CD1" w:rsidRDefault="004D556D" w:rsidP="00622CFF">
            <w:pPr>
              <w:spacing w:before="240" w:after="240"/>
              <w:rPr>
                <w:rFonts w:eastAsia="Yu Gothic Light"/>
              </w:rPr>
            </w:pPr>
            <w:r w:rsidRPr="000F6CD1">
              <w:rPr>
                <w:rFonts w:eastAsia="Yu Gothic Light"/>
                <w:b/>
              </w:rPr>
              <w:lastRenderedPageBreak/>
              <w:t>Indicators</w:t>
            </w:r>
            <w:r w:rsidRPr="000F6CD1">
              <w:rPr>
                <w:rFonts w:eastAsia="Yu Gothic Light"/>
              </w:rPr>
              <w:t>: Recent falls, hospital admission, unsafe to return home, severe decline.</w:t>
            </w:r>
          </w:p>
          <w:p w14:paraId="32A4EC75" w14:textId="77777777" w:rsidR="004D556D" w:rsidRPr="000F6CD1" w:rsidRDefault="004D556D" w:rsidP="00622CFF">
            <w:pPr>
              <w:spacing w:before="240" w:after="240"/>
              <w:rPr>
                <w:rFonts w:eastAsia="Yu Gothic Light"/>
              </w:rPr>
            </w:pPr>
            <w:r w:rsidRPr="000F6CD1">
              <w:rPr>
                <w:rFonts w:eastAsia="Yu Gothic Light"/>
                <w:b/>
              </w:rPr>
              <w:t>Example</w:t>
            </w:r>
            <w:r w:rsidRPr="000F6CD1">
              <w:rPr>
                <w:rFonts w:eastAsia="Yu Gothic Light"/>
              </w:rPr>
              <w:t>: A client in hospital post-fall who lives alone and whose needs exceed Home Care supports.</w:t>
            </w:r>
          </w:p>
        </w:tc>
      </w:tr>
      <w:tr w:rsidR="004D556D" w:rsidRPr="000F6CD1" w14:paraId="200BE401" w14:textId="77777777">
        <w:tc>
          <w:tcPr>
            <w:tcW w:w="2547" w:type="dxa"/>
            <w:shd w:val="clear" w:color="auto" w:fill="002060"/>
          </w:tcPr>
          <w:p w14:paraId="10BF4F46" w14:textId="77777777" w:rsidR="004D556D" w:rsidRPr="000F6CD1" w:rsidRDefault="004D556D" w:rsidP="00622CFF">
            <w:pPr>
              <w:spacing w:before="240" w:after="240"/>
              <w:rPr>
                <w:rFonts w:eastAsia="Yu Gothic Light"/>
              </w:rPr>
            </w:pPr>
            <w:r w:rsidRPr="000F6CD1">
              <w:rPr>
                <w:rFonts w:eastAsia="Yu Gothic Light"/>
              </w:rPr>
              <w:lastRenderedPageBreak/>
              <w:t>Medium urgency</w:t>
            </w:r>
          </w:p>
        </w:tc>
        <w:tc>
          <w:tcPr>
            <w:tcW w:w="6469" w:type="dxa"/>
          </w:tcPr>
          <w:p w14:paraId="1650F07F" w14:textId="77777777" w:rsidR="004D556D" w:rsidRPr="000F6CD1" w:rsidRDefault="004D556D" w:rsidP="00622CFF">
            <w:pPr>
              <w:spacing w:before="240" w:after="240"/>
              <w:rPr>
                <w:rFonts w:eastAsia="Yu Gothic Light"/>
                <w:b/>
              </w:rPr>
            </w:pPr>
            <w:r w:rsidRPr="000F6CD1">
              <w:rPr>
                <w:rFonts w:eastAsia="Yu Gothic Light"/>
                <w:b/>
              </w:rPr>
              <w:t>This rating applies if:</w:t>
            </w:r>
          </w:p>
          <w:p w14:paraId="3A26F73A" w14:textId="77777777" w:rsidR="004D556D" w:rsidRPr="000F6CD1" w:rsidRDefault="004D556D">
            <w:pPr>
              <w:numPr>
                <w:ilvl w:val="0"/>
                <w:numId w:val="196"/>
              </w:numPr>
              <w:spacing w:before="240" w:after="240"/>
              <w:contextualSpacing/>
              <w:rPr>
                <w:rFonts w:eastAsia="Yu Gothic Light"/>
              </w:rPr>
            </w:pPr>
            <w:r w:rsidRPr="000F6CD1">
              <w:rPr>
                <w:rFonts w:eastAsia="Yu Gothic Light"/>
              </w:rPr>
              <w:t>The circumstances for a high urgency rating do not apply to the individual; and</w:t>
            </w:r>
          </w:p>
          <w:p w14:paraId="03E743AA" w14:textId="77777777" w:rsidR="004D556D" w:rsidRPr="000F6CD1" w:rsidRDefault="004D556D">
            <w:pPr>
              <w:numPr>
                <w:ilvl w:val="0"/>
                <w:numId w:val="196"/>
              </w:numPr>
              <w:spacing w:before="240" w:after="240"/>
              <w:contextualSpacing/>
              <w:rPr>
                <w:rFonts w:eastAsia="Yu Gothic Light"/>
              </w:rPr>
            </w:pPr>
            <w:r w:rsidRPr="000F6CD1">
              <w:rPr>
                <w:rFonts w:eastAsia="Yu Gothic Light"/>
              </w:rPr>
              <w:t>When considering the individual</w:t>
            </w:r>
            <w:r w:rsidRPr="000F6CD1">
              <w:rPr>
                <w:rFonts w:eastAsia="Yu Gothic Light" w:hint="eastAsia"/>
              </w:rPr>
              <w:t>’</w:t>
            </w:r>
            <w:r w:rsidRPr="000F6CD1">
              <w:rPr>
                <w:rFonts w:eastAsia="Yu Gothic Light"/>
              </w:rPr>
              <w:t>s circumstances and preferences, the individual is expected to seek access to permanent residential care within the next 6 months.</w:t>
            </w:r>
          </w:p>
          <w:p w14:paraId="5A1B9132" w14:textId="77777777" w:rsidR="004D556D" w:rsidRPr="000F6CD1" w:rsidRDefault="004D556D" w:rsidP="00622CFF">
            <w:pPr>
              <w:spacing w:before="240" w:after="240"/>
              <w:rPr>
                <w:rFonts w:eastAsia="Yu Gothic Light"/>
                <w:b/>
              </w:rPr>
            </w:pPr>
          </w:p>
          <w:p w14:paraId="6E9E0D18" w14:textId="77777777" w:rsidR="004D556D" w:rsidRPr="000F6CD1" w:rsidRDefault="004D556D" w:rsidP="00622CFF">
            <w:pPr>
              <w:spacing w:before="240" w:after="240"/>
              <w:rPr>
                <w:rFonts w:eastAsia="Yu Gothic Light"/>
              </w:rPr>
            </w:pPr>
            <w:r w:rsidRPr="000F6CD1">
              <w:rPr>
                <w:rFonts w:eastAsia="Yu Gothic Light"/>
                <w:b/>
              </w:rPr>
              <w:t>Indicators</w:t>
            </w:r>
            <w:r w:rsidRPr="000F6CD1">
              <w:rPr>
                <w:rFonts w:eastAsia="Yu Gothic Light"/>
              </w:rPr>
              <w:t>: Declining function, rising carer stress, complex but not urgent risks.</w:t>
            </w:r>
          </w:p>
          <w:p w14:paraId="40693B11" w14:textId="77777777" w:rsidR="004D556D" w:rsidRPr="000F6CD1" w:rsidRDefault="004D556D" w:rsidP="00622CFF">
            <w:pPr>
              <w:spacing w:before="240" w:after="240"/>
              <w:rPr>
                <w:rFonts w:eastAsia="Yu Gothic Light"/>
              </w:rPr>
            </w:pPr>
            <w:r w:rsidRPr="000F6CD1">
              <w:rPr>
                <w:rFonts w:eastAsia="Yu Gothic Light"/>
                <w:b/>
              </w:rPr>
              <w:t>Example</w:t>
            </w:r>
            <w:r w:rsidRPr="000F6CD1">
              <w:rPr>
                <w:rFonts w:eastAsia="Yu Gothic Light"/>
              </w:rPr>
              <w:t>: A client with moderate incontinence and cognition issues whose carer is overwhelmed.</w:t>
            </w:r>
          </w:p>
        </w:tc>
      </w:tr>
      <w:tr w:rsidR="004D556D" w:rsidRPr="000F6CD1" w14:paraId="6068299A" w14:textId="77777777">
        <w:tc>
          <w:tcPr>
            <w:tcW w:w="2547" w:type="dxa"/>
            <w:shd w:val="clear" w:color="auto" w:fill="002060"/>
          </w:tcPr>
          <w:p w14:paraId="0336B244" w14:textId="77777777" w:rsidR="004D556D" w:rsidRPr="000F6CD1" w:rsidRDefault="004D556D" w:rsidP="00622CFF">
            <w:pPr>
              <w:spacing w:before="240" w:after="240"/>
              <w:rPr>
                <w:rFonts w:eastAsia="Yu Gothic Light"/>
              </w:rPr>
            </w:pPr>
            <w:r w:rsidRPr="000F6CD1">
              <w:rPr>
                <w:rFonts w:eastAsia="Yu Gothic Light"/>
              </w:rPr>
              <w:t>Low urgency</w:t>
            </w:r>
          </w:p>
        </w:tc>
        <w:tc>
          <w:tcPr>
            <w:tcW w:w="6469" w:type="dxa"/>
          </w:tcPr>
          <w:p w14:paraId="64617B25" w14:textId="77777777" w:rsidR="004D556D" w:rsidRPr="000F6CD1" w:rsidRDefault="004D556D" w:rsidP="00622CFF">
            <w:pPr>
              <w:spacing w:before="240" w:after="240"/>
              <w:rPr>
                <w:rFonts w:eastAsia="Yu Gothic Light"/>
              </w:rPr>
            </w:pPr>
            <w:r w:rsidRPr="000F6CD1">
              <w:rPr>
                <w:rFonts w:eastAsia="Yu Gothic Light"/>
                <w:b/>
              </w:rPr>
              <w:t>This rating applies if</w:t>
            </w:r>
            <w:r w:rsidRPr="000F6CD1">
              <w:rPr>
                <w:rFonts w:eastAsia="Yu Gothic Light"/>
              </w:rPr>
              <w:t xml:space="preserve">: </w:t>
            </w:r>
          </w:p>
          <w:p w14:paraId="0ABE2D3D" w14:textId="2ACAB868" w:rsidR="004D556D" w:rsidRPr="000F6CD1" w:rsidRDefault="004D556D">
            <w:pPr>
              <w:numPr>
                <w:ilvl w:val="0"/>
                <w:numId w:val="196"/>
              </w:numPr>
              <w:spacing w:before="240" w:after="240"/>
              <w:contextualSpacing/>
              <w:rPr>
                <w:rFonts w:eastAsia="Yu Gothic Light"/>
              </w:rPr>
            </w:pPr>
            <w:r w:rsidRPr="000F6CD1">
              <w:rPr>
                <w:rFonts w:eastAsia="Yu Gothic Light"/>
              </w:rPr>
              <w:t xml:space="preserve">The circumstances for a high or medium urgency rating do not apply to the individual. </w:t>
            </w:r>
          </w:p>
          <w:p w14:paraId="3CDA2BC4" w14:textId="77777777" w:rsidR="004D556D" w:rsidRPr="000F6CD1" w:rsidRDefault="004D556D" w:rsidP="00622CFF">
            <w:pPr>
              <w:spacing w:before="240" w:after="240"/>
              <w:rPr>
                <w:rFonts w:eastAsia="Yu Gothic Light"/>
                <w:b/>
              </w:rPr>
            </w:pPr>
          </w:p>
          <w:p w14:paraId="18CDD74C" w14:textId="77777777" w:rsidR="004D556D" w:rsidRPr="000F6CD1" w:rsidRDefault="004D556D" w:rsidP="00622CFF">
            <w:pPr>
              <w:spacing w:before="240" w:after="240"/>
              <w:rPr>
                <w:rFonts w:eastAsia="Yu Gothic Light"/>
              </w:rPr>
            </w:pPr>
            <w:r w:rsidRPr="000F6CD1">
              <w:rPr>
                <w:rFonts w:eastAsia="Yu Gothic Light"/>
                <w:b/>
              </w:rPr>
              <w:t>Indicators</w:t>
            </w:r>
            <w:r w:rsidRPr="000F6CD1">
              <w:rPr>
                <w:rFonts w:eastAsia="Yu Gothic Light"/>
              </w:rPr>
              <w:t>: Some decline, minor falls, current supports are working, client prefers to delay move.</w:t>
            </w:r>
          </w:p>
          <w:p w14:paraId="2BC930F6" w14:textId="77777777" w:rsidR="004D556D" w:rsidRPr="000F6CD1" w:rsidRDefault="004D556D" w:rsidP="00622CFF">
            <w:pPr>
              <w:spacing w:before="240" w:after="240"/>
              <w:rPr>
                <w:rFonts w:eastAsia="Yu Gothic Light"/>
              </w:rPr>
            </w:pPr>
            <w:r w:rsidRPr="000F6CD1">
              <w:rPr>
                <w:rFonts w:eastAsia="Yu Gothic Light"/>
                <w:b/>
              </w:rPr>
              <w:t>Example</w:t>
            </w:r>
            <w:r w:rsidRPr="000F6CD1">
              <w:rPr>
                <w:rFonts w:eastAsia="Yu Gothic Light"/>
              </w:rPr>
              <w:t>: A client managing at home with informal support but thinking about future needs.</w:t>
            </w:r>
          </w:p>
        </w:tc>
      </w:tr>
    </w:tbl>
    <w:p w14:paraId="1710E9CA" w14:textId="77777777" w:rsidR="004D556D" w:rsidRPr="000F6CD1" w:rsidRDefault="004D556D" w:rsidP="00806A21">
      <w:pPr>
        <w:pStyle w:val="Sub-headings"/>
      </w:pPr>
      <w:r w:rsidRPr="000F6CD1">
        <w:t>Note: The</w:t>
      </w:r>
      <w:r w:rsidRPr="000F6CD1">
        <w:rPr>
          <w:rFonts w:hint="eastAsia"/>
        </w:rPr>
        <w:t> </w:t>
      </w:r>
      <w:r w:rsidRPr="000F6CD1">
        <w:t>urgency rating</w:t>
      </w:r>
      <w:r w:rsidRPr="000F6CD1">
        <w:rPr>
          <w:rFonts w:hint="eastAsia"/>
        </w:rPr>
        <w:t> </w:t>
      </w:r>
      <w:r w:rsidRPr="000F6CD1">
        <w:t>reflects</w:t>
      </w:r>
      <w:r w:rsidRPr="000F6CD1">
        <w:rPr>
          <w:rFonts w:hint="eastAsia"/>
        </w:rPr>
        <w:t> </w:t>
      </w:r>
      <w:r w:rsidRPr="000F6CD1">
        <w:t>how soon</w:t>
      </w:r>
      <w:r w:rsidRPr="000F6CD1">
        <w:rPr>
          <w:rFonts w:hint="eastAsia"/>
        </w:rPr>
        <w:t> </w:t>
      </w:r>
      <w:r w:rsidRPr="000F6CD1">
        <w:t xml:space="preserve">an individual needs residential care to avoid significant risk to their health or safety. This is separate from whether they </w:t>
      </w:r>
      <w:r w:rsidRPr="000F6CD1">
        <w:rPr>
          <w:i/>
        </w:rPr>
        <w:t>require residential care</w:t>
      </w:r>
      <w:r w:rsidRPr="000F6CD1">
        <w:rPr>
          <w:rFonts w:hint="eastAsia"/>
        </w:rPr>
        <w:t> </w:t>
      </w:r>
      <w:r w:rsidRPr="000F6CD1">
        <w:t>or have</w:t>
      </w:r>
      <w:r w:rsidRPr="000F6CD1">
        <w:rPr>
          <w:rFonts w:hint="eastAsia"/>
        </w:rPr>
        <w:t> </w:t>
      </w:r>
      <w:r w:rsidRPr="000F6CD1">
        <w:rPr>
          <w:i/>
        </w:rPr>
        <w:t>high-level care needs</w:t>
      </w:r>
      <w:r w:rsidRPr="000F6CD1">
        <w:rPr>
          <w:rFonts w:hint="eastAsia"/>
        </w:rPr>
        <w:t>—</w:t>
      </w:r>
      <w:r w:rsidRPr="000F6CD1">
        <w:t>it's about the</w:t>
      </w:r>
      <w:r w:rsidRPr="000F6CD1">
        <w:rPr>
          <w:rFonts w:hint="eastAsia"/>
        </w:rPr>
        <w:t> </w:t>
      </w:r>
      <w:r w:rsidRPr="000F6CD1">
        <w:rPr>
          <w:i/>
        </w:rPr>
        <w:t>timing</w:t>
      </w:r>
      <w:r w:rsidRPr="000F6CD1">
        <w:rPr>
          <w:rFonts w:hint="eastAsia"/>
        </w:rPr>
        <w:t> </w:t>
      </w:r>
      <w:r w:rsidRPr="000F6CD1">
        <w:t>of that need.</w:t>
      </w:r>
    </w:p>
    <w:p w14:paraId="4D106E20" w14:textId="35D97E22" w:rsidR="004D556D" w:rsidRPr="000F6CD1" w:rsidRDefault="004D556D" w:rsidP="005B4C39">
      <w:pPr>
        <w:spacing w:before="240" w:after="240" w:line="240" w:lineRule="auto"/>
        <w:rPr>
          <w:rFonts w:eastAsia="Yu Gothic Light"/>
        </w:rPr>
      </w:pPr>
      <w:r w:rsidRPr="000F6CD1">
        <w:rPr>
          <w:rFonts w:eastAsia="Yu Gothic Light"/>
        </w:rPr>
        <w:t>Assessors are expected to select the rating</w:t>
      </w:r>
      <w:r w:rsidRPr="000F6CD1" w:rsidDel="00237440">
        <w:rPr>
          <w:rFonts w:eastAsia="Yu Gothic Light"/>
        </w:rPr>
        <w:t xml:space="preserve"> </w:t>
      </w:r>
      <w:r w:rsidRPr="000F6CD1">
        <w:rPr>
          <w:rFonts w:eastAsia="Yu Gothic Light"/>
        </w:rPr>
        <w:t xml:space="preserve">which balances objective consideration of needs with the subjective perspective of the older person and/or appointed decision maker/s. Assessors should include a brief note in the </w:t>
      </w:r>
      <w:r w:rsidRPr="000F6CD1">
        <w:rPr>
          <w:rFonts w:eastAsia="Yu Gothic Light"/>
          <w:i/>
        </w:rPr>
        <w:t>reason or comments</w:t>
      </w:r>
      <w:r w:rsidRPr="000F6CD1">
        <w:rPr>
          <w:rFonts w:eastAsia="Yu Gothic Light"/>
        </w:rPr>
        <w:t xml:space="preserve"> section explaining key reasons for the rating. See Chapter </w:t>
      </w:r>
      <w:r w:rsidRPr="000F6CD1">
        <w:rPr>
          <w:rFonts w:eastAsia="Yu Gothic Light"/>
        </w:rPr>
        <w:fldChar w:fldCharType="begin"/>
      </w:r>
      <w:r w:rsidRPr="000F6CD1">
        <w:rPr>
          <w:rFonts w:eastAsia="Yu Gothic Light"/>
        </w:rPr>
        <w:instrText xml:space="preserve"> REF _Ref212736248 \w \h </w:instrText>
      </w:r>
      <w:r w:rsidRPr="000F6CD1">
        <w:rPr>
          <w:rFonts w:eastAsia="Yu Gothic Light"/>
        </w:rPr>
      </w:r>
      <w:r w:rsidRPr="000F6CD1">
        <w:rPr>
          <w:rFonts w:eastAsia="Yu Gothic Light"/>
        </w:rPr>
        <w:fldChar w:fldCharType="separate"/>
      </w:r>
      <w:r w:rsidR="004B171E">
        <w:rPr>
          <w:rFonts w:eastAsia="Yu Gothic Light"/>
        </w:rPr>
        <w:t>6</w:t>
      </w:r>
      <w:r w:rsidRPr="000F6CD1">
        <w:rPr>
          <w:rFonts w:eastAsia="Yu Gothic Light"/>
        </w:rPr>
        <w:fldChar w:fldCharType="end"/>
      </w:r>
      <w:r w:rsidRPr="000F6CD1">
        <w:rPr>
          <w:rFonts w:eastAsia="Yu Gothic Light"/>
        </w:rPr>
        <w:t xml:space="preserve"> for more information. </w:t>
      </w:r>
    </w:p>
    <w:p w14:paraId="0A5D8FC7" w14:textId="77777777" w:rsidR="004D556D" w:rsidRPr="000F6CD1" w:rsidRDefault="004D556D" w:rsidP="006647CE">
      <w:pPr>
        <w:pStyle w:val="h2"/>
      </w:pPr>
      <w:bookmarkStart w:id="785" w:name="_Toc209189029"/>
      <w:bookmarkStart w:id="786" w:name="_Toc233282486"/>
      <w:r w:rsidRPr="000F6CD1">
        <w:lastRenderedPageBreak/>
        <w:t>Approving residential respite care</w:t>
      </w:r>
      <w:bookmarkEnd w:id="785"/>
      <w:bookmarkEnd w:id="786"/>
    </w:p>
    <w:p w14:paraId="42618A14" w14:textId="77777777" w:rsidR="004D556D" w:rsidRPr="000F6CD1" w:rsidRDefault="004D556D" w:rsidP="00AD2CE5">
      <w:pPr>
        <w:pStyle w:val="H3"/>
      </w:pPr>
      <w:bookmarkStart w:id="787" w:name="_Toc198787188"/>
      <w:bookmarkStart w:id="788" w:name="_Toc84860350"/>
      <w:bookmarkStart w:id="789" w:name="_Toc199344575"/>
      <w:bookmarkStart w:id="790" w:name="_Toc205372112"/>
      <w:bookmarkStart w:id="791" w:name="_Toc207714023"/>
      <w:r w:rsidRPr="000F6CD1">
        <w:t>Step 1. Decide if the older person requires short-term residential care</w:t>
      </w:r>
      <w:bookmarkEnd w:id="787"/>
      <w:bookmarkEnd w:id="788"/>
      <w:bookmarkEnd w:id="789"/>
      <w:bookmarkEnd w:id="790"/>
      <w:bookmarkEnd w:id="791"/>
    </w:p>
    <w:p w14:paraId="32FAF15D" w14:textId="77777777" w:rsidR="004D556D" w:rsidRPr="000F6CD1" w:rsidRDefault="004D556D" w:rsidP="00622CFF">
      <w:pPr>
        <w:spacing w:before="240" w:after="240" w:line="240" w:lineRule="auto"/>
        <w:rPr>
          <w:rFonts w:eastAsia="Yu Gothic Light"/>
        </w:rPr>
      </w:pPr>
      <w:r w:rsidRPr="000F6CD1">
        <w:rPr>
          <w:rFonts w:eastAsia="Yu Gothic Light"/>
        </w:rPr>
        <w:t>Like permanent (ongoing) residential care, residential respite is delivered through the service group residential care. Access to residential respite requires an access approval for the</w:t>
      </w:r>
      <w:r w:rsidRPr="000F6CD1">
        <w:rPr>
          <w:rFonts w:eastAsia="Yu Gothic Light" w:hint="eastAsia"/>
        </w:rPr>
        <w:t> </w:t>
      </w:r>
      <w:r w:rsidRPr="000F6CD1">
        <w:rPr>
          <w:rFonts w:eastAsia="Yu Gothic Light"/>
        </w:rPr>
        <w:t>short-term</w:t>
      </w:r>
      <w:r w:rsidRPr="000F6CD1">
        <w:rPr>
          <w:rFonts w:eastAsia="Yu Gothic Light" w:hint="eastAsia"/>
        </w:rPr>
        <w:t> </w:t>
      </w:r>
      <w:r w:rsidRPr="000F6CD1">
        <w:rPr>
          <w:rFonts w:eastAsia="Yu Gothic Light"/>
        </w:rPr>
        <w:t xml:space="preserve">classification type. It is provided by registered providers in approved residential care homes. </w:t>
      </w:r>
    </w:p>
    <w:p w14:paraId="600A5D4B" w14:textId="77777777" w:rsidR="004D556D" w:rsidRPr="000F6CD1" w:rsidRDefault="004D556D" w:rsidP="00622CFF">
      <w:pPr>
        <w:spacing w:before="240" w:after="240" w:line="240" w:lineRule="auto"/>
        <w:rPr>
          <w:rFonts w:eastAsia="Yu Gothic Light"/>
        </w:rPr>
      </w:pPr>
      <w:r w:rsidRPr="000F6CD1">
        <w:rPr>
          <w:rFonts w:eastAsia="Yu Gothic Light"/>
        </w:rPr>
        <w:t xml:space="preserve">Before approving a recommendation for residential care, assessment delegates first need to decide if an older person requires and is eligible to access this service group. </w:t>
      </w:r>
    </w:p>
    <w:p w14:paraId="08A9DE4A" w14:textId="77777777" w:rsidR="004D556D" w:rsidRPr="000F6CD1" w:rsidRDefault="004D556D" w:rsidP="00622CFF">
      <w:pPr>
        <w:spacing w:before="240" w:after="240" w:line="240" w:lineRule="auto"/>
        <w:rPr>
          <w:rFonts w:eastAsia="Yu Gothic Light"/>
        </w:rPr>
      </w:pPr>
      <w:r w:rsidRPr="000F6CD1">
        <w:rPr>
          <w:rFonts w:eastAsia="Yu Gothic Light"/>
        </w:rPr>
        <w:t>There is one key point to remember when deciding on access for older non-Aboriginal or Torres Strait Islander people.</w:t>
      </w:r>
      <w:r w:rsidRPr="000F6CD1">
        <w:rPr>
          <w:rFonts w:eastAsia="Yu Gothic Light"/>
          <w:b/>
        </w:rPr>
        <w:t xml:space="preserve"> Section 68 </w:t>
      </w:r>
      <w:r w:rsidRPr="000F6CD1">
        <w:rPr>
          <w:rFonts w:eastAsia="Yu Gothic Light"/>
        </w:rPr>
        <w:t xml:space="preserve">of the </w:t>
      </w:r>
      <w:r w:rsidRPr="00EB1D79">
        <w:rPr>
          <w:rFonts w:eastAsia="Yu Gothic Light"/>
          <w:i/>
          <w:iCs/>
        </w:rPr>
        <w:t>Aged Care Act 2024</w:t>
      </w:r>
      <w:r w:rsidRPr="000F6CD1">
        <w:rPr>
          <w:rFonts w:eastAsia="Yu Gothic Light"/>
        </w:rPr>
        <w:t xml:space="preserve"> (the Act)</w:t>
      </w:r>
      <w:r w:rsidRPr="000F6CD1">
        <w:rPr>
          <w:rFonts w:eastAsia="Yu Gothic Light"/>
          <w:b/>
        </w:rPr>
        <w:t xml:space="preserve"> </w:t>
      </w:r>
      <w:r w:rsidRPr="000F6CD1">
        <w:rPr>
          <w:rFonts w:eastAsia="Yu Gothic Light"/>
        </w:rPr>
        <w:t xml:space="preserve">requires these older people to have a continuing need for funded aged care services (including nursing) because of sickness in order to access the residential care service group. This requirement is also applicable to time-limited approvals including residential respite care. As an Assessment Delegate approving an individual for residential respite care assessment, they need to be satisfied that an older person’s sickness at the time of the assessment means they have a continuing need for residential care including nursing services for a limited period of time. </w:t>
      </w:r>
    </w:p>
    <w:p w14:paraId="77C180C4" w14:textId="77777777" w:rsidR="004D556D" w:rsidRPr="000F6CD1" w:rsidRDefault="004D556D" w:rsidP="00622CFF">
      <w:pPr>
        <w:spacing w:before="240" w:after="240" w:line="240" w:lineRule="auto"/>
        <w:rPr>
          <w:rFonts w:eastAsia="Yu Gothic Light"/>
        </w:rPr>
      </w:pPr>
      <w:r w:rsidRPr="000F6CD1">
        <w:rPr>
          <w:rFonts w:eastAsia="Yu Gothic Light"/>
        </w:rPr>
        <w:t>Residential respite care is provided on a</w:t>
      </w:r>
      <w:r w:rsidRPr="000F6CD1">
        <w:rPr>
          <w:rFonts w:eastAsia="Yu Gothic Light" w:hint="eastAsia"/>
        </w:rPr>
        <w:t> </w:t>
      </w:r>
      <w:r w:rsidRPr="000F6CD1">
        <w:rPr>
          <w:rFonts w:eastAsia="Yu Gothic Light"/>
        </w:rPr>
        <w:t>temporary basis</w:t>
      </w:r>
      <w:r w:rsidRPr="000F6CD1">
        <w:rPr>
          <w:rFonts w:eastAsia="Yu Gothic Light" w:hint="eastAsia"/>
        </w:rPr>
        <w:t> </w:t>
      </w:r>
      <w:r w:rsidRPr="000F6CD1">
        <w:rPr>
          <w:rFonts w:eastAsia="Yu Gothic Light"/>
        </w:rPr>
        <w:t>within an approved residential care home. It is intended to give either the individual or their carer a short-term break from ongoing care responsibilities. Residential respite should only be recommended and accessed when there is a genuine short-term requirement for care. It is important to note that residential respite care is</w:t>
      </w:r>
      <w:r w:rsidRPr="000F6CD1">
        <w:rPr>
          <w:rFonts w:eastAsia="Yu Gothic Light" w:hint="eastAsia"/>
        </w:rPr>
        <w:t> </w:t>
      </w:r>
      <w:r w:rsidRPr="000F6CD1">
        <w:rPr>
          <w:rFonts w:eastAsia="Yu Gothic Light"/>
        </w:rPr>
        <w:t>not</w:t>
      </w:r>
      <w:r w:rsidRPr="000F6CD1">
        <w:rPr>
          <w:rFonts w:eastAsia="Yu Gothic Light" w:hint="eastAsia"/>
          <w:b/>
        </w:rPr>
        <w:t> </w:t>
      </w:r>
      <w:r w:rsidRPr="000F6CD1">
        <w:rPr>
          <w:rFonts w:eastAsia="Yu Gothic Light"/>
        </w:rPr>
        <w:t>a substitute for aged care rehabilitation or restorative care services.</w:t>
      </w:r>
    </w:p>
    <w:p w14:paraId="5575CEC5" w14:textId="77777777" w:rsidR="004D556D" w:rsidRPr="000F6CD1" w:rsidRDefault="004D556D" w:rsidP="00622CFF">
      <w:pPr>
        <w:spacing w:before="240" w:after="240" w:line="240" w:lineRule="auto"/>
        <w:rPr>
          <w:rFonts w:eastAsia="Yu Gothic Light"/>
        </w:rPr>
      </w:pPr>
      <w:r w:rsidRPr="000F6CD1">
        <w:rPr>
          <w:rFonts w:eastAsia="Yu Gothic Light"/>
        </w:rPr>
        <w:t xml:space="preserve">Individuals approved for residential respite care are entitled to up to 63 days per financial year, with a possible 21-day extension under the </w:t>
      </w:r>
      <w:r w:rsidRPr="00BD0F1D">
        <w:rPr>
          <w:rFonts w:eastAsia="Yu Gothic Light"/>
          <w:i/>
          <w:iCs/>
        </w:rPr>
        <w:t>Aged Care Rules 2025</w:t>
      </w:r>
      <w:r w:rsidRPr="000F6CD1">
        <w:rPr>
          <w:rFonts w:eastAsia="Yu Gothic Light"/>
        </w:rPr>
        <w:t>. These respite days do not need to be taken all at once and can be used flexibly throughout the year. Note that these</w:t>
      </w:r>
      <w:r w:rsidRPr="000F6CD1">
        <w:rPr>
          <w:rFonts w:eastAsia="Yu Gothic Light"/>
          <w:b/>
        </w:rPr>
        <w:t xml:space="preserve"> </w:t>
      </w:r>
      <w:r w:rsidRPr="000F6CD1">
        <w:rPr>
          <w:rFonts w:eastAsia="Yu Gothic Light"/>
        </w:rPr>
        <w:t>timeframes do not apply where services are accessed under a specialist aged care program.</w:t>
      </w:r>
    </w:p>
    <w:p w14:paraId="238A473E" w14:textId="77777777" w:rsidR="004D556D" w:rsidRPr="000F6CD1" w:rsidRDefault="004D556D" w:rsidP="00AD2CE5">
      <w:pPr>
        <w:pStyle w:val="H3"/>
      </w:pPr>
      <w:bookmarkStart w:id="792" w:name="_Toc198787189"/>
      <w:bookmarkStart w:id="793" w:name="_Toc384529755"/>
      <w:bookmarkStart w:id="794" w:name="_Toc199344576"/>
      <w:bookmarkStart w:id="795" w:name="_Toc205372113"/>
      <w:bookmarkStart w:id="796" w:name="_Toc207714024"/>
      <w:r w:rsidRPr="000F6CD1">
        <w:t>Step 2. Decide the classification level</w:t>
      </w:r>
      <w:bookmarkEnd w:id="792"/>
      <w:bookmarkEnd w:id="793"/>
      <w:bookmarkEnd w:id="794"/>
      <w:bookmarkEnd w:id="795"/>
      <w:bookmarkEnd w:id="796"/>
    </w:p>
    <w:p w14:paraId="0ADBC9AD" w14:textId="77777777" w:rsidR="004D556D" w:rsidRPr="000F6CD1" w:rsidRDefault="004D556D" w:rsidP="00622CFF">
      <w:pPr>
        <w:pStyle w:val="NoSpacing"/>
        <w:spacing w:before="240" w:after="240" w:line="240" w:lineRule="auto"/>
        <w:rPr>
          <w:szCs w:val="22"/>
        </w:rPr>
      </w:pPr>
      <w:r w:rsidRPr="000F6CD1">
        <w:rPr>
          <w:rFonts w:ascii="Arial" w:hAnsi="Arial" w:cs="Arial"/>
          <w:sz w:val="22"/>
          <w:szCs w:val="22"/>
        </w:rPr>
        <w:t>When recommending an individual for residential respite care, assessors should complete the</w:t>
      </w:r>
      <w:r w:rsidRPr="000F6CD1">
        <w:rPr>
          <w:rFonts w:ascii="Arial" w:hAnsi="Arial" w:cs="Arial" w:hint="eastAsia"/>
          <w:sz w:val="22"/>
          <w:szCs w:val="22"/>
        </w:rPr>
        <w:t> </w:t>
      </w:r>
      <w:r w:rsidRPr="000F6CD1">
        <w:rPr>
          <w:rFonts w:ascii="Arial" w:hAnsi="Arial" w:cs="Arial"/>
          <w:sz w:val="22"/>
          <w:szCs w:val="22"/>
        </w:rPr>
        <w:t xml:space="preserve">De Morton Mobility Index </w:t>
      </w:r>
      <w:r w:rsidRPr="000F6CD1">
        <w:rPr>
          <w:rFonts w:ascii="Arial" w:hAnsi="Arial" w:cs="Arial" w:hint="eastAsia"/>
          <w:sz w:val="22"/>
          <w:szCs w:val="22"/>
        </w:rPr>
        <w:t>–</w:t>
      </w:r>
      <w:r w:rsidRPr="000F6CD1">
        <w:rPr>
          <w:rFonts w:ascii="Arial" w:hAnsi="Arial" w:cs="Arial"/>
          <w:sz w:val="22"/>
          <w:szCs w:val="22"/>
        </w:rPr>
        <w:t xml:space="preserve"> modified (DEMMI-modified)</w:t>
      </w:r>
      <w:r w:rsidRPr="000F6CD1">
        <w:rPr>
          <w:rFonts w:ascii="Arial" w:hAnsi="Arial" w:cs="Arial" w:hint="eastAsia"/>
          <w:sz w:val="22"/>
          <w:szCs w:val="22"/>
        </w:rPr>
        <w:t> </w:t>
      </w:r>
      <w:r w:rsidRPr="000F6CD1">
        <w:rPr>
          <w:rFonts w:ascii="Arial" w:hAnsi="Arial" w:cs="Arial"/>
          <w:sz w:val="22"/>
          <w:szCs w:val="22"/>
        </w:rPr>
        <w:t>assessment. This tool assesses the individual's mobility and determines their eligibility for one of three respite funding classes:</w:t>
      </w:r>
      <w:r w:rsidRPr="000F6CD1">
        <w:rPr>
          <w:rFonts w:ascii="Arial" w:hAnsi="Arial" w:cs="Arial" w:hint="eastAsia"/>
          <w:sz w:val="22"/>
          <w:szCs w:val="22"/>
        </w:rPr>
        <w:t> </w:t>
      </w:r>
      <w:r w:rsidRPr="000F6CD1">
        <w:rPr>
          <w:rFonts w:ascii="Arial" w:hAnsi="Arial" w:cs="Arial"/>
          <w:sz w:val="22"/>
          <w:szCs w:val="22"/>
        </w:rPr>
        <w:t>Respite class 1,</w:t>
      </w:r>
      <w:r w:rsidRPr="000F6CD1">
        <w:rPr>
          <w:rFonts w:ascii="Arial" w:hAnsi="Arial" w:cs="Arial" w:hint="eastAsia"/>
          <w:sz w:val="22"/>
          <w:szCs w:val="22"/>
        </w:rPr>
        <w:t> </w:t>
      </w:r>
      <w:r w:rsidRPr="000F6CD1">
        <w:rPr>
          <w:rFonts w:ascii="Arial" w:hAnsi="Arial" w:cs="Arial"/>
          <w:sz w:val="22"/>
          <w:szCs w:val="22"/>
        </w:rPr>
        <w:t>Respite class 2, Respite class 3, based on the level of mobility observed.</w:t>
      </w:r>
    </w:p>
    <w:p w14:paraId="2CD4B582" w14:textId="1F7B2E99" w:rsidR="004D556D" w:rsidRPr="000F6CD1" w:rsidRDefault="004D556D" w:rsidP="00622CFF">
      <w:pPr>
        <w:spacing w:before="240" w:after="240" w:line="240" w:lineRule="auto"/>
        <w:rPr>
          <w:rFonts w:eastAsia="Yu Gothic Light"/>
        </w:rPr>
      </w:pPr>
      <w:r w:rsidRPr="000F6CD1">
        <w:rPr>
          <w:rFonts w:eastAsia="Yu Gothic Light"/>
        </w:rPr>
        <w:t>The DEMMI-modified assessment is available within the</w:t>
      </w:r>
      <w:r w:rsidRPr="000F6CD1">
        <w:rPr>
          <w:rFonts w:eastAsia="Yu Gothic Light"/>
          <w:b/>
        </w:rPr>
        <w:t xml:space="preserve"> </w:t>
      </w:r>
      <w:r w:rsidR="00667B02" w:rsidRPr="000F6CD1">
        <w:rPr>
          <w:rFonts w:eastAsia="Yu Gothic Light"/>
        </w:rPr>
        <w:t>IAT but</w:t>
      </w:r>
      <w:r w:rsidRPr="000F6CD1">
        <w:rPr>
          <w:rFonts w:eastAsia="Yu Gothic Light"/>
        </w:rPr>
        <w:t xml:space="preserve"> can only be used as part of a</w:t>
      </w:r>
      <w:r w:rsidRPr="000F6CD1">
        <w:rPr>
          <w:rFonts w:eastAsia="Yu Gothic Light" w:hint="eastAsia"/>
        </w:rPr>
        <w:t> </w:t>
      </w:r>
      <w:r w:rsidRPr="000F6CD1">
        <w:rPr>
          <w:rFonts w:eastAsia="Yu Gothic Light"/>
        </w:rPr>
        <w:t>Comprehensive Assessment, as it must be completed by a clinically trained assessor that has completed the DEMMI-modified training.</w:t>
      </w:r>
    </w:p>
    <w:p w14:paraId="774416E3" w14:textId="77777777" w:rsidR="00E768BE" w:rsidRDefault="004D556D" w:rsidP="00622CFF">
      <w:pPr>
        <w:spacing w:before="240" w:after="240" w:line="240" w:lineRule="auto"/>
        <w:rPr>
          <w:rFonts w:eastAsia="Yu Gothic Light"/>
        </w:rPr>
      </w:pPr>
      <w:r w:rsidRPr="000F6CD1">
        <w:rPr>
          <w:rFonts w:eastAsia="Yu Gothic Light"/>
        </w:rPr>
        <w:t>It is a Clinical Assessment Delegate’s responsibility to ensure that the DEMMI-modified has been accurately completed.</w:t>
      </w:r>
    </w:p>
    <w:p w14:paraId="718D82D8" w14:textId="7E3D75D7" w:rsidR="004D556D" w:rsidRPr="000F6CD1" w:rsidRDefault="00E768BE" w:rsidP="00E768BE">
      <w:pPr>
        <w:rPr>
          <w:rFonts w:eastAsia="Yu Gothic Light"/>
        </w:rPr>
      </w:pPr>
      <w:r>
        <w:rPr>
          <w:rFonts w:eastAsia="Yu Gothic Light"/>
        </w:rPr>
        <w:br w:type="page"/>
      </w:r>
    </w:p>
    <w:p w14:paraId="0A2EFA6E" w14:textId="77777777" w:rsidR="004D556D" w:rsidRPr="000F6CD1" w:rsidRDefault="004D556D" w:rsidP="00622CFF">
      <w:pPr>
        <w:spacing w:before="240" w:after="240" w:line="240" w:lineRule="auto"/>
        <w:rPr>
          <w:rFonts w:eastAsia="Yu Gothic Light"/>
        </w:rPr>
      </w:pPr>
      <w:r w:rsidRPr="000F6CD1">
        <w:rPr>
          <w:rFonts w:eastAsia="Yu Gothic Light"/>
        </w:rPr>
        <w:lastRenderedPageBreak/>
        <w:t>If the DEMMI-modified assessment cannot be completed at the time of assessment, the individual will be temporarily assigned a</w:t>
      </w:r>
      <w:r w:rsidRPr="000F6CD1">
        <w:rPr>
          <w:rFonts w:eastAsia="Yu Gothic Light" w:hint="eastAsia"/>
        </w:rPr>
        <w:t> </w:t>
      </w:r>
      <w:r w:rsidRPr="000F6CD1">
        <w:rPr>
          <w:rFonts w:eastAsia="Yu Gothic Light"/>
        </w:rPr>
        <w:t>default funding class (Class 0). This classification remains in place until a formal</w:t>
      </w:r>
      <w:r w:rsidRPr="000F6CD1">
        <w:rPr>
          <w:rFonts w:eastAsia="Yu Gothic Light" w:hint="eastAsia"/>
        </w:rPr>
        <w:t> </w:t>
      </w:r>
      <w:r w:rsidRPr="000F6CD1">
        <w:rPr>
          <w:rFonts w:eastAsia="Yu Gothic Light"/>
        </w:rPr>
        <w:t>Residential Aged Care funding assessment</w:t>
      </w:r>
      <w:r w:rsidRPr="000F6CD1">
        <w:rPr>
          <w:rFonts w:eastAsia="Yu Gothic Light" w:hint="eastAsia"/>
        </w:rPr>
        <w:t> </w:t>
      </w:r>
      <w:r w:rsidRPr="000F6CD1">
        <w:rPr>
          <w:rFonts w:eastAsia="Yu Gothic Light"/>
        </w:rPr>
        <w:t>is carried out within the residential aged care home, at which point the appropriate funding class can be determined based on the individual</w:t>
      </w:r>
      <w:r w:rsidRPr="000F6CD1">
        <w:rPr>
          <w:rFonts w:eastAsia="Yu Gothic Light" w:hint="eastAsia"/>
        </w:rPr>
        <w:t>’</w:t>
      </w:r>
      <w:r w:rsidRPr="000F6CD1">
        <w:rPr>
          <w:rFonts w:eastAsia="Yu Gothic Light"/>
        </w:rPr>
        <w:t>s assessed mobility.</w:t>
      </w:r>
    </w:p>
    <w:p w14:paraId="4749FA18" w14:textId="77777777" w:rsidR="004D556D" w:rsidRPr="000F6CD1" w:rsidRDefault="004D556D" w:rsidP="00AD2CE5">
      <w:pPr>
        <w:pStyle w:val="H3"/>
      </w:pPr>
      <w:bookmarkStart w:id="797" w:name="_Toc207714026"/>
      <w:r w:rsidRPr="000F6CD1">
        <w:t>Extensions for residential respite</w:t>
      </w:r>
      <w:bookmarkEnd w:id="797"/>
    </w:p>
    <w:p w14:paraId="7C0C4408" w14:textId="77777777" w:rsidR="004D556D" w:rsidRPr="000F6CD1" w:rsidRDefault="004D556D" w:rsidP="00622CFF">
      <w:pPr>
        <w:spacing w:before="240" w:after="240" w:line="240" w:lineRule="auto"/>
        <w:rPr>
          <w:rFonts w:eastAsia="Yu Gothic Light"/>
        </w:rPr>
      </w:pPr>
      <w:r w:rsidRPr="000F6CD1">
        <w:rPr>
          <w:rFonts w:eastAsia="Yu Gothic Light"/>
        </w:rPr>
        <w:t>Assessment Delegates may receive requests for a</w:t>
      </w:r>
      <w:r w:rsidRPr="000F6CD1">
        <w:rPr>
          <w:rFonts w:eastAsia="Yu Gothic Light" w:hint="eastAsia"/>
          <w:b/>
        </w:rPr>
        <w:t> </w:t>
      </w:r>
      <w:r w:rsidRPr="000F6CD1">
        <w:rPr>
          <w:rFonts w:eastAsia="Yu Gothic Light"/>
        </w:rPr>
        <w:t>21-day extension</w:t>
      </w:r>
      <w:r w:rsidRPr="000F6CD1">
        <w:rPr>
          <w:rFonts w:eastAsia="Yu Gothic Light" w:hint="eastAsia"/>
        </w:rPr>
        <w:t> </w:t>
      </w:r>
      <w:r w:rsidRPr="000F6CD1">
        <w:rPr>
          <w:rFonts w:eastAsia="Yu Gothic Light"/>
        </w:rPr>
        <w:t>to residential respite care – for example, when a carer is unwell or temporarily unable to resume their care responsibilities. There is no limit to the number of extensions that may be granted beyond the standard 63 days of respite care per financial year​.</w:t>
      </w:r>
    </w:p>
    <w:p w14:paraId="7D9AD486" w14:textId="77777777" w:rsidR="004D556D" w:rsidRPr="000F6CD1" w:rsidRDefault="004D556D" w:rsidP="00622CFF">
      <w:pPr>
        <w:spacing w:before="240" w:after="240" w:line="240" w:lineRule="auto"/>
        <w:rPr>
          <w:rFonts w:eastAsia="Yu Gothic Light"/>
        </w:rPr>
      </w:pPr>
      <w:r w:rsidRPr="000F6CD1">
        <w:rPr>
          <w:rFonts w:eastAsia="Yu Gothic Light"/>
        </w:rPr>
        <w:t>Typically, the residential aged care provider submits the extension request via the</w:t>
      </w:r>
      <w:r w:rsidRPr="000F6CD1">
        <w:rPr>
          <w:rFonts w:eastAsia="Yu Gothic Light" w:hint="eastAsia"/>
        </w:rPr>
        <w:t> </w:t>
      </w:r>
      <w:r w:rsidRPr="000F6CD1">
        <w:rPr>
          <w:rFonts w:eastAsia="Yu Gothic Light"/>
        </w:rPr>
        <w:t>My Aged Care Service and Support Portal, and an assessment organisation receives it through the</w:t>
      </w:r>
      <w:r w:rsidRPr="000F6CD1">
        <w:rPr>
          <w:rFonts w:eastAsia="Yu Gothic Light" w:hint="eastAsia"/>
        </w:rPr>
        <w:t> </w:t>
      </w:r>
      <w:r w:rsidRPr="000F6CD1">
        <w:rPr>
          <w:rFonts w:eastAsia="Yu Gothic Light"/>
        </w:rPr>
        <w:t>Assessor Portal</w:t>
      </w:r>
      <w:r w:rsidRPr="000F6CD1">
        <w:rPr>
          <w:rFonts w:eastAsia="Yu Gothic Light" w:hint="eastAsia"/>
        </w:rPr>
        <w:t> </w:t>
      </w:r>
      <w:r w:rsidRPr="000F6CD1">
        <w:rPr>
          <w:rFonts w:eastAsia="Yu Gothic Light"/>
        </w:rPr>
        <w:t>for an Assessment Delegate’s action​.</w:t>
      </w:r>
    </w:p>
    <w:p w14:paraId="37D80EFE" w14:textId="77777777" w:rsidR="004D556D" w:rsidRPr="000F6CD1" w:rsidRDefault="004D556D" w:rsidP="00622CFF">
      <w:pPr>
        <w:spacing w:before="240" w:after="240" w:line="240" w:lineRule="auto"/>
        <w:rPr>
          <w:rFonts w:eastAsia="Yu Gothic Light"/>
        </w:rPr>
      </w:pPr>
      <w:r w:rsidRPr="000F6CD1">
        <w:rPr>
          <w:rFonts w:eastAsia="Yu Gothic Light"/>
        </w:rPr>
        <w:t xml:space="preserve">It is the responsibility of the assessment delegate to review the request and either approve or decline it. Once a decision is made, the Assessment Delegate must communicate the outcome to the provider. </w:t>
      </w:r>
    </w:p>
    <w:p w14:paraId="76C3F8EB" w14:textId="77777777" w:rsidR="004D556D" w:rsidRPr="000F6CD1" w:rsidRDefault="004D556D" w:rsidP="00622CFF">
      <w:pPr>
        <w:spacing w:before="240" w:after="240" w:line="240" w:lineRule="auto"/>
        <w:rPr>
          <w:rFonts w:eastAsia="Yu Gothic Light"/>
        </w:rPr>
      </w:pPr>
      <w:r w:rsidRPr="000F6CD1">
        <w:rPr>
          <w:rFonts w:eastAsia="Yu Gothic Light"/>
        </w:rPr>
        <w:t>An assessment delegate will need to be satisfied that an increase in the number of respite days was necessary due to any of the following:</w:t>
      </w:r>
    </w:p>
    <w:p w14:paraId="5731369F" w14:textId="77777777" w:rsidR="004D556D" w:rsidRPr="000F6CD1" w:rsidRDefault="004D556D" w:rsidP="00622CFF">
      <w:pPr>
        <w:spacing w:before="240" w:after="240" w:line="240" w:lineRule="auto"/>
        <w:ind w:left="720"/>
        <w:rPr>
          <w:rFonts w:eastAsia="Yu Gothic Light"/>
        </w:rPr>
      </w:pPr>
      <w:r w:rsidRPr="000F6CD1">
        <w:rPr>
          <w:rFonts w:eastAsia="Yu Gothic Light"/>
        </w:rPr>
        <w:t>(a) carer stress</w:t>
      </w:r>
    </w:p>
    <w:p w14:paraId="1609574B" w14:textId="77777777" w:rsidR="004D556D" w:rsidRPr="000F6CD1" w:rsidRDefault="004D556D" w:rsidP="00622CFF">
      <w:pPr>
        <w:spacing w:before="240" w:after="240" w:line="240" w:lineRule="auto"/>
        <w:ind w:left="720"/>
        <w:rPr>
          <w:rFonts w:eastAsia="Yu Gothic Light"/>
        </w:rPr>
      </w:pPr>
      <w:r w:rsidRPr="000F6CD1">
        <w:rPr>
          <w:rFonts w:eastAsia="Yu Gothic Light"/>
        </w:rPr>
        <w:t>(b) severity of the individual</w:t>
      </w:r>
      <w:r w:rsidRPr="000F6CD1">
        <w:rPr>
          <w:rFonts w:eastAsia="Yu Gothic Light" w:hint="eastAsia"/>
        </w:rPr>
        <w:t>’</w:t>
      </w:r>
      <w:r w:rsidRPr="000F6CD1">
        <w:rPr>
          <w:rFonts w:eastAsia="Yu Gothic Light"/>
        </w:rPr>
        <w:t>s condition</w:t>
      </w:r>
    </w:p>
    <w:p w14:paraId="7F669070" w14:textId="77777777" w:rsidR="004D556D" w:rsidRPr="000F6CD1" w:rsidRDefault="004D556D" w:rsidP="00622CFF">
      <w:pPr>
        <w:spacing w:before="240" w:after="240" w:line="240" w:lineRule="auto"/>
        <w:ind w:left="720"/>
        <w:rPr>
          <w:rFonts w:eastAsia="Yu Gothic Light"/>
        </w:rPr>
      </w:pPr>
      <w:r w:rsidRPr="000F6CD1">
        <w:rPr>
          <w:rFonts w:eastAsia="Yu Gothic Light"/>
        </w:rPr>
        <w:t>(c) absence of the individual</w:t>
      </w:r>
      <w:r w:rsidRPr="000F6CD1">
        <w:rPr>
          <w:rFonts w:eastAsia="Yu Gothic Light" w:hint="eastAsia"/>
        </w:rPr>
        <w:t>’</w:t>
      </w:r>
      <w:r w:rsidRPr="000F6CD1">
        <w:rPr>
          <w:rFonts w:eastAsia="Yu Gothic Light"/>
        </w:rPr>
        <w:t>s carer</w:t>
      </w:r>
    </w:p>
    <w:p w14:paraId="1CC021BC" w14:textId="77777777" w:rsidR="004D556D" w:rsidRPr="000F6CD1" w:rsidRDefault="004D556D" w:rsidP="00622CFF">
      <w:pPr>
        <w:spacing w:before="240" w:after="240" w:line="240" w:lineRule="auto"/>
        <w:ind w:left="720"/>
        <w:rPr>
          <w:rFonts w:eastAsia="Yu Gothic Light"/>
        </w:rPr>
      </w:pPr>
      <w:r w:rsidRPr="000F6CD1">
        <w:rPr>
          <w:rFonts w:eastAsia="Yu Gothic Light"/>
        </w:rPr>
        <w:t>(d) any other relevant matter (for example, where a provider delivers an episode of respite care in good faith but subsequently finds out the care recipient</w:t>
      </w:r>
      <w:r w:rsidRPr="000F6CD1">
        <w:rPr>
          <w:rFonts w:eastAsia="Yu Gothic Light" w:hint="eastAsia"/>
        </w:rPr>
        <w:t>’</w:t>
      </w:r>
      <w:r w:rsidRPr="000F6CD1">
        <w:rPr>
          <w:rFonts w:eastAsia="Yu Gothic Light"/>
        </w:rPr>
        <w:t>s allocation of respite days had already been exhausted).</w:t>
      </w:r>
    </w:p>
    <w:p w14:paraId="11DAE551" w14:textId="77777777" w:rsidR="004D556D" w:rsidRPr="000F6CD1" w:rsidRDefault="004D556D" w:rsidP="00622CFF">
      <w:pPr>
        <w:spacing w:before="240" w:after="240" w:line="240" w:lineRule="auto"/>
        <w:rPr>
          <w:rFonts w:eastAsia="Yu Gothic Light"/>
        </w:rPr>
      </w:pPr>
      <w:r w:rsidRPr="000F6CD1">
        <w:rPr>
          <w:rFonts w:eastAsia="Yu Gothic Light"/>
        </w:rPr>
        <w:t>Please note,</w:t>
      </w:r>
      <w:r w:rsidRPr="000F6CD1">
        <w:rPr>
          <w:rFonts w:eastAsia="Yu Gothic Light" w:hint="eastAsia"/>
        </w:rPr>
        <w:t> </w:t>
      </w:r>
      <w:r w:rsidRPr="000F6CD1">
        <w:rPr>
          <w:rFonts w:eastAsia="Yu Gothic Light"/>
        </w:rPr>
        <w:t>there is no right of review if an extension request is declined​.</w:t>
      </w:r>
    </w:p>
    <w:p w14:paraId="159C1ADC" w14:textId="77777777" w:rsidR="004D556D" w:rsidRPr="000F6CD1" w:rsidRDefault="004D556D" w:rsidP="00622CFF">
      <w:pPr>
        <w:spacing w:before="240" w:after="240" w:line="240" w:lineRule="auto"/>
        <w:rPr>
          <w:rFonts w:eastAsia="Yu Gothic Light"/>
        </w:rPr>
      </w:pPr>
      <w:r w:rsidRPr="000F6CD1">
        <w:rPr>
          <w:rFonts w:eastAsia="Yu Gothic Light"/>
        </w:rPr>
        <w:t>Once decided, you must give written notice to the registered provider of your decision whether to extend within 28 days after the application was made. This written notice must include the day the decision takes effect, which may be before the day the decision is made.</w:t>
      </w:r>
    </w:p>
    <w:p w14:paraId="20BF39DF" w14:textId="77777777" w:rsidR="004D556D" w:rsidRPr="000F6CD1" w:rsidRDefault="004D556D" w:rsidP="00622CFF">
      <w:pPr>
        <w:spacing w:before="240" w:after="240" w:line="240" w:lineRule="auto"/>
        <w:rPr>
          <w:rFonts w:eastAsia="Yu Gothic Light"/>
        </w:rPr>
      </w:pPr>
      <w:r w:rsidRPr="000F6CD1">
        <w:rPr>
          <w:rFonts w:eastAsia="Yu Gothic Light"/>
        </w:rPr>
        <w:t>Extensions are granted</w:t>
      </w:r>
      <w:r w:rsidRPr="000F6CD1">
        <w:rPr>
          <w:rFonts w:eastAsia="Yu Gothic Light" w:hint="eastAsia"/>
        </w:rPr>
        <w:t> </w:t>
      </w:r>
      <w:r w:rsidRPr="000F6CD1">
        <w:rPr>
          <w:rFonts w:eastAsia="Yu Gothic Light"/>
        </w:rPr>
        <w:t>only at the previously approved level of care. If a higher level is needed, a reassessment and new approval by you (or another Clinical Assessment Delegate) is required before the extension can be granted​</w:t>
      </w:r>
    </w:p>
    <w:tbl>
      <w:tblPr>
        <w:tblW w:w="0" w:type="auto"/>
        <w:tblLook w:val="04A0" w:firstRow="1" w:lastRow="0" w:firstColumn="1" w:lastColumn="0" w:noHBand="0" w:noVBand="1"/>
      </w:tblPr>
      <w:tblGrid>
        <w:gridCol w:w="921"/>
        <w:gridCol w:w="8105"/>
      </w:tblGrid>
      <w:tr w:rsidR="004D556D" w:rsidRPr="000F6CD1" w14:paraId="31398BA5" w14:textId="77777777">
        <w:trPr>
          <w:trHeight w:val="677"/>
        </w:trPr>
        <w:tc>
          <w:tcPr>
            <w:tcW w:w="921" w:type="dxa"/>
          </w:tcPr>
          <w:p w14:paraId="631BF295" w14:textId="77777777" w:rsidR="004D556D" w:rsidRPr="000F6CD1" w:rsidRDefault="004D556D" w:rsidP="00622CFF">
            <w:pPr>
              <w:spacing w:before="240" w:after="240" w:line="240" w:lineRule="auto"/>
              <w:rPr>
                <w:rFonts w:eastAsia="Yu Gothic Light"/>
              </w:rPr>
            </w:pPr>
            <w:r w:rsidRPr="000F6CD1">
              <w:rPr>
                <w:rFonts w:eastAsia="Yu Gothic Light"/>
                <w:noProof/>
              </w:rPr>
              <w:drawing>
                <wp:inline distT="0" distB="0" distL="0" distR="0" wp14:anchorId="6F1089C7" wp14:editId="65DF5722">
                  <wp:extent cx="447675" cy="445208"/>
                  <wp:effectExtent l="0" t="0" r="0" b="0"/>
                  <wp:docPr id="1558653688" name="Picture 1558653688"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53688" name="Picture 1558653688"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42361E69" w14:textId="77777777" w:rsidR="004D556D" w:rsidRPr="00F75E1A" w:rsidRDefault="004D556D" w:rsidP="00622CFF">
            <w:pPr>
              <w:spacing w:before="240" w:after="240" w:line="240" w:lineRule="auto"/>
              <w:rPr>
                <w:rStyle w:val="Hyperlink"/>
              </w:rPr>
            </w:pPr>
            <w:hyperlink r:id="rId250">
              <w:r w:rsidRPr="00F75E1A" w:rsidDel="00892CAB">
                <w:rPr>
                  <w:rStyle w:val="Hyperlink"/>
                </w:rPr>
                <w:t>Managing residential respite care | Australian Government Department of Health</w:t>
              </w:r>
              <w:r w:rsidRPr="00F75E1A">
                <w:rPr>
                  <w:rStyle w:val="Hyperlink"/>
                </w:rPr>
                <w:t>, Disability and Ageing</w:t>
              </w:r>
            </w:hyperlink>
          </w:p>
        </w:tc>
      </w:tr>
    </w:tbl>
    <w:p w14:paraId="07AF0932" w14:textId="77777777" w:rsidR="004D556D" w:rsidRPr="000F6CD1" w:rsidRDefault="004D556D" w:rsidP="006647CE">
      <w:pPr>
        <w:pStyle w:val="h2"/>
      </w:pPr>
      <w:bookmarkStart w:id="798" w:name="_Toc209189030"/>
      <w:bookmarkStart w:id="799" w:name="_Toc233282487"/>
      <w:r w:rsidRPr="000F6CD1">
        <w:lastRenderedPageBreak/>
        <w:t>Approving transition care</w:t>
      </w:r>
      <w:bookmarkEnd w:id="798"/>
      <w:bookmarkEnd w:id="799"/>
      <w:r w:rsidRPr="000F6CD1">
        <w:t> </w:t>
      </w:r>
    </w:p>
    <w:p w14:paraId="610064E1" w14:textId="77777777" w:rsidR="004D556D" w:rsidRPr="000F6CD1" w:rsidRDefault="004D556D" w:rsidP="00AD2CE5">
      <w:pPr>
        <w:pStyle w:val="H3"/>
      </w:pPr>
      <w:bookmarkStart w:id="800" w:name="_Toc198787193"/>
      <w:bookmarkStart w:id="801" w:name="_Toc2115837324"/>
      <w:bookmarkStart w:id="802" w:name="_Toc199344580"/>
      <w:bookmarkStart w:id="803" w:name="_Toc205372117"/>
      <w:bookmarkStart w:id="804" w:name="_Toc207714028"/>
      <w:bookmarkStart w:id="805" w:name="_Toc198008591"/>
      <w:r w:rsidRPr="000F6CD1">
        <w:t>Step 1. Decide if the older person requires transition care</w:t>
      </w:r>
      <w:bookmarkEnd w:id="800"/>
      <w:bookmarkEnd w:id="801"/>
      <w:bookmarkEnd w:id="802"/>
      <w:bookmarkEnd w:id="803"/>
      <w:bookmarkEnd w:id="804"/>
    </w:p>
    <w:p w14:paraId="672B01E6" w14:textId="77777777" w:rsidR="004D556D" w:rsidRPr="000F6CD1" w:rsidRDefault="004D556D" w:rsidP="00622CFF">
      <w:pPr>
        <w:spacing w:before="240" w:after="240" w:line="240" w:lineRule="auto"/>
        <w:rPr>
          <w:rFonts w:eastAsia="Yu Gothic Light"/>
          <w:b/>
        </w:rPr>
      </w:pPr>
      <w:r w:rsidRPr="000F6CD1">
        <w:rPr>
          <w:rFonts w:eastAsia="Yu Gothic Light"/>
        </w:rPr>
        <w:t>Available following a hospital admission, transition care is delivered under the service groups of home support, assistive technology and residential care</w:t>
      </w:r>
      <w:r w:rsidRPr="000F6CD1">
        <w:rPr>
          <w:rFonts w:eastAsia="Yu Gothic Light"/>
          <w:b/>
        </w:rPr>
        <w:t xml:space="preserve">. </w:t>
      </w:r>
    </w:p>
    <w:bookmarkEnd w:id="805"/>
    <w:p w14:paraId="77F4BF8D" w14:textId="77777777" w:rsidR="004D556D" w:rsidRPr="000F6CD1" w:rsidRDefault="004D556D" w:rsidP="00622CFF">
      <w:pPr>
        <w:spacing w:before="240" w:after="240" w:line="240" w:lineRule="auto"/>
        <w:rPr>
          <w:rFonts w:eastAsia="Yu Gothic Light"/>
        </w:rPr>
      </w:pPr>
      <w:r w:rsidRPr="000F6CD1">
        <w:rPr>
          <w:rFonts w:eastAsia="Yu Gothic Light"/>
        </w:rPr>
        <w:t>The Transition Care Program (TCP) is designed to support individuals in the period immediately after discharge from hospital. It aims to facilitate recovery, improve functional capacity, and provide time and support in a non-hospital environment while long-term care arrangements are being considered. The ‘non-hospital environment’ may be a home or community setting, or a residential care home.</w:t>
      </w:r>
    </w:p>
    <w:p w14:paraId="03656CC0" w14:textId="77777777" w:rsidR="004D556D" w:rsidRPr="000F6CD1" w:rsidRDefault="004D556D">
      <w:pPr>
        <w:pStyle w:val="H4"/>
      </w:pPr>
      <w:bookmarkStart w:id="806" w:name="_Toc198787194"/>
      <w:bookmarkStart w:id="807" w:name="_Toc470799411"/>
      <w:bookmarkStart w:id="808" w:name="_Toc199344581"/>
      <w:bookmarkStart w:id="809" w:name="_Toc205372118"/>
      <w:bookmarkStart w:id="810" w:name="_Toc207714029"/>
      <w:r w:rsidRPr="000F6CD1">
        <w:t>Transition care and the Aged Care Act</w:t>
      </w:r>
      <w:bookmarkEnd w:id="806"/>
      <w:bookmarkEnd w:id="807"/>
      <w:bookmarkEnd w:id="808"/>
      <w:bookmarkEnd w:id="809"/>
      <w:bookmarkEnd w:id="810"/>
      <w:r w:rsidRPr="000F6CD1">
        <w:t xml:space="preserve"> 2024</w:t>
      </w:r>
    </w:p>
    <w:p w14:paraId="6509C436" w14:textId="4E07ABE7" w:rsidR="004D556D" w:rsidRPr="000F6CD1" w:rsidRDefault="004D556D" w:rsidP="00622CFF">
      <w:pPr>
        <w:spacing w:before="240" w:after="240" w:line="240" w:lineRule="auto"/>
        <w:rPr>
          <w:rFonts w:eastAsia="Yu Gothic Light"/>
        </w:rPr>
      </w:pPr>
      <w:r w:rsidRPr="000F6CD1">
        <w:rPr>
          <w:rFonts w:eastAsia="Yu Gothic Light"/>
        </w:rPr>
        <w:t xml:space="preserve">Before approving a recommendation for transition care, Assessment Delegates first need to decide if an older person requires and is eligible to access one of the relevant service groups. </w:t>
      </w:r>
    </w:p>
    <w:p w14:paraId="42B929E1" w14:textId="77777777" w:rsidR="004D556D" w:rsidRPr="000F6CD1" w:rsidRDefault="004D556D" w:rsidP="00622CFF">
      <w:pPr>
        <w:spacing w:before="240" w:after="240" w:line="240" w:lineRule="auto"/>
        <w:rPr>
          <w:rFonts w:eastAsia="Yu Gothic Light"/>
        </w:rPr>
      </w:pPr>
      <w:r w:rsidRPr="000F6CD1">
        <w:rPr>
          <w:rFonts w:eastAsia="Yu Gothic Light"/>
        </w:rPr>
        <w:t xml:space="preserve">Please note section 68 of the </w:t>
      </w:r>
      <w:r w:rsidRPr="00EB1D79">
        <w:rPr>
          <w:rFonts w:eastAsia="Yu Gothic Light"/>
          <w:i/>
          <w:iCs/>
        </w:rPr>
        <w:t>Aged Care Act 2024</w:t>
      </w:r>
      <w:r w:rsidRPr="000F6CD1">
        <w:rPr>
          <w:rFonts w:eastAsia="Yu Gothic Light"/>
        </w:rPr>
        <w:t xml:space="preserve"> (the Act) (relating to ‘people who are sick’) applies to approving transition care in the same way it applies to approving residential respite care. Section 67 of the Act (relating to people who have a disability) also applies to approving people for transition care in the same way as it applies to approving people for home support (under the Support at Home program or CHSP) and assistive technology (under the AT-HM scheme or CHSP).</w:t>
      </w:r>
    </w:p>
    <w:p w14:paraId="5488638B" w14:textId="77777777" w:rsidR="004D556D" w:rsidRPr="000F6CD1" w:rsidRDefault="004D556D" w:rsidP="00622CFF">
      <w:pPr>
        <w:spacing w:before="240" w:after="240" w:line="240" w:lineRule="auto"/>
        <w:rPr>
          <w:rFonts w:eastAsia="Yu Gothic Light"/>
        </w:rPr>
      </w:pPr>
      <w:r w:rsidRPr="000F6CD1">
        <w:rPr>
          <w:rFonts w:eastAsia="Yu Gothic Light"/>
        </w:rPr>
        <w:t>To access hospital transition care, an individual must first undergo an aged care needs assessment following a hospital admission. If it is decided they require and are eligible for hospital transition care, under the Act Assessment Delegates must approve them for:</w:t>
      </w:r>
    </w:p>
    <w:p w14:paraId="0F5FBE4A" w14:textId="77777777" w:rsidR="004D556D" w:rsidRPr="000F6CD1" w:rsidRDefault="004D556D" w:rsidP="00DF3F6B">
      <w:pPr>
        <w:numPr>
          <w:ilvl w:val="0"/>
          <w:numId w:val="160"/>
        </w:numPr>
        <w:spacing w:before="240" w:after="240" w:line="240" w:lineRule="auto"/>
        <w:contextualSpacing/>
        <w:rPr>
          <w:rFonts w:eastAsia="Yu Gothic Light"/>
        </w:rPr>
      </w:pPr>
      <w:r w:rsidRPr="000F6CD1">
        <w:rPr>
          <w:rFonts w:eastAsia="Yu Gothic Light"/>
        </w:rPr>
        <w:t>the classification type hospital transition for all three of the following service groups: home support, assistive technology and residential care</w:t>
      </w:r>
    </w:p>
    <w:p w14:paraId="6713DAD9" w14:textId="77777777" w:rsidR="004D556D" w:rsidRPr="000F6CD1" w:rsidRDefault="004D556D" w:rsidP="00DF3F6B">
      <w:pPr>
        <w:numPr>
          <w:ilvl w:val="0"/>
          <w:numId w:val="160"/>
        </w:numPr>
        <w:spacing w:before="240" w:after="240" w:line="240" w:lineRule="auto"/>
        <w:contextualSpacing/>
        <w:rPr>
          <w:rFonts w:eastAsia="Yu Gothic Light"/>
        </w:rPr>
      </w:pPr>
      <w:r w:rsidRPr="000F6CD1">
        <w:rPr>
          <w:rFonts w:eastAsia="Yu Gothic Light"/>
        </w:rPr>
        <w:t>the service type assistance with transition care under the home support service group</w:t>
      </w:r>
    </w:p>
    <w:p w14:paraId="7FBF98FC" w14:textId="77777777" w:rsidR="004D556D" w:rsidRPr="000F6CD1" w:rsidRDefault="004D556D" w:rsidP="00DF3F6B">
      <w:pPr>
        <w:numPr>
          <w:ilvl w:val="0"/>
          <w:numId w:val="160"/>
        </w:numPr>
        <w:spacing w:before="240" w:after="240" w:line="240" w:lineRule="auto"/>
        <w:contextualSpacing/>
        <w:rPr>
          <w:rFonts w:eastAsia="Yu Gothic Light"/>
        </w:rPr>
      </w:pPr>
      <w:r w:rsidRPr="000F6CD1">
        <w:rPr>
          <w:rFonts w:eastAsia="Yu Gothic Light"/>
        </w:rPr>
        <w:t xml:space="preserve">all service types that can be delivered through the Transition Care Program, as specified in sections 50, 53 and 62 of the </w:t>
      </w:r>
      <w:r w:rsidRPr="00BD0F1D">
        <w:rPr>
          <w:rFonts w:eastAsia="Yu Gothic Light"/>
          <w:i/>
          <w:iCs/>
        </w:rPr>
        <w:t>Aged Care Rules 2025</w:t>
      </w:r>
    </w:p>
    <w:p w14:paraId="745CF9CC" w14:textId="77777777" w:rsidR="004D556D" w:rsidRPr="000F6CD1" w:rsidRDefault="004D556D" w:rsidP="00DF3F6B">
      <w:pPr>
        <w:numPr>
          <w:ilvl w:val="0"/>
          <w:numId w:val="160"/>
        </w:numPr>
        <w:spacing w:before="240" w:after="240" w:line="240" w:lineRule="auto"/>
        <w:contextualSpacing/>
        <w:rPr>
          <w:rFonts w:eastAsia="Yu Gothic Light"/>
        </w:rPr>
      </w:pPr>
      <w:r w:rsidRPr="000F6CD1">
        <w:rPr>
          <w:rFonts w:eastAsia="Yu Gothic Light"/>
        </w:rPr>
        <w:t xml:space="preserve">the corresponding classification level for each of the service groups approved: </w:t>
      </w:r>
      <w:r w:rsidRPr="000F6CD1">
        <w:rPr>
          <w:rFonts w:eastAsia="Yu Gothic Light"/>
          <w:i/>
        </w:rPr>
        <w:t>HS HT class</w:t>
      </w:r>
      <w:r w:rsidRPr="000F6CD1">
        <w:rPr>
          <w:rFonts w:eastAsia="Yu Gothic Light"/>
        </w:rPr>
        <w:t xml:space="preserve"> for home support, </w:t>
      </w:r>
      <w:r w:rsidRPr="000F6CD1">
        <w:rPr>
          <w:rFonts w:eastAsia="Yu Gothic Light"/>
          <w:i/>
        </w:rPr>
        <w:t>AT HT class</w:t>
      </w:r>
      <w:r w:rsidRPr="000F6CD1">
        <w:rPr>
          <w:rFonts w:eastAsia="Yu Gothic Light"/>
        </w:rPr>
        <w:t xml:space="preserve"> for assistive technology and RC HT class for residential care.</w:t>
      </w:r>
    </w:p>
    <w:p w14:paraId="2DE809DC" w14:textId="77777777" w:rsidR="004D556D" w:rsidRPr="000F6CD1" w:rsidRDefault="004D556D" w:rsidP="00F04B65">
      <w:pPr>
        <w:spacing w:before="240" w:after="240" w:line="240" w:lineRule="auto"/>
        <w:ind w:left="720"/>
        <w:contextualSpacing/>
        <w:rPr>
          <w:rFonts w:eastAsia="Yu Gothic Light"/>
        </w:rPr>
      </w:pPr>
    </w:p>
    <w:p w14:paraId="39CF156A" w14:textId="77777777" w:rsidR="00E768BE" w:rsidRDefault="004D556D" w:rsidP="00622CFF">
      <w:pPr>
        <w:spacing w:before="240" w:after="240" w:line="240" w:lineRule="auto"/>
        <w:rPr>
          <w:rFonts w:eastAsia="Yu Gothic Light"/>
        </w:rPr>
      </w:pPr>
      <w:r w:rsidRPr="000F6CD1">
        <w:rPr>
          <w:rFonts w:eastAsia="Yu Gothic Light"/>
        </w:rPr>
        <w:t xml:space="preserve">If the support plan includes a recommendation for TCP, the Notice of Decision template the assessment delegate generates in the Assessor Portal will include wording covering all the required approvals listed above. The table below summarises the service group, classification type and classification level approvals given whenever an older person is approved for transition care through TCP. </w:t>
      </w:r>
    </w:p>
    <w:p w14:paraId="770539A3" w14:textId="10E8F233" w:rsidR="004D556D" w:rsidRPr="000F6CD1" w:rsidRDefault="00E768BE" w:rsidP="00E768BE">
      <w:pPr>
        <w:rPr>
          <w:rFonts w:eastAsia="Yu Gothic Light"/>
        </w:rPr>
      </w:pPr>
      <w:r>
        <w:rPr>
          <w:rFonts w:eastAsia="Yu Gothic Light"/>
        </w:rPr>
        <w:br w:type="page"/>
      </w:r>
    </w:p>
    <w:p w14:paraId="58754AD7" w14:textId="6F6582FE" w:rsidR="004D556D" w:rsidRPr="000F6CD1" w:rsidRDefault="004D556D" w:rsidP="00622CFF">
      <w:pPr>
        <w:pStyle w:val="Caption"/>
        <w:spacing w:before="240" w:after="240"/>
        <w:rPr>
          <w:rFonts w:eastAsia="Yu Gothic Light"/>
        </w:rPr>
      </w:pPr>
      <w:r w:rsidRPr="000F6CD1">
        <w:rPr>
          <w:rFonts w:eastAsia="Yu Gothic Light"/>
        </w:rPr>
        <w:lastRenderedPageBreak/>
        <w:t>Table 5</w:t>
      </w:r>
      <w:r w:rsidR="00316C10">
        <w:rPr>
          <w:rFonts w:eastAsia="Yu Gothic Light"/>
        </w:rPr>
        <w:t>1</w:t>
      </w:r>
      <w:r w:rsidRPr="000F6CD1">
        <w:rPr>
          <w:rFonts w:eastAsia="Yu Gothic Light"/>
        </w:rPr>
        <w:t xml:space="preserve">. Summary of approvals under the Act for hospital transition care </w:t>
      </w:r>
    </w:p>
    <w:tbl>
      <w:tblPr>
        <w:tblW w:w="7358" w:type="dxa"/>
        <w:tblCellMar>
          <w:left w:w="0" w:type="dxa"/>
          <w:right w:w="0" w:type="dxa"/>
        </w:tblCellMar>
        <w:tblLook w:val="0420" w:firstRow="1" w:lastRow="0" w:firstColumn="0" w:lastColumn="0" w:noHBand="0" w:noVBand="1"/>
        <w:tblCaption w:val="Summary of approvals under the Act for hospital transition care"/>
        <w:tblDescription w:val="The table is a summary of approvals under the Act for hospital transition care"/>
      </w:tblPr>
      <w:tblGrid>
        <w:gridCol w:w="2542"/>
        <w:gridCol w:w="2229"/>
        <w:gridCol w:w="2587"/>
      </w:tblGrid>
      <w:tr w:rsidR="004D556D" w:rsidRPr="000F6CD1" w14:paraId="5B24874A" w14:textId="77777777" w:rsidTr="0053236B">
        <w:trPr>
          <w:trHeight w:val="269"/>
        </w:trPr>
        <w:tc>
          <w:tcPr>
            <w:tcW w:w="2542" w:type="dxa"/>
            <w:tcBorders>
              <w:top w:val="single" w:sz="8" w:space="0" w:color="FFFFFF"/>
              <w:left w:val="single" w:sz="8" w:space="0" w:color="FFFFFF"/>
              <w:bottom w:val="single" w:sz="24" w:space="0" w:color="FFFFFF"/>
              <w:right w:val="single" w:sz="8" w:space="0" w:color="FFFFFF"/>
            </w:tcBorders>
            <w:shd w:val="clear" w:color="auto" w:fill="002060"/>
          </w:tcPr>
          <w:p w14:paraId="26C4F0F3" w14:textId="77777777" w:rsidR="004D556D" w:rsidRPr="000F6CD1" w:rsidRDefault="004D556D" w:rsidP="00E76F5F">
            <w:pPr>
              <w:spacing w:before="120" w:after="120" w:line="240" w:lineRule="auto"/>
              <w:rPr>
                <w:rFonts w:eastAsia="Yu Gothic Light"/>
                <w:b/>
                <w:color w:val="FFFFFF"/>
              </w:rPr>
            </w:pPr>
            <w:r w:rsidRPr="000F6CD1">
              <w:rPr>
                <w:rFonts w:eastAsia="Yu Gothic Light"/>
                <w:b/>
                <w:color w:val="FFFFFF"/>
              </w:rPr>
              <w:t>Service group</w:t>
            </w:r>
          </w:p>
        </w:tc>
        <w:tc>
          <w:tcPr>
            <w:tcW w:w="222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6C5C61C2" w14:textId="77777777" w:rsidR="004D556D" w:rsidRPr="000F6CD1" w:rsidRDefault="004D556D" w:rsidP="00E76F5F">
            <w:pPr>
              <w:spacing w:before="120" w:after="120" w:line="240" w:lineRule="auto"/>
              <w:rPr>
                <w:rFonts w:eastAsia="Yu Gothic Light"/>
                <w:b/>
                <w:color w:val="FFFFFF"/>
              </w:rPr>
            </w:pPr>
            <w:r w:rsidRPr="000F6CD1">
              <w:rPr>
                <w:rFonts w:eastAsia="Yu Gothic Light"/>
                <w:b/>
                <w:color w:val="FFFFFF"/>
              </w:rPr>
              <w:t>Classification type</w:t>
            </w:r>
          </w:p>
        </w:tc>
        <w:tc>
          <w:tcPr>
            <w:tcW w:w="2587"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F1F3442" w14:textId="77777777" w:rsidR="004D556D" w:rsidRPr="000F6CD1" w:rsidRDefault="004D556D" w:rsidP="00E76F5F">
            <w:pPr>
              <w:spacing w:before="120" w:after="120" w:line="240" w:lineRule="auto"/>
              <w:rPr>
                <w:rFonts w:eastAsia="Yu Gothic Light"/>
                <w:b/>
                <w:color w:val="FFFFFF"/>
              </w:rPr>
            </w:pPr>
            <w:r w:rsidRPr="000F6CD1">
              <w:rPr>
                <w:rFonts w:eastAsia="Yu Gothic Light"/>
                <w:b/>
                <w:color w:val="FFFFFF"/>
              </w:rPr>
              <w:t>Classification level</w:t>
            </w:r>
            <w:r w:rsidRPr="000F6CD1">
              <w:rPr>
                <w:rFonts w:eastAsia="Yu Gothic Light"/>
                <w:b/>
                <w:color w:val="FFFFFF"/>
              </w:rPr>
              <w:br/>
            </w:r>
          </w:p>
        </w:tc>
      </w:tr>
      <w:tr w:rsidR="004D556D" w:rsidRPr="000F6CD1" w14:paraId="568DB0B4" w14:textId="77777777" w:rsidTr="0053236B">
        <w:trPr>
          <w:trHeight w:val="584"/>
        </w:trPr>
        <w:tc>
          <w:tcPr>
            <w:tcW w:w="2542" w:type="dxa"/>
            <w:tcBorders>
              <w:top w:val="single" w:sz="24" w:space="0" w:color="FFFFFF"/>
              <w:left w:val="single" w:sz="8" w:space="0" w:color="FFFFFF"/>
              <w:bottom w:val="single" w:sz="4" w:space="0" w:color="auto"/>
              <w:right w:val="single" w:sz="8" w:space="0" w:color="FFFFFF"/>
            </w:tcBorders>
            <w:shd w:val="clear" w:color="auto" w:fill="FFFFFF" w:themeFill="background1"/>
          </w:tcPr>
          <w:p w14:paraId="23670E62" w14:textId="77777777" w:rsidR="004D556D" w:rsidRPr="000F6CD1" w:rsidRDefault="004D556D" w:rsidP="00E76F5F">
            <w:pPr>
              <w:spacing w:before="120" w:after="120" w:line="240" w:lineRule="auto"/>
              <w:rPr>
                <w:rFonts w:eastAsia="Yu Gothic Light"/>
                <w:b/>
              </w:rPr>
            </w:pPr>
            <w:r w:rsidRPr="000F6CD1">
              <w:rPr>
                <w:rFonts w:eastAsia="Yu Gothic Light"/>
                <w:b/>
              </w:rPr>
              <w:t>Home Support</w:t>
            </w:r>
          </w:p>
        </w:tc>
        <w:tc>
          <w:tcPr>
            <w:tcW w:w="2229"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439F79AD" w14:textId="77777777" w:rsidR="004D556D" w:rsidRPr="000F6CD1" w:rsidRDefault="004D556D" w:rsidP="00E76F5F">
            <w:pPr>
              <w:spacing w:before="120" w:after="120" w:line="240" w:lineRule="auto"/>
              <w:rPr>
                <w:rFonts w:eastAsia="Yu Gothic Light"/>
                <w:b/>
              </w:rPr>
            </w:pPr>
            <w:r w:rsidRPr="000F6CD1">
              <w:rPr>
                <w:rFonts w:eastAsia="Yu Gothic Light"/>
                <w:b/>
              </w:rPr>
              <w:t>Hospital transition</w:t>
            </w:r>
          </w:p>
        </w:tc>
        <w:tc>
          <w:tcPr>
            <w:tcW w:w="2587" w:type="dxa"/>
            <w:tcBorders>
              <w:top w:val="single" w:sz="24" w:space="0" w:color="FFFFFF"/>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580BC4E7" w14:textId="77777777" w:rsidR="004D556D" w:rsidRPr="000F6CD1" w:rsidRDefault="004D556D" w:rsidP="00E76F5F">
            <w:pPr>
              <w:spacing w:before="120" w:after="120" w:line="240" w:lineRule="auto"/>
              <w:rPr>
                <w:rFonts w:eastAsia="Yu Gothic Light"/>
              </w:rPr>
            </w:pPr>
            <w:r w:rsidRPr="000F6CD1">
              <w:rPr>
                <w:rFonts w:eastAsia="Yu Gothic Light"/>
              </w:rPr>
              <w:t>HS HT class</w:t>
            </w:r>
          </w:p>
        </w:tc>
      </w:tr>
      <w:tr w:rsidR="004D556D" w:rsidRPr="000F6CD1" w14:paraId="08D01C70" w14:textId="77777777" w:rsidTr="0053236B">
        <w:trPr>
          <w:trHeight w:val="584"/>
        </w:trPr>
        <w:tc>
          <w:tcPr>
            <w:tcW w:w="2542" w:type="dxa"/>
            <w:tcBorders>
              <w:top w:val="single" w:sz="4" w:space="0" w:color="auto"/>
              <w:left w:val="single" w:sz="8" w:space="0" w:color="FFFFFF"/>
              <w:bottom w:val="single" w:sz="4" w:space="0" w:color="auto"/>
              <w:right w:val="single" w:sz="8" w:space="0" w:color="FFFFFF"/>
            </w:tcBorders>
            <w:shd w:val="clear" w:color="auto" w:fill="FFFFFF" w:themeFill="background1"/>
          </w:tcPr>
          <w:p w14:paraId="14C0BA9E" w14:textId="77777777" w:rsidR="004D556D" w:rsidRPr="000F6CD1" w:rsidRDefault="004D556D" w:rsidP="00E76F5F">
            <w:pPr>
              <w:spacing w:before="120" w:after="120" w:line="240" w:lineRule="auto"/>
              <w:rPr>
                <w:rFonts w:eastAsia="Yu Gothic Light"/>
                <w:b/>
              </w:rPr>
            </w:pPr>
            <w:r w:rsidRPr="000F6CD1">
              <w:rPr>
                <w:rFonts w:eastAsia="Yu Gothic Light"/>
                <w:b/>
              </w:rPr>
              <w:t>Assistive technology</w:t>
            </w:r>
          </w:p>
        </w:tc>
        <w:tc>
          <w:tcPr>
            <w:tcW w:w="2229"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40C3EEFA" w14:textId="77777777" w:rsidR="004D556D" w:rsidRPr="000F6CD1" w:rsidRDefault="004D556D" w:rsidP="00E76F5F">
            <w:pPr>
              <w:spacing w:before="120" w:after="120" w:line="240" w:lineRule="auto"/>
              <w:rPr>
                <w:rFonts w:eastAsia="Yu Gothic Light"/>
                <w:b/>
              </w:rPr>
            </w:pPr>
            <w:r w:rsidRPr="000F6CD1">
              <w:rPr>
                <w:rFonts w:eastAsia="Yu Gothic Light"/>
                <w:b/>
              </w:rPr>
              <w:t>Hospital transition</w:t>
            </w:r>
          </w:p>
        </w:tc>
        <w:tc>
          <w:tcPr>
            <w:tcW w:w="258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37B3D3C6" w14:textId="77777777" w:rsidR="004D556D" w:rsidRPr="000F6CD1" w:rsidRDefault="004D556D" w:rsidP="00E76F5F">
            <w:pPr>
              <w:spacing w:before="120" w:after="120" w:line="240" w:lineRule="auto"/>
              <w:rPr>
                <w:rFonts w:eastAsia="Yu Gothic Light"/>
              </w:rPr>
            </w:pPr>
            <w:r w:rsidRPr="000F6CD1">
              <w:rPr>
                <w:rFonts w:eastAsia="Yu Gothic Light"/>
              </w:rPr>
              <w:t>AT HT class</w:t>
            </w:r>
          </w:p>
        </w:tc>
      </w:tr>
      <w:tr w:rsidR="004D556D" w:rsidRPr="000F6CD1" w14:paraId="6274B816" w14:textId="77777777" w:rsidTr="0053236B">
        <w:trPr>
          <w:trHeight w:val="475"/>
        </w:trPr>
        <w:tc>
          <w:tcPr>
            <w:tcW w:w="2542" w:type="dxa"/>
            <w:tcBorders>
              <w:top w:val="single" w:sz="4" w:space="0" w:color="auto"/>
              <w:left w:val="single" w:sz="8" w:space="0" w:color="FFFFFF"/>
              <w:right w:val="single" w:sz="8" w:space="0" w:color="FFFFFF"/>
            </w:tcBorders>
            <w:shd w:val="clear" w:color="auto" w:fill="FFFFFF" w:themeFill="background1"/>
          </w:tcPr>
          <w:p w14:paraId="32DFAF6F" w14:textId="77777777" w:rsidR="004D556D" w:rsidRPr="000F6CD1" w:rsidRDefault="004D556D" w:rsidP="00E76F5F">
            <w:pPr>
              <w:spacing w:before="120" w:after="120" w:line="240" w:lineRule="auto"/>
              <w:rPr>
                <w:rFonts w:eastAsia="Yu Gothic Light"/>
                <w:b/>
              </w:rPr>
            </w:pPr>
            <w:r w:rsidRPr="000F6CD1">
              <w:rPr>
                <w:rFonts w:eastAsia="Yu Gothic Light"/>
                <w:b/>
              </w:rPr>
              <w:t>Residential Care</w:t>
            </w:r>
          </w:p>
        </w:tc>
        <w:tc>
          <w:tcPr>
            <w:tcW w:w="2229"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4A59F862" w14:textId="77777777" w:rsidR="004D556D" w:rsidRPr="000F6CD1" w:rsidRDefault="004D556D" w:rsidP="00E76F5F">
            <w:pPr>
              <w:spacing w:before="120" w:after="120" w:line="240" w:lineRule="auto"/>
              <w:rPr>
                <w:rFonts w:eastAsia="Yu Gothic Light"/>
                <w:b/>
              </w:rPr>
            </w:pPr>
            <w:r w:rsidRPr="000F6CD1">
              <w:rPr>
                <w:rFonts w:eastAsia="Yu Gothic Light"/>
                <w:b/>
              </w:rPr>
              <w:t>Hospital transition</w:t>
            </w:r>
          </w:p>
        </w:tc>
        <w:tc>
          <w:tcPr>
            <w:tcW w:w="2587" w:type="dxa"/>
            <w:tcBorders>
              <w:top w:val="single" w:sz="4" w:space="0" w:color="auto"/>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789AB73E" w14:textId="77777777" w:rsidR="004D556D" w:rsidRPr="000F6CD1" w:rsidRDefault="004D556D" w:rsidP="00E76F5F">
            <w:pPr>
              <w:spacing w:before="120" w:after="120" w:line="240" w:lineRule="auto"/>
              <w:rPr>
                <w:rFonts w:eastAsia="Yu Gothic Light"/>
              </w:rPr>
            </w:pPr>
            <w:r w:rsidRPr="000F6CD1">
              <w:rPr>
                <w:rFonts w:eastAsia="Yu Gothic Light"/>
              </w:rPr>
              <w:t>RC HT class</w:t>
            </w:r>
          </w:p>
        </w:tc>
      </w:tr>
    </w:tbl>
    <w:p w14:paraId="32C719DB" w14:textId="77777777" w:rsidR="004D556D" w:rsidRPr="000F6CD1" w:rsidRDefault="004D556D" w:rsidP="0017422B">
      <w:bookmarkStart w:id="811" w:name="_Toc198008592"/>
      <w:bookmarkStart w:id="812" w:name="_Toc198787195"/>
      <w:bookmarkStart w:id="813" w:name="_Toc799868143"/>
      <w:bookmarkStart w:id="814" w:name="_Toc199344582"/>
      <w:bookmarkStart w:id="815" w:name="_Toc205372119"/>
      <w:bookmarkStart w:id="816" w:name="_Toc207714030"/>
    </w:p>
    <w:p w14:paraId="1B37B5AF" w14:textId="77777777" w:rsidR="004D556D" w:rsidRPr="000F6CD1" w:rsidRDefault="004D556D">
      <w:pPr>
        <w:pStyle w:val="H4"/>
      </w:pPr>
      <w:r w:rsidRPr="000F6CD1">
        <w:t>Access to transition care</w:t>
      </w:r>
      <w:bookmarkEnd w:id="811"/>
      <w:bookmarkEnd w:id="812"/>
      <w:bookmarkEnd w:id="813"/>
      <w:bookmarkEnd w:id="814"/>
      <w:bookmarkEnd w:id="815"/>
      <w:bookmarkEnd w:id="816"/>
    </w:p>
    <w:p w14:paraId="4341CD38" w14:textId="77777777" w:rsidR="004D556D" w:rsidRPr="000F6CD1" w:rsidRDefault="004D556D" w:rsidP="00622CFF">
      <w:pPr>
        <w:spacing w:before="240" w:after="240" w:line="240" w:lineRule="auto"/>
        <w:rPr>
          <w:rFonts w:eastAsia="Yu Gothic Light"/>
        </w:rPr>
      </w:pPr>
      <w:r w:rsidRPr="000F6CD1">
        <w:rPr>
          <w:rFonts w:eastAsia="Yu Gothic Light"/>
        </w:rPr>
        <w:t>Transition care is</w:t>
      </w:r>
      <w:r w:rsidRPr="000F6CD1">
        <w:rPr>
          <w:rFonts w:eastAsia="Yu Gothic Light" w:hint="eastAsia"/>
        </w:rPr>
        <w:t> </w:t>
      </w:r>
      <w:r w:rsidRPr="000F6CD1">
        <w:rPr>
          <w:rFonts w:eastAsia="Yu Gothic Light"/>
        </w:rPr>
        <w:t>time-limited, with individuals allocated a</w:t>
      </w:r>
      <w:r w:rsidRPr="000F6CD1">
        <w:rPr>
          <w:rFonts w:eastAsia="Yu Gothic Light" w:hint="eastAsia"/>
        </w:rPr>
        <w:t> </w:t>
      </w:r>
      <w:r w:rsidRPr="000F6CD1">
        <w:rPr>
          <w:rFonts w:eastAsia="Yu Gothic Light"/>
        </w:rPr>
        <w:t>funded period of 12 weeks</w:t>
      </w:r>
      <w:r w:rsidRPr="000F6CD1">
        <w:rPr>
          <w:rFonts w:eastAsia="Yu Gothic Light" w:hint="eastAsia"/>
        </w:rPr>
        <w:t> </w:t>
      </w:r>
      <w:r w:rsidRPr="000F6CD1">
        <w:rPr>
          <w:rFonts w:eastAsia="Yu Gothic Light"/>
        </w:rPr>
        <w:t>to access services under the program. However, if the individual's recovery requires additional time, the service provider can apply for an extension.</w:t>
      </w:r>
    </w:p>
    <w:p w14:paraId="4E6AC498" w14:textId="77777777" w:rsidR="004D556D" w:rsidRPr="000F6CD1" w:rsidRDefault="004D556D" w:rsidP="00622CFF">
      <w:pPr>
        <w:spacing w:before="240" w:after="240" w:line="240" w:lineRule="auto"/>
        <w:rPr>
          <w:rFonts w:eastAsia="Yu Gothic Light"/>
        </w:rPr>
      </w:pPr>
      <w:r w:rsidRPr="000F6CD1">
        <w:rPr>
          <w:rFonts w:eastAsia="Yu Gothic Light"/>
        </w:rPr>
        <w:t xml:space="preserve">The Transition Care Program is defined under the </w:t>
      </w:r>
      <w:r w:rsidRPr="00EB1D79">
        <w:rPr>
          <w:rFonts w:eastAsia="Yu Gothic Light"/>
          <w:bCs/>
          <w:i/>
          <w:iCs/>
        </w:rPr>
        <w:t xml:space="preserve">Aged Care </w:t>
      </w:r>
      <w:r w:rsidRPr="00EB1D79">
        <w:rPr>
          <w:rFonts w:eastAsia="Yu Gothic Light"/>
          <w:i/>
          <w:iCs/>
        </w:rPr>
        <w:t xml:space="preserve">Act </w:t>
      </w:r>
      <w:r w:rsidRPr="00EB1D79">
        <w:rPr>
          <w:rFonts w:eastAsia="Yu Gothic Light"/>
          <w:bCs/>
          <w:i/>
          <w:iCs/>
        </w:rPr>
        <w:t>2024</w:t>
      </w:r>
      <w:r w:rsidRPr="000F6CD1">
        <w:rPr>
          <w:rFonts w:eastAsia="Yu Gothic Light"/>
          <w:bCs/>
        </w:rPr>
        <w:t xml:space="preserve"> </w:t>
      </w:r>
      <w:r w:rsidRPr="000F6CD1">
        <w:rPr>
          <w:rFonts w:eastAsia="Yu Gothic Light"/>
        </w:rPr>
        <w:t>as a specialist aged care program. The number of places available for this care type is determined by the Minister, based on state and territory needs. Only</w:t>
      </w:r>
      <w:r w:rsidRPr="000F6CD1">
        <w:rPr>
          <w:rFonts w:eastAsia="Yu Gothic Light" w:hint="eastAsia"/>
        </w:rPr>
        <w:t> </w:t>
      </w:r>
      <w:r w:rsidRPr="000F6CD1">
        <w:rPr>
          <w:rFonts w:eastAsia="Yu Gothic Light"/>
        </w:rPr>
        <w:t>registered providers</w:t>
      </w:r>
      <w:r w:rsidRPr="000F6CD1">
        <w:rPr>
          <w:rFonts w:eastAsia="Yu Gothic Light" w:hint="eastAsia"/>
        </w:rPr>
        <w:t> </w:t>
      </w:r>
      <w:r w:rsidRPr="000F6CD1">
        <w:rPr>
          <w:rFonts w:eastAsia="Yu Gothic Light"/>
        </w:rPr>
        <w:t>are permitted to deliver hospital transition care using these allocated places.</w:t>
      </w:r>
    </w:p>
    <w:p w14:paraId="7104E098" w14:textId="77777777" w:rsidR="004D556D" w:rsidRPr="000F6CD1" w:rsidRDefault="004D556D" w:rsidP="00622CFF">
      <w:pPr>
        <w:spacing w:before="240" w:after="240" w:line="240" w:lineRule="auto"/>
        <w:rPr>
          <w:rFonts w:eastAsia="Yu Gothic Light"/>
        </w:rPr>
      </w:pPr>
      <w:r w:rsidRPr="000F6CD1">
        <w:rPr>
          <w:rFonts w:eastAsia="Yu Gothic Light"/>
        </w:rPr>
        <w:t>Importantly, to be eligible for the program, the individual must be:</w:t>
      </w:r>
    </w:p>
    <w:p w14:paraId="63291E34" w14:textId="77777777" w:rsidR="004D556D" w:rsidRPr="000F6CD1" w:rsidRDefault="004D556D" w:rsidP="00DF3F6B">
      <w:pPr>
        <w:numPr>
          <w:ilvl w:val="0"/>
          <w:numId w:val="194"/>
        </w:numPr>
        <w:spacing w:before="240" w:after="240" w:line="240" w:lineRule="auto"/>
        <w:contextualSpacing/>
        <w:rPr>
          <w:rFonts w:eastAsia="Yu Gothic Light"/>
        </w:rPr>
      </w:pPr>
      <w:r w:rsidRPr="000F6CD1">
        <w:rPr>
          <w:rFonts w:eastAsia="Yu Gothic Light"/>
        </w:rPr>
        <w:t>medically stable at the time of assessment; and</w:t>
      </w:r>
    </w:p>
    <w:p w14:paraId="3B789BD0" w14:textId="77777777" w:rsidR="004D556D" w:rsidRPr="000F6CD1" w:rsidRDefault="004D556D" w:rsidP="00DF3F6B">
      <w:pPr>
        <w:numPr>
          <w:ilvl w:val="0"/>
          <w:numId w:val="194"/>
        </w:numPr>
        <w:spacing w:before="240" w:after="240" w:line="240" w:lineRule="auto"/>
        <w:contextualSpacing/>
        <w:rPr>
          <w:rFonts w:eastAsia="Yu Gothic Light"/>
        </w:rPr>
      </w:pPr>
      <w:r w:rsidRPr="000F6CD1">
        <w:rPr>
          <w:rFonts w:eastAsia="Yu Gothic Light"/>
        </w:rPr>
        <w:t>is in the concluding stage of a hospital episode; and</w:t>
      </w:r>
    </w:p>
    <w:p w14:paraId="1CFE5C1F" w14:textId="77777777" w:rsidR="004D556D" w:rsidRPr="000F6CD1" w:rsidRDefault="004D556D" w:rsidP="00DF3F6B">
      <w:pPr>
        <w:numPr>
          <w:ilvl w:val="0"/>
          <w:numId w:val="194"/>
        </w:numPr>
        <w:spacing w:before="240" w:after="240" w:line="240" w:lineRule="auto"/>
        <w:contextualSpacing/>
        <w:rPr>
          <w:rFonts w:eastAsia="Yu Gothic Light"/>
        </w:rPr>
      </w:pPr>
      <w:r w:rsidRPr="000F6CD1">
        <w:rPr>
          <w:rFonts w:eastAsia="Yu Gothic Light"/>
        </w:rPr>
        <w:t>has the potential to benefit from accessing services delivered through the relevant service group under the TCP; and</w:t>
      </w:r>
    </w:p>
    <w:p w14:paraId="6520D7C4" w14:textId="77777777" w:rsidR="004D556D" w:rsidRPr="000F6CD1" w:rsidRDefault="004D556D" w:rsidP="00DF3F6B">
      <w:pPr>
        <w:numPr>
          <w:ilvl w:val="0"/>
          <w:numId w:val="194"/>
        </w:numPr>
        <w:spacing w:before="240" w:after="240" w:line="240" w:lineRule="auto"/>
        <w:contextualSpacing/>
        <w:rPr>
          <w:rFonts w:eastAsia="Yu Gothic Light"/>
        </w:rPr>
      </w:pPr>
      <w:r w:rsidRPr="000F6CD1">
        <w:rPr>
          <w:rFonts w:eastAsia="Yu Gothic Light"/>
        </w:rPr>
        <w:t xml:space="preserve">at the time the assessment was carried out, a hospital inpatient. </w:t>
      </w:r>
    </w:p>
    <w:p w14:paraId="3802777C" w14:textId="77777777" w:rsidR="004D556D" w:rsidRPr="000F6CD1" w:rsidRDefault="004D556D" w:rsidP="00622CFF">
      <w:pPr>
        <w:spacing w:before="240" w:after="240" w:line="240" w:lineRule="auto"/>
        <w:rPr>
          <w:rFonts w:eastAsia="Yu Gothic Light"/>
        </w:rPr>
      </w:pPr>
    </w:p>
    <w:p w14:paraId="51AE9E7F" w14:textId="77777777" w:rsidR="004D556D" w:rsidRPr="000F6CD1" w:rsidRDefault="004D556D" w:rsidP="00622CFF">
      <w:pPr>
        <w:spacing w:before="240" w:after="240" w:line="240" w:lineRule="auto"/>
        <w:rPr>
          <w:rFonts w:eastAsia="Yu Gothic Light"/>
        </w:rPr>
      </w:pPr>
      <w:r w:rsidRPr="000F6CD1">
        <w:rPr>
          <w:rFonts w:eastAsia="Yu Gothic Light"/>
        </w:rPr>
        <w:t>It is an assessment delegate’s responsibility to</w:t>
      </w:r>
      <w:r w:rsidRPr="000F6CD1">
        <w:rPr>
          <w:rFonts w:eastAsia="Yu Gothic Light" w:hint="eastAsia"/>
        </w:rPr>
        <w:t> </w:t>
      </w:r>
      <w:r w:rsidRPr="000F6CD1">
        <w:rPr>
          <w:rFonts w:eastAsia="Yu Gothic Light"/>
        </w:rPr>
        <w:t>confirm medical stability</w:t>
      </w:r>
      <w:r w:rsidRPr="000F6CD1">
        <w:rPr>
          <w:rFonts w:eastAsia="Yu Gothic Light" w:hint="eastAsia"/>
        </w:rPr>
        <w:t> </w:t>
      </w:r>
      <w:r w:rsidRPr="000F6CD1">
        <w:rPr>
          <w:rFonts w:eastAsia="Yu Gothic Light"/>
        </w:rPr>
        <w:t>before approving access to the program.</w:t>
      </w:r>
    </w:p>
    <w:p w14:paraId="33034ECC" w14:textId="77777777" w:rsidR="004D556D" w:rsidRPr="000F6CD1" w:rsidRDefault="004D556D" w:rsidP="00622CFF">
      <w:pPr>
        <w:spacing w:before="240" w:after="240" w:line="240" w:lineRule="auto"/>
        <w:rPr>
          <w:rFonts w:eastAsia="Yu Gothic Light"/>
        </w:rPr>
      </w:pPr>
      <w:r w:rsidRPr="000F6CD1">
        <w:rPr>
          <w:rFonts w:eastAsia="Yu Gothic Light"/>
        </w:rPr>
        <w:t>Once an individual is approved for hospital transition care, it is usual practice for hospital discharge staff to</w:t>
      </w:r>
      <w:r w:rsidRPr="000F6CD1">
        <w:rPr>
          <w:rFonts w:eastAsia="Yu Gothic Light" w:hint="eastAsia"/>
        </w:rPr>
        <w:t> </w:t>
      </w:r>
      <w:r w:rsidRPr="000F6CD1">
        <w:rPr>
          <w:rFonts w:eastAsia="Yu Gothic Light"/>
        </w:rPr>
        <w:t>refer them directly to their local Transition Care provider, following delegated approval.</w:t>
      </w:r>
    </w:p>
    <w:p w14:paraId="20F2A7BA" w14:textId="77777777" w:rsidR="004D556D" w:rsidRPr="000F6CD1" w:rsidRDefault="004D556D">
      <w:pPr>
        <w:pStyle w:val="H4"/>
      </w:pPr>
      <w:r w:rsidRPr="000F6CD1">
        <w:t>Accessing residential care/residential respite and transition care</w:t>
      </w:r>
    </w:p>
    <w:p w14:paraId="18194637" w14:textId="77777777" w:rsidR="004D556D" w:rsidRPr="000F6CD1" w:rsidRDefault="004D556D" w:rsidP="00622CFF">
      <w:pPr>
        <w:spacing w:before="240" w:after="240" w:line="240" w:lineRule="auto"/>
        <w:rPr>
          <w:rFonts w:eastAsia="Yu Gothic Light"/>
        </w:rPr>
      </w:pPr>
      <w:r w:rsidRPr="000F6CD1">
        <w:rPr>
          <w:rFonts w:eastAsia="Yu Gothic Light"/>
        </w:rPr>
        <w:t xml:space="preserve">A person in permanent residential care who is receiving Transition Care must take Hospital Transition Leave for the duration of their TCP episode. In addition, they are not eligible to receive services under the Restorative Care Pathway under Support at Home. </w:t>
      </w:r>
    </w:p>
    <w:p w14:paraId="1CA775F0" w14:textId="77777777" w:rsidR="004D556D" w:rsidRPr="000F6CD1" w:rsidRDefault="004D556D" w:rsidP="00622CFF">
      <w:pPr>
        <w:spacing w:before="240" w:after="240" w:line="240" w:lineRule="auto"/>
        <w:rPr>
          <w:rFonts w:eastAsia="Yu Gothic Light"/>
        </w:rPr>
      </w:pPr>
      <w:r w:rsidRPr="000F6CD1">
        <w:rPr>
          <w:rFonts w:eastAsia="Yu Gothic Light"/>
        </w:rPr>
        <w:t xml:space="preserve">An individual receiving Transition Care is unable to access residential respite care while Transition Care is in effect. </w:t>
      </w:r>
    </w:p>
    <w:p w14:paraId="5F643660" w14:textId="77777777" w:rsidR="004D556D" w:rsidRPr="000F6CD1" w:rsidRDefault="004D556D">
      <w:pPr>
        <w:pStyle w:val="H4"/>
      </w:pPr>
      <w:bookmarkStart w:id="817" w:name="_Toc207714032"/>
      <w:r w:rsidRPr="000F6CD1">
        <w:t>Duration of Transition Care</w:t>
      </w:r>
      <w:bookmarkEnd w:id="817"/>
    </w:p>
    <w:p w14:paraId="2286F7F0" w14:textId="77777777" w:rsidR="004D556D" w:rsidRPr="000F6CD1" w:rsidRDefault="004D556D" w:rsidP="00622CFF">
      <w:pPr>
        <w:spacing w:before="240" w:after="240" w:line="240" w:lineRule="auto"/>
        <w:rPr>
          <w:rFonts w:eastAsia="Yu Gothic Light"/>
        </w:rPr>
      </w:pPr>
      <w:r w:rsidRPr="000F6CD1">
        <w:rPr>
          <w:rFonts w:eastAsia="Yu Gothic Light"/>
        </w:rPr>
        <w:t>The standard period for a transition care episode is</w:t>
      </w:r>
      <w:r w:rsidRPr="000F6CD1">
        <w:rPr>
          <w:rFonts w:eastAsia="Yu Gothic Light" w:hint="eastAsia"/>
        </w:rPr>
        <w:t> </w:t>
      </w:r>
      <w:r w:rsidRPr="000F6CD1">
        <w:rPr>
          <w:rFonts w:eastAsia="Yu Gothic Light"/>
        </w:rPr>
        <w:t xml:space="preserve">12 weeks (84 days).​ </w:t>
      </w:r>
    </w:p>
    <w:p w14:paraId="2EE27DB7" w14:textId="77777777" w:rsidR="004D556D" w:rsidRPr="000F6CD1" w:rsidRDefault="004D556D" w:rsidP="00090306">
      <w:pPr>
        <w:spacing w:before="240" w:after="240" w:line="240" w:lineRule="auto"/>
        <w:rPr>
          <w:rFonts w:eastAsia="Yu Gothic Light"/>
        </w:rPr>
      </w:pPr>
      <w:r w:rsidRPr="000F6CD1">
        <w:rPr>
          <w:rFonts w:eastAsia="Yu Gothic Light"/>
        </w:rPr>
        <w:lastRenderedPageBreak/>
        <w:t>This period may be extended by 6 weeks, so the total transition care episode is</w:t>
      </w:r>
      <w:r w:rsidRPr="000F6CD1">
        <w:rPr>
          <w:rFonts w:eastAsia="Yu Gothic Light" w:hint="eastAsia"/>
        </w:rPr>
        <w:t> </w:t>
      </w:r>
      <w:r w:rsidRPr="000F6CD1">
        <w:rPr>
          <w:rFonts w:eastAsia="Yu Gothic Light"/>
        </w:rPr>
        <w:t>18</w:t>
      </w:r>
      <w:r w:rsidRPr="000F6CD1">
        <w:rPr>
          <w:rFonts w:eastAsia="Yu Gothic Light" w:hint="eastAsia"/>
        </w:rPr>
        <w:t> </w:t>
      </w:r>
      <w:r w:rsidRPr="000F6CD1">
        <w:rPr>
          <w:rFonts w:eastAsia="Yu Gothic Light"/>
        </w:rPr>
        <w:t>weeks (126 days)</w:t>
      </w:r>
      <w:r w:rsidRPr="000F6CD1">
        <w:rPr>
          <w:rFonts w:eastAsia="Yu Gothic Light" w:hint="eastAsia"/>
        </w:rPr>
        <w:t> </w:t>
      </w:r>
      <w:r w:rsidRPr="000F6CD1">
        <w:rPr>
          <w:rFonts w:eastAsia="Yu Gothic Light"/>
        </w:rPr>
        <w:t>if the individual makes an application in accordance with the requirements of the Rules and is determined to require access to the services for the additional period.​</w:t>
      </w:r>
    </w:p>
    <w:tbl>
      <w:tblPr>
        <w:tblW w:w="0" w:type="auto"/>
        <w:tblLook w:val="04A0" w:firstRow="1" w:lastRow="0" w:firstColumn="1" w:lastColumn="0" w:noHBand="0" w:noVBand="1"/>
      </w:tblPr>
      <w:tblGrid>
        <w:gridCol w:w="921"/>
        <w:gridCol w:w="8105"/>
      </w:tblGrid>
      <w:tr w:rsidR="004D556D" w:rsidRPr="000F6CD1" w14:paraId="05D49903" w14:textId="77777777">
        <w:trPr>
          <w:trHeight w:val="677"/>
        </w:trPr>
        <w:tc>
          <w:tcPr>
            <w:tcW w:w="921" w:type="dxa"/>
          </w:tcPr>
          <w:p w14:paraId="41FDB2EB" w14:textId="77777777" w:rsidR="004D556D" w:rsidRPr="000F6CD1" w:rsidRDefault="004D556D" w:rsidP="00622CFF">
            <w:pPr>
              <w:spacing w:before="240" w:after="240" w:line="240" w:lineRule="auto"/>
              <w:rPr>
                <w:rFonts w:eastAsia="Yu Gothic Light"/>
              </w:rPr>
            </w:pPr>
            <w:r w:rsidRPr="000F6CD1">
              <w:rPr>
                <w:rFonts w:eastAsia="Yu Gothic Light"/>
                <w:noProof/>
              </w:rPr>
              <w:drawing>
                <wp:inline distT="0" distB="0" distL="0" distR="0" wp14:anchorId="706BA963" wp14:editId="3806EDBB">
                  <wp:extent cx="447675" cy="445208"/>
                  <wp:effectExtent l="0" t="0" r="0" b="0"/>
                  <wp:docPr id="793570798" name="Picture 79357079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70798" name="Picture 793570798"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CC5A841" w14:textId="76E1E488" w:rsidR="004D556D" w:rsidRPr="00F75E1A" w:rsidRDefault="0061050A" w:rsidP="00622CFF">
            <w:pPr>
              <w:spacing w:before="240" w:after="240" w:line="240" w:lineRule="auto"/>
              <w:rPr>
                <w:rStyle w:val="Hyperlink"/>
              </w:rPr>
            </w:pPr>
            <w:hyperlink r:id="rId251">
              <w:r w:rsidRPr="00F75E1A">
                <w:rPr>
                  <w:rStyle w:val="Hyperlink"/>
                </w:rPr>
                <w:t xml:space="preserve">Transition Care Program Guidelines | Australian Government Department of Health and Aged Care </w:t>
              </w:r>
            </w:hyperlink>
          </w:p>
        </w:tc>
      </w:tr>
    </w:tbl>
    <w:p w14:paraId="47FEC1EF" w14:textId="77777777" w:rsidR="004D556D" w:rsidRPr="000F6CD1" w:rsidRDefault="004D556D" w:rsidP="00AD2CE5">
      <w:pPr>
        <w:pStyle w:val="H3"/>
      </w:pPr>
      <w:bookmarkStart w:id="818" w:name="_Toc198787201"/>
      <w:bookmarkStart w:id="819" w:name="_Toc1891430739"/>
      <w:bookmarkStart w:id="820" w:name="_Toc199344588"/>
      <w:bookmarkStart w:id="821" w:name="_Toc205372122"/>
      <w:bookmarkStart w:id="822" w:name="_Toc207714033"/>
      <w:r w:rsidRPr="000F6CD1">
        <w:t>Step 2. Record the decisions</w:t>
      </w:r>
      <w:bookmarkEnd w:id="818"/>
      <w:bookmarkEnd w:id="819"/>
      <w:bookmarkEnd w:id="820"/>
      <w:bookmarkEnd w:id="821"/>
      <w:bookmarkEnd w:id="822"/>
    </w:p>
    <w:p w14:paraId="1362D05C" w14:textId="524623F2" w:rsidR="004D556D" w:rsidRPr="00090306" w:rsidRDefault="004D556D" w:rsidP="00622CFF">
      <w:pPr>
        <w:spacing w:before="240" w:after="240" w:line="240" w:lineRule="auto"/>
        <w:rPr>
          <w:rFonts w:eastAsia="Yu Gothic Light"/>
        </w:rPr>
      </w:pPr>
      <w:r w:rsidRPr="00090306">
        <w:rPr>
          <w:rFonts w:eastAsia="Yu Gothic"/>
        </w:rPr>
        <w:t xml:space="preserve">When recording a decision to approve an individual for transition care, </w:t>
      </w:r>
      <w:r w:rsidRPr="00090306">
        <w:rPr>
          <w:rFonts w:eastAsia="Yu Gothic Light"/>
        </w:rPr>
        <w:t xml:space="preserve">Assessment Delegates </w:t>
      </w:r>
      <w:r w:rsidRPr="00090306">
        <w:rPr>
          <w:rFonts w:eastAsia="Yu Gothic"/>
        </w:rPr>
        <w:t xml:space="preserve">will be required to confirm a priority level for the care type. For transition care approvals, </w:t>
      </w:r>
      <w:r w:rsidRPr="00090306">
        <w:rPr>
          <w:rFonts w:eastAsia="Yu Gothic Light"/>
        </w:rPr>
        <w:t xml:space="preserve">assessment delegates </w:t>
      </w:r>
      <w:r w:rsidRPr="00090306">
        <w:rPr>
          <w:rFonts w:eastAsia="Yu Gothic"/>
        </w:rPr>
        <w:t xml:space="preserve">must ensure a priority level of ‘high’ is assigned to all approvals. </w:t>
      </w:r>
      <w:r w:rsidR="00090306" w:rsidRPr="00090306">
        <w:rPr>
          <w:rFonts w:eastAsia="Yu Gothic"/>
        </w:rPr>
        <w:t>This is a system requirement. Older people will continue to be able to access TCP services immediately and the priority category for TCP will appear in the NoD as n/a.</w:t>
      </w:r>
    </w:p>
    <w:p w14:paraId="50E0076D" w14:textId="77777777" w:rsidR="004D556D" w:rsidRPr="000F6CD1" w:rsidRDefault="004D556D" w:rsidP="006647CE">
      <w:pPr>
        <w:pStyle w:val="h2"/>
      </w:pPr>
      <w:bookmarkStart w:id="823" w:name="_Toc209189031"/>
      <w:bookmarkStart w:id="824" w:name="_Toc233282488"/>
      <w:bookmarkStart w:id="825" w:name="_Toc198787205"/>
      <w:bookmarkStart w:id="826" w:name="_Toc115012714"/>
      <w:bookmarkStart w:id="827" w:name="_Toc199344592"/>
      <w:bookmarkStart w:id="828" w:name="_Toc205372126"/>
      <w:bookmarkStart w:id="829" w:name="_Toc207714038"/>
      <w:r w:rsidRPr="000F6CD1">
        <w:t>Other approvals and considerations</w:t>
      </w:r>
      <w:bookmarkEnd w:id="823"/>
      <w:bookmarkEnd w:id="824"/>
    </w:p>
    <w:p w14:paraId="3D89CEAB" w14:textId="77777777" w:rsidR="004D556D" w:rsidRPr="000F6CD1" w:rsidRDefault="004D556D" w:rsidP="00AD2CE5">
      <w:pPr>
        <w:pStyle w:val="H3"/>
      </w:pPr>
      <w:r w:rsidRPr="000F6CD1">
        <w:t>Alternative entry – giving approval after service commencement</w:t>
      </w:r>
      <w:bookmarkEnd w:id="825"/>
      <w:bookmarkEnd w:id="826"/>
      <w:bookmarkEnd w:id="827"/>
      <w:bookmarkEnd w:id="828"/>
      <w:bookmarkEnd w:id="829"/>
    </w:p>
    <w:p w14:paraId="6ACA4970" w14:textId="1CD19F40" w:rsidR="004D556D" w:rsidRPr="000F6CD1" w:rsidRDefault="004D556D" w:rsidP="00090306">
      <w:pPr>
        <w:spacing w:before="240" w:after="240" w:line="240" w:lineRule="auto"/>
        <w:rPr>
          <w:rFonts w:eastAsia="Aptos"/>
        </w:rPr>
      </w:pPr>
      <w:r w:rsidRPr="000F6CD1">
        <w:rPr>
          <w:rFonts w:eastAsia="Aptos"/>
        </w:rPr>
        <w:t xml:space="preserve">Care, including urgent care, can be approved when assessment wasn’t possible prior to accessing those services. Section 71 outlines that an individual can be approved for services even if an assessment was unable to be conducted prior to accessing those services if the individual applies within the specified period under the </w:t>
      </w:r>
      <w:r w:rsidRPr="00EB1D79">
        <w:rPr>
          <w:rFonts w:eastAsia="Aptos"/>
          <w:i/>
          <w:iCs/>
        </w:rPr>
        <w:t>Aged Care Act 2024</w:t>
      </w:r>
      <w:r w:rsidRPr="000F6CD1">
        <w:rPr>
          <w:rFonts w:eastAsia="Aptos"/>
        </w:rPr>
        <w:t xml:space="preserve"> (the Act) and the System Governor is satisfied that certain circumstances applied to the individual. Further information around this is detailed in </w:t>
      </w:r>
      <w:r w:rsidR="0061050A">
        <w:rPr>
          <w:rFonts w:eastAsia="Aptos"/>
        </w:rPr>
        <w:fldChar w:fldCharType="begin"/>
      </w:r>
      <w:r w:rsidR="0061050A">
        <w:rPr>
          <w:rFonts w:eastAsia="Aptos"/>
        </w:rPr>
        <w:instrText xml:space="preserve"> REF _Ref232690817 \h </w:instrText>
      </w:r>
      <w:r w:rsidR="0061050A">
        <w:rPr>
          <w:rFonts w:eastAsia="Aptos"/>
        </w:rPr>
      </w:r>
      <w:r w:rsidR="0061050A">
        <w:rPr>
          <w:rFonts w:eastAsia="Aptos"/>
        </w:rPr>
        <w:fldChar w:fldCharType="separate"/>
      </w:r>
      <w:r w:rsidR="004B171E" w:rsidRPr="000F6CD1">
        <w:t>Chapter 3: Referral, registration and screening</w:t>
      </w:r>
      <w:r w:rsidR="0061050A">
        <w:rPr>
          <w:rFonts w:eastAsia="Aptos"/>
        </w:rPr>
        <w:fldChar w:fldCharType="end"/>
      </w:r>
      <w:r w:rsidRPr="000F6CD1">
        <w:rPr>
          <w:rFonts w:eastAsia="Aptos"/>
        </w:rPr>
        <w:t>.</w:t>
      </w:r>
    </w:p>
    <w:p w14:paraId="6D704D4A" w14:textId="77777777" w:rsidR="004D556D" w:rsidRPr="000F6CD1" w:rsidRDefault="004D556D" w:rsidP="00622CFF">
      <w:pPr>
        <w:spacing w:before="240" w:after="240" w:line="240" w:lineRule="auto"/>
        <w:rPr>
          <w:rFonts w:eastAsia="Aptos"/>
        </w:rPr>
      </w:pPr>
      <w:r w:rsidRPr="000F6CD1">
        <w:rPr>
          <w:rFonts w:eastAsia="Aptos"/>
        </w:rPr>
        <w:t>If an assessment</w:t>
      </w:r>
      <w:r w:rsidRPr="000F6CD1" w:rsidDel="00532584">
        <w:rPr>
          <w:rFonts w:eastAsia="Aptos"/>
        </w:rPr>
        <w:t xml:space="preserve"> </w:t>
      </w:r>
      <w:r w:rsidRPr="000F6CD1">
        <w:rPr>
          <w:rFonts w:eastAsia="Aptos"/>
        </w:rPr>
        <w:t xml:space="preserve">delegate is satisfied one of the alternative entry circumstances applies to an individual and that the other requirements under section 71 have been met, the </w:t>
      </w:r>
      <w:r w:rsidRPr="000F6CD1">
        <w:rPr>
          <w:rFonts w:eastAsia="Aptos"/>
          <w:iCs/>
        </w:rPr>
        <w:t>Act</w:t>
      </w:r>
      <w:r w:rsidRPr="000F6CD1">
        <w:rPr>
          <w:rFonts w:eastAsia="Aptos"/>
          <w:i/>
        </w:rPr>
        <w:t xml:space="preserve"> </w:t>
      </w:r>
      <w:r w:rsidRPr="000F6CD1">
        <w:rPr>
          <w:rFonts w:eastAsia="Aptos"/>
        </w:rPr>
        <w:t>allows the date of effect of approval to be set to the date care began. The Notice of Decision (approval letter) template includes wording to cover this scenario, to ensure that providers are paid from the beginning of service delivery. Delegates prompted by the system to enter a ‘Delegation date’ for their approval should always enter the actual day they make the decision, not the day when care began.</w:t>
      </w:r>
    </w:p>
    <w:p w14:paraId="0851F69D" w14:textId="77777777" w:rsidR="004D556D" w:rsidRPr="000F6CD1" w:rsidRDefault="004D556D" w:rsidP="00622CFF">
      <w:pPr>
        <w:spacing w:before="240" w:after="240" w:line="240" w:lineRule="auto"/>
        <w:rPr>
          <w:rFonts w:eastAsia="Aptos"/>
        </w:rPr>
      </w:pPr>
      <w:r w:rsidRPr="000F6CD1">
        <w:rPr>
          <w:rFonts w:eastAsia="Aptos"/>
        </w:rPr>
        <w:t>In most cases, individuals who have accessed a service prior to an assessment would have accessed this service through the My Aged Care contact centre urgent services pathway. Other circumstances may be emergency respite care and services provided by National Aboriginal and Torres Strait Islander Flexible Aged Care Program (NATSIFACP) and Multi-Purpose Services Program (MPSP).</w:t>
      </w:r>
    </w:p>
    <w:p w14:paraId="4B6E99B6" w14:textId="77777777" w:rsidR="0092422B" w:rsidRPr="000F6CD1" w:rsidRDefault="004D556D" w:rsidP="006A6454">
      <w:pPr>
        <w:spacing w:before="240" w:after="240" w:line="240" w:lineRule="auto"/>
      </w:pPr>
      <w:r w:rsidRPr="000F6CD1">
        <w:rPr>
          <w:rFonts w:eastAsia="Aptos"/>
        </w:rPr>
        <w:t xml:space="preserve">Services delivered before an assessment may not always </w:t>
      </w:r>
      <w:r w:rsidRPr="000F6CD1">
        <w:rPr>
          <w:rFonts w:eastAsia="Aptos"/>
          <w:bCs/>
        </w:rPr>
        <w:t>be visible in the Notice of Decision (approval letter). Assessment</w:t>
      </w:r>
      <w:r w:rsidRPr="000F6CD1" w:rsidDel="000461E8">
        <w:rPr>
          <w:rFonts w:eastAsia="Aptos"/>
          <w:bCs/>
        </w:rPr>
        <w:t xml:space="preserve"> </w:t>
      </w:r>
      <w:r w:rsidRPr="000F6CD1">
        <w:rPr>
          <w:rFonts w:eastAsia="Aptos"/>
          <w:bCs/>
        </w:rPr>
        <w:t xml:space="preserve">delegates should always check the Support Plan in the Assessor Portal to view these services and be sure that they consider whether or not to approve these services. </w:t>
      </w:r>
      <w:bookmarkStart w:id="830" w:name="_Toc198008601"/>
      <w:bookmarkStart w:id="831" w:name="_Toc198787206"/>
      <w:bookmarkStart w:id="832" w:name="_Toc1904631569"/>
      <w:bookmarkStart w:id="833" w:name="_Toc199344593"/>
      <w:bookmarkStart w:id="834" w:name="_Toc205372127"/>
      <w:bookmarkStart w:id="835" w:name="_Toc207714039"/>
    </w:p>
    <w:p w14:paraId="1ABFAEE6" w14:textId="5BE7BA7C" w:rsidR="004D556D" w:rsidRPr="0092422B" w:rsidRDefault="0092422B" w:rsidP="0092422B">
      <w:pPr>
        <w:rPr>
          <w:rFonts w:eastAsia="Aptos"/>
          <w:bCs/>
        </w:rPr>
      </w:pPr>
      <w:r>
        <w:rPr>
          <w:rFonts w:eastAsia="Aptos"/>
          <w:bCs/>
        </w:rPr>
        <w:br w:type="page"/>
      </w:r>
    </w:p>
    <w:p w14:paraId="6D0BA931" w14:textId="77777777" w:rsidR="004D556D" w:rsidRPr="000F6CD1" w:rsidRDefault="004D556D">
      <w:pPr>
        <w:pStyle w:val="H4"/>
      </w:pPr>
      <w:r w:rsidRPr="000F6CD1">
        <w:lastRenderedPageBreak/>
        <w:t>Application process</w:t>
      </w:r>
      <w:bookmarkEnd w:id="830"/>
      <w:bookmarkEnd w:id="831"/>
      <w:bookmarkEnd w:id="832"/>
      <w:bookmarkEnd w:id="833"/>
      <w:bookmarkEnd w:id="834"/>
      <w:r w:rsidRPr="000F6CD1">
        <w:t xml:space="preserve"> for people who have received aged care services and have not yet applied for an assessment under My Aged Care</w:t>
      </w:r>
      <w:bookmarkEnd w:id="835"/>
    </w:p>
    <w:p w14:paraId="7366A0FA" w14:textId="77777777" w:rsidR="004D556D" w:rsidRPr="000F6CD1" w:rsidRDefault="004D556D" w:rsidP="00622CFF">
      <w:pPr>
        <w:pStyle w:val="H5"/>
        <w:spacing w:before="240" w:after="240" w:line="240" w:lineRule="auto"/>
        <w:rPr>
          <w:rFonts w:eastAsia="Yu Gothic"/>
          <w:b w:val="0"/>
          <w:bCs w:val="0"/>
          <w:szCs w:val="22"/>
        </w:rPr>
      </w:pPr>
      <w:bookmarkStart w:id="836" w:name="_Toc207714040"/>
      <w:r w:rsidRPr="000F6CD1">
        <w:t>NATSIFCAP and MPSP</w:t>
      </w:r>
      <w:bookmarkEnd w:id="836"/>
    </w:p>
    <w:p w14:paraId="433A917A"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Alternative entry pathways are available for individuals who commenced accessing specialist aged care services such as NATSIFACP and MPSP before an approval was given and at the time they were seeking access to services there was a significant delay in the availability of an approved needs assessor to conduct an assessment. </w:t>
      </w:r>
    </w:p>
    <w:p w14:paraId="38EBDC7F" w14:textId="77777777" w:rsidR="004D556D" w:rsidRPr="000F6CD1" w:rsidRDefault="004D556D" w:rsidP="00622CFF">
      <w:pPr>
        <w:spacing w:before="240" w:after="240" w:line="240" w:lineRule="auto"/>
        <w:rPr>
          <w:rFonts w:eastAsia="Aptos"/>
          <w:color w:val="000000"/>
        </w:rPr>
      </w:pPr>
      <w:r w:rsidRPr="000F6CD1">
        <w:rPr>
          <w:rFonts w:eastAsia="Aptos"/>
          <w:color w:val="000000" w:themeColor="text1"/>
        </w:rPr>
        <w:t>An application can be lodged for access to Commonwealth subsidised services under the Act's alternative entry provisions via any of the available application pathways (e.g. My Aged Care Contact Centre, Aged Care Specialist Officers online referral or self-referral through an Assessment Organisation). The service provider may help the client with completing/submitting the application. Unless an extension is granted by the System Governor, applications must be lodged within 30 days</w:t>
      </w:r>
      <w:r w:rsidRPr="000F6CD1">
        <w:rPr>
          <w:rFonts w:eastAsia="Aptos" w:hint="eastAsia"/>
          <w:color w:val="000000" w:themeColor="text1"/>
        </w:rPr>
        <w:t> </w:t>
      </w:r>
      <w:r w:rsidRPr="000F6CD1">
        <w:rPr>
          <w:rFonts w:eastAsia="Aptos"/>
          <w:color w:val="000000" w:themeColor="text1"/>
        </w:rPr>
        <w:t>after the first day</w:t>
      </w:r>
      <w:r w:rsidRPr="000F6CD1">
        <w:rPr>
          <w:rFonts w:eastAsia="Aptos"/>
          <w:b/>
          <w:color w:val="000000" w:themeColor="text1"/>
        </w:rPr>
        <w:t xml:space="preserve"> </w:t>
      </w:r>
      <w:r w:rsidRPr="000F6CD1">
        <w:rPr>
          <w:rFonts w:eastAsia="Aptos"/>
          <w:color w:val="000000" w:themeColor="text1"/>
        </w:rPr>
        <w:t>of care commencing. The application should include the date the individual began receiving care, ensuring appropriate alternate access dates are approved.</w:t>
      </w:r>
      <w:r w:rsidRPr="000F6CD1">
        <w:rPr>
          <w:rFonts w:eastAsia="Aptos" w:hint="eastAsia"/>
          <w:color w:val="000000" w:themeColor="text1"/>
        </w:rPr>
        <w:t> </w:t>
      </w:r>
    </w:p>
    <w:p w14:paraId="4B76D28C" w14:textId="77777777" w:rsidR="004D556D" w:rsidRPr="000F6CD1" w:rsidRDefault="004D556D" w:rsidP="00E76F5F">
      <w:pPr>
        <w:pStyle w:val="H5"/>
        <w:tabs>
          <w:tab w:val="left" w:pos="993"/>
        </w:tabs>
        <w:spacing w:before="240" w:after="240" w:line="240" w:lineRule="auto"/>
        <w:rPr>
          <w:b w:val="0"/>
          <w:bCs w:val="0"/>
        </w:rPr>
      </w:pPr>
      <w:bookmarkStart w:id="837" w:name="_Toc207714041"/>
      <w:r w:rsidRPr="000F6CD1">
        <w:t>Residential care or residential respite care</w:t>
      </w:r>
      <w:bookmarkEnd w:id="837"/>
    </w:p>
    <w:p w14:paraId="2878199B"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Alternative entry pathways are available for individuals who require urgent residential care or residential respite care. To be eligible, at the time they accessed this care, there must have been a significant risk of harm to the individual if those services were not delivered before approval to access funded aged care services was given. </w:t>
      </w:r>
    </w:p>
    <w:p w14:paraId="227B137F"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An application can be lodged for access to residential care or residential respite care under the Act’s alternative entry provisions via any of the available application pathways (e.g. Contact Centre, online referral or self-referral through an Assessment Organisation) or by submitting the </w:t>
      </w:r>
      <w:r w:rsidRPr="000F6CD1">
        <w:rPr>
          <w:rFonts w:eastAsia="Aptos"/>
          <w:i/>
          <w:color w:val="000000"/>
        </w:rPr>
        <w:t xml:space="preserve">Emergency Residential Care - Application for Care </w:t>
      </w:r>
      <w:r w:rsidRPr="000F6CD1">
        <w:rPr>
          <w:rFonts w:eastAsia="Aptos"/>
          <w:color w:val="000000"/>
        </w:rPr>
        <w:t>form (see below). The service provider may help the client with completing/submitting the application. Unless an extension is granted by the System Governor, applications must be lodged within 5 days after the first day of care commencing. The application should include the date the individual began receiving care, ensuring appropriate alternate access dates are approved.</w:t>
      </w:r>
    </w:p>
    <w:p w14:paraId="66A7ADDA" w14:textId="28AFB3AA" w:rsidR="004D556D" w:rsidRPr="000F6CD1" w:rsidRDefault="004D556D" w:rsidP="00622CFF">
      <w:pPr>
        <w:spacing w:before="240" w:after="240" w:line="240" w:lineRule="auto"/>
        <w:rPr>
          <w:rFonts w:eastAsia="Aptos"/>
          <w:b/>
          <w:color w:val="000000"/>
        </w:rPr>
      </w:pPr>
      <w:r w:rsidRPr="000F6CD1">
        <w:rPr>
          <w:rFonts w:eastAsia="Aptos"/>
          <w:color w:val="000000"/>
        </w:rPr>
        <w:t xml:space="preserve">If completing the </w:t>
      </w:r>
      <w:hyperlink r:id="rId252" w:history="1">
        <w:r w:rsidRPr="004B2626">
          <w:rPr>
            <w:rStyle w:val="Hyperlink"/>
            <w:rFonts w:eastAsia="Aptos"/>
            <w:i/>
          </w:rPr>
          <w:t>Emergency Residential Care - Application for Care</w:t>
        </w:r>
      </w:hyperlink>
      <w:r w:rsidRPr="000F6CD1">
        <w:rPr>
          <w:rFonts w:eastAsia="Aptos"/>
          <w:i/>
          <w:color w:val="000000"/>
        </w:rPr>
        <w:t xml:space="preserve"> </w:t>
      </w:r>
      <w:r w:rsidRPr="000F6CD1">
        <w:rPr>
          <w:rFonts w:eastAsia="Aptos"/>
          <w:color w:val="000000"/>
        </w:rPr>
        <w:t>form, the form</w:t>
      </w:r>
      <w:r w:rsidRPr="000F6CD1">
        <w:rPr>
          <w:rFonts w:eastAsia="Aptos"/>
          <w:b/>
          <w:color w:val="000000"/>
        </w:rPr>
        <w:t xml:space="preserve"> </w:t>
      </w:r>
      <w:r w:rsidRPr="000F6CD1">
        <w:rPr>
          <w:rFonts w:eastAsia="Aptos"/>
          <w:bCs/>
          <w:color w:val="000000"/>
        </w:rPr>
        <w:t>must:</w:t>
      </w:r>
    </w:p>
    <w:p w14:paraId="49C55F4F" w14:textId="77777777" w:rsidR="004D556D" w:rsidRPr="000F6CD1" w:rsidRDefault="004D556D" w:rsidP="00DF3F6B">
      <w:pPr>
        <w:numPr>
          <w:ilvl w:val="0"/>
          <w:numId w:val="53"/>
        </w:numPr>
        <w:spacing w:before="240" w:after="240" w:line="240" w:lineRule="auto"/>
        <w:contextualSpacing/>
        <w:rPr>
          <w:rFonts w:eastAsia="Aptos"/>
          <w:bCs/>
          <w:color w:val="000000"/>
        </w:rPr>
      </w:pPr>
      <w:r w:rsidRPr="000F6CD1">
        <w:rPr>
          <w:rFonts w:eastAsia="Aptos"/>
          <w:color w:val="000000"/>
        </w:rPr>
        <w:t xml:space="preserve">have both the </w:t>
      </w:r>
      <w:r w:rsidRPr="000F6CD1">
        <w:rPr>
          <w:rFonts w:eastAsia="Aptos"/>
          <w:bCs/>
          <w:color w:val="000000"/>
        </w:rPr>
        <w:t>Emergency application section and the provider details section of the form completed; and</w:t>
      </w:r>
    </w:p>
    <w:p w14:paraId="33E62EBE" w14:textId="77777777" w:rsidR="004D556D" w:rsidRPr="000F6CD1" w:rsidRDefault="004D556D" w:rsidP="00DF3F6B">
      <w:pPr>
        <w:numPr>
          <w:ilvl w:val="0"/>
          <w:numId w:val="53"/>
        </w:numPr>
        <w:spacing w:before="240" w:after="240" w:line="240" w:lineRule="auto"/>
        <w:contextualSpacing/>
        <w:rPr>
          <w:rFonts w:eastAsia="Aptos"/>
          <w:color w:val="000000"/>
        </w:rPr>
      </w:pPr>
      <w:r w:rsidRPr="000F6CD1">
        <w:rPr>
          <w:rFonts w:eastAsia="Aptos"/>
          <w:bCs/>
          <w:color w:val="000000"/>
        </w:rPr>
        <w:t>The provider may submit the form, including supporting information for referral to their local assessment organisation, within 5 days after the day</w:t>
      </w:r>
      <w:r w:rsidRPr="000F6CD1">
        <w:rPr>
          <w:rFonts w:eastAsia="Aptos"/>
          <w:color w:val="000000"/>
        </w:rPr>
        <w:t xml:space="preserve"> care commenced unless an extension has been granted by the System Governor (on application).</w:t>
      </w:r>
    </w:p>
    <w:p w14:paraId="209C0F15" w14:textId="77777777" w:rsidR="004D556D" w:rsidRPr="000F6CD1" w:rsidRDefault="004D556D" w:rsidP="00622CFF">
      <w:pPr>
        <w:spacing w:before="240" w:after="240" w:line="240" w:lineRule="auto"/>
        <w:ind w:left="720"/>
        <w:contextualSpacing/>
        <w:rPr>
          <w:rFonts w:eastAsia="Aptos"/>
          <w:color w:val="000000"/>
        </w:rPr>
      </w:pPr>
    </w:p>
    <w:p w14:paraId="1DFB6D3A" w14:textId="09708DDB" w:rsidR="004D556D" w:rsidRPr="000F6CD1" w:rsidRDefault="004D556D" w:rsidP="00622CFF">
      <w:pPr>
        <w:spacing w:before="240" w:after="240" w:line="240" w:lineRule="auto"/>
        <w:rPr>
          <w:rFonts w:eastAsia="Aptos"/>
          <w:color w:val="FF0000"/>
        </w:rPr>
      </w:pPr>
      <w:r w:rsidRPr="000F6CD1">
        <w:rPr>
          <w:rFonts w:eastAsia="Aptos"/>
          <w:color w:val="000000"/>
        </w:rPr>
        <w:t xml:space="preserve">If an older person and/or their active, </w:t>
      </w:r>
      <w:r w:rsidRPr="000F6CD1">
        <w:rPr>
          <w:rFonts w:eastAsia="Aptos"/>
        </w:rPr>
        <w:t>active, appointed decision maker recognised under section 28 of the Act is unavailable</w:t>
      </w:r>
      <w:r w:rsidRPr="000F6CD1">
        <w:rPr>
          <w:rFonts w:eastAsia="Aptos"/>
          <w:color w:val="000000"/>
        </w:rPr>
        <w:t xml:space="preserve">, the registered provider may sign the form. </w:t>
      </w:r>
    </w:p>
    <w:p w14:paraId="519A0051" w14:textId="77777777" w:rsidR="004D556D" w:rsidRPr="000F6CD1" w:rsidRDefault="004D556D" w:rsidP="00622CFF">
      <w:pPr>
        <w:spacing w:before="240" w:after="240" w:line="240" w:lineRule="auto"/>
        <w:rPr>
          <w:rFonts w:eastAsia="Aptos"/>
          <w:color w:val="000000"/>
        </w:rPr>
      </w:pPr>
      <w:r w:rsidRPr="000F6CD1">
        <w:rPr>
          <w:rFonts w:eastAsia="Aptos"/>
          <w:color w:val="000000"/>
        </w:rPr>
        <w:t>In urgent cases, the person is already receiving care, but this does not mean they are permanently entering aged care or will remain at the current facility.</w:t>
      </w:r>
    </w:p>
    <w:p w14:paraId="1C0B10C0"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If a provider prefers the older person’s appointed decision maker to sign the form, they may apply for an extension. Under </w:t>
      </w:r>
      <w:r w:rsidRPr="000F6CD1">
        <w:rPr>
          <w:rFonts w:eastAsia="Aptos"/>
          <w:bCs/>
          <w:color w:val="000000"/>
        </w:rPr>
        <w:t>section 71</w:t>
      </w:r>
      <w:r w:rsidRPr="000F6CD1">
        <w:rPr>
          <w:rFonts w:eastAsia="Aptos"/>
          <w:color w:val="000000"/>
        </w:rPr>
        <w:t xml:space="preserve"> of the Act, an extension must be requested if the application cannot be submitted within the required timeframe.</w:t>
      </w:r>
    </w:p>
    <w:p w14:paraId="6F8E49BF" w14:textId="77777777" w:rsidR="004D556D" w:rsidRPr="000F6CD1" w:rsidRDefault="004D556D">
      <w:pPr>
        <w:pStyle w:val="H4"/>
        <w:rPr>
          <w:rFonts w:ascii="Aptos" w:eastAsia="Aptos" w:hAnsi="Aptos"/>
          <w:color w:val="000000"/>
        </w:rPr>
      </w:pPr>
      <w:bookmarkStart w:id="838" w:name="_Toc205372128"/>
      <w:bookmarkStart w:id="839" w:name="_Toc207714042"/>
      <w:r w:rsidRPr="000F6CD1">
        <w:lastRenderedPageBreak/>
        <w:t>Intake and assessment process</w:t>
      </w:r>
      <w:bookmarkEnd w:id="838"/>
      <w:r w:rsidRPr="000F6CD1">
        <w:t xml:space="preserve"> for an Emergency Residential Care – Application for Care</w:t>
      </w:r>
      <w:bookmarkEnd w:id="839"/>
    </w:p>
    <w:p w14:paraId="40B026D6" w14:textId="77777777" w:rsidR="004D556D" w:rsidRPr="000F6CD1" w:rsidRDefault="004D556D" w:rsidP="00622CFF">
      <w:pPr>
        <w:spacing w:before="240" w:after="240" w:line="240" w:lineRule="auto"/>
        <w:rPr>
          <w:rFonts w:eastAsia="Aptos"/>
          <w:color w:val="000000"/>
        </w:rPr>
      </w:pPr>
      <w:r w:rsidRPr="000F6CD1">
        <w:rPr>
          <w:rFonts w:eastAsia="Aptos"/>
          <w:color w:val="000000"/>
        </w:rPr>
        <w:t>When the form is received, the assessment organisation must:</w:t>
      </w:r>
    </w:p>
    <w:p w14:paraId="40CEC2B9"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 xml:space="preserve">Ensure the </w:t>
      </w:r>
      <w:r w:rsidRPr="000F6CD1">
        <w:rPr>
          <w:rFonts w:eastAsia="Aptos"/>
          <w:iCs/>
          <w:color w:val="000000"/>
        </w:rPr>
        <w:t>form</w:t>
      </w:r>
      <w:r w:rsidRPr="000F6CD1">
        <w:rPr>
          <w:rFonts w:eastAsia="Aptos"/>
          <w:i/>
          <w:color w:val="000000"/>
        </w:rPr>
        <w:t xml:space="preserve"> </w:t>
      </w:r>
      <w:r w:rsidRPr="000F6CD1">
        <w:rPr>
          <w:rFonts w:eastAsia="Aptos"/>
          <w:color w:val="000000"/>
        </w:rPr>
        <w:t>is signed by the older person, or their active, appointed decision mak</w:t>
      </w:r>
      <w:r w:rsidRPr="000F6CD1">
        <w:rPr>
          <w:rFonts w:eastAsia="Aptos"/>
        </w:rPr>
        <w:t xml:space="preserve">er recognised under the Act, </w:t>
      </w:r>
      <w:r w:rsidRPr="000F6CD1">
        <w:rPr>
          <w:rFonts w:eastAsia="Aptos"/>
          <w:color w:val="000000"/>
        </w:rPr>
        <w:t xml:space="preserve">and confirm the </w:t>
      </w:r>
      <w:r w:rsidRPr="000F6CD1">
        <w:rPr>
          <w:rFonts w:eastAsia="Aptos"/>
          <w:i/>
          <w:color w:val="000000"/>
        </w:rPr>
        <w:t>emergency case</w:t>
      </w:r>
      <w:r w:rsidRPr="000F6CD1">
        <w:rPr>
          <w:rFonts w:eastAsia="Aptos"/>
          <w:color w:val="000000"/>
        </w:rPr>
        <w:t xml:space="preserve"> section is completed correctly by the registered provider.</w:t>
      </w:r>
    </w:p>
    <w:p w14:paraId="57110B06"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 xml:space="preserve">Confirm the date the form was received. If it was submitted </w:t>
      </w:r>
      <w:r w:rsidRPr="000F6CD1">
        <w:rPr>
          <w:rFonts w:eastAsia="Aptos"/>
          <w:bCs/>
          <w:color w:val="000000"/>
        </w:rPr>
        <w:t>after 5 calendar days</w:t>
      </w:r>
      <w:r w:rsidRPr="000F6CD1">
        <w:rPr>
          <w:rFonts w:eastAsia="Aptos"/>
          <w:color w:val="000000"/>
        </w:rPr>
        <w:t xml:space="preserve"> from the care start date, assessment can only proceed if the provider has been granted an extension by the System Governor, following an application for extension.</w:t>
      </w:r>
    </w:p>
    <w:p w14:paraId="43E0BA86"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Register and self-refer the older person in the My Aged Care Assessor Portal (if required and self-referral criteria are met).</w:t>
      </w:r>
    </w:p>
    <w:p w14:paraId="1F607C40"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 xml:space="preserve">Assign intake priority. Although the person is already in care, the </w:t>
      </w:r>
      <w:r w:rsidRPr="000F6CD1">
        <w:rPr>
          <w:rFonts w:eastAsia="Aptos"/>
          <w:bCs/>
          <w:color w:val="000000"/>
        </w:rPr>
        <w:t>triage</w:t>
      </w:r>
      <w:r w:rsidRPr="000F6CD1" w:rsidDel="008F6BAF">
        <w:rPr>
          <w:rFonts w:eastAsia="Aptos"/>
          <w:color w:val="000000"/>
        </w:rPr>
        <w:t xml:space="preserve"> </w:t>
      </w:r>
      <w:r w:rsidRPr="000F6CD1">
        <w:rPr>
          <w:rFonts w:eastAsia="Aptos"/>
          <w:bCs/>
          <w:color w:val="000000"/>
        </w:rPr>
        <w:t>delegate</w:t>
      </w:r>
      <w:r w:rsidRPr="000F6CD1">
        <w:rPr>
          <w:rFonts w:eastAsia="Aptos"/>
          <w:color w:val="000000"/>
        </w:rPr>
        <w:t xml:space="preserve"> must consider the urgency of the individual’s circumstances. If the person’s condition is rapidly deteriorating, the assessment should be scheduled as soon as possible.</w:t>
      </w:r>
    </w:p>
    <w:p w14:paraId="538B675C"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Upload the verified form to the older person’s record.</w:t>
      </w:r>
    </w:p>
    <w:p w14:paraId="26091289"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rPr>
        <w:t xml:space="preserve">Schedule a </w:t>
      </w:r>
      <w:r w:rsidRPr="000F6CD1">
        <w:rPr>
          <w:rFonts w:eastAsia="Aptos"/>
          <w:bCs/>
          <w:color w:val="000000"/>
        </w:rPr>
        <w:t>comprehensive assessment</w:t>
      </w:r>
      <w:r w:rsidRPr="000F6CD1">
        <w:rPr>
          <w:rFonts w:eastAsia="Aptos"/>
          <w:color w:val="000000"/>
        </w:rPr>
        <w:t xml:space="preserve"> with an assessor. Where possible, this should be face-to-face and collect information to:</w:t>
      </w:r>
      <w:r w:rsidRPr="000F6CD1">
        <w:rPr>
          <w:rFonts w:eastAsia="Yu Gothic Light"/>
        </w:rPr>
        <w:br/>
      </w:r>
      <w:r w:rsidRPr="000F6CD1">
        <w:rPr>
          <w:rFonts w:eastAsia="Aptos"/>
          <w:color w:val="000000"/>
        </w:rPr>
        <w:t xml:space="preserve">  - Determine the older person's required level of care; and</w:t>
      </w:r>
      <w:r w:rsidRPr="000F6CD1">
        <w:rPr>
          <w:rFonts w:eastAsia="Yu Gothic Light"/>
        </w:rPr>
        <w:br/>
      </w:r>
      <w:r w:rsidRPr="000F6CD1">
        <w:rPr>
          <w:rFonts w:eastAsia="Aptos"/>
          <w:color w:val="000000"/>
        </w:rPr>
        <w:t xml:space="preserve">  - Confirm that urgent circumstances existed at entry and that prior approval was not practicable.</w:t>
      </w:r>
    </w:p>
    <w:p w14:paraId="4518CAA4"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color w:val="000000" w:themeColor="text1"/>
        </w:rPr>
        <w:t>Record the Emergency Care start date (for residential care or residential respite) before sending to the assessment delegate.</w:t>
      </w:r>
    </w:p>
    <w:p w14:paraId="6322CA3F" w14:textId="77777777" w:rsidR="004D556D" w:rsidRPr="000F6CD1" w:rsidRDefault="004D556D" w:rsidP="00DF3F6B">
      <w:pPr>
        <w:numPr>
          <w:ilvl w:val="0"/>
          <w:numId w:val="54"/>
        </w:numPr>
        <w:spacing w:before="240" w:after="240" w:line="240" w:lineRule="auto"/>
        <w:contextualSpacing/>
        <w:rPr>
          <w:rFonts w:eastAsia="Aptos"/>
          <w:color w:val="000000"/>
        </w:rPr>
      </w:pPr>
      <w:r w:rsidRPr="000F6CD1">
        <w:rPr>
          <w:rFonts w:eastAsia="Aptos"/>
        </w:rPr>
        <w:t>The assessor must collect as much information as possible about the urgent situation from the older person, their registered supporters (if available, and in line with the older person’s will and preferences), their active, appointed decision maker/s (as relevant), the registered provider, and any other professionals involved at the time of entry.</w:t>
      </w:r>
    </w:p>
    <w:p w14:paraId="48B5B677" w14:textId="77777777" w:rsidR="004D556D" w:rsidRPr="000F6CD1" w:rsidRDefault="004D556D">
      <w:pPr>
        <w:pStyle w:val="H4"/>
        <w:rPr>
          <w:rFonts w:ascii="Aptos" w:eastAsia="Aptos" w:hAnsi="Aptos"/>
          <w:color w:val="000000"/>
        </w:rPr>
      </w:pPr>
      <w:bookmarkStart w:id="840" w:name="_Toc198008603"/>
      <w:bookmarkStart w:id="841" w:name="_Toc198787208"/>
      <w:bookmarkStart w:id="842" w:name="_Toc1519672150"/>
      <w:bookmarkStart w:id="843" w:name="_Toc199344595"/>
      <w:bookmarkStart w:id="844" w:name="_Toc205372129"/>
      <w:bookmarkStart w:id="845" w:name="_Toc207714043"/>
      <w:r w:rsidRPr="000F6CD1">
        <w:t>Making a decision about alternative entry</w:t>
      </w:r>
      <w:bookmarkEnd w:id="840"/>
      <w:bookmarkEnd w:id="841"/>
      <w:bookmarkEnd w:id="842"/>
      <w:bookmarkEnd w:id="843"/>
      <w:bookmarkEnd w:id="844"/>
      <w:bookmarkEnd w:id="845"/>
    </w:p>
    <w:p w14:paraId="7E25DC6D" w14:textId="77777777" w:rsidR="004D556D" w:rsidRPr="000F6CD1" w:rsidRDefault="004D556D" w:rsidP="00622CFF">
      <w:pPr>
        <w:spacing w:before="240" w:after="240" w:line="240" w:lineRule="auto"/>
        <w:rPr>
          <w:rFonts w:eastAsia="Aptos"/>
        </w:rPr>
      </w:pPr>
      <w:r w:rsidRPr="000F6CD1">
        <w:rPr>
          <w:rFonts w:eastAsia="Aptos"/>
          <w:color w:val="000000"/>
        </w:rPr>
        <w:t>Assessment</w:t>
      </w:r>
      <w:r w:rsidRPr="000F6CD1" w:rsidDel="008F6BAF">
        <w:rPr>
          <w:rFonts w:eastAsia="Aptos"/>
          <w:color w:val="000000"/>
        </w:rPr>
        <w:t xml:space="preserve"> </w:t>
      </w:r>
      <w:r w:rsidRPr="000F6CD1">
        <w:rPr>
          <w:rFonts w:eastAsia="Aptos"/>
          <w:color w:val="000000"/>
        </w:rPr>
        <w:t xml:space="preserve">delegates are responsible for determining whether an older person who commenced care before applying for approval can be </w:t>
      </w:r>
      <w:r w:rsidRPr="000F6CD1">
        <w:rPr>
          <w:rFonts w:eastAsia="Aptos"/>
        </w:rPr>
        <w:t xml:space="preserve">approved under alternative entry. To do this, they must ensure that the application process meets all relevant requirements described in this content, including, that the older person is eligible for the type of care being provided, and that the care was urgently needed at the time it began. </w:t>
      </w:r>
      <w:r w:rsidRPr="000F6CD1">
        <w:rPr>
          <w:rFonts w:eastAsia="Yu Gothic Light"/>
        </w:rPr>
        <w:t>Assessment delegates</w:t>
      </w:r>
      <w:r w:rsidRPr="000F6CD1">
        <w:rPr>
          <w:rFonts w:eastAsia="Aptos"/>
        </w:rPr>
        <w:t xml:space="preserve"> must also be satisfied that it was not practicable to obtain approval before the care commenced (see circumstances described above). The decision must be based primarily on the care needs of the older person at the time they entered care.</w:t>
      </w:r>
    </w:p>
    <w:p w14:paraId="0D8642B4" w14:textId="77777777" w:rsidR="004D556D" w:rsidRPr="000F6CD1" w:rsidRDefault="004D556D" w:rsidP="00622CFF">
      <w:pPr>
        <w:spacing w:before="240" w:after="240" w:line="240" w:lineRule="auto"/>
        <w:rPr>
          <w:rFonts w:eastAsia="Aptos"/>
          <w:color w:val="000000"/>
        </w:rPr>
      </w:pPr>
      <w:r w:rsidRPr="000F6CD1">
        <w:rPr>
          <w:rFonts w:eastAsia="Aptos"/>
        </w:rPr>
        <w:t xml:space="preserve">If care is approved under urgent circumstances, an assessor will need </w:t>
      </w:r>
      <w:r w:rsidRPr="000F6CD1">
        <w:rPr>
          <w:rFonts w:eastAsia="Aptos"/>
          <w:color w:val="000000"/>
        </w:rPr>
        <w:t xml:space="preserve">to update the My Aged Care assessor portal. This includes checking the </w:t>
      </w:r>
      <w:r w:rsidRPr="000F6CD1">
        <w:rPr>
          <w:rFonts w:eastAsia="Aptos"/>
          <w:i/>
          <w:color w:val="000000"/>
        </w:rPr>
        <w:t>Emergency Care</w:t>
      </w:r>
      <w:r w:rsidRPr="000F6CD1">
        <w:rPr>
          <w:rFonts w:eastAsia="Aptos"/>
          <w:color w:val="000000"/>
        </w:rPr>
        <w:t xml:space="preserve"> flag and recording the date the older person entered care. Doing so ensures the registered provider receives the appropriate Commonwealth subsidy from the correct start date. An assessor will also send the referral to the provider via the portal, allowing them to access the older person's record and view all relevant approval details.</w:t>
      </w:r>
    </w:p>
    <w:p w14:paraId="72B9A5AA" w14:textId="77777777" w:rsidR="004D556D" w:rsidRPr="000F6CD1" w:rsidRDefault="004D556D" w:rsidP="00622CFF">
      <w:pPr>
        <w:spacing w:before="240" w:after="240" w:line="240" w:lineRule="auto"/>
        <w:rPr>
          <w:rFonts w:eastAsia="Aptos"/>
          <w:color w:val="000000"/>
        </w:rPr>
      </w:pPr>
      <w:r w:rsidRPr="000F6CD1">
        <w:rPr>
          <w:rFonts w:eastAsia="Yu Gothic Light"/>
        </w:rPr>
        <w:t xml:space="preserve">Assessment delegates </w:t>
      </w:r>
      <w:r w:rsidRPr="000F6CD1">
        <w:rPr>
          <w:rFonts w:eastAsia="Aptos"/>
          <w:color w:val="000000"/>
        </w:rPr>
        <w:t>should also be aware that this process applies in cases where the assessment has been completed but the older person passes away before a decision is made.</w:t>
      </w:r>
    </w:p>
    <w:p w14:paraId="269D8EB2" w14:textId="77777777" w:rsidR="0092422B" w:rsidRDefault="004D556D" w:rsidP="00622CFF">
      <w:pPr>
        <w:spacing w:before="240" w:after="240" w:line="240" w:lineRule="auto"/>
        <w:rPr>
          <w:rFonts w:eastAsia="Aptos"/>
          <w:color w:val="000000"/>
        </w:rPr>
      </w:pPr>
      <w:r w:rsidRPr="000F6CD1">
        <w:rPr>
          <w:rFonts w:eastAsia="Aptos"/>
          <w:color w:val="000000"/>
        </w:rPr>
        <w:t>Not all circumstances qualify as urgent. Situations such as a bed becoming available in a residential aged care facility, or a transfer from an acute care setting to another care environment, do not meet the criteria for urgent admission.</w:t>
      </w:r>
    </w:p>
    <w:p w14:paraId="57156663" w14:textId="0577FEC3" w:rsidR="004D556D" w:rsidRPr="000F6CD1" w:rsidRDefault="004D556D" w:rsidP="00622CFF">
      <w:pPr>
        <w:spacing w:before="240" w:after="240" w:line="240" w:lineRule="auto"/>
        <w:rPr>
          <w:rFonts w:eastAsia="Aptos"/>
          <w:color w:val="000000"/>
        </w:rPr>
      </w:pPr>
      <w:r w:rsidRPr="000F6CD1">
        <w:rPr>
          <w:rFonts w:eastAsia="Aptos"/>
          <w:color w:val="000000"/>
        </w:rPr>
        <w:lastRenderedPageBreak/>
        <w:t xml:space="preserve">If an </w:t>
      </w:r>
      <w:r w:rsidRPr="000F6CD1">
        <w:rPr>
          <w:rFonts w:eastAsia="Yu Gothic Light"/>
        </w:rPr>
        <w:t>assessment delegate</w:t>
      </w:r>
      <w:r w:rsidRPr="000F6CD1">
        <w:rPr>
          <w:rFonts w:eastAsia="Aptos"/>
          <w:color w:val="000000"/>
        </w:rPr>
        <w:t xml:space="preserve"> determines that the older person did not urgently require care at the time of entry, but they are otherwise eligible, the application can still be approved, however the date of effect will be the date you make the decision.</w:t>
      </w:r>
    </w:p>
    <w:p w14:paraId="6B05D913" w14:textId="77777777" w:rsidR="004D556D" w:rsidRPr="000F6CD1" w:rsidRDefault="004D556D" w:rsidP="00622CFF">
      <w:pPr>
        <w:spacing w:before="240" w:after="240" w:line="240" w:lineRule="auto"/>
        <w:rPr>
          <w:rFonts w:eastAsia="Aptos"/>
          <w:i/>
        </w:rPr>
      </w:pPr>
      <w:r w:rsidRPr="000F6CD1">
        <w:rPr>
          <w:rFonts w:eastAsia="Aptos"/>
        </w:rPr>
        <w:t xml:space="preserve">The decision about whether to approve alternative entry dates for an older person is a </w:t>
      </w:r>
      <w:r w:rsidRPr="000F6CD1">
        <w:rPr>
          <w:rFonts w:eastAsia="Aptos"/>
          <w:b/>
        </w:rPr>
        <w:t>reviewable decision</w:t>
      </w:r>
      <w:r w:rsidRPr="000F6CD1">
        <w:rPr>
          <w:rFonts w:eastAsia="Aptos"/>
        </w:rPr>
        <w:t xml:space="preserve"> under section 557 of the </w:t>
      </w:r>
      <w:r w:rsidRPr="000F6CD1">
        <w:rPr>
          <w:rFonts w:eastAsia="Aptos"/>
          <w:i/>
        </w:rPr>
        <w:t>Aged Care Act 2024.</w:t>
      </w:r>
    </w:p>
    <w:p w14:paraId="5A65AA6F" w14:textId="3529B0A3" w:rsidR="004D556D" w:rsidRPr="000F6CD1" w:rsidRDefault="004D556D" w:rsidP="00622CFF">
      <w:pPr>
        <w:spacing w:before="240" w:after="240" w:line="240" w:lineRule="auto"/>
        <w:rPr>
          <w:rFonts w:eastAsia="Aptos"/>
        </w:rPr>
      </w:pPr>
      <w:r w:rsidRPr="000F6CD1">
        <w:rPr>
          <w:rFonts w:eastAsia="Aptos"/>
          <w:bCs/>
        </w:rPr>
        <w:t xml:space="preserve">Assessment delegates are required to record their justification for approving under alternative entry so that there is clear evidence of a person meeting one of the requirements under section 71. </w:t>
      </w:r>
    </w:p>
    <w:p w14:paraId="094839F9" w14:textId="77777777" w:rsidR="004D556D" w:rsidRPr="000F6CD1" w:rsidRDefault="004D556D">
      <w:pPr>
        <w:pStyle w:val="H4"/>
        <w:rPr>
          <w:rFonts w:ascii="Aptos" w:eastAsia="Aptos" w:hAnsi="Aptos"/>
          <w:i w:val="0"/>
          <w:color w:val="000000"/>
        </w:rPr>
      </w:pPr>
      <w:bookmarkStart w:id="846" w:name="_Toc198008604"/>
      <w:bookmarkStart w:id="847" w:name="_Toc198787209"/>
      <w:bookmarkStart w:id="848" w:name="_Toc1020817185"/>
      <w:bookmarkStart w:id="849" w:name="_Toc199344596"/>
      <w:bookmarkStart w:id="850" w:name="_Toc205372130"/>
      <w:bookmarkStart w:id="851" w:name="_Toc207714044"/>
      <w:r w:rsidRPr="000F6CD1">
        <w:t>Extensions</w:t>
      </w:r>
      <w:bookmarkEnd w:id="846"/>
      <w:bookmarkEnd w:id="847"/>
      <w:bookmarkEnd w:id="848"/>
      <w:bookmarkEnd w:id="849"/>
      <w:bookmarkEnd w:id="850"/>
      <w:bookmarkEnd w:id="851"/>
    </w:p>
    <w:p w14:paraId="32E4AA2C" w14:textId="6CB57812" w:rsidR="004D556D" w:rsidRPr="000F6CD1" w:rsidRDefault="004D556D" w:rsidP="00622CFF">
      <w:pPr>
        <w:spacing w:before="240" w:after="240" w:line="240" w:lineRule="auto"/>
        <w:rPr>
          <w:rFonts w:eastAsia="Aptos"/>
          <w:color w:val="000000"/>
        </w:rPr>
      </w:pPr>
      <w:r w:rsidRPr="000F6CD1">
        <w:rPr>
          <w:rFonts w:eastAsia="Aptos"/>
          <w:color w:val="000000"/>
        </w:rPr>
        <w:t xml:space="preserve">While it is best practice for providers to submit the </w:t>
      </w:r>
      <w:hyperlink r:id="rId253" w:history="1">
        <w:r w:rsidRPr="004B2626">
          <w:rPr>
            <w:rStyle w:val="Hyperlink"/>
            <w:rFonts w:eastAsia="Aptos"/>
            <w:i/>
            <w:iCs/>
          </w:rPr>
          <w:t xml:space="preserve">Emergency Residential Care - </w:t>
        </w:r>
        <w:r w:rsidRPr="004B2626">
          <w:rPr>
            <w:rStyle w:val="Hyperlink"/>
            <w:rFonts w:eastAsia="Aptos"/>
            <w:i/>
          </w:rPr>
          <w:t>Application for Care</w:t>
        </w:r>
      </w:hyperlink>
      <w:r w:rsidRPr="000F6CD1">
        <w:rPr>
          <w:rFonts w:eastAsia="Aptos"/>
          <w:color w:val="000000"/>
        </w:rPr>
        <w:t xml:space="preserve"> form</w:t>
      </w:r>
      <w:r w:rsidRPr="000F6CD1">
        <w:rPr>
          <w:rFonts w:eastAsia="Aptos" w:hint="eastAsia"/>
          <w:color w:val="000000"/>
        </w:rPr>
        <w:t>—</w:t>
      </w:r>
      <w:r w:rsidRPr="000F6CD1">
        <w:rPr>
          <w:rFonts w:eastAsia="Aptos"/>
          <w:color w:val="000000"/>
        </w:rPr>
        <w:t>complete with the emergency case section</w:t>
      </w:r>
      <w:r w:rsidRPr="000F6CD1">
        <w:rPr>
          <w:rFonts w:eastAsia="Aptos" w:hint="eastAsia"/>
          <w:color w:val="000000"/>
        </w:rPr>
        <w:t>—</w:t>
      </w:r>
      <w:r w:rsidRPr="000F6CD1">
        <w:rPr>
          <w:rFonts w:eastAsia="Aptos"/>
          <w:color w:val="000000"/>
        </w:rPr>
        <w:t xml:space="preserve">within the required timeframes of the older person entering care, the </w:t>
      </w:r>
      <w:r w:rsidRPr="00EB1D79">
        <w:rPr>
          <w:rFonts w:eastAsia="Aptos"/>
          <w:i/>
          <w:iCs/>
          <w:color w:val="000000"/>
        </w:rPr>
        <w:t>Aged Care Act 2024</w:t>
      </w:r>
      <w:r w:rsidRPr="000F6CD1">
        <w:rPr>
          <w:rFonts w:eastAsia="Aptos"/>
          <w:color w:val="000000"/>
        </w:rPr>
        <w:t xml:space="preserve"> allows an application for an </w:t>
      </w:r>
      <w:r w:rsidRPr="000F6CD1">
        <w:rPr>
          <w:rFonts w:eastAsia="Aptos"/>
          <w:bCs/>
          <w:color w:val="000000"/>
        </w:rPr>
        <w:t>extension of time</w:t>
      </w:r>
      <w:r w:rsidRPr="000F6CD1">
        <w:rPr>
          <w:rFonts w:eastAsia="Aptos"/>
          <w:color w:val="000000"/>
        </w:rPr>
        <w:t xml:space="preserve"> under </w:t>
      </w:r>
      <w:r w:rsidRPr="000F6CD1">
        <w:rPr>
          <w:rFonts w:eastAsia="Aptos"/>
          <w:bCs/>
          <w:color w:val="000000"/>
        </w:rPr>
        <w:t>section 71</w:t>
      </w:r>
      <w:r w:rsidRPr="000F6CD1">
        <w:rPr>
          <w:rFonts w:eastAsia="Aptos"/>
          <w:color w:val="000000"/>
        </w:rPr>
        <w:t xml:space="preserve"> if this is not possible.</w:t>
      </w:r>
    </w:p>
    <w:p w14:paraId="096133FA" w14:textId="534AD737" w:rsidR="004D556D" w:rsidRPr="000F6CD1" w:rsidRDefault="004D556D" w:rsidP="00622CFF">
      <w:pPr>
        <w:spacing w:before="240" w:after="240" w:line="240" w:lineRule="auto"/>
        <w:rPr>
          <w:rFonts w:eastAsia="Aptos"/>
          <w:color w:val="000000"/>
        </w:rPr>
      </w:pPr>
      <w:r w:rsidRPr="000F6CD1">
        <w:rPr>
          <w:rFonts w:eastAsia="Aptos"/>
          <w:color w:val="000000"/>
        </w:rPr>
        <w:t xml:space="preserve">If the form is not signed and submitted within the required five-day timeframe, it is considered incomplete. In this case, the registered provider must first apply to the System Governor for an extension The delegation for granting extensions for those seeking access to funded aged care services through alternative entry will sit outside Assessment Organisations. </w:t>
      </w:r>
    </w:p>
    <w:p w14:paraId="7113B710"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In considering an extension the System Governor will either decide to: </w:t>
      </w:r>
    </w:p>
    <w:p w14:paraId="1C62D853" w14:textId="77777777" w:rsidR="004D556D" w:rsidRPr="000F6CD1" w:rsidRDefault="004D556D" w:rsidP="00DF3F6B">
      <w:pPr>
        <w:numPr>
          <w:ilvl w:val="0"/>
          <w:numId w:val="264"/>
        </w:numPr>
        <w:spacing w:before="240" w:after="240" w:line="240" w:lineRule="auto"/>
        <w:contextualSpacing/>
        <w:rPr>
          <w:rFonts w:eastAsia="Aptos"/>
          <w:color w:val="000000"/>
        </w:rPr>
      </w:pPr>
      <w:r w:rsidRPr="000F6CD1">
        <w:rPr>
          <w:rFonts w:eastAsia="Aptos"/>
          <w:color w:val="000000"/>
        </w:rPr>
        <w:t xml:space="preserve">Approve the application and determine a longer period for the individual, or </w:t>
      </w:r>
    </w:p>
    <w:p w14:paraId="1711B734" w14:textId="77777777" w:rsidR="004D556D" w:rsidRPr="000F6CD1" w:rsidRDefault="004D556D" w:rsidP="00DF3F6B">
      <w:pPr>
        <w:numPr>
          <w:ilvl w:val="0"/>
          <w:numId w:val="264"/>
        </w:numPr>
        <w:spacing w:before="240" w:after="240" w:line="240" w:lineRule="auto"/>
        <w:contextualSpacing/>
        <w:rPr>
          <w:rFonts w:eastAsia="Aptos"/>
          <w:color w:val="000000"/>
        </w:rPr>
      </w:pPr>
      <w:r w:rsidRPr="000F6CD1">
        <w:rPr>
          <w:rFonts w:eastAsia="Aptos"/>
          <w:color w:val="000000"/>
        </w:rPr>
        <w:t xml:space="preserve">Reject the application </w:t>
      </w:r>
    </w:p>
    <w:p w14:paraId="1DAE1192" w14:textId="77777777" w:rsidR="004D556D" w:rsidRPr="000F6CD1" w:rsidRDefault="004D556D" w:rsidP="00622CFF">
      <w:pPr>
        <w:spacing w:before="240" w:after="240" w:line="240" w:lineRule="auto"/>
        <w:ind w:left="720"/>
        <w:contextualSpacing/>
        <w:rPr>
          <w:rFonts w:eastAsia="Aptos"/>
          <w:color w:val="000000"/>
        </w:rPr>
      </w:pPr>
    </w:p>
    <w:p w14:paraId="39E4D30C"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As soon as practicable after a decision has been made, the System Governor must provide notice of their decision. Included in the notice will be the reasons for the decision and how to apply for a reconsideration of the decision. </w:t>
      </w:r>
    </w:p>
    <w:p w14:paraId="1A81585E" w14:textId="77777777" w:rsidR="004D556D" w:rsidRPr="000F6CD1" w:rsidRDefault="004D556D" w:rsidP="00622CFF">
      <w:pPr>
        <w:spacing w:before="240" w:after="240" w:line="240" w:lineRule="auto"/>
        <w:rPr>
          <w:rFonts w:eastAsia="Aptos"/>
          <w:color w:val="000000"/>
        </w:rPr>
      </w:pPr>
      <w:r w:rsidRPr="000F6CD1">
        <w:rPr>
          <w:rFonts w:eastAsia="Aptos"/>
          <w:color w:val="000000"/>
        </w:rPr>
        <w:t xml:space="preserve">Where the older person has not made their application in the required timeframe, an extension may be granted by the department. In these instances, please email a request for an extension to </w:t>
      </w:r>
      <w:hyperlink r:id="rId254" w:history="1">
        <w:r w:rsidRPr="000F6CD1">
          <w:rPr>
            <w:rStyle w:val="Hyperlink"/>
            <w:rFonts w:eastAsia="Yu Gothic Light"/>
          </w:rPr>
          <w:t>AssessorSupport@health.gov.au</w:t>
        </w:r>
      </w:hyperlink>
      <w:r w:rsidRPr="000F6CD1">
        <w:rPr>
          <w:rFonts w:eastAsia="Aptos"/>
          <w:color w:val="000000"/>
        </w:rPr>
        <w:t>. Please include a brief explanation on the reason for the extension.</w:t>
      </w:r>
    </w:p>
    <w:p w14:paraId="6F27BBED" w14:textId="77777777" w:rsidR="004D556D" w:rsidRPr="000F6CD1" w:rsidRDefault="004D556D" w:rsidP="00810EA0">
      <w:pPr>
        <w:spacing w:before="240" w:after="240" w:line="240" w:lineRule="auto"/>
        <w:rPr>
          <w:rFonts w:eastAsia="Yu Gothic Light"/>
        </w:rPr>
      </w:pPr>
      <w:r w:rsidRPr="000F6CD1">
        <w:rPr>
          <w:rFonts w:eastAsia="Aptos"/>
          <w:color w:val="000000"/>
        </w:rPr>
        <w:t xml:space="preserve">If an assessor believes the older person urgently needed care but the approval is already recorded in My Aged Care with a later date, they must initiate the </w:t>
      </w:r>
      <w:r w:rsidRPr="000F6CD1">
        <w:rPr>
          <w:rFonts w:eastAsia="Aptos"/>
          <w:b/>
          <w:color w:val="000000"/>
        </w:rPr>
        <w:t>corrections process</w:t>
      </w:r>
      <w:r w:rsidRPr="000F6CD1">
        <w:rPr>
          <w:rFonts w:eastAsia="Aptos"/>
          <w:color w:val="000000"/>
        </w:rPr>
        <w:t xml:space="preserve"> to backdate the approval. If the required backdating exceeds </w:t>
      </w:r>
      <w:r w:rsidRPr="000F6CD1">
        <w:rPr>
          <w:rFonts w:eastAsia="Aptos"/>
          <w:b/>
          <w:color w:val="000000"/>
        </w:rPr>
        <w:t>42 days</w:t>
      </w:r>
      <w:r w:rsidRPr="000F6CD1">
        <w:rPr>
          <w:rFonts w:eastAsia="Aptos"/>
          <w:color w:val="000000"/>
        </w:rPr>
        <w:t>, a correction cannot be made, and a reassessment is required.</w:t>
      </w:r>
    </w:p>
    <w:p w14:paraId="626172A0" w14:textId="77777777" w:rsidR="004D556D" w:rsidRPr="000F6CD1" w:rsidRDefault="004D556D" w:rsidP="00AD2CE5">
      <w:pPr>
        <w:pStyle w:val="H3"/>
      </w:pPr>
      <w:bookmarkStart w:id="852" w:name="_Toc198787211"/>
      <w:bookmarkStart w:id="853" w:name="_Toc1487221465"/>
      <w:bookmarkStart w:id="854" w:name="_Toc199344599"/>
      <w:bookmarkStart w:id="855" w:name="_Toc205372131"/>
      <w:bookmarkStart w:id="856" w:name="_Toc207714045"/>
      <w:bookmarkStart w:id="857" w:name="_Toc198813694"/>
      <w:bookmarkStart w:id="858" w:name="_Toc204329581"/>
      <w:r w:rsidRPr="000F6CD1">
        <w:t>Exceptional circumstances – approving a service without an assessment</w:t>
      </w:r>
      <w:bookmarkEnd w:id="852"/>
      <w:bookmarkEnd w:id="853"/>
      <w:bookmarkEnd w:id="854"/>
      <w:bookmarkEnd w:id="855"/>
      <w:bookmarkEnd w:id="856"/>
    </w:p>
    <w:p w14:paraId="4F7743F5" w14:textId="77777777" w:rsidR="004D556D" w:rsidRPr="000F6CD1" w:rsidRDefault="004D556D" w:rsidP="00370840">
      <w:pPr>
        <w:tabs>
          <w:tab w:val="left" w:pos="709"/>
        </w:tabs>
        <w:spacing w:before="240" w:after="240" w:line="240" w:lineRule="auto"/>
      </w:pPr>
      <w:r w:rsidRPr="000F6CD1">
        <w:t xml:space="preserve">In some circumstances, under section 65(4) of the </w:t>
      </w:r>
      <w:r w:rsidRPr="000F6CD1">
        <w:rPr>
          <w:i/>
          <w:iCs/>
        </w:rPr>
        <w:t>Aged Care Act 2024</w:t>
      </w:r>
      <w:r w:rsidRPr="000F6CD1">
        <w:t xml:space="preserve"> a client may be approved to access aged care services without undergoing an aged care needs assessment owing to exceptional circumstances. This will typically occur where a person is accessing funded aged care services through the alternative entry pathway but pass away prior to receiving an assessment. </w:t>
      </w:r>
    </w:p>
    <w:p w14:paraId="2D76F40F" w14:textId="77777777" w:rsidR="004D556D" w:rsidRPr="000F6CD1" w:rsidRDefault="004D556D" w:rsidP="004B7965">
      <w:pPr>
        <w:spacing w:before="240" w:after="240" w:line="240" w:lineRule="auto"/>
      </w:pPr>
      <w:r w:rsidRPr="000F6CD1">
        <w:t xml:space="preserve">In a case where the older person has passed away, assessors should follow the </w:t>
      </w:r>
      <w:r w:rsidRPr="000F6CD1">
        <w:rPr>
          <w:i/>
          <w:iCs/>
        </w:rPr>
        <w:t>Client Deceased Before Assessment</w:t>
      </w:r>
      <w:r w:rsidRPr="000F6CD1">
        <w:t xml:space="preserve"> process available through the My Aged Care assessor portal. </w:t>
      </w:r>
      <w:r w:rsidRPr="000F6CD1">
        <w:lastRenderedPageBreak/>
        <w:t xml:space="preserve">This ensures the approval is properly recorded in the system and automatically submitted to </w:t>
      </w:r>
      <w:r w:rsidRPr="000F6CD1">
        <w:rPr>
          <w:b/>
          <w:bCs/>
        </w:rPr>
        <w:t>Services Australia</w:t>
      </w:r>
      <w:r w:rsidRPr="000F6CD1">
        <w:t>.</w:t>
      </w:r>
    </w:p>
    <w:p w14:paraId="477DA60F" w14:textId="258EF381" w:rsidR="004D556D" w:rsidRPr="000F6CD1" w:rsidRDefault="004D556D" w:rsidP="004B7965">
      <w:pPr>
        <w:spacing w:before="240" w:after="240" w:line="240" w:lineRule="auto"/>
      </w:pPr>
      <w:r w:rsidRPr="000F6CD1">
        <w:t>If there are complications preventing the use of the online process, an assessor should consult their Team Leader for advice. Do not cancel the assessment in My Aged Care using the reason ‘client deceased</w:t>
      </w:r>
      <w:r w:rsidR="009F2ECF" w:rsidRPr="000F6CD1">
        <w:t>.’</w:t>
      </w:r>
      <w:r w:rsidRPr="000F6CD1">
        <w:t xml:space="preserve"> This action changes the older person’s status to ‘deceased’ and locks the record as read-only, preventing an assessment delegate from recording an assessment decision.</w:t>
      </w:r>
    </w:p>
    <w:p w14:paraId="3A5879A5" w14:textId="77777777" w:rsidR="004D556D" w:rsidRPr="000F6CD1" w:rsidRDefault="004D556D" w:rsidP="004B7965">
      <w:pPr>
        <w:spacing w:before="240" w:after="240" w:line="240" w:lineRule="auto"/>
      </w:pPr>
      <w:r w:rsidRPr="000F6CD1">
        <w:t>If the record has already been locked, the assessor must contact the My Aged Care Service Provider and Assessor Helpline (1800 836 799) to temporarily reactivate the record so the assessment outcome can be recorded. Once the decision is entered, the status must then be changed back to ‘deceased’ to reflect the older person’s passing.</w:t>
      </w:r>
    </w:p>
    <w:p w14:paraId="6F3F93DE" w14:textId="77777777" w:rsidR="004D556D" w:rsidRPr="000F6CD1" w:rsidRDefault="004D556D" w:rsidP="00370840">
      <w:pPr>
        <w:tabs>
          <w:tab w:val="left" w:pos="709"/>
        </w:tabs>
        <w:spacing w:before="240" w:after="240" w:line="240" w:lineRule="auto"/>
        <w:rPr>
          <w:b/>
          <w:bCs/>
        </w:rPr>
      </w:pPr>
      <w:r w:rsidRPr="000F6CD1">
        <w:rPr>
          <w:b/>
          <w:bCs/>
        </w:rPr>
        <w:t xml:space="preserve">Client is receiving services but is refusing an assessment </w:t>
      </w:r>
    </w:p>
    <w:p w14:paraId="75189F2F" w14:textId="77777777" w:rsidR="004D556D" w:rsidRPr="000F6CD1" w:rsidRDefault="004D556D" w:rsidP="00370840">
      <w:pPr>
        <w:autoSpaceDE w:val="0"/>
        <w:autoSpaceDN w:val="0"/>
        <w:adjustRightInd w:val="0"/>
        <w:spacing w:before="240" w:after="240" w:line="240" w:lineRule="auto"/>
      </w:pPr>
      <w:r w:rsidRPr="000F6CD1">
        <w:t xml:space="preserve">If the Triage delegate or assessor consider there are valid reasons for the person refusing to have an assessment, assessment organisations are to contact the department in the first instance at </w:t>
      </w:r>
      <w:hyperlink r:id="rId255" w:history="1">
        <w:r w:rsidRPr="000F6CD1">
          <w:rPr>
            <w:rStyle w:val="Hyperlink"/>
          </w:rPr>
          <w:t>MyAgedCareAssessment@health.gov.au</w:t>
        </w:r>
      </w:hyperlink>
      <w:r w:rsidRPr="000F6CD1">
        <w:t xml:space="preserve"> for assistance. In some cases, the department may exercise delegation to approve services under the exceptional circumstances provision.</w:t>
      </w:r>
    </w:p>
    <w:p w14:paraId="4C9FD1DF" w14:textId="77777777" w:rsidR="004D556D" w:rsidRPr="000F6CD1" w:rsidRDefault="004D556D" w:rsidP="00622CFF">
      <w:pPr>
        <w:spacing w:before="240" w:after="240" w:line="240" w:lineRule="auto"/>
        <w:rPr>
          <w:b/>
          <w:color w:val="002060"/>
          <w:sz w:val="44"/>
          <w:szCs w:val="36"/>
        </w:rPr>
      </w:pPr>
      <w:r w:rsidRPr="000F6CD1">
        <w:br w:type="page"/>
      </w:r>
    </w:p>
    <w:p w14:paraId="2A434555" w14:textId="77777777" w:rsidR="004D556D" w:rsidRPr="000F6CD1" w:rsidRDefault="004D556D" w:rsidP="00AC3600">
      <w:pPr>
        <w:pStyle w:val="H1"/>
      </w:pPr>
      <w:bookmarkStart w:id="859" w:name="_Toc209189032"/>
      <w:bookmarkStart w:id="860" w:name="_Ref212735269"/>
      <w:bookmarkStart w:id="861" w:name="_Ref212735327"/>
      <w:bookmarkStart w:id="862" w:name="_Ref212735328"/>
      <w:bookmarkStart w:id="863" w:name="_Ref232596163"/>
      <w:bookmarkStart w:id="864" w:name="_Ref232597203"/>
      <w:bookmarkStart w:id="865" w:name="_Toc233282489"/>
      <w:r w:rsidRPr="000F6CD1">
        <w:lastRenderedPageBreak/>
        <w:t>Chapter 9: Finalising the assessment and service referral</w:t>
      </w:r>
      <w:bookmarkEnd w:id="859"/>
      <w:bookmarkEnd w:id="860"/>
      <w:bookmarkEnd w:id="861"/>
      <w:bookmarkEnd w:id="862"/>
      <w:bookmarkEnd w:id="863"/>
      <w:bookmarkEnd w:id="864"/>
      <w:bookmarkEnd w:id="865"/>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4D556D" w:rsidRPr="000F6CD1" w14:paraId="642D1EC2" w14:textId="77777777" w:rsidTr="00097F05">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C7A83D" w14:textId="77777777" w:rsidR="004D556D" w:rsidRPr="000F6CD1" w:rsidRDefault="004D556D" w:rsidP="00C557CC">
            <w:bookmarkStart w:id="866" w:name="_Toc209189033"/>
            <w:r w:rsidRPr="000F6CD1">
              <w:rPr>
                <w:b/>
                <w:color w:val="358189"/>
                <w:sz w:val="36"/>
                <w:szCs w:val="36"/>
              </w:rPr>
              <w:t>What you’ll find in this chapter</w:t>
            </w:r>
            <w:bookmarkEnd w:id="866"/>
            <w:r w:rsidRPr="000F6CD1">
              <w:rPr>
                <w:b/>
                <w:color w:val="358189"/>
                <w:sz w:val="36"/>
                <w:szCs w:val="36"/>
              </w:rPr>
              <w:t xml:space="preserve"> </w:t>
            </w:r>
          </w:p>
          <w:p w14:paraId="138E2E9D" w14:textId="77777777" w:rsidR="004D556D" w:rsidRPr="000F6CD1" w:rsidRDefault="004D556D" w:rsidP="00622CFF">
            <w:pPr>
              <w:spacing w:before="240" w:after="240"/>
            </w:pPr>
            <w:r w:rsidRPr="000F6CD1">
              <w:t>This chapter includes guidance about:</w:t>
            </w:r>
          </w:p>
          <w:p w14:paraId="509EF9A7" w14:textId="77777777" w:rsidR="004D556D" w:rsidRPr="000F6CD1" w:rsidRDefault="004D556D">
            <w:pPr>
              <w:pStyle w:val="ListParagraph"/>
              <w:numPr>
                <w:ilvl w:val="0"/>
                <w:numId w:val="35"/>
              </w:numPr>
              <w:spacing w:before="240" w:after="240"/>
            </w:pPr>
            <w:r w:rsidRPr="000F6CD1">
              <w:t>finalising the assessment</w:t>
            </w:r>
          </w:p>
          <w:p w14:paraId="7DDC537B" w14:textId="77777777" w:rsidR="004D556D" w:rsidRPr="000F6CD1" w:rsidRDefault="004D556D">
            <w:pPr>
              <w:pStyle w:val="ListParagraph"/>
              <w:numPr>
                <w:ilvl w:val="0"/>
                <w:numId w:val="35"/>
              </w:numPr>
              <w:spacing w:before="240" w:after="240"/>
            </w:pPr>
            <w:r w:rsidRPr="000F6CD1">
              <w:t>recording and communicating the assessment outcome</w:t>
            </w:r>
          </w:p>
          <w:p w14:paraId="087B9165" w14:textId="77777777" w:rsidR="004D556D" w:rsidRPr="000F6CD1" w:rsidRDefault="004D556D">
            <w:pPr>
              <w:pStyle w:val="ListParagraph"/>
              <w:numPr>
                <w:ilvl w:val="0"/>
                <w:numId w:val="35"/>
              </w:numPr>
              <w:spacing w:before="240" w:after="240"/>
            </w:pPr>
            <w:r w:rsidRPr="000F6CD1">
              <w:t>referring the older person for services, and supporting them to access services</w:t>
            </w:r>
          </w:p>
          <w:p w14:paraId="07857EFA" w14:textId="77777777" w:rsidR="004D556D" w:rsidRPr="000F6CD1" w:rsidRDefault="004D556D">
            <w:pPr>
              <w:pStyle w:val="ListParagraph"/>
              <w:numPr>
                <w:ilvl w:val="0"/>
                <w:numId w:val="35"/>
              </w:numPr>
              <w:spacing w:before="240" w:after="240"/>
            </w:pPr>
            <w:r w:rsidRPr="000F6CD1">
              <w:t>the single provider model for Support at Home (which includes a single referral code for all services/pathways)</w:t>
            </w:r>
          </w:p>
          <w:p w14:paraId="2764E189" w14:textId="77777777" w:rsidR="004D556D" w:rsidRPr="000F6CD1" w:rsidRDefault="004D556D">
            <w:pPr>
              <w:pStyle w:val="ListParagraph"/>
              <w:numPr>
                <w:ilvl w:val="0"/>
                <w:numId w:val="35"/>
              </w:numPr>
              <w:spacing w:before="240" w:after="240"/>
            </w:pPr>
            <w:r w:rsidRPr="000F6CD1">
              <w:t>completing the Notice of Decision (approval/non-approval letter).</w:t>
            </w:r>
          </w:p>
        </w:tc>
      </w:tr>
    </w:tbl>
    <w:bookmarkEnd w:id="857"/>
    <w:bookmarkEnd w:id="858"/>
    <w:p w14:paraId="3201D816" w14:textId="77777777" w:rsidR="004D556D" w:rsidRPr="000F6CD1" w:rsidRDefault="004D556D" w:rsidP="00622CFF">
      <w:pPr>
        <w:spacing w:before="240" w:after="240" w:line="240" w:lineRule="auto"/>
        <w:rPr>
          <w:rFonts w:eastAsia="Yu Gothic Light"/>
        </w:rPr>
      </w:pPr>
      <w:r w:rsidRPr="000F6CD1">
        <w:rPr>
          <w:rFonts w:eastAsia="Yu Gothic Light"/>
        </w:rPr>
        <w:t xml:space="preserve"> </w:t>
      </w:r>
    </w:p>
    <w:p w14:paraId="0BCB9525" w14:textId="77777777" w:rsidR="004D556D" w:rsidRPr="000F6CD1" w:rsidRDefault="004D556D" w:rsidP="006647CE">
      <w:pPr>
        <w:pStyle w:val="h2"/>
      </w:pPr>
      <w:bookmarkStart w:id="867" w:name="_Toc209189034"/>
      <w:bookmarkStart w:id="868" w:name="_Toc233282490"/>
      <w:r w:rsidRPr="000F6CD1">
        <w:t>Overview of assessment finalisation</w:t>
      </w:r>
      <w:bookmarkEnd w:id="867"/>
      <w:bookmarkEnd w:id="868"/>
    </w:p>
    <w:p w14:paraId="1C25550E" w14:textId="77777777" w:rsidR="004D556D" w:rsidRPr="000F6CD1" w:rsidRDefault="004D556D" w:rsidP="00622CFF">
      <w:pPr>
        <w:spacing w:before="240" w:after="240" w:line="240" w:lineRule="auto"/>
      </w:pPr>
      <w:r w:rsidRPr="000F6CD1">
        <w:t>An assessment is finalised when:</w:t>
      </w:r>
    </w:p>
    <w:p w14:paraId="5F3CBECB" w14:textId="77777777" w:rsidR="004D556D" w:rsidRPr="000F6CD1" w:rsidRDefault="004D556D" w:rsidP="00DF3F6B">
      <w:pPr>
        <w:pStyle w:val="ListParagraph"/>
        <w:numPr>
          <w:ilvl w:val="0"/>
          <w:numId w:val="297"/>
        </w:numPr>
        <w:spacing w:after="0" w:line="240" w:lineRule="auto"/>
        <w:ind w:left="567" w:hanging="283"/>
        <w:contextualSpacing w:val="0"/>
      </w:pPr>
      <w:r w:rsidRPr="000F6CD1">
        <w:t>the assessment and support plan are completed; and</w:t>
      </w:r>
    </w:p>
    <w:p w14:paraId="3870613D" w14:textId="77777777" w:rsidR="004D556D" w:rsidRPr="000F6CD1" w:rsidRDefault="004D556D" w:rsidP="00DF3F6B">
      <w:pPr>
        <w:pStyle w:val="ListParagraph"/>
        <w:numPr>
          <w:ilvl w:val="0"/>
          <w:numId w:val="297"/>
        </w:numPr>
        <w:spacing w:after="0" w:line="240" w:lineRule="auto"/>
        <w:ind w:left="568" w:hanging="284"/>
        <w:contextualSpacing w:val="0"/>
      </w:pPr>
      <w:r w:rsidRPr="000F6CD1">
        <w:t>all required decisions have been made and recorded by the Assessment Delegate; and</w:t>
      </w:r>
    </w:p>
    <w:p w14:paraId="4A4F45CA" w14:textId="77777777" w:rsidR="004D556D" w:rsidRPr="000F6CD1" w:rsidRDefault="004D556D" w:rsidP="00DF3F6B">
      <w:pPr>
        <w:pStyle w:val="ListParagraph"/>
        <w:numPr>
          <w:ilvl w:val="0"/>
          <w:numId w:val="297"/>
        </w:numPr>
        <w:spacing w:after="0" w:line="240" w:lineRule="auto"/>
        <w:ind w:left="567" w:hanging="283"/>
        <w:contextualSpacing w:val="0"/>
      </w:pPr>
      <w:r w:rsidRPr="000F6CD1">
        <w:t>when effective referrals have been made or the older person has decided not to proceed with accessing aged care services, and</w:t>
      </w:r>
    </w:p>
    <w:p w14:paraId="5E352E0C" w14:textId="77777777" w:rsidR="004D556D" w:rsidRPr="000F6CD1" w:rsidRDefault="004D556D" w:rsidP="00DF3F6B">
      <w:pPr>
        <w:pStyle w:val="ListParagraph"/>
        <w:numPr>
          <w:ilvl w:val="0"/>
          <w:numId w:val="297"/>
        </w:numPr>
        <w:spacing w:after="0" w:line="240" w:lineRule="auto"/>
        <w:ind w:left="567" w:hanging="283"/>
        <w:contextualSpacing w:val="0"/>
      </w:pPr>
      <w:r w:rsidRPr="000F6CD1">
        <w:t>the older person (and their registered supporter/s and/or appointed decision maker/s, if applicable) has been notified of the assessment outcome.</w:t>
      </w:r>
    </w:p>
    <w:p w14:paraId="39347021" w14:textId="77777777" w:rsidR="004D556D" w:rsidRPr="000F6CD1" w:rsidRDefault="004D556D" w:rsidP="00622CFF">
      <w:pPr>
        <w:spacing w:before="240" w:after="240" w:line="240" w:lineRule="auto"/>
      </w:pPr>
      <w:r w:rsidRPr="000F6CD1">
        <w:t>An effective referral is where:</w:t>
      </w:r>
    </w:p>
    <w:p w14:paraId="2BBE7FCD" w14:textId="77777777" w:rsidR="004D556D" w:rsidRPr="000F6CD1" w:rsidRDefault="004D556D" w:rsidP="00DF3F6B">
      <w:pPr>
        <w:pStyle w:val="ListParagraph"/>
        <w:numPr>
          <w:ilvl w:val="0"/>
          <w:numId w:val="298"/>
        </w:numPr>
        <w:spacing w:after="0" w:line="240" w:lineRule="auto"/>
        <w:ind w:left="568" w:hanging="284"/>
        <w:contextualSpacing w:val="0"/>
      </w:pPr>
      <w:r w:rsidRPr="000F6CD1">
        <w:t xml:space="preserve">a referral is accepted by a service provider who can deliver a service response consistent with the relevant service recommendations on the older person’s Support Plan, </w:t>
      </w:r>
      <w:r w:rsidRPr="000F6CD1">
        <w:rPr>
          <w:b/>
          <w:bCs/>
        </w:rPr>
        <w:t>or</w:t>
      </w:r>
      <w:r w:rsidRPr="000F6CD1">
        <w:t xml:space="preserve"> </w:t>
      </w:r>
    </w:p>
    <w:p w14:paraId="46399ED5" w14:textId="77777777" w:rsidR="004D556D" w:rsidRPr="000F6CD1" w:rsidRDefault="004D556D" w:rsidP="00DF3F6B">
      <w:pPr>
        <w:pStyle w:val="ListParagraph"/>
        <w:numPr>
          <w:ilvl w:val="0"/>
          <w:numId w:val="298"/>
        </w:numPr>
        <w:spacing w:after="0" w:line="240" w:lineRule="auto"/>
        <w:ind w:left="568" w:hanging="284"/>
        <w:contextualSpacing w:val="0"/>
      </w:pPr>
      <w:r w:rsidRPr="000F6CD1">
        <w:t xml:space="preserve">the older person has accepted responsibility for managing their own referral(s) through a referral code, </w:t>
      </w:r>
      <w:r w:rsidRPr="000F6CD1">
        <w:rPr>
          <w:b/>
          <w:bCs/>
        </w:rPr>
        <w:t>or</w:t>
      </w:r>
    </w:p>
    <w:p w14:paraId="2B8F3689" w14:textId="77777777" w:rsidR="004D556D" w:rsidRPr="000F6CD1" w:rsidRDefault="004D556D" w:rsidP="00DF3F6B">
      <w:pPr>
        <w:pStyle w:val="ListParagraph"/>
        <w:numPr>
          <w:ilvl w:val="0"/>
          <w:numId w:val="298"/>
        </w:numPr>
        <w:spacing w:after="0" w:line="240" w:lineRule="auto"/>
        <w:ind w:left="568" w:hanging="284"/>
        <w:contextualSpacing w:val="0"/>
      </w:pPr>
      <w:r w:rsidRPr="000F6CD1">
        <w:t xml:space="preserve">the outcome of the assessment is that no further action is required by the assessor; </w:t>
      </w:r>
      <w:r w:rsidRPr="000F6CD1">
        <w:rPr>
          <w:b/>
        </w:rPr>
        <w:t>or</w:t>
      </w:r>
    </w:p>
    <w:p w14:paraId="302BE17D" w14:textId="77777777" w:rsidR="004D556D" w:rsidRPr="000F6CD1" w:rsidRDefault="004D556D" w:rsidP="00DF3F6B">
      <w:pPr>
        <w:pStyle w:val="ListParagraph"/>
        <w:numPr>
          <w:ilvl w:val="0"/>
          <w:numId w:val="298"/>
        </w:numPr>
        <w:spacing w:after="0" w:line="240" w:lineRule="auto"/>
        <w:ind w:left="568" w:hanging="284"/>
        <w:contextualSpacing w:val="0"/>
      </w:pPr>
      <w:r w:rsidRPr="000F6CD1">
        <w:t xml:space="preserve">the assessor has made all available and reasonable efforts to connect the older person with a service provider appropriate to their assessed care needs. </w:t>
      </w:r>
    </w:p>
    <w:p w14:paraId="1E764956" w14:textId="77777777" w:rsidR="004D556D" w:rsidRPr="000F6CD1" w:rsidRDefault="004D556D" w:rsidP="00622CFF">
      <w:pPr>
        <w:spacing w:before="240" w:after="240" w:line="240" w:lineRule="auto"/>
        <w:rPr>
          <w:lang w:eastAsia="ko-KR"/>
        </w:rPr>
      </w:pPr>
      <w:r w:rsidRPr="000F6CD1">
        <w:rPr>
          <w:lang w:eastAsia="ko-KR"/>
        </w:rPr>
        <w:t>For older Aboriginal and Torres Strait Islander people, FNAO assessors may facilitate the client’s entry into aged care or refer the client to an Elder Care Support worker to assist the client to connect with services after the assessment is finalised.</w:t>
      </w:r>
    </w:p>
    <w:p w14:paraId="3AE82250" w14:textId="77777777" w:rsidR="004D556D" w:rsidRPr="000F6CD1" w:rsidRDefault="004D556D" w:rsidP="00622CFF">
      <w:pPr>
        <w:spacing w:before="240" w:after="240" w:line="240" w:lineRule="auto"/>
        <w:rPr>
          <w:lang w:eastAsia="ko-KR"/>
        </w:rPr>
      </w:pPr>
      <w:r w:rsidRPr="000F6CD1">
        <w:rPr>
          <w:lang w:eastAsia="ko-KR"/>
        </w:rPr>
        <w:t>When the Support Plan is finalised and an effective referral has been made, the assessor should inform the older person to contact their provider, ECS worker or the My Aged Care contact centre if there is a future change in needs, goals, or preferences. If within their remit, the My Aged Care contact centre will assist the older person with their enquiry. This could include re-issuing a referral code or if a referral is rejected, sending a referral to another provider. The contact centre or the provider can send a support plan review request to the assessment organisation if it is an appropriate request.</w:t>
      </w:r>
    </w:p>
    <w:p w14:paraId="76792822" w14:textId="77777777" w:rsidR="004D556D" w:rsidRPr="000F6CD1" w:rsidRDefault="004D556D" w:rsidP="00622CFF">
      <w:pPr>
        <w:spacing w:before="240" w:after="240" w:line="240" w:lineRule="auto"/>
        <w:rPr>
          <w:lang w:eastAsia="ko-KR"/>
        </w:rPr>
      </w:pPr>
      <w:r w:rsidRPr="000F6CD1">
        <w:rPr>
          <w:lang w:eastAsia="ko-KR"/>
        </w:rPr>
        <w:lastRenderedPageBreak/>
        <w:t>Where appropriate, assessors are encouraged to follow up vulnerable or at-risk older people post-assessment who:</w:t>
      </w:r>
    </w:p>
    <w:p w14:paraId="21058EB9" w14:textId="77777777" w:rsidR="004D556D" w:rsidRPr="000F6CD1" w:rsidRDefault="004D556D" w:rsidP="00DF3F6B">
      <w:pPr>
        <w:pStyle w:val="ListParagraph"/>
        <w:numPr>
          <w:ilvl w:val="0"/>
          <w:numId w:val="298"/>
        </w:numPr>
        <w:spacing w:before="240" w:after="240" w:line="240" w:lineRule="auto"/>
        <w:ind w:left="568" w:hanging="284"/>
        <w:contextualSpacing w:val="0"/>
      </w:pPr>
      <w:r w:rsidRPr="000F6CD1">
        <w:t>have referrals that have been rejected/not actioned - this may include the monitoring of referrals to services or negotiating with service providers for the provision of alternative services if necessary,</w:t>
      </w:r>
    </w:p>
    <w:p w14:paraId="6D41181C" w14:textId="77777777" w:rsidR="004D556D" w:rsidRPr="000F6CD1" w:rsidRDefault="004D556D" w:rsidP="00DF3F6B">
      <w:pPr>
        <w:pStyle w:val="ListParagraph"/>
        <w:numPr>
          <w:ilvl w:val="0"/>
          <w:numId w:val="298"/>
        </w:numPr>
        <w:spacing w:before="240" w:after="240" w:line="240" w:lineRule="auto"/>
        <w:ind w:left="568" w:hanging="284"/>
        <w:contextualSpacing w:val="0"/>
      </w:pPr>
      <w:r w:rsidRPr="000F6CD1">
        <w:t>are working on short-term reablement goal(s) – in line with the length of time stipulated in the Support Plan, and/or</w:t>
      </w:r>
    </w:p>
    <w:p w14:paraId="7546E042" w14:textId="77777777" w:rsidR="004D556D" w:rsidRPr="000F6CD1" w:rsidRDefault="004D556D" w:rsidP="00DF3F6B">
      <w:pPr>
        <w:pStyle w:val="ListParagraph"/>
        <w:numPr>
          <w:ilvl w:val="0"/>
          <w:numId w:val="298"/>
        </w:numPr>
        <w:spacing w:before="240" w:after="240" w:line="240" w:lineRule="auto"/>
        <w:ind w:left="568" w:hanging="284"/>
        <w:contextualSpacing w:val="0"/>
      </w:pPr>
      <w:r w:rsidRPr="000F6CD1">
        <w:t>are vulnerable older people, as determined by complexity indicators</w:t>
      </w:r>
      <w:r w:rsidRPr="000F6CD1">
        <w:rPr>
          <w:rFonts w:hint="eastAsia"/>
        </w:rPr>
        <w:t xml:space="preserve"> or need for linking support</w:t>
      </w:r>
      <w:r w:rsidRPr="000F6CD1">
        <w:t xml:space="preserve"> and required short-term linking assistance purpose of implementing the Support Plan.</w:t>
      </w:r>
    </w:p>
    <w:p w14:paraId="3B162802" w14:textId="77777777" w:rsidR="004D556D" w:rsidRPr="000F6CD1" w:rsidRDefault="004D556D" w:rsidP="00622CFF">
      <w:pPr>
        <w:spacing w:before="240" w:after="240" w:line="240" w:lineRule="auto"/>
      </w:pPr>
      <w:r w:rsidRPr="000F6CD1">
        <w:t>After finalising the assessment, where the department becomes aware that an older person is having difficulty with accessing services, an assessment organisation may be required to follow up with the older person or service provider and provide advice on any follow-up action/s taken.</w:t>
      </w:r>
    </w:p>
    <w:p w14:paraId="5C099B15" w14:textId="77777777" w:rsidR="004D556D" w:rsidRPr="000F6CD1" w:rsidRDefault="004D556D" w:rsidP="006647CE">
      <w:pPr>
        <w:pStyle w:val="h2"/>
      </w:pPr>
      <w:bookmarkStart w:id="869" w:name="_Toc1695529465"/>
      <w:bookmarkStart w:id="870" w:name="_Toc199344598"/>
      <w:bookmarkStart w:id="871" w:name="_Toc205372134"/>
      <w:bookmarkStart w:id="872" w:name="_Toc207714048"/>
      <w:bookmarkStart w:id="873" w:name="_Toc209189035"/>
      <w:bookmarkStart w:id="874" w:name="_Toc233282491"/>
      <w:r w:rsidRPr="000F6CD1">
        <w:t>Setting the access approval date of effect (‘delegation date’)</w:t>
      </w:r>
      <w:bookmarkEnd w:id="869"/>
      <w:bookmarkEnd w:id="870"/>
      <w:bookmarkEnd w:id="871"/>
      <w:bookmarkEnd w:id="872"/>
      <w:bookmarkEnd w:id="873"/>
      <w:bookmarkEnd w:id="874"/>
    </w:p>
    <w:p w14:paraId="778F63F8" w14:textId="77777777" w:rsidR="004D556D" w:rsidRPr="000F6CD1" w:rsidRDefault="004D556D" w:rsidP="00622CFF">
      <w:pPr>
        <w:spacing w:before="240" w:after="240" w:line="240" w:lineRule="auto"/>
      </w:pPr>
      <w:r w:rsidRPr="000F6CD1">
        <w:t>For an older person’s application, the access approval date of effect that Assessment Delegates decide applies to all of the following decisions</w:t>
      </w:r>
      <w:r w:rsidRPr="000F6CD1">
        <w:rPr>
          <w:b/>
          <w:bCs/>
        </w:rPr>
        <w:t xml:space="preserve"> </w:t>
      </w:r>
      <w:r w:rsidRPr="000F6CD1">
        <w:t xml:space="preserve">under section 65 of the </w:t>
      </w:r>
      <w:r w:rsidRPr="00EB1D79">
        <w:rPr>
          <w:i/>
          <w:iCs/>
        </w:rPr>
        <w:t>Aged Care Act 2024</w:t>
      </w:r>
      <w:r w:rsidRPr="000F6CD1">
        <w:t xml:space="preserve"> (the Act):</w:t>
      </w:r>
    </w:p>
    <w:p w14:paraId="52FB1E26" w14:textId="77777777" w:rsidR="004D556D" w:rsidRPr="000F6CD1" w:rsidRDefault="004D556D" w:rsidP="00DF3F6B">
      <w:pPr>
        <w:pStyle w:val="ListParagraph"/>
        <w:numPr>
          <w:ilvl w:val="0"/>
          <w:numId w:val="264"/>
        </w:numPr>
        <w:spacing w:before="240" w:after="240" w:line="240" w:lineRule="auto"/>
      </w:pPr>
      <w:r w:rsidRPr="000F6CD1">
        <w:t>the service groups, and the classification types for those service groups</w:t>
      </w:r>
    </w:p>
    <w:p w14:paraId="06C077CB" w14:textId="77777777" w:rsidR="004D556D" w:rsidRPr="000F6CD1" w:rsidRDefault="004D556D" w:rsidP="00DF3F6B">
      <w:pPr>
        <w:pStyle w:val="ListParagraph"/>
        <w:numPr>
          <w:ilvl w:val="0"/>
          <w:numId w:val="264"/>
        </w:numPr>
        <w:spacing w:before="240" w:after="240" w:line="240" w:lineRule="auto"/>
      </w:pPr>
      <w:r w:rsidRPr="000F6CD1">
        <w:t>the service types (and services if applicable).</w:t>
      </w:r>
    </w:p>
    <w:p w14:paraId="20C04E03" w14:textId="62049667" w:rsidR="004D556D" w:rsidRPr="000F6CD1" w:rsidRDefault="004D556D" w:rsidP="00622CFF">
      <w:pPr>
        <w:spacing w:before="240" w:after="240" w:line="240" w:lineRule="auto"/>
      </w:pPr>
      <w:r w:rsidRPr="000F6CD1">
        <w:t xml:space="preserve">Assessment Delegates record this date in the Assessor Portal after giving responses to all of </w:t>
      </w:r>
      <w:r w:rsidRPr="000F6CD1">
        <w:rPr>
          <w:bCs/>
        </w:rPr>
        <w:t>the care recommendations. In the ‘Save decision and delegate’ popup, the Delegate should enter the day that they are making the decision (that</w:t>
      </w:r>
      <w:r w:rsidRPr="000F6CD1">
        <w:rPr>
          <w:b/>
          <w:bCs/>
        </w:rPr>
        <w:t xml:space="preserve"> </w:t>
      </w:r>
      <w:r w:rsidRPr="000F6CD1">
        <w:t>is, that day’s date) and click ‘Save decision.’ Note that even if the older person has received services before assessment (using the alternative entry provisions under Section 71 of the Act), the Assessment Delegate should still enter the date the decision is made - not an earlier date.</w:t>
      </w:r>
    </w:p>
    <w:p w14:paraId="0C7D8376" w14:textId="77777777" w:rsidR="004D556D" w:rsidRPr="000F6CD1" w:rsidRDefault="004D556D" w:rsidP="00622CFF">
      <w:pPr>
        <w:spacing w:before="240" w:after="240" w:line="240" w:lineRule="auto"/>
      </w:pPr>
      <w:r w:rsidRPr="000F6CD1">
        <w:t xml:space="preserve">There is wording in the Notice of Decision (approval letter) relating to alternative entry scenarios and the access approval date of effect. </w:t>
      </w:r>
    </w:p>
    <w:p w14:paraId="46290C73" w14:textId="77777777" w:rsidR="004D556D" w:rsidRPr="000F6CD1" w:rsidRDefault="004D556D" w:rsidP="00622CFF">
      <w:pPr>
        <w:spacing w:before="240" w:after="240" w:line="240" w:lineRule="auto"/>
      </w:pPr>
      <w:r w:rsidRPr="000F6CD1">
        <w:t>For emergency residential care or residential respite, the assessor is required to record the date care began through the “Emergency Care Start Date” flag in the Integrated Assessment Tool. This date will allow the service provider to claim for the days prior to the delegation start date. The Assessment Delegate should check this to ensure that the correct date is recorded in this field before proceeding with their decision.</w:t>
      </w:r>
    </w:p>
    <w:p w14:paraId="2FCF75AA" w14:textId="77777777" w:rsidR="004D556D" w:rsidRPr="000F6CD1" w:rsidRDefault="004D556D" w:rsidP="006647CE">
      <w:pPr>
        <w:pStyle w:val="h2"/>
      </w:pPr>
      <w:bookmarkStart w:id="875" w:name="_Toc209189036"/>
      <w:bookmarkStart w:id="876" w:name="_Toc233282492"/>
      <w:r w:rsidRPr="000F6CD1">
        <w:t>Recording and communicating the assessment outcome</w:t>
      </w:r>
      <w:bookmarkEnd w:id="875"/>
      <w:bookmarkEnd w:id="876"/>
    </w:p>
    <w:p w14:paraId="44E1C516" w14:textId="45994D75" w:rsidR="004D556D" w:rsidRPr="000F6CD1" w:rsidRDefault="004D556D" w:rsidP="3FD93375">
      <w:pPr>
        <w:spacing w:before="240" w:after="240" w:line="240" w:lineRule="auto"/>
        <w:rPr>
          <w:lang w:eastAsia="ko-KR"/>
        </w:rPr>
      </w:pPr>
      <w:r w:rsidRPr="000F6CD1">
        <w:rPr>
          <w:rFonts w:eastAsia="Arial"/>
          <w:szCs w:val="22"/>
        </w:rPr>
        <w:t>A critical record of the assessment outcome is the Notice of Decision (NoD). Note that the NoD is referred to as the ‘assessment outcome letter’ in materials and website content for older people and is labelled as the ‘approval/non-approval letter’ in the assessor portal.</w:t>
      </w:r>
    </w:p>
    <w:p w14:paraId="2452BE07" w14:textId="3CAAEF3D" w:rsidR="004D556D" w:rsidRPr="000F6CD1" w:rsidRDefault="004D556D" w:rsidP="3FD93375">
      <w:pPr>
        <w:spacing w:before="240" w:after="240"/>
        <w:rPr>
          <w:rFonts w:eastAsia="Arial"/>
          <w:szCs w:val="22"/>
        </w:rPr>
      </w:pPr>
      <w:r w:rsidRPr="000F6CD1">
        <w:rPr>
          <w:rFonts w:eastAsia="Arial"/>
          <w:szCs w:val="22"/>
        </w:rPr>
        <w:lastRenderedPageBreak/>
        <w:t>The older person (and registered supporter/s and/or appointed decision maker/s, if applicable) should be sent the following documents:</w:t>
      </w:r>
    </w:p>
    <w:p w14:paraId="1550CEA3"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 xml:space="preserve">the NoD   </w:t>
      </w:r>
    </w:p>
    <w:p w14:paraId="5814109D"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the finalised Support Plan</w:t>
      </w:r>
    </w:p>
    <w:p w14:paraId="14CE493B"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the referral code letter (at a minimum for older people who have been approved for CHSP services)</w:t>
      </w:r>
    </w:p>
    <w:p w14:paraId="48DC0904"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NoD attachments for NoD Approval letters with a home support outcome</w:t>
      </w:r>
    </w:p>
    <w:p w14:paraId="3C52BB37"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any relevant aged care consumer information not provided at the time of the assessment</w:t>
      </w:r>
    </w:p>
    <w:p w14:paraId="4CE501E0"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the older person satisfaction survey of the organisation’s performance requirements</w:t>
      </w:r>
    </w:p>
    <w:p w14:paraId="0885C080"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other associated notification documents.</w:t>
      </w:r>
    </w:p>
    <w:p w14:paraId="0E36A4FA" w14:textId="77777777" w:rsidR="004D556D" w:rsidRPr="000F6CD1" w:rsidRDefault="004D556D" w:rsidP="3FD93375">
      <w:pPr>
        <w:spacing w:before="240" w:after="240"/>
        <w:rPr>
          <w:rFonts w:eastAsia="Arial"/>
          <w:szCs w:val="22"/>
        </w:rPr>
      </w:pPr>
      <w:r w:rsidRPr="000F6CD1">
        <w:rPr>
          <w:rFonts w:eastAsia="Arial"/>
          <w:szCs w:val="22"/>
        </w:rPr>
        <w:t>The assessor must:</w:t>
      </w:r>
    </w:p>
    <w:p w14:paraId="6163C051"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 xml:space="preserve">call the older person once the NoD is finalised to notify them that their assessment has been completed (where needed, FNAO assessors may also explain the letter to the older Aboriginal and Torres Strait Islander client) </w:t>
      </w:r>
    </w:p>
    <w:p w14:paraId="4AD5D7CA"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advise the older person that their Support Plan and NoD can be accessed via their My Aged Care Online Account (under ‘documents’ and ‘plans’ for the Support Plan) and their My Health Record (if the older person has consented)</w:t>
      </w:r>
    </w:p>
    <w:p w14:paraId="08C43D99"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advise the client that if they have provided consent, their registered supporter/s are able to access these documents (via their own separate login information) to the client portal</w:t>
      </w:r>
    </w:p>
    <w:p w14:paraId="6B7BC88F"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advise the initial referral source of the assessment outcome and referral outcome - if requested by the referrer and with the consent of the older person.</w:t>
      </w:r>
    </w:p>
    <w:p w14:paraId="06C9F5B6" w14:textId="77777777" w:rsidR="004D556D" w:rsidRPr="000F6CD1" w:rsidRDefault="004D556D" w:rsidP="3FD93375">
      <w:pPr>
        <w:spacing w:before="240" w:after="240"/>
        <w:rPr>
          <w:rFonts w:eastAsia="Arial"/>
          <w:szCs w:val="22"/>
        </w:rPr>
      </w:pPr>
      <w:r w:rsidRPr="000F6CD1">
        <w:rPr>
          <w:rFonts w:eastAsia="Arial"/>
          <w:szCs w:val="22"/>
        </w:rPr>
        <w:t>While it is considered good practice to offer an older person a hard copy of their Support Plan and relevant information, where this is not feasible for an assessment organisation, the minimum requirement is that the older person, and where relevant, registered supporter:</w:t>
      </w:r>
    </w:p>
    <w:p w14:paraId="0CE3FFFE" w14:textId="3C9A8F05" w:rsidR="004D556D" w:rsidRPr="000F6CD1" w:rsidRDefault="004D556D" w:rsidP="3FD93375">
      <w:pPr>
        <w:pStyle w:val="ListParagraph"/>
        <w:numPr>
          <w:ilvl w:val="0"/>
          <w:numId w:val="426"/>
        </w:numPr>
        <w:spacing w:after="0"/>
        <w:rPr>
          <w:rFonts w:eastAsia="Arial"/>
          <w:szCs w:val="22"/>
        </w:rPr>
      </w:pPr>
      <w:r w:rsidRPr="000F6CD1">
        <w:rPr>
          <w:rFonts w:eastAsia="Arial"/>
          <w:szCs w:val="22"/>
        </w:rPr>
        <w:t>is clear on what is in their finalised Support Plan and are agreeable to this and which associated people it will be shared with,</w:t>
      </w:r>
    </w:p>
    <w:p w14:paraId="21E06195"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 xml:space="preserve">agrees to be provided a soft copy of the finalised Support Plan and if appropriate the referral code letter (noting that </w:t>
      </w:r>
      <w:r w:rsidRPr="000F6CD1">
        <w:rPr>
          <w:rFonts w:eastAsia="Arial" w:hint="eastAsia"/>
          <w:szCs w:val="22"/>
        </w:rPr>
        <w:t>older people</w:t>
      </w:r>
      <w:r w:rsidRPr="000F6CD1">
        <w:rPr>
          <w:rFonts w:eastAsia="Arial"/>
          <w:szCs w:val="22"/>
        </w:rPr>
        <w:t xml:space="preserve"> will receive a letter once they have been assigned a package), and/or </w:t>
      </w:r>
    </w:p>
    <w:p w14:paraId="380C4E59" w14:textId="77777777" w:rsidR="004D556D" w:rsidRPr="000F6CD1" w:rsidRDefault="004D556D" w:rsidP="3FD93375">
      <w:pPr>
        <w:pStyle w:val="ListParagraph"/>
        <w:numPr>
          <w:ilvl w:val="0"/>
          <w:numId w:val="426"/>
        </w:numPr>
        <w:spacing w:after="0"/>
        <w:rPr>
          <w:rFonts w:eastAsia="Arial"/>
          <w:szCs w:val="22"/>
        </w:rPr>
      </w:pPr>
      <w:r w:rsidRPr="000F6CD1">
        <w:rPr>
          <w:rFonts w:eastAsia="Arial"/>
          <w:szCs w:val="22"/>
        </w:rPr>
        <w:t>is aware of how to obtain a copy of the Support Plan and relevant information via their My Aged Care Online Account.</w:t>
      </w:r>
    </w:p>
    <w:p w14:paraId="4B266F2B" w14:textId="5724836A" w:rsidR="004D556D" w:rsidRPr="000F6CD1" w:rsidRDefault="00B41289" w:rsidP="00AD2CE5">
      <w:pPr>
        <w:pStyle w:val="H3"/>
      </w:pPr>
      <w:r w:rsidRPr="000F6CD1">
        <w:drawing>
          <wp:anchor distT="0" distB="0" distL="114300" distR="114300" simplePos="0" relativeHeight="251658296" behindDoc="0" locked="0" layoutInCell="1" allowOverlap="1" wp14:anchorId="6C01A0A5" wp14:editId="56FE9BD7">
            <wp:simplePos x="0" y="0"/>
            <wp:positionH relativeFrom="margin">
              <wp:align>left</wp:align>
            </wp:positionH>
            <wp:positionV relativeFrom="margin">
              <wp:posOffset>6691357</wp:posOffset>
            </wp:positionV>
            <wp:extent cx="457200" cy="506095"/>
            <wp:effectExtent l="0" t="0" r="0" b="8255"/>
            <wp:wrapSquare wrapText="bothSides"/>
            <wp:docPr id="834709520" name="Picture 834709520"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9520" name="Picture 834709520"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0F6CD1">
        <w:t xml:space="preserve">Notice of Decision of assessment outcome </w:t>
      </w:r>
    </w:p>
    <w:p w14:paraId="1C839F5D" w14:textId="1961C739" w:rsidR="004D556D" w:rsidRPr="000F6CD1" w:rsidRDefault="004D556D" w:rsidP="0020619A">
      <w:pPr>
        <w:spacing w:before="240" w:after="0" w:line="240" w:lineRule="auto"/>
        <w:rPr>
          <w:rFonts w:eastAsia="Arial"/>
          <w:szCs w:val="22"/>
        </w:rPr>
      </w:pPr>
      <w:r w:rsidRPr="000F6CD1">
        <w:rPr>
          <w:rFonts w:eastAsia="Arial"/>
          <w:szCs w:val="22"/>
        </w:rPr>
        <w:t xml:space="preserve">Assessment Delegates are required under the </w:t>
      </w:r>
      <w:r w:rsidRPr="000F6CD1">
        <w:rPr>
          <w:rFonts w:eastAsia="Arial"/>
          <w:i/>
          <w:iCs/>
          <w:szCs w:val="22"/>
        </w:rPr>
        <w:t>Aged Care Act 2024</w:t>
      </w:r>
      <w:r w:rsidRPr="000F6CD1">
        <w:rPr>
          <w:rFonts w:eastAsia="Arial"/>
          <w:szCs w:val="22"/>
        </w:rPr>
        <w:t xml:space="preserve"> (the Act) to issue a Notice of Decision (NoD) to the individual within 14 days of making a decision under subsection 65(1) or (2).</w:t>
      </w:r>
    </w:p>
    <w:p w14:paraId="008564FE" w14:textId="77777777" w:rsidR="00B41289" w:rsidRDefault="004D556D" w:rsidP="0020619A">
      <w:pPr>
        <w:spacing w:before="240" w:after="0" w:line="240" w:lineRule="auto"/>
        <w:rPr>
          <w:rFonts w:eastAsia="Arial"/>
          <w:szCs w:val="22"/>
        </w:rPr>
      </w:pPr>
      <w:r w:rsidRPr="000F6CD1">
        <w:rPr>
          <w:rFonts w:eastAsia="Arial"/>
          <w:szCs w:val="22"/>
        </w:rPr>
        <w:t>This supports the Act’s rights‑based approach by promoting transparency, accountability, and informed decision‑making, and by ensuring individuals understand decisions that affect their care and access to aged care services.</w:t>
      </w:r>
    </w:p>
    <w:p w14:paraId="5CD981E7" w14:textId="08FD224B" w:rsidR="004D556D" w:rsidRPr="000F6CD1" w:rsidRDefault="00B41289" w:rsidP="00B41289">
      <w:pPr>
        <w:rPr>
          <w:rFonts w:eastAsia="Arial"/>
          <w:szCs w:val="22"/>
        </w:rPr>
      </w:pPr>
      <w:r>
        <w:rPr>
          <w:rFonts w:eastAsia="Arial"/>
          <w:szCs w:val="22"/>
        </w:rPr>
        <w:br w:type="page"/>
      </w:r>
    </w:p>
    <w:p w14:paraId="18800C37" w14:textId="77777777" w:rsidR="004D556D" w:rsidRPr="000F6CD1" w:rsidRDefault="004D556D" w:rsidP="0020619A">
      <w:pPr>
        <w:spacing w:before="240" w:line="240" w:lineRule="auto"/>
        <w:rPr>
          <w:rFonts w:eastAsia="Arial"/>
          <w:szCs w:val="22"/>
        </w:rPr>
      </w:pPr>
      <w:r w:rsidRPr="000F6CD1">
        <w:rPr>
          <w:rFonts w:eastAsia="Arial"/>
          <w:szCs w:val="22"/>
        </w:rPr>
        <w:lastRenderedPageBreak/>
        <w:t>The NoD must clearly communicate:</w:t>
      </w:r>
    </w:p>
    <w:p w14:paraId="03614658" w14:textId="77777777" w:rsidR="004D556D" w:rsidRPr="000F6CD1" w:rsidRDefault="004D556D" w:rsidP="004D556D">
      <w:pPr>
        <w:pStyle w:val="ListParagraph"/>
        <w:numPr>
          <w:ilvl w:val="0"/>
          <w:numId w:val="573"/>
        </w:numPr>
        <w:spacing w:after="0" w:line="240" w:lineRule="auto"/>
        <w:rPr>
          <w:rFonts w:eastAsia="Arial"/>
          <w:szCs w:val="22"/>
        </w:rPr>
      </w:pPr>
      <w:r w:rsidRPr="000F6CD1">
        <w:rPr>
          <w:rFonts w:eastAsia="Arial"/>
          <w:szCs w:val="22"/>
        </w:rPr>
        <w:t>the assessment outcome, including decisions to approve or not to approve access to services,</w:t>
      </w:r>
    </w:p>
    <w:p w14:paraId="45D44AF7" w14:textId="77777777" w:rsidR="004D556D" w:rsidRPr="000F6CD1" w:rsidRDefault="004D556D" w:rsidP="004D556D">
      <w:pPr>
        <w:pStyle w:val="ListParagraph"/>
        <w:numPr>
          <w:ilvl w:val="0"/>
          <w:numId w:val="573"/>
        </w:numPr>
        <w:spacing w:after="0" w:line="240" w:lineRule="auto"/>
        <w:rPr>
          <w:rFonts w:eastAsia="Arial"/>
          <w:szCs w:val="22"/>
        </w:rPr>
      </w:pPr>
      <w:r w:rsidRPr="000F6CD1">
        <w:rPr>
          <w:rFonts w:eastAsia="Arial"/>
          <w:szCs w:val="22"/>
        </w:rPr>
        <w:t>the reasons for these decisions, and</w:t>
      </w:r>
    </w:p>
    <w:p w14:paraId="7C4CAF45" w14:textId="77777777" w:rsidR="004D556D" w:rsidRPr="000F6CD1" w:rsidRDefault="004D556D" w:rsidP="004D556D">
      <w:pPr>
        <w:pStyle w:val="ListParagraph"/>
        <w:numPr>
          <w:ilvl w:val="0"/>
          <w:numId w:val="573"/>
        </w:numPr>
        <w:spacing w:after="0" w:line="240" w:lineRule="auto"/>
        <w:rPr>
          <w:rFonts w:eastAsia="Arial"/>
          <w:b/>
          <w:bCs/>
          <w:szCs w:val="22"/>
        </w:rPr>
      </w:pPr>
      <w:r w:rsidRPr="000F6CD1">
        <w:rPr>
          <w:rFonts w:eastAsia="Arial"/>
          <w:szCs w:val="22"/>
        </w:rPr>
        <w:t>how the individual may apply for a review of the decision(s).</w:t>
      </w:r>
    </w:p>
    <w:p w14:paraId="24ECE1CE" w14:textId="77777777" w:rsidR="004D556D" w:rsidRPr="000F6CD1" w:rsidRDefault="004D556D" w:rsidP="3FD93375">
      <w:pPr>
        <w:spacing w:after="0" w:line="240" w:lineRule="auto"/>
        <w:rPr>
          <w:rFonts w:eastAsia="Arial"/>
          <w:b/>
          <w:bCs/>
          <w:szCs w:val="22"/>
        </w:rPr>
      </w:pPr>
    </w:p>
    <w:p w14:paraId="2E9F5981" w14:textId="77777777" w:rsidR="004D556D" w:rsidRPr="000F6CD1" w:rsidRDefault="004D556D" w:rsidP="0020619A">
      <w:pPr>
        <w:spacing w:after="0" w:line="240" w:lineRule="auto"/>
        <w:rPr>
          <w:rFonts w:eastAsia="Arial"/>
          <w:b/>
          <w:bCs/>
          <w:szCs w:val="22"/>
        </w:rPr>
      </w:pPr>
      <w:r w:rsidRPr="000F6CD1">
        <w:rPr>
          <w:rFonts w:eastAsia="Arial"/>
          <w:b/>
          <w:bCs/>
          <w:szCs w:val="22"/>
        </w:rPr>
        <w:t>NoD requirements under the Act</w:t>
      </w:r>
    </w:p>
    <w:p w14:paraId="32397026" w14:textId="77777777" w:rsidR="004D556D" w:rsidRPr="000F6CD1" w:rsidRDefault="004D556D" w:rsidP="0020619A">
      <w:pPr>
        <w:spacing w:before="240" w:after="240" w:line="240" w:lineRule="auto"/>
        <w:rPr>
          <w:rFonts w:eastAsia="Arial"/>
          <w:szCs w:val="22"/>
        </w:rPr>
      </w:pPr>
      <w:r w:rsidRPr="000F6CD1">
        <w:rPr>
          <w:rFonts w:eastAsia="Arial"/>
          <w:szCs w:val="22"/>
        </w:rPr>
        <w:t xml:space="preserve">For assessment delegates to meet their obligations under the Act, they </w:t>
      </w:r>
      <w:r w:rsidRPr="000F6CD1">
        <w:rPr>
          <w:rFonts w:eastAsia="Arial"/>
          <w:szCs w:val="22"/>
          <w:u w:val="single"/>
        </w:rPr>
        <w:t>must</w:t>
      </w:r>
      <w:r w:rsidRPr="000F6CD1">
        <w:rPr>
          <w:rFonts w:eastAsia="Arial"/>
          <w:szCs w:val="22"/>
        </w:rPr>
        <w:t xml:space="preserve"> ensure that the notice sent to the individual satisfies the requirements of the Act. Assessment delegates can generate NoD templates in the Assessor Portal with most of the critical information pre-populated and which also includes guidance on how to complete a legally compliant letter. The NoDs must satisfy the requirements in the following sections of the Act: </w:t>
      </w:r>
    </w:p>
    <w:p w14:paraId="609023D1" w14:textId="29435DF2" w:rsidR="004D556D" w:rsidRPr="000F6CD1" w:rsidRDefault="004D556D" w:rsidP="004D556D">
      <w:pPr>
        <w:pStyle w:val="ListParagraph"/>
        <w:numPr>
          <w:ilvl w:val="0"/>
          <w:numId w:val="572"/>
        </w:numPr>
        <w:spacing w:after="0" w:line="240" w:lineRule="auto"/>
        <w:rPr>
          <w:rFonts w:eastAsia="Arial"/>
          <w:szCs w:val="22"/>
        </w:rPr>
      </w:pPr>
      <w:r w:rsidRPr="000F6CD1">
        <w:rPr>
          <w:rFonts w:eastAsia="Arial"/>
          <w:b/>
          <w:bCs/>
          <w:szCs w:val="22"/>
        </w:rPr>
        <w:t>Section 70:</w:t>
      </w:r>
      <w:r w:rsidRPr="000F6CD1">
        <w:rPr>
          <w:rFonts w:eastAsia="Arial"/>
          <w:szCs w:val="22"/>
        </w:rPr>
        <w:t xml:space="preserve"> notify the individual about the decision regarding their access approval, including information on the approved service group(s), and the classification type(s) for the service group(s), any service types, and funded aged care services, and the date the access approval takes effect. The reasoning behind the decision and how the older person can apply for a review of decision, if necessary, must also be clearly explained. The ‘About the decisions: Reasons and Review Options’</w:t>
      </w:r>
      <w:r w:rsidRPr="000F6CD1">
        <w:rPr>
          <w:rFonts w:eastAsia="Arial"/>
          <w:b/>
          <w:bCs/>
          <w:szCs w:val="22"/>
        </w:rPr>
        <w:t xml:space="preserve"> </w:t>
      </w:r>
      <w:r w:rsidRPr="000F6CD1">
        <w:rPr>
          <w:rFonts w:eastAsia="Arial"/>
          <w:szCs w:val="22"/>
        </w:rPr>
        <w:t>section in the NoD gives more information on what must be considered and included in the reasons.</w:t>
      </w:r>
    </w:p>
    <w:p w14:paraId="14BAE3BE" w14:textId="77777777" w:rsidR="004D556D" w:rsidRPr="000F6CD1" w:rsidRDefault="004D556D" w:rsidP="004D556D">
      <w:pPr>
        <w:pStyle w:val="ListParagraph"/>
        <w:numPr>
          <w:ilvl w:val="0"/>
          <w:numId w:val="572"/>
        </w:numPr>
        <w:spacing w:after="0" w:line="240" w:lineRule="auto"/>
        <w:rPr>
          <w:rFonts w:eastAsia="Arial"/>
          <w:szCs w:val="22"/>
        </w:rPr>
      </w:pPr>
      <w:r w:rsidRPr="000F6CD1">
        <w:rPr>
          <w:rFonts w:eastAsia="Arial"/>
          <w:b/>
          <w:bCs/>
          <w:szCs w:val="22"/>
        </w:rPr>
        <w:t>Section 79</w:t>
      </w:r>
      <w:r w:rsidRPr="000F6CD1">
        <w:rPr>
          <w:rFonts w:eastAsia="Arial"/>
          <w:szCs w:val="22"/>
        </w:rPr>
        <w:t xml:space="preserve">: inform the individual about the classification decision, including the classification level(s) for the approved service group(s), and when the classification level(s) did or will come into effect, and how they can apply for reconsideration if necessary. </w:t>
      </w:r>
    </w:p>
    <w:p w14:paraId="60BFA931" w14:textId="77777777" w:rsidR="004D556D" w:rsidRPr="000F6CD1" w:rsidRDefault="004D556D" w:rsidP="004D556D">
      <w:pPr>
        <w:pStyle w:val="ListParagraph"/>
        <w:numPr>
          <w:ilvl w:val="0"/>
          <w:numId w:val="571"/>
        </w:numPr>
        <w:spacing w:after="0" w:line="240" w:lineRule="auto"/>
        <w:rPr>
          <w:rFonts w:eastAsia="Arial"/>
        </w:rPr>
      </w:pPr>
      <w:r w:rsidRPr="000F6CD1">
        <w:rPr>
          <w:rFonts w:eastAsia="Arial"/>
          <w:b/>
          <w:bCs/>
        </w:rPr>
        <w:t>Section 88:</w:t>
      </w:r>
      <w:r w:rsidRPr="000F6CD1">
        <w:rPr>
          <w:rFonts w:eastAsia="Arial"/>
        </w:rPr>
        <w:t> If necessary, notify the individual about any priority category assigned to a classification type for a service group, clearly explaining the reasoning behind the decision and how they can apply for reconsideration if necessary. This is necessary in the scenarios listed in the table below.</w:t>
      </w:r>
    </w:p>
    <w:p w14:paraId="33CAAD58" w14:textId="77777777" w:rsidR="004D556D" w:rsidRPr="000F6CD1" w:rsidRDefault="004D556D" w:rsidP="0020619A">
      <w:pPr>
        <w:pStyle w:val="ListParagraph"/>
        <w:spacing w:after="0" w:line="240" w:lineRule="auto"/>
        <w:rPr>
          <w:rFonts w:eastAsia="Arial"/>
        </w:rPr>
      </w:pPr>
    </w:p>
    <w:tbl>
      <w:tblPr>
        <w:tblStyle w:val="TableGrid"/>
        <w:tblW w:w="0" w:type="auto"/>
        <w:tblInd w:w="840" w:type="dxa"/>
        <w:tblLook w:val="04A0" w:firstRow="1" w:lastRow="0" w:firstColumn="1" w:lastColumn="0" w:noHBand="0" w:noVBand="1"/>
      </w:tblPr>
      <w:tblGrid>
        <w:gridCol w:w="3018"/>
        <w:gridCol w:w="5148"/>
      </w:tblGrid>
      <w:tr w:rsidR="004D556D" w:rsidRPr="000F6CD1" w14:paraId="5F513A3E"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0168DC12" w14:textId="77777777" w:rsidR="004D556D" w:rsidRPr="000F6CD1" w:rsidRDefault="004D556D">
            <w:pPr>
              <w:rPr>
                <w:rFonts w:eastAsia="Arial"/>
                <w:b/>
                <w:bCs/>
                <w:szCs w:val="22"/>
              </w:rPr>
            </w:pPr>
            <w:r w:rsidRPr="000F6CD1">
              <w:rPr>
                <w:rFonts w:eastAsia="Arial"/>
                <w:b/>
                <w:bCs/>
                <w:szCs w:val="22"/>
              </w:rPr>
              <w:t>Service group</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2ECF3C83" w14:textId="77777777" w:rsidR="004D556D" w:rsidRPr="000F6CD1" w:rsidRDefault="004D556D">
            <w:pPr>
              <w:rPr>
                <w:rFonts w:eastAsia="Arial"/>
                <w:b/>
                <w:bCs/>
                <w:szCs w:val="22"/>
              </w:rPr>
            </w:pPr>
            <w:r w:rsidRPr="000F6CD1">
              <w:rPr>
                <w:rFonts w:eastAsia="Arial"/>
                <w:b/>
                <w:bCs/>
                <w:szCs w:val="22"/>
              </w:rPr>
              <w:t>Classification type</w:t>
            </w:r>
          </w:p>
        </w:tc>
      </w:tr>
      <w:tr w:rsidR="004D556D" w:rsidRPr="000F6CD1" w14:paraId="14FB7B59"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4A343AE5" w14:textId="77777777" w:rsidR="004D556D" w:rsidRPr="000F6CD1" w:rsidRDefault="004D556D">
            <w:pPr>
              <w:rPr>
                <w:rFonts w:eastAsia="Arial"/>
                <w:szCs w:val="22"/>
              </w:rPr>
            </w:pPr>
            <w:r w:rsidRPr="000F6CD1">
              <w:rPr>
                <w:rFonts w:eastAsia="Arial"/>
                <w:szCs w:val="22"/>
              </w:rPr>
              <w:t>Home support</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50C44798" w14:textId="77777777" w:rsidR="004D556D" w:rsidRPr="000F6CD1" w:rsidRDefault="004D556D">
            <w:pPr>
              <w:rPr>
                <w:rFonts w:eastAsia="Arial"/>
                <w:szCs w:val="22"/>
              </w:rPr>
            </w:pPr>
            <w:r w:rsidRPr="000F6CD1">
              <w:rPr>
                <w:rFonts w:eastAsia="Arial"/>
                <w:szCs w:val="22"/>
              </w:rPr>
              <w:t xml:space="preserve">Ongoing </w:t>
            </w:r>
            <w:r w:rsidRPr="000F6CD1">
              <w:br/>
            </w:r>
            <w:r w:rsidRPr="000F6CD1">
              <w:rPr>
                <w:rFonts w:eastAsia="Arial"/>
                <w:szCs w:val="22"/>
              </w:rPr>
              <w:t>(except when the classification level is ‘CHSP class’)</w:t>
            </w:r>
          </w:p>
        </w:tc>
      </w:tr>
      <w:tr w:rsidR="004D556D" w:rsidRPr="000F6CD1" w14:paraId="239D2F39"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0EB7B2BE" w14:textId="77777777" w:rsidR="004D556D" w:rsidRPr="000F6CD1" w:rsidRDefault="004D556D">
            <w:pPr>
              <w:rPr>
                <w:rFonts w:eastAsia="Arial"/>
                <w:szCs w:val="22"/>
              </w:rPr>
            </w:pPr>
            <w:r w:rsidRPr="000F6CD1">
              <w:rPr>
                <w:rFonts w:eastAsia="Arial"/>
                <w:szCs w:val="22"/>
              </w:rPr>
              <w:t>Assistive technology</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3850D959" w14:textId="77777777" w:rsidR="004D556D" w:rsidRPr="000F6CD1" w:rsidRDefault="004D556D">
            <w:pPr>
              <w:rPr>
                <w:rFonts w:eastAsia="Arial"/>
                <w:szCs w:val="22"/>
              </w:rPr>
            </w:pPr>
            <w:r w:rsidRPr="000F6CD1">
              <w:rPr>
                <w:rFonts w:eastAsia="Arial"/>
                <w:szCs w:val="22"/>
              </w:rPr>
              <w:t>Ongoing</w:t>
            </w:r>
          </w:p>
          <w:p w14:paraId="10AEF943" w14:textId="77777777" w:rsidR="004D556D" w:rsidRPr="000F6CD1" w:rsidRDefault="004D556D">
            <w:pPr>
              <w:rPr>
                <w:rFonts w:eastAsia="Arial"/>
                <w:szCs w:val="22"/>
              </w:rPr>
            </w:pPr>
            <w:r w:rsidRPr="000F6CD1">
              <w:rPr>
                <w:rFonts w:eastAsia="Arial"/>
                <w:szCs w:val="22"/>
              </w:rPr>
              <w:t>Short-term</w:t>
            </w:r>
          </w:p>
        </w:tc>
      </w:tr>
      <w:tr w:rsidR="004D556D" w:rsidRPr="000F6CD1" w14:paraId="67E677F3"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602953CE" w14:textId="77777777" w:rsidR="004D556D" w:rsidRPr="000F6CD1" w:rsidRDefault="004D556D">
            <w:pPr>
              <w:rPr>
                <w:rFonts w:eastAsia="Arial"/>
                <w:szCs w:val="22"/>
              </w:rPr>
            </w:pPr>
            <w:r w:rsidRPr="000F6CD1">
              <w:rPr>
                <w:rFonts w:eastAsia="Arial"/>
                <w:szCs w:val="22"/>
              </w:rPr>
              <w:t>Home modifications</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2C80E539" w14:textId="77777777" w:rsidR="004D556D" w:rsidRPr="000F6CD1" w:rsidRDefault="004D556D">
            <w:pPr>
              <w:rPr>
                <w:rFonts w:eastAsia="Arial"/>
                <w:szCs w:val="22"/>
              </w:rPr>
            </w:pPr>
            <w:r w:rsidRPr="000F6CD1">
              <w:rPr>
                <w:rFonts w:eastAsia="Arial"/>
                <w:szCs w:val="22"/>
              </w:rPr>
              <w:t>Short-term</w:t>
            </w:r>
          </w:p>
        </w:tc>
      </w:tr>
      <w:tr w:rsidR="004D556D" w:rsidRPr="000F6CD1" w14:paraId="3E27C73E" w14:textId="77777777" w:rsidTr="0020619A">
        <w:trPr>
          <w:trHeight w:val="300"/>
        </w:trPr>
        <w:tc>
          <w:tcPr>
            <w:tcW w:w="3120"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0F94809E" w14:textId="77777777" w:rsidR="004D556D" w:rsidRPr="000F6CD1" w:rsidRDefault="004D556D">
            <w:pPr>
              <w:rPr>
                <w:rFonts w:eastAsia="Arial"/>
                <w:szCs w:val="22"/>
              </w:rPr>
            </w:pPr>
            <w:r w:rsidRPr="000F6CD1">
              <w:rPr>
                <w:rFonts w:eastAsia="Arial"/>
                <w:szCs w:val="22"/>
              </w:rPr>
              <w:t>Residential care</w:t>
            </w:r>
          </w:p>
        </w:tc>
        <w:tc>
          <w:tcPr>
            <w:tcW w:w="5385"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14:paraId="4F16F0FC" w14:textId="77777777" w:rsidR="004D556D" w:rsidRPr="000F6CD1" w:rsidRDefault="004D556D">
            <w:pPr>
              <w:rPr>
                <w:rFonts w:eastAsia="Arial"/>
                <w:szCs w:val="22"/>
              </w:rPr>
            </w:pPr>
            <w:r w:rsidRPr="000F6CD1">
              <w:rPr>
                <w:rFonts w:eastAsia="Arial"/>
                <w:szCs w:val="22"/>
              </w:rPr>
              <w:t>Ongoing</w:t>
            </w:r>
          </w:p>
        </w:tc>
      </w:tr>
    </w:tbl>
    <w:p w14:paraId="17136B3F" w14:textId="77777777" w:rsidR="004D556D" w:rsidRPr="000F6CD1" w:rsidRDefault="004D556D" w:rsidP="00820EE5">
      <w:pPr>
        <w:pStyle w:val="ListParagraph"/>
        <w:spacing w:after="0" w:line="240" w:lineRule="auto"/>
        <w:rPr>
          <w:rFonts w:eastAsia="Arial"/>
          <w:b/>
          <w:bCs/>
        </w:rPr>
      </w:pPr>
    </w:p>
    <w:p w14:paraId="5F05FB91" w14:textId="77777777" w:rsidR="004D556D" w:rsidRPr="000F6CD1" w:rsidRDefault="004D556D" w:rsidP="004D556D">
      <w:pPr>
        <w:pStyle w:val="ListParagraph"/>
        <w:numPr>
          <w:ilvl w:val="0"/>
          <w:numId w:val="570"/>
        </w:numPr>
        <w:spacing w:after="0" w:line="240" w:lineRule="auto"/>
        <w:rPr>
          <w:rFonts w:eastAsia="Arial"/>
          <w:b/>
          <w:bCs/>
          <w:szCs w:val="22"/>
        </w:rPr>
      </w:pPr>
      <w:r w:rsidRPr="000F6CD1">
        <w:rPr>
          <w:rFonts w:eastAsia="Arial"/>
          <w:b/>
          <w:bCs/>
          <w:szCs w:val="22"/>
        </w:rPr>
        <w:t>Section 92(4):</w:t>
      </w:r>
      <w:r w:rsidRPr="000F6CD1">
        <w:rPr>
          <w:rFonts w:eastAsia="Arial"/>
          <w:szCs w:val="22"/>
        </w:rPr>
        <w:t xml:space="preserve"> If necessary, inform the individual of any place they have been allocated, and the day the allocation of the place takes effect. </w:t>
      </w:r>
    </w:p>
    <w:p w14:paraId="0390E5E9" w14:textId="77777777" w:rsidR="004D556D" w:rsidRPr="000F6CD1" w:rsidRDefault="004D556D" w:rsidP="3FD93375">
      <w:pPr>
        <w:spacing w:after="0" w:line="240" w:lineRule="auto"/>
        <w:rPr>
          <w:rFonts w:eastAsia="Arial"/>
          <w:b/>
          <w:bCs/>
          <w:szCs w:val="22"/>
        </w:rPr>
      </w:pPr>
    </w:p>
    <w:p w14:paraId="600D9C4E" w14:textId="77777777" w:rsidR="00BB09C0" w:rsidRDefault="00BB09C0">
      <w:pPr>
        <w:rPr>
          <w:rFonts w:eastAsia="Arial"/>
          <w:b/>
          <w:bCs/>
          <w:szCs w:val="22"/>
        </w:rPr>
      </w:pPr>
      <w:r>
        <w:rPr>
          <w:rFonts w:eastAsia="Arial"/>
          <w:b/>
          <w:bCs/>
          <w:szCs w:val="22"/>
        </w:rPr>
        <w:br w:type="page"/>
      </w:r>
    </w:p>
    <w:p w14:paraId="68D0D543" w14:textId="77777777" w:rsidR="004D556D" w:rsidRPr="000F6CD1" w:rsidRDefault="004D556D" w:rsidP="00820EE5">
      <w:pPr>
        <w:spacing w:after="0" w:line="240" w:lineRule="auto"/>
        <w:rPr>
          <w:rFonts w:eastAsia="Arial"/>
          <w:b/>
          <w:bCs/>
          <w:szCs w:val="22"/>
        </w:rPr>
      </w:pPr>
      <w:r w:rsidRPr="000F6CD1">
        <w:rPr>
          <w:rFonts w:eastAsia="Arial"/>
          <w:b/>
          <w:bCs/>
          <w:szCs w:val="22"/>
        </w:rPr>
        <w:lastRenderedPageBreak/>
        <w:t>When is a NoD required?</w:t>
      </w:r>
    </w:p>
    <w:p w14:paraId="2E925F55" w14:textId="77777777" w:rsidR="004D556D" w:rsidRPr="000F6CD1" w:rsidRDefault="004D556D" w:rsidP="00820EE5">
      <w:pPr>
        <w:spacing w:before="240" w:line="240" w:lineRule="auto"/>
        <w:rPr>
          <w:rFonts w:eastAsia="Arial"/>
          <w:szCs w:val="22"/>
        </w:rPr>
      </w:pPr>
      <w:r w:rsidRPr="000F6CD1">
        <w:rPr>
          <w:rFonts w:eastAsia="Arial"/>
          <w:szCs w:val="22"/>
        </w:rPr>
        <w:t>A NoD must be issued following an initial assessment, reassessment, and (in most cases) a support plan review (SPR).</w:t>
      </w:r>
      <w:r w:rsidRPr="000F6CD1">
        <w:rPr>
          <w:rFonts w:eastAsia="Arial"/>
          <w:b/>
          <w:bCs/>
          <w:szCs w:val="22"/>
        </w:rPr>
        <w:t xml:space="preserve"> </w:t>
      </w:r>
      <w:r w:rsidRPr="000F6CD1">
        <w:rPr>
          <w:rFonts w:eastAsia="Arial"/>
          <w:szCs w:val="22"/>
        </w:rPr>
        <w:t>A NoD is required after all SPRs, except when the SPR:</w:t>
      </w:r>
    </w:p>
    <w:p w14:paraId="405FFA40" w14:textId="77777777" w:rsidR="004D556D" w:rsidRPr="000F6CD1" w:rsidRDefault="004D556D" w:rsidP="004D556D">
      <w:pPr>
        <w:pStyle w:val="ListParagraph"/>
        <w:numPr>
          <w:ilvl w:val="0"/>
          <w:numId w:val="569"/>
        </w:numPr>
        <w:spacing w:after="0" w:line="276" w:lineRule="auto"/>
        <w:ind w:left="1080"/>
        <w:rPr>
          <w:rFonts w:eastAsia="Arial"/>
          <w:szCs w:val="22"/>
        </w:rPr>
      </w:pPr>
      <w:r w:rsidRPr="000F6CD1">
        <w:rPr>
          <w:rFonts w:eastAsia="Arial"/>
          <w:szCs w:val="22"/>
        </w:rPr>
        <w:t>leads to a referral for a full reassessment, or</w:t>
      </w:r>
    </w:p>
    <w:p w14:paraId="3D102FD5" w14:textId="77777777" w:rsidR="004D556D" w:rsidRPr="000F6CD1" w:rsidRDefault="004D556D" w:rsidP="004D556D">
      <w:pPr>
        <w:pStyle w:val="ListParagraph"/>
        <w:numPr>
          <w:ilvl w:val="0"/>
          <w:numId w:val="569"/>
        </w:numPr>
        <w:spacing w:after="0" w:line="276" w:lineRule="auto"/>
        <w:ind w:left="1080"/>
        <w:rPr>
          <w:rFonts w:eastAsia="Arial"/>
          <w:szCs w:val="22"/>
        </w:rPr>
      </w:pPr>
      <w:r w:rsidRPr="000F6CD1">
        <w:rPr>
          <w:rFonts w:eastAsia="Arial"/>
          <w:szCs w:val="22"/>
        </w:rPr>
        <w:t>only approves a second concurrent unit of funding for the Restorative Care Pathway</w:t>
      </w:r>
      <w:r w:rsidRPr="000F6CD1">
        <w:rPr>
          <w:rStyle w:val="FootnoteReference"/>
          <w:rFonts w:eastAsia="Arial"/>
          <w:szCs w:val="22"/>
        </w:rPr>
        <w:footnoteReference w:id="8"/>
      </w:r>
      <w:r w:rsidRPr="000F6CD1">
        <w:rPr>
          <w:rFonts w:eastAsia="Arial"/>
          <w:szCs w:val="22"/>
        </w:rPr>
        <w:t xml:space="preserve">, or </w:t>
      </w:r>
    </w:p>
    <w:p w14:paraId="3107DC44" w14:textId="77777777" w:rsidR="004D556D" w:rsidRPr="000F6CD1" w:rsidRDefault="004D556D" w:rsidP="004D556D">
      <w:pPr>
        <w:pStyle w:val="ListParagraph"/>
        <w:numPr>
          <w:ilvl w:val="0"/>
          <w:numId w:val="569"/>
        </w:numPr>
        <w:spacing w:after="0" w:line="276" w:lineRule="auto"/>
        <w:ind w:left="1080"/>
        <w:rPr>
          <w:rFonts w:eastAsia="Arial"/>
          <w:szCs w:val="22"/>
        </w:rPr>
      </w:pPr>
      <w:r w:rsidRPr="000F6CD1">
        <w:rPr>
          <w:rFonts w:eastAsia="Arial"/>
          <w:szCs w:val="22"/>
        </w:rPr>
        <w:t>transitions the person back to a previously approved ongoing Support at Home classification after an End-of-Life Pathway finishes, or</w:t>
      </w:r>
    </w:p>
    <w:p w14:paraId="1599E709" w14:textId="77777777" w:rsidR="004D556D" w:rsidRPr="000F6CD1" w:rsidRDefault="004D556D" w:rsidP="004D556D">
      <w:pPr>
        <w:pStyle w:val="ListParagraph"/>
        <w:numPr>
          <w:ilvl w:val="0"/>
          <w:numId w:val="569"/>
        </w:numPr>
        <w:spacing w:after="0" w:line="276" w:lineRule="auto"/>
        <w:ind w:left="1080"/>
        <w:rPr>
          <w:rFonts w:eastAsia="Arial"/>
          <w:b/>
        </w:rPr>
      </w:pPr>
      <w:r w:rsidRPr="000F6CD1">
        <w:rPr>
          <w:rFonts w:eastAsia="Arial"/>
        </w:rPr>
        <w:t>is adding a service that is within a service type</w:t>
      </w:r>
      <w:r w:rsidRPr="000F6CD1">
        <w:rPr>
          <w:rStyle w:val="FootnoteReference"/>
          <w:rFonts w:eastAsia="Arial"/>
          <w:szCs w:val="22"/>
        </w:rPr>
        <w:footnoteReference w:id="9"/>
      </w:r>
      <w:r w:rsidRPr="000F6CD1">
        <w:rPr>
          <w:rFonts w:eastAsia="Arial"/>
        </w:rPr>
        <w:t xml:space="preserve"> that has already been approved </w:t>
      </w:r>
      <w:r w:rsidRPr="000F6CD1">
        <w:rPr>
          <w:rFonts w:eastAsia="Arial"/>
          <w:i/>
        </w:rPr>
        <w:t xml:space="preserve">from the perspective of the </w:t>
      </w:r>
      <w:r w:rsidRPr="000F6CD1">
        <w:rPr>
          <w:rFonts w:eastAsia="Arial"/>
          <w:i/>
          <w:iCs/>
        </w:rPr>
        <w:t>Act</w:t>
      </w:r>
      <w:r w:rsidRPr="000F6CD1">
        <w:rPr>
          <w:rStyle w:val="FootnoteReference"/>
          <w:rFonts w:eastAsia="Arial"/>
          <w:i/>
          <w:iCs/>
          <w:szCs w:val="22"/>
        </w:rPr>
        <w:footnoteReference w:id="10"/>
      </w:r>
      <w:r w:rsidRPr="000F6CD1">
        <w:rPr>
          <w:rFonts w:eastAsia="Arial"/>
        </w:rPr>
        <w:t xml:space="preserve"> unless the service is within one of the prescribed service types (‘Allied health and therapy’ or ‘Therapeutic services for independent living’).</w:t>
      </w:r>
    </w:p>
    <w:p w14:paraId="4C40FEF0" w14:textId="77777777" w:rsidR="004D556D" w:rsidRPr="000F6CD1" w:rsidRDefault="004D556D" w:rsidP="3FD93375">
      <w:pPr>
        <w:spacing w:after="0" w:line="276" w:lineRule="auto"/>
        <w:rPr>
          <w:rFonts w:eastAsia="Arial"/>
          <w:b/>
          <w:bCs/>
          <w:szCs w:val="22"/>
        </w:rPr>
      </w:pPr>
    </w:p>
    <w:p w14:paraId="74811FA4" w14:textId="77777777" w:rsidR="004D556D" w:rsidRPr="000F6CD1" w:rsidRDefault="004D556D" w:rsidP="00820EE5">
      <w:pPr>
        <w:spacing w:after="0" w:line="276" w:lineRule="auto"/>
        <w:rPr>
          <w:rFonts w:eastAsia="Arial"/>
          <w:b/>
          <w:bCs/>
          <w:szCs w:val="22"/>
        </w:rPr>
      </w:pPr>
      <w:r w:rsidRPr="000F6CD1">
        <w:rPr>
          <w:rFonts w:eastAsia="Arial"/>
          <w:b/>
          <w:bCs/>
          <w:szCs w:val="22"/>
        </w:rPr>
        <w:t>Triage, alternative entry provisions and the NoD</w:t>
      </w:r>
    </w:p>
    <w:p w14:paraId="18A7CA58" w14:textId="77777777" w:rsidR="004D556D" w:rsidRPr="000F6CD1" w:rsidRDefault="004D556D" w:rsidP="00820EE5">
      <w:pPr>
        <w:spacing w:before="240" w:after="240" w:line="240" w:lineRule="auto"/>
        <w:rPr>
          <w:rFonts w:eastAsia="Arial"/>
          <w:szCs w:val="22"/>
        </w:rPr>
      </w:pPr>
      <w:r w:rsidRPr="000F6CD1">
        <w:rPr>
          <w:rFonts w:eastAsia="Arial"/>
          <w:szCs w:val="22"/>
        </w:rPr>
        <w:t xml:space="preserve">If the older person does not meet eligibility requirements to receive an aged care needs assessment under Section 58 of the Act (i.e., at triage), the triage delegate should prepare a </w:t>
      </w:r>
      <w:r w:rsidRPr="000F6CD1">
        <w:rPr>
          <w:rFonts w:eastAsia="Arial"/>
          <w:b/>
          <w:bCs/>
          <w:szCs w:val="22"/>
        </w:rPr>
        <w:t>Notice of Decision – Not eligible for assessment</w:t>
      </w:r>
      <w:r w:rsidRPr="000F6CD1">
        <w:rPr>
          <w:rFonts w:eastAsia="Arial"/>
          <w:szCs w:val="22"/>
        </w:rPr>
        <w:t xml:space="preserve"> letter and complete it in line with the instructions within the letter.</w:t>
      </w:r>
    </w:p>
    <w:p w14:paraId="780A5DDE" w14:textId="77777777" w:rsidR="004D556D" w:rsidRPr="000F6CD1" w:rsidRDefault="004D556D" w:rsidP="00820EE5">
      <w:pPr>
        <w:spacing w:before="240" w:after="240" w:line="240" w:lineRule="auto"/>
        <w:rPr>
          <w:rFonts w:eastAsia="Arial"/>
          <w:szCs w:val="22"/>
        </w:rPr>
      </w:pPr>
      <w:r w:rsidRPr="000F6CD1">
        <w:rPr>
          <w:rFonts w:eastAsia="Arial"/>
          <w:szCs w:val="22"/>
        </w:rPr>
        <w:t xml:space="preserve">If a triage delegate makes a referral for urgent services through the alternative entry provisions under Section 71 of the Act (refer to section 3.2 of this manual), they do not need to generate a NoD at that point in the process. Once the assessment is complete, the assessment delegate will generate the NoD covering approvals for these services. </w:t>
      </w:r>
    </w:p>
    <w:p w14:paraId="4ABA210F" w14:textId="1C3CBBB5" w:rsidR="004D556D" w:rsidRPr="000F6CD1" w:rsidRDefault="004D556D" w:rsidP="00AC29F6">
      <w:pPr>
        <w:spacing w:before="240" w:after="240" w:line="240" w:lineRule="auto"/>
      </w:pPr>
      <w:r w:rsidRPr="000F6CD1">
        <w:rPr>
          <w:rFonts w:eastAsia="Arial"/>
          <w:szCs w:val="22"/>
        </w:rPr>
        <w:t xml:space="preserve">If the older person does not meet the eligibility requirements under Section 65 of the Act, they are not eligible to receive the service provided through an alternative entry pathway under section 71 of the Act. The assessment delegate must apply the Act’s eligibility criteria when making their decision and, if required, not approve the service at the time of assessment. </w:t>
      </w:r>
      <w:r w:rsidR="00BB09C0" w:rsidRPr="000F6CD1">
        <w:rPr>
          <w:noProof/>
        </w:rPr>
        <w:drawing>
          <wp:anchor distT="0" distB="0" distL="114300" distR="114300" simplePos="0" relativeHeight="251658299" behindDoc="0" locked="0" layoutInCell="1" allowOverlap="1" wp14:anchorId="714B14E0" wp14:editId="7500ECC2">
            <wp:simplePos x="0" y="0"/>
            <wp:positionH relativeFrom="margin">
              <wp:posOffset>0</wp:posOffset>
            </wp:positionH>
            <wp:positionV relativeFrom="margin">
              <wp:posOffset>5972175</wp:posOffset>
            </wp:positionV>
            <wp:extent cx="457200" cy="506095"/>
            <wp:effectExtent l="0" t="0" r="0" b="8255"/>
            <wp:wrapSquare wrapText="bothSides"/>
            <wp:docPr id="1530504189" name="Picture 1530504189"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04189" name="Picture 1530504189"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p>
    <w:p w14:paraId="61932B1E" w14:textId="1DC17F64" w:rsidR="004D556D" w:rsidRPr="000F6CD1" w:rsidRDefault="004D556D" w:rsidP="00AD2CE5">
      <w:pPr>
        <w:pStyle w:val="H3"/>
      </w:pPr>
      <w:r w:rsidRPr="000F6CD1">
        <w:t xml:space="preserve"> Notice of Decision templates</w:t>
      </w:r>
    </w:p>
    <w:p w14:paraId="65EA029A" w14:textId="254A2018" w:rsidR="00AC29F6" w:rsidRDefault="004D556D" w:rsidP="3FD93375">
      <w:pPr>
        <w:spacing w:before="240" w:after="240"/>
        <w:rPr>
          <w:rFonts w:eastAsia="Arial"/>
          <w:szCs w:val="22"/>
        </w:rPr>
      </w:pPr>
      <w:r w:rsidRPr="000F6CD1">
        <w:rPr>
          <w:rFonts w:eastAsia="Arial"/>
          <w:szCs w:val="22"/>
        </w:rPr>
        <w:t>NoD templates can be generated in the My Aged Care Assessor Portal after assessment delegate decisions have been made and recorded. Much of the critical information is pre-populated and the templates include detailed guidance on how to complete a legally compliant letter.</w:t>
      </w:r>
    </w:p>
    <w:p w14:paraId="6ADC093D" w14:textId="2A305F1A" w:rsidR="004D556D" w:rsidRPr="000F6CD1" w:rsidRDefault="00AC29F6" w:rsidP="00AC29F6">
      <w:pPr>
        <w:rPr>
          <w:rFonts w:eastAsia="Arial"/>
          <w:szCs w:val="22"/>
        </w:rPr>
      </w:pPr>
      <w:r>
        <w:rPr>
          <w:rFonts w:eastAsia="Arial"/>
          <w:szCs w:val="22"/>
        </w:rPr>
        <w:br w:type="page"/>
      </w:r>
    </w:p>
    <w:p w14:paraId="5D72AC94" w14:textId="0D63CE12" w:rsidR="004D556D" w:rsidRPr="000F6CD1" w:rsidRDefault="004D556D" w:rsidP="003E3F49">
      <w:pPr>
        <w:spacing w:before="240" w:after="240"/>
        <w:rPr>
          <w:rFonts w:eastAsia="Arial"/>
          <w:szCs w:val="22"/>
        </w:rPr>
      </w:pPr>
      <w:r w:rsidRPr="000F6CD1">
        <w:rPr>
          <w:rFonts w:eastAsia="Arial"/>
          <w:szCs w:val="22"/>
        </w:rPr>
        <w:lastRenderedPageBreak/>
        <w:t>There are two NoD templates:</w:t>
      </w:r>
    </w:p>
    <w:p w14:paraId="1353936B" w14:textId="77777777" w:rsidR="004D556D" w:rsidRPr="000F6CD1" w:rsidRDefault="004D556D" w:rsidP="004D556D">
      <w:pPr>
        <w:pStyle w:val="ListParagraph"/>
        <w:numPr>
          <w:ilvl w:val="0"/>
          <w:numId w:val="567"/>
        </w:numPr>
        <w:spacing w:after="0"/>
        <w:rPr>
          <w:rFonts w:eastAsia="Arial"/>
          <w:szCs w:val="22"/>
        </w:rPr>
      </w:pPr>
      <w:r w:rsidRPr="000F6CD1">
        <w:rPr>
          <w:rFonts w:eastAsia="Arial"/>
          <w:b/>
          <w:bCs/>
          <w:szCs w:val="22"/>
        </w:rPr>
        <w:t>Approval letter</w:t>
      </w:r>
      <w:r w:rsidRPr="000F6CD1">
        <w:rPr>
          <w:rFonts w:eastAsia="Arial"/>
          <w:szCs w:val="22"/>
        </w:rPr>
        <w:t>:</w:t>
      </w:r>
    </w:p>
    <w:p w14:paraId="084B27B2" w14:textId="77777777" w:rsidR="004D556D" w:rsidRPr="000F6CD1" w:rsidRDefault="004D556D" w:rsidP="004D556D">
      <w:pPr>
        <w:pStyle w:val="ListParagraph"/>
        <w:numPr>
          <w:ilvl w:val="1"/>
          <w:numId w:val="566"/>
        </w:numPr>
        <w:spacing w:after="0"/>
        <w:rPr>
          <w:rFonts w:eastAsia="Arial"/>
          <w:szCs w:val="22"/>
        </w:rPr>
      </w:pPr>
      <w:r w:rsidRPr="000F6CD1">
        <w:rPr>
          <w:rFonts w:eastAsia="Arial"/>
          <w:szCs w:val="22"/>
        </w:rPr>
        <w:t>Used when the Assessment Delegate is approving access to any services – even if some of the services recommended have not been approved.</w:t>
      </w:r>
    </w:p>
    <w:p w14:paraId="463E9781" w14:textId="77777777" w:rsidR="004D556D" w:rsidRPr="000F6CD1" w:rsidRDefault="004D556D" w:rsidP="004D556D">
      <w:pPr>
        <w:pStyle w:val="ListParagraph"/>
        <w:numPr>
          <w:ilvl w:val="0"/>
          <w:numId w:val="565"/>
        </w:numPr>
        <w:spacing w:after="0"/>
        <w:rPr>
          <w:rFonts w:eastAsia="Arial"/>
          <w:szCs w:val="22"/>
        </w:rPr>
      </w:pPr>
      <w:r w:rsidRPr="000F6CD1">
        <w:rPr>
          <w:rFonts w:eastAsia="Arial"/>
          <w:b/>
          <w:bCs/>
          <w:szCs w:val="22"/>
        </w:rPr>
        <w:t>Non-approval letter</w:t>
      </w:r>
      <w:r w:rsidRPr="000F6CD1">
        <w:rPr>
          <w:rFonts w:eastAsia="Arial"/>
          <w:szCs w:val="22"/>
        </w:rPr>
        <w:t xml:space="preserve">: </w:t>
      </w:r>
    </w:p>
    <w:p w14:paraId="6A470069" w14:textId="77777777" w:rsidR="004D556D" w:rsidRPr="000F6CD1" w:rsidRDefault="004D556D" w:rsidP="004D556D">
      <w:pPr>
        <w:pStyle w:val="ListParagraph"/>
        <w:numPr>
          <w:ilvl w:val="1"/>
          <w:numId w:val="566"/>
        </w:numPr>
        <w:spacing w:after="0"/>
        <w:rPr>
          <w:rFonts w:eastAsia="Arial"/>
          <w:szCs w:val="22"/>
        </w:rPr>
      </w:pPr>
      <w:r w:rsidRPr="000F6CD1">
        <w:rPr>
          <w:rFonts w:eastAsia="Arial"/>
          <w:szCs w:val="22"/>
        </w:rPr>
        <w:t xml:space="preserve">Used after initial assessment, when the assessment delegate is not approving the older person for access to </w:t>
      </w:r>
      <w:r w:rsidRPr="000F6CD1">
        <w:rPr>
          <w:rFonts w:eastAsia="Arial"/>
          <w:i/>
          <w:iCs/>
          <w:szCs w:val="22"/>
        </w:rPr>
        <w:t>any services at all.</w:t>
      </w:r>
      <w:r w:rsidRPr="000F6CD1">
        <w:rPr>
          <w:rFonts w:eastAsia="Arial"/>
          <w:szCs w:val="22"/>
        </w:rPr>
        <w:t xml:space="preserve"> </w:t>
      </w:r>
    </w:p>
    <w:p w14:paraId="40E7A019" w14:textId="77777777" w:rsidR="004D556D" w:rsidRPr="000F6CD1" w:rsidRDefault="004D556D" w:rsidP="004D556D">
      <w:pPr>
        <w:pStyle w:val="ListParagraph"/>
        <w:numPr>
          <w:ilvl w:val="1"/>
          <w:numId w:val="566"/>
        </w:numPr>
        <w:spacing w:after="0"/>
        <w:rPr>
          <w:rFonts w:eastAsia="Arial"/>
          <w:i/>
          <w:iCs/>
          <w:szCs w:val="22"/>
        </w:rPr>
      </w:pPr>
      <w:r w:rsidRPr="000F6CD1">
        <w:rPr>
          <w:rFonts w:eastAsia="Arial"/>
          <w:szCs w:val="22"/>
        </w:rPr>
        <w:t xml:space="preserve">After Reassessment or SPR when the assessment delegate is not approving the older person to access </w:t>
      </w:r>
      <w:r w:rsidRPr="000F6CD1">
        <w:rPr>
          <w:rFonts w:eastAsia="Arial"/>
          <w:i/>
          <w:iCs/>
          <w:szCs w:val="22"/>
        </w:rPr>
        <w:t>any additional services.</w:t>
      </w:r>
    </w:p>
    <w:p w14:paraId="33D254E6" w14:textId="05378287" w:rsidR="004D556D" w:rsidRPr="000F6CD1" w:rsidRDefault="004D556D" w:rsidP="00754510">
      <w:pPr>
        <w:spacing w:before="240" w:after="240"/>
        <w:rPr>
          <w:rFonts w:eastAsia="Arial"/>
          <w:szCs w:val="22"/>
        </w:rPr>
      </w:pPr>
      <w:r w:rsidRPr="000F6CD1">
        <w:rPr>
          <w:rFonts w:eastAsia="Arial"/>
          <w:szCs w:val="22"/>
        </w:rPr>
        <w:t>If a reassessment does not add any new approvals and existing approvals remain unchanged, the system will prompt the delegate to generate a non-approval letter only. This does not affect the client’s current approvals. The non-approval letter simply confirms that no additional services were approved during the reassessment or a SPR.</w:t>
      </w:r>
    </w:p>
    <w:p w14:paraId="270FB840" w14:textId="49219D1B" w:rsidR="004D556D" w:rsidRPr="000F6CD1" w:rsidRDefault="004D556D">
      <w:pPr>
        <w:spacing w:after="0"/>
        <w:rPr>
          <w:rFonts w:eastAsia="Arial"/>
          <w:bCs/>
          <w:iCs/>
          <w:szCs w:val="22"/>
        </w:rPr>
      </w:pPr>
      <w:r w:rsidRPr="000F6CD1">
        <w:t>Refer to</w:t>
      </w:r>
      <w:r w:rsidR="00D50AF1">
        <w:t xml:space="preserve"> section</w:t>
      </w:r>
      <w:r w:rsidRPr="000F6CD1">
        <w:t xml:space="preserve"> </w:t>
      </w:r>
      <w:r w:rsidR="00D50AF1">
        <w:fldChar w:fldCharType="begin"/>
      </w:r>
      <w:r w:rsidR="00D50AF1">
        <w:instrText xml:space="preserve"> REF _Ref232691010 \r \h </w:instrText>
      </w:r>
      <w:r w:rsidR="00D50AF1">
        <w:fldChar w:fldCharType="separate"/>
      </w:r>
      <w:r w:rsidR="004B171E">
        <w:t>9.3.6</w:t>
      </w:r>
      <w:r w:rsidR="00D50AF1">
        <w:fldChar w:fldCharType="end"/>
      </w:r>
      <w:r w:rsidR="00343C4B">
        <w:t xml:space="preserve"> </w:t>
      </w:r>
      <w:r w:rsidRPr="000F6CD1">
        <w:t xml:space="preserve">for details on the approval letter for a second unit of RCP. </w:t>
      </w:r>
    </w:p>
    <w:p w14:paraId="73CD3C29" w14:textId="3D971C28" w:rsidR="004D556D" w:rsidRPr="000F6CD1" w:rsidRDefault="0086180B" w:rsidP="00AD2CE5">
      <w:pPr>
        <w:pStyle w:val="H3"/>
        <w:rPr>
          <w:rFonts w:eastAsia="Arial"/>
        </w:rPr>
      </w:pPr>
      <w:r>
        <w:drawing>
          <wp:anchor distT="0" distB="0" distL="114300" distR="114300" simplePos="0" relativeHeight="251658300" behindDoc="0" locked="0" layoutInCell="1" allowOverlap="1" wp14:anchorId="1B5669C3" wp14:editId="691FFD53">
            <wp:simplePos x="0" y="0"/>
            <wp:positionH relativeFrom="margin">
              <wp:align>left</wp:align>
            </wp:positionH>
            <wp:positionV relativeFrom="margin">
              <wp:posOffset>2928611</wp:posOffset>
            </wp:positionV>
            <wp:extent cx="365792" cy="403895"/>
            <wp:effectExtent l="0" t="0" r="0" b="0"/>
            <wp:wrapSquare wrapText="bothSides"/>
            <wp:docPr id="9649486"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486"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Completing an NoD</w:t>
      </w:r>
    </w:p>
    <w:p w14:paraId="2389F811" w14:textId="1E6B7CF9" w:rsidR="004D556D" w:rsidRPr="000F6CD1" w:rsidRDefault="004D556D" w:rsidP="004F7FEF">
      <w:pPr>
        <w:spacing w:line="257" w:lineRule="auto"/>
        <w:rPr>
          <w:rFonts w:eastAsia="Arial"/>
          <w:szCs w:val="22"/>
        </w:rPr>
      </w:pPr>
      <w:r w:rsidRPr="000F6CD1">
        <w:rPr>
          <w:rFonts w:eastAsia="Arial"/>
          <w:szCs w:val="22"/>
        </w:rPr>
        <w:t>To ensure the NoD is tailored to the individual and includes all required legal information, assessment delegates must:</w:t>
      </w:r>
    </w:p>
    <w:p w14:paraId="7EFE71B9" w14:textId="77777777" w:rsidR="004D556D" w:rsidRPr="000F6CD1" w:rsidRDefault="004D556D" w:rsidP="004D556D">
      <w:pPr>
        <w:pStyle w:val="ListParagraph"/>
        <w:numPr>
          <w:ilvl w:val="0"/>
          <w:numId w:val="559"/>
        </w:numPr>
        <w:spacing w:after="0" w:line="257" w:lineRule="auto"/>
        <w:rPr>
          <w:rFonts w:eastAsia="Arial"/>
          <w:szCs w:val="22"/>
        </w:rPr>
      </w:pPr>
      <w:r w:rsidRPr="000F6CD1">
        <w:rPr>
          <w:rFonts w:eastAsia="Arial"/>
          <w:szCs w:val="22"/>
        </w:rPr>
        <w:t>generate the letter from the My Aged Care Assessor Portal</w:t>
      </w:r>
    </w:p>
    <w:p w14:paraId="025DC657" w14:textId="77777777" w:rsidR="004D556D" w:rsidRPr="000F6CD1" w:rsidRDefault="004D556D" w:rsidP="004D556D">
      <w:pPr>
        <w:pStyle w:val="ListParagraph"/>
        <w:numPr>
          <w:ilvl w:val="0"/>
          <w:numId w:val="559"/>
        </w:numPr>
        <w:spacing w:after="0" w:line="257" w:lineRule="auto"/>
        <w:rPr>
          <w:rFonts w:eastAsia="Arial"/>
          <w:szCs w:val="22"/>
        </w:rPr>
      </w:pPr>
      <w:r w:rsidRPr="000F6CD1">
        <w:rPr>
          <w:rFonts w:eastAsia="Arial"/>
          <w:szCs w:val="22"/>
        </w:rPr>
        <w:t xml:space="preserve">save the letter locally and make the necessary edits following the guidance text in the template </w:t>
      </w:r>
    </w:p>
    <w:p w14:paraId="628E9C18" w14:textId="77777777" w:rsidR="004D556D" w:rsidRPr="000F6CD1" w:rsidRDefault="004D556D" w:rsidP="004D556D">
      <w:pPr>
        <w:pStyle w:val="ListParagraph"/>
        <w:numPr>
          <w:ilvl w:val="0"/>
          <w:numId w:val="559"/>
        </w:numPr>
        <w:spacing w:after="0" w:line="257" w:lineRule="auto"/>
        <w:rPr>
          <w:rFonts w:eastAsia="Arial"/>
          <w:szCs w:val="22"/>
        </w:rPr>
      </w:pPr>
      <w:r w:rsidRPr="000F6CD1">
        <w:rPr>
          <w:rFonts w:eastAsia="Arial"/>
          <w:szCs w:val="22"/>
        </w:rPr>
        <w:t>clearly set out the reasons for their decisions (see following sections for further guidance)</w:t>
      </w:r>
    </w:p>
    <w:p w14:paraId="1407302C" w14:textId="77777777" w:rsidR="004D556D" w:rsidRPr="000F6CD1" w:rsidRDefault="004D556D" w:rsidP="004D556D">
      <w:pPr>
        <w:pStyle w:val="ListParagraph"/>
        <w:numPr>
          <w:ilvl w:val="0"/>
          <w:numId w:val="559"/>
        </w:numPr>
        <w:spacing w:after="0" w:line="257" w:lineRule="auto"/>
        <w:rPr>
          <w:rFonts w:eastAsia="Arial"/>
          <w:szCs w:val="22"/>
        </w:rPr>
      </w:pPr>
      <w:r w:rsidRPr="000F6CD1">
        <w:rPr>
          <w:rFonts w:eastAsia="Arial"/>
          <w:szCs w:val="22"/>
        </w:rPr>
        <w:t>include the Commonwealth Coat of Arms and the My Aged Care logo</w:t>
      </w:r>
    </w:p>
    <w:p w14:paraId="72CFBE3B" w14:textId="77777777" w:rsidR="004D556D" w:rsidRPr="000F6CD1" w:rsidRDefault="004D556D" w:rsidP="004D556D">
      <w:pPr>
        <w:pStyle w:val="ListParagraph"/>
        <w:numPr>
          <w:ilvl w:val="0"/>
          <w:numId w:val="559"/>
        </w:numPr>
        <w:spacing w:after="0" w:line="257" w:lineRule="auto"/>
        <w:rPr>
          <w:rFonts w:eastAsia="Arial"/>
          <w:szCs w:val="22"/>
        </w:rPr>
      </w:pPr>
      <w:r w:rsidRPr="000F6CD1">
        <w:rPr>
          <w:rFonts w:eastAsia="Arial"/>
          <w:b/>
          <w:bCs/>
          <w:szCs w:val="22"/>
        </w:rPr>
        <w:t>not</w:t>
      </w:r>
      <w:r w:rsidRPr="000F6CD1">
        <w:rPr>
          <w:rFonts w:eastAsia="Arial"/>
          <w:szCs w:val="22"/>
        </w:rPr>
        <w:t xml:space="preserve"> include any co</w:t>
      </w:r>
      <w:r w:rsidRPr="000F6CD1">
        <w:rPr>
          <w:rFonts w:ascii="Cambria Math" w:eastAsia="Arial" w:hAnsi="Cambria Math" w:cs="Cambria Math"/>
          <w:szCs w:val="22"/>
        </w:rPr>
        <w:t>‑</w:t>
      </w:r>
      <w:r w:rsidRPr="000F6CD1">
        <w:rPr>
          <w:rFonts w:eastAsia="Arial"/>
          <w:szCs w:val="22"/>
        </w:rPr>
        <w:t>branding – logos of individual assessment organisations must not be included, as specified in the contractual agreements between the Department and individual assessment organisations.</w:t>
      </w:r>
    </w:p>
    <w:p w14:paraId="26C1CAC1" w14:textId="77777777" w:rsidR="004D556D" w:rsidRPr="000F6CD1" w:rsidRDefault="004D556D" w:rsidP="004F7FEF">
      <w:pPr>
        <w:spacing w:before="240" w:after="240"/>
        <w:rPr>
          <w:rFonts w:eastAsia="Arial"/>
          <w:szCs w:val="22"/>
        </w:rPr>
      </w:pPr>
      <w:r w:rsidRPr="000F6CD1">
        <w:rPr>
          <w:rFonts w:eastAsia="Arial"/>
          <w:szCs w:val="22"/>
        </w:rPr>
        <w:t>To ensure the NoDs remain legally compliant, assessment delegates must follow the guidance provided in the Notice of Decision templates and associated departmental guidance materials.</w:t>
      </w:r>
    </w:p>
    <w:p w14:paraId="738C288D" w14:textId="75016185" w:rsidR="00AC29F6" w:rsidRDefault="004D556D" w:rsidP="00684E7A">
      <w:pPr>
        <w:spacing w:before="240" w:after="240"/>
        <w:rPr>
          <w:rFonts w:eastAsia="Arial"/>
          <w:szCs w:val="22"/>
        </w:rPr>
      </w:pPr>
      <w:r w:rsidRPr="000F6CD1">
        <w:rPr>
          <w:rFonts w:eastAsia="Arial"/>
          <w:szCs w:val="22"/>
        </w:rPr>
        <w:t>Assessment delegates may only remove or amend text where explicitly directed by the department.</w:t>
      </w:r>
    </w:p>
    <w:p w14:paraId="6E476349" w14:textId="2EE631D7" w:rsidR="00AC29F6" w:rsidRDefault="00AC29F6">
      <w:pPr>
        <w:rPr>
          <w:rFonts w:eastAsia="Arial"/>
          <w:szCs w:val="22"/>
        </w:rPr>
      </w:pPr>
      <w:r>
        <w:rPr>
          <w:rFonts w:eastAsia="Arial"/>
          <w:szCs w:val="22"/>
        </w:rPr>
        <w:br w:type="page"/>
      </w:r>
    </w:p>
    <w:p w14:paraId="31EDA30F" w14:textId="2B24AC81" w:rsidR="004D556D" w:rsidRPr="000F6CD1" w:rsidRDefault="00AC29F6" w:rsidP="00684E7A">
      <w:pPr>
        <w:spacing w:before="240" w:after="240"/>
        <w:rPr>
          <w:rFonts w:eastAsia="Arial"/>
          <w:szCs w:val="22"/>
        </w:rPr>
      </w:pPr>
      <w:r>
        <w:rPr>
          <w:noProof/>
        </w:rPr>
        <w:lastRenderedPageBreak/>
        <w:drawing>
          <wp:anchor distT="0" distB="0" distL="114300" distR="114300" simplePos="0" relativeHeight="251658301" behindDoc="0" locked="0" layoutInCell="1" allowOverlap="1" wp14:anchorId="4C52FE2D" wp14:editId="080292FE">
            <wp:simplePos x="0" y="0"/>
            <wp:positionH relativeFrom="leftMargin">
              <wp:posOffset>901065</wp:posOffset>
            </wp:positionH>
            <wp:positionV relativeFrom="page">
              <wp:posOffset>1162050</wp:posOffset>
            </wp:positionV>
            <wp:extent cx="365792" cy="403895"/>
            <wp:effectExtent l="0" t="0" r="0" b="0"/>
            <wp:wrapSquare wrapText="bothSides"/>
            <wp:docPr id="1701613549"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13549"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p>
    <w:p w14:paraId="6CA4DF0C" w14:textId="24B9B279" w:rsidR="004D556D" w:rsidRPr="000F6CD1" w:rsidRDefault="004D556D" w:rsidP="00AD2CE5">
      <w:pPr>
        <w:pStyle w:val="H3"/>
        <w:rPr>
          <w:rFonts w:eastAsia="Arial"/>
        </w:rPr>
      </w:pPr>
      <w:r w:rsidRPr="000F6CD1">
        <w:t>Reasons for decisions</w:t>
      </w:r>
    </w:p>
    <w:p w14:paraId="0C0DAD9F" w14:textId="63A3373A" w:rsidR="004D556D" w:rsidRPr="000F6CD1" w:rsidRDefault="004D556D" w:rsidP="00684E7A">
      <w:pPr>
        <w:spacing w:before="240" w:after="240"/>
        <w:rPr>
          <w:rFonts w:eastAsia="Arial"/>
          <w:szCs w:val="22"/>
        </w:rPr>
      </w:pPr>
      <w:r w:rsidRPr="000F6CD1">
        <w:rPr>
          <w:rFonts w:eastAsia="Arial"/>
          <w:szCs w:val="22"/>
        </w:rPr>
        <w:t>Assessment delegates must consider and record reasons for approval and non-approval decisions relating to service groups, service types or services. Assessment delegates must turn their mind to these reasons when making approval decisions and then record them in the NoD.</w:t>
      </w:r>
    </w:p>
    <w:p w14:paraId="36CDB157" w14:textId="77777777" w:rsidR="004D556D" w:rsidRPr="000F6CD1" w:rsidRDefault="004D556D" w:rsidP="00684E7A">
      <w:pPr>
        <w:spacing w:before="240" w:after="240"/>
        <w:rPr>
          <w:rFonts w:eastAsia="Arial"/>
          <w:szCs w:val="22"/>
        </w:rPr>
      </w:pPr>
      <w:r w:rsidRPr="000F6CD1">
        <w:rPr>
          <w:rFonts w:eastAsia="Arial"/>
          <w:szCs w:val="22"/>
        </w:rPr>
        <w:t>Delegate decision reasons must:</w:t>
      </w:r>
    </w:p>
    <w:p w14:paraId="0C193984" w14:textId="77777777" w:rsidR="004D556D" w:rsidRPr="000F6CD1" w:rsidRDefault="004D556D" w:rsidP="004D556D">
      <w:pPr>
        <w:pStyle w:val="ListParagraph"/>
        <w:numPr>
          <w:ilvl w:val="0"/>
          <w:numId w:val="555"/>
        </w:numPr>
        <w:spacing w:after="0"/>
        <w:rPr>
          <w:rFonts w:eastAsia="Arial"/>
          <w:szCs w:val="22"/>
        </w:rPr>
      </w:pPr>
      <w:r w:rsidRPr="000F6CD1">
        <w:rPr>
          <w:rFonts w:eastAsia="Arial"/>
          <w:szCs w:val="22"/>
        </w:rPr>
        <w:t xml:space="preserve">demonstrate how the individual meets or does not meet the criteria for approval under the relevant sections 65–68 of the </w:t>
      </w:r>
      <w:r w:rsidRPr="00EB1D79">
        <w:rPr>
          <w:rFonts w:eastAsia="Arial"/>
          <w:i/>
          <w:iCs/>
          <w:szCs w:val="22"/>
        </w:rPr>
        <w:t>Aged Care Act 2024</w:t>
      </w:r>
      <w:r w:rsidRPr="000F6CD1">
        <w:rPr>
          <w:rFonts w:eastAsia="Arial"/>
          <w:szCs w:val="22"/>
        </w:rPr>
        <w:t xml:space="preserve"> (the Act), </w:t>
      </w:r>
    </w:p>
    <w:p w14:paraId="3EC02770" w14:textId="77777777" w:rsidR="004D556D" w:rsidRPr="000F6CD1" w:rsidRDefault="004D556D" w:rsidP="004D556D">
      <w:pPr>
        <w:pStyle w:val="ListParagraph"/>
        <w:numPr>
          <w:ilvl w:val="0"/>
          <w:numId w:val="555"/>
        </w:numPr>
        <w:spacing w:after="0"/>
        <w:rPr>
          <w:rFonts w:eastAsia="Arial"/>
          <w:szCs w:val="22"/>
        </w:rPr>
      </w:pPr>
      <w:r w:rsidRPr="000F6CD1">
        <w:rPr>
          <w:rFonts w:eastAsia="Arial"/>
          <w:szCs w:val="22"/>
        </w:rPr>
        <w:t>be tailored to the person’s specific circumstances, drawing on the information provided in the IAT, support plan and assessment report,</w:t>
      </w:r>
    </w:p>
    <w:p w14:paraId="6CB5CD26" w14:textId="64D48C57" w:rsidR="004D556D" w:rsidRPr="000F6CD1" w:rsidRDefault="004D556D" w:rsidP="004D556D">
      <w:pPr>
        <w:pStyle w:val="ListParagraph"/>
        <w:numPr>
          <w:ilvl w:val="0"/>
          <w:numId w:val="555"/>
        </w:numPr>
        <w:spacing w:after="0"/>
        <w:rPr>
          <w:rFonts w:eastAsia="Arial"/>
          <w:szCs w:val="22"/>
        </w:rPr>
      </w:pPr>
      <w:r w:rsidRPr="000F6CD1">
        <w:rPr>
          <w:rFonts w:eastAsia="Arial"/>
          <w:szCs w:val="22"/>
        </w:rPr>
        <w:t>clearly explain (for approvals) how the individual satisfies the relevant eligibility criteria under the Act and the rules, with reference to their unique situation.</w:t>
      </w:r>
    </w:p>
    <w:p w14:paraId="158C265D" w14:textId="0AB8CC78" w:rsidR="004D556D" w:rsidRPr="000F6CD1" w:rsidRDefault="004D556D">
      <w:pPr>
        <w:numPr>
          <w:ilvl w:val="0"/>
          <w:numId w:val="11"/>
        </w:numPr>
        <w:rPr>
          <w:rFonts w:eastAsia="Arial"/>
          <w:szCs w:val="22"/>
        </w:rPr>
      </w:pPr>
      <w:r w:rsidRPr="000F6CD1">
        <w:rPr>
          <w:rFonts w:eastAsia="Arial"/>
          <w:szCs w:val="22"/>
        </w:rPr>
        <w:t xml:space="preserve">The NoD templates provide detailed guidance on how to record reasons that fulfil these requirements. Chapter 8 provides a comprehensive explanation of the eligibility requirements set out under sections 65-68 of the Act and the relevant rules. </w:t>
      </w:r>
    </w:p>
    <w:p w14:paraId="3CA8857E" w14:textId="01D1E229" w:rsidR="004D556D" w:rsidRPr="000F6CD1" w:rsidRDefault="004D556D">
      <w:pPr>
        <w:rPr>
          <w:rFonts w:eastAsia="Arial"/>
          <w:szCs w:val="22"/>
        </w:rPr>
      </w:pPr>
      <w:r w:rsidRPr="000F6CD1">
        <w:rPr>
          <w:rFonts w:eastAsia="Arial"/>
          <w:szCs w:val="22"/>
        </w:rPr>
        <w:t>For a comprehensive explanation of the eligibility requirements set out in sections 65–68 of the Act, the relevant rules, and guidance on which reasons apply, refer to:</w:t>
      </w:r>
    </w:p>
    <w:p w14:paraId="28160618" w14:textId="547126FF" w:rsidR="004D556D" w:rsidRPr="000F6CD1" w:rsidRDefault="004D556D" w:rsidP="004D556D">
      <w:pPr>
        <w:pStyle w:val="ListParagraph"/>
        <w:numPr>
          <w:ilvl w:val="0"/>
          <w:numId w:val="614"/>
        </w:numPr>
        <w:spacing w:after="0"/>
        <w:rPr>
          <w:rFonts w:eastAsia="Arial"/>
          <w:szCs w:val="22"/>
        </w:rPr>
      </w:pPr>
      <w:r w:rsidRPr="000F6CD1">
        <w:rPr>
          <w:rFonts w:eastAsia="Times New Roman"/>
          <w:szCs w:val="22"/>
        </w:rPr>
        <w:t xml:space="preserve">Section </w:t>
      </w:r>
      <w:r w:rsidR="00F741DE">
        <w:rPr>
          <w:rFonts w:eastAsia="Times New Roman"/>
          <w:szCs w:val="22"/>
        </w:rPr>
        <w:fldChar w:fldCharType="begin"/>
      </w:r>
      <w:r w:rsidR="00F741DE">
        <w:rPr>
          <w:rFonts w:eastAsia="Times New Roman"/>
          <w:szCs w:val="22"/>
        </w:rPr>
        <w:instrText xml:space="preserve"> REF _Ref233106772 \r \h </w:instrText>
      </w:r>
      <w:r w:rsidR="00F741DE">
        <w:rPr>
          <w:rFonts w:eastAsia="Times New Roman"/>
          <w:szCs w:val="22"/>
        </w:rPr>
      </w:r>
      <w:r w:rsidR="00F741DE">
        <w:rPr>
          <w:rFonts w:eastAsia="Times New Roman"/>
          <w:szCs w:val="22"/>
        </w:rPr>
        <w:fldChar w:fldCharType="separate"/>
      </w:r>
      <w:r w:rsidR="004B171E">
        <w:rPr>
          <w:rFonts w:eastAsia="Times New Roman"/>
          <w:szCs w:val="22"/>
        </w:rPr>
        <w:t>7.6</w:t>
      </w:r>
      <w:r w:rsidR="00F741DE">
        <w:rPr>
          <w:rFonts w:eastAsia="Times New Roman"/>
          <w:szCs w:val="22"/>
        </w:rPr>
        <w:fldChar w:fldCharType="end"/>
      </w:r>
      <w:r w:rsidRPr="000F6CD1">
        <w:rPr>
          <w:rFonts w:eastAsia="Times New Roman"/>
          <w:szCs w:val="22"/>
        </w:rPr>
        <w:t xml:space="preserve"> ‘Delegate decisions under the </w:t>
      </w:r>
      <w:r w:rsidRPr="00EB1D79">
        <w:rPr>
          <w:rFonts w:eastAsia="Times New Roman"/>
          <w:i/>
          <w:iCs/>
          <w:szCs w:val="22"/>
        </w:rPr>
        <w:t>Aged Care Act 2024’</w:t>
      </w:r>
      <w:r w:rsidRPr="000F6CD1">
        <w:rPr>
          <w:rFonts w:eastAsia="Times New Roman"/>
          <w:szCs w:val="22"/>
        </w:rPr>
        <w:t xml:space="preserve"> of </w:t>
      </w:r>
      <w:r w:rsidRPr="000F6CD1">
        <w:rPr>
          <w:rFonts w:eastAsia="Times New Roman"/>
          <w:i/>
          <w:iCs/>
          <w:szCs w:val="22"/>
        </w:rPr>
        <w:t xml:space="preserve">Aged Care Assessment Manual v8.3 </w:t>
      </w:r>
    </w:p>
    <w:p w14:paraId="3BD02240" w14:textId="48227AF4" w:rsidR="00994CFE" w:rsidRPr="000F6CD1" w:rsidRDefault="00994CFE" w:rsidP="00994CFE">
      <w:pPr>
        <w:pStyle w:val="ListParagraph"/>
        <w:spacing w:after="0"/>
        <w:rPr>
          <w:rFonts w:eastAsia="Arial"/>
          <w:szCs w:val="22"/>
        </w:rPr>
      </w:pPr>
    </w:p>
    <w:p w14:paraId="6FF49FF5" w14:textId="38A4A8C1" w:rsidR="004D556D" w:rsidRPr="000F6CD1" w:rsidRDefault="004D556D">
      <w:pPr>
        <w:spacing w:after="240"/>
        <w:rPr>
          <w:rFonts w:eastAsia="Arial"/>
          <w:szCs w:val="22"/>
        </w:rPr>
      </w:pPr>
      <w:r w:rsidRPr="000F6CD1">
        <w:rPr>
          <w:rFonts w:eastAsia="Arial"/>
          <w:szCs w:val="22"/>
        </w:rPr>
        <w:t>The NoD templates provide detailed guidance on how to record reasons that fulfil these requirements. All reasons included must be relevant, accurate, and clearly linked to the decision made. Assessment delegates must not draft their own reasons or edit the wording of prescribed reasons. Assessment delegates must only amend the reasons section where directed in the template or by the Department.</w:t>
      </w:r>
    </w:p>
    <w:p w14:paraId="7AEDE12C" w14:textId="5D540849" w:rsidR="004D556D" w:rsidRPr="000F6CD1" w:rsidRDefault="004D556D">
      <w:pPr>
        <w:spacing w:before="240" w:after="0"/>
        <w:rPr>
          <w:rFonts w:eastAsia="Arial"/>
          <w:b/>
          <w:bCs/>
        </w:rPr>
      </w:pPr>
      <w:r w:rsidRPr="000F6CD1">
        <w:rPr>
          <w:rFonts w:eastAsia="Arial"/>
          <w:b/>
          <w:bCs/>
        </w:rPr>
        <w:t>Reasons for decisions: approvals</w:t>
      </w:r>
    </w:p>
    <w:p w14:paraId="12E45484" w14:textId="18291F19" w:rsidR="004D556D" w:rsidRPr="000F6CD1" w:rsidRDefault="004D556D">
      <w:pPr>
        <w:spacing w:before="240" w:after="240"/>
        <w:rPr>
          <w:rFonts w:eastAsia="Arial"/>
          <w:szCs w:val="22"/>
        </w:rPr>
      </w:pPr>
      <w:r w:rsidRPr="000F6CD1">
        <w:rPr>
          <w:rFonts w:eastAsia="Arial"/>
          <w:szCs w:val="22"/>
        </w:rPr>
        <w:t>Reasons for approval decisions are recorded in NoD approval letter. The reasons for decision for approval outcomes are automated in the template. The templates will:</w:t>
      </w:r>
    </w:p>
    <w:p w14:paraId="5C8B056C" w14:textId="77777777" w:rsidR="004D556D" w:rsidRPr="000F6CD1" w:rsidRDefault="004D556D" w:rsidP="004D556D">
      <w:pPr>
        <w:pStyle w:val="ListParagraph"/>
        <w:numPr>
          <w:ilvl w:val="0"/>
          <w:numId w:val="555"/>
        </w:numPr>
        <w:spacing w:after="0"/>
        <w:rPr>
          <w:rFonts w:eastAsia="Arial"/>
          <w:szCs w:val="22"/>
        </w:rPr>
      </w:pPr>
      <w:r w:rsidRPr="000F6CD1">
        <w:rPr>
          <w:rFonts w:eastAsia="Arial"/>
          <w:szCs w:val="22"/>
        </w:rPr>
        <w:t>automatically pre</w:t>
      </w:r>
      <w:r w:rsidRPr="000F6CD1">
        <w:rPr>
          <w:rFonts w:eastAsia="Arial"/>
          <w:szCs w:val="22"/>
        </w:rPr>
        <w:noBreakHyphen/>
        <w:t>select a set of ‘likely reasons’ based on the approvals recorded in the system.</w:t>
      </w:r>
    </w:p>
    <w:p w14:paraId="53AF1908" w14:textId="77777777" w:rsidR="003C635A" w:rsidRDefault="004D556D" w:rsidP="003C635A">
      <w:pPr>
        <w:pStyle w:val="ListParagraph"/>
        <w:numPr>
          <w:ilvl w:val="0"/>
          <w:numId w:val="555"/>
        </w:numPr>
        <w:spacing w:after="0"/>
        <w:rPr>
          <w:rFonts w:eastAsia="Arial"/>
          <w:szCs w:val="22"/>
        </w:rPr>
      </w:pPr>
      <w:r w:rsidRPr="000F6CD1">
        <w:rPr>
          <w:rFonts w:eastAsia="Arial"/>
          <w:szCs w:val="22"/>
        </w:rPr>
        <w:t>include a list of ‘other possible reasons’ for the delegate to consider.</w:t>
      </w:r>
    </w:p>
    <w:p w14:paraId="50D70939" w14:textId="77777777" w:rsidR="003C635A" w:rsidRDefault="003C635A" w:rsidP="003C635A">
      <w:pPr>
        <w:spacing w:after="0"/>
        <w:rPr>
          <w:rFonts w:eastAsia="Arial"/>
          <w:szCs w:val="22"/>
        </w:rPr>
      </w:pPr>
    </w:p>
    <w:p w14:paraId="21976706" w14:textId="59A95963" w:rsidR="004D556D" w:rsidRPr="003C635A" w:rsidRDefault="004D556D" w:rsidP="003C635A">
      <w:pPr>
        <w:spacing w:after="0"/>
        <w:rPr>
          <w:rFonts w:eastAsia="Arial"/>
          <w:szCs w:val="22"/>
        </w:rPr>
      </w:pPr>
      <w:r w:rsidRPr="003C635A">
        <w:rPr>
          <w:rFonts w:eastAsia="Arial"/>
          <w:szCs w:val="22"/>
        </w:rPr>
        <w:t xml:space="preserve">The system will automatically generate a list of </w:t>
      </w:r>
      <w:r w:rsidRPr="003C635A">
        <w:rPr>
          <w:rFonts w:eastAsia="Arial"/>
          <w:b/>
          <w:bCs/>
          <w:szCs w:val="22"/>
        </w:rPr>
        <w:t>likely reasons</w:t>
      </w:r>
      <w:r w:rsidRPr="003C635A">
        <w:rPr>
          <w:rFonts w:eastAsia="Arial"/>
          <w:szCs w:val="22"/>
        </w:rPr>
        <w:t xml:space="preserve">. Any reasons that do not meet these criteria will be included in a secondary list as </w:t>
      </w:r>
      <w:r w:rsidRPr="003C635A">
        <w:rPr>
          <w:rFonts w:eastAsia="Arial"/>
          <w:b/>
          <w:bCs/>
          <w:szCs w:val="22"/>
        </w:rPr>
        <w:t>other possible reasons</w:t>
      </w:r>
      <w:r w:rsidRPr="003C635A">
        <w:rPr>
          <w:rFonts w:eastAsia="Arial"/>
          <w:szCs w:val="22"/>
        </w:rPr>
        <w:t xml:space="preserve"> for consideration.</w:t>
      </w:r>
    </w:p>
    <w:p w14:paraId="0D9B47FE" w14:textId="77777777" w:rsidR="004D556D" w:rsidRPr="000F6CD1" w:rsidRDefault="004D556D" w:rsidP="00DA62E1">
      <w:pPr>
        <w:spacing w:before="240" w:after="0"/>
        <w:rPr>
          <w:rFonts w:eastAsia="Arial"/>
          <w:b/>
          <w:bCs/>
          <w:szCs w:val="22"/>
        </w:rPr>
      </w:pPr>
      <w:r w:rsidRPr="000F6CD1">
        <w:rPr>
          <w:rFonts w:eastAsia="Arial"/>
          <w:b/>
          <w:bCs/>
          <w:szCs w:val="22"/>
        </w:rPr>
        <w:t xml:space="preserve">Reasons for decisions: non-approval </w:t>
      </w:r>
    </w:p>
    <w:p w14:paraId="50AA3228" w14:textId="396820FF" w:rsidR="004D556D" w:rsidRPr="000F6CD1" w:rsidRDefault="004D556D" w:rsidP="00AC29F6">
      <w:pPr>
        <w:spacing w:before="240" w:after="240"/>
        <w:rPr>
          <w:rFonts w:eastAsia="Arial"/>
          <w:szCs w:val="22"/>
        </w:rPr>
      </w:pPr>
      <w:r w:rsidRPr="000F6CD1">
        <w:rPr>
          <w:rFonts w:eastAsia="Arial"/>
          <w:szCs w:val="22"/>
        </w:rPr>
        <w:t xml:space="preserve">If one or more approvals were recommended by the assessor and/or requested by the older person but were </w:t>
      </w:r>
      <w:r w:rsidRPr="000F6CD1">
        <w:rPr>
          <w:rFonts w:eastAsia="Arial"/>
          <w:b/>
          <w:bCs/>
          <w:szCs w:val="22"/>
        </w:rPr>
        <w:t>not</w:t>
      </w:r>
      <w:r w:rsidRPr="000F6CD1">
        <w:rPr>
          <w:rFonts w:eastAsia="Arial"/>
          <w:szCs w:val="22"/>
        </w:rPr>
        <w:t xml:space="preserve"> approved, an assessment delegate must provide reasons why they did not to approve access to the service group, service type or service. Relevant situations are summarised in the following table.</w:t>
      </w:r>
      <w:r w:rsidR="00BB09C0">
        <w:rPr>
          <w:rFonts w:eastAsia="Arial"/>
          <w:szCs w:val="22"/>
        </w:rPr>
        <w:br w:type="page"/>
      </w:r>
    </w:p>
    <w:p w14:paraId="52915A06" w14:textId="6F06BB82" w:rsidR="004D556D" w:rsidRPr="000F6CD1" w:rsidRDefault="00AC29F6" w:rsidP="00DA62E1">
      <w:pPr>
        <w:spacing w:before="240" w:after="240"/>
        <w:rPr>
          <w:rFonts w:eastAsia="Arial"/>
          <w:b/>
          <w:bCs/>
          <w:color w:val="0E2841"/>
          <w:sz w:val="21"/>
          <w:szCs w:val="21"/>
        </w:rPr>
      </w:pPr>
      <w:r w:rsidRPr="000F6CD1">
        <w:rPr>
          <w:rFonts w:eastAsia="Yu Gothic Light"/>
          <w:noProof/>
        </w:rPr>
        <w:lastRenderedPageBreak/>
        <w:drawing>
          <wp:anchor distT="0" distB="0" distL="114300" distR="114300" simplePos="0" relativeHeight="251658302" behindDoc="0" locked="0" layoutInCell="1" allowOverlap="1" wp14:anchorId="45A433B8" wp14:editId="2B571992">
            <wp:simplePos x="0" y="0"/>
            <wp:positionH relativeFrom="leftMargin">
              <wp:posOffset>952500</wp:posOffset>
            </wp:positionH>
            <wp:positionV relativeFrom="margin">
              <wp:posOffset>-129540</wp:posOffset>
            </wp:positionV>
            <wp:extent cx="457200" cy="506095"/>
            <wp:effectExtent l="0" t="0" r="0" b="8255"/>
            <wp:wrapSquare wrapText="bothSides"/>
            <wp:docPr id="418123616" name="Picture 418123616"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23616" name="Picture 418123616"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0F6CD1">
        <w:rPr>
          <w:rFonts w:eastAsia="Arial"/>
          <w:b/>
          <w:bCs/>
          <w:color w:val="0E2841"/>
          <w:sz w:val="21"/>
          <w:szCs w:val="21"/>
        </w:rPr>
        <w:t>Table 52. Summary of situations relevant to non-approval of recommended and/or requested approvals</w:t>
      </w:r>
    </w:p>
    <w:tbl>
      <w:tblPr>
        <w:tblW w:w="0" w:type="auto"/>
        <w:tblLook w:val="0420" w:firstRow="1" w:lastRow="0" w:firstColumn="0" w:lastColumn="0" w:noHBand="0" w:noVBand="1"/>
        <w:tblCaption w:val="Summary of situations relevant to non-approval of recommended and/or requested approvals"/>
        <w:tblDescription w:val="The table is a summary of situations relevant to non-approval of recommended and/or requested approvals"/>
      </w:tblPr>
      <w:tblGrid>
        <w:gridCol w:w="6375"/>
        <w:gridCol w:w="2550"/>
      </w:tblGrid>
      <w:tr w:rsidR="004D556D" w:rsidRPr="000F6CD1" w14:paraId="5EAB4ACC" w14:textId="77777777" w:rsidTr="3FD93375">
        <w:trPr>
          <w:trHeight w:val="240"/>
        </w:trPr>
        <w:tc>
          <w:tcPr>
            <w:tcW w:w="6375" w:type="dxa"/>
            <w:shd w:val="clear" w:color="auto" w:fill="002060"/>
            <w:tcMar>
              <w:top w:w="72" w:type="dxa"/>
              <w:left w:w="144" w:type="dxa"/>
              <w:bottom w:w="72" w:type="dxa"/>
              <w:right w:w="144" w:type="dxa"/>
            </w:tcMar>
          </w:tcPr>
          <w:p w14:paraId="2D376D3A" w14:textId="77777777" w:rsidR="004D556D" w:rsidRPr="000F6CD1" w:rsidRDefault="004D556D" w:rsidP="00DA62E1">
            <w:pPr>
              <w:spacing w:before="240" w:after="240"/>
              <w:rPr>
                <w:rFonts w:eastAsia="Arial"/>
                <w:b/>
                <w:bCs/>
                <w:color w:val="FFFFFF" w:themeColor="background1"/>
                <w:szCs w:val="22"/>
              </w:rPr>
            </w:pPr>
            <w:r w:rsidRPr="000F6CD1">
              <w:rPr>
                <w:rFonts w:eastAsia="Arial"/>
                <w:b/>
                <w:bCs/>
                <w:color w:val="FFFFFF" w:themeColor="background1"/>
                <w:szCs w:val="22"/>
              </w:rPr>
              <w:t xml:space="preserve">Situation </w:t>
            </w:r>
          </w:p>
        </w:tc>
        <w:tc>
          <w:tcPr>
            <w:tcW w:w="2550" w:type="dxa"/>
            <w:shd w:val="clear" w:color="auto" w:fill="002060"/>
          </w:tcPr>
          <w:p w14:paraId="426603C4" w14:textId="77777777" w:rsidR="004D556D" w:rsidRPr="000F6CD1" w:rsidRDefault="004D556D" w:rsidP="00DA62E1">
            <w:pPr>
              <w:spacing w:before="240" w:after="240"/>
              <w:rPr>
                <w:rFonts w:eastAsia="Arial"/>
                <w:b/>
                <w:bCs/>
                <w:color w:val="FFFFFF" w:themeColor="background1"/>
                <w:szCs w:val="22"/>
              </w:rPr>
            </w:pPr>
            <w:r w:rsidRPr="000F6CD1">
              <w:rPr>
                <w:rFonts w:eastAsia="Arial"/>
                <w:b/>
                <w:bCs/>
                <w:color w:val="FFFFFF" w:themeColor="background1"/>
                <w:szCs w:val="22"/>
              </w:rPr>
              <w:t xml:space="preserve">Applicable Notice of Decision template </w:t>
            </w:r>
          </w:p>
        </w:tc>
      </w:tr>
      <w:tr w:rsidR="004D556D" w:rsidRPr="000F6CD1" w14:paraId="1C4175B3" w14:textId="77777777" w:rsidTr="3FD93375">
        <w:trPr>
          <w:trHeight w:val="1350"/>
        </w:trPr>
        <w:tc>
          <w:tcPr>
            <w:tcW w:w="6375" w:type="dxa"/>
            <w:tcBorders>
              <w:left w:val="nil"/>
              <w:bottom w:val="single" w:sz="8" w:space="0" w:color="auto"/>
              <w:right w:val="nil"/>
            </w:tcBorders>
            <w:shd w:val="clear" w:color="auto" w:fill="FFFFFF" w:themeFill="background1"/>
            <w:tcMar>
              <w:top w:w="72" w:type="dxa"/>
              <w:left w:w="144" w:type="dxa"/>
              <w:bottom w:w="72" w:type="dxa"/>
              <w:right w:w="144" w:type="dxa"/>
            </w:tcMar>
          </w:tcPr>
          <w:p w14:paraId="6C6150B8" w14:textId="77777777" w:rsidR="004D556D" w:rsidRPr="000F6CD1" w:rsidRDefault="004D556D" w:rsidP="00DA62E1">
            <w:pPr>
              <w:spacing w:before="240" w:after="240"/>
              <w:rPr>
                <w:rFonts w:eastAsia="Arial"/>
                <w:color w:val="000000" w:themeColor="text1"/>
                <w:szCs w:val="22"/>
              </w:rPr>
            </w:pPr>
            <w:r w:rsidRPr="000F6CD1">
              <w:rPr>
                <w:rFonts w:eastAsia="Arial"/>
                <w:color w:val="000000" w:themeColor="text1"/>
                <w:szCs w:val="22"/>
              </w:rPr>
              <w:t>An initial assessment or reassessment/Support Plan Review where some of the services recommended or requested have not been approved (while others have been approved).</w:t>
            </w:r>
          </w:p>
        </w:tc>
        <w:tc>
          <w:tcPr>
            <w:tcW w:w="2550" w:type="dxa"/>
            <w:tcBorders>
              <w:left w:val="nil"/>
              <w:bottom w:val="single" w:sz="8" w:space="0" w:color="auto"/>
              <w:right w:val="nil"/>
            </w:tcBorders>
            <w:shd w:val="clear" w:color="auto" w:fill="FFFFFF" w:themeFill="background1"/>
          </w:tcPr>
          <w:p w14:paraId="6C629029" w14:textId="77777777" w:rsidR="004D556D" w:rsidRPr="000F6CD1" w:rsidRDefault="004D556D" w:rsidP="00DA62E1">
            <w:pPr>
              <w:spacing w:before="240" w:after="240"/>
              <w:rPr>
                <w:rFonts w:eastAsia="Arial"/>
                <w:b/>
                <w:bCs/>
                <w:color w:val="000000" w:themeColor="text1"/>
                <w:szCs w:val="22"/>
              </w:rPr>
            </w:pPr>
            <w:r w:rsidRPr="000F6CD1">
              <w:rPr>
                <w:rFonts w:eastAsia="Arial"/>
                <w:b/>
                <w:bCs/>
                <w:color w:val="000000" w:themeColor="text1"/>
                <w:szCs w:val="22"/>
              </w:rPr>
              <w:t>Approval Letter</w:t>
            </w:r>
          </w:p>
        </w:tc>
      </w:tr>
      <w:tr w:rsidR="004D556D" w:rsidRPr="000F6CD1" w14:paraId="47D50243" w14:textId="77777777" w:rsidTr="3FD93375">
        <w:trPr>
          <w:trHeight w:val="585"/>
        </w:trPr>
        <w:tc>
          <w:tcPr>
            <w:tcW w:w="6375" w:type="dxa"/>
            <w:tcBorders>
              <w:top w:val="single" w:sz="8" w:space="0" w:color="auto"/>
              <w:left w:val="nil"/>
              <w:bottom w:val="nil"/>
              <w:right w:val="nil"/>
            </w:tcBorders>
            <w:shd w:val="clear" w:color="auto" w:fill="FFFFFF" w:themeFill="background1"/>
            <w:tcMar>
              <w:top w:w="72" w:type="dxa"/>
              <w:left w:w="144" w:type="dxa"/>
              <w:bottom w:w="72" w:type="dxa"/>
              <w:right w:w="144" w:type="dxa"/>
            </w:tcMar>
          </w:tcPr>
          <w:p w14:paraId="164D10CC" w14:textId="69F488F4" w:rsidR="004D556D" w:rsidRPr="000F6CD1" w:rsidRDefault="004D556D" w:rsidP="00DA62E1">
            <w:pPr>
              <w:spacing w:before="240" w:after="240"/>
              <w:rPr>
                <w:rFonts w:eastAsia="Arial"/>
                <w:color w:val="000000" w:themeColor="text1"/>
                <w:szCs w:val="22"/>
              </w:rPr>
            </w:pPr>
            <w:r w:rsidRPr="000F6CD1">
              <w:rPr>
                <w:rFonts w:eastAsia="Arial"/>
                <w:color w:val="000000" w:themeColor="text1"/>
                <w:szCs w:val="22"/>
              </w:rPr>
              <w:t>A first assessment where the older person has been found ineligible to access to any services.</w:t>
            </w:r>
          </w:p>
          <w:p w14:paraId="258A2180" w14:textId="30B88F76" w:rsidR="004D556D" w:rsidRPr="000F6CD1" w:rsidRDefault="004D556D" w:rsidP="00DA62E1">
            <w:pPr>
              <w:spacing w:before="240" w:after="240"/>
              <w:rPr>
                <w:rFonts w:eastAsia="Arial"/>
                <w:color w:val="000000" w:themeColor="text1"/>
                <w:szCs w:val="22"/>
              </w:rPr>
            </w:pPr>
            <w:r w:rsidRPr="000F6CD1">
              <w:rPr>
                <w:rFonts w:eastAsia="Arial"/>
                <w:color w:val="000000" w:themeColor="text1"/>
                <w:szCs w:val="22"/>
              </w:rPr>
              <w:t xml:space="preserve">A reassessment/Support Plan Review where no </w:t>
            </w:r>
            <w:r w:rsidRPr="000F6CD1">
              <w:rPr>
                <w:rFonts w:eastAsia="Arial"/>
                <w:b/>
                <w:bCs/>
                <w:color w:val="000000" w:themeColor="text1"/>
                <w:szCs w:val="22"/>
              </w:rPr>
              <w:t>additional</w:t>
            </w:r>
            <w:r w:rsidRPr="000F6CD1">
              <w:rPr>
                <w:rFonts w:eastAsia="Arial"/>
                <w:color w:val="000000" w:themeColor="text1"/>
                <w:szCs w:val="22"/>
              </w:rPr>
              <w:t xml:space="preserve"> services have been approved.</w:t>
            </w:r>
          </w:p>
        </w:tc>
        <w:tc>
          <w:tcPr>
            <w:tcW w:w="2550" w:type="dxa"/>
            <w:tcBorders>
              <w:top w:val="single" w:sz="8" w:space="0" w:color="auto"/>
              <w:left w:val="nil"/>
              <w:bottom w:val="nil"/>
              <w:right w:val="nil"/>
            </w:tcBorders>
            <w:shd w:val="clear" w:color="auto" w:fill="FFFFFF" w:themeFill="background1"/>
          </w:tcPr>
          <w:p w14:paraId="3F33F89A" w14:textId="77777777" w:rsidR="004D556D" w:rsidRPr="000F6CD1" w:rsidRDefault="004D556D" w:rsidP="00DA62E1">
            <w:pPr>
              <w:spacing w:before="240" w:after="240"/>
              <w:rPr>
                <w:rFonts w:eastAsia="Arial"/>
                <w:b/>
                <w:bCs/>
                <w:color w:val="000000" w:themeColor="text1"/>
                <w:szCs w:val="22"/>
              </w:rPr>
            </w:pPr>
            <w:r w:rsidRPr="000F6CD1">
              <w:rPr>
                <w:rFonts w:eastAsia="Arial"/>
                <w:b/>
                <w:bCs/>
                <w:color w:val="000000" w:themeColor="text1"/>
                <w:szCs w:val="22"/>
              </w:rPr>
              <w:t>Non-Approval Letter</w:t>
            </w:r>
          </w:p>
        </w:tc>
      </w:tr>
    </w:tbl>
    <w:p w14:paraId="51C4A7C5" w14:textId="617644B1" w:rsidR="004D556D" w:rsidRPr="000F6CD1" w:rsidRDefault="004D556D" w:rsidP="00DA62E1">
      <w:pPr>
        <w:tabs>
          <w:tab w:val="left" w:pos="720"/>
        </w:tabs>
        <w:spacing w:before="240" w:after="240"/>
        <w:rPr>
          <w:rFonts w:eastAsia="Arial"/>
          <w:szCs w:val="22"/>
        </w:rPr>
      </w:pPr>
      <w:r w:rsidRPr="000F6CD1">
        <w:rPr>
          <w:rFonts w:eastAsia="Arial"/>
          <w:szCs w:val="22"/>
        </w:rPr>
        <w:t xml:space="preserve">For non-approval reasons an assessment delegate must: consider how the individual’s circumstances relate to all the relevant eligibility criteria set out in the </w:t>
      </w:r>
      <w:r w:rsidRPr="000F6CD1">
        <w:rPr>
          <w:rFonts w:eastAsia="Arial"/>
          <w:i/>
          <w:iCs/>
          <w:szCs w:val="22"/>
        </w:rPr>
        <w:t>Aged Care Act 2024</w:t>
      </w:r>
      <w:r w:rsidRPr="000F6CD1">
        <w:rPr>
          <w:rFonts w:eastAsia="Arial"/>
          <w:szCs w:val="22"/>
        </w:rPr>
        <w:t xml:space="preserve"> and the </w:t>
      </w:r>
      <w:r w:rsidRPr="000F6CD1">
        <w:rPr>
          <w:rFonts w:eastAsia="Arial"/>
          <w:i/>
          <w:iCs/>
          <w:szCs w:val="22"/>
        </w:rPr>
        <w:t>Aged Care Rules 2025</w:t>
      </w:r>
      <w:r w:rsidRPr="000F6CD1">
        <w:rPr>
          <w:rFonts w:eastAsia="Arial"/>
          <w:szCs w:val="22"/>
        </w:rPr>
        <w:t xml:space="preserve"> for the particular service. </w:t>
      </w:r>
    </w:p>
    <w:p w14:paraId="00650BD5" w14:textId="38C3D5A4" w:rsidR="004D556D" w:rsidRPr="000F6CD1" w:rsidRDefault="004D556D" w:rsidP="00DA62E1">
      <w:pPr>
        <w:tabs>
          <w:tab w:val="left" w:pos="720"/>
        </w:tabs>
        <w:spacing w:before="240" w:after="240"/>
        <w:rPr>
          <w:rFonts w:eastAsia="Arial"/>
          <w:szCs w:val="22"/>
        </w:rPr>
      </w:pPr>
      <w:r w:rsidRPr="000F6CD1">
        <w:rPr>
          <w:rFonts w:eastAsia="Arial"/>
          <w:szCs w:val="22"/>
        </w:rPr>
        <w:t xml:space="preserve">For an older person to be considered eligible for a particular service group, service type etc, an assessment delegate must be satisfied that </w:t>
      </w:r>
      <w:r w:rsidRPr="000F6CD1">
        <w:rPr>
          <w:rFonts w:eastAsia="Arial"/>
          <w:b/>
          <w:bCs/>
          <w:szCs w:val="22"/>
        </w:rPr>
        <w:t>all</w:t>
      </w:r>
      <w:r w:rsidRPr="000F6CD1">
        <w:rPr>
          <w:rFonts w:eastAsia="Arial"/>
          <w:szCs w:val="22"/>
        </w:rPr>
        <w:t xml:space="preserve"> of the relevant eligibility criteria apply. If they do not meet all of the criteria – they cannot be approved. </w:t>
      </w:r>
    </w:p>
    <w:p w14:paraId="3F83A6FF" w14:textId="58BEB5AE" w:rsidR="004D556D" w:rsidRPr="000F6CD1" w:rsidRDefault="004D556D" w:rsidP="00DA62E1">
      <w:pPr>
        <w:tabs>
          <w:tab w:val="left" w:pos="720"/>
        </w:tabs>
        <w:spacing w:before="240" w:after="240"/>
        <w:rPr>
          <w:rFonts w:eastAsia="Arial"/>
          <w:szCs w:val="22"/>
        </w:rPr>
      </w:pPr>
      <w:r w:rsidRPr="000F6CD1">
        <w:rPr>
          <w:rFonts w:eastAsia="Arial"/>
          <w:szCs w:val="22"/>
        </w:rPr>
        <w:t xml:space="preserve">The assessment delegate must use the free text sections in the NoD template to provide a brief summary of the reasons why the older person does not meet the eligibility criteria. </w:t>
      </w:r>
    </w:p>
    <w:p w14:paraId="38AA5C74" w14:textId="32E1222B" w:rsidR="004D556D" w:rsidRPr="000F6CD1" w:rsidRDefault="00BB09C0" w:rsidP="00217030">
      <w:pPr>
        <w:tabs>
          <w:tab w:val="left" w:pos="720"/>
        </w:tabs>
        <w:spacing w:before="240" w:after="0"/>
        <w:rPr>
          <w:rFonts w:eastAsia="Arial"/>
          <w:szCs w:val="22"/>
        </w:rPr>
      </w:pPr>
      <w:r w:rsidRPr="000F6CD1">
        <w:rPr>
          <w:rFonts w:eastAsia="Yu Gothic Light"/>
          <w:noProof/>
        </w:rPr>
        <w:drawing>
          <wp:anchor distT="0" distB="0" distL="114300" distR="114300" simplePos="0" relativeHeight="251658303" behindDoc="0" locked="0" layoutInCell="1" allowOverlap="1" wp14:anchorId="6AB111EE" wp14:editId="6C226194">
            <wp:simplePos x="0" y="0"/>
            <wp:positionH relativeFrom="margin">
              <wp:align>left</wp:align>
            </wp:positionH>
            <wp:positionV relativeFrom="margin">
              <wp:posOffset>5435482</wp:posOffset>
            </wp:positionV>
            <wp:extent cx="457200" cy="506095"/>
            <wp:effectExtent l="0" t="0" r="0" b="8255"/>
            <wp:wrapSquare wrapText="bothSides"/>
            <wp:docPr id="352665686" name="Picture 352665686"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65686" name="Picture 352665686"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0F6CD1">
        <w:rPr>
          <w:rFonts w:eastAsia="Arial"/>
          <w:szCs w:val="22"/>
        </w:rPr>
        <w:t xml:space="preserve">An assessment delegate must refer to the individual’s unique circumstances and information in the assessment report (support plan). The assessment delegate must include details of how the individual’s circumstances related to the eligibility criteria and therefore informed the decision not to approve. </w:t>
      </w:r>
      <w:r w:rsidR="004D556D" w:rsidRPr="000F6CD1">
        <w:br/>
      </w:r>
      <w:r w:rsidR="004D556D" w:rsidRPr="000F6CD1">
        <w:br/>
      </w:r>
      <w:r w:rsidR="004D556D" w:rsidRPr="000F6CD1">
        <w:rPr>
          <w:rFonts w:eastAsia="Arial"/>
          <w:szCs w:val="22"/>
        </w:rPr>
        <w:t xml:space="preserve">The instructions in the NoD templates prompt the delegate when free text description is required. </w:t>
      </w:r>
    </w:p>
    <w:p w14:paraId="5B1988C8" w14:textId="7658FE47" w:rsidR="004D556D" w:rsidRPr="000F6CD1" w:rsidRDefault="004D556D" w:rsidP="006F31D7">
      <w:pPr>
        <w:tabs>
          <w:tab w:val="left" w:pos="720"/>
        </w:tabs>
        <w:spacing w:before="240" w:after="0"/>
        <w:rPr>
          <w:rFonts w:eastAsia="Arial"/>
          <w:b/>
          <w:bCs/>
          <w:szCs w:val="22"/>
        </w:rPr>
      </w:pPr>
      <w:r w:rsidRPr="000F6CD1">
        <w:rPr>
          <w:rFonts w:eastAsia="Arial"/>
          <w:b/>
          <w:bCs/>
          <w:szCs w:val="22"/>
        </w:rPr>
        <w:t>Reasons for decision – Transition Care Program</w:t>
      </w:r>
    </w:p>
    <w:p w14:paraId="7DA159A9" w14:textId="4B8525F0" w:rsidR="004D556D" w:rsidRPr="000F6CD1" w:rsidRDefault="004D556D" w:rsidP="008B5271">
      <w:pPr>
        <w:spacing w:after="0"/>
        <w:rPr>
          <w:rFonts w:eastAsia="Arial"/>
          <w:sz w:val="20"/>
          <w:szCs w:val="20"/>
        </w:rPr>
      </w:pPr>
      <w:r w:rsidRPr="000F6CD1">
        <w:rPr>
          <w:rFonts w:eastAsia="Arial"/>
          <w:sz w:val="20"/>
          <w:szCs w:val="20"/>
        </w:rPr>
        <w:t xml:space="preserve"> </w:t>
      </w:r>
    </w:p>
    <w:p w14:paraId="31F9B603" w14:textId="19738014" w:rsidR="004D556D" w:rsidRPr="000F6CD1" w:rsidRDefault="004D556D" w:rsidP="008B5271">
      <w:pPr>
        <w:spacing w:after="0"/>
        <w:rPr>
          <w:rFonts w:eastAsia="Arial"/>
          <w:szCs w:val="22"/>
        </w:rPr>
      </w:pPr>
      <w:r w:rsidRPr="000F6CD1">
        <w:rPr>
          <w:rFonts w:eastAsia="Arial"/>
          <w:szCs w:val="22"/>
        </w:rPr>
        <w:t xml:space="preserve">An approval for TCP is an approval for three service groups under the Act: home support, assistive technology and residential care. An approval for TCP is always an approval for all three service groups, regardless of which TCP services are used. The NoD will automatically populate the required reasons for decision sections. </w:t>
      </w:r>
    </w:p>
    <w:p w14:paraId="53C85041" w14:textId="6CD09BFC" w:rsidR="004D556D" w:rsidRPr="000F6CD1" w:rsidRDefault="004D556D" w:rsidP="008B5271">
      <w:pPr>
        <w:spacing w:after="0"/>
        <w:rPr>
          <w:rFonts w:eastAsia="Arial"/>
          <w:szCs w:val="22"/>
        </w:rPr>
      </w:pPr>
      <w:r w:rsidRPr="000F6CD1">
        <w:rPr>
          <w:rFonts w:eastAsia="Arial"/>
          <w:szCs w:val="22"/>
        </w:rPr>
        <w:t xml:space="preserve"> </w:t>
      </w:r>
    </w:p>
    <w:p w14:paraId="09FCB0A7" w14:textId="4661D97B" w:rsidR="004D556D" w:rsidRPr="000F6CD1" w:rsidRDefault="004D556D" w:rsidP="008B5271">
      <w:pPr>
        <w:spacing w:after="0"/>
        <w:rPr>
          <w:rFonts w:eastAsia="Arial"/>
          <w:sz w:val="20"/>
          <w:szCs w:val="20"/>
        </w:rPr>
      </w:pPr>
      <w:r w:rsidRPr="000F6CD1">
        <w:rPr>
          <w:rFonts w:eastAsia="Arial"/>
          <w:szCs w:val="22"/>
        </w:rPr>
        <w:t xml:space="preserve">The system generated NoD templates account for the scenarios that are most likely to occur in practice. If the Assessment Delegate encounters a scenario that is not covered in the template, their Operational Manager can contact the department at </w:t>
      </w:r>
      <w:hyperlink r:id="rId256" w:history="1">
        <w:r w:rsidRPr="000F6CD1">
          <w:rPr>
            <w:rStyle w:val="Hyperlink"/>
            <w:rFonts w:eastAsia="Arial"/>
            <w:szCs w:val="22"/>
          </w:rPr>
          <w:t>myagedcare.assessment@health.gov.au</w:t>
        </w:r>
      </w:hyperlink>
      <w:r w:rsidRPr="000F6CD1">
        <w:rPr>
          <w:rFonts w:eastAsia="Arial"/>
          <w:szCs w:val="22"/>
        </w:rPr>
        <w:t xml:space="preserve"> for further guidance</w:t>
      </w:r>
    </w:p>
    <w:p w14:paraId="6CBF319A" w14:textId="3AC2822F" w:rsidR="004D556D" w:rsidRPr="000F6CD1" w:rsidRDefault="004D556D" w:rsidP="00217030">
      <w:pPr>
        <w:spacing w:after="0"/>
        <w:rPr>
          <w:rFonts w:eastAsia="Arial"/>
          <w:b/>
          <w:bCs/>
          <w:szCs w:val="22"/>
        </w:rPr>
      </w:pPr>
    </w:p>
    <w:p w14:paraId="7DDEE38B" w14:textId="1667D1F9" w:rsidR="004D556D" w:rsidRPr="00B61FC3" w:rsidRDefault="000658D9" w:rsidP="00AD2CE5">
      <w:pPr>
        <w:pStyle w:val="H3"/>
      </w:pPr>
      <w:r w:rsidRPr="000F6CD1">
        <w:lastRenderedPageBreak/>
        <w:drawing>
          <wp:anchor distT="0" distB="0" distL="114300" distR="114300" simplePos="0" relativeHeight="251658304" behindDoc="0" locked="0" layoutInCell="1" allowOverlap="1" wp14:anchorId="363F335B" wp14:editId="54BC278C">
            <wp:simplePos x="0" y="0"/>
            <wp:positionH relativeFrom="margin">
              <wp:align>left</wp:align>
            </wp:positionH>
            <wp:positionV relativeFrom="margin">
              <wp:posOffset>10160</wp:posOffset>
            </wp:positionV>
            <wp:extent cx="457200" cy="506095"/>
            <wp:effectExtent l="0" t="0" r="0" b="8255"/>
            <wp:wrapSquare wrapText="bothSides"/>
            <wp:docPr id="1566929883" name="Picture 1566929883" descr="A bell with a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29883" name="Picture 1566929883" descr="A bell with a exclamation mark"/>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B61FC3">
        <w:t>Uploading and sending the NoD</w:t>
      </w:r>
    </w:p>
    <w:p w14:paraId="6ACC3C69" w14:textId="30DCC122" w:rsidR="004D556D" w:rsidRPr="000F6CD1" w:rsidRDefault="0044505B" w:rsidP="008B5271">
      <w:pPr>
        <w:spacing w:before="240" w:after="240"/>
        <w:rPr>
          <w:rFonts w:eastAsia="Arial"/>
          <w:szCs w:val="22"/>
        </w:rPr>
      </w:pPr>
      <w:r w:rsidRPr="000F6CD1">
        <w:rPr>
          <w:rFonts w:eastAsia="Arial"/>
          <w:szCs w:val="22"/>
        </w:rPr>
        <w:t xml:space="preserve"> </w:t>
      </w:r>
      <w:r w:rsidR="004D556D" w:rsidRPr="000F6CD1">
        <w:rPr>
          <w:rFonts w:eastAsia="Arial"/>
          <w:szCs w:val="22"/>
        </w:rPr>
        <w:t>Once the NoD letter is finalised and signed, assessment delegates must upload it to the assessor portal (all documents must be uploaded in PDF format) for record-keeping purposes, and then post, email, or notify the individual the NoD is available via the MAC online portal (and their registered supporter/s</w:t>
      </w:r>
      <w:r w:rsidR="004D556D" w:rsidRPr="000F6CD1">
        <w:rPr>
          <w:rFonts w:eastAsia="Arial"/>
          <w:b/>
          <w:bCs/>
          <w:szCs w:val="22"/>
        </w:rPr>
        <w:t xml:space="preserve"> </w:t>
      </w:r>
      <w:r w:rsidR="004D556D" w:rsidRPr="000F6CD1">
        <w:rPr>
          <w:rFonts w:eastAsia="Arial"/>
          <w:szCs w:val="22"/>
        </w:rPr>
        <w:t xml:space="preserve">and/or appointed decision maker/s, if applicable) using their preferred communication method/s. </w:t>
      </w:r>
    </w:p>
    <w:p w14:paraId="38367E28" w14:textId="77777777" w:rsidR="004D556D" w:rsidRPr="000F6CD1" w:rsidRDefault="004D556D" w:rsidP="00806A21">
      <w:pPr>
        <w:pStyle w:val="Sub-headings"/>
      </w:pPr>
      <w:r w:rsidRPr="00FB0670">
        <w:t>Important</w:t>
      </w:r>
      <w:r w:rsidRPr="000F6CD1">
        <w:t>:</w:t>
      </w:r>
    </w:p>
    <w:p w14:paraId="1D92A1AB" w14:textId="7B98646E" w:rsidR="004D556D" w:rsidRPr="000F6CD1" w:rsidRDefault="004D556D" w:rsidP="00806A21">
      <w:pPr>
        <w:pStyle w:val="Sub-headings"/>
      </w:pPr>
      <w:r w:rsidRPr="000F6CD1">
        <w:t>The Support Plan needs to be included as an attachment whenever the NoD is sent. The Support Plan lists any approved service types and services, so it is legally considered part of the NoD.</w:t>
      </w:r>
    </w:p>
    <w:p w14:paraId="1D50EE7F" w14:textId="77777777" w:rsidR="004D556D" w:rsidRPr="000F6CD1" w:rsidRDefault="004D556D" w:rsidP="00806A21">
      <w:pPr>
        <w:pStyle w:val="Sub-headings"/>
      </w:pPr>
      <w:r w:rsidRPr="000F6CD1">
        <w:t>The Referral Code letter also needs to be attached whenever approvals for CHSP services are given.</w:t>
      </w:r>
    </w:p>
    <w:p w14:paraId="44DA3BA7" w14:textId="44068BA9" w:rsidR="004D556D" w:rsidRPr="000F6CD1" w:rsidRDefault="00062BFC" w:rsidP="00806A21">
      <w:pPr>
        <w:pStyle w:val="Sub-headings"/>
      </w:pPr>
      <w:r w:rsidRPr="006936D7">
        <w:rPr>
          <w:b/>
        </w:rPr>
        <w:t>No</w:t>
      </w:r>
      <w:r w:rsidR="006936D7" w:rsidRPr="006936D7">
        <w:rPr>
          <w:b/>
        </w:rPr>
        <w:t>D attachments</w:t>
      </w:r>
      <w:r w:rsidR="006936D7">
        <w:t xml:space="preserve">: </w:t>
      </w:r>
      <w:r w:rsidR="004D556D" w:rsidRPr="000F6CD1">
        <w:t xml:space="preserve">If </w:t>
      </w:r>
      <w:r w:rsidR="006936D7">
        <w:t>the</w:t>
      </w:r>
      <w:r w:rsidR="004D556D" w:rsidRPr="000F6CD1">
        <w:t xml:space="preserve"> client receives a NoD Approval letter </w:t>
      </w:r>
      <w:r w:rsidR="006936D7">
        <w:t>for ongoing</w:t>
      </w:r>
      <w:r w:rsidR="004D556D">
        <w:t xml:space="preserve"> home support, </w:t>
      </w:r>
      <w:r w:rsidR="004D556D" w:rsidRPr="000F6CD1">
        <w:t xml:space="preserve">include </w:t>
      </w:r>
      <w:r w:rsidR="004D556D" w:rsidRPr="000F6CD1">
        <w:rPr>
          <w:b/>
        </w:rPr>
        <w:t>NoD Attachment 1</w:t>
      </w:r>
      <w:r w:rsidR="004D556D" w:rsidRPr="000F6CD1">
        <w:t xml:space="preserve">. If the client identifies as </w:t>
      </w:r>
      <w:r w:rsidR="004D556D" w:rsidRPr="000F6CD1">
        <w:rPr>
          <w:b/>
        </w:rPr>
        <w:t>Aboriginal and/or Torres Strait Islander</w:t>
      </w:r>
      <w:r w:rsidR="004D556D" w:rsidRPr="000F6CD1">
        <w:t xml:space="preserve"> and</w:t>
      </w:r>
      <w:r w:rsidR="004D556D">
        <w:t xml:space="preserve"> </w:t>
      </w:r>
      <w:r w:rsidR="006936D7">
        <w:t>recei</w:t>
      </w:r>
      <w:r w:rsidR="009C7B45">
        <w:t>ves a NoD Approval letter for ongoing</w:t>
      </w:r>
      <w:r w:rsidR="004D556D">
        <w:t xml:space="preserve"> home support, </w:t>
      </w:r>
      <w:r w:rsidR="004D556D" w:rsidRPr="000F6CD1">
        <w:t xml:space="preserve">include </w:t>
      </w:r>
      <w:r w:rsidR="004D556D" w:rsidRPr="000F6CD1">
        <w:rPr>
          <w:b/>
        </w:rPr>
        <w:t>both NoD Attachment 1 and NoD Attachment 2</w:t>
      </w:r>
      <w:r w:rsidR="004D556D" w:rsidRPr="000F6CD1">
        <w:t>. Ensure the relevant attachments are included, as they provide additional information that supports and complements the Notice of Decision Approval letter. The attachments are available on the Department’s website</w:t>
      </w:r>
      <w:r w:rsidR="002D4689">
        <w:t xml:space="preserve"> (see below for links)</w:t>
      </w:r>
      <w:r w:rsidR="004D556D" w:rsidRPr="000F6CD1">
        <w:t>.</w:t>
      </w:r>
    </w:p>
    <w:p w14:paraId="032F5462" w14:textId="1C37C485" w:rsidR="004D556D" w:rsidRPr="000F6CD1" w:rsidRDefault="004D556D" w:rsidP="00806A21">
      <w:pPr>
        <w:pStyle w:val="Sub-headings"/>
      </w:pPr>
      <w:r w:rsidRPr="000F6CD1">
        <w:t xml:space="preserve">Providers can view the NoD and support plan via the My Aged Care Service and Support Portal. </w:t>
      </w:r>
    </w:p>
    <w:p w14:paraId="49C4D77E" w14:textId="7BB68566" w:rsidR="004D556D" w:rsidRPr="000F6CD1" w:rsidRDefault="004D556D" w:rsidP="00806A21">
      <w:pPr>
        <w:pStyle w:val="Sub-headings"/>
      </w:pPr>
      <w:r w:rsidRPr="000F6CD1">
        <w:t>Older people can also view their NoD, Support Plan and Referral Code letter (for CHSP approvals) via their My Aged Care Online Account. An older person’s registered supporter/s (if any) may also be authorised to access this information.</w:t>
      </w:r>
    </w:p>
    <w:p w14:paraId="1F8BD6D8" w14:textId="051ADFAC" w:rsidR="004D556D" w:rsidRPr="000F6CD1" w:rsidRDefault="004D556D" w:rsidP="00DB78A1">
      <w:pPr>
        <w:spacing w:before="240" w:after="240"/>
        <w:rPr>
          <w:rFonts w:eastAsia="Arial"/>
          <w:szCs w:val="22"/>
        </w:rPr>
      </w:pPr>
      <w:r w:rsidRPr="000F6CD1">
        <w:rPr>
          <w:rFonts w:eastAsia="Arial"/>
          <w:szCs w:val="22"/>
        </w:rPr>
        <w:t>Where an assessment delegate determines that no funded aged care services are required, the delegate will also need to send a NoD to the older person to formally advise them of this outcome.</w:t>
      </w:r>
    </w:p>
    <w:p w14:paraId="52BDCD52" w14:textId="77777777" w:rsidR="004D556D" w:rsidRPr="000F6CD1" w:rsidRDefault="004D556D" w:rsidP="00806A21">
      <w:pPr>
        <w:pStyle w:val="Sub-headings"/>
        <w:rPr>
          <w:b/>
        </w:rPr>
      </w:pPr>
      <w:r w:rsidRPr="00FB0670">
        <w:t>Note</w:t>
      </w:r>
      <w:r w:rsidRPr="000F6CD1">
        <w:rPr>
          <w:b/>
        </w:rPr>
        <w:t xml:space="preserve">: </w:t>
      </w:r>
    </w:p>
    <w:p w14:paraId="567AAD1C" w14:textId="13AC2324" w:rsidR="004D556D" w:rsidRPr="000F6CD1" w:rsidRDefault="004D556D" w:rsidP="00806A21">
      <w:pPr>
        <w:pStyle w:val="Sub-headings"/>
      </w:pPr>
      <w:r w:rsidRPr="000F6CD1">
        <w:t xml:space="preserve">Older people who request/are recommended for the End-of-Life Pathway but are not approved </w:t>
      </w:r>
      <w:r w:rsidRPr="000F6CD1">
        <w:rPr>
          <w:i/>
        </w:rPr>
        <w:t>do not</w:t>
      </w:r>
      <w:r w:rsidRPr="000F6CD1">
        <w:t xml:space="preserve"> receive a ‘Non-approval letter</w:t>
      </w:r>
      <w:r w:rsidR="009F2ECF" w:rsidRPr="000F6CD1">
        <w:t>.’</w:t>
      </w:r>
    </w:p>
    <w:p w14:paraId="3B5001B6" w14:textId="13FBD612" w:rsidR="004D556D" w:rsidRPr="000F6CD1" w:rsidRDefault="000658D9">
      <w:pPr>
        <w:spacing w:after="0"/>
        <w:rPr>
          <w:rFonts w:eastAsia="Arial"/>
          <w:b/>
          <w:bCs/>
        </w:rPr>
      </w:pPr>
      <w:r w:rsidRPr="000F6CD1">
        <w:rPr>
          <w:noProof/>
        </w:rPr>
        <w:drawing>
          <wp:anchor distT="0" distB="0" distL="114300" distR="114300" simplePos="0" relativeHeight="251658305" behindDoc="0" locked="0" layoutInCell="1" allowOverlap="1" wp14:anchorId="5EA6F457" wp14:editId="0919241B">
            <wp:simplePos x="0" y="0"/>
            <wp:positionH relativeFrom="margin">
              <wp:posOffset>-222191</wp:posOffset>
            </wp:positionH>
            <wp:positionV relativeFrom="margin">
              <wp:posOffset>7050280</wp:posOffset>
            </wp:positionV>
            <wp:extent cx="457200" cy="506095"/>
            <wp:effectExtent l="0" t="0" r="0" b="8255"/>
            <wp:wrapSquare wrapText="bothSides"/>
            <wp:docPr id="1150400883" name="Picture 1150400883"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00883" name="Picture 1150400883"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p>
    <w:tbl>
      <w:tblPr>
        <w:tblStyle w:val="TableGrid"/>
        <w:tblW w:w="0" w:type="auto"/>
        <w:tblInd w:w="-5" w:type="dxa"/>
        <w:tblLook w:val="04A0" w:firstRow="1" w:lastRow="0" w:firstColumn="1" w:lastColumn="0" w:noHBand="0" w:noVBand="1"/>
      </w:tblPr>
      <w:tblGrid>
        <w:gridCol w:w="988"/>
        <w:gridCol w:w="8028"/>
      </w:tblGrid>
      <w:tr w:rsidR="00371766" w:rsidRPr="000F6CD1" w14:paraId="40B1975C" w14:textId="77777777">
        <w:trPr>
          <w:trHeight w:val="300"/>
        </w:trPr>
        <w:tc>
          <w:tcPr>
            <w:tcW w:w="988" w:type="dxa"/>
          </w:tcPr>
          <w:p w14:paraId="133717FA" w14:textId="77777777" w:rsidR="00371766" w:rsidRPr="000F6CD1" w:rsidRDefault="00371766">
            <w:pPr>
              <w:spacing w:before="240" w:after="240"/>
            </w:pPr>
            <w:r w:rsidRPr="000F6CD1">
              <w:rPr>
                <w:noProof/>
              </w:rPr>
              <w:drawing>
                <wp:inline distT="0" distB="0" distL="0" distR="0" wp14:anchorId="7842891F" wp14:editId="2B936692">
                  <wp:extent cx="447675" cy="438150"/>
                  <wp:effectExtent l="0" t="0" r="0" b="0"/>
                  <wp:docPr id="1859438910" name="Picture 18594389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60653"/>
                          <pic:cNvPicPr/>
                        </pic:nvPicPr>
                        <pic:blipFill>
                          <a:blip r:embed="rId42">
                            <a:extLst>
                              <a:ext uri="{28A0092B-C50C-407E-A947-70E740481C1C}">
                                <a14:useLocalDpi xmlns:a14="http://schemas.microsoft.com/office/drawing/2010/main" val="0"/>
                              </a:ext>
                            </a:extLst>
                          </a:blip>
                          <a:stretch>
                            <a:fillRect/>
                          </a:stretch>
                        </pic:blipFill>
                        <pic:spPr>
                          <a:xfrm>
                            <a:off x="0" y="0"/>
                            <a:ext cx="447675" cy="438150"/>
                          </a:xfrm>
                          <a:prstGeom prst="rect">
                            <a:avLst/>
                          </a:prstGeom>
                        </pic:spPr>
                      </pic:pic>
                    </a:graphicData>
                  </a:graphic>
                </wp:inline>
              </w:drawing>
            </w:r>
          </w:p>
        </w:tc>
        <w:tc>
          <w:tcPr>
            <w:tcW w:w="8028" w:type="dxa"/>
          </w:tcPr>
          <w:p w14:paraId="439F86CB" w14:textId="77777777" w:rsidR="00371766" w:rsidRPr="0049119F" w:rsidRDefault="00371766">
            <w:pPr>
              <w:spacing w:before="240" w:after="240"/>
            </w:pPr>
            <w:hyperlink r:id="rId257" w:history="1">
              <w:r w:rsidRPr="0049119F">
                <w:rPr>
                  <w:rStyle w:val="Hyperlink"/>
                </w:rPr>
                <w:t>NoD Attachment 1</w:t>
              </w:r>
            </w:hyperlink>
          </w:p>
          <w:p w14:paraId="5A0303B2" w14:textId="77777777" w:rsidR="00371766" w:rsidRPr="00160504" w:rsidRDefault="00371766">
            <w:pPr>
              <w:spacing w:before="240" w:after="240"/>
            </w:pPr>
            <w:hyperlink r:id="rId258" w:history="1">
              <w:r w:rsidRPr="0049119F">
                <w:rPr>
                  <w:rStyle w:val="Hyperlink"/>
                </w:rPr>
                <w:t>NoD Attachment 2</w:t>
              </w:r>
            </w:hyperlink>
          </w:p>
        </w:tc>
      </w:tr>
    </w:tbl>
    <w:p w14:paraId="251E2605" w14:textId="77777777" w:rsidR="000658D9" w:rsidRDefault="000658D9">
      <w:pPr>
        <w:spacing w:after="0"/>
        <w:rPr>
          <w:rFonts w:eastAsia="Arial"/>
          <w:b/>
          <w:bCs/>
        </w:rPr>
      </w:pPr>
    </w:p>
    <w:p w14:paraId="745730EE" w14:textId="21CBE62F" w:rsidR="000658D9" w:rsidRDefault="000658D9">
      <w:pPr>
        <w:rPr>
          <w:rFonts w:eastAsia="Arial"/>
          <w:b/>
          <w:bCs/>
        </w:rPr>
      </w:pPr>
      <w:r>
        <w:rPr>
          <w:rFonts w:eastAsia="Arial"/>
          <w:b/>
          <w:bCs/>
        </w:rPr>
        <w:br w:type="page"/>
      </w:r>
    </w:p>
    <w:p w14:paraId="0AD7FDF0" w14:textId="2E06DEF8" w:rsidR="002813AF" w:rsidRDefault="002813AF">
      <w:pPr>
        <w:spacing w:after="0"/>
        <w:rPr>
          <w:rFonts w:eastAsia="Arial"/>
          <w:b/>
          <w:bCs/>
        </w:rPr>
      </w:pPr>
    </w:p>
    <w:p w14:paraId="2F50A5B6" w14:textId="77777777" w:rsidR="002813AF" w:rsidRDefault="002813AF">
      <w:pPr>
        <w:spacing w:after="0"/>
        <w:rPr>
          <w:rFonts w:eastAsia="Arial"/>
          <w:b/>
          <w:bCs/>
        </w:rPr>
      </w:pPr>
    </w:p>
    <w:p w14:paraId="075E643C" w14:textId="77777777" w:rsidR="004D556D" w:rsidRPr="000F6CD1" w:rsidRDefault="004D556D">
      <w:pPr>
        <w:spacing w:after="0"/>
        <w:rPr>
          <w:rFonts w:eastAsia="Arial"/>
          <w:b/>
          <w:bCs/>
        </w:rPr>
      </w:pPr>
      <w:r w:rsidRPr="000F6CD1">
        <w:rPr>
          <w:rFonts w:eastAsia="Arial"/>
          <w:b/>
          <w:bCs/>
        </w:rPr>
        <w:t>NoD delivery time frame</w:t>
      </w:r>
    </w:p>
    <w:p w14:paraId="4B37FF5A" w14:textId="77777777" w:rsidR="004D556D" w:rsidRPr="000F6CD1" w:rsidRDefault="004D556D" w:rsidP="00DB78A1">
      <w:pPr>
        <w:spacing w:before="240" w:after="240"/>
        <w:rPr>
          <w:rFonts w:eastAsia="Arial"/>
          <w:szCs w:val="22"/>
        </w:rPr>
      </w:pPr>
      <w:r w:rsidRPr="000F6CD1">
        <w:rPr>
          <w:rFonts w:eastAsia="Arial"/>
          <w:szCs w:val="22"/>
        </w:rPr>
        <w:t>The Act requires the NoD to be given to the individual within 14 days of the delegate’s decision.</w:t>
      </w:r>
    </w:p>
    <w:p w14:paraId="3E4C0A52" w14:textId="77777777" w:rsidR="004D556D" w:rsidRPr="000F6CD1" w:rsidRDefault="004D556D" w:rsidP="00DB78A1">
      <w:pPr>
        <w:spacing w:before="240" w:after="240"/>
        <w:rPr>
          <w:rFonts w:eastAsia="Arial"/>
          <w:szCs w:val="22"/>
        </w:rPr>
      </w:pPr>
      <w:r w:rsidRPr="000F6CD1">
        <w:rPr>
          <w:rFonts w:eastAsia="Arial"/>
          <w:szCs w:val="22"/>
        </w:rPr>
        <w:t>To mitigate potential issues in meeting the timeframe for giving the notice, assessment delegates should:</w:t>
      </w:r>
    </w:p>
    <w:p w14:paraId="0634B17A" w14:textId="77777777" w:rsidR="004D556D" w:rsidRPr="000F6CD1" w:rsidRDefault="004D556D" w:rsidP="004D556D">
      <w:pPr>
        <w:pStyle w:val="ListParagraph"/>
        <w:numPr>
          <w:ilvl w:val="0"/>
          <w:numId w:val="552"/>
        </w:numPr>
        <w:spacing w:after="0"/>
        <w:rPr>
          <w:rFonts w:eastAsia="Arial"/>
          <w:szCs w:val="22"/>
        </w:rPr>
      </w:pPr>
      <w:r w:rsidRPr="000F6CD1">
        <w:rPr>
          <w:rFonts w:eastAsia="Arial"/>
          <w:szCs w:val="22"/>
        </w:rPr>
        <w:t xml:space="preserve">obtain agreement of the older person for </w:t>
      </w:r>
      <w:r w:rsidRPr="000F6CD1">
        <w:rPr>
          <w:rFonts w:eastAsia="Arial"/>
          <w:b/>
          <w:bCs/>
          <w:szCs w:val="22"/>
        </w:rPr>
        <w:t>electronic delivery</w:t>
      </w:r>
      <w:r w:rsidRPr="000F6CD1">
        <w:rPr>
          <w:rFonts w:eastAsia="Arial"/>
          <w:szCs w:val="22"/>
        </w:rPr>
        <w:t xml:space="preserve"> of notices (email or portal) where possible</w:t>
      </w:r>
    </w:p>
    <w:p w14:paraId="2E8945F3" w14:textId="77777777" w:rsidR="004D556D" w:rsidRPr="000F6CD1" w:rsidRDefault="004D556D" w:rsidP="004D556D">
      <w:pPr>
        <w:pStyle w:val="ListParagraph"/>
        <w:numPr>
          <w:ilvl w:val="0"/>
          <w:numId w:val="552"/>
        </w:numPr>
        <w:spacing w:after="0"/>
        <w:rPr>
          <w:rFonts w:eastAsia="Arial"/>
          <w:b/>
          <w:bCs/>
          <w:szCs w:val="22"/>
        </w:rPr>
      </w:pPr>
      <w:r w:rsidRPr="000F6CD1">
        <w:rPr>
          <w:rFonts w:eastAsia="Arial"/>
          <w:szCs w:val="22"/>
        </w:rPr>
        <w:t xml:space="preserve">upload the NoD promptly to the client’s </w:t>
      </w:r>
      <w:r w:rsidRPr="000F6CD1">
        <w:rPr>
          <w:rFonts w:eastAsia="Arial"/>
          <w:b/>
          <w:bCs/>
          <w:szCs w:val="22"/>
        </w:rPr>
        <w:t>My Aged Care Online Account</w:t>
      </w:r>
    </w:p>
    <w:p w14:paraId="634D50B2" w14:textId="77777777" w:rsidR="004D556D" w:rsidRPr="000F6CD1" w:rsidRDefault="004D556D" w:rsidP="004D556D">
      <w:pPr>
        <w:pStyle w:val="ListParagraph"/>
        <w:numPr>
          <w:ilvl w:val="0"/>
          <w:numId w:val="552"/>
        </w:numPr>
        <w:spacing w:after="0"/>
        <w:rPr>
          <w:rFonts w:eastAsia="Arial"/>
          <w:szCs w:val="22"/>
        </w:rPr>
      </w:pPr>
      <w:r w:rsidRPr="000F6CD1">
        <w:rPr>
          <w:rFonts w:eastAsia="Arial"/>
          <w:szCs w:val="22"/>
        </w:rPr>
        <w:t>confirm client and supporter contact details before dispatch and send the notice as soon as possible to the designated postal or email address</w:t>
      </w:r>
    </w:p>
    <w:p w14:paraId="281D9934" w14:textId="77777777" w:rsidR="004D556D" w:rsidRPr="000F6CD1" w:rsidRDefault="004D556D">
      <w:pPr>
        <w:spacing w:before="240" w:after="240"/>
        <w:rPr>
          <w:rFonts w:eastAsia="Arial"/>
          <w:szCs w:val="22"/>
        </w:rPr>
      </w:pPr>
      <w:r w:rsidRPr="000F6CD1">
        <w:rPr>
          <w:rFonts w:eastAsia="Arial"/>
          <w:szCs w:val="22"/>
        </w:rPr>
        <w:t xml:space="preserve">Postal delays are outside the control of assessment organisations. Where a notice is to be given by post, </w:t>
      </w:r>
      <w:r w:rsidRPr="000F6CD1">
        <w:rPr>
          <w:rFonts w:eastAsia="Arial"/>
          <w:b/>
          <w:bCs/>
          <w:szCs w:val="22"/>
        </w:rPr>
        <w:t>Assessment Delegates must</w:t>
      </w:r>
      <w:r w:rsidRPr="000F6CD1">
        <w:rPr>
          <w:rFonts w:eastAsia="Arial"/>
          <w:szCs w:val="22"/>
        </w:rPr>
        <w:t>:</w:t>
      </w:r>
    </w:p>
    <w:p w14:paraId="128B1FE2" w14:textId="77777777" w:rsidR="004D556D" w:rsidRPr="000F6CD1" w:rsidRDefault="004D556D" w:rsidP="004D556D">
      <w:pPr>
        <w:pStyle w:val="ListParagraph"/>
        <w:numPr>
          <w:ilvl w:val="0"/>
          <w:numId w:val="551"/>
        </w:numPr>
        <w:spacing w:after="0"/>
        <w:rPr>
          <w:rFonts w:eastAsia="Arial"/>
          <w:szCs w:val="22"/>
        </w:rPr>
      </w:pPr>
      <w:r w:rsidRPr="000F6CD1">
        <w:rPr>
          <w:rFonts w:eastAsia="Arial"/>
          <w:szCs w:val="22"/>
        </w:rPr>
        <w:t xml:space="preserve">send the notice as soon as possible by </w:t>
      </w:r>
      <w:r w:rsidRPr="000F6CD1">
        <w:rPr>
          <w:rFonts w:eastAsia="Arial"/>
          <w:b/>
          <w:bCs/>
          <w:szCs w:val="22"/>
        </w:rPr>
        <w:t>pre</w:t>
      </w:r>
      <w:r w:rsidRPr="000F6CD1">
        <w:rPr>
          <w:rFonts w:ascii="Cambria Math" w:eastAsia="Arial" w:hAnsi="Cambria Math" w:cs="Cambria Math"/>
          <w:b/>
          <w:szCs w:val="22"/>
        </w:rPr>
        <w:t>‑</w:t>
      </w:r>
      <w:r w:rsidRPr="000F6CD1">
        <w:rPr>
          <w:rFonts w:eastAsia="Arial"/>
          <w:b/>
          <w:bCs/>
          <w:szCs w:val="22"/>
        </w:rPr>
        <w:t>paid post</w:t>
      </w:r>
      <w:r w:rsidRPr="000F6CD1">
        <w:rPr>
          <w:rFonts w:eastAsia="Arial"/>
          <w:szCs w:val="22"/>
        </w:rPr>
        <w:t xml:space="preserve">, properly addressed to the individual at their </w:t>
      </w:r>
      <w:r w:rsidRPr="000F6CD1">
        <w:rPr>
          <w:rFonts w:eastAsia="Arial"/>
          <w:b/>
          <w:bCs/>
          <w:szCs w:val="22"/>
        </w:rPr>
        <w:t>last known postal address</w:t>
      </w:r>
      <w:r w:rsidRPr="000F6CD1">
        <w:rPr>
          <w:rFonts w:eastAsia="Arial"/>
          <w:szCs w:val="22"/>
        </w:rPr>
        <w:t>, and</w:t>
      </w:r>
    </w:p>
    <w:p w14:paraId="7E52D938" w14:textId="77777777" w:rsidR="004D556D" w:rsidRPr="000F6CD1" w:rsidRDefault="004D556D" w:rsidP="004D556D">
      <w:pPr>
        <w:pStyle w:val="ListParagraph"/>
        <w:numPr>
          <w:ilvl w:val="0"/>
          <w:numId w:val="551"/>
        </w:numPr>
        <w:spacing w:after="0"/>
        <w:rPr>
          <w:rFonts w:eastAsia="Arial"/>
          <w:szCs w:val="22"/>
        </w:rPr>
      </w:pPr>
      <w:r w:rsidRPr="000F6CD1">
        <w:rPr>
          <w:rFonts w:eastAsia="Arial"/>
          <w:b/>
          <w:bCs/>
          <w:szCs w:val="22"/>
        </w:rPr>
        <w:t>record the date</w:t>
      </w:r>
      <w:r w:rsidRPr="000F6CD1">
        <w:rPr>
          <w:rFonts w:eastAsia="Arial"/>
          <w:szCs w:val="22"/>
        </w:rPr>
        <w:t xml:space="preserve"> on which the notice was sent.</w:t>
      </w:r>
    </w:p>
    <w:p w14:paraId="5F485E4C" w14:textId="3DAF1CCC" w:rsidR="004D556D" w:rsidRPr="000F6CD1" w:rsidRDefault="004D556D">
      <w:pPr>
        <w:spacing w:after="0"/>
        <w:rPr>
          <w:rFonts w:eastAsia="Arial"/>
          <w:b/>
          <w:bCs/>
        </w:rPr>
      </w:pPr>
    </w:p>
    <w:p w14:paraId="76566F0F" w14:textId="14B8728A" w:rsidR="004D556D" w:rsidRPr="00D62CB6" w:rsidRDefault="004D556D" w:rsidP="00D62CB6">
      <w:pPr>
        <w:spacing w:after="0"/>
        <w:rPr>
          <w:rFonts w:eastAsia="Arial"/>
          <w:b/>
          <w:bCs/>
        </w:rPr>
      </w:pPr>
      <w:r w:rsidRPr="00D62CB6">
        <w:rPr>
          <w:rFonts w:eastAsia="Arial"/>
          <w:b/>
          <w:bCs/>
        </w:rPr>
        <w:t>Requirements for electronic delivery</w:t>
      </w:r>
    </w:p>
    <w:p w14:paraId="6CEF9067" w14:textId="098D8B76" w:rsidR="004D556D" w:rsidRPr="000F6CD1" w:rsidRDefault="004D556D" w:rsidP="00DB78A1">
      <w:pPr>
        <w:spacing w:before="240" w:after="0"/>
        <w:rPr>
          <w:rFonts w:eastAsia="Arial"/>
          <w:szCs w:val="22"/>
        </w:rPr>
      </w:pPr>
      <w:r w:rsidRPr="000F6CD1">
        <w:rPr>
          <w:rFonts w:eastAsia="Arial"/>
          <w:szCs w:val="22"/>
        </w:rPr>
        <w:t xml:space="preserve">When the notice is provided to the client via their My Aged Care Online Account the assessment delegate must notify the client that the notice has been uploaded and can be retrieved. Delegates should use the notes tab on the client’s record to document that this notification has occurred and the date it happened. </w:t>
      </w:r>
    </w:p>
    <w:p w14:paraId="3D83A64C" w14:textId="25259AF6" w:rsidR="004D556D" w:rsidRPr="000F6CD1" w:rsidRDefault="004D556D" w:rsidP="00DB78A1">
      <w:pPr>
        <w:spacing w:before="240" w:after="0"/>
        <w:rPr>
          <w:rFonts w:eastAsia="Arial"/>
          <w:szCs w:val="22"/>
        </w:rPr>
      </w:pPr>
      <w:r w:rsidRPr="000F6CD1">
        <w:rPr>
          <w:rFonts w:eastAsia="Arial"/>
          <w:szCs w:val="22"/>
        </w:rPr>
        <w:t>If</w:t>
      </w:r>
      <w:r w:rsidRPr="000F6CD1" w:rsidDel="00547640">
        <w:rPr>
          <w:rFonts w:eastAsia="Arial"/>
          <w:szCs w:val="22"/>
        </w:rPr>
        <w:t xml:space="preserve"> </w:t>
      </w:r>
      <w:r w:rsidRPr="000F6CD1">
        <w:rPr>
          <w:rFonts w:eastAsia="Arial"/>
          <w:szCs w:val="22"/>
        </w:rPr>
        <w:t xml:space="preserve">providing the notice electronically to an address that has not been designated by the client, the notice is given when it is capable of being retrieved. Assessment delegates should clearly communicate to a client which address the notice has been provided to so it can be retrieved within the 14-day period. </w:t>
      </w:r>
    </w:p>
    <w:p w14:paraId="7E8F7438" w14:textId="430BD488" w:rsidR="004D556D" w:rsidRPr="000F6CD1" w:rsidRDefault="004D556D" w:rsidP="00DB78A1">
      <w:pPr>
        <w:spacing w:before="240" w:after="240"/>
        <w:rPr>
          <w:rFonts w:eastAsia="Arial"/>
          <w:szCs w:val="22"/>
        </w:rPr>
      </w:pPr>
      <w:r w:rsidRPr="000F6CD1">
        <w:rPr>
          <w:rFonts w:eastAsia="Arial"/>
          <w:b/>
          <w:bCs/>
          <w:szCs w:val="22"/>
        </w:rPr>
        <w:t xml:space="preserve">Note: </w:t>
      </w:r>
      <w:r w:rsidRPr="000F6CD1">
        <w:rPr>
          <w:rFonts w:eastAsia="Arial"/>
          <w:szCs w:val="22"/>
        </w:rPr>
        <w:t xml:space="preserve">If a client is unable to readily access their emails or My Aged Care Online Account, the notice </w:t>
      </w:r>
      <w:r w:rsidRPr="000F6CD1">
        <w:rPr>
          <w:rFonts w:eastAsia="Arial"/>
          <w:b/>
          <w:bCs/>
          <w:szCs w:val="22"/>
        </w:rPr>
        <w:t>must be sent via pre-paid post</w:t>
      </w:r>
      <w:r w:rsidRPr="000F6CD1">
        <w:rPr>
          <w:rFonts w:eastAsia="Arial"/>
          <w:szCs w:val="22"/>
        </w:rPr>
        <w:t xml:space="preserve">. Assessment Delegates should confirm this with the client when obtaining their agreement for electronic delivery of the notice. </w:t>
      </w:r>
    </w:p>
    <w:p w14:paraId="1DBBA059" w14:textId="3057A573" w:rsidR="004D556D" w:rsidRPr="000F6CD1" w:rsidRDefault="004D556D" w:rsidP="3FD93375">
      <w:pPr>
        <w:spacing w:after="0"/>
      </w:pPr>
    </w:p>
    <w:p w14:paraId="42033D37" w14:textId="3F50212B" w:rsidR="004D556D" w:rsidRPr="000F6CD1" w:rsidRDefault="00AA0473" w:rsidP="00AD2CE5">
      <w:pPr>
        <w:pStyle w:val="H3"/>
        <w:rPr>
          <w:rFonts w:eastAsia="Arial"/>
        </w:rPr>
      </w:pPr>
      <w:bookmarkStart w:id="877" w:name="_Ref232691010"/>
      <w:r w:rsidRPr="000F6CD1">
        <w:drawing>
          <wp:anchor distT="0" distB="0" distL="114300" distR="114300" simplePos="0" relativeHeight="251658306" behindDoc="0" locked="0" layoutInCell="1" allowOverlap="1" wp14:anchorId="3FF36A69" wp14:editId="1D413DC5">
            <wp:simplePos x="0" y="0"/>
            <wp:positionH relativeFrom="margin">
              <wp:align>left</wp:align>
            </wp:positionH>
            <wp:positionV relativeFrom="margin">
              <wp:posOffset>6959802</wp:posOffset>
            </wp:positionV>
            <wp:extent cx="457200" cy="506095"/>
            <wp:effectExtent l="0" t="0" r="0" b="8255"/>
            <wp:wrapSquare wrapText="bothSides"/>
            <wp:docPr id="373339650" name="Picture 373339650"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9650" name="Picture 373339650" descr="A bell with an exclamation mark that denotes a significant change in information from version 8.2 of the Aged Care Assessment Manu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0F6CD1">
        <w:t>Notice of outcome of application for second concurrent unit of restorative care funding</w:t>
      </w:r>
      <w:bookmarkEnd w:id="877"/>
      <w:r w:rsidR="004D556D" w:rsidRPr="000F6CD1">
        <w:t xml:space="preserve"> </w:t>
      </w:r>
    </w:p>
    <w:p w14:paraId="11503A61" w14:textId="46DEC01F" w:rsidR="004D556D" w:rsidRPr="000F6CD1" w:rsidRDefault="004D556D">
      <w:pPr>
        <w:rPr>
          <w:rFonts w:eastAsia="Arial"/>
          <w:szCs w:val="22"/>
        </w:rPr>
      </w:pPr>
      <w:r w:rsidRPr="000F6CD1">
        <w:t>If a support plan review is being conducted and a second concurrent unit of restorative care funding has been requested, a letter must be sent to the older person (and their registered supporter/s and/or appointed decision maker/s, if applicable) notifying them of the outcome of the application for the additional funding.</w:t>
      </w:r>
    </w:p>
    <w:p w14:paraId="4DDC5515" w14:textId="77777777" w:rsidR="004D556D" w:rsidRPr="000F6CD1" w:rsidRDefault="004D556D">
      <w:pPr>
        <w:rPr>
          <w:rFonts w:eastAsia="Arial"/>
          <w:szCs w:val="22"/>
        </w:rPr>
      </w:pPr>
      <w:r w:rsidRPr="000F6CD1">
        <w:t xml:space="preserve">The decision to approve additional funding to the Restorative Care Pathway episode is made under section 195-3 of the </w:t>
      </w:r>
      <w:r w:rsidRPr="000F6CD1">
        <w:rPr>
          <w:i/>
          <w:iCs/>
        </w:rPr>
        <w:t>Aged Care Rules 2025.</w:t>
      </w:r>
    </w:p>
    <w:p w14:paraId="18B8E92A" w14:textId="64923FC6" w:rsidR="004D556D" w:rsidRPr="000F6CD1" w:rsidRDefault="004D556D">
      <w:r w:rsidRPr="000F6CD1">
        <w:lastRenderedPageBreak/>
        <w:t>The Approval for RCP second</w:t>
      </w:r>
      <w:r w:rsidR="008C02D9">
        <w:t xml:space="preserve"> </w:t>
      </w:r>
      <w:r w:rsidRPr="000F6CD1">
        <w:t xml:space="preserve">unit of funding letter can be generated via the portal the same way as the NoD Approval and Non-approval letters are generated. </w:t>
      </w:r>
    </w:p>
    <w:p w14:paraId="08D59E44" w14:textId="13D12006" w:rsidR="004D556D" w:rsidRPr="000F6CD1" w:rsidRDefault="004D556D">
      <w:r w:rsidRPr="000F6CD1">
        <w:t>When the outcome of the support plan review for a second concurrent unit of restorative care funding is not approved, the notice needs to be updated using the appropriate template which can be found under the ‘Forms’ tab in ‘Reports and Documents’ tile in the Assessor Portal.</w:t>
      </w:r>
    </w:p>
    <w:p w14:paraId="62A3B577" w14:textId="77777777" w:rsidR="004D556D" w:rsidRPr="000F6CD1" w:rsidRDefault="004D556D">
      <w:pPr>
        <w:rPr>
          <w:rFonts w:eastAsia="Arial"/>
          <w:szCs w:val="22"/>
        </w:rPr>
      </w:pPr>
      <w:r w:rsidRPr="000F6CD1">
        <w:t xml:space="preserve">Once finalised, the letter must be signed and uploaded to the assessor portal for record-keeping purposes, and then post or email it to the individual (and their registered supporter/s and/or appointed decision maker/s, if applicable) using their preferred communication method/s. </w:t>
      </w:r>
    </w:p>
    <w:p w14:paraId="3D756F78" w14:textId="77777777" w:rsidR="004D556D" w:rsidRPr="000F6CD1" w:rsidRDefault="004D556D" w:rsidP="00AD2CE5">
      <w:pPr>
        <w:pStyle w:val="H3"/>
        <w:rPr>
          <w:rFonts w:eastAsia="Arial"/>
        </w:rPr>
      </w:pPr>
      <w:r w:rsidRPr="000F6CD1">
        <w:t>Registered supporters who are authorised to receive copies of letters</w:t>
      </w:r>
    </w:p>
    <w:p w14:paraId="5D42353E" w14:textId="77777777" w:rsidR="004D556D" w:rsidRPr="000F6CD1" w:rsidRDefault="004D556D" w:rsidP="000617A6">
      <w:pPr>
        <w:spacing w:before="240" w:after="240"/>
        <w:rPr>
          <w:rFonts w:eastAsia="Arial"/>
          <w:szCs w:val="22"/>
        </w:rPr>
      </w:pPr>
      <w:r w:rsidRPr="000F6CD1">
        <w:rPr>
          <w:rFonts w:eastAsia="Arial"/>
          <w:szCs w:val="22"/>
        </w:rPr>
        <w:t>If an older person has a registered supporter/s who is authorised to automatically receive certain information or documents about an older person, they must be given a copy of the information or document. Registered supporters can access these documents if they have arranged their own login to the client portal via My Aged Care. If an older person has multiple registered supporters who are all authorised to receive copies of an information or document, each registered supporter must receive a copy. This includes a Notice of Decision.</w:t>
      </w:r>
    </w:p>
    <w:p w14:paraId="500185E1" w14:textId="77777777" w:rsidR="004D556D" w:rsidRPr="000F6CD1" w:rsidRDefault="004D556D" w:rsidP="000617A6">
      <w:pPr>
        <w:spacing w:before="240" w:after="240"/>
        <w:rPr>
          <w:rFonts w:eastAsia="Arial"/>
          <w:szCs w:val="22"/>
        </w:rPr>
      </w:pPr>
      <w:r w:rsidRPr="000F6CD1">
        <w:rPr>
          <w:rFonts w:eastAsia="Arial"/>
          <w:szCs w:val="22"/>
        </w:rPr>
        <w:t xml:space="preserve">Section 29 of the </w:t>
      </w:r>
      <w:r w:rsidRPr="00EB1D79">
        <w:rPr>
          <w:rFonts w:eastAsia="Arial"/>
          <w:i/>
          <w:iCs/>
          <w:szCs w:val="22"/>
        </w:rPr>
        <w:t>Aged Care Act 2024</w:t>
      </w:r>
      <w:r w:rsidRPr="000F6CD1">
        <w:rPr>
          <w:rFonts w:eastAsia="Arial"/>
          <w:szCs w:val="22"/>
        </w:rPr>
        <w:t xml:space="preserve"> (the Act) provides that any information or document that is required or authorised under, or for the purposes of, the Act to be given to an older person must also be given to their registered supporters if: </w:t>
      </w:r>
    </w:p>
    <w:p w14:paraId="6579FA54" w14:textId="77777777" w:rsidR="004D556D" w:rsidRPr="000F6CD1" w:rsidRDefault="004D556D" w:rsidP="004D556D">
      <w:pPr>
        <w:pStyle w:val="ListParagraph"/>
        <w:numPr>
          <w:ilvl w:val="0"/>
          <w:numId w:val="549"/>
        </w:numPr>
        <w:spacing w:after="0"/>
        <w:rPr>
          <w:rFonts w:eastAsia="Arial"/>
          <w:szCs w:val="22"/>
        </w:rPr>
      </w:pPr>
      <w:r w:rsidRPr="000F6CD1">
        <w:rPr>
          <w:rFonts w:eastAsia="Arial"/>
          <w:szCs w:val="22"/>
        </w:rPr>
        <w:t xml:space="preserve">the older person has consented to sharing this kind of information with their registered supporter, or  </w:t>
      </w:r>
    </w:p>
    <w:p w14:paraId="13855072" w14:textId="3DE276A9" w:rsidR="004D556D" w:rsidRPr="000F6CD1" w:rsidRDefault="004D556D" w:rsidP="004D556D">
      <w:pPr>
        <w:pStyle w:val="ListParagraph"/>
        <w:numPr>
          <w:ilvl w:val="0"/>
          <w:numId w:val="548"/>
        </w:numPr>
        <w:spacing w:after="0"/>
        <w:rPr>
          <w:rFonts w:eastAsia="Arial"/>
          <w:szCs w:val="22"/>
        </w:rPr>
      </w:pPr>
      <w:r w:rsidRPr="000F6CD1">
        <w:rPr>
          <w:rFonts w:eastAsia="Arial"/>
          <w:szCs w:val="22"/>
        </w:rPr>
        <w:t>regardless of whether the older person has consented, the registered supporter is a person covered by subsection 28(2) of the Act. That is, they are a registered supporter who relied on their authority as an active appointed decision-maker for the older person in becoming registered.</w:t>
      </w:r>
    </w:p>
    <w:p w14:paraId="7C6BD66A" w14:textId="77777777" w:rsidR="004D556D" w:rsidRPr="000F6CD1" w:rsidRDefault="004D556D" w:rsidP="000617A6">
      <w:pPr>
        <w:spacing w:before="240" w:after="240"/>
        <w:rPr>
          <w:rFonts w:eastAsia="Arial"/>
          <w:szCs w:val="22"/>
        </w:rPr>
      </w:pPr>
      <w:r w:rsidRPr="000F6CD1">
        <w:rPr>
          <w:rFonts w:eastAsia="Arial"/>
          <w:szCs w:val="22"/>
        </w:rPr>
        <w:t xml:space="preserve">These registered supporters are called ‘supporters’ and ‘supporter guardians’ in the assessor portal and app. </w:t>
      </w:r>
    </w:p>
    <w:p w14:paraId="500D98C4" w14:textId="6936392F" w:rsidR="004D556D" w:rsidRPr="000F6CD1" w:rsidRDefault="004D556D" w:rsidP="000617A6">
      <w:pPr>
        <w:spacing w:after="0"/>
        <w:rPr>
          <w:rFonts w:eastAsia="Arial"/>
          <w:szCs w:val="22"/>
        </w:rPr>
      </w:pPr>
      <w:r w:rsidRPr="000F6CD1">
        <w:rPr>
          <w:rFonts w:eastAsia="Arial"/>
          <w:szCs w:val="22"/>
        </w:rPr>
        <w:t>A registered supporter who is recorded as a ‘supporter lite’ cannot automatically be given information or documents about an older person. This is because the older person has not consented to that registered supporter receiving their information and documents under section 29 or the registered supporter is not a person covered by subsection 28(2) of the Act. That is, they are not a registered supporter who relied on their authority as an active appointed decision-maker for the older person to become registered as a supporter.</w:t>
      </w:r>
    </w:p>
    <w:p w14:paraId="34AA8593" w14:textId="3ECCD5B6" w:rsidR="004D556D" w:rsidRPr="000F6CD1" w:rsidRDefault="004D556D" w:rsidP="00966880">
      <w:pPr>
        <w:spacing w:before="240" w:after="240"/>
        <w:rPr>
          <w:rFonts w:eastAsia="Arial"/>
          <w:szCs w:val="22"/>
        </w:rPr>
      </w:pPr>
      <w:r w:rsidRPr="000F6CD1">
        <w:rPr>
          <w:rFonts w:eastAsia="Arial"/>
          <w:szCs w:val="22"/>
        </w:rPr>
        <w:t>For example, assessors must not send a supporter lite a Notice of Decision. If a request has been made by a supporter lite to access a Notice of Decision letter, this should be escalated to the departmental team responsible for supporters.</w:t>
      </w:r>
    </w:p>
    <w:p w14:paraId="0CD3213C" w14:textId="06078857" w:rsidR="004D556D" w:rsidRPr="000F6CD1" w:rsidRDefault="006F2CD1" w:rsidP="00AD2CE5">
      <w:pPr>
        <w:pStyle w:val="H3"/>
        <w:rPr>
          <w:rFonts w:eastAsia="Arial"/>
        </w:rPr>
      </w:pPr>
      <w:r w:rsidRPr="000F6CD1">
        <w:rPr>
          <w:bCs w:val="0"/>
          <w:lang w:val="en-AU"/>
        </w:rPr>
        <w:lastRenderedPageBreak/>
        <w:drawing>
          <wp:anchor distT="0" distB="0" distL="114300" distR="114300" simplePos="0" relativeHeight="251658363" behindDoc="0" locked="0" layoutInCell="1" allowOverlap="1" wp14:anchorId="2FA5B404" wp14:editId="7FEF0C86">
            <wp:simplePos x="0" y="0"/>
            <wp:positionH relativeFrom="margin">
              <wp:posOffset>-75157</wp:posOffset>
            </wp:positionH>
            <wp:positionV relativeFrom="paragraph">
              <wp:posOffset>287</wp:posOffset>
            </wp:positionV>
            <wp:extent cx="457200" cy="502920"/>
            <wp:effectExtent l="0" t="0" r="0" b="0"/>
            <wp:wrapSquare wrapText="bothSides"/>
            <wp:docPr id="2111148480" name="Picture 2111148480" descr="A bell with a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026" name="Picture 98683026" descr="A bell with a exclamation mark that denotes a significant change in information from version 8.2 of the Aged Care Assessment Manual. "/>
                    <pic:cNvPicPr/>
                  </pic:nvPicPr>
                  <pic:blipFill>
                    <a:blip r:embed="rId41">
                      <a:extLst>
                        <a:ext uri="{28A0092B-C50C-407E-A947-70E740481C1C}">
                          <a14:useLocalDpi xmlns:a14="http://schemas.microsoft.com/office/drawing/2010/main" val="0"/>
                        </a:ext>
                      </a:extLst>
                    </a:blip>
                    <a:stretch>
                      <a:fillRect/>
                    </a:stretch>
                  </pic:blipFill>
                  <pic:spPr>
                    <a:xfrm>
                      <a:off x="0" y="0"/>
                      <a:ext cx="457200" cy="502920"/>
                    </a:xfrm>
                    <a:prstGeom prst="rect">
                      <a:avLst/>
                    </a:prstGeom>
                  </pic:spPr>
                </pic:pic>
              </a:graphicData>
            </a:graphic>
            <wp14:sizeRelH relativeFrom="page">
              <wp14:pctWidth>0</wp14:pctWidth>
            </wp14:sizeRelH>
            <wp14:sizeRelV relativeFrom="page">
              <wp14:pctHeight>0</wp14:pctHeight>
            </wp14:sizeRelV>
          </wp:anchor>
        </w:drawing>
      </w:r>
      <w:r w:rsidR="004D556D" w:rsidRPr="000F6CD1">
        <w:t>Using electronic signatures</w:t>
      </w:r>
    </w:p>
    <w:p w14:paraId="1AAEC38E" w14:textId="549173C8" w:rsidR="004D556D" w:rsidRPr="000F6CD1" w:rsidRDefault="004D556D" w:rsidP="00966880">
      <w:pPr>
        <w:spacing w:before="240" w:after="240"/>
        <w:rPr>
          <w:rFonts w:eastAsia="Arial"/>
          <w:szCs w:val="22"/>
        </w:rPr>
      </w:pPr>
      <w:r w:rsidRPr="000F6CD1">
        <w:rPr>
          <w:rFonts w:eastAsia="Arial"/>
          <w:szCs w:val="22"/>
        </w:rPr>
        <w:t xml:space="preserve">Under Section 10 of the </w:t>
      </w:r>
      <w:r w:rsidRPr="000D0DD2">
        <w:rPr>
          <w:rFonts w:eastAsia="Arial"/>
          <w:i/>
          <w:iCs/>
          <w:szCs w:val="22"/>
        </w:rPr>
        <w:t>Electronic Transactions Act 1999</w:t>
      </w:r>
      <w:r w:rsidRPr="000F6CD1">
        <w:rPr>
          <w:rFonts w:eastAsia="Arial"/>
          <w:szCs w:val="22"/>
        </w:rPr>
        <w:t>, electronic signatures can be used when a Commonwealth law requires a person’s signature. Assessment Delegates can use an electronic signature instead of a handwritten one.</w:t>
      </w:r>
    </w:p>
    <w:p w14:paraId="3D90E060" w14:textId="77777777" w:rsidR="004D556D" w:rsidRPr="000F6CD1" w:rsidRDefault="004D556D" w:rsidP="00966880">
      <w:pPr>
        <w:spacing w:before="240" w:after="240"/>
        <w:rPr>
          <w:rFonts w:eastAsia="Arial"/>
          <w:szCs w:val="22"/>
        </w:rPr>
      </w:pPr>
      <w:r w:rsidRPr="000F6CD1">
        <w:rPr>
          <w:rFonts w:eastAsia="Arial"/>
          <w:szCs w:val="22"/>
        </w:rPr>
        <w:t>However, before using an electronic signature, Assessment Delegates need to make sure that all legal requirements have been met under Section 10 of the Electronic Transactions Act 1999.</w:t>
      </w:r>
    </w:p>
    <w:p w14:paraId="79FC88C8" w14:textId="77777777" w:rsidR="004D556D" w:rsidRPr="000F6CD1" w:rsidRDefault="004D556D" w:rsidP="00966880">
      <w:pPr>
        <w:spacing w:before="240" w:after="240"/>
        <w:rPr>
          <w:rFonts w:eastAsia="Arial"/>
          <w:szCs w:val="22"/>
        </w:rPr>
      </w:pPr>
      <w:r w:rsidRPr="000F6CD1">
        <w:rPr>
          <w:rFonts w:eastAsia="Arial"/>
          <w:szCs w:val="22"/>
        </w:rPr>
        <w:t>To do this effectively, follow these practices:</w:t>
      </w:r>
    </w:p>
    <w:p w14:paraId="68184C8D" w14:textId="77777777" w:rsidR="004D556D" w:rsidRPr="000F6CD1" w:rsidRDefault="004D556D" w:rsidP="004D556D">
      <w:pPr>
        <w:pStyle w:val="ListParagraph"/>
        <w:numPr>
          <w:ilvl w:val="0"/>
          <w:numId w:val="546"/>
        </w:numPr>
        <w:spacing w:after="0"/>
        <w:rPr>
          <w:rFonts w:eastAsia="Arial"/>
          <w:szCs w:val="22"/>
        </w:rPr>
      </w:pPr>
      <w:r w:rsidRPr="000F6CD1">
        <w:rPr>
          <w:rFonts w:eastAsia="Arial"/>
          <w:b/>
          <w:bCs/>
          <w:szCs w:val="22"/>
        </w:rPr>
        <w:t>Monitoring Use:</w:t>
      </w:r>
      <w:r w:rsidRPr="000F6CD1">
        <w:rPr>
          <w:rFonts w:eastAsia="Arial"/>
          <w:szCs w:val="22"/>
        </w:rPr>
        <w:t xml:space="preserve"> Set up procedures to track when their electronic signature is applied, so Assessment Delegates are always aware of its use.</w:t>
      </w:r>
    </w:p>
    <w:p w14:paraId="073DACA5" w14:textId="77777777" w:rsidR="004D556D" w:rsidRPr="000F6CD1" w:rsidRDefault="004D556D" w:rsidP="004D556D">
      <w:pPr>
        <w:pStyle w:val="ListParagraph"/>
        <w:numPr>
          <w:ilvl w:val="0"/>
          <w:numId w:val="546"/>
        </w:numPr>
        <w:spacing w:after="0"/>
        <w:rPr>
          <w:rFonts w:eastAsia="Arial"/>
          <w:szCs w:val="22"/>
        </w:rPr>
      </w:pPr>
      <w:r w:rsidRPr="000F6CD1">
        <w:rPr>
          <w:rFonts w:eastAsia="Arial"/>
          <w:b/>
          <w:bCs/>
          <w:szCs w:val="22"/>
        </w:rPr>
        <w:t>Administrative Assistance:</w:t>
      </w:r>
      <w:r w:rsidRPr="000F6CD1">
        <w:rPr>
          <w:rFonts w:eastAsia="Arial"/>
          <w:szCs w:val="22"/>
        </w:rPr>
        <w:t xml:space="preserve"> Assessment Delegates can get help from administrative staff to attach their electronic signature, but they should remember that the final responsibility for the notification remains with the Assessment Delegate. Administrative staff do not have the authority to apply the signature on their own.</w:t>
      </w:r>
    </w:p>
    <w:p w14:paraId="6414ED3D" w14:textId="4748B4FB" w:rsidR="004D556D" w:rsidRPr="000F6CD1" w:rsidRDefault="004D556D" w:rsidP="004E76AA">
      <w:pPr>
        <w:spacing w:before="240" w:after="240"/>
        <w:rPr>
          <w:rFonts w:eastAsia="Arial"/>
          <w:szCs w:val="22"/>
        </w:rPr>
      </w:pPr>
      <w:r w:rsidRPr="000F6CD1">
        <w:rPr>
          <w:rFonts w:eastAsia="Arial"/>
          <w:szCs w:val="22"/>
        </w:rPr>
        <w:t xml:space="preserve">Acceptable forms for an electronic signature include a typed name, personal mark, signature image, personal email, clicking an ‘I accept’ box, or using a digital signing platform, provided they clearly demonstrate the person’s identity and intention. Please see link below for further advice from the Attorney-General’s Department regarding types of electronic signatures that can be used. </w:t>
      </w:r>
    </w:p>
    <w:tbl>
      <w:tblPr>
        <w:tblW w:w="0" w:type="auto"/>
        <w:tblLook w:val="04A0" w:firstRow="1" w:lastRow="0" w:firstColumn="1" w:lastColumn="0" w:noHBand="0" w:noVBand="1"/>
      </w:tblPr>
      <w:tblGrid>
        <w:gridCol w:w="921"/>
        <w:gridCol w:w="8100"/>
      </w:tblGrid>
      <w:tr w:rsidR="004D556D" w:rsidRPr="000F6CD1" w14:paraId="5051AB22" w14:textId="77777777" w:rsidTr="000C1302">
        <w:trPr>
          <w:trHeight w:val="675"/>
        </w:trPr>
        <w:tc>
          <w:tcPr>
            <w:tcW w:w="921" w:type="dxa"/>
            <w:tcMar>
              <w:left w:w="108" w:type="dxa"/>
              <w:right w:w="108" w:type="dxa"/>
            </w:tcMar>
          </w:tcPr>
          <w:p w14:paraId="7C3BD3DE" w14:textId="77777777" w:rsidR="004D556D" w:rsidRPr="000F6CD1" w:rsidRDefault="004D556D" w:rsidP="004E76AA">
            <w:pPr>
              <w:spacing w:before="240" w:after="240"/>
            </w:pPr>
            <w:r w:rsidRPr="000F6CD1">
              <w:rPr>
                <w:noProof/>
              </w:rPr>
              <w:drawing>
                <wp:inline distT="0" distB="0" distL="0" distR="0" wp14:anchorId="2896AD9A" wp14:editId="6DB9DDA4">
                  <wp:extent cx="447675" cy="438150"/>
                  <wp:effectExtent l="0" t="0" r="0" b="0"/>
                  <wp:docPr id="951077484" name="drawing"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7484" name="drawing" descr="A black-and-white “i” icon inside a speech bubble, used to show where there are links to additional information and resources."/>
                          <pic:cNvPicPr/>
                        </pic:nvPicPr>
                        <pic:blipFill>
                          <a:blip r:embed="rId259">
                            <a:extLst>
                              <a:ext uri="{28A0092B-C50C-407E-A947-70E740481C1C}">
                                <a14:useLocalDpi xmlns:a14="http://schemas.microsoft.com/office/drawing/2010/main"/>
                              </a:ext>
                            </a:extLst>
                          </a:blip>
                          <a:stretch>
                            <a:fillRect/>
                          </a:stretch>
                        </pic:blipFill>
                        <pic:spPr>
                          <a:xfrm>
                            <a:off x="0" y="0"/>
                            <a:ext cx="447675" cy="438150"/>
                          </a:xfrm>
                          <a:prstGeom prst="rect">
                            <a:avLst/>
                          </a:prstGeom>
                        </pic:spPr>
                      </pic:pic>
                    </a:graphicData>
                  </a:graphic>
                </wp:inline>
              </w:drawing>
            </w:r>
          </w:p>
        </w:tc>
        <w:tc>
          <w:tcPr>
            <w:tcW w:w="8100" w:type="dxa"/>
            <w:tcMar>
              <w:left w:w="108" w:type="dxa"/>
              <w:right w:w="108" w:type="dxa"/>
            </w:tcMar>
          </w:tcPr>
          <w:p w14:paraId="1E3BF54B" w14:textId="77777777" w:rsidR="004D556D" w:rsidRPr="000F6CD1" w:rsidRDefault="004D556D" w:rsidP="004E76AA">
            <w:pPr>
              <w:spacing w:before="240" w:after="0"/>
              <w:rPr>
                <w:rStyle w:val="Hyperlink"/>
                <w:rFonts w:eastAsia="Arial"/>
                <w:i/>
                <w:iCs/>
                <w:sz w:val="24"/>
              </w:rPr>
            </w:pPr>
            <w:hyperlink r:id="rId260" w:history="1">
              <w:r w:rsidRPr="000F6CD1">
                <w:rPr>
                  <w:rStyle w:val="Hyperlink"/>
                  <w:rFonts w:eastAsia="Arial"/>
                  <w:i/>
                  <w:iCs/>
                  <w:sz w:val="24"/>
                </w:rPr>
                <w:t>Electronic Transactions Act 1999</w:t>
              </w:r>
            </w:hyperlink>
          </w:p>
          <w:p w14:paraId="7D3E0BA5" w14:textId="77777777" w:rsidR="004D556D" w:rsidRPr="000F6CD1" w:rsidRDefault="004D556D" w:rsidP="004E76AA">
            <w:pPr>
              <w:spacing w:before="240" w:after="0"/>
              <w:rPr>
                <w:rStyle w:val="Hyperlink"/>
                <w:rFonts w:eastAsia="Arial"/>
                <w:i/>
                <w:iCs/>
                <w:sz w:val="24"/>
              </w:rPr>
            </w:pPr>
            <w:hyperlink r:id="rId261" w:history="1">
              <w:r w:rsidRPr="000F6CD1">
                <w:rPr>
                  <w:rStyle w:val="Hyperlink"/>
                  <w:rFonts w:eastAsia="Arial"/>
                  <w:i/>
                  <w:iCs/>
                  <w:sz w:val="24"/>
                </w:rPr>
                <w:t>Attorney-General's Department - Types of electronic signatures that can be used</w:t>
              </w:r>
            </w:hyperlink>
          </w:p>
        </w:tc>
      </w:tr>
    </w:tbl>
    <w:p w14:paraId="681F0A4C" w14:textId="77777777" w:rsidR="004D556D" w:rsidRPr="000F6CD1" w:rsidRDefault="004D556D" w:rsidP="004E76AA">
      <w:pPr>
        <w:spacing w:line="278" w:lineRule="auto"/>
        <w:rPr>
          <w:rFonts w:eastAsia="Arial"/>
          <w:sz w:val="24"/>
        </w:rPr>
      </w:pPr>
    </w:p>
    <w:p w14:paraId="09DAE260" w14:textId="77777777" w:rsidR="004D556D" w:rsidRPr="000F6CD1" w:rsidRDefault="004D556D" w:rsidP="006647CE">
      <w:pPr>
        <w:pStyle w:val="h2"/>
      </w:pPr>
      <w:bookmarkStart w:id="878" w:name="_Toc209189037"/>
      <w:bookmarkStart w:id="879" w:name="_Ref232604449"/>
      <w:bookmarkStart w:id="880" w:name="_Toc233282493"/>
      <w:r w:rsidRPr="000F6CD1">
        <w:t>Referral and support for service access</w:t>
      </w:r>
      <w:bookmarkEnd w:id="878"/>
      <w:bookmarkEnd w:id="879"/>
      <w:bookmarkEnd w:id="880"/>
    </w:p>
    <w:p w14:paraId="2D2B2B68" w14:textId="77777777" w:rsidR="004D556D" w:rsidRPr="000F6CD1" w:rsidRDefault="004D556D" w:rsidP="00AD2CE5">
      <w:pPr>
        <w:pStyle w:val="H3"/>
      </w:pPr>
      <w:r w:rsidRPr="000F6CD1">
        <w:t>Referral codes</w:t>
      </w:r>
    </w:p>
    <w:p w14:paraId="6C2D06E6" w14:textId="77777777" w:rsidR="004D556D" w:rsidRPr="000F6CD1" w:rsidRDefault="004D556D" w:rsidP="00622CFF">
      <w:pPr>
        <w:spacing w:before="240" w:after="240" w:line="240" w:lineRule="auto"/>
      </w:pPr>
      <w:r w:rsidRPr="000F6CD1">
        <w:t xml:space="preserve">A referral code is a unique reference number used to connect an older person with a provider, enabling them to begin receiving services. Referral codes will be generated at different stages and through different mechanisms depending on the program recommended during the aged care needs assessment. </w:t>
      </w:r>
    </w:p>
    <w:p w14:paraId="166EA8C2" w14:textId="77777777" w:rsidR="004D556D" w:rsidRPr="000F6CD1" w:rsidRDefault="004D556D" w:rsidP="00AD2CE5">
      <w:pPr>
        <w:pStyle w:val="H3"/>
      </w:pPr>
      <w:r w:rsidRPr="000F6CD1">
        <w:t>When to share referral codes</w:t>
      </w:r>
    </w:p>
    <w:p w14:paraId="2E4CD00D" w14:textId="77777777" w:rsidR="004D556D" w:rsidRPr="000F6CD1" w:rsidRDefault="004D556D" w:rsidP="00622CFF">
      <w:pPr>
        <w:spacing w:before="240" w:after="240" w:line="240" w:lineRule="auto"/>
      </w:pPr>
      <w:r w:rsidRPr="000F6CD1">
        <w:t xml:space="preserve">From 1 November 2025, all Australian government-funded aged care services fall under the </w:t>
      </w:r>
      <w:r w:rsidRPr="000F6CD1">
        <w:rPr>
          <w:i/>
          <w:iCs/>
        </w:rPr>
        <w:t>Aged Care Act 2024</w:t>
      </w:r>
      <w:r w:rsidRPr="000F6CD1">
        <w:t xml:space="preserve">. This includes CHSP services, which were not under the </w:t>
      </w:r>
      <w:r w:rsidRPr="000F6CD1">
        <w:rPr>
          <w:i/>
          <w:iCs/>
        </w:rPr>
        <w:t>Aged Care Act 1997</w:t>
      </w:r>
      <w:r w:rsidRPr="000F6CD1">
        <w:t>. This means that for all service approvals (including for CHSP),</w:t>
      </w:r>
      <w:r w:rsidRPr="000F6CD1">
        <w:rPr>
          <w:b/>
          <w:bCs/>
        </w:rPr>
        <w:t xml:space="preserve"> </w:t>
      </w:r>
      <w:r w:rsidRPr="000F6CD1">
        <w:t>referral codes cannot be issued to the older person or service providers until the Assessment Delegate has completed and signed a Notice of Decision.</w:t>
      </w:r>
    </w:p>
    <w:p w14:paraId="53D657B1" w14:textId="04D49A90" w:rsidR="004D556D" w:rsidRPr="000F6CD1" w:rsidRDefault="004D556D" w:rsidP="00622CFF">
      <w:pPr>
        <w:spacing w:before="240" w:after="240" w:line="240" w:lineRule="auto"/>
      </w:pPr>
      <w:r w:rsidRPr="000F6CD1">
        <w:t xml:space="preserve">This is an important change that assessment organisations must adhere to, to ensure compliance with the </w:t>
      </w:r>
      <w:r w:rsidRPr="000F6CD1">
        <w:rPr>
          <w:i/>
        </w:rPr>
        <w:t>Aged Care Act 2024</w:t>
      </w:r>
      <w:r w:rsidRPr="000F6CD1">
        <w:t xml:space="preserve">. If referral codes are given to the older person </w:t>
      </w:r>
      <w:r w:rsidRPr="000F6CD1">
        <w:lastRenderedPageBreak/>
        <w:t xml:space="preserve">and/or provider(s) and a Notice of Decision is ultimately </w:t>
      </w:r>
      <w:r w:rsidRPr="000F6CD1">
        <w:rPr>
          <w:i/>
        </w:rPr>
        <w:t>not</w:t>
      </w:r>
      <w:r w:rsidRPr="000F6CD1">
        <w:t xml:space="preserve"> issued,  risks invalidating the assessment outcome. The Notice of Decision is the key legal mechanism that records a decision by the System Governor for the client to receive a funded aged care service.</w:t>
      </w:r>
    </w:p>
    <w:p w14:paraId="60EEFA64" w14:textId="77777777" w:rsidR="004D556D" w:rsidRPr="000F6CD1" w:rsidRDefault="004D556D" w:rsidP="00622CFF">
      <w:pPr>
        <w:spacing w:before="240" w:after="240" w:line="240" w:lineRule="auto"/>
      </w:pPr>
      <w:r w:rsidRPr="000F6CD1">
        <w:t xml:space="preserve">The Notice of Decision does </w:t>
      </w:r>
      <w:r w:rsidRPr="000F6CD1">
        <w:rPr>
          <w:b/>
        </w:rPr>
        <w:t xml:space="preserve">not </w:t>
      </w:r>
      <w:r w:rsidRPr="000F6CD1">
        <w:t>include the referral code(s) for the recommended service(s). Referral codes displayed in the Support Plan can be used to reach out to as many service providers as preferred. The</w:t>
      </w:r>
      <w:r w:rsidRPr="000F6CD1" w:rsidDel="00ED6C21">
        <w:t xml:space="preserve"> Support Plan </w:t>
      </w:r>
      <w:r w:rsidRPr="000F6CD1">
        <w:t>must be sent as an attachment to the Notice of Decision. For CHSP service referrals, the referral code letter must also be sent as an attachment to the Notice of Decision.</w:t>
      </w:r>
    </w:p>
    <w:p w14:paraId="4B08A70B" w14:textId="404B5B22" w:rsidR="004D556D" w:rsidRPr="000F6CD1" w:rsidRDefault="004D556D" w:rsidP="00806A21">
      <w:pPr>
        <w:pStyle w:val="Sub-headings"/>
      </w:pPr>
      <w:r w:rsidRPr="000F6CD1">
        <w:t xml:space="preserve">Note: Providers should not be asking older people to provide them with a copy of the Notice of Decision (NoD). Team leaders in service provider organisations are able to access the NoD through the Provider Portal both before and after accepting the referral. </w:t>
      </w:r>
    </w:p>
    <w:p w14:paraId="25FD2D3C" w14:textId="77777777" w:rsidR="004D556D" w:rsidRPr="000F6CD1" w:rsidRDefault="004D556D" w:rsidP="00AD2CE5">
      <w:pPr>
        <w:pStyle w:val="H3"/>
      </w:pPr>
      <w:r w:rsidRPr="000F6CD1">
        <w:t xml:space="preserve">Generating referrals/recommendations </w:t>
      </w:r>
    </w:p>
    <w:p w14:paraId="7CBD2146" w14:textId="77777777" w:rsidR="004D556D" w:rsidRPr="000F6CD1" w:rsidRDefault="004D556D" w:rsidP="00622CFF">
      <w:pPr>
        <w:spacing w:before="240" w:after="240" w:line="240" w:lineRule="auto"/>
        <w:rPr>
          <w:szCs w:val="22"/>
        </w:rPr>
      </w:pPr>
      <w:r w:rsidRPr="000F6CD1">
        <w:rPr>
          <w:szCs w:val="22"/>
        </w:rPr>
        <w:t>An assessor must ensure that older people are referred to service providers according to service availability and the older person’s needs and preferences. The assessor should ensure they have delegate approval prior to issuing a referral.</w:t>
      </w:r>
      <w:r w:rsidRPr="000F6CD1">
        <w:rPr>
          <w:i/>
          <w:szCs w:val="22"/>
        </w:rPr>
        <w:t xml:space="preserve"> </w:t>
      </w:r>
    </w:p>
    <w:p w14:paraId="7EB26965" w14:textId="77777777" w:rsidR="004D556D" w:rsidRPr="000F6CD1" w:rsidRDefault="004D556D" w:rsidP="00622CFF">
      <w:pPr>
        <w:spacing w:before="240" w:after="240" w:line="240" w:lineRule="auto"/>
        <w:rPr>
          <w:szCs w:val="22"/>
        </w:rPr>
      </w:pPr>
      <w:r w:rsidRPr="000F6CD1">
        <w:rPr>
          <w:szCs w:val="22"/>
        </w:rPr>
        <w:t xml:space="preserve">Assessors may send referrals electronically to one or more government-funded service providers of the older person’s choice or provide the older person with a referral code for the older person to self-manage the referral. The client can also ask for the code to be broadcast to several local providers to find availability. </w:t>
      </w:r>
    </w:p>
    <w:p w14:paraId="1D824859" w14:textId="77777777" w:rsidR="004D556D" w:rsidRPr="000F6CD1" w:rsidRDefault="004D556D" w:rsidP="00622CFF">
      <w:pPr>
        <w:spacing w:before="240" w:after="240" w:line="240" w:lineRule="auto"/>
        <w:rPr>
          <w:szCs w:val="22"/>
        </w:rPr>
      </w:pPr>
      <w:r w:rsidRPr="000F6CD1">
        <w:rPr>
          <w:szCs w:val="22"/>
        </w:rPr>
        <w:t>Prior to sending the referral, the assessor must ensure that the older person (or their appointed decision maker recognised under the Act, regardless of whether they are a registered supporter):</w:t>
      </w:r>
    </w:p>
    <w:p w14:paraId="2A1E2D2A" w14:textId="77777777" w:rsidR="004D556D" w:rsidRPr="000F6CD1" w:rsidRDefault="004D556D" w:rsidP="00DF3F6B">
      <w:pPr>
        <w:pStyle w:val="ListParagraph"/>
        <w:numPr>
          <w:ilvl w:val="0"/>
          <w:numId w:val="311"/>
        </w:numPr>
        <w:spacing w:before="240" w:after="240" w:line="240" w:lineRule="auto"/>
        <w:rPr>
          <w:szCs w:val="22"/>
        </w:rPr>
      </w:pPr>
      <w:r w:rsidRPr="000F6CD1">
        <w:rPr>
          <w:szCs w:val="22"/>
        </w:rPr>
        <w:t>consents to the My Aged Care referral method (broadcast, preference, or referral code)</w:t>
      </w:r>
    </w:p>
    <w:p w14:paraId="62B76BE3" w14:textId="77777777" w:rsidR="004D556D" w:rsidRPr="000F6CD1" w:rsidRDefault="004D556D" w:rsidP="00DF3F6B">
      <w:pPr>
        <w:pStyle w:val="ListParagraph"/>
        <w:numPr>
          <w:ilvl w:val="0"/>
          <w:numId w:val="311"/>
        </w:numPr>
        <w:spacing w:before="240" w:after="240" w:line="240" w:lineRule="auto"/>
        <w:rPr>
          <w:szCs w:val="22"/>
        </w:rPr>
      </w:pPr>
      <w:r w:rsidRPr="000F6CD1">
        <w:rPr>
          <w:szCs w:val="22"/>
        </w:rPr>
        <w:t xml:space="preserve">consents to the department providing information from the older person’s My Aged Care online account to the provider for the purposes of the provider actioning the referral (including to provide the agreed service recommendation on the Support Plan. </w:t>
      </w:r>
    </w:p>
    <w:p w14:paraId="31B2D62E" w14:textId="77777777" w:rsidR="004D556D" w:rsidRPr="000F6CD1" w:rsidRDefault="004D556D" w:rsidP="00502714">
      <w:pPr>
        <w:pStyle w:val="ListParagraph"/>
        <w:spacing w:before="240" w:after="240" w:line="240" w:lineRule="auto"/>
      </w:pPr>
    </w:p>
    <w:p w14:paraId="34CF8013" w14:textId="77777777" w:rsidR="004D556D" w:rsidRPr="000F6CD1" w:rsidRDefault="004D556D" w:rsidP="00AD2CE5">
      <w:pPr>
        <w:pStyle w:val="H3"/>
      </w:pPr>
      <w:r w:rsidRPr="000F6CD1">
        <w:t>Support at Home referrals</w:t>
      </w:r>
    </w:p>
    <w:p w14:paraId="177118D2" w14:textId="77777777" w:rsidR="004D556D" w:rsidRPr="000F6CD1" w:rsidRDefault="004D556D" w:rsidP="00622CFF">
      <w:pPr>
        <w:spacing w:before="240" w:after="240" w:line="240" w:lineRule="auto"/>
        <w:rPr>
          <w:szCs w:val="22"/>
        </w:rPr>
      </w:pPr>
      <w:r w:rsidRPr="000F6CD1">
        <w:rPr>
          <w:szCs w:val="22"/>
        </w:rPr>
        <w:t xml:space="preserve">A single provider will oversee and deliver all Support at Home services (including ongoing services, short-term services through the Restorative Care Pathway, End-of-Life Pathway and AT-HM scheme) for a participant. </w:t>
      </w:r>
    </w:p>
    <w:p w14:paraId="68D1E171" w14:textId="77777777" w:rsidR="004D556D" w:rsidRPr="000F6CD1" w:rsidRDefault="004D556D" w:rsidP="00622CFF">
      <w:pPr>
        <w:spacing w:before="240" w:after="240" w:line="240" w:lineRule="auto"/>
        <w:rPr>
          <w:szCs w:val="22"/>
        </w:rPr>
      </w:pPr>
      <w:r w:rsidRPr="000F6CD1">
        <w:rPr>
          <w:szCs w:val="22"/>
        </w:rPr>
        <w:t xml:space="preserve">Under this model, registered providers will be required to hold registration that covers all services the participant will receive. </w:t>
      </w:r>
    </w:p>
    <w:p w14:paraId="56C28BE2" w14:textId="3D6B96D0" w:rsidR="004D556D" w:rsidRPr="000F6CD1" w:rsidRDefault="004D556D" w:rsidP="00806A21">
      <w:pPr>
        <w:pStyle w:val="Sub-headings"/>
      </w:pPr>
      <w:r w:rsidRPr="000F6CD1">
        <w:t>Note</w:t>
      </w:r>
      <w:r w:rsidR="001C66C8">
        <w:t>:</w:t>
      </w:r>
      <w:r w:rsidRPr="000F6CD1">
        <w:t xml:space="preserve"> </w:t>
      </w:r>
      <w:r w:rsidR="001C66C8">
        <w:t>S</w:t>
      </w:r>
      <w:r w:rsidRPr="000F6CD1">
        <w:t xml:space="preserve">ome providers may not be able to deliver all services a participant needs. Providers can choose to engage a third-party (associated provider) to deliver services on their behalf, however the provider remains responsible for delivery of services and compliance with relevant obligations. </w:t>
      </w:r>
    </w:p>
    <w:p w14:paraId="007D4328" w14:textId="77777777" w:rsidR="004D556D" w:rsidRPr="000F6CD1" w:rsidRDefault="004D556D" w:rsidP="00622CFF">
      <w:pPr>
        <w:spacing w:before="240" w:after="240" w:line="240" w:lineRule="auto"/>
        <w:rPr>
          <w:rFonts w:eastAsia="Calibri" w:cs="Calibri"/>
          <w:b/>
          <w:color w:val="899F32"/>
          <w:szCs w:val="22"/>
        </w:rPr>
      </w:pPr>
      <w:r w:rsidRPr="000F6CD1">
        <w:rPr>
          <w:szCs w:val="22"/>
        </w:rPr>
        <w:lastRenderedPageBreak/>
        <w:t>If an older person prefers a particular service provider who does not have availability, the older person can elect to be referred to that service provider’s waitlist on the system (if a waitlist is available). Older people can be on multiple waitlists at any one time.</w:t>
      </w:r>
    </w:p>
    <w:p w14:paraId="60861824" w14:textId="77777777" w:rsidR="004D556D" w:rsidRPr="000F6CD1" w:rsidRDefault="004D556D" w:rsidP="00622CFF">
      <w:pPr>
        <w:spacing w:before="240" w:after="240" w:line="240" w:lineRule="auto"/>
        <w:rPr>
          <w:szCs w:val="22"/>
        </w:rPr>
      </w:pPr>
      <w:r w:rsidRPr="000F6CD1">
        <w:rPr>
          <w:szCs w:val="22"/>
        </w:rPr>
        <w:t xml:space="preserve">A participant can change Support at Home providers at any time. Once a participant has chosen their provider, the provider will receive a referral in the My Aged Care Service and Support Portal. </w:t>
      </w:r>
    </w:p>
    <w:p w14:paraId="13590947" w14:textId="77777777" w:rsidR="004D556D" w:rsidRPr="000F6CD1" w:rsidRDefault="004D556D" w:rsidP="00622CFF">
      <w:pPr>
        <w:spacing w:before="240" w:after="240" w:line="240" w:lineRule="auto"/>
        <w:rPr>
          <w:szCs w:val="22"/>
        </w:rPr>
      </w:pPr>
      <w:r w:rsidRPr="000F6CD1">
        <w:rPr>
          <w:szCs w:val="22"/>
        </w:rPr>
        <w:t xml:space="preserve">Where a service provider is not available to meet the needs of the older person and the older person does not want to be put on a waitlist, the assessor should have a further conversation with the older person to consider other alternative options for support. Other options may include: </w:t>
      </w:r>
    </w:p>
    <w:p w14:paraId="59C5B2D2" w14:textId="77777777" w:rsidR="004D556D" w:rsidRPr="000F6CD1" w:rsidRDefault="004D556D" w:rsidP="00DF3F6B">
      <w:pPr>
        <w:pStyle w:val="ListParagraph"/>
        <w:numPr>
          <w:ilvl w:val="0"/>
          <w:numId w:val="312"/>
        </w:numPr>
        <w:spacing w:before="240" w:after="240" w:line="240" w:lineRule="auto"/>
        <w:rPr>
          <w:szCs w:val="22"/>
        </w:rPr>
      </w:pPr>
      <w:r w:rsidRPr="000F6CD1">
        <w:rPr>
          <w:szCs w:val="22"/>
        </w:rPr>
        <w:t>a different service provider that could meet the need (on an interim or ongoing basis)</w:t>
      </w:r>
    </w:p>
    <w:p w14:paraId="106A0DD0" w14:textId="77777777" w:rsidR="004D556D" w:rsidRPr="000F6CD1" w:rsidRDefault="004D556D" w:rsidP="00DF3F6B">
      <w:pPr>
        <w:pStyle w:val="ListParagraph"/>
        <w:numPr>
          <w:ilvl w:val="0"/>
          <w:numId w:val="312"/>
        </w:numPr>
        <w:spacing w:before="240" w:after="240" w:line="240" w:lineRule="auto"/>
        <w:rPr>
          <w:szCs w:val="22"/>
        </w:rPr>
      </w:pPr>
      <w:r w:rsidRPr="000F6CD1">
        <w:rPr>
          <w:szCs w:val="22"/>
        </w:rPr>
        <w:t>non-Commonwealth-funded services; or</w:t>
      </w:r>
    </w:p>
    <w:p w14:paraId="4FA0B123" w14:textId="77777777" w:rsidR="004D556D" w:rsidRPr="000F6CD1" w:rsidRDefault="004D556D" w:rsidP="00DF3F6B">
      <w:pPr>
        <w:pStyle w:val="ListParagraph"/>
        <w:numPr>
          <w:ilvl w:val="0"/>
          <w:numId w:val="312"/>
        </w:numPr>
        <w:spacing w:before="240" w:after="240" w:line="240" w:lineRule="auto"/>
        <w:rPr>
          <w:szCs w:val="22"/>
        </w:rPr>
      </w:pPr>
      <w:r w:rsidRPr="000F6CD1">
        <w:rPr>
          <w:szCs w:val="22"/>
        </w:rPr>
        <w:t>the older person and/or their carer, registered supporter or other person who supports the older person being able to address their need.</w:t>
      </w:r>
    </w:p>
    <w:p w14:paraId="62B87DFB" w14:textId="77777777" w:rsidR="004D556D" w:rsidRPr="000F6CD1" w:rsidRDefault="004D556D" w:rsidP="00622CFF">
      <w:pPr>
        <w:spacing w:before="240" w:after="240" w:line="240" w:lineRule="auto"/>
        <w:rPr>
          <w:szCs w:val="22"/>
        </w:rPr>
      </w:pPr>
      <w:r w:rsidRPr="000F6CD1">
        <w:rPr>
          <w:szCs w:val="22"/>
        </w:rPr>
        <w:t xml:space="preserve">Where required, the assessor is to provide short-term assistance to the older person for the purpose of implementing the Support Plan. This may include monitoring referrals or discussing options with service providers for the provision of alternative services if necessary, or in cases of providing for vulnerable older people, linking support or care coordination. </w:t>
      </w:r>
    </w:p>
    <w:p w14:paraId="5AC5E019" w14:textId="77777777" w:rsidR="004D556D" w:rsidRPr="000F6CD1" w:rsidRDefault="004D556D">
      <w:pPr>
        <w:pStyle w:val="H4"/>
        <w:rPr>
          <w:u w:val="single"/>
        </w:rPr>
      </w:pPr>
      <w:r w:rsidRPr="000F6CD1">
        <w:t>Referrals for Restorative Care Pathway, the AT-HM scheme and End-of-Life Pathway</w:t>
      </w:r>
    </w:p>
    <w:p w14:paraId="7432F7B8" w14:textId="77777777" w:rsidR="004D556D" w:rsidRPr="000F6CD1" w:rsidRDefault="004D556D" w:rsidP="00622CFF">
      <w:pPr>
        <w:spacing w:before="240" w:after="240" w:line="240" w:lineRule="auto"/>
        <w:rPr>
          <w:szCs w:val="22"/>
        </w:rPr>
      </w:pPr>
      <w:r w:rsidRPr="000F6CD1">
        <w:rPr>
          <w:szCs w:val="22"/>
        </w:rPr>
        <w:t xml:space="preserve">If a participant receiving ongoing Support at Home services is referred to a short-term pathway (Restorative Care, the AT-HM scheme and End-of-Life), and their current registered provider does not deliver services under these pathways, the participant will be required to change providers to access their short-term pathway. </w:t>
      </w:r>
    </w:p>
    <w:p w14:paraId="62564979" w14:textId="77777777" w:rsidR="004D556D" w:rsidRPr="000F6CD1" w:rsidRDefault="004D556D" w:rsidP="00622CFF">
      <w:pPr>
        <w:spacing w:before="240" w:after="240" w:line="240" w:lineRule="auto"/>
        <w:rPr>
          <w:szCs w:val="22"/>
        </w:rPr>
      </w:pPr>
      <w:r w:rsidRPr="000F6CD1">
        <w:rPr>
          <w:szCs w:val="22"/>
        </w:rPr>
        <w:t>Assessors should ensure the individual is aware of this and confirm referral needs with the individual.</w:t>
      </w:r>
    </w:p>
    <w:p w14:paraId="234D9C12" w14:textId="77777777" w:rsidR="004D556D" w:rsidRPr="000F6CD1" w:rsidRDefault="004D556D" w:rsidP="00622CFF">
      <w:pPr>
        <w:spacing w:before="240" w:after="240" w:line="240" w:lineRule="auto"/>
        <w:rPr>
          <w:szCs w:val="22"/>
        </w:rPr>
      </w:pPr>
      <w:r w:rsidRPr="000F6CD1">
        <w:rPr>
          <w:noProof/>
          <w:szCs w:val="22"/>
        </w:rPr>
        <w:drawing>
          <wp:inline distT="0" distB="0" distL="0" distR="0" wp14:anchorId="7A8F88A5" wp14:editId="3B185058">
            <wp:extent cx="383111" cy="381000"/>
            <wp:effectExtent l="0" t="0" r="0" b="0"/>
            <wp:docPr id="1650887736" name="Picture 1650887736"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87736" name="Picture 1650887736" descr="A black-and-white “i” icon inside a speech bubble, used to show where there are links to additional information and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r w:rsidRPr="000F6CD1">
        <w:rPr>
          <w:szCs w:val="22"/>
        </w:rPr>
        <w:t xml:space="preserve">For further information see the </w:t>
      </w:r>
      <w:hyperlink r:id="rId262">
        <w:r w:rsidRPr="000F6CD1">
          <w:rPr>
            <w:rStyle w:val="Hyperlink"/>
            <w:szCs w:val="22"/>
          </w:rPr>
          <w:t>Support at Home Program Manual</w:t>
        </w:r>
        <w:r w:rsidRPr="000F6CD1">
          <w:rPr>
            <w:rStyle w:val="Hyperlink"/>
            <w:color w:val="auto"/>
            <w:szCs w:val="22"/>
            <w:u w:val="none"/>
          </w:rPr>
          <w:t>.</w:t>
        </w:r>
      </w:hyperlink>
    </w:p>
    <w:p w14:paraId="736934B4" w14:textId="77777777" w:rsidR="004D556D" w:rsidRPr="000F6CD1" w:rsidRDefault="004D556D">
      <w:pPr>
        <w:pStyle w:val="H4"/>
        <w:rPr>
          <w:u w:val="single"/>
        </w:rPr>
      </w:pPr>
      <w:r w:rsidRPr="000F6CD1">
        <w:t>Support at Home referral codes</w:t>
      </w:r>
    </w:p>
    <w:p w14:paraId="2617D940" w14:textId="77777777" w:rsidR="004D556D" w:rsidRPr="000F6CD1" w:rsidRDefault="004D556D" w:rsidP="00622CFF">
      <w:pPr>
        <w:spacing w:before="240" w:after="240" w:line="240" w:lineRule="auto"/>
        <w:rPr>
          <w:szCs w:val="22"/>
        </w:rPr>
      </w:pPr>
      <w:r w:rsidRPr="000F6CD1">
        <w:rPr>
          <w:szCs w:val="22"/>
        </w:rPr>
        <w:t>The same referral code will be issued for every Support at Home (SaH) classification level (this includes ongoing and short-term services). This referral code will apply to all services approved under that classification level. The older person can present the referral code directly to their preferred provider or alternatively they can request assistance from the contact centre or the assessor for assistance in issuing a referral to a provider(s).</w:t>
      </w:r>
    </w:p>
    <w:p w14:paraId="7BF62977" w14:textId="77777777" w:rsidR="004D556D" w:rsidRPr="000F6CD1" w:rsidRDefault="004D556D" w:rsidP="00622CFF">
      <w:pPr>
        <w:spacing w:before="240" w:after="240" w:line="240" w:lineRule="auto"/>
      </w:pPr>
      <w:r w:rsidRPr="000F6CD1">
        <w:t>Referral codes are not listed in the Notice of Decision letter. Referral codes are generated and listed in the support plan in circumstances where a referral code is needed.</w:t>
      </w:r>
    </w:p>
    <w:p w14:paraId="2DA1A36E" w14:textId="77777777" w:rsidR="004D556D" w:rsidRPr="000F6CD1" w:rsidRDefault="004D556D" w:rsidP="00622CFF">
      <w:pPr>
        <w:spacing w:before="240" w:after="240" w:line="240" w:lineRule="auto"/>
      </w:pPr>
      <w:r w:rsidRPr="000F6CD1">
        <w:t xml:space="preserve">For an individual approved for an ongoing SaH classification or AT-HM, the referral code is generated once the individual has been allocated a place (and therefore funding) through the Support at Home, Assistive Technology or Home Modifications Priority Systems. A separate Funding Assignment Notice with the corresponding referral code will be sent to the older person. </w:t>
      </w:r>
    </w:p>
    <w:p w14:paraId="2D078DB3" w14:textId="77777777" w:rsidR="004D556D" w:rsidRPr="000F6CD1" w:rsidRDefault="004D556D" w:rsidP="00622CFF">
      <w:pPr>
        <w:spacing w:before="240" w:after="240" w:line="240" w:lineRule="auto"/>
      </w:pPr>
      <w:r w:rsidRPr="000F6CD1">
        <w:lastRenderedPageBreak/>
        <w:t>In circumstances where a participant is already receiving services from a SaH provider (for example, moving from the End-of-Life Pathway back to ongoing services), a referral code is not generated. In these circumstances a referral code is not required as the connection with a provider and access to the participant’s record is already established through the initial use of the referral code.</w:t>
      </w:r>
    </w:p>
    <w:p w14:paraId="15D3E498" w14:textId="77777777" w:rsidR="004D556D" w:rsidRPr="000F6CD1" w:rsidRDefault="004D556D" w:rsidP="00622CFF">
      <w:pPr>
        <w:spacing w:before="240" w:after="240" w:line="240" w:lineRule="auto"/>
      </w:pPr>
      <w:r w:rsidRPr="000F6CD1">
        <w:t>For new Support at Home participants approved for the End-of-Life Pathway or Restorative Care Pathway:</w:t>
      </w:r>
    </w:p>
    <w:p w14:paraId="7CF56984" w14:textId="77777777" w:rsidR="004D556D" w:rsidRPr="000F6CD1" w:rsidRDefault="004D556D" w:rsidP="00DF3F6B">
      <w:pPr>
        <w:pStyle w:val="ListParagraph"/>
        <w:numPr>
          <w:ilvl w:val="0"/>
          <w:numId w:val="313"/>
        </w:numPr>
        <w:spacing w:before="240" w:after="240" w:line="240" w:lineRule="auto"/>
      </w:pPr>
      <w:r w:rsidRPr="000F6CD1">
        <w:t xml:space="preserve">if a service referral has been made, the provider will contact the participant </w:t>
      </w:r>
    </w:p>
    <w:p w14:paraId="6DDDE609" w14:textId="77777777" w:rsidR="004D556D" w:rsidRPr="000F6CD1" w:rsidRDefault="004D556D" w:rsidP="00DF3F6B">
      <w:pPr>
        <w:pStyle w:val="ListParagraph"/>
        <w:numPr>
          <w:ilvl w:val="0"/>
          <w:numId w:val="313"/>
        </w:numPr>
        <w:spacing w:before="240" w:after="240" w:line="240" w:lineRule="auto"/>
      </w:pPr>
      <w:r w:rsidRPr="000F6CD1">
        <w:t>if no service referral has been made, the referral code will be displayed in the support plan.</w:t>
      </w:r>
    </w:p>
    <w:p w14:paraId="74CED57C" w14:textId="5B06C714" w:rsidR="004D556D" w:rsidRPr="000F6CD1" w:rsidRDefault="004D556D" w:rsidP="00622CFF">
      <w:pPr>
        <w:spacing w:before="240" w:after="240" w:line="240" w:lineRule="auto"/>
      </w:pPr>
      <w:r w:rsidRPr="000F6CD1">
        <w:t xml:space="preserve">If a participant is already receiving services and wants to change providers, they will need to contact the My Aged Care Contact Centre to reactivate their referral code, enabling it to be used to connect with a new provider. Alternatively, if the participant indicates during their assessment that they want to change providers and have the assessor make the service referral, the referral code can be found in the assessor portal. </w:t>
      </w:r>
    </w:p>
    <w:p w14:paraId="3DE0FDBE" w14:textId="3AF70C8D" w:rsidR="004D556D" w:rsidRPr="000F6CD1" w:rsidRDefault="004D556D" w:rsidP="00AD2CE5">
      <w:pPr>
        <w:pStyle w:val="H3"/>
      </w:pPr>
      <w:bookmarkStart w:id="881" w:name="_Ref232596290"/>
      <w:r w:rsidRPr="000F6CD1">
        <w:t>CHSP referrals</w:t>
      </w:r>
      <w:bookmarkEnd w:id="881"/>
    </w:p>
    <w:p w14:paraId="7B733A10" w14:textId="15C2BB4A" w:rsidR="004D556D" w:rsidRPr="000F6CD1" w:rsidRDefault="0025009A" w:rsidP="00622CFF">
      <w:pPr>
        <w:spacing w:before="240" w:after="240" w:line="240" w:lineRule="auto"/>
        <w:rPr>
          <w:szCs w:val="22"/>
        </w:rPr>
      </w:pPr>
      <w:r>
        <w:rPr>
          <w:noProof/>
          <w14:ligatures w14:val="standardContextual"/>
        </w:rPr>
        <w:drawing>
          <wp:anchor distT="0" distB="0" distL="114300" distR="114300" simplePos="0" relativeHeight="251658309" behindDoc="0" locked="0" layoutInCell="1" allowOverlap="1" wp14:anchorId="6543CBD1" wp14:editId="230CA027">
            <wp:simplePos x="914400" y="1295400"/>
            <wp:positionH relativeFrom="margin">
              <wp:align>left</wp:align>
            </wp:positionH>
            <wp:positionV relativeFrom="margin">
              <wp:align>top</wp:align>
            </wp:positionV>
            <wp:extent cx="365792" cy="403895"/>
            <wp:effectExtent l="0" t="0" r="0" b="0"/>
            <wp:wrapSquare wrapText="bothSides"/>
            <wp:docPr id="1613548833"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48833"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Pr="000F6CD1">
        <w:rPr>
          <w:szCs w:val="22"/>
        </w:rPr>
        <w:t xml:space="preserve"> </w:t>
      </w:r>
      <w:r w:rsidR="004D556D" w:rsidRPr="000F6CD1">
        <w:rPr>
          <w:szCs w:val="22"/>
        </w:rPr>
        <w:t xml:space="preserve">Assessors </w:t>
      </w:r>
      <w:r w:rsidR="004D556D" w:rsidRPr="000F6CD1">
        <w:rPr>
          <w:szCs w:val="22"/>
          <w:u w:val="single"/>
        </w:rPr>
        <w:t>cannot issue</w:t>
      </w:r>
      <w:r w:rsidR="004D556D" w:rsidRPr="000F6CD1">
        <w:rPr>
          <w:szCs w:val="22"/>
        </w:rPr>
        <w:t xml:space="preserve"> CHSP referral codes until </w:t>
      </w:r>
      <w:r w:rsidR="004D556D" w:rsidRPr="000F6CD1">
        <w:rPr>
          <w:i/>
          <w:szCs w:val="22"/>
        </w:rPr>
        <w:t>after</w:t>
      </w:r>
      <w:r w:rsidR="004D556D" w:rsidRPr="000F6CD1">
        <w:rPr>
          <w:szCs w:val="22"/>
        </w:rPr>
        <w:t xml:space="preserve"> the assessment delegate has approved the recommendation. </w:t>
      </w:r>
    </w:p>
    <w:p w14:paraId="0E876210" w14:textId="77777777" w:rsidR="004D556D" w:rsidRPr="00F01A3A" w:rsidRDefault="004D556D">
      <w:pPr>
        <w:spacing w:before="240" w:after="240" w:line="240" w:lineRule="auto"/>
        <w:rPr>
          <w:color w:val="000000"/>
        </w:rPr>
      </w:pPr>
      <w:r w:rsidRPr="000F6CD1">
        <w:rPr>
          <w:szCs w:val="22"/>
        </w:rPr>
        <w:t>For CHSP services, a Support Plan may contain recommendations for multiple services</w:t>
      </w:r>
      <w:r w:rsidRPr="000F6CD1">
        <w:rPr>
          <w:b/>
          <w:i/>
          <w:szCs w:val="22"/>
        </w:rPr>
        <w:t xml:space="preserve"> </w:t>
      </w:r>
      <w:r w:rsidRPr="000F6CD1">
        <w:rPr>
          <w:szCs w:val="22"/>
        </w:rPr>
        <w:t>within the same service type</w:t>
      </w:r>
      <w:r w:rsidRPr="000F6CD1">
        <w:rPr>
          <w:b/>
          <w:i/>
          <w:szCs w:val="22"/>
        </w:rPr>
        <w:t xml:space="preserve"> </w:t>
      </w:r>
      <w:r w:rsidRPr="000F6CD1">
        <w:rPr>
          <w:szCs w:val="22"/>
        </w:rPr>
        <w:t xml:space="preserve">(e.g. Laundry, General House Cleaning and Shopping assistance services under the Domestic Assistance service type). </w:t>
      </w:r>
      <w:r w:rsidRPr="00F01A3A">
        <w:rPr>
          <w:b/>
          <w:bCs/>
          <w:szCs w:val="22"/>
        </w:rPr>
        <w:t>The assessor will generate a separate referral code for each service</w:t>
      </w:r>
      <w:r w:rsidRPr="000F6CD1">
        <w:rPr>
          <w:b/>
          <w:bCs/>
          <w:i/>
          <w:szCs w:val="22"/>
        </w:rPr>
        <w:t xml:space="preserve"> </w:t>
      </w:r>
      <w:r w:rsidRPr="00F01A3A">
        <w:rPr>
          <w:b/>
          <w:bCs/>
          <w:szCs w:val="22"/>
        </w:rPr>
        <w:t>type</w:t>
      </w:r>
      <w:r w:rsidRPr="000F6CD1">
        <w:rPr>
          <w:b/>
          <w:i/>
          <w:szCs w:val="22"/>
        </w:rPr>
        <w:t xml:space="preserve"> </w:t>
      </w:r>
      <w:r w:rsidRPr="000F6CD1">
        <w:rPr>
          <w:szCs w:val="22"/>
        </w:rPr>
        <w:t xml:space="preserve">recommended. </w:t>
      </w:r>
      <w:r w:rsidRPr="00F01A3A">
        <w:rPr>
          <w:color w:val="000000"/>
        </w:rPr>
        <w:t>This is necessary because not every CHSP provider can offer all service sub-types, so codes for each sub-type under each service type are needed to ensure clients have access to all recommended services.</w:t>
      </w:r>
    </w:p>
    <w:p w14:paraId="7AC9C92A" w14:textId="4BFC480C" w:rsidR="004D556D" w:rsidRPr="000F6CD1" w:rsidRDefault="004D556D" w:rsidP="00622CFF">
      <w:pPr>
        <w:spacing w:before="240" w:after="240" w:line="240" w:lineRule="auto"/>
        <w:rPr>
          <w:szCs w:val="22"/>
        </w:rPr>
      </w:pPr>
      <w:r w:rsidRPr="000F6CD1">
        <w:rPr>
          <w:szCs w:val="22"/>
        </w:rPr>
        <w:t>If a service aligns with the older person’s assessed needs and goals, assessors can issue more than one referral code for the same service type – allowing the person to access two services (sub-types) from two different providers, provided there is no duplication of service. For example:</w:t>
      </w:r>
      <w:r w:rsidRPr="000F6CD1" w:rsidDel="482E26C3">
        <w:rPr>
          <w:szCs w:val="22"/>
        </w:rPr>
        <w:t xml:space="preserve"> </w:t>
      </w:r>
    </w:p>
    <w:p w14:paraId="2A3749CB" w14:textId="25D89E87" w:rsidR="004D556D" w:rsidRPr="000F6CD1" w:rsidRDefault="004D556D" w:rsidP="00DF3F6B">
      <w:pPr>
        <w:pStyle w:val="ListParagraph"/>
        <w:numPr>
          <w:ilvl w:val="0"/>
          <w:numId w:val="441"/>
        </w:numPr>
        <w:spacing w:before="240" w:after="240" w:line="240" w:lineRule="auto"/>
        <w:rPr>
          <w:szCs w:val="22"/>
        </w:rPr>
      </w:pPr>
      <w:r w:rsidRPr="000F6CD1">
        <w:rPr>
          <w:szCs w:val="22"/>
        </w:rPr>
        <w:t xml:space="preserve">if an older person wishes to access services under the Social Support and community engagement service type from two different providers (e.g. individual social support and group social support), </w:t>
      </w:r>
      <w:r w:rsidRPr="00F01A3A">
        <w:rPr>
          <w:b/>
          <w:bCs/>
          <w:szCs w:val="22"/>
        </w:rPr>
        <w:t>the assessor should create two separate</w:t>
      </w:r>
      <w:r w:rsidRPr="000F6CD1">
        <w:rPr>
          <w:szCs w:val="22"/>
        </w:rPr>
        <w:t xml:space="preserve"> service recommendations using the ‘Add a service recommendation’ function. Each recommendation will generate a distinct referral code, ensuring that each provider receives a unique referral code </w:t>
      </w:r>
    </w:p>
    <w:p w14:paraId="2616BC33" w14:textId="15A736E1" w:rsidR="004D556D" w:rsidRPr="000F6CD1" w:rsidRDefault="004D556D" w:rsidP="00DF3F6B">
      <w:pPr>
        <w:pStyle w:val="ListParagraph"/>
        <w:numPr>
          <w:ilvl w:val="0"/>
          <w:numId w:val="441"/>
        </w:numPr>
        <w:spacing w:before="240" w:after="240" w:line="240" w:lineRule="auto"/>
        <w:rPr>
          <w:szCs w:val="22"/>
        </w:rPr>
      </w:pPr>
      <w:r w:rsidRPr="000F6CD1">
        <w:rPr>
          <w:szCs w:val="22"/>
        </w:rPr>
        <w:t xml:space="preserve">Allied Health and Therapy services and Therapeutic Services for independent living service types - the assessor should always generate a separate referral code for each service recommended such as Physiotherapy and Occupational Therapy. </w:t>
      </w:r>
    </w:p>
    <w:p w14:paraId="513EC6FE" w14:textId="2205190B" w:rsidR="004D556D" w:rsidRPr="000F6CD1" w:rsidRDefault="00373AFD" w:rsidP="002E5FCD">
      <w:pPr>
        <w:spacing w:before="240" w:after="240" w:line="240" w:lineRule="auto"/>
        <w:rPr>
          <w:b/>
          <w:bCs/>
          <w:szCs w:val="22"/>
        </w:rPr>
      </w:pPr>
      <w:r w:rsidRPr="000F6CD1">
        <w:rPr>
          <w:noProof/>
        </w:rPr>
        <w:drawing>
          <wp:anchor distT="0" distB="0" distL="114300" distR="114300" simplePos="0" relativeHeight="251658310" behindDoc="0" locked="0" layoutInCell="1" allowOverlap="1" wp14:anchorId="583BD5C6" wp14:editId="025D377E">
            <wp:simplePos x="0" y="0"/>
            <wp:positionH relativeFrom="margin">
              <wp:posOffset>59820</wp:posOffset>
            </wp:positionH>
            <wp:positionV relativeFrom="margin">
              <wp:posOffset>7595697</wp:posOffset>
            </wp:positionV>
            <wp:extent cx="457200" cy="506095"/>
            <wp:effectExtent l="0" t="0" r="0" b="8255"/>
            <wp:wrapSquare wrapText="bothSides"/>
            <wp:docPr id="1115101061" name="Picture 111510106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01061" name="Picture 1115101061" descr="A bell with an exclamation mark that denotes a significant change in information from version 8.2 of the Aged Care Assessment Manual.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anchor>
        </w:drawing>
      </w:r>
      <w:r w:rsidR="004D556D" w:rsidRPr="000F6CD1">
        <w:rPr>
          <w:b/>
          <w:bCs/>
          <w:szCs w:val="22"/>
        </w:rPr>
        <w:t>Reissuing CHSP referrals – Grandfathered CHSP clients</w:t>
      </w:r>
    </w:p>
    <w:p w14:paraId="7064EFA3" w14:textId="77777777" w:rsidR="004D556D" w:rsidRPr="000F6CD1" w:rsidRDefault="004D556D" w:rsidP="007823E1">
      <w:pPr>
        <w:rPr>
          <w:color w:val="000000"/>
        </w:rPr>
      </w:pPr>
      <w:r w:rsidRPr="000F6CD1">
        <w:rPr>
          <w:color w:val="000000"/>
        </w:rPr>
        <w:t>Certain CHSP clients were ‘grandfathered’ into the CHSP with service referrals but have not undergone an assessment through My Aged Care.</w:t>
      </w:r>
    </w:p>
    <w:p w14:paraId="6B4A3999" w14:textId="77777777" w:rsidR="004D556D" w:rsidRPr="000F6CD1" w:rsidRDefault="004D556D" w:rsidP="00D40C24">
      <w:pPr>
        <w:pStyle w:val="ListParagraph"/>
        <w:numPr>
          <w:ilvl w:val="0"/>
          <w:numId w:val="519"/>
        </w:numPr>
        <w:spacing w:before="240" w:after="240" w:line="240" w:lineRule="auto"/>
        <w:rPr>
          <w:szCs w:val="22"/>
        </w:rPr>
      </w:pPr>
      <w:r w:rsidRPr="000F6CD1">
        <w:rPr>
          <w:szCs w:val="22"/>
        </w:rPr>
        <w:t xml:space="preserve">These referrals are not valid under the </w:t>
      </w:r>
      <w:r w:rsidRPr="00F01A3A">
        <w:rPr>
          <w:i/>
          <w:iCs/>
          <w:szCs w:val="22"/>
        </w:rPr>
        <w:t>Aged Care Act 2024</w:t>
      </w:r>
      <w:r w:rsidRPr="000F6CD1">
        <w:rPr>
          <w:szCs w:val="22"/>
        </w:rPr>
        <w:t>.</w:t>
      </w:r>
    </w:p>
    <w:p w14:paraId="19908650" w14:textId="77777777" w:rsidR="004D556D" w:rsidRPr="000F6CD1" w:rsidRDefault="004D556D" w:rsidP="00D40C24">
      <w:pPr>
        <w:pStyle w:val="ListParagraph"/>
        <w:numPr>
          <w:ilvl w:val="0"/>
          <w:numId w:val="519"/>
        </w:numPr>
        <w:spacing w:before="240" w:after="240" w:line="240" w:lineRule="auto"/>
        <w:rPr>
          <w:szCs w:val="22"/>
        </w:rPr>
      </w:pPr>
      <w:r w:rsidRPr="000F6CD1">
        <w:rPr>
          <w:szCs w:val="22"/>
        </w:rPr>
        <w:t xml:space="preserve">These clients must undergo an aged care assessment to comply with the Act. </w:t>
      </w:r>
    </w:p>
    <w:p w14:paraId="587D7BE9" w14:textId="77777777" w:rsidR="004D556D" w:rsidRPr="000F6CD1" w:rsidRDefault="004D556D" w:rsidP="007823E1">
      <w:pPr>
        <w:pStyle w:val="ListParagraph"/>
        <w:numPr>
          <w:ilvl w:val="0"/>
          <w:numId w:val="519"/>
        </w:numPr>
        <w:spacing w:before="240" w:after="240" w:line="240" w:lineRule="auto"/>
        <w:rPr>
          <w:szCs w:val="22"/>
        </w:rPr>
      </w:pPr>
      <w:r w:rsidRPr="000F6CD1">
        <w:rPr>
          <w:szCs w:val="22"/>
        </w:rPr>
        <w:lastRenderedPageBreak/>
        <w:t xml:space="preserve">If found eligible, assessors must </w:t>
      </w:r>
      <w:r w:rsidRPr="00F01A3A">
        <w:rPr>
          <w:b/>
          <w:bCs/>
          <w:szCs w:val="22"/>
        </w:rPr>
        <w:t>generate new referrals</w:t>
      </w:r>
      <w:r w:rsidRPr="000F6CD1">
        <w:rPr>
          <w:szCs w:val="22"/>
        </w:rPr>
        <w:t xml:space="preserve"> for any CHSP services that are approved following an assessment and delegate approval.</w:t>
      </w:r>
    </w:p>
    <w:p w14:paraId="6107731B" w14:textId="77777777" w:rsidR="004D556D" w:rsidRPr="000F6CD1" w:rsidRDefault="004D556D" w:rsidP="00C2150F">
      <w:pPr>
        <w:pStyle w:val="ListParagraph"/>
        <w:tabs>
          <w:tab w:val="left" w:pos="709"/>
        </w:tabs>
        <w:spacing w:before="240" w:after="240" w:line="240" w:lineRule="auto"/>
      </w:pPr>
      <w:r w:rsidRPr="000F6CD1" w:rsidDel="00191693">
        <w:rPr>
          <w:szCs w:val="22"/>
        </w:rPr>
        <w:t xml:space="preserve"> </w:t>
      </w:r>
    </w:p>
    <w:p w14:paraId="75D7CE5D" w14:textId="77777777" w:rsidR="004D556D" w:rsidRPr="000F6CD1" w:rsidRDefault="004D556D" w:rsidP="004D4E9C">
      <w:pPr>
        <w:tabs>
          <w:tab w:val="left" w:pos="709"/>
        </w:tabs>
        <w:spacing w:before="240" w:after="240" w:line="240" w:lineRule="auto"/>
        <w:rPr>
          <w:b/>
          <w:bCs/>
          <w:szCs w:val="22"/>
        </w:rPr>
      </w:pPr>
      <w:r w:rsidRPr="000F6CD1">
        <w:rPr>
          <w:b/>
          <w:bCs/>
          <w:szCs w:val="22"/>
        </w:rPr>
        <w:t>Reissuing CHSP referrals – Urgent services</w:t>
      </w:r>
    </w:p>
    <w:p w14:paraId="7314B3C7" w14:textId="77777777" w:rsidR="004D556D" w:rsidRPr="000F6CD1" w:rsidRDefault="004D556D">
      <w:r w:rsidRPr="00075BDC">
        <w:rPr>
          <w:color w:val="000000"/>
        </w:rPr>
        <w:t xml:space="preserve">All clients who have accessed urgent services are required to complete an assessment, </w:t>
      </w:r>
      <w:r w:rsidRPr="00075BDC">
        <w:rPr>
          <w:i/>
          <w:iCs/>
          <w:color w:val="000000"/>
        </w:rPr>
        <w:t>and</w:t>
      </w:r>
      <w:r w:rsidRPr="00075BDC">
        <w:rPr>
          <w:color w:val="000000"/>
        </w:rPr>
        <w:t xml:space="preserve"> new referrals must be </w:t>
      </w:r>
      <w:r w:rsidRPr="000F6CD1">
        <w:rPr>
          <w:color w:val="000000"/>
        </w:rPr>
        <w:t xml:space="preserve">generated </w:t>
      </w:r>
      <w:r w:rsidRPr="00075BDC">
        <w:rPr>
          <w:color w:val="000000"/>
        </w:rPr>
        <w:t>for any approved ongoing CHSP services.</w:t>
      </w:r>
      <w:r w:rsidRPr="000F6CD1">
        <w:rPr>
          <w:color w:val="000000"/>
        </w:rPr>
        <w:t xml:space="preserve"> </w:t>
      </w:r>
    </w:p>
    <w:p w14:paraId="7C41CC01" w14:textId="5A5AF67E" w:rsidR="004D556D" w:rsidRPr="000F6CD1" w:rsidRDefault="004D556D" w:rsidP="00B90D8F">
      <w:pPr>
        <w:pStyle w:val="ListParagraph"/>
        <w:numPr>
          <w:ilvl w:val="0"/>
          <w:numId w:val="519"/>
        </w:numPr>
        <w:spacing w:before="240" w:after="240" w:line="240" w:lineRule="auto"/>
      </w:pPr>
      <w:r w:rsidRPr="000F6CD1">
        <w:t>CHSP providers will continue to deliver urgent services until an assessment is completed.</w:t>
      </w:r>
    </w:p>
    <w:p w14:paraId="033C462B" w14:textId="77777777" w:rsidR="004D556D" w:rsidRPr="000F6CD1" w:rsidRDefault="004D556D" w:rsidP="00B90D8F">
      <w:pPr>
        <w:pStyle w:val="ListParagraph"/>
        <w:numPr>
          <w:ilvl w:val="0"/>
          <w:numId w:val="519"/>
        </w:numPr>
        <w:spacing w:before="240" w:after="240" w:line="240" w:lineRule="auto"/>
        <w:rPr>
          <w:szCs w:val="22"/>
        </w:rPr>
      </w:pPr>
      <w:r w:rsidRPr="000F6CD1">
        <w:rPr>
          <w:color w:val="000000"/>
        </w:rPr>
        <w:t xml:space="preserve">When ongoing CHSP services are approved, the </w:t>
      </w:r>
      <w:r w:rsidRPr="00075BDC">
        <w:rPr>
          <w:i/>
          <w:iCs/>
          <w:color w:val="000000"/>
        </w:rPr>
        <w:t>urgent service referral should end</w:t>
      </w:r>
      <w:r w:rsidRPr="000F6CD1">
        <w:rPr>
          <w:color w:val="000000"/>
        </w:rPr>
        <w:t xml:space="preserve">. </w:t>
      </w:r>
    </w:p>
    <w:p w14:paraId="3A5C8037" w14:textId="77777777" w:rsidR="004D556D" w:rsidRPr="000F6CD1" w:rsidRDefault="004D556D" w:rsidP="00B90D8F">
      <w:pPr>
        <w:pStyle w:val="ListParagraph"/>
        <w:numPr>
          <w:ilvl w:val="0"/>
          <w:numId w:val="519"/>
        </w:numPr>
        <w:spacing w:before="240" w:after="240" w:line="240" w:lineRule="auto"/>
      </w:pPr>
      <w:r w:rsidRPr="00075BDC">
        <w:rPr>
          <w:b/>
          <w:color w:val="000000" w:themeColor="text1"/>
        </w:rPr>
        <w:t>New CHSP referrals are required</w:t>
      </w:r>
      <w:r w:rsidRPr="000F6CD1">
        <w:rPr>
          <w:color w:val="000000" w:themeColor="text1"/>
        </w:rPr>
        <w:t xml:space="preserve"> for the provider to continue delivering services on an ongoing basis.</w:t>
      </w:r>
    </w:p>
    <w:p w14:paraId="09AF985A" w14:textId="77777777" w:rsidR="004D556D" w:rsidRPr="000F6CD1" w:rsidRDefault="004D556D">
      <w:pPr>
        <w:pStyle w:val="ListParagraph"/>
        <w:numPr>
          <w:ilvl w:val="0"/>
          <w:numId w:val="519"/>
        </w:numPr>
        <w:spacing w:before="240" w:after="240" w:line="240" w:lineRule="auto"/>
      </w:pPr>
      <w:r w:rsidRPr="00075BDC">
        <w:rPr>
          <w:rFonts w:eastAsia="Times New Roman"/>
        </w:rPr>
        <w:t xml:space="preserve">Where a delegate </w:t>
      </w:r>
      <w:r w:rsidRPr="00075BDC">
        <w:rPr>
          <w:rFonts w:eastAsia="Times New Roman"/>
          <w:b/>
          <w:bCs/>
        </w:rPr>
        <w:t>does not approve</w:t>
      </w:r>
      <w:r w:rsidRPr="00075BDC">
        <w:rPr>
          <w:rFonts w:eastAsia="Times New Roman"/>
        </w:rPr>
        <w:t xml:space="preserve"> the urgent service: </w:t>
      </w:r>
    </w:p>
    <w:p w14:paraId="30745B0F" w14:textId="77777777" w:rsidR="004D556D" w:rsidRPr="000F6CD1" w:rsidRDefault="004D556D">
      <w:pPr>
        <w:pStyle w:val="ListParagraph"/>
        <w:numPr>
          <w:ilvl w:val="1"/>
          <w:numId w:val="519"/>
        </w:numPr>
        <w:spacing w:before="240" w:after="240" w:line="240" w:lineRule="auto"/>
        <w:rPr>
          <w:szCs w:val="22"/>
        </w:rPr>
      </w:pPr>
      <w:r w:rsidRPr="00075BDC">
        <w:rPr>
          <w:rFonts w:eastAsia="Times New Roman"/>
          <w:szCs w:val="22"/>
        </w:rPr>
        <w:t xml:space="preserve">If the service has </w:t>
      </w:r>
      <w:r w:rsidRPr="000F6CD1">
        <w:rPr>
          <w:rFonts w:eastAsia="Times New Roman"/>
          <w:szCs w:val="22"/>
        </w:rPr>
        <w:t>not commenced</w:t>
      </w:r>
      <w:r w:rsidRPr="00AF5685">
        <w:rPr>
          <w:rFonts w:eastAsia="Times New Roman"/>
          <w:szCs w:val="22"/>
        </w:rPr>
        <w:t>, the direct</w:t>
      </w:r>
      <w:r w:rsidRPr="00AF5685">
        <w:rPr>
          <w:rFonts w:eastAsia="Times New Roman"/>
          <w:szCs w:val="22"/>
        </w:rPr>
        <w:noBreakHyphen/>
        <w:t>to</w:t>
      </w:r>
      <w:r w:rsidRPr="00AF5685">
        <w:rPr>
          <w:rFonts w:eastAsia="Times New Roman"/>
          <w:szCs w:val="22"/>
        </w:rPr>
        <w:noBreakHyphen/>
        <w:t xml:space="preserve">provider referral </w:t>
      </w:r>
      <w:r w:rsidRPr="000F6CD1">
        <w:rPr>
          <w:rFonts w:eastAsia="Times New Roman"/>
          <w:szCs w:val="22"/>
        </w:rPr>
        <w:t>will</w:t>
      </w:r>
      <w:r w:rsidRPr="00AF5685">
        <w:rPr>
          <w:rFonts w:eastAsia="Times New Roman"/>
          <w:szCs w:val="22"/>
        </w:rPr>
        <w:t xml:space="preserve"> be </w:t>
      </w:r>
      <w:r w:rsidRPr="000F6CD1">
        <w:rPr>
          <w:rFonts w:eastAsia="Times New Roman"/>
          <w:szCs w:val="22"/>
        </w:rPr>
        <w:t>recalled</w:t>
      </w:r>
      <w:r w:rsidRPr="00AF5685">
        <w:rPr>
          <w:rFonts w:eastAsia="Times New Roman"/>
          <w:szCs w:val="22"/>
        </w:rPr>
        <w:t>.</w:t>
      </w:r>
    </w:p>
    <w:p w14:paraId="04D4708F" w14:textId="7F01A827" w:rsidR="004D556D" w:rsidRPr="006F1EEF" w:rsidRDefault="004D556D" w:rsidP="006F1EEF">
      <w:pPr>
        <w:pStyle w:val="ListParagraph"/>
        <w:numPr>
          <w:ilvl w:val="1"/>
          <w:numId w:val="519"/>
        </w:numPr>
        <w:spacing w:before="240" w:after="240" w:line="240" w:lineRule="auto"/>
      </w:pPr>
      <w:r w:rsidRPr="00AF5685">
        <w:rPr>
          <w:rFonts w:eastAsia="Times New Roman"/>
        </w:rPr>
        <w:t xml:space="preserve">If the service </w:t>
      </w:r>
      <w:r w:rsidRPr="000F6CD1">
        <w:rPr>
          <w:rFonts w:eastAsia="Times New Roman"/>
        </w:rPr>
        <w:t xml:space="preserve">has commenced, the provider will be notified that the urgent service is not </w:t>
      </w:r>
      <w:r w:rsidR="006F1EEF" w:rsidRPr="000F6CD1">
        <w:rPr>
          <w:rFonts w:eastAsia="Times New Roman"/>
        </w:rPr>
        <w:t>approved and</w:t>
      </w:r>
      <w:r w:rsidRPr="000F6CD1">
        <w:rPr>
          <w:rFonts w:eastAsia="Times New Roman"/>
        </w:rPr>
        <w:t xml:space="preserve"> should cease urgent service provision.</w:t>
      </w:r>
    </w:p>
    <w:p w14:paraId="64EED120" w14:textId="77777777" w:rsidR="004D556D" w:rsidRPr="000F6CD1" w:rsidRDefault="004D556D" w:rsidP="00AD2CE5">
      <w:pPr>
        <w:pStyle w:val="H3"/>
      </w:pPr>
      <w:r w:rsidRPr="000F6CD1">
        <w:t>Residential care referrals</w:t>
      </w:r>
    </w:p>
    <w:p w14:paraId="38D994CA" w14:textId="77777777" w:rsidR="004D556D" w:rsidRPr="000F6CD1" w:rsidRDefault="004D556D" w:rsidP="00622CFF">
      <w:pPr>
        <w:spacing w:before="240" w:after="240" w:line="240" w:lineRule="auto"/>
        <w:rPr>
          <w:szCs w:val="22"/>
        </w:rPr>
      </w:pPr>
      <w:r w:rsidRPr="000F6CD1">
        <w:rPr>
          <w:szCs w:val="22"/>
        </w:rPr>
        <w:t>For residential care (including through Multi-Purpose Service Program (MPSP)), the assessor can issue a referral code following the assessment and approval of services to enable the older person to take time to look for a suitable residential facility. Referral codes are contained within the client’s support plan.</w:t>
      </w:r>
    </w:p>
    <w:p w14:paraId="0E2DCCE6" w14:textId="77777777" w:rsidR="004D556D" w:rsidRPr="000F6CD1" w:rsidRDefault="004D556D" w:rsidP="00622CFF">
      <w:pPr>
        <w:spacing w:before="240" w:after="240" w:line="240" w:lineRule="auto"/>
        <w:rPr>
          <w:rFonts w:eastAsia="Arial"/>
          <w:szCs w:val="22"/>
        </w:rPr>
      </w:pPr>
      <w:r w:rsidRPr="000F6CD1">
        <w:rPr>
          <w:szCs w:val="22"/>
        </w:rPr>
        <w:t xml:space="preserve">When selecting a residential aged care service provider to issue a referral to, assessors can use </w:t>
      </w:r>
      <w:hyperlink r:id="rId263">
        <w:r w:rsidRPr="000F6CD1">
          <w:rPr>
            <w:rStyle w:val="Hyperlink"/>
            <w:szCs w:val="22"/>
          </w:rPr>
          <w:t xml:space="preserve">Star Ratings </w:t>
        </w:r>
      </w:hyperlink>
      <w:r w:rsidRPr="000F6CD1">
        <w:rPr>
          <w:szCs w:val="22"/>
        </w:rPr>
        <w:t xml:space="preserve">to help compare the quality of aged care facilities (not applicable for MSPS and National Aboriginal and Torres Strait Islander Flexible Aged Care Program (NATSIFACP)). Star Ratings are available via the </w:t>
      </w:r>
      <w:r w:rsidRPr="000F6CD1">
        <w:t>‘Find a provider’ tool</w:t>
      </w:r>
      <w:r w:rsidRPr="000F6CD1">
        <w:rPr>
          <w:szCs w:val="22"/>
        </w:rPr>
        <w:t xml:space="preserve"> on the My Aged Care website. All aged care facilities receive an overall Star Rating and ratings against Compliance, Residents’ Experience, Staffing and Quality Measures</w:t>
      </w:r>
      <w:r w:rsidRPr="000F6CD1">
        <w:rPr>
          <w:rFonts w:eastAsia="MS PGothic"/>
          <w:szCs w:val="22"/>
        </w:rPr>
        <w:t>)</w:t>
      </w:r>
      <w:r w:rsidRPr="000F6CD1">
        <w:rPr>
          <w:szCs w:val="22"/>
        </w:rPr>
        <w:t xml:space="preserve">. </w:t>
      </w:r>
    </w:p>
    <w:p w14:paraId="0E1A39EC" w14:textId="77777777" w:rsidR="004D556D" w:rsidRDefault="004D556D" w:rsidP="00622CFF">
      <w:pPr>
        <w:spacing w:before="240" w:after="240" w:line="240" w:lineRule="auto"/>
        <w:rPr>
          <w:rFonts w:eastAsia="Arial"/>
          <w:szCs w:val="22"/>
        </w:rPr>
      </w:pPr>
      <w:r w:rsidRPr="000F6CD1">
        <w:rPr>
          <w:rFonts w:eastAsia="Arial"/>
          <w:szCs w:val="22"/>
        </w:rPr>
        <w:t>Assessors can share a client’s referral code with as many providers as the client chooses. A provider will use the referral code to view the client’s approved services and specific needs in the service and support portal. If the provider and client agree they will take a bed in the residential care home, a formal agreement will be exchanged between the parties, and the referral will be formally accepted in the My Aged Care portal. Once a provider accepts a referral and payments commence from Services Australia, all other open referrals will close.</w:t>
      </w:r>
    </w:p>
    <w:tbl>
      <w:tblPr>
        <w:tblStyle w:val="TableGrid"/>
        <w:tblW w:w="0" w:type="auto"/>
        <w:tblLook w:val="04A0" w:firstRow="1" w:lastRow="0" w:firstColumn="1" w:lastColumn="0" w:noHBand="0" w:noVBand="1"/>
      </w:tblPr>
      <w:tblGrid>
        <w:gridCol w:w="846"/>
        <w:gridCol w:w="8170"/>
      </w:tblGrid>
      <w:tr w:rsidR="006F1EEF" w:rsidRPr="000F6CD1" w14:paraId="76E14A25" w14:textId="77777777">
        <w:tc>
          <w:tcPr>
            <w:tcW w:w="846" w:type="dxa"/>
          </w:tcPr>
          <w:p w14:paraId="062C6AAF" w14:textId="77777777" w:rsidR="006F1EEF" w:rsidRPr="000F6CD1" w:rsidRDefault="006F1EEF">
            <w:pPr>
              <w:spacing w:before="240" w:after="240"/>
              <w:rPr>
                <w:rFonts w:eastAsia="Arial"/>
                <w:szCs w:val="22"/>
              </w:rPr>
            </w:pPr>
            <w:r w:rsidRPr="000F6CD1">
              <w:rPr>
                <w:noProof/>
                <w:szCs w:val="22"/>
              </w:rPr>
              <w:drawing>
                <wp:inline distT="0" distB="0" distL="0" distR="0" wp14:anchorId="3BE65D03" wp14:editId="0F8B0167">
                  <wp:extent cx="383111" cy="381000"/>
                  <wp:effectExtent l="0" t="0" r="0" b="0"/>
                  <wp:docPr id="1791147718" name="Picture 179114771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42394" name="Picture 1899542394" descr="A black-and-white “i” icon inside a speech bubble, used to show where there are links to additional information and resource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111" cy="381000"/>
                          </a:xfrm>
                          <a:prstGeom prst="rect">
                            <a:avLst/>
                          </a:prstGeom>
                        </pic:spPr>
                      </pic:pic>
                    </a:graphicData>
                  </a:graphic>
                </wp:inline>
              </w:drawing>
            </w:r>
          </w:p>
        </w:tc>
        <w:tc>
          <w:tcPr>
            <w:tcW w:w="8170" w:type="dxa"/>
          </w:tcPr>
          <w:p w14:paraId="7105642F" w14:textId="77777777" w:rsidR="006F1EEF" w:rsidRPr="000F6CD1" w:rsidRDefault="006F1EEF">
            <w:pPr>
              <w:spacing w:before="240" w:after="240"/>
              <w:rPr>
                <w:rFonts w:eastAsia="Arial"/>
                <w:szCs w:val="22"/>
              </w:rPr>
            </w:pPr>
            <w:hyperlink r:id="rId264">
              <w:r w:rsidRPr="000F6CD1">
                <w:rPr>
                  <w:rStyle w:val="Hyperlink"/>
                  <w:szCs w:val="22"/>
                </w:rPr>
                <w:t>My Aged Care - ‘Find a provider’ tool</w:t>
              </w:r>
            </w:hyperlink>
          </w:p>
        </w:tc>
      </w:tr>
    </w:tbl>
    <w:p w14:paraId="02E8D5D6" w14:textId="0082C1B2" w:rsidR="006F1EEF" w:rsidRDefault="006F1EEF" w:rsidP="00622CFF">
      <w:pPr>
        <w:spacing w:before="240" w:after="240" w:line="240" w:lineRule="auto"/>
        <w:rPr>
          <w:rFonts w:eastAsia="Arial"/>
          <w:szCs w:val="22"/>
        </w:rPr>
      </w:pPr>
    </w:p>
    <w:p w14:paraId="334D74E6" w14:textId="77777777" w:rsidR="006F1EEF" w:rsidRDefault="006F1EEF">
      <w:pPr>
        <w:rPr>
          <w:rFonts w:eastAsia="Arial"/>
          <w:szCs w:val="22"/>
        </w:rPr>
      </w:pPr>
      <w:r>
        <w:rPr>
          <w:rFonts w:eastAsia="Arial"/>
          <w:szCs w:val="22"/>
        </w:rPr>
        <w:br w:type="page"/>
      </w:r>
    </w:p>
    <w:p w14:paraId="0961DACA" w14:textId="77777777" w:rsidR="004D556D" w:rsidRPr="000F6CD1" w:rsidRDefault="004D556D" w:rsidP="00AD2CE5">
      <w:pPr>
        <w:pStyle w:val="H3"/>
      </w:pPr>
      <w:r w:rsidRPr="000F6CD1">
        <w:lastRenderedPageBreak/>
        <w:t>Generation of referral codes for different programs and pathways</w:t>
      </w:r>
    </w:p>
    <w:p w14:paraId="0A131D00" w14:textId="77777777" w:rsidR="004D556D" w:rsidRPr="000F6CD1" w:rsidRDefault="004D556D" w:rsidP="00622CFF">
      <w:pPr>
        <w:spacing w:before="240" w:after="240" w:line="240" w:lineRule="auto"/>
        <w:rPr>
          <w:szCs w:val="22"/>
        </w:rPr>
      </w:pPr>
      <w:r w:rsidRPr="000F6CD1">
        <w:rPr>
          <w:szCs w:val="22"/>
        </w:rPr>
        <w:t>The table below provides further details regarding referral codes across the different approval pathways and programs.</w:t>
      </w:r>
    </w:p>
    <w:p w14:paraId="1A4C4386" w14:textId="77777777" w:rsidR="004D556D" w:rsidRPr="000F6CD1" w:rsidRDefault="004D556D" w:rsidP="00622CFF">
      <w:pPr>
        <w:pStyle w:val="Caption"/>
        <w:spacing w:before="240" w:after="240"/>
      </w:pPr>
      <w:r w:rsidRPr="000F6CD1">
        <w:t xml:space="preserve">Table 53. Guide for generation of referral codes for aged care programs </w:t>
      </w:r>
    </w:p>
    <w:tbl>
      <w:tblPr>
        <w:tblW w:w="9029" w:type="dxa"/>
        <w:tblInd w:w="-8"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Caption w:val="Guide for generation of referral codes for aged care programs"/>
      </w:tblPr>
      <w:tblGrid>
        <w:gridCol w:w="1993"/>
        <w:gridCol w:w="2159"/>
        <w:gridCol w:w="4877"/>
      </w:tblGrid>
      <w:tr w:rsidR="004D556D" w:rsidRPr="000F6CD1" w14:paraId="7038B8DA" w14:textId="77777777" w:rsidTr="00F461B4">
        <w:trPr>
          <w:trHeight w:val="300"/>
          <w:tblHeader/>
        </w:trPr>
        <w:tc>
          <w:tcPr>
            <w:tcW w:w="1993" w:type="dxa"/>
            <w:shd w:val="clear" w:color="auto" w:fill="002060"/>
            <w:vAlign w:val="center"/>
          </w:tcPr>
          <w:p w14:paraId="7AC719D5" w14:textId="77777777" w:rsidR="004D556D" w:rsidRPr="000F6CD1" w:rsidRDefault="004D556D" w:rsidP="00622CFF">
            <w:pPr>
              <w:spacing w:before="240" w:after="240" w:line="240" w:lineRule="auto"/>
              <w:rPr>
                <w:b/>
                <w:color w:val="FFFFFF" w:themeColor="background1"/>
                <w:szCs w:val="22"/>
              </w:rPr>
            </w:pPr>
            <w:r w:rsidRPr="000F6CD1">
              <w:rPr>
                <w:b/>
                <w:color w:val="FFFFFF" w:themeColor="background1"/>
                <w:szCs w:val="22"/>
              </w:rPr>
              <w:t>Aged care program</w:t>
            </w:r>
          </w:p>
        </w:tc>
        <w:tc>
          <w:tcPr>
            <w:tcW w:w="2159" w:type="dxa"/>
            <w:shd w:val="clear" w:color="auto" w:fill="002060"/>
            <w:vAlign w:val="center"/>
            <w:hideMark/>
          </w:tcPr>
          <w:p w14:paraId="4336FC63" w14:textId="77777777" w:rsidR="004D556D" w:rsidRPr="000F6CD1" w:rsidRDefault="004D556D" w:rsidP="00622CFF">
            <w:pPr>
              <w:spacing w:before="240" w:after="240" w:line="240" w:lineRule="auto"/>
              <w:rPr>
                <w:color w:val="FFFFFF" w:themeColor="background1"/>
                <w:szCs w:val="22"/>
              </w:rPr>
            </w:pPr>
            <w:r w:rsidRPr="000F6CD1">
              <w:rPr>
                <w:b/>
                <w:color w:val="FFFFFF" w:themeColor="background1"/>
                <w:szCs w:val="22"/>
              </w:rPr>
              <w:t>Pathways</w:t>
            </w:r>
          </w:p>
        </w:tc>
        <w:tc>
          <w:tcPr>
            <w:tcW w:w="4877" w:type="dxa"/>
            <w:shd w:val="clear" w:color="auto" w:fill="002060"/>
            <w:vAlign w:val="center"/>
            <w:hideMark/>
          </w:tcPr>
          <w:p w14:paraId="2F7D2D1F" w14:textId="77777777" w:rsidR="004D556D" w:rsidRPr="000F6CD1" w:rsidRDefault="004D556D" w:rsidP="00622CFF">
            <w:pPr>
              <w:spacing w:before="240" w:after="240" w:line="240" w:lineRule="auto"/>
              <w:rPr>
                <w:color w:val="FFFFFF" w:themeColor="background1"/>
                <w:szCs w:val="22"/>
              </w:rPr>
            </w:pPr>
            <w:r w:rsidRPr="000F6CD1">
              <w:rPr>
                <w:b/>
                <w:color w:val="FFFFFF" w:themeColor="background1"/>
                <w:szCs w:val="22"/>
              </w:rPr>
              <w:t>Generation of a referral code </w:t>
            </w:r>
          </w:p>
        </w:tc>
      </w:tr>
      <w:tr w:rsidR="004D556D" w:rsidRPr="000F6CD1" w14:paraId="584B19BE" w14:textId="77777777" w:rsidTr="00F461B4">
        <w:trPr>
          <w:trHeight w:val="300"/>
        </w:trPr>
        <w:tc>
          <w:tcPr>
            <w:tcW w:w="1993" w:type="dxa"/>
            <w:shd w:val="clear" w:color="auto" w:fill="FFFFFF" w:themeFill="background1"/>
            <w:vAlign w:val="center"/>
          </w:tcPr>
          <w:p w14:paraId="4B18850C" w14:textId="77777777" w:rsidR="004D556D" w:rsidRPr="000F6CD1" w:rsidRDefault="004D556D" w:rsidP="00622CFF">
            <w:pPr>
              <w:spacing w:before="240" w:after="240" w:line="240" w:lineRule="auto"/>
              <w:rPr>
                <w:szCs w:val="22"/>
              </w:rPr>
            </w:pPr>
            <w:r w:rsidRPr="000F6CD1">
              <w:rPr>
                <w:szCs w:val="22"/>
              </w:rPr>
              <w:t>Support at Home program</w:t>
            </w:r>
          </w:p>
        </w:tc>
        <w:tc>
          <w:tcPr>
            <w:tcW w:w="2159" w:type="dxa"/>
            <w:shd w:val="clear" w:color="auto" w:fill="FFFFFF" w:themeFill="background1"/>
            <w:vAlign w:val="center"/>
            <w:hideMark/>
          </w:tcPr>
          <w:p w14:paraId="06B4EEF6" w14:textId="77777777" w:rsidR="004D556D" w:rsidRPr="000F6CD1" w:rsidRDefault="004D556D" w:rsidP="005747E4">
            <w:pPr>
              <w:spacing w:before="120" w:after="120" w:line="240" w:lineRule="auto"/>
              <w:rPr>
                <w:szCs w:val="22"/>
              </w:rPr>
            </w:pPr>
            <w:r w:rsidRPr="000F6CD1">
              <w:rPr>
                <w:szCs w:val="22"/>
              </w:rPr>
              <w:t>SaH ongoing</w:t>
            </w:r>
          </w:p>
        </w:tc>
        <w:tc>
          <w:tcPr>
            <w:tcW w:w="4877" w:type="dxa"/>
            <w:shd w:val="clear" w:color="auto" w:fill="FFFFFF" w:themeFill="background1"/>
            <w:vAlign w:val="center"/>
            <w:hideMark/>
          </w:tcPr>
          <w:p w14:paraId="663FFF6C" w14:textId="77777777" w:rsidR="004D556D" w:rsidRPr="000F6CD1" w:rsidRDefault="004D556D" w:rsidP="005747E4">
            <w:pPr>
              <w:spacing w:before="120" w:after="120" w:line="240" w:lineRule="auto"/>
            </w:pPr>
            <w:r w:rsidRPr="000F6CD1">
              <w:t xml:space="preserve">Once the older person is allocated a place through the Support at Home Priority System, they will be sent a funding assignment letter containing their recommended services and the referral code for ongoing SaH services classifications 1 - 8. </w:t>
            </w:r>
          </w:p>
          <w:p w14:paraId="4036CAF2" w14:textId="77777777" w:rsidR="004D556D" w:rsidRPr="000F6CD1" w:rsidRDefault="004D556D" w:rsidP="005747E4">
            <w:pPr>
              <w:spacing w:before="120" w:after="120" w:line="240" w:lineRule="auto"/>
            </w:pPr>
            <w:r w:rsidRPr="000F6CD1">
              <w:t>If a participant is reassessed to a higher ongoing classification the upgrade notice letter will contain a referral code. However, the participant does not need to take any action as the referral code will already be active with their provider. To change providers, they will need to contact the My Aged Care Contact Centre to reactivate their referral code which can then be used to connect with a new provider.</w:t>
            </w:r>
            <w:r w:rsidRPr="000F6CD1">
              <w:br/>
            </w:r>
            <w:r w:rsidRPr="000F6CD1">
              <w:br/>
              <w:t>This follows the same pathway previously used in the Home Care Packages Program.</w:t>
            </w:r>
          </w:p>
          <w:p w14:paraId="1114714C" w14:textId="77777777" w:rsidR="004D556D" w:rsidRPr="000F6CD1" w:rsidRDefault="004D556D" w:rsidP="005747E4">
            <w:pPr>
              <w:spacing w:before="120" w:after="120" w:line="240" w:lineRule="auto"/>
            </w:pPr>
            <w:r w:rsidRPr="000F6CD1">
              <w:t xml:space="preserve">Note: If the older person has previously been approved for the End-of-Life Pathway, a referral code is </w:t>
            </w:r>
            <w:r w:rsidRPr="000F6CD1">
              <w:rPr>
                <w:u w:val="single"/>
              </w:rPr>
              <w:t>not</w:t>
            </w:r>
            <w:r w:rsidRPr="000F6CD1">
              <w:t xml:space="preserve"> generated</w:t>
            </w:r>
          </w:p>
        </w:tc>
      </w:tr>
      <w:tr w:rsidR="004D556D" w:rsidRPr="000F6CD1" w14:paraId="7C3D85BC" w14:textId="77777777" w:rsidTr="00F461B4">
        <w:trPr>
          <w:trHeight w:val="300"/>
        </w:trPr>
        <w:tc>
          <w:tcPr>
            <w:tcW w:w="1993" w:type="dxa"/>
            <w:shd w:val="clear" w:color="auto" w:fill="FFFFFF" w:themeFill="background1"/>
            <w:vAlign w:val="center"/>
          </w:tcPr>
          <w:p w14:paraId="54278383" w14:textId="77777777" w:rsidR="004D556D" w:rsidRPr="000F6CD1" w:rsidRDefault="004D556D" w:rsidP="00622CFF">
            <w:pPr>
              <w:spacing w:before="240" w:after="240" w:line="240" w:lineRule="auto"/>
              <w:rPr>
                <w:szCs w:val="22"/>
              </w:rPr>
            </w:pPr>
            <w:r w:rsidRPr="000F6CD1">
              <w:rPr>
                <w:szCs w:val="22"/>
              </w:rPr>
              <w:t xml:space="preserve">Support at Home </w:t>
            </w:r>
          </w:p>
        </w:tc>
        <w:tc>
          <w:tcPr>
            <w:tcW w:w="2159" w:type="dxa"/>
            <w:shd w:val="clear" w:color="auto" w:fill="FFFFFF" w:themeFill="background1"/>
            <w:vAlign w:val="center"/>
            <w:hideMark/>
          </w:tcPr>
          <w:p w14:paraId="0AED0B3D" w14:textId="08DFFFE4" w:rsidR="004D556D" w:rsidRPr="000F6CD1" w:rsidRDefault="004D556D" w:rsidP="005747E4">
            <w:pPr>
              <w:spacing w:before="120" w:after="120" w:line="240" w:lineRule="auto"/>
              <w:rPr>
                <w:szCs w:val="22"/>
              </w:rPr>
            </w:pPr>
            <w:r w:rsidRPr="000F6CD1">
              <w:rPr>
                <w:szCs w:val="22"/>
              </w:rPr>
              <w:t>End-of-Life Pathway (EoL)</w:t>
            </w:r>
          </w:p>
        </w:tc>
        <w:tc>
          <w:tcPr>
            <w:tcW w:w="4877" w:type="dxa"/>
            <w:shd w:val="clear" w:color="auto" w:fill="FFFFFF" w:themeFill="background1"/>
            <w:vAlign w:val="center"/>
            <w:hideMark/>
          </w:tcPr>
          <w:p w14:paraId="42D4E40C" w14:textId="77777777" w:rsidR="004D556D" w:rsidRPr="000F6CD1" w:rsidRDefault="004D556D" w:rsidP="005747E4">
            <w:pPr>
              <w:spacing w:before="120" w:after="120" w:line="240" w:lineRule="auto"/>
            </w:pPr>
            <w:r w:rsidRPr="000F6CD1">
              <w:t xml:space="preserve">Referral code is generated into the Support Plan attachment provided to clients (if no service referral has been made AND the older person has not been approved for an ongoing Support at Home classification previously) </w:t>
            </w:r>
          </w:p>
        </w:tc>
      </w:tr>
      <w:tr w:rsidR="004D556D" w:rsidRPr="000F6CD1" w14:paraId="1731C9D0" w14:textId="77777777" w:rsidTr="00F461B4">
        <w:trPr>
          <w:trHeight w:val="300"/>
        </w:trPr>
        <w:tc>
          <w:tcPr>
            <w:tcW w:w="1993" w:type="dxa"/>
            <w:shd w:val="clear" w:color="auto" w:fill="FFFFFF" w:themeFill="background1"/>
            <w:vAlign w:val="center"/>
            <w:hideMark/>
          </w:tcPr>
          <w:p w14:paraId="5F407448" w14:textId="77777777" w:rsidR="004D556D" w:rsidRPr="000F6CD1" w:rsidRDefault="004D556D" w:rsidP="00622CFF">
            <w:pPr>
              <w:spacing w:before="240" w:after="240" w:line="240" w:lineRule="auto"/>
              <w:rPr>
                <w:szCs w:val="22"/>
              </w:rPr>
            </w:pPr>
            <w:r w:rsidRPr="000F6CD1">
              <w:rPr>
                <w:szCs w:val="22"/>
              </w:rPr>
              <w:t>Support at Home</w:t>
            </w:r>
          </w:p>
        </w:tc>
        <w:tc>
          <w:tcPr>
            <w:tcW w:w="2159" w:type="dxa"/>
            <w:shd w:val="clear" w:color="auto" w:fill="FFFFFF" w:themeFill="background1"/>
            <w:vAlign w:val="center"/>
            <w:hideMark/>
          </w:tcPr>
          <w:p w14:paraId="46B9D914" w14:textId="77777777" w:rsidR="004D556D" w:rsidRPr="000F6CD1" w:rsidRDefault="004D556D" w:rsidP="005747E4">
            <w:pPr>
              <w:spacing w:before="120" w:after="120" w:line="240" w:lineRule="auto"/>
              <w:rPr>
                <w:szCs w:val="22"/>
              </w:rPr>
            </w:pPr>
            <w:r w:rsidRPr="000F6CD1">
              <w:rPr>
                <w:szCs w:val="22"/>
              </w:rPr>
              <w:t>Restorative Care Pathway (RCP)</w:t>
            </w:r>
          </w:p>
        </w:tc>
        <w:tc>
          <w:tcPr>
            <w:tcW w:w="4877" w:type="dxa"/>
            <w:shd w:val="clear" w:color="auto" w:fill="FFFFFF" w:themeFill="background1"/>
            <w:vAlign w:val="center"/>
            <w:hideMark/>
          </w:tcPr>
          <w:p w14:paraId="62C9B5D2" w14:textId="77777777" w:rsidR="004D556D" w:rsidRPr="000F6CD1" w:rsidRDefault="004D556D" w:rsidP="005747E4">
            <w:pPr>
              <w:spacing w:before="120" w:after="120" w:line="240" w:lineRule="auto"/>
            </w:pPr>
            <w:r w:rsidRPr="000F6CD1">
              <w:t>Referral code is generated into the Support Plan attachment provided to clients (if no service referral has been made and the older person has not been approved for an ongoing Support at Home classification previously).</w:t>
            </w:r>
          </w:p>
          <w:p w14:paraId="6F512628" w14:textId="77777777" w:rsidR="004D556D" w:rsidRPr="000F6CD1" w:rsidRDefault="004D556D" w:rsidP="005747E4">
            <w:pPr>
              <w:spacing w:before="120" w:after="120" w:line="240" w:lineRule="auto"/>
            </w:pPr>
            <w:r w:rsidRPr="000F6CD1">
              <w:rPr>
                <w:b/>
              </w:rPr>
              <w:t>Note:</w:t>
            </w:r>
            <w:r w:rsidRPr="000F6CD1">
              <w:t xml:space="preserve"> If the current provider does not provide Restorative Care the older person will need to change providers. To change providers, they will need to contact the My Aged Care Contact Centre to reactivate their referral code which can then be used to connect with a new provider.</w:t>
            </w:r>
          </w:p>
        </w:tc>
      </w:tr>
      <w:tr w:rsidR="004D556D" w:rsidRPr="000F6CD1" w14:paraId="316842B5" w14:textId="77777777" w:rsidTr="00F461B4">
        <w:trPr>
          <w:trHeight w:val="300"/>
        </w:trPr>
        <w:tc>
          <w:tcPr>
            <w:tcW w:w="1993" w:type="dxa"/>
            <w:tcBorders>
              <w:bottom w:val="single" w:sz="4" w:space="0" w:color="auto"/>
            </w:tcBorders>
            <w:shd w:val="clear" w:color="auto" w:fill="FFFFFF" w:themeFill="background1"/>
            <w:vAlign w:val="center"/>
            <w:hideMark/>
          </w:tcPr>
          <w:p w14:paraId="6C17FF03" w14:textId="77777777" w:rsidR="004D556D" w:rsidRPr="000F6CD1" w:rsidRDefault="004D556D" w:rsidP="00622CFF">
            <w:pPr>
              <w:spacing w:before="240" w:after="240" w:line="240" w:lineRule="auto"/>
              <w:rPr>
                <w:szCs w:val="22"/>
              </w:rPr>
            </w:pPr>
            <w:r w:rsidRPr="000F6CD1">
              <w:rPr>
                <w:szCs w:val="22"/>
              </w:rPr>
              <w:lastRenderedPageBreak/>
              <w:t>Support at Home</w:t>
            </w:r>
          </w:p>
        </w:tc>
        <w:tc>
          <w:tcPr>
            <w:tcW w:w="2159" w:type="dxa"/>
            <w:tcBorders>
              <w:bottom w:val="single" w:sz="4" w:space="0" w:color="auto"/>
            </w:tcBorders>
            <w:shd w:val="clear" w:color="auto" w:fill="FFFFFF" w:themeFill="background1"/>
            <w:vAlign w:val="center"/>
            <w:hideMark/>
          </w:tcPr>
          <w:p w14:paraId="6F9EF6BF" w14:textId="77777777" w:rsidR="004D556D" w:rsidRPr="000F6CD1" w:rsidRDefault="004D556D" w:rsidP="005747E4">
            <w:pPr>
              <w:spacing w:before="120" w:after="120" w:line="240" w:lineRule="auto"/>
              <w:rPr>
                <w:szCs w:val="22"/>
              </w:rPr>
            </w:pPr>
            <w:r w:rsidRPr="000F6CD1">
              <w:rPr>
                <w:szCs w:val="22"/>
              </w:rPr>
              <w:t>Assistive Technology and Home Modifications (AT-HM) scheme</w:t>
            </w:r>
          </w:p>
        </w:tc>
        <w:tc>
          <w:tcPr>
            <w:tcW w:w="4877" w:type="dxa"/>
            <w:tcBorders>
              <w:bottom w:val="single" w:sz="4" w:space="0" w:color="auto"/>
            </w:tcBorders>
            <w:shd w:val="clear" w:color="auto" w:fill="FFFFFF" w:themeFill="background1"/>
            <w:vAlign w:val="center"/>
            <w:hideMark/>
          </w:tcPr>
          <w:p w14:paraId="406CE384" w14:textId="77777777" w:rsidR="004D556D" w:rsidRPr="000F6CD1" w:rsidRDefault="004D556D" w:rsidP="005747E4">
            <w:pPr>
              <w:spacing w:before="120" w:after="120" w:line="240" w:lineRule="auto"/>
            </w:pPr>
            <w:r w:rsidRPr="000F6CD1">
              <w:t>Once the older person is allocated a place through the Assistive Technology</w:t>
            </w:r>
            <w:r w:rsidRPr="000F6CD1" w:rsidDel="004B4CF4">
              <w:t xml:space="preserve"> and/or </w:t>
            </w:r>
            <w:r w:rsidRPr="000F6CD1">
              <w:t>Home Modifications priority system/s, they</w:t>
            </w:r>
            <w:r w:rsidRPr="000F6CD1" w:rsidDel="004B4CF4">
              <w:t xml:space="preserve"> </w:t>
            </w:r>
            <w:r w:rsidRPr="000F6CD1">
              <w:t xml:space="preserve">will be sent a funding assignment letter containing their recommended services and the referral code for their AT and/or HM classifications. </w:t>
            </w:r>
          </w:p>
          <w:p w14:paraId="2C61089C" w14:textId="77777777" w:rsidR="004D556D" w:rsidRPr="000F6CD1" w:rsidRDefault="004D556D" w:rsidP="005747E4">
            <w:pPr>
              <w:spacing w:before="120" w:after="120" w:line="240" w:lineRule="auto"/>
            </w:pPr>
            <w:r w:rsidRPr="000F6CD1">
              <w:t>This is the same referral code used for SaH ongoing, EoL and RCP classifications. If the participant is already receiving services from a Support at Home provider, they do not need to take any action as the referral code will already be active with their provider.</w:t>
            </w:r>
            <w:r w:rsidRPr="000F6CD1">
              <w:br/>
              <w:t>Note: For the below circumstances, where AT-HM funding is allocated immediately, the participant does not receive a funding assignment letter.</w:t>
            </w:r>
          </w:p>
          <w:p w14:paraId="5BBD81B9" w14:textId="55990D4F" w:rsidR="004D556D" w:rsidRPr="000F6CD1" w:rsidRDefault="004D556D" w:rsidP="005747E4">
            <w:pPr>
              <w:spacing w:before="120" w:after="120" w:line="240" w:lineRule="auto"/>
            </w:pPr>
            <w:r w:rsidRPr="000F6CD1">
              <w:t xml:space="preserve">1. Approval for a higher AT or HM short-term tier through an SPR. </w:t>
            </w:r>
          </w:p>
          <w:p w14:paraId="10268926" w14:textId="69069DDF" w:rsidR="004D556D" w:rsidRPr="000F6CD1" w:rsidRDefault="004D556D" w:rsidP="005747E4">
            <w:pPr>
              <w:spacing w:before="120" w:after="120" w:line="240" w:lineRule="auto"/>
            </w:pPr>
            <w:r w:rsidRPr="000F6CD1">
              <w:t xml:space="preserve">If the participant is not already receiving services from a Support at Home provider, the referral code is generated into the Support Plan attachment. </w:t>
            </w:r>
          </w:p>
        </w:tc>
      </w:tr>
      <w:tr w:rsidR="004D556D" w:rsidRPr="000F6CD1" w14:paraId="6728F499" w14:textId="77777777" w:rsidTr="00F461B4">
        <w:trPr>
          <w:trHeight w:val="6410"/>
        </w:trPr>
        <w:tc>
          <w:tcPr>
            <w:tcW w:w="1993" w:type="dxa"/>
            <w:tcBorders>
              <w:top w:val="single" w:sz="4" w:space="0" w:color="auto"/>
              <w:bottom w:val="single" w:sz="4" w:space="0" w:color="auto"/>
            </w:tcBorders>
            <w:shd w:val="clear" w:color="auto" w:fill="FFFFFF" w:themeFill="background1"/>
            <w:vAlign w:val="center"/>
            <w:hideMark/>
          </w:tcPr>
          <w:p w14:paraId="07D3F3AC" w14:textId="77777777" w:rsidR="004D556D" w:rsidRPr="000F6CD1" w:rsidRDefault="004D556D" w:rsidP="00622CFF">
            <w:pPr>
              <w:spacing w:before="240" w:after="240" w:line="240" w:lineRule="auto"/>
              <w:rPr>
                <w:szCs w:val="22"/>
              </w:rPr>
            </w:pPr>
          </w:p>
          <w:p w14:paraId="6937BFC2" w14:textId="77777777" w:rsidR="004D556D" w:rsidRPr="000F6CD1" w:rsidRDefault="004D556D" w:rsidP="00622CFF">
            <w:pPr>
              <w:spacing w:before="240" w:after="240" w:line="240" w:lineRule="auto"/>
              <w:rPr>
                <w:szCs w:val="22"/>
              </w:rPr>
            </w:pPr>
            <w:r w:rsidRPr="000F6CD1">
              <w:rPr>
                <w:szCs w:val="22"/>
              </w:rPr>
              <w:t>Commonwealth Home Support Program (CHSP)</w:t>
            </w:r>
          </w:p>
          <w:p w14:paraId="1AC4711C" w14:textId="77777777" w:rsidR="004D556D" w:rsidRPr="000F6CD1" w:rsidRDefault="004D556D" w:rsidP="00622CFF">
            <w:pPr>
              <w:spacing w:before="240" w:after="240" w:line="240" w:lineRule="auto"/>
              <w:rPr>
                <w:szCs w:val="22"/>
              </w:rPr>
            </w:pPr>
          </w:p>
          <w:p w14:paraId="7D340DC5" w14:textId="77777777" w:rsidR="004D556D" w:rsidRPr="000F6CD1" w:rsidRDefault="004D556D" w:rsidP="00622CFF">
            <w:pPr>
              <w:spacing w:before="240" w:after="240" w:line="240" w:lineRule="auto"/>
              <w:rPr>
                <w:szCs w:val="22"/>
              </w:rPr>
            </w:pPr>
          </w:p>
          <w:p w14:paraId="51012D29" w14:textId="77777777" w:rsidR="004D556D" w:rsidRPr="000F6CD1" w:rsidRDefault="004D556D" w:rsidP="00622CFF">
            <w:pPr>
              <w:spacing w:before="240" w:after="240" w:line="240" w:lineRule="auto"/>
              <w:rPr>
                <w:szCs w:val="22"/>
              </w:rPr>
            </w:pPr>
            <w:r w:rsidRPr="000F6CD1">
              <w:rPr>
                <w:szCs w:val="22"/>
              </w:rPr>
              <w:t>National Aboriginal and Torres Strait Islander Flexible Aged Care Program (NATSIFACP)</w:t>
            </w:r>
          </w:p>
          <w:p w14:paraId="352E5BA1" w14:textId="77777777" w:rsidR="004D556D" w:rsidRPr="000F6CD1" w:rsidRDefault="004D556D" w:rsidP="00622CFF">
            <w:pPr>
              <w:spacing w:before="240" w:after="240" w:line="240" w:lineRule="auto"/>
              <w:rPr>
                <w:szCs w:val="22"/>
              </w:rPr>
            </w:pPr>
          </w:p>
          <w:p w14:paraId="4E7E123E" w14:textId="77777777" w:rsidR="004D556D" w:rsidRPr="000F6CD1" w:rsidRDefault="004D556D" w:rsidP="00622CFF">
            <w:pPr>
              <w:spacing w:before="240" w:after="240" w:line="240" w:lineRule="auto"/>
              <w:rPr>
                <w:szCs w:val="22"/>
              </w:rPr>
            </w:pPr>
            <w:r w:rsidRPr="000F6CD1">
              <w:rPr>
                <w:szCs w:val="22"/>
              </w:rPr>
              <w:t>Multi-Purpose Service Program (MPSP)</w:t>
            </w:r>
          </w:p>
        </w:tc>
        <w:tc>
          <w:tcPr>
            <w:tcW w:w="7036" w:type="dxa"/>
            <w:gridSpan w:val="2"/>
            <w:tcBorders>
              <w:top w:val="single" w:sz="4" w:space="0" w:color="auto"/>
              <w:bottom w:val="single" w:sz="4" w:space="0" w:color="auto"/>
            </w:tcBorders>
            <w:shd w:val="clear" w:color="auto" w:fill="FFFFFF" w:themeFill="background1"/>
            <w:vAlign w:val="center"/>
            <w:hideMark/>
          </w:tcPr>
          <w:p w14:paraId="558EBDCC" w14:textId="77777777" w:rsidR="004D556D" w:rsidRPr="000F6CD1" w:rsidRDefault="004D556D" w:rsidP="005747E4">
            <w:pPr>
              <w:spacing w:before="120" w:after="120" w:line="240" w:lineRule="auto"/>
              <w:rPr>
                <w:szCs w:val="22"/>
              </w:rPr>
            </w:pPr>
          </w:p>
          <w:p w14:paraId="60141CD0" w14:textId="77777777" w:rsidR="004D556D" w:rsidRPr="000F6CD1" w:rsidRDefault="004D556D" w:rsidP="005747E4">
            <w:pPr>
              <w:spacing w:before="120" w:after="120" w:line="240" w:lineRule="auto"/>
            </w:pPr>
            <w:r w:rsidRPr="000F6CD1">
              <w:t xml:space="preserve">CHSP, NATSIFACP and MPSP services will require assessment, delegate approval, and a Notice of Decision (letter outlining their decision) to be issued. </w:t>
            </w:r>
          </w:p>
          <w:p w14:paraId="7EA2525E" w14:textId="45A1AB53" w:rsidR="004D556D" w:rsidRPr="000F6CD1" w:rsidRDefault="004D556D" w:rsidP="005747E4">
            <w:pPr>
              <w:spacing w:before="120" w:after="120" w:line="240" w:lineRule="auto"/>
            </w:pPr>
            <w:r w:rsidRPr="000F6CD1">
              <w:t xml:space="preserve">The Support plan attachment provided to clients will include the referral code(s) </w:t>
            </w:r>
            <w:r w:rsidRPr="000F6CD1" w:rsidDel="008000C5">
              <w:t xml:space="preserve">for </w:t>
            </w:r>
            <w:r w:rsidRPr="000F6CD1">
              <w:t xml:space="preserve">CHSP, MPSP and NATSIFACP (if no service referral has yet been made). </w:t>
            </w:r>
          </w:p>
          <w:p w14:paraId="343ED530" w14:textId="77777777" w:rsidR="004D556D" w:rsidRPr="000F6CD1" w:rsidRDefault="004D556D" w:rsidP="005747E4">
            <w:pPr>
              <w:spacing w:before="120" w:after="120" w:line="240" w:lineRule="auto"/>
              <w:rPr>
                <w:szCs w:val="22"/>
              </w:rPr>
            </w:pPr>
            <w:r w:rsidRPr="000F6CD1">
              <w:rPr>
                <w:szCs w:val="22"/>
              </w:rPr>
              <w:t xml:space="preserve">For CHSP services, a Support Plan may contain recommendations for multiple services within the same service type (e.g. Laundry services, Shopping assistance and General house cleaning under the CHSP Domestic Assistance service type) </w:t>
            </w:r>
          </w:p>
          <w:p w14:paraId="698561C9" w14:textId="53526A87" w:rsidR="004D556D" w:rsidRPr="000F6CD1" w:rsidRDefault="004D556D" w:rsidP="005747E4">
            <w:pPr>
              <w:spacing w:before="120" w:after="120" w:line="240" w:lineRule="auto"/>
            </w:pPr>
            <w:r w:rsidRPr="000F6CD1">
              <w:rPr>
                <w:b/>
              </w:rPr>
              <w:t>Note:</w:t>
            </w:r>
            <w:r w:rsidRPr="000F6CD1">
              <w:t xml:space="preserve">  Allied health and therapy services and Therapeutic services for independent living Service types, referral codes should be generated and display at the service level in the Support Plan </w:t>
            </w:r>
            <w:r w:rsidR="003438D5" w:rsidRPr="000F6CD1">
              <w:t>e.g.</w:t>
            </w:r>
            <w:r w:rsidRPr="000F6CD1">
              <w:t xml:space="preserve"> Allied health and therapy - Podiatry.</w:t>
            </w:r>
          </w:p>
          <w:p w14:paraId="3D054392" w14:textId="77777777" w:rsidR="004D556D" w:rsidRPr="000F6CD1" w:rsidRDefault="004D556D" w:rsidP="005747E4">
            <w:pPr>
              <w:spacing w:before="120" w:after="120" w:line="240" w:lineRule="auto"/>
            </w:pPr>
            <w:r w:rsidRPr="000F6CD1">
              <w:t>For any CHSP referrals, these codes will also be contained in a separate Referral Code Letter which is sent to the older person for ease of access.</w:t>
            </w:r>
          </w:p>
          <w:p w14:paraId="0DFE12EE" w14:textId="77777777" w:rsidR="004D556D" w:rsidRPr="000F6CD1" w:rsidRDefault="004D556D" w:rsidP="005747E4">
            <w:pPr>
              <w:spacing w:before="120" w:after="120" w:line="240" w:lineRule="auto"/>
              <w:rPr>
                <w:rFonts w:ascii="Aptos" w:eastAsia="Aptos" w:hAnsi="Aptos"/>
                <w:szCs w:val="22"/>
                <w:highlight w:val="green"/>
              </w:rPr>
            </w:pPr>
            <w:r w:rsidRPr="000F6CD1">
              <w:rPr>
                <w:b/>
                <w:szCs w:val="22"/>
              </w:rPr>
              <w:t>Note:</w:t>
            </w:r>
            <w:r w:rsidRPr="000F6CD1">
              <w:rPr>
                <w:szCs w:val="22"/>
              </w:rPr>
              <w:t xml:space="preserve"> if older person consents to electronic notifications, the Assessment Delegate can send these letters via email.</w:t>
            </w:r>
          </w:p>
        </w:tc>
      </w:tr>
      <w:tr w:rsidR="004D556D" w:rsidRPr="000F6CD1" w14:paraId="243966FF" w14:textId="77777777" w:rsidTr="00F461B4">
        <w:trPr>
          <w:trHeight w:val="300"/>
        </w:trPr>
        <w:tc>
          <w:tcPr>
            <w:tcW w:w="1993" w:type="dxa"/>
            <w:tcBorders>
              <w:top w:val="single" w:sz="4" w:space="0" w:color="auto"/>
            </w:tcBorders>
            <w:shd w:val="clear" w:color="auto" w:fill="FFFFFF" w:themeFill="background1"/>
            <w:vAlign w:val="center"/>
          </w:tcPr>
          <w:p w14:paraId="293C7E01" w14:textId="77777777" w:rsidR="004D556D" w:rsidRPr="000F6CD1" w:rsidRDefault="004D556D" w:rsidP="00622CFF">
            <w:pPr>
              <w:spacing w:before="240" w:after="240" w:line="240" w:lineRule="auto"/>
              <w:rPr>
                <w:szCs w:val="22"/>
              </w:rPr>
            </w:pPr>
          </w:p>
          <w:p w14:paraId="10BABFD6" w14:textId="77777777" w:rsidR="004D556D" w:rsidRPr="000F6CD1" w:rsidRDefault="004D556D" w:rsidP="00622CFF">
            <w:pPr>
              <w:spacing w:before="240" w:after="240" w:line="240" w:lineRule="auto"/>
              <w:rPr>
                <w:szCs w:val="22"/>
              </w:rPr>
            </w:pPr>
            <w:r w:rsidRPr="000F6CD1">
              <w:rPr>
                <w:szCs w:val="22"/>
              </w:rPr>
              <w:t>Transition Care Program (TCP)</w:t>
            </w:r>
          </w:p>
        </w:tc>
        <w:tc>
          <w:tcPr>
            <w:tcW w:w="7036" w:type="dxa"/>
            <w:gridSpan w:val="2"/>
            <w:tcBorders>
              <w:top w:val="single" w:sz="4" w:space="0" w:color="auto"/>
            </w:tcBorders>
            <w:shd w:val="clear" w:color="auto" w:fill="FFFFFF" w:themeFill="background1"/>
            <w:vAlign w:val="center"/>
            <w:hideMark/>
          </w:tcPr>
          <w:p w14:paraId="675E358E" w14:textId="77777777" w:rsidR="004D556D" w:rsidRPr="000F6CD1" w:rsidRDefault="004D556D" w:rsidP="005747E4">
            <w:pPr>
              <w:spacing w:before="120" w:after="120" w:line="240" w:lineRule="auto"/>
              <w:rPr>
                <w:szCs w:val="22"/>
              </w:rPr>
            </w:pPr>
            <w:r w:rsidRPr="000F6CD1">
              <w:rPr>
                <w:szCs w:val="22"/>
              </w:rPr>
              <w:t xml:space="preserve">The hospital discharge staff will identify and liaise with a TCP provider to access these services using the referral code. </w:t>
            </w:r>
          </w:p>
        </w:tc>
      </w:tr>
      <w:tr w:rsidR="004D556D" w:rsidRPr="000F6CD1" w14:paraId="65376C19" w14:textId="77777777" w:rsidTr="00F461B4">
        <w:trPr>
          <w:trHeight w:val="300"/>
        </w:trPr>
        <w:tc>
          <w:tcPr>
            <w:tcW w:w="1993" w:type="dxa"/>
            <w:shd w:val="clear" w:color="auto" w:fill="FFFFFF" w:themeFill="background1"/>
            <w:vAlign w:val="center"/>
          </w:tcPr>
          <w:p w14:paraId="49311961" w14:textId="77777777" w:rsidR="004D556D" w:rsidRPr="000F6CD1" w:rsidRDefault="004D556D" w:rsidP="00622CFF">
            <w:pPr>
              <w:spacing w:before="240" w:after="240" w:line="240" w:lineRule="auto"/>
              <w:rPr>
                <w:rFonts w:eastAsia="Arial"/>
                <w:szCs w:val="22"/>
              </w:rPr>
            </w:pPr>
            <w:r w:rsidRPr="000F6CD1">
              <w:rPr>
                <w:rFonts w:eastAsia="Arial"/>
                <w:szCs w:val="22"/>
              </w:rPr>
              <w:t>Residential Care</w:t>
            </w:r>
          </w:p>
        </w:tc>
        <w:tc>
          <w:tcPr>
            <w:tcW w:w="7036" w:type="dxa"/>
            <w:gridSpan w:val="2"/>
            <w:shd w:val="clear" w:color="auto" w:fill="FFFFFF" w:themeFill="background1"/>
            <w:vAlign w:val="center"/>
          </w:tcPr>
          <w:p w14:paraId="7BA788C8" w14:textId="54CF6EA0" w:rsidR="004D556D" w:rsidRPr="000F6CD1" w:rsidRDefault="004D556D" w:rsidP="005747E4">
            <w:pPr>
              <w:spacing w:before="120" w:after="120" w:line="240" w:lineRule="auto"/>
              <w:rPr>
                <w:rFonts w:eastAsia="Arial"/>
                <w:szCs w:val="22"/>
              </w:rPr>
            </w:pPr>
            <w:r w:rsidRPr="000F6CD1">
              <w:rPr>
                <w:rFonts w:eastAsia="Arial"/>
                <w:szCs w:val="22"/>
              </w:rPr>
              <w:t>For residential</w:t>
            </w:r>
            <w:r w:rsidRPr="000F6CD1">
              <w:rPr>
                <w:rFonts w:eastAsia="Arial"/>
                <w:szCs w:val="22"/>
                <w:u w:val="single"/>
              </w:rPr>
              <w:t xml:space="preserve"> (including through MPSP)</w:t>
            </w:r>
            <w:r w:rsidRPr="000F6CD1">
              <w:rPr>
                <w:rFonts w:eastAsia="Arial"/>
                <w:szCs w:val="22"/>
              </w:rPr>
              <w:t>, the assessor can issue a referral code following the assessment and delegate approval of services to enable the older person to take time to look for a suitable residential facility. Referral codes for residential care will be contained within the Support Plan attachment.</w:t>
            </w:r>
          </w:p>
        </w:tc>
      </w:tr>
    </w:tbl>
    <w:p w14:paraId="1A3AD646" w14:textId="77777777" w:rsidR="004D556D" w:rsidRPr="000F6CD1" w:rsidRDefault="004D556D" w:rsidP="00AD2CE5">
      <w:pPr>
        <w:pStyle w:val="H3"/>
      </w:pPr>
      <w:r w:rsidRPr="000F6CD1">
        <w:t>Steps an assessor must take</w:t>
      </w:r>
    </w:p>
    <w:p w14:paraId="5E3AF114" w14:textId="77777777" w:rsidR="004D556D" w:rsidRPr="000F6CD1" w:rsidRDefault="004D556D" w:rsidP="00622CFF">
      <w:pPr>
        <w:spacing w:before="240" w:after="240" w:line="240" w:lineRule="auto"/>
        <w:rPr>
          <w:szCs w:val="22"/>
        </w:rPr>
      </w:pPr>
      <w:r w:rsidRPr="000F6CD1">
        <w:rPr>
          <w:szCs w:val="22"/>
        </w:rPr>
        <w:t>An assessor must:</w:t>
      </w:r>
    </w:p>
    <w:p w14:paraId="163F6835" w14:textId="77777777" w:rsidR="004D556D" w:rsidRPr="000F6CD1" w:rsidRDefault="004D556D" w:rsidP="00387BB2">
      <w:pPr>
        <w:pStyle w:val="ListParagraph"/>
        <w:numPr>
          <w:ilvl w:val="0"/>
          <w:numId w:val="60"/>
        </w:numPr>
        <w:spacing w:before="240" w:after="240" w:line="240" w:lineRule="auto"/>
        <w:ind w:left="851"/>
        <w:rPr>
          <w:szCs w:val="22"/>
          <w:lang w:eastAsia="ko-KR"/>
        </w:rPr>
      </w:pPr>
      <w:r w:rsidRPr="000F6CD1">
        <w:rPr>
          <w:szCs w:val="22"/>
          <w:lang w:eastAsia="ko-KR"/>
        </w:rPr>
        <w:t>Check availability of service providers</w:t>
      </w:r>
      <w:r w:rsidRPr="000F6CD1">
        <w:rPr>
          <w:rFonts w:hint="eastAsia"/>
          <w:szCs w:val="22"/>
          <w:lang w:eastAsia="ko-KR"/>
        </w:rPr>
        <w:t xml:space="preserve"> in the older person</w:t>
      </w:r>
      <w:r w:rsidRPr="000F6CD1">
        <w:rPr>
          <w:szCs w:val="22"/>
          <w:lang w:eastAsia="ko-KR"/>
        </w:rPr>
        <w:t>’</w:t>
      </w:r>
      <w:r w:rsidRPr="000F6CD1">
        <w:rPr>
          <w:rFonts w:hint="eastAsia"/>
          <w:szCs w:val="22"/>
          <w:lang w:eastAsia="ko-KR"/>
        </w:rPr>
        <w:t>s region.</w:t>
      </w:r>
      <w:r w:rsidRPr="000F6CD1">
        <w:rPr>
          <w:szCs w:val="22"/>
          <w:lang w:eastAsia="ko-KR"/>
        </w:rPr>
        <w:t xml:space="preserve"> Commonwealth funded service provider contact details can be accessed in the My Aged Care Service Finder. Service providers will find the name of an older person's assessing outlet in the 'Plans' tab of the older person’s record.</w:t>
      </w:r>
    </w:p>
    <w:p w14:paraId="198D67DD" w14:textId="77777777" w:rsidR="004D556D" w:rsidRPr="000F6CD1" w:rsidRDefault="004D556D" w:rsidP="0019783C">
      <w:pPr>
        <w:pStyle w:val="ListParagraph"/>
        <w:spacing w:before="240" w:after="240" w:line="240" w:lineRule="auto"/>
        <w:ind w:left="851"/>
        <w:rPr>
          <w:szCs w:val="22"/>
          <w:lang w:eastAsia="ko-KR"/>
        </w:rPr>
      </w:pPr>
      <w:r w:rsidRPr="000F6CD1">
        <w:rPr>
          <w:szCs w:val="22"/>
          <w:lang w:eastAsia="ko-KR"/>
        </w:rPr>
        <w:t xml:space="preserve"> </w:t>
      </w:r>
    </w:p>
    <w:p w14:paraId="60D63C03" w14:textId="77777777" w:rsidR="004D556D" w:rsidRPr="000F6CD1" w:rsidRDefault="004D556D" w:rsidP="00387BB2">
      <w:pPr>
        <w:pStyle w:val="ListParagraph"/>
        <w:numPr>
          <w:ilvl w:val="0"/>
          <w:numId w:val="60"/>
        </w:numPr>
        <w:spacing w:before="240" w:after="240" w:line="240" w:lineRule="auto"/>
        <w:ind w:left="851"/>
        <w:contextualSpacing w:val="0"/>
        <w:rPr>
          <w:szCs w:val="22"/>
          <w:lang w:eastAsia="ko-KR"/>
        </w:rPr>
      </w:pPr>
      <w:r w:rsidRPr="000F6CD1">
        <w:rPr>
          <w:szCs w:val="22"/>
          <w:lang w:eastAsia="ko-KR"/>
        </w:rPr>
        <w:t>If required (e.g. for vulnerable older people) contact providers on behalf of the older person when referring.</w:t>
      </w:r>
    </w:p>
    <w:p w14:paraId="15C917CF" w14:textId="77777777" w:rsidR="004D556D" w:rsidRPr="000F6CD1" w:rsidRDefault="004D556D" w:rsidP="00387BB2">
      <w:pPr>
        <w:pStyle w:val="ListParagraph"/>
        <w:numPr>
          <w:ilvl w:val="0"/>
          <w:numId w:val="60"/>
        </w:numPr>
        <w:spacing w:before="240" w:after="240" w:line="240" w:lineRule="auto"/>
        <w:ind w:left="851"/>
        <w:contextualSpacing w:val="0"/>
        <w:rPr>
          <w:szCs w:val="22"/>
          <w:lang w:eastAsia="ko-KR"/>
        </w:rPr>
      </w:pPr>
      <w:r w:rsidRPr="000F6CD1">
        <w:rPr>
          <w:szCs w:val="22"/>
          <w:lang w:eastAsia="ko-KR"/>
        </w:rPr>
        <w:t xml:space="preserve">Add additional documentation in the ‘Notes’ to </w:t>
      </w:r>
      <w:r w:rsidRPr="000F6CD1">
        <w:rPr>
          <w:rFonts w:hint="eastAsia"/>
          <w:szCs w:val="22"/>
          <w:lang w:eastAsia="ko-KR"/>
        </w:rPr>
        <w:t xml:space="preserve">ensure all pertinent </w:t>
      </w:r>
      <w:r w:rsidRPr="000F6CD1">
        <w:rPr>
          <w:szCs w:val="22"/>
          <w:lang w:eastAsia="ko-KR"/>
        </w:rPr>
        <w:t>information is available to service providers.</w:t>
      </w:r>
    </w:p>
    <w:p w14:paraId="5EA31612" w14:textId="77777777" w:rsidR="004D556D" w:rsidRPr="000F6CD1" w:rsidRDefault="004D556D" w:rsidP="00387BB2">
      <w:pPr>
        <w:pStyle w:val="NormalText"/>
        <w:numPr>
          <w:ilvl w:val="0"/>
          <w:numId w:val="60"/>
        </w:numPr>
        <w:spacing w:before="240" w:after="240" w:line="240" w:lineRule="auto"/>
        <w:ind w:left="851"/>
        <w:rPr>
          <w:rFonts w:eastAsiaTheme="majorEastAsia"/>
          <w:szCs w:val="22"/>
        </w:rPr>
      </w:pPr>
      <w:r w:rsidRPr="000F6CD1">
        <w:rPr>
          <w:rFonts w:eastAsiaTheme="majorEastAsia"/>
          <w:szCs w:val="22"/>
        </w:rPr>
        <w:t>Consider all referral options (through portal by broadcast, preference, direct referral, or issue referral code) and the service priority (excluding support at home).</w:t>
      </w:r>
    </w:p>
    <w:p w14:paraId="3192A162" w14:textId="77777777" w:rsidR="004D556D" w:rsidRPr="000F6CD1" w:rsidRDefault="004D556D" w:rsidP="00387BB2">
      <w:pPr>
        <w:pStyle w:val="ListParagraph"/>
        <w:numPr>
          <w:ilvl w:val="0"/>
          <w:numId w:val="60"/>
        </w:numPr>
        <w:spacing w:before="240" w:after="240" w:line="240" w:lineRule="auto"/>
        <w:ind w:left="851"/>
        <w:contextualSpacing w:val="0"/>
        <w:rPr>
          <w:szCs w:val="22"/>
          <w:lang w:eastAsia="ko-KR"/>
        </w:rPr>
      </w:pPr>
      <w:r w:rsidRPr="000F6CD1">
        <w:rPr>
          <w:szCs w:val="22"/>
          <w:lang w:eastAsia="ko-KR"/>
        </w:rPr>
        <w:t>Consider referrals/recommendations to services not listed in My Aged Care.</w:t>
      </w:r>
    </w:p>
    <w:p w14:paraId="6145F535" w14:textId="77777777" w:rsidR="004D556D" w:rsidRPr="000F6CD1" w:rsidRDefault="004D556D" w:rsidP="00387BB2">
      <w:pPr>
        <w:pStyle w:val="ListParagraph"/>
        <w:numPr>
          <w:ilvl w:val="0"/>
          <w:numId w:val="60"/>
        </w:numPr>
        <w:spacing w:before="240" w:after="240" w:line="240" w:lineRule="auto"/>
        <w:ind w:left="851"/>
        <w:contextualSpacing w:val="0"/>
        <w:rPr>
          <w:szCs w:val="22"/>
          <w:lang w:eastAsia="ko-KR"/>
        </w:rPr>
      </w:pPr>
      <w:r w:rsidRPr="000F6CD1">
        <w:rPr>
          <w:szCs w:val="22"/>
          <w:lang w:eastAsia="ko-KR"/>
        </w:rPr>
        <w:t xml:space="preserve">Where service availability is limited, work with the older person to explore alternative options of support to meet their areas of concern and goals. </w:t>
      </w:r>
    </w:p>
    <w:p w14:paraId="53DCCC77" w14:textId="77777777" w:rsidR="004D556D" w:rsidRPr="000F6CD1" w:rsidRDefault="004D556D" w:rsidP="00387BB2">
      <w:pPr>
        <w:pStyle w:val="ListParagraph"/>
        <w:numPr>
          <w:ilvl w:val="0"/>
          <w:numId w:val="60"/>
        </w:numPr>
        <w:spacing w:before="240" w:after="240" w:line="240" w:lineRule="auto"/>
        <w:ind w:left="851"/>
        <w:contextualSpacing w:val="0"/>
        <w:rPr>
          <w:szCs w:val="22"/>
          <w:lang w:eastAsia="ko-KR"/>
        </w:rPr>
      </w:pPr>
      <w:r w:rsidRPr="000F6CD1">
        <w:rPr>
          <w:szCs w:val="22"/>
          <w:lang w:eastAsia="ko-KR"/>
        </w:rPr>
        <w:t>Discuss and record carer information and advise older people and/or their carers of carer support options available including requesting a call back for carers from a local Carer Gateway service provider or the National Dementia Helpline.</w:t>
      </w:r>
    </w:p>
    <w:p w14:paraId="589CE5BE" w14:textId="77777777" w:rsidR="004D556D" w:rsidRPr="000F6CD1" w:rsidRDefault="004D556D" w:rsidP="00622CFF">
      <w:pPr>
        <w:spacing w:before="240" w:after="240" w:line="240" w:lineRule="auto"/>
        <w:rPr>
          <w:b/>
          <w:szCs w:val="22"/>
        </w:rPr>
      </w:pPr>
      <w:r w:rsidRPr="000F6CD1">
        <w:rPr>
          <w:szCs w:val="22"/>
        </w:rPr>
        <w:t>Assessors must ensure they are aware of appropriate care options within and outside Commonwealth funded aged care, such as local supports, health,</w:t>
      </w:r>
      <w:r w:rsidRPr="000F6CD1" w:rsidDel="00936F0D">
        <w:rPr>
          <w:szCs w:val="22"/>
        </w:rPr>
        <w:t xml:space="preserve"> </w:t>
      </w:r>
      <w:r w:rsidRPr="000F6CD1">
        <w:rPr>
          <w:szCs w:val="22"/>
        </w:rPr>
        <w:t>community services and private services. To offer a broad range of strategies to assist the older person to achieve their goal, the assessor builds and maintains effective working relationships with service providers and extends connections with services and organisations in their local community, including those not listed in</w:t>
      </w:r>
      <w:r w:rsidRPr="000F6CD1">
        <w:rPr>
          <w:b/>
          <w:szCs w:val="22"/>
        </w:rPr>
        <w:t xml:space="preserve"> </w:t>
      </w:r>
      <w:r w:rsidRPr="000F6CD1">
        <w:rPr>
          <w:szCs w:val="22"/>
        </w:rPr>
        <w:t>My Aged Care.</w:t>
      </w:r>
      <w:r w:rsidRPr="000F6CD1">
        <w:rPr>
          <w:b/>
          <w:szCs w:val="22"/>
        </w:rPr>
        <w:t xml:space="preserve"> </w:t>
      </w:r>
    </w:p>
    <w:p w14:paraId="1626952C" w14:textId="77777777" w:rsidR="004D556D" w:rsidRPr="000F6CD1" w:rsidRDefault="004D556D" w:rsidP="006647CE">
      <w:pPr>
        <w:pStyle w:val="h2"/>
      </w:pPr>
      <w:bookmarkStart w:id="882" w:name="_Toc209189038"/>
      <w:bookmarkStart w:id="883" w:name="_Toc233282494"/>
      <w:r w:rsidRPr="000F6CD1">
        <w:lastRenderedPageBreak/>
        <w:t>Corrections process</w:t>
      </w:r>
      <w:bookmarkEnd w:id="882"/>
      <w:bookmarkEnd w:id="883"/>
    </w:p>
    <w:p w14:paraId="61358915" w14:textId="77777777" w:rsidR="004D556D" w:rsidRPr="000F6CD1" w:rsidRDefault="004D556D" w:rsidP="00622CFF">
      <w:pPr>
        <w:spacing w:before="240" w:after="240" w:line="240" w:lineRule="auto"/>
      </w:pPr>
      <w:r w:rsidRPr="000F6CD1">
        <w:t>Assessment delegates are responsible for ensuring that all recorded decisions are accurate and complete. Diligent quality checks are essential to minimise the need for corrections and maintain accurate records. </w:t>
      </w:r>
    </w:p>
    <w:p w14:paraId="5DD8CB23" w14:textId="77777777" w:rsidR="004D556D" w:rsidRPr="000F6CD1" w:rsidRDefault="004D556D" w:rsidP="00622CFF">
      <w:pPr>
        <w:spacing w:before="240" w:after="240" w:line="240" w:lineRule="auto"/>
      </w:pPr>
      <w:r w:rsidRPr="000F6CD1">
        <w:t>Despite thorough quality checks, errors may occasionally occur. If an assessment delegate identifies an administrative or typographical error after submitting a decision, it is essential to initiate the correction process promptly. </w:t>
      </w:r>
    </w:p>
    <w:p w14:paraId="60F5D5C1" w14:textId="77777777" w:rsidR="004D556D" w:rsidRPr="000F6CD1" w:rsidRDefault="004D556D" w:rsidP="00622CFF">
      <w:pPr>
        <w:spacing w:before="240" w:after="240" w:line="240" w:lineRule="auto"/>
      </w:pPr>
      <w:r w:rsidRPr="000F6CD1">
        <w:t xml:space="preserve">When an error is identified, assessment delegates must submit a correction request within 42 days of the original decision. The correction request will be forwarded to the department for consideration. </w:t>
      </w:r>
    </w:p>
    <w:tbl>
      <w:tblPr>
        <w:tblW w:w="0" w:type="auto"/>
        <w:tblLook w:val="04A0" w:firstRow="1" w:lastRow="0" w:firstColumn="1" w:lastColumn="0" w:noHBand="0" w:noVBand="1"/>
      </w:tblPr>
      <w:tblGrid>
        <w:gridCol w:w="921"/>
        <w:gridCol w:w="8105"/>
      </w:tblGrid>
      <w:tr w:rsidR="004D556D" w:rsidRPr="000F6CD1" w14:paraId="722E85B5" w14:textId="77777777">
        <w:trPr>
          <w:trHeight w:val="677"/>
        </w:trPr>
        <w:tc>
          <w:tcPr>
            <w:tcW w:w="921" w:type="dxa"/>
          </w:tcPr>
          <w:p w14:paraId="5216375C" w14:textId="77777777" w:rsidR="004D556D" w:rsidRPr="000F6CD1" w:rsidRDefault="004D556D" w:rsidP="00622CFF">
            <w:pPr>
              <w:spacing w:before="240" w:after="240" w:line="240" w:lineRule="auto"/>
            </w:pPr>
            <w:r w:rsidRPr="000F6CD1">
              <w:rPr>
                <w:noProof/>
              </w:rPr>
              <w:drawing>
                <wp:inline distT="0" distB="0" distL="0" distR="0" wp14:anchorId="0564592A" wp14:editId="4A33BFE3">
                  <wp:extent cx="447675" cy="445208"/>
                  <wp:effectExtent l="0" t="0" r="0" b="0"/>
                  <wp:docPr id="1987728323" name="Picture 198772832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28323" name="Picture 1987728323"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956B3FE" w14:textId="342F71D4" w:rsidR="004D556D" w:rsidRPr="000F6CD1" w:rsidRDefault="004D556D" w:rsidP="00622CFF">
            <w:pPr>
              <w:spacing w:before="240" w:after="240" w:line="240" w:lineRule="auto"/>
            </w:pPr>
            <w:r w:rsidRPr="000F6CD1">
              <w:t xml:space="preserve">See </w:t>
            </w:r>
            <w:r w:rsidR="000A18B3">
              <w:fldChar w:fldCharType="begin"/>
            </w:r>
            <w:r w:rsidR="000A18B3">
              <w:instrText xml:space="preserve"> REF _Ref232691518 \h </w:instrText>
            </w:r>
            <w:r w:rsidR="000A18B3">
              <w:fldChar w:fldCharType="separate"/>
            </w:r>
            <w:r w:rsidR="004B171E" w:rsidRPr="000F6CD1">
              <w:t>Chapter 11: Reviewable decisions, revoking eligibility or approval decisions and complaints</w:t>
            </w:r>
            <w:r w:rsidR="000A18B3">
              <w:fldChar w:fldCharType="end"/>
            </w:r>
            <w:r w:rsidR="000A18B3">
              <w:t xml:space="preserve"> </w:t>
            </w:r>
            <w:r w:rsidRPr="000F6CD1">
              <w:t>for more information about the corrections process</w:t>
            </w:r>
          </w:p>
          <w:p w14:paraId="4E43DC82" w14:textId="77777777" w:rsidR="004D556D" w:rsidRPr="000F6CD1" w:rsidRDefault="004D556D" w:rsidP="00622CFF">
            <w:pPr>
              <w:spacing w:before="240" w:after="240" w:line="240" w:lineRule="auto"/>
            </w:pPr>
          </w:p>
          <w:p w14:paraId="1C6F3AC6" w14:textId="77777777" w:rsidR="004D556D" w:rsidRPr="000F6CD1" w:rsidRDefault="004D556D" w:rsidP="00622CFF">
            <w:pPr>
              <w:spacing w:before="240" w:after="240" w:line="240" w:lineRule="auto"/>
            </w:pPr>
          </w:p>
        </w:tc>
      </w:tr>
    </w:tbl>
    <w:p w14:paraId="7DCC7167" w14:textId="77777777" w:rsidR="004D556D" w:rsidRPr="000F6CD1" w:rsidRDefault="004D556D" w:rsidP="00441037"/>
    <w:p w14:paraId="272777FA" w14:textId="77777777" w:rsidR="004D556D" w:rsidRPr="000F6CD1" w:rsidRDefault="004D556D">
      <w:pPr>
        <w:rPr>
          <w:b/>
          <w:color w:val="002060"/>
          <w:sz w:val="44"/>
          <w:szCs w:val="36"/>
        </w:rPr>
      </w:pPr>
      <w:r w:rsidRPr="000F6CD1">
        <w:br w:type="page"/>
      </w:r>
    </w:p>
    <w:p w14:paraId="30327987" w14:textId="77777777" w:rsidR="004D556D" w:rsidRPr="000F6CD1" w:rsidRDefault="004D556D" w:rsidP="00AC3600">
      <w:pPr>
        <w:pStyle w:val="H1"/>
      </w:pPr>
      <w:bookmarkStart w:id="884" w:name="_Toc198813697"/>
      <w:bookmarkStart w:id="885" w:name="_Toc204329594"/>
      <w:bookmarkStart w:id="886" w:name="_Toc209189039"/>
      <w:bookmarkStart w:id="887" w:name="_Ref212735115"/>
      <w:bookmarkStart w:id="888" w:name="_Ref212735357"/>
      <w:bookmarkStart w:id="889" w:name="_Ref212735908"/>
      <w:bookmarkStart w:id="890" w:name="_Ref232591041"/>
      <w:bookmarkStart w:id="891" w:name="_Ref232597794"/>
      <w:bookmarkStart w:id="892" w:name="_Toc233282495"/>
      <w:bookmarkStart w:id="893" w:name="Ch8_SPRandNewAssessment"/>
      <w:r w:rsidRPr="000F6CD1">
        <w:lastRenderedPageBreak/>
        <w:t>Chapter 10: Support plan reviews and reassessments</w:t>
      </w:r>
      <w:bookmarkEnd w:id="884"/>
      <w:bookmarkEnd w:id="885"/>
      <w:bookmarkEnd w:id="886"/>
      <w:bookmarkEnd w:id="887"/>
      <w:bookmarkEnd w:id="888"/>
      <w:bookmarkEnd w:id="889"/>
      <w:bookmarkEnd w:id="890"/>
      <w:bookmarkEnd w:id="891"/>
      <w:bookmarkEnd w:id="892"/>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4D556D" w:rsidRPr="000F6CD1" w14:paraId="2E6D2CD5" w14:textId="77777777" w:rsidTr="00A67725">
        <w:trPr>
          <w:trHeight w:val="1650"/>
        </w:trPr>
        <w:tc>
          <w:tcPr>
            <w:tcW w:w="9016" w:type="dxa"/>
            <w:shd w:val="clear" w:color="auto" w:fill="F2F2F2" w:themeFill="background1" w:themeFillShade="F2"/>
          </w:tcPr>
          <w:p w14:paraId="1B6D035E" w14:textId="77777777" w:rsidR="004D556D" w:rsidRPr="000F6CD1" w:rsidRDefault="004D556D" w:rsidP="009C529D">
            <w:bookmarkStart w:id="894" w:name="_Toc198813698"/>
            <w:bookmarkStart w:id="895" w:name="_Toc204329595"/>
            <w:bookmarkStart w:id="896" w:name="_Toc209189040"/>
            <w:bookmarkEnd w:id="893"/>
            <w:r w:rsidRPr="000F6CD1">
              <w:rPr>
                <w:b/>
                <w:color w:val="358189"/>
                <w:sz w:val="36"/>
                <w:szCs w:val="36"/>
              </w:rPr>
              <w:t>What you’ll find in this chapter:</w:t>
            </w:r>
            <w:bookmarkEnd w:id="894"/>
            <w:bookmarkEnd w:id="895"/>
            <w:bookmarkEnd w:id="896"/>
          </w:p>
          <w:p w14:paraId="4026E006" w14:textId="77777777" w:rsidR="004D556D" w:rsidRPr="000F6CD1" w:rsidRDefault="004D556D" w:rsidP="00622CFF">
            <w:pPr>
              <w:spacing w:before="240" w:after="240"/>
            </w:pPr>
            <w:r w:rsidRPr="000F6CD1">
              <w:t xml:space="preserve">This chapter provides guidance around the circumstances for conducting a support plan review (SPR) or a reassessment for each aged care program. </w:t>
            </w:r>
          </w:p>
        </w:tc>
      </w:tr>
    </w:tbl>
    <w:p w14:paraId="2D5DBB60" w14:textId="77777777" w:rsidR="004D556D" w:rsidRPr="000F6CD1" w:rsidRDefault="004D556D" w:rsidP="006647CE">
      <w:pPr>
        <w:pStyle w:val="h2"/>
      </w:pPr>
      <w:bookmarkStart w:id="897" w:name="_Toc198813699"/>
      <w:bookmarkStart w:id="898" w:name="_Toc204329596"/>
      <w:bookmarkStart w:id="899" w:name="_Toc209189041"/>
      <w:bookmarkStart w:id="900" w:name="_Toc233282496"/>
      <w:r w:rsidRPr="000F6CD1">
        <w:t xml:space="preserve">Reassessments under the </w:t>
      </w:r>
      <w:r w:rsidRPr="000F6CD1">
        <w:rPr>
          <w:i/>
        </w:rPr>
        <w:t>Aged Care Act</w:t>
      </w:r>
      <w:bookmarkEnd w:id="897"/>
      <w:bookmarkEnd w:id="898"/>
      <w:r w:rsidRPr="000F6CD1">
        <w:rPr>
          <w:i/>
        </w:rPr>
        <w:t xml:space="preserve"> 2024</w:t>
      </w:r>
      <w:bookmarkEnd w:id="899"/>
      <w:bookmarkEnd w:id="900"/>
    </w:p>
    <w:p w14:paraId="7FEA1D19" w14:textId="77777777" w:rsidR="004D556D" w:rsidRPr="000F6CD1" w:rsidRDefault="004D556D" w:rsidP="00622CFF">
      <w:pPr>
        <w:spacing w:before="240" w:after="240" w:line="240" w:lineRule="auto"/>
      </w:pPr>
      <w:r w:rsidRPr="000F6CD1">
        <w:t xml:space="preserve">Section 64 of the </w:t>
      </w:r>
      <w:r w:rsidRPr="000F6CD1">
        <w:rPr>
          <w:i/>
        </w:rPr>
        <w:t>Aged Care Act 2024 (the Act)</w:t>
      </w:r>
      <w:r w:rsidRPr="000F6CD1">
        <w:t xml:space="preserve"> provides for aged care needs reassessments. A reassessment may be required when an individual's circumstances have changed. </w:t>
      </w:r>
    </w:p>
    <w:p w14:paraId="536B565F" w14:textId="77777777" w:rsidR="004D556D" w:rsidRPr="000F6CD1" w:rsidRDefault="004D556D" w:rsidP="00622CFF">
      <w:pPr>
        <w:spacing w:before="240" w:after="240" w:line="240" w:lineRule="auto"/>
      </w:pPr>
      <w:r w:rsidRPr="000F6CD1">
        <w:t xml:space="preserve">In the </w:t>
      </w:r>
      <w:r w:rsidRPr="000F6CD1">
        <w:rPr>
          <w:iCs/>
        </w:rPr>
        <w:t>Act</w:t>
      </w:r>
      <w:r w:rsidRPr="000F6CD1">
        <w:t xml:space="preserve"> the term ‘reassessment’ is used as an umbrella term to describe both SPRs and reassessments. An individual may request a reassessment if they believe their aged care needs have changed, or it may be identified through a scheduled SPR. </w:t>
      </w:r>
    </w:p>
    <w:p w14:paraId="57DD51F4" w14:textId="77777777" w:rsidR="004D556D" w:rsidRPr="00373AFD" w:rsidRDefault="004D556D" w:rsidP="00806A21">
      <w:pPr>
        <w:pStyle w:val="Sub-headings"/>
      </w:pPr>
      <w:r w:rsidRPr="000F6CD1">
        <w:t>Note:</w:t>
      </w:r>
    </w:p>
    <w:p w14:paraId="609DD681" w14:textId="3BCF9C37" w:rsidR="004D556D" w:rsidRPr="000F6CD1" w:rsidRDefault="004D556D" w:rsidP="00806A21">
      <w:pPr>
        <w:pStyle w:val="Sub-headings"/>
      </w:pPr>
      <w:r w:rsidRPr="000F6CD1">
        <w:t xml:space="preserve">In this manual, the term ‘reassessment’ is used to describe an assessment that occurs after an older person has already been assessed at least once. </w:t>
      </w:r>
    </w:p>
    <w:p w14:paraId="223AFD0A" w14:textId="77777777" w:rsidR="004D556D" w:rsidRPr="000F6CD1" w:rsidRDefault="004D556D" w:rsidP="00EE2146">
      <w:pPr>
        <w:spacing w:before="240" w:after="240" w:line="240" w:lineRule="auto"/>
      </w:pPr>
      <w:r w:rsidRPr="000F6CD1">
        <w:t xml:space="preserve">SPRs are used as a mechanism to adjust an older person’s aged care services without needing to undertake a reassessment. In some cases, the Assessment Delegate may approve access to services based on updated information through the SPR process. </w:t>
      </w:r>
    </w:p>
    <w:p w14:paraId="4C0A2ADE" w14:textId="77777777" w:rsidR="004D556D" w:rsidRPr="000F6CD1" w:rsidRDefault="004D556D" w:rsidP="00622CFF">
      <w:pPr>
        <w:spacing w:before="240" w:after="240" w:line="240" w:lineRule="auto"/>
      </w:pPr>
      <w:r w:rsidRPr="000F6CD1">
        <w:t xml:space="preserve">A reassessment will be required when there are </w:t>
      </w:r>
      <w:r w:rsidRPr="000F6CD1">
        <w:rPr>
          <w:i/>
          <w:iCs/>
        </w:rPr>
        <w:t>significant</w:t>
      </w:r>
      <w:r w:rsidRPr="000F6CD1">
        <w:t xml:space="preserve"> changes to a client’s needs or circumstances.</w:t>
      </w:r>
    </w:p>
    <w:p w14:paraId="3D1B765E" w14:textId="77777777" w:rsidR="004D556D" w:rsidRPr="000F6CD1" w:rsidRDefault="004D556D" w:rsidP="00622CFF">
      <w:pPr>
        <w:spacing w:before="240" w:after="240" w:line="240" w:lineRule="auto"/>
      </w:pPr>
      <w:r w:rsidRPr="000F6CD1">
        <w:t xml:space="preserve">Significant changes in care needs and circumstances require higher-level of care or different types of care (and/or changes to priority). </w:t>
      </w:r>
    </w:p>
    <w:p w14:paraId="6198C751" w14:textId="77777777" w:rsidR="004D556D" w:rsidRPr="000F6CD1" w:rsidRDefault="004D556D" w:rsidP="00622CFF">
      <w:pPr>
        <w:spacing w:before="240" w:after="240" w:line="240" w:lineRule="auto"/>
      </w:pPr>
      <w:r w:rsidRPr="000F6CD1">
        <w:t>For example, an older person approved for ongoing Support at Home at the Classification 4 level who requires a higher classification level of package (e.g. Level 5) due to increased care needs or a change in priority for home care service must first undertake a reassessment by an assessor and approved by an Assessment Delegate.</w:t>
      </w:r>
    </w:p>
    <w:p w14:paraId="4F6CEBB0" w14:textId="77777777" w:rsidR="006F1EEF" w:rsidRDefault="006F1EEF">
      <w:r>
        <w:br w:type="page"/>
      </w:r>
    </w:p>
    <w:p w14:paraId="3D236018" w14:textId="77777777" w:rsidR="004D556D" w:rsidRPr="000F6CD1" w:rsidRDefault="004D556D" w:rsidP="00622CFF">
      <w:pPr>
        <w:spacing w:before="240" w:after="240" w:line="240" w:lineRule="auto"/>
      </w:pPr>
      <w:r w:rsidRPr="000F6CD1">
        <w:lastRenderedPageBreak/>
        <w:t xml:space="preserve">Significant change is referenced in section 64 of the </w:t>
      </w:r>
      <w:r w:rsidRPr="000F6CD1">
        <w:rPr>
          <w:i/>
          <w:iCs/>
        </w:rPr>
        <w:t>Aged Care Act 2024</w:t>
      </w:r>
      <w:r w:rsidRPr="000F6CD1">
        <w:t xml:space="preserve"> and defined in the </w:t>
      </w:r>
      <w:r w:rsidRPr="000F6CD1">
        <w:rPr>
          <w:i/>
          <w:iCs/>
        </w:rPr>
        <w:t>Aged Care Rules 2025</w:t>
      </w:r>
      <w:r w:rsidRPr="000F6CD1">
        <w:t>:</w:t>
      </w:r>
    </w:p>
    <w:p w14:paraId="112A4141" w14:textId="77777777" w:rsidR="004D556D" w:rsidRPr="000F6CD1" w:rsidRDefault="004D556D" w:rsidP="00DF3F6B">
      <w:pPr>
        <w:pStyle w:val="ListParagraph"/>
        <w:numPr>
          <w:ilvl w:val="0"/>
          <w:numId w:val="56"/>
        </w:numPr>
        <w:spacing w:before="240" w:after="240" w:line="240" w:lineRule="auto"/>
      </w:pPr>
      <w:r w:rsidRPr="000F6CD1">
        <w:t xml:space="preserve">a carer for the individual has permanently ceased to provide some or all care to the individual; </w:t>
      </w:r>
    </w:p>
    <w:p w14:paraId="1D16077F" w14:textId="77777777" w:rsidR="004D556D" w:rsidRPr="000F6CD1" w:rsidRDefault="004D556D" w:rsidP="00DF3F6B">
      <w:pPr>
        <w:pStyle w:val="ListParagraph"/>
        <w:numPr>
          <w:ilvl w:val="0"/>
          <w:numId w:val="56"/>
        </w:numPr>
        <w:spacing w:before="240" w:after="240" w:line="240" w:lineRule="auto"/>
      </w:pPr>
      <w:r w:rsidRPr="000F6CD1">
        <w:t>the individual has experienced an event, or a decline in their condition, that is likely to mean that they will require:</w:t>
      </w:r>
    </w:p>
    <w:p w14:paraId="712A6568" w14:textId="77777777" w:rsidR="004D556D" w:rsidRPr="000F6CD1" w:rsidRDefault="004D556D" w:rsidP="00DF3F6B">
      <w:pPr>
        <w:pStyle w:val="ListParagraph"/>
        <w:numPr>
          <w:ilvl w:val="1"/>
          <w:numId w:val="56"/>
        </w:numPr>
        <w:spacing w:before="240" w:after="240" w:line="240" w:lineRule="auto"/>
      </w:pPr>
      <w:r w:rsidRPr="000F6CD1">
        <w:t>more frequent access to a service they are already receiving, or</w:t>
      </w:r>
    </w:p>
    <w:p w14:paraId="0281318F" w14:textId="75E30149" w:rsidR="004D556D" w:rsidRPr="000F6CD1" w:rsidRDefault="004D556D" w:rsidP="00DF3F6B">
      <w:pPr>
        <w:pStyle w:val="ListParagraph"/>
        <w:numPr>
          <w:ilvl w:val="1"/>
          <w:numId w:val="56"/>
        </w:numPr>
        <w:spacing w:before="240" w:after="240" w:line="240" w:lineRule="auto"/>
      </w:pPr>
      <w:r w:rsidRPr="000F6CD1">
        <w:t>access to a service they have been approved for but are not currently receiving, or</w:t>
      </w:r>
    </w:p>
    <w:p w14:paraId="3156E848" w14:textId="3081C296" w:rsidR="004D556D" w:rsidRPr="000F6CD1" w:rsidRDefault="004D556D" w:rsidP="00DF3F6B">
      <w:pPr>
        <w:pStyle w:val="ListParagraph"/>
        <w:numPr>
          <w:ilvl w:val="1"/>
          <w:numId w:val="56"/>
        </w:numPr>
        <w:spacing w:before="240" w:after="240" w:line="240" w:lineRule="auto"/>
      </w:pPr>
      <w:r w:rsidRPr="000F6CD1">
        <w:t xml:space="preserve">access to new services not covered in the older person’s access approval. </w:t>
      </w:r>
    </w:p>
    <w:p w14:paraId="6E19E7E0" w14:textId="44C4D0D4" w:rsidR="004D556D" w:rsidRPr="000F6CD1" w:rsidRDefault="004D556D" w:rsidP="00622CFF">
      <w:pPr>
        <w:spacing w:before="240" w:after="240" w:line="240" w:lineRule="auto"/>
      </w:pPr>
      <w:r w:rsidRPr="000F6CD1">
        <w:t>A triage delegate will determine whether an individual is eligible for a reassessment.</w:t>
      </w:r>
      <w:r w:rsidR="00E3515F" w:rsidRPr="000F6CD1">
        <w:t xml:space="preserve"> </w:t>
      </w:r>
    </w:p>
    <w:p w14:paraId="72E1656C" w14:textId="17AEC50F" w:rsidR="004D556D" w:rsidRPr="000F6CD1" w:rsidRDefault="004D556D" w:rsidP="00622CFF">
      <w:pPr>
        <w:spacing w:before="240" w:after="240" w:line="240" w:lineRule="auto"/>
      </w:pPr>
      <w:r w:rsidRPr="000F6CD1">
        <w:t xml:space="preserve">All reassessment requests begin through the SPR workflow in the assessor portal. A reassessment will be requested if required. </w:t>
      </w:r>
    </w:p>
    <w:p w14:paraId="4BFCD38C" w14:textId="62B9B81E" w:rsidR="004D556D" w:rsidRPr="000F6CD1" w:rsidRDefault="004D556D" w:rsidP="00622CFF">
      <w:pPr>
        <w:spacing w:before="240" w:after="240" w:line="240" w:lineRule="auto"/>
      </w:pPr>
      <w:r w:rsidRPr="000F6CD1">
        <w:t>When a client undergoes a reassessment, the system will prompt assessors to review and update the client’s urgency category, even if care needs have not changed.</w:t>
      </w:r>
    </w:p>
    <w:p w14:paraId="3D4C90AE" w14:textId="16A9CB19" w:rsidR="004D556D" w:rsidRPr="000F6CD1" w:rsidRDefault="00E33A10" w:rsidP="00622CFF">
      <w:pPr>
        <w:spacing w:before="240" w:after="240" w:line="240" w:lineRule="auto"/>
      </w:pPr>
      <w:r>
        <w:rPr>
          <w:noProof/>
          <w14:ligatures w14:val="standardContextual"/>
        </w:rPr>
        <w:drawing>
          <wp:anchor distT="0" distB="0" distL="114300" distR="114300" simplePos="0" relativeHeight="251658311" behindDoc="0" locked="0" layoutInCell="1" allowOverlap="1" wp14:anchorId="06654A0F" wp14:editId="4457B106">
            <wp:simplePos x="0" y="0"/>
            <wp:positionH relativeFrom="margin">
              <wp:align>left</wp:align>
            </wp:positionH>
            <wp:positionV relativeFrom="margin">
              <wp:posOffset>3571875</wp:posOffset>
            </wp:positionV>
            <wp:extent cx="365792" cy="403895"/>
            <wp:effectExtent l="0" t="0" r="0" b="0"/>
            <wp:wrapSquare wrapText="bothSides"/>
            <wp:docPr id="737811529"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11529"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For more information, refer to the user guide on how to conduct SPRs within the My Aged Care portal.</w:t>
      </w:r>
    </w:p>
    <w:p w14:paraId="3D572F7D" w14:textId="77777777" w:rsidR="004D556D" w:rsidRPr="000F6CD1" w:rsidRDefault="004D556D" w:rsidP="00AD2CE5">
      <w:pPr>
        <w:pStyle w:val="H3"/>
      </w:pPr>
      <w:bookmarkStart w:id="901" w:name="_Toc198813700"/>
      <w:bookmarkStart w:id="902" w:name="_Toc204329597"/>
      <w:r w:rsidRPr="000F6CD1">
        <w:t>Support plan reviews (SPRs)</w:t>
      </w:r>
      <w:bookmarkEnd w:id="901"/>
      <w:bookmarkEnd w:id="902"/>
    </w:p>
    <w:p w14:paraId="54C5A4CD" w14:textId="544D41C7" w:rsidR="004D556D" w:rsidRPr="000F6CD1" w:rsidRDefault="004D556D" w:rsidP="00622CFF">
      <w:pPr>
        <w:spacing w:before="240" w:after="240" w:line="240" w:lineRule="auto"/>
      </w:pPr>
      <w:r w:rsidRPr="000F6CD1">
        <w:t>The introduction of Support at Home expand</w:t>
      </w:r>
      <w:r w:rsidR="00611BEF">
        <w:t>ed</w:t>
      </w:r>
      <w:r w:rsidRPr="000F6CD1">
        <w:t xml:space="preserve"> the circumstances in which an SPR can be undertaken.</w:t>
      </w:r>
    </w:p>
    <w:p w14:paraId="3D5036DF" w14:textId="77777777" w:rsidR="004D556D" w:rsidRPr="000F6CD1" w:rsidRDefault="004D556D" w:rsidP="00622CFF">
      <w:pPr>
        <w:spacing w:before="240" w:after="240" w:line="240" w:lineRule="auto"/>
      </w:pPr>
      <w:r w:rsidRPr="000F6CD1">
        <w:t>SPRs are most likely initiated by the older person’s provider (with the older person’s consent), who can submit a request through the My Aged Care service and support portal. When requesting SPRs, providers must attach supporting documentation about the participant’s current care arrangements, such as their quarterly budget and/or care plan.</w:t>
      </w:r>
    </w:p>
    <w:p w14:paraId="4955E027" w14:textId="77777777" w:rsidR="004D556D" w:rsidRPr="000F6CD1" w:rsidRDefault="004D556D" w:rsidP="00622CFF">
      <w:pPr>
        <w:spacing w:before="240" w:after="240" w:line="240" w:lineRule="auto"/>
      </w:pPr>
      <w:r w:rsidRPr="000F6CD1">
        <w:t xml:space="preserve">Alternatively, an older person or provider can ask for a SPR when: </w:t>
      </w:r>
    </w:p>
    <w:p w14:paraId="7E851B85" w14:textId="77777777" w:rsidR="004D556D" w:rsidRPr="000F6CD1" w:rsidRDefault="004D556D" w:rsidP="00DF3F6B">
      <w:pPr>
        <w:pStyle w:val="ListParagraph"/>
        <w:numPr>
          <w:ilvl w:val="0"/>
          <w:numId w:val="314"/>
        </w:numPr>
        <w:spacing w:before="240" w:after="240" w:line="240" w:lineRule="auto"/>
      </w:pPr>
      <w:r w:rsidRPr="000F6CD1">
        <w:t xml:space="preserve">the older person’s needs, goals or circumstances have changed, </w:t>
      </w:r>
    </w:p>
    <w:p w14:paraId="537DB7F9" w14:textId="77777777" w:rsidR="004D556D" w:rsidRPr="000F6CD1" w:rsidRDefault="004D556D" w:rsidP="00DF3F6B">
      <w:pPr>
        <w:pStyle w:val="ListParagraph"/>
        <w:numPr>
          <w:ilvl w:val="0"/>
          <w:numId w:val="314"/>
        </w:numPr>
        <w:spacing w:before="240" w:after="240" w:line="240" w:lineRule="auto"/>
      </w:pPr>
      <w:r w:rsidRPr="000F6CD1">
        <w:t xml:space="preserve">they need additional services that are not on their support plan, or </w:t>
      </w:r>
    </w:p>
    <w:p w14:paraId="1907B2A3" w14:textId="77777777" w:rsidR="004D556D" w:rsidRPr="000F6CD1" w:rsidRDefault="004D556D" w:rsidP="00DF3F6B">
      <w:pPr>
        <w:pStyle w:val="ListParagraph"/>
        <w:numPr>
          <w:ilvl w:val="0"/>
          <w:numId w:val="314"/>
        </w:numPr>
        <w:spacing w:before="240" w:after="240" w:line="240" w:lineRule="auto"/>
      </w:pPr>
      <w:r w:rsidRPr="000F6CD1">
        <w:t xml:space="preserve">a time limited service has ended. </w:t>
      </w:r>
    </w:p>
    <w:p w14:paraId="575CCF43" w14:textId="77777777" w:rsidR="004D556D" w:rsidRPr="000F6CD1" w:rsidRDefault="004D556D" w:rsidP="00622CFF">
      <w:pPr>
        <w:spacing w:before="240" w:after="240" w:line="240" w:lineRule="auto"/>
      </w:pPr>
      <w:r w:rsidRPr="000F6CD1">
        <w:t xml:space="preserve">An older person can request a SPR through My Aged Care, from a Services Australia Aged Care Specialist Officer or with assistance from a Care Finder or ECS worker. A SPR may lead to: </w:t>
      </w:r>
    </w:p>
    <w:p w14:paraId="1E881216" w14:textId="77777777" w:rsidR="004D556D" w:rsidRPr="000F6CD1" w:rsidRDefault="004D556D" w:rsidP="00DF3F6B">
      <w:pPr>
        <w:pStyle w:val="ListParagraph"/>
        <w:numPr>
          <w:ilvl w:val="0"/>
          <w:numId w:val="315"/>
        </w:numPr>
        <w:spacing w:before="240" w:after="240" w:line="240" w:lineRule="auto"/>
      </w:pPr>
      <w:r w:rsidRPr="000F6CD1">
        <w:t xml:space="preserve">no changes to the support plan as it meets the person’s needs </w:t>
      </w:r>
    </w:p>
    <w:p w14:paraId="652A9A2D" w14:textId="77777777" w:rsidR="004D556D" w:rsidRPr="000F6CD1" w:rsidRDefault="004D556D" w:rsidP="00DF3F6B">
      <w:pPr>
        <w:pStyle w:val="ListParagraph"/>
        <w:numPr>
          <w:ilvl w:val="0"/>
          <w:numId w:val="315"/>
        </w:numPr>
        <w:spacing w:before="240" w:after="240" w:line="240" w:lineRule="auto"/>
      </w:pPr>
      <w:r w:rsidRPr="000F6CD1">
        <w:t>updates to the support plan to address changed needs; or</w:t>
      </w:r>
    </w:p>
    <w:p w14:paraId="2E69956D" w14:textId="77777777" w:rsidR="004D556D" w:rsidRPr="000F6CD1" w:rsidRDefault="004D556D" w:rsidP="00DF3F6B">
      <w:pPr>
        <w:pStyle w:val="ListParagraph"/>
        <w:numPr>
          <w:ilvl w:val="0"/>
          <w:numId w:val="315"/>
        </w:numPr>
        <w:spacing w:before="240" w:after="240" w:line="240" w:lineRule="auto"/>
      </w:pPr>
      <w:r w:rsidRPr="000F6CD1">
        <w:t xml:space="preserve">a reassessment due to significant changes. </w:t>
      </w:r>
    </w:p>
    <w:p w14:paraId="239651B6" w14:textId="77777777" w:rsidR="004D556D" w:rsidRPr="000F6CD1" w:rsidRDefault="004D556D" w:rsidP="00622CFF">
      <w:pPr>
        <w:pStyle w:val="NormalWeb"/>
        <w:shd w:val="clear" w:color="auto" w:fill="FFFFFF" w:themeFill="background1"/>
        <w:spacing w:before="240" w:beforeAutospacing="0" w:after="240" w:afterAutospacing="0"/>
        <w:rPr>
          <w:rFonts w:ascii="Arial" w:hAnsi="Arial" w:cs="Arial"/>
        </w:rPr>
      </w:pPr>
      <w:r w:rsidRPr="000F6CD1">
        <w:rPr>
          <w:rFonts w:ascii="Arial" w:hAnsi="Arial" w:cs="Arial"/>
        </w:rPr>
        <w:t>Where someone has made a request on behalf of the individual receiving the aged care service, it is important that the assessor confirms that the individual has consented to this occurring when beginning the SPR.</w:t>
      </w:r>
    </w:p>
    <w:p w14:paraId="1375F1C4" w14:textId="77777777" w:rsidR="00CD5247" w:rsidRDefault="004D556D">
      <w:pPr>
        <w:spacing w:before="240" w:after="240" w:line="240" w:lineRule="auto"/>
        <w:rPr>
          <w:color w:val="000000" w:themeColor="text1"/>
        </w:rPr>
      </w:pPr>
      <w:r w:rsidRPr="000F6CD1">
        <w:t xml:space="preserve">Team leaders are responsible for reviewing and prioritising SPRs, accepting </w:t>
      </w:r>
      <w:r w:rsidRPr="000F6CD1">
        <w:rPr>
          <w:color w:val="000000" w:themeColor="text1"/>
        </w:rPr>
        <w:t xml:space="preserve">an SPR and assigning it to an assessor. Urgent SPRs should be prioritised, particularly those for clients requiring access to the End-of-Life Pathway. </w:t>
      </w:r>
    </w:p>
    <w:p w14:paraId="58C98829" w14:textId="43CFBC41" w:rsidR="004D556D" w:rsidRPr="000F6CD1" w:rsidRDefault="004D556D">
      <w:pPr>
        <w:spacing w:before="240" w:after="240" w:line="240" w:lineRule="auto"/>
      </w:pPr>
      <w:r w:rsidRPr="000F6CD1">
        <w:rPr>
          <w:color w:val="000000" w:themeColor="text1"/>
        </w:rPr>
        <w:lastRenderedPageBreak/>
        <w:t>The assessor will review the information provided and determine whether the older person’s updated needs can be addressed through a SPR or if a reassessment is required.</w:t>
      </w:r>
      <w:r w:rsidRPr="000F6CD1">
        <w:rPr>
          <w:color w:val="000000" w:themeColor="text1"/>
        </w:rPr>
        <w:br/>
      </w:r>
    </w:p>
    <w:p w14:paraId="337F8177" w14:textId="19D84011" w:rsidR="00EF1392" w:rsidRDefault="003438D5" w:rsidP="00806A21">
      <w:pPr>
        <w:pStyle w:val="Sub-headings"/>
      </w:pPr>
      <w:r w:rsidRPr="003438D5">
        <w:t>Important:</w:t>
      </w:r>
      <w:r w:rsidRPr="000F6CD1">
        <w:t xml:space="preserve"> </w:t>
      </w:r>
      <w:r w:rsidRPr="000F6CD1">
        <w:rPr>
          <w:color w:val="000000" w:themeColor="text1"/>
        </w:rPr>
        <w:t xml:space="preserve">The </w:t>
      </w:r>
      <w:r w:rsidRPr="000F6CD1">
        <w:t xml:space="preserve">current system functionality does not allow team leaders to identify Support Plan Reviews for the End-of-Life Pathway through the same mechanisms (team leaders will be able to filter by urgency, but they will be unable to see the visual indicator or filter specifically for End-of-Life). Instead, upon receiving urgent requests for Support Plan Reviews, it is important that team leaders click the double arrow icon to expand the referral card, verify whether it relates to the End-of-Life Pathway and prioritise it accordingly. This must be done for all incoming referrals for Support Plan Reviews to ensure older people seeking access to the End-of-Life Pathway are prioritised. A temporary workaround is available via </w:t>
      </w:r>
      <w:r>
        <w:t>Qlik</w:t>
      </w:r>
      <w:r w:rsidRPr="000F6CD1">
        <w:t xml:space="preserve">, refer to the </w:t>
      </w:r>
      <w:r w:rsidRPr="00D96D4C">
        <w:rPr>
          <w:i/>
          <w:iCs/>
        </w:rPr>
        <w:t>Identification of End-of-Life clients Via Qlik – Guidance</w:t>
      </w:r>
      <w:r w:rsidRPr="000F6CD1">
        <w:t xml:space="preserve"> on the </w:t>
      </w:r>
      <w:hyperlink r:id="rId265" w:history="1">
        <w:r w:rsidRPr="00635EA3">
          <w:rPr>
            <w:i/>
            <w:iCs/>
          </w:rPr>
          <w:t>Assessment Hub</w:t>
        </w:r>
      </w:hyperlink>
      <w:r w:rsidRPr="000F6CD1">
        <w:t xml:space="preserve"> for more detailed guidance</w:t>
      </w:r>
      <w:r>
        <w:t>.</w:t>
      </w:r>
    </w:p>
    <w:p w14:paraId="1D811E1B" w14:textId="0F106DF4" w:rsidR="004D556D" w:rsidRPr="000F6CD1" w:rsidRDefault="004D556D" w:rsidP="00622CFF">
      <w:pPr>
        <w:pStyle w:val="NormalWeb"/>
        <w:shd w:val="clear" w:color="auto" w:fill="FFFFFF" w:themeFill="background1"/>
        <w:spacing w:before="240" w:beforeAutospacing="0" w:after="240" w:afterAutospacing="0"/>
        <w:rPr>
          <w:rFonts w:ascii="Arial" w:hAnsi="Arial" w:cs="Arial"/>
          <w:color w:val="000000"/>
        </w:rPr>
      </w:pPr>
      <w:r w:rsidRPr="000F6CD1">
        <w:rPr>
          <w:rFonts w:ascii="Arial" w:hAnsi="Arial" w:cs="Arial"/>
          <w:color w:val="000000" w:themeColor="text1"/>
        </w:rPr>
        <w:t>If the SPR is valid, any proposed changes to the Support Plan will require a decision by an Assessment Delegate. If a reassessment is required, the referral will proceed through the standard triage and assessment process, with new recommendations subject to delegate approval.</w:t>
      </w:r>
    </w:p>
    <w:p w14:paraId="7D6CA5CE" w14:textId="77777777" w:rsidR="004D556D" w:rsidRPr="000F6CD1" w:rsidRDefault="004D556D" w:rsidP="00622CFF">
      <w:pPr>
        <w:spacing w:before="240" w:after="240" w:line="240" w:lineRule="auto"/>
      </w:pPr>
      <w:r w:rsidRPr="000F6CD1">
        <w:t xml:space="preserve">A key change which aims to reduce the need for SPRs is the flexibility of service recommendations in the IAT for any Support at Home classification. When an assessor accepts the Support at Home recommendation for a client, all services in the list will be pre-selected, with the exception of </w:t>
      </w:r>
      <w:r w:rsidRPr="000F6CD1">
        <w:rPr>
          <w:i/>
        </w:rPr>
        <w:t>Allied Health and Therapy</w:t>
      </w:r>
      <w:r w:rsidRPr="000F6CD1">
        <w:t xml:space="preserve"> and </w:t>
      </w:r>
      <w:r w:rsidRPr="000F6CD1">
        <w:rPr>
          <w:i/>
        </w:rPr>
        <w:t xml:space="preserve">Therapeutic Services for Independent Living </w:t>
      </w:r>
      <w:r w:rsidRPr="000F6CD1">
        <w:t xml:space="preserve">service types. This is due to the specific nature of these services and should only be recommended if an older person has a need for those services. </w:t>
      </w:r>
    </w:p>
    <w:p w14:paraId="4C21D249" w14:textId="77777777" w:rsidR="004D556D" w:rsidRPr="000F6CD1" w:rsidRDefault="004D556D" w:rsidP="00AD2CE5">
      <w:pPr>
        <w:pStyle w:val="H3"/>
        <w:rPr>
          <w:color w:val="279989"/>
        </w:rPr>
      </w:pPr>
      <w:r w:rsidRPr="000F6CD1">
        <w:t xml:space="preserve">Key principles of a support plan review </w:t>
      </w:r>
    </w:p>
    <w:p w14:paraId="488D1D80" w14:textId="77777777" w:rsidR="004D556D" w:rsidRPr="000F6CD1" w:rsidRDefault="004D556D" w:rsidP="00622CFF">
      <w:pPr>
        <w:spacing w:before="240" w:after="240" w:line="240" w:lineRule="auto"/>
      </w:pPr>
      <w:r w:rsidRPr="000F6CD1">
        <w:t>An assessor may set a review date on the support plan at the time of the assessment or initiate the review on an ad-hoc basis. Unplanned/ad hoc reviews may be requested by the service provider or through the contact centre or ACSOs.</w:t>
      </w:r>
    </w:p>
    <w:p w14:paraId="68B18F50"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The SPR may be completed over the phone with the older person, their appointed decision maker, or in line with the older person’s known will and preferences, their registered supporter.</w:t>
      </w:r>
    </w:p>
    <w:p w14:paraId="7ED3EBC4"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 xml:space="preserve">Assessors are best placed to make the decision as to whether an older person requires a reassessment following a review. This decision is supported by the information provided by the older person, the contact centre, service providers and health professionals. </w:t>
      </w:r>
    </w:p>
    <w:p w14:paraId="2308BA23"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 xml:space="preserve">All SPRs are required to go through a delegate for approval. </w:t>
      </w:r>
    </w:p>
    <w:p w14:paraId="20D994FA" w14:textId="77777777" w:rsidR="004D556D" w:rsidRPr="000F6CD1" w:rsidDel="00465E2B" w:rsidRDefault="004D556D" w:rsidP="00DF3F6B">
      <w:pPr>
        <w:pStyle w:val="ListParagraph"/>
        <w:numPr>
          <w:ilvl w:val="0"/>
          <w:numId w:val="345"/>
        </w:numPr>
        <w:spacing w:before="240" w:after="240" w:line="240" w:lineRule="auto"/>
        <w:rPr>
          <w:lang w:eastAsia="ko-KR"/>
        </w:rPr>
      </w:pPr>
      <w:r w:rsidRPr="000F6CD1">
        <w:rPr>
          <w:lang w:eastAsia="ko-KR"/>
        </w:rPr>
        <w:t>The My Aged Care contact centre has the ability to issue a direct referral to the assessment organisation for an urgent comprehensive assessment for residential care, residential respite care or transition care.</w:t>
      </w:r>
    </w:p>
    <w:p w14:paraId="56350081" w14:textId="77777777" w:rsidR="004D556D" w:rsidRPr="000F6CD1" w:rsidDel="00465E2B" w:rsidRDefault="004D556D" w:rsidP="00DF3F6B">
      <w:pPr>
        <w:pStyle w:val="ListParagraph"/>
        <w:numPr>
          <w:ilvl w:val="0"/>
          <w:numId w:val="345"/>
        </w:numPr>
        <w:spacing w:before="240" w:after="240" w:line="240" w:lineRule="auto"/>
        <w:rPr>
          <w:lang w:eastAsia="ko-KR"/>
        </w:rPr>
      </w:pPr>
      <w:r w:rsidRPr="000F6CD1">
        <w:rPr>
          <w:lang w:eastAsia="ko-KR"/>
        </w:rPr>
        <w:t>If appropriate to the older person’s aged care needs, a non-clinical assessor can create an assessment referral after starting the SPR.</w:t>
      </w:r>
    </w:p>
    <w:p w14:paraId="4A612BDB"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If an older person is admitted to hospital, it is best practice for an SPR to be conducted once the older person is discharged from hospital and there is a clear picture of the care needs and type and level of support that will be required.</w:t>
      </w:r>
    </w:p>
    <w:p w14:paraId="0CDC45FB" w14:textId="77777777" w:rsidR="004D556D" w:rsidRPr="000F6CD1" w:rsidDel="00465E2B" w:rsidRDefault="004D556D" w:rsidP="00DF3F6B">
      <w:pPr>
        <w:pStyle w:val="ListParagraph"/>
        <w:numPr>
          <w:ilvl w:val="0"/>
          <w:numId w:val="345"/>
        </w:numPr>
        <w:spacing w:before="240" w:after="240" w:line="240" w:lineRule="auto"/>
        <w:rPr>
          <w:lang w:eastAsia="ko-KR"/>
        </w:rPr>
      </w:pPr>
      <w:r w:rsidRPr="000F6CD1">
        <w:rPr>
          <w:lang w:eastAsia="ko-KR"/>
        </w:rPr>
        <w:t xml:space="preserve">If an urgent referral is required before discharge, the SPR can be conducted in the hospital setting. This may mean that the referral needs to be transferred to an assessment organisation that is contracted to conduct assessments in a hospital </w:t>
      </w:r>
      <w:r w:rsidRPr="000F6CD1">
        <w:rPr>
          <w:lang w:eastAsia="ko-KR"/>
        </w:rPr>
        <w:lastRenderedPageBreak/>
        <w:t xml:space="preserve">setting (limited to State and Territory Governments). Alternatively, the assessor may contact the state or territory assessment organisation to self-refer directly. </w:t>
      </w:r>
    </w:p>
    <w:p w14:paraId="7975645B"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 xml:space="preserve">Where there is a significant change in an older person’s needs or circumstances which affect the objectives or scope of the existing Support Plan, a reassessment may be undertaken. </w:t>
      </w:r>
    </w:p>
    <w:p w14:paraId="2797DD6A" w14:textId="77777777" w:rsidR="004D556D" w:rsidRPr="000F6CD1" w:rsidDel="00465E2B" w:rsidRDefault="004D556D" w:rsidP="00DF3F6B">
      <w:pPr>
        <w:pStyle w:val="ListParagraph"/>
        <w:numPr>
          <w:ilvl w:val="0"/>
          <w:numId w:val="345"/>
        </w:numPr>
        <w:spacing w:before="240" w:after="240" w:line="240" w:lineRule="auto"/>
        <w:rPr>
          <w:lang w:eastAsia="ko-KR"/>
        </w:rPr>
      </w:pPr>
      <w:r w:rsidRPr="000F6CD1">
        <w:rPr>
          <w:lang w:eastAsia="ko-KR"/>
        </w:rPr>
        <w:t>If the assessor has enough clear evidence to determine that a reassessment is required (due to a significant change in older person’s circumstances), they can bypass the SPR process and refer direct to a new assessment by clicking the ‘recommend new assessment’ button in the ‘before you start the Support Plan Review’ window.</w:t>
      </w:r>
    </w:p>
    <w:p w14:paraId="0815E3C8" w14:textId="77777777" w:rsidR="004D556D" w:rsidRPr="000F6CD1" w:rsidDel="00465E2B" w:rsidRDefault="004D556D" w:rsidP="00622CFF">
      <w:pPr>
        <w:spacing w:before="240" w:after="240" w:line="240" w:lineRule="auto"/>
        <w:rPr>
          <w:lang w:eastAsia="ko-KR"/>
        </w:rPr>
      </w:pPr>
      <w:r w:rsidRPr="000F6CD1">
        <w:rPr>
          <w:lang w:eastAsia="ko-KR"/>
        </w:rPr>
        <w:t>If not already scheduled earlier, a SPR may be routinely scheduled 12 months from the last assessment for older people with ongoing CHSP services in place. A reassessment is only required for significant changes in care needs or circumstances since the last assessment. The service provider is responsible for reviewing client services at least every 12 months.</w:t>
      </w:r>
    </w:p>
    <w:p w14:paraId="4AD032F1"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When conducting an assessment, assessors should be considering the current needs of the older person and not recommending services that aren’t supported by the assessment.</w:t>
      </w:r>
    </w:p>
    <w:p w14:paraId="303F25BD"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An unplanned SPR will replace the scheduled review in the system, and if necessary, can be re-scheduled at the completion of the unplanned review.</w:t>
      </w:r>
    </w:p>
    <w:p w14:paraId="01978381"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An older person can have multiple reviews of their Support Plan linked to the same assessment.</w:t>
      </w:r>
    </w:p>
    <w:p w14:paraId="2C9C960D"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 xml:space="preserve">If new WHS information is recorded on the Support Plan following a SPR for an existing older person, the assessor should advise the provider of the new information so the provider can make the appropriate risk-based determination of how best to support the older person’s service delivery. </w:t>
      </w:r>
    </w:p>
    <w:p w14:paraId="0E352E51" w14:textId="77777777" w:rsidR="004D556D" w:rsidRPr="000F6CD1" w:rsidRDefault="004D556D" w:rsidP="00622CFF">
      <w:pPr>
        <w:spacing w:before="240" w:after="240" w:line="240" w:lineRule="auto"/>
        <w:rPr>
          <w:lang w:eastAsia="ko-KR"/>
        </w:rPr>
      </w:pPr>
      <w:r w:rsidRPr="000F6CD1">
        <w:rPr>
          <w:lang w:eastAsia="ko-KR"/>
        </w:rPr>
        <w:t>Once a support plan review has been commenced, an assessor will be able to make changes to information in the following sections of the older person’s Support Plan:</w:t>
      </w:r>
    </w:p>
    <w:p w14:paraId="293EA43E"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Assessment summary</w:t>
      </w:r>
    </w:p>
    <w:p w14:paraId="632FB34E"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Older person motivations</w:t>
      </w:r>
    </w:p>
    <w:p w14:paraId="37FE9230"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 xml:space="preserve">Goals &amp; recommendations, including recommendations for linking support &amp; reablement. </w:t>
      </w:r>
    </w:p>
    <w:p w14:paraId="3C3B0B50"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Manage services &amp; referrals</w:t>
      </w:r>
    </w:p>
    <w:p w14:paraId="402DC7AA"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Associated People</w:t>
      </w:r>
    </w:p>
    <w:p w14:paraId="3751A92A" w14:textId="77777777" w:rsidR="004D556D" w:rsidRPr="000F6CD1" w:rsidRDefault="004D556D" w:rsidP="00DF3F6B">
      <w:pPr>
        <w:pStyle w:val="ListParagraph"/>
        <w:numPr>
          <w:ilvl w:val="0"/>
          <w:numId w:val="345"/>
        </w:numPr>
        <w:spacing w:before="240" w:after="240" w:line="240" w:lineRule="auto"/>
        <w:rPr>
          <w:lang w:eastAsia="ko-KR"/>
        </w:rPr>
      </w:pPr>
      <w:r w:rsidRPr="000F6CD1">
        <w:rPr>
          <w:lang w:eastAsia="ko-KR"/>
        </w:rPr>
        <w:t>Review</w:t>
      </w:r>
    </w:p>
    <w:p w14:paraId="52D37305" w14:textId="77777777" w:rsidR="004D556D" w:rsidRPr="000F6CD1" w:rsidRDefault="004D556D" w:rsidP="00622CFF">
      <w:pPr>
        <w:spacing w:before="240" w:after="240" w:line="240" w:lineRule="auto"/>
      </w:pPr>
      <w:r w:rsidRPr="000F6CD1">
        <w:t>It is important for the assessor to keep in mind that generated support plans can include goals and concerns from all previous assessments. The assessor should remove and/or update previous goals to ensure the focus remains on the older person’s current goals and aspirations as per their most recent assessment and/or SPR.</w:t>
      </w:r>
    </w:p>
    <w:p w14:paraId="14F05A97" w14:textId="77777777" w:rsidR="004D556D" w:rsidRPr="000F6CD1" w:rsidRDefault="004D556D">
      <w:pPr>
        <w:pStyle w:val="H4"/>
      </w:pPr>
      <w:r w:rsidRPr="000F6CD1">
        <w:t>Prioritising Urgent SPRs</w:t>
      </w:r>
    </w:p>
    <w:p w14:paraId="63D0092D" w14:textId="551C18F6" w:rsidR="004D556D" w:rsidRPr="000F6CD1" w:rsidRDefault="004D556D" w:rsidP="00622CFF">
      <w:pPr>
        <w:spacing w:before="240" w:after="240" w:line="240" w:lineRule="auto"/>
      </w:pPr>
      <w:r w:rsidRPr="000F6CD1">
        <w:t xml:space="preserve">While no priority category for SPRs exists as it does for assessment referrals (outlined in </w:t>
      </w:r>
      <w:r w:rsidR="00255250">
        <w:fldChar w:fldCharType="begin"/>
      </w:r>
      <w:r w:rsidR="00255250">
        <w:instrText xml:space="preserve"> REF _Ref232692585 \h </w:instrText>
      </w:r>
      <w:r w:rsidR="00255250">
        <w:fldChar w:fldCharType="separate"/>
      </w:r>
      <w:r w:rsidR="004B171E" w:rsidRPr="000F6CD1">
        <w:t>Chapter 4: Referral for assessment</w:t>
      </w:r>
      <w:r w:rsidR="00255250">
        <w:fldChar w:fldCharType="end"/>
      </w:r>
      <w:r w:rsidR="00DB5F4E">
        <w:t xml:space="preserve">) </w:t>
      </w:r>
      <w:r w:rsidRPr="000F6CD1">
        <w:t>assessors should prioritise SPRs where there is an identifiable urgent need. In particular, assessors should prioritise:</w:t>
      </w:r>
    </w:p>
    <w:p w14:paraId="3EFCF7A3" w14:textId="77777777" w:rsidR="004D556D" w:rsidRPr="000F6CD1" w:rsidRDefault="004D556D" w:rsidP="00DF3F6B">
      <w:pPr>
        <w:pStyle w:val="ListParagraph"/>
        <w:numPr>
          <w:ilvl w:val="0"/>
          <w:numId w:val="417"/>
        </w:numPr>
        <w:spacing w:before="240" w:after="240" w:line="240" w:lineRule="auto"/>
      </w:pPr>
      <w:r w:rsidRPr="000F6CD1">
        <w:rPr>
          <w:b/>
        </w:rPr>
        <w:t xml:space="preserve">End-of-Life SPRs, </w:t>
      </w:r>
      <w:r w:rsidRPr="000F6CD1">
        <w:t>completing them as soon as possible. These will be marked ‘urgent’ in the system. Team Leaders can locate these in the Assessor Portal by filtering for urgency, then expanding the boxes to locate the EoL clients.</w:t>
      </w:r>
    </w:p>
    <w:p w14:paraId="09B4FE76" w14:textId="77777777" w:rsidR="004D556D" w:rsidRPr="000F6CD1" w:rsidRDefault="004D556D" w:rsidP="00DF3F6B">
      <w:pPr>
        <w:pStyle w:val="ListParagraph"/>
        <w:numPr>
          <w:ilvl w:val="0"/>
          <w:numId w:val="417"/>
        </w:numPr>
        <w:spacing w:before="240" w:after="240" w:line="240" w:lineRule="auto"/>
      </w:pPr>
      <w:r w:rsidRPr="000F6CD1">
        <w:lastRenderedPageBreak/>
        <w:t>Referrals where referral information indicates a significant event has occurred or the older person has a rapidly deteriorating condition, all of which will likely result in a reassessment. This will help ensure prompt review by a Triage Delegate.</w:t>
      </w:r>
    </w:p>
    <w:p w14:paraId="7F92AAF6" w14:textId="59F1FBC5" w:rsidR="004D556D" w:rsidRPr="000F6CD1" w:rsidRDefault="004D556D" w:rsidP="00DF3F6B">
      <w:pPr>
        <w:pStyle w:val="ListParagraph"/>
        <w:numPr>
          <w:ilvl w:val="0"/>
          <w:numId w:val="417"/>
        </w:numPr>
        <w:spacing w:before="240" w:after="240" w:line="240" w:lineRule="auto"/>
      </w:pPr>
      <w:r w:rsidRPr="000F6CD1">
        <w:t xml:space="preserve">Requests for </w:t>
      </w:r>
      <w:r w:rsidRPr="000F6CD1">
        <w:rPr>
          <w:b/>
        </w:rPr>
        <w:t xml:space="preserve">a second unit of restorative care, </w:t>
      </w:r>
      <w:r w:rsidRPr="000F6CD1">
        <w:t>particularly those where there is a need for continuity of services</w:t>
      </w:r>
    </w:p>
    <w:p w14:paraId="38B5A51D" w14:textId="4D957125" w:rsidR="004D556D" w:rsidRPr="000F6CD1" w:rsidRDefault="003D71C2" w:rsidP="00622CFF">
      <w:pPr>
        <w:spacing w:before="240" w:after="240" w:line="240" w:lineRule="auto"/>
        <w:rPr>
          <w:szCs w:val="20"/>
        </w:rPr>
      </w:pPr>
      <w:r w:rsidRPr="00E744E0">
        <w:rPr>
          <w:noProof/>
        </w:rPr>
        <w:drawing>
          <wp:anchor distT="0" distB="0" distL="114300" distR="114300" simplePos="0" relativeHeight="251658312" behindDoc="0" locked="0" layoutInCell="1" allowOverlap="1" wp14:anchorId="1FE94D9A" wp14:editId="6CEF6D48">
            <wp:simplePos x="0" y="0"/>
            <wp:positionH relativeFrom="margin">
              <wp:posOffset>-57150</wp:posOffset>
            </wp:positionH>
            <wp:positionV relativeFrom="margin">
              <wp:posOffset>1343025</wp:posOffset>
            </wp:positionV>
            <wp:extent cx="365792" cy="403895"/>
            <wp:effectExtent l="0" t="0" r="0" b="0"/>
            <wp:wrapSquare wrapText="bothSides"/>
            <wp:docPr id="182021943"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943"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 xml:space="preserve">Otherwise, all other SPRs should be completed within calendar 15 days from the date the SPR referral is accepted. </w:t>
      </w:r>
    </w:p>
    <w:p w14:paraId="2B8C2C38" w14:textId="72954E2E" w:rsidR="004D556D" w:rsidRPr="000F6CD1" w:rsidRDefault="004D556D" w:rsidP="00AD2CE5">
      <w:pPr>
        <w:pStyle w:val="H3"/>
        <w:rPr>
          <w:color w:val="279989"/>
        </w:rPr>
      </w:pPr>
      <w:r w:rsidRPr="000F6CD1">
        <w:t xml:space="preserve">Outcome of the SPR </w:t>
      </w:r>
    </w:p>
    <w:p w14:paraId="3B891C49" w14:textId="67C94876" w:rsidR="004D556D" w:rsidRPr="000F6CD1" w:rsidRDefault="004D556D" w:rsidP="00622CFF">
      <w:pPr>
        <w:spacing w:before="240" w:after="240" w:line="240" w:lineRule="auto"/>
        <w:rPr>
          <w:lang w:eastAsia="ko-KR"/>
        </w:rPr>
      </w:pPr>
      <w:r w:rsidRPr="000F6CD1">
        <w:rPr>
          <w:lang w:eastAsia="ko-KR"/>
        </w:rPr>
        <w:t xml:space="preserve">After conducting the SPR, the assessor should consider possible outcomes, including: determining that no changes to the Support Plan are required (as it meets the older person’s needs), updating the current plan, or conducting a reassessment. </w:t>
      </w:r>
    </w:p>
    <w:p w14:paraId="160F025A" w14:textId="5074D00B" w:rsidR="004D556D" w:rsidRPr="000F6CD1" w:rsidRDefault="004D556D" w:rsidP="00622CFF">
      <w:pPr>
        <w:spacing w:before="240" w:after="240" w:line="240" w:lineRule="auto"/>
        <w:rPr>
          <w:lang w:eastAsia="ko-KR"/>
        </w:rPr>
      </w:pPr>
      <w:r w:rsidRPr="000F6CD1">
        <w:rPr>
          <w:lang w:eastAsia="ko-KR"/>
        </w:rPr>
        <w:t xml:space="preserve">The assessor can record the outcome to ‘complete’ the SPR and ‘finalise’ the SPR when it has been completed. If the SPR outcome is a reassessment, then the assessor is prompted to issue the assessment referral. </w:t>
      </w:r>
    </w:p>
    <w:p w14:paraId="62760BD6" w14:textId="0A087C91" w:rsidR="004D556D" w:rsidRPr="000F6CD1" w:rsidRDefault="004D556D" w:rsidP="00622CFF">
      <w:pPr>
        <w:spacing w:before="240" w:after="240" w:line="240" w:lineRule="auto"/>
        <w:rPr>
          <w:lang w:eastAsia="ko-KR"/>
        </w:rPr>
      </w:pPr>
      <w:r w:rsidRPr="000F6CD1">
        <w:rPr>
          <w:lang w:eastAsia="ko-KR"/>
        </w:rPr>
        <w:t xml:space="preserve">If the assessor assigns the referral to myself/my organisation, then they can start triage </w:t>
      </w:r>
      <w:r w:rsidRPr="000F6CD1">
        <w:rPr>
          <w:rFonts w:eastAsia="Arial"/>
          <w:color w:val="000000" w:themeColor="text1"/>
          <w:szCs w:val="22"/>
        </w:rPr>
        <w:t>and should enter as much information as they can while conversing with the client at the end of the SPR. Note, a triage delegate must review the information entered by the assessor and complete the triage.</w:t>
      </w:r>
      <w:r w:rsidRPr="000F6CD1">
        <w:rPr>
          <w:lang w:eastAsia="ko-KR"/>
        </w:rPr>
        <w:t xml:space="preserve"> The SPR referral will appear above the Assessment Summary Information in the older person’s Support Plan.</w:t>
      </w:r>
    </w:p>
    <w:p w14:paraId="65B10ED8" w14:textId="77777777" w:rsidR="004D556D" w:rsidRPr="00C550FC" w:rsidRDefault="004D556D" w:rsidP="0019783C">
      <w:pPr>
        <w:pStyle w:val="Boxwithcolouredkeyline"/>
        <w:shd w:val="clear" w:color="auto" w:fill="F2F2F2" w:themeFill="background1" w:themeFillShade="F2"/>
      </w:pPr>
      <w:r w:rsidRPr="00C550FC">
        <w:t>Note:</w:t>
      </w:r>
    </w:p>
    <w:p w14:paraId="54936935" w14:textId="77777777" w:rsidR="004D556D" w:rsidRPr="000F6CD1" w:rsidRDefault="004D556D" w:rsidP="0019783C">
      <w:pPr>
        <w:pStyle w:val="Boxwithcolouredkeyline"/>
        <w:shd w:val="clear" w:color="auto" w:fill="F2F2F2" w:themeFill="background1" w:themeFillShade="F2"/>
      </w:pPr>
      <w:r w:rsidRPr="000F6CD1">
        <w:t xml:space="preserve">A SPR should accurately reflect the review details, including date, attendees, mode, assessor name, reason for SPR and the outcome of the review (up to 1000 characters). </w:t>
      </w:r>
    </w:p>
    <w:p w14:paraId="3637EFF2" w14:textId="77777777" w:rsidR="004D556D" w:rsidRPr="000F6CD1" w:rsidRDefault="004D556D" w:rsidP="0019783C">
      <w:pPr>
        <w:pStyle w:val="Boxwithcolouredkeyline"/>
        <w:shd w:val="clear" w:color="auto" w:fill="F2F2F2" w:themeFill="background1" w:themeFillShade="F2"/>
      </w:pPr>
      <w:r w:rsidRPr="000F6CD1">
        <w:t xml:space="preserve">Assessors must ensure the older person or active, appointed decision maker recognised under the Act (whether or not a registered supporter) agree to the details entered in the outcomes field as these comments will automatically appear on the older person’s Support Plan. </w:t>
      </w:r>
    </w:p>
    <w:p w14:paraId="715CF3EF" w14:textId="22FA1A94" w:rsidR="004D556D" w:rsidRPr="000F6CD1" w:rsidRDefault="004D556D" w:rsidP="00E744E0">
      <w:pPr>
        <w:pStyle w:val="Boxwithcolouredkeyline"/>
        <w:shd w:val="clear" w:color="auto" w:fill="F2F2F2" w:themeFill="background1" w:themeFillShade="F2"/>
      </w:pPr>
      <w:r w:rsidRPr="000F6CD1">
        <w:t>The Assessment Summary section of the Support Plan has a 5000-character limit which can also be updated with the SPR. All past versions of the Support Plan are retained on the My Aged Care system and are a record of any deleted content.</w:t>
      </w:r>
    </w:p>
    <w:p w14:paraId="16070BAB" w14:textId="77777777" w:rsidR="004D556D" w:rsidRPr="000F6CD1" w:rsidRDefault="004D556D" w:rsidP="00622CFF">
      <w:pPr>
        <w:spacing w:before="240" w:after="240" w:line="240" w:lineRule="auto"/>
        <w:rPr>
          <w:rFonts w:eastAsia="Calibri" w:cs="Times New Roman"/>
          <w:b/>
          <w:bCs/>
          <w:lang w:eastAsia="en-US"/>
        </w:rPr>
      </w:pPr>
      <w:r w:rsidRPr="000F6CD1">
        <w:rPr>
          <w:lang w:eastAsia="ko-KR"/>
        </w:rPr>
        <w:t>After selecting ‘complete &amp; finalise support plan review’ no further changes can be made. Where applicable (e.g. if new services have been added or if a decision has been made to not approve a specific request), a Notice of Decision will be required to be prepared for Delegate approval and shared with the older person.</w:t>
      </w:r>
    </w:p>
    <w:p w14:paraId="27574BB5" w14:textId="77777777" w:rsidR="003D71C2" w:rsidRDefault="004D556D" w:rsidP="00622CFF">
      <w:pPr>
        <w:spacing w:before="240" w:after="240" w:line="240" w:lineRule="auto"/>
        <w:rPr>
          <w:lang w:eastAsia="ko-KR"/>
        </w:rPr>
      </w:pPr>
      <w:r w:rsidRPr="000F6CD1">
        <w:rPr>
          <w:lang w:eastAsia="ko-KR"/>
        </w:rPr>
        <w:t xml:space="preserve">The assessor may determine that the older person’s needs or circumstances have changed significantly since their original assessment, and a reassessment is required. </w:t>
      </w:r>
    </w:p>
    <w:p w14:paraId="17FCFFEF" w14:textId="1ACCE0C1" w:rsidR="004D556D" w:rsidRPr="000F6CD1" w:rsidRDefault="003D71C2" w:rsidP="003D71C2">
      <w:pPr>
        <w:rPr>
          <w:lang w:eastAsia="ko-KR"/>
        </w:rPr>
      </w:pPr>
      <w:r>
        <w:rPr>
          <w:lang w:eastAsia="ko-KR"/>
        </w:rPr>
        <w:br w:type="page"/>
      </w:r>
    </w:p>
    <w:p w14:paraId="5B001527" w14:textId="77777777" w:rsidR="004D556D" w:rsidRPr="000F6CD1" w:rsidRDefault="004D556D" w:rsidP="00AD2CE5">
      <w:pPr>
        <w:pStyle w:val="H3"/>
      </w:pPr>
      <w:r w:rsidRPr="000F6CD1">
        <w:lastRenderedPageBreak/>
        <w:t>Reassessments</w:t>
      </w:r>
    </w:p>
    <w:p w14:paraId="2D384E10" w14:textId="77777777" w:rsidR="004D556D" w:rsidRPr="000F6CD1" w:rsidRDefault="004D556D" w:rsidP="00622CFF">
      <w:pPr>
        <w:spacing w:before="240" w:after="240" w:line="240" w:lineRule="auto"/>
        <w:rPr>
          <w:lang w:eastAsia="ko-KR"/>
        </w:rPr>
      </w:pPr>
      <w:r w:rsidRPr="000F6CD1">
        <w:rPr>
          <w:lang w:eastAsia="ko-KR"/>
        </w:rPr>
        <w:t>An older person may require a reassessment following a SPR in the following instances:</w:t>
      </w:r>
    </w:p>
    <w:p w14:paraId="64178DEF" w14:textId="77777777" w:rsidR="004D556D" w:rsidRPr="000F6CD1" w:rsidRDefault="004D556D" w:rsidP="00DF3F6B">
      <w:pPr>
        <w:pStyle w:val="ListParagraph"/>
        <w:numPr>
          <w:ilvl w:val="0"/>
          <w:numId w:val="318"/>
        </w:numPr>
        <w:spacing w:before="240" w:after="240" w:line="240" w:lineRule="auto"/>
        <w:rPr>
          <w:lang w:eastAsia="ko-KR"/>
        </w:rPr>
      </w:pPr>
      <w:r w:rsidRPr="000F6CD1">
        <w:rPr>
          <w:lang w:eastAsia="ko-KR"/>
        </w:rPr>
        <w:t>the older person has multiple new needs or significantly increased needs</w:t>
      </w:r>
    </w:p>
    <w:p w14:paraId="76ACE6A8" w14:textId="77777777" w:rsidR="004D556D" w:rsidRPr="000F6CD1" w:rsidRDefault="004D556D" w:rsidP="00DF3F6B">
      <w:pPr>
        <w:pStyle w:val="ListParagraph"/>
        <w:numPr>
          <w:ilvl w:val="0"/>
          <w:numId w:val="318"/>
        </w:numPr>
        <w:spacing w:before="240" w:after="240" w:line="240" w:lineRule="auto"/>
        <w:rPr>
          <w:lang w:eastAsia="ko-KR"/>
        </w:rPr>
      </w:pPr>
      <w:r w:rsidRPr="000F6CD1">
        <w:rPr>
          <w:lang w:eastAsia="ko-KR"/>
        </w:rPr>
        <w:t>the older person requires a different service group (i.e. client receiving CHSP needs to move to Support at Home) the My Aged Care assessor portal allows a reassessment referral where:</w:t>
      </w:r>
    </w:p>
    <w:p w14:paraId="6219BD41" w14:textId="77777777" w:rsidR="004D556D" w:rsidRPr="000F6CD1" w:rsidRDefault="004D556D" w:rsidP="008367C8">
      <w:pPr>
        <w:pStyle w:val="ListParagraph"/>
        <w:numPr>
          <w:ilvl w:val="1"/>
          <w:numId w:val="317"/>
        </w:numPr>
        <w:spacing w:before="240" w:after="240" w:line="240" w:lineRule="auto"/>
        <w:contextualSpacing w:val="0"/>
        <w:rPr>
          <w:lang w:eastAsia="ko-KR"/>
        </w:rPr>
      </w:pPr>
      <w:r w:rsidRPr="000F6CD1">
        <w:rPr>
          <w:lang w:eastAsia="ko-KR"/>
        </w:rPr>
        <w:t>the SPR request meets one of the four defined scenarios only (transition care, residential care, residential respite care and older person relocation) or</w:t>
      </w:r>
    </w:p>
    <w:p w14:paraId="107E5B21" w14:textId="77777777" w:rsidR="004D556D" w:rsidRPr="000F6CD1" w:rsidRDefault="004D556D" w:rsidP="008367C8">
      <w:pPr>
        <w:pStyle w:val="ListParagraph"/>
        <w:numPr>
          <w:ilvl w:val="1"/>
          <w:numId w:val="317"/>
        </w:numPr>
        <w:spacing w:before="240" w:after="240" w:line="240" w:lineRule="auto"/>
        <w:contextualSpacing w:val="0"/>
        <w:rPr>
          <w:lang w:eastAsia="ko-KR"/>
        </w:rPr>
      </w:pPr>
      <w:r w:rsidRPr="000F6CD1">
        <w:rPr>
          <w:lang w:eastAsia="ko-KR"/>
        </w:rPr>
        <w:t>if the request does not meet the defined scenarios and the SPR clearly needs to be converted to a reassessment, the assessor can issue a reassessment referral where they select ‘A reassessment required’ as the outcome of the SPR or</w:t>
      </w:r>
    </w:p>
    <w:p w14:paraId="5A7AC5C5" w14:textId="77777777" w:rsidR="004D556D" w:rsidRPr="000F6CD1" w:rsidRDefault="004D556D" w:rsidP="008367C8">
      <w:pPr>
        <w:pStyle w:val="ListParagraph"/>
        <w:numPr>
          <w:ilvl w:val="1"/>
          <w:numId w:val="317"/>
        </w:numPr>
        <w:spacing w:before="240" w:after="240" w:line="240" w:lineRule="auto"/>
        <w:rPr>
          <w:lang w:eastAsia="ko-KR"/>
        </w:rPr>
      </w:pPr>
      <w:r w:rsidRPr="000F6CD1">
        <w:rPr>
          <w:lang w:eastAsia="ko-KR"/>
        </w:rPr>
        <w:t>after the full SPR is completed and finalised, the assessor has the option to start a reassessment referral if this is appropriate.</w:t>
      </w:r>
    </w:p>
    <w:p w14:paraId="33020D07" w14:textId="77777777" w:rsidR="004D556D" w:rsidRPr="000F6CD1" w:rsidRDefault="004D556D" w:rsidP="00622CFF">
      <w:pPr>
        <w:spacing w:before="240" w:after="240" w:line="240" w:lineRule="auto"/>
        <w:rPr>
          <w:lang w:eastAsia="ko-KR"/>
        </w:rPr>
      </w:pPr>
      <w:r w:rsidRPr="000F6CD1">
        <w:t xml:space="preserve">Where the SPR outcome does not indicate a reassessment is necessary, but the person (or their active, appointed decision maker, whether or not a registered supporter) continues to request a reassessment, </w:t>
      </w:r>
      <w:bookmarkStart w:id="903" w:name="_Hlk85720429"/>
      <w:bookmarkStart w:id="904" w:name="_Hlk85731810"/>
      <w:r w:rsidRPr="000F6CD1">
        <w:rPr>
          <w:lang w:eastAsia="ko-KR"/>
        </w:rPr>
        <w:t xml:space="preserve">assessment organisations should be aware that making a decision not to proceed with a reassessment process is a reviewable decision under the Act. </w:t>
      </w:r>
    </w:p>
    <w:p w14:paraId="70BAA60C" w14:textId="77777777" w:rsidR="004D556D" w:rsidRPr="000F6CD1" w:rsidRDefault="004D556D" w:rsidP="00622CFF">
      <w:pPr>
        <w:spacing w:before="240" w:after="240" w:line="240" w:lineRule="auto"/>
        <w:rPr>
          <w:lang w:eastAsia="ko-KR"/>
        </w:rPr>
      </w:pPr>
      <w:r w:rsidRPr="000F6CD1">
        <w:rPr>
          <w:lang w:eastAsia="ko-KR"/>
        </w:rPr>
        <w:t>If the triage delegate’s clinical opinion (based on guidance materials and evidence) is that a comprehensive assessment is not required, the assessment organisation must ensure the older person:</w:t>
      </w:r>
    </w:p>
    <w:p w14:paraId="438118C3" w14:textId="77777777" w:rsidR="004D556D" w:rsidRPr="000F6CD1" w:rsidRDefault="004D556D" w:rsidP="00DF3F6B">
      <w:pPr>
        <w:pStyle w:val="ListParagraph"/>
        <w:numPr>
          <w:ilvl w:val="0"/>
          <w:numId w:val="317"/>
        </w:numPr>
        <w:spacing w:before="240" w:after="240" w:line="240" w:lineRule="auto"/>
        <w:contextualSpacing w:val="0"/>
      </w:pPr>
      <w:r w:rsidRPr="000F6CD1">
        <w:rPr>
          <w:szCs w:val="28"/>
        </w:rPr>
        <w:t>is aware of, understands and accepts this decision.</w:t>
      </w:r>
    </w:p>
    <w:p w14:paraId="4A9FDB2A" w14:textId="77777777" w:rsidR="004D556D" w:rsidRPr="000F6CD1" w:rsidRDefault="004D556D" w:rsidP="00DF3F6B">
      <w:pPr>
        <w:pStyle w:val="ListParagraph"/>
        <w:numPr>
          <w:ilvl w:val="0"/>
          <w:numId w:val="317"/>
        </w:numPr>
        <w:spacing w:before="240" w:after="240" w:line="240" w:lineRule="auto"/>
        <w:contextualSpacing w:val="0"/>
      </w:pPr>
      <w:r w:rsidRPr="000F6CD1">
        <w:t>is provided with the updated support plan which details the outcome of the SPR and if applicable, references the reason/s to the older person why the requested reassessment is not required at this stage; and</w:t>
      </w:r>
    </w:p>
    <w:p w14:paraId="71A7AA6E" w14:textId="77777777" w:rsidR="004D556D" w:rsidRPr="000F6CD1" w:rsidRDefault="004D556D" w:rsidP="00DF3F6B">
      <w:pPr>
        <w:pStyle w:val="ListParagraph"/>
        <w:numPr>
          <w:ilvl w:val="0"/>
          <w:numId w:val="317"/>
        </w:numPr>
        <w:spacing w:before="240" w:after="240" w:line="240" w:lineRule="auto"/>
        <w:contextualSpacing w:val="0"/>
        <w:rPr>
          <w:szCs w:val="28"/>
        </w:rPr>
      </w:pPr>
      <w:r w:rsidRPr="000F6CD1">
        <w:rPr>
          <w:szCs w:val="28"/>
        </w:rPr>
        <w:t>is provided with information on how to request a further SPR should the older person’s care needs or circumstances change.</w:t>
      </w:r>
      <w:bookmarkEnd w:id="903"/>
    </w:p>
    <w:p w14:paraId="48422570" w14:textId="77777777" w:rsidR="004D556D" w:rsidRPr="000F6CD1" w:rsidRDefault="004D556D" w:rsidP="00622CFF">
      <w:pPr>
        <w:spacing w:before="240" w:after="240" w:line="240" w:lineRule="auto"/>
        <w:rPr>
          <w:lang w:eastAsia="ko-KR"/>
        </w:rPr>
      </w:pPr>
      <w:bookmarkStart w:id="905" w:name="_Hlk86937436"/>
      <w:bookmarkEnd w:id="904"/>
      <w:r w:rsidRPr="000F6CD1">
        <w:rPr>
          <w:lang w:eastAsia="ko-KR"/>
        </w:rPr>
        <w:t>If the older person does not accept the decision, then the assessment should proceed</w:t>
      </w:r>
      <w:bookmarkEnd w:id="905"/>
      <w:r w:rsidRPr="000F6CD1">
        <w:rPr>
          <w:lang w:eastAsia="ko-KR"/>
        </w:rPr>
        <w:t>.</w:t>
      </w:r>
    </w:p>
    <w:p w14:paraId="2CA30DAF" w14:textId="77777777" w:rsidR="004D556D" w:rsidRPr="000F6CD1" w:rsidRDefault="004D556D">
      <w:pPr>
        <w:pStyle w:val="H4"/>
        <w:rPr>
          <w:lang w:eastAsia="ko-KR"/>
        </w:rPr>
      </w:pPr>
      <w:r w:rsidRPr="000F6CD1">
        <w:rPr>
          <w:lang w:eastAsia="ko-KR"/>
        </w:rPr>
        <w:t>Reassessment of a classification level </w:t>
      </w:r>
    </w:p>
    <w:p w14:paraId="0650BDCE" w14:textId="77777777" w:rsidR="00442976" w:rsidRDefault="004D556D" w:rsidP="00622CFF">
      <w:pPr>
        <w:spacing w:before="240" w:after="240" w:line="240" w:lineRule="auto"/>
        <w:rPr>
          <w:lang w:eastAsia="ko-KR"/>
        </w:rPr>
      </w:pPr>
      <w:r w:rsidRPr="000F6CD1">
        <w:rPr>
          <w:lang w:eastAsia="ko-KR"/>
        </w:rPr>
        <w:t xml:space="preserve">Depending on the classification type for the service group, an individual or a registered provider acting on behalf of the individual may have the right to apply for a reassessment of a classification level under section 82 of the </w:t>
      </w:r>
      <w:r w:rsidRPr="00EB1D79">
        <w:rPr>
          <w:i/>
          <w:iCs/>
          <w:lang w:eastAsia="ko-KR"/>
        </w:rPr>
        <w:t>Aged Care Act 2024.</w:t>
      </w:r>
      <w:r w:rsidRPr="000F6CD1">
        <w:rPr>
          <w:lang w:eastAsia="ko-KR"/>
        </w:rPr>
        <w:t xml:space="preserve"> Section 82 outlines who may apply for a classification reassessment for each classification type for a service group and when an application may be made. This is outlined in the table below. </w:t>
      </w:r>
    </w:p>
    <w:p w14:paraId="641BABF3" w14:textId="71549B77" w:rsidR="004D556D" w:rsidRPr="000F6CD1" w:rsidRDefault="00442976" w:rsidP="00442976">
      <w:pPr>
        <w:rPr>
          <w:lang w:eastAsia="ko-KR"/>
        </w:rPr>
      </w:pPr>
      <w:r>
        <w:rPr>
          <w:lang w:eastAsia="ko-KR"/>
        </w:rPr>
        <w:br w:type="page"/>
      </w:r>
    </w:p>
    <w:p w14:paraId="628E4965" w14:textId="77777777" w:rsidR="004D556D" w:rsidRPr="000F6CD1" w:rsidRDefault="004D556D" w:rsidP="00622CFF">
      <w:pPr>
        <w:pStyle w:val="Caption"/>
        <w:spacing w:before="240" w:after="240"/>
        <w:rPr>
          <w:lang w:eastAsia="ko-KR"/>
        </w:rPr>
      </w:pPr>
      <w:r w:rsidRPr="000F6CD1">
        <w:rPr>
          <w:lang w:eastAsia="ko-KR"/>
        </w:rPr>
        <w:lastRenderedPageBreak/>
        <w:t xml:space="preserve">Table 54. Circumstances when a classification reassessment can be sought </w:t>
      </w:r>
    </w:p>
    <w:tbl>
      <w:tblPr>
        <w:tblW w:w="9026"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Circumstances when a classification reassessment can be sought"/>
        <w:tblDescription w:val="The table details the circumstances when a classification reassessment can be sought"/>
      </w:tblPr>
      <w:tblGrid>
        <w:gridCol w:w="1573"/>
        <w:gridCol w:w="1670"/>
        <w:gridCol w:w="5783"/>
      </w:tblGrid>
      <w:tr w:rsidR="004D556D" w:rsidRPr="000F6CD1" w14:paraId="406E1462" w14:textId="77777777" w:rsidTr="00141E2D">
        <w:trPr>
          <w:trHeight w:val="300"/>
          <w:tblHeader/>
        </w:trPr>
        <w:tc>
          <w:tcPr>
            <w:tcW w:w="1573" w:type="dxa"/>
            <w:shd w:val="clear" w:color="auto" w:fill="002060"/>
            <w:hideMark/>
          </w:tcPr>
          <w:p w14:paraId="07A2A56D" w14:textId="77777777" w:rsidR="004D556D" w:rsidRPr="000F6CD1" w:rsidRDefault="004D556D" w:rsidP="005747E4">
            <w:pPr>
              <w:spacing w:before="120" w:after="120" w:line="240" w:lineRule="auto"/>
              <w:ind w:left="142"/>
              <w:rPr>
                <w:b/>
                <w:bCs/>
                <w:color w:val="FFFFFF" w:themeColor="background1"/>
                <w:lang w:eastAsia="ko-KR"/>
              </w:rPr>
            </w:pPr>
            <w:r w:rsidRPr="000F6CD1">
              <w:rPr>
                <w:b/>
                <w:bCs/>
                <w:color w:val="FFFFFF" w:themeColor="background1"/>
                <w:lang w:eastAsia="ko-KR"/>
              </w:rPr>
              <w:t>Classification type for a service group </w:t>
            </w:r>
          </w:p>
        </w:tc>
        <w:tc>
          <w:tcPr>
            <w:tcW w:w="1121" w:type="dxa"/>
            <w:shd w:val="clear" w:color="auto" w:fill="002060"/>
            <w:hideMark/>
          </w:tcPr>
          <w:p w14:paraId="05B0F223" w14:textId="77777777" w:rsidR="004D556D" w:rsidRPr="000F6CD1" w:rsidRDefault="004D556D" w:rsidP="005747E4">
            <w:pPr>
              <w:spacing w:before="120" w:after="120" w:line="240" w:lineRule="auto"/>
              <w:ind w:left="141"/>
              <w:rPr>
                <w:b/>
                <w:bCs/>
                <w:color w:val="FFFFFF" w:themeColor="background1"/>
                <w:lang w:eastAsia="ko-KR"/>
              </w:rPr>
            </w:pPr>
            <w:r w:rsidRPr="000F6CD1">
              <w:rPr>
                <w:b/>
                <w:bCs/>
                <w:color w:val="FFFFFF" w:themeColor="background1"/>
                <w:lang w:eastAsia="ko-KR"/>
              </w:rPr>
              <w:t>Who can apply for a classification reassessment </w:t>
            </w:r>
          </w:p>
        </w:tc>
        <w:tc>
          <w:tcPr>
            <w:tcW w:w="6332" w:type="dxa"/>
            <w:shd w:val="clear" w:color="auto" w:fill="002060"/>
            <w:hideMark/>
          </w:tcPr>
          <w:p w14:paraId="7045CA48" w14:textId="77777777" w:rsidR="004D556D" w:rsidRPr="000F6CD1" w:rsidRDefault="004D556D" w:rsidP="005747E4">
            <w:pPr>
              <w:spacing w:before="120" w:after="120" w:line="240" w:lineRule="auto"/>
              <w:rPr>
                <w:b/>
                <w:bCs/>
                <w:color w:val="FFFFFF" w:themeColor="background1"/>
                <w:lang w:eastAsia="ko-KR"/>
              </w:rPr>
            </w:pPr>
            <w:r w:rsidRPr="000F6CD1">
              <w:rPr>
                <w:b/>
                <w:bCs/>
                <w:color w:val="FFFFFF" w:themeColor="background1"/>
                <w:lang w:eastAsia="ko-KR"/>
              </w:rPr>
              <w:t>When can a classification reassessment be sought </w:t>
            </w:r>
          </w:p>
        </w:tc>
      </w:tr>
      <w:tr w:rsidR="004D556D" w:rsidRPr="000F6CD1" w14:paraId="595EBF0B" w14:textId="77777777" w:rsidTr="00141E2D">
        <w:trPr>
          <w:trHeight w:val="300"/>
        </w:trPr>
        <w:tc>
          <w:tcPr>
            <w:tcW w:w="1573" w:type="dxa"/>
            <w:shd w:val="clear" w:color="auto" w:fill="002060"/>
            <w:hideMark/>
          </w:tcPr>
          <w:p w14:paraId="5A10C08D" w14:textId="77777777" w:rsidR="004D556D" w:rsidRPr="000F6CD1" w:rsidRDefault="004D556D" w:rsidP="005747E4">
            <w:pPr>
              <w:spacing w:before="120" w:after="120" w:line="240" w:lineRule="auto"/>
              <w:ind w:left="142"/>
              <w:rPr>
                <w:color w:val="FFFFFF" w:themeColor="background1"/>
                <w:lang w:eastAsia="ko-KR"/>
              </w:rPr>
            </w:pPr>
            <w:r w:rsidRPr="000F6CD1">
              <w:rPr>
                <w:color w:val="FFFFFF" w:themeColor="background1"/>
                <w:lang w:eastAsia="ko-KR"/>
              </w:rPr>
              <w:t>Ongoing or short</w:t>
            </w:r>
            <w:r w:rsidRPr="000F6CD1">
              <w:rPr>
                <w:color w:val="FFFFFF" w:themeColor="background1"/>
                <w:lang w:eastAsia="ko-KR"/>
              </w:rPr>
              <w:noBreakHyphen/>
              <w:t>term for home support, assistive technology or home modifications </w:t>
            </w:r>
          </w:p>
        </w:tc>
        <w:tc>
          <w:tcPr>
            <w:tcW w:w="1121" w:type="dxa"/>
            <w:hideMark/>
          </w:tcPr>
          <w:p w14:paraId="4FB7CFF7" w14:textId="77777777" w:rsidR="004D556D" w:rsidRPr="000F6CD1" w:rsidRDefault="004D556D" w:rsidP="005747E4">
            <w:pPr>
              <w:spacing w:before="120" w:after="120" w:line="240" w:lineRule="auto"/>
              <w:ind w:left="141"/>
              <w:rPr>
                <w:lang w:eastAsia="ko-KR"/>
              </w:rPr>
            </w:pPr>
            <w:r w:rsidRPr="000F6CD1">
              <w:rPr>
                <w:lang w:eastAsia="ko-KR"/>
              </w:rPr>
              <w:t>The individual  </w:t>
            </w:r>
          </w:p>
        </w:tc>
        <w:tc>
          <w:tcPr>
            <w:tcW w:w="6332" w:type="dxa"/>
            <w:hideMark/>
          </w:tcPr>
          <w:p w14:paraId="59B22267" w14:textId="77777777" w:rsidR="004D556D" w:rsidRPr="000F6CD1" w:rsidRDefault="004D556D" w:rsidP="005747E4">
            <w:pPr>
              <w:spacing w:before="120" w:after="120" w:line="240" w:lineRule="auto"/>
              <w:rPr>
                <w:lang w:eastAsia="ko-KR"/>
              </w:rPr>
            </w:pPr>
            <w:r w:rsidRPr="000F6CD1">
              <w:rPr>
                <w:lang w:eastAsia="ko-KR"/>
              </w:rPr>
              <w:t>If: </w:t>
            </w:r>
          </w:p>
          <w:p w14:paraId="21DEA3EF" w14:textId="77777777" w:rsidR="004D556D" w:rsidRPr="000F6CD1" w:rsidRDefault="004D556D" w:rsidP="00DF3F6B">
            <w:pPr>
              <w:numPr>
                <w:ilvl w:val="0"/>
                <w:numId w:val="319"/>
              </w:numPr>
              <w:spacing w:before="120" w:after="120" w:line="240" w:lineRule="auto"/>
              <w:rPr>
                <w:lang w:eastAsia="ko-KR"/>
              </w:rPr>
            </w:pPr>
            <w:r w:rsidRPr="000F6CD1">
              <w:rPr>
                <w:lang w:eastAsia="ko-KR"/>
              </w:rPr>
              <w:t xml:space="preserve">the classification type is in effect for the individual; </w:t>
            </w:r>
            <w:r w:rsidRPr="000F6CD1">
              <w:rPr>
                <w:u w:val="single"/>
                <w:lang w:eastAsia="ko-KR"/>
              </w:rPr>
              <w:t>and</w:t>
            </w:r>
            <w:r w:rsidRPr="000F6CD1">
              <w:rPr>
                <w:lang w:eastAsia="ko-KR"/>
              </w:rPr>
              <w:t> </w:t>
            </w:r>
          </w:p>
          <w:p w14:paraId="7543CB7B" w14:textId="77777777" w:rsidR="004D556D" w:rsidRPr="000F6CD1" w:rsidRDefault="004D556D" w:rsidP="00DF3F6B">
            <w:pPr>
              <w:numPr>
                <w:ilvl w:val="0"/>
                <w:numId w:val="320"/>
              </w:numPr>
              <w:spacing w:before="120" w:after="120" w:line="240" w:lineRule="auto"/>
              <w:rPr>
                <w:lang w:eastAsia="ko-KR"/>
              </w:rPr>
            </w:pPr>
            <w:r w:rsidRPr="000F6CD1">
              <w:rPr>
                <w:lang w:eastAsia="ko-KR"/>
              </w:rPr>
              <w:t xml:space="preserve">the individual considers a different classification level in the classification type for the service group should be approved; </w:t>
            </w:r>
            <w:r w:rsidRPr="000F6CD1">
              <w:rPr>
                <w:u w:val="single"/>
                <w:lang w:eastAsia="ko-KR"/>
              </w:rPr>
              <w:t>and</w:t>
            </w:r>
            <w:r w:rsidRPr="000F6CD1">
              <w:rPr>
                <w:lang w:eastAsia="ko-KR"/>
              </w:rPr>
              <w:t> </w:t>
            </w:r>
          </w:p>
          <w:p w14:paraId="44E22EB6" w14:textId="77777777" w:rsidR="004D556D" w:rsidRPr="000F6CD1" w:rsidRDefault="004D556D" w:rsidP="00DF3F6B">
            <w:pPr>
              <w:numPr>
                <w:ilvl w:val="0"/>
                <w:numId w:val="321"/>
              </w:numPr>
              <w:spacing w:before="120" w:after="120" w:line="240" w:lineRule="auto"/>
              <w:rPr>
                <w:lang w:eastAsia="ko-KR"/>
              </w:rPr>
            </w:pPr>
            <w:r w:rsidRPr="000F6CD1">
              <w:rPr>
                <w:lang w:eastAsia="ko-KR"/>
              </w:rPr>
              <w:t xml:space="preserve">the funded aged care services are </w:t>
            </w:r>
            <w:r w:rsidRPr="000F6CD1">
              <w:rPr>
                <w:u w:val="single"/>
                <w:lang w:eastAsia="ko-KR"/>
              </w:rPr>
              <w:t xml:space="preserve">not </w:t>
            </w:r>
            <w:r w:rsidRPr="000F6CD1">
              <w:rPr>
                <w:lang w:eastAsia="ko-KR"/>
              </w:rPr>
              <w:t xml:space="preserve">being delivered under a specialist aged care program; </w:t>
            </w:r>
            <w:r w:rsidRPr="000F6CD1">
              <w:rPr>
                <w:u w:val="single"/>
                <w:lang w:eastAsia="ko-KR"/>
              </w:rPr>
              <w:t>and</w:t>
            </w:r>
            <w:r w:rsidRPr="000F6CD1">
              <w:rPr>
                <w:lang w:eastAsia="ko-KR"/>
              </w:rPr>
              <w:t> </w:t>
            </w:r>
          </w:p>
          <w:p w14:paraId="3426CDDD" w14:textId="77777777" w:rsidR="004D556D" w:rsidRPr="000F6CD1" w:rsidRDefault="004D556D" w:rsidP="00DF3F6B">
            <w:pPr>
              <w:numPr>
                <w:ilvl w:val="0"/>
                <w:numId w:val="322"/>
              </w:numPr>
              <w:spacing w:before="120" w:after="120" w:line="240" w:lineRule="auto"/>
              <w:rPr>
                <w:lang w:eastAsia="ko-KR"/>
              </w:rPr>
            </w:pPr>
            <w:r w:rsidRPr="000F6CD1">
              <w:rPr>
                <w:lang w:eastAsia="ko-KR"/>
              </w:rPr>
              <w:t xml:space="preserve">it is considered the circumstances (if any) prescribed by the </w:t>
            </w:r>
            <w:r w:rsidRPr="00BD0F1D">
              <w:rPr>
                <w:i/>
                <w:iCs/>
                <w:lang w:eastAsia="ko-KR"/>
              </w:rPr>
              <w:t>Aged Care Rules 2025</w:t>
            </w:r>
            <w:r w:rsidRPr="000F6CD1">
              <w:rPr>
                <w:lang w:eastAsia="ko-KR"/>
              </w:rPr>
              <w:t xml:space="preserve"> (the Rules) apply. </w:t>
            </w:r>
          </w:p>
          <w:p w14:paraId="4FB477A4" w14:textId="77777777" w:rsidR="004D556D" w:rsidRPr="000F6CD1" w:rsidRDefault="004D556D" w:rsidP="005747E4">
            <w:pPr>
              <w:spacing w:before="120" w:after="120" w:line="240" w:lineRule="auto"/>
              <w:rPr>
                <w:lang w:eastAsia="ko-KR"/>
              </w:rPr>
            </w:pPr>
            <w:r w:rsidRPr="000F6CD1">
              <w:rPr>
                <w:lang w:eastAsia="ko-KR"/>
              </w:rPr>
              <w:t>  </w:t>
            </w:r>
          </w:p>
        </w:tc>
      </w:tr>
      <w:tr w:rsidR="004D556D" w:rsidRPr="000F6CD1" w14:paraId="594EDFA9" w14:textId="77777777" w:rsidTr="00141E2D">
        <w:trPr>
          <w:trHeight w:val="300"/>
        </w:trPr>
        <w:tc>
          <w:tcPr>
            <w:tcW w:w="1573" w:type="dxa"/>
            <w:shd w:val="clear" w:color="auto" w:fill="002060"/>
            <w:hideMark/>
          </w:tcPr>
          <w:p w14:paraId="22D3FB7D" w14:textId="77777777" w:rsidR="004D556D" w:rsidRPr="000F6CD1" w:rsidRDefault="004D556D" w:rsidP="005747E4">
            <w:pPr>
              <w:spacing w:before="120" w:after="120" w:line="240" w:lineRule="auto"/>
              <w:ind w:left="142"/>
              <w:rPr>
                <w:color w:val="FFFFFF" w:themeColor="background1"/>
                <w:lang w:eastAsia="ko-KR"/>
              </w:rPr>
            </w:pPr>
            <w:r w:rsidRPr="000F6CD1">
              <w:rPr>
                <w:color w:val="FFFFFF" w:themeColor="background1"/>
                <w:lang w:eastAsia="ko-KR"/>
              </w:rPr>
              <w:t>Ongoing  for residential care </w:t>
            </w:r>
          </w:p>
        </w:tc>
        <w:tc>
          <w:tcPr>
            <w:tcW w:w="1121" w:type="dxa"/>
            <w:hideMark/>
          </w:tcPr>
          <w:p w14:paraId="3963B2DE" w14:textId="77777777" w:rsidR="004D556D" w:rsidRPr="000F6CD1" w:rsidRDefault="004D556D" w:rsidP="005747E4">
            <w:pPr>
              <w:spacing w:before="120" w:after="120" w:line="240" w:lineRule="auto"/>
              <w:ind w:left="141"/>
              <w:rPr>
                <w:lang w:eastAsia="ko-KR"/>
              </w:rPr>
            </w:pPr>
            <w:r w:rsidRPr="000F6CD1">
              <w:rPr>
                <w:lang w:eastAsia="ko-KR"/>
              </w:rPr>
              <w:t>The individual  </w:t>
            </w:r>
          </w:p>
          <w:p w14:paraId="40D1BAED" w14:textId="77777777" w:rsidR="004D556D" w:rsidRPr="000F6CD1" w:rsidRDefault="004D556D" w:rsidP="005747E4">
            <w:pPr>
              <w:spacing w:before="120" w:after="120" w:line="240" w:lineRule="auto"/>
              <w:ind w:left="141"/>
              <w:rPr>
                <w:lang w:eastAsia="ko-KR"/>
              </w:rPr>
            </w:pPr>
            <w:r w:rsidRPr="000F6CD1">
              <w:rPr>
                <w:lang w:eastAsia="ko-KR"/>
              </w:rPr>
              <w:t>  </w:t>
            </w:r>
          </w:p>
          <w:p w14:paraId="48FCEC7D" w14:textId="77777777" w:rsidR="004D556D" w:rsidRPr="000F6CD1" w:rsidRDefault="004D556D" w:rsidP="005747E4">
            <w:pPr>
              <w:spacing w:before="120" w:after="120" w:line="240" w:lineRule="auto"/>
              <w:ind w:left="141"/>
              <w:rPr>
                <w:lang w:eastAsia="ko-KR"/>
              </w:rPr>
            </w:pPr>
            <w:r w:rsidRPr="000F6CD1">
              <w:rPr>
                <w:lang w:eastAsia="ko-KR"/>
              </w:rPr>
              <w:t>A registered provider on behalf of the individual  </w:t>
            </w:r>
          </w:p>
        </w:tc>
        <w:tc>
          <w:tcPr>
            <w:tcW w:w="6332" w:type="dxa"/>
            <w:hideMark/>
          </w:tcPr>
          <w:p w14:paraId="2A0961CF" w14:textId="77777777" w:rsidR="004D556D" w:rsidRPr="000F6CD1" w:rsidRDefault="004D556D" w:rsidP="005747E4">
            <w:pPr>
              <w:spacing w:before="120" w:after="120" w:line="240" w:lineRule="auto"/>
              <w:rPr>
                <w:lang w:eastAsia="ko-KR"/>
              </w:rPr>
            </w:pPr>
            <w:r w:rsidRPr="000F6CD1">
              <w:rPr>
                <w:lang w:eastAsia="ko-KR"/>
              </w:rPr>
              <w:t>If: </w:t>
            </w:r>
          </w:p>
          <w:p w14:paraId="44FA1957" w14:textId="77777777" w:rsidR="004D556D" w:rsidRPr="000F6CD1" w:rsidRDefault="004D556D" w:rsidP="00DF3F6B">
            <w:pPr>
              <w:numPr>
                <w:ilvl w:val="0"/>
                <w:numId w:val="323"/>
              </w:numPr>
              <w:spacing w:before="120" w:after="120" w:line="240" w:lineRule="auto"/>
              <w:rPr>
                <w:lang w:eastAsia="ko-KR"/>
              </w:rPr>
            </w:pPr>
            <w:r w:rsidRPr="000F6CD1">
              <w:rPr>
                <w:lang w:eastAsia="ko-KR"/>
              </w:rPr>
              <w:t xml:space="preserve">The registered provider is delivering ongoing funded aged care services to the individual through the service group in an approved residential care home; </w:t>
            </w:r>
            <w:r w:rsidRPr="000F6CD1">
              <w:rPr>
                <w:u w:val="single"/>
                <w:lang w:eastAsia="ko-KR"/>
              </w:rPr>
              <w:t>and</w:t>
            </w:r>
            <w:r w:rsidRPr="000F6CD1">
              <w:rPr>
                <w:lang w:eastAsia="ko-KR"/>
              </w:rPr>
              <w:t> </w:t>
            </w:r>
          </w:p>
          <w:p w14:paraId="49AB01F6" w14:textId="77777777" w:rsidR="004D556D" w:rsidRPr="000F6CD1" w:rsidRDefault="004D556D" w:rsidP="00DF3F6B">
            <w:pPr>
              <w:numPr>
                <w:ilvl w:val="0"/>
                <w:numId w:val="324"/>
              </w:numPr>
              <w:spacing w:before="120" w:after="120" w:line="240" w:lineRule="auto"/>
              <w:rPr>
                <w:lang w:eastAsia="ko-KR"/>
              </w:rPr>
            </w:pPr>
            <w:r w:rsidRPr="000F6CD1">
              <w:rPr>
                <w:lang w:eastAsia="ko-KR"/>
              </w:rPr>
              <w:t xml:space="preserve">the applicant considers a different classification level in the classification type for the service group should be approved for the individual; </w:t>
            </w:r>
            <w:r w:rsidRPr="000F6CD1">
              <w:rPr>
                <w:u w:val="single"/>
                <w:lang w:eastAsia="ko-KR"/>
              </w:rPr>
              <w:t>and</w:t>
            </w:r>
            <w:r w:rsidRPr="000F6CD1">
              <w:rPr>
                <w:lang w:eastAsia="ko-KR"/>
              </w:rPr>
              <w:t> </w:t>
            </w:r>
          </w:p>
          <w:p w14:paraId="40770EA9" w14:textId="77777777" w:rsidR="004D556D" w:rsidRPr="000F6CD1" w:rsidRDefault="004D556D" w:rsidP="00DF3F6B">
            <w:pPr>
              <w:numPr>
                <w:ilvl w:val="0"/>
                <w:numId w:val="325"/>
              </w:numPr>
              <w:spacing w:before="120" w:after="120" w:line="240" w:lineRule="auto"/>
              <w:rPr>
                <w:lang w:eastAsia="ko-KR"/>
              </w:rPr>
            </w:pPr>
            <w:r w:rsidRPr="000F6CD1">
              <w:rPr>
                <w:lang w:eastAsia="ko-KR"/>
              </w:rPr>
              <w:t xml:space="preserve">the funded aged care services are </w:t>
            </w:r>
            <w:r w:rsidRPr="000F6CD1">
              <w:rPr>
                <w:u w:val="single"/>
                <w:lang w:eastAsia="ko-KR"/>
              </w:rPr>
              <w:t>not</w:t>
            </w:r>
            <w:r w:rsidRPr="000F6CD1">
              <w:rPr>
                <w:lang w:eastAsia="ko-KR"/>
              </w:rPr>
              <w:t xml:space="preserve"> being delivered under a specialist aged care program; </w:t>
            </w:r>
            <w:r w:rsidRPr="000F6CD1">
              <w:rPr>
                <w:u w:val="single"/>
                <w:lang w:eastAsia="ko-KR"/>
              </w:rPr>
              <w:t>and</w:t>
            </w:r>
            <w:r w:rsidRPr="000F6CD1">
              <w:rPr>
                <w:lang w:eastAsia="ko-KR"/>
              </w:rPr>
              <w:t> </w:t>
            </w:r>
          </w:p>
          <w:p w14:paraId="327A507F" w14:textId="77777777" w:rsidR="004D556D" w:rsidRPr="000F6CD1" w:rsidRDefault="004D556D" w:rsidP="00DF3F6B">
            <w:pPr>
              <w:numPr>
                <w:ilvl w:val="0"/>
                <w:numId w:val="326"/>
              </w:numPr>
              <w:spacing w:before="120" w:after="120" w:line="240" w:lineRule="auto"/>
              <w:rPr>
                <w:lang w:eastAsia="ko-KR"/>
              </w:rPr>
            </w:pPr>
            <w:r w:rsidRPr="000F6CD1">
              <w:rPr>
                <w:lang w:eastAsia="ko-KR"/>
              </w:rPr>
              <w:t>either of the following apply: </w:t>
            </w:r>
          </w:p>
          <w:p w14:paraId="196EEF95" w14:textId="77777777" w:rsidR="004D556D" w:rsidRPr="000F6CD1" w:rsidRDefault="004D556D" w:rsidP="00DF3F6B">
            <w:pPr>
              <w:numPr>
                <w:ilvl w:val="0"/>
                <w:numId w:val="327"/>
              </w:numPr>
              <w:spacing w:before="120" w:after="120" w:line="240" w:lineRule="auto"/>
              <w:rPr>
                <w:lang w:eastAsia="ko-KR"/>
              </w:rPr>
            </w:pPr>
            <w:r w:rsidRPr="000F6CD1">
              <w:rPr>
                <w:lang w:eastAsia="ko-KR"/>
              </w:rPr>
              <w:t>if the rules prescribe a time period—not more than the number of applications prescribed by the rules have been made for the individual under subsection 82(2) of the Act in that time period; </w:t>
            </w:r>
          </w:p>
          <w:p w14:paraId="4FE9D9A1" w14:textId="77777777" w:rsidR="004D556D" w:rsidRPr="000F6CD1" w:rsidRDefault="004D556D" w:rsidP="00DF3F6B">
            <w:pPr>
              <w:numPr>
                <w:ilvl w:val="0"/>
                <w:numId w:val="328"/>
              </w:numPr>
              <w:spacing w:before="120" w:after="120" w:line="240" w:lineRule="auto"/>
              <w:rPr>
                <w:lang w:eastAsia="ko-KR"/>
              </w:rPr>
            </w:pPr>
            <w:r w:rsidRPr="000F6CD1">
              <w:rPr>
                <w:lang w:eastAsia="ko-KR"/>
              </w:rPr>
              <w:t> it is considered the circumstances (if any) prescribed by the Rules apply. </w:t>
            </w:r>
          </w:p>
        </w:tc>
      </w:tr>
      <w:tr w:rsidR="004D556D" w:rsidRPr="000F6CD1" w14:paraId="39F6D94D" w14:textId="77777777" w:rsidTr="00141E2D">
        <w:trPr>
          <w:trHeight w:val="300"/>
        </w:trPr>
        <w:tc>
          <w:tcPr>
            <w:tcW w:w="1573" w:type="dxa"/>
            <w:shd w:val="clear" w:color="auto" w:fill="002060"/>
            <w:hideMark/>
          </w:tcPr>
          <w:p w14:paraId="41E73EFF" w14:textId="77777777" w:rsidR="004D556D" w:rsidRPr="000F6CD1" w:rsidRDefault="004D556D" w:rsidP="005747E4">
            <w:pPr>
              <w:spacing w:before="120" w:after="120" w:line="240" w:lineRule="auto"/>
              <w:ind w:left="142"/>
              <w:rPr>
                <w:color w:val="FFFFFF" w:themeColor="background1"/>
                <w:lang w:eastAsia="ko-KR"/>
              </w:rPr>
            </w:pPr>
            <w:r w:rsidRPr="000F6CD1">
              <w:rPr>
                <w:color w:val="FFFFFF" w:themeColor="background1"/>
                <w:lang w:eastAsia="ko-KR"/>
              </w:rPr>
              <w:t>Short-term for residential care </w:t>
            </w:r>
          </w:p>
        </w:tc>
        <w:tc>
          <w:tcPr>
            <w:tcW w:w="1121" w:type="dxa"/>
            <w:hideMark/>
          </w:tcPr>
          <w:p w14:paraId="5F6885FD" w14:textId="77777777" w:rsidR="004D556D" w:rsidRPr="000F6CD1" w:rsidRDefault="004D556D" w:rsidP="005747E4">
            <w:pPr>
              <w:spacing w:before="120" w:after="120" w:line="240" w:lineRule="auto"/>
              <w:ind w:left="141"/>
              <w:rPr>
                <w:lang w:eastAsia="ko-KR"/>
              </w:rPr>
            </w:pPr>
            <w:r w:rsidRPr="000F6CD1">
              <w:rPr>
                <w:lang w:eastAsia="ko-KR"/>
              </w:rPr>
              <w:t>The individual  </w:t>
            </w:r>
          </w:p>
          <w:p w14:paraId="47E93472" w14:textId="77777777" w:rsidR="004D556D" w:rsidRPr="000F6CD1" w:rsidRDefault="004D556D" w:rsidP="005747E4">
            <w:pPr>
              <w:spacing w:before="120" w:after="120" w:line="240" w:lineRule="auto"/>
              <w:ind w:left="141"/>
              <w:rPr>
                <w:lang w:eastAsia="ko-KR"/>
              </w:rPr>
            </w:pPr>
            <w:r w:rsidRPr="000F6CD1">
              <w:rPr>
                <w:lang w:eastAsia="ko-KR"/>
              </w:rPr>
              <w:t>  </w:t>
            </w:r>
          </w:p>
          <w:p w14:paraId="588DC4B7" w14:textId="77777777" w:rsidR="004D556D" w:rsidRPr="000F6CD1" w:rsidRDefault="004D556D" w:rsidP="005747E4">
            <w:pPr>
              <w:spacing w:before="120" w:after="120" w:line="240" w:lineRule="auto"/>
              <w:ind w:left="141"/>
              <w:rPr>
                <w:lang w:eastAsia="ko-KR"/>
              </w:rPr>
            </w:pPr>
            <w:r w:rsidRPr="000F6CD1">
              <w:rPr>
                <w:lang w:eastAsia="ko-KR"/>
              </w:rPr>
              <w:t>The registered provider on behalf of the individual  </w:t>
            </w:r>
          </w:p>
        </w:tc>
        <w:tc>
          <w:tcPr>
            <w:tcW w:w="6332" w:type="dxa"/>
            <w:hideMark/>
          </w:tcPr>
          <w:p w14:paraId="51C08F60" w14:textId="77777777" w:rsidR="004D556D" w:rsidRPr="000F6CD1" w:rsidRDefault="004D556D" w:rsidP="005747E4">
            <w:pPr>
              <w:spacing w:before="120" w:after="120" w:line="240" w:lineRule="auto"/>
              <w:rPr>
                <w:lang w:eastAsia="ko-KR"/>
              </w:rPr>
            </w:pPr>
            <w:r w:rsidRPr="000F6CD1">
              <w:rPr>
                <w:lang w:eastAsia="ko-KR"/>
              </w:rPr>
              <w:t>If: </w:t>
            </w:r>
          </w:p>
          <w:p w14:paraId="6349291E" w14:textId="77777777" w:rsidR="004D556D" w:rsidRPr="000F6CD1" w:rsidRDefault="004D556D" w:rsidP="005747E4">
            <w:pPr>
              <w:spacing w:before="120" w:after="120" w:line="240" w:lineRule="auto"/>
              <w:rPr>
                <w:lang w:eastAsia="ko-KR"/>
              </w:rPr>
            </w:pPr>
            <w:r w:rsidRPr="000F6CD1">
              <w:rPr>
                <w:lang w:eastAsia="ko-KR"/>
              </w:rPr>
              <w:t>  </w:t>
            </w:r>
          </w:p>
          <w:p w14:paraId="08BB5C89" w14:textId="77777777" w:rsidR="004D556D" w:rsidRPr="000F6CD1" w:rsidRDefault="004D556D" w:rsidP="00DF3F6B">
            <w:pPr>
              <w:numPr>
                <w:ilvl w:val="0"/>
                <w:numId w:val="329"/>
              </w:numPr>
              <w:spacing w:before="120" w:after="120" w:line="240" w:lineRule="auto"/>
              <w:rPr>
                <w:lang w:eastAsia="ko-KR"/>
              </w:rPr>
            </w:pPr>
            <w:r w:rsidRPr="000F6CD1">
              <w:rPr>
                <w:lang w:eastAsia="ko-KR"/>
              </w:rPr>
              <w:t xml:space="preserve">the applicant considers a different classification level in the classification type for the service group should be approved for the individual; </w:t>
            </w:r>
            <w:r w:rsidRPr="000F6CD1">
              <w:rPr>
                <w:u w:val="single"/>
                <w:lang w:eastAsia="ko-KR"/>
              </w:rPr>
              <w:t>and</w:t>
            </w:r>
            <w:r w:rsidRPr="000F6CD1">
              <w:rPr>
                <w:lang w:eastAsia="ko-KR"/>
              </w:rPr>
              <w:t> </w:t>
            </w:r>
          </w:p>
          <w:p w14:paraId="16D9B82F" w14:textId="77777777" w:rsidR="004D556D" w:rsidRPr="000F6CD1" w:rsidRDefault="004D556D" w:rsidP="00DF3F6B">
            <w:pPr>
              <w:numPr>
                <w:ilvl w:val="0"/>
                <w:numId w:val="330"/>
              </w:numPr>
              <w:spacing w:before="120" w:after="120" w:line="240" w:lineRule="auto"/>
              <w:rPr>
                <w:lang w:eastAsia="ko-KR"/>
              </w:rPr>
            </w:pPr>
            <w:r w:rsidRPr="000F6CD1">
              <w:rPr>
                <w:lang w:eastAsia="ko-KR"/>
              </w:rPr>
              <w:t xml:space="preserve"> an access approval is in effect for the individual for the classification type for the service group; </w:t>
            </w:r>
            <w:r w:rsidRPr="000F6CD1">
              <w:rPr>
                <w:u w:val="single"/>
                <w:lang w:eastAsia="ko-KR"/>
              </w:rPr>
              <w:t>and</w:t>
            </w:r>
            <w:r w:rsidRPr="000F6CD1">
              <w:rPr>
                <w:lang w:eastAsia="ko-KR"/>
              </w:rPr>
              <w:t> </w:t>
            </w:r>
          </w:p>
          <w:p w14:paraId="397B9055" w14:textId="77777777" w:rsidR="004D556D" w:rsidRPr="000F6CD1" w:rsidRDefault="004D556D" w:rsidP="00DF3F6B">
            <w:pPr>
              <w:numPr>
                <w:ilvl w:val="0"/>
                <w:numId w:val="331"/>
              </w:numPr>
              <w:spacing w:before="120" w:after="120" w:line="240" w:lineRule="auto"/>
              <w:rPr>
                <w:lang w:eastAsia="ko-KR"/>
              </w:rPr>
            </w:pPr>
            <w:r w:rsidRPr="000F6CD1">
              <w:rPr>
                <w:lang w:eastAsia="ko-KR"/>
              </w:rPr>
              <w:lastRenderedPageBreak/>
              <w:t>if the application is made by the registered provider: </w:t>
            </w:r>
          </w:p>
          <w:p w14:paraId="545CDBA1" w14:textId="77777777" w:rsidR="004D556D" w:rsidRPr="000F6CD1" w:rsidRDefault="004D556D" w:rsidP="00DF3F6B">
            <w:pPr>
              <w:numPr>
                <w:ilvl w:val="0"/>
                <w:numId w:val="332"/>
              </w:numPr>
              <w:spacing w:before="120" w:after="120" w:line="240" w:lineRule="auto"/>
              <w:rPr>
                <w:lang w:eastAsia="ko-KR"/>
              </w:rPr>
            </w:pPr>
            <w:r w:rsidRPr="000F6CD1">
              <w:rPr>
                <w:lang w:eastAsia="ko-KR"/>
              </w:rPr>
              <w:t>the registered provider is delivering short</w:t>
            </w:r>
            <w:r w:rsidRPr="000F6CD1">
              <w:rPr>
                <w:lang w:eastAsia="ko-KR"/>
              </w:rPr>
              <w:noBreakHyphen/>
              <w:t>term funded aged care services through the residential care service group to the individual in an approved residential care home; and </w:t>
            </w:r>
          </w:p>
          <w:p w14:paraId="096285A9" w14:textId="77777777" w:rsidR="004D556D" w:rsidRPr="000F6CD1" w:rsidRDefault="004D556D" w:rsidP="00DF3F6B">
            <w:pPr>
              <w:numPr>
                <w:ilvl w:val="0"/>
                <w:numId w:val="333"/>
              </w:numPr>
              <w:spacing w:before="120" w:after="120" w:line="240" w:lineRule="auto"/>
              <w:rPr>
                <w:lang w:eastAsia="ko-KR"/>
              </w:rPr>
            </w:pPr>
            <w:r w:rsidRPr="000F6CD1">
              <w:rPr>
                <w:lang w:eastAsia="ko-KR"/>
              </w:rPr>
              <w:t xml:space="preserve">those funded aged care services are </w:t>
            </w:r>
            <w:r w:rsidRPr="000F6CD1">
              <w:rPr>
                <w:u w:val="single"/>
                <w:lang w:eastAsia="ko-KR"/>
              </w:rPr>
              <w:t>not</w:t>
            </w:r>
            <w:r w:rsidRPr="000F6CD1">
              <w:rPr>
                <w:lang w:eastAsia="ko-KR"/>
              </w:rPr>
              <w:t xml:space="preserve"> being delivered under a specialist aged care program; </w:t>
            </w:r>
            <w:r w:rsidRPr="000F6CD1">
              <w:rPr>
                <w:u w:val="single"/>
                <w:lang w:eastAsia="ko-KR"/>
              </w:rPr>
              <w:t>and </w:t>
            </w:r>
            <w:r w:rsidRPr="000F6CD1">
              <w:rPr>
                <w:lang w:eastAsia="ko-KR"/>
              </w:rPr>
              <w:t> </w:t>
            </w:r>
          </w:p>
          <w:p w14:paraId="23AE5387" w14:textId="77777777" w:rsidR="004D556D" w:rsidRPr="000F6CD1" w:rsidRDefault="004D556D" w:rsidP="00DF3F6B">
            <w:pPr>
              <w:numPr>
                <w:ilvl w:val="0"/>
                <w:numId w:val="334"/>
              </w:numPr>
              <w:spacing w:before="120" w:after="120" w:line="240" w:lineRule="auto"/>
              <w:rPr>
                <w:lang w:eastAsia="ko-KR"/>
              </w:rPr>
            </w:pPr>
            <w:r w:rsidRPr="000F6CD1">
              <w:rPr>
                <w:lang w:eastAsia="ko-KR"/>
              </w:rPr>
              <w:t>either of the following apply: </w:t>
            </w:r>
          </w:p>
          <w:p w14:paraId="71C71F2F" w14:textId="77777777" w:rsidR="004D556D" w:rsidRPr="000F6CD1" w:rsidRDefault="004D556D" w:rsidP="00DF3F6B">
            <w:pPr>
              <w:numPr>
                <w:ilvl w:val="0"/>
                <w:numId w:val="335"/>
              </w:numPr>
              <w:spacing w:before="120" w:after="120" w:line="240" w:lineRule="auto"/>
              <w:rPr>
                <w:lang w:eastAsia="ko-KR"/>
              </w:rPr>
            </w:pPr>
            <w:r w:rsidRPr="000F6CD1">
              <w:rPr>
                <w:lang w:eastAsia="ko-KR"/>
              </w:rPr>
              <w:t>if the rules prescribe a time period—not more than the number of applications prescribed by the rules have been made for the individual under subsection 82(3) of the Act in that time period; </w:t>
            </w:r>
          </w:p>
          <w:p w14:paraId="7F04304D" w14:textId="77777777" w:rsidR="004D556D" w:rsidRPr="000F6CD1" w:rsidRDefault="004D556D" w:rsidP="00DF3F6B">
            <w:pPr>
              <w:numPr>
                <w:ilvl w:val="0"/>
                <w:numId w:val="336"/>
              </w:numPr>
              <w:spacing w:before="120" w:after="120" w:line="240" w:lineRule="auto"/>
              <w:rPr>
                <w:lang w:eastAsia="ko-KR"/>
              </w:rPr>
            </w:pPr>
            <w:r w:rsidRPr="000F6CD1">
              <w:rPr>
                <w:lang w:eastAsia="ko-KR"/>
              </w:rPr>
              <w:t>it is considered the circumstances (if any) prescribed by the Rules apply. </w:t>
            </w:r>
          </w:p>
          <w:p w14:paraId="5EBDFF45" w14:textId="77777777" w:rsidR="004D556D" w:rsidRPr="000F6CD1" w:rsidRDefault="004D556D" w:rsidP="005747E4">
            <w:pPr>
              <w:spacing w:before="120" w:after="120" w:line="240" w:lineRule="auto"/>
              <w:rPr>
                <w:lang w:eastAsia="ko-KR"/>
              </w:rPr>
            </w:pPr>
            <w:r w:rsidRPr="000F6CD1">
              <w:rPr>
                <w:lang w:eastAsia="ko-KR"/>
              </w:rPr>
              <w:t>  </w:t>
            </w:r>
          </w:p>
        </w:tc>
      </w:tr>
      <w:tr w:rsidR="004D556D" w:rsidRPr="000F6CD1" w14:paraId="7EFCC9E6" w14:textId="77777777" w:rsidTr="00141E2D">
        <w:trPr>
          <w:trHeight w:val="300"/>
        </w:trPr>
        <w:tc>
          <w:tcPr>
            <w:tcW w:w="1573" w:type="dxa"/>
            <w:shd w:val="clear" w:color="auto" w:fill="002060"/>
            <w:hideMark/>
          </w:tcPr>
          <w:p w14:paraId="4DFB33A4" w14:textId="77777777" w:rsidR="004D556D" w:rsidRPr="000F6CD1" w:rsidRDefault="004D556D" w:rsidP="005747E4">
            <w:pPr>
              <w:spacing w:before="120" w:after="120" w:line="240" w:lineRule="auto"/>
              <w:ind w:left="142"/>
              <w:rPr>
                <w:color w:val="FFFFFF" w:themeColor="background1"/>
                <w:lang w:eastAsia="ko-KR"/>
              </w:rPr>
            </w:pPr>
            <w:r w:rsidRPr="000F6CD1">
              <w:rPr>
                <w:color w:val="FFFFFF" w:themeColor="background1"/>
                <w:lang w:eastAsia="ko-KR"/>
              </w:rPr>
              <w:lastRenderedPageBreak/>
              <w:t>Hospital transition (for any service group) </w:t>
            </w:r>
          </w:p>
        </w:tc>
        <w:tc>
          <w:tcPr>
            <w:tcW w:w="1121" w:type="dxa"/>
            <w:hideMark/>
          </w:tcPr>
          <w:p w14:paraId="38F8FE29" w14:textId="77777777" w:rsidR="004D556D" w:rsidRPr="000F6CD1" w:rsidRDefault="004D556D" w:rsidP="005747E4">
            <w:pPr>
              <w:spacing w:before="120" w:after="120" w:line="240" w:lineRule="auto"/>
              <w:ind w:left="141"/>
              <w:rPr>
                <w:lang w:eastAsia="ko-KR"/>
              </w:rPr>
            </w:pPr>
            <w:r w:rsidRPr="000F6CD1">
              <w:rPr>
                <w:lang w:eastAsia="ko-KR"/>
              </w:rPr>
              <w:t>A registered provider on behalf of an individual  </w:t>
            </w:r>
          </w:p>
        </w:tc>
        <w:tc>
          <w:tcPr>
            <w:tcW w:w="6332" w:type="dxa"/>
            <w:hideMark/>
          </w:tcPr>
          <w:p w14:paraId="433B2DBB" w14:textId="77777777" w:rsidR="004D556D" w:rsidRPr="000F6CD1" w:rsidRDefault="004D556D" w:rsidP="005747E4">
            <w:pPr>
              <w:spacing w:before="120" w:after="120" w:line="240" w:lineRule="auto"/>
              <w:rPr>
                <w:lang w:eastAsia="ko-KR"/>
              </w:rPr>
            </w:pPr>
            <w:r w:rsidRPr="000F6CD1">
              <w:rPr>
                <w:lang w:eastAsia="ko-KR"/>
              </w:rPr>
              <w:t>All of the following apply: </w:t>
            </w:r>
          </w:p>
          <w:p w14:paraId="505639AC" w14:textId="77777777" w:rsidR="004D556D" w:rsidRPr="000F6CD1" w:rsidRDefault="004D556D" w:rsidP="005747E4">
            <w:pPr>
              <w:spacing w:before="120" w:after="120" w:line="240" w:lineRule="auto"/>
              <w:rPr>
                <w:lang w:eastAsia="ko-KR"/>
              </w:rPr>
            </w:pPr>
            <w:r w:rsidRPr="000F6CD1">
              <w:rPr>
                <w:lang w:eastAsia="ko-KR"/>
              </w:rPr>
              <w:t>the registered provider is delivering hospital transition funded aged care services to the individual through the service group; and </w:t>
            </w:r>
          </w:p>
          <w:p w14:paraId="16EF540D" w14:textId="77777777" w:rsidR="004D556D" w:rsidRPr="000F6CD1" w:rsidRDefault="004D556D" w:rsidP="00DF3F6B">
            <w:pPr>
              <w:numPr>
                <w:ilvl w:val="0"/>
                <w:numId w:val="337"/>
              </w:numPr>
              <w:spacing w:before="120" w:after="120" w:line="240" w:lineRule="auto"/>
              <w:rPr>
                <w:lang w:eastAsia="ko-KR"/>
              </w:rPr>
            </w:pPr>
            <w:r w:rsidRPr="000F6CD1">
              <w:rPr>
                <w:lang w:eastAsia="ko-KR"/>
              </w:rPr>
              <w:t>the registered provider or the individual considers that an extension of the period of effect for the classification level that is in effect for the individual for the classification type for the service group should be approved for the individual. </w:t>
            </w:r>
          </w:p>
          <w:p w14:paraId="76784505" w14:textId="77777777" w:rsidR="004D556D" w:rsidRPr="000F6CD1" w:rsidRDefault="004D556D" w:rsidP="005747E4">
            <w:pPr>
              <w:spacing w:before="120" w:after="120" w:line="240" w:lineRule="auto"/>
              <w:rPr>
                <w:lang w:eastAsia="ko-KR"/>
              </w:rPr>
            </w:pPr>
            <w:r w:rsidRPr="000F6CD1">
              <w:rPr>
                <w:lang w:eastAsia="ko-KR"/>
              </w:rPr>
              <w:t>  </w:t>
            </w:r>
          </w:p>
        </w:tc>
      </w:tr>
    </w:tbl>
    <w:p w14:paraId="42DA6AC6" w14:textId="77777777" w:rsidR="004D556D" w:rsidRPr="000F6CD1" w:rsidRDefault="004D556D" w:rsidP="00622CFF">
      <w:pPr>
        <w:spacing w:before="240" w:after="240" w:line="240" w:lineRule="auto"/>
        <w:rPr>
          <w:lang w:eastAsia="ko-KR"/>
        </w:rPr>
      </w:pPr>
      <w:r w:rsidRPr="000F6CD1">
        <w:rPr>
          <w:lang w:eastAsia="ko-KR"/>
        </w:rPr>
        <w:t>When a reassessment is needed (for all classifications expect those for the residential care service group), Triage Delegates will review the application, considering the individual’s current care needs and whether they still meet the requirements for a classification reassessment. </w:t>
      </w:r>
    </w:p>
    <w:p w14:paraId="503F0F43" w14:textId="77777777" w:rsidR="00442976" w:rsidRDefault="004D556D" w:rsidP="00622CFF">
      <w:pPr>
        <w:spacing w:before="240" w:after="240" w:line="240" w:lineRule="auto"/>
        <w:rPr>
          <w:lang w:eastAsia="ko-KR"/>
        </w:rPr>
      </w:pPr>
      <w:r w:rsidRPr="000F6CD1">
        <w:rPr>
          <w:lang w:eastAsia="ko-KR"/>
        </w:rPr>
        <w:t>If the application meets the necessary criteria, the assessor will complete a reassessment. The assessment</w:t>
      </w:r>
      <w:r w:rsidRPr="000F6CD1" w:rsidDel="003D12B2">
        <w:rPr>
          <w:lang w:eastAsia="ko-KR"/>
        </w:rPr>
        <w:t xml:space="preserve"> </w:t>
      </w:r>
      <w:r w:rsidRPr="000F6CD1">
        <w:rPr>
          <w:lang w:eastAsia="ko-KR"/>
        </w:rPr>
        <w:t xml:space="preserve">delegate will decide whether to approve a different classification level for the classification type for a service group or an extension of the classification level (if relevant) under section 78 of the Act. All new decisions will be documented in a new Notice of Decision letter. </w:t>
      </w:r>
    </w:p>
    <w:p w14:paraId="1CEBA92E" w14:textId="5156E273" w:rsidR="004D556D" w:rsidRPr="000F6CD1" w:rsidRDefault="00442976" w:rsidP="00442976">
      <w:pPr>
        <w:rPr>
          <w:lang w:eastAsia="ko-KR"/>
        </w:rPr>
      </w:pPr>
      <w:r>
        <w:rPr>
          <w:lang w:eastAsia="ko-KR"/>
        </w:rPr>
        <w:br w:type="page"/>
      </w:r>
    </w:p>
    <w:p w14:paraId="1E39554F" w14:textId="01F05778" w:rsidR="004D556D" w:rsidRPr="000F6CD1" w:rsidRDefault="004D556D" w:rsidP="00806A21">
      <w:pPr>
        <w:pStyle w:val="Sub-headings"/>
      </w:pPr>
      <w:r w:rsidRPr="000F6CD1">
        <w:lastRenderedPageBreak/>
        <w:t>Note</w:t>
      </w:r>
      <w:r w:rsidR="00027158">
        <w:t>:</w:t>
      </w:r>
    </w:p>
    <w:p w14:paraId="188A749E" w14:textId="77777777" w:rsidR="004D556D" w:rsidRPr="000F6CD1" w:rsidRDefault="004D556D" w:rsidP="00806A21">
      <w:pPr>
        <w:pStyle w:val="Sub-headings"/>
      </w:pPr>
      <w:r w:rsidRPr="000F6CD1">
        <w:t xml:space="preserve">Individuals who are reassessed and approved for a higher classification level while awaiting funding in the Support at Home Priority System will have their position in the queue for their priority category based on their original approval date. If a new priority category is assigned, the individual’s record in the system will be moved to that new priority category and their position in the queue is based on the original approval date. </w:t>
      </w:r>
    </w:p>
    <w:p w14:paraId="12A89EBA" w14:textId="77777777" w:rsidR="004D556D" w:rsidRPr="000F6CD1" w:rsidRDefault="004D556D" w:rsidP="00AD2CE5">
      <w:pPr>
        <w:pStyle w:val="H3"/>
      </w:pPr>
      <w:bookmarkStart w:id="906" w:name="_Toc198813701"/>
      <w:r w:rsidRPr="000F6CD1">
        <w:t>Criteria for SPRs and reassessments by program</w:t>
      </w:r>
      <w:bookmarkEnd w:id="906"/>
    </w:p>
    <w:p w14:paraId="69DE0A6D" w14:textId="77777777" w:rsidR="004D556D" w:rsidRPr="000F6CD1" w:rsidRDefault="004D556D" w:rsidP="00622CFF">
      <w:pPr>
        <w:spacing w:before="240" w:after="240" w:line="240" w:lineRule="auto"/>
      </w:pPr>
      <w:r w:rsidRPr="000F6CD1">
        <w:t xml:space="preserve">The table below describes the circumstances in which a SPR is required versus a reassessment. </w:t>
      </w:r>
    </w:p>
    <w:p w14:paraId="0642F508" w14:textId="77777777" w:rsidR="004D556D" w:rsidRPr="000F6CD1" w:rsidRDefault="004D556D" w:rsidP="00622CFF">
      <w:pPr>
        <w:pStyle w:val="Caption"/>
        <w:spacing w:before="240" w:after="240"/>
      </w:pPr>
      <w:r w:rsidRPr="000F6CD1">
        <w:t xml:space="preserve">Table 55. Circumstances when an SPR is required versus a reassessment </w:t>
      </w:r>
    </w:p>
    <w:tbl>
      <w:tblPr>
        <w:tblW w:w="0" w:type="auto"/>
        <w:tblBorders>
          <w:bottom w:val="single" w:sz="4" w:space="0" w:color="auto"/>
          <w:insideH w:val="single" w:sz="4" w:space="0" w:color="auto"/>
        </w:tblBorders>
        <w:tblLayout w:type="fixed"/>
        <w:tblLook w:val="0480" w:firstRow="0" w:lastRow="0" w:firstColumn="1" w:lastColumn="0" w:noHBand="0" w:noVBand="1"/>
        <w:tblCaption w:val="Circumstances when an SPR is required versus reassessment"/>
        <w:tblDescription w:val="The table details the circumstances when an SPR is required versus reassessment"/>
      </w:tblPr>
      <w:tblGrid>
        <w:gridCol w:w="1620"/>
        <w:gridCol w:w="3323"/>
        <w:gridCol w:w="4015"/>
      </w:tblGrid>
      <w:tr w:rsidR="004D556D" w:rsidRPr="000F6CD1" w14:paraId="5194F768" w14:textId="77777777" w:rsidTr="00291B57">
        <w:trPr>
          <w:trHeight w:val="300"/>
          <w:tblHeader/>
        </w:trPr>
        <w:tc>
          <w:tcPr>
            <w:tcW w:w="1620" w:type="dxa"/>
            <w:shd w:val="clear" w:color="auto" w:fill="002060"/>
          </w:tcPr>
          <w:p w14:paraId="51BEE9EE" w14:textId="77777777" w:rsidR="004D556D" w:rsidRPr="000F6CD1" w:rsidRDefault="004D556D" w:rsidP="005747E4">
            <w:pPr>
              <w:spacing w:before="120" w:after="120" w:line="240" w:lineRule="auto"/>
              <w:rPr>
                <w:b/>
                <w:szCs w:val="22"/>
              </w:rPr>
            </w:pPr>
            <w:r w:rsidRPr="000F6CD1">
              <w:rPr>
                <w:b/>
                <w:bCs/>
                <w:color w:val="FFFFFF" w:themeColor="background1"/>
                <w:szCs w:val="22"/>
              </w:rPr>
              <w:t>Program</w:t>
            </w:r>
          </w:p>
        </w:tc>
        <w:tc>
          <w:tcPr>
            <w:tcW w:w="3323" w:type="dxa"/>
            <w:shd w:val="clear" w:color="auto" w:fill="002060"/>
            <w:vAlign w:val="center"/>
          </w:tcPr>
          <w:p w14:paraId="242127E1" w14:textId="77777777" w:rsidR="004D556D" w:rsidRPr="000F6CD1" w:rsidRDefault="004D556D" w:rsidP="005747E4">
            <w:pPr>
              <w:spacing w:before="120" w:after="120" w:line="240" w:lineRule="auto"/>
              <w:rPr>
                <w:b/>
                <w:color w:val="FFFFFF" w:themeColor="background1"/>
              </w:rPr>
            </w:pPr>
            <w:r w:rsidRPr="000F6CD1">
              <w:rPr>
                <w:b/>
                <w:color w:val="FFFFFF" w:themeColor="background1"/>
              </w:rPr>
              <w:t xml:space="preserve">Support </w:t>
            </w:r>
            <w:r w:rsidRPr="000F6CD1">
              <w:rPr>
                <w:b/>
                <w:bCs/>
                <w:color w:val="FFFFFF" w:themeColor="background1"/>
              </w:rPr>
              <w:t>plan r</w:t>
            </w:r>
            <w:r w:rsidRPr="000F6CD1">
              <w:rPr>
                <w:b/>
                <w:color w:val="FFFFFF" w:themeColor="background1"/>
              </w:rPr>
              <w:t>eview</w:t>
            </w:r>
          </w:p>
        </w:tc>
        <w:tc>
          <w:tcPr>
            <w:tcW w:w="4015" w:type="dxa"/>
            <w:shd w:val="clear" w:color="auto" w:fill="002060"/>
            <w:vAlign w:val="center"/>
          </w:tcPr>
          <w:p w14:paraId="2703A31B"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Reassessment</w:t>
            </w:r>
          </w:p>
        </w:tc>
      </w:tr>
      <w:tr w:rsidR="004D556D" w:rsidRPr="000F6CD1" w14:paraId="53155DD5" w14:textId="77777777" w:rsidTr="00291B57">
        <w:trPr>
          <w:trHeight w:val="300"/>
        </w:trPr>
        <w:tc>
          <w:tcPr>
            <w:tcW w:w="1620" w:type="dxa"/>
            <w:shd w:val="clear" w:color="auto" w:fill="002060"/>
          </w:tcPr>
          <w:p w14:paraId="5AE43E40"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Ongoing Support at Home 1-8 </w:t>
            </w:r>
          </w:p>
        </w:tc>
        <w:tc>
          <w:tcPr>
            <w:tcW w:w="3323" w:type="dxa"/>
          </w:tcPr>
          <w:p w14:paraId="0135058E" w14:textId="77777777" w:rsidR="004D556D" w:rsidRPr="000F6CD1" w:rsidRDefault="004D556D" w:rsidP="005747E4">
            <w:pPr>
              <w:pStyle w:val="NoSpacing"/>
              <w:spacing w:before="120" w:after="120" w:line="240" w:lineRule="auto"/>
              <w:rPr>
                <w:rFonts w:ascii="Arial" w:eastAsia="Arial" w:hAnsi="Arial" w:cs="Arial"/>
                <w:sz w:val="22"/>
                <w:szCs w:val="22"/>
              </w:rPr>
            </w:pPr>
            <w:r w:rsidRPr="000F6CD1">
              <w:rPr>
                <w:rFonts w:ascii="Arial" w:hAnsi="Arial" w:cs="Arial"/>
                <w:sz w:val="22"/>
                <w:szCs w:val="22"/>
              </w:rPr>
              <w:t xml:space="preserve">Approval for additional service types, or for additional services within the prescribed service types that have already been included in the support plan and is within the current SaH classification. </w:t>
            </w:r>
            <w:r w:rsidRPr="000F6CD1">
              <w:rPr>
                <w:rFonts w:ascii="Arial" w:eastAsia="Arial" w:hAnsi="Arial" w:cs="Arial"/>
                <w:sz w:val="22"/>
                <w:szCs w:val="22"/>
              </w:rPr>
              <w:t>This can be submitted by the older person’s Support at Home provider.</w:t>
            </w:r>
          </w:p>
        </w:tc>
        <w:tc>
          <w:tcPr>
            <w:tcW w:w="4015" w:type="dxa"/>
          </w:tcPr>
          <w:p w14:paraId="6A22C611" w14:textId="77777777" w:rsidR="004D556D" w:rsidRPr="000F6CD1" w:rsidRDefault="004D556D" w:rsidP="005747E4">
            <w:pPr>
              <w:spacing w:before="120" w:after="120" w:line="240" w:lineRule="auto"/>
              <w:rPr>
                <w:szCs w:val="22"/>
              </w:rPr>
            </w:pPr>
            <w:r w:rsidRPr="000F6CD1">
              <w:rPr>
                <w:szCs w:val="22"/>
              </w:rPr>
              <w:t xml:space="preserve">An older person’s circumstances have changed significantly that is likely to mean that they will require a higher classification level, with more frequent or a different type of funded aged care service. e.g. the individual’s caring arrangements have ceased, permanently, to provide some or all care to the individual; or the individual has experienced an event, or a decline in their condition. </w:t>
            </w:r>
          </w:p>
        </w:tc>
      </w:tr>
      <w:tr w:rsidR="004D556D" w:rsidRPr="000F6CD1" w14:paraId="48F88632" w14:textId="77777777" w:rsidTr="00291B57">
        <w:trPr>
          <w:trHeight w:val="300"/>
        </w:trPr>
        <w:tc>
          <w:tcPr>
            <w:tcW w:w="1620" w:type="dxa"/>
            <w:shd w:val="clear" w:color="auto" w:fill="002060"/>
          </w:tcPr>
          <w:p w14:paraId="75BD89A5"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Restorative care </w:t>
            </w:r>
          </w:p>
        </w:tc>
        <w:tc>
          <w:tcPr>
            <w:tcW w:w="3323" w:type="dxa"/>
          </w:tcPr>
          <w:p w14:paraId="035673E9" w14:textId="77777777" w:rsidR="004D556D" w:rsidRPr="000F6CD1" w:rsidRDefault="004D556D" w:rsidP="005747E4">
            <w:pPr>
              <w:spacing w:before="120" w:after="120" w:line="240" w:lineRule="auto"/>
            </w:pPr>
            <w:r w:rsidRPr="000F6CD1">
              <w:t xml:space="preserve">Approval for additional service types, or for additional services within the prescribed service types that have already been included in the support plan during the restorative care episode, or to provide evidence that a second unit of funding is required (may consider availability of units). </w:t>
            </w:r>
          </w:p>
        </w:tc>
        <w:tc>
          <w:tcPr>
            <w:tcW w:w="4015" w:type="dxa"/>
          </w:tcPr>
          <w:p w14:paraId="26A95397" w14:textId="77777777" w:rsidR="004D556D" w:rsidRPr="000F6CD1" w:rsidRDefault="004D556D" w:rsidP="005747E4">
            <w:pPr>
              <w:spacing w:before="120" w:after="120" w:line="240" w:lineRule="auto"/>
              <w:rPr>
                <w:szCs w:val="22"/>
              </w:rPr>
            </w:pPr>
            <w:r w:rsidRPr="000F6CD1">
              <w:rPr>
                <w:szCs w:val="22"/>
              </w:rPr>
              <w:t xml:space="preserve">To meet changing needs of the older person which may include needing an ongoing service type after an episode of restorative care has finished (or during the period if circumstances change). </w:t>
            </w:r>
          </w:p>
        </w:tc>
      </w:tr>
      <w:tr w:rsidR="004D556D" w:rsidRPr="000F6CD1" w14:paraId="1E4B4337" w14:textId="77777777" w:rsidTr="00291B57">
        <w:trPr>
          <w:trHeight w:val="300"/>
        </w:trPr>
        <w:tc>
          <w:tcPr>
            <w:tcW w:w="1620" w:type="dxa"/>
            <w:shd w:val="clear" w:color="auto" w:fill="002060"/>
          </w:tcPr>
          <w:p w14:paraId="01410ACD"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AT-HM </w:t>
            </w:r>
          </w:p>
        </w:tc>
        <w:tc>
          <w:tcPr>
            <w:tcW w:w="3323" w:type="dxa"/>
          </w:tcPr>
          <w:p w14:paraId="37481DC2" w14:textId="77777777" w:rsidR="004D556D" w:rsidRPr="000F6CD1" w:rsidRDefault="004D556D" w:rsidP="005747E4">
            <w:pPr>
              <w:spacing w:before="120" w:after="120" w:line="240" w:lineRule="auto"/>
              <w:rPr>
                <w:szCs w:val="22"/>
              </w:rPr>
            </w:pPr>
            <w:r w:rsidRPr="000F6CD1">
              <w:rPr>
                <w:szCs w:val="22"/>
              </w:rPr>
              <w:t xml:space="preserve">Changes to existing AT and/or HM funding tiers </w:t>
            </w:r>
          </w:p>
          <w:p w14:paraId="64AA79A9" w14:textId="77777777" w:rsidR="004D556D" w:rsidRPr="000F6CD1" w:rsidRDefault="004D556D" w:rsidP="005747E4">
            <w:pPr>
              <w:spacing w:before="120" w:after="120" w:line="240" w:lineRule="auto"/>
              <w:rPr>
                <w:szCs w:val="22"/>
              </w:rPr>
            </w:pPr>
            <w:r w:rsidRPr="000F6CD1">
              <w:rPr>
                <w:rFonts w:eastAsia="Arial"/>
                <w:szCs w:val="22"/>
              </w:rPr>
              <w:t>AT funding tier to access repairs or maintenance of an item listed on the AT-HM list.</w:t>
            </w:r>
          </w:p>
          <w:p w14:paraId="7B0A3A0F" w14:textId="43871D82" w:rsidR="004D556D" w:rsidRPr="000F6CD1" w:rsidRDefault="004D556D" w:rsidP="005747E4">
            <w:pPr>
              <w:spacing w:before="120" w:after="120" w:line="240" w:lineRule="auto"/>
              <w:rPr>
                <w:szCs w:val="22"/>
              </w:rPr>
            </w:pPr>
            <w:r w:rsidRPr="000F6CD1">
              <w:rPr>
                <w:szCs w:val="22"/>
              </w:rPr>
              <w:t xml:space="preserve">Addition of new AT and/or HM funding tiers for transitioned HCP recipients with insufficient HCP unspent funds (from November 2025). </w:t>
            </w:r>
          </w:p>
        </w:tc>
        <w:tc>
          <w:tcPr>
            <w:tcW w:w="4015" w:type="dxa"/>
          </w:tcPr>
          <w:p w14:paraId="52624058" w14:textId="77777777" w:rsidR="004D556D" w:rsidRPr="000F6CD1" w:rsidRDefault="004D556D" w:rsidP="005747E4">
            <w:pPr>
              <w:spacing w:before="120" w:after="120" w:line="240" w:lineRule="auto"/>
              <w:rPr>
                <w:szCs w:val="22"/>
              </w:rPr>
            </w:pPr>
            <w:r w:rsidRPr="000F6CD1">
              <w:rPr>
                <w:szCs w:val="22"/>
              </w:rPr>
              <w:t>Where there has been a significant change in needs which may include the individual requiring a higher ongoing Support at Home classification level or a different type of funded aged care service including a new need for AT and/or HM.</w:t>
            </w:r>
          </w:p>
        </w:tc>
      </w:tr>
      <w:tr w:rsidR="004D556D" w:rsidRPr="000F6CD1" w14:paraId="5300AB27" w14:textId="77777777" w:rsidTr="00291B57">
        <w:trPr>
          <w:trHeight w:val="300"/>
        </w:trPr>
        <w:tc>
          <w:tcPr>
            <w:tcW w:w="1620" w:type="dxa"/>
            <w:shd w:val="clear" w:color="auto" w:fill="002060"/>
          </w:tcPr>
          <w:p w14:paraId="485E6740"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lastRenderedPageBreak/>
              <w:t xml:space="preserve">End-of-Life Pathway </w:t>
            </w:r>
          </w:p>
        </w:tc>
        <w:tc>
          <w:tcPr>
            <w:tcW w:w="3323" w:type="dxa"/>
          </w:tcPr>
          <w:p w14:paraId="68ABED05" w14:textId="77777777" w:rsidR="004D556D" w:rsidRPr="000F6CD1" w:rsidRDefault="004D556D" w:rsidP="005747E4">
            <w:pPr>
              <w:spacing w:before="120" w:after="120" w:line="240" w:lineRule="auto"/>
              <w:rPr>
                <w:szCs w:val="22"/>
              </w:rPr>
            </w:pPr>
            <w:r w:rsidRPr="000F6CD1">
              <w:rPr>
                <w:szCs w:val="22"/>
              </w:rPr>
              <w:t>Request an urgent SPR to be assessed for End-of-Life Pathway if the person already has a Support at Home classification.</w:t>
            </w:r>
          </w:p>
          <w:p w14:paraId="26B0D2CD" w14:textId="77777777" w:rsidR="004D556D" w:rsidRPr="000F6CD1" w:rsidRDefault="004D556D" w:rsidP="005747E4">
            <w:pPr>
              <w:spacing w:before="120" w:after="120" w:line="240" w:lineRule="auto"/>
              <w:rPr>
                <w:szCs w:val="22"/>
              </w:rPr>
            </w:pPr>
            <w:r w:rsidRPr="000F6CD1">
              <w:rPr>
                <w:szCs w:val="22"/>
              </w:rPr>
              <w:t xml:space="preserve">Request an urgent SPR to move to an ongoing SaH. classification if the person needs services beyond the End-of-Life Pathway funding period. </w:t>
            </w:r>
          </w:p>
        </w:tc>
        <w:tc>
          <w:tcPr>
            <w:tcW w:w="4015" w:type="dxa"/>
          </w:tcPr>
          <w:p w14:paraId="6893D138" w14:textId="77777777" w:rsidR="004D556D" w:rsidRPr="000F6CD1" w:rsidRDefault="004D556D" w:rsidP="005747E4">
            <w:pPr>
              <w:spacing w:before="120" w:after="120" w:line="240" w:lineRule="auto"/>
              <w:rPr>
                <w:szCs w:val="22"/>
              </w:rPr>
            </w:pPr>
            <w:r w:rsidRPr="000F6CD1">
              <w:rPr>
                <w:szCs w:val="22"/>
              </w:rPr>
              <w:t xml:space="preserve">A person who does not have a Support at Home classification will need a reassessment to be approved for the End-of-Life Pathway. </w:t>
            </w:r>
          </w:p>
          <w:p w14:paraId="09CE4DE1" w14:textId="77777777" w:rsidR="004D556D" w:rsidRPr="000F6CD1" w:rsidRDefault="004D556D" w:rsidP="005747E4">
            <w:pPr>
              <w:spacing w:before="120" w:after="120" w:line="240" w:lineRule="auto"/>
              <w:rPr>
                <w:szCs w:val="22"/>
              </w:rPr>
            </w:pPr>
          </w:p>
          <w:p w14:paraId="4A8E5FDE" w14:textId="77777777" w:rsidR="004D556D" w:rsidRPr="000F6CD1" w:rsidRDefault="004D556D" w:rsidP="005747E4">
            <w:pPr>
              <w:spacing w:before="120" w:after="120" w:line="240" w:lineRule="auto"/>
              <w:rPr>
                <w:szCs w:val="22"/>
              </w:rPr>
            </w:pPr>
          </w:p>
        </w:tc>
      </w:tr>
      <w:tr w:rsidR="004D556D" w:rsidRPr="000F6CD1" w14:paraId="21FDF76D" w14:textId="77777777" w:rsidTr="00291B57">
        <w:trPr>
          <w:trHeight w:val="300"/>
        </w:trPr>
        <w:tc>
          <w:tcPr>
            <w:tcW w:w="1620" w:type="dxa"/>
            <w:shd w:val="clear" w:color="auto" w:fill="002060"/>
          </w:tcPr>
          <w:p w14:paraId="5BB2D966"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Residential care- (permanent) </w:t>
            </w:r>
          </w:p>
        </w:tc>
        <w:tc>
          <w:tcPr>
            <w:tcW w:w="3323" w:type="dxa"/>
          </w:tcPr>
          <w:p w14:paraId="774AFCE9" w14:textId="77777777" w:rsidR="004D556D" w:rsidRPr="000F6CD1" w:rsidRDefault="004D556D" w:rsidP="005747E4">
            <w:pPr>
              <w:spacing w:before="120" w:after="120" w:line="240" w:lineRule="auto"/>
              <w:rPr>
                <w:szCs w:val="22"/>
              </w:rPr>
            </w:pPr>
            <w:r w:rsidRPr="000F6CD1">
              <w:rPr>
                <w:szCs w:val="22"/>
              </w:rPr>
              <w:t xml:space="preserve">N/A </w:t>
            </w:r>
          </w:p>
        </w:tc>
        <w:tc>
          <w:tcPr>
            <w:tcW w:w="4015" w:type="dxa"/>
          </w:tcPr>
          <w:p w14:paraId="12D57534" w14:textId="77777777" w:rsidR="004D556D" w:rsidRPr="000F6CD1" w:rsidRDefault="004D556D" w:rsidP="005747E4">
            <w:pPr>
              <w:spacing w:before="120" w:after="120" w:line="240" w:lineRule="auto"/>
              <w:rPr>
                <w:szCs w:val="22"/>
              </w:rPr>
            </w:pPr>
            <w:r w:rsidRPr="000F6CD1">
              <w:rPr>
                <w:szCs w:val="22"/>
              </w:rPr>
              <w:t xml:space="preserve">Clients needing residential care who have not had residential care added as a care type to their support plan. </w:t>
            </w:r>
          </w:p>
        </w:tc>
      </w:tr>
      <w:tr w:rsidR="004D556D" w:rsidRPr="000F6CD1" w14:paraId="3E976F54" w14:textId="77777777" w:rsidTr="00291B57">
        <w:trPr>
          <w:trHeight w:val="300"/>
        </w:trPr>
        <w:tc>
          <w:tcPr>
            <w:tcW w:w="1620" w:type="dxa"/>
            <w:shd w:val="clear" w:color="auto" w:fill="002060"/>
          </w:tcPr>
          <w:p w14:paraId="2709D888"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Residential care- (respite) </w:t>
            </w:r>
          </w:p>
        </w:tc>
        <w:tc>
          <w:tcPr>
            <w:tcW w:w="3323" w:type="dxa"/>
          </w:tcPr>
          <w:p w14:paraId="3FC49B45" w14:textId="77777777" w:rsidR="004D556D" w:rsidRPr="000F6CD1" w:rsidRDefault="004D556D" w:rsidP="005747E4">
            <w:pPr>
              <w:spacing w:before="120" w:after="120" w:line="240" w:lineRule="auto"/>
              <w:rPr>
                <w:szCs w:val="22"/>
              </w:rPr>
            </w:pPr>
            <w:r w:rsidRPr="000F6CD1">
              <w:rPr>
                <w:szCs w:val="22"/>
              </w:rPr>
              <w:t xml:space="preserve">N/A </w:t>
            </w:r>
          </w:p>
        </w:tc>
        <w:tc>
          <w:tcPr>
            <w:tcW w:w="4015" w:type="dxa"/>
          </w:tcPr>
          <w:p w14:paraId="748572F1" w14:textId="77777777" w:rsidR="004D556D" w:rsidRPr="000F6CD1" w:rsidRDefault="004D556D" w:rsidP="005747E4">
            <w:pPr>
              <w:spacing w:before="120" w:after="120" w:line="240" w:lineRule="auto"/>
              <w:rPr>
                <w:szCs w:val="22"/>
              </w:rPr>
            </w:pPr>
            <w:r w:rsidRPr="000F6CD1">
              <w:rPr>
                <w:szCs w:val="22"/>
              </w:rPr>
              <w:t xml:space="preserve">Clients needing residential care who have not had residential care added as a care type to their support plan. </w:t>
            </w:r>
          </w:p>
        </w:tc>
      </w:tr>
      <w:tr w:rsidR="004D556D" w:rsidRPr="000F6CD1" w14:paraId="34C2D840" w14:textId="77777777" w:rsidTr="00291B57">
        <w:trPr>
          <w:trHeight w:val="300"/>
        </w:trPr>
        <w:tc>
          <w:tcPr>
            <w:tcW w:w="1620" w:type="dxa"/>
            <w:shd w:val="clear" w:color="auto" w:fill="002060"/>
          </w:tcPr>
          <w:p w14:paraId="5296B305"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TCP </w:t>
            </w:r>
          </w:p>
        </w:tc>
        <w:tc>
          <w:tcPr>
            <w:tcW w:w="3323" w:type="dxa"/>
          </w:tcPr>
          <w:p w14:paraId="7A5EA7EC" w14:textId="77777777" w:rsidR="004D556D" w:rsidRPr="000F6CD1" w:rsidRDefault="004D556D" w:rsidP="005747E4">
            <w:pPr>
              <w:spacing w:before="120" w:after="120" w:line="240" w:lineRule="auto"/>
              <w:rPr>
                <w:szCs w:val="22"/>
              </w:rPr>
            </w:pPr>
            <w:r w:rsidRPr="000F6CD1">
              <w:rPr>
                <w:szCs w:val="22"/>
              </w:rPr>
              <w:t xml:space="preserve">N/A </w:t>
            </w:r>
          </w:p>
        </w:tc>
        <w:tc>
          <w:tcPr>
            <w:tcW w:w="4015" w:type="dxa"/>
          </w:tcPr>
          <w:p w14:paraId="1C5CF229" w14:textId="2CB6EF28" w:rsidR="004D556D" w:rsidRPr="000F6CD1" w:rsidRDefault="004D556D" w:rsidP="005747E4">
            <w:pPr>
              <w:spacing w:before="120" w:after="120" w:line="240" w:lineRule="auto"/>
              <w:rPr>
                <w:szCs w:val="22"/>
              </w:rPr>
            </w:pPr>
            <w:r w:rsidRPr="000F6CD1">
              <w:rPr>
                <w:szCs w:val="22"/>
              </w:rPr>
              <w:t xml:space="preserve">If the client receiving other aged care services enters hospital and needs TCP, a reassessment is required. </w:t>
            </w:r>
          </w:p>
        </w:tc>
      </w:tr>
      <w:tr w:rsidR="004D556D" w:rsidRPr="000F6CD1" w14:paraId="5542B3A9" w14:textId="77777777" w:rsidTr="00291B57">
        <w:trPr>
          <w:trHeight w:val="300"/>
        </w:trPr>
        <w:tc>
          <w:tcPr>
            <w:tcW w:w="1620" w:type="dxa"/>
            <w:shd w:val="clear" w:color="auto" w:fill="002060"/>
          </w:tcPr>
          <w:p w14:paraId="31EEE26C"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CHSP </w:t>
            </w:r>
          </w:p>
        </w:tc>
        <w:tc>
          <w:tcPr>
            <w:tcW w:w="3323" w:type="dxa"/>
          </w:tcPr>
          <w:p w14:paraId="3471148A" w14:textId="77777777" w:rsidR="004D556D" w:rsidRPr="000F6CD1" w:rsidRDefault="004D556D" w:rsidP="005747E4">
            <w:pPr>
              <w:spacing w:before="120" w:after="120" w:line="240" w:lineRule="auto"/>
              <w:rPr>
                <w:szCs w:val="22"/>
              </w:rPr>
            </w:pPr>
            <w:r w:rsidRPr="000F6CD1">
              <w:rPr>
                <w:szCs w:val="22"/>
              </w:rPr>
              <w:t>To meet changing needs which may require additional CHSP services.</w:t>
            </w:r>
          </w:p>
          <w:p w14:paraId="712DBAA9" w14:textId="77777777" w:rsidR="004D556D" w:rsidRPr="000F6CD1" w:rsidRDefault="004D556D" w:rsidP="005747E4">
            <w:pPr>
              <w:spacing w:before="120" w:after="120" w:line="240" w:lineRule="auto"/>
              <w:rPr>
                <w:szCs w:val="22"/>
              </w:rPr>
            </w:pPr>
            <w:r w:rsidRPr="000F6CD1">
              <w:rPr>
                <w:szCs w:val="22"/>
              </w:rPr>
              <w:t>To close off a period of reablement support and/or meet changing needs which may include needing an ongoing service type after episode of reablement has finished.</w:t>
            </w:r>
          </w:p>
          <w:p w14:paraId="025EDF02" w14:textId="77777777" w:rsidR="004D556D" w:rsidRPr="000F6CD1" w:rsidRDefault="004D556D" w:rsidP="005747E4">
            <w:pPr>
              <w:spacing w:before="120" w:after="120" w:line="240" w:lineRule="auto"/>
              <w:rPr>
                <w:szCs w:val="22"/>
              </w:rPr>
            </w:pPr>
          </w:p>
        </w:tc>
        <w:tc>
          <w:tcPr>
            <w:tcW w:w="4015" w:type="dxa"/>
          </w:tcPr>
          <w:p w14:paraId="0C9DFBB7" w14:textId="77777777" w:rsidR="004D556D" w:rsidRPr="000F6CD1" w:rsidRDefault="004D556D" w:rsidP="005747E4">
            <w:pPr>
              <w:spacing w:before="120" w:after="120" w:line="240" w:lineRule="auto"/>
              <w:rPr>
                <w:szCs w:val="22"/>
              </w:rPr>
            </w:pPr>
            <w:r w:rsidRPr="000F6CD1">
              <w:rPr>
                <w:szCs w:val="22"/>
              </w:rPr>
              <w:t xml:space="preserve">If a CHSP participant needs access to a different service type that they are not currently approved for. For example, Support at Home or residential respite care, a reassessment is required. </w:t>
            </w:r>
          </w:p>
          <w:p w14:paraId="23CE4080" w14:textId="77777777" w:rsidR="004D556D" w:rsidRPr="000F6CD1" w:rsidRDefault="004D556D" w:rsidP="005747E4">
            <w:pPr>
              <w:spacing w:before="120" w:after="120" w:line="240" w:lineRule="auto"/>
              <w:rPr>
                <w:szCs w:val="22"/>
              </w:rPr>
            </w:pPr>
            <w:r w:rsidRPr="000F6CD1">
              <w:rPr>
                <w:szCs w:val="22"/>
              </w:rPr>
              <w:t xml:space="preserve"> </w:t>
            </w:r>
          </w:p>
          <w:p w14:paraId="3A8D2EA1" w14:textId="77777777" w:rsidR="004D556D" w:rsidRPr="000F6CD1" w:rsidRDefault="004D556D" w:rsidP="005747E4">
            <w:pPr>
              <w:spacing w:before="120" w:after="120" w:line="240" w:lineRule="auto"/>
              <w:rPr>
                <w:szCs w:val="22"/>
              </w:rPr>
            </w:pPr>
            <w:r w:rsidRPr="000F6CD1">
              <w:rPr>
                <w:szCs w:val="22"/>
              </w:rPr>
              <w:t xml:space="preserve"> </w:t>
            </w:r>
          </w:p>
        </w:tc>
      </w:tr>
      <w:tr w:rsidR="004D556D" w:rsidRPr="000F6CD1" w14:paraId="736B8276" w14:textId="77777777" w:rsidTr="00291B57">
        <w:trPr>
          <w:trHeight w:val="300"/>
        </w:trPr>
        <w:tc>
          <w:tcPr>
            <w:tcW w:w="1620" w:type="dxa"/>
            <w:shd w:val="clear" w:color="auto" w:fill="002060"/>
          </w:tcPr>
          <w:p w14:paraId="7AF34264"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MPSP </w:t>
            </w:r>
          </w:p>
        </w:tc>
        <w:tc>
          <w:tcPr>
            <w:tcW w:w="3323" w:type="dxa"/>
          </w:tcPr>
          <w:p w14:paraId="6146FB06" w14:textId="77777777" w:rsidR="004D556D" w:rsidRPr="000F6CD1" w:rsidRDefault="004D556D" w:rsidP="005747E4">
            <w:pPr>
              <w:spacing w:before="120" w:after="120" w:line="240" w:lineRule="auto"/>
              <w:rPr>
                <w:szCs w:val="22"/>
              </w:rPr>
            </w:pPr>
            <w:r w:rsidRPr="000F6CD1">
              <w:rPr>
                <w:szCs w:val="22"/>
              </w:rPr>
              <w:t>If a client is receiving other aged care services and an MPSP service recommendation needs to be added.</w:t>
            </w:r>
          </w:p>
        </w:tc>
        <w:tc>
          <w:tcPr>
            <w:tcW w:w="4015" w:type="dxa"/>
          </w:tcPr>
          <w:p w14:paraId="7B190964" w14:textId="77777777" w:rsidR="004D556D" w:rsidRPr="000F6CD1" w:rsidRDefault="004D556D" w:rsidP="005747E4">
            <w:pPr>
              <w:spacing w:before="120" w:after="120" w:line="240" w:lineRule="auto"/>
              <w:rPr>
                <w:szCs w:val="22"/>
              </w:rPr>
            </w:pPr>
            <w:r w:rsidRPr="000F6CD1">
              <w:rPr>
                <w:szCs w:val="22"/>
              </w:rPr>
              <w:t xml:space="preserve">New MPSP clients will require an assessment from 1 November 2025. </w:t>
            </w:r>
          </w:p>
          <w:p w14:paraId="0A8A36F8" w14:textId="77777777" w:rsidR="004D556D" w:rsidRPr="000F6CD1" w:rsidRDefault="004D556D" w:rsidP="005747E4">
            <w:pPr>
              <w:spacing w:before="120" w:after="120" w:line="240" w:lineRule="auto"/>
              <w:rPr>
                <w:szCs w:val="22"/>
              </w:rPr>
            </w:pPr>
            <w:r w:rsidRPr="000F6CD1">
              <w:rPr>
                <w:szCs w:val="22"/>
              </w:rPr>
              <w:t xml:space="preserve">If an existing MPSP client who had not previously been assessed (who were deemed across under transitional arrangements) needs to move to mainstream services, a reassessment should be undertaken. </w:t>
            </w:r>
          </w:p>
        </w:tc>
      </w:tr>
      <w:tr w:rsidR="004D556D" w:rsidRPr="000F6CD1" w14:paraId="2F7A88CE" w14:textId="77777777" w:rsidTr="00291B57">
        <w:trPr>
          <w:trHeight w:val="300"/>
        </w:trPr>
        <w:tc>
          <w:tcPr>
            <w:tcW w:w="1620" w:type="dxa"/>
            <w:shd w:val="clear" w:color="auto" w:fill="002060"/>
          </w:tcPr>
          <w:p w14:paraId="7E78D5CF" w14:textId="77777777" w:rsidR="004D556D" w:rsidRPr="000F6CD1" w:rsidRDefault="004D556D" w:rsidP="005747E4">
            <w:pPr>
              <w:spacing w:before="120" w:after="120" w:line="240" w:lineRule="auto"/>
              <w:rPr>
                <w:b/>
                <w:color w:val="FFFFFF" w:themeColor="background1"/>
                <w:szCs w:val="22"/>
              </w:rPr>
            </w:pPr>
            <w:r w:rsidRPr="000F6CD1">
              <w:rPr>
                <w:b/>
                <w:color w:val="FFFFFF" w:themeColor="background1"/>
                <w:szCs w:val="22"/>
              </w:rPr>
              <w:t xml:space="preserve">NATSIFACP </w:t>
            </w:r>
          </w:p>
        </w:tc>
        <w:tc>
          <w:tcPr>
            <w:tcW w:w="3323" w:type="dxa"/>
          </w:tcPr>
          <w:p w14:paraId="7CAF6A98" w14:textId="77777777" w:rsidR="004D556D" w:rsidRPr="000F6CD1" w:rsidRDefault="004D556D" w:rsidP="005747E4">
            <w:pPr>
              <w:spacing w:before="120" w:after="120" w:line="240" w:lineRule="auto"/>
              <w:rPr>
                <w:szCs w:val="22"/>
              </w:rPr>
            </w:pPr>
            <w:r w:rsidRPr="000F6CD1">
              <w:rPr>
                <w:szCs w:val="22"/>
              </w:rPr>
              <w:t xml:space="preserve">If a client is receiving other services and a NATSIFACP service recommendation needs to be added. </w:t>
            </w:r>
          </w:p>
        </w:tc>
        <w:tc>
          <w:tcPr>
            <w:tcW w:w="4015" w:type="dxa"/>
          </w:tcPr>
          <w:p w14:paraId="709947EB" w14:textId="77777777" w:rsidR="004D556D" w:rsidRPr="000F6CD1" w:rsidRDefault="004D556D" w:rsidP="005747E4">
            <w:pPr>
              <w:spacing w:before="120" w:after="120" w:line="240" w:lineRule="auto"/>
              <w:rPr>
                <w:szCs w:val="22"/>
              </w:rPr>
            </w:pPr>
            <w:r w:rsidRPr="000F6CD1">
              <w:rPr>
                <w:szCs w:val="22"/>
              </w:rPr>
              <w:t xml:space="preserve">New NATSIFACP clients will require an assessment from 1 November 2025. </w:t>
            </w:r>
          </w:p>
          <w:p w14:paraId="43690891" w14:textId="77777777" w:rsidR="004D556D" w:rsidRPr="000F6CD1" w:rsidRDefault="004D556D" w:rsidP="005747E4">
            <w:pPr>
              <w:spacing w:before="120" w:after="120" w:line="240" w:lineRule="auto"/>
              <w:rPr>
                <w:szCs w:val="22"/>
              </w:rPr>
            </w:pPr>
            <w:r w:rsidRPr="000F6CD1">
              <w:rPr>
                <w:szCs w:val="22"/>
              </w:rPr>
              <w:t xml:space="preserve">If an existing NATSIFACP client needs to move to mainstream services and </w:t>
            </w:r>
            <w:r w:rsidRPr="000F6CD1">
              <w:rPr>
                <w:szCs w:val="22"/>
              </w:rPr>
              <w:lastRenderedPageBreak/>
              <w:t>hasn’t been assessed before, a reassessment should be undertaken.</w:t>
            </w:r>
          </w:p>
        </w:tc>
      </w:tr>
    </w:tbl>
    <w:p w14:paraId="0ADF106B" w14:textId="77777777" w:rsidR="004D556D" w:rsidRPr="000F6CD1" w:rsidRDefault="004D556D" w:rsidP="00AD2CE5">
      <w:pPr>
        <w:pStyle w:val="H3"/>
      </w:pPr>
      <w:r w:rsidRPr="000F6CD1">
        <w:lastRenderedPageBreak/>
        <w:t>SPRs for Aboriginal and Torres Strait Islander assessment organisations</w:t>
      </w:r>
    </w:p>
    <w:p w14:paraId="2A859A96" w14:textId="262B48C0" w:rsidR="004D556D" w:rsidRPr="000F6CD1" w:rsidRDefault="00A265F8" w:rsidP="00622CFF">
      <w:pPr>
        <w:spacing w:before="240" w:after="240" w:line="240" w:lineRule="auto"/>
      </w:pPr>
      <w:r>
        <w:rPr>
          <w:noProof/>
          <w14:ligatures w14:val="standardContextual"/>
        </w:rPr>
        <w:drawing>
          <wp:anchor distT="0" distB="0" distL="114300" distR="114300" simplePos="0" relativeHeight="251658313" behindDoc="0" locked="0" layoutInCell="1" allowOverlap="1" wp14:anchorId="030A5546" wp14:editId="021B15CE">
            <wp:simplePos x="0" y="0"/>
            <wp:positionH relativeFrom="margin">
              <wp:align>left</wp:align>
            </wp:positionH>
            <wp:positionV relativeFrom="margin">
              <wp:posOffset>2514600</wp:posOffset>
            </wp:positionV>
            <wp:extent cx="365792" cy="403895"/>
            <wp:effectExtent l="0" t="0" r="0" b="0"/>
            <wp:wrapSquare wrapText="bothSides"/>
            <wp:docPr id="276736679"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6679"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 xml:space="preserve">SPRs will usually be reallocated to the assessment organisation that completed the previous assessment. As Aboriginal and Torres Strait Islander assessment organisations commence, an Aboriginal and Torres Strait Islander client may wish to transfer their SPR to one of these organisations. In such case, the current assessment organisation is expected to support a warm transfer of the assessment referral. This approach ensures continuity of care, respects client choice, and supports culturally safe aged care assessment delivery. </w:t>
      </w:r>
    </w:p>
    <w:p w14:paraId="62882B6E" w14:textId="19A39AE3" w:rsidR="004D556D" w:rsidRPr="000F6CD1" w:rsidRDefault="004D556D" w:rsidP="00AD2CE5">
      <w:pPr>
        <w:pStyle w:val="H3"/>
      </w:pPr>
      <w:r w:rsidRPr="000F6CD1">
        <w:t>SPRs for AT-HM</w:t>
      </w:r>
    </w:p>
    <w:p w14:paraId="1CF70AFB" w14:textId="55B0A369" w:rsidR="004D556D" w:rsidRPr="000F6CD1" w:rsidRDefault="004D556D" w:rsidP="00622CFF">
      <w:pPr>
        <w:pStyle w:val="paragraph"/>
        <w:spacing w:before="240" w:beforeAutospacing="0" w:after="240" w:afterAutospacing="0"/>
        <w:textAlignment w:val="baseline"/>
        <w:rPr>
          <w:rFonts w:eastAsia="Arial"/>
          <w:szCs w:val="22"/>
        </w:rPr>
      </w:pPr>
      <w:r w:rsidRPr="000F6CD1">
        <w:rPr>
          <w:rStyle w:val="normaltextrun"/>
          <w:rFonts w:eastAsia="Arial"/>
          <w:szCs w:val="22"/>
        </w:rPr>
        <w:t>Participants accessing assistive technology (AT) or home modifications (HM) through Support at Home can request an SPR:</w:t>
      </w:r>
      <w:r w:rsidRPr="000F6CD1">
        <w:rPr>
          <w:rStyle w:val="eop"/>
          <w:rFonts w:eastAsia="Arial"/>
          <w:szCs w:val="22"/>
        </w:rPr>
        <w:t> </w:t>
      </w:r>
    </w:p>
    <w:p w14:paraId="4C6D07DD" w14:textId="77777777" w:rsidR="004D556D" w:rsidRPr="000F6CD1" w:rsidRDefault="004D556D" w:rsidP="00DF3F6B">
      <w:pPr>
        <w:pStyle w:val="paragraph"/>
        <w:numPr>
          <w:ilvl w:val="0"/>
          <w:numId w:val="338"/>
        </w:numPr>
        <w:spacing w:before="240" w:beforeAutospacing="0" w:after="240" w:afterAutospacing="0"/>
        <w:ind w:left="1080" w:firstLine="0"/>
        <w:textAlignment w:val="baseline"/>
        <w:rPr>
          <w:rFonts w:eastAsia="Arial"/>
          <w:szCs w:val="22"/>
        </w:rPr>
      </w:pPr>
      <w:r w:rsidRPr="000F6CD1">
        <w:rPr>
          <w:rStyle w:val="normaltextrun"/>
          <w:rFonts w:eastAsia="Arial"/>
          <w:szCs w:val="22"/>
        </w:rPr>
        <w:t>to seek a higher AT or HM funding tier</w:t>
      </w:r>
      <w:r w:rsidRPr="000F6CD1">
        <w:rPr>
          <w:rStyle w:val="eop"/>
          <w:rFonts w:eastAsia="Arial"/>
          <w:szCs w:val="22"/>
        </w:rPr>
        <w:t> </w:t>
      </w:r>
    </w:p>
    <w:p w14:paraId="0DD38A78" w14:textId="02026EAE" w:rsidR="004D556D" w:rsidRPr="000F6CD1" w:rsidRDefault="004D556D" w:rsidP="00DF3F6B">
      <w:pPr>
        <w:pStyle w:val="paragraph"/>
        <w:numPr>
          <w:ilvl w:val="0"/>
          <w:numId w:val="339"/>
        </w:numPr>
        <w:spacing w:before="240" w:beforeAutospacing="0" w:after="240" w:afterAutospacing="0"/>
        <w:ind w:left="1080" w:firstLine="0"/>
        <w:textAlignment w:val="baseline"/>
        <w:rPr>
          <w:rFonts w:eastAsia="Arial"/>
          <w:szCs w:val="22"/>
        </w:rPr>
      </w:pPr>
      <w:r w:rsidRPr="000F6CD1">
        <w:rPr>
          <w:rStyle w:val="normaltextrun"/>
          <w:rFonts w:eastAsia="Arial"/>
          <w:szCs w:val="22"/>
        </w:rPr>
        <w:t xml:space="preserve">to seek AT funding to meet their assistive technology repair or maintenance needs </w:t>
      </w:r>
    </w:p>
    <w:p w14:paraId="0773E7A0" w14:textId="4D425A8D" w:rsidR="004D556D" w:rsidRPr="000F6CD1" w:rsidRDefault="004D556D" w:rsidP="00381271">
      <w:pPr>
        <w:pStyle w:val="paragraph"/>
        <w:numPr>
          <w:ilvl w:val="0"/>
          <w:numId w:val="340"/>
        </w:numPr>
        <w:spacing w:before="240" w:beforeAutospacing="0" w:after="240" w:afterAutospacing="0"/>
        <w:ind w:left="1080" w:firstLine="0"/>
        <w:textAlignment w:val="baseline"/>
        <w:rPr>
          <w:rFonts w:eastAsia="Arial"/>
          <w:szCs w:val="22"/>
        </w:rPr>
      </w:pPr>
      <w:r w:rsidRPr="000F6CD1">
        <w:rPr>
          <w:rStyle w:val="normaltextrun"/>
          <w:rFonts w:eastAsia="Arial"/>
          <w:szCs w:val="22"/>
        </w:rPr>
        <w:t xml:space="preserve">to seek allocation of an AT or HM funding tier if they are a participant with a transitional Support at Home classification (from November 2025). </w:t>
      </w:r>
    </w:p>
    <w:p w14:paraId="1D966583" w14:textId="61D43B9B" w:rsidR="004D556D" w:rsidRPr="000F6CD1" w:rsidRDefault="004D556D" w:rsidP="00622CFF">
      <w:pPr>
        <w:pStyle w:val="paragraph"/>
        <w:spacing w:before="240" w:beforeAutospacing="0" w:after="240" w:afterAutospacing="0"/>
        <w:textAlignment w:val="baseline"/>
        <w:rPr>
          <w:rFonts w:eastAsia="Arial"/>
          <w:szCs w:val="22"/>
        </w:rPr>
      </w:pPr>
      <w:r w:rsidRPr="000F6CD1">
        <w:rPr>
          <w:rStyle w:val="normaltextrun"/>
          <w:rFonts w:eastAsia="Arial"/>
          <w:szCs w:val="22"/>
        </w:rPr>
        <w:t>The following will require a reassessment:</w:t>
      </w:r>
      <w:r w:rsidRPr="000F6CD1">
        <w:rPr>
          <w:rStyle w:val="eop"/>
          <w:rFonts w:eastAsia="Arial"/>
          <w:szCs w:val="22"/>
        </w:rPr>
        <w:t> </w:t>
      </w:r>
    </w:p>
    <w:p w14:paraId="2DC10D1C" w14:textId="24ADB156" w:rsidR="004D556D" w:rsidRPr="000F6CD1" w:rsidRDefault="004D556D" w:rsidP="00DF3F6B">
      <w:pPr>
        <w:pStyle w:val="paragraph"/>
        <w:numPr>
          <w:ilvl w:val="0"/>
          <w:numId w:val="341"/>
        </w:numPr>
        <w:spacing w:before="240" w:beforeAutospacing="0" w:after="240" w:afterAutospacing="0"/>
        <w:ind w:left="1080" w:firstLine="0"/>
        <w:textAlignment w:val="baseline"/>
        <w:rPr>
          <w:rFonts w:eastAsia="Arial"/>
          <w:szCs w:val="22"/>
        </w:rPr>
      </w:pPr>
      <w:r w:rsidRPr="000F6CD1">
        <w:rPr>
          <w:rStyle w:val="normaltextrun"/>
          <w:rFonts w:eastAsia="Arial"/>
          <w:szCs w:val="22"/>
        </w:rPr>
        <w:t xml:space="preserve">to allocate an AT or HM funding tier for the Restorative Care Pathway </w:t>
      </w:r>
    </w:p>
    <w:p w14:paraId="6220BFB0" w14:textId="5C582EF3" w:rsidR="004D556D" w:rsidRPr="000F6CD1" w:rsidRDefault="004D556D" w:rsidP="00DF3F6B">
      <w:pPr>
        <w:pStyle w:val="paragraph"/>
        <w:numPr>
          <w:ilvl w:val="0"/>
          <w:numId w:val="342"/>
        </w:numPr>
        <w:spacing w:before="240" w:beforeAutospacing="0" w:after="240" w:afterAutospacing="0"/>
        <w:ind w:left="1080" w:firstLine="0"/>
        <w:textAlignment w:val="baseline"/>
        <w:rPr>
          <w:rFonts w:eastAsia="Arial"/>
          <w:szCs w:val="22"/>
        </w:rPr>
      </w:pPr>
      <w:r w:rsidRPr="000F6CD1">
        <w:rPr>
          <w:rStyle w:val="normaltextrun"/>
          <w:rFonts w:eastAsia="Arial"/>
          <w:szCs w:val="22"/>
        </w:rPr>
        <w:t>to allocate an AT funding tier for End-of-Life Pathway</w:t>
      </w:r>
      <w:r w:rsidRPr="000F6CD1">
        <w:rPr>
          <w:rStyle w:val="eop"/>
          <w:rFonts w:eastAsia="Arial"/>
          <w:szCs w:val="22"/>
        </w:rPr>
        <w:t> </w:t>
      </w:r>
    </w:p>
    <w:p w14:paraId="1D66BEF2" w14:textId="4824E916" w:rsidR="004D556D" w:rsidRPr="000F6CD1" w:rsidRDefault="004D556D" w:rsidP="00622CFF">
      <w:pPr>
        <w:pStyle w:val="paragraph"/>
        <w:spacing w:before="240" w:beforeAutospacing="0" w:after="240" w:afterAutospacing="0"/>
        <w:textAlignment w:val="baseline"/>
        <w:rPr>
          <w:rFonts w:eastAsia="Arial"/>
          <w:szCs w:val="22"/>
        </w:rPr>
      </w:pPr>
      <w:r w:rsidRPr="000F6CD1">
        <w:rPr>
          <w:rStyle w:val="normaltextrun"/>
          <w:rFonts w:eastAsia="Arial"/>
          <w:szCs w:val="22"/>
        </w:rPr>
        <w:t>If an SPR is requested for a higher AT or HM funding tier or for repair and maintenance of assistive technology providers will be required to submit evidence, along with the SPR request, for the aged care assessor to review: </w:t>
      </w:r>
      <w:r w:rsidRPr="000F6CD1">
        <w:rPr>
          <w:rStyle w:val="eop"/>
          <w:rFonts w:eastAsia="Arial"/>
          <w:szCs w:val="22"/>
        </w:rPr>
        <w:t> </w:t>
      </w:r>
    </w:p>
    <w:p w14:paraId="09B814FF" w14:textId="2BB71949" w:rsidR="004D556D" w:rsidRPr="000F6CD1" w:rsidRDefault="004D556D" w:rsidP="00DF3F6B">
      <w:pPr>
        <w:pStyle w:val="paragraph"/>
        <w:numPr>
          <w:ilvl w:val="0"/>
          <w:numId w:val="343"/>
        </w:numPr>
        <w:spacing w:before="240" w:beforeAutospacing="0" w:after="240" w:afterAutospacing="0"/>
        <w:ind w:left="1080" w:firstLine="0"/>
        <w:textAlignment w:val="baseline"/>
        <w:rPr>
          <w:rFonts w:eastAsia="Arial"/>
          <w:szCs w:val="22"/>
        </w:rPr>
      </w:pPr>
      <w:r w:rsidRPr="000F6CD1">
        <w:rPr>
          <w:rStyle w:val="normaltextrun"/>
          <w:rFonts w:eastAsia="Arial"/>
          <w:szCs w:val="22"/>
        </w:rPr>
        <w:t>a valid prescription (if applicable) and</w:t>
      </w:r>
      <w:r w:rsidRPr="000F6CD1">
        <w:rPr>
          <w:rStyle w:val="eop"/>
          <w:rFonts w:eastAsia="Arial"/>
          <w:szCs w:val="22"/>
        </w:rPr>
        <w:t> </w:t>
      </w:r>
    </w:p>
    <w:p w14:paraId="760A2E42" w14:textId="2B27C1D1" w:rsidR="004D556D" w:rsidRPr="000F6CD1" w:rsidRDefault="004D556D" w:rsidP="00DF3F6B">
      <w:pPr>
        <w:pStyle w:val="paragraph"/>
        <w:numPr>
          <w:ilvl w:val="0"/>
          <w:numId w:val="344"/>
        </w:numPr>
        <w:spacing w:before="240" w:beforeAutospacing="0" w:after="240" w:afterAutospacing="0"/>
        <w:ind w:left="1080" w:firstLine="0"/>
        <w:textAlignment w:val="baseline"/>
        <w:rPr>
          <w:rFonts w:eastAsia="Arial"/>
          <w:szCs w:val="22"/>
        </w:rPr>
      </w:pPr>
      <w:r w:rsidRPr="000F6CD1">
        <w:rPr>
          <w:rStyle w:val="normaltextrun"/>
          <w:rFonts w:eastAsia="Arial"/>
          <w:szCs w:val="22"/>
        </w:rPr>
        <w:t xml:space="preserve">a quote indicating costs of AT repairs or maintenance needs </w:t>
      </w:r>
      <w:r w:rsidRPr="000F6CD1">
        <w:rPr>
          <w:rStyle w:val="eop"/>
          <w:rFonts w:eastAsia="Arial"/>
          <w:szCs w:val="22"/>
        </w:rPr>
        <w:t> </w:t>
      </w:r>
    </w:p>
    <w:p w14:paraId="7F9D9FF2" w14:textId="78C05D34" w:rsidR="004D556D" w:rsidRPr="000F6CD1" w:rsidRDefault="004D556D" w:rsidP="00AD2CE5">
      <w:pPr>
        <w:pStyle w:val="H3"/>
      </w:pPr>
      <w:r w:rsidRPr="000F6CD1">
        <w:t>SPRs for Restorative Care Pathway (RCP)</w:t>
      </w:r>
    </w:p>
    <w:p w14:paraId="5D0DFE6C" w14:textId="3B09FDED" w:rsidR="004D556D" w:rsidRPr="000F6CD1" w:rsidRDefault="00146958" w:rsidP="00622CFF">
      <w:pPr>
        <w:spacing w:before="240" w:after="240" w:line="240" w:lineRule="auto"/>
        <w:rPr>
          <w:b/>
        </w:rPr>
      </w:pPr>
      <w:r w:rsidRPr="000F6CD1">
        <w:rPr>
          <w:rFonts w:eastAsia="Arial"/>
        </w:rPr>
        <w:t xml:space="preserve"> </w:t>
      </w:r>
      <w:r w:rsidR="004D556D" w:rsidRPr="000F6CD1">
        <w:rPr>
          <w:rFonts w:eastAsia="Arial"/>
        </w:rPr>
        <w:t>Restorative care partners can submit a SPR for several reasons related</w:t>
      </w:r>
      <w:r w:rsidR="004D556D" w:rsidRPr="000F6CD1">
        <w:t xml:space="preserve"> to the RCP including: </w:t>
      </w:r>
    </w:p>
    <w:p w14:paraId="7CE66AA5" w14:textId="312D6767" w:rsidR="004D556D" w:rsidRPr="000F6CD1" w:rsidRDefault="004D556D" w:rsidP="00DF3F6B">
      <w:pPr>
        <w:pStyle w:val="ListParagraph"/>
        <w:numPr>
          <w:ilvl w:val="0"/>
          <w:numId w:val="316"/>
        </w:numPr>
        <w:spacing w:before="240" w:after="240" w:line="240" w:lineRule="auto"/>
        <w:rPr>
          <w:b/>
        </w:rPr>
      </w:pPr>
      <w:r w:rsidRPr="000F6CD1">
        <w:t>Request approval for additional services which were not approved at assessment but are required to meet goals identified in the Goal Plan </w:t>
      </w:r>
    </w:p>
    <w:p w14:paraId="2E962DFC" w14:textId="315D02A8" w:rsidR="004D556D" w:rsidRPr="000F6CD1" w:rsidRDefault="004D556D" w:rsidP="00DF3F6B">
      <w:pPr>
        <w:pStyle w:val="ListParagraph"/>
        <w:numPr>
          <w:ilvl w:val="0"/>
          <w:numId w:val="316"/>
        </w:numPr>
        <w:spacing w:before="240" w:after="240" w:line="240" w:lineRule="auto"/>
        <w:rPr>
          <w:b/>
        </w:rPr>
      </w:pPr>
      <w:r w:rsidRPr="000F6CD1">
        <w:t xml:space="preserve">Request approval for additional unit of RCP funding to be accessed concurrently </w:t>
      </w:r>
    </w:p>
    <w:p w14:paraId="526EE1B4" w14:textId="795680EE" w:rsidR="004D556D" w:rsidRPr="000F6CD1" w:rsidRDefault="004D556D" w:rsidP="00DF3F6B">
      <w:pPr>
        <w:pStyle w:val="ListParagraph"/>
        <w:numPr>
          <w:ilvl w:val="0"/>
          <w:numId w:val="316"/>
        </w:numPr>
        <w:spacing w:before="240" w:after="240" w:line="240" w:lineRule="auto"/>
      </w:pPr>
      <w:r w:rsidRPr="000F6CD1">
        <w:t>Request a reassessment due to changing needs</w:t>
      </w:r>
    </w:p>
    <w:p w14:paraId="02D5A956" w14:textId="0BFCE33E" w:rsidR="004D556D" w:rsidRPr="000F6CD1" w:rsidRDefault="004D556D" w:rsidP="00622CFF">
      <w:pPr>
        <w:spacing w:before="240" w:after="240" w:line="240" w:lineRule="auto"/>
      </w:pPr>
      <w:r w:rsidRPr="000F6CD1">
        <w:lastRenderedPageBreak/>
        <w:t>Like other classifications, a provider can submit a SPR requesting additional services to ensure goals can be met.</w:t>
      </w:r>
      <w:r w:rsidR="00E3515F" w:rsidRPr="000F6CD1">
        <w:t xml:space="preserve"> </w:t>
      </w:r>
    </w:p>
    <w:p w14:paraId="59CDEDC8" w14:textId="34260A96" w:rsidR="004D556D" w:rsidRPr="000F6CD1" w:rsidRDefault="00B42CE8">
      <w:pPr>
        <w:pStyle w:val="H4"/>
      </w:pPr>
      <w:r>
        <w:rPr>
          <w:noProof/>
          <w14:ligatures w14:val="standardContextual"/>
        </w:rPr>
        <w:drawing>
          <wp:anchor distT="0" distB="0" distL="114300" distR="114300" simplePos="0" relativeHeight="251658315" behindDoc="0" locked="0" layoutInCell="1" allowOverlap="1" wp14:anchorId="59D280E4" wp14:editId="3270E9AB">
            <wp:simplePos x="0" y="0"/>
            <wp:positionH relativeFrom="margin">
              <wp:align>left</wp:align>
            </wp:positionH>
            <wp:positionV relativeFrom="margin">
              <wp:posOffset>491525</wp:posOffset>
            </wp:positionV>
            <wp:extent cx="365792" cy="403895"/>
            <wp:effectExtent l="0" t="0" r="0" b="0"/>
            <wp:wrapSquare wrapText="bothSides"/>
            <wp:docPr id="2082270362"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0362"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4D556D" w:rsidRPr="000F6CD1">
        <w:t>Second unit of funding for Restorative Care Pathway</w:t>
      </w:r>
    </w:p>
    <w:p w14:paraId="4C27EB92" w14:textId="019FD337" w:rsidR="004D556D" w:rsidRPr="000F6CD1" w:rsidRDefault="004D556D">
      <w:pPr>
        <w:spacing w:before="240" w:after="240" w:line="240" w:lineRule="auto"/>
      </w:pPr>
      <w:r w:rsidRPr="000F6CD1">
        <w:t xml:space="preserve">Under paragraph 195(3) of the Act, a provider may submit a SPR to request a second concurrent unit of Restorative Care Pathway (RCP) funding for a person already approved for, and accessing, the RCP. To approve the SPR, an assessment delegate must confirm that the person is entered into services and consider the evidence provided outlines sufficient justification of higher needs for multidisciplinary allied health and/nursing services to achieve identified restorative care goals. Assessment delegates may also consider the availability of RCP funding units for allocation. </w:t>
      </w:r>
    </w:p>
    <w:p w14:paraId="3A8318C7" w14:textId="54ED033F" w:rsidR="004D556D" w:rsidRPr="000F6CD1" w:rsidRDefault="004D556D" w:rsidP="00622CFF">
      <w:pPr>
        <w:spacing w:before="240" w:after="240" w:line="240" w:lineRule="auto"/>
      </w:pPr>
      <w:r w:rsidRPr="000F6CD1">
        <w:t xml:space="preserve">Where an initial RCP place has been withdrawn due to the person not entering care within the required take up period (56 days, with a possible 28-day extension), a second unit must not be approved via an SPR. In these circumstances, an SPR should not be used to attempt to approve a second unit </w:t>
      </w:r>
      <w:r w:rsidR="007E1874" w:rsidRPr="000F6CD1">
        <w:t>RCP but</w:t>
      </w:r>
      <w:r w:rsidRPr="000F6CD1">
        <w:t xml:space="preserve"> may be used to assess and approve alternative supports (including the need for a reassessment), based on the person’s </w:t>
      </w:r>
      <w:r w:rsidR="007E1874" w:rsidRPr="000F6CD1">
        <w:t>needs. Access</w:t>
      </w:r>
      <w:r w:rsidRPr="000F6CD1">
        <w:t xml:space="preserve"> to a second unit of funding is requested through a SPR. A</w:t>
      </w:r>
      <w:r w:rsidRPr="000F6CD1" w:rsidDel="009A524E">
        <w:t xml:space="preserve"> </w:t>
      </w:r>
      <w:r w:rsidRPr="000F6CD1">
        <w:t>clinical assessment</w:t>
      </w:r>
      <w:r w:rsidRPr="000F6CD1" w:rsidDel="009A524E">
        <w:t xml:space="preserve"> </w:t>
      </w:r>
      <w:r w:rsidRPr="000F6CD1">
        <w:t xml:space="preserve">delegate will need to consider written evidence provided to determine approval (refer to Chapter </w:t>
      </w:r>
      <w:r w:rsidRPr="000F6CD1">
        <w:fldChar w:fldCharType="begin"/>
      </w:r>
      <w:r w:rsidRPr="000F6CD1">
        <w:instrText xml:space="preserve"> REF _Ref212736395 \w \h </w:instrText>
      </w:r>
      <w:r w:rsidRPr="000F6CD1">
        <w:fldChar w:fldCharType="separate"/>
      </w:r>
      <w:r w:rsidR="004B171E">
        <w:t>6</w:t>
      </w:r>
      <w:r w:rsidRPr="000F6CD1">
        <w:fldChar w:fldCharType="end"/>
      </w:r>
      <w:r w:rsidRPr="000F6CD1">
        <w:t xml:space="preserve"> for information on manual oversight of RCP units/places). Evidence includes written confirmation from a medical practitioner, registered nurse or allied health practitioner, or restorative care partner of the registered provider that the individual requires additional funding to access nursing care and allied health and therapy services to achieve restorative care outcomes as detailed in the goal plan. Further supporting evidence can include the goal plan, clinical assessment tool outcomes, and individualised budget. Where an older person is already receiving ongoing services, information should be provided to demonstrate adjustments to ongoing services is also not sufficient to achieve restorative outcomes in combination with their initial RCP unit of funding. Availability of RCP units may also be considered. </w:t>
      </w:r>
    </w:p>
    <w:p w14:paraId="525A59B7" w14:textId="553D88BA" w:rsidR="004D556D" w:rsidRPr="000F6CD1" w:rsidRDefault="004D556D" w:rsidP="00622CFF">
      <w:pPr>
        <w:spacing w:before="240" w:after="240" w:line="240" w:lineRule="auto"/>
      </w:pPr>
      <w:r w:rsidRPr="000F6CD1">
        <w:t xml:space="preserve">Those with an active Short Term Restorative Care (STRC) approval who did not start STRC before 1 November 2025, had their approvals transferred into an approval for RCP. </w:t>
      </w:r>
    </w:p>
    <w:p w14:paraId="6F30AFFF" w14:textId="77777777" w:rsidR="004D556D" w:rsidRPr="000F6CD1" w:rsidRDefault="004D556D" w:rsidP="00622CFF">
      <w:pPr>
        <w:spacing w:before="240" w:after="240" w:line="240" w:lineRule="auto"/>
      </w:pPr>
      <w:r w:rsidRPr="000F6CD1">
        <w:t>Note for this cohort using their STRC approval to access the RCP:</w:t>
      </w:r>
    </w:p>
    <w:p w14:paraId="39DCC6C5" w14:textId="371C0451" w:rsidR="004D556D" w:rsidRPr="000F6CD1" w:rsidRDefault="004D556D" w:rsidP="00DF3F6B">
      <w:pPr>
        <w:pStyle w:val="ListParagraph"/>
        <w:numPr>
          <w:ilvl w:val="0"/>
          <w:numId w:val="208"/>
        </w:numPr>
        <w:spacing w:before="240" w:after="240" w:line="240" w:lineRule="auto"/>
        <w:rPr>
          <w:rFonts w:eastAsiaTheme="minorHAnsi"/>
        </w:rPr>
      </w:pPr>
      <w:r w:rsidRPr="000F6CD1">
        <w:t>They can access the RCP units of funding for the first six months from 1 November 2025.</w:t>
      </w:r>
      <w:r w:rsidRPr="000F6CD1">
        <w:rPr>
          <w:rFonts w:eastAsiaTheme="minorEastAsia"/>
        </w:rPr>
        <w:t xml:space="preserve"> </w:t>
      </w:r>
    </w:p>
    <w:p w14:paraId="65C2343A" w14:textId="7EDBB7C0" w:rsidR="004D556D" w:rsidRPr="000F6CD1" w:rsidRDefault="004D556D" w:rsidP="00DF3F6B">
      <w:pPr>
        <w:pStyle w:val="ListParagraph"/>
        <w:numPr>
          <w:ilvl w:val="0"/>
          <w:numId w:val="208"/>
        </w:numPr>
        <w:spacing w:before="240" w:after="240" w:line="240" w:lineRule="auto"/>
        <w:rPr>
          <w:rFonts w:eastAsiaTheme="minorEastAsia"/>
        </w:rPr>
      </w:pPr>
      <w:r w:rsidRPr="000F6CD1">
        <w:rPr>
          <w:rFonts w:eastAsiaTheme="minorEastAsia"/>
        </w:rPr>
        <w:t xml:space="preserve">A second unit of funding to use within a single RCP episode can be requested via a SPR request. However, assessors will need to self-refer this for reassessment to grant access to a second unit of funding. This is because the ability to add a second unit via SPR will not be available on the assessor portal for those with STRC approval. </w:t>
      </w:r>
    </w:p>
    <w:p w14:paraId="665A8BE8" w14:textId="634258ED" w:rsidR="004D556D" w:rsidRPr="000F6CD1" w:rsidRDefault="004D556D">
      <w:pPr>
        <w:pStyle w:val="ListParagraph"/>
        <w:numPr>
          <w:ilvl w:val="1"/>
          <w:numId w:val="208"/>
        </w:numPr>
        <w:spacing w:before="240" w:after="240" w:line="240" w:lineRule="auto"/>
        <w:rPr>
          <w:rFonts w:eastAsiaTheme="minorEastAsia"/>
        </w:rPr>
      </w:pPr>
      <w:r w:rsidRPr="000F6CD1">
        <w:rPr>
          <w:rFonts w:eastAsiaTheme="minorEastAsia"/>
        </w:rPr>
        <w:t xml:space="preserve">The reassessment can be one over the phone and does not require queuing for face-to-face assessment. </w:t>
      </w:r>
    </w:p>
    <w:p w14:paraId="7800BA80" w14:textId="26671744" w:rsidR="004D556D" w:rsidRPr="00AC3600" w:rsidRDefault="004D556D" w:rsidP="00AC3600">
      <w:pPr>
        <w:pStyle w:val="ListParagraph"/>
        <w:numPr>
          <w:ilvl w:val="1"/>
          <w:numId w:val="208"/>
        </w:numPr>
        <w:spacing w:before="240" w:after="240" w:line="240" w:lineRule="auto"/>
        <w:rPr>
          <w:rFonts w:eastAsiaTheme="minorEastAsia"/>
        </w:rPr>
      </w:pPr>
      <w:r w:rsidRPr="000F6CD1">
        <w:rPr>
          <w:rFonts w:eastAsiaTheme="minorEastAsia"/>
        </w:rPr>
        <w:t>The decision to approve second unit will be informed by evidence submitted by the provider with the SPR request.</w:t>
      </w:r>
    </w:p>
    <w:p w14:paraId="4EFFAC9F" w14:textId="25B5FE66" w:rsidR="004D556D" w:rsidRPr="000F6CD1" w:rsidRDefault="004D556D" w:rsidP="00DF3F6B">
      <w:pPr>
        <w:pStyle w:val="ListParagraph"/>
        <w:numPr>
          <w:ilvl w:val="0"/>
          <w:numId w:val="208"/>
        </w:numPr>
        <w:spacing w:before="240" w:after="240" w:line="240" w:lineRule="auto"/>
        <w:rPr>
          <w:rFonts w:eastAsiaTheme="minorEastAsia"/>
        </w:rPr>
      </w:pPr>
      <w:r w:rsidRPr="000F6CD1">
        <w:t>When a request for a second unit of RCP is received assessors should confirm if there is ap</w:t>
      </w:r>
      <w:r w:rsidRPr="000F6CD1">
        <w:rPr>
          <w:rFonts w:eastAsiaTheme="minorEastAsia"/>
        </w:rPr>
        <w:t>proval for STRC and RCP on the client’s record. If there is approval for both, the assessor will need to confirm with the client if the client entered care under the RCP after 1 November 2025 using the STRC approval. If this is the case, then the assessor must not approve a third unit of RCP funding.</w:t>
      </w:r>
    </w:p>
    <w:p w14:paraId="418E2DCC" w14:textId="2A2E953D" w:rsidR="004D556D" w:rsidRPr="000F6CD1" w:rsidRDefault="004D556D" w:rsidP="00DF3F6B">
      <w:pPr>
        <w:pStyle w:val="ListParagraph"/>
        <w:numPr>
          <w:ilvl w:val="0"/>
          <w:numId w:val="208"/>
        </w:numPr>
        <w:spacing w:before="240" w:after="240" w:line="240" w:lineRule="auto"/>
      </w:pPr>
      <w:r w:rsidRPr="000F6CD1">
        <w:rPr>
          <w:rFonts w:eastAsiaTheme="minorEastAsia"/>
        </w:rPr>
        <w:t>If the participant is eligible to access an additional RCP unit, they must wait at least 12 months before accessing another episode.</w:t>
      </w:r>
    </w:p>
    <w:p w14:paraId="12AC9A4C" w14:textId="1DB2BEC3" w:rsidR="00984E53" w:rsidRPr="000F6CD1" w:rsidRDefault="00984E53" w:rsidP="00984E53">
      <w:pPr>
        <w:spacing w:before="240" w:after="240" w:line="240" w:lineRule="auto"/>
      </w:pPr>
    </w:p>
    <w:p w14:paraId="067FC361" w14:textId="4F437D0C" w:rsidR="004D556D" w:rsidRPr="000F6CD1" w:rsidRDefault="004D556D" w:rsidP="00806A21">
      <w:pPr>
        <w:pStyle w:val="Sub-headings"/>
      </w:pPr>
      <w:r w:rsidRPr="000F6CD1">
        <w:lastRenderedPageBreak/>
        <w:t>Important:</w:t>
      </w:r>
    </w:p>
    <w:p w14:paraId="6E7712AA" w14:textId="65D7AAA0" w:rsidR="004D556D" w:rsidRPr="000F6CD1" w:rsidRDefault="004D556D" w:rsidP="00806A21">
      <w:pPr>
        <w:pStyle w:val="Sub-headings"/>
      </w:pPr>
      <w:r w:rsidRPr="000F6CD1">
        <w:t xml:space="preserve">There are certain number of places available during the financial quarter for RCP units. Assessors and delegates should monitor departmental communications regarding RCP unit availability, particularly where a second unit is being considered. Requests for second RCP unit contribute to the overall management of available RCP units and should only be made where clinically appropriate and supported by evidence, </w:t>
      </w:r>
    </w:p>
    <w:tbl>
      <w:tblPr>
        <w:tblStyle w:val="TableGrid"/>
        <w:tblW w:w="0" w:type="auto"/>
        <w:tblLook w:val="04A0" w:firstRow="1" w:lastRow="0" w:firstColumn="1" w:lastColumn="0" w:noHBand="0" w:noVBand="1"/>
      </w:tblPr>
      <w:tblGrid>
        <w:gridCol w:w="988"/>
        <w:gridCol w:w="8028"/>
      </w:tblGrid>
      <w:tr w:rsidR="004D556D" w:rsidRPr="000F6CD1" w14:paraId="2B903356" w14:textId="77777777">
        <w:tc>
          <w:tcPr>
            <w:tcW w:w="988" w:type="dxa"/>
          </w:tcPr>
          <w:p w14:paraId="6913E6F6" w14:textId="77777777" w:rsidR="004D556D" w:rsidRPr="000F6CD1" w:rsidRDefault="004D556D" w:rsidP="00622CFF">
            <w:pPr>
              <w:spacing w:before="240" w:after="240"/>
            </w:pPr>
            <w:r w:rsidRPr="000F6CD1">
              <w:rPr>
                <w:noProof/>
              </w:rPr>
              <w:drawing>
                <wp:inline distT="0" distB="0" distL="0" distR="0" wp14:anchorId="76897F31" wp14:editId="55089B7B">
                  <wp:extent cx="447675" cy="445208"/>
                  <wp:effectExtent l="0" t="0" r="0" b="0"/>
                  <wp:docPr id="2096342176" name="Picture 2096342176"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2176" name="Picture 2096342176" descr="A black-and-white “i” icon inside a speech bubble, used to show where there are links to additional information and resources. &#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028" w:type="dxa"/>
          </w:tcPr>
          <w:p w14:paraId="3B905817" w14:textId="77777777" w:rsidR="004D556D" w:rsidRPr="000F6CD1" w:rsidRDefault="004D556D" w:rsidP="00622CFF">
            <w:pPr>
              <w:spacing w:before="240" w:after="240"/>
              <w:rPr>
                <w:b/>
              </w:rPr>
            </w:pPr>
            <w:r w:rsidRPr="000F6CD1">
              <w:t xml:space="preserve">For more information on the Restorative Care Pathway please refer to the </w:t>
            </w:r>
            <w:hyperlink r:id="rId266">
              <w:r w:rsidRPr="000F6CD1">
                <w:rPr>
                  <w:rStyle w:val="Hyperlink"/>
                </w:rPr>
                <w:t>Support at Home Manual.</w:t>
              </w:r>
            </w:hyperlink>
          </w:p>
        </w:tc>
      </w:tr>
    </w:tbl>
    <w:p w14:paraId="560E40EF" w14:textId="3B6395C7" w:rsidR="004D556D" w:rsidRPr="000F6CD1" w:rsidRDefault="004D556D">
      <w:pPr>
        <w:pStyle w:val="H4"/>
      </w:pPr>
      <w:r w:rsidRPr="000F6CD1">
        <w:t>Recommending ongoing services after/during a period of Restorative Care Pathway</w:t>
      </w:r>
    </w:p>
    <w:p w14:paraId="7BDDF0BB" w14:textId="144590F7" w:rsidR="004D556D" w:rsidRPr="000F6CD1" w:rsidRDefault="004D556D" w:rsidP="00622CFF">
      <w:pPr>
        <w:spacing w:before="240" w:after="240" w:line="240" w:lineRule="auto"/>
        <w:rPr>
          <w:b/>
        </w:rPr>
      </w:pPr>
      <w:r w:rsidRPr="000F6CD1">
        <w:t>Assessors should consider any potential needs after exiting from the R</w:t>
      </w:r>
      <w:r w:rsidRPr="000F6CD1">
        <w:rPr>
          <w:bCs/>
        </w:rPr>
        <w:t>CP</w:t>
      </w:r>
      <w:r w:rsidRPr="000F6CD1">
        <w:t>, it may be necessary to undertake a reassessment for ongoing funding towards the end of the RCP episode. </w:t>
      </w:r>
    </w:p>
    <w:p w14:paraId="0C6922F5" w14:textId="0A8A0AB3" w:rsidR="004D556D" w:rsidRPr="000F6CD1" w:rsidRDefault="004D556D" w:rsidP="00622CFF">
      <w:pPr>
        <w:spacing w:before="240" w:after="240" w:line="240" w:lineRule="auto"/>
      </w:pPr>
      <w:r w:rsidRPr="000F6CD1">
        <w:t xml:space="preserve">The intention of RCP is to improve levels of function and delay the need for ongoing or higher levels of ongoing aged care services. This can only be determined after the RCP episode has been completed. The restorative care partner could request a reassessment if it is anticipated ongoing services may be required or there has been a change in circumstances. </w:t>
      </w:r>
    </w:p>
    <w:p w14:paraId="386ECF92" w14:textId="5F18322B" w:rsidR="004D556D" w:rsidRPr="000F6CD1" w:rsidRDefault="0062060B" w:rsidP="00AD2CE5">
      <w:pPr>
        <w:pStyle w:val="H3"/>
      </w:pPr>
      <w:r>
        <w:drawing>
          <wp:anchor distT="0" distB="0" distL="114300" distR="114300" simplePos="0" relativeHeight="251658314" behindDoc="0" locked="0" layoutInCell="1" allowOverlap="1" wp14:anchorId="46F9CE52" wp14:editId="7EEC8E75">
            <wp:simplePos x="0" y="0"/>
            <wp:positionH relativeFrom="margin">
              <wp:align>left</wp:align>
            </wp:positionH>
            <wp:positionV relativeFrom="margin">
              <wp:posOffset>4286250</wp:posOffset>
            </wp:positionV>
            <wp:extent cx="365760" cy="403860"/>
            <wp:effectExtent l="0" t="0" r="0" b="0"/>
            <wp:wrapSquare wrapText="bothSides"/>
            <wp:docPr id="627909524"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09524"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4D556D" w:rsidRPr="000F6CD1">
        <w:t>SPRs for the End-of-Life Pathway</w:t>
      </w:r>
    </w:p>
    <w:p w14:paraId="0E1DE138" w14:textId="0865F44D" w:rsidR="004D556D" w:rsidRPr="000F6CD1" w:rsidRDefault="008D369C" w:rsidP="00622CFF">
      <w:pPr>
        <w:spacing w:before="240" w:after="240" w:line="240" w:lineRule="auto"/>
      </w:pPr>
      <w:r w:rsidRPr="000F6CD1">
        <w:t xml:space="preserve"> </w:t>
      </w:r>
      <w:r w:rsidR="004D556D" w:rsidRPr="000F6CD1">
        <w:t>SPRs are used in the context of the End-of-Life Pathway for the following reasons:</w:t>
      </w:r>
    </w:p>
    <w:p w14:paraId="2B55D845" w14:textId="77777777" w:rsidR="004D556D" w:rsidRPr="000F6CD1" w:rsidRDefault="004D556D" w:rsidP="00DF3F6B">
      <w:pPr>
        <w:pStyle w:val="ListParagraph"/>
        <w:numPr>
          <w:ilvl w:val="0"/>
          <w:numId w:val="316"/>
        </w:numPr>
        <w:spacing w:before="240" w:after="240" w:line="240" w:lineRule="auto"/>
      </w:pPr>
      <w:r w:rsidRPr="000F6CD1">
        <w:t>For existing Support at Home participants, to move from their current ongoing Support at Home classification to the End-of-Life Pathway</w:t>
      </w:r>
    </w:p>
    <w:p w14:paraId="17568804" w14:textId="0A55FE9C" w:rsidR="004D556D" w:rsidRPr="000F6CD1" w:rsidRDefault="004D556D" w:rsidP="00DF3F6B">
      <w:pPr>
        <w:pStyle w:val="ListParagraph"/>
        <w:numPr>
          <w:ilvl w:val="0"/>
          <w:numId w:val="316"/>
        </w:numPr>
        <w:spacing w:before="240" w:after="240" w:line="240" w:lineRule="auto"/>
      </w:pPr>
      <w:r w:rsidRPr="000F6CD1">
        <w:t>For participants accessing the End-of-Life Pathway who require services beyond the End-of-Life funding period, to move from the End-of-Life Pathway to an ongoing Support at Home classification</w:t>
      </w:r>
    </w:p>
    <w:p w14:paraId="6DACB6BA" w14:textId="77777777" w:rsidR="004D556D" w:rsidRPr="000F6CD1" w:rsidRDefault="004D556D" w:rsidP="00622CFF">
      <w:pPr>
        <w:spacing w:before="240" w:after="240" w:line="240" w:lineRule="auto"/>
      </w:pPr>
      <w:r w:rsidRPr="000F6CD1">
        <w:t>In both cases above, the SPR should be marked as an ‘urgent’ SPR.</w:t>
      </w:r>
    </w:p>
    <w:p w14:paraId="15EADD08" w14:textId="7358E556" w:rsidR="004D556D" w:rsidRPr="000F6CD1" w:rsidRDefault="004D556D" w:rsidP="00622CFF">
      <w:pPr>
        <w:spacing w:before="240" w:after="240" w:line="240" w:lineRule="auto"/>
      </w:pPr>
      <w:r w:rsidRPr="000F6CD1">
        <w:t>Funding under the End-of-Life Pathway can be used for a maximum of 16 weeks. An urgent SPR can be requested any time after 12 weeks if it appears the participant will require services that exceed the End-of-Life funding period. The SPR will enable the participant to:</w:t>
      </w:r>
    </w:p>
    <w:p w14:paraId="6E2E3F44" w14:textId="77777777" w:rsidR="004D556D" w:rsidRPr="000F6CD1" w:rsidRDefault="004D556D" w:rsidP="00DF3F6B">
      <w:pPr>
        <w:pStyle w:val="ListParagraph"/>
        <w:numPr>
          <w:ilvl w:val="0"/>
          <w:numId w:val="316"/>
        </w:numPr>
        <w:spacing w:before="240" w:after="240" w:line="240" w:lineRule="auto"/>
      </w:pPr>
      <w:r w:rsidRPr="000F6CD1">
        <w:t>Return to their previous ongoing Support at Home classification, if they were already receiving services under Support at Home, or</w:t>
      </w:r>
    </w:p>
    <w:p w14:paraId="7F3DF8DA" w14:textId="04EBF2AE" w:rsidR="004D556D" w:rsidRPr="000F6CD1" w:rsidRDefault="004D556D" w:rsidP="00DF3F6B">
      <w:pPr>
        <w:pStyle w:val="ListParagraph"/>
        <w:numPr>
          <w:ilvl w:val="0"/>
          <w:numId w:val="316"/>
        </w:numPr>
        <w:spacing w:before="240" w:after="240" w:line="240" w:lineRule="auto"/>
      </w:pPr>
      <w:r w:rsidRPr="000F6CD1">
        <w:t>Transfer to the ongoing classification that was determined at assessment, in the case of participants who were new to Support at Home when they commenced the End-of-Life Pathway.</w:t>
      </w:r>
    </w:p>
    <w:p w14:paraId="0780CBCB" w14:textId="6EA7FBB7" w:rsidR="004D556D" w:rsidRPr="000F6CD1" w:rsidRDefault="004D556D" w:rsidP="00622CFF">
      <w:pPr>
        <w:spacing w:before="240" w:after="240" w:line="240" w:lineRule="auto"/>
      </w:pPr>
      <w:r w:rsidRPr="000F6CD1">
        <w:t xml:space="preserve">It is critical that SPRs to transfer a participant from the End-of-Life Pathway to ongoing services are prioritised in order to ensure there is no break in continuity of service. If a participant is returning to an ongoing Support at Home classification that is considered insufficient for their needs, a reassessment may be needed. However, the SPR to return the participant to their current ongoing classification should be completed first, in order to ensure funding is made available. After this, a reassessment can be requested. </w:t>
      </w:r>
    </w:p>
    <w:p w14:paraId="7316E350" w14:textId="54222C31" w:rsidR="004D556D" w:rsidRPr="000F6CD1" w:rsidRDefault="004D556D" w:rsidP="00622CFF">
      <w:pPr>
        <w:spacing w:before="240" w:after="240" w:line="240" w:lineRule="auto"/>
      </w:pPr>
      <w:r w:rsidRPr="000F6CD1">
        <w:lastRenderedPageBreak/>
        <w:t xml:space="preserve">Where the participant was new or was an existing Support at Home participant prior to accessing the End-of-Life pathway (e.g., was not previously accessing CHSP), when completing the SPR, the assessor must ensure they transfer the participant to ongoing services through the SPR process instead of referring to a new assessment from the SPR process. End-of-Life participants should only be referred for a new assessment through an SPR where they were accessing another program prior to accessing the End-of-Life pathway (such as CHSP). </w:t>
      </w:r>
    </w:p>
    <w:p w14:paraId="501B7996" w14:textId="77777777" w:rsidR="004D556D" w:rsidRPr="000F6CD1" w:rsidRDefault="004D556D" w:rsidP="00622CFF">
      <w:pPr>
        <w:spacing w:before="240" w:after="240" w:line="240" w:lineRule="auto"/>
      </w:pPr>
    </w:p>
    <w:p w14:paraId="49143D58" w14:textId="77777777" w:rsidR="004D556D" w:rsidRPr="000F6CD1" w:rsidRDefault="004D556D" w:rsidP="00622CFF">
      <w:pPr>
        <w:spacing w:before="240" w:after="240" w:line="240" w:lineRule="auto"/>
        <w:rPr>
          <w:b/>
          <w:szCs w:val="22"/>
        </w:rPr>
      </w:pPr>
      <w:r w:rsidRPr="000F6CD1">
        <w:rPr>
          <w:noProof/>
        </w:rPr>
        <w:drawing>
          <wp:anchor distT="0" distB="0" distL="114300" distR="114300" simplePos="0" relativeHeight="251658316" behindDoc="0" locked="0" layoutInCell="1" allowOverlap="1" wp14:anchorId="4BE82ABB" wp14:editId="7A0AB948">
            <wp:simplePos x="0" y="0"/>
            <wp:positionH relativeFrom="margin">
              <wp:align>left</wp:align>
            </wp:positionH>
            <wp:positionV relativeFrom="paragraph">
              <wp:posOffset>55880</wp:posOffset>
            </wp:positionV>
            <wp:extent cx="361950" cy="359410"/>
            <wp:effectExtent l="0" t="0" r="0" b="2540"/>
            <wp:wrapSquare wrapText="bothSides"/>
            <wp:docPr id="1419225039" name="Picture 141922503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25039" name="Picture 1419225039"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950" cy="359410"/>
                    </a:xfrm>
                    <a:prstGeom prst="rect">
                      <a:avLst/>
                    </a:prstGeom>
                  </pic:spPr>
                </pic:pic>
              </a:graphicData>
            </a:graphic>
            <wp14:sizeRelH relativeFrom="page">
              <wp14:pctWidth>0</wp14:pctWidth>
            </wp14:sizeRelH>
            <wp14:sizeRelV relativeFrom="page">
              <wp14:pctHeight>0</wp14:pctHeight>
            </wp14:sizeRelV>
          </wp:anchor>
        </w:drawing>
      </w:r>
      <w:r w:rsidRPr="000F6CD1">
        <w:rPr>
          <w:b/>
          <w:szCs w:val="22"/>
        </w:rPr>
        <w:t>Department of Health, Disability and Ageing website:</w:t>
      </w:r>
    </w:p>
    <w:p w14:paraId="3D08DDAC" w14:textId="278CD712" w:rsidR="0062060B" w:rsidRDefault="004D556D" w:rsidP="00C33B02">
      <w:hyperlink r:id="rId267">
        <w:r w:rsidRPr="000F6CD1">
          <w:rPr>
            <w:rStyle w:val="Hyperlink"/>
            <w:szCs w:val="22"/>
          </w:rPr>
          <w:t>My Aged Care – Assessor Portal User Guide 3 – Managing Referrals for Assessment and Support Plan Reviews</w:t>
        </w:r>
      </w:hyperlink>
      <w:r w:rsidR="00C33B02">
        <w:t xml:space="preserve"> </w:t>
      </w:r>
      <w:bookmarkStart w:id="907" w:name="_Toc204329598"/>
      <w:bookmarkStart w:id="908" w:name="_Toc198813651"/>
      <w:bookmarkStart w:id="909" w:name="CH1_ReviewableDecisions"/>
    </w:p>
    <w:p w14:paraId="0E7CD421" w14:textId="77777777" w:rsidR="0062060B" w:rsidRDefault="0062060B">
      <w:r>
        <w:br w:type="page"/>
      </w:r>
    </w:p>
    <w:p w14:paraId="6837BDBC" w14:textId="77777777" w:rsidR="004D556D" w:rsidRDefault="004D556D" w:rsidP="00C33B02"/>
    <w:p w14:paraId="5C692ED5" w14:textId="699A8AFF" w:rsidR="00B4017B" w:rsidRPr="000F6CD1" w:rsidRDefault="00C33B02" w:rsidP="00AC3600">
      <w:pPr>
        <w:pStyle w:val="H1"/>
      </w:pPr>
      <w:r>
        <w:t xml:space="preserve"> </w:t>
      </w:r>
      <w:bookmarkStart w:id="910" w:name="_Toc209189042"/>
      <w:bookmarkStart w:id="911" w:name="_Ref212735729"/>
      <w:bookmarkStart w:id="912" w:name="_Ref212736079"/>
      <w:bookmarkStart w:id="913" w:name="_Ref212736355"/>
      <w:bookmarkStart w:id="914" w:name="_Ref232600192"/>
      <w:bookmarkStart w:id="915" w:name="_Ref232689383"/>
      <w:bookmarkStart w:id="916" w:name="_Ref232691499"/>
      <w:bookmarkStart w:id="917" w:name="_Ref232691518"/>
      <w:bookmarkStart w:id="918" w:name="_Toc233282497"/>
      <w:bookmarkEnd w:id="907"/>
      <w:bookmarkEnd w:id="908"/>
      <w:bookmarkEnd w:id="909"/>
      <w:r w:rsidR="00B4017B" w:rsidRPr="000F6CD1">
        <w:t>Chapter 11: Reviewable decisions, revoking eligibility or approval decisions and complaints</w:t>
      </w:r>
      <w:bookmarkEnd w:id="910"/>
      <w:bookmarkEnd w:id="911"/>
      <w:bookmarkEnd w:id="912"/>
      <w:bookmarkEnd w:id="913"/>
      <w:bookmarkEnd w:id="914"/>
      <w:bookmarkEnd w:id="915"/>
      <w:bookmarkEnd w:id="916"/>
      <w:bookmarkEnd w:id="917"/>
      <w:bookmarkEnd w:id="918"/>
      <w:r w:rsidR="00B4017B" w:rsidRPr="000F6CD1">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B4017B" w:rsidRPr="000F6CD1" w14:paraId="0E7D12E1" w14:textId="77777777">
        <w:tc>
          <w:tcPr>
            <w:tcW w:w="9016" w:type="dxa"/>
            <w:shd w:val="clear" w:color="auto" w:fill="F2F2F2" w:themeFill="background1" w:themeFillShade="F2"/>
          </w:tcPr>
          <w:p w14:paraId="4A367C44" w14:textId="77777777" w:rsidR="00B4017B" w:rsidRPr="000F6CD1" w:rsidRDefault="00B4017B" w:rsidP="0062103D">
            <w:bookmarkStart w:id="919" w:name="_Toc204329599"/>
            <w:bookmarkStart w:id="920" w:name="_Toc209189043"/>
            <w:r w:rsidRPr="000F6CD1">
              <w:rPr>
                <w:b/>
                <w:color w:val="358189"/>
                <w:sz w:val="36"/>
                <w:szCs w:val="36"/>
              </w:rPr>
              <w:t>What you’ll find in this chapter:</w:t>
            </w:r>
            <w:bookmarkEnd w:id="919"/>
            <w:bookmarkEnd w:id="920"/>
          </w:p>
          <w:p w14:paraId="274A2335" w14:textId="77777777" w:rsidR="00B4017B" w:rsidRPr="000F6CD1" w:rsidRDefault="00B4017B" w:rsidP="00622CFF">
            <w:pPr>
              <w:spacing w:before="240" w:after="240"/>
            </w:pPr>
            <w:r w:rsidRPr="000F6CD1">
              <w:t xml:space="preserve">This chapter provides information on assessment related reviewable decisions in accordance with the </w:t>
            </w:r>
            <w:r w:rsidRPr="000F6CD1">
              <w:rPr>
                <w:i/>
                <w:iCs/>
              </w:rPr>
              <w:t>Aged Care Act 2024 (the Act)</w:t>
            </w:r>
            <w:r w:rsidRPr="000F6CD1">
              <w:t>. It also details:</w:t>
            </w:r>
          </w:p>
          <w:p w14:paraId="62356E4F" w14:textId="2E797BFB" w:rsidR="00B4017B" w:rsidRPr="000F6CD1" w:rsidRDefault="00B4017B">
            <w:pPr>
              <w:pStyle w:val="ListParagraph"/>
              <w:numPr>
                <w:ilvl w:val="0"/>
                <w:numId w:val="47"/>
              </w:numPr>
              <w:spacing w:before="240" w:after="240"/>
            </w:pPr>
            <w:r w:rsidRPr="000F6CD1">
              <w:t>the reviews process</w:t>
            </w:r>
          </w:p>
          <w:p w14:paraId="36D5C689" w14:textId="77777777" w:rsidR="00B4017B" w:rsidRPr="000F6CD1" w:rsidRDefault="00B4017B">
            <w:pPr>
              <w:pStyle w:val="ListParagraph"/>
              <w:numPr>
                <w:ilvl w:val="0"/>
                <w:numId w:val="47"/>
              </w:numPr>
              <w:spacing w:before="240" w:after="240"/>
            </w:pPr>
            <w:r w:rsidRPr="000F6CD1">
              <w:t xml:space="preserve">the corrections process </w:t>
            </w:r>
          </w:p>
          <w:p w14:paraId="422E3695" w14:textId="77777777" w:rsidR="00B4017B" w:rsidRPr="000F6CD1" w:rsidRDefault="00B4017B">
            <w:pPr>
              <w:pStyle w:val="ListParagraph"/>
              <w:numPr>
                <w:ilvl w:val="0"/>
                <w:numId w:val="47"/>
              </w:numPr>
              <w:spacing w:before="240" w:after="240"/>
            </w:pPr>
            <w:r w:rsidRPr="000F6CD1">
              <w:t>options for reviews and revocations</w:t>
            </w:r>
          </w:p>
          <w:p w14:paraId="01F0D08B" w14:textId="77777777" w:rsidR="00B4017B" w:rsidRPr="000F6CD1" w:rsidRDefault="00B4017B">
            <w:pPr>
              <w:pStyle w:val="ListParagraph"/>
              <w:numPr>
                <w:ilvl w:val="0"/>
                <w:numId w:val="47"/>
              </w:numPr>
              <w:spacing w:before="240" w:after="240"/>
            </w:pPr>
            <w:r w:rsidRPr="000F6CD1">
              <w:t xml:space="preserve">the pathways that clients can take to submit complaints and raise concerns about their My Aged Care experience. </w:t>
            </w:r>
          </w:p>
        </w:tc>
      </w:tr>
    </w:tbl>
    <w:p w14:paraId="6F4A05EC" w14:textId="77777777" w:rsidR="00B4017B" w:rsidRPr="000F6CD1" w:rsidRDefault="00B4017B" w:rsidP="00622CFF">
      <w:pPr>
        <w:spacing w:before="240" w:after="240" w:line="240" w:lineRule="auto"/>
      </w:pPr>
      <w:r w:rsidRPr="000F6CD1">
        <w:t xml:space="preserve">The primary audience for this section is assessors, team leaders, delegates and operational managers. Assessors should be aware that they are providing a valuable and trusted public role in the delivery of quality aged care assessment services on behalf of the Commonwealth. A necessary part of a quality assessment is having supporting processes that allow the older person the right to complain without fear of reprisal, while also upholding the statement of rights and principles. </w:t>
      </w:r>
    </w:p>
    <w:p w14:paraId="05D22AD2" w14:textId="77777777" w:rsidR="00B4017B" w:rsidRPr="000F6CD1" w:rsidRDefault="00B4017B" w:rsidP="006647CE">
      <w:pPr>
        <w:pStyle w:val="h2"/>
        <w:rPr>
          <w:color w:val="auto"/>
        </w:rPr>
      </w:pPr>
      <w:bookmarkStart w:id="921" w:name="_Toc204329600"/>
      <w:bookmarkStart w:id="922" w:name="_Toc209189044"/>
      <w:bookmarkStart w:id="923" w:name="_Toc233282498"/>
      <w:r w:rsidRPr="000F6CD1">
        <w:t>Reviewable decisions</w:t>
      </w:r>
      <w:bookmarkEnd w:id="921"/>
      <w:bookmarkEnd w:id="922"/>
      <w:bookmarkEnd w:id="923"/>
    </w:p>
    <w:p w14:paraId="6AC165F8" w14:textId="77777777" w:rsidR="00B4017B" w:rsidRPr="000F6CD1" w:rsidRDefault="00B4017B" w:rsidP="00622CFF">
      <w:pPr>
        <w:spacing w:before="240" w:after="240" w:line="240" w:lineRule="auto"/>
      </w:pPr>
      <w:r w:rsidRPr="000F6CD1">
        <w:t>The Act</w:t>
      </w:r>
      <w:r w:rsidRPr="000F6CD1">
        <w:rPr>
          <w:i/>
          <w:iCs/>
        </w:rPr>
        <w:t xml:space="preserve"> </w:t>
      </w:r>
      <w:r w:rsidRPr="000F6CD1">
        <w:t>broadens the scope of reviewable decisions related to the assessment process. It is essential for all delegates to be aware that certain decisions can be reviewed, and to ensure that every decision made is thoroughly documented and supported by evidence.</w:t>
      </w:r>
    </w:p>
    <w:p w14:paraId="1871D754" w14:textId="77777777" w:rsidR="00B4017B" w:rsidRPr="000F6CD1" w:rsidRDefault="00B4017B" w:rsidP="00622CFF">
      <w:pPr>
        <w:spacing w:before="240" w:after="240" w:line="240" w:lineRule="auto"/>
      </w:pPr>
      <w:r w:rsidRPr="009B3198">
        <w:t>Section 557 </w:t>
      </w:r>
      <w:r w:rsidRPr="000F6CD1">
        <w:t>of the Act outlines the decisions made by the System Governor that are subject to review, including those related to assessments and assessment-related activities. This section also identifies the specific entities affected by each reviewable decision.</w:t>
      </w:r>
    </w:p>
    <w:p w14:paraId="625E6B22" w14:textId="77777777" w:rsidR="00B4017B" w:rsidRPr="000F6CD1" w:rsidRDefault="00B4017B" w:rsidP="00622CFF">
      <w:pPr>
        <w:spacing w:before="240" w:after="240" w:line="240" w:lineRule="auto"/>
      </w:pPr>
      <w:r w:rsidRPr="000F6CD1">
        <w:t xml:space="preserve">An affected entity for a reviewable decision is a party that has the right to seek a review of a decision. To find out whether a person is an affected entity in relation to a reviewable decision refer to column 2 of section 557 of the Act. </w:t>
      </w:r>
    </w:p>
    <w:p w14:paraId="5B40EB57" w14:textId="77777777" w:rsidR="0062060B" w:rsidRDefault="00B4017B" w:rsidP="00622CFF">
      <w:pPr>
        <w:spacing w:before="240" w:after="240" w:line="240" w:lineRule="auto"/>
      </w:pPr>
      <w:r w:rsidRPr="000F6CD1">
        <w:t>An older person’s registered supporter/s can communicate the decision of an older person to seek a review of a decision. It is not the role of a registered supporter to make decisions for an older person. If an older person has an active, appointed decision maker recognised under the Act, that person may make a decision on behalf of an older person to seek a review of a decision. They may only do this if this decision is within the scope of their legal authority and that legal authority is active.</w:t>
      </w:r>
    </w:p>
    <w:p w14:paraId="10DA9E2E" w14:textId="72A18AE8" w:rsidR="00B4017B" w:rsidRPr="000F6CD1" w:rsidRDefault="0062060B" w:rsidP="0062060B">
      <w:r>
        <w:br w:type="page"/>
      </w:r>
    </w:p>
    <w:p w14:paraId="64914956" w14:textId="77777777" w:rsidR="00B4017B" w:rsidRPr="000F6CD1" w:rsidRDefault="00B4017B" w:rsidP="00AD2CE5">
      <w:pPr>
        <w:pStyle w:val="H3"/>
      </w:pPr>
      <w:bookmarkStart w:id="924" w:name="_Toc205372154"/>
      <w:bookmarkStart w:id="925" w:name="_Toc678715787"/>
      <w:r w:rsidRPr="000F6CD1">
        <w:lastRenderedPageBreak/>
        <w:t>Reviewable decisions related to assessment</w:t>
      </w:r>
      <w:bookmarkEnd w:id="924"/>
      <w:bookmarkEnd w:id="925"/>
    </w:p>
    <w:p w14:paraId="1DB7E27E" w14:textId="76A082A1" w:rsidR="00B4017B" w:rsidRPr="000F6CD1" w:rsidRDefault="00B4017B" w:rsidP="0062060B">
      <w:pPr>
        <w:spacing w:before="240" w:after="240" w:line="240" w:lineRule="auto"/>
      </w:pPr>
      <w:r w:rsidRPr="000F6CD1">
        <w:t>Table 56 is an excerpt of the table in Section 557 of the Act relating to decisions made by the System Governor that relate to assessment.</w:t>
      </w:r>
    </w:p>
    <w:p w14:paraId="784BF052" w14:textId="77777777" w:rsidR="00B4017B" w:rsidRPr="000F6CD1" w:rsidRDefault="00B4017B" w:rsidP="00622CFF">
      <w:pPr>
        <w:pStyle w:val="Caption"/>
        <w:spacing w:before="240" w:after="240"/>
      </w:pPr>
      <w:r w:rsidRPr="000F6CD1">
        <w:t>Table 56: Reviewable decisions made by the System Governor that relate to assessment</w:t>
      </w:r>
    </w:p>
    <w:tbl>
      <w:tblPr>
        <w:tblStyle w:val="TableGrid"/>
        <w:tblW w:w="0" w:type="auto"/>
        <w:tblBorders>
          <w:bottom w:val="single" w:sz="4" w:space="0" w:color="auto"/>
          <w:insideH w:val="single" w:sz="4" w:space="0" w:color="auto"/>
        </w:tblBorders>
        <w:tblLook w:val="04A0" w:firstRow="1" w:lastRow="0" w:firstColumn="1" w:lastColumn="0" w:noHBand="0" w:noVBand="1"/>
        <w:tblCaption w:val="Reviewable decisions made by the System Governor that relate to assessment"/>
        <w:tblDescription w:val="The table details reviewable decisions made by the System Governor that relate to assessment"/>
      </w:tblPr>
      <w:tblGrid>
        <w:gridCol w:w="2253"/>
        <w:gridCol w:w="2254"/>
        <w:gridCol w:w="2255"/>
        <w:gridCol w:w="2254"/>
      </w:tblGrid>
      <w:tr w:rsidR="00B4017B" w:rsidRPr="000F6CD1" w14:paraId="61FDF3AE" w14:textId="77777777" w:rsidTr="00A1533A">
        <w:trPr>
          <w:tblHeader/>
        </w:trPr>
        <w:tc>
          <w:tcPr>
            <w:tcW w:w="2253" w:type="dxa"/>
            <w:shd w:val="clear" w:color="auto" w:fill="002060"/>
          </w:tcPr>
          <w:p w14:paraId="144F6A7C" w14:textId="77777777" w:rsidR="00B4017B" w:rsidRPr="000F6CD1" w:rsidRDefault="00B4017B" w:rsidP="00622CFF">
            <w:pPr>
              <w:spacing w:before="240" w:after="240"/>
              <w:rPr>
                <w:b/>
                <w:bCs/>
                <w:color w:val="FFFFFF" w:themeColor="background1"/>
              </w:rPr>
            </w:pPr>
            <w:r w:rsidRPr="000F6CD1">
              <w:rPr>
                <w:b/>
                <w:bCs/>
                <w:color w:val="FFFFFF" w:themeColor="background1"/>
              </w:rPr>
              <w:t>Item</w:t>
            </w:r>
          </w:p>
        </w:tc>
        <w:tc>
          <w:tcPr>
            <w:tcW w:w="2254" w:type="dxa"/>
            <w:shd w:val="clear" w:color="auto" w:fill="002060"/>
          </w:tcPr>
          <w:p w14:paraId="45B4D1B7" w14:textId="77777777" w:rsidR="00B4017B" w:rsidRPr="000F6CD1" w:rsidRDefault="00B4017B" w:rsidP="00622CFF">
            <w:pPr>
              <w:spacing w:before="240" w:after="240"/>
              <w:rPr>
                <w:b/>
                <w:bCs/>
                <w:color w:val="FFFFFF" w:themeColor="background1"/>
              </w:rPr>
            </w:pPr>
            <w:r w:rsidRPr="000F6CD1">
              <w:rPr>
                <w:b/>
                <w:bCs/>
                <w:color w:val="FFFFFF" w:themeColor="background1"/>
              </w:rPr>
              <w:t>Decision</w:t>
            </w:r>
          </w:p>
        </w:tc>
        <w:tc>
          <w:tcPr>
            <w:tcW w:w="2255" w:type="dxa"/>
            <w:shd w:val="clear" w:color="auto" w:fill="002060"/>
          </w:tcPr>
          <w:p w14:paraId="44DE3BF0" w14:textId="77777777" w:rsidR="00B4017B" w:rsidRPr="000F6CD1" w:rsidRDefault="00B4017B" w:rsidP="00622CFF">
            <w:pPr>
              <w:spacing w:before="240" w:after="240"/>
              <w:rPr>
                <w:b/>
                <w:bCs/>
                <w:color w:val="FFFFFF" w:themeColor="background1"/>
              </w:rPr>
            </w:pPr>
            <w:r w:rsidRPr="000F6CD1">
              <w:rPr>
                <w:b/>
                <w:bCs/>
                <w:color w:val="FFFFFF" w:themeColor="background1"/>
              </w:rPr>
              <w:t>Simplified explanation</w:t>
            </w:r>
          </w:p>
        </w:tc>
        <w:tc>
          <w:tcPr>
            <w:tcW w:w="2254" w:type="dxa"/>
            <w:shd w:val="clear" w:color="auto" w:fill="002060"/>
          </w:tcPr>
          <w:p w14:paraId="1CAE3397" w14:textId="77777777" w:rsidR="00B4017B" w:rsidRPr="000F6CD1" w:rsidRDefault="00B4017B" w:rsidP="00622CFF">
            <w:pPr>
              <w:spacing w:before="240" w:after="240"/>
              <w:rPr>
                <w:b/>
                <w:bCs/>
                <w:color w:val="FFFFFF" w:themeColor="background1"/>
              </w:rPr>
            </w:pPr>
            <w:r w:rsidRPr="000F6CD1">
              <w:rPr>
                <w:b/>
                <w:bCs/>
                <w:color w:val="FFFFFF" w:themeColor="background1"/>
              </w:rPr>
              <w:t>Entity</w:t>
            </w:r>
          </w:p>
        </w:tc>
      </w:tr>
      <w:tr w:rsidR="00B4017B" w:rsidRPr="000F6CD1" w14:paraId="5E99DFA2" w14:textId="77777777">
        <w:tc>
          <w:tcPr>
            <w:tcW w:w="2253" w:type="dxa"/>
            <w:shd w:val="clear" w:color="auto" w:fill="002060"/>
          </w:tcPr>
          <w:p w14:paraId="667A5385" w14:textId="77777777" w:rsidR="00B4017B" w:rsidRPr="000F6CD1" w:rsidRDefault="00B4017B" w:rsidP="00622CFF">
            <w:pPr>
              <w:spacing w:before="240" w:after="240"/>
              <w:rPr>
                <w:b/>
                <w:bCs/>
              </w:rPr>
            </w:pPr>
            <w:r w:rsidRPr="000F6CD1">
              <w:rPr>
                <w:b/>
                <w:bCs/>
              </w:rPr>
              <w:t>7</w:t>
            </w:r>
          </w:p>
        </w:tc>
        <w:tc>
          <w:tcPr>
            <w:tcW w:w="2254" w:type="dxa"/>
          </w:tcPr>
          <w:p w14:paraId="7DE2F213" w14:textId="77777777" w:rsidR="00B4017B" w:rsidRPr="000F6CD1" w:rsidRDefault="00B4017B" w:rsidP="00622CFF">
            <w:pPr>
              <w:spacing w:before="240" w:after="240"/>
              <w:rPr>
                <w:b/>
                <w:bCs/>
              </w:rPr>
            </w:pPr>
            <w:r w:rsidRPr="000F6CD1">
              <w:t>A decision under subsection 57(1) not to make an eligibility determination for an aged care needs assessment for an individual</w:t>
            </w:r>
          </w:p>
        </w:tc>
        <w:tc>
          <w:tcPr>
            <w:tcW w:w="2255" w:type="dxa"/>
          </w:tcPr>
          <w:p w14:paraId="066DBE2A" w14:textId="77777777" w:rsidR="00B4017B" w:rsidRPr="000F6CD1" w:rsidRDefault="00B4017B" w:rsidP="00622CFF">
            <w:pPr>
              <w:spacing w:before="240" w:after="240"/>
              <w:rPr>
                <w:b/>
                <w:bCs/>
              </w:rPr>
            </w:pPr>
            <w:r w:rsidRPr="000F6CD1">
              <w:t>Deciding that an individual is not eligible for an aged care needs assessment</w:t>
            </w:r>
          </w:p>
        </w:tc>
        <w:tc>
          <w:tcPr>
            <w:tcW w:w="2254" w:type="dxa"/>
          </w:tcPr>
          <w:p w14:paraId="3B24FD17" w14:textId="77777777" w:rsidR="00B4017B" w:rsidRPr="000F6CD1" w:rsidRDefault="00B4017B" w:rsidP="00622CFF">
            <w:pPr>
              <w:spacing w:before="240" w:after="240"/>
            </w:pPr>
            <w:r w:rsidRPr="000F6CD1">
              <w:t>The individual</w:t>
            </w:r>
          </w:p>
          <w:p w14:paraId="150E3F2A" w14:textId="77777777" w:rsidR="00B4017B" w:rsidRPr="000F6CD1" w:rsidRDefault="00B4017B" w:rsidP="00622CFF">
            <w:pPr>
              <w:spacing w:before="240" w:after="240"/>
              <w:rPr>
                <w:b/>
                <w:bCs/>
              </w:rPr>
            </w:pPr>
            <w:r w:rsidRPr="000F6CD1">
              <w:t>(the older person)</w:t>
            </w:r>
          </w:p>
        </w:tc>
      </w:tr>
      <w:tr w:rsidR="00B4017B" w:rsidRPr="000F6CD1" w14:paraId="3230AEAC" w14:textId="77777777">
        <w:tc>
          <w:tcPr>
            <w:tcW w:w="2253" w:type="dxa"/>
            <w:shd w:val="clear" w:color="auto" w:fill="002060"/>
          </w:tcPr>
          <w:p w14:paraId="50253E97" w14:textId="77777777" w:rsidR="00B4017B" w:rsidRPr="000F6CD1" w:rsidRDefault="00B4017B" w:rsidP="00622CFF">
            <w:pPr>
              <w:spacing w:before="240" w:after="240"/>
              <w:rPr>
                <w:b/>
                <w:bCs/>
              </w:rPr>
            </w:pPr>
            <w:r w:rsidRPr="000F6CD1">
              <w:rPr>
                <w:b/>
                <w:bCs/>
              </w:rPr>
              <w:t>8</w:t>
            </w:r>
          </w:p>
        </w:tc>
        <w:tc>
          <w:tcPr>
            <w:tcW w:w="2254" w:type="dxa"/>
          </w:tcPr>
          <w:p w14:paraId="3FDF008C" w14:textId="77777777" w:rsidR="00B4017B" w:rsidRPr="000F6CD1" w:rsidRDefault="00B4017B" w:rsidP="00622CFF">
            <w:pPr>
              <w:spacing w:before="240" w:after="240"/>
              <w:rPr>
                <w:b/>
                <w:bCs/>
              </w:rPr>
            </w:pPr>
            <w:r w:rsidRPr="000F6CD1">
              <w:t>A decision under subsection 64(1) that a reassessment of an individual’s need for funded aged care services is not required</w:t>
            </w:r>
          </w:p>
        </w:tc>
        <w:tc>
          <w:tcPr>
            <w:tcW w:w="2255" w:type="dxa"/>
          </w:tcPr>
          <w:p w14:paraId="6924BE98" w14:textId="77777777" w:rsidR="00B4017B" w:rsidRPr="000F6CD1" w:rsidRDefault="00B4017B" w:rsidP="00622CFF">
            <w:pPr>
              <w:spacing w:before="240" w:after="240"/>
              <w:rPr>
                <w:b/>
                <w:bCs/>
              </w:rPr>
            </w:pPr>
            <w:r w:rsidRPr="000F6CD1">
              <w:t>No need for reassessment: Deciding that an older person does not need a support plan review or reassessment of their aged care needs</w:t>
            </w:r>
          </w:p>
        </w:tc>
        <w:tc>
          <w:tcPr>
            <w:tcW w:w="2254" w:type="dxa"/>
          </w:tcPr>
          <w:p w14:paraId="41B0AEDA" w14:textId="77777777" w:rsidR="00B4017B" w:rsidRPr="000F6CD1" w:rsidRDefault="00B4017B" w:rsidP="00622CFF">
            <w:pPr>
              <w:spacing w:before="240" w:after="240"/>
              <w:rPr>
                <w:b/>
                <w:bCs/>
              </w:rPr>
            </w:pPr>
            <w:r w:rsidRPr="000F6CD1">
              <w:t>The individual (the older person)</w:t>
            </w:r>
          </w:p>
        </w:tc>
      </w:tr>
      <w:tr w:rsidR="00B4017B" w:rsidRPr="000F6CD1" w14:paraId="5D0898C6" w14:textId="77777777">
        <w:tc>
          <w:tcPr>
            <w:tcW w:w="2253" w:type="dxa"/>
            <w:shd w:val="clear" w:color="auto" w:fill="002060"/>
          </w:tcPr>
          <w:p w14:paraId="10A9CF49" w14:textId="77777777" w:rsidR="00B4017B" w:rsidRPr="000F6CD1" w:rsidRDefault="00B4017B" w:rsidP="00622CFF">
            <w:pPr>
              <w:spacing w:before="240" w:after="240"/>
              <w:rPr>
                <w:b/>
                <w:bCs/>
              </w:rPr>
            </w:pPr>
            <w:r w:rsidRPr="000F6CD1">
              <w:rPr>
                <w:b/>
                <w:bCs/>
              </w:rPr>
              <w:t>9</w:t>
            </w:r>
          </w:p>
        </w:tc>
        <w:tc>
          <w:tcPr>
            <w:tcW w:w="2254" w:type="dxa"/>
          </w:tcPr>
          <w:p w14:paraId="5D81CBFB" w14:textId="77777777" w:rsidR="00B4017B" w:rsidRPr="000F6CD1" w:rsidRDefault="00B4017B" w:rsidP="00622CFF">
            <w:pPr>
              <w:spacing w:before="240" w:after="240"/>
              <w:rPr>
                <w:b/>
                <w:bCs/>
              </w:rPr>
            </w:pPr>
            <w:r w:rsidRPr="000F6CD1">
              <w:t>A decision under subsection 65(1) that an individual does not require access to funded aged care services</w:t>
            </w:r>
          </w:p>
        </w:tc>
        <w:tc>
          <w:tcPr>
            <w:tcW w:w="2255" w:type="dxa"/>
          </w:tcPr>
          <w:p w14:paraId="577B3951" w14:textId="77777777" w:rsidR="00B4017B" w:rsidRPr="000F6CD1" w:rsidRDefault="00B4017B" w:rsidP="00622CFF">
            <w:pPr>
              <w:spacing w:before="240" w:after="240"/>
              <w:rPr>
                <w:b/>
                <w:bCs/>
              </w:rPr>
            </w:pPr>
            <w:r w:rsidRPr="000F6CD1">
              <w:t>No need for aged care services: Deciding that an older person does not need funded aged care services</w:t>
            </w:r>
          </w:p>
        </w:tc>
        <w:tc>
          <w:tcPr>
            <w:tcW w:w="2254" w:type="dxa"/>
          </w:tcPr>
          <w:p w14:paraId="2D52D02A" w14:textId="77777777" w:rsidR="00B4017B" w:rsidRPr="000F6CD1" w:rsidRDefault="00B4017B" w:rsidP="00622CFF">
            <w:pPr>
              <w:spacing w:before="240" w:after="240"/>
              <w:rPr>
                <w:b/>
                <w:bCs/>
              </w:rPr>
            </w:pPr>
            <w:r w:rsidRPr="000F6CD1">
              <w:t>The individual (the older person)</w:t>
            </w:r>
          </w:p>
        </w:tc>
      </w:tr>
      <w:tr w:rsidR="00B4017B" w:rsidRPr="000F6CD1" w14:paraId="6C692E83" w14:textId="77777777">
        <w:tc>
          <w:tcPr>
            <w:tcW w:w="2253" w:type="dxa"/>
            <w:shd w:val="clear" w:color="auto" w:fill="002060"/>
          </w:tcPr>
          <w:p w14:paraId="2DD9C2A4" w14:textId="77777777" w:rsidR="00B4017B" w:rsidRPr="000F6CD1" w:rsidRDefault="00B4017B" w:rsidP="00622CFF">
            <w:pPr>
              <w:spacing w:before="240" w:after="240"/>
              <w:rPr>
                <w:b/>
                <w:bCs/>
              </w:rPr>
            </w:pPr>
            <w:r w:rsidRPr="000F6CD1">
              <w:rPr>
                <w:b/>
                <w:bCs/>
              </w:rPr>
              <w:t>10</w:t>
            </w:r>
          </w:p>
        </w:tc>
        <w:tc>
          <w:tcPr>
            <w:tcW w:w="2254" w:type="dxa"/>
          </w:tcPr>
          <w:p w14:paraId="160CD7D6" w14:textId="77777777" w:rsidR="00B4017B" w:rsidRPr="000F6CD1" w:rsidRDefault="00B4017B" w:rsidP="00622CFF">
            <w:pPr>
              <w:spacing w:before="240" w:after="240"/>
              <w:rPr>
                <w:b/>
                <w:bCs/>
              </w:rPr>
            </w:pPr>
            <w:r w:rsidRPr="000F6CD1">
              <w:t>A decision under subsection 65(2) not to approve a service group, or a classification type for a service group, a service type, or a funded aged care service, for an individual</w:t>
            </w:r>
          </w:p>
        </w:tc>
        <w:tc>
          <w:tcPr>
            <w:tcW w:w="2255" w:type="dxa"/>
          </w:tcPr>
          <w:p w14:paraId="05C0E072" w14:textId="77777777" w:rsidR="00B4017B" w:rsidRPr="000F6CD1" w:rsidRDefault="00B4017B" w:rsidP="00622CFF">
            <w:pPr>
              <w:spacing w:before="240" w:after="240"/>
              <w:rPr>
                <w:b/>
                <w:bCs/>
              </w:rPr>
            </w:pPr>
            <w:r w:rsidRPr="000F6CD1">
              <w:t>Not approving certain services: Deciding not to approve a service group, service types or services, or classification types for an older person</w:t>
            </w:r>
          </w:p>
        </w:tc>
        <w:tc>
          <w:tcPr>
            <w:tcW w:w="2254" w:type="dxa"/>
          </w:tcPr>
          <w:p w14:paraId="536F35A0" w14:textId="77777777" w:rsidR="00B4017B" w:rsidRPr="000F6CD1" w:rsidRDefault="00B4017B" w:rsidP="00622CFF">
            <w:pPr>
              <w:spacing w:before="240" w:after="240"/>
              <w:rPr>
                <w:b/>
                <w:bCs/>
              </w:rPr>
            </w:pPr>
            <w:r w:rsidRPr="000F6CD1">
              <w:t>The individual (the older person)</w:t>
            </w:r>
          </w:p>
        </w:tc>
      </w:tr>
      <w:tr w:rsidR="00B4017B" w:rsidRPr="000F6CD1" w14:paraId="678334FA" w14:textId="77777777">
        <w:tc>
          <w:tcPr>
            <w:tcW w:w="2253" w:type="dxa"/>
            <w:shd w:val="clear" w:color="auto" w:fill="002060"/>
          </w:tcPr>
          <w:p w14:paraId="1A2A4D4E" w14:textId="77777777" w:rsidR="00B4017B" w:rsidRPr="000F6CD1" w:rsidRDefault="00B4017B" w:rsidP="00622CFF">
            <w:pPr>
              <w:spacing w:before="240" w:after="240"/>
              <w:rPr>
                <w:b/>
                <w:bCs/>
              </w:rPr>
            </w:pPr>
            <w:r w:rsidRPr="000F6CD1">
              <w:rPr>
                <w:b/>
                <w:bCs/>
              </w:rPr>
              <w:t>11</w:t>
            </w:r>
          </w:p>
        </w:tc>
        <w:tc>
          <w:tcPr>
            <w:tcW w:w="2254" w:type="dxa"/>
          </w:tcPr>
          <w:p w14:paraId="63E46A99" w14:textId="77777777" w:rsidR="00B4017B" w:rsidRPr="000F6CD1" w:rsidRDefault="00B4017B" w:rsidP="00622CFF">
            <w:pPr>
              <w:spacing w:before="240" w:after="240"/>
              <w:rPr>
                <w:b/>
                <w:bCs/>
              </w:rPr>
            </w:pPr>
            <w:r w:rsidRPr="000F6CD1">
              <w:t xml:space="preserve">A decision under subsection 65(4) that exceptional </w:t>
            </w:r>
            <w:r w:rsidRPr="000F6CD1">
              <w:lastRenderedPageBreak/>
              <w:t>circumstances do not apply in relation to an individual</w:t>
            </w:r>
          </w:p>
        </w:tc>
        <w:tc>
          <w:tcPr>
            <w:tcW w:w="2255" w:type="dxa"/>
          </w:tcPr>
          <w:p w14:paraId="4CDA5170" w14:textId="77777777" w:rsidR="00B4017B" w:rsidRPr="000F6CD1" w:rsidRDefault="00B4017B" w:rsidP="00622CFF">
            <w:pPr>
              <w:spacing w:before="240" w:after="240"/>
              <w:rPr>
                <w:b/>
                <w:bCs/>
              </w:rPr>
            </w:pPr>
            <w:r w:rsidRPr="000F6CD1">
              <w:lastRenderedPageBreak/>
              <w:t xml:space="preserve">No exceptional circumstances: Deciding not to </w:t>
            </w:r>
            <w:r w:rsidRPr="000F6CD1">
              <w:lastRenderedPageBreak/>
              <w:t>approve access where an older person has not undergone a needs assessment.</w:t>
            </w:r>
          </w:p>
        </w:tc>
        <w:tc>
          <w:tcPr>
            <w:tcW w:w="2254" w:type="dxa"/>
          </w:tcPr>
          <w:p w14:paraId="6E731811" w14:textId="77777777" w:rsidR="00B4017B" w:rsidRPr="000F6CD1" w:rsidRDefault="00B4017B" w:rsidP="00622CFF">
            <w:pPr>
              <w:spacing w:before="240" w:after="240"/>
              <w:rPr>
                <w:b/>
                <w:bCs/>
              </w:rPr>
            </w:pPr>
            <w:r w:rsidRPr="000F6CD1">
              <w:lastRenderedPageBreak/>
              <w:t>Each of the following:</w:t>
            </w:r>
          </w:p>
          <w:p w14:paraId="506F30F9" w14:textId="77777777" w:rsidR="00B4017B" w:rsidRPr="000F6CD1" w:rsidRDefault="00B4017B" w:rsidP="00622CFF">
            <w:pPr>
              <w:spacing w:before="240" w:after="240"/>
              <w:rPr>
                <w:b/>
                <w:bCs/>
              </w:rPr>
            </w:pPr>
            <w:r w:rsidRPr="000F6CD1">
              <w:lastRenderedPageBreak/>
              <w:t>(a) the individual (the older person);</w:t>
            </w:r>
          </w:p>
          <w:p w14:paraId="54B69068" w14:textId="77777777" w:rsidR="00B4017B" w:rsidRPr="000F6CD1" w:rsidRDefault="00B4017B" w:rsidP="00622CFF">
            <w:pPr>
              <w:spacing w:before="240" w:after="240"/>
              <w:rPr>
                <w:b/>
                <w:bCs/>
              </w:rPr>
            </w:pPr>
            <w:r w:rsidRPr="000F6CD1">
              <w:t>(b) the registered provider</w:t>
            </w:r>
          </w:p>
          <w:p w14:paraId="7ACEB859" w14:textId="77777777" w:rsidR="00B4017B" w:rsidRPr="000F6CD1" w:rsidRDefault="00B4017B" w:rsidP="00622CFF">
            <w:pPr>
              <w:spacing w:before="240" w:after="240"/>
              <w:rPr>
                <w:b/>
                <w:bCs/>
              </w:rPr>
            </w:pPr>
          </w:p>
        </w:tc>
      </w:tr>
      <w:tr w:rsidR="00B4017B" w:rsidRPr="000F6CD1" w14:paraId="4B13F729" w14:textId="77777777">
        <w:tc>
          <w:tcPr>
            <w:tcW w:w="2253" w:type="dxa"/>
            <w:shd w:val="clear" w:color="auto" w:fill="002060"/>
          </w:tcPr>
          <w:p w14:paraId="2F944465" w14:textId="77777777" w:rsidR="00B4017B" w:rsidRPr="000F6CD1" w:rsidRDefault="00B4017B" w:rsidP="00622CFF">
            <w:pPr>
              <w:spacing w:before="240" w:after="240"/>
              <w:rPr>
                <w:b/>
                <w:bCs/>
              </w:rPr>
            </w:pPr>
            <w:r w:rsidRPr="000F6CD1">
              <w:rPr>
                <w:b/>
                <w:bCs/>
              </w:rPr>
              <w:lastRenderedPageBreak/>
              <w:t>12</w:t>
            </w:r>
          </w:p>
        </w:tc>
        <w:tc>
          <w:tcPr>
            <w:tcW w:w="2254" w:type="dxa"/>
          </w:tcPr>
          <w:p w14:paraId="6610ADE8" w14:textId="77777777" w:rsidR="00B4017B" w:rsidRPr="000F6CD1" w:rsidRDefault="00B4017B" w:rsidP="00622CFF">
            <w:pPr>
              <w:spacing w:before="240" w:after="240"/>
              <w:rPr>
                <w:b/>
                <w:bCs/>
              </w:rPr>
            </w:pPr>
            <w:r w:rsidRPr="000F6CD1">
              <w:t>A decision under subsection 71(2) to not specify an earlier day in a notice of decision under section 70</w:t>
            </w:r>
          </w:p>
        </w:tc>
        <w:tc>
          <w:tcPr>
            <w:tcW w:w="2255" w:type="dxa"/>
          </w:tcPr>
          <w:p w14:paraId="28EC879B" w14:textId="77777777" w:rsidR="00B4017B" w:rsidRPr="000F6CD1" w:rsidRDefault="00B4017B" w:rsidP="00622CFF">
            <w:pPr>
              <w:spacing w:before="240" w:after="240"/>
              <w:rPr>
                <w:b/>
                <w:bCs/>
              </w:rPr>
            </w:pPr>
            <w:r w:rsidRPr="000F6CD1">
              <w:t>Not setting an earlier date: Deciding not to backdate the date of approval in the notice of decision for an older person.</w:t>
            </w:r>
          </w:p>
        </w:tc>
        <w:tc>
          <w:tcPr>
            <w:tcW w:w="2254" w:type="dxa"/>
          </w:tcPr>
          <w:p w14:paraId="151B157C" w14:textId="77777777" w:rsidR="00B4017B" w:rsidRPr="000F6CD1" w:rsidRDefault="00B4017B" w:rsidP="00622CFF">
            <w:pPr>
              <w:spacing w:before="240" w:after="240"/>
              <w:rPr>
                <w:b/>
                <w:bCs/>
              </w:rPr>
            </w:pPr>
            <w:r w:rsidRPr="000F6CD1">
              <w:t>The individual</w:t>
            </w:r>
          </w:p>
        </w:tc>
      </w:tr>
      <w:tr w:rsidR="00B4017B" w:rsidRPr="000F6CD1" w14:paraId="36111F1B" w14:textId="77777777">
        <w:tc>
          <w:tcPr>
            <w:tcW w:w="2253" w:type="dxa"/>
            <w:shd w:val="clear" w:color="auto" w:fill="002060"/>
          </w:tcPr>
          <w:p w14:paraId="57FDB3D0" w14:textId="77777777" w:rsidR="00B4017B" w:rsidRPr="000F6CD1" w:rsidRDefault="00B4017B" w:rsidP="00622CFF">
            <w:pPr>
              <w:spacing w:before="240" w:after="240"/>
              <w:rPr>
                <w:b/>
                <w:bCs/>
              </w:rPr>
            </w:pPr>
            <w:r w:rsidRPr="000F6CD1">
              <w:rPr>
                <w:b/>
                <w:bCs/>
              </w:rPr>
              <w:t>13</w:t>
            </w:r>
          </w:p>
        </w:tc>
        <w:tc>
          <w:tcPr>
            <w:tcW w:w="2254" w:type="dxa"/>
          </w:tcPr>
          <w:p w14:paraId="3AE81D30" w14:textId="77777777" w:rsidR="00B4017B" w:rsidRPr="000F6CD1" w:rsidRDefault="00B4017B" w:rsidP="00622CFF">
            <w:pPr>
              <w:spacing w:before="240" w:after="240"/>
              <w:rPr>
                <w:b/>
                <w:bCs/>
              </w:rPr>
            </w:pPr>
            <w:r w:rsidRPr="000F6CD1">
              <w:t>A decision under subsection 71(6) to reject an application for a longer period for an individual to make an application</w:t>
            </w:r>
          </w:p>
        </w:tc>
        <w:tc>
          <w:tcPr>
            <w:tcW w:w="2255" w:type="dxa"/>
          </w:tcPr>
          <w:p w14:paraId="75B4801E" w14:textId="77777777" w:rsidR="00B4017B" w:rsidRPr="000F6CD1" w:rsidRDefault="00B4017B" w:rsidP="00622CFF">
            <w:pPr>
              <w:spacing w:before="240" w:after="240"/>
              <w:rPr>
                <w:b/>
                <w:bCs/>
              </w:rPr>
            </w:pPr>
            <w:r w:rsidRPr="000F6CD1">
              <w:t>Rejecting a longer application period: Deciding not to give an older person more time to submit an application to have their date of approval backdated</w:t>
            </w:r>
          </w:p>
        </w:tc>
        <w:tc>
          <w:tcPr>
            <w:tcW w:w="2254" w:type="dxa"/>
          </w:tcPr>
          <w:p w14:paraId="28A3FC41" w14:textId="77777777" w:rsidR="00B4017B" w:rsidRPr="000F6CD1" w:rsidRDefault="00B4017B" w:rsidP="00622CFF">
            <w:pPr>
              <w:spacing w:before="240" w:after="240"/>
              <w:rPr>
                <w:b/>
                <w:bCs/>
              </w:rPr>
            </w:pPr>
            <w:r w:rsidRPr="000F6CD1">
              <w:t>The individual (the older person)</w:t>
            </w:r>
          </w:p>
        </w:tc>
      </w:tr>
      <w:tr w:rsidR="00B4017B" w:rsidRPr="000F6CD1" w14:paraId="26EFCED3" w14:textId="77777777">
        <w:tc>
          <w:tcPr>
            <w:tcW w:w="2253" w:type="dxa"/>
            <w:shd w:val="clear" w:color="auto" w:fill="002060"/>
          </w:tcPr>
          <w:p w14:paraId="49E33250" w14:textId="77777777" w:rsidR="00B4017B" w:rsidRPr="000F6CD1" w:rsidRDefault="00B4017B" w:rsidP="00622CFF">
            <w:pPr>
              <w:spacing w:before="240" w:after="240"/>
              <w:rPr>
                <w:b/>
                <w:bCs/>
              </w:rPr>
            </w:pPr>
            <w:r w:rsidRPr="000F6CD1">
              <w:rPr>
                <w:b/>
                <w:bCs/>
              </w:rPr>
              <w:t>14</w:t>
            </w:r>
          </w:p>
        </w:tc>
        <w:tc>
          <w:tcPr>
            <w:tcW w:w="2254" w:type="dxa"/>
          </w:tcPr>
          <w:p w14:paraId="2C0E094C" w14:textId="77777777" w:rsidR="00B4017B" w:rsidRPr="000F6CD1" w:rsidRDefault="00B4017B" w:rsidP="00622CFF">
            <w:pPr>
              <w:spacing w:before="240" w:after="240"/>
              <w:rPr>
                <w:b/>
                <w:bCs/>
              </w:rPr>
            </w:pPr>
            <w:r w:rsidRPr="000F6CD1">
              <w:t>A decision under subsection 74(1) to revoke an eligibility determination for an aged care needs assessment for an individual</w:t>
            </w:r>
          </w:p>
        </w:tc>
        <w:tc>
          <w:tcPr>
            <w:tcW w:w="2255" w:type="dxa"/>
          </w:tcPr>
          <w:p w14:paraId="3187611B" w14:textId="77777777" w:rsidR="00B4017B" w:rsidRPr="000F6CD1" w:rsidRDefault="00B4017B" w:rsidP="00622CFF">
            <w:pPr>
              <w:spacing w:before="240" w:after="240"/>
              <w:rPr>
                <w:b/>
                <w:bCs/>
              </w:rPr>
            </w:pPr>
            <w:r w:rsidRPr="000F6CD1">
              <w:t>Revoking eligibility for an assessment: deciding to cancel an older person’s eligibility for an assessment</w:t>
            </w:r>
          </w:p>
        </w:tc>
        <w:tc>
          <w:tcPr>
            <w:tcW w:w="2254" w:type="dxa"/>
          </w:tcPr>
          <w:p w14:paraId="31A52100" w14:textId="77777777" w:rsidR="00B4017B" w:rsidRPr="000F6CD1" w:rsidRDefault="00B4017B" w:rsidP="00622CFF">
            <w:pPr>
              <w:spacing w:before="240" w:after="240"/>
              <w:rPr>
                <w:b/>
                <w:bCs/>
              </w:rPr>
            </w:pPr>
            <w:r w:rsidRPr="000F6CD1">
              <w:t>The individual</w:t>
            </w:r>
          </w:p>
        </w:tc>
      </w:tr>
      <w:tr w:rsidR="00B4017B" w:rsidRPr="000F6CD1" w14:paraId="658FC70E" w14:textId="77777777">
        <w:tc>
          <w:tcPr>
            <w:tcW w:w="2253" w:type="dxa"/>
            <w:shd w:val="clear" w:color="auto" w:fill="002060"/>
          </w:tcPr>
          <w:p w14:paraId="58DE359D" w14:textId="77777777" w:rsidR="00B4017B" w:rsidRPr="000F6CD1" w:rsidRDefault="00B4017B" w:rsidP="00622CFF">
            <w:pPr>
              <w:spacing w:before="240" w:after="240"/>
              <w:rPr>
                <w:b/>
                <w:bCs/>
              </w:rPr>
            </w:pPr>
            <w:r w:rsidRPr="000F6CD1">
              <w:rPr>
                <w:b/>
                <w:bCs/>
              </w:rPr>
              <w:t>15</w:t>
            </w:r>
          </w:p>
        </w:tc>
        <w:tc>
          <w:tcPr>
            <w:tcW w:w="2254" w:type="dxa"/>
          </w:tcPr>
          <w:p w14:paraId="5FBBB461" w14:textId="77777777" w:rsidR="00B4017B" w:rsidRPr="000F6CD1" w:rsidRDefault="00B4017B" w:rsidP="00622CFF">
            <w:pPr>
              <w:spacing w:before="240" w:after="240"/>
              <w:rPr>
                <w:b/>
                <w:bCs/>
              </w:rPr>
            </w:pPr>
            <w:r w:rsidRPr="000F6CD1">
              <w:t>A decision under subsection 74(1) to revoke an access approval for an individual</w:t>
            </w:r>
          </w:p>
        </w:tc>
        <w:tc>
          <w:tcPr>
            <w:tcW w:w="2255" w:type="dxa"/>
          </w:tcPr>
          <w:p w14:paraId="3F03E01B" w14:textId="77777777" w:rsidR="00B4017B" w:rsidRPr="000F6CD1" w:rsidRDefault="00B4017B" w:rsidP="00622CFF">
            <w:pPr>
              <w:spacing w:before="240" w:after="240"/>
              <w:rPr>
                <w:b/>
                <w:bCs/>
              </w:rPr>
            </w:pPr>
            <w:r w:rsidRPr="000F6CD1">
              <w:t>Revoking eligibility for aged care: Deciding to cancel an older person’s eligibility for aged care services</w:t>
            </w:r>
          </w:p>
        </w:tc>
        <w:tc>
          <w:tcPr>
            <w:tcW w:w="2254" w:type="dxa"/>
          </w:tcPr>
          <w:p w14:paraId="12B930BF" w14:textId="77777777" w:rsidR="00B4017B" w:rsidRPr="000F6CD1" w:rsidRDefault="00B4017B" w:rsidP="00622CFF">
            <w:pPr>
              <w:spacing w:before="240" w:after="240"/>
              <w:rPr>
                <w:b/>
                <w:bCs/>
              </w:rPr>
            </w:pPr>
            <w:r w:rsidRPr="000F6CD1">
              <w:t>The individual (the older person)</w:t>
            </w:r>
          </w:p>
        </w:tc>
      </w:tr>
      <w:tr w:rsidR="00B4017B" w:rsidRPr="000F6CD1" w14:paraId="70060E17" w14:textId="77777777">
        <w:tc>
          <w:tcPr>
            <w:tcW w:w="2253" w:type="dxa"/>
            <w:shd w:val="clear" w:color="auto" w:fill="002060"/>
          </w:tcPr>
          <w:p w14:paraId="57D462B7" w14:textId="77777777" w:rsidR="00B4017B" w:rsidRPr="000F6CD1" w:rsidRDefault="00B4017B" w:rsidP="00622CFF">
            <w:pPr>
              <w:spacing w:before="240" w:after="240"/>
              <w:rPr>
                <w:b/>
                <w:bCs/>
              </w:rPr>
            </w:pPr>
            <w:r w:rsidRPr="000F6CD1">
              <w:rPr>
                <w:b/>
                <w:bCs/>
              </w:rPr>
              <w:t>16</w:t>
            </w:r>
          </w:p>
        </w:tc>
        <w:tc>
          <w:tcPr>
            <w:tcW w:w="2254" w:type="dxa"/>
          </w:tcPr>
          <w:p w14:paraId="09DBDF46" w14:textId="77777777" w:rsidR="00B4017B" w:rsidRPr="000F6CD1" w:rsidRDefault="00B4017B" w:rsidP="00622CFF">
            <w:pPr>
              <w:spacing w:before="240" w:after="240"/>
              <w:rPr>
                <w:b/>
                <w:bCs/>
              </w:rPr>
            </w:pPr>
            <w:r w:rsidRPr="000F6CD1">
              <w:t xml:space="preserve">A decision under subsection 78(1) to establish a classification level for an individual for </w:t>
            </w:r>
            <w:r w:rsidRPr="000F6CD1">
              <w:lastRenderedPageBreak/>
              <w:t>a classification type for a service group</w:t>
            </w:r>
          </w:p>
        </w:tc>
        <w:tc>
          <w:tcPr>
            <w:tcW w:w="2255" w:type="dxa"/>
          </w:tcPr>
          <w:p w14:paraId="53113D45" w14:textId="77777777" w:rsidR="00B4017B" w:rsidRPr="000F6CD1" w:rsidRDefault="00B4017B" w:rsidP="00622CFF">
            <w:pPr>
              <w:spacing w:before="240" w:after="240"/>
              <w:rPr>
                <w:b/>
                <w:bCs/>
              </w:rPr>
            </w:pPr>
            <w:r w:rsidRPr="000F6CD1">
              <w:lastRenderedPageBreak/>
              <w:t xml:space="preserve">Setting a classification level: Deciding on a classification level for an older person for a specific </w:t>
            </w:r>
            <w:r w:rsidRPr="000F6CD1">
              <w:lastRenderedPageBreak/>
              <w:t>classification type in a service group</w:t>
            </w:r>
          </w:p>
        </w:tc>
        <w:tc>
          <w:tcPr>
            <w:tcW w:w="2254" w:type="dxa"/>
          </w:tcPr>
          <w:p w14:paraId="57686CC9" w14:textId="77777777" w:rsidR="00B4017B" w:rsidRPr="000F6CD1" w:rsidRDefault="00B4017B" w:rsidP="00622CFF">
            <w:pPr>
              <w:spacing w:before="240" w:after="240"/>
            </w:pPr>
            <w:r w:rsidRPr="000F6CD1">
              <w:lastRenderedPageBreak/>
              <w:t>Each of the following:</w:t>
            </w:r>
          </w:p>
          <w:p w14:paraId="5C224A5D" w14:textId="77777777" w:rsidR="00B4017B" w:rsidRPr="000F6CD1" w:rsidRDefault="00B4017B" w:rsidP="00622CFF">
            <w:pPr>
              <w:spacing w:before="240" w:after="240"/>
            </w:pPr>
            <w:r w:rsidRPr="000F6CD1">
              <w:t>(a) the individual;</w:t>
            </w:r>
          </w:p>
          <w:p w14:paraId="2A8BA87B" w14:textId="77777777" w:rsidR="00B4017B" w:rsidRPr="000F6CD1" w:rsidRDefault="00B4017B" w:rsidP="00622CFF">
            <w:pPr>
              <w:spacing w:before="240" w:after="240"/>
            </w:pPr>
            <w:r w:rsidRPr="000F6CD1">
              <w:t xml:space="preserve">(b) if a copy of the notice of the </w:t>
            </w:r>
            <w:r w:rsidRPr="000F6CD1">
              <w:lastRenderedPageBreak/>
              <w:t>decision is required to be given to a registered provider under subsection 79(3)—the registered provider</w:t>
            </w:r>
          </w:p>
          <w:p w14:paraId="4ACB303A" w14:textId="77777777" w:rsidR="00B4017B" w:rsidRPr="000F6CD1" w:rsidRDefault="00B4017B" w:rsidP="00622CFF">
            <w:pPr>
              <w:spacing w:before="240" w:after="240"/>
              <w:rPr>
                <w:b/>
                <w:bCs/>
              </w:rPr>
            </w:pPr>
          </w:p>
        </w:tc>
      </w:tr>
      <w:tr w:rsidR="00B4017B" w:rsidRPr="000F6CD1" w14:paraId="1761E32B" w14:textId="77777777">
        <w:tc>
          <w:tcPr>
            <w:tcW w:w="2253" w:type="dxa"/>
            <w:shd w:val="clear" w:color="auto" w:fill="002060"/>
          </w:tcPr>
          <w:p w14:paraId="33576D36" w14:textId="77777777" w:rsidR="00B4017B" w:rsidRPr="000F6CD1" w:rsidRDefault="00B4017B" w:rsidP="00622CFF">
            <w:pPr>
              <w:spacing w:before="240" w:after="240"/>
              <w:rPr>
                <w:b/>
                <w:bCs/>
              </w:rPr>
            </w:pPr>
            <w:r w:rsidRPr="000F6CD1">
              <w:rPr>
                <w:b/>
                <w:bCs/>
              </w:rPr>
              <w:lastRenderedPageBreak/>
              <w:t>17</w:t>
            </w:r>
          </w:p>
        </w:tc>
        <w:tc>
          <w:tcPr>
            <w:tcW w:w="2254" w:type="dxa"/>
          </w:tcPr>
          <w:p w14:paraId="3C0576FA" w14:textId="77777777" w:rsidR="00B4017B" w:rsidRPr="000F6CD1" w:rsidRDefault="00B4017B" w:rsidP="00622CFF">
            <w:pPr>
              <w:spacing w:before="240" w:after="240"/>
              <w:rPr>
                <w:b/>
                <w:bCs/>
              </w:rPr>
            </w:pPr>
            <w:r w:rsidRPr="000F6CD1">
              <w:t>A decision under subsection 83(1) to change a classification decision (the original decision) for an individual</w:t>
            </w:r>
          </w:p>
        </w:tc>
        <w:tc>
          <w:tcPr>
            <w:tcW w:w="2255" w:type="dxa"/>
          </w:tcPr>
          <w:p w14:paraId="38B21DCD" w14:textId="77777777" w:rsidR="00B4017B" w:rsidRPr="000F6CD1" w:rsidRDefault="00B4017B" w:rsidP="00622CFF">
            <w:pPr>
              <w:spacing w:before="240" w:after="240"/>
              <w:rPr>
                <w:b/>
                <w:bCs/>
              </w:rPr>
            </w:pPr>
            <w:r w:rsidRPr="000F6CD1">
              <w:t>Changing a classification decision: Deciding to change a previous classification decision for an older person</w:t>
            </w:r>
          </w:p>
        </w:tc>
        <w:tc>
          <w:tcPr>
            <w:tcW w:w="2254" w:type="dxa"/>
          </w:tcPr>
          <w:p w14:paraId="242E182B" w14:textId="77777777" w:rsidR="00B4017B" w:rsidRPr="000F6CD1" w:rsidRDefault="00B4017B" w:rsidP="00622CFF">
            <w:pPr>
              <w:spacing w:before="240" w:after="240"/>
              <w:rPr>
                <w:b/>
                <w:bCs/>
              </w:rPr>
            </w:pPr>
            <w:r w:rsidRPr="000F6CD1">
              <w:t>Each affected entity for the original decision</w:t>
            </w:r>
          </w:p>
        </w:tc>
      </w:tr>
      <w:tr w:rsidR="00B4017B" w:rsidRPr="000F6CD1" w14:paraId="69AD2C92" w14:textId="77777777">
        <w:tc>
          <w:tcPr>
            <w:tcW w:w="2253" w:type="dxa"/>
            <w:shd w:val="clear" w:color="auto" w:fill="002060"/>
          </w:tcPr>
          <w:p w14:paraId="2154AF48" w14:textId="77777777" w:rsidR="00B4017B" w:rsidRPr="000F6CD1" w:rsidRDefault="00B4017B" w:rsidP="00622CFF">
            <w:pPr>
              <w:spacing w:before="240" w:after="240"/>
              <w:rPr>
                <w:b/>
                <w:bCs/>
              </w:rPr>
            </w:pPr>
            <w:r w:rsidRPr="000F6CD1">
              <w:rPr>
                <w:b/>
                <w:bCs/>
              </w:rPr>
              <w:t>18</w:t>
            </w:r>
          </w:p>
        </w:tc>
        <w:tc>
          <w:tcPr>
            <w:tcW w:w="2254" w:type="dxa"/>
          </w:tcPr>
          <w:p w14:paraId="48D51BA5" w14:textId="77777777" w:rsidR="00B4017B" w:rsidRPr="000F6CD1" w:rsidRDefault="00B4017B" w:rsidP="00622CFF">
            <w:pPr>
              <w:spacing w:before="240" w:after="240"/>
              <w:rPr>
                <w:b/>
                <w:bCs/>
              </w:rPr>
            </w:pPr>
            <w:r w:rsidRPr="000F6CD1">
              <w:t>A decision under subsection 86(1) to assign a priority category for a classification type for a service group</w:t>
            </w:r>
          </w:p>
        </w:tc>
        <w:tc>
          <w:tcPr>
            <w:tcW w:w="2255" w:type="dxa"/>
          </w:tcPr>
          <w:p w14:paraId="32927583" w14:textId="77777777" w:rsidR="00B4017B" w:rsidRPr="000F6CD1" w:rsidRDefault="00B4017B" w:rsidP="00622CFF">
            <w:pPr>
              <w:spacing w:before="240" w:after="240"/>
              <w:rPr>
                <w:b/>
                <w:bCs/>
              </w:rPr>
            </w:pPr>
            <w:r w:rsidRPr="000F6CD1">
              <w:t>Assigning a priority category: Deciding on a priority level for an older person for a specific service group</w:t>
            </w:r>
          </w:p>
        </w:tc>
        <w:tc>
          <w:tcPr>
            <w:tcW w:w="2254" w:type="dxa"/>
          </w:tcPr>
          <w:p w14:paraId="37B303FF" w14:textId="77777777" w:rsidR="00B4017B" w:rsidRPr="000F6CD1" w:rsidRDefault="00B4017B" w:rsidP="00622CFF">
            <w:pPr>
              <w:spacing w:before="240" w:after="240"/>
              <w:rPr>
                <w:b/>
                <w:bCs/>
              </w:rPr>
            </w:pPr>
            <w:r w:rsidRPr="000F6CD1">
              <w:t>The individual</w:t>
            </w:r>
          </w:p>
        </w:tc>
      </w:tr>
      <w:tr w:rsidR="00B4017B" w:rsidRPr="000F6CD1" w14:paraId="65BCDE96" w14:textId="77777777">
        <w:tc>
          <w:tcPr>
            <w:tcW w:w="2253" w:type="dxa"/>
            <w:shd w:val="clear" w:color="auto" w:fill="002060"/>
          </w:tcPr>
          <w:p w14:paraId="3393BC33" w14:textId="77777777" w:rsidR="00B4017B" w:rsidRPr="000F6CD1" w:rsidRDefault="00B4017B" w:rsidP="00622CFF">
            <w:pPr>
              <w:spacing w:before="240" w:after="240"/>
              <w:rPr>
                <w:b/>
                <w:bCs/>
              </w:rPr>
            </w:pPr>
            <w:r w:rsidRPr="000F6CD1">
              <w:rPr>
                <w:b/>
                <w:bCs/>
              </w:rPr>
              <w:t>19</w:t>
            </w:r>
          </w:p>
        </w:tc>
        <w:tc>
          <w:tcPr>
            <w:tcW w:w="2254" w:type="dxa"/>
          </w:tcPr>
          <w:p w14:paraId="45A7BE3A" w14:textId="77777777" w:rsidR="00B4017B" w:rsidRPr="000F6CD1" w:rsidRDefault="00B4017B" w:rsidP="00622CFF">
            <w:pPr>
              <w:spacing w:before="240" w:after="240"/>
              <w:rPr>
                <w:b/>
                <w:bCs/>
              </w:rPr>
            </w:pPr>
            <w:r w:rsidRPr="000F6CD1">
              <w:t>A decision under subsection 90(1) to change a decision about an individual’s priority category for a classification type for a service group</w:t>
            </w:r>
          </w:p>
        </w:tc>
        <w:tc>
          <w:tcPr>
            <w:tcW w:w="2255" w:type="dxa"/>
          </w:tcPr>
          <w:p w14:paraId="4F399EC5" w14:textId="77777777" w:rsidR="00B4017B" w:rsidRPr="000F6CD1" w:rsidRDefault="00B4017B" w:rsidP="00622CFF">
            <w:pPr>
              <w:spacing w:before="240" w:after="240"/>
              <w:rPr>
                <w:b/>
                <w:bCs/>
              </w:rPr>
            </w:pPr>
            <w:r w:rsidRPr="000F6CD1">
              <w:t>Changing a priority category: Deciding to change an older person’s priority level for a specific classification type for a service group</w:t>
            </w:r>
          </w:p>
        </w:tc>
        <w:tc>
          <w:tcPr>
            <w:tcW w:w="2254" w:type="dxa"/>
          </w:tcPr>
          <w:p w14:paraId="708CD463" w14:textId="77777777" w:rsidR="00B4017B" w:rsidRPr="000F6CD1" w:rsidRDefault="00B4017B" w:rsidP="00622CFF">
            <w:pPr>
              <w:spacing w:before="240" w:after="240"/>
              <w:rPr>
                <w:b/>
                <w:bCs/>
              </w:rPr>
            </w:pPr>
            <w:r w:rsidRPr="000F6CD1">
              <w:t>The individual (the older person)</w:t>
            </w:r>
          </w:p>
        </w:tc>
      </w:tr>
    </w:tbl>
    <w:p w14:paraId="19B40DD1" w14:textId="77777777" w:rsidR="00B4017B" w:rsidRPr="000F6CD1" w:rsidRDefault="00B4017B" w:rsidP="00D95FB3">
      <w:bookmarkStart w:id="926" w:name="_Toc204329601"/>
      <w:bookmarkStart w:id="927" w:name="_Toc209189045"/>
    </w:p>
    <w:p w14:paraId="2B82BEED" w14:textId="77777777" w:rsidR="00B4017B" w:rsidRPr="000F6CD1" w:rsidRDefault="00B4017B" w:rsidP="00441859">
      <w:r w:rsidRPr="000F6CD1">
        <w:br w:type="page"/>
      </w:r>
    </w:p>
    <w:p w14:paraId="51E3662F" w14:textId="54CB7177" w:rsidR="00B4017B" w:rsidRPr="000F6CD1" w:rsidRDefault="00B4017B" w:rsidP="006647CE">
      <w:pPr>
        <w:pStyle w:val="h2"/>
      </w:pPr>
      <w:bookmarkStart w:id="928" w:name="_Toc233282499"/>
      <w:bookmarkEnd w:id="926"/>
      <w:bookmarkEnd w:id="927"/>
      <w:r w:rsidRPr="000F6CD1">
        <w:lastRenderedPageBreak/>
        <w:t>Re</w:t>
      </w:r>
      <w:r w:rsidR="00A57A0D">
        <w:t>considerations</w:t>
      </w:r>
      <w:r w:rsidRPr="000F6CD1">
        <w:t xml:space="preserve"> process</w:t>
      </w:r>
      <w:bookmarkEnd w:id="928"/>
      <w:r w:rsidRPr="000F6CD1">
        <w:t xml:space="preserve"> </w:t>
      </w:r>
    </w:p>
    <w:p w14:paraId="1BD3FBFB" w14:textId="735D0001" w:rsidR="00B4017B" w:rsidRPr="000F6CD1" w:rsidRDefault="00B4017B" w:rsidP="00622CFF">
      <w:pPr>
        <w:spacing w:before="240" w:after="240" w:line="240" w:lineRule="auto"/>
      </w:pPr>
      <w:r w:rsidRPr="000F6CD1">
        <w:t xml:space="preserve">If an affected entity is not satisfied with a decision that is reviewable under the </w:t>
      </w:r>
      <w:r w:rsidRPr="00C816A9">
        <w:rPr>
          <w:i/>
          <w:iCs/>
        </w:rPr>
        <w:t>Aged Care Act 2024</w:t>
      </w:r>
      <w:r w:rsidRPr="000F6CD1">
        <w:t xml:space="preserve"> (the Act), they are encouraged to first contact their assessment organisation to discuss their concerns in the first instance. The affected party may also submit a written </w:t>
      </w:r>
      <w:r w:rsidRPr="000F6CD1">
        <w:rPr>
          <w:b/>
          <w:bCs/>
        </w:rPr>
        <w:t>re</w:t>
      </w:r>
      <w:r w:rsidR="001A628D">
        <w:rPr>
          <w:b/>
          <w:bCs/>
        </w:rPr>
        <w:t>consideration</w:t>
      </w:r>
      <w:r w:rsidRPr="000F6CD1">
        <w:rPr>
          <w:b/>
          <w:bCs/>
        </w:rPr>
        <w:t xml:space="preserve"> request within 28 days</w:t>
      </w:r>
      <w:r w:rsidRPr="000F6CD1">
        <w:t> of receiving the decision notice:</w:t>
      </w:r>
    </w:p>
    <w:p w14:paraId="2E769D08" w14:textId="77777777" w:rsidR="00B4017B" w:rsidRPr="000F6CD1" w:rsidRDefault="00B4017B" w:rsidP="00622CFF">
      <w:pPr>
        <w:spacing w:before="240" w:after="240" w:line="240" w:lineRule="auto"/>
      </w:pPr>
      <w:r w:rsidRPr="000F6CD1">
        <w:tab/>
        <w:t>By Email:</w:t>
      </w:r>
    </w:p>
    <w:p w14:paraId="17731560" w14:textId="77777777" w:rsidR="00B4017B" w:rsidRPr="000F6CD1" w:rsidRDefault="00B4017B" w:rsidP="00622CFF">
      <w:pPr>
        <w:spacing w:before="240" w:after="240" w:line="240" w:lineRule="auto"/>
      </w:pPr>
      <w:r w:rsidRPr="000F6CD1">
        <w:tab/>
      </w:r>
      <w:hyperlink r:id="rId268" w:history="1">
        <w:r w:rsidRPr="000F6CD1">
          <w:rPr>
            <w:rStyle w:val="Hyperlink"/>
          </w:rPr>
          <w:t>agedcarereviews@health.gov.au</w:t>
        </w:r>
      </w:hyperlink>
    </w:p>
    <w:p w14:paraId="3507B2B5" w14:textId="77777777" w:rsidR="00B4017B" w:rsidRPr="000F6CD1" w:rsidRDefault="00B4017B" w:rsidP="00622CFF">
      <w:pPr>
        <w:spacing w:before="240" w:after="240" w:line="240" w:lineRule="auto"/>
      </w:pPr>
      <w:r w:rsidRPr="000F6CD1">
        <w:tab/>
        <w:t>By Post:</w:t>
      </w:r>
    </w:p>
    <w:p w14:paraId="035F9164" w14:textId="77777777" w:rsidR="00B4017B" w:rsidRPr="000F6CD1" w:rsidRDefault="00B4017B" w:rsidP="0062103D">
      <w:pPr>
        <w:spacing w:after="0" w:line="240" w:lineRule="auto"/>
        <w:ind w:left="720"/>
      </w:pPr>
      <w:r w:rsidRPr="000F6CD1">
        <w:t xml:space="preserve">The System Governor </w:t>
      </w:r>
    </w:p>
    <w:p w14:paraId="04594F52" w14:textId="77777777" w:rsidR="00B4017B" w:rsidRPr="000F6CD1" w:rsidRDefault="00B4017B" w:rsidP="0062103D">
      <w:pPr>
        <w:spacing w:after="0" w:line="240" w:lineRule="auto"/>
        <w:ind w:left="720"/>
      </w:pPr>
      <w:r w:rsidRPr="000F6CD1">
        <w:t xml:space="preserve">Department of Health, Disability and Ageing  </w:t>
      </w:r>
    </w:p>
    <w:p w14:paraId="7144B3C9" w14:textId="77777777" w:rsidR="00B4017B" w:rsidRPr="000F6CD1" w:rsidRDefault="00B4017B" w:rsidP="0062103D">
      <w:pPr>
        <w:spacing w:after="0" w:line="240" w:lineRule="auto"/>
        <w:ind w:left="720"/>
      </w:pPr>
      <w:r w:rsidRPr="000F6CD1">
        <w:t xml:space="preserve">Attn: Review of Decisions Section </w:t>
      </w:r>
    </w:p>
    <w:p w14:paraId="73B20C4B" w14:textId="77777777" w:rsidR="00B4017B" w:rsidRPr="000F6CD1" w:rsidRDefault="00B4017B" w:rsidP="0062103D">
      <w:pPr>
        <w:spacing w:after="0" w:line="240" w:lineRule="auto"/>
        <w:ind w:left="720"/>
      </w:pPr>
      <w:r w:rsidRPr="000F6CD1">
        <w:t xml:space="preserve">GPO Box 9848 </w:t>
      </w:r>
    </w:p>
    <w:p w14:paraId="108E9734" w14:textId="77777777" w:rsidR="00B4017B" w:rsidRPr="000F6CD1" w:rsidRDefault="00B4017B" w:rsidP="0062103D">
      <w:pPr>
        <w:spacing w:after="0" w:line="240" w:lineRule="auto"/>
        <w:ind w:left="720"/>
      </w:pPr>
      <w:r w:rsidRPr="000F6CD1">
        <w:t xml:space="preserve">ADELAIDE SA 5001 </w:t>
      </w:r>
    </w:p>
    <w:p w14:paraId="2DA805C5" w14:textId="77777777" w:rsidR="001A628D" w:rsidRDefault="001A628D" w:rsidP="001A628D">
      <w:pPr>
        <w:spacing w:after="0" w:line="240" w:lineRule="auto"/>
      </w:pPr>
    </w:p>
    <w:p w14:paraId="7EBDBDD5" w14:textId="100606D4" w:rsidR="001A628D" w:rsidRPr="000F6CD1" w:rsidRDefault="001A628D" w:rsidP="001A628D">
      <w:pPr>
        <w:spacing w:after="0" w:line="240" w:lineRule="auto"/>
      </w:pPr>
      <w:r>
        <w:t xml:space="preserve">Visit for more information: </w:t>
      </w:r>
      <w:hyperlink r:id="rId269" w:history="1">
        <w:r w:rsidR="00D14E83" w:rsidRPr="00D14E83">
          <w:rPr>
            <w:rStyle w:val="Hyperlink"/>
          </w:rPr>
          <w:t>Request for an Internal Review of a Decision Form | My Aged Care</w:t>
        </w:r>
      </w:hyperlink>
    </w:p>
    <w:p w14:paraId="494B6667" w14:textId="2DD7F9DB" w:rsidR="00B4017B" w:rsidRPr="000F6CD1" w:rsidRDefault="00B4017B">
      <w:pPr>
        <w:spacing w:before="240" w:after="240" w:line="240" w:lineRule="auto"/>
      </w:pPr>
      <w:r w:rsidRPr="000F6CD1">
        <w:t>This request must set out reasons why they are seeking a review. The System Governor can allow further time for someone to make a request for r</w:t>
      </w:r>
      <w:r w:rsidR="00D14E83">
        <w:t>econsideration</w:t>
      </w:r>
      <w:r w:rsidRPr="000F6CD1">
        <w:t xml:space="preserve"> (see subsection 559(3)(c) of the Act.)</w:t>
      </w:r>
    </w:p>
    <w:p w14:paraId="6CA46651" w14:textId="54A4DBFC" w:rsidR="00B4017B" w:rsidRPr="000F6CD1" w:rsidRDefault="00B4017B">
      <w:pPr>
        <w:spacing w:before="240" w:after="240" w:line="240" w:lineRule="auto"/>
      </w:pPr>
      <w:r w:rsidRPr="000F6CD1">
        <w:t>The r</w:t>
      </w:r>
      <w:r w:rsidR="00D14E83">
        <w:t>econsideration</w:t>
      </w:r>
      <w:r w:rsidRPr="000F6CD1">
        <w:t xml:space="preserve"> will be conducted by an internal decision reviewer who is different from the original decision-maker, holds equal or higher position and was not involved in the making of the original decision. </w:t>
      </w:r>
    </w:p>
    <w:p w14:paraId="79F616A7" w14:textId="77777777" w:rsidR="00B4017B" w:rsidRPr="000F6CD1" w:rsidRDefault="00B4017B" w:rsidP="00622CFF">
      <w:pPr>
        <w:spacing w:before="240" w:after="240" w:line="240" w:lineRule="auto"/>
      </w:pPr>
      <w:r w:rsidRPr="000F6CD1">
        <w:t>The internal decision reviewer will be a departmental delegate of the System Governor and will carry out a comprehensive administrative review of the original assessment organisation’s decision.</w:t>
      </w:r>
    </w:p>
    <w:p w14:paraId="70CFEDCA" w14:textId="77777777" w:rsidR="00B4017B" w:rsidRPr="000F6CD1" w:rsidRDefault="00B4017B" w:rsidP="00622CFF">
      <w:pPr>
        <w:spacing w:before="240" w:after="240" w:line="240" w:lineRule="auto"/>
      </w:pPr>
      <w:r w:rsidRPr="000F6CD1">
        <w:t>They will consider all relevant information, including new evidence from third parties before making a determination. They must also, within 14 days of receiving the request, provide the affected entity written notice that the request has been received and when it was received. The notice must also set out that if the internal reviewer has not provided notice of their decision within 90 days of receiving a request, the original decision has been affirmed.</w:t>
      </w:r>
    </w:p>
    <w:p w14:paraId="73E25897" w14:textId="77777777" w:rsidR="00B4017B" w:rsidRPr="000F6CD1" w:rsidRDefault="00B4017B" w:rsidP="00622CFF">
      <w:pPr>
        <w:spacing w:before="240" w:after="240" w:line="240" w:lineRule="auto"/>
      </w:pPr>
      <w:r w:rsidRPr="000F6CD1">
        <w:t>The internal decision reviewer must make a decision within </w:t>
      </w:r>
      <w:r w:rsidRPr="000F6CD1">
        <w:rPr>
          <w:b/>
          <w:bCs/>
        </w:rPr>
        <w:t xml:space="preserve">90 days </w:t>
      </w:r>
      <w:r w:rsidRPr="000F6CD1">
        <w:t>after receiving the request. They may:</w:t>
      </w:r>
    </w:p>
    <w:p w14:paraId="4D6D7C96" w14:textId="77777777" w:rsidR="00B4017B" w:rsidRPr="000F6CD1" w:rsidRDefault="00B4017B">
      <w:pPr>
        <w:pStyle w:val="ListParagraph"/>
        <w:numPr>
          <w:ilvl w:val="0"/>
          <w:numId w:val="348"/>
        </w:numPr>
        <w:spacing w:before="240" w:after="240" w:line="240" w:lineRule="auto"/>
      </w:pPr>
      <w:r w:rsidRPr="000F6CD1">
        <w:t>Affirm the original reviewable decision.</w:t>
      </w:r>
    </w:p>
    <w:p w14:paraId="7C515756" w14:textId="77777777" w:rsidR="00B4017B" w:rsidRPr="000F6CD1" w:rsidRDefault="00B4017B">
      <w:pPr>
        <w:pStyle w:val="ListParagraph"/>
        <w:numPr>
          <w:ilvl w:val="0"/>
          <w:numId w:val="348"/>
        </w:numPr>
        <w:spacing w:before="240" w:after="240" w:line="240" w:lineRule="auto"/>
      </w:pPr>
      <w:r w:rsidRPr="000F6CD1">
        <w:t>Vary the original reviewable decision.</w:t>
      </w:r>
    </w:p>
    <w:p w14:paraId="57907E12" w14:textId="77777777" w:rsidR="00B4017B" w:rsidRPr="000F6CD1" w:rsidRDefault="00B4017B">
      <w:pPr>
        <w:pStyle w:val="ListParagraph"/>
        <w:numPr>
          <w:ilvl w:val="0"/>
          <w:numId w:val="348"/>
        </w:numPr>
        <w:spacing w:before="240" w:after="240" w:line="240" w:lineRule="auto"/>
      </w:pPr>
      <w:r w:rsidRPr="000F6CD1">
        <w:t>Set the reviewable decision aside and make a new decision.</w:t>
      </w:r>
    </w:p>
    <w:p w14:paraId="323618D2" w14:textId="77777777" w:rsidR="009E46DC" w:rsidRDefault="009E46DC">
      <w:r>
        <w:br w:type="page"/>
      </w:r>
    </w:p>
    <w:p w14:paraId="5D414DE2" w14:textId="77777777" w:rsidR="00B4017B" w:rsidRPr="000F6CD1" w:rsidRDefault="00B4017B" w:rsidP="00622CFF">
      <w:pPr>
        <w:spacing w:before="240" w:after="240" w:line="240" w:lineRule="auto"/>
        <w:contextualSpacing/>
      </w:pPr>
      <w:r w:rsidRPr="000F6CD1">
        <w:lastRenderedPageBreak/>
        <w:t>After making their decision, the internal decision reviewer must give written notice of the following to each affected entity for the reviewable decision:</w:t>
      </w:r>
    </w:p>
    <w:p w14:paraId="2D55ACAC" w14:textId="1CC11338" w:rsidR="00B4017B" w:rsidRPr="000F6CD1" w:rsidRDefault="00B4017B">
      <w:pPr>
        <w:pStyle w:val="ListParagraph"/>
        <w:numPr>
          <w:ilvl w:val="0"/>
          <w:numId w:val="349"/>
        </w:numPr>
        <w:spacing w:before="240" w:after="240" w:line="240" w:lineRule="auto"/>
      </w:pPr>
      <w:r w:rsidRPr="000F6CD1">
        <w:t>the re</w:t>
      </w:r>
      <w:r w:rsidR="00D14E83">
        <w:t>consideration</w:t>
      </w:r>
      <w:r w:rsidRPr="000F6CD1">
        <w:t xml:space="preserve"> decision;</w:t>
      </w:r>
    </w:p>
    <w:p w14:paraId="4ACE0698" w14:textId="27706E7C" w:rsidR="00B4017B" w:rsidRPr="000F6CD1" w:rsidRDefault="00B4017B">
      <w:pPr>
        <w:pStyle w:val="ListParagraph"/>
        <w:numPr>
          <w:ilvl w:val="0"/>
          <w:numId w:val="349"/>
        </w:numPr>
        <w:spacing w:before="240" w:after="240" w:line="240" w:lineRule="auto"/>
      </w:pPr>
      <w:r w:rsidRPr="000F6CD1">
        <w:t>the day the re</w:t>
      </w:r>
      <w:r w:rsidR="00C00935">
        <w:t>consideration</w:t>
      </w:r>
      <w:r w:rsidRPr="000F6CD1">
        <w:t xml:space="preserve"> decision was made; </w:t>
      </w:r>
    </w:p>
    <w:p w14:paraId="5CDFD354" w14:textId="051A74BB" w:rsidR="00B4017B" w:rsidRPr="000F6CD1" w:rsidRDefault="00B4017B">
      <w:pPr>
        <w:pStyle w:val="ListParagraph"/>
        <w:numPr>
          <w:ilvl w:val="0"/>
          <w:numId w:val="349"/>
        </w:numPr>
        <w:spacing w:before="240" w:after="240" w:line="240" w:lineRule="auto"/>
      </w:pPr>
      <w:r w:rsidRPr="000F6CD1">
        <w:t>the reasons for the re</w:t>
      </w:r>
      <w:r w:rsidR="00C00935">
        <w:t>consideration</w:t>
      </w:r>
      <w:r w:rsidRPr="000F6CD1">
        <w:t xml:space="preserve"> decision; </w:t>
      </w:r>
    </w:p>
    <w:p w14:paraId="11BB1CC1" w14:textId="050FD9E6" w:rsidR="00B4017B" w:rsidRPr="000F6CD1" w:rsidRDefault="00B4017B">
      <w:pPr>
        <w:pStyle w:val="ListParagraph"/>
        <w:numPr>
          <w:ilvl w:val="0"/>
          <w:numId w:val="349"/>
        </w:numPr>
        <w:spacing w:before="240" w:after="240" w:line="240" w:lineRule="auto"/>
      </w:pPr>
      <w:r w:rsidRPr="000F6CD1">
        <w:t>details of the affected entity’s right to apply to the Administrative Review Tribunal for review of the re</w:t>
      </w:r>
      <w:r w:rsidR="00072887">
        <w:t>consideration</w:t>
      </w:r>
      <w:r w:rsidRPr="000F6CD1">
        <w:t xml:space="preserve"> decision.</w:t>
      </w:r>
    </w:p>
    <w:p w14:paraId="524AC66B" w14:textId="213E6429" w:rsidR="00B4017B" w:rsidRPr="000F6CD1" w:rsidRDefault="00B4017B">
      <w:pPr>
        <w:spacing w:before="240" w:after="240" w:line="240" w:lineRule="auto"/>
      </w:pPr>
      <w:r w:rsidRPr="000F6CD1">
        <w:t>If the affected entity is still not satisfied after the review, they may apply for a further review by the Administrative Review Tribunal.</w:t>
      </w:r>
    </w:p>
    <w:p w14:paraId="19AADA74" w14:textId="7BEE626E" w:rsidR="00B4017B" w:rsidRPr="000F6CD1" w:rsidRDefault="00B4017B" w:rsidP="00AD2CE5">
      <w:pPr>
        <w:pStyle w:val="H3"/>
      </w:pPr>
      <w:r w:rsidRPr="000F6CD1">
        <w:t>The role of assessors in re</w:t>
      </w:r>
      <w:r w:rsidR="00072887">
        <w:t>consideration</w:t>
      </w:r>
      <w:r w:rsidRPr="000F6CD1">
        <w:t xml:space="preserve">s </w:t>
      </w:r>
    </w:p>
    <w:p w14:paraId="4A8B56FA" w14:textId="69F53CD9" w:rsidR="00B4017B" w:rsidRPr="000F6CD1" w:rsidRDefault="00B4017B" w:rsidP="00622CFF">
      <w:pPr>
        <w:spacing w:before="240" w:after="240" w:line="240" w:lineRule="auto"/>
      </w:pPr>
      <w:r w:rsidRPr="000F6CD1">
        <w:t>During the re</w:t>
      </w:r>
      <w:r w:rsidR="00072887">
        <w:t>consideration</w:t>
      </w:r>
      <w:r w:rsidRPr="000F6CD1">
        <w:t xml:space="preserve"> process, the Departmental delegate may discuss the request with the assessor through the assessment organisation’s Operational Manager. This step helps clarify any matters related to the case.</w:t>
      </w:r>
    </w:p>
    <w:p w14:paraId="04543985" w14:textId="3F68067A" w:rsidR="00B4017B" w:rsidRPr="000F6CD1" w:rsidRDefault="00B4017B" w:rsidP="00622CFF">
      <w:pPr>
        <w:spacing w:before="240" w:after="240" w:line="240" w:lineRule="auto"/>
      </w:pPr>
      <w:r w:rsidRPr="000F6CD1">
        <w:t>Assessment organisations play a vital role in the re</w:t>
      </w:r>
      <w:r w:rsidR="00072887">
        <w:t>consideration</w:t>
      </w:r>
      <w:r w:rsidRPr="000F6CD1">
        <w:t xml:space="preserve"> process. They may be invited to provide additional information in response to the request for review, including the rationale for their decision making. Any additional information will be carefully considered as part of the administrative review. </w:t>
      </w:r>
    </w:p>
    <w:p w14:paraId="2E2F4B41" w14:textId="77777777" w:rsidR="00B4017B" w:rsidRPr="000F6CD1" w:rsidRDefault="00B4017B" w:rsidP="00AD2CE5">
      <w:pPr>
        <w:pStyle w:val="H3"/>
      </w:pPr>
      <w:r w:rsidRPr="000F6CD1">
        <w:t xml:space="preserve">New point in time assessment </w:t>
      </w:r>
    </w:p>
    <w:p w14:paraId="6766CF55" w14:textId="77777777" w:rsidR="00B4017B" w:rsidRPr="000F6CD1" w:rsidRDefault="00B4017B" w:rsidP="00622CFF">
      <w:pPr>
        <w:spacing w:before="240" w:after="240" w:line="240" w:lineRule="auto"/>
        <w:rPr>
          <w:szCs w:val="22"/>
        </w:rPr>
      </w:pPr>
      <w:r w:rsidRPr="000F6CD1">
        <w:rPr>
          <w:szCs w:val="22"/>
        </w:rPr>
        <w:t>If the Internal Review Officer identifies that there has been a significant change in the older person's circumstances since the original decision, they may discuss with the older person, the option of pursing a reassessment and withdrawing their review request.</w:t>
      </w:r>
    </w:p>
    <w:p w14:paraId="6E2CDE19" w14:textId="77777777" w:rsidR="00B4017B" w:rsidRPr="000F6CD1" w:rsidRDefault="00B4017B" w:rsidP="00622CFF">
      <w:pPr>
        <w:spacing w:before="240" w:after="240" w:line="240" w:lineRule="auto"/>
        <w:rPr>
          <w:szCs w:val="22"/>
        </w:rPr>
      </w:pPr>
      <w:r w:rsidRPr="000F6CD1">
        <w:rPr>
          <w:szCs w:val="22"/>
        </w:rPr>
        <w:t>If the older person decides to withdraw their review request, the Department will facilitate the reassessment and cease to deal with the matter.</w:t>
      </w:r>
    </w:p>
    <w:p w14:paraId="4A514657" w14:textId="77777777" w:rsidR="00B4017B" w:rsidRPr="000F6CD1" w:rsidRDefault="00B4017B" w:rsidP="00806A21">
      <w:pPr>
        <w:pStyle w:val="Sub-headings"/>
      </w:pPr>
      <w:r w:rsidRPr="000F6CD1">
        <w:t>Important:</w:t>
      </w:r>
    </w:p>
    <w:p w14:paraId="2B0448C1" w14:textId="77777777" w:rsidR="00B4017B" w:rsidRPr="000F6CD1" w:rsidRDefault="00B4017B" w:rsidP="00806A21">
      <w:pPr>
        <w:pStyle w:val="Sub-headings"/>
      </w:pPr>
      <w:r w:rsidRPr="000F6CD1">
        <w:t>The Department cannot discontinue the review process unless the older person chooses to withdraw their application.</w:t>
      </w:r>
    </w:p>
    <w:p w14:paraId="5E67E316" w14:textId="77777777" w:rsidR="00B4017B" w:rsidRPr="000F6CD1" w:rsidRDefault="00B4017B" w:rsidP="00622CFF">
      <w:pPr>
        <w:spacing w:before="240" w:after="240" w:line="240" w:lineRule="auto"/>
        <w:rPr>
          <w:szCs w:val="22"/>
        </w:rPr>
      </w:pPr>
      <w:r w:rsidRPr="000F6CD1">
        <w:rPr>
          <w:szCs w:val="22"/>
        </w:rPr>
        <w:t>If the older person decides to pursue a new point-in-time reassessment, the Internal Review Officer will instruct the assessor to conduct a reassessment.</w:t>
      </w:r>
    </w:p>
    <w:p w14:paraId="527FAE10" w14:textId="33BE378F" w:rsidR="00B4017B" w:rsidRPr="000F6CD1" w:rsidRDefault="00B4017B" w:rsidP="00AD2CE5">
      <w:pPr>
        <w:pStyle w:val="H3"/>
      </w:pPr>
      <w:r w:rsidRPr="000F6CD1">
        <w:t>Supplementary off-line assessment by assessment organisation to inform the re</w:t>
      </w:r>
      <w:r w:rsidR="00072887">
        <w:t>consideration</w:t>
      </w:r>
      <w:r w:rsidRPr="000F6CD1">
        <w:t xml:space="preserve"> process</w:t>
      </w:r>
    </w:p>
    <w:p w14:paraId="506BFDF9" w14:textId="2EAA00C5" w:rsidR="009E46DC" w:rsidRDefault="00B4017B">
      <w:pPr>
        <w:spacing w:before="240" w:after="240" w:line="240" w:lineRule="auto"/>
      </w:pPr>
      <w:r w:rsidRPr="000F6CD1">
        <w:t xml:space="preserve">When a review officer determines that a supplementary off-line assessment is required to support a review decision, they may request that it be undertaken. This scenario typically arises when it appears that an incorrect decision may have been made, but the Internal Review Officer requires updated information to determine the most appropriate assessment outcome. The outcome of this assessment will contribute to the body of evidence considered as part of the review process. This process is distinct from a reassessment because a reassessment stems from a change in circumstances. In the case of a reassessment, the outcome would not be backdated to the time of the original assessment. </w:t>
      </w:r>
    </w:p>
    <w:p w14:paraId="07458B4F" w14:textId="6062FC0A" w:rsidR="00B4017B" w:rsidRPr="000F6CD1" w:rsidRDefault="00B4017B">
      <w:pPr>
        <w:spacing w:before="240" w:after="240" w:line="240" w:lineRule="auto"/>
      </w:pPr>
      <w:r w:rsidRPr="000F6CD1">
        <w:lastRenderedPageBreak/>
        <w:t>Requests for off-line supplementary assessments are infrequent and are only made when necessary to support a thorough and fair r</w:t>
      </w:r>
      <w:r w:rsidR="00072887">
        <w:t>econsideration</w:t>
      </w:r>
      <w:r w:rsidRPr="000F6CD1">
        <w:t xml:space="preserve"> process.</w:t>
      </w:r>
    </w:p>
    <w:p w14:paraId="11FE13F8" w14:textId="77777777" w:rsidR="00B4017B" w:rsidRPr="000F6CD1" w:rsidRDefault="00B4017B" w:rsidP="00622CFF">
      <w:pPr>
        <w:spacing w:before="240" w:after="240" w:line="240" w:lineRule="auto"/>
      </w:pPr>
      <w:r w:rsidRPr="000F6CD1">
        <w:t xml:space="preserve">Through the assessment organisation’s operational manager, the Internal Review Officer will request the off-line supplementary assessment in writing. It will be necessary to use the paper-based version of the Integrated Assessment Tool (accessible from the My Aged Care assessor portal) or other form as specified by the Internal Review Officer. </w:t>
      </w:r>
    </w:p>
    <w:p w14:paraId="5B50C265" w14:textId="77777777" w:rsidR="00B4017B" w:rsidRPr="000F6CD1" w:rsidRDefault="00B4017B" w:rsidP="00622CFF">
      <w:pPr>
        <w:spacing w:before="240" w:after="240" w:line="240" w:lineRule="auto"/>
      </w:pPr>
      <w:r w:rsidRPr="000F6CD1">
        <w:t xml:space="preserve">The off-line supplementary assessment is usually performed by an assessor who was not involved in the original decision or by a different assessor from the same organisation. To ensure a comprehensive evaluation, the reassessing assessor can collaborate with the original assessors, the original Assessment Delegate, and any other relevant parties as needed. </w:t>
      </w:r>
    </w:p>
    <w:p w14:paraId="2E52AEAE" w14:textId="38C4B145" w:rsidR="00B4017B" w:rsidRPr="000F6CD1" w:rsidRDefault="00B4017B" w:rsidP="00622CFF">
      <w:pPr>
        <w:spacing w:before="240" w:after="240" w:line="240" w:lineRule="auto"/>
      </w:pPr>
      <w:r w:rsidRPr="000F6CD1">
        <w:t>The assessor must not discuss the supplementary off-line assessment outcome with the older person or any other party in any way after completing the assessment. The outcome of the supplementary off-line assessment is not recorded in My Aged Care by the assessment organisation. Instead, it is shared with the Department through the assessment organisation’s operational manager.</w:t>
      </w:r>
    </w:p>
    <w:p w14:paraId="35040C93" w14:textId="5025A372" w:rsidR="00B4017B" w:rsidRPr="000F6CD1" w:rsidRDefault="00B4017B" w:rsidP="00AD2CE5">
      <w:pPr>
        <w:pStyle w:val="H3"/>
        <w:numPr>
          <w:ilvl w:val="2"/>
          <w:numId w:val="522"/>
        </w:numPr>
      </w:pPr>
      <w:r w:rsidRPr="000F6CD1">
        <w:t xml:space="preserve"> Role of Internal Decision Reviewer in relation to Support at Home Reviewable Decisions</w:t>
      </w:r>
    </w:p>
    <w:p w14:paraId="77632230" w14:textId="112EB799" w:rsidR="00B4017B" w:rsidRPr="000F6CD1" w:rsidRDefault="00B4017B" w:rsidP="002D6DC9">
      <w:pPr>
        <w:spacing w:before="100" w:beforeAutospacing="1" w:after="100" w:afterAutospacing="1" w:line="240" w:lineRule="auto"/>
        <w:rPr>
          <w:rFonts w:eastAsia="Times New Roman"/>
          <w:szCs w:val="22"/>
        </w:rPr>
      </w:pPr>
      <w:r w:rsidRPr="000F6CD1">
        <w:rPr>
          <w:rFonts w:eastAsia="Times New Roman"/>
          <w:szCs w:val="22"/>
        </w:rPr>
        <w:t xml:space="preserve">Where an older person </w:t>
      </w:r>
      <w:r w:rsidR="00866493">
        <w:rPr>
          <w:rFonts w:eastAsia="Times New Roman"/>
          <w:szCs w:val="22"/>
        </w:rPr>
        <w:t>(</w:t>
      </w:r>
      <w:r w:rsidRPr="000F6CD1">
        <w:rPr>
          <w:rFonts w:eastAsia="Times New Roman"/>
          <w:szCs w:val="22"/>
        </w:rPr>
        <w:t>or</w:t>
      </w:r>
      <w:r w:rsidR="00866493">
        <w:rPr>
          <w:rFonts w:eastAsia="Times New Roman"/>
          <w:szCs w:val="22"/>
        </w:rPr>
        <w:t xml:space="preserve"> their appointed decision</w:t>
      </w:r>
      <w:r w:rsidR="00E17F24">
        <w:rPr>
          <w:rFonts w:eastAsia="Times New Roman"/>
          <w:szCs w:val="22"/>
        </w:rPr>
        <w:t xml:space="preserve"> maker</w:t>
      </w:r>
      <w:r w:rsidR="000B6D94">
        <w:rPr>
          <w:rFonts w:eastAsia="Times New Roman"/>
          <w:szCs w:val="22"/>
        </w:rPr>
        <w:t xml:space="preserve">), </w:t>
      </w:r>
      <w:r w:rsidRPr="000F6CD1">
        <w:rPr>
          <w:rFonts w:eastAsia="Times New Roman"/>
          <w:szCs w:val="22"/>
        </w:rPr>
        <w:t xml:space="preserve">is unhappy with a Support at Home classification or priority decision, they can submit a written request to the Department for the decision to be </w:t>
      </w:r>
      <w:r w:rsidR="000B6D94">
        <w:rPr>
          <w:rFonts w:eastAsia="Times New Roman"/>
          <w:szCs w:val="22"/>
        </w:rPr>
        <w:t>reconsidered</w:t>
      </w:r>
      <w:r w:rsidRPr="000F6CD1">
        <w:rPr>
          <w:rFonts w:eastAsia="Times New Roman"/>
          <w:szCs w:val="22"/>
        </w:rPr>
        <w:t>.</w:t>
      </w:r>
      <w:r w:rsidR="000B6D94">
        <w:rPr>
          <w:rFonts w:eastAsia="Times New Roman"/>
          <w:szCs w:val="22"/>
        </w:rPr>
        <w:t xml:space="preserve"> The older person can be assisted by their supporter to submit the request.</w:t>
      </w:r>
      <w:r w:rsidRPr="000F6CD1">
        <w:rPr>
          <w:rFonts w:eastAsia="Times New Roman"/>
          <w:szCs w:val="22"/>
        </w:rPr>
        <w:t xml:space="preserve"> The role of the Internal Decision Reviewer is to, standing in the shoes of the original decision maker, consider whether the correct decision has been made in accordance with the relevant legislation and </w:t>
      </w:r>
      <w:r w:rsidR="000B6D94">
        <w:rPr>
          <w:rFonts w:eastAsia="Times New Roman"/>
          <w:szCs w:val="22"/>
        </w:rPr>
        <w:t>on the basis of the information and evidence provided</w:t>
      </w:r>
      <w:r w:rsidRPr="000F6CD1">
        <w:rPr>
          <w:rFonts w:eastAsia="Times New Roman"/>
          <w:szCs w:val="22"/>
        </w:rPr>
        <w:t>. The Departmental Delegates conducting the internal review of Assessment Decisions are subject to the same legislative limitations as the original decision maker.</w:t>
      </w:r>
    </w:p>
    <w:p w14:paraId="312393E2" w14:textId="49B92064" w:rsidR="00B4017B" w:rsidRPr="000F6CD1" w:rsidRDefault="00B4017B" w:rsidP="002D6DC9">
      <w:pPr>
        <w:spacing w:before="100" w:beforeAutospacing="1" w:after="100" w:afterAutospacing="1" w:line="240" w:lineRule="auto"/>
        <w:rPr>
          <w:rFonts w:eastAsia="Times New Roman"/>
          <w:szCs w:val="22"/>
        </w:rPr>
      </w:pPr>
      <w:r w:rsidRPr="000F6CD1">
        <w:rPr>
          <w:rFonts w:eastAsia="Times New Roman"/>
          <w:szCs w:val="22"/>
        </w:rPr>
        <w:t xml:space="preserve">Where a request to </w:t>
      </w:r>
      <w:r w:rsidR="000B6D94">
        <w:rPr>
          <w:rFonts w:eastAsia="Times New Roman"/>
          <w:szCs w:val="22"/>
        </w:rPr>
        <w:t>reconsider</w:t>
      </w:r>
      <w:r w:rsidRPr="000F6CD1">
        <w:rPr>
          <w:rFonts w:eastAsia="Times New Roman"/>
          <w:szCs w:val="22"/>
        </w:rPr>
        <w:t xml:space="preserve"> a classification decision is received by the Department, the </w:t>
      </w:r>
      <w:r w:rsidR="000A6D98">
        <w:rPr>
          <w:rFonts w:eastAsia="Times New Roman"/>
          <w:szCs w:val="22"/>
        </w:rPr>
        <w:t>I</w:t>
      </w:r>
      <w:r w:rsidRPr="000F6CD1">
        <w:rPr>
          <w:rFonts w:eastAsia="Times New Roman"/>
          <w:szCs w:val="22"/>
        </w:rPr>
        <w:t xml:space="preserve">nternal </w:t>
      </w:r>
      <w:r w:rsidR="000A6D98">
        <w:rPr>
          <w:rFonts w:eastAsia="Times New Roman"/>
          <w:szCs w:val="22"/>
        </w:rPr>
        <w:t>D</w:t>
      </w:r>
      <w:r w:rsidRPr="000F6CD1">
        <w:rPr>
          <w:rFonts w:eastAsia="Times New Roman"/>
          <w:szCs w:val="22"/>
        </w:rPr>
        <w:t xml:space="preserve">ecision </w:t>
      </w:r>
      <w:r w:rsidR="00E43270">
        <w:rPr>
          <w:rFonts w:eastAsia="Times New Roman"/>
          <w:szCs w:val="22"/>
        </w:rPr>
        <w:t>R</w:t>
      </w:r>
      <w:r w:rsidRPr="000F6CD1">
        <w:rPr>
          <w:rFonts w:eastAsia="Times New Roman"/>
          <w:szCs w:val="22"/>
        </w:rPr>
        <w:t>eviewer will consider whether any of the inputs into the IAT are incorrect or need amendment, having regard to all the evidence available</w:t>
      </w:r>
      <w:r w:rsidR="00C477A4">
        <w:rPr>
          <w:rFonts w:eastAsia="Times New Roman"/>
          <w:szCs w:val="22"/>
        </w:rPr>
        <w:t xml:space="preserve"> to the original decision maker</w:t>
      </w:r>
      <w:r w:rsidRPr="000F6CD1">
        <w:rPr>
          <w:rFonts w:eastAsia="Times New Roman"/>
          <w:szCs w:val="22"/>
        </w:rPr>
        <w:t>.</w:t>
      </w:r>
      <w:r w:rsidR="00C477A4">
        <w:rPr>
          <w:rFonts w:eastAsia="Times New Roman"/>
          <w:szCs w:val="22"/>
        </w:rPr>
        <w:t xml:space="preserve"> The Internal Decision Reviewer may also request further information or documents necessary to reconsider the decision.</w:t>
      </w:r>
      <w:r w:rsidRPr="000F6CD1">
        <w:rPr>
          <w:rFonts w:eastAsia="Times New Roman"/>
          <w:szCs w:val="22"/>
        </w:rPr>
        <w:t xml:space="preserve"> If this process results in the older person receiving a different Support at Home Classification level, then the original decision will be set aside and substituted with the new </w:t>
      </w:r>
      <w:r w:rsidR="00DD06FB">
        <w:rPr>
          <w:rFonts w:eastAsia="Times New Roman"/>
          <w:szCs w:val="22"/>
        </w:rPr>
        <w:t>decision</w:t>
      </w:r>
      <w:r w:rsidRPr="000F6CD1">
        <w:rPr>
          <w:rFonts w:eastAsia="Times New Roman"/>
          <w:szCs w:val="22"/>
        </w:rPr>
        <w:t>. This process ensures the integrity of the classification algorithm and ensures that program funding is allocated consistently and equitably to all participants based on their needs, in accordance with the criteria described in the</w:t>
      </w:r>
      <w:r w:rsidRPr="000F6CD1">
        <w:rPr>
          <w:rFonts w:eastAsia="Times New Roman"/>
          <w:i/>
          <w:szCs w:val="22"/>
        </w:rPr>
        <w:t xml:space="preserve"> </w:t>
      </w:r>
      <w:r w:rsidRPr="000F6CD1">
        <w:rPr>
          <w:rFonts w:eastAsia="Times New Roman"/>
          <w:szCs w:val="22"/>
        </w:rPr>
        <w:t xml:space="preserve">Rules. </w:t>
      </w:r>
    </w:p>
    <w:p w14:paraId="3CED1619" w14:textId="5AF1D0DF" w:rsidR="00B4017B" w:rsidRPr="000F6CD1" w:rsidRDefault="00B4017B">
      <w:pPr>
        <w:spacing w:before="100" w:beforeAutospacing="1" w:after="100" w:afterAutospacing="1" w:line="240" w:lineRule="auto"/>
        <w:rPr>
          <w:rFonts w:eastAsia="Times New Roman"/>
          <w:szCs w:val="22"/>
        </w:rPr>
      </w:pPr>
      <w:r w:rsidRPr="000F6CD1">
        <w:rPr>
          <w:rFonts w:eastAsia="Times New Roman"/>
          <w:szCs w:val="22"/>
        </w:rPr>
        <w:t>Similarly, where a request to re</w:t>
      </w:r>
      <w:r w:rsidR="00DD06FB">
        <w:rPr>
          <w:rFonts w:eastAsia="Times New Roman"/>
          <w:szCs w:val="22"/>
        </w:rPr>
        <w:t>consider</w:t>
      </w:r>
      <w:r w:rsidRPr="000F6CD1">
        <w:rPr>
          <w:rFonts w:eastAsia="Times New Roman"/>
          <w:szCs w:val="22"/>
        </w:rPr>
        <w:t xml:space="preserve"> the decision to assign a priority category is received by the Department, the </w:t>
      </w:r>
      <w:r w:rsidR="00DD06FB">
        <w:rPr>
          <w:rFonts w:eastAsia="Times New Roman"/>
          <w:szCs w:val="22"/>
        </w:rPr>
        <w:t>I</w:t>
      </w:r>
      <w:r w:rsidRPr="000F6CD1">
        <w:rPr>
          <w:rFonts w:eastAsia="Times New Roman"/>
          <w:szCs w:val="22"/>
        </w:rPr>
        <w:t xml:space="preserve">nternal </w:t>
      </w:r>
      <w:r w:rsidR="00DD06FB">
        <w:rPr>
          <w:rFonts w:eastAsia="Times New Roman"/>
          <w:szCs w:val="22"/>
        </w:rPr>
        <w:t>D</w:t>
      </w:r>
      <w:r w:rsidRPr="000F6CD1">
        <w:rPr>
          <w:rFonts w:eastAsia="Times New Roman"/>
          <w:szCs w:val="22"/>
        </w:rPr>
        <w:t xml:space="preserve">ecision </w:t>
      </w:r>
      <w:r w:rsidR="00DD06FB">
        <w:rPr>
          <w:rFonts w:eastAsia="Times New Roman"/>
          <w:szCs w:val="22"/>
        </w:rPr>
        <w:t>R</w:t>
      </w:r>
      <w:r w:rsidRPr="000F6CD1">
        <w:rPr>
          <w:rFonts w:eastAsia="Times New Roman"/>
          <w:szCs w:val="22"/>
        </w:rPr>
        <w:t xml:space="preserve">eviewer will consider </w:t>
      </w:r>
      <w:r w:rsidR="00DD06FB">
        <w:rPr>
          <w:rFonts w:eastAsia="Times New Roman"/>
          <w:szCs w:val="22"/>
        </w:rPr>
        <w:t xml:space="preserve">the evidence relied on by the original decision maker to determine </w:t>
      </w:r>
      <w:r w:rsidRPr="000F6CD1">
        <w:rPr>
          <w:rFonts w:eastAsia="Times New Roman"/>
          <w:szCs w:val="22"/>
        </w:rPr>
        <w:t>whether the</w:t>
      </w:r>
      <w:r w:rsidR="003E2AFB">
        <w:rPr>
          <w:rFonts w:eastAsia="Times New Roman"/>
          <w:szCs w:val="22"/>
        </w:rPr>
        <w:t xml:space="preserve"> criteria set out in the Rules was appropriately applied. The Internal Decision Maker may also request </w:t>
      </w:r>
      <w:r w:rsidR="007B6025">
        <w:rPr>
          <w:rFonts w:eastAsia="Times New Roman"/>
          <w:szCs w:val="22"/>
        </w:rPr>
        <w:t>further information or documents necessary to reconsider the decision. If,</w:t>
      </w:r>
      <w:r w:rsidRPr="000F6CD1">
        <w:rPr>
          <w:rFonts w:eastAsia="Times New Roman"/>
          <w:szCs w:val="22"/>
        </w:rPr>
        <w:t xml:space="preserve"> on review of the evidence and information before the internal reviewer, </w:t>
      </w:r>
      <w:r w:rsidR="007B6025">
        <w:rPr>
          <w:rFonts w:eastAsia="Times New Roman"/>
          <w:szCs w:val="22"/>
        </w:rPr>
        <w:t xml:space="preserve">it is determined </w:t>
      </w:r>
      <w:r w:rsidRPr="000F6CD1">
        <w:rPr>
          <w:rFonts w:eastAsia="Times New Roman"/>
          <w:szCs w:val="22"/>
        </w:rPr>
        <w:t>the individual is</w:t>
      </w:r>
      <w:r w:rsidR="00D3614F">
        <w:rPr>
          <w:rFonts w:eastAsia="Times New Roman"/>
          <w:szCs w:val="22"/>
        </w:rPr>
        <w:t xml:space="preserve"> </w:t>
      </w:r>
      <w:r w:rsidRPr="000F6CD1">
        <w:rPr>
          <w:rFonts w:eastAsia="Times New Roman"/>
          <w:szCs w:val="22"/>
        </w:rPr>
        <w:t>eligible for a different priority category, the original decision will be set aside and substitute the decision with a new priority category.</w:t>
      </w:r>
    </w:p>
    <w:p w14:paraId="3233F600" w14:textId="4B46A25D" w:rsidR="00B4017B" w:rsidRPr="000F6CD1" w:rsidRDefault="00B4017B" w:rsidP="00F57D56">
      <w:pPr>
        <w:spacing w:before="100" w:beforeAutospacing="1" w:after="100" w:afterAutospacing="1" w:line="240" w:lineRule="auto"/>
      </w:pPr>
      <w:r w:rsidRPr="000F6CD1">
        <w:rPr>
          <w:rFonts w:eastAsia="Times New Roman"/>
          <w:szCs w:val="22"/>
        </w:rPr>
        <w:t xml:space="preserve">As part of the internal review process, the </w:t>
      </w:r>
      <w:r w:rsidR="003255FF">
        <w:rPr>
          <w:rFonts w:eastAsia="Times New Roman"/>
          <w:szCs w:val="22"/>
        </w:rPr>
        <w:t>I</w:t>
      </w:r>
      <w:r w:rsidRPr="000F6CD1">
        <w:rPr>
          <w:rFonts w:eastAsia="Times New Roman"/>
          <w:szCs w:val="22"/>
        </w:rPr>
        <w:t xml:space="preserve">nternal </w:t>
      </w:r>
      <w:r w:rsidR="003255FF">
        <w:rPr>
          <w:rFonts w:eastAsia="Times New Roman"/>
          <w:szCs w:val="22"/>
        </w:rPr>
        <w:t>De</w:t>
      </w:r>
      <w:r w:rsidRPr="000F6CD1">
        <w:rPr>
          <w:rFonts w:eastAsia="Times New Roman"/>
          <w:szCs w:val="22"/>
        </w:rPr>
        <w:t xml:space="preserve">cision </w:t>
      </w:r>
      <w:r w:rsidR="003255FF">
        <w:rPr>
          <w:rFonts w:eastAsia="Times New Roman"/>
          <w:szCs w:val="22"/>
        </w:rPr>
        <w:t>R</w:t>
      </w:r>
      <w:r w:rsidRPr="000F6CD1">
        <w:rPr>
          <w:rFonts w:eastAsia="Times New Roman"/>
          <w:szCs w:val="22"/>
        </w:rPr>
        <w:t>eviewer will seek additional evidence from the Applicant, and other third parties including the AO, any home care provider or medical practitioners.</w:t>
      </w:r>
    </w:p>
    <w:p w14:paraId="0E712676" w14:textId="77777777" w:rsidR="00B4017B" w:rsidRPr="000F6CD1" w:rsidRDefault="00B4017B" w:rsidP="006647CE">
      <w:pPr>
        <w:pStyle w:val="h2"/>
      </w:pPr>
      <w:bookmarkStart w:id="929" w:name="_Toc204329602"/>
      <w:bookmarkStart w:id="930" w:name="_Toc209189046"/>
      <w:bookmarkStart w:id="931" w:name="_Toc233282500"/>
      <w:r w:rsidRPr="000F6CD1">
        <w:lastRenderedPageBreak/>
        <w:t>Further avenues of review</w:t>
      </w:r>
      <w:bookmarkEnd w:id="929"/>
      <w:bookmarkEnd w:id="930"/>
      <w:bookmarkEnd w:id="931"/>
      <w:r w:rsidRPr="000F6CD1">
        <w:t xml:space="preserve"> </w:t>
      </w:r>
    </w:p>
    <w:p w14:paraId="25DD22C8" w14:textId="2BC711A0" w:rsidR="00B4017B" w:rsidRPr="000F6CD1" w:rsidRDefault="00B4017B" w:rsidP="00622CFF">
      <w:pPr>
        <w:spacing w:before="240" w:after="240" w:line="240" w:lineRule="auto"/>
      </w:pPr>
      <w:r w:rsidRPr="000F6CD1">
        <w:t>If affected entities remain dissatisfied with the outcome of the review, they can apply to have their re</w:t>
      </w:r>
      <w:r w:rsidR="008F0A09">
        <w:t>consideration</w:t>
      </w:r>
      <w:r w:rsidRPr="000F6CD1">
        <w:t xml:space="preserve"> decision reviewed by the Administrative Review Tribunal (ART)</w:t>
      </w:r>
      <w:r w:rsidR="008F0A09">
        <w:t>.</w:t>
      </w:r>
      <w:r w:rsidRPr="000F6CD1">
        <w:t xml:space="preserve"> </w:t>
      </w:r>
    </w:p>
    <w:p w14:paraId="2F8C290D" w14:textId="77777777" w:rsidR="00B4017B" w:rsidRPr="000F6CD1" w:rsidRDefault="00B4017B" w:rsidP="00622CFF">
      <w:pPr>
        <w:spacing w:before="240" w:after="240" w:line="240" w:lineRule="auto"/>
      </w:pPr>
      <w:r w:rsidRPr="000F6CD1">
        <w:t>If an affected entity has concerns about the way a decision was made or the processes involved, they can make a complaint to the Commonwealth Ombudsman.</w:t>
      </w:r>
    </w:p>
    <w:p w14:paraId="2F0F9BC2" w14:textId="77777777" w:rsidR="00B4017B" w:rsidRPr="000F6CD1" w:rsidRDefault="00B4017B" w:rsidP="00AD2CE5">
      <w:pPr>
        <w:pStyle w:val="H3"/>
      </w:pPr>
      <w:r w:rsidRPr="000F6CD1">
        <w:t xml:space="preserve">Administrative Review Tribunal (ART) </w:t>
      </w:r>
    </w:p>
    <w:p w14:paraId="04D7389F" w14:textId="57FC5870" w:rsidR="00B4017B" w:rsidRPr="000F6CD1" w:rsidRDefault="00B4017B">
      <w:pPr>
        <w:spacing w:before="240" w:after="240" w:line="240" w:lineRule="auto"/>
      </w:pPr>
      <w:r w:rsidRPr="000F6CD1">
        <w:t>If a person who has requested a r</w:t>
      </w:r>
      <w:r w:rsidR="008F0A09">
        <w:t>econsideration</w:t>
      </w:r>
      <w:r w:rsidRPr="000F6CD1">
        <w:t xml:space="preserve"> of a decision is not satisfied with the outcome, they may apply to the ART for a further review. It is important to note that there is a cost to the applicant for initiating this process. </w:t>
      </w:r>
    </w:p>
    <w:p w14:paraId="4FA3E8C1" w14:textId="77777777" w:rsidR="00B4017B" w:rsidRPr="000F6CD1" w:rsidRDefault="00B4017B" w:rsidP="00622CFF">
      <w:pPr>
        <w:spacing w:before="240" w:after="240" w:line="240" w:lineRule="auto"/>
      </w:pPr>
      <w:r w:rsidRPr="000F6CD1">
        <w:t xml:space="preserve">Assessment Delegates must ensure that all information used in making approval decisions, including any data gathered during reviews of reviewable decisions is properly maintained and readily available for review by the ART. </w:t>
      </w:r>
    </w:p>
    <w:p w14:paraId="5E250868" w14:textId="2944CAAB" w:rsidR="00B4017B" w:rsidRPr="000F6CD1" w:rsidRDefault="00B4017B">
      <w:pPr>
        <w:spacing w:before="240" w:after="240" w:line="240" w:lineRule="auto"/>
      </w:pPr>
      <w:r w:rsidRPr="000F6CD1">
        <w:t xml:space="preserve">Both the Assessment Delegate who made the original decision </w:t>
      </w:r>
      <w:r w:rsidRPr="000F6CD1">
        <w:rPr>
          <w:rFonts w:eastAsia="Arial"/>
          <w:szCs w:val="22"/>
        </w:rPr>
        <w:t>and the Department delegate who made the review decision</w:t>
      </w:r>
      <w:r w:rsidRPr="000F6CD1">
        <w:t xml:space="preserve"> may be required to appear before the ART as part of the review process. </w:t>
      </w:r>
    </w:p>
    <w:p w14:paraId="4DC064E2" w14:textId="77777777" w:rsidR="00B4017B" w:rsidRPr="000F6CD1" w:rsidRDefault="00B4017B" w:rsidP="00AD2CE5">
      <w:pPr>
        <w:pStyle w:val="H3"/>
      </w:pPr>
      <w:r w:rsidRPr="000F6CD1">
        <w:t xml:space="preserve">Commonwealth Ombudsman </w:t>
      </w:r>
    </w:p>
    <w:p w14:paraId="68EB098A" w14:textId="77777777" w:rsidR="00B4017B" w:rsidRPr="000F6CD1" w:rsidRDefault="00B4017B" w:rsidP="00622CFF">
      <w:pPr>
        <w:spacing w:before="240" w:after="240" w:line="240" w:lineRule="auto"/>
      </w:pPr>
      <w:r w:rsidRPr="000F6CD1">
        <w:t xml:space="preserve">The Commonwealth Ombudsman is responsible for considering the administrative actions and decisions made by Australian Government agencies. The Commonwealth Ombudsman will not make a fresh decision on the matter, rather they will consider the way a decision was made and make recommendations on how the decision or process could be improved. </w:t>
      </w:r>
    </w:p>
    <w:p w14:paraId="1BD9F25D" w14:textId="77777777" w:rsidR="00B4017B" w:rsidRPr="000F6CD1" w:rsidRDefault="00B4017B" w:rsidP="00622CFF">
      <w:pPr>
        <w:spacing w:before="240" w:after="240" w:line="240" w:lineRule="auto"/>
      </w:pPr>
      <w:r w:rsidRPr="000F6CD1">
        <w:t xml:space="preserve">The Ombudsman’s office handles complaints, conducts investigations, performs audits and inspections and carries out specialist oversight tasks to determine whether the actions and decisions of agencies are wrong, unjust, unlawful, discriminatory or unfair. </w:t>
      </w:r>
    </w:p>
    <w:p w14:paraId="13339D99" w14:textId="77777777" w:rsidR="00B4017B" w:rsidRPr="000F6CD1" w:rsidRDefault="00B4017B" w:rsidP="00622CFF">
      <w:pPr>
        <w:spacing w:before="240" w:after="240" w:line="240" w:lineRule="auto"/>
      </w:pPr>
      <w:r w:rsidRPr="000F6CD1">
        <w:t xml:space="preserve">An older person, or any person supporting them such as their carer, advocate or registered supporter, can contact the Commonwealth Ombudsman through the official website to raise their concerns or file complaints. </w:t>
      </w:r>
    </w:p>
    <w:p w14:paraId="3E31B8D2" w14:textId="77777777" w:rsidR="00B4017B" w:rsidRPr="000F6CD1" w:rsidRDefault="00B4017B" w:rsidP="006647CE">
      <w:pPr>
        <w:pStyle w:val="h2"/>
        <w:rPr>
          <w:color w:val="auto"/>
        </w:rPr>
      </w:pPr>
      <w:bookmarkStart w:id="932" w:name="_Revocations"/>
      <w:bookmarkStart w:id="933" w:name="_Toc198813652"/>
      <w:bookmarkStart w:id="934" w:name="_Toc204329603"/>
      <w:bookmarkStart w:id="935" w:name="_Toc209189047"/>
      <w:bookmarkStart w:id="936" w:name="_Toc233282501"/>
      <w:bookmarkStart w:id="937" w:name="CH1_Revocations"/>
      <w:bookmarkEnd w:id="932"/>
      <w:r w:rsidRPr="000F6CD1">
        <w:t>Revocations</w:t>
      </w:r>
      <w:bookmarkEnd w:id="933"/>
      <w:bookmarkEnd w:id="934"/>
      <w:bookmarkEnd w:id="935"/>
      <w:bookmarkEnd w:id="936"/>
      <w:r w:rsidRPr="000F6CD1">
        <w:t xml:space="preserve"> </w:t>
      </w:r>
    </w:p>
    <w:bookmarkEnd w:id="937"/>
    <w:p w14:paraId="148C19A6" w14:textId="77777777" w:rsidR="00B4017B" w:rsidRPr="000F6CD1" w:rsidRDefault="00B4017B" w:rsidP="00622CFF">
      <w:pPr>
        <w:spacing w:before="240" w:after="240" w:line="240" w:lineRule="auto"/>
      </w:pPr>
      <w:r w:rsidRPr="000F6CD1">
        <w:t xml:space="preserve">Triage and Assessment Delegates are not delegated the power to consider or decide to revoke an older person’s eligibility or approval decisions. These delegated powers are exercised by department delegates (delegates employed directly by the department). </w:t>
      </w:r>
    </w:p>
    <w:p w14:paraId="5DC0A21C" w14:textId="77777777" w:rsidR="00B4017B" w:rsidRPr="000F6CD1" w:rsidRDefault="00B4017B" w:rsidP="00AD2CE5">
      <w:pPr>
        <w:pStyle w:val="H3"/>
      </w:pPr>
      <w:bookmarkStart w:id="938" w:name="_Toc742504077"/>
      <w:bookmarkStart w:id="939" w:name="_Toc199344612"/>
      <w:bookmarkStart w:id="940" w:name="_Toc200024268"/>
      <w:r w:rsidRPr="000F6CD1">
        <w:t>Revocations on the initiative of the System Governor</w:t>
      </w:r>
      <w:bookmarkEnd w:id="938"/>
      <w:bookmarkEnd w:id="939"/>
      <w:bookmarkEnd w:id="940"/>
      <w:r w:rsidRPr="000F6CD1">
        <w:t xml:space="preserve"> </w:t>
      </w:r>
    </w:p>
    <w:p w14:paraId="4217FDD7" w14:textId="77777777" w:rsidR="00B4017B" w:rsidRPr="000F6CD1" w:rsidRDefault="00B4017B" w:rsidP="00622CFF">
      <w:pPr>
        <w:spacing w:before="240" w:after="240" w:line="240" w:lineRule="auto"/>
      </w:pPr>
      <w:r w:rsidRPr="000F6CD1">
        <w:t>There are specific circumstances where an approval or eligibility decision may be revoked. One scenario is that during the assessment or application process the individual gave information or documents and those information or documents were</w:t>
      </w:r>
      <w:r w:rsidRPr="000F6CD1" w:rsidDel="00192246">
        <w:t xml:space="preserve"> </w:t>
      </w:r>
      <w:r w:rsidRPr="000F6CD1">
        <w:t xml:space="preserve">false or misleading, omitted any matter or thing that without would make the document false or misleading. This can include situations where key facts presented during the assessment process were inaccurate or misleading, resulting in the approval or eligibility decision being granted </w:t>
      </w:r>
      <w:r w:rsidRPr="000F6CD1">
        <w:lastRenderedPageBreak/>
        <w:t>erroneously. In such cases, it is the departmental delegate’s responsibility to assess the evidence and, if warranted, initiate the revocation process to maintain the integrity of the aged care system.</w:t>
      </w:r>
    </w:p>
    <w:p w14:paraId="2D71E9A3" w14:textId="77777777" w:rsidR="00B4017B" w:rsidRPr="000F6CD1" w:rsidRDefault="00B4017B" w:rsidP="00622CFF">
      <w:pPr>
        <w:spacing w:before="240" w:after="240" w:line="240" w:lineRule="auto"/>
      </w:pPr>
      <w:r w:rsidRPr="000F6CD1">
        <w:t xml:space="preserve">Decisions to revoke an eligibility determination for an aged care needs assessment and access approval for an individual are reviewable decisions under Section 557 of the </w:t>
      </w:r>
      <w:r w:rsidRPr="009F4AC9">
        <w:rPr>
          <w:i/>
          <w:iCs/>
        </w:rPr>
        <w:t>Aged Care Act 2024.</w:t>
      </w:r>
    </w:p>
    <w:p w14:paraId="061CE577" w14:textId="77777777" w:rsidR="00B4017B" w:rsidRPr="000F6CD1" w:rsidRDefault="00B4017B" w:rsidP="00622CFF">
      <w:pPr>
        <w:spacing w:before="240" w:after="240" w:line="240" w:lineRule="auto"/>
      </w:pPr>
      <w:r w:rsidRPr="000F6CD1">
        <w:t xml:space="preserve">If an assessor or assessment delegate has concerns about the information or documents provided by an older person and/or their registered supporter(s) or appointed decision makers, they should contact the Department at </w:t>
      </w:r>
      <w:hyperlink r:id="rId270" w:history="1">
        <w:r w:rsidRPr="000F6CD1">
          <w:rPr>
            <w:rStyle w:val="Hyperlink"/>
          </w:rPr>
          <w:t>AssessmentRevocations@health.gov.au</w:t>
        </w:r>
      </w:hyperlink>
      <w:r w:rsidRPr="000F6CD1">
        <w:t xml:space="preserve">  </w:t>
      </w:r>
    </w:p>
    <w:p w14:paraId="1D9BB224" w14:textId="77777777" w:rsidR="00B4017B" w:rsidRPr="000F6CD1" w:rsidRDefault="00B4017B" w:rsidP="00622CFF">
      <w:pPr>
        <w:spacing w:before="240" w:after="240" w:line="240" w:lineRule="auto"/>
      </w:pPr>
      <w:r w:rsidRPr="000F6CD1">
        <w:t xml:space="preserve">Before making a final decision to revoke eligibility or access approval, the Departmental delegate must follow the structured process outlined under the Act. The Departmental delegate must first notify the individual in writing that a decision to make a revocation is being considered. The notice must clearly state the reasons why a revocation is being considered and invite the individual to make written submissions about the matter within 14 days of receiving the letter (or a longer period if specified). Additionally, the notice must inform the individual that the Departmental delegate may proceed with the decision after considering the submissions. </w:t>
      </w:r>
    </w:p>
    <w:p w14:paraId="790DD37C" w14:textId="77777777" w:rsidR="00B4017B" w:rsidRPr="000F6CD1" w:rsidRDefault="00B4017B" w:rsidP="00622CFF">
      <w:pPr>
        <w:spacing w:before="240" w:after="240" w:line="240" w:lineRule="auto"/>
      </w:pPr>
      <w:r w:rsidRPr="000F6CD1">
        <w:t xml:space="preserve">If an individual has made their submission, the Departmental delegate is required to carefully consider them before making a final decision. This ensures that the individual’s perspective and any relevant information are taken into account, allowing for a transparent and fair assessment of the situation. </w:t>
      </w:r>
    </w:p>
    <w:p w14:paraId="22773608" w14:textId="77777777" w:rsidR="00B4017B" w:rsidRPr="000F6CD1" w:rsidRDefault="00B4017B" w:rsidP="00622CFF">
      <w:pPr>
        <w:spacing w:before="240" w:after="240" w:line="240" w:lineRule="auto"/>
      </w:pPr>
      <w:r w:rsidRPr="000F6CD1">
        <w:t xml:space="preserve">If, after considering the submission, the Departmental delegate deicides to revoke the eligibility determination or access approval, they must notify the individual in writing within 14 days of making the decision. The notification must include the decision itself, the reasons for the decision, and information on how to apply for a reconsideration if the individual wishes to challenge the outcome. </w:t>
      </w:r>
    </w:p>
    <w:p w14:paraId="52609FA8" w14:textId="77777777" w:rsidR="00B4017B" w:rsidRPr="000F6CD1" w:rsidRDefault="00B4017B" w:rsidP="00622CFF">
      <w:pPr>
        <w:spacing w:before="240" w:after="240" w:line="240" w:lineRule="auto"/>
      </w:pPr>
      <w:r w:rsidRPr="000F6CD1">
        <w:t xml:space="preserve">If an eligibility or access approval is revoked, any pending applications related to the individual are automatically withdrawn. This means the individual will need to reapply for access if they wish to receive funded aged care services. </w:t>
      </w:r>
    </w:p>
    <w:p w14:paraId="5FD9C632" w14:textId="77777777" w:rsidR="00B4017B" w:rsidRPr="000F6CD1" w:rsidRDefault="00B4017B" w:rsidP="00AD2CE5">
      <w:pPr>
        <w:pStyle w:val="H3"/>
      </w:pPr>
      <w:bookmarkStart w:id="941" w:name="_Toc1768790914"/>
      <w:bookmarkStart w:id="942" w:name="_Toc199344613"/>
      <w:bookmarkStart w:id="943" w:name="_Toc200024269"/>
      <w:r w:rsidRPr="000F6CD1">
        <w:t>Requests on the initiative of the individual</w:t>
      </w:r>
      <w:bookmarkEnd w:id="941"/>
      <w:bookmarkEnd w:id="942"/>
      <w:bookmarkEnd w:id="943"/>
      <w:r w:rsidRPr="000F6CD1">
        <w:t xml:space="preserve"> </w:t>
      </w:r>
    </w:p>
    <w:p w14:paraId="10560B06" w14:textId="20BB8063" w:rsidR="00851E1C" w:rsidRDefault="00B4017B" w:rsidP="00622CFF">
      <w:pPr>
        <w:spacing w:before="240" w:after="240" w:line="240" w:lineRule="auto"/>
      </w:pPr>
      <w:r w:rsidRPr="000F6CD1">
        <w:t>Approvals can be revoked if the individual themselves requests it. Under section 72 of the Act, an individual has the right to request the revocation of an eligibility determination or an access approval if it is currently in effect. This option to withdraw an eligibility approval is only available if the individual is under the age of 65 at the time of making the request. The request for revocation must be submitted using the approved form to ensure that the process is formally documented and consistent with legislative requirements. Once a valid request for revocation has been made, the System Governor is obligated under section 73 to revoke the eligibility determination or access approval within 28 days of receiving the request. The decision must be communicated to the individual within 14 days of being made in the form of a written notice. This notice should clearly outline the revocation decision, including any relevant reasons and implications.</w:t>
      </w:r>
    </w:p>
    <w:p w14:paraId="281A23AF" w14:textId="10E90B60" w:rsidR="00B4017B" w:rsidRPr="000F6CD1" w:rsidRDefault="00851E1C" w:rsidP="00851E1C">
      <w:r>
        <w:br w:type="page"/>
      </w:r>
    </w:p>
    <w:p w14:paraId="4FF19DAD" w14:textId="023F9EA5" w:rsidR="00B4017B" w:rsidRPr="000F6CD1" w:rsidRDefault="00B4017B" w:rsidP="00806A21">
      <w:pPr>
        <w:pStyle w:val="Sub-headings"/>
      </w:pPr>
      <w:r w:rsidRPr="000F6CD1">
        <w:lastRenderedPageBreak/>
        <w:t>Note:</w:t>
      </w:r>
    </w:p>
    <w:p w14:paraId="033ACE0B" w14:textId="2F0F4BE6" w:rsidR="00B4017B" w:rsidRPr="000F6CD1" w:rsidRDefault="00B4017B" w:rsidP="00806A21">
      <w:pPr>
        <w:pStyle w:val="Sub-headings"/>
      </w:pPr>
      <w:r w:rsidRPr="000F6CD1">
        <w:t>Once an approval or eligibility determination is revoked, any pending applications related to that individual under section 56 or 64 are automatically considered withdrawn.</w:t>
      </w:r>
    </w:p>
    <w:p w14:paraId="01FF2775" w14:textId="6E9EDF52" w:rsidR="00B4017B" w:rsidRPr="000F6CD1" w:rsidRDefault="00B4017B" w:rsidP="00806A21">
      <w:pPr>
        <w:pStyle w:val="Sub-headings"/>
      </w:pPr>
      <w:r w:rsidRPr="000F6CD1">
        <w:t>This means that no further action will be taken on those applications.</w:t>
      </w:r>
    </w:p>
    <w:p w14:paraId="34997478" w14:textId="4B423C01" w:rsidR="00B4017B" w:rsidRPr="000F6CD1" w:rsidRDefault="00B4017B" w:rsidP="00622CFF">
      <w:pPr>
        <w:spacing w:before="240" w:after="240" w:line="240" w:lineRule="auto"/>
      </w:pPr>
      <w:r w:rsidRPr="000F6CD1">
        <w:t>Additionally, approvals</w:t>
      </w:r>
      <w:r w:rsidRPr="000F6CD1" w:rsidDel="00872275">
        <w:t xml:space="preserve"> </w:t>
      </w:r>
      <w:r w:rsidRPr="000F6CD1">
        <w:t>lapse automatically if they are superseded by a subsequent decision. This occurs when a new eligibility determination or access approval replaces the existing one, rendering the previous approval invalid. In these cases, the revocation happens implicitly because the new decision takes precedence.</w:t>
      </w:r>
    </w:p>
    <w:p w14:paraId="7E15FC92" w14:textId="0CAC83D8" w:rsidR="00B4017B" w:rsidRPr="000F6CD1" w:rsidRDefault="00851E1C" w:rsidP="006647CE">
      <w:pPr>
        <w:pStyle w:val="h2"/>
      </w:pPr>
      <w:bookmarkStart w:id="944" w:name="_Toc209189048"/>
      <w:bookmarkStart w:id="945" w:name="_Toc233282502"/>
      <w:r>
        <w:rPr>
          <w:noProof/>
          <w14:ligatures w14:val="standardContextual"/>
        </w:rPr>
        <w:drawing>
          <wp:anchor distT="0" distB="0" distL="114300" distR="114300" simplePos="0" relativeHeight="251658317" behindDoc="0" locked="0" layoutInCell="1" allowOverlap="1" wp14:anchorId="3C58BC63" wp14:editId="34A032A1">
            <wp:simplePos x="0" y="0"/>
            <wp:positionH relativeFrom="margin">
              <wp:posOffset>-17780</wp:posOffset>
            </wp:positionH>
            <wp:positionV relativeFrom="margin">
              <wp:posOffset>2103755</wp:posOffset>
            </wp:positionV>
            <wp:extent cx="365792" cy="403895"/>
            <wp:effectExtent l="0" t="0" r="0" b="0"/>
            <wp:wrapSquare wrapText="bothSides"/>
            <wp:docPr id="611818934"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18934"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Corrections process</w:t>
      </w:r>
      <w:bookmarkEnd w:id="944"/>
      <w:bookmarkEnd w:id="945"/>
      <w:r w:rsidR="00B4017B" w:rsidRPr="000F6CD1">
        <w:t xml:space="preserve"> </w:t>
      </w:r>
    </w:p>
    <w:p w14:paraId="2C87758F" w14:textId="4C9E9735" w:rsidR="00B4017B" w:rsidRPr="000F6CD1" w:rsidRDefault="00B4017B" w:rsidP="00622CFF">
      <w:pPr>
        <w:spacing w:before="240" w:after="240" w:line="240" w:lineRule="auto"/>
        <w:rPr>
          <w:rFonts w:eastAsiaTheme="minorHAnsi" w:cs="Times New Roman"/>
        </w:rPr>
      </w:pPr>
      <w:bookmarkStart w:id="946" w:name="_Toc496022851"/>
      <w:bookmarkStart w:id="947" w:name="_Ref58338552"/>
      <w:bookmarkStart w:id="948" w:name="_Ref128156767"/>
      <w:bookmarkStart w:id="949" w:name="_Ref128157347"/>
      <w:bookmarkStart w:id="950" w:name="_Ref128237951"/>
      <w:bookmarkStart w:id="951" w:name="_Ref128237991"/>
      <w:bookmarkStart w:id="952" w:name="_Ref128237996"/>
      <w:bookmarkStart w:id="953" w:name="_Ref128238066"/>
      <w:bookmarkStart w:id="954" w:name="_Ref128238112"/>
      <w:bookmarkStart w:id="955" w:name="_Ref128303119"/>
      <w:bookmarkStart w:id="956" w:name="_Ref128326059"/>
      <w:bookmarkStart w:id="957" w:name="_Toc159226964"/>
      <w:bookmarkStart w:id="958" w:name="_Toc184402381"/>
      <w:r w:rsidRPr="000F6CD1">
        <w:t xml:space="preserve">Assessment delegates are responsible for ensuring their decisions are recorded accurately and completely. Diligent quality checks are essential to minimise the need for corrections and maintaining accurate records. </w:t>
      </w:r>
    </w:p>
    <w:p w14:paraId="63B5C6FD" w14:textId="78FD8E61" w:rsidR="00B4017B" w:rsidRPr="000F6CD1" w:rsidRDefault="00B4017B" w:rsidP="00622CFF">
      <w:pPr>
        <w:spacing w:before="240" w:after="240" w:line="240" w:lineRule="auto"/>
        <w:rPr>
          <w:iCs/>
        </w:rPr>
      </w:pPr>
      <w:r w:rsidRPr="000F6CD1">
        <w:rPr>
          <w:iCs/>
        </w:rPr>
        <w:t xml:space="preserve">If an administrative or typographical error is identified after submitting a decision, assessment delegates must promptly initiate the corrections process. </w:t>
      </w:r>
      <w:r w:rsidRPr="000F6CD1">
        <w:t>As an example, errors could include an omission of funded care types from an individual’s approval that were recommended in the Support Plan and the delegate intended to approve</w:t>
      </w:r>
      <w:r w:rsidRPr="000F6CD1">
        <w:rPr>
          <w:iCs/>
        </w:rPr>
        <w:t xml:space="preserve">; or entering an incorrect approval date of effect (delegation date) that does not match the actual approval date of effect. </w:t>
      </w:r>
    </w:p>
    <w:p w14:paraId="4F9FC228" w14:textId="7AAAFCAD" w:rsidR="00B4017B" w:rsidRPr="000F6CD1" w:rsidRDefault="00B4017B" w:rsidP="00622CFF">
      <w:pPr>
        <w:spacing w:before="240" w:after="240" w:line="240" w:lineRule="auto"/>
      </w:pPr>
      <w:r w:rsidRPr="000F6CD1">
        <w:t xml:space="preserve">Where an error has been identified, an assessment delegate must request a ‘correction’ </w:t>
      </w:r>
      <w:r w:rsidRPr="000F6CD1">
        <w:rPr>
          <w:b/>
          <w:bCs/>
        </w:rPr>
        <w:t>within 42 days of the original decision</w:t>
      </w:r>
      <w:r w:rsidRPr="000F6CD1">
        <w:t xml:space="preserve">. Corrections should be requested via the ‘Decision History’ tab in the My Aged Care Assessor Portal using the ‘Request Changes to care approval decisions’ button. Additional information that does not fit in the free text field should be forwarded to the department for consideration, via email at the following address: </w:t>
      </w:r>
      <w:hyperlink r:id="rId271" w:history="1">
        <w:r w:rsidRPr="000F6CD1">
          <w:rPr>
            <w:rStyle w:val="Hyperlink"/>
          </w:rPr>
          <w:t>reviewable.decisions@health.gov.au</w:t>
        </w:r>
      </w:hyperlink>
      <w:r w:rsidRPr="000F6CD1">
        <w:t xml:space="preserve"> </w:t>
      </w:r>
    </w:p>
    <w:p w14:paraId="3EE8681A" w14:textId="60113B25" w:rsidR="00B4017B" w:rsidRPr="000F6CD1" w:rsidRDefault="00B4017B" w:rsidP="00622CFF">
      <w:pPr>
        <w:spacing w:before="240" w:after="240" w:line="240" w:lineRule="auto"/>
      </w:pPr>
      <w:r w:rsidRPr="000F6CD1">
        <w:t>The reason for the correction must be recorded when lodging the request. For example, “</w:t>
      </w:r>
      <w:r w:rsidRPr="000F6CD1">
        <w:rPr>
          <w:i/>
          <w:iCs/>
        </w:rPr>
        <w:t>Ongoing residential care omitted from online approval process, evidence of an ongoing residential care recommendation in Support Plan</w:t>
      </w:r>
      <w:r w:rsidR="00F31E81" w:rsidRPr="000F6CD1">
        <w:t>.”</w:t>
      </w:r>
      <w:r w:rsidRPr="000F6CD1">
        <w:t xml:space="preserve"> For the department to agree to the correction, the assessment delegate’s intention (as at the time the decision was made) should be clearly evident though assessment documentation and/or other supporting documents on My Aged Care.</w:t>
      </w:r>
    </w:p>
    <w:p w14:paraId="74EE72AD" w14:textId="77777777" w:rsidR="00B4017B" w:rsidRPr="000F6CD1" w:rsidRDefault="00B4017B" w:rsidP="00622CFF">
      <w:pPr>
        <w:spacing w:before="240" w:after="240" w:line="240" w:lineRule="auto"/>
      </w:pPr>
      <w:r w:rsidRPr="000F6CD1">
        <w:t>If the assessment information is not consistent with the correction request, the department will reject the request. In instances where a client’s needs change after the original decision, a reassessment should be undertaken.</w:t>
      </w:r>
    </w:p>
    <w:p w14:paraId="7AB250C1" w14:textId="77777777" w:rsidR="00B4017B" w:rsidRPr="000F6CD1" w:rsidRDefault="00B4017B" w:rsidP="00622CFF">
      <w:pPr>
        <w:spacing w:before="240" w:after="240" w:line="240" w:lineRule="auto"/>
      </w:pPr>
      <w:r w:rsidRPr="000F6CD1">
        <w:t>In situations where the Assessment Delegate has reconsidered their decision and changed their mind after recording the approval (based on additional information they have received), a correction request is not appropriate, and a reassessment is required. Any correction requests received by the department for this reason will be rejected.</w:t>
      </w:r>
    </w:p>
    <w:p w14:paraId="25D0EA56" w14:textId="77777777" w:rsidR="00B4017B" w:rsidRPr="000F6CD1" w:rsidRDefault="00B4017B" w:rsidP="00622CFF">
      <w:pPr>
        <w:spacing w:before="240" w:after="240" w:line="240" w:lineRule="auto"/>
      </w:pPr>
      <w:r w:rsidRPr="000F6CD1">
        <w:t>A correction cannot be requested where service referrals have been issued for services. Where a correction is required for an assessment and service referrals have been issued, the assessment organisation must recall all services in an ‘issued’ state before they can request a correction.</w:t>
      </w:r>
    </w:p>
    <w:p w14:paraId="5ABAA036" w14:textId="6CADCC89" w:rsidR="00B4017B" w:rsidRPr="000F6CD1" w:rsidRDefault="00B4017B" w:rsidP="00622CFF">
      <w:pPr>
        <w:spacing w:before="240" w:after="240" w:line="240" w:lineRule="auto"/>
      </w:pPr>
      <w:r w:rsidRPr="000F6CD1">
        <w:lastRenderedPageBreak/>
        <w:t xml:space="preserve">If it is identified a correction is required after a service referral has been accepted or services have commenced, the correction should be escalated to the department via email at the following </w:t>
      </w:r>
      <w:r w:rsidR="00382D36" w:rsidRPr="000F6CD1">
        <w:t>address:</w:t>
      </w:r>
      <w:r w:rsidRPr="000F6CD1">
        <w:t xml:space="preserve"> </w:t>
      </w:r>
      <w:hyperlink r:id="rId272" w:history="1">
        <w:r w:rsidRPr="000F6CD1">
          <w:rPr>
            <w:rStyle w:val="Hyperlink"/>
          </w:rPr>
          <w:t>reviewable.decisions@health.gov.au</w:t>
        </w:r>
      </w:hyperlink>
      <w:r w:rsidRPr="000F6CD1">
        <w:t xml:space="preserve"> </w:t>
      </w:r>
    </w:p>
    <w:p w14:paraId="44A10F95" w14:textId="77777777" w:rsidR="00B4017B" w:rsidRPr="000F6CD1" w:rsidRDefault="00B4017B" w:rsidP="006647CE">
      <w:pPr>
        <w:pStyle w:val="h2"/>
      </w:pPr>
      <w:bookmarkStart w:id="959" w:name="_Toc204329604"/>
      <w:bookmarkStart w:id="960" w:name="_Toc209189049"/>
      <w:bookmarkStart w:id="961" w:name="_Toc233282503"/>
      <w:r w:rsidRPr="000F6CD1">
        <w:t>Complaints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71DFAA68" w14:textId="77777777" w:rsidR="00B4017B" w:rsidRPr="000F6CD1" w:rsidRDefault="00B4017B" w:rsidP="00622CFF">
      <w:pPr>
        <w:spacing w:before="240" w:after="240" w:line="240" w:lineRule="auto"/>
      </w:pPr>
      <w:r w:rsidRPr="000F6CD1">
        <w:t xml:space="preserve">Older people (and/or their carer/advocate/registered supporters) have the right to raise their concerns about the information, service or care they have received from My Aged Care, their assessor or service provider. </w:t>
      </w:r>
    </w:p>
    <w:p w14:paraId="2C994B79" w14:textId="77777777" w:rsidR="00B4017B" w:rsidRPr="000F6CD1" w:rsidRDefault="00B4017B" w:rsidP="00622CFF">
      <w:pPr>
        <w:spacing w:before="240" w:after="240" w:line="240" w:lineRule="auto"/>
      </w:pPr>
      <w:r w:rsidRPr="000F6CD1">
        <w:t>There are different ways to make a complaint depending on the part of My Aged Care that the concern relates to, such as:</w:t>
      </w:r>
    </w:p>
    <w:p w14:paraId="0FF125D2" w14:textId="77777777" w:rsidR="00B4017B" w:rsidRPr="000F6CD1" w:rsidRDefault="00B4017B">
      <w:pPr>
        <w:pStyle w:val="ListParagraph"/>
        <w:numPr>
          <w:ilvl w:val="0"/>
          <w:numId w:val="347"/>
        </w:numPr>
        <w:spacing w:before="120" w:after="120" w:line="240" w:lineRule="auto"/>
        <w:ind w:left="567" w:hanging="284"/>
        <w:contextualSpacing w:val="0"/>
      </w:pPr>
      <w:r w:rsidRPr="000F6CD1">
        <w:t>the My Aged Care Contact Centre</w:t>
      </w:r>
    </w:p>
    <w:p w14:paraId="314499FE" w14:textId="77777777" w:rsidR="00B4017B" w:rsidRPr="000F6CD1" w:rsidRDefault="00B4017B">
      <w:pPr>
        <w:pStyle w:val="ListParagraph"/>
        <w:numPr>
          <w:ilvl w:val="0"/>
          <w:numId w:val="347"/>
        </w:numPr>
        <w:spacing w:before="120" w:after="120" w:line="240" w:lineRule="auto"/>
        <w:ind w:left="567" w:hanging="283"/>
        <w:contextualSpacing w:val="0"/>
      </w:pPr>
      <w:r w:rsidRPr="000F6CD1">
        <w:t xml:space="preserve">aged care assessment with an assessor </w:t>
      </w:r>
    </w:p>
    <w:p w14:paraId="2FD481A9" w14:textId="77777777" w:rsidR="00B4017B" w:rsidRPr="000F6CD1" w:rsidRDefault="00B4017B">
      <w:pPr>
        <w:pStyle w:val="ListParagraph"/>
        <w:numPr>
          <w:ilvl w:val="0"/>
          <w:numId w:val="347"/>
        </w:numPr>
        <w:spacing w:before="120" w:after="120" w:line="240" w:lineRule="auto"/>
        <w:ind w:left="567" w:hanging="283"/>
        <w:contextualSpacing w:val="0"/>
      </w:pPr>
      <w:r w:rsidRPr="000F6CD1">
        <w:t>the outcome of an aged care assessment</w:t>
      </w:r>
    </w:p>
    <w:p w14:paraId="067F08D0" w14:textId="77777777" w:rsidR="00B4017B" w:rsidRPr="000F6CD1" w:rsidRDefault="00B4017B">
      <w:pPr>
        <w:pStyle w:val="ListParagraph"/>
        <w:numPr>
          <w:ilvl w:val="0"/>
          <w:numId w:val="347"/>
        </w:numPr>
        <w:spacing w:before="120" w:after="120" w:line="240" w:lineRule="auto"/>
        <w:ind w:left="567" w:hanging="283"/>
        <w:contextualSpacing w:val="0"/>
      </w:pPr>
      <w:r w:rsidRPr="000F6CD1">
        <w:t xml:space="preserve">the care and services received from a service provider; or </w:t>
      </w:r>
    </w:p>
    <w:p w14:paraId="5281D3ED" w14:textId="77777777" w:rsidR="00B4017B" w:rsidRPr="000F6CD1" w:rsidRDefault="00B4017B">
      <w:pPr>
        <w:pStyle w:val="ListParagraph"/>
        <w:numPr>
          <w:ilvl w:val="0"/>
          <w:numId w:val="347"/>
        </w:numPr>
        <w:spacing w:before="120" w:after="120" w:line="240" w:lineRule="auto"/>
        <w:ind w:left="568" w:hanging="284"/>
        <w:contextualSpacing w:val="0"/>
      </w:pPr>
      <w:r w:rsidRPr="000F6CD1">
        <w:t>the conduct of a registered supporter.</w:t>
      </w:r>
    </w:p>
    <w:p w14:paraId="59AC060F" w14:textId="77777777" w:rsidR="00B4017B" w:rsidRPr="000F6CD1" w:rsidRDefault="00B4017B" w:rsidP="00AD2CE5">
      <w:pPr>
        <w:pStyle w:val="H3"/>
      </w:pPr>
      <w:bookmarkStart w:id="962" w:name="_Toc496022853"/>
      <w:bookmarkStart w:id="963" w:name="_Toc159226966"/>
      <w:bookmarkStart w:id="964" w:name="_Toc184402383"/>
      <w:bookmarkStart w:id="965" w:name="_Toc204329605"/>
      <w:r w:rsidRPr="000F6CD1">
        <w:t>Concerns about My Aged Care</w:t>
      </w:r>
      <w:bookmarkEnd w:id="962"/>
      <w:bookmarkEnd w:id="963"/>
      <w:bookmarkEnd w:id="964"/>
      <w:bookmarkEnd w:id="965"/>
    </w:p>
    <w:p w14:paraId="37715AEC" w14:textId="77777777" w:rsidR="00B4017B" w:rsidRPr="000F6CD1" w:rsidRDefault="00B4017B" w:rsidP="00622CFF">
      <w:pPr>
        <w:spacing w:before="240" w:after="240" w:line="240" w:lineRule="auto"/>
      </w:pPr>
      <w:r w:rsidRPr="000F6CD1">
        <w:t xml:space="preserve">An older person or registered supporter should discuss their concerns about the service or information they receive from My Aged Care with the contact centre in the first instance. </w:t>
      </w:r>
    </w:p>
    <w:p w14:paraId="12B9D1AD" w14:textId="77777777" w:rsidR="00B4017B" w:rsidRPr="000F6CD1" w:rsidRDefault="00B4017B" w:rsidP="00622CFF">
      <w:pPr>
        <w:spacing w:before="240" w:after="240" w:line="240" w:lineRule="auto"/>
      </w:pPr>
      <w:r w:rsidRPr="000F6CD1">
        <w:t xml:space="preserve">If they are unable to resolve the issue, My Aged Care will provide a reference number to track the progress of the complaint. A person can make a complaint by: </w:t>
      </w:r>
    </w:p>
    <w:p w14:paraId="7DAD8753" w14:textId="77777777" w:rsidR="00B4017B" w:rsidRPr="000F6CD1" w:rsidRDefault="00B4017B" w:rsidP="00622CFF">
      <w:pPr>
        <w:spacing w:before="240" w:after="240" w:line="240" w:lineRule="auto"/>
      </w:pPr>
      <w:r w:rsidRPr="000F6CD1">
        <w:t>Calling My Aged Care on 1800 200 422.</w:t>
      </w:r>
    </w:p>
    <w:p w14:paraId="052D852D" w14:textId="77777777" w:rsidR="00B4017B" w:rsidRPr="000F6CD1" w:rsidRDefault="00B4017B" w:rsidP="00622CFF">
      <w:pPr>
        <w:spacing w:before="240" w:after="240" w:line="240" w:lineRule="auto"/>
      </w:pPr>
      <w:r w:rsidRPr="000F6CD1">
        <w:t>Posting their complaint to:</w:t>
      </w:r>
    </w:p>
    <w:p w14:paraId="3E5AB2F0" w14:textId="77777777" w:rsidR="00B4017B" w:rsidRPr="000F6CD1" w:rsidRDefault="00B4017B" w:rsidP="00622CFF">
      <w:pPr>
        <w:spacing w:before="240" w:after="240" w:line="240" w:lineRule="auto"/>
        <w:ind w:left="426"/>
      </w:pPr>
      <w:r w:rsidRPr="000F6CD1">
        <w:t>My Aged Care Complaints</w:t>
      </w:r>
      <w:r w:rsidRPr="000F6CD1">
        <w:br/>
        <w:t xml:space="preserve">PO Box 1237 </w:t>
      </w:r>
      <w:r w:rsidRPr="000F6CD1">
        <w:br/>
        <w:t>Runaway Bay QLD 4216</w:t>
      </w:r>
    </w:p>
    <w:p w14:paraId="388F85BE" w14:textId="77777777" w:rsidR="00B4017B" w:rsidRPr="000F6CD1" w:rsidRDefault="00B4017B" w:rsidP="00622CFF">
      <w:pPr>
        <w:spacing w:before="240" w:after="240" w:line="240" w:lineRule="auto"/>
      </w:pPr>
      <w:r w:rsidRPr="000F6CD1">
        <w:t>An assessor can make a complaint or escalate an issue about contact centre services by calling the My Aged Care Service Provider and Assessor Helpline on 1800 836 799.</w:t>
      </w:r>
    </w:p>
    <w:p w14:paraId="750A9AB8" w14:textId="77777777" w:rsidR="00B4017B" w:rsidRPr="000F6CD1" w:rsidRDefault="00B4017B" w:rsidP="00622CFF">
      <w:pPr>
        <w:spacing w:before="240" w:after="240" w:line="240" w:lineRule="auto"/>
        <w:ind w:right="-612"/>
      </w:pPr>
      <w:r w:rsidRPr="000F6CD1">
        <w:t xml:space="preserve">If an older person, assessor or provider is not satisfied with the response received, they can take further action by sending an email with the detail of their complaint, and their My Aged Care reference number to: </w:t>
      </w:r>
      <w:hyperlink r:id="rId273" w:history="1">
        <w:r w:rsidRPr="000F6CD1">
          <w:rPr>
            <w:rStyle w:val="Hyperlink"/>
          </w:rPr>
          <w:t>myagedcaresupport@health.gov.au</w:t>
        </w:r>
      </w:hyperlink>
    </w:p>
    <w:p w14:paraId="32DE76BC" w14:textId="77777777" w:rsidR="00B4017B" w:rsidRPr="000F6CD1" w:rsidRDefault="00B4017B" w:rsidP="00AD2CE5">
      <w:pPr>
        <w:pStyle w:val="H3"/>
      </w:pPr>
      <w:bookmarkStart w:id="966" w:name="_Toc184402384"/>
      <w:bookmarkStart w:id="967" w:name="_Toc204329606"/>
      <w:bookmarkStart w:id="968" w:name="_Toc496022854"/>
      <w:bookmarkStart w:id="969" w:name="_Toc159226967"/>
      <w:r w:rsidRPr="000F6CD1">
        <w:t>Concerns about the assessment</w:t>
      </w:r>
      <w:bookmarkEnd w:id="966"/>
      <w:bookmarkEnd w:id="967"/>
      <w:r w:rsidRPr="000F6CD1">
        <w:t xml:space="preserve"> </w:t>
      </w:r>
      <w:bookmarkEnd w:id="968"/>
      <w:bookmarkEnd w:id="969"/>
    </w:p>
    <w:p w14:paraId="1B7DE7BC" w14:textId="77777777" w:rsidR="00B4017B" w:rsidRPr="000F6CD1" w:rsidRDefault="00B4017B" w:rsidP="00622CFF">
      <w:pPr>
        <w:spacing w:before="240" w:after="240" w:line="240" w:lineRule="auto"/>
      </w:pPr>
      <w:r w:rsidRPr="000F6CD1">
        <w:t xml:space="preserve">Assessment organisations are required to have a complaints procedure in place. </w:t>
      </w:r>
    </w:p>
    <w:p w14:paraId="482FDE2E" w14:textId="77777777" w:rsidR="00B4017B" w:rsidRPr="000F6CD1" w:rsidRDefault="00B4017B" w:rsidP="00622CFF">
      <w:pPr>
        <w:spacing w:before="240" w:after="240" w:line="240" w:lineRule="auto"/>
      </w:pPr>
      <w:r w:rsidRPr="000F6CD1">
        <w:t xml:space="preserve">If a person has concerns about their assessment, they are advised to contact the assessor or their assessment organisation in the first instance. </w:t>
      </w:r>
    </w:p>
    <w:p w14:paraId="6F6B5E1B" w14:textId="77777777" w:rsidR="00B4017B" w:rsidRPr="000F6CD1" w:rsidRDefault="00B4017B" w:rsidP="00622CFF">
      <w:pPr>
        <w:spacing w:before="240" w:after="240" w:line="240" w:lineRule="auto"/>
      </w:pPr>
      <w:r w:rsidRPr="000F6CD1">
        <w:t>If the department receives a complaint through My Aged Care, it will be referred to the relevant assessment organisation for investigation and/or resolution. The assessment organisation will report back to the department on the outcome.</w:t>
      </w:r>
    </w:p>
    <w:p w14:paraId="05061205" w14:textId="77777777" w:rsidR="00B4017B" w:rsidRPr="000F6CD1" w:rsidRDefault="00B4017B" w:rsidP="00622CFF">
      <w:pPr>
        <w:spacing w:before="240" w:after="240" w:line="240" w:lineRule="auto"/>
      </w:pPr>
      <w:r w:rsidRPr="000F6CD1">
        <w:lastRenderedPageBreak/>
        <w:t>If the person cannot first resolve the issue with their assessor or their organisation, they are advised to call My Aged Care for assistance on 1800 200 422. Complaints relating to assessment organisations are escalated to the department for investigation.</w:t>
      </w:r>
    </w:p>
    <w:tbl>
      <w:tblPr>
        <w:tblW w:w="0" w:type="auto"/>
        <w:tblLook w:val="04A0" w:firstRow="1" w:lastRow="0" w:firstColumn="1" w:lastColumn="0" w:noHBand="0" w:noVBand="1"/>
      </w:tblPr>
      <w:tblGrid>
        <w:gridCol w:w="921"/>
        <w:gridCol w:w="8105"/>
      </w:tblGrid>
      <w:tr w:rsidR="00B4017B" w:rsidRPr="000F6CD1" w14:paraId="341B1D96" w14:textId="77777777">
        <w:trPr>
          <w:trHeight w:val="677"/>
        </w:trPr>
        <w:tc>
          <w:tcPr>
            <w:tcW w:w="921" w:type="dxa"/>
          </w:tcPr>
          <w:p w14:paraId="54EE05FC" w14:textId="77777777" w:rsidR="00B4017B" w:rsidRPr="000F6CD1" w:rsidRDefault="00B4017B" w:rsidP="00622CFF">
            <w:pPr>
              <w:spacing w:before="240" w:after="240" w:line="240" w:lineRule="auto"/>
            </w:pPr>
            <w:r w:rsidRPr="000F6CD1">
              <w:rPr>
                <w:noProof/>
              </w:rPr>
              <w:drawing>
                <wp:inline distT="0" distB="0" distL="0" distR="0" wp14:anchorId="222EEDD3" wp14:editId="1400991A">
                  <wp:extent cx="447675" cy="445208"/>
                  <wp:effectExtent l="0" t="0" r="0" b="0"/>
                  <wp:docPr id="2142622027" name="Picture 2142622027"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22027" name="Picture 2142622027"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4A6868EA" w14:textId="23CE97FD" w:rsidR="00B4017B" w:rsidRPr="000F6CD1" w:rsidRDefault="00B4017B" w:rsidP="00622CFF">
            <w:pPr>
              <w:spacing w:before="240" w:after="240" w:line="240" w:lineRule="auto"/>
              <w:rPr>
                <w:rStyle w:val="Hyperlink"/>
              </w:rPr>
            </w:pPr>
            <w:hyperlink r:id="rId274" w:history="1">
              <w:r w:rsidRPr="000F6CD1">
                <w:rPr>
                  <w:rStyle w:val="Hyperlink"/>
                </w:rPr>
                <w:t>My Aged Care Complaints</w:t>
              </w:r>
            </w:hyperlink>
            <w:r w:rsidRPr="000F6CD1">
              <w:rPr>
                <w:rStyle w:val="Hyperlink"/>
                <w:kern w:val="28"/>
              </w:rPr>
              <w:t xml:space="preserve">  </w:t>
            </w:r>
          </w:p>
          <w:p w14:paraId="228DC714" w14:textId="4900F9D7" w:rsidR="00B4017B" w:rsidRPr="000F6CD1" w:rsidRDefault="00010F3A" w:rsidP="00622CFF">
            <w:pPr>
              <w:spacing w:before="240" w:after="240" w:line="240" w:lineRule="auto"/>
            </w:pPr>
            <w:hyperlink r:id="rId275">
              <w:r>
                <w:rPr>
                  <w:rStyle w:val="Hyperlink"/>
                </w:rPr>
                <w:t>My Aged Care Quality in Aged Care</w:t>
              </w:r>
            </w:hyperlink>
          </w:p>
        </w:tc>
      </w:tr>
    </w:tbl>
    <w:p w14:paraId="0F4ADCBC" w14:textId="77777777" w:rsidR="00B4017B" w:rsidRPr="000F6CD1" w:rsidRDefault="00B4017B" w:rsidP="00AD2CE5">
      <w:pPr>
        <w:pStyle w:val="H3"/>
      </w:pPr>
      <w:bookmarkStart w:id="970" w:name="_Toc178942734"/>
      <w:bookmarkStart w:id="971" w:name="_Toc178946410"/>
      <w:bookmarkStart w:id="972" w:name="_Toc180396763"/>
      <w:bookmarkStart w:id="973" w:name="_Toc180396978"/>
      <w:bookmarkStart w:id="974" w:name="_Toc180418251"/>
      <w:bookmarkStart w:id="975" w:name="_Toc178942735"/>
      <w:bookmarkStart w:id="976" w:name="_Toc178946411"/>
      <w:bookmarkStart w:id="977" w:name="_Toc180396764"/>
      <w:bookmarkStart w:id="978" w:name="_Toc180396979"/>
      <w:bookmarkStart w:id="979" w:name="_Toc180418252"/>
      <w:bookmarkStart w:id="980" w:name="_Toc178942736"/>
      <w:bookmarkStart w:id="981" w:name="_Toc178946412"/>
      <w:bookmarkStart w:id="982" w:name="_Toc180396765"/>
      <w:bookmarkStart w:id="983" w:name="_Toc180396980"/>
      <w:bookmarkStart w:id="984" w:name="_Toc180418253"/>
      <w:bookmarkStart w:id="985" w:name="_Toc178942737"/>
      <w:bookmarkStart w:id="986" w:name="_Toc178946413"/>
      <w:bookmarkStart w:id="987" w:name="_Toc180396766"/>
      <w:bookmarkStart w:id="988" w:name="_Toc180396981"/>
      <w:bookmarkStart w:id="989" w:name="_Toc180418254"/>
      <w:bookmarkStart w:id="990" w:name="_Toc178942738"/>
      <w:bookmarkStart w:id="991" w:name="_Toc178946414"/>
      <w:bookmarkStart w:id="992" w:name="_Toc180396767"/>
      <w:bookmarkStart w:id="993" w:name="_Toc180396982"/>
      <w:bookmarkStart w:id="994" w:name="_Toc180418255"/>
      <w:bookmarkStart w:id="995" w:name="_Toc496022857"/>
      <w:bookmarkStart w:id="996" w:name="_Toc159226969"/>
      <w:bookmarkStart w:id="997" w:name="_Toc184402385"/>
      <w:bookmarkStart w:id="998" w:name="_Toc204329607"/>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sidRPr="000F6CD1">
        <w:t>Complaints about an aged care provider</w:t>
      </w:r>
      <w:bookmarkEnd w:id="995"/>
      <w:bookmarkEnd w:id="996"/>
      <w:bookmarkEnd w:id="997"/>
      <w:bookmarkEnd w:id="998"/>
    </w:p>
    <w:p w14:paraId="4602D896" w14:textId="6A7C3611" w:rsidR="00B4017B" w:rsidRPr="000F6CD1" w:rsidRDefault="00B4017B" w:rsidP="00622CFF">
      <w:pPr>
        <w:tabs>
          <w:tab w:val="left" w:pos="567"/>
        </w:tabs>
        <w:spacing w:before="240" w:after="240" w:line="240" w:lineRule="auto"/>
      </w:pPr>
      <w:r w:rsidRPr="000F6CD1">
        <w:t xml:space="preserve">If an older person (and/or their carer/advocate/registered supporter/appointed decision maker) is unhappy with any aspect of the care or services being received through an aged care </w:t>
      </w:r>
      <w:r w:rsidR="00382D36" w:rsidRPr="000F6CD1">
        <w:t>provider,</w:t>
      </w:r>
      <w:r w:rsidRPr="000F6CD1">
        <w:t xml:space="preserve"> they can:</w:t>
      </w:r>
    </w:p>
    <w:p w14:paraId="763BC67C" w14:textId="77777777" w:rsidR="00B4017B" w:rsidRPr="000F6CD1" w:rsidRDefault="00B4017B">
      <w:pPr>
        <w:numPr>
          <w:ilvl w:val="0"/>
          <w:numId w:val="346"/>
        </w:numPr>
        <w:spacing w:before="120" w:after="120" w:line="240" w:lineRule="auto"/>
        <w:ind w:left="568" w:hanging="284"/>
      </w:pPr>
      <w:r w:rsidRPr="000F6CD1">
        <w:t>Speak to their service provider about their concerns</w:t>
      </w:r>
    </w:p>
    <w:p w14:paraId="6E3A74A3" w14:textId="77777777" w:rsidR="00B4017B" w:rsidRPr="000F6CD1" w:rsidRDefault="00B4017B">
      <w:pPr>
        <w:numPr>
          <w:ilvl w:val="0"/>
          <w:numId w:val="346"/>
        </w:numPr>
        <w:spacing w:before="120" w:after="120" w:line="240" w:lineRule="auto"/>
        <w:ind w:left="568" w:hanging="284"/>
      </w:pPr>
      <w:r w:rsidRPr="000F6CD1">
        <w:t>make a complaint to the Aged Care Quality and Safety Commission (ACQSC):</w:t>
      </w:r>
    </w:p>
    <w:p w14:paraId="53997924" w14:textId="77777777" w:rsidR="00B4017B" w:rsidRPr="000F6CD1" w:rsidRDefault="00B4017B">
      <w:pPr>
        <w:numPr>
          <w:ilvl w:val="1"/>
          <w:numId w:val="346"/>
        </w:numPr>
        <w:spacing w:before="120" w:after="120" w:line="240" w:lineRule="auto"/>
        <w:ind w:left="1276"/>
      </w:pPr>
      <w:r w:rsidRPr="000F6CD1">
        <w:t xml:space="preserve">By calling 1800 951 822 </w:t>
      </w:r>
    </w:p>
    <w:p w14:paraId="41C93185" w14:textId="77777777" w:rsidR="00B4017B" w:rsidRPr="000F6CD1" w:rsidRDefault="00B4017B">
      <w:pPr>
        <w:numPr>
          <w:ilvl w:val="1"/>
          <w:numId w:val="346"/>
        </w:numPr>
        <w:spacing w:before="120" w:after="120" w:line="240" w:lineRule="auto"/>
        <w:ind w:left="1276"/>
      </w:pPr>
      <w:r w:rsidRPr="000F6CD1">
        <w:t xml:space="preserve">By completing an </w:t>
      </w:r>
      <w:hyperlink r:id="rId276" w:history="1">
        <w:r w:rsidRPr="000F6CD1">
          <w:rPr>
            <w:rStyle w:val="Hyperlink"/>
          </w:rPr>
          <w:t>online form on the commission’s website</w:t>
        </w:r>
      </w:hyperlink>
    </w:p>
    <w:p w14:paraId="5E7D942E" w14:textId="77777777" w:rsidR="00B4017B" w:rsidRPr="000F6CD1" w:rsidRDefault="00B4017B">
      <w:pPr>
        <w:numPr>
          <w:ilvl w:val="1"/>
          <w:numId w:val="346"/>
        </w:numPr>
        <w:spacing w:before="120" w:after="120" w:line="240" w:lineRule="auto"/>
        <w:ind w:left="1276"/>
      </w:pPr>
      <w:r w:rsidRPr="000F6CD1">
        <w:t>In writing to:</w:t>
      </w:r>
    </w:p>
    <w:p w14:paraId="12AA92E3" w14:textId="77777777" w:rsidR="00B4017B" w:rsidRPr="000F6CD1" w:rsidRDefault="00B4017B" w:rsidP="00D74FD8">
      <w:pPr>
        <w:pStyle w:val="ListParagraph"/>
        <w:tabs>
          <w:tab w:val="left" w:pos="567"/>
        </w:tabs>
        <w:spacing w:before="120" w:after="120" w:line="240" w:lineRule="auto"/>
        <w:ind w:left="1800"/>
      </w:pPr>
      <w:r w:rsidRPr="000F6CD1">
        <w:t>Aged Care Quality and Safety Commission</w:t>
      </w:r>
    </w:p>
    <w:p w14:paraId="34D1D0B4" w14:textId="77777777" w:rsidR="00B4017B" w:rsidRPr="000F6CD1" w:rsidRDefault="00B4017B" w:rsidP="00D74FD8">
      <w:pPr>
        <w:pStyle w:val="ListParagraph"/>
        <w:tabs>
          <w:tab w:val="left" w:pos="567"/>
        </w:tabs>
        <w:spacing w:before="120" w:after="120" w:line="240" w:lineRule="auto"/>
        <w:ind w:left="1800"/>
      </w:pPr>
      <w:r w:rsidRPr="000F6CD1">
        <w:t xml:space="preserve">GPO Box 9819, in your capital city </w:t>
      </w:r>
    </w:p>
    <w:p w14:paraId="704052BE" w14:textId="77777777" w:rsidR="00B4017B" w:rsidRPr="000F6CD1" w:rsidRDefault="00B4017B" w:rsidP="00622CFF">
      <w:pPr>
        <w:spacing w:before="240" w:after="240" w:line="240" w:lineRule="auto"/>
      </w:pPr>
      <w:r w:rsidRPr="000F6CD1">
        <w:t xml:space="preserve">An assessor can also make a complaint with the ACQSC if they have concerns about an aged care provider. </w:t>
      </w:r>
    </w:p>
    <w:p w14:paraId="6EB33C8E" w14:textId="77777777" w:rsidR="00B4017B" w:rsidRPr="000F6CD1" w:rsidRDefault="00B4017B" w:rsidP="00622CFF">
      <w:pPr>
        <w:spacing w:before="240" w:after="240" w:line="240" w:lineRule="auto"/>
      </w:pPr>
      <w:r w:rsidRPr="000F6CD1">
        <w:t>In addition to the above, complaints about care received from Multi-Purpose Service Program (MPSP) providers or Transition Care Program providers can be referred to the relevant state and territory health department complaints bodies.</w:t>
      </w:r>
    </w:p>
    <w:p w14:paraId="6D270566" w14:textId="77777777" w:rsidR="00B4017B" w:rsidRPr="000F6CD1" w:rsidRDefault="00B4017B" w:rsidP="00622CFF">
      <w:pPr>
        <w:spacing w:before="240" w:after="240" w:line="240" w:lineRule="auto"/>
      </w:pPr>
      <w:r w:rsidRPr="000F6CD1">
        <w:t xml:space="preserve">MPSP providers also have an obligation, under their MPSP agreement with the Commonwealth, to ensure their respective state or territory is advised when complaints have been made by an individual about the aged care or health services being delivered. </w:t>
      </w:r>
    </w:p>
    <w:tbl>
      <w:tblPr>
        <w:tblW w:w="0" w:type="auto"/>
        <w:tblLook w:val="04A0" w:firstRow="1" w:lastRow="0" w:firstColumn="1" w:lastColumn="0" w:noHBand="0" w:noVBand="1"/>
      </w:tblPr>
      <w:tblGrid>
        <w:gridCol w:w="921"/>
        <w:gridCol w:w="8105"/>
      </w:tblGrid>
      <w:tr w:rsidR="00B4017B" w:rsidRPr="000F6CD1" w14:paraId="3D62EFDC" w14:textId="77777777">
        <w:trPr>
          <w:trHeight w:val="677"/>
        </w:trPr>
        <w:tc>
          <w:tcPr>
            <w:tcW w:w="921" w:type="dxa"/>
          </w:tcPr>
          <w:p w14:paraId="0D0716F7" w14:textId="77777777" w:rsidR="00B4017B" w:rsidRPr="000F6CD1" w:rsidRDefault="00B4017B" w:rsidP="00622CFF">
            <w:pPr>
              <w:spacing w:before="240" w:after="240" w:line="240" w:lineRule="auto"/>
            </w:pPr>
            <w:r w:rsidRPr="000F6CD1">
              <w:rPr>
                <w:noProof/>
              </w:rPr>
              <w:drawing>
                <wp:inline distT="0" distB="0" distL="0" distR="0" wp14:anchorId="6258A6E9" wp14:editId="4C452271">
                  <wp:extent cx="447675" cy="445208"/>
                  <wp:effectExtent l="0" t="0" r="0" b="0"/>
                  <wp:docPr id="1145004896" name="Picture 1145004896"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04896" name="Picture 1145004896"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6408AD69" w14:textId="77777777" w:rsidR="00B4017B" w:rsidRPr="000F6CD1" w:rsidRDefault="00B4017B" w:rsidP="00622CFF">
            <w:pPr>
              <w:spacing w:before="240" w:after="240" w:line="240" w:lineRule="auto"/>
              <w:rPr>
                <w:b/>
              </w:rPr>
            </w:pPr>
            <w:r w:rsidRPr="000F6CD1">
              <w:t xml:space="preserve">ACQSC: </w:t>
            </w:r>
            <w:hyperlink r:id="rId277">
              <w:r w:rsidRPr="000F6CD1">
                <w:rPr>
                  <w:rStyle w:val="Hyperlink"/>
                </w:rPr>
                <w:t>Aged Care Service Provider Complaints</w:t>
              </w:r>
            </w:hyperlink>
            <w:r w:rsidRPr="000F6CD1">
              <w:t xml:space="preserve"> </w:t>
            </w:r>
          </w:p>
          <w:p w14:paraId="3BF19160" w14:textId="77777777" w:rsidR="00B4017B" w:rsidRPr="000F6CD1" w:rsidRDefault="00B4017B" w:rsidP="00622CFF">
            <w:pPr>
              <w:spacing w:before="240" w:after="240" w:line="240" w:lineRule="auto"/>
              <w:rPr>
                <w:b/>
              </w:rPr>
            </w:pPr>
            <w:r w:rsidRPr="000F6CD1">
              <w:t xml:space="preserve">ACQSC: </w:t>
            </w:r>
            <w:hyperlink r:id="rId278">
              <w:r w:rsidRPr="000F6CD1">
                <w:rPr>
                  <w:rStyle w:val="Hyperlink"/>
                </w:rPr>
                <w:t>Lodge a Complaint</w:t>
              </w:r>
            </w:hyperlink>
          </w:p>
        </w:tc>
      </w:tr>
    </w:tbl>
    <w:p w14:paraId="1798988D" w14:textId="77777777" w:rsidR="00B4017B" w:rsidRPr="000F6CD1" w:rsidRDefault="00B4017B" w:rsidP="00AD2CE5">
      <w:pPr>
        <w:pStyle w:val="H3"/>
      </w:pPr>
      <w:bookmarkStart w:id="999" w:name="_Toc204329608"/>
      <w:r w:rsidRPr="000F6CD1">
        <w:t xml:space="preserve">Complaints and concerns about registered supporters </w:t>
      </w:r>
      <w:bookmarkEnd w:id="999"/>
    </w:p>
    <w:p w14:paraId="54211397" w14:textId="77777777" w:rsidR="00851E1C" w:rsidRDefault="00B4017B" w:rsidP="00622CFF">
      <w:pPr>
        <w:spacing w:before="240" w:after="240" w:line="240" w:lineRule="auto"/>
      </w:pPr>
      <w:r w:rsidRPr="000F6CD1">
        <w:t>Any person or organisation can raise a complaint or concern with the System Governor relating to a registered supporter’s conduct, including alleged non-compliance with the duties of a registered supporter. The System Governor can suspend and/or cancel the registration of a supporter. This may occur at the request of an older person or registered supporter, or at the initiative of the System Governor.</w:t>
      </w:r>
    </w:p>
    <w:p w14:paraId="37EFA135" w14:textId="440E0B57" w:rsidR="00B4017B" w:rsidRPr="000F6CD1" w:rsidRDefault="00851E1C" w:rsidP="00851E1C">
      <w:r>
        <w:br w:type="page"/>
      </w:r>
    </w:p>
    <w:p w14:paraId="13F974CE" w14:textId="77777777" w:rsidR="00B4017B" w:rsidRPr="000F6CD1" w:rsidRDefault="00B4017B" w:rsidP="00622CFF">
      <w:pPr>
        <w:spacing w:before="240" w:after="240" w:line="240" w:lineRule="auto"/>
      </w:pPr>
      <w:r w:rsidRPr="000F6CD1">
        <w:lastRenderedPageBreak/>
        <w:t>Complaints or concerns can be raised by anyone. This includes an older person, their other registered supporters, appointed decision makers, aged care providers or workers, medical or allied health practitioners, advocates or any other person who is concerned for the welfare or treatment of themselves or the older person.</w:t>
      </w:r>
    </w:p>
    <w:p w14:paraId="6402BA5B" w14:textId="77777777" w:rsidR="00B4017B" w:rsidRPr="000F6CD1" w:rsidRDefault="00B4017B" w:rsidP="00622CFF">
      <w:pPr>
        <w:spacing w:before="240" w:after="240" w:line="240" w:lineRule="auto"/>
      </w:pPr>
      <w:r w:rsidRPr="000F6CD1">
        <w:t xml:space="preserve">Assessors have a role in raising or handling complaints, concerns, or requests to cancel the registration of a supporter by escalating any relevant information to the departmental delegate responsible for supporters. This includes any request from an older person or their registered supporter to cancel the relationship where the circumstances mean the registered supporter may be suspended under the </w:t>
      </w:r>
      <w:r w:rsidRPr="000F6CD1">
        <w:rPr>
          <w:i/>
        </w:rPr>
        <w:t>Aged Care Act 2024</w:t>
      </w:r>
      <w:r w:rsidRPr="000F6CD1">
        <w:t xml:space="preserve"> (the Act), or any other complaint or information that suggests a registered supporter is not complying with their duties under the Act. This includes anything an assessor notices at an assessment.</w:t>
      </w:r>
    </w:p>
    <w:p w14:paraId="57B425C0" w14:textId="77777777" w:rsidR="00B4017B" w:rsidRPr="000F6CD1" w:rsidRDefault="00B4017B" w:rsidP="00477667">
      <w:pPr>
        <w:spacing w:after="0" w:line="240" w:lineRule="auto"/>
        <w:rPr>
          <w:b/>
          <w:bCs/>
        </w:rPr>
      </w:pPr>
      <w:r w:rsidRPr="000F6CD1">
        <w:t xml:space="preserve">Concerns and complaints can be raised using the </w:t>
      </w:r>
      <w:hyperlink r:id="rId279" w:anchor="make-a-complaint-or-submit-a-document" w:history="1">
        <w:r w:rsidRPr="000F6CD1">
          <w:rPr>
            <w:rStyle w:val="Hyperlink"/>
          </w:rPr>
          <w:t>online form</w:t>
        </w:r>
      </w:hyperlink>
      <w:r w:rsidRPr="000F6CD1">
        <w:t xml:space="preserve"> for making a submission to the System Governor responsible for supporters.</w:t>
      </w:r>
    </w:p>
    <w:p w14:paraId="351917C8" w14:textId="77777777" w:rsidR="00B4017B" w:rsidRPr="000F6CD1" w:rsidRDefault="00B4017B" w:rsidP="00477667">
      <w:pPr>
        <w:spacing w:after="0" w:line="240" w:lineRule="auto"/>
        <w:rPr>
          <w:b/>
          <w:bCs/>
        </w:rPr>
      </w:pPr>
    </w:p>
    <w:p w14:paraId="1EB2361D" w14:textId="77777777" w:rsidR="00B4017B" w:rsidRPr="000F6CD1" w:rsidRDefault="00B4017B" w:rsidP="00477667">
      <w:pPr>
        <w:spacing w:after="0" w:line="240" w:lineRule="auto"/>
        <w:rPr>
          <w:b/>
          <w:bCs/>
        </w:rPr>
      </w:pPr>
      <w:r w:rsidRPr="000F6CD1">
        <w:t xml:space="preserve">Information about the duties of a registered supporter and the complaints process can be found in the </w:t>
      </w:r>
      <w:hyperlink r:id="rId280" w:history="1">
        <w:r w:rsidRPr="000F6CD1">
          <w:rPr>
            <w:rStyle w:val="Hyperlink"/>
          </w:rPr>
          <w:t>policy library for registered supporters</w:t>
        </w:r>
      </w:hyperlink>
      <w:r w:rsidRPr="000F6CD1">
        <w:t>.</w:t>
      </w:r>
    </w:p>
    <w:p w14:paraId="35D2C3F0" w14:textId="56C3A0DD" w:rsidR="00B4017B" w:rsidRPr="000F6CD1" w:rsidRDefault="00B4017B" w:rsidP="00622CFF">
      <w:pPr>
        <w:spacing w:before="240" w:after="240" w:line="240" w:lineRule="auto"/>
      </w:pPr>
      <w:r w:rsidRPr="000F6CD1">
        <w:t xml:space="preserve">Complaints about aged care providers, including their engagement with registered supporters, can be made to the Aged Care Quality and Safety Commission. </w:t>
      </w:r>
    </w:p>
    <w:p w14:paraId="71B39A03" w14:textId="77777777" w:rsidR="00B4017B" w:rsidRPr="000F6CD1" w:rsidRDefault="00B4017B" w:rsidP="00AD2CE5">
      <w:pPr>
        <w:pStyle w:val="H3"/>
      </w:pPr>
      <w:bookmarkStart w:id="1000" w:name="_Toc204329609"/>
      <w:r w:rsidRPr="000F6CD1">
        <w:t>Complaints about aged care policies</w:t>
      </w:r>
      <w:bookmarkEnd w:id="1000"/>
    </w:p>
    <w:p w14:paraId="12285E67" w14:textId="77777777" w:rsidR="00B4017B" w:rsidRPr="000F6CD1" w:rsidRDefault="00B4017B" w:rsidP="00622CFF">
      <w:pPr>
        <w:spacing w:before="240" w:after="240" w:line="240" w:lineRule="auto"/>
      </w:pPr>
      <w:r w:rsidRPr="000F6CD1">
        <w:t>Complaints related to Australian Government aged care policies, guidelines or decisions should be referred to the Department of Health, Disability and Ageing.</w:t>
      </w:r>
    </w:p>
    <w:p w14:paraId="31BA4BE4" w14:textId="77777777" w:rsidR="00B4017B" w:rsidRPr="000F6CD1" w:rsidRDefault="00B4017B">
      <w:bookmarkStart w:id="1001" w:name="_Toc204329610"/>
      <w:bookmarkStart w:id="1002" w:name="_Toc209189050"/>
      <w:r w:rsidRPr="000F6CD1" w:rsidDel="00EA713D">
        <w:br w:type="page"/>
      </w:r>
    </w:p>
    <w:p w14:paraId="52FE45B0" w14:textId="77777777" w:rsidR="00B4017B" w:rsidRPr="000F6CD1" w:rsidRDefault="00B4017B" w:rsidP="00AC3600">
      <w:pPr>
        <w:pStyle w:val="H1"/>
      </w:pPr>
      <w:bookmarkStart w:id="1003" w:name="_Ref212735812"/>
      <w:bookmarkStart w:id="1004" w:name="_Ref212735863"/>
      <w:bookmarkStart w:id="1005" w:name="_Ref212735971"/>
      <w:bookmarkStart w:id="1006" w:name="_Toc233282504"/>
      <w:r w:rsidRPr="000F6CD1">
        <w:lastRenderedPageBreak/>
        <w:t>Chapter 12: Supporting diverse experiences and needs</w:t>
      </w:r>
      <w:bookmarkEnd w:id="1001"/>
      <w:bookmarkEnd w:id="1002"/>
      <w:bookmarkEnd w:id="1003"/>
      <w:bookmarkEnd w:id="1004"/>
      <w:bookmarkEnd w:id="1005"/>
      <w:bookmarkEnd w:id="1006"/>
      <w:r w:rsidRPr="000F6CD1">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shd w:val="clear" w:color="auto" w:fill="EAEDF1" w:themeFill="text2" w:themeFillTint="1A"/>
        <w:tblLook w:val="04A0" w:firstRow="1" w:lastRow="0" w:firstColumn="1" w:lastColumn="0" w:noHBand="0" w:noVBand="1"/>
      </w:tblPr>
      <w:tblGrid>
        <w:gridCol w:w="9016"/>
      </w:tblGrid>
      <w:tr w:rsidR="00B4017B" w:rsidRPr="000F6CD1" w14:paraId="34FA1144" w14:textId="77777777" w:rsidTr="005A48DD">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4654C" w14:textId="77777777" w:rsidR="00B4017B" w:rsidRPr="000F6CD1" w:rsidRDefault="00B4017B" w:rsidP="001E3882">
            <w:pPr>
              <w:rPr>
                <w:b/>
                <w:color w:val="358189"/>
                <w:szCs w:val="36"/>
              </w:rPr>
            </w:pPr>
            <w:bookmarkStart w:id="1007" w:name="_Toc204329611"/>
            <w:bookmarkStart w:id="1008" w:name="_Toc209189051"/>
            <w:r w:rsidRPr="000F6CD1">
              <w:rPr>
                <w:b/>
                <w:color w:val="358189"/>
                <w:sz w:val="36"/>
                <w:szCs w:val="36"/>
              </w:rPr>
              <w:t>What you’ll find in this chapter</w:t>
            </w:r>
            <w:bookmarkEnd w:id="1007"/>
            <w:bookmarkEnd w:id="1008"/>
            <w:r w:rsidRPr="000F6CD1">
              <w:rPr>
                <w:b/>
                <w:color w:val="358189"/>
                <w:sz w:val="36"/>
                <w:szCs w:val="36"/>
              </w:rPr>
              <w:t>:</w:t>
            </w:r>
          </w:p>
          <w:p w14:paraId="2C6F182F" w14:textId="77777777" w:rsidR="00B4017B" w:rsidRPr="000F6CD1" w:rsidRDefault="00B4017B" w:rsidP="00B76E1F"/>
          <w:p w14:paraId="3CFF9B6A" w14:textId="1569C190" w:rsidR="00B4017B" w:rsidRPr="000F6CD1" w:rsidRDefault="00B4017B" w:rsidP="00B76E1F">
            <w:pPr>
              <w:spacing w:before="240" w:after="240"/>
            </w:pPr>
            <w:r w:rsidRPr="000F6CD1">
              <w:t>This chapter outlines the ways in which the aged care system supports an older person’s diverse needs by ensuring they have access to person-</w:t>
            </w:r>
            <w:r w:rsidR="00D63A55" w:rsidRPr="000F6CD1">
              <w:t>centred</w:t>
            </w:r>
            <w:r w:rsidRPr="000F6CD1">
              <w:t xml:space="preserve"> aged care assessments and services. This includes valuing older people, their identities, cultures, abilities, diversity, beliefs and life experiences. </w:t>
            </w:r>
          </w:p>
        </w:tc>
      </w:tr>
    </w:tbl>
    <w:p w14:paraId="78753CC9" w14:textId="77777777" w:rsidR="00B4017B" w:rsidRPr="000F6CD1" w:rsidRDefault="00B4017B" w:rsidP="006647CE">
      <w:pPr>
        <w:pStyle w:val="h2"/>
      </w:pPr>
      <w:bookmarkStart w:id="1009" w:name="_Toc209189052"/>
      <w:bookmarkStart w:id="1010" w:name="_Toc233282505"/>
      <w:r w:rsidRPr="000F6CD1">
        <w:t>Supporting diverse needs during an assessment</w:t>
      </w:r>
      <w:bookmarkEnd w:id="1009"/>
      <w:bookmarkEnd w:id="1010"/>
    </w:p>
    <w:p w14:paraId="44A9D81D" w14:textId="77777777" w:rsidR="00B4017B" w:rsidRPr="000F6CD1" w:rsidRDefault="00B4017B" w:rsidP="00622CFF">
      <w:pPr>
        <w:spacing w:before="240" w:after="240" w:line="240" w:lineRule="auto"/>
      </w:pPr>
      <w:r w:rsidRPr="000F6CD1">
        <w:t xml:space="preserve">The Department of Health, Disability and Ageing, Australian Government agencies, aged care assessment organisations, providers and the aged care workforce must ensure that older people have access to person-centred, culturally safe, trauma aware and healing informed aged care assessments and services. This includes valuing older people, their identities, cultures, abilities, diversity, beliefs and life experiences. </w:t>
      </w:r>
    </w:p>
    <w:p w14:paraId="42D4BC5B" w14:textId="77777777" w:rsidR="00B4017B" w:rsidRPr="000F6CD1" w:rsidRDefault="00B4017B" w:rsidP="00622CFF">
      <w:pPr>
        <w:spacing w:before="240" w:after="240" w:line="240" w:lineRule="auto"/>
      </w:pPr>
      <w:r w:rsidRPr="000F6CD1">
        <w:t xml:space="preserve">The Aged Care Diversity Framework provides guidance for an accessible aged care system for every older person. </w:t>
      </w:r>
    </w:p>
    <w:p w14:paraId="764AD781" w14:textId="77777777" w:rsidR="00B4017B" w:rsidRPr="000F6CD1" w:rsidRDefault="00B4017B" w:rsidP="00622CFF">
      <w:pPr>
        <w:spacing w:before="240" w:after="240" w:line="240" w:lineRule="auto"/>
      </w:pPr>
      <w:r w:rsidRPr="000F6CD1">
        <w:t xml:space="preserve">The Statement of Principles in section 25 of the </w:t>
      </w:r>
      <w:r w:rsidRPr="00EB1D79">
        <w:rPr>
          <w:i/>
          <w:iCs/>
        </w:rPr>
        <w:t>Aged Care Act 2024</w:t>
      </w:r>
      <w:r w:rsidRPr="000F6CD1">
        <w:t xml:space="preserve"> (the Act) provides for an aged care system that offers accessible, culturally safe, culturally appropriate, trauma-aware and healing-informed aged care services, based on the needs of the individual, regardless of their location, background and life experiences. This may include individuals who:</w:t>
      </w:r>
    </w:p>
    <w:p w14:paraId="303A7802" w14:textId="77777777" w:rsidR="00B4017B" w:rsidRPr="000F6CD1" w:rsidRDefault="00B4017B">
      <w:pPr>
        <w:pStyle w:val="ListParagraph"/>
        <w:numPr>
          <w:ilvl w:val="0"/>
          <w:numId w:val="350"/>
        </w:numPr>
        <w:spacing w:before="240" w:after="240" w:line="240" w:lineRule="auto"/>
      </w:pPr>
      <w:r w:rsidRPr="000F6CD1">
        <w:t>are Aboriginal or Torres Strait Islander persons, including those from stolen generations</w:t>
      </w:r>
    </w:p>
    <w:p w14:paraId="4E1AC037" w14:textId="77777777" w:rsidR="00B4017B" w:rsidRPr="000F6CD1" w:rsidRDefault="00B4017B">
      <w:pPr>
        <w:pStyle w:val="ListParagraph"/>
        <w:numPr>
          <w:ilvl w:val="0"/>
          <w:numId w:val="350"/>
        </w:numPr>
        <w:spacing w:before="240" w:after="240" w:line="240" w:lineRule="auto"/>
      </w:pPr>
      <w:r w:rsidRPr="000F6CD1">
        <w:t>are veterans or war widows</w:t>
      </w:r>
    </w:p>
    <w:p w14:paraId="734CCF80" w14:textId="77777777" w:rsidR="00B4017B" w:rsidRPr="000F6CD1" w:rsidRDefault="00B4017B">
      <w:pPr>
        <w:pStyle w:val="ListParagraph"/>
        <w:numPr>
          <w:ilvl w:val="0"/>
          <w:numId w:val="350"/>
        </w:numPr>
        <w:spacing w:before="240" w:after="240" w:line="240" w:lineRule="auto"/>
      </w:pPr>
      <w:r w:rsidRPr="000F6CD1">
        <w:t>are from culturally, ethnically and linguistically diverse backgrounds</w:t>
      </w:r>
    </w:p>
    <w:p w14:paraId="64C15350" w14:textId="77777777" w:rsidR="00B4017B" w:rsidRPr="000F6CD1" w:rsidRDefault="00B4017B">
      <w:pPr>
        <w:pStyle w:val="ListParagraph"/>
        <w:numPr>
          <w:ilvl w:val="0"/>
          <w:numId w:val="350"/>
        </w:numPr>
        <w:spacing w:before="240" w:after="240" w:line="240" w:lineRule="auto"/>
      </w:pPr>
      <w:r w:rsidRPr="000F6CD1">
        <w:t>are financially or socially disadvantaged</w:t>
      </w:r>
    </w:p>
    <w:p w14:paraId="67A620F7" w14:textId="77777777" w:rsidR="00B4017B" w:rsidRPr="000F6CD1" w:rsidRDefault="00B4017B">
      <w:pPr>
        <w:pStyle w:val="ListParagraph"/>
        <w:numPr>
          <w:ilvl w:val="0"/>
          <w:numId w:val="350"/>
        </w:numPr>
        <w:spacing w:before="240" w:after="240" w:line="240" w:lineRule="auto"/>
      </w:pPr>
      <w:r w:rsidRPr="000F6CD1">
        <w:t>are experiencing homelessness or at risk of experiencing homelessness</w:t>
      </w:r>
    </w:p>
    <w:p w14:paraId="6B4B9C10" w14:textId="77777777" w:rsidR="00B4017B" w:rsidRPr="000F6CD1" w:rsidRDefault="00B4017B">
      <w:pPr>
        <w:pStyle w:val="ListParagraph"/>
        <w:numPr>
          <w:ilvl w:val="0"/>
          <w:numId w:val="350"/>
        </w:numPr>
        <w:spacing w:before="240" w:after="240" w:line="240" w:lineRule="auto"/>
      </w:pPr>
      <w:r w:rsidRPr="000F6CD1">
        <w:t>are parents and children who are separated by forced adoption or removal</w:t>
      </w:r>
    </w:p>
    <w:p w14:paraId="4EAF0713" w14:textId="77777777" w:rsidR="00B4017B" w:rsidRPr="000F6CD1" w:rsidRDefault="00B4017B">
      <w:pPr>
        <w:pStyle w:val="ListParagraph"/>
        <w:numPr>
          <w:ilvl w:val="0"/>
          <w:numId w:val="350"/>
        </w:numPr>
        <w:spacing w:before="240" w:after="240" w:line="240" w:lineRule="auto"/>
      </w:pPr>
      <w:r w:rsidRPr="000F6CD1">
        <w:t>are adult survivors of institutional child sexual abuse</w:t>
      </w:r>
    </w:p>
    <w:p w14:paraId="2BAF4815" w14:textId="77777777" w:rsidR="00B4017B" w:rsidRPr="000F6CD1" w:rsidRDefault="00B4017B">
      <w:pPr>
        <w:pStyle w:val="ListParagraph"/>
        <w:numPr>
          <w:ilvl w:val="0"/>
          <w:numId w:val="350"/>
        </w:numPr>
        <w:spacing w:before="240" w:after="240" w:line="240" w:lineRule="auto"/>
      </w:pPr>
      <w:r w:rsidRPr="000F6CD1">
        <w:t>are care-leavers, including Forgotten Australians and former child migrants placed in out of home care</w:t>
      </w:r>
    </w:p>
    <w:p w14:paraId="7E6D21D8" w14:textId="77777777" w:rsidR="00B4017B" w:rsidRPr="000F6CD1" w:rsidRDefault="00B4017B">
      <w:pPr>
        <w:pStyle w:val="ListParagraph"/>
        <w:numPr>
          <w:ilvl w:val="0"/>
          <w:numId w:val="350"/>
        </w:numPr>
        <w:spacing w:before="240" w:after="240" w:line="240" w:lineRule="auto"/>
      </w:pPr>
      <w:r w:rsidRPr="000F6CD1">
        <w:t>are lesbian, gay, bisexual, trans/transgender or intersex or other sexual orientations or are gender diverse or bodily diverse</w:t>
      </w:r>
    </w:p>
    <w:p w14:paraId="3BB861F7" w14:textId="77777777" w:rsidR="00B4017B" w:rsidRPr="000F6CD1" w:rsidRDefault="00B4017B">
      <w:pPr>
        <w:pStyle w:val="ListParagraph"/>
        <w:numPr>
          <w:ilvl w:val="0"/>
          <w:numId w:val="350"/>
        </w:numPr>
        <w:spacing w:before="240" w:after="240" w:line="240" w:lineRule="auto"/>
      </w:pPr>
      <w:r w:rsidRPr="000F6CD1">
        <w:t>are an individual with disability or mental ill-health</w:t>
      </w:r>
    </w:p>
    <w:p w14:paraId="2B931C5F" w14:textId="77777777" w:rsidR="00B4017B" w:rsidRPr="000F6CD1" w:rsidRDefault="00B4017B">
      <w:pPr>
        <w:pStyle w:val="ListParagraph"/>
        <w:numPr>
          <w:ilvl w:val="0"/>
          <w:numId w:val="350"/>
        </w:numPr>
        <w:spacing w:before="240" w:after="240" w:line="240" w:lineRule="auto"/>
      </w:pPr>
      <w:r w:rsidRPr="000F6CD1">
        <w:t>are neurodivergent</w:t>
      </w:r>
    </w:p>
    <w:p w14:paraId="45B4219B" w14:textId="77777777" w:rsidR="00B4017B" w:rsidRPr="000F6CD1" w:rsidRDefault="00B4017B">
      <w:pPr>
        <w:pStyle w:val="ListParagraph"/>
        <w:numPr>
          <w:ilvl w:val="0"/>
          <w:numId w:val="350"/>
        </w:numPr>
        <w:spacing w:before="240" w:after="240" w:line="240" w:lineRule="auto"/>
      </w:pPr>
      <w:r w:rsidRPr="000F6CD1">
        <w:t>are deaf, deafblind, vision impaired or hard of hearing</w:t>
      </w:r>
    </w:p>
    <w:p w14:paraId="2A7A20E2" w14:textId="77777777" w:rsidR="00B4017B" w:rsidRPr="000F6CD1" w:rsidRDefault="00B4017B">
      <w:pPr>
        <w:pStyle w:val="ListParagraph"/>
        <w:numPr>
          <w:ilvl w:val="0"/>
          <w:numId w:val="350"/>
        </w:numPr>
        <w:spacing w:before="240" w:after="240" w:line="240" w:lineRule="auto"/>
      </w:pPr>
      <w:r w:rsidRPr="000F6CD1">
        <w:t>live in rural, remote or very remote areas.</w:t>
      </w:r>
    </w:p>
    <w:p w14:paraId="2A4C5552" w14:textId="77777777" w:rsidR="00B4017B" w:rsidRPr="000F6CD1" w:rsidRDefault="00B4017B" w:rsidP="00622CFF">
      <w:pPr>
        <w:spacing w:before="240" w:after="240" w:line="240" w:lineRule="auto"/>
      </w:pPr>
      <w:r w:rsidRPr="000F6CD1">
        <w:t>It is important to understand that individuals may identify across more than one group and may have a variety of special and diverse needs that will need to be recognised and taken into consideration.</w:t>
      </w:r>
    </w:p>
    <w:p w14:paraId="4D71EEC0" w14:textId="77777777" w:rsidR="00B4017B" w:rsidRPr="000F6CD1" w:rsidRDefault="00B4017B" w:rsidP="00622CFF">
      <w:pPr>
        <w:spacing w:before="240" w:after="240" w:line="240" w:lineRule="auto"/>
      </w:pPr>
      <w:r w:rsidRPr="000F6CD1">
        <w:lastRenderedPageBreak/>
        <w:t>During the assessment process, assessors must consider how they can create a safe assessment setting and ensure older people have a trusted support person present if needed. This may be a carer, partner, registered supporter, friend or perhaps a member from their ‘family of choice’ (who may or may not include biological family). This will help to build trust and ensure that an assessor can collect all information necessary to develop an appropriate and tailored Support Plan with the older person that considers their diverse needs.</w:t>
      </w:r>
    </w:p>
    <w:p w14:paraId="26E10BED" w14:textId="77777777" w:rsidR="00B4017B" w:rsidRPr="000F6CD1" w:rsidRDefault="00B4017B" w:rsidP="00622CFF">
      <w:pPr>
        <w:spacing w:before="240" w:after="240" w:line="240" w:lineRule="auto"/>
      </w:pPr>
      <w:r w:rsidRPr="000F6CD1">
        <w:t xml:space="preserve">It is important to recognise that many older people with diverse needs, characteristics and life experiences may have experienced exclusion, discrimination and stigma during their lives and may not feel safe to reveal such potentially sensitive information in an assessment. </w:t>
      </w:r>
    </w:p>
    <w:tbl>
      <w:tblPr>
        <w:tblW w:w="0" w:type="auto"/>
        <w:tblLook w:val="04A0" w:firstRow="1" w:lastRow="0" w:firstColumn="1" w:lastColumn="0" w:noHBand="0" w:noVBand="1"/>
      </w:tblPr>
      <w:tblGrid>
        <w:gridCol w:w="921"/>
        <w:gridCol w:w="8105"/>
      </w:tblGrid>
      <w:tr w:rsidR="00B4017B" w:rsidRPr="000F6CD1" w14:paraId="27713565" w14:textId="77777777">
        <w:trPr>
          <w:trHeight w:val="677"/>
        </w:trPr>
        <w:tc>
          <w:tcPr>
            <w:tcW w:w="921" w:type="dxa"/>
          </w:tcPr>
          <w:p w14:paraId="22934436" w14:textId="77777777" w:rsidR="00B4017B" w:rsidRPr="000F6CD1" w:rsidRDefault="00B4017B">
            <w:pPr>
              <w:spacing w:before="240" w:after="240" w:line="240" w:lineRule="auto"/>
            </w:pPr>
            <w:r w:rsidRPr="000F6CD1">
              <w:rPr>
                <w:noProof/>
              </w:rPr>
              <w:drawing>
                <wp:inline distT="0" distB="0" distL="0" distR="0" wp14:anchorId="18CAD8ED" wp14:editId="5B3B7823">
                  <wp:extent cx="447675" cy="445208"/>
                  <wp:effectExtent l="0" t="0" r="0" b="0"/>
                  <wp:docPr id="954088242" name="Picture 954088242"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8242" name="Picture 954088242"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06AC9F8A" w14:textId="77777777" w:rsidR="00B4017B" w:rsidRPr="000F6CD1" w:rsidRDefault="00B4017B">
            <w:pPr>
              <w:spacing w:before="240" w:after="240" w:line="240" w:lineRule="auto"/>
              <w:rPr>
                <w:b/>
              </w:rPr>
            </w:pPr>
            <w:hyperlink r:id="rId281" w:tooltip="Aged Care Diversity Framework initiative" w:history="1">
              <w:r w:rsidRPr="000F6CD1">
                <w:rPr>
                  <w:rStyle w:val="Hyperlink"/>
                </w:rPr>
                <w:t>Aged Care Diversity Framework</w:t>
              </w:r>
            </w:hyperlink>
            <w:r w:rsidRPr="000F6CD1">
              <w:t> </w:t>
            </w:r>
          </w:p>
        </w:tc>
      </w:tr>
    </w:tbl>
    <w:p w14:paraId="3D1A2960" w14:textId="1A59C372" w:rsidR="00B4017B" w:rsidRPr="000F6CD1" w:rsidRDefault="009B1ED2" w:rsidP="006647CE">
      <w:pPr>
        <w:pStyle w:val="h2"/>
      </w:pPr>
      <w:bookmarkStart w:id="1011" w:name="_Toc198813645"/>
      <w:bookmarkStart w:id="1012" w:name="_Toc198816552"/>
      <w:bookmarkStart w:id="1013" w:name="_Toc204329613"/>
      <w:bookmarkStart w:id="1014" w:name="_Toc209189053"/>
      <w:bookmarkStart w:id="1015" w:name="_Toc233282506"/>
      <w:bookmarkStart w:id="1016" w:name="CH1_CulturalSafety"/>
      <w:r>
        <w:rPr>
          <w:noProof/>
          <w14:ligatures w14:val="standardContextual"/>
        </w:rPr>
        <w:drawing>
          <wp:anchor distT="0" distB="0" distL="114300" distR="114300" simplePos="0" relativeHeight="251658318" behindDoc="0" locked="0" layoutInCell="1" allowOverlap="1" wp14:anchorId="68ADEC8A" wp14:editId="4E621B61">
            <wp:simplePos x="0" y="0"/>
            <wp:positionH relativeFrom="margin">
              <wp:posOffset>28575</wp:posOffset>
            </wp:positionH>
            <wp:positionV relativeFrom="margin">
              <wp:posOffset>2762250</wp:posOffset>
            </wp:positionV>
            <wp:extent cx="365792" cy="403895"/>
            <wp:effectExtent l="0" t="0" r="0" b="0"/>
            <wp:wrapSquare wrapText="bothSides"/>
            <wp:docPr id="611954121"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54121"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Understanding cultural safety</w:t>
      </w:r>
      <w:bookmarkEnd w:id="1011"/>
      <w:bookmarkEnd w:id="1012"/>
      <w:bookmarkEnd w:id="1013"/>
      <w:r w:rsidR="00B4017B" w:rsidRPr="000F6CD1">
        <w:t xml:space="preserve"> for older Aboriginal and Torres Strait Islander people</w:t>
      </w:r>
      <w:bookmarkEnd w:id="1014"/>
      <w:bookmarkEnd w:id="1015"/>
    </w:p>
    <w:bookmarkEnd w:id="1016"/>
    <w:p w14:paraId="5F570011" w14:textId="77777777" w:rsidR="00B4017B" w:rsidRPr="000F6CD1" w:rsidRDefault="00B4017B" w:rsidP="00622CFF">
      <w:pPr>
        <w:spacing w:before="240" w:after="240" w:line="240" w:lineRule="auto"/>
      </w:pPr>
      <w:r w:rsidRPr="000F6CD1">
        <w:t xml:space="preserve">The National Aboriginal and Torres Strait Islander Ageing and Aged Care Council’s (NATSIAACC) definition of cultural safety (referenced below) was co-designed in 2024 and included in the revised explanatory memorandum accompanying the Aged Care Bill 2024. </w:t>
      </w:r>
    </w:p>
    <w:p w14:paraId="27AA68B7" w14:textId="77777777" w:rsidR="00B4017B" w:rsidRPr="000F6CD1" w:rsidRDefault="00B4017B" w:rsidP="00622CFF">
      <w:pPr>
        <w:spacing w:before="240" w:after="240" w:line="240" w:lineRule="auto"/>
        <w:rPr>
          <w:b/>
        </w:rPr>
      </w:pPr>
      <w:r w:rsidRPr="000F6CD1">
        <w:t>All workers in the aged care system, including assessment staff, are expected to critically self-reflect and take responsibility for building an understanding of how they can improve their approach to culturally safe care in their daily practice.</w:t>
      </w:r>
      <w:r w:rsidRPr="000F6CD1">
        <w:rPr>
          <w:b/>
        </w:rPr>
        <w:t xml:space="preserve"> </w:t>
      </w:r>
    </w:p>
    <w:p w14:paraId="783BA0FA" w14:textId="24E0D6A6" w:rsidR="00B4017B" w:rsidRPr="000F6CD1" w:rsidRDefault="00B4017B" w:rsidP="00622CFF">
      <w:pPr>
        <w:spacing w:before="240" w:after="240" w:line="240" w:lineRule="auto"/>
        <w:rPr>
          <w:b/>
          <w:bCs/>
        </w:rPr>
      </w:pPr>
      <w:r w:rsidRPr="000F6CD1">
        <w:t>Assessors are required to complete an introduction to cultural safety as part of the induction training through MAClearning to ensure they understand why cultural safety is important in providing safe aged care experiences for older Aboriginal and Torres Strait Islander people.</w:t>
      </w:r>
      <w:r w:rsidRPr="000F6CD1">
        <w:rPr>
          <w:b/>
        </w:rPr>
        <w:t xml:space="preserve"> </w:t>
      </w:r>
      <w:r w:rsidRPr="000F6CD1">
        <w:t>It is also required that assessment organisations provide their staff with additional cultural safety and trauma aware, healing informed training relevant to the customs and protocols local to the area in which they operate.</w:t>
      </w:r>
      <w:r w:rsidRPr="000F6CD1">
        <w:rPr>
          <w:b/>
          <w:bCs/>
        </w:rPr>
        <w:t> </w:t>
      </w:r>
    </w:p>
    <w:p w14:paraId="229B7D40" w14:textId="79E63918" w:rsidR="00B4017B" w:rsidRPr="000F6CD1" w:rsidRDefault="00B4017B" w:rsidP="00622CFF">
      <w:pPr>
        <w:spacing w:before="240" w:after="240" w:line="240" w:lineRule="auto"/>
      </w:pPr>
      <w:r w:rsidRPr="000F6CD1">
        <w:t xml:space="preserve">Further to this, it is recommended that assessment staff undertake additional training on how to understand and support the Stolen Generations. As </w:t>
      </w:r>
      <w:r w:rsidR="00003BE3">
        <w:t>of</w:t>
      </w:r>
      <w:r w:rsidRPr="000F6CD1">
        <w:t xml:space="preserve"> 2022, all Stolen Generations survivors are aged 50 or over and therefore may be eligible to receive aged care services. Many Stolen Generations survivors live in urban and regional locations where there are few, if any Aboriginal and Torres Strait Islander community controlled aged care services and facilities. </w:t>
      </w:r>
    </w:p>
    <w:p w14:paraId="4220BF6A" w14:textId="4C8F17DF" w:rsidR="00B4017B" w:rsidRPr="000F6CD1" w:rsidRDefault="00B4017B" w:rsidP="00622CFF">
      <w:pPr>
        <w:spacing w:before="240" w:after="240" w:line="240" w:lineRule="auto"/>
      </w:pPr>
      <w:r w:rsidRPr="000F6CD1">
        <w:t xml:space="preserve">When assessing Aboriginal and Torres Strait Islander clients, it is important to be guided by the individual’s </w:t>
      </w:r>
      <w:r w:rsidR="00A94C9D" w:rsidRPr="000F6CD1">
        <w:t>preferences and</w:t>
      </w:r>
      <w:r w:rsidRPr="000F6CD1">
        <w:t xml:space="preserve"> observe body language and respond respectfully. If appropriate, assessors are encouraged to tailor their assessment approach to the specific needs of individuals to ensure that their support requirements are accurately reflected in their support plans. This may include: </w:t>
      </w:r>
    </w:p>
    <w:p w14:paraId="7D5C2410" w14:textId="77777777" w:rsidR="00B4017B" w:rsidRPr="000F6CD1" w:rsidRDefault="00B4017B">
      <w:pPr>
        <w:pStyle w:val="ListParagraph"/>
        <w:numPr>
          <w:ilvl w:val="0"/>
          <w:numId w:val="360"/>
        </w:numPr>
        <w:spacing w:before="240" w:after="240" w:line="240" w:lineRule="auto"/>
      </w:pPr>
      <w:r w:rsidRPr="000F6CD1">
        <w:t>using a trusted cultural broker, or advocate, or including contact with an Elder Care Support worker where available  </w:t>
      </w:r>
    </w:p>
    <w:p w14:paraId="52E082DB" w14:textId="361529D2" w:rsidR="00B4017B" w:rsidRPr="000F6CD1" w:rsidRDefault="00B4017B">
      <w:pPr>
        <w:pStyle w:val="ListParagraph"/>
        <w:numPr>
          <w:ilvl w:val="0"/>
          <w:numId w:val="360"/>
        </w:numPr>
        <w:spacing w:before="240" w:after="240" w:line="240" w:lineRule="auto"/>
      </w:pPr>
      <w:r w:rsidRPr="000F6CD1">
        <w:t xml:space="preserve">using supplementary assessment components of the IAT that are best suited for assessing the older person’s needs. This may include the use of </w:t>
      </w:r>
      <w:r w:rsidR="008F342D" w:rsidRPr="000F6CD1">
        <w:t>the</w:t>
      </w:r>
      <w:r w:rsidRPr="000F6CD1">
        <w:t xml:space="preserve"> Kimberley Indigenous Cognitive Assessment (KICA) assessment tools and the Good Spirit, </w:t>
      </w:r>
      <w:r w:rsidRPr="000F6CD1">
        <w:lastRenderedPageBreak/>
        <w:t>Good Life guide in the Integrated Assessment Tool (IAT) for older Aboriginal and Torres Strait Islander people. These have been validated as the most acceptable and reliable instruments for assessing the needs of Aboriginal and Torres Strait Islander people, and/or </w:t>
      </w:r>
    </w:p>
    <w:p w14:paraId="0A08EDF1" w14:textId="77777777" w:rsidR="00B4017B" w:rsidRPr="000F6CD1" w:rsidRDefault="00B4017B">
      <w:pPr>
        <w:pStyle w:val="ListParagraph"/>
        <w:numPr>
          <w:ilvl w:val="0"/>
          <w:numId w:val="360"/>
        </w:numPr>
        <w:spacing w:before="240" w:after="240" w:line="240" w:lineRule="auto"/>
      </w:pPr>
      <w:r w:rsidRPr="000F6CD1">
        <w:t>developing relationships that support regular interactions and mentorship with existing and trusted health services and specialist providers located within a local community, </w:t>
      </w:r>
    </w:p>
    <w:p w14:paraId="08A21F80" w14:textId="69FDE5D5" w:rsidR="00B4017B" w:rsidRPr="000F6CD1" w:rsidRDefault="00B4017B">
      <w:pPr>
        <w:pStyle w:val="ListParagraph"/>
        <w:numPr>
          <w:ilvl w:val="0"/>
          <w:numId w:val="360"/>
        </w:numPr>
        <w:spacing w:before="240" w:after="240" w:line="240" w:lineRule="auto"/>
      </w:pPr>
      <w:r w:rsidRPr="000F6CD1">
        <w:t>working with existing Aboriginal Community Controlled Organisations (ACCOs) Aboriginal Community Controlled Health Organisations (ACCHOs) affiliates and other First Nations organisations who specialise in providing aged care services where they are available. </w:t>
      </w:r>
    </w:p>
    <w:tbl>
      <w:tblPr>
        <w:tblStyle w:val="TableGrid"/>
        <w:tblW w:w="0" w:type="auto"/>
        <w:tblLook w:val="04A0" w:firstRow="1" w:lastRow="0" w:firstColumn="1" w:lastColumn="0" w:noHBand="0" w:noVBand="1"/>
      </w:tblPr>
      <w:tblGrid>
        <w:gridCol w:w="1129"/>
        <w:gridCol w:w="7887"/>
      </w:tblGrid>
      <w:tr w:rsidR="00666733" w:rsidRPr="000F6CD1" w14:paraId="100B78FE" w14:textId="77777777" w:rsidTr="0016561C">
        <w:tc>
          <w:tcPr>
            <w:tcW w:w="1129" w:type="dxa"/>
          </w:tcPr>
          <w:p w14:paraId="7427C39E" w14:textId="77777777" w:rsidR="00666733" w:rsidRPr="000F6CD1" w:rsidRDefault="00666733" w:rsidP="0016561C">
            <w:pPr>
              <w:spacing w:before="240" w:after="240"/>
            </w:pPr>
            <w:r w:rsidRPr="000F6CD1">
              <w:rPr>
                <w:noProof/>
              </w:rPr>
              <w:drawing>
                <wp:inline distT="0" distB="0" distL="0" distR="0" wp14:anchorId="232D7527" wp14:editId="6DDBFF7D">
                  <wp:extent cx="447675" cy="445208"/>
                  <wp:effectExtent l="0" t="0" r="0" b="0"/>
                  <wp:docPr id="1357244102" name="Picture 135724410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44102" name="Picture 135724410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7887" w:type="dxa"/>
          </w:tcPr>
          <w:p w14:paraId="34888B6C" w14:textId="77777777" w:rsidR="00666733" w:rsidRPr="000F6CD1" w:rsidRDefault="00666733" w:rsidP="0016561C">
            <w:pPr>
              <w:spacing w:before="240" w:after="240"/>
              <w:rPr>
                <w:bCs/>
              </w:rPr>
            </w:pPr>
            <w:hyperlink r:id="rId282" w:history="1">
              <w:r w:rsidRPr="000F6CD1">
                <w:rPr>
                  <w:rStyle w:val="Hyperlink"/>
                  <w:bCs/>
                </w:rPr>
                <w:t>Aboriginal and Torres Strait Islander aged care | Australian Government Department of Health, Disability and Ageing</w:t>
              </w:r>
            </w:hyperlink>
          </w:p>
          <w:p w14:paraId="02DDBF95" w14:textId="244EED8F" w:rsidR="00666733" w:rsidRPr="000F6CD1" w:rsidRDefault="00666733" w:rsidP="00666733">
            <w:pPr>
              <w:spacing w:before="240" w:after="240"/>
            </w:pPr>
            <w:r w:rsidRPr="000F6CD1">
              <w:rPr>
                <w:bCs/>
              </w:rPr>
              <w:t xml:space="preserve">The KICA and the Good Spirit, Good Life guides are in the </w:t>
            </w:r>
            <w:hyperlink r:id="rId283">
              <w:r w:rsidRPr="000F6CD1">
                <w:rPr>
                  <w:rStyle w:val="Hyperlink"/>
                  <w:rFonts w:eastAsia="Arial"/>
                  <w:bCs/>
                </w:rPr>
                <w:t>IAT User Guide</w:t>
              </w:r>
            </w:hyperlink>
          </w:p>
        </w:tc>
      </w:tr>
    </w:tbl>
    <w:p w14:paraId="68A8A6E9" w14:textId="77777777" w:rsidR="00F14D96" w:rsidRPr="00DA57A0" w:rsidRDefault="00F14D96" w:rsidP="00806A21">
      <w:pPr>
        <w:pStyle w:val="Sub-headings"/>
        <w:rPr>
          <w:rFonts w:eastAsia="Arial"/>
        </w:rPr>
      </w:pPr>
      <w:r w:rsidRPr="00DA57A0">
        <w:t>NATSIAAC definition of cultural safety</w:t>
      </w:r>
    </w:p>
    <w:p w14:paraId="29181A21" w14:textId="77777777" w:rsidR="00F14D96" w:rsidRDefault="00F14D96" w:rsidP="00806A21">
      <w:pPr>
        <w:pStyle w:val="Sub-headings"/>
      </w:pPr>
      <w:r w:rsidRPr="1FEFDEFD">
        <w:t xml:space="preserve">‘Cultural safety requires understanding of one’s own culture and the impact that your culture, thinking, and actions may have on the culture and wellbeing of others through ongoing critical self-reflection. </w:t>
      </w:r>
    </w:p>
    <w:p w14:paraId="1CAF2388" w14:textId="77777777" w:rsidR="00F14D96" w:rsidRDefault="00F14D96" w:rsidP="00806A21">
      <w:pPr>
        <w:pStyle w:val="Sub-headings"/>
      </w:pPr>
      <w:r w:rsidRPr="1FEFDEFD">
        <w:t xml:space="preserve">Only the care recipient themselves can determine whether the service is culturally safe. Ensuring access to a culturally safe, respectful, responsive and racism free aged care system is inherent for the optimal safety, autonomy, dignity, and absolute wellbeing of Aboriginal and Torres Strait Islander Elders, senior and older people, their families and community. </w:t>
      </w:r>
    </w:p>
    <w:p w14:paraId="05F2CD16" w14:textId="77777777" w:rsidR="00F14D96" w:rsidRDefault="00F14D96" w:rsidP="00806A21">
      <w:pPr>
        <w:pStyle w:val="Sub-headings"/>
      </w:pPr>
      <w:r w:rsidRPr="1FEFDEFD">
        <w:t xml:space="preserve">Aged care service providers and workers must take responsibility for building trust and relationships with Aboriginal and Torres Strait Islander service users, and their families, and for creating a new aged care system which centres on their living experience, cultural, and ageing needs, as determined by Aboriginal and Torres Strait Islander service users themselves. </w:t>
      </w:r>
    </w:p>
    <w:p w14:paraId="4EB26CB4" w14:textId="77777777" w:rsidR="00F14D96" w:rsidRDefault="00F14D96" w:rsidP="00806A21">
      <w:pPr>
        <w:pStyle w:val="Sub-headings"/>
      </w:pPr>
      <w:r w:rsidRPr="1FEFDEFD">
        <w:t xml:space="preserve">The implementation of a trauma aware, healing informed approach to professional practice, and facilitating a greater understanding and respect for individual and collective cultures, histories, knowledges, traditions, stories, and values of Aboriginal and Torres Strait Islander service users, their families and communities, will greatly support the delivery of a quality and culturally safe aged care system. </w:t>
      </w:r>
    </w:p>
    <w:p w14:paraId="0ACF4EDF" w14:textId="396D1F63" w:rsidR="00666733" w:rsidRDefault="00F14D96" w:rsidP="00806A21">
      <w:pPr>
        <w:pStyle w:val="Sub-headings"/>
      </w:pPr>
      <w:r w:rsidRPr="1FEFDEFD">
        <w:t>Aged care service providers must also firmly commit to continuously measure and improve structures and behaviours necessary for cultural safety and quality support to remain embedded in the Australian aged care system</w:t>
      </w:r>
      <w:r w:rsidR="00F31E81" w:rsidRPr="1FEFDEFD">
        <w:t>.’</w:t>
      </w:r>
    </w:p>
    <w:p w14:paraId="6BB24082" w14:textId="77777777" w:rsidR="00666733" w:rsidRDefault="00666733" w:rsidP="00666733">
      <w:pPr>
        <w:spacing w:before="240" w:after="240" w:line="240" w:lineRule="auto"/>
      </w:pPr>
    </w:p>
    <w:p w14:paraId="32B0D8A7" w14:textId="77777777" w:rsidR="00666733" w:rsidRDefault="00666733" w:rsidP="00666733">
      <w:pPr>
        <w:spacing w:before="240" w:after="240" w:line="240" w:lineRule="auto"/>
      </w:pPr>
    </w:p>
    <w:p w14:paraId="77BC139C" w14:textId="77777777" w:rsidR="00666733" w:rsidRDefault="00666733" w:rsidP="00666733">
      <w:pPr>
        <w:spacing w:before="240" w:after="240" w:line="240" w:lineRule="auto"/>
      </w:pPr>
    </w:p>
    <w:p w14:paraId="06161FB3" w14:textId="77777777" w:rsidR="00666733" w:rsidRDefault="00666733" w:rsidP="00666733">
      <w:pPr>
        <w:spacing w:before="240" w:after="240" w:line="240" w:lineRule="auto"/>
      </w:pPr>
    </w:p>
    <w:p w14:paraId="7AD633EA" w14:textId="77777777" w:rsidR="00B4017B" w:rsidRPr="000F6CD1" w:rsidRDefault="00B4017B" w:rsidP="006647CE">
      <w:pPr>
        <w:pStyle w:val="h2"/>
        <w:rPr>
          <w:rFonts w:eastAsia="Arial"/>
        </w:rPr>
      </w:pPr>
      <w:bookmarkStart w:id="1017" w:name="_Toc204329614"/>
      <w:bookmarkStart w:id="1018" w:name="_Toc209189054"/>
      <w:bookmarkStart w:id="1019" w:name="_Toc233282507"/>
      <w:r w:rsidRPr="000F6CD1">
        <w:lastRenderedPageBreak/>
        <w:t>Cultural safety for other cohorts</w:t>
      </w:r>
      <w:bookmarkEnd w:id="1017"/>
      <w:bookmarkEnd w:id="1018"/>
      <w:bookmarkEnd w:id="1019"/>
    </w:p>
    <w:p w14:paraId="069294C4" w14:textId="77777777" w:rsidR="00B4017B" w:rsidRPr="000F6CD1" w:rsidRDefault="00B4017B" w:rsidP="00622CFF">
      <w:pPr>
        <w:spacing w:before="240" w:after="240" w:line="240" w:lineRule="auto"/>
      </w:pPr>
      <w:r w:rsidRPr="000F6CD1">
        <w:rPr>
          <w:rFonts w:eastAsia="Arial"/>
        </w:rPr>
        <w:t xml:space="preserve">Cultural safety is an important consideration for all culturally distinct groups, for example culturally and linguistically diverse and </w:t>
      </w:r>
      <w:r w:rsidRPr="000F6CD1">
        <w:t>lesbian</w:t>
      </w:r>
      <w:r w:rsidRPr="000F6CD1">
        <w:rPr>
          <w:rFonts w:eastAsia="Arial"/>
        </w:rPr>
        <w:t xml:space="preserve">, gay, bisexual, </w:t>
      </w:r>
      <w:r w:rsidRPr="000F6CD1">
        <w:t>trans/</w:t>
      </w:r>
      <w:r w:rsidRPr="000F6CD1">
        <w:rPr>
          <w:rFonts w:eastAsia="Arial"/>
        </w:rPr>
        <w:t>transgender</w:t>
      </w:r>
      <w:r w:rsidRPr="000F6CD1">
        <w:t xml:space="preserve">, intersex+ </w:t>
      </w:r>
      <w:r w:rsidRPr="000F6CD1">
        <w:rPr>
          <w:rFonts w:eastAsia="Arial"/>
        </w:rPr>
        <w:t>communit</w:t>
      </w:r>
      <w:r w:rsidRPr="000F6CD1">
        <w:t>ies. It’s important for assessors to recognise and respect the identities and customs of all older people who are culturally different from themselves, and have different life experiences, to provide equitable outcomes and quality assessment services.</w:t>
      </w:r>
    </w:p>
    <w:p w14:paraId="4061E750" w14:textId="77777777" w:rsidR="00B4017B" w:rsidRPr="000F6CD1" w:rsidRDefault="00B4017B" w:rsidP="00622CFF">
      <w:pPr>
        <w:spacing w:before="240" w:after="240" w:line="240" w:lineRule="auto"/>
      </w:pPr>
      <w:r w:rsidRPr="000F6CD1">
        <w:rPr>
          <w:rFonts w:eastAsia="Arial"/>
        </w:rPr>
        <w:t xml:space="preserve">Respecting a person’s identity, culture and diversity in aged care should focus around </w:t>
      </w:r>
      <w:r w:rsidRPr="000F6CD1">
        <w:t>understanding their individual needs and preferences and providing an assessment that is reflective of and responsive to their social, cultural, linguistic, religious, spiritual, psychological, medical and other needs, including cultural safety.</w:t>
      </w:r>
    </w:p>
    <w:p w14:paraId="06F3C62D" w14:textId="77777777" w:rsidR="00B4017B" w:rsidRPr="000F6CD1" w:rsidRDefault="00B4017B" w:rsidP="00622CFF">
      <w:pPr>
        <w:spacing w:before="240" w:after="240" w:line="240" w:lineRule="auto"/>
      </w:pPr>
      <w:r w:rsidRPr="000F6CD1">
        <w:t>Assessments for all older people, regardless of culture or background, should be conducted in a way that is:</w:t>
      </w:r>
    </w:p>
    <w:p w14:paraId="51066538" w14:textId="77777777" w:rsidR="00B4017B" w:rsidRPr="000F6CD1" w:rsidRDefault="00B4017B">
      <w:pPr>
        <w:pStyle w:val="ListParagraph"/>
        <w:numPr>
          <w:ilvl w:val="0"/>
          <w:numId w:val="361"/>
        </w:numPr>
        <w:spacing w:before="240" w:after="240" w:line="240" w:lineRule="auto"/>
      </w:pPr>
      <w:r w:rsidRPr="000F6CD1">
        <w:rPr>
          <w:b/>
        </w:rPr>
        <w:t>Welcoming and open-minded:</w:t>
      </w:r>
      <w:r w:rsidRPr="000F6CD1">
        <w:t xml:space="preserve"> an assessor truly listens to the older person and works from the older person’s cultural perspective, rather than their own</w:t>
      </w:r>
    </w:p>
    <w:p w14:paraId="7D65EA02" w14:textId="77777777" w:rsidR="00B4017B" w:rsidRPr="000F6CD1" w:rsidRDefault="00B4017B">
      <w:pPr>
        <w:pStyle w:val="ListParagraph"/>
        <w:numPr>
          <w:ilvl w:val="0"/>
          <w:numId w:val="361"/>
        </w:numPr>
        <w:spacing w:before="240" w:after="240" w:line="240" w:lineRule="auto"/>
      </w:pPr>
      <w:r w:rsidRPr="000F6CD1">
        <w:rPr>
          <w:b/>
        </w:rPr>
        <w:t>Respectful:</w:t>
      </w:r>
      <w:r w:rsidRPr="000F6CD1">
        <w:t xml:space="preserve"> recognises their cultural identities and customs and does not challenge, assault or deny the identity of the older person</w:t>
      </w:r>
    </w:p>
    <w:p w14:paraId="49CF58AB" w14:textId="77777777" w:rsidR="00B4017B" w:rsidRPr="000F6CD1" w:rsidRDefault="00B4017B">
      <w:pPr>
        <w:pStyle w:val="ListParagraph"/>
        <w:numPr>
          <w:ilvl w:val="0"/>
          <w:numId w:val="361"/>
        </w:numPr>
        <w:spacing w:before="240" w:after="240" w:line="240" w:lineRule="auto"/>
      </w:pPr>
      <w:r w:rsidRPr="000F6CD1">
        <w:rPr>
          <w:b/>
        </w:rPr>
        <w:t>Safe, inclusive and flexible:</w:t>
      </w:r>
      <w:r w:rsidRPr="000F6CD1">
        <w:t xml:space="preserve"> meets the older person’s needs, expectations and rights, and is supportive of diverse characteristics and life experiences</w:t>
      </w:r>
    </w:p>
    <w:p w14:paraId="32898166" w14:textId="77777777" w:rsidR="00B4017B" w:rsidRPr="000F6CD1" w:rsidRDefault="00B4017B">
      <w:pPr>
        <w:pStyle w:val="ListParagraph"/>
        <w:numPr>
          <w:ilvl w:val="0"/>
          <w:numId w:val="361"/>
        </w:numPr>
        <w:spacing w:before="240" w:after="240" w:line="240" w:lineRule="auto"/>
      </w:pPr>
      <w:r w:rsidRPr="000F6CD1">
        <w:rPr>
          <w:b/>
        </w:rPr>
        <w:t>Collaborative:</w:t>
      </w:r>
      <w:r w:rsidRPr="000F6CD1">
        <w:t xml:space="preserve"> shares meaning, knowledge and experience through meaningful dialogue between the older person and the assessor</w:t>
      </w:r>
    </w:p>
    <w:p w14:paraId="6035E165" w14:textId="77777777" w:rsidR="00B4017B" w:rsidRPr="000F6CD1" w:rsidRDefault="00B4017B">
      <w:pPr>
        <w:pStyle w:val="ListParagraph"/>
        <w:numPr>
          <w:ilvl w:val="0"/>
          <w:numId w:val="361"/>
        </w:numPr>
        <w:spacing w:before="240" w:after="240" w:line="240" w:lineRule="auto"/>
      </w:pPr>
      <w:r w:rsidRPr="000F6CD1">
        <w:rPr>
          <w:b/>
        </w:rPr>
        <w:t>Self-determined:</w:t>
      </w:r>
      <w:r w:rsidRPr="000F6CD1">
        <w:t xml:space="preserve"> provides choice, participation and control to the older person, and allows them to make decisions about matters that affect them</w:t>
      </w:r>
    </w:p>
    <w:p w14:paraId="0E14DA81" w14:textId="77777777" w:rsidR="00B4017B" w:rsidRPr="000F6CD1" w:rsidRDefault="00B4017B" w:rsidP="00622CFF">
      <w:pPr>
        <w:spacing w:before="240" w:after="240" w:line="240" w:lineRule="auto"/>
      </w:pPr>
    </w:p>
    <w:tbl>
      <w:tblPr>
        <w:tblStyle w:val="TableGrid"/>
        <w:tblW w:w="0" w:type="auto"/>
        <w:tblLook w:val="04A0" w:firstRow="1" w:lastRow="0" w:firstColumn="1" w:lastColumn="0" w:noHBand="0" w:noVBand="1"/>
      </w:tblPr>
      <w:tblGrid>
        <w:gridCol w:w="988"/>
        <w:gridCol w:w="8028"/>
      </w:tblGrid>
      <w:tr w:rsidR="00B4017B" w:rsidRPr="000F6CD1" w14:paraId="1D912A01" w14:textId="77777777">
        <w:tc>
          <w:tcPr>
            <w:tcW w:w="988" w:type="dxa"/>
          </w:tcPr>
          <w:p w14:paraId="510F2F2D" w14:textId="77777777" w:rsidR="00B4017B" w:rsidRPr="000F6CD1" w:rsidRDefault="00B4017B" w:rsidP="00622CFF">
            <w:pPr>
              <w:spacing w:before="240" w:after="240"/>
              <w:rPr>
                <w:rStyle w:val="Hyperlink"/>
                <w:szCs w:val="22"/>
              </w:rPr>
            </w:pPr>
            <w:r w:rsidRPr="000F6CD1">
              <w:rPr>
                <w:rStyle w:val="Hyperlink"/>
                <w:noProof/>
                <w:szCs w:val="22"/>
              </w:rPr>
              <w:drawing>
                <wp:anchor distT="0" distB="0" distL="114300" distR="114300" simplePos="0" relativeHeight="251658319" behindDoc="0" locked="0" layoutInCell="1" allowOverlap="1" wp14:anchorId="14C8D8FF" wp14:editId="22858C64">
                  <wp:simplePos x="0" y="0"/>
                  <wp:positionH relativeFrom="column">
                    <wp:posOffset>-66675</wp:posOffset>
                  </wp:positionH>
                  <wp:positionV relativeFrom="paragraph">
                    <wp:posOffset>29845</wp:posOffset>
                  </wp:positionV>
                  <wp:extent cx="447675" cy="445135"/>
                  <wp:effectExtent l="0" t="0" r="0" b="0"/>
                  <wp:wrapSquare wrapText="bothSides"/>
                  <wp:docPr id="1383675884" name="Picture 1383675884"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75884" name="Picture 1383675884"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p w14:paraId="4E91A08C" w14:textId="77777777" w:rsidR="00B4017B" w:rsidRPr="000F6CD1" w:rsidRDefault="00B4017B" w:rsidP="00622CFF">
            <w:pPr>
              <w:spacing w:before="240" w:after="240"/>
              <w:rPr>
                <w:rStyle w:val="Hyperlink"/>
                <w:szCs w:val="22"/>
              </w:rPr>
            </w:pPr>
          </w:p>
        </w:tc>
        <w:tc>
          <w:tcPr>
            <w:tcW w:w="8028" w:type="dxa"/>
          </w:tcPr>
          <w:p w14:paraId="43C8F479" w14:textId="77777777" w:rsidR="00B4017B" w:rsidRPr="000F6CD1" w:rsidRDefault="00B4017B">
            <w:pPr>
              <w:spacing w:before="240" w:after="240"/>
              <w:rPr>
                <w:rStyle w:val="Hyperlink"/>
                <w:szCs w:val="22"/>
              </w:rPr>
            </w:pPr>
            <w:r w:rsidRPr="000F6CD1">
              <w:rPr>
                <w:rStyle w:val="Hyperlink"/>
                <w:szCs w:val="22"/>
              </w:rPr>
              <w:fldChar w:fldCharType="begin"/>
            </w:r>
            <w:r w:rsidRPr="000F6CD1">
              <w:rPr>
                <w:rStyle w:val="Hyperlink"/>
                <w:szCs w:val="22"/>
              </w:rPr>
              <w:instrText>HYPERLINK "https://www.health.gov.au/resources/publications/delivering-inclusive-aged-care-booklet?language=en"</w:instrText>
            </w:r>
            <w:r w:rsidRPr="000F6CD1">
              <w:rPr>
                <w:rStyle w:val="Hyperlink"/>
                <w:szCs w:val="22"/>
              </w:rPr>
            </w:r>
            <w:r w:rsidRPr="000F6CD1">
              <w:rPr>
                <w:rStyle w:val="Hyperlink"/>
                <w:szCs w:val="22"/>
              </w:rPr>
              <w:fldChar w:fldCharType="separate"/>
            </w:r>
            <w:r w:rsidRPr="000F6CD1">
              <w:rPr>
                <w:rStyle w:val="Hyperlink"/>
                <w:szCs w:val="22"/>
              </w:rPr>
              <w:t>Delivering inclusive aged care booklet</w:t>
            </w:r>
          </w:p>
          <w:p w14:paraId="0F57A917" w14:textId="77777777" w:rsidR="00B4017B" w:rsidRPr="000F6CD1" w:rsidRDefault="00B4017B" w:rsidP="00622CFF">
            <w:pPr>
              <w:spacing w:before="240" w:after="240"/>
              <w:rPr>
                <w:rStyle w:val="Hyperlink"/>
                <w:szCs w:val="22"/>
              </w:rPr>
            </w:pPr>
            <w:r w:rsidRPr="000F6CD1">
              <w:rPr>
                <w:rStyle w:val="Hyperlink"/>
                <w:szCs w:val="22"/>
              </w:rPr>
              <w:fldChar w:fldCharType="end"/>
            </w:r>
            <w:hyperlink r:id="rId284" w:history="1">
              <w:r w:rsidRPr="000F6CD1">
                <w:rPr>
                  <w:rStyle w:val="Hyperlink"/>
                  <w:szCs w:val="22"/>
                </w:rPr>
                <w:t>Aged Care Diversity Framework action plans | Australian Government Department of Health, Disability and Ageing</w:t>
              </w:r>
            </w:hyperlink>
          </w:p>
          <w:p w14:paraId="30FE96BF" w14:textId="77777777" w:rsidR="00B4017B" w:rsidRPr="000F6CD1" w:rsidRDefault="00B4017B" w:rsidP="00622CFF">
            <w:pPr>
              <w:spacing w:before="240" w:after="240"/>
              <w:rPr>
                <w:rStyle w:val="Hyperlink"/>
              </w:rPr>
            </w:pPr>
            <w:hyperlink r:id="rId285">
              <w:r w:rsidRPr="000F6CD1">
                <w:rPr>
                  <w:rStyle w:val="Hyperlink"/>
                  <w:szCs w:val="22"/>
                </w:rPr>
                <w:t>Partners in Culturally Appropriate Care (PICAC)</w:t>
              </w:r>
            </w:hyperlink>
            <w:r w:rsidRPr="000F6CD1">
              <w:rPr>
                <w:rStyle w:val="Hyperlink"/>
              </w:rPr>
              <w:t xml:space="preserve"> </w:t>
            </w:r>
          </w:p>
          <w:p w14:paraId="31E9EA7D" w14:textId="77777777" w:rsidR="00B4017B" w:rsidRPr="000F6CD1" w:rsidRDefault="00B4017B" w:rsidP="00622CFF">
            <w:pPr>
              <w:spacing w:before="240" w:after="240"/>
              <w:rPr>
                <w:rStyle w:val="Hyperlink"/>
                <w:szCs w:val="22"/>
              </w:rPr>
            </w:pPr>
            <w:hyperlink r:id="rId286">
              <w:r w:rsidRPr="000F6CD1">
                <w:rPr>
                  <w:rStyle w:val="Hyperlink"/>
                  <w:szCs w:val="22"/>
                </w:rPr>
                <w:t>Working with Diverse Groups in Aged Care</w:t>
              </w:r>
            </w:hyperlink>
            <w:r w:rsidRPr="000F6CD1">
              <w:rPr>
                <w:rStyle w:val="Hyperlink"/>
                <w:szCs w:val="22"/>
              </w:rPr>
              <w:t xml:space="preserve"> </w:t>
            </w:r>
          </w:p>
          <w:p w14:paraId="75D593B9" w14:textId="77777777" w:rsidR="00B4017B" w:rsidRPr="000F6CD1" w:rsidRDefault="00B4017B" w:rsidP="00622CFF">
            <w:pPr>
              <w:spacing w:before="240" w:after="240"/>
              <w:rPr>
                <w:rStyle w:val="Hyperlink"/>
                <w:szCs w:val="22"/>
              </w:rPr>
            </w:pPr>
            <w:hyperlink r:id="rId287" w:history="1">
              <w:r w:rsidRPr="000F6CD1">
                <w:rPr>
                  <w:rStyle w:val="Hyperlink"/>
                  <w:szCs w:val="22"/>
                </w:rPr>
                <w:t>Australian Migrant Resource Centres</w:t>
              </w:r>
            </w:hyperlink>
          </w:p>
        </w:tc>
      </w:tr>
    </w:tbl>
    <w:p w14:paraId="65051D56" w14:textId="77777777" w:rsidR="00B4017B" w:rsidRPr="000F6CD1" w:rsidRDefault="00B4017B" w:rsidP="00AD2CE5">
      <w:pPr>
        <w:pStyle w:val="H3"/>
      </w:pPr>
      <w:bookmarkStart w:id="1020" w:name="_Toc198816554"/>
      <w:bookmarkStart w:id="1021" w:name="_Toc204329615"/>
      <w:r w:rsidRPr="000F6CD1">
        <w:t>Aboriginal and Torres Strait Islander assessment organisations</w:t>
      </w:r>
      <w:bookmarkEnd w:id="1020"/>
      <w:bookmarkEnd w:id="1021"/>
    </w:p>
    <w:p w14:paraId="10435632" w14:textId="77777777" w:rsidR="00B4017B" w:rsidRPr="000F6CD1" w:rsidRDefault="00B4017B" w:rsidP="00622CFF">
      <w:pPr>
        <w:spacing w:before="240" w:after="240" w:line="240" w:lineRule="auto"/>
      </w:pPr>
      <w:r w:rsidRPr="000F6CD1">
        <w:t>As a part of the Single Assessment System, Aboriginal and Torres Strait Islander assessment organisations began being rolled out from August 2025. These assessment organisations provide a choice for older Aboriginal and Torres Strait Islander people seeking access to a culturally safe aged care assessment. A small number of organisations will commence providing these services initially and over time, these services will extend their reach and progressively cover more areas across Australia. </w:t>
      </w:r>
    </w:p>
    <w:p w14:paraId="024E6980" w14:textId="54214469" w:rsidR="00B4017B" w:rsidRPr="000F6CD1" w:rsidRDefault="00B4017B" w:rsidP="00622CFF">
      <w:pPr>
        <w:spacing w:before="240" w:after="240" w:line="240" w:lineRule="auto"/>
      </w:pPr>
      <w:r w:rsidRPr="000F6CD1">
        <w:lastRenderedPageBreak/>
        <w:t>A culturally safe assessment process will help to improve the experience for older Aboriginal and Torres Strait Islander people and increase their uptake of aged care services. This will support them to maintain their independence at home for longer.</w:t>
      </w:r>
      <w:r w:rsidR="00F31E81" w:rsidRPr="000F6CD1">
        <w:t xml:space="preserve"> </w:t>
      </w:r>
    </w:p>
    <w:p w14:paraId="153202DC" w14:textId="6293A9CE" w:rsidR="00B4017B" w:rsidRPr="000F6CD1" w:rsidRDefault="00C661B0" w:rsidP="00622CFF">
      <w:pPr>
        <w:spacing w:before="240" w:after="240" w:line="240" w:lineRule="auto"/>
      </w:pPr>
      <w:r>
        <w:rPr>
          <w:noProof/>
          <w14:ligatures w14:val="standardContextual"/>
        </w:rPr>
        <w:drawing>
          <wp:anchor distT="0" distB="0" distL="114300" distR="114300" simplePos="0" relativeHeight="251658320" behindDoc="0" locked="0" layoutInCell="1" allowOverlap="1" wp14:anchorId="2F0BE3A3" wp14:editId="28A9CD19">
            <wp:simplePos x="0" y="0"/>
            <wp:positionH relativeFrom="margin">
              <wp:posOffset>-979</wp:posOffset>
            </wp:positionH>
            <wp:positionV relativeFrom="margin">
              <wp:posOffset>1001282</wp:posOffset>
            </wp:positionV>
            <wp:extent cx="365792" cy="403895"/>
            <wp:effectExtent l="0" t="0" r="0" b="0"/>
            <wp:wrapSquare wrapText="bothSides"/>
            <wp:docPr id="101252968"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2968"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The organisations will help older Aboriginal and Torres Strait Islander people, their families, and carers, to access aged care services across urban, regional, and remote Australia. </w:t>
      </w:r>
    </w:p>
    <w:p w14:paraId="3AA45D9C" w14:textId="11626A19" w:rsidR="00B4017B" w:rsidRPr="000F6CD1" w:rsidRDefault="00B4017B" w:rsidP="00622CFF">
      <w:pPr>
        <w:spacing w:before="240" w:after="240" w:line="240" w:lineRule="auto"/>
      </w:pPr>
      <w:r w:rsidRPr="000F6CD1">
        <w:t>Aboriginal and Torres Strait Islander assessment organisations will:  </w:t>
      </w:r>
    </w:p>
    <w:p w14:paraId="4EA7F02E" w14:textId="0AD467EE" w:rsidR="00B4017B" w:rsidRPr="000F6CD1" w:rsidRDefault="00B4017B">
      <w:pPr>
        <w:pStyle w:val="ListParagraph"/>
        <w:numPr>
          <w:ilvl w:val="0"/>
          <w:numId w:val="351"/>
        </w:numPr>
        <w:spacing w:before="240" w:after="240" w:line="240" w:lineRule="auto"/>
      </w:pPr>
      <w:r w:rsidRPr="000F6CD1">
        <w:t>Take a less formal yarning approach to assessments to make the older Aboriginal and Torres Strait Islander person feel comfortable.</w:t>
      </w:r>
      <w:r w:rsidR="00F31E81" w:rsidRPr="000F6CD1">
        <w:t xml:space="preserve"> </w:t>
      </w:r>
    </w:p>
    <w:p w14:paraId="1BB5EBA1" w14:textId="720CD25E" w:rsidR="00B4017B" w:rsidRPr="000F6CD1" w:rsidRDefault="00B4017B">
      <w:pPr>
        <w:pStyle w:val="ListParagraph"/>
        <w:numPr>
          <w:ilvl w:val="0"/>
          <w:numId w:val="352"/>
        </w:numPr>
        <w:spacing w:before="240" w:after="240" w:line="240" w:lineRule="auto"/>
      </w:pPr>
      <w:r w:rsidRPr="000F6CD1">
        <w:t>Undertake face-to-face assessments, where possible. This could be in the older person’s home, at a community centre, or outdoors at a place of the older person’s choosing.</w:t>
      </w:r>
      <w:r w:rsidR="00F31E81" w:rsidRPr="000F6CD1">
        <w:t xml:space="preserve"> </w:t>
      </w:r>
    </w:p>
    <w:p w14:paraId="2D1D4DF1" w14:textId="77777777" w:rsidR="00B4017B" w:rsidRPr="000F6CD1" w:rsidRDefault="00B4017B">
      <w:pPr>
        <w:pStyle w:val="ListParagraph"/>
        <w:numPr>
          <w:ilvl w:val="0"/>
          <w:numId w:val="353"/>
        </w:numPr>
        <w:spacing w:before="240" w:after="240" w:line="240" w:lineRule="auto"/>
      </w:pPr>
      <w:r w:rsidRPr="000F6CD1">
        <w:t>In line with the older person’s wishes, welcome the presence of the older person's family member, advocate or registered supporters, to be part of the meetings. </w:t>
      </w:r>
    </w:p>
    <w:p w14:paraId="5843D0D8" w14:textId="7A67CF37" w:rsidR="00B4017B" w:rsidRPr="000F6CD1" w:rsidRDefault="00B4017B">
      <w:pPr>
        <w:pStyle w:val="ListParagraph"/>
        <w:numPr>
          <w:ilvl w:val="0"/>
          <w:numId w:val="354"/>
        </w:numPr>
        <w:spacing w:before="240" w:after="240" w:line="240" w:lineRule="auto"/>
      </w:pPr>
      <w:r w:rsidRPr="000F6CD1">
        <w:t>Allow for multiple visits, if required, to build trust and develop a relationship.</w:t>
      </w:r>
      <w:r w:rsidR="00F31E81" w:rsidRPr="000F6CD1">
        <w:t xml:space="preserve"> </w:t>
      </w:r>
    </w:p>
    <w:p w14:paraId="3CAFD472" w14:textId="495F694E" w:rsidR="00B4017B" w:rsidRPr="000F6CD1" w:rsidRDefault="00B4017B">
      <w:pPr>
        <w:pStyle w:val="ListParagraph"/>
        <w:numPr>
          <w:ilvl w:val="0"/>
          <w:numId w:val="355"/>
        </w:numPr>
        <w:spacing w:before="240" w:after="240" w:line="240" w:lineRule="auto"/>
      </w:pPr>
      <w:r w:rsidRPr="000F6CD1">
        <w:t>Be embedded within the local community. Connecting with the local community with their knowledge of local services, customs and protocols will allow them to support matching appropriate assessors to the older person’s preferences and needs.</w:t>
      </w:r>
      <w:r w:rsidR="00F31E81" w:rsidRPr="000F6CD1">
        <w:t xml:space="preserve"> </w:t>
      </w:r>
    </w:p>
    <w:p w14:paraId="4075FB6C" w14:textId="796CB416" w:rsidR="00B4017B" w:rsidRPr="000F6CD1" w:rsidRDefault="00B4017B">
      <w:pPr>
        <w:pStyle w:val="ListParagraph"/>
        <w:numPr>
          <w:ilvl w:val="0"/>
          <w:numId w:val="356"/>
        </w:numPr>
        <w:spacing w:before="240" w:after="240" w:line="240" w:lineRule="auto"/>
      </w:pPr>
      <w:r w:rsidRPr="000F6CD1">
        <w:t>Be supported by connection to community to gather information about the older person’s health and wellbeing to understand the aged care services they need prior to meeting them. This will limit the amount of information that the assessor needs to draw from the assessment, which will help to limit the number of times that the older person needs to re-tell their story.</w:t>
      </w:r>
      <w:r w:rsidR="00F31E81" w:rsidRPr="000F6CD1">
        <w:t xml:space="preserve"> </w:t>
      </w:r>
    </w:p>
    <w:p w14:paraId="093B2831" w14:textId="5E59283E" w:rsidR="00B4017B" w:rsidRPr="000F6CD1" w:rsidRDefault="00B4017B">
      <w:pPr>
        <w:pStyle w:val="ListParagraph"/>
        <w:numPr>
          <w:ilvl w:val="0"/>
          <w:numId w:val="357"/>
        </w:numPr>
        <w:spacing w:before="240" w:after="240" w:line="240" w:lineRule="auto"/>
      </w:pPr>
      <w:r w:rsidRPr="000F6CD1">
        <w:t>Maintain a connection with the older person for the whole journey to receiving services, through Elder Care Support workers. This will help to manage any uncertainty or questions throughout the process.</w:t>
      </w:r>
      <w:r w:rsidR="00F31E81" w:rsidRPr="000F6CD1">
        <w:t xml:space="preserve"> </w:t>
      </w:r>
    </w:p>
    <w:p w14:paraId="3D819DFE" w14:textId="5DF431D3" w:rsidR="00B4017B" w:rsidRPr="000F6CD1" w:rsidRDefault="00B4017B">
      <w:pPr>
        <w:pStyle w:val="ListParagraph"/>
        <w:numPr>
          <w:ilvl w:val="0"/>
          <w:numId w:val="358"/>
        </w:numPr>
        <w:spacing w:before="240" w:after="240" w:line="240" w:lineRule="auto"/>
      </w:pPr>
      <w:r w:rsidRPr="000F6CD1">
        <w:t>Work with organisations that support Stolen Generation survivors, such as the Healing Foundation Peak or seek advice from the Link Up organisations on who is best to support Stolen Generation survivors in your state or territory.</w:t>
      </w:r>
    </w:p>
    <w:p w14:paraId="3096E9F9" w14:textId="77777777" w:rsidR="00B4017B" w:rsidRPr="000F6CD1" w:rsidRDefault="00B4017B">
      <w:pPr>
        <w:pStyle w:val="ListParagraph"/>
        <w:numPr>
          <w:ilvl w:val="0"/>
          <w:numId w:val="359"/>
        </w:numPr>
        <w:spacing w:before="240" w:after="240" w:line="240" w:lineRule="auto"/>
      </w:pPr>
      <w:r w:rsidRPr="000F6CD1">
        <w:t>Provide interpreting services when needed. </w:t>
      </w:r>
    </w:p>
    <w:p w14:paraId="289AC0FD" w14:textId="77777777" w:rsidR="00B4017B" w:rsidRPr="000F6CD1" w:rsidRDefault="00B4017B" w:rsidP="00622CFF">
      <w:pPr>
        <w:spacing w:before="240" w:after="240" w:line="240" w:lineRule="auto"/>
      </w:pPr>
      <w:r w:rsidRPr="000F6CD1">
        <w:t xml:space="preserve">Until an Aboriginal and Torres Strait Islander service is available in their area, older Aboriginal and Torres Strait Islander people can receive aged care assessments via an existing assessment organisation. Once an Aboriginal and Torres Strait Islander organisation becomes available, older Aboriginal and Torres Strait Islander people will have the choice to be assessed through either assessment pathway. </w:t>
      </w:r>
    </w:p>
    <w:p w14:paraId="53EA60FB" w14:textId="76F39E31" w:rsidR="00B4017B" w:rsidRPr="000F6CD1" w:rsidRDefault="00B4017B" w:rsidP="00622CFF">
      <w:pPr>
        <w:spacing w:before="240" w:after="240" w:line="240" w:lineRule="auto"/>
      </w:pPr>
      <w:r w:rsidRPr="000F6CD1">
        <w:t xml:space="preserve"> </w:t>
      </w:r>
      <w:r w:rsidRPr="000F6CD1">
        <w:rPr>
          <w:noProof/>
        </w:rPr>
        <w:drawing>
          <wp:inline distT="0" distB="0" distL="0" distR="0" wp14:anchorId="4C5EC53E" wp14:editId="67FF9EB9">
            <wp:extent cx="456462" cy="453946"/>
            <wp:effectExtent l="0" t="0" r="0" b="0"/>
            <wp:docPr id="1202594309" name="Picture 120259430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4309" name="Picture 1202594309" descr="A black-and-white “i” icon inside a speech bubble, used to show where there are links to additional information and resources. "/>
                    <pic:cNvPicPr/>
                  </pic:nvPicPr>
                  <pic:blipFill>
                    <a:blip r:embed="rId288">
                      <a:extLst>
                        <a:ext uri="{28A0092B-C50C-407E-A947-70E740481C1C}">
                          <a14:useLocalDpi xmlns:a14="http://schemas.microsoft.com/office/drawing/2010/main" val="0"/>
                        </a:ext>
                      </a:extLst>
                    </a:blip>
                    <a:stretch>
                      <a:fillRect/>
                    </a:stretch>
                  </pic:blipFill>
                  <pic:spPr>
                    <a:xfrm>
                      <a:off x="0" y="0"/>
                      <a:ext cx="456462" cy="453946"/>
                    </a:xfrm>
                    <a:prstGeom prst="rect">
                      <a:avLst/>
                    </a:prstGeom>
                  </pic:spPr>
                </pic:pic>
              </a:graphicData>
            </a:graphic>
          </wp:inline>
        </w:drawing>
      </w:r>
      <w:r w:rsidRPr="000F6CD1">
        <w:t xml:space="preserve">  </w:t>
      </w:r>
      <w:r w:rsidRPr="000F6CD1">
        <w:rPr>
          <w:b/>
        </w:rPr>
        <w:t>More information available at</w:t>
      </w:r>
      <w:r w:rsidRPr="000F6CD1">
        <w:t xml:space="preserve"> - </w:t>
      </w:r>
      <w:hyperlink r:id="rId289" w:history="1">
        <w:r w:rsidRPr="000F6CD1">
          <w:rPr>
            <w:rStyle w:val="Hyperlink"/>
          </w:rPr>
          <w:t>Aboriginal and Torres Strait Islander Aged Care Assessment Organisations.</w:t>
        </w:r>
        <w:r w:rsidRPr="000F6CD1">
          <w:rPr>
            <w:rStyle w:val="Hyperlink"/>
            <w:b/>
          </w:rPr>
          <w:t xml:space="preserve"> </w:t>
        </w:r>
      </w:hyperlink>
      <w:r w:rsidRPr="000F6CD1">
        <w:rPr>
          <w:b/>
        </w:rPr>
        <w:t xml:space="preserve"> </w:t>
      </w:r>
    </w:p>
    <w:p w14:paraId="61976A6D" w14:textId="780EE997" w:rsidR="00B4017B" w:rsidRPr="000F6CD1" w:rsidRDefault="00B4017B" w:rsidP="006647CE">
      <w:pPr>
        <w:pStyle w:val="h2"/>
      </w:pPr>
      <w:bookmarkStart w:id="1022" w:name="_Toc209189055"/>
      <w:bookmarkStart w:id="1023" w:name="_Toc233282508"/>
      <w:bookmarkStart w:id="1024" w:name="_Toc159226892"/>
      <w:bookmarkStart w:id="1025" w:name="_Toc184402309"/>
      <w:bookmarkStart w:id="1026" w:name="_Toc204329616"/>
      <w:r w:rsidRPr="000F6CD1">
        <w:t>People living with dementia</w:t>
      </w:r>
      <w:bookmarkEnd w:id="1022"/>
      <w:bookmarkEnd w:id="1023"/>
    </w:p>
    <w:p w14:paraId="08DAD15C" w14:textId="77777777" w:rsidR="00B4017B" w:rsidRPr="000F6CD1" w:rsidRDefault="00B4017B" w:rsidP="00622CFF">
      <w:pPr>
        <w:spacing w:before="240" w:after="240" w:line="240" w:lineRule="auto"/>
        <w:rPr>
          <w:rFonts w:eastAsia="MS PGothic"/>
        </w:rPr>
      </w:pPr>
      <w:r w:rsidRPr="000F6CD1">
        <w:rPr>
          <w:rFonts w:eastAsia="MS PGothic"/>
        </w:rPr>
        <w:t xml:space="preserve">Under the Statement of Rights in section 23 of the </w:t>
      </w:r>
      <w:r w:rsidRPr="008D3552">
        <w:rPr>
          <w:rFonts w:eastAsia="MS PGothic"/>
          <w:i/>
          <w:iCs/>
        </w:rPr>
        <w:t>Aged Care Act 2024</w:t>
      </w:r>
      <w:r w:rsidRPr="000F6CD1">
        <w:rPr>
          <w:rFonts w:eastAsia="MS PGothic"/>
        </w:rPr>
        <w:t xml:space="preserve"> (the Act), an individual has a right to equitable access to an assessment in a manner that is accessible and suitable for individuals living with dementia or other cognitive impairment. </w:t>
      </w:r>
    </w:p>
    <w:p w14:paraId="4F6269CE" w14:textId="77777777" w:rsidR="00851E1C" w:rsidRDefault="00B4017B" w:rsidP="19EF0358">
      <w:pPr>
        <w:spacing w:before="240" w:after="240" w:line="240" w:lineRule="auto"/>
        <w:rPr>
          <w:rFonts w:eastAsia="MS PGothic"/>
        </w:rPr>
      </w:pPr>
      <w:r w:rsidRPr="000F6CD1">
        <w:rPr>
          <w:rFonts w:eastAsia="MS PGothic"/>
        </w:rPr>
        <w:t xml:space="preserve">The Australian Government recognises the unique needs of people with dementia and their families, registered supporters or other people who support them. People with dementia can experience </w:t>
      </w:r>
      <w:hyperlink r:id="rId290" w:history="1">
        <w:r w:rsidRPr="000F6CD1">
          <w:rPr>
            <w:rStyle w:val="Hyperlink"/>
            <w:rFonts w:eastAsia="MS PGothic"/>
          </w:rPr>
          <w:t>communication challenges,</w:t>
        </w:r>
      </w:hyperlink>
      <w:r w:rsidRPr="000F6CD1">
        <w:rPr>
          <w:rFonts w:eastAsia="MS PGothic"/>
        </w:rPr>
        <w:t xml:space="preserve"> which emphasises the need for clear, respectful and effective engagement that is person-centred. </w:t>
      </w:r>
    </w:p>
    <w:p w14:paraId="4D9E7044" w14:textId="69D5EFEE" w:rsidR="00B4017B" w:rsidRPr="000F6CD1" w:rsidRDefault="00B4017B" w:rsidP="19EF0358">
      <w:pPr>
        <w:spacing w:before="240" w:after="240" w:line="240" w:lineRule="auto"/>
        <w:rPr>
          <w:rFonts w:eastAsia="MS PGothic"/>
        </w:rPr>
      </w:pPr>
      <w:r w:rsidRPr="000F6CD1">
        <w:rPr>
          <w:rFonts w:eastAsia="MS PGothic"/>
        </w:rPr>
        <w:lastRenderedPageBreak/>
        <w:t xml:space="preserve">As dementia is a progressive condition, people will require reassessment to respond to changing needs and to plan appropriate, personalised, care and support. </w:t>
      </w:r>
    </w:p>
    <w:p w14:paraId="5245C33C" w14:textId="77777777" w:rsidR="00B4017B" w:rsidRPr="000F6CD1" w:rsidRDefault="00B4017B" w:rsidP="19EF0358">
      <w:pPr>
        <w:spacing w:before="240" w:after="240" w:line="240" w:lineRule="auto"/>
        <w:rPr>
          <w:rFonts w:eastAsia="MS PGothic"/>
          <w:b/>
          <w:bCs/>
        </w:rPr>
      </w:pPr>
      <w:r w:rsidRPr="000F6CD1">
        <w:rPr>
          <w:rFonts w:eastAsia="MS PGothic"/>
          <w:b/>
          <w:bCs/>
        </w:rPr>
        <w:t xml:space="preserve">Presumption of capacity </w:t>
      </w:r>
    </w:p>
    <w:p w14:paraId="595FA92A" w14:textId="77777777" w:rsidR="00B4017B" w:rsidRPr="000F6CD1" w:rsidRDefault="00B4017B" w:rsidP="00B41B3C">
      <w:pPr>
        <w:spacing w:after="0" w:line="240" w:lineRule="auto"/>
        <w:rPr>
          <w:b/>
          <w:bCs/>
        </w:rPr>
      </w:pPr>
      <w:r w:rsidRPr="000F6CD1">
        <w:t>The Act establishes a modern rights-based, person-centred approach that prioritises the safety, health and wellbeing of older people. As such, it places older people and their wishes at the centre of the aged care system.</w:t>
      </w:r>
    </w:p>
    <w:p w14:paraId="45E99E54" w14:textId="77777777" w:rsidR="00B4017B" w:rsidRPr="000F6CD1" w:rsidRDefault="00B4017B" w:rsidP="00B41B3C">
      <w:pPr>
        <w:spacing w:after="0" w:line="240" w:lineRule="auto"/>
      </w:pPr>
    </w:p>
    <w:p w14:paraId="2E6BCFD6" w14:textId="77777777" w:rsidR="00B4017B" w:rsidRPr="000F6CD1" w:rsidRDefault="00B4017B" w:rsidP="00A3481B">
      <w:pPr>
        <w:spacing w:after="0" w:line="240" w:lineRule="auto"/>
      </w:pPr>
      <w:r w:rsidRPr="000F6CD1">
        <w:t>A key change under the Act is that every older person is presumed to have the ability to make their own decisions and to have those decisions respected and recognised by law. This is known as the presumption of capacity. This means that other people, for example assessors, registered supporters, workers, health professionals and carers, should assume in the first instance that an older person can make their own decisions and do things themselves. </w:t>
      </w:r>
    </w:p>
    <w:p w14:paraId="79111DFB" w14:textId="77777777" w:rsidR="00B4017B" w:rsidRPr="000F6CD1" w:rsidRDefault="00B4017B" w:rsidP="00A3481B">
      <w:pPr>
        <w:spacing w:after="0" w:line="240" w:lineRule="auto"/>
      </w:pPr>
    </w:p>
    <w:p w14:paraId="20B80CD6" w14:textId="77777777" w:rsidR="00B4017B" w:rsidRPr="000F6CD1" w:rsidRDefault="00B4017B" w:rsidP="009B5AB3">
      <w:pPr>
        <w:spacing w:after="0" w:line="240" w:lineRule="auto"/>
        <w:rPr>
          <w:b/>
          <w:bCs/>
        </w:rPr>
      </w:pPr>
      <w:r w:rsidRPr="000F6CD1">
        <w:t xml:space="preserve">The presumption of capacity applies to every decision to be made. This means that an older person is presumed to be able to make every new decision. If an older person is not able to make a decision on one occasion, it does not mean the older person should be excluded from decision-making on other occasions. </w:t>
      </w:r>
    </w:p>
    <w:p w14:paraId="4FD141E3" w14:textId="77777777" w:rsidR="00B4017B" w:rsidRPr="000F6CD1" w:rsidRDefault="00B4017B" w:rsidP="009B5AB3">
      <w:pPr>
        <w:spacing w:after="0" w:line="240" w:lineRule="auto"/>
        <w:rPr>
          <w:b/>
          <w:bCs/>
        </w:rPr>
      </w:pPr>
    </w:p>
    <w:p w14:paraId="29D97AA2" w14:textId="77777777" w:rsidR="00B4017B" w:rsidRPr="000F6CD1" w:rsidRDefault="00B4017B" w:rsidP="00A3481B">
      <w:pPr>
        <w:spacing w:after="0" w:line="240" w:lineRule="auto"/>
        <w:rPr>
          <w:b/>
        </w:rPr>
      </w:pPr>
      <w:r w:rsidRPr="000F6CD1">
        <w:t xml:space="preserve">Assessors should implement supported decision-making principles and processes where appropriate, regardless of the presence or absence of a registered supporter, active appointed decision-maker, or other person supporting an older person. </w:t>
      </w:r>
    </w:p>
    <w:p w14:paraId="1742522D" w14:textId="17B0A0B2" w:rsidR="00B4017B" w:rsidRPr="000F6CD1" w:rsidRDefault="00234EA2" w:rsidP="00806A21">
      <w:pPr>
        <w:pStyle w:val="Sub-headings"/>
      </w:pPr>
      <w:r>
        <w:t xml:space="preserve">Note: </w:t>
      </w:r>
      <w:r w:rsidR="00B4017B" w:rsidRPr="000F6CD1">
        <w:t>A diagnosis does not necessarily mean that a person no longer has the ability to make some or all decisions for themselves. This includes diagnoses of dementia, mental illness, intellectual or cognitive disability, or acquired brain injury. For example, simply because a person has been diagnosed with dementia, does not mean that they lack decision-making ability for some or all decisions.</w:t>
      </w:r>
    </w:p>
    <w:p w14:paraId="66573A19" w14:textId="77777777" w:rsidR="00B4017B" w:rsidRPr="000F6CD1" w:rsidRDefault="00B4017B" w:rsidP="19EF0358">
      <w:pPr>
        <w:spacing w:before="240" w:after="240" w:line="240" w:lineRule="auto"/>
        <w:rPr>
          <w:b/>
          <w:bCs/>
        </w:rPr>
      </w:pPr>
      <w:r w:rsidRPr="000F6CD1">
        <w:rPr>
          <w:rFonts w:eastAsia="MS PGothic"/>
          <w:b/>
          <w:bCs/>
        </w:rPr>
        <w:t>Guidance for assessors</w:t>
      </w:r>
    </w:p>
    <w:p w14:paraId="3B5CC24D" w14:textId="77777777" w:rsidR="00B4017B" w:rsidRPr="000F6CD1" w:rsidRDefault="00B4017B" w:rsidP="19EF0358">
      <w:pPr>
        <w:spacing w:before="240" w:after="240" w:line="240" w:lineRule="auto"/>
        <w:rPr>
          <w:rFonts w:eastAsia="MS PGothic"/>
        </w:rPr>
      </w:pPr>
      <w:r w:rsidRPr="000F6CD1">
        <w:rPr>
          <w:rFonts w:eastAsia="MS PGothic"/>
        </w:rPr>
        <w:t>Assessors should foster links with dementia-specific services, including Dementia Australia and Dementia Support Australia (DSA), and build awareness of local memory, cognition and dementia services available, including cognitive or dementia reablement where appropriate. Where relevant, include dementia expertise in the assessment process. This knowledge and connection will</w:t>
      </w:r>
      <w:r w:rsidRPr="000F6CD1" w:rsidDel="00697217">
        <w:rPr>
          <w:rFonts w:eastAsia="MS PGothic"/>
        </w:rPr>
        <w:t xml:space="preserve"> </w:t>
      </w:r>
      <w:r w:rsidRPr="000F6CD1">
        <w:rPr>
          <w:rFonts w:eastAsia="MS PGothic"/>
        </w:rPr>
        <w:t xml:space="preserve">assist assessors to better understand the specific needs of people living with dementia and their care partners, families, and representatives, and assist to improve linkages, integrated care, and access. </w:t>
      </w:r>
    </w:p>
    <w:p w14:paraId="7096C90E" w14:textId="77777777" w:rsidR="00B4017B" w:rsidRPr="000F6CD1" w:rsidRDefault="00B4017B" w:rsidP="19EF0358">
      <w:pPr>
        <w:spacing w:before="240" w:after="240" w:line="240" w:lineRule="auto"/>
        <w:rPr>
          <w:rFonts w:eastAsia="MS PGothic"/>
        </w:rPr>
      </w:pPr>
      <w:r w:rsidRPr="000F6CD1">
        <w:rPr>
          <w:rFonts w:eastAsia="MS PGothic"/>
        </w:rPr>
        <w:t>Assessors should be particularly alert to concerns about cognitive impairment or people who indicate a previous diagnosis of dementia. Referrals to the National Dementia Helpline or a GP should be considered where concerns about cognitive impairment are raised or where there is a diagnosis of dementia but the person, their registered supporters or other people who support them are not receiving the dementia-specific support they need. Information and appropriate i</w:t>
      </w:r>
      <w:r w:rsidRPr="000F6CD1">
        <w:rPr>
          <w:rFonts w:eastAsia="Arial"/>
          <w:szCs w:val="22"/>
        </w:rPr>
        <w:t>nterventions after a diagnosis help people to live well with dementia, and plan for the future.</w:t>
      </w:r>
      <w:r w:rsidRPr="000F6CD1">
        <w:rPr>
          <w:rFonts w:eastAsia="MS PGothic"/>
        </w:rPr>
        <w:t xml:space="preserve"> </w:t>
      </w:r>
    </w:p>
    <w:p w14:paraId="63AC0A0E" w14:textId="170569E4" w:rsidR="00B4017B" w:rsidRPr="000F6CD1" w:rsidRDefault="00B4017B" w:rsidP="19EF0358">
      <w:pPr>
        <w:spacing w:before="240" w:after="240" w:line="240" w:lineRule="auto"/>
      </w:pPr>
      <w:r w:rsidRPr="000F6CD1">
        <w:t>Assessors can request a call back for</w:t>
      </w:r>
      <w:r w:rsidRPr="000F6CD1" w:rsidDel="00697217">
        <w:t xml:space="preserve"> </w:t>
      </w:r>
      <w:r w:rsidRPr="000F6CD1">
        <w:t xml:space="preserve">carers who have concerns about dementia (with their consent) from the National Dementia Helpline through the Assessor Portal and the Aged Care Assessor App. </w:t>
      </w:r>
      <w:r w:rsidRPr="000F6CD1">
        <w:rPr>
          <w:rFonts w:eastAsia="MS PGothic"/>
        </w:rPr>
        <w:t xml:space="preserve">A trained professional from Dementia Australia will then call the carer and speak to them about dementia-specific services and supports that might be of assistance. </w:t>
      </w:r>
    </w:p>
    <w:p w14:paraId="15049E25" w14:textId="5120A1AA" w:rsidR="00B4017B" w:rsidRPr="000F6CD1" w:rsidRDefault="00B4017B" w:rsidP="00622CFF">
      <w:pPr>
        <w:spacing w:before="240" w:after="240" w:line="240" w:lineRule="auto"/>
        <w:rPr>
          <w:rFonts w:eastAsia="MS PGothic"/>
        </w:rPr>
      </w:pPr>
      <w:r w:rsidRPr="000F6CD1">
        <w:rPr>
          <w:rFonts w:eastAsia="MS PGothic"/>
        </w:rPr>
        <w:lastRenderedPageBreak/>
        <w:t>People living with dementia can experience behaviour changes, known as behavioural and psychological changes of dementia (BPSD), which impact their care and quality of life. Personalised support services are available from Dementia Support Australia (DSA) to help carers</w:t>
      </w:r>
      <w:r w:rsidRPr="000F6CD1">
        <w:t xml:space="preserve"> and service providers </w:t>
      </w:r>
      <w:r w:rsidRPr="000F6CD1">
        <w:rPr>
          <w:rFonts w:eastAsia="MS PGothic"/>
        </w:rPr>
        <w:t xml:space="preserve">anywhere nationally to develop strategies that optimise function and support unmet needs for people impacted by BPSD and assessors can make referrals for support (with appropriate consent of the older person and care network as relevant) via DSA’s 24-hour helpline or online. </w:t>
      </w:r>
    </w:p>
    <w:p w14:paraId="6DA7908C" w14:textId="1E6C5209" w:rsidR="00B4017B" w:rsidRPr="000F6CD1" w:rsidRDefault="00B4017B" w:rsidP="00806A21">
      <w:pPr>
        <w:pStyle w:val="Sub-headings"/>
      </w:pPr>
      <w:r w:rsidRPr="000F6CD1">
        <w:t>Note:</w:t>
      </w:r>
      <w:r w:rsidR="00AB79EC">
        <w:t xml:space="preserve"> </w:t>
      </w:r>
      <w:r w:rsidRPr="000F6CD1">
        <w:t xml:space="preserve">A person does not need to have a formal dementia diagnosis to be referred to the National Dementia Helpline or Dementia Support Australia. </w:t>
      </w:r>
    </w:p>
    <w:p w14:paraId="50612C31" w14:textId="77777777" w:rsidR="00B4017B" w:rsidRPr="000F6CD1" w:rsidRDefault="00B4017B">
      <w:pPr>
        <w:spacing w:before="240" w:after="240" w:line="240" w:lineRule="auto"/>
        <w:rPr>
          <w:rFonts w:eastAsia="MS PGothic"/>
        </w:rPr>
      </w:pPr>
      <w:r w:rsidRPr="000F6CD1">
        <w:rPr>
          <w:rFonts w:eastAsia="MS PGothic"/>
        </w:rPr>
        <w:t>Assessors must use their professional judgment where an older person has dementia or is cognitively impaired. In these cases, the input of registered supporters or other people who support the older person and/or advocates is particularly important. However, only a person with active, legal decision-making authority for an older person can make a decision on their behalf.</w:t>
      </w:r>
    </w:p>
    <w:p w14:paraId="3AE92BD8" w14:textId="77777777" w:rsidR="00B4017B" w:rsidRPr="000F6CD1" w:rsidRDefault="00B4017B" w:rsidP="00806A21">
      <w:pPr>
        <w:pStyle w:val="Sub-headings"/>
        <w:rPr>
          <w:rFonts w:eastAsia="MS PGothic"/>
        </w:rPr>
      </w:pPr>
      <w:r w:rsidRPr="000F6CD1">
        <w:rPr>
          <w:rFonts w:eastAsia="MS PGothic"/>
        </w:rPr>
        <w:t xml:space="preserve">Note: assessors should be aware that </w:t>
      </w:r>
      <w:r w:rsidRPr="000F6CD1">
        <w:t>applying professional judgement might be especially difficult when working with Aboriginal and Torres Strait Islander older people and older people from Culturally and Linguistically Diverse backgrounds living with dementia or cognitive impairment. Factors such as language barriers, different concepts around ageing and dementia, a lack of awareness of dementia among family members and the additional stigma attached to dementia in some cultures can all make assessment more complex. Some culturally appropriate dementia resources are included under further information below.</w:t>
      </w:r>
    </w:p>
    <w:p w14:paraId="1E43C15B" w14:textId="77777777" w:rsidR="00B4017B" w:rsidRPr="000F6CD1" w:rsidRDefault="00B4017B">
      <w:pPr>
        <w:spacing w:after="0" w:line="240" w:lineRule="auto"/>
        <w:rPr>
          <w:rFonts w:eastAsia="Arial"/>
          <w:szCs w:val="22"/>
        </w:rPr>
      </w:pPr>
      <w:r w:rsidRPr="000F6CD1">
        <w:rPr>
          <w:rFonts w:eastAsia="Arial"/>
          <w:szCs w:val="22"/>
        </w:rPr>
        <w:t>The IAT User Guide provides assessors with prompts to help evaluate cognition throughout the assessment, including aspects related to an individual’s functional capacity.</w:t>
      </w:r>
    </w:p>
    <w:p w14:paraId="285D8944" w14:textId="77777777" w:rsidR="00B4017B" w:rsidRPr="000F6CD1" w:rsidRDefault="00B4017B" w:rsidP="00622CFF">
      <w:pPr>
        <w:spacing w:before="240" w:after="240" w:line="240" w:lineRule="auto"/>
      </w:pPr>
      <w:r w:rsidRPr="000F6CD1">
        <w:rPr>
          <w:rFonts w:eastAsia="MS PGothic"/>
        </w:rPr>
        <w:t xml:space="preserve">Assessors are required to complete a Dementia specific training module in MAC Learning as part of their training and additional educational resources are available through Dementia Training Australia. </w:t>
      </w:r>
    </w:p>
    <w:p w14:paraId="2767BAF0" w14:textId="77777777" w:rsidR="00B4017B" w:rsidRPr="000F6CD1" w:rsidRDefault="00B4017B" w:rsidP="7FAA70C7">
      <w:pPr>
        <w:spacing w:before="240" w:after="240" w:line="240" w:lineRule="auto"/>
        <w:rPr>
          <w:rFonts w:eastAsia="MS PGothic"/>
        </w:rPr>
      </w:pPr>
      <w:r w:rsidRPr="000F6CD1">
        <w:rPr>
          <w:rFonts w:eastAsia="MS PGothic"/>
        </w:rPr>
        <w:t xml:space="preserve">Assessors may find the </w:t>
      </w:r>
      <w:hyperlink r:id="rId291" w:history="1">
        <w:r w:rsidRPr="000F6CD1">
          <w:rPr>
            <w:rStyle w:val="Hyperlink"/>
            <w:rFonts w:eastAsia="MS PGothic"/>
            <w:i/>
            <w:iCs/>
          </w:rPr>
          <w:t>Clinical Practice Guidelines</w:t>
        </w:r>
        <w:r w:rsidRPr="000F6CD1">
          <w:rPr>
            <w:rStyle w:val="Hyperlink"/>
            <w:rFonts w:eastAsia="MS PGothic"/>
          </w:rPr>
          <w:t xml:space="preserve"> and </w:t>
        </w:r>
        <w:r w:rsidRPr="000F6CD1">
          <w:rPr>
            <w:rStyle w:val="Hyperlink"/>
            <w:rFonts w:eastAsia="MS PGothic"/>
            <w:i/>
            <w:iCs/>
          </w:rPr>
          <w:t>Principles of Care for People with Dementia</w:t>
        </w:r>
      </w:hyperlink>
      <w:r w:rsidRPr="000F6CD1">
        <w:rPr>
          <w:rFonts w:eastAsia="MS PGothic"/>
        </w:rPr>
        <w:t xml:space="preserve"> (the Guidelines) useful. The Guidelines provide recommendations for the diagnosis and management of dementia and are intended for use by staff working with people living with dementia in the health and aged care sectors, including GPs. Updated Guidelines are currently in development.</w:t>
      </w:r>
    </w:p>
    <w:p w14:paraId="517B5CBB" w14:textId="77777777" w:rsidR="00B4017B" w:rsidRPr="000F6CD1" w:rsidRDefault="00B4017B" w:rsidP="00622CFF">
      <w:pPr>
        <w:spacing w:before="240" w:after="240" w:line="240" w:lineRule="auto"/>
      </w:pPr>
      <w:r w:rsidRPr="000F6CD1">
        <w:t xml:space="preserve">Companion documents to the Guidelines include a Health Professional Quick Reference Guide, and for people living with dementia and their carers the </w:t>
      </w:r>
      <w:r w:rsidRPr="000F6CD1">
        <w:rPr>
          <w:i/>
        </w:rPr>
        <w:t>Diagnosis, treatment and care for people with dementia: A consumer companion guide.</w:t>
      </w:r>
      <w:r w:rsidRPr="000F6CD1">
        <w:t xml:space="preserve"> </w:t>
      </w:r>
    </w:p>
    <w:p w14:paraId="04A16015" w14:textId="77777777" w:rsidR="000C75D8" w:rsidRPr="000F6CD1" w:rsidRDefault="00B4017B" w:rsidP="00622CFF">
      <w:pPr>
        <w:spacing w:before="240" w:after="240" w:line="240" w:lineRule="auto"/>
      </w:pPr>
      <w:r w:rsidRPr="000F6CD1">
        <w:rPr>
          <w:rFonts w:eastAsia="MS PGothic"/>
        </w:rPr>
        <w:t xml:space="preserve">Free accredited training, education, upskilling and continuing professional development for the workforce providing dementia care in the primary, acute, and aged care sectors, also accessible for aged care assessors, is available through </w:t>
      </w:r>
      <w:hyperlink r:id="rId292">
        <w:r w:rsidRPr="000F6CD1">
          <w:rPr>
            <w:rStyle w:val="Hyperlink"/>
            <w:rFonts w:eastAsia="MS PGothic"/>
          </w:rPr>
          <w:t>Dementia Training Australia</w:t>
        </w:r>
      </w:hyperlink>
      <w:r w:rsidRPr="000F6CD1">
        <w:t xml:space="preserve"> and the Wicking Dementia Centre</w:t>
      </w:r>
      <w:r w:rsidRPr="000F6CD1">
        <w:rPr>
          <w:rFonts w:eastAsia="MS PGothic"/>
        </w:rPr>
        <w:t xml:space="preserve">. </w:t>
      </w:r>
    </w:p>
    <w:p w14:paraId="28357C8C" w14:textId="78E7C41B" w:rsidR="00B4017B" w:rsidRPr="000C75D8" w:rsidRDefault="000C75D8" w:rsidP="000C75D8">
      <w:pPr>
        <w:rPr>
          <w:rFonts w:eastAsia="MS PGothic"/>
        </w:rPr>
      </w:pPr>
      <w:r>
        <w:rPr>
          <w:rFonts w:eastAsia="MS PGothic"/>
        </w:rPr>
        <w:br w:type="page"/>
      </w:r>
    </w:p>
    <w:p w14:paraId="3DEFB98E" w14:textId="77777777" w:rsidR="00B4017B" w:rsidRPr="000F6CD1" w:rsidRDefault="00B4017B">
      <w:pPr>
        <w:spacing w:before="240" w:after="120" w:line="240" w:lineRule="auto"/>
      </w:pPr>
      <w:r w:rsidRPr="000F6CD1">
        <w:lastRenderedPageBreak/>
        <w:t>Further information:</w:t>
      </w:r>
    </w:p>
    <w:tbl>
      <w:tblPr>
        <w:tblW w:w="9607" w:type="dxa"/>
        <w:tblInd w:w="-1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07"/>
      </w:tblGrid>
      <w:tr w:rsidR="00B4017B" w:rsidRPr="000F6CD1" w14:paraId="552E2516" w14:textId="77777777" w:rsidTr="19EF0358">
        <w:trPr>
          <w:trHeight w:val="1833"/>
        </w:trPr>
        <w:tc>
          <w:tcPr>
            <w:tcW w:w="9607" w:type="dxa"/>
            <w:tcBorders>
              <w:top w:val="nil"/>
              <w:left w:val="nil"/>
              <w:bottom w:val="nil"/>
              <w:right w:val="nil"/>
            </w:tcBorders>
          </w:tcPr>
          <w:p w14:paraId="30AE51B5" w14:textId="77777777" w:rsidR="00B4017B" w:rsidRPr="000F6CD1" w:rsidRDefault="00B4017B" w:rsidP="00622CFF">
            <w:pPr>
              <w:spacing w:before="240" w:after="240" w:line="240" w:lineRule="auto"/>
              <w:ind w:left="754"/>
              <w:rPr>
                <w:szCs w:val="22"/>
              </w:rPr>
            </w:pPr>
            <w:r w:rsidRPr="000F6CD1">
              <w:rPr>
                <w:noProof/>
              </w:rPr>
              <w:drawing>
                <wp:anchor distT="0" distB="0" distL="114300" distR="114300" simplePos="0" relativeHeight="251658321" behindDoc="0" locked="0" layoutInCell="1" allowOverlap="1" wp14:anchorId="1EA59F02" wp14:editId="09200B3D">
                  <wp:simplePos x="0" y="0"/>
                  <wp:positionH relativeFrom="margin">
                    <wp:align>left</wp:align>
                  </wp:positionH>
                  <wp:positionV relativeFrom="paragraph">
                    <wp:posOffset>42545</wp:posOffset>
                  </wp:positionV>
                  <wp:extent cx="354330" cy="352425"/>
                  <wp:effectExtent l="0" t="0" r="7620" b="9525"/>
                  <wp:wrapSquare wrapText="bothSides"/>
                  <wp:docPr id="1806966303" name="Picture 180696630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66303" name="Picture 1806966303"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330" cy="352425"/>
                          </a:xfrm>
                          <a:prstGeom prst="rect">
                            <a:avLst/>
                          </a:prstGeom>
                        </pic:spPr>
                      </pic:pic>
                    </a:graphicData>
                  </a:graphic>
                  <wp14:sizeRelH relativeFrom="page">
                    <wp14:pctWidth>0</wp14:pctWidth>
                  </wp14:sizeRelH>
                  <wp14:sizeRelV relativeFrom="page">
                    <wp14:pctHeight>0</wp14:pctHeight>
                  </wp14:sizeRelV>
                </wp:anchor>
              </w:drawing>
            </w:r>
            <w:r w:rsidRPr="000F6CD1">
              <w:rPr>
                <w:b/>
                <w:szCs w:val="22"/>
              </w:rPr>
              <w:t>Dementia Australia website</w:t>
            </w:r>
            <w:r w:rsidRPr="000F6CD1">
              <w:rPr>
                <w:szCs w:val="22"/>
              </w:rPr>
              <w:t xml:space="preserve">: </w:t>
            </w:r>
          </w:p>
          <w:p w14:paraId="2A814D6B" w14:textId="77777777" w:rsidR="00B4017B" w:rsidRPr="000F6CD1" w:rsidRDefault="00B4017B" w:rsidP="00622CFF">
            <w:pPr>
              <w:spacing w:before="240" w:after="240" w:line="240" w:lineRule="auto"/>
              <w:ind w:left="754"/>
            </w:pPr>
            <w:hyperlink r:id="rId293" w:history="1">
              <w:r w:rsidRPr="000F6CD1">
                <w:rPr>
                  <w:rStyle w:val="Hyperlink"/>
                </w:rPr>
                <w:t>Home | Dementia Australia</w:t>
              </w:r>
            </w:hyperlink>
          </w:p>
          <w:p w14:paraId="3D83D258" w14:textId="77777777" w:rsidR="00B4017B" w:rsidRPr="000F6CD1" w:rsidRDefault="00B4017B" w:rsidP="00622CFF">
            <w:pPr>
              <w:spacing w:before="240" w:after="240" w:line="240" w:lineRule="auto"/>
              <w:ind w:left="754"/>
              <w:rPr>
                <w:b/>
                <w:szCs w:val="18"/>
              </w:rPr>
            </w:pPr>
            <w:r w:rsidRPr="000F6CD1">
              <w:rPr>
                <w:b/>
                <w:szCs w:val="18"/>
              </w:rPr>
              <w:t xml:space="preserve">Dementia Support Australia website: </w:t>
            </w:r>
          </w:p>
          <w:p w14:paraId="052956F5" w14:textId="77777777" w:rsidR="00B4017B" w:rsidRPr="000F6CD1" w:rsidRDefault="00B4017B" w:rsidP="00622CFF">
            <w:pPr>
              <w:spacing w:before="240" w:after="240" w:line="240" w:lineRule="auto"/>
              <w:ind w:left="754"/>
              <w:rPr>
                <w:szCs w:val="22"/>
              </w:rPr>
            </w:pPr>
            <w:hyperlink r:id="rId294" w:history="1">
              <w:r w:rsidRPr="000F6CD1">
                <w:rPr>
                  <w:rStyle w:val="Hyperlink"/>
                  <w:szCs w:val="22"/>
                </w:rPr>
                <w:t>Nationwide, 24-hour dementia carer support | Dementia Support Australia</w:t>
              </w:r>
            </w:hyperlink>
          </w:p>
          <w:p w14:paraId="1DF9B871" w14:textId="77777777" w:rsidR="00B4017B" w:rsidRPr="000F6CD1" w:rsidRDefault="00B4017B" w:rsidP="00622CFF">
            <w:pPr>
              <w:spacing w:before="240" w:after="240" w:line="240" w:lineRule="auto"/>
              <w:ind w:left="754"/>
              <w:rPr>
                <w:b/>
                <w:szCs w:val="22"/>
              </w:rPr>
            </w:pPr>
            <w:r w:rsidRPr="000F6CD1">
              <w:rPr>
                <w:b/>
                <w:szCs w:val="22"/>
              </w:rPr>
              <w:t>Department of Health, Disability and Ageing website:</w:t>
            </w:r>
          </w:p>
          <w:p w14:paraId="10258CD0" w14:textId="77777777" w:rsidR="00B4017B" w:rsidRPr="000F6CD1" w:rsidRDefault="00B4017B" w:rsidP="00622CFF">
            <w:pPr>
              <w:spacing w:before="240" w:after="240" w:line="240" w:lineRule="auto"/>
              <w:ind w:left="754"/>
            </w:pPr>
            <w:hyperlink r:id="rId295">
              <w:r w:rsidRPr="000F6CD1">
                <w:rPr>
                  <w:rStyle w:val="Hyperlink"/>
                  <w:szCs w:val="22"/>
                </w:rPr>
                <w:t>My Aged Care – Assessor Portal User Guide 2 – Registering support people and adding relationships</w:t>
              </w:r>
            </w:hyperlink>
          </w:p>
          <w:p w14:paraId="0B97BF2A" w14:textId="77777777" w:rsidR="00B4017B" w:rsidRPr="000F6CD1" w:rsidRDefault="00B4017B" w:rsidP="00622CFF">
            <w:pPr>
              <w:spacing w:before="240" w:after="240" w:line="240" w:lineRule="auto"/>
              <w:ind w:left="754"/>
              <w:rPr>
                <w:szCs w:val="22"/>
              </w:rPr>
            </w:pPr>
            <w:hyperlink r:id="rId296" w:history="1">
              <w:r w:rsidRPr="000F6CD1">
                <w:rPr>
                  <w:rStyle w:val="Hyperlink"/>
                  <w:szCs w:val="22"/>
                </w:rPr>
                <w:t>What we're doing about dementia | Australian Government Department of Health, Disability and Ageing</w:t>
              </w:r>
            </w:hyperlink>
          </w:p>
          <w:p w14:paraId="578D5931" w14:textId="77777777" w:rsidR="00B4017B" w:rsidRPr="000F6CD1" w:rsidRDefault="00B4017B" w:rsidP="396028E2">
            <w:pPr>
              <w:spacing w:before="240" w:after="240" w:line="240" w:lineRule="auto"/>
              <w:ind w:left="754"/>
              <w:rPr>
                <w:b/>
                <w:bCs/>
              </w:rPr>
            </w:pPr>
            <w:r w:rsidRPr="000F6CD1">
              <w:rPr>
                <w:b/>
                <w:bCs/>
              </w:rPr>
              <w:t xml:space="preserve">University of Sydney (Cognitive Decline Partnership Centre) website: </w:t>
            </w:r>
          </w:p>
          <w:p w14:paraId="64A389B6" w14:textId="77777777" w:rsidR="00B4017B" w:rsidRPr="000F6CD1" w:rsidRDefault="00B4017B" w:rsidP="00622CFF">
            <w:pPr>
              <w:spacing w:before="240" w:after="240" w:line="240" w:lineRule="auto"/>
              <w:ind w:left="754"/>
            </w:pPr>
            <w:hyperlink r:id="rId297" w:history="1">
              <w:r w:rsidRPr="000F6CD1">
                <w:rPr>
                  <w:rStyle w:val="Hyperlink"/>
                  <w:szCs w:val="22"/>
                </w:rPr>
                <w:t xml:space="preserve">Clinical Guidelines for Dementia </w:t>
              </w:r>
            </w:hyperlink>
          </w:p>
          <w:p w14:paraId="70E6EDF2" w14:textId="77777777" w:rsidR="00B4017B" w:rsidRPr="000F6CD1" w:rsidRDefault="00B4017B">
            <w:pPr>
              <w:spacing w:before="240" w:after="240" w:line="240" w:lineRule="auto"/>
              <w:ind w:left="754"/>
              <w:rPr>
                <w:b/>
                <w:bCs/>
              </w:rPr>
            </w:pPr>
            <w:r w:rsidRPr="000F6CD1">
              <w:rPr>
                <w:b/>
                <w:bCs/>
              </w:rPr>
              <w:t xml:space="preserve">University of Tasmania (Dementia Research and Education Centre) website: </w:t>
            </w:r>
          </w:p>
          <w:p w14:paraId="66434D28" w14:textId="77777777" w:rsidR="00B4017B" w:rsidRPr="000F6CD1" w:rsidRDefault="00B4017B" w:rsidP="00622CFF">
            <w:pPr>
              <w:spacing w:before="240" w:after="240" w:line="240" w:lineRule="auto"/>
              <w:ind w:left="754"/>
            </w:pPr>
            <w:hyperlink r:id="rId298" w:history="1">
              <w:r w:rsidRPr="000F6CD1">
                <w:rPr>
                  <w:rStyle w:val="Hyperlink"/>
                  <w:iCs/>
                </w:rPr>
                <w:t>The Wicking Dementia Centre</w:t>
              </w:r>
            </w:hyperlink>
          </w:p>
          <w:p w14:paraId="3EF3D544" w14:textId="77777777" w:rsidR="00B4017B" w:rsidRPr="000F6CD1" w:rsidRDefault="00B4017B" w:rsidP="00622CFF">
            <w:pPr>
              <w:spacing w:before="240" w:after="240" w:line="240" w:lineRule="auto"/>
              <w:ind w:left="754"/>
            </w:pPr>
            <w:hyperlink r:id="rId299" w:history="1">
              <w:r w:rsidRPr="000F6CD1">
                <w:rPr>
                  <w:rStyle w:val="Hyperlink"/>
                </w:rPr>
                <w:t>Dementia Respite Education and Mentoring (DREAM) | The Wicking Dementia Centre | UTAS</w:t>
              </w:r>
            </w:hyperlink>
          </w:p>
          <w:p w14:paraId="2B497476" w14:textId="77777777" w:rsidR="00B4017B" w:rsidRPr="000F6CD1" w:rsidRDefault="00B4017B" w:rsidP="00622CFF">
            <w:pPr>
              <w:spacing w:before="240" w:after="240" w:line="240" w:lineRule="auto"/>
              <w:ind w:left="754"/>
              <w:rPr>
                <w:b/>
              </w:rPr>
            </w:pPr>
            <w:r w:rsidRPr="000F6CD1">
              <w:rPr>
                <w:b/>
              </w:rPr>
              <w:t>Culturally appropriate dementia resources:</w:t>
            </w:r>
          </w:p>
          <w:p w14:paraId="3C0595C7" w14:textId="77777777" w:rsidR="00B4017B" w:rsidRPr="000F6CD1" w:rsidRDefault="00B4017B" w:rsidP="00622CFF">
            <w:pPr>
              <w:spacing w:before="240" w:after="240" w:line="240" w:lineRule="auto"/>
              <w:ind w:left="754"/>
              <w:rPr>
                <w:bCs/>
              </w:rPr>
            </w:pPr>
            <w:hyperlink r:id="rId300" w:history="1">
              <w:r w:rsidRPr="000F6CD1">
                <w:rPr>
                  <w:rStyle w:val="Hyperlink"/>
                  <w:bCs/>
                </w:rPr>
                <w:t>Dementia and Aboriginal and Torres Strait Islander people | Dementia Australia</w:t>
              </w:r>
            </w:hyperlink>
          </w:p>
          <w:p w14:paraId="3D4FD500" w14:textId="77777777" w:rsidR="00B4017B" w:rsidRPr="000F6CD1" w:rsidRDefault="00B4017B" w:rsidP="00622CFF">
            <w:pPr>
              <w:spacing w:before="240" w:after="240" w:line="240" w:lineRule="auto"/>
              <w:ind w:left="754"/>
              <w:rPr>
                <w:bCs/>
              </w:rPr>
            </w:pPr>
            <w:hyperlink r:id="rId301" w:history="1">
              <w:r w:rsidRPr="000F6CD1">
                <w:rPr>
                  <w:rStyle w:val="Hyperlink"/>
                  <w:bCs/>
                </w:rPr>
                <w:t>Services for people with dementia from CALD communities | Forward with Dementia</w:t>
              </w:r>
            </w:hyperlink>
          </w:p>
          <w:p w14:paraId="3AAB3572" w14:textId="77777777" w:rsidR="00B4017B" w:rsidRPr="000F6CD1" w:rsidRDefault="00B4017B" w:rsidP="00622CFF">
            <w:pPr>
              <w:spacing w:before="240" w:after="240" w:line="240" w:lineRule="auto"/>
              <w:ind w:left="754"/>
              <w:rPr>
                <w:bCs/>
              </w:rPr>
            </w:pPr>
            <w:hyperlink r:id="rId302" w:history="1">
              <w:r w:rsidRPr="000F6CD1">
                <w:rPr>
                  <w:rStyle w:val="Hyperlink"/>
                  <w:bCs/>
                </w:rPr>
                <w:t>Dementia information in multiple languages | Dementia Australia</w:t>
              </w:r>
            </w:hyperlink>
          </w:p>
        </w:tc>
      </w:tr>
    </w:tbl>
    <w:p w14:paraId="6651B28D" w14:textId="77777777" w:rsidR="00B4017B" w:rsidRPr="000F6CD1" w:rsidRDefault="00B4017B" w:rsidP="00B76E1F">
      <w:pPr>
        <w:tabs>
          <w:tab w:val="num" w:pos="720"/>
        </w:tabs>
        <w:spacing w:before="240" w:after="240" w:line="240" w:lineRule="auto"/>
        <w:rPr>
          <w:rFonts w:eastAsia="MS PGothic"/>
        </w:rPr>
      </w:pPr>
    </w:p>
    <w:p w14:paraId="673BCB33" w14:textId="77777777" w:rsidR="00B4017B" w:rsidRPr="000F6CD1" w:rsidRDefault="00B4017B" w:rsidP="006647CE">
      <w:pPr>
        <w:pStyle w:val="h2"/>
      </w:pPr>
      <w:bookmarkStart w:id="1027" w:name="_Toc209189056"/>
      <w:bookmarkStart w:id="1028" w:name="_Toc233282509"/>
      <w:r w:rsidRPr="000F6CD1">
        <w:t>People who live in remote and very remote areas</w:t>
      </w:r>
      <w:bookmarkEnd w:id="1024"/>
      <w:bookmarkEnd w:id="1025"/>
      <w:bookmarkEnd w:id="1026"/>
      <w:bookmarkEnd w:id="1027"/>
      <w:bookmarkEnd w:id="1028"/>
    </w:p>
    <w:p w14:paraId="7BEF46A7" w14:textId="77777777" w:rsidR="00B4017B" w:rsidRPr="000F6CD1" w:rsidRDefault="00B4017B" w:rsidP="00622CFF">
      <w:pPr>
        <w:spacing w:before="240" w:after="240" w:line="240" w:lineRule="auto"/>
        <w:rPr>
          <w:rFonts w:eastAsia="MS Mincho"/>
        </w:rPr>
      </w:pPr>
      <w:r w:rsidRPr="000F6CD1">
        <w:rPr>
          <w:rFonts w:eastAsia="MS Mincho"/>
        </w:rPr>
        <w:t xml:space="preserve">A small number of older people live in isolated areas. These locations are classified using the Modified Monash Model (MMM). Whilst recognising face-to-face assessment is good practice and should be the first option, this mode of assessment is not always possible for older people living in remote areas. In these circumstances, assessments may be conducted using non-face-to-face technologies such as telephone or telehealth. Where this occurs, a suitably qualified person from within the local health service or community care provider should be present to support the older person and to facilitate the assessment. </w:t>
      </w:r>
    </w:p>
    <w:p w14:paraId="257680C9" w14:textId="77777777" w:rsidR="00B4017B" w:rsidRPr="000F6CD1" w:rsidRDefault="00B4017B" w:rsidP="00622CFF">
      <w:pPr>
        <w:spacing w:before="240" w:after="240" w:line="240" w:lineRule="auto"/>
      </w:pPr>
      <w:r w:rsidRPr="000F6CD1">
        <w:rPr>
          <w:rFonts w:eastAsia="MS Mincho"/>
        </w:rPr>
        <w:t>Assessors should develop and maintain good working relationships with health and community workers in rural and remote communities who may be called upon to assist with assessments and provide information and community needs and local services.</w:t>
      </w:r>
    </w:p>
    <w:p w14:paraId="3F417752" w14:textId="77777777" w:rsidR="00B4017B" w:rsidRPr="000F6CD1" w:rsidRDefault="00B4017B" w:rsidP="006647CE">
      <w:pPr>
        <w:pStyle w:val="h2"/>
      </w:pPr>
      <w:bookmarkStart w:id="1029" w:name="_Toc159226893"/>
      <w:bookmarkStart w:id="1030" w:name="_Toc184402310"/>
      <w:bookmarkStart w:id="1031" w:name="_Toc204329617"/>
      <w:bookmarkStart w:id="1032" w:name="_Toc209189057"/>
      <w:bookmarkStart w:id="1033" w:name="_Toc233282510"/>
      <w:r w:rsidRPr="000F6CD1">
        <w:lastRenderedPageBreak/>
        <w:t>People who are financially or socially disadvantaged</w:t>
      </w:r>
      <w:bookmarkEnd w:id="1029"/>
      <w:bookmarkEnd w:id="1030"/>
      <w:bookmarkEnd w:id="1031"/>
      <w:bookmarkEnd w:id="1032"/>
      <w:bookmarkEnd w:id="1033"/>
    </w:p>
    <w:p w14:paraId="4D8B5FFA" w14:textId="77777777" w:rsidR="00B4017B" w:rsidRPr="000F6CD1" w:rsidRDefault="00B4017B" w:rsidP="00622CFF">
      <w:pPr>
        <w:spacing w:before="240" w:after="240" w:line="240" w:lineRule="auto"/>
        <w:rPr>
          <w:rFonts w:eastAsia="MS Mincho"/>
        </w:rPr>
      </w:pPr>
      <w:r w:rsidRPr="000F6CD1">
        <w:rPr>
          <w:rFonts w:eastAsia="MS Mincho"/>
        </w:rPr>
        <w:t>Financial or social disadvantage can often create a significant barrier for people to access a wide range of services in the community. Assessors should ensure that they develop and promote links with organisations in their area which attempt to overcome these barriers and provide assessments to people who may benefit from services regardless of their financial or social circumstances.</w:t>
      </w:r>
    </w:p>
    <w:p w14:paraId="76EDD5D4" w14:textId="77777777" w:rsidR="00B4017B" w:rsidRPr="000F6CD1" w:rsidRDefault="00B4017B" w:rsidP="00622CFF">
      <w:pPr>
        <w:spacing w:before="240" w:after="240" w:line="240" w:lineRule="auto"/>
        <w:rPr>
          <w:rFonts w:eastAsia="MS Mincho"/>
        </w:rPr>
      </w:pPr>
      <w:r w:rsidRPr="000F6CD1">
        <w:rPr>
          <w:rFonts w:eastAsia="MS Mincho"/>
        </w:rPr>
        <w:t>People who are financially or socially disadvantaged may also experience difficulties in accessing services after their approval. Assessors should be prepared to engage in a wide range of care coordination activities on behalf of older people to ensure that they receive the care which they need and to which they are entitled.</w:t>
      </w:r>
    </w:p>
    <w:p w14:paraId="1D312852" w14:textId="77777777" w:rsidR="00B4017B" w:rsidRPr="000F6CD1" w:rsidRDefault="00B4017B" w:rsidP="00622CFF">
      <w:pPr>
        <w:spacing w:before="240" w:after="240" w:line="240" w:lineRule="auto"/>
        <w:rPr>
          <w:rFonts w:eastAsia="MS Mincho"/>
        </w:rPr>
      </w:pPr>
      <w:r w:rsidRPr="000F6CD1">
        <w:rPr>
          <w:rFonts w:eastAsia="MS Mincho"/>
        </w:rPr>
        <w:t xml:space="preserve">From 1 November, financial hardship arrangements will continue to be available if an older person can’t afford to contribute to the cost of their aged care, both in residential care and in-home care. </w:t>
      </w:r>
      <w:r w:rsidRPr="000F6CD1">
        <w:t>An older person w</w:t>
      </w:r>
      <w:r w:rsidRPr="000F6CD1">
        <w:rPr>
          <w:rFonts w:eastAsia="MS Mincho"/>
        </w:rPr>
        <w:t>ill be assessed on their specific circumstances. If approved for hardship assistance, the Australian Government will pay some (or all) of their aged care fees. The government will pay any approved amounts to the aged care provider on the older person’s behalf. If an older person is required to pay some of their fees, they will continue to pay those to their provider.</w:t>
      </w:r>
    </w:p>
    <w:p w14:paraId="01E48079" w14:textId="79391BC1" w:rsidR="00B4017B" w:rsidRPr="000F6CD1" w:rsidRDefault="00B4017B" w:rsidP="00622CFF">
      <w:pPr>
        <w:spacing w:before="240" w:after="240" w:line="240" w:lineRule="auto"/>
        <w:rPr>
          <w:rFonts w:eastAsia="MS Mincho"/>
        </w:rPr>
      </w:pPr>
      <w:r w:rsidRPr="000F6CD1">
        <w:rPr>
          <w:rFonts w:eastAsia="MS Mincho"/>
        </w:rPr>
        <w:t xml:space="preserve">To apply for financial hardship assistance, an older person must meet certain requirements and complete the Aged Care Claim for Financial Hardship Assistance form. This form is sent to Services Australia to assess the application, and they will let the older person know in writing of their decision and what assistance they are eligible for. This form should be submitted by an older person once they start accessing aged care services. </w:t>
      </w:r>
    </w:p>
    <w:p w14:paraId="36215BA7" w14:textId="2238052F" w:rsidR="00B4017B" w:rsidRPr="000F6CD1" w:rsidRDefault="00B4017B" w:rsidP="00622CFF">
      <w:pPr>
        <w:spacing w:before="240" w:after="240" w:line="240" w:lineRule="auto"/>
        <w:rPr>
          <w:szCs w:val="22"/>
        </w:rPr>
      </w:pPr>
      <w:hyperlink r:id="rId303" w:history="1">
        <w:r w:rsidRPr="000F6CD1">
          <w:rPr>
            <w:rStyle w:val="Hyperlink"/>
            <w:szCs w:val="22"/>
          </w:rPr>
          <w:t>Hardship assistance for aged care – Fact sheet</w:t>
        </w:r>
      </w:hyperlink>
      <w:r w:rsidRPr="000F6CD1">
        <w:rPr>
          <w:noProof/>
        </w:rPr>
        <w:drawing>
          <wp:anchor distT="0" distB="0" distL="114300" distR="114300" simplePos="0" relativeHeight="251658322" behindDoc="0" locked="0" layoutInCell="1" allowOverlap="1" wp14:anchorId="57BB4B36" wp14:editId="57A586E8">
            <wp:simplePos x="0" y="0"/>
            <wp:positionH relativeFrom="column">
              <wp:posOffset>-635</wp:posOffset>
            </wp:positionH>
            <wp:positionV relativeFrom="paragraph">
              <wp:posOffset>40640</wp:posOffset>
            </wp:positionV>
            <wp:extent cx="356235" cy="354330"/>
            <wp:effectExtent l="0" t="0" r="5715" b="7620"/>
            <wp:wrapSquare wrapText="bothSides"/>
            <wp:docPr id="1235757227" name="Picture 123575722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57227" name="Picture 1235757227"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0F6CD1">
        <w:rPr>
          <w:szCs w:val="22"/>
        </w:rPr>
        <w:t xml:space="preserve"> </w:t>
      </w:r>
    </w:p>
    <w:p w14:paraId="38C5EA44" w14:textId="77777777" w:rsidR="00B4017B" w:rsidRPr="000F6CD1" w:rsidRDefault="00B4017B" w:rsidP="00622CFF">
      <w:pPr>
        <w:spacing w:before="240" w:after="240" w:line="240" w:lineRule="auto"/>
        <w:rPr>
          <w:szCs w:val="22"/>
        </w:rPr>
      </w:pPr>
      <w:hyperlink r:id="rId304" w:anchor="how-apply-assistance" w:history="1">
        <w:r w:rsidRPr="000F6CD1">
          <w:rPr>
            <w:rStyle w:val="Hyperlink"/>
            <w:szCs w:val="22"/>
          </w:rPr>
          <w:t>Financial hardship assistance | My Aged Care</w:t>
        </w:r>
      </w:hyperlink>
    </w:p>
    <w:p w14:paraId="1BB8FFF5" w14:textId="77777777" w:rsidR="00B4017B" w:rsidRPr="000F6CD1" w:rsidRDefault="00B4017B" w:rsidP="006647CE">
      <w:pPr>
        <w:pStyle w:val="h2"/>
      </w:pPr>
      <w:bookmarkStart w:id="1034" w:name="_Toc159226894"/>
      <w:bookmarkStart w:id="1035" w:name="_Toc184402311"/>
      <w:bookmarkStart w:id="1036" w:name="_Toc204329618"/>
      <w:bookmarkStart w:id="1037" w:name="_Toc233282511"/>
      <w:r w:rsidRPr="000F6CD1">
        <w:t>Veterans</w:t>
      </w:r>
      <w:bookmarkEnd w:id="1034"/>
      <w:bookmarkEnd w:id="1035"/>
      <w:bookmarkEnd w:id="1036"/>
      <w:r w:rsidRPr="000F6CD1">
        <w:t xml:space="preserve"> or war widows</w:t>
      </w:r>
      <w:bookmarkEnd w:id="1037"/>
    </w:p>
    <w:p w14:paraId="234017E6" w14:textId="77777777" w:rsidR="00B4017B" w:rsidRPr="000F6CD1" w:rsidRDefault="00B4017B" w:rsidP="00622CFF">
      <w:pPr>
        <w:spacing w:before="240" w:after="240" w:line="240" w:lineRule="auto"/>
        <w:rPr>
          <w:rFonts w:eastAsia="MS PGothic"/>
        </w:rPr>
      </w:pPr>
      <w:r w:rsidRPr="000F6CD1">
        <w:rPr>
          <w:rFonts w:eastAsia="MS PGothic"/>
        </w:rPr>
        <w:t xml:space="preserve">The Australian Government recognises the aged care needs of the veteran community, in particular, mental health issues including post-traumatic stress. This is creating demand for a wider range of health care and support services in residential and home care services. </w:t>
      </w:r>
    </w:p>
    <w:p w14:paraId="6CE18760" w14:textId="77777777" w:rsidR="00B4017B" w:rsidRPr="000F6CD1" w:rsidRDefault="00B4017B" w:rsidP="00622CFF">
      <w:pPr>
        <w:spacing w:before="240" w:after="240" w:line="240" w:lineRule="auto"/>
        <w:rPr>
          <w:rFonts w:eastAsia="MS PGothic"/>
        </w:rPr>
      </w:pPr>
      <w:r w:rsidRPr="000F6CD1">
        <w:rPr>
          <w:rFonts w:eastAsia="MS PGothic"/>
        </w:rPr>
        <w:t xml:space="preserve">Assessors should establish links with relevant veterans’ organisations in their communities and develop links between veterans and home care and residential care services. They should aim to facilitate an understanding of veterans’ particular needs and to improve integrated care and access. </w:t>
      </w:r>
    </w:p>
    <w:p w14:paraId="23137041" w14:textId="77777777" w:rsidR="00B4017B" w:rsidRPr="000F6CD1" w:rsidRDefault="00B4017B" w:rsidP="00622CFF">
      <w:pPr>
        <w:spacing w:before="240" w:after="240" w:line="240" w:lineRule="auto"/>
        <w:rPr>
          <w:rFonts w:eastAsia="MS Mincho"/>
        </w:rPr>
      </w:pPr>
      <w:r w:rsidRPr="000F6CD1">
        <w:rPr>
          <w:rFonts w:eastAsia="MS PGothic"/>
        </w:rPr>
        <w:t>Assessors should have a good understanding of services provided by the Department of Veterans’ Affairs (DVA) including the Veterans’ Home Care (VHC) Program, the Coordinated Veterans’ Care (CVC) Program and other mental health and rehabilitation programs.</w:t>
      </w:r>
      <w:r w:rsidRPr="000F6CD1">
        <w:rPr>
          <w:rFonts w:eastAsia="MS Mincho"/>
        </w:rPr>
        <w:t xml:space="preserve"> </w:t>
      </w:r>
    </w:p>
    <w:p w14:paraId="3BC62330" w14:textId="2A2D11B2" w:rsidR="00B4017B" w:rsidRPr="000F6CD1" w:rsidRDefault="00B4017B" w:rsidP="00622CFF">
      <w:pPr>
        <w:spacing w:before="240" w:after="240" w:line="240" w:lineRule="auto"/>
        <w:rPr>
          <w:rFonts w:eastAsia="MS Mincho"/>
        </w:rPr>
      </w:pPr>
      <w:r w:rsidRPr="000F6CD1">
        <w:rPr>
          <w:rFonts w:eastAsia="MS Mincho"/>
        </w:rPr>
        <w:t xml:space="preserve">Assessors should advise veterans that if they are an Australian former prisoner of war or Victoria Cross recipient, DVA will pay their basic fee and means tested care fee. They still may need to pay a means tested accommodation payment if their income and assets are above a certain limit. Services Australia will take into consideration DVA compensation payments when assessing a person’s income and assets under the Support at Home program. </w:t>
      </w:r>
    </w:p>
    <w:p w14:paraId="3B40BD68" w14:textId="77777777" w:rsidR="00B4017B" w:rsidRPr="000F6CD1" w:rsidRDefault="00B4017B" w:rsidP="00622CFF">
      <w:pPr>
        <w:spacing w:before="240" w:after="240" w:line="240" w:lineRule="auto"/>
        <w:rPr>
          <w:rFonts w:eastAsia="Yu Gothic Light"/>
        </w:rPr>
      </w:pPr>
      <w:r w:rsidRPr="000F6CD1">
        <w:rPr>
          <w:rFonts w:eastAsia="Yu Gothic Light"/>
        </w:rPr>
        <w:lastRenderedPageBreak/>
        <w:t xml:space="preserve">Optional learning for all assessors called ‘Supporting older Australians, people with disability and Veterans’ is available through MAClearning. </w:t>
      </w:r>
    </w:p>
    <w:tbl>
      <w:tblPr>
        <w:tblStyle w:val="TableGrid"/>
        <w:tblW w:w="0" w:type="auto"/>
        <w:tblLook w:val="04A0" w:firstRow="1" w:lastRow="0" w:firstColumn="1" w:lastColumn="0" w:noHBand="0" w:noVBand="1"/>
      </w:tblPr>
      <w:tblGrid>
        <w:gridCol w:w="1271"/>
        <w:gridCol w:w="7745"/>
      </w:tblGrid>
      <w:tr w:rsidR="00B4017B" w:rsidRPr="000F6CD1" w14:paraId="78470351" w14:textId="77777777">
        <w:tc>
          <w:tcPr>
            <w:tcW w:w="1271" w:type="dxa"/>
          </w:tcPr>
          <w:p w14:paraId="3DAF17DF" w14:textId="53504864" w:rsidR="00B4017B" w:rsidRPr="000F6CD1" w:rsidRDefault="00C550FC" w:rsidP="00622CFF">
            <w:pPr>
              <w:spacing w:before="240" w:after="240"/>
              <w:rPr>
                <w:rFonts w:eastAsia="MS Mincho"/>
              </w:rPr>
            </w:pPr>
            <w:r w:rsidRPr="000F6CD1">
              <w:rPr>
                <w:noProof/>
              </w:rPr>
              <w:drawing>
                <wp:anchor distT="0" distB="0" distL="114300" distR="114300" simplePos="0" relativeHeight="251658323" behindDoc="0" locked="0" layoutInCell="1" allowOverlap="1" wp14:anchorId="2DA46AE1" wp14:editId="68B5E067">
                  <wp:simplePos x="0" y="0"/>
                  <wp:positionH relativeFrom="column">
                    <wp:posOffset>-4861</wp:posOffset>
                  </wp:positionH>
                  <wp:positionV relativeFrom="paragraph">
                    <wp:posOffset>348462</wp:posOffset>
                  </wp:positionV>
                  <wp:extent cx="447675" cy="445208"/>
                  <wp:effectExtent l="0" t="0" r="0" b="0"/>
                  <wp:wrapSquare wrapText="bothSides"/>
                  <wp:docPr id="1443643774" name="Picture 1443643774"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43774" name="Picture 1443643774"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p w14:paraId="01339EBB" w14:textId="57D9A308" w:rsidR="00B4017B" w:rsidRPr="000F6CD1" w:rsidRDefault="00B4017B" w:rsidP="006647CE">
            <w:pPr>
              <w:pStyle w:val="h2"/>
              <w:numPr>
                <w:ilvl w:val="0"/>
                <w:numId w:val="0"/>
              </w:numPr>
              <w:rPr>
                <w:rFonts w:eastAsia="MS Mincho"/>
              </w:rPr>
            </w:pPr>
          </w:p>
        </w:tc>
        <w:tc>
          <w:tcPr>
            <w:tcW w:w="7745" w:type="dxa"/>
          </w:tcPr>
          <w:p w14:paraId="345D21CF" w14:textId="77777777" w:rsidR="00B4017B" w:rsidRPr="000F6CD1" w:rsidRDefault="00B4017B" w:rsidP="00622CFF">
            <w:pPr>
              <w:spacing w:before="240" w:after="240"/>
              <w:rPr>
                <w:b/>
                <w:szCs w:val="22"/>
              </w:rPr>
            </w:pPr>
          </w:p>
          <w:p w14:paraId="73E6CCAD" w14:textId="77777777" w:rsidR="00B4017B" w:rsidRPr="000F6CD1" w:rsidRDefault="00B4017B" w:rsidP="00622CFF">
            <w:pPr>
              <w:spacing w:before="240" w:after="240"/>
              <w:rPr>
                <w:rFonts w:eastAsia="MS Mincho"/>
              </w:rPr>
            </w:pPr>
            <w:r w:rsidRPr="000F6CD1">
              <w:rPr>
                <w:szCs w:val="22"/>
              </w:rPr>
              <w:t xml:space="preserve">Department of Veterans’ Affairs </w:t>
            </w:r>
            <w:hyperlink r:id="rId305">
              <w:r w:rsidRPr="000F6CD1">
                <w:rPr>
                  <w:rStyle w:val="Hyperlink"/>
                  <w:szCs w:val="22"/>
                </w:rPr>
                <w:t>website</w:t>
              </w:r>
            </w:hyperlink>
          </w:p>
        </w:tc>
      </w:tr>
    </w:tbl>
    <w:p w14:paraId="57572366" w14:textId="77777777" w:rsidR="00B4017B" w:rsidRPr="000F6CD1" w:rsidRDefault="00B4017B" w:rsidP="006647CE">
      <w:pPr>
        <w:pStyle w:val="h2"/>
      </w:pPr>
      <w:bookmarkStart w:id="1038" w:name="_Toc184402312"/>
      <w:bookmarkStart w:id="1039" w:name="_Toc204329619"/>
      <w:bookmarkStart w:id="1040" w:name="_Toc209189058"/>
      <w:bookmarkStart w:id="1041" w:name="_Toc233282512"/>
      <w:r w:rsidRPr="000F6CD1">
        <w:t>People who are homeless or at risk of becoming homeless</w:t>
      </w:r>
      <w:bookmarkEnd w:id="1038"/>
      <w:bookmarkEnd w:id="1039"/>
      <w:bookmarkEnd w:id="1040"/>
      <w:bookmarkEnd w:id="1041"/>
    </w:p>
    <w:p w14:paraId="44F5EC53" w14:textId="77777777" w:rsidR="00B4017B" w:rsidRPr="000F6CD1" w:rsidRDefault="00B4017B" w:rsidP="00622CFF">
      <w:pPr>
        <w:spacing w:before="240" w:after="240" w:line="240" w:lineRule="auto"/>
        <w:rPr>
          <w:rFonts w:eastAsia="Yu Gothic Light"/>
        </w:rPr>
      </w:pPr>
      <w:r w:rsidRPr="000F6CD1">
        <w:rPr>
          <w:rFonts w:eastAsia="Yu Gothic Light"/>
        </w:rPr>
        <w:t>Assessors have a responsibility to recognise older people who are experiencing, or are at risk of becoming homeless, and to ensure that they can access an assessment and any aged care services approved for them. Liaisons between assessors and support services for homeless people are particularly important for this cohort because of their extreme vulnerability. Assessments for this cohort will require a flexible and unique approach by assessment organisations. For example, assessors may need to travel to outreach locations in order to undertake the assessment, working closely with the providers already linked to the older person, such as community health clinics, hospitals, emergency housing providers or other community services such as those that provide free meals and laundry services.</w:t>
      </w:r>
    </w:p>
    <w:p w14:paraId="2978180D" w14:textId="27D98AC1" w:rsidR="00B4017B" w:rsidRPr="000F6CD1" w:rsidRDefault="00B4017B" w:rsidP="00622CFF">
      <w:pPr>
        <w:spacing w:before="240" w:after="240" w:line="240" w:lineRule="auto"/>
        <w:rPr>
          <w:rFonts w:eastAsia="Yu Gothic Light"/>
        </w:rPr>
      </w:pPr>
      <w:r w:rsidRPr="000F6CD1">
        <w:rPr>
          <w:rFonts w:eastAsia="Yu Gothic Light"/>
        </w:rPr>
        <w:t xml:space="preserve">People aged 50-64 seeking aged care services under the homeless or at risk of homelessness criteria must meet the appropriate definition as described in Chapter </w:t>
      </w:r>
      <w:r w:rsidRPr="000F6CD1">
        <w:rPr>
          <w:rFonts w:eastAsia="Yu Gothic Light"/>
        </w:rPr>
        <w:fldChar w:fldCharType="begin"/>
      </w:r>
      <w:r w:rsidRPr="000F6CD1">
        <w:rPr>
          <w:rFonts w:eastAsia="Yu Gothic Light"/>
        </w:rPr>
        <w:instrText xml:space="preserve"> REF _Ref212736424 \w \h </w:instrText>
      </w:r>
      <w:r w:rsidRPr="000F6CD1">
        <w:rPr>
          <w:rFonts w:eastAsia="Yu Gothic Light"/>
        </w:rPr>
      </w:r>
      <w:r w:rsidRPr="000F6CD1">
        <w:rPr>
          <w:rFonts w:eastAsia="Yu Gothic Light"/>
        </w:rPr>
        <w:fldChar w:fldCharType="separate"/>
      </w:r>
      <w:r w:rsidR="004B171E">
        <w:rPr>
          <w:rFonts w:eastAsia="Yu Gothic Light"/>
        </w:rPr>
        <w:t>1</w:t>
      </w:r>
      <w:r w:rsidRPr="000F6CD1">
        <w:rPr>
          <w:rFonts w:eastAsia="Yu Gothic Light"/>
        </w:rPr>
        <w:fldChar w:fldCharType="end"/>
      </w:r>
      <w:r w:rsidRPr="000F6CD1">
        <w:rPr>
          <w:rFonts w:eastAsia="Yu Gothic Light"/>
        </w:rPr>
        <w:t xml:space="preserve"> and Chapter 5. </w:t>
      </w:r>
    </w:p>
    <w:p w14:paraId="7F3F73C6" w14:textId="68354EB2" w:rsidR="00B4017B" w:rsidRPr="000F6CD1" w:rsidRDefault="00B4017B" w:rsidP="00622CFF">
      <w:pPr>
        <w:spacing w:before="240" w:after="240" w:line="240" w:lineRule="auto"/>
        <w:rPr>
          <w:rFonts w:eastAsia="Yu Gothic Light"/>
        </w:rPr>
      </w:pPr>
      <w:r w:rsidRPr="000F6CD1">
        <w:rPr>
          <w:rFonts w:eastAsia="Yu Gothic Light"/>
        </w:rPr>
        <w:t xml:space="preserve">Assessors should also be aware that homelessness alone is not grounds to approve an older person as eligible for residential or other forms of aged care. The person must meet the eligibility criteria set out in the </w:t>
      </w:r>
      <w:r w:rsidRPr="000F6CD1">
        <w:rPr>
          <w:rFonts w:eastAsia="Yu Gothic Light"/>
          <w:i/>
          <w:iCs/>
        </w:rPr>
        <w:t>Aged Care Act 2024</w:t>
      </w:r>
      <w:r w:rsidRPr="000F6CD1">
        <w:rPr>
          <w:rFonts w:eastAsia="Yu Gothic Light"/>
        </w:rPr>
        <w:t xml:space="preserve">. </w:t>
      </w:r>
    </w:p>
    <w:p w14:paraId="404976F4" w14:textId="77777777" w:rsidR="00B4017B" w:rsidRPr="000F6CD1" w:rsidRDefault="00B4017B" w:rsidP="00622CFF">
      <w:pPr>
        <w:spacing w:before="240" w:after="240" w:line="240" w:lineRule="auto"/>
        <w:rPr>
          <w:rFonts w:eastAsia="Yu Gothic Light"/>
        </w:rPr>
      </w:pPr>
      <w:r w:rsidRPr="000F6CD1">
        <w:rPr>
          <w:rFonts w:eastAsia="Yu Gothic Light"/>
        </w:rPr>
        <w:t>Where housing assistance services are not available, assessors should make appropriate referrals and work with their state and territory government housing and homeless services.</w:t>
      </w:r>
    </w:p>
    <w:p w14:paraId="5D654A93" w14:textId="77777777" w:rsidR="00B4017B" w:rsidRPr="000F6CD1" w:rsidRDefault="00B4017B" w:rsidP="00622CFF">
      <w:pPr>
        <w:spacing w:before="240" w:after="240" w:line="240" w:lineRule="auto"/>
        <w:rPr>
          <w:rFonts w:eastAsia="Yu Gothic Light"/>
        </w:rPr>
      </w:pPr>
      <w:r w:rsidRPr="000F6CD1">
        <w:rPr>
          <w:rFonts w:eastAsia="Yu Gothic Light"/>
        </w:rPr>
        <w:t>Learning for all assessors called ‘Homelessness and older people’ is available through MAClearning.</w:t>
      </w:r>
    </w:p>
    <w:tbl>
      <w:tblPr>
        <w:tblStyle w:val="TableGrid"/>
        <w:tblW w:w="0" w:type="auto"/>
        <w:tblLook w:val="04A0" w:firstRow="1" w:lastRow="0" w:firstColumn="1" w:lastColumn="0" w:noHBand="0" w:noVBand="1"/>
      </w:tblPr>
      <w:tblGrid>
        <w:gridCol w:w="1271"/>
        <w:gridCol w:w="7745"/>
      </w:tblGrid>
      <w:tr w:rsidR="000C75D8" w:rsidRPr="000F6CD1" w14:paraId="0D2B2E8B" w14:textId="77777777">
        <w:tc>
          <w:tcPr>
            <w:tcW w:w="1271" w:type="dxa"/>
          </w:tcPr>
          <w:p w14:paraId="121EDB8C" w14:textId="77777777" w:rsidR="000C75D8" w:rsidRPr="000F6CD1" w:rsidRDefault="000C75D8">
            <w:pPr>
              <w:spacing w:before="240" w:after="240"/>
              <w:rPr>
                <w:rFonts w:eastAsia="MS Mincho"/>
              </w:rPr>
            </w:pPr>
            <w:r w:rsidRPr="000F6CD1">
              <w:rPr>
                <w:noProof/>
              </w:rPr>
              <w:drawing>
                <wp:anchor distT="0" distB="0" distL="114300" distR="114300" simplePos="0" relativeHeight="251658346" behindDoc="0" locked="0" layoutInCell="1" allowOverlap="1" wp14:anchorId="4CA535BB" wp14:editId="790B195A">
                  <wp:simplePos x="0" y="0"/>
                  <wp:positionH relativeFrom="column">
                    <wp:posOffset>79375</wp:posOffset>
                  </wp:positionH>
                  <wp:positionV relativeFrom="paragraph">
                    <wp:posOffset>72390</wp:posOffset>
                  </wp:positionV>
                  <wp:extent cx="447675" cy="445208"/>
                  <wp:effectExtent l="0" t="0" r="0" b="0"/>
                  <wp:wrapSquare wrapText="bothSides"/>
                  <wp:docPr id="432378972" name="Picture 43237897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78972" name="Picture 43237897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p>
        </w:tc>
        <w:tc>
          <w:tcPr>
            <w:tcW w:w="7745" w:type="dxa"/>
          </w:tcPr>
          <w:p w14:paraId="44D94F2B" w14:textId="020CE9B6" w:rsidR="000C75D8" w:rsidRPr="000F6CD1" w:rsidRDefault="000C75D8">
            <w:pPr>
              <w:spacing w:before="240" w:after="240"/>
              <w:rPr>
                <w:rFonts w:eastAsia="Yu Gothic Light"/>
              </w:rPr>
            </w:pPr>
            <w:r w:rsidRPr="000F6CD1">
              <w:rPr>
                <w:rFonts w:ascii="Helvetica" w:eastAsia="Helvetica" w:hAnsi="Helvetica" w:cs="Helvetica"/>
              </w:rPr>
              <w:t xml:space="preserve">For further detail on the definition of homelessness in aged care, see Chapter </w:t>
            </w:r>
            <w:r>
              <w:rPr>
                <w:rFonts w:ascii="Helvetica" w:eastAsia="Helvetica" w:hAnsi="Helvetica" w:cs="Helvetica"/>
              </w:rPr>
              <w:fldChar w:fldCharType="begin"/>
            </w:r>
            <w:r>
              <w:rPr>
                <w:rFonts w:ascii="Helvetica" w:eastAsia="Helvetica" w:hAnsi="Helvetica" w:cs="Helvetica"/>
              </w:rPr>
              <w:instrText xml:space="preserve"> REF _Ref232694941 \r \h </w:instrText>
            </w:r>
            <w:r>
              <w:rPr>
                <w:rFonts w:ascii="Helvetica" w:eastAsia="Helvetica" w:hAnsi="Helvetica" w:cs="Helvetica"/>
              </w:rPr>
            </w:r>
            <w:r>
              <w:rPr>
                <w:rFonts w:ascii="Helvetica" w:eastAsia="Helvetica" w:hAnsi="Helvetica" w:cs="Helvetica"/>
              </w:rPr>
              <w:fldChar w:fldCharType="separate"/>
            </w:r>
            <w:r w:rsidR="004B171E">
              <w:rPr>
                <w:rFonts w:ascii="Helvetica" w:eastAsia="Helvetica" w:hAnsi="Helvetica" w:cs="Helvetica"/>
              </w:rPr>
              <w:t>1</w:t>
            </w:r>
            <w:r>
              <w:rPr>
                <w:rFonts w:ascii="Helvetica" w:eastAsia="Helvetica" w:hAnsi="Helvetica" w:cs="Helvetica"/>
              </w:rPr>
              <w:fldChar w:fldCharType="end"/>
            </w:r>
            <w:r w:rsidRPr="000F6CD1">
              <w:rPr>
                <w:rFonts w:ascii="Helvetica" w:eastAsia="Helvetica" w:hAnsi="Helvetica" w:cs="Helvetica"/>
              </w:rPr>
              <w:t xml:space="preserve"> ‘Homeless or At Risk of Homelessness Eligibility’. </w:t>
            </w:r>
          </w:p>
          <w:p w14:paraId="5FBEFF22" w14:textId="77777777" w:rsidR="000C75D8" w:rsidRDefault="000C75D8">
            <w:pPr>
              <w:spacing w:before="240" w:after="240"/>
              <w:rPr>
                <w:rFonts w:eastAsia="MS Mincho"/>
              </w:rPr>
            </w:pPr>
          </w:p>
          <w:p w14:paraId="3D4EA560" w14:textId="77777777" w:rsidR="000C75D8" w:rsidRPr="000F6CD1" w:rsidRDefault="000C75D8">
            <w:pPr>
              <w:spacing w:before="240" w:after="240"/>
              <w:rPr>
                <w:rFonts w:eastAsia="MS Mincho"/>
              </w:rPr>
            </w:pPr>
          </w:p>
        </w:tc>
      </w:tr>
    </w:tbl>
    <w:p w14:paraId="7B67101B" w14:textId="69B16B43" w:rsidR="000C75D8" w:rsidRDefault="000C75D8">
      <w:r>
        <w:br w:type="page"/>
      </w:r>
    </w:p>
    <w:p w14:paraId="1F23B442" w14:textId="77777777" w:rsidR="00B4017B" w:rsidRPr="000F6CD1" w:rsidRDefault="00B4017B" w:rsidP="006647CE">
      <w:pPr>
        <w:pStyle w:val="h2"/>
      </w:pPr>
      <w:bookmarkStart w:id="1042" w:name="_Toc159226896"/>
      <w:bookmarkStart w:id="1043" w:name="_Toc184402313"/>
      <w:bookmarkStart w:id="1044" w:name="_Toc204329620"/>
      <w:bookmarkStart w:id="1045" w:name="_Toc209189059"/>
      <w:bookmarkStart w:id="1046" w:name="_Toc233282513"/>
      <w:r w:rsidRPr="000F6CD1">
        <w:lastRenderedPageBreak/>
        <w:t>Care leavers</w:t>
      </w:r>
      <w:bookmarkEnd w:id="1042"/>
      <w:bookmarkEnd w:id="1043"/>
      <w:bookmarkEnd w:id="1044"/>
      <w:bookmarkEnd w:id="1045"/>
      <w:bookmarkEnd w:id="1046"/>
    </w:p>
    <w:p w14:paraId="37C71095" w14:textId="3A4DB34C" w:rsidR="00B4017B" w:rsidRPr="000F6CD1" w:rsidRDefault="00B4017B" w:rsidP="00622CFF">
      <w:pPr>
        <w:spacing w:before="240" w:after="240" w:line="240" w:lineRule="auto"/>
        <w:rPr>
          <w:rFonts w:eastAsia="MS PGothic"/>
        </w:rPr>
      </w:pPr>
      <w:r w:rsidRPr="000F6CD1">
        <w:rPr>
          <w:rFonts w:eastAsia="MS PGothic"/>
        </w:rPr>
        <w:t>The department’s website provides information on care leavers, including a description of the term ‘care-leaver</w:t>
      </w:r>
      <w:r w:rsidR="00F31E81" w:rsidRPr="000F6CD1">
        <w:rPr>
          <w:rFonts w:eastAsia="MS PGothic"/>
        </w:rPr>
        <w:t>.’</w:t>
      </w:r>
      <w:r w:rsidRPr="000F6CD1">
        <w:rPr>
          <w:rFonts w:eastAsia="MS PGothic"/>
        </w:rPr>
        <w:t xml:space="preserve"> </w:t>
      </w:r>
    </w:p>
    <w:p w14:paraId="6AD3FE57" w14:textId="77777777" w:rsidR="00B4017B" w:rsidRPr="000F6CD1" w:rsidRDefault="00B4017B" w:rsidP="00622CFF">
      <w:pPr>
        <w:spacing w:before="240" w:after="240" w:line="240" w:lineRule="auto"/>
      </w:pPr>
      <w:r w:rsidRPr="000F6CD1">
        <w:t xml:space="preserve">This term refers to children who were in institutional and other out-of-home care prior to the year 2000, including: </w:t>
      </w:r>
    </w:p>
    <w:p w14:paraId="61D1441E" w14:textId="3A068546" w:rsidR="00B4017B" w:rsidRPr="000F6CD1" w:rsidRDefault="00B4017B">
      <w:pPr>
        <w:pStyle w:val="ListParagraph"/>
        <w:numPr>
          <w:ilvl w:val="0"/>
          <w:numId w:val="365"/>
        </w:numPr>
        <w:spacing w:before="240" w:after="240" w:line="240" w:lineRule="auto"/>
      </w:pPr>
      <w:r w:rsidRPr="000F6CD1">
        <w:t xml:space="preserve">Forgotten Australians - people who spent a period of time as children in children's homes, orphanages, and other forms of out-of-home care prior to the year 1989. </w:t>
      </w:r>
    </w:p>
    <w:p w14:paraId="342F1E1F" w14:textId="77777777" w:rsidR="00B4017B" w:rsidRPr="000F6CD1" w:rsidRDefault="00B4017B">
      <w:pPr>
        <w:pStyle w:val="ListParagraph"/>
        <w:numPr>
          <w:ilvl w:val="0"/>
          <w:numId w:val="365"/>
        </w:numPr>
        <w:spacing w:before="240" w:after="240" w:line="240" w:lineRule="auto"/>
      </w:pPr>
      <w:r w:rsidRPr="000F6CD1">
        <w:t>Former child migrants - children who arrived in Australia through historical child migration schemes and were subsequently placed in homes and orphanages.</w:t>
      </w:r>
    </w:p>
    <w:p w14:paraId="0EA36255" w14:textId="77777777" w:rsidR="00B4017B" w:rsidRPr="000F6CD1" w:rsidRDefault="00B4017B">
      <w:pPr>
        <w:pStyle w:val="ListParagraph"/>
        <w:numPr>
          <w:ilvl w:val="0"/>
          <w:numId w:val="365"/>
        </w:numPr>
        <w:spacing w:before="240" w:after="240" w:line="240" w:lineRule="auto"/>
      </w:pPr>
      <w:r w:rsidRPr="000F6CD1">
        <w:t xml:space="preserve">Stolen Generations - children of Aboriginal and Torres Strait Islander descent who were taken from their families and communities by Federal and State government agencies and church missions under the forcible removal policies from the late 1800s until the 1970s. </w:t>
      </w:r>
    </w:p>
    <w:p w14:paraId="2D000CE7" w14:textId="77777777" w:rsidR="00B4017B" w:rsidRPr="000F6CD1" w:rsidRDefault="00B4017B" w:rsidP="00622CFF">
      <w:pPr>
        <w:spacing w:before="240" w:after="240" w:line="240" w:lineRule="auto"/>
        <w:rPr>
          <w:rFonts w:eastAsia="MS Mincho"/>
        </w:rPr>
      </w:pPr>
      <w:r w:rsidRPr="000F6CD1">
        <w:rPr>
          <w:rFonts w:eastAsia="MS Mincho"/>
          <w:color w:val="171717" w:themeColor="background2" w:themeShade="1A"/>
        </w:rPr>
        <w:t xml:space="preserve">Assessors should be particularly sensitive to the effects of care-leavers’ childhood experiences with government officials, authorities and institutional care. </w:t>
      </w:r>
      <w:r w:rsidRPr="000F6CD1">
        <w:rPr>
          <w:color w:val="171717" w:themeColor="background2" w:themeShade="1A"/>
        </w:rPr>
        <w:t xml:space="preserve">These individuals may have experienced complex trauma and have general distrust of institutions and Government departments. </w:t>
      </w:r>
      <w:r w:rsidRPr="000F6CD1">
        <w:rPr>
          <w:rFonts w:eastAsia="MS Mincho"/>
          <w:color w:val="171717" w:themeColor="background2" w:themeShade="1A"/>
        </w:rPr>
        <w:t>Assessors should consider how to best support older people in the most sensitive and respectful way with an awareness and understanding of how childhood experiences may influence their concerns, preferences and decisions in relation to aged care, and emphasise that older people can have a support person at the assessment and that they are not obliged to take up</w:t>
      </w:r>
      <w:r w:rsidRPr="000F6CD1">
        <w:rPr>
          <w:rFonts w:eastAsia="MS Mincho"/>
        </w:rPr>
        <w:t xml:space="preserve"> any approved care.</w:t>
      </w:r>
    </w:p>
    <w:p w14:paraId="75FBD255" w14:textId="77777777" w:rsidR="00B4017B" w:rsidRPr="000F6CD1" w:rsidRDefault="00B4017B" w:rsidP="00622CFF">
      <w:pPr>
        <w:spacing w:before="240" w:after="240" w:line="240" w:lineRule="auto"/>
        <w:rPr>
          <w:rFonts w:eastAsia="MS Mincho"/>
        </w:rPr>
      </w:pPr>
      <w:r w:rsidRPr="000F6CD1">
        <w:rPr>
          <w:rFonts w:eastAsia="MS Mincho"/>
        </w:rPr>
        <w:t>In December 2016, the ‘Caring for Forgotten Australians, Former Child Migrants and Stolen Generations</w:t>
      </w:r>
      <w:r w:rsidRPr="000F6CD1">
        <w:rPr>
          <w:rFonts w:eastAsia="MS Mincho"/>
          <w:i/>
        </w:rPr>
        <w:t xml:space="preserve"> </w:t>
      </w:r>
      <w:r w:rsidRPr="000F6CD1">
        <w:rPr>
          <w:rFonts w:eastAsia="MS Mincho"/>
        </w:rPr>
        <w:t>resource</w:t>
      </w:r>
      <w:r w:rsidRPr="000F6CD1">
        <w:rPr>
          <w:rFonts w:eastAsia="MS Mincho"/>
          <w:i/>
        </w:rPr>
        <w:t xml:space="preserve"> </w:t>
      </w:r>
      <w:r w:rsidRPr="000F6CD1">
        <w:rPr>
          <w:rFonts w:eastAsia="MS Mincho"/>
        </w:rPr>
        <w:t xml:space="preserve">was launched. This package is designed to enhance aged care services and ensure residential and home care providers provide the best possible care to the care leaver groups. Additionally, the Real Care the Second Time Around Project has developed </w:t>
      </w:r>
      <w:r w:rsidRPr="000F6CD1">
        <w:t>practical tips</w:t>
      </w:r>
      <w:r w:rsidRPr="000F6CD1">
        <w:rPr>
          <w:rFonts w:eastAsia="MS Mincho"/>
        </w:rPr>
        <w:t xml:space="preserve"> to assist aged care providers and staff to engage with Forgotten Australians/Care Leavers. </w:t>
      </w:r>
    </w:p>
    <w:p w14:paraId="58C0ED9B" w14:textId="77777777" w:rsidR="00B4017B" w:rsidRPr="000F6CD1" w:rsidRDefault="00B4017B" w:rsidP="00806A21">
      <w:pPr>
        <w:pStyle w:val="Sub-headings"/>
      </w:pPr>
      <w:r w:rsidRPr="000F6CD1">
        <w:t xml:space="preserve">Important: </w:t>
      </w:r>
    </w:p>
    <w:p w14:paraId="7C682E58" w14:textId="77777777" w:rsidR="00B4017B" w:rsidRPr="000F6CD1" w:rsidRDefault="00B4017B" w:rsidP="00806A21">
      <w:pPr>
        <w:pStyle w:val="Sub-headings"/>
      </w:pPr>
      <w:r w:rsidRPr="000F6CD1">
        <w:t xml:space="preserve">Under Support at Home, individuals who are care leavers are eligible for a care management supplement which will be credited to their provider's care management account. </w:t>
      </w:r>
    </w:p>
    <w:p w14:paraId="43C6DA68" w14:textId="77777777" w:rsidR="00B4017B" w:rsidRPr="000F6CD1" w:rsidRDefault="00B4017B" w:rsidP="00806A21">
      <w:pPr>
        <w:pStyle w:val="Sub-headings"/>
      </w:pPr>
      <w:r w:rsidRPr="000F6CD1">
        <w:t xml:space="preserve">To identify individuals who are eligible for a care management supplement during the assessment, assessors must use the diversity fields in the IAT, which do not currently capture care leavers. </w:t>
      </w:r>
    </w:p>
    <w:p w14:paraId="3EB5AC1C" w14:textId="77777777" w:rsidR="00B4017B" w:rsidRPr="000F6CD1" w:rsidRDefault="00B4017B" w:rsidP="00806A21">
      <w:pPr>
        <w:pStyle w:val="Sub-headings"/>
      </w:pPr>
      <w:r w:rsidRPr="000F6CD1">
        <w:t xml:space="preserve">Assessors who have identified individuals who are care leavers during the assessment should select the diversity field 'a person separated from your parents or children by forced adoption or removal'. </w:t>
      </w:r>
    </w:p>
    <w:p w14:paraId="5A989054" w14:textId="0E97269A" w:rsidR="00B4017B" w:rsidRPr="000F6CD1" w:rsidRDefault="00B4017B" w:rsidP="00806A21">
      <w:pPr>
        <w:pStyle w:val="Sub-headings"/>
      </w:pPr>
      <w:r w:rsidRPr="000F6CD1">
        <w:t>This will ensure Services Australia is able to identify these individuals from the assessment and apply a care management supplement to their provider's care management account. Refer to the Support at Home Program Manual for more information on the care management supplement.</w:t>
      </w:r>
    </w:p>
    <w:p w14:paraId="29E5BE68" w14:textId="77777777" w:rsidR="00B4017B" w:rsidRPr="000F6CD1" w:rsidRDefault="00B4017B" w:rsidP="00622CFF">
      <w:pPr>
        <w:spacing w:before="240" w:after="240" w:line="240" w:lineRule="auto"/>
        <w:rPr>
          <w:rFonts w:eastAsia="MS Mincho"/>
        </w:rPr>
      </w:pPr>
    </w:p>
    <w:p w14:paraId="6DC67817" w14:textId="77777777" w:rsidR="00B4017B" w:rsidRPr="000F6CD1" w:rsidRDefault="00B4017B" w:rsidP="00632F2D">
      <w:pPr>
        <w:spacing w:before="240" w:after="240" w:line="240" w:lineRule="auto"/>
        <w:rPr>
          <w:szCs w:val="22"/>
        </w:rPr>
      </w:pPr>
      <w:r w:rsidRPr="000F6CD1">
        <w:rPr>
          <w:noProof/>
        </w:rPr>
        <w:lastRenderedPageBreak/>
        <w:drawing>
          <wp:anchor distT="0" distB="0" distL="114300" distR="114300" simplePos="0" relativeHeight="251658324" behindDoc="0" locked="0" layoutInCell="1" allowOverlap="1" wp14:anchorId="497CFCAE" wp14:editId="0AC1BE17">
            <wp:simplePos x="0" y="0"/>
            <wp:positionH relativeFrom="column">
              <wp:posOffset>-635</wp:posOffset>
            </wp:positionH>
            <wp:positionV relativeFrom="paragraph">
              <wp:posOffset>40640</wp:posOffset>
            </wp:positionV>
            <wp:extent cx="356235" cy="354330"/>
            <wp:effectExtent l="0" t="0" r="5715" b="7620"/>
            <wp:wrapSquare wrapText="bothSides"/>
            <wp:docPr id="1141404392" name="Picture 114140439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4392" name="Picture 114140439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0F6CD1">
        <w:rPr>
          <w:szCs w:val="22"/>
        </w:rPr>
        <w:t xml:space="preserve"> </w:t>
      </w:r>
      <w:r w:rsidRPr="000F6CD1">
        <w:rPr>
          <w:b/>
          <w:szCs w:val="22"/>
        </w:rPr>
        <w:t>Department</w:t>
      </w:r>
      <w:r w:rsidRPr="000F6CD1" w:rsidDel="00861417">
        <w:rPr>
          <w:b/>
          <w:szCs w:val="22"/>
        </w:rPr>
        <w:t xml:space="preserve"> of Health</w:t>
      </w:r>
      <w:r w:rsidRPr="000F6CD1">
        <w:rPr>
          <w:b/>
          <w:szCs w:val="22"/>
        </w:rPr>
        <w:t>, Disability and Ageing website:</w:t>
      </w:r>
      <w:r w:rsidRPr="000F6CD1">
        <w:t xml:space="preserve"> </w:t>
      </w:r>
      <w:hyperlink r:id="rId306">
        <w:r w:rsidRPr="000F6CD1">
          <w:rPr>
            <w:rStyle w:val="Hyperlink"/>
            <w:szCs w:val="22"/>
          </w:rPr>
          <w:t>Caring for Forgotten Australians, Former Child Migrants and Stolen Generations Information Package</w:t>
        </w:r>
      </w:hyperlink>
      <w:r w:rsidRPr="000F6CD1">
        <w:rPr>
          <w:szCs w:val="22"/>
        </w:rPr>
        <w:t xml:space="preserve"> </w:t>
      </w:r>
    </w:p>
    <w:p w14:paraId="71FA022A" w14:textId="77777777" w:rsidR="00B4017B" w:rsidRPr="000F6CD1" w:rsidRDefault="00B4017B" w:rsidP="00622CFF">
      <w:pPr>
        <w:spacing w:before="240" w:after="240" w:line="240" w:lineRule="auto"/>
        <w:ind w:left="720"/>
        <w:rPr>
          <w:rFonts w:eastAsia="MS Mincho"/>
        </w:rPr>
      </w:pPr>
      <w:r w:rsidRPr="000F6CD1">
        <w:rPr>
          <w:b/>
          <w:szCs w:val="22"/>
        </w:rPr>
        <w:t>Helping Hands website:</w:t>
      </w:r>
      <w:r w:rsidRPr="000F6CD1">
        <w:t xml:space="preserve"> </w:t>
      </w:r>
      <w:hyperlink r:id="rId307">
        <w:r w:rsidRPr="000F6CD1">
          <w:rPr>
            <w:rStyle w:val="Hyperlink"/>
            <w:szCs w:val="22"/>
          </w:rPr>
          <w:t>Real Care the Second Time Around – Practical Tips</w:t>
        </w:r>
      </w:hyperlink>
    </w:p>
    <w:p w14:paraId="1F31F02F" w14:textId="77777777" w:rsidR="00B4017B" w:rsidRPr="000F6CD1" w:rsidRDefault="00B4017B" w:rsidP="00622CFF">
      <w:pPr>
        <w:spacing w:before="240" w:after="240" w:line="240" w:lineRule="auto"/>
        <w:ind w:left="720"/>
        <w:rPr>
          <w:rFonts w:eastAsia="MS Mincho"/>
        </w:rPr>
      </w:pPr>
    </w:p>
    <w:p w14:paraId="59D7F657" w14:textId="77777777" w:rsidR="00B4017B" w:rsidRPr="000F6CD1" w:rsidRDefault="00B4017B" w:rsidP="006647CE">
      <w:pPr>
        <w:pStyle w:val="h2"/>
      </w:pPr>
      <w:bookmarkStart w:id="1047" w:name="_Toc159226897"/>
      <w:bookmarkStart w:id="1048" w:name="_Toc184402314"/>
      <w:bookmarkStart w:id="1049" w:name="_Toc204329621"/>
      <w:bookmarkStart w:id="1050" w:name="_Toc209189060"/>
      <w:bookmarkStart w:id="1051" w:name="_Toc233282514"/>
      <w:r w:rsidRPr="000F6CD1">
        <w:t>Parents separated from their children by forced adoption or removal</w:t>
      </w:r>
      <w:bookmarkEnd w:id="1047"/>
      <w:bookmarkEnd w:id="1048"/>
      <w:bookmarkEnd w:id="1049"/>
      <w:bookmarkEnd w:id="1050"/>
      <w:bookmarkEnd w:id="1051"/>
    </w:p>
    <w:p w14:paraId="4D125B72" w14:textId="77777777" w:rsidR="00B4017B" w:rsidRPr="000F6CD1" w:rsidRDefault="00B4017B" w:rsidP="00622CFF">
      <w:pPr>
        <w:spacing w:before="240" w:after="240" w:line="240" w:lineRule="auto"/>
      </w:pPr>
      <w:r w:rsidRPr="000F6CD1">
        <w:t>This term refers to the policies and practices that resulted in forced adoptions and the removal of children throughout Australia, particularly during the mid-twentieth century.</w:t>
      </w:r>
    </w:p>
    <w:p w14:paraId="544AF735" w14:textId="77777777" w:rsidR="00B4017B" w:rsidRPr="000F6CD1" w:rsidRDefault="00B4017B" w:rsidP="00622CFF">
      <w:pPr>
        <w:spacing w:before="240" w:after="240" w:line="240" w:lineRule="auto"/>
        <w:rPr>
          <w:rFonts w:eastAsia="MS Mincho"/>
        </w:rPr>
      </w:pPr>
      <w:r w:rsidRPr="000F6CD1">
        <w:rPr>
          <w:rFonts w:eastAsia="MS Mincho"/>
        </w:rPr>
        <w:t xml:space="preserve">Forced adoption practices impacted a large number of Australians and caused significant ongoing effects for many people, particularly mothers, fathers, and adoptees. </w:t>
      </w:r>
    </w:p>
    <w:p w14:paraId="5AFAA171" w14:textId="77777777" w:rsidR="00B4017B" w:rsidRPr="000F6CD1" w:rsidRDefault="00B4017B" w:rsidP="00622CFF">
      <w:pPr>
        <w:spacing w:before="240" w:after="240" w:line="240" w:lineRule="auto"/>
        <w:rPr>
          <w:rFonts w:eastAsia="MS Mincho"/>
        </w:rPr>
      </w:pPr>
      <w:r w:rsidRPr="000F6CD1">
        <w:rPr>
          <w:rFonts w:eastAsia="MS Mincho"/>
        </w:rPr>
        <w:t>Assessors need to be particularly sensitive to those older people who have been adopted or impacted by past forced adoption practices, including interactions with government officials, authorities, and institutional care, as these experiences can have significant personal and psychological impacts. Assessors should emphasise that older people’ wishes are taken into account, they can have a support person at the assessment, and they are not obliged to take up any approved care.</w:t>
      </w:r>
    </w:p>
    <w:p w14:paraId="5C10492F" w14:textId="77777777" w:rsidR="00B4017B" w:rsidRPr="000F6CD1" w:rsidRDefault="00B4017B" w:rsidP="00622CFF">
      <w:pPr>
        <w:spacing w:before="240" w:after="240" w:line="240" w:lineRule="auto"/>
      </w:pPr>
      <w:r w:rsidRPr="000F6CD1">
        <w:rPr>
          <w:noProof/>
        </w:rPr>
        <w:drawing>
          <wp:anchor distT="0" distB="0" distL="114300" distR="114300" simplePos="0" relativeHeight="251658325" behindDoc="0" locked="0" layoutInCell="1" allowOverlap="1" wp14:anchorId="3C8EB965" wp14:editId="301A7F19">
            <wp:simplePos x="0" y="0"/>
            <wp:positionH relativeFrom="column">
              <wp:posOffset>0</wp:posOffset>
            </wp:positionH>
            <wp:positionV relativeFrom="paragraph">
              <wp:posOffset>47684</wp:posOffset>
            </wp:positionV>
            <wp:extent cx="447675" cy="445208"/>
            <wp:effectExtent l="0" t="0" r="0" b="0"/>
            <wp:wrapSquare wrapText="bothSides"/>
            <wp:docPr id="847707600" name="Picture 847707600"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07600" name="Picture 847707600"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14:sizeRelH relativeFrom="page">
              <wp14:pctWidth>0</wp14:pctWidth>
            </wp14:sizeRelH>
            <wp14:sizeRelV relativeFrom="page">
              <wp14:pctHeight>0</wp14:pctHeight>
            </wp14:sizeRelV>
          </wp:anchor>
        </w:drawing>
      </w:r>
      <w:r w:rsidRPr="000F6CD1">
        <w:rPr>
          <w:szCs w:val="22"/>
        </w:rPr>
        <w:t xml:space="preserve"> </w:t>
      </w:r>
      <w:r w:rsidRPr="000F6CD1">
        <w:rPr>
          <w:b/>
          <w:szCs w:val="22"/>
        </w:rPr>
        <w:t>Department of Social Services website:</w:t>
      </w:r>
      <w:r w:rsidRPr="000F6CD1">
        <w:rPr>
          <w:szCs w:val="22"/>
        </w:rPr>
        <w:t xml:space="preserve"> </w:t>
      </w:r>
      <w:hyperlink r:id="rId308">
        <w:r w:rsidRPr="000F6CD1">
          <w:rPr>
            <w:rStyle w:val="Hyperlink"/>
            <w:szCs w:val="22"/>
          </w:rPr>
          <w:t>Families and Children; Forced Adoption Practices and Forced Adoption Support Services</w:t>
        </w:r>
      </w:hyperlink>
    </w:p>
    <w:p w14:paraId="77D487CE" w14:textId="77777777" w:rsidR="00B4017B" w:rsidRPr="000F6CD1" w:rsidRDefault="00B4017B" w:rsidP="00622CFF">
      <w:pPr>
        <w:spacing w:before="240" w:after="240" w:line="240" w:lineRule="auto"/>
        <w:rPr>
          <w:szCs w:val="22"/>
        </w:rPr>
      </w:pPr>
    </w:p>
    <w:p w14:paraId="2F6AF414" w14:textId="77777777" w:rsidR="00B4017B" w:rsidRPr="000F6CD1" w:rsidRDefault="00B4017B" w:rsidP="006647CE">
      <w:pPr>
        <w:pStyle w:val="h2"/>
      </w:pPr>
      <w:bookmarkStart w:id="1052" w:name="_Toc159226898"/>
      <w:bookmarkStart w:id="1053" w:name="_Toc184402315"/>
      <w:bookmarkStart w:id="1054" w:name="_Toc204329622"/>
      <w:bookmarkStart w:id="1055" w:name="_Toc209189061"/>
      <w:bookmarkStart w:id="1056" w:name="_Toc233282515"/>
      <w:r w:rsidRPr="000F6CD1">
        <w:t>Lesbian, gay, bisexual, trans, intersex and other gender diverse people (LGBTI)</w:t>
      </w:r>
      <w:bookmarkEnd w:id="1052"/>
      <w:bookmarkEnd w:id="1053"/>
      <w:bookmarkEnd w:id="1054"/>
      <w:bookmarkEnd w:id="1055"/>
      <w:bookmarkEnd w:id="1056"/>
    </w:p>
    <w:p w14:paraId="3522820D" w14:textId="4298E1D2" w:rsidR="00B4017B" w:rsidRPr="000F6CD1" w:rsidRDefault="00B4017B" w:rsidP="00622CFF">
      <w:pPr>
        <w:spacing w:before="240" w:after="240" w:line="240" w:lineRule="auto"/>
        <w:rPr>
          <w:rFonts w:eastAsia="MS Mincho"/>
        </w:rPr>
      </w:pPr>
      <w:r w:rsidRPr="000F6CD1">
        <w:rPr>
          <w:rFonts w:eastAsia="MS Mincho"/>
        </w:rPr>
        <w:t>In Australia, the acronym</w:t>
      </w:r>
      <w:r w:rsidRPr="000F6CD1">
        <w:rPr>
          <w:rFonts w:eastAsia="Arial"/>
          <w:sz w:val="20"/>
          <w:szCs w:val="20"/>
        </w:rPr>
        <w:t xml:space="preserve"> </w:t>
      </w:r>
      <w:r w:rsidRPr="00F75E1A">
        <w:rPr>
          <w:rFonts w:eastAsia="Arial"/>
          <w:sz w:val="20"/>
          <w:szCs w:val="20"/>
        </w:rPr>
        <w:t>‘</w:t>
      </w:r>
      <w:r w:rsidRPr="000F6CD1">
        <w:rPr>
          <w:rFonts w:eastAsia="MS Mincho"/>
        </w:rPr>
        <w:t>LGBTIQA+’ is used widely, however, older people often prefer the use of ‘LGBTI</w:t>
      </w:r>
      <w:r w:rsidR="003413FE" w:rsidRPr="000F6CD1">
        <w:rPr>
          <w:rFonts w:eastAsia="MS Mincho"/>
        </w:rPr>
        <w:t>,’</w:t>
      </w:r>
      <w:r w:rsidRPr="000F6CD1">
        <w:rPr>
          <w:rFonts w:eastAsia="MS Mincho"/>
        </w:rPr>
        <w:t xml:space="preserve"> as the word ‘queer’ can trigger past trauma as it has previously been used as an offensive derogatory term. ‘LGBTI’ refers collectively to people who are lesbian, gay, bisexual, trans and gender diverse, and/or intersex. LGBTI is often viewed as and referred to as single category that is used to speak about people using broad generalisations. However, LGBTI communities are not homogenous. Within the LGBTI acronym are several distinct, but sometimes overlapping, demographics each with their own histories, experiences and health needs. </w:t>
      </w:r>
    </w:p>
    <w:p w14:paraId="07E3FDF3" w14:textId="77777777" w:rsidR="00B4017B" w:rsidRPr="000F6CD1" w:rsidRDefault="00B4017B" w:rsidP="00622CFF">
      <w:pPr>
        <w:spacing w:before="240" w:after="240" w:line="240" w:lineRule="auto"/>
        <w:rPr>
          <w:rFonts w:eastAsia="MS Mincho"/>
        </w:rPr>
      </w:pPr>
      <w:r w:rsidRPr="000F6CD1">
        <w:rPr>
          <w:rFonts w:eastAsia="MS Mincho"/>
        </w:rPr>
        <w:t xml:space="preserve">Older LGBTI people and elders are likely to have experienced violence, stigma and discrimination throughout their lives. As a result, they may be reluctant to disclose their identities or histories to aged care services and therefore remain isolated or invisible within both the sector and the broader community. Combined with general stigmatisation and invisibility of LGBTI needs at large, this results in a lack of awareness of the unique needs of older LGBTI people, including a lack of targeted services to support them. In addition, the fear of mistreatment or rejection from aged care providers can lead to older LGBTI people delaying seeking care until their health deteriorates or a crisis occurs. </w:t>
      </w:r>
    </w:p>
    <w:p w14:paraId="509202DB" w14:textId="77777777" w:rsidR="00B4017B" w:rsidRPr="000F6CD1" w:rsidRDefault="00B4017B" w:rsidP="00622CFF">
      <w:pPr>
        <w:spacing w:before="240" w:after="240" w:line="240" w:lineRule="auto"/>
        <w:rPr>
          <w:rFonts w:eastAsia="MS Mincho"/>
        </w:rPr>
      </w:pPr>
      <w:r w:rsidRPr="000F6CD1">
        <w:rPr>
          <w:rFonts w:eastAsia="MS Mincho"/>
        </w:rPr>
        <w:t xml:space="preserve">Assessors should ensure they conduct a non-judgmental assessment and the choice to disclose sexual orientation, sex/gender identity or variations of sex characteristics is entirely the older person’s decision. Where an older person does disclose this information, the </w:t>
      </w:r>
      <w:r w:rsidRPr="000F6CD1">
        <w:rPr>
          <w:rFonts w:eastAsia="MS Mincho"/>
        </w:rPr>
        <w:lastRenderedPageBreak/>
        <w:t xml:space="preserve">Assessor should emphasise that their information is protected information under the </w:t>
      </w:r>
      <w:r w:rsidRPr="00242364">
        <w:rPr>
          <w:rFonts w:eastAsia="MS Mincho"/>
          <w:i/>
          <w:iCs/>
        </w:rPr>
        <w:t>Aged Care Act 2024</w:t>
      </w:r>
      <w:r w:rsidRPr="000F6CD1">
        <w:rPr>
          <w:rFonts w:eastAsia="MS Mincho"/>
          <w:i/>
        </w:rPr>
        <w:t>.</w:t>
      </w:r>
      <w:r w:rsidRPr="000F6CD1">
        <w:rPr>
          <w:rFonts w:eastAsia="MS Mincho"/>
        </w:rPr>
        <w:t xml:space="preserve"> In the case of transgender and intersex older people, where specific medical history may need to be communicated to service providers, it is important to discuss the way this information will be communicated or shared with providers.</w:t>
      </w:r>
    </w:p>
    <w:p w14:paraId="0C847283" w14:textId="77777777" w:rsidR="00B4017B" w:rsidRPr="000F6CD1" w:rsidRDefault="00B4017B" w:rsidP="00622CFF">
      <w:pPr>
        <w:spacing w:before="240" w:after="240" w:line="240" w:lineRule="auto"/>
        <w:rPr>
          <w:rFonts w:eastAsia="MS Mincho"/>
        </w:rPr>
      </w:pPr>
      <w:r w:rsidRPr="000F6CD1">
        <w:rPr>
          <w:rFonts w:eastAsia="MS Mincho"/>
        </w:rPr>
        <w:t>Assessors should also be aware of service providers who provide LGBTI-specific services and those that are LGBTI inclusive and be prepared to advocate for LGBTI older people with other service providers as necessary as part of their care coordination activities.</w:t>
      </w:r>
    </w:p>
    <w:p w14:paraId="5029D518" w14:textId="77777777" w:rsidR="00B4017B" w:rsidRPr="000F6CD1" w:rsidRDefault="00B4017B" w:rsidP="00622CFF">
      <w:pPr>
        <w:spacing w:before="240" w:after="240" w:line="240" w:lineRule="auto"/>
      </w:pPr>
      <w:r w:rsidRPr="000F6CD1">
        <w:rPr>
          <w:rFonts w:eastAsia="Times New Roman"/>
        </w:rPr>
        <w:t>In 2019, Actions Plans to Support LGBTI Elders</w:t>
      </w:r>
      <w:r w:rsidRPr="000F6CD1">
        <w:t xml:space="preserve"> </w:t>
      </w:r>
      <w:r w:rsidRPr="000F6CD1">
        <w:rPr>
          <w:rFonts w:eastAsia="Times New Roman"/>
        </w:rPr>
        <w:t xml:space="preserve">were </w:t>
      </w:r>
      <w:r w:rsidRPr="000F6CD1">
        <w:t xml:space="preserve">developed under the Aged Care Diversity Framework </w:t>
      </w:r>
      <w:r w:rsidRPr="000F6CD1">
        <w:rPr>
          <w:rFonts w:eastAsia="Times New Roman"/>
        </w:rPr>
        <w:t xml:space="preserve">to address the unique needs and challenges faced by older </w:t>
      </w:r>
      <w:r w:rsidRPr="000F6CD1">
        <w:t xml:space="preserve">LGBTI people. The provider action plan sets out what aged care providers can do to deliver inclusive care that is appropriate and sensitive to the needs of older LGBTI people. The consumer guide helps older LGBTI people to express their needs when speaking with aged care providers. It can also help people working in aged care to better understand the needs of LGBTI people. </w:t>
      </w:r>
    </w:p>
    <w:p w14:paraId="6FE0DAD3" w14:textId="77777777" w:rsidR="00B4017B" w:rsidRPr="000F6CD1" w:rsidRDefault="00B4017B" w:rsidP="00622CFF">
      <w:pPr>
        <w:spacing w:before="240" w:after="240" w:line="240" w:lineRule="auto"/>
        <w:rPr>
          <w:b/>
          <w:szCs w:val="22"/>
        </w:rPr>
      </w:pPr>
      <w:r w:rsidRPr="000F6CD1">
        <w:rPr>
          <w:noProof/>
        </w:rPr>
        <w:drawing>
          <wp:anchor distT="0" distB="0" distL="114300" distR="114300" simplePos="0" relativeHeight="251658326" behindDoc="0" locked="0" layoutInCell="1" allowOverlap="1" wp14:anchorId="0D46C0DC" wp14:editId="34909B0A">
            <wp:simplePos x="0" y="0"/>
            <wp:positionH relativeFrom="margin">
              <wp:align>left</wp:align>
            </wp:positionH>
            <wp:positionV relativeFrom="paragraph">
              <wp:posOffset>48260</wp:posOffset>
            </wp:positionV>
            <wp:extent cx="363855" cy="361950"/>
            <wp:effectExtent l="0" t="0" r="0" b="0"/>
            <wp:wrapSquare wrapText="bothSides"/>
            <wp:docPr id="507987336" name="Picture 507987336"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7336" name="Picture 507987336"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855" cy="361950"/>
                    </a:xfrm>
                    <a:prstGeom prst="rect">
                      <a:avLst/>
                    </a:prstGeom>
                  </pic:spPr>
                </pic:pic>
              </a:graphicData>
            </a:graphic>
            <wp14:sizeRelH relativeFrom="page">
              <wp14:pctWidth>0</wp14:pctWidth>
            </wp14:sizeRelH>
            <wp14:sizeRelV relativeFrom="page">
              <wp14:pctHeight>0</wp14:pctHeight>
            </wp14:sizeRelV>
          </wp:anchor>
        </w:drawing>
      </w:r>
      <w:r w:rsidRPr="000F6CD1">
        <w:rPr>
          <w:b/>
          <w:szCs w:val="22"/>
        </w:rPr>
        <w:t>Department of Health, Disability and Ageing website:</w:t>
      </w:r>
    </w:p>
    <w:p w14:paraId="2037BA14" w14:textId="77777777" w:rsidR="00B4017B" w:rsidRPr="000F6CD1" w:rsidRDefault="00B4017B" w:rsidP="00622CFF">
      <w:pPr>
        <w:spacing w:before="240" w:after="240" w:line="240" w:lineRule="auto"/>
        <w:rPr>
          <w:szCs w:val="22"/>
        </w:rPr>
      </w:pPr>
      <w:hyperlink r:id="rId309">
        <w:r w:rsidRPr="000F6CD1">
          <w:rPr>
            <w:rStyle w:val="Hyperlink"/>
            <w:szCs w:val="22"/>
          </w:rPr>
          <w:t>Actions to Support LGBTI Elders: A Guide for Consumers</w:t>
        </w:r>
      </w:hyperlink>
      <w:r w:rsidRPr="000F6CD1">
        <w:rPr>
          <w:szCs w:val="22"/>
        </w:rPr>
        <w:t xml:space="preserve"> </w:t>
      </w:r>
    </w:p>
    <w:p w14:paraId="14EA5AA0" w14:textId="77777777" w:rsidR="00B4017B" w:rsidRPr="000F6CD1" w:rsidRDefault="00B4017B" w:rsidP="00632F72">
      <w:pPr>
        <w:spacing w:before="240" w:after="240" w:line="240" w:lineRule="auto"/>
        <w:ind w:firstLine="720"/>
        <w:rPr>
          <w:szCs w:val="22"/>
        </w:rPr>
      </w:pPr>
      <w:hyperlink r:id="rId310">
        <w:r w:rsidRPr="000F6CD1">
          <w:rPr>
            <w:rStyle w:val="Hyperlink"/>
            <w:szCs w:val="22"/>
          </w:rPr>
          <w:t>Actions to Support LGBTI Elders: A Guide for Aged Care Providers</w:t>
        </w:r>
      </w:hyperlink>
    </w:p>
    <w:p w14:paraId="7DA358EE" w14:textId="77777777" w:rsidR="00B4017B" w:rsidRPr="000F6CD1" w:rsidRDefault="00B4017B" w:rsidP="00632F72">
      <w:pPr>
        <w:spacing w:before="240" w:after="240" w:line="240" w:lineRule="auto"/>
        <w:ind w:firstLine="720"/>
        <w:rPr>
          <w:szCs w:val="22"/>
        </w:rPr>
      </w:pPr>
      <w:hyperlink r:id="rId311">
        <w:r w:rsidRPr="000F6CD1">
          <w:rPr>
            <w:rStyle w:val="Hyperlink"/>
            <w:szCs w:val="22"/>
          </w:rPr>
          <w:t>Working with Diverse Groups in Aged Care</w:t>
        </w:r>
      </w:hyperlink>
      <w:r w:rsidRPr="000F6CD1">
        <w:rPr>
          <w:szCs w:val="22"/>
        </w:rPr>
        <w:t xml:space="preserve"> </w:t>
      </w:r>
    </w:p>
    <w:p w14:paraId="7E979420" w14:textId="4D2D8D49" w:rsidR="00B4017B" w:rsidRPr="000F6CD1" w:rsidRDefault="00B4017B" w:rsidP="00321152">
      <w:pPr>
        <w:spacing w:before="240" w:after="240" w:line="240" w:lineRule="auto"/>
        <w:ind w:left="720"/>
        <w:rPr>
          <w:szCs w:val="22"/>
        </w:rPr>
      </w:pPr>
      <w:r w:rsidRPr="000F6CD1">
        <w:rPr>
          <w:b/>
          <w:szCs w:val="22"/>
        </w:rPr>
        <w:t>Federal Register of Legislation website:</w:t>
      </w:r>
      <w:r w:rsidRPr="000F6CD1">
        <w:rPr>
          <w:szCs w:val="22"/>
        </w:rPr>
        <w:t xml:space="preserve"> </w:t>
      </w:r>
      <w:hyperlink r:id="rId312" w:history="1">
        <w:r w:rsidRPr="000F6CD1">
          <w:rPr>
            <w:rStyle w:val="Hyperlink"/>
            <w:szCs w:val="22"/>
          </w:rPr>
          <w:t>Aged Care Act 2024 - Federal Register of Legislation</w:t>
        </w:r>
      </w:hyperlink>
      <w:r w:rsidRPr="000F6CD1">
        <w:rPr>
          <w:szCs w:val="22"/>
        </w:rPr>
        <w:t xml:space="preserve">  (see Statement of Principles section 25)</w:t>
      </w:r>
    </w:p>
    <w:p w14:paraId="181A7E99" w14:textId="77777777" w:rsidR="00B4017B" w:rsidRPr="000F6CD1" w:rsidRDefault="00B4017B" w:rsidP="006647CE">
      <w:pPr>
        <w:pStyle w:val="h2"/>
      </w:pPr>
      <w:bookmarkStart w:id="1057" w:name="_Ref128157412"/>
      <w:bookmarkStart w:id="1058" w:name="_Toc159226899"/>
      <w:bookmarkStart w:id="1059" w:name="_Toc184402316"/>
      <w:bookmarkStart w:id="1060" w:name="_Toc204329623"/>
      <w:bookmarkStart w:id="1061" w:name="_Toc209189062"/>
      <w:bookmarkStart w:id="1062" w:name="_Toc233282516"/>
      <w:r w:rsidRPr="000F6CD1">
        <w:t>Other groups</w:t>
      </w:r>
      <w:bookmarkEnd w:id="1057"/>
      <w:bookmarkEnd w:id="1058"/>
      <w:bookmarkEnd w:id="1059"/>
      <w:bookmarkEnd w:id="1060"/>
      <w:bookmarkEnd w:id="1061"/>
      <w:bookmarkEnd w:id="1062"/>
    </w:p>
    <w:p w14:paraId="4B776782" w14:textId="77777777" w:rsidR="00B4017B" w:rsidRPr="000F6CD1" w:rsidRDefault="00B4017B" w:rsidP="00AD2CE5">
      <w:pPr>
        <w:pStyle w:val="H3"/>
      </w:pPr>
      <w:bookmarkStart w:id="1063" w:name="_Toc159226900"/>
      <w:bookmarkStart w:id="1064" w:name="_Toc184402317"/>
      <w:bookmarkStart w:id="1065" w:name="_Toc204329624"/>
      <w:r w:rsidRPr="000F6CD1">
        <w:t>Carers</w:t>
      </w:r>
      <w:bookmarkEnd w:id="1063"/>
      <w:bookmarkEnd w:id="1064"/>
      <w:bookmarkEnd w:id="1065"/>
    </w:p>
    <w:p w14:paraId="3ECABB58" w14:textId="77777777" w:rsidR="00B4017B" w:rsidRPr="000F6CD1" w:rsidRDefault="00B4017B" w:rsidP="00622CFF">
      <w:pPr>
        <w:spacing w:before="240" w:after="240" w:line="240" w:lineRule="auto"/>
        <w:rPr>
          <w:szCs w:val="32"/>
        </w:rPr>
      </w:pPr>
      <w:r w:rsidRPr="000F6CD1">
        <w:t xml:space="preserve">It is important for assessors to recognise the </w:t>
      </w:r>
      <w:r w:rsidRPr="000F6CD1">
        <w:rPr>
          <w:szCs w:val="32"/>
        </w:rPr>
        <w:t xml:space="preserve">valuable contribution and informal support that carers provide in the </w:t>
      </w:r>
      <w:r w:rsidRPr="000F6CD1">
        <w:t>care</w:t>
      </w:r>
      <w:r w:rsidRPr="000F6CD1">
        <w:rPr>
          <w:szCs w:val="32"/>
        </w:rPr>
        <w:t xml:space="preserve"> of older Australians. </w:t>
      </w:r>
    </w:p>
    <w:p w14:paraId="02820600" w14:textId="085E5C45" w:rsidR="00B4017B" w:rsidRPr="000F6CD1" w:rsidRDefault="00B4017B" w:rsidP="00622CFF">
      <w:pPr>
        <w:spacing w:before="240" w:after="240" w:line="240" w:lineRule="auto"/>
      </w:pPr>
      <w:r w:rsidRPr="000F6CD1">
        <w:t xml:space="preserve">Where possible, with the older person’s consent, the assessor should involve the older person’s carer, family, registered supporters or other people who support the older person in the assessment and support planning process. In assessing the older person’s care needs where family and carers are involved, assessors may find there is a need to balance the older person’s concerns and preferences with those of their family and/or carers. Assuming the older person has capacity to make their own decisions, only the goals and preferences of the older person should be reflected in their Support Plan. The assessor may need to meet with the older person separately to ascertain the older person’s preferences. </w:t>
      </w:r>
    </w:p>
    <w:p w14:paraId="512CD81C" w14:textId="31A3CDEC" w:rsidR="00B4017B" w:rsidRPr="000F6CD1" w:rsidRDefault="00B4017B" w:rsidP="00622CFF">
      <w:pPr>
        <w:spacing w:before="240" w:after="240" w:line="240" w:lineRule="auto"/>
      </w:pPr>
      <w:r w:rsidRPr="000F6CD1">
        <w:t xml:space="preserve">Assessors should (with the older person’s consent) gain an understanding of the carer’s support preferences for the older person and their capacity to continue in the caring role. Assessors need to consider the carer’s circumstances and assess if there are any factors that may affect the sustainability of the caring role. An older person may agree to service recommendations that also benefit the carer, for example a type of respite service where there is an identified area of concern regarding strain in the older person/carer relationship and a goal to relieve stress on the carer. </w:t>
      </w:r>
    </w:p>
    <w:p w14:paraId="63AF12E7" w14:textId="77777777" w:rsidR="00D27B54" w:rsidRDefault="00D27B54">
      <w:r>
        <w:br w:type="page"/>
      </w:r>
    </w:p>
    <w:p w14:paraId="406B8729" w14:textId="0B2D4B51" w:rsidR="00B4017B" w:rsidRPr="000F6CD1" w:rsidRDefault="00B4017B" w:rsidP="00622CFF">
      <w:pPr>
        <w:spacing w:before="240" w:after="240" w:line="240" w:lineRule="auto"/>
      </w:pPr>
      <w:r w:rsidRPr="000F6CD1">
        <w:lastRenderedPageBreak/>
        <w:t>Assessors should provide information to carers regarding specific support services that are available for carers to access in their own right and inform carers how to link with these support services.</w:t>
      </w:r>
      <w:r w:rsidRPr="000F6CD1" w:rsidDel="0091546B">
        <w:t xml:space="preserve"> </w:t>
      </w:r>
      <w:r w:rsidRPr="000F6CD1">
        <w:t xml:space="preserve">Assessors can directly refer carers (with their consent) to Carer Gateway and the National Dementia Helpline through the Assessor Portal and Aged Care Assessor App. </w:t>
      </w:r>
    </w:p>
    <w:tbl>
      <w:tblPr>
        <w:tblW w:w="9498" w:type="dxa"/>
        <w:tblInd w:w="-142" w:type="dxa"/>
        <w:tblLook w:val="04A0" w:firstRow="1" w:lastRow="0" w:firstColumn="1" w:lastColumn="0" w:noHBand="0" w:noVBand="1"/>
      </w:tblPr>
      <w:tblGrid>
        <w:gridCol w:w="9498"/>
      </w:tblGrid>
      <w:tr w:rsidR="00B4017B" w:rsidRPr="000F6CD1" w14:paraId="4801BBC8" w14:textId="77777777">
        <w:tc>
          <w:tcPr>
            <w:tcW w:w="9498" w:type="dxa"/>
          </w:tcPr>
          <w:p w14:paraId="782D0A54" w14:textId="77777777" w:rsidR="00B4017B" w:rsidRPr="000F6CD1" w:rsidRDefault="00B4017B" w:rsidP="00622CFF">
            <w:pPr>
              <w:spacing w:before="240" w:after="240" w:line="240" w:lineRule="auto"/>
              <w:rPr>
                <w:b/>
                <w:szCs w:val="22"/>
              </w:rPr>
            </w:pPr>
            <w:r w:rsidRPr="000F6CD1">
              <w:rPr>
                <w:noProof/>
              </w:rPr>
              <w:drawing>
                <wp:anchor distT="0" distB="0" distL="114300" distR="114300" simplePos="0" relativeHeight="251658327" behindDoc="0" locked="0" layoutInCell="1" allowOverlap="1" wp14:anchorId="2845920B" wp14:editId="5FB8CF2F">
                  <wp:simplePos x="0" y="0"/>
                  <wp:positionH relativeFrom="column">
                    <wp:posOffset>-2540</wp:posOffset>
                  </wp:positionH>
                  <wp:positionV relativeFrom="paragraph">
                    <wp:posOffset>42545</wp:posOffset>
                  </wp:positionV>
                  <wp:extent cx="356235" cy="353695"/>
                  <wp:effectExtent l="0" t="0" r="5715" b="8255"/>
                  <wp:wrapSquare wrapText="bothSides"/>
                  <wp:docPr id="1779368835" name="Picture 1779368835"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8835" name="Picture 1779368835"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3695"/>
                          </a:xfrm>
                          <a:prstGeom prst="rect">
                            <a:avLst/>
                          </a:prstGeom>
                        </pic:spPr>
                      </pic:pic>
                    </a:graphicData>
                  </a:graphic>
                  <wp14:sizeRelH relativeFrom="page">
                    <wp14:pctWidth>0</wp14:pctWidth>
                  </wp14:sizeRelH>
                  <wp14:sizeRelV relativeFrom="page">
                    <wp14:pctHeight>0</wp14:pctHeight>
                  </wp14:sizeRelV>
                </wp:anchor>
              </w:drawing>
            </w:r>
            <w:hyperlink r:id="rId313" w:history="1">
              <w:r w:rsidRPr="000F6CD1">
                <w:rPr>
                  <w:rStyle w:val="Hyperlink"/>
                  <w:b/>
                  <w:szCs w:val="22"/>
                </w:rPr>
                <w:t>Carer Gateway</w:t>
              </w:r>
            </w:hyperlink>
            <w:r w:rsidRPr="000F6CD1">
              <w:rPr>
                <w:b/>
                <w:szCs w:val="22"/>
              </w:rPr>
              <w:t xml:space="preserve"> website.</w:t>
            </w:r>
          </w:p>
          <w:p w14:paraId="72F241EE" w14:textId="77777777" w:rsidR="00B4017B" w:rsidRPr="000F6CD1" w:rsidRDefault="00B4017B" w:rsidP="00632F72">
            <w:pPr>
              <w:spacing w:before="240" w:after="240" w:line="240" w:lineRule="auto"/>
              <w:ind w:left="720"/>
            </w:pPr>
            <w:r w:rsidRPr="000F6CD1">
              <w:rPr>
                <w:b/>
                <w:szCs w:val="22"/>
              </w:rPr>
              <w:t>Department of Health, Disability and Ageing website</w:t>
            </w:r>
            <w:r w:rsidRPr="000F6CD1">
              <w:rPr>
                <w:szCs w:val="22"/>
              </w:rPr>
              <w:t xml:space="preserve">: </w:t>
            </w:r>
            <w:hyperlink r:id="rId314" w:history="1">
              <w:r w:rsidRPr="000F6CD1">
                <w:rPr>
                  <w:rStyle w:val="Hyperlink"/>
                  <w:szCs w:val="22"/>
                </w:rPr>
                <w:t>Our work related to dementia | Australian Government Department of Health, Disability and Ageing</w:t>
              </w:r>
            </w:hyperlink>
          </w:p>
          <w:p w14:paraId="52D84CC2" w14:textId="77777777" w:rsidR="00B4017B" w:rsidRPr="000F6CD1" w:rsidRDefault="00B4017B" w:rsidP="00632F72">
            <w:pPr>
              <w:spacing w:before="240" w:after="240" w:line="240" w:lineRule="auto"/>
              <w:ind w:left="720"/>
            </w:pPr>
            <w:hyperlink r:id="rId315">
              <w:r w:rsidRPr="000F6CD1">
                <w:rPr>
                  <w:rStyle w:val="Hyperlink"/>
                  <w:szCs w:val="22"/>
                </w:rPr>
                <w:t>My Aged Care – Assessor Portal User Guide 2 – Registering support people and adding relationships</w:t>
              </w:r>
            </w:hyperlink>
          </w:p>
          <w:p w14:paraId="4F058DB6" w14:textId="0E122413" w:rsidR="00B4017B" w:rsidRPr="000F6CD1" w:rsidRDefault="00B4017B" w:rsidP="00632F72">
            <w:pPr>
              <w:spacing w:before="240" w:after="240" w:line="240" w:lineRule="auto"/>
              <w:ind w:left="720"/>
              <w:rPr>
                <w:b/>
                <w:szCs w:val="22"/>
              </w:rPr>
            </w:pPr>
            <w:hyperlink r:id="rId316" w:history="1">
              <w:r w:rsidRPr="000F6CD1">
                <w:rPr>
                  <w:rStyle w:val="Hyperlink"/>
                </w:rPr>
                <w:t xml:space="preserve">For family, friends and carers | </w:t>
              </w:r>
              <w:r w:rsidRPr="000F6CD1">
                <w:rPr>
                  <w:rStyle w:val="Hyperlink"/>
                  <w:b/>
                  <w:bCs/>
                </w:rPr>
                <w:t>Dementia Australia</w:t>
              </w:r>
            </w:hyperlink>
          </w:p>
          <w:p w14:paraId="231A53CA" w14:textId="77777777" w:rsidR="00B4017B" w:rsidRPr="000F6CD1" w:rsidRDefault="00B4017B" w:rsidP="00632F72">
            <w:pPr>
              <w:spacing w:before="240" w:after="240" w:line="240" w:lineRule="auto"/>
              <w:ind w:left="720"/>
              <w:rPr>
                <w:b/>
                <w:szCs w:val="22"/>
              </w:rPr>
            </w:pPr>
            <w:hyperlink r:id="rId317" w:history="1">
              <w:r w:rsidRPr="000F6CD1">
                <w:rPr>
                  <w:rStyle w:val="Hyperlink"/>
                  <w:b/>
                  <w:szCs w:val="22"/>
                </w:rPr>
                <w:t>D</w:t>
              </w:r>
              <w:r w:rsidRPr="000F6CD1">
                <w:rPr>
                  <w:rStyle w:val="Hyperlink"/>
                  <w:b/>
                </w:rPr>
                <w:t>ementia</w:t>
              </w:r>
              <w:r w:rsidRPr="000F6CD1">
                <w:rPr>
                  <w:rStyle w:val="Hyperlink"/>
                  <w:b/>
                  <w:szCs w:val="22"/>
                </w:rPr>
                <w:t xml:space="preserve"> Support Australia</w:t>
              </w:r>
            </w:hyperlink>
            <w:r w:rsidRPr="000F6CD1">
              <w:rPr>
                <w:b/>
                <w:szCs w:val="22"/>
              </w:rPr>
              <w:t xml:space="preserve"> website.</w:t>
            </w:r>
          </w:p>
          <w:p w14:paraId="440D2999" w14:textId="77777777" w:rsidR="00B4017B" w:rsidRPr="000F6CD1" w:rsidRDefault="00B4017B" w:rsidP="00632F72">
            <w:pPr>
              <w:spacing w:before="240" w:after="240" w:line="240" w:lineRule="auto"/>
              <w:ind w:left="720"/>
            </w:pPr>
            <w:r w:rsidRPr="000F6CD1">
              <w:t>National Dementia Helpline: 1800 100 500 - 24 hours a day, 7 days a week</w:t>
            </w:r>
          </w:p>
        </w:tc>
      </w:tr>
    </w:tbl>
    <w:p w14:paraId="058DC266" w14:textId="49602184" w:rsidR="00B4017B" w:rsidRPr="000F6CD1" w:rsidRDefault="001C15E0" w:rsidP="00AD2CE5">
      <w:pPr>
        <w:pStyle w:val="H3"/>
      </w:pPr>
      <w:bookmarkStart w:id="1066" w:name="_Toc159226901"/>
      <w:bookmarkStart w:id="1067" w:name="_Toc184402318"/>
      <w:bookmarkStart w:id="1068" w:name="_Toc204329625"/>
      <w:r>
        <w:drawing>
          <wp:anchor distT="0" distB="0" distL="114300" distR="114300" simplePos="0" relativeHeight="251658328" behindDoc="0" locked="0" layoutInCell="1" allowOverlap="1" wp14:anchorId="7A909A18" wp14:editId="34FD6B25">
            <wp:simplePos x="0" y="0"/>
            <wp:positionH relativeFrom="margin">
              <wp:posOffset>-38100</wp:posOffset>
            </wp:positionH>
            <wp:positionV relativeFrom="margin">
              <wp:posOffset>3771900</wp:posOffset>
            </wp:positionV>
            <wp:extent cx="365792" cy="403895"/>
            <wp:effectExtent l="0" t="0" r="0" b="0"/>
            <wp:wrapSquare wrapText="bothSides"/>
            <wp:docPr id="459408933"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8933"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 xml:space="preserve">People living with mental health conditions </w:t>
      </w:r>
      <w:bookmarkEnd w:id="1066"/>
      <w:bookmarkEnd w:id="1067"/>
      <w:bookmarkEnd w:id="1068"/>
    </w:p>
    <w:p w14:paraId="2A677542" w14:textId="08B0619C" w:rsidR="00B4017B" w:rsidRPr="000F6CD1" w:rsidRDefault="00B4017B" w:rsidP="00622CFF">
      <w:pPr>
        <w:spacing w:before="240" w:after="240" w:line="240" w:lineRule="auto"/>
      </w:pPr>
      <w:r w:rsidRPr="000F6CD1">
        <w:t>When assessing the aged care needs of older people living with a mental health condition assessors are encouraged to liaise with mental health services to assist their understanding of the older person’s needs. Assessors can also assist by facilitating links between the older person, providers, and appropriate mental health services.</w:t>
      </w:r>
    </w:p>
    <w:p w14:paraId="5E0A3346" w14:textId="77777777" w:rsidR="00B4017B" w:rsidRPr="000F6CD1" w:rsidRDefault="00B4017B" w:rsidP="00622CFF">
      <w:pPr>
        <w:spacing w:before="240" w:after="240" w:line="240" w:lineRule="auto"/>
      </w:pPr>
      <w:r w:rsidRPr="000F6CD1">
        <w:t xml:space="preserve">Aged care services usually do not have the capacity to adequately meet the needs of people with a serious, uncontrolled mental health condition without the support of, and treatment by, mental health services. </w:t>
      </w:r>
    </w:p>
    <w:p w14:paraId="485DFD83" w14:textId="77777777" w:rsidR="00B4017B" w:rsidRPr="000F6CD1" w:rsidRDefault="00B4017B" w:rsidP="00622CFF">
      <w:pPr>
        <w:spacing w:before="240" w:after="240" w:line="240" w:lineRule="auto"/>
      </w:pPr>
      <w:r w:rsidRPr="000F6CD1">
        <w:t>Assessment and approval for entry to aged care is only appropriate if the intensity, type, and model of care is the most appropriate to meet the person’s care needs. This includes the following considerations:</w:t>
      </w:r>
    </w:p>
    <w:p w14:paraId="58D378CF" w14:textId="77777777" w:rsidR="00B4017B" w:rsidRPr="000F6CD1" w:rsidRDefault="00B4017B" w:rsidP="00DE2178">
      <w:pPr>
        <w:keepLines/>
        <w:tabs>
          <w:tab w:val="num" w:pos="567"/>
        </w:tabs>
        <w:spacing w:before="240" w:after="240" w:line="240" w:lineRule="auto"/>
        <w:rPr>
          <w:rFonts w:eastAsia="MS PGothic"/>
          <w:szCs w:val="22"/>
        </w:rPr>
      </w:pPr>
      <w:r w:rsidRPr="000F6CD1">
        <w:rPr>
          <w:rFonts w:eastAsia="MS PGothic"/>
          <w:szCs w:val="22"/>
        </w:rPr>
        <w:t>The person’s mental health is stable. If they have recently received treatment, their mental health should be stable prior to being assessed although it is understood they may still have significant symptoms.</w:t>
      </w:r>
    </w:p>
    <w:p w14:paraId="43CE7E75" w14:textId="77777777" w:rsidR="00B4017B" w:rsidRPr="000F6CD1" w:rsidRDefault="00B4017B">
      <w:pPr>
        <w:keepLines/>
        <w:numPr>
          <w:ilvl w:val="0"/>
          <w:numId w:val="362"/>
        </w:numPr>
        <w:tabs>
          <w:tab w:val="num" w:pos="567"/>
        </w:tabs>
        <w:spacing w:before="240" w:after="240" w:line="240" w:lineRule="auto"/>
        <w:ind w:left="568" w:hanging="284"/>
        <w:rPr>
          <w:rFonts w:eastAsia="MS PGothic"/>
          <w:szCs w:val="22"/>
        </w:rPr>
      </w:pPr>
      <w:r w:rsidRPr="000F6CD1">
        <w:rPr>
          <w:rFonts w:eastAsia="MS PGothic"/>
          <w:szCs w:val="22"/>
        </w:rPr>
        <w:t>Community mental health services will continue to provide collaborative care for those elderly people who have significant or unstable psychiatric symptoms.</w:t>
      </w:r>
    </w:p>
    <w:p w14:paraId="63D61F80" w14:textId="28EB7455" w:rsidR="00B4017B" w:rsidRPr="000F6CD1" w:rsidRDefault="00B4017B" w:rsidP="00622CFF">
      <w:pPr>
        <w:spacing w:before="240" w:after="240" w:line="240" w:lineRule="auto"/>
        <w:rPr>
          <w:rFonts w:eastAsia="MS PGothic"/>
        </w:rPr>
      </w:pPr>
      <w:r w:rsidRPr="000F6CD1">
        <w:rPr>
          <w:rFonts w:eastAsia="MS PGothic"/>
        </w:rPr>
        <w:t>The assessor must, prior to commencing an assessment, obtain informed consent for the assessment either from the older person (if they have the ability to provide this consent), or an appointed decision maker recognised under the Act who has legal authority to provide consent to the assessment. An appointed decision maker must have active, legal authority for the older person. This may include having authority to make decisions regarding health, accommodation, and daily living care.</w:t>
      </w:r>
    </w:p>
    <w:p w14:paraId="288358E7" w14:textId="77777777" w:rsidR="00B4017B" w:rsidRPr="000F6CD1" w:rsidRDefault="00B4017B" w:rsidP="00622CFF">
      <w:pPr>
        <w:spacing w:before="240" w:after="240" w:line="240" w:lineRule="auto"/>
        <w:rPr>
          <w:rFonts w:eastAsia="Calibri" w:cs="Calibri"/>
          <w:b/>
          <w:color w:val="899F32"/>
        </w:rPr>
      </w:pPr>
      <w:r w:rsidRPr="000F6CD1" w:rsidDel="00E540B2">
        <w:rPr>
          <w:rFonts w:eastAsia="MS PGothic"/>
        </w:rPr>
        <w:t xml:space="preserve">Involuntary mental health care is governed by separate mental health legislation in each state and territory. People who are placed under some form of an involuntary order (e.g., to manage their </w:t>
      </w:r>
      <w:r w:rsidRPr="000F6CD1">
        <w:rPr>
          <w:rFonts w:eastAsia="MS PGothic"/>
        </w:rPr>
        <w:t xml:space="preserve">medicines </w:t>
      </w:r>
      <w:r w:rsidRPr="000F6CD1" w:rsidDel="00E540B2">
        <w:rPr>
          <w:rFonts w:eastAsia="MS PGothic"/>
        </w:rPr>
        <w:t>when living in the community) may be eligible for aged care services. Assessors should consider each referral on a case-by-case basis.</w:t>
      </w:r>
    </w:p>
    <w:p w14:paraId="51F662DE" w14:textId="77777777" w:rsidR="00B4017B" w:rsidRPr="000F6CD1" w:rsidRDefault="00B4017B" w:rsidP="00622CFF">
      <w:pPr>
        <w:keepLines/>
        <w:spacing w:before="240" w:after="240" w:line="240" w:lineRule="auto"/>
        <w:rPr>
          <w:rFonts w:eastAsia="MS PGothic"/>
        </w:rPr>
      </w:pPr>
      <w:r w:rsidRPr="000F6CD1">
        <w:rPr>
          <w:rFonts w:eastAsia="MS PGothic"/>
        </w:rPr>
        <w:lastRenderedPageBreak/>
        <w:t>In some jurisdictions, under certain circumstances, mental health legislation empowers the treating psychiatrist to make accommodation decisions in the best interests of a person receiving treatment under an involuntary order. This power is only exercised when a particular accommodation setting is required to facilitate the treatment of a person’s mental health condition. It does not replace the need for guardianship when a mental health condition is incidental to that person’s need for placement in residential care.</w:t>
      </w:r>
    </w:p>
    <w:p w14:paraId="743BCD64" w14:textId="77777777" w:rsidR="00B4017B" w:rsidRPr="000F6CD1" w:rsidRDefault="00B4017B" w:rsidP="00622CFF">
      <w:pPr>
        <w:spacing w:before="240" w:after="240" w:line="240" w:lineRule="auto"/>
        <w:rPr>
          <w:rFonts w:eastAsia="MS PGothic"/>
        </w:rPr>
      </w:pPr>
      <w:r w:rsidRPr="000F6CD1">
        <w:rPr>
          <w:rFonts w:eastAsia="MS PGothic"/>
        </w:rPr>
        <w:t>A comprehensive assessment is also required to access residential aged care facilities in jurisdictions where residential aged care facilities are part of the aged mental health service system.</w:t>
      </w:r>
    </w:p>
    <w:p w14:paraId="35436100" w14:textId="77777777" w:rsidR="00B4017B" w:rsidRPr="000F6CD1" w:rsidRDefault="00B4017B" w:rsidP="00622CFF">
      <w:pPr>
        <w:spacing w:before="240" w:after="240" w:line="240" w:lineRule="auto"/>
        <w:rPr>
          <w:rFonts w:eastAsia="MS Mincho"/>
        </w:rPr>
      </w:pPr>
      <w:r w:rsidRPr="000F6CD1">
        <w:rPr>
          <w:rFonts w:eastAsia="MS PGothic"/>
        </w:rPr>
        <w:t>All assessment organisations should develop assessment protocols that reflect relevant state or territory legislation and regulations, to ensure that older people living with a mental health condition are directed to the responsible agency to assess and recommend services most appropriate to meet their care and support needs.</w:t>
      </w:r>
      <w:r w:rsidRPr="000F6CD1">
        <w:rPr>
          <w:rFonts w:eastAsia="MS Mincho"/>
        </w:rPr>
        <w:t xml:space="preserve"> </w:t>
      </w:r>
    </w:p>
    <w:p w14:paraId="74ED1796" w14:textId="77777777" w:rsidR="00B4017B" w:rsidRPr="000F6CD1" w:rsidRDefault="00B4017B" w:rsidP="00AD2CE5">
      <w:pPr>
        <w:pStyle w:val="H3"/>
      </w:pPr>
      <w:r w:rsidRPr="000F6CD1">
        <w:t>People with palliative care needs </w:t>
      </w:r>
    </w:p>
    <w:p w14:paraId="46AEC67C" w14:textId="77777777" w:rsidR="00B4017B" w:rsidRPr="000F6CD1" w:rsidRDefault="00B4017B" w:rsidP="00622CFF">
      <w:pPr>
        <w:spacing w:before="240" w:after="240" w:line="240" w:lineRule="auto"/>
      </w:pPr>
      <w:r w:rsidRPr="000F6CD1">
        <w:t xml:space="preserve">Under the Statement of Rights in section 23 of the </w:t>
      </w:r>
      <w:r w:rsidRPr="00242364">
        <w:rPr>
          <w:i/>
          <w:iCs/>
        </w:rPr>
        <w:t>Aged Care Act 2024</w:t>
      </w:r>
      <w:r w:rsidRPr="000F6CD1">
        <w:t xml:space="preserve"> (the Act), an individual has a right to equitable access to palliative care and end-of-life care when required. The strengthened Aged Care Quality Standards also include outcome 5.7 Palliative Care and End-of-Life Care, that provides the intent for providers to follow, including recognising and addressing the needs, goals and preferences of individuals for palliative care and end-of-life care  </w:t>
      </w:r>
    </w:p>
    <w:p w14:paraId="3A015997" w14:textId="5423D9A3" w:rsidR="00B4017B" w:rsidRPr="000F6CD1" w:rsidRDefault="00B4017B" w:rsidP="00622CFF">
      <w:pPr>
        <w:spacing w:before="240" w:after="240" w:line="240" w:lineRule="auto"/>
      </w:pPr>
      <w:r w:rsidRPr="000F6CD1">
        <w:t>Palliative care is person and family-centred treatment, care and support for people living with a life-limiting illness. Palliative care aims to improve quality of life and support people to live well for as long as possible.</w:t>
      </w:r>
      <w:r w:rsidR="0045425A" w:rsidRPr="000F6CD1">
        <w:t xml:space="preserve"> </w:t>
      </w:r>
    </w:p>
    <w:p w14:paraId="60D6C7D3" w14:textId="77777777" w:rsidR="00B4017B" w:rsidRPr="000F6CD1" w:rsidRDefault="00B4017B" w:rsidP="00622CFF">
      <w:pPr>
        <w:spacing w:before="240" w:after="240" w:line="240" w:lineRule="auto"/>
      </w:pPr>
      <w:r w:rsidRPr="000F6CD1">
        <w:t>The Aged Care Quality and Safety Commission stipulate that care recipients are entitled to receive personal and/or clinical care that is appropriate and recognises their needs, goals, and preferences. This is particularly important for care recipients nearing the end of their lives whose preference may be to remain in their home for as long as possible. </w:t>
      </w:r>
    </w:p>
    <w:p w14:paraId="2ABCDEEB" w14:textId="728BDF12" w:rsidR="00B4017B" w:rsidRPr="000F6CD1" w:rsidRDefault="00B4017B" w:rsidP="00622CFF">
      <w:pPr>
        <w:spacing w:before="240" w:after="240" w:line="240" w:lineRule="auto"/>
      </w:pPr>
      <w:r w:rsidRPr="000F6CD1">
        <w:t xml:space="preserve">Older people with a life-limiting condition can be supported by multiple care systems including, aged care services, mainstream health care services (including specialist care) and state and territory specialist palliative care services. </w:t>
      </w:r>
    </w:p>
    <w:p w14:paraId="2AC09B1D" w14:textId="77777777" w:rsidR="00B4017B" w:rsidRPr="000F6CD1" w:rsidRDefault="00B4017B" w:rsidP="00622CFF">
      <w:pPr>
        <w:spacing w:before="240" w:after="240" w:line="240" w:lineRule="auto"/>
      </w:pPr>
      <w:r w:rsidRPr="000F6CD1">
        <w:t>Where the aged care system is identified as part of the care requirements for a person over the age of 65 years (or over 50 years for Aboriginal and Torres Strait Islander people and people who are homeless or at risk of homelessness) with a life-limiting illness, it is important the aged care assessment is holistic and considers all of the person’s needs. An important part of the aged care assessment will be the identification of palliative care and end of life care needs. Timely provision of appropriate care can support people to be cared for in their home for as long as possible if this is their preference. This is therefore important to consider as part of the assessment and when recommending care options and services. </w:t>
      </w:r>
    </w:p>
    <w:p w14:paraId="3A0B74C9" w14:textId="589B8D52" w:rsidR="001C15E0" w:rsidRDefault="00B4017B" w:rsidP="00622CFF">
      <w:pPr>
        <w:spacing w:before="240" w:after="240" w:line="240" w:lineRule="auto"/>
      </w:pPr>
      <w:r w:rsidRPr="000F6CD1">
        <w:t>Assessors should pay particular attention and use their professional judgement to note if an older person has a life limiting illness, they would likely benefit from receiving a palliative approach to care.</w:t>
      </w:r>
      <w:r w:rsidR="0045425A" w:rsidRPr="000F6CD1">
        <w:t xml:space="preserve"> </w:t>
      </w:r>
    </w:p>
    <w:p w14:paraId="304F9746" w14:textId="3D20D428" w:rsidR="00B4017B" w:rsidRPr="000F6CD1" w:rsidRDefault="001C15E0" w:rsidP="001C15E0">
      <w:r>
        <w:br w:type="page"/>
      </w:r>
    </w:p>
    <w:p w14:paraId="648C2746" w14:textId="77777777" w:rsidR="00B4017B" w:rsidRPr="000F6CD1" w:rsidRDefault="00B4017B" w:rsidP="00CC6081">
      <w:pPr>
        <w:pStyle w:val="H4"/>
      </w:pPr>
      <w:r w:rsidRPr="000F6CD1">
        <w:lastRenderedPageBreak/>
        <w:t>Supporting information </w:t>
      </w:r>
    </w:p>
    <w:p w14:paraId="6FCB839D" w14:textId="4D59BFA4" w:rsidR="00B4017B" w:rsidRPr="000F6CD1" w:rsidRDefault="00B4017B" w:rsidP="00622CFF">
      <w:pPr>
        <w:spacing w:before="240" w:after="240" w:line="240" w:lineRule="auto"/>
      </w:pPr>
      <w:r w:rsidRPr="000F6CD1">
        <w:t>Palliative care seeks to prevent and relieve suffering through early identification and correct assessment and treatment of pain and other symptoms, associated with a life-limiting illness, whether physical, psychosocial, or spiritual. The types of supports that may be needed by an individual, their families and carers will vary and may include a range of clinical and non-clinical supports.</w:t>
      </w:r>
      <w:r w:rsidR="0045425A" w:rsidRPr="000F6CD1">
        <w:t xml:space="preserve"> </w:t>
      </w:r>
    </w:p>
    <w:p w14:paraId="6D852068" w14:textId="0246C29A" w:rsidR="00B4017B" w:rsidRPr="000F6CD1" w:rsidRDefault="00B4017B" w:rsidP="00622CFF">
      <w:pPr>
        <w:spacing w:before="240" w:after="240" w:line="240" w:lineRule="auto"/>
      </w:pPr>
      <w:r w:rsidRPr="000F6CD1">
        <w:t>Palliative care can occur in almost all settings where health and aged care is provided. It may be provided by a variety of professionals, including specialists, general practitioners, nurses, allied health workers, aged care workers, counsellors, and pastoral carers. The assistance of specialist palliative medicine physicians and nurses may be required when a person’s symptoms are complex or difficult to manage.</w:t>
      </w:r>
      <w:r w:rsidR="0045425A" w:rsidRPr="000F6CD1">
        <w:t xml:space="preserve"> </w:t>
      </w:r>
    </w:p>
    <w:p w14:paraId="27393815" w14:textId="179B8D10" w:rsidR="00B4017B" w:rsidRPr="000F6CD1" w:rsidRDefault="00B4017B" w:rsidP="00622CFF">
      <w:pPr>
        <w:spacing w:before="240" w:after="240" w:line="240" w:lineRule="auto"/>
      </w:pPr>
      <w:r w:rsidRPr="000F6CD1">
        <w:t>Palliative care is different to ‘end-of-life care</w:t>
      </w:r>
      <w:r w:rsidR="00A863F5" w:rsidRPr="000F6CD1">
        <w:t>.’</w:t>
      </w:r>
      <w:r w:rsidRPr="000F6CD1">
        <w:t xml:space="preserve"> While palliative care may be provided from the point of diagnosis of a life-limiting illness, end-of-life care is care for a person who is in the last months or weeks of life, including for those whose death is imminent (within weeks or days). The needs of patients are higher at this time and timely access to services is vital. Timely access to aged care services may depend on the services being sought and whether a person is already engaged with an aged care program. </w:t>
      </w:r>
    </w:p>
    <w:p w14:paraId="592952AC" w14:textId="63AA14AD" w:rsidR="00B4017B" w:rsidRPr="000F6CD1" w:rsidRDefault="00B4017B" w:rsidP="00622CFF">
      <w:pPr>
        <w:spacing w:before="240" w:after="240" w:line="240" w:lineRule="auto"/>
      </w:pPr>
      <w:r w:rsidRPr="000F6CD1">
        <w:t xml:space="preserve">It is therefore important to explore all options for an older person, including whether the Support at Home End-of-Life pathway is appropriate. Eligibility for the End-of-Life Pathway can be found in Chapter </w:t>
      </w:r>
      <w:r w:rsidRPr="000F6CD1">
        <w:fldChar w:fldCharType="begin"/>
      </w:r>
      <w:r w:rsidRPr="000F6CD1">
        <w:instrText xml:space="preserve"> REF _Ref212736454 \w \h </w:instrText>
      </w:r>
      <w:r w:rsidRPr="000F6CD1">
        <w:fldChar w:fldCharType="separate"/>
      </w:r>
      <w:r w:rsidR="004B171E">
        <w:t>6</w:t>
      </w:r>
      <w:r w:rsidRPr="000F6CD1">
        <w:fldChar w:fldCharType="end"/>
      </w:r>
      <w:r w:rsidRPr="000F6CD1">
        <w:t xml:space="preserve">. </w:t>
      </w:r>
    </w:p>
    <w:p w14:paraId="2155708B" w14:textId="2EB8698E" w:rsidR="00B4017B" w:rsidRPr="000F6CD1" w:rsidRDefault="00B4017B" w:rsidP="00622CFF">
      <w:pPr>
        <w:spacing w:before="240" w:after="240" w:line="240" w:lineRule="auto"/>
      </w:pPr>
      <w:r w:rsidRPr="000F6CD1">
        <w:t>The provision of both palliative care and end-of-life care cuts across systems – care offered through the aged care system should be integrated to facilitate seamless transition, building upon clinical palliative care services offered by primary care professionals, or state-based specialist palliative care services.</w:t>
      </w:r>
      <w:r w:rsidR="00A863F5" w:rsidRPr="000F6CD1">
        <w:t xml:space="preserve"> </w:t>
      </w:r>
    </w:p>
    <w:p w14:paraId="65CB5917" w14:textId="2FFB34D4" w:rsidR="00B4017B" w:rsidRPr="000F6CD1" w:rsidRDefault="00B4017B" w:rsidP="00622CFF">
      <w:pPr>
        <w:spacing w:before="240" w:after="240" w:line="240" w:lineRule="auto"/>
      </w:pPr>
      <w:r w:rsidRPr="000F6CD1">
        <w:t>For example, where a state or territory provides clinical palliative care services in the home, older people receiving palliative care may also require assistance with basic daily living support and supportive care to ensure they are able to remain at home for as long as possible. These care needs range from assistance with daily chores to personal care, providing meals, transport assistance, respite care, home modifications and social support.</w:t>
      </w:r>
      <w:r w:rsidR="00A863F5" w:rsidRPr="000F6CD1">
        <w:t xml:space="preserve"> </w:t>
      </w:r>
    </w:p>
    <w:tbl>
      <w:tblPr>
        <w:tblStyle w:val="TableGrid"/>
        <w:tblW w:w="0" w:type="auto"/>
        <w:tblLook w:val="04A0" w:firstRow="1" w:lastRow="0" w:firstColumn="1" w:lastColumn="0" w:noHBand="0" w:noVBand="1"/>
      </w:tblPr>
      <w:tblGrid>
        <w:gridCol w:w="1134"/>
        <w:gridCol w:w="7882"/>
      </w:tblGrid>
      <w:tr w:rsidR="00B4017B" w:rsidRPr="000F6CD1" w14:paraId="1C67272C" w14:textId="77777777">
        <w:trPr>
          <w:trHeight w:val="1016"/>
        </w:trPr>
        <w:tc>
          <w:tcPr>
            <w:tcW w:w="1134" w:type="dxa"/>
            <w:vAlign w:val="center"/>
          </w:tcPr>
          <w:p w14:paraId="4525A3F8" w14:textId="77777777" w:rsidR="00B4017B" w:rsidRPr="000F6CD1" w:rsidRDefault="00B4017B" w:rsidP="00622CFF">
            <w:pPr>
              <w:spacing w:before="240" w:after="240"/>
            </w:pPr>
            <w:r w:rsidRPr="000F6CD1">
              <w:t> </w:t>
            </w:r>
            <w:r w:rsidRPr="000F6CD1">
              <w:rPr>
                <w:noProof/>
              </w:rPr>
              <w:drawing>
                <wp:inline distT="0" distB="0" distL="0" distR="0" wp14:anchorId="7B08DE36" wp14:editId="516C596D">
                  <wp:extent cx="444500" cy="485029"/>
                  <wp:effectExtent l="0" t="0" r="0" b="0"/>
                  <wp:docPr id="1175488727" name="Picture 1175488727"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88727" name="Picture 1175488727" descr="A black-and-white “i” icon inside a speech bubble, used to show where there are links to additional information and resources. "/>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5010280D" w14:textId="77777777" w:rsidR="00B4017B" w:rsidRPr="000F6CD1" w:rsidRDefault="00B4017B" w:rsidP="00622CFF">
            <w:pPr>
              <w:spacing w:before="240" w:after="240"/>
            </w:pPr>
            <w:r w:rsidRPr="000F6CD1">
              <w:rPr>
                <w:b/>
                <w:bCs/>
              </w:rPr>
              <w:t>Department of Health, Disability and Ageing website</w:t>
            </w:r>
            <w:r w:rsidRPr="000F6CD1">
              <w:t>:  </w:t>
            </w:r>
          </w:p>
          <w:p w14:paraId="16DD5517" w14:textId="77777777" w:rsidR="00B4017B" w:rsidRPr="000F6CD1" w:rsidRDefault="00B4017B" w:rsidP="00622CFF">
            <w:pPr>
              <w:spacing w:before="240" w:after="240"/>
            </w:pPr>
            <w:hyperlink r:id="rId319" w:tgtFrame="_blank" w:history="1">
              <w:r w:rsidRPr="000F6CD1">
                <w:rPr>
                  <w:rStyle w:val="Hyperlink"/>
                </w:rPr>
                <w:t>AN-ACC Class 1 – admit for palliative care</w:t>
              </w:r>
            </w:hyperlink>
            <w:r w:rsidRPr="000F6CD1">
              <w:t>  </w:t>
            </w:r>
          </w:p>
          <w:p w14:paraId="44160914" w14:textId="77777777" w:rsidR="00B4017B" w:rsidRPr="000F6CD1" w:rsidRDefault="00B4017B" w:rsidP="00622CFF">
            <w:pPr>
              <w:spacing w:before="240" w:after="240"/>
            </w:pPr>
            <w:hyperlink r:id="rId320" w:tgtFrame="_blank" w:history="1">
              <w:r w:rsidRPr="000F6CD1">
                <w:rPr>
                  <w:rStyle w:val="Hyperlink"/>
                </w:rPr>
                <w:t>National Palliative Care Strategy</w:t>
              </w:r>
            </w:hyperlink>
            <w:r w:rsidRPr="000F6CD1">
              <w:t> </w:t>
            </w:r>
          </w:p>
        </w:tc>
      </w:tr>
    </w:tbl>
    <w:p w14:paraId="3C5693D5" w14:textId="77777777" w:rsidR="00B4017B" w:rsidRPr="000F6CD1" w:rsidRDefault="00B4017B" w:rsidP="00CC6081">
      <w:pPr>
        <w:pStyle w:val="H4"/>
      </w:pPr>
      <w:r w:rsidRPr="000F6CD1">
        <w:t>Training and tools for health and aged care professionals  </w:t>
      </w:r>
    </w:p>
    <w:p w14:paraId="60722BD7" w14:textId="02E21200" w:rsidR="00B4017B" w:rsidRPr="000F6CD1" w:rsidRDefault="00B4017B" w:rsidP="00622CFF">
      <w:pPr>
        <w:spacing w:before="240" w:after="240" w:line="240" w:lineRule="auto"/>
      </w:pPr>
      <w:r w:rsidRPr="000F6CD1">
        <w:t>The Australian Government funds accredited education and training on palliative care for the workforce.</w:t>
      </w:r>
      <w:r w:rsidR="00A863F5" w:rsidRPr="000F6CD1">
        <w:t xml:space="preserve"> </w:t>
      </w:r>
    </w:p>
    <w:p w14:paraId="1708D2AA" w14:textId="77777777" w:rsidR="00B4017B" w:rsidRPr="000F6CD1" w:rsidRDefault="00B4017B" w:rsidP="00622CFF">
      <w:pPr>
        <w:spacing w:before="240" w:after="240" w:line="240" w:lineRule="auto"/>
      </w:pPr>
      <w:r w:rsidRPr="000F6CD1">
        <w:t>The Palliative Aged Care Outcomes Program (PACOP) aims to systematically improve palliative and end-of-life care outcomes in aged care settings in Australia. </w:t>
      </w:r>
    </w:p>
    <w:p w14:paraId="48868B64" w14:textId="77777777" w:rsidR="00B4017B" w:rsidRPr="000F6CD1" w:rsidRDefault="00B4017B" w:rsidP="00622CFF">
      <w:pPr>
        <w:spacing w:before="240" w:after="240" w:line="240" w:lineRule="auto"/>
      </w:pPr>
      <w:r w:rsidRPr="000F6CD1">
        <w:t>End of Life Directions for Aged Care (ELDAC) provides information, guidance, and resources for all aged care staff to support palliative care and advance care planning. </w:t>
      </w:r>
    </w:p>
    <w:p w14:paraId="6C9E47AD" w14:textId="77777777" w:rsidR="00B4017B" w:rsidRPr="000F6CD1" w:rsidRDefault="00B4017B" w:rsidP="00622CFF">
      <w:pPr>
        <w:spacing w:before="240" w:after="240" w:line="240" w:lineRule="auto"/>
      </w:pPr>
    </w:p>
    <w:tbl>
      <w:tblPr>
        <w:tblStyle w:val="TableGrid"/>
        <w:tblW w:w="0" w:type="auto"/>
        <w:tblLook w:val="04A0" w:firstRow="1" w:lastRow="0" w:firstColumn="1" w:lastColumn="0" w:noHBand="0" w:noVBand="1"/>
      </w:tblPr>
      <w:tblGrid>
        <w:gridCol w:w="1134"/>
        <w:gridCol w:w="7882"/>
      </w:tblGrid>
      <w:tr w:rsidR="00B4017B" w:rsidRPr="000F6CD1" w14:paraId="7831892A" w14:textId="77777777">
        <w:trPr>
          <w:trHeight w:val="1376"/>
        </w:trPr>
        <w:tc>
          <w:tcPr>
            <w:tcW w:w="1134" w:type="dxa"/>
            <w:vAlign w:val="center"/>
          </w:tcPr>
          <w:p w14:paraId="0F30BB93" w14:textId="77777777" w:rsidR="00B4017B" w:rsidRPr="000F6CD1" w:rsidRDefault="00B4017B" w:rsidP="00622CFF">
            <w:pPr>
              <w:spacing w:before="240" w:after="240"/>
            </w:pPr>
            <w:r w:rsidRPr="000F6CD1">
              <w:rPr>
                <w:noProof/>
              </w:rPr>
              <w:drawing>
                <wp:inline distT="0" distB="0" distL="0" distR="0" wp14:anchorId="593EC881" wp14:editId="2E17B1C3">
                  <wp:extent cx="444500" cy="485029"/>
                  <wp:effectExtent l="0" t="0" r="0" b="0"/>
                  <wp:docPr id="454877237" name="Picture 454877237" descr="A black-and-white “i” icon inside a speech bubble, used to show where there are links to additional information and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77237" name="Picture 454877237" descr="A black-and-white “i” icon inside a speech bubble, used to show where there are links to additional information and resources. &#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6119" cy="508619"/>
                          </a:xfrm>
                          <a:prstGeom prst="rect">
                            <a:avLst/>
                          </a:prstGeom>
                          <a:noFill/>
                          <a:ln>
                            <a:noFill/>
                          </a:ln>
                        </pic:spPr>
                      </pic:pic>
                    </a:graphicData>
                  </a:graphic>
                </wp:inline>
              </w:drawing>
            </w:r>
          </w:p>
        </w:tc>
        <w:tc>
          <w:tcPr>
            <w:tcW w:w="7882" w:type="dxa"/>
          </w:tcPr>
          <w:p w14:paraId="5B98B677" w14:textId="77777777" w:rsidR="00B4017B" w:rsidRPr="000F6CD1" w:rsidRDefault="00B4017B" w:rsidP="00622CFF">
            <w:pPr>
              <w:spacing w:before="240" w:after="240"/>
            </w:pPr>
            <w:r w:rsidRPr="000F6CD1">
              <w:t xml:space="preserve">Information can be found at </w:t>
            </w:r>
            <w:hyperlink r:id="rId321" w:history="1">
              <w:r w:rsidRPr="000F6CD1">
                <w:rPr>
                  <w:rStyle w:val="Hyperlink"/>
                  <w:b/>
                  <w:bCs/>
                </w:rPr>
                <w:t>health.gov.au/palliative-care-education</w:t>
              </w:r>
              <w:r w:rsidRPr="000F6CD1">
                <w:rPr>
                  <w:rStyle w:val="Hyperlink"/>
                </w:rPr>
                <w:t> </w:t>
              </w:r>
            </w:hyperlink>
          </w:p>
          <w:p w14:paraId="0C9CD8B0" w14:textId="77777777" w:rsidR="00B4017B" w:rsidRPr="000F6CD1" w:rsidRDefault="00B4017B" w:rsidP="00622CFF">
            <w:pPr>
              <w:spacing w:before="240" w:after="240"/>
            </w:pPr>
          </w:p>
        </w:tc>
      </w:tr>
    </w:tbl>
    <w:p w14:paraId="1F67F710" w14:textId="77777777" w:rsidR="00B4017B" w:rsidRPr="000F6CD1" w:rsidRDefault="00B4017B" w:rsidP="00AD2CE5">
      <w:pPr>
        <w:pStyle w:val="H3"/>
      </w:pPr>
      <w:bookmarkStart w:id="1069" w:name="_Toc204329628"/>
      <w:bookmarkStart w:id="1070" w:name="_Ref212734170"/>
      <w:bookmarkStart w:id="1071" w:name="_Ref232603743"/>
      <w:r w:rsidRPr="000F6CD1">
        <w:t>Older people who are in prison</w:t>
      </w:r>
      <w:bookmarkEnd w:id="1069"/>
      <w:bookmarkEnd w:id="1070"/>
      <w:bookmarkEnd w:id="1071"/>
    </w:p>
    <w:p w14:paraId="727DDC61" w14:textId="77777777" w:rsidR="00B4017B" w:rsidRPr="000F6CD1" w:rsidRDefault="00B4017B" w:rsidP="00622CFF">
      <w:pPr>
        <w:spacing w:before="240" w:after="240" w:line="240" w:lineRule="auto"/>
        <w:rPr>
          <w:rFonts w:eastAsia="MS PGothic"/>
        </w:rPr>
      </w:pPr>
      <w:r w:rsidRPr="000F6CD1">
        <w:rPr>
          <w:rFonts w:eastAsia="MS PGothic"/>
        </w:rPr>
        <w:t>Usually, aged care assessments will be conducted when the person is released from prison into the community by referral through My Aged Care. Assessments of ex-prisoners in a community setting will depend on the person’s needs and the screening and triage outcome. However, in a prison setting, only clinical assessors can undertake such assessments. A triage delegate can only arrange an assessment by a non-clinical assessor to take place after the person is released.</w:t>
      </w:r>
    </w:p>
    <w:p w14:paraId="617C5E96" w14:textId="77777777" w:rsidR="00B4017B" w:rsidRPr="000F6CD1" w:rsidRDefault="00B4017B" w:rsidP="00622CFF">
      <w:pPr>
        <w:spacing w:before="240" w:after="240" w:line="240" w:lineRule="auto"/>
        <w:rPr>
          <w:rFonts w:eastAsia="MS PGothic"/>
          <w:i/>
        </w:rPr>
      </w:pPr>
      <w:r w:rsidRPr="000F6CD1">
        <w:rPr>
          <w:rFonts w:eastAsia="MS PGothic"/>
        </w:rPr>
        <w:t>If it is imperative that an assessment occurs in prison, the clinical assessor can conduct an in-prison assessment, provided the prisoner has a release date and the prison is agreeable to the arrangement. By exception, an older person may be assessed in a prison setting by a clinical assessor prior to them securing a release date. This can only occur in cases where a release date is dependent on a needs assessment being undertaken.</w:t>
      </w:r>
    </w:p>
    <w:p w14:paraId="7B458950" w14:textId="77844CE2" w:rsidR="00B4017B" w:rsidRPr="000F6CD1" w:rsidRDefault="00B4017B" w:rsidP="00622CFF">
      <w:pPr>
        <w:spacing w:before="240" w:after="240" w:line="240" w:lineRule="auto"/>
        <w:rPr>
          <w:rFonts w:eastAsia="MS PGothic"/>
        </w:rPr>
      </w:pPr>
      <w:r w:rsidRPr="000F6CD1">
        <w:rPr>
          <w:rFonts w:eastAsia="MS PGothic"/>
        </w:rPr>
        <w:t xml:space="preserve">In recognition that prisoners can have very complex health and care needs, it is appropriate for a clinical assessor to be supported by another assessor. This is a decision for the assessment organisation to make keeping in mind the health and safety of its assessors. For additional considerations for WHS screen prior to assessment see Chapter </w:t>
      </w:r>
      <w:r w:rsidRPr="000F6CD1">
        <w:rPr>
          <w:rFonts w:eastAsia="MS PGothic"/>
        </w:rPr>
        <w:fldChar w:fldCharType="begin"/>
      </w:r>
      <w:r w:rsidRPr="000F6CD1">
        <w:rPr>
          <w:rFonts w:eastAsia="MS PGothic"/>
        </w:rPr>
        <w:instrText xml:space="preserve"> REF _Ref212736469 \w \h </w:instrText>
      </w:r>
      <w:r w:rsidRPr="000F6CD1">
        <w:rPr>
          <w:rFonts w:eastAsia="MS PGothic"/>
        </w:rPr>
      </w:r>
      <w:r w:rsidRPr="000F6CD1">
        <w:rPr>
          <w:rFonts w:eastAsia="MS PGothic"/>
        </w:rPr>
        <w:fldChar w:fldCharType="separate"/>
      </w:r>
      <w:r w:rsidR="004B171E">
        <w:rPr>
          <w:rFonts w:eastAsia="MS PGothic"/>
        </w:rPr>
        <w:t>5</w:t>
      </w:r>
      <w:r w:rsidRPr="000F6CD1">
        <w:rPr>
          <w:rFonts w:eastAsia="MS PGothic"/>
        </w:rPr>
        <w:fldChar w:fldCharType="end"/>
      </w:r>
      <w:r w:rsidRPr="000F6CD1">
        <w:t>.</w:t>
      </w:r>
    </w:p>
    <w:p w14:paraId="35B1C6B0" w14:textId="77777777" w:rsidR="00B4017B" w:rsidRPr="000F6CD1" w:rsidRDefault="00B4017B" w:rsidP="00622CFF">
      <w:pPr>
        <w:spacing w:before="240" w:after="240" w:line="240" w:lineRule="auto"/>
        <w:rPr>
          <w:rFonts w:eastAsia="MS PGothic"/>
          <w:b/>
          <w:i/>
        </w:rPr>
      </w:pPr>
      <w:r w:rsidRPr="000F6CD1">
        <w:rPr>
          <w:rFonts w:eastAsia="MS PGothic"/>
        </w:rPr>
        <w:t>Regardless of whether the assessment occurs in a community or prison setting, Commonwealth subsidised aged care services can only commence after the prisoner is released. It is the responsibility of the relevant state or territory government to provide the appropriate care and services while the person is incarcerated. If the older person is found eligible for Support at Home, the assessor should update the older person’s status to ‘not seeking services’ at the time of assessment. Upon receiving a prison release date, the older person or registered supporter or other person who support the older person will need to contact My Aged Care to indicate they are actively seeking care to be placed on the Support at Home priority system.</w:t>
      </w:r>
    </w:p>
    <w:p w14:paraId="002014E6" w14:textId="239F3BA9" w:rsidR="00B4017B" w:rsidRPr="000F6CD1" w:rsidRDefault="00B4017B" w:rsidP="00622CFF">
      <w:pPr>
        <w:spacing w:before="240" w:after="240" w:line="240" w:lineRule="auto"/>
      </w:pPr>
      <w:r w:rsidRPr="000F6CD1">
        <w:t xml:space="preserve">If the person shares (or the assessor is in receipt of) sensitive information, with the older person’s consent this can be recorded by adding a sensitive note and/or a sensitive attachment. Providers will be presented with a banner message on My Aged Care where a sensitive note exists prompting them to contact the assessor. The assessor should disclose information where it is applicable to the provider in their provision of care or services to the older person (see Recording sensitive information in Chapter </w:t>
      </w:r>
      <w:r w:rsidRPr="000F6CD1">
        <w:fldChar w:fldCharType="begin"/>
      </w:r>
      <w:r w:rsidRPr="000F6CD1">
        <w:instrText xml:space="preserve"> REF _Ref212736487 \w \h </w:instrText>
      </w:r>
      <w:r w:rsidRPr="000F6CD1">
        <w:fldChar w:fldCharType="separate"/>
      </w:r>
      <w:r w:rsidR="004B171E">
        <w:t>5</w:t>
      </w:r>
      <w:r w:rsidRPr="000F6CD1">
        <w:fldChar w:fldCharType="end"/>
      </w:r>
      <w:r w:rsidRPr="000F6CD1">
        <w:t>). Where it is recorded the older person has challenging behaviours that may impact the safety and welfare of the older person or staff, the assessor should contact the provider to help ensure they can appropriately manage these behaviours once services commence.</w:t>
      </w:r>
    </w:p>
    <w:p w14:paraId="20F560BA" w14:textId="77777777" w:rsidR="001C15E0" w:rsidRDefault="00B4017B" w:rsidP="00622CFF">
      <w:pPr>
        <w:spacing w:before="240" w:after="240" w:line="240" w:lineRule="auto"/>
      </w:pPr>
      <w:r w:rsidRPr="000F6CD1">
        <w:t xml:space="preserve">The Support Considerations section of the IAT gives assessors the opportunity to ask the older person if there is any further information providers should be aware of in the delivery of care and services. This will allow (although this is up to the older person to agree to) the older person to advise of parole conditions or any implications of their incarceration that relate to effective and safe aged care provision that have not previously been raised during the assessment. </w:t>
      </w:r>
      <w:bookmarkStart w:id="1072" w:name="_Hlk79166931"/>
    </w:p>
    <w:p w14:paraId="69CE6F8D" w14:textId="2F77C60B" w:rsidR="00B4017B" w:rsidRPr="000F6CD1" w:rsidRDefault="00B4017B" w:rsidP="00622CFF">
      <w:pPr>
        <w:spacing w:before="240" w:after="240" w:line="240" w:lineRule="auto"/>
        <w:rPr>
          <w:rFonts w:ascii="Calibri" w:hAnsi="Calibri" w:cs="Calibri"/>
          <w:szCs w:val="22"/>
        </w:rPr>
      </w:pPr>
      <w:r w:rsidRPr="000F6CD1">
        <w:lastRenderedPageBreak/>
        <w:t xml:space="preserve">The assessor can record this information as a sensitive note and/or sensitive attachment and should add a note in the Support Considerations section of the IAT (and only if appropriate, the Support Plan) indicating that there is a sensitive note and/or sensitive attachment to view. </w:t>
      </w:r>
      <w:bookmarkEnd w:id="1072"/>
    </w:p>
    <w:p w14:paraId="2F9A76AD" w14:textId="7C155536" w:rsidR="00B4017B" w:rsidRPr="000F6CD1" w:rsidRDefault="00B4017B" w:rsidP="4D8C8A7A">
      <w:pPr>
        <w:pStyle w:val="NormalText"/>
        <w:spacing w:before="240" w:after="240" w:line="240" w:lineRule="auto"/>
        <w:rPr>
          <w:rFonts w:eastAsia="MS PGothic"/>
          <w:i/>
          <w:iCs/>
        </w:rPr>
      </w:pPr>
      <w:r w:rsidRPr="000F6CD1">
        <w:rPr>
          <w:rFonts w:eastAsia="MS PGothic"/>
        </w:rPr>
        <w:t xml:space="preserve">Assessors should be mindful that there is an increased likelihood that prisoners or ex-prisoners are at risk of vulnerability and complexity and requiring additional linking support (see Delivering Linking Support / Care Coordination to Vulnerable Older people in </w:t>
      </w:r>
      <w:r w:rsidR="001C2EF1">
        <w:rPr>
          <w:rFonts w:eastAsia="MS PGothic"/>
        </w:rPr>
        <w:fldChar w:fldCharType="begin"/>
      </w:r>
      <w:r w:rsidR="001C2EF1">
        <w:rPr>
          <w:rFonts w:eastAsia="MS PGothic"/>
        </w:rPr>
        <w:instrText xml:space="preserve"> REF _Ref212735055 \h </w:instrText>
      </w:r>
      <w:r w:rsidR="001C2EF1">
        <w:rPr>
          <w:rFonts w:eastAsia="MS PGothic"/>
        </w:rPr>
      </w:r>
      <w:r w:rsidR="001C2EF1">
        <w:rPr>
          <w:rFonts w:eastAsia="MS PGothic"/>
        </w:rPr>
        <w:fldChar w:fldCharType="separate"/>
      </w:r>
      <w:r w:rsidR="004B171E" w:rsidRPr="000F6CD1">
        <w:t>Chapter 5: Assessment activities</w:t>
      </w:r>
      <w:r w:rsidR="001C2EF1">
        <w:rPr>
          <w:rFonts w:eastAsia="MS PGothic"/>
        </w:rPr>
        <w:fldChar w:fldCharType="end"/>
      </w:r>
      <w:r w:rsidRPr="000F6CD1">
        <w:rPr>
          <w:rFonts w:eastAsia="MS PGothic"/>
        </w:rPr>
        <w:t>).</w:t>
      </w:r>
      <w:r w:rsidRPr="000F6CD1">
        <w:rPr>
          <w:rFonts w:eastAsia="MS PGothic"/>
          <w:i/>
        </w:rPr>
        <w:t xml:space="preserve"> </w:t>
      </w:r>
    </w:p>
    <w:p w14:paraId="53C795C6" w14:textId="5D626A2B" w:rsidR="00B4017B" w:rsidRPr="000F6CD1" w:rsidRDefault="00B4017B" w:rsidP="00806A21">
      <w:pPr>
        <w:pStyle w:val="Sub-headings"/>
      </w:pPr>
      <w:r w:rsidRPr="000F6CD1">
        <w:t>Note: When assessing an older person in a prison setting for services to support their transition to residing in the community , the assessor can still complete a ‘true’ assessment based on their best efforts to understand and assess against the person’s functional needs in the community setting they intend to reside in, not the setting where the assessment is being carried out. Where a person is not in the setting they plan to reside in, it may be necessary for assessors to seek information about the older person’s home environment from the older person’s care and support team to make an as accurate assessment as possible of their functional needs.</w:t>
      </w:r>
      <w:bookmarkStart w:id="1073" w:name="_Toc204329629"/>
      <w:bookmarkStart w:id="1074" w:name="_Toc209189063"/>
    </w:p>
    <w:p w14:paraId="2AC9BF59" w14:textId="77777777" w:rsidR="00B4017B" w:rsidRPr="000F6CD1" w:rsidRDefault="00B4017B" w:rsidP="4D8C8A7A">
      <w:pPr>
        <w:pStyle w:val="NormalText"/>
        <w:spacing w:before="240" w:after="240" w:line="240" w:lineRule="auto"/>
        <w:rPr>
          <w:rFonts w:eastAsia="MS PGothic"/>
          <w:i/>
          <w:iCs/>
        </w:rPr>
        <w:sectPr w:rsidR="00B4017B" w:rsidRPr="000F6CD1" w:rsidSect="00B4017B">
          <w:headerReference w:type="even" r:id="rId322"/>
          <w:footerReference w:type="even" r:id="rId323"/>
          <w:footerReference w:type="default" r:id="rId324"/>
          <w:headerReference w:type="first" r:id="rId325"/>
          <w:footerReference w:type="first" r:id="rId326"/>
          <w:pgSz w:w="11906" w:h="16838"/>
          <w:pgMar w:top="1440" w:right="1440" w:bottom="1440" w:left="1440" w:header="708" w:footer="708" w:gutter="0"/>
          <w:cols w:space="708"/>
          <w:docGrid w:linePitch="360"/>
        </w:sectPr>
      </w:pPr>
    </w:p>
    <w:p w14:paraId="18BE7AD2" w14:textId="5F0FA622" w:rsidR="00B4017B" w:rsidRPr="000F6CD1" w:rsidRDefault="00B4017B" w:rsidP="00AC3600">
      <w:pPr>
        <w:pStyle w:val="H1"/>
      </w:pPr>
      <w:bookmarkStart w:id="1075" w:name="_Ref212735882"/>
      <w:bookmarkStart w:id="1076" w:name="_Ref212736025"/>
      <w:bookmarkStart w:id="1077" w:name="_Ref212736536"/>
      <w:bookmarkStart w:id="1078" w:name="_Toc233282517"/>
      <w:r w:rsidRPr="000F6CD1">
        <w:lastRenderedPageBreak/>
        <w:t>Chapter 13: Operating procedures</w:t>
      </w:r>
      <w:bookmarkEnd w:id="1073"/>
      <w:bookmarkEnd w:id="1074"/>
      <w:bookmarkEnd w:id="1075"/>
      <w:bookmarkEnd w:id="1076"/>
      <w:bookmarkEnd w:id="1077"/>
      <w:bookmarkEnd w:id="1078"/>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DF1" w:themeFill="text2" w:themeFillTint="1A"/>
        <w:tblLook w:val="04A0" w:firstRow="1" w:lastRow="0" w:firstColumn="1" w:lastColumn="0" w:noHBand="0" w:noVBand="1"/>
      </w:tblPr>
      <w:tblGrid>
        <w:gridCol w:w="9016"/>
      </w:tblGrid>
      <w:tr w:rsidR="00B4017B" w:rsidRPr="000F6CD1" w14:paraId="6467BAA6" w14:textId="77777777" w:rsidTr="00140E53">
        <w:tc>
          <w:tcPr>
            <w:tcW w:w="9016" w:type="dxa"/>
            <w:shd w:val="clear" w:color="auto" w:fill="F2F2F2" w:themeFill="background1" w:themeFillShade="F2"/>
          </w:tcPr>
          <w:p w14:paraId="5E7A9AB0" w14:textId="77777777" w:rsidR="00B4017B" w:rsidRPr="000F6CD1" w:rsidRDefault="00B4017B" w:rsidP="00E3017E">
            <w:bookmarkStart w:id="1079" w:name="_Toc204329630"/>
            <w:bookmarkStart w:id="1080" w:name="_Toc209189064"/>
            <w:r w:rsidRPr="000F6CD1">
              <w:rPr>
                <w:b/>
                <w:color w:val="358189"/>
                <w:sz w:val="36"/>
                <w:szCs w:val="36"/>
              </w:rPr>
              <w:t>What you’ll find in this chapter</w:t>
            </w:r>
            <w:bookmarkEnd w:id="1079"/>
            <w:bookmarkEnd w:id="1080"/>
          </w:p>
          <w:p w14:paraId="208D27F5" w14:textId="77777777" w:rsidR="00B4017B" w:rsidRPr="000F6CD1" w:rsidRDefault="00B4017B" w:rsidP="00622CFF">
            <w:pPr>
              <w:spacing w:before="240" w:after="240"/>
            </w:pPr>
            <w:r w:rsidRPr="000F6CD1">
              <w:t xml:space="preserve">This chapter includes information on privacy, information management and relevant legislation. Also included in this chapter is information about: </w:t>
            </w:r>
          </w:p>
          <w:p w14:paraId="6242A98F" w14:textId="77777777" w:rsidR="00B4017B" w:rsidRPr="000F6CD1" w:rsidRDefault="00B4017B">
            <w:pPr>
              <w:pStyle w:val="ListParagraph"/>
              <w:numPr>
                <w:ilvl w:val="0"/>
                <w:numId w:val="41"/>
              </w:numPr>
              <w:spacing w:before="240" w:after="240"/>
            </w:pPr>
            <w:r w:rsidRPr="000F6CD1">
              <w:t>Applying to be delegate</w:t>
            </w:r>
          </w:p>
          <w:p w14:paraId="326FBEB2" w14:textId="77777777" w:rsidR="00B4017B" w:rsidRPr="000F6CD1" w:rsidRDefault="00B4017B">
            <w:pPr>
              <w:pStyle w:val="ListParagraph"/>
              <w:numPr>
                <w:ilvl w:val="0"/>
                <w:numId w:val="41"/>
              </w:numPr>
              <w:spacing w:before="240" w:after="240"/>
            </w:pPr>
            <w:r w:rsidRPr="000F6CD1">
              <w:t>Information management</w:t>
            </w:r>
          </w:p>
          <w:p w14:paraId="03F39426" w14:textId="77777777" w:rsidR="00B4017B" w:rsidRPr="000F6CD1" w:rsidRDefault="00B4017B">
            <w:pPr>
              <w:pStyle w:val="ListParagraph"/>
              <w:numPr>
                <w:ilvl w:val="0"/>
                <w:numId w:val="41"/>
              </w:numPr>
              <w:spacing w:before="240" w:after="240"/>
            </w:pPr>
            <w:r w:rsidRPr="000F6CD1">
              <w:t xml:space="preserve">Clinical governance </w:t>
            </w:r>
          </w:p>
          <w:p w14:paraId="32873558" w14:textId="77777777" w:rsidR="00B4017B" w:rsidRPr="000F6CD1" w:rsidRDefault="00B4017B">
            <w:pPr>
              <w:pStyle w:val="ListParagraph"/>
              <w:numPr>
                <w:ilvl w:val="0"/>
                <w:numId w:val="41"/>
              </w:numPr>
              <w:spacing w:before="240" w:after="240"/>
            </w:pPr>
            <w:r w:rsidRPr="000F6CD1">
              <w:t xml:space="preserve">Branding </w:t>
            </w:r>
          </w:p>
          <w:p w14:paraId="08164C03" w14:textId="77777777" w:rsidR="00B4017B" w:rsidRPr="000F6CD1" w:rsidRDefault="00B4017B">
            <w:pPr>
              <w:pStyle w:val="ListParagraph"/>
              <w:numPr>
                <w:ilvl w:val="0"/>
                <w:numId w:val="41"/>
              </w:numPr>
              <w:spacing w:before="240" w:after="240"/>
            </w:pPr>
            <w:r w:rsidRPr="000F6CD1">
              <w:t xml:space="preserve">Resources for consumers </w:t>
            </w:r>
          </w:p>
          <w:p w14:paraId="5A6EB6CD" w14:textId="77777777" w:rsidR="00B4017B" w:rsidRPr="000F6CD1" w:rsidRDefault="00B4017B">
            <w:pPr>
              <w:pStyle w:val="ListParagraph"/>
              <w:numPr>
                <w:ilvl w:val="0"/>
                <w:numId w:val="41"/>
              </w:numPr>
              <w:spacing w:before="240" w:after="240"/>
            </w:pPr>
            <w:r w:rsidRPr="000F6CD1">
              <w:t xml:space="preserve">Reporting and performance </w:t>
            </w:r>
          </w:p>
        </w:tc>
      </w:tr>
    </w:tbl>
    <w:p w14:paraId="7A706CE2" w14:textId="09F4245D" w:rsidR="00B4017B" w:rsidRPr="000F6CD1" w:rsidRDefault="00B4017B" w:rsidP="006647CE">
      <w:pPr>
        <w:pStyle w:val="h2"/>
      </w:pPr>
      <w:bookmarkStart w:id="1081" w:name="_Toc209189065"/>
      <w:bookmarkStart w:id="1082" w:name="_Toc233282518"/>
      <w:bookmarkStart w:id="1083" w:name="_Ref506983369"/>
      <w:bookmarkStart w:id="1084" w:name="_Ref58424971"/>
      <w:bookmarkStart w:id="1085" w:name="_Ref49846054"/>
      <w:bookmarkStart w:id="1086" w:name="_Toc159226986"/>
      <w:bookmarkStart w:id="1087" w:name="_Toc184402401"/>
      <w:bookmarkStart w:id="1088" w:name="_Toc204329631"/>
      <w:r w:rsidRPr="000F6CD1">
        <w:t>Applying to be a delegate</w:t>
      </w:r>
      <w:bookmarkEnd w:id="1081"/>
      <w:bookmarkEnd w:id="1082"/>
      <w:r w:rsidRPr="000F6CD1">
        <w:t> </w:t>
      </w:r>
    </w:p>
    <w:p w14:paraId="460E2099" w14:textId="2F290677" w:rsidR="00B4017B" w:rsidRPr="000F6CD1" w:rsidRDefault="00B4017B" w:rsidP="3FD93375">
      <w:pPr>
        <w:spacing w:before="240" w:after="240"/>
        <w:rPr>
          <w:rFonts w:eastAsia="Arial"/>
          <w:szCs w:val="22"/>
        </w:rPr>
      </w:pPr>
      <w:r w:rsidRPr="000F6CD1">
        <w:rPr>
          <w:rFonts w:eastAsia="Arial"/>
          <w:szCs w:val="22"/>
        </w:rPr>
        <w:t xml:space="preserve"> </w:t>
      </w:r>
      <w:r w:rsidRPr="000F6CD1" w:rsidDel="53479AE9">
        <w:t xml:space="preserve">Delegate applications are submitted online within the My Aged Care </w:t>
      </w:r>
      <w:r w:rsidRPr="000F6CD1" w:rsidDel="7A29C7C6">
        <w:t>assessor portal</w:t>
      </w:r>
      <w:r w:rsidRPr="000F6CD1" w:rsidDel="53479AE9">
        <w:t>.</w:t>
      </w:r>
      <w:r w:rsidRPr="000F6CD1">
        <w:rPr>
          <w:rFonts w:eastAsia="Arial"/>
          <w:szCs w:val="22"/>
        </w:rPr>
        <w:t xml:space="preserve"> There are currently three delegate positions: </w:t>
      </w:r>
    </w:p>
    <w:p w14:paraId="27056939" w14:textId="47759BF5" w:rsidR="00B4017B" w:rsidRPr="000F6CD1" w:rsidRDefault="00B4017B" w:rsidP="00B4017B">
      <w:pPr>
        <w:pStyle w:val="ListParagraph"/>
        <w:numPr>
          <w:ilvl w:val="0"/>
          <w:numId w:val="545"/>
        </w:numPr>
        <w:spacing w:after="0"/>
        <w:rPr>
          <w:rFonts w:eastAsia="Arial"/>
          <w:szCs w:val="22"/>
        </w:rPr>
      </w:pPr>
      <w:r w:rsidRPr="000F6CD1">
        <w:rPr>
          <w:rFonts w:eastAsia="Arial"/>
          <w:szCs w:val="22"/>
        </w:rPr>
        <w:t xml:space="preserve">Triage delegate, </w:t>
      </w:r>
    </w:p>
    <w:p w14:paraId="15A268CE" w14:textId="77777777" w:rsidR="00B4017B" w:rsidRPr="000F6CD1" w:rsidRDefault="00B4017B" w:rsidP="00B4017B">
      <w:pPr>
        <w:pStyle w:val="ListParagraph"/>
        <w:numPr>
          <w:ilvl w:val="0"/>
          <w:numId w:val="545"/>
        </w:numPr>
        <w:spacing w:after="0"/>
        <w:rPr>
          <w:rFonts w:eastAsia="Arial"/>
          <w:szCs w:val="22"/>
        </w:rPr>
      </w:pPr>
      <w:r w:rsidRPr="000F6CD1">
        <w:rPr>
          <w:rFonts w:eastAsia="Arial"/>
          <w:szCs w:val="22"/>
        </w:rPr>
        <w:t xml:space="preserve">Clinical assessment delegate and </w:t>
      </w:r>
    </w:p>
    <w:p w14:paraId="129B6A0D" w14:textId="0EF427C1" w:rsidR="00B4017B" w:rsidRPr="000F6CD1" w:rsidRDefault="00B4017B" w:rsidP="00B4017B">
      <w:pPr>
        <w:pStyle w:val="ListParagraph"/>
        <w:numPr>
          <w:ilvl w:val="0"/>
          <w:numId w:val="545"/>
        </w:numPr>
        <w:spacing w:after="0"/>
        <w:rPr>
          <w:rFonts w:eastAsia="Arial"/>
          <w:szCs w:val="22"/>
        </w:rPr>
      </w:pPr>
      <w:r w:rsidRPr="000F6CD1">
        <w:rPr>
          <w:rFonts w:eastAsia="Arial"/>
          <w:szCs w:val="22"/>
        </w:rPr>
        <w:t>Non-clinical assessment delegate.</w:t>
      </w:r>
    </w:p>
    <w:p w14:paraId="6F402593" w14:textId="43F0200A" w:rsidR="00B4017B" w:rsidRPr="000F6CD1" w:rsidRDefault="009D1823" w:rsidP="00AD2CE5">
      <w:pPr>
        <w:pStyle w:val="H3"/>
      </w:pPr>
      <w:r>
        <w:drawing>
          <wp:anchor distT="0" distB="0" distL="114300" distR="114300" simplePos="0" relativeHeight="251658329" behindDoc="0" locked="0" layoutInCell="1" allowOverlap="1" wp14:anchorId="224911FA" wp14:editId="0DBAD9E4">
            <wp:simplePos x="0" y="0"/>
            <wp:positionH relativeFrom="margin">
              <wp:align>left</wp:align>
            </wp:positionH>
            <wp:positionV relativeFrom="margin">
              <wp:align>center</wp:align>
            </wp:positionV>
            <wp:extent cx="365792" cy="403895"/>
            <wp:effectExtent l="0" t="0" r="0" b="0"/>
            <wp:wrapSquare wrapText="bothSides"/>
            <wp:docPr id="1250754932"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54932"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Delegate on/off form </w:t>
      </w:r>
    </w:p>
    <w:p w14:paraId="0AEE62BB" w14:textId="74D25412" w:rsidR="00B4017B" w:rsidRPr="000F6CD1" w:rsidRDefault="00B4017B" w:rsidP="00622CFF">
      <w:pPr>
        <w:spacing w:before="240" w:after="240" w:line="240" w:lineRule="auto"/>
      </w:pPr>
      <w:r w:rsidRPr="000F6CD1">
        <w:t>To be appointed to a delegate position, such as a triage delegate or assessment delegate and gain the authority to make approval decisions, individuals must complete an application process and be approved by the Department of Health, Disability and Aged Care (the Department). This application is submitted through the My Aged Care assessor portal. </w:t>
      </w:r>
    </w:p>
    <w:p w14:paraId="3472C55F" w14:textId="18E36E1E" w:rsidR="00B4017B" w:rsidRPr="000F6CD1" w:rsidRDefault="00B4017B" w:rsidP="00806A21">
      <w:pPr>
        <w:pStyle w:val="Sub-headings"/>
      </w:pPr>
      <w:r w:rsidRPr="000F6CD1">
        <w:t xml:space="preserve">Note: All non-clinical and clinical assessors have delegation under the Instrument of Delegation to approve CHSP, CHSP AT, CHSP HM when completing a home support assessment. In practice, even though there is a blanket delegation, assessment organisations can instruct their workforce to get someone else to approve a client's home support assessment. </w:t>
      </w:r>
    </w:p>
    <w:p w14:paraId="320A9D76" w14:textId="77777777" w:rsidR="00B4017B" w:rsidRPr="000F6CD1" w:rsidRDefault="00B4017B" w:rsidP="00806A21">
      <w:pPr>
        <w:pStyle w:val="Sub-headings"/>
      </w:pPr>
      <w:r w:rsidRPr="000F6CD1">
        <w:t>From 29 June 2026, the non-clinical delegate workflow will be completed through the Assessor Portal. To undertake delegation, all non-clinical delegates must hold the appropriate non-clinical delegate role in the Assessor Portal from this date</w:t>
      </w:r>
    </w:p>
    <w:p w14:paraId="3F96CAF9" w14:textId="2D88A317" w:rsidR="00B4017B" w:rsidRPr="000F6CD1" w:rsidRDefault="00B4017B" w:rsidP="00622CFF">
      <w:pPr>
        <w:spacing w:before="240" w:after="240" w:line="240" w:lineRule="auto"/>
      </w:pPr>
      <w:r w:rsidRPr="000F6CD1">
        <w:rPr>
          <w:rFonts w:eastAsia="Yu Gothic Light"/>
        </w:rPr>
        <w:t xml:space="preserve">A learner assessor must not be appointed as a clinical or non-clinical delegate until they have completed all mandatory training requirements set out in the </w:t>
      </w:r>
      <w:hyperlink r:id="rId327" w:history="1">
        <w:r w:rsidRPr="000F6CD1">
          <w:rPr>
            <w:rStyle w:val="Hyperlink"/>
            <w:rFonts w:eastAsia="Yu Gothic Light"/>
          </w:rPr>
          <w:t>My Aged Care Workforce Learning Strategy</w:t>
        </w:r>
      </w:hyperlink>
      <w:r w:rsidRPr="000F6CD1">
        <w:rPr>
          <w:rFonts w:eastAsia="Yu Gothic Light"/>
        </w:rPr>
        <w:t xml:space="preserve"> and been issued with a completion certificate on MAClearning. </w:t>
      </w:r>
    </w:p>
    <w:p w14:paraId="16F57598" w14:textId="77777777" w:rsidR="00B4017B" w:rsidRPr="000F6CD1" w:rsidRDefault="00B4017B" w:rsidP="00622CFF">
      <w:pPr>
        <w:spacing w:before="240" w:after="240" w:line="240" w:lineRule="auto"/>
      </w:pPr>
      <w:r w:rsidRPr="000F6CD1">
        <w:t>Within the portal, the Delegate on/off form can be used to: </w:t>
      </w:r>
    </w:p>
    <w:p w14:paraId="61AD1877" w14:textId="77777777" w:rsidR="00B4017B" w:rsidRPr="000F6CD1" w:rsidRDefault="00B4017B">
      <w:pPr>
        <w:pStyle w:val="ListParagraph"/>
        <w:numPr>
          <w:ilvl w:val="0"/>
          <w:numId w:val="383"/>
        </w:numPr>
        <w:spacing w:before="240" w:after="240" w:line="240" w:lineRule="auto"/>
      </w:pPr>
      <w:r w:rsidRPr="000F6CD1">
        <w:rPr>
          <w:b/>
          <w:bCs/>
        </w:rPr>
        <w:t>Add </w:t>
      </w:r>
      <w:r w:rsidRPr="000F6CD1">
        <w:t>users to delegate positions. </w:t>
      </w:r>
    </w:p>
    <w:p w14:paraId="48907BAD" w14:textId="77777777" w:rsidR="00B4017B" w:rsidRPr="000F6CD1" w:rsidRDefault="00B4017B">
      <w:pPr>
        <w:pStyle w:val="ListParagraph"/>
        <w:numPr>
          <w:ilvl w:val="0"/>
          <w:numId w:val="383"/>
        </w:numPr>
        <w:spacing w:before="240" w:after="240" w:line="240" w:lineRule="auto"/>
      </w:pPr>
      <w:r w:rsidRPr="000F6CD1">
        <w:rPr>
          <w:b/>
          <w:bCs/>
        </w:rPr>
        <w:t>Cease</w:t>
      </w:r>
      <w:r w:rsidRPr="000F6CD1">
        <w:t> existing delegates from delegate positions. </w:t>
      </w:r>
    </w:p>
    <w:p w14:paraId="69E56BA5" w14:textId="77777777" w:rsidR="00B4017B" w:rsidRPr="000F6CD1" w:rsidRDefault="00B4017B">
      <w:pPr>
        <w:pStyle w:val="ListParagraph"/>
        <w:numPr>
          <w:ilvl w:val="0"/>
          <w:numId w:val="383"/>
        </w:numPr>
        <w:spacing w:before="240" w:after="240" w:line="240" w:lineRule="auto"/>
      </w:pPr>
      <w:r w:rsidRPr="000F6CD1">
        <w:rPr>
          <w:b/>
          <w:bCs/>
        </w:rPr>
        <w:t>Replace </w:t>
      </w:r>
      <w:r w:rsidRPr="000F6CD1">
        <w:t>existing delegates noting that the replace functionality will cease existing delegate access and add their replacement in a single step. </w:t>
      </w:r>
    </w:p>
    <w:p w14:paraId="215F83F1" w14:textId="77777777" w:rsidR="00B4017B" w:rsidRPr="000F6CD1" w:rsidRDefault="00B4017B" w:rsidP="00622CFF">
      <w:pPr>
        <w:spacing w:before="240" w:after="240" w:line="240" w:lineRule="auto"/>
      </w:pPr>
      <w:r w:rsidRPr="000F6CD1">
        <w:lastRenderedPageBreak/>
        <w:t>A number of rules apply: </w:t>
      </w:r>
    </w:p>
    <w:p w14:paraId="685576B6" w14:textId="77777777" w:rsidR="00B4017B" w:rsidRPr="000F6CD1" w:rsidRDefault="00B4017B">
      <w:pPr>
        <w:pStyle w:val="ListParagraph"/>
        <w:numPr>
          <w:ilvl w:val="0"/>
          <w:numId w:val="384"/>
        </w:numPr>
        <w:spacing w:before="240" w:after="240" w:line="240" w:lineRule="auto"/>
      </w:pPr>
      <w:r w:rsidRPr="000F6CD1">
        <w:t>Only assessors, team leaders, and delegates can hold delegate positions. </w:t>
      </w:r>
    </w:p>
    <w:p w14:paraId="31B80CDE" w14:textId="77777777" w:rsidR="00B4017B" w:rsidRPr="000F6CD1" w:rsidRDefault="00B4017B">
      <w:pPr>
        <w:pStyle w:val="ListParagraph"/>
        <w:numPr>
          <w:ilvl w:val="0"/>
          <w:numId w:val="384"/>
        </w:numPr>
        <w:spacing w:before="240" w:after="240" w:line="240" w:lineRule="auto"/>
      </w:pPr>
      <w:r w:rsidRPr="000F6CD1">
        <w:t>To apply on behalf of someone else, the applicant must be either a Team Leader or an Assessment Organisation Operational Manager. </w:t>
      </w:r>
    </w:p>
    <w:p w14:paraId="7CD277F0" w14:textId="77777777" w:rsidR="00B4017B" w:rsidRPr="000F6CD1" w:rsidRDefault="00B4017B">
      <w:pPr>
        <w:pStyle w:val="ListParagraph"/>
        <w:numPr>
          <w:ilvl w:val="0"/>
          <w:numId w:val="384"/>
        </w:numPr>
        <w:spacing w:before="240" w:after="240" w:line="240" w:lineRule="auto"/>
      </w:pPr>
      <w:r w:rsidRPr="000F6CD1">
        <w:t>Team Leaders can submit applications for themselves as well as for others. </w:t>
      </w:r>
    </w:p>
    <w:p w14:paraId="3150237B" w14:textId="77777777" w:rsidR="00B4017B" w:rsidRPr="000F6CD1" w:rsidRDefault="00B4017B">
      <w:pPr>
        <w:pStyle w:val="ListParagraph"/>
        <w:numPr>
          <w:ilvl w:val="0"/>
          <w:numId w:val="384"/>
        </w:numPr>
        <w:spacing w:before="240" w:after="240" w:line="240" w:lineRule="auto"/>
      </w:pPr>
      <w:r w:rsidRPr="000F6CD1">
        <w:t>Assessment Organisation Operational Managers can only hold a delegate position if they are also an assessor or a Team Leader. </w:t>
      </w:r>
    </w:p>
    <w:p w14:paraId="6A6DF1BC" w14:textId="77777777" w:rsidR="00B4017B" w:rsidRPr="000F6CD1" w:rsidRDefault="00B4017B" w:rsidP="00622CFF">
      <w:pPr>
        <w:spacing w:before="240" w:after="240" w:line="240" w:lineRule="auto"/>
      </w:pPr>
      <w:r w:rsidRPr="000F6CD1">
        <w:t>All approved delegates are assigned a unique Delegate ID in the My Aged Care system. This ID consists of a 6-character code, where: </w:t>
      </w:r>
    </w:p>
    <w:p w14:paraId="16DFA126" w14:textId="77777777" w:rsidR="00B4017B" w:rsidRPr="000F6CD1" w:rsidRDefault="00B4017B">
      <w:pPr>
        <w:numPr>
          <w:ilvl w:val="0"/>
          <w:numId w:val="369"/>
        </w:numPr>
        <w:spacing w:before="240" w:after="240" w:line="240" w:lineRule="auto"/>
      </w:pPr>
      <w:r w:rsidRPr="000F6CD1">
        <w:t>The first three characters represent the assessment organisation ID </w:t>
      </w:r>
    </w:p>
    <w:p w14:paraId="1C35FF35" w14:textId="77777777" w:rsidR="00B4017B" w:rsidRPr="000F6CD1" w:rsidRDefault="00B4017B">
      <w:pPr>
        <w:numPr>
          <w:ilvl w:val="0"/>
          <w:numId w:val="370"/>
        </w:numPr>
        <w:spacing w:before="240" w:after="240" w:line="240" w:lineRule="auto"/>
      </w:pPr>
      <w:r w:rsidRPr="000F6CD1">
        <w:t>The fourth character indicates the profession ID </w:t>
      </w:r>
    </w:p>
    <w:p w14:paraId="46160933" w14:textId="1C731C83" w:rsidR="00B4017B" w:rsidRPr="00677E80" w:rsidRDefault="00B4017B" w:rsidP="00622CFF">
      <w:pPr>
        <w:numPr>
          <w:ilvl w:val="0"/>
          <w:numId w:val="371"/>
        </w:numPr>
        <w:spacing w:before="240" w:after="240" w:line="240" w:lineRule="auto"/>
      </w:pPr>
      <w:r w:rsidRPr="000F6CD1">
        <w:t>The final two characters identify the specific position within the organisation. </w:t>
      </w:r>
    </w:p>
    <w:p w14:paraId="566BD546" w14:textId="77777777" w:rsidR="00B4017B" w:rsidRPr="000F6CD1" w:rsidRDefault="00B4017B" w:rsidP="00622CFF">
      <w:pPr>
        <w:spacing w:before="240" w:after="240" w:line="240" w:lineRule="auto"/>
        <w:rPr>
          <w:b/>
        </w:rPr>
      </w:pPr>
      <w:r w:rsidRPr="000F6CD1">
        <w:rPr>
          <w:b/>
        </w:rPr>
        <w:t>Delegate ID Position setup </w:t>
      </w:r>
    </w:p>
    <w:p w14:paraId="01E1BFEA" w14:textId="77777777" w:rsidR="00B4017B" w:rsidRPr="000F6CD1" w:rsidRDefault="00B4017B" w:rsidP="00E3017E">
      <w:pPr>
        <w:spacing w:before="240" w:after="240" w:line="240" w:lineRule="auto"/>
      </w:pPr>
      <w:r w:rsidRPr="000F6CD1">
        <w:t>The Delegate Position framework derives the position name (Delegate ID Position) for all delegate roles as the concatenation of: 'Initials of delegate role + delegate team ID + profession code + position number' </w:t>
      </w:r>
    </w:p>
    <w:p w14:paraId="4C8C338C" w14:textId="77777777" w:rsidR="00B4017B" w:rsidRPr="000F6CD1" w:rsidRDefault="00B4017B" w:rsidP="00CC6081">
      <w:pPr>
        <w:pStyle w:val="H4"/>
      </w:pPr>
      <w:r w:rsidRPr="000F6CD1">
        <w:t>Initials of delegate role </w:t>
      </w:r>
    </w:p>
    <w:p w14:paraId="39A25CE6" w14:textId="77777777" w:rsidR="00B4017B" w:rsidRPr="000F6CD1" w:rsidRDefault="00B4017B" w:rsidP="00622CFF">
      <w:pPr>
        <w:pStyle w:val="Caption"/>
        <w:spacing w:before="240" w:after="240"/>
      </w:pPr>
      <w:r w:rsidRPr="000F6CD1">
        <w:t>Table 57. Initials of Delegate Roles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Initials of Delegate Roles"/>
        <w:tblDescription w:val="The table details initials of delegate roles"/>
      </w:tblPr>
      <w:tblGrid>
        <w:gridCol w:w="3225"/>
        <w:gridCol w:w="5422"/>
      </w:tblGrid>
      <w:tr w:rsidR="00B4017B" w:rsidRPr="000F6CD1" w14:paraId="39BBDDC6" w14:textId="77777777" w:rsidTr="0063132D">
        <w:trPr>
          <w:trHeight w:val="300"/>
        </w:trPr>
        <w:tc>
          <w:tcPr>
            <w:tcW w:w="3225" w:type="dxa"/>
            <w:shd w:val="clear" w:color="auto" w:fill="002060"/>
            <w:hideMark/>
          </w:tcPr>
          <w:p w14:paraId="24D2C8A3" w14:textId="77777777" w:rsidR="00B4017B" w:rsidRPr="000F6CD1" w:rsidRDefault="00B4017B" w:rsidP="0063132D">
            <w:pPr>
              <w:spacing w:before="120" w:after="120" w:line="240" w:lineRule="auto"/>
              <w:rPr>
                <w:color w:val="FFFFFF" w:themeColor="background1"/>
              </w:rPr>
            </w:pPr>
            <w:r w:rsidRPr="000F6CD1">
              <w:rPr>
                <w:b/>
                <w:bCs/>
                <w:color w:val="FFFFFF" w:themeColor="background1"/>
              </w:rPr>
              <w:t>Delegate Role</w:t>
            </w:r>
            <w:r w:rsidRPr="000F6CD1">
              <w:rPr>
                <w:color w:val="FFFFFF" w:themeColor="background1"/>
              </w:rPr>
              <w:t> </w:t>
            </w:r>
          </w:p>
        </w:tc>
        <w:tc>
          <w:tcPr>
            <w:tcW w:w="5422" w:type="dxa"/>
            <w:shd w:val="clear" w:color="auto" w:fill="002060"/>
            <w:hideMark/>
          </w:tcPr>
          <w:p w14:paraId="4567C9F7" w14:textId="77777777" w:rsidR="00B4017B" w:rsidRPr="000F6CD1" w:rsidRDefault="00B4017B" w:rsidP="0063132D">
            <w:pPr>
              <w:spacing w:before="120" w:after="120" w:line="240" w:lineRule="auto"/>
              <w:rPr>
                <w:color w:val="FFFFFF" w:themeColor="background1"/>
              </w:rPr>
            </w:pPr>
            <w:r w:rsidRPr="000F6CD1">
              <w:rPr>
                <w:b/>
                <w:bCs/>
                <w:color w:val="FFFFFF" w:themeColor="background1"/>
              </w:rPr>
              <w:t>Initials of Delegate Role</w:t>
            </w:r>
            <w:r w:rsidRPr="000F6CD1">
              <w:rPr>
                <w:color w:val="FFFFFF" w:themeColor="background1"/>
              </w:rPr>
              <w:t> </w:t>
            </w:r>
          </w:p>
        </w:tc>
      </w:tr>
      <w:tr w:rsidR="00B4017B" w:rsidRPr="000F6CD1" w14:paraId="031CAB8E" w14:textId="77777777">
        <w:trPr>
          <w:trHeight w:val="300"/>
        </w:trPr>
        <w:tc>
          <w:tcPr>
            <w:tcW w:w="3225" w:type="dxa"/>
            <w:hideMark/>
          </w:tcPr>
          <w:p w14:paraId="7737D4FC" w14:textId="77777777" w:rsidR="00B4017B" w:rsidRPr="000F6CD1" w:rsidRDefault="00B4017B" w:rsidP="0063132D">
            <w:pPr>
              <w:spacing w:before="120" w:after="120" w:line="240" w:lineRule="auto"/>
            </w:pPr>
            <w:r w:rsidRPr="000F6CD1">
              <w:t>Triage Delegate </w:t>
            </w:r>
          </w:p>
        </w:tc>
        <w:tc>
          <w:tcPr>
            <w:tcW w:w="5422" w:type="dxa"/>
            <w:hideMark/>
          </w:tcPr>
          <w:p w14:paraId="33F2C281" w14:textId="77777777" w:rsidR="00B4017B" w:rsidRPr="000F6CD1" w:rsidRDefault="00B4017B" w:rsidP="0063132D">
            <w:pPr>
              <w:spacing w:before="120" w:after="120" w:line="240" w:lineRule="auto"/>
            </w:pPr>
            <w:r w:rsidRPr="000F6CD1">
              <w:t>TD </w:t>
            </w:r>
          </w:p>
        </w:tc>
      </w:tr>
      <w:tr w:rsidR="00B4017B" w:rsidRPr="000F6CD1" w14:paraId="433925D3" w14:textId="77777777">
        <w:trPr>
          <w:trHeight w:val="300"/>
        </w:trPr>
        <w:tc>
          <w:tcPr>
            <w:tcW w:w="3225" w:type="dxa"/>
            <w:hideMark/>
          </w:tcPr>
          <w:p w14:paraId="7DEE0E25" w14:textId="77777777" w:rsidR="00B4017B" w:rsidRPr="000F6CD1" w:rsidRDefault="00B4017B" w:rsidP="0063132D">
            <w:pPr>
              <w:spacing w:before="120" w:after="120" w:line="240" w:lineRule="auto"/>
            </w:pPr>
            <w:r w:rsidRPr="000F6CD1">
              <w:t>Clinical Assessment Delegate </w:t>
            </w:r>
          </w:p>
        </w:tc>
        <w:tc>
          <w:tcPr>
            <w:tcW w:w="5422" w:type="dxa"/>
            <w:hideMark/>
          </w:tcPr>
          <w:p w14:paraId="30A19E0D" w14:textId="77777777" w:rsidR="00B4017B" w:rsidRPr="000F6CD1" w:rsidRDefault="00B4017B" w:rsidP="0063132D">
            <w:pPr>
              <w:spacing w:before="120" w:after="120" w:line="240" w:lineRule="auto"/>
            </w:pPr>
            <w:r w:rsidRPr="000F6CD1">
              <w:t>blank (no value) </w:t>
            </w:r>
          </w:p>
        </w:tc>
      </w:tr>
      <w:tr w:rsidR="00B4017B" w:rsidRPr="000F6CD1" w14:paraId="11CE75F3" w14:textId="77777777">
        <w:trPr>
          <w:trHeight w:val="300"/>
        </w:trPr>
        <w:tc>
          <w:tcPr>
            <w:tcW w:w="3225" w:type="dxa"/>
            <w:hideMark/>
          </w:tcPr>
          <w:p w14:paraId="026CE5F9" w14:textId="77777777" w:rsidR="00B4017B" w:rsidRPr="000F6CD1" w:rsidRDefault="00B4017B" w:rsidP="0063132D">
            <w:pPr>
              <w:spacing w:before="120" w:after="120" w:line="240" w:lineRule="auto"/>
            </w:pPr>
            <w:r w:rsidRPr="000F6CD1">
              <w:t>Non-Clinical Assessment Delegate </w:t>
            </w:r>
          </w:p>
        </w:tc>
        <w:tc>
          <w:tcPr>
            <w:tcW w:w="5422" w:type="dxa"/>
            <w:hideMark/>
          </w:tcPr>
          <w:p w14:paraId="26BF3E87" w14:textId="77777777" w:rsidR="00B4017B" w:rsidRPr="000F6CD1" w:rsidRDefault="00B4017B" w:rsidP="0063132D">
            <w:pPr>
              <w:spacing w:before="120" w:after="120" w:line="240" w:lineRule="auto"/>
            </w:pPr>
            <w:r w:rsidRPr="000F6CD1">
              <w:t>NCAD </w:t>
            </w:r>
          </w:p>
        </w:tc>
      </w:tr>
    </w:tbl>
    <w:p w14:paraId="388F9889" w14:textId="77777777" w:rsidR="00B4017B" w:rsidRPr="000F6CD1" w:rsidRDefault="00B4017B" w:rsidP="00CC6081">
      <w:pPr>
        <w:pStyle w:val="H4"/>
      </w:pPr>
      <w:r w:rsidRPr="000F6CD1">
        <w:t>Delegate team ID </w:t>
      </w:r>
    </w:p>
    <w:p w14:paraId="77DB8E84" w14:textId="77777777" w:rsidR="00B4017B" w:rsidRPr="000F6CD1" w:rsidRDefault="00B4017B" w:rsidP="00622CFF">
      <w:pPr>
        <w:spacing w:before="240" w:after="240" w:line="240" w:lineRule="auto"/>
      </w:pPr>
      <w:r w:rsidRPr="000F6CD1">
        <w:t>The delegate team ID is an existing field and is unique to an outlet. </w:t>
      </w:r>
    </w:p>
    <w:p w14:paraId="7AD7BF8E" w14:textId="77777777" w:rsidR="00677E80" w:rsidRDefault="00677E80">
      <w:pPr>
        <w:rPr>
          <w:rFonts w:eastAsia="Yu Gothic Light"/>
          <w:b/>
          <w:i/>
          <w:iCs/>
          <w:szCs w:val="22"/>
        </w:rPr>
      </w:pPr>
      <w:r>
        <w:br w:type="page"/>
      </w:r>
    </w:p>
    <w:p w14:paraId="3CF75A7C" w14:textId="77777777" w:rsidR="00B4017B" w:rsidRPr="000F6CD1" w:rsidRDefault="00B4017B" w:rsidP="00CC6081">
      <w:pPr>
        <w:pStyle w:val="H4"/>
      </w:pPr>
      <w:r w:rsidRPr="000F6CD1">
        <w:lastRenderedPageBreak/>
        <w:t>Profession code </w:t>
      </w:r>
    </w:p>
    <w:p w14:paraId="78571CB0" w14:textId="77777777" w:rsidR="00B4017B" w:rsidRPr="000F6CD1" w:rsidRDefault="00B4017B" w:rsidP="00622CFF">
      <w:pPr>
        <w:pStyle w:val="Caption"/>
        <w:spacing w:before="240" w:after="240"/>
      </w:pPr>
      <w:r w:rsidRPr="000F6CD1">
        <w:t>Table 58. Profession codes</w:t>
      </w:r>
    </w:p>
    <w:tbl>
      <w:tblPr>
        <w:tblW w:w="8647" w:type="dxa"/>
        <w:tblBorders>
          <w:bottom w:val="single" w:sz="4" w:space="0" w:color="auto"/>
          <w:insideH w:val="single" w:sz="4" w:space="0" w:color="auto"/>
        </w:tblBorders>
        <w:tblCellMar>
          <w:left w:w="0" w:type="dxa"/>
          <w:right w:w="0" w:type="dxa"/>
        </w:tblCellMar>
        <w:tblLook w:val="04A0" w:firstRow="1" w:lastRow="0" w:firstColumn="1" w:lastColumn="0" w:noHBand="0" w:noVBand="1"/>
        <w:tblCaption w:val="Profession codes"/>
        <w:tblDescription w:val="The table details profession codes"/>
      </w:tblPr>
      <w:tblGrid>
        <w:gridCol w:w="2505"/>
        <w:gridCol w:w="6142"/>
      </w:tblGrid>
      <w:tr w:rsidR="00B4017B" w:rsidRPr="000F6CD1" w14:paraId="47FF6C6C" w14:textId="77777777" w:rsidTr="0063132D">
        <w:trPr>
          <w:trHeight w:val="300"/>
        </w:trPr>
        <w:tc>
          <w:tcPr>
            <w:tcW w:w="2505" w:type="dxa"/>
            <w:shd w:val="clear" w:color="auto" w:fill="002060"/>
            <w:hideMark/>
          </w:tcPr>
          <w:p w14:paraId="40F47D61" w14:textId="77777777" w:rsidR="00B4017B" w:rsidRPr="000F6CD1" w:rsidRDefault="00B4017B" w:rsidP="0063132D">
            <w:pPr>
              <w:spacing w:before="120" w:after="120" w:line="240" w:lineRule="auto"/>
              <w:rPr>
                <w:color w:val="FFFFFF" w:themeColor="background1"/>
              </w:rPr>
            </w:pPr>
            <w:r w:rsidRPr="000F6CD1">
              <w:rPr>
                <w:b/>
                <w:bCs/>
                <w:color w:val="FFFFFF" w:themeColor="background1"/>
              </w:rPr>
              <w:t>Profession</w:t>
            </w:r>
            <w:r w:rsidRPr="000F6CD1">
              <w:rPr>
                <w:color w:val="FFFFFF" w:themeColor="background1"/>
              </w:rPr>
              <w:t> </w:t>
            </w:r>
          </w:p>
        </w:tc>
        <w:tc>
          <w:tcPr>
            <w:tcW w:w="6142" w:type="dxa"/>
            <w:shd w:val="clear" w:color="auto" w:fill="002060"/>
            <w:hideMark/>
          </w:tcPr>
          <w:p w14:paraId="7E7ACC60" w14:textId="77777777" w:rsidR="00B4017B" w:rsidRPr="000F6CD1" w:rsidRDefault="00B4017B" w:rsidP="0063132D">
            <w:pPr>
              <w:spacing w:before="120" w:after="120" w:line="240" w:lineRule="auto"/>
              <w:rPr>
                <w:color w:val="FFFFFF" w:themeColor="background1"/>
              </w:rPr>
            </w:pPr>
            <w:r w:rsidRPr="000F6CD1">
              <w:rPr>
                <w:b/>
                <w:bCs/>
                <w:color w:val="FFFFFF" w:themeColor="background1"/>
              </w:rPr>
              <w:t>Profession Code</w:t>
            </w:r>
            <w:r w:rsidRPr="000F6CD1">
              <w:rPr>
                <w:color w:val="FFFFFF" w:themeColor="background1"/>
              </w:rPr>
              <w:t> </w:t>
            </w:r>
          </w:p>
        </w:tc>
      </w:tr>
      <w:tr w:rsidR="00B4017B" w:rsidRPr="000F6CD1" w14:paraId="2E412849" w14:textId="77777777">
        <w:trPr>
          <w:trHeight w:val="300"/>
        </w:trPr>
        <w:tc>
          <w:tcPr>
            <w:tcW w:w="2505" w:type="dxa"/>
            <w:hideMark/>
          </w:tcPr>
          <w:p w14:paraId="2CEF344A" w14:textId="77777777" w:rsidR="00B4017B" w:rsidRPr="000F6CD1" w:rsidRDefault="00B4017B" w:rsidP="0063132D">
            <w:pPr>
              <w:spacing w:before="120" w:after="120" w:line="240" w:lineRule="auto"/>
            </w:pPr>
            <w:r w:rsidRPr="000F6CD1">
              <w:t>Non-Clinical </w:t>
            </w:r>
          </w:p>
        </w:tc>
        <w:tc>
          <w:tcPr>
            <w:tcW w:w="6142" w:type="dxa"/>
            <w:hideMark/>
          </w:tcPr>
          <w:p w14:paraId="6FB5D88A" w14:textId="77777777" w:rsidR="00B4017B" w:rsidRPr="000F6CD1" w:rsidRDefault="00B4017B" w:rsidP="0063132D">
            <w:pPr>
              <w:spacing w:before="120" w:after="120" w:line="240" w:lineRule="auto"/>
            </w:pPr>
            <w:r w:rsidRPr="000F6CD1">
              <w:t>0 </w:t>
            </w:r>
          </w:p>
        </w:tc>
      </w:tr>
      <w:tr w:rsidR="00B4017B" w:rsidRPr="000F6CD1" w14:paraId="084EBA72" w14:textId="77777777">
        <w:trPr>
          <w:trHeight w:val="300"/>
        </w:trPr>
        <w:tc>
          <w:tcPr>
            <w:tcW w:w="2505" w:type="dxa"/>
            <w:hideMark/>
          </w:tcPr>
          <w:p w14:paraId="14B33FA1" w14:textId="77777777" w:rsidR="00B4017B" w:rsidRPr="000F6CD1" w:rsidRDefault="00B4017B" w:rsidP="0063132D">
            <w:pPr>
              <w:spacing w:before="120" w:after="120" w:line="240" w:lineRule="auto"/>
            </w:pPr>
            <w:r w:rsidRPr="000F6CD1">
              <w:t>Medical Practitioner </w:t>
            </w:r>
          </w:p>
        </w:tc>
        <w:tc>
          <w:tcPr>
            <w:tcW w:w="6142" w:type="dxa"/>
            <w:hideMark/>
          </w:tcPr>
          <w:p w14:paraId="3B9CC56D" w14:textId="77777777" w:rsidR="00B4017B" w:rsidRPr="000F6CD1" w:rsidRDefault="00B4017B" w:rsidP="0063132D">
            <w:pPr>
              <w:spacing w:before="120" w:after="120" w:line="240" w:lineRule="auto"/>
            </w:pPr>
            <w:r w:rsidRPr="000F6CD1">
              <w:t>1 </w:t>
            </w:r>
          </w:p>
        </w:tc>
      </w:tr>
      <w:tr w:rsidR="00B4017B" w:rsidRPr="000F6CD1" w14:paraId="5A856D91" w14:textId="77777777">
        <w:trPr>
          <w:trHeight w:val="300"/>
        </w:trPr>
        <w:tc>
          <w:tcPr>
            <w:tcW w:w="2505" w:type="dxa"/>
            <w:hideMark/>
          </w:tcPr>
          <w:p w14:paraId="4F5364B4" w14:textId="77777777" w:rsidR="00B4017B" w:rsidRPr="000F6CD1" w:rsidRDefault="00B4017B" w:rsidP="0063132D">
            <w:pPr>
              <w:spacing w:before="120" w:after="120" w:line="240" w:lineRule="auto"/>
            </w:pPr>
            <w:r w:rsidRPr="000F6CD1">
              <w:t>Registered Nurse </w:t>
            </w:r>
          </w:p>
        </w:tc>
        <w:tc>
          <w:tcPr>
            <w:tcW w:w="6142" w:type="dxa"/>
            <w:hideMark/>
          </w:tcPr>
          <w:p w14:paraId="4D4B3D8F" w14:textId="77777777" w:rsidR="00B4017B" w:rsidRPr="000F6CD1" w:rsidRDefault="00B4017B" w:rsidP="0063132D">
            <w:pPr>
              <w:spacing w:before="120" w:after="120" w:line="240" w:lineRule="auto"/>
            </w:pPr>
            <w:r w:rsidRPr="000F6CD1">
              <w:t>2 </w:t>
            </w:r>
          </w:p>
        </w:tc>
      </w:tr>
      <w:tr w:rsidR="00B4017B" w:rsidRPr="000F6CD1" w14:paraId="3B92C6D4" w14:textId="77777777">
        <w:trPr>
          <w:trHeight w:val="300"/>
        </w:trPr>
        <w:tc>
          <w:tcPr>
            <w:tcW w:w="2505" w:type="dxa"/>
            <w:hideMark/>
          </w:tcPr>
          <w:p w14:paraId="4BC92C9E" w14:textId="77777777" w:rsidR="00B4017B" w:rsidRPr="000F6CD1" w:rsidRDefault="00B4017B" w:rsidP="0063132D">
            <w:pPr>
              <w:spacing w:before="120" w:after="120" w:line="240" w:lineRule="auto"/>
            </w:pPr>
            <w:r w:rsidRPr="000F6CD1">
              <w:t>Social Worker </w:t>
            </w:r>
          </w:p>
        </w:tc>
        <w:tc>
          <w:tcPr>
            <w:tcW w:w="6142" w:type="dxa"/>
            <w:hideMark/>
          </w:tcPr>
          <w:p w14:paraId="7FC1742C" w14:textId="77777777" w:rsidR="00B4017B" w:rsidRPr="000F6CD1" w:rsidRDefault="00B4017B" w:rsidP="0063132D">
            <w:pPr>
              <w:spacing w:before="120" w:after="120" w:line="240" w:lineRule="auto"/>
            </w:pPr>
            <w:r w:rsidRPr="000F6CD1">
              <w:t>3 </w:t>
            </w:r>
          </w:p>
        </w:tc>
      </w:tr>
      <w:tr w:rsidR="00B4017B" w:rsidRPr="000F6CD1" w14:paraId="413B4F39" w14:textId="77777777">
        <w:trPr>
          <w:trHeight w:val="300"/>
        </w:trPr>
        <w:tc>
          <w:tcPr>
            <w:tcW w:w="2505" w:type="dxa"/>
            <w:hideMark/>
          </w:tcPr>
          <w:p w14:paraId="08E27CD3" w14:textId="77777777" w:rsidR="00B4017B" w:rsidRPr="000F6CD1" w:rsidRDefault="00B4017B" w:rsidP="0063132D">
            <w:pPr>
              <w:spacing w:before="120" w:after="120" w:line="240" w:lineRule="auto"/>
            </w:pPr>
            <w:r w:rsidRPr="000F6CD1">
              <w:t>Occupational Therapist </w:t>
            </w:r>
          </w:p>
        </w:tc>
        <w:tc>
          <w:tcPr>
            <w:tcW w:w="6142" w:type="dxa"/>
            <w:hideMark/>
          </w:tcPr>
          <w:p w14:paraId="73DB5AE7" w14:textId="77777777" w:rsidR="00B4017B" w:rsidRPr="000F6CD1" w:rsidRDefault="00B4017B" w:rsidP="0063132D">
            <w:pPr>
              <w:spacing w:before="120" w:after="120" w:line="240" w:lineRule="auto"/>
            </w:pPr>
            <w:r w:rsidRPr="000F6CD1">
              <w:t>4 </w:t>
            </w:r>
          </w:p>
        </w:tc>
      </w:tr>
      <w:tr w:rsidR="00B4017B" w:rsidRPr="000F6CD1" w14:paraId="372DABAA" w14:textId="77777777">
        <w:trPr>
          <w:trHeight w:val="300"/>
        </w:trPr>
        <w:tc>
          <w:tcPr>
            <w:tcW w:w="2505" w:type="dxa"/>
            <w:hideMark/>
          </w:tcPr>
          <w:p w14:paraId="1B5B0890" w14:textId="77777777" w:rsidR="00B4017B" w:rsidRPr="000F6CD1" w:rsidRDefault="00B4017B" w:rsidP="0063132D">
            <w:pPr>
              <w:spacing w:before="120" w:after="120" w:line="240" w:lineRule="auto"/>
            </w:pPr>
            <w:r w:rsidRPr="000F6CD1">
              <w:t>Physiotherapist </w:t>
            </w:r>
          </w:p>
        </w:tc>
        <w:tc>
          <w:tcPr>
            <w:tcW w:w="6142" w:type="dxa"/>
            <w:hideMark/>
          </w:tcPr>
          <w:p w14:paraId="0E644166" w14:textId="77777777" w:rsidR="00B4017B" w:rsidRPr="000F6CD1" w:rsidRDefault="00B4017B" w:rsidP="0063132D">
            <w:pPr>
              <w:spacing w:before="120" w:after="120" w:line="240" w:lineRule="auto"/>
            </w:pPr>
            <w:r w:rsidRPr="000F6CD1">
              <w:t>5 </w:t>
            </w:r>
          </w:p>
        </w:tc>
      </w:tr>
      <w:tr w:rsidR="00B4017B" w:rsidRPr="000F6CD1" w14:paraId="133F4C67" w14:textId="77777777">
        <w:trPr>
          <w:trHeight w:val="300"/>
        </w:trPr>
        <w:tc>
          <w:tcPr>
            <w:tcW w:w="2505" w:type="dxa"/>
            <w:hideMark/>
          </w:tcPr>
          <w:p w14:paraId="6E1F68C7" w14:textId="77777777" w:rsidR="00B4017B" w:rsidRPr="000F6CD1" w:rsidRDefault="00B4017B" w:rsidP="0063132D">
            <w:pPr>
              <w:spacing w:before="120" w:after="120" w:line="240" w:lineRule="auto"/>
            </w:pPr>
            <w:r w:rsidRPr="000F6CD1">
              <w:t>Other Health Professional </w:t>
            </w:r>
          </w:p>
        </w:tc>
        <w:tc>
          <w:tcPr>
            <w:tcW w:w="6142" w:type="dxa"/>
            <w:hideMark/>
          </w:tcPr>
          <w:p w14:paraId="46039A32" w14:textId="77777777" w:rsidR="00B4017B" w:rsidRPr="000F6CD1" w:rsidRDefault="00B4017B" w:rsidP="0063132D">
            <w:pPr>
              <w:spacing w:before="120" w:after="120" w:line="240" w:lineRule="auto"/>
            </w:pPr>
            <w:r w:rsidRPr="000F6CD1">
              <w:t>6 </w:t>
            </w:r>
          </w:p>
        </w:tc>
      </w:tr>
      <w:tr w:rsidR="00B4017B" w:rsidRPr="000F6CD1" w14:paraId="1C977C30" w14:textId="77777777">
        <w:trPr>
          <w:trHeight w:val="300"/>
        </w:trPr>
        <w:tc>
          <w:tcPr>
            <w:tcW w:w="2505" w:type="dxa"/>
            <w:hideMark/>
          </w:tcPr>
          <w:p w14:paraId="7E62D5E5" w14:textId="77777777" w:rsidR="00B4017B" w:rsidRPr="000F6CD1" w:rsidRDefault="00B4017B" w:rsidP="0063132D">
            <w:pPr>
              <w:spacing w:before="120" w:after="120" w:line="240" w:lineRule="auto"/>
            </w:pPr>
            <w:r w:rsidRPr="000F6CD1">
              <w:t>Psychologist </w:t>
            </w:r>
          </w:p>
        </w:tc>
        <w:tc>
          <w:tcPr>
            <w:tcW w:w="6142" w:type="dxa"/>
            <w:hideMark/>
          </w:tcPr>
          <w:p w14:paraId="30B4A129" w14:textId="77777777" w:rsidR="00B4017B" w:rsidRPr="000F6CD1" w:rsidRDefault="00B4017B" w:rsidP="0063132D">
            <w:pPr>
              <w:spacing w:before="120" w:after="120" w:line="240" w:lineRule="auto"/>
            </w:pPr>
            <w:r w:rsidRPr="000F6CD1">
              <w:t>7 </w:t>
            </w:r>
          </w:p>
        </w:tc>
      </w:tr>
    </w:tbl>
    <w:p w14:paraId="7A83EC31" w14:textId="77777777" w:rsidR="00B4017B" w:rsidRPr="000F6CD1" w:rsidRDefault="00B4017B" w:rsidP="00E3017E"/>
    <w:p w14:paraId="3208FAD4" w14:textId="77777777" w:rsidR="00B4017B" w:rsidRPr="000F6CD1" w:rsidRDefault="00B4017B" w:rsidP="00CC6081">
      <w:pPr>
        <w:pStyle w:val="H4"/>
      </w:pPr>
      <w:r w:rsidRPr="000F6CD1">
        <w:t>Position number </w:t>
      </w:r>
    </w:p>
    <w:p w14:paraId="1D8B6791" w14:textId="77777777" w:rsidR="00B4017B" w:rsidRPr="000F6CD1" w:rsidRDefault="00B4017B" w:rsidP="00622CFF">
      <w:pPr>
        <w:spacing w:before="240" w:after="240" w:line="240" w:lineRule="auto"/>
      </w:pPr>
      <w:r w:rsidRPr="000F6CD1">
        <w:t>The position number is a counter, automatically incremented. </w:t>
      </w:r>
      <w:r w:rsidRPr="000F6CD1">
        <w:br/>
        <w:t> </w:t>
      </w:r>
      <w:r w:rsidRPr="000F6CD1">
        <w:br/>
        <w:t>Example:  </w:t>
      </w:r>
    </w:p>
    <w:p w14:paraId="0810E345" w14:textId="77777777" w:rsidR="00B4017B" w:rsidRPr="000F6CD1" w:rsidRDefault="00B4017B" w:rsidP="00E3017E">
      <w:pPr>
        <w:spacing w:before="240" w:after="240" w:line="240" w:lineRule="auto"/>
      </w:pPr>
      <w:r w:rsidRPr="000F6CD1">
        <w:t>A Triage Delegate role for an outlet with: </w:t>
      </w:r>
    </w:p>
    <w:p w14:paraId="0AEB8D62" w14:textId="77777777" w:rsidR="00B4017B" w:rsidRPr="000F6CD1" w:rsidRDefault="00B4017B">
      <w:pPr>
        <w:pStyle w:val="ListParagraph"/>
        <w:numPr>
          <w:ilvl w:val="0"/>
          <w:numId w:val="385"/>
        </w:numPr>
        <w:spacing w:before="240" w:after="240" w:line="240" w:lineRule="auto"/>
      </w:pPr>
      <w:r w:rsidRPr="000F6CD1">
        <w:t>Delegate Team ID: "7YC" </w:t>
      </w:r>
    </w:p>
    <w:p w14:paraId="099BAEBD" w14:textId="77777777" w:rsidR="00B4017B" w:rsidRPr="000F6CD1" w:rsidRDefault="00B4017B">
      <w:pPr>
        <w:pStyle w:val="ListParagraph"/>
        <w:numPr>
          <w:ilvl w:val="0"/>
          <w:numId w:val="385"/>
        </w:numPr>
        <w:spacing w:before="240" w:after="240" w:line="240" w:lineRule="auto"/>
      </w:pPr>
      <w:r w:rsidRPr="000F6CD1">
        <w:t>Profession: Social Worker (Profession Code: "3") </w:t>
      </w:r>
    </w:p>
    <w:p w14:paraId="348B3CBD" w14:textId="77777777" w:rsidR="00B4017B" w:rsidRPr="000F6CD1" w:rsidRDefault="00B4017B">
      <w:pPr>
        <w:pStyle w:val="ListParagraph"/>
        <w:numPr>
          <w:ilvl w:val="0"/>
          <w:numId w:val="385"/>
        </w:numPr>
        <w:spacing w:before="240" w:after="240" w:line="240" w:lineRule="auto"/>
      </w:pPr>
      <w:r w:rsidRPr="000F6CD1">
        <w:t>Position Number: "00" </w:t>
      </w:r>
    </w:p>
    <w:p w14:paraId="5CA5DB5A" w14:textId="77777777" w:rsidR="00B4017B" w:rsidRPr="000F6CD1" w:rsidRDefault="00B4017B" w:rsidP="00E3017E">
      <w:pPr>
        <w:spacing w:before="240" w:after="240" w:line="240" w:lineRule="auto"/>
        <w:ind w:left="360"/>
      </w:pPr>
      <w:r w:rsidRPr="000F6CD1">
        <w:t>The Delegate Position ID will be TD7YC300. </w:t>
      </w:r>
    </w:p>
    <w:p w14:paraId="61DCEA7A" w14:textId="77777777" w:rsidR="00B4017B" w:rsidRPr="000F6CD1" w:rsidRDefault="00B4017B" w:rsidP="00622CFF">
      <w:pPr>
        <w:spacing w:before="240" w:after="240" w:line="240" w:lineRule="auto"/>
        <w:ind w:left="360"/>
      </w:pPr>
      <w:r w:rsidRPr="000F6CD1">
        <w:t>A Clinical Assessment Delegate position (ID: 6SR315) is located in Southern Tasmania (Aged Care Planning Region) for the Tasmanian Department of Health. This role: </w:t>
      </w:r>
    </w:p>
    <w:p w14:paraId="731C41E7" w14:textId="77777777" w:rsidR="00B4017B" w:rsidRPr="000F6CD1" w:rsidRDefault="00B4017B">
      <w:pPr>
        <w:numPr>
          <w:ilvl w:val="0"/>
          <w:numId w:val="372"/>
        </w:numPr>
        <w:spacing w:before="240" w:after="240" w:line="240" w:lineRule="auto"/>
      </w:pPr>
      <w:r w:rsidRPr="000F6CD1">
        <w:t>Can only be occupied by a Social Worker </w:t>
      </w:r>
    </w:p>
    <w:p w14:paraId="1E19373A" w14:textId="77777777" w:rsidR="00B4017B" w:rsidRPr="000F6CD1" w:rsidRDefault="00B4017B">
      <w:pPr>
        <w:numPr>
          <w:ilvl w:val="0"/>
          <w:numId w:val="373"/>
        </w:numPr>
        <w:spacing w:before="240" w:after="240" w:line="240" w:lineRule="auto"/>
      </w:pPr>
      <w:r w:rsidRPr="000F6CD1">
        <w:t>Is identified by the Position Number: 15 in that outlet. </w:t>
      </w:r>
    </w:p>
    <w:p w14:paraId="48686CBC" w14:textId="77777777" w:rsidR="00B4017B" w:rsidRPr="000F6CD1" w:rsidRDefault="00B4017B" w:rsidP="00CC6081">
      <w:pPr>
        <w:pStyle w:val="H4"/>
      </w:pPr>
      <w:r w:rsidRPr="000F6CD1">
        <w:t>Using the My Aged Care assessor portal </w:t>
      </w:r>
    </w:p>
    <w:p w14:paraId="692038C5" w14:textId="77777777" w:rsidR="00B4017B" w:rsidRPr="000F6CD1" w:rsidRDefault="00B4017B" w:rsidP="00622CFF">
      <w:pPr>
        <w:spacing w:before="240" w:after="240" w:line="240" w:lineRule="auto"/>
      </w:pPr>
      <w:r w:rsidRPr="000F6CD1">
        <w:t>The My Aged Care assessor portal allows applicants to manage delegate positions through a structured process. </w:t>
      </w:r>
    </w:p>
    <w:p w14:paraId="4B6B23B7" w14:textId="77777777" w:rsidR="00677E80" w:rsidRDefault="00677E80">
      <w:r>
        <w:br w:type="page"/>
      </w:r>
    </w:p>
    <w:p w14:paraId="142EBA8E" w14:textId="77777777" w:rsidR="00B4017B" w:rsidRPr="000F6CD1" w:rsidRDefault="00B4017B" w:rsidP="00622CFF">
      <w:pPr>
        <w:spacing w:before="240" w:after="240" w:line="240" w:lineRule="auto"/>
      </w:pPr>
      <w:r w:rsidRPr="000F6CD1">
        <w:lastRenderedPageBreak/>
        <w:t>The delegate application process consists of four main steps: </w:t>
      </w:r>
    </w:p>
    <w:p w14:paraId="5FB79D05" w14:textId="77777777" w:rsidR="00B4017B" w:rsidRPr="000F6CD1" w:rsidRDefault="00B4017B">
      <w:pPr>
        <w:pStyle w:val="ListParagraph"/>
        <w:numPr>
          <w:ilvl w:val="0"/>
          <w:numId w:val="386"/>
        </w:numPr>
        <w:spacing w:before="240" w:after="240" w:line="240" w:lineRule="auto"/>
      </w:pPr>
      <w:r w:rsidRPr="000F6CD1">
        <w:t>Create the application – The applicant initiates and submits the application. </w:t>
      </w:r>
    </w:p>
    <w:p w14:paraId="220FB4F1" w14:textId="77777777" w:rsidR="00B4017B" w:rsidRPr="000F6CD1" w:rsidRDefault="00B4017B">
      <w:pPr>
        <w:pStyle w:val="ListParagraph"/>
        <w:numPr>
          <w:ilvl w:val="0"/>
          <w:numId w:val="386"/>
        </w:numPr>
        <w:spacing w:before="240" w:after="240" w:line="240" w:lineRule="auto"/>
      </w:pPr>
      <w:r w:rsidRPr="000F6CD1">
        <w:t>Verify the application – A verifier, who must hold the Team Leader role in the portal, reviews and confirms the application details. </w:t>
      </w:r>
    </w:p>
    <w:p w14:paraId="4F9D3926" w14:textId="77777777" w:rsidR="00B4017B" w:rsidRPr="000F6CD1" w:rsidRDefault="00B4017B">
      <w:pPr>
        <w:pStyle w:val="ListParagraph"/>
        <w:numPr>
          <w:ilvl w:val="0"/>
          <w:numId w:val="386"/>
        </w:numPr>
        <w:spacing w:before="240" w:after="240" w:line="240" w:lineRule="auto"/>
      </w:pPr>
      <w:r w:rsidRPr="000F6CD1">
        <w:t>Support the application – A supporter, who must hold the Assessment Organisation Operational Manager role in the portal, provides the final approval or endorsement. </w:t>
      </w:r>
    </w:p>
    <w:p w14:paraId="5DA6381A" w14:textId="77777777" w:rsidR="00B4017B" w:rsidRPr="000F6CD1" w:rsidRDefault="00B4017B">
      <w:pPr>
        <w:pStyle w:val="ListParagraph"/>
        <w:numPr>
          <w:ilvl w:val="0"/>
          <w:numId w:val="386"/>
        </w:numPr>
        <w:spacing w:before="240" w:after="240" w:line="240" w:lineRule="auto"/>
      </w:pPr>
      <w:r w:rsidRPr="000F6CD1">
        <w:t>Approve the application – The Department reviews the application and any supporting evidence before deciding to approve or deny it. </w:t>
      </w:r>
    </w:p>
    <w:p w14:paraId="4CC31A5B" w14:textId="77777777" w:rsidR="00B4017B" w:rsidRPr="000F6CD1" w:rsidRDefault="00B4017B" w:rsidP="00622CFF">
      <w:pPr>
        <w:spacing w:before="240" w:after="240" w:line="240" w:lineRule="auto"/>
      </w:pPr>
      <w:r w:rsidRPr="000F6CD1">
        <w:t>Each step in the application process must be completed in order, following the system’s established rules and workflows. </w:t>
      </w:r>
    </w:p>
    <w:p w14:paraId="73D6F7E3" w14:textId="77777777" w:rsidR="00B4017B" w:rsidRPr="000F6CD1" w:rsidRDefault="00B4017B" w:rsidP="00622CFF">
      <w:pPr>
        <w:spacing w:before="240" w:after="240" w:line="240" w:lineRule="auto"/>
        <w:rPr>
          <w:b/>
          <w:bCs/>
        </w:rPr>
      </w:pPr>
      <w:r w:rsidRPr="000F6CD1">
        <w:rPr>
          <w:b/>
          <w:bCs/>
        </w:rPr>
        <w:t>Portal processes </w:t>
      </w:r>
    </w:p>
    <w:p w14:paraId="18F0AFB6" w14:textId="77777777" w:rsidR="00B4017B" w:rsidRPr="000F6CD1" w:rsidRDefault="00B4017B" w:rsidP="00622CFF">
      <w:pPr>
        <w:spacing w:before="240" w:after="240" w:line="240" w:lineRule="auto"/>
      </w:pPr>
      <w:r w:rsidRPr="000F6CD1">
        <w:t>A key requirement is that applications progress one step at a time. For instance, if a Team Leader submits an application on behalf of another user, they must first create and submit the application. Only after submission can they return to verify it. This structured approach ensures clarity and organisation throughout the process. </w:t>
      </w:r>
    </w:p>
    <w:p w14:paraId="6491907D" w14:textId="77777777" w:rsidR="00B4017B" w:rsidRPr="000F6CD1" w:rsidRDefault="00B4017B" w:rsidP="00622CFF">
      <w:pPr>
        <w:spacing w:before="240" w:after="240" w:line="240" w:lineRule="auto"/>
      </w:pPr>
      <w:r w:rsidRPr="000F6CD1">
        <w:t>Applicants, verifiers, and supporters have access to the proposed delegate’s profile details, including their name, contact information, clinical status, occupation, and qualifications. However, these details cannot be updated during the application process. If any information needs to be changed, the applicant must work with the outlet or organisation administrator to update the details within the portal, separately from the application process. </w:t>
      </w:r>
    </w:p>
    <w:p w14:paraId="3F60EE2A" w14:textId="77777777" w:rsidR="00B4017B" w:rsidRPr="000F6CD1" w:rsidRDefault="00B4017B" w:rsidP="00622CFF">
      <w:pPr>
        <w:spacing w:before="240" w:after="240" w:line="240" w:lineRule="auto"/>
      </w:pPr>
      <w:r w:rsidRPr="000F6CD1">
        <w:rPr>
          <w:b/>
          <w:bCs/>
        </w:rPr>
        <w:t>Access to applications is limited to authorised users</w:t>
      </w:r>
      <w:r w:rsidRPr="000F6CD1">
        <w:t> </w:t>
      </w:r>
    </w:p>
    <w:p w14:paraId="049DAA89" w14:textId="77777777" w:rsidR="00B4017B" w:rsidRPr="000F6CD1" w:rsidRDefault="00B4017B" w:rsidP="00622CFF">
      <w:pPr>
        <w:spacing w:before="240" w:after="240" w:line="240" w:lineRule="auto"/>
      </w:pPr>
      <w:r w:rsidRPr="000F6CD1">
        <w:t>Outlet-level Team Leaders and Outlet Administrators have limited access. For applications involving multiple outlets, only Team Leaders overseeing all included outlets can view them. Outlet Administrators have similar restrictions and, like Organisational Administrators, do not participate in processing delegate applications. </w:t>
      </w:r>
    </w:p>
    <w:p w14:paraId="2FA4051D" w14:textId="77777777" w:rsidR="00B4017B" w:rsidRPr="000F6CD1" w:rsidRDefault="00B4017B" w:rsidP="00622CFF">
      <w:pPr>
        <w:spacing w:before="240" w:after="240" w:line="240" w:lineRule="auto"/>
        <w:rPr>
          <w:b/>
          <w:bCs/>
        </w:rPr>
      </w:pPr>
      <w:r w:rsidRPr="000F6CD1">
        <w:rPr>
          <w:b/>
          <w:bCs/>
        </w:rPr>
        <w:t>Creating a delegate application </w:t>
      </w:r>
    </w:p>
    <w:p w14:paraId="4264FDFB" w14:textId="77777777" w:rsidR="00B4017B" w:rsidRPr="000F6CD1" w:rsidRDefault="00B4017B" w:rsidP="00622CFF">
      <w:pPr>
        <w:spacing w:before="240" w:after="240" w:line="240" w:lineRule="auto"/>
      </w:pPr>
      <w:r w:rsidRPr="000F6CD1">
        <w:t>When creating a delegate application, delegate positions can be managed by adding, replacing, or ceasing delegates. </w:t>
      </w:r>
    </w:p>
    <w:p w14:paraId="377054DC" w14:textId="77777777" w:rsidR="00B4017B" w:rsidRPr="000F6CD1" w:rsidRDefault="00B4017B">
      <w:pPr>
        <w:numPr>
          <w:ilvl w:val="0"/>
          <w:numId w:val="374"/>
        </w:numPr>
        <w:spacing w:before="240" w:after="240" w:line="240" w:lineRule="auto"/>
      </w:pPr>
      <w:r w:rsidRPr="000F6CD1">
        <w:t>The </w:t>
      </w:r>
      <w:r w:rsidRPr="000F6CD1">
        <w:rPr>
          <w:b/>
          <w:bCs/>
        </w:rPr>
        <w:t>Add </w:t>
      </w:r>
      <w:r w:rsidRPr="000F6CD1">
        <w:t>option allows the user to create a new delegate position. </w:t>
      </w:r>
    </w:p>
    <w:p w14:paraId="6B744B1E" w14:textId="77777777" w:rsidR="00B4017B" w:rsidRPr="000F6CD1" w:rsidRDefault="00B4017B">
      <w:pPr>
        <w:numPr>
          <w:ilvl w:val="0"/>
          <w:numId w:val="375"/>
        </w:numPr>
        <w:spacing w:before="240" w:after="240" w:line="240" w:lineRule="auto"/>
      </w:pPr>
      <w:r w:rsidRPr="000F6CD1">
        <w:t>The </w:t>
      </w:r>
      <w:r w:rsidRPr="000F6CD1">
        <w:rPr>
          <w:b/>
          <w:bCs/>
        </w:rPr>
        <w:t>Replace </w:t>
      </w:r>
      <w:r w:rsidRPr="000F6CD1">
        <w:t>option lets the user cease an existing delegate and assign their replacement. </w:t>
      </w:r>
    </w:p>
    <w:p w14:paraId="6772BDE0" w14:textId="77777777" w:rsidR="00B4017B" w:rsidRPr="000F6CD1" w:rsidRDefault="00B4017B">
      <w:pPr>
        <w:numPr>
          <w:ilvl w:val="0"/>
          <w:numId w:val="376"/>
        </w:numPr>
        <w:spacing w:before="240" w:after="240" w:line="240" w:lineRule="auto"/>
      </w:pPr>
      <w:r w:rsidRPr="000F6CD1">
        <w:t>The </w:t>
      </w:r>
      <w:r w:rsidRPr="000F6CD1">
        <w:rPr>
          <w:b/>
          <w:bCs/>
        </w:rPr>
        <w:t>Cease </w:t>
      </w:r>
      <w:r w:rsidRPr="000F6CD1">
        <w:t>option is used to remove a delegate from their positions without assigning a replacement.  </w:t>
      </w:r>
    </w:p>
    <w:p w14:paraId="37EB1D82" w14:textId="77777777" w:rsidR="00B4017B" w:rsidRPr="000F6CD1" w:rsidRDefault="00B4017B" w:rsidP="00622CFF">
      <w:pPr>
        <w:spacing w:before="240" w:after="240" w:line="240" w:lineRule="auto"/>
      </w:pPr>
      <w:r w:rsidRPr="000F6CD1">
        <w:t>Each application must focus on a single delegate role, which must be selected at the time of submission. The available roles are Triage Delegate, Clinical Assessment Delegate, or Non-Clinical Assessment Delegate. </w:t>
      </w:r>
    </w:p>
    <w:p w14:paraId="51D7C39D" w14:textId="77777777" w:rsidR="00B4017B" w:rsidRPr="000F6CD1" w:rsidRDefault="00B4017B" w:rsidP="00622CFF">
      <w:pPr>
        <w:spacing w:before="240" w:after="240" w:line="240" w:lineRule="auto"/>
      </w:pPr>
      <w:r w:rsidRPr="000F6CD1">
        <w:t>If someone is required to hold multiple roles, separate applications must be submitted for each role. In replace applications, the new delegate automatically inherits the same role as the ceasing delegate.  </w:t>
      </w:r>
    </w:p>
    <w:p w14:paraId="61981300" w14:textId="77777777" w:rsidR="00677E80" w:rsidRDefault="00677E80">
      <w:pPr>
        <w:rPr>
          <w:b/>
          <w:bCs/>
        </w:rPr>
      </w:pPr>
      <w:r>
        <w:rPr>
          <w:b/>
          <w:bCs/>
        </w:rPr>
        <w:br w:type="page"/>
      </w:r>
    </w:p>
    <w:p w14:paraId="5D785180" w14:textId="77777777" w:rsidR="00B4017B" w:rsidRPr="000F6CD1" w:rsidRDefault="00B4017B" w:rsidP="00622CFF">
      <w:pPr>
        <w:spacing w:before="240" w:after="240" w:line="240" w:lineRule="auto"/>
      </w:pPr>
      <w:r w:rsidRPr="000F6CD1">
        <w:rPr>
          <w:b/>
          <w:bCs/>
        </w:rPr>
        <w:lastRenderedPageBreak/>
        <w:t>Important to note</w:t>
      </w:r>
      <w:r w:rsidRPr="000F6CD1">
        <w:t> </w:t>
      </w:r>
    </w:p>
    <w:p w14:paraId="6BDB71D1" w14:textId="77777777" w:rsidR="00B4017B" w:rsidRPr="000F6CD1" w:rsidRDefault="00B4017B">
      <w:pPr>
        <w:numPr>
          <w:ilvl w:val="0"/>
          <w:numId w:val="377"/>
        </w:numPr>
        <w:spacing w:before="240" w:after="240" w:line="240" w:lineRule="auto"/>
      </w:pPr>
      <w:r w:rsidRPr="000F6CD1">
        <w:t>For Add and Replace applications, selecting the delegate's profession is a key step. The system uses this information to either assign an existing vacant position for that profession or create a new position if no vacancy exists. For Cease applications, there is no need to select a profession. Simply choose one or more positions the delegate currently holds to proceed with their cessation, regardless of their profession. </w:t>
      </w:r>
    </w:p>
    <w:p w14:paraId="5CAA425B" w14:textId="77777777" w:rsidR="00B4017B" w:rsidRPr="000F6CD1" w:rsidRDefault="00B4017B">
      <w:pPr>
        <w:numPr>
          <w:ilvl w:val="0"/>
          <w:numId w:val="378"/>
        </w:numPr>
        <w:spacing w:before="240" w:after="240" w:line="240" w:lineRule="auto"/>
      </w:pPr>
      <w:r w:rsidRPr="000F6CD1">
        <w:t>Applicants can include start and end dates in their applications. The Date From field specifies when the delegate will begin their role, while the Date To field is used to automate the delegate's dissociation when their term ends. However, the Date To field is not needed for ceasing a delegate, as both temporary and permanent cessations are treated the same by the system. </w:t>
      </w:r>
    </w:p>
    <w:p w14:paraId="0AC07866" w14:textId="77777777" w:rsidR="00B4017B" w:rsidRPr="000F6CD1" w:rsidRDefault="00B4017B">
      <w:pPr>
        <w:numPr>
          <w:ilvl w:val="0"/>
          <w:numId w:val="379"/>
        </w:numPr>
        <w:spacing w:before="240" w:after="240" w:line="240" w:lineRule="auto"/>
      </w:pPr>
      <w:r w:rsidRPr="000F6CD1">
        <w:t>As part of the process, applicants must nominate a Team Leader to verify the application and an Assessment Organisation Operational Manager to support it. The system filters the list of eligible Team Leaders to include only those who cover all outlets involved in the application. If no suitable Team Leader is available, the system will display an error message. The Operational Manager must also be selected from the provided list to ensure their role matches the application's requirements. </w:t>
      </w:r>
    </w:p>
    <w:p w14:paraId="14D7A4A5" w14:textId="77777777" w:rsidR="00B4017B" w:rsidRPr="000F6CD1" w:rsidRDefault="00B4017B">
      <w:pPr>
        <w:numPr>
          <w:ilvl w:val="0"/>
          <w:numId w:val="380"/>
        </w:numPr>
        <w:spacing w:before="240" w:after="240" w:line="240" w:lineRule="auto"/>
      </w:pPr>
      <w:r w:rsidRPr="000F6CD1">
        <w:t>Special rules apply when a Team Leader submits their own application. In such cases, they must nominate another Team Leader to verify it. Once submitted, the nominated verifier will handle the next steps. </w:t>
      </w:r>
    </w:p>
    <w:p w14:paraId="2FD3FB46" w14:textId="221DD380" w:rsidR="00B4017B" w:rsidRPr="000F6CD1" w:rsidRDefault="00B4017B">
      <w:pPr>
        <w:numPr>
          <w:ilvl w:val="0"/>
          <w:numId w:val="381"/>
        </w:numPr>
        <w:spacing w:before="240" w:after="240" w:line="240" w:lineRule="auto"/>
      </w:pPr>
      <w:r w:rsidRPr="000F6CD1">
        <w:t>The system automatically checks several details during the application process, including the proposed delegate's clinical status, occupation, and qualifications. If the delegate does not meet the criteria, warning messages will guide the applicant to update the delegate's user profile or adjust their position type or profession. Applicants can still proceed by acknowledging these issues, and this acknowledgment will be visible to the verifier and supporter in the next stages. Some issues, however, are considered hard stops. For example, if the delegate lacks a clinical status or is assigned a role incompatible with their profile, the application cannot proceed until their user profile is updated. </w:t>
      </w:r>
    </w:p>
    <w:p w14:paraId="725B8225" w14:textId="77777777" w:rsidR="00B4017B" w:rsidRPr="000F6CD1" w:rsidRDefault="00B4017B" w:rsidP="00806A21">
      <w:pPr>
        <w:pStyle w:val="Sub-headings"/>
      </w:pPr>
      <w:r w:rsidRPr="000F6CD1">
        <w:t>Note:</w:t>
      </w:r>
    </w:p>
    <w:p w14:paraId="3B9CBDDA" w14:textId="77777777" w:rsidR="00B4017B" w:rsidRPr="000F6CD1" w:rsidRDefault="00B4017B" w:rsidP="00806A21">
      <w:pPr>
        <w:pStyle w:val="Sub-headings"/>
      </w:pPr>
      <w:r w:rsidRPr="000F6CD1">
        <w:t xml:space="preserve">The department’s My Aged Care Capability Section verifies each application to ensure all required training has been completed. </w:t>
      </w:r>
    </w:p>
    <w:p w14:paraId="072C2A24" w14:textId="77777777" w:rsidR="00B4017B" w:rsidRPr="000F6CD1" w:rsidRDefault="00B4017B" w:rsidP="00806A21">
      <w:pPr>
        <w:pStyle w:val="Sub-headings"/>
      </w:pPr>
      <w:r w:rsidRPr="000F6CD1">
        <w:t>For details on mandatory training requirements for each position, please refer to the My Aged Care Workforce Learning Strategy v1.5. </w:t>
      </w:r>
    </w:p>
    <w:p w14:paraId="445967AB" w14:textId="77777777" w:rsidR="00B4017B" w:rsidRPr="000F6CD1" w:rsidRDefault="00B4017B">
      <w:pPr>
        <w:pStyle w:val="ListParagraph"/>
        <w:numPr>
          <w:ilvl w:val="0"/>
          <w:numId w:val="451"/>
        </w:numPr>
        <w:spacing w:before="240" w:after="240" w:line="240" w:lineRule="auto"/>
      </w:pPr>
      <w:r w:rsidRPr="000F6CD1">
        <w:t>Supporting documentation to be uploaded with the application could include MAC learning training transcripts, qualifications, AHPRA registration evidence etc. </w:t>
      </w:r>
    </w:p>
    <w:p w14:paraId="34EAD4A0" w14:textId="77777777" w:rsidR="00B4017B" w:rsidRPr="000F6CD1" w:rsidRDefault="00B4017B">
      <w:pPr>
        <w:numPr>
          <w:ilvl w:val="0"/>
          <w:numId w:val="382"/>
        </w:numPr>
        <w:spacing w:before="240" w:after="240" w:line="240" w:lineRule="auto"/>
      </w:pPr>
      <w:r w:rsidRPr="000F6CD1">
        <w:t>Once the application has been submitted, a confirmation banner will appear confirming that the application has been created and submitted to the verifier for action. </w:t>
      </w:r>
    </w:p>
    <w:p w14:paraId="2FEBDF3C" w14:textId="77777777" w:rsidR="00B4017B" w:rsidRPr="000F6CD1" w:rsidRDefault="00B4017B">
      <w:pPr>
        <w:numPr>
          <w:ilvl w:val="0"/>
          <w:numId w:val="382"/>
        </w:numPr>
        <w:spacing w:before="240" w:after="240" w:line="240" w:lineRule="auto"/>
      </w:pPr>
      <w:r w:rsidRPr="000F6CD1">
        <w:t>Under exceptional circumstances, non-clinically qualified staff within Aboriginal and Torres Strait Islander assessment organisations with extensive aged care experience and trusted by community could submit a business case to be considered for the clinical assessor or/and Triage delegate roles.</w:t>
      </w:r>
    </w:p>
    <w:tbl>
      <w:tblPr>
        <w:tblW w:w="0" w:type="auto"/>
        <w:tblLook w:val="04A0" w:firstRow="1" w:lastRow="0" w:firstColumn="1" w:lastColumn="0" w:noHBand="0" w:noVBand="1"/>
      </w:tblPr>
      <w:tblGrid>
        <w:gridCol w:w="921"/>
        <w:gridCol w:w="8105"/>
      </w:tblGrid>
      <w:tr w:rsidR="00B4017B" w:rsidRPr="000F6CD1" w14:paraId="49159B24" w14:textId="77777777">
        <w:tc>
          <w:tcPr>
            <w:tcW w:w="921" w:type="dxa"/>
          </w:tcPr>
          <w:p w14:paraId="06DFC3DD" w14:textId="77777777" w:rsidR="00B4017B" w:rsidRPr="000F6CD1" w:rsidRDefault="00B4017B" w:rsidP="00622CFF">
            <w:pPr>
              <w:spacing w:before="240" w:after="240" w:line="240" w:lineRule="auto"/>
            </w:pPr>
            <w:r w:rsidRPr="000F6CD1">
              <w:rPr>
                <w:noProof/>
              </w:rPr>
              <w:lastRenderedPageBreak/>
              <w:drawing>
                <wp:inline distT="0" distB="0" distL="0" distR="0" wp14:anchorId="12AC5D52" wp14:editId="66EF4E52">
                  <wp:extent cx="447675" cy="445208"/>
                  <wp:effectExtent l="0" t="0" r="0" b="0"/>
                  <wp:docPr id="2083341282" name="Picture 208334128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41282" name="Picture 208334128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51699833" w14:textId="77777777" w:rsidR="00B4017B" w:rsidRPr="000F6CD1" w:rsidRDefault="00B4017B" w:rsidP="00622CFF">
            <w:pPr>
              <w:spacing w:before="240" w:after="240" w:line="240" w:lineRule="auto"/>
            </w:pPr>
            <w:hyperlink r:id="rId328" w:history="1">
              <w:r w:rsidRPr="000F6CD1">
                <w:rPr>
                  <w:rStyle w:val="Hyperlink"/>
                </w:rPr>
                <w:t>My Aged Care Workforce Learning Strategy. </w:t>
              </w:r>
            </w:hyperlink>
          </w:p>
          <w:p w14:paraId="5B00CF17" w14:textId="77777777" w:rsidR="00B4017B" w:rsidRPr="000F6CD1" w:rsidRDefault="00B4017B" w:rsidP="00622CFF">
            <w:pPr>
              <w:spacing w:before="240" w:after="240" w:line="240" w:lineRule="auto"/>
            </w:pPr>
            <w:hyperlink r:id="rId329" w:history="1">
              <w:r w:rsidRPr="000F6CD1">
                <w:rPr>
                  <w:rStyle w:val="Hyperlink"/>
                </w:rPr>
                <w:t>Assessor Portal User Guide 12 – Managing Delegate Roles</w:t>
              </w:r>
            </w:hyperlink>
          </w:p>
        </w:tc>
      </w:tr>
    </w:tbl>
    <w:p w14:paraId="5CEDA299" w14:textId="77777777" w:rsidR="00B4017B" w:rsidRPr="000F6CD1" w:rsidRDefault="00B4017B" w:rsidP="006647CE">
      <w:pPr>
        <w:pStyle w:val="h2"/>
      </w:pPr>
      <w:bookmarkStart w:id="1089" w:name="_Toc209189066"/>
      <w:bookmarkStart w:id="1090" w:name="_Toc233282519"/>
      <w:r w:rsidRPr="000F6CD1">
        <w:t>Information</w:t>
      </w:r>
      <w:bookmarkEnd w:id="1083"/>
      <w:r w:rsidRPr="000F6CD1">
        <w:t xml:space="preserve"> management</w:t>
      </w:r>
      <w:bookmarkEnd w:id="1084"/>
      <w:bookmarkEnd w:id="1085"/>
      <w:bookmarkEnd w:id="1086"/>
      <w:bookmarkEnd w:id="1087"/>
      <w:bookmarkEnd w:id="1088"/>
      <w:bookmarkEnd w:id="1089"/>
      <w:bookmarkEnd w:id="1090"/>
    </w:p>
    <w:p w14:paraId="23839E5A" w14:textId="77777777" w:rsidR="00B4017B" w:rsidRPr="000F6CD1" w:rsidRDefault="00B4017B" w:rsidP="00AD2CE5">
      <w:pPr>
        <w:pStyle w:val="H3"/>
      </w:pPr>
      <w:bookmarkStart w:id="1091" w:name="_Toc496022874"/>
      <w:r w:rsidRPr="000F6CD1">
        <w:t xml:space="preserve">Privacy and Protected Information under the </w:t>
      </w:r>
      <w:r w:rsidRPr="00242364">
        <w:rPr>
          <w:i/>
          <w:iCs/>
        </w:rPr>
        <w:t>Aged Care Act 2024</w:t>
      </w:r>
      <w:r w:rsidRPr="000F6CD1">
        <w:t xml:space="preserve"> (Cth)</w:t>
      </w:r>
    </w:p>
    <w:p w14:paraId="0B5EA336" w14:textId="77777777" w:rsidR="00B4017B" w:rsidRPr="000F6CD1" w:rsidRDefault="00B4017B" w:rsidP="00622CFF">
      <w:pPr>
        <w:spacing w:before="240" w:after="240" w:line="240" w:lineRule="auto"/>
      </w:pPr>
      <w:r w:rsidRPr="000F6CD1">
        <w:t xml:space="preserve">Sections 537 to 541 of the </w:t>
      </w:r>
      <w:r w:rsidRPr="000F6CD1">
        <w:rPr>
          <w:i/>
        </w:rPr>
        <w:t>Aged Care Act 2024</w:t>
      </w:r>
      <w:r w:rsidRPr="000F6CD1">
        <w:rPr>
          <w:i/>
          <w:iCs/>
        </w:rPr>
        <w:t xml:space="preserve"> </w:t>
      </w:r>
      <w:r w:rsidRPr="000F6CD1">
        <w:t xml:space="preserve">(the Act) specifies the purposes for which information can be used or disclosed in accordance with the Act. The collection of information from an older person, their registered supporter(s) and/or appointed decision maker/s for the purposes of determining an individual’s eligibility and assessing their access to funded aged care services is authorised by the Act. </w:t>
      </w:r>
    </w:p>
    <w:p w14:paraId="48A81127" w14:textId="77777777" w:rsidR="00B4017B" w:rsidRPr="000F6CD1" w:rsidRDefault="00B4017B" w:rsidP="00622CFF">
      <w:pPr>
        <w:spacing w:before="240" w:after="240" w:line="240" w:lineRule="auto"/>
      </w:pPr>
      <w:r w:rsidRPr="000F6CD1">
        <w:t xml:space="preserve">Personal information collected during the assessment process is considered protected information. Protected information is defined under section 21 of the Act, as personal information or information, including commercially sensitive information, where the disclosure of which could reasonably be expected to found an action by an entity (other than the Commonwealth) for breach of a duty of confidence. Personal information has the same meaning as in the </w:t>
      </w:r>
      <w:r w:rsidRPr="002D0AF1">
        <w:rPr>
          <w:i/>
          <w:iCs/>
        </w:rPr>
        <w:t>Privacy Act 1988</w:t>
      </w:r>
      <w:r w:rsidRPr="000F6CD1">
        <w:t xml:space="preserve"> (Privacy Act) and is defined as information or an opinion about an identified individual, or an individual who is reasonably identifiable: </w:t>
      </w:r>
    </w:p>
    <w:p w14:paraId="72A6EA65" w14:textId="77777777" w:rsidR="00B4017B" w:rsidRPr="000F6CD1" w:rsidRDefault="00B4017B">
      <w:pPr>
        <w:pStyle w:val="ListParagraph"/>
        <w:numPr>
          <w:ilvl w:val="0"/>
          <w:numId w:val="402"/>
        </w:numPr>
        <w:spacing w:before="240" w:after="240" w:line="240" w:lineRule="auto"/>
      </w:pPr>
      <w:r w:rsidRPr="000F6CD1">
        <w:t xml:space="preserve">Whether the information is true or not; and </w:t>
      </w:r>
    </w:p>
    <w:p w14:paraId="087B0DBF" w14:textId="77777777" w:rsidR="00B4017B" w:rsidRPr="000F6CD1" w:rsidRDefault="00B4017B">
      <w:pPr>
        <w:pStyle w:val="ListParagraph"/>
        <w:numPr>
          <w:ilvl w:val="0"/>
          <w:numId w:val="402"/>
        </w:numPr>
        <w:spacing w:before="240" w:after="240" w:line="240" w:lineRule="auto"/>
      </w:pPr>
      <w:r w:rsidRPr="000F6CD1">
        <w:t xml:space="preserve">Whether the information or opinion is recorded in a material form or not. </w:t>
      </w:r>
    </w:p>
    <w:p w14:paraId="73CAFEF9" w14:textId="77777777" w:rsidR="00B4017B" w:rsidRPr="000F6CD1" w:rsidRDefault="00B4017B" w:rsidP="00622CFF">
      <w:pPr>
        <w:spacing w:before="240" w:after="240" w:line="240" w:lineRule="auto"/>
      </w:pPr>
      <w:r w:rsidRPr="000F6CD1">
        <w:t xml:space="preserve">Additionally, information collected during the assessment process may also be considered sensitive information as defined by section 6 of the Privacy Act which includes information about an individual’s identity and health. Sensitive information within the meaning of the Privacy Act may be personal information (information is not personal information if it is only about a person who has died.) Sensitive information is afforded additional protection under the Australian Privacy Principles (APP) and should only be used for authorised purposes (see information below about assessment organisations who may be APP entities. </w:t>
      </w:r>
    </w:p>
    <w:p w14:paraId="4DA48533" w14:textId="77777777" w:rsidR="00B4017B" w:rsidRPr="000F6CD1" w:rsidRDefault="00B4017B" w:rsidP="00622CFF">
      <w:pPr>
        <w:spacing w:before="240" w:after="240" w:line="240" w:lineRule="auto"/>
      </w:pPr>
      <w:r w:rsidRPr="000F6CD1">
        <w:t xml:space="preserve">The </w:t>
      </w:r>
      <w:r w:rsidRPr="002D0AF1">
        <w:rPr>
          <w:i/>
          <w:iCs/>
        </w:rPr>
        <w:t>Aged Care Act 2024</w:t>
      </w:r>
      <w:r w:rsidRPr="000F6CD1">
        <w:t xml:space="preserve"> (the Act) imposes strict rules on the management of protected information, stating that a person commits an offence if they make a record of, disclose, or otherwise use protected information that was acquired in the course of performing duties or exercising powers or functions under the Act or the </w:t>
      </w:r>
      <w:r w:rsidRPr="000F6CD1">
        <w:rPr>
          <w:i/>
        </w:rPr>
        <w:t>Aged Care (Transitional Provisions) Act 2024,</w:t>
      </w:r>
      <w:r w:rsidRPr="000F6CD1">
        <w:rPr>
          <w:b/>
          <w:bCs/>
          <w:i/>
          <w:iCs/>
        </w:rPr>
        <w:t xml:space="preserve"> </w:t>
      </w:r>
      <w:r w:rsidRPr="000F6CD1">
        <w:t>where the use or disclosure is not authorised under Division 2 of Part 2 of Chapter 7 of the Act. The maximum penalty for such an offence is imprisonment for up to two years or a fine of 120 penalty units, or both.</w:t>
      </w:r>
    </w:p>
    <w:p w14:paraId="3B96E15A" w14:textId="77777777" w:rsidR="00B4017B" w:rsidRPr="000F6CD1" w:rsidRDefault="00B4017B" w:rsidP="00622CFF">
      <w:pPr>
        <w:spacing w:before="240" w:after="240" w:line="240" w:lineRule="auto"/>
      </w:pPr>
      <w:r w:rsidRPr="000F6CD1">
        <w:t xml:space="preserve">To comply with these requirements, individuals and entities who handle assessment information must implement stringent confidentiality measures. This includes secure handling, recording, and storage practices to ensure that the information is safeguarded against unauthorised access or disclosure. </w:t>
      </w:r>
    </w:p>
    <w:p w14:paraId="264FFBC9" w14:textId="77777777" w:rsidR="00B4017B" w:rsidRPr="000F6CD1" w:rsidRDefault="00B4017B" w:rsidP="00622CFF">
      <w:pPr>
        <w:spacing w:before="240" w:after="240" w:line="240" w:lineRule="auto"/>
      </w:pPr>
      <w:r w:rsidRPr="000F6CD1">
        <w:t>To ensure the proper handling and disclosure of protected information in accordance with the law, assessment organisation staff must follow their organisation's standard operating procedures and guidance in this manual.</w:t>
      </w:r>
    </w:p>
    <w:p w14:paraId="657B0970" w14:textId="77777777" w:rsidR="00B4017B" w:rsidRPr="000F6CD1" w:rsidRDefault="00B4017B" w:rsidP="00622CFF">
      <w:pPr>
        <w:spacing w:before="240" w:after="240" w:line="240" w:lineRule="auto"/>
      </w:pPr>
      <w:r w:rsidRPr="000F6CD1">
        <w:lastRenderedPageBreak/>
        <w:t>Assessment organisations who are APP entities under the Privacy Act</w:t>
      </w:r>
      <w:r w:rsidRPr="000F6CD1">
        <w:rPr>
          <w:b/>
          <w:i/>
        </w:rPr>
        <w:t xml:space="preserve"> </w:t>
      </w:r>
      <w:r w:rsidRPr="000F6CD1">
        <w:t>will also need to comply with the requirements of the Privacy Act</w:t>
      </w:r>
      <w:r w:rsidRPr="000F6CD1">
        <w:rPr>
          <w:b/>
          <w:i/>
        </w:rPr>
        <w:t xml:space="preserve"> </w:t>
      </w:r>
      <w:r w:rsidRPr="000F6CD1">
        <w:t xml:space="preserve">in handling personal information. Where personal information is used or disclosed in accordance with an authorisation in Division 2, Part 2, Chapter 7 of the </w:t>
      </w:r>
      <w:r w:rsidRPr="000F6CD1">
        <w:rPr>
          <w:i/>
        </w:rPr>
        <w:t>Aged Care Act 2024</w:t>
      </w:r>
      <w:r w:rsidRPr="000F6CD1">
        <w:t xml:space="preserve"> this will be permitted under the </w:t>
      </w:r>
      <w:r w:rsidRPr="000F6CD1">
        <w:rPr>
          <w:i/>
        </w:rPr>
        <w:t>Privacy Act</w:t>
      </w:r>
      <w:r w:rsidRPr="000F6CD1">
        <w:t xml:space="preserve"> (see APP 6.2(b)). </w:t>
      </w:r>
    </w:p>
    <w:p w14:paraId="3C25E91A" w14:textId="77777777" w:rsidR="00B4017B" w:rsidRPr="000F6CD1" w:rsidRDefault="00B4017B" w:rsidP="00622CFF">
      <w:pPr>
        <w:spacing w:before="240" w:after="240" w:line="240" w:lineRule="auto"/>
      </w:pPr>
      <w:r w:rsidRPr="000F6CD1">
        <w:t>Assessment organisations should consult the Privacy Act</w:t>
      </w:r>
      <w:r w:rsidRPr="000F6CD1">
        <w:rPr>
          <w:i/>
          <w:iCs/>
        </w:rPr>
        <w:t xml:space="preserve"> </w:t>
      </w:r>
      <w:r w:rsidRPr="000F6CD1">
        <w:t xml:space="preserve">and APP Guidelines for further information on the definition of APP entities and its applicability to their organisation. </w:t>
      </w:r>
    </w:p>
    <w:p w14:paraId="156C5500" w14:textId="77777777" w:rsidR="00B4017B" w:rsidRPr="000F6CD1" w:rsidRDefault="00B4017B" w:rsidP="00AD2CE5">
      <w:pPr>
        <w:pStyle w:val="H3"/>
      </w:pPr>
      <w:bookmarkStart w:id="1092" w:name="_Toc159226989"/>
      <w:bookmarkStart w:id="1093" w:name="_Toc184402404"/>
      <w:bookmarkStart w:id="1094" w:name="_Toc204329635"/>
      <w:r w:rsidRPr="000F6CD1">
        <w:t>Collection and protection</w:t>
      </w:r>
      <w:bookmarkEnd w:id="1091"/>
      <w:bookmarkEnd w:id="1092"/>
      <w:bookmarkEnd w:id="1093"/>
      <w:r w:rsidRPr="000F6CD1">
        <w:t xml:space="preserve"> of information</w:t>
      </w:r>
      <w:bookmarkEnd w:id="1094"/>
      <w:r w:rsidRPr="000F6CD1">
        <w:t xml:space="preserve"> </w:t>
      </w:r>
    </w:p>
    <w:p w14:paraId="7805B092" w14:textId="77777777" w:rsidR="00B4017B" w:rsidRPr="000F6CD1" w:rsidRDefault="00B4017B" w:rsidP="00622CFF">
      <w:pPr>
        <w:spacing w:before="240" w:after="240" w:line="240" w:lineRule="auto"/>
      </w:pPr>
      <w:r w:rsidRPr="000F6CD1">
        <w:t xml:space="preserve">The collection of information about an older person and their support network as part of the assessment process must comply with the legislative requirements under the </w:t>
      </w:r>
      <w:r w:rsidRPr="00C47D34">
        <w:rPr>
          <w:i/>
          <w:iCs/>
        </w:rPr>
        <w:t>Aged Care Act 2024</w:t>
      </w:r>
      <w:r w:rsidRPr="000F6CD1">
        <w:t xml:space="preserve"> and </w:t>
      </w:r>
      <w:r w:rsidRPr="00C47D34">
        <w:rPr>
          <w:i/>
          <w:iCs/>
        </w:rPr>
        <w:t>Privacy Act 1988</w:t>
      </w:r>
      <w:r w:rsidRPr="000F6CD1">
        <w:t xml:space="preserve"> (the Privacy Act)</w:t>
      </w:r>
      <w:r w:rsidRPr="000F6CD1">
        <w:rPr>
          <w:i/>
          <w:iCs/>
        </w:rPr>
        <w:t xml:space="preserve">. </w:t>
      </w:r>
      <w:r w:rsidRPr="000F6CD1">
        <w:t>Where applicable</w:t>
      </w:r>
      <w:r w:rsidRPr="000F6CD1">
        <w:rPr>
          <w:i/>
          <w:iCs/>
        </w:rPr>
        <w:t xml:space="preserve"> </w:t>
      </w:r>
      <w:r w:rsidRPr="000F6CD1">
        <w:t xml:space="preserve">assessors must seek and gain informed consent using the My Aged Care Assessment Consent Form (the Consent Form) including reading the consent scripts to the older person or their appointed decision maker recognised under the Act (whether or not they are a registered supporter). </w:t>
      </w:r>
    </w:p>
    <w:p w14:paraId="0D53CD80" w14:textId="77777777" w:rsidR="00B4017B" w:rsidRPr="000F6CD1" w:rsidRDefault="00B4017B" w:rsidP="00622CFF">
      <w:pPr>
        <w:spacing w:before="240" w:after="240" w:line="240" w:lineRule="auto"/>
      </w:pPr>
      <w:r w:rsidRPr="000F6CD1">
        <w:t xml:space="preserve">Any information collected for the purpose of determining an individual’s eligibility and need for Commonwealth-subsidised aged care is collected on behalf of the Commonwealth and is therefore Commonwealth property. This includes any notes, documents or other materials created for the purpose of preparing an older person’s record. </w:t>
      </w:r>
    </w:p>
    <w:p w14:paraId="62FF4FBC" w14:textId="77777777" w:rsidR="00B4017B" w:rsidRPr="000F6CD1" w:rsidRDefault="00B4017B" w:rsidP="00622CFF">
      <w:pPr>
        <w:spacing w:before="240" w:after="240" w:line="240" w:lineRule="auto"/>
      </w:pPr>
      <w:r w:rsidRPr="000F6CD1">
        <w:t>The Privacy Act</w:t>
      </w:r>
      <w:r w:rsidRPr="000F6CD1">
        <w:rPr>
          <w:i/>
          <w:iCs/>
        </w:rPr>
        <w:t xml:space="preserve"> </w:t>
      </w:r>
      <w:r w:rsidRPr="000F6CD1">
        <w:t xml:space="preserve">contains further provisions to protect information which applies to assessment organisations. </w:t>
      </w:r>
    </w:p>
    <w:p w14:paraId="77A2CDE3" w14:textId="77777777" w:rsidR="00B4017B" w:rsidRPr="000F6CD1" w:rsidRDefault="00B4017B" w:rsidP="00622CFF">
      <w:pPr>
        <w:spacing w:before="240" w:after="240" w:line="240" w:lineRule="auto"/>
      </w:pPr>
      <w:r w:rsidRPr="000F6CD1">
        <w:t>Where the Privacy Act applies, it is critical that assessment organisations have systems, protocols and processes in place to ensure the safety of older people’s records from loss, interference, misuse, unauthorised access, modification or disclosure. This requirement relates to Australian Privacy Principle 11. Penalties may apply to agencies and individuals for breaches of the Privacy Act.</w:t>
      </w:r>
      <w:r w:rsidRPr="000F6CD1">
        <w:rPr>
          <w:i/>
          <w:iCs/>
        </w:rPr>
        <w:t xml:space="preserve"> </w:t>
      </w:r>
      <w:r w:rsidRPr="000F6CD1">
        <w:t xml:space="preserve">Assessment organisations may refer to the Office of the Australian Information Commission for further information on the handling of personal information and the consequences of misuse. </w:t>
      </w:r>
    </w:p>
    <w:p w14:paraId="3BC18190" w14:textId="77777777" w:rsidR="00B4017B" w:rsidRPr="000F6CD1" w:rsidRDefault="00B4017B" w:rsidP="00622CFF">
      <w:pPr>
        <w:spacing w:before="240" w:after="240" w:line="240" w:lineRule="auto"/>
      </w:pPr>
      <w:r w:rsidRPr="000F6CD1">
        <w:t xml:space="preserve">If a record of an assessment is a state or territory government as well as being a Commonwealth record, there may be further requirements to retain and store information under state or territory legislation. Assessment organisations should seek advice from their state or territory government on any state or territory requirements. Assessment organisations must meet all requirements at both levels of government. </w:t>
      </w:r>
    </w:p>
    <w:p w14:paraId="09945426" w14:textId="690A0F26" w:rsidR="00B4017B" w:rsidRPr="000F6CD1" w:rsidRDefault="00B4017B" w:rsidP="00622CFF">
      <w:pPr>
        <w:spacing w:before="240" w:after="240" w:line="240" w:lineRule="auto"/>
      </w:pPr>
      <w:r w:rsidRPr="000F6CD1">
        <w:t xml:space="preserve">All assessment organisation staff should exercise caution and care when handling personal information. If an assessment organisation staff member becomes aware of a potential privacy breach, they must discuss this with their assessment organisation manager and follow their organisation’s procedures. </w:t>
      </w:r>
    </w:p>
    <w:p w14:paraId="1A6CD953" w14:textId="77777777" w:rsidR="00B4017B" w:rsidRPr="000F6CD1" w:rsidRDefault="00B4017B" w:rsidP="00AD2CE5">
      <w:pPr>
        <w:pStyle w:val="H3"/>
      </w:pPr>
      <w:bookmarkStart w:id="1095" w:name="_Toc496022875"/>
      <w:bookmarkStart w:id="1096" w:name="_Toc159226990"/>
      <w:bookmarkStart w:id="1097" w:name="_Toc184402405"/>
      <w:bookmarkStart w:id="1098" w:name="_Toc204329636"/>
      <w:r w:rsidRPr="000F6CD1">
        <w:t>Use, storage and retention</w:t>
      </w:r>
      <w:bookmarkEnd w:id="1095"/>
      <w:bookmarkEnd w:id="1096"/>
      <w:bookmarkEnd w:id="1097"/>
      <w:r w:rsidRPr="000F6CD1">
        <w:t xml:space="preserve"> of information</w:t>
      </w:r>
      <w:bookmarkEnd w:id="1098"/>
    </w:p>
    <w:p w14:paraId="5CD9FC60" w14:textId="77777777" w:rsidR="00B4017B" w:rsidRPr="000F6CD1" w:rsidRDefault="00B4017B" w:rsidP="00622CFF">
      <w:pPr>
        <w:spacing w:before="240" w:after="240" w:line="240" w:lineRule="auto"/>
      </w:pPr>
      <w:r w:rsidRPr="000F6CD1">
        <w:t xml:space="preserve">Records are now created, stored and managed electronically in the My Aged Care portal. In some circumstances, it may be necessary for records to be created in a hard copy paper format (e.g., the Emergency Residential Care - Application for Care form). In these cases, the paper records are to be uploaded to the My Aged Care portal as soon as possible and the paper copy destroyed in accordance with the destruction guidelines (see Destruction below). </w:t>
      </w:r>
    </w:p>
    <w:p w14:paraId="31B3C3B2" w14:textId="77777777" w:rsidR="00B4017B" w:rsidRPr="000F6CD1" w:rsidRDefault="00B4017B" w:rsidP="00622CFF">
      <w:pPr>
        <w:spacing w:before="240" w:after="240" w:line="240" w:lineRule="auto"/>
      </w:pPr>
      <w:r w:rsidRPr="000F6CD1">
        <w:lastRenderedPageBreak/>
        <w:t>Should you require information about the management of legacy records, those records that were created prior to the My Aged Care Gateway please contact your assessment organisation manager who can liaise with the department</w:t>
      </w:r>
      <w:r w:rsidRPr="000F6CD1" w:rsidDel="001F504E">
        <w:t xml:space="preserve"> </w:t>
      </w:r>
      <w:r w:rsidRPr="000F6CD1">
        <w:t>if necessary for further advice.</w:t>
      </w:r>
    </w:p>
    <w:p w14:paraId="58674ED1" w14:textId="77777777" w:rsidR="00B4017B" w:rsidRPr="000F6CD1" w:rsidRDefault="00B4017B" w:rsidP="00AD2CE5">
      <w:pPr>
        <w:pStyle w:val="H3"/>
      </w:pPr>
      <w:bookmarkStart w:id="1099" w:name="_Toc159226991"/>
      <w:bookmarkStart w:id="1100" w:name="_Toc184402406"/>
      <w:r w:rsidRPr="000F6CD1">
        <w:t>Destruction</w:t>
      </w:r>
      <w:bookmarkEnd w:id="1099"/>
      <w:bookmarkEnd w:id="1100"/>
      <w:r w:rsidRPr="000F6CD1">
        <w:t xml:space="preserve"> of information</w:t>
      </w:r>
    </w:p>
    <w:p w14:paraId="0E4788E3" w14:textId="77777777" w:rsidR="00B4017B" w:rsidRPr="000F6CD1" w:rsidRDefault="00B4017B" w:rsidP="00622CFF">
      <w:pPr>
        <w:spacing w:before="240" w:after="240" w:line="240" w:lineRule="auto"/>
        <w:rPr>
          <w:lang w:eastAsia="en-US"/>
        </w:rPr>
      </w:pPr>
      <w:r w:rsidRPr="000F6CD1">
        <w:rPr>
          <w:lang w:eastAsia="en-US"/>
        </w:rPr>
        <w:t xml:space="preserve">The destruction of new paper records should be undertaken as soon as the record has been captured digitally in the My Aged Care portal, and a true electronic copy has been confirmed. Destruction can be undertaken using </w:t>
      </w:r>
      <w:r w:rsidRPr="000F6CD1">
        <w:t>class B paper shredders that shred to P-5 security level. Level P-5 provides more security with cross-cut shreds that are only ≤ 30 mm² particles with width ≤ 2 mm.</w:t>
      </w:r>
      <w:r w:rsidRPr="000F6CD1">
        <w:rPr>
          <w:lang w:eastAsia="en-US"/>
        </w:rPr>
        <w:t xml:space="preserve"> </w:t>
      </w:r>
    </w:p>
    <w:p w14:paraId="695B2196" w14:textId="4C6DC438" w:rsidR="00B4017B" w:rsidRPr="000F6CD1" w:rsidRDefault="00B4017B" w:rsidP="00622CFF">
      <w:pPr>
        <w:spacing w:before="240" w:after="240" w:line="240" w:lineRule="auto"/>
        <w:rPr>
          <w:lang w:eastAsia="en-US"/>
        </w:rPr>
      </w:pPr>
      <w:r w:rsidRPr="000F6CD1">
        <w:rPr>
          <w:lang w:eastAsia="en-US"/>
        </w:rPr>
        <w:t xml:space="preserve">Alternatively, destruction can also be </w:t>
      </w:r>
      <w:r w:rsidRPr="000F6CD1">
        <w:t>through a Protective Security Policy Framework endorsed T4 accredited waste management agency</w:t>
      </w:r>
      <w:r w:rsidRPr="000F6CD1">
        <w:rPr>
          <w:lang w:eastAsia="en-US"/>
        </w:rPr>
        <w:t xml:space="preserve">. </w:t>
      </w:r>
    </w:p>
    <w:p w14:paraId="68246F60" w14:textId="77777777" w:rsidR="00B4017B" w:rsidRPr="000F6CD1" w:rsidRDefault="00B4017B" w:rsidP="00622CFF">
      <w:pPr>
        <w:spacing w:before="240" w:after="240" w:line="240" w:lineRule="auto"/>
        <w:rPr>
          <w:lang w:eastAsia="en-US"/>
        </w:rPr>
      </w:pPr>
      <w:r w:rsidRPr="000F6CD1">
        <w:rPr>
          <w:lang w:eastAsia="en-US"/>
        </w:rPr>
        <w:t xml:space="preserve">The destruction of electronic records requires the deletion of all copies of the record from any system in such a way that it is impossible to restore the record. For records that are destroyed and not uploaded to My Aged Care, assessment organisations must also maintain evidence of identifying what has been destroyed and the means of destruction. </w:t>
      </w:r>
    </w:p>
    <w:p w14:paraId="58D1A7B1" w14:textId="77777777" w:rsidR="00B4017B" w:rsidRPr="000F6CD1" w:rsidRDefault="00B4017B" w:rsidP="00622CFF">
      <w:pPr>
        <w:spacing w:before="240" w:after="240" w:line="240" w:lineRule="auto"/>
        <w:rPr>
          <w:lang w:eastAsia="en-US"/>
        </w:rPr>
      </w:pPr>
      <w:r w:rsidRPr="000F6CD1">
        <w:rPr>
          <w:noProof/>
        </w:rPr>
        <w:drawing>
          <wp:inline distT="0" distB="0" distL="0" distR="0" wp14:anchorId="78D32C8C" wp14:editId="44416359">
            <wp:extent cx="447675" cy="445208"/>
            <wp:effectExtent l="0" t="0" r="0" b="0"/>
            <wp:docPr id="1504724548" name="Picture 1504724548"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24548" name="Picture 1504724548"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r w:rsidRPr="000F6CD1">
        <w:rPr>
          <w:lang w:eastAsia="en-US"/>
        </w:rPr>
        <w:t xml:space="preserve"> </w:t>
      </w:r>
      <w:r w:rsidRPr="000F6CD1">
        <w:rPr>
          <w:b/>
          <w:bCs/>
          <w:lang w:eastAsia="en-US"/>
        </w:rPr>
        <w:t>Department of Home Affairs website:</w:t>
      </w:r>
      <w:r w:rsidRPr="000F6CD1">
        <w:rPr>
          <w:b/>
          <w:lang w:eastAsia="en-US"/>
        </w:rPr>
        <w:t xml:space="preserve"> </w:t>
      </w:r>
      <w:hyperlink r:id="rId330" w:history="1">
        <w:r w:rsidRPr="000F6CD1">
          <w:rPr>
            <w:rStyle w:val="Hyperlink"/>
            <w:lang w:eastAsia="en-US"/>
          </w:rPr>
          <w:t>Protective Security Policy Framework</w:t>
        </w:r>
      </w:hyperlink>
      <w:r w:rsidRPr="000F6CD1">
        <w:rPr>
          <w:lang w:eastAsia="en-US"/>
        </w:rPr>
        <w:t xml:space="preserve"> </w:t>
      </w:r>
    </w:p>
    <w:p w14:paraId="7E1B07C4" w14:textId="77777777" w:rsidR="00B4017B" w:rsidRPr="000F6CD1" w:rsidRDefault="00B4017B" w:rsidP="00AD2CE5">
      <w:pPr>
        <w:pStyle w:val="H3"/>
      </w:pPr>
      <w:bookmarkStart w:id="1101" w:name="_Toc159226992"/>
      <w:bookmarkStart w:id="1102" w:name="_Toc184402407"/>
      <w:r w:rsidRPr="000F6CD1">
        <w:t>Use</w:t>
      </w:r>
      <w:bookmarkEnd w:id="1101"/>
      <w:bookmarkEnd w:id="1102"/>
      <w:r w:rsidRPr="000F6CD1">
        <w:t xml:space="preserve"> and disclosure of information</w:t>
      </w:r>
    </w:p>
    <w:p w14:paraId="6E05DB91" w14:textId="77777777" w:rsidR="00B4017B" w:rsidRPr="000F6CD1" w:rsidRDefault="00B4017B" w:rsidP="00622CFF">
      <w:pPr>
        <w:spacing w:before="240" w:after="240" w:line="240" w:lineRule="auto"/>
      </w:pPr>
      <w:r w:rsidRPr="000F6CD1">
        <w:t xml:space="preserve">Assessors and other staff must be aware that information they acquire or generate in the course of performing their delegated functions or powers under the </w:t>
      </w:r>
      <w:r w:rsidRPr="00A836CB">
        <w:rPr>
          <w:i/>
          <w:iCs/>
        </w:rPr>
        <w:t>Aged Care Act 2024</w:t>
      </w:r>
      <w:r w:rsidRPr="000F6CD1">
        <w:t xml:space="preserve"> (the Act) may not be recorded or disclosed or otherwise used unless it is in accordance with the Act. Generally, information can be used or disclosed by assessors and staff in the course of performing their delegated powers or functions under the Act or with the consent of the older person. Written records of ‘interesting cases’ may not be kept by staff members, and cases may not be referenced in public discussion such as in a Letter to the Editor or in social media. There are explicit authorisations for the use and disclosure of information under the Act. These may generally be categorised as: </w:t>
      </w:r>
    </w:p>
    <w:p w14:paraId="71C54322" w14:textId="77777777" w:rsidR="00B4017B" w:rsidRPr="000F6CD1" w:rsidRDefault="00B4017B">
      <w:pPr>
        <w:pStyle w:val="ListParagraph"/>
        <w:numPr>
          <w:ilvl w:val="0"/>
          <w:numId w:val="366"/>
        </w:numPr>
        <w:spacing w:before="240" w:after="240" w:line="240" w:lineRule="auto"/>
      </w:pPr>
      <w:r w:rsidRPr="000F6CD1">
        <w:rPr>
          <w:b/>
        </w:rPr>
        <w:t>general authorisations</w:t>
      </w:r>
      <w:r w:rsidRPr="000F6CD1">
        <w:t>- including but not limited to functions and powers under the Act, for proceedings, with consent, preventing serious threat to safety, health or wellbeing, for the purposes of worker screening</w:t>
      </w:r>
    </w:p>
    <w:p w14:paraId="37AD5A20" w14:textId="77777777" w:rsidR="00B4017B" w:rsidRPr="000F6CD1" w:rsidRDefault="00B4017B">
      <w:pPr>
        <w:pStyle w:val="ListParagraph"/>
        <w:numPr>
          <w:ilvl w:val="0"/>
          <w:numId w:val="366"/>
        </w:numPr>
        <w:spacing w:before="240" w:after="240" w:line="240" w:lineRule="auto"/>
      </w:pPr>
      <w:r w:rsidRPr="000F6CD1">
        <w:rPr>
          <w:b/>
        </w:rPr>
        <w:t>entrusted persons</w:t>
      </w:r>
      <w:r w:rsidRPr="000F6CD1">
        <w:t xml:space="preserve"> – disclosure to a minister, disclosure for the purposes of obtaining legal advice or another legal service, for the provision of services to an individual (but only for specific purposes, such as assessing the level of care an individual needs, relative to the needs of others)</w:t>
      </w:r>
    </w:p>
    <w:p w14:paraId="10675153" w14:textId="77777777" w:rsidR="00B4017B" w:rsidRPr="000F6CD1" w:rsidRDefault="00B4017B">
      <w:pPr>
        <w:pStyle w:val="ListParagraph"/>
        <w:numPr>
          <w:ilvl w:val="0"/>
          <w:numId w:val="366"/>
        </w:numPr>
        <w:spacing w:before="240" w:after="240" w:line="240" w:lineRule="auto"/>
      </w:pPr>
      <w:r w:rsidRPr="000F6CD1">
        <w:rPr>
          <w:b/>
        </w:rPr>
        <w:t xml:space="preserve">authorisation by the System Governor or Appointed Commissioner </w:t>
      </w:r>
      <w:r w:rsidRPr="000F6CD1">
        <w:t xml:space="preserve">– disclosure to relevant Commonwealth bodies and agencies, disclosure to a registered supporter of an individual accessing or seeking access to funded aged care, disclosure for continuation of funded aged care services, disclosure for research, disclosure for law enforcement and revenue protection, disclosure for maintenance of professional standards, disclosure for certified purposes </w:t>
      </w:r>
    </w:p>
    <w:p w14:paraId="66A78C81" w14:textId="77777777" w:rsidR="00B4017B" w:rsidRPr="000F6CD1" w:rsidRDefault="00B4017B">
      <w:pPr>
        <w:pStyle w:val="ListParagraph"/>
        <w:numPr>
          <w:ilvl w:val="0"/>
          <w:numId w:val="366"/>
        </w:numPr>
        <w:spacing w:before="240" w:after="240" w:line="240" w:lineRule="auto"/>
      </w:pPr>
      <w:r w:rsidRPr="000F6CD1">
        <w:rPr>
          <w:b/>
        </w:rPr>
        <w:t>authorisation by the System Governor or Appointed Commissioner for certain inquiries</w:t>
      </w:r>
      <w:r w:rsidRPr="000F6CD1">
        <w:t xml:space="preserve">- disclosure to the coroner, disclosure for state or territory complaints </w:t>
      </w:r>
    </w:p>
    <w:p w14:paraId="44C62946" w14:textId="77777777" w:rsidR="00B4017B" w:rsidRPr="000F6CD1" w:rsidRDefault="00B4017B">
      <w:pPr>
        <w:pStyle w:val="ListParagraph"/>
        <w:numPr>
          <w:ilvl w:val="0"/>
          <w:numId w:val="366"/>
        </w:numPr>
        <w:spacing w:before="240" w:after="240" w:line="240" w:lineRule="auto"/>
      </w:pPr>
      <w:r w:rsidRPr="000F6CD1">
        <w:rPr>
          <w:b/>
        </w:rPr>
        <w:t>Authorisation by the System Governor for grants and quality purposes</w:t>
      </w:r>
      <w:r w:rsidRPr="000F6CD1">
        <w:t>- disclosure for grants and disclosure for star ratings</w:t>
      </w:r>
    </w:p>
    <w:p w14:paraId="012A384D" w14:textId="77777777" w:rsidR="00B4017B" w:rsidRPr="000F6CD1" w:rsidRDefault="00B4017B" w:rsidP="00622CFF">
      <w:pPr>
        <w:spacing w:before="240" w:after="240" w:line="240" w:lineRule="auto"/>
      </w:pPr>
      <w:r w:rsidRPr="000F6CD1">
        <w:lastRenderedPageBreak/>
        <w:t xml:space="preserve">Disclosures made under any of the authorisations must be in accordance with the specific requirements outlined under Division 2 of Part 2 of Chapter 7 of the </w:t>
      </w:r>
      <w:r w:rsidRPr="00A836CB">
        <w:rPr>
          <w:i/>
          <w:iCs/>
        </w:rPr>
        <w:t>Aged Care Act 2024</w:t>
      </w:r>
      <w:r w:rsidRPr="000F6CD1">
        <w:t xml:space="preserve"> (the Act). </w:t>
      </w:r>
    </w:p>
    <w:p w14:paraId="4BBE9B98" w14:textId="77777777" w:rsidR="00B4017B" w:rsidRPr="000F6CD1" w:rsidRDefault="00B4017B" w:rsidP="00622CFF">
      <w:pPr>
        <w:spacing w:before="240" w:after="240" w:line="240" w:lineRule="auto"/>
      </w:pPr>
      <w:r w:rsidRPr="000F6CD1">
        <w:t>Any systems developed for the collection and analysis of data should incorporate adequate procedures to protect the privacy of people being assessed. If data is to be used for purposes other than assessment, or individual care planning, assessors must have procedures in place to ensure that older person confidentiality is maintained and individuals cannot be identified.</w:t>
      </w:r>
    </w:p>
    <w:p w14:paraId="6A63E3D8" w14:textId="77777777" w:rsidR="00B4017B" w:rsidRPr="000F6CD1" w:rsidRDefault="00B4017B" w:rsidP="00622CFF">
      <w:pPr>
        <w:spacing w:before="240" w:after="240" w:line="240" w:lineRule="auto"/>
      </w:pPr>
      <w:r w:rsidRPr="000F6CD1">
        <w:t>Older people and their registered supporters should be encouraged to access their My Aged Care online account. This gives direct access to the older person’s assessment information, which they can disclose to other parties as they wish.</w:t>
      </w:r>
    </w:p>
    <w:p w14:paraId="1528C1AB" w14:textId="77777777" w:rsidR="00B4017B" w:rsidRPr="000F6CD1" w:rsidRDefault="00B4017B" w:rsidP="00622CFF">
      <w:pPr>
        <w:spacing w:before="240" w:after="240" w:line="240" w:lineRule="auto"/>
      </w:pPr>
      <w:r w:rsidRPr="000F6CD1">
        <w:t xml:space="preserve">In cases where there is no consent to release information or any doubt about the release of information, the assessor should discuss this situation with the organisation’s manager. The manager may further consult the assessment organisation’s auspice organisation, the state or territory government, the department or obtain independent legal advice if any doubt remains, before releasing information. </w:t>
      </w:r>
    </w:p>
    <w:tbl>
      <w:tblPr>
        <w:tblW w:w="0" w:type="auto"/>
        <w:tblLook w:val="04A0" w:firstRow="1" w:lastRow="0" w:firstColumn="1" w:lastColumn="0" w:noHBand="0" w:noVBand="1"/>
      </w:tblPr>
      <w:tblGrid>
        <w:gridCol w:w="8931"/>
      </w:tblGrid>
      <w:tr w:rsidR="00B4017B" w:rsidRPr="000F6CD1" w14:paraId="171286BA" w14:textId="77777777">
        <w:tc>
          <w:tcPr>
            <w:tcW w:w="8931" w:type="dxa"/>
          </w:tcPr>
          <w:p w14:paraId="579A7BAF" w14:textId="77777777" w:rsidR="00B4017B" w:rsidRPr="000F6CD1" w:rsidRDefault="00B4017B" w:rsidP="00622CFF">
            <w:pPr>
              <w:spacing w:before="240" w:after="240" w:line="240" w:lineRule="auto"/>
              <w:rPr>
                <w:szCs w:val="22"/>
              </w:rPr>
            </w:pPr>
            <w:r w:rsidRPr="000F6CD1">
              <w:rPr>
                <w:noProof/>
              </w:rPr>
              <w:drawing>
                <wp:anchor distT="0" distB="0" distL="114300" distR="114300" simplePos="0" relativeHeight="251658330" behindDoc="0" locked="0" layoutInCell="1" allowOverlap="1" wp14:anchorId="1C4BE30B" wp14:editId="5AB6EF9D">
                  <wp:simplePos x="0" y="0"/>
                  <wp:positionH relativeFrom="column">
                    <wp:posOffset>2540</wp:posOffset>
                  </wp:positionH>
                  <wp:positionV relativeFrom="paragraph">
                    <wp:posOffset>48260</wp:posOffset>
                  </wp:positionV>
                  <wp:extent cx="369570" cy="367665"/>
                  <wp:effectExtent l="0" t="0" r="0" b="0"/>
                  <wp:wrapSquare wrapText="bothSides"/>
                  <wp:docPr id="844508469" name="Picture 844508469"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08469" name="Picture 844508469"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9570" cy="367665"/>
                          </a:xfrm>
                          <a:prstGeom prst="rect">
                            <a:avLst/>
                          </a:prstGeom>
                        </pic:spPr>
                      </pic:pic>
                    </a:graphicData>
                  </a:graphic>
                  <wp14:sizeRelH relativeFrom="page">
                    <wp14:pctWidth>0</wp14:pctWidth>
                  </wp14:sizeRelH>
                  <wp14:sizeRelV relativeFrom="page">
                    <wp14:pctHeight>0</wp14:pctHeight>
                  </wp14:sizeRelV>
                </wp:anchor>
              </w:drawing>
            </w:r>
            <w:r w:rsidRPr="000F6CD1">
              <w:rPr>
                <w:b/>
                <w:szCs w:val="22"/>
              </w:rPr>
              <w:t xml:space="preserve"> Australian Security Intelligence Organisation website</w:t>
            </w:r>
            <w:r w:rsidRPr="000F6CD1">
              <w:rPr>
                <w:szCs w:val="22"/>
              </w:rPr>
              <w:t xml:space="preserve">: </w:t>
            </w:r>
            <w:hyperlink r:id="rId331">
              <w:r w:rsidRPr="000F6CD1">
                <w:rPr>
                  <w:rStyle w:val="Hyperlink"/>
                  <w:szCs w:val="22"/>
                </w:rPr>
                <w:t>ASIO T4 Protective Security</w:t>
              </w:r>
            </w:hyperlink>
          </w:p>
          <w:p w14:paraId="5C87DC1D" w14:textId="55F0FF81" w:rsidR="00B4017B" w:rsidRPr="000F6CD1" w:rsidRDefault="00B4017B" w:rsidP="00622CFF">
            <w:pPr>
              <w:spacing w:before="240" w:after="240" w:line="240" w:lineRule="auto"/>
              <w:ind w:left="720"/>
              <w:rPr>
                <w:szCs w:val="22"/>
              </w:rPr>
            </w:pPr>
            <w:r w:rsidRPr="000F6CD1">
              <w:rPr>
                <w:b/>
                <w:bCs/>
                <w:szCs w:val="22"/>
              </w:rPr>
              <w:t>Federal Register of Legislation website</w:t>
            </w:r>
            <w:r w:rsidRPr="000F6CD1">
              <w:rPr>
                <w:szCs w:val="22"/>
              </w:rPr>
              <w:t xml:space="preserve">: </w:t>
            </w:r>
            <w:hyperlink r:id="rId332" w:history="1">
              <w:r w:rsidRPr="000F6CD1">
                <w:rPr>
                  <w:rStyle w:val="Hyperlink"/>
                  <w:szCs w:val="22"/>
                </w:rPr>
                <w:t xml:space="preserve">Aged Care Act 2024 - Federal Register of Legislation                     </w:t>
              </w:r>
            </w:hyperlink>
          </w:p>
          <w:p w14:paraId="631421D2" w14:textId="77777777" w:rsidR="00B4017B" w:rsidRPr="000F6CD1" w:rsidRDefault="00B4017B" w:rsidP="00622CFF">
            <w:pPr>
              <w:spacing w:before="240" w:after="240" w:line="240" w:lineRule="auto"/>
              <w:ind w:left="720"/>
              <w:rPr>
                <w:szCs w:val="22"/>
              </w:rPr>
            </w:pPr>
            <w:hyperlink r:id="rId333">
              <w:r w:rsidRPr="000F6CD1">
                <w:rPr>
                  <w:rStyle w:val="Hyperlink"/>
                  <w:szCs w:val="22"/>
                </w:rPr>
                <w:t>Archives Act 1983</w:t>
              </w:r>
            </w:hyperlink>
          </w:p>
          <w:p w14:paraId="1662549A" w14:textId="77777777" w:rsidR="00B4017B" w:rsidRPr="000F6CD1" w:rsidRDefault="00B4017B" w:rsidP="00622CFF">
            <w:pPr>
              <w:spacing w:before="240" w:after="240" w:line="240" w:lineRule="auto"/>
              <w:ind w:left="720"/>
              <w:rPr>
                <w:szCs w:val="22"/>
              </w:rPr>
            </w:pPr>
            <w:hyperlink r:id="rId334">
              <w:r w:rsidRPr="000F6CD1">
                <w:rPr>
                  <w:rStyle w:val="Hyperlink"/>
                  <w:szCs w:val="22"/>
                </w:rPr>
                <w:t>Electronic Transaction Act 1999</w:t>
              </w:r>
            </w:hyperlink>
            <w:r w:rsidRPr="000F6CD1">
              <w:rPr>
                <w:szCs w:val="22"/>
              </w:rPr>
              <w:t xml:space="preserve"> (see Part2, Division 2, Section 12 – Retention)</w:t>
            </w:r>
          </w:p>
          <w:p w14:paraId="55544D38" w14:textId="77777777" w:rsidR="00B4017B" w:rsidRPr="000F6CD1" w:rsidRDefault="00B4017B" w:rsidP="00622CFF">
            <w:pPr>
              <w:spacing w:before="240" w:after="240" w:line="240" w:lineRule="auto"/>
              <w:ind w:left="720"/>
              <w:rPr>
                <w:szCs w:val="22"/>
              </w:rPr>
            </w:pPr>
            <w:hyperlink r:id="rId335" w:history="1">
              <w:r w:rsidRPr="000F6CD1">
                <w:rPr>
                  <w:rStyle w:val="Hyperlink"/>
                  <w:szCs w:val="22"/>
                </w:rPr>
                <w:t>Privacy Act 1988 - Federal Register of Legislation</w:t>
              </w:r>
            </w:hyperlink>
          </w:p>
          <w:p w14:paraId="1E233CCE" w14:textId="77777777" w:rsidR="00B4017B" w:rsidRPr="000F6CD1" w:rsidRDefault="00B4017B" w:rsidP="00622CFF">
            <w:pPr>
              <w:spacing w:before="240" w:after="240" w:line="240" w:lineRule="auto"/>
              <w:ind w:left="720"/>
              <w:rPr>
                <w:szCs w:val="22"/>
              </w:rPr>
            </w:pPr>
            <w:r w:rsidRPr="000F6CD1">
              <w:rPr>
                <w:b/>
                <w:szCs w:val="22"/>
              </w:rPr>
              <w:t>National Archives of Australia website</w:t>
            </w:r>
            <w:r w:rsidRPr="000F6CD1">
              <w:rPr>
                <w:szCs w:val="22"/>
              </w:rPr>
              <w:t xml:space="preserve">: </w:t>
            </w:r>
            <w:hyperlink r:id="rId336">
              <w:r w:rsidRPr="000F6CD1">
                <w:rPr>
                  <w:rStyle w:val="Hyperlink"/>
                  <w:szCs w:val="22"/>
                </w:rPr>
                <w:t>Records Authority 2011/00396196 Department of Health and Ageing (includes Aged Care)</w:t>
              </w:r>
            </w:hyperlink>
            <w:r w:rsidRPr="000F6CD1">
              <w:rPr>
                <w:szCs w:val="22"/>
              </w:rPr>
              <w:t xml:space="preserve"> </w:t>
            </w:r>
          </w:p>
          <w:p w14:paraId="48E06E0C" w14:textId="77777777" w:rsidR="00B4017B" w:rsidRPr="000F6CD1" w:rsidRDefault="00B4017B" w:rsidP="00622CFF">
            <w:pPr>
              <w:spacing w:before="240" w:after="240" w:line="240" w:lineRule="auto"/>
              <w:ind w:left="720"/>
              <w:rPr>
                <w:b/>
                <w:szCs w:val="22"/>
              </w:rPr>
            </w:pPr>
            <w:r w:rsidRPr="000F6CD1">
              <w:rPr>
                <w:b/>
                <w:szCs w:val="22"/>
              </w:rPr>
              <w:t>Office of the Australian Information Commissioner website:</w:t>
            </w:r>
          </w:p>
          <w:p w14:paraId="64EA9993" w14:textId="77777777" w:rsidR="00B4017B" w:rsidRPr="000F6CD1" w:rsidRDefault="00B4017B" w:rsidP="00622CFF">
            <w:pPr>
              <w:spacing w:before="240" w:after="240" w:line="240" w:lineRule="auto"/>
              <w:ind w:left="720"/>
              <w:rPr>
                <w:szCs w:val="22"/>
              </w:rPr>
            </w:pPr>
            <w:hyperlink r:id="rId337">
              <w:r w:rsidRPr="000F6CD1">
                <w:rPr>
                  <w:rStyle w:val="Hyperlink"/>
                  <w:szCs w:val="22"/>
                </w:rPr>
                <w:t>Australian Privacy Principles</w:t>
              </w:r>
            </w:hyperlink>
            <w:r w:rsidRPr="000F6CD1">
              <w:rPr>
                <w:rStyle w:val="Hyperlink"/>
                <w:szCs w:val="22"/>
              </w:rPr>
              <w:t xml:space="preserve"> </w:t>
            </w:r>
            <w:r w:rsidRPr="000F6CD1">
              <w:rPr>
                <w:szCs w:val="22"/>
              </w:rPr>
              <w:t xml:space="preserve"> </w:t>
            </w:r>
          </w:p>
        </w:tc>
      </w:tr>
    </w:tbl>
    <w:p w14:paraId="3CC75DBE" w14:textId="77777777" w:rsidR="00B4017B" w:rsidRPr="000F6CD1" w:rsidRDefault="00B4017B" w:rsidP="00AD2CE5">
      <w:pPr>
        <w:pStyle w:val="H3"/>
      </w:pPr>
      <w:bookmarkStart w:id="1103" w:name="_Toc159226994"/>
      <w:bookmarkStart w:id="1104" w:name="_Toc184402409"/>
      <w:r w:rsidRPr="000F6CD1">
        <w:t>Freedom of information</w:t>
      </w:r>
      <w:bookmarkEnd w:id="1103"/>
      <w:bookmarkEnd w:id="1104"/>
    </w:p>
    <w:p w14:paraId="47642980" w14:textId="77777777" w:rsidR="00B4017B" w:rsidRPr="000F6CD1" w:rsidRDefault="00B4017B" w:rsidP="00622CFF">
      <w:pPr>
        <w:spacing w:before="240" w:after="240" w:line="240" w:lineRule="auto"/>
        <w:rPr>
          <w:lang w:eastAsia="en-US"/>
        </w:rPr>
      </w:pPr>
      <w:r w:rsidRPr="000F6CD1">
        <w:rPr>
          <w:lang w:eastAsia="en-US"/>
        </w:rPr>
        <w:t xml:space="preserve">The Commonwealth </w:t>
      </w:r>
      <w:r w:rsidRPr="000F6CD1">
        <w:rPr>
          <w:i/>
          <w:lang w:eastAsia="en-US"/>
        </w:rPr>
        <w:t xml:space="preserve">Freedom of Information Act 1982 </w:t>
      </w:r>
      <w:r w:rsidRPr="000F6CD1">
        <w:rPr>
          <w:iCs/>
          <w:lang w:eastAsia="en-US"/>
        </w:rPr>
        <w:t>(Freedom of Information Act)</w:t>
      </w:r>
      <w:r w:rsidRPr="000F6CD1">
        <w:rPr>
          <w:i/>
          <w:lang w:eastAsia="en-US"/>
        </w:rPr>
        <w:t xml:space="preserve"> </w:t>
      </w:r>
      <w:r w:rsidRPr="000F6CD1">
        <w:rPr>
          <w:lang w:eastAsia="en-US"/>
        </w:rPr>
        <w:t>gives members of the public the right to request access to government-held information. This includes information the government holds about individuals or about government policies and decisions. The Freedom of Information Act</w:t>
      </w:r>
      <w:r w:rsidRPr="000F6CD1">
        <w:rPr>
          <w:i/>
          <w:lang w:eastAsia="en-US"/>
        </w:rPr>
        <w:t xml:space="preserve"> </w:t>
      </w:r>
      <w:r w:rsidRPr="000F6CD1">
        <w:rPr>
          <w:lang w:eastAsia="en-US"/>
        </w:rPr>
        <w:t>extends, as far as possible, the right of the Australian community to access information (generally documents) in the possession of the Commonwealth, limited only by considerations of the protection of essential public interest and of the private and business affairs of persons in respect of whom information is collected and held by departments and public authorities.</w:t>
      </w:r>
    </w:p>
    <w:tbl>
      <w:tblPr>
        <w:tblW w:w="0" w:type="auto"/>
        <w:tblLook w:val="04A0" w:firstRow="1" w:lastRow="0" w:firstColumn="1" w:lastColumn="0" w:noHBand="0" w:noVBand="1"/>
      </w:tblPr>
      <w:tblGrid>
        <w:gridCol w:w="8647"/>
      </w:tblGrid>
      <w:tr w:rsidR="00B4017B" w:rsidRPr="000F6CD1" w14:paraId="1C4E73D3" w14:textId="77777777">
        <w:tc>
          <w:tcPr>
            <w:tcW w:w="8647" w:type="dxa"/>
          </w:tcPr>
          <w:p w14:paraId="6898E76B" w14:textId="77777777" w:rsidR="00B4017B" w:rsidRPr="000F6CD1" w:rsidRDefault="00B4017B" w:rsidP="00622CFF">
            <w:pPr>
              <w:spacing w:before="240" w:after="240" w:line="240" w:lineRule="auto"/>
            </w:pPr>
            <w:r w:rsidRPr="000F6CD1">
              <w:rPr>
                <w:noProof/>
              </w:rPr>
              <w:drawing>
                <wp:anchor distT="0" distB="0" distL="114300" distR="114300" simplePos="0" relativeHeight="251658331" behindDoc="0" locked="0" layoutInCell="1" allowOverlap="1" wp14:anchorId="2D529123" wp14:editId="786A7CA5">
                  <wp:simplePos x="0" y="0"/>
                  <wp:positionH relativeFrom="column">
                    <wp:posOffset>2540</wp:posOffset>
                  </wp:positionH>
                  <wp:positionV relativeFrom="paragraph">
                    <wp:posOffset>48895</wp:posOffset>
                  </wp:positionV>
                  <wp:extent cx="447675" cy="445135"/>
                  <wp:effectExtent l="0" t="0" r="9525" b="0"/>
                  <wp:wrapSquare wrapText="bothSides"/>
                  <wp:docPr id="1417976353" name="Picture 141797635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76353" name="Picture 1417976353"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r w:rsidRPr="000F6CD1">
              <w:rPr>
                <w:szCs w:val="22"/>
              </w:rPr>
              <w:t xml:space="preserve"> </w:t>
            </w:r>
            <w:r w:rsidRPr="000F6CD1">
              <w:rPr>
                <w:b/>
                <w:szCs w:val="22"/>
              </w:rPr>
              <w:t>Federal Register of Legislation website</w:t>
            </w:r>
            <w:r w:rsidRPr="000F6CD1">
              <w:rPr>
                <w:szCs w:val="22"/>
              </w:rPr>
              <w:t xml:space="preserve">: </w:t>
            </w:r>
            <w:hyperlink r:id="rId338">
              <w:r w:rsidRPr="000F6CD1">
                <w:rPr>
                  <w:rStyle w:val="Hyperlink"/>
                  <w:szCs w:val="22"/>
                </w:rPr>
                <w:t xml:space="preserve">Freedom of Information Act 1982 </w:t>
              </w:r>
            </w:hyperlink>
          </w:p>
          <w:p w14:paraId="4CF2DE7E" w14:textId="77777777" w:rsidR="00B4017B" w:rsidRPr="000F6CD1" w:rsidRDefault="00B4017B" w:rsidP="0063132D">
            <w:pPr>
              <w:spacing w:before="240" w:after="240" w:line="240" w:lineRule="auto"/>
              <w:ind w:left="720"/>
            </w:pPr>
            <w:r w:rsidRPr="000F6CD1">
              <w:rPr>
                <w:b/>
                <w:szCs w:val="22"/>
              </w:rPr>
              <w:lastRenderedPageBreak/>
              <w:t>Office of the Australian Information Commissioner</w:t>
            </w:r>
            <w:r w:rsidRPr="000F6CD1">
              <w:rPr>
                <w:szCs w:val="22"/>
              </w:rPr>
              <w:t xml:space="preserve">: </w:t>
            </w:r>
            <w:hyperlink r:id="rId339" w:history="1">
              <w:r w:rsidRPr="000F6CD1">
                <w:rPr>
                  <w:rStyle w:val="Hyperlink"/>
                  <w:szCs w:val="22"/>
                </w:rPr>
                <w:t>What is freedom of information? | OAIC</w:t>
              </w:r>
            </w:hyperlink>
          </w:p>
        </w:tc>
      </w:tr>
    </w:tbl>
    <w:p w14:paraId="08BE1649" w14:textId="77777777" w:rsidR="00B4017B" w:rsidRPr="000F6CD1" w:rsidRDefault="00B4017B" w:rsidP="00E3017E">
      <w:bookmarkStart w:id="1105" w:name="_Toc204329637"/>
      <w:bookmarkStart w:id="1106" w:name="_Toc209189067"/>
      <w:bookmarkStart w:id="1107" w:name="_Toc159226996"/>
      <w:bookmarkStart w:id="1108" w:name="_Toc184402411"/>
    </w:p>
    <w:p w14:paraId="7F699D92" w14:textId="77777777" w:rsidR="00B4017B" w:rsidRPr="000F6CD1" w:rsidRDefault="00B4017B" w:rsidP="00AD2CE5">
      <w:pPr>
        <w:pStyle w:val="H3"/>
      </w:pPr>
      <w:r w:rsidRPr="000F6CD1">
        <w:t>Framework for Governance of Indigenous Data</w:t>
      </w:r>
    </w:p>
    <w:p w14:paraId="11CEECF1" w14:textId="77777777" w:rsidR="00B4017B" w:rsidRPr="000F6CD1" w:rsidRDefault="00B4017B" w:rsidP="00E301D5">
      <w:pPr>
        <w:pStyle w:val="NumberedList"/>
        <w:spacing w:before="240" w:after="240" w:line="240" w:lineRule="auto"/>
        <w:rPr>
          <w:lang w:val="en-AU"/>
        </w:rPr>
      </w:pPr>
      <w:r w:rsidRPr="000F6CD1">
        <w:rPr>
          <w:lang w:val="en-AU"/>
        </w:rPr>
        <w:t>The Framework for Governance of Indigenous Data provides a stepping stone towards greater awareness and acceptance by Australian Government agencies of the principles of Indigenous Data Sovereignty.</w:t>
      </w:r>
    </w:p>
    <w:p w14:paraId="4A64999D" w14:textId="77777777" w:rsidR="00B4017B" w:rsidRPr="000F6CD1" w:rsidRDefault="00B4017B" w:rsidP="00E301D5">
      <w:pPr>
        <w:pStyle w:val="NumberedList"/>
        <w:spacing w:before="240" w:after="240" w:line="240" w:lineRule="auto"/>
        <w:rPr>
          <w:lang w:val="en-AU"/>
        </w:rPr>
      </w:pPr>
      <w:r w:rsidRPr="000F6CD1">
        <w:rPr>
          <w:lang w:val="en-AU"/>
        </w:rPr>
        <w:t xml:space="preserve">The Indigenous Data Sovereignty Principles are outlined by the Maiam nayri Wingara Indigenous Data Sovereignty Collective. The principles concern the right of Aboriginal and Torres Strait Islander people to exercise ownership and control over Indigenous data at all phases of the data lifecycle. Indigenous data is defined by Maiam nayri Wingara as ‘information or knowledge, in any format or medium, which is about and may affect Indigenous peoples both collectively and individually.’ </w:t>
      </w:r>
    </w:p>
    <w:p w14:paraId="1066017E" w14:textId="77777777" w:rsidR="00B4017B" w:rsidRPr="000F6CD1" w:rsidRDefault="00B4017B" w:rsidP="00E301D5">
      <w:pPr>
        <w:pStyle w:val="NumberedList"/>
        <w:spacing w:before="240" w:after="240" w:line="240" w:lineRule="auto"/>
        <w:rPr>
          <w:lang w:val="en-AU"/>
        </w:rPr>
      </w:pPr>
      <w:r w:rsidRPr="000F6CD1">
        <w:rPr>
          <w:lang w:val="en-AU"/>
        </w:rPr>
        <w:t xml:space="preserve">The framework contains the following guidelines for Australian Government agencies to change data governance practices, in alignment with the commitments made in the National Agreement on Closing the Gap: </w:t>
      </w:r>
    </w:p>
    <w:p w14:paraId="3453F001" w14:textId="77777777" w:rsidR="00B4017B" w:rsidRPr="000F6CD1" w:rsidRDefault="00B4017B">
      <w:pPr>
        <w:pStyle w:val="NumberedList"/>
        <w:numPr>
          <w:ilvl w:val="0"/>
          <w:numId w:val="367"/>
        </w:numPr>
        <w:spacing w:before="240" w:after="240" w:line="240" w:lineRule="auto"/>
        <w:rPr>
          <w:b/>
          <w:bCs/>
          <w:lang w:val="en-AU"/>
        </w:rPr>
      </w:pPr>
      <w:r w:rsidRPr="000F6CD1">
        <w:rPr>
          <w:b/>
          <w:bCs/>
          <w:lang w:val="en-AU"/>
        </w:rPr>
        <w:t xml:space="preserve">Partner with Aboriginal and Torres Strait Islander people- </w:t>
      </w:r>
      <w:r w:rsidRPr="000F6CD1">
        <w:rPr>
          <w:lang w:val="en-AU"/>
        </w:rPr>
        <w:t xml:space="preserve">establishing formal partnerships and shared decision-making with Aboriginal and Torres Strait Islander people, embedding Indigenous leadership into data governance. </w:t>
      </w:r>
    </w:p>
    <w:p w14:paraId="132B16CE" w14:textId="77777777" w:rsidR="00B4017B" w:rsidRPr="000F6CD1" w:rsidRDefault="00B4017B">
      <w:pPr>
        <w:pStyle w:val="NumberedList"/>
        <w:numPr>
          <w:ilvl w:val="0"/>
          <w:numId w:val="367"/>
        </w:numPr>
        <w:spacing w:before="240" w:after="240" w:line="240" w:lineRule="auto"/>
        <w:rPr>
          <w:b/>
          <w:bCs/>
          <w:lang w:val="en-AU"/>
        </w:rPr>
      </w:pPr>
      <w:r w:rsidRPr="000F6CD1">
        <w:rPr>
          <w:b/>
          <w:bCs/>
          <w:lang w:val="en-AU"/>
        </w:rPr>
        <w:t xml:space="preserve">Build data-related capabilities- </w:t>
      </w:r>
      <w:r w:rsidRPr="000F6CD1">
        <w:rPr>
          <w:lang w:val="en-AU"/>
        </w:rPr>
        <w:t xml:space="preserve">Supplementing of technical skills with understanding of the ways in which Indigenous data has been collected and the narratives and challenges which arise from current datasets. Supporting Aboriginal and Torres Strait Islander communities and organisations through training and up-skilling Indigenous people. </w:t>
      </w:r>
    </w:p>
    <w:p w14:paraId="77169867" w14:textId="77777777" w:rsidR="00B4017B" w:rsidRPr="000F6CD1" w:rsidRDefault="00B4017B">
      <w:pPr>
        <w:pStyle w:val="NumberedList"/>
        <w:numPr>
          <w:ilvl w:val="0"/>
          <w:numId w:val="367"/>
        </w:numPr>
        <w:spacing w:before="240" w:after="240" w:line="240" w:lineRule="auto"/>
        <w:rPr>
          <w:b/>
          <w:bCs/>
          <w:lang w:val="en-AU"/>
        </w:rPr>
      </w:pPr>
      <w:r w:rsidRPr="000F6CD1">
        <w:rPr>
          <w:b/>
          <w:bCs/>
          <w:lang w:val="en-AU"/>
        </w:rPr>
        <w:t xml:space="preserve">Provide knowledge of data assets- </w:t>
      </w:r>
      <w:r w:rsidRPr="000F6CD1">
        <w:rPr>
          <w:lang w:val="en-AU"/>
        </w:rPr>
        <w:t xml:space="preserve">Supporting Aboriginal and Torres Strait Islander people to locate and access relevant government held data by informing Indigenous people about what data is held by the government, its usage and access permissions. </w:t>
      </w:r>
    </w:p>
    <w:p w14:paraId="38E190C5" w14:textId="77777777" w:rsidR="00B4017B" w:rsidRPr="00911180" w:rsidRDefault="00B4017B">
      <w:pPr>
        <w:pStyle w:val="NumberedList"/>
        <w:numPr>
          <w:ilvl w:val="0"/>
          <w:numId w:val="367"/>
        </w:numPr>
        <w:spacing w:before="240" w:after="240" w:line="240" w:lineRule="auto"/>
        <w:rPr>
          <w:b/>
          <w:bCs/>
          <w:lang w:val="en-AU"/>
        </w:rPr>
      </w:pPr>
      <w:r w:rsidRPr="000F6CD1">
        <w:rPr>
          <w:b/>
          <w:bCs/>
          <w:lang w:val="en-AU"/>
        </w:rPr>
        <w:t xml:space="preserve">Build an inclusive data system- </w:t>
      </w:r>
      <w:r w:rsidRPr="000F6CD1">
        <w:rPr>
          <w:lang w:val="en-AU"/>
        </w:rPr>
        <w:t xml:space="preserve">The structural transformation of datasets to support the inclusion of Aboriginal and Torres Strait Islander people in data governance. </w:t>
      </w:r>
    </w:p>
    <w:tbl>
      <w:tblPr>
        <w:tblW w:w="0" w:type="auto"/>
        <w:tblLook w:val="04A0" w:firstRow="1" w:lastRow="0" w:firstColumn="1" w:lastColumn="0" w:noHBand="0" w:noVBand="1"/>
      </w:tblPr>
      <w:tblGrid>
        <w:gridCol w:w="921"/>
        <w:gridCol w:w="8105"/>
      </w:tblGrid>
      <w:tr w:rsidR="00911180" w:rsidRPr="000F6CD1" w14:paraId="6B4D311E" w14:textId="77777777">
        <w:tc>
          <w:tcPr>
            <w:tcW w:w="921" w:type="dxa"/>
          </w:tcPr>
          <w:p w14:paraId="02F62C93" w14:textId="77777777" w:rsidR="00911180" w:rsidRPr="000F6CD1" w:rsidRDefault="00911180">
            <w:pPr>
              <w:spacing w:before="240" w:after="240" w:line="240" w:lineRule="auto"/>
            </w:pPr>
            <w:r w:rsidRPr="000F6CD1">
              <w:rPr>
                <w:noProof/>
              </w:rPr>
              <w:drawing>
                <wp:inline distT="0" distB="0" distL="0" distR="0" wp14:anchorId="0B622DE8" wp14:editId="5087E73C">
                  <wp:extent cx="447675" cy="445208"/>
                  <wp:effectExtent l="0" t="0" r="0" b="0"/>
                  <wp:docPr id="1595879413" name="Picture 1595879413"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9413" name="Picture 1595879413"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inline>
              </w:drawing>
            </w:r>
          </w:p>
        </w:tc>
        <w:tc>
          <w:tcPr>
            <w:tcW w:w="8105" w:type="dxa"/>
          </w:tcPr>
          <w:p w14:paraId="3918BCA6" w14:textId="77777777" w:rsidR="00911180" w:rsidRDefault="00911180">
            <w:pPr>
              <w:spacing w:before="240" w:after="240" w:line="240" w:lineRule="auto"/>
            </w:pPr>
            <w:hyperlink r:id="rId340" w:history="1">
              <w:r>
                <w:rPr>
                  <w:rStyle w:val="Hyperlink"/>
                </w:rPr>
                <w:t>OAIC - the Privacy Act</w:t>
              </w:r>
            </w:hyperlink>
          </w:p>
          <w:p w14:paraId="0509FD75" w14:textId="77777777" w:rsidR="00911180" w:rsidRPr="000F6CD1" w:rsidRDefault="00911180">
            <w:pPr>
              <w:spacing w:before="240" w:after="240" w:line="240" w:lineRule="auto"/>
            </w:pPr>
            <w:hyperlink r:id="rId341" w:history="1">
              <w:r w:rsidRPr="000F6CD1">
                <w:rPr>
                  <w:rStyle w:val="Hyperlink"/>
                </w:rPr>
                <w:t>Framework for Governance of Indigenous Data</w:t>
              </w:r>
            </w:hyperlink>
          </w:p>
        </w:tc>
      </w:tr>
    </w:tbl>
    <w:p w14:paraId="58390909" w14:textId="093FDC39" w:rsidR="00911180" w:rsidRDefault="00911180" w:rsidP="00911180">
      <w:pPr>
        <w:pStyle w:val="NumberedList"/>
        <w:spacing w:before="240" w:after="240" w:line="240" w:lineRule="auto"/>
        <w:rPr>
          <w:b/>
          <w:bCs/>
          <w:lang w:val="en-AU"/>
        </w:rPr>
      </w:pPr>
    </w:p>
    <w:p w14:paraId="24F03C8D" w14:textId="118D78E6" w:rsidR="00911180" w:rsidRPr="00911180" w:rsidRDefault="00911180" w:rsidP="00911180">
      <w:pPr>
        <w:rPr>
          <w:b/>
          <w:bCs/>
          <w:szCs w:val="20"/>
        </w:rPr>
      </w:pPr>
      <w:r>
        <w:rPr>
          <w:b/>
          <w:bCs/>
        </w:rPr>
        <w:br w:type="page"/>
      </w:r>
    </w:p>
    <w:p w14:paraId="2757295F" w14:textId="77777777" w:rsidR="00B4017B" w:rsidRPr="000F6CD1" w:rsidRDefault="00B4017B" w:rsidP="006647CE">
      <w:pPr>
        <w:pStyle w:val="h2"/>
      </w:pPr>
      <w:bookmarkStart w:id="1109" w:name="_Toc233282520"/>
      <w:r w:rsidRPr="000F6CD1">
        <w:lastRenderedPageBreak/>
        <w:t>Clinical governance</w:t>
      </w:r>
      <w:bookmarkEnd w:id="1105"/>
      <w:bookmarkEnd w:id="1106"/>
      <w:bookmarkEnd w:id="1109"/>
    </w:p>
    <w:p w14:paraId="55DADF7A" w14:textId="77777777" w:rsidR="00B4017B" w:rsidRPr="000F6CD1" w:rsidRDefault="00B4017B" w:rsidP="00622CFF">
      <w:pPr>
        <w:spacing w:before="240" w:after="240" w:line="240" w:lineRule="auto"/>
        <w:rPr>
          <w:rFonts w:eastAsia="Calibri"/>
        </w:rPr>
      </w:pPr>
      <w:r w:rsidRPr="000F6CD1">
        <w:rPr>
          <w:rFonts w:eastAsia="Calibri"/>
        </w:rPr>
        <w:t>Assessment organisations have a responsibility to implement effective clinical governance, made operational through a clinical governance framework. A clinical governance framework is a framework that describes an organisation’s approach to clinical governance. It must include the practical, clinical supports that are in place for staff who may need to exercise clinical judgement or undertake elements of an aged care needs assessment that are clinical in nature.</w:t>
      </w:r>
    </w:p>
    <w:p w14:paraId="48BC2D7A" w14:textId="77777777" w:rsidR="00B4017B" w:rsidRPr="000F6CD1" w:rsidRDefault="00B4017B" w:rsidP="00622CFF">
      <w:pPr>
        <w:spacing w:before="240" w:after="240" w:line="240" w:lineRule="auto"/>
        <w:rPr>
          <w:rFonts w:eastAsia="Calibri"/>
        </w:rPr>
      </w:pPr>
      <w:r w:rsidRPr="000F6CD1">
        <w:rPr>
          <w:rFonts w:eastAsia="Calibri"/>
        </w:rPr>
        <w:t xml:space="preserve">Appendix C provides guidance on how to implement effective clinical governance. </w:t>
      </w:r>
    </w:p>
    <w:p w14:paraId="76297935" w14:textId="77777777" w:rsidR="00B4017B" w:rsidRPr="000F6CD1" w:rsidRDefault="00B4017B" w:rsidP="006647CE">
      <w:pPr>
        <w:pStyle w:val="h2"/>
      </w:pPr>
      <w:bookmarkStart w:id="1110" w:name="_Toc209189068"/>
      <w:bookmarkStart w:id="1111" w:name="_Toc233282521"/>
      <w:r w:rsidRPr="000F6CD1">
        <w:t xml:space="preserve">Separation of assessment services and delivery of </w:t>
      </w:r>
      <w:bookmarkEnd w:id="1107"/>
      <w:r w:rsidRPr="000F6CD1">
        <w:t>aged care services</w:t>
      </w:r>
      <w:bookmarkEnd w:id="1108"/>
      <w:bookmarkEnd w:id="1110"/>
      <w:bookmarkEnd w:id="1111"/>
    </w:p>
    <w:p w14:paraId="301BE8EE" w14:textId="6E95BB5F" w:rsidR="00B4017B" w:rsidRPr="000F6CD1" w:rsidRDefault="00B4017B" w:rsidP="00AD2CE5">
      <w:pPr>
        <w:pStyle w:val="H3"/>
      </w:pPr>
      <w:r w:rsidRPr="000F6CD1">
        <w:t>Conflict of Interest in assessment services delivery</w:t>
      </w:r>
    </w:p>
    <w:p w14:paraId="39C3C3E9" w14:textId="77777777" w:rsidR="00B4017B" w:rsidRPr="000F6CD1" w:rsidRDefault="00B4017B" w:rsidP="00D14C80">
      <w:pPr>
        <w:spacing w:after="0" w:line="240" w:lineRule="auto"/>
      </w:pPr>
      <w:r w:rsidRPr="000F6CD1">
        <w:t xml:space="preserve">Assessment organisations that deliver Commonwealth-funded aged care services must declare, and are required to outline, to the Commonwealth’s satisfaction and approval, how any perceived, potential or real conflicts of interest in the delivery of aged care assessment services will be managed and mitigated. This also applies to any related entities. </w:t>
      </w:r>
    </w:p>
    <w:p w14:paraId="263F8622" w14:textId="77777777" w:rsidR="00B4017B" w:rsidRPr="000F6CD1" w:rsidRDefault="00B4017B" w:rsidP="00D14C80">
      <w:pPr>
        <w:spacing w:after="0" w:line="240" w:lineRule="auto"/>
      </w:pPr>
    </w:p>
    <w:p w14:paraId="6E097A93" w14:textId="77777777" w:rsidR="00B4017B" w:rsidRPr="000F6CD1" w:rsidRDefault="00B4017B" w:rsidP="00D14C80">
      <w:pPr>
        <w:spacing w:after="0" w:line="240" w:lineRule="auto"/>
      </w:pPr>
      <w:r w:rsidRPr="000F6CD1">
        <w:t>It is possible that an older person may be referred to a service provider of a related entity to the assessment organisation for Commonwealth-funded services, particularly when there are no other service providers operating in the same area as the older person.</w:t>
      </w:r>
    </w:p>
    <w:p w14:paraId="7CB04A64" w14:textId="77777777" w:rsidR="00B4017B" w:rsidRPr="000F6CD1" w:rsidRDefault="00B4017B" w:rsidP="00D14C80">
      <w:pPr>
        <w:spacing w:after="0" w:line="240" w:lineRule="auto"/>
      </w:pPr>
    </w:p>
    <w:p w14:paraId="1222DB3D" w14:textId="77777777" w:rsidR="00B4017B" w:rsidRPr="000F6CD1" w:rsidRDefault="00B4017B" w:rsidP="00D14C80">
      <w:pPr>
        <w:spacing w:after="0" w:line="240" w:lineRule="auto"/>
      </w:pPr>
      <w:r w:rsidRPr="000F6CD1">
        <w:t>Strategies and mitigations that the department considers when identifying and determining acceptance of an assessment organisation’s conflict of interest includes but is not limited to:</w:t>
      </w:r>
    </w:p>
    <w:p w14:paraId="5E415ED8" w14:textId="77777777" w:rsidR="00B4017B" w:rsidRPr="000F6CD1" w:rsidRDefault="00B4017B" w:rsidP="00B4017B">
      <w:pPr>
        <w:numPr>
          <w:ilvl w:val="0"/>
          <w:numId w:val="528"/>
        </w:numPr>
        <w:spacing w:after="0" w:line="240" w:lineRule="auto"/>
      </w:pPr>
      <w:r w:rsidRPr="000F6CD1">
        <w:t>adequate separation of workforce through separate physical premises;</w:t>
      </w:r>
    </w:p>
    <w:p w14:paraId="0CE05A57" w14:textId="77777777" w:rsidR="00B4017B" w:rsidRPr="000F6CD1" w:rsidRDefault="00B4017B" w:rsidP="00B4017B">
      <w:pPr>
        <w:numPr>
          <w:ilvl w:val="0"/>
          <w:numId w:val="528"/>
        </w:numPr>
        <w:spacing w:after="0" w:line="240" w:lineRule="auto"/>
      </w:pPr>
      <w:r w:rsidRPr="000F6CD1">
        <w:t>separate team and management structure;</w:t>
      </w:r>
    </w:p>
    <w:p w14:paraId="15F6753A" w14:textId="77777777" w:rsidR="00B4017B" w:rsidRPr="000F6CD1" w:rsidRDefault="00B4017B" w:rsidP="00B4017B">
      <w:pPr>
        <w:numPr>
          <w:ilvl w:val="0"/>
          <w:numId w:val="528"/>
        </w:numPr>
        <w:spacing w:after="0" w:line="240" w:lineRule="auto"/>
      </w:pPr>
      <w:r w:rsidRPr="000F6CD1">
        <w:t>separate IT systems;</w:t>
      </w:r>
    </w:p>
    <w:p w14:paraId="2AFBFFB3" w14:textId="77777777" w:rsidR="00B4017B" w:rsidRPr="000F6CD1" w:rsidRDefault="00B4017B" w:rsidP="00B4017B">
      <w:pPr>
        <w:numPr>
          <w:ilvl w:val="0"/>
          <w:numId w:val="528"/>
        </w:numPr>
        <w:spacing w:after="0" w:line="240" w:lineRule="auto"/>
      </w:pPr>
      <w:r w:rsidRPr="000F6CD1">
        <w:t>conflict of interest policies and processes and awareness through staff training;</w:t>
      </w:r>
    </w:p>
    <w:p w14:paraId="208D3066" w14:textId="77777777" w:rsidR="00B4017B" w:rsidRPr="000F6CD1" w:rsidRDefault="00B4017B" w:rsidP="00B4017B">
      <w:pPr>
        <w:numPr>
          <w:ilvl w:val="0"/>
          <w:numId w:val="528"/>
        </w:numPr>
        <w:spacing w:after="0" w:line="240" w:lineRule="auto"/>
      </w:pPr>
      <w:r w:rsidRPr="000F6CD1">
        <w:t>employee declarations prior to and during employment;</w:t>
      </w:r>
    </w:p>
    <w:p w14:paraId="63867FA3" w14:textId="77777777" w:rsidR="00B4017B" w:rsidRPr="000F6CD1" w:rsidRDefault="00B4017B" w:rsidP="00B4017B">
      <w:pPr>
        <w:numPr>
          <w:ilvl w:val="0"/>
          <w:numId w:val="528"/>
        </w:numPr>
        <w:spacing w:after="0" w:line="240" w:lineRule="auto"/>
      </w:pPr>
      <w:r w:rsidRPr="000F6CD1">
        <w:t>internal audit programs.</w:t>
      </w:r>
    </w:p>
    <w:p w14:paraId="39DB6E1A" w14:textId="77777777" w:rsidR="00B4017B" w:rsidRPr="000F6CD1" w:rsidRDefault="00B4017B" w:rsidP="00D14C80">
      <w:pPr>
        <w:spacing w:after="0" w:line="240" w:lineRule="auto"/>
      </w:pPr>
    </w:p>
    <w:p w14:paraId="321BA5C6" w14:textId="77777777" w:rsidR="00B4017B" w:rsidRPr="000F6CD1" w:rsidRDefault="00B4017B" w:rsidP="00D14C80">
      <w:pPr>
        <w:spacing w:after="0" w:line="240" w:lineRule="auto"/>
      </w:pPr>
      <w:r w:rsidRPr="000F6CD1">
        <w:t>Assessment organisations have an obligation to report any conflict of interest to the department, and must make full disclosure of a conflict and provide the steps it proposes to take to resolve or otherwise deal with the conflict of interest to the satisfaction of the department.</w:t>
      </w:r>
    </w:p>
    <w:p w14:paraId="69B37DF6" w14:textId="77777777" w:rsidR="00B4017B" w:rsidRPr="000F6CD1" w:rsidRDefault="00B4017B" w:rsidP="00D14C80">
      <w:pPr>
        <w:spacing w:after="0" w:line="240" w:lineRule="auto"/>
      </w:pPr>
    </w:p>
    <w:p w14:paraId="25F428D3" w14:textId="77777777" w:rsidR="00B4017B" w:rsidRPr="000F6CD1" w:rsidRDefault="00B4017B" w:rsidP="00D14C80">
      <w:pPr>
        <w:spacing w:after="0" w:line="240" w:lineRule="auto"/>
      </w:pPr>
      <w:r w:rsidRPr="000F6CD1">
        <w:t>If the department is not satisfied that a conflict is being managed appropriately under the contract, the department has options including:</w:t>
      </w:r>
    </w:p>
    <w:p w14:paraId="22CEF40E" w14:textId="77777777" w:rsidR="00B4017B" w:rsidRPr="000F6CD1" w:rsidRDefault="00B4017B" w:rsidP="00B4017B">
      <w:pPr>
        <w:numPr>
          <w:ilvl w:val="0"/>
          <w:numId w:val="528"/>
        </w:numPr>
        <w:spacing w:after="0" w:line="240" w:lineRule="auto"/>
      </w:pPr>
      <w:r w:rsidRPr="000F6CD1">
        <w:t>withholding or revoking approval of an assessment organisation’s approval to provide Commonwealth-funded aged care services in the same Service Area as it is delivering assessment services</w:t>
      </w:r>
    </w:p>
    <w:p w14:paraId="787588E9" w14:textId="77777777" w:rsidR="00B4017B" w:rsidRPr="000F6CD1" w:rsidRDefault="00B4017B" w:rsidP="00B4017B">
      <w:pPr>
        <w:numPr>
          <w:ilvl w:val="0"/>
          <w:numId w:val="528"/>
        </w:numPr>
        <w:spacing w:after="0" w:line="240" w:lineRule="auto"/>
      </w:pPr>
      <w:r w:rsidRPr="000F6CD1">
        <w:t>reasonably requiring the assessment organisation to take steps to resolve or otherwise deal with the conflict of interest</w:t>
      </w:r>
    </w:p>
    <w:p w14:paraId="50124BF4" w14:textId="77777777" w:rsidR="00B4017B" w:rsidRPr="000F6CD1" w:rsidRDefault="00B4017B" w:rsidP="00B4017B">
      <w:pPr>
        <w:numPr>
          <w:ilvl w:val="0"/>
          <w:numId w:val="528"/>
        </w:numPr>
        <w:spacing w:after="0" w:line="240" w:lineRule="auto"/>
      </w:pPr>
      <w:r w:rsidRPr="000F6CD1">
        <w:t>as a last resort, termination of contract.</w:t>
      </w:r>
    </w:p>
    <w:p w14:paraId="68F8AC79" w14:textId="65E746D5" w:rsidR="00B4017B" w:rsidRPr="000F6CD1" w:rsidRDefault="00B4017B" w:rsidP="00AD2CE5">
      <w:pPr>
        <w:pStyle w:val="H3"/>
      </w:pPr>
      <w:r w:rsidRPr="000F6CD1">
        <w:lastRenderedPageBreak/>
        <w:t>Separation of assessment services and delivery of aged care services</w:t>
      </w:r>
    </w:p>
    <w:p w14:paraId="26FDA02F" w14:textId="77777777" w:rsidR="00B4017B" w:rsidRPr="000F6CD1" w:rsidRDefault="00B4017B" w:rsidP="00622CFF">
      <w:pPr>
        <w:spacing w:before="240" w:after="240" w:line="240" w:lineRule="auto"/>
      </w:pPr>
      <w:r w:rsidRPr="000F6CD1">
        <w:t xml:space="preserve">An assessment organisation delivers the assessment of older person needs independent of provider preferences, </w:t>
      </w:r>
      <w:r w:rsidRPr="000F6CD1" w:rsidDel="00471132">
        <w:t xml:space="preserve">and ensures </w:t>
      </w:r>
      <w:r w:rsidRPr="000F6CD1">
        <w:t>older people</w:t>
      </w:r>
      <w:r w:rsidRPr="000F6CD1" w:rsidDel="00471132">
        <w:t xml:space="preserve"> are referred only to the services that will fulfil their needs and goals. </w:t>
      </w:r>
    </w:p>
    <w:p w14:paraId="6AF6F913" w14:textId="77777777" w:rsidR="00B4017B" w:rsidRPr="000F6CD1" w:rsidRDefault="00B4017B" w:rsidP="00622CFF">
      <w:pPr>
        <w:spacing w:before="240" w:after="240" w:line="240" w:lineRule="auto"/>
        <w:rPr>
          <w:rFonts w:cs="Calibri"/>
        </w:rPr>
      </w:pPr>
      <w:r w:rsidRPr="000F6CD1">
        <w:rPr>
          <w:rFonts w:cs="Calibri"/>
        </w:rPr>
        <w:t xml:space="preserve">It is a requirement for assessment organisations to contractually have operational separation of assessment services from service delivery (where applicable) for all contracted assessment organisations and any relevant sub-contractors (including consortiums). </w:t>
      </w:r>
    </w:p>
    <w:p w14:paraId="1FBE2B1E" w14:textId="77777777" w:rsidR="00B4017B" w:rsidRPr="000F6CD1" w:rsidRDefault="00B4017B" w:rsidP="00622CFF">
      <w:pPr>
        <w:spacing w:before="240" w:after="240" w:line="240" w:lineRule="auto"/>
        <w:rPr>
          <w:rFonts w:cs="Calibri"/>
        </w:rPr>
      </w:pPr>
      <w:r w:rsidRPr="000F6CD1">
        <w:rPr>
          <w:rFonts w:cs="Calibri"/>
        </w:rPr>
        <w:t>Assessment organisations that deliver both assessment services and service delivery must ensure there is a clear separation of service, particularly in the facilitation and management of assessments and referrals to aged care services. Assessment organisations must have policies and procedures in place to assure the separation of assessment from service delivery</w:t>
      </w:r>
      <w:r w:rsidRPr="000F6CD1">
        <w:rPr>
          <w:rFonts w:cs="Calibri"/>
          <w:b/>
        </w:rPr>
        <w:t>.</w:t>
      </w:r>
    </w:p>
    <w:p w14:paraId="5D88CFE0" w14:textId="77777777" w:rsidR="00B4017B" w:rsidRPr="000F6CD1" w:rsidRDefault="00B4017B" w:rsidP="00622CFF">
      <w:pPr>
        <w:spacing w:before="240" w:after="240" w:line="240" w:lineRule="auto"/>
        <w:rPr>
          <w:rFonts w:cs="Calibri"/>
        </w:rPr>
      </w:pPr>
      <w:r w:rsidRPr="000F6CD1">
        <w:rPr>
          <w:rFonts w:cs="Calibri"/>
        </w:rPr>
        <w:t>Assessment organisations must seek prior approval from the Department of Health, Disability and Ageing (the department) before engaging or using assessment organisations and any relevant sub-contractors to provide aged care services.</w:t>
      </w:r>
    </w:p>
    <w:p w14:paraId="649BA422" w14:textId="77777777" w:rsidR="00B4017B" w:rsidRPr="000F6CD1" w:rsidRDefault="00B4017B" w:rsidP="006647CE">
      <w:pPr>
        <w:pStyle w:val="h2"/>
      </w:pPr>
      <w:bookmarkStart w:id="1112" w:name="_Ref127285166"/>
      <w:bookmarkStart w:id="1113" w:name="_Ref127285168"/>
      <w:bookmarkStart w:id="1114" w:name="_Toc159226997"/>
      <w:bookmarkStart w:id="1115" w:name="_Toc184402412"/>
      <w:bookmarkStart w:id="1116" w:name="_Toc204329638"/>
      <w:bookmarkStart w:id="1117" w:name="_Toc209189069"/>
      <w:bookmarkStart w:id="1118" w:name="_Toc233282522"/>
      <w:r w:rsidRPr="000F6CD1">
        <w:t>Branding</w:t>
      </w:r>
      <w:bookmarkEnd w:id="1112"/>
      <w:bookmarkEnd w:id="1113"/>
      <w:bookmarkEnd w:id="1114"/>
      <w:bookmarkEnd w:id="1115"/>
      <w:bookmarkEnd w:id="1116"/>
      <w:bookmarkEnd w:id="1117"/>
      <w:bookmarkEnd w:id="1118"/>
    </w:p>
    <w:p w14:paraId="41F48B70" w14:textId="77777777" w:rsidR="00B4017B" w:rsidRPr="000F6CD1" w:rsidRDefault="00B4017B" w:rsidP="00622CFF">
      <w:pPr>
        <w:spacing w:before="240" w:after="240" w:line="240" w:lineRule="auto"/>
      </w:pPr>
      <w:r w:rsidRPr="000F6CD1">
        <w:t>Assessment organisations that are contracted to (or in an agreement with) the Australian Government (under the oversight of the department) are required to comply with branding guidance that is included in the following style guides:</w:t>
      </w:r>
    </w:p>
    <w:p w14:paraId="5D960E6B" w14:textId="77777777" w:rsidR="00B4017B" w:rsidRPr="000F6CD1" w:rsidRDefault="00B4017B">
      <w:pPr>
        <w:numPr>
          <w:ilvl w:val="0"/>
          <w:numId w:val="415"/>
        </w:numPr>
        <w:spacing w:before="240" w:after="240" w:line="240" w:lineRule="auto"/>
      </w:pPr>
      <w:r w:rsidRPr="000F6CD1">
        <w:t>Ensure all materials produced adhere to the Australian Government Branding Guidelines.</w:t>
      </w:r>
    </w:p>
    <w:p w14:paraId="60B40AB1" w14:textId="77777777" w:rsidR="00B4017B" w:rsidRPr="000F6CD1" w:rsidRDefault="00B4017B">
      <w:pPr>
        <w:numPr>
          <w:ilvl w:val="0"/>
          <w:numId w:val="415"/>
        </w:numPr>
        <w:spacing w:before="240" w:after="240" w:line="240" w:lineRule="auto"/>
      </w:pPr>
      <w:r w:rsidRPr="000F6CD1">
        <w:t xml:space="preserve">Ensure all web-based content complies with the relevant Digital Service Standards including Requirements for Australian Government websites and comply with the Web Content Accessibility Guidelines (WCAG) version 2.2 AA for all government websites. </w:t>
      </w:r>
      <w:hyperlink r:id="rId342" w:tgtFrame="_blank" w:tooltip="http://www.w3.org/tr/wcag" w:history="1">
        <w:r w:rsidRPr="000F6CD1">
          <w:rPr>
            <w:rStyle w:val="Hyperlink"/>
          </w:rPr>
          <w:t>http://www.w3.org/TR/WCAG</w:t>
        </w:r>
      </w:hyperlink>
    </w:p>
    <w:p w14:paraId="760B10BF" w14:textId="77777777" w:rsidR="00B4017B" w:rsidRPr="000F6CD1" w:rsidRDefault="00B4017B" w:rsidP="00622CFF">
      <w:pPr>
        <w:spacing w:before="240" w:after="240" w:line="240" w:lineRule="auto"/>
      </w:pPr>
      <w:r w:rsidRPr="000F6CD1">
        <w:t xml:space="preserve">Subcontractors are required to consult with their primary contractor on branding requests. </w:t>
      </w:r>
    </w:p>
    <w:tbl>
      <w:tblPr>
        <w:tblStyle w:val="TableGrid"/>
        <w:tblW w:w="0" w:type="auto"/>
        <w:tblLook w:val="04A0" w:firstRow="1" w:lastRow="0" w:firstColumn="1" w:lastColumn="0" w:noHBand="0" w:noVBand="1"/>
      </w:tblPr>
      <w:tblGrid>
        <w:gridCol w:w="936"/>
        <w:gridCol w:w="8090"/>
      </w:tblGrid>
      <w:tr w:rsidR="00B4017B" w:rsidRPr="000F6CD1" w14:paraId="1E7800F0" w14:textId="77777777" w:rsidTr="00BB4559">
        <w:tc>
          <w:tcPr>
            <w:tcW w:w="846" w:type="dxa"/>
          </w:tcPr>
          <w:p w14:paraId="218E7789" w14:textId="77777777" w:rsidR="00B4017B" w:rsidRPr="000F6CD1" w:rsidRDefault="00B4017B" w:rsidP="00E3017E">
            <w:r w:rsidRPr="000F6CD1">
              <w:rPr>
                <w:noProof/>
              </w:rPr>
              <w:drawing>
                <wp:anchor distT="0" distB="0" distL="114300" distR="114300" simplePos="0" relativeHeight="251658332" behindDoc="0" locked="0" layoutInCell="1" allowOverlap="1" wp14:anchorId="493D3656" wp14:editId="633A0076">
                  <wp:simplePos x="0" y="0"/>
                  <wp:positionH relativeFrom="column">
                    <wp:posOffset>68580</wp:posOffset>
                  </wp:positionH>
                  <wp:positionV relativeFrom="paragraph">
                    <wp:posOffset>161925</wp:posOffset>
                  </wp:positionV>
                  <wp:extent cx="447675" cy="445135"/>
                  <wp:effectExtent l="0" t="0" r="9525" b="0"/>
                  <wp:wrapSquare wrapText="bothSides"/>
                  <wp:docPr id="2017495134" name="Picture 2017495134"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95134" name="Picture 2017495134"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135"/>
                          </a:xfrm>
                          <a:prstGeom prst="rect">
                            <a:avLst/>
                          </a:prstGeom>
                        </pic:spPr>
                      </pic:pic>
                    </a:graphicData>
                  </a:graphic>
                  <wp14:sizeRelH relativeFrom="page">
                    <wp14:pctWidth>0</wp14:pctWidth>
                  </wp14:sizeRelH>
                  <wp14:sizeRelV relativeFrom="page">
                    <wp14:pctHeight>0</wp14:pctHeight>
                  </wp14:sizeRelV>
                </wp:anchor>
              </w:drawing>
            </w:r>
          </w:p>
        </w:tc>
        <w:tc>
          <w:tcPr>
            <w:tcW w:w="8170" w:type="dxa"/>
          </w:tcPr>
          <w:p w14:paraId="718C77E4" w14:textId="77777777" w:rsidR="00B4017B" w:rsidRPr="000F6CD1" w:rsidRDefault="00B4017B">
            <w:pPr>
              <w:pStyle w:val="ListParagraph"/>
              <w:numPr>
                <w:ilvl w:val="0"/>
                <w:numId w:val="451"/>
              </w:numPr>
              <w:spacing w:before="240" w:after="240"/>
            </w:pPr>
            <w:r w:rsidRPr="000F6CD1">
              <w:rPr>
                <w:b/>
                <w:bCs/>
              </w:rPr>
              <w:t xml:space="preserve">Department of Prime Minister and Cabinet website: </w:t>
            </w:r>
            <w:hyperlink r:id="rId343" w:history="1">
              <w:r w:rsidRPr="000F6CD1">
                <w:rPr>
                  <w:rStyle w:val="Hyperlink"/>
                </w:rPr>
                <w:t>Australian Government Branding Guidelines | PM&amp;C</w:t>
              </w:r>
            </w:hyperlink>
          </w:p>
          <w:p w14:paraId="199C890E" w14:textId="77777777" w:rsidR="00BD01E2" w:rsidRDefault="00B4017B">
            <w:pPr>
              <w:pStyle w:val="ListParagraph"/>
              <w:numPr>
                <w:ilvl w:val="0"/>
                <w:numId w:val="451"/>
              </w:numPr>
              <w:spacing w:before="240" w:after="240"/>
            </w:pPr>
            <w:hyperlink r:id="rId344" w:history="1">
              <w:r w:rsidRPr="000F6CD1">
                <w:rPr>
                  <w:rStyle w:val="Hyperlink"/>
                </w:rPr>
                <w:t xml:space="preserve">Digital Service Standards </w:t>
              </w:r>
            </w:hyperlink>
          </w:p>
          <w:p w14:paraId="34E05DB7" w14:textId="0C364909" w:rsidR="00B4017B" w:rsidRPr="000F6CD1" w:rsidRDefault="00B4017B">
            <w:pPr>
              <w:pStyle w:val="ListParagraph"/>
              <w:numPr>
                <w:ilvl w:val="0"/>
                <w:numId w:val="451"/>
              </w:numPr>
              <w:spacing w:before="240" w:after="240"/>
            </w:pPr>
            <w:hyperlink r:id="rId345" w:history="1">
              <w:r w:rsidRPr="000F6CD1">
                <w:rPr>
                  <w:rStyle w:val="Hyperlink"/>
                </w:rPr>
                <w:t>Web Content Accessibility Guidelines (WCAG) 2.2</w:t>
              </w:r>
            </w:hyperlink>
          </w:p>
        </w:tc>
      </w:tr>
    </w:tbl>
    <w:p w14:paraId="7CC8A74A" w14:textId="77777777" w:rsidR="00B4017B" w:rsidRPr="000F6CD1" w:rsidRDefault="00B4017B" w:rsidP="00E3017E"/>
    <w:p w14:paraId="38C6B340" w14:textId="77777777" w:rsidR="00B4017B" w:rsidRPr="000F6CD1" w:rsidRDefault="00B4017B" w:rsidP="006647CE">
      <w:pPr>
        <w:pStyle w:val="h2"/>
      </w:pPr>
      <w:bookmarkStart w:id="1119" w:name="_Ref46401002"/>
      <w:bookmarkStart w:id="1120" w:name="_Ref48658483"/>
      <w:bookmarkStart w:id="1121" w:name="_Ref49763786"/>
      <w:bookmarkStart w:id="1122" w:name="_Toc159226998"/>
      <w:bookmarkStart w:id="1123" w:name="_Toc184402413"/>
      <w:bookmarkStart w:id="1124" w:name="_Toc204329639"/>
      <w:bookmarkStart w:id="1125" w:name="_Toc209189070"/>
      <w:bookmarkStart w:id="1126" w:name="_Toc233282523"/>
      <w:r w:rsidRPr="000F6CD1">
        <w:t>Aged care resources for older people</w:t>
      </w:r>
      <w:bookmarkEnd w:id="1119"/>
      <w:bookmarkEnd w:id="1120"/>
      <w:bookmarkEnd w:id="1121"/>
      <w:bookmarkEnd w:id="1122"/>
      <w:bookmarkEnd w:id="1123"/>
      <w:bookmarkEnd w:id="1124"/>
      <w:bookmarkEnd w:id="1125"/>
      <w:bookmarkEnd w:id="1126"/>
    </w:p>
    <w:p w14:paraId="39D77159" w14:textId="77777777" w:rsidR="00B4017B" w:rsidRPr="000F6CD1" w:rsidRDefault="00B4017B" w:rsidP="00370293">
      <w:pPr>
        <w:spacing w:before="240" w:after="240" w:line="240" w:lineRule="auto"/>
      </w:pPr>
      <w:r w:rsidRPr="000F6CD1">
        <w:rPr>
          <w:szCs w:val="22"/>
        </w:rPr>
        <w:t xml:space="preserve">Hard copies of My Aged Care resources including booklets, brochures, posters and magnets are available from National Mailing and Marketing by emailing: </w:t>
      </w:r>
      <w:hyperlink r:id="rId346" w:history="1">
        <w:r w:rsidRPr="000F6CD1">
          <w:rPr>
            <w:rStyle w:val="Hyperlink"/>
            <w:szCs w:val="22"/>
          </w:rPr>
          <w:t>health@nationalmailing.com.au</w:t>
        </w:r>
      </w:hyperlink>
      <w:r w:rsidRPr="000F6CD1">
        <w:rPr>
          <w:szCs w:val="22"/>
        </w:rPr>
        <w:t xml:space="preserve"> or calling (02) 6269 1025.</w:t>
      </w:r>
    </w:p>
    <w:p w14:paraId="67C2811B" w14:textId="77777777" w:rsidR="00911180" w:rsidRDefault="00911180">
      <w:r>
        <w:br w:type="page"/>
      </w:r>
    </w:p>
    <w:p w14:paraId="192427AB" w14:textId="77777777" w:rsidR="00B4017B" w:rsidRPr="000F6CD1" w:rsidRDefault="00B4017B" w:rsidP="00622CFF">
      <w:pPr>
        <w:spacing w:before="240" w:after="240" w:line="240" w:lineRule="auto"/>
      </w:pPr>
      <w:r w:rsidRPr="000F6CD1">
        <w:lastRenderedPageBreak/>
        <w:t xml:space="preserve">Information and resources about aged care can be found on the My Aged Care website. Recommended information and resources include:  </w:t>
      </w:r>
    </w:p>
    <w:p w14:paraId="1B1297C6" w14:textId="07A576B7" w:rsidR="00B4017B" w:rsidRPr="000F6CD1" w:rsidRDefault="00B4017B">
      <w:pPr>
        <w:pStyle w:val="ListParagraph"/>
        <w:numPr>
          <w:ilvl w:val="0"/>
          <w:numId w:val="470"/>
        </w:numPr>
        <w:spacing w:before="240" w:after="240" w:line="240" w:lineRule="auto"/>
      </w:pPr>
      <w:r w:rsidRPr="000F6CD1">
        <w:rPr>
          <w:i/>
        </w:rPr>
        <w:t>Exploring aged care</w:t>
      </w:r>
      <w:r w:rsidRPr="000F6CD1">
        <w:t xml:space="preserve"> booklet for older people, their families and carers</w:t>
      </w:r>
      <w:r w:rsidR="009908B2">
        <w:t>.</w:t>
      </w:r>
    </w:p>
    <w:p w14:paraId="335559CD" w14:textId="1FE5177F" w:rsidR="00B4017B" w:rsidRPr="000F6CD1" w:rsidRDefault="00B4017B">
      <w:pPr>
        <w:pStyle w:val="ListParagraph"/>
        <w:numPr>
          <w:ilvl w:val="0"/>
          <w:numId w:val="470"/>
        </w:numPr>
        <w:spacing w:before="240" w:after="240" w:line="240" w:lineRule="auto"/>
      </w:pPr>
      <w:r w:rsidRPr="000F6CD1">
        <w:t>Signing up to receive the EngAged, our monthly newsletter on aged care and ageing well</w:t>
      </w:r>
      <w:r w:rsidR="009908B2">
        <w:t>.</w:t>
      </w:r>
      <w:r w:rsidRPr="000F6CD1">
        <w:t xml:space="preserve"> </w:t>
      </w:r>
    </w:p>
    <w:p w14:paraId="4B98F971" w14:textId="77777777" w:rsidR="00CE7D8C" w:rsidRDefault="00CE7D8C" w:rsidP="00DB60C6">
      <w:pPr>
        <w:pStyle w:val="ListParagraph"/>
        <w:numPr>
          <w:ilvl w:val="0"/>
          <w:numId w:val="470"/>
        </w:numPr>
        <w:spacing w:before="240" w:after="240" w:line="240" w:lineRule="auto"/>
      </w:pPr>
      <w:r w:rsidRPr="00CE7D8C">
        <w:t>Learn more about the Council of Elders and stay up to date with their work.</w:t>
      </w:r>
    </w:p>
    <w:p w14:paraId="28B580B8" w14:textId="3791E1E6" w:rsidR="00B4017B" w:rsidRPr="000F6CD1" w:rsidRDefault="00B4017B" w:rsidP="00DB60C6">
      <w:pPr>
        <w:pStyle w:val="ListParagraph"/>
        <w:numPr>
          <w:ilvl w:val="0"/>
          <w:numId w:val="470"/>
        </w:numPr>
        <w:spacing w:before="240" w:after="240" w:line="240" w:lineRule="auto"/>
      </w:pPr>
      <w:r w:rsidRPr="000F6CD1">
        <w:t>Find out what the Department of Health, Disability and Ageing is doing to help people in Australia age well</w:t>
      </w:r>
      <w:r w:rsidR="008C4649">
        <w:t>.</w:t>
      </w: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87"/>
      </w:tblGrid>
      <w:tr w:rsidR="00B4017B" w:rsidRPr="000F6CD1" w14:paraId="05ED94DC" w14:textId="77777777" w:rsidTr="004608E4">
        <w:tc>
          <w:tcPr>
            <w:tcW w:w="1129" w:type="dxa"/>
            <w:tcBorders>
              <w:top w:val="nil"/>
              <w:left w:val="nil"/>
              <w:bottom w:val="nil"/>
              <w:right w:val="nil"/>
            </w:tcBorders>
          </w:tcPr>
          <w:p w14:paraId="5617E497" w14:textId="77777777" w:rsidR="00B4017B" w:rsidRPr="000F6CD1" w:rsidRDefault="00B4017B" w:rsidP="00622CFF">
            <w:pPr>
              <w:spacing w:before="240" w:after="240" w:line="240" w:lineRule="auto"/>
            </w:pPr>
            <w:r w:rsidRPr="000F6CD1">
              <w:rPr>
                <w:noProof/>
              </w:rPr>
              <w:drawing>
                <wp:anchor distT="0" distB="0" distL="114300" distR="114300" simplePos="0" relativeHeight="251658333" behindDoc="0" locked="0" layoutInCell="1" allowOverlap="1" wp14:anchorId="40932FBE" wp14:editId="637C2D45">
                  <wp:simplePos x="0" y="0"/>
                  <wp:positionH relativeFrom="column">
                    <wp:posOffset>17145</wp:posOffset>
                  </wp:positionH>
                  <wp:positionV relativeFrom="paragraph">
                    <wp:posOffset>49530</wp:posOffset>
                  </wp:positionV>
                  <wp:extent cx="415290" cy="412750"/>
                  <wp:effectExtent l="0" t="0" r="3810" b="6350"/>
                  <wp:wrapSquare wrapText="bothSides"/>
                  <wp:docPr id="1540096041" name="Picture 1540096041"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6041" name="Picture 1540096041"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5290" cy="412750"/>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Borders>
              <w:top w:val="nil"/>
              <w:left w:val="nil"/>
              <w:bottom w:val="nil"/>
              <w:right w:val="nil"/>
            </w:tcBorders>
          </w:tcPr>
          <w:p w14:paraId="6DA95536" w14:textId="77777777" w:rsidR="00B4017B" w:rsidRPr="000F6CD1" w:rsidRDefault="00B4017B" w:rsidP="00622CFF">
            <w:pPr>
              <w:spacing w:before="240" w:after="240" w:line="240" w:lineRule="auto"/>
            </w:pPr>
            <w:hyperlink r:id="rId347" w:history="1">
              <w:r w:rsidRPr="000F6CD1">
                <w:rPr>
                  <w:rStyle w:val="Hyperlink"/>
                </w:rPr>
                <w:t>Resources | My Aged Care</w:t>
              </w:r>
            </w:hyperlink>
          </w:p>
          <w:p w14:paraId="1436E916" w14:textId="77777777" w:rsidR="00B4017B" w:rsidRPr="000F6CD1" w:rsidRDefault="00B4017B" w:rsidP="008F1ACD">
            <w:pPr>
              <w:spacing w:before="240" w:after="240" w:line="240" w:lineRule="auto"/>
            </w:pPr>
            <w:hyperlink r:id="rId348" w:history="1">
              <w:r w:rsidRPr="000F6CD1">
                <w:rPr>
                  <w:rStyle w:val="Hyperlink"/>
                </w:rPr>
                <w:t>Exploring aged care booklet</w:t>
              </w:r>
            </w:hyperlink>
          </w:p>
          <w:p w14:paraId="1998BD32" w14:textId="027A163D" w:rsidR="00B4017B" w:rsidRPr="000F6CD1" w:rsidRDefault="00B4017B" w:rsidP="00E3017E">
            <w:pPr>
              <w:spacing w:before="240" w:after="240" w:line="240" w:lineRule="auto"/>
            </w:pPr>
            <w:r w:rsidRPr="000F6CD1">
              <w:t xml:space="preserve">EngAged newsletter: </w:t>
            </w:r>
            <w:hyperlink r:id="rId349" w:history="1">
              <w:r w:rsidRPr="000F6CD1">
                <w:rPr>
                  <w:rStyle w:val="Hyperlink"/>
                </w:rPr>
                <w:t>health.gov.au/aged-care-newsletter-subscribe</w:t>
              </w:r>
            </w:hyperlink>
          </w:p>
          <w:p w14:paraId="139EF697" w14:textId="38663A0A" w:rsidR="00B4017B" w:rsidRPr="000F6CD1" w:rsidRDefault="00915FAC" w:rsidP="00E3017E">
            <w:pPr>
              <w:spacing w:before="240" w:after="240" w:line="240" w:lineRule="auto"/>
            </w:pPr>
            <w:hyperlink r:id="rId350" w:history="1">
              <w:hyperlink r:id="rId351" w:history="1">
                <w:r w:rsidRPr="00915FAC">
                  <w:rPr>
                    <w:rStyle w:val="Hyperlink"/>
                  </w:rPr>
                  <w:t>Aged Care Council of Elders | Australian Government Department of Health, Disability and Ageing</w:t>
                </w:r>
              </w:hyperlink>
            </w:hyperlink>
          </w:p>
          <w:p w14:paraId="5466C703" w14:textId="77777777" w:rsidR="00B4017B" w:rsidRPr="000F6CD1" w:rsidRDefault="00B4017B" w:rsidP="00622CFF">
            <w:pPr>
              <w:spacing w:before="240" w:after="240" w:line="240" w:lineRule="auto"/>
              <w:rPr>
                <w:szCs w:val="22"/>
              </w:rPr>
            </w:pPr>
            <w:hyperlink r:id="rId352" w:history="1">
              <w:r w:rsidRPr="000F6CD1">
                <w:rPr>
                  <w:rStyle w:val="Hyperlink"/>
                </w:rPr>
                <w:t>health.gov.au/topics/positive-ageing-is-ageing-well</w:t>
              </w:r>
            </w:hyperlink>
          </w:p>
        </w:tc>
      </w:tr>
    </w:tbl>
    <w:p w14:paraId="06747C70" w14:textId="107A6E32" w:rsidR="00B4017B" w:rsidRPr="000F6CD1" w:rsidRDefault="00911180" w:rsidP="006647CE">
      <w:pPr>
        <w:pStyle w:val="h2"/>
      </w:pPr>
      <w:bookmarkStart w:id="1127" w:name="_Toc184402416"/>
      <w:bookmarkStart w:id="1128" w:name="_Toc204329640"/>
      <w:bookmarkStart w:id="1129" w:name="_Toc209189071"/>
      <w:bookmarkStart w:id="1130" w:name="_Toc233282524"/>
      <w:r>
        <w:rPr>
          <w:noProof/>
          <w14:ligatures w14:val="standardContextual"/>
        </w:rPr>
        <w:drawing>
          <wp:anchor distT="0" distB="0" distL="114300" distR="114300" simplePos="0" relativeHeight="251658334" behindDoc="0" locked="0" layoutInCell="1" allowOverlap="1" wp14:anchorId="25C66688" wp14:editId="71BDCEB8">
            <wp:simplePos x="0" y="0"/>
            <wp:positionH relativeFrom="margin">
              <wp:align>left</wp:align>
            </wp:positionH>
            <wp:positionV relativeFrom="margin">
              <wp:posOffset>3619500</wp:posOffset>
            </wp:positionV>
            <wp:extent cx="365760" cy="403860"/>
            <wp:effectExtent l="0" t="0" r="0" b="0"/>
            <wp:wrapSquare wrapText="bothSides"/>
            <wp:docPr id="779545615"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5615"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14:sizeRelH relativeFrom="margin">
              <wp14:pctWidth>0</wp14:pctWidth>
            </wp14:sizeRelH>
          </wp:anchor>
        </w:drawing>
      </w:r>
      <w:r w:rsidR="00B4017B" w:rsidRPr="000F6CD1">
        <w:t>Reporting and performance</w:t>
      </w:r>
      <w:bookmarkEnd w:id="1127"/>
      <w:bookmarkEnd w:id="1128"/>
      <w:bookmarkEnd w:id="1129"/>
      <w:bookmarkEnd w:id="1130"/>
    </w:p>
    <w:p w14:paraId="3DD69739" w14:textId="77777777" w:rsidR="00B4017B" w:rsidRPr="000F6CD1" w:rsidRDefault="00B4017B" w:rsidP="00622CFF">
      <w:pPr>
        <w:spacing w:before="240" w:after="240" w:line="240" w:lineRule="auto"/>
      </w:pPr>
      <w:r w:rsidRPr="000F6CD1">
        <w:t xml:space="preserve">Assessment organisations are expected to meet measures on timeliness and performance according to their contractual agreements with the Australian Government. </w:t>
      </w:r>
    </w:p>
    <w:p w14:paraId="6C744AEF" w14:textId="4CA45F2B" w:rsidR="00B4017B" w:rsidRPr="000F6CD1" w:rsidRDefault="00B4017B" w:rsidP="00622CFF">
      <w:pPr>
        <w:spacing w:before="240" w:after="240" w:line="240" w:lineRule="auto"/>
      </w:pPr>
      <w:r w:rsidRPr="000F6CD1">
        <w:t xml:space="preserve">The department makes available various business intelligence (BI) and management reports which support assessment organisations in monitoring and managing their performance against agreed KPIs and other measures. These reports </w:t>
      </w:r>
      <w:r w:rsidR="00A86DC4">
        <w:t>are</w:t>
      </w:r>
      <w:r w:rsidRPr="000F6CD1">
        <w:t xml:space="preserve"> progressively becom</w:t>
      </w:r>
      <w:r w:rsidR="00A86DC4">
        <w:t>ing</w:t>
      </w:r>
      <w:r w:rsidRPr="000F6CD1">
        <w:t xml:space="preserve"> available during the establishment of the Single Assessment System workforce. Assessment Organisations can access Qlik reports on the Health Data Portal, reports currently available include: </w:t>
      </w:r>
    </w:p>
    <w:p w14:paraId="446B9BE0" w14:textId="77777777" w:rsidR="00B4017B" w:rsidRPr="000F6CD1" w:rsidRDefault="00B4017B">
      <w:pPr>
        <w:pStyle w:val="ListParagraph"/>
        <w:numPr>
          <w:ilvl w:val="0"/>
          <w:numId w:val="368"/>
        </w:numPr>
        <w:spacing w:before="240" w:after="240" w:line="240" w:lineRule="auto"/>
      </w:pPr>
      <w:r w:rsidRPr="000F6CD1">
        <w:t>SAW001: Referral and Assessment Volumes</w:t>
      </w:r>
    </w:p>
    <w:p w14:paraId="6F47AD53" w14:textId="77777777" w:rsidR="00B4017B" w:rsidRPr="000F6CD1" w:rsidRDefault="00B4017B">
      <w:pPr>
        <w:pStyle w:val="ListParagraph"/>
        <w:numPr>
          <w:ilvl w:val="0"/>
          <w:numId w:val="368"/>
        </w:numPr>
        <w:spacing w:before="240" w:after="240" w:line="240" w:lineRule="auto"/>
      </w:pPr>
      <w:r w:rsidRPr="000F6CD1">
        <w:t xml:space="preserve">SAW 002: Timeliness </w:t>
      </w:r>
    </w:p>
    <w:p w14:paraId="2BD137E6" w14:textId="77777777" w:rsidR="00B4017B" w:rsidRPr="000F6CD1" w:rsidRDefault="00B4017B">
      <w:pPr>
        <w:pStyle w:val="ListParagraph"/>
        <w:numPr>
          <w:ilvl w:val="0"/>
          <w:numId w:val="368"/>
        </w:numPr>
        <w:spacing w:before="240" w:after="240" w:line="240" w:lineRule="auto"/>
      </w:pPr>
      <w:r w:rsidRPr="000F6CD1">
        <w:t xml:space="preserve">SAW003: Outstanding Assessments </w:t>
      </w:r>
    </w:p>
    <w:p w14:paraId="145A3804" w14:textId="58D57D1B" w:rsidR="00B4017B" w:rsidRPr="000F6CD1" w:rsidRDefault="00B4017B">
      <w:pPr>
        <w:pStyle w:val="ListParagraph"/>
        <w:numPr>
          <w:ilvl w:val="0"/>
          <w:numId w:val="368"/>
        </w:numPr>
        <w:spacing w:before="240" w:after="240" w:line="240" w:lineRule="auto"/>
      </w:pPr>
      <w:r w:rsidRPr="000F6CD1">
        <w:t>SAW005: Organisation Performance</w:t>
      </w:r>
    </w:p>
    <w:p w14:paraId="6423B38A" w14:textId="77777777" w:rsidR="00B4017B" w:rsidRPr="000F6CD1" w:rsidRDefault="00B4017B">
      <w:pPr>
        <w:pStyle w:val="ListParagraph"/>
        <w:numPr>
          <w:ilvl w:val="0"/>
          <w:numId w:val="368"/>
        </w:numPr>
        <w:spacing w:before="240" w:after="240" w:line="240" w:lineRule="auto"/>
      </w:pPr>
      <w:r w:rsidRPr="000F6CD1">
        <w:t>SAW006: Recommended Services</w:t>
      </w:r>
    </w:p>
    <w:p w14:paraId="48AB96EA" w14:textId="77777777" w:rsidR="00B4017B" w:rsidRPr="000F6CD1" w:rsidRDefault="00B4017B">
      <w:pPr>
        <w:pStyle w:val="ListParagraph"/>
        <w:numPr>
          <w:ilvl w:val="0"/>
          <w:numId w:val="368"/>
        </w:numPr>
        <w:spacing w:before="240" w:after="240" w:line="240" w:lineRule="auto"/>
      </w:pPr>
      <w:r w:rsidRPr="000F6CD1">
        <w:t>SAW007: Service Referrals</w:t>
      </w:r>
    </w:p>
    <w:p w14:paraId="79C96A6B" w14:textId="77777777" w:rsidR="00B4017B" w:rsidRPr="000F6CD1" w:rsidRDefault="00B4017B">
      <w:pPr>
        <w:pStyle w:val="ListParagraph"/>
        <w:numPr>
          <w:ilvl w:val="0"/>
          <w:numId w:val="368"/>
        </w:numPr>
        <w:spacing w:before="240" w:after="240" w:line="240" w:lineRule="auto"/>
      </w:pPr>
      <w:r w:rsidRPr="000F6CD1">
        <w:t xml:space="preserve">SAW008: Home Care Package Approvals </w:t>
      </w:r>
    </w:p>
    <w:p w14:paraId="3F047BCA" w14:textId="252B6F02" w:rsidR="00B4017B" w:rsidRPr="000F6CD1" w:rsidRDefault="00B4017B">
      <w:pPr>
        <w:pStyle w:val="ListParagraph"/>
        <w:numPr>
          <w:ilvl w:val="0"/>
          <w:numId w:val="368"/>
        </w:numPr>
        <w:spacing w:before="240" w:after="240" w:line="240" w:lineRule="auto"/>
      </w:pPr>
      <w:r w:rsidRPr="000F6CD1">
        <w:t>SAW 009: Referral Data Breakdown</w:t>
      </w:r>
    </w:p>
    <w:p w14:paraId="2A0DC409" w14:textId="4049C814" w:rsidR="00B4017B" w:rsidRPr="000F6CD1" w:rsidRDefault="00B4017B">
      <w:pPr>
        <w:pStyle w:val="ListParagraph"/>
        <w:numPr>
          <w:ilvl w:val="0"/>
          <w:numId w:val="368"/>
        </w:numPr>
        <w:spacing w:before="240" w:after="240" w:line="240" w:lineRule="auto"/>
      </w:pPr>
      <w:r w:rsidRPr="000F6CD1">
        <w:t xml:space="preserve">SAW010: Assessment Data Breakdown </w:t>
      </w:r>
    </w:p>
    <w:p w14:paraId="6D2643F7" w14:textId="6B7BF37C" w:rsidR="00B4017B" w:rsidRPr="000F6CD1" w:rsidRDefault="00B4017B">
      <w:pPr>
        <w:pStyle w:val="ListParagraph"/>
        <w:numPr>
          <w:ilvl w:val="0"/>
          <w:numId w:val="368"/>
        </w:numPr>
        <w:spacing w:before="240" w:after="240" w:line="240" w:lineRule="auto"/>
      </w:pPr>
      <w:r w:rsidRPr="000F6CD1">
        <w:t>SAW011: Support Plan Reviews</w:t>
      </w:r>
    </w:p>
    <w:p w14:paraId="700A4B7F" w14:textId="77777777" w:rsidR="00B4017B" w:rsidRPr="000F6CD1" w:rsidRDefault="00B4017B">
      <w:pPr>
        <w:pStyle w:val="ListParagraph"/>
        <w:numPr>
          <w:ilvl w:val="0"/>
          <w:numId w:val="368"/>
        </w:numPr>
        <w:spacing w:before="240" w:after="240" w:line="240" w:lineRule="auto"/>
      </w:pPr>
      <w:r w:rsidRPr="000F6CD1">
        <w:t>SAW012: Assessment Overview</w:t>
      </w:r>
    </w:p>
    <w:p w14:paraId="55FF2F36" w14:textId="77777777" w:rsidR="00B4017B" w:rsidRPr="000F6CD1" w:rsidRDefault="00B4017B">
      <w:pPr>
        <w:pStyle w:val="ListParagraph"/>
        <w:numPr>
          <w:ilvl w:val="0"/>
          <w:numId w:val="368"/>
        </w:numPr>
        <w:spacing w:before="240" w:after="240" w:line="240" w:lineRule="auto"/>
      </w:pPr>
      <w:r w:rsidRPr="000F6CD1">
        <w:t>SAW013: Aged Care Workforce Information</w:t>
      </w:r>
    </w:p>
    <w:p w14:paraId="39C30FFF" w14:textId="7ED1D44B" w:rsidR="00B4017B" w:rsidRPr="000F6CD1" w:rsidRDefault="00B4017B">
      <w:pPr>
        <w:pStyle w:val="ListParagraph"/>
        <w:numPr>
          <w:ilvl w:val="0"/>
          <w:numId w:val="368"/>
        </w:numPr>
        <w:spacing w:before="240" w:after="240" w:line="240" w:lineRule="auto"/>
      </w:pPr>
      <w:r w:rsidRPr="000F6CD1">
        <w:t>SAW014: Linking Support</w:t>
      </w:r>
    </w:p>
    <w:p w14:paraId="0B497A43" w14:textId="77777777" w:rsidR="00B4017B" w:rsidRPr="000F6CD1" w:rsidRDefault="00B4017B">
      <w:pPr>
        <w:pStyle w:val="ListParagraph"/>
        <w:numPr>
          <w:ilvl w:val="0"/>
          <w:numId w:val="368"/>
        </w:numPr>
        <w:spacing w:before="240" w:after="240" w:line="240" w:lineRule="auto"/>
      </w:pPr>
      <w:r w:rsidRPr="000F6CD1">
        <w:t>SAW015: Reablement</w:t>
      </w:r>
    </w:p>
    <w:p w14:paraId="209ED378" w14:textId="77777777" w:rsidR="00EB2F67" w:rsidRDefault="00B4017B" w:rsidP="00622CFF">
      <w:pPr>
        <w:spacing w:before="240" w:after="240" w:line="240" w:lineRule="auto"/>
      </w:pPr>
      <w:r w:rsidRPr="000F6CD1">
        <w:t xml:space="preserve">As further reports become available, they will be communicated to Assessment Organisations and listed above. </w:t>
      </w:r>
      <w:r w:rsidRPr="00303B86">
        <w:rPr>
          <w:rFonts w:eastAsia="Arial"/>
          <w:szCs w:val="22"/>
        </w:rPr>
        <w:t>The department also publishes a monthly report of organisations’ performance by mid-month following the end of the reporting period.</w:t>
      </w:r>
      <w:r w:rsidRPr="000F6CD1">
        <w:t xml:space="preserve"> </w:t>
      </w:r>
    </w:p>
    <w:p w14:paraId="5AC4FF67" w14:textId="0DEDB16F" w:rsidR="00B4017B" w:rsidRDefault="00EB2F67" w:rsidP="00622CFF">
      <w:pPr>
        <w:spacing w:before="240" w:after="240" w:line="240" w:lineRule="auto"/>
      </w:pPr>
      <w:r>
        <w:rPr>
          <w:noProof/>
          <w14:ligatures w14:val="standardContextual"/>
        </w:rPr>
        <w:lastRenderedPageBreak/>
        <w:drawing>
          <wp:anchor distT="0" distB="0" distL="114300" distR="114300" simplePos="0" relativeHeight="251658335" behindDoc="0" locked="0" layoutInCell="1" allowOverlap="1" wp14:anchorId="40139425" wp14:editId="18E71085">
            <wp:simplePos x="0" y="0"/>
            <wp:positionH relativeFrom="margin">
              <wp:posOffset>-66675</wp:posOffset>
            </wp:positionH>
            <wp:positionV relativeFrom="margin">
              <wp:posOffset>571500</wp:posOffset>
            </wp:positionV>
            <wp:extent cx="365792" cy="403895"/>
            <wp:effectExtent l="0" t="0" r="0" b="0"/>
            <wp:wrapSquare wrapText="bothSides"/>
            <wp:docPr id="364867525"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67525"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 xml:space="preserve">For queries regarding the Single Assessment System Qlik reports, support documentation or assistance with access to the Health Data Portal, please contact  </w:t>
      </w:r>
      <w:hyperlink r:id="rId353">
        <w:r w:rsidR="00B4017B" w:rsidRPr="000F6CD1">
          <w:rPr>
            <w:rStyle w:val="Hyperlink"/>
          </w:rPr>
          <w:t>AgedCare.Assessment.Reporting@health.gov.au</w:t>
        </w:r>
      </w:hyperlink>
    </w:p>
    <w:p w14:paraId="19D21058" w14:textId="640E26A7" w:rsidR="00813FBB" w:rsidRDefault="00AD1E1E" w:rsidP="00813FBB">
      <w:pPr>
        <w:pStyle w:val="h2"/>
      </w:pPr>
      <w:bookmarkStart w:id="1131" w:name="_Toc233282525"/>
      <w:r>
        <w:t>Assessor ID Cards</w:t>
      </w:r>
      <w:bookmarkEnd w:id="1131"/>
      <w:r>
        <w:t xml:space="preserve"> </w:t>
      </w:r>
    </w:p>
    <w:p w14:paraId="436FE362" w14:textId="48D786CC" w:rsidR="00F209AD" w:rsidRDefault="00F209AD" w:rsidP="00F209AD">
      <w:pPr>
        <w:rPr>
          <w:rFonts w:ascii="Aptos" w:eastAsiaTheme="minorHAnsi" w:hAnsi="Aptos" w:cs="Aptos"/>
          <w:sz w:val="24"/>
        </w:rPr>
      </w:pPr>
      <w:r>
        <w:t xml:space="preserve">The Aged Care Rules 2025 and the Aged Care Act 2024 (Act) require the department to provide identity cards to approved needs </w:t>
      </w:r>
      <w:r w:rsidR="00EB2F67">
        <w:t>assessors and</w:t>
      </w:r>
      <w:r>
        <w:t xml:space="preserve"> set out requirements for the content of such. Section 343A-5 of Chapter 11 Part 2 of the Rules outlines the requirements of an approved needs assessor identity card, including how the identity card must satisfy the requirements of the Act prescribed by this section (this applies to both aged care needs assessors and residential aged care funding assessors). The requirements include the organisation name, full name of the assessor, the organisation’s logo, the Commonwealth Coat of Arms, an expiry date, a serial number, the size of the card, and specific phrasing to confirm the assessor is approved and able to conduct assessors. It is a requirement for all aged care needs assessors to carry and produce their identity cards if requested.</w:t>
      </w:r>
    </w:p>
    <w:p w14:paraId="3959C0B5" w14:textId="382E4636" w:rsidR="00AD1E1E" w:rsidRPr="000F6CD1" w:rsidRDefault="00AD1E1E" w:rsidP="00AD1E1E"/>
    <w:p w14:paraId="5286F5EC" w14:textId="5C2DEEB7" w:rsidR="00B4017B" w:rsidRPr="000F6CD1" w:rsidRDefault="00B4017B">
      <w:pPr>
        <w:rPr>
          <w:b/>
          <w:color w:val="002060"/>
          <w:sz w:val="44"/>
          <w:szCs w:val="36"/>
        </w:rPr>
      </w:pPr>
      <w:bookmarkStart w:id="1132" w:name="_Toc209189072"/>
      <w:r w:rsidRPr="000F6CD1">
        <w:br w:type="page"/>
      </w:r>
    </w:p>
    <w:p w14:paraId="1E9540F8" w14:textId="4E0497E0" w:rsidR="00B4017B" w:rsidRPr="000F6CD1" w:rsidRDefault="00B4017B" w:rsidP="00AC3600">
      <w:pPr>
        <w:pStyle w:val="H1"/>
      </w:pPr>
      <w:bookmarkStart w:id="1133" w:name="_Toc233282526"/>
      <w:r w:rsidRPr="000F6CD1">
        <w:lastRenderedPageBreak/>
        <w:t>Chapter 14 – Fees and payments</w:t>
      </w:r>
      <w:bookmarkEnd w:id="1132"/>
      <w:bookmarkEnd w:id="1133"/>
      <w:r w:rsidRPr="000F6CD1">
        <w:t xml:space="preserve"> </w:t>
      </w:r>
    </w:p>
    <w:tbl>
      <w:tblPr>
        <w:tblStyle w:val="TableGrid"/>
        <w:tblW w:w="0" w:type="auto"/>
        <w:tblInd w:w="-5" w:type="dxa"/>
        <w:shd w:val="clear" w:color="auto" w:fill="E7E6E6" w:themeFill="background2"/>
        <w:tblLook w:val="04A0" w:firstRow="1" w:lastRow="0" w:firstColumn="1" w:lastColumn="0" w:noHBand="0" w:noVBand="1"/>
      </w:tblPr>
      <w:tblGrid>
        <w:gridCol w:w="9021"/>
      </w:tblGrid>
      <w:tr w:rsidR="00B4017B" w:rsidRPr="000F6CD1" w14:paraId="47D2EFC5" w14:textId="77777777" w:rsidTr="00140E53">
        <w:tc>
          <w:tcPr>
            <w:tcW w:w="9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A2297" w14:textId="77777777" w:rsidR="00B4017B" w:rsidRPr="000F6CD1" w:rsidRDefault="00B4017B" w:rsidP="00E3017E">
            <w:bookmarkStart w:id="1134" w:name="_Toc209189073"/>
            <w:r w:rsidRPr="000F6CD1">
              <w:rPr>
                <w:b/>
                <w:color w:val="358189"/>
                <w:sz w:val="36"/>
                <w:szCs w:val="36"/>
              </w:rPr>
              <w:t xml:space="preserve"> What you’ll find in this chapter:</w:t>
            </w:r>
            <w:bookmarkEnd w:id="1134"/>
          </w:p>
          <w:p w14:paraId="573DD30C" w14:textId="77777777" w:rsidR="00B4017B" w:rsidRPr="000F6CD1" w:rsidRDefault="00B4017B" w:rsidP="00622CFF">
            <w:pPr>
              <w:spacing w:before="240" w:after="240"/>
              <w:ind w:left="-112"/>
              <w:rPr>
                <w:szCs w:val="22"/>
              </w:rPr>
            </w:pPr>
            <w:r w:rsidRPr="000F6CD1">
              <w:rPr>
                <w:szCs w:val="22"/>
              </w:rPr>
              <w:t xml:space="preserve"> This chapter provides guidance on:</w:t>
            </w:r>
          </w:p>
          <w:p w14:paraId="79D6452E" w14:textId="77777777" w:rsidR="00B4017B" w:rsidRPr="000F6CD1" w:rsidRDefault="00B4017B">
            <w:pPr>
              <w:pStyle w:val="ListParagraph"/>
              <w:numPr>
                <w:ilvl w:val="0"/>
                <w:numId w:val="410"/>
              </w:numPr>
              <w:spacing w:before="240" w:after="240"/>
              <w:rPr>
                <w:szCs w:val="22"/>
              </w:rPr>
            </w:pPr>
            <w:r w:rsidRPr="000F6CD1">
              <w:rPr>
                <w:szCs w:val="22"/>
              </w:rPr>
              <w:t xml:space="preserve">fees, </w:t>
            </w:r>
          </w:p>
          <w:p w14:paraId="2C28DD0A" w14:textId="77777777" w:rsidR="00B4017B" w:rsidRPr="000F6CD1" w:rsidRDefault="00B4017B">
            <w:pPr>
              <w:pStyle w:val="ListParagraph"/>
              <w:numPr>
                <w:ilvl w:val="0"/>
                <w:numId w:val="410"/>
              </w:numPr>
              <w:spacing w:before="240" w:after="240"/>
              <w:rPr>
                <w:szCs w:val="22"/>
              </w:rPr>
            </w:pPr>
            <w:r w:rsidRPr="000F6CD1">
              <w:rPr>
                <w:szCs w:val="22"/>
              </w:rPr>
              <w:t xml:space="preserve">payments, and </w:t>
            </w:r>
          </w:p>
          <w:p w14:paraId="36B48EB1" w14:textId="77777777" w:rsidR="00B4017B" w:rsidRPr="000F6CD1" w:rsidRDefault="00B4017B">
            <w:pPr>
              <w:pStyle w:val="ListParagraph"/>
              <w:numPr>
                <w:ilvl w:val="0"/>
                <w:numId w:val="410"/>
              </w:numPr>
              <w:spacing w:before="240" w:after="240"/>
            </w:pPr>
            <w:r w:rsidRPr="000F6CD1">
              <w:rPr>
                <w:szCs w:val="22"/>
              </w:rPr>
              <w:t xml:space="preserve">participant contributions for funded aged care services. </w:t>
            </w:r>
          </w:p>
        </w:tc>
      </w:tr>
    </w:tbl>
    <w:p w14:paraId="02453FBF" w14:textId="0E046A8C" w:rsidR="00B4017B" w:rsidRPr="000F6CD1" w:rsidRDefault="00B4017B" w:rsidP="00622CFF">
      <w:pPr>
        <w:spacing w:before="240" w:after="240" w:line="240" w:lineRule="auto"/>
      </w:pPr>
    </w:p>
    <w:p w14:paraId="35AB3A6F" w14:textId="5F3B96C9" w:rsidR="00B4017B" w:rsidRPr="000F6CD1" w:rsidRDefault="00B4017B" w:rsidP="006647CE">
      <w:pPr>
        <w:pStyle w:val="h2"/>
      </w:pPr>
      <w:bookmarkStart w:id="1135" w:name="_Toc209189074"/>
      <w:bookmarkStart w:id="1136" w:name="_Toc233282527"/>
      <w:r w:rsidRPr="000F6CD1">
        <w:t>An assessor’s role in advising clients about fees and payments</w:t>
      </w:r>
      <w:bookmarkEnd w:id="1135"/>
      <w:bookmarkEnd w:id="1136"/>
      <w:r w:rsidRPr="000F6CD1">
        <w:t xml:space="preserve"> </w:t>
      </w:r>
    </w:p>
    <w:p w14:paraId="04ED8913" w14:textId="621F19CB" w:rsidR="00B4017B" w:rsidRPr="000F6CD1" w:rsidRDefault="00B4017B" w:rsidP="00622CFF">
      <w:pPr>
        <w:spacing w:before="240" w:after="240" w:line="240" w:lineRule="auto"/>
        <w:rPr>
          <w:szCs w:val="22"/>
        </w:rPr>
      </w:pPr>
      <w:r w:rsidRPr="000F6CD1">
        <w:rPr>
          <w:szCs w:val="22"/>
        </w:rPr>
        <w:t xml:space="preserve">It is important that older people understand the potential costs of care early in their interaction with the aged care system. </w:t>
      </w:r>
    </w:p>
    <w:p w14:paraId="27B052BB" w14:textId="29113570" w:rsidR="00B4017B" w:rsidRPr="000F6CD1" w:rsidRDefault="00B4017B" w:rsidP="00622CFF">
      <w:pPr>
        <w:spacing w:before="240" w:after="240" w:line="240" w:lineRule="auto"/>
        <w:rPr>
          <w:szCs w:val="22"/>
        </w:rPr>
      </w:pPr>
      <w:r w:rsidRPr="000F6CD1">
        <w:rPr>
          <w:szCs w:val="22"/>
        </w:rPr>
        <w:t xml:space="preserve">Assessors are not responsible for providing detailed financial information about the fees or charges that an older person may be charged to access aged care services, but they do have a role in advising older people about where they can access the </w:t>
      </w:r>
      <w:r w:rsidR="0014091C" w:rsidRPr="000F6CD1">
        <w:rPr>
          <w:szCs w:val="22"/>
        </w:rPr>
        <w:t>information,</w:t>
      </w:r>
      <w:r w:rsidRPr="000F6CD1">
        <w:rPr>
          <w:szCs w:val="22"/>
        </w:rPr>
        <w:t xml:space="preserve"> they need and what the process may entail. They should be able to assist clients to access appropriate support should an older person be experiencing financial disadvantage (see section </w:t>
      </w:r>
      <w:r w:rsidRPr="000F6CD1">
        <w:rPr>
          <w:szCs w:val="22"/>
        </w:rPr>
        <w:fldChar w:fldCharType="begin"/>
      </w:r>
      <w:r w:rsidRPr="000F6CD1">
        <w:rPr>
          <w:szCs w:val="22"/>
        </w:rPr>
        <w:instrText xml:space="preserve"> REF _Ref133403760 \n \h </w:instrText>
      </w:r>
      <w:r w:rsidRPr="000F6CD1">
        <w:rPr>
          <w:szCs w:val="22"/>
        </w:rPr>
      </w:r>
      <w:r w:rsidRPr="000F6CD1">
        <w:rPr>
          <w:szCs w:val="22"/>
        </w:rPr>
        <w:fldChar w:fldCharType="separate"/>
      </w:r>
      <w:r w:rsidR="004B171E">
        <w:rPr>
          <w:szCs w:val="22"/>
        </w:rPr>
        <w:t>14.2.4</w:t>
      </w:r>
      <w:r w:rsidRPr="000F6CD1">
        <w:rPr>
          <w:szCs w:val="22"/>
        </w:rPr>
        <w:fldChar w:fldCharType="end"/>
      </w:r>
      <w:r w:rsidRPr="000F6CD1">
        <w:rPr>
          <w:szCs w:val="22"/>
        </w:rPr>
        <w:t xml:space="preserve"> Financial Hardship). </w:t>
      </w:r>
    </w:p>
    <w:p w14:paraId="32628595" w14:textId="48F94EB4" w:rsidR="00B4017B" w:rsidRPr="000F6CD1" w:rsidRDefault="00B4017B" w:rsidP="00622CFF">
      <w:pPr>
        <w:spacing w:before="240" w:after="240" w:line="240" w:lineRule="auto"/>
        <w:rPr>
          <w:szCs w:val="22"/>
        </w:rPr>
      </w:pPr>
      <w:r w:rsidRPr="000F6CD1">
        <w:rPr>
          <w:szCs w:val="22"/>
        </w:rPr>
        <w:t xml:space="preserve">Ideally, clients should be referred to the My Aged Care website and the contact centre for information regarding care costs and fees prior to the face-to-face assessment. This gives the client time to consider the information prior to the assessment. </w:t>
      </w:r>
    </w:p>
    <w:p w14:paraId="08AB8112" w14:textId="7AFE34EB" w:rsidR="00B4017B" w:rsidRPr="000F6CD1" w:rsidRDefault="00B4017B" w:rsidP="00806A21">
      <w:pPr>
        <w:pStyle w:val="Sub-headings"/>
      </w:pPr>
      <w:r w:rsidRPr="000F6CD1">
        <w:t>Note:</w:t>
      </w:r>
    </w:p>
    <w:p w14:paraId="36833E25" w14:textId="3256F4C1" w:rsidR="00B4017B" w:rsidRPr="000F6CD1" w:rsidRDefault="00B4017B" w:rsidP="00806A21">
      <w:pPr>
        <w:pStyle w:val="Sub-headings"/>
      </w:pPr>
      <w:r w:rsidRPr="000F6CD1">
        <w:t xml:space="preserve">After the assessment, rather than the assessor handing out Services Australia hard copy forms to the client (which may lead the client to complete a form unnecessarily), assessors can leave booklets specific to their service recommendations which contain necessary fee information for that program or type of care. </w:t>
      </w:r>
    </w:p>
    <w:p w14:paraId="63F3EA87" w14:textId="5475932D" w:rsidR="00B4017B" w:rsidRPr="000F6CD1" w:rsidRDefault="00B4017B" w:rsidP="00806A21">
      <w:pPr>
        <w:pStyle w:val="Sub-headings"/>
      </w:pPr>
      <w:r w:rsidRPr="000F6CD1">
        <w:t xml:space="preserve">Assessors may wish to point out the section of the booklet which provides information about fees, who to contact about whether they need to complete a form and how to access the forms if required (see Chapter </w:t>
      </w:r>
      <w:r w:rsidRPr="000F6CD1">
        <w:fldChar w:fldCharType="begin"/>
      </w:r>
      <w:r w:rsidRPr="000F6CD1">
        <w:instrText xml:space="preserve"> REF _Ref212736536 \w \h  \* MERGEFORMAT </w:instrText>
      </w:r>
      <w:r w:rsidRPr="000F6CD1">
        <w:fldChar w:fldCharType="separate"/>
      </w:r>
      <w:r w:rsidR="004B171E">
        <w:t>13</w:t>
      </w:r>
      <w:r w:rsidRPr="000F6CD1">
        <w:fldChar w:fldCharType="end"/>
      </w:r>
      <w:r w:rsidRPr="000F6CD1">
        <w:t>).</w:t>
      </w:r>
    </w:p>
    <w:p w14:paraId="1F793C20" w14:textId="7F8D3045" w:rsidR="00B4017B" w:rsidRPr="000F6CD1" w:rsidRDefault="00B4017B" w:rsidP="0081503A"/>
    <w:p w14:paraId="09044D81" w14:textId="5993BC49" w:rsidR="00B4017B" w:rsidRPr="000F6CD1" w:rsidRDefault="00144C42" w:rsidP="006647CE">
      <w:pPr>
        <w:pStyle w:val="h2"/>
      </w:pPr>
      <w:bookmarkStart w:id="1137" w:name="_Toc159226977"/>
      <w:bookmarkStart w:id="1138" w:name="_Toc201143486"/>
      <w:bookmarkStart w:id="1139" w:name="_Toc209189075"/>
      <w:bookmarkStart w:id="1140" w:name="_Toc233282528"/>
      <w:r>
        <w:rPr>
          <w:noProof/>
        </w:rPr>
        <w:lastRenderedPageBreak/>
        <w:drawing>
          <wp:anchor distT="0" distB="0" distL="114300" distR="114300" simplePos="0" relativeHeight="251658336" behindDoc="0" locked="0" layoutInCell="1" allowOverlap="1" wp14:anchorId="55AF66E5" wp14:editId="69BE7FFE">
            <wp:simplePos x="0" y="0"/>
            <wp:positionH relativeFrom="margin">
              <wp:posOffset>-79723</wp:posOffset>
            </wp:positionH>
            <wp:positionV relativeFrom="margin">
              <wp:posOffset>465889</wp:posOffset>
            </wp:positionV>
            <wp:extent cx="365792" cy="403895"/>
            <wp:effectExtent l="0" t="0" r="0" b="0"/>
            <wp:wrapSquare wrapText="bothSides"/>
            <wp:docPr id="2082748776"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48776"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Aged care program fees</w:t>
      </w:r>
      <w:bookmarkEnd w:id="1137"/>
      <w:bookmarkEnd w:id="1138"/>
      <w:bookmarkEnd w:id="1139"/>
      <w:bookmarkEnd w:id="1140"/>
    </w:p>
    <w:p w14:paraId="051DF1FC" w14:textId="4E06763B" w:rsidR="00B4017B" w:rsidRPr="000F6CD1" w:rsidRDefault="00B4017B" w:rsidP="00AD2CE5">
      <w:pPr>
        <w:pStyle w:val="H3"/>
      </w:pPr>
      <w:bookmarkStart w:id="1141" w:name="_Toc159226978"/>
      <w:bookmarkStart w:id="1142" w:name="_Toc201143487"/>
      <w:r w:rsidRPr="000F6CD1">
        <w:t>Fees for Commonwealth Home Support P</w:t>
      </w:r>
      <w:bookmarkEnd w:id="1141"/>
      <w:bookmarkEnd w:id="1142"/>
      <w:r w:rsidRPr="000F6CD1">
        <w:t>rogram (CHSP)</w:t>
      </w:r>
    </w:p>
    <w:p w14:paraId="68D8F2C9" w14:textId="1626667A" w:rsidR="00B4017B" w:rsidRPr="000F6CD1" w:rsidRDefault="00B4017B" w:rsidP="00622CFF">
      <w:pPr>
        <w:spacing w:before="240" w:after="240" w:line="240" w:lineRule="auto"/>
        <w:rPr>
          <w:szCs w:val="22"/>
        </w:rPr>
      </w:pPr>
      <w:r w:rsidRPr="000F6CD1">
        <w:rPr>
          <w:szCs w:val="22"/>
        </w:rPr>
        <w:t xml:space="preserve">A provider delivering funded aged care services through a service group under the CHSP may charge an individual an amount for or in connection with those services (the CHSP client contribution), in accordance with section 286 of the </w:t>
      </w:r>
      <w:r w:rsidRPr="00242364">
        <w:rPr>
          <w:i/>
          <w:iCs/>
          <w:szCs w:val="22"/>
        </w:rPr>
        <w:t>Aged Care Act 2024</w:t>
      </w:r>
      <w:r w:rsidRPr="000F6CD1">
        <w:rPr>
          <w:szCs w:val="22"/>
        </w:rPr>
        <w:t xml:space="preserve">. Providers must have a publicly available financial hardship policy that covers how clients can apply for a waiver or reduction of the CHSP contribution. </w:t>
      </w:r>
    </w:p>
    <w:p w14:paraId="65E70998" w14:textId="77777777" w:rsidR="00B4017B" w:rsidRPr="007E7FC2" w:rsidRDefault="00B4017B">
      <w:pPr>
        <w:spacing w:before="240" w:after="240" w:line="240" w:lineRule="auto"/>
        <w:rPr>
          <w:szCs w:val="22"/>
        </w:rPr>
      </w:pPr>
      <w:r w:rsidRPr="007E7FC2">
        <w:rPr>
          <w:szCs w:val="22"/>
        </w:rPr>
        <w:t xml:space="preserve">Clients are exempt from paying a client contribution towards any </w:t>
      </w:r>
      <w:r w:rsidRPr="007E7FC2">
        <w:rPr>
          <w:i/>
          <w:szCs w:val="22"/>
        </w:rPr>
        <w:t>Hoarding and squalor services</w:t>
      </w:r>
      <w:r w:rsidRPr="007E7FC2">
        <w:rPr>
          <w:szCs w:val="22"/>
        </w:rPr>
        <w:t xml:space="preserve"> they may receive. If the client requires other CHSP services (e.g. meals) they would be expected to pay a client contribution for that service. </w:t>
      </w:r>
    </w:p>
    <w:p w14:paraId="6B6800BB" w14:textId="77777777" w:rsidR="00B4017B" w:rsidRPr="007E7FC2" w:rsidRDefault="00B4017B">
      <w:pPr>
        <w:spacing w:before="240" w:after="240" w:line="240" w:lineRule="auto"/>
        <w:rPr>
          <w:szCs w:val="22"/>
        </w:rPr>
      </w:pPr>
      <w:r w:rsidRPr="007E7FC2">
        <w:rPr>
          <w:b/>
          <w:szCs w:val="22"/>
        </w:rPr>
        <w:t>Support at Home participants</w:t>
      </w:r>
      <w:r w:rsidRPr="007E7FC2">
        <w:rPr>
          <w:szCs w:val="22"/>
        </w:rPr>
        <w:t xml:space="preserve"> must pay CHSP client contribution fees like other CHSP clients. Support at Home participants cannot use their budget to pay the CHSP client contribution.</w:t>
      </w:r>
    </w:p>
    <w:p w14:paraId="0FF0F116" w14:textId="77777777" w:rsidR="00B4017B" w:rsidRPr="000F6CD1" w:rsidRDefault="00B4017B" w:rsidP="00622CFF">
      <w:pPr>
        <w:spacing w:before="240" w:after="240" w:line="240" w:lineRule="auto"/>
        <w:rPr>
          <w:szCs w:val="22"/>
        </w:rPr>
      </w:pPr>
      <w:r w:rsidRPr="000F6CD1">
        <w:rPr>
          <w:szCs w:val="22"/>
        </w:rPr>
        <w:t xml:space="preserve">The CHSP contribution must be agreed with the client in writing, including how and when it is to be paid and outlined in the client’s Service Agreement. In agreeing to the amount of CHSP contribution, providers should consider a range of factors including: </w:t>
      </w:r>
    </w:p>
    <w:p w14:paraId="295D82E1" w14:textId="77777777" w:rsidR="00B4017B" w:rsidRPr="000F6CD1" w:rsidRDefault="00B4017B">
      <w:pPr>
        <w:pStyle w:val="ListParagraph"/>
        <w:numPr>
          <w:ilvl w:val="0"/>
          <w:numId w:val="470"/>
        </w:numPr>
        <w:spacing w:before="240" w:after="240" w:line="240" w:lineRule="auto"/>
        <w:rPr>
          <w:szCs w:val="22"/>
        </w:rPr>
      </w:pPr>
      <w:r w:rsidRPr="000F6CD1">
        <w:rPr>
          <w:szCs w:val="22"/>
        </w:rPr>
        <w:t xml:space="preserve">business costs associated with delivering the service </w:t>
      </w:r>
    </w:p>
    <w:p w14:paraId="0372B9D3" w14:textId="77777777" w:rsidR="00B4017B" w:rsidRPr="000F6CD1" w:rsidRDefault="00B4017B">
      <w:pPr>
        <w:pStyle w:val="ListParagraph"/>
        <w:numPr>
          <w:ilvl w:val="0"/>
          <w:numId w:val="470"/>
        </w:numPr>
        <w:spacing w:before="240" w:after="240" w:line="240" w:lineRule="auto"/>
        <w:rPr>
          <w:szCs w:val="22"/>
        </w:rPr>
      </w:pPr>
      <w:r w:rsidRPr="000F6CD1">
        <w:rPr>
          <w:szCs w:val="22"/>
        </w:rPr>
        <w:t xml:space="preserve">affordability for CHSP clients </w:t>
      </w:r>
    </w:p>
    <w:p w14:paraId="634F7D16" w14:textId="77777777" w:rsidR="00B4017B" w:rsidRPr="000F6CD1" w:rsidRDefault="00B4017B">
      <w:pPr>
        <w:pStyle w:val="ListParagraph"/>
        <w:numPr>
          <w:ilvl w:val="0"/>
          <w:numId w:val="470"/>
        </w:numPr>
        <w:spacing w:before="240" w:after="240" w:line="240" w:lineRule="auto"/>
        <w:rPr>
          <w:szCs w:val="22"/>
        </w:rPr>
      </w:pPr>
      <w:r w:rsidRPr="000F6CD1">
        <w:rPr>
          <w:szCs w:val="22"/>
        </w:rPr>
        <w:t xml:space="preserve">the socioeconomic circumstances of those receiving services. </w:t>
      </w:r>
    </w:p>
    <w:p w14:paraId="7B7E9FFD" w14:textId="77777777" w:rsidR="00B4017B" w:rsidRPr="000F6CD1" w:rsidRDefault="00B4017B" w:rsidP="009048D6">
      <w:pPr>
        <w:spacing w:before="240" w:after="240" w:line="240" w:lineRule="auto"/>
        <w:rPr>
          <w:szCs w:val="22"/>
        </w:rPr>
      </w:pPr>
      <w:r w:rsidRPr="000F6CD1">
        <w:rPr>
          <w:szCs w:val="22"/>
        </w:rPr>
        <w:t>There is no formal means testing for CHSP client contributions. The client contribution fee may vary from person to person. This is because the fee can vary depending on the specific services a client receives and their individual capacity to pay. Two clients of a similar age with similar support needs may pay different CHSP contributions for a similar service.</w:t>
      </w:r>
    </w:p>
    <w:p w14:paraId="43CC956F" w14:textId="77777777" w:rsidR="00B4017B" w:rsidRDefault="00B4017B" w:rsidP="00622CFF">
      <w:pPr>
        <w:spacing w:before="240" w:after="240" w:line="240" w:lineRule="auto"/>
        <w:rPr>
          <w:szCs w:val="22"/>
        </w:rPr>
      </w:pPr>
      <w:r w:rsidRPr="000F6CD1">
        <w:rPr>
          <w:szCs w:val="22"/>
        </w:rPr>
        <w:t xml:space="preserve">The National CHSP Client Contribution Framework outlines the principles that service providers can adopt in setting their client contribution policies with a view to ensuring that those who can afford to contribute to the cost of their care do so whilst protecting those most vulnerable. </w:t>
      </w:r>
    </w:p>
    <w:tbl>
      <w:tblPr>
        <w:tblStyle w:val="TableGrid"/>
        <w:tblW w:w="0" w:type="auto"/>
        <w:tblLook w:val="04A0" w:firstRow="1" w:lastRow="0" w:firstColumn="1" w:lastColumn="0" w:noHBand="0" w:noVBand="1"/>
      </w:tblPr>
      <w:tblGrid>
        <w:gridCol w:w="1134"/>
        <w:gridCol w:w="7892"/>
      </w:tblGrid>
      <w:tr w:rsidR="00EB2F67" w:rsidRPr="000F6CD1" w14:paraId="70864501" w14:textId="77777777">
        <w:tc>
          <w:tcPr>
            <w:tcW w:w="1134" w:type="dxa"/>
          </w:tcPr>
          <w:p w14:paraId="177B05B4" w14:textId="77777777" w:rsidR="00EB2F67" w:rsidRPr="000F6CD1" w:rsidRDefault="00EB2F67">
            <w:pPr>
              <w:spacing w:before="240" w:after="240"/>
              <w:rPr>
                <w:szCs w:val="22"/>
              </w:rPr>
            </w:pPr>
            <w:r w:rsidRPr="000F6CD1">
              <w:rPr>
                <w:noProof/>
              </w:rPr>
              <w:drawing>
                <wp:anchor distT="0" distB="0" distL="114300" distR="114300" simplePos="0" relativeHeight="251658351" behindDoc="0" locked="0" layoutInCell="1" allowOverlap="1" wp14:anchorId="6A1236D0" wp14:editId="57CDC8B7">
                  <wp:simplePos x="0" y="0"/>
                  <wp:positionH relativeFrom="margin">
                    <wp:posOffset>7620</wp:posOffset>
                  </wp:positionH>
                  <wp:positionV relativeFrom="paragraph">
                    <wp:posOffset>-12065</wp:posOffset>
                  </wp:positionV>
                  <wp:extent cx="447675" cy="445208"/>
                  <wp:effectExtent l="0" t="0" r="0" b="0"/>
                  <wp:wrapNone/>
                  <wp:docPr id="1537757112" name="Picture 1537757112"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57112" name="Picture 1537757112"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7892" w:type="dxa"/>
          </w:tcPr>
          <w:p w14:paraId="6596800A" w14:textId="77777777" w:rsidR="00EB2F67" w:rsidRPr="000F6CD1" w:rsidRDefault="00EB2F67">
            <w:pPr>
              <w:spacing w:before="240" w:after="240"/>
            </w:pPr>
            <w:hyperlink r:id="rId354" w:history="1">
              <w:r w:rsidRPr="000F6CD1">
                <w:rPr>
                  <w:rStyle w:val="Hyperlink"/>
                </w:rPr>
                <w:t>Commonwealth Home Support Program (CHSP) 2025–27 Manual (from 1 November 2025) | Australian Government Department of Health, Disability and Ageing</w:t>
              </w:r>
            </w:hyperlink>
          </w:p>
          <w:p w14:paraId="59BADB92" w14:textId="77777777" w:rsidR="00EB2F67" w:rsidRPr="000F6CD1" w:rsidRDefault="00EB2F67">
            <w:pPr>
              <w:spacing w:before="240" w:after="240"/>
              <w:rPr>
                <w:szCs w:val="22"/>
              </w:rPr>
            </w:pPr>
            <w:hyperlink r:id="rId355" w:history="1">
              <w:r w:rsidRPr="000F6CD1">
                <w:rPr>
                  <w:rStyle w:val="Hyperlink"/>
                </w:rPr>
                <w:t>Commonwealth Home Support Program (CHSP) resources</w:t>
              </w:r>
            </w:hyperlink>
            <w:r w:rsidRPr="000F6CD1">
              <w:rPr>
                <w:rStyle w:val="Hyperlink"/>
              </w:rPr>
              <w:t xml:space="preserve"> </w:t>
            </w:r>
          </w:p>
        </w:tc>
      </w:tr>
    </w:tbl>
    <w:p w14:paraId="4900ACAE" w14:textId="0E4ED810" w:rsidR="00EB2F67" w:rsidRDefault="00EB2F67" w:rsidP="00622CFF">
      <w:pPr>
        <w:spacing w:before="240" w:after="240" w:line="240" w:lineRule="auto"/>
        <w:rPr>
          <w:szCs w:val="22"/>
        </w:rPr>
      </w:pPr>
    </w:p>
    <w:p w14:paraId="1A8DAC27" w14:textId="3C4239E5" w:rsidR="00B4017B" w:rsidRPr="000F6CD1" w:rsidRDefault="00EB2F67" w:rsidP="00EB2F67">
      <w:pPr>
        <w:rPr>
          <w:szCs w:val="22"/>
        </w:rPr>
      </w:pPr>
      <w:r>
        <w:rPr>
          <w:szCs w:val="22"/>
        </w:rPr>
        <w:br w:type="page"/>
      </w:r>
    </w:p>
    <w:p w14:paraId="7E51922C" w14:textId="50B64DF0" w:rsidR="00B4017B" w:rsidRPr="000F6CD1" w:rsidRDefault="005D5325" w:rsidP="00AD2CE5">
      <w:pPr>
        <w:pStyle w:val="H3"/>
      </w:pPr>
      <w:bookmarkStart w:id="1143" w:name="_Ref128157105"/>
      <w:bookmarkStart w:id="1144" w:name="_Toc159226979"/>
      <w:bookmarkStart w:id="1145" w:name="_Toc201143488"/>
      <w:r>
        <w:lastRenderedPageBreak/>
        <w:drawing>
          <wp:anchor distT="0" distB="0" distL="114300" distR="114300" simplePos="0" relativeHeight="251658337" behindDoc="0" locked="0" layoutInCell="1" allowOverlap="1" wp14:anchorId="0EC0816A" wp14:editId="4F6098BF">
            <wp:simplePos x="0" y="0"/>
            <wp:positionH relativeFrom="margin">
              <wp:posOffset>28575</wp:posOffset>
            </wp:positionH>
            <wp:positionV relativeFrom="margin">
              <wp:posOffset>-171450</wp:posOffset>
            </wp:positionV>
            <wp:extent cx="365760" cy="403860"/>
            <wp:effectExtent l="0" t="0" r="0" b="0"/>
            <wp:wrapSquare wrapText="bothSides"/>
            <wp:docPr id="87638855"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8855"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60" cy="403860"/>
                    </a:xfrm>
                    <a:prstGeom prst="rect">
                      <a:avLst/>
                    </a:prstGeom>
                  </pic:spPr>
                </pic:pic>
              </a:graphicData>
            </a:graphic>
          </wp:anchor>
        </w:drawing>
      </w:r>
      <w:r w:rsidR="00B4017B" w:rsidRPr="000F6CD1">
        <w:t xml:space="preserve">Fees for </w:t>
      </w:r>
      <w:bookmarkEnd w:id="1143"/>
      <w:bookmarkEnd w:id="1144"/>
      <w:bookmarkEnd w:id="1145"/>
      <w:r w:rsidR="00B4017B" w:rsidRPr="000F6CD1">
        <w:t>Support at Home participants</w:t>
      </w:r>
    </w:p>
    <w:p w14:paraId="1A61A03E" w14:textId="77777777" w:rsidR="00B4017B" w:rsidRPr="000F6CD1" w:rsidRDefault="00B4017B" w:rsidP="00622CFF">
      <w:pPr>
        <w:spacing w:before="240" w:after="240" w:line="240" w:lineRule="auto"/>
      </w:pPr>
      <w:r w:rsidRPr="000F6CD1">
        <w:t xml:space="preserve">The introduction of contributions in the Support at Home Program have replaced fee arrangements under the Home Care Package Program. </w:t>
      </w:r>
    </w:p>
    <w:p w14:paraId="2E4D208C" w14:textId="77777777" w:rsidR="00B4017B" w:rsidRPr="000F6CD1" w:rsidRDefault="00B4017B" w:rsidP="00622CFF">
      <w:pPr>
        <w:spacing w:before="240" w:after="240" w:line="240" w:lineRule="auto"/>
        <w:rPr>
          <w:szCs w:val="22"/>
        </w:rPr>
      </w:pPr>
      <w:r w:rsidRPr="000F6CD1">
        <w:rPr>
          <w:szCs w:val="22"/>
        </w:rPr>
        <w:t xml:space="preserve">With the transition from the Home Care Package program to Support at Home, changes have been made to how participant contributions are calculated. This information is applicable for older people accessing services under the Support at Home Program, including through the Restorative Care Pathway, End-of-Life Pathway and Assistive Technology and Home Modifications (AT-HM) scheme. </w:t>
      </w:r>
    </w:p>
    <w:p w14:paraId="5FE67346" w14:textId="77777777" w:rsidR="00B4017B" w:rsidRPr="000F6CD1" w:rsidRDefault="00B4017B" w:rsidP="00622CFF">
      <w:pPr>
        <w:spacing w:before="240" w:after="240" w:line="240" w:lineRule="auto"/>
        <w:rPr>
          <w:szCs w:val="22"/>
        </w:rPr>
      </w:pPr>
      <w:r w:rsidRPr="000F6CD1">
        <w:rPr>
          <w:szCs w:val="22"/>
        </w:rPr>
        <w:t xml:space="preserve">For Support at Home participants, an income and assets assessment by Services Australia determines participant contributions. Contributions will be different for each participant based on the type of service received, the outcome of their income and assets assessment and their pension status. </w:t>
      </w:r>
    </w:p>
    <w:p w14:paraId="26E12B29" w14:textId="77777777" w:rsidR="00B4017B" w:rsidRPr="000F6CD1" w:rsidRDefault="00B4017B">
      <w:pPr>
        <w:pStyle w:val="ListParagraph"/>
        <w:numPr>
          <w:ilvl w:val="0"/>
          <w:numId w:val="387"/>
        </w:numPr>
        <w:spacing w:before="240" w:after="240" w:line="240" w:lineRule="auto"/>
        <w:rPr>
          <w:szCs w:val="22"/>
        </w:rPr>
      </w:pPr>
      <w:r w:rsidRPr="000F6CD1">
        <w:rPr>
          <w:szCs w:val="22"/>
        </w:rPr>
        <w:t xml:space="preserve">Clinical support services will attract no contribution fees as they are fully funded by the government for all participants. </w:t>
      </w:r>
    </w:p>
    <w:p w14:paraId="2741787F" w14:textId="628313FE" w:rsidR="00B4017B" w:rsidRPr="000F6CD1" w:rsidRDefault="00B4017B">
      <w:pPr>
        <w:pStyle w:val="ListParagraph"/>
        <w:numPr>
          <w:ilvl w:val="0"/>
          <w:numId w:val="387"/>
        </w:numPr>
        <w:spacing w:before="240" w:after="240" w:line="240" w:lineRule="auto"/>
        <w:rPr>
          <w:szCs w:val="22"/>
        </w:rPr>
      </w:pPr>
      <w:r w:rsidRPr="000F6CD1">
        <w:rPr>
          <w:szCs w:val="22"/>
        </w:rPr>
        <w:t>Independence services such as transport</w:t>
      </w:r>
      <w:r w:rsidR="00360965">
        <w:rPr>
          <w:szCs w:val="22"/>
        </w:rPr>
        <w:t xml:space="preserve"> </w:t>
      </w:r>
      <w:r w:rsidRPr="000F6CD1">
        <w:rPr>
          <w:szCs w:val="22"/>
        </w:rPr>
        <w:t xml:space="preserve">will attract moderate contributions. </w:t>
      </w:r>
    </w:p>
    <w:p w14:paraId="15B8673F" w14:textId="589B9BEB" w:rsidR="00B4017B" w:rsidRPr="000F6CD1" w:rsidRDefault="00B4017B">
      <w:pPr>
        <w:pStyle w:val="ListParagraph"/>
        <w:numPr>
          <w:ilvl w:val="0"/>
          <w:numId w:val="387"/>
        </w:numPr>
        <w:spacing w:before="240" w:after="240" w:line="240" w:lineRule="auto"/>
        <w:rPr>
          <w:szCs w:val="22"/>
        </w:rPr>
      </w:pPr>
      <w:r w:rsidRPr="000F6CD1">
        <w:rPr>
          <w:szCs w:val="22"/>
        </w:rPr>
        <w:t xml:space="preserve">Everyday living services such as cleaning and gardening will attract the highest contributions. </w:t>
      </w:r>
    </w:p>
    <w:p w14:paraId="5E5D9DD2" w14:textId="77777777" w:rsidR="00B4017B" w:rsidRPr="000F6CD1" w:rsidRDefault="00B4017B" w:rsidP="00622CFF">
      <w:pPr>
        <w:spacing w:before="240" w:after="240" w:line="240" w:lineRule="auto"/>
        <w:rPr>
          <w:szCs w:val="22"/>
        </w:rPr>
      </w:pPr>
      <w:r w:rsidRPr="000F6CD1">
        <w:rPr>
          <w:szCs w:val="22"/>
        </w:rPr>
        <w:t xml:space="preserve">For full or part pensioners, Services Australia will use the information on a person’s income and assets assessment that has been provided for their pension assessment to determine their Support at Home contributions. Non-pensioners, once approved for Support at Home will need to complete an income and assets assessment if Services Australia does not already have their financial details. </w:t>
      </w:r>
    </w:p>
    <w:p w14:paraId="487C7B7F" w14:textId="77777777" w:rsidR="00B4017B" w:rsidRPr="000F6CD1" w:rsidRDefault="00B4017B" w:rsidP="00622CFF">
      <w:pPr>
        <w:spacing w:before="240" w:after="240" w:line="240" w:lineRule="auto"/>
        <w:rPr>
          <w:szCs w:val="22"/>
        </w:rPr>
      </w:pPr>
      <w:r w:rsidRPr="000F6CD1">
        <w:rPr>
          <w:szCs w:val="22"/>
        </w:rPr>
        <w:t xml:space="preserve">Completing an income and assets assessment is not mandatory, however, Support at Home participants who choose not to complete one can be asked to pay the maximum participant contribution rate. </w:t>
      </w:r>
    </w:p>
    <w:p w14:paraId="6A9A9ACA" w14:textId="77777777" w:rsidR="00B4017B" w:rsidRPr="000F6CD1" w:rsidRDefault="00B4017B" w:rsidP="00622CFF">
      <w:pPr>
        <w:spacing w:before="240" w:after="240" w:line="240" w:lineRule="auto"/>
        <w:rPr>
          <w:szCs w:val="22"/>
        </w:rPr>
      </w:pPr>
      <w:r w:rsidRPr="000F6CD1">
        <w:rPr>
          <w:szCs w:val="22"/>
        </w:rPr>
        <w:t>Providers do not need to wait for an income assessment to be completed before an older person commences Support at Home services. Service providers and participants can agree on a temporary contribution rate while a new participant’s income and assets are being assessed by Services Australia. The Support at Home fee estimator, available on the department’s website can be used to assist in determining these temporary rates.</w:t>
      </w:r>
    </w:p>
    <w:p w14:paraId="4831278D" w14:textId="77777777" w:rsidR="00B4017B" w:rsidRPr="000F6CD1" w:rsidRDefault="00B4017B" w:rsidP="00622CFF">
      <w:pPr>
        <w:spacing w:before="240" w:after="240" w:line="240" w:lineRule="auto"/>
        <w:rPr>
          <w:szCs w:val="22"/>
        </w:rPr>
      </w:pPr>
      <w:r w:rsidRPr="000F6CD1">
        <w:rPr>
          <w:szCs w:val="22"/>
        </w:rPr>
        <w:t xml:space="preserve">A no worse off principle applies for grandfathered Home Care Package care recipients who, on or before 12 September 2024, were either receiving a Home Care Package, on the National Priority System or assessed as eligible for a package. The no worse off principle applies to financial contributions. These participants will make the same contributions, or lower, than they were assessed as having to pay under Home Care Package Program arrangements, even if they are reassessed into a higher Support at Home classification at a later date. The same lifetime cap will also be honoured for this cohort (approximately $85,000). </w:t>
      </w:r>
    </w:p>
    <w:p w14:paraId="5B4D2703" w14:textId="77777777" w:rsidR="005743DA" w:rsidRDefault="005743DA">
      <w:r>
        <w:br w:type="page"/>
      </w:r>
    </w:p>
    <w:p w14:paraId="20C722D8" w14:textId="132CFF67" w:rsidR="00B4017B" w:rsidRPr="000F6CD1" w:rsidRDefault="00B4017B" w:rsidP="00622CFF">
      <w:pPr>
        <w:spacing w:before="240" w:after="240" w:line="240" w:lineRule="auto"/>
      </w:pPr>
      <w:r w:rsidRPr="000F6CD1">
        <w:lastRenderedPageBreak/>
        <w:t xml:space="preserve">For Support at Home Participants there are defined circumstances when they may simultaneously access CHSP services. When doing so, a Support at Home participant must pay CHSP client contribution fees. The Support at Home participant will need to fund the client contribution fees themselves and cannot use their Support at Home funding allocation. This also includes the following services: </w:t>
      </w:r>
    </w:p>
    <w:p w14:paraId="12906B0C" w14:textId="77777777" w:rsidR="00B4017B" w:rsidRPr="000F6CD1" w:rsidRDefault="00B4017B">
      <w:pPr>
        <w:pStyle w:val="ListParagraph"/>
        <w:numPr>
          <w:ilvl w:val="0"/>
          <w:numId w:val="388"/>
        </w:numPr>
        <w:spacing w:before="240" w:after="240" w:line="240" w:lineRule="auto"/>
      </w:pPr>
      <w:r w:rsidRPr="000F6CD1">
        <w:t xml:space="preserve">Pre-existing CHSP social support group </w:t>
      </w:r>
    </w:p>
    <w:p w14:paraId="212C0132" w14:textId="77777777" w:rsidR="00B4017B" w:rsidRPr="000F6CD1" w:rsidRDefault="00B4017B">
      <w:pPr>
        <w:pStyle w:val="ListParagraph"/>
        <w:numPr>
          <w:ilvl w:val="0"/>
          <w:numId w:val="388"/>
        </w:numPr>
        <w:spacing w:before="240" w:after="240" w:line="240" w:lineRule="auto"/>
        <w:rPr>
          <w:szCs w:val="22"/>
        </w:rPr>
      </w:pPr>
      <w:r w:rsidRPr="000F6CD1">
        <w:rPr>
          <w:szCs w:val="22"/>
        </w:rPr>
        <w:t xml:space="preserve">Short-term planned respite </w:t>
      </w:r>
    </w:p>
    <w:p w14:paraId="3036A4E5" w14:textId="0173BCC2" w:rsidR="00B4017B" w:rsidRPr="000F6CD1" w:rsidRDefault="00B4017B">
      <w:pPr>
        <w:pStyle w:val="ListParagraph"/>
        <w:numPr>
          <w:ilvl w:val="0"/>
          <w:numId w:val="388"/>
        </w:numPr>
        <w:spacing w:before="240" w:after="240" w:line="240" w:lineRule="auto"/>
        <w:rPr>
          <w:szCs w:val="22"/>
        </w:rPr>
      </w:pPr>
      <w:r w:rsidRPr="000F6CD1">
        <w:rPr>
          <w:szCs w:val="22"/>
        </w:rPr>
        <w:t xml:space="preserve">Urgent services </w:t>
      </w:r>
    </w:p>
    <w:p w14:paraId="3B60B4D7" w14:textId="77777777" w:rsidR="00B4017B" w:rsidRPr="000F6CD1" w:rsidRDefault="00B4017B">
      <w:pPr>
        <w:pStyle w:val="ListParagraph"/>
        <w:numPr>
          <w:ilvl w:val="0"/>
          <w:numId w:val="388"/>
        </w:numPr>
        <w:spacing w:before="240" w:after="240" w:line="240" w:lineRule="auto"/>
        <w:rPr>
          <w:szCs w:val="22"/>
        </w:rPr>
      </w:pPr>
      <w:r w:rsidRPr="000F6CD1">
        <w:rPr>
          <w:rFonts w:eastAsia="Arial"/>
          <w:szCs w:val="22"/>
        </w:rPr>
        <w:t xml:space="preserve">Specialised support (Vision advisory services) </w:t>
      </w:r>
      <w:r w:rsidRPr="000F6CD1">
        <w:rPr>
          <w:szCs w:val="22"/>
        </w:rPr>
        <w:t xml:space="preserve"> </w:t>
      </w:r>
    </w:p>
    <w:p w14:paraId="275C9B2F" w14:textId="77777777" w:rsidR="00B4017B" w:rsidRPr="000F6CD1" w:rsidRDefault="00B4017B" w:rsidP="00CC6081">
      <w:pPr>
        <w:pStyle w:val="H4"/>
      </w:pPr>
      <w:r w:rsidRPr="000F6CD1">
        <w:t xml:space="preserve">Restorative Care Pathway </w:t>
      </w:r>
    </w:p>
    <w:p w14:paraId="26BA120C" w14:textId="388713F3" w:rsidR="00B4017B" w:rsidRPr="000F6CD1" w:rsidRDefault="00B4017B" w:rsidP="00622CFF">
      <w:pPr>
        <w:spacing w:before="240" w:after="240" w:line="240" w:lineRule="auto"/>
        <w:rPr>
          <w:szCs w:val="22"/>
        </w:rPr>
      </w:pPr>
      <w:r w:rsidRPr="000F6CD1">
        <w:rPr>
          <w:szCs w:val="22"/>
        </w:rPr>
        <w:t xml:space="preserve">Participant contributions apply for services delivered in the independence and everyday living categories. Services in the clinical support category do not require participant contributions and are fully funded by the government. </w:t>
      </w:r>
    </w:p>
    <w:p w14:paraId="4B532422" w14:textId="77777777" w:rsidR="00B4017B" w:rsidRPr="000F6CD1" w:rsidRDefault="00B4017B" w:rsidP="00CC6081">
      <w:pPr>
        <w:pStyle w:val="H4"/>
      </w:pPr>
      <w:r w:rsidRPr="000F6CD1">
        <w:t xml:space="preserve">AT-HM Scheme </w:t>
      </w:r>
    </w:p>
    <w:p w14:paraId="4F9E1B05" w14:textId="77777777" w:rsidR="00B4017B" w:rsidRPr="000F6CD1" w:rsidRDefault="00B4017B" w:rsidP="00622CFF">
      <w:pPr>
        <w:spacing w:before="240" w:after="240" w:line="240" w:lineRule="auto"/>
        <w:rPr>
          <w:szCs w:val="22"/>
        </w:rPr>
      </w:pPr>
      <w:r w:rsidRPr="000F6CD1">
        <w:rPr>
          <w:szCs w:val="22"/>
        </w:rPr>
        <w:t xml:space="preserve">Support at Home participants may be required to make contributions for AT-HM items and services. AT-HM items attract a contribution rate equivalent to the independence category. Prescriptions and wrap-around services fall under the clinical supports category, requiring no participant contribution. </w:t>
      </w:r>
    </w:p>
    <w:p w14:paraId="7F7F7384" w14:textId="77777777" w:rsidR="00B4017B" w:rsidRPr="000F6CD1" w:rsidRDefault="00B4017B" w:rsidP="00CC6081">
      <w:pPr>
        <w:pStyle w:val="H4"/>
      </w:pPr>
      <w:r w:rsidRPr="000F6CD1">
        <w:t xml:space="preserve">End-of-Life Pathway </w:t>
      </w:r>
    </w:p>
    <w:p w14:paraId="577F93F3" w14:textId="77777777" w:rsidR="00B4017B" w:rsidRPr="000F6CD1" w:rsidRDefault="00B4017B" w:rsidP="00622CFF">
      <w:pPr>
        <w:spacing w:before="240" w:after="240" w:line="240" w:lineRule="auto"/>
        <w:rPr>
          <w:szCs w:val="22"/>
        </w:rPr>
      </w:pPr>
      <w:r w:rsidRPr="000F6CD1">
        <w:rPr>
          <w:szCs w:val="22"/>
        </w:rPr>
        <w:t xml:space="preserve">Consistent with ongoing Support at Home, participant contribution arrangements apply for independence and everyday living services accessed under the End-of-Life Pathway. For services in the clinical supports category, no participant contribution is required as these services are fully funded by the government. </w:t>
      </w:r>
    </w:p>
    <w:tbl>
      <w:tblPr>
        <w:tblStyle w:val="TableGrid"/>
        <w:tblW w:w="0" w:type="auto"/>
        <w:tblLook w:val="04A0" w:firstRow="1" w:lastRow="0" w:firstColumn="1" w:lastColumn="0" w:noHBand="0" w:noVBand="1"/>
      </w:tblPr>
      <w:tblGrid>
        <w:gridCol w:w="988"/>
        <w:gridCol w:w="8028"/>
      </w:tblGrid>
      <w:tr w:rsidR="00B4017B" w:rsidRPr="000F6CD1" w14:paraId="1A143FF3" w14:textId="77777777" w:rsidTr="00E42183">
        <w:tc>
          <w:tcPr>
            <w:tcW w:w="988" w:type="dxa"/>
          </w:tcPr>
          <w:p w14:paraId="545BBB00" w14:textId="77777777" w:rsidR="00B4017B" w:rsidRPr="000F6CD1" w:rsidRDefault="00B4017B" w:rsidP="00622CFF">
            <w:pPr>
              <w:spacing w:before="240" w:after="240"/>
              <w:rPr>
                <w:szCs w:val="22"/>
              </w:rPr>
            </w:pPr>
            <w:r w:rsidRPr="000F6CD1">
              <w:rPr>
                <w:noProof/>
              </w:rPr>
              <w:drawing>
                <wp:anchor distT="0" distB="0" distL="114300" distR="114300" simplePos="0" relativeHeight="251658338" behindDoc="0" locked="0" layoutInCell="1" allowOverlap="1" wp14:anchorId="00029F48" wp14:editId="6B2E2B90">
                  <wp:simplePos x="0" y="0"/>
                  <wp:positionH relativeFrom="margin">
                    <wp:posOffset>-11430</wp:posOffset>
                  </wp:positionH>
                  <wp:positionV relativeFrom="paragraph">
                    <wp:posOffset>6985</wp:posOffset>
                  </wp:positionV>
                  <wp:extent cx="447675" cy="445208"/>
                  <wp:effectExtent l="0" t="0" r="0" b="0"/>
                  <wp:wrapNone/>
                  <wp:docPr id="1165580520" name="Picture 1165580520"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0520" name="Picture 1165580520"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5E21D427" w14:textId="77777777" w:rsidR="00B4017B" w:rsidRPr="000F6CD1" w:rsidRDefault="00B4017B" w:rsidP="00980003">
            <w:pPr>
              <w:spacing w:before="240" w:after="240"/>
              <w:ind w:left="182"/>
              <w:rPr>
                <w:szCs w:val="22"/>
              </w:rPr>
            </w:pPr>
            <w:r w:rsidRPr="000F6CD1">
              <w:rPr>
                <w:szCs w:val="22"/>
              </w:rPr>
              <w:t>Further information is available on the Department of Health, Disability and Ageing website:</w:t>
            </w:r>
          </w:p>
          <w:p w14:paraId="52D4BE40" w14:textId="274AC5B9" w:rsidR="00B4017B" w:rsidRPr="000F6CD1" w:rsidRDefault="00B4017B">
            <w:pPr>
              <w:pStyle w:val="ListParagraph"/>
              <w:numPr>
                <w:ilvl w:val="0"/>
                <w:numId w:val="389"/>
              </w:numPr>
              <w:spacing w:before="240" w:after="240"/>
              <w:ind w:left="324" w:hanging="11"/>
              <w:rPr>
                <w:rStyle w:val="Hyperlink"/>
              </w:rPr>
            </w:pPr>
            <w:hyperlink r:id="rId356" w:history="1">
              <w:r w:rsidRPr="000F6CD1">
                <w:rPr>
                  <w:rStyle w:val="Hyperlink"/>
                </w:rPr>
                <w:t>Support at Home Participant contributions</w:t>
              </w:r>
            </w:hyperlink>
          </w:p>
          <w:p w14:paraId="46936E2C" w14:textId="77777777" w:rsidR="00B4017B" w:rsidRPr="000F6CD1" w:rsidRDefault="00B4017B">
            <w:pPr>
              <w:pStyle w:val="ListParagraph"/>
              <w:numPr>
                <w:ilvl w:val="0"/>
                <w:numId w:val="389"/>
              </w:numPr>
              <w:spacing w:before="240" w:after="240"/>
              <w:ind w:left="324" w:hanging="11"/>
              <w:rPr>
                <w:rStyle w:val="Hyperlink"/>
              </w:rPr>
            </w:pPr>
            <w:hyperlink r:id="rId357" w:history="1">
              <w:r w:rsidRPr="000F6CD1">
                <w:rPr>
                  <w:rStyle w:val="Hyperlink"/>
                </w:rPr>
                <w:t>Support at Home Program Manual</w:t>
              </w:r>
            </w:hyperlink>
          </w:p>
          <w:p w14:paraId="20F66E6B" w14:textId="0928355B" w:rsidR="00B4017B" w:rsidRPr="000F6CD1" w:rsidRDefault="00B4017B">
            <w:pPr>
              <w:pStyle w:val="ListParagraph"/>
              <w:numPr>
                <w:ilvl w:val="0"/>
                <w:numId w:val="389"/>
              </w:numPr>
              <w:spacing w:before="240" w:after="240"/>
              <w:ind w:left="324" w:hanging="11"/>
              <w:rPr>
                <w:rStyle w:val="Hyperlink"/>
              </w:rPr>
            </w:pPr>
            <w:hyperlink r:id="rId358" w:history="1">
              <w:r w:rsidRPr="000F6CD1">
                <w:rPr>
                  <w:rStyle w:val="Hyperlink"/>
                </w:rPr>
                <w:t>Schedule of Fees and Charges for Residential and Home Care</w:t>
              </w:r>
            </w:hyperlink>
          </w:p>
          <w:p w14:paraId="28F6CFF2" w14:textId="77777777" w:rsidR="00B4017B" w:rsidRPr="000F6CD1" w:rsidRDefault="00B4017B" w:rsidP="00980003">
            <w:pPr>
              <w:spacing w:before="240" w:after="240"/>
              <w:ind w:left="324"/>
              <w:rPr>
                <w:szCs w:val="20"/>
              </w:rPr>
            </w:pPr>
            <w:r w:rsidRPr="000F6CD1">
              <w:rPr>
                <w:szCs w:val="20"/>
              </w:rPr>
              <w:t>My Aged Care Website:</w:t>
            </w:r>
          </w:p>
          <w:p w14:paraId="1F943EEC" w14:textId="77777777" w:rsidR="00B4017B" w:rsidRPr="000F6CD1" w:rsidRDefault="00B4017B">
            <w:pPr>
              <w:pStyle w:val="ListParagraph"/>
              <w:numPr>
                <w:ilvl w:val="0"/>
                <w:numId w:val="389"/>
              </w:numPr>
              <w:spacing w:before="240" w:after="240"/>
              <w:ind w:left="324" w:hanging="11"/>
              <w:rPr>
                <w:rStyle w:val="Hyperlink"/>
              </w:rPr>
            </w:pPr>
            <w:hyperlink r:id="rId359" w:history="1">
              <w:r w:rsidRPr="000F6CD1">
                <w:rPr>
                  <w:rStyle w:val="Hyperlink"/>
                </w:rPr>
                <w:t>Aged Care Resources</w:t>
              </w:r>
            </w:hyperlink>
          </w:p>
          <w:p w14:paraId="153EAC91" w14:textId="73966EB0" w:rsidR="00B4017B" w:rsidRPr="000F6CD1" w:rsidRDefault="00B4017B">
            <w:pPr>
              <w:pStyle w:val="ListParagraph"/>
              <w:numPr>
                <w:ilvl w:val="0"/>
                <w:numId w:val="389"/>
              </w:numPr>
              <w:spacing w:before="240" w:after="240"/>
              <w:ind w:left="324" w:hanging="11"/>
              <w:rPr>
                <w:rStyle w:val="Hyperlink"/>
              </w:rPr>
            </w:pPr>
            <w:hyperlink r:id="rId360" w:history="1">
              <w:r w:rsidRPr="000F6CD1">
                <w:rPr>
                  <w:rStyle w:val="Hyperlink"/>
                </w:rPr>
                <w:t>Fact Sheet: Support at Home program - participant contributions</w:t>
              </w:r>
            </w:hyperlink>
          </w:p>
          <w:p w14:paraId="206EFF6F" w14:textId="77777777" w:rsidR="00B4017B" w:rsidRPr="000F6CD1" w:rsidRDefault="00B4017B" w:rsidP="00980003">
            <w:pPr>
              <w:spacing w:before="240" w:after="240"/>
              <w:ind w:left="324"/>
              <w:rPr>
                <w:szCs w:val="20"/>
              </w:rPr>
            </w:pPr>
            <w:r w:rsidRPr="000F6CD1">
              <w:rPr>
                <w:szCs w:val="20"/>
              </w:rPr>
              <w:t>Services Australia website:</w:t>
            </w:r>
          </w:p>
          <w:p w14:paraId="5D4A071C" w14:textId="77777777" w:rsidR="00B4017B" w:rsidRPr="000F6CD1" w:rsidRDefault="00B4017B">
            <w:pPr>
              <w:pStyle w:val="ListParagraph"/>
              <w:numPr>
                <w:ilvl w:val="0"/>
                <w:numId w:val="389"/>
              </w:numPr>
              <w:spacing w:before="240" w:after="240"/>
              <w:ind w:left="324" w:hanging="11"/>
              <w:rPr>
                <w:rStyle w:val="Hyperlink"/>
                <w:szCs w:val="22"/>
              </w:rPr>
            </w:pPr>
            <w:hyperlink r:id="rId361" w:history="1">
              <w:r w:rsidRPr="000F6CD1">
                <w:rPr>
                  <w:rStyle w:val="Hyperlink"/>
                  <w:szCs w:val="22"/>
                </w:rPr>
                <w:t>Providing home care</w:t>
              </w:r>
            </w:hyperlink>
          </w:p>
          <w:p w14:paraId="7BFFA971" w14:textId="77777777" w:rsidR="00B4017B" w:rsidRPr="000F6CD1" w:rsidRDefault="00B4017B">
            <w:pPr>
              <w:pStyle w:val="ListParagraph"/>
              <w:numPr>
                <w:ilvl w:val="0"/>
                <w:numId w:val="389"/>
              </w:numPr>
              <w:spacing w:before="240" w:after="240"/>
              <w:ind w:left="324" w:hanging="11"/>
              <w:rPr>
                <w:color w:val="2BB1BB"/>
                <w:szCs w:val="22"/>
                <w:u w:val="single"/>
              </w:rPr>
            </w:pPr>
            <w:hyperlink r:id="rId362" w:history="1">
              <w:r w:rsidRPr="000F6CD1">
                <w:rPr>
                  <w:rStyle w:val="Hyperlink"/>
                  <w:szCs w:val="22"/>
                </w:rPr>
                <w:t>Providing residential care</w:t>
              </w:r>
            </w:hyperlink>
          </w:p>
        </w:tc>
      </w:tr>
    </w:tbl>
    <w:p w14:paraId="15E61656" w14:textId="77777777" w:rsidR="00B4017B" w:rsidRPr="000F6CD1" w:rsidRDefault="00B4017B" w:rsidP="00622CFF">
      <w:pPr>
        <w:spacing w:before="240" w:after="240" w:line="240" w:lineRule="auto"/>
        <w:rPr>
          <w:szCs w:val="22"/>
        </w:rPr>
      </w:pPr>
    </w:p>
    <w:p w14:paraId="36F3988A" w14:textId="77777777" w:rsidR="00B4017B" w:rsidRPr="000F6CD1" w:rsidRDefault="00B4017B" w:rsidP="00AD2CE5">
      <w:pPr>
        <w:pStyle w:val="H3"/>
      </w:pPr>
      <w:bookmarkStart w:id="1146" w:name="_Toc159226980"/>
      <w:bookmarkStart w:id="1147" w:name="_Toc201143489"/>
      <w:r w:rsidRPr="000F6CD1">
        <w:lastRenderedPageBreak/>
        <w:t>Older people entering permanent residential care</w:t>
      </w:r>
      <w:bookmarkEnd w:id="1146"/>
      <w:bookmarkEnd w:id="1147"/>
    </w:p>
    <w:p w14:paraId="3A2FC1EC" w14:textId="77777777" w:rsidR="00B4017B" w:rsidRPr="000F6CD1" w:rsidRDefault="00B4017B" w:rsidP="003F628F">
      <w:r w:rsidRPr="000F6CD1">
        <w:t>How much a person pays for their residential aged care is based on their income and assets. Services Australia or the Department of Veterans’ Affairs (DVA) assesses income and assets, and this is known as an aged care means assessment. If an older person is a member of a couple, they will be assessed on half of their combined income and assets. Residents who have had their means assessed are required to report changes to their financial circumstances to Services Australia or DVA within 28 days to help keep their fees correct.</w:t>
      </w:r>
    </w:p>
    <w:p w14:paraId="552F41C4" w14:textId="77777777" w:rsidR="00B4017B" w:rsidRPr="000F6CD1" w:rsidRDefault="00B4017B" w:rsidP="007E5550">
      <w:pPr>
        <w:spacing w:before="240" w:after="240" w:line="240" w:lineRule="auto"/>
      </w:pPr>
      <w:r w:rsidRPr="000F6CD1">
        <w:t>People who can’t afford to make a higher contribution will only pay the basic daily fee. Those who can afford to will contribute more to their aged care costs.</w:t>
      </w:r>
    </w:p>
    <w:p w14:paraId="10FADD8A" w14:textId="77777777" w:rsidR="00B4017B" w:rsidRPr="000F6CD1" w:rsidRDefault="00B4017B" w:rsidP="003F628F">
      <w:r w:rsidRPr="000F6CD1">
        <w:t xml:space="preserve">If an older person chooses not to have their means assessed, they will not be eligible for assistance with care and accommodation costs. </w:t>
      </w:r>
    </w:p>
    <w:p w14:paraId="0311A8BD" w14:textId="77777777" w:rsidR="00B4017B" w:rsidRPr="000F6CD1" w:rsidRDefault="00B4017B" w:rsidP="00622CFF">
      <w:pPr>
        <w:spacing w:before="240" w:after="240" w:line="240" w:lineRule="auto"/>
      </w:pPr>
      <w:r w:rsidRPr="000F6CD1">
        <w:t xml:space="preserve">If a person moves into an aged care home for permanent residential care, they will pay fees under one of 2 arrangements: </w:t>
      </w:r>
    </w:p>
    <w:p w14:paraId="57831793" w14:textId="01D269DA" w:rsidR="00B4017B" w:rsidRPr="000F6CD1" w:rsidRDefault="00B4017B">
      <w:pPr>
        <w:pStyle w:val="ListParagraph"/>
        <w:numPr>
          <w:ilvl w:val="0"/>
          <w:numId w:val="470"/>
        </w:numPr>
        <w:spacing w:before="240" w:after="240" w:line="240" w:lineRule="auto"/>
      </w:pPr>
      <w:r w:rsidRPr="000F6CD1">
        <w:rPr>
          <w:b/>
        </w:rPr>
        <w:t>1 July 2014 fee arrangements:</w:t>
      </w:r>
      <w:r w:rsidRPr="000F6CD1">
        <w:t xml:space="preserve"> these apply for people who were approved for or accessing a Home Care Package on 12 September 2024, and who are therefore protected by the ‘no worse off principle” and will pay fees under the 1 July 2014 arrangements. </w:t>
      </w:r>
    </w:p>
    <w:p w14:paraId="5B2C5618" w14:textId="77777777" w:rsidR="00B4017B" w:rsidRPr="000F6CD1" w:rsidRDefault="00B4017B">
      <w:pPr>
        <w:pStyle w:val="ListParagraph"/>
        <w:numPr>
          <w:ilvl w:val="0"/>
          <w:numId w:val="470"/>
        </w:numPr>
        <w:spacing w:before="240" w:after="240" w:line="240" w:lineRule="auto"/>
      </w:pPr>
      <w:r w:rsidRPr="000F6CD1">
        <w:rPr>
          <w:b/>
        </w:rPr>
        <w:t>1 November 2025 fee arrangements:</w:t>
      </w:r>
      <w:r w:rsidRPr="000F6CD1">
        <w:t xml:space="preserve"> these apply to people who first enter residential care on or after 1 November 2025. </w:t>
      </w:r>
    </w:p>
    <w:p w14:paraId="4EEFB295" w14:textId="77777777" w:rsidR="00B4017B" w:rsidRPr="000F6CD1" w:rsidRDefault="00B4017B" w:rsidP="00622CFF">
      <w:pPr>
        <w:spacing w:before="240" w:after="240" w:line="240" w:lineRule="auto"/>
        <w:rPr>
          <w:b/>
          <w:bCs/>
        </w:rPr>
      </w:pPr>
      <w:r w:rsidRPr="000F6CD1">
        <w:rPr>
          <w:b/>
        </w:rPr>
        <w:t>1 July 2014 fee arrangements</w:t>
      </w:r>
    </w:p>
    <w:p w14:paraId="5CA2CC21" w14:textId="77777777" w:rsidR="00B4017B" w:rsidRPr="000F6CD1" w:rsidRDefault="00B4017B" w:rsidP="00EB1069">
      <w:r w:rsidRPr="000F6CD1">
        <w:t xml:space="preserve">Residents under these arrangements are not affected by the changes to means assessments under the </w:t>
      </w:r>
      <w:r w:rsidRPr="000F6CD1">
        <w:rPr>
          <w:i/>
        </w:rPr>
        <w:t>Aged Care Act 2024</w:t>
      </w:r>
      <w:r w:rsidRPr="000F6CD1">
        <w:t xml:space="preserve">. </w:t>
      </w:r>
    </w:p>
    <w:p w14:paraId="6C7DEB32" w14:textId="77777777" w:rsidR="00B4017B" w:rsidRPr="000F6CD1" w:rsidRDefault="00B4017B" w:rsidP="00EB1069">
      <w:r w:rsidRPr="000F6CD1">
        <w:t xml:space="preserve">Before entering into permanent residential care, an older person should have their means assessed to see if they’re eligible for Australian Government assistance with fees and accommodation costs. The fees they pay will depend on the outcome of their means assessment and what they agree on with their aged care provider. Residents can also submit an </w:t>
      </w:r>
      <w:r w:rsidRPr="000F6CD1">
        <w:rPr>
          <w:i/>
          <w:iCs/>
        </w:rPr>
        <w:t>Aged care calculation of your cost of care form</w:t>
      </w:r>
      <w:r w:rsidRPr="000F6CD1">
        <w:t xml:space="preserve"> after entering aged care.</w:t>
      </w:r>
    </w:p>
    <w:p w14:paraId="35B4DBDE" w14:textId="77777777" w:rsidR="00B4017B" w:rsidRPr="000F6CD1" w:rsidRDefault="00B4017B" w:rsidP="00EB1069">
      <w:r w:rsidRPr="000F6CD1">
        <w:t xml:space="preserve">All fees must be clearly written in the resident or service agreement, accommodation agreement and the optional higher everyday living agreement. </w:t>
      </w:r>
    </w:p>
    <w:p w14:paraId="7663B37B" w14:textId="77777777" w:rsidR="00B4017B" w:rsidRPr="000F6CD1" w:rsidRDefault="00B4017B" w:rsidP="00EB1069">
      <w:r w:rsidRPr="000F6CD1">
        <w:t>An older person may need to pay some or all of these fees:</w:t>
      </w:r>
    </w:p>
    <w:p w14:paraId="69E95BBC" w14:textId="77777777" w:rsidR="00B4017B" w:rsidRPr="000F6CD1" w:rsidRDefault="00B4017B">
      <w:pPr>
        <w:pStyle w:val="ListParagraph"/>
        <w:numPr>
          <w:ilvl w:val="0"/>
          <w:numId w:val="473"/>
        </w:numPr>
        <w:spacing w:before="120" w:after="120" w:line="276" w:lineRule="auto"/>
      </w:pPr>
      <w:r w:rsidRPr="000F6CD1">
        <w:t>basic daily fee</w:t>
      </w:r>
    </w:p>
    <w:p w14:paraId="3871246C" w14:textId="77777777" w:rsidR="00B4017B" w:rsidRPr="000F6CD1" w:rsidRDefault="00B4017B">
      <w:pPr>
        <w:pStyle w:val="ListParagraph"/>
        <w:numPr>
          <w:ilvl w:val="0"/>
          <w:numId w:val="473"/>
        </w:numPr>
        <w:spacing w:before="120" w:after="120" w:line="276" w:lineRule="auto"/>
      </w:pPr>
      <w:r w:rsidRPr="000F6CD1">
        <w:t>means tested care fee</w:t>
      </w:r>
    </w:p>
    <w:p w14:paraId="678F1701" w14:textId="77777777" w:rsidR="00B4017B" w:rsidRPr="000F6CD1" w:rsidRDefault="00B4017B">
      <w:pPr>
        <w:pStyle w:val="ListParagraph"/>
        <w:numPr>
          <w:ilvl w:val="0"/>
          <w:numId w:val="473"/>
        </w:numPr>
        <w:spacing w:before="120" w:after="120" w:line="276" w:lineRule="auto"/>
      </w:pPr>
      <w:r w:rsidRPr="000F6CD1">
        <w:t>accommodation costs</w:t>
      </w:r>
    </w:p>
    <w:p w14:paraId="77725E0C" w14:textId="77777777" w:rsidR="00B4017B" w:rsidRPr="000F6CD1" w:rsidRDefault="00B4017B">
      <w:pPr>
        <w:pStyle w:val="ListParagraph"/>
        <w:numPr>
          <w:ilvl w:val="0"/>
          <w:numId w:val="473"/>
        </w:numPr>
        <w:spacing w:before="120" w:after="120" w:line="276" w:lineRule="auto"/>
      </w:pPr>
      <w:r w:rsidRPr="000F6CD1">
        <w:t>fees for optional services.</w:t>
      </w:r>
    </w:p>
    <w:tbl>
      <w:tblPr>
        <w:tblStyle w:val="TableGrid"/>
        <w:tblW w:w="0" w:type="auto"/>
        <w:tblLook w:val="04A0" w:firstRow="1" w:lastRow="0" w:firstColumn="1" w:lastColumn="0" w:noHBand="0" w:noVBand="1"/>
      </w:tblPr>
      <w:tblGrid>
        <w:gridCol w:w="988"/>
        <w:gridCol w:w="8028"/>
      </w:tblGrid>
      <w:tr w:rsidR="00B4017B" w:rsidRPr="000F6CD1" w14:paraId="4C03CC5A" w14:textId="77777777">
        <w:tc>
          <w:tcPr>
            <w:tcW w:w="988" w:type="dxa"/>
          </w:tcPr>
          <w:p w14:paraId="798EE6A5" w14:textId="77777777" w:rsidR="00B4017B" w:rsidRPr="000F6CD1" w:rsidRDefault="00B4017B">
            <w:pPr>
              <w:spacing w:before="240" w:after="240"/>
              <w:rPr>
                <w:szCs w:val="22"/>
              </w:rPr>
            </w:pPr>
            <w:r w:rsidRPr="000F6CD1">
              <w:rPr>
                <w:noProof/>
              </w:rPr>
              <w:drawing>
                <wp:anchor distT="0" distB="0" distL="114300" distR="114300" simplePos="0" relativeHeight="251658339" behindDoc="0" locked="0" layoutInCell="1" allowOverlap="1" wp14:anchorId="7F7CD1BD" wp14:editId="77F727F4">
                  <wp:simplePos x="0" y="0"/>
                  <wp:positionH relativeFrom="margin">
                    <wp:posOffset>-11430</wp:posOffset>
                  </wp:positionH>
                  <wp:positionV relativeFrom="paragraph">
                    <wp:posOffset>6985</wp:posOffset>
                  </wp:positionV>
                  <wp:extent cx="447675" cy="445208"/>
                  <wp:effectExtent l="0" t="0" r="0" b="0"/>
                  <wp:wrapNone/>
                  <wp:docPr id="1163329633" name="Picture 1163329633"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29633" name="Picture 1163329633"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7A33448B" w14:textId="77777777" w:rsidR="00B4017B" w:rsidRPr="000F6CD1" w:rsidRDefault="00B4017B" w:rsidP="0083127A">
            <w:pPr>
              <w:pStyle w:val="ListParagraph"/>
              <w:spacing w:before="240" w:after="240"/>
              <w:ind w:left="324"/>
              <w:rPr>
                <w:color w:val="2BB1BB"/>
                <w:szCs w:val="22"/>
                <w:u w:val="single"/>
              </w:rPr>
            </w:pPr>
            <w:hyperlink r:id="rId363" w:history="1">
              <w:r w:rsidRPr="000F6CD1">
                <w:rPr>
                  <w:rStyle w:val="Hyperlink"/>
                  <w:szCs w:val="22"/>
                </w:rPr>
                <w:t>Understanding fees for aged care homes – 1 July 2014 fee arrangements | Australian Government Department of Health, Disability and Ageing</w:t>
              </w:r>
            </w:hyperlink>
          </w:p>
          <w:p w14:paraId="1BD98B66" w14:textId="77777777" w:rsidR="00B4017B" w:rsidRPr="000F6CD1" w:rsidRDefault="00B4017B">
            <w:pPr>
              <w:pStyle w:val="ListParagraph"/>
              <w:spacing w:before="240" w:after="240"/>
              <w:ind w:left="324"/>
              <w:rPr>
                <w:color w:val="2BB1BB"/>
                <w:szCs w:val="22"/>
                <w:u w:val="single"/>
              </w:rPr>
            </w:pPr>
          </w:p>
          <w:p w14:paraId="03C5881F" w14:textId="77777777" w:rsidR="00B4017B" w:rsidRPr="000F6CD1" w:rsidRDefault="00B4017B">
            <w:pPr>
              <w:pStyle w:val="ListParagraph"/>
              <w:spacing w:before="240" w:after="240"/>
              <w:ind w:left="324"/>
              <w:rPr>
                <w:color w:val="2BB1BB"/>
                <w:szCs w:val="22"/>
                <w:u w:val="single"/>
              </w:rPr>
            </w:pPr>
            <w:hyperlink r:id="rId364" w:history="1">
              <w:r w:rsidRPr="000F6CD1">
                <w:rPr>
                  <w:rStyle w:val="Hyperlink"/>
                  <w:szCs w:val="22"/>
                </w:rPr>
                <w:t>Means assessment for residential aged care | Australian Government Department of Health, Disability and Ageing</w:t>
              </w:r>
            </w:hyperlink>
          </w:p>
        </w:tc>
      </w:tr>
    </w:tbl>
    <w:p w14:paraId="48C37049" w14:textId="77777777" w:rsidR="00B4017B" w:rsidRPr="000F6CD1" w:rsidRDefault="00B4017B" w:rsidP="00622CFF">
      <w:pPr>
        <w:spacing w:before="240" w:after="240" w:line="240" w:lineRule="auto"/>
        <w:rPr>
          <w:b/>
        </w:rPr>
      </w:pPr>
      <w:r w:rsidRPr="000F6CD1">
        <w:rPr>
          <w:b/>
        </w:rPr>
        <w:lastRenderedPageBreak/>
        <w:t>1 November 2025 fee arrangements</w:t>
      </w:r>
    </w:p>
    <w:p w14:paraId="0CB78753" w14:textId="77777777" w:rsidR="00B4017B" w:rsidRPr="000F6CD1" w:rsidRDefault="00B4017B" w:rsidP="00F00912">
      <w:r w:rsidRPr="000F6CD1">
        <w:t xml:space="preserve">Residents who have entered care after 1 November 2025 are affected by means assessment changes under the </w:t>
      </w:r>
      <w:r w:rsidRPr="00242364">
        <w:rPr>
          <w:i/>
          <w:iCs/>
        </w:rPr>
        <w:t>Aged Care Act 2024.</w:t>
      </w:r>
      <w:r w:rsidRPr="000F6CD1">
        <w:t xml:space="preserve"> These include: </w:t>
      </w:r>
    </w:p>
    <w:p w14:paraId="77CF36B8" w14:textId="77777777" w:rsidR="00B4017B" w:rsidRPr="000F6CD1" w:rsidRDefault="00B4017B">
      <w:pPr>
        <w:pStyle w:val="ListParagraph"/>
        <w:numPr>
          <w:ilvl w:val="0"/>
          <w:numId w:val="475"/>
        </w:numPr>
      </w:pPr>
      <w:r w:rsidRPr="000F6CD1">
        <w:t>new income and asset limits will determine the new </w:t>
      </w:r>
      <w:hyperlink r:id="rId365" w:tooltip="Means tested fees for residential aged care" w:history="1">
        <w:r w:rsidRPr="000F6CD1">
          <w:rPr>
            <w:rStyle w:val="Hyperlink"/>
          </w:rPr>
          <w:t>means tested fees</w:t>
        </w:r>
      </w:hyperlink>
    </w:p>
    <w:p w14:paraId="63731A31" w14:textId="77777777" w:rsidR="00B4017B" w:rsidRPr="000F6CD1" w:rsidRDefault="00B4017B">
      <w:pPr>
        <w:numPr>
          <w:ilvl w:val="0"/>
          <w:numId w:val="474"/>
        </w:numPr>
      </w:pPr>
      <w:r w:rsidRPr="000F6CD1">
        <w:t>the hotelling supplement will be means tested rather than paid in full by the government, and some residents will contribute to it with a hotelling contribution</w:t>
      </w:r>
    </w:p>
    <w:p w14:paraId="51C0B2A0" w14:textId="77777777" w:rsidR="00B4017B" w:rsidRPr="000F6CD1" w:rsidRDefault="00B4017B">
      <w:pPr>
        <w:numPr>
          <w:ilvl w:val="0"/>
          <w:numId w:val="474"/>
        </w:numPr>
      </w:pPr>
      <w:r w:rsidRPr="000F6CD1">
        <w:t>some residents will pay a new means tested non-clinical care contribution with daily and lifetime caps.</w:t>
      </w:r>
    </w:p>
    <w:p w14:paraId="68918262" w14:textId="09909A7A" w:rsidR="00B4017B" w:rsidRPr="000F6CD1" w:rsidRDefault="00B4017B" w:rsidP="00134B99">
      <w:r w:rsidRPr="000F6CD1">
        <w:t xml:space="preserve">Before entering permanent residential care, an older person should have their means assessed to see if they’re eligible for Australian Government assistance with fees and accommodation costs. The fees they pay will depend on the outcome of their means assessment and what they agree on with their aged care provider. Residents can also submit an </w:t>
      </w:r>
      <w:r w:rsidRPr="000F6CD1">
        <w:rPr>
          <w:i/>
        </w:rPr>
        <w:t>Aged care calculation of your cost of care form</w:t>
      </w:r>
      <w:r w:rsidRPr="000F6CD1">
        <w:t xml:space="preserve"> after entering aged care. </w:t>
      </w:r>
    </w:p>
    <w:p w14:paraId="3143D6C6" w14:textId="16D2AE08" w:rsidR="00B4017B" w:rsidRPr="000F6CD1" w:rsidRDefault="00B4017B" w:rsidP="00134B99">
      <w:r w:rsidRPr="000F6CD1">
        <w:t xml:space="preserve">All fees must be clearly written in the service agreement with the provider, accommodation agreement and the optional higher everyday living agreement. These fees may change over time during the time of an older person’s care. </w:t>
      </w:r>
    </w:p>
    <w:p w14:paraId="1293365C" w14:textId="4599BDDC" w:rsidR="00B4017B" w:rsidRPr="000F6CD1" w:rsidRDefault="00B4017B" w:rsidP="00134B99">
      <w:r w:rsidRPr="000F6CD1">
        <w:t>Older people may need to pay some or all of these fees:</w:t>
      </w:r>
    </w:p>
    <w:p w14:paraId="34992563" w14:textId="43F37EF2" w:rsidR="00B4017B" w:rsidRPr="000F6CD1" w:rsidRDefault="00B4017B">
      <w:pPr>
        <w:pStyle w:val="ListParagraph"/>
        <w:numPr>
          <w:ilvl w:val="0"/>
          <w:numId w:val="473"/>
        </w:numPr>
        <w:spacing w:before="120" w:after="120" w:line="276" w:lineRule="auto"/>
      </w:pPr>
      <w:r w:rsidRPr="000F6CD1">
        <w:t>basic daily fee</w:t>
      </w:r>
    </w:p>
    <w:p w14:paraId="723C291E" w14:textId="77777777" w:rsidR="00B4017B" w:rsidRPr="000F6CD1" w:rsidRDefault="00B4017B">
      <w:pPr>
        <w:pStyle w:val="ListParagraph"/>
        <w:numPr>
          <w:ilvl w:val="0"/>
          <w:numId w:val="473"/>
        </w:numPr>
        <w:spacing w:before="120" w:after="120" w:line="276" w:lineRule="auto"/>
      </w:pPr>
      <w:r w:rsidRPr="000F6CD1">
        <w:t>hotelling contribution</w:t>
      </w:r>
    </w:p>
    <w:p w14:paraId="09026228" w14:textId="0FC0C6ED" w:rsidR="00B4017B" w:rsidRPr="000F6CD1" w:rsidRDefault="00B4017B">
      <w:pPr>
        <w:pStyle w:val="ListParagraph"/>
        <w:numPr>
          <w:ilvl w:val="0"/>
          <w:numId w:val="473"/>
        </w:numPr>
        <w:spacing w:before="120" w:after="120" w:line="276" w:lineRule="auto"/>
      </w:pPr>
      <w:r w:rsidRPr="000F6CD1">
        <w:t>non-clinical care contribution</w:t>
      </w:r>
    </w:p>
    <w:p w14:paraId="3B7C4E8E" w14:textId="5B34A411" w:rsidR="00B4017B" w:rsidRPr="000F6CD1" w:rsidRDefault="00B4017B">
      <w:pPr>
        <w:pStyle w:val="ListParagraph"/>
        <w:numPr>
          <w:ilvl w:val="0"/>
          <w:numId w:val="473"/>
        </w:numPr>
        <w:spacing w:before="120" w:after="120" w:line="276" w:lineRule="auto"/>
      </w:pPr>
      <w:r w:rsidRPr="000F6CD1">
        <w:t>accommodation costs</w:t>
      </w:r>
    </w:p>
    <w:p w14:paraId="2ADE7601" w14:textId="2D5054A1" w:rsidR="00B4017B" w:rsidRPr="000F6CD1" w:rsidRDefault="00B4017B">
      <w:pPr>
        <w:pStyle w:val="ListParagraph"/>
        <w:numPr>
          <w:ilvl w:val="0"/>
          <w:numId w:val="473"/>
        </w:numPr>
        <w:spacing w:before="120" w:after="120" w:line="276" w:lineRule="auto"/>
      </w:pPr>
      <w:r w:rsidRPr="000F6CD1">
        <w:t>higher everyday living fee.</w:t>
      </w:r>
    </w:p>
    <w:tbl>
      <w:tblPr>
        <w:tblStyle w:val="TableGrid"/>
        <w:tblW w:w="0" w:type="auto"/>
        <w:tblLook w:val="04A0" w:firstRow="1" w:lastRow="0" w:firstColumn="1" w:lastColumn="0" w:noHBand="0" w:noVBand="1"/>
      </w:tblPr>
      <w:tblGrid>
        <w:gridCol w:w="988"/>
        <w:gridCol w:w="8028"/>
      </w:tblGrid>
      <w:tr w:rsidR="00B4017B" w:rsidRPr="000F6CD1" w14:paraId="668399B1" w14:textId="77777777">
        <w:tc>
          <w:tcPr>
            <w:tcW w:w="988" w:type="dxa"/>
          </w:tcPr>
          <w:p w14:paraId="3361C4BA" w14:textId="77777777" w:rsidR="00B4017B" w:rsidRPr="000F6CD1" w:rsidRDefault="00B4017B">
            <w:pPr>
              <w:spacing w:before="240" w:after="240"/>
              <w:rPr>
                <w:szCs w:val="22"/>
              </w:rPr>
            </w:pPr>
            <w:r w:rsidRPr="000F6CD1">
              <w:rPr>
                <w:noProof/>
              </w:rPr>
              <w:drawing>
                <wp:anchor distT="0" distB="0" distL="114300" distR="114300" simplePos="0" relativeHeight="251658340" behindDoc="0" locked="0" layoutInCell="1" allowOverlap="1" wp14:anchorId="4B5EBF60" wp14:editId="12C9228D">
                  <wp:simplePos x="0" y="0"/>
                  <wp:positionH relativeFrom="margin">
                    <wp:posOffset>36195</wp:posOffset>
                  </wp:positionH>
                  <wp:positionV relativeFrom="paragraph">
                    <wp:posOffset>140335</wp:posOffset>
                  </wp:positionV>
                  <wp:extent cx="447675" cy="445208"/>
                  <wp:effectExtent l="0" t="0" r="0" b="0"/>
                  <wp:wrapNone/>
                  <wp:docPr id="479115196" name="Picture 479115196"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15196" name="Picture 479115196"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tc>
        <w:tc>
          <w:tcPr>
            <w:tcW w:w="8028" w:type="dxa"/>
          </w:tcPr>
          <w:p w14:paraId="48C4EE88" w14:textId="77777777" w:rsidR="00B4017B" w:rsidRPr="000F6CD1" w:rsidRDefault="00B4017B">
            <w:pPr>
              <w:pStyle w:val="ListParagraph"/>
              <w:spacing w:before="240" w:after="240"/>
              <w:ind w:left="324"/>
              <w:rPr>
                <w:color w:val="2BB1BB"/>
                <w:szCs w:val="22"/>
                <w:u w:val="single"/>
              </w:rPr>
            </w:pPr>
            <w:hyperlink r:id="rId366" w:history="1">
              <w:r w:rsidRPr="000F6CD1">
                <w:rPr>
                  <w:rStyle w:val="Hyperlink"/>
                  <w:szCs w:val="22"/>
                </w:rPr>
                <w:t>Understanding fees for aged care homes – 1 November 2025 fee arrangements | Australian Government Department of Health, Disability and Ageing</w:t>
              </w:r>
            </w:hyperlink>
          </w:p>
          <w:p w14:paraId="45FFC4E0" w14:textId="77777777" w:rsidR="00B4017B" w:rsidRPr="000F6CD1" w:rsidRDefault="00B4017B">
            <w:pPr>
              <w:pStyle w:val="ListParagraph"/>
              <w:spacing w:before="240" w:after="240"/>
              <w:ind w:left="324"/>
              <w:rPr>
                <w:color w:val="2BB1BB"/>
                <w:szCs w:val="22"/>
                <w:u w:val="single"/>
              </w:rPr>
            </w:pPr>
          </w:p>
          <w:p w14:paraId="0030ADAE" w14:textId="77777777" w:rsidR="00B4017B" w:rsidRPr="000F6CD1" w:rsidRDefault="00B4017B">
            <w:pPr>
              <w:pStyle w:val="ListParagraph"/>
              <w:spacing w:before="240" w:after="240"/>
              <w:ind w:left="324"/>
              <w:rPr>
                <w:color w:val="2BB1BB"/>
                <w:szCs w:val="22"/>
                <w:u w:val="single"/>
              </w:rPr>
            </w:pPr>
            <w:hyperlink r:id="rId367" w:history="1">
              <w:r w:rsidRPr="000F6CD1">
                <w:rPr>
                  <w:rStyle w:val="Hyperlink"/>
                  <w:szCs w:val="22"/>
                </w:rPr>
                <w:t>Means assessment for residential aged care | Australian Government Department of Health, Disability and Ageing</w:t>
              </w:r>
            </w:hyperlink>
          </w:p>
        </w:tc>
      </w:tr>
    </w:tbl>
    <w:p w14:paraId="61ABFEF5" w14:textId="29514DD9" w:rsidR="00B4017B" w:rsidRPr="000F6CD1" w:rsidRDefault="00B4017B" w:rsidP="00AD2CE5">
      <w:pPr>
        <w:pStyle w:val="H3"/>
      </w:pPr>
      <w:bookmarkStart w:id="1148" w:name="_Ref133403760"/>
      <w:bookmarkStart w:id="1149" w:name="_Toc159226982"/>
      <w:bookmarkStart w:id="1150" w:name="_Toc201143491"/>
      <w:r w:rsidRPr="000F6CD1">
        <w:t>Financial hardship</w:t>
      </w:r>
      <w:bookmarkEnd w:id="1148"/>
      <w:bookmarkEnd w:id="1149"/>
      <w:bookmarkEnd w:id="1150"/>
    </w:p>
    <w:p w14:paraId="1E60D532" w14:textId="55DDAFA4" w:rsidR="00B4017B" w:rsidRPr="000F6CD1" w:rsidRDefault="00B4017B" w:rsidP="00E30D84">
      <w:r w:rsidRPr="000F6CD1">
        <w:t>Financial hardship arrangements</w:t>
      </w:r>
      <w:r w:rsidRPr="000F6CD1" w:rsidDel="00B256B6">
        <w:t xml:space="preserve"> </w:t>
      </w:r>
      <w:r w:rsidRPr="000F6CD1">
        <w:t>available if an older person can’t afford to contribute to the cost of their aged care, both in residential care and in-home care. An older person will be assessed on their specific circumstances. If approved for hardship assistance, the Australian Government will pay some (or all) of their aged care fees. The government will pay any approved amounts to the aged care provider on the older person’s behalf. If an older person is required to pay some of their fees, they will continue to pay those to their provider.</w:t>
      </w:r>
    </w:p>
    <w:p w14:paraId="03DFB0FD" w14:textId="00D69159" w:rsidR="00B4017B" w:rsidRPr="000F6CD1" w:rsidRDefault="00B4017B" w:rsidP="00E30D84">
      <w:r w:rsidRPr="000F6CD1">
        <w:t xml:space="preserve">To apply for financial hardship assistance, an older person must meet certain requirements and complete the Aged Care Claim for Financial Hardship Assistance form. This form is sent to Services Australia to assess the </w:t>
      </w:r>
      <w:r w:rsidR="005743DA" w:rsidRPr="000F6CD1">
        <w:t>application,</w:t>
      </w:r>
      <w:r w:rsidRPr="000F6CD1">
        <w:t xml:space="preserve"> and they will let the older person know in writing of their decision and what assistance they are eligible for. This form should be submitted by an older person once they start accessing aged care services. </w:t>
      </w:r>
    </w:p>
    <w:p w14:paraId="37959AE0" w14:textId="0AE4305C" w:rsidR="00B4017B" w:rsidRPr="000F6CD1" w:rsidRDefault="00B4017B" w:rsidP="00E30D84">
      <w:pPr>
        <w:rPr>
          <w:szCs w:val="22"/>
        </w:rPr>
      </w:pPr>
      <w:hyperlink r:id="rId368" w:history="1">
        <w:r w:rsidRPr="000F6CD1">
          <w:rPr>
            <w:rStyle w:val="Hyperlink"/>
            <w:szCs w:val="22"/>
          </w:rPr>
          <w:t>Hardship assistance for aged care – Fact sheet</w:t>
        </w:r>
      </w:hyperlink>
      <w:r w:rsidRPr="000F6CD1">
        <w:rPr>
          <w:noProof/>
        </w:rPr>
        <w:drawing>
          <wp:anchor distT="0" distB="0" distL="114300" distR="114300" simplePos="0" relativeHeight="251658341" behindDoc="0" locked="0" layoutInCell="1" allowOverlap="1" wp14:anchorId="1F760B80" wp14:editId="2E629F7F">
            <wp:simplePos x="0" y="0"/>
            <wp:positionH relativeFrom="column">
              <wp:posOffset>-635</wp:posOffset>
            </wp:positionH>
            <wp:positionV relativeFrom="paragraph">
              <wp:posOffset>40640</wp:posOffset>
            </wp:positionV>
            <wp:extent cx="356235" cy="354330"/>
            <wp:effectExtent l="0" t="0" r="5715" b="7620"/>
            <wp:wrapSquare wrapText="bothSides"/>
            <wp:docPr id="706489175" name="Picture 706489175"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89175" name="Picture 706489175"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r w:rsidRPr="000F6CD1">
        <w:rPr>
          <w:szCs w:val="22"/>
        </w:rPr>
        <w:t xml:space="preserve"> </w:t>
      </w:r>
    </w:p>
    <w:p w14:paraId="0163495D" w14:textId="5A81CECE" w:rsidR="00B4017B" w:rsidRPr="000F6CD1" w:rsidRDefault="00B4017B" w:rsidP="00E30D84">
      <w:hyperlink r:id="rId369" w:anchor="how-apply-assistance" w:history="1">
        <w:r w:rsidRPr="000F6CD1">
          <w:rPr>
            <w:rStyle w:val="Hyperlink"/>
            <w:szCs w:val="22"/>
          </w:rPr>
          <w:t>Financial hardship assistance | My Aged Care</w:t>
        </w:r>
      </w:hyperlink>
    </w:p>
    <w:p w14:paraId="59021AEC" w14:textId="2DF44B17" w:rsidR="00B4017B" w:rsidRPr="000F6CD1" w:rsidRDefault="00B4017B" w:rsidP="00E30D84"/>
    <w:p w14:paraId="40CFBB08" w14:textId="0FF176AB" w:rsidR="00B4017B" w:rsidRPr="000F6CD1" w:rsidRDefault="005743DA" w:rsidP="00AD2CE5">
      <w:pPr>
        <w:pStyle w:val="H3"/>
      </w:pPr>
      <w:r>
        <w:drawing>
          <wp:anchor distT="0" distB="0" distL="114300" distR="114300" simplePos="0" relativeHeight="251658342" behindDoc="0" locked="0" layoutInCell="1" allowOverlap="1" wp14:anchorId="1ECB4E75" wp14:editId="239E2697">
            <wp:simplePos x="0" y="0"/>
            <wp:positionH relativeFrom="margin">
              <wp:align>left</wp:align>
            </wp:positionH>
            <wp:positionV relativeFrom="margin">
              <wp:posOffset>885825</wp:posOffset>
            </wp:positionV>
            <wp:extent cx="365792" cy="403895"/>
            <wp:effectExtent l="0" t="0" r="0" b="0"/>
            <wp:wrapSquare wrapText="bothSides"/>
            <wp:docPr id="892380068" name="Picture 1" descr="A bell with an exclamation mark that denotes a significant change in information from version 8.2 of the Aged Care Assessment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80068" name="Picture 1" descr="A bell with an exclamation mark that denotes a significant change in information from version 8.2 of the Aged Care Assessment Manual. "/>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t>Fees payable by older people accessing care under the MPSP</w:t>
      </w:r>
    </w:p>
    <w:p w14:paraId="7C470B67" w14:textId="246CEE93" w:rsidR="00B4017B" w:rsidRPr="000F6CD1" w:rsidRDefault="00B4017B">
      <w:r w:rsidRPr="000F6CD1">
        <w:rPr>
          <w:szCs w:val="22"/>
        </w:rPr>
        <w:t xml:space="preserve">Under the MPSP, a provider may </w:t>
      </w:r>
      <w:r w:rsidRPr="000F6CD1">
        <w:t xml:space="preserve">charge older people a specialist aged care program fee which is intended to help cover the costs of daily living like meals, cleaning, laundry, heating and cooling. Providers can decide the amount payable at their discretion, but it cannot be more than the amount agreed between the registered provider and the individual in a written agreement. </w:t>
      </w:r>
    </w:p>
    <w:p w14:paraId="4C8D6507" w14:textId="77777777" w:rsidR="00B4017B" w:rsidRPr="000F6CD1" w:rsidRDefault="00B4017B">
      <w:r w:rsidRPr="000F6CD1">
        <w:t>The fee cannot be more than:</w:t>
      </w:r>
    </w:p>
    <w:p w14:paraId="6769AC0F" w14:textId="77777777" w:rsidR="00B4017B" w:rsidRPr="000F6CD1" w:rsidRDefault="00B4017B">
      <w:pPr>
        <w:pStyle w:val="ListBullet"/>
      </w:pPr>
      <w:r w:rsidRPr="000F6CD1">
        <w:t>85% of the basic age pension amount (worked out on a per day basis) for residential care, or</w:t>
      </w:r>
    </w:p>
    <w:p w14:paraId="5BFAB894" w14:textId="77777777" w:rsidR="00B4017B" w:rsidRPr="000F6CD1" w:rsidRDefault="00B4017B">
      <w:pPr>
        <w:pStyle w:val="ListBullet"/>
      </w:pPr>
      <w:r w:rsidRPr="000F6CD1">
        <w:t>17.5% of the basic age pension amount (worked out on a per day basis) for home support, assistive technology or home modifications services.</w:t>
      </w:r>
    </w:p>
    <w:p w14:paraId="3C87ECA5" w14:textId="77777777" w:rsidR="00B4017B" w:rsidRPr="000F6CD1" w:rsidRDefault="00B4017B">
      <w:r w:rsidRPr="000F6CD1">
        <w:t>The Rules also require that the provider has a financial hardship policy which must be considered when charging any specialist aged care program fee.</w:t>
      </w:r>
    </w:p>
    <w:p w14:paraId="458E387A" w14:textId="77777777" w:rsidR="00B4017B" w:rsidRPr="000F6CD1" w:rsidRDefault="00B4017B">
      <w:r w:rsidRPr="000F6CD1">
        <w:t xml:space="preserve">For ongoing residential care, in some circumstances, the provider can charge an accommodation payment to cover the costs of a resident’s accommodation. </w:t>
      </w:r>
    </w:p>
    <w:p w14:paraId="7C19858C" w14:textId="77777777" w:rsidR="00B4017B" w:rsidRPr="000F6CD1" w:rsidRDefault="00B4017B">
      <w:r w:rsidRPr="000F6CD1">
        <w:t>An MPS can only charge this if the resident’s means assessment indicates they must pay an accommodation payment. The resident’s means are determined via a pre-entry means assessment from Services Australia. </w:t>
      </w:r>
    </w:p>
    <w:p w14:paraId="7A2534E8" w14:textId="77777777" w:rsidR="00B4017B" w:rsidRPr="000F6CD1" w:rsidRDefault="00B4017B">
      <w:r w:rsidRPr="000F6CD1">
        <w:rPr>
          <w:noProof/>
        </w:rPr>
        <w:drawing>
          <wp:anchor distT="0" distB="0" distL="114300" distR="114300" simplePos="0" relativeHeight="251658343" behindDoc="0" locked="0" layoutInCell="1" allowOverlap="1" wp14:anchorId="435341F4" wp14:editId="3AC8F607">
            <wp:simplePos x="0" y="0"/>
            <wp:positionH relativeFrom="margin">
              <wp:posOffset>133350</wp:posOffset>
            </wp:positionH>
            <wp:positionV relativeFrom="paragraph">
              <wp:posOffset>143510</wp:posOffset>
            </wp:positionV>
            <wp:extent cx="447675" cy="445208"/>
            <wp:effectExtent l="0" t="0" r="0" b="0"/>
            <wp:wrapNone/>
            <wp:docPr id="1596976745" name="Picture 1596976745" descr="A black-and-white “i” icon inside a speech bubble, used to show where there are links to additional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6745" name="Picture 1596976745" descr="A black-and-white “i” icon inside a speech bubble, used to show where there are links to additional information and resourc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7675" cy="445208"/>
                    </a:xfrm>
                    <a:prstGeom prst="rect">
                      <a:avLst/>
                    </a:prstGeom>
                  </pic:spPr>
                </pic:pic>
              </a:graphicData>
            </a:graphic>
          </wp:anchor>
        </w:drawing>
      </w:r>
    </w:p>
    <w:p w14:paraId="006B9B9A" w14:textId="77777777" w:rsidR="00B4017B" w:rsidRPr="000F6CD1" w:rsidRDefault="00B4017B" w:rsidP="00360965">
      <w:pPr>
        <w:ind w:left="504" w:firstLine="720"/>
      </w:pPr>
      <w:hyperlink r:id="rId370" w:history="1">
        <w:r w:rsidRPr="000F6CD1">
          <w:rPr>
            <w:rStyle w:val="Hyperlink"/>
          </w:rPr>
          <w:t>Fees and charges under the MPSP – Consumer fact sheet</w:t>
        </w:r>
      </w:hyperlink>
    </w:p>
    <w:p w14:paraId="3B3D050A" w14:textId="77777777" w:rsidR="00B4017B" w:rsidRPr="000F6CD1" w:rsidRDefault="00B4017B"/>
    <w:p w14:paraId="2EF71CEA" w14:textId="77777777" w:rsidR="00B4017B" w:rsidRPr="000F6CD1" w:rsidRDefault="00B4017B" w:rsidP="00AD2CE5">
      <w:pPr>
        <w:pStyle w:val="H3"/>
      </w:pPr>
      <w:bookmarkStart w:id="1151" w:name="_Toc159226983"/>
      <w:bookmarkStart w:id="1152" w:name="_Toc201143492"/>
      <w:r w:rsidRPr="000F6CD1">
        <w:t xml:space="preserve">Fees payable by older people receiving transition care  </w:t>
      </w:r>
      <w:bookmarkEnd w:id="1151"/>
      <w:bookmarkEnd w:id="1152"/>
    </w:p>
    <w:p w14:paraId="591CF880" w14:textId="77777777" w:rsidR="00B4017B" w:rsidRPr="000F6CD1" w:rsidRDefault="00B4017B" w:rsidP="00622CFF">
      <w:pPr>
        <w:spacing w:before="240" w:after="240" w:line="240" w:lineRule="auto"/>
        <w:rPr>
          <w:szCs w:val="22"/>
        </w:rPr>
      </w:pPr>
      <w:r w:rsidRPr="000F6CD1">
        <w:rPr>
          <w:szCs w:val="22"/>
        </w:rPr>
        <w:t xml:space="preserve">Registered providers may ask individuals to pay a care fee as a contribution to the cost of their care. Any fees must be fully explained to the individual and the amount charged forms part of the service agreement between the individual and registered provider. </w:t>
      </w:r>
    </w:p>
    <w:p w14:paraId="477628E1" w14:textId="77777777" w:rsidR="00B4017B" w:rsidRPr="000F6CD1" w:rsidRDefault="00B4017B" w:rsidP="00622CFF">
      <w:pPr>
        <w:spacing w:before="240" w:after="240" w:line="240" w:lineRule="auto"/>
        <w:rPr>
          <w:szCs w:val="22"/>
        </w:rPr>
      </w:pPr>
      <w:r w:rsidRPr="000F6CD1">
        <w:rPr>
          <w:szCs w:val="22"/>
        </w:rPr>
        <w:t xml:space="preserve">The maximum amount that can be charged as per section 286-10 of the </w:t>
      </w:r>
      <w:r w:rsidRPr="000F6CD1">
        <w:rPr>
          <w:i/>
          <w:szCs w:val="22"/>
        </w:rPr>
        <w:t>Aged Care Rules 2025</w:t>
      </w:r>
      <w:r w:rsidRPr="000F6CD1">
        <w:rPr>
          <w:szCs w:val="22"/>
        </w:rPr>
        <w:t xml:space="preserve"> is: </w:t>
      </w:r>
    </w:p>
    <w:p w14:paraId="1B0B2C89" w14:textId="77777777" w:rsidR="00B4017B" w:rsidRPr="000F6CD1" w:rsidRDefault="00B4017B">
      <w:pPr>
        <w:pStyle w:val="ListParagraph"/>
        <w:numPr>
          <w:ilvl w:val="0"/>
          <w:numId w:val="477"/>
        </w:numPr>
        <w:spacing w:before="240" w:after="240" w:line="240" w:lineRule="auto"/>
        <w:rPr>
          <w:szCs w:val="22"/>
        </w:rPr>
      </w:pPr>
      <w:r w:rsidRPr="000F6CD1">
        <w:rPr>
          <w:szCs w:val="22"/>
        </w:rPr>
        <w:t xml:space="preserve">if Transition Care Program (TCP) is delivered through the residential care service group —the amount obtained by rounding down to the nearest cent the amount equal to 85% of the basic age pension amount (worked out on a per day basis); or </w:t>
      </w:r>
    </w:p>
    <w:p w14:paraId="16B853B9" w14:textId="77777777" w:rsidR="00B4017B" w:rsidRPr="000F6CD1" w:rsidRDefault="00B4017B">
      <w:pPr>
        <w:pStyle w:val="ListParagraph"/>
        <w:numPr>
          <w:ilvl w:val="0"/>
          <w:numId w:val="477"/>
        </w:numPr>
        <w:spacing w:before="240" w:after="240" w:line="240" w:lineRule="auto"/>
        <w:rPr>
          <w:szCs w:val="22"/>
        </w:rPr>
      </w:pPr>
      <w:r w:rsidRPr="000F6CD1">
        <w:rPr>
          <w:szCs w:val="22"/>
        </w:rPr>
        <w:t xml:space="preserve">if TCP is delivered in a community/home setting and is delivered through the home support, or assistive technology service groups — the amount obtained by rounding down to the nearest cent the amount equal to 17.5% of the basic age pension amount (worked out on a per day basis). </w:t>
      </w:r>
    </w:p>
    <w:p w14:paraId="38708C6A" w14:textId="77777777" w:rsidR="00B4017B" w:rsidRPr="000F6CD1" w:rsidRDefault="00B4017B" w:rsidP="00622CFF">
      <w:pPr>
        <w:spacing w:before="240" w:after="240" w:line="240" w:lineRule="auto"/>
        <w:rPr>
          <w:szCs w:val="22"/>
        </w:rPr>
      </w:pPr>
      <w:r w:rsidRPr="000F6CD1">
        <w:rPr>
          <w:szCs w:val="22"/>
        </w:rPr>
        <w:lastRenderedPageBreak/>
        <w:t xml:space="preserve">An individual’s access to transition care should not be affected by their ability to pay fees but should be decided based on their need for care and the capacity of the registered provider to meet that need. Decisions on whether to charge fees are entirely at the discretion of each State and Territory. The Australian Government recommends that fees be waived for financially disadvantaged individuals. Information on the cost of transition care for individuals is outlined on the My Aged Care website. </w:t>
      </w:r>
    </w:p>
    <w:tbl>
      <w:tblPr>
        <w:tblStyle w:val="TableGrid"/>
        <w:tblW w:w="0" w:type="auto"/>
        <w:tblLook w:val="04A0" w:firstRow="1" w:lastRow="0" w:firstColumn="1" w:lastColumn="0" w:noHBand="0" w:noVBand="1"/>
      </w:tblPr>
      <w:tblGrid>
        <w:gridCol w:w="993"/>
        <w:gridCol w:w="8033"/>
      </w:tblGrid>
      <w:tr w:rsidR="00B4017B" w:rsidRPr="000F6CD1" w14:paraId="3216AEC7" w14:textId="77777777" w:rsidTr="00E42183">
        <w:tc>
          <w:tcPr>
            <w:tcW w:w="993" w:type="dxa"/>
          </w:tcPr>
          <w:p w14:paraId="50C79ECA" w14:textId="77777777" w:rsidR="00B4017B" w:rsidRPr="000F6CD1" w:rsidRDefault="00B4017B" w:rsidP="00622CFF">
            <w:pPr>
              <w:spacing w:before="240" w:after="240"/>
              <w:rPr>
                <w:szCs w:val="22"/>
              </w:rPr>
            </w:pPr>
            <w:r w:rsidRPr="000F6CD1">
              <w:rPr>
                <w:noProof/>
              </w:rPr>
              <w:drawing>
                <wp:anchor distT="0" distB="0" distL="114300" distR="114300" simplePos="0" relativeHeight="251658344" behindDoc="0" locked="0" layoutInCell="1" allowOverlap="1" wp14:anchorId="24074CE9" wp14:editId="7986E00C">
                  <wp:simplePos x="0" y="0"/>
                  <wp:positionH relativeFrom="column">
                    <wp:posOffset>47625</wp:posOffset>
                  </wp:positionH>
                  <wp:positionV relativeFrom="paragraph">
                    <wp:posOffset>116840</wp:posOffset>
                  </wp:positionV>
                  <wp:extent cx="356235" cy="354330"/>
                  <wp:effectExtent l="0" t="0" r="5715" b="7620"/>
                  <wp:wrapSquare wrapText="bothSides"/>
                  <wp:docPr id="890487584" name="Picture 890487584"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87584" name="Picture 890487584"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152394E3" w14:textId="77777777" w:rsidR="00B4017B" w:rsidRPr="000F6CD1" w:rsidRDefault="00B4017B" w:rsidP="00622CFF">
            <w:pPr>
              <w:spacing w:before="240" w:after="240"/>
            </w:pPr>
            <w:hyperlink r:id="rId371" w:history="1">
              <w:r w:rsidRPr="000F6CD1">
                <w:rPr>
                  <w:rStyle w:val="Hyperlink"/>
                </w:rPr>
                <w:t>Transition care | My Aged Care</w:t>
              </w:r>
            </w:hyperlink>
          </w:p>
          <w:p w14:paraId="1113725A" w14:textId="77777777" w:rsidR="00B4017B" w:rsidRPr="000F6CD1" w:rsidRDefault="00B4017B" w:rsidP="00622CFF">
            <w:pPr>
              <w:spacing w:before="240" w:after="240"/>
              <w:rPr>
                <w:szCs w:val="22"/>
              </w:rPr>
            </w:pPr>
            <w:hyperlink r:id="rId372" w:history="1">
              <w:r w:rsidRPr="000F6CD1">
                <w:rPr>
                  <w:rStyle w:val="Hyperlink"/>
                </w:rPr>
                <w:t>Transition Care Program Guidelines – November 2025 | Australian Government Department of Health, Disability and Ageing</w:t>
              </w:r>
            </w:hyperlink>
          </w:p>
        </w:tc>
      </w:tr>
    </w:tbl>
    <w:p w14:paraId="2B3BD818" w14:textId="77777777" w:rsidR="00B4017B" w:rsidRPr="000F6CD1" w:rsidRDefault="00B4017B" w:rsidP="00AD2CE5">
      <w:pPr>
        <w:pStyle w:val="H3"/>
      </w:pPr>
      <w:bookmarkStart w:id="1153" w:name="_Toc159226984"/>
      <w:bookmarkStart w:id="1154" w:name="_Toc201143493"/>
      <w:r w:rsidRPr="000F6CD1">
        <w:t>Non-Australian residents</w:t>
      </w:r>
      <w:bookmarkEnd w:id="1153"/>
      <w:bookmarkEnd w:id="1154"/>
    </w:p>
    <w:p w14:paraId="31DDD55B" w14:textId="77777777" w:rsidR="00B4017B" w:rsidRPr="000F6CD1" w:rsidRDefault="00B4017B" w:rsidP="00622CFF">
      <w:pPr>
        <w:spacing w:before="240" w:after="240" w:line="240" w:lineRule="auto"/>
        <w:rPr>
          <w:szCs w:val="22"/>
        </w:rPr>
      </w:pPr>
      <w:r w:rsidRPr="000F6CD1">
        <w:rPr>
          <w:szCs w:val="22"/>
        </w:rPr>
        <w:t xml:space="preserve">Non-Australian residents are not excluded from entitlements under the </w:t>
      </w:r>
      <w:r w:rsidRPr="000F6CD1">
        <w:rPr>
          <w:i/>
          <w:szCs w:val="22"/>
        </w:rPr>
        <w:t>Aged Care 2024</w:t>
      </w:r>
      <w:r w:rsidRPr="000F6CD1">
        <w:rPr>
          <w:szCs w:val="22"/>
        </w:rPr>
        <w:t xml:space="preserve"> (the Act) and Visa holders do not require a Medicare Card in order to access an assessment. </w:t>
      </w:r>
    </w:p>
    <w:p w14:paraId="264EC639" w14:textId="77777777" w:rsidR="00B4017B" w:rsidRPr="000F6CD1" w:rsidRDefault="00B4017B" w:rsidP="00622CFF">
      <w:pPr>
        <w:spacing w:before="240" w:after="240" w:line="240" w:lineRule="auto"/>
        <w:rPr>
          <w:szCs w:val="22"/>
        </w:rPr>
      </w:pPr>
      <w:r w:rsidRPr="000F6CD1">
        <w:rPr>
          <w:szCs w:val="22"/>
        </w:rPr>
        <w:t xml:space="preserve">Under the Act, non-Australian residents may be eligible for Government assistance with their aged care costs, if the person has been approved by an assessor and has had their income (for home care) or means (for residential care) assessed by Services Australia. </w:t>
      </w:r>
    </w:p>
    <w:p w14:paraId="37173B18" w14:textId="77777777" w:rsidR="00B4017B" w:rsidRPr="000F6CD1" w:rsidRDefault="00B4017B" w:rsidP="00622CFF">
      <w:pPr>
        <w:spacing w:before="240" w:after="240" w:line="240" w:lineRule="auto"/>
        <w:rPr>
          <w:szCs w:val="22"/>
        </w:rPr>
      </w:pPr>
      <w:r w:rsidRPr="000F6CD1">
        <w:rPr>
          <w:szCs w:val="22"/>
        </w:rPr>
        <w:t xml:space="preserve">While the Australian Government is the majority funder of aged care, beyond this support it is expected that people will use their income and/or assets, depending on their care type, to contribute to the costs of their care, where they can afford to do so. The amount that the person can be asked to contribute will be assessed by Services Australia under the same rules as any other aged care recipient. </w:t>
      </w:r>
    </w:p>
    <w:p w14:paraId="1142DF03" w14:textId="77777777" w:rsidR="00B4017B" w:rsidRPr="000F6CD1" w:rsidRDefault="00B4017B" w:rsidP="00622CFF">
      <w:pPr>
        <w:spacing w:before="240" w:after="240" w:line="240" w:lineRule="auto"/>
        <w:rPr>
          <w:szCs w:val="22"/>
        </w:rPr>
      </w:pPr>
      <w:r w:rsidRPr="000F6CD1">
        <w:rPr>
          <w:szCs w:val="22"/>
        </w:rPr>
        <w:t xml:space="preserve">In the event that a non-Australian resident client requests advice from an assessor regarding what fees and payments they may be required to contribute towards their home care or residential care services, they should be advised to complete an income or means assessment to determine their contribution. This applies for all clients who wish to receive Government assistance with the cost of their care, regardless of residency status. </w:t>
      </w:r>
    </w:p>
    <w:tbl>
      <w:tblPr>
        <w:tblStyle w:val="TableGrid"/>
        <w:tblW w:w="0" w:type="auto"/>
        <w:tblLook w:val="04A0" w:firstRow="1" w:lastRow="0" w:firstColumn="1" w:lastColumn="0" w:noHBand="0" w:noVBand="1"/>
      </w:tblPr>
      <w:tblGrid>
        <w:gridCol w:w="993"/>
        <w:gridCol w:w="8033"/>
      </w:tblGrid>
      <w:tr w:rsidR="00B4017B" w:rsidRPr="000F6CD1" w14:paraId="196DB480" w14:textId="77777777" w:rsidTr="00FD0827">
        <w:tc>
          <w:tcPr>
            <w:tcW w:w="993" w:type="dxa"/>
          </w:tcPr>
          <w:p w14:paraId="4D724105" w14:textId="77777777" w:rsidR="00B4017B" w:rsidRPr="000F6CD1" w:rsidRDefault="00B4017B">
            <w:pPr>
              <w:spacing w:before="240" w:after="240"/>
              <w:rPr>
                <w:szCs w:val="22"/>
              </w:rPr>
            </w:pPr>
            <w:r w:rsidRPr="000F6CD1">
              <w:rPr>
                <w:noProof/>
              </w:rPr>
              <w:drawing>
                <wp:anchor distT="0" distB="0" distL="114300" distR="114300" simplePos="0" relativeHeight="251658345" behindDoc="0" locked="0" layoutInCell="1" allowOverlap="1" wp14:anchorId="6F46764F" wp14:editId="43A35736">
                  <wp:simplePos x="0" y="0"/>
                  <wp:positionH relativeFrom="column">
                    <wp:posOffset>47625</wp:posOffset>
                  </wp:positionH>
                  <wp:positionV relativeFrom="paragraph">
                    <wp:posOffset>116840</wp:posOffset>
                  </wp:positionV>
                  <wp:extent cx="356235" cy="354330"/>
                  <wp:effectExtent l="0" t="0" r="5715" b="7620"/>
                  <wp:wrapSquare wrapText="bothSides"/>
                  <wp:docPr id="1862631745" name="Picture 1862631745" descr="A black-and-white “i” icon inside a speech bubble, used to show where there are links to additional information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1745" name="Picture 1862631745" descr="A black-and-white “i” icon inside a speech bubble, used to show where there are links to additional information and resources.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235" cy="35433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tcPr>
          <w:p w14:paraId="333528DF" w14:textId="77777777" w:rsidR="00B4017B" w:rsidRPr="000F6CD1" w:rsidRDefault="00B4017B" w:rsidP="00FD0827">
            <w:pPr>
              <w:pStyle w:val="ListParagraph"/>
              <w:spacing w:before="240" w:after="240"/>
              <w:ind w:left="1134"/>
              <w:rPr>
                <w:color w:val="2BB1BB"/>
                <w:u w:val="single"/>
              </w:rPr>
            </w:pPr>
            <w:hyperlink r:id="rId373" w:history="1">
              <w:r w:rsidRPr="000F6CD1">
                <w:rPr>
                  <w:rStyle w:val="Hyperlink"/>
                </w:rPr>
                <w:t>Income and means assessment</w:t>
              </w:r>
            </w:hyperlink>
          </w:p>
        </w:tc>
      </w:tr>
    </w:tbl>
    <w:p w14:paraId="20B262E6" w14:textId="77777777" w:rsidR="00B4017B" w:rsidRPr="000F6CD1" w:rsidRDefault="00B4017B" w:rsidP="00622CFF">
      <w:pPr>
        <w:spacing w:before="240" w:after="240" w:line="240" w:lineRule="auto"/>
        <w:rPr>
          <w:szCs w:val="22"/>
        </w:rPr>
        <w:sectPr w:rsidR="00B4017B" w:rsidRPr="000F6CD1" w:rsidSect="00B4017B">
          <w:headerReference w:type="even" r:id="rId374"/>
          <w:headerReference w:type="default" r:id="rId375"/>
          <w:footerReference w:type="even" r:id="rId376"/>
          <w:footerReference w:type="default" r:id="rId377"/>
          <w:headerReference w:type="first" r:id="rId378"/>
          <w:footerReference w:type="first" r:id="rId379"/>
          <w:pgSz w:w="11906" w:h="16838"/>
          <w:pgMar w:top="1440" w:right="1440" w:bottom="1440" w:left="1440" w:header="708" w:footer="708" w:gutter="0"/>
          <w:cols w:space="708"/>
          <w:docGrid w:linePitch="360"/>
        </w:sectPr>
      </w:pPr>
    </w:p>
    <w:p w14:paraId="074F98DC" w14:textId="527A4C3F" w:rsidR="00B4017B" w:rsidRPr="000F6CD1" w:rsidRDefault="0080381D" w:rsidP="00AC3600">
      <w:pPr>
        <w:pStyle w:val="H1"/>
      </w:pPr>
      <w:bookmarkStart w:id="1155" w:name="_Toc204329641"/>
      <w:bookmarkStart w:id="1156" w:name="_Toc209189076"/>
      <w:bookmarkStart w:id="1157" w:name="_Toc233282529"/>
      <w:r>
        <w:rPr>
          <w:noProof/>
          <w14:ligatures w14:val="standardContextual"/>
        </w:rPr>
        <w:lastRenderedPageBreak/>
        <w:drawing>
          <wp:anchor distT="0" distB="0" distL="114300" distR="114300" simplePos="0" relativeHeight="251658347" behindDoc="0" locked="0" layoutInCell="1" allowOverlap="1" wp14:anchorId="3041C41F" wp14:editId="4F2F9C31">
            <wp:simplePos x="0" y="0"/>
            <wp:positionH relativeFrom="margin">
              <wp:posOffset>0</wp:posOffset>
            </wp:positionH>
            <wp:positionV relativeFrom="margin">
              <wp:posOffset>-57785</wp:posOffset>
            </wp:positionV>
            <wp:extent cx="367200" cy="403200"/>
            <wp:effectExtent l="0" t="0" r="0" b="0"/>
            <wp:wrapSquare wrapText="bothSides"/>
            <wp:docPr id="1047918976"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8976"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7200" cy="403200"/>
                    </a:xfrm>
                    <a:prstGeom prst="rect">
                      <a:avLst/>
                    </a:prstGeom>
                  </pic:spPr>
                </pic:pic>
              </a:graphicData>
            </a:graphic>
            <wp14:sizeRelH relativeFrom="margin">
              <wp14:pctWidth>0</wp14:pctWidth>
            </wp14:sizeRelH>
            <wp14:sizeRelV relativeFrom="margin">
              <wp14:pctHeight>0</wp14:pctHeight>
            </wp14:sizeRelV>
          </wp:anchor>
        </w:drawing>
      </w:r>
      <w:r w:rsidR="00B4017B" w:rsidRPr="000F6CD1">
        <w:t>APPENDIX A – Glossary</w:t>
      </w:r>
      <w:bookmarkEnd w:id="1155"/>
      <w:bookmarkEnd w:id="1156"/>
      <w:bookmarkEnd w:id="1157"/>
    </w:p>
    <w:p w14:paraId="1A711E72" w14:textId="77777777" w:rsidR="00B4017B" w:rsidRPr="000F6CD1" w:rsidRDefault="00B4017B" w:rsidP="00370263">
      <w:pPr>
        <w:pStyle w:val="Caption"/>
      </w:pPr>
      <w:r w:rsidRPr="000F6CD1">
        <w:t xml:space="preserve">Table 59. Glossary of terms </w:t>
      </w:r>
    </w:p>
    <w:tbl>
      <w:tblPr>
        <w:tblW w:w="9072" w:type="dxa"/>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Caption w:val="Glossary of terms"/>
        <w:tblDescription w:val="This table provides a glossary of terms. "/>
      </w:tblPr>
      <w:tblGrid>
        <w:gridCol w:w="2127"/>
        <w:gridCol w:w="1984"/>
        <w:gridCol w:w="4961"/>
      </w:tblGrid>
      <w:tr w:rsidR="00B4017B" w:rsidRPr="000F6CD1" w14:paraId="422C0437" w14:textId="77777777">
        <w:trPr>
          <w:trHeight w:val="611"/>
          <w:tblHeader/>
        </w:trPr>
        <w:tc>
          <w:tcPr>
            <w:tcW w:w="2127" w:type="dxa"/>
            <w:shd w:val="clear" w:color="auto" w:fill="002060"/>
          </w:tcPr>
          <w:p w14:paraId="00A9CAC4" w14:textId="77777777" w:rsidR="00B4017B" w:rsidRPr="008709E8" w:rsidRDefault="00B4017B" w:rsidP="003D374A">
            <w:pPr>
              <w:pStyle w:val="Sub-headingnon-contentpage"/>
            </w:pPr>
            <w:r w:rsidRPr="008709E8">
              <w:t>Term</w:t>
            </w:r>
          </w:p>
        </w:tc>
        <w:tc>
          <w:tcPr>
            <w:tcW w:w="1984" w:type="dxa"/>
            <w:shd w:val="clear" w:color="auto" w:fill="002060"/>
          </w:tcPr>
          <w:p w14:paraId="0CD48265" w14:textId="77777777" w:rsidR="00B4017B" w:rsidRPr="008709E8" w:rsidRDefault="00B4017B" w:rsidP="003D374A">
            <w:pPr>
              <w:pStyle w:val="Sub-headingnon-contentpage"/>
            </w:pPr>
            <w:r w:rsidRPr="008709E8">
              <w:t>Acronym/</w:t>
            </w:r>
          </w:p>
          <w:p w14:paraId="4F9B1137" w14:textId="77777777" w:rsidR="00B4017B" w:rsidRPr="008709E8" w:rsidRDefault="00B4017B" w:rsidP="003D374A">
            <w:pPr>
              <w:pStyle w:val="Sub-headingnon-contentpage"/>
            </w:pPr>
            <w:r w:rsidRPr="008709E8">
              <w:t>abbreviation</w:t>
            </w:r>
          </w:p>
        </w:tc>
        <w:tc>
          <w:tcPr>
            <w:tcW w:w="4961" w:type="dxa"/>
            <w:shd w:val="clear" w:color="auto" w:fill="002060"/>
          </w:tcPr>
          <w:p w14:paraId="0AF05CFD" w14:textId="77777777" w:rsidR="00B4017B" w:rsidRPr="008709E8" w:rsidRDefault="00B4017B" w:rsidP="003D374A">
            <w:pPr>
              <w:pStyle w:val="Sub-headingnon-contentpage"/>
              <w:rPr>
                <w:lang w:eastAsia="ja-JP"/>
              </w:rPr>
            </w:pPr>
            <w:r w:rsidRPr="008709E8">
              <w:t>Definition</w:t>
            </w:r>
          </w:p>
        </w:tc>
      </w:tr>
      <w:tr w:rsidR="00B4017B" w:rsidRPr="000F6CD1" w14:paraId="3A94C110" w14:textId="77777777">
        <w:tc>
          <w:tcPr>
            <w:tcW w:w="2127" w:type="dxa"/>
          </w:tcPr>
          <w:p w14:paraId="2DAA9590" w14:textId="77777777" w:rsidR="00B4017B" w:rsidRPr="000F6CD1" w:rsidRDefault="00B4017B" w:rsidP="003D374A">
            <w:pPr>
              <w:pStyle w:val="Sub-headingnon-contentpage"/>
            </w:pPr>
            <w:r w:rsidRPr="000F6CD1">
              <w:t>Administrative Review Tribunal</w:t>
            </w:r>
          </w:p>
        </w:tc>
        <w:tc>
          <w:tcPr>
            <w:tcW w:w="1984" w:type="dxa"/>
          </w:tcPr>
          <w:p w14:paraId="04387827" w14:textId="77777777" w:rsidR="00B4017B" w:rsidRPr="000F6CD1" w:rsidRDefault="00B4017B">
            <w:pPr>
              <w:spacing w:after="120" w:line="300" w:lineRule="exact"/>
              <w:rPr>
                <w:color w:val="000000"/>
                <w:szCs w:val="22"/>
                <w:lang w:eastAsia="ja-JP"/>
              </w:rPr>
            </w:pPr>
            <w:r w:rsidRPr="000F6CD1">
              <w:rPr>
                <w:szCs w:val="22"/>
              </w:rPr>
              <w:t>ART</w:t>
            </w:r>
          </w:p>
        </w:tc>
        <w:tc>
          <w:tcPr>
            <w:tcW w:w="4961" w:type="dxa"/>
          </w:tcPr>
          <w:p w14:paraId="0566248C" w14:textId="77777777" w:rsidR="00B4017B" w:rsidRPr="000F6CD1" w:rsidRDefault="00B4017B">
            <w:pPr>
              <w:spacing w:after="0" w:line="300" w:lineRule="exact"/>
              <w:rPr>
                <w:szCs w:val="22"/>
              </w:rPr>
            </w:pPr>
            <w:r w:rsidRPr="000F6CD1">
              <w:rPr>
                <w:szCs w:val="22"/>
                <w:lang w:eastAsia="ko-KR"/>
              </w:rPr>
              <w:t>The Administrative Review Tribunal (ART) provides independent merit reviews of a wide range of administrative decisions made by the Australian Government. The ART can review decisions made under Commonwealth and Norfolk Island laws. The ART aim to make their review process accessible, fair, just, economical, informal and quick.</w:t>
            </w:r>
          </w:p>
        </w:tc>
      </w:tr>
      <w:tr w:rsidR="00B4017B" w:rsidRPr="000F6CD1" w14:paraId="630943A3" w14:textId="77777777">
        <w:tc>
          <w:tcPr>
            <w:tcW w:w="2127" w:type="dxa"/>
          </w:tcPr>
          <w:p w14:paraId="77BF511C" w14:textId="77777777" w:rsidR="00B4017B" w:rsidRPr="000F6CD1" w:rsidRDefault="00B4017B">
            <w:pPr>
              <w:tabs>
                <w:tab w:val="left" w:pos="1593"/>
              </w:tabs>
            </w:pPr>
            <w:r w:rsidRPr="000F6CD1">
              <w:t>Aboriginal and Torres Strait Islander Aged Care Framework</w:t>
            </w:r>
          </w:p>
        </w:tc>
        <w:tc>
          <w:tcPr>
            <w:tcW w:w="1984" w:type="dxa"/>
          </w:tcPr>
          <w:p w14:paraId="01979843" w14:textId="77777777" w:rsidR="00B4017B" w:rsidRPr="000F6CD1" w:rsidRDefault="00B4017B">
            <w:pPr>
              <w:spacing w:after="120" w:line="300" w:lineRule="exact"/>
              <w:rPr>
                <w:szCs w:val="22"/>
              </w:rPr>
            </w:pPr>
          </w:p>
        </w:tc>
        <w:tc>
          <w:tcPr>
            <w:tcW w:w="4961" w:type="dxa"/>
          </w:tcPr>
          <w:p w14:paraId="2FB8E3D6" w14:textId="77777777" w:rsidR="00B4017B" w:rsidRPr="000F6CD1" w:rsidRDefault="00B4017B">
            <w:pPr>
              <w:spacing w:after="0" w:line="300" w:lineRule="exact"/>
              <w:rPr>
                <w:szCs w:val="22"/>
              </w:rPr>
            </w:pPr>
            <w:r w:rsidRPr="000F6CD1">
              <w:rPr>
                <w:szCs w:val="22"/>
              </w:rPr>
              <w:t>This Framework establishes a 2035 vision for older Aboriginal and Torres Strait Islander people to age well by having their spiritual, physical and mental health needs met through holistic, high-quality and culturally safe aged care. This care should promote wellbeing, deliver trauma aware and healing informed responses and empower connection to culture, family, community and Country or Island Home.</w:t>
            </w:r>
          </w:p>
        </w:tc>
      </w:tr>
      <w:tr w:rsidR="00B4017B" w:rsidRPr="000F6CD1" w14:paraId="16B19605" w14:textId="77777777">
        <w:tc>
          <w:tcPr>
            <w:tcW w:w="2127" w:type="dxa"/>
          </w:tcPr>
          <w:p w14:paraId="7574A0B6" w14:textId="77777777" w:rsidR="00B4017B" w:rsidRPr="000F6CD1" w:rsidRDefault="00B4017B">
            <w:pPr>
              <w:tabs>
                <w:tab w:val="left" w:pos="1593"/>
              </w:tabs>
            </w:pPr>
            <w:r w:rsidRPr="000F6CD1">
              <w:t>Aged Care Act 2024 (Cth)</w:t>
            </w:r>
          </w:p>
        </w:tc>
        <w:tc>
          <w:tcPr>
            <w:tcW w:w="1984" w:type="dxa"/>
          </w:tcPr>
          <w:p w14:paraId="16465C35" w14:textId="77777777" w:rsidR="00B4017B" w:rsidRPr="000F6CD1" w:rsidRDefault="00B4017B">
            <w:pPr>
              <w:spacing w:after="120" w:line="300" w:lineRule="exact"/>
              <w:rPr>
                <w:szCs w:val="22"/>
              </w:rPr>
            </w:pPr>
            <w:r w:rsidRPr="000F6CD1">
              <w:rPr>
                <w:szCs w:val="22"/>
              </w:rPr>
              <w:t>The Act</w:t>
            </w:r>
          </w:p>
        </w:tc>
        <w:tc>
          <w:tcPr>
            <w:tcW w:w="4961" w:type="dxa"/>
          </w:tcPr>
          <w:p w14:paraId="244C1AEC" w14:textId="1389FD35" w:rsidR="00B4017B" w:rsidRPr="000F6CD1" w:rsidRDefault="00B4017B">
            <w:pPr>
              <w:spacing w:after="0" w:line="300" w:lineRule="exact"/>
              <w:rPr>
                <w:szCs w:val="22"/>
              </w:rPr>
            </w:pPr>
            <w:r w:rsidRPr="000F6CD1">
              <w:rPr>
                <w:szCs w:val="22"/>
              </w:rPr>
              <w:t xml:space="preserve">The </w:t>
            </w:r>
            <w:r w:rsidRPr="000F6CD1">
              <w:rPr>
                <w:i/>
                <w:iCs/>
                <w:szCs w:val="22"/>
              </w:rPr>
              <w:t xml:space="preserve">Aged Care Act 2024 </w:t>
            </w:r>
            <w:r w:rsidRPr="000F6CD1">
              <w:rPr>
                <w:szCs w:val="22"/>
              </w:rPr>
              <w:t xml:space="preserve">(Cth) replaces the </w:t>
            </w:r>
            <w:r w:rsidRPr="000F6CD1">
              <w:rPr>
                <w:i/>
                <w:iCs/>
                <w:szCs w:val="22"/>
              </w:rPr>
              <w:t xml:space="preserve">Aged Care Act 1997 </w:t>
            </w:r>
            <w:r w:rsidRPr="000F6CD1">
              <w:rPr>
                <w:szCs w:val="22"/>
              </w:rPr>
              <w:t xml:space="preserve">(Cth) as the primary piece of aged care legislation from 1 November 2025. In response to the first recommendation of the Royal Commission into Aged Care Quality and Safety, the Act was developed to implement fundamental reforms to aged care. It provides a legislative basis for a rights based aged care system focused on the safety, health and wellbeing of older people. The legislative framework provided by the Act sets out the governance of the aged care system and the requirements to access and deliver funded aged care services. It further introduces a new risk-based regulatory model focused on increasing provider accountability and encouraging the delivery of high quality funded aged care services by registered providers. </w:t>
            </w:r>
          </w:p>
        </w:tc>
      </w:tr>
      <w:tr w:rsidR="00B4017B" w:rsidRPr="000F6CD1" w14:paraId="247E5167" w14:textId="77777777">
        <w:tc>
          <w:tcPr>
            <w:tcW w:w="2127" w:type="dxa"/>
          </w:tcPr>
          <w:p w14:paraId="35D4FFD4" w14:textId="77777777" w:rsidR="00B4017B" w:rsidRPr="000F6CD1" w:rsidRDefault="00B4017B">
            <w:pPr>
              <w:tabs>
                <w:tab w:val="left" w:pos="1593"/>
              </w:tabs>
            </w:pPr>
            <w:r w:rsidRPr="000F6CD1">
              <w:t xml:space="preserve">Aged Care (Consequential and Transitional </w:t>
            </w:r>
            <w:r w:rsidRPr="000F6CD1">
              <w:lastRenderedPageBreak/>
              <w:t xml:space="preserve">Provisions) Act 2024 </w:t>
            </w:r>
          </w:p>
        </w:tc>
        <w:tc>
          <w:tcPr>
            <w:tcW w:w="1984" w:type="dxa"/>
          </w:tcPr>
          <w:p w14:paraId="476742D4" w14:textId="77777777" w:rsidR="00B4017B" w:rsidRPr="000F6CD1" w:rsidRDefault="00B4017B">
            <w:pPr>
              <w:spacing w:after="120" w:line="300" w:lineRule="exact"/>
              <w:rPr>
                <w:szCs w:val="22"/>
              </w:rPr>
            </w:pPr>
          </w:p>
        </w:tc>
        <w:tc>
          <w:tcPr>
            <w:tcW w:w="4961" w:type="dxa"/>
          </w:tcPr>
          <w:p w14:paraId="5F7B9E8C" w14:textId="77777777" w:rsidR="00B4017B" w:rsidRPr="000F6CD1" w:rsidRDefault="00B4017B">
            <w:pPr>
              <w:spacing w:after="0" w:line="300" w:lineRule="exact"/>
              <w:rPr>
                <w:szCs w:val="22"/>
              </w:rPr>
            </w:pPr>
            <w:r w:rsidRPr="000F6CD1">
              <w:rPr>
                <w:szCs w:val="22"/>
              </w:rPr>
              <w:t xml:space="preserve">The </w:t>
            </w:r>
            <w:r w:rsidRPr="000F6CD1">
              <w:rPr>
                <w:i/>
                <w:iCs/>
                <w:szCs w:val="22"/>
              </w:rPr>
              <w:t xml:space="preserve">Aged Care (Consequential and Transitional Provisions) </w:t>
            </w:r>
            <w:r w:rsidRPr="000F6CD1">
              <w:rPr>
                <w:i/>
                <w:szCs w:val="22"/>
              </w:rPr>
              <w:t>Act 2024</w:t>
            </w:r>
            <w:r w:rsidRPr="000F6CD1">
              <w:rPr>
                <w:szCs w:val="22"/>
              </w:rPr>
              <w:t xml:space="preserve"> provides for transitional arrangements to support the commencement of the </w:t>
            </w:r>
            <w:r w:rsidRPr="000F6CD1">
              <w:rPr>
                <w:i/>
                <w:iCs/>
                <w:szCs w:val="22"/>
              </w:rPr>
              <w:t xml:space="preserve">Aged Care Act </w:t>
            </w:r>
            <w:r w:rsidRPr="000F6CD1">
              <w:rPr>
                <w:i/>
                <w:szCs w:val="22"/>
              </w:rPr>
              <w:t>2024</w:t>
            </w:r>
            <w:r w:rsidRPr="000F6CD1">
              <w:rPr>
                <w:szCs w:val="22"/>
              </w:rPr>
              <w:t>.</w:t>
            </w:r>
          </w:p>
        </w:tc>
      </w:tr>
      <w:tr w:rsidR="00B4017B" w:rsidRPr="000F6CD1" w14:paraId="053F28B8" w14:textId="77777777">
        <w:tc>
          <w:tcPr>
            <w:tcW w:w="2127" w:type="dxa"/>
          </w:tcPr>
          <w:p w14:paraId="1D05AF84" w14:textId="77777777" w:rsidR="00B4017B" w:rsidRPr="000F6CD1" w:rsidRDefault="00B4017B" w:rsidP="00C76453">
            <w:pPr>
              <w:tabs>
                <w:tab w:val="left" w:pos="1593"/>
              </w:tabs>
            </w:pPr>
            <w:r w:rsidRPr="000F6CD1">
              <w:t>Aged Care Act 1997 (Cth)</w:t>
            </w:r>
          </w:p>
        </w:tc>
        <w:tc>
          <w:tcPr>
            <w:tcW w:w="1984" w:type="dxa"/>
          </w:tcPr>
          <w:p w14:paraId="7E2B1F49" w14:textId="77777777" w:rsidR="00B4017B" w:rsidRPr="000F6CD1" w:rsidRDefault="00B4017B">
            <w:pPr>
              <w:spacing w:after="120" w:line="300" w:lineRule="exact"/>
              <w:rPr>
                <w:color w:val="000000"/>
                <w:szCs w:val="22"/>
                <w:lang w:eastAsia="ja-JP"/>
              </w:rPr>
            </w:pPr>
          </w:p>
        </w:tc>
        <w:tc>
          <w:tcPr>
            <w:tcW w:w="4961" w:type="dxa"/>
          </w:tcPr>
          <w:p w14:paraId="575C2689" w14:textId="77777777" w:rsidR="00B4017B" w:rsidRPr="000F6CD1" w:rsidRDefault="00B4017B">
            <w:pPr>
              <w:spacing w:after="0" w:line="300" w:lineRule="exact"/>
              <w:rPr>
                <w:szCs w:val="22"/>
              </w:rPr>
            </w:pPr>
            <w:r w:rsidRPr="000F6CD1">
              <w:rPr>
                <w:szCs w:val="22"/>
              </w:rPr>
              <w:t xml:space="preserve">From 1 November 2025, the </w:t>
            </w:r>
            <w:r w:rsidRPr="000F6CD1">
              <w:rPr>
                <w:i/>
                <w:szCs w:val="22"/>
              </w:rPr>
              <w:t xml:space="preserve">Aged Care Act 1997 </w:t>
            </w:r>
            <w:r w:rsidRPr="000F6CD1">
              <w:rPr>
                <w:szCs w:val="22"/>
              </w:rPr>
              <w:t xml:space="preserve">(Cth) will cease as the primary piece of aged care legislation. It will be superseded by the </w:t>
            </w:r>
            <w:r w:rsidRPr="000F6CD1">
              <w:rPr>
                <w:i/>
                <w:szCs w:val="22"/>
              </w:rPr>
              <w:t xml:space="preserve">Aged Care Act 2024 </w:t>
            </w:r>
            <w:r w:rsidRPr="000F6CD1">
              <w:rPr>
                <w:szCs w:val="22"/>
              </w:rPr>
              <w:t xml:space="preserve">(Cth). From the cessation of the Act on 1 November 2025, Assessment Organisations should consult the </w:t>
            </w:r>
            <w:r w:rsidRPr="000F6CD1">
              <w:rPr>
                <w:i/>
                <w:szCs w:val="22"/>
              </w:rPr>
              <w:t xml:space="preserve">Aged Care Act 2024 </w:t>
            </w:r>
            <w:r w:rsidRPr="000F6CD1">
              <w:rPr>
                <w:szCs w:val="22"/>
              </w:rPr>
              <w:t xml:space="preserve">(Cth) for information on access, delivery and governance of the aged care system. </w:t>
            </w:r>
          </w:p>
        </w:tc>
      </w:tr>
      <w:tr w:rsidR="00B4017B" w:rsidRPr="000F6CD1" w14:paraId="54C48B1C" w14:textId="77777777">
        <w:trPr>
          <w:trHeight w:val="13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09D13D" w14:textId="77777777" w:rsidR="00B4017B" w:rsidRPr="000F6CD1" w:rsidRDefault="00B4017B" w:rsidP="003D374A">
            <w:pPr>
              <w:pStyle w:val="Sub-headingnon-contentpage"/>
            </w:pPr>
            <w:r w:rsidRPr="000F6CD1">
              <w:t>Aged Care Assessment Quality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AD0C6C" w14:textId="77777777" w:rsidR="00B4017B" w:rsidRPr="000F6CD1" w:rsidRDefault="00B4017B">
            <w:pPr>
              <w:spacing w:after="120" w:line="300" w:lineRule="exact"/>
              <w:ind w:right="459"/>
              <w:rPr>
                <w:szCs w:val="22"/>
                <w:lang w:eastAsia="en-US"/>
              </w:rPr>
            </w:pPr>
            <w:r w:rsidRPr="000F6CD1">
              <w:rPr>
                <w:szCs w:val="22"/>
              </w:rPr>
              <w:t>Framework</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BC236FE" w14:textId="77777777" w:rsidR="00B4017B" w:rsidRPr="000F6CD1" w:rsidRDefault="00B4017B">
            <w:pPr>
              <w:spacing w:after="120" w:line="300" w:lineRule="exact"/>
              <w:ind w:right="459"/>
              <w:contextualSpacing/>
              <w:rPr>
                <w:szCs w:val="22"/>
              </w:rPr>
            </w:pPr>
            <w:r w:rsidRPr="000F6CD1">
              <w:rPr>
                <w:szCs w:val="22"/>
              </w:rPr>
              <w:t xml:space="preserve">Assessment organisations are required to use the </w:t>
            </w:r>
            <w:hyperlink r:id="rId380">
              <w:r w:rsidRPr="000F6CD1">
                <w:rPr>
                  <w:rStyle w:val="Hyperlink"/>
                  <w:szCs w:val="22"/>
                </w:rPr>
                <w:t>Aged Care Assessment Quality Framework</w:t>
              </w:r>
            </w:hyperlink>
            <w:r w:rsidRPr="000F6CD1">
              <w:rPr>
                <w:szCs w:val="22"/>
              </w:rPr>
              <w:t xml:space="preserve"> to maintain a consistent, high quality assessment experience for every older person. </w:t>
            </w:r>
          </w:p>
        </w:tc>
      </w:tr>
      <w:tr w:rsidR="00B4017B" w:rsidRPr="000F6CD1" w14:paraId="3ACCC022"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3198D09" w14:textId="77777777" w:rsidR="00B4017B" w:rsidRPr="000F6CD1" w:rsidRDefault="00B4017B" w:rsidP="003D374A">
            <w:pPr>
              <w:pStyle w:val="Sub-headingnon-contentpage"/>
            </w:pPr>
            <w:r w:rsidRPr="000F6CD1">
              <w:t>Aged Care Diversity Framework</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446045" w14:textId="77777777" w:rsidR="00B4017B" w:rsidRPr="000F6CD1" w:rsidRDefault="00B4017B">
            <w:pPr>
              <w:spacing w:after="120" w:line="300" w:lineRule="exact"/>
              <w:ind w:right="459"/>
              <w:rPr>
                <w:szCs w:val="22"/>
                <w:lang w:eastAsia="en-US"/>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2E1448" w14:textId="77777777" w:rsidR="00B4017B" w:rsidRPr="000F6CD1" w:rsidRDefault="00B4017B">
            <w:pPr>
              <w:spacing w:after="120" w:line="300" w:lineRule="exact"/>
              <w:ind w:right="459"/>
              <w:contextualSpacing/>
              <w:rPr>
                <w:szCs w:val="22"/>
              </w:rPr>
            </w:pPr>
            <w:r w:rsidRPr="000F6CD1">
              <w:rPr>
                <w:szCs w:val="22"/>
                <w:lang w:eastAsia="ko-KR"/>
              </w:rPr>
              <w:t xml:space="preserve">The </w:t>
            </w:r>
            <w:hyperlink r:id="rId381">
              <w:r w:rsidRPr="000F6CD1">
                <w:rPr>
                  <w:rStyle w:val="Hyperlink"/>
                  <w:rFonts w:eastAsia="Times New Roman"/>
                  <w:szCs w:val="22"/>
                  <w:lang w:eastAsia="ko-KR"/>
                </w:rPr>
                <w:t>Aged Care Diversity Framework</w:t>
              </w:r>
            </w:hyperlink>
            <w:r w:rsidRPr="000F6CD1">
              <w:rPr>
                <w:szCs w:val="22"/>
                <w:lang w:eastAsia="ko-KR"/>
              </w:rPr>
              <w:t xml:space="preserve"> is an overarching set of principles designed to ensure an accessible aged care system where people, regardless of their individual social, cultural, linguistic, religious, spiritual, psychological, medical and care needs are able to access respectful and inclusive aged care services.</w:t>
            </w:r>
          </w:p>
        </w:tc>
      </w:tr>
      <w:tr w:rsidR="00B4017B" w:rsidRPr="000F6CD1" w14:paraId="3415BE94"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BF3B81C" w14:textId="77777777" w:rsidR="00B4017B" w:rsidRPr="000F6CD1" w:rsidRDefault="00B4017B" w:rsidP="003D374A">
            <w:pPr>
              <w:pStyle w:val="Sub-headingnon-contentpage"/>
            </w:pPr>
            <w:r w:rsidRPr="000F6CD1">
              <w:t>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FEAE942"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2034FB5" w14:textId="77777777" w:rsidR="00B4017B" w:rsidRPr="000F6CD1" w:rsidRDefault="00B4017B">
            <w:pPr>
              <w:spacing w:line="300" w:lineRule="exact"/>
              <w:ind w:right="459"/>
              <w:contextualSpacing/>
              <w:rPr>
                <w:szCs w:val="22"/>
              </w:rPr>
            </w:pPr>
            <w:r w:rsidRPr="000F6CD1">
              <w:rPr>
                <w:rStyle w:val="normaltextrun"/>
                <w:color w:val="000000"/>
                <w:szCs w:val="22"/>
                <w:shd w:val="clear" w:color="auto" w:fill="FFFFFF"/>
              </w:rPr>
              <w:t xml:space="preserve">A person who conducts aged care </w:t>
            </w:r>
            <w:r w:rsidRPr="000F6CD1">
              <w:rPr>
                <w:rStyle w:val="normaltextrun"/>
                <w:szCs w:val="22"/>
                <w:shd w:val="clear" w:color="auto" w:fill="FFFFFF"/>
              </w:rPr>
              <w:t>assessments, for home support and comprehensive assessments. An aged care needs assessor can be a clinical assessor or a non-clinical assessor.</w:t>
            </w:r>
            <w:r w:rsidRPr="000F6CD1">
              <w:rPr>
                <w:rStyle w:val="normaltextrun"/>
                <w:szCs w:val="22"/>
                <w:u w:val="single"/>
                <w:shd w:val="clear" w:color="auto" w:fill="FFFFFF"/>
              </w:rPr>
              <w:t xml:space="preserve"> </w:t>
            </w:r>
          </w:p>
        </w:tc>
      </w:tr>
      <w:tr w:rsidR="00B4017B" w:rsidRPr="000F6CD1" w14:paraId="3441475A"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3CF5DA" w14:textId="77777777" w:rsidR="00B4017B" w:rsidRPr="000F6CD1" w:rsidRDefault="00B4017B" w:rsidP="003D374A">
            <w:pPr>
              <w:pStyle w:val="Sub-headingnon-contentpage"/>
              <w:rPr>
                <w:color w:val="222222"/>
              </w:rPr>
            </w:pPr>
            <w:r w:rsidRPr="000F6CD1">
              <w:t>Aged Care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AB08DFA" w14:textId="77777777" w:rsidR="00B4017B" w:rsidRPr="000F6CD1" w:rsidRDefault="00B4017B">
            <w:pPr>
              <w:spacing w:line="300" w:lineRule="exact"/>
              <w:ind w:right="459"/>
              <w:rPr>
                <w:strike/>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438B3C" w14:textId="77777777" w:rsidR="00B4017B" w:rsidRPr="000F6CD1" w:rsidRDefault="00B4017B">
            <w:pPr>
              <w:spacing w:line="300" w:lineRule="exact"/>
              <w:ind w:right="459"/>
              <w:contextualSpacing/>
              <w:rPr>
                <w:szCs w:val="22"/>
              </w:rPr>
            </w:pPr>
            <w:r w:rsidRPr="000F6CD1">
              <w:rPr>
                <w:szCs w:val="22"/>
              </w:rPr>
              <w:t xml:space="preserve">From 1 November 2025, the </w:t>
            </w:r>
            <w:r w:rsidRPr="000F6CD1">
              <w:rPr>
                <w:i/>
                <w:szCs w:val="22"/>
              </w:rPr>
              <w:t xml:space="preserve">Aged Care Act 2024 </w:t>
            </w:r>
            <w:r w:rsidRPr="000F6CD1">
              <w:rPr>
                <w:szCs w:val="22"/>
              </w:rPr>
              <w:t xml:space="preserve">(Cth) will replace existing aged care legislation including the Aged Care Principles. Once commenced, Assessment Organisations should consult the </w:t>
            </w:r>
            <w:r w:rsidRPr="000F6CD1">
              <w:rPr>
                <w:i/>
                <w:szCs w:val="22"/>
              </w:rPr>
              <w:t xml:space="preserve">Aged Care Act 2024 </w:t>
            </w:r>
            <w:r w:rsidRPr="000F6CD1">
              <w:rPr>
                <w:szCs w:val="22"/>
              </w:rPr>
              <w:t xml:space="preserve">(Cth) for information on access, delivery and governance of the aged care system. </w:t>
            </w:r>
          </w:p>
        </w:tc>
      </w:tr>
      <w:tr w:rsidR="00B4017B" w:rsidRPr="000F6CD1" w14:paraId="393BFF7F"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75B1745" w14:textId="77777777" w:rsidR="00B4017B" w:rsidRPr="000F6CD1" w:rsidRDefault="00B4017B" w:rsidP="003D374A">
            <w:pPr>
              <w:pStyle w:val="Sub-headingnon-contentpage"/>
            </w:pPr>
            <w:r w:rsidRPr="000F6CD1">
              <w:t>AN-ACC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C98882A" w14:textId="77777777" w:rsidR="00B4017B" w:rsidRPr="000F6CD1" w:rsidRDefault="00B4017B" w:rsidP="28F4B414">
            <w:pPr>
              <w:spacing w:line="300" w:lineRule="exact"/>
              <w:rPr>
                <w:strike/>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AC5B6B" w14:textId="77777777" w:rsidR="00B4017B" w:rsidRPr="000F6CD1" w:rsidRDefault="00B4017B" w:rsidP="28F4B414">
            <w:pPr>
              <w:spacing w:line="300" w:lineRule="exact"/>
            </w:pPr>
            <w:r w:rsidRPr="00FE1CF4">
              <w:rPr>
                <w:rFonts w:eastAsia="Arial"/>
                <w:color w:val="000000" w:themeColor="text1"/>
                <w:szCs w:val="22"/>
              </w:rPr>
              <w:t>Assessment tool used by residential aged care funding assessors to conduct residential aged care funding assessments.</w:t>
            </w:r>
          </w:p>
        </w:tc>
      </w:tr>
      <w:tr w:rsidR="00B4017B" w:rsidRPr="000F6CD1" w14:paraId="5DDFAA2D"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DC58CFE" w14:textId="77777777" w:rsidR="00B4017B" w:rsidRPr="000F6CD1" w:rsidRDefault="00B4017B" w:rsidP="003D374A">
            <w:pPr>
              <w:pStyle w:val="Sub-headingnon-contentpage"/>
            </w:pPr>
            <w:r w:rsidRPr="000F6CD1">
              <w:lastRenderedPageBreak/>
              <w:t>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BECEA8" w14:textId="77777777" w:rsidR="00B4017B" w:rsidRPr="000F6CD1" w:rsidRDefault="00B4017B">
            <w:pPr>
              <w:spacing w:line="300" w:lineRule="exact"/>
              <w:ind w:right="459"/>
              <w:rPr>
                <w:color w:val="000000" w:themeColor="text1"/>
                <w:szCs w:val="22"/>
              </w:rPr>
            </w:pPr>
            <w:r w:rsidRPr="000F6CD1">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90AC976" w14:textId="77777777" w:rsidR="00B4017B" w:rsidRPr="000F6CD1" w:rsidRDefault="00B4017B">
            <w:pPr>
              <w:rPr>
                <w:color w:val="000000" w:themeColor="text1"/>
                <w:szCs w:val="22"/>
                <w:lang w:eastAsia="ko-KR"/>
              </w:rPr>
            </w:pPr>
            <w:r w:rsidRPr="000F6CD1">
              <w:rPr>
                <w:color w:val="000000" w:themeColor="text1"/>
                <w:szCs w:val="22"/>
                <w:lang w:eastAsia="ko-KR"/>
              </w:rPr>
              <w:t xml:space="preserve">An entity engaged by the Department to provide Aged Care Needs Assessment Services and/or RAC Funding Assessment Services. </w:t>
            </w:r>
          </w:p>
        </w:tc>
      </w:tr>
      <w:tr w:rsidR="00B4017B" w:rsidRPr="000F6CD1" w14:paraId="15BA82B0"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907948" w14:textId="77777777" w:rsidR="00B4017B" w:rsidRPr="000F6CD1" w:rsidRDefault="00B4017B" w:rsidP="003D374A">
            <w:pPr>
              <w:pStyle w:val="Sub-headingnon-contentpage"/>
            </w:pPr>
            <w:r w:rsidRPr="000F6CD1">
              <w:t>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9899F71" w14:textId="77777777" w:rsidR="00B4017B" w:rsidRPr="000F6CD1" w:rsidRDefault="00B4017B">
            <w:pPr>
              <w:spacing w:line="300" w:lineRule="exact"/>
              <w:ind w:right="459"/>
              <w:rPr>
                <w:color w:val="000000" w:themeColor="text1"/>
                <w:szCs w:val="22"/>
              </w:rPr>
            </w:pPr>
            <w:r w:rsidRPr="000F6CD1">
              <w:rPr>
                <w:color w:val="000000" w:themeColor="text1"/>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FB6752F" w14:textId="77777777" w:rsidR="00B4017B" w:rsidRPr="000F6CD1" w:rsidRDefault="00B4017B">
            <w:pPr>
              <w:rPr>
                <w:color w:val="000000" w:themeColor="text1"/>
                <w:szCs w:val="22"/>
                <w:lang w:eastAsia="ko-KR"/>
              </w:rPr>
            </w:pPr>
            <w:r w:rsidRPr="000F6CD1">
              <w:rPr>
                <w:color w:val="000000" w:themeColor="text1"/>
                <w:szCs w:val="22"/>
                <w:lang w:eastAsia="ko-KR"/>
              </w:rPr>
              <w:t xml:space="preserve">An aged care needs assessor. </w:t>
            </w:r>
          </w:p>
        </w:tc>
      </w:tr>
      <w:tr w:rsidR="00B4017B" w:rsidRPr="000F6CD1" w14:paraId="735206A2"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F346218" w14:textId="77777777" w:rsidR="00B4017B" w:rsidRPr="000F6CD1" w:rsidRDefault="00B4017B" w:rsidP="003D374A">
            <w:pPr>
              <w:pStyle w:val="Sub-headingnon-contentpage"/>
              <w:rPr>
                <w:color w:val="000000" w:themeColor="text1"/>
              </w:rPr>
            </w:pPr>
            <w:r w:rsidRPr="000F6CD1">
              <w:t>Aged Care Specialist Officer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A4097D" w14:textId="77777777" w:rsidR="00B4017B" w:rsidRPr="000F6CD1" w:rsidRDefault="00B4017B">
            <w:pPr>
              <w:spacing w:line="300" w:lineRule="exact"/>
              <w:ind w:right="459"/>
              <w:rPr>
                <w:color w:val="000000" w:themeColor="text1"/>
                <w:szCs w:val="22"/>
              </w:rPr>
            </w:pPr>
            <w:r w:rsidRPr="000F6CD1">
              <w:rPr>
                <w:szCs w:val="22"/>
              </w:rPr>
              <w:t>ACSO</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B0CC0ED" w14:textId="54F99AE7" w:rsidR="00B4017B" w:rsidRPr="000F6CD1" w:rsidRDefault="00B4017B">
            <w:pPr>
              <w:rPr>
                <w:color w:val="000000" w:themeColor="text1"/>
                <w:szCs w:val="22"/>
                <w:lang w:eastAsia="ko-KR"/>
              </w:rPr>
            </w:pPr>
            <w:r w:rsidRPr="000F6CD1">
              <w:rPr>
                <w:szCs w:val="22"/>
              </w:rPr>
              <w:t xml:space="preserve">ACSO, located in some </w:t>
            </w:r>
            <w:hyperlink r:id="rId382" w:history="1">
              <w:r w:rsidRPr="000F6CD1">
                <w:rPr>
                  <w:rStyle w:val="Hyperlink"/>
                  <w:szCs w:val="22"/>
                </w:rPr>
                <w:t>Services Australia service centr</w:t>
              </w:r>
              <w:r w:rsidR="00021FD0">
                <w:rPr>
                  <w:rStyle w:val="Hyperlink"/>
                  <w:szCs w:val="22"/>
                </w:rPr>
                <w:t>e</w:t>
              </w:r>
              <w:r w:rsidRPr="000F6CD1">
                <w:rPr>
                  <w:rStyle w:val="Hyperlink"/>
                  <w:szCs w:val="22"/>
                </w:rPr>
                <w:t>s</w:t>
              </w:r>
            </w:hyperlink>
            <w:r w:rsidRPr="000F6CD1">
              <w:rPr>
                <w:szCs w:val="22"/>
              </w:rPr>
              <w:t>, help people with their aged care matters and provide in-depth support including in relation to financial information and means assessment.</w:t>
            </w:r>
          </w:p>
        </w:tc>
      </w:tr>
      <w:tr w:rsidR="00B4017B" w:rsidRPr="000F6CD1" w14:paraId="674B15C4"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D55A15" w14:textId="4EE6F606" w:rsidR="00B4017B" w:rsidRPr="000F6CD1" w:rsidRDefault="00B4017B" w:rsidP="003D374A">
            <w:pPr>
              <w:pStyle w:val="Sub-headingnon-contentpage"/>
            </w:pPr>
            <w:r w:rsidRPr="000F6CD1">
              <w:t>Active, appointed decision maker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ED9A65" w14:textId="77777777" w:rsidR="00B4017B" w:rsidRPr="000F6CD1" w:rsidRDefault="00B4017B">
            <w:pPr>
              <w:spacing w:line="300" w:lineRule="exact"/>
              <w:ind w:right="459"/>
              <w:rPr>
                <w:szCs w:val="22"/>
              </w:rPr>
            </w:pPr>
            <w:r w:rsidRPr="000F6CD1">
              <w:rPr>
                <w:szCs w:val="22"/>
              </w:rPr>
              <w:t>N/A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948C21A" w14:textId="4428A31A" w:rsidR="00B4017B" w:rsidRPr="000F6CD1" w:rsidRDefault="00B4017B">
            <w:pPr>
              <w:rPr>
                <w:szCs w:val="22"/>
              </w:rPr>
            </w:pPr>
            <w:r w:rsidRPr="000F6CD1">
              <w:rPr>
                <w:szCs w:val="22"/>
              </w:rPr>
              <w:t xml:space="preserve">In policy, ‘active, appointed decision maker’ is the term used for a person who has active, decision-making authority for an older person under a Commonwealth, state or territory arrangement. This includes a person who would be considered a ‘guardian etc.’ under the </w:t>
            </w:r>
            <w:r w:rsidRPr="000F6CD1">
              <w:rPr>
                <w:i/>
                <w:iCs/>
                <w:szCs w:val="22"/>
              </w:rPr>
              <w:t>Aged Care Act 2024</w:t>
            </w:r>
            <w:r w:rsidRPr="000F6CD1">
              <w:rPr>
                <w:szCs w:val="22"/>
              </w:rPr>
              <w:t xml:space="preserve"> (Cth). If a person is a registered supporter who relied on their authority as an active, appointed decision maker recognised under the Act for an older person to become registered (for example, the person is also an enduring attorney for the older person they are registered to support), they are recorded as a ‘supporter guardian’ for Information Communications Technology (ICT) purposes. Active, appointed decision makers can only make decisions for an older person within the scope of their legal authority under a Commonwealth, state or territory arrangement.</w:t>
            </w:r>
          </w:p>
        </w:tc>
      </w:tr>
      <w:tr w:rsidR="00B4017B" w:rsidRPr="000F6CD1" w14:paraId="275D77AD" w14:textId="77777777" w:rsidTr="00F320E2">
        <w:trPr>
          <w:trHeight w:val="1285"/>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8EF47E" w14:textId="77777777" w:rsidR="00B4017B" w:rsidRPr="000F6CD1" w:rsidRDefault="00B4017B">
            <w:pPr>
              <w:rPr>
                <w:rFonts w:eastAsia="Arial"/>
              </w:rPr>
            </w:pPr>
            <w:r w:rsidRPr="000F6CD1">
              <w:rPr>
                <w:rFonts w:eastAsia="Arial"/>
              </w:rPr>
              <w:t>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5465C03" w14:textId="77777777" w:rsidR="00B4017B" w:rsidRPr="000F6CD1" w:rsidRDefault="00B4017B">
            <w:pPr>
              <w:spacing w:line="300" w:lineRule="exact"/>
              <w:rPr>
                <w:szCs w:val="22"/>
              </w:rPr>
            </w:pPr>
            <w:r w:rsidRPr="000F6CD1">
              <w:rPr>
                <w:szCs w:val="22"/>
              </w:rPr>
              <w:t>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89BAD8B" w14:textId="7FBEA6F5" w:rsidR="00B4017B" w:rsidRPr="000F6CD1" w:rsidRDefault="00B4017B" w:rsidP="00F320E2">
            <w:pPr>
              <w:spacing w:line="257" w:lineRule="auto"/>
              <w:rPr>
                <w:szCs w:val="22"/>
              </w:rPr>
            </w:pPr>
            <w:r w:rsidRPr="000F6CD1">
              <w:rPr>
                <w:rFonts w:eastAsia="Arial"/>
              </w:rPr>
              <w:t xml:space="preserve">Is any item, piece of equipment or product that is used to help an older person do things more easily or complete activities they can no longer do independently. </w:t>
            </w:r>
          </w:p>
        </w:tc>
      </w:tr>
      <w:tr w:rsidR="00B4017B" w:rsidRPr="000F6CD1" w14:paraId="219391DE"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7C4FAF1" w14:textId="77777777" w:rsidR="00B4017B" w:rsidRPr="000F6CD1" w:rsidRDefault="00B4017B">
            <w:r w:rsidRPr="000F6CD1">
              <w:rPr>
                <w:rFonts w:eastAsia="Arial"/>
              </w:rPr>
              <w:t>Assistive Technology and Home Modifications (AT-HM) list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DBDA3F" w14:textId="77777777" w:rsidR="00B4017B" w:rsidRPr="000F6CD1" w:rsidRDefault="00B4017B">
            <w:pPr>
              <w:spacing w:line="300" w:lineRule="exact"/>
              <w:rPr>
                <w:szCs w:val="22"/>
              </w:rPr>
            </w:pPr>
            <w:r w:rsidRPr="000F6CD1">
              <w:rPr>
                <w:szCs w:val="22"/>
              </w:rPr>
              <w:t>AT-HM list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5095E8" w14:textId="77777777" w:rsidR="00B4017B" w:rsidRPr="000F6CD1" w:rsidRDefault="00B4017B">
            <w:pPr>
              <w:rPr>
                <w:rFonts w:eastAsia="Arial"/>
                <w:szCs w:val="22"/>
              </w:rPr>
            </w:pPr>
            <w:r w:rsidRPr="000F6CD1">
              <w:rPr>
                <w:rFonts w:eastAsia="Arial"/>
              </w:rPr>
              <w:t>A list that sets out the defined equipment, products, and home modifications that can be purchased for eligible participants under the AT-HM scheme.</w:t>
            </w:r>
          </w:p>
        </w:tc>
      </w:tr>
      <w:tr w:rsidR="00B4017B" w:rsidRPr="000F6CD1" w14:paraId="33BCAD22"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4FA80C" w14:textId="77777777" w:rsidR="00B4017B" w:rsidRPr="000F6CD1" w:rsidRDefault="00B4017B">
            <w:pPr>
              <w:rPr>
                <w:rFonts w:eastAsia="Arial"/>
              </w:rPr>
            </w:pPr>
            <w:r w:rsidRPr="000F6CD1">
              <w:rPr>
                <w:rFonts w:eastAsia="Arial"/>
              </w:rPr>
              <w:lastRenderedPageBreak/>
              <w:t>Assistive Technology and Home Modifications scheme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EEA941" w14:textId="77777777" w:rsidR="00B4017B" w:rsidRPr="000F6CD1" w:rsidRDefault="00B4017B">
            <w:pPr>
              <w:spacing w:line="300" w:lineRule="exact"/>
              <w:rPr>
                <w:szCs w:val="22"/>
              </w:rPr>
            </w:pPr>
            <w:r w:rsidRPr="000F6CD1">
              <w:rPr>
                <w:szCs w:val="22"/>
              </w:rPr>
              <w:t>AT-HM scheme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DFF4BD" w14:textId="77777777" w:rsidR="00B4017B" w:rsidRPr="000F6CD1" w:rsidRDefault="00B4017B">
            <w:pPr>
              <w:rPr>
                <w:rFonts w:eastAsia="Arial"/>
              </w:rPr>
            </w:pPr>
            <w:r w:rsidRPr="000F6CD1">
              <w:rPr>
                <w:rFonts w:eastAsia="Arial"/>
              </w:rPr>
              <w:t>The scheme provides assistive technology and home modifications funding for eligible participants.</w:t>
            </w:r>
          </w:p>
        </w:tc>
      </w:tr>
      <w:tr w:rsidR="00B4017B" w:rsidRPr="000F6CD1" w14:paraId="06E91BFF"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4ACD36" w14:textId="77777777" w:rsidR="00B4017B" w:rsidRPr="000F6CD1" w:rsidRDefault="00B4017B">
            <w:pPr>
              <w:spacing w:before="58" w:after="28" w:line="276" w:lineRule="auto"/>
              <w:rPr>
                <w:rFonts w:eastAsia="Arial"/>
              </w:rPr>
            </w:pPr>
            <w:r w:rsidRPr="000F6CD1">
              <w:rPr>
                <w:rFonts w:eastAsia="Arial"/>
              </w:rPr>
              <w:t>AT-HM scheme guidelines</w:t>
            </w:r>
          </w:p>
          <w:p w14:paraId="18AF84FC" w14:textId="77777777" w:rsidR="00B4017B" w:rsidRPr="000F6CD1" w:rsidRDefault="00B4017B">
            <w:pPr>
              <w:rPr>
                <w:rFonts w:eastAsia="Arial"/>
              </w:rPr>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08D6E66" w14:textId="77777777" w:rsidR="00B4017B" w:rsidRPr="000F6CD1" w:rsidRDefault="00B4017B">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BB9FAB" w14:textId="59CCE55C" w:rsidR="00B4017B" w:rsidRPr="000F6CD1" w:rsidRDefault="00B4017B" w:rsidP="00A51E2F">
            <w:pPr>
              <w:spacing w:before="58" w:after="28" w:line="276" w:lineRule="auto"/>
              <w:rPr>
                <w:rFonts w:eastAsia="Arial"/>
              </w:rPr>
            </w:pPr>
            <w:r w:rsidRPr="000F6CD1">
              <w:rPr>
                <w:rFonts w:eastAsia="Arial"/>
              </w:rPr>
              <w:t>The AT-HM scheme guidelines provide additional information and processes in relation to the AT-HM scheme.</w:t>
            </w:r>
          </w:p>
        </w:tc>
      </w:tr>
      <w:tr w:rsidR="00B4017B" w:rsidRPr="000F6CD1" w14:paraId="6193E32D" w14:textId="77777777" w:rsidTr="00A51E2F">
        <w:trPr>
          <w:trHeight w:val="835"/>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7E3B3F1" w14:textId="77777777" w:rsidR="00B4017B" w:rsidRPr="000F6CD1" w:rsidRDefault="00B4017B">
            <w:pPr>
              <w:spacing w:line="276" w:lineRule="auto"/>
              <w:rPr>
                <w:rFonts w:eastAsia="Arial"/>
              </w:rPr>
            </w:pPr>
            <w:r w:rsidRPr="000F6CD1">
              <w:rPr>
                <w:rFonts w:eastAsia="Arial"/>
              </w:rPr>
              <w:t>AT-HM tier guide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7B0822" w14:textId="77777777" w:rsidR="00B4017B" w:rsidRPr="000F6CD1" w:rsidRDefault="00B4017B">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F3C330" w14:textId="77777777" w:rsidR="00B4017B" w:rsidRPr="000F6CD1" w:rsidRDefault="00B4017B">
            <w:pPr>
              <w:spacing w:line="276" w:lineRule="auto"/>
              <w:rPr>
                <w:rFonts w:eastAsia="Arial"/>
              </w:rPr>
            </w:pPr>
            <w:r w:rsidRPr="000F6CD1">
              <w:rPr>
                <w:rFonts w:eastAsia="Arial"/>
              </w:rPr>
              <w:t>A guide created to support assessors in making an AT-HM funding tier recommendation.</w:t>
            </w:r>
          </w:p>
        </w:tc>
      </w:tr>
      <w:tr w:rsidR="00B4017B" w:rsidRPr="000F6CD1" w14:paraId="2E04BF97"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17F0DEB" w14:textId="77777777" w:rsidR="00B4017B" w:rsidRPr="000F6CD1" w:rsidRDefault="00B4017B" w:rsidP="21915773">
            <w:pPr>
              <w:spacing w:line="276" w:lineRule="auto"/>
              <w:rPr>
                <w:rFonts w:eastAsia="Arial"/>
                <w:color w:val="000000" w:themeColor="text1"/>
                <w:szCs w:val="22"/>
              </w:rPr>
            </w:pPr>
            <w:r w:rsidRPr="000F6CD1">
              <w:rPr>
                <w:rFonts w:eastAsia="Arial"/>
                <w:color w:val="000000" w:themeColor="text1"/>
                <w:szCs w:val="22"/>
              </w:rPr>
              <w:t xml:space="preserve">Australian National Aged Care Classification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2459850" w14:textId="77777777" w:rsidR="00B4017B" w:rsidRPr="000F6CD1" w:rsidRDefault="00B4017B" w:rsidP="15F8B323">
            <w:pPr>
              <w:spacing w:line="300" w:lineRule="exact"/>
            </w:pPr>
            <w:r w:rsidRPr="000F6CD1">
              <w:t>AN-ACC</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F0E16C" w14:textId="77777777" w:rsidR="00B4017B" w:rsidRPr="000F6CD1" w:rsidRDefault="00B4017B" w:rsidP="21915773">
            <w:pPr>
              <w:spacing w:line="276" w:lineRule="auto"/>
              <w:rPr>
                <w:rFonts w:eastAsia="Arial"/>
                <w:szCs w:val="22"/>
              </w:rPr>
            </w:pPr>
            <w:r w:rsidRPr="000F6CD1">
              <w:rPr>
                <w:rFonts w:eastAsia="Arial"/>
                <w:color w:val="000000" w:themeColor="text1"/>
                <w:szCs w:val="22"/>
              </w:rPr>
              <w:t>Funding model for residential aged care, effective from 1 October 2022.</w:t>
            </w:r>
          </w:p>
        </w:tc>
      </w:tr>
      <w:tr w:rsidR="00B4017B" w:rsidRPr="000F6CD1" w14:paraId="4194DDA5"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36DCCD" w14:textId="77777777" w:rsidR="00B4017B" w:rsidRPr="000F6CD1" w:rsidRDefault="00B4017B" w:rsidP="003D374A">
            <w:pPr>
              <w:pStyle w:val="Sub-headingnon-contentpage"/>
            </w:pPr>
            <w:r w:rsidRPr="000F6CD1">
              <w:t>Australian Privacy Principle/s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EC148E3" w14:textId="77777777" w:rsidR="00B4017B" w:rsidRPr="000F6CD1" w:rsidRDefault="00B4017B">
            <w:pPr>
              <w:spacing w:line="300" w:lineRule="exact"/>
              <w:ind w:right="459"/>
              <w:rPr>
                <w:szCs w:val="22"/>
              </w:rPr>
            </w:pPr>
            <w:r w:rsidRPr="000F6CD1">
              <w:rPr>
                <w:szCs w:val="22"/>
              </w:rPr>
              <w:t>APP/s</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81610F2" w14:textId="77777777" w:rsidR="00B4017B" w:rsidRPr="000F6CD1" w:rsidRDefault="00B4017B">
            <w:pPr>
              <w:rPr>
                <w:szCs w:val="22"/>
              </w:rPr>
            </w:pPr>
            <w:r w:rsidRPr="000F6CD1">
              <w:rPr>
                <w:szCs w:val="22"/>
              </w:rPr>
              <w:t>The Privacy Act includes 13 APPs in Schedule 1 that apply to the handling of personal information by most Australian and Norfolk Island Government agencies and some private sector organisations.</w:t>
            </w:r>
          </w:p>
        </w:tc>
      </w:tr>
      <w:tr w:rsidR="00B4017B" w:rsidRPr="000F6CD1" w14:paraId="361E2FEE"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07D298" w14:textId="77777777" w:rsidR="00B4017B" w:rsidRPr="000F6CD1" w:rsidRDefault="00B4017B" w:rsidP="003D374A">
            <w:pPr>
              <w:pStyle w:val="Sub-headingnon-contentpage"/>
            </w:pPr>
            <w:r w:rsidRPr="000F6CD1">
              <w:t>Care finder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26C7EA"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4D04CC7" w14:textId="77777777" w:rsidR="00B4017B" w:rsidRPr="000F6CD1" w:rsidRDefault="00B4017B">
            <w:pPr>
              <w:rPr>
                <w:szCs w:val="22"/>
              </w:rPr>
            </w:pPr>
            <w:r w:rsidRPr="000F6CD1">
              <w:rPr>
                <w:szCs w:val="22"/>
                <w:lang w:eastAsia="ko-KR"/>
              </w:rPr>
              <w:t>Care finders assist vulnerable older Australians who do not have someone who is able to help them access aged care services and other relevant supports in the community.</w:t>
            </w:r>
            <w:r w:rsidRPr="000F6CD1">
              <w:rPr>
                <w:szCs w:val="22"/>
              </w:rPr>
              <w:t xml:space="preserve"> </w:t>
            </w:r>
            <w:r w:rsidRPr="000F6CD1">
              <w:rPr>
                <w:szCs w:val="22"/>
                <w:lang w:eastAsia="ko-KR"/>
              </w:rPr>
              <w:t xml:space="preserve">Contact information for care finder services in each region is on the My Aged Care website at </w:t>
            </w:r>
            <w:hyperlink r:id="rId383" w:history="1">
              <w:r w:rsidRPr="000F6CD1">
                <w:rPr>
                  <w:rStyle w:val="Hyperlink"/>
                  <w:color w:val="auto"/>
                  <w:szCs w:val="22"/>
                </w:rPr>
                <w:t>Help from a care finder | My Aged Care</w:t>
              </w:r>
            </w:hyperlink>
          </w:p>
        </w:tc>
      </w:tr>
      <w:tr w:rsidR="00B4017B" w:rsidRPr="000F6CD1" w14:paraId="788EE11B"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F219BCC" w14:textId="77777777" w:rsidR="00B4017B" w:rsidRPr="000F6CD1" w:rsidRDefault="00B4017B">
            <w:pPr>
              <w:rPr>
                <w:rFonts w:eastAsia="Arial"/>
              </w:rPr>
            </w:pPr>
            <w:r w:rsidRPr="000F6CD1">
              <w:rPr>
                <w:rFonts w:eastAsia="Arial"/>
              </w:rPr>
              <w:t>Classification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62AEE4" w14:textId="77777777" w:rsidR="00B4017B" w:rsidRPr="000F6CD1" w:rsidRDefault="00B4017B">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FDC02C5" w14:textId="77777777" w:rsidR="00B4017B" w:rsidRPr="000F6CD1" w:rsidRDefault="00B4017B">
            <w:pPr>
              <w:spacing w:before="58" w:after="28" w:line="276" w:lineRule="auto"/>
              <w:rPr>
                <w:rFonts w:eastAsia="Arial"/>
              </w:rPr>
            </w:pPr>
            <w:r w:rsidRPr="000F6CD1">
              <w:rPr>
                <w:rFonts w:eastAsia="Arial"/>
              </w:rPr>
              <w:t xml:space="preserve">Refers to the classification of a Support at Home participant, including: </w:t>
            </w:r>
          </w:p>
          <w:p w14:paraId="66632445" w14:textId="77777777" w:rsidR="00B4017B" w:rsidRPr="000F6CD1" w:rsidRDefault="00B4017B" w:rsidP="00DF3F6B">
            <w:pPr>
              <w:pStyle w:val="ListParagraph"/>
              <w:numPr>
                <w:ilvl w:val="0"/>
                <w:numId w:val="391"/>
              </w:numPr>
              <w:spacing w:after="0"/>
              <w:rPr>
                <w:rFonts w:eastAsia="Arial"/>
              </w:rPr>
            </w:pPr>
            <w:r w:rsidRPr="000F6CD1">
              <w:rPr>
                <w:rFonts w:eastAsia="Arial"/>
              </w:rPr>
              <w:t>Ongoing classification (Classifications 1-8)</w:t>
            </w:r>
          </w:p>
          <w:p w14:paraId="047349B4" w14:textId="77777777" w:rsidR="00B4017B" w:rsidRPr="000F6CD1" w:rsidRDefault="00B4017B" w:rsidP="00DF3F6B">
            <w:pPr>
              <w:pStyle w:val="ListParagraph"/>
              <w:numPr>
                <w:ilvl w:val="0"/>
                <w:numId w:val="391"/>
              </w:numPr>
              <w:spacing w:after="0"/>
              <w:rPr>
                <w:rFonts w:eastAsia="Arial"/>
              </w:rPr>
            </w:pPr>
            <w:r w:rsidRPr="000F6CD1">
              <w:rPr>
                <w:rFonts w:eastAsia="Arial"/>
              </w:rPr>
              <w:t>Short-term classifications (AT-HM scheme, Restorative Care Pathway Classification and End-of-Life Classification).</w:t>
            </w:r>
          </w:p>
          <w:p w14:paraId="55DF41AD" w14:textId="77777777" w:rsidR="00B4017B" w:rsidRPr="000F6CD1" w:rsidRDefault="00B4017B" w:rsidP="00BA7C21">
            <w:pPr>
              <w:spacing w:after="0"/>
              <w:rPr>
                <w:rFonts w:eastAsia="Arial"/>
              </w:rPr>
            </w:pPr>
          </w:p>
          <w:p w14:paraId="70E76808" w14:textId="77777777" w:rsidR="00B4017B" w:rsidRPr="000F6CD1" w:rsidRDefault="00B4017B" w:rsidP="00BA7C21">
            <w:pPr>
              <w:spacing w:after="0"/>
              <w:rPr>
                <w:rFonts w:eastAsia="Arial"/>
              </w:rPr>
            </w:pPr>
            <w:r w:rsidRPr="000F6CD1">
              <w:rPr>
                <w:rFonts w:eastAsia="Arial"/>
              </w:rPr>
              <w:t>Also refers to residential care classification (ongoing or short-term)</w:t>
            </w:r>
          </w:p>
        </w:tc>
      </w:tr>
      <w:tr w:rsidR="00B4017B" w:rsidRPr="000F6CD1" w14:paraId="23E05D56" w14:textId="77777777">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C5EBFB9" w14:textId="77777777" w:rsidR="00B4017B" w:rsidRPr="000F6CD1" w:rsidRDefault="00B4017B" w:rsidP="003D374A">
            <w:pPr>
              <w:pStyle w:val="Sub-headingnon-contentpage"/>
            </w:pPr>
            <w:r w:rsidRPr="000F6CD1">
              <w:lastRenderedPageBreak/>
              <w:t>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EDD9DF"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4CC2CA9" w14:textId="0E312868" w:rsidR="00B4017B" w:rsidRPr="000F6CD1" w:rsidRDefault="00B4017B">
            <w:pPr>
              <w:pStyle w:val="paragraph"/>
              <w:spacing w:before="0" w:beforeAutospacing="0" w:after="0" w:afterAutospacing="0" w:line="276" w:lineRule="auto"/>
              <w:textAlignment w:val="baseline"/>
              <w:rPr>
                <w:rFonts w:eastAsiaTheme="majorEastAsia"/>
                <w:szCs w:val="22"/>
                <w:lang w:eastAsia="ko-KR"/>
              </w:rPr>
            </w:pPr>
            <w:r w:rsidRPr="000F6CD1">
              <w:rPr>
                <w:rFonts w:eastAsiaTheme="majorEastAsia"/>
                <w:szCs w:val="22"/>
                <w:lang w:eastAsia="ko-KR"/>
              </w:rPr>
              <w:t>A clinically trained assessor who meets the qualification and training requirements outlined in the assessment organisation's contractual agreement with the Commonwealth</w:t>
            </w:r>
            <w:r w:rsidRPr="000F6CD1">
              <w:rPr>
                <w:rStyle w:val="normaltextrun"/>
                <w:szCs w:val="22"/>
                <w:shd w:val="clear" w:color="auto" w:fill="FFFFFF"/>
              </w:rPr>
              <w:t xml:space="preserve"> </w:t>
            </w:r>
            <w:r w:rsidRPr="000F6CD1">
              <w:rPr>
                <w:rFonts w:eastAsiaTheme="majorEastAsia"/>
                <w:lang w:eastAsia="ko-KR"/>
              </w:rPr>
              <w:t>and in the My Aged Care Workforce Learning Strategy v 1.5 (or subsequent versions)</w:t>
            </w:r>
            <w:r w:rsidRPr="000F6CD1">
              <w:rPr>
                <w:rFonts w:eastAsiaTheme="majorEastAsia"/>
                <w:szCs w:val="22"/>
                <w:lang w:eastAsia="ko-KR"/>
              </w:rPr>
              <w:t xml:space="preserve">. A clinical assessor undertakes complex (comprehensive) aged care needs assessments with older people and will be required to exercise clinical judgement. </w:t>
            </w:r>
          </w:p>
          <w:p w14:paraId="17DA118F" w14:textId="77777777" w:rsidR="00B4017B" w:rsidRPr="000F6CD1" w:rsidRDefault="00B4017B">
            <w:pPr>
              <w:rPr>
                <w:szCs w:val="22"/>
                <w:lang w:eastAsia="ko-KR"/>
              </w:rPr>
            </w:pPr>
          </w:p>
        </w:tc>
      </w:tr>
      <w:tr w:rsidR="00B4017B" w:rsidRPr="000F6CD1" w14:paraId="0D299B32" w14:textId="77777777">
        <w:trPr>
          <w:trHeight w:val="161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1698388" w14:textId="77777777" w:rsidR="00B4017B" w:rsidRPr="000F6CD1" w:rsidRDefault="00B4017B" w:rsidP="003D374A">
            <w:pPr>
              <w:pStyle w:val="Sub-headingnon-contentpage"/>
            </w:pPr>
            <w:r w:rsidRPr="000F6CD1">
              <w:t>Clinical Assessment Delegate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7E7E9B2" w14:textId="77777777" w:rsidR="00B4017B" w:rsidRPr="000F6CD1" w:rsidRDefault="00B4017B">
            <w:pPr>
              <w:spacing w:line="300" w:lineRule="exact"/>
              <w:ind w:right="459"/>
              <w:rPr>
                <w:szCs w:val="22"/>
              </w:rPr>
            </w:pPr>
            <w:r w:rsidRPr="000F6CD1">
              <w:rPr>
                <w:szCs w:val="22"/>
              </w:rPr>
              <w:t>Clinical Delegate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6FD4415" w14:textId="77777777" w:rsidR="00B4017B" w:rsidRPr="000F6CD1" w:rsidRDefault="00B4017B">
            <w:pPr>
              <w:pStyle w:val="paragraph"/>
              <w:spacing w:before="0" w:beforeAutospacing="0" w:after="0" w:afterAutospacing="0" w:line="276" w:lineRule="auto"/>
              <w:textAlignment w:val="baseline"/>
              <w:rPr>
                <w:rFonts w:eastAsiaTheme="majorEastAsia"/>
                <w:szCs w:val="22"/>
                <w:lang w:eastAsia="ko-KR"/>
              </w:rPr>
            </w:pPr>
            <w:r w:rsidRPr="000F6CD1">
              <w:rPr>
                <w:rFonts w:eastAsiaTheme="majorEastAsia"/>
                <w:szCs w:val="22"/>
                <w:lang w:eastAsia="ko-KR"/>
              </w:rPr>
              <w:t>A Clinical Assessment Delegate is a position held by an employee of an assessment organisation who has delegation under the Act to approve an older person for all service groups, classification types and classification levels.</w:t>
            </w:r>
          </w:p>
        </w:tc>
      </w:tr>
      <w:tr w:rsidR="00B4017B" w:rsidRPr="000F6CD1" w14:paraId="2E04881D" w14:textId="77777777" w:rsidTr="00F7076A">
        <w:trPr>
          <w:trHeight w:val="1389"/>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0337E2C" w14:textId="77777777" w:rsidR="00B4017B" w:rsidRPr="000F6CD1" w:rsidRDefault="00B4017B" w:rsidP="003D374A">
            <w:pPr>
              <w:pStyle w:val="Sub-headingnon-contentpage"/>
            </w:pPr>
            <w:r w:rsidRPr="000F6CD1">
              <w:t>Commonwealth Continuity of Support Programme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7C0985" w14:textId="77777777" w:rsidR="00B4017B" w:rsidRPr="000F6CD1" w:rsidRDefault="00B4017B">
            <w:pPr>
              <w:spacing w:line="300" w:lineRule="exact"/>
              <w:ind w:right="459"/>
              <w:rPr>
                <w:szCs w:val="22"/>
              </w:rPr>
            </w:pPr>
            <w:r w:rsidRPr="000F6CD1">
              <w:rPr>
                <w:szCs w:val="22"/>
              </w:rPr>
              <w:t>CoS</w:t>
            </w:r>
            <w:r w:rsidRPr="000F6CD1">
              <w:rPr>
                <w:szCs w:val="22"/>
              </w:rPr>
              <w:br/>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B85FB40" w14:textId="77777777" w:rsidR="00B4017B" w:rsidRPr="000F6CD1" w:rsidRDefault="00B4017B">
            <w:pPr>
              <w:rPr>
                <w:szCs w:val="22"/>
                <w:lang w:eastAsia="ko-KR"/>
              </w:rPr>
            </w:pPr>
            <w:r w:rsidRPr="000F6CD1">
              <w:rPr>
                <w:szCs w:val="22"/>
                <w:lang w:eastAsia="ko-KR"/>
              </w:rPr>
              <w:t xml:space="preserve">The Continuity of Support Programme has been replaced with Disability Support for Older Australians (DSOA). </w:t>
            </w:r>
          </w:p>
        </w:tc>
      </w:tr>
      <w:tr w:rsidR="00B4017B" w:rsidRPr="000F6CD1" w14:paraId="7BD9EC57"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E68D68" w14:textId="77777777" w:rsidR="00B4017B" w:rsidRPr="000F6CD1" w:rsidRDefault="00B4017B" w:rsidP="003D374A">
            <w:pPr>
              <w:pStyle w:val="Sub-headingnon-contentpage"/>
            </w:pPr>
            <w:r w:rsidRPr="000F6CD1">
              <w:t>Commonwealth Home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DCBDCEB" w14:textId="77777777" w:rsidR="00B4017B" w:rsidRPr="000F6CD1" w:rsidRDefault="00B4017B">
            <w:pPr>
              <w:spacing w:line="300" w:lineRule="exact"/>
              <w:ind w:right="459"/>
              <w:rPr>
                <w:szCs w:val="22"/>
              </w:rPr>
            </w:pPr>
            <w:r w:rsidRPr="000F6CD1">
              <w:rPr>
                <w:szCs w:val="22"/>
              </w:rPr>
              <w:t>CHSP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E7133D" w14:textId="77777777" w:rsidR="00B4017B" w:rsidRPr="000F6CD1" w:rsidRDefault="00B4017B">
            <w:pPr>
              <w:rPr>
                <w:szCs w:val="22"/>
                <w:lang w:eastAsia="ko-KR"/>
              </w:rPr>
            </w:pPr>
            <w:r w:rsidRPr="000F6CD1">
              <w:rPr>
                <w:color w:val="000000" w:themeColor="text1"/>
                <w:szCs w:val="22"/>
              </w:rPr>
              <w:t xml:space="preserve">The Commonwealth Home Support Program provides a broad range of entry-level support services to assist older people aged 65 years and over (50 years and over for Aboriginal and Torres Strait Islander people and people who are homeless or at risk of homelessness) to live independently in their homes and communities. From 1 November 2025, the CHSP comes under the </w:t>
            </w:r>
            <w:r w:rsidRPr="000F6CD1">
              <w:rPr>
                <w:i/>
                <w:color w:val="000000" w:themeColor="text1"/>
                <w:szCs w:val="22"/>
              </w:rPr>
              <w:t>Aged Care Act 2024</w:t>
            </w:r>
            <w:r w:rsidRPr="000F6CD1">
              <w:rPr>
                <w:color w:val="000000" w:themeColor="text1"/>
                <w:szCs w:val="22"/>
              </w:rPr>
              <w:t>.</w:t>
            </w:r>
          </w:p>
        </w:tc>
      </w:tr>
      <w:tr w:rsidR="00B4017B" w:rsidRPr="000F6CD1" w14:paraId="11F095BC"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24CB5FF" w14:textId="77777777" w:rsidR="00B4017B" w:rsidRPr="000F6CD1" w:rsidRDefault="00B4017B" w:rsidP="003D374A">
            <w:pPr>
              <w:pStyle w:val="Sub-headingnon-contentpage"/>
            </w:pPr>
            <w:r w:rsidRPr="000F6CD1">
              <w:t>Comprehensive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3EEE32A"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8D688B" w14:textId="77777777" w:rsidR="00B4017B" w:rsidRPr="000F6CD1" w:rsidRDefault="00B4017B">
            <w:pPr>
              <w:rPr>
                <w:szCs w:val="22"/>
              </w:rPr>
            </w:pPr>
            <w:r w:rsidRPr="000F6CD1">
              <w:rPr>
                <w:szCs w:val="22"/>
              </w:rPr>
              <w:t xml:space="preserve">An assessment type for people with more complex needs. Comprehensive assessments are undertaken by clinical assessors. </w:t>
            </w:r>
          </w:p>
        </w:tc>
      </w:tr>
      <w:tr w:rsidR="00B4017B" w:rsidRPr="000F6CD1" w14:paraId="0C75A18A"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5ACFCE0" w14:textId="77777777" w:rsidR="00B4017B" w:rsidRPr="000F6CD1" w:rsidRDefault="00B4017B" w:rsidP="003D374A">
            <w:pPr>
              <w:pStyle w:val="Sub-headingnon-contentpage"/>
            </w:pPr>
            <w:r w:rsidRPr="000F6CD1">
              <w:t>Cultural Safety for Aboriginal and Torres Strait Islander people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86E0453" w14:textId="77777777" w:rsidR="00B4017B" w:rsidRPr="000F6CD1" w:rsidRDefault="00B4017B">
            <w:pPr>
              <w:spacing w:line="300" w:lineRule="exact"/>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FA8D405" w14:textId="77777777" w:rsidR="00B4017B" w:rsidRPr="000F6CD1" w:rsidRDefault="00B4017B">
            <w:pPr>
              <w:rPr>
                <w:szCs w:val="22"/>
              </w:rPr>
            </w:pPr>
            <w:r w:rsidRPr="000F6CD1">
              <w:rPr>
                <w:szCs w:val="22"/>
              </w:rPr>
              <w:t xml:space="preserve">The National Aboriginal and Torres Strait Islander Ageing and Aged Care Council (NATSIAACC) defined cultural safety as: ‘Cultural safety requires understanding one’s own culture and the impact that your culture, thinking, and actions may have on the culture and wellbeing of others through ongoing critical self-reflection. Only the care recipient themselves can determine whether the service is culturally safe. Ensuring access to a culturally </w:t>
            </w:r>
            <w:r w:rsidRPr="000F6CD1">
              <w:rPr>
                <w:szCs w:val="22"/>
              </w:rPr>
              <w:lastRenderedPageBreak/>
              <w:t>safe, respectful, responsive and racism free aged care system is inherent for the optimal safety, autonomy, dignity, and absolute wellbeing of Aboriginal and Torres Strait Islander Elders, senior and older people, their families and community.</w:t>
            </w:r>
          </w:p>
          <w:p w14:paraId="6ADAA4EC" w14:textId="77777777" w:rsidR="00B4017B" w:rsidRPr="000F6CD1" w:rsidRDefault="00B4017B" w:rsidP="005B3074">
            <w:pPr>
              <w:rPr>
                <w:szCs w:val="22"/>
              </w:rPr>
            </w:pPr>
            <w:r w:rsidRPr="000F6CD1">
              <w:rPr>
                <w:szCs w:val="22"/>
              </w:rPr>
              <w:t xml:space="preserve">Aged care service providers and workers must take responsibility for building trust and relationships with Aboriginal and Torres Strait Islander service users, and their families, and for creating a new aged care system which centres on their living experience, cultural, and ageing needs, as determined by Aboriginal and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 </w:t>
            </w:r>
          </w:p>
          <w:p w14:paraId="60F5DB28" w14:textId="77777777" w:rsidR="00B4017B" w:rsidRPr="000F6CD1" w:rsidRDefault="00B4017B" w:rsidP="005B3074">
            <w:pPr>
              <w:rPr>
                <w:szCs w:val="22"/>
              </w:rPr>
            </w:pPr>
            <w:r w:rsidRPr="000F6CD1">
              <w:rPr>
                <w:szCs w:val="22"/>
              </w:rPr>
              <w:t>According to the Australian Health Practitioner Regulation Agency (AHPRA):</w:t>
            </w:r>
          </w:p>
          <w:p w14:paraId="52E57D40" w14:textId="77777777" w:rsidR="00B4017B" w:rsidRPr="000F6CD1" w:rsidRDefault="00B4017B" w:rsidP="005B3074">
            <w:pPr>
              <w:rPr>
                <w:szCs w:val="22"/>
              </w:rPr>
            </w:pPr>
            <w:r w:rsidRPr="000F6CD1">
              <w:rPr>
                <w:szCs w:val="22"/>
              </w:rPr>
              <w:t>“Cultural safety is determined by Aboriginal and Torres Strait Islander individuals, families and communities.”</w:t>
            </w:r>
          </w:p>
          <w:p w14:paraId="4902D36C" w14:textId="24388174" w:rsidR="00B4017B" w:rsidRPr="000F6CD1" w:rsidRDefault="00B4017B">
            <w:pPr>
              <w:rPr>
                <w:szCs w:val="22"/>
              </w:rPr>
            </w:pPr>
            <w:r w:rsidRPr="000F6CD1">
              <w:rPr>
                <w:szCs w:val="22"/>
              </w:rPr>
              <w:t>It involves ongoing critical reflection by health practitioners on their own knowledge, skills, attitudes, and power differentials, and how these affect their practice </w:t>
            </w:r>
          </w:p>
        </w:tc>
      </w:tr>
      <w:tr w:rsidR="00B4017B" w:rsidRPr="000F6CD1" w14:paraId="1DD64378"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0936BE" w14:textId="77777777" w:rsidR="00B4017B" w:rsidRPr="000F6CD1" w:rsidRDefault="00B4017B" w:rsidP="003D374A">
            <w:pPr>
              <w:pStyle w:val="Sub-headingnon-contentpage"/>
            </w:pPr>
            <w:r w:rsidRPr="000F6CD1">
              <w:lastRenderedPageBreak/>
              <w:t>Departmental delegate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A860C23"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8C70F5" w14:textId="46D6F99E" w:rsidR="00B4017B" w:rsidRPr="000F6CD1" w:rsidRDefault="00B4017B">
            <w:pPr>
              <w:rPr>
                <w:color w:val="000000" w:themeColor="text1"/>
                <w:szCs w:val="22"/>
              </w:rPr>
            </w:pPr>
            <w:r w:rsidRPr="000F6CD1">
              <w:rPr>
                <w:szCs w:val="22"/>
              </w:rPr>
              <w:t xml:space="preserve">A departmental employee whose position has been delegated powers and functions under a section of the </w:t>
            </w:r>
            <w:r w:rsidRPr="000F6CD1">
              <w:rPr>
                <w:i/>
                <w:szCs w:val="22"/>
              </w:rPr>
              <w:t xml:space="preserve">Aged Care Act 2024 </w:t>
            </w:r>
            <w:r w:rsidRPr="000F6CD1">
              <w:rPr>
                <w:szCs w:val="22"/>
              </w:rPr>
              <w:t xml:space="preserve">(Cth) by the System Governor. </w:t>
            </w:r>
          </w:p>
        </w:tc>
      </w:tr>
      <w:tr w:rsidR="00B4017B" w:rsidRPr="000F6CD1" w14:paraId="5F5398F4"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FE70B9D" w14:textId="77777777" w:rsidR="00B4017B" w:rsidRPr="000F6CD1" w:rsidRDefault="00B4017B" w:rsidP="003D374A">
            <w:pPr>
              <w:pStyle w:val="Sub-headingnon-contentpage"/>
            </w:pPr>
            <w:r w:rsidRPr="000F6CD1">
              <w:lastRenderedPageBreak/>
              <w:t>Disability Support for Older Australians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DB568A5" w14:textId="77777777" w:rsidR="00B4017B" w:rsidRPr="000F6CD1" w:rsidRDefault="00B4017B">
            <w:pPr>
              <w:spacing w:line="300" w:lineRule="exact"/>
              <w:ind w:right="459"/>
              <w:rPr>
                <w:szCs w:val="22"/>
              </w:rPr>
            </w:pPr>
            <w:r w:rsidRPr="000F6CD1">
              <w:rPr>
                <w:szCs w:val="22"/>
              </w:rPr>
              <w:t>DSOA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7C36EA" w14:textId="77777777" w:rsidR="00B4017B" w:rsidRPr="000F6CD1" w:rsidRDefault="00B4017B">
            <w:pPr>
              <w:rPr>
                <w:szCs w:val="22"/>
              </w:rPr>
            </w:pPr>
            <w:r w:rsidRPr="000F6CD1">
              <w:rPr>
                <w:rFonts w:eastAsia="Calibri"/>
                <w:color w:val="000000" w:themeColor="text1"/>
                <w:szCs w:val="22"/>
              </w:rPr>
              <w:t xml:space="preserve">DSOA provides funding for a range of services including Assistance in Supported Independent Living, Assistance with Self-Care Activities, Specialist/Behavioural Intervention Support, Therapy, and Case Management. </w:t>
            </w:r>
          </w:p>
        </w:tc>
      </w:tr>
      <w:tr w:rsidR="00B4017B" w:rsidRPr="000F6CD1" w14:paraId="004B3732"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1FC2B3" w14:textId="77777777" w:rsidR="00B4017B" w:rsidRPr="000F6CD1" w:rsidRDefault="00B4017B" w:rsidP="003D374A">
            <w:pPr>
              <w:pStyle w:val="Sub-headingnon-contentpage"/>
            </w:pPr>
            <w:r w:rsidRPr="000F6CD1">
              <w:t>Elder Care Support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E7D22BF"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AACB6F" w14:textId="77777777" w:rsidR="00B4017B" w:rsidRPr="000F6CD1" w:rsidRDefault="00B4017B">
            <w:pPr>
              <w:rPr>
                <w:rFonts w:eastAsia="Calibri"/>
                <w:color w:val="000000" w:themeColor="text1"/>
                <w:szCs w:val="22"/>
              </w:rPr>
            </w:pPr>
            <w:r w:rsidRPr="000F6CD1">
              <w:rPr>
                <w:rFonts w:eastAsia="Calibri"/>
                <w:color w:val="000000" w:themeColor="text1"/>
                <w:szCs w:val="22"/>
              </w:rPr>
              <w:t>This workforce helps older Aboriginal and Torres Strait Islander people, their families and carers, to access aged care services across urban, regional and remote Australia to meet their physical and cultural needs.</w:t>
            </w:r>
          </w:p>
        </w:tc>
      </w:tr>
      <w:tr w:rsidR="00B4017B" w:rsidRPr="000F6CD1" w14:paraId="2FA8D29A"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9132C8" w14:textId="77777777" w:rsidR="00B4017B" w:rsidRPr="000F6CD1" w:rsidRDefault="00B4017B" w:rsidP="003D374A">
            <w:pPr>
              <w:pStyle w:val="Sub-headingnon-contentpage"/>
            </w:pPr>
            <w:r w:rsidRPr="000F6CD1">
              <w:t>Aboriginal and Torres Strait Islander Assessment Organisations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5616A6" w14:textId="77777777" w:rsidR="00B4017B" w:rsidRPr="000F6CD1" w:rsidRDefault="00B4017B">
            <w:pPr>
              <w:spacing w:line="300" w:lineRule="exact"/>
              <w:ind w:right="459"/>
              <w:rPr>
                <w:szCs w:val="22"/>
              </w:rPr>
            </w:pPr>
            <w:r w:rsidRPr="000F6CD1">
              <w:rPr>
                <w:szCs w:val="22"/>
              </w:rPr>
              <w:t>FNAO in My Aged Care System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AAFA710" w14:textId="77777777" w:rsidR="00B4017B" w:rsidRPr="000F6CD1" w:rsidRDefault="00B4017B">
            <w:pPr>
              <w:rPr>
                <w:szCs w:val="22"/>
              </w:rPr>
            </w:pPr>
            <w:r w:rsidRPr="000F6CD1">
              <w:t xml:space="preserve">Aboriginal and Torres Strait Islander Assessment Organisations were established from August 2025 to provide culturally safe, trauma aware and healing informed assessments. </w:t>
            </w:r>
          </w:p>
        </w:tc>
      </w:tr>
      <w:tr w:rsidR="00B4017B" w:rsidRPr="000F6CD1" w14:paraId="00570498" w14:textId="77777777">
        <w:trPr>
          <w:trHeight w:val="906"/>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A423DA" w14:textId="77777777" w:rsidR="00B4017B" w:rsidRPr="000F6CD1" w:rsidRDefault="00B4017B" w:rsidP="003D374A">
            <w:pPr>
              <w:pStyle w:val="Sub-headingnon-contentpage"/>
            </w:pPr>
            <w:r w:rsidRPr="000F6CD1">
              <w:t>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6004E19"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C0B7C6" w14:textId="77777777" w:rsidR="00B4017B" w:rsidRPr="000F6CD1" w:rsidRDefault="00B4017B">
            <w:pPr>
              <w:rPr>
                <w:szCs w:val="22"/>
              </w:rPr>
            </w:pPr>
            <w:r w:rsidRPr="000F6CD1">
              <w:rPr>
                <w:szCs w:val="22"/>
              </w:rPr>
              <w:t xml:space="preserve">Where formal services are referred to in this Manual these are paid services, such as government funded support. </w:t>
            </w:r>
          </w:p>
        </w:tc>
      </w:tr>
      <w:tr w:rsidR="00B4017B" w:rsidRPr="000F6CD1" w14:paraId="2FFE0185" w14:textId="77777777">
        <w:trPr>
          <w:trHeight w:hRule="exac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57F0A5" w14:textId="77777777" w:rsidR="00B4017B" w:rsidRPr="000F6CD1" w:rsidRDefault="00B4017B" w:rsidP="003D374A">
            <w:pPr>
              <w:pStyle w:val="Sub-headingnon-contentpage"/>
            </w:pPr>
            <w:r w:rsidRPr="000F6CD1">
              <w:t>Good Practice / Best Practice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9B7B0FA"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70D302D" w14:textId="77777777" w:rsidR="00B4017B" w:rsidRPr="000F6CD1" w:rsidRDefault="00B4017B">
            <w:pPr>
              <w:rPr>
                <w:szCs w:val="22"/>
              </w:rPr>
            </w:pPr>
            <w:r w:rsidRPr="000F6CD1">
              <w:rPr>
                <w:szCs w:val="22"/>
              </w:rPr>
              <w:t xml:space="preserve">Good practice is a matter of action. Best Practice is a recommendation. </w:t>
            </w:r>
          </w:p>
        </w:tc>
      </w:tr>
      <w:tr w:rsidR="00B4017B" w:rsidRPr="000F6CD1" w14:paraId="54196E0B" w14:textId="77777777">
        <w:trPr>
          <w:trHeight w:val="78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E8D169F" w14:textId="77777777" w:rsidR="00B4017B" w:rsidRPr="000F6CD1" w:rsidRDefault="00B4017B">
            <w:pPr>
              <w:rPr>
                <w:rFonts w:eastAsia="Arial"/>
              </w:rPr>
            </w:pPr>
            <w:r w:rsidRPr="000F6CD1">
              <w:rPr>
                <w:rFonts w:eastAsia="Arial"/>
              </w:rPr>
              <w:t>Home modifications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A99A4B" w14:textId="77777777" w:rsidR="00B4017B" w:rsidRPr="000F6CD1" w:rsidRDefault="00B4017B">
            <w:pPr>
              <w:spacing w:line="300" w:lineRule="exact"/>
              <w:rPr>
                <w:szCs w:val="22"/>
              </w:rPr>
            </w:pPr>
            <w:r w:rsidRPr="000F6CD1">
              <w:rPr>
                <w:szCs w:val="22"/>
              </w:rPr>
              <w:t>HM</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691027F" w14:textId="77777777" w:rsidR="00B4017B" w:rsidRPr="000F6CD1" w:rsidRDefault="00B4017B">
            <w:pPr>
              <w:rPr>
                <w:rFonts w:eastAsia="Arial"/>
                <w:szCs w:val="22"/>
              </w:rPr>
            </w:pPr>
            <w:r w:rsidRPr="000F6CD1">
              <w:rPr>
                <w:rFonts w:eastAsia="Arial"/>
              </w:rPr>
              <w:t>Changes to an older person’s home to create a home environment that is safer and more accessible, so they can remain living safely at home.</w:t>
            </w:r>
          </w:p>
        </w:tc>
      </w:tr>
      <w:tr w:rsidR="00B4017B" w:rsidRPr="000F6CD1" w14:paraId="241A86AF" w14:textId="77777777">
        <w:trPr>
          <w:trHeight w:val="153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E9F86C4" w14:textId="77777777" w:rsidR="00B4017B" w:rsidRPr="000F6CD1" w:rsidRDefault="00B4017B" w:rsidP="003D374A">
            <w:pPr>
              <w:pStyle w:val="Sub-headingnon-contentpage"/>
            </w:pPr>
            <w:r w:rsidRPr="000F6CD1">
              <w:t>Home Care Package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02072F" w14:textId="77777777" w:rsidR="00B4017B" w:rsidRPr="000F6CD1" w:rsidRDefault="00B4017B">
            <w:pPr>
              <w:spacing w:line="300" w:lineRule="exact"/>
              <w:ind w:right="459"/>
              <w:rPr>
                <w:szCs w:val="22"/>
              </w:rPr>
            </w:pPr>
            <w:r w:rsidRPr="000F6CD1">
              <w:rPr>
                <w:szCs w:val="22"/>
              </w:rPr>
              <w:t>HCP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DDA8B30" w14:textId="5387B4E7" w:rsidR="00B4017B" w:rsidRPr="000F6CD1" w:rsidRDefault="00B4017B">
            <w:r w:rsidRPr="000F6CD1">
              <w:t>The HCP Program supported older Australians with complex care needs to live independently in their own homes. There were 4 levels of support — from level 1 for basic care needs to level 4 for high care needs. The Program ceased on 31 October 2025, replaced by the Support at Home program.</w:t>
            </w:r>
          </w:p>
        </w:tc>
      </w:tr>
      <w:tr w:rsidR="00B4017B" w:rsidRPr="000F6CD1" w14:paraId="1DD961F4"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AD9DAD" w14:textId="77777777" w:rsidR="00B4017B" w:rsidRPr="000F6CD1" w:rsidRDefault="00B4017B" w:rsidP="003D374A">
            <w:pPr>
              <w:pStyle w:val="Sub-headingnon-contentpage"/>
            </w:pPr>
            <w:r w:rsidRPr="000F6CD1">
              <w:t>Informal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786AEDF"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EF5D40" w14:textId="77777777" w:rsidR="00B4017B" w:rsidRPr="000F6CD1" w:rsidRDefault="00B4017B">
            <w:pPr>
              <w:rPr>
                <w:szCs w:val="22"/>
              </w:rPr>
            </w:pPr>
            <w:r w:rsidRPr="000F6CD1">
              <w:rPr>
                <w:szCs w:val="22"/>
              </w:rPr>
              <w:t xml:space="preserve">Where informal services are referred to in this Manual this is the unpaid support provided by carers, family, neighbours or other community organisations. </w:t>
            </w:r>
          </w:p>
        </w:tc>
      </w:tr>
      <w:tr w:rsidR="00B4017B" w:rsidRPr="000F6CD1" w14:paraId="24F7DCFC"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78F914D" w14:textId="77777777" w:rsidR="00B4017B" w:rsidRPr="000F6CD1" w:rsidRDefault="00B4017B" w:rsidP="008C6245">
            <w:pPr>
              <w:pStyle w:val="Sub-headingnon-contentpage"/>
              <w:pageBreakBefore/>
            </w:pPr>
            <w:r w:rsidRPr="000F6CD1">
              <w:lastRenderedPageBreak/>
              <w:t>Integrated Assessment Tool</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9C611A3" w14:textId="77777777" w:rsidR="00B4017B" w:rsidRPr="000F6CD1" w:rsidRDefault="00B4017B" w:rsidP="008C6245">
            <w:pPr>
              <w:pageBreakBefore/>
              <w:spacing w:line="300" w:lineRule="exact"/>
              <w:ind w:right="459"/>
              <w:rPr>
                <w:szCs w:val="22"/>
              </w:rPr>
            </w:pPr>
            <w:r w:rsidRPr="000F6CD1">
              <w:rPr>
                <w:szCs w:val="22"/>
              </w:rPr>
              <w:t>IAT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746BD79" w14:textId="49796A0B" w:rsidR="00B732A8" w:rsidRPr="00B732A8" w:rsidRDefault="00B732A8" w:rsidP="008C6245">
            <w:pPr>
              <w:pageBreakBefore/>
              <w:rPr>
                <w:szCs w:val="22"/>
                <w:lang w:eastAsia="ko-KR"/>
              </w:rPr>
            </w:pPr>
            <w:r w:rsidRPr="00B732A8">
              <w:rPr>
                <w:szCs w:val="22"/>
                <w:lang w:eastAsia="ko-KR"/>
              </w:rPr>
              <w:t xml:space="preserve">The </w:t>
            </w:r>
            <w:r w:rsidR="00784090">
              <w:rPr>
                <w:szCs w:val="22"/>
                <w:lang w:eastAsia="ko-KR"/>
              </w:rPr>
              <w:t>Integrated Assessment Tool (</w:t>
            </w:r>
            <w:r w:rsidRPr="00B732A8">
              <w:rPr>
                <w:szCs w:val="22"/>
                <w:lang w:eastAsia="ko-KR"/>
              </w:rPr>
              <w:t>IAT</w:t>
            </w:r>
            <w:r w:rsidR="00784090">
              <w:rPr>
                <w:szCs w:val="22"/>
                <w:lang w:eastAsia="ko-KR"/>
              </w:rPr>
              <w:t xml:space="preserve">) </w:t>
            </w:r>
            <w:r w:rsidRPr="00B732A8">
              <w:rPr>
                <w:szCs w:val="22"/>
                <w:lang w:eastAsia="ko-KR"/>
              </w:rPr>
              <w:t>is the assessment tool used by assessors to conduct aged care needs assessments for older Australians who are seeking to access government subsidised aged care services.</w:t>
            </w:r>
          </w:p>
          <w:p w14:paraId="5E9F6BCF" w14:textId="123F3266" w:rsidR="00B4017B" w:rsidRPr="000F6CD1" w:rsidRDefault="00B732A8" w:rsidP="008C6245">
            <w:pPr>
              <w:pageBreakBefore/>
              <w:rPr>
                <w:szCs w:val="22"/>
                <w:lang w:eastAsia="ko-KR"/>
              </w:rPr>
            </w:pPr>
            <w:r w:rsidRPr="00B732A8">
              <w:rPr>
                <w:szCs w:val="22"/>
                <w:lang w:eastAsia="ko-KR"/>
              </w:rPr>
              <w:t xml:space="preserve">The IAT allows assessors to collect detailed and consistent information about the older person once and ensure service recommendations and referrals are tailored to their current needs. </w:t>
            </w:r>
          </w:p>
        </w:tc>
      </w:tr>
      <w:tr w:rsidR="00B4017B" w:rsidRPr="000F6CD1" w14:paraId="63C7EE41"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3E581E4" w14:textId="77777777" w:rsidR="00B4017B" w:rsidRPr="000F6CD1" w:rsidRDefault="00B4017B" w:rsidP="003D374A">
            <w:pPr>
              <w:pStyle w:val="Sub-headingnon-contentpage"/>
            </w:pPr>
            <w:r w:rsidRPr="000F6CD1">
              <w:t>ISBAR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B4F992"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D7258B" w14:textId="77777777" w:rsidR="00B4017B" w:rsidRPr="000F6CD1" w:rsidRDefault="00B4017B">
            <w:pPr>
              <w:rPr>
                <w:szCs w:val="22"/>
              </w:rPr>
            </w:pPr>
            <w:r w:rsidRPr="000F6CD1">
              <w:rPr>
                <w:szCs w:val="22"/>
                <w:lang w:eastAsia="ko-KR"/>
              </w:rPr>
              <w:t xml:space="preserve">The ISBAR framework represents a standardised approach to communication which can be used in any situation. It stands for Introduction, Situation, Background, Assessment and Recommendation. The ISBAR is the format which must be used when drafting a Support Plan. </w:t>
            </w:r>
          </w:p>
        </w:tc>
      </w:tr>
      <w:tr w:rsidR="00B4017B" w:rsidRPr="000F6CD1" w14:paraId="4B8A7337" w14:textId="77777777">
        <w:trPr>
          <w:trHeight w:val="6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80C2CA0" w14:textId="77777777" w:rsidR="00B4017B" w:rsidRPr="000F6CD1" w:rsidRDefault="00B4017B" w:rsidP="003D374A">
            <w:pPr>
              <w:pStyle w:val="Sub-headingnon-contentpage"/>
            </w:pPr>
            <w:r w:rsidRPr="000F6CD1">
              <w:t xml:space="preserve">Multi-Purpose Service Program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18B703" w14:textId="77777777" w:rsidR="00B4017B" w:rsidRPr="000F6CD1" w:rsidRDefault="00B4017B">
            <w:pPr>
              <w:spacing w:line="300" w:lineRule="exact"/>
              <w:ind w:right="459"/>
              <w:rPr>
                <w:szCs w:val="22"/>
              </w:rPr>
            </w:pPr>
            <w:r w:rsidRPr="000F6CD1">
              <w:rPr>
                <w:szCs w:val="22"/>
              </w:rPr>
              <w:t>MPSP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31D379" w14:textId="77777777" w:rsidR="00B4017B" w:rsidRPr="000F6CD1" w:rsidRDefault="00B4017B">
            <w:pPr>
              <w:rPr>
                <w:szCs w:val="22"/>
                <w:lang w:eastAsia="ko-KR"/>
              </w:rPr>
            </w:pPr>
            <w:r w:rsidRPr="000F6CD1">
              <w:rPr>
                <w:szCs w:val="22"/>
                <w:lang w:eastAsia="ko-KR"/>
              </w:rPr>
              <w:t xml:space="preserve">The Multi-Purpose Service Program (MPSP) is a joint initiative of the Australian Government and state and territory governments. It aims to deliver flexible and integrated health and aged care services to some small rural and remote communities that could not viably support stand-alone hospitals or aged care facilities. </w:t>
            </w:r>
          </w:p>
        </w:tc>
      </w:tr>
      <w:tr w:rsidR="00B4017B" w:rsidRPr="000F6CD1" w14:paraId="028D13F0"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972EFE8" w14:textId="77777777" w:rsidR="00B4017B" w:rsidRPr="000F6CD1" w:rsidRDefault="00B4017B" w:rsidP="003D374A">
            <w:pPr>
              <w:pStyle w:val="Sub-headingnon-contentpage"/>
            </w:pPr>
            <w:r w:rsidRPr="000F6CD1">
              <w:t>My Aged Care contact centre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96A5279" w14:textId="77777777" w:rsidR="00B4017B" w:rsidRPr="000F6CD1" w:rsidRDefault="00B4017B">
            <w:pPr>
              <w:spacing w:line="300" w:lineRule="exact"/>
              <w:ind w:right="459"/>
              <w:rPr>
                <w:szCs w:val="22"/>
              </w:rPr>
            </w:pPr>
            <w:r w:rsidRPr="000F6CD1">
              <w:rPr>
                <w:szCs w:val="22"/>
              </w:rPr>
              <w:t>The contact centre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EAD8D4" w14:textId="77777777" w:rsidR="00B4017B" w:rsidRPr="000F6CD1" w:rsidRDefault="00B4017B">
            <w:pPr>
              <w:rPr>
                <w:szCs w:val="22"/>
                <w:lang w:eastAsia="ko-KR"/>
              </w:rPr>
            </w:pPr>
            <w:r w:rsidRPr="000F6CD1">
              <w:rPr>
                <w:szCs w:val="22"/>
              </w:rPr>
              <w:t xml:space="preserve">The My Aged Care contact centre is the starting point to access Australian Government-funded aged care services. The Freecall phone line (1800 200 422) and website </w:t>
            </w:r>
            <w:hyperlink r:id="rId384" w:history="1">
              <w:r w:rsidRPr="000F6CD1">
                <w:rPr>
                  <w:rStyle w:val="Hyperlink"/>
                  <w:rFonts w:eastAsia="Times New Roman"/>
                  <w:szCs w:val="22"/>
                </w:rPr>
                <w:t>https://www.myagedcare.gov.au/contact-us</w:t>
              </w:r>
            </w:hyperlink>
            <w:r w:rsidRPr="000F6CD1">
              <w:rPr>
                <w:szCs w:val="22"/>
              </w:rPr>
              <w:t xml:space="preserve"> can help older Australians, their families and carers to get the help and support they need.</w:t>
            </w:r>
          </w:p>
        </w:tc>
      </w:tr>
      <w:tr w:rsidR="00B4017B" w:rsidRPr="000F6CD1" w14:paraId="4B8A9D44" w14:textId="77777777">
        <w:trPr>
          <w:trHeight w:val="2399"/>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428645" w14:textId="77777777" w:rsidR="00B4017B" w:rsidRPr="000F6CD1" w:rsidRDefault="00B4017B" w:rsidP="003D374A">
            <w:pPr>
              <w:pStyle w:val="Sub-headingnon-contentpage"/>
            </w:pPr>
            <w:r w:rsidRPr="000F6CD1">
              <w:t>My Aged Care service provider and assessor helpline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8260C18" w14:textId="77777777" w:rsidR="00B4017B" w:rsidRPr="000F6CD1" w:rsidRDefault="00B4017B">
            <w:pPr>
              <w:spacing w:line="300" w:lineRule="exact"/>
              <w:ind w:right="459"/>
              <w:rPr>
                <w:szCs w:val="22"/>
              </w:rPr>
            </w:pPr>
            <w:r w:rsidRPr="000F6CD1">
              <w:rPr>
                <w:szCs w:val="22"/>
              </w:rPr>
              <w:t>Helpline</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6AAA50C" w14:textId="77777777" w:rsidR="00B4017B" w:rsidRPr="000F6CD1" w:rsidRDefault="00B4017B">
            <w:pPr>
              <w:rPr>
                <w:szCs w:val="22"/>
              </w:rPr>
            </w:pPr>
            <w:r w:rsidRPr="000F6CD1">
              <w:rPr>
                <w:szCs w:val="22"/>
              </w:rPr>
              <w:t>My Aged Care service provider and assessor helpline</w:t>
            </w:r>
            <w:r w:rsidRPr="000F6CD1" w:rsidDel="0029017D">
              <w:rPr>
                <w:szCs w:val="22"/>
              </w:rPr>
              <w:t xml:space="preserve"> </w:t>
            </w:r>
            <w:r w:rsidRPr="000F6CD1">
              <w:rPr>
                <w:szCs w:val="22"/>
              </w:rPr>
              <w:t>(1800 836 799) is the industry helpline for My Aged Care portal issues. They provide a reference number to track the progress of a complaint or issue and notification when the ticket is closed. Issues can be escalated to other teams within the department as appropriate. Call from 8am to 8pm Monday to Friday or 10am to 2pm Saturday.</w:t>
            </w:r>
          </w:p>
        </w:tc>
      </w:tr>
      <w:tr w:rsidR="00B4017B" w:rsidRPr="000F6CD1" w14:paraId="33B88EA4" w14:textId="77777777" w:rsidTr="00161256">
        <w:trPr>
          <w:trHeight w:val="293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FC026BA" w14:textId="77777777" w:rsidR="00B4017B" w:rsidRPr="000F6CD1" w:rsidRDefault="00B4017B" w:rsidP="003D374A">
            <w:pPr>
              <w:pStyle w:val="Sub-headingnon-contentpage"/>
            </w:pPr>
            <w:r w:rsidRPr="000F6CD1">
              <w:lastRenderedPageBreak/>
              <w:t>My Aged Care Workforce Learning Strategy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99A6C10" w14:textId="77777777" w:rsidR="00B4017B" w:rsidRPr="000F6CD1" w:rsidRDefault="00B4017B">
            <w:pPr>
              <w:spacing w:line="300" w:lineRule="exact"/>
              <w:ind w:right="459"/>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306806" w14:textId="1833DEAF" w:rsidR="00B4017B" w:rsidRPr="000F6CD1" w:rsidRDefault="00B4017B">
            <w:pPr>
              <w:rPr>
                <w:szCs w:val="22"/>
              </w:rPr>
            </w:pPr>
            <w:r w:rsidRPr="000F6CD1">
              <w:rPr>
                <w:szCs w:val="22"/>
              </w:rPr>
              <w:t xml:space="preserve">The </w:t>
            </w:r>
            <w:r w:rsidRPr="000F6CD1">
              <w:t>My Aged Care Workforce Learning Strategy v1.5 (Workforce Learning Strategy), and subsequent editions of this strategy defines and sets the minimum training requirement for the Single Assessment System workforce and the My Aged Care workforce, including timeframes for completion.</w:t>
            </w:r>
          </w:p>
          <w:p w14:paraId="70136938" w14:textId="77777777" w:rsidR="00B4017B" w:rsidRPr="000F6CD1" w:rsidRDefault="00B4017B">
            <w:pPr>
              <w:rPr>
                <w:szCs w:val="22"/>
              </w:rPr>
            </w:pPr>
            <w:r w:rsidRPr="000F6CD1">
              <w:rPr>
                <w:szCs w:val="22"/>
              </w:rPr>
              <w:t xml:space="preserve">The My Aged Care Assessment Workforce Learning Strategy can be found at this </w:t>
            </w:r>
            <w:hyperlink r:id="rId385" w:history="1">
              <w:r w:rsidRPr="000F6CD1">
                <w:rPr>
                  <w:rStyle w:val="Hyperlink"/>
                  <w:szCs w:val="22"/>
                </w:rPr>
                <w:t>link</w:t>
              </w:r>
            </w:hyperlink>
            <w:r w:rsidRPr="000F6CD1">
              <w:rPr>
                <w:szCs w:val="22"/>
              </w:rPr>
              <w:t>.</w:t>
            </w:r>
          </w:p>
        </w:tc>
      </w:tr>
      <w:tr w:rsidR="00B4017B" w:rsidRPr="000F6CD1" w14:paraId="20D6868A" w14:textId="77777777" w:rsidTr="001D7A2D">
        <w:trPr>
          <w:trHeight w:hRule="exact" w:val="3666"/>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A4508D0" w14:textId="77777777" w:rsidR="00B4017B" w:rsidRPr="000F6CD1" w:rsidRDefault="00B4017B">
            <w:pPr>
              <w:tabs>
                <w:tab w:val="left" w:pos="1593"/>
              </w:tabs>
              <w:rPr>
                <w:rFonts w:eastAsia="MS Mincho" w:cstheme="minorBidi"/>
                <w:lang w:eastAsia="en-GB"/>
              </w:rPr>
            </w:pPr>
            <w:r w:rsidRPr="000F6CD1">
              <w:rPr>
                <w:rFonts w:eastAsia="MS Mincho" w:cstheme="minorBidi"/>
                <w:lang w:eastAsia="en-GB"/>
              </w:rPr>
              <w:t xml:space="preserve">My Aged Care Learning Management System </w:t>
            </w:r>
          </w:p>
          <w:p w14:paraId="556FE83B" w14:textId="77777777" w:rsidR="00B4017B" w:rsidRPr="000F6CD1" w:rsidRDefault="00B4017B" w:rsidP="003D374A">
            <w:pPr>
              <w:pStyle w:val="Sub-headingnon-contentpage"/>
            </w:pP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12D0303" w14:textId="77777777" w:rsidR="00B4017B" w:rsidRPr="000F6CD1" w:rsidRDefault="00B4017B">
            <w:pPr>
              <w:spacing w:line="300" w:lineRule="exact"/>
              <w:ind w:right="459"/>
              <w:rPr>
                <w:szCs w:val="22"/>
              </w:rPr>
            </w:pPr>
            <w:r w:rsidRPr="000F6CD1">
              <w:rPr>
                <w:szCs w:val="22"/>
              </w:rPr>
              <w:t>MAClearning</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D97349" w14:textId="77777777" w:rsidR="00B4017B" w:rsidRPr="000F6CD1" w:rsidRDefault="00B4017B">
            <w:pPr>
              <w:rPr>
                <w:szCs w:val="22"/>
              </w:rPr>
            </w:pPr>
            <w:r w:rsidRPr="000F6CD1">
              <w:rPr>
                <w:szCs w:val="22"/>
              </w:rPr>
              <w:t>The delivery of training to the My Aged Care Workforce organisations occurs via the My Aged Care Learning Management System (MAClearning). MAClearning provides assessors with:</w:t>
            </w:r>
          </w:p>
          <w:p w14:paraId="0F28B8A0" w14:textId="77777777" w:rsidR="00B4017B" w:rsidRPr="000F6CD1" w:rsidRDefault="00B4017B" w:rsidP="00DF3F6B">
            <w:pPr>
              <w:pStyle w:val="ListParagraph"/>
              <w:numPr>
                <w:ilvl w:val="0"/>
                <w:numId w:val="99"/>
              </w:numPr>
              <w:spacing w:after="200" w:line="300" w:lineRule="auto"/>
            </w:pPr>
            <w:r w:rsidRPr="000F6CD1">
              <w:t xml:space="preserve">access to mandatory and optional online learning,  </w:t>
            </w:r>
          </w:p>
          <w:p w14:paraId="283F8467" w14:textId="77777777" w:rsidR="00B4017B" w:rsidRPr="000F6CD1" w:rsidRDefault="00B4017B" w:rsidP="00DF3F6B">
            <w:pPr>
              <w:pStyle w:val="ListParagraph"/>
              <w:numPr>
                <w:ilvl w:val="0"/>
                <w:numId w:val="99"/>
              </w:numPr>
              <w:spacing w:after="200" w:line="300" w:lineRule="auto"/>
            </w:pPr>
            <w:r w:rsidRPr="000F6CD1">
              <w:t xml:space="preserve">information about mandatory appraisal activities, and  </w:t>
            </w:r>
          </w:p>
          <w:p w14:paraId="27C738B0" w14:textId="77777777" w:rsidR="00B4017B" w:rsidRPr="000F6CD1" w:rsidRDefault="00B4017B" w:rsidP="00DF3F6B">
            <w:pPr>
              <w:pStyle w:val="ListParagraph"/>
              <w:numPr>
                <w:ilvl w:val="0"/>
                <w:numId w:val="99"/>
              </w:numPr>
              <w:spacing w:after="200" w:line="300" w:lineRule="auto"/>
            </w:pPr>
            <w:r w:rsidRPr="000F6CD1">
              <w:t xml:space="preserve">a record of all completed learning and appraisals </w:t>
            </w:r>
          </w:p>
        </w:tc>
      </w:tr>
      <w:tr w:rsidR="00B4017B" w:rsidRPr="000F6CD1" w14:paraId="264A31D1"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0F4245D" w14:textId="77777777" w:rsidR="00B4017B" w:rsidRPr="000F6CD1" w:rsidRDefault="00B4017B">
            <w:pPr>
              <w:tabs>
                <w:tab w:val="left" w:pos="1593"/>
              </w:tabs>
              <w:rPr>
                <w:rFonts w:eastAsia="MS Mincho" w:cstheme="minorBidi"/>
                <w:lang w:eastAsia="en-GB"/>
              </w:rPr>
            </w:pPr>
            <w:r w:rsidRPr="000F6CD1">
              <w:rPr>
                <w:rFonts w:eastAsia="MS Mincho" w:cstheme="minorBidi"/>
                <w:lang w:eastAsia="en-GB"/>
              </w:rPr>
              <w:t>My Health Record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23E186" w14:textId="77777777" w:rsidR="00B4017B" w:rsidRPr="000F6CD1" w:rsidRDefault="00B4017B">
            <w:pPr>
              <w:spacing w:line="300" w:lineRule="exact"/>
              <w:ind w:right="459"/>
              <w:rPr>
                <w:szCs w:val="22"/>
              </w:rPr>
            </w:pPr>
            <w:r w:rsidRPr="000F6CD1">
              <w:rPr>
                <w:szCs w:val="22"/>
              </w:rPr>
              <w:t>MHR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88F8E13" w14:textId="77777777" w:rsidR="00B4017B" w:rsidRPr="000F6CD1" w:rsidRDefault="00B4017B">
            <w:pPr>
              <w:rPr>
                <w:szCs w:val="22"/>
                <w:lang w:eastAsia="ko-KR"/>
              </w:rPr>
            </w:pPr>
            <w:r w:rsidRPr="000F6CD1">
              <w:rPr>
                <w:szCs w:val="22"/>
                <w:lang w:eastAsia="ko-KR"/>
              </w:rPr>
              <w:t>My Health Record is a secure online summary of key patient health information. Healthcare providers can access the system to view and add information.</w:t>
            </w:r>
          </w:p>
        </w:tc>
      </w:tr>
      <w:tr w:rsidR="00B4017B" w:rsidRPr="000F6CD1" w14:paraId="20BCB4E8"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65DA46" w14:textId="77777777" w:rsidR="00B4017B" w:rsidRPr="000F6CD1" w:rsidRDefault="00B4017B">
            <w:pPr>
              <w:tabs>
                <w:tab w:val="left" w:pos="1593"/>
              </w:tabs>
            </w:pPr>
            <w:r w:rsidRPr="000F6CD1">
              <w:rPr>
                <w:rFonts w:eastAsia="MS Mincho" w:cstheme="minorBidi"/>
                <w:lang w:eastAsia="en-GB"/>
              </w:rPr>
              <w:t>National Aboriginal and Torres Strait Islander Flexible Aged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9735D82" w14:textId="77777777" w:rsidR="00B4017B" w:rsidRPr="000F6CD1" w:rsidRDefault="00B4017B">
            <w:pPr>
              <w:spacing w:line="300" w:lineRule="exact"/>
              <w:ind w:right="459"/>
              <w:rPr>
                <w:szCs w:val="22"/>
              </w:rPr>
            </w:pPr>
            <w:r w:rsidRPr="000F6CD1">
              <w:rPr>
                <w:szCs w:val="22"/>
              </w:rPr>
              <w:t>NATSIFACP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9D73945" w14:textId="09E044E6" w:rsidR="00B4017B" w:rsidRPr="000F6CD1" w:rsidRDefault="00B4017B">
            <w:pPr>
              <w:rPr>
                <w:szCs w:val="22"/>
              </w:rPr>
            </w:pPr>
            <w:r w:rsidRPr="000F6CD1">
              <w:rPr>
                <w:szCs w:val="22"/>
                <w:lang w:eastAsia="ko-KR"/>
              </w:rPr>
              <w:t xml:space="preserve">The National Aboriginal and Torres Strait Islander Flexible Aged Care Program funds organisations to provide flexible, culturally appropriate aged care to older Aboriginal and Torres Strait Islander people close to their </w:t>
            </w:r>
            <w:r w:rsidRPr="000F6CD1">
              <w:t>family, country, island home and community</w:t>
            </w:r>
            <w:r w:rsidRPr="000F6CD1">
              <w:rPr>
                <w:szCs w:val="22"/>
                <w:lang w:eastAsia="ko-KR"/>
              </w:rPr>
              <w:t>. These services are mainly located in remote and very remote locations.</w:t>
            </w:r>
          </w:p>
        </w:tc>
      </w:tr>
      <w:tr w:rsidR="00B4017B" w:rsidRPr="000F6CD1" w14:paraId="7A081351"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274DB89" w14:textId="77777777" w:rsidR="00B4017B" w:rsidRPr="000F6CD1" w:rsidRDefault="00B4017B">
            <w:pPr>
              <w:tabs>
                <w:tab w:val="left" w:pos="1593"/>
              </w:tabs>
            </w:pPr>
            <w:r w:rsidRPr="000F6CD1">
              <w:rPr>
                <w:rFonts w:eastAsia="MS Mincho" w:cstheme="minorBidi"/>
                <w:lang w:eastAsia="en-GB"/>
              </w:rPr>
              <w:t>National Disability Insurance Scheme/Agency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816D389" w14:textId="77777777" w:rsidR="00B4017B" w:rsidRPr="000F6CD1" w:rsidRDefault="00B4017B">
            <w:pPr>
              <w:rPr>
                <w:szCs w:val="22"/>
              </w:rPr>
            </w:pPr>
            <w:r w:rsidRPr="000F6CD1">
              <w:rPr>
                <w:szCs w:val="22"/>
              </w:rPr>
              <w:t>NDIS</w:t>
            </w:r>
          </w:p>
          <w:p w14:paraId="7EBE1485" w14:textId="77777777" w:rsidR="00B4017B" w:rsidRPr="000F6CD1" w:rsidRDefault="00B4017B">
            <w:pPr>
              <w:rPr>
                <w:szCs w:val="22"/>
              </w:rPr>
            </w:pPr>
            <w:r w:rsidRPr="000F6CD1">
              <w:rPr>
                <w:szCs w:val="22"/>
              </w:rPr>
              <w:t>or</w:t>
            </w:r>
          </w:p>
          <w:p w14:paraId="5D263CC8" w14:textId="77777777" w:rsidR="00B4017B" w:rsidRPr="000F6CD1" w:rsidRDefault="00B4017B">
            <w:pPr>
              <w:spacing w:line="300" w:lineRule="exact"/>
              <w:ind w:right="459"/>
              <w:rPr>
                <w:szCs w:val="22"/>
              </w:rPr>
            </w:pPr>
            <w:r w:rsidRPr="000F6CD1">
              <w:rPr>
                <w:szCs w:val="22"/>
              </w:rPr>
              <w:t>NDIA</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EF6B846" w14:textId="77777777" w:rsidR="00B4017B" w:rsidRPr="000F6CD1" w:rsidRDefault="00B4017B">
            <w:pPr>
              <w:rPr>
                <w:szCs w:val="22"/>
                <w:lang w:eastAsia="ko-KR"/>
              </w:rPr>
            </w:pPr>
            <w:r w:rsidRPr="000F6CD1">
              <w:rPr>
                <w:szCs w:val="22"/>
                <w:lang w:eastAsia="ko-KR"/>
              </w:rPr>
              <w:t>The NDIS provides support for people with disability, their families and carers in Australia. The NDIS will provide all Australians under the age of 65 with a permanent and significant disability with the reasonable and necessary supports they need to live an ordinary life. This may include personal care and support, access to the community, therapy services and essential equipment.</w:t>
            </w:r>
          </w:p>
        </w:tc>
      </w:tr>
      <w:tr w:rsidR="00B4017B" w:rsidRPr="000F6CD1" w14:paraId="55144649"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DA0BFB" w14:textId="77777777" w:rsidR="00B4017B" w:rsidRPr="000F6CD1" w:rsidRDefault="00B4017B">
            <w:pPr>
              <w:tabs>
                <w:tab w:val="left" w:pos="1593"/>
              </w:tabs>
            </w:pPr>
            <w:r w:rsidRPr="000F6CD1">
              <w:lastRenderedPageBreak/>
              <w:t>Non-clinical aged care needs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0A51E9" w14:textId="77777777" w:rsidR="00B4017B" w:rsidRPr="000F6CD1" w:rsidRDefault="00B4017B">
            <w:pPr>
              <w:rPr>
                <w:szCs w:val="22"/>
              </w:rPr>
            </w:pPr>
            <w:r w:rsidRPr="000F6CD1">
              <w:rPr>
                <w:szCs w:val="22"/>
              </w:rPr>
              <w:t>Non -clinical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0F51431" w14:textId="7BBFEE9D" w:rsidR="00B4017B" w:rsidRPr="000F6CD1" w:rsidRDefault="00B4017B">
            <w:pPr>
              <w:rPr>
                <w:szCs w:val="22"/>
              </w:rPr>
            </w:pPr>
            <w:r w:rsidRPr="000F6CD1">
              <w:rPr>
                <w:rStyle w:val="normaltextrun"/>
                <w:szCs w:val="22"/>
                <w:shd w:val="clear" w:color="auto" w:fill="FFFFFF"/>
              </w:rPr>
              <w:t>An assessor who meets the qualification and training requirements outlined in the assessment organisation's contractual agreement with the Commonwealth and in the My Aged Care Workforce Learning Strategy v1.5 (or subsequent versions). A non-clinical assessor undertakes simple (home support) aged care needs assessments with older people.</w:t>
            </w:r>
          </w:p>
        </w:tc>
      </w:tr>
      <w:tr w:rsidR="00B4017B" w:rsidRPr="000F6CD1" w14:paraId="42DEEDBB"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5D937FD" w14:textId="77777777" w:rsidR="00B4017B" w:rsidRPr="000F6CD1" w:rsidRDefault="00B4017B">
            <w:pPr>
              <w:tabs>
                <w:tab w:val="left" w:pos="1593"/>
              </w:tabs>
            </w:pPr>
            <w:r w:rsidRPr="000F6CD1">
              <w:t xml:space="preserve">Non-clinical assessment delegate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9459F34" w14:textId="77777777" w:rsidR="00B4017B" w:rsidRPr="000F6CD1" w:rsidRDefault="00B4017B">
            <w:pPr>
              <w:rPr>
                <w:szCs w:val="22"/>
              </w:rPr>
            </w:pPr>
            <w:r w:rsidRPr="000F6CD1">
              <w:rPr>
                <w:szCs w:val="22"/>
              </w:rPr>
              <w:t xml:space="preserve">Non-clinical delegate </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F973DD" w14:textId="77777777" w:rsidR="00B4017B" w:rsidRPr="000F6CD1" w:rsidRDefault="00B4017B">
            <w:pPr>
              <w:rPr>
                <w:rStyle w:val="normaltextrun"/>
                <w:szCs w:val="22"/>
                <w:shd w:val="clear" w:color="auto" w:fill="FFFFFF"/>
              </w:rPr>
            </w:pPr>
            <w:r w:rsidRPr="000F6CD1">
              <w:rPr>
                <w:szCs w:val="22"/>
                <w:shd w:val="clear" w:color="auto" w:fill="FFFFFF"/>
              </w:rPr>
              <w:t>A Non-clinical Assessment Delegate is a position held by an employee of an assessment organisation who has delegation under the Act to approve entry-level services arising from a home support assessment. They are restricted to approving access to the Commonwealth Home Support Programme (CHSP).</w:t>
            </w:r>
          </w:p>
        </w:tc>
      </w:tr>
      <w:tr w:rsidR="00B4017B" w:rsidRPr="000F6CD1" w14:paraId="692BCF9D"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52EFED" w14:textId="77777777" w:rsidR="00B4017B" w:rsidRPr="000F6CD1" w:rsidRDefault="00B4017B">
            <w:pPr>
              <w:rPr>
                <w:rFonts w:eastAsia="Arial"/>
              </w:rPr>
            </w:pPr>
            <w:r w:rsidRPr="000F6CD1">
              <w:rPr>
                <w:rFonts w:eastAsia="Arial"/>
              </w:rPr>
              <w:t>Prescribed assistive technology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1CB64DC"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E93F3D" w14:textId="77777777" w:rsidR="00B4017B" w:rsidRPr="000F6CD1" w:rsidRDefault="00B4017B">
            <w:pPr>
              <w:rPr>
                <w:rFonts w:eastAsia="Arial"/>
              </w:rPr>
            </w:pPr>
            <w:r w:rsidRPr="000F6CD1">
              <w:rPr>
                <w:rFonts w:eastAsia="Arial"/>
              </w:rPr>
              <w:t>Assistive technology that would benefit from a prescription from a suitably qualified health professional.</w:t>
            </w:r>
          </w:p>
        </w:tc>
      </w:tr>
      <w:tr w:rsidR="00B4017B" w:rsidRPr="000F6CD1" w14:paraId="42EAD217"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C8ACAD" w14:textId="77777777" w:rsidR="00B4017B" w:rsidRPr="000F6CD1" w:rsidRDefault="00B4017B">
            <w:pPr>
              <w:tabs>
                <w:tab w:val="left" w:pos="1593"/>
              </w:tabs>
            </w:pPr>
            <w:r w:rsidRPr="000F6CD1">
              <w:t xml:space="preserve">Privacy </w:t>
            </w:r>
            <w:r w:rsidRPr="00234BDE">
              <w:rPr>
                <w:color w:val="000000"/>
              </w:rPr>
              <w:t>Act 1988</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D953F3E" w14:textId="77777777" w:rsidR="00B4017B" w:rsidRPr="000F6CD1" w:rsidRDefault="00B4017B">
            <w:pPr>
              <w:rPr>
                <w:szCs w:val="22"/>
              </w:rPr>
            </w:pPr>
            <w:r w:rsidRPr="000F6CD1">
              <w:rPr>
                <w:szCs w:val="22"/>
              </w:rPr>
              <w:t>The Privacy Act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1A7F18F" w14:textId="77777777" w:rsidR="00B4017B" w:rsidRPr="000F6CD1" w:rsidRDefault="00B4017B">
            <w:pPr>
              <w:rPr>
                <w:szCs w:val="22"/>
              </w:rPr>
            </w:pPr>
            <w:r w:rsidRPr="000F6CD1">
              <w:rPr>
                <w:szCs w:val="22"/>
              </w:rPr>
              <w:t xml:space="preserve">The </w:t>
            </w:r>
            <w:r w:rsidRPr="000F6CD1">
              <w:rPr>
                <w:i/>
                <w:szCs w:val="22"/>
              </w:rPr>
              <w:t>Privacy Act 1988</w:t>
            </w:r>
            <w:r w:rsidRPr="000F6CD1">
              <w:rPr>
                <w:szCs w:val="22"/>
              </w:rPr>
              <w:t xml:space="preserve"> applies to the collection, retention and use of personal information by assessors and regulates the handling of personal information about individuals, including the collection, use, storage and disclosure of personal information and access to and correction of that information.</w:t>
            </w:r>
          </w:p>
        </w:tc>
      </w:tr>
      <w:tr w:rsidR="00B4017B" w:rsidRPr="000F6CD1" w14:paraId="3315EC9F"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58A9FB6" w14:textId="77777777" w:rsidR="00B4017B" w:rsidRPr="000F6CD1" w:rsidRDefault="00B4017B">
            <w:pPr>
              <w:rPr>
                <w:rFonts w:eastAsia="Arial"/>
                <w:color w:val="1E1545"/>
              </w:rPr>
            </w:pPr>
            <w:r w:rsidRPr="00234BDE">
              <w:rPr>
                <w:color w:val="000000"/>
              </w:rPr>
              <w:t>Progressive condition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21DDD69"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C3EC3E" w14:textId="77777777" w:rsidR="00B4017B" w:rsidRPr="000F6CD1" w:rsidRDefault="00B4017B">
            <w:pPr>
              <w:spacing w:line="257" w:lineRule="auto"/>
              <w:rPr>
                <w:rFonts w:eastAsia="Arial"/>
              </w:rPr>
            </w:pPr>
            <w:r w:rsidRPr="000F6CD1">
              <w:rPr>
                <w:rFonts w:eastAsia="Arial"/>
              </w:rPr>
              <w:t>A medical condition that worsens over time, resulting in a range of limitations in function which can affect quality of life, daily living and community activities. (The 13 conditions listed below are all eligible AT-HM progressive conditions under SaH).</w:t>
            </w:r>
          </w:p>
          <w:p w14:paraId="3D4B0454" w14:textId="77777777" w:rsidR="00B4017B" w:rsidRPr="000F6CD1" w:rsidRDefault="00B4017B">
            <w:pPr>
              <w:spacing w:line="257" w:lineRule="auto"/>
              <w:rPr>
                <w:rFonts w:eastAsia="Arial"/>
              </w:rPr>
            </w:pPr>
            <w:r w:rsidRPr="000F6CD1">
              <w:rPr>
                <w:rFonts w:eastAsia="Arial"/>
              </w:rPr>
              <w:t xml:space="preserve">These conditions include: </w:t>
            </w:r>
          </w:p>
          <w:p w14:paraId="01F1E376"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Cerebral Palsy </w:t>
            </w:r>
          </w:p>
          <w:p w14:paraId="37AFCA48"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Epilepsy </w:t>
            </w:r>
          </w:p>
          <w:p w14:paraId="6DF010A3"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Huntington’s Disease </w:t>
            </w:r>
          </w:p>
          <w:p w14:paraId="2DBB1DF3"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Motor Neurone Disease (MND) noting different phenotypes require different management </w:t>
            </w:r>
          </w:p>
          <w:p w14:paraId="7E78B9EE"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Multiple Sclerosis (MS) </w:t>
            </w:r>
          </w:p>
          <w:p w14:paraId="7881EAAD"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Parkinson’s Disease </w:t>
            </w:r>
          </w:p>
          <w:p w14:paraId="2B14DB92"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Late effects of Polio </w:t>
            </w:r>
          </w:p>
          <w:p w14:paraId="5A383918"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Spinal Cord Injury </w:t>
            </w:r>
          </w:p>
          <w:p w14:paraId="39F32B61"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lastRenderedPageBreak/>
              <w:t xml:space="preserve">Spinal Muscular Atrophy </w:t>
            </w:r>
          </w:p>
          <w:p w14:paraId="40D40407"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Stroke </w:t>
            </w:r>
          </w:p>
          <w:p w14:paraId="20AB4794" w14:textId="77777777" w:rsidR="00B4017B" w:rsidRPr="000F6CD1" w:rsidRDefault="00B4017B" w:rsidP="00DF3F6B">
            <w:pPr>
              <w:pStyle w:val="ListParagraph"/>
              <w:numPr>
                <w:ilvl w:val="0"/>
                <w:numId w:val="390"/>
              </w:numPr>
              <w:spacing w:after="0" w:line="257" w:lineRule="auto"/>
              <w:rPr>
                <w:rFonts w:eastAsia="Arial"/>
              </w:rPr>
            </w:pPr>
            <w:r w:rsidRPr="000F6CD1">
              <w:rPr>
                <w:rFonts w:eastAsia="Arial"/>
              </w:rPr>
              <w:t xml:space="preserve">Acquired Brain Injury noting different types of brain injury require different management </w:t>
            </w:r>
          </w:p>
          <w:p w14:paraId="382D0B43" w14:textId="287A1F32" w:rsidR="00B4017B" w:rsidRPr="00161256" w:rsidRDefault="00B4017B" w:rsidP="00161256">
            <w:pPr>
              <w:pStyle w:val="ListParagraph"/>
              <w:numPr>
                <w:ilvl w:val="0"/>
                <w:numId w:val="390"/>
              </w:numPr>
              <w:spacing w:after="0" w:line="257" w:lineRule="auto"/>
              <w:rPr>
                <w:rFonts w:eastAsia="Arial"/>
              </w:rPr>
            </w:pPr>
            <w:r w:rsidRPr="000F6CD1">
              <w:rPr>
                <w:rFonts w:eastAsia="Arial"/>
              </w:rPr>
              <w:t>Muscular Dystrophies and Muscular Atrophies.</w:t>
            </w:r>
            <w:r w:rsidR="00161256">
              <w:rPr>
                <w:rFonts w:eastAsia="Arial"/>
              </w:rPr>
              <w:br/>
            </w:r>
          </w:p>
        </w:tc>
      </w:tr>
      <w:tr w:rsidR="00B4017B" w:rsidRPr="000F6CD1" w14:paraId="37FA3B25"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B235D16" w14:textId="77777777" w:rsidR="00B4017B" w:rsidRPr="000F6CD1" w:rsidRDefault="00B4017B">
            <w:pPr>
              <w:tabs>
                <w:tab w:val="left" w:pos="1593"/>
              </w:tabs>
            </w:pPr>
            <w:r w:rsidRPr="000F6CD1">
              <w:lastRenderedPageBreak/>
              <w:t>Reassessment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6B70037"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590151E" w14:textId="77777777" w:rsidR="00B4017B" w:rsidRPr="000F6CD1" w:rsidRDefault="00B4017B">
            <w:r w:rsidRPr="000F6CD1">
              <w:t>In this manual, the term ‘reassessment’ is used to describe a subsequent assessment of a person’s aged care needs who is already accessing aged care services.</w:t>
            </w:r>
          </w:p>
          <w:p w14:paraId="3387299E" w14:textId="77777777" w:rsidR="00B4017B" w:rsidRPr="000F6CD1" w:rsidRDefault="00B4017B">
            <w:r w:rsidRPr="000F6CD1">
              <w:t xml:space="preserve">Section 64 of the </w:t>
            </w:r>
            <w:r w:rsidRPr="000F6CD1">
              <w:rPr>
                <w:i/>
              </w:rPr>
              <w:t>Aged Care Act 2024</w:t>
            </w:r>
            <w:r w:rsidRPr="000F6CD1">
              <w:t xml:space="preserve"> provides for aged care needs reassessments. A reassessment may be required when an individual's circumstances have changed. </w:t>
            </w:r>
          </w:p>
          <w:p w14:paraId="635466D7" w14:textId="700B80A0" w:rsidR="00B4017B" w:rsidRPr="000F6CD1" w:rsidRDefault="00B4017B">
            <w:pPr>
              <w:rPr>
                <w:b/>
              </w:rPr>
            </w:pPr>
            <w:r w:rsidRPr="000F6CD1">
              <w:t xml:space="preserve">In the </w:t>
            </w:r>
            <w:r w:rsidRPr="000F6CD1">
              <w:rPr>
                <w:i/>
              </w:rPr>
              <w:t>Aged Care Act 2024</w:t>
            </w:r>
            <w:r w:rsidRPr="000F6CD1">
              <w:t xml:space="preserve"> the term ‘reassessment’ is used as an umbrella term to describe both SPRs and reassessments. An individual may request a reassessment if they believe their aged care needs have changed, or it may be identified through a scheduled SPR. </w:t>
            </w:r>
            <w:r w:rsidR="00161256">
              <w:br/>
            </w:r>
            <w:r w:rsidRPr="000F6CD1">
              <w:rPr>
                <w:b/>
                <w:bCs/>
              </w:rPr>
              <w:t xml:space="preserve">   </w:t>
            </w:r>
          </w:p>
        </w:tc>
      </w:tr>
      <w:tr w:rsidR="00B4017B" w:rsidRPr="000F6CD1" w14:paraId="30DE1F15"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5BBC9A5" w14:textId="77777777" w:rsidR="00B4017B" w:rsidRPr="000F6CD1" w:rsidRDefault="00B4017B">
            <w:pPr>
              <w:tabs>
                <w:tab w:val="left" w:pos="1593"/>
              </w:tabs>
            </w:pPr>
            <w:r w:rsidRPr="000F6CD1">
              <w:t>Reablement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0337231"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0B0A4EF" w14:textId="77777777" w:rsidR="00B4017B" w:rsidRPr="000F6CD1" w:rsidRDefault="00B4017B">
            <w:pPr>
              <w:rPr>
                <w:szCs w:val="22"/>
              </w:rPr>
            </w:pPr>
            <w:r w:rsidRPr="000F6CD1">
              <w:rPr>
                <w:szCs w:val="22"/>
              </w:rPr>
              <w:t>Wellness and reablement are related concepts, often used together to describe an overall approach to service delivery. Wellness and reablement approaches are based on the idea that, even with frailty, chronical illness or disability, most people want and are able to improve their physical, social, and emotional wellbeing, to live autonomously and as independently as possible.</w:t>
            </w:r>
          </w:p>
          <w:p w14:paraId="03B42438" w14:textId="77777777" w:rsidR="00B4017B" w:rsidRPr="000F6CD1" w:rsidRDefault="00B4017B">
            <w:pPr>
              <w:rPr>
                <w:szCs w:val="22"/>
              </w:rPr>
            </w:pPr>
            <w:r w:rsidRPr="000F6CD1">
              <w:rPr>
                <w:szCs w:val="22"/>
              </w:rPr>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tc>
      </w:tr>
      <w:tr w:rsidR="00B4017B" w:rsidRPr="000F6CD1" w14:paraId="5572557F"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5B3EF2" w14:textId="77777777" w:rsidR="00B4017B" w:rsidRPr="000F6CD1" w:rsidRDefault="00B4017B" w:rsidP="1E63CD71">
            <w:pPr>
              <w:rPr>
                <w:rFonts w:eastAsia="Arial"/>
                <w:szCs w:val="22"/>
              </w:rPr>
            </w:pPr>
            <w:r w:rsidRPr="000F6CD1">
              <w:rPr>
                <w:rFonts w:eastAsia="Arial"/>
                <w:color w:val="000000" w:themeColor="text1"/>
                <w:szCs w:val="22"/>
              </w:rPr>
              <w:t>Residential aged care funding assessment</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8AAD58" w14:textId="77777777" w:rsidR="00B4017B" w:rsidRPr="000F6CD1" w:rsidRDefault="00B4017B" w:rsidP="468119DD">
            <w:r w:rsidRPr="000F6CD1">
              <w:t>RAC funding assessment</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28E43C" w14:textId="77777777" w:rsidR="00B4017B" w:rsidRPr="000F6CD1" w:rsidRDefault="00B4017B" w:rsidP="002F3121">
            <w:pPr>
              <w:shd w:val="clear" w:color="auto" w:fill="FFFFFF" w:themeFill="background1"/>
              <w:spacing w:after="0"/>
              <w:rPr>
                <w:rFonts w:eastAsia="Aptos"/>
                <w:color w:val="000000" w:themeColor="text1"/>
                <w:szCs w:val="22"/>
              </w:rPr>
            </w:pPr>
            <w:r w:rsidRPr="000F6CD1">
              <w:rPr>
                <w:rFonts w:eastAsia="Aptos"/>
                <w:color w:val="000000" w:themeColor="text1"/>
                <w:szCs w:val="22"/>
              </w:rPr>
              <w:t>An assessment a residential aged care funding assessor completes using the AN-ACC assessment tool.</w:t>
            </w:r>
          </w:p>
          <w:p w14:paraId="15C88E6B" w14:textId="77777777" w:rsidR="00B4017B" w:rsidRPr="000F6CD1" w:rsidRDefault="00B4017B" w:rsidP="002F3121">
            <w:pPr>
              <w:shd w:val="clear" w:color="auto" w:fill="FFFFFF" w:themeFill="background1"/>
              <w:spacing w:after="0"/>
              <w:rPr>
                <w:rFonts w:eastAsia="Aptos"/>
                <w:color w:val="000000" w:themeColor="text1"/>
                <w:szCs w:val="22"/>
              </w:rPr>
            </w:pPr>
            <w:r w:rsidRPr="000F6CD1">
              <w:rPr>
                <w:rFonts w:eastAsia="Aptos"/>
                <w:color w:val="000000" w:themeColor="text1"/>
                <w:szCs w:val="22"/>
              </w:rPr>
              <w:t>Defunct term: AN-ACC assessment.</w:t>
            </w:r>
          </w:p>
          <w:p w14:paraId="4A0C5053" w14:textId="77777777" w:rsidR="00B4017B" w:rsidRPr="000F6CD1" w:rsidRDefault="00B4017B" w:rsidP="468119DD"/>
        </w:tc>
      </w:tr>
      <w:tr w:rsidR="00B4017B" w:rsidRPr="000F6CD1" w14:paraId="3D3528C9"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E46BEB5" w14:textId="77777777" w:rsidR="00B4017B" w:rsidRPr="000F6CD1" w:rsidRDefault="00B4017B" w:rsidP="1E63CD71">
            <w:pPr>
              <w:rPr>
                <w:rFonts w:eastAsia="Arial"/>
                <w:szCs w:val="22"/>
              </w:rPr>
            </w:pPr>
            <w:r w:rsidRPr="000F6CD1">
              <w:rPr>
                <w:rFonts w:eastAsia="Arial"/>
                <w:color w:val="000000" w:themeColor="text1"/>
                <w:szCs w:val="22"/>
              </w:rPr>
              <w:lastRenderedPageBreak/>
              <w:t>Residential aged care funding assessor</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B0EE9DE" w14:textId="77777777" w:rsidR="00B4017B" w:rsidRPr="000F6CD1" w:rsidRDefault="00B4017B">
            <w:r w:rsidRPr="000F6CD1">
              <w:t>RAC funding assessor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2EA166" w14:textId="77777777" w:rsidR="00B4017B" w:rsidRPr="000F6CD1" w:rsidRDefault="00B4017B" w:rsidP="002F3121">
            <w:pPr>
              <w:shd w:val="clear" w:color="auto" w:fill="FFFFFF" w:themeFill="background1"/>
              <w:spacing w:after="0"/>
              <w:rPr>
                <w:rFonts w:eastAsia="Aptos"/>
                <w:color w:val="000000" w:themeColor="text1"/>
                <w:szCs w:val="22"/>
              </w:rPr>
            </w:pPr>
            <w:r w:rsidRPr="000F6CD1">
              <w:rPr>
                <w:rFonts w:eastAsia="Aptos"/>
                <w:color w:val="000000" w:themeColor="text1"/>
                <w:szCs w:val="22"/>
              </w:rPr>
              <w:t>An aged care assessor who is completing a residential aged care funding assessment using the AN-ACC assessment tool.</w:t>
            </w:r>
          </w:p>
          <w:p w14:paraId="65F27EEC" w14:textId="77777777" w:rsidR="00B4017B" w:rsidRPr="000F6CD1" w:rsidRDefault="00B4017B" w:rsidP="002F3121">
            <w:pPr>
              <w:shd w:val="clear" w:color="auto" w:fill="FFFFFF" w:themeFill="background1"/>
              <w:spacing w:after="0"/>
              <w:rPr>
                <w:rFonts w:eastAsia="Aptos"/>
                <w:color w:val="000000" w:themeColor="text1"/>
                <w:szCs w:val="22"/>
              </w:rPr>
            </w:pPr>
            <w:r w:rsidRPr="000F6CD1">
              <w:rPr>
                <w:rFonts w:eastAsia="Aptos"/>
                <w:color w:val="000000" w:themeColor="text1"/>
                <w:szCs w:val="22"/>
              </w:rPr>
              <w:t>Defunct term: AN-ACC assessor.</w:t>
            </w:r>
          </w:p>
          <w:p w14:paraId="22FC1EC5" w14:textId="77777777" w:rsidR="00B4017B" w:rsidRPr="000F6CD1" w:rsidRDefault="00B4017B" w:rsidP="468119DD"/>
        </w:tc>
      </w:tr>
      <w:tr w:rsidR="00B4017B" w:rsidRPr="000F6CD1" w14:paraId="44BD71CC"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B6A69DB" w14:textId="77777777" w:rsidR="00B4017B" w:rsidRPr="000F6CD1" w:rsidRDefault="00B4017B">
            <w:pPr>
              <w:tabs>
                <w:tab w:val="left" w:pos="1593"/>
              </w:tabs>
            </w:pPr>
            <w:r w:rsidRPr="000F6CD1">
              <w:t>Residential Care (ongoing)</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6BD14B"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49292D" w14:textId="77777777" w:rsidR="00B4017B" w:rsidRPr="000F6CD1" w:rsidRDefault="00B4017B">
            <w:r w:rsidRPr="000F6CD1">
              <w:t>Residential care is permanent ongoing care provided in an aged care home. Residential care is designed to assist people assessed as being no longer able to care for themselves within their home or community settings.</w:t>
            </w:r>
          </w:p>
        </w:tc>
      </w:tr>
      <w:tr w:rsidR="00B4017B" w:rsidRPr="000F6CD1" w14:paraId="4AE5F2CC" w14:textId="77777777">
        <w:trPr>
          <w:trHeight w:val="530"/>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2C37FC5" w14:textId="77777777" w:rsidR="00B4017B" w:rsidRPr="000F6CD1" w:rsidRDefault="00B4017B">
            <w:pPr>
              <w:tabs>
                <w:tab w:val="left" w:pos="1593"/>
              </w:tabs>
            </w:pPr>
            <w:r w:rsidRPr="000F6CD1">
              <w:t xml:space="preserve">Residential Respite Care (Residential Care – short term)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109682F"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0EE8EB8" w14:textId="4106ACB0" w:rsidR="00B4017B" w:rsidRPr="000F6CD1" w:rsidRDefault="00B4017B">
            <w:pPr>
              <w:rPr>
                <w:szCs w:val="22"/>
              </w:rPr>
            </w:pPr>
            <w:r w:rsidRPr="000F6CD1">
              <w:rPr>
                <w:szCs w:val="22"/>
              </w:rPr>
              <w:t xml:space="preserve">Residential respite care is short-term care provided in an aged care home. It can be on a planned or emergency basis. Respite gives a carer or care recipient a break from their usual care arrangements. </w:t>
            </w:r>
            <w:r w:rsidRPr="000F6CD1">
              <w:rPr>
                <w:szCs w:val="22"/>
              </w:rPr>
              <w:br/>
              <w:t xml:space="preserve">A clinical assessor </w:t>
            </w:r>
            <w:r w:rsidR="00584238">
              <w:rPr>
                <w:szCs w:val="22"/>
              </w:rPr>
              <w:t>asse</w:t>
            </w:r>
            <w:r w:rsidR="00EB1F96">
              <w:rPr>
                <w:szCs w:val="22"/>
              </w:rPr>
              <w:t xml:space="preserve">sses, </w:t>
            </w:r>
            <w:r w:rsidRPr="000F6CD1">
              <w:rPr>
                <w:szCs w:val="22"/>
              </w:rPr>
              <w:t xml:space="preserve">and </w:t>
            </w:r>
            <w:r w:rsidR="00EB1F96">
              <w:rPr>
                <w:szCs w:val="22"/>
              </w:rPr>
              <w:t>a clinical delegate</w:t>
            </w:r>
            <w:r w:rsidRPr="000F6CD1">
              <w:rPr>
                <w:szCs w:val="22"/>
              </w:rPr>
              <w:t xml:space="preserve"> approves care recipients to access respite care.</w:t>
            </w:r>
          </w:p>
        </w:tc>
      </w:tr>
      <w:tr w:rsidR="00B4017B" w:rsidRPr="000F6CD1" w14:paraId="69616E36"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2A060A9" w14:textId="77777777" w:rsidR="00B4017B" w:rsidRPr="000F6CD1" w:rsidRDefault="00B4017B">
            <w:pPr>
              <w:tabs>
                <w:tab w:val="left" w:pos="1593"/>
              </w:tabs>
            </w:pPr>
            <w:r w:rsidRPr="000F6CD1">
              <w:t>Restorative Care Pathway</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DA92A76" w14:textId="77777777" w:rsidR="00B4017B" w:rsidRPr="000F6CD1" w:rsidRDefault="00B4017B">
            <w:pPr>
              <w:rPr>
                <w:szCs w:val="22"/>
              </w:rPr>
            </w:pPr>
            <w:r w:rsidRPr="000F6CD1">
              <w:rPr>
                <w:szCs w:val="22"/>
              </w:rPr>
              <w:t>RCP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DCE961C" w14:textId="138E94F0" w:rsidR="00B4017B" w:rsidRPr="000F6CD1" w:rsidRDefault="00B4017B">
            <w:pPr>
              <w:rPr>
                <w:szCs w:val="22"/>
              </w:rPr>
            </w:pPr>
            <w:r w:rsidRPr="000F6CD1">
              <w:rPr>
                <w:szCs w:val="22"/>
              </w:rPr>
              <w:t xml:space="preserve">The Restorative Care Pathway, under Support at Home, </w:t>
            </w:r>
            <w:r w:rsidR="009508A7">
              <w:rPr>
                <w:szCs w:val="22"/>
              </w:rPr>
              <w:t>has replaced</w:t>
            </w:r>
            <w:r w:rsidRPr="000F6CD1">
              <w:rPr>
                <w:szCs w:val="22"/>
              </w:rPr>
              <w:t xml:space="preserve"> the Short-Term Restorative Care (STRC) programme. It aims to provide early intervention opportunities to support older people to restore function through coordinated, goal orientated support focusing on multi-disciplinary allied health services. It can be delivered in home or community settings and can be for up to 16 weeks. </w:t>
            </w:r>
          </w:p>
        </w:tc>
      </w:tr>
      <w:tr w:rsidR="00B4017B" w:rsidRPr="000F6CD1" w14:paraId="32D9F77E"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9CDF6BE" w14:textId="77777777" w:rsidR="00B4017B" w:rsidRPr="000F6CD1" w:rsidRDefault="00B4017B">
            <w:pPr>
              <w:tabs>
                <w:tab w:val="left" w:pos="1593"/>
              </w:tabs>
            </w:pPr>
            <w:r w:rsidRPr="000F6CD1">
              <w:t xml:space="preserve">Referral Codes Letter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D7FAACB"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C80A6F" w14:textId="58D8B70B" w:rsidR="00B4017B" w:rsidRPr="000F6CD1" w:rsidRDefault="00B4017B">
            <w:pPr>
              <w:rPr>
                <w:szCs w:val="22"/>
              </w:rPr>
            </w:pPr>
            <w:r w:rsidRPr="000F6CD1">
              <w:rPr>
                <w:szCs w:val="22"/>
              </w:rPr>
              <w:t>The referral codes letter is also known as the ‘Referral codes and List of Providers’ Letter</w:t>
            </w:r>
            <w:r w:rsidR="00AD152E">
              <w:rPr>
                <w:szCs w:val="22"/>
              </w:rPr>
              <w:t>.</w:t>
            </w:r>
            <w:r w:rsidRPr="000F6CD1">
              <w:rPr>
                <w:szCs w:val="22"/>
              </w:rPr>
              <w:t xml:space="preserve"> </w:t>
            </w:r>
          </w:p>
          <w:p w14:paraId="56451240" w14:textId="2966690C" w:rsidR="00B4017B" w:rsidRPr="000F6CD1" w:rsidRDefault="00B4017B">
            <w:pPr>
              <w:rPr>
                <w:szCs w:val="22"/>
              </w:rPr>
            </w:pPr>
            <w:r w:rsidRPr="000F6CD1">
              <w:rPr>
                <w:szCs w:val="22"/>
              </w:rPr>
              <w:t>On the assessor portal, it is generated via the ‘Generate Referral code Letter’ button</w:t>
            </w:r>
            <w:r w:rsidR="00AD152E">
              <w:rPr>
                <w:szCs w:val="22"/>
              </w:rPr>
              <w:t xml:space="preserve">. </w:t>
            </w:r>
          </w:p>
        </w:tc>
      </w:tr>
      <w:tr w:rsidR="00B4017B" w:rsidRPr="000F6CD1" w14:paraId="308B0BA3" w14:textId="77777777">
        <w:trPr>
          <w:trHeight w:val="1272"/>
        </w:trPr>
        <w:tc>
          <w:tcPr>
            <w:tcW w:w="2127" w:type="dxa"/>
          </w:tcPr>
          <w:p w14:paraId="6EF8793B" w14:textId="77777777" w:rsidR="00B4017B" w:rsidRPr="003D374A" w:rsidRDefault="00B4017B" w:rsidP="003D374A">
            <w:pPr>
              <w:pStyle w:val="Sub-headingnon-contentpage"/>
            </w:pPr>
            <w:r w:rsidRPr="003D374A">
              <w:t>Single Assessment System program</w:t>
            </w:r>
          </w:p>
        </w:tc>
        <w:tc>
          <w:tcPr>
            <w:tcW w:w="1984" w:type="dxa"/>
          </w:tcPr>
          <w:p w14:paraId="4D4FD22E" w14:textId="77777777" w:rsidR="00B4017B" w:rsidRPr="000F6CD1" w:rsidRDefault="00B4017B">
            <w:pPr>
              <w:spacing w:after="120" w:line="300" w:lineRule="exact"/>
              <w:ind w:right="459"/>
              <w:rPr>
                <w:color w:val="000000"/>
                <w:szCs w:val="22"/>
                <w:lang w:eastAsia="ja-JP"/>
              </w:rPr>
            </w:pPr>
          </w:p>
        </w:tc>
        <w:tc>
          <w:tcPr>
            <w:tcW w:w="4961" w:type="dxa"/>
          </w:tcPr>
          <w:p w14:paraId="0A3F1165" w14:textId="176300CF" w:rsidR="00B4017B" w:rsidRPr="000F6CD1" w:rsidRDefault="00B4017B">
            <w:pPr>
              <w:spacing w:after="120" w:line="300" w:lineRule="exact"/>
              <w:ind w:right="459"/>
              <w:contextualSpacing/>
            </w:pPr>
            <w:r w:rsidRPr="000F6CD1">
              <w:t xml:space="preserve">The Commonwealth Government funds assessment organisations to administer aged care needs assessments, which include both home support and comprehensive assessments. This term is used to define the assessment program which includes all assessment types. </w:t>
            </w:r>
          </w:p>
        </w:tc>
      </w:tr>
      <w:tr w:rsidR="00B4017B" w:rsidRPr="000F6CD1" w14:paraId="1FF74294"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4A2BAD" w14:textId="77777777" w:rsidR="00B4017B" w:rsidRPr="000F6CD1" w:rsidRDefault="00B4017B">
            <w:pPr>
              <w:tabs>
                <w:tab w:val="left" w:pos="1593"/>
              </w:tabs>
            </w:pPr>
            <w:r w:rsidRPr="000F6CD1">
              <w:t>Single Assessment System workforce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57A8647"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87E4A59" w14:textId="5E8FDB5B" w:rsidR="00B4017B" w:rsidRPr="000F6CD1" w:rsidRDefault="00B4017B">
            <w:pPr>
              <w:rPr>
                <w:szCs w:val="22"/>
              </w:rPr>
            </w:pPr>
            <w:r w:rsidRPr="000F6CD1">
              <w:rPr>
                <w:rStyle w:val="normaltextrun"/>
                <w:color w:val="000000"/>
                <w:szCs w:val="22"/>
                <w:shd w:val="clear" w:color="auto" w:fill="FFFFFF"/>
              </w:rPr>
              <w:t xml:space="preserve">Refers to the aged care assessment workforce from late 2024. This term also includes </w:t>
            </w:r>
            <w:r w:rsidRPr="000F6CD1">
              <w:rPr>
                <w:color w:val="000000"/>
                <w:szCs w:val="22"/>
                <w:shd w:val="clear" w:color="auto" w:fill="FFFFFF"/>
              </w:rPr>
              <w:t>First Nations Assessment Organisations and</w:t>
            </w:r>
            <w:r w:rsidRPr="000F6CD1">
              <w:rPr>
                <w:rStyle w:val="normaltextrun"/>
                <w:color w:val="000000"/>
                <w:szCs w:val="22"/>
                <w:shd w:val="clear" w:color="auto" w:fill="FFFFFF"/>
              </w:rPr>
              <w:t xml:space="preserve"> </w:t>
            </w:r>
            <w:r w:rsidRPr="000F6CD1">
              <w:rPr>
                <w:rStyle w:val="normaltextrun"/>
                <w:color w:val="000000"/>
                <w:szCs w:val="22"/>
                <w:shd w:val="clear" w:color="auto" w:fill="FFFFFF"/>
              </w:rPr>
              <w:lastRenderedPageBreak/>
              <w:t xml:space="preserve">organisations that deliver Residential Aged Care Funding assessments. </w:t>
            </w:r>
          </w:p>
        </w:tc>
      </w:tr>
      <w:tr w:rsidR="00B4017B" w:rsidRPr="000F6CD1" w14:paraId="5A05A131"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BC1E02F" w14:textId="77777777" w:rsidR="00B4017B" w:rsidRPr="000F6CD1" w:rsidRDefault="00B4017B">
            <w:pPr>
              <w:tabs>
                <w:tab w:val="left" w:pos="1593"/>
              </w:tabs>
            </w:pPr>
            <w:r w:rsidRPr="000F6CD1">
              <w:lastRenderedPageBreak/>
              <w:t xml:space="preserve">Specialist Aged Care Programs </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7C262AA"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74FC356" w14:textId="0D31ECAF" w:rsidR="00B4017B" w:rsidRPr="000F6CD1" w:rsidRDefault="00D91B1E">
            <w:pPr>
              <w:rPr>
                <w:rStyle w:val="normaltextrun"/>
                <w:color w:val="000000"/>
                <w:szCs w:val="22"/>
                <w:shd w:val="clear" w:color="auto" w:fill="FFFFFF"/>
              </w:rPr>
            </w:pPr>
            <w:r>
              <w:rPr>
                <w:color w:val="000000"/>
                <w:szCs w:val="22"/>
                <w:shd w:val="clear" w:color="auto" w:fill="FFFFFF"/>
              </w:rPr>
              <w:t xml:space="preserve">Refers to </w:t>
            </w:r>
            <w:r w:rsidR="00B4017B" w:rsidRPr="000F6CD1">
              <w:rPr>
                <w:color w:val="000000"/>
                <w:szCs w:val="22"/>
                <w:shd w:val="clear" w:color="auto" w:fill="FFFFFF"/>
              </w:rPr>
              <w:t>a Government program for delivering funded aged care services that (a) is given effect through one or more agreements or arrangements entered into by the Commonwealth under subsection 247(1) or section 264 of the Act for the program; and (b) meets any other requirements prescribed by the rules. It includes the Multi</w:t>
            </w:r>
            <w:r w:rsidR="00B4017B" w:rsidRPr="000F6CD1">
              <w:rPr>
                <w:color w:val="000000"/>
                <w:szCs w:val="22"/>
                <w:shd w:val="clear" w:color="auto" w:fill="FFFFFF"/>
              </w:rPr>
              <w:noBreakHyphen/>
              <w:t>Purpose Service Program, Transition Care Program, National Aboriginal and Torres Strait Islander Flexible Aged Care Program (NATSIFACP) , and Commonwealth Home Support Program (CHSP).</w:t>
            </w:r>
          </w:p>
        </w:tc>
      </w:tr>
      <w:tr w:rsidR="00B4017B" w:rsidRPr="000F6CD1" w14:paraId="6A89E06A" w14:textId="77777777" w:rsidTr="00343351">
        <w:trPr>
          <w:trHeight w:val="1098"/>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505C4AC" w14:textId="77777777" w:rsidR="00B4017B" w:rsidRPr="000F6CD1" w:rsidRDefault="00B4017B">
            <w:pPr>
              <w:rPr>
                <w:rFonts w:eastAsia="Arial"/>
                <w:color w:val="1E1545"/>
              </w:rPr>
            </w:pPr>
            <w:r w:rsidRPr="000F6CD1">
              <w:rPr>
                <w:rFonts w:eastAsia="Arial"/>
                <w:color w:val="1E1545"/>
              </w:rPr>
              <w:t>Specified need</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956B53A"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E735B7F" w14:textId="77777777" w:rsidR="00B4017B" w:rsidRPr="000F6CD1" w:rsidRDefault="00B4017B">
            <w:pPr>
              <w:rPr>
                <w:rFonts w:eastAsia="Arial"/>
                <w:color w:val="1E1545"/>
              </w:rPr>
            </w:pPr>
            <w:r w:rsidRPr="000F6CD1">
              <w:rPr>
                <w:color w:val="000000"/>
                <w:szCs w:val="22"/>
                <w:shd w:val="clear" w:color="auto" w:fill="FFFFFF"/>
              </w:rPr>
              <w:t>Refers to participants who require ongoing assistive technology funding for the essential maintenance of their assistance dog.</w:t>
            </w:r>
          </w:p>
        </w:tc>
      </w:tr>
      <w:tr w:rsidR="00B4017B" w:rsidRPr="000F6CD1" w14:paraId="6E4CB440"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6733513" w14:textId="77777777" w:rsidR="00B4017B" w:rsidRPr="000F6CD1" w:rsidRDefault="00B4017B">
            <w:pPr>
              <w:tabs>
                <w:tab w:val="left" w:pos="1593"/>
              </w:tabs>
            </w:pPr>
            <w:r w:rsidRPr="000F6CD1">
              <w:t>(Commonwealth) Subsidised and non-subsidised aged care services</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CC7E953"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4F03AC" w14:textId="77777777" w:rsidR="00B4017B" w:rsidRPr="000F6CD1" w:rsidRDefault="00B4017B">
            <w:pPr>
              <w:rPr>
                <w:szCs w:val="22"/>
              </w:rPr>
            </w:pPr>
            <w:r w:rsidRPr="000F6CD1">
              <w:rPr>
                <w:szCs w:val="22"/>
              </w:rPr>
              <w:t xml:space="preserve">Commonwealth subsidised aged care programs broadly include those under the </w:t>
            </w:r>
            <w:r w:rsidRPr="00653811">
              <w:rPr>
                <w:i/>
                <w:iCs/>
                <w:szCs w:val="22"/>
              </w:rPr>
              <w:t xml:space="preserve">Aged Care Act 2024. </w:t>
            </w:r>
            <w:r w:rsidRPr="000F6CD1">
              <w:rPr>
                <w:szCs w:val="22"/>
              </w:rPr>
              <w:t>These services can receive My Aged Care portal referrals and can be service recommendations on the Support Plan. Non-subsidised services are those services and supports that are NOT Commonwealth funded aged care. These services cannot receive referrals through the My Aged Care portal, are NOT listed in the My Aged Care service finder and are noted as general recommendations on the Support Plan.</w:t>
            </w:r>
          </w:p>
        </w:tc>
      </w:tr>
      <w:tr w:rsidR="00B4017B" w:rsidRPr="000F6CD1" w14:paraId="451C4A39" w14:textId="77777777">
        <w:trPr>
          <w:trHeight w:val="763"/>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ABE221" w14:textId="77777777" w:rsidR="00B4017B" w:rsidRPr="000F6CD1" w:rsidRDefault="00B4017B">
            <w:pPr>
              <w:tabs>
                <w:tab w:val="left" w:pos="1593"/>
              </w:tabs>
            </w:pPr>
            <w:r w:rsidRPr="000F6CD1">
              <w:t>Support at Home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0ECE99" w14:textId="77777777" w:rsidR="00B4017B" w:rsidRPr="000F6CD1" w:rsidRDefault="00B4017B">
            <w:pPr>
              <w:rPr>
                <w:szCs w:val="22"/>
              </w:rPr>
            </w:pPr>
            <w:r w:rsidRPr="000F6CD1">
              <w:rPr>
                <w:szCs w:val="22"/>
              </w:rPr>
              <w:t>SaH</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318AFC7" w14:textId="77777777" w:rsidR="00B4017B" w:rsidRPr="000F6CD1" w:rsidRDefault="00B4017B">
            <w:pPr>
              <w:rPr>
                <w:szCs w:val="22"/>
              </w:rPr>
            </w:pPr>
            <w:r w:rsidRPr="000F6CD1">
              <w:rPr>
                <w:szCs w:val="22"/>
              </w:rPr>
              <w:t>Support at Home is a home care program that helps older people remain at home as they age by delivering coordinated </w:t>
            </w:r>
            <w:hyperlink r:id="rId386" w:tgtFrame="_blank" w:history="1">
              <w:r w:rsidRPr="000F6CD1">
                <w:rPr>
                  <w:rStyle w:val="Hyperlink"/>
                  <w:szCs w:val="22"/>
                </w:rPr>
                <w:t>care and services</w:t>
              </w:r>
            </w:hyperlink>
            <w:r w:rsidRPr="000F6CD1">
              <w:rPr>
                <w:szCs w:val="22"/>
              </w:rPr>
              <w:t> to meet their assessed ageing related care needs.</w:t>
            </w:r>
          </w:p>
        </w:tc>
      </w:tr>
      <w:tr w:rsidR="00B4017B" w:rsidRPr="000F6CD1" w14:paraId="64070A11" w14:textId="77777777">
        <w:trPr>
          <w:trHeight w:val="763"/>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95839E2" w14:textId="77777777" w:rsidR="00B4017B" w:rsidRPr="000F6CD1" w:rsidRDefault="00B4017B">
            <w:pPr>
              <w:tabs>
                <w:tab w:val="left" w:pos="1593"/>
              </w:tabs>
            </w:pPr>
            <w:r w:rsidRPr="000F6CD1">
              <w:t>Support Plan</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8B17062"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A316546" w14:textId="77777777" w:rsidR="00B4017B" w:rsidRPr="000F6CD1" w:rsidRDefault="00B4017B">
            <w:pPr>
              <w:rPr>
                <w:szCs w:val="22"/>
              </w:rPr>
            </w:pPr>
            <w:r w:rsidRPr="000F6CD1">
              <w:rPr>
                <w:szCs w:val="22"/>
              </w:rPr>
              <w:t xml:space="preserve">The Support Plan is an important and ongoing document for the older person that can be updated as an older person’s needs change. It details the outcomes of discussions with, and assessments of, the older person, including what the older person would like to improve and achieve (their goals), and agreed actions to be </w:t>
            </w:r>
            <w:r w:rsidRPr="000F6CD1">
              <w:rPr>
                <w:szCs w:val="22"/>
              </w:rPr>
              <w:lastRenderedPageBreak/>
              <w:t>taken. It is a continuous document (i.e. an older person only has one Support Plan).</w:t>
            </w:r>
          </w:p>
        </w:tc>
      </w:tr>
      <w:tr w:rsidR="00B4017B" w:rsidRPr="000F6CD1" w14:paraId="609CE2D4" w14:textId="77777777">
        <w:trPr>
          <w:trHeight w:hRule="exact" w:val="2911"/>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1A0DA2" w14:textId="77777777" w:rsidR="00B4017B" w:rsidRPr="000F6CD1" w:rsidRDefault="00B4017B">
            <w:pPr>
              <w:tabs>
                <w:tab w:val="left" w:pos="1593"/>
              </w:tabs>
            </w:pPr>
            <w:r w:rsidRPr="000F6CD1">
              <w:lastRenderedPageBreak/>
              <w:t>Support plan review</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B89E96C" w14:textId="77777777" w:rsidR="00B4017B" w:rsidRPr="000F6CD1" w:rsidRDefault="00B4017B">
            <w:pPr>
              <w:rPr>
                <w:szCs w:val="22"/>
              </w:rPr>
            </w:pPr>
            <w:r w:rsidRPr="000F6CD1">
              <w:rPr>
                <w:szCs w:val="22"/>
              </w:rPr>
              <w:t>SPR</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4CCD1E4" w14:textId="77777777" w:rsidR="00B4017B" w:rsidRPr="000F6CD1" w:rsidRDefault="00B4017B">
            <w:r w:rsidRPr="000F6CD1">
              <w:t>A support plan review relates to the effectiveness and appropriateness of the older person’s Support Plan. An assessor may set a review date on the Support Plan at the time of the assessment or initiated on an ad-hoc basis. A review may also be requested by an older person or a service provider where there is a change in the older person’s needs or circumstances. It may be completed over-the-phone with the older person.</w:t>
            </w:r>
          </w:p>
        </w:tc>
      </w:tr>
      <w:tr w:rsidR="00B4017B" w:rsidRPr="000F6CD1" w14:paraId="182DB51E"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DB6D865" w14:textId="77777777" w:rsidR="00B4017B" w:rsidRPr="000F6CD1" w:rsidRDefault="00B4017B">
            <w:pPr>
              <w:tabs>
                <w:tab w:val="left" w:pos="1593"/>
              </w:tabs>
            </w:pPr>
            <w:r w:rsidRPr="000F6CD1">
              <w:t>Transition Care Program</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A98A4C8" w14:textId="77777777" w:rsidR="00B4017B" w:rsidRPr="000F6CD1" w:rsidRDefault="00B4017B">
            <w:pPr>
              <w:rPr>
                <w:szCs w:val="22"/>
              </w:rPr>
            </w:pPr>
            <w:r w:rsidRPr="000F6CD1">
              <w:rPr>
                <w:szCs w:val="22"/>
              </w:rPr>
              <w:t>TCP</w:t>
            </w: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CF683DD" w14:textId="77777777" w:rsidR="00B4017B" w:rsidRPr="000F6CD1" w:rsidRDefault="00B4017B">
            <w:pPr>
              <w:rPr>
                <w:szCs w:val="22"/>
              </w:rPr>
            </w:pPr>
            <w:r w:rsidRPr="000F6CD1">
              <w:rPr>
                <w:szCs w:val="22"/>
              </w:rPr>
              <w:t>Transition Care provides short-term, goal oriented and therapy-focused care for older Australians after hospital stays either in a home or community setting or in a residential aged care setting.</w:t>
            </w:r>
          </w:p>
        </w:tc>
      </w:tr>
      <w:tr w:rsidR="00B4017B" w:rsidRPr="000F6CD1" w14:paraId="4D3F304F" w14:textId="77777777">
        <w:trPr>
          <w:trHeight w:val="1272"/>
        </w:trPr>
        <w:tc>
          <w:tcPr>
            <w:tcW w:w="212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C89EEE1" w14:textId="77777777" w:rsidR="00B4017B" w:rsidRPr="000F6CD1" w:rsidRDefault="00B4017B">
            <w:pPr>
              <w:tabs>
                <w:tab w:val="left" w:pos="1593"/>
              </w:tabs>
            </w:pPr>
            <w:r w:rsidRPr="000F6CD1">
              <w:t>Triage Delegate</w:t>
            </w:r>
          </w:p>
        </w:tc>
        <w:tc>
          <w:tcPr>
            <w:tcW w:w="1984"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9E034E" w14:textId="77777777" w:rsidR="00B4017B" w:rsidRPr="000F6CD1" w:rsidRDefault="00B4017B">
            <w:pPr>
              <w:rPr>
                <w:szCs w:val="22"/>
              </w:rPr>
            </w:pPr>
          </w:p>
        </w:tc>
        <w:tc>
          <w:tcPr>
            <w:tcW w:w="496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F1B1CF" w14:textId="77777777" w:rsidR="00B4017B" w:rsidRPr="001279A9" w:rsidRDefault="00B4017B">
            <w:pPr>
              <w:rPr>
                <w:szCs w:val="22"/>
              </w:rPr>
            </w:pPr>
            <w:r w:rsidRPr="000F6CD1">
              <w:rPr>
                <w:szCs w:val="22"/>
              </w:rPr>
              <w:t>A Triage Delegate is a position held by an employee of an assessment organisation who has delegation under the Act to make decisions about an older person’s access to assessment. They determine whether an individual is eligible for a needs assessment and whether a change in circumstances requires a reassessment of their needs.</w:t>
            </w:r>
          </w:p>
        </w:tc>
      </w:tr>
    </w:tbl>
    <w:p w14:paraId="0C2D25F0" w14:textId="77777777" w:rsidR="00B4017B" w:rsidRPr="000F6CD1" w:rsidRDefault="00B4017B" w:rsidP="00370263"/>
    <w:p w14:paraId="3B15167E" w14:textId="77777777" w:rsidR="00B4017B" w:rsidRPr="000F6CD1" w:rsidRDefault="00B4017B" w:rsidP="00370263">
      <w:r w:rsidRPr="000F6CD1">
        <w:br w:type="page"/>
      </w:r>
    </w:p>
    <w:p w14:paraId="330CC35B" w14:textId="2D3E1F7B" w:rsidR="00B4017B" w:rsidRPr="000F6CD1" w:rsidRDefault="00336E5C" w:rsidP="00AC3600">
      <w:pPr>
        <w:pStyle w:val="H1"/>
      </w:pPr>
      <w:bookmarkStart w:id="1158" w:name="_Toc233282530"/>
      <w:bookmarkStart w:id="1159" w:name="_Ref233289737"/>
      <w:r>
        <w:rPr>
          <w:noProof/>
          <w14:ligatures w14:val="standardContextual"/>
        </w:rPr>
        <w:lastRenderedPageBreak/>
        <w:drawing>
          <wp:anchor distT="0" distB="0" distL="114300" distR="114300" simplePos="0" relativeHeight="251658348" behindDoc="0" locked="0" layoutInCell="1" allowOverlap="1" wp14:anchorId="434A7DBC" wp14:editId="0D28879F">
            <wp:simplePos x="0" y="0"/>
            <wp:positionH relativeFrom="margin">
              <wp:posOffset>-57785</wp:posOffset>
            </wp:positionH>
            <wp:positionV relativeFrom="margin">
              <wp:posOffset>-75565</wp:posOffset>
            </wp:positionV>
            <wp:extent cx="367200" cy="403200"/>
            <wp:effectExtent l="0" t="0" r="0" b="0"/>
            <wp:wrapSquare wrapText="bothSides"/>
            <wp:docPr id="254087155"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87155"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7200" cy="403200"/>
                    </a:xfrm>
                    <a:prstGeom prst="rect">
                      <a:avLst/>
                    </a:prstGeom>
                  </pic:spPr>
                </pic:pic>
              </a:graphicData>
            </a:graphic>
            <wp14:sizeRelH relativeFrom="margin">
              <wp14:pctWidth>0</wp14:pctWidth>
            </wp14:sizeRelH>
            <wp14:sizeRelV relativeFrom="margin">
              <wp14:pctHeight>0</wp14:pctHeight>
            </wp14:sizeRelV>
          </wp:anchor>
        </w:drawing>
      </w:r>
      <w:r w:rsidR="00B4017B" w:rsidRPr="000F6CD1">
        <w:t>APPENDIX B – Contact details</w:t>
      </w:r>
      <w:bookmarkEnd w:id="1158"/>
      <w:bookmarkEnd w:id="1159"/>
    </w:p>
    <w:p w14:paraId="0BAF3CE6" w14:textId="77777777" w:rsidR="00B4017B" w:rsidRPr="000F6CD1" w:rsidRDefault="00B4017B" w:rsidP="00E3017E">
      <w:pPr>
        <w:pStyle w:val="Caption"/>
      </w:pPr>
      <w:r w:rsidRPr="000F6CD1">
        <w:t xml:space="preserve">Table 60. Contact details </w:t>
      </w: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Description w:val="This table provides an overview of contact details. "/>
      </w:tblPr>
      <w:tblGrid>
        <w:gridCol w:w="2974"/>
        <w:gridCol w:w="6377"/>
      </w:tblGrid>
      <w:tr w:rsidR="00B4017B" w:rsidRPr="000F6CD1" w14:paraId="043360D9" w14:textId="77777777" w:rsidTr="000F3407">
        <w:trPr>
          <w:tblHeader/>
        </w:trPr>
        <w:tc>
          <w:tcPr>
            <w:tcW w:w="2974" w:type="dxa"/>
            <w:shd w:val="clear" w:color="auto" w:fill="153A6E"/>
          </w:tcPr>
          <w:p w14:paraId="5CBFF7EE" w14:textId="77777777" w:rsidR="00B4017B" w:rsidRPr="009C1004" w:rsidRDefault="00B4017B" w:rsidP="003D374A">
            <w:pPr>
              <w:pStyle w:val="Sub-headingnon-contentpage"/>
            </w:pPr>
            <w:r w:rsidRPr="009C1004">
              <w:t>Contact point</w:t>
            </w:r>
          </w:p>
        </w:tc>
        <w:tc>
          <w:tcPr>
            <w:tcW w:w="6377" w:type="dxa"/>
            <w:shd w:val="clear" w:color="auto" w:fill="153A6E"/>
          </w:tcPr>
          <w:p w14:paraId="4B973E07" w14:textId="77777777" w:rsidR="00B4017B" w:rsidRPr="009C1004" w:rsidRDefault="00B4017B" w:rsidP="003D374A">
            <w:pPr>
              <w:pStyle w:val="Sub-headingnon-contentpage"/>
            </w:pPr>
            <w:r w:rsidRPr="009C1004">
              <w:t xml:space="preserve">Details </w:t>
            </w:r>
          </w:p>
        </w:tc>
      </w:tr>
      <w:tr w:rsidR="00B4017B" w:rsidRPr="000F6CD1" w14:paraId="6D6F01D8" w14:textId="77777777" w:rsidTr="00164E21">
        <w:tc>
          <w:tcPr>
            <w:tcW w:w="2974" w:type="dxa"/>
          </w:tcPr>
          <w:p w14:paraId="42171131" w14:textId="77777777" w:rsidR="00B4017B" w:rsidRPr="000F6CD1" w:rsidRDefault="00B4017B" w:rsidP="003D374A">
            <w:pPr>
              <w:pStyle w:val="Sub-headingnon-contentpage"/>
              <w:rPr>
                <w:color w:val="279989"/>
              </w:rPr>
            </w:pPr>
            <w:r w:rsidRPr="000F6CD1">
              <w:t>Right of Review</w:t>
            </w:r>
          </w:p>
          <w:p w14:paraId="09FB4CA9" w14:textId="77777777" w:rsidR="00B4017B" w:rsidRPr="000F6CD1" w:rsidRDefault="00B4017B" w:rsidP="003D374A">
            <w:pPr>
              <w:pStyle w:val="Sub-headingnon-contentpage"/>
            </w:pPr>
          </w:p>
        </w:tc>
        <w:tc>
          <w:tcPr>
            <w:tcW w:w="6377" w:type="dxa"/>
          </w:tcPr>
          <w:p w14:paraId="08B8AA4B" w14:textId="77777777" w:rsidR="00B4017B" w:rsidRPr="000F6CD1" w:rsidRDefault="00B4017B" w:rsidP="00173995">
            <w:pPr>
              <w:rPr>
                <w:b/>
                <w:color w:val="279989"/>
                <w:szCs w:val="22"/>
                <w:u w:val="single"/>
              </w:rPr>
            </w:pPr>
            <w:r w:rsidRPr="000F6CD1">
              <w:rPr>
                <w:szCs w:val="22"/>
              </w:rPr>
              <w:t>A person can request a review to an assessment outcome by writing to:</w:t>
            </w:r>
          </w:p>
          <w:p w14:paraId="2F69A9E2" w14:textId="77777777" w:rsidR="00B4017B" w:rsidRPr="000F6CD1" w:rsidRDefault="00B4017B">
            <w:pPr>
              <w:spacing w:before="240" w:after="240"/>
            </w:pPr>
            <w:r w:rsidRPr="000F6CD1">
              <w:t>By Email:</w:t>
            </w:r>
          </w:p>
          <w:p w14:paraId="03A70425" w14:textId="77777777" w:rsidR="00B4017B" w:rsidRPr="000F6CD1" w:rsidRDefault="00B4017B">
            <w:pPr>
              <w:spacing w:before="240" w:after="240"/>
            </w:pPr>
            <w:r w:rsidRPr="000F6CD1">
              <w:tab/>
            </w:r>
            <w:hyperlink r:id="rId387" w:history="1">
              <w:r w:rsidRPr="000F6CD1">
                <w:rPr>
                  <w:rStyle w:val="Hyperlink"/>
                </w:rPr>
                <w:t>agedcarereviews@health.gov.au</w:t>
              </w:r>
            </w:hyperlink>
          </w:p>
          <w:p w14:paraId="3956A608" w14:textId="77777777" w:rsidR="00B4017B" w:rsidRPr="000F6CD1" w:rsidRDefault="00B4017B">
            <w:pPr>
              <w:spacing w:before="240" w:after="240"/>
            </w:pPr>
            <w:r w:rsidRPr="000F6CD1">
              <w:tab/>
              <w:t>By Post:</w:t>
            </w:r>
          </w:p>
          <w:p w14:paraId="4C2C4949" w14:textId="77777777" w:rsidR="00B4017B" w:rsidRPr="000F6CD1" w:rsidRDefault="00B4017B">
            <w:pPr>
              <w:ind w:left="720"/>
            </w:pPr>
            <w:r w:rsidRPr="000F6CD1">
              <w:t xml:space="preserve">The System Governor </w:t>
            </w:r>
          </w:p>
          <w:p w14:paraId="5A046131" w14:textId="77777777" w:rsidR="00B4017B" w:rsidRPr="000F6CD1" w:rsidRDefault="00B4017B">
            <w:pPr>
              <w:ind w:left="720"/>
            </w:pPr>
            <w:r w:rsidRPr="000F6CD1">
              <w:t xml:space="preserve">Department of Health, Disability and Ageing  </w:t>
            </w:r>
          </w:p>
          <w:p w14:paraId="75116F50" w14:textId="77777777" w:rsidR="00B4017B" w:rsidRPr="000F6CD1" w:rsidRDefault="00B4017B">
            <w:pPr>
              <w:ind w:left="720"/>
            </w:pPr>
            <w:r w:rsidRPr="000F6CD1">
              <w:t xml:space="preserve">Attn: Review of Decisions Section </w:t>
            </w:r>
          </w:p>
          <w:p w14:paraId="38E83A16" w14:textId="77777777" w:rsidR="00B4017B" w:rsidRPr="000F6CD1" w:rsidRDefault="00B4017B">
            <w:pPr>
              <w:ind w:left="720"/>
            </w:pPr>
            <w:r w:rsidRPr="000F6CD1">
              <w:t xml:space="preserve">GPO Box 9848 </w:t>
            </w:r>
          </w:p>
          <w:p w14:paraId="400938BB" w14:textId="77777777" w:rsidR="00B4017B" w:rsidRPr="000F6CD1" w:rsidRDefault="00B4017B">
            <w:pPr>
              <w:ind w:left="720"/>
            </w:pPr>
            <w:r w:rsidRPr="000F6CD1">
              <w:t xml:space="preserve">ADELAIDE SA 5001 </w:t>
            </w:r>
          </w:p>
          <w:p w14:paraId="6CBB6DC5" w14:textId="2A6620ED" w:rsidR="00B4017B" w:rsidRPr="000F6CD1" w:rsidRDefault="00B4017B" w:rsidP="00173995">
            <w:pPr>
              <w:spacing w:line="300" w:lineRule="exact"/>
              <w:ind w:left="426"/>
              <w:rPr>
                <w:szCs w:val="22"/>
              </w:rPr>
            </w:pPr>
          </w:p>
        </w:tc>
      </w:tr>
      <w:tr w:rsidR="00B4017B" w:rsidRPr="000F6CD1" w14:paraId="56FA18F1" w14:textId="77777777" w:rsidTr="00164E21">
        <w:trPr>
          <w:trHeight w:val="681"/>
        </w:trPr>
        <w:tc>
          <w:tcPr>
            <w:tcW w:w="2974" w:type="dxa"/>
          </w:tcPr>
          <w:p w14:paraId="56A6AF3B" w14:textId="719A1E9C" w:rsidR="00B4017B" w:rsidRPr="000F6CD1" w:rsidRDefault="00B4017B" w:rsidP="003D374A">
            <w:pPr>
              <w:pStyle w:val="Sub-headingnon-contentpage"/>
            </w:pPr>
            <w:r w:rsidRPr="000F6CD1">
              <w:t xml:space="preserve">Assessment Operational </w:t>
            </w:r>
            <w:r w:rsidR="00336E5C">
              <w:t>M</w:t>
            </w:r>
            <w:r w:rsidRPr="000F6CD1">
              <w:t>anager</w:t>
            </w:r>
          </w:p>
        </w:tc>
        <w:tc>
          <w:tcPr>
            <w:tcW w:w="6377" w:type="dxa"/>
          </w:tcPr>
          <w:p w14:paraId="539D5CB3" w14:textId="77777777" w:rsidR="00B4017B" w:rsidRPr="000F6CD1" w:rsidRDefault="00B4017B" w:rsidP="00173995">
            <w:pPr>
              <w:spacing w:line="300" w:lineRule="exact"/>
              <w:rPr>
                <w:szCs w:val="22"/>
              </w:rPr>
            </w:pPr>
            <w:r w:rsidRPr="000F6CD1">
              <w:rPr>
                <w:szCs w:val="22"/>
              </w:rPr>
              <w:t>Please contact your assessment organisation operational manager in the first instance for all queries and/or issues.</w:t>
            </w:r>
          </w:p>
        </w:tc>
      </w:tr>
      <w:tr w:rsidR="00B4017B" w:rsidRPr="000F6CD1" w14:paraId="1B2496E8" w14:textId="77777777" w:rsidTr="00164E21">
        <w:tc>
          <w:tcPr>
            <w:tcW w:w="2974" w:type="dxa"/>
          </w:tcPr>
          <w:p w14:paraId="539BAE31" w14:textId="77777777" w:rsidR="00B4017B" w:rsidRPr="000F6CD1" w:rsidRDefault="00B4017B" w:rsidP="003D374A">
            <w:pPr>
              <w:pStyle w:val="Sub-headingnon-contentpage"/>
            </w:pPr>
            <w:r w:rsidRPr="000F6CD1">
              <w:t>Registered supporters</w:t>
            </w:r>
          </w:p>
        </w:tc>
        <w:tc>
          <w:tcPr>
            <w:tcW w:w="6377" w:type="dxa"/>
          </w:tcPr>
          <w:p w14:paraId="16766312" w14:textId="77777777" w:rsidR="00B4017B" w:rsidRPr="000F6CD1" w:rsidRDefault="00B4017B" w:rsidP="00336E5C">
            <w:pPr>
              <w:spacing w:after="80"/>
              <w:rPr>
                <w:b/>
                <w:color w:val="279989"/>
                <w:szCs w:val="22"/>
                <w:u w:val="single"/>
              </w:rPr>
            </w:pPr>
            <w:r w:rsidRPr="000F6CD1">
              <w:rPr>
                <w:szCs w:val="22"/>
              </w:rPr>
              <w:t>Documentation to request to register a supporter can be sent to My Aged Care by:</w:t>
            </w:r>
          </w:p>
          <w:p w14:paraId="56C37823" w14:textId="3C5B2346" w:rsidR="00B4017B" w:rsidRPr="000F6CD1" w:rsidRDefault="00B4017B" w:rsidP="00336E5C">
            <w:pPr>
              <w:numPr>
                <w:ilvl w:val="0"/>
                <w:numId w:val="346"/>
              </w:numPr>
              <w:spacing w:after="80" w:line="300" w:lineRule="exact"/>
              <w:ind w:left="283" w:hanging="283"/>
              <w:rPr>
                <w:szCs w:val="22"/>
              </w:rPr>
            </w:pPr>
            <w:r w:rsidRPr="000F6CD1">
              <w:rPr>
                <w:szCs w:val="22"/>
              </w:rPr>
              <w:t>Uploading to the My Aged Care Online Account</w:t>
            </w:r>
            <w:r w:rsidR="00336E5C">
              <w:rPr>
                <w:szCs w:val="22"/>
              </w:rPr>
              <w:t>.</w:t>
            </w:r>
          </w:p>
          <w:p w14:paraId="23E4C550" w14:textId="2F67CE1E" w:rsidR="00B4017B" w:rsidRPr="000F6CD1" w:rsidRDefault="00B4017B" w:rsidP="00336E5C">
            <w:pPr>
              <w:numPr>
                <w:ilvl w:val="0"/>
                <w:numId w:val="346"/>
              </w:numPr>
              <w:spacing w:after="80" w:line="300" w:lineRule="exact"/>
              <w:ind w:left="283" w:hanging="283"/>
              <w:rPr>
                <w:szCs w:val="22"/>
              </w:rPr>
            </w:pPr>
            <w:r w:rsidRPr="000F6CD1">
              <w:rPr>
                <w:szCs w:val="22"/>
              </w:rPr>
              <w:t>Uploading it as part of the online registration process on the My Aged Care website</w:t>
            </w:r>
            <w:r w:rsidR="00336E5C">
              <w:rPr>
                <w:szCs w:val="22"/>
              </w:rPr>
              <w:t>.</w:t>
            </w:r>
          </w:p>
          <w:p w14:paraId="1A724570" w14:textId="77777777" w:rsidR="00B4017B" w:rsidRPr="000F6CD1" w:rsidRDefault="00B4017B" w:rsidP="00336E5C">
            <w:pPr>
              <w:numPr>
                <w:ilvl w:val="0"/>
                <w:numId w:val="346"/>
              </w:numPr>
              <w:spacing w:after="80" w:line="300" w:lineRule="exact"/>
              <w:ind w:left="283" w:hanging="283"/>
              <w:rPr>
                <w:szCs w:val="22"/>
              </w:rPr>
            </w:pPr>
            <w:r w:rsidRPr="000F6CD1">
              <w:rPr>
                <w:szCs w:val="22"/>
              </w:rPr>
              <w:t xml:space="preserve">Sending a digital copy via the My Aged Care online form available at: </w:t>
            </w:r>
            <w:hyperlink r:id="rId388" w:history="1">
              <w:r w:rsidRPr="000F6CD1">
                <w:rPr>
                  <w:rStyle w:val="Hyperlink"/>
                  <w:szCs w:val="22"/>
                </w:rPr>
                <w:t>https://www.healthdirect.gov.au/myagedcareupload</w:t>
              </w:r>
            </w:hyperlink>
            <w:r w:rsidRPr="000F6CD1">
              <w:rPr>
                <w:szCs w:val="22"/>
              </w:rPr>
              <w:t xml:space="preserve"> or</w:t>
            </w:r>
          </w:p>
          <w:p w14:paraId="2CDE9615" w14:textId="2C1EA9E0" w:rsidR="00B4017B" w:rsidRPr="000F6CD1" w:rsidRDefault="00B4017B" w:rsidP="00EF6749">
            <w:pPr>
              <w:numPr>
                <w:ilvl w:val="0"/>
                <w:numId w:val="346"/>
              </w:numPr>
              <w:spacing w:after="80" w:line="300" w:lineRule="exact"/>
              <w:ind w:left="284" w:hanging="284"/>
              <w:rPr>
                <w:szCs w:val="22"/>
              </w:rPr>
            </w:pPr>
            <w:r w:rsidRPr="000F6CD1">
              <w:rPr>
                <w:szCs w:val="22"/>
              </w:rPr>
              <w:t xml:space="preserve">Providing it to an Aged Care Specialist Officer or assessor for </w:t>
            </w:r>
            <w:r w:rsidR="00336E5C" w:rsidRPr="000F6CD1">
              <w:rPr>
                <w:szCs w:val="22"/>
              </w:rPr>
              <w:t>face-to-face</w:t>
            </w:r>
            <w:r w:rsidRPr="000F6CD1">
              <w:rPr>
                <w:szCs w:val="22"/>
              </w:rPr>
              <w:t xml:space="preserve"> help uploading it to My Aged Care.</w:t>
            </w:r>
          </w:p>
          <w:p w14:paraId="7230668A" w14:textId="77777777" w:rsidR="00B4017B" w:rsidRPr="000F6CD1" w:rsidRDefault="00B4017B" w:rsidP="00336E5C">
            <w:pPr>
              <w:numPr>
                <w:ilvl w:val="0"/>
                <w:numId w:val="346"/>
              </w:numPr>
              <w:spacing w:after="80" w:line="300" w:lineRule="exact"/>
              <w:ind w:left="284" w:hanging="284"/>
              <w:rPr>
                <w:szCs w:val="22"/>
              </w:rPr>
            </w:pPr>
            <w:r w:rsidRPr="000F6CD1">
              <w:rPr>
                <w:szCs w:val="22"/>
              </w:rPr>
              <w:t xml:space="preserve">Posting to: </w:t>
            </w:r>
          </w:p>
          <w:p w14:paraId="45DA9DD7" w14:textId="77777777" w:rsidR="00B4017B" w:rsidRPr="000F6CD1" w:rsidRDefault="00B4017B" w:rsidP="00FF0C06">
            <w:pPr>
              <w:spacing w:line="300" w:lineRule="exact"/>
              <w:ind w:left="284"/>
              <w:rPr>
                <w:szCs w:val="22"/>
              </w:rPr>
            </w:pPr>
            <w:r w:rsidRPr="000F6CD1">
              <w:rPr>
                <w:szCs w:val="22"/>
              </w:rPr>
              <w:t>My Aged Care</w:t>
            </w:r>
          </w:p>
          <w:p w14:paraId="6EE6158C" w14:textId="77777777" w:rsidR="00B4017B" w:rsidRPr="000F6CD1" w:rsidRDefault="00B4017B" w:rsidP="00FF0C06">
            <w:pPr>
              <w:spacing w:line="300" w:lineRule="exact"/>
              <w:ind w:left="284"/>
              <w:rPr>
                <w:szCs w:val="22"/>
              </w:rPr>
            </w:pPr>
            <w:r w:rsidRPr="000F6CD1">
              <w:rPr>
                <w:szCs w:val="22"/>
              </w:rPr>
              <w:t xml:space="preserve">PO Box 1237 </w:t>
            </w:r>
          </w:p>
          <w:p w14:paraId="0BD590E7" w14:textId="77777777" w:rsidR="00B4017B" w:rsidRPr="000F6CD1" w:rsidRDefault="00B4017B" w:rsidP="00336E5C">
            <w:pPr>
              <w:spacing w:after="80" w:line="300" w:lineRule="exact"/>
              <w:ind w:left="284"/>
              <w:rPr>
                <w:szCs w:val="22"/>
              </w:rPr>
            </w:pPr>
            <w:r w:rsidRPr="000F6CD1">
              <w:rPr>
                <w:szCs w:val="22"/>
              </w:rPr>
              <w:t>Runaway Bay, QLD 4216</w:t>
            </w:r>
          </w:p>
        </w:tc>
      </w:tr>
      <w:tr w:rsidR="00B4017B" w:rsidRPr="000F6CD1" w14:paraId="707E6E2F" w14:textId="77777777" w:rsidTr="00164E21">
        <w:tc>
          <w:tcPr>
            <w:tcW w:w="2974" w:type="dxa"/>
          </w:tcPr>
          <w:p w14:paraId="65BE0378" w14:textId="77777777" w:rsidR="00B4017B" w:rsidRPr="000F6CD1" w:rsidRDefault="00B4017B" w:rsidP="003D374A">
            <w:pPr>
              <w:pStyle w:val="Sub-headingnon-contentpage"/>
            </w:pPr>
            <w:r w:rsidRPr="000F6CD1">
              <w:t>Carer Gateway</w:t>
            </w:r>
          </w:p>
        </w:tc>
        <w:tc>
          <w:tcPr>
            <w:tcW w:w="6377" w:type="dxa"/>
          </w:tcPr>
          <w:p w14:paraId="4597ED7B" w14:textId="77777777" w:rsidR="00B4017B" w:rsidRPr="000F6CD1" w:rsidRDefault="00B4017B" w:rsidP="00173995">
            <w:pPr>
              <w:pStyle w:val="PlainText"/>
              <w:tabs>
                <w:tab w:val="left" w:pos="426"/>
              </w:tabs>
              <w:spacing w:after="0" w:line="300" w:lineRule="exact"/>
              <w:rPr>
                <w:rFonts w:ascii="Arial" w:eastAsia="MS Mincho" w:hAnsi="Arial" w:cs="Arial"/>
                <w:szCs w:val="22"/>
              </w:rPr>
            </w:pPr>
            <w:r w:rsidRPr="000F6CD1">
              <w:rPr>
                <w:rFonts w:ascii="Arial" w:eastAsia="MS Mincho" w:hAnsi="Arial" w:cs="Arial"/>
                <w:szCs w:val="22"/>
              </w:rPr>
              <w:t>1800 422 737</w:t>
            </w:r>
          </w:p>
        </w:tc>
      </w:tr>
      <w:tr w:rsidR="00B4017B" w:rsidRPr="000F6CD1" w14:paraId="11591FCF" w14:textId="77777777" w:rsidTr="00164E21">
        <w:trPr>
          <w:trHeight w:val="313"/>
        </w:trPr>
        <w:tc>
          <w:tcPr>
            <w:tcW w:w="2974" w:type="dxa"/>
          </w:tcPr>
          <w:p w14:paraId="22F36E59" w14:textId="77777777" w:rsidR="00B4017B" w:rsidRPr="000F6CD1" w:rsidRDefault="00B4017B" w:rsidP="003D374A">
            <w:pPr>
              <w:pStyle w:val="Sub-headingnon-contentpage"/>
              <w:rPr>
                <w:color w:val="279989"/>
              </w:rPr>
            </w:pPr>
            <w:r w:rsidRPr="000F6CD1">
              <w:t>My Aged Care</w:t>
            </w:r>
            <w:r w:rsidRPr="000F6CD1">
              <w:rPr>
                <w:color w:val="279989"/>
              </w:rPr>
              <w:t xml:space="preserve"> </w:t>
            </w:r>
            <w:r w:rsidRPr="000F6CD1">
              <w:t>contact centre</w:t>
            </w:r>
          </w:p>
        </w:tc>
        <w:tc>
          <w:tcPr>
            <w:tcW w:w="6377" w:type="dxa"/>
          </w:tcPr>
          <w:p w14:paraId="6FDD2173" w14:textId="77777777" w:rsidR="00B4017B" w:rsidRPr="000F6CD1" w:rsidRDefault="00B4017B" w:rsidP="00173995">
            <w:pPr>
              <w:pStyle w:val="PlainText"/>
              <w:tabs>
                <w:tab w:val="left" w:pos="426"/>
              </w:tabs>
              <w:spacing w:after="0" w:line="300" w:lineRule="exact"/>
              <w:rPr>
                <w:rFonts w:ascii="Arial" w:eastAsia="MS Mincho" w:hAnsi="Arial" w:cs="Arial"/>
                <w:szCs w:val="22"/>
              </w:rPr>
            </w:pPr>
            <w:r w:rsidRPr="000F6CD1">
              <w:rPr>
                <w:rFonts w:ascii="Arial" w:eastAsia="MS Mincho" w:hAnsi="Arial" w:cs="Arial"/>
                <w:szCs w:val="22"/>
              </w:rPr>
              <w:t xml:space="preserve">1800 200 422 </w:t>
            </w:r>
          </w:p>
        </w:tc>
      </w:tr>
      <w:tr w:rsidR="00B4017B" w:rsidRPr="000F6CD1" w14:paraId="252A74D7" w14:textId="77777777" w:rsidTr="00164E21">
        <w:trPr>
          <w:trHeight w:val="1111"/>
        </w:trPr>
        <w:tc>
          <w:tcPr>
            <w:tcW w:w="2974" w:type="dxa"/>
          </w:tcPr>
          <w:p w14:paraId="2325F263" w14:textId="77777777" w:rsidR="00B4017B" w:rsidRPr="000F6CD1" w:rsidRDefault="00B4017B" w:rsidP="003D374A">
            <w:pPr>
              <w:pStyle w:val="Sub-headingnon-contentpage"/>
              <w:rPr>
                <w:color w:val="279989"/>
              </w:rPr>
            </w:pPr>
            <w:r w:rsidRPr="000F6CD1">
              <w:t>My Aged Care Service Provider and Assessor Helpline</w:t>
            </w:r>
          </w:p>
        </w:tc>
        <w:tc>
          <w:tcPr>
            <w:tcW w:w="6377" w:type="dxa"/>
          </w:tcPr>
          <w:p w14:paraId="01D07D8F" w14:textId="77777777" w:rsidR="00B4017B" w:rsidRPr="000F6CD1" w:rsidRDefault="00B4017B" w:rsidP="00173995">
            <w:pPr>
              <w:pStyle w:val="PlainText"/>
              <w:tabs>
                <w:tab w:val="left" w:pos="426"/>
              </w:tabs>
              <w:spacing w:after="0" w:line="300" w:lineRule="exact"/>
              <w:rPr>
                <w:rFonts w:ascii="Arial" w:eastAsia="MS Mincho" w:hAnsi="Arial" w:cs="Arial"/>
                <w:szCs w:val="22"/>
              </w:rPr>
            </w:pPr>
            <w:r w:rsidRPr="000F6CD1">
              <w:rPr>
                <w:rFonts w:ascii="Arial" w:eastAsia="MS Mincho" w:hAnsi="Arial" w:cs="Arial"/>
                <w:szCs w:val="22"/>
              </w:rPr>
              <w:t xml:space="preserve">1800 836 799 </w:t>
            </w:r>
          </w:p>
          <w:p w14:paraId="366D9644" w14:textId="77777777" w:rsidR="00B4017B" w:rsidRPr="000F6CD1" w:rsidRDefault="00B4017B" w:rsidP="00173995">
            <w:pPr>
              <w:pStyle w:val="PlainText"/>
              <w:tabs>
                <w:tab w:val="left" w:pos="426"/>
              </w:tabs>
              <w:spacing w:after="0" w:line="300" w:lineRule="exact"/>
              <w:rPr>
                <w:rFonts w:ascii="Arial" w:eastAsia="MS Mincho" w:hAnsi="Arial" w:cs="Arial"/>
                <w:szCs w:val="22"/>
              </w:rPr>
            </w:pPr>
            <w:r w:rsidRPr="000F6CD1">
              <w:rPr>
                <w:rFonts w:ascii="Arial" w:eastAsia="MS Mincho" w:hAnsi="Arial" w:cs="Arial"/>
                <w:szCs w:val="22"/>
              </w:rPr>
              <w:t>8am to 8pm Monday to Friday or 10am to 2pm Saturday</w:t>
            </w:r>
          </w:p>
        </w:tc>
      </w:tr>
      <w:tr w:rsidR="00B4017B" w:rsidRPr="000F6CD1" w14:paraId="250F0256" w14:textId="77777777" w:rsidTr="00164E21">
        <w:tc>
          <w:tcPr>
            <w:tcW w:w="2974" w:type="dxa"/>
          </w:tcPr>
          <w:p w14:paraId="68D1272E" w14:textId="77777777" w:rsidR="00B4017B" w:rsidRPr="000F6CD1" w:rsidRDefault="00B4017B" w:rsidP="003D374A">
            <w:pPr>
              <w:pStyle w:val="Sub-headingnon-contentpage"/>
              <w:rPr>
                <w:color w:val="279989"/>
              </w:rPr>
            </w:pPr>
            <w:r w:rsidRPr="000F6CD1">
              <w:t xml:space="preserve">My Aged Care complaints </w:t>
            </w:r>
          </w:p>
          <w:p w14:paraId="3AD91010" w14:textId="77777777" w:rsidR="00B4017B" w:rsidRPr="000F6CD1" w:rsidRDefault="00B4017B" w:rsidP="003D374A">
            <w:pPr>
              <w:pStyle w:val="Sub-headingnon-contentpage"/>
            </w:pPr>
          </w:p>
        </w:tc>
        <w:tc>
          <w:tcPr>
            <w:tcW w:w="6377" w:type="dxa"/>
          </w:tcPr>
          <w:p w14:paraId="344A156C" w14:textId="77777777" w:rsidR="00B4017B" w:rsidRPr="000F6CD1" w:rsidRDefault="00B4017B" w:rsidP="00FF0C06">
            <w:pPr>
              <w:spacing w:after="80"/>
              <w:rPr>
                <w:szCs w:val="22"/>
              </w:rPr>
            </w:pPr>
            <w:r w:rsidRPr="000F6CD1">
              <w:rPr>
                <w:szCs w:val="22"/>
              </w:rPr>
              <w:lastRenderedPageBreak/>
              <w:t xml:space="preserve">A person can make a complaint by: </w:t>
            </w:r>
          </w:p>
          <w:p w14:paraId="2D4FFB94" w14:textId="72D4745C" w:rsidR="00B4017B" w:rsidRPr="000716E8" w:rsidRDefault="00B4017B" w:rsidP="000716E8">
            <w:pPr>
              <w:numPr>
                <w:ilvl w:val="0"/>
                <w:numId w:val="346"/>
              </w:numPr>
              <w:spacing w:after="80" w:line="300" w:lineRule="exact"/>
              <w:ind w:left="283" w:hanging="283"/>
              <w:rPr>
                <w:szCs w:val="22"/>
              </w:rPr>
            </w:pPr>
            <w:r w:rsidRPr="000F6CD1">
              <w:rPr>
                <w:szCs w:val="22"/>
              </w:rPr>
              <w:lastRenderedPageBreak/>
              <w:t xml:space="preserve">calling My Aged Care on </w:t>
            </w:r>
            <w:r w:rsidRPr="000F6CD1">
              <w:rPr>
                <w:bCs/>
                <w:szCs w:val="22"/>
              </w:rPr>
              <w:t>1800 200 422</w:t>
            </w:r>
            <w:r w:rsidR="00FF0C06" w:rsidRPr="000716E8">
              <w:t xml:space="preserve"> </w:t>
            </w:r>
          </w:p>
          <w:p w14:paraId="70732179" w14:textId="77777777" w:rsidR="00B4017B" w:rsidRPr="000F6CD1" w:rsidRDefault="00B4017B" w:rsidP="00852118">
            <w:pPr>
              <w:numPr>
                <w:ilvl w:val="0"/>
                <w:numId w:val="346"/>
              </w:numPr>
              <w:spacing w:after="80" w:line="300" w:lineRule="exact"/>
              <w:ind w:left="284" w:hanging="284"/>
              <w:rPr>
                <w:szCs w:val="22"/>
              </w:rPr>
            </w:pPr>
            <w:r w:rsidRPr="000F6CD1">
              <w:rPr>
                <w:szCs w:val="22"/>
              </w:rPr>
              <w:t>posting their complaint to:</w:t>
            </w:r>
          </w:p>
          <w:p w14:paraId="7A9C36B7" w14:textId="77777777" w:rsidR="00B4017B" w:rsidRDefault="00B4017B" w:rsidP="00FF0C06">
            <w:pPr>
              <w:spacing w:after="80" w:line="300" w:lineRule="exact"/>
              <w:ind w:left="283"/>
              <w:rPr>
                <w:szCs w:val="22"/>
              </w:rPr>
            </w:pPr>
            <w:r w:rsidRPr="000F6CD1">
              <w:rPr>
                <w:szCs w:val="22"/>
              </w:rPr>
              <w:t>My Aged Care Complaints</w:t>
            </w:r>
            <w:r w:rsidR="00FF0C06">
              <w:rPr>
                <w:szCs w:val="22"/>
              </w:rPr>
              <w:br/>
            </w:r>
            <w:r w:rsidRPr="000F6CD1">
              <w:rPr>
                <w:szCs w:val="22"/>
              </w:rPr>
              <w:t xml:space="preserve">PO Box 1237 </w:t>
            </w:r>
            <w:r w:rsidR="00FF0C06">
              <w:rPr>
                <w:szCs w:val="22"/>
              </w:rPr>
              <w:br/>
            </w:r>
            <w:r w:rsidRPr="000F6CD1">
              <w:rPr>
                <w:szCs w:val="22"/>
              </w:rPr>
              <w:t xml:space="preserve">Runaway Bay QLD 4216 </w:t>
            </w:r>
          </w:p>
          <w:p w14:paraId="7F55AFE1" w14:textId="77777777" w:rsidR="000716E8" w:rsidRDefault="00C64230" w:rsidP="00EF6749">
            <w:pPr>
              <w:pStyle w:val="ListParagraph"/>
              <w:numPr>
                <w:ilvl w:val="0"/>
                <w:numId w:val="631"/>
              </w:numPr>
              <w:spacing w:after="100"/>
              <w:ind w:left="312" w:hanging="284"/>
              <w:contextualSpacing w:val="0"/>
              <w:rPr>
                <w:szCs w:val="22"/>
              </w:rPr>
            </w:pPr>
            <w:r w:rsidRPr="00C64230">
              <w:rPr>
                <w:szCs w:val="22"/>
              </w:rPr>
              <w:t xml:space="preserve">If you are not satisfied with the response you receive, send an email with the details of your complaint and reference number to </w:t>
            </w:r>
            <w:hyperlink r:id="rId389" w:tgtFrame="_blank" w:tooltip="mailto:myagedcaresupport@health.gov.au" w:history="1">
              <w:r w:rsidRPr="00C64230">
                <w:rPr>
                  <w:rStyle w:val="Hyperlink"/>
                  <w:szCs w:val="22"/>
                </w:rPr>
                <w:t>myagedcaresupport@health.gov.au</w:t>
              </w:r>
            </w:hyperlink>
            <w:r w:rsidRPr="00C64230">
              <w:rPr>
                <w:szCs w:val="22"/>
              </w:rPr>
              <w:t>. </w:t>
            </w:r>
          </w:p>
          <w:p w14:paraId="2EC70B73" w14:textId="7C60D07D" w:rsidR="00C64230" w:rsidRPr="00C64230" w:rsidRDefault="003461B6" w:rsidP="00EF6749">
            <w:pPr>
              <w:pStyle w:val="ListParagraph"/>
              <w:numPr>
                <w:ilvl w:val="0"/>
                <w:numId w:val="631"/>
              </w:numPr>
              <w:spacing w:after="80" w:line="300" w:lineRule="exact"/>
              <w:ind w:left="311" w:hanging="283"/>
              <w:rPr>
                <w:szCs w:val="22"/>
              </w:rPr>
            </w:pPr>
            <w:r>
              <w:rPr>
                <w:szCs w:val="22"/>
              </w:rPr>
              <w:t xml:space="preserve">For more information visit: </w:t>
            </w:r>
            <w:hyperlink r:id="rId390" w:history="1">
              <w:r w:rsidR="00852118" w:rsidRPr="00852118">
                <w:rPr>
                  <w:rStyle w:val="Hyperlink"/>
                  <w:szCs w:val="22"/>
                </w:rPr>
                <w:t>Making a complaint | My Aged Care</w:t>
              </w:r>
            </w:hyperlink>
          </w:p>
        </w:tc>
      </w:tr>
      <w:tr w:rsidR="00B4017B" w:rsidRPr="000F6CD1" w14:paraId="1911A137" w14:textId="77777777" w:rsidTr="00164E21">
        <w:trPr>
          <w:trHeight w:val="682"/>
        </w:trPr>
        <w:tc>
          <w:tcPr>
            <w:tcW w:w="2974" w:type="dxa"/>
          </w:tcPr>
          <w:p w14:paraId="4BD962A0" w14:textId="77777777" w:rsidR="00B4017B" w:rsidRPr="000F6CD1" w:rsidRDefault="00B4017B" w:rsidP="003D374A">
            <w:pPr>
              <w:pStyle w:val="Sub-headingnon-contentpage"/>
            </w:pPr>
            <w:r w:rsidRPr="000F6CD1">
              <w:lastRenderedPageBreak/>
              <w:t xml:space="preserve">Services Australia </w:t>
            </w:r>
          </w:p>
        </w:tc>
        <w:tc>
          <w:tcPr>
            <w:tcW w:w="6377" w:type="dxa"/>
          </w:tcPr>
          <w:p w14:paraId="6DA9759B" w14:textId="77777777" w:rsidR="00B4017B" w:rsidRPr="000F6CD1" w:rsidRDefault="00B4017B" w:rsidP="003D374A">
            <w:pPr>
              <w:pStyle w:val="Sub-headingnon-contentpage"/>
            </w:pPr>
            <w:r w:rsidRPr="000F6CD1">
              <w:t>1800 227 475 (Aged Care Line - consumers)</w:t>
            </w:r>
          </w:p>
        </w:tc>
      </w:tr>
    </w:tbl>
    <w:p w14:paraId="54626FA7" w14:textId="77777777" w:rsidR="00B4017B" w:rsidRPr="000F6CD1" w:rsidRDefault="00B4017B" w:rsidP="00370263"/>
    <w:p w14:paraId="5F624E1B" w14:textId="77777777" w:rsidR="00B4017B" w:rsidRPr="000F6CD1" w:rsidRDefault="00B4017B" w:rsidP="00370263">
      <w:pPr>
        <w:sectPr w:rsidR="00B4017B" w:rsidRPr="000F6CD1" w:rsidSect="00B4017B">
          <w:headerReference w:type="even" r:id="rId391"/>
          <w:headerReference w:type="default" r:id="rId392"/>
          <w:footerReference w:type="even" r:id="rId393"/>
          <w:footerReference w:type="default" r:id="rId394"/>
          <w:headerReference w:type="first" r:id="rId395"/>
          <w:footerReference w:type="first" r:id="rId396"/>
          <w:pgSz w:w="11906" w:h="16838"/>
          <w:pgMar w:top="1440" w:right="1440" w:bottom="1440" w:left="1440" w:header="708" w:footer="708" w:gutter="0"/>
          <w:cols w:space="708"/>
          <w:docGrid w:linePitch="360"/>
        </w:sectPr>
      </w:pPr>
    </w:p>
    <w:p w14:paraId="595B45FD" w14:textId="77777777" w:rsidR="00B4017B" w:rsidRPr="000F6CD1" w:rsidRDefault="00B4017B" w:rsidP="00AC3600">
      <w:pPr>
        <w:pStyle w:val="H1"/>
      </w:pPr>
      <w:bookmarkStart w:id="1160" w:name="_Toc233282531"/>
      <w:r w:rsidRPr="000F6CD1">
        <w:lastRenderedPageBreak/>
        <w:t>APPENDIX C – Clinical governance guidance for aged care needs assessment organisations</w:t>
      </w:r>
      <w:bookmarkEnd w:id="1160"/>
      <w:r w:rsidRPr="000F6CD1">
        <w:t xml:space="preserve"> </w:t>
      </w:r>
    </w:p>
    <w:p w14:paraId="1D98CF22" w14:textId="77777777" w:rsidR="00B4017B" w:rsidRPr="000F6CD1" w:rsidRDefault="00B4017B" w:rsidP="00370263">
      <w:pPr>
        <w:rPr>
          <w:rStyle w:val="normaltextrun"/>
          <w:b/>
        </w:rPr>
      </w:pPr>
      <w:r w:rsidRPr="000F6CD1">
        <w:rPr>
          <w:rStyle w:val="normaltextrun"/>
          <w:b/>
        </w:rPr>
        <w:t>Guidance purpose</w:t>
      </w:r>
    </w:p>
    <w:p w14:paraId="0A4F0520" w14:textId="77777777" w:rsidR="00B4017B" w:rsidRPr="000F6CD1" w:rsidRDefault="00B4017B" w:rsidP="00370263">
      <w:pPr>
        <w:rPr>
          <w:rFonts w:eastAsia="Calibri"/>
        </w:rPr>
      </w:pPr>
      <w:r w:rsidRPr="000F6CD1">
        <w:rPr>
          <w:rFonts w:eastAsia="Calibri"/>
        </w:rPr>
        <w:t>This guidance aims to help aged care assessment organisations to meet their responsibilities for ensuring the quality of needs assessments, through the implementation of effective clinical governance. The sections below are for people within an assessment organisation responsible for developing their clinical governance framework. It describes the importance of good clinical governance, details the elements of an effective clinical governance framework in an aged care needs assessment context and outlines the minimum supports that must be in place to support clinical and non-clinical staff.</w:t>
      </w:r>
    </w:p>
    <w:p w14:paraId="148451D4" w14:textId="77777777" w:rsidR="00B4017B" w:rsidRPr="000F6CD1" w:rsidRDefault="00B4017B" w:rsidP="00B0441D">
      <w:pPr>
        <w:spacing w:after="200"/>
        <w:rPr>
          <w:rFonts w:eastAsia="Calibri"/>
        </w:rPr>
      </w:pPr>
      <w:r w:rsidRPr="000F6CD1">
        <w:rPr>
          <w:rFonts w:eastAsia="Calibri"/>
        </w:rPr>
        <w:t xml:space="preserve">This guidance should be considered in conjunction with the resources on clinical governance in the provision of aged care services available on the </w:t>
      </w:r>
      <w:hyperlink r:id="rId397" w:history="1">
        <w:r w:rsidRPr="000F6CD1">
          <w:rPr>
            <w:rStyle w:val="Hyperlink"/>
            <w:rFonts w:eastAsia="Calibri"/>
          </w:rPr>
          <w:t>Aged Care Quality and Safety Commission’s website</w:t>
        </w:r>
      </w:hyperlink>
      <w:r w:rsidRPr="000F6CD1">
        <w:rPr>
          <w:rFonts w:eastAsia="Calibri"/>
        </w:rPr>
        <w:t xml:space="preserve">. </w:t>
      </w:r>
    </w:p>
    <w:p w14:paraId="3343E425" w14:textId="77777777" w:rsidR="00B4017B" w:rsidRPr="000F6CD1" w:rsidRDefault="00B4017B" w:rsidP="00D17E09">
      <w:pPr>
        <w:rPr>
          <w:rStyle w:val="eop"/>
          <w:b/>
          <w:bCs/>
        </w:rPr>
      </w:pPr>
      <w:r w:rsidRPr="000F6CD1">
        <w:rPr>
          <w:rStyle w:val="normaltextrun"/>
          <w:b/>
          <w:bCs/>
        </w:rPr>
        <w:t>What is a clinical governance framework and why is it important for aged care assessment organisations?</w:t>
      </w:r>
      <w:r w:rsidRPr="000F6CD1">
        <w:rPr>
          <w:rStyle w:val="eop"/>
          <w:b/>
          <w:bCs/>
        </w:rPr>
        <w:t> </w:t>
      </w:r>
    </w:p>
    <w:p w14:paraId="4E9426C6" w14:textId="71F41D6D" w:rsidR="00B4017B" w:rsidRPr="000F6CD1" w:rsidRDefault="00B4017B" w:rsidP="00370263">
      <w:pPr>
        <w:rPr>
          <w:rFonts w:eastAsia="Calibri"/>
        </w:rPr>
      </w:pPr>
      <w:r w:rsidRPr="000F6CD1">
        <w:rPr>
          <w:rFonts w:eastAsia="Calibri"/>
        </w:rPr>
        <w:t>Clinical governance is an integrated system of organisational behaviours, policies, procedures, responsibilities, and quality assurance mechanisms that support consistent and high-quality care in organisations across the health, aged care and many social services sectors.</w:t>
      </w:r>
      <w:r w:rsidR="00D17E09">
        <w:rPr>
          <w:rFonts w:eastAsia="Calibri"/>
        </w:rPr>
        <w:t xml:space="preserve"> </w:t>
      </w:r>
      <w:r w:rsidRPr="000F6CD1">
        <w:rPr>
          <w:rFonts w:eastAsia="Calibri"/>
        </w:rPr>
        <w:t>A clinical governance framework is a framework that describes an organisation’s approach to clinical governance.</w:t>
      </w:r>
    </w:p>
    <w:p w14:paraId="24A050C6" w14:textId="77777777" w:rsidR="00B4017B" w:rsidRPr="000F6CD1" w:rsidRDefault="00B4017B" w:rsidP="00370263">
      <w:pPr>
        <w:rPr>
          <w:rFonts w:eastAsia="Calibri"/>
        </w:rPr>
      </w:pPr>
      <w:r w:rsidRPr="000F6CD1">
        <w:rPr>
          <w:rFonts w:eastAsia="Calibri"/>
        </w:rPr>
        <w:t>Your assessment organisation’s clinical governance framework must describe the practical, clinical supports that are in place for staff who may need to exercise clinical judgement or undertake elements of an aged care needs assessment that are clinical in nature.</w:t>
      </w:r>
    </w:p>
    <w:p w14:paraId="3547836A" w14:textId="77777777" w:rsidR="00B4017B" w:rsidRPr="000F6CD1" w:rsidRDefault="00B4017B" w:rsidP="00370263">
      <w:pPr>
        <w:rPr>
          <w:rFonts w:eastAsia="Calibri"/>
        </w:rPr>
      </w:pPr>
      <w:r w:rsidRPr="000F6CD1">
        <w:rPr>
          <w:rFonts w:eastAsia="Calibri"/>
        </w:rPr>
        <w:t xml:space="preserve">Good clinical governance supports everyone in your assessment organisation to achieve high quality aged care assessments that deliver accurate and appropriate outcomes for all older people. High quality assessments are defined in the </w:t>
      </w:r>
      <w:hyperlink r:id="rId398">
        <w:r w:rsidRPr="000F6CD1">
          <w:rPr>
            <w:rStyle w:val="Hyperlink"/>
            <w:rFonts w:eastAsia="Calibri"/>
          </w:rPr>
          <w:t>Aged Care Assessment Quality Framework</w:t>
        </w:r>
      </w:hyperlink>
      <w:r w:rsidRPr="000F6CD1">
        <w:rPr>
          <w:rFonts w:eastAsia="Calibri"/>
        </w:rPr>
        <w:t xml:space="preserve"> as:</w:t>
      </w:r>
    </w:p>
    <w:p w14:paraId="138937ED" w14:textId="77777777" w:rsidR="00B4017B" w:rsidRPr="000F6CD1" w:rsidRDefault="00B4017B" w:rsidP="00370263">
      <w:pPr>
        <w:rPr>
          <w:rFonts w:eastAsia="Calibri"/>
        </w:rPr>
      </w:pPr>
      <w:r w:rsidRPr="00B0441D">
        <w:rPr>
          <w:rFonts w:eastAsia="Calibri"/>
          <w:b/>
          <w:bCs/>
        </w:rPr>
        <w:t>Personal:</w:t>
      </w:r>
      <w:r w:rsidRPr="000F6CD1">
        <w:rPr>
          <w:rFonts w:eastAsia="Calibri"/>
        </w:rPr>
        <w:t xml:space="preserve"> an assessment is a respectful conversation and is responsive to an older person’s individual situation, context, goals and aspirations. </w:t>
      </w:r>
    </w:p>
    <w:p w14:paraId="12333E57" w14:textId="77777777" w:rsidR="00B4017B" w:rsidRPr="000F6CD1" w:rsidRDefault="00B4017B" w:rsidP="00D17E09">
      <w:pPr>
        <w:rPr>
          <w:rFonts w:eastAsia="Calibri"/>
        </w:rPr>
      </w:pPr>
      <w:r w:rsidRPr="00B0441D">
        <w:rPr>
          <w:rFonts w:eastAsia="Calibri"/>
          <w:b/>
          <w:bCs/>
        </w:rPr>
        <w:t>Effective:</w:t>
      </w:r>
      <w:r w:rsidRPr="000F6CD1">
        <w:rPr>
          <w:rFonts w:eastAsia="Calibri"/>
        </w:rPr>
        <w:t xml:space="preserve"> assessments are undertaken in depth and to completion, ensuring an older person’s needs are fully identified and an older person can exercise choice and control in accessing the right services appropriate for them (as available and as eligible). </w:t>
      </w:r>
    </w:p>
    <w:p w14:paraId="52EB4EC5" w14:textId="77777777" w:rsidR="00B4017B" w:rsidRPr="000F6CD1" w:rsidRDefault="00B4017B" w:rsidP="00D17E09">
      <w:pPr>
        <w:rPr>
          <w:rFonts w:eastAsia="Calibri"/>
        </w:rPr>
      </w:pPr>
      <w:r w:rsidRPr="00B0441D">
        <w:rPr>
          <w:rFonts w:eastAsia="Calibri"/>
          <w:b/>
          <w:bCs/>
        </w:rPr>
        <w:t>Connected:</w:t>
      </w:r>
      <w:r w:rsidRPr="000F6CD1">
        <w:rPr>
          <w:rFonts w:eastAsia="Calibri"/>
        </w:rPr>
        <w:t xml:space="preserve"> the older person understands how and why the assessment process connects to their aged care journey.</w:t>
      </w:r>
    </w:p>
    <w:p w14:paraId="2839BA21" w14:textId="77777777" w:rsidR="00B4017B" w:rsidRPr="000F6CD1" w:rsidRDefault="00B4017B">
      <w:pPr>
        <w:spacing w:after="200" w:line="240" w:lineRule="auto"/>
        <w:rPr>
          <w:rFonts w:eastAsia="Calibri"/>
        </w:rPr>
      </w:pPr>
      <w:r w:rsidRPr="00B0441D">
        <w:rPr>
          <w:rFonts w:eastAsia="Calibri"/>
          <w:b/>
          <w:bCs/>
        </w:rPr>
        <w:t>Safe:</w:t>
      </w:r>
      <w:r w:rsidRPr="000F6CD1">
        <w:rPr>
          <w:rFonts w:eastAsia="Calibri"/>
        </w:rPr>
        <w:t xml:space="preserve"> the older person is provided a physically, emotionally and culturally safe assessment where their unique experiences are respected and factored into the way they are assessed for aged care. All assessments are delivered in a safe environment and free from harm. </w:t>
      </w:r>
    </w:p>
    <w:p w14:paraId="49A6404E" w14:textId="77777777" w:rsidR="00B4017B" w:rsidRPr="000F6CD1" w:rsidRDefault="00B4017B" w:rsidP="00370263">
      <w:pPr>
        <w:spacing w:after="200" w:line="300" w:lineRule="auto"/>
        <w:rPr>
          <w:rFonts w:eastAsia="Calibri"/>
        </w:rPr>
      </w:pPr>
    </w:p>
    <w:p w14:paraId="09FDD2A5" w14:textId="77777777" w:rsidR="00B4017B" w:rsidRPr="000F6CD1" w:rsidRDefault="00B4017B" w:rsidP="00370263">
      <w:pPr>
        <w:rPr>
          <w:rFonts w:eastAsia="Calibri"/>
        </w:rPr>
      </w:pPr>
      <w:r w:rsidRPr="000F6CD1">
        <w:rPr>
          <w:rFonts w:eastAsia="Calibri"/>
        </w:rPr>
        <w:lastRenderedPageBreak/>
        <w:t xml:space="preserve">Importantly, clinical governance must be embedded in your organisational culture. Leaders must foster a culture that supports and promotes consistent, high quality assessments and integrates clinical governance into the broader organisational governance. Your organisation’s governing body is accountable for ensuring adequate clinical support is in place for staff, understanding the risks associated with undertaking assessments, monitoring performance, and continuously driving improvement. </w:t>
      </w:r>
    </w:p>
    <w:p w14:paraId="6986C367" w14:textId="77777777" w:rsidR="00B4017B" w:rsidRPr="000F6CD1" w:rsidRDefault="00B4017B" w:rsidP="00D17E09">
      <w:pPr>
        <w:rPr>
          <w:rStyle w:val="normaltextrun"/>
          <w:b/>
          <w:bCs/>
        </w:rPr>
      </w:pPr>
      <w:r w:rsidRPr="000F6CD1">
        <w:rPr>
          <w:rStyle w:val="normaltextrun"/>
          <w:b/>
          <w:bCs/>
        </w:rPr>
        <w:t>How to use this guidance</w:t>
      </w:r>
    </w:p>
    <w:p w14:paraId="720340D9" w14:textId="77777777" w:rsidR="00B4017B" w:rsidRPr="000F6CD1" w:rsidRDefault="00B4017B" w:rsidP="00370263">
      <w:pPr>
        <w:rPr>
          <w:i/>
        </w:rPr>
      </w:pPr>
      <w:r w:rsidRPr="000F6CD1">
        <w:rPr>
          <w:rFonts w:eastAsia="Calibri"/>
        </w:rPr>
        <w:t xml:space="preserve">This guidance outlines the elements that your assessment organisation must include in its clinical governance framework, and details the minimum, practical clinical supports that must be in place for your workforce who may need to exercise clinical judgement or undertake an assessment that is clinical in nature. </w:t>
      </w:r>
    </w:p>
    <w:p w14:paraId="01DBBD65" w14:textId="3A4FBE55" w:rsidR="00B4017B" w:rsidRPr="000F6CD1" w:rsidRDefault="00B4017B" w:rsidP="00370263">
      <w:pPr>
        <w:rPr>
          <w:rFonts w:eastAsia="Calibri"/>
        </w:rPr>
      </w:pPr>
      <w:r w:rsidRPr="000F6CD1">
        <w:rPr>
          <w:rFonts w:eastAsia="Calibri"/>
        </w:rPr>
        <w:t xml:space="preserve">Your assessment organisation </w:t>
      </w:r>
      <w:r w:rsidRPr="000F6CD1" w:rsidDel="00B91EEA">
        <w:rPr>
          <w:rFonts w:eastAsia="Calibri"/>
        </w:rPr>
        <w:t xml:space="preserve">may </w:t>
      </w:r>
      <w:r w:rsidRPr="000F6CD1">
        <w:rPr>
          <w:rFonts w:eastAsia="Calibri"/>
        </w:rPr>
        <w:t>develop its</w:t>
      </w:r>
      <w:r w:rsidRPr="000F6CD1" w:rsidDel="006219D7">
        <w:rPr>
          <w:rFonts w:eastAsia="Calibri"/>
        </w:rPr>
        <w:t xml:space="preserve"> </w:t>
      </w:r>
      <w:r w:rsidRPr="000F6CD1">
        <w:rPr>
          <w:rFonts w:eastAsia="Calibri"/>
        </w:rPr>
        <w:t>clinical governance framework in a format that suits them and include additional elements that are not covered in this guidance. For assessment organisations with an existing clinical governance framework, a review will be required to ensure all elements in this guidance are included.</w:t>
      </w:r>
    </w:p>
    <w:p w14:paraId="65FD8935" w14:textId="77777777" w:rsidR="00B4017B" w:rsidRPr="000F6CD1" w:rsidRDefault="00B4017B" w:rsidP="00370263">
      <w:pPr>
        <w:rPr>
          <w:rStyle w:val="normaltextrun"/>
          <w:b/>
          <w:bCs/>
        </w:rPr>
      </w:pPr>
      <w:r w:rsidRPr="000F6CD1">
        <w:rPr>
          <w:rStyle w:val="normaltextrun"/>
          <w:b/>
          <w:bCs/>
        </w:rPr>
        <w:t xml:space="preserve">Elements of a clinical governance framework </w:t>
      </w:r>
    </w:p>
    <w:p w14:paraId="4A8594F7" w14:textId="77777777" w:rsidR="00B4017B" w:rsidRPr="000F6CD1" w:rsidRDefault="00B4017B" w:rsidP="00370263">
      <w:pPr>
        <w:rPr>
          <w:color w:val="000000"/>
          <w:shd w:val="clear" w:color="auto" w:fill="FFFFFF"/>
        </w:rPr>
      </w:pPr>
      <w:r w:rsidRPr="000F6CD1">
        <w:rPr>
          <w:rStyle w:val="normaltextrun"/>
          <w:color w:val="000000"/>
          <w:shd w:val="clear" w:color="auto" w:fill="FFFFFF"/>
        </w:rPr>
        <w:t xml:space="preserve">At a minimum your assessment organisation’s clinical governance framework must demonstrate how it will: </w:t>
      </w:r>
    </w:p>
    <w:p w14:paraId="01B0A8FE" w14:textId="77777777" w:rsidR="00B4017B" w:rsidRPr="000F6CD1" w:rsidRDefault="00B4017B" w:rsidP="00370263">
      <w:pPr>
        <w:rPr>
          <w:color w:val="000000"/>
          <w:shd w:val="clear" w:color="auto" w:fill="FFFFFF"/>
        </w:rPr>
      </w:pPr>
      <w:r w:rsidRPr="000F6CD1">
        <w:rPr>
          <w:color w:val="000000"/>
          <w:shd w:val="clear" w:color="auto" w:fill="FFFFFF"/>
        </w:rPr>
        <w:t xml:space="preserve">Define </w:t>
      </w:r>
      <w:r w:rsidRPr="000F6CD1">
        <w:rPr>
          <w:b/>
          <w:color w:val="000000"/>
          <w:shd w:val="clear" w:color="auto" w:fill="FFFFFF"/>
        </w:rPr>
        <w:t>roles and responsibilities</w:t>
      </w:r>
      <w:r w:rsidRPr="000F6CD1">
        <w:rPr>
          <w:color w:val="000000"/>
          <w:shd w:val="clear" w:color="auto" w:fill="FFFFFF"/>
        </w:rPr>
        <w:t xml:space="preserve"> to provide clarity on how clinical governance will operate.</w:t>
      </w:r>
    </w:p>
    <w:p w14:paraId="714FC2E8" w14:textId="77777777" w:rsidR="00B4017B" w:rsidRPr="000F6CD1" w:rsidRDefault="00B4017B" w:rsidP="00370263">
      <w:pPr>
        <w:rPr>
          <w:color w:val="000000"/>
          <w:shd w:val="clear" w:color="auto" w:fill="FFFFFF"/>
        </w:rPr>
      </w:pPr>
      <w:r w:rsidRPr="000F6CD1">
        <w:rPr>
          <w:color w:val="000000"/>
          <w:shd w:val="clear" w:color="auto" w:fill="FFFFFF"/>
        </w:rPr>
        <w:t xml:space="preserve">Recruit, </w:t>
      </w:r>
      <w:r w:rsidRPr="000F6CD1">
        <w:rPr>
          <w:b/>
          <w:color w:val="000000"/>
          <w:shd w:val="clear" w:color="auto" w:fill="FFFFFF"/>
        </w:rPr>
        <w:t xml:space="preserve">train and accredit staff </w:t>
      </w:r>
      <w:r w:rsidRPr="000F6CD1">
        <w:rPr>
          <w:color w:val="000000"/>
          <w:shd w:val="clear" w:color="auto" w:fill="FFFFFF"/>
        </w:rPr>
        <w:t>to build</w:t>
      </w:r>
      <w:r w:rsidRPr="000F6CD1">
        <w:rPr>
          <w:b/>
          <w:color w:val="000000"/>
          <w:shd w:val="clear" w:color="auto" w:fill="FFFFFF"/>
        </w:rPr>
        <w:t xml:space="preserve"> </w:t>
      </w:r>
      <w:r w:rsidRPr="000F6CD1">
        <w:rPr>
          <w:color w:val="000000"/>
          <w:shd w:val="clear" w:color="auto" w:fill="FFFFFF"/>
        </w:rPr>
        <w:t>a highly skilled and qualified assessor workforce.</w:t>
      </w:r>
    </w:p>
    <w:p w14:paraId="1BF525B0" w14:textId="77777777" w:rsidR="00B4017B" w:rsidRPr="000F6CD1" w:rsidRDefault="00B4017B" w:rsidP="00DF3F6B">
      <w:pPr>
        <w:pStyle w:val="ListParagraph"/>
        <w:numPr>
          <w:ilvl w:val="0"/>
          <w:numId w:val="392"/>
        </w:numPr>
        <w:spacing w:after="200" w:line="300" w:lineRule="auto"/>
        <w:rPr>
          <w:color w:val="000000"/>
          <w:shd w:val="clear" w:color="auto" w:fill="FFFFFF"/>
        </w:rPr>
      </w:pPr>
      <w:r w:rsidRPr="000F6CD1">
        <w:rPr>
          <w:color w:val="000000"/>
          <w:shd w:val="clear" w:color="auto" w:fill="FFFFFF"/>
        </w:rPr>
        <w:t xml:space="preserve">Provide </w:t>
      </w:r>
      <w:r w:rsidRPr="000F6CD1">
        <w:rPr>
          <w:b/>
          <w:color w:val="000000"/>
          <w:shd w:val="clear" w:color="auto" w:fill="FFFFFF"/>
        </w:rPr>
        <w:t>clinical support</w:t>
      </w:r>
      <w:r w:rsidRPr="000F6CD1">
        <w:rPr>
          <w:color w:val="000000"/>
          <w:shd w:val="clear" w:color="auto" w:fill="FFFFFF"/>
        </w:rPr>
        <w:t xml:space="preserve"> to assessors.</w:t>
      </w:r>
      <w:r w:rsidRPr="000F6CD1">
        <w:t xml:space="preserve"> </w:t>
      </w:r>
    </w:p>
    <w:p w14:paraId="26B38E9B" w14:textId="77777777" w:rsidR="00B4017B" w:rsidRPr="000F6CD1" w:rsidRDefault="00B4017B" w:rsidP="00DF3F6B">
      <w:pPr>
        <w:pStyle w:val="ListParagraph"/>
        <w:numPr>
          <w:ilvl w:val="0"/>
          <w:numId w:val="392"/>
        </w:numPr>
        <w:spacing w:after="200" w:line="300" w:lineRule="auto"/>
        <w:rPr>
          <w:color w:val="000000"/>
          <w:shd w:val="clear" w:color="auto" w:fill="FFFFFF"/>
        </w:rPr>
      </w:pPr>
      <w:r w:rsidRPr="000F6CD1">
        <w:rPr>
          <w:color w:val="000000"/>
          <w:shd w:val="clear" w:color="auto" w:fill="FFFFFF"/>
        </w:rPr>
        <w:t>Monitor assessment quality and drive continuous improvement.</w:t>
      </w:r>
    </w:p>
    <w:p w14:paraId="51729697" w14:textId="77777777" w:rsidR="00B4017B" w:rsidRPr="000F6CD1" w:rsidRDefault="00B4017B" w:rsidP="00DF3F6B">
      <w:pPr>
        <w:pStyle w:val="ListParagraph"/>
        <w:numPr>
          <w:ilvl w:val="0"/>
          <w:numId w:val="392"/>
        </w:numPr>
        <w:spacing w:after="200" w:line="300" w:lineRule="auto"/>
        <w:rPr>
          <w:rStyle w:val="normaltextrun"/>
          <w:color w:val="000000"/>
          <w:shd w:val="clear" w:color="auto" w:fill="FFFFFF"/>
        </w:rPr>
      </w:pPr>
      <w:r w:rsidRPr="000F6CD1">
        <w:rPr>
          <w:color w:val="000000"/>
          <w:shd w:val="clear" w:color="auto" w:fill="FFFFFF"/>
        </w:rPr>
        <w:t>Build relationships</w:t>
      </w:r>
      <w:r w:rsidRPr="000F6CD1">
        <w:rPr>
          <w:b/>
          <w:color w:val="000000"/>
          <w:shd w:val="clear" w:color="auto" w:fill="FFFFFF"/>
        </w:rPr>
        <w:t xml:space="preserve"> </w:t>
      </w:r>
      <w:r w:rsidRPr="000F6CD1">
        <w:rPr>
          <w:color w:val="000000"/>
          <w:shd w:val="clear" w:color="auto" w:fill="FFFFFF"/>
        </w:rPr>
        <w:t>to</w:t>
      </w:r>
      <w:r w:rsidRPr="000F6CD1">
        <w:rPr>
          <w:b/>
          <w:color w:val="000000"/>
          <w:shd w:val="clear" w:color="auto" w:fill="FFFFFF"/>
        </w:rPr>
        <w:t xml:space="preserve"> </w:t>
      </w:r>
      <w:r w:rsidRPr="000F6CD1">
        <w:rPr>
          <w:color w:val="000000"/>
          <w:shd w:val="clear" w:color="auto" w:fill="FFFFFF"/>
        </w:rPr>
        <w:t xml:space="preserve">foster innovation and continuous improvement. </w:t>
      </w:r>
    </w:p>
    <w:p w14:paraId="3408073B" w14:textId="77777777" w:rsidR="00B4017B" w:rsidRPr="000F6CD1" w:rsidRDefault="00B4017B" w:rsidP="00370263">
      <w:pPr>
        <w:rPr>
          <w:rStyle w:val="normaltextrun"/>
          <w:color w:val="000000"/>
          <w:shd w:val="clear" w:color="auto" w:fill="FFFFFF"/>
        </w:rPr>
      </w:pPr>
      <w:r w:rsidRPr="000F6CD1">
        <w:rPr>
          <w:rStyle w:val="normaltextrun"/>
          <w:color w:val="000000"/>
          <w:shd w:val="clear" w:color="auto" w:fill="FFFFFF"/>
        </w:rPr>
        <w:t xml:space="preserve">The minimum clinical support requirements that sit under each of these elements are detailed in the next section. </w:t>
      </w:r>
    </w:p>
    <w:p w14:paraId="330A3D3F" w14:textId="77777777" w:rsidR="00B4017B" w:rsidRPr="000F6CD1" w:rsidRDefault="00B4017B" w:rsidP="00370263">
      <w:pPr>
        <w:rPr>
          <w:b/>
          <w:bCs/>
        </w:rPr>
      </w:pPr>
      <w:r w:rsidRPr="000F6CD1">
        <w:rPr>
          <w:b/>
          <w:bCs/>
        </w:rPr>
        <w:t xml:space="preserve">Element 1: Define roles and responsibilities to provide clarity on how clinical governance will operate </w:t>
      </w:r>
    </w:p>
    <w:p w14:paraId="2ADC796C" w14:textId="77777777" w:rsidR="00B4017B" w:rsidRPr="000F6CD1" w:rsidRDefault="00B4017B" w:rsidP="00370263">
      <w:pPr>
        <w:pStyle w:val="Caption"/>
      </w:pPr>
      <w:r w:rsidRPr="000F6CD1">
        <w:t xml:space="preserve">Table 61. Roles and responsibilities </w:t>
      </w:r>
    </w:p>
    <w:tbl>
      <w:tblPr>
        <w:tblStyle w:val="TableGrid"/>
        <w:tblW w:w="0" w:type="auto"/>
        <w:tblLook w:val="04A0" w:firstRow="1" w:lastRow="0" w:firstColumn="1" w:lastColumn="0" w:noHBand="0" w:noVBand="1"/>
        <w:tblCaption w:val="Roles and responsibilities - clinical governance "/>
        <w:tblDescription w:val="This table provides information about element one of the clinical governance framework, which is defing roles and responsibilities to provide clarity on how clinical governance will operate. "/>
      </w:tblPr>
      <w:tblGrid>
        <w:gridCol w:w="3421"/>
        <w:gridCol w:w="5605"/>
      </w:tblGrid>
      <w:tr w:rsidR="00B4017B" w:rsidRPr="000F6CD1" w14:paraId="7BDA9DA4" w14:textId="77777777" w:rsidTr="00667C2A">
        <w:trPr>
          <w:tblHeader/>
        </w:trPr>
        <w:tc>
          <w:tcPr>
            <w:tcW w:w="4531" w:type="dxa"/>
            <w:shd w:val="clear" w:color="auto" w:fill="002060"/>
          </w:tcPr>
          <w:p w14:paraId="672AEE69" w14:textId="4981CE48" w:rsidR="00B4017B" w:rsidRPr="009C1004" w:rsidRDefault="00B4017B" w:rsidP="003D374A">
            <w:pPr>
              <w:pStyle w:val="Sub-headingnon-contentpage"/>
            </w:pPr>
            <w:r w:rsidRPr="009C1004">
              <w:t>Clinical support requirement</w:t>
            </w:r>
          </w:p>
        </w:tc>
        <w:tc>
          <w:tcPr>
            <w:tcW w:w="7938" w:type="dxa"/>
            <w:shd w:val="clear" w:color="auto" w:fill="002060"/>
          </w:tcPr>
          <w:p w14:paraId="75092B9A" w14:textId="77777777" w:rsidR="00B4017B" w:rsidRPr="009C1004" w:rsidRDefault="00B4017B" w:rsidP="003D374A">
            <w:pPr>
              <w:pStyle w:val="Sub-headingnon-contentpage"/>
            </w:pPr>
            <w:r w:rsidRPr="009C1004">
              <w:t>Implementation</w:t>
            </w:r>
          </w:p>
        </w:tc>
      </w:tr>
      <w:tr w:rsidR="00B4017B" w:rsidRPr="000F6CD1" w14:paraId="4AFCFF80" w14:textId="77777777" w:rsidTr="009C1004">
        <w:tc>
          <w:tcPr>
            <w:tcW w:w="4531" w:type="dxa"/>
          </w:tcPr>
          <w:p w14:paraId="0CDE8F99" w14:textId="55D9FE3B" w:rsidR="00B4017B" w:rsidRPr="000F6CD1" w:rsidRDefault="00B4017B">
            <w:pPr>
              <w:rPr>
                <w:rStyle w:val="normaltextrun"/>
                <w:color w:val="000000"/>
                <w:shd w:val="clear" w:color="auto" w:fill="FFFFFF"/>
              </w:rPr>
            </w:pPr>
            <w:r w:rsidRPr="000F6CD1">
              <w:rPr>
                <w:rStyle w:val="normaltextrun"/>
                <w:color w:val="000000"/>
                <w:shd w:val="clear" w:color="auto" w:fill="FFFFFF"/>
              </w:rPr>
              <w:t xml:space="preserve">Staff understand the boundaries of their role as a clinical assessor or clinical delegate, and the functions that are not suitable to perform when undertaking those roles. E.g. Clinical assessors who are registered nurses should not dress wounds when undertaking an assessment. </w:t>
            </w:r>
            <w:r w:rsidR="00772FB4">
              <w:rPr>
                <w:rStyle w:val="normaltextrun"/>
                <w:color w:val="000000"/>
                <w:shd w:val="clear" w:color="auto" w:fill="FFFFFF"/>
              </w:rPr>
              <w:br/>
            </w:r>
          </w:p>
        </w:tc>
        <w:tc>
          <w:tcPr>
            <w:tcW w:w="7938" w:type="dxa"/>
            <w:vAlign w:val="center"/>
          </w:tcPr>
          <w:p w14:paraId="51378D2A" w14:textId="77777777" w:rsidR="00B4017B" w:rsidRPr="000F6CD1" w:rsidRDefault="00B4017B">
            <w:pPr>
              <w:rPr>
                <w:color w:val="000000"/>
                <w:shd w:val="clear" w:color="auto" w:fill="FFFFFF"/>
              </w:rPr>
            </w:pPr>
            <w:r w:rsidRPr="000F6CD1">
              <w:rPr>
                <w:color w:val="000000"/>
                <w:shd w:val="clear" w:color="auto" w:fill="FFFFFF"/>
              </w:rPr>
              <w:t>Each staff member is assigned the correct clinical role/s in the My Aged Care Assessor Portal and job position on MAClearning.</w:t>
            </w:r>
          </w:p>
          <w:p w14:paraId="5B2F6105" w14:textId="77777777" w:rsidR="00B4017B" w:rsidRPr="000F6CD1" w:rsidRDefault="00B4017B">
            <w:pPr>
              <w:rPr>
                <w:color w:val="000000"/>
                <w:shd w:val="clear" w:color="auto" w:fill="FFFFFF"/>
              </w:rPr>
            </w:pPr>
          </w:p>
          <w:p w14:paraId="43A9D1B6" w14:textId="77777777" w:rsidR="00B4017B" w:rsidRPr="000F6CD1" w:rsidRDefault="00B4017B">
            <w:pPr>
              <w:rPr>
                <w:color w:val="000000"/>
                <w:shd w:val="clear" w:color="auto" w:fill="FFFFFF"/>
              </w:rPr>
            </w:pPr>
            <w:r w:rsidRPr="000F6CD1">
              <w:rPr>
                <w:color w:val="000000"/>
                <w:shd w:val="clear" w:color="auto" w:fill="FFFFFF"/>
              </w:rPr>
              <w:t>The organisation’s Work, Health and Safety framework outlines procedures that uphold staff safety.</w:t>
            </w:r>
          </w:p>
          <w:p w14:paraId="64DF053D" w14:textId="77777777" w:rsidR="00B4017B" w:rsidRPr="000F6CD1" w:rsidRDefault="00B4017B">
            <w:pPr>
              <w:rPr>
                <w:color w:val="000000"/>
                <w:shd w:val="clear" w:color="auto" w:fill="FFFFFF"/>
              </w:rPr>
            </w:pPr>
          </w:p>
          <w:p w14:paraId="5AD8D1FF" w14:textId="77777777" w:rsidR="00B4017B" w:rsidRPr="000F6CD1" w:rsidRDefault="00B4017B">
            <w:pPr>
              <w:rPr>
                <w:rStyle w:val="normaltextrun"/>
                <w:shd w:val="clear" w:color="auto" w:fill="FFFFFF"/>
              </w:rPr>
            </w:pPr>
            <w:r w:rsidRPr="000F6CD1">
              <w:rPr>
                <w:shd w:val="clear" w:color="auto" w:fill="FFFFFF"/>
              </w:rPr>
              <w:t>Completion of workplace training on the organisation’s clinical attendance policy and clinical governance framework.</w:t>
            </w:r>
          </w:p>
        </w:tc>
      </w:tr>
      <w:tr w:rsidR="00B4017B" w:rsidRPr="000F6CD1" w14:paraId="32120C43" w14:textId="77777777" w:rsidTr="009C1004">
        <w:tc>
          <w:tcPr>
            <w:tcW w:w="4531" w:type="dxa"/>
            <w:tcBorders>
              <w:bottom w:val="single" w:sz="4" w:space="0" w:color="002060"/>
            </w:tcBorders>
          </w:tcPr>
          <w:p w14:paraId="66E29F80" w14:textId="6A222161" w:rsidR="00B4017B" w:rsidRPr="000F6CD1" w:rsidRDefault="00B4017B">
            <w:pPr>
              <w:rPr>
                <w:rStyle w:val="normaltextrun"/>
                <w:color w:val="000000"/>
                <w:shd w:val="clear" w:color="auto" w:fill="FFFFFF"/>
              </w:rPr>
            </w:pPr>
            <w:r w:rsidRPr="000F6CD1">
              <w:rPr>
                <w:rStyle w:val="normaltextrun"/>
                <w:color w:val="000000"/>
                <w:shd w:val="clear" w:color="auto" w:fill="FFFFFF"/>
              </w:rPr>
              <w:t xml:space="preserve">Staff understand the boundaries of their role as a non-clinical assessor and non-clinical </w:t>
            </w:r>
            <w:r w:rsidRPr="000F6CD1">
              <w:rPr>
                <w:rStyle w:val="normaltextrun"/>
                <w:color w:val="000000"/>
                <w:shd w:val="clear" w:color="auto" w:fill="FFFFFF"/>
              </w:rPr>
              <w:lastRenderedPageBreak/>
              <w:t xml:space="preserve">assessment delegate and understand when and how they will need to operate under their organisation’s clinical governance throughout the assessment process. </w:t>
            </w:r>
          </w:p>
        </w:tc>
        <w:tc>
          <w:tcPr>
            <w:tcW w:w="7938" w:type="dxa"/>
            <w:tcBorders>
              <w:bottom w:val="single" w:sz="4" w:space="0" w:color="002060"/>
            </w:tcBorders>
          </w:tcPr>
          <w:p w14:paraId="1F0DCEB7" w14:textId="77777777" w:rsidR="00B4017B" w:rsidRPr="000F6CD1" w:rsidRDefault="00B4017B">
            <w:pPr>
              <w:rPr>
                <w:shd w:val="clear" w:color="auto" w:fill="FFFFFF"/>
              </w:rPr>
            </w:pPr>
            <w:r w:rsidRPr="000F6CD1">
              <w:rPr>
                <w:shd w:val="clear" w:color="auto" w:fill="FFFFFF"/>
              </w:rPr>
              <w:lastRenderedPageBreak/>
              <w:t>Completion of workplace training on the organisation’s clinical attendance policy and clinical governance framework.</w:t>
            </w:r>
          </w:p>
          <w:p w14:paraId="6FBFF474" w14:textId="77777777" w:rsidR="00B4017B" w:rsidRPr="000F6CD1" w:rsidRDefault="00B4017B">
            <w:pPr>
              <w:rPr>
                <w:color w:val="000000"/>
                <w:shd w:val="clear" w:color="auto" w:fill="FFFFFF"/>
              </w:rPr>
            </w:pPr>
          </w:p>
        </w:tc>
      </w:tr>
    </w:tbl>
    <w:p w14:paraId="796D4592" w14:textId="645EA0F3" w:rsidR="00B4017B" w:rsidRPr="000F6CD1" w:rsidRDefault="00B4017B" w:rsidP="00370263">
      <w:pPr>
        <w:rPr>
          <w:rStyle w:val="normaltextrun"/>
          <w:i/>
          <w:iCs/>
          <w:color w:val="000000"/>
        </w:rPr>
      </w:pPr>
    </w:p>
    <w:p w14:paraId="7012ED12" w14:textId="1D51798C" w:rsidR="00B4017B" w:rsidRPr="000F6CD1" w:rsidRDefault="00867AEF" w:rsidP="00370263">
      <w:pPr>
        <w:rPr>
          <w:b/>
          <w:bCs/>
        </w:rPr>
      </w:pPr>
      <w:r>
        <w:rPr>
          <w:noProof/>
          <w14:ligatures w14:val="standardContextual"/>
        </w:rPr>
        <w:drawing>
          <wp:anchor distT="0" distB="0" distL="114300" distR="114300" simplePos="0" relativeHeight="251658349" behindDoc="0" locked="0" layoutInCell="1" allowOverlap="1" wp14:anchorId="382DE293" wp14:editId="0BC6D910">
            <wp:simplePos x="0" y="0"/>
            <wp:positionH relativeFrom="margin">
              <wp:align>left</wp:align>
            </wp:positionH>
            <wp:positionV relativeFrom="margin">
              <wp:posOffset>1571625</wp:posOffset>
            </wp:positionV>
            <wp:extent cx="365792" cy="403895"/>
            <wp:effectExtent l="0" t="0" r="0" b="0"/>
            <wp:wrapSquare wrapText="bothSides"/>
            <wp:docPr id="1286143493"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3493"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0F6CD1">
        <w:rPr>
          <w:b/>
          <w:bCs/>
        </w:rPr>
        <w:t>Element 2: Recruit, train and accredit staff to build a highly skilled and qualified assessor workforce</w:t>
      </w:r>
    </w:p>
    <w:p w14:paraId="211DAF45" w14:textId="77777777" w:rsidR="00B4017B" w:rsidRPr="000F6CD1" w:rsidRDefault="00B4017B" w:rsidP="00370263">
      <w:pPr>
        <w:pStyle w:val="Caption"/>
      </w:pPr>
      <w:r w:rsidRPr="000F6CD1">
        <w:t xml:space="preserve">Table 62. Role and training requirements </w:t>
      </w:r>
    </w:p>
    <w:tbl>
      <w:tblPr>
        <w:tblStyle w:val="TableGrid"/>
        <w:tblW w:w="0" w:type="auto"/>
        <w:tblLook w:val="04A0" w:firstRow="1" w:lastRow="0" w:firstColumn="1" w:lastColumn="0" w:noHBand="0" w:noVBand="1"/>
        <w:tblCaption w:val="Role and training requirements - clinical governance"/>
        <w:tblDescription w:val="This table provides information about element two of the clinical governance framework, which is recruit, train and accredit staff to build a highly skilled and qualified assessor workforce. "/>
      </w:tblPr>
      <w:tblGrid>
        <w:gridCol w:w="3542"/>
        <w:gridCol w:w="5484"/>
      </w:tblGrid>
      <w:tr w:rsidR="00B4017B" w:rsidRPr="000F6CD1" w14:paraId="21880327" w14:textId="77777777" w:rsidTr="00667C2A">
        <w:trPr>
          <w:tblHeader/>
        </w:trPr>
        <w:tc>
          <w:tcPr>
            <w:tcW w:w="4531" w:type="dxa"/>
            <w:shd w:val="clear" w:color="auto" w:fill="002060"/>
          </w:tcPr>
          <w:p w14:paraId="0AD9BAEB" w14:textId="77777777" w:rsidR="00B4017B" w:rsidRPr="000F6CD1" w:rsidRDefault="00B4017B" w:rsidP="003D374A">
            <w:pPr>
              <w:pStyle w:val="Sub-headingnon-contentpage"/>
            </w:pPr>
            <w:r w:rsidRPr="000F6CD1">
              <w:t>Clinical support requirement</w:t>
            </w:r>
          </w:p>
        </w:tc>
        <w:tc>
          <w:tcPr>
            <w:tcW w:w="7938" w:type="dxa"/>
            <w:shd w:val="clear" w:color="auto" w:fill="002060"/>
          </w:tcPr>
          <w:p w14:paraId="5DE47C78" w14:textId="77777777" w:rsidR="00B4017B" w:rsidRPr="000F6CD1" w:rsidRDefault="00B4017B" w:rsidP="003D374A">
            <w:pPr>
              <w:pStyle w:val="Sub-headingnon-contentpage"/>
            </w:pPr>
            <w:r w:rsidRPr="000F6CD1">
              <w:t>Implementation</w:t>
            </w:r>
          </w:p>
        </w:tc>
      </w:tr>
      <w:tr w:rsidR="00B4017B" w:rsidRPr="000F6CD1" w14:paraId="4C2F32B4" w14:textId="77777777">
        <w:tc>
          <w:tcPr>
            <w:tcW w:w="4531" w:type="dxa"/>
          </w:tcPr>
          <w:p w14:paraId="79EDB6CC" w14:textId="77777777" w:rsidR="00B4017B" w:rsidRPr="000F6CD1" w:rsidRDefault="00B4017B">
            <w:pPr>
              <w:rPr>
                <w:color w:val="000000"/>
                <w:shd w:val="clear" w:color="auto" w:fill="FFFFFF"/>
              </w:rPr>
            </w:pPr>
            <w:r w:rsidRPr="000F6CD1">
              <w:rPr>
                <w:color w:val="000000"/>
                <w:shd w:val="clear" w:color="auto" w:fill="FFFFFF"/>
              </w:rPr>
              <w:t>Every assessor has capability to perform a needs assessment, prior to undertaking an assessment with an older person.</w:t>
            </w:r>
          </w:p>
          <w:p w14:paraId="2F8AA2D3" w14:textId="77777777" w:rsidR="00B4017B" w:rsidRPr="000F6CD1" w:rsidRDefault="00B4017B">
            <w:pPr>
              <w:rPr>
                <w:rStyle w:val="normaltextrun"/>
                <w:color w:val="000000"/>
                <w:shd w:val="clear" w:color="auto" w:fill="FFFFFF"/>
              </w:rPr>
            </w:pPr>
          </w:p>
        </w:tc>
        <w:tc>
          <w:tcPr>
            <w:tcW w:w="7938" w:type="dxa"/>
          </w:tcPr>
          <w:p w14:paraId="74955616" w14:textId="5C2562B9" w:rsidR="00B4017B" w:rsidRPr="000F6CD1" w:rsidRDefault="00B4017B">
            <w:pPr>
              <w:rPr>
                <w:shd w:val="clear" w:color="auto" w:fill="FFFFFF"/>
              </w:rPr>
            </w:pPr>
            <w:r w:rsidRPr="000F6CD1">
              <w:rPr>
                <w:color w:val="000000"/>
                <w:shd w:val="clear" w:color="auto" w:fill="FFFFFF"/>
              </w:rPr>
              <w:t>Comp</w:t>
            </w:r>
            <w:r w:rsidRPr="000F6CD1">
              <w:rPr>
                <w:shd w:val="clear" w:color="auto" w:fill="FFFFFF"/>
              </w:rPr>
              <w:t xml:space="preserve">letion of induction training outlined in the My Aged Care Workforce Learning Strategy </w:t>
            </w:r>
            <w:r w:rsidRPr="00250845">
              <w:rPr>
                <w:rStyle w:val="Hyperlink"/>
                <w:color w:val="auto"/>
                <w:u w:val="none"/>
              </w:rPr>
              <w:t>v1.5</w:t>
            </w:r>
            <w:r w:rsidR="00250845" w:rsidRPr="00250845">
              <w:rPr>
                <w:rStyle w:val="Hyperlink"/>
                <w:color w:val="auto"/>
              </w:rPr>
              <w:t xml:space="preserve"> </w:t>
            </w:r>
            <w:r w:rsidRPr="000F6CD1">
              <w:rPr>
                <w:rStyle w:val="Hyperlink"/>
                <w:color w:val="auto"/>
                <w:u w:val="none"/>
              </w:rPr>
              <w:t xml:space="preserve">(and subsequent versions) </w:t>
            </w:r>
            <w:r w:rsidRPr="000F6CD1">
              <w:rPr>
                <w:shd w:val="clear" w:color="auto" w:fill="FFFFFF"/>
              </w:rPr>
              <w:t>including mandatory online learning on the MAClearning system and completion of appraisal activities to validate assessor capabilities.</w:t>
            </w:r>
          </w:p>
          <w:p w14:paraId="2014773D" w14:textId="77777777" w:rsidR="00B4017B" w:rsidRPr="000F6CD1" w:rsidRDefault="00B4017B">
            <w:pPr>
              <w:rPr>
                <w:rStyle w:val="normaltextrun"/>
                <w:color w:val="000000"/>
                <w:shd w:val="clear" w:color="auto" w:fill="FFFFFF"/>
              </w:rPr>
            </w:pPr>
          </w:p>
        </w:tc>
      </w:tr>
      <w:tr w:rsidR="00B4017B" w:rsidRPr="000F6CD1" w14:paraId="460A2CB4" w14:textId="77777777">
        <w:tc>
          <w:tcPr>
            <w:tcW w:w="4531" w:type="dxa"/>
          </w:tcPr>
          <w:p w14:paraId="49B91189" w14:textId="77777777" w:rsidR="00B4017B" w:rsidRPr="000F6CD1" w:rsidRDefault="00B4017B">
            <w:pPr>
              <w:rPr>
                <w:color w:val="000000"/>
                <w:shd w:val="clear" w:color="auto" w:fill="FFFFFF"/>
              </w:rPr>
            </w:pPr>
            <w:r w:rsidRPr="000F6CD1">
              <w:rPr>
                <w:color w:val="000000"/>
                <w:shd w:val="clear" w:color="auto" w:fill="FFFFFF"/>
              </w:rPr>
              <w:t>Prior to a clinical</w:t>
            </w:r>
            <w:r w:rsidRPr="000F6CD1">
              <w:t xml:space="preserve"> </w:t>
            </w:r>
            <w:r w:rsidRPr="000F6CD1">
              <w:rPr>
                <w:color w:val="000000"/>
                <w:shd w:val="clear" w:color="auto" w:fill="FFFFFF"/>
              </w:rPr>
              <w:t>assessment delegate approving their first service recommendation, the delegate is competent to approve service recommendations.</w:t>
            </w:r>
          </w:p>
          <w:p w14:paraId="5BE28F0F" w14:textId="77777777" w:rsidR="00B4017B" w:rsidRPr="000F6CD1" w:rsidRDefault="00B4017B">
            <w:pPr>
              <w:rPr>
                <w:rStyle w:val="normaltextrun"/>
                <w:color w:val="000000"/>
                <w:shd w:val="clear" w:color="auto" w:fill="FFFFFF"/>
              </w:rPr>
            </w:pPr>
          </w:p>
        </w:tc>
        <w:tc>
          <w:tcPr>
            <w:tcW w:w="7938" w:type="dxa"/>
          </w:tcPr>
          <w:p w14:paraId="1D970792" w14:textId="4782200E" w:rsidR="00B4017B" w:rsidRPr="000F6CD1" w:rsidRDefault="00B4017B">
            <w:pPr>
              <w:rPr>
                <w:rStyle w:val="normaltextrun"/>
                <w:color w:val="000000"/>
                <w:shd w:val="clear" w:color="auto" w:fill="FFFFFF"/>
              </w:rPr>
            </w:pPr>
            <w:r w:rsidRPr="000F6CD1">
              <w:rPr>
                <w:shd w:val="clear" w:color="auto" w:fill="FFFFFF"/>
              </w:rPr>
              <w:t>Completion of induction and delegate training outlined in the My Aged Care Workforce Learning Strategy v</w:t>
            </w:r>
            <w:r w:rsidRPr="000F6CD1">
              <w:t>1.5</w:t>
            </w:r>
            <w:r w:rsidRPr="000F6CD1">
              <w:rPr>
                <w:rStyle w:val="Hyperlink"/>
                <w:color w:val="auto"/>
                <w:u w:val="none"/>
              </w:rPr>
              <w:t xml:space="preserve"> (and subsequent versions) </w:t>
            </w:r>
            <w:r w:rsidRPr="000F6CD1">
              <w:rPr>
                <w:shd w:val="clear" w:color="auto" w:fill="FFFFFF"/>
              </w:rPr>
              <w:t xml:space="preserve">and mandatory online learning on the MAClearning system. </w:t>
            </w:r>
          </w:p>
        </w:tc>
      </w:tr>
      <w:tr w:rsidR="00B4017B" w:rsidRPr="000F6CD1" w14:paraId="0B421CDE" w14:textId="77777777">
        <w:tc>
          <w:tcPr>
            <w:tcW w:w="4531" w:type="dxa"/>
          </w:tcPr>
          <w:p w14:paraId="0F61C5DE" w14:textId="7A96D10E" w:rsidR="00B4017B" w:rsidRPr="000F6CD1" w:rsidRDefault="00B4017B">
            <w:pPr>
              <w:rPr>
                <w:rStyle w:val="normaltextrun"/>
                <w:color w:val="000000"/>
                <w:shd w:val="clear" w:color="auto" w:fill="FFFFFF"/>
              </w:rPr>
            </w:pPr>
            <w:r w:rsidRPr="000F6CD1">
              <w:rPr>
                <w:color w:val="000000"/>
                <w:shd w:val="clear" w:color="auto" w:fill="FFFFFF"/>
              </w:rPr>
              <w:t>Prior to a triage delegate triaging their first assessment referral, the delegate is competent to undertake triage.</w:t>
            </w:r>
            <w:r w:rsidR="00DA1D69">
              <w:rPr>
                <w:color w:val="000000"/>
                <w:shd w:val="clear" w:color="auto" w:fill="FFFFFF"/>
              </w:rPr>
              <w:br/>
            </w:r>
          </w:p>
        </w:tc>
        <w:tc>
          <w:tcPr>
            <w:tcW w:w="7938" w:type="dxa"/>
          </w:tcPr>
          <w:p w14:paraId="34F08C46" w14:textId="59D5CA47" w:rsidR="00B4017B" w:rsidRPr="000F6CD1" w:rsidRDefault="00B4017B">
            <w:pPr>
              <w:rPr>
                <w:rStyle w:val="normaltextrun"/>
                <w:color w:val="000000"/>
                <w:shd w:val="clear" w:color="auto" w:fill="FFFFFF"/>
              </w:rPr>
            </w:pPr>
            <w:r w:rsidRPr="000F6CD1">
              <w:rPr>
                <w:shd w:val="clear" w:color="auto" w:fill="FFFFFF"/>
              </w:rPr>
              <w:t>Completion of induction and delegate training outlined in the My Aged Care Workforce Learning Strategy v</w:t>
            </w:r>
            <w:r w:rsidRPr="000F6CD1">
              <w:t>1.5</w:t>
            </w:r>
            <w:r w:rsidRPr="000F6CD1">
              <w:rPr>
                <w:rStyle w:val="Hyperlink"/>
                <w:color w:val="auto"/>
                <w:u w:val="none"/>
              </w:rPr>
              <w:t xml:space="preserve"> (and subsequent versions) </w:t>
            </w:r>
            <w:r w:rsidRPr="000F6CD1">
              <w:rPr>
                <w:shd w:val="clear" w:color="auto" w:fill="FFFFFF"/>
              </w:rPr>
              <w:t xml:space="preserve">and mandatory online learning on the </w:t>
            </w:r>
            <w:r w:rsidRPr="000F6CD1">
              <w:rPr>
                <w:color w:val="000000"/>
                <w:shd w:val="clear" w:color="auto" w:fill="FFFFFF"/>
              </w:rPr>
              <w:t xml:space="preserve">MAClearning system </w:t>
            </w:r>
          </w:p>
        </w:tc>
      </w:tr>
      <w:tr w:rsidR="00B4017B" w:rsidRPr="000F6CD1" w14:paraId="394578B4" w14:textId="77777777">
        <w:tc>
          <w:tcPr>
            <w:tcW w:w="4531" w:type="dxa"/>
          </w:tcPr>
          <w:p w14:paraId="025A3669" w14:textId="326634A2" w:rsidR="00B4017B" w:rsidRPr="000F6CD1" w:rsidRDefault="00B4017B">
            <w:pPr>
              <w:rPr>
                <w:shd w:val="clear" w:color="auto" w:fill="FFFFFF"/>
              </w:rPr>
            </w:pPr>
            <w:r w:rsidRPr="000F6CD1">
              <w:rPr>
                <w:shd w:val="clear" w:color="auto" w:fill="FFFFFF"/>
              </w:rPr>
              <w:t>All non-clinical assessors are competent in seeking clinical attendance in the event they trigger clinical questions in the IAT</w:t>
            </w:r>
            <w:r w:rsidR="00811486">
              <w:rPr>
                <w:shd w:val="clear" w:color="auto" w:fill="FFFFFF"/>
              </w:rPr>
              <w:t>.</w:t>
            </w:r>
            <w:r w:rsidR="00811486">
              <w:br/>
            </w:r>
          </w:p>
        </w:tc>
        <w:tc>
          <w:tcPr>
            <w:tcW w:w="7938" w:type="dxa"/>
          </w:tcPr>
          <w:p w14:paraId="59E611BD" w14:textId="77777777" w:rsidR="00B4017B" w:rsidRPr="000F6CD1" w:rsidRDefault="00B4017B">
            <w:pPr>
              <w:rPr>
                <w:shd w:val="clear" w:color="auto" w:fill="FFFFFF"/>
              </w:rPr>
            </w:pPr>
            <w:r w:rsidRPr="000F6CD1">
              <w:rPr>
                <w:shd w:val="clear" w:color="auto" w:fill="FFFFFF"/>
              </w:rPr>
              <w:t>Completion of workplace training on the organisation’s clinical attendance policy and clinical governance framework.</w:t>
            </w:r>
          </w:p>
          <w:p w14:paraId="6A437752" w14:textId="46750E9B" w:rsidR="00B4017B" w:rsidRPr="000F6CD1" w:rsidRDefault="00B4017B">
            <w:pPr>
              <w:rPr>
                <w:rStyle w:val="normaltextrun"/>
                <w:shd w:val="clear" w:color="auto" w:fill="FFFFFF"/>
              </w:rPr>
            </w:pPr>
          </w:p>
        </w:tc>
      </w:tr>
      <w:tr w:rsidR="00B4017B" w:rsidRPr="000F6CD1" w14:paraId="2CE5E34F" w14:textId="77777777" w:rsidTr="009C1004">
        <w:tc>
          <w:tcPr>
            <w:tcW w:w="4531" w:type="dxa"/>
            <w:tcBorders>
              <w:bottom w:val="single" w:sz="4" w:space="0" w:color="002060"/>
            </w:tcBorders>
          </w:tcPr>
          <w:p w14:paraId="39346B28" w14:textId="77777777" w:rsidR="00B4017B" w:rsidRPr="000F6CD1" w:rsidRDefault="00B4017B">
            <w:pPr>
              <w:rPr>
                <w:shd w:val="clear" w:color="auto" w:fill="FFFFFF"/>
              </w:rPr>
            </w:pPr>
            <w:r w:rsidRPr="000F6CD1">
              <w:rPr>
                <w:color w:val="000000"/>
                <w:shd w:val="clear" w:color="auto" w:fill="FFFFFF"/>
              </w:rPr>
              <w:t>Relevant staff are qualified to undertake a clinical role.</w:t>
            </w:r>
          </w:p>
        </w:tc>
        <w:tc>
          <w:tcPr>
            <w:tcW w:w="7938" w:type="dxa"/>
            <w:tcBorders>
              <w:bottom w:val="single" w:sz="4" w:space="0" w:color="002060"/>
            </w:tcBorders>
          </w:tcPr>
          <w:p w14:paraId="2AFFA83D" w14:textId="29DA6905" w:rsidR="00B4017B" w:rsidRPr="000F6CD1" w:rsidRDefault="00B4017B">
            <w:pPr>
              <w:rPr>
                <w:shd w:val="clear" w:color="auto" w:fill="FFFFFF"/>
              </w:rPr>
            </w:pPr>
            <w:r w:rsidRPr="000F6CD1">
              <w:rPr>
                <w:color w:val="000000"/>
                <w:shd w:val="clear" w:color="auto" w:fill="FFFFFF"/>
              </w:rPr>
              <w:t>Staff who are recruited to clinical roles within the assessment organisation meet the qualification requirements outlined in the assessment organisation’s contractual agreement and training requirements detailed in the My Aged Care Workforce Learning Strategy v</w:t>
            </w:r>
            <w:r w:rsidRPr="000F6CD1">
              <w:rPr>
                <w:color w:val="000000"/>
              </w:rPr>
              <w:t>1.5</w:t>
            </w:r>
            <w:r w:rsidRPr="000F6CD1">
              <w:rPr>
                <w:color w:val="000000"/>
                <w:shd w:val="clear" w:color="auto" w:fill="FFFFFF"/>
              </w:rPr>
              <w:t xml:space="preserve"> (or subsequent versions).</w:t>
            </w:r>
          </w:p>
        </w:tc>
      </w:tr>
    </w:tbl>
    <w:p w14:paraId="0A4E1B8E" w14:textId="77777777" w:rsidR="00B4017B" w:rsidRPr="000F6CD1" w:rsidRDefault="00B4017B" w:rsidP="00370263">
      <w:pPr>
        <w:rPr>
          <w:rStyle w:val="normaltextrun"/>
          <w:i/>
          <w:iCs/>
          <w:color w:val="000000"/>
        </w:rPr>
      </w:pPr>
    </w:p>
    <w:p w14:paraId="7183BF7E" w14:textId="77777777" w:rsidR="00B4017B" w:rsidRPr="000F6CD1" w:rsidRDefault="00B4017B" w:rsidP="00370263">
      <w:pPr>
        <w:rPr>
          <w:rFonts w:eastAsiaTheme="minorEastAsia"/>
          <w:b/>
          <w:bCs/>
        </w:rPr>
      </w:pPr>
      <w:r w:rsidRPr="000F6CD1">
        <w:rPr>
          <w:b/>
          <w:bCs/>
        </w:rPr>
        <w:t>Element 3: Provide clinical support to</w:t>
      </w:r>
      <w:r w:rsidRPr="000F6CD1">
        <w:rPr>
          <w:rFonts w:eastAsiaTheme="minorEastAsia"/>
          <w:b/>
          <w:bCs/>
        </w:rPr>
        <w:t xml:space="preserve"> assessors </w:t>
      </w:r>
    </w:p>
    <w:p w14:paraId="66564BB8" w14:textId="77777777" w:rsidR="00B4017B" w:rsidRPr="000F6CD1" w:rsidRDefault="00B4017B" w:rsidP="00370263">
      <w:pPr>
        <w:pStyle w:val="Caption"/>
      </w:pPr>
      <w:r w:rsidRPr="000F6CD1">
        <w:t xml:space="preserve">Table 63. Clinical support to assessors </w:t>
      </w:r>
    </w:p>
    <w:tbl>
      <w:tblPr>
        <w:tblStyle w:val="TableGrid"/>
        <w:tblW w:w="0" w:type="auto"/>
        <w:tblLook w:val="04A0" w:firstRow="1" w:lastRow="0" w:firstColumn="1" w:lastColumn="0" w:noHBand="0" w:noVBand="1"/>
        <w:tblCaption w:val="Clinical support to assessors - clinical governance"/>
        <w:tblDescription w:val="This table provides information about element three of the clinical governance framework, which is providing clinical support to assessors. "/>
      </w:tblPr>
      <w:tblGrid>
        <w:gridCol w:w="3375"/>
        <w:gridCol w:w="5651"/>
      </w:tblGrid>
      <w:tr w:rsidR="00B4017B" w:rsidRPr="000F6CD1" w14:paraId="64E8809F" w14:textId="77777777" w:rsidTr="00667C2A">
        <w:tc>
          <w:tcPr>
            <w:tcW w:w="4531" w:type="dxa"/>
            <w:shd w:val="clear" w:color="auto" w:fill="002060"/>
          </w:tcPr>
          <w:p w14:paraId="17A3B0EE" w14:textId="77777777" w:rsidR="00B4017B" w:rsidRPr="000F6CD1" w:rsidRDefault="00B4017B" w:rsidP="003D374A">
            <w:pPr>
              <w:pStyle w:val="Sub-headingnon-contentpage"/>
            </w:pPr>
            <w:r w:rsidRPr="000F6CD1">
              <w:t>Clinical support requirement</w:t>
            </w:r>
          </w:p>
        </w:tc>
        <w:tc>
          <w:tcPr>
            <w:tcW w:w="7938" w:type="dxa"/>
            <w:shd w:val="clear" w:color="auto" w:fill="002060"/>
          </w:tcPr>
          <w:p w14:paraId="7DC76131" w14:textId="77777777" w:rsidR="00B4017B" w:rsidRPr="000F6CD1" w:rsidRDefault="00B4017B" w:rsidP="003D374A">
            <w:pPr>
              <w:pStyle w:val="Sub-headingnon-contentpage"/>
            </w:pPr>
            <w:r w:rsidRPr="000F6CD1">
              <w:t>Implementation</w:t>
            </w:r>
          </w:p>
        </w:tc>
      </w:tr>
      <w:tr w:rsidR="00B4017B" w:rsidRPr="000F6CD1" w14:paraId="4C251F5C" w14:textId="77777777" w:rsidTr="009C1004">
        <w:tc>
          <w:tcPr>
            <w:tcW w:w="4531" w:type="dxa"/>
            <w:tcBorders>
              <w:bottom w:val="single" w:sz="4" w:space="0" w:color="002060"/>
            </w:tcBorders>
          </w:tcPr>
          <w:p w14:paraId="469B3C49" w14:textId="77777777" w:rsidR="00B4017B" w:rsidRPr="000F6CD1" w:rsidRDefault="00B4017B">
            <w:pPr>
              <w:rPr>
                <w:shd w:val="clear" w:color="auto" w:fill="FFFFFF"/>
              </w:rPr>
            </w:pPr>
            <w:r w:rsidRPr="000F6CD1">
              <w:rPr>
                <w:shd w:val="clear" w:color="auto" w:fill="FFFFFF"/>
              </w:rPr>
              <w:t>Provide ongoing support for assessors in the field</w:t>
            </w:r>
          </w:p>
        </w:tc>
        <w:tc>
          <w:tcPr>
            <w:tcW w:w="7938" w:type="dxa"/>
            <w:tcBorders>
              <w:bottom w:val="single" w:sz="4" w:space="0" w:color="002060"/>
            </w:tcBorders>
          </w:tcPr>
          <w:p w14:paraId="4C64A545" w14:textId="77777777" w:rsidR="00B4017B" w:rsidRPr="000F6CD1" w:rsidRDefault="00B4017B">
            <w:pPr>
              <w:rPr>
                <w:shd w:val="clear" w:color="auto" w:fill="FFFFFF"/>
              </w:rPr>
            </w:pPr>
            <w:r w:rsidRPr="000F6CD1">
              <w:rPr>
                <w:shd w:val="clear" w:color="auto" w:fill="FFFFFF"/>
              </w:rPr>
              <w:t xml:space="preserve">Provide ongoing clinical governance support for assessors in the field including providing peer support </w:t>
            </w:r>
            <w:r w:rsidRPr="000F6CD1">
              <w:rPr>
                <w:shd w:val="clear" w:color="auto" w:fill="FFFFFF"/>
              </w:rPr>
              <w:lastRenderedPageBreak/>
              <w:t>and advice on emerging and specific issues as well as providing supervision to non-clinical staff during the clinical attendance process and in finalising support plans. Ongoing support is provided through various communication channels via the assessment organisation’s standard operating procedures.</w:t>
            </w:r>
          </w:p>
        </w:tc>
      </w:tr>
    </w:tbl>
    <w:p w14:paraId="4730D75A" w14:textId="77777777" w:rsidR="00B4017B" w:rsidRPr="000F6CD1" w:rsidRDefault="00B4017B" w:rsidP="00370263">
      <w:pPr>
        <w:rPr>
          <w:shd w:val="clear" w:color="auto" w:fill="FFFFFF"/>
        </w:rPr>
      </w:pPr>
    </w:p>
    <w:p w14:paraId="37C263C0" w14:textId="77777777" w:rsidR="00B4017B" w:rsidRPr="000F6CD1" w:rsidRDefault="00B4017B" w:rsidP="00370263">
      <w:pPr>
        <w:rPr>
          <w:b/>
        </w:rPr>
      </w:pPr>
      <w:r w:rsidRPr="000F6CD1">
        <w:rPr>
          <w:b/>
        </w:rPr>
        <w:t>Element 4: Monitor assessment quality and drive continuous improvement</w:t>
      </w:r>
    </w:p>
    <w:p w14:paraId="37797E3D" w14:textId="77777777" w:rsidR="00B4017B" w:rsidRPr="000F6CD1" w:rsidRDefault="00B4017B" w:rsidP="00370263">
      <w:pPr>
        <w:pStyle w:val="Caption"/>
      </w:pPr>
      <w:r w:rsidRPr="000F6CD1">
        <w:t xml:space="preserve">Table 64. Monitoring of assessment quality and continuous improvement </w:t>
      </w:r>
    </w:p>
    <w:tbl>
      <w:tblPr>
        <w:tblStyle w:val="TableGrid"/>
        <w:tblW w:w="0" w:type="auto"/>
        <w:tblLook w:val="04A0" w:firstRow="1" w:lastRow="0" w:firstColumn="1" w:lastColumn="0" w:noHBand="0" w:noVBand="1"/>
        <w:tblCaption w:val="Monitoring of assessment quality and continuous improvement - clinical governance"/>
        <w:tblDescription w:val="This table provides information about element four of the clinical governance framework, which is monitoring of assessment quality and continuous improvement. "/>
      </w:tblPr>
      <w:tblGrid>
        <w:gridCol w:w="3309"/>
        <w:gridCol w:w="5717"/>
      </w:tblGrid>
      <w:tr w:rsidR="00B4017B" w:rsidRPr="000F6CD1" w14:paraId="6BC652A6" w14:textId="77777777" w:rsidTr="00667C2A">
        <w:tc>
          <w:tcPr>
            <w:tcW w:w="4531" w:type="dxa"/>
            <w:shd w:val="clear" w:color="auto" w:fill="002060"/>
          </w:tcPr>
          <w:p w14:paraId="4AECBA8F" w14:textId="77777777" w:rsidR="00B4017B" w:rsidRPr="000F6CD1" w:rsidRDefault="00B4017B" w:rsidP="003D374A">
            <w:pPr>
              <w:pStyle w:val="Sub-headingnon-contentpage"/>
            </w:pPr>
            <w:r w:rsidRPr="000F6CD1">
              <w:t>Clinical support requirement</w:t>
            </w:r>
          </w:p>
        </w:tc>
        <w:tc>
          <w:tcPr>
            <w:tcW w:w="8419" w:type="dxa"/>
            <w:shd w:val="clear" w:color="auto" w:fill="002060"/>
          </w:tcPr>
          <w:p w14:paraId="76BDD5F7" w14:textId="77777777" w:rsidR="00B4017B" w:rsidRPr="000F6CD1" w:rsidRDefault="00B4017B" w:rsidP="003D374A">
            <w:pPr>
              <w:pStyle w:val="Sub-headingnon-contentpage"/>
            </w:pPr>
            <w:r w:rsidRPr="000F6CD1">
              <w:t>Implementation</w:t>
            </w:r>
          </w:p>
        </w:tc>
      </w:tr>
      <w:tr w:rsidR="00B4017B" w:rsidRPr="000F6CD1" w14:paraId="0D8E52E1" w14:textId="77777777">
        <w:tc>
          <w:tcPr>
            <w:tcW w:w="4531" w:type="dxa"/>
          </w:tcPr>
          <w:p w14:paraId="325D9621" w14:textId="77777777" w:rsidR="00B4017B" w:rsidRPr="000F6CD1" w:rsidRDefault="00B4017B">
            <w:pPr>
              <w:rPr>
                <w:shd w:val="clear" w:color="auto" w:fill="FFFFFF"/>
              </w:rPr>
            </w:pPr>
            <w:r w:rsidRPr="000F6CD1">
              <w:t>Clinical staff are supervised</w:t>
            </w:r>
            <w:r w:rsidRPr="000F6CD1">
              <w:rPr>
                <w:shd w:val="clear" w:color="auto" w:fill="FFFFFF"/>
              </w:rPr>
              <w:t xml:space="preserve"> and mentored by a clinically trained Team Leader  </w:t>
            </w:r>
          </w:p>
          <w:p w14:paraId="4B553226" w14:textId="77777777" w:rsidR="00B4017B" w:rsidRPr="000F6CD1" w:rsidRDefault="00B4017B">
            <w:pPr>
              <w:rPr>
                <w:shd w:val="clear" w:color="auto" w:fill="FFFFFF"/>
              </w:rPr>
            </w:pPr>
          </w:p>
        </w:tc>
        <w:tc>
          <w:tcPr>
            <w:tcW w:w="8419" w:type="dxa"/>
          </w:tcPr>
          <w:p w14:paraId="1E71C48F" w14:textId="77777777" w:rsidR="00B4017B" w:rsidRPr="000F6CD1" w:rsidRDefault="00B4017B">
            <w:pPr>
              <w:rPr>
                <w:shd w:val="clear" w:color="auto" w:fill="FFFFFF"/>
              </w:rPr>
            </w:pPr>
            <w:r w:rsidRPr="000F6CD1">
              <w:rPr>
                <w:shd w:val="clear" w:color="auto" w:fill="FFFFFF"/>
              </w:rPr>
              <w:t>Team leaders regularly engage with triage delegates, assessment delegates and assessors in peer review processes</w:t>
            </w:r>
          </w:p>
        </w:tc>
      </w:tr>
      <w:tr w:rsidR="00B4017B" w:rsidRPr="000F6CD1" w14:paraId="105E3419" w14:textId="77777777" w:rsidTr="009C1004">
        <w:tc>
          <w:tcPr>
            <w:tcW w:w="4531" w:type="dxa"/>
            <w:tcBorders>
              <w:bottom w:val="single" w:sz="4" w:space="0" w:color="002060"/>
            </w:tcBorders>
          </w:tcPr>
          <w:p w14:paraId="280E4CAB" w14:textId="77777777" w:rsidR="00B4017B" w:rsidRPr="000F6CD1" w:rsidRDefault="00B4017B">
            <w:r w:rsidRPr="000F6CD1">
              <w:t xml:space="preserve">Staff receive regular feedback about the quality of their assessments and the performance of their organisation </w:t>
            </w:r>
          </w:p>
        </w:tc>
        <w:tc>
          <w:tcPr>
            <w:tcW w:w="8419" w:type="dxa"/>
            <w:tcBorders>
              <w:bottom w:val="single" w:sz="4" w:space="0" w:color="002060"/>
            </w:tcBorders>
          </w:tcPr>
          <w:p w14:paraId="47A0082C" w14:textId="59C2A3F1" w:rsidR="00B4017B" w:rsidRPr="000F6CD1" w:rsidRDefault="00B4017B">
            <w:pPr>
              <w:rPr>
                <w:shd w:val="clear" w:color="auto" w:fill="FFFFFF"/>
              </w:rPr>
            </w:pPr>
            <w:r w:rsidRPr="000F6CD1">
              <w:t>Assessment organisations measure and report the extent to which it achieves the Aged Care Quality Standards, and quality goals included in the Aged Care Assessment Quality Framework.</w:t>
            </w:r>
            <w:r w:rsidRPr="000F6CD1">
              <w:rPr>
                <w:shd w:val="clear" w:color="auto" w:fill="FFFFFF"/>
              </w:rPr>
              <w:t xml:space="preserve"> </w:t>
            </w:r>
            <w:r w:rsidR="00652D7A">
              <w:rPr>
                <w:shd w:val="clear" w:color="auto" w:fill="FFFFFF"/>
              </w:rPr>
              <w:br/>
            </w:r>
          </w:p>
          <w:p w14:paraId="616667D5" w14:textId="77777777" w:rsidR="00B4017B" w:rsidRPr="000F6CD1" w:rsidRDefault="00B4017B">
            <w:r w:rsidRPr="000F6CD1">
              <w:rPr>
                <w:shd w:val="clear" w:color="auto" w:fill="FFFFFF"/>
              </w:rPr>
              <w:t xml:space="preserve">The Assessment organisation’s leadership team use quality assurance data </w:t>
            </w:r>
            <w:r w:rsidRPr="000F6CD1">
              <w:t>to drive continuous improvement in clinical governance policies and processes.</w:t>
            </w:r>
          </w:p>
          <w:p w14:paraId="30AA4D24" w14:textId="77777777" w:rsidR="00B4017B" w:rsidRPr="000F6CD1" w:rsidRDefault="00B4017B">
            <w:pPr>
              <w:rPr>
                <w:shd w:val="clear" w:color="auto" w:fill="FFFFFF"/>
              </w:rPr>
            </w:pPr>
            <w:r w:rsidRPr="000F6CD1">
              <w:rPr>
                <w:shd w:val="clear" w:color="auto" w:fill="FFFFFF"/>
              </w:rPr>
              <w:t>The Assessment organisation actively participates in any external evaluation or quality assurance processes.</w:t>
            </w:r>
          </w:p>
        </w:tc>
      </w:tr>
    </w:tbl>
    <w:p w14:paraId="09016AA4" w14:textId="77777777" w:rsidR="00B4017B" w:rsidRPr="000F6CD1" w:rsidRDefault="00B4017B" w:rsidP="00370263">
      <w:pPr>
        <w:rPr>
          <w:rStyle w:val="normaltextrun"/>
          <w:color w:val="000000"/>
          <w:shd w:val="clear" w:color="auto" w:fill="FFFFFF"/>
        </w:rPr>
      </w:pPr>
    </w:p>
    <w:p w14:paraId="1664DAF7" w14:textId="77777777" w:rsidR="00B4017B" w:rsidRPr="000F6CD1" w:rsidRDefault="00B4017B" w:rsidP="00370263">
      <w:pPr>
        <w:rPr>
          <w:b/>
          <w:bCs/>
        </w:rPr>
      </w:pPr>
      <w:r w:rsidRPr="000F6CD1">
        <w:rPr>
          <w:b/>
          <w:bCs/>
        </w:rPr>
        <w:t xml:space="preserve">Element 5: Build relationships to foster innovation and continuous improvement </w:t>
      </w:r>
    </w:p>
    <w:p w14:paraId="3630F0DA" w14:textId="77777777" w:rsidR="00B4017B" w:rsidRPr="000F6CD1" w:rsidRDefault="00B4017B" w:rsidP="00370263">
      <w:pPr>
        <w:pStyle w:val="Caption"/>
      </w:pPr>
      <w:r w:rsidRPr="000F6CD1">
        <w:t xml:space="preserve">Table 65. Relationship building to foster innovation and continuous improvement </w:t>
      </w:r>
    </w:p>
    <w:tbl>
      <w:tblPr>
        <w:tblStyle w:val="TableGrid"/>
        <w:tblW w:w="0" w:type="auto"/>
        <w:tblLook w:val="04A0" w:firstRow="1" w:lastRow="0" w:firstColumn="1" w:lastColumn="0" w:noHBand="0" w:noVBand="1"/>
        <w:tblCaption w:val="Relationship building to foster innovation and continuous improvement - clinical governance"/>
        <w:tblDescription w:val="This table provides information about element five of the clinical governance framework, which is relationship building to foster innovation and continuous improvement. "/>
      </w:tblPr>
      <w:tblGrid>
        <w:gridCol w:w="3235"/>
        <w:gridCol w:w="5791"/>
      </w:tblGrid>
      <w:tr w:rsidR="00B4017B" w:rsidRPr="000F6CD1" w14:paraId="1E6A2652" w14:textId="77777777" w:rsidTr="00667C2A">
        <w:tc>
          <w:tcPr>
            <w:tcW w:w="4531" w:type="dxa"/>
            <w:shd w:val="clear" w:color="auto" w:fill="002060"/>
            <w:vAlign w:val="center"/>
          </w:tcPr>
          <w:p w14:paraId="0E949ABD" w14:textId="77777777" w:rsidR="00B4017B" w:rsidRPr="000F6CD1" w:rsidRDefault="00B4017B" w:rsidP="003D374A">
            <w:pPr>
              <w:pStyle w:val="Sub-headingnon-contentpage"/>
            </w:pPr>
            <w:r w:rsidRPr="000F6CD1">
              <w:t>Clinical support requirement</w:t>
            </w:r>
          </w:p>
        </w:tc>
        <w:tc>
          <w:tcPr>
            <w:tcW w:w="8419" w:type="dxa"/>
            <w:shd w:val="clear" w:color="auto" w:fill="002060"/>
            <w:vAlign w:val="center"/>
          </w:tcPr>
          <w:p w14:paraId="7600F955" w14:textId="77777777" w:rsidR="00B4017B" w:rsidRPr="000F6CD1" w:rsidRDefault="00B4017B" w:rsidP="003D374A">
            <w:pPr>
              <w:pStyle w:val="Sub-headingnon-contentpage"/>
            </w:pPr>
            <w:r w:rsidRPr="000F6CD1">
              <w:t>Implementation</w:t>
            </w:r>
          </w:p>
        </w:tc>
      </w:tr>
      <w:tr w:rsidR="00B4017B" w:rsidRPr="000F6CD1" w14:paraId="7F6F41F4" w14:textId="77777777">
        <w:tc>
          <w:tcPr>
            <w:tcW w:w="4531" w:type="dxa"/>
            <w:vAlign w:val="center"/>
          </w:tcPr>
          <w:p w14:paraId="694CD5C1" w14:textId="7E1F9784" w:rsidR="00B4017B" w:rsidRPr="000F6CD1" w:rsidRDefault="00B4017B">
            <w:r w:rsidRPr="000F6CD1">
              <w:t>Build effective working relationships with local support services</w:t>
            </w:r>
            <w:r w:rsidR="0083135B">
              <w:br/>
            </w:r>
          </w:p>
        </w:tc>
        <w:tc>
          <w:tcPr>
            <w:tcW w:w="8419" w:type="dxa"/>
            <w:vAlign w:val="center"/>
          </w:tcPr>
          <w:p w14:paraId="43B12F45" w14:textId="77777777" w:rsidR="00B4017B" w:rsidRPr="000F6CD1" w:rsidDel="007D123A" w:rsidRDefault="00B4017B">
            <w:r w:rsidRPr="000F6CD1">
              <w:t xml:space="preserve">Implement systems and processes to ensure positive communication between service and care providers within the aged and health care systems. </w:t>
            </w:r>
          </w:p>
        </w:tc>
      </w:tr>
      <w:tr w:rsidR="00B4017B" w:rsidRPr="000F6CD1" w14:paraId="42DEA9DC" w14:textId="77777777">
        <w:tc>
          <w:tcPr>
            <w:tcW w:w="4531" w:type="dxa"/>
            <w:vAlign w:val="center"/>
          </w:tcPr>
          <w:p w14:paraId="6A423050" w14:textId="1D0497FE" w:rsidR="00B4017B" w:rsidRPr="000F6CD1" w:rsidRDefault="00B4017B">
            <w:r w:rsidRPr="000F6CD1">
              <w:t xml:space="preserve">Foster an organisational culture of regular and effective communication that addresses risks and issues and promotes continuous improvement  </w:t>
            </w:r>
            <w:r w:rsidR="0083135B">
              <w:br/>
            </w:r>
          </w:p>
        </w:tc>
        <w:tc>
          <w:tcPr>
            <w:tcW w:w="8419" w:type="dxa"/>
            <w:vAlign w:val="center"/>
          </w:tcPr>
          <w:p w14:paraId="084464E0" w14:textId="77777777" w:rsidR="00B4017B" w:rsidRPr="000F6CD1" w:rsidRDefault="00B4017B">
            <w:r w:rsidRPr="000F6CD1">
              <w:t xml:space="preserve">Assessment organisations hold regular team meetings/teleconferences to address issues arising, share experiences and clinical expertise (including case study discussions) </w:t>
            </w:r>
          </w:p>
        </w:tc>
      </w:tr>
      <w:tr w:rsidR="00B4017B" w:rsidRPr="000F6CD1" w14:paraId="206DC770" w14:textId="77777777" w:rsidTr="009C1004">
        <w:tc>
          <w:tcPr>
            <w:tcW w:w="4531" w:type="dxa"/>
            <w:tcBorders>
              <w:bottom w:val="single" w:sz="4" w:space="0" w:color="002060"/>
            </w:tcBorders>
            <w:vAlign w:val="center"/>
          </w:tcPr>
          <w:p w14:paraId="73273782" w14:textId="77777777" w:rsidR="00B4017B" w:rsidRPr="000F6CD1" w:rsidRDefault="00B4017B">
            <w:r w:rsidRPr="000F6CD1">
              <w:t>Assessment Organisation’s representatives participate in relevant forums organised by the Department</w:t>
            </w:r>
          </w:p>
        </w:tc>
        <w:tc>
          <w:tcPr>
            <w:tcW w:w="8419" w:type="dxa"/>
            <w:tcBorders>
              <w:bottom w:val="single" w:sz="4" w:space="0" w:color="002060"/>
            </w:tcBorders>
            <w:vAlign w:val="center"/>
          </w:tcPr>
          <w:p w14:paraId="42896738" w14:textId="77777777" w:rsidR="00B4017B" w:rsidRPr="000F6CD1" w:rsidRDefault="00B4017B">
            <w:pPr>
              <w:rPr>
                <w:shd w:val="clear" w:color="auto" w:fill="FFFFFF"/>
              </w:rPr>
            </w:pPr>
            <w:r w:rsidRPr="000F6CD1">
              <w:t>Assessment organisations must send representatives in person to attend forums for assessment organisations as organised by the Department.</w:t>
            </w:r>
          </w:p>
          <w:p w14:paraId="2C49A5E3" w14:textId="77777777" w:rsidR="00B4017B" w:rsidRPr="000F6CD1" w:rsidRDefault="00B4017B">
            <w:pPr>
              <w:rPr>
                <w:shd w:val="clear" w:color="auto" w:fill="FFFFFF"/>
              </w:rPr>
            </w:pPr>
          </w:p>
        </w:tc>
      </w:tr>
    </w:tbl>
    <w:p w14:paraId="2E88E297" w14:textId="77777777" w:rsidR="00B4017B" w:rsidRPr="000F6CD1" w:rsidRDefault="00B4017B" w:rsidP="00370263">
      <w:pPr>
        <w:rPr>
          <w:rFonts w:ascii="Trebuchet MS" w:hAnsi="Trebuchet MS"/>
          <w:color w:val="33384F"/>
          <w:sz w:val="44"/>
          <w:szCs w:val="36"/>
        </w:rPr>
      </w:pPr>
      <w:r w:rsidRPr="000F6CD1">
        <w:rPr>
          <w:rFonts w:ascii="Trebuchet MS" w:hAnsi="Trebuchet MS"/>
          <w:color w:val="33384F"/>
          <w:sz w:val="44"/>
          <w:szCs w:val="36"/>
        </w:rPr>
        <w:br w:type="page"/>
      </w:r>
    </w:p>
    <w:p w14:paraId="54697898" w14:textId="77777777" w:rsidR="00B4017B" w:rsidRPr="000F6CD1" w:rsidRDefault="00B4017B" w:rsidP="00AC3600">
      <w:pPr>
        <w:pStyle w:val="H1"/>
        <w:sectPr w:rsidR="00B4017B" w:rsidRPr="000F6CD1" w:rsidSect="00B4017B">
          <w:pgSz w:w="11906" w:h="16838"/>
          <w:pgMar w:top="1440" w:right="1440" w:bottom="1440" w:left="1440" w:header="708" w:footer="708" w:gutter="0"/>
          <w:cols w:space="708"/>
          <w:docGrid w:linePitch="360"/>
        </w:sectPr>
      </w:pPr>
    </w:p>
    <w:p w14:paraId="6D4452D5" w14:textId="77777777" w:rsidR="00B4017B" w:rsidRPr="000F6CD1" w:rsidRDefault="00B4017B" w:rsidP="00AC3600">
      <w:pPr>
        <w:pStyle w:val="H1"/>
      </w:pPr>
      <w:bookmarkStart w:id="1161" w:name="_Toc233282532"/>
      <w:r w:rsidRPr="000F6CD1">
        <w:lastRenderedPageBreak/>
        <w:t>APPENDIX D – Clinical attendance</w:t>
      </w:r>
      <w:bookmarkEnd w:id="1161"/>
    </w:p>
    <w:p w14:paraId="712A99A1" w14:textId="77777777" w:rsidR="00B4017B" w:rsidRPr="000F6CD1" w:rsidRDefault="00B4017B" w:rsidP="00370263">
      <w:pPr>
        <w:spacing w:line="276" w:lineRule="auto"/>
        <w:rPr>
          <w:b/>
          <w:bCs/>
          <w:shd w:val="clear" w:color="auto" w:fill="FFFFFF"/>
        </w:rPr>
      </w:pPr>
      <w:r w:rsidRPr="000F6CD1">
        <w:rPr>
          <w:b/>
          <w:bCs/>
          <w:shd w:val="clear" w:color="auto" w:fill="FFFFFF"/>
        </w:rPr>
        <w:t xml:space="preserve">Questions in the IAT that require clinical attendance </w:t>
      </w:r>
    </w:p>
    <w:p w14:paraId="0A54B731" w14:textId="77777777" w:rsidR="00B4017B" w:rsidRPr="000F6CD1" w:rsidRDefault="00B4017B" w:rsidP="00370263">
      <w:pPr>
        <w:pStyle w:val="Caption"/>
        <w:rPr>
          <w:shd w:val="clear" w:color="auto" w:fill="FFFFFF"/>
        </w:rPr>
      </w:pPr>
      <w:r w:rsidRPr="000F6CD1">
        <w:rPr>
          <w:shd w:val="clear" w:color="auto" w:fill="FFFFFF"/>
        </w:rPr>
        <w:t xml:space="preserve">Table 66. IAT questions that require clinical attendance </w:t>
      </w:r>
    </w:p>
    <w:tbl>
      <w:tblPr>
        <w:tblpPr w:leftFromText="180" w:rightFromText="180" w:vertAnchor="text" w:tblpXSpec="center" w:tblpY="1"/>
        <w:tblOverlap w:val="never"/>
        <w:tblW w:w="9351" w:type="dxa"/>
        <w:tblLook w:val="04A0" w:firstRow="1" w:lastRow="0" w:firstColumn="1" w:lastColumn="0" w:noHBand="0" w:noVBand="1"/>
        <w:tblCaption w:val="IAT questions that require clinical attendance"/>
        <w:tblDescription w:val="This table describes questions in the IAT that require clinical attendance. "/>
      </w:tblPr>
      <w:tblGrid>
        <w:gridCol w:w="2972"/>
        <w:gridCol w:w="2977"/>
        <w:gridCol w:w="3402"/>
      </w:tblGrid>
      <w:tr w:rsidR="00B4017B" w:rsidRPr="000F6CD1" w14:paraId="5319BE86" w14:textId="77777777" w:rsidTr="00667C2A">
        <w:trPr>
          <w:trHeight w:val="654"/>
          <w:tblHeader/>
        </w:trPr>
        <w:tc>
          <w:tcPr>
            <w:tcW w:w="297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049675" w14:textId="77777777" w:rsidR="00B4017B" w:rsidRPr="000F6CD1" w:rsidRDefault="00B4017B">
            <w:pPr>
              <w:spacing w:after="0" w:line="240" w:lineRule="auto"/>
              <w:jc w:val="center"/>
              <w:rPr>
                <w:rFonts w:eastAsia="Times New Roman"/>
                <w:b/>
                <w:bCs/>
                <w:color w:val="FFFFFF" w:themeColor="background1"/>
              </w:rPr>
            </w:pPr>
            <w:r w:rsidRPr="000F6CD1">
              <w:rPr>
                <w:rFonts w:eastAsia="Times New Roman"/>
                <w:b/>
                <w:bCs/>
                <w:color w:val="FFFFFF" w:themeColor="background1"/>
              </w:rPr>
              <w:t>IAT clinical questions</w:t>
            </w:r>
          </w:p>
        </w:tc>
        <w:tc>
          <w:tcPr>
            <w:tcW w:w="2977" w:type="dxa"/>
            <w:tcBorders>
              <w:top w:val="single" w:sz="4" w:space="0" w:color="auto"/>
              <w:left w:val="nil"/>
              <w:bottom w:val="single" w:sz="4" w:space="0" w:color="auto"/>
              <w:right w:val="single" w:sz="4" w:space="0" w:color="auto"/>
            </w:tcBorders>
            <w:shd w:val="clear" w:color="auto" w:fill="002060"/>
            <w:vAlign w:val="center"/>
            <w:hideMark/>
          </w:tcPr>
          <w:p w14:paraId="1E0D0788" w14:textId="77777777" w:rsidR="00B4017B" w:rsidRPr="000F6CD1" w:rsidRDefault="00B4017B">
            <w:pPr>
              <w:spacing w:after="0" w:line="240" w:lineRule="auto"/>
              <w:jc w:val="center"/>
              <w:rPr>
                <w:rFonts w:eastAsia="Times New Roman"/>
                <w:b/>
                <w:bCs/>
                <w:color w:val="FFFFFF" w:themeColor="background1"/>
              </w:rPr>
            </w:pPr>
            <w:r w:rsidRPr="000F6CD1">
              <w:rPr>
                <w:rFonts w:eastAsia="Times New Roman"/>
                <w:b/>
                <w:bCs/>
                <w:color w:val="FFFFFF" w:themeColor="background1"/>
              </w:rPr>
              <w:t>When these questions will be triggered</w:t>
            </w:r>
          </w:p>
        </w:tc>
        <w:tc>
          <w:tcPr>
            <w:tcW w:w="3402" w:type="dxa"/>
            <w:tcBorders>
              <w:top w:val="single" w:sz="4" w:space="0" w:color="auto"/>
              <w:left w:val="nil"/>
              <w:bottom w:val="single" w:sz="4" w:space="0" w:color="auto"/>
              <w:right w:val="single" w:sz="4" w:space="0" w:color="auto"/>
            </w:tcBorders>
            <w:shd w:val="clear" w:color="auto" w:fill="002060"/>
            <w:vAlign w:val="center"/>
          </w:tcPr>
          <w:p w14:paraId="74E6BE26" w14:textId="77777777" w:rsidR="00B4017B" w:rsidRPr="000F6CD1" w:rsidRDefault="00B4017B">
            <w:pPr>
              <w:spacing w:after="0" w:line="240" w:lineRule="auto"/>
              <w:jc w:val="center"/>
              <w:rPr>
                <w:rFonts w:eastAsia="Times New Roman"/>
                <w:b/>
                <w:bCs/>
                <w:color w:val="FFFFFF" w:themeColor="background1"/>
              </w:rPr>
            </w:pPr>
            <w:r w:rsidRPr="000F6CD1">
              <w:rPr>
                <w:rFonts w:eastAsia="Times New Roman"/>
                <w:b/>
                <w:bCs/>
                <w:color w:val="FFFFFF" w:themeColor="background1"/>
              </w:rPr>
              <w:t>Detail</w:t>
            </w:r>
          </w:p>
        </w:tc>
      </w:tr>
      <w:tr w:rsidR="00B4017B" w:rsidRPr="000F6CD1" w14:paraId="44BB73B1" w14:textId="77777777">
        <w:trPr>
          <w:trHeight w:val="1290"/>
        </w:trPr>
        <w:tc>
          <w:tcPr>
            <w:tcW w:w="2972" w:type="dxa"/>
            <w:tcBorders>
              <w:top w:val="nil"/>
              <w:left w:val="single" w:sz="4" w:space="0" w:color="auto"/>
              <w:bottom w:val="single" w:sz="4" w:space="0" w:color="auto"/>
              <w:right w:val="single" w:sz="4" w:space="0" w:color="auto"/>
            </w:tcBorders>
            <w:hideMark/>
          </w:tcPr>
          <w:p w14:paraId="1DAF0B4D" w14:textId="77777777" w:rsidR="00B4017B" w:rsidRPr="000F6CD1" w:rsidRDefault="00B4017B">
            <w:pPr>
              <w:spacing w:after="0" w:line="240" w:lineRule="auto"/>
              <w:rPr>
                <w:rFonts w:eastAsia="Times New Roman"/>
                <w:b/>
                <w:bCs/>
                <w:color w:val="000000"/>
              </w:rPr>
            </w:pPr>
            <w:r w:rsidRPr="000F6CD1">
              <w:rPr>
                <w:rFonts w:eastAsia="Times New Roman"/>
                <w:b/>
                <w:bCs/>
                <w:color w:val="000000"/>
              </w:rPr>
              <w:t xml:space="preserve">Advanced Medical Assessment section </w:t>
            </w:r>
          </w:p>
        </w:tc>
        <w:tc>
          <w:tcPr>
            <w:tcW w:w="2977" w:type="dxa"/>
            <w:tcBorders>
              <w:top w:val="nil"/>
              <w:left w:val="nil"/>
              <w:bottom w:val="single" w:sz="4" w:space="0" w:color="auto"/>
              <w:right w:val="single" w:sz="4" w:space="0" w:color="auto"/>
            </w:tcBorders>
            <w:hideMark/>
          </w:tcPr>
          <w:p w14:paraId="5F513CAC" w14:textId="77777777" w:rsidR="00B4017B" w:rsidRPr="000F6CD1" w:rsidRDefault="00B4017B">
            <w:pPr>
              <w:spacing w:after="0" w:line="240" w:lineRule="auto"/>
              <w:jc w:val="center"/>
              <w:rPr>
                <w:rFonts w:eastAsia="Times New Roman"/>
                <w:color w:val="000000"/>
              </w:rPr>
            </w:pPr>
            <w:r w:rsidRPr="000F6CD1">
              <w:rPr>
                <w:rFonts w:eastAsia="Times New Roman"/>
                <w:color w:val="000000"/>
              </w:rPr>
              <w:t xml:space="preserve">Answers 'Moderately' or 'Quite a bit' to Q </w:t>
            </w:r>
            <w:r w:rsidRPr="000F6CD1">
              <w:rPr>
                <w:rFonts w:eastAsia="Times New Roman"/>
                <w:i/>
                <w:iCs/>
                <w:color w:val="000000"/>
              </w:rPr>
              <w:t xml:space="preserve">Impact of health issues on normal activities. </w:t>
            </w:r>
            <w:r w:rsidRPr="000F6CD1">
              <w:rPr>
                <w:rFonts w:eastAsia="Times New Roman"/>
                <w:i/>
                <w:iCs/>
                <w:color w:val="000000"/>
              </w:rPr>
              <w:br/>
            </w:r>
          </w:p>
        </w:tc>
        <w:tc>
          <w:tcPr>
            <w:tcW w:w="3402" w:type="dxa"/>
            <w:tcBorders>
              <w:top w:val="nil"/>
              <w:left w:val="nil"/>
              <w:bottom w:val="single" w:sz="4" w:space="0" w:color="auto"/>
              <w:right w:val="single" w:sz="4" w:space="0" w:color="auto"/>
            </w:tcBorders>
          </w:tcPr>
          <w:p w14:paraId="4A917910" w14:textId="77777777" w:rsidR="00B4017B" w:rsidRPr="000F6CD1" w:rsidRDefault="00B4017B">
            <w:pPr>
              <w:spacing w:after="0" w:line="240" w:lineRule="auto"/>
              <w:rPr>
                <w:rFonts w:eastAsia="Times New Roman"/>
                <w:color w:val="000000"/>
              </w:rPr>
            </w:pPr>
            <w:r w:rsidRPr="000F6CD1">
              <w:rPr>
                <w:rFonts w:eastAsia="Times New Roman"/>
                <w:color w:val="000000" w:themeColor="text1"/>
              </w:rPr>
              <w:t>This question set identifies whether the older person has had recent contact with a GP and/or has regular health checks, has been admitted to hospital in the past 12 months and whether the older person has and/or has had allergies and/or sensitivities such as food, medication and environmental allergies and/or sensitivities.</w:t>
            </w:r>
          </w:p>
          <w:p w14:paraId="49DE27D7" w14:textId="77777777" w:rsidR="00B4017B" w:rsidRPr="000F6CD1" w:rsidRDefault="00B4017B">
            <w:pPr>
              <w:spacing w:after="0" w:line="240" w:lineRule="auto"/>
              <w:rPr>
                <w:rFonts w:eastAsia="Times New Roman"/>
                <w:color w:val="000000"/>
              </w:rPr>
            </w:pPr>
          </w:p>
          <w:p w14:paraId="6AAB3274" w14:textId="77777777" w:rsidR="00B4017B" w:rsidRPr="000F6CD1" w:rsidRDefault="00B4017B">
            <w:pPr>
              <w:spacing w:after="0" w:line="240" w:lineRule="auto"/>
              <w:rPr>
                <w:rFonts w:eastAsia="Times New Roman"/>
                <w:color w:val="000000"/>
              </w:rPr>
            </w:pPr>
            <w:r w:rsidRPr="000F6CD1">
              <w:rPr>
                <w:rFonts w:eastAsia="Times New Roman"/>
                <w:color w:val="000000" w:themeColor="text1"/>
              </w:rPr>
              <w:t xml:space="preserve">See IAT User Guide: </w:t>
            </w:r>
            <w:r w:rsidRPr="000F6CD1">
              <w:t xml:space="preserve"> </w:t>
            </w:r>
            <w:hyperlink r:id="rId399">
              <w:r w:rsidRPr="000F6CD1">
                <w:rPr>
                  <w:rStyle w:val="Hyperlink"/>
                </w:rPr>
                <w:t>Integrated Assessment Tool user guide (health.gov.au)</w:t>
              </w:r>
            </w:hyperlink>
            <w:r w:rsidRPr="000F6CD1">
              <w:t xml:space="preserve"> </w:t>
            </w:r>
          </w:p>
        </w:tc>
      </w:tr>
      <w:tr w:rsidR="00B4017B" w:rsidRPr="000F6CD1" w14:paraId="6A1EC010" w14:textId="77777777">
        <w:trPr>
          <w:trHeight w:val="2295"/>
        </w:trPr>
        <w:tc>
          <w:tcPr>
            <w:tcW w:w="2972" w:type="dxa"/>
            <w:tcBorders>
              <w:top w:val="nil"/>
              <w:left w:val="single" w:sz="4" w:space="0" w:color="auto"/>
              <w:right w:val="single" w:sz="4" w:space="0" w:color="auto"/>
            </w:tcBorders>
            <w:hideMark/>
          </w:tcPr>
          <w:p w14:paraId="66522830" w14:textId="77777777" w:rsidR="00B4017B" w:rsidRPr="000F6CD1" w:rsidRDefault="00B4017B">
            <w:pPr>
              <w:spacing w:after="0" w:line="240" w:lineRule="auto"/>
              <w:rPr>
                <w:rFonts w:eastAsia="Times New Roman"/>
                <w:b/>
                <w:bCs/>
                <w:color w:val="000000"/>
              </w:rPr>
            </w:pPr>
            <w:r w:rsidRPr="000F6CD1">
              <w:rPr>
                <w:rFonts w:eastAsia="Times New Roman"/>
                <w:b/>
                <w:bCs/>
                <w:color w:val="000000"/>
              </w:rPr>
              <w:t xml:space="preserve">Urinary incontinence and Revised Urinary Incontinence Scale (RUIS) </w:t>
            </w:r>
          </w:p>
        </w:tc>
        <w:tc>
          <w:tcPr>
            <w:tcW w:w="2977" w:type="dxa"/>
            <w:tcBorders>
              <w:top w:val="nil"/>
              <w:left w:val="nil"/>
              <w:right w:val="single" w:sz="4" w:space="0" w:color="auto"/>
            </w:tcBorders>
            <w:hideMark/>
          </w:tcPr>
          <w:p w14:paraId="78DC9FF0" w14:textId="77777777" w:rsidR="00B4017B" w:rsidRPr="000F6CD1" w:rsidRDefault="00B4017B">
            <w:pPr>
              <w:spacing w:after="0" w:line="240" w:lineRule="auto"/>
              <w:jc w:val="center"/>
              <w:rPr>
                <w:rFonts w:eastAsia="Times New Roman"/>
                <w:color w:val="000000"/>
              </w:rPr>
            </w:pPr>
            <w:r w:rsidRPr="000F6CD1">
              <w:rPr>
                <w:rFonts w:eastAsia="Times New Roman"/>
                <w:color w:val="000000"/>
              </w:rPr>
              <w:t>Answers No to ‘</w:t>
            </w:r>
            <w:r w:rsidRPr="000F6CD1">
              <w:rPr>
                <w:rFonts w:eastAsia="Times New Roman"/>
                <w:i/>
                <w:iCs/>
                <w:color w:val="000000"/>
              </w:rPr>
              <w:t>Is the older person managing urinary incontinence issue?</w:t>
            </w:r>
            <w:r w:rsidRPr="000F6CD1">
              <w:rPr>
                <w:rFonts w:eastAsia="Times New Roman"/>
                <w:color w:val="000000"/>
              </w:rPr>
              <w:t>’</w:t>
            </w:r>
            <w:r w:rsidRPr="000F6CD1">
              <w:rPr>
                <w:rFonts w:eastAsia="Times New Roman"/>
                <w:b/>
                <w:bCs/>
                <w:color w:val="000000"/>
              </w:rPr>
              <w:t> </w:t>
            </w:r>
            <w:r w:rsidRPr="000F6CD1">
              <w:rPr>
                <w:rFonts w:eastAsia="Times New Roman"/>
                <w:color w:val="000000"/>
              </w:rPr>
              <w:br/>
            </w:r>
          </w:p>
        </w:tc>
        <w:tc>
          <w:tcPr>
            <w:tcW w:w="3402" w:type="dxa"/>
            <w:tcBorders>
              <w:top w:val="nil"/>
              <w:left w:val="nil"/>
              <w:right w:val="single" w:sz="4" w:space="0" w:color="auto"/>
            </w:tcBorders>
          </w:tcPr>
          <w:p w14:paraId="42F0A69C" w14:textId="59C09B1F" w:rsidR="00B4017B" w:rsidRPr="000F6CD1" w:rsidRDefault="00B4017B">
            <w:pPr>
              <w:spacing w:after="0" w:line="240" w:lineRule="auto"/>
            </w:pPr>
            <w:r w:rsidRPr="000F6CD1">
              <w:t>An assessor should use the RUIS to assess urinary incontinence. Urinary incontinence refers to the involuntary loss of bladder control. The severity can vary, including occasional leakage of urine when coughing or sneezing. It would become an issue at the more severe end when an older person often experiences a sudden and strong urge to urinate (urgency) that doesn’t allow enough time to reach a toilet.</w:t>
            </w:r>
          </w:p>
          <w:p w14:paraId="25348238" w14:textId="77777777" w:rsidR="00B4017B" w:rsidRPr="000F6CD1" w:rsidRDefault="00B4017B">
            <w:pPr>
              <w:spacing w:after="0" w:line="240" w:lineRule="auto"/>
              <w:rPr>
                <w:rStyle w:val="Hyperlink"/>
                <w:rFonts w:eastAsia="Calibri"/>
              </w:rPr>
            </w:pPr>
          </w:p>
          <w:p w14:paraId="6A74661F" w14:textId="77777777" w:rsidR="00B4017B" w:rsidRPr="000F6CD1" w:rsidRDefault="00B4017B">
            <w:pPr>
              <w:spacing w:after="0" w:line="240" w:lineRule="auto"/>
              <w:rPr>
                <w:rStyle w:val="Hyperlink"/>
                <w:rFonts w:eastAsia="Calibri"/>
              </w:rPr>
            </w:pPr>
            <w:r w:rsidRPr="000F6CD1">
              <w:t>Continence is a sensitive and private issue. The assessor must use clinical judgement to determine the appropriateness of administering the RFIS with the older person at assessment.</w:t>
            </w:r>
          </w:p>
          <w:p w14:paraId="0E7EB3EB" w14:textId="77777777" w:rsidR="00B4017B" w:rsidRPr="000F6CD1" w:rsidRDefault="00B4017B">
            <w:pPr>
              <w:spacing w:after="0" w:line="240" w:lineRule="auto"/>
              <w:rPr>
                <w:rStyle w:val="Hyperlink"/>
                <w:rFonts w:eastAsia="Calibri"/>
              </w:rPr>
            </w:pPr>
            <w:hyperlink r:id="rId400" w:history="1">
              <w:r w:rsidRPr="000F6CD1">
                <w:rPr>
                  <w:rStyle w:val="Hyperlink"/>
                  <w:rFonts w:eastAsia="Calibri"/>
                </w:rPr>
                <w:t>Urinary incontinence | healthdirect</w:t>
              </w:r>
            </w:hyperlink>
          </w:p>
          <w:p w14:paraId="2DC8ED21" w14:textId="77777777" w:rsidR="00B4017B" w:rsidRPr="000F6CD1" w:rsidRDefault="00B4017B">
            <w:pPr>
              <w:spacing w:after="0" w:line="240" w:lineRule="auto"/>
              <w:rPr>
                <w:rStyle w:val="Hyperlink"/>
                <w:rFonts w:eastAsia="Calibri"/>
              </w:rPr>
            </w:pPr>
          </w:p>
          <w:p w14:paraId="103DCBA8" w14:textId="77777777" w:rsidR="00B4017B" w:rsidRPr="000F6CD1" w:rsidRDefault="00B4017B">
            <w:pPr>
              <w:spacing w:after="0" w:line="240" w:lineRule="auto"/>
              <w:rPr>
                <w:rStyle w:val="Hyperlink"/>
              </w:rPr>
            </w:pPr>
            <w:hyperlink r:id="rId401">
              <w:r w:rsidRPr="000F6CD1">
                <w:rPr>
                  <w:rStyle w:val="Hyperlink"/>
                  <w:rFonts w:eastAsia="Calibri"/>
                </w:rPr>
                <w:t>(PDF) Technical Manual and Instructions: Revised Incontinence and Patient Satisfaction Tools, Version 2 (researchgate.net)</w:t>
              </w:r>
            </w:hyperlink>
          </w:p>
          <w:p w14:paraId="2DBA9624" w14:textId="77777777" w:rsidR="00B4017B" w:rsidRPr="000F6CD1" w:rsidRDefault="00B4017B">
            <w:pPr>
              <w:spacing w:after="0" w:line="240" w:lineRule="auto"/>
              <w:rPr>
                <w:rStyle w:val="Hyperlink"/>
              </w:rPr>
            </w:pPr>
            <w:r w:rsidRPr="000F6CD1">
              <w:rPr>
                <w:rStyle w:val="Hyperlink"/>
              </w:rPr>
              <w:t>(tool on pg. 27)</w:t>
            </w:r>
          </w:p>
        </w:tc>
      </w:tr>
      <w:tr w:rsidR="00B4017B" w:rsidRPr="000F6CD1" w14:paraId="7A5DC576" w14:textId="77777777">
        <w:trPr>
          <w:trHeight w:val="2117"/>
        </w:trPr>
        <w:tc>
          <w:tcPr>
            <w:tcW w:w="2972" w:type="dxa"/>
            <w:tcBorders>
              <w:top w:val="nil"/>
              <w:left w:val="single" w:sz="4" w:space="0" w:color="auto"/>
              <w:bottom w:val="single" w:sz="4" w:space="0" w:color="auto"/>
              <w:right w:val="single" w:sz="4" w:space="0" w:color="auto"/>
            </w:tcBorders>
            <w:hideMark/>
          </w:tcPr>
          <w:p w14:paraId="38BB0F9D" w14:textId="77777777" w:rsidR="00B4017B" w:rsidRPr="000F6CD1" w:rsidRDefault="00B4017B">
            <w:pPr>
              <w:spacing w:after="0" w:line="240" w:lineRule="auto"/>
              <w:rPr>
                <w:rFonts w:eastAsia="Times New Roman"/>
                <w:b/>
                <w:bCs/>
                <w:color w:val="000000"/>
              </w:rPr>
            </w:pPr>
            <w:r w:rsidRPr="000F6CD1">
              <w:rPr>
                <w:rFonts w:eastAsia="Times New Roman"/>
                <w:b/>
                <w:bCs/>
                <w:color w:val="000000"/>
              </w:rPr>
              <w:lastRenderedPageBreak/>
              <w:t xml:space="preserve">Bowel incontinence and Revised Faecal Incontinence Scale (RFIS) </w:t>
            </w:r>
          </w:p>
        </w:tc>
        <w:tc>
          <w:tcPr>
            <w:tcW w:w="2977" w:type="dxa"/>
            <w:tcBorders>
              <w:top w:val="nil"/>
              <w:left w:val="nil"/>
              <w:bottom w:val="single" w:sz="4" w:space="0" w:color="auto"/>
              <w:right w:val="single" w:sz="4" w:space="0" w:color="auto"/>
            </w:tcBorders>
            <w:hideMark/>
          </w:tcPr>
          <w:p w14:paraId="7B52BFCA" w14:textId="5A8C7A7E" w:rsidR="00B4017B" w:rsidRPr="000F6CD1" w:rsidRDefault="00B4017B">
            <w:pPr>
              <w:spacing w:after="0" w:line="240" w:lineRule="auto"/>
              <w:jc w:val="center"/>
              <w:rPr>
                <w:rFonts w:eastAsia="Times New Roman"/>
                <w:color w:val="000000"/>
              </w:rPr>
            </w:pPr>
            <w:r w:rsidRPr="000F6CD1">
              <w:rPr>
                <w:rFonts w:eastAsia="Times New Roman"/>
                <w:color w:val="000000" w:themeColor="text1"/>
              </w:rPr>
              <w:t>Answers ‘No’ to ‘</w:t>
            </w:r>
            <w:r w:rsidRPr="000F6CD1">
              <w:rPr>
                <w:rFonts w:eastAsia="Times New Roman"/>
                <w:i/>
                <w:color w:val="000000" w:themeColor="text1"/>
              </w:rPr>
              <w:t>Is the older person managing bowel incontinence issue?</w:t>
            </w:r>
            <w:r w:rsidR="00BC5F60" w:rsidRPr="000F6CD1">
              <w:rPr>
                <w:rFonts w:eastAsia="Times New Roman"/>
                <w:color w:val="000000" w:themeColor="text1"/>
              </w:rPr>
              <w:t>.</w:t>
            </w:r>
            <w:r w:rsidRPr="000F6CD1">
              <w:rPr>
                <w:rFonts w:eastAsia="Times New Roman"/>
                <w:color w:val="000000" w:themeColor="text1"/>
              </w:rPr>
              <w:t>’ </w:t>
            </w:r>
            <w:r w:rsidRPr="000F6CD1">
              <w:br/>
            </w:r>
          </w:p>
        </w:tc>
        <w:tc>
          <w:tcPr>
            <w:tcW w:w="3402" w:type="dxa"/>
            <w:tcBorders>
              <w:top w:val="nil"/>
              <w:left w:val="nil"/>
              <w:bottom w:val="single" w:sz="4" w:space="0" w:color="auto"/>
              <w:right w:val="single" w:sz="4" w:space="0" w:color="auto"/>
            </w:tcBorders>
          </w:tcPr>
          <w:p w14:paraId="3094ACB5" w14:textId="77777777" w:rsidR="00B4017B" w:rsidRPr="000F6CD1" w:rsidRDefault="00B4017B">
            <w:pPr>
              <w:spacing w:after="0" w:line="240" w:lineRule="auto"/>
              <w:rPr>
                <w:rStyle w:val="Hyperlink"/>
                <w:rFonts w:eastAsia="Calibri"/>
              </w:rPr>
            </w:pPr>
            <w:hyperlink r:id="rId402">
              <w:r w:rsidRPr="000F6CD1">
                <w:rPr>
                  <w:rStyle w:val="Hyperlink"/>
                  <w:rFonts w:eastAsia="Calibri"/>
                </w:rPr>
                <w:t>Technical Manual and Instructions for Revised Incontinence and Patient Satisfaction Tools 1 (anzctr.org.au)</w:t>
              </w:r>
            </w:hyperlink>
          </w:p>
          <w:p w14:paraId="52B26D33" w14:textId="77777777" w:rsidR="00B4017B" w:rsidRPr="000F6CD1" w:rsidRDefault="00B4017B">
            <w:pPr>
              <w:spacing w:after="0" w:line="240" w:lineRule="auto"/>
              <w:rPr>
                <w:rStyle w:val="Hyperlink"/>
                <w:rFonts w:eastAsia="Calibri"/>
              </w:rPr>
            </w:pPr>
          </w:p>
          <w:p w14:paraId="22142861" w14:textId="5C61E4B6" w:rsidR="00B4017B" w:rsidRPr="000F6CD1" w:rsidRDefault="00B4017B">
            <w:pPr>
              <w:spacing w:after="0" w:line="240" w:lineRule="auto"/>
              <w:rPr>
                <w:rFonts w:eastAsia="Calibri"/>
              </w:rPr>
            </w:pPr>
            <w:r w:rsidRPr="000F6CD1">
              <w:t>An assessor should use the RFIS is used to assess faecal incontinence. Continence is a sensitive and private issue. The assessor must use clinical judgement to determine the appropriateness of administering the RFIS with the older person at assessment.</w:t>
            </w:r>
          </w:p>
        </w:tc>
      </w:tr>
      <w:tr w:rsidR="00B4017B" w:rsidRPr="000F6CD1" w14:paraId="73136204"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7A6D30DB" w14:textId="77777777" w:rsidR="00B4017B" w:rsidRPr="000F6CD1" w:rsidRDefault="00B4017B">
            <w:pPr>
              <w:spacing w:after="0" w:line="240" w:lineRule="auto"/>
              <w:rPr>
                <w:rFonts w:eastAsia="Times New Roman"/>
                <w:b/>
              </w:rPr>
            </w:pPr>
            <w:r w:rsidRPr="000F6CD1">
              <w:rPr>
                <w:rFonts w:eastAsia="Times New Roman"/>
                <w:b/>
              </w:rPr>
              <w:t xml:space="preserve">GPCog- Step 2 and extended cognitive assessment </w:t>
            </w:r>
          </w:p>
        </w:tc>
        <w:tc>
          <w:tcPr>
            <w:tcW w:w="2977" w:type="dxa"/>
            <w:tcBorders>
              <w:top w:val="single" w:sz="4" w:space="0" w:color="auto"/>
              <w:left w:val="nil"/>
              <w:bottom w:val="single" w:sz="4" w:space="0" w:color="auto"/>
              <w:right w:val="single" w:sz="4" w:space="0" w:color="auto"/>
            </w:tcBorders>
            <w:hideMark/>
          </w:tcPr>
          <w:p w14:paraId="49F83E77" w14:textId="77777777" w:rsidR="00B4017B" w:rsidRPr="000F6CD1" w:rsidRDefault="00B4017B">
            <w:pPr>
              <w:spacing w:after="0" w:line="240" w:lineRule="auto"/>
              <w:jc w:val="center"/>
              <w:rPr>
                <w:rFonts w:eastAsia="Times New Roman"/>
              </w:rPr>
            </w:pPr>
            <w:r w:rsidRPr="000F6CD1">
              <w:rPr>
                <w:rFonts w:eastAsia="Times New Roman"/>
              </w:rPr>
              <w:t>If the older person has answered any of the Qs in GPCog- Step 1 incorrectly. </w:t>
            </w:r>
            <w:r w:rsidRPr="000F6CD1">
              <w:br/>
            </w:r>
          </w:p>
        </w:tc>
        <w:tc>
          <w:tcPr>
            <w:tcW w:w="3402" w:type="dxa"/>
            <w:tcBorders>
              <w:top w:val="single" w:sz="4" w:space="0" w:color="auto"/>
              <w:left w:val="nil"/>
              <w:bottom w:val="single" w:sz="4" w:space="0" w:color="auto"/>
              <w:right w:val="single" w:sz="4" w:space="0" w:color="auto"/>
            </w:tcBorders>
          </w:tcPr>
          <w:p w14:paraId="53812D47" w14:textId="77777777" w:rsidR="00B4017B" w:rsidRPr="000F6CD1" w:rsidRDefault="00B4017B">
            <w:pPr>
              <w:spacing w:after="0" w:line="240" w:lineRule="auto"/>
              <w:rPr>
                <w:rFonts w:eastAsia="Times New Roman"/>
                <w:color w:val="000000"/>
              </w:rPr>
            </w:pPr>
            <w:r w:rsidRPr="000F6CD1">
              <w:rPr>
                <w:rFonts w:eastAsia="Times New Roman"/>
                <w:color w:val="000000" w:themeColor="text1"/>
              </w:rPr>
              <w:t>The GPCog- step 2 and extended cognitive assessment is a screening tool for cognitive impairment. It builds on the questions asked in GPCog- step 1.</w:t>
            </w:r>
          </w:p>
          <w:p w14:paraId="1DB2D2AA" w14:textId="77777777" w:rsidR="00B4017B" w:rsidRPr="000F6CD1" w:rsidRDefault="00B4017B">
            <w:pPr>
              <w:spacing w:after="0" w:line="240" w:lineRule="auto"/>
              <w:rPr>
                <w:rFonts w:eastAsia="Calibri"/>
              </w:rPr>
            </w:pPr>
            <w:hyperlink r:id="rId403">
              <w:r w:rsidRPr="000F6CD1">
                <w:rPr>
                  <w:rStyle w:val="Hyperlink"/>
                  <w:rFonts w:eastAsia="Calibri"/>
                </w:rPr>
                <w:t>GPCOG | Home</w:t>
              </w:r>
            </w:hyperlink>
          </w:p>
          <w:p w14:paraId="70487D60" w14:textId="77777777" w:rsidR="00B4017B" w:rsidRPr="000F6CD1" w:rsidRDefault="00B4017B">
            <w:pPr>
              <w:spacing w:after="0" w:line="240" w:lineRule="auto"/>
              <w:rPr>
                <w:rFonts w:eastAsia="Calibri"/>
              </w:rPr>
            </w:pPr>
          </w:p>
          <w:p w14:paraId="27FEBFDE" w14:textId="77777777" w:rsidR="00B4017B" w:rsidRPr="000F6CD1" w:rsidRDefault="00B4017B">
            <w:pPr>
              <w:spacing w:after="0" w:line="240" w:lineRule="auto"/>
              <w:rPr>
                <w:rFonts w:eastAsia="Calibri"/>
              </w:rPr>
            </w:pPr>
            <w:hyperlink r:id="rId404">
              <w:r w:rsidRPr="000F6CD1">
                <w:rPr>
                  <w:rStyle w:val="Hyperlink"/>
                  <w:rFonts w:eastAsia="Calibri"/>
                </w:rPr>
                <w:t>The GPCOG: A New Screening Test for Dementia Designed for General Practice</w:t>
              </w:r>
            </w:hyperlink>
            <w:r w:rsidRPr="000F6CD1">
              <w:rPr>
                <w:rFonts w:eastAsia="Calibri"/>
              </w:rPr>
              <w:t xml:space="preserve"> (Step 2 Qs at bottom of the journal article)</w:t>
            </w:r>
          </w:p>
        </w:tc>
      </w:tr>
      <w:tr w:rsidR="00B4017B" w:rsidRPr="000F6CD1" w14:paraId="431A8B30" w14:textId="77777777">
        <w:trPr>
          <w:trHeight w:val="2025"/>
        </w:trPr>
        <w:tc>
          <w:tcPr>
            <w:tcW w:w="2972" w:type="dxa"/>
            <w:tcBorders>
              <w:top w:val="single" w:sz="4" w:space="0" w:color="auto"/>
              <w:left w:val="single" w:sz="4" w:space="0" w:color="auto"/>
              <w:bottom w:val="single" w:sz="4" w:space="0" w:color="auto"/>
              <w:right w:val="single" w:sz="4" w:space="0" w:color="auto"/>
            </w:tcBorders>
            <w:hideMark/>
          </w:tcPr>
          <w:p w14:paraId="49A42066" w14:textId="77777777" w:rsidR="00B4017B" w:rsidRPr="000F6CD1" w:rsidRDefault="00B4017B">
            <w:pPr>
              <w:spacing w:after="0" w:line="240" w:lineRule="auto"/>
              <w:rPr>
                <w:rFonts w:eastAsia="Times New Roman"/>
                <w:b/>
                <w:bCs/>
              </w:rPr>
            </w:pPr>
            <w:r w:rsidRPr="000F6CD1">
              <w:rPr>
                <w:rFonts w:eastAsia="Times New Roman"/>
                <w:b/>
                <w:bCs/>
              </w:rPr>
              <w:t>Extended Behaviour Assessment</w:t>
            </w:r>
            <w:r w:rsidRPr="000F6CD1">
              <w:rPr>
                <w:rFonts w:eastAsia="Times New Roman"/>
                <w:b/>
                <w:bCs/>
              </w:rPr>
              <w:br/>
            </w:r>
          </w:p>
        </w:tc>
        <w:tc>
          <w:tcPr>
            <w:tcW w:w="2977" w:type="dxa"/>
            <w:tcBorders>
              <w:top w:val="single" w:sz="4" w:space="0" w:color="auto"/>
              <w:left w:val="nil"/>
              <w:bottom w:val="single" w:sz="4" w:space="0" w:color="auto"/>
              <w:right w:val="single" w:sz="4" w:space="0" w:color="auto"/>
            </w:tcBorders>
            <w:hideMark/>
          </w:tcPr>
          <w:p w14:paraId="387BC717" w14:textId="77777777" w:rsidR="00B4017B" w:rsidRPr="000F6CD1" w:rsidRDefault="00B4017B">
            <w:pPr>
              <w:spacing w:after="0" w:line="240" w:lineRule="auto"/>
              <w:jc w:val="center"/>
              <w:rPr>
                <w:rFonts w:eastAsia="Times New Roman"/>
              </w:rPr>
            </w:pPr>
            <w:r w:rsidRPr="000F6CD1">
              <w:rPr>
                <w:rFonts w:eastAsia="Times New Roman"/>
              </w:rPr>
              <w:t xml:space="preserve">Answers YES to the question. </w:t>
            </w:r>
            <w:r w:rsidRPr="000F6CD1">
              <w:rPr>
                <w:rFonts w:eastAsia="Times New Roman"/>
                <w:i/>
                <w:iCs/>
              </w:rPr>
              <w:t>Are there any reported changes in the older person's personality?</w:t>
            </w:r>
            <w:r w:rsidRPr="000F6CD1">
              <w:rPr>
                <w:rFonts w:eastAsia="Times New Roman"/>
                <w:i/>
                <w:iCs/>
              </w:rPr>
              <w:br/>
            </w:r>
          </w:p>
        </w:tc>
        <w:tc>
          <w:tcPr>
            <w:tcW w:w="3402" w:type="dxa"/>
            <w:tcBorders>
              <w:top w:val="single" w:sz="4" w:space="0" w:color="auto"/>
              <w:left w:val="nil"/>
              <w:bottom w:val="single" w:sz="4" w:space="0" w:color="auto"/>
              <w:right w:val="single" w:sz="4" w:space="0" w:color="auto"/>
            </w:tcBorders>
          </w:tcPr>
          <w:p w14:paraId="7F91959E" w14:textId="77777777" w:rsidR="00B4017B" w:rsidRPr="000F6CD1" w:rsidRDefault="00B4017B">
            <w:pPr>
              <w:spacing w:after="0" w:line="240" w:lineRule="auto"/>
              <w:rPr>
                <w:rFonts w:eastAsia="Times New Roman"/>
                <w:color w:val="000000"/>
              </w:rPr>
            </w:pPr>
            <w:r w:rsidRPr="000F6CD1">
              <w:t>This question set</w:t>
            </w:r>
            <w:r w:rsidRPr="000F6CD1">
              <w:rPr>
                <w:rFonts w:eastAsia="Times New Roman"/>
                <w:color w:val="000000" w:themeColor="text1"/>
              </w:rPr>
              <w:t xml:space="preserve"> identifies changes in an older person’s behaviour across several behavioural types.</w:t>
            </w:r>
          </w:p>
          <w:p w14:paraId="0F25CD8E" w14:textId="77777777" w:rsidR="00B4017B" w:rsidRPr="000F6CD1" w:rsidRDefault="00B4017B">
            <w:pPr>
              <w:spacing w:after="0" w:line="240" w:lineRule="auto"/>
              <w:rPr>
                <w:rFonts w:eastAsia="Times New Roman"/>
              </w:rPr>
            </w:pPr>
          </w:p>
          <w:p w14:paraId="384B7D81" w14:textId="77777777" w:rsidR="00B4017B" w:rsidRPr="000F6CD1" w:rsidRDefault="00B4017B">
            <w:pPr>
              <w:spacing w:after="0" w:line="240" w:lineRule="auto"/>
              <w:rPr>
                <w:rFonts w:eastAsia="Times New Roman"/>
              </w:rPr>
            </w:pPr>
            <w:r w:rsidRPr="000F6CD1">
              <w:rPr>
                <w:rFonts w:eastAsia="Times New Roman"/>
                <w:color w:val="000000"/>
              </w:rPr>
              <w:t xml:space="preserve">See IAT User Guide: </w:t>
            </w:r>
            <w:r w:rsidRPr="000F6CD1">
              <w:t xml:space="preserve"> </w:t>
            </w:r>
            <w:hyperlink r:id="rId405" w:history="1">
              <w:r w:rsidRPr="000F6CD1">
                <w:rPr>
                  <w:rStyle w:val="Hyperlink"/>
                </w:rPr>
                <w:t>Integrated Assessment Tool user guide (health.gov.au)</w:t>
              </w:r>
            </w:hyperlink>
          </w:p>
        </w:tc>
      </w:tr>
      <w:tr w:rsidR="00B4017B" w:rsidRPr="000F6CD1" w14:paraId="3F87C97A"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6C5A9BA8" w14:textId="77777777" w:rsidR="00B4017B" w:rsidRPr="000F6CD1" w:rsidRDefault="00B4017B">
            <w:pPr>
              <w:spacing w:after="0" w:line="240" w:lineRule="auto"/>
              <w:rPr>
                <w:rFonts w:eastAsia="Times New Roman"/>
                <w:b/>
                <w:bCs/>
              </w:rPr>
            </w:pPr>
            <w:r w:rsidRPr="000F6CD1">
              <w:rPr>
                <w:rFonts w:eastAsia="Times New Roman"/>
                <w:b/>
                <w:bCs/>
              </w:rPr>
              <w:lastRenderedPageBreak/>
              <w:t>Advanced Psychological Assessment (PHQ-4)</w:t>
            </w:r>
            <w:r w:rsidRPr="000F6CD1">
              <w:rPr>
                <w:rFonts w:eastAsia="Times New Roman"/>
                <w:b/>
                <w:bCs/>
              </w:rPr>
              <w:br/>
            </w:r>
          </w:p>
        </w:tc>
        <w:tc>
          <w:tcPr>
            <w:tcW w:w="2977" w:type="dxa"/>
            <w:tcBorders>
              <w:top w:val="single" w:sz="4" w:space="0" w:color="auto"/>
              <w:left w:val="single" w:sz="4" w:space="0" w:color="auto"/>
              <w:bottom w:val="single" w:sz="4" w:space="0" w:color="auto"/>
              <w:right w:val="single" w:sz="4" w:space="0" w:color="auto"/>
            </w:tcBorders>
            <w:hideMark/>
          </w:tcPr>
          <w:p w14:paraId="6B127975" w14:textId="77777777" w:rsidR="00B4017B" w:rsidRPr="000F6CD1" w:rsidRDefault="00B4017B">
            <w:pPr>
              <w:spacing w:after="0" w:line="240" w:lineRule="auto"/>
              <w:jc w:val="center"/>
              <w:rPr>
                <w:rFonts w:eastAsia="Times New Roman"/>
                <w:color w:val="000000"/>
              </w:rPr>
            </w:pPr>
            <w:r w:rsidRPr="000F6CD1">
              <w:rPr>
                <w:rFonts w:eastAsia="Times New Roman"/>
                <w:color w:val="000000" w:themeColor="text1"/>
              </w:rPr>
              <w:t>If there is a total score of three or more from the first two PHQ questions (Feeling nervous, anxious or on edge AND not being able to stop or control worrying), additional questions on advanced psychological assessment will be prompted.</w:t>
            </w:r>
            <w:r w:rsidRPr="000F6CD1">
              <w:br/>
            </w:r>
          </w:p>
        </w:tc>
        <w:tc>
          <w:tcPr>
            <w:tcW w:w="3402" w:type="dxa"/>
            <w:tcBorders>
              <w:top w:val="single" w:sz="4" w:space="0" w:color="auto"/>
              <w:left w:val="single" w:sz="4" w:space="0" w:color="auto"/>
              <w:bottom w:val="single" w:sz="4" w:space="0" w:color="auto"/>
              <w:right w:val="single" w:sz="4" w:space="0" w:color="auto"/>
            </w:tcBorders>
          </w:tcPr>
          <w:p w14:paraId="3ECA8067" w14:textId="77777777" w:rsidR="00B4017B" w:rsidRPr="000F6CD1" w:rsidRDefault="00B4017B">
            <w:pPr>
              <w:spacing w:after="0" w:line="240" w:lineRule="auto"/>
              <w:rPr>
                <w:rFonts w:eastAsia="Times New Roman"/>
                <w:color w:val="000000"/>
              </w:rPr>
            </w:pPr>
            <w:r w:rsidRPr="000F6CD1">
              <w:rPr>
                <w:rFonts w:eastAsia="Times New Roman"/>
                <w:color w:val="000000" w:themeColor="text1"/>
              </w:rPr>
              <w:t>This question set identifies the extent to which an older person experiences psychological distress.</w:t>
            </w:r>
          </w:p>
          <w:p w14:paraId="79ACD5D7" w14:textId="77777777" w:rsidR="00B4017B" w:rsidRPr="000F6CD1" w:rsidRDefault="00B4017B">
            <w:pPr>
              <w:spacing w:after="0" w:line="240" w:lineRule="auto"/>
              <w:rPr>
                <w:rFonts w:eastAsia="Times New Roman"/>
                <w:color w:val="000000"/>
              </w:rPr>
            </w:pPr>
          </w:p>
          <w:p w14:paraId="7694A4EB" w14:textId="77777777" w:rsidR="00B4017B" w:rsidRPr="000F6CD1" w:rsidRDefault="00B4017B">
            <w:pPr>
              <w:spacing w:after="0" w:line="240" w:lineRule="auto"/>
              <w:rPr>
                <w:rFonts w:eastAsia="Times New Roman"/>
                <w:color w:val="000000"/>
              </w:rPr>
            </w:pPr>
            <w:r w:rsidRPr="000F6CD1">
              <w:rPr>
                <w:rFonts w:eastAsia="Times New Roman"/>
                <w:color w:val="000000" w:themeColor="text1"/>
              </w:rPr>
              <w:t xml:space="preserve">See IAT User Guide: </w:t>
            </w:r>
            <w:r w:rsidRPr="000F6CD1">
              <w:t xml:space="preserve"> </w:t>
            </w:r>
            <w:hyperlink r:id="rId406">
              <w:r w:rsidRPr="000F6CD1">
                <w:rPr>
                  <w:rStyle w:val="Hyperlink"/>
                </w:rPr>
                <w:t>Integrated Assessment Tool user guide (health.gov.au)</w:t>
              </w:r>
            </w:hyperlink>
          </w:p>
        </w:tc>
      </w:tr>
      <w:tr w:rsidR="00B4017B" w:rsidRPr="000F6CD1" w14:paraId="6EFD9841" w14:textId="77777777">
        <w:trPr>
          <w:trHeight w:val="2550"/>
        </w:trPr>
        <w:tc>
          <w:tcPr>
            <w:tcW w:w="2972" w:type="dxa"/>
            <w:tcBorders>
              <w:top w:val="single" w:sz="4" w:space="0" w:color="auto"/>
              <w:left w:val="single" w:sz="4" w:space="0" w:color="auto"/>
              <w:bottom w:val="single" w:sz="4" w:space="0" w:color="auto"/>
              <w:right w:val="single" w:sz="4" w:space="0" w:color="auto"/>
            </w:tcBorders>
            <w:hideMark/>
          </w:tcPr>
          <w:p w14:paraId="57491BC5" w14:textId="77777777" w:rsidR="00B4017B" w:rsidRPr="000F6CD1" w:rsidRDefault="00B4017B">
            <w:pPr>
              <w:spacing w:after="0" w:line="240" w:lineRule="auto"/>
              <w:rPr>
                <w:rFonts w:eastAsia="Times New Roman"/>
                <w:b/>
                <w:bCs/>
                <w:color w:val="000000"/>
              </w:rPr>
            </w:pPr>
            <w:r w:rsidRPr="000F6CD1">
              <w:rPr>
                <w:rFonts w:eastAsia="Times New Roman"/>
                <w:b/>
                <w:bCs/>
                <w:color w:val="000000"/>
              </w:rPr>
              <w:t xml:space="preserve">Geriatric Depression Scale (GDS) </w:t>
            </w:r>
          </w:p>
        </w:tc>
        <w:tc>
          <w:tcPr>
            <w:tcW w:w="2977" w:type="dxa"/>
            <w:tcBorders>
              <w:top w:val="single" w:sz="4" w:space="0" w:color="auto"/>
              <w:left w:val="nil"/>
              <w:bottom w:val="single" w:sz="4" w:space="0" w:color="auto"/>
              <w:right w:val="single" w:sz="4" w:space="0" w:color="auto"/>
            </w:tcBorders>
            <w:hideMark/>
          </w:tcPr>
          <w:p w14:paraId="2ABB353A" w14:textId="77777777" w:rsidR="00B4017B" w:rsidRPr="000F6CD1" w:rsidRDefault="00B4017B">
            <w:pPr>
              <w:spacing w:after="0" w:line="240" w:lineRule="auto"/>
              <w:jc w:val="center"/>
              <w:rPr>
                <w:rFonts w:eastAsia="Times New Roman"/>
                <w:color w:val="000000"/>
              </w:rPr>
            </w:pPr>
            <w:r w:rsidRPr="000F6CD1">
              <w:rPr>
                <w:rFonts w:eastAsia="Times New Roman"/>
                <w:color w:val="000000" w:themeColor="text1"/>
              </w:rPr>
              <w:t xml:space="preserve">Additional question in advanced psychological assessment. Answer ‘yes’ to </w:t>
            </w:r>
            <w:r w:rsidRPr="000F6CD1">
              <w:rPr>
                <w:rFonts w:eastAsia="Times New Roman"/>
                <w:i/>
                <w:color w:val="000000" w:themeColor="text1"/>
              </w:rPr>
              <w:t>Do you want to complete the Geriatric Depression Scale?</w:t>
            </w:r>
            <w:r w:rsidRPr="000F6CD1">
              <w:br/>
            </w:r>
          </w:p>
        </w:tc>
        <w:tc>
          <w:tcPr>
            <w:tcW w:w="3402" w:type="dxa"/>
            <w:tcBorders>
              <w:top w:val="single" w:sz="4" w:space="0" w:color="auto"/>
              <w:left w:val="nil"/>
              <w:bottom w:val="single" w:sz="4" w:space="0" w:color="auto"/>
              <w:right w:val="single" w:sz="4" w:space="0" w:color="auto"/>
            </w:tcBorders>
          </w:tcPr>
          <w:p w14:paraId="6AF5B1AF" w14:textId="77777777" w:rsidR="00B4017B" w:rsidRPr="000F6CD1" w:rsidRDefault="00B4017B">
            <w:pPr>
              <w:spacing w:after="0" w:line="240" w:lineRule="auto"/>
              <w:rPr>
                <w:rFonts w:eastAsia="Times New Roman"/>
                <w:color w:val="000000"/>
              </w:rPr>
            </w:pPr>
            <w:r w:rsidRPr="000F6CD1">
              <w:rPr>
                <w:rFonts w:eastAsia="Times New Roman"/>
                <w:color w:val="000000"/>
              </w:rPr>
              <w:t xml:space="preserve">The GDS is a basic screening measure for depression in older people. </w:t>
            </w:r>
          </w:p>
          <w:p w14:paraId="6EAE6894" w14:textId="77777777" w:rsidR="00B4017B" w:rsidRPr="000F6CD1" w:rsidRDefault="00B4017B">
            <w:pPr>
              <w:spacing w:after="0" w:line="240" w:lineRule="auto"/>
              <w:rPr>
                <w:rFonts w:eastAsia="Times New Roman"/>
                <w:color w:val="000000"/>
              </w:rPr>
            </w:pPr>
          </w:p>
          <w:p w14:paraId="33EEE616" w14:textId="77777777" w:rsidR="00B4017B" w:rsidRPr="000F6CD1" w:rsidRDefault="00B4017B">
            <w:pPr>
              <w:spacing w:after="0" w:line="240" w:lineRule="auto"/>
              <w:rPr>
                <w:rFonts w:eastAsia="Calibri"/>
              </w:rPr>
            </w:pPr>
            <w:hyperlink r:id="rId407">
              <w:r w:rsidRPr="000F6CD1">
                <w:rPr>
                  <w:rStyle w:val="Hyperlink"/>
                  <w:rFonts w:eastAsia="Calibri"/>
                </w:rPr>
                <w:t>Geriatric Depression Scale (stanford.edu)</w:t>
              </w:r>
            </w:hyperlink>
          </w:p>
        </w:tc>
      </w:tr>
    </w:tbl>
    <w:p w14:paraId="11C6F3A5" w14:textId="77777777" w:rsidR="00B4017B" w:rsidRPr="000F6CD1" w:rsidRDefault="00B4017B" w:rsidP="00DF3F6B">
      <w:pPr>
        <w:pStyle w:val="ListParagraph"/>
        <w:numPr>
          <w:ilvl w:val="0"/>
          <w:numId w:val="89"/>
        </w:numPr>
        <w:spacing w:after="200" w:line="276" w:lineRule="auto"/>
        <w:rPr>
          <w:rFonts w:ascii="Calibri" w:hAnsi="Calibri" w:cs="Calibri"/>
          <w:color w:val="6E7B62"/>
        </w:rPr>
        <w:sectPr w:rsidR="00B4017B" w:rsidRPr="000F6CD1" w:rsidSect="00B4017B">
          <w:headerReference w:type="even" r:id="rId408"/>
          <w:headerReference w:type="default" r:id="rId409"/>
          <w:footerReference w:type="even" r:id="rId410"/>
          <w:footerReference w:type="default" r:id="rId411"/>
          <w:headerReference w:type="first" r:id="rId412"/>
          <w:footerReference w:type="first" r:id="rId413"/>
          <w:pgSz w:w="12240" w:h="15840"/>
          <w:pgMar w:top="1440" w:right="1440" w:bottom="1440" w:left="1440" w:header="720" w:footer="720" w:gutter="0"/>
          <w:cols w:space="720"/>
          <w:docGrid w:linePitch="360"/>
        </w:sectPr>
      </w:pPr>
    </w:p>
    <w:p w14:paraId="187DC880" w14:textId="77777777" w:rsidR="00B4017B" w:rsidRPr="000F6CD1" w:rsidRDefault="00B4017B" w:rsidP="00370263">
      <w:pPr>
        <w:rPr>
          <w:rFonts w:ascii="Arial Bold" w:hAnsi="Arial Bold" w:hint="eastAsia"/>
          <w:b/>
          <w:lang w:eastAsia="en-GB"/>
        </w:rPr>
      </w:pPr>
      <w:r w:rsidRPr="000F6CD1">
        <w:rPr>
          <w:rFonts w:ascii="Arial Bold" w:hAnsi="Arial Bold"/>
          <w:b/>
          <w:lang w:eastAsia="en-GB"/>
        </w:rPr>
        <w:lastRenderedPageBreak/>
        <w:t xml:space="preserve">Older person scenarios — clinical attendance </w:t>
      </w:r>
    </w:p>
    <w:p w14:paraId="2C819BE3" w14:textId="77777777" w:rsidR="00B4017B" w:rsidRPr="000F6CD1" w:rsidRDefault="00B4017B" w:rsidP="00370263">
      <w:pPr>
        <w:pStyle w:val="Boxwithcolouredkeyline"/>
        <w:rPr>
          <w:b/>
          <w:shd w:val="clear" w:color="auto" w:fill="FFFFFF"/>
        </w:rPr>
      </w:pPr>
      <w:r w:rsidRPr="000F6CD1">
        <w:rPr>
          <w:b/>
          <w:shd w:val="clear" w:color="auto" w:fill="FFFFFF"/>
        </w:rPr>
        <w:t xml:space="preserve">Meet </w:t>
      </w:r>
      <w:r w:rsidRPr="000F6CD1">
        <w:rPr>
          <w:b/>
        </w:rPr>
        <w:t>Cl</w:t>
      </w:r>
      <w:r w:rsidRPr="000F6CD1">
        <w:t>y</w:t>
      </w:r>
      <w:r w:rsidRPr="000F6CD1">
        <w:rPr>
          <w:b/>
          <w:shd w:val="clear" w:color="auto" w:fill="FFFFFF"/>
        </w:rPr>
        <w:t>de</w:t>
      </w:r>
    </w:p>
    <w:p w14:paraId="03460E96" w14:textId="6420E237" w:rsidR="00B4017B" w:rsidRPr="000F6CD1" w:rsidRDefault="00B4017B" w:rsidP="00370263">
      <w:pPr>
        <w:pStyle w:val="Boxwithcolouredkeyline"/>
        <w:rPr>
          <w:shd w:val="clear" w:color="auto" w:fill="FFFFFF"/>
        </w:rPr>
      </w:pPr>
      <w:r w:rsidRPr="009C1004">
        <w:rPr>
          <w:b/>
          <w:bCs/>
          <w:shd w:val="clear" w:color="auto" w:fill="FFFFFF"/>
        </w:rPr>
        <w:t xml:space="preserve">Clyde </w:t>
      </w:r>
      <w:r w:rsidRPr="000F6CD1">
        <w:rPr>
          <w:shd w:val="clear" w:color="auto" w:fill="FFFFFF"/>
        </w:rPr>
        <w:t>is 78 years old and needs some extra support so that he can continue to live in his home. He applies for an aged care assessment through My Aged Care. When Clyde is contacted by the assessment organisation, he is asked some preliminary questions (known as triage) before his assessment is scheduled. Clyde has heard some bad stories recently about residential aged care and he is worried that the assessment will result in him moving into an aged care home. Clyde feels nervous when answering the questions at triage and he doesn’t fully disclose his health concerns during the conversation.</w:t>
      </w:r>
    </w:p>
    <w:p w14:paraId="31AA5008" w14:textId="77777777" w:rsidR="00B4017B" w:rsidRPr="000F6CD1" w:rsidRDefault="00B4017B" w:rsidP="00370263">
      <w:pPr>
        <w:pStyle w:val="Boxwithcolouredkeyline"/>
        <w:rPr>
          <w:shd w:val="clear" w:color="auto" w:fill="FFFFFF"/>
        </w:rPr>
      </w:pPr>
      <w:r w:rsidRPr="000F6CD1">
        <w:rPr>
          <w:shd w:val="clear" w:color="auto" w:fill="FFFFFF"/>
        </w:rPr>
        <w:t xml:space="preserve">Clyde is triaged for a home support assessment. A non-clinical assessor is assigned to undertake the assessment, and travels to Clyde’s home. During his assessment, Clyde’s answers trigger questions that require clinical judgement. The assessor explains to Clyde that there are some questions that will need to be asked with a clinical assessor, who they can call on their tablet. </w:t>
      </w:r>
    </w:p>
    <w:p w14:paraId="6DCD1DF2" w14:textId="77777777" w:rsidR="00B4017B" w:rsidRPr="000F6CD1" w:rsidRDefault="00B4017B" w:rsidP="00370263">
      <w:pPr>
        <w:pStyle w:val="Boxwithcolouredkeyline"/>
        <w:rPr>
          <w:shd w:val="clear" w:color="auto" w:fill="FFFFFF"/>
        </w:rPr>
      </w:pPr>
      <w:r w:rsidRPr="000F6CD1">
        <w:rPr>
          <w:shd w:val="clear" w:color="auto" w:fill="FFFFFF"/>
        </w:rPr>
        <w:t xml:space="preserve">Clyde agrees and a clinical assessor is video called. Clyde and his assessor explain his situation to the clinical assessor, and the IAT questions that have been triggered. Together, the assessors undertake the whole assessment and record Clyde’s needs in the IAT. When the non-clinical assessor gets back to the office, they finalise the assessment, consulting with the clinical assessor to make the recommendations. </w:t>
      </w:r>
    </w:p>
    <w:p w14:paraId="7102B1FD" w14:textId="77777777" w:rsidR="00B4017B" w:rsidRPr="000F6CD1" w:rsidRDefault="00B4017B" w:rsidP="00370263">
      <w:pPr>
        <w:pStyle w:val="Boxwithcolouredkeyline"/>
        <w:rPr>
          <w:shd w:val="clear" w:color="auto" w:fill="FFFFFF"/>
        </w:rPr>
      </w:pPr>
      <w:r w:rsidRPr="000F6CD1">
        <w:rPr>
          <w:shd w:val="clear" w:color="auto" w:fill="FFFFFF"/>
        </w:rPr>
        <w:t xml:space="preserve">Clyde is found eligible for services. The assessor converts the assessment to a comprehensive assessment at the end of the assessment. Clyde’s assessment is finalised and is sent to an assessment delegate for approval. </w:t>
      </w:r>
    </w:p>
    <w:p w14:paraId="0F733877" w14:textId="77777777" w:rsidR="00B4017B" w:rsidRPr="000F6CD1" w:rsidRDefault="00B4017B" w:rsidP="00370263">
      <w:pPr>
        <w:pStyle w:val="Boxwithcolouredkeyline"/>
      </w:pPr>
      <w:r w:rsidRPr="000F6CD1">
        <w:rPr>
          <w:rFonts w:ascii="Arial Bold" w:hAnsi="Arial Bold"/>
          <w:b/>
          <w:lang w:eastAsia="en-GB"/>
        </w:rPr>
        <w:br w:type="page"/>
      </w:r>
      <w:r w:rsidRPr="000F6CD1">
        <w:rPr>
          <w:b/>
          <w:bCs/>
          <w:shd w:val="clear" w:color="auto" w:fill="FFFFFF"/>
        </w:rPr>
        <w:lastRenderedPageBreak/>
        <w:t xml:space="preserve">Meet Jane </w:t>
      </w:r>
    </w:p>
    <w:p w14:paraId="5249E2F4" w14:textId="77777777" w:rsidR="00B4017B" w:rsidRPr="000F6CD1" w:rsidRDefault="00B4017B" w:rsidP="00370263">
      <w:pPr>
        <w:pStyle w:val="Boxwithcolouredkeyline"/>
      </w:pPr>
      <w:r w:rsidRPr="009C1004">
        <w:rPr>
          <w:b/>
          <w:bCs/>
          <w:shd w:val="clear" w:color="auto" w:fill="FFFFFF"/>
        </w:rPr>
        <w:t>Jane</w:t>
      </w:r>
      <w:r w:rsidRPr="000F6CD1">
        <w:rPr>
          <w:shd w:val="clear" w:color="auto" w:fill="FFFFFF"/>
        </w:rPr>
        <w:t xml:space="preserve"> is 70 years old and lives alone. Jane and her family have spoken about her needing some support to help with home duties. Jane has chronic arthritis and sometimes this can affect her activities. At the time she first speaks to an assessment organisation about her health and abilities (triage), the weather is warm, and Jane is feeling good. Her arthritis is not affecting her day-to-day activities. </w:t>
      </w:r>
    </w:p>
    <w:p w14:paraId="77948D8B" w14:textId="77777777" w:rsidR="00B4017B" w:rsidRPr="000F6CD1" w:rsidRDefault="00B4017B" w:rsidP="00370263">
      <w:pPr>
        <w:pStyle w:val="Boxwithcolouredkeyline"/>
      </w:pPr>
      <w:r w:rsidRPr="000F6CD1">
        <w:rPr>
          <w:shd w:val="clear" w:color="auto" w:fill="FFFFFF"/>
        </w:rPr>
        <w:t xml:space="preserve">Jane is triaged for a home support assessment. A non-clinical assessor is assigned to undertake the assessment, and travels to Jane’s home. On the day of the assessment, the weather is cold, and Jane isn’t feeling as well as she did at triage. During her assessment, Jane answers a question which triggers a question set that requires clinical judgement. The assessor knows that a clinical assessor is not available to be in attendance during the assessment. The assessor selects ‘no’ to the declaration and makes a note of the questions that are triggered. The assessor explains that they can only ask certain questions in the assessment today and that some questions will need to be asked with a clinical assessor at a later time. The assessor asks the questions that do not require clinical judgment. The assessment concludes. When the assessor gets back to the office, the assessor speaks to their Team Leader or a clinical assessor about the assessment. At this stage it is determined that the clinical assessor can complete the clinical questions by calling Jane and asking the questions raised during the assessment. The original, non-clinical assessor arranges a time to contact Jane with the clinical assessor to ask the remaining questions. Together they finalise the assessment and although the clinical questions were triggered during the assessment, it is found that Jane’s needs can be supported through CHSP services  </w:t>
      </w:r>
    </w:p>
    <w:p w14:paraId="190704B6" w14:textId="77777777" w:rsidR="00B4017B" w:rsidRPr="000F6CD1" w:rsidRDefault="00B4017B" w:rsidP="00370263">
      <w:pPr>
        <w:pStyle w:val="Boxwithcolouredkeyline"/>
      </w:pPr>
      <w:r w:rsidRPr="000F6CD1">
        <w:rPr>
          <w:b/>
          <w:shd w:val="clear" w:color="auto" w:fill="FFFFFF"/>
        </w:rPr>
        <w:t>Meet Alex</w:t>
      </w:r>
    </w:p>
    <w:p w14:paraId="3D4C6D4B" w14:textId="77777777" w:rsidR="00B4017B" w:rsidRPr="000F6CD1" w:rsidRDefault="00B4017B" w:rsidP="00370263">
      <w:pPr>
        <w:pStyle w:val="Boxwithcolouredkeyline"/>
      </w:pPr>
      <w:r w:rsidRPr="009C1004">
        <w:rPr>
          <w:b/>
          <w:bCs/>
          <w:shd w:val="clear" w:color="auto" w:fill="FFFFFF"/>
        </w:rPr>
        <w:t>Alex</w:t>
      </w:r>
      <w:r w:rsidRPr="000F6CD1">
        <w:rPr>
          <w:shd w:val="clear" w:color="auto" w:fill="FFFFFF"/>
        </w:rPr>
        <w:t xml:space="preserve"> loves working with older people and is excited about their new role as a non-clinical aged care needs assessor. Alex arrives at the house of an older person to undertake a home support assessment. Alex is welcomed inside, and notes straight away that the older person’s needs seem more complex than what was recorded at triage. Not long into the assessment, a clinical question is triggered that requires clinical judgement. Alex explains to the older person that there are some questions that they will need to ask with the support from a clinical assessor who they can call on Alex’s phone. The older person agrees and a clinical assessor is called. Alex explains the situation, including the clinical questions that have been triggered. The clinical assessor considers the questions that have been triggered, Alex’s experience as an assessor and the older person’s situation. Based on these factors, the clinical assessor advises that it would be best for a clinical assessor to undertake the whole assessment.</w:t>
      </w:r>
    </w:p>
    <w:p w14:paraId="3809B269" w14:textId="30AEADF3" w:rsidR="00B4017B" w:rsidRPr="000F6CD1" w:rsidRDefault="00B4017B" w:rsidP="00370263">
      <w:pPr>
        <w:pStyle w:val="Boxwithcolouredkeyline"/>
      </w:pPr>
      <w:r w:rsidRPr="000F6CD1">
        <w:rPr>
          <w:shd w:val="clear" w:color="auto" w:fill="FFFFFF"/>
        </w:rPr>
        <w:t xml:space="preserve">Alex concludes the assessment and the older person’s assessment is reassigned to a clinical assessor with high priority which occurs on another day. </w:t>
      </w:r>
    </w:p>
    <w:p w14:paraId="670E29A7" w14:textId="77777777" w:rsidR="00B4017B" w:rsidRPr="000F6CD1" w:rsidRDefault="00B4017B">
      <w:pPr>
        <w:rPr>
          <w:b/>
          <w:bCs/>
          <w:color w:val="002060"/>
          <w:sz w:val="44"/>
          <w:szCs w:val="36"/>
        </w:rPr>
      </w:pPr>
      <w:r w:rsidRPr="000F6CD1">
        <w:rPr>
          <w:bCs/>
        </w:rPr>
        <w:br w:type="page"/>
      </w:r>
    </w:p>
    <w:p w14:paraId="2560DEC3" w14:textId="77777777" w:rsidR="00B4017B" w:rsidRPr="000F6CD1" w:rsidRDefault="00B4017B" w:rsidP="00AC3600">
      <w:pPr>
        <w:pStyle w:val="H1"/>
      </w:pPr>
      <w:bookmarkStart w:id="1162" w:name="_Toc233282533"/>
      <w:bookmarkStart w:id="1163" w:name="_Ref233289776"/>
      <w:r w:rsidRPr="000F6CD1">
        <w:lastRenderedPageBreak/>
        <w:t>APPENDIX E – Wellness and reablement</w:t>
      </w:r>
      <w:bookmarkEnd w:id="1162"/>
      <w:bookmarkEnd w:id="1163"/>
    </w:p>
    <w:p w14:paraId="104E9252" w14:textId="77777777" w:rsidR="00B4017B" w:rsidRPr="000F6CD1" w:rsidRDefault="00B4017B" w:rsidP="002F13D2">
      <w:pPr>
        <w:pStyle w:val="NormalText"/>
        <w:rPr>
          <w:rFonts w:eastAsiaTheme="minorEastAsia"/>
          <w:b/>
        </w:rPr>
      </w:pPr>
      <w:r w:rsidRPr="000F6CD1">
        <w:rPr>
          <w:rFonts w:eastAsiaTheme="minorEastAsia"/>
          <w:b/>
        </w:rPr>
        <w:t>Introduction</w:t>
      </w:r>
    </w:p>
    <w:p w14:paraId="314FFF19" w14:textId="77777777" w:rsidR="00B4017B" w:rsidRPr="000F6CD1" w:rsidRDefault="00B4017B" w:rsidP="00885DD7">
      <w:pPr>
        <w:pStyle w:val="NormalText"/>
        <w:spacing w:after="220"/>
      </w:pPr>
      <w:r w:rsidRPr="000F6CD1">
        <w:t xml:space="preserve">My Aged Care has been established to support older people to maximise their independence and enable them to remain living safely in their own homes and communities. The role of the assessor is to work with the older person to develop an individualised Support Plan so the older person can focus on their own strengths and goals to better support their continued independence. This means assessors should not refer the older person for services they can do safely for themselves. The longer an older person avoids reliance on ongoing services, the longer they are likely to maintain their functional independence, giving them more good days doing the things that matter to them most. </w:t>
      </w:r>
    </w:p>
    <w:p w14:paraId="64FA3B78" w14:textId="77777777" w:rsidR="00B4017B" w:rsidRPr="000F6CD1" w:rsidRDefault="00B4017B" w:rsidP="00885DD7">
      <w:pPr>
        <w:pStyle w:val="NormalText"/>
        <w:spacing w:after="220"/>
        <w:rPr>
          <w:rFonts w:eastAsia="Calibri"/>
        </w:rPr>
      </w:pPr>
      <w:r w:rsidRPr="000F6CD1">
        <w:t xml:space="preserve">Wellness and reablement approaches build on people’s strengths and goals to promote greater independence and autonomy, and it starts with the assessment. Wellness and reablement are inclusive approaches that involve assessment, planning and delivery of supports that build on the strengths, capacity, and goals of individuals irrespective of age, capacity, diagnosis or setting. Referring for support that focuses on the individual’s goals and recognises the importance of older people’s participation is fundamental to aged care. </w:t>
      </w:r>
    </w:p>
    <w:p w14:paraId="6EC85F2E" w14:textId="77777777" w:rsidR="00B4017B" w:rsidRPr="000F6CD1" w:rsidRDefault="00B4017B" w:rsidP="002F13D2">
      <w:pPr>
        <w:pStyle w:val="NormalText"/>
        <w:rPr>
          <w:b/>
          <w:bCs/>
        </w:rPr>
      </w:pPr>
      <w:r w:rsidRPr="000F6CD1">
        <w:rPr>
          <w:b/>
          <w:bCs/>
        </w:rPr>
        <w:t>What is Wellness and reablement?</w:t>
      </w:r>
    </w:p>
    <w:p w14:paraId="17F859D4" w14:textId="77777777" w:rsidR="00B4017B" w:rsidRPr="000F6CD1" w:rsidRDefault="00B4017B" w:rsidP="00885DD7">
      <w:pPr>
        <w:pStyle w:val="NormalText"/>
        <w:spacing w:after="220"/>
      </w:pPr>
      <w:r w:rsidRPr="000F6CD1">
        <w:t>Wellness and reablement are related concepts, often used together to describe an overall approach to service delivery. They are grounded in the principle that older people, including those with frailty, chronic illness or disability, can maintain or improve their independence, and physical, social and emotional functioning. These approaches support older people to live with purpose, make autonomous choices, and participate in meaningful activities which supports their wellbeing.</w:t>
      </w:r>
    </w:p>
    <w:p w14:paraId="2D9AE612" w14:textId="77777777" w:rsidR="00B4017B" w:rsidRPr="000F6CD1" w:rsidRDefault="00B4017B" w:rsidP="002476A6">
      <w:pPr>
        <w:pStyle w:val="NormalText"/>
        <w:spacing w:after="220"/>
      </w:pPr>
      <w:r w:rsidRPr="000F6CD1">
        <w:t>By focusing on capacity-building and restoring or maintaining function, wellness and reablement approaches directly contribute to the wellbeing outcomes described in the Aged Care Act and Strengthened Aged Care Quality Standards. These support older people to live safely, independently, and with a sustained sense of meaning and connection in their own homes and communities.</w:t>
      </w:r>
    </w:p>
    <w:p w14:paraId="2A790207" w14:textId="77777777" w:rsidR="00B4017B" w:rsidRPr="000F6CD1" w:rsidRDefault="00B4017B" w:rsidP="002F13D2">
      <w:pPr>
        <w:pStyle w:val="NormalText"/>
        <w:rPr>
          <w:b/>
          <w:bCs/>
        </w:rPr>
      </w:pPr>
      <w:r w:rsidRPr="000F6CD1">
        <w:rPr>
          <w:b/>
          <w:bCs/>
        </w:rPr>
        <w:t xml:space="preserve">Wellness </w:t>
      </w:r>
    </w:p>
    <w:p w14:paraId="7F4F96F0" w14:textId="77777777" w:rsidR="00B4017B" w:rsidRPr="000F6CD1" w:rsidRDefault="00B4017B" w:rsidP="002F13D2">
      <w:pPr>
        <w:pStyle w:val="NormalText"/>
      </w:pPr>
      <w:r w:rsidRPr="000F6CD1">
        <w:t>Wellness is a philosophy that informs how providers should work with participants by building on their strengths, abilities and goals to promote greater independence and quality of life. A wellness approach avoids ‘doing for’ when ‘doing with’ can support a participant to undertake an activity with less assistance, acknowledging the abilities of the participant and building on their strengths and skills. A wellness approach also aims to empower participants to take charge of, and participate in, informed decision-making about the care and services they receive. It's about listening to what the participant wants to do, looking at what they can do, and focusing on regaining or retaining their level of function so that they can continue to manage their day-to-day life.</w:t>
      </w:r>
    </w:p>
    <w:p w14:paraId="6137B598" w14:textId="77777777" w:rsidR="00B4017B" w:rsidRPr="000F6CD1" w:rsidRDefault="00B4017B" w:rsidP="002F13D2">
      <w:pPr>
        <w:pStyle w:val="NormalText"/>
        <w:rPr>
          <w:b/>
          <w:bCs/>
        </w:rPr>
      </w:pPr>
    </w:p>
    <w:p w14:paraId="313E73F8" w14:textId="77777777" w:rsidR="00B4017B" w:rsidRPr="000F6CD1" w:rsidRDefault="00B4017B" w:rsidP="002F13D2">
      <w:pPr>
        <w:pStyle w:val="NormalText"/>
        <w:rPr>
          <w:b/>
          <w:bCs/>
        </w:rPr>
      </w:pPr>
      <w:r w:rsidRPr="000F6CD1">
        <w:rPr>
          <w:b/>
          <w:bCs/>
        </w:rPr>
        <w:t>Reablement</w:t>
      </w:r>
    </w:p>
    <w:p w14:paraId="43F3AC36" w14:textId="77777777" w:rsidR="00B4017B" w:rsidRPr="000F6CD1" w:rsidRDefault="00B4017B" w:rsidP="002476A6">
      <w:pPr>
        <w:pStyle w:val="NormalText"/>
        <w:spacing w:after="220"/>
      </w:pPr>
      <w:r w:rsidRPr="000F6CD1">
        <w:t xml:space="preserve">Reablement offers time-limited interventions that focus on achieving a participant’s specific goal or desired outcome. It involves maintaining or regaining skills, improving functional capacity, improving confidence and enhancing capability so a participant can resume everyday activities. Reablement services apply a wellness approach and aim to get a client ‘back on their feet,’ and able to resume previous activities either without needing ongoing service delivery or with a reduced need for services. Service providers should identify opportunities for reablement as part of their ongoing support of participants. </w:t>
      </w:r>
    </w:p>
    <w:p w14:paraId="76227984" w14:textId="77777777" w:rsidR="00B4017B" w:rsidRPr="000F6CD1" w:rsidRDefault="00B4017B" w:rsidP="002F13D2">
      <w:pPr>
        <w:pStyle w:val="NormalText"/>
        <w:rPr>
          <w:rFonts w:eastAsiaTheme="minorEastAsia"/>
          <w:b/>
        </w:rPr>
      </w:pPr>
      <w:r w:rsidRPr="000F6CD1">
        <w:rPr>
          <w:b/>
        </w:rPr>
        <w:t>Why wellness and reablement</w:t>
      </w:r>
      <w:r w:rsidRPr="000F6CD1">
        <w:rPr>
          <w:rFonts w:eastAsiaTheme="minorEastAsia"/>
          <w:b/>
        </w:rPr>
        <w:t xml:space="preserve"> is important</w:t>
      </w:r>
    </w:p>
    <w:p w14:paraId="239CBE5B" w14:textId="77777777" w:rsidR="00B4017B" w:rsidRPr="000F6CD1" w:rsidRDefault="00B4017B" w:rsidP="002476A6">
      <w:pPr>
        <w:pStyle w:val="NormalText"/>
        <w:spacing w:after="220"/>
      </w:pPr>
      <w:r w:rsidRPr="000F6CD1">
        <w:t>Emerging research has demonstrated the benefits of focussing on older people’s independence. Traditional models of service delivery that focus on what an older person can’t do rather than what they can, leads to an over-reliance on services by older people, which has been linked with accelerated functional decline.</w:t>
      </w:r>
    </w:p>
    <w:p w14:paraId="4F3F7735" w14:textId="77777777" w:rsidR="00B4017B" w:rsidRPr="000F6CD1" w:rsidRDefault="00B4017B" w:rsidP="002F13D2">
      <w:pPr>
        <w:pStyle w:val="NormalText"/>
        <w:rPr>
          <w:rFonts w:eastAsiaTheme="minorEastAsia"/>
          <w:b/>
        </w:rPr>
      </w:pPr>
      <w:r w:rsidRPr="000F6CD1">
        <w:rPr>
          <w:rFonts w:eastAsiaTheme="minorEastAsia"/>
          <w:b/>
        </w:rPr>
        <w:t xml:space="preserve">Understanding the ageing journey – the </w:t>
      </w:r>
      <w:r w:rsidRPr="000F6CD1">
        <w:rPr>
          <w:b/>
        </w:rPr>
        <w:t>life curve</w:t>
      </w:r>
    </w:p>
    <w:p w14:paraId="50CD1767" w14:textId="77777777" w:rsidR="00B4017B" w:rsidRPr="000F6CD1" w:rsidRDefault="00B4017B" w:rsidP="002F13D2">
      <w:pPr>
        <w:pStyle w:val="NormalText"/>
      </w:pPr>
      <w:r w:rsidRPr="000F6CD1">
        <w:t>Research suggests the largest influencer in age-related decline is not genetics, but rather lifestyle choices. People who continue to do things for themselves tend to remain independent and live better, longer.</w:t>
      </w:r>
    </w:p>
    <w:p w14:paraId="67079A84" w14:textId="77777777" w:rsidR="00B4017B" w:rsidRPr="000F6CD1" w:rsidRDefault="00B4017B" w:rsidP="002F13D2">
      <w:pPr>
        <w:pStyle w:val="NormalText"/>
      </w:pPr>
      <w:r w:rsidRPr="000F6CD1">
        <w:t>Professor Peter Gore of the Institute of Aging at Newcastle University in the United Kingdom has developed a framework to understand the age-related decline. The framework, called the LifeCurve</w:t>
      </w:r>
      <w:r w:rsidRPr="000F6CD1">
        <w:rPr>
          <w:vertAlign w:val="superscript"/>
        </w:rPr>
        <w:t>TM</w:t>
      </w:r>
      <w:r w:rsidRPr="000F6CD1">
        <w:t>, looks at the impact of maintaining independence on quality of life and the rate of age-related functional decline. It illustrates that the sooner someone stops performing certain tasks for themselves, the faster they tend to lose their functional ability. The aim is to assist people to perform these daily tasks independently for as long as possible, to maximise independence and autonomy. Retaining physical ability helps people to continue doing the things they enjoy for longer.</w:t>
      </w:r>
    </w:p>
    <w:p w14:paraId="29BF9A76" w14:textId="77777777" w:rsidR="00B4017B" w:rsidRPr="000F6CD1" w:rsidRDefault="00B4017B" w:rsidP="002F13D2">
      <w:pPr>
        <w:pStyle w:val="NormalText"/>
      </w:pPr>
      <w:r w:rsidRPr="000F6CD1">
        <w:t>The LifeCurve</w:t>
      </w:r>
      <w:r w:rsidRPr="000F6CD1">
        <w:rPr>
          <w:vertAlign w:val="superscript"/>
        </w:rPr>
        <w:t>TM</w:t>
      </w:r>
      <w:r w:rsidRPr="000F6CD1">
        <w:t xml:space="preserve"> is shown at Figure 12. The vertical axis lists activities of daily living that older people generally lose over time, in the order in which they tend to be lost, from top to bottom, with the horizontal axis representing elapsed time. The timeframe for this decline is variable and can be influenced by behaviour and interventions. For example, difficulty cutting one’s toenails is typically seen as an early indicator that intervention may be needed. The graph shows two trajectories: a sub-optimal life curve with a fast early decline; and an optimal life curve in which the early decline is slowed down to give people more good days before losing the ability to undertake activities like walking, shopping and personal care.</w:t>
      </w:r>
    </w:p>
    <w:p w14:paraId="369578E9" w14:textId="77777777" w:rsidR="00B4017B" w:rsidRPr="000F6CD1" w:rsidRDefault="00B4017B" w:rsidP="002F13D2">
      <w:pPr>
        <w:pStyle w:val="NormalText"/>
      </w:pPr>
      <w:r w:rsidRPr="000F6CD1">
        <w:rPr>
          <w:noProof/>
        </w:rPr>
        <w:lastRenderedPageBreak/>
        <w:drawing>
          <wp:inline distT="0" distB="0" distL="0" distR="0" wp14:anchorId="2C1FA413" wp14:editId="6DC8B318">
            <wp:extent cx="5731510" cy="3600423"/>
            <wp:effectExtent l="0" t="0" r="2540" b="635"/>
            <wp:docPr id="1115215033" name="Picture 1115215033" descr="Lifecurve&#10;&#10;This figure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15033" name="Picture 1115215033" descr="Lifecurve&#10;&#10;This figure displays the Life Curve trademarked graph. The horizontal axis displays the elapsed time on the Life Curve. The vertical axis lists activities of daily living older people generally lose over time, in decreasing order they are cutting toenails, shopping, using steps, walk 400 yards, heavy housework, full wash, cook a hot meal, moving around, transfer from a chair, light housework, transfer from toilet, get dressed, transfer from bed, wash face and hands, eat independently. The graph shows two trajectories – a sub-optimal life curve with a fast early decline, and an optimal life curve in which the early decline is slowed down to give people more good days. Both trajectories start at cutting toenails and shows re-able starts at walk 400 yards activity, compensate starts at moving around activity, and care starts at transfer from bed activity. Further research is being done by ADL Research into the activities of hiking, brisk walking, get up from the floor, and walk a mile."/>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5731510" cy="3600423"/>
                    </a:xfrm>
                    <a:prstGeom prst="rect">
                      <a:avLst/>
                    </a:prstGeom>
                    <a:noFill/>
                    <a:ln>
                      <a:noFill/>
                    </a:ln>
                  </pic:spPr>
                </pic:pic>
              </a:graphicData>
            </a:graphic>
          </wp:inline>
        </w:drawing>
      </w:r>
    </w:p>
    <w:p w14:paraId="1F4C4688" w14:textId="77777777" w:rsidR="00B4017B" w:rsidRPr="000F6CD1" w:rsidRDefault="00B4017B" w:rsidP="00E3017E">
      <w:pPr>
        <w:pStyle w:val="Caption"/>
        <w:rPr>
          <w:b w:val="0"/>
          <w:bCs/>
          <w:i/>
        </w:rPr>
      </w:pPr>
      <w:r w:rsidRPr="000F6CD1">
        <w:rPr>
          <w:b w:val="0"/>
          <w:bCs/>
          <w:i/>
          <w:iCs w:val="0"/>
        </w:rPr>
        <w:t>Figure 12 – LifeCurve</w:t>
      </w:r>
      <w:r w:rsidRPr="000F6CD1">
        <w:rPr>
          <w:i/>
          <w:vertAlign w:val="superscript"/>
        </w:rPr>
        <w:t>TM</w:t>
      </w:r>
      <w:r w:rsidRPr="000F6CD1">
        <w:rPr>
          <w:b w:val="0"/>
          <w:bCs/>
          <w:i/>
          <w:iCs w:val="0"/>
        </w:rPr>
        <w:t xml:space="preserve"> </w:t>
      </w:r>
    </w:p>
    <w:p w14:paraId="4C3A989C" w14:textId="77777777" w:rsidR="00B4017B" w:rsidRPr="000F6CD1" w:rsidRDefault="00B4017B" w:rsidP="002476A6">
      <w:pPr>
        <w:pStyle w:val="NormalText"/>
        <w:spacing w:after="220"/>
      </w:pPr>
      <w:r w:rsidRPr="000F6CD1">
        <w:t xml:space="preserve">The LiveUp website enables Australians over 65 years of age to check their health and find personalised suggestions for products and services that promote healthy ageing. LiveUp can suggest low-cost assistive products and equipment to help people with everyday living, as well as personalised exercises and services, to help them or a loved one with age-related wellbeing. </w:t>
      </w:r>
    </w:p>
    <w:p w14:paraId="7EFD8444" w14:textId="77777777" w:rsidR="00B4017B" w:rsidRPr="000F6CD1" w:rsidRDefault="00B4017B" w:rsidP="0090711C">
      <w:pPr>
        <w:pStyle w:val="NormalText"/>
      </w:pPr>
      <w:r w:rsidRPr="000F6CD1">
        <w:t>At the LiveUp website anyone can download the free LifeCurve</w:t>
      </w:r>
      <w:r w:rsidRPr="000F6CD1">
        <w:rPr>
          <w:vertAlign w:val="superscript"/>
        </w:rPr>
        <w:t>TM</w:t>
      </w:r>
      <w:r w:rsidRPr="000F6CD1">
        <w:t xml:space="preserve"> that can track a person’s health, giving them easy to understand long term advice tailored to their needs. To learn more about LiveUp, go to www.liveup.org.au or call 1800 951 971.</w:t>
      </w:r>
    </w:p>
    <w:p w14:paraId="5EC81E9C" w14:textId="77777777" w:rsidR="00B4017B" w:rsidRPr="000F6CD1" w:rsidRDefault="00B4017B" w:rsidP="0090711C">
      <w:pPr>
        <w:pStyle w:val="NormalText"/>
        <w:rPr>
          <w:rFonts w:eastAsiaTheme="minorEastAsia"/>
          <w:b/>
        </w:rPr>
      </w:pPr>
      <w:r w:rsidRPr="000F6CD1">
        <w:rPr>
          <w:rFonts w:eastAsiaTheme="minorEastAsia"/>
          <w:b/>
        </w:rPr>
        <w:t>Benefits of a wellness and reablement approach</w:t>
      </w:r>
    </w:p>
    <w:p w14:paraId="3E4B34E4" w14:textId="77777777" w:rsidR="00B4017B" w:rsidRPr="000F6CD1" w:rsidRDefault="00B4017B" w:rsidP="0090711C">
      <w:pPr>
        <w:pStyle w:val="NormalText"/>
        <w:rPr>
          <w:color w:val="000000"/>
        </w:rPr>
      </w:pPr>
      <w:r w:rsidRPr="000F6CD1">
        <w:t xml:space="preserve">Older </w:t>
      </w:r>
      <w:r w:rsidRPr="000F6CD1">
        <w:rPr>
          <w:color w:val="000000"/>
        </w:rPr>
        <w:t>people are not the only ones who benefit from wellness and reablement. Evidence suggests there are also significant benefits to assessment organisations, service providers, families and carers, and the broader community.</w:t>
      </w:r>
    </w:p>
    <w:p w14:paraId="6638F015" w14:textId="77777777" w:rsidR="00B4017B" w:rsidRPr="000F6CD1" w:rsidRDefault="00B4017B" w:rsidP="0090711C">
      <w:pPr>
        <w:pStyle w:val="NormalText"/>
        <w:rPr>
          <w:b/>
        </w:rPr>
      </w:pPr>
      <w:r w:rsidRPr="000F6CD1">
        <w:rPr>
          <w:b/>
        </w:rPr>
        <w:t>Benefits for older people</w:t>
      </w:r>
    </w:p>
    <w:p w14:paraId="315F4CFE" w14:textId="77777777" w:rsidR="00B4017B" w:rsidRPr="000F6CD1" w:rsidRDefault="00B4017B" w:rsidP="0090711C">
      <w:pPr>
        <w:pStyle w:val="NormalText"/>
      </w:pPr>
      <w:r w:rsidRPr="000F6CD1">
        <w:rPr>
          <w:rFonts w:eastAsiaTheme="majorEastAsia"/>
        </w:rPr>
        <w:t>Implementing a wellness and reablement approach at the earliest opportunity (with a focus on older person goals to maintain or regain functional capacity and social connectedness) can have significant long-term benefits for older people including:</w:t>
      </w:r>
    </w:p>
    <w:p w14:paraId="30196D50" w14:textId="77777777" w:rsidR="00B4017B" w:rsidRPr="000F6CD1" w:rsidRDefault="00B4017B" w:rsidP="002375AB">
      <w:pPr>
        <w:pStyle w:val="ListParagraph"/>
        <w:numPr>
          <w:ilvl w:val="0"/>
          <w:numId w:val="433"/>
        </w:numPr>
        <w:spacing w:after="120" w:line="300" w:lineRule="exact"/>
        <w:ind w:left="709" w:hanging="357"/>
      </w:pPr>
      <w:r w:rsidRPr="000F6CD1">
        <w:t>older people appreciate being asked what is important to them, and to be included in decision-making</w:t>
      </w:r>
    </w:p>
    <w:p w14:paraId="5A836303" w14:textId="77777777" w:rsidR="00B4017B" w:rsidRPr="000F6CD1" w:rsidRDefault="00B4017B" w:rsidP="002375AB">
      <w:pPr>
        <w:pStyle w:val="ListParagraph"/>
        <w:numPr>
          <w:ilvl w:val="0"/>
          <w:numId w:val="433"/>
        </w:numPr>
        <w:spacing w:after="240" w:line="300" w:lineRule="exact"/>
        <w:ind w:left="709" w:hanging="357"/>
      </w:pPr>
      <w:r w:rsidRPr="000F6CD1">
        <w:t>improved sense of purpose, autonomy and self-worth  </w:t>
      </w:r>
    </w:p>
    <w:p w14:paraId="7D7A58D5" w14:textId="77777777" w:rsidR="00B4017B" w:rsidRPr="000F6CD1" w:rsidRDefault="00B4017B" w:rsidP="002375AB">
      <w:pPr>
        <w:pStyle w:val="ListParagraph"/>
        <w:numPr>
          <w:ilvl w:val="0"/>
          <w:numId w:val="433"/>
        </w:numPr>
        <w:spacing w:after="240" w:line="300" w:lineRule="exact"/>
        <w:ind w:left="709" w:hanging="357"/>
      </w:pPr>
      <w:r w:rsidRPr="000F6CD1">
        <w:t>improved physical and emotional health and wellbeing  </w:t>
      </w:r>
    </w:p>
    <w:p w14:paraId="59AECF0D" w14:textId="77777777" w:rsidR="00B4017B" w:rsidRPr="000F6CD1" w:rsidRDefault="00B4017B" w:rsidP="002375AB">
      <w:pPr>
        <w:pStyle w:val="ListParagraph"/>
        <w:numPr>
          <w:ilvl w:val="0"/>
          <w:numId w:val="433"/>
        </w:numPr>
        <w:spacing w:after="240" w:line="300" w:lineRule="exact"/>
        <w:ind w:left="709" w:hanging="357"/>
      </w:pPr>
      <w:r w:rsidRPr="000F6CD1">
        <w:t>reduction in service delivery needs  </w:t>
      </w:r>
    </w:p>
    <w:p w14:paraId="224A0050" w14:textId="77777777" w:rsidR="00B4017B" w:rsidRPr="000F6CD1" w:rsidRDefault="00B4017B" w:rsidP="002375AB">
      <w:pPr>
        <w:pStyle w:val="ListParagraph"/>
        <w:numPr>
          <w:ilvl w:val="0"/>
          <w:numId w:val="433"/>
        </w:numPr>
        <w:spacing w:after="240" w:line="300" w:lineRule="exact"/>
        <w:ind w:left="709" w:hanging="357"/>
      </w:pPr>
      <w:r w:rsidRPr="000F6CD1">
        <w:lastRenderedPageBreak/>
        <w:t>increased ability to remain living independently and safely in their own homes for longer </w:t>
      </w:r>
    </w:p>
    <w:p w14:paraId="0BFAC7B2" w14:textId="77777777" w:rsidR="00B4017B" w:rsidRPr="000F6CD1" w:rsidRDefault="00B4017B" w:rsidP="002375AB">
      <w:pPr>
        <w:pStyle w:val="ListParagraph"/>
        <w:numPr>
          <w:ilvl w:val="0"/>
          <w:numId w:val="395"/>
        </w:numPr>
        <w:spacing w:after="240" w:line="300" w:lineRule="exact"/>
        <w:ind w:left="709" w:hanging="357"/>
      </w:pPr>
      <w:r w:rsidRPr="000F6CD1">
        <w:t>greater quality of life and retention of pride and dignity </w:t>
      </w:r>
    </w:p>
    <w:p w14:paraId="2ECBA7D8" w14:textId="77777777" w:rsidR="00B4017B" w:rsidRPr="000F6CD1" w:rsidRDefault="00B4017B" w:rsidP="002375AB">
      <w:pPr>
        <w:pStyle w:val="ListParagraph"/>
        <w:numPr>
          <w:ilvl w:val="0"/>
          <w:numId w:val="395"/>
        </w:numPr>
        <w:spacing w:after="240" w:line="300" w:lineRule="exact"/>
        <w:ind w:left="709" w:hanging="357"/>
      </w:pPr>
      <w:r w:rsidRPr="000F6CD1">
        <w:t xml:space="preserve">improved connection with community; and </w:t>
      </w:r>
    </w:p>
    <w:p w14:paraId="55F2DB70" w14:textId="77777777" w:rsidR="00B4017B" w:rsidRPr="000F6CD1" w:rsidRDefault="00B4017B" w:rsidP="002375AB">
      <w:pPr>
        <w:pStyle w:val="ListParagraph"/>
        <w:numPr>
          <w:ilvl w:val="0"/>
          <w:numId w:val="395"/>
        </w:numPr>
        <w:spacing w:after="240" w:line="300" w:lineRule="exact"/>
        <w:ind w:left="709" w:hanging="357"/>
      </w:pPr>
      <w:r w:rsidRPr="000F6CD1">
        <w:t>reduced strain on family and carer relationships.</w:t>
      </w:r>
    </w:p>
    <w:p w14:paraId="60D94CF3" w14:textId="77777777" w:rsidR="00B4017B" w:rsidRPr="000F6CD1" w:rsidRDefault="00B4017B" w:rsidP="001308AC">
      <w:pPr>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t>Benefits for aged care assessment organisations </w:t>
      </w:r>
    </w:p>
    <w:p w14:paraId="0B69EA63" w14:textId="77777777" w:rsidR="00B4017B" w:rsidRPr="000F6CD1" w:rsidRDefault="00B4017B" w:rsidP="001308AC">
      <w:pPr>
        <w:pStyle w:val="paragraph"/>
        <w:spacing w:beforeLines="60" w:before="144" w:beforeAutospacing="0" w:afterLines="60" w:after="144" w:afterAutospacing="0" w:line="300" w:lineRule="exact"/>
        <w:textAlignment w:val="baseline"/>
      </w:pPr>
      <w:r w:rsidRPr="000F6CD1">
        <w:t>Reablement focused assessment has flow on benefits for aged care organisations as they can better utilise support workers to focus on more complicated tasks that their older people can’t perform for themselves, resulting in more meaningful and fulfilling work. Importantly, it enables providers to broaden their older person base by offering more short-term support by freeing up longer term service provision. All of which better aligns to aged care reform initiatives and improving the ability to assessment and provider organisations to respond to changes in aged care policy.</w:t>
      </w:r>
    </w:p>
    <w:p w14:paraId="79517ED9" w14:textId="77777777" w:rsidR="00B4017B" w:rsidRPr="000F6CD1" w:rsidRDefault="00B4017B" w:rsidP="001308AC">
      <w:pPr>
        <w:pStyle w:val="paragraph"/>
        <w:spacing w:beforeLines="60" w:before="144" w:beforeAutospacing="0" w:afterLines="60" w:after="144" w:afterAutospacing="0" w:line="300" w:lineRule="exact"/>
        <w:textAlignment w:val="baseline"/>
        <w:rPr>
          <w:rStyle w:val="normaltextrun"/>
          <w:rFonts w:eastAsiaTheme="majorEastAsia"/>
        </w:rPr>
      </w:pPr>
      <w:r w:rsidRPr="000F6CD1">
        <w:rPr>
          <w:rStyle w:val="normaltextrun"/>
          <w:rFonts w:eastAsiaTheme="majorEastAsia"/>
        </w:rPr>
        <w:t>Implementing wellness and reablement provides significant benefits for assessors and their older people including:</w:t>
      </w:r>
    </w:p>
    <w:p w14:paraId="467C5573" w14:textId="77777777" w:rsidR="00B4017B" w:rsidRPr="000F6CD1" w:rsidRDefault="00B4017B" w:rsidP="002375AB">
      <w:pPr>
        <w:pStyle w:val="ListParagraph"/>
        <w:numPr>
          <w:ilvl w:val="0"/>
          <w:numId w:val="394"/>
        </w:numPr>
        <w:spacing w:line="300" w:lineRule="exact"/>
        <w:ind w:left="714" w:hanging="357"/>
      </w:pPr>
      <w:r w:rsidRPr="000F6CD1">
        <w:t>reablement focussed (active) assessment better demonstrates need. This benefit extends to older people with poor reablement prospects, as active assessment better identifies if ongoing services are needed, or if short-term reablement support will help the older person get back to previous levels of independence</w:t>
      </w:r>
    </w:p>
    <w:p w14:paraId="2AE6F81E" w14:textId="77777777" w:rsidR="00B4017B" w:rsidRPr="000F6CD1" w:rsidRDefault="00B4017B" w:rsidP="002375AB">
      <w:pPr>
        <w:pStyle w:val="ListParagraph"/>
        <w:numPr>
          <w:ilvl w:val="0"/>
          <w:numId w:val="394"/>
        </w:numPr>
        <w:spacing w:line="300" w:lineRule="exact"/>
        <w:ind w:left="714" w:hanging="357"/>
      </w:pPr>
      <w:r w:rsidRPr="000F6CD1">
        <w:t>reablement focussed assessment provides a more holistic approach to assessment</w:t>
      </w:r>
    </w:p>
    <w:p w14:paraId="79C95A7B" w14:textId="77777777" w:rsidR="00B4017B" w:rsidRPr="000F6CD1" w:rsidRDefault="00B4017B" w:rsidP="002375AB">
      <w:pPr>
        <w:pStyle w:val="ListParagraph"/>
        <w:numPr>
          <w:ilvl w:val="0"/>
          <w:numId w:val="394"/>
        </w:numPr>
        <w:spacing w:line="300" w:lineRule="exact"/>
        <w:ind w:left="714" w:hanging="357"/>
      </w:pPr>
      <w:r w:rsidRPr="000F6CD1">
        <w:t>greater job satisfaction by actively helping older people to identify goals and become more independent; and</w:t>
      </w:r>
    </w:p>
    <w:p w14:paraId="3CA11ABE" w14:textId="77777777" w:rsidR="00B4017B" w:rsidRPr="000F6CD1" w:rsidRDefault="00B4017B" w:rsidP="002375AB">
      <w:pPr>
        <w:pStyle w:val="ListParagraph"/>
        <w:numPr>
          <w:ilvl w:val="0"/>
          <w:numId w:val="394"/>
        </w:numPr>
        <w:spacing w:line="300" w:lineRule="exact"/>
        <w:ind w:left="714" w:hanging="357"/>
      </w:pPr>
      <w:r w:rsidRPr="000F6CD1">
        <w:t>improved business reputation based on providing person-centred, holistic assessments that focus on individual older person goals, needs and preferences.</w:t>
      </w:r>
    </w:p>
    <w:p w14:paraId="0B8BC0D2" w14:textId="77777777" w:rsidR="00B4017B" w:rsidRPr="000F6CD1" w:rsidRDefault="00B4017B" w:rsidP="001308AC">
      <w:pPr>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t>Benefits for families and carers </w:t>
      </w:r>
    </w:p>
    <w:p w14:paraId="0B70EAF2" w14:textId="77777777" w:rsidR="00B4017B" w:rsidRPr="000F6CD1" w:rsidRDefault="00B4017B" w:rsidP="001308AC">
      <w:pPr>
        <w:pStyle w:val="paragraph"/>
        <w:spacing w:beforeLines="60" w:before="144" w:beforeAutospacing="0" w:afterLines="60" w:after="144" w:afterAutospacing="0" w:line="300" w:lineRule="exact"/>
        <w:textAlignment w:val="baseline"/>
      </w:pPr>
      <w:r w:rsidRPr="000F6CD1">
        <w:rPr>
          <w:rStyle w:val="normaltextrun"/>
          <w:rFonts w:eastAsiaTheme="majorEastAsia"/>
        </w:rPr>
        <w:t>Wellness and reablement approaches can have significant benefits for family members and carers, including:</w:t>
      </w:r>
      <w:r w:rsidRPr="000F6CD1">
        <w:rPr>
          <w:rStyle w:val="eop"/>
          <w:rFonts w:eastAsiaTheme="majorEastAsia"/>
        </w:rPr>
        <w:t> </w:t>
      </w:r>
    </w:p>
    <w:p w14:paraId="05F1F14D" w14:textId="77777777" w:rsidR="00B4017B" w:rsidRPr="000F6CD1" w:rsidRDefault="00B4017B" w:rsidP="002375AB">
      <w:pPr>
        <w:pStyle w:val="ListParagraph"/>
        <w:numPr>
          <w:ilvl w:val="0"/>
          <w:numId w:val="394"/>
        </w:numPr>
        <w:spacing w:before="120" w:after="120" w:line="276" w:lineRule="auto"/>
        <w:ind w:left="714" w:hanging="357"/>
      </w:pPr>
      <w:r w:rsidRPr="000F6CD1">
        <w:t>opportunities</w:t>
      </w:r>
      <w:r w:rsidRPr="000F6CD1" w:rsidDel="00DA598B">
        <w:t xml:space="preserve"> to be inv</w:t>
      </w:r>
      <w:r w:rsidRPr="000F6CD1" w:rsidDel="000F28D5">
        <w:t xml:space="preserve">olved in </w:t>
      </w:r>
      <w:r w:rsidRPr="000F6CD1">
        <w:t>supporting their loved one to meet their goals</w:t>
      </w:r>
    </w:p>
    <w:p w14:paraId="2DC2D0F8" w14:textId="77777777" w:rsidR="00B4017B" w:rsidRPr="000F6CD1" w:rsidRDefault="00B4017B" w:rsidP="002375AB">
      <w:pPr>
        <w:pStyle w:val="ListParagraph"/>
        <w:numPr>
          <w:ilvl w:val="0"/>
          <w:numId w:val="394"/>
        </w:numPr>
        <w:spacing w:before="120" w:after="120" w:line="276" w:lineRule="auto"/>
        <w:ind w:left="714" w:hanging="357"/>
      </w:pPr>
      <w:r w:rsidRPr="000F6CD1">
        <w:t>peace of mind in knowing their loved one is retaining or</w:t>
      </w:r>
      <w:r w:rsidRPr="000F6CD1" w:rsidDel="00E37A3A">
        <w:t xml:space="preserve"> </w:t>
      </w:r>
      <w:r w:rsidRPr="000F6CD1">
        <w:t>regaining their independence, improving their wellbeing and quality of life</w:t>
      </w:r>
    </w:p>
    <w:p w14:paraId="25D78433" w14:textId="77777777" w:rsidR="00B4017B" w:rsidRPr="000F6CD1" w:rsidRDefault="00B4017B" w:rsidP="002375AB">
      <w:pPr>
        <w:pStyle w:val="ListParagraph"/>
        <w:numPr>
          <w:ilvl w:val="0"/>
          <w:numId w:val="394"/>
        </w:numPr>
        <w:spacing w:before="120" w:after="120" w:line="276" w:lineRule="auto"/>
        <w:ind w:left="714" w:hanging="357"/>
      </w:pPr>
      <w:r w:rsidRPr="000F6CD1">
        <w:t>reduced worry and concern over their loved ones along with reduced strain and pressure due to a decrease in caring requirements.</w:t>
      </w:r>
    </w:p>
    <w:p w14:paraId="57F764A7" w14:textId="77777777" w:rsidR="00B4017B" w:rsidRPr="000F6CD1" w:rsidRDefault="00B4017B" w:rsidP="00370263">
      <w:pPr>
        <w:rPr>
          <w:rFonts w:ascii="Arial Bold" w:eastAsiaTheme="minorEastAsia" w:hAnsi="Arial Bold" w:cstheme="minorBidi" w:hint="eastAsia"/>
          <w:b/>
          <w:lang w:eastAsia="en-GB"/>
        </w:rPr>
      </w:pPr>
    </w:p>
    <w:p w14:paraId="48DD497D" w14:textId="77777777" w:rsidR="00B4017B" w:rsidRPr="000F6CD1" w:rsidRDefault="00B4017B" w:rsidP="00370263">
      <w:pPr>
        <w:rPr>
          <w:rFonts w:ascii="Arial Bold" w:eastAsiaTheme="minorEastAsia" w:hAnsi="Arial Bold" w:cstheme="minorBidi" w:hint="eastAsia"/>
          <w:b/>
          <w:lang w:eastAsia="en-GB"/>
        </w:rPr>
      </w:pPr>
    </w:p>
    <w:p w14:paraId="6C590CAF" w14:textId="77777777" w:rsidR="00B4017B" w:rsidRPr="000F6CD1" w:rsidRDefault="00B4017B" w:rsidP="00370263">
      <w:pPr>
        <w:rPr>
          <w:rFonts w:ascii="Arial Bold" w:eastAsiaTheme="minorEastAsia" w:hAnsi="Arial Bold" w:cstheme="minorBidi" w:hint="eastAsia"/>
          <w:b/>
          <w:lang w:eastAsia="en-GB"/>
        </w:rPr>
      </w:pPr>
    </w:p>
    <w:p w14:paraId="2F489255" w14:textId="77777777" w:rsidR="00B4017B" w:rsidRPr="000F6CD1" w:rsidRDefault="00B4017B" w:rsidP="00370263">
      <w:pPr>
        <w:rPr>
          <w:rFonts w:ascii="Arial Bold" w:eastAsiaTheme="minorEastAsia" w:hAnsi="Arial Bold" w:cstheme="minorBidi" w:hint="eastAsia"/>
          <w:b/>
          <w:lang w:eastAsia="en-GB"/>
        </w:rPr>
      </w:pPr>
    </w:p>
    <w:p w14:paraId="0E228AFE" w14:textId="77777777" w:rsidR="00B4017B" w:rsidRPr="000F6CD1" w:rsidRDefault="00B4017B" w:rsidP="00370263">
      <w:pPr>
        <w:rPr>
          <w:rFonts w:ascii="Arial Bold" w:eastAsiaTheme="minorEastAsia" w:hAnsi="Arial Bold" w:cstheme="minorBidi" w:hint="eastAsia"/>
          <w:b/>
          <w:lang w:eastAsia="en-GB"/>
        </w:rPr>
      </w:pPr>
    </w:p>
    <w:p w14:paraId="5E3AEA05" w14:textId="77777777" w:rsidR="00B4017B" w:rsidRPr="000F6CD1" w:rsidRDefault="00B4017B" w:rsidP="00370263">
      <w:pPr>
        <w:rPr>
          <w:rFonts w:ascii="Arial Bold" w:eastAsiaTheme="minorEastAsia" w:hAnsi="Arial Bold" w:cstheme="minorBidi" w:hint="eastAsia"/>
          <w:b/>
          <w:lang w:eastAsia="en-GB"/>
        </w:rPr>
      </w:pPr>
    </w:p>
    <w:p w14:paraId="1530A10E" w14:textId="77777777" w:rsidR="00B4017B" w:rsidRPr="000F6CD1" w:rsidRDefault="00B4017B" w:rsidP="00370263">
      <w:pPr>
        <w:rPr>
          <w:rFonts w:ascii="Arial Bold" w:eastAsiaTheme="minorEastAsia" w:hAnsi="Arial Bold" w:cstheme="minorBidi" w:hint="eastAsia"/>
          <w:b/>
          <w:lang w:eastAsia="en-GB"/>
        </w:rPr>
      </w:pPr>
    </w:p>
    <w:p w14:paraId="059F4465" w14:textId="77777777" w:rsidR="00B4017B" w:rsidRPr="000F6CD1" w:rsidRDefault="00B4017B" w:rsidP="00370263">
      <w:pPr>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lastRenderedPageBreak/>
        <w:t>Older person scenarios — Applying a wellness and reablement approach</w:t>
      </w:r>
    </w:p>
    <w:p w14:paraId="4A0F93E8" w14:textId="77777777" w:rsidR="00B4017B" w:rsidRPr="000F6CD1" w:rsidRDefault="00B4017B" w:rsidP="00370263">
      <w:pPr>
        <w:pStyle w:val="Boxwithcolouredkeyline"/>
        <w:rPr>
          <w:b/>
          <w:bCs/>
          <w:szCs w:val="22"/>
        </w:rPr>
      </w:pPr>
      <w:r w:rsidRPr="000F6CD1">
        <w:rPr>
          <w:b/>
          <w:bCs/>
          <w:szCs w:val="22"/>
        </w:rPr>
        <w:t>HARRY</w:t>
      </w:r>
      <w:r w:rsidRPr="000F6CD1">
        <w:rPr>
          <w:szCs w:val="22"/>
        </w:rPr>
        <w:t xml:space="preserve"> is a 70-year-old man who lives alone. After contacting My Aged Care, a face-to-face home support assessment was undertaken which identified Harry needed some assistance with clothes-washing and meals. The assessor applied a wellness and reablement approach in the assessment, asking Harry to show how he performed tasks around the home, observing what he could do for himself and asking him what goals he wanted to achieve.</w:t>
      </w:r>
    </w:p>
    <w:p w14:paraId="52AA147B" w14:textId="66D1293C" w:rsidR="00B4017B" w:rsidRPr="000F6CD1" w:rsidRDefault="00B4017B" w:rsidP="00370263">
      <w:pPr>
        <w:pStyle w:val="Boxwithcolouredkeyline"/>
        <w:rPr>
          <w:szCs w:val="22"/>
        </w:rPr>
      </w:pPr>
      <w:r w:rsidRPr="000F6CD1">
        <w:rPr>
          <w:szCs w:val="22"/>
        </w:rPr>
        <w:t xml:space="preserve">At first, Harry didn’t know what to say. He thought he was too old to set new goals but indicated he was open to doing the cooking. Harry said he lacked confidence and skills as his wife, who recently passed away, had always done most of the cooking. With this information, the assessor referred Harry for support with planning his grocery shopping and meal preparation. With this support, Harry could work out what he wanted to cook, plan his shopping to obtain the necessary ingredients, and then helped his support worker prepare the meals while receiving basic cooking instructions. </w:t>
      </w:r>
    </w:p>
    <w:p w14:paraId="61E08D6C" w14:textId="77777777" w:rsidR="00B4017B" w:rsidRPr="000F6CD1" w:rsidRDefault="00B4017B" w:rsidP="00370263">
      <w:pPr>
        <w:pStyle w:val="Boxwithcolouredkeyline"/>
        <w:rPr>
          <w:szCs w:val="22"/>
        </w:rPr>
      </w:pPr>
      <w:r w:rsidRPr="000F6CD1">
        <w:rPr>
          <w:szCs w:val="22"/>
        </w:rPr>
        <w:t>Learning these skills built Harry’s confidence to manage his shopping and cook his own meals, increasing his independence and quality of life.</w:t>
      </w:r>
    </w:p>
    <w:p w14:paraId="7E9E40CC" w14:textId="77777777" w:rsidR="00B4017B" w:rsidRPr="000F6CD1" w:rsidRDefault="00B4017B" w:rsidP="00370263">
      <w:pPr>
        <w:pStyle w:val="Boxwithcolouredkeyline"/>
        <w:rPr>
          <w:szCs w:val="22"/>
        </w:rPr>
      </w:pPr>
      <w:r w:rsidRPr="000F6CD1">
        <w:rPr>
          <w:szCs w:val="22"/>
        </w:rPr>
        <w:t>During the assessment, the assessor also encouraged Harry by helping him identify task simplification strategies to do the laundry with some support. Instead of referring for domestic assistance three times a week, the assessor advised Harry to wash and hang his clothes using a trolley and an easy-to-reach drying rack inside, instead referring him for once-a-week support to help him hang out heavier washing, like sheets and towels.</w:t>
      </w:r>
    </w:p>
    <w:p w14:paraId="1828C6C7" w14:textId="77777777" w:rsidR="00B4017B" w:rsidRPr="000F6CD1" w:rsidRDefault="00B4017B" w:rsidP="00370263">
      <w:pPr>
        <w:spacing w:after="0" w:line="300" w:lineRule="exact"/>
        <w:rPr>
          <w:b/>
          <w:color w:val="279989"/>
          <w:sz w:val="8"/>
          <w:szCs w:val="8"/>
        </w:rPr>
      </w:pPr>
    </w:p>
    <w:p w14:paraId="6F5E6CB9" w14:textId="77777777" w:rsidR="00B4017B" w:rsidRPr="000F6CD1" w:rsidRDefault="00B4017B" w:rsidP="00370263">
      <w:pPr>
        <w:pStyle w:val="Boxwithcolouredkeyline"/>
        <w:rPr>
          <w:b/>
          <w:bCs/>
        </w:rPr>
      </w:pPr>
      <w:r w:rsidRPr="000F6CD1">
        <w:rPr>
          <w:b/>
          <w:bCs/>
          <w:szCs w:val="20"/>
        </w:rPr>
        <w:t>ELSA</w:t>
      </w:r>
      <w:r w:rsidRPr="000F6CD1">
        <w:rPr>
          <w:szCs w:val="20"/>
        </w:rPr>
        <w:t xml:space="preserve"> is a 72-year woman with osteoarthritis who has been receiving domestic assistance under the CHSP for two hours a week to provide assistance with general housework and laundry. Elsa required no other assistance. </w:t>
      </w:r>
    </w:p>
    <w:p w14:paraId="147DEA66" w14:textId="77777777" w:rsidR="00B4017B" w:rsidRPr="000F6CD1" w:rsidRDefault="00B4017B" w:rsidP="00370263">
      <w:pPr>
        <w:pStyle w:val="Boxwithcolouredkeyline"/>
      </w:pPr>
      <w:r w:rsidRPr="000F6CD1">
        <w:t>During a support plan review, the non-clinical assessor applied a wellness and reablement approach to Elsa’s continuing needs, asking Elsa to demonstrate how she completed light household chores such as dusting, wiping over surfaces, washing the dishes and using a lightweight carpet sweeper.</w:t>
      </w:r>
    </w:p>
    <w:p w14:paraId="3D9601D4" w14:textId="6FF7A2CB" w:rsidR="00B4017B" w:rsidRPr="000F6CD1" w:rsidRDefault="00B4017B" w:rsidP="00370263">
      <w:pPr>
        <w:pStyle w:val="Boxwithcolouredkeyline"/>
      </w:pPr>
      <w:r w:rsidRPr="000F6CD1">
        <w:rPr>
          <w:szCs w:val="20"/>
        </w:rPr>
        <w:t>Applying a reablement approach, over a two-month period instead of ‘doing for</w:t>
      </w:r>
      <w:r w:rsidR="000468FB" w:rsidRPr="000F6CD1">
        <w:rPr>
          <w:szCs w:val="20"/>
        </w:rPr>
        <w:t>,’</w:t>
      </w:r>
      <w:r w:rsidRPr="000F6CD1">
        <w:rPr>
          <w:szCs w:val="20"/>
        </w:rPr>
        <w:t xml:space="preserve"> Elsa was encouraged to undertake some of these tasks by herself, whilst the support worker completed more difficult tasks, such as vacuuming and mopping. </w:t>
      </w:r>
    </w:p>
    <w:p w14:paraId="3ED0F363" w14:textId="77777777" w:rsidR="00B4017B" w:rsidRPr="000F6CD1" w:rsidRDefault="00B4017B" w:rsidP="00370263">
      <w:pPr>
        <w:pStyle w:val="Boxwithcolouredkeyline"/>
        <w:rPr>
          <w:szCs w:val="22"/>
        </w:rPr>
      </w:pPr>
      <w:r w:rsidRPr="000F6CD1">
        <w:rPr>
          <w:szCs w:val="22"/>
        </w:rPr>
        <w:t>Elsa still requires ongoing support; however, she is now more involved and independent, has increased activity levels, and feels more satisfied about continuing to live at home.</w:t>
      </w:r>
    </w:p>
    <w:p w14:paraId="711600D7" w14:textId="77777777" w:rsidR="00B4017B" w:rsidRPr="000F6CD1" w:rsidRDefault="00B4017B" w:rsidP="00370263">
      <w:pPr>
        <w:rPr>
          <w:b/>
          <w:color w:val="279989"/>
        </w:rPr>
      </w:pPr>
    </w:p>
    <w:p w14:paraId="742B3D2D" w14:textId="77777777" w:rsidR="00B4017B" w:rsidRPr="000F6CD1" w:rsidRDefault="00B4017B" w:rsidP="00370263">
      <w:pPr>
        <w:rPr>
          <w:b/>
          <w:color w:val="279989"/>
        </w:rPr>
      </w:pPr>
    </w:p>
    <w:p w14:paraId="39D6D7F7" w14:textId="77777777" w:rsidR="00B4017B" w:rsidRPr="000F6CD1" w:rsidRDefault="00B4017B" w:rsidP="00370263">
      <w:pPr>
        <w:rPr>
          <w:b/>
          <w:color w:val="279989"/>
        </w:rPr>
      </w:pPr>
    </w:p>
    <w:p w14:paraId="0227F8E0" w14:textId="77777777" w:rsidR="00B4017B" w:rsidRPr="000F6CD1" w:rsidRDefault="00B4017B" w:rsidP="00370263">
      <w:pPr>
        <w:rPr>
          <w:b/>
          <w:color w:val="279989"/>
        </w:rPr>
      </w:pPr>
    </w:p>
    <w:p w14:paraId="52834A31" w14:textId="77777777" w:rsidR="00B4017B" w:rsidRPr="000F6CD1" w:rsidRDefault="00B4017B" w:rsidP="00370263">
      <w:pPr>
        <w:rPr>
          <w:b/>
          <w:color w:val="279989"/>
        </w:rPr>
      </w:pPr>
    </w:p>
    <w:p w14:paraId="11C22913" w14:textId="77777777" w:rsidR="00B4017B" w:rsidRPr="000F6CD1" w:rsidRDefault="00B4017B" w:rsidP="00370263">
      <w:pPr>
        <w:rPr>
          <w:b/>
          <w:color w:val="279989"/>
        </w:rPr>
      </w:pPr>
      <w:r w:rsidRPr="000F6CD1">
        <w:rPr>
          <w:rFonts w:ascii="Arial Bold" w:eastAsiaTheme="minorEastAsia" w:hAnsi="Arial Bold" w:cstheme="minorBidi"/>
          <w:b/>
          <w:lang w:eastAsia="en-GB"/>
        </w:rPr>
        <w:lastRenderedPageBreak/>
        <w:t>Principles of wellness and reablement</w:t>
      </w:r>
    </w:p>
    <w:p w14:paraId="60AE7E44" w14:textId="77777777" w:rsidR="00B4017B" w:rsidRPr="000F6CD1" w:rsidRDefault="00B4017B" w:rsidP="007C2E0B">
      <w:pPr>
        <w:spacing w:after="240" w:line="300" w:lineRule="exact"/>
      </w:pPr>
      <w:r w:rsidRPr="000F6CD1">
        <w:t xml:space="preserve">Wellness and reablement describe an overall approach to service delivery. </w:t>
      </w:r>
    </w:p>
    <w:p w14:paraId="212ED1AB" w14:textId="77777777" w:rsidR="00B4017B" w:rsidRPr="000F6CD1" w:rsidRDefault="00B4017B" w:rsidP="007C2E0B">
      <w:pPr>
        <w:spacing w:after="240" w:line="300" w:lineRule="exact"/>
      </w:pPr>
      <w:r w:rsidRPr="000F6CD1">
        <w:t xml:space="preserve">Employment of wellness and reablement approaches in aged care organisations promotes client wellbeing, independence, function, and management of activities of daily living. </w:t>
      </w:r>
    </w:p>
    <w:p w14:paraId="1C2E543B" w14:textId="77777777" w:rsidR="00B4017B" w:rsidRPr="000F6CD1" w:rsidRDefault="00B4017B" w:rsidP="007C2E0B">
      <w:pPr>
        <w:spacing w:after="240" w:line="300" w:lineRule="exact"/>
      </w:pPr>
      <w:r w:rsidRPr="000F6CD1">
        <w:t xml:space="preserve">In line with the Statement of Rights, ways to apply wellness and reablement approaches include: </w:t>
      </w:r>
    </w:p>
    <w:p w14:paraId="38621D5F" w14:textId="77777777" w:rsidR="00B4017B" w:rsidRPr="000F6CD1" w:rsidRDefault="00B4017B" w:rsidP="00DF3F6B">
      <w:pPr>
        <w:pStyle w:val="ListBullet"/>
        <w:numPr>
          <w:ilvl w:val="0"/>
          <w:numId w:val="414"/>
        </w:numPr>
        <w:spacing w:after="120"/>
        <w:ind w:left="714" w:hanging="357"/>
      </w:pPr>
      <w:r w:rsidRPr="000F6CD1">
        <w:rPr>
          <w:b/>
        </w:rPr>
        <w:t xml:space="preserve">Promote independence </w:t>
      </w:r>
      <w:r w:rsidRPr="000F6CD1">
        <w:t>– people value their independence, loss of independence can have a devastating effect, particularly for older people who may find it more difficult to regain.</w:t>
      </w:r>
    </w:p>
    <w:p w14:paraId="270D995C" w14:textId="77777777" w:rsidR="00B4017B" w:rsidRPr="000F6CD1" w:rsidRDefault="00B4017B" w:rsidP="00DF3F6B">
      <w:pPr>
        <w:pStyle w:val="ListBullet"/>
        <w:numPr>
          <w:ilvl w:val="0"/>
          <w:numId w:val="414"/>
        </w:numPr>
        <w:spacing w:after="120" w:line="300" w:lineRule="exact"/>
        <w:ind w:left="714" w:hanging="357"/>
        <w:rPr>
          <w:rFonts w:cs="Arial"/>
          <w:szCs w:val="22"/>
        </w:rPr>
      </w:pPr>
      <w:r w:rsidRPr="000F6CD1">
        <w:rPr>
          <w:rFonts w:cs="Arial"/>
          <w:b/>
          <w:szCs w:val="22"/>
        </w:rPr>
        <w:t>Identify older person’s goals and motivation</w:t>
      </w:r>
      <w:r w:rsidRPr="000F6CD1">
        <w:rPr>
          <w:rFonts w:cs="Arial"/>
          <w:szCs w:val="22"/>
        </w:rPr>
        <w:t xml:space="preserve"> – a person’s independence requires more than just services to help them remain in their home and maintain their current capacity. Service delivery should focus on supporting the older person to actively work towards their goals and improved independence wherever possible.</w:t>
      </w:r>
    </w:p>
    <w:p w14:paraId="4FC11BB6" w14:textId="77777777" w:rsidR="00B4017B" w:rsidRPr="000F6CD1" w:rsidRDefault="00B4017B" w:rsidP="00DF3F6B">
      <w:pPr>
        <w:pStyle w:val="ListBullet"/>
        <w:numPr>
          <w:ilvl w:val="0"/>
          <w:numId w:val="414"/>
        </w:numPr>
        <w:spacing w:after="120" w:line="300" w:lineRule="exact"/>
        <w:ind w:left="714" w:hanging="357"/>
        <w:rPr>
          <w:rFonts w:cs="Arial"/>
          <w:szCs w:val="22"/>
        </w:rPr>
      </w:pPr>
      <w:r w:rsidRPr="000F6CD1">
        <w:rPr>
          <w:rFonts w:cs="Arial"/>
          <w:b/>
          <w:szCs w:val="22"/>
        </w:rPr>
        <w:t>Consider physical and psychosocial needs</w:t>
      </w:r>
      <w:r w:rsidRPr="000F6CD1">
        <w:rPr>
          <w:rFonts w:cs="Arial"/>
          <w:szCs w:val="22"/>
        </w:rPr>
        <w:t xml:space="preserve"> – independence is not limited to physical function, it includes both social and psychological function.</w:t>
      </w:r>
      <w:r w:rsidRPr="000F6CD1">
        <w:t xml:space="preserve"> </w:t>
      </w:r>
      <w:r w:rsidRPr="000F6CD1">
        <w:rPr>
          <w:rFonts w:cs="Arial"/>
          <w:szCs w:val="22"/>
        </w:rPr>
        <w:t>Support should be tailored to the individual and aim to improve their physical, social and emotional wellbeing.</w:t>
      </w:r>
    </w:p>
    <w:p w14:paraId="3E510549"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Encourage participation of older people</w:t>
      </w:r>
      <w:r w:rsidRPr="000F6CD1">
        <w:t xml:space="preserve"> – being an active participant, rather than a passive recipient of services, is an important of being physically and emotionally healthy. Service delivery should focus on assisting a person to complete tasks, not taking over tasks that a person can do for themselves.</w:t>
      </w:r>
    </w:p>
    <w:p w14:paraId="45449823"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Regular assessment</w:t>
      </w:r>
      <w:r w:rsidRPr="000F6CD1">
        <w:t xml:space="preserve"> – older person assessment should be ongoing, not one-off. It should focus on progress towards older person goals and consider the support and duration of services required to meet these goals.</w:t>
      </w:r>
    </w:p>
    <w:p w14:paraId="738D4FA7"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Focus on strengths</w:t>
      </w:r>
      <w:r w:rsidRPr="000F6CD1">
        <w:t xml:space="preserve"> - the focus should be on what a person can do, rather than what they can’t. Wherever possible, services should aim to retain, regain, or learn skills rather than creating dependencies.</w:t>
      </w:r>
    </w:p>
    <w:p w14:paraId="0F35AAD0"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Support older people to reach their potential</w:t>
      </w:r>
      <w:r w:rsidRPr="000F6CD1">
        <w:t xml:space="preserve"> – help older people to maintain and extend their activities in line with their capabilities.</w:t>
      </w:r>
    </w:p>
    <w:p w14:paraId="18E6ABD5"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 xml:space="preserve">Individualise support </w:t>
      </w:r>
      <w:r w:rsidRPr="000F6CD1">
        <w:t>– service delivery</w:t>
      </w:r>
      <w:r w:rsidRPr="000F6CD1">
        <w:rPr>
          <w:b/>
        </w:rPr>
        <w:t xml:space="preserve"> </w:t>
      </w:r>
      <w:r w:rsidRPr="000F6CD1">
        <w:t>should be individualised and suited to the goals, aspirations and needs of the individual.</w:t>
      </w:r>
    </w:p>
    <w:p w14:paraId="645ABBAE" w14:textId="77777777" w:rsidR="00B4017B" w:rsidRPr="000F6CD1" w:rsidRDefault="00B4017B" w:rsidP="0091743E">
      <w:pPr>
        <w:pStyle w:val="ListParagraph"/>
        <w:numPr>
          <w:ilvl w:val="0"/>
          <w:numId w:val="414"/>
        </w:numPr>
        <w:spacing w:after="120" w:line="300" w:lineRule="exact"/>
        <w:ind w:left="714" w:hanging="357"/>
        <w:contextualSpacing w:val="0"/>
      </w:pPr>
      <w:r w:rsidRPr="000F6CD1">
        <w:rPr>
          <w:b/>
        </w:rPr>
        <w:t xml:space="preserve">Regular review – </w:t>
      </w:r>
      <w:r w:rsidRPr="000F6CD1">
        <w:rPr>
          <w:bCs/>
        </w:rPr>
        <w:t xml:space="preserve">a person’s assessment should be ongoing, not one-off. It should focus </w:t>
      </w:r>
      <w:r w:rsidRPr="000F6CD1">
        <w:t>on progress towards goals and consider the support and duration of services required to meet these goals.</w:t>
      </w:r>
    </w:p>
    <w:p w14:paraId="07DEEFFC" w14:textId="77777777" w:rsidR="00B4017B" w:rsidRPr="000F6CD1" w:rsidRDefault="00B4017B">
      <w:r w:rsidRPr="000F6CD1">
        <w:br w:type="page"/>
      </w:r>
    </w:p>
    <w:p w14:paraId="0EA94DFF" w14:textId="77777777" w:rsidR="00B4017B" w:rsidRPr="000F6CD1" w:rsidRDefault="00B4017B" w:rsidP="00370263">
      <w:pPr>
        <w:pStyle w:val="ListParagraph"/>
        <w:spacing w:after="240" w:line="300" w:lineRule="exact"/>
        <w:ind w:left="568" w:hanging="284"/>
      </w:pPr>
    </w:p>
    <w:p w14:paraId="1021F300" w14:textId="77777777" w:rsidR="00B4017B" w:rsidRPr="000F6CD1" w:rsidRDefault="00B4017B" w:rsidP="006D4B6C">
      <w:pPr>
        <w:pStyle w:val="Boxwithcolouredkeyline"/>
      </w:pPr>
      <w:r w:rsidRPr="000F6CD1">
        <w:rPr>
          <w:b/>
        </w:rPr>
        <w:t>HELEN</w:t>
      </w:r>
      <w:r w:rsidRPr="000F6CD1">
        <w:t xml:space="preserve"> is a 78-year woman with osteoarthritis. Lately, Helen has had difficulty performing household cleaning duties and doing her laundry. At assessment, the assessor undertook a reablement-focused (active) assessment to better identify Helen’s needs. </w:t>
      </w:r>
    </w:p>
    <w:p w14:paraId="017405CB" w14:textId="77777777" w:rsidR="00B4017B" w:rsidRPr="000F6CD1" w:rsidRDefault="00B4017B" w:rsidP="006D4B6C">
      <w:pPr>
        <w:pStyle w:val="Boxwithcolouredkeyline"/>
      </w:pPr>
      <w:r w:rsidRPr="000F6CD1">
        <w:t>By asking Helen to show the assessor how she did her housework (active assessment), the assessor identified lighter tasks that Helen could still complete, but certain tasks impacted her arthritis. During the assessment, the assessor asked Helen what she enjoys and the goals she would like to achieve. Helen identifies she used to enjoy keeping her home clean and tidy but is feeling lonely because she worries visitors may think she isn’t coping around the house as well as she used to.</w:t>
      </w:r>
    </w:p>
    <w:p w14:paraId="5B0EF876" w14:textId="77777777" w:rsidR="00B4017B" w:rsidRPr="000F6CD1" w:rsidRDefault="00B4017B" w:rsidP="006D4B6C">
      <w:pPr>
        <w:pStyle w:val="Boxwithcolouredkeyline"/>
        <w:rPr>
          <w:i/>
        </w:rPr>
      </w:pPr>
      <w:r w:rsidRPr="000F6CD1">
        <w:t>In working with Helen to develop a Support Plan, the assessor focusses on Helen’s strengths and the things she wants to regain/maintain. As a result of the active assessment, the Support Plan refers Helen for short-term reablement support over a two-month period where Helen does lighter housework while the support worker completes tasks that provoke Helen’s arthritis, such as vacuuming and mopping.</w:t>
      </w:r>
    </w:p>
    <w:p w14:paraId="685EBE27" w14:textId="04156D42" w:rsidR="00B4017B" w:rsidRPr="000F6CD1" w:rsidRDefault="00B4017B" w:rsidP="006D4B6C">
      <w:pPr>
        <w:pStyle w:val="Boxwithcolouredkeyline"/>
      </w:pPr>
      <w:r w:rsidRPr="000F6CD1">
        <w:t>Although Helen requires ongoing support with more difficult domestic duties, she has improved her functional capacity and feels more like herself. By adopting a strength-based approach to assessment and service delivery, focusing on ‘doing with’ not ‘doing for</w:t>
      </w:r>
      <w:r w:rsidR="000468FB" w:rsidRPr="000F6CD1">
        <w:t>,’</w:t>
      </w:r>
      <w:r w:rsidRPr="000F6CD1">
        <w:t xml:space="preserve"> Helen is able to maintain some physical activity and by regaining some independence she is feeling more fulfilled and capable. Helen has begun engaging with her friends again which has improved her social connectedness. </w:t>
      </w:r>
    </w:p>
    <w:p w14:paraId="15B1CA11" w14:textId="77777777" w:rsidR="00B4017B" w:rsidRPr="000F6CD1" w:rsidRDefault="00B4017B" w:rsidP="00370263">
      <w:pPr>
        <w:rPr>
          <w:rFonts w:ascii="Arial Bold" w:eastAsiaTheme="minorEastAsia" w:hAnsi="Arial Bold" w:cstheme="minorBidi" w:hint="eastAsia"/>
          <w:b/>
          <w:lang w:eastAsia="en-GB"/>
        </w:rPr>
      </w:pPr>
    </w:p>
    <w:p w14:paraId="60A1B73B" w14:textId="77777777" w:rsidR="00B4017B" w:rsidRPr="000F6CD1" w:rsidRDefault="00B4017B" w:rsidP="00370263">
      <w:pPr>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t xml:space="preserve">Time-limited support </w:t>
      </w:r>
    </w:p>
    <w:p w14:paraId="36FF3018" w14:textId="77777777" w:rsidR="00B4017B" w:rsidRPr="000F6CD1" w:rsidRDefault="00B4017B" w:rsidP="00370263">
      <w:pPr>
        <w:spacing w:after="240" w:line="300" w:lineRule="exact"/>
      </w:pPr>
      <w:r w:rsidRPr="000F6CD1">
        <w:t xml:space="preserve">Wellness and reablement approaches often involve time-limited services. Time-limited care aims to address an older person’s specific barriers to independence and support them getting back to doing things for themselves. This involves a targeted timeframe, developed with the older person, for achieving their goals. </w:t>
      </w:r>
    </w:p>
    <w:p w14:paraId="76E4E481" w14:textId="77777777" w:rsidR="00B4017B" w:rsidRPr="000F6CD1" w:rsidRDefault="00B4017B" w:rsidP="00370263">
      <w:pPr>
        <w:spacing w:after="240" w:line="300" w:lineRule="exact"/>
      </w:pPr>
      <w:r w:rsidRPr="000F6CD1">
        <w:t>Understanding what a good day looks like for an older person and how it relates to their individual goals and outcomes is important for determining short-term support needs. This could be maintaining a level of activity or independence or working towards regaining it. Time-limited reablement services tend to be delivered within a 12-week period with the aim to wrap up services when the older person has met their goal or specific outcome. Time-limited reablement under the CHSP can be delivered by all service types (with the exception of Sector Support and Development).</w:t>
      </w:r>
    </w:p>
    <w:p w14:paraId="461F1642" w14:textId="77777777" w:rsidR="00B4017B" w:rsidRPr="000F6CD1" w:rsidRDefault="00B4017B" w:rsidP="00370263">
      <w:pPr>
        <w:spacing w:after="240" w:line="300" w:lineRule="exact"/>
      </w:pPr>
      <w:r w:rsidRPr="000F6CD1">
        <w:t xml:space="preserve">Time-limited reablement may involve restorative care services where the client has the potential to make a functional gain. </w:t>
      </w:r>
    </w:p>
    <w:p w14:paraId="31A5C34F" w14:textId="77777777" w:rsidR="00B4017B" w:rsidRPr="000F6CD1" w:rsidRDefault="00B4017B" w:rsidP="00370263">
      <w:pPr>
        <w:spacing w:after="120" w:line="300" w:lineRule="exact"/>
      </w:pPr>
      <w:r w:rsidRPr="000F6CD1">
        <w:t>Other time-limited support could include:</w:t>
      </w:r>
    </w:p>
    <w:p w14:paraId="3F4285AA" w14:textId="77777777" w:rsidR="00B4017B" w:rsidRPr="000F6CD1" w:rsidRDefault="00B4017B" w:rsidP="00DF3F6B">
      <w:pPr>
        <w:pStyle w:val="ListParagraph"/>
        <w:numPr>
          <w:ilvl w:val="0"/>
          <w:numId w:val="434"/>
        </w:numPr>
        <w:spacing w:after="240" w:line="300" w:lineRule="exact"/>
      </w:pPr>
      <w:r w:rsidRPr="000F6CD1">
        <w:t>training in a new skill or actively working to regain or maintain an existing skill</w:t>
      </w:r>
    </w:p>
    <w:p w14:paraId="760EAE09" w14:textId="77777777" w:rsidR="00B4017B" w:rsidRPr="000F6CD1" w:rsidRDefault="00B4017B" w:rsidP="00DF3F6B">
      <w:pPr>
        <w:pStyle w:val="ListParagraph"/>
        <w:numPr>
          <w:ilvl w:val="0"/>
          <w:numId w:val="434"/>
        </w:numPr>
        <w:spacing w:after="240" w:line="300" w:lineRule="exact"/>
      </w:pPr>
      <w:r w:rsidRPr="000F6CD1">
        <w:lastRenderedPageBreak/>
        <w:t>modification to a person’s home environment; or</w:t>
      </w:r>
    </w:p>
    <w:p w14:paraId="2C3782F6" w14:textId="77777777" w:rsidR="00B4017B" w:rsidRPr="000F6CD1" w:rsidRDefault="00B4017B" w:rsidP="00DF3F6B">
      <w:pPr>
        <w:pStyle w:val="ListParagraph"/>
        <w:numPr>
          <w:ilvl w:val="0"/>
          <w:numId w:val="434"/>
        </w:numPr>
        <w:spacing w:after="240" w:line="300" w:lineRule="exact"/>
      </w:pPr>
      <w:r w:rsidRPr="000F6CD1">
        <w:t>having access to assistive technology.</w:t>
      </w:r>
    </w:p>
    <w:p w14:paraId="68A7DC39" w14:textId="77777777" w:rsidR="00B4017B" w:rsidRPr="003E5494" w:rsidRDefault="00B4017B" w:rsidP="003D374A">
      <w:pPr>
        <w:pStyle w:val="Sub-headingnon-contentpage"/>
        <w:rPr>
          <w:color w:val="279989"/>
        </w:rPr>
      </w:pPr>
      <w:r w:rsidRPr="003E5494">
        <w:t>Wellness and reablement obligations and supports</w:t>
      </w:r>
    </w:p>
    <w:p w14:paraId="0AB87424" w14:textId="77777777" w:rsidR="00B4017B" w:rsidRPr="000F6CD1" w:rsidRDefault="00B4017B" w:rsidP="00370263">
      <w:pPr>
        <w:spacing w:after="120" w:line="300" w:lineRule="exact"/>
      </w:pPr>
      <w:r w:rsidRPr="000F6CD1">
        <w:t>As part of applying a wellness and reablement approach assessment organisations should:</w:t>
      </w:r>
    </w:p>
    <w:p w14:paraId="614C3F1A" w14:textId="77777777" w:rsidR="00B4017B" w:rsidRPr="000F6CD1" w:rsidRDefault="00B4017B" w:rsidP="00370263">
      <w:pPr>
        <w:pStyle w:val="ListBullet"/>
        <w:spacing w:after="0" w:line="300" w:lineRule="exact"/>
        <w:ind w:left="568" w:hanging="284"/>
        <w:rPr>
          <w:szCs w:val="22"/>
        </w:rPr>
      </w:pPr>
      <w:r w:rsidRPr="000F6CD1">
        <w:rPr>
          <w:szCs w:val="22"/>
        </w:rPr>
        <w:t>ensure that assessment referrals are targeted towards assisting older people to achieve their agreed realistic goals as outlined in the Support Plan</w:t>
      </w:r>
    </w:p>
    <w:p w14:paraId="451DA0DC" w14:textId="77777777" w:rsidR="00B4017B" w:rsidRPr="000F6CD1" w:rsidRDefault="00B4017B" w:rsidP="00370263">
      <w:pPr>
        <w:pStyle w:val="ListBullet"/>
        <w:spacing w:after="0" w:line="300" w:lineRule="exact"/>
        <w:ind w:left="568" w:hanging="284"/>
        <w:rPr>
          <w:rFonts w:cs="Arial"/>
          <w:szCs w:val="22"/>
        </w:rPr>
      </w:pPr>
      <w:r w:rsidRPr="000F6CD1">
        <w:rPr>
          <w:rFonts w:cs="Arial"/>
          <w:szCs w:val="22"/>
        </w:rPr>
        <w:t xml:space="preserve">apply a 'doing with' instead of ‘doing for’ approach where possible, offer time limited interventions </w:t>
      </w:r>
    </w:p>
    <w:p w14:paraId="1CB0FEA7" w14:textId="77777777" w:rsidR="00B4017B" w:rsidRPr="000F6CD1" w:rsidRDefault="00B4017B" w:rsidP="00370263">
      <w:pPr>
        <w:pStyle w:val="ListBullet"/>
        <w:spacing w:after="0" w:line="300" w:lineRule="exact"/>
        <w:ind w:left="568" w:hanging="284"/>
        <w:rPr>
          <w:rFonts w:cs="Arial"/>
          <w:szCs w:val="22"/>
        </w:rPr>
      </w:pPr>
      <w:r w:rsidRPr="000F6CD1">
        <w:rPr>
          <w:rFonts w:cs="Arial"/>
          <w:szCs w:val="22"/>
        </w:rPr>
        <w:t>monitor changes in older person’s needs and regularly review Support Plans</w:t>
      </w:r>
    </w:p>
    <w:p w14:paraId="4D260144" w14:textId="77777777" w:rsidR="00B4017B" w:rsidRPr="000F6CD1" w:rsidRDefault="00B4017B" w:rsidP="00370263">
      <w:pPr>
        <w:pStyle w:val="ListBullet"/>
        <w:spacing w:after="0" w:line="300" w:lineRule="exact"/>
        <w:ind w:left="568" w:hanging="284"/>
        <w:rPr>
          <w:szCs w:val="22"/>
        </w:rPr>
      </w:pPr>
      <w:r w:rsidRPr="000F6CD1">
        <w:rPr>
          <w:szCs w:val="22"/>
        </w:rPr>
        <w:t>comply with wellness and reablement reporting requirements; and</w:t>
      </w:r>
    </w:p>
    <w:p w14:paraId="460B7B2C" w14:textId="77777777" w:rsidR="00B4017B" w:rsidRPr="000F6CD1" w:rsidRDefault="00B4017B" w:rsidP="00370263">
      <w:pPr>
        <w:pStyle w:val="ListBullet"/>
        <w:spacing w:after="120" w:line="300" w:lineRule="exact"/>
        <w:ind w:left="567" w:hanging="283"/>
        <w:rPr>
          <w:szCs w:val="22"/>
        </w:rPr>
      </w:pPr>
      <w:r w:rsidRPr="000F6CD1">
        <w:rPr>
          <w:szCs w:val="22"/>
        </w:rPr>
        <w:t xml:space="preserve">have an implementation plan outlining their organisation’s approach to embedding wellness and reablement. </w:t>
      </w:r>
    </w:p>
    <w:p w14:paraId="41812F49" w14:textId="77777777" w:rsidR="00B4017B" w:rsidRPr="000F6CD1" w:rsidRDefault="00B4017B" w:rsidP="00370263">
      <w:pPr>
        <w:spacing w:after="240" w:line="300" w:lineRule="exact"/>
        <w:rPr>
          <w:color w:val="000000" w:themeColor="text1"/>
        </w:rPr>
      </w:pPr>
      <w:r w:rsidRPr="000F6CD1">
        <w:rPr>
          <w:color w:val="000000" w:themeColor="text1"/>
        </w:rPr>
        <w:t xml:space="preserve">The department has developed </w:t>
      </w:r>
      <w:hyperlink r:id="rId416">
        <w:r w:rsidRPr="000F6CD1">
          <w:rPr>
            <w:color w:val="000000" w:themeColor="text1"/>
          </w:rPr>
          <w:t>online resources</w:t>
        </w:r>
      </w:hyperlink>
      <w:r w:rsidRPr="000F6CD1">
        <w:rPr>
          <w:color w:val="000000" w:themeColor="text1"/>
        </w:rPr>
        <w:t xml:space="preserve"> to help service providers embed wellness and reablement approaches into their practices and service delivery. </w:t>
      </w:r>
    </w:p>
    <w:p w14:paraId="13FFD75E" w14:textId="77777777" w:rsidR="00B4017B" w:rsidRPr="000F6CD1" w:rsidRDefault="00B4017B" w:rsidP="00370263">
      <w:pPr>
        <w:rPr>
          <w:rFonts w:ascii="Arial Bold" w:eastAsiaTheme="minorEastAsia" w:hAnsi="Arial Bold" w:cstheme="minorBidi" w:hint="eastAsia"/>
          <w:b/>
          <w:lang w:eastAsia="en-GB"/>
        </w:rPr>
      </w:pPr>
      <w:r w:rsidRPr="000F6CD1">
        <w:rPr>
          <w:rFonts w:ascii="Arial Bold" w:eastAsiaTheme="minorEastAsia" w:hAnsi="Arial Bold" w:cstheme="minorBidi" w:hint="eastAsia"/>
          <w:b/>
          <w:lang w:eastAsia="en-GB"/>
        </w:rPr>
        <w:t>O</w:t>
      </w:r>
      <w:r w:rsidRPr="000F6CD1">
        <w:rPr>
          <w:rFonts w:ascii="Arial Bold" w:eastAsiaTheme="minorEastAsia" w:hAnsi="Arial Bold" w:cstheme="minorBidi"/>
          <w:b/>
          <w:lang w:eastAsia="en-GB"/>
        </w:rPr>
        <w:t>ther resources</w:t>
      </w:r>
    </w:p>
    <w:p w14:paraId="58F5EE70" w14:textId="77777777" w:rsidR="00B4017B" w:rsidRPr="000F6CD1" w:rsidRDefault="00B4017B" w:rsidP="00370263">
      <w:pPr>
        <w:rPr>
          <w:rStyle w:val="Hyperlink"/>
        </w:rPr>
      </w:pPr>
      <w:hyperlink r:id="rId417" w:history="1">
        <w:r w:rsidRPr="000F6CD1">
          <w:rPr>
            <w:rStyle w:val="Hyperlink"/>
          </w:rPr>
          <w:t>Wellness and reablement resources page</w:t>
        </w:r>
      </w:hyperlink>
      <w:r w:rsidRPr="000F6CD1">
        <w:rPr>
          <w:rStyle w:val="Hyperlink"/>
        </w:rPr>
        <w:t xml:space="preserve"> </w:t>
      </w:r>
    </w:p>
    <w:p w14:paraId="6DC92EDA" w14:textId="77777777" w:rsidR="00B4017B" w:rsidRPr="000F6CD1" w:rsidRDefault="00B4017B" w:rsidP="00370263">
      <w:hyperlink r:id="rId418" w:history="1">
        <w:r w:rsidRPr="000F6CD1">
          <w:rPr>
            <w:rStyle w:val="Hyperlink"/>
          </w:rPr>
          <w:t>Living well at home: CHSP Good Practice Guide</w:t>
        </w:r>
      </w:hyperlink>
      <w:r w:rsidRPr="000F6CD1">
        <w:t xml:space="preserve"> provides practical guidance in how to adopt a wellness and reablement approach into service delivery.</w:t>
      </w:r>
    </w:p>
    <w:p w14:paraId="5A175E2D" w14:textId="77777777" w:rsidR="00B4017B" w:rsidRPr="000F6CD1" w:rsidRDefault="00B4017B" w:rsidP="00370263">
      <w:pPr>
        <w:rPr>
          <w:b/>
          <w:bCs/>
        </w:rPr>
      </w:pPr>
      <w:r w:rsidRPr="000F6CD1">
        <w:rPr>
          <w:rFonts w:ascii="Arial Bold" w:eastAsiaTheme="minorEastAsia" w:hAnsi="Arial Bold" w:cstheme="minorBidi"/>
          <w:b/>
          <w:lang w:eastAsia="en-GB"/>
        </w:rPr>
        <w:t>Older person scenario – Supporting greater independence</w:t>
      </w:r>
      <w:r w:rsidRPr="000F6CD1">
        <w:rPr>
          <w:rFonts w:ascii="Arial Bold" w:eastAsiaTheme="minorEastAsia" w:hAnsi="Arial Bold" w:cstheme="minorBidi"/>
          <w:vertAlign w:val="superscript"/>
          <w:lang w:eastAsia="en-GB"/>
        </w:rPr>
        <w:footnoteReference w:id="11"/>
      </w:r>
    </w:p>
    <w:p w14:paraId="4D84BD49" w14:textId="77777777" w:rsidR="00B4017B" w:rsidRPr="00181D85" w:rsidRDefault="00B4017B" w:rsidP="00181D85">
      <w:pPr>
        <w:pStyle w:val="Boxwithcolouredkeyline"/>
      </w:pPr>
      <w:r w:rsidRPr="00181D85">
        <w:rPr>
          <w:b/>
          <w:bCs/>
        </w:rPr>
        <w:t>ADELINA</w:t>
      </w:r>
      <w:r w:rsidRPr="00181D85">
        <w:t xml:space="preserve"> is a 77-year-old woman who had a stroke which affected her left side. Her speech was unaffected, but her movement was restricted. She has little function in her left arm - her left leg is slightly affected, requiring her to walk with the assistance of a stick. </w:t>
      </w:r>
    </w:p>
    <w:p w14:paraId="785E8AA8" w14:textId="77777777" w:rsidR="00B4017B" w:rsidRPr="00181D85" w:rsidRDefault="00B4017B" w:rsidP="00181D85">
      <w:pPr>
        <w:pStyle w:val="Boxwithcolouredkeyline"/>
      </w:pPr>
      <w:r w:rsidRPr="00181D85">
        <w:t xml:space="preserve">Adelina felt that she was unable to do very much for herself. She really wanted to be able to make her own cup of tea, however because of the lack of function in her left arm she felt she was dependent on carers and unable to make a cup of tea between carer visits unless a friend or neighbour came by. Adelina had become resigned that this was how her life would be. She was dispirited and resistant to her son’s suggestion that she might do a bit more for herself. </w:t>
      </w:r>
    </w:p>
    <w:p w14:paraId="5DFA59DF" w14:textId="77777777" w:rsidR="00B4017B" w:rsidRPr="00181D85" w:rsidRDefault="00B4017B" w:rsidP="00181D85">
      <w:pPr>
        <w:pStyle w:val="Boxwithcolouredkeyline"/>
      </w:pPr>
      <w:r w:rsidRPr="00181D85">
        <w:t>However, at the request of her son, Adelina’s Support Plan was reviewed by the assessor who recommended a referral to an occupational therapist. An occupational therapist was engaged under the CHSP who suggested she could be assisted to learn to use the microwave oven, and a kettle fitted onto a tipper so she could make her own tea.</w:t>
      </w:r>
    </w:p>
    <w:p w14:paraId="6856B02D" w14:textId="77777777" w:rsidR="00B4017B" w:rsidRPr="00181D85" w:rsidRDefault="00B4017B" w:rsidP="00181D85">
      <w:pPr>
        <w:pStyle w:val="Boxwithcolouredkeyline"/>
      </w:pPr>
      <w:r w:rsidRPr="00181D85">
        <w:t>For a number of weeks, Adelina was supported to build up her confidence in her ability to use the microwave and the kettle. After a few months Adelina was able to make meals for herself, her own cup of tea and is living a more independent life. As a result, Adelina said she is feeling more hopeful and has started to invite friends over for a meal.</w:t>
      </w:r>
    </w:p>
    <w:p w14:paraId="60B1AB54" w14:textId="77777777" w:rsidR="00B4017B" w:rsidRPr="00181D85" w:rsidRDefault="00B4017B" w:rsidP="00181D85">
      <w:pPr>
        <w:pStyle w:val="Boxwithcolouredkeyline"/>
      </w:pPr>
      <w:r w:rsidRPr="00181D85">
        <w:lastRenderedPageBreak/>
        <w:t>Cont.  Adelina’s son has been delighted to see his mother’s renewed sense of self and independence.</w:t>
      </w:r>
    </w:p>
    <w:p w14:paraId="1B068E75" w14:textId="37EAD230" w:rsidR="00B4017B" w:rsidRPr="000F6CD1" w:rsidRDefault="00B4017B" w:rsidP="00370263">
      <w:pPr>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t>Strategies to assist embedding wellness and reablement</w:t>
      </w:r>
    </w:p>
    <w:p w14:paraId="6593E948" w14:textId="77777777" w:rsidR="00B4017B" w:rsidRPr="000F6CD1" w:rsidRDefault="00B4017B" w:rsidP="00370263">
      <w:pPr>
        <w:spacing w:after="120" w:line="300" w:lineRule="exact"/>
        <w:rPr>
          <w:rFonts w:eastAsia="Calibri"/>
        </w:rPr>
      </w:pPr>
      <w:r w:rsidRPr="000F6CD1">
        <w:rPr>
          <w:rFonts w:eastAsia="Calibri"/>
        </w:rPr>
        <w:t xml:space="preserve">Experience of organisations that have successfully embedded a wellness and reablement approach suggests that there are a number of key drivers for success. These include: </w:t>
      </w:r>
    </w:p>
    <w:p w14:paraId="766953A2"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a whole-of-organisation approach, including commitment from both management and staff</w:t>
      </w:r>
    </w:p>
    <w:p w14:paraId="41BA5DF2"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reflecting wellness and reablement in organisational policy and procedures, especially in recruitment, employment, orientation, induction practices, position descriptions, and performance reviews.</w:t>
      </w:r>
    </w:p>
    <w:p w14:paraId="25B2DC91"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providing and encouraging staff training and education program</w:t>
      </w:r>
    </w:p>
    <w:p w14:paraId="59C45D5F"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changing the mindset for management, staff, volunteers, older people and their families and carers</w:t>
      </w:r>
    </w:p>
    <w:p w14:paraId="5D3EF647"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 xml:space="preserve">taking time to work with staff to ensure they understand the benefits and reasons for applying wellness and reablement approaches. </w:t>
      </w:r>
    </w:p>
    <w:p w14:paraId="537AE9CB"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understanding your organisation’s maturity and readiness in terms of wellness and reablement is the first step to embedding the change; and</w:t>
      </w:r>
    </w:p>
    <w:p w14:paraId="2D67EF15" w14:textId="77777777" w:rsidR="00B4017B" w:rsidRPr="000F6CD1" w:rsidRDefault="00B4017B" w:rsidP="00DF3F6B">
      <w:pPr>
        <w:pStyle w:val="ListParagraph"/>
        <w:numPr>
          <w:ilvl w:val="0"/>
          <w:numId w:val="408"/>
        </w:numPr>
        <w:spacing w:after="120" w:line="300" w:lineRule="exact"/>
        <w:rPr>
          <w:rFonts w:eastAsia="Calibri"/>
        </w:rPr>
      </w:pPr>
      <w:r w:rsidRPr="000F6CD1">
        <w:rPr>
          <w:rFonts w:eastAsia="Calibri"/>
        </w:rPr>
        <w:t>ensuring communication materials need to reflect the wellness and reablement approach to assist with setting older person and staff expectations.</w:t>
      </w:r>
    </w:p>
    <w:p w14:paraId="074BC669" w14:textId="746BED13" w:rsidR="00B4017B" w:rsidRPr="000F6CD1" w:rsidRDefault="00FA45F8" w:rsidP="00370263">
      <w:pPr>
        <w:rPr>
          <w:rFonts w:ascii="Arial Bold" w:eastAsiaTheme="minorEastAsia" w:hAnsi="Arial Bold" w:cstheme="minorBidi" w:hint="eastAsia"/>
          <w:b/>
          <w:lang w:eastAsia="en-GB"/>
        </w:rPr>
      </w:pPr>
      <w:r>
        <w:rPr>
          <w:rFonts w:ascii="Arial Bold" w:eastAsiaTheme="minorEastAsia" w:hAnsi="Arial Bold" w:cstheme="minorBidi"/>
          <w:b/>
          <w:lang w:eastAsia="en-GB"/>
        </w:rPr>
        <w:br/>
      </w:r>
      <w:r w:rsidR="00B4017B" w:rsidRPr="000F6CD1">
        <w:rPr>
          <w:rFonts w:ascii="Arial Bold" w:eastAsiaTheme="minorEastAsia" w:hAnsi="Arial Bold" w:cstheme="minorBidi"/>
          <w:b/>
          <w:lang w:eastAsia="en-GB"/>
        </w:rPr>
        <w:t>Older person scenarios — short-term wellness and reablement, and restorative interventions</w:t>
      </w:r>
    </w:p>
    <w:p w14:paraId="01074C17" w14:textId="70A45486" w:rsidR="00B4017B" w:rsidRPr="000F6CD1" w:rsidRDefault="00B4017B" w:rsidP="00370263">
      <w:pPr>
        <w:pStyle w:val="Boxwithcolouredkeyline"/>
        <w:rPr>
          <w:b/>
          <w:bCs/>
        </w:rPr>
      </w:pPr>
      <w:r w:rsidRPr="000F6CD1">
        <w:rPr>
          <w:b/>
          <w:bCs/>
          <w:szCs w:val="20"/>
        </w:rPr>
        <w:t>DAVID</w:t>
      </w:r>
      <w:r w:rsidRPr="000F6CD1">
        <w:rPr>
          <w:szCs w:val="20"/>
        </w:rPr>
        <w:t xml:space="preserve"> </w:t>
      </w:r>
      <w:r w:rsidRPr="000F6CD1">
        <w:t>is</w:t>
      </w:r>
      <w:r w:rsidRPr="000F6CD1">
        <w:rPr>
          <w:szCs w:val="20"/>
        </w:rPr>
        <w:t xml:space="preserve"> an 81-year-old man who was referred to My Aged Care following a fall he had two weeks prior. Although he sustained no specific injuries, David was quite shaken following the fall and now lacked confidence to shower himself independently. </w:t>
      </w:r>
    </w:p>
    <w:p w14:paraId="0FFECCB3" w14:textId="4CC9483F" w:rsidR="00B4017B" w:rsidRPr="000F6CD1" w:rsidRDefault="00B4017B" w:rsidP="00370263">
      <w:pPr>
        <w:pStyle w:val="Boxwithcolouredkeyline"/>
      </w:pPr>
      <w:r w:rsidRPr="000F6CD1">
        <w:rPr>
          <w:szCs w:val="20"/>
        </w:rPr>
        <w:t xml:space="preserve">David was referred for an assessment which identified that David was previously independent and was motivated to regain autonomy. The assessor also identified that David was still independent in many daily activities but was struggling with his personal care. </w:t>
      </w:r>
    </w:p>
    <w:p w14:paraId="3CFFA74D" w14:textId="77777777" w:rsidR="00B4017B" w:rsidRPr="000F6CD1" w:rsidRDefault="00B4017B" w:rsidP="00370263">
      <w:pPr>
        <w:pStyle w:val="Boxwithcolouredkeyline"/>
      </w:pPr>
      <w:r w:rsidRPr="000F6CD1">
        <w:rPr>
          <w:szCs w:val="20"/>
        </w:rPr>
        <w:t xml:space="preserve">Based on the assessment, a Support Plan was developed with David which identified his goal of being able to maintain his personal care independently. The support plan provided information on David’s strengths and abilities, as well as his areas of difficulty and recommendations to achieve his goals. This included a referral to a CHSP service provider for an occupational therapy assessment, and the delivery of time-limited personal care services. </w:t>
      </w:r>
    </w:p>
    <w:p w14:paraId="36C203C3" w14:textId="77777777" w:rsidR="00B4017B" w:rsidRPr="000F6CD1" w:rsidRDefault="00B4017B" w:rsidP="00370263">
      <w:pPr>
        <w:pStyle w:val="Boxwithcolouredkeyline"/>
      </w:pPr>
      <w:r w:rsidRPr="000F6CD1">
        <w:rPr>
          <w:szCs w:val="20"/>
        </w:rPr>
        <w:t>The occupational therapist used the support plan to work with David and his personal carer to achieve his goals. Initially, personal care services were provided to David three times a week to assist him with showering. Over a four-week period, the CHSP service provider worked with David to develop specific strategies such as how to step in and out of the shower safely, to help him to build his capacity and regain confidence in showering. After four weeks of service David was confident to shower independently again, and the services were withdrawn.</w:t>
      </w:r>
    </w:p>
    <w:p w14:paraId="4C171646" w14:textId="77777777" w:rsidR="00B4017B" w:rsidRPr="000F6CD1" w:rsidRDefault="00B4017B" w:rsidP="00181D85">
      <w:pPr>
        <w:pStyle w:val="Boxwithcolouredkeyline"/>
      </w:pPr>
      <w:r w:rsidRPr="000F6CD1">
        <w:rPr>
          <w:b/>
        </w:rPr>
        <w:br w:type="page"/>
      </w:r>
      <w:r w:rsidRPr="000F6CD1">
        <w:rPr>
          <w:b/>
        </w:rPr>
        <w:lastRenderedPageBreak/>
        <w:t xml:space="preserve">BILL </w:t>
      </w:r>
      <w:r w:rsidRPr="000F6CD1">
        <w:t xml:space="preserve">is a 75 year old man who lives at home with his wife Irene. Bill had not previously received any aged care services since he and Irene had always enjoyed good health. Recently Bill had an accident which had resulted in him spending time in hospital. Although Bill recovered well from his accident, it had left him feeling anxious about leaving the house. Also, his hospital stay and inactivity had reduced his physical fitness, preventing Bill from doing as much around the house and garden as he had done before. </w:t>
      </w:r>
    </w:p>
    <w:p w14:paraId="2CBE4B61" w14:textId="77777777" w:rsidR="00B4017B" w:rsidRPr="000F6CD1" w:rsidRDefault="00B4017B" w:rsidP="00AB32F2">
      <w:pPr>
        <w:pStyle w:val="Boxwithcolouredkeyline"/>
      </w:pPr>
      <w:r w:rsidRPr="000F6CD1">
        <w:t>Bill’s wife Irene contacted My Aged Care and Bill was referred for an assessment. Bill’s assessor worked with him to identify the things that he liked to do and what he no longer felt comfortable doing. A Support Plan was developed with Bill, which included some time-limited interventions with a restorative care focus, including referral:</w:t>
      </w:r>
    </w:p>
    <w:p w14:paraId="29AD6246" w14:textId="77777777" w:rsidR="00181D85" w:rsidRDefault="00181D85" w:rsidP="00181D85">
      <w:pPr>
        <w:pStyle w:val="Boxwithcolouredkeyline"/>
      </w:pPr>
      <w:r>
        <w:t xml:space="preserve">- </w:t>
      </w:r>
      <w:r w:rsidR="00B4017B" w:rsidRPr="000F6CD1">
        <w:t xml:space="preserve">to physiotherapy or exercise physiologist (to develop a suitable strength, balance and endurance program) </w:t>
      </w:r>
    </w:p>
    <w:p w14:paraId="3E9BF0A9" w14:textId="77777777" w:rsidR="00181D85" w:rsidRDefault="00181D85" w:rsidP="00181D85">
      <w:pPr>
        <w:pStyle w:val="Boxwithcolouredkeyline"/>
      </w:pPr>
      <w:r>
        <w:t xml:space="preserve">- </w:t>
      </w:r>
      <w:r w:rsidR="00B4017B" w:rsidRPr="000F6CD1">
        <w:t>to an occupational therapist (to identify energy conservation strategies and/or suitable equipment to promote functional independence)</w:t>
      </w:r>
    </w:p>
    <w:p w14:paraId="3908732F" w14:textId="7A72A1C7" w:rsidR="00B4017B" w:rsidRPr="000F6CD1" w:rsidRDefault="00181D85" w:rsidP="00181D85">
      <w:pPr>
        <w:pStyle w:val="Boxwithcolouredkeyline"/>
      </w:pPr>
      <w:r>
        <w:t xml:space="preserve">- </w:t>
      </w:r>
      <w:r w:rsidR="00B4017B" w:rsidRPr="000F6CD1">
        <w:t>for some time-limited home maintenance and domestic assistance.</w:t>
      </w:r>
    </w:p>
    <w:p w14:paraId="1437A253" w14:textId="77777777" w:rsidR="00B4017B" w:rsidRPr="000F6CD1" w:rsidRDefault="00B4017B" w:rsidP="00181D85">
      <w:pPr>
        <w:pStyle w:val="Boxwithcolouredkeyline"/>
      </w:pPr>
      <w:r w:rsidRPr="000F6CD1">
        <w:t xml:space="preserve">Following this time-limited support, Bill now feels more confident living at home and has regained much of his former capacity to undertake the home maintenance and domestic chores that he used to do. Applying this short-term restorative care intervention approach enabled Bill to regain his strength and confidence and prevented a possible longer-term dependence on ongoing support services. </w:t>
      </w:r>
    </w:p>
    <w:p w14:paraId="355B123C" w14:textId="0776B4C1" w:rsidR="00B4017B" w:rsidRPr="000F6CD1" w:rsidRDefault="00FA45F8" w:rsidP="00370263">
      <w:pPr>
        <w:spacing w:before="60" w:afterLines="60" w:after="144"/>
      </w:pPr>
      <w:r>
        <w:rPr>
          <w:rFonts w:ascii="Arial Bold" w:eastAsiaTheme="minorEastAsia" w:hAnsi="Arial Bold" w:cstheme="minorBidi"/>
          <w:b/>
          <w:lang w:eastAsia="en-GB"/>
        </w:rPr>
        <w:br/>
      </w:r>
      <w:r w:rsidR="00B4017B" w:rsidRPr="000F6CD1">
        <w:rPr>
          <w:rFonts w:ascii="Arial Bold" w:eastAsiaTheme="minorEastAsia" w:hAnsi="Arial Bold" w:cstheme="minorBidi"/>
          <w:b/>
          <w:lang w:eastAsia="en-GB"/>
        </w:rPr>
        <w:t>Assessment and support planning</w:t>
      </w:r>
    </w:p>
    <w:p w14:paraId="01D7579A" w14:textId="77777777" w:rsidR="00B4017B" w:rsidRPr="000F6CD1" w:rsidRDefault="00B4017B" w:rsidP="00370263">
      <w:pPr>
        <w:spacing w:before="60" w:afterLines="60" w:after="144"/>
      </w:pPr>
      <w:r w:rsidRPr="000F6CD1">
        <w:t>The role of the assessor is to work with the older person to identify their needs and concerns, as well as their goals and aspirations. As part of the IAT, the assessment must include the older person’s:</w:t>
      </w:r>
    </w:p>
    <w:p w14:paraId="3D484D38" w14:textId="77777777" w:rsidR="00B4017B" w:rsidRPr="000F6CD1" w:rsidRDefault="00B4017B" w:rsidP="00DF3F6B">
      <w:pPr>
        <w:pStyle w:val="ListParagraph"/>
        <w:numPr>
          <w:ilvl w:val="0"/>
          <w:numId w:val="393"/>
        </w:numPr>
        <w:spacing w:before="60" w:afterLines="60" w:after="144" w:line="300" w:lineRule="exact"/>
        <w:ind w:left="567" w:hanging="283"/>
      </w:pPr>
      <w:r w:rsidRPr="000F6CD1">
        <w:t>current level of support (formal and informal) and engagement</w:t>
      </w:r>
    </w:p>
    <w:p w14:paraId="19C71F83" w14:textId="77777777" w:rsidR="00B4017B" w:rsidRPr="000F6CD1" w:rsidRDefault="00B4017B" w:rsidP="00DF3F6B">
      <w:pPr>
        <w:pStyle w:val="ListParagraph"/>
        <w:numPr>
          <w:ilvl w:val="0"/>
          <w:numId w:val="393"/>
        </w:numPr>
        <w:spacing w:before="60" w:afterLines="60" w:after="144" w:line="300" w:lineRule="exact"/>
        <w:ind w:left="567" w:hanging="283"/>
      </w:pPr>
      <w:r w:rsidRPr="000F6CD1">
        <w:t>carer availability and sustainability</w:t>
      </w:r>
    </w:p>
    <w:p w14:paraId="0710979F" w14:textId="77777777" w:rsidR="00B4017B" w:rsidRPr="000F6CD1" w:rsidRDefault="00B4017B" w:rsidP="00DF3F6B">
      <w:pPr>
        <w:pStyle w:val="ListParagraph"/>
        <w:numPr>
          <w:ilvl w:val="0"/>
          <w:numId w:val="393"/>
        </w:numPr>
        <w:spacing w:before="60" w:afterLines="60" w:after="144" w:line="300" w:lineRule="exact"/>
        <w:ind w:left="567" w:hanging="283"/>
      </w:pPr>
      <w:r w:rsidRPr="000F6CD1">
        <w:t>health concerns and priorities</w:t>
      </w:r>
    </w:p>
    <w:p w14:paraId="229556A0" w14:textId="77777777" w:rsidR="00B4017B" w:rsidRPr="000F6CD1" w:rsidRDefault="00B4017B" w:rsidP="00DF3F6B">
      <w:pPr>
        <w:pStyle w:val="ListParagraph"/>
        <w:numPr>
          <w:ilvl w:val="0"/>
          <w:numId w:val="393"/>
        </w:numPr>
        <w:spacing w:after="80" w:line="300" w:lineRule="exact"/>
        <w:ind w:left="567" w:hanging="283"/>
      </w:pPr>
      <w:r w:rsidRPr="000F6CD1">
        <w:t>functional status</w:t>
      </w:r>
    </w:p>
    <w:p w14:paraId="562903E0" w14:textId="77777777" w:rsidR="00B4017B" w:rsidRPr="000F6CD1" w:rsidRDefault="00B4017B" w:rsidP="00DF3F6B">
      <w:pPr>
        <w:pStyle w:val="ListParagraph"/>
        <w:numPr>
          <w:ilvl w:val="0"/>
          <w:numId w:val="393"/>
        </w:numPr>
        <w:spacing w:after="80" w:line="300" w:lineRule="exact"/>
        <w:ind w:left="567" w:hanging="283"/>
      </w:pPr>
      <w:r w:rsidRPr="000F6CD1">
        <w:t xml:space="preserve">psychosocial and psychological concerns, and </w:t>
      </w:r>
    </w:p>
    <w:p w14:paraId="7E869AB6" w14:textId="77777777" w:rsidR="00B4017B" w:rsidRPr="000F6CD1" w:rsidRDefault="00B4017B" w:rsidP="005B09B1">
      <w:pPr>
        <w:pStyle w:val="ListParagraph"/>
        <w:numPr>
          <w:ilvl w:val="0"/>
          <w:numId w:val="393"/>
        </w:numPr>
        <w:spacing w:afterLines="60" w:after="144" w:line="300" w:lineRule="exact"/>
        <w:ind w:left="568" w:hanging="284"/>
        <w:contextualSpacing w:val="0"/>
      </w:pPr>
      <w:r w:rsidRPr="000F6CD1">
        <w:t>home and personal safety considerations.</w:t>
      </w:r>
    </w:p>
    <w:p w14:paraId="0CEA3F5E" w14:textId="77777777" w:rsidR="00B4017B" w:rsidRPr="000F6CD1" w:rsidRDefault="00B4017B" w:rsidP="00370263">
      <w:pPr>
        <w:spacing w:afterLines="60" w:after="144" w:line="300" w:lineRule="exact"/>
      </w:pPr>
      <w:r w:rsidRPr="000F6CD1">
        <w:t>The assessor then works with the older person to develop a Support Plan which focuses the support needed to assist them to achieve their goals. In developing a Support Plan with an older person, the assessor will:</w:t>
      </w:r>
    </w:p>
    <w:p w14:paraId="118DA762" w14:textId="77777777" w:rsidR="00B4017B" w:rsidRPr="000F6CD1" w:rsidRDefault="00B4017B" w:rsidP="00DF3F6B">
      <w:pPr>
        <w:pStyle w:val="ListParagraph"/>
        <w:numPr>
          <w:ilvl w:val="0"/>
          <w:numId w:val="59"/>
        </w:numPr>
        <w:spacing w:after="120" w:line="300" w:lineRule="exact"/>
        <w:ind w:left="568" w:hanging="284"/>
        <w:contextualSpacing w:val="0"/>
      </w:pPr>
      <w:r w:rsidRPr="000F6CD1">
        <w:t>Focus on what an older person can do and discuss what they need to complete more difficult tasks, such as breaking down into simpler components.</w:t>
      </w:r>
    </w:p>
    <w:p w14:paraId="025B10DB" w14:textId="77777777" w:rsidR="00B4017B" w:rsidRPr="000F6CD1" w:rsidRDefault="00B4017B" w:rsidP="00DF3F6B">
      <w:pPr>
        <w:pStyle w:val="ListParagraph"/>
        <w:numPr>
          <w:ilvl w:val="0"/>
          <w:numId w:val="59"/>
        </w:numPr>
        <w:spacing w:after="120" w:line="300" w:lineRule="exact"/>
        <w:ind w:left="568" w:hanging="284"/>
        <w:contextualSpacing w:val="0"/>
      </w:pPr>
      <w:r w:rsidRPr="000F6CD1">
        <w:t xml:space="preserve">Discuss strategies to manage day-to-day tasks (e.g. transport planning to meet goals around the use of public transport to maintain usual activities). </w:t>
      </w:r>
    </w:p>
    <w:p w14:paraId="7AA24226" w14:textId="77777777" w:rsidR="00B4017B" w:rsidRPr="000F6CD1" w:rsidRDefault="00B4017B" w:rsidP="00DF3F6B">
      <w:pPr>
        <w:pStyle w:val="ListParagraph"/>
        <w:numPr>
          <w:ilvl w:val="0"/>
          <w:numId w:val="59"/>
        </w:numPr>
        <w:spacing w:after="240" w:line="300" w:lineRule="exact"/>
        <w:ind w:left="568" w:hanging="284"/>
        <w:contextualSpacing w:val="0"/>
        <w:rPr>
          <w:lang w:eastAsia="ko-KR"/>
        </w:rPr>
      </w:pPr>
      <w:r w:rsidRPr="000F6CD1">
        <w:t xml:space="preserve">Explore the older person’s opportunity for supporting independence through wellness and reablement approaches (e.g. can the older person benefit from time-limited </w:t>
      </w:r>
      <w:r w:rsidRPr="000F6CD1">
        <w:lastRenderedPageBreak/>
        <w:t>support and/or the use of specific aids and equipment or home modifications such as installing shower rails to build confidence and independence).</w:t>
      </w:r>
    </w:p>
    <w:p w14:paraId="3DD0AC89" w14:textId="137C4B4C" w:rsidR="00B4017B" w:rsidRPr="000F6CD1" w:rsidRDefault="00B4017B" w:rsidP="0077246E">
      <w:pPr>
        <w:spacing w:before="60" w:after="180" w:line="300" w:lineRule="exact"/>
        <w:ind w:right="-187"/>
        <w:rPr>
          <w:lang w:eastAsia="ko-KR"/>
        </w:rPr>
      </w:pPr>
      <w:r w:rsidRPr="000F6CD1">
        <w:rPr>
          <w:lang w:eastAsia="ko-KR"/>
        </w:rPr>
        <w:t xml:space="preserve">Developing a Support Plan with the older person helps to ensure that it accurately reflects the older person’s needs and achievable goals and discusses with the older person the role they will need to play to achieve them how they feel about this (motivation). This will increase the likelihood that the older person will be motivated to work towards the goals they have identified, including supporting their independence through wellness and reablement approaches. </w:t>
      </w:r>
    </w:p>
    <w:p w14:paraId="0977D093" w14:textId="77777777" w:rsidR="00B4017B" w:rsidRPr="000F6CD1" w:rsidRDefault="00B4017B" w:rsidP="0077246E">
      <w:pPr>
        <w:spacing w:before="60" w:after="180" w:line="300" w:lineRule="exact"/>
        <w:rPr>
          <w:lang w:eastAsia="ko-KR"/>
        </w:rPr>
      </w:pPr>
      <w:r w:rsidRPr="000F6CD1">
        <w:rPr>
          <w:lang w:eastAsia="ko-KR"/>
        </w:rPr>
        <w:t xml:space="preserve">In some circumstances, where the assessment has identified that a short-term intervention is appropriate, the assessment organisation is required to take on a coordination role to ensure that all referrals in the Support Plan are linked to one or more service providers and that they will all be delivered within an agreed time frame. </w:t>
      </w:r>
    </w:p>
    <w:p w14:paraId="548951D8" w14:textId="77777777" w:rsidR="00B4017B" w:rsidRPr="000F6CD1" w:rsidRDefault="00B4017B" w:rsidP="000406EE">
      <w:pPr>
        <w:spacing w:before="60" w:after="180" w:line="276" w:lineRule="auto"/>
        <w:rPr>
          <w:lang w:eastAsia="ko-KR"/>
        </w:rPr>
      </w:pPr>
      <w:r w:rsidRPr="000F6CD1">
        <w:rPr>
          <w:lang w:eastAsia="ko-KR"/>
        </w:rPr>
        <w:t>For older people receiving wellness and reablement support, assessors should include review dates on the older person’s Support Plan to monitor the older person’s progress towards their goals and desired outcomes. The need for ongoing, or an adjustment in services will also be assessed. In these circumstances, CHSP service providers should provide time limited services in line with your Support Plan.</w:t>
      </w:r>
    </w:p>
    <w:p w14:paraId="3315BF62" w14:textId="77777777" w:rsidR="00B4017B" w:rsidRPr="000F6CD1" w:rsidRDefault="00B4017B" w:rsidP="00370263">
      <w:pPr>
        <w:spacing w:before="60"/>
        <w:rPr>
          <w:rFonts w:ascii="Arial Bold" w:eastAsiaTheme="minorEastAsia" w:hAnsi="Arial Bold" w:cstheme="minorBidi" w:hint="eastAsia"/>
          <w:b/>
          <w:lang w:eastAsia="en-GB"/>
        </w:rPr>
      </w:pPr>
      <w:r w:rsidRPr="000F6CD1">
        <w:rPr>
          <w:rFonts w:ascii="Arial Bold" w:eastAsiaTheme="minorEastAsia" w:hAnsi="Arial Bold" w:cstheme="minorBidi"/>
          <w:b/>
          <w:lang w:eastAsia="en-GB"/>
        </w:rPr>
        <w:t>Older person scenario – wellness and reablement-focused assessment with support planning</w:t>
      </w:r>
    </w:p>
    <w:p w14:paraId="645BEC5D" w14:textId="6980F83B" w:rsidR="00B4017B" w:rsidRPr="000F6CD1" w:rsidRDefault="00B4017B" w:rsidP="00370263">
      <w:pPr>
        <w:pStyle w:val="Boxwithcolouredkeyline"/>
        <w:pBdr>
          <w:top w:val="single" w:sz="4" w:space="8" w:color="auto"/>
          <w:left w:val="single" w:sz="4" w:space="8" w:color="auto"/>
          <w:bottom w:val="single" w:sz="4" w:space="8" w:color="auto"/>
          <w:right w:val="single" w:sz="4" w:space="8" w:color="auto"/>
        </w:pBdr>
        <w:rPr>
          <w:b/>
          <w:bCs/>
        </w:rPr>
      </w:pPr>
      <w:r w:rsidRPr="000F6CD1">
        <w:rPr>
          <w:b/>
          <w:bCs/>
          <w:szCs w:val="20"/>
        </w:rPr>
        <w:t>CECELIA</w:t>
      </w:r>
      <w:r w:rsidRPr="000F6CD1">
        <w:rPr>
          <w:b/>
          <w:bCs/>
        </w:rPr>
        <w:t xml:space="preserve"> </w:t>
      </w:r>
      <w:r w:rsidRPr="000F6CD1">
        <w:rPr>
          <w:szCs w:val="20"/>
        </w:rPr>
        <w:t xml:space="preserve">is an 81-year-old woman who lives alone. Before experiencing a stroke earlier in the year, Cecelia had been actively involved in her church and local community. However, following the stroke, Cecelia stopped going out on her own, fearing that her poor balance could result in a fall. Within her house she had also cut down on the heavier housekeeping tasks like vacuuming, large cleaning jobs, laundry and gardening. </w:t>
      </w:r>
    </w:p>
    <w:p w14:paraId="35879CDA" w14:textId="77777777" w:rsidR="00B4017B" w:rsidRPr="000F6CD1" w:rsidRDefault="00B4017B" w:rsidP="00AB32F2">
      <w:pPr>
        <w:pStyle w:val="Boxwithcolouredkeyline"/>
        <w:pBdr>
          <w:top w:val="single" w:sz="4" w:space="8" w:color="auto"/>
          <w:left w:val="single" w:sz="4" w:space="8" w:color="auto"/>
          <w:bottom w:val="single" w:sz="4" w:space="8" w:color="auto"/>
          <w:right w:val="single" w:sz="4" w:space="8" w:color="auto"/>
        </w:pBdr>
        <w:spacing w:before="40"/>
      </w:pPr>
      <w:r w:rsidRPr="000F6CD1">
        <w:rPr>
          <w:szCs w:val="20"/>
        </w:rPr>
        <w:t>Cecelia was referred to My Aged Care by her doctor and following the initial registration process and triage, a face-to-face assessment was organised. Cecelia’s assessment helped to identify her strengths and capabilities as well as her needs. The resulting support plan was centred around Cecelia’s own goals which included getting stronger, resuming her church activities, doing more about the house and getting back out in the garden. Cecelia’s support plan included:</w:t>
      </w:r>
    </w:p>
    <w:p w14:paraId="2E9934B5" w14:textId="65064502" w:rsidR="00B4017B" w:rsidRPr="000F6CD1" w:rsidRDefault="00AB32F2" w:rsidP="00AB32F2">
      <w:pPr>
        <w:pStyle w:val="Boxwithcolouredkeyline"/>
        <w:pBdr>
          <w:top w:val="single" w:sz="4" w:space="8" w:color="auto"/>
          <w:left w:val="single" w:sz="4" w:space="8" w:color="auto"/>
          <w:bottom w:val="single" w:sz="4" w:space="8" w:color="auto"/>
          <w:right w:val="single" w:sz="4" w:space="8" w:color="auto"/>
        </w:pBdr>
        <w:spacing w:before="40"/>
      </w:pPr>
      <w:r>
        <w:rPr>
          <w:szCs w:val="20"/>
        </w:rPr>
        <w:t xml:space="preserve">- </w:t>
      </w:r>
      <w:r w:rsidR="00B4017B" w:rsidRPr="000F6CD1">
        <w:rPr>
          <w:szCs w:val="20"/>
        </w:rPr>
        <w:t>referral to an allied health professional to assist with her goal of getting stronger,</w:t>
      </w:r>
    </w:p>
    <w:p w14:paraId="4687D19B" w14:textId="26853D28" w:rsidR="00B4017B" w:rsidRPr="000F6CD1" w:rsidRDefault="00AB32F2" w:rsidP="00AB32F2">
      <w:pPr>
        <w:pStyle w:val="Boxwithcolouredkeyline"/>
        <w:pBdr>
          <w:top w:val="single" w:sz="4" w:space="8" w:color="auto"/>
          <w:left w:val="single" w:sz="4" w:space="8" w:color="auto"/>
          <w:bottom w:val="single" w:sz="4" w:space="8" w:color="auto"/>
          <w:right w:val="single" w:sz="4" w:space="8" w:color="auto"/>
        </w:pBdr>
        <w:spacing w:before="40"/>
      </w:pPr>
      <w:r>
        <w:rPr>
          <w:szCs w:val="20"/>
        </w:rPr>
        <w:t xml:space="preserve">- </w:t>
      </w:r>
      <w:r w:rsidR="00B4017B" w:rsidRPr="000F6CD1">
        <w:rPr>
          <w:szCs w:val="20"/>
        </w:rPr>
        <w:t>referral to a CHSP domestic assistance service provider to provide assistance with the more difficult household chores and to help Cecelia to identify which chores she could still manage to do on her own,</w:t>
      </w:r>
    </w:p>
    <w:p w14:paraId="6380F695" w14:textId="1F79140E" w:rsidR="00B4017B" w:rsidRPr="000F6CD1" w:rsidRDefault="00AB32F2" w:rsidP="00AB32F2">
      <w:pPr>
        <w:pStyle w:val="Boxwithcolouredkeyline"/>
        <w:pBdr>
          <w:top w:val="single" w:sz="4" w:space="8" w:color="auto"/>
          <w:left w:val="single" w:sz="4" w:space="8" w:color="auto"/>
          <w:bottom w:val="single" w:sz="4" w:space="8" w:color="auto"/>
          <w:right w:val="single" w:sz="4" w:space="8" w:color="auto"/>
        </w:pBdr>
        <w:spacing w:before="40"/>
      </w:pPr>
      <w:r>
        <w:rPr>
          <w:szCs w:val="20"/>
        </w:rPr>
        <w:t xml:space="preserve">- </w:t>
      </w:r>
      <w:r w:rsidR="00B4017B" w:rsidRPr="000F6CD1">
        <w:rPr>
          <w:szCs w:val="20"/>
        </w:rPr>
        <w:t>assistance to identify and make contact with a pastoral care team member to discuss her continued interest in participating in church activities, and</w:t>
      </w:r>
    </w:p>
    <w:p w14:paraId="658092B6" w14:textId="7A6E1373" w:rsidR="00B4017B" w:rsidRPr="000F6CD1" w:rsidRDefault="00AB32F2" w:rsidP="00AB32F2">
      <w:pPr>
        <w:pStyle w:val="Boxwithcolouredkeyline"/>
        <w:pBdr>
          <w:top w:val="single" w:sz="4" w:space="8" w:color="auto"/>
          <w:left w:val="single" w:sz="4" w:space="8" w:color="auto"/>
          <w:bottom w:val="single" w:sz="4" w:space="8" w:color="auto"/>
          <w:right w:val="single" w:sz="4" w:space="8" w:color="auto"/>
        </w:pBdr>
        <w:spacing w:before="40"/>
        <w:rPr>
          <w:szCs w:val="20"/>
        </w:rPr>
      </w:pPr>
      <w:r>
        <w:rPr>
          <w:szCs w:val="20"/>
        </w:rPr>
        <w:t xml:space="preserve">- </w:t>
      </w:r>
      <w:r w:rsidR="00B4017B" w:rsidRPr="000F6CD1">
        <w:rPr>
          <w:szCs w:val="20"/>
        </w:rPr>
        <w:t>referral to a home maintenance service for discussion and planning to convert her garden to be safer and more accessible, and lower maintenance.</w:t>
      </w:r>
    </w:p>
    <w:p w14:paraId="79E1C4C0" w14:textId="58AF4AAC" w:rsidR="00B4017B" w:rsidRPr="000F6CD1" w:rsidRDefault="00B4017B" w:rsidP="005B09B1">
      <w:pPr>
        <w:pStyle w:val="Boxwithcolouredkeyline"/>
        <w:pBdr>
          <w:top w:val="single" w:sz="4" w:space="8" w:color="auto"/>
          <w:left w:val="single" w:sz="4" w:space="8" w:color="auto"/>
          <w:bottom w:val="single" w:sz="4" w:space="8" w:color="auto"/>
          <w:right w:val="single" w:sz="4" w:space="8" w:color="auto"/>
        </w:pBdr>
        <w:spacing w:before="40" w:after="40"/>
      </w:pPr>
      <w:r w:rsidRPr="000F6CD1">
        <w:rPr>
          <w:szCs w:val="20"/>
        </w:rPr>
        <w:t xml:space="preserve">After mastering basic strength and balance exercises through a home exercise program designed by the allied health professional, Cecelia was eventually able to walk unaided inside her home. A more confident Cecelia then arranged a ‘buddy’ to drive her to and </w:t>
      </w:r>
      <w:r w:rsidRPr="000F6CD1">
        <w:rPr>
          <w:szCs w:val="20"/>
        </w:rPr>
        <w:lastRenderedPageBreak/>
        <w:t>from church activities. At the same time, the CHSP domestic assistance service provider worked with Cecelia to assist her to take on some of the easier housekeeping chores enabling her to remain more active and independent. Cecelia was also delighted to find that the new raised garden beds enabled her to access and maintain her garden more safely without affecting her enjoyment of the garden.</w:t>
      </w:r>
      <w:r w:rsidRPr="000F6CD1">
        <w:br w:type="page"/>
      </w:r>
    </w:p>
    <w:p w14:paraId="6545E9B1" w14:textId="77777777" w:rsidR="00B4017B" w:rsidRPr="000F6CD1" w:rsidRDefault="00B4017B" w:rsidP="00AC3600">
      <w:pPr>
        <w:pStyle w:val="H1"/>
        <w:sectPr w:rsidR="00B4017B" w:rsidRPr="000F6CD1" w:rsidSect="00B4017B">
          <w:pgSz w:w="11906" w:h="16838"/>
          <w:pgMar w:top="1440" w:right="1440" w:bottom="1440" w:left="1440" w:header="708" w:footer="708" w:gutter="0"/>
          <w:cols w:space="708"/>
          <w:docGrid w:linePitch="360"/>
        </w:sectPr>
      </w:pPr>
    </w:p>
    <w:p w14:paraId="46231387" w14:textId="77777777" w:rsidR="00B4017B" w:rsidRPr="000F6CD1" w:rsidRDefault="00B4017B" w:rsidP="00AC3600">
      <w:pPr>
        <w:pStyle w:val="H1"/>
      </w:pPr>
      <w:bookmarkStart w:id="1164" w:name="_Ref233128914"/>
      <w:bookmarkStart w:id="1165" w:name="_Toc233282534"/>
      <w:r w:rsidRPr="000F6CD1">
        <w:lastRenderedPageBreak/>
        <w:t>APPENDIX F – Aged care assessment workforce minimum qualifications</w:t>
      </w:r>
      <w:bookmarkEnd w:id="1164"/>
      <w:bookmarkEnd w:id="1165"/>
    </w:p>
    <w:p w14:paraId="4AB0EEEB" w14:textId="26F82AD3" w:rsidR="00B4017B" w:rsidRPr="000F6CD1" w:rsidRDefault="00B4017B" w:rsidP="00370263">
      <w:r w:rsidRPr="000F6CD1">
        <w:t xml:space="preserve">Assessment organisations must ensure their workforce has the appropriate training, skills and credentials to provide aged care needs assessments and related services. The below table lists the workforce credentials requirements for key roles within Assessment organisations referenced in Chapter </w:t>
      </w:r>
      <w:r w:rsidRPr="000F6CD1">
        <w:fldChar w:fldCharType="begin"/>
      </w:r>
      <w:r w:rsidRPr="000F6CD1">
        <w:instrText xml:space="preserve"> REF _Ref212734883 \r \h </w:instrText>
      </w:r>
      <w:r w:rsidRPr="000F6CD1">
        <w:fldChar w:fldCharType="separate"/>
      </w:r>
      <w:r w:rsidR="004B171E">
        <w:t>2</w:t>
      </w:r>
      <w:r w:rsidRPr="000F6CD1">
        <w:fldChar w:fldCharType="end"/>
      </w:r>
      <w:r w:rsidRPr="000F6CD1">
        <w:t xml:space="preserve">. Training requirements for each role are detailed in the Workforce Learning Strategy. </w:t>
      </w:r>
    </w:p>
    <w:p w14:paraId="00CA9527" w14:textId="77777777" w:rsidR="00B4017B" w:rsidRPr="000F6CD1" w:rsidRDefault="00B4017B" w:rsidP="00370263">
      <w:pPr>
        <w:pStyle w:val="Caption"/>
      </w:pPr>
      <w:r w:rsidRPr="000F6CD1">
        <w:t xml:space="preserve">Table 67. Aged care assessment workforce minimum qualifications </w:t>
      </w:r>
    </w:p>
    <w:tbl>
      <w:tblPr>
        <w:tblStyle w:val="TableGrid"/>
        <w:tblW w:w="4868" w:type="pct"/>
        <w:tblBorders>
          <w:bottom w:val="single" w:sz="4" w:space="0" w:color="auto"/>
          <w:insideH w:val="single" w:sz="4" w:space="0" w:color="auto"/>
        </w:tblBorders>
        <w:tblLayout w:type="fixed"/>
        <w:tblLook w:val="04A0" w:firstRow="1" w:lastRow="0" w:firstColumn="1" w:lastColumn="0" w:noHBand="0" w:noVBand="1"/>
        <w:tblCaption w:val="Aged care assessment workforce minimum qualifications"/>
        <w:tblDescription w:val="This table provides an overview of minimum qualification requirements for aged care assessment workforce roles. "/>
      </w:tblPr>
      <w:tblGrid>
        <w:gridCol w:w="1844"/>
        <w:gridCol w:w="6944"/>
      </w:tblGrid>
      <w:tr w:rsidR="00B4017B" w:rsidRPr="000F6CD1" w14:paraId="72B860FB" w14:textId="77777777" w:rsidTr="00254FC0">
        <w:trPr>
          <w:cantSplit/>
          <w:tblHeader/>
        </w:trPr>
        <w:tc>
          <w:tcPr>
            <w:tcW w:w="1049" w:type="pct"/>
            <w:shd w:val="clear" w:color="auto" w:fill="002060"/>
          </w:tcPr>
          <w:p w14:paraId="76C89C3B" w14:textId="77777777" w:rsidR="00B4017B" w:rsidRPr="000F6CD1" w:rsidRDefault="00B4017B">
            <w:pPr>
              <w:pStyle w:val="PartL3"/>
              <w:spacing w:before="120"/>
              <w:rPr>
                <w:rFonts w:ascii="Arial" w:hAnsi="Arial" w:cs="Arial"/>
                <w:color w:val="FFFFFF" w:themeColor="background1"/>
              </w:rPr>
            </w:pPr>
            <w:r w:rsidRPr="000F6CD1">
              <w:rPr>
                <w:rFonts w:ascii="Arial" w:hAnsi="Arial" w:cs="Arial"/>
                <w:b/>
                <w:color w:val="FFFFFF" w:themeColor="background1"/>
              </w:rPr>
              <w:t>Role</w:t>
            </w:r>
          </w:p>
        </w:tc>
        <w:tc>
          <w:tcPr>
            <w:tcW w:w="3951" w:type="pct"/>
            <w:shd w:val="clear" w:color="auto" w:fill="002060"/>
          </w:tcPr>
          <w:p w14:paraId="091E83F1" w14:textId="77777777" w:rsidR="00B4017B" w:rsidRPr="000F6CD1" w:rsidRDefault="00B4017B">
            <w:pPr>
              <w:pStyle w:val="PartL3"/>
              <w:spacing w:before="120"/>
              <w:rPr>
                <w:rFonts w:ascii="Arial" w:hAnsi="Arial" w:cs="Arial"/>
                <w:color w:val="FFFFFF" w:themeColor="background1"/>
              </w:rPr>
            </w:pPr>
            <w:r w:rsidRPr="000F6CD1">
              <w:rPr>
                <w:rFonts w:ascii="Arial" w:hAnsi="Arial" w:cs="Arial"/>
                <w:b/>
                <w:color w:val="FFFFFF" w:themeColor="background1"/>
              </w:rPr>
              <w:t>Minimum qualification requirements</w:t>
            </w:r>
          </w:p>
        </w:tc>
      </w:tr>
      <w:tr w:rsidR="00B4017B" w:rsidRPr="000F6CD1" w14:paraId="32C881A7" w14:textId="77777777" w:rsidTr="00254FC0">
        <w:trPr>
          <w:cantSplit/>
        </w:trPr>
        <w:tc>
          <w:tcPr>
            <w:tcW w:w="1049" w:type="pct"/>
            <w:shd w:val="clear" w:color="auto" w:fill="FFFFFF" w:themeFill="background1"/>
          </w:tcPr>
          <w:p w14:paraId="266D7260" w14:textId="77777777" w:rsidR="00B4017B" w:rsidRPr="000F6CD1" w:rsidRDefault="00B4017B">
            <w:pPr>
              <w:pStyle w:val="PartL3"/>
              <w:spacing w:before="120"/>
              <w:rPr>
                <w:rFonts w:ascii="Arial" w:hAnsi="Arial" w:cs="Arial"/>
                <w:b/>
              </w:rPr>
            </w:pPr>
            <w:r w:rsidRPr="000F6CD1">
              <w:rPr>
                <w:rFonts w:ascii="Arial" w:hAnsi="Arial" w:cs="Arial"/>
                <w:b/>
              </w:rPr>
              <w:t>Triage Delegate</w:t>
            </w:r>
          </w:p>
        </w:tc>
        <w:tc>
          <w:tcPr>
            <w:tcW w:w="3951" w:type="pct"/>
            <w:shd w:val="clear" w:color="auto" w:fill="FFFFFF" w:themeFill="background1"/>
          </w:tcPr>
          <w:p w14:paraId="4FC983A6"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 xml:space="preserve">Tertiary* – in a health-related discipline directly related to health, aged care or related specialist area. E.g. registered nurses, medical officers, occupational therapists, physiotherapists and social workers. </w:t>
            </w:r>
          </w:p>
          <w:p w14:paraId="00CC48AE" w14:textId="77777777" w:rsidR="00B4017B" w:rsidRPr="000F6CD1" w:rsidRDefault="00B4017B" w:rsidP="0077246E">
            <w:pPr>
              <w:pStyle w:val="PartL3"/>
              <w:numPr>
                <w:ilvl w:val="0"/>
                <w:numId w:val="396"/>
              </w:numPr>
              <w:spacing w:before="120"/>
              <w:ind w:left="357" w:hanging="357"/>
              <w:rPr>
                <w:rFonts w:ascii="Arial" w:hAnsi="Arial" w:cs="Arial"/>
              </w:rPr>
            </w:pPr>
            <w:r w:rsidRPr="000F6CD1">
              <w:rPr>
                <w:rFonts w:ascii="Arial" w:hAnsi="Arial" w:cs="Arial"/>
              </w:rPr>
              <w:t xml:space="preserve">Current unrestricted registration with the Australian Health Practitioners Regulation Agency (AHPRA) or part of or eligible to be part of a relevant professional association. </w:t>
            </w:r>
          </w:p>
          <w:p w14:paraId="380CF8BA" w14:textId="77777777" w:rsidR="00B4017B" w:rsidRPr="000F6CD1" w:rsidRDefault="00B4017B" w:rsidP="0077246E">
            <w:pPr>
              <w:pStyle w:val="PartL3"/>
              <w:numPr>
                <w:ilvl w:val="0"/>
                <w:numId w:val="396"/>
              </w:numPr>
              <w:spacing w:before="120" w:after="180"/>
              <w:ind w:left="357" w:hanging="357"/>
              <w:rPr>
                <w:rFonts w:ascii="Arial" w:hAnsi="Arial" w:cs="Arial"/>
              </w:rPr>
            </w:pPr>
            <w:r w:rsidRPr="000F6CD1">
              <w:rPr>
                <w:rFonts w:ascii="Arial" w:hAnsi="Arial" w:cs="Arial"/>
              </w:rPr>
              <w:t>at least one years’ Aged Care Needs Assessment experience preferred.</w:t>
            </w:r>
          </w:p>
          <w:p w14:paraId="64AED647" w14:textId="1737A10C" w:rsidR="00B4017B" w:rsidRPr="000F6CD1" w:rsidRDefault="00B4017B" w:rsidP="008A57A8">
            <w:pPr>
              <w:rPr>
                <w:rFonts w:eastAsia="Times New Roman"/>
                <w:b/>
                <w:bCs/>
                <w:szCs w:val="22"/>
                <w:lang w:bidi="th-TH"/>
              </w:rPr>
            </w:pPr>
            <w:r w:rsidRPr="000F6CD1">
              <w:rPr>
                <w:rFonts w:eastAsia="Times New Roman"/>
                <w:b/>
                <w:bCs/>
                <w:szCs w:val="22"/>
                <w:lang w:bidi="th-TH"/>
              </w:rPr>
              <w:t>Qualifications also recognised for Aboriginal and Torres Strait Islander Assessment Organisations</w:t>
            </w:r>
          </w:p>
          <w:p w14:paraId="225F5DE0" w14:textId="1336E10D" w:rsidR="00B4017B" w:rsidRPr="000F6CD1" w:rsidRDefault="00B4017B">
            <w:pPr>
              <w:pStyle w:val="PartL3"/>
              <w:numPr>
                <w:ilvl w:val="0"/>
                <w:numId w:val="396"/>
              </w:numPr>
              <w:spacing w:before="120"/>
            </w:pPr>
            <w:r w:rsidRPr="000F6CD1">
              <w:rPr>
                <w:rFonts w:ascii="Arial" w:hAnsi="Arial" w:cs="Arial"/>
              </w:rPr>
              <w:t>Aboriginal and Torres Strait Islander Health Practitioners with a Diploma of Aboriginal and/or Torres Strait Isander Primary Health Care Practice and is registered with the Aboriginal and Torres Strait Islander Health Practice Board of Australia</w:t>
            </w:r>
            <w:r w:rsidR="0077246E">
              <w:t>.</w:t>
            </w:r>
          </w:p>
          <w:p w14:paraId="3FA12C6C" w14:textId="4F48A8CE" w:rsidR="00B4017B" w:rsidRPr="000F6CD1" w:rsidRDefault="00B4017B">
            <w:pPr>
              <w:pStyle w:val="PartL3"/>
              <w:numPr>
                <w:ilvl w:val="0"/>
                <w:numId w:val="396"/>
              </w:numPr>
              <w:spacing w:before="120"/>
            </w:pPr>
            <w:r w:rsidRPr="000F6CD1">
              <w:rPr>
                <w:rFonts w:ascii="Arial" w:hAnsi="Arial" w:cs="Arial"/>
              </w:rPr>
              <w:t>Allied Health Assistants with a Diploma or above qualification in Allied Health Assistance and holds or is eligible for a Practising Member (certified) membership with the Allied Health Assistant’s National Association</w:t>
            </w:r>
            <w:r w:rsidR="0077246E">
              <w:t>.</w:t>
            </w:r>
          </w:p>
          <w:p w14:paraId="4B72A396" w14:textId="26CC04F1" w:rsidR="00B4017B" w:rsidRPr="0077246E" w:rsidRDefault="00B4017B" w:rsidP="0077246E">
            <w:pPr>
              <w:pStyle w:val="PartL3"/>
              <w:numPr>
                <w:ilvl w:val="0"/>
                <w:numId w:val="396"/>
              </w:numPr>
              <w:spacing w:before="120"/>
            </w:pPr>
            <w:r w:rsidRPr="000F6CD1">
              <w:rPr>
                <w:rFonts w:ascii="Arial" w:hAnsi="Arial" w:cs="Arial"/>
              </w:rPr>
              <w:t>Exceptions to the above qualifications may apply in certain circumstances, including (but not limited to) when the role is located in a remote area. Where an exception applies, a business case must be supplied to the Department for consideration.</w:t>
            </w:r>
          </w:p>
          <w:p w14:paraId="07FA923A" w14:textId="77777777" w:rsidR="00B4017B" w:rsidRPr="000F6CD1" w:rsidRDefault="00B4017B" w:rsidP="00D20685">
            <w:pPr>
              <w:rPr>
                <w:lang w:eastAsia="zh-CN" w:bidi="th-TH"/>
              </w:rPr>
            </w:pPr>
          </w:p>
        </w:tc>
      </w:tr>
      <w:tr w:rsidR="00B4017B" w:rsidRPr="000F6CD1" w14:paraId="229350EB" w14:textId="77777777" w:rsidTr="00254FC0">
        <w:trPr>
          <w:cantSplit/>
        </w:trPr>
        <w:tc>
          <w:tcPr>
            <w:tcW w:w="1049" w:type="pct"/>
            <w:shd w:val="clear" w:color="auto" w:fill="FFFFFF" w:themeFill="background1"/>
          </w:tcPr>
          <w:p w14:paraId="5122C18D" w14:textId="77777777" w:rsidR="00B4017B" w:rsidRPr="000F6CD1" w:rsidRDefault="00B4017B">
            <w:pPr>
              <w:pStyle w:val="PartL3"/>
              <w:spacing w:before="120"/>
              <w:rPr>
                <w:rFonts w:ascii="Arial" w:hAnsi="Arial" w:cs="Arial"/>
                <w:b/>
              </w:rPr>
            </w:pPr>
            <w:r w:rsidRPr="000F6CD1">
              <w:rPr>
                <w:rFonts w:ascii="Arial" w:hAnsi="Arial" w:cs="Arial"/>
                <w:b/>
                <w:bCs/>
              </w:rPr>
              <w:lastRenderedPageBreak/>
              <w:t>Clinical Assessment Delegate</w:t>
            </w:r>
          </w:p>
        </w:tc>
        <w:tc>
          <w:tcPr>
            <w:tcW w:w="3951" w:type="pct"/>
            <w:shd w:val="clear" w:color="auto" w:fill="FFFFFF" w:themeFill="background1"/>
          </w:tcPr>
          <w:p w14:paraId="3D682EEA" w14:textId="77777777" w:rsidR="00B4017B" w:rsidRPr="000F6CD1" w:rsidRDefault="00B4017B" w:rsidP="00D53108">
            <w:pPr>
              <w:pStyle w:val="PartL3"/>
              <w:numPr>
                <w:ilvl w:val="0"/>
                <w:numId w:val="396"/>
              </w:numPr>
              <w:spacing w:before="120"/>
              <w:ind w:left="357" w:hanging="357"/>
              <w:rPr>
                <w:rFonts w:ascii="Arial" w:hAnsi="Arial" w:cs="Arial"/>
              </w:rPr>
            </w:pPr>
            <w:r w:rsidRPr="000F6CD1">
              <w:rPr>
                <w:rFonts w:ascii="Arial" w:hAnsi="Arial" w:cs="Arial"/>
              </w:rPr>
              <w:t xml:space="preserve">Tertiary* – in a health-related discipline directly related to health, aged care or related specialist area. E.g. registered nurses, medical officers, occupational therapists, physiotherapists and social workers. </w:t>
            </w:r>
          </w:p>
          <w:p w14:paraId="60DCA80A"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Current unrestricted registration with the Australian Health Practitioners Regulation Agency (AHPRA) or part of or eligible to be part of a relevant professional association.</w:t>
            </w:r>
          </w:p>
          <w:p w14:paraId="0C276A18" w14:textId="77777777" w:rsidR="00B4017B" w:rsidRPr="000F6CD1" w:rsidRDefault="00B4017B" w:rsidP="007D74BE">
            <w:pPr>
              <w:pStyle w:val="PartL3"/>
              <w:numPr>
                <w:ilvl w:val="0"/>
                <w:numId w:val="396"/>
              </w:numPr>
              <w:spacing w:before="120" w:after="180"/>
              <w:ind w:left="357" w:hanging="357"/>
              <w:rPr>
                <w:rFonts w:ascii="Arial" w:hAnsi="Arial" w:cs="Arial"/>
              </w:rPr>
            </w:pPr>
            <w:r w:rsidRPr="000F6CD1">
              <w:rPr>
                <w:rFonts w:ascii="Arial" w:hAnsi="Arial" w:cs="Arial"/>
              </w:rPr>
              <w:t xml:space="preserve">At least one years’ Aged Care Needs Assessment experience preferred. </w:t>
            </w:r>
          </w:p>
          <w:p w14:paraId="5F1DC1C1" w14:textId="5B38A524" w:rsidR="00B4017B" w:rsidRPr="000F6CD1" w:rsidRDefault="00B4017B" w:rsidP="00986A60">
            <w:pPr>
              <w:rPr>
                <w:rFonts w:eastAsia="Times New Roman"/>
                <w:b/>
                <w:bCs/>
                <w:szCs w:val="22"/>
                <w:lang w:bidi="th-TH"/>
              </w:rPr>
            </w:pPr>
            <w:r w:rsidRPr="000F6CD1">
              <w:rPr>
                <w:rFonts w:eastAsia="Times New Roman"/>
                <w:b/>
                <w:bCs/>
                <w:szCs w:val="22"/>
                <w:lang w:bidi="th-TH"/>
              </w:rPr>
              <w:t>Qualifications also recognised for Aboriginal and Torres Strait Islander Assessment Organisations</w:t>
            </w:r>
          </w:p>
          <w:p w14:paraId="139EFB4F" w14:textId="77777777" w:rsidR="00B4017B" w:rsidRPr="000F6CD1" w:rsidRDefault="00B4017B" w:rsidP="007D74BE">
            <w:pPr>
              <w:pStyle w:val="PartL3"/>
              <w:numPr>
                <w:ilvl w:val="0"/>
                <w:numId w:val="396"/>
              </w:numPr>
              <w:spacing w:before="120" w:after="180"/>
              <w:ind w:left="357" w:hanging="357"/>
            </w:pPr>
            <w:r w:rsidRPr="000F6CD1">
              <w:rPr>
                <w:rFonts w:ascii="Arial" w:hAnsi="Arial" w:cs="Arial"/>
              </w:rPr>
              <w:t>Aboriginal and Torres Strait Islander Health Practitioners with a Diploma of Aboriginal and/or Torres Strait Isander Primary Health Care Practice and is registered with the Aboriginal and Torres Strait Islander Health Practice Board of Australia.</w:t>
            </w:r>
            <w:r w:rsidRPr="000F6CD1">
              <w:t> </w:t>
            </w:r>
          </w:p>
          <w:p w14:paraId="551BB248" w14:textId="77777777" w:rsidR="00B4017B" w:rsidRPr="000F6CD1" w:rsidRDefault="00B4017B" w:rsidP="007D74BE">
            <w:pPr>
              <w:pStyle w:val="PartL3"/>
              <w:numPr>
                <w:ilvl w:val="0"/>
                <w:numId w:val="396"/>
              </w:numPr>
              <w:spacing w:before="120" w:after="180"/>
              <w:ind w:left="357" w:hanging="357"/>
            </w:pPr>
            <w:r w:rsidRPr="0077246E">
              <w:rPr>
                <w:rFonts w:ascii="Arial" w:hAnsi="Arial" w:cs="Arial"/>
              </w:rPr>
              <w:t>Allied Health Assistants with a Diploma or above qualification in Allied Health Assistance and holds or is eligible for a Practising Member (certified) membership with the Allied Health Assistant’s National Association</w:t>
            </w:r>
            <w:r w:rsidRPr="000F6CD1">
              <w:rPr>
                <w:rFonts w:ascii="Arial" w:hAnsi="Arial" w:cs="Arial"/>
              </w:rPr>
              <w:t>.</w:t>
            </w:r>
          </w:p>
        </w:tc>
      </w:tr>
      <w:tr w:rsidR="00B4017B" w:rsidRPr="000F6CD1" w14:paraId="48D96446" w14:textId="77777777" w:rsidTr="00254FC0">
        <w:trPr>
          <w:cantSplit/>
        </w:trPr>
        <w:tc>
          <w:tcPr>
            <w:tcW w:w="1049" w:type="pct"/>
            <w:shd w:val="clear" w:color="auto" w:fill="FFFFFF" w:themeFill="background1"/>
          </w:tcPr>
          <w:p w14:paraId="08941C45" w14:textId="77777777" w:rsidR="00B4017B" w:rsidRPr="000F6CD1" w:rsidRDefault="00B4017B">
            <w:pPr>
              <w:pStyle w:val="PartL3"/>
              <w:spacing w:before="120"/>
              <w:rPr>
                <w:rFonts w:ascii="Arial" w:hAnsi="Arial" w:cs="Arial"/>
                <w:b/>
                <w:bCs/>
              </w:rPr>
            </w:pPr>
            <w:r w:rsidRPr="000F6CD1">
              <w:rPr>
                <w:rFonts w:ascii="Arial" w:hAnsi="Arial" w:cs="Arial"/>
                <w:b/>
                <w:bCs/>
              </w:rPr>
              <w:t xml:space="preserve">Non-Clinical Assessment Delegate </w:t>
            </w:r>
          </w:p>
        </w:tc>
        <w:tc>
          <w:tcPr>
            <w:tcW w:w="3951" w:type="pct"/>
            <w:shd w:val="clear" w:color="auto" w:fill="FFFFFF" w:themeFill="background1"/>
          </w:tcPr>
          <w:p w14:paraId="350D2ED3" w14:textId="77777777" w:rsidR="00B4017B" w:rsidRPr="000F6CD1" w:rsidRDefault="00B4017B" w:rsidP="007D74BE">
            <w:pPr>
              <w:pStyle w:val="PartL3"/>
              <w:numPr>
                <w:ilvl w:val="0"/>
                <w:numId w:val="396"/>
              </w:numPr>
              <w:spacing w:before="120" w:after="180"/>
              <w:ind w:left="357" w:hanging="357"/>
              <w:rPr>
                <w:rFonts w:ascii="Arial" w:hAnsi="Arial" w:cs="Arial"/>
              </w:rPr>
            </w:pPr>
            <w:r w:rsidRPr="000F6CD1">
              <w:rPr>
                <w:rFonts w:ascii="Arial" w:hAnsi="Arial" w:cs="Arial"/>
              </w:rPr>
              <w:t xml:space="preserve">No minimum qualification. </w:t>
            </w:r>
            <w:r w:rsidRPr="000F6CD1">
              <w:rPr>
                <w:rFonts w:ascii="Arial" w:hAnsi="Arial" w:cs="Arial"/>
              </w:rPr>
              <w:br/>
              <w:t>Current work experience in aged care or Aged Care Needs Assessment preferred.</w:t>
            </w:r>
          </w:p>
          <w:p w14:paraId="55CA317D" w14:textId="77777777" w:rsidR="00B4017B" w:rsidRPr="000F6CD1" w:rsidRDefault="00B4017B" w:rsidP="007D74BE">
            <w:pPr>
              <w:pStyle w:val="PartL3"/>
              <w:numPr>
                <w:ilvl w:val="0"/>
                <w:numId w:val="396"/>
              </w:numPr>
              <w:spacing w:before="120" w:after="180"/>
              <w:ind w:left="357" w:hanging="357"/>
              <w:rPr>
                <w:rFonts w:ascii="Arial" w:hAnsi="Arial" w:cs="Arial"/>
              </w:rPr>
            </w:pPr>
            <w:r w:rsidRPr="000F6CD1">
              <w:rPr>
                <w:rFonts w:ascii="Arial" w:hAnsi="Arial" w:cs="Arial"/>
              </w:rPr>
              <w:t>At least one years’ Aged Care Needs Assessment experience preferred.</w:t>
            </w:r>
          </w:p>
        </w:tc>
      </w:tr>
      <w:tr w:rsidR="00B4017B" w:rsidRPr="000F6CD1" w14:paraId="25C99210" w14:textId="77777777" w:rsidTr="00254FC0">
        <w:trPr>
          <w:cantSplit/>
        </w:trPr>
        <w:tc>
          <w:tcPr>
            <w:tcW w:w="1049" w:type="pct"/>
            <w:shd w:val="clear" w:color="auto" w:fill="FFFFFF" w:themeFill="background1"/>
          </w:tcPr>
          <w:p w14:paraId="56E89F6E" w14:textId="06E68C9E" w:rsidR="00B4017B" w:rsidRPr="000F6CD1" w:rsidRDefault="00B4017B">
            <w:pPr>
              <w:pStyle w:val="PartL3"/>
              <w:spacing w:before="120"/>
              <w:rPr>
                <w:rFonts w:ascii="Arial" w:hAnsi="Arial" w:cs="Arial"/>
                <w:b/>
                <w:bCs/>
              </w:rPr>
            </w:pPr>
            <w:r w:rsidRPr="000F6CD1">
              <w:rPr>
                <w:rFonts w:ascii="Arial" w:hAnsi="Arial" w:cs="Arial"/>
                <w:b/>
                <w:bCs/>
              </w:rPr>
              <w:lastRenderedPageBreak/>
              <w:t xml:space="preserve">Clinical Aged Care Needs Assessor </w:t>
            </w:r>
          </w:p>
        </w:tc>
        <w:tc>
          <w:tcPr>
            <w:tcW w:w="3951" w:type="pct"/>
            <w:shd w:val="clear" w:color="auto" w:fill="FFFFFF" w:themeFill="background1"/>
          </w:tcPr>
          <w:p w14:paraId="35391C2C"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 xml:space="preserve">Tertiary* – in a health-related discipline directly related to health, aged care or related specialist area. E.g. registered nurses, medical officers, occupational therapists, physiotherapists and social workers. </w:t>
            </w:r>
          </w:p>
          <w:p w14:paraId="6AFA9C53"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Current unrestricted registration with the Australian Health Practitioners Regulation Agency (AHPRA) or part of or eligible to be part of a relevant professional association.</w:t>
            </w:r>
          </w:p>
          <w:p w14:paraId="2B4BFBEA" w14:textId="77777777" w:rsidR="00B4017B" w:rsidRPr="000F6CD1" w:rsidRDefault="00B4017B">
            <w:pPr>
              <w:pStyle w:val="ListParagraph"/>
              <w:numPr>
                <w:ilvl w:val="0"/>
                <w:numId w:val="396"/>
              </w:numPr>
              <w:spacing w:before="200" w:line="240" w:lineRule="atLeast"/>
            </w:pPr>
            <w:r w:rsidRPr="000F6CD1">
              <w:rPr>
                <w:rFonts w:eastAsia="Times New Roman"/>
                <w:szCs w:val="22"/>
                <w:lang w:bidi="th-TH"/>
              </w:rPr>
              <w:t>Minimum of one year demonstrated experience in Australia or overseas directly delivering services in aged care settings and/or to aged persons (such as geriatric evaluation, rehabilitation, palliative care, community nursing), including to people living with dementia.</w:t>
            </w:r>
          </w:p>
          <w:p w14:paraId="1D0BF8E1" w14:textId="77777777" w:rsidR="00B4017B" w:rsidRPr="000F6CD1" w:rsidRDefault="00B4017B" w:rsidP="00995B2E">
            <w:pPr>
              <w:pStyle w:val="ListParagraph"/>
              <w:spacing w:before="200" w:line="240" w:lineRule="atLeast"/>
              <w:ind w:left="360"/>
            </w:pPr>
          </w:p>
          <w:p w14:paraId="6F57A468" w14:textId="77777777" w:rsidR="00B4017B" w:rsidRPr="000F6CD1" w:rsidRDefault="00B4017B" w:rsidP="00995B2E">
            <w:pPr>
              <w:rPr>
                <w:rFonts w:eastAsia="Times New Roman"/>
                <w:szCs w:val="22"/>
                <w:lang w:eastAsia="zh-CN" w:bidi="th-TH"/>
              </w:rPr>
            </w:pPr>
            <w:r w:rsidRPr="000F6CD1">
              <w:rPr>
                <w:rFonts w:eastAsia="Times New Roman"/>
                <w:szCs w:val="22"/>
                <w:lang w:eastAsia="zh-CN" w:bidi="th-TH"/>
              </w:rPr>
              <w:t xml:space="preserve">Note: An Enrolled Nurse may be considered for a clinical assessor role </w:t>
            </w:r>
            <w:r w:rsidRPr="000F6CD1">
              <w:rPr>
                <w:rFonts w:eastAsia="Times New Roman"/>
                <w:i/>
                <w:iCs/>
                <w:szCs w:val="22"/>
                <w:lang w:eastAsia="zh-CN" w:bidi="th-TH"/>
              </w:rPr>
              <w:t xml:space="preserve">only if they are under direct or indirect Registered Nurse supervision within the same organisation. </w:t>
            </w:r>
            <w:r w:rsidRPr="000F6CD1">
              <w:rPr>
                <w:rFonts w:eastAsia="Times New Roman"/>
                <w:szCs w:val="22"/>
                <w:lang w:eastAsia="zh-CN" w:bidi="th-TH"/>
              </w:rPr>
              <w:t xml:space="preserve">A business case is required. </w:t>
            </w:r>
          </w:p>
          <w:p w14:paraId="104B0D5D" w14:textId="77777777" w:rsidR="00B4017B" w:rsidRPr="000F6CD1" w:rsidRDefault="00B4017B" w:rsidP="00995B2E">
            <w:pPr>
              <w:rPr>
                <w:rFonts w:eastAsia="Times New Roman"/>
                <w:i/>
                <w:iCs/>
                <w:szCs w:val="22"/>
                <w:lang w:eastAsia="zh-CN" w:bidi="th-TH"/>
              </w:rPr>
            </w:pPr>
          </w:p>
          <w:p w14:paraId="2A4C6BB3" w14:textId="7CDC6114" w:rsidR="00B4017B" w:rsidRPr="000F6CD1" w:rsidRDefault="00B4017B" w:rsidP="00995B2E">
            <w:pPr>
              <w:rPr>
                <w:rFonts w:eastAsia="Times New Roman"/>
                <w:szCs w:val="22"/>
                <w:lang w:eastAsia="zh-CN" w:bidi="th-TH"/>
              </w:rPr>
            </w:pPr>
            <w:r w:rsidRPr="000F6CD1">
              <w:rPr>
                <w:rFonts w:eastAsia="Times New Roman"/>
                <w:szCs w:val="22"/>
                <w:lang w:eastAsia="zh-CN" w:bidi="th-TH"/>
              </w:rPr>
              <w:t xml:space="preserve">Aboriginal and Torres Strait Islander Health Practitioners with a Cert IV in Aboriginal and Torres Strait Islander Primary Health Care Practice may be considered for a clinical aged care needs assessor provided they are operating within their scope of practice. A business case is required for mainstream Single Assessment System organisations. </w:t>
            </w:r>
          </w:p>
          <w:p w14:paraId="50CC6D5F" w14:textId="1F0CA6E8" w:rsidR="00B4017B" w:rsidRPr="000F6CD1" w:rsidRDefault="00B4017B" w:rsidP="00995B2E">
            <w:pPr>
              <w:rPr>
                <w:rFonts w:eastAsia="Times New Roman"/>
                <w:szCs w:val="22"/>
                <w:lang w:eastAsia="zh-CN" w:bidi="th-TH"/>
              </w:rPr>
            </w:pPr>
          </w:p>
          <w:p w14:paraId="2860EAAE" w14:textId="436BC9BA" w:rsidR="00B4017B" w:rsidRDefault="00675B7B" w:rsidP="001B2689">
            <w:pPr>
              <w:rPr>
                <w:rFonts w:eastAsia="Times New Roman"/>
                <w:i/>
                <w:iCs/>
                <w:szCs w:val="22"/>
                <w:lang w:eastAsia="zh-CN" w:bidi="th-TH"/>
              </w:rPr>
            </w:pPr>
            <w:r>
              <w:rPr>
                <w:noProof/>
                <w14:ligatures w14:val="standardContextual"/>
              </w:rPr>
              <w:drawing>
                <wp:anchor distT="0" distB="0" distL="114300" distR="114300" simplePos="0" relativeHeight="251658350" behindDoc="0" locked="0" layoutInCell="1" allowOverlap="1" wp14:anchorId="0F0FDB3B" wp14:editId="08B4077B">
                  <wp:simplePos x="0" y="0"/>
                  <wp:positionH relativeFrom="margin">
                    <wp:posOffset>-9525</wp:posOffset>
                  </wp:positionH>
                  <wp:positionV relativeFrom="margin">
                    <wp:posOffset>4391025</wp:posOffset>
                  </wp:positionV>
                  <wp:extent cx="365792" cy="403895"/>
                  <wp:effectExtent l="0" t="0" r="0" b="0"/>
                  <wp:wrapSquare wrapText="bothSides"/>
                  <wp:docPr id="1677345714"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45714"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5792" cy="403895"/>
                          </a:xfrm>
                          <a:prstGeom prst="rect">
                            <a:avLst/>
                          </a:prstGeom>
                        </pic:spPr>
                      </pic:pic>
                    </a:graphicData>
                  </a:graphic>
                </wp:anchor>
              </w:drawing>
            </w:r>
            <w:r w:rsidR="00B4017B" w:rsidRPr="00B6248C">
              <w:rPr>
                <w:rFonts w:eastAsia="Times New Roman"/>
                <w:i/>
                <w:iCs/>
                <w:szCs w:val="22"/>
                <w:lang w:eastAsia="zh-CN" w:bidi="th-TH"/>
              </w:rPr>
              <w:t xml:space="preserve">Note: Aboriginal and Torres Strait Islander Health Practitioners with a Cert IV in Aboriginal and Torres Strait Islander Primary Health Care Practice </w:t>
            </w:r>
            <w:r w:rsidR="00B4017B" w:rsidRPr="000F6CD1">
              <w:rPr>
                <w:rFonts w:eastAsia="Times New Roman"/>
                <w:i/>
                <w:iCs/>
                <w:szCs w:val="22"/>
                <w:lang w:eastAsia="zh-CN" w:bidi="th-TH"/>
              </w:rPr>
              <w:t>are not required to submit a business case to become a clinical</w:t>
            </w:r>
            <w:r w:rsidR="00DE7E9C">
              <w:rPr>
                <w:rFonts w:eastAsia="Times New Roman"/>
                <w:i/>
                <w:iCs/>
                <w:szCs w:val="22"/>
                <w:lang w:eastAsia="zh-CN" w:bidi="th-TH"/>
              </w:rPr>
              <w:t xml:space="preserve"> aged care</w:t>
            </w:r>
            <w:r w:rsidR="00B4017B" w:rsidRPr="000F6CD1">
              <w:rPr>
                <w:rFonts w:eastAsia="Times New Roman"/>
                <w:i/>
                <w:iCs/>
                <w:szCs w:val="22"/>
                <w:lang w:eastAsia="zh-CN" w:bidi="th-TH"/>
              </w:rPr>
              <w:t xml:space="preserve"> needs assessor in Aboriginal and Torres Strait Islander assessment organisations.</w:t>
            </w:r>
          </w:p>
          <w:p w14:paraId="586B6EDE" w14:textId="77777777" w:rsidR="001B2689" w:rsidRPr="001B2689" w:rsidRDefault="001B2689" w:rsidP="001B2689">
            <w:pPr>
              <w:rPr>
                <w:rFonts w:eastAsia="Times New Roman"/>
                <w:i/>
                <w:iCs/>
                <w:szCs w:val="22"/>
                <w:lang w:eastAsia="zh-CN" w:bidi="th-TH"/>
              </w:rPr>
            </w:pPr>
          </w:p>
          <w:p w14:paraId="2917E469" w14:textId="77777777" w:rsidR="00B4017B" w:rsidRPr="000F6CD1" w:rsidRDefault="00B4017B" w:rsidP="00764179">
            <w:pPr>
              <w:rPr>
                <w:rFonts w:eastAsia="Times New Roman"/>
                <w:b/>
                <w:bCs/>
                <w:szCs w:val="22"/>
                <w:lang w:eastAsia="zh-CN" w:bidi="th-TH"/>
              </w:rPr>
            </w:pPr>
            <w:r w:rsidRPr="000F6CD1">
              <w:rPr>
                <w:rFonts w:eastAsia="Times New Roman"/>
                <w:b/>
                <w:bCs/>
                <w:szCs w:val="22"/>
                <w:lang w:eastAsia="zh-CN" w:bidi="th-TH"/>
              </w:rPr>
              <w:t>Additional qualifications recognised for Aboriginal and Torres Strait Islander Assessment Organisations</w:t>
            </w:r>
          </w:p>
          <w:p w14:paraId="14A269C3" w14:textId="77777777" w:rsidR="00B4017B" w:rsidRPr="000F6CD1" w:rsidRDefault="00B4017B">
            <w:pPr>
              <w:numPr>
                <w:ilvl w:val="0"/>
                <w:numId w:val="450"/>
              </w:numPr>
              <w:spacing w:before="120" w:after="120"/>
              <w:rPr>
                <w:rFonts w:eastAsia="Times New Roman"/>
                <w:szCs w:val="22"/>
                <w:lang w:bidi="th-TH"/>
              </w:rPr>
            </w:pPr>
            <w:r w:rsidRPr="000F6CD1">
              <w:rPr>
                <w:rFonts w:eastAsia="Times New Roman"/>
                <w:szCs w:val="22"/>
                <w:lang w:bidi="th-TH"/>
              </w:rPr>
              <w:t>A Cert IV or above in Aboriginal and/or Torres Strait Islander Primary Health Care Practice and is registered with the Aboriginal and Torres Strait Islander Health Practice Board of Australia. </w:t>
            </w:r>
          </w:p>
          <w:p w14:paraId="35C01A9C" w14:textId="77777777" w:rsidR="00B4017B" w:rsidRPr="000F6CD1" w:rsidRDefault="00B4017B">
            <w:pPr>
              <w:pStyle w:val="ListParagraph"/>
              <w:numPr>
                <w:ilvl w:val="0"/>
                <w:numId w:val="449"/>
              </w:numPr>
              <w:spacing w:before="120" w:after="120"/>
            </w:pPr>
            <w:r w:rsidRPr="000F6CD1">
              <w:rPr>
                <w:rFonts w:eastAsia="Times New Roman"/>
                <w:szCs w:val="22"/>
                <w:lang w:bidi="th-TH"/>
              </w:rPr>
              <w:t xml:space="preserve">a Cert IV or above in Allied Health Assistance and holds or is eligible for a Practicing Member (Certified) class of membership with the Allied Health Assistants’ National Association </w:t>
            </w:r>
          </w:p>
        </w:tc>
      </w:tr>
      <w:tr w:rsidR="00B4017B" w:rsidRPr="000F6CD1" w14:paraId="69A25A94" w14:textId="77777777" w:rsidTr="00254FC0">
        <w:trPr>
          <w:cantSplit/>
        </w:trPr>
        <w:tc>
          <w:tcPr>
            <w:tcW w:w="1049" w:type="pct"/>
          </w:tcPr>
          <w:p w14:paraId="40F53CEA" w14:textId="77777777" w:rsidR="00B4017B" w:rsidRPr="000F6CD1" w:rsidRDefault="00B4017B">
            <w:pPr>
              <w:pStyle w:val="PartL3"/>
              <w:spacing w:before="120"/>
              <w:rPr>
                <w:rFonts w:ascii="Arial" w:hAnsi="Arial" w:cs="Arial"/>
              </w:rPr>
            </w:pPr>
            <w:r w:rsidRPr="000F6CD1">
              <w:rPr>
                <w:rFonts w:ascii="Arial" w:hAnsi="Arial" w:cs="Arial"/>
                <w:b/>
              </w:rPr>
              <w:t xml:space="preserve">Non-Clinical Aged Care Needs Assessor </w:t>
            </w:r>
          </w:p>
        </w:tc>
        <w:tc>
          <w:tcPr>
            <w:tcW w:w="3951" w:type="pct"/>
          </w:tcPr>
          <w:p w14:paraId="1B2EB354"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 xml:space="preserve">No minimum qualification. </w:t>
            </w:r>
            <w:r w:rsidRPr="000F6CD1">
              <w:rPr>
                <w:rFonts w:ascii="Arial" w:hAnsi="Arial" w:cs="Arial"/>
              </w:rPr>
              <w:br/>
              <w:t xml:space="preserve">Previous knowledge or work experience in the aged care system preferred. </w:t>
            </w:r>
          </w:p>
        </w:tc>
      </w:tr>
      <w:tr w:rsidR="00B4017B" w:rsidRPr="000F6CD1" w14:paraId="5E5F8DF5" w14:textId="77777777" w:rsidTr="00254FC0">
        <w:trPr>
          <w:cantSplit/>
        </w:trPr>
        <w:tc>
          <w:tcPr>
            <w:tcW w:w="1049" w:type="pct"/>
          </w:tcPr>
          <w:p w14:paraId="1479E165" w14:textId="77777777" w:rsidR="00B4017B" w:rsidRPr="000F6CD1" w:rsidRDefault="00B4017B">
            <w:pPr>
              <w:pStyle w:val="PartL3"/>
              <w:spacing w:before="120"/>
              <w:rPr>
                <w:rFonts w:ascii="Arial" w:hAnsi="Arial" w:cs="Arial"/>
                <w:b/>
                <w:bCs/>
              </w:rPr>
            </w:pPr>
            <w:r w:rsidRPr="000F6CD1">
              <w:rPr>
                <w:rFonts w:ascii="Arial" w:eastAsiaTheme="majorEastAsia" w:hAnsi="Arial" w:cs="Arial"/>
                <w:b/>
                <w:bCs/>
                <w:lang w:eastAsia="en-AU"/>
              </w:rPr>
              <w:lastRenderedPageBreak/>
              <w:t xml:space="preserve">Aged Care Needs Assessment Team Leaders </w:t>
            </w:r>
          </w:p>
        </w:tc>
        <w:tc>
          <w:tcPr>
            <w:tcW w:w="3951" w:type="pct"/>
          </w:tcPr>
          <w:p w14:paraId="22C89C4F" w14:textId="77777777" w:rsidR="00B4017B" w:rsidRPr="000F6CD1" w:rsidRDefault="00B4017B" w:rsidP="00D53108">
            <w:pPr>
              <w:pStyle w:val="PartL3"/>
              <w:numPr>
                <w:ilvl w:val="0"/>
                <w:numId w:val="396"/>
              </w:numPr>
              <w:spacing w:before="120"/>
              <w:rPr>
                <w:rFonts w:ascii="Arial" w:hAnsi="Arial" w:cs="Arial"/>
                <w:lang w:eastAsia="en-AU"/>
              </w:rPr>
            </w:pPr>
            <w:r w:rsidRPr="000F6CD1">
              <w:rPr>
                <w:rFonts w:ascii="Arial" w:hAnsi="Arial" w:cs="Arial"/>
                <w:lang w:eastAsia="en-AU"/>
              </w:rPr>
              <w:t xml:space="preserve">Tertiary* – in a health-related discipline directly related to health, aged care or related specialist area. E.g. registered nurses, medical officers, occupational therapists, physiotherapists and social workers. </w:t>
            </w:r>
          </w:p>
          <w:p w14:paraId="05215A85" w14:textId="77777777" w:rsidR="00B4017B" w:rsidRPr="000F6CD1" w:rsidRDefault="00B4017B" w:rsidP="00D53108">
            <w:pPr>
              <w:pStyle w:val="PartL3"/>
              <w:numPr>
                <w:ilvl w:val="0"/>
                <w:numId w:val="396"/>
              </w:numPr>
              <w:spacing w:before="120"/>
              <w:rPr>
                <w:rFonts w:ascii="Arial" w:hAnsi="Arial" w:cs="Arial"/>
                <w:lang w:eastAsia="en-AU"/>
              </w:rPr>
            </w:pPr>
            <w:r w:rsidRPr="000F6CD1">
              <w:rPr>
                <w:rFonts w:ascii="Arial" w:hAnsi="Arial" w:cs="Arial"/>
                <w:lang w:eastAsia="en-AU"/>
              </w:rPr>
              <w:t xml:space="preserve">Current unrestricted registration with the AHPRA or part of or eligible to be part of a relevant professional association. </w:t>
            </w:r>
          </w:p>
          <w:p w14:paraId="6B9A4F4B" w14:textId="77777777" w:rsidR="00B4017B" w:rsidRPr="000F6CD1" w:rsidRDefault="00B4017B" w:rsidP="00D53108">
            <w:pPr>
              <w:pStyle w:val="PartL3"/>
              <w:numPr>
                <w:ilvl w:val="0"/>
                <w:numId w:val="396"/>
              </w:numPr>
              <w:spacing w:before="120"/>
              <w:rPr>
                <w:rFonts w:ascii="Arial" w:hAnsi="Arial" w:cs="Arial"/>
                <w:lang w:eastAsia="en-AU"/>
              </w:rPr>
            </w:pPr>
            <w:r w:rsidRPr="000F6CD1">
              <w:rPr>
                <w:rFonts w:ascii="Arial" w:hAnsi="Arial" w:cs="Arial"/>
                <w:lang w:eastAsia="en-AU"/>
              </w:rPr>
              <w:t xml:space="preserve">At least one years’ experience as a Clinical Aged Care Needs Assessor preferred. </w:t>
            </w:r>
          </w:p>
          <w:p w14:paraId="19E0EC2E" w14:textId="77777777" w:rsidR="00B4017B" w:rsidRPr="000F6CD1" w:rsidRDefault="00B4017B" w:rsidP="00D53108">
            <w:pPr>
              <w:spacing w:before="120" w:after="120"/>
              <w:rPr>
                <w:rFonts w:eastAsia="Times New Roman"/>
                <w:b/>
                <w:bCs/>
                <w:szCs w:val="22"/>
                <w:lang w:bidi="th-TH"/>
              </w:rPr>
            </w:pPr>
            <w:r w:rsidRPr="000F6CD1">
              <w:rPr>
                <w:rFonts w:eastAsia="Times New Roman"/>
                <w:b/>
                <w:bCs/>
                <w:szCs w:val="22"/>
                <w:lang w:eastAsia="zh-CN" w:bidi="th-TH"/>
              </w:rPr>
              <w:t xml:space="preserve">Additional qualifications recognised </w:t>
            </w:r>
            <w:r w:rsidRPr="000F6CD1">
              <w:rPr>
                <w:rFonts w:eastAsia="Times New Roman"/>
                <w:b/>
                <w:bCs/>
                <w:szCs w:val="22"/>
                <w:lang w:bidi="th-TH"/>
              </w:rPr>
              <w:t>for Aboriginal and Torres Strait Islander Assessment Organisations</w:t>
            </w:r>
          </w:p>
          <w:p w14:paraId="501B6A24" w14:textId="13E99F8D" w:rsidR="00B4017B" w:rsidRPr="00D53108" w:rsidRDefault="00B4017B" w:rsidP="00D53108">
            <w:pPr>
              <w:pStyle w:val="ListParagraph"/>
              <w:numPr>
                <w:ilvl w:val="0"/>
                <w:numId w:val="449"/>
              </w:numPr>
              <w:spacing w:before="120" w:after="120"/>
              <w:contextualSpacing w:val="0"/>
              <w:rPr>
                <w:b/>
              </w:rPr>
            </w:pPr>
            <w:r w:rsidRPr="000F6CD1">
              <w:rPr>
                <w:rFonts w:eastAsia="Times New Roman"/>
                <w:szCs w:val="22"/>
                <w:lang w:bidi="th-TH"/>
              </w:rPr>
              <w:t xml:space="preserve">A Cert IV or above in Aboriginal and Torres Strait Islander Primary Health Care Practice. </w:t>
            </w:r>
          </w:p>
          <w:p w14:paraId="46C3BE12" w14:textId="77777777" w:rsidR="00B4017B" w:rsidRPr="000F6CD1" w:rsidRDefault="00B4017B" w:rsidP="00D53108">
            <w:pPr>
              <w:pStyle w:val="ListParagraph"/>
              <w:numPr>
                <w:ilvl w:val="0"/>
                <w:numId w:val="449"/>
              </w:numPr>
              <w:spacing w:before="120" w:after="120"/>
              <w:contextualSpacing w:val="0"/>
              <w:rPr>
                <w:b/>
              </w:rPr>
            </w:pPr>
            <w:r w:rsidRPr="000F6CD1">
              <w:rPr>
                <w:rFonts w:eastAsia="Times New Roman"/>
                <w:szCs w:val="22"/>
                <w:lang w:bidi="th-TH"/>
              </w:rPr>
              <w:t>an Enrolled Nurse under the supervision of a Registered Nurse may be considered for the Team Leader role.</w:t>
            </w:r>
          </w:p>
        </w:tc>
      </w:tr>
      <w:tr w:rsidR="00B4017B" w:rsidRPr="000F6CD1" w14:paraId="5AB24953" w14:textId="77777777" w:rsidTr="00254FC0">
        <w:trPr>
          <w:cantSplit/>
        </w:trPr>
        <w:tc>
          <w:tcPr>
            <w:tcW w:w="1049" w:type="pct"/>
          </w:tcPr>
          <w:p w14:paraId="12D5CC8B"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 xml:space="preserve">Workplace Trainer </w:t>
            </w:r>
          </w:p>
        </w:tc>
        <w:tc>
          <w:tcPr>
            <w:tcW w:w="3951" w:type="pct"/>
          </w:tcPr>
          <w:p w14:paraId="2F14B07C" w14:textId="77777777" w:rsidR="00B4017B" w:rsidRPr="000F6CD1" w:rsidRDefault="00B4017B" w:rsidP="00D53108">
            <w:pPr>
              <w:pStyle w:val="PartL3"/>
              <w:numPr>
                <w:ilvl w:val="0"/>
                <w:numId w:val="396"/>
              </w:numPr>
              <w:spacing w:before="120"/>
              <w:rPr>
                <w:rFonts w:ascii="Arial" w:hAnsi="Arial" w:cs="Arial"/>
              </w:rPr>
            </w:pPr>
            <w:r w:rsidRPr="000F6CD1">
              <w:rPr>
                <w:rFonts w:ascii="Arial" w:hAnsi="Arial" w:cs="Arial"/>
              </w:rPr>
              <w:t>At least one years’ experience as an Aged Care Needs Assessor and as listed in the My Aged Care Workforce Learning Strategy.</w:t>
            </w:r>
          </w:p>
          <w:p w14:paraId="47C36388" w14:textId="77777777" w:rsidR="00B4017B" w:rsidRPr="000F6CD1" w:rsidRDefault="00B4017B" w:rsidP="00D53108">
            <w:pPr>
              <w:spacing w:after="120"/>
              <w:ind w:left="602" w:hanging="284"/>
            </w:pPr>
            <w:r w:rsidRPr="000F6CD1">
              <w:rPr>
                <w:rFonts w:eastAsia="Times New Roman"/>
                <w:szCs w:val="22"/>
                <w:lang w:bidi="th-TH"/>
              </w:rPr>
              <w:t>and/or</w:t>
            </w:r>
          </w:p>
          <w:p w14:paraId="2DCE341F" w14:textId="72D96D3C" w:rsidR="00B4017B" w:rsidRPr="000F6CD1" w:rsidRDefault="00B4017B" w:rsidP="00D53108">
            <w:pPr>
              <w:pStyle w:val="PartL3"/>
              <w:numPr>
                <w:ilvl w:val="0"/>
                <w:numId w:val="396"/>
              </w:numPr>
              <w:spacing w:before="120"/>
              <w:rPr>
                <w:rFonts w:ascii="Arial" w:hAnsi="Arial" w:cs="Arial"/>
              </w:rPr>
            </w:pPr>
            <w:r w:rsidRPr="000F6CD1">
              <w:rPr>
                <w:rFonts w:ascii="Arial" w:hAnsi="Arial" w:cs="Arial"/>
              </w:rPr>
              <w:t xml:space="preserve">Training qualifications (such as a Cert IV or higher in training and assessment) or </w:t>
            </w:r>
            <w:r w:rsidR="00284B10">
              <w:rPr>
                <w:rFonts w:ascii="Arial" w:hAnsi="Arial" w:cs="Arial"/>
              </w:rPr>
              <w:t>bachelor’s degree in education</w:t>
            </w:r>
            <w:r w:rsidRPr="000F6CD1">
              <w:rPr>
                <w:rFonts w:ascii="Arial" w:hAnsi="Arial" w:cs="Arial"/>
              </w:rPr>
              <w:t xml:space="preserve">, or higher. </w:t>
            </w:r>
          </w:p>
        </w:tc>
      </w:tr>
      <w:tr w:rsidR="00B4017B" w:rsidRPr="000F6CD1" w14:paraId="70F7B55B" w14:textId="77777777" w:rsidTr="00254FC0">
        <w:trPr>
          <w:cantSplit/>
        </w:trPr>
        <w:tc>
          <w:tcPr>
            <w:tcW w:w="1049" w:type="pct"/>
          </w:tcPr>
          <w:p w14:paraId="04B3DA9C"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Administrators (e.g. organisational and/or outlet administrators)</w:t>
            </w:r>
          </w:p>
        </w:tc>
        <w:tc>
          <w:tcPr>
            <w:tcW w:w="3951" w:type="pct"/>
          </w:tcPr>
          <w:p w14:paraId="02D643E7" w14:textId="77777777" w:rsidR="00B4017B" w:rsidRPr="000F6CD1" w:rsidRDefault="00B4017B">
            <w:pPr>
              <w:pStyle w:val="PartL3"/>
              <w:numPr>
                <w:ilvl w:val="0"/>
                <w:numId w:val="396"/>
              </w:numPr>
              <w:spacing w:before="120"/>
              <w:rPr>
                <w:rFonts w:ascii="Arial" w:hAnsi="Arial" w:cs="Arial"/>
              </w:rPr>
            </w:pPr>
            <w:r w:rsidRPr="000F6CD1">
              <w:rPr>
                <w:rFonts w:ascii="Arial" w:hAnsi="Arial" w:cs="Arial"/>
              </w:rPr>
              <w:t>At least three months’ experience in aged care or Aged Care Needs Assessment preferred.</w:t>
            </w:r>
          </w:p>
        </w:tc>
      </w:tr>
      <w:tr w:rsidR="00B4017B" w:rsidRPr="000F6CD1" w14:paraId="4BD618F3" w14:textId="77777777" w:rsidTr="00254FC0">
        <w:trPr>
          <w:cantSplit/>
        </w:trPr>
        <w:tc>
          <w:tcPr>
            <w:tcW w:w="1049" w:type="pct"/>
          </w:tcPr>
          <w:p w14:paraId="69F545FD"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 xml:space="preserve">Contract Manager </w:t>
            </w:r>
          </w:p>
        </w:tc>
        <w:tc>
          <w:tcPr>
            <w:tcW w:w="3951" w:type="pct"/>
          </w:tcPr>
          <w:p w14:paraId="018AFB44" w14:textId="77777777" w:rsidR="00B4017B" w:rsidRPr="000F6CD1" w:rsidRDefault="00B4017B" w:rsidP="005F073C">
            <w:pPr>
              <w:pStyle w:val="PartL3"/>
              <w:spacing w:before="120"/>
              <w:ind w:left="360"/>
              <w:rPr>
                <w:rFonts w:ascii="Arial" w:hAnsi="Arial" w:cs="Arial"/>
              </w:rPr>
            </w:pPr>
            <w:r w:rsidRPr="000F6CD1">
              <w:rPr>
                <w:rFonts w:ascii="Arial" w:hAnsi="Arial" w:cs="Arial"/>
              </w:rPr>
              <w:t xml:space="preserve">Nil specified </w:t>
            </w:r>
          </w:p>
        </w:tc>
      </w:tr>
      <w:tr w:rsidR="00B4017B" w:rsidRPr="000F6CD1" w14:paraId="06ED7767" w14:textId="77777777" w:rsidTr="00254FC0">
        <w:trPr>
          <w:cantSplit/>
        </w:trPr>
        <w:tc>
          <w:tcPr>
            <w:tcW w:w="1049" w:type="pct"/>
          </w:tcPr>
          <w:p w14:paraId="6F87F36C"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 xml:space="preserve">Assessment Organisation Operational Manager </w:t>
            </w:r>
          </w:p>
        </w:tc>
        <w:tc>
          <w:tcPr>
            <w:tcW w:w="3951" w:type="pct"/>
          </w:tcPr>
          <w:p w14:paraId="4D927709" w14:textId="77777777" w:rsidR="00B4017B" w:rsidRPr="000F6CD1" w:rsidRDefault="00B4017B" w:rsidP="005F073C">
            <w:pPr>
              <w:pStyle w:val="PartL3"/>
              <w:spacing w:before="120"/>
              <w:ind w:left="360"/>
              <w:rPr>
                <w:rFonts w:ascii="Arial" w:hAnsi="Arial" w:cs="Arial"/>
              </w:rPr>
            </w:pPr>
            <w:r w:rsidRPr="000F6CD1">
              <w:rPr>
                <w:rFonts w:ascii="Arial" w:hAnsi="Arial" w:cs="Arial"/>
              </w:rPr>
              <w:t xml:space="preserve">Nil specified </w:t>
            </w:r>
          </w:p>
        </w:tc>
      </w:tr>
      <w:tr w:rsidR="00B4017B" w:rsidRPr="000F6CD1" w14:paraId="20E11B4B" w14:textId="77777777" w:rsidTr="00254FC0">
        <w:trPr>
          <w:cantSplit/>
        </w:trPr>
        <w:tc>
          <w:tcPr>
            <w:tcW w:w="1049" w:type="pct"/>
          </w:tcPr>
          <w:p w14:paraId="5F0A69CE"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 xml:space="preserve">Administration Officer </w:t>
            </w:r>
          </w:p>
        </w:tc>
        <w:tc>
          <w:tcPr>
            <w:tcW w:w="3951" w:type="pct"/>
          </w:tcPr>
          <w:p w14:paraId="2D89F74D" w14:textId="77777777" w:rsidR="00B4017B" w:rsidRPr="000F6CD1" w:rsidRDefault="00B4017B" w:rsidP="005F073C">
            <w:pPr>
              <w:pStyle w:val="PartL3"/>
              <w:spacing w:before="120"/>
              <w:ind w:left="360"/>
              <w:rPr>
                <w:rFonts w:ascii="Arial" w:hAnsi="Arial" w:cs="Arial"/>
              </w:rPr>
            </w:pPr>
            <w:r w:rsidRPr="000F6CD1">
              <w:rPr>
                <w:rFonts w:ascii="Arial" w:hAnsi="Arial" w:cs="Arial"/>
              </w:rPr>
              <w:t xml:space="preserve">Nil specified  </w:t>
            </w:r>
          </w:p>
        </w:tc>
      </w:tr>
      <w:tr w:rsidR="00B4017B" w:rsidRPr="000F6CD1" w14:paraId="65129C48" w14:textId="77777777" w:rsidTr="00254FC0">
        <w:trPr>
          <w:cantSplit/>
        </w:trPr>
        <w:tc>
          <w:tcPr>
            <w:tcW w:w="1049" w:type="pct"/>
          </w:tcPr>
          <w:p w14:paraId="76E0C94F" w14:textId="77777777" w:rsidR="00B4017B" w:rsidRPr="000F6CD1" w:rsidRDefault="00B4017B">
            <w:pPr>
              <w:pStyle w:val="PartL3"/>
              <w:spacing w:before="120"/>
              <w:rPr>
                <w:rFonts w:ascii="Arial" w:eastAsiaTheme="majorEastAsia" w:hAnsi="Arial" w:cs="Arial"/>
                <w:b/>
                <w:bCs/>
                <w:lang w:eastAsia="en-AU"/>
              </w:rPr>
            </w:pPr>
            <w:r w:rsidRPr="000F6CD1">
              <w:rPr>
                <w:rFonts w:ascii="Arial" w:eastAsiaTheme="majorEastAsia" w:hAnsi="Arial" w:cs="Arial"/>
                <w:b/>
                <w:bCs/>
                <w:lang w:eastAsia="en-AU"/>
              </w:rPr>
              <w:t xml:space="preserve">Delegate Support </w:t>
            </w:r>
          </w:p>
        </w:tc>
        <w:tc>
          <w:tcPr>
            <w:tcW w:w="3951" w:type="pct"/>
          </w:tcPr>
          <w:p w14:paraId="2897DD54" w14:textId="77777777" w:rsidR="00B4017B" w:rsidRPr="000F6CD1" w:rsidRDefault="00B4017B" w:rsidP="005F073C">
            <w:pPr>
              <w:pStyle w:val="PartL3"/>
              <w:spacing w:before="120"/>
              <w:ind w:left="360"/>
              <w:rPr>
                <w:rFonts w:ascii="Arial" w:hAnsi="Arial" w:cs="Arial"/>
              </w:rPr>
            </w:pPr>
            <w:r w:rsidRPr="000F6CD1">
              <w:rPr>
                <w:rFonts w:ascii="Arial" w:hAnsi="Arial" w:cs="Arial"/>
              </w:rPr>
              <w:t xml:space="preserve">Nil specified </w:t>
            </w:r>
          </w:p>
        </w:tc>
      </w:tr>
    </w:tbl>
    <w:p w14:paraId="16025BE9" w14:textId="77777777" w:rsidR="00B4017B" w:rsidRPr="000F6CD1" w:rsidRDefault="00B4017B" w:rsidP="00370263"/>
    <w:p w14:paraId="738CC6BE" w14:textId="77777777" w:rsidR="00B4017B" w:rsidRPr="000F6CD1" w:rsidRDefault="00B4017B" w:rsidP="009B4B25">
      <w:pPr>
        <w:rPr>
          <w:sz w:val="18"/>
          <w:szCs w:val="20"/>
        </w:rPr>
      </w:pPr>
      <w:r w:rsidRPr="000F6CD1">
        <w:rPr>
          <w:sz w:val="18"/>
          <w:szCs w:val="20"/>
        </w:rPr>
        <w:t xml:space="preserve">*Suitable tertiary qualifications are those that: </w:t>
      </w:r>
    </w:p>
    <w:p w14:paraId="7AB163B3" w14:textId="77777777" w:rsidR="00B4017B" w:rsidRPr="000F6CD1" w:rsidRDefault="00B4017B" w:rsidP="00DF3F6B">
      <w:pPr>
        <w:pStyle w:val="ListParagraph"/>
        <w:numPr>
          <w:ilvl w:val="0"/>
          <w:numId w:val="396"/>
        </w:numPr>
        <w:ind w:left="709"/>
        <w:rPr>
          <w:sz w:val="18"/>
          <w:szCs w:val="20"/>
        </w:rPr>
      </w:pPr>
      <w:r w:rsidRPr="000F6CD1">
        <w:rPr>
          <w:sz w:val="18"/>
          <w:szCs w:val="20"/>
        </w:rPr>
        <w:t xml:space="preserve">Are relevant to health and/or aged care, and </w:t>
      </w:r>
    </w:p>
    <w:p w14:paraId="024AD3D3" w14:textId="77777777" w:rsidR="00B4017B" w:rsidRPr="000F6CD1" w:rsidRDefault="00B4017B" w:rsidP="00DF3F6B">
      <w:pPr>
        <w:pStyle w:val="ListParagraph"/>
        <w:numPr>
          <w:ilvl w:val="0"/>
          <w:numId w:val="396"/>
        </w:numPr>
        <w:ind w:left="709"/>
        <w:rPr>
          <w:sz w:val="18"/>
          <w:szCs w:val="20"/>
        </w:rPr>
      </w:pPr>
      <w:r w:rsidRPr="000F6CD1">
        <w:rPr>
          <w:sz w:val="18"/>
          <w:szCs w:val="20"/>
        </w:rPr>
        <w:t xml:space="preserve">Have a practical component (i.e. clinical practice/practicum placement hours), and </w:t>
      </w:r>
    </w:p>
    <w:p w14:paraId="0BACFAA1" w14:textId="77777777" w:rsidR="00B4017B" w:rsidRPr="000F6CD1" w:rsidRDefault="00B4017B" w:rsidP="00DF3F6B">
      <w:pPr>
        <w:pStyle w:val="ListParagraph"/>
        <w:numPr>
          <w:ilvl w:val="0"/>
          <w:numId w:val="396"/>
        </w:numPr>
        <w:ind w:left="709"/>
        <w:rPr>
          <w:sz w:val="18"/>
          <w:szCs w:val="20"/>
        </w:rPr>
        <w:sectPr w:rsidR="00B4017B" w:rsidRPr="000F6CD1" w:rsidSect="00B4017B">
          <w:pgSz w:w="11906" w:h="16838"/>
          <w:pgMar w:top="1440" w:right="1440" w:bottom="1440" w:left="1440" w:header="708" w:footer="708" w:gutter="0"/>
          <w:cols w:space="708"/>
          <w:docGrid w:linePitch="360"/>
        </w:sectPr>
      </w:pPr>
      <w:r w:rsidRPr="000F6CD1">
        <w:rPr>
          <w:sz w:val="18"/>
          <w:szCs w:val="20"/>
        </w:rPr>
        <w:t>Include subjects that assess function/mobility, such as anatomy physiology, and/or health and wellbeing</w:t>
      </w:r>
    </w:p>
    <w:p w14:paraId="0617B614" w14:textId="77777777" w:rsidR="00B4017B" w:rsidRPr="000F6CD1" w:rsidRDefault="00B4017B" w:rsidP="00AC3600">
      <w:pPr>
        <w:pStyle w:val="H1"/>
      </w:pPr>
      <w:bookmarkStart w:id="1166" w:name="_Ref233188921"/>
      <w:bookmarkStart w:id="1167" w:name="_Toc233282535"/>
      <w:r w:rsidRPr="000F6CD1">
        <w:lastRenderedPageBreak/>
        <w:t>APPENDIX G – AT-HM terms</w:t>
      </w:r>
      <w:bookmarkEnd w:id="1166"/>
      <w:bookmarkEnd w:id="1167"/>
      <w:r w:rsidRPr="000F6CD1">
        <w:t xml:space="preserve"> </w:t>
      </w:r>
    </w:p>
    <w:p w14:paraId="56B0E197" w14:textId="77777777" w:rsidR="00B4017B" w:rsidRPr="000F6CD1" w:rsidRDefault="00B4017B" w:rsidP="00E3017E">
      <w:pPr>
        <w:pStyle w:val="Caption"/>
      </w:pPr>
      <w:r w:rsidRPr="000F6CD1">
        <w:t xml:space="preserve">Table 68. AT-HM terms and definitions </w:t>
      </w:r>
    </w:p>
    <w:tbl>
      <w:tblPr>
        <w:tblStyle w:val="TableGrid"/>
        <w:tblW w:w="4869" w:type="pct"/>
        <w:tblBorders>
          <w:bottom w:val="single" w:sz="4" w:space="0" w:color="auto"/>
          <w:insideH w:val="single" w:sz="4" w:space="0" w:color="auto"/>
        </w:tblBorders>
        <w:tblLayout w:type="fixed"/>
        <w:tblLook w:val="04A0" w:firstRow="1" w:lastRow="0" w:firstColumn="1" w:lastColumn="0" w:noHBand="0" w:noVBand="1"/>
        <w:tblCaption w:val="AT-HM terms and definitions"/>
        <w:tblDescription w:val="This table provides definitions of terms associated with AT-HM"/>
      </w:tblPr>
      <w:tblGrid>
        <w:gridCol w:w="1793"/>
        <w:gridCol w:w="6743"/>
      </w:tblGrid>
      <w:tr w:rsidR="00B4017B" w:rsidRPr="000F6CD1" w14:paraId="34F90EE5" w14:textId="77777777">
        <w:trPr>
          <w:cantSplit/>
          <w:tblHeader/>
        </w:trPr>
        <w:tc>
          <w:tcPr>
            <w:tcW w:w="1050" w:type="pct"/>
            <w:shd w:val="clear" w:color="auto" w:fill="002060"/>
          </w:tcPr>
          <w:p w14:paraId="5ACB419D" w14:textId="77777777" w:rsidR="00B4017B" w:rsidRPr="000F6CD1" w:rsidRDefault="00B4017B">
            <w:pPr>
              <w:pStyle w:val="PartL3"/>
              <w:spacing w:before="120"/>
              <w:rPr>
                <w:rFonts w:ascii="Arial" w:hAnsi="Arial" w:cs="Arial"/>
                <w:b/>
                <w:color w:val="FFFFFF" w:themeColor="background1"/>
              </w:rPr>
            </w:pPr>
            <w:r w:rsidRPr="000F6CD1">
              <w:rPr>
                <w:rFonts w:ascii="Arial" w:hAnsi="Arial" w:cs="Arial"/>
                <w:b/>
                <w:color w:val="FFFFFF" w:themeColor="background1"/>
              </w:rPr>
              <w:t xml:space="preserve">Term </w:t>
            </w:r>
          </w:p>
        </w:tc>
        <w:tc>
          <w:tcPr>
            <w:tcW w:w="3950" w:type="pct"/>
            <w:shd w:val="clear" w:color="auto" w:fill="002060"/>
          </w:tcPr>
          <w:p w14:paraId="42A0FC3A" w14:textId="77777777" w:rsidR="00B4017B" w:rsidRPr="000F6CD1" w:rsidRDefault="00B4017B">
            <w:pPr>
              <w:pStyle w:val="PartL3"/>
              <w:spacing w:before="120"/>
              <w:rPr>
                <w:rFonts w:ascii="Arial" w:hAnsi="Arial" w:cs="Arial"/>
                <w:color w:val="FFFFFF" w:themeColor="background1"/>
              </w:rPr>
            </w:pPr>
            <w:r w:rsidRPr="000F6CD1">
              <w:rPr>
                <w:rFonts w:ascii="Arial" w:hAnsi="Arial" w:cs="Arial"/>
                <w:b/>
                <w:color w:val="FFFFFF" w:themeColor="background1"/>
              </w:rPr>
              <w:t xml:space="preserve">Definition </w:t>
            </w:r>
          </w:p>
        </w:tc>
      </w:tr>
      <w:tr w:rsidR="00B4017B" w:rsidRPr="000F6CD1" w14:paraId="7C4DBD6F" w14:textId="77777777" w:rsidTr="00D53108">
        <w:trPr>
          <w:cantSplit/>
          <w:trHeight w:val="624"/>
        </w:trPr>
        <w:tc>
          <w:tcPr>
            <w:tcW w:w="1050" w:type="pct"/>
            <w:shd w:val="clear" w:color="auto" w:fill="FFFFFF" w:themeFill="background1"/>
          </w:tcPr>
          <w:p w14:paraId="51BD2827" w14:textId="77777777" w:rsidR="00B4017B" w:rsidRPr="000F6CD1" w:rsidRDefault="00B4017B" w:rsidP="005F073C">
            <w:pPr>
              <w:rPr>
                <w:b/>
              </w:rPr>
            </w:pPr>
            <w:r w:rsidRPr="000F6CD1">
              <w:rPr>
                <w:b/>
                <w:bCs/>
                <w:szCs w:val="22"/>
              </w:rPr>
              <w:t xml:space="preserve">Tier indicator </w:t>
            </w:r>
          </w:p>
        </w:tc>
        <w:tc>
          <w:tcPr>
            <w:tcW w:w="3950" w:type="pct"/>
            <w:shd w:val="clear" w:color="auto" w:fill="FFFFFF" w:themeFill="background1"/>
          </w:tcPr>
          <w:p w14:paraId="66163074" w14:textId="4917941F" w:rsidR="00B4017B" w:rsidRPr="00D53108" w:rsidRDefault="00B4017B" w:rsidP="00D53108">
            <w:pPr>
              <w:rPr>
                <w:szCs w:val="22"/>
              </w:rPr>
            </w:pPr>
            <w:r w:rsidRPr="000F6CD1">
              <w:rPr>
                <w:szCs w:val="22"/>
              </w:rPr>
              <w:t>Item which aligns with an older person’s function and home environment.</w:t>
            </w:r>
          </w:p>
        </w:tc>
      </w:tr>
      <w:tr w:rsidR="00B4017B" w:rsidRPr="000F6CD1" w14:paraId="76668E9D" w14:textId="77777777" w:rsidTr="00D53108">
        <w:trPr>
          <w:cantSplit/>
          <w:trHeight w:val="624"/>
        </w:trPr>
        <w:tc>
          <w:tcPr>
            <w:tcW w:w="1050" w:type="pct"/>
            <w:shd w:val="clear" w:color="auto" w:fill="FFFFFF" w:themeFill="background1"/>
          </w:tcPr>
          <w:p w14:paraId="4D694FB9" w14:textId="77777777" w:rsidR="00B4017B" w:rsidRPr="000F6CD1" w:rsidRDefault="00B4017B">
            <w:pPr>
              <w:pStyle w:val="PartL3"/>
              <w:spacing w:before="120"/>
              <w:rPr>
                <w:rFonts w:ascii="Arial" w:hAnsi="Arial" w:cs="Arial"/>
                <w:b/>
              </w:rPr>
            </w:pPr>
            <w:r w:rsidRPr="000F6CD1">
              <w:rPr>
                <w:rFonts w:ascii="Arial" w:hAnsi="Arial" w:cs="Arial"/>
                <w:b/>
                <w:bCs/>
              </w:rPr>
              <w:t>Mild/Minimal</w:t>
            </w:r>
          </w:p>
        </w:tc>
        <w:tc>
          <w:tcPr>
            <w:tcW w:w="3950" w:type="pct"/>
            <w:shd w:val="clear" w:color="auto" w:fill="FFFFFF" w:themeFill="background1"/>
          </w:tcPr>
          <w:p w14:paraId="5C24448C" w14:textId="77777777" w:rsidR="00B4017B" w:rsidRPr="000F6CD1" w:rsidRDefault="00B4017B">
            <w:pPr>
              <w:rPr>
                <w:lang w:eastAsia="zh-CN" w:bidi="th-TH"/>
              </w:rPr>
            </w:pPr>
            <w:r w:rsidRPr="000F6CD1">
              <w:rPr>
                <w:szCs w:val="22"/>
              </w:rPr>
              <w:t>Minor, infrequent and no significant impact.</w:t>
            </w:r>
          </w:p>
        </w:tc>
      </w:tr>
      <w:tr w:rsidR="00B4017B" w:rsidRPr="000F6CD1" w14:paraId="3CD2CDE0" w14:textId="77777777" w:rsidTr="00D53108">
        <w:trPr>
          <w:cantSplit/>
          <w:trHeight w:val="624"/>
        </w:trPr>
        <w:tc>
          <w:tcPr>
            <w:tcW w:w="1050" w:type="pct"/>
            <w:shd w:val="clear" w:color="auto" w:fill="FFFFFF" w:themeFill="background1"/>
          </w:tcPr>
          <w:p w14:paraId="577A227B" w14:textId="77777777" w:rsidR="00B4017B" w:rsidRPr="000F6CD1" w:rsidRDefault="00B4017B">
            <w:pPr>
              <w:pStyle w:val="PartL3"/>
              <w:spacing w:before="120"/>
              <w:rPr>
                <w:rFonts w:ascii="Arial" w:hAnsi="Arial" w:cs="Arial"/>
                <w:b/>
                <w:bCs/>
              </w:rPr>
            </w:pPr>
            <w:r w:rsidRPr="000F6CD1">
              <w:rPr>
                <w:rFonts w:ascii="Arial" w:hAnsi="Arial" w:cs="Arial"/>
                <w:b/>
                <w:bCs/>
              </w:rPr>
              <w:t>Moderate</w:t>
            </w:r>
          </w:p>
        </w:tc>
        <w:tc>
          <w:tcPr>
            <w:tcW w:w="3950" w:type="pct"/>
            <w:shd w:val="clear" w:color="auto" w:fill="FFFFFF" w:themeFill="background1"/>
          </w:tcPr>
          <w:p w14:paraId="0389B5DC" w14:textId="77777777" w:rsidR="00B4017B" w:rsidRPr="000F6CD1" w:rsidRDefault="00B4017B" w:rsidP="005F073C">
            <w:pPr>
              <w:rPr>
                <w:szCs w:val="22"/>
              </w:rPr>
            </w:pPr>
            <w:r w:rsidRPr="000F6CD1">
              <w:rPr>
                <w:szCs w:val="22"/>
              </w:rPr>
              <w:t>Medium, regular and has some impact.</w:t>
            </w:r>
          </w:p>
          <w:p w14:paraId="55125EFC" w14:textId="77777777" w:rsidR="00B4017B" w:rsidRPr="000F6CD1" w:rsidRDefault="00B4017B">
            <w:pPr>
              <w:rPr>
                <w:szCs w:val="22"/>
              </w:rPr>
            </w:pPr>
          </w:p>
        </w:tc>
      </w:tr>
      <w:tr w:rsidR="00B4017B" w:rsidRPr="000F6CD1" w14:paraId="1ADB4F0E" w14:textId="77777777" w:rsidTr="00D53108">
        <w:trPr>
          <w:cantSplit/>
          <w:trHeight w:val="624"/>
        </w:trPr>
        <w:tc>
          <w:tcPr>
            <w:tcW w:w="1050" w:type="pct"/>
            <w:tcBorders>
              <w:bottom w:val="single" w:sz="4" w:space="0" w:color="auto"/>
            </w:tcBorders>
            <w:shd w:val="clear" w:color="auto" w:fill="FFFFFF" w:themeFill="background1"/>
          </w:tcPr>
          <w:p w14:paraId="7E30EC87" w14:textId="77777777" w:rsidR="00B4017B" w:rsidRPr="000F6CD1" w:rsidRDefault="00B4017B">
            <w:pPr>
              <w:pStyle w:val="PartL3"/>
              <w:spacing w:before="120"/>
              <w:rPr>
                <w:rFonts w:ascii="Arial" w:hAnsi="Arial" w:cs="Arial"/>
                <w:b/>
                <w:bCs/>
              </w:rPr>
            </w:pPr>
            <w:r w:rsidRPr="000F6CD1">
              <w:rPr>
                <w:rFonts w:ascii="Arial" w:hAnsi="Arial" w:cs="Arial"/>
                <w:b/>
                <w:bCs/>
              </w:rPr>
              <w:t>Significant:</w:t>
            </w:r>
          </w:p>
        </w:tc>
        <w:tc>
          <w:tcPr>
            <w:tcW w:w="3950" w:type="pct"/>
            <w:tcBorders>
              <w:bottom w:val="single" w:sz="4" w:space="0" w:color="auto"/>
            </w:tcBorders>
            <w:shd w:val="clear" w:color="auto" w:fill="FFFFFF" w:themeFill="background1"/>
          </w:tcPr>
          <w:p w14:paraId="35EEF54C" w14:textId="77777777" w:rsidR="00B4017B" w:rsidRPr="000F6CD1" w:rsidRDefault="00B4017B" w:rsidP="005F073C">
            <w:pPr>
              <w:rPr>
                <w:szCs w:val="22"/>
              </w:rPr>
            </w:pPr>
            <w:r w:rsidRPr="000F6CD1">
              <w:rPr>
                <w:szCs w:val="22"/>
              </w:rPr>
              <w:t>Considerable, frequent and complex with serious impact. </w:t>
            </w:r>
          </w:p>
          <w:p w14:paraId="2B4540FF" w14:textId="77777777" w:rsidR="00B4017B" w:rsidRPr="000F6CD1" w:rsidRDefault="00B4017B" w:rsidP="005F073C">
            <w:pPr>
              <w:rPr>
                <w:szCs w:val="22"/>
              </w:rPr>
            </w:pPr>
          </w:p>
        </w:tc>
      </w:tr>
      <w:tr w:rsidR="00B4017B" w:rsidRPr="000F6CD1" w14:paraId="0D5237D0" w14:textId="77777777" w:rsidTr="00D53108">
        <w:trPr>
          <w:cantSplit/>
        </w:trPr>
        <w:tc>
          <w:tcPr>
            <w:tcW w:w="1050" w:type="pct"/>
            <w:tcBorders>
              <w:top w:val="single" w:sz="4" w:space="0" w:color="auto"/>
              <w:bottom w:val="single" w:sz="4" w:space="0" w:color="002060"/>
            </w:tcBorders>
            <w:shd w:val="clear" w:color="auto" w:fill="FFFFFF" w:themeFill="background1"/>
          </w:tcPr>
          <w:p w14:paraId="6A748C72" w14:textId="77777777" w:rsidR="00B4017B" w:rsidRPr="000F6CD1" w:rsidRDefault="00B4017B">
            <w:pPr>
              <w:pStyle w:val="PartL3"/>
              <w:spacing w:before="120"/>
              <w:rPr>
                <w:rFonts w:ascii="Arial" w:hAnsi="Arial" w:cs="Arial"/>
                <w:b/>
                <w:bCs/>
              </w:rPr>
            </w:pPr>
            <w:r w:rsidRPr="000F6CD1">
              <w:rPr>
                <w:rFonts w:ascii="Arial" w:hAnsi="Arial" w:cs="Arial"/>
                <w:b/>
                <w:bCs/>
              </w:rPr>
              <w:t>Progressive condition:</w:t>
            </w:r>
          </w:p>
        </w:tc>
        <w:tc>
          <w:tcPr>
            <w:tcW w:w="3950" w:type="pct"/>
            <w:tcBorders>
              <w:top w:val="single" w:sz="4" w:space="0" w:color="auto"/>
              <w:bottom w:val="single" w:sz="4" w:space="0" w:color="002060"/>
            </w:tcBorders>
            <w:shd w:val="clear" w:color="auto" w:fill="FFFFFF" w:themeFill="background1"/>
          </w:tcPr>
          <w:p w14:paraId="143CF2BE" w14:textId="0AC04D93" w:rsidR="00B4017B" w:rsidRPr="000F6CD1" w:rsidRDefault="00B4017B" w:rsidP="00D53108">
            <w:pPr>
              <w:spacing w:after="60"/>
              <w:rPr>
                <w:szCs w:val="22"/>
              </w:rPr>
            </w:pPr>
            <w:r w:rsidRPr="000F6CD1">
              <w:rPr>
                <w:szCs w:val="22"/>
              </w:rPr>
              <w:t xml:space="preserve">A medical condition that worsens over time, resulting in a range of limitations in function which can affect quality of life, daily living and community activities. (The 13 conditions listed below are all eligible AT-HM progressive conditions under </w:t>
            </w:r>
            <w:r w:rsidR="00D53108">
              <w:rPr>
                <w:szCs w:val="22"/>
              </w:rPr>
              <w:t>Support at Home</w:t>
            </w:r>
            <w:r w:rsidRPr="000F6CD1">
              <w:rPr>
                <w:szCs w:val="22"/>
              </w:rPr>
              <w:t>).</w:t>
            </w:r>
          </w:p>
          <w:p w14:paraId="01392A22" w14:textId="77777777" w:rsidR="00B4017B" w:rsidRPr="000F6CD1" w:rsidRDefault="00B4017B" w:rsidP="00D53108">
            <w:pPr>
              <w:spacing w:after="60"/>
              <w:rPr>
                <w:szCs w:val="22"/>
              </w:rPr>
            </w:pPr>
            <w:r w:rsidRPr="000F6CD1">
              <w:rPr>
                <w:szCs w:val="22"/>
              </w:rPr>
              <w:t>These conditions include: </w:t>
            </w:r>
          </w:p>
          <w:p w14:paraId="09121C4B" w14:textId="77777777" w:rsidR="00B4017B" w:rsidRPr="000F6CD1" w:rsidRDefault="00B4017B" w:rsidP="00D53108">
            <w:pPr>
              <w:pStyle w:val="ListParagraph"/>
              <w:numPr>
                <w:ilvl w:val="0"/>
                <w:numId w:val="397"/>
              </w:numPr>
              <w:spacing w:after="60"/>
              <w:contextualSpacing w:val="0"/>
              <w:rPr>
                <w:szCs w:val="22"/>
              </w:rPr>
            </w:pPr>
            <w:r w:rsidRPr="000F6CD1">
              <w:rPr>
                <w:szCs w:val="22"/>
              </w:rPr>
              <w:t>Cerebral Palsy </w:t>
            </w:r>
          </w:p>
          <w:p w14:paraId="16D416BB" w14:textId="77777777" w:rsidR="00B4017B" w:rsidRPr="000F6CD1" w:rsidRDefault="00B4017B" w:rsidP="00D53108">
            <w:pPr>
              <w:pStyle w:val="ListParagraph"/>
              <w:numPr>
                <w:ilvl w:val="0"/>
                <w:numId w:val="397"/>
              </w:numPr>
              <w:spacing w:after="60"/>
              <w:contextualSpacing w:val="0"/>
              <w:rPr>
                <w:szCs w:val="22"/>
              </w:rPr>
            </w:pPr>
            <w:r w:rsidRPr="000F6CD1">
              <w:rPr>
                <w:szCs w:val="22"/>
              </w:rPr>
              <w:t>Epilepsy </w:t>
            </w:r>
          </w:p>
          <w:p w14:paraId="6178CCBA" w14:textId="77777777" w:rsidR="00B4017B" w:rsidRPr="000F6CD1" w:rsidRDefault="00B4017B" w:rsidP="00D53108">
            <w:pPr>
              <w:pStyle w:val="ListParagraph"/>
              <w:numPr>
                <w:ilvl w:val="0"/>
                <w:numId w:val="397"/>
              </w:numPr>
              <w:spacing w:after="60"/>
              <w:contextualSpacing w:val="0"/>
              <w:rPr>
                <w:szCs w:val="22"/>
              </w:rPr>
            </w:pPr>
            <w:r w:rsidRPr="000F6CD1">
              <w:rPr>
                <w:szCs w:val="22"/>
              </w:rPr>
              <w:t>Huntington’s Disease </w:t>
            </w:r>
          </w:p>
          <w:p w14:paraId="7252D405" w14:textId="77777777" w:rsidR="00B4017B" w:rsidRPr="000F6CD1" w:rsidRDefault="00B4017B" w:rsidP="00D53108">
            <w:pPr>
              <w:pStyle w:val="ListParagraph"/>
              <w:numPr>
                <w:ilvl w:val="0"/>
                <w:numId w:val="397"/>
              </w:numPr>
              <w:spacing w:after="60"/>
              <w:contextualSpacing w:val="0"/>
              <w:rPr>
                <w:szCs w:val="22"/>
              </w:rPr>
            </w:pPr>
            <w:r w:rsidRPr="000F6CD1">
              <w:rPr>
                <w:szCs w:val="22"/>
              </w:rPr>
              <w:t>Motor Neurone Disease (MND) noting different phenotypes require different management </w:t>
            </w:r>
          </w:p>
          <w:p w14:paraId="6E9CC13E" w14:textId="77777777" w:rsidR="00B4017B" w:rsidRPr="000F6CD1" w:rsidRDefault="00B4017B" w:rsidP="00D53108">
            <w:pPr>
              <w:pStyle w:val="ListParagraph"/>
              <w:numPr>
                <w:ilvl w:val="0"/>
                <w:numId w:val="397"/>
              </w:numPr>
              <w:spacing w:after="60"/>
              <w:contextualSpacing w:val="0"/>
              <w:rPr>
                <w:szCs w:val="22"/>
              </w:rPr>
            </w:pPr>
            <w:r w:rsidRPr="000F6CD1">
              <w:rPr>
                <w:szCs w:val="22"/>
              </w:rPr>
              <w:t>Multiple Sclerosis (MS) </w:t>
            </w:r>
          </w:p>
          <w:p w14:paraId="0EAE6A6D" w14:textId="77777777" w:rsidR="00B4017B" w:rsidRPr="000F6CD1" w:rsidRDefault="00B4017B" w:rsidP="00D53108">
            <w:pPr>
              <w:pStyle w:val="ListParagraph"/>
              <w:numPr>
                <w:ilvl w:val="0"/>
                <w:numId w:val="397"/>
              </w:numPr>
              <w:spacing w:after="60"/>
              <w:contextualSpacing w:val="0"/>
              <w:rPr>
                <w:szCs w:val="22"/>
              </w:rPr>
            </w:pPr>
            <w:r w:rsidRPr="000F6CD1">
              <w:rPr>
                <w:szCs w:val="22"/>
              </w:rPr>
              <w:t>Parkinson’s Disease </w:t>
            </w:r>
          </w:p>
          <w:p w14:paraId="543597A9" w14:textId="77777777" w:rsidR="00B4017B" w:rsidRPr="000F6CD1" w:rsidRDefault="00B4017B" w:rsidP="00D53108">
            <w:pPr>
              <w:pStyle w:val="ListParagraph"/>
              <w:numPr>
                <w:ilvl w:val="0"/>
                <w:numId w:val="397"/>
              </w:numPr>
              <w:spacing w:after="60"/>
              <w:contextualSpacing w:val="0"/>
              <w:rPr>
                <w:szCs w:val="22"/>
              </w:rPr>
            </w:pPr>
            <w:r w:rsidRPr="000F6CD1">
              <w:rPr>
                <w:szCs w:val="22"/>
              </w:rPr>
              <w:t>Late effects of Polio </w:t>
            </w:r>
          </w:p>
          <w:p w14:paraId="270813D9" w14:textId="77777777" w:rsidR="00B4017B" w:rsidRPr="000F6CD1" w:rsidRDefault="00B4017B" w:rsidP="00D53108">
            <w:pPr>
              <w:pStyle w:val="ListParagraph"/>
              <w:numPr>
                <w:ilvl w:val="0"/>
                <w:numId w:val="397"/>
              </w:numPr>
              <w:spacing w:after="60"/>
              <w:contextualSpacing w:val="0"/>
              <w:rPr>
                <w:szCs w:val="22"/>
              </w:rPr>
            </w:pPr>
            <w:r w:rsidRPr="000F6CD1">
              <w:rPr>
                <w:szCs w:val="22"/>
              </w:rPr>
              <w:t>Spinal Cord Injury </w:t>
            </w:r>
          </w:p>
          <w:p w14:paraId="7BEE436B" w14:textId="77777777" w:rsidR="00B4017B" w:rsidRPr="000F6CD1" w:rsidRDefault="00B4017B" w:rsidP="00D53108">
            <w:pPr>
              <w:pStyle w:val="ListParagraph"/>
              <w:numPr>
                <w:ilvl w:val="0"/>
                <w:numId w:val="397"/>
              </w:numPr>
              <w:spacing w:after="60"/>
              <w:contextualSpacing w:val="0"/>
              <w:rPr>
                <w:szCs w:val="22"/>
              </w:rPr>
            </w:pPr>
            <w:r w:rsidRPr="000F6CD1">
              <w:rPr>
                <w:szCs w:val="22"/>
              </w:rPr>
              <w:t>Spinal Muscular Atrophy </w:t>
            </w:r>
          </w:p>
          <w:p w14:paraId="7E9D6D08" w14:textId="77777777" w:rsidR="00B4017B" w:rsidRPr="000F6CD1" w:rsidRDefault="00B4017B" w:rsidP="00D53108">
            <w:pPr>
              <w:pStyle w:val="ListParagraph"/>
              <w:numPr>
                <w:ilvl w:val="0"/>
                <w:numId w:val="397"/>
              </w:numPr>
              <w:spacing w:after="60"/>
              <w:contextualSpacing w:val="0"/>
              <w:rPr>
                <w:szCs w:val="22"/>
              </w:rPr>
            </w:pPr>
            <w:r w:rsidRPr="000F6CD1">
              <w:rPr>
                <w:szCs w:val="22"/>
              </w:rPr>
              <w:t>Stroke </w:t>
            </w:r>
          </w:p>
          <w:p w14:paraId="786CD433" w14:textId="77777777" w:rsidR="00B4017B" w:rsidRPr="000F6CD1" w:rsidRDefault="00B4017B" w:rsidP="00D53108">
            <w:pPr>
              <w:pStyle w:val="ListParagraph"/>
              <w:numPr>
                <w:ilvl w:val="0"/>
                <w:numId w:val="397"/>
              </w:numPr>
              <w:spacing w:after="60"/>
              <w:contextualSpacing w:val="0"/>
              <w:rPr>
                <w:szCs w:val="22"/>
              </w:rPr>
            </w:pPr>
            <w:r w:rsidRPr="000F6CD1">
              <w:rPr>
                <w:szCs w:val="22"/>
              </w:rPr>
              <w:t>Acquired Brain Injury noting different types of brain injury require different management </w:t>
            </w:r>
          </w:p>
          <w:p w14:paraId="021591F5" w14:textId="77777777" w:rsidR="00B4017B" w:rsidRPr="000F6CD1" w:rsidRDefault="00B4017B" w:rsidP="00D53108">
            <w:pPr>
              <w:pStyle w:val="ListParagraph"/>
              <w:numPr>
                <w:ilvl w:val="0"/>
                <w:numId w:val="397"/>
              </w:numPr>
              <w:spacing w:after="60"/>
              <w:contextualSpacing w:val="0"/>
              <w:rPr>
                <w:szCs w:val="22"/>
              </w:rPr>
            </w:pPr>
            <w:r w:rsidRPr="000F6CD1">
              <w:rPr>
                <w:szCs w:val="22"/>
              </w:rPr>
              <w:t>Muscular Dystrophies and Muscular Atrophies. </w:t>
            </w:r>
          </w:p>
          <w:p w14:paraId="108D0700" w14:textId="77777777" w:rsidR="00B4017B" w:rsidRPr="000F6CD1" w:rsidRDefault="00B4017B" w:rsidP="005F073C">
            <w:pPr>
              <w:rPr>
                <w:szCs w:val="22"/>
              </w:rPr>
            </w:pPr>
          </w:p>
        </w:tc>
      </w:tr>
    </w:tbl>
    <w:p w14:paraId="2633E282" w14:textId="77777777" w:rsidR="00B4017B" w:rsidRPr="000F6CD1" w:rsidRDefault="00B4017B" w:rsidP="00574A7F"/>
    <w:p w14:paraId="2F8554B1" w14:textId="77777777" w:rsidR="00B4017B" w:rsidRPr="000F6CD1" w:rsidRDefault="00B4017B" w:rsidP="00370263"/>
    <w:p w14:paraId="290EDE5F" w14:textId="77777777" w:rsidR="00B4017B" w:rsidRPr="000F6CD1" w:rsidRDefault="00B4017B" w:rsidP="006B4161"/>
    <w:p w14:paraId="3A75B4B5" w14:textId="77777777" w:rsidR="00B4017B" w:rsidRPr="000F6CD1" w:rsidRDefault="00B4017B" w:rsidP="006B4161"/>
    <w:p w14:paraId="50A2678F" w14:textId="77777777" w:rsidR="00B4017B" w:rsidRPr="000F6CD1" w:rsidRDefault="00B4017B">
      <w:r w:rsidRPr="000F6CD1">
        <w:br w:type="page"/>
      </w:r>
    </w:p>
    <w:p w14:paraId="016BB0B2" w14:textId="19EA98F6" w:rsidR="00B4017B" w:rsidRPr="000F6CD1" w:rsidRDefault="00B4017B" w:rsidP="00AC3600">
      <w:pPr>
        <w:pStyle w:val="H1"/>
      </w:pPr>
      <w:bookmarkStart w:id="1168" w:name="_Toc233282536"/>
      <w:bookmarkStart w:id="1169" w:name="_Ref233290455"/>
      <w:r w:rsidRPr="000F6CD1">
        <w:lastRenderedPageBreak/>
        <w:t>APPENDIX H – Case studies- individuals experiencing homelessness or who are at risk of homelessness</w:t>
      </w:r>
      <w:bookmarkEnd w:id="1168"/>
      <w:bookmarkEnd w:id="1169"/>
      <w:r w:rsidRPr="000F6CD1">
        <w:t xml:space="preserve"> </w:t>
      </w:r>
    </w:p>
    <w:p w14:paraId="1B6644AE" w14:textId="4228B69E" w:rsidR="00B4017B" w:rsidRPr="000F6CD1" w:rsidRDefault="00B4017B" w:rsidP="001E2A05">
      <w:r w:rsidRPr="000F6CD1">
        <w:t xml:space="preserve">The following case studies have been drawn from the department’s ‘Definition for Assessing Eligibility for Australian Government Funded Aged Care Services: Individuals Experiencing Homelessness or At Risk of Homelessness’ policy. Triage Delegates may wish to use the case studies to assist in building their understanding of the definitions and whether they apply to an older person has made an application for an aged care needs assessment. </w:t>
      </w:r>
    </w:p>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161C5BCC" w14:textId="77777777" w:rsidTr="00AA3E55">
        <w:tc>
          <w:tcPr>
            <w:tcW w:w="9016" w:type="dxa"/>
            <w:shd w:val="clear" w:color="auto" w:fill="F2F2F2" w:themeFill="background1" w:themeFillShade="F2"/>
          </w:tcPr>
          <w:p w14:paraId="3D657A8A" w14:textId="77777777" w:rsidR="00B4017B" w:rsidRPr="000F6CD1" w:rsidRDefault="00B4017B" w:rsidP="003D6CFC">
            <w:pPr>
              <w:rPr>
                <w:b/>
                <w:bCs/>
                <w:sz w:val="24"/>
                <w:szCs w:val="32"/>
              </w:rPr>
            </w:pPr>
            <w:r w:rsidRPr="000F6CD1">
              <w:rPr>
                <w:b/>
                <w:bCs/>
                <w:sz w:val="24"/>
                <w:szCs w:val="32"/>
              </w:rPr>
              <w:t xml:space="preserve">Case Study 1: Meets Eligibility Requirements </w:t>
            </w:r>
          </w:p>
          <w:p w14:paraId="791ACF5E" w14:textId="77777777" w:rsidR="00B4017B" w:rsidRPr="000F6CD1" w:rsidRDefault="00B4017B" w:rsidP="003D6CFC">
            <w:pPr>
              <w:rPr>
                <w:b/>
                <w:bCs/>
                <w:sz w:val="24"/>
                <w:szCs w:val="32"/>
              </w:rPr>
            </w:pPr>
          </w:p>
          <w:p w14:paraId="14923965" w14:textId="77777777" w:rsidR="00B4017B" w:rsidRPr="000F6CD1" w:rsidRDefault="00B4017B">
            <w:pPr>
              <w:rPr>
                <w:szCs w:val="28"/>
              </w:rPr>
            </w:pPr>
            <w:r w:rsidRPr="00D53108">
              <w:rPr>
                <w:b/>
                <w:bCs/>
                <w:szCs w:val="28"/>
              </w:rPr>
              <w:t>Greg</w:t>
            </w:r>
            <w:r w:rsidRPr="000F6CD1">
              <w:rPr>
                <w:szCs w:val="28"/>
              </w:rPr>
              <w:t xml:space="preserve">, aged 52, has a history of living in abandoned houses, hotels, and squatting in empty homes. He has been residing in a boarding house for the past three years, where his living conditions have been relatively stable. However, Greg’s mobility has gradually deteriorated, leading to multiple falls and subsequent hospital admission for fractures. Additionally, Greg suffers from post-traumatic stress disorder (PTSD) due to past trauma. Greg faces significant challenges in his daily life. He struggles with basic activities such as showering and preparing nutritious meals. He relies on a walker to move around the boarding house but is afraid to leave his room because the boarding house lacks the necessary aids to ensure his safety. Greg has no assets and survives on a small pension. Although he does not have a formal disability, his difficulties with daily living activities prevent him from living independently. </w:t>
            </w:r>
          </w:p>
          <w:p w14:paraId="48B08F10" w14:textId="77777777" w:rsidR="00B4017B" w:rsidRPr="000F6CD1" w:rsidRDefault="00B4017B">
            <w:pPr>
              <w:rPr>
                <w:szCs w:val="28"/>
              </w:rPr>
            </w:pPr>
          </w:p>
          <w:p w14:paraId="386D3B92" w14:textId="77777777" w:rsidR="00B4017B" w:rsidRPr="000F6CD1" w:rsidRDefault="00B4017B">
            <w:pPr>
              <w:rPr>
                <w:szCs w:val="28"/>
              </w:rPr>
            </w:pPr>
            <w:r w:rsidRPr="000F6CD1">
              <w:rPr>
                <w:szCs w:val="28"/>
              </w:rPr>
              <w:t xml:space="preserve">Greg meets the criteria for accessing Australian Government aged care services because Greg: </w:t>
            </w:r>
          </w:p>
          <w:p w14:paraId="519312F3" w14:textId="77777777" w:rsidR="00B4017B" w:rsidRPr="000F6CD1" w:rsidRDefault="00B4017B">
            <w:pPr>
              <w:rPr>
                <w:szCs w:val="28"/>
              </w:rPr>
            </w:pPr>
          </w:p>
          <w:p w14:paraId="124AD5FD" w14:textId="77777777" w:rsidR="00B4017B" w:rsidRPr="000F6CD1" w:rsidRDefault="00B4017B" w:rsidP="00D53108">
            <w:pPr>
              <w:pStyle w:val="ListParagraph"/>
              <w:numPr>
                <w:ilvl w:val="0"/>
                <w:numId w:val="489"/>
              </w:numPr>
              <w:spacing w:after="100"/>
              <w:ind w:hanging="357"/>
              <w:contextualSpacing w:val="0"/>
              <w:rPr>
                <w:szCs w:val="28"/>
              </w:rPr>
            </w:pPr>
            <w:r w:rsidRPr="000F6CD1">
              <w:rPr>
                <w:szCs w:val="28"/>
              </w:rPr>
              <w:t xml:space="preserve">Is aged 50 years or older: Greg is 52 years old. </w:t>
            </w:r>
          </w:p>
          <w:p w14:paraId="5BFFF8FD" w14:textId="77777777" w:rsidR="00B4017B" w:rsidRPr="000F6CD1" w:rsidRDefault="00B4017B" w:rsidP="00D53108">
            <w:pPr>
              <w:pStyle w:val="ListParagraph"/>
              <w:numPr>
                <w:ilvl w:val="0"/>
                <w:numId w:val="489"/>
              </w:numPr>
              <w:spacing w:after="100"/>
              <w:ind w:hanging="357"/>
              <w:contextualSpacing w:val="0"/>
              <w:rPr>
                <w:szCs w:val="28"/>
              </w:rPr>
            </w:pPr>
            <w:r w:rsidRPr="000F6CD1">
              <w:rPr>
                <w:szCs w:val="28"/>
              </w:rPr>
              <w:t xml:space="preserve">Has prematurely aged and requires services for their aged care needs: Greg’s deteriorating mobility, multiple falls and PTSD indicate that he has prematurely aged and requires aged care services. </w:t>
            </w:r>
          </w:p>
          <w:p w14:paraId="05FFF6F4" w14:textId="77777777" w:rsidR="00B4017B" w:rsidRPr="000F6CD1" w:rsidRDefault="00B4017B" w:rsidP="00D53108">
            <w:pPr>
              <w:pStyle w:val="ListParagraph"/>
              <w:numPr>
                <w:ilvl w:val="0"/>
                <w:numId w:val="489"/>
              </w:numPr>
              <w:spacing w:after="100"/>
              <w:ind w:hanging="357"/>
              <w:contextualSpacing w:val="0"/>
              <w:rPr>
                <w:szCs w:val="28"/>
              </w:rPr>
            </w:pPr>
            <w:r w:rsidRPr="000F6CD1">
              <w:rPr>
                <w:szCs w:val="28"/>
              </w:rPr>
              <w:t>Has the following living arrangements:</w:t>
            </w:r>
          </w:p>
          <w:p w14:paraId="47B1977A" w14:textId="77777777" w:rsidR="00B4017B" w:rsidRPr="000F6CD1" w:rsidRDefault="00B4017B" w:rsidP="00014B25">
            <w:pPr>
              <w:pStyle w:val="ListParagraph"/>
              <w:numPr>
                <w:ilvl w:val="0"/>
                <w:numId w:val="490"/>
              </w:numPr>
              <w:spacing w:after="100"/>
              <w:ind w:left="1173" w:hanging="425"/>
              <w:contextualSpacing w:val="0"/>
              <w:rPr>
                <w:szCs w:val="28"/>
              </w:rPr>
            </w:pPr>
            <w:r w:rsidRPr="000F6CD1">
              <w:rPr>
                <w:szCs w:val="28"/>
              </w:rPr>
              <w:t xml:space="preserve">Lacks any adequate roof over their head: Not applicable, as Greg has been living in a boarding house. </w:t>
            </w:r>
          </w:p>
          <w:p w14:paraId="030CFCF0" w14:textId="77777777" w:rsidR="00B4017B" w:rsidRPr="000F6CD1" w:rsidRDefault="00B4017B" w:rsidP="00014B25">
            <w:pPr>
              <w:pStyle w:val="ListParagraph"/>
              <w:numPr>
                <w:ilvl w:val="0"/>
                <w:numId w:val="490"/>
              </w:numPr>
              <w:spacing w:after="100"/>
              <w:ind w:left="1173" w:hanging="425"/>
              <w:contextualSpacing w:val="0"/>
              <w:rPr>
                <w:szCs w:val="28"/>
              </w:rPr>
            </w:pPr>
            <w:r w:rsidRPr="000F6CD1">
              <w:rPr>
                <w:szCs w:val="28"/>
              </w:rPr>
              <w:t xml:space="preserve">Has no security of tenure or moves between various forms of temporary or medium-term shelter: Greg has a history of unstable living conditions, including living in abandoned houses, hostels, and squatting in empty homes. </w:t>
            </w:r>
          </w:p>
          <w:p w14:paraId="24503FF5" w14:textId="77777777" w:rsidR="00B4017B" w:rsidRPr="000F6CD1" w:rsidRDefault="00B4017B" w:rsidP="00014B25">
            <w:pPr>
              <w:pStyle w:val="ListParagraph"/>
              <w:numPr>
                <w:ilvl w:val="0"/>
                <w:numId w:val="490"/>
              </w:numPr>
              <w:spacing w:after="100"/>
              <w:ind w:left="1173" w:hanging="425"/>
              <w:contextualSpacing w:val="0"/>
              <w:rPr>
                <w:szCs w:val="28"/>
              </w:rPr>
            </w:pPr>
            <w:r w:rsidRPr="000F6CD1">
              <w:rPr>
                <w:szCs w:val="28"/>
              </w:rPr>
              <w:t xml:space="preserve">Stays in accommodation that falls below minimum community standards: the boarding house lacks necessary aids to ensure his safety, which may fall below minimum community standards. </w:t>
            </w:r>
          </w:p>
          <w:p w14:paraId="35B25966" w14:textId="77777777" w:rsidR="00B4017B" w:rsidRPr="000F6CD1" w:rsidRDefault="00B4017B" w:rsidP="00D53108">
            <w:pPr>
              <w:pStyle w:val="ListParagraph"/>
              <w:numPr>
                <w:ilvl w:val="0"/>
                <w:numId w:val="489"/>
              </w:numPr>
              <w:spacing w:after="100"/>
              <w:ind w:hanging="357"/>
              <w:contextualSpacing w:val="0"/>
              <w:rPr>
                <w:szCs w:val="28"/>
              </w:rPr>
            </w:pPr>
            <w:r w:rsidRPr="000F6CD1">
              <w:rPr>
                <w:szCs w:val="28"/>
              </w:rPr>
              <w:t xml:space="preserve">Does not have the means to change their living arrangements: Greg has no assets and survives on a small pension, indicating he lacks the financial means to change his living arrangements. </w:t>
            </w:r>
          </w:p>
        </w:tc>
      </w:tr>
    </w:tbl>
    <w:p w14:paraId="58FA6E5C" w14:textId="31B66767" w:rsidR="008F7EA2" w:rsidRDefault="008F7EA2" w:rsidP="00AA3AE7"/>
    <w:p w14:paraId="48B06242" w14:textId="70D61413" w:rsidR="00B4017B" w:rsidRPr="000F6CD1" w:rsidRDefault="008F7EA2" w:rsidP="00AA3AE7">
      <w:r>
        <w:br w:type="page"/>
      </w:r>
    </w:p>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2EC885A8" w14:textId="77777777" w:rsidTr="00AA3E55">
        <w:tc>
          <w:tcPr>
            <w:tcW w:w="9016" w:type="dxa"/>
            <w:shd w:val="clear" w:color="auto" w:fill="F2F2F2" w:themeFill="background1" w:themeFillShade="F2"/>
          </w:tcPr>
          <w:p w14:paraId="1A68A3AE" w14:textId="77777777" w:rsidR="00B4017B" w:rsidRPr="000F6CD1" w:rsidRDefault="00B4017B" w:rsidP="003D6CFC">
            <w:pPr>
              <w:rPr>
                <w:b/>
                <w:bCs/>
                <w:sz w:val="24"/>
                <w:szCs w:val="32"/>
              </w:rPr>
            </w:pPr>
            <w:r w:rsidRPr="000F6CD1">
              <w:rPr>
                <w:b/>
                <w:bCs/>
                <w:sz w:val="24"/>
                <w:szCs w:val="32"/>
              </w:rPr>
              <w:lastRenderedPageBreak/>
              <w:t xml:space="preserve">Case Study 2: Meets Eligibility Requirements </w:t>
            </w:r>
          </w:p>
          <w:p w14:paraId="3B5BFF09" w14:textId="77777777" w:rsidR="00B4017B" w:rsidRPr="000F6CD1" w:rsidRDefault="00B4017B" w:rsidP="003D6CFC">
            <w:pPr>
              <w:rPr>
                <w:b/>
                <w:bCs/>
                <w:sz w:val="24"/>
                <w:szCs w:val="32"/>
              </w:rPr>
            </w:pPr>
          </w:p>
          <w:p w14:paraId="5353D848" w14:textId="77777777" w:rsidR="00B4017B" w:rsidRPr="000F6CD1" w:rsidRDefault="00B4017B">
            <w:pPr>
              <w:rPr>
                <w:szCs w:val="28"/>
              </w:rPr>
            </w:pPr>
            <w:r w:rsidRPr="00D53108">
              <w:rPr>
                <w:b/>
                <w:bCs/>
                <w:szCs w:val="28"/>
              </w:rPr>
              <w:t>Ann</w:t>
            </w:r>
            <w:r w:rsidRPr="000F6CD1">
              <w:rPr>
                <w:szCs w:val="28"/>
              </w:rPr>
              <w:t xml:space="preserve">, aged 59, receives a small pension and has no assets. She suffers from chronic pain and declining mobility, which have led to several falls in the past six months. Struggling to pay rent, Ann was recently evicted from her private rental home due to rent arrears. Following the eviction, she moved in with a family member and is currently sleeping in the living room. Ann requires assistance with daily activities, including meal preparation and personal care, due to her health conditions. </w:t>
            </w:r>
          </w:p>
          <w:p w14:paraId="529D1E18" w14:textId="77777777" w:rsidR="00B4017B" w:rsidRPr="000F6CD1" w:rsidRDefault="00B4017B">
            <w:pPr>
              <w:rPr>
                <w:szCs w:val="28"/>
              </w:rPr>
            </w:pPr>
          </w:p>
          <w:p w14:paraId="709853AF" w14:textId="7B56A941" w:rsidR="00B4017B" w:rsidRPr="000F6CD1" w:rsidRDefault="00B4017B" w:rsidP="00D53108">
            <w:pPr>
              <w:spacing w:after="60"/>
              <w:rPr>
                <w:szCs w:val="28"/>
              </w:rPr>
            </w:pPr>
            <w:r w:rsidRPr="000F6CD1">
              <w:rPr>
                <w:szCs w:val="28"/>
              </w:rPr>
              <w:t xml:space="preserve">Ann meets the criteria for accessing Australian Government aged care services because Ann: </w:t>
            </w:r>
            <w:r w:rsidR="00D53108">
              <w:rPr>
                <w:szCs w:val="28"/>
              </w:rPr>
              <w:br/>
            </w:r>
          </w:p>
          <w:p w14:paraId="1ECF6008" w14:textId="77777777" w:rsidR="00B4017B" w:rsidRPr="000F6CD1" w:rsidRDefault="00B4017B" w:rsidP="00D53108">
            <w:pPr>
              <w:pStyle w:val="ListParagraph"/>
              <w:numPr>
                <w:ilvl w:val="0"/>
                <w:numId w:val="491"/>
              </w:numPr>
              <w:spacing w:after="100"/>
              <w:ind w:hanging="357"/>
              <w:contextualSpacing w:val="0"/>
              <w:rPr>
                <w:szCs w:val="28"/>
              </w:rPr>
            </w:pPr>
            <w:r w:rsidRPr="000F6CD1">
              <w:rPr>
                <w:szCs w:val="28"/>
              </w:rPr>
              <w:t xml:space="preserve">Is aged 50 years or older: Ann is 59 years old. </w:t>
            </w:r>
          </w:p>
          <w:p w14:paraId="14A3C556" w14:textId="77777777" w:rsidR="00B4017B" w:rsidRPr="000F6CD1" w:rsidRDefault="00B4017B" w:rsidP="00D53108">
            <w:pPr>
              <w:pStyle w:val="ListParagraph"/>
              <w:numPr>
                <w:ilvl w:val="0"/>
                <w:numId w:val="491"/>
              </w:numPr>
              <w:spacing w:after="100"/>
              <w:ind w:hanging="357"/>
              <w:contextualSpacing w:val="0"/>
              <w:rPr>
                <w:szCs w:val="28"/>
              </w:rPr>
            </w:pPr>
            <w:r w:rsidRPr="000F6CD1">
              <w:rPr>
                <w:szCs w:val="28"/>
              </w:rPr>
              <w:t xml:space="preserve">Has prematurely aged and requires services for their aged care needs: Ann’s chronic pain, declining mobility, and frequent falls indicate that she has prematurely aged and requires aged care services. </w:t>
            </w:r>
          </w:p>
          <w:p w14:paraId="69D63115" w14:textId="77777777" w:rsidR="00B4017B" w:rsidRPr="000F6CD1" w:rsidRDefault="00B4017B" w:rsidP="00D53108">
            <w:pPr>
              <w:pStyle w:val="ListParagraph"/>
              <w:numPr>
                <w:ilvl w:val="0"/>
                <w:numId w:val="491"/>
              </w:numPr>
              <w:spacing w:after="100"/>
              <w:ind w:hanging="357"/>
              <w:contextualSpacing w:val="0"/>
              <w:rPr>
                <w:szCs w:val="28"/>
              </w:rPr>
            </w:pPr>
            <w:r w:rsidRPr="000F6CD1">
              <w:rPr>
                <w:szCs w:val="28"/>
              </w:rPr>
              <w:t xml:space="preserve">Has the following living arrangements: </w:t>
            </w:r>
          </w:p>
          <w:p w14:paraId="5925DF59" w14:textId="77777777" w:rsidR="00B4017B" w:rsidRPr="000F6CD1" w:rsidRDefault="00B4017B" w:rsidP="00014B25">
            <w:pPr>
              <w:pStyle w:val="ListParagraph"/>
              <w:numPr>
                <w:ilvl w:val="0"/>
                <w:numId w:val="492"/>
              </w:numPr>
              <w:spacing w:after="100"/>
              <w:ind w:left="1173" w:hanging="425"/>
              <w:contextualSpacing w:val="0"/>
              <w:rPr>
                <w:szCs w:val="28"/>
              </w:rPr>
            </w:pPr>
            <w:r w:rsidRPr="000F6CD1">
              <w:rPr>
                <w:szCs w:val="28"/>
              </w:rPr>
              <w:t xml:space="preserve">Lacks any adequate roof over their head: Not applicable, as Ann is currently living with a family member. </w:t>
            </w:r>
          </w:p>
          <w:p w14:paraId="1CF648AE" w14:textId="77777777" w:rsidR="00B4017B" w:rsidRPr="000F6CD1" w:rsidRDefault="00B4017B" w:rsidP="00014B25">
            <w:pPr>
              <w:pStyle w:val="ListParagraph"/>
              <w:numPr>
                <w:ilvl w:val="0"/>
                <w:numId w:val="492"/>
              </w:numPr>
              <w:spacing w:after="100"/>
              <w:ind w:left="1173" w:hanging="425"/>
              <w:contextualSpacing w:val="0"/>
              <w:rPr>
                <w:szCs w:val="28"/>
              </w:rPr>
            </w:pPr>
            <w:r w:rsidRPr="000F6CD1">
              <w:rPr>
                <w:szCs w:val="28"/>
              </w:rPr>
              <w:t xml:space="preserve">Has no security of tenure or moves between various forms of temporary or medium-term shelter: Ann was recently evicted from her private rental home and is now sleeping in the living room of a family member’s home, which can be considered a temporary or insecure living arrangement. </w:t>
            </w:r>
          </w:p>
          <w:p w14:paraId="2F4EEB8B" w14:textId="77777777" w:rsidR="00B4017B" w:rsidRPr="000F6CD1" w:rsidRDefault="00B4017B" w:rsidP="00014B25">
            <w:pPr>
              <w:pStyle w:val="ListParagraph"/>
              <w:numPr>
                <w:ilvl w:val="0"/>
                <w:numId w:val="492"/>
              </w:numPr>
              <w:spacing w:after="100"/>
              <w:ind w:left="1173" w:hanging="425"/>
              <w:contextualSpacing w:val="0"/>
              <w:rPr>
                <w:szCs w:val="28"/>
              </w:rPr>
            </w:pPr>
            <w:r w:rsidRPr="000F6CD1">
              <w:rPr>
                <w:szCs w:val="28"/>
              </w:rPr>
              <w:t xml:space="preserve">Stays in accommodation that falls below minimum community standards: Sleeping in the living room of a family member’s home may fall below the minimum community standards for adequate housing. </w:t>
            </w:r>
          </w:p>
          <w:p w14:paraId="01AEED0C" w14:textId="77777777" w:rsidR="00B4017B" w:rsidRPr="000F6CD1" w:rsidRDefault="00B4017B" w:rsidP="00D53108">
            <w:pPr>
              <w:pStyle w:val="ListParagraph"/>
              <w:numPr>
                <w:ilvl w:val="0"/>
                <w:numId w:val="491"/>
              </w:numPr>
              <w:spacing w:after="60"/>
              <w:ind w:hanging="357"/>
              <w:contextualSpacing w:val="0"/>
              <w:rPr>
                <w:szCs w:val="28"/>
              </w:rPr>
            </w:pPr>
            <w:r w:rsidRPr="000F6CD1">
              <w:rPr>
                <w:szCs w:val="28"/>
              </w:rPr>
              <w:t xml:space="preserve">Does not have the means to change their living arrangements: Ann has no assets and receives a small pension, indicating she lacks the financial means to change her living arrangements. </w:t>
            </w:r>
          </w:p>
        </w:tc>
      </w:tr>
    </w:tbl>
    <w:p w14:paraId="5DBC3C86" w14:textId="77777777" w:rsidR="00B4017B" w:rsidRPr="000F6CD1" w:rsidRDefault="00B4017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1D1B9A87" w14:textId="77777777" w:rsidTr="00AA3E55">
        <w:tc>
          <w:tcPr>
            <w:tcW w:w="9016" w:type="dxa"/>
            <w:shd w:val="clear" w:color="auto" w:fill="F2F2F2" w:themeFill="background1" w:themeFillShade="F2"/>
          </w:tcPr>
          <w:p w14:paraId="196ABDE5" w14:textId="77777777" w:rsidR="00B4017B" w:rsidRPr="000F6CD1" w:rsidRDefault="00B4017B" w:rsidP="003D6CFC">
            <w:pPr>
              <w:rPr>
                <w:b/>
                <w:bCs/>
                <w:sz w:val="24"/>
                <w:szCs w:val="32"/>
              </w:rPr>
            </w:pPr>
            <w:r w:rsidRPr="000F6CD1">
              <w:rPr>
                <w:b/>
                <w:bCs/>
                <w:sz w:val="24"/>
                <w:szCs w:val="32"/>
              </w:rPr>
              <w:t xml:space="preserve">Case Study 3: Meets Eligibility Requirements </w:t>
            </w:r>
          </w:p>
          <w:p w14:paraId="2F03AC2C" w14:textId="77777777" w:rsidR="00B4017B" w:rsidRPr="000F6CD1" w:rsidRDefault="00B4017B" w:rsidP="003D6CFC">
            <w:pPr>
              <w:rPr>
                <w:b/>
                <w:bCs/>
                <w:sz w:val="24"/>
                <w:szCs w:val="32"/>
              </w:rPr>
            </w:pPr>
          </w:p>
          <w:p w14:paraId="3AF0CD61" w14:textId="77777777" w:rsidR="00B4017B" w:rsidRPr="000F6CD1" w:rsidRDefault="00B4017B">
            <w:pPr>
              <w:rPr>
                <w:szCs w:val="28"/>
              </w:rPr>
            </w:pPr>
            <w:r w:rsidRPr="00D53108">
              <w:rPr>
                <w:b/>
                <w:bCs/>
                <w:szCs w:val="28"/>
              </w:rPr>
              <w:t>John</w:t>
            </w:r>
            <w:r w:rsidRPr="000F6CD1">
              <w:rPr>
                <w:szCs w:val="28"/>
              </w:rPr>
              <w:t xml:space="preserve">, aged 60, has a history of living in shelter accommodation and his care, and is currently residing in a caravan in a remote location. He suffers from diabetes and related complication, requiring daily insulin. However, John struggles to manage his medication, leading to multiple hospital admissions. His living conditions have worsened and his health, as exposure to cold weather and lack of a heating system have negatively impacted him. John has no financial resources and is unable to work due to his chronic health conditions. </w:t>
            </w:r>
          </w:p>
          <w:p w14:paraId="4303E153" w14:textId="77777777" w:rsidR="00B4017B" w:rsidRPr="000F6CD1" w:rsidRDefault="00B4017B">
            <w:pPr>
              <w:rPr>
                <w:szCs w:val="28"/>
              </w:rPr>
            </w:pPr>
          </w:p>
          <w:p w14:paraId="06E7F3E3" w14:textId="77777777" w:rsidR="00B4017B" w:rsidRPr="000F6CD1" w:rsidRDefault="00B4017B">
            <w:pPr>
              <w:rPr>
                <w:szCs w:val="28"/>
              </w:rPr>
            </w:pPr>
            <w:r w:rsidRPr="000F6CD1">
              <w:rPr>
                <w:szCs w:val="28"/>
              </w:rPr>
              <w:t xml:space="preserve">John meets the criteria for accessing Australian Government aged care services because John: </w:t>
            </w:r>
          </w:p>
          <w:p w14:paraId="0B8410ED" w14:textId="77777777" w:rsidR="00B4017B" w:rsidRPr="000F6CD1" w:rsidRDefault="00B4017B">
            <w:pPr>
              <w:rPr>
                <w:szCs w:val="28"/>
              </w:rPr>
            </w:pPr>
          </w:p>
          <w:p w14:paraId="648A162F" w14:textId="77777777" w:rsidR="00B4017B" w:rsidRPr="000F6CD1" w:rsidRDefault="00B4017B" w:rsidP="00D53108">
            <w:pPr>
              <w:pStyle w:val="ListParagraph"/>
              <w:numPr>
                <w:ilvl w:val="0"/>
                <w:numId w:val="493"/>
              </w:numPr>
              <w:spacing w:after="100"/>
              <w:ind w:hanging="357"/>
              <w:contextualSpacing w:val="0"/>
              <w:rPr>
                <w:szCs w:val="28"/>
              </w:rPr>
            </w:pPr>
            <w:r w:rsidRPr="000F6CD1">
              <w:rPr>
                <w:szCs w:val="28"/>
              </w:rPr>
              <w:t xml:space="preserve">Is aged 50 or older: John is 60 years old. </w:t>
            </w:r>
          </w:p>
          <w:p w14:paraId="2081EADC" w14:textId="77777777" w:rsidR="00B4017B" w:rsidRPr="000F6CD1" w:rsidRDefault="00B4017B" w:rsidP="00D53108">
            <w:pPr>
              <w:pStyle w:val="ListParagraph"/>
              <w:numPr>
                <w:ilvl w:val="0"/>
                <w:numId w:val="493"/>
              </w:numPr>
              <w:spacing w:after="100"/>
              <w:ind w:hanging="357"/>
              <w:contextualSpacing w:val="0"/>
              <w:rPr>
                <w:szCs w:val="28"/>
              </w:rPr>
            </w:pPr>
            <w:r w:rsidRPr="000F6CD1">
              <w:rPr>
                <w:szCs w:val="28"/>
              </w:rPr>
              <w:t xml:space="preserve">Has prematurely aged and requires services for their aged care needs: John’s diabetes, related complications and difficulty managing his medication indicate that he has prematurely aged and requires aged care services. </w:t>
            </w:r>
          </w:p>
          <w:p w14:paraId="331BAEF9" w14:textId="77777777" w:rsidR="00B4017B" w:rsidRPr="000F6CD1" w:rsidRDefault="00B4017B" w:rsidP="00D53108">
            <w:pPr>
              <w:pStyle w:val="ListParagraph"/>
              <w:numPr>
                <w:ilvl w:val="0"/>
                <w:numId w:val="493"/>
              </w:numPr>
              <w:spacing w:after="100"/>
              <w:ind w:hanging="357"/>
              <w:contextualSpacing w:val="0"/>
              <w:rPr>
                <w:szCs w:val="28"/>
              </w:rPr>
            </w:pPr>
            <w:r w:rsidRPr="000F6CD1">
              <w:rPr>
                <w:szCs w:val="28"/>
              </w:rPr>
              <w:t xml:space="preserve">Has the following living arrangements: </w:t>
            </w:r>
          </w:p>
          <w:p w14:paraId="48145103" w14:textId="77777777" w:rsidR="00B4017B" w:rsidRPr="000F6CD1" w:rsidRDefault="00B4017B" w:rsidP="00014B25">
            <w:pPr>
              <w:pStyle w:val="ListParagraph"/>
              <w:numPr>
                <w:ilvl w:val="0"/>
                <w:numId w:val="494"/>
              </w:numPr>
              <w:spacing w:after="100"/>
              <w:ind w:left="1173" w:hanging="425"/>
              <w:contextualSpacing w:val="0"/>
              <w:rPr>
                <w:szCs w:val="28"/>
              </w:rPr>
            </w:pPr>
            <w:r w:rsidRPr="000F6CD1">
              <w:rPr>
                <w:szCs w:val="28"/>
              </w:rPr>
              <w:lastRenderedPageBreak/>
              <w:t xml:space="preserve">Lacks any adequate roof over their head: John’s caravan in a remote location, lacking a heating system, can be considered unfit housing with substandard conditions. </w:t>
            </w:r>
          </w:p>
          <w:p w14:paraId="4E74AFAA" w14:textId="77777777" w:rsidR="00B4017B" w:rsidRPr="000F6CD1" w:rsidRDefault="00B4017B" w:rsidP="00014B25">
            <w:pPr>
              <w:pStyle w:val="ListParagraph"/>
              <w:numPr>
                <w:ilvl w:val="0"/>
                <w:numId w:val="494"/>
              </w:numPr>
              <w:spacing w:after="100"/>
              <w:ind w:left="1173" w:hanging="425"/>
              <w:contextualSpacing w:val="0"/>
              <w:rPr>
                <w:szCs w:val="28"/>
              </w:rPr>
            </w:pPr>
            <w:r w:rsidRPr="000F6CD1">
              <w:rPr>
                <w:szCs w:val="28"/>
              </w:rPr>
              <w:t xml:space="preserve">Has no security of tenure or moves between various forms or temporary or medium-term shelter: John’s has a history of living in shelter accommodation and his care, and is now in a caravan, which can be considered a temporary or insecure living arrangement. </w:t>
            </w:r>
          </w:p>
          <w:p w14:paraId="6D83E2D9" w14:textId="77777777" w:rsidR="00B4017B" w:rsidRPr="000F6CD1" w:rsidRDefault="00B4017B" w:rsidP="00014B25">
            <w:pPr>
              <w:pStyle w:val="ListParagraph"/>
              <w:numPr>
                <w:ilvl w:val="0"/>
                <w:numId w:val="494"/>
              </w:numPr>
              <w:spacing w:after="100"/>
              <w:ind w:left="1173" w:hanging="425"/>
              <w:contextualSpacing w:val="0"/>
              <w:rPr>
                <w:szCs w:val="28"/>
              </w:rPr>
            </w:pPr>
            <w:r w:rsidRPr="000F6CD1">
              <w:rPr>
                <w:szCs w:val="28"/>
              </w:rPr>
              <w:t xml:space="preserve">Stays in accommodation that falls below minimum community standards: The caravan’s lack of heating and remote location may fall below minimum community standards for adequate housing. </w:t>
            </w:r>
          </w:p>
          <w:p w14:paraId="77A293B8" w14:textId="77777777" w:rsidR="00B4017B" w:rsidRPr="000F6CD1" w:rsidRDefault="00B4017B">
            <w:pPr>
              <w:pStyle w:val="ListParagraph"/>
              <w:numPr>
                <w:ilvl w:val="0"/>
                <w:numId w:val="493"/>
              </w:numPr>
              <w:rPr>
                <w:szCs w:val="28"/>
              </w:rPr>
            </w:pPr>
            <w:r w:rsidRPr="000F6CD1">
              <w:rPr>
                <w:szCs w:val="28"/>
              </w:rPr>
              <w:t xml:space="preserve">Does not have the means to change their living arrangements: John has no financial resources and is unable to work due to chronic health conditions, indicating he lacks the means to change his living arrangements. </w:t>
            </w:r>
          </w:p>
          <w:p w14:paraId="3309E178" w14:textId="77777777" w:rsidR="00B4017B" w:rsidRPr="000F6CD1" w:rsidRDefault="00B4017B">
            <w:pPr>
              <w:pStyle w:val="ListParagraph"/>
              <w:rPr>
                <w:szCs w:val="28"/>
              </w:rPr>
            </w:pPr>
          </w:p>
        </w:tc>
      </w:tr>
    </w:tbl>
    <w:p w14:paraId="4703F007" w14:textId="77777777" w:rsidR="00B4017B" w:rsidRPr="000F6CD1" w:rsidRDefault="00B4017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67FAEEBC" w14:textId="77777777" w:rsidTr="00AA3E55">
        <w:tc>
          <w:tcPr>
            <w:tcW w:w="9016" w:type="dxa"/>
            <w:shd w:val="clear" w:color="auto" w:fill="F2F2F2" w:themeFill="background1" w:themeFillShade="F2"/>
          </w:tcPr>
          <w:p w14:paraId="7D1C2537" w14:textId="77777777" w:rsidR="00B4017B" w:rsidRPr="000F6CD1" w:rsidRDefault="00B4017B" w:rsidP="003D6CFC">
            <w:pPr>
              <w:rPr>
                <w:b/>
                <w:bCs/>
                <w:sz w:val="24"/>
                <w:szCs w:val="32"/>
              </w:rPr>
            </w:pPr>
            <w:r w:rsidRPr="000F6CD1">
              <w:rPr>
                <w:b/>
                <w:bCs/>
                <w:sz w:val="24"/>
                <w:szCs w:val="32"/>
              </w:rPr>
              <w:t xml:space="preserve">Case Study 4: Does Not Meet the Eligibility Criteria </w:t>
            </w:r>
          </w:p>
          <w:p w14:paraId="3BCCA5AB" w14:textId="77777777" w:rsidR="00B4017B" w:rsidRPr="000F6CD1" w:rsidRDefault="00B4017B" w:rsidP="003D6CFC">
            <w:pPr>
              <w:rPr>
                <w:b/>
                <w:bCs/>
                <w:sz w:val="24"/>
                <w:szCs w:val="32"/>
              </w:rPr>
            </w:pPr>
          </w:p>
          <w:p w14:paraId="34FC602C" w14:textId="77777777" w:rsidR="00B4017B" w:rsidRPr="000F6CD1" w:rsidRDefault="00B4017B">
            <w:pPr>
              <w:rPr>
                <w:szCs w:val="28"/>
              </w:rPr>
            </w:pPr>
            <w:r w:rsidRPr="00D53108">
              <w:rPr>
                <w:b/>
                <w:bCs/>
                <w:szCs w:val="28"/>
              </w:rPr>
              <w:t>Peter</w:t>
            </w:r>
            <w:r w:rsidRPr="000F6CD1">
              <w:rPr>
                <w:szCs w:val="28"/>
              </w:rPr>
              <w:t xml:space="preserve">, aged 53, has a disability and has always lived with his parents in their residential home. Recently, Peter’s father has passed away, and his mother’s health deteriorated leading her to move permanently to a residential aged care facility. Peter has been approved for a NDIS plan, which provides resources and funding for him to move to a NDIS group home with other participants. Although Peter did not own a home and had never lived outside the family home, he now has access to resources that allow him to move permanently into a stable and adequate home, where he can receive more appropriate support. </w:t>
            </w:r>
          </w:p>
          <w:p w14:paraId="510243A9" w14:textId="77777777" w:rsidR="00B4017B" w:rsidRPr="000F6CD1" w:rsidRDefault="00B4017B">
            <w:pPr>
              <w:rPr>
                <w:szCs w:val="28"/>
              </w:rPr>
            </w:pPr>
          </w:p>
          <w:p w14:paraId="5EEA95C4" w14:textId="77777777" w:rsidR="00B4017B" w:rsidRPr="000F6CD1" w:rsidRDefault="00B4017B">
            <w:pPr>
              <w:rPr>
                <w:szCs w:val="28"/>
              </w:rPr>
            </w:pPr>
            <w:r w:rsidRPr="000F6CD1">
              <w:rPr>
                <w:szCs w:val="28"/>
              </w:rPr>
              <w:t xml:space="preserve">Peter does not meet the criteria for accessing Australian Government aged care services because Peter: </w:t>
            </w:r>
          </w:p>
          <w:p w14:paraId="68806534" w14:textId="77777777" w:rsidR="00B4017B" w:rsidRPr="000F6CD1" w:rsidRDefault="00B4017B">
            <w:pPr>
              <w:rPr>
                <w:szCs w:val="28"/>
              </w:rPr>
            </w:pPr>
          </w:p>
          <w:p w14:paraId="20B77667" w14:textId="77777777" w:rsidR="00B4017B" w:rsidRPr="000F6CD1" w:rsidRDefault="00B4017B" w:rsidP="009A28FB">
            <w:pPr>
              <w:pStyle w:val="ListParagraph"/>
              <w:numPr>
                <w:ilvl w:val="0"/>
                <w:numId w:val="495"/>
              </w:numPr>
              <w:spacing w:after="100"/>
              <w:ind w:hanging="357"/>
              <w:contextualSpacing w:val="0"/>
              <w:rPr>
                <w:szCs w:val="28"/>
              </w:rPr>
            </w:pPr>
            <w:r w:rsidRPr="000F6CD1">
              <w:rPr>
                <w:szCs w:val="28"/>
              </w:rPr>
              <w:t xml:space="preserve">Is aged 50 or older: Peter is 53 years old. </w:t>
            </w:r>
          </w:p>
          <w:p w14:paraId="39460038" w14:textId="77777777" w:rsidR="00B4017B" w:rsidRPr="000F6CD1" w:rsidRDefault="00B4017B" w:rsidP="009A28FB">
            <w:pPr>
              <w:pStyle w:val="ListParagraph"/>
              <w:numPr>
                <w:ilvl w:val="0"/>
                <w:numId w:val="495"/>
              </w:numPr>
              <w:spacing w:after="100"/>
              <w:ind w:hanging="357"/>
              <w:contextualSpacing w:val="0"/>
              <w:rPr>
                <w:szCs w:val="28"/>
              </w:rPr>
            </w:pPr>
            <w:r w:rsidRPr="000F6CD1">
              <w:rPr>
                <w:szCs w:val="28"/>
              </w:rPr>
              <w:t xml:space="preserve">Has permanently aged and requires services for their aged care needs: Peter has a disability, but the information does not indicate that he has prematurely aged or requires aged care services specifically related to ageing. </w:t>
            </w:r>
          </w:p>
          <w:p w14:paraId="3FD598A9" w14:textId="42780732" w:rsidR="00B4017B" w:rsidRPr="00D53108" w:rsidRDefault="00B4017B" w:rsidP="009A28FB">
            <w:pPr>
              <w:pStyle w:val="ListParagraph"/>
              <w:numPr>
                <w:ilvl w:val="0"/>
                <w:numId w:val="495"/>
              </w:numPr>
              <w:spacing w:after="100"/>
              <w:ind w:hanging="357"/>
              <w:contextualSpacing w:val="0"/>
              <w:rPr>
                <w:szCs w:val="28"/>
              </w:rPr>
            </w:pPr>
            <w:r w:rsidRPr="000F6CD1">
              <w:rPr>
                <w:szCs w:val="28"/>
              </w:rPr>
              <w:t xml:space="preserve">Has the following living arrangements: </w:t>
            </w:r>
          </w:p>
          <w:p w14:paraId="004E5641" w14:textId="77777777" w:rsidR="00B4017B" w:rsidRPr="000F6CD1" w:rsidRDefault="00B4017B" w:rsidP="00014B25">
            <w:pPr>
              <w:pStyle w:val="ListParagraph"/>
              <w:numPr>
                <w:ilvl w:val="0"/>
                <w:numId w:val="496"/>
              </w:numPr>
              <w:spacing w:after="100"/>
              <w:ind w:left="1173" w:hanging="425"/>
              <w:contextualSpacing w:val="0"/>
              <w:rPr>
                <w:szCs w:val="28"/>
              </w:rPr>
            </w:pPr>
            <w:r w:rsidRPr="000F6CD1">
              <w:rPr>
                <w:szCs w:val="28"/>
              </w:rPr>
              <w:t xml:space="preserve">Lacks any adequate roof over their head: Not applicable, as Peter has access to a stable and adequate home through the NDIS plan. </w:t>
            </w:r>
          </w:p>
          <w:p w14:paraId="584F9A55" w14:textId="77777777" w:rsidR="00B4017B" w:rsidRPr="000F6CD1" w:rsidRDefault="00B4017B" w:rsidP="00014B25">
            <w:pPr>
              <w:pStyle w:val="ListParagraph"/>
              <w:numPr>
                <w:ilvl w:val="0"/>
                <w:numId w:val="496"/>
              </w:numPr>
              <w:spacing w:after="100"/>
              <w:ind w:left="1173" w:hanging="425"/>
              <w:contextualSpacing w:val="0"/>
              <w:rPr>
                <w:szCs w:val="28"/>
              </w:rPr>
            </w:pPr>
            <w:r w:rsidRPr="000F6CD1">
              <w:rPr>
                <w:szCs w:val="28"/>
              </w:rPr>
              <w:t xml:space="preserve">Has no security of tenure or moves between various forms of temporary or medium-term shelter: Not applicable, as Peter has a permanent arrangement in the NDIS group home. </w:t>
            </w:r>
          </w:p>
          <w:p w14:paraId="43A17B9B" w14:textId="38F80DD8" w:rsidR="00B4017B" w:rsidRPr="00D53108" w:rsidRDefault="00B4017B" w:rsidP="00014B25">
            <w:pPr>
              <w:pStyle w:val="ListParagraph"/>
              <w:numPr>
                <w:ilvl w:val="0"/>
                <w:numId w:val="496"/>
              </w:numPr>
              <w:spacing w:after="100"/>
              <w:ind w:left="1173" w:hanging="425"/>
              <w:contextualSpacing w:val="0"/>
              <w:rPr>
                <w:szCs w:val="28"/>
              </w:rPr>
            </w:pPr>
            <w:r w:rsidRPr="000F6CD1">
              <w:rPr>
                <w:szCs w:val="28"/>
              </w:rPr>
              <w:t xml:space="preserve">Stays in accommodation that falls below minimum community standards: Not applicable, as the NDIS group home is described as table and adequate. </w:t>
            </w:r>
          </w:p>
          <w:p w14:paraId="250FBE0E" w14:textId="77777777" w:rsidR="00B4017B" w:rsidRPr="000F6CD1" w:rsidRDefault="00B4017B" w:rsidP="009A28FB">
            <w:pPr>
              <w:pStyle w:val="ListParagraph"/>
              <w:numPr>
                <w:ilvl w:val="0"/>
                <w:numId w:val="495"/>
              </w:numPr>
              <w:spacing w:after="100"/>
              <w:ind w:hanging="357"/>
              <w:contextualSpacing w:val="0"/>
              <w:rPr>
                <w:szCs w:val="28"/>
              </w:rPr>
            </w:pPr>
            <w:r w:rsidRPr="000F6CD1">
              <w:rPr>
                <w:szCs w:val="28"/>
              </w:rPr>
              <w:t xml:space="preserve">Does not have the means to change their living arrangements: Not applicable, as Peter has access to resources and funding through the NDIS plan to move to a stable home. </w:t>
            </w:r>
          </w:p>
        </w:tc>
      </w:tr>
    </w:tbl>
    <w:p w14:paraId="20A57F5C" w14:textId="77777777" w:rsidR="00B4017B" w:rsidRDefault="00B4017B" w:rsidP="00AA3AE7"/>
    <w:p w14:paraId="4AFF8745" w14:textId="77777777" w:rsidR="009A28FB" w:rsidRDefault="009A28FB" w:rsidP="00AA3AE7"/>
    <w:p w14:paraId="25306EA8" w14:textId="77777777" w:rsidR="009A28FB" w:rsidRPr="000F6CD1" w:rsidRDefault="009A28F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51A689F7" w14:textId="77777777" w:rsidTr="0087276B">
        <w:tc>
          <w:tcPr>
            <w:tcW w:w="9016" w:type="dxa"/>
            <w:shd w:val="clear" w:color="auto" w:fill="F2F2F2" w:themeFill="background1" w:themeFillShade="F2"/>
          </w:tcPr>
          <w:p w14:paraId="0813B6D4" w14:textId="77777777" w:rsidR="00B4017B" w:rsidRPr="000F6CD1" w:rsidRDefault="00B4017B" w:rsidP="003D6CFC">
            <w:pPr>
              <w:rPr>
                <w:b/>
                <w:bCs/>
                <w:sz w:val="24"/>
                <w:szCs w:val="32"/>
              </w:rPr>
            </w:pPr>
            <w:r w:rsidRPr="000F6CD1">
              <w:rPr>
                <w:b/>
                <w:bCs/>
                <w:sz w:val="24"/>
                <w:szCs w:val="32"/>
              </w:rPr>
              <w:lastRenderedPageBreak/>
              <w:t xml:space="preserve">Case Study 5: Does Not Meet the Eligibility Criteria </w:t>
            </w:r>
          </w:p>
          <w:p w14:paraId="7759A4A6" w14:textId="77777777" w:rsidR="00B4017B" w:rsidRPr="000F6CD1" w:rsidRDefault="00B4017B" w:rsidP="003D6CFC">
            <w:pPr>
              <w:rPr>
                <w:b/>
                <w:bCs/>
                <w:sz w:val="24"/>
                <w:szCs w:val="32"/>
              </w:rPr>
            </w:pPr>
          </w:p>
          <w:p w14:paraId="450E7901" w14:textId="55D4FEFC" w:rsidR="00B4017B" w:rsidRPr="000F6CD1" w:rsidRDefault="00B4017B">
            <w:pPr>
              <w:rPr>
                <w:szCs w:val="28"/>
              </w:rPr>
            </w:pPr>
            <w:r w:rsidRPr="001A14AB">
              <w:rPr>
                <w:b/>
                <w:bCs/>
                <w:szCs w:val="28"/>
              </w:rPr>
              <w:t>Marg</w:t>
            </w:r>
            <w:r w:rsidR="001A14AB" w:rsidRPr="001A14AB">
              <w:rPr>
                <w:b/>
                <w:bCs/>
                <w:szCs w:val="28"/>
              </w:rPr>
              <w:t>a</w:t>
            </w:r>
            <w:r w:rsidRPr="001A14AB">
              <w:rPr>
                <w:b/>
                <w:bCs/>
                <w:szCs w:val="28"/>
              </w:rPr>
              <w:t>ret (Maggie)</w:t>
            </w:r>
            <w:r w:rsidRPr="001A14AB">
              <w:rPr>
                <w:szCs w:val="28"/>
              </w:rPr>
              <w:t>,</w:t>
            </w:r>
            <w:r w:rsidRPr="000F6CD1">
              <w:rPr>
                <w:szCs w:val="28"/>
              </w:rPr>
              <w:t xml:space="preserve"> aged 56, has been living in a boarding house for almost two years. Recently, she experienced a medical episode and was admitted to hospital. After receiving treatment, Maggie has now recovered and is</w:t>
            </w:r>
            <w:r w:rsidR="00244B11">
              <w:rPr>
                <w:szCs w:val="28"/>
              </w:rPr>
              <w:t xml:space="preserve"> </w:t>
            </w:r>
            <w:r w:rsidRPr="000F6CD1">
              <w:rPr>
                <w:szCs w:val="28"/>
              </w:rPr>
              <w:t>medically stable with no residual care needs.</w:t>
            </w:r>
            <w:r w:rsidR="007A280E">
              <w:rPr>
                <w:szCs w:val="28"/>
              </w:rPr>
              <w:t xml:space="preserve"> </w:t>
            </w:r>
            <w:r w:rsidRPr="000F6CD1">
              <w:rPr>
                <w:szCs w:val="28"/>
              </w:rPr>
              <w:t xml:space="preserve">Maggie has no assets and receives a small pension. Maggie also works on a casual basis in the local café and grocery shop. </w:t>
            </w:r>
          </w:p>
          <w:p w14:paraId="5744E936" w14:textId="77777777" w:rsidR="00B4017B" w:rsidRPr="000F6CD1" w:rsidRDefault="00B4017B">
            <w:pPr>
              <w:rPr>
                <w:szCs w:val="28"/>
              </w:rPr>
            </w:pPr>
          </w:p>
          <w:p w14:paraId="09B3B242" w14:textId="77777777" w:rsidR="00B4017B" w:rsidRPr="000F6CD1" w:rsidRDefault="00B4017B">
            <w:pPr>
              <w:rPr>
                <w:szCs w:val="28"/>
              </w:rPr>
            </w:pPr>
            <w:r w:rsidRPr="000F6CD1">
              <w:rPr>
                <w:szCs w:val="28"/>
              </w:rPr>
              <w:t xml:space="preserve">Maggie does not meet the criteria for accessing Australian Government aged care services because Maggie: </w:t>
            </w:r>
          </w:p>
          <w:p w14:paraId="4DCA4832" w14:textId="77777777" w:rsidR="00B4017B" w:rsidRPr="000F6CD1" w:rsidRDefault="00B4017B">
            <w:pPr>
              <w:rPr>
                <w:szCs w:val="28"/>
              </w:rPr>
            </w:pPr>
          </w:p>
          <w:p w14:paraId="6440852C" w14:textId="77777777" w:rsidR="00B4017B" w:rsidRPr="000F6CD1" w:rsidRDefault="00B4017B" w:rsidP="007A280E">
            <w:pPr>
              <w:pStyle w:val="ListParagraph"/>
              <w:numPr>
                <w:ilvl w:val="0"/>
                <w:numId w:val="497"/>
              </w:numPr>
              <w:spacing w:after="100"/>
              <w:ind w:hanging="357"/>
              <w:contextualSpacing w:val="0"/>
              <w:rPr>
                <w:szCs w:val="28"/>
              </w:rPr>
            </w:pPr>
            <w:r w:rsidRPr="000F6CD1">
              <w:rPr>
                <w:szCs w:val="28"/>
              </w:rPr>
              <w:t xml:space="preserve">Is aged 50 years or older: Maggie is 56 years old. </w:t>
            </w:r>
          </w:p>
          <w:p w14:paraId="1A41CF1D" w14:textId="77777777" w:rsidR="00B4017B" w:rsidRPr="000F6CD1" w:rsidRDefault="00B4017B" w:rsidP="007A280E">
            <w:pPr>
              <w:pStyle w:val="ListParagraph"/>
              <w:numPr>
                <w:ilvl w:val="0"/>
                <w:numId w:val="497"/>
              </w:numPr>
              <w:spacing w:after="100"/>
              <w:ind w:hanging="357"/>
              <w:contextualSpacing w:val="0"/>
              <w:rPr>
                <w:szCs w:val="28"/>
              </w:rPr>
            </w:pPr>
            <w:r w:rsidRPr="000F6CD1">
              <w:rPr>
                <w:szCs w:val="28"/>
              </w:rPr>
              <w:t xml:space="preserve">Has prematurely aged and requires services for their aged care needs: Maggie has recovered from her medical episode and is now medically stable with no residual care needs, indicating she does not require aged care services. </w:t>
            </w:r>
          </w:p>
          <w:p w14:paraId="69B3551D" w14:textId="77777777" w:rsidR="00B4017B" w:rsidRPr="000F6CD1" w:rsidRDefault="00B4017B" w:rsidP="007A280E">
            <w:pPr>
              <w:pStyle w:val="ListParagraph"/>
              <w:numPr>
                <w:ilvl w:val="0"/>
                <w:numId w:val="497"/>
              </w:numPr>
              <w:spacing w:after="100"/>
              <w:ind w:hanging="357"/>
              <w:contextualSpacing w:val="0"/>
              <w:rPr>
                <w:szCs w:val="28"/>
              </w:rPr>
            </w:pPr>
            <w:r w:rsidRPr="000F6CD1">
              <w:rPr>
                <w:szCs w:val="28"/>
              </w:rPr>
              <w:t xml:space="preserve">Has the following living arrangements: </w:t>
            </w:r>
          </w:p>
          <w:p w14:paraId="1FD5219D" w14:textId="77777777" w:rsidR="00B4017B" w:rsidRPr="000F6CD1" w:rsidRDefault="00B4017B" w:rsidP="00014B25">
            <w:pPr>
              <w:pStyle w:val="ListParagraph"/>
              <w:numPr>
                <w:ilvl w:val="0"/>
                <w:numId w:val="498"/>
              </w:numPr>
              <w:spacing w:after="100"/>
              <w:ind w:left="1173" w:hanging="425"/>
              <w:contextualSpacing w:val="0"/>
              <w:rPr>
                <w:szCs w:val="28"/>
              </w:rPr>
            </w:pPr>
            <w:r w:rsidRPr="000F6CD1">
              <w:rPr>
                <w:szCs w:val="28"/>
              </w:rPr>
              <w:t xml:space="preserve">Lacks any adequate roof over their head: Not applicable, as Maggie is living in a boarding house. </w:t>
            </w:r>
          </w:p>
          <w:p w14:paraId="4E7742F9" w14:textId="77777777" w:rsidR="00B4017B" w:rsidRPr="000F6CD1" w:rsidRDefault="00B4017B" w:rsidP="00014B25">
            <w:pPr>
              <w:pStyle w:val="ListParagraph"/>
              <w:numPr>
                <w:ilvl w:val="0"/>
                <w:numId w:val="498"/>
              </w:numPr>
              <w:spacing w:after="100"/>
              <w:ind w:left="1173" w:hanging="425"/>
              <w:contextualSpacing w:val="0"/>
              <w:rPr>
                <w:szCs w:val="28"/>
              </w:rPr>
            </w:pPr>
            <w:r w:rsidRPr="000F6CD1">
              <w:rPr>
                <w:szCs w:val="28"/>
              </w:rPr>
              <w:t xml:space="preserve">Has no security of tenure or moves between various forms of temporary or medium-term shelter: Meggie’s boarding house could be considered a transitional housing arrangement, which may may fit this criterion. </w:t>
            </w:r>
          </w:p>
          <w:p w14:paraId="50513A79" w14:textId="77777777" w:rsidR="00B4017B" w:rsidRPr="000F6CD1" w:rsidRDefault="00B4017B" w:rsidP="00014B25">
            <w:pPr>
              <w:pStyle w:val="ListParagraph"/>
              <w:numPr>
                <w:ilvl w:val="0"/>
                <w:numId w:val="498"/>
              </w:numPr>
              <w:spacing w:after="100"/>
              <w:ind w:left="1173" w:hanging="425"/>
              <w:contextualSpacing w:val="0"/>
              <w:rPr>
                <w:szCs w:val="28"/>
              </w:rPr>
            </w:pPr>
            <w:r w:rsidRPr="000F6CD1">
              <w:rPr>
                <w:szCs w:val="28"/>
              </w:rPr>
              <w:t xml:space="preserve">Stays in accommodation that falls below minimum community standards: The boarding house could be considered accommodation that falls below minimum community standards. </w:t>
            </w:r>
          </w:p>
          <w:p w14:paraId="573D2300" w14:textId="77777777" w:rsidR="00B4017B" w:rsidRPr="000F6CD1" w:rsidRDefault="00B4017B" w:rsidP="007A280E">
            <w:pPr>
              <w:pStyle w:val="ListParagraph"/>
              <w:numPr>
                <w:ilvl w:val="0"/>
                <w:numId w:val="497"/>
              </w:numPr>
              <w:spacing w:after="100"/>
              <w:ind w:hanging="357"/>
              <w:contextualSpacing w:val="0"/>
              <w:rPr>
                <w:szCs w:val="28"/>
              </w:rPr>
            </w:pPr>
            <w:r w:rsidRPr="000F6CD1">
              <w:rPr>
                <w:szCs w:val="28"/>
              </w:rPr>
              <w:t>Does not have the means to change their living arrangements: Maggie has no assets and receives a small pension, but she also works causally which may provide some means to change her living arrangements.</w:t>
            </w:r>
          </w:p>
          <w:p w14:paraId="5F74982E" w14:textId="77777777" w:rsidR="00B4017B" w:rsidRPr="000F6CD1" w:rsidRDefault="00B4017B">
            <w:pPr>
              <w:rPr>
                <w:szCs w:val="28"/>
              </w:rPr>
            </w:pPr>
          </w:p>
          <w:p w14:paraId="16FF0D1B" w14:textId="77777777" w:rsidR="00B4017B" w:rsidRPr="000F6CD1" w:rsidRDefault="00B4017B">
            <w:pPr>
              <w:rPr>
                <w:szCs w:val="28"/>
              </w:rPr>
            </w:pPr>
            <w:r w:rsidRPr="000F6CD1">
              <w:rPr>
                <w:szCs w:val="28"/>
              </w:rPr>
              <w:t xml:space="preserve">Given these points, Maggie does not seem to meet the criteria outlined in the definition for accessing aged care services, primarily because she has no ongoing aged care needs. </w:t>
            </w:r>
          </w:p>
        </w:tc>
      </w:tr>
    </w:tbl>
    <w:p w14:paraId="7D07BBAB" w14:textId="77777777" w:rsidR="00B4017B" w:rsidRPr="000F6CD1" w:rsidRDefault="00B4017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753923DE" w14:textId="77777777" w:rsidTr="0087276B">
        <w:tc>
          <w:tcPr>
            <w:tcW w:w="9016" w:type="dxa"/>
            <w:shd w:val="clear" w:color="auto" w:fill="F2F2F2" w:themeFill="background1" w:themeFillShade="F2"/>
          </w:tcPr>
          <w:p w14:paraId="2CB78163" w14:textId="77777777" w:rsidR="00B4017B" w:rsidRPr="000F6CD1" w:rsidRDefault="00B4017B" w:rsidP="003D6CFC">
            <w:pPr>
              <w:rPr>
                <w:b/>
                <w:bCs/>
                <w:sz w:val="24"/>
                <w:szCs w:val="32"/>
              </w:rPr>
            </w:pPr>
            <w:r w:rsidRPr="000F6CD1">
              <w:rPr>
                <w:b/>
                <w:bCs/>
                <w:sz w:val="24"/>
                <w:szCs w:val="32"/>
              </w:rPr>
              <w:t xml:space="preserve">Case Study 6: Does Not Meet the Eligibility Criteria </w:t>
            </w:r>
          </w:p>
          <w:p w14:paraId="16EB8CF5" w14:textId="77777777" w:rsidR="00B4017B" w:rsidRPr="000F6CD1" w:rsidRDefault="00B4017B" w:rsidP="003D6CFC">
            <w:pPr>
              <w:rPr>
                <w:b/>
                <w:bCs/>
                <w:sz w:val="24"/>
                <w:szCs w:val="32"/>
              </w:rPr>
            </w:pPr>
          </w:p>
          <w:p w14:paraId="658B4C3F" w14:textId="77777777" w:rsidR="00B4017B" w:rsidRPr="000F6CD1" w:rsidRDefault="00B4017B">
            <w:pPr>
              <w:rPr>
                <w:szCs w:val="28"/>
              </w:rPr>
            </w:pPr>
            <w:r w:rsidRPr="00014B25">
              <w:rPr>
                <w:b/>
                <w:bCs/>
                <w:szCs w:val="28"/>
              </w:rPr>
              <w:t>Pedro</w:t>
            </w:r>
            <w:r w:rsidRPr="000F6CD1">
              <w:rPr>
                <w:szCs w:val="28"/>
              </w:rPr>
              <w:t xml:space="preserve">, aged 59, has been living alone in a self-contained house in a caravan park for nearly seven years. Three years ago, Pedro was diagnosed with stage III colon cancer. He underwent surgery and chemotherapy, and after a period of recovery, he believed he was in remission. Unfortunately, Pedro’s cancer returned, and he was diagnosed with stage IV colon cancer. He is now in the palliative stage. Despite his diagnosis. Pedro remains fully independent and manages his pain with medication. Pedro enjoys living in the caravan park community and receives regular visits from his family. Pedro does not have any care needs, lives independently in stable housing that meets housing standards, and is able to perform daily activities without assistance. </w:t>
            </w:r>
          </w:p>
          <w:p w14:paraId="2BF90466" w14:textId="77777777" w:rsidR="00B4017B" w:rsidRPr="000F6CD1" w:rsidRDefault="00B4017B">
            <w:pPr>
              <w:rPr>
                <w:szCs w:val="28"/>
              </w:rPr>
            </w:pPr>
          </w:p>
          <w:p w14:paraId="0B2A8C08" w14:textId="03980E33" w:rsidR="00B4017B" w:rsidRPr="000F6CD1" w:rsidRDefault="00B4017B">
            <w:pPr>
              <w:rPr>
                <w:szCs w:val="28"/>
              </w:rPr>
            </w:pPr>
            <w:r w:rsidRPr="000F6CD1">
              <w:rPr>
                <w:szCs w:val="28"/>
              </w:rPr>
              <w:t xml:space="preserve">Pedro does not meet the criteria for accessing Australian Government aged care services because Pedro: </w:t>
            </w:r>
            <w:r w:rsidR="00014B25">
              <w:rPr>
                <w:szCs w:val="28"/>
              </w:rPr>
              <w:br/>
            </w:r>
          </w:p>
          <w:p w14:paraId="7A4AD39D" w14:textId="77777777" w:rsidR="00B4017B" w:rsidRPr="000F6CD1" w:rsidRDefault="00B4017B" w:rsidP="00014B25">
            <w:pPr>
              <w:pStyle w:val="ListParagraph"/>
              <w:numPr>
                <w:ilvl w:val="0"/>
                <w:numId w:val="499"/>
              </w:numPr>
              <w:spacing w:after="100"/>
              <w:ind w:hanging="357"/>
              <w:contextualSpacing w:val="0"/>
              <w:rPr>
                <w:szCs w:val="28"/>
              </w:rPr>
            </w:pPr>
            <w:r w:rsidRPr="000F6CD1">
              <w:rPr>
                <w:szCs w:val="28"/>
              </w:rPr>
              <w:t xml:space="preserve">Is aged 50 or older: Pedro is 59 years old. </w:t>
            </w:r>
          </w:p>
          <w:p w14:paraId="23A51D88" w14:textId="77777777" w:rsidR="00B4017B" w:rsidRPr="000F6CD1" w:rsidRDefault="00B4017B" w:rsidP="00014B25">
            <w:pPr>
              <w:pStyle w:val="ListParagraph"/>
              <w:numPr>
                <w:ilvl w:val="0"/>
                <w:numId w:val="499"/>
              </w:numPr>
              <w:spacing w:after="100"/>
              <w:ind w:hanging="357"/>
              <w:contextualSpacing w:val="0"/>
              <w:rPr>
                <w:szCs w:val="28"/>
              </w:rPr>
            </w:pPr>
            <w:r w:rsidRPr="000F6CD1">
              <w:rPr>
                <w:szCs w:val="28"/>
              </w:rPr>
              <w:lastRenderedPageBreak/>
              <w:t xml:space="preserve">Has prematurely aged and requires services for their aged care needs: Although Pedro has stage IV colon cancer, he remains fully independent and does not have any care needs related to ageing. </w:t>
            </w:r>
          </w:p>
          <w:p w14:paraId="106AA8AD" w14:textId="77777777" w:rsidR="00B4017B" w:rsidRPr="000F6CD1" w:rsidRDefault="00B4017B" w:rsidP="00014B25">
            <w:pPr>
              <w:pStyle w:val="ListParagraph"/>
              <w:numPr>
                <w:ilvl w:val="0"/>
                <w:numId w:val="499"/>
              </w:numPr>
              <w:spacing w:after="100"/>
              <w:ind w:hanging="357"/>
              <w:contextualSpacing w:val="0"/>
              <w:rPr>
                <w:szCs w:val="28"/>
              </w:rPr>
            </w:pPr>
            <w:r w:rsidRPr="000F6CD1">
              <w:rPr>
                <w:szCs w:val="28"/>
              </w:rPr>
              <w:t xml:space="preserve">Has the following living arrangements: </w:t>
            </w:r>
          </w:p>
          <w:p w14:paraId="66D5A626" w14:textId="77777777" w:rsidR="00B4017B" w:rsidRPr="000F6CD1" w:rsidRDefault="00B4017B" w:rsidP="00014B25">
            <w:pPr>
              <w:pStyle w:val="ListParagraph"/>
              <w:numPr>
                <w:ilvl w:val="0"/>
                <w:numId w:val="500"/>
              </w:numPr>
              <w:spacing w:after="100"/>
              <w:ind w:left="1173" w:hanging="425"/>
              <w:contextualSpacing w:val="0"/>
              <w:rPr>
                <w:szCs w:val="28"/>
              </w:rPr>
            </w:pPr>
            <w:r w:rsidRPr="000F6CD1">
              <w:rPr>
                <w:szCs w:val="28"/>
              </w:rPr>
              <w:t xml:space="preserve">Lacks any adequate roof over their head: Not applicable, as Pedro lives in a self-contained house in a caravan park. </w:t>
            </w:r>
          </w:p>
          <w:p w14:paraId="2D53ED93" w14:textId="77777777" w:rsidR="00B4017B" w:rsidRPr="000F6CD1" w:rsidRDefault="00B4017B" w:rsidP="00014B25">
            <w:pPr>
              <w:pStyle w:val="ListParagraph"/>
              <w:numPr>
                <w:ilvl w:val="0"/>
                <w:numId w:val="500"/>
              </w:numPr>
              <w:spacing w:after="100"/>
              <w:ind w:left="1173" w:hanging="425"/>
              <w:contextualSpacing w:val="0"/>
              <w:rPr>
                <w:szCs w:val="28"/>
              </w:rPr>
            </w:pPr>
            <w:r w:rsidRPr="000F6CD1">
              <w:rPr>
                <w:szCs w:val="28"/>
              </w:rPr>
              <w:t xml:space="preserve">Has no security of tenure or moves between various forms of temporary of medium-term shelter: Not applicable, as Pedro has been living in stable housing for nearly seven years. </w:t>
            </w:r>
          </w:p>
          <w:p w14:paraId="07CDFE37" w14:textId="77777777" w:rsidR="00B4017B" w:rsidRPr="000F6CD1" w:rsidRDefault="00B4017B" w:rsidP="00014B25">
            <w:pPr>
              <w:pStyle w:val="ListParagraph"/>
              <w:numPr>
                <w:ilvl w:val="0"/>
                <w:numId w:val="500"/>
              </w:numPr>
              <w:spacing w:after="100"/>
              <w:ind w:left="1173" w:hanging="425"/>
              <w:contextualSpacing w:val="0"/>
              <w:rPr>
                <w:szCs w:val="28"/>
              </w:rPr>
            </w:pPr>
            <w:r w:rsidRPr="000F6CD1">
              <w:rPr>
                <w:szCs w:val="28"/>
              </w:rPr>
              <w:t xml:space="preserve">Staying in accommodation that falls below minimum community standards: Not applicable, as Pedro’s housing meets standards, and he lives independently. </w:t>
            </w:r>
          </w:p>
          <w:p w14:paraId="049E4758" w14:textId="77777777" w:rsidR="00B4017B" w:rsidRPr="000F6CD1" w:rsidRDefault="00B4017B" w:rsidP="00014B25">
            <w:pPr>
              <w:pStyle w:val="ListParagraph"/>
              <w:numPr>
                <w:ilvl w:val="0"/>
                <w:numId w:val="499"/>
              </w:numPr>
              <w:spacing w:after="100"/>
              <w:ind w:hanging="357"/>
              <w:contextualSpacing w:val="0"/>
              <w:rPr>
                <w:szCs w:val="28"/>
              </w:rPr>
            </w:pPr>
            <w:r w:rsidRPr="000F6CD1">
              <w:rPr>
                <w:szCs w:val="28"/>
              </w:rPr>
              <w:t xml:space="preserve">Does not have the means to change their living arrangements: This is not explicitly mentioned in Pedro’s case, but his current living situation is stable and adequate. </w:t>
            </w:r>
          </w:p>
          <w:p w14:paraId="4723B9C2" w14:textId="77777777" w:rsidR="00B4017B" w:rsidRPr="000F6CD1" w:rsidRDefault="00B4017B">
            <w:pPr>
              <w:rPr>
                <w:szCs w:val="28"/>
              </w:rPr>
            </w:pPr>
          </w:p>
          <w:p w14:paraId="409A298F" w14:textId="77777777" w:rsidR="00B4017B" w:rsidRPr="000F6CD1" w:rsidRDefault="00B4017B">
            <w:pPr>
              <w:rPr>
                <w:szCs w:val="28"/>
              </w:rPr>
            </w:pPr>
            <w:r w:rsidRPr="000F6CD1">
              <w:rPr>
                <w:szCs w:val="28"/>
              </w:rPr>
              <w:t xml:space="preserve">Pedro does not seem to meet the criteria outlined in the definition for accessing aged care services, primarily because he does not have any aged care needs and lives independently in stable housing. </w:t>
            </w:r>
          </w:p>
        </w:tc>
      </w:tr>
    </w:tbl>
    <w:p w14:paraId="2C220272" w14:textId="77777777" w:rsidR="00B4017B" w:rsidRPr="000F6CD1" w:rsidRDefault="00B4017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5EDBD03E" w14:textId="77777777" w:rsidTr="0087276B">
        <w:tc>
          <w:tcPr>
            <w:tcW w:w="9016" w:type="dxa"/>
            <w:shd w:val="clear" w:color="auto" w:fill="F2F2F2" w:themeFill="background1" w:themeFillShade="F2"/>
          </w:tcPr>
          <w:p w14:paraId="2FC4A090" w14:textId="77777777" w:rsidR="00B4017B" w:rsidRPr="000F6CD1" w:rsidRDefault="00B4017B" w:rsidP="003D6CFC">
            <w:pPr>
              <w:rPr>
                <w:b/>
                <w:bCs/>
                <w:sz w:val="24"/>
                <w:szCs w:val="32"/>
              </w:rPr>
            </w:pPr>
            <w:r w:rsidRPr="000F6CD1">
              <w:rPr>
                <w:b/>
                <w:bCs/>
                <w:sz w:val="24"/>
                <w:szCs w:val="32"/>
              </w:rPr>
              <w:t xml:space="preserve">Case Study 7: Does Not Meet the Eligibility Criteria </w:t>
            </w:r>
          </w:p>
          <w:p w14:paraId="2550834A" w14:textId="77777777" w:rsidR="00B4017B" w:rsidRPr="000F6CD1" w:rsidRDefault="00B4017B" w:rsidP="003D6CFC">
            <w:pPr>
              <w:rPr>
                <w:b/>
                <w:bCs/>
                <w:sz w:val="24"/>
                <w:szCs w:val="32"/>
              </w:rPr>
            </w:pPr>
          </w:p>
          <w:p w14:paraId="1CC97298" w14:textId="30BC0B73" w:rsidR="00B4017B" w:rsidRPr="000F6CD1" w:rsidRDefault="00B4017B">
            <w:pPr>
              <w:rPr>
                <w:szCs w:val="28"/>
              </w:rPr>
            </w:pPr>
            <w:r w:rsidRPr="00014B25">
              <w:rPr>
                <w:b/>
                <w:bCs/>
                <w:szCs w:val="28"/>
              </w:rPr>
              <w:t xml:space="preserve">Louise </w:t>
            </w:r>
            <w:r w:rsidRPr="000F6CD1">
              <w:rPr>
                <w:szCs w:val="28"/>
              </w:rPr>
              <w:t>is 61 years of age. Louise’s husband passed away three years ago and now lives by herself in a two-story house in a small community. Louise was in fairly good health condition but recently had an accident and was admitted to hospital where she underwent surgery. After a long recovery period, and still requiring visits to the physio, Louise is back home. Louise complained that she is not able to access the second floor where she has her bedroom. Louise was a teacher before she had ki</w:t>
            </w:r>
            <w:r w:rsidR="00002824">
              <w:rPr>
                <w:szCs w:val="28"/>
              </w:rPr>
              <w:t>d</w:t>
            </w:r>
            <w:r w:rsidRPr="000F6CD1">
              <w:rPr>
                <w:szCs w:val="28"/>
              </w:rPr>
              <w:t xml:space="preserve">s and left her job to dedicate her time to </w:t>
            </w:r>
            <w:r w:rsidR="002F1B0D">
              <w:rPr>
                <w:szCs w:val="28"/>
              </w:rPr>
              <w:t>her</w:t>
            </w:r>
            <w:r w:rsidRPr="000F6CD1">
              <w:rPr>
                <w:szCs w:val="28"/>
              </w:rPr>
              <w:t xml:space="preserve"> family. Louise is the owner of the house where she lives and </w:t>
            </w:r>
            <w:r w:rsidR="00C6665B">
              <w:rPr>
                <w:szCs w:val="28"/>
              </w:rPr>
              <w:t>has f</w:t>
            </w:r>
            <w:r w:rsidRPr="000F6CD1">
              <w:rPr>
                <w:szCs w:val="28"/>
              </w:rPr>
              <w:t xml:space="preserve">unds available, but she is struggling to live in the current house due to residual needs from the accident. </w:t>
            </w:r>
          </w:p>
          <w:p w14:paraId="773DFA59" w14:textId="77777777" w:rsidR="00B4017B" w:rsidRPr="000F6CD1" w:rsidRDefault="00B4017B">
            <w:pPr>
              <w:rPr>
                <w:szCs w:val="28"/>
              </w:rPr>
            </w:pPr>
          </w:p>
          <w:p w14:paraId="1FBA0CF7" w14:textId="13B27C47" w:rsidR="00B4017B" w:rsidRPr="000F6CD1" w:rsidRDefault="00B4017B">
            <w:pPr>
              <w:rPr>
                <w:szCs w:val="28"/>
              </w:rPr>
            </w:pPr>
            <w:r w:rsidRPr="000F6CD1">
              <w:rPr>
                <w:szCs w:val="28"/>
              </w:rPr>
              <w:t xml:space="preserve">Louise does not meet the criteria for accessing Australian Government aged care services because Louise: </w:t>
            </w:r>
            <w:r w:rsidR="00565CB3">
              <w:rPr>
                <w:szCs w:val="28"/>
              </w:rPr>
              <w:br/>
            </w:r>
          </w:p>
          <w:p w14:paraId="3F90111C" w14:textId="77777777" w:rsidR="00B4017B" w:rsidRPr="000F6CD1" w:rsidRDefault="00B4017B" w:rsidP="00565CB3">
            <w:pPr>
              <w:pStyle w:val="ListParagraph"/>
              <w:numPr>
                <w:ilvl w:val="0"/>
                <w:numId w:val="501"/>
              </w:numPr>
              <w:spacing w:after="100"/>
              <w:ind w:hanging="357"/>
              <w:contextualSpacing w:val="0"/>
              <w:rPr>
                <w:szCs w:val="28"/>
              </w:rPr>
            </w:pPr>
            <w:r w:rsidRPr="000F6CD1">
              <w:rPr>
                <w:szCs w:val="28"/>
              </w:rPr>
              <w:t xml:space="preserve">Is aged 50 years or older: Louise is 61 years old. </w:t>
            </w:r>
          </w:p>
          <w:p w14:paraId="14ED2D8D" w14:textId="77777777" w:rsidR="00B4017B" w:rsidRPr="000F6CD1" w:rsidRDefault="00B4017B" w:rsidP="00565CB3">
            <w:pPr>
              <w:pStyle w:val="ListParagraph"/>
              <w:numPr>
                <w:ilvl w:val="0"/>
                <w:numId w:val="501"/>
              </w:numPr>
              <w:spacing w:after="100"/>
              <w:ind w:hanging="357"/>
              <w:contextualSpacing w:val="0"/>
              <w:rPr>
                <w:szCs w:val="28"/>
              </w:rPr>
            </w:pPr>
            <w:r w:rsidRPr="000F6CD1">
              <w:rPr>
                <w:szCs w:val="28"/>
              </w:rPr>
              <w:t xml:space="preserve">Has prematurely aged and requires services for their aged care needs: Louise has residual needs from her accident, but this does not necessarily indicate premature ageing or a need for aged care services specifically related to ageing. </w:t>
            </w:r>
          </w:p>
          <w:p w14:paraId="69F92D8C" w14:textId="77777777" w:rsidR="00B4017B" w:rsidRPr="000F6CD1" w:rsidRDefault="00B4017B" w:rsidP="00565CB3">
            <w:pPr>
              <w:pStyle w:val="ListParagraph"/>
              <w:numPr>
                <w:ilvl w:val="0"/>
                <w:numId w:val="501"/>
              </w:numPr>
              <w:spacing w:after="100"/>
              <w:ind w:hanging="357"/>
              <w:contextualSpacing w:val="0"/>
              <w:rPr>
                <w:szCs w:val="28"/>
              </w:rPr>
            </w:pPr>
            <w:r w:rsidRPr="000F6CD1">
              <w:rPr>
                <w:szCs w:val="28"/>
              </w:rPr>
              <w:t xml:space="preserve">Has the following living arrangements: </w:t>
            </w:r>
          </w:p>
          <w:p w14:paraId="17553DF6" w14:textId="77777777" w:rsidR="00B4017B" w:rsidRPr="000F6CD1" w:rsidRDefault="00B4017B" w:rsidP="00600832">
            <w:pPr>
              <w:pStyle w:val="ListParagraph"/>
              <w:numPr>
                <w:ilvl w:val="0"/>
                <w:numId w:val="502"/>
              </w:numPr>
              <w:spacing w:after="100"/>
              <w:ind w:left="1173" w:hanging="425"/>
              <w:contextualSpacing w:val="0"/>
              <w:rPr>
                <w:szCs w:val="28"/>
              </w:rPr>
            </w:pPr>
            <w:r w:rsidRPr="000F6CD1">
              <w:rPr>
                <w:szCs w:val="28"/>
              </w:rPr>
              <w:t xml:space="preserve">Lacks any adequate roof over their head: Not applicable, as Louise lives in a two-story house. </w:t>
            </w:r>
          </w:p>
          <w:p w14:paraId="3C36C1A3" w14:textId="77777777" w:rsidR="00B4017B" w:rsidRPr="000F6CD1" w:rsidRDefault="00B4017B" w:rsidP="00600832">
            <w:pPr>
              <w:pStyle w:val="ListParagraph"/>
              <w:numPr>
                <w:ilvl w:val="0"/>
                <w:numId w:val="502"/>
              </w:numPr>
              <w:spacing w:after="100"/>
              <w:ind w:left="1173" w:hanging="425"/>
              <w:contextualSpacing w:val="0"/>
              <w:rPr>
                <w:szCs w:val="28"/>
              </w:rPr>
            </w:pPr>
            <w:r w:rsidRPr="000F6CD1">
              <w:rPr>
                <w:szCs w:val="28"/>
              </w:rPr>
              <w:t xml:space="preserve">Has no security of tenure or moves between various forms of temporary or medium-term shelter: Not applicable, as Louise owns her house. </w:t>
            </w:r>
          </w:p>
          <w:p w14:paraId="1BAF57B1" w14:textId="77777777" w:rsidR="00B4017B" w:rsidRPr="000F6CD1" w:rsidRDefault="00B4017B" w:rsidP="00600832">
            <w:pPr>
              <w:pStyle w:val="ListParagraph"/>
              <w:numPr>
                <w:ilvl w:val="0"/>
                <w:numId w:val="502"/>
              </w:numPr>
              <w:spacing w:after="100"/>
              <w:ind w:left="1173" w:hanging="425"/>
              <w:contextualSpacing w:val="0"/>
              <w:rPr>
                <w:szCs w:val="28"/>
              </w:rPr>
            </w:pPr>
            <w:r w:rsidRPr="000F6CD1">
              <w:rPr>
                <w:szCs w:val="28"/>
              </w:rPr>
              <w:t xml:space="preserve">Staying in accommodation that falls below minimum community standards: Not applicable, as her house does not fall below minimum community standards. </w:t>
            </w:r>
          </w:p>
          <w:p w14:paraId="30C3F419" w14:textId="77777777" w:rsidR="00B4017B" w:rsidRPr="000F6CD1" w:rsidRDefault="00B4017B" w:rsidP="00565CB3">
            <w:pPr>
              <w:pStyle w:val="ListParagraph"/>
              <w:numPr>
                <w:ilvl w:val="0"/>
                <w:numId w:val="501"/>
              </w:numPr>
              <w:spacing w:after="100"/>
              <w:ind w:hanging="357"/>
              <w:contextualSpacing w:val="0"/>
              <w:rPr>
                <w:szCs w:val="28"/>
              </w:rPr>
            </w:pPr>
            <w:r w:rsidRPr="000F6CD1">
              <w:rPr>
                <w:szCs w:val="28"/>
              </w:rPr>
              <w:lastRenderedPageBreak/>
              <w:t xml:space="preserve">Does not have the means to change their living arrangements: Louise has assets and funds available, indicating she has the means to make necessary changes to her living arrangements. </w:t>
            </w:r>
          </w:p>
          <w:p w14:paraId="687831E8" w14:textId="77777777" w:rsidR="00B4017B" w:rsidRPr="000F6CD1" w:rsidRDefault="00B4017B">
            <w:pPr>
              <w:rPr>
                <w:szCs w:val="28"/>
              </w:rPr>
            </w:pPr>
          </w:p>
          <w:p w14:paraId="661F6E6A" w14:textId="5E0942BD" w:rsidR="00B4017B" w:rsidRPr="000F6CD1" w:rsidRDefault="00B4017B">
            <w:pPr>
              <w:rPr>
                <w:szCs w:val="28"/>
              </w:rPr>
            </w:pPr>
            <w:r w:rsidRPr="000F6CD1">
              <w:rPr>
                <w:szCs w:val="28"/>
              </w:rPr>
              <w:t>Louise does not mee</w:t>
            </w:r>
            <w:r w:rsidR="001F396E">
              <w:rPr>
                <w:szCs w:val="28"/>
              </w:rPr>
              <w:t>t</w:t>
            </w:r>
            <w:r w:rsidRPr="000F6CD1">
              <w:rPr>
                <w:szCs w:val="28"/>
              </w:rPr>
              <w:t xml:space="preserve"> the criteria outlined in the definition for accessing aged care services. </w:t>
            </w:r>
          </w:p>
        </w:tc>
      </w:tr>
    </w:tbl>
    <w:p w14:paraId="31D0BE67" w14:textId="77777777" w:rsidR="00B4017B" w:rsidRPr="000F6CD1" w:rsidRDefault="00B4017B" w:rsidP="00AA3AE7"/>
    <w:tbl>
      <w:tblPr>
        <w:tblStyle w:val="TableGrid"/>
        <w:tblW w:w="0" w:type="auto"/>
        <w:shd w:val="clear" w:color="auto" w:fill="F2F2F2" w:themeFill="background1" w:themeFillShade="F2"/>
        <w:tblLook w:val="04A0" w:firstRow="1" w:lastRow="0" w:firstColumn="1" w:lastColumn="0" w:noHBand="0" w:noVBand="1"/>
      </w:tblPr>
      <w:tblGrid>
        <w:gridCol w:w="8766"/>
      </w:tblGrid>
      <w:tr w:rsidR="00B4017B" w:rsidRPr="000F6CD1" w14:paraId="003B2E66" w14:textId="77777777" w:rsidTr="0087276B">
        <w:tc>
          <w:tcPr>
            <w:tcW w:w="9016" w:type="dxa"/>
            <w:shd w:val="clear" w:color="auto" w:fill="F2F2F2" w:themeFill="background1" w:themeFillShade="F2"/>
          </w:tcPr>
          <w:p w14:paraId="30255421" w14:textId="77777777" w:rsidR="00B4017B" w:rsidRPr="000F6CD1" w:rsidRDefault="00B4017B" w:rsidP="003D6CFC">
            <w:pPr>
              <w:rPr>
                <w:b/>
                <w:bCs/>
                <w:sz w:val="24"/>
                <w:szCs w:val="32"/>
              </w:rPr>
            </w:pPr>
            <w:r w:rsidRPr="000F6CD1">
              <w:rPr>
                <w:b/>
                <w:bCs/>
                <w:sz w:val="24"/>
                <w:szCs w:val="32"/>
              </w:rPr>
              <w:t xml:space="preserve">Case Study 8: Does Not Meet the Eligibility Criteria </w:t>
            </w:r>
          </w:p>
          <w:p w14:paraId="2319403F" w14:textId="77777777" w:rsidR="00B4017B" w:rsidRPr="000F6CD1" w:rsidRDefault="00B4017B" w:rsidP="003D6CFC">
            <w:pPr>
              <w:rPr>
                <w:b/>
                <w:bCs/>
                <w:sz w:val="24"/>
                <w:szCs w:val="32"/>
              </w:rPr>
            </w:pPr>
          </w:p>
          <w:p w14:paraId="1AC26497" w14:textId="2AD44833" w:rsidR="00B4017B" w:rsidRPr="000F6CD1" w:rsidRDefault="00B4017B">
            <w:pPr>
              <w:rPr>
                <w:szCs w:val="28"/>
              </w:rPr>
            </w:pPr>
            <w:r w:rsidRPr="007A7839">
              <w:rPr>
                <w:b/>
                <w:bCs/>
                <w:szCs w:val="28"/>
              </w:rPr>
              <w:t>David</w:t>
            </w:r>
            <w:r w:rsidRPr="000F6CD1">
              <w:rPr>
                <w:szCs w:val="28"/>
              </w:rPr>
              <w:t xml:space="preserve"> is 58 years of age and lives permanently in a granny flat on his parent’s property. David has a range of medical conditions, including severe obesity, type 2 diabetes and diabetic neuropathy, among others. David has had multiple hospital admissions in previous years and is currently in hospital following a five-week admission for the management of fluid retention. However, the hospital has now found David is medically stable for discharge. David has no assets and no other source of income apart from the Disability Support Pension. </w:t>
            </w:r>
          </w:p>
          <w:p w14:paraId="2E99B512" w14:textId="77777777" w:rsidR="00B4017B" w:rsidRPr="000F6CD1" w:rsidRDefault="00B4017B">
            <w:pPr>
              <w:rPr>
                <w:szCs w:val="28"/>
              </w:rPr>
            </w:pPr>
          </w:p>
          <w:p w14:paraId="59C44090" w14:textId="77777777" w:rsidR="00B4017B" w:rsidRPr="000F6CD1" w:rsidRDefault="00B4017B">
            <w:pPr>
              <w:rPr>
                <w:szCs w:val="28"/>
              </w:rPr>
            </w:pPr>
            <w:r w:rsidRPr="000F6CD1">
              <w:rPr>
                <w:szCs w:val="28"/>
              </w:rPr>
              <w:t xml:space="preserve">David does not meet the criteria for accessing Australian Government aged care services because David: </w:t>
            </w:r>
          </w:p>
          <w:p w14:paraId="58EDCA06" w14:textId="77777777" w:rsidR="00B4017B" w:rsidRPr="000F6CD1" w:rsidRDefault="00B4017B">
            <w:pPr>
              <w:rPr>
                <w:szCs w:val="28"/>
              </w:rPr>
            </w:pPr>
          </w:p>
          <w:p w14:paraId="356C2FBB" w14:textId="77777777" w:rsidR="00B4017B" w:rsidRPr="000F6CD1" w:rsidRDefault="00B4017B" w:rsidP="00600832">
            <w:pPr>
              <w:pStyle w:val="ListParagraph"/>
              <w:numPr>
                <w:ilvl w:val="0"/>
                <w:numId w:val="503"/>
              </w:numPr>
              <w:spacing w:after="100"/>
              <w:ind w:hanging="357"/>
              <w:contextualSpacing w:val="0"/>
              <w:rPr>
                <w:szCs w:val="28"/>
              </w:rPr>
            </w:pPr>
            <w:r w:rsidRPr="000F6CD1">
              <w:rPr>
                <w:szCs w:val="28"/>
              </w:rPr>
              <w:t xml:space="preserve">Is aged 50 or older: David is 58 years old. </w:t>
            </w:r>
          </w:p>
          <w:p w14:paraId="126FF3D3" w14:textId="77777777" w:rsidR="00B4017B" w:rsidRPr="000F6CD1" w:rsidRDefault="00B4017B" w:rsidP="00600832">
            <w:pPr>
              <w:pStyle w:val="ListParagraph"/>
              <w:numPr>
                <w:ilvl w:val="0"/>
                <w:numId w:val="503"/>
              </w:numPr>
              <w:spacing w:after="100"/>
              <w:ind w:hanging="357"/>
              <w:contextualSpacing w:val="0"/>
              <w:rPr>
                <w:szCs w:val="28"/>
              </w:rPr>
            </w:pPr>
            <w:r w:rsidRPr="000F6CD1">
              <w:rPr>
                <w:szCs w:val="28"/>
              </w:rPr>
              <w:t xml:space="preserve">Has prematurely aged and requires services for their aged care needs: David has multiple medical conditions, but the information does not indicate that he has prematurely aged or requires aged care services specifically related to ageing. David’s conditions appear to be medical rather than age-related. </w:t>
            </w:r>
          </w:p>
          <w:p w14:paraId="6BE9A5CA" w14:textId="77777777" w:rsidR="00B4017B" w:rsidRPr="000F6CD1" w:rsidRDefault="00B4017B" w:rsidP="00600832">
            <w:pPr>
              <w:pStyle w:val="ListParagraph"/>
              <w:numPr>
                <w:ilvl w:val="0"/>
                <w:numId w:val="503"/>
              </w:numPr>
              <w:spacing w:after="100"/>
              <w:ind w:hanging="357"/>
              <w:contextualSpacing w:val="0"/>
              <w:rPr>
                <w:szCs w:val="28"/>
              </w:rPr>
            </w:pPr>
            <w:r w:rsidRPr="000F6CD1">
              <w:rPr>
                <w:szCs w:val="28"/>
              </w:rPr>
              <w:t xml:space="preserve">Has the following living arrangements: </w:t>
            </w:r>
          </w:p>
          <w:p w14:paraId="7D8A22CD" w14:textId="77777777" w:rsidR="00B4017B" w:rsidRPr="000F6CD1" w:rsidRDefault="00B4017B" w:rsidP="00600832">
            <w:pPr>
              <w:pStyle w:val="ListParagraph"/>
              <w:numPr>
                <w:ilvl w:val="0"/>
                <w:numId w:val="504"/>
              </w:numPr>
              <w:spacing w:after="100"/>
              <w:ind w:left="1173" w:hanging="425"/>
              <w:contextualSpacing w:val="0"/>
              <w:rPr>
                <w:szCs w:val="28"/>
              </w:rPr>
            </w:pPr>
            <w:r w:rsidRPr="000F6CD1">
              <w:rPr>
                <w:szCs w:val="28"/>
              </w:rPr>
              <w:t xml:space="preserve">Lacks any adequate roof over their head: Not applicable, as David has access to a stable and adequate home living with his parents. </w:t>
            </w:r>
          </w:p>
          <w:p w14:paraId="37660C62" w14:textId="77777777" w:rsidR="00B4017B" w:rsidRPr="000F6CD1" w:rsidRDefault="00B4017B" w:rsidP="00600832">
            <w:pPr>
              <w:pStyle w:val="ListParagraph"/>
              <w:numPr>
                <w:ilvl w:val="0"/>
                <w:numId w:val="504"/>
              </w:numPr>
              <w:spacing w:after="100"/>
              <w:ind w:left="1173" w:hanging="425"/>
              <w:contextualSpacing w:val="0"/>
              <w:rPr>
                <w:szCs w:val="28"/>
              </w:rPr>
            </w:pPr>
            <w:r w:rsidRPr="000F6CD1">
              <w:rPr>
                <w:szCs w:val="28"/>
              </w:rPr>
              <w:t xml:space="preserve">Has no security of tenure or moves between various forms of temporary or medium-term shelter: Not applicable, as David has been living permanently with his parents. </w:t>
            </w:r>
          </w:p>
          <w:p w14:paraId="60F5D375" w14:textId="77777777" w:rsidR="00B4017B" w:rsidRPr="000F6CD1" w:rsidRDefault="00B4017B" w:rsidP="00600832">
            <w:pPr>
              <w:pStyle w:val="ListParagraph"/>
              <w:numPr>
                <w:ilvl w:val="0"/>
                <w:numId w:val="504"/>
              </w:numPr>
              <w:spacing w:after="100"/>
              <w:ind w:left="1173" w:hanging="425"/>
              <w:contextualSpacing w:val="0"/>
              <w:rPr>
                <w:szCs w:val="28"/>
              </w:rPr>
            </w:pPr>
            <w:r w:rsidRPr="000F6CD1">
              <w:rPr>
                <w:szCs w:val="28"/>
              </w:rPr>
              <w:t xml:space="preserve">Stays in accommodation that falls below minimum community standards: There is no indication that David’s accommodation falls below minimum standards. </w:t>
            </w:r>
          </w:p>
          <w:p w14:paraId="51BE10C3" w14:textId="77777777" w:rsidR="00B4017B" w:rsidRPr="000F6CD1" w:rsidRDefault="00B4017B" w:rsidP="00600832">
            <w:pPr>
              <w:pStyle w:val="ListParagraph"/>
              <w:numPr>
                <w:ilvl w:val="0"/>
                <w:numId w:val="503"/>
              </w:numPr>
              <w:spacing w:after="100"/>
              <w:ind w:hanging="357"/>
              <w:contextualSpacing w:val="0"/>
              <w:rPr>
                <w:szCs w:val="28"/>
              </w:rPr>
            </w:pPr>
            <w:r w:rsidRPr="000F6CD1">
              <w:rPr>
                <w:szCs w:val="28"/>
              </w:rPr>
              <w:t xml:space="preserve">Does not have the means to change their living arrangements: David has no assets and receives a small pension, indicating he lacks the financial means to change his living arrangements. </w:t>
            </w:r>
          </w:p>
          <w:p w14:paraId="0395D9D7" w14:textId="77777777" w:rsidR="00B4017B" w:rsidRPr="000F6CD1" w:rsidRDefault="00B4017B">
            <w:pPr>
              <w:rPr>
                <w:szCs w:val="28"/>
              </w:rPr>
            </w:pPr>
          </w:p>
          <w:p w14:paraId="26D2CE25" w14:textId="77777777" w:rsidR="00B4017B" w:rsidRPr="000F6CD1" w:rsidRDefault="00B4017B">
            <w:pPr>
              <w:rPr>
                <w:szCs w:val="28"/>
              </w:rPr>
            </w:pPr>
            <w:r w:rsidRPr="000F6CD1">
              <w:rPr>
                <w:szCs w:val="28"/>
              </w:rPr>
              <w:t xml:space="preserve">David does not meet the criteria outlined in the definition for accessing aged care services, primarily because David does not have any care needs related to ageing, nor has he prematurely aged due to experiencing homelessness. </w:t>
            </w:r>
          </w:p>
        </w:tc>
      </w:tr>
    </w:tbl>
    <w:p w14:paraId="796FA112" w14:textId="77777777" w:rsidR="00B4017B" w:rsidRPr="000F6CD1" w:rsidRDefault="00B4017B" w:rsidP="00AA3AE7"/>
    <w:p w14:paraId="4A831B36" w14:textId="77777777" w:rsidR="00B4017B" w:rsidRPr="000F6CD1" w:rsidRDefault="00B4017B">
      <w:r w:rsidRPr="000F6CD1">
        <w:br w:type="page"/>
      </w:r>
    </w:p>
    <w:p w14:paraId="00A3C00E" w14:textId="2EC1D686" w:rsidR="00B4017B" w:rsidRPr="000F6CD1" w:rsidRDefault="007B56D6" w:rsidP="00AC3600">
      <w:pPr>
        <w:pStyle w:val="H1"/>
      </w:pPr>
      <w:bookmarkStart w:id="1170" w:name="_Toc233282537"/>
      <w:r>
        <w:rPr>
          <w:noProof/>
          <w14:ligatures w14:val="standardContextual"/>
        </w:rPr>
        <w:lastRenderedPageBreak/>
        <w:drawing>
          <wp:anchor distT="0" distB="0" distL="114300" distR="114300" simplePos="0" relativeHeight="251658307" behindDoc="0" locked="0" layoutInCell="1" allowOverlap="1" wp14:anchorId="5D4FABD8" wp14:editId="51DAC7A8">
            <wp:simplePos x="0" y="0"/>
            <wp:positionH relativeFrom="margin">
              <wp:align>left</wp:align>
            </wp:positionH>
            <wp:positionV relativeFrom="margin">
              <wp:posOffset>9197</wp:posOffset>
            </wp:positionV>
            <wp:extent cx="367200" cy="403200"/>
            <wp:effectExtent l="0" t="0" r="0" b="0"/>
            <wp:wrapSquare wrapText="bothSides"/>
            <wp:docPr id="1443450565" name="Picture 1" descr="A bell with an exclamation mark that denotes a significant change in information from version 8.2 of the Aged Care Assess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50565" name="Picture 1" descr="A bell with an exclamation mark that denotes a significant change in information from version 8.2 of the Aged Care Assessment Manual."/>
                    <pic:cNvPicPr/>
                  </pic:nvPicPr>
                  <pic:blipFill>
                    <a:blip r:embed="rId45">
                      <a:extLst>
                        <a:ext uri="{28A0092B-C50C-407E-A947-70E740481C1C}">
                          <a14:useLocalDpi xmlns:a14="http://schemas.microsoft.com/office/drawing/2010/main" val="0"/>
                        </a:ext>
                      </a:extLst>
                    </a:blip>
                    <a:stretch>
                      <a:fillRect/>
                    </a:stretch>
                  </pic:blipFill>
                  <pic:spPr>
                    <a:xfrm>
                      <a:off x="0" y="0"/>
                      <a:ext cx="367200" cy="403200"/>
                    </a:xfrm>
                    <a:prstGeom prst="rect">
                      <a:avLst/>
                    </a:prstGeom>
                  </pic:spPr>
                </pic:pic>
              </a:graphicData>
            </a:graphic>
            <wp14:sizeRelH relativeFrom="margin">
              <wp14:pctWidth>0</wp14:pctWidth>
            </wp14:sizeRelH>
            <wp14:sizeRelV relativeFrom="margin">
              <wp14:pctHeight>0</wp14:pctHeight>
            </wp14:sizeRelV>
          </wp:anchor>
        </w:drawing>
      </w:r>
      <w:r w:rsidR="00B4017B" w:rsidRPr="000F6CD1">
        <w:t>APPENDIX I – IAT amendments guidance</w:t>
      </w:r>
      <w:bookmarkEnd w:id="1170"/>
    </w:p>
    <w:p w14:paraId="250B97A7" w14:textId="77777777" w:rsidR="00B4017B" w:rsidRPr="000F6CD1" w:rsidRDefault="00B4017B">
      <w:pPr>
        <w:rPr>
          <w:szCs w:val="22"/>
        </w:rPr>
      </w:pPr>
      <w:r w:rsidRPr="000F6CD1">
        <w:rPr>
          <w:b/>
          <w:bCs/>
        </w:rPr>
        <w:t xml:space="preserve">Guidance for Delegates and Assessors on completing the IAT Amendments Notes </w:t>
      </w:r>
      <w:r w:rsidRPr="000F6CD1">
        <w:rPr>
          <w:b/>
          <w:bCs/>
          <w:szCs w:val="22"/>
        </w:rPr>
        <w:t>Template</w:t>
      </w:r>
      <w:r w:rsidRPr="000F6CD1">
        <w:rPr>
          <w:szCs w:val="22"/>
        </w:rPr>
        <w:t> </w:t>
      </w:r>
    </w:p>
    <w:p w14:paraId="48C5AED8" w14:textId="77777777" w:rsidR="00B4017B" w:rsidRPr="000F6CD1" w:rsidRDefault="00B4017B">
      <w:pPr>
        <w:rPr>
          <w:szCs w:val="22"/>
        </w:rPr>
      </w:pPr>
      <w:r w:rsidRPr="000F6CD1">
        <w:rPr>
          <w:szCs w:val="22"/>
        </w:rPr>
        <w:t>When returning an assessment for amendment, delegates and assessors must complete the IAT amendments notes template to clearly document all identified issues and changes. This ensures transparency, supports consistency, and enables effective independent review. </w:t>
      </w:r>
    </w:p>
    <w:p w14:paraId="62D17D41" w14:textId="77777777" w:rsidR="00B4017B" w:rsidRPr="000F6CD1" w:rsidRDefault="00B4017B">
      <w:pPr>
        <w:rPr>
          <w:szCs w:val="22"/>
        </w:rPr>
      </w:pPr>
      <w:r w:rsidRPr="000F6CD1">
        <w:rPr>
          <w:b/>
          <w:bCs/>
          <w:szCs w:val="22"/>
        </w:rPr>
        <w:t>How to Complete the IAT Amendments Notes Template (Delegates)</w:t>
      </w:r>
      <w:r w:rsidRPr="000F6CD1">
        <w:rPr>
          <w:szCs w:val="22"/>
        </w:rPr>
        <w:t> </w:t>
      </w:r>
    </w:p>
    <w:p w14:paraId="19BF149C" w14:textId="77777777" w:rsidR="00B4017B" w:rsidRPr="000F6CD1" w:rsidRDefault="00B4017B">
      <w:pPr>
        <w:rPr>
          <w:szCs w:val="22"/>
        </w:rPr>
      </w:pPr>
      <w:r w:rsidRPr="000F6CD1">
        <w:rPr>
          <w:szCs w:val="22"/>
        </w:rPr>
        <w:t>For each issue identified, delegates must record the following: </w:t>
      </w:r>
    </w:p>
    <w:p w14:paraId="52867106" w14:textId="77777777" w:rsidR="00B4017B" w:rsidRPr="000F6CD1" w:rsidRDefault="00B4017B">
      <w:pPr>
        <w:rPr>
          <w:szCs w:val="22"/>
        </w:rPr>
      </w:pPr>
      <w:r w:rsidRPr="000F6CD1">
        <w:rPr>
          <w:b/>
          <w:bCs/>
          <w:szCs w:val="22"/>
        </w:rPr>
        <w:t>1. Required Amendment</w:t>
      </w:r>
      <w:r w:rsidRPr="000F6CD1">
        <w:rPr>
          <w:szCs w:val="22"/>
        </w:rPr>
        <w:t> </w:t>
      </w:r>
      <w:r w:rsidRPr="000F6CD1">
        <w:rPr>
          <w:szCs w:val="22"/>
        </w:rPr>
        <w:br/>
        <w:t>Clearly outline what needs to be corrected: </w:t>
      </w:r>
    </w:p>
    <w:p w14:paraId="0AAAD08B" w14:textId="77777777" w:rsidR="00B4017B" w:rsidRPr="000F6CD1" w:rsidRDefault="00B4017B" w:rsidP="00B4017B">
      <w:pPr>
        <w:pStyle w:val="NoSpacing"/>
        <w:numPr>
          <w:ilvl w:val="0"/>
          <w:numId w:val="616"/>
        </w:numPr>
        <w:rPr>
          <w:rFonts w:ascii="Arial" w:hAnsi="Arial" w:cs="Arial"/>
          <w:sz w:val="22"/>
          <w:szCs w:val="22"/>
        </w:rPr>
      </w:pPr>
      <w:r w:rsidRPr="000F6CD1">
        <w:rPr>
          <w:rFonts w:ascii="Arial" w:hAnsi="Arial" w:cs="Arial"/>
          <w:sz w:val="22"/>
          <w:szCs w:val="22"/>
        </w:rPr>
        <w:t>Specify the relevant domain, section, or field </w:t>
      </w:r>
    </w:p>
    <w:p w14:paraId="560F2469" w14:textId="77777777" w:rsidR="00B4017B" w:rsidRPr="000F6CD1" w:rsidRDefault="00B4017B" w:rsidP="00B4017B">
      <w:pPr>
        <w:pStyle w:val="NoSpacing"/>
        <w:numPr>
          <w:ilvl w:val="0"/>
          <w:numId w:val="616"/>
        </w:numPr>
        <w:rPr>
          <w:rFonts w:ascii="Arial" w:hAnsi="Arial" w:cs="Arial"/>
          <w:sz w:val="22"/>
          <w:szCs w:val="22"/>
        </w:rPr>
      </w:pPr>
      <w:r w:rsidRPr="000F6CD1">
        <w:rPr>
          <w:rFonts w:ascii="Arial" w:hAnsi="Arial" w:cs="Arial"/>
          <w:sz w:val="22"/>
          <w:szCs w:val="22"/>
        </w:rPr>
        <w:t>Clearly state what needs to be changed, added, or clarified </w:t>
      </w:r>
    </w:p>
    <w:p w14:paraId="1DF4A7AA" w14:textId="77777777" w:rsidR="00B4017B" w:rsidRPr="000F6CD1" w:rsidRDefault="00B4017B" w:rsidP="00B4017B">
      <w:pPr>
        <w:pStyle w:val="NoSpacing"/>
        <w:numPr>
          <w:ilvl w:val="0"/>
          <w:numId w:val="616"/>
        </w:numPr>
        <w:rPr>
          <w:rFonts w:ascii="Arial" w:hAnsi="Arial" w:cs="Arial"/>
          <w:sz w:val="22"/>
          <w:szCs w:val="22"/>
        </w:rPr>
      </w:pPr>
      <w:r w:rsidRPr="000F6CD1">
        <w:rPr>
          <w:rFonts w:ascii="Arial" w:hAnsi="Arial" w:cs="Arial"/>
          <w:sz w:val="22"/>
          <w:szCs w:val="22"/>
        </w:rPr>
        <w:t>Where applicable, notes should capture any offline discussions, ensuring entries remain concise and focused </w:t>
      </w:r>
    </w:p>
    <w:p w14:paraId="4DD0DE3A" w14:textId="77777777" w:rsidR="00B4017B" w:rsidRPr="000F6CD1" w:rsidRDefault="00B4017B">
      <w:pPr>
        <w:pStyle w:val="NoSpacing"/>
        <w:rPr>
          <w:rFonts w:ascii="Arial" w:hAnsi="Arial" w:cs="Arial"/>
          <w:sz w:val="22"/>
          <w:szCs w:val="22"/>
        </w:rPr>
      </w:pPr>
    </w:p>
    <w:p w14:paraId="60EA3D1F" w14:textId="77777777" w:rsidR="00B4017B" w:rsidRPr="000F6CD1" w:rsidRDefault="00B4017B">
      <w:pPr>
        <w:rPr>
          <w:szCs w:val="22"/>
        </w:rPr>
      </w:pPr>
      <w:r w:rsidRPr="000F6CD1">
        <w:rPr>
          <w:b/>
          <w:bCs/>
          <w:szCs w:val="22"/>
        </w:rPr>
        <w:t>2. Reason for Amendment</w:t>
      </w:r>
      <w:r w:rsidRPr="000F6CD1">
        <w:rPr>
          <w:szCs w:val="22"/>
        </w:rPr>
        <w:t> </w:t>
      </w:r>
    </w:p>
    <w:p w14:paraId="1537B73D" w14:textId="77777777" w:rsidR="00B4017B" w:rsidRPr="000F6CD1" w:rsidRDefault="00B4017B" w:rsidP="00B4017B">
      <w:pPr>
        <w:pStyle w:val="NoSpacing"/>
        <w:numPr>
          <w:ilvl w:val="0"/>
          <w:numId w:val="617"/>
        </w:numPr>
        <w:rPr>
          <w:rFonts w:ascii="Arial" w:hAnsi="Arial" w:cs="Arial"/>
          <w:sz w:val="22"/>
          <w:szCs w:val="22"/>
        </w:rPr>
      </w:pPr>
      <w:r w:rsidRPr="000F6CD1">
        <w:rPr>
          <w:rFonts w:ascii="Arial" w:hAnsi="Arial" w:cs="Arial"/>
          <w:sz w:val="22"/>
          <w:szCs w:val="22"/>
        </w:rPr>
        <w:t>Provide a brief, objective explanation for the required change. This may include: </w:t>
      </w:r>
    </w:p>
    <w:p w14:paraId="157D64FF" w14:textId="77777777" w:rsidR="00B4017B" w:rsidRPr="000F6CD1" w:rsidRDefault="00B4017B" w:rsidP="00B4017B">
      <w:pPr>
        <w:pStyle w:val="NoSpacing"/>
        <w:numPr>
          <w:ilvl w:val="0"/>
          <w:numId w:val="617"/>
        </w:numPr>
        <w:rPr>
          <w:rFonts w:ascii="Arial" w:hAnsi="Arial" w:cs="Arial"/>
          <w:sz w:val="22"/>
          <w:szCs w:val="22"/>
        </w:rPr>
      </w:pPr>
      <w:r w:rsidRPr="000F6CD1">
        <w:rPr>
          <w:rFonts w:ascii="Arial" w:hAnsi="Arial" w:cs="Arial"/>
          <w:sz w:val="22"/>
          <w:szCs w:val="22"/>
        </w:rPr>
        <w:t>Inconsistencies within the assessment </w:t>
      </w:r>
    </w:p>
    <w:p w14:paraId="06984935" w14:textId="77777777" w:rsidR="00B4017B" w:rsidRPr="000F6CD1" w:rsidRDefault="00B4017B" w:rsidP="00B4017B">
      <w:pPr>
        <w:pStyle w:val="NoSpacing"/>
        <w:numPr>
          <w:ilvl w:val="0"/>
          <w:numId w:val="617"/>
        </w:numPr>
        <w:rPr>
          <w:rFonts w:ascii="Arial" w:hAnsi="Arial" w:cs="Arial"/>
          <w:sz w:val="22"/>
          <w:szCs w:val="22"/>
        </w:rPr>
      </w:pPr>
      <w:r w:rsidRPr="000F6CD1">
        <w:rPr>
          <w:rFonts w:ascii="Arial" w:hAnsi="Arial" w:cs="Arial"/>
          <w:sz w:val="22"/>
          <w:szCs w:val="22"/>
        </w:rPr>
        <w:t>Missing or incomplete information </w:t>
      </w:r>
    </w:p>
    <w:p w14:paraId="1B3D1D12" w14:textId="77777777" w:rsidR="00B4017B" w:rsidRPr="000F6CD1" w:rsidRDefault="00B4017B" w:rsidP="00B4017B">
      <w:pPr>
        <w:pStyle w:val="NoSpacing"/>
        <w:numPr>
          <w:ilvl w:val="0"/>
          <w:numId w:val="617"/>
        </w:numPr>
        <w:rPr>
          <w:rFonts w:ascii="Arial" w:hAnsi="Arial" w:cs="Arial"/>
          <w:sz w:val="22"/>
          <w:szCs w:val="22"/>
        </w:rPr>
      </w:pPr>
      <w:r w:rsidRPr="000F6CD1">
        <w:rPr>
          <w:rFonts w:ascii="Arial" w:hAnsi="Arial" w:cs="Arial"/>
          <w:sz w:val="22"/>
          <w:szCs w:val="22"/>
        </w:rPr>
        <w:t>Misalignment between documented evidence and IAT selections </w:t>
      </w:r>
    </w:p>
    <w:p w14:paraId="1290F277" w14:textId="77777777" w:rsidR="00B4017B" w:rsidRPr="000F6CD1" w:rsidRDefault="00B4017B" w:rsidP="00B4017B">
      <w:pPr>
        <w:pStyle w:val="NoSpacing"/>
        <w:numPr>
          <w:ilvl w:val="0"/>
          <w:numId w:val="617"/>
        </w:numPr>
        <w:rPr>
          <w:rFonts w:ascii="Arial" w:hAnsi="Arial" w:cs="Arial"/>
          <w:sz w:val="22"/>
          <w:szCs w:val="22"/>
        </w:rPr>
      </w:pPr>
      <w:r w:rsidRPr="000F6CD1">
        <w:rPr>
          <w:rFonts w:ascii="Arial" w:hAnsi="Arial" w:cs="Arial"/>
          <w:sz w:val="22"/>
          <w:szCs w:val="22"/>
        </w:rPr>
        <w:t>Gaps in documentation, including insufficient rationale for recommended services </w:t>
      </w:r>
    </w:p>
    <w:p w14:paraId="5DB2782D" w14:textId="77777777" w:rsidR="00B4017B" w:rsidRPr="000F6CD1" w:rsidRDefault="00B4017B">
      <w:pPr>
        <w:pStyle w:val="NoSpacing"/>
        <w:rPr>
          <w:rFonts w:ascii="Arial" w:hAnsi="Arial" w:cs="Arial"/>
          <w:sz w:val="22"/>
          <w:szCs w:val="22"/>
        </w:rPr>
      </w:pPr>
    </w:p>
    <w:p w14:paraId="22B931FD" w14:textId="77777777" w:rsidR="00B4017B" w:rsidRPr="000F6CD1" w:rsidRDefault="00B4017B">
      <w:pPr>
        <w:rPr>
          <w:szCs w:val="22"/>
        </w:rPr>
      </w:pPr>
      <w:r w:rsidRPr="000F6CD1">
        <w:rPr>
          <w:b/>
          <w:bCs/>
          <w:szCs w:val="22"/>
        </w:rPr>
        <w:t>How to Complete the IAT Amendments Notes Template (Assessors) </w:t>
      </w:r>
      <w:r w:rsidRPr="000F6CD1">
        <w:rPr>
          <w:szCs w:val="22"/>
        </w:rPr>
        <w:t> </w:t>
      </w:r>
    </w:p>
    <w:p w14:paraId="35BF7002" w14:textId="77777777" w:rsidR="00B4017B" w:rsidRPr="000F6CD1" w:rsidRDefault="00B4017B">
      <w:pPr>
        <w:rPr>
          <w:szCs w:val="22"/>
        </w:rPr>
      </w:pPr>
      <w:r w:rsidRPr="000F6CD1">
        <w:rPr>
          <w:szCs w:val="22"/>
        </w:rPr>
        <w:t>For each issue identified, assessors must record the following: </w:t>
      </w:r>
    </w:p>
    <w:p w14:paraId="0C38BFF1" w14:textId="77777777" w:rsidR="00B4017B" w:rsidRPr="000F6CD1" w:rsidRDefault="00B4017B">
      <w:pPr>
        <w:rPr>
          <w:szCs w:val="22"/>
        </w:rPr>
      </w:pPr>
      <w:r w:rsidRPr="000F6CD1">
        <w:rPr>
          <w:b/>
          <w:bCs/>
          <w:szCs w:val="22"/>
        </w:rPr>
        <w:t>1. Changes Made</w:t>
      </w:r>
      <w:r w:rsidRPr="000F6CD1">
        <w:rPr>
          <w:szCs w:val="22"/>
        </w:rPr>
        <w:t> </w:t>
      </w:r>
    </w:p>
    <w:p w14:paraId="78283167" w14:textId="77777777" w:rsidR="00B4017B" w:rsidRPr="000F6CD1" w:rsidRDefault="00B4017B" w:rsidP="00B4017B">
      <w:pPr>
        <w:pStyle w:val="NoSpacing"/>
        <w:numPr>
          <w:ilvl w:val="0"/>
          <w:numId w:val="618"/>
        </w:numPr>
        <w:rPr>
          <w:rFonts w:ascii="Arial" w:hAnsi="Arial" w:cs="Arial"/>
          <w:sz w:val="22"/>
          <w:szCs w:val="22"/>
        </w:rPr>
      </w:pPr>
      <w:r w:rsidRPr="000F6CD1">
        <w:rPr>
          <w:rFonts w:ascii="Arial" w:hAnsi="Arial" w:cs="Arial"/>
          <w:sz w:val="22"/>
          <w:szCs w:val="22"/>
        </w:rPr>
        <w:t>Clearly document what changes have been made to the IAT or Support Plan </w:t>
      </w:r>
    </w:p>
    <w:p w14:paraId="38FC26BE" w14:textId="77777777" w:rsidR="00B4017B" w:rsidRPr="000F6CD1" w:rsidRDefault="00B4017B" w:rsidP="00B4017B">
      <w:pPr>
        <w:pStyle w:val="NoSpacing"/>
        <w:numPr>
          <w:ilvl w:val="0"/>
          <w:numId w:val="618"/>
        </w:numPr>
        <w:rPr>
          <w:rFonts w:ascii="Arial" w:hAnsi="Arial" w:cs="Arial"/>
          <w:sz w:val="22"/>
          <w:szCs w:val="22"/>
        </w:rPr>
      </w:pPr>
      <w:r w:rsidRPr="000F6CD1">
        <w:rPr>
          <w:rFonts w:ascii="Arial" w:hAnsi="Arial" w:cs="Arial"/>
          <w:sz w:val="22"/>
          <w:szCs w:val="22"/>
        </w:rPr>
        <w:t>Specify the relevant domain, section, or field where the amendment has occurred </w:t>
      </w:r>
    </w:p>
    <w:p w14:paraId="3C671746" w14:textId="77777777" w:rsidR="00B4017B" w:rsidRPr="000F6CD1" w:rsidRDefault="00B4017B">
      <w:pPr>
        <w:pStyle w:val="NoSpacing"/>
        <w:rPr>
          <w:rFonts w:ascii="Arial" w:hAnsi="Arial" w:cs="Arial"/>
          <w:sz w:val="22"/>
          <w:szCs w:val="22"/>
        </w:rPr>
      </w:pPr>
    </w:p>
    <w:p w14:paraId="59F4A082" w14:textId="77777777" w:rsidR="00B4017B" w:rsidRPr="000F6CD1" w:rsidRDefault="00B4017B">
      <w:pPr>
        <w:rPr>
          <w:szCs w:val="22"/>
        </w:rPr>
      </w:pPr>
      <w:r w:rsidRPr="000F6CD1">
        <w:rPr>
          <w:b/>
          <w:bCs/>
          <w:szCs w:val="22"/>
        </w:rPr>
        <w:t>2. Changes Not Made</w:t>
      </w:r>
      <w:r w:rsidRPr="000F6CD1">
        <w:rPr>
          <w:szCs w:val="22"/>
        </w:rPr>
        <w:t> </w:t>
      </w:r>
    </w:p>
    <w:p w14:paraId="18BE9164" w14:textId="77777777" w:rsidR="00B4017B" w:rsidRPr="000F6CD1" w:rsidRDefault="00B4017B" w:rsidP="00B4017B">
      <w:pPr>
        <w:pStyle w:val="NoSpacing"/>
        <w:numPr>
          <w:ilvl w:val="0"/>
          <w:numId w:val="619"/>
        </w:numPr>
        <w:rPr>
          <w:rFonts w:ascii="Arial" w:hAnsi="Arial" w:cs="Arial"/>
          <w:sz w:val="22"/>
          <w:szCs w:val="22"/>
        </w:rPr>
      </w:pPr>
      <w:r w:rsidRPr="000F6CD1">
        <w:rPr>
          <w:rFonts w:ascii="Arial" w:hAnsi="Arial" w:cs="Arial"/>
          <w:sz w:val="22"/>
          <w:szCs w:val="22"/>
        </w:rPr>
        <w:t>Where a requested amendment has not been implemented, record this clearly </w:t>
      </w:r>
    </w:p>
    <w:p w14:paraId="61DC6DF6" w14:textId="77777777" w:rsidR="00B4017B" w:rsidRPr="000F6CD1" w:rsidRDefault="00B4017B" w:rsidP="00B4017B">
      <w:pPr>
        <w:pStyle w:val="NoSpacing"/>
        <w:numPr>
          <w:ilvl w:val="0"/>
          <w:numId w:val="619"/>
        </w:numPr>
        <w:rPr>
          <w:rFonts w:ascii="Arial" w:hAnsi="Arial" w:cs="Arial"/>
          <w:sz w:val="22"/>
          <w:szCs w:val="22"/>
        </w:rPr>
      </w:pPr>
      <w:r w:rsidRPr="000F6CD1">
        <w:rPr>
          <w:rFonts w:ascii="Arial" w:hAnsi="Arial" w:cs="Arial"/>
          <w:sz w:val="22"/>
          <w:szCs w:val="22"/>
        </w:rPr>
        <w:t>Provide a concise, evidence-based justification outlining the reason </w:t>
      </w:r>
    </w:p>
    <w:p w14:paraId="38EBFCC9" w14:textId="7BE15E84" w:rsidR="00B4017B" w:rsidRPr="00826CD4" w:rsidRDefault="00826CD4" w:rsidP="00826CD4">
      <w:pPr>
        <w:rPr>
          <w:b/>
          <w:iCs/>
          <w:color w:val="44546A" w:themeColor="text2"/>
          <w:sz w:val="21"/>
          <w:szCs w:val="18"/>
        </w:rPr>
      </w:pPr>
      <w:r>
        <w:br w:type="page"/>
      </w:r>
    </w:p>
    <w:p w14:paraId="450C3994" w14:textId="2310F587" w:rsidR="00B4017B" w:rsidRPr="000F6CD1" w:rsidRDefault="00B4017B" w:rsidP="00826CD4">
      <w:pPr>
        <w:pStyle w:val="Caption"/>
      </w:pPr>
      <w:r w:rsidRPr="000F6CD1">
        <w:lastRenderedPageBreak/>
        <w:t>Table 6</w:t>
      </w:r>
      <w:r w:rsidR="00760DB9">
        <w:t>9</w:t>
      </w:r>
      <w:r w:rsidRPr="000F6CD1">
        <w:t>. Examples of responses for IAT amendments Notes Template (Assessor and Delegate)</w:t>
      </w:r>
    </w:p>
    <w:tbl>
      <w:tblPr>
        <w:tblStyle w:val="GridTable1Light"/>
        <w:tblW w:w="9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Examples of responses for IAT amendments Notes Template (Assessor and Delegate)"/>
        <w:tblDescription w:val="This table provides examples of responses for IAT amendments Notes Template (Assessor and Delegate) "/>
      </w:tblPr>
      <w:tblGrid>
        <w:gridCol w:w="1996"/>
        <w:gridCol w:w="3947"/>
        <w:gridCol w:w="3775"/>
      </w:tblGrid>
      <w:tr w:rsidR="00B4017B" w:rsidRPr="000F6CD1" w14:paraId="3E556759" w14:textId="77777777" w:rsidTr="004A73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Borders>
              <w:bottom w:val="none" w:sz="0" w:space="0" w:color="auto"/>
            </w:tcBorders>
            <w:shd w:val="clear" w:color="auto" w:fill="1F3864" w:themeFill="accent5" w:themeFillShade="80"/>
            <w:hideMark/>
          </w:tcPr>
          <w:p w14:paraId="0109BA10" w14:textId="77777777" w:rsidR="00B4017B" w:rsidRPr="000F6CD1" w:rsidRDefault="00B4017B">
            <w:r w:rsidRPr="000F6CD1">
              <w:t>IAT section </w:t>
            </w:r>
          </w:p>
        </w:tc>
        <w:tc>
          <w:tcPr>
            <w:tcW w:w="3547" w:type="dxa"/>
            <w:tcBorders>
              <w:bottom w:val="none" w:sz="0" w:space="0" w:color="auto"/>
            </w:tcBorders>
            <w:shd w:val="clear" w:color="auto" w:fill="1F3864" w:themeFill="accent5" w:themeFillShade="80"/>
            <w:hideMark/>
          </w:tcPr>
          <w:p w14:paraId="6D339C60" w14:textId="77777777" w:rsidR="00B4017B" w:rsidRPr="000F6CD1" w:rsidRDefault="00B4017B">
            <w:pPr>
              <w:cnfStyle w:val="100000000000" w:firstRow="1" w:lastRow="0" w:firstColumn="0" w:lastColumn="0" w:oddVBand="0" w:evenVBand="0" w:oddHBand="0" w:evenHBand="0" w:firstRowFirstColumn="0" w:firstRowLastColumn="0" w:lastRowFirstColumn="0" w:lastRowLastColumn="0"/>
            </w:pPr>
            <w:r w:rsidRPr="000F6CD1">
              <w:t>Notes to assessor to review IAT</w:t>
            </w:r>
            <w:r w:rsidRPr="00826CD4">
              <w:rPr>
                <w:color w:val="FFFFFF" w:themeColor="background1"/>
              </w:rPr>
              <w:t> (from Delegate)</w:t>
            </w:r>
          </w:p>
        </w:tc>
        <w:tc>
          <w:tcPr>
            <w:tcW w:w="3394" w:type="dxa"/>
            <w:tcBorders>
              <w:bottom w:val="none" w:sz="0" w:space="0" w:color="auto"/>
            </w:tcBorders>
            <w:shd w:val="clear" w:color="auto" w:fill="1F3864" w:themeFill="accent5" w:themeFillShade="80"/>
            <w:hideMark/>
          </w:tcPr>
          <w:p w14:paraId="7003014A" w14:textId="77777777" w:rsidR="00B4017B" w:rsidRPr="000F6CD1" w:rsidRDefault="00B4017B">
            <w:pPr>
              <w:cnfStyle w:val="100000000000" w:firstRow="1" w:lastRow="0" w:firstColumn="0" w:lastColumn="0" w:oddVBand="0" w:evenVBand="0" w:oddHBand="0" w:evenHBand="0" w:firstRowFirstColumn="0" w:firstRowLastColumn="0" w:lastRowFirstColumn="0" w:lastRowLastColumn="0"/>
            </w:pPr>
            <w:r w:rsidRPr="000F6CD1">
              <w:t xml:space="preserve">Notes to delegate on the IAT </w:t>
            </w:r>
            <w:r w:rsidRPr="00826CD4">
              <w:rPr>
                <w:color w:val="FFFFFF" w:themeColor="background1"/>
              </w:rPr>
              <w:t>review  (from Assessor)</w:t>
            </w:r>
          </w:p>
        </w:tc>
      </w:tr>
      <w:tr w:rsidR="00B4017B" w:rsidRPr="000F6CD1" w14:paraId="200A3A22"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hideMark/>
          </w:tcPr>
          <w:p w14:paraId="6D6A97B9" w14:textId="77777777" w:rsidR="00B4017B" w:rsidRPr="000F6CD1" w:rsidRDefault="00B4017B">
            <w:r w:rsidRPr="000F6CD1">
              <w:t>Assessment Details: </w:t>
            </w:r>
          </w:p>
        </w:tc>
        <w:tc>
          <w:tcPr>
            <w:tcW w:w="3547" w:type="dxa"/>
            <w:hideMark/>
          </w:tcPr>
          <w:p w14:paraId="2D4B7E9B"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Medical practitioner selected but no detail. Add geriatrician (Dr Lam) detail in free text box </w:t>
            </w:r>
          </w:p>
        </w:tc>
        <w:tc>
          <w:tcPr>
            <w:tcW w:w="3394" w:type="dxa"/>
            <w:hideMark/>
          </w:tcPr>
          <w:p w14:paraId="4444D773"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include detail on Dr Lam in free text box. </w:t>
            </w:r>
          </w:p>
        </w:tc>
      </w:tr>
      <w:tr w:rsidR="00B4017B" w:rsidRPr="000F6CD1" w14:paraId="169E3066"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hideMark/>
          </w:tcPr>
          <w:p w14:paraId="4364FEA5" w14:textId="77777777" w:rsidR="00B4017B" w:rsidRPr="000F6CD1" w:rsidRDefault="00B4017B">
            <w:r w:rsidRPr="000F6CD1">
              <w:t>Reason for Assessment:  </w:t>
            </w:r>
          </w:p>
        </w:tc>
        <w:tc>
          <w:tcPr>
            <w:tcW w:w="3547" w:type="dxa"/>
            <w:hideMark/>
          </w:tcPr>
          <w:p w14:paraId="1489E70C"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“Referral from a health professional” and “Change in living arrangements” selected with no supporting free text. Add who referred, from where, and nature of change to support selections. </w:t>
            </w:r>
          </w:p>
        </w:tc>
        <w:tc>
          <w:tcPr>
            <w:tcW w:w="3394" w:type="dxa"/>
            <w:hideMark/>
          </w:tcPr>
          <w:p w14:paraId="09716871"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referral details including referring GP and reason. </w:t>
            </w:r>
          </w:p>
          <w:p w14:paraId="5EC0698D"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p>
        </w:tc>
      </w:tr>
      <w:tr w:rsidR="00B4017B" w:rsidRPr="000F6CD1" w14:paraId="654A5259"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hideMark/>
          </w:tcPr>
          <w:p w14:paraId="4DB37B4A" w14:textId="77777777" w:rsidR="00B4017B" w:rsidRPr="000F6CD1" w:rsidRDefault="00B4017B">
            <w:r w:rsidRPr="000F6CD1">
              <w:t>Carer profile: </w:t>
            </w:r>
          </w:p>
        </w:tc>
        <w:tc>
          <w:tcPr>
            <w:tcW w:w="3547" w:type="dxa"/>
            <w:hideMark/>
          </w:tcPr>
          <w:p w14:paraId="798DB599"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Carer strain/involvement referenced elsewhere but not recorded. Complete carer profile to ensure consistency across domains.</w:t>
            </w:r>
          </w:p>
        </w:tc>
        <w:tc>
          <w:tcPr>
            <w:tcW w:w="3394" w:type="dxa"/>
            <w:hideMark/>
          </w:tcPr>
          <w:p w14:paraId="4C7CA81E"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w:t>
            </w:r>
            <w:r w:rsidRPr="000F6CD1">
              <w:rPr>
                <w:i/>
                <w:iCs/>
              </w:rPr>
              <w:t>Carer profile</w:t>
            </w:r>
            <w:r w:rsidRPr="000F6CD1">
              <w:t> to record daughter’s support and noted carer strain. </w:t>
            </w:r>
          </w:p>
        </w:tc>
      </w:tr>
      <w:tr w:rsidR="00B4017B" w:rsidRPr="000F6CD1" w14:paraId="7EE3A723"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6F461D29" w14:textId="77777777" w:rsidR="00B4017B" w:rsidRPr="000F6CD1" w:rsidRDefault="00B4017B">
            <w:pPr>
              <w:rPr>
                <w:b w:val="0"/>
                <w:bCs w:val="0"/>
              </w:rPr>
            </w:pPr>
            <w:r w:rsidRPr="000F6CD1">
              <w:t>Medical and Medications: </w:t>
            </w:r>
          </w:p>
          <w:p w14:paraId="6FD99F42" w14:textId="77777777" w:rsidR="00B4017B" w:rsidRPr="000F6CD1" w:rsidRDefault="00B4017B"/>
        </w:tc>
        <w:tc>
          <w:tcPr>
            <w:tcW w:w="3547" w:type="dxa"/>
            <w:hideMark/>
          </w:tcPr>
          <w:p w14:paraId="0ABFA07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'Osteoporosis’ referenced in Function but not selected. Add in health condition and “Add as other consideration” to align domains. </w:t>
            </w:r>
          </w:p>
        </w:tc>
        <w:tc>
          <w:tcPr>
            <w:tcW w:w="3394" w:type="dxa"/>
            <w:hideMark/>
          </w:tcPr>
          <w:p w14:paraId="747AAD18"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Selected ‘Osteoporosis’ under health conditions and added as “Other consideration.” </w:t>
            </w:r>
          </w:p>
          <w:p w14:paraId="214F6BB4"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p>
        </w:tc>
      </w:tr>
      <w:tr w:rsidR="00B4017B" w:rsidRPr="000F6CD1" w14:paraId="4961BEFB" w14:textId="77777777" w:rsidTr="001F64CE">
        <w:trPr>
          <w:trHeight w:val="1411"/>
        </w:trPr>
        <w:tc>
          <w:tcPr>
            <w:cnfStyle w:val="001000000000" w:firstRow="0" w:lastRow="0" w:firstColumn="1" w:lastColumn="0" w:oddVBand="0" w:evenVBand="0" w:oddHBand="0" w:evenHBand="0" w:firstRowFirstColumn="0" w:firstRowLastColumn="0" w:lastRowFirstColumn="0" w:lastRowLastColumn="0"/>
            <w:tcW w:w="2258" w:type="dxa"/>
            <w:vMerge/>
            <w:hideMark/>
          </w:tcPr>
          <w:p w14:paraId="7E8FE63E" w14:textId="77777777" w:rsidR="00B4017B" w:rsidRPr="000F6CD1" w:rsidRDefault="00B4017B"/>
        </w:tc>
        <w:tc>
          <w:tcPr>
            <w:tcW w:w="3547" w:type="dxa"/>
            <w:hideMark/>
          </w:tcPr>
          <w:p w14:paraId="7180D487"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Allergies/sensitivities referenced elsewhere but not selected. Add detail and record to reflect documented evidence. </w:t>
            </w:r>
          </w:p>
        </w:tc>
        <w:tc>
          <w:tcPr>
            <w:tcW w:w="3394" w:type="dxa"/>
            <w:hideMark/>
          </w:tcPr>
          <w:p w14:paraId="7666308E"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allergy and added supporting detail. </w:t>
            </w:r>
          </w:p>
        </w:tc>
      </w:tr>
      <w:tr w:rsidR="00B4017B" w:rsidRPr="000F6CD1" w14:paraId="27EAB43D"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45E885B7" w14:textId="77777777" w:rsidR="00B4017B" w:rsidRPr="000F6CD1" w:rsidRDefault="00B4017B">
            <w:r w:rsidRPr="000F6CD1">
              <w:t>Function: </w:t>
            </w:r>
          </w:p>
        </w:tc>
        <w:tc>
          <w:tcPr>
            <w:tcW w:w="3547" w:type="dxa"/>
            <w:hideMark/>
          </w:tcPr>
          <w:p w14:paraId="045E91DB"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“Get to places out of walking distance” marked “Completely unmet” despite evidence. Amend to “Completely met” to reflect ability to drive. </w:t>
            </w:r>
          </w:p>
        </w:tc>
        <w:tc>
          <w:tcPr>
            <w:tcW w:w="3394" w:type="dxa"/>
            <w:hideMark/>
          </w:tcPr>
          <w:p w14:paraId="3B0E1FE7" w14:textId="4BF3D3DB"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“Completely met.” for ‘get to places out of walking distance</w:t>
            </w:r>
            <w:r w:rsidR="005158AF" w:rsidRPr="000F6CD1">
              <w:t>.’</w:t>
            </w:r>
            <w:r w:rsidRPr="000F6CD1">
              <w:t> </w:t>
            </w:r>
          </w:p>
        </w:tc>
      </w:tr>
      <w:tr w:rsidR="00B4017B" w:rsidRPr="000F6CD1" w14:paraId="50B763B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72116166" w14:textId="77777777" w:rsidR="00B4017B" w:rsidRPr="000F6CD1" w:rsidRDefault="00B4017B"/>
        </w:tc>
        <w:tc>
          <w:tcPr>
            <w:tcW w:w="3547" w:type="dxa"/>
            <w:hideMark/>
          </w:tcPr>
          <w:p w14:paraId="1FD26CB5" w14:textId="29DE9FF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“Prepare meals” marked “Without help</w:t>
            </w:r>
            <w:r w:rsidR="005158AF" w:rsidRPr="000F6CD1">
              <w:t>.”</w:t>
            </w:r>
            <w:r w:rsidRPr="000F6CD1">
              <w:t> Amend to “With some help” as assistance is documented by daughter.</w:t>
            </w:r>
            <w:r w:rsidR="005158AF" w:rsidRPr="000F6CD1">
              <w:t xml:space="preserve"> </w:t>
            </w:r>
          </w:p>
        </w:tc>
        <w:tc>
          <w:tcPr>
            <w:tcW w:w="3394" w:type="dxa"/>
            <w:hideMark/>
          </w:tcPr>
          <w:p w14:paraId="66A12FE5" w14:textId="3A22CD6D"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‘With some help’ for ‘prepare meals’ and recorded as functional need.</w:t>
            </w:r>
            <w:r w:rsidR="005158AF" w:rsidRPr="000F6CD1">
              <w:t xml:space="preserve"> </w:t>
            </w:r>
          </w:p>
        </w:tc>
      </w:tr>
      <w:tr w:rsidR="00B4017B" w:rsidRPr="000F6CD1" w14:paraId="1AEBB85A"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26796987" w14:textId="77777777" w:rsidR="00B4017B" w:rsidRPr="000F6CD1" w:rsidRDefault="00B4017B"/>
        </w:tc>
        <w:tc>
          <w:tcPr>
            <w:tcW w:w="3547" w:type="dxa"/>
            <w:hideMark/>
          </w:tcPr>
          <w:p w14:paraId="1AD23829" w14:textId="11F93266"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Limited detail for “Transfers</w:t>
            </w:r>
            <w:r w:rsidR="005158AF" w:rsidRPr="000F6CD1">
              <w:t>.”</w:t>
            </w:r>
            <w:r w:rsidRPr="000F6CD1">
              <w:t>  </w:t>
            </w:r>
          </w:p>
          <w:p w14:paraId="0DC147C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 detail to reflect identified difficulty with using bed rail. </w:t>
            </w:r>
          </w:p>
        </w:tc>
        <w:tc>
          <w:tcPr>
            <w:tcW w:w="3394" w:type="dxa"/>
            <w:hideMark/>
          </w:tcPr>
          <w:p w14:paraId="4AEA55D5" w14:textId="020C2CA6"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detail under ‘Transfers</w:t>
            </w:r>
            <w:r w:rsidR="005158AF" w:rsidRPr="000F6CD1">
              <w:t>.’</w:t>
            </w:r>
            <w:r w:rsidRPr="000F6CD1">
              <w:t> </w:t>
            </w:r>
          </w:p>
        </w:tc>
      </w:tr>
      <w:tr w:rsidR="00B4017B" w:rsidRPr="000F6CD1" w14:paraId="51A321B6"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600C24B8" w14:textId="77777777" w:rsidR="00B4017B" w:rsidRPr="000F6CD1" w:rsidRDefault="00B4017B"/>
        </w:tc>
        <w:tc>
          <w:tcPr>
            <w:tcW w:w="3547" w:type="dxa"/>
            <w:hideMark/>
          </w:tcPr>
          <w:p w14:paraId="4CE98062"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 “Walk” and “Climb stairs” as functional needs based on evidence. </w:t>
            </w:r>
          </w:p>
        </w:tc>
        <w:tc>
          <w:tcPr>
            <w:tcW w:w="3394" w:type="dxa"/>
            <w:hideMark/>
          </w:tcPr>
          <w:p w14:paraId="34EF0BC4" w14:textId="77C4BC4B"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both as functional needs for ‘walk’ and ‘climb stairs</w:t>
            </w:r>
            <w:r w:rsidR="005158AF" w:rsidRPr="000F6CD1">
              <w:t>.’</w:t>
            </w:r>
            <w:r w:rsidRPr="000F6CD1">
              <w:t> </w:t>
            </w:r>
          </w:p>
        </w:tc>
      </w:tr>
      <w:tr w:rsidR="00B4017B" w:rsidRPr="000F6CD1" w14:paraId="49C9A897"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7A513634" w14:textId="77777777" w:rsidR="00B4017B" w:rsidRPr="000F6CD1" w:rsidRDefault="00B4017B">
            <w:r w:rsidRPr="000F6CD1">
              <w:t>Physical, personal health &amp; Frailty: </w:t>
            </w:r>
          </w:p>
        </w:tc>
        <w:tc>
          <w:tcPr>
            <w:tcW w:w="3547" w:type="dxa"/>
            <w:hideMark/>
          </w:tcPr>
          <w:p w14:paraId="18996918"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Need more detail under ‘Frailty observations’ in free text field   </w:t>
            </w:r>
          </w:p>
        </w:tc>
        <w:tc>
          <w:tcPr>
            <w:tcW w:w="3394" w:type="dxa"/>
            <w:hideMark/>
          </w:tcPr>
          <w:p w14:paraId="50618F77" w14:textId="16AE446E"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additional detail on frailty free text field.</w:t>
            </w:r>
            <w:r w:rsidR="005158AF" w:rsidRPr="000F6CD1">
              <w:t xml:space="preserve"> </w:t>
            </w:r>
          </w:p>
        </w:tc>
      </w:tr>
      <w:tr w:rsidR="00B4017B" w:rsidRPr="000F6CD1" w14:paraId="3A100E7F"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585572F5" w14:textId="77777777" w:rsidR="00B4017B" w:rsidRPr="000F6CD1" w:rsidRDefault="00B4017B"/>
        </w:tc>
        <w:tc>
          <w:tcPr>
            <w:tcW w:w="3547" w:type="dxa"/>
            <w:hideMark/>
          </w:tcPr>
          <w:p w14:paraId="6128137E"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Include tick on ‘Asthma’ as listed under health conditions </w:t>
            </w:r>
          </w:p>
        </w:tc>
        <w:tc>
          <w:tcPr>
            <w:tcW w:w="3394" w:type="dxa"/>
            <w:hideMark/>
          </w:tcPr>
          <w:p w14:paraId="5980B797"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Ticked Asthma. </w:t>
            </w:r>
          </w:p>
        </w:tc>
      </w:tr>
      <w:tr w:rsidR="00B4017B" w:rsidRPr="000F6CD1" w14:paraId="446CFA2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1508F488" w14:textId="77777777" w:rsidR="00B4017B" w:rsidRPr="000F6CD1" w:rsidRDefault="00B4017B">
            <w:r w:rsidRPr="000F6CD1">
              <w:t>Social:  </w:t>
            </w:r>
          </w:p>
        </w:tc>
        <w:tc>
          <w:tcPr>
            <w:tcW w:w="3547" w:type="dxa"/>
            <w:hideMark/>
          </w:tcPr>
          <w:p w14:paraId="1399C972" w14:textId="18839B4F"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Documented as ‘lonely, down and socially isolated?’ ‘most of the time</w:t>
            </w:r>
            <w:r w:rsidR="002C689D" w:rsidRPr="000F6CD1">
              <w:t>.’</w:t>
            </w:r>
            <w:r w:rsidRPr="000F6CD1">
              <w:t> Complete DSSI or provide evidence for lack of completion.</w:t>
            </w:r>
            <w:r w:rsidR="002C689D" w:rsidRPr="000F6CD1">
              <w:t xml:space="preserve"> </w:t>
            </w:r>
          </w:p>
        </w:tc>
        <w:tc>
          <w:tcPr>
            <w:tcW w:w="3394" w:type="dxa"/>
            <w:hideMark/>
          </w:tcPr>
          <w:p w14:paraId="0DD1CB32" w14:textId="0415F205"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Completed DSSI over telehealth.</w:t>
            </w:r>
            <w:r w:rsidR="00581B21" w:rsidRPr="000F6CD1">
              <w:t xml:space="preserve"> </w:t>
            </w:r>
          </w:p>
        </w:tc>
      </w:tr>
      <w:tr w:rsidR="00B4017B" w:rsidRPr="000F6CD1" w14:paraId="62619886"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23C5A4D4" w14:textId="77777777" w:rsidR="00B4017B" w:rsidRPr="000F6CD1" w:rsidRDefault="00B4017B"/>
        </w:tc>
        <w:tc>
          <w:tcPr>
            <w:tcW w:w="3547" w:type="dxa"/>
            <w:hideMark/>
          </w:tcPr>
          <w:p w14:paraId="705119C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Frequent loneliness/isolation selected; however, evidence shows regular social contact and activities and DSSI entries inconsistent., Update to align. </w:t>
            </w:r>
          </w:p>
        </w:tc>
        <w:tc>
          <w:tcPr>
            <w:tcW w:w="3394" w:type="dxa"/>
            <w:hideMark/>
          </w:tcPr>
          <w:p w14:paraId="7255D88D"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DSSI updated to align with assessment information and completed via telehealth. </w:t>
            </w:r>
          </w:p>
        </w:tc>
      </w:tr>
      <w:tr w:rsidR="00B4017B" w:rsidRPr="000F6CD1" w14:paraId="069FA377"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hideMark/>
          </w:tcPr>
          <w:p w14:paraId="55253DE5" w14:textId="77777777" w:rsidR="00B4017B" w:rsidRPr="000F6CD1" w:rsidRDefault="00B4017B">
            <w:r w:rsidRPr="000F6CD1">
              <w:t>Cognition:   </w:t>
            </w:r>
          </w:p>
        </w:tc>
        <w:tc>
          <w:tcPr>
            <w:tcW w:w="3547" w:type="dxa"/>
            <w:hideMark/>
          </w:tcPr>
          <w:p w14:paraId="10C465A4" w14:textId="67A698C0"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Lack of information on cognitive difficulties. Add detail in free text field.</w:t>
            </w:r>
            <w:r w:rsidR="00581B21" w:rsidRPr="000F6CD1">
              <w:t xml:space="preserve"> </w:t>
            </w:r>
          </w:p>
        </w:tc>
        <w:tc>
          <w:tcPr>
            <w:tcW w:w="3394" w:type="dxa"/>
            <w:hideMark/>
          </w:tcPr>
          <w:p w14:paraId="597C0A2F"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Additional information added in free text field. </w:t>
            </w:r>
          </w:p>
        </w:tc>
      </w:tr>
      <w:tr w:rsidR="00B4017B" w:rsidRPr="000F6CD1" w14:paraId="035D46FF"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354EBF68" w14:textId="77777777" w:rsidR="00B4017B" w:rsidRPr="000F6CD1" w:rsidRDefault="00B4017B">
            <w:r w:rsidRPr="000F6CD1">
              <w:t>Behaviour </w:t>
            </w:r>
          </w:p>
        </w:tc>
        <w:tc>
          <w:tcPr>
            <w:tcW w:w="3547" w:type="dxa"/>
            <w:hideMark/>
          </w:tcPr>
          <w:p w14:paraId="2911D4F2" w14:textId="6F7426EE"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‘No’ recorded to ‘Does the client experience feeling aggressive, agitated or have found themselves wandering?’ but agitation and short temper are noted elsewhere.</w:t>
            </w:r>
            <w:r w:rsidR="00581B21" w:rsidRPr="000F6CD1">
              <w:t xml:space="preserve"> </w:t>
            </w:r>
          </w:p>
          <w:p w14:paraId="2C230B6D"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Amend to align, add detail, and record as “Other considerations.” </w:t>
            </w:r>
          </w:p>
        </w:tc>
        <w:tc>
          <w:tcPr>
            <w:tcW w:w="3394" w:type="dxa"/>
            <w:hideMark/>
          </w:tcPr>
          <w:p w14:paraId="577A2153" w14:textId="4E8143D6"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Response changed to ‘Yes’ for ‘Does the client experience feeling aggressive, agitated or have found themselves wandering?</w:t>
            </w:r>
            <w:r w:rsidR="00581B21" w:rsidRPr="000F6CD1">
              <w:t>,</w:t>
            </w:r>
            <w:r w:rsidRPr="000F6CD1">
              <w:t>’ additional information added and ‘Add as other consideration’ selected. </w:t>
            </w:r>
          </w:p>
        </w:tc>
      </w:tr>
      <w:tr w:rsidR="00B4017B" w:rsidRPr="000F6CD1" w14:paraId="397D3627"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2C794FF2" w14:textId="77777777" w:rsidR="00B4017B" w:rsidRPr="000F6CD1" w:rsidRDefault="00B4017B"/>
        </w:tc>
        <w:tc>
          <w:tcPr>
            <w:tcW w:w="3547" w:type="dxa"/>
            <w:hideMark/>
          </w:tcPr>
          <w:p w14:paraId="44FCD04E" w14:textId="5D19E4D5"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‘Yes’ recorded to ‘Does the client experience feeling aggressive, agitated or have found themselves wandering?</w:t>
            </w:r>
            <w:r w:rsidR="00581B21" w:rsidRPr="000F6CD1">
              <w:t>;</w:t>
            </w:r>
            <w:r w:rsidRPr="000F6CD1">
              <w:t>’ but, no evidence of aggression, agitation, or wandering.</w:t>
            </w:r>
            <w:r w:rsidR="00C94139" w:rsidRPr="000F6CD1">
              <w:t xml:space="preserve"> </w:t>
            </w:r>
          </w:p>
          <w:p w14:paraId="31D00E9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Amend to align and update/remove related notes or “Other considerations.” </w:t>
            </w:r>
          </w:p>
        </w:tc>
        <w:tc>
          <w:tcPr>
            <w:tcW w:w="3394" w:type="dxa"/>
            <w:hideMark/>
          </w:tcPr>
          <w:p w14:paraId="15CB7611"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‘No’ for ‘Does the client experience feeling aggressive, agitated or have found themselves wandering?’ in line with assessment information. </w:t>
            </w:r>
          </w:p>
        </w:tc>
      </w:tr>
      <w:tr w:rsidR="00B4017B" w:rsidRPr="000F6CD1" w14:paraId="0E3ACEB4"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1393570E" w14:textId="77777777" w:rsidR="00B4017B" w:rsidRPr="000F6CD1" w:rsidRDefault="00B4017B">
            <w:r w:rsidRPr="000F6CD1">
              <w:t>Psychological:   </w:t>
            </w:r>
          </w:p>
        </w:tc>
        <w:tc>
          <w:tcPr>
            <w:tcW w:w="3547" w:type="dxa"/>
            <w:hideMark/>
          </w:tcPr>
          <w:p w14:paraId="167F623F"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Low mood noted in Ax summary but not reflected. Update responses for alignment with assessment evidence. </w:t>
            </w:r>
          </w:p>
        </w:tc>
        <w:tc>
          <w:tcPr>
            <w:tcW w:w="3394" w:type="dxa"/>
            <w:hideMark/>
          </w:tcPr>
          <w:p w14:paraId="2FE8BA2B" w14:textId="0A28050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Aligned with evidence on low mood.</w:t>
            </w:r>
            <w:r w:rsidR="00C94139" w:rsidRPr="000F6CD1">
              <w:t xml:space="preserve"> </w:t>
            </w:r>
          </w:p>
        </w:tc>
      </w:tr>
      <w:tr w:rsidR="00B4017B" w:rsidRPr="000F6CD1" w14:paraId="4D77E5D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01188305" w14:textId="77777777" w:rsidR="00B4017B" w:rsidRPr="000F6CD1" w:rsidRDefault="00B4017B"/>
        </w:tc>
        <w:tc>
          <w:tcPr>
            <w:tcW w:w="3547" w:type="dxa"/>
            <w:hideMark/>
          </w:tcPr>
          <w:p w14:paraId="2467101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“Nearly every day” lacks supporting detail. Add explanatory notes or amend. Add “Add as Other consideration” </w:t>
            </w:r>
          </w:p>
        </w:tc>
        <w:tc>
          <w:tcPr>
            <w:tcW w:w="3394" w:type="dxa"/>
            <w:hideMark/>
          </w:tcPr>
          <w:p w14:paraId="20E006F7" w14:textId="6AEF2161"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Additional notes added in free text field and ‘Add as other consideration’ selected.</w:t>
            </w:r>
            <w:r w:rsidR="00C94139" w:rsidRPr="000F6CD1">
              <w:t xml:space="preserve"> </w:t>
            </w:r>
          </w:p>
        </w:tc>
      </w:tr>
      <w:tr w:rsidR="00B4017B" w:rsidRPr="000F6CD1" w14:paraId="45091D8D"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0BB962D4" w14:textId="77777777" w:rsidR="00B4017B" w:rsidRPr="000F6CD1" w:rsidRDefault="00B4017B">
            <w:r w:rsidRPr="000F6CD1">
              <w:t>Home and personal safety: </w:t>
            </w:r>
          </w:p>
        </w:tc>
        <w:tc>
          <w:tcPr>
            <w:tcW w:w="3547" w:type="dxa"/>
            <w:hideMark/>
          </w:tcPr>
          <w:p w14:paraId="62112898"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“Moderate environmental hazards requiring modification” lacks detail. Add observations to support rating or amend. </w:t>
            </w:r>
          </w:p>
        </w:tc>
        <w:tc>
          <w:tcPr>
            <w:tcW w:w="3394" w:type="dxa"/>
            <w:hideMark/>
          </w:tcPr>
          <w:p w14:paraId="474F374B" w14:textId="3A21F90F"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Additional notes added for environmental hazards in free text field.</w:t>
            </w:r>
            <w:r w:rsidR="00C94139" w:rsidRPr="000F6CD1">
              <w:t xml:space="preserve"> </w:t>
            </w:r>
          </w:p>
        </w:tc>
      </w:tr>
      <w:tr w:rsidR="00B4017B" w:rsidRPr="000F6CD1" w14:paraId="76E3A41D"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09BF73E1" w14:textId="77777777" w:rsidR="00B4017B" w:rsidRPr="000F6CD1" w:rsidRDefault="00B4017B"/>
        </w:tc>
        <w:tc>
          <w:tcPr>
            <w:tcW w:w="3547" w:type="dxa"/>
            <w:hideMark/>
          </w:tcPr>
          <w:p w14:paraId="10CD476C"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Home maintenance marked “No” despite concerns in Ax summary. Amend and “Add as Other consideration.” </w:t>
            </w:r>
          </w:p>
        </w:tc>
        <w:tc>
          <w:tcPr>
            <w:tcW w:w="3394" w:type="dxa"/>
            <w:hideMark/>
          </w:tcPr>
          <w:p w14:paraId="2E39B50E"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‘Yes’ with additional detail and added as other consideration. </w:t>
            </w:r>
          </w:p>
        </w:tc>
      </w:tr>
      <w:tr w:rsidR="00B4017B" w:rsidRPr="000F6CD1" w14:paraId="71737537"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161BD80F" w14:textId="77777777" w:rsidR="00B4017B" w:rsidRPr="000F6CD1" w:rsidRDefault="00B4017B"/>
        </w:tc>
        <w:tc>
          <w:tcPr>
            <w:tcW w:w="3547" w:type="dxa"/>
            <w:hideMark/>
          </w:tcPr>
          <w:p w14:paraId="453C841A" w14:textId="7A2E08CD"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Unstable accommodation recorded with limited evidence. Add detail for selection and add as a complexity indicator.</w:t>
            </w:r>
            <w:r w:rsidR="00C94139" w:rsidRPr="000F6CD1">
              <w:t xml:space="preserve"> </w:t>
            </w:r>
          </w:p>
        </w:tc>
        <w:tc>
          <w:tcPr>
            <w:tcW w:w="3394" w:type="dxa"/>
            <w:hideMark/>
          </w:tcPr>
          <w:p w14:paraId="3DA4AC51"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Additional information added for unstable accommodation and added as a complexity indicator. </w:t>
            </w:r>
          </w:p>
        </w:tc>
      </w:tr>
      <w:tr w:rsidR="00B4017B" w:rsidRPr="000F6CD1" w14:paraId="79FA1D2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7564BE5B" w14:textId="77777777" w:rsidR="00B4017B" w:rsidRPr="000F6CD1" w:rsidRDefault="00B4017B">
            <w:r w:rsidRPr="000F6CD1">
              <w:t>Financial or legal:   </w:t>
            </w:r>
          </w:p>
        </w:tc>
        <w:tc>
          <w:tcPr>
            <w:tcW w:w="3547" w:type="dxa"/>
            <w:hideMark/>
          </w:tcPr>
          <w:p w14:paraId="34E7A12B"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“Yes” selected for ‘financial and legal issues’ with no supporting detail. Add explanatory notes or amend to justify response. </w:t>
            </w:r>
          </w:p>
        </w:tc>
        <w:tc>
          <w:tcPr>
            <w:tcW w:w="3394" w:type="dxa"/>
            <w:hideMark/>
          </w:tcPr>
          <w:p w14:paraId="351ECF0E" w14:textId="58E0A48B"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notes to support ‘Yes’ selection in ‘financial and legal issues</w:t>
            </w:r>
            <w:r w:rsidR="00C94139" w:rsidRPr="000F6CD1">
              <w:t>.’</w:t>
            </w:r>
            <w:r w:rsidRPr="000F6CD1">
              <w:t> </w:t>
            </w:r>
          </w:p>
        </w:tc>
      </w:tr>
      <w:tr w:rsidR="00B4017B" w:rsidRPr="000F6CD1" w14:paraId="2DB39BE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0B3D75E7" w14:textId="77777777" w:rsidR="00B4017B" w:rsidRPr="000F6CD1" w:rsidRDefault="00B4017B"/>
        </w:tc>
        <w:tc>
          <w:tcPr>
            <w:tcW w:w="3547" w:type="dxa"/>
            <w:hideMark/>
          </w:tcPr>
          <w:p w14:paraId="4FE0E7D3"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Power of attorney referenced elsewhere but not recorded. Update to align with evidence. </w:t>
            </w:r>
          </w:p>
        </w:tc>
        <w:tc>
          <w:tcPr>
            <w:tcW w:w="3394" w:type="dxa"/>
            <w:hideMark/>
          </w:tcPr>
          <w:p w14:paraId="022A5961"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reflect evidence re POA. </w:t>
            </w:r>
          </w:p>
        </w:tc>
      </w:tr>
      <w:tr w:rsidR="00B4017B" w:rsidRPr="000F6CD1" w14:paraId="2DD24CB8"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5E70D991" w14:textId="77777777" w:rsidR="00B4017B" w:rsidRPr="000F6CD1" w:rsidRDefault="00B4017B">
            <w:r w:rsidRPr="000F6CD1">
              <w:t>Support Considerations:  </w:t>
            </w:r>
          </w:p>
        </w:tc>
        <w:tc>
          <w:tcPr>
            <w:tcW w:w="3547" w:type="dxa"/>
            <w:hideMark/>
          </w:tcPr>
          <w:p w14:paraId="2A5768B1"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Elder abuse risk selected without detail. Add rationale to support assessment decision. </w:t>
            </w:r>
          </w:p>
        </w:tc>
        <w:tc>
          <w:tcPr>
            <w:tcW w:w="3394" w:type="dxa"/>
            <w:hideMark/>
          </w:tcPr>
          <w:p w14:paraId="7658200B"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Notes updated to support selection. </w:t>
            </w:r>
          </w:p>
        </w:tc>
      </w:tr>
      <w:tr w:rsidR="00B4017B" w:rsidRPr="000F6CD1" w14:paraId="1265B496"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77D5F918" w14:textId="77777777" w:rsidR="00B4017B" w:rsidRPr="000F6CD1" w:rsidRDefault="00B4017B"/>
        </w:tc>
        <w:tc>
          <w:tcPr>
            <w:tcW w:w="3547" w:type="dxa"/>
            <w:hideMark/>
          </w:tcPr>
          <w:p w14:paraId="66C20E25"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Cognitive impairment impacting self-care documented elsewhere. Review and amend and add as a complexity indicator. </w:t>
            </w:r>
          </w:p>
        </w:tc>
        <w:tc>
          <w:tcPr>
            <w:tcW w:w="3394" w:type="dxa"/>
            <w:hideMark/>
          </w:tcPr>
          <w:p w14:paraId="3DA5882B"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Amendment made and added as a complexity indicator. </w:t>
            </w:r>
          </w:p>
        </w:tc>
      </w:tr>
      <w:tr w:rsidR="00B4017B" w:rsidRPr="000F6CD1" w14:paraId="2DBCEA92"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62CDA599" w14:textId="77777777" w:rsidR="00B4017B" w:rsidRPr="000F6CD1" w:rsidRDefault="00B4017B"/>
        </w:tc>
        <w:tc>
          <w:tcPr>
            <w:tcW w:w="3547" w:type="dxa"/>
            <w:hideMark/>
          </w:tcPr>
          <w:p w14:paraId="0656C6E3"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“Urgent service provision’: “Yes” not supported by evidence. Review and amend to reflect risk level accurately. </w:t>
            </w:r>
          </w:p>
        </w:tc>
        <w:tc>
          <w:tcPr>
            <w:tcW w:w="3394" w:type="dxa"/>
            <w:hideMark/>
          </w:tcPr>
          <w:p w14:paraId="4A189FF2"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Updated to ‘No’ for ‘urgent service provision’ </w:t>
            </w:r>
          </w:p>
        </w:tc>
      </w:tr>
      <w:tr w:rsidR="00B4017B" w:rsidRPr="000F6CD1" w14:paraId="6AE3A89A"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hideMark/>
          </w:tcPr>
          <w:p w14:paraId="437FACD8" w14:textId="77777777" w:rsidR="00B4017B" w:rsidRPr="000F6CD1" w:rsidRDefault="00B4017B">
            <w:r w:rsidRPr="000F6CD1">
              <w:t>Validated Assessment Tools: </w:t>
            </w:r>
          </w:p>
        </w:tc>
        <w:tc>
          <w:tcPr>
            <w:tcW w:w="3547" w:type="dxa"/>
            <w:hideMark/>
          </w:tcPr>
          <w:p w14:paraId="1416B117" w14:textId="7442878A"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GP-Cog/DEMMI-modified not completed. Add evidence to justify why not being completed.</w:t>
            </w:r>
            <w:r w:rsidR="00C94139" w:rsidRPr="000F6CD1">
              <w:t xml:space="preserve"> </w:t>
            </w:r>
          </w:p>
        </w:tc>
        <w:tc>
          <w:tcPr>
            <w:tcW w:w="3394" w:type="dxa"/>
            <w:hideMark/>
          </w:tcPr>
          <w:p w14:paraId="459471EF" w14:textId="144A92FE"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Added additional evidence on why both screening tools not completed in free text fields in Cognition and Function section.</w:t>
            </w:r>
            <w:r w:rsidR="00C94139" w:rsidRPr="000F6CD1">
              <w:t xml:space="preserve"> </w:t>
            </w:r>
          </w:p>
        </w:tc>
      </w:tr>
      <w:tr w:rsidR="00B4017B" w:rsidRPr="000F6CD1" w14:paraId="379B9D65"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val="restart"/>
            <w:hideMark/>
          </w:tcPr>
          <w:p w14:paraId="3AC8006D" w14:textId="77777777" w:rsidR="00B4017B" w:rsidRPr="000F6CD1" w:rsidRDefault="00B4017B">
            <w:r w:rsidRPr="000F6CD1">
              <w:t>Other: </w:t>
            </w:r>
          </w:p>
          <w:p w14:paraId="25C51F67" w14:textId="77777777" w:rsidR="00B4017B" w:rsidRPr="000F6CD1" w:rsidRDefault="00B4017B">
            <w:r w:rsidRPr="000F6CD1">
              <w:t>(Support plan changes, grammar, spelling etc) </w:t>
            </w:r>
          </w:p>
        </w:tc>
        <w:tc>
          <w:tcPr>
            <w:tcW w:w="3547" w:type="dxa"/>
            <w:hideMark/>
          </w:tcPr>
          <w:p w14:paraId="1652890A"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Ax summary has Inconsistent use of terms (e.g. “support worker” vs “carer”). Amend to make it clear who is being referenced. </w:t>
            </w:r>
          </w:p>
        </w:tc>
        <w:tc>
          <w:tcPr>
            <w:tcW w:w="3394" w:type="dxa"/>
            <w:hideMark/>
          </w:tcPr>
          <w:p w14:paraId="775FF735" w14:textId="6E874011"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Ax summary amended to reflect ‘carer</w:t>
            </w:r>
            <w:r w:rsidR="00C94139" w:rsidRPr="000F6CD1">
              <w:t>.’</w:t>
            </w:r>
            <w:r w:rsidRPr="000F6CD1">
              <w:t> </w:t>
            </w:r>
          </w:p>
        </w:tc>
      </w:tr>
      <w:tr w:rsidR="00B4017B" w:rsidRPr="000F6CD1" w14:paraId="3C3EB475"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67F21051" w14:textId="77777777" w:rsidR="00B4017B" w:rsidRPr="000F6CD1" w:rsidRDefault="00B4017B"/>
        </w:tc>
        <w:tc>
          <w:tcPr>
            <w:tcW w:w="3547" w:type="dxa"/>
            <w:hideMark/>
          </w:tcPr>
          <w:p w14:paraId="4C68F174"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Spelling mistakes and grammatical errors throughout free text fields. Review and update. </w:t>
            </w:r>
          </w:p>
        </w:tc>
        <w:tc>
          <w:tcPr>
            <w:tcW w:w="3394" w:type="dxa"/>
            <w:hideMark/>
          </w:tcPr>
          <w:p w14:paraId="7103DCE8" w14:textId="20E657D1"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Spelling and grammar corrected in free text fields.</w:t>
            </w:r>
            <w:r w:rsidR="00C94139" w:rsidRPr="000F6CD1">
              <w:t xml:space="preserve"> </w:t>
            </w:r>
          </w:p>
        </w:tc>
      </w:tr>
      <w:tr w:rsidR="00B4017B" w:rsidRPr="000F6CD1" w14:paraId="5550DE7D" w14:textId="77777777" w:rsidTr="004A736F">
        <w:trPr>
          <w:trHeight w:val="300"/>
        </w:trPr>
        <w:tc>
          <w:tcPr>
            <w:cnfStyle w:val="001000000000" w:firstRow="0" w:lastRow="0" w:firstColumn="1" w:lastColumn="0" w:oddVBand="0" w:evenVBand="0" w:oddHBand="0" w:evenHBand="0" w:firstRowFirstColumn="0" w:firstRowLastColumn="0" w:lastRowFirstColumn="0" w:lastRowLastColumn="0"/>
            <w:tcW w:w="2258" w:type="dxa"/>
            <w:vMerge/>
            <w:hideMark/>
          </w:tcPr>
          <w:p w14:paraId="4C9DAFDD" w14:textId="77777777" w:rsidR="00B4017B" w:rsidRPr="000F6CD1" w:rsidRDefault="00B4017B"/>
        </w:tc>
        <w:tc>
          <w:tcPr>
            <w:tcW w:w="3547" w:type="dxa"/>
            <w:hideMark/>
          </w:tcPr>
          <w:p w14:paraId="58709670" w14:textId="77777777"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p>
        </w:tc>
        <w:tc>
          <w:tcPr>
            <w:tcW w:w="3394" w:type="dxa"/>
            <w:hideMark/>
          </w:tcPr>
          <w:p w14:paraId="724828C4" w14:textId="532ED013" w:rsidR="00B4017B" w:rsidRPr="000F6CD1" w:rsidRDefault="00B4017B" w:rsidP="00AD7F54">
            <w:pPr>
              <w:spacing w:line="259" w:lineRule="auto"/>
              <w:cnfStyle w:val="000000000000" w:firstRow="0" w:lastRow="0" w:firstColumn="0" w:lastColumn="0" w:oddVBand="0" w:evenVBand="0" w:oddHBand="0" w:evenHBand="0" w:firstRowFirstColumn="0" w:firstRowLastColumn="0" w:lastRowFirstColumn="0" w:lastRowLastColumn="0"/>
            </w:pPr>
            <w:r w:rsidRPr="000F6CD1">
              <w:t xml:space="preserve">Previous recommendations removed in Support Plan and updated to align with new </w:t>
            </w:r>
            <w:r w:rsidR="00386B7E">
              <w:t>IAT Outcome</w:t>
            </w:r>
            <w:r w:rsidRPr="000F6CD1">
              <w:t>.</w:t>
            </w:r>
            <w:r w:rsidR="00C94139" w:rsidRPr="000F6CD1">
              <w:t xml:space="preserve"> </w:t>
            </w:r>
          </w:p>
        </w:tc>
      </w:tr>
    </w:tbl>
    <w:p w14:paraId="1A7441D8" w14:textId="77777777" w:rsidR="00B4017B" w:rsidRPr="000F6CD1" w:rsidRDefault="00B4017B"/>
    <w:p w14:paraId="790ECC8A" w14:textId="77777777" w:rsidR="00B4017B" w:rsidRPr="000F6CD1" w:rsidRDefault="00B4017B"/>
    <w:p w14:paraId="1BFEC50E" w14:textId="77777777" w:rsidR="004D556D" w:rsidRPr="000F6CD1" w:rsidRDefault="004D556D"/>
    <w:p w14:paraId="64308F34" w14:textId="77777777" w:rsidR="004D556D" w:rsidRDefault="004D556D" w:rsidP="00A677C9">
      <w:pPr>
        <w:spacing w:before="240" w:after="240" w:line="240" w:lineRule="auto"/>
        <w:rPr>
          <w:lang w:val="en-US"/>
        </w:rPr>
      </w:pPr>
    </w:p>
    <w:sectPr w:rsidR="004D556D" w:rsidSect="00EA4E11">
      <w:headerReference w:type="even" r:id="rId419"/>
      <w:headerReference w:type="default" r:id="rId420"/>
      <w:footerReference w:type="even" r:id="rId421"/>
      <w:footerReference w:type="default" r:id="rId422"/>
      <w:headerReference w:type="first" r:id="rId423"/>
      <w:footerReference w:type="first" r:id="rId424"/>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41FC6" w14:textId="77777777" w:rsidR="00BC3E7D" w:rsidRPr="000F6CD1" w:rsidRDefault="00BC3E7D" w:rsidP="00005C08">
      <w:pPr>
        <w:spacing w:after="0" w:line="240" w:lineRule="auto"/>
      </w:pPr>
      <w:r w:rsidRPr="000F6CD1">
        <w:separator/>
      </w:r>
    </w:p>
  </w:endnote>
  <w:endnote w:type="continuationSeparator" w:id="0">
    <w:p w14:paraId="22D83D7C" w14:textId="77777777" w:rsidR="00BC3E7D" w:rsidRPr="000F6CD1" w:rsidRDefault="00BC3E7D" w:rsidP="00005C08">
      <w:pPr>
        <w:spacing w:after="0" w:line="240" w:lineRule="auto"/>
      </w:pPr>
      <w:r w:rsidRPr="000F6CD1">
        <w:continuationSeparator/>
      </w:r>
    </w:p>
  </w:endnote>
  <w:endnote w:type="continuationNotice" w:id="1">
    <w:p w14:paraId="2376D45F" w14:textId="77777777" w:rsidR="00BC3E7D" w:rsidRPr="000F6CD1" w:rsidRDefault="00BC3E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sans-serif">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1D8D" w14:textId="0BB71663" w:rsidR="00131731" w:rsidRPr="000F6CD1" w:rsidRDefault="00521113">
    <w:pPr>
      <w:pStyle w:val="Footer"/>
    </w:pPr>
    <w:r w:rsidRPr="000F6CD1">
      <w:rPr>
        <w:noProof/>
        <w14:ligatures w14:val="standardContextual"/>
      </w:rPr>
      <mc:AlternateContent>
        <mc:Choice Requires="wps">
          <w:drawing>
            <wp:anchor distT="0" distB="0" distL="0" distR="0" simplePos="0" relativeHeight="251658241" behindDoc="0" locked="0" layoutInCell="1" allowOverlap="1" wp14:anchorId="09E28592" wp14:editId="522AEEF4">
              <wp:simplePos x="635" y="635"/>
              <wp:positionH relativeFrom="page">
                <wp:align>center</wp:align>
              </wp:positionH>
              <wp:positionV relativeFrom="page">
                <wp:align>bottom</wp:align>
              </wp:positionV>
              <wp:extent cx="552450" cy="390525"/>
              <wp:effectExtent l="0" t="0" r="0" b="0"/>
              <wp:wrapNone/>
              <wp:docPr id="506944240" name="Text Box 506944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D1953BE" w14:textId="6FAE50B9"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28592" id="_x0000_t202" coordsize="21600,21600" o:spt="202" path="m,l,21600r21600,l21600,xe">
              <v:stroke joinstyle="miter"/>
              <v:path gradientshapeok="t" o:connecttype="rect"/>
            </v:shapetype>
            <v:shape id="Text Box 506944240" o:spid="_x0000_s1036"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1D1953BE" w14:textId="6FAE50B9"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56F5"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61" behindDoc="0" locked="0" layoutInCell="1" allowOverlap="1" wp14:anchorId="3EDF51C5" wp14:editId="1850BE52">
              <wp:simplePos x="635" y="635"/>
              <wp:positionH relativeFrom="page">
                <wp:align>center</wp:align>
              </wp:positionH>
              <wp:positionV relativeFrom="page">
                <wp:align>bottom</wp:align>
              </wp:positionV>
              <wp:extent cx="552450" cy="390525"/>
              <wp:effectExtent l="0" t="0" r="0" b="0"/>
              <wp:wrapNone/>
              <wp:docPr id="1442549783" name="Text Box 14425497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3CC1D06"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F51C5" id="_x0000_t202" coordsize="21600,21600" o:spt="202" path="m,l,21600r21600,l21600,xe">
              <v:stroke joinstyle="miter"/>
              <v:path gradientshapeok="t" o:connecttype="rect"/>
            </v:shapetype>
            <v:shape id="Text Box 1442549783" o:spid="_x0000_s1050" type="#_x0000_t202" alt="OFFICIAL" style="position:absolute;margin-left:0;margin-top:0;width:43.5pt;height:30.7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DsQj8ICwIAAB0EAAAO&#10;AAAAAAAAAAAAAAAAAC4CAABkcnMvZTJvRG9jLnhtbFBLAQItABQABgAIAAAAIQC0FWMe2gAAAAMB&#10;AAAPAAAAAAAAAAAAAAAAAGUEAABkcnMvZG93bnJldi54bWxQSwUGAAAAAAQABADzAAAAbAUAAAAA&#10;" filled="f" stroked="f">
              <v:textbox style="mso-fit-shape-to-text:t" inset="0,0,0,15pt">
                <w:txbxContent>
                  <w:p w14:paraId="03CC1D06"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030392"/>
      <w:docPartObj>
        <w:docPartGallery w:val="Page Numbers (Bottom of Page)"/>
        <w:docPartUnique/>
      </w:docPartObj>
    </w:sdtPr>
    <w:sdtContent>
      <w:p w14:paraId="196FAE08" w14:textId="77777777" w:rsidR="00B4017B" w:rsidRPr="000F6CD1" w:rsidRDefault="00B4017B">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6C743122" w14:textId="77777777" w:rsidR="00B4017B" w:rsidRPr="000F6CD1" w:rsidRDefault="00B401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5BCE"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63" behindDoc="0" locked="0" layoutInCell="1" allowOverlap="1" wp14:anchorId="5D1F9396" wp14:editId="1F6DBE1B">
              <wp:simplePos x="635" y="635"/>
              <wp:positionH relativeFrom="page">
                <wp:align>center</wp:align>
              </wp:positionH>
              <wp:positionV relativeFrom="page">
                <wp:align>bottom</wp:align>
              </wp:positionV>
              <wp:extent cx="552450" cy="390525"/>
              <wp:effectExtent l="0" t="0" r="0" b="0"/>
              <wp:wrapNone/>
              <wp:docPr id="1114557584" name="Text Box 11145575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47B0D10"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F9396" id="_x0000_t202" coordsize="21600,21600" o:spt="202" path="m,l,21600r21600,l21600,xe">
              <v:stroke joinstyle="miter"/>
              <v:path gradientshapeok="t" o:connecttype="rect"/>
            </v:shapetype>
            <v:shape id="Text Box 1114557584" o:spid="_x0000_s1052" type="#_x0000_t202" alt="OFFICIAL" style="position:absolute;margin-left:0;margin-top:0;width:43.5pt;height:30.7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DY8WnMNAgAAHQQA&#10;AA4AAAAAAAAAAAAAAAAALgIAAGRycy9lMm9Eb2MueG1sUEsBAi0AFAAGAAgAAAAhALQVYx7aAAAA&#10;AwEAAA8AAAAAAAAAAAAAAAAAZwQAAGRycy9kb3ducmV2LnhtbFBLBQYAAAAABAAEAPMAAABuBQAA&#10;AAA=&#10;" filled="f" stroked="f">
              <v:textbox style="mso-fit-shape-to-text:t" inset="0,0,0,15pt">
                <w:txbxContent>
                  <w:p w14:paraId="447B0D10"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0966"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66" behindDoc="0" locked="0" layoutInCell="1" allowOverlap="1" wp14:anchorId="6B127A3B" wp14:editId="3EE82956">
              <wp:simplePos x="635" y="635"/>
              <wp:positionH relativeFrom="page">
                <wp:align>center</wp:align>
              </wp:positionH>
              <wp:positionV relativeFrom="page">
                <wp:align>bottom</wp:align>
              </wp:positionV>
              <wp:extent cx="609600" cy="400050"/>
              <wp:effectExtent l="0" t="0" r="0" b="0"/>
              <wp:wrapNone/>
              <wp:docPr id="1389222634" name="Text Box 13892226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344788E"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27A3B" id="_x0000_t202" coordsize="21600,21600" o:spt="202" path="m,l,21600r21600,l21600,xe">
              <v:stroke joinstyle="miter"/>
              <v:path gradientshapeok="t" o:connecttype="rect"/>
            </v:shapetype>
            <v:shape id="Text Box 1389222634" o:spid="_x0000_s1055" type="#_x0000_t202" alt="OFFICIAL" style="position:absolute;margin-left:0;margin-top:0;width:48pt;height:31.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OBsQkAwCAAAdBAAA&#10;DgAAAAAAAAAAAAAAAAAuAgAAZHJzL2Uyb0RvYy54bWxQSwECLQAUAAYACAAAACEAu8qViNoAAAAD&#10;AQAADwAAAAAAAAAAAAAAAABmBAAAZHJzL2Rvd25yZXYueG1sUEsFBgAAAAAEAAQA8wAAAG0FAAAA&#10;AA==&#10;" filled="f" stroked="f">
              <v:textbox style="mso-fit-shape-to-text:t" inset="0,0,0,15pt">
                <w:txbxContent>
                  <w:p w14:paraId="2344788E"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092312"/>
      <w:docPartObj>
        <w:docPartGallery w:val="Page Numbers (Bottom of Page)"/>
        <w:docPartUnique/>
      </w:docPartObj>
    </w:sdtPr>
    <w:sdtContent>
      <w:p w14:paraId="050E3BA8" w14:textId="68690C37" w:rsidR="00A41621" w:rsidRDefault="00A41621">
        <w:pPr>
          <w:pStyle w:val="Footer"/>
          <w:jc w:val="right"/>
        </w:pPr>
        <w:r>
          <w:fldChar w:fldCharType="begin"/>
        </w:r>
        <w:r>
          <w:instrText>PAGE   \* MERGEFORMAT</w:instrText>
        </w:r>
        <w:r>
          <w:fldChar w:fldCharType="separate"/>
        </w:r>
        <w:r>
          <w:rPr>
            <w:lang w:val="en-GB"/>
          </w:rPr>
          <w:t>2</w:t>
        </w:r>
        <w:r>
          <w:fldChar w:fldCharType="end"/>
        </w:r>
      </w:p>
    </w:sdtContent>
  </w:sdt>
  <w:p w14:paraId="0D867B80" w14:textId="77777777" w:rsidR="00B4017B" w:rsidRPr="000F6CD1" w:rsidRDefault="00B4017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C027"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68" behindDoc="0" locked="0" layoutInCell="1" allowOverlap="1" wp14:anchorId="47AB8D03" wp14:editId="1B4D943E">
              <wp:simplePos x="635" y="635"/>
              <wp:positionH relativeFrom="page">
                <wp:align>center</wp:align>
              </wp:positionH>
              <wp:positionV relativeFrom="page">
                <wp:align>bottom</wp:align>
              </wp:positionV>
              <wp:extent cx="609600" cy="400050"/>
              <wp:effectExtent l="0" t="0" r="0" b="0"/>
              <wp:wrapNone/>
              <wp:docPr id="1196158577" name="Text Box 11961585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14B6444C"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B8D03" id="_x0000_t202" coordsize="21600,21600" o:spt="202" path="m,l,21600r21600,l21600,xe">
              <v:stroke joinstyle="miter"/>
              <v:path gradientshapeok="t" o:connecttype="rect"/>
            </v:shapetype>
            <v:shape id="Text Box 1196158577" o:spid="_x0000_s1057" type="#_x0000_t202" alt="OFFICIAL" style="position:absolute;margin-left:0;margin-top:0;width:48pt;height:31.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OJldesNAgAAHQQA&#10;AA4AAAAAAAAAAAAAAAAALgIAAGRycy9lMm9Eb2MueG1sUEsBAi0AFAAGAAgAAAAhALvKlYjaAAAA&#10;AwEAAA8AAAAAAAAAAAAAAAAAZwQAAGRycy9kb3ducmV2LnhtbFBLBQYAAAAABAAEAPMAAABuBQAA&#10;AAA=&#10;" filled="f" stroked="f">
              <v:textbox style="mso-fit-shape-to-text:t" inset="0,0,0,15pt">
                <w:txbxContent>
                  <w:p w14:paraId="14B6444C"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92EB"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77" behindDoc="0" locked="0" layoutInCell="1" allowOverlap="1" wp14:anchorId="2C2D5085" wp14:editId="6176C9C4">
              <wp:simplePos x="635" y="635"/>
              <wp:positionH relativeFrom="page">
                <wp:align>center</wp:align>
              </wp:positionH>
              <wp:positionV relativeFrom="page">
                <wp:align>bottom</wp:align>
              </wp:positionV>
              <wp:extent cx="609600" cy="400050"/>
              <wp:effectExtent l="0" t="0" r="0" b="0"/>
              <wp:wrapNone/>
              <wp:docPr id="1921541554" name="Text Box 19215415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BA2E66B"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D5085" id="_x0000_t202" coordsize="21600,21600" o:spt="202" path="m,l,21600r21600,l21600,xe">
              <v:stroke joinstyle="miter"/>
              <v:path gradientshapeok="t" o:connecttype="rect"/>
            </v:shapetype>
            <v:shape id="Text Box 1921541554" o:spid="_x0000_s1060" type="#_x0000_t202" alt="OFFICIAL" style="position:absolute;margin-left:0;margin-top:0;width:48pt;height:31.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OFZaFsNAgAAHQQA&#10;AA4AAAAAAAAAAAAAAAAALgIAAGRycy9lMm9Eb2MueG1sUEsBAi0AFAAGAAgAAAAhALvKlYjaAAAA&#10;AwEAAA8AAAAAAAAAAAAAAAAAZwQAAGRycy9kb3ducmV2LnhtbFBLBQYAAAAABAAEAPMAAABuBQAA&#10;AAA=&#10;" filled="f" stroked="f">
              <v:textbox style="mso-fit-shape-to-text:t" inset="0,0,0,15pt">
                <w:txbxContent>
                  <w:p w14:paraId="0BA2E66B"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601683"/>
      <w:docPartObj>
        <w:docPartGallery w:val="Page Numbers (Bottom of Page)"/>
        <w:docPartUnique/>
      </w:docPartObj>
    </w:sdtPr>
    <w:sdtContent>
      <w:p w14:paraId="79C66136" w14:textId="77777777" w:rsidR="00B4017B" w:rsidRPr="000F6CD1" w:rsidRDefault="00B4017B">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4A8C3DD1" w14:textId="77777777" w:rsidR="00B4017B" w:rsidRPr="000F6CD1" w:rsidRDefault="00B4017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D15D"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79" behindDoc="0" locked="0" layoutInCell="1" allowOverlap="1" wp14:anchorId="261A8D74" wp14:editId="63B15881">
              <wp:simplePos x="635" y="635"/>
              <wp:positionH relativeFrom="page">
                <wp:align>center</wp:align>
              </wp:positionH>
              <wp:positionV relativeFrom="page">
                <wp:align>bottom</wp:align>
              </wp:positionV>
              <wp:extent cx="609600" cy="400050"/>
              <wp:effectExtent l="0" t="0" r="0" b="0"/>
              <wp:wrapNone/>
              <wp:docPr id="1610051318" name="Text Box 16100513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D76C2B2"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1A8D74" id="_x0000_t202" coordsize="21600,21600" o:spt="202" path="m,l,21600r21600,l21600,xe">
              <v:stroke joinstyle="miter"/>
              <v:path gradientshapeok="t" o:connecttype="rect"/>
            </v:shapetype>
            <v:shape id="Text Box 1610051318" o:spid="_x0000_s1062" type="#_x0000_t202" alt="OFFICIAL" style="position:absolute;margin-left:0;margin-top:0;width:48pt;height:31.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" filled="f" stroked="f">
              <v:textbox style="mso-fit-shape-to-text:t" inset="0,0,0,15pt">
                <w:txbxContent>
                  <w:p w14:paraId="3D76C2B2"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C457"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71" behindDoc="0" locked="0" layoutInCell="1" allowOverlap="1" wp14:anchorId="405C44EE" wp14:editId="2ECD2A11">
              <wp:simplePos x="635" y="635"/>
              <wp:positionH relativeFrom="page">
                <wp:align>center</wp:align>
              </wp:positionH>
              <wp:positionV relativeFrom="page">
                <wp:align>bottom</wp:align>
              </wp:positionV>
              <wp:extent cx="609600" cy="400050"/>
              <wp:effectExtent l="0" t="0" r="0" b="0"/>
              <wp:wrapNone/>
              <wp:docPr id="1486372059" name="Text Box 14863720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67E70E7"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C44EE" id="_x0000_t202" coordsize="21600,21600" o:spt="202" path="m,l,21600r21600,l21600,xe">
              <v:stroke joinstyle="miter"/>
              <v:path gradientshapeok="t" o:connecttype="rect"/>
            </v:shapetype>
            <v:shape id="Text Box 1486372059" o:spid="_x0000_s1065" type="#_x0000_t202" alt="OFFICIAL" style="position:absolute;margin-left:0;margin-top:0;width:48pt;height:31.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YrQuowwCAAAdBAAA&#10;DgAAAAAAAAAAAAAAAAAuAgAAZHJzL2Uyb0RvYy54bWxQSwECLQAUAAYACAAAACEAu8qViNoAAAAD&#10;AQAADwAAAAAAAAAAAAAAAABmBAAAZHJzL2Rvd25yZXYueG1sUEsFBgAAAAAEAAQA8wAAAG0FAAAA&#10;AA==&#10;" filled="f" stroked="f">
              <v:textbox style="mso-fit-shape-to-text:t" inset="0,0,0,15pt">
                <w:txbxContent>
                  <w:p w14:paraId="767E70E7"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4570"/>
      <w:docPartObj>
        <w:docPartGallery w:val="Page Numbers (Bottom of Page)"/>
        <w:docPartUnique/>
      </w:docPartObj>
    </w:sdtPr>
    <w:sdtContent>
      <w:p w14:paraId="572CE5E2" w14:textId="273AB2A8" w:rsidR="00D17880" w:rsidRPr="000F6CD1" w:rsidRDefault="00D17880">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096C1088" w14:textId="6B79ED4D" w:rsidR="00131731" w:rsidRPr="000F6CD1" w:rsidRDefault="0013173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2FE" w14:textId="77777777" w:rsidR="00B4017B" w:rsidRPr="000F6CD1" w:rsidRDefault="00B4017B">
    <w:pPr>
      <w:pStyle w:val="Footer"/>
      <w:jc w:val="right"/>
    </w:pPr>
    <w:r w:rsidRPr="000F6CD1">
      <w:rPr>
        <w:noProof/>
        <w14:ligatures w14:val="standardContextual"/>
      </w:rPr>
      <mc:AlternateContent>
        <mc:Choice Requires="wps">
          <w:drawing>
            <wp:anchor distT="0" distB="0" distL="0" distR="0" simplePos="0" relativeHeight="251658272" behindDoc="0" locked="0" layoutInCell="1" allowOverlap="1" wp14:anchorId="0FD38C38" wp14:editId="41B7031B">
              <wp:simplePos x="635" y="635"/>
              <wp:positionH relativeFrom="page">
                <wp:align>center</wp:align>
              </wp:positionH>
              <wp:positionV relativeFrom="page">
                <wp:align>bottom</wp:align>
              </wp:positionV>
              <wp:extent cx="609600" cy="400050"/>
              <wp:effectExtent l="0" t="0" r="0" b="0"/>
              <wp:wrapNone/>
              <wp:docPr id="455224708" name="Text Box 4552247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BE67E37"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38C38" id="_x0000_t202" coordsize="21600,21600" o:spt="202" path="m,l,21600r21600,l21600,xe">
              <v:stroke joinstyle="miter"/>
              <v:path gradientshapeok="t" o:connecttype="rect"/>
            </v:shapetype>
            <v:shape id="Text Box 455224708" o:spid="_x0000_s1066" type="#_x0000_t202" alt="OFFICIAL" style="position:absolute;left:0;text-align:left;margin-left:0;margin-top:0;width:48pt;height:31.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A8LnJ4NAgAAHQQA&#10;AA4AAAAAAAAAAAAAAAAALgIAAGRycy9lMm9Eb2MueG1sUEsBAi0AFAAGAAgAAAAhALvKlYjaAAAA&#10;AwEAAA8AAAAAAAAAAAAAAAAAZwQAAGRycy9kb3ducmV2LnhtbFBLBQYAAAAABAAEAPMAAABuBQAA&#10;AAA=&#10;" filled="f" stroked="f">
              <v:textbox style="mso-fit-shape-to-text:t" inset="0,0,0,15pt">
                <w:txbxContent>
                  <w:p w14:paraId="7BE67E37"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sdt>
    <w:sdtPr>
      <w:id w:val="975334836"/>
      <w:docPartObj>
        <w:docPartGallery w:val="Page Numbers (Bottom of Page)"/>
        <w:docPartUnique/>
      </w:docPartObj>
    </w:sdtPr>
    <w:sdtContent>
      <w:p w14:paraId="5B233A25" w14:textId="77777777" w:rsidR="00B4017B" w:rsidRPr="000F6CD1" w:rsidRDefault="00B4017B">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717A8F68" w14:textId="77777777" w:rsidR="00B4017B" w:rsidRPr="000F6CD1" w:rsidRDefault="00B4017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8D72" w14:textId="77777777" w:rsidR="00B4017B" w:rsidRPr="000F6CD1" w:rsidRDefault="00B4017B">
    <w:pPr>
      <w:pStyle w:val="Footer"/>
    </w:pPr>
    <w:r w:rsidRPr="000F6CD1">
      <w:rPr>
        <w:noProof/>
        <w14:ligatures w14:val="standardContextual"/>
      </w:rPr>
      <mc:AlternateContent>
        <mc:Choice Requires="wps">
          <w:drawing>
            <wp:anchor distT="0" distB="0" distL="0" distR="0" simplePos="0" relativeHeight="251658274" behindDoc="0" locked="0" layoutInCell="1" allowOverlap="1" wp14:anchorId="7C21F810" wp14:editId="3E367A6B">
              <wp:simplePos x="635" y="635"/>
              <wp:positionH relativeFrom="page">
                <wp:align>center</wp:align>
              </wp:positionH>
              <wp:positionV relativeFrom="page">
                <wp:align>bottom</wp:align>
              </wp:positionV>
              <wp:extent cx="609600" cy="400050"/>
              <wp:effectExtent l="0" t="0" r="0" b="0"/>
              <wp:wrapNone/>
              <wp:docPr id="2008742350" name="Text Box 2008742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708FF59"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1F810" id="_x0000_t202" coordsize="21600,21600" o:spt="202" path="m,l,21600r21600,l21600,xe">
              <v:stroke joinstyle="miter"/>
              <v:path gradientshapeok="t" o:connecttype="rect"/>
            </v:shapetype>
            <v:shape id="Text Box 2008742350" o:spid="_x0000_s1068" type="#_x0000_t202" alt="OFFICIAL" style="position:absolute;margin-left:0;margin-top:0;width:48pt;height:31.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" filled="f" stroked="f">
              <v:textbox style="mso-fit-shape-to-text:t" inset="0,0,0,15pt">
                <w:txbxContent>
                  <w:p w14:paraId="4708FF59"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32B3" w14:textId="77777777" w:rsidR="00370263" w:rsidRPr="000F6CD1" w:rsidRDefault="00370263">
    <w:pPr>
      <w:pStyle w:val="Footer"/>
    </w:pPr>
    <w:r w:rsidRPr="000F6CD1">
      <w:rPr>
        <w:noProof/>
        <w14:ligatures w14:val="standardContextual"/>
      </w:rPr>
      <mc:AlternateContent>
        <mc:Choice Requires="wps">
          <w:drawing>
            <wp:anchor distT="0" distB="0" distL="0" distR="0" simplePos="0" relativeHeight="251658251" behindDoc="0" locked="0" layoutInCell="1" allowOverlap="1" wp14:anchorId="08B9C1F8" wp14:editId="5952F7F2">
              <wp:simplePos x="635" y="635"/>
              <wp:positionH relativeFrom="page">
                <wp:align>center</wp:align>
              </wp:positionH>
              <wp:positionV relativeFrom="page">
                <wp:align>bottom</wp:align>
              </wp:positionV>
              <wp:extent cx="609600" cy="400050"/>
              <wp:effectExtent l="0" t="0" r="0" b="0"/>
              <wp:wrapNone/>
              <wp:docPr id="2080433900" name="Text Box 20804339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2B0F568"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9C1F8" id="_x0000_t202" coordsize="21600,21600" o:spt="202" path="m,l,21600r21600,l21600,xe">
              <v:stroke joinstyle="miter"/>
              <v:path gradientshapeok="t" o:connecttype="rect"/>
            </v:shapetype>
            <v:shape id="Text Box 2080433900" o:spid="_x0000_s1071" type="#_x0000_t202" alt="OFFICIAL" style="position:absolute;margin-left:0;margin-top:0;width:48pt;height:3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" filled="f" stroked="f">
              <v:textbox style="mso-fit-shape-to-text:t" inset="0,0,0,15pt">
                <w:txbxContent>
                  <w:p w14:paraId="32B0F568"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6995" w14:textId="77777777" w:rsidR="00370263" w:rsidRPr="000F6CD1" w:rsidRDefault="00370263">
    <w:pPr>
      <w:pStyle w:val="Footer"/>
      <w:jc w:val="right"/>
    </w:pPr>
    <w:r w:rsidRPr="000F6CD1">
      <w:rPr>
        <w:noProof/>
        <w14:ligatures w14:val="standardContextual"/>
      </w:rPr>
      <mc:AlternateContent>
        <mc:Choice Requires="wps">
          <w:drawing>
            <wp:anchor distT="0" distB="0" distL="0" distR="0" simplePos="0" relativeHeight="251658252" behindDoc="0" locked="0" layoutInCell="1" allowOverlap="1" wp14:anchorId="5EFEE93C" wp14:editId="74469955">
              <wp:simplePos x="635" y="635"/>
              <wp:positionH relativeFrom="page">
                <wp:align>center</wp:align>
              </wp:positionH>
              <wp:positionV relativeFrom="page">
                <wp:align>bottom</wp:align>
              </wp:positionV>
              <wp:extent cx="609600" cy="400050"/>
              <wp:effectExtent l="0" t="0" r="0" b="0"/>
              <wp:wrapNone/>
              <wp:docPr id="955103427" name="Text Box 9551034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82C334C"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EE93C" id="_x0000_t202" coordsize="21600,21600" o:spt="202" path="m,l,21600r21600,l21600,xe">
              <v:stroke joinstyle="miter"/>
              <v:path gradientshapeok="t" o:connecttype="rect"/>
            </v:shapetype>
            <v:shape id="Text Box 955103427" o:spid="_x0000_s1072" type="#_x0000_t202" alt="OFFICIAL" style="position:absolute;left:0;text-align:left;margin-left:0;margin-top:0;width:48pt;height:31.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" filled="f" stroked="f">
              <v:textbox style="mso-fit-shape-to-text:t" inset="0,0,0,15pt">
                <w:txbxContent>
                  <w:p w14:paraId="682C334C"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sdt>
    <w:sdtPr>
      <w:id w:val="-21789001"/>
      <w:docPartObj>
        <w:docPartGallery w:val="Page Numbers (Bottom of Page)"/>
        <w:docPartUnique/>
      </w:docPartObj>
    </w:sdtPr>
    <w:sdtContent>
      <w:p w14:paraId="385B7C1B" w14:textId="77777777" w:rsidR="00370263" w:rsidRPr="000F6CD1" w:rsidRDefault="00370263">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28B4DEC4" w14:textId="77777777" w:rsidR="00370263" w:rsidRPr="000F6CD1" w:rsidRDefault="0037026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603C" w14:textId="77777777" w:rsidR="00370263" w:rsidRPr="000F6CD1" w:rsidRDefault="00370263">
    <w:pPr>
      <w:pStyle w:val="Footer"/>
    </w:pPr>
    <w:r w:rsidRPr="000F6CD1">
      <w:rPr>
        <w:noProof/>
        <w14:ligatures w14:val="standardContextual"/>
      </w:rPr>
      <mc:AlternateContent>
        <mc:Choice Requires="wps">
          <w:drawing>
            <wp:anchor distT="0" distB="0" distL="0" distR="0" simplePos="0" relativeHeight="251658254" behindDoc="0" locked="0" layoutInCell="1" allowOverlap="1" wp14:anchorId="7A74E050" wp14:editId="70CE44FC">
              <wp:simplePos x="635" y="635"/>
              <wp:positionH relativeFrom="page">
                <wp:align>center</wp:align>
              </wp:positionH>
              <wp:positionV relativeFrom="page">
                <wp:align>bottom</wp:align>
              </wp:positionV>
              <wp:extent cx="609600" cy="400050"/>
              <wp:effectExtent l="0" t="0" r="0" b="0"/>
              <wp:wrapNone/>
              <wp:docPr id="332685364" name="Text Box 3326853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823F186"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4E050" id="_x0000_t202" coordsize="21600,21600" o:spt="202" path="m,l,21600r21600,l21600,xe">
              <v:stroke joinstyle="miter"/>
              <v:path gradientshapeok="t" o:connecttype="rect"/>
            </v:shapetype>
            <v:shape id="Text Box 332685364" o:spid="_x0000_s1074" type="#_x0000_t202" alt="OFFICIAL" style="position:absolute;margin-left:0;margin-top:0;width:48pt;height:31.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" filled="f" stroked="f">
              <v:textbox style="mso-fit-shape-to-text:t" inset="0,0,0,15pt">
                <w:txbxContent>
                  <w:p w14:paraId="2823F186"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F758" w14:textId="7DDBF7DF" w:rsidR="00131731" w:rsidRPr="000F6CD1" w:rsidRDefault="00521113">
    <w:pPr>
      <w:pStyle w:val="Footer"/>
    </w:pPr>
    <w:r w:rsidRPr="000F6CD1">
      <w:rPr>
        <w:noProof/>
        <w14:ligatures w14:val="standardContextual"/>
      </w:rPr>
      <mc:AlternateContent>
        <mc:Choice Requires="wps">
          <w:drawing>
            <wp:anchor distT="0" distB="0" distL="0" distR="0" simplePos="0" relativeHeight="251658243" behindDoc="0" locked="0" layoutInCell="1" allowOverlap="1" wp14:anchorId="7AC12A42" wp14:editId="5F7F16BE">
              <wp:simplePos x="635" y="635"/>
              <wp:positionH relativeFrom="page">
                <wp:align>center</wp:align>
              </wp:positionH>
              <wp:positionV relativeFrom="page">
                <wp:align>bottom</wp:align>
              </wp:positionV>
              <wp:extent cx="552450" cy="390525"/>
              <wp:effectExtent l="0" t="0" r="0" b="0"/>
              <wp:wrapNone/>
              <wp:docPr id="1593235644" name="Text Box 15932356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5852762" w14:textId="7044CA9E"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12A42" id="_x0000_t202" coordsize="21600,21600" o:spt="202" path="m,l,21600r21600,l21600,xe">
              <v:stroke joinstyle="miter"/>
              <v:path gradientshapeok="t" o:connecttype="rect"/>
            </v:shapetype>
            <v:shape id="Text Box 1593235644" o:spid="_x0000_s1038" type="#_x0000_t202" alt="OFFICIAL" style="position:absolute;margin-left:0;margin-top:0;width:43.5pt;height:30.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55852762" w14:textId="7044CA9E"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A88C" w14:textId="77777777" w:rsidR="00960A13" w:rsidRPr="000F6CD1" w:rsidRDefault="00960A13">
    <w:pPr>
      <w:pStyle w:val="Footer"/>
    </w:pPr>
    <w:r w:rsidRPr="000F6CD1">
      <w:rPr>
        <w:noProof/>
        <w14:ligatures w14:val="standardContextual"/>
      </w:rPr>
      <mc:AlternateContent>
        <mc:Choice Requires="wps">
          <w:drawing>
            <wp:anchor distT="0" distB="0" distL="0" distR="0" simplePos="0" relativeHeight="251658248" behindDoc="0" locked="0" layoutInCell="1" allowOverlap="1" wp14:anchorId="19EB9FD9" wp14:editId="7F5FFDC7">
              <wp:simplePos x="635" y="635"/>
              <wp:positionH relativeFrom="page">
                <wp:align>center</wp:align>
              </wp:positionH>
              <wp:positionV relativeFrom="page">
                <wp:align>bottom</wp:align>
              </wp:positionV>
              <wp:extent cx="551815" cy="391160"/>
              <wp:effectExtent l="0" t="0" r="635" b="0"/>
              <wp:wrapNone/>
              <wp:docPr id="1204711830" name="Text Box 12047118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458BEE"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B9FD9" id="_x0000_t202" coordsize="21600,21600" o:spt="202" path="m,l,21600r21600,l21600,xe">
              <v:stroke joinstyle="miter"/>
              <v:path gradientshapeok="t" o:connecttype="rect"/>
            </v:shapetype>
            <v:shape id="Text Box 1204711830" o:spid="_x0000_s1041"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filled="f" stroked="f">
              <v:textbox style="mso-fit-shape-to-text:t" inset="0,0,0,15pt">
                <w:txbxContent>
                  <w:p w14:paraId="6D458BEE"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060319"/>
      <w:docPartObj>
        <w:docPartGallery w:val="Page Numbers (Bottom of Page)"/>
        <w:docPartUnique/>
      </w:docPartObj>
    </w:sdtPr>
    <w:sdtContent>
      <w:p w14:paraId="5D1AA301" w14:textId="4507AF69" w:rsidR="00A60687" w:rsidRPr="000F6CD1" w:rsidRDefault="00A60687">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07D60F5B" w14:textId="53CC3BB0" w:rsidR="00960A13" w:rsidRPr="000F6CD1" w:rsidRDefault="00960A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3579" w14:textId="77777777" w:rsidR="00960A13" w:rsidRPr="000F6CD1" w:rsidRDefault="00960A13">
    <w:pPr>
      <w:pStyle w:val="Footer"/>
    </w:pPr>
    <w:r w:rsidRPr="000F6CD1">
      <w:rPr>
        <w:noProof/>
        <w14:ligatures w14:val="standardContextual"/>
      </w:rPr>
      <mc:AlternateContent>
        <mc:Choice Requires="wps">
          <w:drawing>
            <wp:anchor distT="0" distB="0" distL="0" distR="0" simplePos="0" relativeHeight="251658247" behindDoc="0" locked="0" layoutInCell="1" allowOverlap="1" wp14:anchorId="7CF850FF" wp14:editId="5D48335B">
              <wp:simplePos x="635" y="635"/>
              <wp:positionH relativeFrom="page">
                <wp:align>center</wp:align>
              </wp:positionH>
              <wp:positionV relativeFrom="page">
                <wp:align>bottom</wp:align>
              </wp:positionV>
              <wp:extent cx="551815" cy="391160"/>
              <wp:effectExtent l="0" t="0" r="635" b="0"/>
              <wp:wrapNone/>
              <wp:docPr id="62219271" name="Text Box 62219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3DF985"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850FF" id="_x0000_t202" coordsize="21600,21600" o:spt="202" path="m,l,21600r21600,l21600,xe">
              <v:stroke joinstyle="miter"/>
              <v:path gradientshapeok="t" o:connecttype="rect"/>
            </v:shapetype>
            <v:shape id="Text Box 62219271" o:spid="_x0000_s1043"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783DF985"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A55F" w14:textId="77777777" w:rsidR="004D556D" w:rsidRPr="000F6CD1" w:rsidRDefault="004D556D">
    <w:pPr>
      <w:pStyle w:val="Footer"/>
    </w:pPr>
    <w:r w:rsidRPr="000F6CD1">
      <w:rPr>
        <w:noProof/>
        <w14:ligatures w14:val="standardContextual"/>
      </w:rPr>
      <mc:AlternateContent>
        <mc:Choice Requires="wps">
          <w:drawing>
            <wp:anchor distT="0" distB="0" distL="0" distR="0" simplePos="0" relativeHeight="251658257" behindDoc="0" locked="0" layoutInCell="1" allowOverlap="1" wp14:anchorId="35A56A7D" wp14:editId="25F301F9">
              <wp:simplePos x="635" y="635"/>
              <wp:positionH relativeFrom="page">
                <wp:align>center</wp:align>
              </wp:positionH>
              <wp:positionV relativeFrom="page">
                <wp:align>bottom</wp:align>
              </wp:positionV>
              <wp:extent cx="609600" cy="400050"/>
              <wp:effectExtent l="0" t="0" r="0" b="0"/>
              <wp:wrapNone/>
              <wp:docPr id="1580832236" name="Text Box 1580832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275DA53"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56A7D" id="_x0000_t202" coordsize="21600,21600" o:spt="202" path="m,l,21600r21600,l21600,xe">
              <v:stroke joinstyle="miter"/>
              <v:path gradientshapeok="t" o:connecttype="rect"/>
            </v:shapetype>
            <v:shape id="Text Box 1580832236" o:spid="_x0000_s1046" type="#_x0000_t202" alt="OFFICIAL" style="position:absolute;margin-left:0;margin-top:0;width:48pt;height:31.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u1Xh+AwCAAAdBAAA&#10;DgAAAAAAAAAAAAAAAAAuAgAAZHJzL2Uyb0RvYy54bWxQSwECLQAUAAYACAAAACEAu8qViNoAAAAD&#10;AQAADwAAAAAAAAAAAAAAAABmBAAAZHJzL2Rvd25yZXYueG1sUEsFBgAAAAAEAAQA8wAAAG0FAAAA&#10;AA==&#10;" filled="f" stroked="f">
              <v:textbox style="mso-fit-shape-to-text:t" inset="0,0,0,15pt">
                <w:txbxContent>
                  <w:p w14:paraId="0275DA53"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567823"/>
      <w:docPartObj>
        <w:docPartGallery w:val="Page Numbers (Bottom of Page)"/>
        <w:docPartUnique/>
      </w:docPartObj>
    </w:sdtPr>
    <w:sdtContent>
      <w:p w14:paraId="4AF58BA9" w14:textId="77777777" w:rsidR="004D556D" w:rsidRPr="000F6CD1" w:rsidRDefault="004D556D">
        <w:pPr>
          <w:pStyle w:val="Footer"/>
          <w:jc w:val="right"/>
        </w:pPr>
        <w:r w:rsidRPr="000F6CD1">
          <w:fldChar w:fldCharType="begin"/>
        </w:r>
        <w:r w:rsidRPr="000F6CD1">
          <w:instrText xml:space="preserve"> PAGE   \* MERGEFORMAT </w:instrText>
        </w:r>
        <w:r w:rsidRPr="000F6CD1">
          <w:fldChar w:fldCharType="separate"/>
        </w:r>
        <w:r w:rsidRPr="000F6CD1">
          <w:t>2</w:t>
        </w:r>
        <w:r w:rsidRPr="000F6CD1">
          <w:fldChar w:fldCharType="end"/>
        </w:r>
      </w:p>
    </w:sdtContent>
  </w:sdt>
  <w:p w14:paraId="48FB9CF3" w14:textId="77777777" w:rsidR="004D556D" w:rsidRPr="000F6CD1" w:rsidRDefault="004D55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5046" w14:textId="77777777" w:rsidR="004D556D" w:rsidRPr="000F6CD1" w:rsidRDefault="004D556D">
    <w:pPr>
      <w:pStyle w:val="Footer"/>
    </w:pPr>
    <w:r w:rsidRPr="000F6CD1">
      <w:rPr>
        <w:noProof/>
        <w14:ligatures w14:val="standardContextual"/>
      </w:rPr>
      <mc:AlternateContent>
        <mc:Choice Requires="wps">
          <w:drawing>
            <wp:anchor distT="0" distB="0" distL="0" distR="0" simplePos="0" relativeHeight="251658259" behindDoc="0" locked="0" layoutInCell="1" allowOverlap="1" wp14:anchorId="7F2DB656" wp14:editId="17B8FD07">
              <wp:simplePos x="635" y="635"/>
              <wp:positionH relativeFrom="page">
                <wp:align>center</wp:align>
              </wp:positionH>
              <wp:positionV relativeFrom="page">
                <wp:align>bottom</wp:align>
              </wp:positionV>
              <wp:extent cx="609600" cy="400050"/>
              <wp:effectExtent l="0" t="0" r="0" b="0"/>
              <wp:wrapNone/>
              <wp:docPr id="2097051831" name="Text Box 20970518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894B766"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DB656" id="_x0000_t202" coordsize="21600,21600" o:spt="202" path="m,l,21600r21600,l21600,xe">
              <v:stroke joinstyle="miter"/>
              <v:path gradientshapeok="t" o:connecttype="rect"/>
            </v:shapetype>
            <v:shape id="Text Box 2097051831" o:spid="_x0000_s1048" type="#_x0000_t202" alt="OFFICIAL" style="position:absolute;margin-left:0;margin-top:0;width:48pt;height:31.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GErhIMNAgAAHQQA&#10;AA4AAAAAAAAAAAAAAAAALgIAAGRycy9lMm9Eb2MueG1sUEsBAi0AFAAGAAgAAAAhALvKlYjaAAAA&#10;AwEAAA8AAAAAAAAAAAAAAAAAZwQAAGRycy9kb3ducmV2LnhtbFBLBQYAAAAABAAEAPMAAABuBQAA&#10;AAA=&#10;" filled="f" stroked="f">
              <v:textbox style="mso-fit-shape-to-text:t" inset="0,0,0,15pt">
                <w:txbxContent>
                  <w:p w14:paraId="0894B766"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4138A" w14:textId="77777777" w:rsidR="00BC3E7D" w:rsidRPr="000F6CD1" w:rsidRDefault="00BC3E7D" w:rsidP="00005C08">
      <w:pPr>
        <w:spacing w:after="0" w:line="240" w:lineRule="auto"/>
      </w:pPr>
      <w:r w:rsidRPr="000F6CD1">
        <w:separator/>
      </w:r>
    </w:p>
  </w:footnote>
  <w:footnote w:type="continuationSeparator" w:id="0">
    <w:p w14:paraId="12EACA7B" w14:textId="77777777" w:rsidR="00BC3E7D" w:rsidRPr="000F6CD1" w:rsidRDefault="00BC3E7D" w:rsidP="00005C08">
      <w:pPr>
        <w:spacing w:after="0" w:line="240" w:lineRule="auto"/>
      </w:pPr>
      <w:r w:rsidRPr="000F6CD1">
        <w:continuationSeparator/>
      </w:r>
    </w:p>
  </w:footnote>
  <w:footnote w:type="continuationNotice" w:id="1">
    <w:p w14:paraId="7C5065E8" w14:textId="77777777" w:rsidR="00BC3E7D" w:rsidRPr="000F6CD1" w:rsidRDefault="00BC3E7D">
      <w:pPr>
        <w:spacing w:after="0" w:line="240" w:lineRule="auto"/>
      </w:pPr>
    </w:p>
  </w:footnote>
  <w:footnote w:id="2">
    <w:p w14:paraId="00371AF8" w14:textId="78224C5F" w:rsidR="00C217D1" w:rsidRPr="000F6CD1" w:rsidRDefault="00C217D1" w:rsidP="00C217D1">
      <w:r w:rsidRPr="000F6CD1">
        <w:rPr>
          <w:rStyle w:val="FootnoteReference"/>
        </w:rPr>
        <w:footnoteRef/>
      </w:r>
      <w:r w:rsidRPr="000F6CD1">
        <w:t xml:space="preserve"> A younger individual is a person who is under 50 years old for Aboriginal and Torres Strait Islander people or people who are homeless or at risk of homelessness or under 65 years old for all other persons.</w:t>
      </w:r>
    </w:p>
    <w:p w14:paraId="5D124394" w14:textId="77777777" w:rsidR="00C217D1" w:rsidRPr="000F6CD1" w:rsidRDefault="00C217D1" w:rsidP="00C217D1"/>
    <w:p w14:paraId="20B77A68" w14:textId="77777777" w:rsidR="00C217D1" w:rsidRPr="000F6CD1" w:rsidRDefault="00C217D1" w:rsidP="00C217D1">
      <w:pPr>
        <w:pStyle w:val="FootnoteText"/>
      </w:pPr>
    </w:p>
  </w:footnote>
  <w:footnote w:id="3">
    <w:p w14:paraId="5F05C670" w14:textId="77777777" w:rsidR="00E656BE" w:rsidRPr="000F6CD1" w:rsidRDefault="00E656BE" w:rsidP="00E656BE">
      <w:r w:rsidRPr="000F6CD1">
        <w:rPr>
          <w:rStyle w:val="FootnoteReference"/>
        </w:rPr>
        <w:footnoteRef/>
      </w:r>
      <w:r w:rsidRPr="000F6CD1">
        <w:t xml:space="preserve"> A younger individual is a person who is under 50 years old for Aboriginal and Torres Strait Islander people or people who are homeless or at risk of homelessness or under 65 years old for all other persons.</w:t>
      </w:r>
    </w:p>
    <w:p w14:paraId="7B9A9F6F" w14:textId="77777777" w:rsidR="00E656BE" w:rsidRPr="000F6CD1" w:rsidRDefault="00E656BE" w:rsidP="00E656BE"/>
    <w:p w14:paraId="75E362FA" w14:textId="77777777" w:rsidR="00E656BE" w:rsidRPr="000F6CD1" w:rsidRDefault="00E656BE" w:rsidP="00E656BE">
      <w:pPr>
        <w:pStyle w:val="FootnoteText"/>
      </w:pPr>
    </w:p>
  </w:footnote>
  <w:footnote w:id="4">
    <w:p w14:paraId="2E7B4866" w14:textId="77777777" w:rsidR="007A743C" w:rsidRPr="000F6CD1" w:rsidRDefault="007A743C" w:rsidP="007A743C">
      <w:pPr>
        <w:rPr>
          <w:rFonts w:ascii="Calibri" w:hAnsi="Calibri" w:cs="Calibri"/>
        </w:rPr>
      </w:pPr>
      <w:r w:rsidRPr="000F6CD1">
        <w:rPr>
          <w:rStyle w:val="FootnoteReference"/>
        </w:rPr>
        <w:footnoteRef/>
      </w:r>
      <w:r w:rsidRPr="000F6CD1">
        <w:t xml:space="preserve"> </w:t>
      </w:r>
      <w:r w:rsidRPr="000F6CD1">
        <w:rPr>
          <w:rFonts w:ascii="Calibri" w:hAnsi="Calibri" w:cs="Calibri"/>
        </w:rPr>
        <w:t>Metzelthin, S.F., Rostgaard, T., Parsons, M., &amp; Burton, E. (2020). Development of an internationally accepted definition of reablement: a Delphi study. </w:t>
      </w:r>
      <w:r w:rsidRPr="000F6CD1">
        <w:rPr>
          <w:rFonts w:ascii="Calibri" w:hAnsi="Calibri" w:cs="Calibri"/>
          <w:i/>
          <w:iCs/>
        </w:rPr>
        <w:t>Ageing and Society, 42</w:t>
      </w:r>
      <w:r w:rsidRPr="000F6CD1">
        <w:rPr>
          <w:rFonts w:ascii="Calibri" w:hAnsi="Calibri" w:cs="Calibri"/>
        </w:rPr>
        <w:t>, 703 - 718.</w:t>
      </w:r>
    </w:p>
    <w:p w14:paraId="4A954C78" w14:textId="77777777" w:rsidR="007A743C" w:rsidRPr="000F6CD1" w:rsidRDefault="007A743C" w:rsidP="007A743C">
      <w:pPr>
        <w:pStyle w:val="FootnoteText"/>
      </w:pPr>
    </w:p>
  </w:footnote>
  <w:footnote w:id="5">
    <w:p w14:paraId="06B65B87" w14:textId="77777777" w:rsidR="004D556D" w:rsidRPr="000F6CD1" w:rsidRDefault="004D556D">
      <w:pPr>
        <w:pStyle w:val="FootnoteText"/>
        <w:rPr>
          <w:rFonts w:ascii="Aptos" w:hAnsi="Aptos"/>
        </w:rPr>
      </w:pPr>
      <w:r w:rsidRPr="000F6CD1">
        <w:rPr>
          <w:rStyle w:val="FootnoteReference"/>
          <w:rFonts w:ascii="Aptos" w:hAnsi="Aptos"/>
        </w:rPr>
        <w:footnoteRef/>
      </w:r>
      <w:r w:rsidRPr="000F6CD1">
        <w:rPr>
          <w:rFonts w:ascii="Aptos" w:hAnsi="Aptos"/>
        </w:rPr>
        <w:t xml:space="preserve"> Remembering that for this service type you will need to decide the individual service (or services) the older person needs and turn your mind to the reason why they need that particular service (or services).</w:t>
      </w:r>
    </w:p>
  </w:footnote>
  <w:footnote w:id="6">
    <w:p w14:paraId="1CE1FA86" w14:textId="77777777" w:rsidR="004D556D" w:rsidRPr="000F6CD1" w:rsidRDefault="004D556D">
      <w:pPr>
        <w:pStyle w:val="FootnoteText"/>
      </w:pPr>
      <w:r w:rsidRPr="000F6CD1">
        <w:rPr>
          <w:rStyle w:val="FootnoteReference"/>
        </w:rPr>
        <w:footnoteRef/>
      </w:r>
      <w:r w:rsidRPr="000F6CD1">
        <w:t xml:space="preserve"> </w:t>
      </w:r>
      <w:r w:rsidRPr="000F6CD1">
        <w:rPr>
          <w:rFonts w:ascii="Aptos" w:hAnsi="Aptos"/>
        </w:rPr>
        <w:t>Remembering that for this service type you will need to decide the individual service (or services) the older person needs and turn your mind to the reason why they need that particular service (or services).</w:t>
      </w:r>
    </w:p>
  </w:footnote>
  <w:footnote w:id="7">
    <w:p w14:paraId="562CE0E0" w14:textId="77777777" w:rsidR="004D556D" w:rsidRPr="000F6CD1" w:rsidRDefault="004D556D">
      <w:pPr>
        <w:pStyle w:val="FootnoteText"/>
      </w:pPr>
      <w:r w:rsidRPr="000F6CD1">
        <w:rPr>
          <w:rStyle w:val="FootnoteReference"/>
        </w:rPr>
        <w:footnoteRef/>
      </w:r>
      <w:r w:rsidRPr="000F6CD1">
        <w:t xml:space="preserve"> At the time of delegate approval, the referral code will not yet be available when the older person is awaiting funding through the Support at Home, AT or HM Priority Systems.</w:t>
      </w:r>
    </w:p>
  </w:footnote>
  <w:footnote w:id="8">
    <w:p w14:paraId="12BBD40F" w14:textId="77777777" w:rsidR="004D556D" w:rsidRPr="000F6CD1" w:rsidRDefault="004D556D">
      <w:pPr>
        <w:pStyle w:val="FootnoteText"/>
        <w:rPr>
          <w:sz w:val="16"/>
          <w:szCs w:val="16"/>
        </w:rPr>
      </w:pPr>
      <w:r w:rsidRPr="000F6CD1">
        <w:rPr>
          <w:rStyle w:val="FootnoteReference"/>
          <w:sz w:val="16"/>
          <w:szCs w:val="16"/>
        </w:rPr>
        <w:footnoteRef/>
      </w:r>
      <w:r w:rsidRPr="000F6CD1">
        <w:rPr>
          <w:sz w:val="16"/>
          <w:szCs w:val="16"/>
        </w:rPr>
        <w:t xml:space="preserve"> </w:t>
      </w:r>
      <w:r w:rsidRPr="000F6CD1">
        <w:rPr>
          <w:rFonts w:eastAsia="Arial"/>
          <w:color w:val="000000" w:themeColor="text1"/>
          <w:sz w:val="16"/>
          <w:szCs w:val="16"/>
        </w:rPr>
        <w:t>A separate letter is required in this instance – see section 9.3.2 below for more information</w:t>
      </w:r>
    </w:p>
  </w:footnote>
  <w:footnote w:id="9">
    <w:p w14:paraId="4AC2FF64" w14:textId="77777777" w:rsidR="004D556D" w:rsidRPr="000F6CD1" w:rsidRDefault="004D556D" w:rsidP="00820EE5">
      <w:pPr>
        <w:spacing w:after="0" w:line="278" w:lineRule="auto"/>
        <w:rPr>
          <w:rFonts w:eastAsia="Arial"/>
          <w:sz w:val="16"/>
          <w:szCs w:val="16"/>
        </w:rPr>
      </w:pPr>
      <w:r w:rsidRPr="000F6CD1">
        <w:rPr>
          <w:rStyle w:val="FootnoteReference"/>
          <w:sz w:val="16"/>
          <w:szCs w:val="16"/>
        </w:rPr>
        <w:footnoteRef/>
      </w:r>
      <w:r w:rsidRPr="000F6CD1">
        <w:rPr>
          <w:rFonts w:eastAsia="Arial"/>
          <w:sz w:val="16"/>
          <w:szCs w:val="16"/>
        </w:rPr>
        <w:t xml:space="preserve"> The Aged Care Service List in Chapter 1, Part 3 of the </w:t>
      </w:r>
      <w:hyperlink r:id="rId1" w:history="1">
        <w:r w:rsidRPr="000F6CD1">
          <w:rPr>
            <w:rStyle w:val="Hyperlink"/>
            <w:rFonts w:eastAsia="Arial"/>
            <w:i/>
            <w:sz w:val="16"/>
            <w:szCs w:val="16"/>
          </w:rPr>
          <w:t>Aged Care Rules 2025</w:t>
        </w:r>
      </w:hyperlink>
      <w:r w:rsidRPr="000F6CD1">
        <w:rPr>
          <w:rFonts w:eastAsia="Arial"/>
          <w:sz w:val="16"/>
          <w:szCs w:val="16"/>
        </w:rPr>
        <w:t xml:space="preserve"> lists all the service types and services</w:t>
      </w:r>
    </w:p>
  </w:footnote>
  <w:footnote w:id="10">
    <w:p w14:paraId="35CC8528" w14:textId="77777777" w:rsidR="004D556D" w:rsidRPr="000F6CD1" w:rsidRDefault="004D556D" w:rsidP="001338C9">
      <w:pPr>
        <w:spacing w:after="0" w:line="278" w:lineRule="auto"/>
        <w:rPr>
          <w:rFonts w:eastAsia="Arial"/>
          <w:sz w:val="16"/>
          <w:szCs w:val="16"/>
        </w:rPr>
      </w:pPr>
      <w:r w:rsidRPr="000F6CD1">
        <w:rPr>
          <w:rStyle w:val="FootnoteReference"/>
          <w:sz w:val="16"/>
          <w:szCs w:val="16"/>
        </w:rPr>
        <w:footnoteRef/>
      </w:r>
      <w:r w:rsidRPr="000F6CD1">
        <w:rPr>
          <w:rFonts w:eastAsia="Arial"/>
          <w:sz w:val="16"/>
          <w:szCs w:val="16"/>
        </w:rPr>
        <w:t xml:space="preserve">The older person’s Support Plan may not list all of the services the older person is actually approved for under the Act. For example, if the older person’s support plan shows they are only approved for the service ‘Laundry services’, they are actually approved under the Act for </w:t>
      </w:r>
      <w:r w:rsidRPr="000F6CD1">
        <w:rPr>
          <w:rFonts w:eastAsia="Arial"/>
          <w:i/>
          <w:sz w:val="16"/>
          <w:szCs w:val="16"/>
        </w:rPr>
        <w:t>all</w:t>
      </w:r>
      <w:r w:rsidRPr="000F6CD1">
        <w:rPr>
          <w:rFonts w:eastAsia="Arial"/>
          <w:sz w:val="16"/>
          <w:szCs w:val="16"/>
        </w:rPr>
        <w:t xml:space="preserve"> the services in the service type ‘Domestic assistance’ – including ‘General house cleaning’ and ‘shopping assistance’.</w:t>
      </w:r>
    </w:p>
    <w:p w14:paraId="021D239B" w14:textId="77777777" w:rsidR="004D556D" w:rsidRPr="000F6CD1" w:rsidRDefault="004D556D">
      <w:pPr>
        <w:pStyle w:val="FootnoteText"/>
        <w:rPr>
          <w:sz w:val="16"/>
          <w:szCs w:val="16"/>
        </w:rPr>
      </w:pPr>
    </w:p>
  </w:footnote>
  <w:footnote w:id="11">
    <w:p w14:paraId="5B28FB70" w14:textId="77777777" w:rsidR="00B4017B" w:rsidRPr="003E6C8D" w:rsidRDefault="00B4017B" w:rsidP="00370263">
      <w:pPr>
        <w:pStyle w:val="FootnoteText"/>
      </w:pPr>
      <w:r w:rsidRPr="000F6CD1">
        <w:rPr>
          <w:rStyle w:val="FootnoteReference"/>
        </w:rPr>
        <w:footnoteRef/>
      </w:r>
      <w:r w:rsidRPr="000F6CD1">
        <w:t xml:space="preserve"> Wellness Approach to Community Home Care Information Booklet July 2008 produced by the Western Australian Department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F6BE" w14:textId="5DDC12F0" w:rsidR="00131731" w:rsidRPr="000F6CD1" w:rsidRDefault="00521113">
    <w:pPr>
      <w:pStyle w:val="Header"/>
    </w:pPr>
    <w:r w:rsidRPr="000F6CD1">
      <w:rPr>
        <w:noProof/>
        <w14:ligatures w14:val="standardContextual"/>
      </w:rPr>
      <mc:AlternateContent>
        <mc:Choice Requires="wps">
          <w:drawing>
            <wp:anchor distT="0" distB="0" distL="0" distR="0" simplePos="0" relativeHeight="251658240" behindDoc="0" locked="0" layoutInCell="1" allowOverlap="1" wp14:anchorId="257732CE" wp14:editId="3481BB60">
              <wp:simplePos x="635" y="635"/>
              <wp:positionH relativeFrom="page">
                <wp:align>center</wp:align>
              </wp:positionH>
              <wp:positionV relativeFrom="page">
                <wp:align>top</wp:align>
              </wp:positionV>
              <wp:extent cx="552450" cy="390525"/>
              <wp:effectExtent l="0" t="0" r="0" b="9525"/>
              <wp:wrapNone/>
              <wp:docPr id="1796713410" name="Text Box 17967134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0EB8C2" w14:textId="21D2F15A"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732CE" id="_x0000_t202" coordsize="21600,21600" o:spt="202" path="m,l,21600r21600,l21600,xe">
              <v:stroke joinstyle="miter"/>
              <v:path gradientshapeok="t" o:connecttype="rect"/>
            </v:shapetype>
            <v:shape id="Text Box 1796713410" o:spid="_x0000_s1035" type="#_x0000_t202" alt="OFFICIAL" style="position:absolute;margin-left:0;margin-top:0;width:43.5pt;height:30.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7A0EB8C2" w14:textId="21D2F15A"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C39C" w14:textId="77777777" w:rsidR="00B4017B" w:rsidRPr="000F6CD1" w:rsidRDefault="00B4017B" w:rsidP="000514A4">
    <w:pPr>
      <w:pStyle w:val="Header"/>
      <w:shd w:val="clear" w:color="auto" w:fill="auto"/>
    </w:pPr>
    <w:r w:rsidRPr="000F6CD1">
      <w:rPr>
        <w:noProof/>
        <w14:ligatures w14:val="standardContextual"/>
      </w:rPr>
      <mc:AlternateContent>
        <mc:Choice Requires="wps">
          <w:drawing>
            <wp:anchor distT="0" distB="0" distL="0" distR="0" simplePos="0" relativeHeight="251658262" behindDoc="0" locked="0" layoutInCell="1" allowOverlap="1" wp14:anchorId="6CA21BC4" wp14:editId="22100F16">
              <wp:simplePos x="635" y="635"/>
              <wp:positionH relativeFrom="page">
                <wp:align>center</wp:align>
              </wp:positionH>
              <wp:positionV relativeFrom="page">
                <wp:align>top</wp:align>
              </wp:positionV>
              <wp:extent cx="552450" cy="390525"/>
              <wp:effectExtent l="0" t="0" r="0" b="9525"/>
              <wp:wrapNone/>
              <wp:docPr id="28975265" name="Text Box 28975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8822966"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21BC4" id="_x0000_t202" coordsize="21600,21600" o:spt="202" path="m,l,21600r21600,l21600,xe">
              <v:stroke joinstyle="miter"/>
              <v:path gradientshapeok="t" o:connecttype="rect"/>
            </v:shapetype>
            <v:shape id="Text Box 28975265" o:spid="_x0000_s1051" type="#_x0000_t202" alt="OFFICIAL" style="position:absolute;margin-left:0;margin-top:0;width:43.5pt;height:30.7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" filled="f" stroked="f">
              <v:textbox style="mso-fit-shape-to-text:t" inset="0,15pt,0,0">
                <w:txbxContent>
                  <w:p w14:paraId="48822966"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2FF9"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64" behindDoc="0" locked="0" layoutInCell="1" allowOverlap="1" wp14:anchorId="5022D8C4" wp14:editId="63E2B191">
              <wp:simplePos x="635" y="635"/>
              <wp:positionH relativeFrom="page">
                <wp:align>center</wp:align>
              </wp:positionH>
              <wp:positionV relativeFrom="page">
                <wp:align>top</wp:align>
              </wp:positionV>
              <wp:extent cx="609600" cy="400050"/>
              <wp:effectExtent l="0" t="0" r="0" b="0"/>
              <wp:wrapNone/>
              <wp:docPr id="1292326623" name="Text Box 12923266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FB104F1"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22D8C4" id="_x0000_t202" coordsize="21600,21600" o:spt="202" path="m,l,21600r21600,l21600,xe">
              <v:stroke joinstyle="miter"/>
              <v:path gradientshapeok="t" o:connecttype="rect"/>
            </v:shapetype>
            <v:shape id="Text Box 1292326623" o:spid="_x0000_s1053" type="#_x0000_t202" alt="OFFICIAL" style="position:absolute;margin-left:0;margin-top:0;width:48pt;height:31.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Bh0OZHDAIAAB0EAAAO&#10;AAAAAAAAAAAAAAAAAC4CAABkcnMvZTJvRG9jLnhtbFBLAQItABQABgAIAAAAIQBYOUk32QAAAAMB&#10;AAAPAAAAAAAAAAAAAAAAAGYEAABkcnMvZG93bnJldi54bWxQSwUGAAAAAAQABADzAAAAbAUAAAAA&#10;" filled="f" stroked="f">
              <v:textbox style="mso-fit-shape-to-text:t" inset="0,15pt,0,0">
                <w:txbxContent>
                  <w:p w14:paraId="3FB104F1"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B436" w14:textId="77777777" w:rsidR="00B4017B" w:rsidRPr="000F6CD1" w:rsidRDefault="00B4017B" w:rsidP="005B1AEF">
    <w:pPr>
      <w:pStyle w:val="Header"/>
      <w:shd w:val="clear" w:color="auto" w:fill="FFFFFF" w:themeFill="background1"/>
    </w:pPr>
    <w:r w:rsidRPr="000F6CD1">
      <w:rPr>
        <w:noProof/>
      </w:rPr>
      <mc:AlternateContent>
        <mc:Choice Requires="wps">
          <w:drawing>
            <wp:anchor distT="0" distB="0" distL="0" distR="0" simplePos="0" relativeHeight="251658265" behindDoc="0" locked="0" layoutInCell="1" allowOverlap="1" wp14:anchorId="0AC2E3C4" wp14:editId="71A892BE">
              <wp:simplePos x="635" y="635"/>
              <wp:positionH relativeFrom="page">
                <wp:align>center</wp:align>
              </wp:positionH>
              <wp:positionV relativeFrom="page">
                <wp:align>top</wp:align>
              </wp:positionV>
              <wp:extent cx="609600" cy="400050"/>
              <wp:effectExtent l="0" t="0" r="0" b="0"/>
              <wp:wrapNone/>
              <wp:docPr id="870267888" name="Text Box 8702678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C0FE910"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2E3C4" id="_x0000_t202" coordsize="21600,21600" o:spt="202" path="m,l,21600r21600,l21600,xe">
              <v:stroke joinstyle="miter"/>
              <v:path gradientshapeok="t" o:connecttype="rect"/>
            </v:shapetype>
            <v:shape id="Text Box 870267888" o:spid="_x0000_s1054" type="#_x0000_t202" alt="OFFICIAL" style="position:absolute;margin-left:0;margin-top:0;width:48pt;height:31.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AMb1R6DAIAAB0EAAAO&#10;AAAAAAAAAAAAAAAAAC4CAABkcnMvZTJvRG9jLnhtbFBLAQItABQABgAIAAAAIQBYOUk32QAAAAMB&#10;AAAPAAAAAAAAAAAAAAAAAGYEAABkcnMvZG93bnJldi54bWxQSwUGAAAAAAQABADzAAAAbAUAAAAA&#10;" filled="f" stroked="f">
              <v:textbox style="mso-fit-shape-to-text:t" inset="0,15pt,0,0">
                <w:txbxContent>
                  <w:p w14:paraId="6C0FE910"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2FE2"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67" behindDoc="0" locked="0" layoutInCell="1" allowOverlap="1" wp14:anchorId="6B86A47A" wp14:editId="2760CD2A">
              <wp:simplePos x="635" y="635"/>
              <wp:positionH relativeFrom="page">
                <wp:align>center</wp:align>
              </wp:positionH>
              <wp:positionV relativeFrom="page">
                <wp:align>top</wp:align>
              </wp:positionV>
              <wp:extent cx="609600" cy="400050"/>
              <wp:effectExtent l="0" t="0" r="0" b="0"/>
              <wp:wrapNone/>
              <wp:docPr id="1085560568" name="Text Box 10855605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A3119E3"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6A47A" id="_x0000_t202" coordsize="21600,21600" o:spt="202" path="m,l,21600r21600,l21600,xe">
              <v:stroke joinstyle="miter"/>
              <v:path gradientshapeok="t" o:connecttype="rect"/>
            </v:shapetype>
            <v:shape id="Text Box 1085560568" o:spid="_x0000_s1056" type="#_x0000_t202" alt="OFFICIAL" style="position:absolute;margin-left:0;margin-top:0;width:48pt;height:31.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DLY/MZDAIAAB0EAAAO&#10;AAAAAAAAAAAAAAAAAC4CAABkcnMvZTJvRG9jLnhtbFBLAQItABQABgAIAAAAIQBYOUk32QAAAAMB&#10;AAAPAAAAAAAAAAAAAAAAAGYEAABkcnMvZG93bnJldi54bWxQSwUGAAAAAAQABADzAAAAbAUAAAAA&#10;" filled="f" stroked="f">
              <v:textbox style="mso-fit-shape-to-text:t" inset="0,15pt,0,0">
                <w:txbxContent>
                  <w:p w14:paraId="4A3119E3"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871D"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75" behindDoc="0" locked="0" layoutInCell="1" allowOverlap="1" wp14:anchorId="44472158" wp14:editId="77D70502">
              <wp:simplePos x="635" y="635"/>
              <wp:positionH relativeFrom="page">
                <wp:align>center</wp:align>
              </wp:positionH>
              <wp:positionV relativeFrom="page">
                <wp:align>top</wp:align>
              </wp:positionV>
              <wp:extent cx="609600" cy="400050"/>
              <wp:effectExtent l="0" t="0" r="0" b="0"/>
              <wp:wrapNone/>
              <wp:docPr id="736515247" name="Text Box 736515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B2B00BF"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72158" id="_x0000_t202" coordsize="21600,21600" o:spt="202" path="m,l,21600r21600,l21600,xe">
              <v:stroke joinstyle="miter"/>
              <v:path gradientshapeok="t" o:connecttype="rect"/>
            </v:shapetype>
            <v:shape id="Text Box 736515247" o:spid="_x0000_s1058" type="#_x0000_t202" alt="OFFICIAL" style="position:absolute;margin-left:0;margin-top:0;width:48pt;height:31.5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ER2WYg0CAAAdBAAA&#10;DgAAAAAAAAAAAAAAAAAuAgAAZHJzL2Uyb0RvYy54bWxQSwECLQAUAAYACAAAACEAWDlJN9kAAAAD&#10;AQAADwAAAAAAAAAAAAAAAABnBAAAZHJzL2Rvd25yZXYueG1sUEsFBgAAAAAEAAQA8wAAAG0FAAAA&#10;AA==&#10;" filled="f" stroked="f">
              <v:textbox style="mso-fit-shape-to-text:t" inset="0,15pt,0,0">
                <w:txbxContent>
                  <w:p w14:paraId="0B2B00BF"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84EB" w14:textId="77777777" w:rsidR="00B4017B" w:rsidRPr="000F6CD1" w:rsidRDefault="00B4017B">
    <w:r w:rsidRPr="000F6CD1">
      <w:rPr>
        <w:noProof/>
      </w:rPr>
      <mc:AlternateContent>
        <mc:Choice Requires="wps">
          <w:drawing>
            <wp:anchor distT="0" distB="0" distL="0" distR="0" simplePos="0" relativeHeight="251658276" behindDoc="0" locked="0" layoutInCell="1" allowOverlap="1" wp14:anchorId="0EE807FA" wp14:editId="7686CB2C">
              <wp:simplePos x="635" y="635"/>
              <wp:positionH relativeFrom="page">
                <wp:align>center</wp:align>
              </wp:positionH>
              <wp:positionV relativeFrom="page">
                <wp:align>top</wp:align>
              </wp:positionV>
              <wp:extent cx="609600" cy="400050"/>
              <wp:effectExtent l="0" t="0" r="0" b="0"/>
              <wp:wrapNone/>
              <wp:docPr id="1022763212" name="Text Box 1022763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12522AE"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E807FA" id="_x0000_t202" coordsize="21600,21600" o:spt="202" path="m,l,21600r21600,l21600,xe">
              <v:stroke joinstyle="miter"/>
              <v:path gradientshapeok="t" o:connecttype="rect"/>
            </v:shapetype>
            <v:shape id="Text Box 1022763212" o:spid="_x0000_s1059" type="#_x0000_t202" alt="OFFICIAL" style="position:absolute;margin-left:0;margin-top:0;width:48pt;height:31.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EiGL0g0CAAAdBAAA&#10;DgAAAAAAAAAAAAAAAAAuAgAAZHJzL2Uyb0RvYy54bWxQSwECLQAUAAYACAAAACEAWDlJN9kAAAAD&#10;AQAADwAAAAAAAAAAAAAAAABnBAAAZHJzL2Rvd25yZXYueG1sUEsFBgAAAAAEAAQA8wAAAG0FAAAA&#10;AA==&#10;" filled="f" stroked="f">
              <v:textbox style="mso-fit-shape-to-text:t" inset="0,15pt,0,0">
                <w:txbxContent>
                  <w:p w14:paraId="212522AE"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3353"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78" behindDoc="0" locked="0" layoutInCell="1" allowOverlap="1" wp14:anchorId="25276109" wp14:editId="72C26145">
              <wp:simplePos x="635" y="635"/>
              <wp:positionH relativeFrom="page">
                <wp:align>center</wp:align>
              </wp:positionH>
              <wp:positionV relativeFrom="page">
                <wp:align>top</wp:align>
              </wp:positionV>
              <wp:extent cx="609600" cy="400050"/>
              <wp:effectExtent l="0" t="0" r="0" b="0"/>
              <wp:wrapNone/>
              <wp:docPr id="1658617636" name="Text Box 16586176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9C802C3"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76109" id="_x0000_t202" coordsize="21600,21600" o:spt="202" path="m,l,21600r21600,l21600,xe">
              <v:stroke joinstyle="miter"/>
              <v:path gradientshapeok="t" o:connecttype="rect"/>
            </v:shapetype>
            <v:shape id="Text Box 1658617636" o:spid="_x0000_s1061" type="#_x0000_t202" alt="OFFICIAL" style="position:absolute;margin-left:0;margin-top:0;width:48pt;height:31.5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yF/uqQ0CAAAdBAAA&#10;DgAAAAAAAAAAAAAAAAAuAgAAZHJzL2Uyb0RvYy54bWxQSwECLQAUAAYACAAAACEAWDlJN9kAAAAD&#10;AQAADwAAAAAAAAAAAAAAAABnBAAAZHJzL2Rvd25yZXYueG1sUEsFBgAAAAAEAAQA8wAAAG0FAAAA&#10;AA==&#10;" filled="f" stroked="f">
              <v:textbox style="mso-fit-shape-to-text:t" inset="0,15pt,0,0">
                <w:txbxContent>
                  <w:p w14:paraId="39C802C3"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8F9D"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69" behindDoc="0" locked="0" layoutInCell="1" allowOverlap="1" wp14:anchorId="259D4400" wp14:editId="1D468680">
              <wp:simplePos x="635" y="635"/>
              <wp:positionH relativeFrom="page">
                <wp:align>center</wp:align>
              </wp:positionH>
              <wp:positionV relativeFrom="page">
                <wp:align>top</wp:align>
              </wp:positionV>
              <wp:extent cx="609600" cy="400050"/>
              <wp:effectExtent l="0" t="0" r="0" b="0"/>
              <wp:wrapNone/>
              <wp:docPr id="1280981622" name="Text Box 12809816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0ECC82A"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D4400" id="_x0000_t202" coordsize="21600,21600" o:spt="202" path="m,l,21600r21600,l21600,xe">
              <v:stroke joinstyle="miter"/>
              <v:path gradientshapeok="t" o:connecttype="rect"/>
            </v:shapetype>
            <v:shape id="Text Box 1280981622" o:spid="_x0000_s1063" type="#_x0000_t202" alt="OFFICIAL" style="position:absolute;margin-left:0;margin-top:0;width:48pt;height:31.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jyGlEg0CAAAdBAAA&#10;DgAAAAAAAAAAAAAAAAAuAgAAZHJzL2Uyb0RvYy54bWxQSwECLQAUAAYACAAAACEAWDlJN9kAAAAD&#10;AQAADwAAAAAAAAAAAAAAAABnBAAAZHJzL2Rvd25yZXYueG1sUEsFBgAAAAAEAAQA8wAAAG0FAAAA&#10;AA==&#10;" filled="f" stroked="f">
              <v:textbox style="mso-fit-shape-to-text:t" inset="0,15pt,0,0">
                <w:txbxContent>
                  <w:p w14:paraId="00ECC82A"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B39A" w14:textId="77777777" w:rsidR="00B4017B" w:rsidRPr="000F6CD1" w:rsidRDefault="00B4017B">
    <w:pPr>
      <w:pStyle w:val="Header"/>
      <w:shd w:val="clear" w:color="auto" w:fill="auto"/>
    </w:pPr>
    <w:r w:rsidRPr="000F6CD1">
      <w:rPr>
        <w:noProof/>
        <w14:ligatures w14:val="standardContextual"/>
      </w:rPr>
      <mc:AlternateContent>
        <mc:Choice Requires="wps">
          <w:drawing>
            <wp:anchor distT="0" distB="0" distL="0" distR="0" simplePos="0" relativeHeight="251658270" behindDoc="0" locked="0" layoutInCell="1" allowOverlap="1" wp14:anchorId="35A28F74" wp14:editId="38661C66">
              <wp:simplePos x="635" y="635"/>
              <wp:positionH relativeFrom="page">
                <wp:align>center</wp:align>
              </wp:positionH>
              <wp:positionV relativeFrom="page">
                <wp:align>top</wp:align>
              </wp:positionV>
              <wp:extent cx="609600" cy="400050"/>
              <wp:effectExtent l="0" t="0" r="0" b="0"/>
              <wp:wrapNone/>
              <wp:docPr id="466486401" name="Text Box 4664864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3DB9168"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28F74" id="_x0000_t202" coordsize="21600,21600" o:spt="202" path="m,l,21600r21600,l21600,xe">
              <v:stroke joinstyle="miter"/>
              <v:path gradientshapeok="t" o:connecttype="rect"/>
            </v:shapetype>
            <v:shape id="Text Box 466486401" o:spid="_x0000_s1064" type="#_x0000_t202" alt="OFFICIAL" style="position:absolute;margin-left:0;margin-top:0;width:48pt;height:31.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4p4XLw0CAAAdBAAA&#10;DgAAAAAAAAAAAAAAAAAuAgAAZHJzL2Uyb0RvYy54bWxQSwECLQAUAAYACAAAACEAWDlJN9kAAAAD&#10;AQAADwAAAAAAAAAAAAAAAABnBAAAZHJzL2Rvd25yZXYueG1sUEsFBgAAAAAEAAQA8wAAAG0FAAAA&#10;AA==&#10;" filled="f" stroked="f">
              <v:textbox style="mso-fit-shape-to-text:t" inset="0,15pt,0,0">
                <w:txbxContent>
                  <w:p w14:paraId="03DB9168"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8D32"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73" behindDoc="0" locked="0" layoutInCell="1" allowOverlap="1" wp14:anchorId="24FEF695" wp14:editId="64466873">
              <wp:simplePos x="635" y="635"/>
              <wp:positionH relativeFrom="page">
                <wp:align>center</wp:align>
              </wp:positionH>
              <wp:positionV relativeFrom="page">
                <wp:align>top</wp:align>
              </wp:positionV>
              <wp:extent cx="609600" cy="400050"/>
              <wp:effectExtent l="0" t="0" r="0" b="0"/>
              <wp:wrapNone/>
              <wp:docPr id="478154309" name="Text Box 478154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CF01CFB"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EF695" id="_x0000_t202" coordsize="21600,21600" o:spt="202" path="m,l,21600r21600,l21600,xe">
              <v:stroke joinstyle="miter"/>
              <v:path gradientshapeok="t" o:connecttype="rect"/>
            </v:shapetype>
            <v:shape id="Text Box 478154309" o:spid="_x0000_s1067" type="#_x0000_t202" alt="OFFICIAL" style="position:absolute;margin-left:0;margin-top:0;width:48pt;height:31.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Jg0abA0CAAAdBAAA&#10;DgAAAAAAAAAAAAAAAAAuAgAAZHJzL2Uyb0RvYy54bWxQSwECLQAUAAYACAAAACEAWDlJN9kAAAAD&#10;AQAADwAAAAAAAAAAAAAAAABnBAAAZHJzL2Rvd25yZXYueG1sUEsFBgAAAAAEAAQA8wAAAG0FAAAA&#10;AA==&#10;" filled="f" stroked="f">
              <v:textbox style="mso-fit-shape-to-text:t" inset="0,15pt,0,0">
                <w:txbxContent>
                  <w:p w14:paraId="0CF01CFB" w14:textId="77777777" w:rsidR="00B4017B" w:rsidRPr="000F6CD1" w:rsidRDefault="00B4017B">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562B" w14:textId="0BF55575" w:rsidR="00131731" w:rsidRPr="000F6CD1" w:rsidRDefault="00521113" w:rsidP="000514A4">
    <w:pPr>
      <w:pStyle w:val="Header"/>
      <w:shd w:val="clear" w:color="auto" w:fill="auto"/>
    </w:pPr>
    <w:r w:rsidRPr="000F6CD1">
      <w:rPr>
        <w:noProof/>
        <w14:ligatures w14:val="standardContextual"/>
      </w:rPr>
      <mc:AlternateContent>
        <mc:Choice Requires="wps">
          <w:drawing>
            <wp:anchor distT="0" distB="0" distL="0" distR="0" simplePos="0" relativeHeight="251658242" behindDoc="0" locked="0" layoutInCell="1" allowOverlap="1" wp14:anchorId="34A0B41C" wp14:editId="22C1A522">
              <wp:simplePos x="635" y="635"/>
              <wp:positionH relativeFrom="page">
                <wp:align>center</wp:align>
              </wp:positionH>
              <wp:positionV relativeFrom="page">
                <wp:align>top</wp:align>
              </wp:positionV>
              <wp:extent cx="552450" cy="390525"/>
              <wp:effectExtent l="0" t="0" r="0" b="9525"/>
              <wp:wrapNone/>
              <wp:docPr id="719208490" name="Text Box 7192084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0F69920" w14:textId="2F5D20D7"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0B41C" id="_x0000_t202" coordsize="21600,21600" o:spt="202" path="m,l,21600r21600,l21600,xe">
              <v:stroke joinstyle="miter"/>
              <v:path gradientshapeok="t" o:connecttype="rect"/>
            </v:shapetype>
            <v:shape id="Text Box 719208490" o:spid="_x0000_s1037" type="#_x0000_t202" alt="OFFICIAL" style="position:absolute;margin-left:0;margin-top:0;width:43.5pt;height:30.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CSBIiWDAIAABwEAAAO&#10;AAAAAAAAAAAAAAAAAC4CAABkcnMvZTJvRG9jLnhtbFBLAQItABQABgAIAAAAIQBX5r+h2QAAAAMB&#10;AAAPAAAAAAAAAAAAAAAAAGYEAABkcnMvZG93bnJldi54bWxQSwUGAAAAAAQABADzAAAAbAUAAAAA&#10;" filled="f" stroked="f">
              <v:textbox style="mso-fit-shape-to-text:t" inset="0,15pt,0,0">
                <w:txbxContent>
                  <w:p w14:paraId="20F69920" w14:textId="2F5D20D7" w:rsidR="00521113" w:rsidRPr="000F6CD1" w:rsidRDefault="00521113"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9907" w14:textId="3B0FE56C" w:rsidR="00370263" w:rsidRPr="000F6CD1" w:rsidRDefault="00370263">
    <w:pPr>
      <w:pStyle w:val="Header"/>
    </w:pPr>
    <w:r w:rsidRPr="000F6CD1">
      <w:rPr>
        <w:noProof/>
        <w14:ligatures w14:val="standardContextual"/>
      </w:rPr>
      <mc:AlternateContent>
        <mc:Choice Requires="wps">
          <w:drawing>
            <wp:anchor distT="0" distB="0" distL="0" distR="0" simplePos="0" relativeHeight="251658249" behindDoc="0" locked="0" layoutInCell="1" allowOverlap="1" wp14:anchorId="45FB8CCD" wp14:editId="5E5573C8">
              <wp:simplePos x="635" y="635"/>
              <wp:positionH relativeFrom="page">
                <wp:align>center</wp:align>
              </wp:positionH>
              <wp:positionV relativeFrom="page">
                <wp:align>top</wp:align>
              </wp:positionV>
              <wp:extent cx="609600" cy="400050"/>
              <wp:effectExtent l="0" t="0" r="0" b="0"/>
              <wp:wrapNone/>
              <wp:docPr id="1459020805" name="Text Box 14590208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72FF4F7"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B8CCD" id="_x0000_t202" coordsize="21600,21600" o:spt="202" path="m,l,21600r21600,l21600,xe">
              <v:stroke joinstyle="miter"/>
              <v:path gradientshapeok="t" o:connecttype="rect"/>
            </v:shapetype>
            <v:shape id="Text Box 1459020805" o:spid="_x0000_s1069" type="#_x0000_t202" alt="OFFICIAL" style="position:absolute;margin-left:0;margin-top:0;width:48pt;height:31.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SI614Q0CAAAdBAAA&#10;DgAAAAAAAAAAAAAAAAAuAgAAZHJzL2Uyb0RvYy54bWxQSwECLQAUAAYACAAAACEAWDlJN9kAAAAD&#10;AQAADwAAAAAAAAAAAAAAAABnBAAAZHJzL2Rvd25yZXYueG1sUEsFBgAAAAAEAAQA8wAAAG0FAAAA&#10;AA==&#10;" filled="f" stroked="f">
              <v:textbox style="mso-fit-shape-to-text:t" inset="0,15pt,0,0">
                <w:txbxContent>
                  <w:p w14:paraId="372FF4F7"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77B7" w14:textId="6BE1282A" w:rsidR="00370263" w:rsidRPr="000F6CD1" w:rsidRDefault="00370263">
    <w:pPr>
      <w:pStyle w:val="Header"/>
      <w:shd w:val="clear" w:color="auto" w:fill="auto"/>
    </w:pPr>
    <w:r w:rsidRPr="000F6CD1">
      <w:rPr>
        <w:noProof/>
        <w14:ligatures w14:val="standardContextual"/>
      </w:rPr>
      <mc:AlternateContent>
        <mc:Choice Requires="wps">
          <w:drawing>
            <wp:anchor distT="0" distB="0" distL="0" distR="0" simplePos="0" relativeHeight="251658250" behindDoc="0" locked="0" layoutInCell="1" allowOverlap="1" wp14:anchorId="0F479B4C" wp14:editId="491D6BB4">
              <wp:simplePos x="635" y="635"/>
              <wp:positionH relativeFrom="page">
                <wp:align>center</wp:align>
              </wp:positionH>
              <wp:positionV relativeFrom="page">
                <wp:align>top</wp:align>
              </wp:positionV>
              <wp:extent cx="609600" cy="400050"/>
              <wp:effectExtent l="0" t="0" r="0" b="0"/>
              <wp:wrapNone/>
              <wp:docPr id="193986111" name="Text Box 193986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2768F749"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79B4C" id="_x0000_t202" coordsize="21600,21600" o:spt="202" path="m,l,21600r21600,l21600,xe">
              <v:stroke joinstyle="miter"/>
              <v:path gradientshapeok="t" o:connecttype="rect"/>
            </v:shapetype>
            <v:shape id="Text Box 193986111" o:spid="_x0000_s1070" type="#_x0000_t202" alt="OFFICIAL" style="position:absolute;margin-left:0;margin-top:0;width:48pt;height:3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JTEH3A0CAAAdBAAA&#10;DgAAAAAAAAAAAAAAAAAuAgAAZHJzL2Uyb0RvYy54bWxQSwECLQAUAAYACAAAACEAWDlJN9kAAAAD&#10;AQAADwAAAAAAAAAAAAAAAABnBAAAZHJzL2Rvd25yZXYueG1sUEsFBgAAAAAEAAQA8wAAAG0FAAAA&#10;AA==&#10;" filled="f" stroked="f">
              <v:textbox style="mso-fit-shape-to-text:t" inset="0,15pt,0,0">
                <w:txbxContent>
                  <w:p w14:paraId="2768F749"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99C3" w14:textId="65925D3D" w:rsidR="00370263" w:rsidRPr="000F6CD1" w:rsidRDefault="00370263">
    <w:pPr>
      <w:pStyle w:val="Header"/>
    </w:pPr>
    <w:r w:rsidRPr="000F6CD1">
      <w:rPr>
        <w:noProof/>
        <w14:ligatures w14:val="standardContextual"/>
      </w:rPr>
      <mc:AlternateContent>
        <mc:Choice Requires="wps">
          <w:drawing>
            <wp:anchor distT="0" distB="0" distL="0" distR="0" simplePos="0" relativeHeight="251658253" behindDoc="0" locked="0" layoutInCell="1" allowOverlap="1" wp14:anchorId="5375395B" wp14:editId="53262C0D">
              <wp:simplePos x="635" y="635"/>
              <wp:positionH relativeFrom="page">
                <wp:align>center</wp:align>
              </wp:positionH>
              <wp:positionV relativeFrom="page">
                <wp:align>top</wp:align>
              </wp:positionV>
              <wp:extent cx="609600" cy="400050"/>
              <wp:effectExtent l="0" t="0" r="0" b="0"/>
              <wp:wrapNone/>
              <wp:docPr id="1625586670" name="Text Box 16255866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08EA3833"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5395B" id="_x0000_t202" coordsize="21600,21600" o:spt="202" path="m,l,21600r21600,l21600,xe">
              <v:stroke joinstyle="miter"/>
              <v:path gradientshapeok="t" o:connecttype="rect"/>
            </v:shapetype>
            <v:shape id="Text Box 1625586670" o:spid="_x0000_s1073" type="#_x0000_t202" alt="OFFICIAL" style="position:absolute;margin-left:0;margin-top:0;width:48pt;height:31.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" filled="f" stroked="f">
              <v:textbox style="mso-fit-shape-to-text:t" inset="0,15pt,0,0">
                <w:txbxContent>
                  <w:p w14:paraId="08EA3833" w14:textId="77777777" w:rsidR="00370263" w:rsidRPr="000F6CD1" w:rsidRDefault="00370263">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022" w14:textId="0F0CE956" w:rsidR="00960A13" w:rsidRPr="000F6CD1" w:rsidRDefault="00960A13">
    <w:pPr>
      <w:pStyle w:val="Header"/>
    </w:pPr>
    <w:r w:rsidRPr="000F6CD1">
      <w:rPr>
        <w:noProof/>
        <w14:ligatures w14:val="standardContextual"/>
      </w:rPr>
      <mc:AlternateContent>
        <mc:Choice Requires="wps">
          <w:drawing>
            <wp:anchor distT="0" distB="0" distL="0" distR="0" simplePos="0" relativeHeight="251658245" behindDoc="0" locked="0" layoutInCell="1" allowOverlap="1" wp14:anchorId="269285C5" wp14:editId="5E2293A2">
              <wp:simplePos x="635" y="635"/>
              <wp:positionH relativeFrom="page">
                <wp:align>center</wp:align>
              </wp:positionH>
              <wp:positionV relativeFrom="page">
                <wp:align>top</wp:align>
              </wp:positionV>
              <wp:extent cx="551815" cy="391160"/>
              <wp:effectExtent l="0" t="0" r="635" b="8890"/>
              <wp:wrapNone/>
              <wp:docPr id="738340079" name="Text Box 7383400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AF1E0D"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285C5" id="_x0000_t202" coordsize="21600,21600" o:spt="202" path="m,l,21600r21600,l21600,xe">
              <v:stroke joinstyle="miter"/>
              <v:path gradientshapeok="t" o:connecttype="rect"/>
            </v:shapetype>
            <v:shape id="Text Box 738340079" o:spid="_x0000_s1039"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67AF1E0D"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7892" w14:textId="7D60392B" w:rsidR="00960A13" w:rsidRPr="000F6CD1" w:rsidRDefault="00960A13">
    <w:r w:rsidRPr="000F6CD1">
      <w:rPr>
        <w:noProof/>
      </w:rPr>
      <mc:AlternateContent>
        <mc:Choice Requires="wps">
          <w:drawing>
            <wp:anchor distT="0" distB="0" distL="0" distR="0" simplePos="0" relativeHeight="251658246" behindDoc="0" locked="0" layoutInCell="1" allowOverlap="1" wp14:anchorId="6F86891D" wp14:editId="17470085">
              <wp:simplePos x="635" y="635"/>
              <wp:positionH relativeFrom="page">
                <wp:align>center</wp:align>
              </wp:positionH>
              <wp:positionV relativeFrom="page">
                <wp:align>top</wp:align>
              </wp:positionV>
              <wp:extent cx="551815" cy="391160"/>
              <wp:effectExtent l="0" t="0" r="635" b="8890"/>
              <wp:wrapNone/>
              <wp:docPr id="550837615" name="Text Box 550837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2C44EB"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6891D" id="_x0000_t202" coordsize="21600,21600" o:spt="202" path="m,l,21600r21600,l21600,xe">
              <v:stroke joinstyle="miter"/>
              <v:path gradientshapeok="t" o:connecttype="rect"/>
            </v:shapetype>
            <v:shape id="Text Box 550837615" o:spid="_x0000_s1040"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392C44EB"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7263" w14:textId="56762F99" w:rsidR="00960A13" w:rsidRPr="000F6CD1" w:rsidRDefault="00960A13">
    <w:pPr>
      <w:pStyle w:val="Header"/>
    </w:pPr>
    <w:r w:rsidRPr="000F6CD1">
      <w:rPr>
        <w:noProof/>
        <w14:ligatures w14:val="standardContextual"/>
      </w:rPr>
      <mc:AlternateContent>
        <mc:Choice Requires="wps">
          <w:drawing>
            <wp:anchor distT="0" distB="0" distL="0" distR="0" simplePos="0" relativeHeight="251658244" behindDoc="0" locked="0" layoutInCell="1" allowOverlap="1" wp14:anchorId="125912B5" wp14:editId="7E2F7068">
              <wp:simplePos x="635" y="635"/>
              <wp:positionH relativeFrom="page">
                <wp:align>center</wp:align>
              </wp:positionH>
              <wp:positionV relativeFrom="page">
                <wp:align>top</wp:align>
              </wp:positionV>
              <wp:extent cx="551815" cy="391160"/>
              <wp:effectExtent l="0" t="0" r="635" b="8890"/>
              <wp:wrapNone/>
              <wp:docPr id="1675902243" name="Text Box 1675902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AFECB4"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5912B5" id="_x0000_t202" coordsize="21600,21600" o:spt="202" path="m,l,21600r21600,l21600,xe">
              <v:stroke joinstyle="miter"/>
              <v:path gradientshapeok="t" o:connecttype="rect"/>
            </v:shapetype>
            <v:shape id="Text Box 1675902243" o:spid="_x0000_s1042"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74AFECB4" w14:textId="77777777" w:rsidR="00960A13" w:rsidRPr="000F6CD1" w:rsidRDefault="00960A13">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D81C" w14:textId="77777777" w:rsidR="004D556D" w:rsidRPr="000F6CD1" w:rsidRDefault="004D556D">
    <w:pPr>
      <w:pStyle w:val="Header"/>
    </w:pPr>
    <w:r w:rsidRPr="000F6CD1">
      <w:rPr>
        <w:noProof/>
        <w14:ligatures w14:val="standardContextual"/>
      </w:rPr>
      <mc:AlternateContent>
        <mc:Choice Requires="wps">
          <w:drawing>
            <wp:anchor distT="0" distB="0" distL="0" distR="0" simplePos="0" relativeHeight="251658255" behindDoc="0" locked="0" layoutInCell="1" allowOverlap="1" wp14:anchorId="65FD1776" wp14:editId="397A02E1">
              <wp:simplePos x="635" y="635"/>
              <wp:positionH relativeFrom="page">
                <wp:align>center</wp:align>
              </wp:positionH>
              <wp:positionV relativeFrom="page">
                <wp:align>top</wp:align>
              </wp:positionV>
              <wp:extent cx="609600" cy="400050"/>
              <wp:effectExtent l="0" t="0" r="0" b="0"/>
              <wp:wrapNone/>
              <wp:docPr id="403671860" name="Text Box 4036718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382303D"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D1776" id="_x0000_t202" coordsize="21600,21600" o:spt="202" path="m,l,21600r21600,l21600,xe">
              <v:stroke joinstyle="miter"/>
              <v:path gradientshapeok="t" o:connecttype="rect"/>
            </v:shapetype>
            <v:shape id="Text Box 403671860" o:spid="_x0000_s1044" type="#_x0000_t202" alt="OFFICIAL" style="position:absolute;margin-left:0;margin-top:0;width:48pt;height:31.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BJxOREDAIAABwEAAAO&#10;AAAAAAAAAAAAAAAAAC4CAABkcnMvZTJvRG9jLnhtbFBLAQItABQABgAIAAAAIQBYOUk32QAAAAMB&#10;AAAPAAAAAAAAAAAAAAAAAGYEAABkcnMvZG93bnJldi54bWxQSwUGAAAAAAQABADzAAAAbAUAAAAA&#10;" filled="f" stroked="f">
              <v:textbox style="mso-fit-shape-to-text:t" inset="0,15pt,0,0">
                <w:txbxContent>
                  <w:p w14:paraId="5382303D"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EE192" w14:textId="77777777" w:rsidR="004D556D" w:rsidRPr="000F6CD1" w:rsidRDefault="004D556D">
    <w:r w:rsidRPr="000F6CD1">
      <w:rPr>
        <w:noProof/>
      </w:rPr>
      <mc:AlternateContent>
        <mc:Choice Requires="wps">
          <w:drawing>
            <wp:anchor distT="0" distB="0" distL="0" distR="0" simplePos="0" relativeHeight="251658256" behindDoc="0" locked="0" layoutInCell="1" allowOverlap="1" wp14:anchorId="18CD32A1" wp14:editId="131C0982">
              <wp:simplePos x="635" y="635"/>
              <wp:positionH relativeFrom="page">
                <wp:align>center</wp:align>
              </wp:positionH>
              <wp:positionV relativeFrom="page">
                <wp:align>top</wp:align>
              </wp:positionV>
              <wp:extent cx="609600" cy="400050"/>
              <wp:effectExtent l="0" t="0" r="0" b="0"/>
              <wp:wrapNone/>
              <wp:docPr id="1108768436" name="Text Box 11087684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4E1621D"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D32A1" id="_x0000_t202" coordsize="21600,21600" o:spt="202" path="m,l,21600r21600,l21600,xe">
              <v:stroke joinstyle="miter"/>
              <v:path gradientshapeok="t" o:connecttype="rect"/>
            </v:shapetype>
            <v:shape id="Text Box 1108768436" o:spid="_x0000_s1045" type="#_x0000_t202" alt="OFFICIAL" style="position:absolute;margin-left:0;margin-top:0;width:48pt;height:31.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" filled="f" stroked="f">
              <v:textbox style="mso-fit-shape-to-text:t" inset="0,15pt,0,0">
                <w:txbxContent>
                  <w:p w14:paraId="34E1621D"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B24A" w14:textId="77777777" w:rsidR="004D556D" w:rsidRPr="000F6CD1" w:rsidRDefault="004D556D">
    <w:pPr>
      <w:pStyle w:val="Header"/>
    </w:pPr>
    <w:r w:rsidRPr="000F6CD1">
      <w:rPr>
        <w:noProof/>
        <w14:ligatures w14:val="standardContextual"/>
      </w:rPr>
      <mc:AlternateContent>
        <mc:Choice Requires="wps">
          <w:drawing>
            <wp:anchor distT="0" distB="0" distL="0" distR="0" simplePos="0" relativeHeight="251658258" behindDoc="0" locked="0" layoutInCell="1" allowOverlap="1" wp14:anchorId="769F68A6" wp14:editId="5C7E952D">
              <wp:simplePos x="635" y="635"/>
              <wp:positionH relativeFrom="page">
                <wp:align>center</wp:align>
              </wp:positionH>
              <wp:positionV relativeFrom="page">
                <wp:align>top</wp:align>
              </wp:positionV>
              <wp:extent cx="609600" cy="400050"/>
              <wp:effectExtent l="0" t="0" r="0" b="0"/>
              <wp:wrapNone/>
              <wp:docPr id="1089323015" name="Text Box 10893230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32407FC"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F68A6" id="_x0000_t202" coordsize="21600,21600" o:spt="202" path="m,l,21600r21600,l21600,xe">
              <v:stroke joinstyle="miter"/>
              <v:path gradientshapeok="t" o:connecttype="rect"/>
            </v:shapetype>
            <v:shape id="Text Box 1089323015" o:spid="_x0000_s1047" type="#_x0000_t202" alt="OFFICIAL" style="position:absolute;margin-left:0;margin-top:0;width:48pt;height:31.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" filled="f" stroked="f">
              <v:textbox style="mso-fit-shape-to-text:t" inset="0,15pt,0,0">
                <w:txbxContent>
                  <w:p w14:paraId="432407FC" w14:textId="77777777" w:rsidR="004D556D" w:rsidRPr="000F6CD1" w:rsidRDefault="004D556D">
                    <w:pPr>
                      <w:spacing w:after="0"/>
                      <w:rPr>
                        <w:rFonts w:ascii="Aptos" w:eastAsia="Aptos" w:hAnsi="Aptos" w:cs="Aptos"/>
                        <w:color w:val="FF0000"/>
                      </w:rPr>
                    </w:pPr>
                    <w:r w:rsidRPr="000F6CD1">
                      <w:rPr>
                        <w:rFonts w:ascii="Aptos" w:eastAsia="Aptos" w:hAnsi="Aptos" w:cs="Aptos"/>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CD158" w14:textId="77777777" w:rsidR="00B4017B" w:rsidRPr="000F6CD1" w:rsidRDefault="00B4017B">
    <w:pPr>
      <w:pStyle w:val="Header"/>
    </w:pPr>
    <w:r w:rsidRPr="000F6CD1">
      <w:rPr>
        <w:noProof/>
        <w14:ligatures w14:val="standardContextual"/>
      </w:rPr>
      <mc:AlternateContent>
        <mc:Choice Requires="wps">
          <w:drawing>
            <wp:anchor distT="0" distB="0" distL="0" distR="0" simplePos="0" relativeHeight="251658260" behindDoc="0" locked="0" layoutInCell="1" allowOverlap="1" wp14:anchorId="403FD513" wp14:editId="6BDE0128">
              <wp:simplePos x="635" y="635"/>
              <wp:positionH relativeFrom="page">
                <wp:align>center</wp:align>
              </wp:positionH>
              <wp:positionV relativeFrom="page">
                <wp:align>top</wp:align>
              </wp:positionV>
              <wp:extent cx="552450" cy="390525"/>
              <wp:effectExtent l="0" t="0" r="0" b="9525"/>
              <wp:wrapNone/>
              <wp:docPr id="1052410022" name="Text Box 10524100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7124ACB"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FD513" id="_x0000_t202" coordsize="21600,21600" o:spt="202" path="m,l,21600r21600,l21600,xe">
              <v:stroke joinstyle="miter"/>
              <v:path gradientshapeok="t" o:connecttype="rect"/>
            </v:shapetype>
            <v:shape id="Text Box 1052410022" o:spid="_x0000_s1049" type="#_x0000_t202" alt="OFFICIAL" style="position:absolute;margin-left:0;margin-top:0;width:43.5pt;height:30.7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yBDQIAAB0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" filled="f" stroked="f">
              <v:textbox style="mso-fit-shape-to-text:t" inset="0,15pt,0,0">
                <w:txbxContent>
                  <w:p w14:paraId="27124ACB" w14:textId="77777777" w:rsidR="00B4017B" w:rsidRPr="000F6CD1" w:rsidRDefault="00B4017B" w:rsidP="004A5991">
                    <w:pPr>
                      <w:spacing w:after="0"/>
                      <w:rPr>
                        <w:rFonts w:ascii="Calibri" w:eastAsia="Calibri" w:hAnsi="Calibri" w:cs="Calibri"/>
                        <w:color w:val="FF0000"/>
                      </w:rPr>
                    </w:pPr>
                    <w:r w:rsidRPr="000F6CD1">
                      <w:rPr>
                        <w:rFonts w:ascii="Calibri" w:eastAsia="Calibri" w:hAnsi="Calibri" w:cs="Calibri"/>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ByidkXaRxGvMx" int2:id="e6ovHhR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E9217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1F05B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737E4"/>
    <w:multiLevelType w:val="multilevel"/>
    <w:tmpl w:val="B042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2657F6"/>
    <w:multiLevelType w:val="multilevel"/>
    <w:tmpl w:val="BAC24BA8"/>
    <w:lvl w:ilvl="0">
      <w:start w:val="1"/>
      <w:numFmt w:val="decimal"/>
      <w:lvlText w:val="%1."/>
      <w:lvlJc w:val="left"/>
      <w:pPr>
        <w:ind w:left="1414" w:hanging="1134"/>
      </w:pPr>
      <w:rPr>
        <w:rFonts w:hint="default"/>
        <w:spacing w:val="0"/>
        <w:w w:val="99"/>
        <w:lang w:val="en-US" w:eastAsia="en-US" w:bidi="ar-SA"/>
      </w:rPr>
    </w:lvl>
    <w:lvl w:ilvl="1">
      <w:start w:val="1"/>
      <w:numFmt w:val="decimal"/>
      <w:lvlText w:val="%1.%2"/>
      <w:lvlJc w:val="left"/>
      <w:pPr>
        <w:ind w:left="1414" w:hanging="1135"/>
      </w:pPr>
      <w:rPr>
        <w:rFonts w:ascii="Calibri" w:hAnsi="Calibri" w:hint="default"/>
        <w:b/>
        <w:bCs/>
        <w:i w:val="0"/>
        <w:iCs w:val="0"/>
        <w:spacing w:val="0"/>
        <w:w w:val="99"/>
        <w:sz w:val="22"/>
        <w:szCs w:val="22"/>
        <w:lang w:val="en-US" w:eastAsia="en-US" w:bidi="ar-SA"/>
      </w:rPr>
    </w:lvl>
    <w:lvl w:ilvl="2">
      <w:start w:val="1"/>
      <w:numFmt w:val="bullet"/>
      <w:lvlText w:val=""/>
      <w:lvlJc w:val="left"/>
      <w:pPr>
        <w:ind w:left="720" w:hanging="360"/>
      </w:pPr>
      <w:rPr>
        <w:rFonts w:ascii="Symbol" w:hAnsi="Symbol" w:hint="default"/>
      </w:rPr>
    </w:lvl>
    <w:lvl w:ilvl="3">
      <w:start w:val="1"/>
      <w:numFmt w:val="lowerLetter"/>
      <w:lvlText w:val="(%4)"/>
      <w:lvlJc w:val="left"/>
      <w:pPr>
        <w:ind w:left="2264" w:hanging="851"/>
      </w:pPr>
      <w:rPr>
        <w:rFonts w:ascii="Calibri" w:hAnsi="Calibri" w:hint="default"/>
        <w:b w:val="0"/>
        <w:bCs w:val="0"/>
        <w:i w:val="0"/>
        <w:iCs w:val="0"/>
        <w:spacing w:val="0"/>
        <w:w w:val="99"/>
        <w:sz w:val="22"/>
        <w:szCs w:val="22"/>
        <w:lang w:val="en-US" w:eastAsia="en-US" w:bidi="ar-SA"/>
      </w:rPr>
    </w:lvl>
    <w:lvl w:ilvl="4">
      <w:start w:val="1"/>
      <w:numFmt w:val="lowerRoman"/>
      <w:lvlText w:val="(%5)"/>
      <w:lvlJc w:val="left"/>
      <w:pPr>
        <w:ind w:left="3115" w:hanging="851"/>
      </w:pPr>
      <w:rPr>
        <w:rFonts w:ascii="Calibri" w:hAnsi="Calibri" w:hint="default"/>
        <w:b w:val="0"/>
        <w:bCs w:val="0"/>
        <w:i w:val="0"/>
        <w:iCs w:val="0"/>
        <w:spacing w:val="-1"/>
        <w:w w:val="99"/>
        <w:sz w:val="22"/>
        <w:szCs w:val="22"/>
        <w:lang w:val="en-US" w:eastAsia="en-US" w:bidi="ar-SA"/>
      </w:rPr>
    </w:lvl>
    <w:lvl w:ilvl="5">
      <w:numFmt w:val="bullet"/>
      <w:lvlText w:val="•"/>
      <w:lvlJc w:val="left"/>
      <w:pPr>
        <w:ind w:left="4214" w:hanging="851"/>
      </w:pPr>
      <w:rPr>
        <w:rFonts w:hint="default"/>
        <w:lang w:val="en-US" w:eastAsia="en-US" w:bidi="ar-SA"/>
      </w:rPr>
    </w:lvl>
    <w:lvl w:ilvl="6">
      <w:numFmt w:val="bullet"/>
      <w:lvlText w:val="•"/>
      <w:lvlJc w:val="left"/>
      <w:pPr>
        <w:ind w:left="5308" w:hanging="851"/>
      </w:pPr>
      <w:rPr>
        <w:rFonts w:hint="default"/>
        <w:lang w:val="en-US" w:eastAsia="en-US" w:bidi="ar-SA"/>
      </w:rPr>
    </w:lvl>
    <w:lvl w:ilvl="7">
      <w:numFmt w:val="bullet"/>
      <w:lvlText w:val="•"/>
      <w:lvlJc w:val="left"/>
      <w:pPr>
        <w:ind w:left="6403" w:hanging="851"/>
      </w:pPr>
      <w:rPr>
        <w:rFonts w:hint="default"/>
        <w:lang w:val="en-US" w:eastAsia="en-US" w:bidi="ar-SA"/>
      </w:rPr>
    </w:lvl>
    <w:lvl w:ilvl="8">
      <w:numFmt w:val="bullet"/>
      <w:lvlText w:val="•"/>
      <w:lvlJc w:val="left"/>
      <w:pPr>
        <w:ind w:left="7497" w:hanging="851"/>
      </w:pPr>
      <w:rPr>
        <w:rFonts w:hint="default"/>
        <w:lang w:val="en-US" w:eastAsia="en-US" w:bidi="ar-SA"/>
      </w:rPr>
    </w:lvl>
  </w:abstractNum>
  <w:abstractNum w:abstractNumId="4" w15:restartNumberingAfterBreak="0">
    <w:nsid w:val="002E1F59"/>
    <w:multiLevelType w:val="multilevel"/>
    <w:tmpl w:val="C36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5E520F"/>
    <w:multiLevelType w:val="multilevel"/>
    <w:tmpl w:val="A35EF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9A31E8"/>
    <w:multiLevelType w:val="multilevel"/>
    <w:tmpl w:val="8BE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9A35B0"/>
    <w:multiLevelType w:val="hybridMultilevel"/>
    <w:tmpl w:val="87D0B156"/>
    <w:lvl w:ilvl="0" w:tplc="5DAAA272">
      <w:start w:val="1"/>
      <w:numFmt w:val="bullet"/>
      <w:lvlText w:val=""/>
      <w:lvlJc w:val="left"/>
      <w:pPr>
        <w:ind w:left="3338" w:hanging="360"/>
      </w:pPr>
      <w:rPr>
        <w:rFonts w:ascii="Symbol" w:hAnsi="Symbol" w:hint="default"/>
        <w:color w:val="auto"/>
      </w:rPr>
    </w:lvl>
    <w:lvl w:ilvl="1" w:tplc="76A0432C">
      <w:start w:val="1"/>
      <w:numFmt w:val="bullet"/>
      <w:lvlText w:val="o"/>
      <w:lvlJc w:val="left"/>
      <w:pPr>
        <w:ind w:left="4342" w:hanging="360"/>
      </w:pPr>
      <w:rPr>
        <w:rFonts w:ascii="Courier New" w:hAnsi="Courier New" w:hint="default"/>
      </w:rPr>
    </w:lvl>
    <w:lvl w:ilvl="2" w:tplc="56100552">
      <w:start w:val="1"/>
      <w:numFmt w:val="bullet"/>
      <w:lvlText w:val=""/>
      <w:lvlJc w:val="left"/>
      <w:pPr>
        <w:ind w:left="5062" w:hanging="360"/>
      </w:pPr>
      <w:rPr>
        <w:rFonts w:ascii="Wingdings" w:hAnsi="Wingdings" w:hint="default"/>
      </w:rPr>
    </w:lvl>
    <w:lvl w:ilvl="3" w:tplc="80966CCE" w:tentative="1">
      <w:start w:val="1"/>
      <w:numFmt w:val="bullet"/>
      <w:lvlText w:val=""/>
      <w:lvlJc w:val="left"/>
      <w:pPr>
        <w:ind w:left="5782" w:hanging="360"/>
      </w:pPr>
      <w:rPr>
        <w:rFonts w:ascii="Symbol" w:hAnsi="Symbol" w:hint="default"/>
      </w:rPr>
    </w:lvl>
    <w:lvl w:ilvl="4" w:tplc="A2040A0E" w:tentative="1">
      <w:start w:val="1"/>
      <w:numFmt w:val="bullet"/>
      <w:lvlText w:val="o"/>
      <w:lvlJc w:val="left"/>
      <w:pPr>
        <w:ind w:left="6502" w:hanging="360"/>
      </w:pPr>
      <w:rPr>
        <w:rFonts w:ascii="Courier New" w:hAnsi="Courier New" w:hint="default"/>
      </w:rPr>
    </w:lvl>
    <w:lvl w:ilvl="5" w:tplc="12C214D2" w:tentative="1">
      <w:start w:val="1"/>
      <w:numFmt w:val="bullet"/>
      <w:lvlText w:val=""/>
      <w:lvlJc w:val="left"/>
      <w:pPr>
        <w:ind w:left="7222" w:hanging="360"/>
      </w:pPr>
      <w:rPr>
        <w:rFonts w:ascii="Wingdings" w:hAnsi="Wingdings" w:hint="default"/>
      </w:rPr>
    </w:lvl>
    <w:lvl w:ilvl="6" w:tplc="23EEE6E4" w:tentative="1">
      <w:start w:val="1"/>
      <w:numFmt w:val="bullet"/>
      <w:lvlText w:val=""/>
      <w:lvlJc w:val="left"/>
      <w:pPr>
        <w:ind w:left="7942" w:hanging="360"/>
      </w:pPr>
      <w:rPr>
        <w:rFonts w:ascii="Symbol" w:hAnsi="Symbol" w:hint="default"/>
      </w:rPr>
    </w:lvl>
    <w:lvl w:ilvl="7" w:tplc="487400E0" w:tentative="1">
      <w:start w:val="1"/>
      <w:numFmt w:val="bullet"/>
      <w:lvlText w:val="o"/>
      <w:lvlJc w:val="left"/>
      <w:pPr>
        <w:ind w:left="8662" w:hanging="360"/>
      </w:pPr>
      <w:rPr>
        <w:rFonts w:ascii="Courier New" w:hAnsi="Courier New" w:hint="default"/>
      </w:rPr>
    </w:lvl>
    <w:lvl w:ilvl="8" w:tplc="F5D0F546" w:tentative="1">
      <w:start w:val="1"/>
      <w:numFmt w:val="bullet"/>
      <w:lvlText w:val=""/>
      <w:lvlJc w:val="left"/>
      <w:pPr>
        <w:ind w:left="9382" w:hanging="360"/>
      </w:pPr>
      <w:rPr>
        <w:rFonts w:ascii="Wingdings" w:hAnsi="Wingdings" w:hint="default"/>
      </w:rPr>
    </w:lvl>
  </w:abstractNum>
  <w:abstractNum w:abstractNumId="8" w15:restartNumberingAfterBreak="0">
    <w:nsid w:val="01106C2F"/>
    <w:multiLevelType w:val="hybridMultilevel"/>
    <w:tmpl w:val="415480A8"/>
    <w:lvl w:ilvl="0" w:tplc="7D360636">
      <w:start w:val="1"/>
      <w:numFmt w:val="bullet"/>
      <w:lvlText w:val="o"/>
      <w:lvlJc w:val="left"/>
      <w:pPr>
        <w:ind w:left="1080" w:hanging="360"/>
      </w:pPr>
      <w:rPr>
        <w:rFonts w:ascii="Courier New" w:hAnsi="Courier New" w:hint="default"/>
      </w:rPr>
    </w:lvl>
    <w:lvl w:ilvl="1" w:tplc="B184C9A6" w:tentative="1">
      <w:start w:val="1"/>
      <w:numFmt w:val="bullet"/>
      <w:lvlText w:val="o"/>
      <w:lvlJc w:val="left"/>
      <w:pPr>
        <w:ind w:left="1800" w:hanging="360"/>
      </w:pPr>
      <w:rPr>
        <w:rFonts w:ascii="Courier New" w:hAnsi="Courier New" w:hint="default"/>
      </w:rPr>
    </w:lvl>
    <w:lvl w:ilvl="2" w:tplc="8996D158" w:tentative="1">
      <w:start w:val="1"/>
      <w:numFmt w:val="bullet"/>
      <w:lvlText w:val=""/>
      <w:lvlJc w:val="left"/>
      <w:pPr>
        <w:ind w:left="2520" w:hanging="360"/>
      </w:pPr>
      <w:rPr>
        <w:rFonts w:ascii="Wingdings" w:hAnsi="Wingdings" w:hint="default"/>
      </w:rPr>
    </w:lvl>
    <w:lvl w:ilvl="3" w:tplc="A6720E60" w:tentative="1">
      <w:start w:val="1"/>
      <w:numFmt w:val="bullet"/>
      <w:lvlText w:val=""/>
      <w:lvlJc w:val="left"/>
      <w:pPr>
        <w:ind w:left="3240" w:hanging="360"/>
      </w:pPr>
      <w:rPr>
        <w:rFonts w:ascii="Symbol" w:hAnsi="Symbol" w:hint="default"/>
      </w:rPr>
    </w:lvl>
    <w:lvl w:ilvl="4" w:tplc="BB66E2CA" w:tentative="1">
      <w:start w:val="1"/>
      <w:numFmt w:val="bullet"/>
      <w:lvlText w:val="o"/>
      <w:lvlJc w:val="left"/>
      <w:pPr>
        <w:ind w:left="3960" w:hanging="360"/>
      </w:pPr>
      <w:rPr>
        <w:rFonts w:ascii="Courier New" w:hAnsi="Courier New" w:hint="default"/>
      </w:rPr>
    </w:lvl>
    <w:lvl w:ilvl="5" w:tplc="01649CF4" w:tentative="1">
      <w:start w:val="1"/>
      <w:numFmt w:val="bullet"/>
      <w:lvlText w:val=""/>
      <w:lvlJc w:val="left"/>
      <w:pPr>
        <w:ind w:left="4680" w:hanging="360"/>
      </w:pPr>
      <w:rPr>
        <w:rFonts w:ascii="Wingdings" w:hAnsi="Wingdings" w:hint="default"/>
      </w:rPr>
    </w:lvl>
    <w:lvl w:ilvl="6" w:tplc="DB306EA0" w:tentative="1">
      <w:start w:val="1"/>
      <w:numFmt w:val="bullet"/>
      <w:lvlText w:val=""/>
      <w:lvlJc w:val="left"/>
      <w:pPr>
        <w:ind w:left="5400" w:hanging="360"/>
      </w:pPr>
      <w:rPr>
        <w:rFonts w:ascii="Symbol" w:hAnsi="Symbol" w:hint="default"/>
      </w:rPr>
    </w:lvl>
    <w:lvl w:ilvl="7" w:tplc="5FC0B246" w:tentative="1">
      <w:start w:val="1"/>
      <w:numFmt w:val="bullet"/>
      <w:lvlText w:val="o"/>
      <w:lvlJc w:val="left"/>
      <w:pPr>
        <w:ind w:left="6120" w:hanging="360"/>
      </w:pPr>
      <w:rPr>
        <w:rFonts w:ascii="Courier New" w:hAnsi="Courier New" w:hint="default"/>
      </w:rPr>
    </w:lvl>
    <w:lvl w:ilvl="8" w:tplc="CCF46778" w:tentative="1">
      <w:start w:val="1"/>
      <w:numFmt w:val="bullet"/>
      <w:lvlText w:val=""/>
      <w:lvlJc w:val="left"/>
      <w:pPr>
        <w:ind w:left="6840" w:hanging="360"/>
      </w:pPr>
      <w:rPr>
        <w:rFonts w:ascii="Wingdings" w:hAnsi="Wingdings" w:hint="default"/>
      </w:rPr>
    </w:lvl>
  </w:abstractNum>
  <w:abstractNum w:abstractNumId="9" w15:restartNumberingAfterBreak="0">
    <w:nsid w:val="01846114"/>
    <w:multiLevelType w:val="hybridMultilevel"/>
    <w:tmpl w:val="32EA8508"/>
    <w:lvl w:ilvl="0" w:tplc="FFFFFFFF">
      <w:start w:val="1"/>
      <w:numFmt w:val="bullet"/>
      <w:lvlText w:val="·"/>
      <w:lvlJc w:val="left"/>
      <w:pPr>
        <w:ind w:left="720" w:hanging="360"/>
      </w:pPr>
      <w:rPr>
        <w:rFonts w:ascii="Symbol" w:hAnsi="Symbol" w:hint="default"/>
      </w:rPr>
    </w:lvl>
    <w:lvl w:ilvl="1" w:tplc="9EB61CA6" w:tentative="1">
      <w:start w:val="1"/>
      <w:numFmt w:val="bullet"/>
      <w:lvlText w:val="o"/>
      <w:lvlJc w:val="left"/>
      <w:pPr>
        <w:ind w:left="1440" w:hanging="360"/>
      </w:pPr>
      <w:rPr>
        <w:rFonts w:ascii="Courier New" w:hAnsi="Courier New" w:hint="default"/>
      </w:rPr>
    </w:lvl>
    <w:lvl w:ilvl="2" w:tplc="5240B6FC" w:tentative="1">
      <w:start w:val="1"/>
      <w:numFmt w:val="bullet"/>
      <w:lvlText w:val=""/>
      <w:lvlJc w:val="left"/>
      <w:pPr>
        <w:ind w:left="2160" w:hanging="360"/>
      </w:pPr>
      <w:rPr>
        <w:rFonts w:ascii="Wingdings" w:hAnsi="Wingdings" w:hint="default"/>
      </w:rPr>
    </w:lvl>
    <w:lvl w:ilvl="3" w:tplc="911091E8" w:tentative="1">
      <w:start w:val="1"/>
      <w:numFmt w:val="bullet"/>
      <w:lvlText w:val=""/>
      <w:lvlJc w:val="left"/>
      <w:pPr>
        <w:ind w:left="2880" w:hanging="360"/>
      </w:pPr>
      <w:rPr>
        <w:rFonts w:ascii="Symbol" w:hAnsi="Symbol" w:hint="default"/>
      </w:rPr>
    </w:lvl>
    <w:lvl w:ilvl="4" w:tplc="F6360ADE" w:tentative="1">
      <w:start w:val="1"/>
      <w:numFmt w:val="bullet"/>
      <w:lvlText w:val="o"/>
      <w:lvlJc w:val="left"/>
      <w:pPr>
        <w:ind w:left="3600" w:hanging="360"/>
      </w:pPr>
      <w:rPr>
        <w:rFonts w:ascii="Courier New" w:hAnsi="Courier New" w:hint="default"/>
      </w:rPr>
    </w:lvl>
    <w:lvl w:ilvl="5" w:tplc="50E4A436" w:tentative="1">
      <w:start w:val="1"/>
      <w:numFmt w:val="bullet"/>
      <w:lvlText w:val=""/>
      <w:lvlJc w:val="left"/>
      <w:pPr>
        <w:ind w:left="4320" w:hanging="360"/>
      </w:pPr>
      <w:rPr>
        <w:rFonts w:ascii="Wingdings" w:hAnsi="Wingdings" w:hint="default"/>
      </w:rPr>
    </w:lvl>
    <w:lvl w:ilvl="6" w:tplc="3B34ACB6" w:tentative="1">
      <w:start w:val="1"/>
      <w:numFmt w:val="bullet"/>
      <w:lvlText w:val=""/>
      <w:lvlJc w:val="left"/>
      <w:pPr>
        <w:ind w:left="5040" w:hanging="360"/>
      </w:pPr>
      <w:rPr>
        <w:rFonts w:ascii="Symbol" w:hAnsi="Symbol" w:hint="default"/>
      </w:rPr>
    </w:lvl>
    <w:lvl w:ilvl="7" w:tplc="6730238C" w:tentative="1">
      <w:start w:val="1"/>
      <w:numFmt w:val="bullet"/>
      <w:lvlText w:val="o"/>
      <w:lvlJc w:val="left"/>
      <w:pPr>
        <w:ind w:left="5760" w:hanging="360"/>
      </w:pPr>
      <w:rPr>
        <w:rFonts w:ascii="Courier New" w:hAnsi="Courier New" w:hint="default"/>
      </w:rPr>
    </w:lvl>
    <w:lvl w:ilvl="8" w:tplc="FB5EEAEE" w:tentative="1">
      <w:start w:val="1"/>
      <w:numFmt w:val="bullet"/>
      <w:lvlText w:val=""/>
      <w:lvlJc w:val="left"/>
      <w:pPr>
        <w:ind w:left="6480" w:hanging="360"/>
      </w:pPr>
      <w:rPr>
        <w:rFonts w:ascii="Wingdings" w:hAnsi="Wingdings" w:hint="default"/>
      </w:rPr>
    </w:lvl>
  </w:abstractNum>
  <w:abstractNum w:abstractNumId="10" w15:restartNumberingAfterBreak="0">
    <w:nsid w:val="01A545F2"/>
    <w:multiLevelType w:val="multilevel"/>
    <w:tmpl w:val="3576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BBC538"/>
    <w:multiLevelType w:val="hybridMultilevel"/>
    <w:tmpl w:val="FFFFFFFF"/>
    <w:lvl w:ilvl="0" w:tplc="C9D44A30">
      <w:start w:val="1"/>
      <w:numFmt w:val="bullet"/>
      <w:lvlText w:val=""/>
      <w:lvlJc w:val="left"/>
      <w:pPr>
        <w:ind w:left="720" w:hanging="360"/>
      </w:pPr>
      <w:rPr>
        <w:rFonts w:ascii="Symbol" w:hAnsi="Symbol" w:hint="default"/>
      </w:rPr>
    </w:lvl>
    <w:lvl w:ilvl="1" w:tplc="6754738A">
      <w:start w:val="1"/>
      <w:numFmt w:val="bullet"/>
      <w:lvlText w:val="o"/>
      <w:lvlJc w:val="left"/>
      <w:pPr>
        <w:ind w:left="1440" w:hanging="360"/>
      </w:pPr>
      <w:rPr>
        <w:rFonts w:ascii="Courier New" w:hAnsi="Courier New" w:hint="default"/>
      </w:rPr>
    </w:lvl>
    <w:lvl w:ilvl="2" w:tplc="DE9A7BE8">
      <w:start w:val="1"/>
      <w:numFmt w:val="bullet"/>
      <w:lvlText w:val=""/>
      <w:lvlJc w:val="left"/>
      <w:pPr>
        <w:ind w:left="2160" w:hanging="360"/>
      </w:pPr>
      <w:rPr>
        <w:rFonts w:ascii="Wingdings" w:hAnsi="Wingdings" w:hint="default"/>
      </w:rPr>
    </w:lvl>
    <w:lvl w:ilvl="3" w:tplc="1680A6E6">
      <w:start w:val="1"/>
      <w:numFmt w:val="bullet"/>
      <w:lvlText w:val=""/>
      <w:lvlJc w:val="left"/>
      <w:pPr>
        <w:ind w:left="2880" w:hanging="360"/>
      </w:pPr>
      <w:rPr>
        <w:rFonts w:ascii="Symbol" w:hAnsi="Symbol" w:hint="default"/>
      </w:rPr>
    </w:lvl>
    <w:lvl w:ilvl="4" w:tplc="5008ADD6">
      <w:start w:val="1"/>
      <w:numFmt w:val="bullet"/>
      <w:lvlText w:val="o"/>
      <w:lvlJc w:val="left"/>
      <w:pPr>
        <w:ind w:left="3600" w:hanging="360"/>
      </w:pPr>
      <w:rPr>
        <w:rFonts w:ascii="Courier New" w:hAnsi="Courier New" w:hint="default"/>
      </w:rPr>
    </w:lvl>
    <w:lvl w:ilvl="5" w:tplc="8E283214">
      <w:start w:val="1"/>
      <w:numFmt w:val="bullet"/>
      <w:lvlText w:val=""/>
      <w:lvlJc w:val="left"/>
      <w:pPr>
        <w:ind w:left="4320" w:hanging="360"/>
      </w:pPr>
      <w:rPr>
        <w:rFonts w:ascii="Wingdings" w:hAnsi="Wingdings" w:hint="default"/>
      </w:rPr>
    </w:lvl>
    <w:lvl w:ilvl="6" w:tplc="91F25C6A">
      <w:start w:val="1"/>
      <w:numFmt w:val="bullet"/>
      <w:lvlText w:val=""/>
      <w:lvlJc w:val="left"/>
      <w:pPr>
        <w:ind w:left="5040" w:hanging="360"/>
      </w:pPr>
      <w:rPr>
        <w:rFonts w:ascii="Symbol" w:hAnsi="Symbol" w:hint="default"/>
      </w:rPr>
    </w:lvl>
    <w:lvl w:ilvl="7" w:tplc="B02C241C">
      <w:start w:val="1"/>
      <w:numFmt w:val="bullet"/>
      <w:lvlText w:val="o"/>
      <w:lvlJc w:val="left"/>
      <w:pPr>
        <w:ind w:left="5760" w:hanging="360"/>
      </w:pPr>
      <w:rPr>
        <w:rFonts w:ascii="Courier New" w:hAnsi="Courier New" w:hint="default"/>
      </w:rPr>
    </w:lvl>
    <w:lvl w:ilvl="8" w:tplc="89260712">
      <w:start w:val="1"/>
      <w:numFmt w:val="bullet"/>
      <w:lvlText w:val=""/>
      <w:lvlJc w:val="left"/>
      <w:pPr>
        <w:ind w:left="6480" w:hanging="360"/>
      </w:pPr>
      <w:rPr>
        <w:rFonts w:ascii="Wingdings" w:hAnsi="Wingdings" w:hint="default"/>
      </w:rPr>
    </w:lvl>
  </w:abstractNum>
  <w:abstractNum w:abstractNumId="12" w15:restartNumberingAfterBreak="0">
    <w:nsid w:val="01C761EC"/>
    <w:multiLevelType w:val="hybridMultilevel"/>
    <w:tmpl w:val="ABB84C98"/>
    <w:lvl w:ilvl="0" w:tplc="0660126C">
      <w:start w:val="1"/>
      <w:numFmt w:val="bullet"/>
      <w:lvlText w:val=""/>
      <w:lvlJc w:val="left"/>
      <w:pPr>
        <w:ind w:left="720" w:hanging="360"/>
      </w:pPr>
      <w:rPr>
        <w:rFonts w:ascii="Symbol" w:hAnsi="Symbol" w:hint="default"/>
      </w:rPr>
    </w:lvl>
    <w:lvl w:ilvl="1" w:tplc="FE1408DC" w:tentative="1">
      <w:start w:val="1"/>
      <w:numFmt w:val="bullet"/>
      <w:lvlText w:val="o"/>
      <w:lvlJc w:val="left"/>
      <w:pPr>
        <w:ind w:left="1440" w:hanging="360"/>
      </w:pPr>
      <w:rPr>
        <w:rFonts w:ascii="Courier New" w:hAnsi="Courier New" w:hint="default"/>
      </w:rPr>
    </w:lvl>
    <w:lvl w:ilvl="2" w:tplc="4B1495AE" w:tentative="1">
      <w:start w:val="1"/>
      <w:numFmt w:val="bullet"/>
      <w:lvlText w:val=""/>
      <w:lvlJc w:val="left"/>
      <w:pPr>
        <w:ind w:left="2160" w:hanging="360"/>
      </w:pPr>
      <w:rPr>
        <w:rFonts w:ascii="Wingdings" w:hAnsi="Wingdings" w:hint="default"/>
      </w:rPr>
    </w:lvl>
    <w:lvl w:ilvl="3" w:tplc="ADC28758" w:tentative="1">
      <w:start w:val="1"/>
      <w:numFmt w:val="bullet"/>
      <w:lvlText w:val=""/>
      <w:lvlJc w:val="left"/>
      <w:pPr>
        <w:ind w:left="2880" w:hanging="360"/>
      </w:pPr>
      <w:rPr>
        <w:rFonts w:ascii="Symbol" w:hAnsi="Symbol" w:hint="default"/>
      </w:rPr>
    </w:lvl>
    <w:lvl w:ilvl="4" w:tplc="AEE632D2" w:tentative="1">
      <w:start w:val="1"/>
      <w:numFmt w:val="bullet"/>
      <w:lvlText w:val="o"/>
      <w:lvlJc w:val="left"/>
      <w:pPr>
        <w:ind w:left="3600" w:hanging="360"/>
      </w:pPr>
      <w:rPr>
        <w:rFonts w:ascii="Courier New" w:hAnsi="Courier New" w:hint="default"/>
      </w:rPr>
    </w:lvl>
    <w:lvl w:ilvl="5" w:tplc="2954E3FA" w:tentative="1">
      <w:start w:val="1"/>
      <w:numFmt w:val="bullet"/>
      <w:lvlText w:val=""/>
      <w:lvlJc w:val="left"/>
      <w:pPr>
        <w:ind w:left="4320" w:hanging="360"/>
      </w:pPr>
      <w:rPr>
        <w:rFonts w:ascii="Wingdings" w:hAnsi="Wingdings" w:hint="default"/>
      </w:rPr>
    </w:lvl>
    <w:lvl w:ilvl="6" w:tplc="A3EAD1F0" w:tentative="1">
      <w:start w:val="1"/>
      <w:numFmt w:val="bullet"/>
      <w:lvlText w:val=""/>
      <w:lvlJc w:val="left"/>
      <w:pPr>
        <w:ind w:left="5040" w:hanging="360"/>
      </w:pPr>
      <w:rPr>
        <w:rFonts w:ascii="Symbol" w:hAnsi="Symbol" w:hint="default"/>
      </w:rPr>
    </w:lvl>
    <w:lvl w:ilvl="7" w:tplc="66B47446" w:tentative="1">
      <w:start w:val="1"/>
      <w:numFmt w:val="bullet"/>
      <w:lvlText w:val="o"/>
      <w:lvlJc w:val="left"/>
      <w:pPr>
        <w:ind w:left="5760" w:hanging="360"/>
      </w:pPr>
      <w:rPr>
        <w:rFonts w:ascii="Courier New" w:hAnsi="Courier New" w:hint="default"/>
      </w:rPr>
    </w:lvl>
    <w:lvl w:ilvl="8" w:tplc="148A79A6" w:tentative="1">
      <w:start w:val="1"/>
      <w:numFmt w:val="bullet"/>
      <w:lvlText w:val=""/>
      <w:lvlJc w:val="left"/>
      <w:pPr>
        <w:ind w:left="6480" w:hanging="360"/>
      </w:pPr>
      <w:rPr>
        <w:rFonts w:ascii="Wingdings" w:hAnsi="Wingdings" w:hint="default"/>
      </w:rPr>
    </w:lvl>
  </w:abstractNum>
  <w:abstractNum w:abstractNumId="13" w15:restartNumberingAfterBreak="0">
    <w:nsid w:val="01CB6B6F"/>
    <w:multiLevelType w:val="multilevel"/>
    <w:tmpl w:val="ABD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1047F9"/>
    <w:multiLevelType w:val="hybridMultilevel"/>
    <w:tmpl w:val="3C8E716E"/>
    <w:lvl w:ilvl="0" w:tplc="111018AE">
      <w:start w:val="1"/>
      <w:numFmt w:val="bullet"/>
      <w:lvlText w:val=""/>
      <w:lvlJc w:val="left"/>
      <w:pPr>
        <w:ind w:left="720" w:hanging="360"/>
      </w:pPr>
      <w:rPr>
        <w:rFonts w:ascii="Symbol" w:hAnsi="Symbol" w:hint="default"/>
      </w:rPr>
    </w:lvl>
    <w:lvl w:ilvl="1" w:tplc="3482EF62" w:tentative="1">
      <w:start w:val="1"/>
      <w:numFmt w:val="bullet"/>
      <w:lvlText w:val="o"/>
      <w:lvlJc w:val="left"/>
      <w:pPr>
        <w:ind w:left="1440" w:hanging="360"/>
      </w:pPr>
      <w:rPr>
        <w:rFonts w:ascii="Courier New" w:hAnsi="Courier New" w:hint="default"/>
      </w:rPr>
    </w:lvl>
    <w:lvl w:ilvl="2" w:tplc="235013B6" w:tentative="1">
      <w:start w:val="1"/>
      <w:numFmt w:val="bullet"/>
      <w:lvlText w:val=""/>
      <w:lvlJc w:val="left"/>
      <w:pPr>
        <w:ind w:left="2160" w:hanging="360"/>
      </w:pPr>
      <w:rPr>
        <w:rFonts w:ascii="Wingdings" w:hAnsi="Wingdings" w:hint="default"/>
      </w:rPr>
    </w:lvl>
    <w:lvl w:ilvl="3" w:tplc="9C7A75BA" w:tentative="1">
      <w:start w:val="1"/>
      <w:numFmt w:val="bullet"/>
      <w:lvlText w:val=""/>
      <w:lvlJc w:val="left"/>
      <w:pPr>
        <w:ind w:left="2880" w:hanging="360"/>
      </w:pPr>
      <w:rPr>
        <w:rFonts w:ascii="Symbol" w:hAnsi="Symbol" w:hint="default"/>
      </w:rPr>
    </w:lvl>
    <w:lvl w:ilvl="4" w:tplc="F4924B7E" w:tentative="1">
      <w:start w:val="1"/>
      <w:numFmt w:val="bullet"/>
      <w:lvlText w:val="o"/>
      <w:lvlJc w:val="left"/>
      <w:pPr>
        <w:ind w:left="3600" w:hanging="360"/>
      </w:pPr>
      <w:rPr>
        <w:rFonts w:ascii="Courier New" w:hAnsi="Courier New" w:hint="default"/>
      </w:rPr>
    </w:lvl>
    <w:lvl w:ilvl="5" w:tplc="7D7429E4" w:tentative="1">
      <w:start w:val="1"/>
      <w:numFmt w:val="bullet"/>
      <w:lvlText w:val=""/>
      <w:lvlJc w:val="left"/>
      <w:pPr>
        <w:ind w:left="4320" w:hanging="360"/>
      </w:pPr>
      <w:rPr>
        <w:rFonts w:ascii="Wingdings" w:hAnsi="Wingdings" w:hint="default"/>
      </w:rPr>
    </w:lvl>
    <w:lvl w:ilvl="6" w:tplc="57D87AD6" w:tentative="1">
      <w:start w:val="1"/>
      <w:numFmt w:val="bullet"/>
      <w:lvlText w:val=""/>
      <w:lvlJc w:val="left"/>
      <w:pPr>
        <w:ind w:left="5040" w:hanging="360"/>
      </w:pPr>
      <w:rPr>
        <w:rFonts w:ascii="Symbol" w:hAnsi="Symbol" w:hint="default"/>
      </w:rPr>
    </w:lvl>
    <w:lvl w:ilvl="7" w:tplc="0A0842A4" w:tentative="1">
      <w:start w:val="1"/>
      <w:numFmt w:val="bullet"/>
      <w:lvlText w:val="o"/>
      <w:lvlJc w:val="left"/>
      <w:pPr>
        <w:ind w:left="5760" w:hanging="360"/>
      </w:pPr>
      <w:rPr>
        <w:rFonts w:ascii="Courier New" w:hAnsi="Courier New" w:hint="default"/>
      </w:rPr>
    </w:lvl>
    <w:lvl w:ilvl="8" w:tplc="15A830B6" w:tentative="1">
      <w:start w:val="1"/>
      <w:numFmt w:val="bullet"/>
      <w:lvlText w:val=""/>
      <w:lvlJc w:val="left"/>
      <w:pPr>
        <w:ind w:left="6480" w:hanging="360"/>
      </w:pPr>
      <w:rPr>
        <w:rFonts w:ascii="Wingdings" w:hAnsi="Wingdings" w:hint="default"/>
      </w:rPr>
    </w:lvl>
  </w:abstractNum>
  <w:abstractNum w:abstractNumId="15" w15:restartNumberingAfterBreak="0">
    <w:nsid w:val="022315D6"/>
    <w:multiLevelType w:val="hybridMultilevel"/>
    <w:tmpl w:val="CD385DC4"/>
    <w:lvl w:ilvl="0" w:tplc="A3E63886">
      <w:start w:val="1"/>
      <w:numFmt w:val="bullet"/>
      <w:lvlText w:val=""/>
      <w:lvlJc w:val="left"/>
      <w:pPr>
        <w:ind w:left="855" w:hanging="360"/>
      </w:pPr>
      <w:rPr>
        <w:rFonts w:ascii="Symbol" w:hAnsi="Symbol" w:hint="default"/>
      </w:rPr>
    </w:lvl>
    <w:lvl w:ilvl="1" w:tplc="D1146FF8">
      <w:start w:val="1"/>
      <w:numFmt w:val="bullet"/>
      <w:lvlText w:val="o"/>
      <w:lvlJc w:val="left"/>
      <w:pPr>
        <w:ind w:left="1575" w:hanging="360"/>
      </w:pPr>
      <w:rPr>
        <w:rFonts w:ascii="Courier New" w:hAnsi="Courier New" w:hint="default"/>
      </w:rPr>
    </w:lvl>
    <w:lvl w:ilvl="2" w:tplc="129EB2E8" w:tentative="1">
      <w:start w:val="1"/>
      <w:numFmt w:val="bullet"/>
      <w:lvlText w:val=""/>
      <w:lvlJc w:val="left"/>
      <w:pPr>
        <w:ind w:left="2295" w:hanging="360"/>
      </w:pPr>
      <w:rPr>
        <w:rFonts w:ascii="Wingdings" w:hAnsi="Wingdings" w:hint="default"/>
      </w:rPr>
    </w:lvl>
    <w:lvl w:ilvl="3" w:tplc="FA46F3DC" w:tentative="1">
      <w:start w:val="1"/>
      <w:numFmt w:val="bullet"/>
      <w:lvlText w:val=""/>
      <w:lvlJc w:val="left"/>
      <w:pPr>
        <w:ind w:left="3015" w:hanging="360"/>
      </w:pPr>
      <w:rPr>
        <w:rFonts w:ascii="Symbol" w:hAnsi="Symbol" w:hint="default"/>
      </w:rPr>
    </w:lvl>
    <w:lvl w:ilvl="4" w:tplc="F4A04648" w:tentative="1">
      <w:start w:val="1"/>
      <w:numFmt w:val="bullet"/>
      <w:lvlText w:val="o"/>
      <w:lvlJc w:val="left"/>
      <w:pPr>
        <w:ind w:left="3735" w:hanging="360"/>
      </w:pPr>
      <w:rPr>
        <w:rFonts w:ascii="Courier New" w:hAnsi="Courier New" w:hint="default"/>
      </w:rPr>
    </w:lvl>
    <w:lvl w:ilvl="5" w:tplc="C3DC5BDA" w:tentative="1">
      <w:start w:val="1"/>
      <w:numFmt w:val="bullet"/>
      <w:lvlText w:val=""/>
      <w:lvlJc w:val="left"/>
      <w:pPr>
        <w:ind w:left="4455" w:hanging="360"/>
      </w:pPr>
      <w:rPr>
        <w:rFonts w:ascii="Wingdings" w:hAnsi="Wingdings" w:hint="default"/>
      </w:rPr>
    </w:lvl>
    <w:lvl w:ilvl="6" w:tplc="246001B2" w:tentative="1">
      <w:start w:val="1"/>
      <w:numFmt w:val="bullet"/>
      <w:lvlText w:val=""/>
      <w:lvlJc w:val="left"/>
      <w:pPr>
        <w:ind w:left="5175" w:hanging="360"/>
      </w:pPr>
      <w:rPr>
        <w:rFonts w:ascii="Symbol" w:hAnsi="Symbol" w:hint="default"/>
      </w:rPr>
    </w:lvl>
    <w:lvl w:ilvl="7" w:tplc="772C4652" w:tentative="1">
      <w:start w:val="1"/>
      <w:numFmt w:val="bullet"/>
      <w:lvlText w:val="o"/>
      <w:lvlJc w:val="left"/>
      <w:pPr>
        <w:ind w:left="5895" w:hanging="360"/>
      </w:pPr>
      <w:rPr>
        <w:rFonts w:ascii="Courier New" w:hAnsi="Courier New" w:hint="default"/>
      </w:rPr>
    </w:lvl>
    <w:lvl w:ilvl="8" w:tplc="25A0E860" w:tentative="1">
      <w:start w:val="1"/>
      <w:numFmt w:val="bullet"/>
      <w:lvlText w:val=""/>
      <w:lvlJc w:val="left"/>
      <w:pPr>
        <w:ind w:left="6615" w:hanging="360"/>
      </w:pPr>
      <w:rPr>
        <w:rFonts w:ascii="Wingdings" w:hAnsi="Wingdings" w:hint="default"/>
      </w:rPr>
    </w:lvl>
  </w:abstractNum>
  <w:abstractNum w:abstractNumId="16" w15:restartNumberingAfterBreak="0">
    <w:nsid w:val="023271C2"/>
    <w:multiLevelType w:val="multilevel"/>
    <w:tmpl w:val="E7E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24F2FCE"/>
    <w:multiLevelType w:val="multilevel"/>
    <w:tmpl w:val="7CA2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276163A"/>
    <w:multiLevelType w:val="multilevel"/>
    <w:tmpl w:val="D1D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672D43"/>
    <w:multiLevelType w:val="multilevel"/>
    <w:tmpl w:val="43A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713E03"/>
    <w:multiLevelType w:val="multilevel"/>
    <w:tmpl w:val="8B86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E8BE62"/>
    <w:multiLevelType w:val="hybridMultilevel"/>
    <w:tmpl w:val="FFFFFFFF"/>
    <w:lvl w:ilvl="0" w:tplc="3E4AFC74">
      <w:start w:val="1"/>
      <w:numFmt w:val="bullet"/>
      <w:lvlText w:val=""/>
      <w:lvlJc w:val="left"/>
      <w:pPr>
        <w:ind w:left="720" w:hanging="360"/>
      </w:pPr>
      <w:rPr>
        <w:rFonts w:ascii="Symbol" w:hAnsi="Symbol" w:hint="default"/>
      </w:rPr>
    </w:lvl>
    <w:lvl w:ilvl="1" w:tplc="BC78DC12">
      <w:start w:val="1"/>
      <w:numFmt w:val="bullet"/>
      <w:lvlText w:val="o"/>
      <w:lvlJc w:val="left"/>
      <w:pPr>
        <w:ind w:left="1440" w:hanging="360"/>
      </w:pPr>
      <w:rPr>
        <w:rFonts w:ascii="Courier New" w:hAnsi="Courier New" w:hint="default"/>
      </w:rPr>
    </w:lvl>
    <w:lvl w:ilvl="2" w:tplc="32567B78">
      <w:start w:val="1"/>
      <w:numFmt w:val="bullet"/>
      <w:lvlText w:val=""/>
      <w:lvlJc w:val="left"/>
      <w:pPr>
        <w:ind w:left="2160" w:hanging="360"/>
      </w:pPr>
      <w:rPr>
        <w:rFonts w:ascii="Wingdings" w:hAnsi="Wingdings" w:hint="default"/>
      </w:rPr>
    </w:lvl>
    <w:lvl w:ilvl="3" w:tplc="494A086C">
      <w:start w:val="1"/>
      <w:numFmt w:val="bullet"/>
      <w:lvlText w:val=""/>
      <w:lvlJc w:val="left"/>
      <w:pPr>
        <w:ind w:left="2880" w:hanging="360"/>
      </w:pPr>
      <w:rPr>
        <w:rFonts w:ascii="Symbol" w:hAnsi="Symbol" w:hint="default"/>
      </w:rPr>
    </w:lvl>
    <w:lvl w:ilvl="4" w:tplc="6B18F750">
      <w:start w:val="1"/>
      <w:numFmt w:val="bullet"/>
      <w:lvlText w:val="o"/>
      <w:lvlJc w:val="left"/>
      <w:pPr>
        <w:ind w:left="3600" w:hanging="360"/>
      </w:pPr>
      <w:rPr>
        <w:rFonts w:ascii="Courier New" w:hAnsi="Courier New" w:hint="default"/>
      </w:rPr>
    </w:lvl>
    <w:lvl w:ilvl="5" w:tplc="3C4A5F5C">
      <w:start w:val="1"/>
      <w:numFmt w:val="bullet"/>
      <w:lvlText w:val=""/>
      <w:lvlJc w:val="left"/>
      <w:pPr>
        <w:ind w:left="4320" w:hanging="360"/>
      </w:pPr>
      <w:rPr>
        <w:rFonts w:ascii="Wingdings" w:hAnsi="Wingdings" w:hint="default"/>
      </w:rPr>
    </w:lvl>
    <w:lvl w:ilvl="6" w:tplc="DEBC9062">
      <w:start w:val="1"/>
      <w:numFmt w:val="bullet"/>
      <w:lvlText w:val=""/>
      <w:lvlJc w:val="left"/>
      <w:pPr>
        <w:ind w:left="5040" w:hanging="360"/>
      </w:pPr>
      <w:rPr>
        <w:rFonts w:ascii="Symbol" w:hAnsi="Symbol" w:hint="default"/>
      </w:rPr>
    </w:lvl>
    <w:lvl w:ilvl="7" w:tplc="960E41E2">
      <w:start w:val="1"/>
      <w:numFmt w:val="bullet"/>
      <w:lvlText w:val="o"/>
      <w:lvlJc w:val="left"/>
      <w:pPr>
        <w:ind w:left="5760" w:hanging="360"/>
      </w:pPr>
      <w:rPr>
        <w:rFonts w:ascii="Courier New" w:hAnsi="Courier New" w:hint="default"/>
      </w:rPr>
    </w:lvl>
    <w:lvl w:ilvl="8" w:tplc="DA6E4D08">
      <w:start w:val="1"/>
      <w:numFmt w:val="bullet"/>
      <w:lvlText w:val=""/>
      <w:lvlJc w:val="left"/>
      <w:pPr>
        <w:ind w:left="6480" w:hanging="360"/>
      </w:pPr>
      <w:rPr>
        <w:rFonts w:ascii="Wingdings" w:hAnsi="Wingdings" w:hint="default"/>
      </w:rPr>
    </w:lvl>
  </w:abstractNum>
  <w:abstractNum w:abstractNumId="22" w15:restartNumberingAfterBreak="0">
    <w:nsid w:val="04154828"/>
    <w:multiLevelType w:val="multilevel"/>
    <w:tmpl w:val="B33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5A2C40"/>
    <w:multiLevelType w:val="hybridMultilevel"/>
    <w:tmpl w:val="3AE6F0E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48B6B99"/>
    <w:multiLevelType w:val="hybridMultilevel"/>
    <w:tmpl w:val="350A50A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0497445F"/>
    <w:multiLevelType w:val="hybridMultilevel"/>
    <w:tmpl w:val="7CD693EC"/>
    <w:lvl w:ilvl="0" w:tplc="93F6C386">
      <w:start w:val="1"/>
      <w:numFmt w:val="bullet"/>
      <w:lvlText w:val=""/>
      <w:lvlJc w:val="left"/>
      <w:pPr>
        <w:ind w:left="720" w:hanging="360"/>
      </w:pPr>
      <w:rPr>
        <w:rFonts w:ascii="Symbol" w:hAnsi="Symbol" w:hint="default"/>
      </w:rPr>
    </w:lvl>
    <w:lvl w:ilvl="1" w:tplc="8B968218" w:tentative="1">
      <w:start w:val="1"/>
      <w:numFmt w:val="bullet"/>
      <w:lvlText w:val="o"/>
      <w:lvlJc w:val="left"/>
      <w:pPr>
        <w:ind w:left="1440" w:hanging="360"/>
      </w:pPr>
      <w:rPr>
        <w:rFonts w:ascii="Courier New" w:hAnsi="Courier New" w:hint="default"/>
      </w:rPr>
    </w:lvl>
    <w:lvl w:ilvl="2" w:tplc="7090D222" w:tentative="1">
      <w:start w:val="1"/>
      <w:numFmt w:val="bullet"/>
      <w:lvlText w:val=""/>
      <w:lvlJc w:val="left"/>
      <w:pPr>
        <w:ind w:left="2160" w:hanging="360"/>
      </w:pPr>
      <w:rPr>
        <w:rFonts w:ascii="Wingdings" w:hAnsi="Wingdings" w:hint="default"/>
      </w:rPr>
    </w:lvl>
    <w:lvl w:ilvl="3" w:tplc="16DC4C28" w:tentative="1">
      <w:start w:val="1"/>
      <w:numFmt w:val="bullet"/>
      <w:lvlText w:val=""/>
      <w:lvlJc w:val="left"/>
      <w:pPr>
        <w:ind w:left="2880" w:hanging="360"/>
      </w:pPr>
      <w:rPr>
        <w:rFonts w:ascii="Symbol" w:hAnsi="Symbol" w:hint="default"/>
      </w:rPr>
    </w:lvl>
    <w:lvl w:ilvl="4" w:tplc="F9BA012C" w:tentative="1">
      <w:start w:val="1"/>
      <w:numFmt w:val="bullet"/>
      <w:lvlText w:val="o"/>
      <w:lvlJc w:val="left"/>
      <w:pPr>
        <w:ind w:left="3600" w:hanging="360"/>
      </w:pPr>
      <w:rPr>
        <w:rFonts w:ascii="Courier New" w:hAnsi="Courier New" w:hint="default"/>
      </w:rPr>
    </w:lvl>
    <w:lvl w:ilvl="5" w:tplc="3B54867E" w:tentative="1">
      <w:start w:val="1"/>
      <w:numFmt w:val="bullet"/>
      <w:lvlText w:val=""/>
      <w:lvlJc w:val="left"/>
      <w:pPr>
        <w:ind w:left="4320" w:hanging="360"/>
      </w:pPr>
      <w:rPr>
        <w:rFonts w:ascii="Wingdings" w:hAnsi="Wingdings" w:hint="default"/>
      </w:rPr>
    </w:lvl>
    <w:lvl w:ilvl="6" w:tplc="190C6214" w:tentative="1">
      <w:start w:val="1"/>
      <w:numFmt w:val="bullet"/>
      <w:lvlText w:val=""/>
      <w:lvlJc w:val="left"/>
      <w:pPr>
        <w:ind w:left="5040" w:hanging="360"/>
      </w:pPr>
      <w:rPr>
        <w:rFonts w:ascii="Symbol" w:hAnsi="Symbol" w:hint="default"/>
      </w:rPr>
    </w:lvl>
    <w:lvl w:ilvl="7" w:tplc="F99EA984" w:tentative="1">
      <w:start w:val="1"/>
      <w:numFmt w:val="bullet"/>
      <w:lvlText w:val="o"/>
      <w:lvlJc w:val="left"/>
      <w:pPr>
        <w:ind w:left="5760" w:hanging="360"/>
      </w:pPr>
      <w:rPr>
        <w:rFonts w:ascii="Courier New" w:hAnsi="Courier New" w:hint="default"/>
      </w:rPr>
    </w:lvl>
    <w:lvl w:ilvl="8" w:tplc="B806549A" w:tentative="1">
      <w:start w:val="1"/>
      <w:numFmt w:val="bullet"/>
      <w:lvlText w:val=""/>
      <w:lvlJc w:val="left"/>
      <w:pPr>
        <w:ind w:left="6480" w:hanging="360"/>
      </w:pPr>
      <w:rPr>
        <w:rFonts w:ascii="Wingdings" w:hAnsi="Wingdings" w:hint="default"/>
      </w:rPr>
    </w:lvl>
  </w:abstractNum>
  <w:abstractNum w:abstractNumId="26" w15:restartNumberingAfterBreak="0">
    <w:nsid w:val="049E5447"/>
    <w:multiLevelType w:val="multilevel"/>
    <w:tmpl w:val="CE1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2E632D"/>
    <w:multiLevelType w:val="hybridMultilevel"/>
    <w:tmpl w:val="0AC2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563C38D"/>
    <w:multiLevelType w:val="hybridMultilevel"/>
    <w:tmpl w:val="FFFFFFFF"/>
    <w:lvl w:ilvl="0" w:tplc="B576239C">
      <w:start w:val="1"/>
      <w:numFmt w:val="bullet"/>
      <w:lvlText w:val="·"/>
      <w:lvlJc w:val="left"/>
      <w:pPr>
        <w:ind w:left="720" w:hanging="360"/>
      </w:pPr>
      <w:rPr>
        <w:rFonts w:ascii="Symbol" w:hAnsi="Symbol" w:hint="default"/>
      </w:rPr>
    </w:lvl>
    <w:lvl w:ilvl="1" w:tplc="86DE9B92">
      <w:start w:val="1"/>
      <w:numFmt w:val="bullet"/>
      <w:lvlText w:val="o"/>
      <w:lvlJc w:val="left"/>
      <w:pPr>
        <w:ind w:left="1440" w:hanging="360"/>
      </w:pPr>
      <w:rPr>
        <w:rFonts w:ascii="Courier New" w:hAnsi="Courier New" w:hint="default"/>
      </w:rPr>
    </w:lvl>
    <w:lvl w:ilvl="2" w:tplc="C2AA72FE">
      <w:start w:val="1"/>
      <w:numFmt w:val="bullet"/>
      <w:lvlText w:val=""/>
      <w:lvlJc w:val="left"/>
      <w:pPr>
        <w:ind w:left="2160" w:hanging="360"/>
      </w:pPr>
      <w:rPr>
        <w:rFonts w:ascii="Wingdings" w:hAnsi="Wingdings" w:hint="default"/>
      </w:rPr>
    </w:lvl>
    <w:lvl w:ilvl="3" w:tplc="D71E5BF0">
      <w:start w:val="1"/>
      <w:numFmt w:val="bullet"/>
      <w:lvlText w:val=""/>
      <w:lvlJc w:val="left"/>
      <w:pPr>
        <w:ind w:left="2880" w:hanging="360"/>
      </w:pPr>
      <w:rPr>
        <w:rFonts w:ascii="Symbol" w:hAnsi="Symbol" w:hint="default"/>
      </w:rPr>
    </w:lvl>
    <w:lvl w:ilvl="4" w:tplc="62F6DAB6">
      <w:start w:val="1"/>
      <w:numFmt w:val="bullet"/>
      <w:lvlText w:val="o"/>
      <w:lvlJc w:val="left"/>
      <w:pPr>
        <w:ind w:left="3600" w:hanging="360"/>
      </w:pPr>
      <w:rPr>
        <w:rFonts w:ascii="Courier New" w:hAnsi="Courier New" w:hint="default"/>
      </w:rPr>
    </w:lvl>
    <w:lvl w:ilvl="5" w:tplc="F4A873A2">
      <w:start w:val="1"/>
      <w:numFmt w:val="bullet"/>
      <w:lvlText w:val=""/>
      <w:lvlJc w:val="left"/>
      <w:pPr>
        <w:ind w:left="4320" w:hanging="360"/>
      </w:pPr>
      <w:rPr>
        <w:rFonts w:ascii="Wingdings" w:hAnsi="Wingdings" w:hint="default"/>
      </w:rPr>
    </w:lvl>
    <w:lvl w:ilvl="6" w:tplc="AB6830EA">
      <w:start w:val="1"/>
      <w:numFmt w:val="bullet"/>
      <w:lvlText w:val=""/>
      <w:lvlJc w:val="left"/>
      <w:pPr>
        <w:ind w:left="5040" w:hanging="360"/>
      </w:pPr>
      <w:rPr>
        <w:rFonts w:ascii="Symbol" w:hAnsi="Symbol" w:hint="default"/>
      </w:rPr>
    </w:lvl>
    <w:lvl w:ilvl="7" w:tplc="0FE87A4A">
      <w:start w:val="1"/>
      <w:numFmt w:val="bullet"/>
      <w:lvlText w:val="o"/>
      <w:lvlJc w:val="left"/>
      <w:pPr>
        <w:ind w:left="5760" w:hanging="360"/>
      </w:pPr>
      <w:rPr>
        <w:rFonts w:ascii="Courier New" w:hAnsi="Courier New" w:hint="default"/>
      </w:rPr>
    </w:lvl>
    <w:lvl w:ilvl="8" w:tplc="F7F29FD2">
      <w:start w:val="1"/>
      <w:numFmt w:val="bullet"/>
      <w:lvlText w:val=""/>
      <w:lvlJc w:val="left"/>
      <w:pPr>
        <w:ind w:left="6480" w:hanging="360"/>
      </w:pPr>
      <w:rPr>
        <w:rFonts w:ascii="Wingdings" w:hAnsi="Wingdings" w:hint="default"/>
      </w:rPr>
    </w:lvl>
  </w:abstractNum>
  <w:abstractNum w:abstractNumId="29" w15:restartNumberingAfterBreak="0">
    <w:nsid w:val="05AA005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5CD45FF"/>
    <w:multiLevelType w:val="multilevel"/>
    <w:tmpl w:val="FE6C1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5DE4192"/>
    <w:multiLevelType w:val="multilevel"/>
    <w:tmpl w:val="9772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62334FC"/>
    <w:multiLevelType w:val="multilevel"/>
    <w:tmpl w:val="36AE253C"/>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6534C50"/>
    <w:multiLevelType w:val="hybridMultilevel"/>
    <w:tmpl w:val="A0C8A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6924CF4"/>
    <w:multiLevelType w:val="hybridMultilevel"/>
    <w:tmpl w:val="FF5AE2A0"/>
    <w:lvl w:ilvl="0" w:tplc="046E34A2">
      <w:start w:val="1"/>
      <w:numFmt w:val="bullet"/>
      <w:lvlText w:val=""/>
      <w:lvlJc w:val="left"/>
      <w:pPr>
        <w:ind w:left="720" w:hanging="360"/>
      </w:pPr>
      <w:rPr>
        <w:rFonts w:ascii="Symbol" w:hAnsi="Symbol" w:hint="default"/>
      </w:rPr>
    </w:lvl>
    <w:lvl w:ilvl="1" w:tplc="7EC4C1C8">
      <w:start w:val="1"/>
      <w:numFmt w:val="bullet"/>
      <w:lvlText w:val="o"/>
      <w:lvlJc w:val="left"/>
      <w:pPr>
        <w:ind w:left="1440" w:hanging="360"/>
      </w:pPr>
      <w:rPr>
        <w:rFonts w:ascii="Courier New" w:hAnsi="Courier New" w:hint="default"/>
      </w:rPr>
    </w:lvl>
    <w:lvl w:ilvl="2" w:tplc="BEC62CB0" w:tentative="1">
      <w:start w:val="1"/>
      <w:numFmt w:val="bullet"/>
      <w:lvlText w:val=""/>
      <w:lvlJc w:val="left"/>
      <w:pPr>
        <w:ind w:left="2160" w:hanging="360"/>
      </w:pPr>
      <w:rPr>
        <w:rFonts w:ascii="Wingdings" w:hAnsi="Wingdings" w:hint="default"/>
      </w:rPr>
    </w:lvl>
    <w:lvl w:ilvl="3" w:tplc="AC2488A0" w:tentative="1">
      <w:start w:val="1"/>
      <w:numFmt w:val="bullet"/>
      <w:lvlText w:val=""/>
      <w:lvlJc w:val="left"/>
      <w:pPr>
        <w:ind w:left="2880" w:hanging="360"/>
      </w:pPr>
      <w:rPr>
        <w:rFonts w:ascii="Symbol" w:hAnsi="Symbol" w:hint="default"/>
      </w:rPr>
    </w:lvl>
    <w:lvl w:ilvl="4" w:tplc="C8F8820A" w:tentative="1">
      <w:start w:val="1"/>
      <w:numFmt w:val="bullet"/>
      <w:lvlText w:val="o"/>
      <w:lvlJc w:val="left"/>
      <w:pPr>
        <w:ind w:left="3600" w:hanging="360"/>
      </w:pPr>
      <w:rPr>
        <w:rFonts w:ascii="Courier New" w:hAnsi="Courier New" w:hint="default"/>
      </w:rPr>
    </w:lvl>
    <w:lvl w:ilvl="5" w:tplc="508ECBF6" w:tentative="1">
      <w:start w:val="1"/>
      <w:numFmt w:val="bullet"/>
      <w:lvlText w:val=""/>
      <w:lvlJc w:val="left"/>
      <w:pPr>
        <w:ind w:left="4320" w:hanging="360"/>
      </w:pPr>
      <w:rPr>
        <w:rFonts w:ascii="Wingdings" w:hAnsi="Wingdings" w:hint="default"/>
      </w:rPr>
    </w:lvl>
    <w:lvl w:ilvl="6" w:tplc="4B72C2B8" w:tentative="1">
      <w:start w:val="1"/>
      <w:numFmt w:val="bullet"/>
      <w:lvlText w:val=""/>
      <w:lvlJc w:val="left"/>
      <w:pPr>
        <w:ind w:left="5040" w:hanging="360"/>
      </w:pPr>
      <w:rPr>
        <w:rFonts w:ascii="Symbol" w:hAnsi="Symbol" w:hint="default"/>
      </w:rPr>
    </w:lvl>
    <w:lvl w:ilvl="7" w:tplc="C4489F1E" w:tentative="1">
      <w:start w:val="1"/>
      <w:numFmt w:val="bullet"/>
      <w:lvlText w:val="o"/>
      <w:lvlJc w:val="left"/>
      <w:pPr>
        <w:ind w:left="5760" w:hanging="360"/>
      </w:pPr>
      <w:rPr>
        <w:rFonts w:ascii="Courier New" w:hAnsi="Courier New" w:hint="default"/>
      </w:rPr>
    </w:lvl>
    <w:lvl w:ilvl="8" w:tplc="E9A6130A" w:tentative="1">
      <w:start w:val="1"/>
      <w:numFmt w:val="bullet"/>
      <w:lvlText w:val=""/>
      <w:lvlJc w:val="left"/>
      <w:pPr>
        <w:ind w:left="6480" w:hanging="360"/>
      </w:pPr>
      <w:rPr>
        <w:rFonts w:ascii="Wingdings" w:hAnsi="Wingdings" w:hint="default"/>
      </w:rPr>
    </w:lvl>
  </w:abstractNum>
  <w:abstractNum w:abstractNumId="35" w15:restartNumberingAfterBreak="0">
    <w:nsid w:val="069C4B3A"/>
    <w:multiLevelType w:val="hybridMultilevel"/>
    <w:tmpl w:val="88825720"/>
    <w:lvl w:ilvl="0" w:tplc="E7CE6DD6">
      <w:start w:val="1"/>
      <w:numFmt w:val="bullet"/>
      <w:lvlText w:val=""/>
      <w:lvlJc w:val="left"/>
      <w:pPr>
        <w:ind w:left="720" w:hanging="360"/>
      </w:pPr>
      <w:rPr>
        <w:rFonts w:ascii="Symbol" w:hAnsi="Symbol" w:hint="default"/>
      </w:rPr>
    </w:lvl>
    <w:lvl w:ilvl="1" w:tplc="43766796" w:tentative="1">
      <w:start w:val="1"/>
      <w:numFmt w:val="bullet"/>
      <w:lvlText w:val="o"/>
      <w:lvlJc w:val="left"/>
      <w:pPr>
        <w:ind w:left="1440" w:hanging="360"/>
      </w:pPr>
      <w:rPr>
        <w:rFonts w:ascii="Courier New" w:hAnsi="Courier New" w:hint="default"/>
      </w:rPr>
    </w:lvl>
    <w:lvl w:ilvl="2" w:tplc="4CE6A1A2" w:tentative="1">
      <w:start w:val="1"/>
      <w:numFmt w:val="bullet"/>
      <w:lvlText w:val=""/>
      <w:lvlJc w:val="left"/>
      <w:pPr>
        <w:ind w:left="2160" w:hanging="360"/>
      </w:pPr>
      <w:rPr>
        <w:rFonts w:ascii="Wingdings" w:hAnsi="Wingdings" w:hint="default"/>
      </w:rPr>
    </w:lvl>
    <w:lvl w:ilvl="3" w:tplc="3D42595E" w:tentative="1">
      <w:start w:val="1"/>
      <w:numFmt w:val="bullet"/>
      <w:lvlText w:val=""/>
      <w:lvlJc w:val="left"/>
      <w:pPr>
        <w:ind w:left="2880" w:hanging="360"/>
      </w:pPr>
      <w:rPr>
        <w:rFonts w:ascii="Symbol" w:hAnsi="Symbol" w:hint="default"/>
      </w:rPr>
    </w:lvl>
    <w:lvl w:ilvl="4" w:tplc="C0D65586" w:tentative="1">
      <w:start w:val="1"/>
      <w:numFmt w:val="bullet"/>
      <w:lvlText w:val="o"/>
      <w:lvlJc w:val="left"/>
      <w:pPr>
        <w:ind w:left="3600" w:hanging="360"/>
      </w:pPr>
      <w:rPr>
        <w:rFonts w:ascii="Courier New" w:hAnsi="Courier New" w:hint="default"/>
      </w:rPr>
    </w:lvl>
    <w:lvl w:ilvl="5" w:tplc="854076DC" w:tentative="1">
      <w:start w:val="1"/>
      <w:numFmt w:val="bullet"/>
      <w:lvlText w:val=""/>
      <w:lvlJc w:val="left"/>
      <w:pPr>
        <w:ind w:left="4320" w:hanging="360"/>
      </w:pPr>
      <w:rPr>
        <w:rFonts w:ascii="Wingdings" w:hAnsi="Wingdings" w:hint="default"/>
      </w:rPr>
    </w:lvl>
    <w:lvl w:ilvl="6" w:tplc="475CE588" w:tentative="1">
      <w:start w:val="1"/>
      <w:numFmt w:val="bullet"/>
      <w:lvlText w:val=""/>
      <w:lvlJc w:val="left"/>
      <w:pPr>
        <w:ind w:left="5040" w:hanging="360"/>
      </w:pPr>
      <w:rPr>
        <w:rFonts w:ascii="Symbol" w:hAnsi="Symbol" w:hint="default"/>
      </w:rPr>
    </w:lvl>
    <w:lvl w:ilvl="7" w:tplc="1AA80502" w:tentative="1">
      <w:start w:val="1"/>
      <w:numFmt w:val="bullet"/>
      <w:lvlText w:val="o"/>
      <w:lvlJc w:val="left"/>
      <w:pPr>
        <w:ind w:left="5760" w:hanging="360"/>
      </w:pPr>
      <w:rPr>
        <w:rFonts w:ascii="Courier New" w:hAnsi="Courier New" w:hint="default"/>
      </w:rPr>
    </w:lvl>
    <w:lvl w:ilvl="8" w:tplc="75FE230C" w:tentative="1">
      <w:start w:val="1"/>
      <w:numFmt w:val="bullet"/>
      <w:lvlText w:val=""/>
      <w:lvlJc w:val="left"/>
      <w:pPr>
        <w:ind w:left="6480" w:hanging="360"/>
      </w:pPr>
      <w:rPr>
        <w:rFonts w:ascii="Wingdings" w:hAnsi="Wingdings" w:hint="default"/>
      </w:rPr>
    </w:lvl>
  </w:abstractNum>
  <w:abstractNum w:abstractNumId="36" w15:restartNumberingAfterBreak="0">
    <w:nsid w:val="077F39EC"/>
    <w:multiLevelType w:val="hybridMultilevel"/>
    <w:tmpl w:val="879A9020"/>
    <w:lvl w:ilvl="0" w:tplc="9FF052F6">
      <w:start w:val="1"/>
      <w:numFmt w:val="bullet"/>
      <w:lvlText w:val="o"/>
      <w:lvlJc w:val="left"/>
      <w:pPr>
        <w:ind w:left="1440" w:hanging="360"/>
      </w:pPr>
      <w:rPr>
        <w:rFonts w:ascii="Courier New" w:hAnsi="Courier New" w:hint="default"/>
      </w:rPr>
    </w:lvl>
    <w:lvl w:ilvl="1" w:tplc="F6A47C1E" w:tentative="1">
      <w:start w:val="1"/>
      <w:numFmt w:val="bullet"/>
      <w:lvlText w:val="o"/>
      <w:lvlJc w:val="left"/>
      <w:pPr>
        <w:ind w:left="2160" w:hanging="360"/>
      </w:pPr>
      <w:rPr>
        <w:rFonts w:ascii="Courier New" w:hAnsi="Courier New" w:hint="default"/>
      </w:rPr>
    </w:lvl>
    <w:lvl w:ilvl="2" w:tplc="120CA7E8" w:tentative="1">
      <w:start w:val="1"/>
      <w:numFmt w:val="bullet"/>
      <w:lvlText w:val=""/>
      <w:lvlJc w:val="left"/>
      <w:pPr>
        <w:ind w:left="2880" w:hanging="360"/>
      </w:pPr>
      <w:rPr>
        <w:rFonts w:ascii="Wingdings" w:hAnsi="Wingdings" w:hint="default"/>
      </w:rPr>
    </w:lvl>
    <w:lvl w:ilvl="3" w:tplc="19FE6A30" w:tentative="1">
      <w:start w:val="1"/>
      <w:numFmt w:val="bullet"/>
      <w:lvlText w:val=""/>
      <w:lvlJc w:val="left"/>
      <w:pPr>
        <w:ind w:left="3600" w:hanging="360"/>
      </w:pPr>
      <w:rPr>
        <w:rFonts w:ascii="Symbol" w:hAnsi="Symbol" w:hint="default"/>
      </w:rPr>
    </w:lvl>
    <w:lvl w:ilvl="4" w:tplc="28B6570A" w:tentative="1">
      <w:start w:val="1"/>
      <w:numFmt w:val="bullet"/>
      <w:lvlText w:val="o"/>
      <w:lvlJc w:val="left"/>
      <w:pPr>
        <w:ind w:left="4320" w:hanging="360"/>
      </w:pPr>
      <w:rPr>
        <w:rFonts w:ascii="Courier New" w:hAnsi="Courier New" w:hint="default"/>
      </w:rPr>
    </w:lvl>
    <w:lvl w:ilvl="5" w:tplc="9210F200" w:tentative="1">
      <w:start w:val="1"/>
      <w:numFmt w:val="bullet"/>
      <w:lvlText w:val=""/>
      <w:lvlJc w:val="left"/>
      <w:pPr>
        <w:ind w:left="5040" w:hanging="360"/>
      </w:pPr>
      <w:rPr>
        <w:rFonts w:ascii="Wingdings" w:hAnsi="Wingdings" w:hint="default"/>
      </w:rPr>
    </w:lvl>
    <w:lvl w:ilvl="6" w:tplc="89D88AB8" w:tentative="1">
      <w:start w:val="1"/>
      <w:numFmt w:val="bullet"/>
      <w:lvlText w:val=""/>
      <w:lvlJc w:val="left"/>
      <w:pPr>
        <w:ind w:left="5760" w:hanging="360"/>
      </w:pPr>
      <w:rPr>
        <w:rFonts w:ascii="Symbol" w:hAnsi="Symbol" w:hint="default"/>
      </w:rPr>
    </w:lvl>
    <w:lvl w:ilvl="7" w:tplc="44002D12" w:tentative="1">
      <w:start w:val="1"/>
      <w:numFmt w:val="bullet"/>
      <w:lvlText w:val="o"/>
      <w:lvlJc w:val="left"/>
      <w:pPr>
        <w:ind w:left="6480" w:hanging="360"/>
      </w:pPr>
      <w:rPr>
        <w:rFonts w:ascii="Courier New" w:hAnsi="Courier New" w:hint="default"/>
      </w:rPr>
    </w:lvl>
    <w:lvl w:ilvl="8" w:tplc="707EF422" w:tentative="1">
      <w:start w:val="1"/>
      <w:numFmt w:val="bullet"/>
      <w:lvlText w:val=""/>
      <w:lvlJc w:val="left"/>
      <w:pPr>
        <w:ind w:left="7200" w:hanging="360"/>
      </w:pPr>
      <w:rPr>
        <w:rFonts w:ascii="Wingdings" w:hAnsi="Wingdings" w:hint="default"/>
      </w:rPr>
    </w:lvl>
  </w:abstractNum>
  <w:abstractNum w:abstractNumId="37" w15:restartNumberingAfterBreak="0">
    <w:nsid w:val="0788186B"/>
    <w:multiLevelType w:val="multilevel"/>
    <w:tmpl w:val="0820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A907E5"/>
    <w:multiLevelType w:val="hybridMultilevel"/>
    <w:tmpl w:val="A5CE3AC6"/>
    <w:lvl w:ilvl="0" w:tplc="CB3E8DDA">
      <w:start w:val="1"/>
      <w:numFmt w:val="bullet"/>
      <w:lvlText w:val=""/>
      <w:lvlJc w:val="left"/>
      <w:pPr>
        <w:ind w:left="720" w:hanging="360"/>
      </w:pPr>
      <w:rPr>
        <w:rFonts w:ascii="Symbol" w:hAnsi="Symbol" w:hint="default"/>
        <w:color w:val="auto"/>
        <w:sz w:val="24"/>
        <w:szCs w:val="24"/>
      </w:rPr>
    </w:lvl>
    <w:lvl w:ilvl="1" w:tplc="6338BE0A" w:tentative="1">
      <w:start w:val="1"/>
      <w:numFmt w:val="bullet"/>
      <w:lvlText w:val="o"/>
      <w:lvlJc w:val="left"/>
      <w:pPr>
        <w:ind w:left="1440" w:hanging="360"/>
      </w:pPr>
      <w:rPr>
        <w:rFonts w:ascii="Courier New" w:hAnsi="Courier New" w:hint="default"/>
      </w:rPr>
    </w:lvl>
    <w:lvl w:ilvl="2" w:tplc="F8AC6220" w:tentative="1">
      <w:start w:val="1"/>
      <w:numFmt w:val="bullet"/>
      <w:lvlText w:val=""/>
      <w:lvlJc w:val="left"/>
      <w:pPr>
        <w:ind w:left="2160" w:hanging="360"/>
      </w:pPr>
      <w:rPr>
        <w:rFonts w:ascii="Wingdings" w:hAnsi="Wingdings" w:hint="default"/>
      </w:rPr>
    </w:lvl>
    <w:lvl w:ilvl="3" w:tplc="C08E799C" w:tentative="1">
      <w:start w:val="1"/>
      <w:numFmt w:val="bullet"/>
      <w:lvlText w:val=""/>
      <w:lvlJc w:val="left"/>
      <w:pPr>
        <w:ind w:left="2880" w:hanging="360"/>
      </w:pPr>
      <w:rPr>
        <w:rFonts w:ascii="Symbol" w:hAnsi="Symbol" w:hint="default"/>
      </w:rPr>
    </w:lvl>
    <w:lvl w:ilvl="4" w:tplc="D292C1E2" w:tentative="1">
      <w:start w:val="1"/>
      <w:numFmt w:val="bullet"/>
      <w:lvlText w:val="o"/>
      <w:lvlJc w:val="left"/>
      <w:pPr>
        <w:ind w:left="3600" w:hanging="360"/>
      </w:pPr>
      <w:rPr>
        <w:rFonts w:ascii="Courier New" w:hAnsi="Courier New" w:hint="default"/>
      </w:rPr>
    </w:lvl>
    <w:lvl w:ilvl="5" w:tplc="8E90A482" w:tentative="1">
      <w:start w:val="1"/>
      <w:numFmt w:val="bullet"/>
      <w:lvlText w:val=""/>
      <w:lvlJc w:val="left"/>
      <w:pPr>
        <w:ind w:left="4320" w:hanging="360"/>
      </w:pPr>
      <w:rPr>
        <w:rFonts w:ascii="Wingdings" w:hAnsi="Wingdings" w:hint="default"/>
      </w:rPr>
    </w:lvl>
    <w:lvl w:ilvl="6" w:tplc="8D34A13A" w:tentative="1">
      <w:start w:val="1"/>
      <w:numFmt w:val="bullet"/>
      <w:lvlText w:val=""/>
      <w:lvlJc w:val="left"/>
      <w:pPr>
        <w:ind w:left="5040" w:hanging="360"/>
      </w:pPr>
      <w:rPr>
        <w:rFonts w:ascii="Symbol" w:hAnsi="Symbol" w:hint="default"/>
      </w:rPr>
    </w:lvl>
    <w:lvl w:ilvl="7" w:tplc="CE4E4662" w:tentative="1">
      <w:start w:val="1"/>
      <w:numFmt w:val="bullet"/>
      <w:lvlText w:val="o"/>
      <w:lvlJc w:val="left"/>
      <w:pPr>
        <w:ind w:left="5760" w:hanging="360"/>
      </w:pPr>
      <w:rPr>
        <w:rFonts w:ascii="Courier New" w:hAnsi="Courier New" w:hint="default"/>
      </w:rPr>
    </w:lvl>
    <w:lvl w:ilvl="8" w:tplc="95EE42AC" w:tentative="1">
      <w:start w:val="1"/>
      <w:numFmt w:val="bullet"/>
      <w:lvlText w:val=""/>
      <w:lvlJc w:val="left"/>
      <w:pPr>
        <w:ind w:left="6480" w:hanging="360"/>
      </w:pPr>
      <w:rPr>
        <w:rFonts w:ascii="Wingdings" w:hAnsi="Wingdings" w:hint="default"/>
      </w:rPr>
    </w:lvl>
  </w:abstractNum>
  <w:abstractNum w:abstractNumId="39" w15:restartNumberingAfterBreak="0">
    <w:nsid w:val="07C82213"/>
    <w:multiLevelType w:val="multilevel"/>
    <w:tmpl w:val="F0F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ED432D"/>
    <w:multiLevelType w:val="multilevel"/>
    <w:tmpl w:val="918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723FE"/>
    <w:multiLevelType w:val="hybridMultilevel"/>
    <w:tmpl w:val="0FA478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082401F6"/>
    <w:multiLevelType w:val="hybridMultilevel"/>
    <w:tmpl w:val="DCB21A44"/>
    <w:lvl w:ilvl="0" w:tplc="58A4170E">
      <w:start w:val="1"/>
      <w:numFmt w:val="bullet"/>
      <w:lvlText w:val=""/>
      <w:lvlJc w:val="left"/>
      <w:pPr>
        <w:ind w:left="720" w:hanging="360"/>
      </w:pPr>
      <w:rPr>
        <w:rFonts w:ascii="Symbol" w:hAnsi="Symbol" w:hint="default"/>
      </w:rPr>
    </w:lvl>
    <w:lvl w:ilvl="1" w:tplc="CCECFED2">
      <w:start w:val="1"/>
      <w:numFmt w:val="bullet"/>
      <w:lvlText w:val="o"/>
      <w:lvlJc w:val="left"/>
      <w:pPr>
        <w:ind w:left="1440" w:hanging="360"/>
      </w:pPr>
      <w:rPr>
        <w:rFonts w:ascii="Courier New" w:hAnsi="Courier New" w:hint="default"/>
      </w:rPr>
    </w:lvl>
    <w:lvl w:ilvl="2" w:tplc="45C620A2" w:tentative="1">
      <w:start w:val="1"/>
      <w:numFmt w:val="bullet"/>
      <w:lvlText w:val=""/>
      <w:lvlJc w:val="left"/>
      <w:pPr>
        <w:ind w:left="2160" w:hanging="360"/>
      </w:pPr>
      <w:rPr>
        <w:rFonts w:ascii="Wingdings" w:hAnsi="Wingdings" w:hint="default"/>
      </w:rPr>
    </w:lvl>
    <w:lvl w:ilvl="3" w:tplc="4E5CAB30" w:tentative="1">
      <w:start w:val="1"/>
      <w:numFmt w:val="bullet"/>
      <w:lvlText w:val=""/>
      <w:lvlJc w:val="left"/>
      <w:pPr>
        <w:ind w:left="2880" w:hanging="360"/>
      </w:pPr>
      <w:rPr>
        <w:rFonts w:ascii="Symbol" w:hAnsi="Symbol" w:hint="default"/>
      </w:rPr>
    </w:lvl>
    <w:lvl w:ilvl="4" w:tplc="EF5A0978" w:tentative="1">
      <w:start w:val="1"/>
      <w:numFmt w:val="bullet"/>
      <w:lvlText w:val="o"/>
      <w:lvlJc w:val="left"/>
      <w:pPr>
        <w:ind w:left="3600" w:hanging="360"/>
      </w:pPr>
      <w:rPr>
        <w:rFonts w:ascii="Courier New" w:hAnsi="Courier New" w:hint="default"/>
      </w:rPr>
    </w:lvl>
    <w:lvl w:ilvl="5" w:tplc="8F72821E" w:tentative="1">
      <w:start w:val="1"/>
      <w:numFmt w:val="bullet"/>
      <w:lvlText w:val=""/>
      <w:lvlJc w:val="left"/>
      <w:pPr>
        <w:ind w:left="4320" w:hanging="360"/>
      </w:pPr>
      <w:rPr>
        <w:rFonts w:ascii="Wingdings" w:hAnsi="Wingdings" w:hint="default"/>
      </w:rPr>
    </w:lvl>
    <w:lvl w:ilvl="6" w:tplc="598CD6C6" w:tentative="1">
      <w:start w:val="1"/>
      <w:numFmt w:val="bullet"/>
      <w:lvlText w:val=""/>
      <w:lvlJc w:val="left"/>
      <w:pPr>
        <w:ind w:left="5040" w:hanging="360"/>
      </w:pPr>
      <w:rPr>
        <w:rFonts w:ascii="Symbol" w:hAnsi="Symbol" w:hint="default"/>
      </w:rPr>
    </w:lvl>
    <w:lvl w:ilvl="7" w:tplc="2034D38A" w:tentative="1">
      <w:start w:val="1"/>
      <w:numFmt w:val="bullet"/>
      <w:lvlText w:val="o"/>
      <w:lvlJc w:val="left"/>
      <w:pPr>
        <w:ind w:left="5760" w:hanging="360"/>
      </w:pPr>
      <w:rPr>
        <w:rFonts w:ascii="Courier New" w:hAnsi="Courier New" w:hint="default"/>
      </w:rPr>
    </w:lvl>
    <w:lvl w:ilvl="8" w:tplc="01E657A8" w:tentative="1">
      <w:start w:val="1"/>
      <w:numFmt w:val="bullet"/>
      <w:lvlText w:val=""/>
      <w:lvlJc w:val="left"/>
      <w:pPr>
        <w:ind w:left="6480" w:hanging="360"/>
      </w:pPr>
      <w:rPr>
        <w:rFonts w:ascii="Wingdings" w:hAnsi="Wingdings" w:hint="default"/>
      </w:rPr>
    </w:lvl>
  </w:abstractNum>
  <w:abstractNum w:abstractNumId="43" w15:restartNumberingAfterBreak="0">
    <w:nsid w:val="08357CDA"/>
    <w:multiLevelType w:val="hybridMultilevel"/>
    <w:tmpl w:val="0F5CBDC8"/>
    <w:lvl w:ilvl="0" w:tplc="2D28C37E">
      <w:start w:val="1"/>
      <w:numFmt w:val="bullet"/>
      <w:lvlText w:val=""/>
      <w:lvlJc w:val="left"/>
      <w:pPr>
        <w:ind w:left="720" w:hanging="360"/>
      </w:pPr>
      <w:rPr>
        <w:rFonts w:ascii="Symbol" w:hAnsi="Symbol" w:hint="default"/>
      </w:rPr>
    </w:lvl>
    <w:lvl w:ilvl="1" w:tplc="5EBE3B82" w:tentative="1">
      <w:start w:val="1"/>
      <w:numFmt w:val="bullet"/>
      <w:lvlText w:val="o"/>
      <w:lvlJc w:val="left"/>
      <w:pPr>
        <w:ind w:left="1440" w:hanging="360"/>
      </w:pPr>
      <w:rPr>
        <w:rFonts w:ascii="Courier New" w:hAnsi="Courier New" w:hint="default"/>
      </w:rPr>
    </w:lvl>
    <w:lvl w:ilvl="2" w:tplc="52C85D32" w:tentative="1">
      <w:start w:val="1"/>
      <w:numFmt w:val="bullet"/>
      <w:lvlText w:val=""/>
      <w:lvlJc w:val="left"/>
      <w:pPr>
        <w:ind w:left="2160" w:hanging="360"/>
      </w:pPr>
      <w:rPr>
        <w:rFonts w:ascii="Wingdings" w:hAnsi="Wingdings" w:hint="default"/>
      </w:rPr>
    </w:lvl>
    <w:lvl w:ilvl="3" w:tplc="A3AC8834" w:tentative="1">
      <w:start w:val="1"/>
      <w:numFmt w:val="bullet"/>
      <w:lvlText w:val=""/>
      <w:lvlJc w:val="left"/>
      <w:pPr>
        <w:ind w:left="2880" w:hanging="360"/>
      </w:pPr>
      <w:rPr>
        <w:rFonts w:ascii="Symbol" w:hAnsi="Symbol" w:hint="default"/>
      </w:rPr>
    </w:lvl>
    <w:lvl w:ilvl="4" w:tplc="BCB612F6" w:tentative="1">
      <w:start w:val="1"/>
      <w:numFmt w:val="bullet"/>
      <w:lvlText w:val="o"/>
      <w:lvlJc w:val="left"/>
      <w:pPr>
        <w:ind w:left="3600" w:hanging="360"/>
      </w:pPr>
      <w:rPr>
        <w:rFonts w:ascii="Courier New" w:hAnsi="Courier New" w:hint="default"/>
      </w:rPr>
    </w:lvl>
    <w:lvl w:ilvl="5" w:tplc="B3C4D6EA" w:tentative="1">
      <w:start w:val="1"/>
      <w:numFmt w:val="bullet"/>
      <w:lvlText w:val=""/>
      <w:lvlJc w:val="left"/>
      <w:pPr>
        <w:ind w:left="4320" w:hanging="360"/>
      </w:pPr>
      <w:rPr>
        <w:rFonts w:ascii="Wingdings" w:hAnsi="Wingdings" w:hint="default"/>
      </w:rPr>
    </w:lvl>
    <w:lvl w:ilvl="6" w:tplc="5F8873A4" w:tentative="1">
      <w:start w:val="1"/>
      <w:numFmt w:val="bullet"/>
      <w:lvlText w:val=""/>
      <w:lvlJc w:val="left"/>
      <w:pPr>
        <w:ind w:left="5040" w:hanging="360"/>
      </w:pPr>
      <w:rPr>
        <w:rFonts w:ascii="Symbol" w:hAnsi="Symbol" w:hint="default"/>
      </w:rPr>
    </w:lvl>
    <w:lvl w:ilvl="7" w:tplc="BBE84A08" w:tentative="1">
      <w:start w:val="1"/>
      <w:numFmt w:val="bullet"/>
      <w:lvlText w:val="o"/>
      <w:lvlJc w:val="left"/>
      <w:pPr>
        <w:ind w:left="5760" w:hanging="360"/>
      </w:pPr>
      <w:rPr>
        <w:rFonts w:ascii="Courier New" w:hAnsi="Courier New" w:hint="default"/>
      </w:rPr>
    </w:lvl>
    <w:lvl w:ilvl="8" w:tplc="7B76B928" w:tentative="1">
      <w:start w:val="1"/>
      <w:numFmt w:val="bullet"/>
      <w:lvlText w:val=""/>
      <w:lvlJc w:val="left"/>
      <w:pPr>
        <w:ind w:left="6480" w:hanging="360"/>
      </w:pPr>
      <w:rPr>
        <w:rFonts w:ascii="Wingdings" w:hAnsi="Wingdings" w:hint="default"/>
      </w:rPr>
    </w:lvl>
  </w:abstractNum>
  <w:abstractNum w:abstractNumId="44" w15:restartNumberingAfterBreak="0">
    <w:nsid w:val="088165D5"/>
    <w:multiLevelType w:val="multilevel"/>
    <w:tmpl w:val="EB68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8E57A52"/>
    <w:multiLevelType w:val="multilevel"/>
    <w:tmpl w:val="CC1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90D5ED4"/>
    <w:multiLevelType w:val="hybridMultilevel"/>
    <w:tmpl w:val="73FE32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096AA362"/>
    <w:multiLevelType w:val="hybridMultilevel"/>
    <w:tmpl w:val="1CEA8FBA"/>
    <w:lvl w:ilvl="0" w:tplc="3B8CBE74">
      <w:start w:val="1"/>
      <w:numFmt w:val="bullet"/>
      <w:lvlText w:val="·"/>
      <w:lvlJc w:val="left"/>
      <w:pPr>
        <w:ind w:left="720" w:hanging="360"/>
      </w:pPr>
      <w:rPr>
        <w:rFonts w:ascii="Symbol" w:hAnsi="Symbol" w:hint="default"/>
      </w:rPr>
    </w:lvl>
    <w:lvl w:ilvl="1" w:tplc="F4306170">
      <w:start w:val="1"/>
      <w:numFmt w:val="bullet"/>
      <w:lvlText w:val="o"/>
      <w:lvlJc w:val="left"/>
      <w:pPr>
        <w:ind w:left="1440" w:hanging="360"/>
      </w:pPr>
      <w:rPr>
        <w:rFonts w:ascii="Courier New" w:hAnsi="Courier New" w:hint="default"/>
      </w:rPr>
    </w:lvl>
    <w:lvl w:ilvl="2" w:tplc="6C323994">
      <w:start w:val="1"/>
      <w:numFmt w:val="bullet"/>
      <w:lvlText w:val=""/>
      <w:lvlJc w:val="left"/>
      <w:pPr>
        <w:ind w:left="2160" w:hanging="360"/>
      </w:pPr>
      <w:rPr>
        <w:rFonts w:ascii="Wingdings" w:hAnsi="Wingdings" w:hint="default"/>
      </w:rPr>
    </w:lvl>
    <w:lvl w:ilvl="3" w:tplc="617C5DA0">
      <w:start w:val="1"/>
      <w:numFmt w:val="bullet"/>
      <w:lvlText w:val=""/>
      <w:lvlJc w:val="left"/>
      <w:pPr>
        <w:ind w:left="2880" w:hanging="360"/>
      </w:pPr>
      <w:rPr>
        <w:rFonts w:ascii="Symbol" w:hAnsi="Symbol" w:hint="default"/>
      </w:rPr>
    </w:lvl>
    <w:lvl w:ilvl="4" w:tplc="24760484">
      <w:start w:val="1"/>
      <w:numFmt w:val="bullet"/>
      <w:lvlText w:val="o"/>
      <w:lvlJc w:val="left"/>
      <w:pPr>
        <w:ind w:left="3600" w:hanging="360"/>
      </w:pPr>
      <w:rPr>
        <w:rFonts w:ascii="Courier New" w:hAnsi="Courier New" w:hint="default"/>
      </w:rPr>
    </w:lvl>
    <w:lvl w:ilvl="5" w:tplc="94308782">
      <w:start w:val="1"/>
      <w:numFmt w:val="bullet"/>
      <w:lvlText w:val=""/>
      <w:lvlJc w:val="left"/>
      <w:pPr>
        <w:ind w:left="4320" w:hanging="360"/>
      </w:pPr>
      <w:rPr>
        <w:rFonts w:ascii="Wingdings" w:hAnsi="Wingdings" w:hint="default"/>
      </w:rPr>
    </w:lvl>
    <w:lvl w:ilvl="6" w:tplc="161ED0FE">
      <w:start w:val="1"/>
      <w:numFmt w:val="bullet"/>
      <w:lvlText w:val=""/>
      <w:lvlJc w:val="left"/>
      <w:pPr>
        <w:ind w:left="5040" w:hanging="360"/>
      </w:pPr>
      <w:rPr>
        <w:rFonts w:ascii="Symbol" w:hAnsi="Symbol" w:hint="default"/>
      </w:rPr>
    </w:lvl>
    <w:lvl w:ilvl="7" w:tplc="1F2C5488">
      <w:start w:val="1"/>
      <w:numFmt w:val="bullet"/>
      <w:lvlText w:val="o"/>
      <w:lvlJc w:val="left"/>
      <w:pPr>
        <w:ind w:left="5760" w:hanging="360"/>
      </w:pPr>
      <w:rPr>
        <w:rFonts w:ascii="Courier New" w:hAnsi="Courier New" w:hint="default"/>
      </w:rPr>
    </w:lvl>
    <w:lvl w:ilvl="8" w:tplc="60425DB4">
      <w:start w:val="1"/>
      <w:numFmt w:val="bullet"/>
      <w:lvlText w:val=""/>
      <w:lvlJc w:val="left"/>
      <w:pPr>
        <w:ind w:left="6480" w:hanging="360"/>
      </w:pPr>
      <w:rPr>
        <w:rFonts w:ascii="Wingdings" w:hAnsi="Wingdings" w:hint="default"/>
      </w:rPr>
    </w:lvl>
  </w:abstractNum>
  <w:abstractNum w:abstractNumId="48" w15:restartNumberingAfterBreak="0">
    <w:nsid w:val="09751C6A"/>
    <w:multiLevelType w:val="hybridMultilevel"/>
    <w:tmpl w:val="FFFFFFFF"/>
    <w:lvl w:ilvl="0" w:tplc="517A0C8A">
      <w:start w:val="1"/>
      <w:numFmt w:val="bullet"/>
      <w:lvlText w:val="·"/>
      <w:lvlJc w:val="left"/>
      <w:pPr>
        <w:ind w:left="720" w:hanging="360"/>
      </w:pPr>
      <w:rPr>
        <w:rFonts w:ascii="Symbol" w:hAnsi="Symbol" w:hint="default"/>
      </w:rPr>
    </w:lvl>
    <w:lvl w:ilvl="1" w:tplc="7122A998">
      <w:start w:val="1"/>
      <w:numFmt w:val="bullet"/>
      <w:lvlText w:val="o"/>
      <w:lvlJc w:val="left"/>
      <w:pPr>
        <w:ind w:left="1440" w:hanging="360"/>
      </w:pPr>
      <w:rPr>
        <w:rFonts w:ascii="Courier New" w:hAnsi="Courier New" w:hint="default"/>
      </w:rPr>
    </w:lvl>
    <w:lvl w:ilvl="2" w:tplc="D37E2B2E">
      <w:start w:val="1"/>
      <w:numFmt w:val="bullet"/>
      <w:lvlText w:val=""/>
      <w:lvlJc w:val="left"/>
      <w:pPr>
        <w:ind w:left="2160" w:hanging="360"/>
      </w:pPr>
      <w:rPr>
        <w:rFonts w:ascii="Wingdings" w:hAnsi="Wingdings" w:hint="default"/>
      </w:rPr>
    </w:lvl>
    <w:lvl w:ilvl="3" w:tplc="F5E61178">
      <w:start w:val="1"/>
      <w:numFmt w:val="bullet"/>
      <w:lvlText w:val=""/>
      <w:lvlJc w:val="left"/>
      <w:pPr>
        <w:ind w:left="2880" w:hanging="360"/>
      </w:pPr>
      <w:rPr>
        <w:rFonts w:ascii="Symbol" w:hAnsi="Symbol" w:hint="default"/>
      </w:rPr>
    </w:lvl>
    <w:lvl w:ilvl="4" w:tplc="A296D340">
      <w:start w:val="1"/>
      <w:numFmt w:val="bullet"/>
      <w:lvlText w:val="o"/>
      <w:lvlJc w:val="left"/>
      <w:pPr>
        <w:ind w:left="3600" w:hanging="360"/>
      </w:pPr>
      <w:rPr>
        <w:rFonts w:ascii="Courier New" w:hAnsi="Courier New" w:hint="default"/>
      </w:rPr>
    </w:lvl>
    <w:lvl w:ilvl="5" w:tplc="B3F40B2A">
      <w:start w:val="1"/>
      <w:numFmt w:val="bullet"/>
      <w:lvlText w:val=""/>
      <w:lvlJc w:val="left"/>
      <w:pPr>
        <w:ind w:left="4320" w:hanging="360"/>
      </w:pPr>
      <w:rPr>
        <w:rFonts w:ascii="Wingdings" w:hAnsi="Wingdings" w:hint="default"/>
      </w:rPr>
    </w:lvl>
    <w:lvl w:ilvl="6" w:tplc="9F4A712C">
      <w:start w:val="1"/>
      <w:numFmt w:val="bullet"/>
      <w:lvlText w:val=""/>
      <w:lvlJc w:val="left"/>
      <w:pPr>
        <w:ind w:left="5040" w:hanging="360"/>
      </w:pPr>
      <w:rPr>
        <w:rFonts w:ascii="Symbol" w:hAnsi="Symbol" w:hint="default"/>
      </w:rPr>
    </w:lvl>
    <w:lvl w:ilvl="7" w:tplc="FE7442C6">
      <w:start w:val="1"/>
      <w:numFmt w:val="bullet"/>
      <w:lvlText w:val="o"/>
      <w:lvlJc w:val="left"/>
      <w:pPr>
        <w:ind w:left="5760" w:hanging="360"/>
      </w:pPr>
      <w:rPr>
        <w:rFonts w:ascii="Courier New" w:hAnsi="Courier New" w:hint="default"/>
      </w:rPr>
    </w:lvl>
    <w:lvl w:ilvl="8" w:tplc="172433A0">
      <w:start w:val="1"/>
      <w:numFmt w:val="bullet"/>
      <w:lvlText w:val=""/>
      <w:lvlJc w:val="left"/>
      <w:pPr>
        <w:ind w:left="6480" w:hanging="360"/>
      </w:pPr>
      <w:rPr>
        <w:rFonts w:ascii="Wingdings" w:hAnsi="Wingdings" w:hint="default"/>
      </w:rPr>
    </w:lvl>
  </w:abstractNum>
  <w:abstractNum w:abstractNumId="49" w15:restartNumberingAfterBreak="0">
    <w:nsid w:val="0976144B"/>
    <w:multiLevelType w:val="hybridMultilevel"/>
    <w:tmpl w:val="5C9AD932"/>
    <w:lvl w:ilvl="0" w:tplc="3D625836">
      <w:start w:val="1"/>
      <w:numFmt w:val="bullet"/>
      <w:lvlText w:val="·"/>
      <w:lvlJc w:val="left"/>
      <w:pPr>
        <w:ind w:left="720" w:hanging="360"/>
      </w:pPr>
      <w:rPr>
        <w:rFonts w:ascii="Symbol" w:hAnsi="Symbol" w:hint="default"/>
      </w:rPr>
    </w:lvl>
    <w:lvl w:ilvl="1" w:tplc="AB4883FE" w:tentative="1">
      <w:start w:val="1"/>
      <w:numFmt w:val="bullet"/>
      <w:lvlText w:val="o"/>
      <w:lvlJc w:val="left"/>
      <w:pPr>
        <w:ind w:left="1440" w:hanging="360"/>
      </w:pPr>
      <w:rPr>
        <w:rFonts w:ascii="Courier New" w:hAnsi="Courier New" w:hint="default"/>
      </w:rPr>
    </w:lvl>
    <w:lvl w:ilvl="2" w:tplc="495CC3D0" w:tentative="1">
      <w:start w:val="1"/>
      <w:numFmt w:val="bullet"/>
      <w:lvlText w:val=""/>
      <w:lvlJc w:val="left"/>
      <w:pPr>
        <w:ind w:left="2160" w:hanging="360"/>
      </w:pPr>
      <w:rPr>
        <w:rFonts w:ascii="Wingdings" w:hAnsi="Wingdings" w:hint="default"/>
      </w:rPr>
    </w:lvl>
    <w:lvl w:ilvl="3" w:tplc="97288862" w:tentative="1">
      <w:start w:val="1"/>
      <w:numFmt w:val="bullet"/>
      <w:lvlText w:val=""/>
      <w:lvlJc w:val="left"/>
      <w:pPr>
        <w:ind w:left="2880" w:hanging="360"/>
      </w:pPr>
      <w:rPr>
        <w:rFonts w:ascii="Symbol" w:hAnsi="Symbol" w:hint="default"/>
      </w:rPr>
    </w:lvl>
    <w:lvl w:ilvl="4" w:tplc="BF7A3D14" w:tentative="1">
      <w:start w:val="1"/>
      <w:numFmt w:val="bullet"/>
      <w:lvlText w:val="o"/>
      <w:lvlJc w:val="left"/>
      <w:pPr>
        <w:ind w:left="3600" w:hanging="360"/>
      </w:pPr>
      <w:rPr>
        <w:rFonts w:ascii="Courier New" w:hAnsi="Courier New" w:hint="default"/>
      </w:rPr>
    </w:lvl>
    <w:lvl w:ilvl="5" w:tplc="B524B512" w:tentative="1">
      <w:start w:val="1"/>
      <w:numFmt w:val="bullet"/>
      <w:lvlText w:val=""/>
      <w:lvlJc w:val="left"/>
      <w:pPr>
        <w:ind w:left="4320" w:hanging="360"/>
      </w:pPr>
      <w:rPr>
        <w:rFonts w:ascii="Wingdings" w:hAnsi="Wingdings" w:hint="default"/>
      </w:rPr>
    </w:lvl>
    <w:lvl w:ilvl="6" w:tplc="F510F664" w:tentative="1">
      <w:start w:val="1"/>
      <w:numFmt w:val="bullet"/>
      <w:lvlText w:val=""/>
      <w:lvlJc w:val="left"/>
      <w:pPr>
        <w:ind w:left="5040" w:hanging="360"/>
      </w:pPr>
      <w:rPr>
        <w:rFonts w:ascii="Symbol" w:hAnsi="Symbol" w:hint="default"/>
      </w:rPr>
    </w:lvl>
    <w:lvl w:ilvl="7" w:tplc="0A8026A0" w:tentative="1">
      <w:start w:val="1"/>
      <w:numFmt w:val="bullet"/>
      <w:lvlText w:val="o"/>
      <w:lvlJc w:val="left"/>
      <w:pPr>
        <w:ind w:left="5760" w:hanging="360"/>
      </w:pPr>
      <w:rPr>
        <w:rFonts w:ascii="Courier New" w:hAnsi="Courier New" w:hint="default"/>
      </w:rPr>
    </w:lvl>
    <w:lvl w:ilvl="8" w:tplc="352650FE" w:tentative="1">
      <w:start w:val="1"/>
      <w:numFmt w:val="bullet"/>
      <w:lvlText w:val=""/>
      <w:lvlJc w:val="left"/>
      <w:pPr>
        <w:ind w:left="6480" w:hanging="360"/>
      </w:pPr>
      <w:rPr>
        <w:rFonts w:ascii="Wingdings" w:hAnsi="Wingdings" w:hint="default"/>
      </w:rPr>
    </w:lvl>
  </w:abstractNum>
  <w:abstractNum w:abstractNumId="50" w15:restartNumberingAfterBreak="0">
    <w:nsid w:val="09762056"/>
    <w:multiLevelType w:val="multilevel"/>
    <w:tmpl w:val="92C2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9BC11C2"/>
    <w:multiLevelType w:val="hybridMultilevel"/>
    <w:tmpl w:val="C7B045EE"/>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09FC4A1C"/>
    <w:multiLevelType w:val="hybridMultilevel"/>
    <w:tmpl w:val="97DC428C"/>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0A162AF0"/>
    <w:multiLevelType w:val="hybridMultilevel"/>
    <w:tmpl w:val="CB762968"/>
    <w:lvl w:ilvl="0" w:tplc="B7606376">
      <w:start w:val="1"/>
      <w:numFmt w:val="bullet"/>
      <w:lvlText w:val=""/>
      <w:lvlJc w:val="left"/>
      <w:pPr>
        <w:ind w:left="720" w:hanging="360"/>
      </w:pPr>
      <w:rPr>
        <w:rFonts w:ascii="Symbol" w:hAnsi="Symbol" w:hint="default"/>
      </w:rPr>
    </w:lvl>
    <w:lvl w:ilvl="1" w:tplc="FC8AC4E8" w:tentative="1">
      <w:start w:val="1"/>
      <w:numFmt w:val="bullet"/>
      <w:lvlText w:val="o"/>
      <w:lvlJc w:val="left"/>
      <w:pPr>
        <w:ind w:left="1440" w:hanging="360"/>
      </w:pPr>
      <w:rPr>
        <w:rFonts w:ascii="Courier New" w:hAnsi="Courier New" w:hint="default"/>
      </w:rPr>
    </w:lvl>
    <w:lvl w:ilvl="2" w:tplc="87429A30" w:tentative="1">
      <w:start w:val="1"/>
      <w:numFmt w:val="bullet"/>
      <w:lvlText w:val=""/>
      <w:lvlJc w:val="left"/>
      <w:pPr>
        <w:ind w:left="2160" w:hanging="360"/>
      </w:pPr>
      <w:rPr>
        <w:rFonts w:ascii="Wingdings" w:hAnsi="Wingdings" w:hint="default"/>
      </w:rPr>
    </w:lvl>
    <w:lvl w:ilvl="3" w:tplc="9758883C" w:tentative="1">
      <w:start w:val="1"/>
      <w:numFmt w:val="bullet"/>
      <w:lvlText w:val=""/>
      <w:lvlJc w:val="left"/>
      <w:pPr>
        <w:ind w:left="2880" w:hanging="360"/>
      </w:pPr>
      <w:rPr>
        <w:rFonts w:ascii="Symbol" w:hAnsi="Symbol" w:hint="default"/>
      </w:rPr>
    </w:lvl>
    <w:lvl w:ilvl="4" w:tplc="F51CE70C" w:tentative="1">
      <w:start w:val="1"/>
      <w:numFmt w:val="bullet"/>
      <w:lvlText w:val="o"/>
      <w:lvlJc w:val="left"/>
      <w:pPr>
        <w:ind w:left="3600" w:hanging="360"/>
      </w:pPr>
      <w:rPr>
        <w:rFonts w:ascii="Courier New" w:hAnsi="Courier New" w:hint="default"/>
      </w:rPr>
    </w:lvl>
    <w:lvl w:ilvl="5" w:tplc="7EAC2FB8" w:tentative="1">
      <w:start w:val="1"/>
      <w:numFmt w:val="bullet"/>
      <w:lvlText w:val=""/>
      <w:lvlJc w:val="left"/>
      <w:pPr>
        <w:ind w:left="4320" w:hanging="360"/>
      </w:pPr>
      <w:rPr>
        <w:rFonts w:ascii="Wingdings" w:hAnsi="Wingdings" w:hint="default"/>
      </w:rPr>
    </w:lvl>
    <w:lvl w:ilvl="6" w:tplc="2F0A0742" w:tentative="1">
      <w:start w:val="1"/>
      <w:numFmt w:val="bullet"/>
      <w:lvlText w:val=""/>
      <w:lvlJc w:val="left"/>
      <w:pPr>
        <w:ind w:left="5040" w:hanging="360"/>
      </w:pPr>
      <w:rPr>
        <w:rFonts w:ascii="Symbol" w:hAnsi="Symbol" w:hint="default"/>
      </w:rPr>
    </w:lvl>
    <w:lvl w:ilvl="7" w:tplc="D69003DC" w:tentative="1">
      <w:start w:val="1"/>
      <w:numFmt w:val="bullet"/>
      <w:lvlText w:val="o"/>
      <w:lvlJc w:val="left"/>
      <w:pPr>
        <w:ind w:left="5760" w:hanging="360"/>
      </w:pPr>
      <w:rPr>
        <w:rFonts w:ascii="Courier New" w:hAnsi="Courier New" w:hint="default"/>
      </w:rPr>
    </w:lvl>
    <w:lvl w:ilvl="8" w:tplc="58B45E9A" w:tentative="1">
      <w:start w:val="1"/>
      <w:numFmt w:val="bullet"/>
      <w:lvlText w:val=""/>
      <w:lvlJc w:val="left"/>
      <w:pPr>
        <w:ind w:left="6480" w:hanging="360"/>
      </w:pPr>
      <w:rPr>
        <w:rFonts w:ascii="Wingdings" w:hAnsi="Wingdings" w:hint="default"/>
      </w:rPr>
    </w:lvl>
  </w:abstractNum>
  <w:abstractNum w:abstractNumId="54" w15:restartNumberingAfterBreak="0">
    <w:nsid w:val="0A1E4F5B"/>
    <w:multiLevelType w:val="hybridMultilevel"/>
    <w:tmpl w:val="BBDEC3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0A396762"/>
    <w:multiLevelType w:val="multilevel"/>
    <w:tmpl w:val="EC90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7C5E2D"/>
    <w:multiLevelType w:val="hybridMultilevel"/>
    <w:tmpl w:val="536A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0A854CDF"/>
    <w:multiLevelType w:val="multilevel"/>
    <w:tmpl w:val="7C78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AB43E5F"/>
    <w:multiLevelType w:val="hybridMultilevel"/>
    <w:tmpl w:val="4DAE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0AE29D80"/>
    <w:multiLevelType w:val="hybridMultilevel"/>
    <w:tmpl w:val="FFFFFFFF"/>
    <w:lvl w:ilvl="0" w:tplc="88AA53E4">
      <w:start w:val="1"/>
      <w:numFmt w:val="bullet"/>
      <w:lvlText w:val="·"/>
      <w:lvlJc w:val="left"/>
      <w:pPr>
        <w:ind w:left="720" w:hanging="360"/>
      </w:pPr>
      <w:rPr>
        <w:rFonts w:ascii="Symbol" w:hAnsi="Symbol" w:hint="default"/>
      </w:rPr>
    </w:lvl>
    <w:lvl w:ilvl="1" w:tplc="EBD27C10">
      <w:start w:val="1"/>
      <w:numFmt w:val="bullet"/>
      <w:lvlText w:val="o"/>
      <w:lvlJc w:val="left"/>
      <w:pPr>
        <w:ind w:left="1440" w:hanging="360"/>
      </w:pPr>
      <w:rPr>
        <w:rFonts w:ascii="Courier New" w:hAnsi="Courier New" w:hint="default"/>
      </w:rPr>
    </w:lvl>
    <w:lvl w:ilvl="2" w:tplc="0B6C7B54">
      <w:start w:val="1"/>
      <w:numFmt w:val="bullet"/>
      <w:lvlText w:val=""/>
      <w:lvlJc w:val="left"/>
      <w:pPr>
        <w:ind w:left="2160" w:hanging="360"/>
      </w:pPr>
      <w:rPr>
        <w:rFonts w:ascii="Wingdings" w:hAnsi="Wingdings" w:hint="default"/>
      </w:rPr>
    </w:lvl>
    <w:lvl w:ilvl="3" w:tplc="A920BBDE">
      <w:start w:val="1"/>
      <w:numFmt w:val="bullet"/>
      <w:lvlText w:val=""/>
      <w:lvlJc w:val="left"/>
      <w:pPr>
        <w:ind w:left="2880" w:hanging="360"/>
      </w:pPr>
      <w:rPr>
        <w:rFonts w:ascii="Symbol" w:hAnsi="Symbol" w:hint="default"/>
      </w:rPr>
    </w:lvl>
    <w:lvl w:ilvl="4" w:tplc="B85E6356">
      <w:start w:val="1"/>
      <w:numFmt w:val="bullet"/>
      <w:lvlText w:val="o"/>
      <w:lvlJc w:val="left"/>
      <w:pPr>
        <w:ind w:left="3600" w:hanging="360"/>
      </w:pPr>
      <w:rPr>
        <w:rFonts w:ascii="Courier New" w:hAnsi="Courier New" w:hint="default"/>
      </w:rPr>
    </w:lvl>
    <w:lvl w:ilvl="5" w:tplc="36EA2E9A">
      <w:start w:val="1"/>
      <w:numFmt w:val="bullet"/>
      <w:lvlText w:val=""/>
      <w:lvlJc w:val="left"/>
      <w:pPr>
        <w:ind w:left="4320" w:hanging="360"/>
      </w:pPr>
      <w:rPr>
        <w:rFonts w:ascii="Wingdings" w:hAnsi="Wingdings" w:hint="default"/>
      </w:rPr>
    </w:lvl>
    <w:lvl w:ilvl="6" w:tplc="24288136">
      <w:start w:val="1"/>
      <w:numFmt w:val="bullet"/>
      <w:lvlText w:val=""/>
      <w:lvlJc w:val="left"/>
      <w:pPr>
        <w:ind w:left="5040" w:hanging="360"/>
      </w:pPr>
      <w:rPr>
        <w:rFonts w:ascii="Symbol" w:hAnsi="Symbol" w:hint="default"/>
      </w:rPr>
    </w:lvl>
    <w:lvl w:ilvl="7" w:tplc="8DA8DDA6">
      <w:start w:val="1"/>
      <w:numFmt w:val="bullet"/>
      <w:lvlText w:val="o"/>
      <w:lvlJc w:val="left"/>
      <w:pPr>
        <w:ind w:left="5760" w:hanging="360"/>
      </w:pPr>
      <w:rPr>
        <w:rFonts w:ascii="Courier New" w:hAnsi="Courier New" w:hint="default"/>
      </w:rPr>
    </w:lvl>
    <w:lvl w:ilvl="8" w:tplc="C99A9442">
      <w:start w:val="1"/>
      <w:numFmt w:val="bullet"/>
      <w:lvlText w:val=""/>
      <w:lvlJc w:val="left"/>
      <w:pPr>
        <w:ind w:left="6480" w:hanging="360"/>
      </w:pPr>
      <w:rPr>
        <w:rFonts w:ascii="Wingdings" w:hAnsi="Wingdings" w:hint="default"/>
      </w:rPr>
    </w:lvl>
  </w:abstractNum>
  <w:abstractNum w:abstractNumId="60" w15:restartNumberingAfterBreak="0">
    <w:nsid w:val="0AFAEF3B"/>
    <w:multiLevelType w:val="hybridMultilevel"/>
    <w:tmpl w:val="645C87B2"/>
    <w:lvl w:ilvl="0" w:tplc="47FCE24C">
      <w:start w:val="1"/>
      <w:numFmt w:val="bullet"/>
      <w:lvlText w:val="·"/>
      <w:lvlJc w:val="left"/>
      <w:pPr>
        <w:ind w:left="720" w:hanging="360"/>
      </w:pPr>
      <w:rPr>
        <w:rFonts w:ascii="Symbol" w:hAnsi="Symbol" w:hint="default"/>
      </w:rPr>
    </w:lvl>
    <w:lvl w:ilvl="1" w:tplc="3C06400E">
      <w:start w:val="1"/>
      <w:numFmt w:val="bullet"/>
      <w:lvlText w:val="o"/>
      <w:lvlJc w:val="left"/>
      <w:pPr>
        <w:ind w:left="1440" w:hanging="360"/>
      </w:pPr>
      <w:rPr>
        <w:rFonts w:ascii="Courier New" w:hAnsi="Courier New" w:hint="default"/>
      </w:rPr>
    </w:lvl>
    <w:lvl w:ilvl="2" w:tplc="D02A6544">
      <w:start w:val="1"/>
      <w:numFmt w:val="bullet"/>
      <w:lvlText w:val=""/>
      <w:lvlJc w:val="left"/>
      <w:pPr>
        <w:ind w:left="2160" w:hanging="360"/>
      </w:pPr>
      <w:rPr>
        <w:rFonts w:ascii="Wingdings" w:hAnsi="Wingdings" w:hint="default"/>
      </w:rPr>
    </w:lvl>
    <w:lvl w:ilvl="3" w:tplc="5122D8DE">
      <w:start w:val="1"/>
      <w:numFmt w:val="bullet"/>
      <w:lvlText w:val=""/>
      <w:lvlJc w:val="left"/>
      <w:pPr>
        <w:ind w:left="2880" w:hanging="360"/>
      </w:pPr>
      <w:rPr>
        <w:rFonts w:ascii="Symbol" w:hAnsi="Symbol" w:hint="default"/>
      </w:rPr>
    </w:lvl>
    <w:lvl w:ilvl="4" w:tplc="63B6A8DE">
      <w:start w:val="1"/>
      <w:numFmt w:val="bullet"/>
      <w:lvlText w:val="o"/>
      <w:lvlJc w:val="left"/>
      <w:pPr>
        <w:ind w:left="3600" w:hanging="360"/>
      </w:pPr>
      <w:rPr>
        <w:rFonts w:ascii="Courier New" w:hAnsi="Courier New" w:hint="default"/>
      </w:rPr>
    </w:lvl>
    <w:lvl w:ilvl="5" w:tplc="C520EF88">
      <w:start w:val="1"/>
      <w:numFmt w:val="bullet"/>
      <w:lvlText w:val=""/>
      <w:lvlJc w:val="left"/>
      <w:pPr>
        <w:ind w:left="4320" w:hanging="360"/>
      </w:pPr>
      <w:rPr>
        <w:rFonts w:ascii="Wingdings" w:hAnsi="Wingdings" w:hint="default"/>
      </w:rPr>
    </w:lvl>
    <w:lvl w:ilvl="6" w:tplc="E4C85088">
      <w:start w:val="1"/>
      <w:numFmt w:val="bullet"/>
      <w:lvlText w:val=""/>
      <w:lvlJc w:val="left"/>
      <w:pPr>
        <w:ind w:left="5040" w:hanging="360"/>
      </w:pPr>
      <w:rPr>
        <w:rFonts w:ascii="Symbol" w:hAnsi="Symbol" w:hint="default"/>
      </w:rPr>
    </w:lvl>
    <w:lvl w:ilvl="7" w:tplc="0276B4BA">
      <w:start w:val="1"/>
      <w:numFmt w:val="bullet"/>
      <w:lvlText w:val="o"/>
      <w:lvlJc w:val="left"/>
      <w:pPr>
        <w:ind w:left="5760" w:hanging="360"/>
      </w:pPr>
      <w:rPr>
        <w:rFonts w:ascii="Courier New" w:hAnsi="Courier New" w:hint="default"/>
      </w:rPr>
    </w:lvl>
    <w:lvl w:ilvl="8" w:tplc="F3546852">
      <w:start w:val="1"/>
      <w:numFmt w:val="bullet"/>
      <w:lvlText w:val=""/>
      <w:lvlJc w:val="left"/>
      <w:pPr>
        <w:ind w:left="6480" w:hanging="360"/>
      </w:pPr>
      <w:rPr>
        <w:rFonts w:ascii="Wingdings" w:hAnsi="Wingdings" w:hint="default"/>
      </w:rPr>
    </w:lvl>
  </w:abstractNum>
  <w:abstractNum w:abstractNumId="61" w15:restartNumberingAfterBreak="0">
    <w:nsid w:val="0B404CA6"/>
    <w:multiLevelType w:val="hybridMultilevel"/>
    <w:tmpl w:val="F670CF2E"/>
    <w:lvl w:ilvl="0" w:tplc="F1E8095C">
      <w:start w:val="1"/>
      <w:numFmt w:val="bullet"/>
      <w:lvlText w:val=""/>
      <w:lvlJc w:val="left"/>
      <w:pPr>
        <w:ind w:left="720" w:hanging="360"/>
      </w:pPr>
      <w:rPr>
        <w:rFonts w:ascii="Symbol" w:hAnsi="Symbol" w:hint="default"/>
      </w:rPr>
    </w:lvl>
    <w:lvl w:ilvl="1" w:tplc="520860A6" w:tentative="1">
      <w:start w:val="1"/>
      <w:numFmt w:val="bullet"/>
      <w:lvlText w:val="o"/>
      <w:lvlJc w:val="left"/>
      <w:pPr>
        <w:ind w:left="1440" w:hanging="360"/>
      </w:pPr>
      <w:rPr>
        <w:rFonts w:ascii="Courier New" w:hAnsi="Courier New" w:hint="default"/>
      </w:rPr>
    </w:lvl>
    <w:lvl w:ilvl="2" w:tplc="36DC1A86" w:tentative="1">
      <w:start w:val="1"/>
      <w:numFmt w:val="bullet"/>
      <w:lvlText w:val=""/>
      <w:lvlJc w:val="left"/>
      <w:pPr>
        <w:ind w:left="2160" w:hanging="360"/>
      </w:pPr>
      <w:rPr>
        <w:rFonts w:ascii="Wingdings" w:hAnsi="Wingdings" w:hint="default"/>
      </w:rPr>
    </w:lvl>
    <w:lvl w:ilvl="3" w:tplc="ED882A80" w:tentative="1">
      <w:start w:val="1"/>
      <w:numFmt w:val="bullet"/>
      <w:lvlText w:val=""/>
      <w:lvlJc w:val="left"/>
      <w:pPr>
        <w:ind w:left="2880" w:hanging="360"/>
      </w:pPr>
      <w:rPr>
        <w:rFonts w:ascii="Symbol" w:hAnsi="Symbol" w:hint="default"/>
      </w:rPr>
    </w:lvl>
    <w:lvl w:ilvl="4" w:tplc="D90EA592" w:tentative="1">
      <w:start w:val="1"/>
      <w:numFmt w:val="bullet"/>
      <w:lvlText w:val="o"/>
      <w:lvlJc w:val="left"/>
      <w:pPr>
        <w:ind w:left="3600" w:hanging="360"/>
      </w:pPr>
      <w:rPr>
        <w:rFonts w:ascii="Courier New" w:hAnsi="Courier New" w:hint="default"/>
      </w:rPr>
    </w:lvl>
    <w:lvl w:ilvl="5" w:tplc="3FBA0E1E" w:tentative="1">
      <w:start w:val="1"/>
      <w:numFmt w:val="bullet"/>
      <w:lvlText w:val=""/>
      <w:lvlJc w:val="left"/>
      <w:pPr>
        <w:ind w:left="4320" w:hanging="360"/>
      </w:pPr>
      <w:rPr>
        <w:rFonts w:ascii="Wingdings" w:hAnsi="Wingdings" w:hint="default"/>
      </w:rPr>
    </w:lvl>
    <w:lvl w:ilvl="6" w:tplc="FEAEECC0" w:tentative="1">
      <w:start w:val="1"/>
      <w:numFmt w:val="bullet"/>
      <w:lvlText w:val=""/>
      <w:lvlJc w:val="left"/>
      <w:pPr>
        <w:ind w:left="5040" w:hanging="360"/>
      </w:pPr>
      <w:rPr>
        <w:rFonts w:ascii="Symbol" w:hAnsi="Symbol" w:hint="default"/>
      </w:rPr>
    </w:lvl>
    <w:lvl w:ilvl="7" w:tplc="42147A1C" w:tentative="1">
      <w:start w:val="1"/>
      <w:numFmt w:val="bullet"/>
      <w:lvlText w:val="o"/>
      <w:lvlJc w:val="left"/>
      <w:pPr>
        <w:ind w:left="5760" w:hanging="360"/>
      </w:pPr>
      <w:rPr>
        <w:rFonts w:ascii="Courier New" w:hAnsi="Courier New" w:hint="default"/>
      </w:rPr>
    </w:lvl>
    <w:lvl w:ilvl="8" w:tplc="256AB80E" w:tentative="1">
      <w:start w:val="1"/>
      <w:numFmt w:val="bullet"/>
      <w:lvlText w:val=""/>
      <w:lvlJc w:val="left"/>
      <w:pPr>
        <w:ind w:left="6480" w:hanging="360"/>
      </w:pPr>
      <w:rPr>
        <w:rFonts w:ascii="Wingdings" w:hAnsi="Wingdings" w:hint="default"/>
      </w:rPr>
    </w:lvl>
  </w:abstractNum>
  <w:abstractNum w:abstractNumId="62" w15:restartNumberingAfterBreak="0">
    <w:nsid w:val="0B7D67ED"/>
    <w:multiLevelType w:val="multilevel"/>
    <w:tmpl w:val="714E4C0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8E752B"/>
    <w:multiLevelType w:val="hybridMultilevel"/>
    <w:tmpl w:val="A970DBD2"/>
    <w:lvl w:ilvl="0" w:tplc="0DD2A5F0">
      <w:start w:val="1"/>
      <w:numFmt w:val="bullet"/>
      <w:lvlText w:val=""/>
      <w:lvlJc w:val="left"/>
      <w:pPr>
        <w:ind w:left="360" w:hanging="360"/>
      </w:pPr>
      <w:rPr>
        <w:rFonts w:ascii="Symbol" w:hAnsi="Symbol" w:hint="default"/>
        <w:color w:val="auto"/>
      </w:rPr>
    </w:lvl>
    <w:lvl w:ilvl="1" w:tplc="6BF29630">
      <w:start w:val="1"/>
      <w:numFmt w:val="bullet"/>
      <w:lvlText w:val="o"/>
      <w:lvlJc w:val="left"/>
      <w:pPr>
        <w:ind w:left="1364" w:hanging="360"/>
      </w:pPr>
      <w:rPr>
        <w:rFonts w:ascii="Courier New" w:hAnsi="Courier New" w:hint="default"/>
      </w:rPr>
    </w:lvl>
    <w:lvl w:ilvl="2" w:tplc="1CA4355A" w:tentative="1">
      <w:start w:val="1"/>
      <w:numFmt w:val="bullet"/>
      <w:lvlText w:val=""/>
      <w:lvlJc w:val="left"/>
      <w:pPr>
        <w:ind w:left="2084" w:hanging="360"/>
      </w:pPr>
      <w:rPr>
        <w:rFonts w:ascii="Wingdings" w:hAnsi="Wingdings" w:hint="default"/>
      </w:rPr>
    </w:lvl>
    <w:lvl w:ilvl="3" w:tplc="0F744EAA" w:tentative="1">
      <w:start w:val="1"/>
      <w:numFmt w:val="bullet"/>
      <w:lvlText w:val=""/>
      <w:lvlJc w:val="left"/>
      <w:pPr>
        <w:ind w:left="2804" w:hanging="360"/>
      </w:pPr>
      <w:rPr>
        <w:rFonts w:ascii="Symbol" w:hAnsi="Symbol" w:hint="default"/>
      </w:rPr>
    </w:lvl>
    <w:lvl w:ilvl="4" w:tplc="2834D5C0" w:tentative="1">
      <w:start w:val="1"/>
      <w:numFmt w:val="bullet"/>
      <w:lvlText w:val="o"/>
      <w:lvlJc w:val="left"/>
      <w:pPr>
        <w:ind w:left="3524" w:hanging="360"/>
      </w:pPr>
      <w:rPr>
        <w:rFonts w:ascii="Courier New" w:hAnsi="Courier New" w:hint="default"/>
      </w:rPr>
    </w:lvl>
    <w:lvl w:ilvl="5" w:tplc="D2A81188" w:tentative="1">
      <w:start w:val="1"/>
      <w:numFmt w:val="bullet"/>
      <w:lvlText w:val=""/>
      <w:lvlJc w:val="left"/>
      <w:pPr>
        <w:ind w:left="4244" w:hanging="360"/>
      </w:pPr>
      <w:rPr>
        <w:rFonts w:ascii="Wingdings" w:hAnsi="Wingdings" w:hint="default"/>
      </w:rPr>
    </w:lvl>
    <w:lvl w:ilvl="6" w:tplc="0D14FED2" w:tentative="1">
      <w:start w:val="1"/>
      <w:numFmt w:val="bullet"/>
      <w:lvlText w:val=""/>
      <w:lvlJc w:val="left"/>
      <w:pPr>
        <w:ind w:left="4964" w:hanging="360"/>
      </w:pPr>
      <w:rPr>
        <w:rFonts w:ascii="Symbol" w:hAnsi="Symbol" w:hint="default"/>
      </w:rPr>
    </w:lvl>
    <w:lvl w:ilvl="7" w:tplc="48901A8E" w:tentative="1">
      <w:start w:val="1"/>
      <w:numFmt w:val="bullet"/>
      <w:lvlText w:val="o"/>
      <w:lvlJc w:val="left"/>
      <w:pPr>
        <w:ind w:left="5684" w:hanging="360"/>
      </w:pPr>
      <w:rPr>
        <w:rFonts w:ascii="Courier New" w:hAnsi="Courier New" w:hint="default"/>
      </w:rPr>
    </w:lvl>
    <w:lvl w:ilvl="8" w:tplc="FFE47D78" w:tentative="1">
      <w:start w:val="1"/>
      <w:numFmt w:val="bullet"/>
      <w:lvlText w:val=""/>
      <w:lvlJc w:val="left"/>
      <w:pPr>
        <w:ind w:left="6404" w:hanging="360"/>
      </w:pPr>
      <w:rPr>
        <w:rFonts w:ascii="Wingdings" w:hAnsi="Wingdings" w:hint="default"/>
      </w:rPr>
    </w:lvl>
  </w:abstractNum>
  <w:abstractNum w:abstractNumId="64" w15:restartNumberingAfterBreak="0">
    <w:nsid w:val="0C147C3D"/>
    <w:multiLevelType w:val="hybridMultilevel"/>
    <w:tmpl w:val="F60CB50E"/>
    <w:lvl w:ilvl="0" w:tplc="1AA8026A">
      <w:start w:val="1"/>
      <w:numFmt w:val="bullet"/>
      <w:lvlText w:val=""/>
      <w:lvlJc w:val="left"/>
      <w:pPr>
        <w:ind w:left="720" w:hanging="360"/>
      </w:pPr>
      <w:rPr>
        <w:rFonts w:ascii="Symbol" w:hAnsi="Symbol" w:hint="default"/>
      </w:rPr>
    </w:lvl>
    <w:lvl w:ilvl="1" w:tplc="DBF24EBE" w:tentative="1">
      <w:start w:val="1"/>
      <w:numFmt w:val="bullet"/>
      <w:lvlText w:val="o"/>
      <w:lvlJc w:val="left"/>
      <w:pPr>
        <w:ind w:left="1440" w:hanging="360"/>
      </w:pPr>
      <w:rPr>
        <w:rFonts w:ascii="Courier New" w:hAnsi="Courier New" w:hint="default"/>
      </w:rPr>
    </w:lvl>
    <w:lvl w:ilvl="2" w:tplc="504CD67C" w:tentative="1">
      <w:start w:val="1"/>
      <w:numFmt w:val="bullet"/>
      <w:lvlText w:val=""/>
      <w:lvlJc w:val="left"/>
      <w:pPr>
        <w:ind w:left="2160" w:hanging="360"/>
      </w:pPr>
      <w:rPr>
        <w:rFonts w:ascii="Wingdings" w:hAnsi="Wingdings" w:hint="default"/>
      </w:rPr>
    </w:lvl>
    <w:lvl w:ilvl="3" w:tplc="DBE47222" w:tentative="1">
      <w:start w:val="1"/>
      <w:numFmt w:val="bullet"/>
      <w:lvlText w:val=""/>
      <w:lvlJc w:val="left"/>
      <w:pPr>
        <w:ind w:left="2880" w:hanging="360"/>
      </w:pPr>
      <w:rPr>
        <w:rFonts w:ascii="Symbol" w:hAnsi="Symbol" w:hint="default"/>
      </w:rPr>
    </w:lvl>
    <w:lvl w:ilvl="4" w:tplc="253609CC" w:tentative="1">
      <w:start w:val="1"/>
      <w:numFmt w:val="bullet"/>
      <w:lvlText w:val="o"/>
      <w:lvlJc w:val="left"/>
      <w:pPr>
        <w:ind w:left="3600" w:hanging="360"/>
      </w:pPr>
      <w:rPr>
        <w:rFonts w:ascii="Courier New" w:hAnsi="Courier New" w:hint="default"/>
      </w:rPr>
    </w:lvl>
    <w:lvl w:ilvl="5" w:tplc="145A4472" w:tentative="1">
      <w:start w:val="1"/>
      <w:numFmt w:val="bullet"/>
      <w:lvlText w:val=""/>
      <w:lvlJc w:val="left"/>
      <w:pPr>
        <w:ind w:left="4320" w:hanging="360"/>
      </w:pPr>
      <w:rPr>
        <w:rFonts w:ascii="Wingdings" w:hAnsi="Wingdings" w:hint="default"/>
      </w:rPr>
    </w:lvl>
    <w:lvl w:ilvl="6" w:tplc="3D60F60C" w:tentative="1">
      <w:start w:val="1"/>
      <w:numFmt w:val="bullet"/>
      <w:lvlText w:val=""/>
      <w:lvlJc w:val="left"/>
      <w:pPr>
        <w:ind w:left="5040" w:hanging="360"/>
      </w:pPr>
      <w:rPr>
        <w:rFonts w:ascii="Symbol" w:hAnsi="Symbol" w:hint="default"/>
      </w:rPr>
    </w:lvl>
    <w:lvl w:ilvl="7" w:tplc="C128C8D4" w:tentative="1">
      <w:start w:val="1"/>
      <w:numFmt w:val="bullet"/>
      <w:lvlText w:val="o"/>
      <w:lvlJc w:val="left"/>
      <w:pPr>
        <w:ind w:left="5760" w:hanging="360"/>
      </w:pPr>
      <w:rPr>
        <w:rFonts w:ascii="Courier New" w:hAnsi="Courier New" w:hint="default"/>
      </w:rPr>
    </w:lvl>
    <w:lvl w:ilvl="8" w:tplc="05E8E886" w:tentative="1">
      <w:start w:val="1"/>
      <w:numFmt w:val="bullet"/>
      <w:lvlText w:val=""/>
      <w:lvlJc w:val="left"/>
      <w:pPr>
        <w:ind w:left="6480" w:hanging="360"/>
      </w:pPr>
      <w:rPr>
        <w:rFonts w:ascii="Wingdings" w:hAnsi="Wingdings" w:hint="default"/>
      </w:rPr>
    </w:lvl>
  </w:abstractNum>
  <w:abstractNum w:abstractNumId="65" w15:restartNumberingAfterBreak="0">
    <w:nsid w:val="0C426743"/>
    <w:multiLevelType w:val="hybridMultilevel"/>
    <w:tmpl w:val="8780BB24"/>
    <w:lvl w:ilvl="0" w:tplc="0C94C424">
      <w:start w:val="1"/>
      <w:numFmt w:val="bullet"/>
      <w:lvlText w:val=""/>
      <w:lvlJc w:val="left"/>
      <w:pPr>
        <w:ind w:left="360" w:hanging="360"/>
      </w:pPr>
      <w:rPr>
        <w:rFonts w:ascii="Symbol" w:hAnsi="Symbol" w:hint="default"/>
        <w:color w:val="auto"/>
      </w:rPr>
    </w:lvl>
    <w:lvl w:ilvl="1" w:tplc="43A463B0">
      <w:start w:val="1"/>
      <w:numFmt w:val="bullet"/>
      <w:lvlText w:val="o"/>
      <w:lvlJc w:val="left"/>
      <w:pPr>
        <w:ind w:left="1364" w:hanging="360"/>
      </w:pPr>
      <w:rPr>
        <w:rFonts w:ascii="Courier New" w:hAnsi="Courier New" w:hint="default"/>
      </w:rPr>
    </w:lvl>
    <w:lvl w:ilvl="2" w:tplc="F22AC96A" w:tentative="1">
      <w:start w:val="1"/>
      <w:numFmt w:val="bullet"/>
      <w:lvlText w:val=""/>
      <w:lvlJc w:val="left"/>
      <w:pPr>
        <w:ind w:left="2084" w:hanging="360"/>
      </w:pPr>
      <w:rPr>
        <w:rFonts w:ascii="Wingdings" w:hAnsi="Wingdings" w:hint="default"/>
      </w:rPr>
    </w:lvl>
    <w:lvl w:ilvl="3" w:tplc="977AAEE2" w:tentative="1">
      <w:start w:val="1"/>
      <w:numFmt w:val="bullet"/>
      <w:lvlText w:val=""/>
      <w:lvlJc w:val="left"/>
      <w:pPr>
        <w:ind w:left="2804" w:hanging="360"/>
      </w:pPr>
      <w:rPr>
        <w:rFonts w:ascii="Symbol" w:hAnsi="Symbol" w:hint="default"/>
      </w:rPr>
    </w:lvl>
    <w:lvl w:ilvl="4" w:tplc="8E6E97DC" w:tentative="1">
      <w:start w:val="1"/>
      <w:numFmt w:val="bullet"/>
      <w:lvlText w:val="o"/>
      <w:lvlJc w:val="left"/>
      <w:pPr>
        <w:ind w:left="3524" w:hanging="360"/>
      </w:pPr>
      <w:rPr>
        <w:rFonts w:ascii="Courier New" w:hAnsi="Courier New" w:hint="default"/>
      </w:rPr>
    </w:lvl>
    <w:lvl w:ilvl="5" w:tplc="784ED810" w:tentative="1">
      <w:start w:val="1"/>
      <w:numFmt w:val="bullet"/>
      <w:lvlText w:val=""/>
      <w:lvlJc w:val="left"/>
      <w:pPr>
        <w:ind w:left="4244" w:hanging="360"/>
      </w:pPr>
      <w:rPr>
        <w:rFonts w:ascii="Wingdings" w:hAnsi="Wingdings" w:hint="default"/>
      </w:rPr>
    </w:lvl>
    <w:lvl w:ilvl="6" w:tplc="621C6AA4" w:tentative="1">
      <w:start w:val="1"/>
      <w:numFmt w:val="bullet"/>
      <w:lvlText w:val=""/>
      <w:lvlJc w:val="left"/>
      <w:pPr>
        <w:ind w:left="4964" w:hanging="360"/>
      </w:pPr>
      <w:rPr>
        <w:rFonts w:ascii="Symbol" w:hAnsi="Symbol" w:hint="default"/>
      </w:rPr>
    </w:lvl>
    <w:lvl w:ilvl="7" w:tplc="9A8EBDB4" w:tentative="1">
      <w:start w:val="1"/>
      <w:numFmt w:val="bullet"/>
      <w:lvlText w:val="o"/>
      <w:lvlJc w:val="left"/>
      <w:pPr>
        <w:ind w:left="5684" w:hanging="360"/>
      </w:pPr>
      <w:rPr>
        <w:rFonts w:ascii="Courier New" w:hAnsi="Courier New" w:hint="default"/>
      </w:rPr>
    </w:lvl>
    <w:lvl w:ilvl="8" w:tplc="5204C6CE" w:tentative="1">
      <w:start w:val="1"/>
      <w:numFmt w:val="bullet"/>
      <w:lvlText w:val=""/>
      <w:lvlJc w:val="left"/>
      <w:pPr>
        <w:ind w:left="6404" w:hanging="360"/>
      </w:pPr>
      <w:rPr>
        <w:rFonts w:ascii="Wingdings" w:hAnsi="Wingdings" w:hint="default"/>
      </w:rPr>
    </w:lvl>
  </w:abstractNum>
  <w:abstractNum w:abstractNumId="66" w15:restartNumberingAfterBreak="0">
    <w:nsid w:val="0C5A0AAB"/>
    <w:multiLevelType w:val="hybridMultilevel"/>
    <w:tmpl w:val="E38C2A62"/>
    <w:lvl w:ilvl="0" w:tplc="34B0B7C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67" w15:restartNumberingAfterBreak="0">
    <w:nsid w:val="0CBE7832"/>
    <w:multiLevelType w:val="hybridMultilevel"/>
    <w:tmpl w:val="F4E22E14"/>
    <w:lvl w:ilvl="0" w:tplc="FE5C95AE">
      <w:start w:val="1"/>
      <w:numFmt w:val="bullet"/>
      <w:lvlText w:val=""/>
      <w:lvlJc w:val="left"/>
      <w:pPr>
        <w:ind w:left="720" w:hanging="360"/>
      </w:pPr>
      <w:rPr>
        <w:rFonts w:ascii="Symbol" w:hAnsi="Symbol" w:hint="default"/>
      </w:rPr>
    </w:lvl>
    <w:lvl w:ilvl="1" w:tplc="C0341E82" w:tentative="1">
      <w:start w:val="1"/>
      <w:numFmt w:val="bullet"/>
      <w:lvlText w:val="o"/>
      <w:lvlJc w:val="left"/>
      <w:pPr>
        <w:ind w:left="1440" w:hanging="360"/>
      </w:pPr>
      <w:rPr>
        <w:rFonts w:ascii="Courier New" w:hAnsi="Courier New" w:hint="default"/>
      </w:rPr>
    </w:lvl>
    <w:lvl w:ilvl="2" w:tplc="CA76C75A" w:tentative="1">
      <w:start w:val="1"/>
      <w:numFmt w:val="bullet"/>
      <w:lvlText w:val=""/>
      <w:lvlJc w:val="left"/>
      <w:pPr>
        <w:ind w:left="2160" w:hanging="360"/>
      </w:pPr>
      <w:rPr>
        <w:rFonts w:ascii="Wingdings" w:hAnsi="Wingdings" w:hint="default"/>
      </w:rPr>
    </w:lvl>
    <w:lvl w:ilvl="3" w:tplc="776CD7A0" w:tentative="1">
      <w:start w:val="1"/>
      <w:numFmt w:val="bullet"/>
      <w:lvlText w:val=""/>
      <w:lvlJc w:val="left"/>
      <w:pPr>
        <w:ind w:left="2880" w:hanging="360"/>
      </w:pPr>
      <w:rPr>
        <w:rFonts w:ascii="Symbol" w:hAnsi="Symbol" w:hint="default"/>
      </w:rPr>
    </w:lvl>
    <w:lvl w:ilvl="4" w:tplc="B0CAD1D6" w:tentative="1">
      <w:start w:val="1"/>
      <w:numFmt w:val="bullet"/>
      <w:lvlText w:val="o"/>
      <w:lvlJc w:val="left"/>
      <w:pPr>
        <w:ind w:left="3600" w:hanging="360"/>
      </w:pPr>
      <w:rPr>
        <w:rFonts w:ascii="Courier New" w:hAnsi="Courier New" w:hint="default"/>
      </w:rPr>
    </w:lvl>
    <w:lvl w:ilvl="5" w:tplc="9E0E26D6" w:tentative="1">
      <w:start w:val="1"/>
      <w:numFmt w:val="bullet"/>
      <w:lvlText w:val=""/>
      <w:lvlJc w:val="left"/>
      <w:pPr>
        <w:ind w:left="4320" w:hanging="360"/>
      </w:pPr>
      <w:rPr>
        <w:rFonts w:ascii="Wingdings" w:hAnsi="Wingdings" w:hint="default"/>
      </w:rPr>
    </w:lvl>
    <w:lvl w:ilvl="6" w:tplc="255EE084" w:tentative="1">
      <w:start w:val="1"/>
      <w:numFmt w:val="bullet"/>
      <w:lvlText w:val=""/>
      <w:lvlJc w:val="left"/>
      <w:pPr>
        <w:ind w:left="5040" w:hanging="360"/>
      </w:pPr>
      <w:rPr>
        <w:rFonts w:ascii="Symbol" w:hAnsi="Symbol" w:hint="default"/>
      </w:rPr>
    </w:lvl>
    <w:lvl w:ilvl="7" w:tplc="B5A4FDB8" w:tentative="1">
      <w:start w:val="1"/>
      <w:numFmt w:val="bullet"/>
      <w:lvlText w:val="o"/>
      <w:lvlJc w:val="left"/>
      <w:pPr>
        <w:ind w:left="5760" w:hanging="360"/>
      </w:pPr>
      <w:rPr>
        <w:rFonts w:ascii="Courier New" w:hAnsi="Courier New" w:hint="default"/>
      </w:rPr>
    </w:lvl>
    <w:lvl w:ilvl="8" w:tplc="2654AB02" w:tentative="1">
      <w:start w:val="1"/>
      <w:numFmt w:val="bullet"/>
      <w:lvlText w:val=""/>
      <w:lvlJc w:val="left"/>
      <w:pPr>
        <w:ind w:left="6480" w:hanging="360"/>
      </w:pPr>
      <w:rPr>
        <w:rFonts w:ascii="Wingdings" w:hAnsi="Wingdings" w:hint="default"/>
      </w:rPr>
    </w:lvl>
  </w:abstractNum>
  <w:abstractNum w:abstractNumId="68" w15:restartNumberingAfterBreak="0">
    <w:nsid w:val="0CC2220B"/>
    <w:multiLevelType w:val="hybridMultilevel"/>
    <w:tmpl w:val="844C0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CCF1BC8"/>
    <w:multiLevelType w:val="multilevel"/>
    <w:tmpl w:val="F98AD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0CDE5E97"/>
    <w:multiLevelType w:val="hybridMultilevel"/>
    <w:tmpl w:val="80C47BA6"/>
    <w:lvl w:ilvl="0" w:tplc="F042DA46">
      <w:start w:val="1"/>
      <w:numFmt w:val="bullet"/>
      <w:lvlText w:val=""/>
      <w:lvlJc w:val="left"/>
      <w:pPr>
        <w:ind w:left="720" w:hanging="360"/>
      </w:pPr>
      <w:rPr>
        <w:rFonts w:ascii="Symbol" w:hAnsi="Symbol" w:hint="default"/>
      </w:rPr>
    </w:lvl>
    <w:lvl w:ilvl="1" w:tplc="55BEDE44" w:tentative="1">
      <w:start w:val="1"/>
      <w:numFmt w:val="bullet"/>
      <w:lvlText w:val="o"/>
      <w:lvlJc w:val="left"/>
      <w:pPr>
        <w:ind w:left="1440" w:hanging="360"/>
      </w:pPr>
      <w:rPr>
        <w:rFonts w:ascii="Courier New" w:hAnsi="Courier New" w:hint="default"/>
      </w:rPr>
    </w:lvl>
    <w:lvl w:ilvl="2" w:tplc="50AAF41C" w:tentative="1">
      <w:start w:val="1"/>
      <w:numFmt w:val="bullet"/>
      <w:lvlText w:val=""/>
      <w:lvlJc w:val="left"/>
      <w:pPr>
        <w:ind w:left="2160" w:hanging="360"/>
      </w:pPr>
      <w:rPr>
        <w:rFonts w:ascii="Wingdings" w:hAnsi="Wingdings" w:hint="default"/>
      </w:rPr>
    </w:lvl>
    <w:lvl w:ilvl="3" w:tplc="5E2E7F3A" w:tentative="1">
      <w:start w:val="1"/>
      <w:numFmt w:val="bullet"/>
      <w:lvlText w:val=""/>
      <w:lvlJc w:val="left"/>
      <w:pPr>
        <w:ind w:left="2880" w:hanging="360"/>
      </w:pPr>
      <w:rPr>
        <w:rFonts w:ascii="Symbol" w:hAnsi="Symbol" w:hint="default"/>
      </w:rPr>
    </w:lvl>
    <w:lvl w:ilvl="4" w:tplc="56D8187E" w:tentative="1">
      <w:start w:val="1"/>
      <w:numFmt w:val="bullet"/>
      <w:lvlText w:val="o"/>
      <w:lvlJc w:val="left"/>
      <w:pPr>
        <w:ind w:left="3600" w:hanging="360"/>
      </w:pPr>
      <w:rPr>
        <w:rFonts w:ascii="Courier New" w:hAnsi="Courier New" w:hint="default"/>
      </w:rPr>
    </w:lvl>
    <w:lvl w:ilvl="5" w:tplc="092C32FC" w:tentative="1">
      <w:start w:val="1"/>
      <w:numFmt w:val="bullet"/>
      <w:lvlText w:val=""/>
      <w:lvlJc w:val="left"/>
      <w:pPr>
        <w:ind w:left="4320" w:hanging="360"/>
      </w:pPr>
      <w:rPr>
        <w:rFonts w:ascii="Wingdings" w:hAnsi="Wingdings" w:hint="default"/>
      </w:rPr>
    </w:lvl>
    <w:lvl w:ilvl="6" w:tplc="629A072A" w:tentative="1">
      <w:start w:val="1"/>
      <w:numFmt w:val="bullet"/>
      <w:lvlText w:val=""/>
      <w:lvlJc w:val="left"/>
      <w:pPr>
        <w:ind w:left="5040" w:hanging="360"/>
      </w:pPr>
      <w:rPr>
        <w:rFonts w:ascii="Symbol" w:hAnsi="Symbol" w:hint="default"/>
      </w:rPr>
    </w:lvl>
    <w:lvl w:ilvl="7" w:tplc="4FAE48FC" w:tentative="1">
      <w:start w:val="1"/>
      <w:numFmt w:val="bullet"/>
      <w:lvlText w:val="o"/>
      <w:lvlJc w:val="left"/>
      <w:pPr>
        <w:ind w:left="5760" w:hanging="360"/>
      </w:pPr>
      <w:rPr>
        <w:rFonts w:ascii="Courier New" w:hAnsi="Courier New" w:hint="default"/>
      </w:rPr>
    </w:lvl>
    <w:lvl w:ilvl="8" w:tplc="63BA695E" w:tentative="1">
      <w:start w:val="1"/>
      <w:numFmt w:val="bullet"/>
      <w:lvlText w:val=""/>
      <w:lvlJc w:val="left"/>
      <w:pPr>
        <w:ind w:left="6480" w:hanging="360"/>
      </w:pPr>
      <w:rPr>
        <w:rFonts w:ascii="Wingdings" w:hAnsi="Wingdings" w:hint="default"/>
      </w:rPr>
    </w:lvl>
  </w:abstractNum>
  <w:abstractNum w:abstractNumId="71" w15:restartNumberingAfterBreak="0">
    <w:nsid w:val="0CE264D8"/>
    <w:multiLevelType w:val="hybridMultilevel"/>
    <w:tmpl w:val="B3DCA7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0CF41842"/>
    <w:multiLevelType w:val="hybridMultilevel"/>
    <w:tmpl w:val="A4ACFEE6"/>
    <w:lvl w:ilvl="0" w:tplc="E9E0C778">
      <w:start w:val="1"/>
      <w:numFmt w:val="bullet"/>
      <w:lvlText w:val=""/>
      <w:lvlJc w:val="left"/>
      <w:pPr>
        <w:ind w:left="720" w:hanging="360"/>
      </w:pPr>
      <w:rPr>
        <w:rFonts w:ascii="Symbol" w:hAnsi="Symbol" w:hint="default"/>
      </w:rPr>
    </w:lvl>
    <w:lvl w:ilvl="1" w:tplc="FAFE804A" w:tentative="1">
      <w:start w:val="1"/>
      <w:numFmt w:val="bullet"/>
      <w:lvlText w:val="o"/>
      <w:lvlJc w:val="left"/>
      <w:pPr>
        <w:ind w:left="1440" w:hanging="360"/>
      </w:pPr>
      <w:rPr>
        <w:rFonts w:ascii="Courier New" w:hAnsi="Courier New" w:hint="default"/>
      </w:rPr>
    </w:lvl>
    <w:lvl w:ilvl="2" w:tplc="F9DACA80" w:tentative="1">
      <w:start w:val="1"/>
      <w:numFmt w:val="bullet"/>
      <w:lvlText w:val=""/>
      <w:lvlJc w:val="left"/>
      <w:pPr>
        <w:ind w:left="2160" w:hanging="360"/>
      </w:pPr>
      <w:rPr>
        <w:rFonts w:ascii="Wingdings" w:hAnsi="Wingdings" w:hint="default"/>
      </w:rPr>
    </w:lvl>
    <w:lvl w:ilvl="3" w:tplc="1B944F72" w:tentative="1">
      <w:start w:val="1"/>
      <w:numFmt w:val="bullet"/>
      <w:lvlText w:val=""/>
      <w:lvlJc w:val="left"/>
      <w:pPr>
        <w:ind w:left="2880" w:hanging="360"/>
      </w:pPr>
      <w:rPr>
        <w:rFonts w:ascii="Symbol" w:hAnsi="Symbol" w:hint="default"/>
      </w:rPr>
    </w:lvl>
    <w:lvl w:ilvl="4" w:tplc="16FAF760" w:tentative="1">
      <w:start w:val="1"/>
      <w:numFmt w:val="bullet"/>
      <w:lvlText w:val="o"/>
      <w:lvlJc w:val="left"/>
      <w:pPr>
        <w:ind w:left="3600" w:hanging="360"/>
      </w:pPr>
      <w:rPr>
        <w:rFonts w:ascii="Courier New" w:hAnsi="Courier New" w:hint="default"/>
      </w:rPr>
    </w:lvl>
    <w:lvl w:ilvl="5" w:tplc="CB007910" w:tentative="1">
      <w:start w:val="1"/>
      <w:numFmt w:val="bullet"/>
      <w:lvlText w:val=""/>
      <w:lvlJc w:val="left"/>
      <w:pPr>
        <w:ind w:left="4320" w:hanging="360"/>
      </w:pPr>
      <w:rPr>
        <w:rFonts w:ascii="Wingdings" w:hAnsi="Wingdings" w:hint="default"/>
      </w:rPr>
    </w:lvl>
    <w:lvl w:ilvl="6" w:tplc="BF661E04" w:tentative="1">
      <w:start w:val="1"/>
      <w:numFmt w:val="bullet"/>
      <w:lvlText w:val=""/>
      <w:lvlJc w:val="left"/>
      <w:pPr>
        <w:ind w:left="5040" w:hanging="360"/>
      </w:pPr>
      <w:rPr>
        <w:rFonts w:ascii="Symbol" w:hAnsi="Symbol" w:hint="default"/>
      </w:rPr>
    </w:lvl>
    <w:lvl w:ilvl="7" w:tplc="C65C5996" w:tentative="1">
      <w:start w:val="1"/>
      <w:numFmt w:val="bullet"/>
      <w:lvlText w:val="o"/>
      <w:lvlJc w:val="left"/>
      <w:pPr>
        <w:ind w:left="5760" w:hanging="360"/>
      </w:pPr>
      <w:rPr>
        <w:rFonts w:ascii="Courier New" w:hAnsi="Courier New" w:hint="default"/>
      </w:rPr>
    </w:lvl>
    <w:lvl w:ilvl="8" w:tplc="4DC84FC8" w:tentative="1">
      <w:start w:val="1"/>
      <w:numFmt w:val="bullet"/>
      <w:lvlText w:val=""/>
      <w:lvlJc w:val="left"/>
      <w:pPr>
        <w:ind w:left="6480" w:hanging="360"/>
      </w:pPr>
      <w:rPr>
        <w:rFonts w:ascii="Wingdings" w:hAnsi="Wingdings" w:hint="default"/>
      </w:rPr>
    </w:lvl>
  </w:abstractNum>
  <w:abstractNum w:abstractNumId="73" w15:restartNumberingAfterBreak="0">
    <w:nsid w:val="0D0E143F"/>
    <w:multiLevelType w:val="hybridMultilevel"/>
    <w:tmpl w:val="555C327A"/>
    <w:lvl w:ilvl="0" w:tplc="79B23E48">
      <w:start w:val="1"/>
      <w:numFmt w:val="bullet"/>
      <w:lvlText w:val=""/>
      <w:lvlJc w:val="left"/>
      <w:pPr>
        <w:ind w:left="720" w:hanging="360"/>
      </w:pPr>
      <w:rPr>
        <w:rFonts w:ascii="Symbol" w:hAnsi="Symbol" w:hint="default"/>
      </w:rPr>
    </w:lvl>
    <w:lvl w:ilvl="1" w:tplc="9E36F21E" w:tentative="1">
      <w:start w:val="1"/>
      <w:numFmt w:val="bullet"/>
      <w:lvlText w:val="o"/>
      <w:lvlJc w:val="left"/>
      <w:pPr>
        <w:ind w:left="1440" w:hanging="360"/>
      </w:pPr>
      <w:rPr>
        <w:rFonts w:ascii="Courier New" w:hAnsi="Courier New" w:hint="default"/>
      </w:rPr>
    </w:lvl>
    <w:lvl w:ilvl="2" w:tplc="F9B64196" w:tentative="1">
      <w:start w:val="1"/>
      <w:numFmt w:val="bullet"/>
      <w:lvlText w:val=""/>
      <w:lvlJc w:val="left"/>
      <w:pPr>
        <w:ind w:left="2160" w:hanging="360"/>
      </w:pPr>
      <w:rPr>
        <w:rFonts w:ascii="Wingdings" w:hAnsi="Wingdings" w:hint="default"/>
      </w:rPr>
    </w:lvl>
    <w:lvl w:ilvl="3" w:tplc="928C9AB6" w:tentative="1">
      <w:start w:val="1"/>
      <w:numFmt w:val="bullet"/>
      <w:lvlText w:val=""/>
      <w:lvlJc w:val="left"/>
      <w:pPr>
        <w:ind w:left="2880" w:hanging="360"/>
      </w:pPr>
      <w:rPr>
        <w:rFonts w:ascii="Symbol" w:hAnsi="Symbol" w:hint="default"/>
      </w:rPr>
    </w:lvl>
    <w:lvl w:ilvl="4" w:tplc="AD727286" w:tentative="1">
      <w:start w:val="1"/>
      <w:numFmt w:val="bullet"/>
      <w:lvlText w:val="o"/>
      <w:lvlJc w:val="left"/>
      <w:pPr>
        <w:ind w:left="3600" w:hanging="360"/>
      </w:pPr>
      <w:rPr>
        <w:rFonts w:ascii="Courier New" w:hAnsi="Courier New" w:hint="default"/>
      </w:rPr>
    </w:lvl>
    <w:lvl w:ilvl="5" w:tplc="0B4E307A" w:tentative="1">
      <w:start w:val="1"/>
      <w:numFmt w:val="bullet"/>
      <w:lvlText w:val=""/>
      <w:lvlJc w:val="left"/>
      <w:pPr>
        <w:ind w:left="4320" w:hanging="360"/>
      </w:pPr>
      <w:rPr>
        <w:rFonts w:ascii="Wingdings" w:hAnsi="Wingdings" w:hint="default"/>
      </w:rPr>
    </w:lvl>
    <w:lvl w:ilvl="6" w:tplc="3D2E7FBC" w:tentative="1">
      <w:start w:val="1"/>
      <w:numFmt w:val="bullet"/>
      <w:lvlText w:val=""/>
      <w:lvlJc w:val="left"/>
      <w:pPr>
        <w:ind w:left="5040" w:hanging="360"/>
      </w:pPr>
      <w:rPr>
        <w:rFonts w:ascii="Symbol" w:hAnsi="Symbol" w:hint="default"/>
      </w:rPr>
    </w:lvl>
    <w:lvl w:ilvl="7" w:tplc="BF661F74" w:tentative="1">
      <w:start w:val="1"/>
      <w:numFmt w:val="bullet"/>
      <w:lvlText w:val="o"/>
      <w:lvlJc w:val="left"/>
      <w:pPr>
        <w:ind w:left="5760" w:hanging="360"/>
      </w:pPr>
      <w:rPr>
        <w:rFonts w:ascii="Courier New" w:hAnsi="Courier New" w:hint="default"/>
      </w:rPr>
    </w:lvl>
    <w:lvl w:ilvl="8" w:tplc="FD5A0064" w:tentative="1">
      <w:start w:val="1"/>
      <w:numFmt w:val="bullet"/>
      <w:lvlText w:val=""/>
      <w:lvlJc w:val="left"/>
      <w:pPr>
        <w:ind w:left="6480" w:hanging="360"/>
      </w:pPr>
      <w:rPr>
        <w:rFonts w:ascii="Wingdings" w:hAnsi="Wingdings" w:hint="default"/>
      </w:rPr>
    </w:lvl>
  </w:abstractNum>
  <w:abstractNum w:abstractNumId="74" w15:restartNumberingAfterBreak="0">
    <w:nsid w:val="0D46619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0E0C1E2C"/>
    <w:multiLevelType w:val="multilevel"/>
    <w:tmpl w:val="4E04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E3829CC"/>
    <w:multiLevelType w:val="hybridMultilevel"/>
    <w:tmpl w:val="0E40077A"/>
    <w:lvl w:ilvl="0" w:tplc="0C09000F">
      <w:start w:val="1"/>
      <w:numFmt w:val="decimal"/>
      <w:lvlText w:val="%1."/>
      <w:lvlJc w:val="left"/>
      <w:pPr>
        <w:tabs>
          <w:tab w:val="num" w:pos="2209"/>
        </w:tabs>
        <w:ind w:left="2209" w:hanging="360"/>
      </w:pPr>
      <w:rPr>
        <w:rFonts w:hint="default"/>
        <w:color w:val="auto"/>
      </w:rPr>
    </w:lvl>
    <w:lvl w:ilvl="1" w:tplc="FFFFFFFF">
      <w:start w:val="1"/>
      <w:numFmt w:val="bullet"/>
      <w:lvlText w:val="o"/>
      <w:lvlJc w:val="left"/>
      <w:pPr>
        <w:tabs>
          <w:tab w:val="num" w:pos="2929"/>
        </w:tabs>
        <w:ind w:left="2929" w:hanging="360"/>
      </w:pPr>
      <w:rPr>
        <w:rFonts w:ascii="Courier New" w:hAnsi="Courier New" w:hint="default"/>
      </w:rPr>
    </w:lvl>
    <w:lvl w:ilvl="2" w:tplc="FFFFFFFF" w:tentative="1">
      <w:start w:val="1"/>
      <w:numFmt w:val="bullet"/>
      <w:lvlText w:val=""/>
      <w:lvlJc w:val="left"/>
      <w:pPr>
        <w:tabs>
          <w:tab w:val="num" w:pos="3649"/>
        </w:tabs>
        <w:ind w:left="3649" w:hanging="360"/>
      </w:pPr>
      <w:rPr>
        <w:rFonts w:ascii="Wingdings" w:hAnsi="Wingdings" w:hint="default"/>
      </w:rPr>
    </w:lvl>
    <w:lvl w:ilvl="3" w:tplc="FFFFFFFF" w:tentative="1">
      <w:start w:val="1"/>
      <w:numFmt w:val="bullet"/>
      <w:lvlText w:val=""/>
      <w:lvlJc w:val="left"/>
      <w:pPr>
        <w:tabs>
          <w:tab w:val="num" w:pos="4369"/>
        </w:tabs>
        <w:ind w:left="4369" w:hanging="360"/>
      </w:pPr>
      <w:rPr>
        <w:rFonts w:ascii="Symbol" w:hAnsi="Symbol" w:hint="default"/>
      </w:rPr>
    </w:lvl>
    <w:lvl w:ilvl="4" w:tplc="FFFFFFFF" w:tentative="1">
      <w:start w:val="1"/>
      <w:numFmt w:val="bullet"/>
      <w:lvlText w:val="o"/>
      <w:lvlJc w:val="left"/>
      <w:pPr>
        <w:tabs>
          <w:tab w:val="num" w:pos="5089"/>
        </w:tabs>
        <w:ind w:left="5089" w:hanging="360"/>
      </w:pPr>
      <w:rPr>
        <w:rFonts w:ascii="Courier New" w:hAnsi="Courier New" w:hint="default"/>
      </w:rPr>
    </w:lvl>
    <w:lvl w:ilvl="5" w:tplc="FFFFFFFF" w:tentative="1">
      <w:start w:val="1"/>
      <w:numFmt w:val="bullet"/>
      <w:lvlText w:val=""/>
      <w:lvlJc w:val="left"/>
      <w:pPr>
        <w:tabs>
          <w:tab w:val="num" w:pos="5809"/>
        </w:tabs>
        <w:ind w:left="5809" w:hanging="360"/>
      </w:pPr>
      <w:rPr>
        <w:rFonts w:ascii="Wingdings" w:hAnsi="Wingdings" w:hint="default"/>
      </w:rPr>
    </w:lvl>
    <w:lvl w:ilvl="6" w:tplc="FFFFFFFF" w:tentative="1">
      <w:start w:val="1"/>
      <w:numFmt w:val="bullet"/>
      <w:lvlText w:val=""/>
      <w:lvlJc w:val="left"/>
      <w:pPr>
        <w:tabs>
          <w:tab w:val="num" w:pos="6529"/>
        </w:tabs>
        <w:ind w:left="6529" w:hanging="360"/>
      </w:pPr>
      <w:rPr>
        <w:rFonts w:ascii="Symbol" w:hAnsi="Symbol" w:hint="default"/>
      </w:rPr>
    </w:lvl>
    <w:lvl w:ilvl="7" w:tplc="FFFFFFFF" w:tentative="1">
      <w:start w:val="1"/>
      <w:numFmt w:val="bullet"/>
      <w:lvlText w:val="o"/>
      <w:lvlJc w:val="left"/>
      <w:pPr>
        <w:tabs>
          <w:tab w:val="num" w:pos="7249"/>
        </w:tabs>
        <w:ind w:left="7249" w:hanging="360"/>
      </w:pPr>
      <w:rPr>
        <w:rFonts w:ascii="Courier New" w:hAnsi="Courier New" w:hint="default"/>
      </w:rPr>
    </w:lvl>
    <w:lvl w:ilvl="8" w:tplc="FFFFFFFF" w:tentative="1">
      <w:start w:val="1"/>
      <w:numFmt w:val="bullet"/>
      <w:lvlText w:val=""/>
      <w:lvlJc w:val="left"/>
      <w:pPr>
        <w:tabs>
          <w:tab w:val="num" w:pos="7969"/>
        </w:tabs>
        <w:ind w:left="7969" w:hanging="360"/>
      </w:pPr>
      <w:rPr>
        <w:rFonts w:ascii="Wingdings" w:hAnsi="Wingdings" w:hint="default"/>
      </w:rPr>
    </w:lvl>
  </w:abstractNum>
  <w:abstractNum w:abstractNumId="77" w15:restartNumberingAfterBreak="0">
    <w:nsid w:val="0EBD26AE"/>
    <w:multiLevelType w:val="hybridMultilevel"/>
    <w:tmpl w:val="33188A62"/>
    <w:lvl w:ilvl="0" w:tplc="76844390">
      <w:start w:val="1"/>
      <w:numFmt w:val="bullet"/>
      <w:lvlText w:val=""/>
      <w:lvlJc w:val="left"/>
      <w:pPr>
        <w:ind w:left="720" w:hanging="360"/>
      </w:pPr>
      <w:rPr>
        <w:rFonts w:ascii="Symbol" w:hAnsi="Symbol" w:hint="default"/>
      </w:rPr>
    </w:lvl>
    <w:lvl w:ilvl="1" w:tplc="683050D2" w:tentative="1">
      <w:start w:val="1"/>
      <w:numFmt w:val="bullet"/>
      <w:lvlText w:val="o"/>
      <w:lvlJc w:val="left"/>
      <w:pPr>
        <w:ind w:left="1440" w:hanging="360"/>
      </w:pPr>
      <w:rPr>
        <w:rFonts w:ascii="Courier New" w:hAnsi="Courier New" w:hint="default"/>
      </w:rPr>
    </w:lvl>
    <w:lvl w:ilvl="2" w:tplc="D722C4D4" w:tentative="1">
      <w:start w:val="1"/>
      <w:numFmt w:val="bullet"/>
      <w:lvlText w:val=""/>
      <w:lvlJc w:val="left"/>
      <w:pPr>
        <w:ind w:left="2160" w:hanging="360"/>
      </w:pPr>
      <w:rPr>
        <w:rFonts w:ascii="Wingdings" w:hAnsi="Wingdings" w:hint="default"/>
      </w:rPr>
    </w:lvl>
    <w:lvl w:ilvl="3" w:tplc="95288B78" w:tentative="1">
      <w:start w:val="1"/>
      <w:numFmt w:val="bullet"/>
      <w:lvlText w:val=""/>
      <w:lvlJc w:val="left"/>
      <w:pPr>
        <w:ind w:left="2880" w:hanging="360"/>
      </w:pPr>
      <w:rPr>
        <w:rFonts w:ascii="Symbol" w:hAnsi="Symbol" w:hint="default"/>
      </w:rPr>
    </w:lvl>
    <w:lvl w:ilvl="4" w:tplc="E49E3CAE" w:tentative="1">
      <w:start w:val="1"/>
      <w:numFmt w:val="bullet"/>
      <w:lvlText w:val="o"/>
      <w:lvlJc w:val="left"/>
      <w:pPr>
        <w:ind w:left="3600" w:hanging="360"/>
      </w:pPr>
      <w:rPr>
        <w:rFonts w:ascii="Courier New" w:hAnsi="Courier New" w:hint="default"/>
      </w:rPr>
    </w:lvl>
    <w:lvl w:ilvl="5" w:tplc="5A82A788" w:tentative="1">
      <w:start w:val="1"/>
      <w:numFmt w:val="bullet"/>
      <w:lvlText w:val=""/>
      <w:lvlJc w:val="left"/>
      <w:pPr>
        <w:ind w:left="4320" w:hanging="360"/>
      </w:pPr>
      <w:rPr>
        <w:rFonts w:ascii="Wingdings" w:hAnsi="Wingdings" w:hint="default"/>
      </w:rPr>
    </w:lvl>
    <w:lvl w:ilvl="6" w:tplc="8A7887DA" w:tentative="1">
      <w:start w:val="1"/>
      <w:numFmt w:val="bullet"/>
      <w:lvlText w:val=""/>
      <w:lvlJc w:val="left"/>
      <w:pPr>
        <w:ind w:left="5040" w:hanging="360"/>
      </w:pPr>
      <w:rPr>
        <w:rFonts w:ascii="Symbol" w:hAnsi="Symbol" w:hint="default"/>
      </w:rPr>
    </w:lvl>
    <w:lvl w:ilvl="7" w:tplc="3C98EAD2" w:tentative="1">
      <w:start w:val="1"/>
      <w:numFmt w:val="bullet"/>
      <w:lvlText w:val="o"/>
      <w:lvlJc w:val="left"/>
      <w:pPr>
        <w:ind w:left="5760" w:hanging="360"/>
      </w:pPr>
      <w:rPr>
        <w:rFonts w:ascii="Courier New" w:hAnsi="Courier New" w:hint="default"/>
      </w:rPr>
    </w:lvl>
    <w:lvl w:ilvl="8" w:tplc="298C5E6A" w:tentative="1">
      <w:start w:val="1"/>
      <w:numFmt w:val="bullet"/>
      <w:lvlText w:val=""/>
      <w:lvlJc w:val="left"/>
      <w:pPr>
        <w:ind w:left="6480" w:hanging="360"/>
      </w:pPr>
      <w:rPr>
        <w:rFonts w:ascii="Wingdings" w:hAnsi="Wingdings" w:hint="default"/>
      </w:rPr>
    </w:lvl>
  </w:abstractNum>
  <w:abstractNum w:abstractNumId="78" w15:restartNumberingAfterBreak="0">
    <w:nsid w:val="0EF0258C"/>
    <w:multiLevelType w:val="hybridMultilevel"/>
    <w:tmpl w:val="FFFFFFFF"/>
    <w:lvl w:ilvl="0" w:tplc="F086E580">
      <w:start w:val="1"/>
      <w:numFmt w:val="bullet"/>
      <w:lvlText w:val="·"/>
      <w:lvlJc w:val="left"/>
      <w:pPr>
        <w:ind w:left="720" w:hanging="360"/>
      </w:pPr>
      <w:rPr>
        <w:rFonts w:ascii="Symbol" w:hAnsi="Symbol" w:hint="default"/>
      </w:rPr>
    </w:lvl>
    <w:lvl w:ilvl="1" w:tplc="0016B1C8">
      <w:start w:val="1"/>
      <w:numFmt w:val="bullet"/>
      <w:lvlText w:val="o"/>
      <w:lvlJc w:val="left"/>
      <w:pPr>
        <w:ind w:left="1440" w:hanging="360"/>
      </w:pPr>
      <w:rPr>
        <w:rFonts w:ascii="Courier New" w:hAnsi="Courier New" w:hint="default"/>
      </w:rPr>
    </w:lvl>
    <w:lvl w:ilvl="2" w:tplc="D9AAF9D6">
      <w:start w:val="1"/>
      <w:numFmt w:val="bullet"/>
      <w:lvlText w:val=""/>
      <w:lvlJc w:val="left"/>
      <w:pPr>
        <w:ind w:left="2160" w:hanging="360"/>
      </w:pPr>
      <w:rPr>
        <w:rFonts w:ascii="Wingdings" w:hAnsi="Wingdings" w:hint="default"/>
      </w:rPr>
    </w:lvl>
    <w:lvl w:ilvl="3" w:tplc="3EF241E0">
      <w:start w:val="1"/>
      <w:numFmt w:val="bullet"/>
      <w:lvlText w:val=""/>
      <w:lvlJc w:val="left"/>
      <w:pPr>
        <w:ind w:left="2880" w:hanging="360"/>
      </w:pPr>
      <w:rPr>
        <w:rFonts w:ascii="Symbol" w:hAnsi="Symbol" w:hint="default"/>
      </w:rPr>
    </w:lvl>
    <w:lvl w:ilvl="4" w:tplc="BB483D7A">
      <w:start w:val="1"/>
      <w:numFmt w:val="bullet"/>
      <w:lvlText w:val="o"/>
      <w:lvlJc w:val="left"/>
      <w:pPr>
        <w:ind w:left="3600" w:hanging="360"/>
      </w:pPr>
      <w:rPr>
        <w:rFonts w:ascii="Courier New" w:hAnsi="Courier New" w:hint="default"/>
      </w:rPr>
    </w:lvl>
    <w:lvl w:ilvl="5" w:tplc="C980D762">
      <w:start w:val="1"/>
      <w:numFmt w:val="bullet"/>
      <w:lvlText w:val=""/>
      <w:lvlJc w:val="left"/>
      <w:pPr>
        <w:ind w:left="4320" w:hanging="360"/>
      </w:pPr>
      <w:rPr>
        <w:rFonts w:ascii="Wingdings" w:hAnsi="Wingdings" w:hint="default"/>
      </w:rPr>
    </w:lvl>
    <w:lvl w:ilvl="6" w:tplc="5ECE790E">
      <w:start w:val="1"/>
      <w:numFmt w:val="bullet"/>
      <w:lvlText w:val=""/>
      <w:lvlJc w:val="left"/>
      <w:pPr>
        <w:ind w:left="5040" w:hanging="360"/>
      </w:pPr>
      <w:rPr>
        <w:rFonts w:ascii="Symbol" w:hAnsi="Symbol" w:hint="default"/>
      </w:rPr>
    </w:lvl>
    <w:lvl w:ilvl="7" w:tplc="A258BB44">
      <w:start w:val="1"/>
      <w:numFmt w:val="bullet"/>
      <w:lvlText w:val="o"/>
      <w:lvlJc w:val="left"/>
      <w:pPr>
        <w:ind w:left="5760" w:hanging="360"/>
      </w:pPr>
      <w:rPr>
        <w:rFonts w:ascii="Courier New" w:hAnsi="Courier New" w:hint="default"/>
      </w:rPr>
    </w:lvl>
    <w:lvl w:ilvl="8" w:tplc="B74C83E8">
      <w:start w:val="1"/>
      <w:numFmt w:val="bullet"/>
      <w:lvlText w:val=""/>
      <w:lvlJc w:val="left"/>
      <w:pPr>
        <w:ind w:left="6480" w:hanging="360"/>
      </w:pPr>
      <w:rPr>
        <w:rFonts w:ascii="Wingdings" w:hAnsi="Wingdings" w:hint="default"/>
      </w:rPr>
    </w:lvl>
  </w:abstractNum>
  <w:abstractNum w:abstractNumId="79" w15:restartNumberingAfterBreak="0">
    <w:nsid w:val="0EF32D98"/>
    <w:multiLevelType w:val="hybridMultilevel"/>
    <w:tmpl w:val="FFFFFFFF"/>
    <w:lvl w:ilvl="0" w:tplc="9454EAA0">
      <w:start w:val="1"/>
      <w:numFmt w:val="bullet"/>
      <w:lvlText w:val="o"/>
      <w:lvlJc w:val="left"/>
      <w:pPr>
        <w:ind w:left="720" w:hanging="360"/>
      </w:pPr>
      <w:rPr>
        <w:rFonts w:ascii="&quot;Courier New&quot;" w:hAnsi="&quot;Courier New&quot;" w:hint="default"/>
      </w:rPr>
    </w:lvl>
    <w:lvl w:ilvl="1" w:tplc="980467E8">
      <w:start w:val="1"/>
      <w:numFmt w:val="bullet"/>
      <w:lvlText w:val="o"/>
      <w:lvlJc w:val="left"/>
      <w:pPr>
        <w:ind w:left="1440" w:hanging="360"/>
      </w:pPr>
      <w:rPr>
        <w:rFonts w:ascii="Courier New" w:hAnsi="Courier New" w:hint="default"/>
      </w:rPr>
    </w:lvl>
    <w:lvl w:ilvl="2" w:tplc="9B48BE80">
      <w:start w:val="1"/>
      <w:numFmt w:val="bullet"/>
      <w:lvlText w:val=""/>
      <w:lvlJc w:val="left"/>
      <w:pPr>
        <w:ind w:left="2160" w:hanging="360"/>
      </w:pPr>
      <w:rPr>
        <w:rFonts w:ascii="Wingdings" w:hAnsi="Wingdings" w:hint="default"/>
      </w:rPr>
    </w:lvl>
    <w:lvl w:ilvl="3" w:tplc="AB52FBAE">
      <w:start w:val="1"/>
      <w:numFmt w:val="bullet"/>
      <w:lvlText w:val=""/>
      <w:lvlJc w:val="left"/>
      <w:pPr>
        <w:ind w:left="2880" w:hanging="360"/>
      </w:pPr>
      <w:rPr>
        <w:rFonts w:ascii="Symbol" w:hAnsi="Symbol" w:hint="default"/>
      </w:rPr>
    </w:lvl>
    <w:lvl w:ilvl="4" w:tplc="EBC809F4">
      <w:start w:val="1"/>
      <w:numFmt w:val="bullet"/>
      <w:lvlText w:val="o"/>
      <w:lvlJc w:val="left"/>
      <w:pPr>
        <w:ind w:left="3600" w:hanging="360"/>
      </w:pPr>
      <w:rPr>
        <w:rFonts w:ascii="Courier New" w:hAnsi="Courier New" w:hint="default"/>
      </w:rPr>
    </w:lvl>
    <w:lvl w:ilvl="5" w:tplc="30D00220">
      <w:start w:val="1"/>
      <w:numFmt w:val="bullet"/>
      <w:lvlText w:val=""/>
      <w:lvlJc w:val="left"/>
      <w:pPr>
        <w:ind w:left="4320" w:hanging="360"/>
      </w:pPr>
      <w:rPr>
        <w:rFonts w:ascii="Wingdings" w:hAnsi="Wingdings" w:hint="default"/>
      </w:rPr>
    </w:lvl>
    <w:lvl w:ilvl="6" w:tplc="C924F392">
      <w:start w:val="1"/>
      <w:numFmt w:val="bullet"/>
      <w:lvlText w:val=""/>
      <w:lvlJc w:val="left"/>
      <w:pPr>
        <w:ind w:left="5040" w:hanging="360"/>
      </w:pPr>
      <w:rPr>
        <w:rFonts w:ascii="Symbol" w:hAnsi="Symbol" w:hint="default"/>
      </w:rPr>
    </w:lvl>
    <w:lvl w:ilvl="7" w:tplc="CD98FCAC">
      <w:start w:val="1"/>
      <w:numFmt w:val="bullet"/>
      <w:lvlText w:val="o"/>
      <w:lvlJc w:val="left"/>
      <w:pPr>
        <w:ind w:left="5760" w:hanging="360"/>
      </w:pPr>
      <w:rPr>
        <w:rFonts w:ascii="Courier New" w:hAnsi="Courier New" w:hint="default"/>
      </w:rPr>
    </w:lvl>
    <w:lvl w:ilvl="8" w:tplc="F53C930C">
      <w:start w:val="1"/>
      <w:numFmt w:val="bullet"/>
      <w:lvlText w:val=""/>
      <w:lvlJc w:val="left"/>
      <w:pPr>
        <w:ind w:left="6480" w:hanging="360"/>
      </w:pPr>
      <w:rPr>
        <w:rFonts w:ascii="Wingdings" w:hAnsi="Wingdings" w:hint="default"/>
      </w:rPr>
    </w:lvl>
  </w:abstractNum>
  <w:abstractNum w:abstractNumId="80" w15:restartNumberingAfterBreak="0">
    <w:nsid w:val="0F155C63"/>
    <w:multiLevelType w:val="multilevel"/>
    <w:tmpl w:val="19A8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F210AE2"/>
    <w:multiLevelType w:val="hybridMultilevel"/>
    <w:tmpl w:val="7F66DA32"/>
    <w:lvl w:ilvl="0" w:tplc="88383F6E">
      <w:start w:val="1"/>
      <w:numFmt w:val="bullet"/>
      <w:lvlText w:val=""/>
      <w:lvlJc w:val="left"/>
      <w:pPr>
        <w:ind w:left="720" w:hanging="360"/>
      </w:pPr>
      <w:rPr>
        <w:rFonts w:ascii="Symbol" w:hAnsi="Symbol" w:hint="default"/>
      </w:rPr>
    </w:lvl>
    <w:lvl w:ilvl="1" w:tplc="D2A83210" w:tentative="1">
      <w:start w:val="1"/>
      <w:numFmt w:val="bullet"/>
      <w:lvlText w:val="o"/>
      <w:lvlJc w:val="left"/>
      <w:pPr>
        <w:ind w:left="1440" w:hanging="360"/>
      </w:pPr>
      <w:rPr>
        <w:rFonts w:ascii="Courier New" w:hAnsi="Courier New" w:hint="default"/>
      </w:rPr>
    </w:lvl>
    <w:lvl w:ilvl="2" w:tplc="F5E4B62E" w:tentative="1">
      <w:start w:val="1"/>
      <w:numFmt w:val="bullet"/>
      <w:lvlText w:val=""/>
      <w:lvlJc w:val="left"/>
      <w:pPr>
        <w:ind w:left="2160" w:hanging="360"/>
      </w:pPr>
      <w:rPr>
        <w:rFonts w:ascii="Wingdings" w:hAnsi="Wingdings" w:hint="default"/>
      </w:rPr>
    </w:lvl>
    <w:lvl w:ilvl="3" w:tplc="7C58C55C" w:tentative="1">
      <w:start w:val="1"/>
      <w:numFmt w:val="bullet"/>
      <w:lvlText w:val=""/>
      <w:lvlJc w:val="left"/>
      <w:pPr>
        <w:ind w:left="2880" w:hanging="360"/>
      </w:pPr>
      <w:rPr>
        <w:rFonts w:ascii="Symbol" w:hAnsi="Symbol" w:hint="default"/>
      </w:rPr>
    </w:lvl>
    <w:lvl w:ilvl="4" w:tplc="EF50678C" w:tentative="1">
      <w:start w:val="1"/>
      <w:numFmt w:val="bullet"/>
      <w:lvlText w:val="o"/>
      <w:lvlJc w:val="left"/>
      <w:pPr>
        <w:ind w:left="3600" w:hanging="360"/>
      </w:pPr>
      <w:rPr>
        <w:rFonts w:ascii="Courier New" w:hAnsi="Courier New" w:hint="default"/>
      </w:rPr>
    </w:lvl>
    <w:lvl w:ilvl="5" w:tplc="CF6E48AA" w:tentative="1">
      <w:start w:val="1"/>
      <w:numFmt w:val="bullet"/>
      <w:lvlText w:val=""/>
      <w:lvlJc w:val="left"/>
      <w:pPr>
        <w:ind w:left="4320" w:hanging="360"/>
      </w:pPr>
      <w:rPr>
        <w:rFonts w:ascii="Wingdings" w:hAnsi="Wingdings" w:hint="default"/>
      </w:rPr>
    </w:lvl>
    <w:lvl w:ilvl="6" w:tplc="25BCE83C" w:tentative="1">
      <w:start w:val="1"/>
      <w:numFmt w:val="bullet"/>
      <w:lvlText w:val=""/>
      <w:lvlJc w:val="left"/>
      <w:pPr>
        <w:ind w:left="5040" w:hanging="360"/>
      </w:pPr>
      <w:rPr>
        <w:rFonts w:ascii="Symbol" w:hAnsi="Symbol" w:hint="default"/>
      </w:rPr>
    </w:lvl>
    <w:lvl w:ilvl="7" w:tplc="FC388FAC" w:tentative="1">
      <w:start w:val="1"/>
      <w:numFmt w:val="bullet"/>
      <w:lvlText w:val="o"/>
      <w:lvlJc w:val="left"/>
      <w:pPr>
        <w:ind w:left="5760" w:hanging="360"/>
      </w:pPr>
      <w:rPr>
        <w:rFonts w:ascii="Courier New" w:hAnsi="Courier New" w:hint="default"/>
      </w:rPr>
    </w:lvl>
    <w:lvl w:ilvl="8" w:tplc="2AE270EC" w:tentative="1">
      <w:start w:val="1"/>
      <w:numFmt w:val="bullet"/>
      <w:lvlText w:val=""/>
      <w:lvlJc w:val="left"/>
      <w:pPr>
        <w:ind w:left="6480" w:hanging="360"/>
      </w:pPr>
      <w:rPr>
        <w:rFonts w:ascii="Wingdings" w:hAnsi="Wingdings" w:hint="default"/>
      </w:rPr>
    </w:lvl>
  </w:abstractNum>
  <w:abstractNum w:abstractNumId="82" w15:restartNumberingAfterBreak="0">
    <w:nsid w:val="0F362B18"/>
    <w:multiLevelType w:val="hybridMultilevel"/>
    <w:tmpl w:val="8084A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0F487840"/>
    <w:multiLevelType w:val="hybridMultilevel"/>
    <w:tmpl w:val="0AE0B53C"/>
    <w:lvl w:ilvl="0" w:tplc="53A665F6">
      <w:start w:val="1"/>
      <w:numFmt w:val="bullet"/>
      <w:lvlText w:val=""/>
      <w:lvlJc w:val="left"/>
      <w:pPr>
        <w:ind w:left="720" w:hanging="360"/>
      </w:pPr>
      <w:rPr>
        <w:rFonts w:ascii="Symbol" w:hAnsi="Symbol" w:hint="default"/>
      </w:rPr>
    </w:lvl>
    <w:lvl w:ilvl="1" w:tplc="00A87F4C" w:tentative="1">
      <w:start w:val="1"/>
      <w:numFmt w:val="bullet"/>
      <w:lvlText w:val="o"/>
      <w:lvlJc w:val="left"/>
      <w:pPr>
        <w:ind w:left="1440" w:hanging="360"/>
      </w:pPr>
      <w:rPr>
        <w:rFonts w:ascii="Courier New" w:hAnsi="Courier New" w:hint="default"/>
      </w:rPr>
    </w:lvl>
    <w:lvl w:ilvl="2" w:tplc="1F64A994" w:tentative="1">
      <w:start w:val="1"/>
      <w:numFmt w:val="bullet"/>
      <w:lvlText w:val=""/>
      <w:lvlJc w:val="left"/>
      <w:pPr>
        <w:ind w:left="2160" w:hanging="360"/>
      </w:pPr>
      <w:rPr>
        <w:rFonts w:ascii="Wingdings" w:hAnsi="Wingdings" w:hint="default"/>
      </w:rPr>
    </w:lvl>
    <w:lvl w:ilvl="3" w:tplc="419ED702" w:tentative="1">
      <w:start w:val="1"/>
      <w:numFmt w:val="bullet"/>
      <w:lvlText w:val=""/>
      <w:lvlJc w:val="left"/>
      <w:pPr>
        <w:ind w:left="2880" w:hanging="360"/>
      </w:pPr>
      <w:rPr>
        <w:rFonts w:ascii="Symbol" w:hAnsi="Symbol" w:hint="default"/>
      </w:rPr>
    </w:lvl>
    <w:lvl w:ilvl="4" w:tplc="155CEB86" w:tentative="1">
      <w:start w:val="1"/>
      <w:numFmt w:val="bullet"/>
      <w:lvlText w:val="o"/>
      <w:lvlJc w:val="left"/>
      <w:pPr>
        <w:ind w:left="3600" w:hanging="360"/>
      </w:pPr>
      <w:rPr>
        <w:rFonts w:ascii="Courier New" w:hAnsi="Courier New" w:hint="default"/>
      </w:rPr>
    </w:lvl>
    <w:lvl w:ilvl="5" w:tplc="35A090D4" w:tentative="1">
      <w:start w:val="1"/>
      <w:numFmt w:val="bullet"/>
      <w:lvlText w:val=""/>
      <w:lvlJc w:val="left"/>
      <w:pPr>
        <w:ind w:left="4320" w:hanging="360"/>
      </w:pPr>
      <w:rPr>
        <w:rFonts w:ascii="Wingdings" w:hAnsi="Wingdings" w:hint="default"/>
      </w:rPr>
    </w:lvl>
    <w:lvl w:ilvl="6" w:tplc="81B0AB5C" w:tentative="1">
      <w:start w:val="1"/>
      <w:numFmt w:val="bullet"/>
      <w:lvlText w:val=""/>
      <w:lvlJc w:val="left"/>
      <w:pPr>
        <w:ind w:left="5040" w:hanging="360"/>
      </w:pPr>
      <w:rPr>
        <w:rFonts w:ascii="Symbol" w:hAnsi="Symbol" w:hint="default"/>
      </w:rPr>
    </w:lvl>
    <w:lvl w:ilvl="7" w:tplc="6312359A" w:tentative="1">
      <w:start w:val="1"/>
      <w:numFmt w:val="bullet"/>
      <w:lvlText w:val="o"/>
      <w:lvlJc w:val="left"/>
      <w:pPr>
        <w:ind w:left="5760" w:hanging="360"/>
      </w:pPr>
      <w:rPr>
        <w:rFonts w:ascii="Courier New" w:hAnsi="Courier New" w:hint="default"/>
      </w:rPr>
    </w:lvl>
    <w:lvl w:ilvl="8" w:tplc="E4E47EFA" w:tentative="1">
      <w:start w:val="1"/>
      <w:numFmt w:val="bullet"/>
      <w:lvlText w:val=""/>
      <w:lvlJc w:val="left"/>
      <w:pPr>
        <w:ind w:left="6480" w:hanging="360"/>
      </w:pPr>
      <w:rPr>
        <w:rFonts w:ascii="Wingdings" w:hAnsi="Wingdings" w:hint="default"/>
      </w:rPr>
    </w:lvl>
  </w:abstractNum>
  <w:abstractNum w:abstractNumId="84" w15:restartNumberingAfterBreak="0">
    <w:nsid w:val="0F586224"/>
    <w:multiLevelType w:val="multilevel"/>
    <w:tmpl w:val="A73C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F5E3774"/>
    <w:multiLevelType w:val="hybridMultilevel"/>
    <w:tmpl w:val="E17E490A"/>
    <w:lvl w:ilvl="0" w:tplc="0EB0E5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0FF01344"/>
    <w:multiLevelType w:val="hybridMultilevel"/>
    <w:tmpl w:val="96FE03B4"/>
    <w:lvl w:ilvl="0" w:tplc="770EC322">
      <w:start w:val="1"/>
      <w:numFmt w:val="bullet"/>
      <w:lvlText w:val=""/>
      <w:lvlJc w:val="left"/>
      <w:pPr>
        <w:ind w:left="720" w:hanging="360"/>
      </w:pPr>
      <w:rPr>
        <w:rFonts w:ascii="Symbol" w:hAnsi="Symbol" w:hint="default"/>
      </w:rPr>
    </w:lvl>
    <w:lvl w:ilvl="1" w:tplc="89702A1C" w:tentative="1">
      <w:start w:val="1"/>
      <w:numFmt w:val="bullet"/>
      <w:lvlText w:val="o"/>
      <w:lvlJc w:val="left"/>
      <w:pPr>
        <w:ind w:left="1440" w:hanging="360"/>
      </w:pPr>
      <w:rPr>
        <w:rFonts w:ascii="Courier New" w:hAnsi="Courier New" w:hint="default"/>
      </w:rPr>
    </w:lvl>
    <w:lvl w:ilvl="2" w:tplc="C8CE0EAA" w:tentative="1">
      <w:start w:val="1"/>
      <w:numFmt w:val="bullet"/>
      <w:lvlText w:val=""/>
      <w:lvlJc w:val="left"/>
      <w:pPr>
        <w:ind w:left="2160" w:hanging="360"/>
      </w:pPr>
      <w:rPr>
        <w:rFonts w:ascii="Wingdings" w:hAnsi="Wingdings" w:hint="default"/>
      </w:rPr>
    </w:lvl>
    <w:lvl w:ilvl="3" w:tplc="FC4C7284" w:tentative="1">
      <w:start w:val="1"/>
      <w:numFmt w:val="bullet"/>
      <w:lvlText w:val=""/>
      <w:lvlJc w:val="left"/>
      <w:pPr>
        <w:ind w:left="2880" w:hanging="360"/>
      </w:pPr>
      <w:rPr>
        <w:rFonts w:ascii="Symbol" w:hAnsi="Symbol" w:hint="default"/>
      </w:rPr>
    </w:lvl>
    <w:lvl w:ilvl="4" w:tplc="B6A8FAB8" w:tentative="1">
      <w:start w:val="1"/>
      <w:numFmt w:val="bullet"/>
      <w:lvlText w:val="o"/>
      <w:lvlJc w:val="left"/>
      <w:pPr>
        <w:ind w:left="3600" w:hanging="360"/>
      </w:pPr>
      <w:rPr>
        <w:rFonts w:ascii="Courier New" w:hAnsi="Courier New" w:hint="default"/>
      </w:rPr>
    </w:lvl>
    <w:lvl w:ilvl="5" w:tplc="F24E2566" w:tentative="1">
      <w:start w:val="1"/>
      <w:numFmt w:val="bullet"/>
      <w:lvlText w:val=""/>
      <w:lvlJc w:val="left"/>
      <w:pPr>
        <w:ind w:left="4320" w:hanging="360"/>
      </w:pPr>
      <w:rPr>
        <w:rFonts w:ascii="Wingdings" w:hAnsi="Wingdings" w:hint="default"/>
      </w:rPr>
    </w:lvl>
    <w:lvl w:ilvl="6" w:tplc="3312A22C" w:tentative="1">
      <w:start w:val="1"/>
      <w:numFmt w:val="bullet"/>
      <w:lvlText w:val=""/>
      <w:lvlJc w:val="left"/>
      <w:pPr>
        <w:ind w:left="5040" w:hanging="360"/>
      </w:pPr>
      <w:rPr>
        <w:rFonts w:ascii="Symbol" w:hAnsi="Symbol" w:hint="default"/>
      </w:rPr>
    </w:lvl>
    <w:lvl w:ilvl="7" w:tplc="21008220" w:tentative="1">
      <w:start w:val="1"/>
      <w:numFmt w:val="bullet"/>
      <w:lvlText w:val="o"/>
      <w:lvlJc w:val="left"/>
      <w:pPr>
        <w:ind w:left="5760" w:hanging="360"/>
      </w:pPr>
      <w:rPr>
        <w:rFonts w:ascii="Courier New" w:hAnsi="Courier New" w:hint="default"/>
      </w:rPr>
    </w:lvl>
    <w:lvl w:ilvl="8" w:tplc="6A302314" w:tentative="1">
      <w:start w:val="1"/>
      <w:numFmt w:val="bullet"/>
      <w:lvlText w:val=""/>
      <w:lvlJc w:val="left"/>
      <w:pPr>
        <w:ind w:left="6480" w:hanging="360"/>
      </w:pPr>
      <w:rPr>
        <w:rFonts w:ascii="Wingdings" w:hAnsi="Wingdings" w:hint="default"/>
      </w:rPr>
    </w:lvl>
  </w:abstractNum>
  <w:abstractNum w:abstractNumId="87" w15:restartNumberingAfterBreak="0">
    <w:nsid w:val="10291911"/>
    <w:multiLevelType w:val="hybridMultilevel"/>
    <w:tmpl w:val="955EB164"/>
    <w:lvl w:ilvl="0" w:tplc="B3AE8F5C">
      <w:start w:val="1"/>
      <w:numFmt w:val="bullet"/>
      <w:lvlText w:val=""/>
      <w:lvlJc w:val="left"/>
      <w:pPr>
        <w:ind w:left="360" w:hanging="360"/>
      </w:pPr>
      <w:rPr>
        <w:rFonts w:ascii="Symbol" w:hAnsi="Symbol" w:hint="default"/>
      </w:rPr>
    </w:lvl>
    <w:lvl w:ilvl="1" w:tplc="61C411D6" w:tentative="1">
      <w:start w:val="1"/>
      <w:numFmt w:val="bullet"/>
      <w:lvlText w:val="o"/>
      <w:lvlJc w:val="left"/>
      <w:pPr>
        <w:ind w:left="1080" w:hanging="360"/>
      </w:pPr>
      <w:rPr>
        <w:rFonts w:ascii="Courier New" w:hAnsi="Courier New" w:hint="default"/>
      </w:rPr>
    </w:lvl>
    <w:lvl w:ilvl="2" w:tplc="B6EADE84" w:tentative="1">
      <w:start w:val="1"/>
      <w:numFmt w:val="bullet"/>
      <w:lvlText w:val=""/>
      <w:lvlJc w:val="left"/>
      <w:pPr>
        <w:ind w:left="1800" w:hanging="360"/>
      </w:pPr>
      <w:rPr>
        <w:rFonts w:ascii="Wingdings" w:hAnsi="Wingdings" w:hint="default"/>
      </w:rPr>
    </w:lvl>
    <w:lvl w:ilvl="3" w:tplc="F1DC4C6C" w:tentative="1">
      <w:start w:val="1"/>
      <w:numFmt w:val="bullet"/>
      <w:lvlText w:val=""/>
      <w:lvlJc w:val="left"/>
      <w:pPr>
        <w:ind w:left="2520" w:hanging="360"/>
      </w:pPr>
      <w:rPr>
        <w:rFonts w:ascii="Symbol" w:hAnsi="Symbol" w:hint="default"/>
      </w:rPr>
    </w:lvl>
    <w:lvl w:ilvl="4" w:tplc="3D32F1CC" w:tentative="1">
      <w:start w:val="1"/>
      <w:numFmt w:val="bullet"/>
      <w:lvlText w:val="o"/>
      <w:lvlJc w:val="left"/>
      <w:pPr>
        <w:ind w:left="3240" w:hanging="360"/>
      </w:pPr>
      <w:rPr>
        <w:rFonts w:ascii="Courier New" w:hAnsi="Courier New" w:hint="default"/>
      </w:rPr>
    </w:lvl>
    <w:lvl w:ilvl="5" w:tplc="CE0420A6" w:tentative="1">
      <w:start w:val="1"/>
      <w:numFmt w:val="bullet"/>
      <w:lvlText w:val=""/>
      <w:lvlJc w:val="left"/>
      <w:pPr>
        <w:ind w:left="3960" w:hanging="360"/>
      </w:pPr>
      <w:rPr>
        <w:rFonts w:ascii="Wingdings" w:hAnsi="Wingdings" w:hint="default"/>
      </w:rPr>
    </w:lvl>
    <w:lvl w:ilvl="6" w:tplc="DEF279AA" w:tentative="1">
      <w:start w:val="1"/>
      <w:numFmt w:val="bullet"/>
      <w:lvlText w:val=""/>
      <w:lvlJc w:val="left"/>
      <w:pPr>
        <w:ind w:left="4680" w:hanging="360"/>
      </w:pPr>
      <w:rPr>
        <w:rFonts w:ascii="Symbol" w:hAnsi="Symbol" w:hint="default"/>
      </w:rPr>
    </w:lvl>
    <w:lvl w:ilvl="7" w:tplc="072A3ACE" w:tentative="1">
      <w:start w:val="1"/>
      <w:numFmt w:val="bullet"/>
      <w:lvlText w:val="o"/>
      <w:lvlJc w:val="left"/>
      <w:pPr>
        <w:ind w:left="5400" w:hanging="360"/>
      </w:pPr>
      <w:rPr>
        <w:rFonts w:ascii="Courier New" w:hAnsi="Courier New" w:hint="default"/>
      </w:rPr>
    </w:lvl>
    <w:lvl w:ilvl="8" w:tplc="69987E16" w:tentative="1">
      <w:start w:val="1"/>
      <w:numFmt w:val="bullet"/>
      <w:lvlText w:val=""/>
      <w:lvlJc w:val="left"/>
      <w:pPr>
        <w:ind w:left="6120" w:hanging="360"/>
      </w:pPr>
      <w:rPr>
        <w:rFonts w:ascii="Wingdings" w:hAnsi="Wingdings" w:hint="default"/>
      </w:rPr>
    </w:lvl>
  </w:abstractNum>
  <w:abstractNum w:abstractNumId="88" w15:restartNumberingAfterBreak="0">
    <w:nsid w:val="105A6CCA"/>
    <w:multiLevelType w:val="multilevel"/>
    <w:tmpl w:val="C66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093EA7C"/>
    <w:multiLevelType w:val="hybridMultilevel"/>
    <w:tmpl w:val="47C850CC"/>
    <w:lvl w:ilvl="0" w:tplc="2EEA4B3E">
      <w:start w:val="1"/>
      <w:numFmt w:val="bullet"/>
      <w:lvlText w:val=""/>
      <w:lvlJc w:val="left"/>
      <w:pPr>
        <w:ind w:left="720" w:hanging="360"/>
      </w:pPr>
      <w:rPr>
        <w:rFonts w:ascii="Symbol" w:hAnsi="Symbol" w:hint="default"/>
      </w:rPr>
    </w:lvl>
    <w:lvl w:ilvl="1" w:tplc="FEA6F242">
      <w:start w:val="1"/>
      <w:numFmt w:val="bullet"/>
      <w:lvlText w:val="o"/>
      <w:lvlJc w:val="left"/>
      <w:pPr>
        <w:ind w:left="1440" w:hanging="360"/>
      </w:pPr>
      <w:rPr>
        <w:rFonts w:ascii="Courier New" w:hAnsi="Courier New" w:hint="default"/>
      </w:rPr>
    </w:lvl>
    <w:lvl w:ilvl="2" w:tplc="4CF816A2">
      <w:start w:val="1"/>
      <w:numFmt w:val="bullet"/>
      <w:lvlText w:val=""/>
      <w:lvlJc w:val="left"/>
      <w:pPr>
        <w:ind w:left="2160" w:hanging="360"/>
      </w:pPr>
      <w:rPr>
        <w:rFonts w:ascii="Wingdings" w:hAnsi="Wingdings" w:hint="default"/>
      </w:rPr>
    </w:lvl>
    <w:lvl w:ilvl="3" w:tplc="9FEE179E">
      <w:start w:val="1"/>
      <w:numFmt w:val="bullet"/>
      <w:lvlText w:val=""/>
      <w:lvlJc w:val="left"/>
      <w:pPr>
        <w:ind w:left="2880" w:hanging="360"/>
      </w:pPr>
      <w:rPr>
        <w:rFonts w:ascii="Symbol" w:hAnsi="Symbol" w:hint="default"/>
      </w:rPr>
    </w:lvl>
    <w:lvl w:ilvl="4" w:tplc="8A8A78AE">
      <w:start w:val="1"/>
      <w:numFmt w:val="bullet"/>
      <w:lvlText w:val="o"/>
      <w:lvlJc w:val="left"/>
      <w:pPr>
        <w:ind w:left="3600" w:hanging="360"/>
      </w:pPr>
      <w:rPr>
        <w:rFonts w:ascii="Courier New" w:hAnsi="Courier New" w:hint="default"/>
      </w:rPr>
    </w:lvl>
    <w:lvl w:ilvl="5" w:tplc="1EC2382E">
      <w:start w:val="1"/>
      <w:numFmt w:val="bullet"/>
      <w:lvlText w:val=""/>
      <w:lvlJc w:val="left"/>
      <w:pPr>
        <w:ind w:left="4320" w:hanging="360"/>
      </w:pPr>
      <w:rPr>
        <w:rFonts w:ascii="Wingdings" w:hAnsi="Wingdings" w:hint="default"/>
      </w:rPr>
    </w:lvl>
    <w:lvl w:ilvl="6" w:tplc="C4CA10F2">
      <w:start w:val="1"/>
      <w:numFmt w:val="bullet"/>
      <w:lvlText w:val=""/>
      <w:lvlJc w:val="left"/>
      <w:pPr>
        <w:ind w:left="5040" w:hanging="360"/>
      </w:pPr>
      <w:rPr>
        <w:rFonts w:ascii="Symbol" w:hAnsi="Symbol" w:hint="default"/>
      </w:rPr>
    </w:lvl>
    <w:lvl w:ilvl="7" w:tplc="9118B33A">
      <w:start w:val="1"/>
      <w:numFmt w:val="bullet"/>
      <w:lvlText w:val="o"/>
      <w:lvlJc w:val="left"/>
      <w:pPr>
        <w:ind w:left="5760" w:hanging="360"/>
      </w:pPr>
      <w:rPr>
        <w:rFonts w:ascii="Courier New" w:hAnsi="Courier New" w:hint="default"/>
      </w:rPr>
    </w:lvl>
    <w:lvl w:ilvl="8" w:tplc="5880933A">
      <w:start w:val="1"/>
      <w:numFmt w:val="bullet"/>
      <w:lvlText w:val=""/>
      <w:lvlJc w:val="left"/>
      <w:pPr>
        <w:ind w:left="6480" w:hanging="360"/>
      </w:pPr>
      <w:rPr>
        <w:rFonts w:ascii="Wingdings" w:hAnsi="Wingdings" w:hint="default"/>
      </w:rPr>
    </w:lvl>
  </w:abstractNum>
  <w:abstractNum w:abstractNumId="90" w15:restartNumberingAfterBreak="0">
    <w:nsid w:val="10A12899"/>
    <w:multiLevelType w:val="hybridMultilevel"/>
    <w:tmpl w:val="3FEEF308"/>
    <w:lvl w:ilvl="0" w:tplc="00C621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0D154BA"/>
    <w:multiLevelType w:val="multilevel"/>
    <w:tmpl w:val="381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0D160D4"/>
    <w:multiLevelType w:val="multilevel"/>
    <w:tmpl w:val="EDD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1191B35"/>
    <w:multiLevelType w:val="multilevel"/>
    <w:tmpl w:val="100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19F2930"/>
    <w:multiLevelType w:val="multilevel"/>
    <w:tmpl w:val="878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1C84BD0"/>
    <w:multiLevelType w:val="multilevel"/>
    <w:tmpl w:val="6C3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1C90559"/>
    <w:multiLevelType w:val="multilevel"/>
    <w:tmpl w:val="C5C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1D00D0F"/>
    <w:multiLevelType w:val="multilevel"/>
    <w:tmpl w:val="6680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233507B"/>
    <w:multiLevelType w:val="hybridMultilevel"/>
    <w:tmpl w:val="8408BA5A"/>
    <w:lvl w:ilvl="0" w:tplc="0C090001">
      <w:start w:val="1"/>
      <w:numFmt w:val="bullet"/>
      <w:lvlText w:val=""/>
      <w:lvlJc w:val="left"/>
      <w:pPr>
        <w:ind w:left="840" w:hanging="420"/>
      </w:pPr>
      <w:rPr>
        <w:rFonts w:ascii="Symbol" w:hAnsi="Symbol" w:hint="default"/>
      </w:rPr>
    </w:lvl>
    <w:lvl w:ilvl="1" w:tplc="0409000B">
      <w:start w:val="1"/>
      <w:numFmt w:val="bullet"/>
      <w:lvlText w:val=""/>
      <w:lvlJc w:val="left"/>
      <w:pPr>
        <w:ind w:left="2286" w:hanging="360"/>
      </w:pPr>
      <w:rPr>
        <w:rFonts w:ascii="Wingdings" w:hAnsi="Wingdings" w:hint="default"/>
      </w:rPr>
    </w:lvl>
    <w:lvl w:ilvl="2" w:tplc="0C09001B" w:tentative="1">
      <w:start w:val="1"/>
      <w:numFmt w:val="lowerRoman"/>
      <w:lvlText w:val="%3."/>
      <w:lvlJc w:val="right"/>
      <w:pPr>
        <w:ind w:left="3006" w:hanging="180"/>
      </w:pPr>
    </w:lvl>
    <w:lvl w:ilvl="3" w:tplc="0C09000F" w:tentative="1">
      <w:start w:val="1"/>
      <w:numFmt w:val="decimal"/>
      <w:lvlText w:val="%4."/>
      <w:lvlJc w:val="left"/>
      <w:pPr>
        <w:ind w:left="3726" w:hanging="360"/>
      </w:pPr>
    </w:lvl>
    <w:lvl w:ilvl="4" w:tplc="0C090019" w:tentative="1">
      <w:start w:val="1"/>
      <w:numFmt w:val="lowerLetter"/>
      <w:lvlText w:val="%5."/>
      <w:lvlJc w:val="left"/>
      <w:pPr>
        <w:ind w:left="4446" w:hanging="360"/>
      </w:pPr>
    </w:lvl>
    <w:lvl w:ilvl="5" w:tplc="0C09001B" w:tentative="1">
      <w:start w:val="1"/>
      <w:numFmt w:val="lowerRoman"/>
      <w:lvlText w:val="%6."/>
      <w:lvlJc w:val="right"/>
      <w:pPr>
        <w:ind w:left="5166" w:hanging="180"/>
      </w:pPr>
    </w:lvl>
    <w:lvl w:ilvl="6" w:tplc="0C09000F" w:tentative="1">
      <w:start w:val="1"/>
      <w:numFmt w:val="decimal"/>
      <w:lvlText w:val="%7."/>
      <w:lvlJc w:val="left"/>
      <w:pPr>
        <w:ind w:left="5886" w:hanging="360"/>
      </w:pPr>
    </w:lvl>
    <w:lvl w:ilvl="7" w:tplc="0C090019" w:tentative="1">
      <w:start w:val="1"/>
      <w:numFmt w:val="lowerLetter"/>
      <w:lvlText w:val="%8."/>
      <w:lvlJc w:val="left"/>
      <w:pPr>
        <w:ind w:left="6606" w:hanging="360"/>
      </w:pPr>
    </w:lvl>
    <w:lvl w:ilvl="8" w:tplc="0C09001B" w:tentative="1">
      <w:start w:val="1"/>
      <w:numFmt w:val="lowerRoman"/>
      <w:lvlText w:val="%9."/>
      <w:lvlJc w:val="right"/>
      <w:pPr>
        <w:ind w:left="7326" w:hanging="180"/>
      </w:pPr>
    </w:lvl>
  </w:abstractNum>
  <w:abstractNum w:abstractNumId="99" w15:restartNumberingAfterBreak="0">
    <w:nsid w:val="123D71EB"/>
    <w:multiLevelType w:val="multilevel"/>
    <w:tmpl w:val="4C5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29C3A2F"/>
    <w:multiLevelType w:val="hybridMultilevel"/>
    <w:tmpl w:val="DAAED23C"/>
    <w:lvl w:ilvl="0" w:tplc="E4345C34">
      <w:start w:val="1"/>
      <w:numFmt w:val="bullet"/>
      <w:lvlText w:val=""/>
      <w:lvlJc w:val="left"/>
      <w:pPr>
        <w:ind w:left="720" w:hanging="360"/>
      </w:pPr>
      <w:rPr>
        <w:rFonts w:ascii="Symbol" w:hAnsi="Symbol" w:hint="default"/>
      </w:rPr>
    </w:lvl>
    <w:lvl w:ilvl="1" w:tplc="9FD087F2">
      <w:start w:val="1"/>
      <w:numFmt w:val="bullet"/>
      <w:lvlText w:val="o"/>
      <w:lvlJc w:val="left"/>
      <w:pPr>
        <w:ind w:left="1440" w:hanging="360"/>
      </w:pPr>
      <w:rPr>
        <w:rFonts w:ascii="&quot;Courier New&quot;" w:hAnsi="&quot;Courier New&quot;" w:hint="default"/>
      </w:rPr>
    </w:lvl>
    <w:lvl w:ilvl="2" w:tplc="E7321888">
      <w:start w:val="1"/>
      <w:numFmt w:val="bullet"/>
      <w:lvlText w:val=""/>
      <w:lvlJc w:val="left"/>
      <w:pPr>
        <w:ind w:left="2160" w:hanging="360"/>
      </w:pPr>
      <w:rPr>
        <w:rFonts w:ascii="Wingdings" w:hAnsi="Wingdings" w:hint="default"/>
      </w:rPr>
    </w:lvl>
    <w:lvl w:ilvl="3" w:tplc="79D66DA8">
      <w:start w:val="1"/>
      <w:numFmt w:val="bullet"/>
      <w:lvlText w:val=""/>
      <w:lvlJc w:val="left"/>
      <w:pPr>
        <w:ind w:left="2880" w:hanging="360"/>
      </w:pPr>
      <w:rPr>
        <w:rFonts w:ascii="Symbol" w:hAnsi="Symbol" w:hint="default"/>
      </w:rPr>
    </w:lvl>
    <w:lvl w:ilvl="4" w:tplc="4E625800">
      <w:start w:val="1"/>
      <w:numFmt w:val="bullet"/>
      <w:lvlText w:val="o"/>
      <w:lvlJc w:val="left"/>
      <w:pPr>
        <w:ind w:left="3600" w:hanging="360"/>
      </w:pPr>
      <w:rPr>
        <w:rFonts w:ascii="Courier New" w:hAnsi="Courier New" w:hint="default"/>
      </w:rPr>
    </w:lvl>
    <w:lvl w:ilvl="5" w:tplc="50704172">
      <w:start w:val="1"/>
      <w:numFmt w:val="bullet"/>
      <w:lvlText w:val=""/>
      <w:lvlJc w:val="left"/>
      <w:pPr>
        <w:ind w:left="4320" w:hanging="360"/>
      </w:pPr>
      <w:rPr>
        <w:rFonts w:ascii="Wingdings" w:hAnsi="Wingdings" w:hint="default"/>
      </w:rPr>
    </w:lvl>
    <w:lvl w:ilvl="6" w:tplc="46664EC2">
      <w:start w:val="1"/>
      <w:numFmt w:val="bullet"/>
      <w:lvlText w:val=""/>
      <w:lvlJc w:val="left"/>
      <w:pPr>
        <w:ind w:left="5040" w:hanging="360"/>
      </w:pPr>
      <w:rPr>
        <w:rFonts w:ascii="Symbol" w:hAnsi="Symbol" w:hint="default"/>
      </w:rPr>
    </w:lvl>
    <w:lvl w:ilvl="7" w:tplc="BBD8CDFA">
      <w:start w:val="1"/>
      <w:numFmt w:val="bullet"/>
      <w:lvlText w:val="o"/>
      <w:lvlJc w:val="left"/>
      <w:pPr>
        <w:ind w:left="5760" w:hanging="360"/>
      </w:pPr>
      <w:rPr>
        <w:rFonts w:ascii="Courier New" w:hAnsi="Courier New" w:hint="default"/>
      </w:rPr>
    </w:lvl>
    <w:lvl w:ilvl="8" w:tplc="8E4A56DE">
      <w:start w:val="1"/>
      <w:numFmt w:val="bullet"/>
      <w:lvlText w:val=""/>
      <w:lvlJc w:val="left"/>
      <w:pPr>
        <w:ind w:left="6480" w:hanging="360"/>
      </w:pPr>
      <w:rPr>
        <w:rFonts w:ascii="Wingdings" w:hAnsi="Wingdings" w:hint="default"/>
      </w:rPr>
    </w:lvl>
  </w:abstractNum>
  <w:abstractNum w:abstractNumId="101" w15:restartNumberingAfterBreak="0">
    <w:nsid w:val="12AD259E"/>
    <w:multiLevelType w:val="hybridMultilevel"/>
    <w:tmpl w:val="B72E12AA"/>
    <w:lvl w:ilvl="0" w:tplc="5FC6C686">
      <w:start w:val="1"/>
      <w:numFmt w:val="bullet"/>
      <w:lvlText w:val=""/>
      <w:lvlJc w:val="left"/>
      <w:pPr>
        <w:ind w:left="720" w:hanging="360"/>
      </w:pPr>
      <w:rPr>
        <w:rFonts w:ascii="Symbol" w:hAnsi="Symbol" w:hint="default"/>
      </w:rPr>
    </w:lvl>
    <w:lvl w:ilvl="1" w:tplc="8A160AC2" w:tentative="1">
      <w:start w:val="1"/>
      <w:numFmt w:val="bullet"/>
      <w:lvlText w:val="o"/>
      <w:lvlJc w:val="left"/>
      <w:pPr>
        <w:ind w:left="1440" w:hanging="360"/>
      </w:pPr>
      <w:rPr>
        <w:rFonts w:ascii="Courier New" w:hAnsi="Courier New" w:hint="default"/>
      </w:rPr>
    </w:lvl>
    <w:lvl w:ilvl="2" w:tplc="23BC67D8" w:tentative="1">
      <w:start w:val="1"/>
      <w:numFmt w:val="bullet"/>
      <w:lvlText w:val=""/>
      <w:lvlJc w:val="left"/>
      <w:pPr>
        <w:ind w:left="2160" w:hanging="360"/>
      </w:pPr>
      <w:rPr>
        <w:rFonts w:ascii="Wingdings" w:hAnsi="Wingdings" w:hint="default"/>
      </w:rPr>
    </w:lvl>
    <w:lvl w:ilvl="3" w:tplc="534CFB0A" w:tentative="1">
      <w:start w:val="1"/>
      <w:numFmt w:val="bullet"/>
      <w:lvlText w:val=""/>
      <w:lvlJc w:val="left"/>
      <w:pPr>
        <w:ind w:left="2880" w:hanging="360"/>
      </w:pPr>
      <w:rPr>
        <w:rFonts w:ascii="Symbol" w:hAnsi="Symbol" w:hint="default"/>
      </w:rPr>
    </w:lvl>
    <w:lvl w:ilvl="4" w:tplc="3F8E9D32" w:tentative="1">
      <w:start w:val="1"/>
      <w:numFmt w:val="bullet"/>
      <w:lvlText w:val="o"/>
      <w:lvlJc w:val="left"/>
      <w:pPr>
        <w:ind w:left="3600" w:hanging="360"/>
      </w:pPr>
      <w:rPr>
        <w:rFonts w:ascii="Courier New" w:hAnsi="Courier New" w:hint="default"/>
      </w:rPr>
    </w:lvl>
    <w:lvl w:ilvl="5" w:tplc="F18E85A4" w:tentative="1">
      <w:start w:val="1"/>
      <w:numFmt w:val="bullet"/>
      <w:lvlText w:val=""/>
      <w:lvlJc w:val="left"/>
      <w:pPr>
        <w:ind w:left="4320" w:hanging="360"/>
      </w:pPr>
      <w:rPr>
        <w:rFonts w:ascii="Wingdings" w:hAnsi="Wingdings" w:hint="default"/>
      </w:rPr>
    </w:lvl>
    <w:lvl w:ilvl="6" w:tplc="84F2CE8A" w:tentative="1">
      <w:start w:val="1"/>
      <w:numFmt w:val="bullet"/>
      <w:lvlText w:val=""/>
      <w:lvlJc w:val="left"/>
      <w:pPr>
        <w:ind w:left="5040" w:hanging="360"/>
      </w:pPr>
      <w:rPr>
        <w:rFonts w:ascii="Symbol" w:hAnsi="Symbol" w:hint="default"/>
      </w:rPr>
    </w:lvl>
    <w:lvl w:ilvl="7" w:tplc="3CE4702C" w:tentative="1">
      <w:start w:val="1"/>
      <w:numFmt w:val="bullet"/>
      <w:lvlText w:val="o"/>
      <w:lvlJc w:val="left"/>
      <w:pPr>
        <w:ind w:left="5760" w:hanging="360"/>
      </w:pPr>
      <w:rPr>
        <w:rFonts w:ascii="Courier New" w:hAnsi="Courier New" w:hint="default"/>
      </w:rPr>
    </w:lvl>
    <w:lvl w:ilvl="8" w:tplc="A89E6942" w:tentative="1">
      <w:start w:val="1"/>
      <w:numFmt w:val="bullet"/>
      <w:lvlText w:val=""/>
      <w:lvlJc w:val="left"/>
      <w:pPr>
        <w:ind w:left="6480" w:hanging="360"/>
      </w:pPr>
      <w:rPr>
        <w:rFonts w:ascii="Wingdings" w:hAnsi="Wingdings" w:hint="default"/>
      </w:rPr>
    </w:lvl>
  </w:abstractNum>
  <w:abstractNum w:abstractNumId="102" w15:restartNumberingAfterBreak="0">
    <w:nsid w:val="12BE340B"/>
    <w:multiLevelType w:val="multilevel"/>
    <w:tmpl w:val="B0B2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2CE289A"/>
    <w:multiLevelType w:val="multilevel"/>
    <w:tmpl w:val="8DA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30424D1"/>
    <w:multiLevelType w:val="multilevel"/>
    <w:tmpl w:val="4160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31F3E07"/>
    <w:multiLevelType w:val="hybridMultilevel"/>
    <w:tmpl w:val="C4FCA6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6" w15:restartNumberingAfterBreak="0">
    <w:nsid w:val="139A41AE"/>
    <w:multiLevelType w:val="hybridMultilevel"/>
    <w:tmpl w:val="4B2AF972"/>
    <w:lvl w:ilvl="0" w:tplc="1FFEDF14">
      <w:start w:val="1"/>
      <w:numFmt w:val="bullet"/>
      <w:lvlText w:val="·"/>
      <w:lvlJc w:val="left"/>
      <w:pPr>
        <w:ind w:left="720" w:hanging="360"/>
      </w:pPr>
      <w:rPr>
        <w:rFonts w:ascii="Symbol" w:hAnsi="Symbol" w:hint="default"/>
      </w:rPr>
    </w:lvl>
    <w:lvl w:ilvl="1" w:tplc="A56EEF10">
      <w:start w:val="1"/>
      <w:numFmt w:val="bullet"/>
      <w:lvlText w:val="o"/>
      <w:lvlJc w:val="left"/>
      <w:pPr>
        <w:ind w:left="1440" w:hanging="360"/>
      </w:pPr>
      <w:rPr>
        <w:rFonts w:ascii="Courier New" w:hAnsi="Courier New" w:hint="default"/>
      </w:rPr>
    </w:lvl>
    <w:lvl w:ilvl="2" w:tplc="EC44ADB2">
      <w:start w:val="1"/>
      <w:numFmt w:val="bullet"/>
      <w:lvlText w:val=""/>
      <w:lvlJc w:val="left"/>
      <w:pPr>
        <w:ind w:left="2160" w:hanging="360"/>
      </w:pPr>
      <w:rPr>
        <w:rFonts w:ascii="Wingdings" w:hAnsi="Wingdings" w:hint="default"/>
      </w:rPr>
    </w:lvl>
    <w:lvl w:ilvl="3" w:tplc="09F41426">
      <w:start w:val="1"/>
      <w:numFmt w:val="bullet"/>
      <w:lvlText w:val=""/>
      <w:lvlJc w:val="left"/>
      <w:pPr>
        <w:ind w:left="2880" w:hanging="360"/>
      </w:pPr>
      <w:rPr>
        <w:rFonts w:ascii="Symbol" w:hAnsi="Symbol" w:hint="default"/>
      </w:rPr>
    </w:lvl>
    <w:lvl w:ilvl="4" w:tplc="386253A8">
      <w:start w:val="1"/>
      <w:numFmt w:val="bullet"/>
      <w:lvlText w:val="o"/>
      <w:lvlJc w:val="left"/>
      <w:pPr>
        <w:ind w:left="3600" w:hanging="360"/>
      </w:pPr>
      <w:rPr>
        <w:rFonts w:ascii="Courier New" w:hAnsi="Courier New" w:hint="default"/>
      </w:rPr>
    </w:lvl>
    <w:lvl w:ilvl="5" w:tplc="D35896B2">
      <w:start w:val="1"/>
      <w:numFmt w:val="bullet"/>
      <w:lvlText w:val=""/>
      <w:lvlJc w:val="left"/>
      <w:pPr>
        <w:ind w:left="4320" w:hanging="360"/>
      </w:pPr>
      <w:rPr>
        <w:rFonts w:ascii="Wingdings" w:hAnsi="Wingdings" w:hint="default"/>
      </w:rPr>
    </w:lvl>
    <w:lvl w:ilvl="6" w:tplc="BDF4BD12">
      <w:start w:val="1"/>
      <w:numFmt w:val="bullet"/>
      <w:lvlText w:val=""/>
      <w:lvlJc w:val="left"/>
      <w:pPr>
        <w:ind w:left="5040" w:hanging="360"/>
      </w:pPr>
      <w:rPr>
        <w:rFonts w:ascii="Symbol" w:hAnsi="Symbol" w:hint="default"/>
      </w:rPr>
    </w:lvl>
    <w:lvl w:ilvl="7" w:tplc="DA9AEAE2">
      <w:start w:val="1"/>
      <w:numFmt w:val="bullet"/>
      <w:lvlText w:val="o"/>
      <w:lvlJc w:val="left"/>
      <w:pPr>
        <w:ind w:left="5760" w:hanging="360"/>
      </w:pPr>
      <w:rPr>
        <w:rFonts w:ascii="Courier New" w:hAnsi="Courier New" w:hint="default"/>
      </w:rPr>
    </w:lvl>
    <w:lvl w:ilvl="8" w:tplc="8D0CA482">
      <w:start w:val="1"/>
      <w:numFmt w:val="bullet"/>
      <w:lvlText w:val=""/>
      <w:lvlJc w:val="left"/>
      <w:pPr>
        <w:ind w:left="6480" w:hanging="360"/>
      </w:pPr>
      <w:rPr>
        <w:rFonts w:ascii="Wingdings" w:hAnsi="Wingdings" w:hint="default"/>
      </w:rPr>
    </w:lvl>
  </w:abstractNum>
  <w:abstractNum w:abstractNumId="107" w15:restartNumberingAfterBreak="0">
    <w:nsid w:val="13B8256C"/>
    <w:multiLevelType w:val="hybridMultilevel"/>
    <w:tmpl w:val="C0A4C4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8" w15:restartNumberingAfterBreak="0">
    <w:nsid w:val="14181177"/>
    <w:multiLevelType w:val="hybridMultilevel"/>
    <w:tmpl w:val="7876B65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9" w15:restartNumberingAfterBreak="0">
    <w:nsid w:val="141C2448"/>
    <w:multiLevelType w:val="hybridMultilevel"/>
    <w:tmpl w:val="66C4FD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0" w15:restartNumberingAfterBreak="0">
    <w:nsid w:val="14925B66"/>
    <w:multiLevelType w:val="hybridMultilevel"/>
    <w:tmpl w:val="2634E166"/>
    <w:lvl w:ilvl="0" w:tplc="58647484">
      <w:start w:val="1"/>
      <w:numFmt w:val="bullet"/>
      <w:lvlText w:val=""/>
      <w:lvlJc w:val="left"/>
      <w:pPr>
        <w:ind w:left="720" w:hanging="360"/>
      </w:pPr>
      <w:rPr>
        <w:rFonts w:ascii="Symbol" w:hAnsi="Symbol" w:hint="default"/>
      </w:rPr>
    </w:lvl>
    <w:lvl w:ilvl="1" w:tplc="648E1EA8" w:tentative="1">
      <w:start w:val="1"/>
      <w:numFmt w:val="bullet"/>
      <w:lvlText w:val="o"/>
      <w:lvlJc w:val="left"/>
      <w:pPr>
        <w:ind w:left="1440" w:hanging="360"/>
      </w:pPr>
      <w:rPr>
        <w:rFonts w:ascii="Courier New" w:hAnsi="Courier New" w:hint="default"/>
      </w:rPr>
    </w:lvl>
    <w:lvl w:ilvl="2" w:tplc="62C6B7E0" w:tentative="1">
      <w:start w:val="1"/>
      <w:numFmt w:val="bullet"/>
      <w:lvlText w:val=""/>
      <w:lvlJc w:val="left"/>
      <w:pPr>
        <w:ind w:left="2160" w:hanging="360"/>
      </w:pPr>
      <w:rPr>
        <w:rFonts w:ascii="Wingdings" w:hAnsi="Wingdings" w:hint="default"/>
      </w:rPr>
    </w:lvl>
    <w:lvl w:ilvl="3" w:tplc="AFCA5D78" w:tentative="1">
      <w:start w:val="1"/>
      <w:numFmt w:val="bullet"/>
      <w:lvlText w:val=""/>
      <w:lvlJc w:val="left"/>
      <w:pPr>
        <w:ind w:left="2880" w:hanging="360"/>
      </w:pPr>
      <w:rPr>
        <w:rFonts w:ascii="Symbol" w:hAnsi="Symbol" w:hint="default"/>
      </w:rPr>
    </w:lvl>
    <w:lvl w:ilvl="4" w:tplc="61128550" w:tentative="1">
      <w:start w:val="1"/>
      <w:numFmt w:val="bullet"/>
      <w:lvlText w:val="o"/>
      <w:lvlJc w:val="left"/>
      <w:pPr>
        <w:ind w:left="3600" w:hanging="360"/>
      </w:pPr>
      <w:rPr>
        <w:rFonts w:ascii="Courier New" w:hAnsi="Courier New" w:hint="default"/>
      </w:rPr>
    </w:lvl>
    <w:lvl w:ilvl="5" w:tplc="EF064910" w:tentative="1">
      <w:start w:val="1"/>
      <w:numFmt w:val="bullet"/>
      <w:lvlText w:val=""/>
      <w:lvlJc w:val="left"/>
      <w:pPr>
        <w:ind w:left="4320" w:hanging="360"/>
      </w:pPr>
      <w:rPr>
        <w:rFonts w:ascii="Wingdings" w:hAnsi="Wingdings" w:hint="default"/>
      </w:rPr>
    </w:lvl>
    <w:lvl w:ilvl="6" w:tplc="4B6E2C04" w:tentative="1">
      <w:start w:val="1"/>
      <w:numFmt w:val="bullet"/>
      <w:lvlText w:val=""/>
      <w:lvlJc w:val="left"/>
      <w:pPr>
        <w:ind w:left="5040" w:hanging="360"/>
      </w:pPr>
      <w:rPr>
        <w:rFonts w:ascii="Symbol" w:hAnsi="Symbol" w:hint="default"/>
      </w:rPr>
    </w:lvl>
    <w:lvl w:ilvl="7" w:tplc="25521F86" w:tentative="1">
      <w:start w:val="1"/>
      <w:numFmt w:val="bullet"/>
      <w:lvlText w:val="o"/>
      <w:lvlJc w:val="left"/>
      <w:pPr>
        <w:ind w:left="5760" w:hanging="360"/>
      </w:pPr>
      <w:rPr>
        <w:rFonts w:ascii="Courier New" w:hAnsi="Courier New" w:hint="default"/>
      </w:rPr>
    </w:lvl>
    <w:lvl w:ilvl="8" w:tplc="AABEED6A" w:tentative="1">
      <w:start w:val="1"/>
      <w:numFmt w:val="bullet"/>
      <w:lvlText w:val=""/>
      <w:lvlJc w:val="left"/>
      <w:pPr>
        <w:ind w:left="6480" w:hanging="360"/>
      </w:pPr>
      <w:rPr>
        <w:rFonts w:ascii="Wingdings" w:hAnsi="Wingdings" w:hint="default"/>
      </w:rPr>
    </w:lvl>
  </w:abstractNum>
  <w:abstractNum w:abstractNumId="111" w15:restartNumberingAfterBreak="0">
    <w:nsid w:val="14953D3F"/>
    <w:multiLevelType w:val="hybridMultilevel"/>
    <w:tmpl w:val="9A6E0464"/>
    <w:lvl w:ilvl="0" w:tplc="0C09000F">
      <w:start w:val="1"/>
      <w:numFmt w:val="decimal"/>
      <w:lvlText w:val="%1."/>
      <w:lvlJc w:val="left"/>
      <w:pPr>
        <w:ind w:left="4897" w:hanging="360"/>
      </w:pPr>
    </w:lvl>
    <w:lvl w:ilvl="1" w:tplc="0C090019" w:tentative="1">
      <w:start w:val="1"/>
      <w:numFmt w:val="lowerLetter"/>
      <w:lvlText w:val="%2."/>
      <w:lvlJc w:val="left"/>
      <w:pPr>
        <w:ind w:left="5617" w:hanging="360"/>
      </w:pPr>
    </w:lvl>
    <w:lvl w:ilvl="2" w:tplc="0C09001B" w:tentative="1">
      <w:start w:val="1"/>
      <w:numFmt w:val="lowerRoman"/>
      <w:lvlText w:val="%3."/>
      <w:lvlJc w:val="right"/>
      <w:pPr>
        <w:ind w:left="6337" w:hanging="180"/>
      </w:pPr>
    </w:lvl>
    <w:lvl w:ilvl="3" w:tplc="0C09000F" w:tentative="1">
      <w:start w:val="1"/>
      <w:numFmt w:val="decimal"/>
      <w:lvlText w:val="%4."/>
      <w:lvlJc w:val="left"/>
      <w:pPr>
        <w:ind w:left="7057" w:hanging="360"/>
      </w:pPr>
    </w:lvl>
    <w:lvl w:ilvl="4" w:tplc="0C090019" w:tentative="1">
      <w:start w:val="1"/>
      <w:numFmt w:val="lowerLetter"/>
      <w:lvlText w:val="%5."/>
      <w:lvlJc w:val="left"/>
      <w:pPr>
        <w:ind w:left="7777" w:hanging="360"/>
      </w:pPr>
    </w:lvl>
    <w:lvl w:ilvl="5" w:tplc="0C09001B" w:tentative="1">
      <w:start w:val="1"/>
      <w:numFmt w:val="lowerRoman"/>
      <w:lvlText w:val="%6."/>
      <w:lvlJc w:val="right"/>
      <w:pPr>
        <w:ind w:left="8497" w:hanging="180"/>
      </w:pPr>
    </w:lvl>
    <w:lvl w:ilvl="6" w:tplc="0C09000F" w:tentative="1">
      <w:start w:val="1"/>
      <w:numFmt w:val="decimal"/>
      <w:lvlText w:val="%7."/>
      <w:lvlJc w:val="left"/>
      <w:pPr>
        <w:ind w:left="9217" w:hanging="360"/>
      </w:pPr>
    </w:lvl>
    <w:lvl w:ilvl="7" w:tplc="0C090019" w:tentative="1">
      <w:start w:val="1"/>
      <w:numFmt w:val="lowerLetter"/>
      <w:lvlText w:val="%8."/>
      <w:lvlJc w:val="left"/>
      <w:pPr>
        <w:ind w:left="9937" w:hanging="360"/>
      </w:pPr>
    </w:lvl>
    <w:lvl w:ilvl="8" w:tplc="0C09001B" w:tentative="1">
      <w:start w:val="1"/>
      <w:numFmt w:val="lowerRoman"/>
      <w:lvlText w:val="%9."/>
      <w:lvlJc w:val="right"/>
      <w:pPr>
        <w:ind w:left="10657" w:hanging="180"/>
      </w:pPr>
    </w:lvl>
  </w:abstractNum>
  <w:abstractNum w:abstractNumId="112" w15:restartNumberingAfterBreak="0">
    <w:nsid w:val="14B17E63"/>
    <w:multiLevelType w:val="hybridMultilevel"/>
    <w:tmpl w:val="FFFFFFFF"/>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Times New Roman"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Times New Roman"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Times New Roman" w:hint="default"/>
      </w:rPr>
    </w:lvl>
    <w:lvl w:ilvl="8" w:tplc="0C090005">
      <w:start w:val="1"/>
      <w:numFmt w:val="bullet"/>
      <w:lvlText w:val=""/>
      <w:lvlJc w:val="left"/>
      <w:pPr>
        <w:ind w:left="6525" w:hanging="360"/>
      </w:pPr>
      <w:rPr>
        <w:rFonts w:ascii="Wingdings" w:hAnsi="Wingdings" w:hint="default"/>
      </w:rPr>
    </w:lvl>
  </w:abstractNum>
  <w:abstractNum w:abstractNumId="113" w15:restartNumberingAfterBreak="0">
    <w:nsid w:val="14E84F02"/>
    <w:multiLevelType w:val="hybridMultilevel"/>
    <w:tmpl w:val="A7F85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14FD7577"/>
    <w:multiLevelType w:val="hybridMultilevel"/>
    <w:tmpl w:val="99D4C82C"/>
    <w:lvl w:ilvl="0" w:tplc="4D6CA39A">
      <w:start w:val="1"/>
      <w:numFmt w:val="bullet"/>
      <w:lvlText w:val=""/>
      <w:lvlJc w:val="left"/>
      <w:pPr>
        <w:ind w:left="720" w:hanging="360"/>
      </w:pPr>
      <w:rPr>
        <w:rFonts w:ascii="Symbol" w:hAnsi="Symbol" w:hint="default"/>
      </w:rPr>
    </w:lvl>
    <w:lvl w:ilvl="1" w:tplc="DFAC50E2" w:tentative="1">
      <w:start w:val="1"/>
      <w:numFmt w:val="bullet"/>
      <w:lvlText w:val="o"/>
      <w:lvlJc w:val="left"/>
      <w:pPr>
        <w:ind w:left="1440" w:hanging="360"/>
      </w:pPr>
      <w:rPr>
        <w:rFonts w:ascii="Courier New" w:hAnsi="Courier New" w:hint="default"/>
      </w:rPr>
    </w:lvl>
    <w:lvl w:ilvl="2" w:tplc="432C81D8" w:tentative="1">
      <w:start w:val="1"/>
      <w:numFmt w:val="bullet"/>
      <w:lvlText w:val=""/>
      <w:lvlJc w:val="left"/>
      <w:pPr>
        <w:ind w:left="2160" w:hanging="360"/>
      </w:pPr>
      <w:rPr>
        <w:rFonts w:ascii="Wingdings" w:hAnsi="Wingdings" w:hint="default"/>
      </w:rPr>
    </w:lvl>
    <w:lvl w:ilvl="3" w:tplc="CC264D62" w:tentative="1">
      <w:start w:val="1"/>
      <w:numFmt w:val="bullet"/>
      <w:lvlText w:val=""/>
      <w:lvlJc w:val="left"/>
      <w:pPr>
        <w:ind w:left="2880" w:hanging="360"/>
      </w:pPr>
      <w:rPr>
        <w:rFonts w:ascii="Symbol" w:hAnsi="Symbol" w:hint="default"/>
      </w:rPr>
    </w:lvl>
    <w:lvl w:ilvl="4" w:tplc="2CF8950E" w:tentative="1">
      <w:start w:val="1"/>
      <w:numFmt w:val="bullet"/>
      <w:lvlText w:val="o"/>
      <w:lvlJc w:val="left"/>
      <w:pPr>
        <w:ind w:left="3600" w:hanging="360"/>
      </w:pPr>
      <w:rPr>
        <w:rFonts w:ascii="Courier New" w:hAnsi="Courier New" w:hint="default"/>
      </w:rPr>
    </w:lvl>
    <w:lvl w:ilvl="5" w:tplc="D4E272A0" w:tentative="1">
      <w:start w:val="1"/>
      <w:numFmt w:val="bullet"/>
      <w:lvlText w:val=""/>
      <w:lvlJc w:val="left"/>
      <w:pPr>
        <w:ind w:left="4320" w:hanging="360"/>
      </w:pPr>
      <w:rPr>
        <w:rFonts w:ascii="Wingdings" w:hAnsi="Wingdings" w:hint="default"/>
      </w:rPr>
    </w:lvl>
    <w:lvl w:ilvl="6" w:tplc="E506CABC" w:tentative="1">
      <w:start w:val="1"/>
      <w:numFmt w:val="bullet"/>
      <w:lvlText w:val=""/>
      <w:lvlJc w:val="left"/>
      <w:pPr>
        <w:ind w:left="5040" w:hanging="360"/>
      </w:pPr>
      <w:rPr>
        <w:rFonts w:ascii="Symbol" w:hAnsi="Symbol" w:hint="default"/>
      </w:rPr>
    </w:lvl>
    <w:lvl w:ilvl="7" w:tplc="4006A336" w:tentative="1">
      <w:start w:val="1"/>
      <w:numFmt w:val="bullet"/>
      <w:lvlText w:val="o"/>
      <w:lvlJc w:val="left"/>
      <w:pPr>
        <w:ind w:left="5760" w:hanging="360"/>
      </w:pPr>
      <w:rPr>
        <w:rFonts w:ascii="Courier New" w:hAnsi="Courier New" w:hint="default"/>
      </w:rPr>
    </w:lvl>
    <w:lvl w:ilvl="8" w:tplc="C7408606" w:tentative="1">
      <w:start w:val="1"/>
      <w:numFmt w:val="bullet"/>
      <w:lvlText w:val=""/>
      <w:lvlJc w:val="left"/>
      <w:pPr>
        <w:ind w:left="6480" w:hanging="360"/>
      </w:pPr>
      <w:rPr>
        <w:rFonts w:ascii="Wingdings" w:hAnsi="Wingdings" w:hint="default"/>
      </w:rPr>
    </w:lvl>
  </w:abstractNum>
  <w:abstractNum w:abstractNumId="115" w15:restartNumberingAfterBreak="0">
    <w:nsid w:val="152AA9D9"/>
    <w:multiLevelType w:val="hybridMultilevel"/>
    <w:tmpl w:val="D1D0C3A4"/>
    <w:lvl w:ilvl="0" w:tplc="03A8B826">
      <w:start w:val="1"/>
      <w:numFmt w:val="bullet"/>
      <w:lvlText w:val="·"/>
      <w:lvlJc w:val="left"/>
      <w:pPr>
        <w:ind w:left="720" w:hanging="360"/>
      </w:pPr>
      <w:rPr>
        <w:rFonts w:ascii="Symbol" w:hAnsi="Symbol" w:hint="default"/>
      </w:rPr>
    </w:lvl>
    <w:lvl w:ilvl="1" w:tplc="096837E6">
      <w:start w:val="1"/>
      <w:numFmt w:val="bullet"/>
      <w:lvlText w:val="o"/>
      <w:lvlJc w:val="left"/>
      <w:pPr>
        <w:ind w:left="1440" w:hanging="360"/>
      </w:pPr>
      <w:rPr>
        <w:rFonts w:ascii="Courier New" w:hAnsi="Courier New" w:hint="default"/>
      </w:rPr>
    </w:lvl>
    <w:lvl w:ilvl="2" w:tplc="E4F40EA4">
      <w:start w:val="1"/>
      <w:numFmt w:val="bullet"/>
      <w:lvlText w:val=""/>
      <w:lvlJc w:val="left"/>
      <w:pPr>
        <w:ind w:left="2160" w:hanging="360"/>
      </w:pPr>
      <w:rPr>
        <w:rFonts w:ascii="Wingdings" w:hAnsi="Wingdings" w:hint="default"/>
      </w:rPr>
    </w:lvl>
    <w:lvl w:ilvl="3" w:tplc="1B0ABF3A">
      <w:start w:val="1"/>
      <w:numFmt w:val="bullet"/>
      <w:lvlText w:val=""/>
      <w:lvlJc w:val="left"/>
      <w:pPr>
        <w:ind w:left="2880" w:hanging="360"/>
      </w:pPr>
      <w:rPr>
        <w:rFonts w:ascii="Symbol" w:hAnsi="Symbol" w:hint="default"/>
      </w:rPr>
    </w:lvl>
    <w:lvl w:ilvl="4" w:tplc="CB66A22E">
      <w:start w:val="1"/>
      <w:numFmt w:val="bullet"/>
      <w:lvlText w:val="o"/>
      <w:lvlJc w:val="left"/>
      <w:pPr>
        <w:ind w:left="3600" w:hanging="360"/>
      </w:pPr>
      <w:rPr>
        <w:rFonts w:ascii="Courier New" w:hAnsi="Courier New" w:hint="default"/>
      </w:rPr>
    </w:lvl>
    <w:lvl w:ilvl="5" w:tplc="3BB63602">
      <w:start w:val="1"/>
      <w:numFmt w:val="bullet"/>
      <w:lvlText w:val=""/>
      <w:lvlJc w:val="left"/>
      <w:pPr>
        <w:ind w:left="4320" w:hanging="360"/>
      </w:pPr>
      <w:rPr>
        <w:rFonts w:ascii="Wingdings" w:hAnsi="Wingdings" w:hint="default"/>
      </w:rPr>
    </w:lvl>
    <w:lvl w:ilvl="6" w:tplc="48F2BF54">
      <w:start w:val="1"/>
      <w:numFmt w:val="bullet"/>
      <w:lvlText w:val=""/>
      <w:lvlJc w:val="left"/>
      <w:pPr>
        <w:ind w:left="5040" w:hanging="360"/>
      </w:pPr>
      <w:rPr>
        <w:rFonts w:ascii="Symbol" w:hAnsi="Symbol" w:hint="default"/>
      </w:rPr>
    </w:lvl>
    <w:lvl w:ilvl="7" w:tplc="B35EA6D6">
      <w:start w:val="1"/>
      <w:numFmt w:val="bullet"/>
      <w:lvlText w:val="o"/>
      <w:lvlJc w:val="left"/>
      <w:pPr>
        <w:ind w:left="5760" w:hanging="360"/>
      </w:pPr>
      <w:rPr>
        <w:rFonts w:ascii="Courier New" w:hAnsi="Courier New" w:hint="default"/>
      </w:rPr>
    </w:lvl>
    <w:lvl w:ilvl="8" w:tplc="E632B5D2">
      <w:start w:val="1"/>
      <w:numFmt w:val="bullet"/>
      <w:lvlText w:val=""/>
      <w:lvlJc w:val="left"/>
      <w:pPr>
        <w:ind w:left="6480" w:hanging="360"/>
      </w:pPr>
      <w:rPr>
        <w:rFonts w:ascii="Wingdings" w:hAnsi="Wingdings" w:hint="default"/>
      </w:rPr>
    </w:lvl>
  </w:abstractNum>
  <w:abstractNum w:abstractNumId="116" w15:restartNumberingAfterBreak="0">
    <w:nsid w:val="15592D7B"/>
    <w:multiLevelType w:val="hybridMultilevel"/>
    <w:tmpl w:val="157A68F4"/>
    <w:lvl w:ilvl="0" w:tplc="D7C08560">
      <w:start w:val="1"/>
      <w:numFmt w:val="bullet"/>
      <w:lvlText w:val=""/>
      <w:lvlJc w:val="left"/>
      <w:pPr>
        <w:ind w:left="720" w:hanging="360"/>
      </w:pPr>
      <w:rPr>
        <w:rFonts w:ascii="Symbol" w:hAnsi="Symbol" w:hint="default"/>
      </w:rPr>
    </w:lvl>
    <w:lvl w:ilvl="1" w:tplc="3CA61042" w:tentative="1">
      <w:start w:val="1"/>
      <w:numFmt w:val="bullet"/>
      <w:lvlText w:val="o"/>
      <w:lvlJc w:val="left"/>
      <w:pPr>
        <w:ind w:left="1440" w:hanging="360"/>
      </w:pPr>
      <w:rPr>
        <w:rFonts w:ascii="Courier New" w:hAnsi="Courier New" w:hint="default"/>
      </w:rPr>
    </w:lvl>
    <w:lvl w:ilvl="2" w:tplc="F1AA98F6" w:tentative="1">
      <w:start w:val="1"/>
      <w:numFmt w:val="bullet"/>
      <w:lvlText w:val=""/>
      <w:lvlJc w:val="left"/>
      <w:pPr>
        <w:ind w:left="2160" w:hanging="360"/>
      </w:pPr>
      <w:rPr>
        <w:rFonts w:ascii="Wingdings" w:hAnsi="Wingdings" w:hint="default"/>
      </w:rPr>
    </w:lvl>
    <w:lvl w:ilvl="3" w:tplc="B2FE3570" w:tentative="1">
      <w:start w:val="1"/>
      <w:numFmt w:val="bullet"/>
      <w:lvlText w:val=""/>
      <w:lvlJc w:val="left"/>
      <w:pPr>
        <w:ind w:left="2880" w:hanging="360"/>
      </w:pPr>
      <w:rPr>
        <w:rFonts w:ascii="Symbol" w:hAnsi="Symbol" w:hint="default"/>
      </w:rPr>
    </w:lvl>
    <w:lvl w:ilvl="4" w:tplc="5E1CEEB6" w:tentative="1">
      <w:start w:val="1"/>
      <w:numFmt w:val="bullet"/>
      <w:lvlText w:val="o"/>
      <w:lvlJc w:val="left"/>
      <w:pPr>
        <w:ind w:left="3600" w:hanging="360"/>
      </w:pPr>
      <w:rPr>
        <w:rFonts w:ascii="Courier New" w:hAnsi="Courier New" w:hint="default"/>
      </w:rPr>
    </w:lvl>
    <w:lvl w:ilvl="5" w:tplc="47087892" w:tentative="1">
      <w:start w:val="1"/>
      <w:numFmt w:val="bullet"/>
      <w:lvlText w:val=""/>
      <w:lvlJc w:val="left"/>
      <w:pPr>
        <w:ind w:left="4320" w:hanging="360"/>
      </w:pPr>
      <w:rPr>
        <w:rFonts w:ascii="Wingdings" w:hAnsi="Wingdings" w:hint="default"/>
      </w:rPr>
    </w:lvl>
    <w:lvl w:ilvl="6" w:tplc="E2324B44" w:tentative="1">
      <w:start w:val="1"/>
      <w:numFmt w:val="bullet"/>
      <w:lvlText w:val=""/>
      <w:lvlJc w:val="left"/>
      <w:pPr>
        <w:ind w:left="5040" w:hanging="360"/>
      </w:pPr>
      <w:rPr>
        <w:rFonts w:ascii="Symbol" w:hAnsi="Symbol" w:hint="default"/>
      </w:rPr>
    </w:lvl>
    <w:lvl w:ilvl="7" w:tplc="CFBA9500" w:tentative="1">
      <w:start w:val="1"/>
      <w:numFmt w:val="bullet"/>
      <w:lvlText w:val="o"/>
      <w:lvlJc w:val="left"/>
      <w:pPr>
        <w:ind w:left="5760" w:hanging="360"/>
      </w:pPr>
      <w:rPr>
        <w:rFonts w:ascii="Courier New" w:hAnsi="Courier New" w:hint="default"/>
      </w:rPr>
    </w:lvl>
    <w:lvl w:ilvl="8" w:tplc="A05A3B92" w:tentative="1">
      <w:start w:val="1"/>
      <w:numFmt w:val="bullet"/>
      <w:lvlText w:val=""/>
      <w:lvlJc w:val="left"/>
      <w:pPr>
        <w:ind w:left="6480" w:hanging="360"/>
      </w:pPr>
      <w:rPr>
        <w:rFonts w:ascii="Wingdings" w:hAnsi="Wingdings" w:hint="default"/>
      </w:rPr>
    </w:lvl>
  </w:abstractNum>
  <w:abstractNum w:abstractNumId="117" w15:restartNumberingAfterBreak="0">
    <w:nsid w:val="15AE5999"/>
    <w:multiLevelType w:val="hybridMultilevel"/>
    <w:tmpl w:val="0914A102"/>
    <w:lvl w:ilvl="0" w:tplc="1214EB4E">
      <w:start w:val="1"/>
      <w:numFmt w:val="bullet"/>
      <w:lvlText w:val="·"/>
      <w:lvlJc w:val="left"/>
      <w:pPr>
        <w:ind w:left="720" w:hanging="360"/>
      </w:pPr>
      <w:rPr>
        <w:rFonts w:ascii="Symbol" w:hAnsi="Symbol" w:hint="default"/>
      </w:rPr>
    </w:lvl>
    <w:lvl w:ilvl="1" w:tplc="AE7E878E" w:tentative="1">
      <w:start w:val="1"/>
      <w:numFmt w:val="bullet"/>
      <w:lvlText w:val="o"/>
      <w:lvlJc w:val="left"/>
      <w:pPr>
        <w:ind w:left="1440" w:hanging="360"/>
      </w:pPr>
      <w:rPr>
        <w:rFonts w:ascii="Courier New" w:hAnsi="Courier New" w:hint="default"/>
      </w:rPr>
    </w:lvl>
    <w:lvl w:ilvl="2" w:tplc="D402CB7C" w:tentative="1">
      <w:start w:val="1"/>
      <w:numFmt w:val="bullet"/>
      <w:lvlText w:val=""/>
      <w:lvlJc w:val="left"/>
      <w:pPr>
        <w:ind w:left="2160" w:hanging="360"/>
      </w:pPr>
      <w:rPr>
        <w:rFonts w:ascii="Wingdings" w:hAnsi="Wingdings" w:hint="default"/>
      </w:rPr>
    </w:lvl>
    <w:lvl w:ilvl="3" w:tplc="F36E8E78" w:tentative="1">
      <w:start w:val="1"/>
      <w:numFmt w:val="bullet"/>
      <w:lvlText w:val=""/>
      <w:lvlJc w:val="left"/>
      <w:pPr>
        <w:ind w:left="2880" w:hanging="360"/>
      </w:pPr>
      <w:rPr>
        <w:rFonts w:ascii="Symbol" w:hAnsi="Symbol" w:hint="default"/>
      </w:rPr>
    </w:lvl>
    <w:lvl w:ilvl="4" w:tplc="1D28D148" w:tentative="1">
      <w:start w:val="1"/>
      <w:numFmt w:val="bullet"/>
      <w:lvlText w:val="o"/>
      <w:lvlJc w:val="left"/>
      <w:pPr>
        <w:ind w:left="3600" w:hanging="360"/>
      </w:pPr>
      <w:rPr>
        <w:rFonts w:ascii="Courier New" w:hAnsi="Courier New" w:hint="default"/>
      </w:rPr>
    </w:lvl>
    <w:lvl w:ilvl="5" w:tplc="60F29418" w:tentative="1">
      <w:start w:val="1"/>
      <w:numFmt w:val="bullet"/>
      <w:lvlText w:val=""/>
      <w:lvlJc w:val="left"/>
      <w:pPr>
        <w:ind w:left="4320" w:hanging="360"/>
      </w:pPr>
      <w:rPr>
        <w:rFonts w:ascii="Wingdings" w:hAnsi="Wingdings" w:hint="default"/>
      </w:rPr>
    </w:lvl>
    <w:lvl w:ilvl="6" w:tplc="074070DC" w:tentative="1">
      <w:start w:val="1"/>
      <w:numFmt w:val="bullet"/>
      <w:lvlText w:val=""/>
      <w:lvlJc w:val="left"/>
      <w:pPr>
        <w:ind w:left="5040" w:hanging="360"/>
      </w:pPr>
      <w:rPr>
        <w:rFonts w:ascii="Symbol" w:hAnsi="Symbol" w:hint="default"/>
      </w:rPr>
    </w:lvl>
    <w:lvl w:ilvl="7" w:tplc="2ED4D562" w:tentative="1">
      <w:start w:val="1"/>
      <w:numFmt w:val="bullet"/>
      <w:lvlText w:val="o"/>
      <w:lvlJc w:val="left"/>
      <w:pPr>
        <w:ind w:left="5760" w:hanging="360"/>
      </w:pPr>
      <w:rPr>
        <w:rFonts w:ascii="Courier New" w:hAnsi="Courier New" w:hint="default"/>
      </w:rPr>
    </w:lvl>
    <w:lvl w:ilvl="8" w:tplc="995ABF56" w:tentative="1">
      <w:start w:val="1"/>
      <w:numFmt w:val="bullet"/>
      <w:lvlText w:val=""/>
      <w:lvlJc w:val="left"/>
      <w:pPr>
        <w:ind w:left="6480" w:hanging="360"/>
      </w:pPr>
      <w:rPr>
        <w:rFonts w:ascii="Wingdings" w:hAnsi="Wingdings" w:hint="default"/>
      </w:rPr>
    </w:lvl>
  </w:abstractNum>
  <w:abstractNum w:abstractNumId="118" w15:restartNumberingAfterBreak="0">
    <w:nsid w:val="16020B2B"/>
    <w:multiLevelType w:val="multilevel"/>
    <w:tmpl w:val="22A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60C7728"/>
    <w:multiLevelType w:val="hybridMultilevel"/>
    <w:tmpl w:val="18C20C88"/>
    <w:lvl w:ilvl="0" w:tplc="54221AF0">
      <w:start w:val="58"/>
      <w:numFmt w:val="bullet"/>
      <w:lvlText w:val="-"/>
      <w:lvlJc w:val="left"/>
      <w:pPr>
        <w:ind w:left="720" w:hanging="360"/>
      </w:pPr>
      <w:rPr>
        <w:rFonts w:ascii="Arial" w:hAnsi="Arial" w:hint="default"/>
        <w:b w:val="0"/>
      </w:rPr>
    </w:lvl>
    <w:lvl w:ilvl="1" w:tplc="AB2C5B3E" w:tentative="1">
      <w:start w:val="1"/>
      <w:numFmt w:val="bullet"/>
      <w:lvlText w:val="o"/>
      <w:lvlJc w:val="left"/>
      <w:pPr>
        <w:ind w:left="1440" w:hanging="360"/>
      </w:pPr>
      <w:rPr>
        <w:rFonts w:ascii="Courier New" w:hAnsi="Courier New" w:hint="default"/>
      </w:rPr>
    </w:lvl>
    <w:lvl w:ilvl="2" w:tplc="D45A0F9E" w:tentative="1">
      <w:start w:val="1"/>
      <w:numFmt w:val="bullet"/>
      <w:lvlText w:val=""/>
      <w:lvlJc w:val="left"/>
      <w:pPr>
        <w:ind w:left="2160" w:hanging="360"/>
      </w:pPr>
      <w:rPr>
        <w:rFonts w:ascii="Wingdings" w:hAnsi="Wingdings" w:hint="default"/>
      </w:rPr>
    </w:lvl>
    <w:lvl w:ilvl="3" w:tplc="92A4109A" w:tentative="1">
      <w:start w:val="1"/>
      <w:numFmt w:val="bullet"/>
      <w:lvlText w:val=""/>
      <w:lvlJc w:val="left"/>
      <w:pPr>
        <w:ind w:left="2880" w:hanging="360"/>
      </w:pPr>
      <w:rPr>
        <w:rFonts w:ascii="Symbol" w:hAnsi="Symbol" w:hint="default"/>
      </w:rPr>
    </w:lvl>
    <w:lvl w:ilvl="4" w:tplc="6918258A" w:tentative="1">
      <w:start w:val="1"/>
      <w:numFmt w:val="bullet"/>
      <w:lvlText w:val="o"/>
      <w:lvlJc w:val="left"/>
      <w:pPr>
        <w:ind w:left="3600" w:hanging="360"/>
      </w:pPr>
      <w:rPr>
        <w:rFonts w:ascii="Courier New" w:hAnsi="Courier New" w:hint="default"/>
      </w:rPr>
    </w:lvl>
    <w:lvl w:ilvl="5" w:tplc="AB7082A0" w:tentative="1">
      <w:start w:val="1"/>
      <w:numFmt w:val="bullet"/>
      <w:lvlText w:val=""/>
      <w:lvlJc w:val="left"/>
      <w:pPr>
        <w:ind w:left="4320" w:hanging="360"/>
      </w:pPr>
      <w:rPr>
        <w:rFonts w:ascii="Wingdings" w:hAnsi="Wingdings" w:hint="default"/>
      </w:rPr>
    </w:lvl>
    <w:lvl w:ilvl="6" w:tplc="A0DA7B12" w:tentative="1">
      <w:start w:val="1"/>
      <w:numFmt w:val="bullet"/>
      <w:lvlText w:val=""/>
      <w:lvlJc w:val="left"/>
      <w:pPr>
        <w:ind w:left="5040" w:hanging="360"/>
      </w:pPr>
      <w:rPr>
        <w:rFonts w:ascii="Symbol" w:hAnsi="Symbol" w:hint="default"/>
      </w:rPr>
    </w:lvl>
    <w:lvl w:ilvl="7" w:tplc="07F807BC" w:tentative="1">
      <w:start w:val="1"/>
      <w:numFmt w:val="bullet"/>
      <w:lvlText w:val="o"/>
      <w:lvlJc w:val="left"/>
      <w:pPr>
        <w:ind w:left="5760" w:hanging="360"/>
      </w:pPr>
      <w:rPr>
        <w:rFonts w:ascii="Courier New" w:hAnsi="Courier New" w:hint="default"/>
      </w:rPr>
    </w:lvl>
    <w:lvl w:ilvl="8" w:tplc="F5D807A4" w:tentative="1">
      <w:start w:val="1"/>
      <w:numFmt w:val="bullet"/>
      <w:lvlText w:val=""/>
      <w:lvlJc w:val="left"/>
      <w:pPr>
        <w:ind w:left="6480" w:hanging="360"/>
      </w:pPr>
      <w:rPr>
        <w:rFonts w:ascii="Wingdings" w:hAnsi="Wingdings" w:hint="default"/>
      </w:rPr>
    </w:lvl>
  </w:abstractNum>
  <w:abstractNum w:abstractNumId="120" w15:restartNumberingAfterBreak="0">
    <w:nsid w:val="1706E2CE"/>
    <w:multiLevelType w:val="hybridMultilevel"/>
    <w:tmpl w:val="FFFFFFFF"/>
    <w:lvl w:ilvl="0" w:tplc="D67C0B7C">
      <w:start w:val="1"/>
      <w:numFmt w:val="bullet"/>
      <w:lvlText w:val=""/>
      <w:lvlJc w:val="left"/>
      <w:pPr>
        <w:ind w:left="720" w:hanging="360"/>
      </w:pPr>
      <w:rPr>
        <w:rFonts w:ascii="Symbol" w:hAnsi="Symbol" w:hint="default"/>
      </w:rPr>
    </w:lvl>
    <w:lvl w:ilvl="1" w:tplc="DF6836D6">
      <w:start w:val="1"/>
      <w:numFmt w:val="bullet"/>
      <w:lvlText w:val="o"/>
      <w:lvlJc w:val="left"/>
      <w:pPr>
        <w:ind w:left="1440" w:hanging="360"/>
      </w:pPr>
      <w:rPr>
        <w:rFonts w:ascii="Courier New" w:hAnsi="Courier New" w:cs="Times New Roman" w:hint="default"/>
      </w:rPr>
    </w:lvl>
    <w:lvl w:ilvl="2" w:tplc="0004D3D8">
      <w:start w:val="1"/>
      <w:numFmt w:val="bullet"/>
      <w:lvlText w:val=""/>
      <w:lvlJc w:val="left"/>
      <w:pPr>
        <w:ind w:left="2160" w:hanging="360"/>
      </w:pPr>
      <w:rPr>
        <w:rFonts w:ascii="Wingdings" w:hAnsi="Wingdings" w:hint="default"/>
      </w:rPr>
    </w:lvl>
    <w:lvl w:ilvl="3" w:tplc="A96C2606">
      <w:start w:val="1"/>
      <w:numFmt w:val="bullet"/>
      <w:lvlText w:val=""/>
      <w:lvlJc w:val="left"/>
      <w:pPr>
        <w:ind w:left="2880" w:hanging="360"/>
      </w:pPr>
      <w:rPr>
        <w:rFonts w:ascii="Symbol" w:hAnsi="Symbol" w:hint="default"/>
      </w:rPr>
    </w:lvl>
    <w:lvl w:ilvl="4" w:tplc="414C669A">
      <w:start w:val="1"/>
      <w:numFmt w:val="bullet"/>
      <w:lvlText w:val="o"/>
      <w:lvlJc w:val="left"/>
      <w:pPr>
        <w:ind w:left="3600" w:hanging="360"/>
      </w:pPr>
      <w:rPr>
        <w:rFonts w:ascii="Courier New" w:hAnsi="Courier New" w:cs="Times New Roman" w:hint="default"/>
      </w:rPr>
    </w:lvl>
    <w:lvl w:ilvl="5" w:tplc="B9D48194">
      <w:start w:val="1"/>
      <w:numFmt w:val="bullet"/>
      <w:lvlText w:val=""/>
      <w:lvlJc w:val="left"/>
      <w:pPr>
        <w:ind w:left="4320" w:hanging="360"/>
      </w:pPr>
      <w:rPr>
        <w:rFonts w:ascii="Wingdings" w:hAnsi="Wingdings" w:hint="default"/>
      </w:rPr>
    </w:lvl>
    <w:lvl w:ilvl="6" w:tplc="81EA6CB6">
      <w:start w:val="1"/>
      <w:numFmt w:val="bullet"/>
      <w:lvlText w:val=""/>
      <w:lvlJc w:val="left"/>
      <w:pPr>
        <w:ind w:left="5040" w:hanging="360"/>
      </w:pPr>
      <w:rPr>
        <w:rFonts w:ascii="Symbol" w:hAnsi="Symbol" w:hint="default"/>
      </w:rPr>
    </w:lvl>
    <w:lvl w:ilvl="7" w:tplc="EF4495DC">
      <w:start w:val="1"/>
      <w:numFmt w:val="bullet"/>
      <w:lvlText w:val="o"/>
      <w:lvlJc w:val="left"/>
      <w:pPr>
        <w:ind w:left="5760" w:hanging="360"/>
      </w:pPr>
      <w:rPr>
        <w:rFonts w:ascii="Courier New" w:hAnsi="Courier New" w:cs="Times New Roman" w:hint="default"/>
      </w:rPr>
    </w:lvl>
    <w:lvl w:ilvl="8" w:tplc="B30EB302">
      <w:start w:val="1"/>
      <w:numFmt w:val="bullet"/>
      <w:lvlText w:val=""/>
      <w:lvlJc w:val="left"/>
      <w:pPr>
        <w:ind w:left="6480" w:hanging="360"/>
      </w:pPr>
      <w:rPr>
        <w:rFonts w:ascii="Wingdings" w:hAnsi="Wingdings" w:hint="default"/>
      </w:rPr>
    </w:lvl>
  </w:abstractNum>
  <w:abstractNum w:abstractNumId="121" w15:restartNumberingAfterBreak="0">
    <w:nsid w:val="171C3E36"/>
    <w:multiLevelType w:val="hybridMultilevel"/>
    <w:tmpl w:val="99FCC4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17677378"/>
    <w:multiLevelType w:val="multilevel"/>
    <w:tmpl w:val="3044E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78B64B3"/>
    <w:multiLevelType w:val="multilevel"/>
    <w:tmpl w:val="E2A6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065F91"/>
    <w:multiLevelType w:val="multilevel"/>
    <w:tmpl w:val="FC2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82E624B"/>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6" w15:restartNumberingAfterBreak="0">
    <w:nsid w:val="18594E5F"/>
    <w:multiLevelType w:val="hybridMultilevel"/>
    <w:tmpl w:val="D4EE4B2A"/>
    <w:lvl w:ilvl="0" w:tplc="37FC4232">
      <w:start w:val="1"/>
      <w:numFmt w:val="bullet"/>
      <w:lvlText w:val=""/>
      <w:lvlJc w:val="left"/>
      <w:pPr>
        <w:ind w:left="720" w:hanging="360"/>
      </w:pPr>
      <w:rPr>
        <w:rFonts w:ascii="Symbol" w:hAnsi="Symbol" w:hint="default"/>
      </w:rPr>
    </w:lvl>
    <w:lvl w:ilvl="1" w:tplc="EA7405FA">
      <w:numFmt w:val="bullet"/>
      <w:lvlText w:val="•"/>
      <w:lvlJc w:val="left"/>
      <w:pPr>
        <w:ind w:left="1440" w:hanging="360"/>
      </w:pPr>
      <w:rPr>
        <w:rFonts w:ascii="Aptos" w:hAnsi="Aptos" w:hint="default"/>
      </w:rPr>
    </w:lvl>
    <w:lvl w:ilvl="2" w:tplc="AD96E4F0" w:tentative="1">
      <w:start w:val="1"/>
      <w:numFmt w:val="bullet"/>
      <w:lvlText w:val=""/>
      <w:lvlJc w:val="left"/>
      <w:pPr>
        <w:ind w:left="2160" w:hanging="360"/>
      </w:pPr>
      <w:rPr>
        <w:rFonts w:ascii="Wingdings" w:hAnsi="Wingdings" w:hint="default"/>
      </w:rPr>
    </w:lvl>
    <w:lvl w:ilvl="3" w:tplc="61FEC1E6" w:tentative="1">
      <w:start w:val="1"/>
      <w:numFmt w:val="bullet"/>
      <w:lvlText w:val=""/>
      <w:lvlJc w:val="left"/>
      <w:pPr>
        <w:ind w:left="2880" w:hanging="360"/>
      </w:pPr>
      <w:rPr>
        <w:rFonts w:ascii="Symbol" w:hAnsi="Symbol" w:hint="default"/>
      </w:rPr>
    </w:lvl>
    <w:lvl w:ilvl="4" w:tplc="2794D286" w:tentative="1">
      <w:start w:val="1"/>
      <w:numFmt w:val="bullet"/>
      <w:lvlText w:val="o"/>
      <w:lvlJc w:val="left"/>
      <w:pPr>
        <w:ind w:left="3600" w:hanging="360"/>
      </w:pPr>
      <w:rPr>
        <w:rFonts w:ascii="Courier New" w:hAnsi="Courier New" w:hint="default"/>
      </w:rPr>
    </w:lvl>
    <w:lvl w:ilvl="5" w:tplc="F2F2E0AE" w:tentative="1">
      <w:start w:val="1"/>
      <w:numFmt w:val="bullet"/>
      <w:lvlText w:val=""/>
      <w:lvlJc w:val="left"/>
      <w:pPr>
        <w:ind w:left="4320" w:hanging="360"/>
      </w:pPr>
      <w:rPr>
        <w:rFonts w:ascii="Wingdings" w:hAnsi="Wingdings" w:hint="default"/>
      </w:rPr>
    </w:lvl>
    <w:lvl w:ilvl="6" w:tplc="0A1E8EDC" w:tentative="1">
      <w:start w:val="1"/>
      <w:numFmt w:val="bullet"/>
      <w:lvlText w:val=""/>
      <w:lvlJc w:val="left"/>
      <w:pPr>
        <w:ind w:left="5040" w:hanging="360"/>
      </w:pPr>
      <w:rPr>
        <w:rFonts w:ascii="Symbol" w:hAnsi="Symbol" w:hint="default"/>
      </w:rPr>
    </w:lvl>
    <w:lvl w:ilvl="7" w:tplc="147670D6" w:tentative="1">
      <w:start w:val="1"/>
      <w:numFmt w:val="bullet"/>
      <w:lvlText w:val="o"/>
      <w:lvlJc w:val="left"/>
      <w:pPr>
        <w:ind w:left="5760" w:hanging="360"/>
      </w:pPr>
      <w:rPr>
        <w:rFonts w:ascii="Courier New" w:hAnsi="Courier New" w:hint="default"/>
      </w:rPr>
    </w:lvl>
    <w:lvl w:ilvl="8" w:tplc="332C82E8" w:tentative="1">
      <w:start w:val="1"/>
      <w:numFmt w:val="bullet"/>
      <w:lvlText w:val=""/>
      <w:lvlJc w:val="left"/>
      <w:pPr>
        <w:ind w:left="6480" w:hanging="360"/>
      </w:pPr>
      <w:rPr>
        <w:rFonts w:ascii="Wingdings" w:hAnsi="Wingdings" w:hint="default"/>
      </w:rPr>
    </w:lvl>
  </w:abstractNum>
  <w:abstractNum w:abstractNumId="127" w15:restartNumberingAfterBreak="0">
    <w:nsid w:val="187A35CB"/>
    <w:multiLevelType w:val="multilevel"/>
    <w:tmpl w:val="8F5C51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87A39EE"/>
    <w:multiLevelType w:val="hybridMultilevel"/>
    <w:tmpl w:val="EF3C9328"/>
    <w:lvl w:ilvl="0" w:tplc="A7FE6802">
      <w:start w:val="1"/>
      <w:numFmt w:val="bullet"/>
      <w:lvlText w:val=""/>
      <w:lvlJc w:val="left"/>
      <w:pPr>
        <w:ind w:left="720" w:hanging="360"/>
      </w:pPr>
      <w:rPr>
        <w:rFonts w:ascii="Symbol" w:hAnsi="Symbol" w:hint="default"/>
      </w:rPr>
    </w:lvl>
    <w:lvl w:ilvl="1" w:tplc="8A00AAC8" w:tentative="1">
      <w:start w:val="1"/>
      <w:numFmt w:val="bullet"/>
      <w:lvlText w:val="o"/>
      <w:lvlJc w:val="left"/>
      <w:pPr>
        <w:ind w:left="1440" w:hanging="360"/>
      </w:pPr>
      <w:rPr>
        <w:rFonts w:ascii="Courier New" w:hAnsi="Courier New" w:hint="default"/>
      </w:rPr>
    </w:lvl>
    <w:lvl w:ilvl="2" w:tplc="6BDE80DE" w:tentative="1">
      <w:start w:val="1"/>
      <w:numFmt w:val="bullet"/>
      <w:lvlText w:val=""/>
      <w:lvlJc w:val="left"/>
      <w:pPr>
        <w:ind w:left="2160" w:hanging="360"/>
      </w:pPr>
      <w:rPr>
        <w:rFonts w:ascii="Wingdings" w:hAnsi="Wingdings" w:hint="default"/>
      </w:rPr>
    </w:lvl>
    <w:lvl w:ilvl="3" w:tplc="6DB88F70" w:tentative="1">
      <w:start w:val="1"/>
      <w:numFmt w:val="bullet"/>
      <w:lvlText w:val=""/>
      <w:lvlJc w:val="left"/>
      <w:pPr>
        <w:ind w:left="2880" w:hanging="360"/>
      </w:pPr>
      <w:rPr>
        <w:rFonts w:ascii="Symbol" w:hAnsi="Symbol" w:hint="default"/>
      </w:rPr>
    </w:lvl>
    <w:lvl w:ilvl="4" w:tplc="1F3C9CDA" w:tentative="1">
      <w:start w:val="1"/>
      <w:numFmt w:val="bullet"/>
      <w:lvlText w:val="o"/>
      <w:lvlJc w:val="left"/>
      <w:pPr>
        <w:ind w:left="3600" w:hanging="360"/>
      </w:pPr>
      <w:rPr>
        <w:rFonts w:ascii="Courier New" w:hAnsi="Courier New" w:hint="default"/>
      </w:rPr>
    </w:lvl>
    <w:lvl w:ilvl="5" w:tplc="E512A9B6" w:tentative="1">
      <w:start w:val="1"/>
      <w:numFmt w:val="bullet"/>
      <w:lvlText w:val=""/>
      <w:lvlJc w:val="left"/>
      <w:pPr>
        <w:ind w:left="4320" w:hanging="360"/>
      </w:pPr>
      <w:rPr>
        <w:rFonts w:ascii="Wingdings" w:hAnsi="Wingdings" w:hint="default"/>
      </w:rPr>
    </w:lvl>
    <w:lvl w:ilvl="6" w:tplc="32E26A04" w:tentative="1">
      <w:start w:val="1"/>
      <w:numFmt w:val="bullet"/>
      <w:lvlText w:val=""/>
      <w:lvlJc w:val="left"/>
      <w:pPr>
        <w:ind w:left="5040" w:hanging="360"/>
      </w:pPr>
      <w:rPr>
        <w:rFonts w:ascii="Symbol" w:hAnsi="Symbol" w:hint="default"/>
      </w:rPr>
    </w:lvl>
    <w:lvl w:ilvl="7" w:tplc="8EC83632" w:tentative="1">
      <w:start w:val="1"/>
      <w:numFmt w:val="bullet"/>
      <w:lvlText w:val="o"/>
      <w:lvlJc w:val="left"/>
      <w:pPr>
        <w:ind w:left="5760" w:hanging="360"/>
      </w:pPr>
      <w:rPr>
        <w:rFonts w:ascii="Courier New" w:hAnsi="Courier New" w:hint="default"/>
      </w:rPr>
    </w:lvl>
    <w:lvl w:ilvl="8" w:tplc="AD38E5BA" w:tentative="1">
      <w:start w:val="1"/>
      <w:numFmt w:val="bullet"/>
      <w:lvlText w:val=""/>
      <w:lvlJc w:val="left"/>
      <w:pPr>
        <w:ind w:left="6480" w:hanging="360"/>
      </w:pPr>
      <w:rPr>
        <w:rFonts w:ascii="Wingdings" w:hAnsi="Wingdings" w:hint="default"/>
      </w:rPr>
    </w:lvl>
  </w:abstractNum>
  <w:abstractNum w:abstractNumId="129" w15:restartNumberingAfterBreak="0">
    <w:nsid w:val="1889658E"/>
    <w:multiLevelType w:val="multilevel"/>
    <w:tmpl w:val="AB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8924AAF"/>
    <w:multiLevelType w:val="hybridMultilevel"/>
    <w:tmpl w:val="E02EE3F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31" w15:restartNumberingAfterBreak="0">
    <w:nsid w:val="19365926"/>
    <w:multiLevelType w:val="multilevel"/>
    <w:tmpl w:val="C2D0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9592599"/>
    <w:multiLevelType w:val="hybridMultilevel"/>
    <w:tmpl w:val="42A66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19993CF8"/>
    <w:multiLevelType w:val="multilevel"/>
    <w:tmpl w:val="71DC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A0A37DD"/>
    <w:multiLevelType w:val="hybridMultilevel"/>
    <w:tmpl w:val="FFFFFFFF"/>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Times New Roman"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Times New Roman"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Times New Roman" w:hint="default"/>
      </w:rPr>
    </w:lvl>
    <w:lvl w:ilvl="8" w:tplc="0C090005">
      <w:start w:val="1"/>
      <w:numFmt w:val="bullet"/>
      <w:lvlText w:val=""/>
      <w:lvlJc w:val="left"/>
      <w:pPr>
        <w:ind w:left="6971" w:hanging="360"/>
      </w:pPr>
      <w:rPr>
        <w:rFonts w:ascii="Wingdings" w:hAnsi="Wingdings" w:hint="default"/>
      </w:rPr>
    </w:lvl>
  </w:abstractNum>
  <w:abstractNum w:abstractNumId="135" w15:restartNumberingAfterBreak="0">
    <w:nsid w:val="1A156692"/>
    <w:multiLevelType w:val="hybridMultilevel"/>
    <w:tmpl w:val="FFFFFFFF"/>
    <w:lvl w:ilvl="0" w:tplc="54C69AA4">
      <w:start w:val="1"/>
      <w:numFmt w:val="bullet"/>
      <w:lvlText w:val=""/>
      <w:lvlJc w:val="left"/>
      <w:pPr>
        <w:ind w:left="1080" w:hanging="360"/>
      </w:pPr>
      <w:rPr>
        <w:rFonts w:ascii="Symbol" w:hAnsi="Symbol" w:hint="default"/>
      </w:rPr>
    </w:lvl>
    <w:lvl w:ilvl="1" w:tplc="14101B26">
      <w:start w:val="1"/>
      <w:numFmt w:val="bullet"/>
      <w:lvlText w:val="o"/>
      <w:lvlJc w:val="left"/>
      <w:pPr>
        <w:ind w:left="1800" w:hanging="360"/>
      </w:pPr>
      <w:rPr>
        <w:rFonts w:ascii="Courier New" w:hAnsi="Courier New" w:hint="default"/>
      </w:rPr>
    </w:lvl>
    <w:lvl w:ilvl="2" w:tplc="EE28272C">
      <w:start w:val="1"/>
      <w:numFmt w:val="bullet"/>
      <w:lvlText w:val=""/>
      <w:lvlJc w:val="left"/>
      <w:pPr>
        <w:ind w:left="2520" w:hanging="360"/>
      </w:pPr>
      <w:rPr>
        <w:rFonts w:ascii="Wingdings" w:hAnsi="Wingdings" w:hint="default"/>
      </w:rPr>
    </w:lvl>
    <w:lvl w:ilvl="3" w:tplc="41C44FFA">
      <w:start w:val="1"/>
      <w:numFmt w:val="bullet"/>
      <w:lvlText w:val=""/>
      <w:lvlJc w:val="left"/>
      <w:pPr>
        <w:ind w:left="3240" w:hanging="360"/>
      </w:pPr>
      <w:rPr>
        <w:rFonts w:ascii="Symbol" w:hAnsi="Symbol" w:hint="default"/>
      </w:rPr>
    </w:lvl>
    <w:lvl w:ilvl="4" w:tplc="AD7863EC">
      <w:start w:val="1"/>
      <w:numFmt w:val="bullet"/>
      <w:lvlText w:val="o"/>
      <w:lvlJc w:val="left"/>
      <w:pPr>
        <w:ind w:left="3960" w:hanging="360"/>
      </w:pPr>
      <w:rPr>
        <w:rFonts w:ascii="Courier New" w:hAnsi="Courier New" w:hint="default"/>
      </w:rPr>
    </w:lvl>
    <w:lvl w:ilvl="5" w:tplc="E138C6D6">
      <w:start w:val="1"/>
      <w:numFmt w:val="bullet"/>
      <w:lvlText w:val=""/>
      <w:lvlJc w:val="left"/>
      <w:pPr>
        <w:ind w:left="4680" w:hanging="360"/>
      </w:pPr>
      <w:rPr>
        <w:rFonts w:ascii="Wingdings" w:hAnsi="Wingdings" w:hint="default"/>
      </w:rPr>
    </w:lvl>
    <w:lvl w:ilvl="6" w:tplc="97CAB9BC">
      <w:start w:val="1"/>
      <w:numFmt w:val="bullet"/>
      <w:lvlText w:val=""/>
      <w:lvlJc w:val="left"/>
      <w:pPr>
        <w:ind w:left="5400" w:hanging="360"/>
      </w:pPr>
      <w:rPr>
        <w:rFonts w:ascii="Symbol" w:hAnsi="Symbol" w:hint="default"/>
      </w:rPr>
    </w:lvl>
    <w:lvl w:ilvl="7" w:tplc="105E4076">
      <w:start w:val="1"/>
      <w:numFmt w:val="bullet"/>
      <w:lvlText w:val="o"/>
      <w:lvlJc w:val="left"/>
      <w:pPr>
        <w:ind w:left="6120" w:hanging="360"/>
      </w:pPr>
      <w:rPr>
        <w:rFonts w:ascii="Courier New" w:hAnsi="Courier New" w:hint="default"/>
      </w:rPr>
    </w:lvl>
    <w:lvl w:ilvl="8" w:tplc="83D86DF2">
      <w:start w:val="1"/>
      <w:numFmt w:val="bullet"/>
      <w:lvlText w:val=""/>
      <w:lvlJc w:val="left"/>
      <w:pPr>
        <w:ind w:left="6840" w:hanging="360"/>
      </w:pPr>
      <w:rPr>
        <w:rFonts w:ascii="Wingdings" w:hAnsi="Wingdings" w:hint="default"/>
      </w:rPr>
    </w:lvl>
  </w:abstractNum>
  <w:abstractNum w:abstractNumId="136" w15:restartNumberingAfterBreak="0">
    <w:nsid w:val="1A2F2C06"/>
    <w:multiLevelType w:val="multilevel"/>
    <w:tmpl w:val="3C22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A304D23"/>
    <w:multiLevelType w:val="hybridMultilevel"/>
    <w:tmpl w:val="F524E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8" w15:restartNumberingAfterBreak="0">
    <w:nsid w:val="1A4802F5"/>
    <w:multiLevelType w:val="hybridMultilevel"/>
    <w:tmpl w:val="61267728"/>
    <w:lvl w:ilvl="0" w:tplc="F1E8095C">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39" w15:restartNumberingAfterBreak="0">
    <w:nsid w:val="1A8C2326"/>
    <w:multiLevelType w:val="hybridMultilevel"/>
    <w:tmpl w:val="2B28E2FA"/>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40" w15:restartNumberingAfterBreak="0">
    <w:nsid w:val="1AC23D35"/>
    <w:multiLevelType w:val="multilevel"/>
    <w:tmpl w:val="9E02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AD355AD"/>
    <w:multiLevelType w:val="hybridMultilevel"/>
    <w:tmpl w:val="13F2B1F4"/>
    <w:lvl w:ilvl="0" w:tplc="30E07CDA">
      <w:start w:val="1"/>
      <w:numFmt w:val="bullet"/>
      <w:lvlText w:val=""/>
      <w:lvlJc w:val="left"/>
      <w:pPr>
        <w:ind w:left="818" w:hanging="360"/>
      </w:pPr>
      <w:rPr>
        <w:rFonts w:ascii="Symbol" w:hAnsi="Symbol" w:hint="default"/>
      </w:rPr>
    </w:lvl>
    <w:lvl w:ilvl="1" w:tplc="304641A8" w:tentative="1">
      <w:start w:val="1"/>
      <w:numFmt w:val="bullet"/>
      <w:lvlText w:val="o"/>
      <w:lvlJc w:val="left"/>
      <w:pPr>
        <w:ind w:left="1538" w:hanging="360"/>
      </w:pPr>
      <w:rPr>
        <w:rFonts w:ascii="Courier New" w:hAnsi="Courier New" w:hint="default"/>
      </w:rPr>
    </w:lvl>
    <w:lvl w:ilvl="2" w:tplc="5E486DC0" w:tentative="1">
      <w:start w:val="1"/>
      <w:numFmt w:val="bullet"/>
      <w:lvlText w:val=""/>
      <w:lvlJc w:val="left"/>
      <w:pPr>
        <w:ind w:left="2258" w:hanging="360"/>
      </w:pPr>
      <w:rPr>
        <w:rFonts w:ascii="Wingdings" w:hAnsi="Wingdings" w:hint="default"/>
      </w:rPr>
    </w:lvl>
    <w:lvl w:ilvl="3" w:tplc="E43EE3FA" w:tentative="1">
      <w:start w:val="1"/>
      <w:numFmt w:val="bullet"/>
      <w:lvlText w:val=""/>
      <w:lvlJc w:val="left"/>
      <w:pPr>
        <w:ind w:left="2978" w:hanging="360"/>
      </w:pPr>
      <w:rPr>
        <w:rFonts w:ascii="Symbol" w:hAnsi="Symbol" w:hint="default"/>
      </w:rPr>
    </w:lvl>
    <w:lvl w:ilvl="4" w:tplc="9CA4C12C" w:tentative="1">
      <w:start w:val="1"/>
      <w:numFmt w:val="bullet"/>
      <w:lvlText w:val="o"/>
      <w:lvlJc w:val="left"/>
      <w:pPr>
        <w:ind w:left="3698" w:hanging="360"/>
      </w:pPr>
      <w:rPr>
        <w:rFonts w:ascii="Courier New" w:hAnsi="Courier New" w:hint="default"/>
      </w:rPr>
    </w:lvl>
    <w:lvl w:ilvl="5" w:tplc="5184B8FC" w:tentative="1">
      <w:start w:val="1"/>
      <w:numFmt w:val="bullet"/>
      <w:lvlText w:val=""/>
      <w:lvlJc w:val="left"/>
      <w:pPr>
        <w:ind w:left="4418" w:hanging="360"/>
      </w:pPr>
      <w:rPr>
        <w:rFonts w:ascii="Wingdings" w:hAnsi="Wingdings" w:hint="default"/>
      </w:rPr>
    </w:lvl>
    <w:lvl w:ilvl="6" w:tplc="1B4EFAAC" w:tentative="1">
      <w:start w:val="1"/>
      <w:numFmt w:val="bullet"/>
      <w:lvlText w:val=""/>
      <w:lvlJc w:val="left"/>
      <w:pPr>
        <w:ind w:left="5138" w:hanging="360"/>
      </w:pPr>
      <w:rPr>
        <w:rFonts w:ascii="Symbol" w:hAnsi="Symbol" w:hint="default"/>
      </w:rPr>
    </w:lvl>
    <w:lvl w:ilvl="7" w:tplc="5490B452" w:tentative="1">
      <w:start w:val="1"/>
      <w:numFmt w:val="bullet"/>
      <w:lvlText w:val="o"/>
      <w:lvlJc w:val="left"/>
      <w:pPr>
        <w:ind w:left="5858" w:hanging="360"/>
      </w:pPr>
      <w:rPr>
        <w:rFonts w:ascii="Courier New" w:hAnsi="Courier New" w:hint="default"/>
      </w:rPr>
    </w:lvl>
    <w:lvl w:ilvl="8" w:tplc="4BA2DA58" w:tentative="1">
      <w:start w:val="1"/>
      <w:numFmt w:val="bullet"/>
      <w:lvlText w:val=""/>
      <w:lvlJc w:val="left"/>
      <w:pPr>
        <w:ind w:left="6578" w:hanging="360"/>
      </w:pPr>
      <w:rPr>
        <w:rFonts w:ascii="Wingdings" w:hAnsi="Wingdings" w:hint="default"/>
      </w:rPr>
    </w:lvl>
  </w:abstractNum>
  <w:abstractNum w:abstractNumId="142" w15:restartNumberingAfterBreak="0">
    <w:nsid w:val="1AD478F6"/>
    <w:multiLevelType w:val="hybridMultilevel"/>
    <w:tmpl w:val="99D4CC00"/>
    <w:lvl w:ilvl="0" w:tplc="1F461CC2">
      <w:start w:val="1"/>
      <w:numFmt w:val="bullet"/>
      <w:lvlText w:val=""/>
      <w:lvlJc w:val="left"/>
      <w:pPr>
        <w:ind w:left="720" w:hanging="360"/>
      </w:pPr>
      <w:rPr>
        <w:rFonts w:ascii="Symbol" w:hAnsi="Symbol" w:hint="default"/>
      </w:rPr>
    </w:lvl>
    <w:lvl w:ilvl="1" w:tplc="94DE88E2">
      <w:start w:val="1"/>
      <w:numFmt w:val="bullet"/>
      <w:lvlText w:val="o"/>
      <w:lvlJc w:val="left"/>
      <w:pPr>
        <w:ind w:left="1440" w:hanging="360"/>
      </w:pPr>
      <w:rPr>
        <w:rFonts w:ascii="Courier New" w:hAnsi="Courier New" w:hint="default"/>
      </w:rPr>
    </w:lvl>
    <w:lvl w:ilvl="2" w:tplc="C1BE287C" w:tentative="1">
      <w:start w:val="1"/>
      <w:numFmt w:val="bullet"/>
      <w:lvlText w:val=""/>
      <w:lvlJc w:val="left"/>
      <w:pPr>
        <w:ind w:left="2160" w:hanging="360"/>
      </w:pPr>
      <w:rPr>
        <w:rFonts w:ascii="Wingdings" w:hAnsi="Wingdings" w:hint="default"/>
      </w:rPr>
    </w:lvl>
    <w:lvl w:ilvl="3" w:tplc="88EADA32" w:tentative="1">
      <w:start w:val="1"/>
      <w:numFmt w:val="bullet"/>
      <w:lvlText w:val=""/>
      <w:lvlJc w:val="left"/>
      <w:pPr>
        <w:ind w:left="2880" w:hanging="360"/>
      </w:pPr>
      <w:rPr>
        <w:rFonts w:ascii="Symbol" w:hAnsi="Symbol" w:hint="default"/>
      </w:rPr>
    </w:lvl>
    <w:lvl w:ilvl="4" w:tplc="4D5AFCB4" w:tentative="1">
      <w:start w:val="1"/>
      <w:numFmt w:val="bullet"/>
      <w:lvlText w:val="o"/>
      <w:lvlJc w:val="left"/>
      <w:pPr>
        <w:ind w:left="3600" w:hanging="360"/>
      </w:pPr>
      <w:rPr>
        <w:rFonts w:ascii="Courier New" w:hAnsi="Courier New" w:hint="default"/>
      </w:rPr>
    </w:lvl>
    <w:lvl w:ilvl="5" w:tplc="0AE2E98C" w:tentative="1">
      <w:start w:val="1"/>
      <w:numFmt w:val="bullet"/>
      <w:lvlText w:val=""/>
      <w:lvlJc w:val="left"/>
      <w:pPr>
        <w:ind w:left="4320" w:hanging="360"/>
      </w:pPr>
      <w:rPr>
        <w:rFonts w:ascii="Wingdings" w:hAnsi="Wingdings" w:hint="default"/>
      </w:rPr>
    </w:lvl>
    <w:lvl w:ilvl="6" w:tplc="5D9E11C2" w:tentative="1">
      <w:start w:val="1"/>
      <w:numFmt w:val="bullet"/>
      <w:lvlText w:val=""/>
      <w:lvlJc w:val="left"/>
      <w:pPr>
        <w:ind w:left="5040" w:hanging="360"/>
      </w:pPr>
      <w:rPr>
        <w:rFonts w:ascii="Symbol" w:hAnsi="Symbol" w:hint="default"/>
      </w:rPr>
    </w:lvl>
    <w:lvl w:ilvl="7" w:tplc="B1407234" w:tentative="1">
      <w:start w:val="1"/>
      <w:numFmt w:val="bullet"/>
      <w:lvlText w:val="o"/>
      <w:lvlJc w:val="left"/>
      <w:pPr>
        <w:ind w:left="5760" w:hanging="360"/>
      </w:pPr>
      <w:rPr>
        <w:rFonts w:ascii="Courier New" w:hAnsi="Courier New" w:hint="default"/>
      </w:rPr>
    </w:lvl>
    <w:lvl w:ilvl="8" w:tplc="99BC43A6" w:tentative="1">
      <w:start w:val="1"/>
      <w:numFmt w:val="bullet"/>
      <w:lvlText w:val=""/>
      <w:lvlJc w:val="left"/>
      <w:pPr>
        <w:ind w:left="6480" w:hanging="360"/>
      </w:pPr>
      <w:rPr>
        <w:rFonts w:ascii="Wingdings" w:hAnsi="Wingdings" w:hint="default"/>
      </w:rPr>
    </w:lvl>
  </w:abstractNum>
  <w:abstractNum w:abstractNumId="143" w15:restartNumberingAfterBreak="0">
    <w:nsid w:val="1AF270E1"/>
    <w:multiLevelType w:val="hybridMultilevel"/>
    <w:tmpl w:val="7D3E1C94"/>
    <w:lvl w:ilvl="0" w:tplc="EF46E57A">
      <w:start w:val="1"/>
      <w:numFmt w:val="bullet"/>
      <w:lvlText w:val=""/>
      <w:lvlJc w:val="left"/>
      <w:pPr>
        <w:ind w:left="720" w:hanging="360"/>
      </w:pPr>
      <w:rPr>
        <w:rFonts w:ascii="Symbol" w:hAnsi="Symbol" w:hint="default"/>
      </w:rPr>
    </w:lvl>
    <w:lvl w:ilvl="1" w:tplc="271A952E" w:tentative="1">
      <w:start w:val="1"/>
      <w:numFmt w:val="bullet"/>
      <w:lvlText w:val="o"/>
      <w:lvlJc w:val="left"/>
      <w:pPr>
        <w:ind w:left="1440" w:hanging="360"/>
      </w:pPr>
      <w:rPr>
        <w:rFonts w:ascii="Courier New" w:hAnsi="Courier New" w:hint="default"/>
      </w:rPr>
    </w:lvl>
    <w:lvl w:ilvl="2" w:tplc="A13A98FE" w:tentative="1">
      <w:start w:val="1"/>
      <w:numFmt w:val="bullet"/>
      <w:lvlText w:val=""/>
      <w:lvlJc w:val="left"/>
      <w:pPr>
        <w:ind w:left="2160" w:hanging="360"/>
      </w:pPr>
      <w:rPr>
        <w:rFonts w:ascii="Wingdings" w:hAnsi="Wingdings" w:hint="default"/>
      </w:rPr>
    </w:lvl>
    <w:lvl w:ilvl="3" w:tplc="EA1CB5D4" w:tentative="1">
      <w:start w:val="1"/>
      <w:numFmt w:val="bullet"/>
      <w:lvlText w:val=""/>
      <w:lvlJc w:val="left"/>
      <w:pPr>
        <w:ind w:left="2880" w:hanging="360"/>
      </w:pPr>
      <w:rPr>
        <w:rFonts w:ascii="Symbol" w:hAnsi="Symbol" w:hint="default"/>
      </w:rPr>
    </w:lvl>
    <w:lvl w:ilvl="4" w:tplc="20D4AE0E" w:tentative="1">
      <w:start w:val="1"/>
      <w:numFmt w:val="bullet"/>
      <w:lvlText w:val="o"/>
      <w:lvlJc w:val="left"/>
      <w:pPr>
        <w:ind w:left="3600" w:hanging="360"/>
      </w:pPr>
      <w:rPr>
        <w:rFonts w:ascii="Courier New" w:hAnsi="Courier New" w:hint="default"/>
      </w:rPr>
    </w:lvl>
    <w:lvl w:ilvl="5" w:tplc="C8C84282" w:tentative="1">
      <w:start w:val="1"/>
      <w:numFmt w:val="bullet"/>
      <w:lvlText w:val=""/>
      <w:lvlJc w:val="left"/>
      <w:pPr>
        <w:ind w:left="4320" w:hanging="360"/>
      </w:pPr>
      <w:rPr>
        <w:rFonts w:ascii="Wingdings" w:hAnsi="Wingdings" w:hint="default"/>
      </w:rPr>
    </w:lvl>
    <w:lvl w:ilvl="6" w:tplc="01D23A8C" w:tentative="1">
      <w:start w:val="1"/>
      <w:numFmt w:val="bullet"/>
      <w:lvlText w:val=""/>
      <w:lvlJc w:val="left"/>
      <w:pPr>
        <w:ind w:left="5040" w:hanging="360"/>
      </w:pPr>
      <w:rPr>
        <w:rFonts w:ascii="Symbol" w:hAnsi="Symbol" w:hint="default"/>
      </w:rPr>
    </w:lvl>
    <w:lvl w:ilvl="7" w:tplc="941C905A" w:tentative="1">
      <w:start w:val="1"/>
      <w:numFmt w:val="bullet"/>
      <w:lvlText w:val="o"/>
      <w:lvlJc w:val="left"/>
      <w:pPr>
        <w:ind w:left="5760" w:hanging="360"/>
      </w:pPr>
      <w:rPr>
        <w:rFonts w:ascii="Courier New" w:hAnsi="Courier New" w:hint="default"/>
      </w:rPr>
    </w:lvl>
    <w:lvl w:ilvl="8" w:tplc="6228273E" w:tentative="1">
      <w:start w:val="1"/>
      <w:numFmt w:val="bullet"/>
      <w:lvlText w:val=""/>
      <w:lvlJc w:val="left"/>
      <w:pPr>
        <w:ind w:left="6480" w:hanging="360"/>
      </w:pPr>
      <w:rPr>
        <w:rFonts w:ascii="Wingdings" w:hAnsi="Wingdings" w:hint="default"/>
      </w:rPr>
    </w:lvl>
  </w:abstractNum>
  <w:abstractNum w:abstractNumId="144" w15:restartNumberingAfterBreak="0">
    <w:nsid w:val="1B20544B"/>
    <w:multiLevelType w:val="hybridMultilevel"/>
    <w:tmpl w:val="112ACC96"/>
    <w:lvl w:ilvl="0" w:tplc="CEC63162">
      <w:start w:val="1"/>
      <w:numFmt w:val="bullet"/>
      <w:lvlText w:val=""/>
      <w:lvlJc w:val="left"/>
      <w:pPr>
        <w:ind w:left="720" w:hanging="360"/>
      </w:pPr>
      <w:rPr>
        <w:rFonts w:ascii="Symbol" w:hAnsi="Symbol" w:hint="default"/>
      </w:rPr>
    </w:lvl>
    <w:lvl w:ilvl="1" w:tplc="D75A4306" w:tentative="1">
      <w:start w:val="1"/>
      <w:numFmt w:val="bullet"/>
      <w:lvlText w:val="o"/>
      <w:lvlJc w:val="left"/>
      <w:pPr>
        <w:ind w:left="1440" w:hanging="360"/>
      </w:pPr>
      <w:rPr>
        <w:rFonts w:ascii="Courier New" w:hAnsi="Courier New" w:hint="default"/>
      </w:rPr>
    </w:lvl>
    <w:lvl w:ilvl="2" w:tplc="C6427FDE" w:tentative="1">
      <w:start w:val="1"/>
      <w:numFmt w:val="bullet"/>
      <w:lvlText w:val=""/>
      <w:lvlJc w:val="left"/>
      <w:pPr>
        <w:ind w:left="2160" w:hanging="360"/>
      </w:pPr>
      <w:rPr>
        <w:rFonts w:ascii="Wingdings" w:hAnsi="Wingdings" w:hint="default"/>
      </w:rPr>
    </w:lvl>
    <w:lvl w:ilvl="3" w:tplc="CD745C4E" w:tentative="1">
      <w:start w:val="1"/>
      <w:numFmt w:val="bullet"/>
      <w:lvlText w:val=""/>
      <w:lvlJc w:val="left"/>
      <w:pPr>
        <w:ind w:left="2880" w:hanging="360"/>
      </w:pPr>
      <w:rPr>
        <w:rFonts w:ascii="Symbol" w:hAnsi="Symbol" w:hint="default"/>
      </w:rPr>
    </w:lvl>
    <w:lvl w:ilvl="4" w:tplc="B21676C0" w:tentative="1">
      <w:start w:val="1"/>
      <w:numFmt w:val="bullet"/>
      <w:lvlText w:val="o"/>
      <w:lvlJc w:val="left"/>
      <w:pPr>
        <w:ind w:left="3600" w:hanging="360"/>
      </w:pPr>
      <w:rPr>
        <w:rFonts w:ascii="Courier New" w:hAnsi="Courier New" w:hint="default"/>
      </w:rPr>
    </w:lvl>
    <w:lvl w:ilvl="5" w:tplc="05CA7D70" w:tentative="1">
      <w:start w:val="1"/>
      <w:numFmt w:val="bullet"/>
      <w:lvlText w:val=""/>
      <w:lvlJc w:val="left"/>
      <w:pPr>
        <w:ind w:left="4320" w:hanging="360"/>
      </w:pPr>
      <w:rPr>
        <w:rFonts w:ascii="Wingdings" w:hAnsi="Wingdings" w:hint="default"/>
      </w:rPr>
    </w:lvl>
    <w:lvl w:ilvl="6" w:tplc="C8BEDB14" w:tentative="1">
      <w:start w:val="1"/>
      <w:numFmt w:val="bullet"/>
      <w:lvlText w:val=""/>
      <w:lvlJc w:val="left"/>
      <w:pPr>
        <w:ind w:left="5040" w:hanging="360"/>
      </w:pPr>
      <w:rPr>
        <w:rFonts w:ascii="Symbol" w:hAnsi="Symbol" w:hint="default"/>
      </w:rPr>
    </w:lvl>
    <w:lvl w:ilvl="7" w:tplc="419A0C3C" w:tentative="1">
      <w:start w:val="1"/>
      <w:numFmt w:val="bullet"/>
      <w:lvlText w:val="o"/>
      <w:lvlJc w:val="left"/>
      <w:pPr>
        <w:ind w:left="5760" w:hanging="360"/>
      </w:pPr>
      <w:rPr>
        <w:rFonts w:ascii="Courier New" w:hAnsi="Courier New" w:hint="default"/>
      </w:rPr>
    </w:lvl>
    <w:lvl w:ilvl="8" w:tplc="B2227394" w:tentative="1">
      <w:start w:val="1"/>
      <w:numFmt w:val="bullet"/>
      <w:lvlText w:val=""/>
      <w:lvlJc w:val="left"/>
      <w:pPr>
        <w:ind w:left="6480" w:hanging="360"/>
      </w:pPr>
      <w:rPr>
        <w:rFonts w:ascii="Wingdings" w:hAnsi="Wingdings" w:hint="default"/>
      </w:rPr>
    </w:lvl>
  </w:abstractNum>
  <w:abstractNum w:abstractNumId="145" w15:restartNumberingAfterBreak="0">
    <w:nsid w:val="1B460315"/>
    <w:multiLevelType w:val="hybridMultilevel"/>
    <w:tmpl w:val="0ED08640"/>
    <w:lvl w:ilvl="0" w:tplc="FFFFFFFF">
      <w:start w:val="1"/>
      <w:numFmt w:val="bullet"/>
      <w:lvlText w:val="·"/>
      <w:lvlJc w:val="left"/>
      <w:pPr>
        <w:ind w:left="720" w:hanging="360"/>
      </w:pPr>
      <w:rPr>
        <w:rFonts w:ascii="Symbol" w:hAnsi="Symbol" w:hint="default"/>
      </w:rPr>
    </w:lvl>
    <w:lvl w:ilvl="1" w:tplc="B7E66E68">
      <w:start w:val="1"/>
      <w:numFmt w:val="bullet"/>
      <w:lvlText w:val="o"/>
      <w:lvlJc w:val="left"/>
      <w:pPr>
        <w:ind w:left="1440" w:hanging="360"/>
      </w:pPr>
      <w:rPr>
        <w:rFonts w:ascii="Courier New" w:hAnsi="Courier New" w:hint="default"/>
      </w:rPr>
    </w:lvl>
    <w:lvl w:ilvl="2" w:tplc="FF782492" w:tentative="1">
      <w:start w:val="1"/>
      <w:numFmt w:val="bullet"/>
      <w:lvlText w:val=""/>
      <w:lvlJc w:val="left"/>
      <w:pPr>
        <w:ind w:left="2160" w:hanging="360"/>
      </w:pPr>
      <w:rPr>
        <w:rFonts w:ascii="Wingdings" w:hAnsi="Wingdings" w:hint="default"/>
      </w:rPr>
    </w:lvl>
    <w:lvl w:ilvl="3" w:tplc="71B6BEE0" w:tentative="1">
      <w:start w:val="1"/>
      <w:numFmt w:val="bullet"/>
      <w:lvlText w:val=""/>
      <w:lvlJc w:val="left"/>
      <w:pPr>
        <w:ind w:left="2880" w:hanging="360"/>
      </w:pPr>
      <w:rPr>
        <w:rFonts w:ascii="Symbol" w:hAnsi="Symbol" w:hint="default"/>
      </w:rPr>
    </w:lvl>
    <w:lvl w:ilvl="4" w:tplc="2C9CC962" w:tentative="1">
      <w:start w:val="1"/>
      <w:numFmt w:val="bullet"/>
      <w:lvlText w:val="o"/>
      <w:lvlJc w:val="left"/>
      <w:pPr>
        <w:ind w:left="3600" w:hanging="360"/>
      </w:pPr>
      <w:rPr>
        <w:rFonts w:ascii="Courier New" w:hAnsi="Courier New" w:hint="default"/>
      </w:rPr>
    </w:lvl>
    <w:lvl w:ilvl="5" w:tplc="592080A8" w:tentative="1">
      <w:start w:val="1"/>
      <w:numFmt w:val="bullet"/>
      <w:lvlText w:val=""/>
      <w:lvlJc w:val="left"/>
      <w:pPr>
        <w:ind w:left="4320" w:hanging="360"/>
      </w:pPr>
      <w:rPr>
        <w:rFonts w:ascii="Wingdings" w:hAnsi="Wingdings" w:hint="default"/>
      </w:rPr>
    </w:lvl>
    <w:lvl w:ilvl="6" w:tplc="18F85A28" w:tentative="1">
      <w:start w:val="1"/>
      <w:numFmt w:val="bullet"/>
      <w:lvlText w:val=""/>
      <w:lvlJc w:val="left"/>
      <w:pPr>
        <w:ind w:left="5040" w:hanging="360"/>
      </w:pPr>
      <w:rPr>
        <w:rFonts w:ascii="Symbol" w:hAnsi="Symbol" w:hint="default"/>
      </w:rPr>
    </w:lvl>
    <w:lvl w:ilvl="7" w:tplc="4A0038A2" w:tentative="1">
      <w:start w:val="1"/>
      <w:numFmt w:val="bullet"/>
      <w:lvlText w:val="o"/>
      <w:lvlJc w:val="left"/>
      <w:pPr>
        <w:ind w:left="5760" w:hanging="360"/>
      </w:pPr>
      <w:rPr>
        <w:rFonts w:ascii="Courier New" w:hAnsi="Courier New" w:hint="default"/>
      </w:rPr>
    </w:lvl>
    <w:lvl w:ilvl="8" w:tplc="0A640D4A" w:tentative="1">
      <w:start w:val="1"/>
      <w:numFmt w:val="bullet"/>
      <w:lvlText w:val=""/>
      <w:lvlJc w:val="left"/>
      <w:pPr>
        <w:ind w:left="6480" w:hanging="360"/>
      </w:pPr>
      <w:rPr>
        <w:rFonts w:ascii="Wingdings" w:hAnsi="Wingdings" w:hint="default"/>
      </w:rPr>
    </w:lvl>
  </w:abstractNum>
  <w:abstractNum w:abstractNumId="146" w15:restartNumberingAfterBreak="0">
    <w:nsid w:val="1B677A63"/>
    <w:multiLevelType w:val="hybridMultilevel"/>
    <w:tmpl w:val="FEA6CAA2"/>
    <w:lvl w:ilvl="0" w:tplc="C7D48E1C">
      <w:start w:val="1"/>
      <w:numFmt w:val="bullet"/>
      <w:lvlText w:val=""/>
      <w:lvlJc w:val="left"/>
      <w:pPr>
        <w:ind w:left="720" w:hanging="360"/>
      </w:pPr>
      <w:rPr>
        <w:rFonts w:ascii="Symbol" w:hAnsi="Symbol" w:hint="default"/>
      </w:rPr>
    </w:lvl>
    <w:lvl w:ilvl="1" w:tplc="54E067B2" w:tentative="1">
      <w:start w:val="1"/>
      <w:numFmt w:val="bullet"/>
      <w:lvlText w:val="o"/>
      <w:lvlJc w:val="left"/>
      <w:pPr>
        <w:ind w:left="1440" w:hanging="360"/>
      </w:pPr>
      <w:rPr>
        <w:rFonts w:ascii="Courier New" w:hAnsi="Courier New" w:hint="default"/>
      </w:rPr>
    </w:lvl>
    <w:lvl w:ilvl="2" w:tplc="8314FBCE" w:tentative="1">
      <w:start w:val="1"/>
      <w:numFmt w:val="bullet"/>
      <w:lvlText w:val=""/>
      <w:lvlJc w:val="left"/>
      <w:pPr>
        <w:ind w:left="2160" w:hanging="360"/>
      </w:pPr>
      <w:rPr>
        <w:rFonts w:ascii="Wingdings" w:hAnsi="Wingdings" w:hint="default"/>
      </w:rPr>
    </w:lvl>
    <w:lvl w:ilvl="3" w:tplc="B55E5F26" w:tentative="1">
      <w:start w:val="1"/>
      <w:numFmt w:val="bullet"/>
      <w:lvlText w:val=""/>
      <w:lvlJc w:val="left"/>
      <w:pPr>
        <w:ind w:left="2880" w:hanging="360"/>
      </w:pPr>
      <w:rPr>
        <w:rFonts w:ascii="Symbol" w:hAnsi="Symbol" w:hint="default"/>
      </w:rPr>
    </w:lvl>
    <w:lvl w:ilvl="4" w:tplc="B170B882" w:tentative="1">
      <w:start w:val="1"/>
      <w:numFmt w:val="bullet"/>
      <w:lvlText w:val="o"/>
      <w:lvlJc w:val="left"/>
      <w:pPr>
        <w:ind w:left="3600" w:hanging="360"/>
      </w:pPr>
      <w:rPr>
        <w:rFonts w:ascii="Courier New" w:hAnsi="Courier New" w:hint="default"/>
      </w:rPr>
    </w:lvl>
    <w:lvl w:ilvl="5" w:tplc="FCE22B40" w:tentative="1">
      <w:start w:val="1"/>
      <w:numFmt w:val="bullet"/>
      <w:lvlText w:val=""/>
      <w:lvlJc w:val="left"/>
      <w:pPr>
        <w:ind w:left="4320" w:hanging="360"/>
      </w:pPr>
      <w:rPr>
        <w:rFonts w:ascii="Wingdings" w:hAnsi="Wingdings" w:hint="default"/>
      </w:rPr>
    </w:lvl>
    <w:lvl w:ilvl="6" w:tplc="9F3AE02C" w:tentative="1">
      <w:start w:val="1"/>
      <w:numFmt w:val="bullet"/>
      <w:lvlText w:val=""/>
      <w:lvlJc w:val="left"/>
      <w:pPr>
        <w:ind w:left="5040" w:hanging="360"/>
      </w:pPr>
      <w:rPr>
        <w:rFonts w:ascii="Symbol" w:hAnsi="Symbol" w:hint="default"/>
      </w:rPr>
    </w:lvl>
    <w:lvl w:ilvl="7" w:tplc="B1C43E0E" w:tentative="1">
      <w:start w:val="1"/>
      <w:numFmt w:val="bullet"/>
      <w:lvlText w:val="o"/>
      <w:lvlJc w:val="left"/>
      <w:pPr>
        <w:ind w:left="5760" w:hanging="360"/>
      </w:pPr>
      <w:rPr>
        <w:rFonts w:ascii="Courier New" w:hAnsi="Courier New" w:hint="default"/>
      </w:rPr>
    </w:lvl>
    <w:lvl w:ilvl="8" w:tplc="06E85AA8" w:tentative="1">
      <w:start w:val="1"/>
      <w:numFmt w:val="bullet"/>
      <w:lvlText w:val=""/>
      <w:lvlJc w:val="left"/>
      <w:pPr>
        <w:ind w:left="6480" w:hanging="360"/>
      </w:pPr>
      <w:rPr>
        <w:rFonts w:ascii="Wingdings" w:hAnsi="Wingdings" w:hint="default"/>
      </w:rPr>
    </w:lvl>
  </w:abstractNum>
  <w:abstractNum w:abstractNumId="147" w15:restartNumberingAfterBreak="0">
    <w:nsid w:val="1B985E32"/>
    <w:multiLevelType w:val="hybridMultilevel"/>
    <w:tmpl w:val="98266CF8"/>
    <w:lvl w:ilvl="0" w:tplc="FC04EBE0">
      <w:start w:val="1"/>
      <w:numFmt w:val="bullet"/>
      <w:lvlText w:val="o"/>
      <w:lvlJc w:val="left"/>
      <w:pPr>
        <w:ind w:left="1440" w:hanging="360"/>
      </w:pPr>
      <w:rPr>
        <w:rFonts w:ascii="Courier New" w:hAnsi="Courier New" w:hint="default"/>
      </w:rPr>
    </w:lvl>
    <w:lvl w:ilvl="1" w:tplc="880825F0" w:tentative="1">
      <w:start w:val="1"/>
      <w:numFmt w:val="bullet"/>
      <w:lvlText w:val="o"/>
      <w:lvlJc w:val="left"/>
      <w:pPr>
        <w:ind w:left="2160" w:hanging="360"/>
      </w:pPr>
      <w:rPr>
        <w:rFonts w:ascii="Courier New" w:hAnsi="Courier New" w:hint="default"/>
      </w:rPr>
    </w:lvl>
    <w:lvl w:ilvl="2" w:tplc="D3EA435E" w:tentative="1">
      <w:start w:val="1"/>
      <w:numFmt w:val="bullet"/>
      <w:lvlText w:val=""/>
      <w:lvlJc w:val="left"/>
      <w:pPr>
        <w:ind w:left="2880" w:hanging="360"/>
      </w:pPr>
      <w:rPr>
        <w:rFonts w:ascii="Wingdings" w:hAnsi="Wingdings" w:hint="default"/>
      </w:rPr>
    </w:lvl>
    <w:lvl w:ilvl="3" w:tplc="F6B65C82" w:tentative="1">
      <w:start w:val="1"/>
      <w:numFmt w:val="bullet"/>
      <w:lvlText w:val=""/>
      <w:lvlJc w:val="left"/>
      <w:pPr>
        <w:ind w:left="3600" w:hanging="360"/>
      </w:pPr>
      <w:rPr>
        <w:rFonts w:ascii="Symbol" w:hAnsi="Symbol" w:hint="default"/>
      </w:rPr>
    </w:lvl>
    <w:lvl w:ilvl="4" w:tplc="7D242D22" w:tentative="1">
      <w:start w:val="1"/>
      <w:numFmt w:val="bullet"/>
      <w:lvlText w:val="o"/>
      <w:lvlJc w:val="left"/>
      <w:pPr>
        <w:ind w:left="4320" w:hanging="360"/>
      </w:pPr>
      <w:rPr>
        <w:rFonts w:ascii="Courier New" w:hAnsi="Courier New" w:hint="default"/>
      </w:rPr>
    </w:lvl>
    <w:lvl w:ilvl="5" w:tplc="FAAE9D94" w:tentative="1">
      <w:start w:val="1"/>
      <w:numFmt w:val="bullet"/>
      <w:lvlText w:val=""/>
      <w:lvlJc w:val="left"/>
      <w:pPr>
        <w:ind w:left="5040" w:hanging="360"/>
      </w:pPr>
      <w:rPr>
        <w:rFonts w:ascii="Wingdings" w:hAnsi="Wingdings" w:hint="default"/>
      </w:rPr>
    </w:lvl>
    <w:lvl w:ilvl="6" w:tplc="D898DA78" w:tentative="1">
      <w:start w:val="1"/>
      <w:numFmt w:val="bullet"/>
      <w:lvlText w:val=""/>
      <w:lvlJc w:val="left"/>
      <w:pPr>
        <w:ind w:left="5760" w:hanging="360"/>
      </w:pPr>
      <w:rPr>
        <w:rFonts w:ascii="Symbol" w:hAnsi="Symbol" w:hint="default"/>
      </w:rPr>
    </w:lvl>
    <w:lvl w:ilvl="7" w:tplc="B7281B00" w:tentative="1">
      <w:start w:val="1"/>
      <w:numFmt w:val="bullet"/>
      <w:lvlText w:val="o"/>
      <w:lvlJc w:val="left"/>
      <w:pPr>
        <w:ind w:left="6480" w:hanging="360"/>
      </w:pPr>
      <w:rPr>
        <w:rFonts w:ascii="Courier New" w:hAnsi="Courier New" w:hint="default"/>
      </w:rPr>
    </w:lvl>
    <w:lvl w:ilvl="8" w:tplc="23028D2C" w:tentative="1">
      <w:start w:val="1"/>
      <w:numFmt w:val="bullet"/>
      <w:lvlText w:val=""/>
      <w:lvlJc w:val="left"/>
      <w:pPr>
        <w:ind w:left="7200" w:hanging="360"/>
      </w:pPr>
      <w:rPr>
        <w:rFonts w:ascii="Wingdings" w:hAnsi="Wingdings" w:hint="default"/>
      </w:rPr>
    </w:lvl>
  </w:abstractNum>
  <w:abstractNum w:abstractNumId="148" w15:restartNumberingAfterBreak="0">
    <w:nsid w:val="1B9D1E7B"/>
    <w:multiLevelType w:val="hybridMultilevel"/>
    <w:tmpl w:val="277C225A"/>
    <w:lvl w:ilvl="0" w:tplc="B060FA5A">
      <w:start w:val="1"/>
      <w:numFmt w:val="bullet"/>
      <w:lvlText w:val=""/>
      <w:lvlJc w:val="left"/>
      <w:pPr>
        <w:ind w:left="780" w:hanging="360"/>
      </w:pPr>
      <w:rPr>
        <w:rFonts w:ascii="Symbol" w:hAnsi="Symbol" w:hint="default"/>
      </w:rPr>
    </w:lvl>
    <w:lvl w:ilvl="1" w:tplc="F5429CA4" w:tentative="1">
      <w:start w:val="1"/>
      <w:numFmt w:val="bullet"/>
      <w:lvlText w:val="o"/>
      <w:lvlJc w:val="left"/>
      <w:pPr>
        <w:ind w:left="1500" w:hanging="360"/>
      </w:pPr>
      <w:rPr>
        <w:rFonts w:ascii="Courier New" w:hAnsi="Courier New" w:hint="default"/>
      </w:rPr>
    </w:lvl>
    <w:lvl w:ilvl="2" w:tplc="B8786616" w:tentative="1">
      <w:start w:val="1"/>
      <w:numFmt w:val="bullet"/>
      <w:lvlText w:val=""/>
      <w:lvlJc w:val="left"/>
      <w:pPr>
        <w:ind w:left="2220" w:hanging="360"/>
      </w:pPr>
      <w:rPr>
        <w:rFonts w:ascii="Wingdings" w:hAnsi="Wingdings" w:hint="default"/>
      </w:rPr>
    </w:lvl>
    <w:lvl w:ilvl="3" w:tplc="B67C4950" w:tentative="1">
      <w:start w:val="1"/>
      <w:numFmt w:val="bullet"/>
      <w:lvlText w:val=""/>
      <w:lvlJc w:val="left"/>
      <w:pPr>
        <w:ind w:left="2940" w:hanging="360"/>
      </w:pPr>
      <w:rPr>
        <w:rFonts w:ascii="Symbol" w:hAnsi="Symbol" w:hint="default"/>
      </w:rPr>
    </w:lvl>
    <w:lvl w:ilvl="4" w:tplc="110C3FBA" w:tentative="1">
      <w:start w:val="1"/>
      <w:numFmt w:val="bullet"/>
      <w:lvlText w:val="o"/>
      <w:lvlJc w:val="left"/>
      <w:pPr>
        <w:ind w:left="3660" w:hanging="360"/>
      </w:pPr>
      <w:rPr>
        <w:rFonts w:ascii="Courier New" w:hAnsi="Courier New" w:hint="default"/>
      </w:rPr>
    </w:lvl>
    <w:lvl w:ilvl="5" w:tplc="2690CCD2" w:tentative="1">
      <w:start w:val="1"/>
      <w:numFmt w:val="bullet"/>
      <w:lvlText w:val=""/>
      <w:lvlJc w:val="left"/>
      <w:pPr>
        <w:ind w:left="4380" w:hanging="360"/>
      </w:pPr>
      <w:rPr>
        <w:rFonts w:ascii="Wingdings" w:hAnsi="Wingdings" w:hint="default"/>
      </w:rPr>
    </w:lvl>
    <w:lvl w:ilvl="6" w:tplc="4BD6DB2C" w:tentative="1">
      <w:start w:val="1"/>
      <w:numFmt w:val="bullet"/>
      <w:lvlText w:val=""/>
      <w:lvlJc w:val="left"/>
      <w:pPr>
        <w:ind w:left="5100" w:hanging="360"/>
      </w:pPr>
      <w:rPr>
        <w:rFonts w:ascii="Symbol" w:hAnsi="Symbol" w:hint="default"/>
      </w:rPr>
    </w:lvl>
    <w:lvl w:ilvl="7" w:tplc="B918659A" w:tentative="1">
      <w:start w:val="1"/>
      <w:numFmt w:val="bullet"/>
      <w:lvlText w:val="o"/>
      <w:lvlJc w:val="left"/>
      <w:pPr>
        <w:ind w:left="5820" w:hanging="360"/>
      </w:pPr>
      <w:rPr>
        <w:rFonts w:ascii="Courier New" w:hAnsi="Courier New" w:hint="default"/>
      </w:rPr>
    </w:lvl>
    <w:lvl w:ilvl="8" w:tplc="2A5A2DAA" w:tentative="1">
      <w:start w:val="1"/>
      <w:numFmt w:val="bullet"/>
      <w:lvlText w:val=""/>
      <w:lvlJc w:val="left"/>
      <w:pPr>
        <w:ind w:left="6540" w:hanging="360"/>
      </w:pPr>
      <w:rPr>
        <w:rFonts w:ascii="Wingdings" w:hAnsi="Wingdings" w:hint="default"/>
      </w:rPr>
    </w:lvl>
  </w:abstractNum>
  <w:abstractNum w:abstractNumId="149" w15:restartNumberingAfterBreak="0">
    <w:nsid w:val="1BC8074E"/>
    <w:multiLevelType w:val="multilevel"/>
    <w:tmpl w:val="E5F6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C0F14CA"/>
    <w:multiLevelType w:val="hybridMultilevel"/>
    <w:tmpl w:val="ADC8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1C470B8C"/>
    <w:multiLevelType w:val="hybridMultilevel"/>
    <w:tmpl w:val="38161DEC"/>
    <w:lvl w:ilvl="0" w:tplc="3D8EFDEC">
      <w:start w:val="1"/>
      <w:numFmt w:val="bullet"/>
      <w:lvlText w:val=""/>
      <w:lvlJc w:val="left"/>
      <w:pPr>
        <w:ind w:left="720" w:hanging="360"/>
      </w:pPr>
      <w:rPr>
        <w:rFonts w:ascii="Symbol" w:hAnsi="Symbol" w:hint="default"/>
      </w:rPr>
    </w:lvl>
    <w:lvl w:ilvl="1" w:tplc="E7D6A54E" w:tentative="1">
      <w:start w:val="1"/>
      <w:numFmt w:val="bullet"/>
      <w:lvlText w:val="o"/>
      <w:lvlJc w:val="left"/>
      <w:pPr>
        <w:ind w:left="1440" w:hanging="360"/>
      </w:pPr>
      <w:rPr>
        <w:rFonts w:ascii="Courier New" w:hAnsi="Courier New" w:hint="default"/>
      </w:rPr>
    </w:lvl>
    <w:lvl w:ilvl="2" w:tplc="320C5428" w:tentative="1">
      <w:start w:val="1"/>
      <w:numFmt w:val="bullet"/>
      <w:lvlText w:val=""/>
      <w:lvlJc w:val="left"/>
      <w:pPr>
        <w:ind w:left="2160" w:hanging="360"/>
      </w:pPr>
      <w:rPr>
        <w:rFonts w:ascii="Wingdings" w:hAnsi="Wingdings" w:hint="default"/>
      </w:rPr>
    </w:lvl>
    <w:lvl w:ilvl="3" w:tplc="E8AA615A" w:tentative="1">
      <w:start w:val="1"/>
      <w:numFmt w:val="bullet"/>
      <w:lvlText w:val=""/>
      <w:lvlJc w:val="left"/>
      <w:pPr>
        <w:ind w:left="2880" w:hanging="360"/>
      </w:pPr>
      <w:rPr>
        <w:rFonts w:ascii="Symbol" w:hAnsi="Symbol" w:hint="default"/>
      </w:rPr>
    </w:lvl>
    <w:lvl w:ilvl="4" w:tplc="1B90DD92" w:tentative="1">
      <w:start w:val="1"/>
      <w:numFmt w:val="bullet"/>
      <w:lvlText w:val="o"/>
      <w:lvlJc w:val="left"/>
      <w:pPr>
        <w:ind w:left="3600" w:hanging="360"/>
      </w:pPr>
      <w:rPr>
        <w:rFonts w:ascii="Courier New" w:hAnsi="Courier New" w:hint="default"/>
      </w:rPr>
    </w:lvl>
    <w:lvl w:ilvl="5" w:tplc="D756A55E" w:tentative="1">
      <w:start w:val="1"/>
      <w:numFmt w:val="bullet"/>
      <w:lvlText w:val=""/>
      <w:lvlJc w:val="left"/>
      <w:pPr>
        <w:ind w:left="4320" w:hanging="360"/>
      </w:pPr>
      <w:rPr>
        <w:rFonts w:ascii="Wingdings" w:hAnsi="Wingdings" w:hint="default"/>
      </w:rPr>
    </w:lvl>
    <w:lvl w:ilvl="6" w:tplc="7B642D74" w:tentative="1">
      <w:start w:val="1"/>
      <w:numFmt w:val="bullet"/>
      <w:lvlText w:val=""/>
      <w:lvlJc w:val="left"/>
      <w:pPr>
        <w:ind w:left="5040" w:hanging="360"/>
      </w:pPr>
      <w:rPr>
        <w:rFonts w:ascii="Symbol" w:hAnsi="Symbol" w:hint="default"/>
      </w:rPr>
    </w:lvl>
    <w:lvl w:ilvl="7" w:tplc="1E308C2A" w:tentative="1">
      <w:start w:val="1"/>
      <w:numFmt w:val="bullet"/>
      <w:lvlText w:val="o"/>
      <w:lvlJc w:val="left"/>
      <w:pPr>
        <w:ind w:left="5760" w:hanging="360"/>
      </w:pPr>
      <w:rPr>
        <w:rFonts w:ascii="Courier New" w:hAnsi="Courier New" w:hint="default"/>
      </w:rPr>
    </w:lvl>
    <w:lvl w:ilvl="8" w:tplc="87C86FD8" w:tentative="1">
      <w:start w:val="1"/>
      <w:numFmt w:val="bullet"/>
      <w:lvlText w:val=""/>
      <w:lvlJc w:val="left"/>
      <w:pPr>
        <w:ind w:left="6480" w:hanging="360"/>
      </w:pPr>
      <w:rPr>
        <w:rFonts w:ascii="Wingdings" w:hAnsi="Wingdings" w:hint="default"/>
      </w:rPr>
    </w:lvl>
  </w:abstractNum>
  <w:abstractNum w:abstractNumId="152" w15:restartNumberingAfterBreak="0">
    <w:nsid w:val="1CA822D0"/>
    <w:multiLevelType w:val="multilevel"/>
    <w:tmpl w:val="6DE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CF231E5"/>
    <w:multiLevelType w:val="hybridMultilevel"/>
    <w:tmpl w:val="A2422F0E"/>
    <w:lvl w:ilvl="0" w:tplc="AB0C5606">
      <w:start w:val="1"/>
      <w:numFmt w:val="bullet"/>
      <w:lvlText w:val=""/>
      <w:lvlJc w:val="left"/>
      <w:pPr>
        <w:ind w:left="1440" w:hanging="360"/>
      </w:pPr>
      <w:rPr>
        <w:rFonts w:ascii="Symbol" w:hAnsi="Symbol"/>
      </w:rPr>
    </w:lvl>
    <w:lvl w:ilvl="1" w:tplc="8DEAC95A">
      <w:start w:val="1"/>
      <w:numFmt w:val="bullet"/>
      <w:lvlText w:val=""/>
      <w:lvlJc w:val="left"/>
      <w:pPr>
        <w:ind w:left="1440" w:hanging="360"/>
      </w:pPr>
      <w:rPr>
        <w:rFonts w:ascii="Symbol" w:hAnsi="Symbol"/>
      </w:rPr>
    </w:lvl>
    <w:lvl w:ilvl="2" w:tplc="29E2267E">
      <w:start w:val="1"/>
      <w:numFmt w:val="bullet"/>
      <w:lvlText w:val=""/>
      <w:lvlJc w:val="left"/>
      <w:pPr>
        <w:ind w:left="1440" w:hanging="360"/>
      </w:pPr>
      <w:rPr>
        <w:rFonts w:ascii="Symbol" w:hAnsi="Symbol"/>
      </w:rPr>
    </w:lvl>
    <w:lvl w:ilvl="3" w:tplc="F9C6A924">
      <w:start w:val="1"/>
      <w:numFmt w:val="bullet"/>
      <w:lvlText w:val=""/>
      <w:lvlJc w:val="left"/>
      <w:pPr>
        <w:ind w:left="1440" w:hanging="360"/>
      </w:pPr>
      <w:rPr>
        <w:rFonts w:ascii="Symbol" w:hAnsi="Symbol"/>
      </w:rPr>
    </w:lvl>
    <w:lvl w:ilvl="4" w:tplc="3C12CC0A">
      <w:start w:val="1"/>
      <w:numFmt w:val="bullet"/>
      <w:lvlText w:val=""/>
      <w:lvlJc w:val="left"/>
      <w:pPr>
        <w:ind w:left="1440" w:hanging="360"/>
      </w:pPr>
      <w:rPr>
        <w:rFonts w:ascii="Symbol" w:hAnsi="Symbol"/>
      </w:rPr>
    </w:lvl>
    <w:lvl w:ilvl="5" w:tplc="39CA46D0">
      <w:start w:val="1"/>
      <w:numFmt w:val="bullet"/>
      <w:lvlText w:val=""/>
      <w:lvlJc w:val="left"/>
      <w:pPr>
        <w:ind w:left="1440" w:hanging="360"/>
      </w:pPr>
      <w:rPr>
        <w:rFonts w:ascii="Symbol" w:hAnsi="Symbol"/>
      </w:rPr>
    </w:lvl>
    <w:lvl w:ilvl="6" w:tplc="226E5758">
      <w:start w:val="1"/>
      <w:numFmt w:val="bullet"/>
      <w:lvlText w:val=""/>
      <w:lvlJc w:val="left"/>
      <w:pPr>
        <w:ind w:left="1440" w:hanging="360"/>
      </w:pPr>
      <w:rPr>
        <w:rFonts w:ascii="Symbol" w:hAnsi="Symbol"/>
      </w:rPr>
    </w:lvl>
    <w:lvl w:ilvl="7" w:tplc="4BDCC284">
      <w:start w:val="1"/>
      <w:numFmt w:val="bullet"/>
      <w:lvlText w:val=""/>
      <w:lvlJc w:val="left"/>
      <w:pPr>
        <w:ind w:left="1440" w:hanging="360"/>
      </w:pPr>
      <w:rPr>
        <w:rFonts w:ascii="Symbol" w:hAnsi="Symbol"/>
      </w:rPr>
    </w:lvl>
    <w:lvl w:ilvl="8" w:tplc="FD42838A">
      <w:start w:val="1"/>
      <w:numFmt w:val="bullet"/>
      <w:lvlText w:val=""/>
      <w:lvlJc w:val="left"/>
      <w:pPr>
        <w:ind w:left="1440" w:hanging="360"/>
      </w:pPr>
      <w:rPr>
        <w:rFonts w:ascii="Symbol" w:hAnsi="Symbol"/>
      </w:rPr>
    </w:lvl>
  </w:abstractNum>
  <w:abstractNum w:abstractNumId="154" w15:restartNumberingAfterBreak="0">
    <w:nsid w:val="1D5E4B3C"/>
    <w:multiLevelType w:val="hybridMultilevel"/>
    <w:tmpl w:val="B0ECD7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1D6A3315"/>
    <w:multiLevelType w:val="hybridMultilevel"/>
    <w:tmpl w:val="F33497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1D723D65"/>
    <w:multiLevelType w:val="hybridMultilevel"/>
    <w:tmpl w:val="5FDE33AA"/>
    <w:lvl w:ilvl="0" w:tplc="71AEB20E">
      <w:start w:val="1"/>
      <w:numFmt w:val="lowerRoman"/>
      <w:lvlText w:val="%1."/>
      <w:lvlJc w:val="right"/>
      <w:pPr>
        <w:ind w:left="720" w:hanging="360"/>
      </w:pPr>
    </w:lvl>
    <w:lvl w:ilvl="1" w:tplc="51D01BDA">
      <w:start w:val="1"/>
      <w:numFmt w:val="lowerLetter"/>
      <w:lvlText w:val="%2."/>
      <w:lvlJc w:val="left"/>
      <w:pPr>
        <w:ind w:left="1440" w:hanging="360"/>
      </w:pPr>
    </w:lvl>
    <w:lvl w:ilvl="2" w:tplc="DB4C8D58">
      <w:start w:val="1"/>
      <w:numFmt w:val="lowerRoman"/>
      <w:lvlText w:val="%3."/>
      <w:lvlJc w:val="right"/>
      <w:pPr>
        <w:ind w:left="2160" w:hanging="180"/>
      </w:pPr>
    </w:lvl>
    <w:lvl w:ilvl="3" w:tplc="CCC660F0">
      <w:start w:val="1"/>
      <w:numFmt w:val="decimal"/>
      <w:lvlText w:val="%4."/>
      <w:lvlJc w:val="left"/>
      <w:pPr>
        <w:ind w:left="2880" w:hanging="360"/>
      </w:pPr>
    </w:lvl>
    <w:lvl w:ilvl="4" w:tplc="5F02564A">
      <w:start w:val="1"/>
      <w:numFmt w:val="lowerLetter"/>
      <w:lvlText w:val="%5."/>
      <w:lvlJc w:val="left"/>
      <w:pPr>
        <w:ind w:left="3600" w:hanging="360"/>
      </w:pPr>
    </w:lvl>
    <w:lvl w:ilvl="5" w:tplc="A90A6A34">
      <w:start w:val="1"/>
      <w:numFmt w:val="lowerRoman"/>
      <w:lvlText w:val="%6."/>
      <w:lvlJc w:val="right"/>
      <w:pPr>
        <w:ind w:left="4320" w:hanging="180"/>
      </w:pPr>
    </w:lvl>
    <w:lvl w:ilvl="6" w:tplc="DCD46520">
      <w:start w:val="1"/>
      <w:numFmt w:val="decimal"/>
      <w:lvlText w:val="%7."/>
      <w:lvlJc w:val="left"/>
      <w:pPr>
        <w:ind w:left="5040" w:hanging="360"/>
      </w:pPr>
    </w:lvl>
    <w:lvl w:ilvl="7" w:tplc="DD8862B2">
      <w:start w:val="1"/>
      <w:numFmt w:val="lowerLetter"/>
      <w:lvlText w:val="%8."/>
      <w:lvlJc w:val="left"/>
      <w:pPr>
        <w:ind w:left="5760" w:hanging="360"/>
      </w:pPr>
    </w:lvl>
    <w:lvl w:ilvl="8" w:tplc="9FBC6F7C">
      <w:start w:val="1"/>
      <w:numFmt w:val="lowerRoman"/>
      <w:lvlText w:val="%9."/>
      <w:lvlJc w:val="right"/>
      <w:pPr>
        <w:ind w:left="6480" w:hanging="180"/>
      </w:pPr>
    </w:lvl>
  </w:abstractNum>
  <w:abstractNum w:abstractNumId="157" w15:restartNumberingAfterBreak="0">
    <w:nsid w:val="1D806F6A"/>
    <w:multiLevelType w:val="hybridMultilevel"/>
    <w:tmpl w:val="92DEF96A"/>
    <w:lvl w:ilvl="0" w:tplc="B4084A08">
      <w:numFmt w:val="bullet"/>
      <w:lvlText w:val=""/>
      <w:lvlJc w:val="left"/>
      <w:pPr>
        <w:tabs>
          <w:tab w:val="num" w:pos="6840"/>
        </w:tabs>
        <w:ind w:left="6840" w:hanging="360"/>
      </w:pPr>
      <w:rPr>
        <w:rFonts w:ascii="Symbol" w:hAnsi="Symbol" w:hint="default"/>
      </w:rPr>
    </w:lvl>
    <w:lvl w:ilvl="1" w:tplc="9D7889B0">
      <w:numFmt w:val="bullet"/>
      <w:lvlText w:val=""/>
      <w:lvlJc w:val="left"/>
      <w:pPr>
        <w:tabs>
          <w:tab w:val="num" w:pos="6840"/>
        </w:tabs>
        <w:ind w:left="6840" w:hanging="360"/>
      </w:pPr>
      <w:rPr>
        <w:rFonts w:ascii="Symbol" w:hAnsi="Symbol" w:hint="default"/>
        <w:w w:val="0"/>
      </w:rPr>
    </w:lvl>
    <w:lvl w:ilvl="2" w:tplc="CAACE012">
      <w:numFmt w:val="bullet"/>
      <w:lvlText w:val="-"/>
      <w:lvlJc w:val="left"/>
      <w:pPr>
        <w:tabs>
          <w:tab w:val="num" w:pos="7560"/>
        </w:tabs>
        <w:ind w:left="7560" w:hanging="360"/>
      </w:pPr>
      <w:rPr>
        <w:rFonts w:ascii="Times New Roman" w:hAnsi="Times New Roman" w:hint="default"/>
        <w:w w:val="0"/>
      </w:rPr>
    </w:lvl>
    <w:lvl w:ilvl="3" w:tplc="A4EC6290">
      <w:start w:val="1"/>
      <w:numFmt w:val="bullet"/>
      <w:lvlText w:val=""/>
      <w:lvlJc w:val="left"/>
      <w:pPr>
        <w:tabs>
          <w:tab w:val="num" w:pos="8280"/>
        </w:tabs>
        <w:ind w:left="8280" w:hanging="360"/>
      </w:pPr>
      <w:rPr>
        <w:rFonts w:ascii="Symbol" w:hAnsi="Symbol" w:hint="default"/>
      </w:rPr>
    </w:lvl>
    <w:lvl w:ilvl="4" w:tplc="A47E148E">
      <w:start w:val="1"/>
      <w:numFmt w:val="bullet"/>
      <w:lvlText w:val="o"/>
      <w:lvlJc w:val="left"/>
      <w:pPr>
        <w:tabs>
          <w:tab w:val="num" w:pos="9000"/>
        </w:tabs>
        <w:ind w:left="9000" w:hanging="360"/>
      </w:pPr>
      <w:rPr>
        <w:rFonts w:ascii="Courier New" w:hAnsi="Courier New" w:hint="default"/>
      </w:rPr>
    </w:lvl>
    <w:lvl w:ilvl="5" w:tplc="FCB44F16">
      <w:start w:val="1"/>
      <w:numFmt w:val="bullet"/>
      <w:lvlText w:val=""/>
      <w:lvlJc w:val="left"/>
      <w:pPr>
        <w:tabs>
          <w:tab w:val="num" w:pos="9720"/>
        </w:tabs>
        <w:ind w:left="9720" w:hanging="360"/>
      </w:pPr>
      <w:rPr>
        <w:rFonts w:ascii="Wingdings" w:hAnsi="Wingdings" w:hint="default"/>
      </w:rPr>
    </w:lvl>
    <w:lvl w:ilvl="6" w:tplc="81BA5CFA">
      <w:start w:val="1"/>
      <w:numFmt w:val="bullet"/>
      <w:lvlText w:val=""/>
      <w:lvlJc w:val="left"/>
      <w:pPr>
        <w:tabs>
          <w:tab w:val="num" w:pos="10440"/>
        </w:tabs>
        <w:ind w:left="10440" w:hanging="360"/>
      </w:pPr>
      <w:rPr>
        <w:rFonts w:ascii="Symbol" w:hAnsi="Symbol" w:hint="default"/>
      </w:rPr>
    </w:lvl>
    <w:lvl w:ilvl="7" w:tplc="3A2CFC96">
      <w:start w:val="1"/>
      <w:numFmt w:val="bullet"/>
      <w:lvlText w:val="o"/>
      <w:lvlJc w:val="left"/>
      <w:pPr>
        <w:tabs>
          <w:tab w:val="num" w:pos="11160"/>
        </w:tabs>
        <w:ind w:left="11160" w:hanging="360"/>
      </w:pPr>
      <w:rPr>
        <w:rFonts w:ascii="Courier New" w:hAnsi="Courier New" w:hint="default"/>
      </w:rPr>
    </w:lvl>
    <w:lvl w:ilvl="8" w:tplc="A6E4E1FE">
      <w:start w:val="1"/>
      <w:numFmt w:val="bullet"/>
      <w:lvlText w:val=""/>
      <w:lvlJc w:val="left"/>
      <w:pPr>
        <w:tabs>
          <w:tab w:val="num" w:pos="11880"/>
        </w:tabs>
        <w:ind w:left="11880" w:hanging="360"/>
      </w:pPr>
      <w:rPr>
        <w:rFonts w:ascii="Wingdings" w:hAnsi="Wingdings" w:hint="default"/>
      </w:rPr>
    </w:lvl>
  </w:abstractNum>
  <w:abstractNum w:abstractNumId="158" w15:restartNumberingAfterBreak="0">
    <w:nsid w:val="1D910AD1"/>
    <w:multiLevelType w:val="multilevel"/>
    <w:tmpl w:val="3CFCEE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D9E7EB0"/>
    <w:multiLevelType w:val="multilevel"/>
    <w:tmpl w:val="E87C6D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0" w15:restartNumberingAfterBreak="0">
    <w:nsid w:val="1DD5255B"/>
    <w:multiLevelType w:val="hybridMultilevel"/>
    <w:tmpl w:val="79065442"/>
    <w:lvl w:ilvl="0" w:tplc="C2F24C80">
      <w:start w:val="1"/>
      <w:numFmt w:val="bullet"/>
      <w:lvlText w:val=""/>
      <w:lvlJc w:val="left"/>
      <w:pPr>
        <w:ind w:left="720" w:hanging="360"/>
      </w:pPr>
      <w:rPr>
        <w:rFonts w:ascii="Symbol" w:hAnsi="Symbol" w:hint="default"/>
      </w:rPr>
    </w:lvl>
    <w:lvl w:ilvl="1" w:tplc="4B3A3E0A" w:tentative="1">
      <w:start w:val="1"/>
      <w:numFmt w:val="bullet"/>
      <w:lvlText w:val="o"/>
      <w:lvlJc w:val="left"/>
      <w:pPr>
        <w:ind w:left="1440" w:hanging="360"/>
      </w:pPr>
      <w:rPr>
        <w:rFonts w:ascii="Courier New" w:hAnsi="Courier New" w:hint="default"/>
      </w:rPr>
    </w:lvl>
    <w:lvl w:ilvl="2" w:tplc="87F656A6" w:tentative="1">
      <w:start w:val="1"/>
      <w:numFmt w:val="bullet"/>
      <w:lvlText w:val=""/>
      <w:lvlJc w:val="left"/>
      <w:pPr>
        <w:ind w:left="2160" w:hanging="360"/>
      </w:pPr>
      <w:rPr>
        <w:rFonts w:ascii="Wingdings" w:hAnsi="Wingdings" w:hint="default"/>
      </w:rPr>
    </w:lvl>
    <w:lvl w:ilvl="3" w:tplc="AF84FED2" w:tentative="1">
      <w:start w:val="1"/>
      <w:numFmt w:val="bullet"/>
      <w:lvlText w:val=""/>
      <w:lvlJc w:val="left"/>
      <w:pPr>
        <w:ind w:left="2880" w:hanging="360"/>
      </w:pPr>
      <w:rPr>
        <w:rFonts w:ascii="Symbol" w:hAnsi="Symbol" w:hint="default"/>
      </w:rPr>
    </w:lvl>
    <w:lvl w:ilvl="4" w:tplc="77AA1EB0" w:tentative="1">
      <w:start w:val="1"/>
      <w:numFmt w:val="bullet"/>
      <w:lvlText w:val="o"/>
      <w:lvlJc w:val="left"/>
      <w:pPr>
        <w:ind w:left="3600" w:hanging="360"/>
      </w:pPr>
      <w:rPr>
        <w:rFonts w:ascii="Courier New" w:hAnsi="Courier New" w:hint="default"/>
      </w:rPr>
    </w:lvl>
    <w:lvl w:ilvl="5" w:tplc="9C76C156" w:tentative="1">
      <w:start w:val="1"/>
      <w:numFmt w:val="bullet"/>
      <w:lvlText w:val=""/>
      <w:lvlJc w:val="left"/>
      <w:pPr>
        <w:ind w:left="4320" w:hanging="360"/>
      </w:pPr>
      <w:rPr>
        <w:rFonts w:ascii="Wingdings" w:hAnsi="Wingdings" w:hint="default"/>
      </w:rPr>
    </w:lvl>
    <w:lvl w:ilvl="6" w:tplc="97B4804C" w:tentative="1">
      <w:start w:val="1"/>
      <w:numFmt w:val="bullet"/>
      <w:lvlText w:val=""/>
      <w:lvlJc w:val="left"/>
      <w:pPr>
        <w:ind w:left="5040" w:hanging="360"/>
      </w:pPr>
      <w:rPr>
        <w:rFonts w:ascii="Symbol" w:hAnsi="Symbol" w:hint="default"/>
      </w:rPr>
    </w:lvl>
    <w:lvl w:ilvl="7" w:tplc="653408C6" w:tentative="1">
      <w:start w:val="1"/>
      <w:numFmt w:val="bullet"/>
      <w:lvlText w:val="o"/>
      <w:lvlJc w:val="left"/>
      <w:pPr>
        <w:ind w:left="5760" w:hanging="360"/>
      </w:pPr>
      <w:rPr>
        <w:rFonts w:ascii="Courier New" w:hAnsi="Courier New" w:hint="default"/>
      </w:rPr>
    </w:lvl>
    <w:lvl w:ilvl="8" w:tplc="EFD699E8" w:tentative="1">
      <w:start w:val="1"/>
      <w:numFmt w:val="bullet"/>
      <w:lvlText w:val=""/>
      <w:lvlJc w:val="left"/>
      <w:pPr>
        <w:ind w:left="6480" w:hanging="360"/>
      </w:pPr>
      <w:rPr>
        <w:rFonts w:ascii="Wingdings" w:hAnsi="Wingdings" w:hint="default"/>
      </w:rPr>
    </w:lvl>
  </w:abstractNum>
  <w:abstractNum w:abstractNumId="161" w15:restartNumberingAfterBreak="0">
    <w:nsid w:val="1DF90B5C"/>
    <w:multiLevelType w:val="multilevel"/>
    <w:tmpl w:val="F1B4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E3B6A37"/>
    <w:multiLevelType w:val="multilevel"/>
    <w:tmpl w:val="123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E3C27B6"/>
    <w:multiLevelType w:val="hybridMultilevel"/>
    <w:tmpl w:val="4436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1F0704B9"/>
    <w:multiLevelType w:val="hybridMultilevel"/>
    <w:tmpl w:val="8A78A12A"/>
    <w:lvl w:ilvl="0" w:tplc="138C61FC">
      <w:start w:val="1"/>
      <w:numFmt w:val="bullet"/>
      <w:lvlText w:val=""/>
      <w:lvlJc w:val="left"/>
      <w:pPr>
        <w:ind w:left="360" w:hanging="360"/>
      </w:pPr>
      <w:rPr>
        <w:rFonts w:ascii="Symbol" w:hAnsi="Symbol" w:hint="default"/>
        <w:color w:val="auto"/>
      </w:rPr>
    </w:lvl>
    <w:lvl w:ilvl="1" w:tplc="5A1C5E20">
      <w:start w:val="1"/>
      <w:numFmt w:val="bullet"/>
      <w:lvlText w:val="o"/>
      <w:lvlJc w:val="left"/>
      <w:pPr>
        <w:ind w:left="1080" w:hanging="360"/>
      </w:pPr>
      <w:rPr>
        <w:rFonts w:ascii="Courier New" w:hAnsi="Courier New" w:hint="default"/>
      </w:rPr>
    </w:lvl>
    <w:lvl w:ilvl="2" w:tplc="649E656E" w:tentative="1">
      <w:start w:val="1"/>
      <w:numFmt w:val="bullet"/>
      <w:lvlText w:val=""/>
      <w:lvlJc w:val="left"/>
      <w:pPr>
        <w:ind w:left="1800" w:hanging="360"/>
      </w:pPr>
      <w:rPr>
        <w:rFonts w:ascii="Wingdings" w:hAnsi="Wingdings" w:hint="default"/>
      </w:rPr>
    </w:lvl>
    <w:lvl w:ilvl="3" w:tplc="A9CC8EA6" w:tentative="1">
      <w:start w:val="1"/>
      <w:numFmt w:val="bullet"/>
      <w:lvlText w:val=""/>
      <w:lvlJc w:val="left"/>
      <w:pPr>
        <w:ind w:left="2520" w:hanging="360"/>
      </w:pPr>
      <w:rPr>
        <w:rFonts w:ascii="Symbol" w:hAnsi="Symbol" w:hint="default"/>
      </w:rPr>
    </w:lvl>
    <w:lvl w:ilvl="4" w:tplc="E6A62F92" w:tentative="1">
      <w:start w:val="1"/>
      <w:numFmt w:val="bullet"/>
      <w:lvlText w:val="o"/>
      <w:lvlJc w:val="left"/>
      <w:pPr>
        <w:ind w:left="3240" w:hanging="360"/>
      </w:pPr>
      <w:rPr>
        <w:rFonts w:ascii="Courier New" w:hAnsi="Courier New" w:hint="default"/>
      </w:rPr>
    </w:lvl>
    <w:lvl w:ilvl="5" w:tplc="4BAEB4B6" w:tentative="1">
      <w:start w:val="1"/>
      <w:numFmt w:val="bullet"/>
      <w:lvlText w:val=""/>
      <w:lvlJc w:val="left"/>
      <w:pPr>
        <w:ind w:left="3960" w:hanging="360"/>
      </w:pPr>
      <w:rPr>
        <w:rFonts w:ascii="Wingdings" w:hAnsi="Wingdings" w:hint="default"/>
      </w:rPr>
    </w:lvl>
    <w:lvl w:ilvl="6" w:tplc="268071EC" w:tentative="1">
      <w:start w:val="1"/>
      <w:numFmt w:val="bullet"/>
      <w:lvlText w:val=""/>
      <w:lvlJc w:val="left"/>
      <w:pPr>
        <w:ind w:left="4680" w:hanging="360"/>
      </w:pPr>
      <w:rPr>
        <w:rFonts w:ascii="Symbol" w:hAnsi="Symbol" w:hint="default"/>
      </w:rPr>
    </w:lvl>
    <w:lvl w:ilvl="7" w:tplc="E4B0CB6A" w:tentative="1">
      <w:start w:val="1"/>
      <w:numFmt w:val="bullet"/>
      <w:lvlText w:val="o"/>
      <w:lvlJc w:val="left"/>
      <w:pPr>
        <w:ind w:left="5400" w:hanging="360"/>
      </w:pPr>
      <w:rPr>
        <w:rFonts w:ascii="Courier New" w:hAnsi="Courier New" w:hint="default"/>
      </w:rPr>
    </w:lvl>
    <w:lvl w:ilvl="8" w:tplc="566AA97A" w:tentative="1">
      <w:start w:val="1"/>
      <w:numFmt w:val="bullet"/>
      <w:lvlText w:val=""/>
      <w:lvlJc w:val="left"/>
      <w:pPr>
        <w:ind w:left="6120" w:hanging="360"/>
      </w:pPr>
      <w:rPr>
        <w:rFonts w:ascii="Wingdings" w:hAnsi="Wingdings" w:hint="default"/>
      </w:rPr>
    </w:lvl>
  </w:abstractNum>
  <w:abstractNum w:abstractNumId="165" w15:restartNumberingAfterBreak="0">
    <w:nsid w:val="1F8D2D0E"/>
    <w:multiLevelType w:val="multilevel"/>
    <w:tmpl w:val="7A54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F9A09D2"/>
    <w:multiLevelType w:val="hybridMultilevel"/>
    <w:tmpl w:val="F3AE20EE"/>
    <w:lvl w:ilvl="0" w:tplc="D2E06D20">
      <w:start w:val="1"/>
      <w:numFmt w:val="bullet"/>
      <w:lvlText w:val=""/>
      <w:lvlJc w:val="left"/>
      <w:pPr>
        <w:ind w:left="720" w:hanging="360"/>
      </w:pPr>
      <w:rPr>
        <w:rFonts w:ascii="Symbol" w:hAnsi="Symbol" w:hint="default"/>
      </w:rPr>
    </w:lvl>
    <w:lvl w:ilvl="1" w:tplc="CF22D0AE" w:tentative="1">
      <w:start w:val="1"/>
      <w:numFmt w:val="bullet"/>
      <w:lvlText w:val="o"/>
      <w:lvlJc w:val="left"/>
      <w:pPr>
        <w:ind w:left="1440" w:hanging="360"/>
      </w:pPr>
      <w:rPr>
        <w:rFonts w:ascii="Courier New" w:hAnsi="Courier New" w:hint="default"/>
      </w:rPr>
    </w:lvl>
    <w:lvl w:ilvl="2" w:tplc="5DF2A790" w:tentative="1">
      <w:start w:val="1"/>
      <w:numFmt w:val="bullet"/>
      <w:lvlText w:val=""/>
      <w:lvlJc w:val="left"/>
      <w:pPr>
        <w:ind w:left="2160" w:hanging="360"/>
      </w:pPr>
      <w:rPr>
        <w:rFonts w:ascii="Wingdings" w:hAnsi="Wingdings" w:hint="default"/>
      </w:rPr>
    </w:lvl>
    <w:lvl w:ilvl="3" w:tplc="AF365404" w:tentative="1">
      <w:start w:val="1"/>
      <w:numFmt w:val="bullet"/>
      <w:lvlText w:val=""/>
      <w:lvlJc w:val="left"/>
      <w:pPr>
        <w:ind w:left="2880" w:hanging="360"/>
      </w:pPr>
      <w:rPr>
        <w:rFonts w:ascii="Symbol" w:hAnsi="Symbol" w:hint="default"/>
      </w:rPr>
    </w:lvl>
    <w:lvl w:ilvl="4" w:tplc="7870E6E4" w:tentative="1">
      <w:start w:val="1"/>
      <w:numFmt w:val="bullet"/>
      <w:lvlText w:val="o"/>
      <w:lvlJc w:val="left"/>
      <w:pPr>
        <w:ind w:left="3600" w:hanging="360"/>
      </w:pPr>
      <w:rPr>
        <w:rFonts w:ascii="Courier New" w:hAnsi="Courier New" w:hint="default"/>
      </w:rPr>
    </w:lvl>
    <w:lvl w:ilvl="5" w:tplc="62EC5DAC" w:tentative="1">
      <w:start w:val="1"/>
      <w:numFmt w:val="bullet"/>
      <w:lvlText w:val=""/>
      <w:lvlJc w:val="left"/>
      <w:pPr>
        <w:ind w:left="4320" w:hanging="360"/>
      </w:pPr>
      <w:rPr>
        <w:rFonts w:ascii="Wingdings" w:hAnsi="Wingdings" w:hint="default"/>
      </w:rPr>
    </w:lvl>
    <w:lvl w:ilvl="6" w:tplc="F07C64E6" w:tentative="1">
      <w:start w:val="1"/>
      <w:numFmt w:val="bullet"/>
      <w:lvlText w:val=""/>
      <w:lvlJc w:val="left"/>
      <w:pPr>
        <w:ind w:left="5040" w:hanging="360"/>
      </w:pPr>
      <w:rPr>
        <w:rFonts w:ascii="Symbol" w:hAnsi="Symbol" w:hint="default"/>
      </w:rPr>
    </w:lvl>
    <w:lvl w:ilvl="7" w:tplc="21C60A9C" w:tentative="1">
      <w:start w:val="1"/>
      <w:numFmt w:val="bullet"/>
      <w:lvlText w:val="o"/>
      <w:lvlJc w:val="left"/>
      <w:pPr>
        <w:ind w:left="5760" w:hanging="360"/>
      </w:pPr>
      <w:rPr>
        <w:rFonts w:ascii="Courier New" w:hAnsi="Courier New" w:hint="default"/>
      </w:rPr>
    </w:lvl>
    <w:lvl w:ilvl="8" w:tplc="5100BD40" w:tentative="1">
      <w:start w:val="1"/>
      <w:numFmt w:val="bullet"/>
      <w:lvlText w:val=""/>
      <w:lvlJc w:val="left"/>
      <w:pPr>
        <w:ind w:left="6480" w:hanging="360"/>
      </w:pPr>
      <w:rPr>
        <w:rFonts w:ascii="Wingdings" w:hAnsi="Wingdings" w:hint="default"/>
      </w:rPr>
    </w:lvl>
  </w:abstractNum>
  <w:abstractNum w:abstractNumId="167" w15:restartNumberingAfterBreak="0">
    <w:nsid w:val="1FF07771"/>
    <w:multiLevelType w:val="hybridMultilevel"/>
    <w:tmpl w:val="E6669166"/>
    <w:lvl w:ilvl="0" w:tplc="2A5EAB9C">
      <w:start w:val="1"/>
      <w:numFmt w:val="bullet"/>
      <w:lvlText w:val=""/>
      <w:lvlJc w:val="left"/>
      <w:pPr>
        <w:ind w:left="720" w:hanging="360"/>
      </w:pPr>
      <w:rPr>
        <w:rFonts w:ascii="Symbol" w:hAnsi="Symbol" w:hint="default"/>
      </w:rPr>
    </w:lvl>
    <w:lvl w:ilvl="1" w:tplc="10B66B0A" w:tentative="1">
      <w:start w:val="1"/>
      <w:numFmt w:val="bullet"/>
      <w:lvlText w:val="o"/>
      <w:lvlJc w:val="left"/>
      <w:pPr>
        <w:ind w:left="1440" w:hanging="360"/>
      </w:pPr>
      <w:rPr>
        <w:rFonts w:ascii="Courier New" w:hAnsi="Courier New" w:hint="default"/>
      </w:rPr>
    </w:lvl>
    <w:lvl w:ilvl="2" w:tplc="C188221A" w:tentative="1">
      <w:start w:val="1"/>
      <w:numFmt w:val="bullet"/>
      <w:lvlText w:val=""/>
      <w:lvlJc w:val="left"/>
      <w:pPr>
        <w:ind w:left="2160" w:hanging="360"/>
      </w:pPr>
      <w:rPr>
        <w:rFonts w:ascii="Wingdings" w:hAnsi="Wingdings" w:hint="default"/>
      </w:rPr>
    </w:lvl>
    <w:lvl w:ilvl="3" w:tplc="8BD051CA" w:tentative="1">
      <w:start w:val="1"/>
      <w:numFmt w:val="bullet"/>
      <w:lvlText w:val=""/>
      <w:lvlJc w:val="left"/>
      <w:pPr>
        <w:ind w:left="2880" w:hanging="360"/>
      </w:pPr>
      <w:rPr>
        <w:rFonts w:ascii="Symbol" w:hAnsi="Symbol" w:hint="default"/>
      </w:rPr>
    </w:lvl>
    <w:lvl w:ilvl="4" w:tplc="2098B55C" w:tentative="1">
      <w:start w:val="1"/>
      <w:numFmt w:val="bullet"/>
      <w:lvlText w:val="o"/>
      <w:lvlJc w:val="left"/>
      <w:pPr>
        <w:ind w:left="3600" w:hanging="360"/>
      </w:pPr>
      <w:rPr>
        <w:rFonts w:ascii="Courier New" w:hAnsi="Courier New" w:hint="default"/>
      </w:rPr>
    </w:lvl>
    <w:lvl w:ilvl="5" w:tplc="3194486C" w:tentative="1">
      <w:start w:val="1"/>
      <w:numFmt w:val="bullet"/>
      <w:lvlText w:val=""/>
      <w:lvlJc w:val="left"/>
      <w:pPr>
        <w:ind w:left="4320" w:hanging="360"/>
      </w:pPr>
      <w:rPr>
        <w:rFonts w:ascii="Wingdings" w:hAnsi="Wingdings" w:hint="default"/>
      </w:rPr>
    </w:lvl>
    <w:lvl w:ilvl="6" w:tplc="B038C9E6" w:tentative="1">
      <w:start w:val="1"/>
      <w:numFmt w:val="bullet"/>
      <w:lvlText w:val=""/>
      <w:lvlJc w:val="left"/>
      <w:pPr>
        <w:ind w:left="5040" w:hanging="360"/>
      </w:pPr>
      <w:rPr>
        <w:rFonts w:ascii="Symbol" w:hAnsi="Symbol" w:hint="default"/>
      </w:rPr>
    </w:lvl>
    <w:lvl w:ilvl="7" w:tplc="2EA61292" w:tentative="1">
      <w:start w:val="1"/>
      <w:numFmt w:val="bullet"/>
      <w:lvlText w:val="o"/>
      <w:lvlJc w:val="left"/>
      <w:pPr>
        <w:ind w:left="5760" w:hanging="360"/>
      </w:pPr>
      <w:rPr>
        <w:rFonts w:ascii="Courier New" w:hAnsi="Courier New" w:hint="default"/>
      </w:rPr>
    </w:lvl>
    <w:lvl w:ilvl="8" w:tplc="C87A6E74" w:tentative="1">
      <w:start w:val="1"/>
      <w:numFmt w:val="bullet"/>
      <w:lvlText w:val=""/>
      <w:lvlJc w:val="left"/>
      <w:pPr>
        <w:ind w:left="6480" w:hanging="360"/>
      </w:pPr>
      <w:rPr>
        <w:rFonts w:ascii="Wingdings" w:hAnsi="Wingdings" w:hint="default"/>
      </w:rPr>
    </w:lvl>
  </w:abstractNum>
  <w:abstractNum w:abstractNumId="168" w15:restartNumberingAfterBreak="0">
    <w:nsid w:val="200F288D"/>
    <w:multiLevelType w:val="multilevel"/>
    <w:tmpl w:val="CA5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011637A"/>
    <w:multiLevelType w:val="hybridMultilevel"/>
    <w:tmpl w:val="DD80FF30"/>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201F6E7A"/>
    <w:multiLevelType w:val="hybridMultilevel"/>
    <w:tmpl w:val="F278A6AC"/>
    <w:lvl w:ilvl="0" w:tplc="26341C82">
      <w:numFmt w:val="bullet"/>
      <w:lvlText w:val="•"/>
      <w:lvlJc w:val="left"/>
      <w:pPr>
        <w:ind w:left="720" w:hanging="360"/>
      </w:pPr>
      <w:rPr>
        <w:rFonts w:ascii="Aptos" w:eastAsia="Aptos" w:hAnsi="Aptos" w:cs="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1" w15:restartNumberingAfterBreak="0">
    <w:nsid w:val="202A11CC"/>
    <w:multiLevelType w:val="hybridMultilevel"/>
    <w:tmpl w:val="DE4EF726"/>
    <w:lvl w:ilvl="0" w:tplc="181C6AD2">
      <w:start w:val="1"/>
      <w:numFmt w:val="bullet"/>
      <w:lvlText w:val=""/>
      <w:lvlJc w:val="left"/>
      <w:pPr>
        <w:ind w:left="360" w:hanging="360"/>
      </w:pPr>
      <w:rPr>
        <w:rFonts w:ascii="Symbol" w:hAnsi="Symbol" w:hint="default"/>
      </w:rPr>
    </w:lvl>
    <w:lvl w:ilvl="1" w:tplc="5434E3B8">
      <w:start w:val="1"/>
      <w:numFmt w:val="bullet"/>
      <w:lvlText w:val="o"/>
      <w:lvlJc w:val="left"/>
      <w:pPr>
        <w:ind w:left="993" w:hanging="360"/>
      </w:pPr>
      <w:rPr>
        <w:rFonts w:ascii="Courier New" w:hAnsi="Courier New" w:hint="default"/>
      </w:rPr>
    </w:lvl>
    <w:lvl w:ilvl="2" w:tplc="B4800F62" w:tentative="1">
      <w:start w:val="1"/>
      <w:numFmt w:val="bullet"/>
      <w:lvlText w:val=""/>
      <w:lvlJc w:val="left"/>
      <w:pPr>
        <w:ind w:left="1800" w:hanging="360"/>
      </w:pPr>
      <w:rPr>
        <w:rFonts w:ascii="Wingdings" w:hAnsi="Wingdings" w:hint="default"/>
      </w:rPr>
    </w:lvl>
    <w:lvl w:ilvl="3" w:tplc="8A50B376" w:tentative="1">
      <w:start w:val="1"/>
      <w:numFmt w:val="bullet"/>
      <w:lvlText w:val=""/>
      <w:lvlJc w:val="left"/>
      <w:pPr>
        <w:ind w:left="2520" w:hanging="360"/>
      </w:pPr>
      <w:rPr>
        <w:rFonts w:ascii="Symbol" w:hAnsi="Symbol" w:hint="default"/>
      </w:rPr>
    </w:lvl>
    <w:lvl w:ilvl="4" w:tplc="4F6AFA94" w:tentative="1">
      <w:start w:val="1"/>
      <w:numFmt w:val="bullet"/>
      <w:lvlText w:val="o"/>
      <w:lvlJc w:val="left"/>
      <w:pPr>
        <w:ind w:left="3240" w:hanging="360"/>
      </w:pPr>
      <w:rPr>
        <w:rFonts w:ascii="Courier New" w:hAnsi="Courier New" w:hint="default"/>
      </w:rPr>
    </w:lvl>
    <w:lvl w:ilvl="5" w:tplc="81923F04" w:tentative="1">
      <w:start w:val="1"/>
      <w:numFmt w:val="bullet"/>
      <w:lvlText w:val=""/>
      <w:lvlJc w:val="left"/>
      <w:pPr>
        <w:ind w:left="3960" w:hanging="360"/>
      </w:pPr>
      <w:rPr>
        <w:rFonts w:ascii="Wingdings" w:hAnsi="Wingdings" w:hint="default"/>
      </w:rPr>
    </w:lvl>
    <w:lvl w:ilvl="6" w:tplc="D1EAA4BE" w:tentative="1">
      <w:start w:val="1"/>
      <w:numFmt w:val="bullet"/>
      <w:lvlText w:val=""/>
      <w:lvlJc w:val="left"/>
      <w:pPr>
        <w:ind w:left="4680" w:hanging="360"/>
      </w:pPr>
      <w:rPr>
        <w:rFonts w:ascii="Symbol" w:hAnsi="Symbol" w:hint="default"/>
      </w:rPr>
    </w:lvl>
    <w:lvl w:ilvl="7" w:tplc="945ADF36" w:tentative="1">
      <w:start w:val="1"/>
      <w:numFmt w:val="bullet"/>
      <w:lvlText w:val="o"/>
      <w:lvlJc w:val="left"/>
      <w:pPr>
        <w:ind w:left="5400" w:hanging="360"/>
      </w:pPr>
      <w:rPr>
        <w:rFonts w:ascii="Courier New" w:hAnsi="Courier New" w:hint="default"/>
      </w:rPr>
    </w:lvl>
    <w:lvl w:ilvl="8" w:tplc="9ACC0862" w:tentative="1">
      <w:start w:val="1"/>
      <w:numFmt w:val="bullet"/>
      <w:lvlText w:val=""/>
      <w:lvlJc w:val="left"/>
      <w:pPr>
        <w:ind w:left="6120" w:hanging="360"/>
      </w:pPr>
      <w:rPr>
        <w:rFonts w:ascii="Wingdings" w:hAnsi="Wingdings" w:hint="default"/>
      </w:rPr>
    </w:lvl>
  </w:abstractNum>
  <w:abstractNum w:abstractNumId="172" w15:restartNumberingAfterBreak="0">
    <w:nsid w:val="202C00A4"/>
    <w:multiLevelType w:val="multilevel"/>
    <w:tmpl w:val="6872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08B29A7"/>
    <w:multiLevelType w:val="multilevel"/>
    <w:tmpl w:val="517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0910D63"/>
    <w:multiLevelType w:val="multilevel"/>
    <w:tmpl w:val="8E1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0A0457D"/>
    <w:multiLevelType w:val="multilevel"/>
    <w:tmpl w:val="3D8E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0C4329C"/>
    <w:multiLevelType w:val="multilevel"/>
    <w:tmpl w:val="96B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0FE6AB4"/>
    <w:multiLevelType w:val="hybridMultilevel"/>
    <w:tmpl w:val="B66CF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211D18E0"/>
    <w:multiLevelType w:val="hybridMultilevel"/>
    <w:tmpl w:val="E350FEB0"/>
    <w:lvl w:ilvl="0" w:tplc="7C869674">
      <w:start w:val="1"/>
      <w:numFmt w:val="bullet"/>
      <w:lvlText w:val=""/>
      <w:lvlJc w:val="left"/>
      <w:pPr>
        <w:ind w:left="720" w:hanging="360"/>
      </w:pPr>
      <w:rPr>
        <w:rFonts w:ascii="Symbol" w:hAnsi="Symbol" w:hint="default"/>
      </w:rPr>
    </w:lvl>
    <w:lvl w:ilvl="1" w:tplc="5B6CB338" w:tentative="1">
      <w:start w:val="1"/>
      <w:numFmt w:val="bullet"/>
      <w:lvlText w:val="o"/>
      <w:lvlJc w:val="left"/>
      <w:pPr>
        <w:ind w:left="1440" w:hanging="360"/>
      </w:pPr>
      <w:rPr>
        <w:rFonts w:ascii="Courier New" w:hAnsi="Courier New" w:hint="default"/>
      </w:rPr>
    </w:lvl>
    <w:lvl w:ilvl="2" w:tplc="02165162" w:tentative="1">
      <w:start w:val="1"/>
      <w:numFmt w:val="bullet"/>
      <w:lvlText w:val=""/>
      <w:lvlJc w:val="left"/>
      <w:pPr>
        <w:ind w:left="2160" w:hanging="360"/>
      </w:pPr>
      <w:rPr>
        <w:rFonts w:ascii="Wingdings" w:hAnsi="Wingdings" w:hint="default"/>
      </w:rPr>
    </w:lvl>
    <w:lvl w:ilvl="3" w:tplc="A4EC9ED2" w:tentative="1">
      <w:start w:val="1"/>
      <w:numFmt w:val="bullet"/>
      <w:lvlText w:val=""/>
      <w:lvlJc w:val="left"/>
      <w:pPr>
        <w:ind w:left="2880" w:hanging="360"/>
      </w:pPr>
      <w:rPr>
        <w:rFonts w:ascii="Symbol" w:hAnsi="Symbol" w:hint="default"/>
      </w:rPr>
    </w:lvl>
    <w:lvl w:ilvl="4" w:tplc="56182C8A" w:tentative="1">
      <w:start w:val="1"/>
      <w:numFmt w:val="bullet"/>
      <w:lvlText w:val="o"/>
      <w:lvlJc w:val="left"/>
      <w:pPr>
        <w:ind w:left="3600" w:hanging="360"/>
      </w:pPr>
      <w:rPr>
        <w:rFonts w:ascii="Courier New" w:hAnsi="Courier New" w:hint="default"/>
      </w:rPr>
    </w:lvl>
    <w:lvl w:ilvl="5" w:tplc="25904F88" w:tentative="1">
      <w:start w:val="1"/>
      <w:numFmt w:val="bullet"/>
      <w:lvlText w:val=""/>
      <w:lvlJc w:val="left"/>
      <w:pPr>
        <w:ind w:left="4320" w:hanging="360"/>
      </w:pPr>
      <w:rPr>
        <w:rFonts w:ascii="Wingdings" w:hAnsi="Wingdings" w:hint="default"/>
      </w:rPr>
    </w:lvl>
    <w:lvl w:ilvl="6" w:tplc="9B46445A" w:tentative="1">
      <w:start w:val="1"/>
      <w:numFmt w:val="bullet"/>
      <w:lvlText w:val=""/>
      <w:lvlJc w:val="left"/>
      <w:pPr>
        <w:ind w:left="5040" w:hanging="360"/>
      </w:pPr>
      <w:rPr>
        <w:rFonts w:ascii="Symbol" w:hAnsi="Symbol" w:hint="default"/>
      </w:rPr>
    </w:lvl>
    <w:lvl w:ilvl="7" w:tplc="AD307B84" w:tentative="1">
      <w:start w:val="1"/>
      <w:numFmt w:val="bullet"/>
      <w:lvlText w:val="o"/>
      <w:lvlJc w:val="left"/>
      <w:pPr>
        <w:ind w:left="5760" w:hanging="360"/>
      </w:pPr>
      <w:rPr>
        <w:rFonts w:ascii="Courier New" w:hAnsi="Courier New" w:hint="default"/>
      </w:rPr>
    </w:lvl>
    <w:lvl w:ilvl="8" w:tplc="F56A8892" w:tentative="1">
      <w:start w:val="1"/>
      <w:numFmt w:val="bullet"/>
      <w:lvlText w:val=""/>
      <w:lvlJc w:val="left"/>
      <w:pPr>
        <w:ind w:left="6480" w:hanging="360"/>
      </w:pPr>
      <w:rPr>
        <w:rFonts w:ascii="Wingdings" w:hAnsi="Wingdings" w:hint="default"/>
      </w:rPr>
    </w:lvl>
  </w:abstractNum>
  <w:abstractNum w:abstractNumId="179" w15:restartNumberingAfterBreak="0">
    <w:nsid w:val="21223F42"/>
    <w:multiLevelType w:val="multilevel"/>
    <w:tmpl w:val="70C0EC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1230430"/>
    <w:multiLevelType w:val="multilevel"/>
    <w:tmpl w:val="A43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157444E"/>
    <w:multiLevelType w:val="hybridMultilevel"/>
    <w:tmpl w:val="7996CD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216E1EFC"/>
    <w:multiLevelType w:val="multilevel"/>
    <w:tmpl w:val="D8B0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17A7085"/>
    <w:multiLevelType w:val="hybridMultilevel"/>
    <w:tmpl w:val="E0B085DA"/>
    <w:lvl w:ilvl="0" w:tplc="0AD6F916">
      <w:start w:val="1"/>
      <w:numFmt w:val="bullet"/>
      <w:lvlText w:val=""/>
      <w:lvlJc w:val="left"/>
      <w:pPr>
        <w:ind w:left="360" w:hanging="360"/>
      </w:pPr>
      <w:rPr>
        <w:rFonts w:ascii="Symbol" w:hAnsi="Symbol" w:hint="default"/>
        <w:color w:val="auto"/>
      </w:rPr>
    </w:lvl>
    <w:lvl w:ilvl="1" w:tplc="75B044EE" w:tentative="1">
      <w:start w:val="1"/>
      <w:numFmt w:val="bullet"/>
      <w:lvlText w:val="o"/>
      <w:lvlJc w:val="left"/>
      <w:pPr>
        <w:ind w:left="1080" w:hanging="360"/>
      </w:pPr>
      <w:rPr>
        <w:rFonts w:ascii="Courier New" w:hAnsi="Courier New" w:hint="default"/>
      </w:rPr>
    </w:lvl>
    <w:lvl w:ilvl="2" w:tplc="B55890DA" w:tentative="1">
      <w:start w:val="1"/>
      <w:numFmt w:val="bullet"/>
      <w:lvlText w:val=""/>
      <w:lvlJc w:val="left"/>
      <w:pPr>
        <w:ind w:left="1800" w:hanging="360"/>
      </w:pPr>
      <w:rPr>
        <w:rFonts w:ascii="Wingdings" w:hAnsi="Wingdings" w:hint="default"/>
      </w:rPr>
    </w:lvl>
    <w:lvl w:ilvl="3" w:tplc="5DF01398" w:tentative="1">
      <w:start w:val="1"/>
      <w:numFmt w:val="bullet"/>
      <w:lvlText w:val=""/>
      <w:lvlJc w:val="left"/>
      <w:pPr>
        <w:ind w:left="2520" w:hanging="360"/>
      </w:pPr>
      <w:rPr>
        <w:rFonts w:ascii="Symbol" w:hAnsi="Symbol" w:hint="default"/>
      </w:rPr>
    </w:lvl>
    <w:lvl w:ilvl="4" w:tplc="306017D2" w:tentative="1">
      <w:start w:val="1"/>
      <w:numFmt w:val="bullet"/>
      <w:lvlText w:val="o"/>
      <w:lvlJc w:val="left"/>
      <w:pPr>
        <w:ind w:left="3240" w:hanging="360"/>
      </w:pPr>
      <w:rPr>
        <w:rFonts w:ascii="Courier New" w:hAnsi="Courier New" w:hint="default"/>
      </w:rPr>
    </w:lvl>
    <w:lvl w:ilvl="5" w:tplc="49CA4EF8" w:tentative="1">
      <w:start w:val="1"/>
      <w:numFmt w:val="bullet"/>
      <w:lvlText w:val=""/>
      <w:lvlJc w:val="left"/>
      <w:pPr>
        <w:ind w:left="3960" w:hanging="360"/>
      </w:pPr>
      <w:rPr>
        <w:rFonts w:ascii="Wingdings" w:hAnsi="Wingdings" w:hint="default"/>
      </w:rPr>
    </w:lvl>
    <w:lvl w:ilvl="6" w:tplc="D07E282A" w:tentative="1">
      <w:start w:val="1"/>
      <w:numFmt w:val="bullet"/>
      <w:lvlText w:val=""/>
      <w:lvlJc w:val="left"/>
      <w:pPr>
        <w:ind w:left="4680" w:hanging="360"/>
      </w:pPr>
      <w:rPr>
        <w:rFonts w:ascii="Symbol" w:hAnsi="Symbol" w:hint="default"/>
      </w:rPr>
    </w:lvl>
    <w:lvl w:ilvl="7" w:tplc="3B5A5520" w:tentative="1">
      <w:start w:val="1"/>
      <w:numFmt w:val="bullet"/>
      <w:lvlText w:val="o"/>
      <w:lvlJc w:val="left"/>
      <w:pPr>
        <w:ind w:left="5400" w:hanging="360"/>
      </w:pPr>
      <w:rPr>
        <w:rFonts w:ascii="Courier New" w:hAnsi="Courier New" w:hint="default"/>
      </w:rPr>
    </w:lvl>
    <w:lvl w:ilvl="8" w:tplc="3DF40490" w:tentative="1">
      <w:start w:val="1"/>
      <w:numFmt w:val="bullet"/>
      <w:lvlText w:val=""/>
      <w:lvlJc w:val="left"/>
      <w:pPr>
        <w:ind w:left="6120" w:hanging="360"/>
      </w:pPr>
      <w:rPr>
        <w:rFonts w:ascii="Wingdings" w:hAnsi="Wingdings" w:hint="default"/>
      </w:rPr>
    </w:lvl>
  </w:abstractNum>
  <w:abstractNum w:abstractNumId="184" w15:restartNumberingAfterBreak="0">
    <w:nsid w:val="21B71180"/>
    <w:multiLevelType w:val="hybridMultilevel"/>
    <w:tmpl w:val="1D302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1DC20F3"/>
    <w:multiLevelType w:val="multilevel"/>
    <w:tmpl w:val="656E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2304801"/>
    <w:multiLevelType w:val="hybridMultilevel"/>
    <w:tmpl w:val="0C4E7E46"/>
    <w:lvl w:ilvl="0" w:tplc="F1AE4E72">
      <w:start w:val="1"/>
      <w:numFmt w:val="bullet"/>
      <w:lvlText w:val=""/>
      <w:lvlJc w:val="left"/>
      <w:pPr>
        <w:ind w:left="720" w:hanging="360"/>
      </w:pPr>
      <w:rPr>
        <w:rFonts w:ascii="Symbol" w:hAnsi="Symbol" w:hint="default"/>
      </w:rPr>
    </w:lvl>
    <w:lvl w:ilvl="1" w:tplc="FD16E1E2" w:tentative="1">
      <w:start w:val="1"/>
      <w:numFmt w:val="bullet"/>
      <w:lvlText w:val="o"/>
      <w:lvlJc w:val="left"/>
      <w:pPr>
        <w:ind w:left="1440" w:hanging="360"/>
      </w:pPr>
      <w:rPr>
        <w:rFonts w:ascii="Courier New" w:hAnsi="Courier New" w:hint="default"/>
      </w:rPr>
    </w:lvl>
    <w:lvl w:ilvl="2" w:tplc="21B8D2DC" w:tentative="1">
      <w:start w:val="1"/>
      <w:numFmt w:val="bullet"/>
      <w:lvlText w:val=""/>
      <w:lvlJc w:val="left"/>
      <w:pPr>
        <w:ind w:left="2160" w:hanging="360"/>
      </w:pPr>
      <w:rPr>
        <w:rFonts w:ascii="Wingdings" w:hAnsi="Wingdings" w:hint="default"/>
      </w:rPr>
    </w:lvl>
    <w:lvl w:ilvl="3" w:tplc="D5384406" w:tentative="1">
      <w:start w:val="1"/>
      <w:numFmt w:val="bullet"/>
      <w:lvlText w:val=""/>
      <w:lvlJc w:val="left"/>
      <w:pPr>
        <w:ind w:left="2880" w:hanging="360"/>
      </w:pPr>
      <w:rPr>
        <w:rFonts w:ascii="Symbol" w:hAnsi="Symbol" w:hint="default"/>
      </w:rPr>
    </w:lvl>
    <w:lvl w:ilvl="4" w:tplc="068683FE" w:tentative="1">
      <w:start w:val="1"/>
      <w:numFmt w:val="bullet"/>
      <w:lvlText w:val="o"/>
      <w:lvlJc w:val="left"/>
      <w:pPr>
        <w:ind w:left="3600" w:hanging="360"/>
      </w:pPr>
      <w:rPr>
        <w:rFonts w:ascii="Courier New" w:hAnsi="Courier New" w:hint="default"/>
      </w:rPr>
    </w:lvl>
    <w:lvl w:ilvl="5" w:tplc="0F407518" w:tentative="1">
      <w:start w:val="1"/>
      <w:numFmt w:val="bullet"/>
      <w:lvlText w:val=""/>
      <w:lvlJc w:val="left"/>
      <w:pPr>
        <w:ind w:left="4320" w:hanging="360"/>
      </w:pPr>
      <w:rPr>
        <w:rFonts w:ascii="Wingdings" w:hAnsi="Wingdings" w:hint="default"/>
      </w:rPr>
    </w:lvl>
    <w:lvl w:ilvl="6" w:tplc="BA3AE48C" w:tentative="1">
      <w:start w:val="1"/>
      <w:numFmt w:val="bullet"/>
      <w:lvlText w:val=""/>
      <w:lvlJc w:val="left"/>
      <w:pPr>
        <w:ind w:left="5040" w:hanging="360"/>
      </w:pPr>
      <w:rPr>
        <w:rFonts w:ascii="Symbol" w:hAnsi="Symbol" w:hint="default"/>
      </w:rPr>
    </w:lvl>
    <w:lvl w:ilvl="7" w:tplc="82DCA764" w:tentative="1">
      <w:start w:val="1"/>
      <w:numFmt w:val="bullet"/>
      <w:lvlText w:val="o"/>
      <w:lvlJc w:val="left"/>
      <w:pPr>
        <w:ind w:left="5760" w:hanging="360"/>
      </w:pPr>
      <w:rPr>
        <w:rFonts w:ascii="Courier New" w:hAnsi="Courier New" w:hint="default"/>
      </w:rPr>
    </w:lvl>
    <w:lvl w:ilvl="8" w:tplc="2BEA369A" w:tentative="1">
      <w:start w:val="1"/>
      <w:numFmt w:val="bullet"/>
      <w:lvlText w:val=""/>
      <w:lvlJc w:val="left"/>
      <w:pPr>
        <w:ind w:left="6480" w:hanging="360"/>
      </w:pPr>
      <w:rPr>
        <w:rFonts w:ascii="Wingdings" w:hAnsi="Wingdings" w:hint="default"/>
      </w:rPr>
    </w:lvl>
  </w:abstractNum>
  <w:abstractNum w:abstractNumId="187" w15:restartNumberingAfterBreak="0">
    <w:nsid w:val="224D25B6"/>
    <w:multiLevelType w:val="hybridMultilevel"/>
    <w:tmpl w:val="15F4A7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22683766"/>
    <w:multiLevelType w:val="hybridMultilevel"/>
    <w:tmpl w:val="934895CA"/>
    <w:lvl w:ilvl="0" w:tplc="F00A6DDE">
      <w:start w:val="1"/>
      <w:numFmt w:val="bullet"/>
      <w:lvlText w:val=""/>
      <w:lvlJc w:val="left"/>
      <w:pPr>
        <w:ind w:left="1800" w:hanging="360"/>
      </w:pPr>
      <w:rPr>
        <w:rFonts w:ascii="Symbol" w:hAnsi="Symbol" w:hint="default"/>
        <w:color w:val="auto"/>
      </w:rPr>
    </w:lvl>
    <w:lvl w:ilvl="1" w:tplc="7C2E8096">
      <w:start w:val="1"/>
      <w:numFmt w:val="bullet"/>
      <w:lvlText w:val="o"/>
      <w:lvlJc w:val="left"/>
      <w:pPr>
        <w:ind w:left="2520" w:hanging="360"/>
      </w:pPr>
      <w:rPr>
        <w:rFonts w:ascii="Courier New" w:hAnsi="Courier New" w:hint="default"/>
      </w:rPr>
    </w:lvl>
    <w:lvl w:ilvl="2" w:tplc="675CBE6C">
      <w:start w:val="1"/>
      <w:numFmt w:val="bullet"/>
      <w:lvlText w:val=""/>
      <w:lvlJc w:val="left"/>
      <w:pPr>
        <w:ind w:left="3240" w:hanging="360"/>
      </w:pPr>
      <w:rPr>
        <w:rFonts w:ascii="Wingdings" w:hAnsi="Wingdings" w:hint="default"/>
      </w:rPr>
    </w:lvl>
    <w:lvl w:ilvl="3" w:tplc="A4BE7B56" w:tentative="1">
      <w:start w:val="1"/>
      <w:numFmt w:val="bullet"/>
      <w:lvlText w:val=""/>
      <w:lvlJc w:val="left"/>
      <w:pPr>
        <w:ind w:left="3960" w:hanging="360"/>
      </w:pPr>
      <w:rPr>
        <w:rFonts w:ascii="Symbol" w:hAnsi="Symbol" w:hint="default"/>
      </w:rPr>
    </w:lvl>
    <w:lvl w:ilvl="4" w:tplc="00B69D78" w:tentative="1">
      <w:start w:val="1"/>
      <w:numFmt w:val="bullet"/>
      <w:lvlText w:val="o"/>
      <w:lvlJc w:val="left"/>
      <w:pPr>
        <w:ind w:left="4680" w:hanging="360"/>
      </w:pPr>
      <w:rPr>
        <w:rFonts w:ascii="Courier New" w:hAnsi="Courier New" w:hint="default"/>
      </w:rPr>
    </w:lvl>
    <w:lvl w:ilvl="5" w:tplc="B242343E" w:tentative="1">
      <w:start w:val="1"/>
      <w:numFmt w:val="bullet"/>
      <w:lvlText w:val=""/>
      <w:lvlJc w:val="left"/>
      <w:pPr>
        <w:ind w:left="5400" w:hanging="360"/>
      </w:pPr>
      <w:rPr>
        <w:rFonts w:ascii="Wingdings" w:hAnsi="Wingdings" w:hint="default"/>
      </w:rPr>
    </w:lvl>
    <w:lvl w:ilvl="6" w:tplc="B2608606" w:tentative="1">
      <w:start w:val="1"/>
      <w:numFmt w:val="bullet"/>
      <w:lvlText w:val=""/>
      <w:lvlJc w:val="left"/>
      <w:pPr>
        <w:ind w:left="6120" w:hanging="360"/>
      </w:pPr>
      <w:rPr>
        <w:rFonts w:ascii="Symbol" w:hAnsi="Symbol" w:hint="default"/>
      </w:rPr>
    </w:lvl>
    <w:lvl w:ilvl="7" w:tplc="2A1CEABC" w:tentative="1">
      <w:start w:val="1"/>
      <w:numFmt w:val="bullet"/>
      <w:lvlText w:val="o"/>
      <w:lvlJc w:val="left"/>
      <w:pPr>
        <w:ind w:left="6840" w:hanging="360"/>
      </w:pPr>
      <w:rPr>
        <w:rFonts w:ascii="Courier New" w:hAnsi="Courier New" w:hint="default"/>
      </w:rPr>
    </w:lvl>
    <w:lvl w:ilvl="8" w:tplc="B91AA862" w:tentative="1">
      <w:start w:val="1"/>
      <w:numFmt w:val="bullet"/>
      <w:lvlText w:val=""/>
      <w:lvlJc w:val="left"/>
      <w:pPr>
        <w:ind w:left="7560" w:hanging="360"/>
      </w:pPr>
      <w:rPr>
        <w:rFonts w:ascii="Wingdings" w:hAnsi="Wingdings" w:hint="default"/>
      </w:rPr>
    </w:lvl>
  </w:abstractNum>
  <w:abstractNum w:abstractNumId="189" w15:restartNumberingAfterBreak="0">
    <w:nsid w:val="2279242E"/>
    <w:multiLevelType w:val="multilevel"/>
    <w:tmpl w:val="8678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27D5A0A"/>
    <w:multiLevelType w:val="hybridMultilevel"/>
    <w:tmpl w:val="DB7CB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227DD2AB"/>
    <w:multiLevelType w:val="hybridMultilevel"/>
    <w:tmpl w:val="0CB26ADA"/>
    <w:lvl w:ilvl="0" w:tplc="CC461928">
      <w:start w:val="1"/>
      <w:numFmt w:val="bullet"/>
      <w:lvlText w:val=""/>
      <w:lvlJc w:val="left"/>
      <w:pPr>
        <w:ind w:left="720" w:hanging="360"/>
      </w:pPr>
      <w:rPr>
        <w:rFonts w:ascii="Symbol" w:hAnsi="Symbol" w:hint="default"/>
      </w:rPr>
    </w:lvl>
    <w:lvl w:ilvl="1" w:tplc="8D567D4C">
      <w:start w:val="1"/>
      <w:numFmt w:val="bullet"/>
      <w:lvlText w:val="o"/>
      <w:lvlJc w:val="left"/>
      <w:pPr>
        <w:ind w:left="1440" w:hanging="360"/>
      </w:pPr>
      <w:rPr>
        <w:rFonts w:ascii="Courier New" w:hAnsi="Courier New" w:hint="default"/>
      </w:rPr>
    </w:lvl>
    <w:lvl w:ilvl="2" w:tplc="52F64012">
      <w:start w:val="1"/>
      <w:numFmt w:val="bullet"/>
      <w:lvlText w:val=""/>
      <w:lvlJc w:val="left"/>
      <w:pPr>
        <w:ind w:left="2160" w:hanging="360"/>
      </w:pPr>
      <w:rPr>
        <w:rFonts w:ascii="Wingdings" w:hAnsi="Wingdings" w:hint="default"/>
      </w:rPr>
    </w:lvl>
    <w:lvl w:ilvl="3" w:tplc="565A1AD0">
      <w:start w:val="1"/>
      <w:numFmt w:val="bullet"/>
      <w:lvlText w:val=""/>
      <w:lvlJc w:val="left"/>
      <w:pPr>
        <w:ind w:left="2880" w:hanging="360"/>
      </w:pPr>
      <w:rPr>
        <w:rFonts w:ascii="Symbol" w:hAnsi="Symbol" w:hint="default"/>
      </w:rPr>
    </w:lvl>
    <w:lvl w:ilvl="4" w:tplc="E662D694">
      <w:start w:val="1"/>
      <w:numFmt w:val="bullet"/>
      <w:lvlText w:val="o"/>
      <w:lvlJc w:val="left"/>
      <w:pPr>
        <w:ind w:left="3600" w:hanging="360"/>
      </w:pPr>
      <w:rPr>
        <w:rFonts w:ascii="Courier New" w:hAnsi="Courier New" w:hint="default"/>
      </w:rPr>
    </w:lvl>
    <w:lvl w:ilvl="5" w:tplc="70CA6FD6">
      <w:start w:val="1"/>
      <w:numFmt w:val="bullet"/>
      <w:lvlText w:val=""/>
      <w:lvlJc w:val="left"/>
      <w:pPr>
        <w:ind w:left="4320" w:hanging="360"/>
      </w:pPr>
      <w:rPr>
        <w:rFonts w:ascii="Wingdings" w:hAnsi="Wingdings" w:hint="default"/>
      </w:rPr>
    </w:lvl>
    <w:lvl w:ilvl="6" w:tplc="D9CE6D62">
      <w:start w:val="1"/>
      <w:numFmt w:val="bullet"/>
      <w:lvlText w:val=""/>
      <w:lvlJc w:val="left"/>
      <w:pPr>
        <w:ind w:left="5040" w:hanging="360"/>
      </w:pPr>
      <w:rPr>
        <w:rFonts w:ascii="Symbol" w:hAnsi="Symbol" w:hint="default"/>
      </w:rPr>
    </w:lvl>
    <w:lvl w:ilvl="7" w:tplc="B70E3B48">
      <w:start w:val="1"/>
      <w:numFmt w:val="bullet"/>
      <w:lvlText w:val="o"/>
      <w:lvlJc w:val="left"/>
      <w:pPr>
        <w:ind w:left="5760" w:hanging="360"/>
      </w:pPr>
      <w:rPr>
        <w:rFonts w:ascii="Courier New" w:hAnsi="Courier New" w:hint="default"/>
      </w:rPr>
    </w:lvl>
    <w:lvl w:ilvl="8" w:tplc="B93E2DB4">
      <w:start w:val="1"/>
      <w:numFmt w:val="bullet"/>
      <w:lvlText w:val=""/>
      <w:lvlJc w:val="left"/>
      <w:pPr>
        <w:ind w:left="6480" w:hanging="360"/>
      </w:pPr>
      <w:rPr>
        <w:rFonts w:ascii="Wingdings" w:hAnsi="Wingdings" w:hint="default"/>
      </w:rPr>
    </w:lvl>
  </w:abstractNum>
  <w:abstractNum w:abstractNumId="192" w15:restartNumberingAfterBreak="0">
    <w:nsid w:val="2281653B"/>
    <w:multiLevelType w:val="hybridMultilevel"/>
    <w:tmpl w:val="30BE2DF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29B8DF7"/>
    <w:multiLevelType w:val="multilevel"/>
    <w:tmpl w:val="BF360D96"/>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22D8624B"/>
    <w:multiLevelType w:val="hybridMultilevel"/>
    <w:tmpl w:val="6B60CDA0"/>
    <w:lvl w:ilvl="0" w:tplc="0F0C993E">
      <w:start w:val="1"/>
      <w:numFmt w:val="bullet"/>
      <w:lvlText w:val=""/>
      <w:lvlJc w:val="left"/>
      <w:pPr>
        <w:ind w:left="720" w:hanging="360"/>
      </w:pPr>
      <w:rPr>
        <w:rFonts w:ascii="Symbol" w:hAnsi="Symbol" w:hint="default"/>
      </w:rPr>
    </w:lvl>
    <w:lvl w:ilvl="1" w:tplc="77267818">
      <w:start w:val="1"/>
      <w:numFmt w:val="bullet"/>
      <w:lvlText w:val="o"/>
      <w:lvlJc w:val="left"/>
      <w:pPr>
        <w:ind w:left="1440" w:hanging="360"/>
      </w:pPr>
      <w:rPr>
        <w:rFonts w:ascii="Courier New" w:hAnsi="Courier New" w:hint="default"/>
      </w:rPr>
    </w:lvl>
    <w:lvl w:ilvl="2" w:tplc="8B06EB7A">
      <w:start w:val="1"/>
      <w:numFmt w:val="bullet"/>
      <w:lvlText w:val=""/>
      <w:lvlJc w:val="left"/>
      <w:pPr>
        <w:ind w:left="2160" w:hanging="360"/>
      </w:pPr>
      <w:rPr>
        <w:rFonts w:ascii="Wingdings" w:hAnsi="Wingdings" w:hint="default"/>
      </w:rPr>
    </w:lvl>
    <w:lvl w:ilvl="3" w:tplc="5DA6103A" w:tentative="1">
      <w:start w:val="1"/>
      <w:numFmt w:val="bullet"/>
      <w:lvlText w:val=""/>
      <w:lvlJc w:val="left"/>
      <w:pPr>
        <w:ind w:left="2880" w:hanging="360"/>
      </w:pPr>
      <w:rPr>
        <w:rFonts w:ascii="Symbol" w:hAnsi="Symbol" w:hint="default"/>
      </w:rPr>
    </w:lvl>
    <w:lvl w:ilvl="4" w:tplc="E7600CD0" w:tentative="1">
      <w:start w:val="1"/>
      <w:numFmt w:val="bullet"/>
      <w:lvlText w:val="o"/>
      <w:lvlJc w:val="left"/>
      <w:pPr>
        <w:ind w:left="3600" w:hanging="360"/>
      </w:pPr>
      <w:rPr>
        <w:rFonts w:ascii="Courier New" w:hAnsi="Courier New" w:hint="default"/>
      </w:rPr>
    </w:lvl>
    <w:lvl w:ilvl="5" w:tplc="F89E59C8" w:tentative="1">
      <w:start w:val="1"/>
      <w:numFmt w:val="bullet"/>
      <w:lvlText w:val=""/>
      <w:lvlJc w:val="left"/>
      <w:pPr>
        <w:ind w:left="4320" w:hanging="360"/>
      </w:pPr>
      <w:rPr>
        <w:rFonts w:ascii="Wingdings" w:hAnsi="Wingdings" w:hint="default"/>
      </w:rPr>
    </w:lvl>
    <w:lvl w:ilvl="6" w:tplc="A1002798" w:tentative="1">
      <w:start w:val="1"/>
      <w:numFmt w:val="bullet"/>
      <w:lvlText w:val=""/>
      <w:lvlJc w:val="left"/>
      <w:pPr>
        <w:ind w:left="5040" w:hanging="360"/>
      </w:pPr>
      <w:rPr>
        <w:rFonts w:ascii="Symbol" w:hAnsi="Symbol" w:hint="default"/>
      </w:rPr>
    </w:lvl>
    <w:lvl w:ilvl="7" w:tplc="55B8EF04" w:tentative="1">
      <w:start w:val="1"/>
      <w:numFmt w:val="bullet"/>
      <w:lvlText w:val="o"/>
      <w:lvlJc w:val="left"/>
      <w:pPr>
        <w:ind w:left="5760" w:hanging="360"/>
      </w:pPr>
      <w:rPr>
        <w:rFonts w:ascii="Courier New" w:hAnsi="Courier New" w:hint="default"/>
      </w:rPr>
    </w:lvl>
    <w:lvl w:ilvl="8" w:tplc="F31E7AA6" w:tentative="1">
      <w:start w:val="1"/>
      <w:numFmt w:val="bullet"/>
      <w:lvlText w:val=""/>
      <w:lvlJc w:val="left"/>
      <w:pPr>
        <w:ind w:left="6480" w:hanging="360"/>
      </w:pPr>
      <w:rPr>
        <w:rFonts w:ascii="Wingdings" w:hAnsi="Wingdings" w:hint="default"/>
      </w:rPr>
    </w:lvl>
  </w:abstractNum>
  <w:abstractNum w:abstractNumId="195" w15:restartNumberingAfterBreak="0">
    <w:nsid w:val="23180CBA"/>
    <w:multiLevelType w:val="multilevel"/>
    <w:tmpl w:val="ED0C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3343646"/>
    <w:multiLevelType w:val="hybridMultilevel"/>
    <w:tmpl w:val="A1F00178"/>
    <w:lvl w:ilvl="0" w:tplc="5166313A">
      <w:start w:val="1"/>
      <w:numFmt w:val="bullet"/>
      <w:lvlText w:val=""/>
      <w:lvlJc w:val="left"/>
      <w:pPr>
        <w:ind w:left="720" w:hanging="360"/>
      </w:pPr>
      <w:rPr>
        <w:rFonts w:ascii="Symbol" w:hAnsi="Symbol" w:hint="default"/>
      </w:rPr>
    </w:lvl>
    <w:lvl w:ilvl="1" w:tplc="DE2E1884" w:tentative="1">
      <w:start w:val="1"/>
      <w:numFmt w:val="bullet"/>
      <w:lvlText w:val="o"/>
      <w:lvlJc w:val="left"/>
      <w:pPr>
        <w:ind w:left="1440" w:hanging="360"/>
      </w:pPr>
      <w:rPr>
        <w:rFonts w:ascii="Courier New" w:hAnsi="Courier New" w:hint="default"/>
      </w:rPr>
    </w:lvl>
    <w:lvl w:ilvl="2" w:tplc="E32A5E00" w:tentative="1">
      <w:start w:val="1"/>
      <w:numFmt w:val="bullet"/>
      <w:lvlText w:val=""/>
      <w:lvlJc w:val="left"/>
      <w:pPr>
        <w:ind w:left="2160" w:hanging="360"/>
      </w:pPr>
      <w:rPr>
        <w:rFonts w:ascii="Wingdings" w:hAnsi="Wingdings" w:hint="default"/>
      </w:rPr>
    </w:lvl>
    <w:lvl w:ilvl="3" w:tplc="90384016" w:tentative="1">
      <w:start w:val="1"/>
      <w:numFmt w:val="bullet"/>
      <w:lvlText w:val=""/>
      <w:lvlJc w:val="left"/>
      <w:pPr>
        <w:ind w:left="2880" w:hanging="360"/>
      </w:pPr>
      <w:rPr>
        <w:rFonts w:ascii="Symbol" w:hAnsi="Symbol" w:hint="default"/>
      </w:rPr>
    </w:lvl>
    <w:lvl w:ilvl="4" w:tplc="EDEE8AA0" w:tentative="1">
      <w:start w:val="1"/>
      <w:numFmt w:val="bullet"/>
      <w:lvlText w:val="o"/>
      <w:lvlJc w:val="left"/>
      <w:pPr>
        <w:ind w:left="3600" w:hanging="360"/>
      </w:pPr>
      <w:rPr>
        <w:rFonts w:ascii="Courier New" w:hAnsi="Courier New" w:hint="default"/>
      </w:rPr>
    </w:lvl>
    <w:lvl w:ilvl="5" w:tplc="C85AAB4E" w:tentative="1">
      <w:start w:val="1"/>
      <w:numFmt w:val="bullet"/>
      <w:lvlText w:val=""/>
      <w:lvlJc w:val="left"/>
      <w:pPr>
        <w:ind w:left="4320" w:hanging="360"/>
      </w:pPr>
      <w:rPr>
        <w:rFonts w:ascii="Wingdings" w:hAnsi="Wingdings" w:hint="default"/>
      </w:rPr>
    </w:lvl>
    <w:lvl w:ilvl="6" w:tplc="6586576C" w:tentative="1">
      <w:start w:val="1"/>
      <w:numFmt w:val="bullet"/>
      <w:lvlText w:val=""/>
      <w:lvlJc w:val="left"/>
      <w:pPr>
        <w:ind w:left="5040" w:hanging="360"/>
      </w:pPr>
      <w:rPr>
        <w:rFonts w:ascii="Symbol" w:hAnsi="Symbol" w:hint="default"/>
      </w:rPr>
    </w:lvl>
    <w:lvl w:ilvl="7" w:tplc="3C8C59A6" w:tentative="1">
      <w:start w:val="1"/>
      <w:numFmt w:val="bullet"/>
      <w:lvlText w:val="o"/>
      <w:lvlJc w:val="left"/>
      <w:pPr>
        <w:ind w:left="5760" w:hanging="360"/>
      </w:pPr>
      <w:rPr>
        <w:rFonts w:ascii="Courier New" w:hAnsi="Courier New" w:hint="default"/>
      </w:rPr>
    </w:lvl>
    <w:lvl w:ilvl="8" w:tplc="CDBE66D2" w:tentative="1">
      <w:start w:val="1"/>
      <w:numFmt w:val="bullet"/>
      <w:lvlText w:val=""/>
      <w:lvlJc w:val="left"/>
      <w:pPr>
        <w:ind w:left="6480" w:hanging="360"/>
      </w:pPr>
      <w:rPr>
        <w:rFonts w:ascii="Wingdings" w:hAnsi="Wingdings" w:hint="default"/>
      </w:rPr>
    </w:lvl>
  </w:abstractNum>
  <w:abstractNum w:abstractNumId="197" w15:restartNumberingAfterBreak="0">
    <w:nsid w:val="23924468"/>
    <w:multiLevelType w:val="multilevel"/>
    <w:tmpl w:val="3758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4394A14"/>
    <w:multiLevelType w:val="hybridMultilevel"/>
    <w:tmpl w:val="BD0E51AC"/>
    <w:lvl w:ilvl="0" w:tplc="1018A9B6">
      <w:start w:val="1"/>
      <w:numFmt w:val="bullet"/>
      <w:lvlText w:val=""/>
      <w:lvlJc w:val="left"/>
      <w:pPr>
        <w:ind w:left="720" w:hanging="360"/>
      </w:pPr>
      <w:rPr>
        <w:rFonts w:ascii="Symbol" w:hAnsi="Symbol" w:hint="default"/>
      </w:rPr>
    </w:lvl>
    <w:lvl w:ilvl="1" w:tplc="39DE6F82" w:tentative="1">
      <w:start w:val="1"/>
      <w:numFmt w:val="bullet"/>
      <w:lvlText w:val="o"/>
      <w:lvlJc w:val="left"/>
      <w:pPr>
        <w:ind w:left="1440" w:hanging="360"/>
      </w:pPr>
      <w:rPr>
        <w:rFonts w:ascii="Courier New" w:hAnsi="Courier New" w:hint="default"/>
      </w:rPr>
    </w:lvl>
    <w:lvl w:ilvl="2" w:tplc="5F360800" w:tentative="1">
      <w:start w:val="1"/>
      <w:numFmt w:val="bullet"/>
      <w:lvlText w:val=""/>
      <w:lvlJc w:val="left"/>
      <w:pPr>
        <w:ind w:left="2160" w:hanging="360"/>
      </w:pPr>
      <w:rPr>
        <w:rFonts w:ascii="Wingdings" w:hAnsi="Wingdings" w:hint="default"/>
      </w:rPr>
    </w:lvl>
    <w:lvl w:ilvl="3" w:tplc="43C06F78" w:tentative="1">
      <w:start w:val="1"/>
      <w:numFmt w:val="bullet"/>
      <w:lvlText w:val=""/>
      <w:lvlJc w:val="left"/>
      <w:pPr>
        <w:ind w:left="2880" w:hanging="360"/>
      </w:pPr>
      <w:rPr>
        <w:rFonts w:ascii="Symbol" w:hAnsi="Symbol" w:hint="default"/>
      </w:rPr>
    </w:lvl>
    <w:lvl w:ilvl="4" w:tplc="BFF6E65E" w:tentative="1">
      <w:start w:val="1"/>
      <w:numFmt w:val="bullet"/>
      <w:lvlText w:val="o"/>
      <w:lvlJc w:val="left"/>
      <w:pPr>
        <w:ind w:left="3600" w:hanging="360"/>
      </w:pPr>
      <w:rPr>
        <w:rFonts w:ascii="Courier New" w:hAnsi="Courier New" w:hint="default"/>
      </w:rPr>
    </w:lvl>
    <w:lvl w:ilvl="5" w:tplc="65E0DB82" w:tentative="1">
      <w:start w:val="1"/>
      <w:numFmt w:val="bullet"/>
      <w:lvlText w:val=""/>
      <w:lvlJc w:val="left"/>
      <w:pPr>
        <w:ind w:left="4320" w:hanging="360"/>
      </w:pPr>
      <w:rPr>
        <w:rFonts w:ascii="Wingdings" w:hAnsi="Wingdings" w:hint="default"/>
      </w:rPr>
    </w:lvl>
    <w:lvl w:ilvl="6" w:tplc="A1E413BE" w:tentative="1">
      <w:start w:val="1"/>
      <w:numFmt w:val="bullet"/>
      <w:lvlText w:val=""/>
      <w:lvlJc w:val="left"/>
      <w:pPr>
        <w:ind w:left="5040" w:hanging="360"/>
      </w:pPr>
      <w:rPr>
        <w:rFonts w:ascii="Symbol" w:hAnsi="Symbol" w:hint="default"/>
      </w:rPr>
    </w:lvl>
    <w:lvl w:ilvl="7" w:tplc="D35E460E" w:tentative="1">
      <w:start w:val="1"/>
      <w:numFmt w:val="bullet"/>
      <w:lvlText w:val="o"/>
      <w:lvlJc w:val="left"/>
      <w:pPr>
        <w:ind w:left="5760" w:hanging="360"/>
      </w:pPr>
      <w:rPr>
        <w:rFonts w:ascii="Courier New" w:hAnsi="Courier New" w:hint="default"/>
      </w:rPr>
    </w:lvl>
    <w:lvl w:ilvl="8" w:tplc="FA623730" w:tentative="1">
      <w:start w:val="1"/>
      <w:numFmt w:val="bullet"/>
      <w:lvlText w:val=""/>
      <w:lvlJc w:val="left"/>
      <w:pPr>
        <w:ind w:left="6480" w:hanging="360"/>
      </w:pPr>
      <w:rPr>
        <w:rFonts w:ascii="Wingdings" w:hAnsi="Wingdings" w:hint="default"/>
      </w:rPr>
    </w:lvl>
  </w:abstractNum>
  <w:abstractNum w:abstractNumId="199" w15:restartNumberingAfterBreak="0">
    <w:nsid w:val="243C5CE7"/>
    <w:multiLevelType w:val="multilevel"/>
    <w:tmpl w:val="8C12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45C1E6C"/>
    <w:multiLevelType w:val="multilevel"/>
    <w:tmpl w:val="93F46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4784161"/>
    <w:multiLevelType w:val="hybridMultilevel"/>
    <w:tmpl w:val="D9C8758E"/>
    <w:lvl w:ilvl="0" w:tplc="8998EEC2">
      <w:start w:val="1"/>
      <w:numFmt w:val="bullet"/>
      <w:lvlText w:val=""/>
      <w:lvlJc w:val="left"/>
      <w:pPr>
        <w:ind w:left="720" w:hanging="360"/>
      </w:pPr>
      <w:rPr>
        <w:rFonts w:ascii="Symbol" w:hAnsi="Symbol" w:hint="default"/>
      </w:rPr>
    </w:lvl>
    <w:lvl w:ilvl="1" w:tplc="3AFC26B8" w:tentative="1">
      <w:start w:val="1"/>
      <w:numFmt w:val="bullet"/>
      <w:lvlText w:val="o"/>
      <w:lvlJc w:val="left"/>
      <w:pPr>
        <w:ind w:left="1440" w:hanging="360"/>
      </w:pPr>
      <w:rPr>
        <w:rFonts w:ascii="Courier New" w:hAnsi="Courier New" w:hint="default"/>
      </w:rPr>
    </w:lvl>
    <w:lvl w:ilvl="2" w:tplc="DA741886" w:tentative="1">
      <w:start w:val="1"/>
      <w:numFmt w:val="bullet"/>
      <w:lvlText w:val=""/>
      <w:lvlJc w:val="left"/>
      <w:pPr>
        <w:ind w:left="2160" w:hanging="360"/>
      </w:pPr>
      <w:rPr>
        <w:rFonts w:ascii="Wingdings" w:hAnsi="Wingdings" w:hint="default"/>
      </w:rPr>
    </w:lvl>
    <w:lvl w:ilvl="3" w:tplc="34C0F440" w:tentative="1">
      <w:start w:val="1"/>
      <w:numFmt w:val="bullet"/>
      <w:lvlText w:val=""/>
      <w:lvlJc w:val="left"/>
      <w:pPr>
        <w:ind w:left="2880" w:hanging="360"/>
      </w:pPr>
      <w:rPr>
        <w:rFonts w:ascii="Symbol" w:hAnsi="Symbol" w:hint="default"/>
      </w:rPr>
    </w:lvl>
    <w:lvl w:ilvl="4" w:tplc="DFA8ADAE" w:tentative="1">
      <w:start w:val="1"/>
      <w:numFmt w:val="bullet"/>
      <w:lvlText w:val="o"/>
      <w:lvlJc w:val="left"/>
      <w:pPr>
        <w:ind w:left="3600" w:hanging="360"/>
      </w:pPr>
      <w:rPr>
        <w:rFonts w:ascii="Courier New" w:hAnsi="Courier New" w:hint="default"/>
      </w:rPr>
    </w:lvl>
    <w:lvl w:ilvl="5" w:tplc="7C8203D4" w:tentative="1">
      <w:start w:val="1"/>
      <w:numFmt w:val="bullet"/>
      <w:lvlText w:val=""/>
      <w:lvlJc w:val="left"/>
      <w:pPr>
        <w:ind w:left="4320" w:hanging="360"/>
      </w:pPr>
      <w:rPr>
        <w:rFonts w:ascii="Wingdings" w:hAnsi="Wingdings" w:hint="default"/>
      </w:rPr>
    </w:lvl>
    <w:lvl w:ilvl="6" w:tplc="58006A40" w:tentative="1">
      <w:start w:val="1"/>
      <w:numFmt w:val="bullet"/>
      <w:lvlText w:val=""/>
      <w:lvlJc w:val="left"/>
      <w:pPr>
        <w:ind w:left="5040" w:hanging="360"/>
      </w:pPr>
      <w:rPr>
        <w:rFonts w:ascii="Symbol" w:hAnsi="Symbol" w:hint="default"/>
      </w:rPr>
    </w:lvl>
    <w:lvl w:ilvl="7" w:tplc="744C221A" w:tentative="1">
      <w:start w:val="1"/>
      <w:numFmt w:val="bullet"/>
      <w:lvlText w:val="o"/>
      <w:lvlJc w:val="left"/>
      <w:pPr>
        <w:ind w:left="5760" w:hanging="360"/>
      </w:pPr>
      <w:rPr>
        <w:rFonts w:ascii="Courier New" w:hAnsi="Courier New" w:hint="default"/>
      </w:rPr>
    </w:lvl>
    <w:lvl w:ilvl="8" w:tplc="AEE632E4" w:tentative="1">
      <w:start w:val="1"/>
      <w:numFmt w:val="bullet"/>
      <w:lvlText w:val=""/>
      <w:lvlJc w:val="left"/>
      <w:pPr>
        <w:ind w:left="6480" w:hanging="360"/>
      </w:pPr>
      <w:rPr>
        <w:rFonts w:ascii="Wingdings" w:hAnsi="Wingdings" w:hint="default"/>
      </w:rPr>
    </w:lvl>
  </w:abstractNum>
  <w:abstractNum w:abstractNumId="202" w15:restartNumberingAfterBreak="0">
    <w:nsid w:val="24BE3DBB"/>
    <w:multiLevelType w:val="hybridMultilevel"/>
    <w:tmpl w:val="EB7474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24D9B392"/>
    <w:multiLevelType w:val="hybridMultilevel"/>
    <w:tmpl w:val="CFC8ACF8"/>
    <w:lvl w:ilvl="0" w:tplc="45100AA6">
      <w:start w:val="1"/>
      <w:numFmt w:val="bullet"/>
      <w:lvlText w:val="·"/>
      <w:lvlJc w:val="left"/>
      <w:pPr>
        <w:ind w:left="720" w:hanging="360"/>
      </w:pPr>
      <w:rPr>
        <w:rFonts w:ascii="Symbol" w:hAnsi="Symbol" w:hint="default"/>
      </w:rPr>
    </w:lvl>
    <w:lvl w:ilvl="1" w:tplc="EF902410">
      <w:start w:val="1"/>
      <w:numFmt w:val="bullet"/>
      <w:lvlText w:val="o"/>
      <w:lvlJc w:val="left"/>
      <w:pPr>
        <w:ind w:left="1440" w:hanging="360"/>
      </w:pPr>
      <w:rPr>
        <w:rFonts w:ascii="Courier New" w:hAnsi="Courier New" w:hint="default"/>
      </w:rPr>
    </w:lvl>
    <w:lvl w:ilvl="2" w:tplc="00FE8A48">
      <w:start w:val="1"/>
      <w:numFmt w:val="bullet"/>
      <w:lvlText w:val=""/>
      <w:lvlJc w:val="left"/>
      <w:pPr>
        <w:ind w:left="2160" w:hanging="360"/>
      </w:pPr>
      <w:rPr>
        <w:rFonts w:ascii="Wingdings" w:hAnsi="Wingdings" w:hint="default"/>
      </w:rPr>
    </w:lvl>
    <w:lvl w:ilvl="3" w:tplc="7EC272BE">
      <w:start w:val="1"/>
      <w:numFmt w:val="bullet"/>
      <w:lvlText w:val=""/>
      <w:lvlJc w:val="left"/>
      <w:pPr>
        <w:ind w:left="2880" w:hanging="360"/>
      </w:pPr>
      <w:rPr>
        <w:rFonts w:ascii="Symbol" w:hAnsi="Symbol" w:hint="default"/>
      </w:rPr>
    </w:lvl>
    <w:lvl w:ilvl="4" w:tplc="5BDA337C">
      <w:start w:val="1"/>
      <w:numFmt w:val="bullet"/>
      <w:lvlText w:val="o"/>
      <w:lvlJc w:val="left"/>
      <w:pPr>
        <w:ind w:left="3600" w:hanging="360"/>
      </w:pPr>
      <w:rPr>
        <w:rFonts w:ascii="Courier New" w:hAnsi="Courier New" w:hint="default"/>
      </w:rPr>
    </w:lvl>
    <w:lvl w:ilvl="5" w:tplc="8BB65BBE">
      <w:start w:val="1"/>
      <w:numFmt w:val="bullet"/>
      <w:lvlText w:val=""/>
      <w:lvlJc w:val="left"/>
      <w:pPr>
        <w:ind w:left="4320" w:hanging="360"/>
      </w:pPr>
      <w:rPr>
        <w:rFonts w:ascii="Wingdings" w:hAnsi="Wingdings" w:hint="default"/>
      </w:rPr>
    </w:lvl>
    <w:lvl w:ilvl="6" w:tplc="DF568B16">
      <w:start w:val="1"/>
      <w:numFmt w:val="bullet"/>
      <w:lvlText w:val=""/>
      <w:lvlJc w:val="left"/>
      <w:pPr>
        <w:ind w:left="5040" w:hanging="360"/>
      </w:pPr>
      <w:rPr>
        <w:rFonts w:ascii="Symbol" w:hAnsi="Symbol" w:hint="default"/>
      </w:rPr>
    </w:lvl>
    <w:lvl w:ilvl="7" w:tplc="3DBEEC76">
      <w:start w:val="1"/>
      <w:numFmt w:val="bullet"/>
      <w:lvlText w:val="o"/>
      <w:lvlJc w:val="left"/>
      <w:pPr>
        <w:ind w:left="5760" w:hanging="360"/>
      </w:pPr>
      <w:rPr>
        <w:rFonts w:ascii="Courier New" w:hAnsi="Courier New" w:hint="default"/>
      </w:rPr>
    </w:lvl>
    <w:lvl w:ilvl="8" w:tplc="2780D824">
      <w:start w:val="1"/>
      <w:numFmt w:val="bullet"/>
      <w:lvlText w:val=""/>
      <w:lvlJc w:val="left"/>
      <w:pPr>
        <w:ind w:left="6480" w:hanging="360"/>
      </w:pPr>
      <w:rPr>
        <w:rFonts w:ascii="Wingdings" w:hAnsi="Wingdings" w:hint="default"/>
      </w:rPr>
    </w:lvl>
  </w:abstractNum>
  <w:abstractNum w:abstractNumId="204" w15:restartNumberingAfterBreak="0">
    <w:nsid w:val="25C41C04"/>
    <w:multiLevelType w:val="hybridMultilevel"/>
    <w:tmpl w:val="ECE47ED2"/>
    <w:lvl w:ilvl="0" w:tplc="BD4EF23A">
      <w:start w:val="1"/>
      <w:numFmt w:val="bullet"/>
      <w:lvlText w:val=""/>
      <w:lvlJc w:val="left"/>
      <w:pPr>
        <w:ind w:left="720" w:hanging="360"/>
      </w:pPr>
      <w:rPr>
        <w:rFonts w:ascii="Symbol" w:hAnsi="Symbol" w:hint="default"/>
      </w:rPr>
    </w:lvl>
    <w:lvl w:ilvl="1" w:tplc="1EC48750" w:tentative="1">
      <w:start w:val="1"/>
      <w:numFmt w:val="bullet"/>
      <w:lvlText w:val="o"/>
      <w:lvlJc w:val="left"/>
      <w:pPr>
        <w:ind w:left="1800" w:hanging="360"/>
      </w:pPr>
      <w:rPr>
        <w:rFonts w:ascii="Courier New" w:hAnsi="Courier New" w:hint="default"/>
      </w:rPr>
    </w:lvl>
    <w:lvl w:ilvl="2" w:tplc="81E24FEA" w:tentative="1">
      <w:start w:val="1"/>
      <w:numFmt w:val="bullet"/>
      <w:lvlText w:val=""/>
      <w:lvlJc w:val="left"/>
      <w:pPr>
        <w:ind w:left="2520" w:hanging="360"/>
      </w:pPr>
      <w:rPr>
        <w:rFonts w:ascii="Wingdings" w:hAnsi="Wingdings" w:hint="default"/>
      </w:rPr>
    </w:lvl>
    <w:lvl w:ilvl="3" w:tplc="549EBAC6" w:tentative="1">
      <w:start w:val="1"/>
      <w:numFmt w:val="bullet"/>
      <w:lvlText w:val=""/>
      <w:lvlJc w:val="left"/>
      <w:pPr>
        <w:ind w:left="3240" w:hanging="360"/>
      </w:pPr>
      <w:rPr>
        <w:rFonts w:ascii="Symbol" w:hAnsi="Symbol" w:hint="default"/>
      </w:rPr>
    </w:lvl>
    <w:lvl w:ilvl="4" w:tplc="E3F00138" w:tentative="1">
      <w:start w:val="1"/>
      <w:numFmt w:val="bullet"/>
      <w:lvlText w:val="o"/>
      <w:lvlJc w:val="left"/>
      <w:pPr>
        <w:ind w:left="3960" w:hanging="360"/>
      </w:pPr>
      <w:rPr>
        <w:rFonts w:ascii="Courier New" w:hAnsi="Courier New" w:hint="default"/>
      </w:rPr>
    </w:lvl>
    <w:lvl w:ilvl="5" w:tplc="1D1288D6" w:tentative="1">
      <w:start w:val="1"/>
      <w:numFmt w:val="bullet"/>
      <w:lvlText w:val=""/>
      <w:lvlJc w:val="left"/>
      <w:pPr>
        <w:ind w:left="4680" w:hanging="360"/>
      </w:pPr>
      <w:rPr>
        <w:rFonts w:ascii="Wingdings" w:hAnsi="Wingdings" w:hint="default"/>
      </w:rPr>
    </w:lvl>
    <w:lvl w:ilvl="6" w:tplc="1EE497D4" w:tentative="1">
      <w:start w:val="1"/>
      <w:numFmt w:val="bullet"/>
      <w:lvlText w:val=""/>
      <w:lvlJc w:val="left"/>
      <w:pPr>
        <w:ind w:left="5400" w:hanging="360"/>
      </w:pPr>
      <w:rPr>
        <w:rFonts w:ascii="Symbol" w:hAnsi="Symbol" w:hint="default"/>
      </w:rPr>
    </w:lvl>
    <w:lvl w:ilvl="7" w:tplc="3A7AA756" w:tentative="1">
      <w:start w:val="1"/>
      <w:numFmt w:val="bullet"/>
      <w:lvlText w:val="o"/>
      <w:lvlJc w:val="left"/>
      <w:pPr>
        <w:ind w:left="6120" w:hanging="360"/>
      </w:pPr>
      <w:rPr>
        <w:rFonts w:ascii="Courier New" w:hAnsi="Courier New" w:hint="default"/>
      </w:rPr>
    </w:lvl>
    <w:lvl w:ilvl="8" w:tplc="FAECD272" w:tentative="1">
      <w:start w:val="1"/>
      <w:numFmt w:val="bullet"/>
      <w:lvlText w:val=""/>
      <w:lvlJc w:val="left"/>
      <w:pPr>
        <w:ind w:left="6840" w:hanging="360"/>
      </w:pPr>
      <w:rPr>
        <w:rFonts w:ascii="Wingdings" w:hAnsi="Wingdings" w:hint="default"/>
      </w:rPr>
    </w:lvl>
  </w:abstractNum>
  <w:abstractNum w:abstractNumId="205" w15:restartNumberingAfterBreak="0">
    <w:nsid w:val="260C65BB"/>
    <w:multiLevelType w:val="multilevel"/>
    <w:tmpl w:val="FE72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60E19EF"/>
    <w:multiLevelType w:val="hybridMultilevel"/>
    <w:tmpl w:val="47E22D94"/>
    <w:lvl w:ilvl="0" w:tplc="6B5ADCB0">
      <w:start w:val="1"/>
      <w:numFmt w:val="bullet"/>
      <w:lvlText w:val=""/>
      <w:lvlJc w:val="left"/>
      <w:pPr>
        <w:ind w:left="1080" w:hanging="360"/>
      </w:pPr>
      <w:rPr>
        <w:rFonts w:ascii="Symbol" w:hAnsi="Symbol" w:hint="default"/>
      </w:rPr>
    </w:lvl>
    <w:lvl w:ilvl="1" w:tplc="CCF0BF2E" w:tentative="1">
      <w:start w:val="1"/>
      <w:numFmt w:val="bullet"/>
      <w:lvlText w:val="o"/>
      <w:lvlJc w:val="left"/>
      <w:pPr>
        <w:ind w:left="1800" w:hanging="360"/>
      </w:pPr>
      <w:rPr>
        <w:rFonts w:ascii="Courier New" w:hAnsi="Courier New" w:hint="default"/>
      </w:rPr>
    </w:lvl>
    <w:lvl w:ilvl="2" w:tplc="EE862520" w:tentative="1">
      <w:start w:val="1"/>
      <w:numFmt w:val="bullet"/>
      <w:lvlText w:val=""/>
      <w:lvlJc w:val="left"/>
      <w:pPr>
        <w:ind w:left="2520" w:hanging="360"/>
      </w:pPr>
      <w:rPr>
        <w:rFonts w:ascii="Wingdings" w:hAnsi="Wingdings" w:hint="default"/>
      </w:rPr>
    </w:lvl>
    <w:lvl w:ilvl="3" w:tplc="9C9EEE62" w:tentative="1">
      <w:start w:val="1"/>
      <w:numFmt w:val="bullet"/>
      <w:lvlText w:val=""/>
      <w:lvlJc w:val="left"/>
      <w:pPr>
        <w:ind w:left="3240" w:hanging="360"/>
      </w:pPr>
      <w:rPr>
        <w:rFonts w:ascii="Symbol" w:hAnsi="Symbol" w:hint="default"/>
      </w:rPr>
    </w:lvl>
    <w:lvl w:ilvl="4" w:tplc="CA48C500" w:tentative="1">
      <w:start w:val="1"/>
      <w:numFmt w:val="bullet"/>
      <w:lvlText w:val="o"/>
      <w:lvlJc w:val="left"/>
      <w:pPr>
        <w:ind w:left="3960" w:hanging="360"/>
      </w:pPr>
      <w:rPr>
        <w:rFonts w:ascii="Courier New" w:hAnsi="Courier New" w:hint="default"/>
      </w:rPr>
    </w:lvl>
    <w:lvl w:ilvl="5" w:tplc="1FA44776" w:tentative="1">
      <w:start w:val="1"/>
      <w:numFmt w:val="bullet"/>
      <w:lvlText w:val=""/>
      <w:lvlJc w:val="left"/>
      <w:pPr>
        <w:ind w:left="4680" w:hanging="360"/>
      </w:pPr>
      <w:rPr>
        <w:rFonts w:ascii="Wingdings" w:hAnsi="Wingdings" w:hint="default"/>
      </w:rPr>
    </w:lvl>
    <w:lvl w:ilvl="6" w:tplc="0CD6E7BA" w:tentative="1">
      <w:start w:val="1"/>
      <w:numFmt w:val="bullet"/>
      <w:lvlText w:val=""/>
      <w:lvlJc w:val="left"/>
      <w:pPr>
        <w:ind w:left="5400" w:hanging="360"/>
      </w:pPr>
      <w:rPr>
        <w:rFonts w:ascii="Symbol" w:hAnsi="Symbol" w:hint="default"/>
      </w:rPr>
    </w:lvl>
    <w:lvl w:ilvl="7" w:tplc="77EAE28A" w:tentative="1">
      <w:start w:val="1"/>
      <w:numFmt w:val="bullet"/>
      <w:lvlText w:val="o"/>
      <w:lvlJc w:val="left"/>
      <w:pPr>
        <w:ind w:left="6120" w:hanging="360"/>
      </w:pPr>
      <w:rPr>
        <w:rFonts w:ascii="Courier New" w:hAnsi="Courier New" w:hint="default"/>
      </w:rPr>
    </w:lvl>
    <w:lvl w:ilvl="8" w:tplc="80DA9818" w:tentative="1">
      <w:start w:val="1"/>
      <w:numFmt w:val="bullet"/>
      <w:lvlText w:val=""/>
      <w:lvlJc w:val="left"/>
      <w:pPr>
        <w:ind w:left="6840" w:hanging="360"/>
      </w:pPr>
      <w:rPr>
        <w:rFonts w:ascii="Wingdings" w:hAnsi="Wingdings" w:hint="default"/>
      </w:rPr>
    </w:lvl>
  </w:abstractNum>
  <w:abstractNum w:abstractNumId="207" w15:restartNumberingAfterBreak="0">
    <w:nsid w:val="2615318E"/>
    <w:multiLevelType w:val="hybridMultilevel"/>
    <w:tmpl w:val="A6106372"/>
    <w:lvl w:ilvl="0" w:tplc="1D2CA782">
      <w:start w:val="1"/>
      <w:numFmt w:val="bullet"/>
      <w:lvlText w:val=""/>
      <w:lvlJc w:val="left"/>
      <w:pPr>
        <w:ind w:left="720" w:hanging="360"/>
      </w:pPr>
      <w:rPr>
        <w:rFonts w:ascii="Symbol" w:hAnsi="Symbol" w:hint="default"/>
      </w:rPr>
    </w:lvl>
    <w:lvl w:ilvl="1" w:tplc="C3A8AE8E" w:tentative="1">
      <w:start w:val="1"/>
      <w:numFmt w:val="bullet"/>
      <w:lvlText w:val="o"/>
      <w:lvlJc w:val="left"/>
      <w:pPr>
        <w:ind w:left="1440" w:hanging="360"/>
      </w:pPr>
      <w:rPr>
        <w:rFonts w:ascii="Courier New" w:hAnsi="Courier New" w:hint="default"/>
      </w:rPr>
    </w:lvl>
    <w:lvl w:ilvl="2" w:tplc="EBACA42C" w:tentative="1">
      <w:start w:val="1"/>
      <w:numFmt w:val="bullet"/>
      <w:lvlText w:val=""/>
      <w:lvlJc w:val="left"/>
      <w:pPr>
        <w:ind w:left="2160" w:hanging="360"/>
      </w:pPr>
      <w:rPr>
        <w:rFonts w:ascii="Wingdings" w:hAnsi="Wingdings" w:hint="default"/>
      </w:rPr>
    </w:lvl>
    <w:lvl w:ilvl="3" w:tplc="AE9C09BA" w:tentative="1">
      <w:start w:val="1"/>
      <w:numFmt w:val="bullet"/>
      <w:lvlText w:val=""/>
      <w:lvlJc w:val="left"/>
      <w:pPr>
        <w:ind w:left="2880" w:hanging="360"/>
      </w:pPr>
      <w:rPr>
        <w:rFonts w:ascii="Symbol" w:hAnsi="Symbol" w:hint="default"/>
      </w:rPr>
    </w:lvl>
    <w:lvl w:ilvl="4" w:tplc="63B0CBE8" w:tentative="1">
      <w:start w:val="1"/>
      <w:numFmt w:val="bullet"/>
      <w:lvlText w:val="o"/>
      <w:lvlJc w:val="left"/>
      <w:pPr>
        <w:ind w:left="3600" w:hanging="360"/>
      </w:pPr>
      <w:rPr>
        <w:rFonts w:ascii="Courier New" w:hAnsi="Courier New" w:hint="default"/>
      </w:rPr>
    </w:lvl>
    <w:lvl w:ilvl="5" w:tplc="119ABD8A" w:tentative="1">
      <w:start w:val="1"/>
      <w:numFmt w:val="bullet"/>
      <w:lvlText w:val=""/>
      <w:lvlJc w:val="left"/>
      <w:pPr>
        <w:ind w:left="4320" w:hanging="360"/>
      </w:pPr>
      <w:rPr>
        <w:rFonts w:ascii="Wingdings" w:hAnsi="Wingdings" w:hint="default"/>
      </w:rPr>
    </w:lvl>
    <w:lvl w:ilvl="6" w:tplc="070EF464" w:tentative="1">
      <w:start w:val="1"/>
      <w:numFmt w:val="bullet"/>
      <w:lvlText w:val=""/>
      <w:lvlJc w:val="left"/>
      <w:pPr>
        <w:ind w:left="5040" w:hanging="360"/>
      </w:pPr>
      <w:rPr>
        <w:rFonts w:ascii="Symbol" w:hAnsi="Symbol" w:hint="default"/>
      </w:rPr>
    </w:lvl>
    <w:lvl w:ilvl="7" w:tplc="62B0972A" w:tentative="1">
      <w:start w:val="1"/>
      <w:numFmt w:val="bullet"/>
      <w:lvlText w:val="o"/>
      <w:lvlJc w:val="left"/>
      <w:pPr>
        <w:ind w:left="5760" w:hanging="360"/>
      </w:pPr>
      <w:rPr>
        <w:rFonts w:ascii="Courier New" w:hAnsi="Courier New" w:hint="default"/>
      </w:rPr>
    </w:lvl>
    <w:lvl w:ilvl="8" w:tplc="CF603668" w:tentative="1">
      <w:start w:val="1"/>
      <w:numFmt w:val="bullet"/>
      <w:lvlText w:val=""/>
      <w:lvlJc w:val="left"/>
      <w:pPr>
        <w:ind w:left="6480" w:hanging="360"/>
      </w:pPr>
      <w:rPr>
        <w:rFonts w:ascii="Wingdings" w:hAnsi="Wingdings" w:hint="default"/>
      </w:rPr>
    </w:lvl>
  </w:abstractNum>
  <w:abstractNum w:abstractNumId="208" w15:restartNumberingAfterBreak="0">
    <w:nsid w:val="26259AA3"/>
    <w:multiLevelType w:val="hybridMultilevel"/>
    <w:tmpl w:val="2F6822E0"/>
    <w:lvl w:ilvl="0" w:tplc="2E3E8C0A">
      <w:start w:val="1"/>
      <w:numFmt w:val="bullet"/>
      <w:lvlText w:val="·"/>
      <w:lvlJc w:val="left"/>
      <w:pPr>
        <w:ind w:left="720" w:hanging="360"/>
      </w:pPr>
      <w:rPr>
        <w:rFonts w:ascii="Symbol" w:hAnsi="Symbol" w:hint="default"/>
      </w:rPr>
    </w:lvl>
    <w:lvl w:ilvl="1" w:tplc="C4C07F20">
      <w:start w:val="1"/>
      <w:numFmt w:val="bullet"/>
      <w:lvlText w:val="o"/>
      <w:lvlJc w:val="left"/>
      <w:pPr>
        <w:ind w:left="1440" w:hanging="360"/>
      </w:pPr>
      <w:rPr>
        <w:rFonts w:ascii="Courier New" w:hAnsi="Courier New" w:hint="default"/>
      </w:rPr>
    </w:lvl>
    <w:lvl w:ilvl="2" w:tplc="77962140">
      <w:start w:val="1"/>
      <w:numFmt w:val="bullet"/>
      <w:lvlText w:val=""/>
      <w:lvlJc w:val="left"/>
      <w:pPr>
        <w:ind w:left="2160" w:hanging="360"/>
      </w:pPr>
      <w:rPr>
        <w:rFonts w:ascii="Wingdings" w:hAnsi="Wingdings" w:hint="default"/>
      </w:rPr>
    </w:lvl>
    <w:lvl w:ilvl="3" w:tplc="DD7C8134">
      <w:start w:val="1"/>
      <w:numFmt w:val="bullet"/>
      <w:lvlText w:val=""/>
      <w:lvlJc w:val="left"/>
      <w:pPr>
        <w:ind w:left="2880" w:hanging="360"/>
      </w:pPr>
      <w:rPr>
        <w:rFonts w:ascii="Symbol" w:hAnsi="Symbol" w:hint="default"/>
      </w:rPr>
    </w:lvl>
    <w:lvl w:ilvl="4" w:tplc="137834D6">
      <w:start w:val="1"/>
      <w:numFmt w:val="bullet"/>
      <w:lvlText w:val="o"/>
      <w:lvlJc w:val="left"/>
      <w:pPr>
        <w:ind w:left="3600" w:hanging="360"/>
      </w:pPr>
      <w:rPr>
        <w:rFonts w:ascii="Courier New" w:hAnsi="Courier New" w:hint="default"/>
      </w:rPr>
    </w:lvl>
    <w:lvl w:ilvl="5" w:tplc="55680E22">
      <w:start w:val="1"/>
      <w:numFmt w:val="bullet"/>
      <w:lvlText w:val=""/>
      <w:lvlJc w:val="left"/>
      <w:pPr>
        <w:ind w:left="4320" w:hanging="360"/>
      </w:pPr>
      <w:rPr>
        <w:rFonts w:ascii="Wingdings" w:hAnsi="Wingdings" w:hint="default"/>
      </w:rPr>
    </w:lvl>
    <w:lvl w:ilvl="6" w:tplc="A7F620A0">
      <w:start w:val="1"/>
      <w:numFmt w:val="bullet"/>
      <w:lvlText w:val=""/>
      <w:lvlJc w:val="left"/>
      <w:pPr>
        <w:ind w:left="5040" w:hanging="360"/>
      </w:pPr>
      <w:rPr>
        <w:rFonts w:ascii="Symbol" w:hAnsi="Symbol" w:hint="default"/>
      </w:rPr>
    </w:lvl>
    <w:lvl w:ilvl="7" w:tplc="FCA85568">
      <w:start w:val="1"/>
      <w:numFmt w:val="bullet"/>
      <w:lvlText w:val="o"/>
      <w:lvlJc w:val="left"/>
      <w:pPr>
        <w:ind w:left="5760" w:hanging="360"/>
      </w:pPr>
      <w:rPr>
        <w:rFonts w:ascii="Courier New" w:hAnsi="Courier New" w:hint="default"/>
      </w:rPr>
    </w:lvl>
    <w:lvl w:ilvl="8" w:tplc="EC4EF37A">
      <w:start w:val="1"/>
      <w:numFmt w:val="bullet"/>
      <w:lvlText w:val=""/>
      <w:lvlJc w:val="left"/>
      <w:pPr>
        <w:ind w:left="6480" w:hanging="360"/>
      </w:pPr>
      <w:rPr>
        <w:rFonts w:ascii="Wingdings" w:hAnsi="Wingdings" w:hint="default"/>
      </w:rPr>
    </w:lvl>
  </w:abstractNum>
  <w:abstractNum w:abstractNumId="209" w15:restartNumberingAfterBreak="0">
    <w:nsid w:val="262F007D"/>
    <w:multiLevelType w:val="multilevel"/>
    <w:tmpl w:val="F85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6B51BF9"/>
    <w:multiLevelType w:val="hybridMultilevel"/>
    <w:tmpl w:val="C624C8C2"/>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11" w15:restartNumberingAfterBreak="0">
    <w:nsid w:val="27326687"/>
    <w:multiLevelType w:val="multilevel"/>
    <w:tmpl w:val="2A8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8225F98"/>
    <w:multiLevelType w:val="multilevel"/>
    <w:tmpl w:val="3BE2C7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3" w15:restartNumberingAfterBreak="0">
    <w:nsid w:val="2898140F"/>
    <w:multiLevelType w:val="hybridMultilevel"/>
    <w:tmpl w:val="4358F7CC"/>
    <w:lvl w:ilvl="0" w:tplc="169CCD8E">
      <w:start w:val="1"/>
      <w:numFmt w:val="bullet"/>
      <w:lvlText w:val="·"/>
      <w:lvlJc w:val="left"/>
      <w:pPr>
        <w:ind w:left="720" w:hanging="360"/>
      </w:pPr>
      <w:rPr>
        <w:rFonts w:ascii="Symbol" w:hAnsi="Symbol" w:hint="default"/>
      </w:rPr>
    </w:lvl>
    <w:lvl w:ilvl="1" w:tplc="5EC666F4">
      <w:start w:val="1"/>
      <w:numFmt w:val="bullet"/>
      <w:lvlText w:val="o"/>
      <w:lvlJc w:val="left"/>
      <w:pPr>
        <w:ind w:left="1440" w:hanging="360"/>
      </w:pPr>
      <w:rPr>
        <w:rFonts w:ascii="Courier New" w:hAnsi="Courier New" w:hint="default"/>
      </w:rPr>
    </w:lvl>
    <w:lvl w:ilvl="2" w:tplc="2E421D42">
      <w:start w:val="1"/>
      <w:numFmt w:val="bullet"/>
      <w:lvlText w:val=""/>
      <w:lvlJc w:val="left"/>
      <w:pPr>
        <w:ind w:left="2160" w:hanging="360"/>
      </w:pPr>
      <w:rPr>
        <w:rFonts w:ascii="Wingdings" w:hAnsi="Wingdings" w:hint="default"/>
      </w:rPr>
    </w:lvl>
    <w:lvl w:ilvl="3" w:tplc="B9E2954E">
      <w:start w:val="1"/>
      <w:numFmt w:val="bullet"/>
      <w:lvlText w:val=""/>
      <w:lvlJc w:val="left"/>
      <w:pPr>
        <w:ind w:left="2880" w:hanging="360"/>
      </w:pPr>
      <w:rPr>
        <w:rFonts w:ascii="Symbol" w:hAnsi="Symbol" w:hint="default"/>
      </w:rPr>
    </w:lvl>
    <w:lvl w:ilvl="4" w:tplc="6EA8AF16">
      <w:start w:val="1"/>
      <w:numFmt w:val="bullet"/>
      <w:lvlText w:val="o"/>
      <w:lvlJc w:val="left"/>
      <w:pPr>
        <w:ind w:left="3600" w:hanging="360"/>
      </w:pPr>
      <w:rPr>
        <w:rFonts w:ascii="Courier New" w:hAnsi="Courier New" w:hint="default"/>
      </w:rPr>
    </w:lvl>
    <w:lvl w:ilvl="5" w:tplc="71786F5C">
      <w:start w:val="1"/>
      <w:numFmt w:val="bullet"/>
      <w:lvlText w:val=""/>
      <w:lvlJc w:val="left"/>
      <w:pPr>
        <w:ind w:left="4320" w:hanging="360"/>
      </w:pPr>
      <w:rPr>
        <w:rFonts w:ascii="Wingdings" w:hAnsi="Wingdings" w:hint="default"/>
      </w:rPr>
    </w:lvl>
    <w:lvl w:ilvl="6" w:tplc="76ECB0AC">
      <w:start w:val="1"/>
      <w:numFmt w:val="bullet"/>
      <w:lvlText w:val=""/>
      <w:lvlJc w:val="left"/>
      <w:pPr>
        <w:ind w:left="5040" w:hanging="360"/>
      </w:pPr>
      <w:rPr>
        <w:rFonts w:ascii="Symbol" w:hAnsi="Symbol" w:hint="default"/>
      </w:rPr>
    </w:lvl>
    <w:lvl w:ilvl="7" w:tplc="6C18361A">
      <w:start w:val="1"/>
      <w:numFmt w:val="bullet"/>
      <w:lvlText w:val="o"/>
      <w:lvlJc w:val="left"/>
      <w:pPr>
        <w:ind w:left="5760" w:hanging="360"/>
      </w:pPr>
      <w:rPr>
        <w:rFonts w:ascii="Courier New" w:hAnsi="Courier New" w:hint="default"/>
      </w:rPr>
    </w:lvl>
    <w:lvl w:ilvl="8" w:tplc="D026B85E">
      <w:start w:val="1"/>
      <w:numFmt w:val="bullet"/>
      <w:lvlText w:val=""/>
      <w:lvlJc w:val="left"/>
      <w:pPr>
        <w:ind w:left="6480" w:hanging="360"/>
      </w:pPr>
      <w:rPr>
        <w:rFonts w:ascii="Wingdings" w:hAnsi="Wingdings" w:hint="default"/>
      </w:rPr>
    </w:lvl>
  </w:abstractNum>
  <w:abstractNum w:abstractNumId="214" w15:restartNumberingAfterBreak="0">
    <w:nsid w:val="294C7381"/>
    <w:multiLevelType w:val="hybridMultilevel"/>
    <w:tmpl w:val="42062B60"/>
    <w:lvl w:ilvl="0" w:tplc="24287ABA">
      <w:start w:val="1"/>
      <w:numFmt w:val="bullet"/>
      <w:lvlText w:val=""/>
      <w:lvlJc w:val="left"/>
      <w:pPr>
        <w:ind w:left="360" w:hanging="360"/>
      </w:pPr>
      <w:rPr>
        <w:rFonts w:ascii="Symbol" w:hAnsi="Symbol" w:hint="default"/>
        <w:color w:val="auto"/>
      </w:rPr>
    </w:lvl>
    <w:lvl w:ilvl="1" w:tplc="A7725434">
      <w:start w:val="1"/>
      <w:numFmt w:val="bullet"/>
      <w:lvlText w:val="o"/>
      <w:lvlJc w:val="left"/>
      <w:pPr>
        <w:ind w:left="720" w:hanging="360"/>
      </w:pPr>
      <w:rPr>
        <w:rFonts w:ascii="Courier New" w:hAnsi="Courier New" w:hint="default"/>
      </w:rPr>
    </w:lvl>
    <w:lvl w:ilvl="2" w:tplc="A7EE03B4">
      <w:start w:val="1"/>
      <w:numFmt w:val="bullet"/>
      <w:lvlText w:val=""/>
      <w:lvlJc w:val="left"/>
      <w:pPr>
        <w:ind w:left="2084" w:hanging="360"/>
      </w:pPr>
      <w:rPr>
        <w:rFonts w:ascii="Wingdings" w:hAnsi="Wingdings" w:hint="default"/>
      </w:rPr>
    </w:lvl>
    <w:lvl w:ilvl="3" w:tplc="5A606C50" w:tentative="1">
      <w:start w:val="1"/>
      <w:numFmt w:val="bullet"/>
      <w:lvlText w:val=""/>
      <w:lvlJc w:val="left"/>
      <w:pPr>
        <w:ind w:left="2804" w:hanging="360"/>
      </w:pPr>
      <w:rPr>
        <w:rFonts w:ascii="Symbol" w:hAnsi="Symbol" w:hint="default"/>
      </w:rPr>
    </w:lvl>
    <w:lvl w:ilvl="4" w:tplc="B8681F3E" w:tentative="1">
      <w:start w:val="1"/>
      <w:numFmt w:val="bullet"/>
      <w:lvlText w:val="o"/>
      <w:lvlJc w:val="left"/>
      <w:pPr>
        <w:ind w:left="3524" w:hanging="360"/>
      </w:pPr>
      <w:rPr>
        <w:rFonts w:ascii="Courier New" w:hAnsi="Courier New" w:hint="default"/>
      </w:rPr>
    </w:lvl>
    <w:lvl w:ilvl="5" w:tplc="FDAC3948" w:tentative="1">
      <w:start w:val="1"/>
      <w:numFmt w:val="bullet"/>
      <w:lvlText w:val=""/>
      <w:lvlJc w:val="left"/>
      <w:pPr>
        <w:ind w:left="4244" w:hanging="360"/>
      </w:pPr>
      <w:rPr>
        <w:rFonts w:ascii="Wingdings" w:hAnsi="Wingdings" w:hint="default"/>
      </w:rPr>
    </w:lvl>
    <w:lvl w:ilvl="6" w:tplc="D8886E00" w:tentative="1">
      <w:start w:val="1"/>
      <w:numFmt w:val="bullet"/>
      <w:lvlText w:val=""/>
      <w:lvlJc w:val="left"/>
      <w:pPr>
        <w:ind w:left="4964" w:hanging="360"/>
      </w:pPr>
      <w:rPr>
        <w:rFonts w:ascii="Symbol" w:hAnsi="Symbol" w:hint="default"/>
      </w:rPr>
    </w:lvl>
    <w:lvl w:ilvl="7" w:tplc="81E4829A" w:tentative="1">
      <w:start w:val="1"/>
      <w:numFmt w:val="bullet"/>
      <w:lvlText w:val="o"/>
      <w:lvlJc w:val="left"/>
      <w:pPr>
        <w:ind w:left="5684" w:hanging="360"/>
      </w:pPr>
      <w:rPr>
        <w:rFonts w:ascii="Courier New" w:hAnsi="Courier New" w:hint="default"/>
      </w:rPr>
    </w:lvl>
    <w:lvl w:ilvl="8" w:tplc="CA1E7032" w:tentative="1">
      <w:start w:val="1"/>
      <w:numFmt w:val="bullet"/>
      <w:lvlText w:val=""/>
      <w:lvlJc w:val="left"/>
      <w:pPr>
        <w:ind w:left="6404" w:hanging="360"/>
      </w:pPr>
      <w:rPr>
        <w:rFonts w:ascii="Wingdings" w:hAnsi="Wingdings" w:hint="default"/>
      </w:rPr>
    </w:lvl>
  </w:abstractNum>
  <w:abstractNum w:abstractNumId="215" w15:restartNumberingAfterBreak="0">
    <w:nsid w:val="29AB4319"/>
    <w:multiLevelType w:val="hybridMultilevel"/>
    <w:tmpl w:val="04EAC104"/>
    <w:lvl w:ilvl="0" w:tplc="AF9C8056">
      <w:start w:val="1"/>
      <w:numFmt w:val="bullet"/>
      <w:lvlText w:val=""/>
      <w:lvlJc w:val="left"/>
      <w:pPr>
        <w:ind w:left="1004" w:hanging="360"/>
      </w:pPr>
      <w:rPr>
        <w:rFonts w:ascii="Symbol" w:hAnsi="Symbol" w:hint="default"/>
      </w:rPr>
    </w:lvl>
    <w:lvl w:ilvl="1" w:tplc="C0BECB0E">
      <w:start w:val="1"/>
      <w:numFmt w:val="bullet"/>
      <w:lvlText w:val=""/>
      <w:lvlJc w:val="left"/>
      <w:pPr>
        <w:ind w:left="720" w:hanging="360"/>
      </w:pPr>
      <w:rPr>
        <w:rFonts w:ascii="Symbol" w:hAnsi="Symbol" w:hint="default"/>
      </w:rPr>
    </w:lvl>
    <w:lvl w:ilvl="2" w:tplc="7F60E49C" w:tentative="1">
      <w:start w:val="1"/>
      <w:numFmt w:val="bullet"/>
      <w:lvlText w:val=""/>
      <w:lvlJc w:val="left"/>
      <w:pPr>
        <w:ind w:left="2444" w:hanging="360"/>
      </w:pPr>
      <w:rPr>
        <w:rFonts w:ascii="Wingdings" w:hAnsi="Wingdings" w:hint="default"/>
      </w:rPr>
    </w:lvl>
    <w:lvl w:ilvl="3" w:tplc="D29C4A48" w:tentative="1">
      <w:start w:val="1"/>
      <w:numFmt w:val="bullet"/>
      <w:lvlText w:val=""/>
      <w:lvlJc w:val="left"/>
      <w:pPr>
        <w:ind w:left="3164" w:hanging="360"/>
      </w:pPr>
      <w:rPr>
        <w:rFonts w:ascii="Symbol" w:hAnsi="Symbol" w:hint="default"/>
      </w:rPr>
    </w:lvl>
    <w:lvl w:ilvl="4" w:tplc="14FC5CB6" w:tentative="1">
      <w:start w:val="1"/>
      <w:numFmt w:val="bullet"/>
      <w:lvlText w:val="o"/>
      <w:lvlJc w:val="left"/>
      <w:pPr>
        <w:ind w:left="3884" w:hanging="360"/>
      </w:pPr>
      <w:rPr>
        <w:rFonts w:ascii="Courier New" w:hAnsi="Courier New" w:hint="default"/>
      </w:rPr>
    </w:lvl>
    <w:lvl w:ilvl="5" w:tplc="408ED61A" w:tentative="1">
      <w:start w:val="1"/>
      <w:numFmt w:val="bullet"/>
      <w:lvlText w:val=""/>
      <w:lvlJc w:val="left"/>
      <w:pPr>
        <w:ind w:left="4604" w:hanging="360"/>
      </w:pPr>
      <w:rPr>
        <w:rFonts w:ascii="Wingdings" w:hAnsi="Wingdings" w:hint="default"/>
      </w:rPr>
    </w:lvl>
    <w:lvl w:ilvl="6" w:tplc="2EAAAFB6" w:tentative="1">
      <w:start w:val="1"/>
      <w:numFmt w:val="bullet"/>
      <w:lvlText w:val=""/>
      <w:lvlJc w:val="left"/>
      <w:pPr>
        <w:ind w:left="5324" w:hanging="360"/>
      </w:pPr>
      <w:rPr>
        <w:rFonts w:ascii="Symbol" w:hAnsi="Symbol" w:hint="default"/>
      </w:rPr>
    </w:lvl>
    <w:lvl w:ilvl="7" w:tplc="510CACB2" w:tentative="1">
      <w:start w:val="1"/>
      <w:numFmt w:val="bullet"/>
      <w:lvlText w:val="o"/>
      <w:lvlJc w:val="left"/>
      <w:pPr>
        <w:ind w:left="6044" w:hanging="360"/>
      </w:pPr>
      <w:rPr>
        <w:rFonts w:ascii="Courier New" w:hAnsi="Courier New" w:hint="default"/>
      </w:rPr>
    </w:lvl>
    <w:lvl w:ilvl="8" w:tplc="B4F83CD0" w:tentative="1">
      <w:start w:val="1"/>
      <w:numFmt w:val="bullet"/>
      <w:lvlText w:val=""/>
      <w:lvlJc w:val="left"/>
      <w:pPr>
        <w:ind w:left="6764" w:hanging="360"/>
      </w:pPr>
      <w:rPr>
        <w:rFonts w:ascii="Wingdings" w:hAnsi="Wingdings" w:hint="default"/>
      </w:rPr>
    </w:lvl>
  </w:abstractNum>
  <w:abstractNum w:abstractNumId="216" w15:restartNumberingAfterBreak="0">
    <w:nsid w:val="29AE6FD4"/>
    <w:multiLevelType w:val="hybridMultilevel"/>
    <w:tmpl w:val="71B81952"/>
    <w:lvl w:ilvl="0" w:tplc="D40AF9AE">
      <w:start w:val="1"/>
      <w:numFmt w:val="bullet"/>
      <w:lvlText w:val="·"/>
      <w:lvlJc w:val="left"/>
      <w:pPr>
        <w:ind w:left="720" w:hanging="360"/>
      </w:pPr>
      <w:rPr>
        <w:rFonts w:ascii="Symbol" w:hAnsi="Symbol" w:hint="default"/>
      </w:rPr>
    </w:lvl>
    <w:lvl w:ilvl="1" w:tplc="410CDAEE">
      <w:start w:val="1"/>
      <w:numFmt w:val="bullet"/>
      <w:lvlText w:val="o"/>
      <w:lvlJc w:val="left"/>
      <w:pPr>
        <w:ind w:left="1440" w:hanging="360"/>
      </w:pPr>
      <w:rPr>
        <w:rFonts w:ascii="Courier New" w:hAnsi="Courier New" w:hint="default"/>
      </w:rPr>
    </w:lvl>
    <w:lvl w:ilvl="2" w:tplc="5CF4659A">
      <w:start w:val="1"/>
      <w:numFmt w:val="bullet"/>
      <w:lvlText w:val=""/>
      <w:lvlJc w:val="left"/>
      <w:pPr>
        <w:ind w:left="2160" w:hanging="360"/>
      </w:pPr>
      <w:rPr>
        <w:rFonts w:ascii="Wingdings" w:hAnsi="Wingdings" w:hint="default"/>
      </w:rPr>
    </w:lvl>
    <w:lvl w:ilvl="3" w:tplc="54909120">
      <w:start w:val="1"/>
      <w:numFmt w:val="bullet"/>
      <w:lvlText w:val=""/>
      <w:lvlJc w:val="left"/>
      <w:pPr>
        <w:ind w:left="2880" w:hanging="360"/>
      </w:pPr>
      <w:rPr>
        <w:rFonts w:ascii="Symbol" w:hAnsi="Symbol" w:hint="default"/>
      </w:rPr>
    </w:lvl>
    <w:lvl w:ilvl="4" w:tplc="EAC64302">
      <w:start w:val="1"/>
      <w:numFmt w:val="bullet"/>
      <w:lvlText w:val="o"/>
      <w:lvlJc w:val="left"/>
      <w:pPr>
        <w:ind w:left="3600" w:hanging="360"/>
      </w:pPr>
      <w:rPr>
        <w:rFonts w:ascii="Courier New" w:hAnsi="Courier New" w:hint="default"/>
      </w:rPr>
    </w:lvl>
    <w:lvl w:ilvl="5" w:tplc="F4C6D906">
      <w:start w:val="1"/>
      <w:numFmt w:val="bullet"/>
      <w:lvlText w:val=""/>
      <w:lvlJc w:val="left"/>
      <w:pPr>
        <w:ind w:left="4320" w:hanging="360"/>
      </w:pPr>
      <w:rPr>
        <w:rFonts w:ascii="Wingdings" w:hAnsi="Wingdings" w:hint="default"/>
      </w:rPr>
    </w:lvl>
    <w:lvl w:ilvl="6" w:tplc="54166754">
      <w:start w:val="1"/>
      <w:numFmt w:val="bullet"/>
      <w:lvlText w:val=""/>
      <w:lvlJc w:val="left"/>
      <w:pPr>
        <w:ind w:left="5040" w:hanging="360"/>
      </w:pPr>
      <w:rPr>
        <w:rFonts w:ascii="Symbol" w:hAnsi="Symbol" w:hint="default"/>
      </w:rPr>
    </w:lvl>
    <w:lvl w:ilvl="7" w:tplc="7226A31A">
      <w:start w:val="1"/>
      <w:numFmt w:val="bullet"/>
      <w:lvlText w:val="o"/>
      <w:lvlJc w:val="left"/>
      <w:pPr>
        <w:ind w:left="5760" w:hanging="360"/>
      </w:pPr>
      <w:rPr>
        <w:rFonts w:ascii="Courier New" w:hAnsi="Courier New" w:hint="default"/>
      </w:rPr>
    </w:lvl>
    <w:lvl w:ilvl="8" w:tplc="8C6A57B4">
      <w:start w:val="1"/>
      <w:numFmt w:val="bullet"/>
      <w:lvlText w:val=""/>
      <w:lvlJc w:val="left"/>
      <w:pPr>
        <w:ind w:left="6480" w:hanging="360"/>
      </w:pPr>
      <w:rPr>
        <w:rFonts w:ascii="Wingdings" w:hAnsi="Wingdings" w:hint="default"/>
      </w:rPr>
    </w:lvl>
  </w:abstractNum>
  <w:abstractNum w:abstractNumId="217" w15:restartNumberingAfterBreak="0">
    <w:nsid w:val="2A037EE2"/>
    <w:multiLevelType w:val="hybridMultilevel"/>
    <w:tmpl w:val="03506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2A361D10"/>
    <w:multiLevelType w:val="hybridMultilevel"/>
    <w:tmpl w:val="31BC6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2A762AA5"/>
    <w:multiLevelType w:val="multilevel"/>
    <w:tmpl w:val="68CC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A89731F"/>
    <w:multiLevelType w:val="hybridMultilevel"/>
    <w:tmpl w:val="6A326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2B2B4427"/>
    <w:multiLevelType w:val="hybridMultilevel"/>
    <w:tmpl w:val="8D7EBADE"/>
    <w:lvl w:ilvl="0" w:tplc="ADF8B45A">
      <w:start w:val="1"/>
      <w:numFmt w:val="bullet"/>
      <w:lvlText w:val=""/>
      <w:lvlJc w:val="left"/>
      <w:pPr>
        <w:ind w:left="720" w:hanging="360"/>
      </w:pPr>
      <w:rPr>
        <w:rFonts w:ascii="Symbol" w:hAnsi="Symbol" w:hint="default"/>
      </w:rPr>
    </w:lvl>
    <w:lvl w:ilvl="1" w:tplc="4D7E4410" w:tentative="1">
      <w:start w:val="1"/>
      <w:numFmt w:val="bullet"/>
      <w:lvlText w:val="o"/>
      <w:lvlJc w:val="left"/>
      <w:pPr>
        <w:ind w:left="1440" w:hanging="360"/>
      </w:pPr>
      <w:rPr>
        <w:rFonts w:ascii="Courier New" w:hAnsi="Courier New" w:hint="default"/>
      </w:rPr>
    </w:lvl>
    <w:lvl w:ilvl="2" w:tplc="8AD6C536" w:tentative="1">
      <w:start w:val="1"/>
      <w:numFmt w:val="bullet"/>
      <w:lvlText w:val=""/>
      <w:lvlJc w:val="left"/>
      <w:pPr>
        <w:ind w:left="2160" w:hanging="360"/>
      </w:pPr>
      <w:rPr>
        <w:rFonts w:ascii="Wingdings" w:hAnsi="Wingdings" w:hint="default"/>
      </w:rPr>
    </w:lvl>
    <w:lvl w:ilvl="3" w:tplc="1FFC89B2" w:tentative="1">
      <w:start w:val="1"/>
      <w:numFmt w:val="bullet"/>
      <w:lvlText w:val=""/>
      <w:lvlJc w:val="left"/>
      <w:pPr>
        <w:ind w:left="2880" w:hanging="360"/>
      </w:pPr>
      <w:rPr>
        <w:rFonts w:ascii="Symbol" w:hAnsi="Symbol" w:hint="default"/>
      </w:rPr>
    </w:lvl>
    <w:lvl w:ilvl="4" w:tplc="144C066A" w:tentative="1">
      <w:start w:val="1"/>
      <w:numFmt w:val="bullet"/>
      <w:lvlText w:val="o"/>
      <w:lvlJc w:val="left"/>
      <w:pPr>
        <w:ind w:left="3600" w:hanging="360"/>
      </w:pPr>
      <w:rPr>
        <w:rFonts w:ascii="Courier New" w:hAnsi="Courier New" w:hint="default"/>
      </w:rPr>
    </w:lvl>
    <w:lvl w:ilvl="5" w:tplc="66D80860" w:tentative="1">
      <w:start w:val="1"/>
      <w:numFmt w:val="bullet"/>
      <w:lvlText w:val=""/>
      <w:lvlJc w:val="left"/>
      <w:pPr>
        <w:ind w:left="4320" w:hanging="360"/>
      </w:pPr>
      <w:rPr>
        <w:rFonts w:ascii="Wingdings" w:hAnsi="Wingdings" w:hint="default"/>
      </w:rPr>
    </w:lvl>
    <w:lvl w:ilvl="6" w:tplc="C3680D64" w:tentative="1">
      <w:start w:val="1"/>
      <w:numFmt w:val="bullet"/>
      <w:lvlText w:val=""/>
      <w:lvlJc w:val="left"/>
      <w:pPr>
        <w:ind w:left="5040" w:hanging="360"/>
      </w:pPr>
      <w:rPr>
        <w:rFonts w:ascii="Symbol" w:hAnsi="Symbol" w:hint="default"/>
      </w:rPr>
    </w:lvl>
    <w:lvl w:ilvl="7" w:tplc="0E3C8A02" w:tentative="1">
      <w:start w:val="1"/>
      <w:numFmt w:val="bullet"/>
      <w:lvlText w:val="o"/>
      <w:lvlJc w:val="left"/>
      <w:pPr>
        <w:ind w:left="5760" w:hanging="360"/>
      </w:pPr>
      <w:rPr>
        <w:rFonts w:ascii="Courier New" w:hAnsi="Courier New" w:hint="default"/>
      </w:rPr>
    </w:lvl>
    <w:lvl w:ilvl="8" w:tplc="F08012A4" w:tentative="1">
      <w:start w:val="1"/>
      <w:numFmt w:val="bullet"/>
      <w:lvlText w:val=""/>
      <w:lvlJc w:val="left"/>
      <w:pPr>
        <w:ind w:left="6480" w:hanging="360"/>
      </w:pPr>
      <w:rPr>
        <w:rFonts w:ascii="Wingdings" w:hAnsi="Wingdings" w:hint="default"/>
      </w:rPr>
    </w:lvl>
  </w:abstractNum>
  <w:abstractNum w:abstractNumId="222" w15:restartNumberingAfterBreak="0">
    <w:nsid w:val="2B5A49AF"/>
    <w:multiLevelType w:val="hybridMultilevel"/>
    <w:tmpl w:val="402A1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2B8C53DB"/>
    <w:multiLevelType w:val="hybridMultilevel"/>
    <w:tmpl w:val="9FB20610"/>
    <w:lvl w:ilvl="0" w:tplc="BDA86B5A">
      <w:start w:val="1"/>
      <w:numFmt w:val="bullet"/>
      <w:lvlText w:val=""/>
      <w:lvlJc w:val="left"/>
      <w:pPr>
        <w:ind w:left="67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24" w15:restartNumberingAfterBreak="0">
    <w:nsid w:val="2BCA3201"/>
    <w:multiLevelType w:val="hybridMultilevel"/>
    <w:tmpl w:val="73FE3CC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2BD26199"/>
    <w:multiLevelType w:val="multilevel"/>
    <w:tmpl w:val="F8DC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C7B314F"/>
    <w:multiLevelType w:val="multilevel"/>
    <w:tmpl w:val="D2D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CAC7357"/>
    <w:multiLevelType w:val="multilevel"/>
    <w:tmpl w:val="56ECE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CDC279A"/>
    <w:multiLevelType w:val="hybridMultilevel"/>
    <w:tmpl w:val="EBB624C8"/>
    <w:lvl w:ilvl="0" w:tplc="C100B2A0">
      <w:start w:val="1"/>
      <w:numFmt w:val="bullet"/>
      <w:lvlText w:val=""/>
      <w:lvlJc w:val="left"/>
      <w:pPr>
        <w:ind w:left="720" w:hanging="360"/>
      </w:pPr>
      <w:rPr>
        <w:rFonts w:ascii="Symbol" w:hAnsi="Symbol" w:hint="default"/>
      </w:rPr>
    </w:lvl>
    <w:lvl w:ilvl="1" w:tplc="3470065E" w:tentative="1">
      <w:start w:val="1"/>
      <w:numFmt w:val="bullet"/>
      <w:lvlText w:val="o"/>
      <w:lvlJc w:val="left"/>
      <w:pPr>
        <w:ind w:left="1440" w:hanging="360"/>
      </w:pPr>
      <w:rPr>
        <w:rFonts w:ascii="Courier New" w:hAnsi="Courier New" w:hint="default"/>
      </w:rPr>
    </w:lvl>
    <w:lvl w:ilvl="2" w:tplc="A030D08C" w:tentative="1">
      <w:start w:val="1"/>
      <w:numFmt w:val="bullet"/>
      <w:lvlText w:val=""/>
      <w:lvlJc w:val="left"/>
      <w:pPr>
        <w:ind w:left="2160" w:hanging="360"/>
      </w:pPr>
      <w:rPr>
        <w:rFonts w:ascii="Wingdings" w:hAnsi="Wingdings" w:hint="default"/>
      </w:rPr>
    </w:lvl>
    <w:lvl w:ilvl="3" w:tplc="1088966A" w:tentative="1">
      <w:start w:val="1"/>
      <w:numFmt w:val="bullet"/>
      <w:lvlText w:val=""/>
      <w:lvlJc w:val="left"/>
      <w:pPr>
        <w:ind w:left="2880" w:hanging="360"/>
      </w:pPr>
      <w:rPr>
        <w:rFonts w:ascii="Symbol" w:hAnsi="Symbol" w:hint="default"/>
      </w:rPr>
    </w:lvl>
    <w:lvl w:ilvl="4" w:tplc="F0629974" w:tentative="1">
      <w:start w:val="1"/>
      <w:numFmt w:val="bullet"/>
      <w:lvlText w:val="o"/>
      <w:lvlJc w:val="left"/>
      <w:pPr>
        <w:ind w:left="3600" w:hanging="360"/>
      </w:pPr>
      <w:rPr>
        <w:rFonts w:ascii="Courier New" w:hAnsi="Courier New" w:hint="default"/>
      </w:rPr>
    </w:lvl>
    <w:lvl w:ilvl="5" w:tplc="6F5C8784" w:tentative="1">
      <w:start w:val="1"/>
      <w:numFmt w:val="bullet"/>
      <w:lvlText w:val=""/>
      <w:lvlJc w:val="left"/>
      <w:pPr>
        <w:ind w:left="4320" w:hanging="360"/>
      </w:pPr>
      <w:rPr>
        <w:rFonts w:ascii="Wingdings" w:hAnsi="Wingdings" w:hint="default"/>
      </w:rPr>
    </w:lvl>
    <w:lvl w:ilvl="6" w:tplc="34F649DA" w:tentative="1">
      <w:start w:val="1"/>
      <w:numFmt w:val="bullet"/>
      <w:lvlText w:val=""/>
      <w:lvlJc w:val="left"/>
      <w:pPr>
        <w:ind w:left="5040" w:hanging="360"/>
      </w:pPr>
      <w:rPr>
        <w:rFonts w:ascii="Symbol" w:hAnsi="Symbol" w:hint="default"/>
      </w:rPr>
    </w:lvl>
    <w:lvl w:ilvl="7" w:tplc="99609E9A" w:tentative="1">
      <w:start w:val="1"/>
      <w:numFmt w:val="bullet"/>
      <w:lvlText w:val="o"/>
      <w:lvlJc w:val="left"/>
      <w:pPr>
        <w:ind w:left="5760" w:hanging="360"/>
      </w:pPr>
      <w:rPr>
        <w:rFonts w:ascii="Courier New" w:hAnsi="Courier New" w:hint="default"/>
      </w:rPr>
    </w:lvl>
    <w:lvl w:ilvl="8" w:tplc="119E5148" w:tentative="1">
      <w:start w:val="1"/>
      <w:numFmt w:val="bullet"/>
      <w:lvlText w:val=""/>
      <w:lvlJc w:val="left"/>
      <w:pPr>
        <w:ind w:left="6480" w:hanging="360"/>
      </w:pPr>
      <w:rPr>
        <w:rFonts w:ascii="Wingdings" w:hAnsi="Wingdings" w:hint="default"/>
      </w:rPr>
    </w:lvl>
  </w:abstractNum>
  <w:abstractNum w:abstractNumId="229" w15:restartNumberingAfterBreak="0">
    <w:nsid w:val="2CE50579"/>
    <w:multiLevelType w:val="hybridMultilevel"/>
    <w:tmpl w:val="4684A362"/>
    <w:lvl w:ilvl="0" w:tplc="C380AC9C">
      <w:start w:val="1"/>
      <w:numFmt w:val="bullet"/>
      <w:lvlText w:val=""/>
      <w:lvlJc w:val="left"/>
      <w:pPr>
        <w:ind w:left="644" w:hanging="360"/>
      </w:pPr>
      <w:rPr>
        <w:rFonts w:ascii="Symbol" w:hAnsi="Symbol" w:hint="default"/>
      </w:rPr>
    </w:lvl>
    <w:lvl w:ilvl="1" w:tplc="54E07030" w:tentative="1">
      <w:start w:val="1"/>
      <w:numFmt w:val="bullet"/>
      <w:lvlText w:val="o"/>
      <w:lvlJc w:val="left"/>
      <w:pPr>
        <w:ind w:left="1440" w:hanging="360"/>
      </w:pPr>
      <w:rPr>
        <w:rFonts w:ascii="Courier New" w:hAnsi="Courier New" w:hint="default"/>
      </w:rPr>
    </w:lvl>
    <w:lvl w:ilvl="2" w:tplc="6F0A4772" w:tentative="1">
      <w:start w:val="1"/>
      <w:numFmt w:val="bullet"/>
      <w:lvlText w:val=""/>
      <w:lvlJc w:val="left"/>
      <w:pPr>
        <w:ind w:left="2160" w:hanging="360"/>
      </w:pPr>
      <w:rPr>
        <w:rFonts w:ascii="Wingdings" w:hAnsi="Wingdings" w:hint="default"/>
      </w:rPr>
    </w:lvl>
    <w:lvl w:ilvl="3" w:tplc="543C074C" w:tentative="1">
      <w:start w:val="1"/>
      <w:numFmt w:val="bullet"/>
      <w:lvlText w:val=""/>
      <w:lvlJc w:val="left"/>
      <w:pPr>
        <w:ind w:left="2880" w:hanging="360"/>
      </w:pPr>
      <w:rPr>
        <w:rFonts w:ascii="Symbol" w:hAnsi="Symbol" w:hint="default"/>
      </w:rPr>
    </w:lvl>
    <w:lvl w:ilvl="4" w:tplc="6EA4FBD8" w:tentative="1">
      <w:start w:val="1"/>
      <w:numFmt w:val="bullet"/>
      <w:lvlText w:val="o"/>
      <w:lvlJc w:val="left"/>
      <w:pPr>
        <w:ind w:left="3600" w:hanging="360"/>
      </w:pPr>
      <w:rPr>
        <w:rFonts w:ascii="Courier New" w:hAnsi="Courier New" w:hint="default"/>
      </w:rPr>
    </w:lvl>
    <w:lvl w:ilvl="5" w:tplc="302C96AC" w:tentative="1">
      <w:start w:val="1"/>
      <w:numFmt w:val="bullet"/>
      <w:lvlText w:val=""/>
      <w:lvlJc w:val="left"/>
      <w:pPr>
        <w:ind w:left="4320" w:hanging="360"/>
      </w:pPr>
      <w:rPr>
        <w:rFonts w:ascii="Wingdings" w:hAnsi="Wingdings" w:hint="default"/>
      </w:rPr>
    </w:lvl>
    <w:lvl w:ilvl="6" w:tplc="F236A01E" w:tentative="1">
      <w:start w:val="1"/>
      <w:numFmt w:val="bullet"/>
      <w:lvlText w:val=""/>
      <w:lvlJc w:val="left"/>
      <w:pPr>
        <w:ind w:left="5040" w:hanging="360"/>
      </w:pPr>
      <w:rPr>
        <w:rFonts w:ascii="Symbol" w:hAnsi="Symbol" w:hint="default"/>
      </w:rPr>
    </w:lvl>
    <w:lvl w:ilvl="7" w:tplc="1DCED776" w:tentative="1">
      <w:start w:val="1"/>
      <w:numFmt w:val="bullet"/>
      <w:lvlText w:val="o"/>
      <w:lvlJc w:val="left"/>
      <w:pPr>
        <w:ind w:left="5760" w:hanging="360"/>
      </w:pPr>
      <w:rPr>
        <w:rFonts w:ascii="Courier New" w:hAnsi="Courier New" w:hint="default"/>
      </w:rPr>
    </w:lvl>
    <w:lvl w:ilvl="8" w:tplc="7474FE84" w:tentative="1">
      <w:start w:val="1"/>
      <w:numFmt w:val="bullet"/>
      <w:lvlText w:val=""/>
      <w:lvlJc w:val="left"/>
      <w:pPr>
        <w:ind w:left="6480" w:hanging="360"/>
      </w:pPr>
      <w:rPr>
        <w:rFonts w:ascii="Wingdings" w:hAnsi="Wingdings" w:hint="default"/>
      </w:rPr>
    </w:lvl>
  </w:abstractNum>
  <w:abstractNum w:abstractNumId="230" w15:restartNumberingAfterBreak="0">
    <w:nsid w:val="2CFDA2FF"/>
    <w:multiLevelType w:val="hybridMultilevel"/>
    <w:tmpl w:val="FFFFFFFF"/>
    <w:lvl w:ilvl="0" w:tplc="EB1AE20A">
      <w:start w:val="1"/>
      <w:numFmt w:val="bullet"/>
      <w:lvlText w:val=""/>
      <w:lvlJc w:val="left"/>
      <w:pPr>
        <w:ind w:left="720" w:hanging="360"/>
      </w:pPr>
      <w:rPr>
        <w:rFonts w:ascii="Symbol" w:hAnsi="Symbol" w:hint="default"/>
      </w:rPr>
    </w:lvl>
    <w:lvl w:ilvl="1" w:tplc="3552FFA2">
      <w:start w:val="1"/>
      <w:numFmt w:val="bullet"/>
      <w:lvlText w:val="o"/>
      <w:lvlJc w:val="left"/>
      <w:pPr>
        <w:ind w:left="1440" w:hanging="360"/>
      </w:pPr>
      <w:rPr>
        <w:rFonts w:ascii="Courier New" w:hAnsi="Courier New" w:hint="default"/>
      </w:rPr>
    </w:lvl>
    <w:lvl w:ilvl="2" w:tplc="8656F4B2">
      <w:start w:val="1"/>
      <w:numFmt w:val="bullet"/>
      <w:lvlText w:val=""/>
      <w:lvlJc w:val="left"/>
      <w:pPr>
        <w:ind w:left="2160" w:hanging="360"/>
      </w:pPr>
      <w:rPr>
        <w:rFonts w:ascii="Wingdings" w:hAnsi="Wingdings" w:hint="default"/>
      </w:rPr>
    </w:lvl>
    <w:lvl w:ilvl="3" w:tplc="10C6E07A">
      <w:start w:val="1"/>
      <w:numFmt w:val="bullet"/>
      <w:lvlText w:val=""/>
      <w:lvlJc w:val="left"/>
      <w:pPr>
        <w:ind w:left="2880" w:hanging="360"/>
      </w:pPr>
      <w:rPr>
        <w:rFonts w:ascii="Symbol" w:hAnsi="Symbol" w:hint="default"/>
      </w:rPr>
    </w:lvl>
    <w:lvl w:ilvl="4" w:tplc="2A1606BA">
      <w:start w:val="1"/>
      <w:numFmt w:val="bullet"/>
      <w:lvlText w:val="o"/>
      <w:lvlJc w:val="left"/>
      <w:pPr>
        <w:ind w:left="3600" w:hanging="360"/>
      </w:pPr>
      <w:rPr>
        <w:rFonts w:ascii="Courier New" w:hAnsi="Courier New" w:hint="default"/>
      </w:rPr>
    </w:lvl>
    <w:lvl w:ilvl="5" w:tplc="6818F8F6">
      <w:start w:val="1"/>
      <w:numFmt w:val="bullet"/>
      <w:lvlText w:val=""/>
      <w:lvlJc w:val="left"/>
      <w:pPr>
        <w:ind w:left="4320" w:hanging="360"/>
      </w:pPr>
      <w:rPr>
        <w:rFonts w:ascii="Wingdings" w:hAnsi="Wingdings" w:hint="default"/>
      </w:rPr>
    </w:lvl>
    <w:lvl w:ilvl="6" w:tplc="C0483816">
      <w:start w:val="1"/>
      <w:numFmt w:val="bullet"/>
      <w:lvlText w:val=""/>
      <w:lvlJc w:val="left"/>
      <w:pPr>
        <w:ind w:left="5040" w:hanging="360"/>
      </w:pPr>
      <w:rPr>
        <w:rFonts w:ascii="Symbol" w:hAnsi="Symbol" w:hint="default"/>
      </w:rPr>
    </w:lvl>
    <w:lvl w:ilvl="7" w:tplc="2960A558">
      <w:start w:val="1"/>
      <w:numFmt w:val="bullet"/>
      <w:lvlText w:val="o"/>
      <w:lvlJc w:val="left"/>
      <w:pPr>
        <w:ind w:left="5760" w:hanging="360"/>
      </w:pPr>
      <w:rPr>
        <w:rFonts w:ascii="Courier New" w:hAnsi="Courier New" w:hint="default"/>
      </w:rPr>
    </w:lvl>
    <w:lvl w:ilvl="8" w:tplc="A014C312">
      <w:start w:val="1"/>
      <w:numFmt w:val="bullet"/>
      <w:lvlText w:val=""/>
      <w:lvlJc w:val="left"/>
      <w:pPr>
        <w:ind w:left="6480" w:hanging="360"/>
      </w:pPr>
      <w:rPr>
        <w:rFonts w:ascii="Wingdings" w:hAnsi="Wingdings" w:hint="default"/>
      </w:rPr>
    </w:lvl>
  </w:abstractNum>
  <w:abstractNum w:abstractNumId="231" w15:restartNumberingAfterBreak="0">
    <w:nsid w:val="2D8055EB"/>
    <w:multiLevelType w:val="multilevel"/>
    <w:tmpl w:val="C76C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D8D3D76"/>
    <w:multiLevelType w:val="hybridMultilevel"/>
    <w:tmpl w:val="9FDAD72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2D8F77A9"/>
    <w:multiLevelType w:val="hybridMultilevel"/>
    <w:tmpl w:val="D42E9682"/>
    <w:lvl w:ilvl="0" w:tplc="91EA61BC">
      <w:start w:val="1"/>
      <w:numFmt w:val="bullet"/>
      <w:lvlText w:val=""/>
      <w:lvlJc w:val="left"/>
      <w:pPr>
        <w:ind w:left="720" w:hanging="360"/>
      </w:pPr>
      <w:rPr>
        <w:rFonts w:ascii="Symbol" w:hAnsi="Symbol" w:hint="default"/>
      </w:rPr>
    </w:lvl>
    <w:lvl w:ilvl="1" w:tplc="E8EC655A" w:tentative="1">
      <w:start w:val="1"/>
      <w:numFmt w:val="bullet"/>
      <w:lvlText w:val="o"/>
      <w:lvlJc w:val="left"/>
      <w:pPr>
        <w:ind w:left="1440" w:hanging="360"/>
      </w:pPr>
      <w:rPr>
        <w:rFonts w:ascii="Courier New" w:hAnsi="Courier New" w:hint="default"/>
      </w:rPr>
    </w:lvl>
    <w:lvl w:ilvl="2" w:tplc="A15A7D30" w:tentative="1">
      <w:start w:val="1"/>
      <w:numFmt w:val="bullet"/>
      <w:lvlText w:val=""/>
      <w:lvlJc w:val="left"/>
      <w:pPr>
        <w:ind w:left="2160" w:hanging="360"/>
      </w:pPr>
      <w:rPr>
        <w:rFonts w:ascii="Wingdings" w:hAnsi="Wingdings" w:hint="default"/>
      </w:rPr>
    </w:lvl>
    <w:lvl w:ilvl="3" w:tplc="1D9EBC9C" w:tentative="1">
      <w:start w:val="1"/>
      <w:numFmt w:val="bullet"/>
      <w:lvlText w:val=""/>
      <w:lvlJc w:val="left"/>
      <w:pPr>
        <w:ind w:left="2880" w:hanging="360"/>
      </w:pPr>
      <w:rPr>
        <w:rFonts w:ascii="Symbol" w:hAnsi="Symbol" w:hint="default"/>
      </w:rPr>
    </w:lvl>
    <w:lvl w:ilvl="4" w:tplc="3A4CF1BE" w:tentative="1">
      <w:start w:val="1"/>
      <w:numFmt w:val="bullet"/>
      <w:lvlText w:val="o"/>
      <w:lvlJc w:val="left"/>
      <w:pPr>
        <w:ind w:left="3600" w:hanging="360"/>
      </w:pPr>
      <w:rPr>
        <w:rFonts w:ascii="Courier New" w:hAnsi="Courier New" w:hint="default"/>
      </w:rPr>
    </w:lvl>
    <w:lvl w:ilvl="5" w:tplc="AC4460DA" w:tentative="1">
      <w:start w:val="1"/>
      <w:numFmt w:val="bullet"/>
      <w:lvlText w:val=""/>
      <w:lvlJc w:val="left"/>
      <w:pPr>
        <w:ind w:left="4320" w:hanging="360"/>
      </w:pPr>
      <w:rPr>
        <w:rFonts w:ascii="Wingdings" w:hAnsi="Wingdings" w:hint="default"/>
      </w:rPr>
    </w:lvl>
    <w:lvl w:ilvl="6" w:tplc="2828104A" w:tentative="1">
      <w:start w:val="1"/>
      <w:numFmt w:val="bullet"/>
      <w:lvlText w:val=""/>
      <w:lvlJc w:val="left"/>
      <w:pPr>
        <w:ind w:left="5040" w:hanging="360"/>
      </w:pPr>
      <w:rPr>
        <w:rFonts w:ascii="Symbol" w:hAnsi="Symbol" w:hint="default"/>
      </w:rPr>
    </w:lvl>
    <w:lvl w:ilvl="7" w:tplc="6226C30A" w:tentative="1">
      <w:start w:val="1"/>
      <w:numFmt w:val="bullet"/>
      <w:lvlText w:val="o"/>
      <w:lvlJc w:val="left"/>
      <w:pPr>
        <w:ind w:left="5760" w:hanging="360"/>
      </w:pPr>
      <w:rPr>
        <w:rFonts w:ascii="Courier New" w:hAnsi="Courier New" w:hint="default"/>
      </w:rPr>
    </w:lvl>
    <w:lvl w:ilvl="8" w:tplc="EF6466E6" w:tentative="1">
      <w:start w:val="1"/>
      <w:numFmt w:val="bullet"/>
      <w:lvlText w:val=""/>
      <w:lvlJc w:val="left"/>
      <w:pPr>
        <w:ind w:left="6480" w:hanging="360"/>
      </w:pPr>
      <w:rPr>
        <w:rFonts w:ascii="Wingdings" w:hAnsi="Wingdings" w:hint="default"/>
      </w:rPr>
    </w:lvl>
  </w:abstractNum>
  <w:abstractNum w:abstractNumId="234" w15:restartNumberingAfterBreak="0">
    <w:nsid w:val="2DF71749"/>
    <w:multiLevelType w:val="multilevel"/>
    <w:tmpl w:val="1E5C16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E2039B7"/>
    <w:multiLevelType w:val="hybridMultilevel"/>
    <w:tmpl w:val="8AEE57A8"/>
    <w:lvl w:ilvl="0" w:tplc="4B64CE2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2E61D219"/>
    <w:multiLevelType w:val="hybridMultilevel"/>
    <w:tmpl w:val="FFFFFFFF"/>
    <w:lvl w:ilvl="0" w:tplc="F4809D88">
      <w:start w:val="1"/>
      <w:numFmt w:val="bullet"/>
      <w:lvlText w:val="·"/>
      <w:lvlJc w:val="left"/>
      <w:pPr>
        <w:ind w:left="720" w:hanging="360"/>
      </w:pPr>
      <w:rPr>
        <w:rFonts w:ascii="Symbol" w:hAnsi="Symbol" w:hint="default"/>
      </w:rPr>
    </w:lvl>
    <w:lvl w:ilvl="1" w:tplc="DFF2D634">
      <w:start w:val="1"/>
      <w:numFmt w:val="bullet"/>
      <w:lvlText w:val="o"/>
      <w:lvlJc w:val="left"/>
      <w:pPr>
        <w:ind w:left="1440" w:hanging="360"/>
      </w:pPr>
      <w:rPr>
        <w:rFonts w:ascii="Courier New" w:hAnsi="Courier New" w:hint="default"/>
      </w:rPr>
    </w:lvl>
    <w:lvl w:ilvl="2" w:tplc="0D96B6E8">
      <w:start w:val="1"/>
      <w:numFmt w:val="bullet"/>
      <w:lvlText w:val=""/>
      <w:lvlJc w:val="left"/>
      <w:pPr>
        <w:ind w:left="2160" w:hanging="360"/>
      </w:pPr>
      <w:rPr>
        <w:rFonts w:ascii="Wingdings" w:hAnsi="Wingdings" w:hint="default"/>
      </w:rPr>
    </w:lvl>
    <w:lvl w:ilvl="3" w:tplc="80CA6052">
      <w:start w:val="1"/>
      <w:numFmt w:val="bullet"/>
      <w:lvlText w:val=""/>
      <w:lvlJc w:val="left"/>
      <w:pPr>
        <w:ind w:left="2880" w:hanging="360"/>
      </w:pPr>
      <w:rPr>
        <w:rFonts w:ascii="Symbol" w:hAnsi="Symbol" w:hint="default"/>
      </w:rPr>
    </w:lvl>
    <w:lvl w:ilvl="4" w:tplc="C12AFE7A">
      <w:start w:val="1"/>
      <w:numFmt w:val="bullet"/>
      <w:lvlText w:val="o"/>
      <w:lvlJc w:val="left"/>
      <w:pPr>
        <w:ind w:left="3600" w:hanging="360"/>
      </w:pPr>
      <w:rPr>
        <w:rFonts w:ascii="Courier New" w:hAnsi="Courier New" w:hint="default"/>
      </w:rPr>
    </w:lvl>
    <w:lvl w:ilvl="5" w:tplc="5A9EFA46">
      <w:start w:val="1"/>
      <w:numFmt w:val="bullet"/>
      <w:lvlText w:val=""/>
      <w:lvlJc w:val="left"/>
      <w:pPr>
        <w:ind w:left="4320" w:hanging="360"/>
      </w:pPr>
      <w:rPr>
        <w:rFonts w:ascii="Wingdings" w:hAnsi="Wingdings" w:hint="default"/>
      </w:rPr>
    </w:lvl>
    <w:lvl w:ilvl="6" w:tplc="08D40CFA">
      <w:start w:val="1"/>
      <w:numFmt w:val="bullet"/>
      <w:lvlText w:val=""/>
      <w:lvlJc w:val="left"/>
      <w:pPr>
        <w:ind w:left="5040" w:hanging="360"/>
      </w:pPr>
      <w:rPr>
        <w:rFonts w:ascii="Symbol" w:hAnsi="Symbol" w:hint="default"/>
      </w:rPr>
    </w:lvl>
    <w:lvl w:ilvl="7" w:tplc="401E1A76">
      <w:start w:val="1"/>
      <w:numFmt w:val="bullet"/>
      <w:lvlText w:val="o"/>
      <w:lvlJc w:val="left"/>
      <w:pPr>
        <w:ind w:left="5760" w:hanging="360"/>
      </w:pPr>
      <w:rPr>
        <w:rFonts w:ascii="Courier New" w:hAnsi="Courier New" w:hint="default"/>
      </w:rPr>
    </w:lvl>
    <w:lvl w:ilvl="8" w:tplc="693EE350">
      <w:start w:val="1"/>
      <w:numFmt w:val="bullet"/>
      <w:lvlText w:val=""/>
      <w:lvlJc w:val="left"/>
      <w:pPr>
        <w:ind w:left="6480" w:hanging="360"/>
      </w:pPr>
      <w:rPr>
        <w:rFonts w:ascii="Wingdings" w:hAnsi="Wingdings" w:hint="default"/>
      </w:rPr>
    </w:lvl>
  </w:abstractNum>
  <w:abstractNum w:abstractNumId="237" w15:restartNumberingAfterBreak="0">
    <w:nsid w:val="2E75053C"/>
    <w:multiLevelType w:val="hybridMultilevel"/>
    <w:tmpl w:val="28580292"/>
    <w:lvl w:ilvl="0" w:tplc="5D90EC70">
      <w:start w:val="1"/>
      <w:numFmt w:val="bullet"/>
      <w:lvlText w:val=""/>
      <w:lvlJc w:val="left"/>
      <w:pPr>
        <w:ind w:left="720" w:hanging="360"/>
      </w:pPr>
      <w:rPr>
        <w:rFonts w:ascii="Symbol" w:hAnsi="Symbol" w:hint="default"/>
        <w:sz w:val="22"/>
        <w:szCs w:val="22"/>
      </w:rPr>
    </w:lvl>
    <w:lvl w:ilvl="1" w:tplc="3EBC1C6A" w:tentative="1">
      <w:start w:val="1"/>
      <w:numFmt w:val="bullet"/>
      <w:lvlText w:val="o"/>
      <w:lvlJc w:val="left"/>
      <w:pPr>
        <w:ind w:left="1440" w:hanging="360"/>
      </w:pPr>
      <w:rPr>
        <w:rFonts w:ascii="Courier New" w:hAnsi="Courier New" w:hint="default"/>
      </w:rPr>
    </w:lvl>
    <w:lvl w:ilvl="2" w:tplc="69A669A6" w:tentative="1">
      <w:start w:val="1"/>
      <w:numFmt w:val="bullet"/>
      <w:lvlText w:val=""/>
      <w:lvlJc w:val="left"/>
      <w:pPr>
        <w:ind w:left="2160" w:hanging="360"/>
      </w:pPr>
      <w:rPr>
        <w:rFonts w:ascii="Wingdings" w:hAnsi="Wingdings" w:hint="default"/>
      </w:rPr>
    </w:lvl>
    <w:lvl w:ilvl="3" w:tplc="753AD340" w:tentative="1">
      <w:start w:val="1"/>
      <w:numFmt w:val="bullet"/>
      <w:lvlText w:val=""/>
      <w:lvlJc w:val="left"/>
      <w:pPr>
        <w:ind w:left="2880" w:hanging="360"/>
      </w:pPr>
      <w:rPr>
        <w:rFonts w:ascii="Symbol" w:hAnsi="Symbol" w:hint="default"/>
      </w:rPr>
    </w:lvl>
    <w:lvl w:ilvl="4" w:tplc="C01EE1AC" w:tentative="1">
      <w:start w:val="1"/>
      <w:numFmt w:val="bullet"/>
      <w:lvlText w:val="o"/>
      <w:lvlJc w:val="left"/>
      <w:pPr>
        <w:ind w:left="3600" w:hanging="360"/>
      </w:pPr>
      <w:rPr>
        <w:rFonts w:ascii="Courier New" w:hAnsi="Courier New" w:hint="default"/>
      </w:rPr>
    </w:lvl>
    <w:lvl w:ilvl="5" w:tplc="0D40CA4E" w:tentative="1">
      <w:start w:val="1"/>
      <w:numFmt w:val="bullet"/>
      <w:lvlText w:val=""/>
      <w:lvlJc w:val="left"/>
      <w:pPr>
        <w:ind w:left="4320" w:hanging="360"/>
      </w:pPr>
      <w:rPr>
        <w:rFonts w:ascii="Wingdings" w:hAnsi="Wingdings" w:hint="default"/>
      </w:rPr>
    </w:lvl>
    <w:lvl w:ilvl="6" w:tplc="D0A0272C" w:tentative="1">
      <w:start w:val="1"/>
      <w:numFmt w:val="bullet"/>
      <w:lvlText w:val=""/>
      <w:lvlJc w:val="left"/>
      <w:pPr>
        <w:ind w:left="5040" w:hanging="360"/>
      </w:pPr>
      <w:rPr>
        <w:rFonts w:ascii="Symbol" w:hAnsi="Symbol" w:hint="default"/>
      </w:rPr>
    </w:lvl>
    <w:lvl w:ilvl="7" w:tplc="3BF47C30" w:tentative="1">
      <w:start w:val="1"/>
      <w:numFmt w:val="bullet"/>
      <w:lvlText w:val="o"/>
      <w:lvlJc w:val="left"/>
      <w:pPr>
        <w:ind w:left="5760" w:hanging="360"/>
      </w:pPr>
      <w:rPr>
        <w:rFonts w:ascii="Courier New" w:hAnsi="Courier New" w:hint="default"/>
      </w:rPr>
    </w:lvl>
    <w:lvl w:ilvl="8" w:tplc="C8A0438C" w:tentative="1">
      <w:start w:val="1"/>
      <w:numFmt w:val="bullet"/>
      <w:lvlText w:val=""/>
      <w:lvlJc w:val="left"/>
      <w:pPr>
        <w:ind w:left="6480" w:hanging="360"/>
      </w:pPr>
      <w:rPr>
        <w:rFonts w:ascii="Wingdings" w:hAnsi="Wingdings" w:hint="default"/>
      </w:rPr>
    </w:lvl>
  </w:abstractNum>
  <w:abstractNum w:abstractNumId="238" w15:restartNumberingAfterBreak="0">
    <w:nsid w:val="2E896D44"/>
    <w:multiLevelType w:val="multilevel"/>
    <w:tmpl w:val="1A72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EAF29A8"/>
    <w:multiLevelType w:val="hybridMultilevel"/>
    <w:tmpl w:val="BBD46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2ED26DDE"/>
    <w:multiLevelType w:val="multilevel"/>
    <w:tmpl w:val="719E2F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1" w15:restartNumberingAfterBreak="0">
    <w:nsid w:val="2EDA1C6E"/>
    <w:multiLevelType w:val="hybridMultilevel"/>
    <w:tmpl w:val="98EE88BA"/>
    <w:lvl w:ilvl="0" w:tplc="F44A3FBA">
      <w:start w:val="1"/>
      <w:numFmt w:val="bullet"/>
      <w:lvlText w:val=""/>
      <w:lvlJc w:val="left"/>
      <w:pPr>
        <w:ind w:left="720" w:hanging="360"/>
      </w:pPr>
      <w:rPr>
        <w:rFonts w:ascii="Symbol" w:hAnsi="Symbol" w:hint="default"/>
      </w:rPr>
    </w:lvl>
    <w:lvl w:ilvl="1" w:tplc="27D21298" w:tentative="1">
      <w:start w:val="1"/>
      <w:numFmt w:val="bullet"/>
      <w:lvlText w:val="o"/>
      <w:lvlJc w:val="left"/>
      <w:pPr>
        <w:ind w:left="1440" w:hanging="360"/>
      </w:pPr>
      <w:rPr>
        <w:rFonts w:ascii="Courier New" w:hAnsi="Courier New" w:hint="default"/>
      </w:rPr>
    </w:lvl>
    <w:lvl w:ilvl="2" w:tplc="CFC2BE5C" w:tentative="1">
      <w:start w:val="1"/>
      <w:numFmt w:val="bullet"/>
      <w:lvlText w:val=""/>
      <w:lvlJc w:val="left"/>
      <w:pPr>
        <w:ind w:left="2160" w:hanging="360"/>
      </w:pPr>
      <w:rPr>
        <w:rFonts w:ascii="Wingdings" w:hAnsi="Wingdings" w:hint="default"/>
      </w:rPr>
    </w:lvl>
    <w:lvl w:ilvl="3" w:tplc="73609658" w:tentative="1">
      <w:start w:val="1"/>
      <w:numFmt w:val="bullet"/>
      <w:lvlText w:val=""/>
      <w:lvlJc w:val="left"/>
      <w:pPr>
        <w:ind w:left="2880" w:hanging="360"/>
      </w:pPr>
      <w:rPr>
        <w:rFonts w:ascii="Symbol" w:hAnsi="Symbol" w:hint="default"/>
      </w:rPr>
    </w:lvl>
    <w:lvl w:ilvl="4" w:tplc="1772C3B8" w:tentative="1">
      <w:start w:val="1"/>
      <w:numFmt w:val="bullet"/>
      <w:lvlText w:val="o"/>
      <w:lvlJc w:val="left"/>
      <w:pPr>
        <w:ind w:left="3600" w:hanging="360"/>
      </w:pPr>
      <w:rPr>
        <w:rFonts w:ascii="Courier New" w:hAnsi="Courier New" w:hint="default"/>
      </w:rPr>
    </w:lvl>
    <w:lvl w:ilvl="5" w:tplc="F14E0434" w:tentative="1">
      <w:start w:val="1"/>
      <w:numFmt w:val="bullet"/>
      <w:lvlText w:val=""/>
      <w:lvlJc w:val="left"/>
      <w:pPr>
        <w:ind w:left="4320" w:hanging="360"/>
      </w:pPr>
      <w:rPr>
        <w:rFonts w:ascii="Wingdings" w:hAnsi="Wingdings" w:hint="default"/>
      </w:rPr>
    </w:lvl>
    <w:lvl w:ilvl="6" w:tplc="B582C63E" w:tentative="1">
      <w:start w:val="1"/>
      <w:numFmt w:val="bullet"/>
      <w:lvlText w:val=""/>
      <w:lvlJc w:val="left"/>
      <w:pPr>
        <w:ind w:left="5040" w:hanging="360"/>
      </w:pPr>
      <w:rPr>
        <w:rFonts w:ascii="Symbol" w:hAnsi="Symbol" w:hint="default"/>
      </w:rPr>
    </w:lvl>
    <w:lvl w:ilvl="7" w:tplc="B7F255E0" w:tentative="1">
      <w:start w:val="1"/>
      <w:numFmt w:val="bullet"/>
      <w:lvlText w:val="o"/>
      <w:lvlJc w:val="left"/>
      <w:pPr>
        <w:ind w:left="5760" w:hanging="360"/>
      </w:pPr>
      <w:rPr>
        <w:rFonts w:ascii="Courier New" w:hAnsi="Courier New" w:hint="default"/>
      </w:rPr>
    </w:lvl>
    <w:lvl w:ilvl="8" w:tplc="E92254C2" w:tentative="1">
      <w:start w:val="1"/>
      <w:numFmt w:val="bullet"/>
      <w:lvlText w:val=""/>
      <w:lvlJc w:val="left"/>
      <w:pPr>
        <w:ind w:left="6480" w:hanging="360"/>
      </w:pPr>
      <w:rPr>
        <w:rFonts w:ascii="Wingdings" w:hAnsi="Wingdings" w:hint="default"/>
      </w:rPr>
    </w:lvl>
  </w:abstractNum>
  <w:abstractNum w:abstractNumId="242" w15:restartNumberingAfterBreak="0">
    <w:nsid w:val="2EF1CE5B"/>
    <w:multiLevelType w:val="hybridMultilevel"/>
    <w:tmpl w:val="3836D090"/>
    <w:lvl w:ilvl="0" w:tplc="E48676D2">
      <w:start w:val="1"/>
      <w:numFmt w:val="bullet"/>
      <w:lvlText w:val="·"/>
      <w:lvlJc w:val="left"/>
      <w:pPr>
        <w:ind w:left="720" w:hanging="360"/>
      </w:pPr>
      <w:rPr>
        <w:rFonts w:ascii="Symbol" w:hAnsi="Symbol" w:hint="default"/>
      </w:rPr>
    </w:lvl>
    <w:lvl w:ilvl="1" w:tplc="E1B448C2">
      <w:start w:val="1"/>
      <w:numFmt w:val="bullet"/>
      <w:lvlText w:val="o"/>
      <w:lvlJc w:val="left"/>
      <w:pPr>
        <w:ind w:left="1440" w:hanging="360"/>
      </w:pPr>
      <w:rPr>
        <w:rFonts w:ascii="Courier New" w:hAnsi="Courier New" w:hint="default"/>
      </w:rPr>
    </w:lvl>
    <w:lvl w:ilvl="2" w:tplc="B70828EA">
      <w:start w:val="1"/>
      <w:numFmt w:val="bullet"/>
      <w:lvlText w:val=""/>
      <w:lvlJc w:val="left"/>
      <w:pPr>
        <w:ind w:left="2160" w:hanging="360"/>
      </w:pPr>
      <w:rPr>
        <w:rFonts w:ascii="Wingdings" w:hAnsi="Wingdings" w:hint="default"/>
      </w:rPr>
    </w:lvl>
    <w:lvl w:ilvl="3" w:tplc="1EAAA2DC">
      <w:start w:val="1"/>
      <w:numFmt w:val="bullet"/>
      <w:lvlText w:val=""/>
      <w:lvlJc w:val="left"/>
      <w:pPr>
        <w:ind w:left="2880" w:hanging="360"/>
      </w:pPr>
      <w:rPr>
        <w:rFonts w:ascii="Symbol" w:hAnsi="Symbol" w:hint="default"/>
      </w:rPr>
    </w:lvl>
    <w:lvl w:ilvl="4" w:tplc="68B0981E">
      <w:start w:val="1"/>
      <w:numFmt w:val="bullet"/>
      <w:lvlText w:val="o"/>
      <w:lvlJc w:val="left"/>
      <w:pPr>
        <w:ind w:left="3600" w:hanging="360"/>
      </w:pPr>
      <w:rPr>
        <w:rFonts w:ascii="Courier New" w:hAnsi="Courier New" w:hint="default"/>
      </w:rPr>
    </w:lvl>
    <w:lvl w:ilvl="5" w:tplc="3ECC8F4E">
      <w:start w:val="1"/>
      <w:numFmt w:val="bullet"/>
      <w:lvlText w:val=""/>
      <w:lvlJc w:val="left"/>
      <w:pPr>
        <w:ind w:left="4320" w:hanging="360"/>
      </w:pPr>
      <w:rPr>
        <w:rFonts w:ascii="Wingdings" w:hAnsi="Wingdings" w:hint="default"/>
      </w:rPr>
    </w:lvl>
    <w:lvl w:ilvl="6" w:tplc="379CAEA6">
      <w:start w:val="1"/>
      <w:numFmt w:val="bullet"/>
      <w:lvlText w:val=""/>
      <w:lvlJc w:val="left"/>
      <w:pPr>
        <w:ind w:left="5040" w:hanging="360"/>
      </w:pPr>
      <w:rPr>
        <w:rFonts w:ascii="Symbol" w:hAnsi="Symbol" w:hint="default"/>
      </w:rPr>
    </w:lvl>
    <w:lvl w:ilvl="7" w:tplc="8AFC45F2">
      <w:start w:val="1"/>
      <w:numFmt w:val="bullet"/>
      <w:lvlText w:val="o"/>
      <w:lvlJc w:val="left"/>
      <w:pPr>
        <w:ind w:left="5760" w:hanging="360"/>
      </w:pPr>
      <w:rPr>
        <w:rFonts w:ascii="Courier New" w:hAnsi="Courier New" w:hint="default"/>
      </w:rPr>
    </w:lvl>
    <w:lvl w:ilvl="8" w:tplc="E63646F0">
      <w:start w:val="1"/>
      <w:numFmt w:val="bullet"/>
      <w:lvlText w:val=""/>
      <w:lvlJc w:val="left"/>
      <w:pPr>
        <w:ind w:left="6480" w:hanging="360"/>
      </w:pPr>
      <w:rPr>
        <w:rFonts w:ascii="Wingdings" w:hAnsi="Wingdings" w:hint="default"/>
      </w:rPr>
    </w:lvl>
  </w:abstractNum>
  <w:abstractNum w:abstractNumId="243" w15:restartNumberingAfterBreak="0">
    <w:nsid w:val="2FDC429B"/>
    <w:multiLevelType w:val="multilevel"/>
    <w:tmpl w:val="00A2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0015031"/>
    <w:multiLevelType w:val="multilevel"/>
    <w:tmpl w:val="4FB4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025289A"/>
    <w:multiLevelType w:val="multilevel"/>
    <w:tmpl w:val="8F86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03F1212"/>
    <w:multiLevelType w:val="hybridMultilevel"/>
    <w:tmpl w:val="EE96A5F0"/>
    <w:lvl w:ilvl="0" w:tplc="6CAEC882">
      <w:start w:val="1"/>
      <w:numFmt w:val="bullet"/>
      <w:lvlText w:val=""/>
      <w:lvlJc w:val="left"/>
      <w:pPr>
        <w:ind w:left="319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7" w15:restartNumberingAfterBreak="0">
    <w:nsid w:val="30920CD2"/>
    <w:multiLevelType w:val="multilevel"/>
    <w:tmpl w:val="FB38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0C52DED"/>
    <w:multiLevelType w:val="hybridMultilevel"/>
    <w:tmpl w:val="2A7659B8"/>
    <w:lvl w:ilvl="0" w:tplc="09706DD8">
      <w:start w:val="1"/>
      <w:numFmt w:val="bullet"/>
      <w:lvlText w:val=""/>
      <w:lvlJc w:val="left"/>
      <w:pPr>
        <w:ind w:left="720" w:hanging="360"/>
      </w:pPr>
      <w:rPr>
        <w:rFonts w:ascii="Symbol" w:hAnsi="Symbol" w:hint="default"/>
      </w:rPr>
    </w:lvl>
    <w:lvl w:ilvl="1" w:tplc="676AB5C4">
      <w:start w:val="1"/>
      <w:numFmt w:val="bullet"/>
      <w:lvlText w:val="o"/>
      <w:lvlJc w:val="left"/>
      <w:pPr>
        <w:ind w:left="1440" w:hanging="360"/>
      </w:pPr>
      <w:rPr>
        <w:rFonts w:ascii="Courier New" w:hAnsi="Courier New" w:hint="default"/>
      </w:rPr>
    </w:lvl>
    <w:lvl w:ilvl="2" w:tplc="8D2C3628">
      <w:start w:val="1"/>
      <w:numFmt w:val="bullet"/>
      <w:lvlText w:val=""/>
      <w:lvlJc w:val="left"/>
      <w:pPr>
        <w:ind w:left="2160" w:hanging="360"/>
      </w:pPr>
      <w:rPr>
        <w:rFonts w:ascii="Wingdings" w:hAnsi="Wingdings" w:hint="default"/>
      </w:rPr>
    </w:lvl>
    <w:lvl w:ilvl="3" w:tplc="2A0096D6">
      <w:start w:val="1"/>
      <w:numFmt w:val="bullet"/>
      <w:lvlText w:val=""/>
      <w:lvlJc w:val="left"/>
      <w:pPr>
        <w:ind w:left="2880" w:hanging="360"/>
      </w:pPr>
      <w:rPr>
        <w:rFonts w:ascii="Symbol" w:hAnsi="Symbol" w:hint="default"/>
      </w:rPr>
    </w:lvl>
    <w:lvl w:ilvl="4" w:tplc="1B722D70">
      <w:start w:val="1"/>
      <w:numFmt w:val="bullet"/>
      <w:lvlText w:val="o"/>
      <w:lvlJc w:val="left"/>
      <w:pPr>
        <w:ind w:left="3600" w:hanging="360"/>
      </w:pPr>
      <w:rPr>
        <w:rFonts w:ascii="Courier New" w:hAnsi="Courier New" w:hint="default"/>
      </w:rPr>
    </w:lvl>
    <w:lvl w:ilvl="5" w:tplc="67A0FCB8">
      <w:start w:val="1"/>
      <w:numFmt w:val="bullet"/>
      <w:lvlText w:val=""/>
      <w:lvlJc w:val="left"/>
      <w:pPr>
        <w:ind w:left="4320" w:hanging="360"/>
      </w:pPr>
      <w:rPr>
        <w:rFonts w:ascii="Wingdings" w:hAnsi="Wingdings" w:hint="default"/>
      </w:rPr>
    </w:lvl>
    <w:lvl w:ilvl="6" w:tplc="BAC21444">
      <w:start w:val="1"/>
      <w:numFmt w:val="bullet"/>
      <w:lvlText w:val=""/>
      <w:lvlJc w:val="left"/>
      <w:pPr>
        <w:ind w:left="5040" w:hanging="360"/>
      </w:pPr>
      <w:rPr>
        <w:rFonts w:ascii="Symbol" w:hAnsi="Symbol" w:hint="default"/>
      </w:rPr>
    </w:lvl>
    <w:lvl w:ilvl="7" w:tplc="C910E876">
      <w:start w:val="1"/>
      <w:numFmt w:val="bullet"/>
      <w:lvlText w:val="o"/>
      <w:lvlJc w:val="left"/>
      <w:pPr>
        <w:ind w:left="5760" w:hanging="360"/>
      </w:pPr>
      <w:rPr>
        <w:rFonts w:ascii="Courier New" w:hAnsi="Courier New" w:hint="default"/>
      </w:rPr>
    </w:lvl>
    <w:lvl w:ilvl="8" w:tplc="A798DD30">
      <w:start w:val="1"/>
      <w:numFmt w:val="bullet"/>
      <w:lvlText w:val=""/>
      <w:lvlJc w:val="left"/>
      <w:pPr>
        <w:ind w:left="6480" w:hanging="360"/>
      </w:pPr>
      <w:rPr>
        <w:rFonts w:ascii="Wingdings" w:hAnsi="Wingdings" w:hint="default"/>
      </w:rPr>
    </w:lvl>
  </w:abstractNum>
  <w:abstractNum w:abstractNumId="249" w15:restartNumberingAfterBreak="0">
    <w:nsid w:val="313E4612"/>
    <w:multiLevelType w:val="multilevel"/>
    <w:tmpl w:val="FE3E3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16713A7"/>
    <w:multiLevelType w:val="hybridMultilevel"/>
    <w:tmpl w:val="57A253FA"/>
    <w:lvl w:ilvl="0" w:tplc="15D01A56">
      <w:start w:val="1"/>
      <w:numFmt w:val="bullet"/>
      <w:lvlText w:val=""/>
      <w:lvlJc w:val="left"/>
      <w:pPr>
        <w:ind w:left="720" w:hanging="360"/>
      </w:pPr>
      <w:rPr>
        <w:rFonts w:ascii="Symbol" w:hAnsi="Symbol" w:hint="default"/>
      </w:rPr>
    </w:lvl>
    <w:lvl w:ilvl="1" w:tplc="BE08DEC2">
      <w:start w:val="1"/>
      <w:numFmt w:val="bullet"/>
      <w:lvlText w:val="o"/>
      <w:lvlJc w:val="left"/>
      <w:pPr>
        <w:ind w:left="1440" w:hanging="360"/>
      </w:pPr>
      <w:rPr>
        <w:rFonts w:ascii="&quot;Courier New&quot;" w:hAnsi="&quot;Courier New&quot;" w:hint="default"/>
      </w:rPr>
    </w:lvl>
    <w:lvl w:ilvl="2" w:tplc="4BE4BCD4">
      <w:start w:val="1"/>
      <w:numFmt w:val="bullet"/>
      <w:lvlText w:val=""/>
      <w:lvlJc w:val="left"/>
      <w:pPr>
        <w:ind w:left="2160" w:hanging="360"/>
      </w:pPr>
      <w:rPr>
        <w:rFonts w:ascii="Wingdings" w:hAnsi="Wingdings" w:hint="default"/>
      </w:rPr>
    </w:lvl>
    <w:lvl w:ilvl="3" w:tplc="8482E0CA">
      <w:start w:val="1"/>
      <w:numFmt w:val="bullet"/>
      <w:lvlText w:val=""/>
      <w:lvlJc w:val="left"/>
      <w:pPr>
        <w:ind w:left="2880" w:hanging="360"/>
      </w:pPr>
      <w:rPr>
        <w:rFonts w:ascii="Symbol" w:hAnsi="Symbol" w:hint="default"/>
      </w:rPr>
    </w:lvl>
    <w:lvl w:ilvl="4" w:tplc="2A6CF6DC">
      <w:start w:val="1"/>
      <w:numFmt w:val="bullet"/>
      <w:lvlText w:val="o"/>
      <w:lvlJc w:val="left"/>
      <w:pPr>
        <w:ind w:left="3600" w:hanging="360"/>
      </w:pPr>
      <w:rPr>
        <w:rFonts w:ascii="Courier New" w:hAnsi="Courier New" w:hint="default"/>
      </w:rPr>
    </w:lvl>
    <w:lvl w:ilvl="5" w:tplc="11AE85A4">
      <w:start w:val="1"/>
      <w:numFmt w:val="bullet"/>
      <w:lvlText w:val=""/>
      <w:lvlJc w:val="left"/>
      <w:pPr>
        <w:ind w:left="4320" w:hanging="360"/>
      </w:pPr>
      <w:rPr>
        <w:rFonts w:ascii="Wingdings" w:hAnsi="Wingdings" w:hint="default"/>
      </w:rPr>
    </w:lvl>
    <w:lvl w:ilvl="6" w:tplc="6C6E573C">
      <w:start w:val="1"/>
      <w:numFmt w:val="bullet"/>
      <w:lvlText w:val=""/>
      <w:lvlJc w:val="left"/>
      <w:pPr>
        <w:ind w:left="5040" w:hanging="360"/>
      </w:pPr>
      <w:rPr>
        <w:rFonts w:ascii="Symbol" w:hAnsi="Symbol" w:hint="default"/>
      </w:rPr>
    </w:lvl>
    <w:lvl w:ilvl="7" w:tplc="1FFC4B36">
      <w:start w:val="1"/>
      <w:numFmt w:val="bullet"/>
      <w:lvlText w:val="o"/>
      <w:lvlJc w:val="left"/>
      <w:pPr>
        <w:ind w:left="5760" w:hanging="360"/>
      </w:pPr>
      <w:rPr>
        <w:rFonts w:ascii="Courier New" w:hAnsi="Courier New" w:hint="default"/>
      </w:rPr>
    </w:lvl>
    <w:lvl w:ilvl="8" w:tplc="B748C04E">
      <w:start w:val="1"/>
      <w:numFmt w:val="bullet"/>
      <w:lvlText w:val=""/>
      <w:lvlJc w:val="left"/>
      <w:pPr>
        <w:ind w:left="6480" w:hanging="360"/>
      </w:pPr>
      <w:rPr>
        <w:rFonts w:ascii="Wingdings" w:hAnsi="Wingdings" w:hint="default"/>
      </w:rPr>
    </w:lvl>
  </w:abstractNum>
  <w:abstractNum w:abstractNumId="251" w15:restartNumberingAfterBreak="0">
    <w:nsid w:val="31873265"/>
    <w:multiLevelType w:val="multilevel"/>
    <w:tmpl w:val="095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207682F"/>
    <w:multiLevelType w:val="hybridMultilevel"/>
    <w:tmpl w:val="356AB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32297994"/>
    <w:multiLevelType w:val="hybridMultilevel"/>
    <w:tmpl w:val="C1AECE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15:restartNumberingAfterBreak="0">
    <w:nsid w:val="328A1A10"/>
    <w:multiLevelType w:val="hybridMultilevel"/>
    <w:tmpl w:val="733C3A4E"/>
    <w:lvl w:ilvl="0" w:tplc="9C005188">
      <w:start w:val="1"/>
      <w:numFmt w:val="bullet"/>
      <w:lvlText w:val=""/>
      <w:lvlJc w:val="left"/>
      <w:pPr>
        <w:ind w:left="720" w:hanging="360"/>
      </w:pPr>
      <w:rPr>
        <w:rFonts w:ascii="Symbol" w:hAnsi="Symbol" w:hint="default"/>
      </w:rPr>
    </w:lvl>
    <w:lvl w:ilvl="1" w:tplc="3A04146A" w:tentative="1">
      <w:start w:val="1"/>
      <w:numFmt w:val="bullet"/>
      <w:lvlText w:val="o"/>
      <w:lvlJc w:val="left"/>
      <w:pPr>
        <w:ind w:left="1440" w:hanging="360"/>
      </w:pPr>
      <w:rPr>
        <w:rFonts w:ascii="Courier New" w:hAnsi="Courier New" w:hint="default"/>
      </w:rPr>
    </w:lvl>
    <w:lvl w:ilvl="2" w:tplc="798421B4" w:tentative="1">
      <w:start w:val="1"/>
      <w:numFmt w:val="bullet"/>
      <w:lvlText w:val=""/>
      <w:lvlJc w:val="left"/>
      <w:pPr>
        <w:ind w:left="2160" w:hanging="360"/>
      </w:pPr>
      <w:rPr>
        <w:rFonts w:ascii="Wingdings" w:hAnsi="Wingdings" w:hint="default"/>
      </w:rPr>
    </w:lvl>
    <w:lvl w:ilvl="3" w:tplc="49B4E752" w:tentative="1">
      <w:start w:val="1"/>
      <w:numFmt w:val="bullet"/>
      <w:lvlText w:val=""/>
      <w:lvlJc w:val="left"/>
      <w:pPr>
        <w:ind w:left="2880" w:hanging="360"/>
      </w:pPr>
      <w:rPr>
        <w:rFonts w:ascii="Symbol" w:hAnsi="Symbol" w:hint="default"/>
      </w:rPr>
    </w:lvl>
    <w:lvl w:ilvl="4" w:tplc="EF0EA3C4" w:tentative="1">
      <w:start w:val="1"/>
      <w:numFmt w:val="bullet"/>
      <w:lvlText w:val="o"/>
      <w:lvlJc w:val="left"/>
      <w:pPr>
        <w:ind w:left="3600" w:hanging="360"/>
      </w:pPr>
      <w:rPr>
        <w:rFonts w:ascii="Courier New" w:hAnsi="Courier New" w:hint="default"/>
      </w:rPr>
    </w:lvl>
    <w:lvl w:ilvl="5" w:tplc="4218F73C" w:tentative="1">
      <w:start w:val="1"/>
      <w:numFmt w:val="bullet"/>
      <w:lvlText w:val=""/>
      <w:lvlJc w:val="left"/>
      <w:pPr>
        <w:ind w:left="4320" w:hanging="360"/>
      </w:pPr>
      <w:rPr>
        <w:rFonts w:ascii="Wingdings" w:hAnsi="Wingdings" w:hint="default"/>
      </w:rPr>
    </w:lvl>
    <w:lvl w:ilvl="6" w:tplc="4DD2CB02" w:tentative="1">
      <w:start w:val="1"/>
      <w:numFmt w:val="bullet"/>
      <w:lvlText w:val=""/>
      <w:lvlJc w:val="left"/>
      <w:pPr>
        <w:ind w:left="5040" w:hanging="360"/>
      </w:pPr>
      <w:rPr>
        <w:rFonts w:ascii="Symbol" w:hAnsi="Symbol" w:hint="default"/>
      </w:rPr>
    </w:lvl>
    <w:lvl w:ilvl="7" w:tplc="9F52B1E4" w:tentative="1">
      <w:start w:val="1"/>
      <w:numFmt w:val="bullet"/>
      <w:lvlText w:val="o"/>
      <w:lvlJc w:val="left"/>
      <w:pPr>
        <w:ind w:left="5760" w:hanging="360"/>
      </w:pPr>
      <w:rPr>
        <w:rFonts w:ascii="Courier New" w:hAnsi="Courier New" w:hint="default"/>
      </w:rPr>
    </w:lvl>
    <w:lvl w:ilvl="8" w:tplc="2160C208" w:tentative="1">
      <w:start w:val="1"/>
      <w:numFmt w:val="bullet"/>
      <w:lvlText w:val=""/>
      <w:lvlJc w:val="left"/>
      <w:pPr>
        <w:ind w:left="6480" w:hanging="360"/>
      </w:pPr>
      <w:rPr>
        <w:rFonts w:ascii="Wingdings" w:hAnsi="Wingdings" w:hint="default"/>
      </w:rPr>
    </w:lvl>
  </w:abstractNum>
  <w:abstractNum w:abstractNumId="255" w15:restartNumberingAfterBreak="0">
    <w:nsid w:val="32953770"/>
    <w:multiLevelType w:val="hybridMultilevel"/>
    <w:tmpl w:val="0FC417CC"/>
    <w:lvl w:ilvl="0" w:tplc="7F2635BA">
      <w:start w:val="1"/>
      <w:numFmt w:val="bullet"/>
      <w:lvlText w:val=""/>
      <w:lvlJc w:val="left"/>
      <w:pPr>
        <w:ind w:left="720" w:hanging="360"/>
      </w:pPr>
      <w:rPr>
        <w:rFonts w:ascii="Symbol" w:hAnsi="Symbol" w:hint="default"/>
      </w:rPr>
    </w:lvl>
    <w:lvl w:ilvl="1" w:tplc="75FE2F2A" w:tentative="1">
      <w:start w:val="1"/>
      <w:numFmt w:val="bullet"/>
      <w:lvlText w:val="o"/>
      <w:lvlJc w:val="left"/>
      <w:pPr>
        <w:ind w:left="1440" w:hanging="360"/>
      </w:pPr>
      <w:rPr>
        <w:rFonts w:ascii="Courier New" w:hAnsi="Courier New" w:hint="default"/>
      </w:rPr>
    </w:lvl>
    <w:lvl w:ilvl="2" w:tplc="BBB2320E" w:tentative="1">
      <w:start w:val="1"/>
      <w:numFmt w:val="bullet"/>
      <w:lvlText w:val=""/>
      <w:lvlJc w:val="left"/>
      <w:pPr>
        <w:ind w:left="2160" w:hanging="360"/>
      </w:pPr>
      <w:rPr>
        <w:rFonts w:ascii="Wingdings" w:hAnsi="Wingdings" w:hint="default"/>
      </w:rPr>
    </w:lvl>
    <w:lvl w:ilvl="3" w:tplc="A42CA57C" w:tentative="1">
      <w:start w:val="1"/>
      <w:numFmt w:val="bullet"/>
      <w:lvlText w:val=""/>
      <w:lvlJc w:val="left"/>
      <w:pPr>
        <w:ind w:left="2880" w:hanging="360"/>
      </w:pPr>
      <w:rPr>
        <w:rFonts w:ascii="Symbol" w:hAnsi="Symbol" w:hint="default"/>
      </w:rPr>
    </w:lvl>
    <w:lvl w:ilvl="4" w:tplc="02C23B2E" w:tentative="1">
      <w:start w:val="1"/>
      <w:numFmt w:val="bullet"/>
      <w:lvlText w:val="o"/>
      <w:lvlJc w:val="left"/>
      <w:pPr>
        <w:ind w:left="3600" w:hanging="360"/>
      </w:pPr>
      <w:rPr>
        <w:rFonts w:ascii="Courier New" w:hAnsi="Courier New" w:hint="default"/>
      </w:rPr>
    </w:lvl>
    <w:lvl w:ilvl="5" w:tplc="C6B6B95E" w:tentative="1">
      <w:start w:val="1"/>
      <w:numFmt w:val="bullet"/>
      <w:lvlText w:val=""/>
      <w:lvlJc w:val="left"/>
      <w:pPr>
        <w:ind w:left="4320" w:hanging="360"/>
      </w:pPr>
      <w:rPr>
        <w:rFonts w:ascii="Wingdings" w:hAnsi="Wingdings" w:hint="default"/>
      </w:rPr>
    </w:lvl>
    <w:lvl w:ilvl="6" w:tplc="F3D60E7E" w:tentative="1">
      <w:start w:val="1"/>
      <w:numFmt w:val="bullet"/>
      <w:lvlText w:val=""/>
      <w:lvlJc w:val="left"/>
      <w:pPr>
        <w:ind w:left="5040" w:hanging="360"/>
      </w:pPr>
      <w:rPr>
        <w:rFonts w:ascii="Symbol" w:hAnsi="Symbol" w:hint="default"/>
      </w:rPr>
    </w:lvl>
    <w:lvl w:ilvl="7" w:tplc="630ADD0A" w:tentative="1">
      <w:start w:val="1"/>
      <w:numFmt w:val="bullet"/>
      <w:lvlText w:val="o"/>
      <w:lvlJc w:val="left"/>
      <w:pPr>
        <w:ind w:left="5760" w:hanging="360"/>
      </w:pPr>
      <w:rPr>
        <w:rFonts w:ascii="Courier New" w:hAnsi="Courier New" w:hint="default"/>
      </w:rPr>
    </w:lvl>
    <w:lvl w:ilvl="8" w:tplc="4218FA2E" w:tentative="1">
      <w:start w:val="1"/>
      <w:numFmt w:val="bullet"/>
      <w:lvlText w:val=""/>
      <w:lvlJc w:val="left"/>
      <w:pPr>
        <w:ind w:left="6480" w:hanging="360"/>
      </w:pPr>
      <w:rPr>
        <w:rFonts w:ascii="Wingdings" w:hAnsi="Wingdings" w:hint="default"/>
      </w:rPr>
    </w:lvl>
  </w:abstractNum>
  <w:abstractNum w:abstractNumId="256" w15:restartNumberingAfterBreak="0">
    <w:nsid w:val="32E23823"/>
    <w:multiLevelType w:val="hybridMultilevel"/>
    <w:tmpl w:val="B72A6446"/>
    <w:lvl w:ilvl="0" w:tplc="F13ABF0E">
      <w:start w:val="1"/>
      <w:numFmt w:val="bullet"/>
      <w:lvlText w:val=""/>
      <w:lvlJc w:val="left"/>
      <w:pPr>
        <w:ind w:left="720" w:hanging="360"/>
      </w:pPr>
      <w:rPr>
        <w:rFonts w:ascii="Symbol" w:hAnsi="Symbol" w:hint="default"/>
      </w:rPr>
    </w:lvl>
    <w:lvl w:ilvl="1" w:tplc="1620223E">
      <w:start w:val="1"/>
      <w:numFmt w:val="bullet"/>
      <w:lvlText w:val="o"/>
      <w:lvlJc w:val="left"/>
      <w:pPr>
        <w:ind w:left="1440" w:hanging="360"/>
      </w:pPr>
      <w:rPr>
        <w:rFonts w:ascii="Courier New" w:hAnsi="Courier New" w:hint="default"/>
      </w:rPr>
    </w:lvl>
    <w:lvl w:ilvl="2" w:tplc="E674AE5C" w:tentative="1">
      <w:start w:val="1"/>
      <w:numFmt w:val="bullet"/>
      <w:lvlText w:val=""/>
      <w:lvlJc w:val="left"/>
      <w:pPr>
        <w:ind w:left="2160" w:hanging="360"/>
      </w:pPr>
      <w:rPr>
        <w:rFonts w:ascii="Wingdings" w:hAnsi="Wingdings" w:hint="default"/>
      </w:rPr>
    </w:lvl>
    <w:lvl w:ilvl="3" w:tplc="A074F6E2" w:tentative="1">
      <w:start w:val="1"/>
      <w:numFmt w:val="bullet"/>
      <w:lvlText w:val=""/>
      <w:lvlJc w:val="left"/>
      <w:pPr>
        <w:ind w:left="2880" w:hanging="360"/>
      </w:pPr>
      <w:rPr>
        <w:rFonts w:ascii="Symbol" w:hAnsi="Symbol" w:hint="default"/>
      </w:rPr>
    </w:lvl>
    <w:lvl w:ilvl="4" w:tplc="BF5CAD10" w:tentative="1">
      <w:start w:val="1"/>
      <w:numFmt w:val="bullet"/>
      <w:lvlText w:val="o"/>
      <w:lvlJc w:val="left"/>
      <w:pPr>
        <w:ind w:left="3600" w:hanging="360"/>
      </w:pPr>
      <w:rPr>
        <w:rFonts w:ascii="Courier New" w:hAnsi="Courier New" w:hint="default"/>
      </w:rPr>
    </w:lvl>
    <w:lvl w:ilvl="5" w:tplc="D54EB872" w:tentative="1">
      <w:start w:val="1"/>
      <w:numFmt w:val="bullet"/>
      <w:lvlText w:val=""/>
      <w:lvlJc w:val="left"/>
      <w:pPr>
        <w:ind w:left="4320" w:hanging="360"/>
      </w:pPr>
      <w:rPr>
        <w:rFonts w:ascii="Wingdings" w:hAnsi="Wingdings" w:hint="default"/>
      </w:rPr>
    </w:lvl>
    <w:lvl w:ilvl="6" w:tplc="7916AA28" w:tentative="1">
      <w:start w:val="1"/>
      <w:numFmt w:val="bullet"/>
      <w:lvlText w:val=""/>
      <w:lvlJc w:val="left"/>
      <w:pPr>
        <w:ind w:left="5040" w:hanging="360"/>
      </w:pPr>
      <w:rPr>
        <w:rFonts w:ascii="Symbol" w:hAnsi="Symbol" w:hint="default"/>
      </w:rPr>
    </w:lvl>
    <w:lvl w:ilvl="7" w:tplc="3120F09A" w:tentative="1">
      <w:start w:val="1"/>
      <w:numFmt w:val="bullet"/>
      <w:lvlText w:val="o"/>
      <w:lvlJc w:val="left"/>
      <w:pPr>
        <w:ind w:left="5760" w:hanging="360"/>
      </w:pPr>
      <w:rPr>
        <w:rFonts w:ascii="Courier New" w:hAnsi="Courier New" w:hint="default"/>
      </w:rPr>
    </w:lvl>
    <w:lvl w:ilvl="8" w:tplc="D602BDBE" w:tentative="1">
      <w:start w:val="1"/>
      <w:numFmt w:val="bullet"/>
      <w:lvlText w:val=""/>
      <w:lvlJc w:val="left"/>
      <w:pPr>
        <w:ind w:left="6480" w:hanging="360"/>
      </w:pPr>
      <w:rPr>
        <w:rFonts w:ascii="Wingdings" w:hAnsi="Wingdings" w:hint="default"/>
      </w:rPr>
    </w:lvl>
  </w:abstractNum>
  <w:abstractNum w:abstractNumId="257" w15:restartNumberingAfterBreak="0">
    <w:nsid w:val="33406763"/>
    <w:multiLevelType w:val="multilevel"/>
    <w:tmpl w:val="2718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35233D4"/>
    <w:multiLevelType w:val="hybridMultilevel"/>
    <w:tmpl w:val="CCD830E0"/>
    <w:lvl w:ilvl="0" w:tplc="474243F4">
      <w:start w:val="1"/>
      <w:numFmt w:val="decimal"/>
      <w:lvlText w:val="%1."/>
      <w:lvlJc w:val="left"/>
      <w:pPr>
        <w:ind w:left="720" w:hanging="360"/>
      </w:pPr>
    </w:lvl>
    <w:lvl w:ilvl="1" w:tplc="4B3CB448">
      <w:start w:val="1"/>
      <w:numFmt w:val="lowerLetter"/>
      <w:lvlText w:val="%2."/>
      <w:lvlJc w:val="left"/>
      <w:pPr>
        <w:ind w:left="1440" w:hanging="360"/>
      </w:pPr>
    </w:lvl>
    <w:lvl w:ilvl="2" w:tplc="B484D17C">
      <w:start w:val="1"/>
      <w:numFmt w:val="lowerRoman"/>
      <w:lvlText w:val="%3."/>
      <w:lvlJc w:val="right"/>
      <w:pPr>
        <w:ind w:left="2160" w:hanging="180"/>
      </w:pPr>
    </w:lvl>
    <w:lvl w:ilvl="3" w:tplc="0B1A242E">
      <w:start w:val="1"/>
      <w:numFmt w:val="decimal"/>
      <w:lvlText w:val="%4."/>
      <w:lvlJc w:val="left"/>
      <w:pPr>
        <w:ind w:left="2880" w:hanging="360"/>
      </w:pPr>
    </w:lvl>
    <w:lvl w:ilvl="4" w:tplc="60E4A744">
      <w:start w:val="1"/>
      <w:numFmt w:val="lowerLetter"/>
      <w:lvlText w:val="%5."/>
      <w:lvlJc w:val="left"/>
      <w:pPr>
        <w:ind w:left="3600" w:hanging="360"/>
      </w:pPr>
    </w:lvl>
    <w:lvl w:ilvl="5" w:tplc="75F844B0">
      <w:start w:val="1"/>
      <w:numFmt w:val="lowerRoman"/>
      <w:lvlText w:val="%6."/>
      <w:lvlJc w:val="right"/>
      <w:pPr>
        <w:ind w:left="4320" w:hanging="180"/>
      </w:pPr>
    </w:lvl>
    <w:lvl w:ilvl="6" w:tplc="84A083B2">
      <w:start w:val="1"/>
      <w:numFmt w:val="decimal"/>
      <w:lvlText w:val="%7."/>
      <w:lvlJc w:val="left"/>
      <w:pPr>
        <w:ind w:left="5040" w:hanging="360"/>
      </w:pPr>
    </w:lvl>
    <w:lvl w:ilvl="7" w:tplc="E16CB1A8">
      <w:start w:val="1"/>
      <w:numFmt w:val="lowerLetter"/>
      <w:lvlText w:val="%8."/>
      <w:lvlJc w:val="left"/>
      <w:pPr>
        <w:ind w:left="5760" w:hanging="360"/>
      </w:pPr>
    </w:lvl>
    <w:lvl w:ilvl="8" w:tplc="EA46FC30">
      <w:start w:val="1"/>
      <w:numFmt w:val="lowerRoman"/>
      <w:lvlText w:val="%9."/>
      <w:lvlJc w:val="right"/>
      <w:pPr>
        <w:ind w:left="6480" w:hanging="180"/>
      </w:pPr>
    </w:lvl>
  </w:abstractNum>
  <w:abstractNum w:abstractNumId="259" w15:restartNumberingAfterBreak="0">
    <w:nsid w:val="335C0969"/>
    <w:multiLevelType w:val="multilevel"/>
    <w:tmpl w:val="29448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3B977F2"/>
    <w:multiLevelType w:val="hybridMultilevel"/>
    <w:tmpl w:val="AEBCD322"/>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61" w15:restartNumberingAfterBreak="0">
    <w:nsid w:val="33D36004"/>
    <w:multiLevelType w:val="multilevel"/>
    <w:tmpl w:val="AA5C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3E11A70"/>
    <w:multiLevelType w:val="hybridMultilevel"/>
    <w:tmpl w:val="FFFFFFFF"/>
    <w:lvl w:ilvl="0" w:tplc="C2A25160">
      <w:start w:val="1"/>
      <w:numFmt w:val="bullet"/>
      <w:lvlText w:val="·"/>
      <w:lvlJc w:val="left"/>
      <w:pPr>
        <w:ind w:left="720" w:hanging="360"/>
      </w:pPr>
      <w:rPr>
        <w:rFonts w:ascii="Symbol" w:hAnsi="Symbol" w:hint="default"/>
      </w:rPr>
    </w:lvl>
    <w:lvl w:ilvl="1" w:tplc="5C860332">
      <w:start w:val="1"/>
      <w:numFmt w:val="bullet"/>
      <w:lvlText w:val="o"/>
      <w:lvlJc w:val="left"/>
      <w:pPr>
        <w:ind w:left="1440" w:hanging="360"/>
      </w:pPr>
      <w:rPr>
        <w:rFonts w:ascii="Courier New" w:hAnsi="Courier New" w:hint="default"/>
      </w:rPr>
    </w:lvl>
    <w:lvl w:ilvl="2" w:tplc="1396D31A">
      <w:start w:val="1"/>
      <w:numFmt w:val="bullet"/>
      <w:lvlText w:val=""/>
      <w:lvlJc w:val="left"/>
      <w:pPr>
        <w:ind w:left="2160" w:hanging="360"/>
      </w:pPr>
      <w:rPr>
        <w:rFonts w:ascii="Wingdings" w:hAnsi="Wingdings" w:hint="default"/>
      </w:rPr>
    </w:lvl>
    <w:lvl w:ilvl="3" w:tplc="17BE23D2">
      <w:start w:val="1"/>
      <w:numFmt w:val="bullet"/>
      <w:lvlText w:val=""/>
      <w:lvlJc w:val="left"/>
      <w:pPr>
        <w:ind w:left="2880" w:hanging="360"/>
      </w:pPr>
      <w:rPr>
        <w:rFonts w:ascii="Symbol" w:hAnsi="Symbol" w:hint="default"/>
      </w:rPr>
    </w:lvl>
    <w:lvl w:ilvl="4" w:tplc="8B3AA676">
      <w:start w:val="1"/>
      <w:numFmt w:val="bullet"/>
      <w:lvlText w:val="o"/>
      <w:lvlJc w:val="left"/>
      <w:pPr>
        <w:ind w:left="3600" w:hanging="360"/>
      </w:pPr>
      <w:rPr>
        <w:rFonts w:ascii="Courier New" w:hAnsi="Courier New" w:hint="default"/>
      </w:rPr>
    </w:lvl>
    <w:lvl w:ilvl="5" w:tplc="8CD2D730">
      <w:start w:val="1"/>
      <w:numFmt w:val="bullet"/>
      <w:lvlText w:val=""/>
      <w:lvlJc w:val="left"/>
      <w:pPr>
        <w:ind w:left="4320" w:hanging="360"/>
      </w:pPr>
      <w:rPr>
        <w:rFonts w:ascii="Wingdings" w:hAnsi="Wingdings" w:hint="default"/>
      </w:rPr>
    </w:lvl>
    <w:lvl w:ilvl="6" w:tplc="CC6ABE14">
      <w:start w:val="1"/>
      <w:numFmt w:val="bullet"/>
      <w:lvlText w:val=""/>
      <w:lvlJc w:val="left"/>
      <w:pPr>
        <w:ind w:left="5040" w:hanging="360"/>
      </w:pPr>
      <w:rPr>
        <w:rFonts w:ascii="Symbol" w:hAnsi="Symbol" w:hint="default"/>
      </w:rPr>
    </w:lvl>
    <w:lvl w:ilvl="7" w:tplc="88C45DD2">
      <w:start w:val="1"/>
      <w:numFmt w:val="bullet"/>
      <w:lvlText w:val="o"/>
      <w:lvlJc w:val="left"/>
      <w:pPr>
        <w:ind w:left="5760" w:hanging="360"/>
      </w:pPr>
      <w:rPr>
        <w:rFonts w:ascii="Courier New" w:hAnsi="Courier New" w:hint="default"/>
      </w:rPr>
    </w:lvl>
    <w:lvl w:ilvl="8" w:tplc="A7CCD910">
      <w:start w:val="1"/>
      <w:numFmt w:val="bullet"/>
      <w:lvlText w:val=""/>
      <w:lvlJc w:val="left"/>
      <w:pPr>
        <w:ind w:left="6480" w:hanging="360"/>
      </w:pPr>
      <w:rPr>
        <w:rFonts w:ascii="Wingdings" w:hAnsi="Wingdings" w:hint="default"/>
      </w:rPr>
    </w:lvl>
  </w:abstractNum>
  <w:abstractNum w:abstractNumId="263" w15:restartNumberingAfterBreak="0">
    <w:nsid w:val="33EC2C08"/>
    <w:multiLevelType w:val="multilevel"/>
    <w:tmpl w:val="C990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3F15B48"/>
    <w:multiLevelType w:val="hybridMultilevel"/>
    <w:tmpl w:val="AC2496AC"/>
    <w:lvl w:ilvl="0" w:tplc="D4323A68">
      <w:start w:val="1"/>
      <w:numFmt w:val="bullet"/>
      <w:lvlText w:val=""/>
      <w:lvlJc w:val="left"/>
      <w:pPr>
        <w:ind w:left="720" w:hanging="360"/>
      </w:pPr>
      <w:rPr>
        <w:rFonts w:ascii="Symbol" w:hAnsi="Symbol" w:hint="default"/>
        <w:color w:val="auto"/>
      </w:rPr>
    </w:lvl>
    <w:lvl w:ilvl="1" w:tplc="16DA1EB0" w:tentative="1">
      <w:start w:val="1"/>
      <w:numFmt w:val="bullet"/>
      <w:lvlText w:val="o"/>
      <w:lvlJc w:val="left"/>
      <w:pPr>
        <w:ind w:left="1440" w:hanging="360"/>
      </w:pPr>
      <w:rPr>
        <w:rFonts w:ascii="Courier New" w:hAnsi="Courier New" w:hint="default"/>
      </w:rPr>
    </w:lvl>
    <w:lvl w:ilvl="2" w:tplc="A0C89682" w:tentative="1">
      <w:start w:val="1"/>
      <w:numFmt w:val="bullet"/>
      <w:lvlText w:val=""/>
      <w:lvlJc w:val="left"/>
      <w:pPr>
        <w:ind w:left="2160" w:hanging="360"/>
      </w:pPr>
      <w:rPr>
        <w:rFonts w:ascii="Wingdings" w:hAnsi="Wingdings" w:hint="default"/>
      </w:rPr>
    </w:lvl>
    <w:lvl w:ilvl="3" w:tplc="60A4D6C0" w:tentative="1">
      <w:start w:val="1"/>
      <w:numFmt w:val="bullet"/>
      <w:lvlText w:val=""/>
      <w:lvlJc w:val="left"/>
      <w:pPr>
        <w:ind w:left="2880" w:hanging="360"/>
      </w:pPr>
      <w:rPr>
        <w:rFonts w:ascii="Symbol" w:hAnsi="Symbol" w:hint="default"/>
      </w:rPr>
    </w:lvl>
    <w:lvl w:ilvl="4" w:tplc="FC5269E8" w:tentative="1">
      <w:start w:val="1"/>
      <w:numFmt w:val="bullet"/>
      <w:lvlText w:val="o"/>
      <w:lvlJc w:val="left"/>
      <w:pPr>
        <w:ind w:left="3600" w:hanging="360"/>
      </w:pPr>
      <w:rPr>
        <w:rFonts w:ascii="Courier New" w:hAnsi="Courier New" w:hint="default"/>
      </w:rPr>
    </w:lvl>
    <w:lvl w:ilvl="5" w:tplc="7DBE5A50" w:tentative="1">
      <w:start w:val="1"/>
      <w:numFmt w:val="bullet"/>
      <w:lvlText w:val=""/>
      <w:lvlJc w:val="left"/>
      <w:pPr>
        <w:ind w:left="4320" w:hanging="360"/>
      </w:pPr>
      <w:rPr>
        <w:rFonts w:ascii="Wingdings" w:hAnsi="Wingdings" w:hint="default"/>
      </w:rPr>
    </w:lvl>
    <w:lvl w:ilvl="6" w:tplc="35E85190" w:tentative="1">
      <w:start w:val="1"/>
      <w:numFmt w:val="bullet"/>
      <w:lvlText w:val=""/>
      <w:lvlJc w:val="left"/>
      <w:pPr>
        <w:ind w:left="5040" w:hanging="360"/>
      </w:pPr>
      <w:rPr>
        <w:rFonts w:ascii="Symbol" w:hAnsi="Symbol" w:hint="default"/>
      </w:rPr>
    </w:lvl>
    <w:lvl w:ilvl="7" w:tplc="93A4955C" w:tentative="1">
      <w:start w:val="1"/>
      <w:numFmt w:val="bullet"/>
      <w:lvlText w:val="o"/>
      <w:lvlJc w:val="left"/>
      <w:pPr>
        <w:ind w:left="5760" w:hanging="360"/>
      </w:pPr>
      <w:rPr>
        <w:rFonts w:ascii="Courier New" w:hAnsi="Courier New" w:hint="default"/>
      </w:rPr>
    </w:lvl>
    <w:lvl w:ilvl="8" w:tplc="6B3078E8" w:tentative="1">
      <w:start w:val="1"/>
      <w:numFmt w:val="bullet"/>
      <w:lvlText w:val=""/>
      <w:lvlJc w:val="left"/>
      <w:pPr>
        <w:ind w:left="6480" w:hanging="360"/>
      </w:pPr>
      <w:rPr>
        <w:rFonts w:ascii="Wingdings" w:hAnsi="Wingdings" w:hint="default"/>
      </w:rPr>
    </w:lvl>
  </w:abstractNum>
  <w:abstractNum w:abstractNumId="265" w15:restartNumberingAfterBreak="0">
    <w:nsid w:val="34223B6D"/>
    <w:multiLevelType w:val="hybridMultilevel"/>
    <w:tmpl w:val="266C531C"/>
    <w:lvl w:ilvl="0" w:tplc="7996D10A">
      <w:start w:val="1"/>
      <w:numFmt w:val="bullet"/>
      <w:lvlText w:val=""/>
      <w:lvlJc w:val="left"/>
      <w:pPr>
        <w:ind w:left="720" w:hanging="360"/>
      </w:pPr>
      <w:rPr>
        <w:rFonts w:ascii="Symbol" w:hAnsi="Symbol" w:hint="default"/>
      </w:rPr>
    </w:lvl>
    <w:lvl w:ilvl="1" w:tplc="E6E8ED96" w:tentative="1">
      <w:start w:val="1"/>
      <w:numFmt w:val="bullet"/>
      <w:lvlText w:val="o"/>
      <w:lvlJc w:val="left"/>
      <w:pPr>
        <w:ind w:left="1440" w:hanging="360"/>
      </w:pPr>
      <w:rPr>
        <w:rFonts w:ascii="Courier New" w:hAnsi="Courier New" w:hint="default"/>
      </w:rPr>
    </w:lvl>
    <w:lvl w:ilvl="2" w:tplc="36FE2642" w:tentative="1">
      <w:start w:val="1"/>
      <w:numFmt w:val="bullet"/>
      <w:lvlText w:val=""/>
      <w:lvlJc w:val="left"/>
      <w:pPr>
        <w:ind w:left="2160" w:hanging="360"/>
      </w:pPr>
      <w:rPr>
        <w:rFonts w:ascii="Wingdings" w:hAnsi="Wingdings" w:hint="default"/>
      </w:rPr>
    </w:lvl>
    <w:lvl w:ilvl="3" w:tplc="230CCA2A" w:tentative="1">
      <w:start w:val="1"/>
      <w:numFmt w:val="bullet"/>
      <w:lvlText w:val=""/>
      <w:lvlJc w:val="left"/>
      <w:pPr>
        <w:ind w:left="2880" w:hanging="360"/>
      </w:pPr>
      <w:rPr>
        <w:rFonts w:ascii="Symbol" w:hAnsi="Symbol" w:hint="default"/>
      </w:rPr>
    </w:lvl>
    <w:lvl w:ilvl="4" w:tplc="470ADC36" w:tentative="1">
      <w:start w:val="1"/>
      <w:numFmt w:val="bullet"/>
      <w:lvlText w:val="o"/>
      <w:lvlJc w:val="left"/>
      <w:pPr>
        <w:ind w:left="3600" w:hanging="360"/>
      </w:pPr>
      <w:rPr>
        <w:rFonts w:ascii="Courier New" w:hAnsi="Courier New" w:hint="default"/>
      </w:rPr>
    </w:lvl>
    <w:lvl w:ilvl="5" w:tplc="963846B0" w:tentative="1">
      <w:start w:val="1"/>
      <w:numFmt w:val="bullet"/>
      <w:lvlText w:val=""/>
      <w:lvlJc w:val="left"/>
      <w:pPr>
        <w:ind w:left="4320" w:hanging="360"/>
      </w:pPr>
      <w:rPr>
        <w:rFonts w:ascii="Wingdings" w:hAnsi="Wingdings" w:hint="default"/>
      </w:rPr>
    </w:lvl>
    <w:lvl w:ilvl="6" w:tplc="5D422B28" w:tentative="1">
      <w:start w:val="1"/>
      <w:numFmt w:val="bullet"/>
      <w:lvlText w:val=""/>
      <w:lvlJc w:val="left"/>
      <w:pPr>
        <w:ind w:left="5040" w:hanging="360"/>
      </w:pPr>
      <w:rPr>
        <w:rFonts w:ascii="Symbol" w:hAnsi="Symbol" w:hint="default"/>
      </w:rPr>
    </w:lvl>
    <w:lvl w:ilvl="7" w:tplc="E6CCC186" w:tentative="1">
      <w:start w:val="1"/>
      <w:numFmt w:val="bullet"/>
      <w:lvlText w:val="o"/>
      <w:lvlJc w:val="left"/>
      <w:pPr>
        <w:ind w:left="5760" w:hanging="360"/>
      </w:pPr>
      <w:rPr>
        <w:rFonts w:ascii="Courier New" w:hAnsi="Courier New" w:hint="default"/>
      </w:rPr>
    </w:lvl>
    <w:lvl w:ilvl="8" w:tplc="C464C6F2" w:tentative="1">
      <w:start w:val="1"/>
      <w:numFmt w:val="bullet"/>
      <w:lvlText w:val=""/>
      <w:lvlJc w:val="left"/>
      <w:pPr>
        <w:ind w:left="6480" w:hanging="360"/>
      </w:pPr>
      <w:rPr>
        <w:rFonts w:ascii="Wingdings" w:hAnsi="Wingdings" w:hint="default"/>
      </w:rPr>
    </w:lvl>
  </w:abstractNum>
  <w:abstractNum w:abstractNumId="266" w15:restartNumberingAfterBreak="0">
    <w:nsid w:val="3429568F"/>
    <w:multiLevelType w:val="hybridMultilevel"/>
    <w:tmpl w:val="022490EE"/>
    <w:lvl w:ilvl="0" w:tplc="CBB458E8">
      <w:start w:val="1"/>
      <w:numFmt w:val="bullet"/>
      <w:lvlText w:val=""/>
      <w:lvlJc w:val="left"/>
      <w:pPr>
        <w:ind w:left="720" w:hanging="360"/>
      </w:pPr>
      <w:rPr>
        <w:rFonts w:ascii="Symbol" w:hAnsi="Symbol" w:hint="default"/>
      </w:rPr>
    </w:lvl>
    <w:lvl w:ilvl="1" w:tplc="132CEC2A">
      <w:start w:val="1"/>
      <w:numFmt w:val="bullet"/>
      <w:lvlText w:val="o"/>
      <w:lvlJc w:val="left"/>
      <w:pPr>
        <w:ind w:left="1440" w:hanging="360"/>
      </w:pPr>
      <w:rPr>
        <w:rFonts w:ascii="Courier New" w:hAnsi="Courier New" w:hint="default"/>
      </w:rPr>
    </w:lvl>
    <w:lvl w:ilvl="2" w:tplc="9364D5B0" w:tentative="1">
      <w:start w:val="1"/>
      <w:numFmt w:val="bullet"/>
      <w:lvlText w:val=""/>
      <w:lvlJc w:val="left"/>
      <w:pPr>
        <w:ind w:left="2160" w:hanging="360"/>
      </w:pPr>
      <w:rPr>
        <w:rFonts w:ascii="Wingdings" w:hAnsi="Wingdings" w:hint="default"/>
      </w:rPr>
    </w:lvl>
    <w:lvl w:ilvl="3" w:tplc="4B3495BA" w:tentative="1">
      <w:start w:val="1"/>
      <w:numFmt w:val="bullet"/>
      <w:lvlText w:val=""/>
      <w:lvlJc w:val="left"/>
      <w:pPr>
        <w:ind w:left="2880" w:hanging="360"/>
      </w:pPr>
      <w:rPr>
        <w:rFonts w:ascii="Symbol" w:hAnsi="Symbol" w:hint="default"/>
      </w:rPr>
    </w:lvl>
    <w:lvl w:ilvl="4" w:tplc="8FD43D7C" w:tentative="1">
      <w:start w:val="1"/>
      <w:numFmt w:val="bullet"/>
      <w:lvlText w:val="o"/>
      <w:lvlJc w:val="left"/>
      <w:pPr>
        <w:ind w:left="3600" w:hanging="360"/>
      </w:pPr>
      <w:rPr>
        <w:rFonts w:ascii="Courier New" w:hAnsi="Courier New" w:hint="default"/>
      </w:rPr>
    </w:lvl>
    <w:lvl w:ilvl="5" w:tplc="38B86896" w:tentative="1">
      <w:start w:val="1"/>
      <w:numFmt w:val="bullet"/>
      <w:lvlText w:val=""/>
      <w:lvlJc w:val="left"/>
      <w:pPr>
        <w:ind w:left="4320" w:hanging="360"/>
      </w:pPr>
      <w:rPr>
        <w:rFonts w:ascii="Wingdings" w:hAnsi="Wingdings" w:hint="default"/>
      </w:rPr>
    </w:lvl>
    <w:lvl w:ilvl="6" w:tplc="B72455C2" w:tentative="1">
      <w:start w:val="1"/>
      <w:numFmt w:val="bullet"/>
      <w:lvlText w:val=""/>
      <w:lvlJc w:val="left"/>
      <w:pPr>
        <w:ind w:left="5040" w:hanging="360"/>
      </w:pPr>
      <w:rPr>
        <w:rFonts w:ascii="Symbol" w:hAnsi="Symbol" w:hint="default"/>
      </w:rPr>
    </w:lvl>
    <w:lvl w:ilvl="7" w:tplc="4F1AEAD6" w:tentative="1">
      <w:start w:val="1"/>
      <w:numFmt w:val="bullet"/>
      <w:lvlText w:val="o"/>
      <w:lvlJc w:val="left"/>
      <w:pPr>
        <w:ind w:left="5760" w:hanging="360"/>
      </w:pPr>
      <w:rPr>
        <w:rFonts w:ascii="Courier New" w:hAnsi="Courier New" w:hint="default"/>
      </w:rPr>
    </w:lvl>
    <w:lvl w:ilvl="8" w:tplc="B4EE87AC" w:tentative="1">
      <w:start w:val="1"/>
      <w:numFmt w:val="bullet"/>
      <w:lvlText w:val=""/>
      <w:lvlJc w:val="left"/>
      <w:pPr>
        <w:ind w:left="6480" w:hanging="360"/>
      </w:pPr>
      <w:rPr>
        <w:rFonts w:ascii="Wingdings" w:hAnsi="Wingdings" w:hint="default"/>
      </w:rPr>
    </w:lvl>
  </w:abstractNum>
  <w:abstractNum w:abstractNumId="267" w15:restartNumberingAfterBreak="0">
    <w:nsid w:val="344F43E3"/>
    <w:multiLevelType w:val="hybridMultilevel"/>
    <w:tmpl w:val="FFFFFFFF"/>
    <w:lvl w:ilvl="0" w:tplc="1D98CEDE">
      <w:start w:val="1"/>
      <w:numFmt w:val="bullet"/>
      <w:lvlText w:val=""/>
      <w:lvlJc w:val="left"/>
      <w:pPr>
        <w:ind w:left="720" w:hanging="360"/>
      </w:pPr>
      <w:rPr>
        <w:rFonts w:ascii="Symbol" w:hAnsi="Symbol" w:hint="default"/>
      </w:rPr>
    </w:lvl>
    <w:lvl w:ilvl="1" w:tplc="9266FF90">
      <w:start w:val="1"/>
      <w:numFmt w:val="bullet"/>
      <w:lvlText w:val="o"/>
      <w:lvlJc w:val="left"/>
      <w:pPr>
        <w:ind w:left="1440" w:hanging="360"/>
      </w:pPr>
      <w:rPr>
        <w:rFonts w:ascii="Courier New" w:hAnsi="Courier New" w:hint="default"/>
      </w:rPr>
    </w:lvl>
    <w:lvl w:ilvl="2" w:tplc="BCDA97FE">
      <w:start w:val="1"/>
      <w:numFmt w:val="bullet"/>
      <w:lvlText w:val=""/>
      <w:lvlJc w:val="left"/>
      <w:pPr>
        <w:ind w:left="2160" w:hanging="360"/>
      </w:pPr>
      <w:rPr>
        <w:rFonts w:ascii="Wingdings" w:hAnsi="Wingdings" w:hint="default"/>
      </w:rPr>
    </w:lvl>
    <w:lvl w:ilvl="3" w:tplc="54909E72">
      <w:start w:val="1"/>
      <w:numFmt w:val="bullet"/>
      <w:lvlText w:val=""/>
      <w:lvlJc w:val="left"/>
      <w:pPr>
        <w:ind w:left="2880" w:hanging="360"/>
      </w:pPr>
      <w:rPr>
        <w:rFonts w:ascii="Symbol" w:hAnsi="Symbol" w:hint="default"/>
      </w:rPr>
    </w:lvl>
    <w:lvl w:ilvl="4" w:tplc="0ED0AAE8">
      <w:start w:val="1"/>
      <w:numFmt w:val="bullet"/>
      <w:lvlText w:val="o"/>
      <w:lvlJc w:val="left"/>
      <w:pPr>
        <w:ind w:left="3600" w:hanging="360"/>
      </w:pPr>
      <w:rPr>
        <w:rFonts w:ascii="Courier New" w:hAnsi="Courier New" w:hint="default"/>
      </w:rPr>
    </w:lvl>
    <w:lvl w:ilvl="5" w:tplc="2F6209C8">
      <w:start w:val="1"/>
      <w:numFmt w:val="bullet"/>
      <w:lvlText w:val=""/>
      <w:lvlJc w:val="left"/>
      <w:pPr>
        <w:ind w:left="4320" w:hanging="360"/>
      </w:pPr>
      <w:rPr>
        <w:rFonts w:ascii="Wingdings" w:hAnsi="Wingdings" w:hint="default"/>
      </w:rPr>
    </w:lvl>
    <w:lvl w:ilvl="6" w:tplc="834C7C76">
      <w:start w:val="1"/>
      <w:numFmt w:val="bullet"/>
      <w:lvlText w:val=""/>
      <w:lvlJc w:val="left"/>
      <w:pPr>
        <w:ind w:left="5040" w:hanging="360"/>
      </w:pPr>
      <w:rPr>
        <w:rFonts w:ascii="Symbol" w:hAnsi="Symbol" w:hint="default"/>
      </w:rPr>
    </w:lvl>
    <w:lvl w:ilvl="7" w:tplc="5318280E">
      <w:start w:val="1"/>
      <w:numFmt w:val="bullet"/>
      <w:lvlText w:val="o"/>
      <w:lvlJc w:val="left"/>
      <w:pPr>
        <w:ind w:left="5760" w:hanging="360"/>
      </w:pPr>
      <w:rPr>
        <w:rFonts w:ascii="Courier New" w:hAnsi="Courier New" w:hint="default"/>
      </w:rPr>
    </w:lvl>
    <w:lvl w:ilvl="8" w:tplc="2C146EFE">
      <w:start w:val="1"/>
      <w:numFmt w:val="bullet"/>
      <w:lvlText w:val=""/>
      <w:lvlJc w:val="left"/>
      <w:pPr>
        <w:ind w:left="6480" w:hanging="360"/>
      </w:pPr>
      <w:rPr>
        <w:rFonts w:ascii="Wingdings" w:hAnsi="Wingdings" w:hint="default"/>
      </w:rPr>
    </w:lvl>
  </w:abstractNum>
  <w:abstractNum w:abstractNumId="268" w15:restartNumberingAfterBreak="0">
    <w:nsid w:val="349F652A"/>
    <w:multiLevelType w:val="hybridMultilevel"/>
    <w:tmpl w:val="7E7E3B14"/>
    <w:lvl w:ilvl="0" w:tplc="A8B495D0">
      <w:start w:val="1"/>
      <w:numFmt w:val="bullet"/>
      <w:lvlText w:val=""/>
      <w:lvlJc w:val="left"/>
      <w:pPr>
        <w:ind w:left="720" w:hanging="360"/>
      </w:pPr>
      <w:rPr>
        <w:rFonts w:ascii="Symbol" w:hAnsi="Symbol" w:hint="default"/>
      </w:rPr>
    </w:lvl>
    <w:lvl w:ilvl="1" w:tplc="D59A18CC" w:tentative="1">
      <w:start w:val="1"/>
      <w:numFmt w:val="bullet"/>
      <w:lvlText w:val="o"/>
      <w:lvlJc w:val="left"/>
      <w:pPr>
        <w:ind w:left="1440" w:hanging="360"/>
      </w:pPr>
      <w:rPr>
        <w:rFonts w:ascii="Courier New" w:hAnsi="Courier New" w:hint="default"/>
      </w:rPr>
    </w:lvl>
    <w:lvl w:ilvl="2" w:tplc="B80889E0" w:tentative="1">
      <w:start w:val="1"/>
      <w:numFmt w:val="bullet"/>
      <w:lvlText w:val=""/>
      <w:lvlJc w:val="left"/>
      <w:pPr>
        <w:ind w:left="2160" w:hanging="360"/>
      </w:pPr>
      <w:rPr>
        <w:rFonts w:ascii="Wingdings" w:hAnsi="Wingdings" w:hint="default"/>
      </w:rPr>
    </w:lvl>
    <w:lvl w:ilvl="3" w:tplc="EB605776" w:tentative="1">
      <w:start w:val="1"/>
      <w:numFmt w:val="bullet"/>
      <w:lvlText w:val=""/>
      <w:lvlJc w:val="left"/>
      <w:pPr>
        <w:ind w:left="2880" w:hanging="360"/>
      </w:pPr>
      <w:rPr>
        <w:rFonts w:ascii="Symbol" w:hAnsi="Symbol" w:hint="default"/>
      </w:rPr>
    </w:lvl>
    <w:lvl w:ilvl="4" w:tplc="D07E1FAC" w:tentative="1">
      <w:start w:val="1"/>
      <w:numFmt w:val="bullet"/>
      <w:lvlText w:val="o"/>
      <w:lvlJc w:val="left"/>
      <w:pPr>
        <w:ind w:left="3600" w:hanging="360"/>
      </w:pPr>
      <w:rPr>
        <w:rFonts w:ascii="Courier New" w:hAnsi="Courier New" w:hint="default"/>
      </w:rPr>
    </w:lvl>
    <w:lvl w:ilvl="5" w:tplc="92C29BD0" w:tentative="1">
      <w:start w:val="1"/>
      <w:numFmt w:val="bullet"/>
      <w:lvlText w:val=""/>
      <w:lvlJc w:val="left"/>
      <w:pPr>
        <w:ind w:left="4320" w:hanging="360"/>
      </w:pPr>
      <w:rPr>
        <w:rFonts w:ascii="Wingdings" w:hAnsi="Wingdings" w:hint="default"/>
      </w:rPr>
    </w:lvl>
    <w:lvl w:ilvl="6" w:tplc="EBACB620" w:tentative="1">
      <w:start w:val="1"/>
      <w:numFmt w:val="bullet"/>
      <w:lvlText w:val=""/>
      <w:lvlJc w:val="left"/>
      <w:pPr>
        <w:ind w:left="5040" w:hanging="360"/>
      </w:pPr>
      <w:rPr>
        <w:rFonts w:ascii="Symbol" w:hAnsi="Symbol" w:hint="default"/>
      </w:rPr>
    </w:lvl>
    <w:lvl w:ilvl="7" w:tplc="9D08DA54" w:tentative="1">
      <w:start w:val="1"/>
      <w:numFmt w:val="bullet"/>
      <w:lvlText w:val="o"/>
      <w:lvlJc w:val="left"/>
      <w:pPr>
        <w:ind w:left="5760" w:hanging="360"/>
      </w:pPr>
      <w:rPr>
        <w:rFonts w:ascii="Courier New" w:hAnsi="Courier New" w:hint="default"/>
      </w:rPr>
    </w:lvl>
    <w:lvl w:ilvl="8" w:tplc="4D6A717C" w:tentative="1">
      <w:start w:val="1"/>
      <w:numFmt w:val="bullet"/>
      <w:lvlText w:val=""/>
      <w:lvlJc w:val="left"/>
      <w:pPr>
        <w:ind w:left="6480" w:hanging="360"/>
      </w:pPr>
      <w:rPr>
        <w:rFonts w:ascii="Wingdings" w:hAnsi="Wingdings" w:hint="default"/>
      </w:rPr>
    </w:lvl>
  </w:abstractNum>
  <w:abstractNum w:abstractNumId="269" w15:restartNumberingAfterBreak="0">
    <w:nsid w:val="351B1D38"/>
    <w:multiLevelType w:val="multilevel"/>
    <w:tmpl w:val="451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51E7DC7"/>
    <w:multiLevelType w:val="hybridMultilevel"/>
    <w:tmpl w:val="3D6A8EEE"/>
    <w:lvl w:ilvl="0" w:tplc="B2EA58C6">
      <w:start w:val="1"/>
      <w:numFmt w:val="bullet"/>
      <w:lvlText w:val=""/>
      <w:lvlJc w:val="left"/>
      <w:pPr>
        <w:ind w:left="720" w:hanging="360"/>
      </w:pPr>
      <w:rPr>
        <w:rFonts w:ascii="Symbol" w:hAnsi="Symbol" w:hint="default"/>
      </w:rPr>
    </w:lvl>
    <w:lvl w:ilvl="1" w:tplc="25241ADC" w:tentative="1">
      <w:start w:val="1"/>
      <w:numFmt w:val="bullet"/>
      <w:lvlText w:val="o"/>
      <w:lvlJc w:val="left"/>
      <w:pPr>
        <w:ind w:left="1440" w:hanging="360"/>
      </w:pPr>
      <w:rPr>
        <w:rFonts w:ascii="Courier New" w:hAnsi="Courier New" w:hint="default"/>
      </w:rPr>
    </w:lvl>
    <w:lvl w:ilvl="2" w:tplc="D4D80DE6" w:tentative="1">
      <w:start w:val="1"/>
      <w:numFmt w:val="bullet"/>
      <w:lvlText w:val=""/>
      <w:lvlJc w:val="left"/>
      <w:pPr>
        <w:ind w:left="2160" w:hanging="360"/>
      </w:pPr>
      <w:rPr>
        <w:rFonts w:ascii="Wingdings" w:hAnsi="Wingdings" w:hint="default"/>
      </w:rPr>
    </w:lvl>
    <w:lvl w:ilvl="3" w:tplc="84E49CA8" w:tentative="1">
      <w:start w:val="1"/>
      <w:numFmt w:val="bullet"/>
      <w:lvlText w:val=""/>
      <w:lvlJc w:val="left"/>
      <w:pPr>
        <w:ind w:left="2880" w:hanging="360"/>
      </w:pPr>
      <w:rPr>
        <w:rFonts w:ascii="Symbol" w:hAnsi="Symbol" w:hint="default"/>
      </w:rPr>
    </w:lvl>
    <w:lvl w:ilvl="4" w:tplc="5D90F230" w:tentative="1">
      <w:start w:val="1"/>
      <w:numFmt w:val="bullet"/>
      <w:lvlText w:val="o"/>
      <w:lvlJc w:val="left"/>
      <w:pPr>
        <w:ind w:left="3600" w:hanging="360"/>
      </w:pPr>
      <w:rPr>
        <w:rFonts w:ascii="Courier New" w:hAnsi="Courier New" w:hint="default"/>
      </w:rPr>
    </w:lvl>
    <w:lvl w:ilvl="5" w:tplc="CB6C89BC" w:tentative="1">
      <w:start w:val="1"/>
      <w:numFmt w:val="bullet"/>
      <w:lvlText w:val=""/>
      <w:lvlJc w:val="left"/>
      <w:pPr>
        <w:ind w:left="4320" w:hanging="360"/>
      </w:pPr>
      <w:rPr>
        <w:rFonts w:ascii="Wingdings" w:hAnsi="Wingdings" w:hint="default"/>
      </w:rPr>
    </w:lvl>
    <w:lvl w:ilvl="6" w:tplc="83CC9FBA" w:tentative="1">
      <w:start w:val="1"/>
      <w:numFmt w:val="bullet"/>
      <w:lvlText w:val=""/>
      <w:lvlJc w:val="left"/>
      <w:pPr>
        <w:ind w:left="5040" w:hanging="360"/>
      </w:pPr>
      <w:rPr>
        <w:rFonts w:ascii="Symbol" w:hAnsi="Symbol" w:hint="default"/>
      </w:rPr>
    </w:lvl>
    <w:lvl w:ilvl="7" w:tplc="47224824" w:tentative="1">
      <w:start w:val="1"/>
      <w:numFmt w:val="bullet"/>
      <w:lvlText w:val="o"/>
      <w:lvlJc w:val="left"/>
      <w:pPr>
        <w:ind w:left="5760" w:hanging="360"/>
      </w:pPr>
      <w:rPr>
        <w:rFonts w:ascii="Courier New" w:hAnsi="Courier New" w:hint="default"/>
      </w:rPr>
    </w:lvl>
    <w:lvl w:ilvl="8" w:tplc="16C8613E" w:tentative="1">
      <w:start w:val="1"/>
      <w:numFmt w:val="bullet"/>
      <w:lvlText w:val=""/>
      <w:lvlJc w:val="left"/>
      <w:pPr>
        <w:ind w:left="6480" w:hanging="360"/>
      </w:pPr>
      <w:rPr>
        <w:rFonts w:ascii="Wingdings" w:hAnsi="Wingdings" w:hint="default"/>
      </w:rPr>
    </w:lvl>
  </w:abstractNum>
  <w:abstractNum w:abstractNumId="271" w15:restartNumberingAfterBreak="0">
    <w:nsid w:val="357A3CBE"/>
    <w:multiLevelType w:val="hybridMultilevel"/>
    <w:tmpl w:val="3CAE4170"/>
    <w:lvl w:ilvl="0" w:tplc="311E9DA2">
      <w:start w:val="1"/>
      <w:numFmt w:val="bullet"/>
      <w:lvlText w:val=""/>
      <w:lvlJc w:val="left"/>
      <w:pPr>
        <w:ind w:left="740" w:hanging="360"/>
      </w:pPr>
      <w:rPr>
        <w:rFonts w:ascii="Symbol" w:hAnsi="Symbol" w:hint="default"/>
        <w:color w:val="auto"/>
      </w:rPr>
    </w:lvl>
    <w:lvl w:ilvl="1" w:tplc="F738CFC2">
      <w:start w:val="1"/>
      <w:numFmt w:val="bullet"/>
      <w:lvlText w:val="o"/>
      <w:lvlJc w:val="left"/>
      <w:pPr>
        <w:ind w:left="1460" w:hanging="360"/>
      </w:pPr>
      <w:rPr>
        <w:rFonts w:ascii="Courier New" w:hAnsi="Courier New" w:hint="default"/>
      </w:rPr>
    </w:lvl>
    <w:lvl w:ilvl="2" w:tplc="BF2ECD34" w:tentative="1">
      <w:start w:val="1"/>
      <w:numFmt w:val="bullet"/>
      <w:lvlText w:val=""/>
      <w:lvlJc w:val="left"/>
      <w:pPr>
        <w:ind w:left="2180" w:hanging="360"/>
      </w:pPr>
      <w:rPr>
        <w:rFonts w:ascii="Wingdings" w:hAnsi="Wingdings" w:hint="default"/>
      </w:rPr>
    </w:lvl>
    <w:lvl w:ilvl="3" w:tplc="0344AAB6" w:tentative="1">
      <w:start w:val="1"/>
      <w:numFmt w:val="bullet"/>
      <w:lvlText w:val=""/>
      <w:lvlJc w:val="left"/>
      <w:pPr>
        <w:ind w:left="2900" w:hanging="360"/>
      </w:pPr>
      <w:rPr>
        <w:rFonts w:ascii="Symbol" w:hAnsi="Symbol" w:hint="default"/>
      </w:rPr>
    </w:lvl>
    <w:lvl w:ilvl="4" w:tplc="826873CC" w:tentative="1">
      <w:start w:val="1"/>
      <w:numFmt w:val="bullet"/>
      <w:lvlText w:val="o"/>
      <w:lvlJc w:val="left"/>
      <w:pPr>
        <w:ind w:left="3620" w:hanging="360"/>
      </w:pPr>
      <w:rPr>
        <w:rFonts w:ascii="Courier New" w:hAnsi="Courier New" w:hint="default"/>
      </w:rPr>
    </w:lvl>
    <w:lvl w:ilvl="5" w:tplc="EB1AEEF6" w:tentative="1">
      <w:start w:val="1"/>
      <w:numFmt w:val="bullet"/>
      <w:lvlText w:val=""/>
      <w:lvlJc w:val="left"/>
      <w:pPr>
        <w:ind w:left="4340" w:hanging="360"/>
      </w:pPr>
      <w:rPr>
        <w:rFonts w:ascii="Wingdings" w:hAnsi="Wingdings" w:hint="default"/>
      </w:rPr>
    </w:lvl>
    <w:lvl w:ilvl="6" w:tplc="F9A02E14" w:tentative="1">
      <w:start w:val="1"/>
      <w:numFmt w:val="bullet"/>
      <w:lvlText w:val=""/>
      <w:lvlJc w:val="left"/>
      <w:pPr>
        <w:ind w:left="5060" w:hanging="360"/>
      </w:pPr>
      <w:rPr>
        <w:rFonts w:ascii="Symbol" w:hAnsi="Symbol" w:hint="default"/>
      </w:rPr>
    </w:lvl>
    <w:lvl w:ilvl="7" w:tplc="09BCC79E" w:tentative="1">
      <w:start w:val="1"/>
      <w:numFmt w:val="bullet"/>
      <w:lvlText w:val="o"/>
      <w:lvlJc w:val="left"/>
      <w:pPr>
        <w:ind w:left="5780" w:hanging="360"/>
      </w:pPr>
      <w:rPr>
        <w:rFonts w:ascii="Courier New" w:hAnsi="Courier New" w:hint="default"/>
      </w:rPr>
    </w:lvl>
    <w:lvl w:ilvl="8" w:tplc="8A1CF762" w:tentative="1">
      <w:start w:val="1"/>
      <w:numFmt w:val="bullet"/>
      <w:lvlText w:val=""/>
      <w:lvlJc w:val="left"/>
      <w:pPr>
        <w:ind w:left="6500" w:hanging="360"/>
      </w:pPr>
      <w:rPr>
        <w:rFonts w:ascii="Wingdings" w:hAnsi="Wingdings" w:hint="default"/>
      </w:rPr>
    </w:lvl>
  </w:abstractNum>
  <w:abstractNum w:abstractNumId="272" w15:restartNumberingAfterBreak="0">
    <w:nsid w:val="359554C9"/>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62D2438"/>
    <w:multiLevelType w:val="hybridMultilevel"/>
    <w:tmpl w:val="424CE428"/>
    <w:lvl w:ilvl="0" w:tplc="8C66C3A6">
      <w:start w:val="1"/>
      <w:numFmt w:val="bullet"/>
      <w:lvlText w:val=""/>
      <w:lvlJc w:val="left"/>
      <w:pPr>
        <w:ind w:left="720" w:hanging="360"/>
      </w:pPr>
      <w:rPr>
        <w:rFonts w:ascii="Symbol" w:hAnsi="Symbol" w:hint="default"/>
      </w:rPr>
    </w:lvl>
    <w:lvl w:ilvl="1" w:tplc="4C2C8A34" w:tentative="1">
      <w:start w:val="1"/>
      <w:numFmt w:val="bullet"/>
      <w:lvlText w:val="o"/>
      <w:lvlJc w:val="left"/>
      <w:pPr>
        <w:ind w:left="1440" w:hanging="360"/>
      </w:pPr>
      <w:rPr>
        <w:rFonts w:ascii="Courier New" w:hAnsi="Courier New" w:hint="default"/>
      </w:rPr>
    </w:lvl>
    <w:lvl w:ilvl="2" w:tplc="61AEAD80" w:tentative="1">
      <w:start w:val="1"/>
      <w:numFmt w:val="bullet"/>
      <w:lvlText w:val=""/>
      <w:lvlJc w:val="left"/>
      <w:pPr>
        <w:ind w:left="2160" w:hanging="360"/>
      </w:pPr>
      <w:rPr>
        <w:rFonts w:ascii="Wingdings" w:hAnsi="Wingdings" w:hint="default"/>
      </w:rPr>
    </w:lvl>
    <w:lvl w:ilvl="3" w:tplc="A4C48EEA" w:tentative="1">
      <w:start w:val="1"/>
      <w:numFmt w:val="bullet"/>
      <w:lvlText w:val=""/>
      <w:lvlJc w:val="left"/>
      <w:pPr>
        <w:ind w:left="2880" w:hanging="360"/>
      </w:pPr>
      <w:rPr>
        <w:rFonts w:ascii="Symbol" w:hAnsi="Symbol" w:hint="default"/>
      </w:rPr>
    </w:lvl>
    <w:lvl w:ilvl="4" w:tplc="41860912" w:tentative="1">
      <w:start w:val="1"/>
      <w:numFmt w:val="bullet"/>
      <w:lvlText w:val="o"/>
      <w:lvlJc w:val="left"/>
      <w:pPr>
        <w:ind w:left="3600" w:hanging="360"/>
      </w:pPr>
      <w:rPr>
        <w:rFonts w:ascii="Courier New" w:hAnsi="Courier New" w:hint="default"/>
      </w:rPr>
    </w:lvl>
    <w:lvl w:ilvl="5" w:tplc="38DA8782" w:tentative="1">
      <w:start w:val="1"/>
      <w:numFmt w:val="bullet"/>
      <w:lvlText w:val=""/>
      <w:lvlJc w:val="left"/>
      <w:pPr>
        <w:ind w:left="4320" w:hanging="360"/>
      </w:pPr>
      <w:rPr>
        <w:rFonts w:ascii="Wingdings" w:hAnsi="Wingdings" w:hint="default"/>
      </w:rPr>
    </w:lvl>
    <w:lvl w:ilvl="6" w:tplc="2012A008" w:tentative="1">
      <w:start w:val="1"/>
      <w:numFmt w:val="bullet"/>
      <w:lvlText w:val=""/>
      <w:lvlJc w:val="left"/>
      <w:pPr>
        <w:ind w:left="5040" w:hanging="360"/>
      </w:pPr>
      <w:rPr>
        <w:rFonts w:ascii="Symbol" w:hAnsi="Symbol" w:hint="default"/>
      </w:rPr>
    </w:lvl>
    <w:lvl w:ilvl="7" w:tplc="ED1269BC" w:tentative="1">
      <w:start w:val="1"/>
      <w:numFmt w:val="bullet"/>
      <w:lvlText w:val="o"/>
      <w:lvlJc w:val="left"/>
      <w:pPr>
        <w:ind w:left="5760" w:hanging="360"/>
      </w:pPr>
      <w:rPr>
        <w:rFonts w:ascii="Courier New" w:hAnsi="Courier New" w:hint="default"/>
      </w:rPr>
    </w:lvl>
    <w:lvl w:ilvl="8" w:tplc="ABB24F3A" w:tentative="1">
      <w:start w:val="1"/>
      <w:numFmt w:val="bullet"/>
      <w:lvlText w:val=""/>
      <w:lvlJc w:val="left"/>
      <w:pPr>
        <w:ind w:left="6480" w:hanging="360"/>
      </w:pPr>
      <w:rPr>
        <w:rFonts w:ascii="Wingdings" w:hAnsi="Wingdings" w:hint="default"/>
      </w:rPr>
    </w:lvl>
  </w:abstractNum>
  <w:abstractNum w:abstractNumId="274" w15:restartNumberingAfterBreak="0">
    <w:nsid w:val="3665771B"/>
    <w:multiLevelType w:val="hybridMultilevel"/>
    <w:tmpl w:val="1BB4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36895437"/>
    <w:multiLevelType w:val="hybridMultilevel"/>
    <w:tmpl w:val="FB26AD06"/>
    <w:lvl w:ilvl="0" w:tplc="65F620CE">
      <w:start w:val="1"/>
      <w:numFmt w:val="bullet"/>
      <w:lvlText w:val="•"/>
      <w:lvlJc w:val="left"/>
      <w:pPr>
        <w:tabs>
          <w:tab w:val="num" w:pos="720"/>
        </w:tabs>
        <w:ind w:left="720" w:hanging="360"/>
      </w:pPr>
      <w:rPr>
        <w:rFonts w:ascii="Arial" w:hAnsi="Arial" w:hint="default"/>
      </w:rPr>
    </w:lvl>
    <w:lvl w:ilvl="1" w:tplc="DBB0B13A" w:tentative="1">
      <w:start w:val="1"/>
      <w:numFmt w:val="bullet"/>
      <w:lvlText w:val="•"/>
      <w:lvlJc w:val="left"/>
      <w:pPr>
        <w:tabs>
          <w:tab w:val="num" w:pos="1440"/>
        </w:tabs>
        <w:ind w:left="1440" w:hanging="360"/>
      </w:pPr>
      <w:rPr>
        <w:rFonts w:ascii="Arial" w:hAnsi="Arial" w:hint="default"/>
      </w:rPr>
    </w:lvl>
    <w:lvl w:ilvl="2" w:tplc="95C8C54A" w:tentative="1">
      <w:start w:val="1"/>
      <w:numFmt w:val="bullet"/>
      <w:lvlText w:val="•"/>
      <w:lvlJc w:val="left"/>
      <w:pPr>
        <w:tabs>
          <w:tab w:val="num" w:pos="2160"/>
        </w:tabs>
        <w:ind w:left="2160" w:hanging="360"/>
      </w:pPr>
      <w:rPr>
        <w:rFonts w:ascii="Arial" w:hAnsi="Arial" w:hint="default"/>
      </w:rPr>
    </w:lvl>
    <w:lvl w:ilvl="3" w:tplc="21C25FA2" w:tentative="1">
      <w:start w:val="1"/>
      <w:numFmt w:val="bullet"/>
      <w:lvlText w:val="•"/>
      <w:lvlJc w:val="left"/>
      <w:pPr>
        <w:tabs>
          <w:tab w:val="num" w:pos="2880"/>
        </w:tabs>
        <w:ind w:left="2880" w:hanging="360"/>
      </w:pPr>
      <w:rPr>
        <w:rFonts w:ascii="Arial" w:hAnsi="Arial" w:hint="default"/>
      </w:rPr>
    </w:lvl>
    <w:lvl w:ilvl="4" w:tplc="612C5FF8" w:tentative="1">
      <w:start w:val="1"/>
      <w:numFmt w:val="bullet"/>
      <w:lvlText w:val="•"/>
      <w:lvlJc w:val="left"/>
      <w:pPr>
        <w:tabs>
          <w:tab w:val="num" w:pos="3600"/>
        </w:tabs>
        <w:ind w:left="3600" w:hanging="360"/>
      </w:pPr>
      <w:rPr>
        <w:rFonts w:ascii="Arial" w:hAnsi="Arial" w:hint="default"/>
      </w:rPr>
    </w:lvl>
    <w:lvl w:ilvl="5" w:tplc="033C773C" w:tentative="1">
      <w:start w:val="1"/>
      <w:numFmt w:val="bullet"/>
      <w:lvlText w:val="•"/>
      <w:lvlJc w:val="left"/>
      <w:pPr>
        <w:tabs>
          <w:tab w:val="num" w:pos="4320"/>
        </w:tabs>
        <w:ind w:left="4320" w:hanging="360"/>
      </w:pPr>
      <w:rPr>
        <w:rFonts w:ascii="Arial" w:hAnsi="Arial" w:hint="default"/>
      </w:rPr>
    </w:lvl>
    <w:lvl w:ilvl="6" w:tplc="C01C7F88" w:tentative="1">
      <w:start w:val="1"/>
      <w:numFmt w:val="bullet"/>
      <w:lvlText w:val="•"/>
      <w:lvlJc w:val="left"/>
      <w:pPr>
        <w:tabs>
          <w:tab w:val="num" w:pos="5040"/>
        </w:tabs>
        <w:ind w:left="5040" w:hanging="360"/>
      </w:pPr>
      <w:rPr>
        <w:rFonts w:ascii="Arial" w:hAnsi="Arial" w:hint="default"/>
      </w:rPr>
    </w:lvl>
    <w:lvl w:ilvl="7" w:tplc="2B8AA41A" w:tentative="1">
      <w:start w:val="1"/>
      <w:numFmt w:val="bullet"/>
      <w:lvlText w:val="•"/>
      <w:lvlJc w:val="left"/>
      <w:pPr>
        <w:tabs>
          <w:tab w:val="num" w:pos="5760"/>
        </w:tabs>
        <w:ind w:left="5760" w:hanging="360"/>
      </w:pPr>
      <w:rPr>
        <w:rFonts w:ascii="Arial" w:hAnsi="Arial" w:hint="default"/>
      </w:rPr>
    </w:lvl>
    <w:lvl w:ilvl="8" w:tplc="ECC6223A"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368D0645"/>
    <w:multiLevelType w:val="hybridMultilevel"/>
    <w:tmpl w:val="97E49AE8"/>
    <w:lvl w:ilvl="0" w:tplc="C24085DA">
      <w:start w:val="1"/>
      <w:numFmt w:val="bullet"/>
      <w:lvlText w:val=""/>
      <w:lvlJc w:val="left"/>
      <w:pPr>
        <w:ind w:left="720" w:hanging="360"/>
      </w:pPr>
      <w:rPr>
        <w:rFonts w:ascii="Symbol" w:hAnsi="Symbol" w:hint="default"/>
      </w:rPr>
    </w:lvl>
    <w:lvl w:ilvl="1" w:tplc="85C8CE2C" w:tentative="1">
      <w:start w:val="1"/>
      <w:numFmt w:val="bullet"/>
      <w:lvlText w:val="o"/>
      <w:lvlJc w:val="left"/>
      <w:pPr>
        <w:ind w:left="1440" w:hanging="360"/>
      </w:pPr>
      <w:rPr>
        <w:rFonts w:ascii="Courier New" w:hAnsi="Courier New" w:hint="default"/>
      </w:rPr>
    </w:lvl>
    <w:lvl w:ilvl="2" w:tplc="2968EE26" w:tentative="1">
      <w:start w:val="1"/>
      <w:numFmt w:val="bullet"/>
      <w:lvlText w:val=""/>
      <w:lvlJc w:val="left"/>
      <w:pPr>
        <w:ind w:left="2160" w:hanging="360"/>
      </w:pPr>
      <w:rPr>
        <w:rFonts w:ascii="Wingdings" w:hAnsi="Wingdings" w:hint="default"/>
      </w:rPr>
    </w:lvl>
    <w:lvl w:ilvl="3" w:tplc="E41EDC7E" w:tentative="1">
      <w:start w:val="1"/>
      <w:numFmt w:val="bullet"/>
      <w:lvlText w:val=""/>
      <w:lvlJc w:val="left"/>
      <w:pPr>
        <w:ind w:left="2880" w:hanging="360"/>
      </w:pPr>
      <w:rPr>
        <w:rFonts w:ascii="Symbol" w:hAnsi="Symbol" w:hint="default"/>
      </w:rPr>
    </w:lvl>
    <w:lvl w:ilvl="4" w:tplc="62B2DE0C" w:tentative="1">
      <w:start w:val="1"/>
      <w:numFmt w:val="bullet"/>
      <w:lvlText w:val="o"/>
      <w:lvlJc w:val="left"/>
      <w:pPr>
        <w:ind w:left="3600" w:hanging="360"/>
      </w:pPr>
      <w:rPr>
        <w:rFonts w:ascii="Courier New" w:hAnsi="Courier New" w:hint="default"/>
      </w:rPr>
    </w:lvl>
    <w:lvl w:ilvl="5" w:tplc="F6ACBB38" w:tentative="1">
      <w:start w:val="1"/>
      <w:numFmt w:val="bullet"/>
      <w:lvlText w:val=""/>
      <w:lvlJc w:val="left"/>
      <w:pPr>
        <w:ind w:left="4320" w:hanging="360"/>
      </w:pPr>
      <w:rPr>
        <w:rFonts w:ascii="Wingdings" w:hAnsi="Wingdings" w:hint="default"/>
      </w:rPr>
    </w:lvl>
    <w:lvl w:ilvl="6" w:tplc="062413BE" w:tentative="1">
      <w:start w:val="1"/>
      <w:numFmt w:val="bullet"/>
      <w:lvlText w:val=""/>
      <w:lvlJc w:val="left"/>
      <w:pPr>
        <w:ind w:left="5040" w:hanging="360"/>
      </w:pPr>
      <w:rPr>
        <w:rFonts w:ascii="Symbol" w:hAnsi="Symbol" w:hint="default"/>
      </w:rPr>
    </w:lvl>
    <w:lvl w:ilvl="7" w:tplc="D55A8070" w:tentative="1">
      <w:start w:val="1"/>
      <w:numFmt w:val="bullet"/>
      <w:lvlText w:val="o"/>
      <w:lvlJc w:val="left"/>
      <w:pPr>
        <w:ind w:left="5760" w:hanging="360"/>
      </w:pPr>
      <w:rPr>
        <w:rFonts w:ascii="Courier New" w:hAnsi="Courier New" w:hint="default"/>
      </w:rPr>
    </w:lvl>
    <w:lvl w:ilvl="8" w:tplc="CDB2BE86" w:tentative="1">
      <w:start w:val="1"/>
      <w:numFmt w:val="bullet"/>
      <w:lvlText w:val=""/>
      <w:lvlJc w:val="left"/>
      <w:pPr>
        <w:ind w:left="6480" w:hanging="360"/>
      </w:pPr>
      <w:rPr>
        <w:rFonts w:ascii="Wingdings" w:hAnsi="Wingdings" w:hint="default"/>
      </w:rPr>
    </w:lvl>
  </w:abstractNum>
  <w:abstractNum w:abstractNumId="277" w15:restartNumberingAfterBreak="0">
    <w:nsid w:val="369A6298"/>
    <w:multiLevelType w:val="multilevel"/>
    <w:tmpl w:val="77C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6C01C45"/>
    <w:multiLevelType w:val="multilevel"/>
    <w:tmpl w:val="5754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6D887B3"/>
    <w:multiLevelType w:val="hybridMultilevel"/>
    <w:tmpl w:val="FFFFFFFF"/>
    <w:lvl w:ilvl="0" w:tplc="DF3CA82A">
      <w:start w:val="1"/>
      <w:numFmt w:val="bullet"/>
      <w:lvlText w:val=""/>
      <w:lvlJc w:val="left"/>
      <w:pPr>
        <w:ind w:left="720" w:hanging="360"/>
      </w:pPr>
      <w:rPr>
        <w:rFonts w:ascii="Symbol" w:hAnsi="Symbol" w:hint="default"/>
      </w:rPr>
    </w:lvl>
    <w:lvl w:ilvl="1" w:tplc="E4345888">
      <w:start w:val="1"/>
      <w:numFmt w:val="bullet"/>
      <w:lvlText w:val="o"/>
      <w:lvlJc w:val="left"/>
      <w:pPr>
        <w:ind w:left="1440" w:hanging="360"/>
      </w:pPr>
      <w:rPr>
        <w:rFonts w:ascii="Courier New" w:hAnsi="Courier New" w:hint="default"/>
      </w:rPr>
    </w:lvl>
    <w:lvl w:ilvl="2" w:tplc="F1B89E82">
      <w:start w:val="1"/>
      <w:numFmt w:val="bullet"/>
      <w:lvlText w:val=""/>
      <w:lvlJc w:val="left"/>
      <w:pPr>
        <w:ind w:left="2160" w:hanging="360"/>
      </w:pPr>
      <w:rPr>
        <w:rFonts w:ascii="Wingdings" w:hAnsi="Wingdings" w:hint="default"/>
      </w:rPr>
    </w:lvl>
    <w:lvl w:ilvl="3" w:tplc="89E4553E">
      <w:start w:val="1"/>
      <w:numFmt w:val="bullet"/>
      <w:lvlText w:val=""/>
      <w:lvlJc w:val="left"/>
      <w:pPr>
        <w:ind w:left="2880" w:hanging="360"/>
      </w:pPr>
      <w:rPr>
        <w:rFonts w:ascii="Symbol" w:hAnsi="Symbol" w:hint="default"/>
      </w:rPr>
    </w:lvl>
    <w:lvl w:ilvl="4" w:tplc="B26A25C8">
      <w:start w:val="1"/>
      <w:numFmt w:val="bullet"/>
      <w:lvlText w:val="o"/>
      <w:lvlJc w:val="left"/>
      <w:pPr>
        <w:ind w:left="3600" w:hanging="360"/>
      </w:pPr>
      <w:rPr>
        <w:rFonts w:ascii="Courier New" w:hAnsi="Courier New" w:hint="default"/>
      </w:rPr>
    </w:lvl>
    <w:lvl w:ilvl="5" w:tplc="F53CBD7A">
      <w:start w:val="1"/>
      <w:numFmt w:val="bullet"/>
      <w:lvlText w:val=""/>
      <w:lvlJc w:val="left"/>
      <w:pPr>
        <w:ind w:left="4320" w:hanging="360"/>
      </w:pPr>
      <w:rPr>
        <w:rFonts w:ascii="Wingdings" w:hAnsi="Wingdings" w:hint="default"/>
      </w:rPr>
    </w:lvl>
    <w:lvl w:ilvl="6" w:tplc="94CA86AC">
      <w:start w:val="1"/>
      <w:numFmt w:val="bullet"/>
      <w:lvlText w:val=""/>
      <w:lvlJc w:val="left"/>
      <w:pPr>
        <w:ind w:left="5040" w:hanging="360"/>
      </w:pPr>
      <w:rPr>
        <w:rFonts w:ascii="Symbol" w:hAnsi="Symbol" w:hint="default"/>
      </w:rPr>
    </w:lvl>
    <w:lvl w:ilvl="7" w:tplc="0E8C57D4">
      <w:start w:val="1"/>
      <w:numFmt w:val="bullet"/>
      <w:lvlText w:val="o"/>
      <w:lvlJc w:val="left"/>
      <w:pPr>
        <w:ind w:left="5760" w:hanging="360"/>
      </w:pPr>
      <w:rPr>
        <w:rFonts w:ascii="Courier New" w:hAnsi="Courier New" w:hint="default"/>
      </w:rPr>
    </w:lvl>
    <w:lvl w:ilvl="8" w:tplc="B2C012C6">
      <w:start w:val="1"/>
      <w:numFmt w:val="bullet"/>
      <w:lvlText w:val=""/>
      <w:lvlJc w:val="left"/>
      <w:pPr>
        <w:ind w:left="6480" w:hanging="360"/>
      </w:pPr>
      <w:rPr>
        <w:rFonts w:ascii="Wingdings" w:hAnsi="Wingdings" w:hint="default"/>
      </w:rPr>
    </w:lvl>
  </w:abstractNum>
  <w:abstractNum w:abstractNumId="280" w15:restartNumberingAfterBreak="0">
    <w:nsid w:val="36F506C0"/>
    <w:multiLevelType w:val="hybridMultilevel"/>
    <w:tmpl w:val="52CA7616"/>
    <w:lvl w:ilvl="0" w:tplc="CF16F600">
      <w:start w:val="1"/>
      <w:numFmt w:val="bullet"/>
      <w:lvlText w:val=""/>
      <w:lvlJc w:val="left"/>
      <w:pPr>
        <w:ind w:left="720" w:hanging="360"/>
      </w:pPr>
      <w:rPr>
        <w:rFonts w:ascii="Symbol" w:hAnsi="Symbol" w:hint="default"/>
      </w:rPr>
    </w:lvl>
    <w:lvl w:ilvl="1" w:tplc="FD52F31C" w:tentative="1">
      <w:start w:val="1"/>
      <w:numFmt w:val="bullet"/>
      <w:lvlText w:val="o"/>
      <w:lvlJc w:val="left"/>
      <w:pPr>
        <w:ind w:left="1440" w:hanging="360"/>
      </w:pPr>
      <w:rPr>
        <w:rFonts w:ascii="Courier New" w:hAnsi="Courier New" w:hint="default"/>
      </w:rPr>
    </w:lvl>
    <w:lvl w:ilvl="2" w:tplc="FFBC64D4" w:tentative="1">
      <w:start w:val="1"/>
      <w:numFmt w:val="bullet"/>
      <w:lvlText w:val=""/>
      <w:lvlJc w:val="left"/>
      <w:pPr>
        <w:ind w:left="2160" w:hanging="360"/>
      </w:pPr>
      <w:rPr>
        <w:rFonts w:ascii="Wingdings" w:hAnsi="Wingdings" w:hint="default"/>
      </w:rPr>
    </w:lvl>
    <w:lvl w:ilvl="3" w:tplc="84181A2A" w:tentative="1">
      <w:start w:val="1"/>
      <w:numFmt w:val="bullet"/>
      <w:lvlText w:val=""/>
      <w:lvlJc w:val="left"/>
      <w:pPr>
        <w:ind w:left="2880" w:hanging="360"/>
      </w:pPr>
      <w:rPr>
        <w:rFonts w:ascii="Symbol" w:hAnsi="Symbol" w:hint="default"/>
      </w:rPr>
    </w:lvl>
    <w:lvl w:ilvl="4" w:tplc="3A3A0D94" w:tentative="1">
      <w:start w:val="1"/>
      <w:numFmt w:val="bullet"/>
      <w:lvlText w:val="o"/>
      <w:lvlJc w:val="left"/>
      <w:pPr>
        <w:ind w:left="3600" w:hanging="360"/>
      </w:pPr>
      <w:rPr>
        <w:rFonts w:ascii="Courier New" w:hAnsi="Courier New" w:hint="default"/>
      </w:rPr>
    </w:lvl>
    <w:lvl w:ilvl="5" w:tplc="4EC09070" w:tentative="1">
      <w:start w:val="1"/>
      <w:numFmt w:val="bullet"/>
      <w:lvlText w:val=""/>
      <w:lvlJc w:val="left"/>
      <w:pPr>
        <w:ind w:left="4320" w:hanging="360"/>
      </w:pPr>
      <w:rPr>
        <w:rFonts w:ascii="Wingdings" w:hAnsi="Wingdings" w:hint="default"/>
      </w:rPr>
    </w:lvl>
    <w:lvl w:ilvl="6" w:tplc="BFEC6978" w:tentative="1">
      <w:start w:val="1"/>
      <w:numFmt w:val="bullet"/>
      <w:lvlText w:val=""/>
      <w:lvlJc w:val="left"/>
      <w:pPr>
        <w:ind w:left="5040" w:hanging="360"/>
      </w:pPr>
      <w:rPr>
        <w:rFonts w:ascii="Symbol" w:hAnsi="Symbol" w:hint="default"/>
      </w:rPr>
    </w:lvl>
    <w:lvl w:ilvl="7" w:tplc="C1C88918" w:tentative="1">
      <w:start w:val="1"/>
      <w:numFmt w:val="bullet"/>
      <w:lvlText w:val="o"/>
      <w:lvlJc w:val="left"/>
      <w:pPr>
        <w:ind w:left="5760" w:hanging="360"/>
      </w:pPr>
      <w:rPr>
        <w:rFonts w:ascii="Courier New" w:hAnsi="Courier New" w:hint="default"/>
      </w:rPr>
    </w:lvl>
    <w:lvl w:ilvl="8" w:tplc="F4E0DFB8" w:tentative="1">
      <w:start w:val="1"/>
      <w:numFmt w:val="bullet"/>
      <w:lvlText w:val=""/>
      <w:lvlJc w:val="left"/>
      <w:pPr>
        <w:ind w:left="6480" w:hanging="360"/>
      </w:pPr>
      <w:rPr>
        <w:rFonts w:ascii="Wingdings" w:hAnsi="Wingdings" w:hint="default"/>
      </w:rPr>
    </w:lvl>
  </w:abstractNum>
  <w:abstractNum w:abstractNumId="281" w15:restartNumberingAfterBreak="0">
    <w:nsid w:val="3708612A"/>
    <w:multiLevelType w:val="hybridMultilevel"/>
    <w:tmpl w:val="B14EAD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2" w15:restartNumberingAfterBreak="0">
    <w:nsid w:val="378660D0"/>
    <w:multiLevelType w:val="hybridMultilevel"/>
    <w:tmpl w:val="D1762D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3" w15:restartNumberingAfterBreak="0">
    <w:nsid w:val="37905E21"/>
    <w:multiLevelType w:val="multilevel"/>
    <w:tmpl w:val="E98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7975ACD"/>
    <w:multiLevelType w:val="multilevel"/>
    <w:tmpl w:val="49908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5" w15:restartNumberingAfterBreak="0">
    <w:nsid w:val="37C0753E"/>
    <w:multiLevelType w:val="hybridMultilevel"/>
    <w:tmpl w:val="54804B38"/>
    <w:lvl w:ilvl="0" w:tplc="8B8CF4BC">
      <w:start w:val="1"/>
      <w:numFmt w:val="bullet"/>
      <w:lvlText w:val=""/>
      <w:lvlJc w:val="left"/>
      <w:pPr>
        <w:ind w:left="1440" w:hanging="360"/>
      </w:pPr>
      <w:rPr>
        <w:rFonts w:ascii="Symbol" w:hAnsi="Symbol" w:hint="default"/>
      </w:rPr>
    </w:lvl>
    <w:lvl w:ilvl="1" w:tplc="5F9C56B4">
      <w:start w:val="1"/>
      <w:numFmt w:val="bullet"/>
      <w:lvlText w:val="o"/>
      <w:lvlJc w:val="left"/>
      <w:pPr>
        <w:ind w:left="2160" w:hanging="360"/>
      </w:pPr>
      <w:rPr>
        <w:rFonts w:ascii="Courier New" w:hAnsi="Courier New" w:hint="default"/>
      </w:rPr>
    </w:lvl>
    <w:lvl w:ilvl="2" w:tplc="887EB6F2" w:tentative="1">
      <w:start w:val="1"/>
      <w:numFmt w:val="bullet"/>
      <w:lvlText w:val=""/>
      <w:lvlJc w:val="left"/>
      <w:pPr>
        <w:ind w:left="2880" w:hanging="360"/>
      </w:pPr>
      <w:rPr>
        <w:rFonts w:ascii="Wingdings" w:hAnsi="Wingdings" w:hint="default"/>
      </w:rPr>
    </w:lvl>
    <w:lvl w:ilvl="3" w:tplc="1B224D30" w:tentative="1">
      <w:start w:val="1"/>
      <w:numFmt w:val="bullet"/>
      <w:lvlText w:val=""/>
      <w:lvlJc w:val="left"/>
      <w:pPr>
        <w:ind w:left="3600" w:hanging="360"/>
      </w:pPr>
      <w:rPr>
        <w:rFonts w:ascii="Symbol" w:hAnsi="Symbol" w:hint="default"/>
      </w:rPr>
    </w:lvl>
    <w:lvl w:ilvl="4" w:tplc="C3169794" w:tentative="1">
      <w:start w:val="1"/>
      <w:numFmt w:val="bullet"/>
      <w:lvlText w:val="o"/>
      <w:lvlJc w:val="left"/>
      <w:pPr>
        <w:ind w:left="4320" w:hanging="360"/>
      </w:pPr>
      <w:rPr>
        <w:rFonts w:ascii="Courier New" w:hAnsi="Courier New" w:hint="default"/>
      </w:rPr>
    </w:lvl>
    <w:lvl w:ilvl="5" w:tplc="A8868A70" w:tentative="1">
      <w:start w:val="1"/>
      <w:numFmt w:val="bullet"/>
      <w:lvlText w:val=""/>
      <w:lvlJc w:val="left"/>
      <w:pPr>
        <w:ind w:left="5040" w:hanging="360"/>
      </w:pPr>
      <w:rPr>
        <w:rFonts w:ascii="Wingdings" w:hAnsi="Wingdings" w:hint="default"/>
      </w:rPr>
    </w:lvl>
    <w:lvl w:ilvl="6" w:tplc="50BE225A" w:tentative="1">
      <w:start w:val="1"/>
      <w:numFmt w:val="bullet"/>
      <w:lvlText w:val=""/>
      <w:lvlJc w:val="left"/>
      <w:pPr>
        <w:ind w:left="5760" w:hanging="360"/>
      </w:pPr>
      <w:rPr>
        <w:rFonts w:ascii="Symbol" w:hAnsi="Symbol" w:hint="default"/>
      </w:rPr>
    </w:lvl>
    <w:lvl w:ilvl="7" w:tplc="3A8CA054" w:tentative="1">
      <w:start w:val="1"/>
      <w:numFmt w:val="bullet"/>
      <w:lvlText w:val="o"/>
      <w:lvlJc w:val="left"/>
      <w:pPr>
        <w:ind w:left="6480" w:hanging="360"/>
      </w:pPr>
      <w:rPr>
        <w:rFonts w:ascii="Courier New" w:hAnsi="Courier New" w:hint="default"/>
      </w:rPr>
    </w:lvl>
    <w:lvl w:ilvl="8" w:tplc="495CA3B4" w:tentative="1">
      <w:start w:val="1"/>
      <w:numFmt w:val="bullet"/>
      <w:lvlText w:val=""/>
      <w:lvlJc w:val="left"/>
      <w:pPr>
        <w:ind w:left="7200" w:hanging="360"/>
      </w:pPr>
      <w:rPr>
        <w:rFonts w:ascii="Wingdings" w:hAnsi="Wingdings" w:hint="default"/>
      </w:rPr>
    </w:lvl>
  </w:abstractNum>
  <w:abstractNum w:abstractNumId="286" w15:restartNumberingAfterBreak="0">
    <w:nsid w:val="38566101"/>
    <w:multiLevelType w:val="hybridMultilevel"/>
    <w:tmpl w:val="FFFFFFFF"/>
    <w:lvl w:ilvl="0" w:tplc="7780FBD0">
      <w:start w:val="1"/>
      <w:numFmt w:val="bullet"/>
      <w:lvlText w:val=""/>
      <w:lvlJc w:val="left"/>
      <w:pPr>
        <w:ind w:left="720" w:hanging="360"/>
      </w:pPr>
      <w:rPr>
        <w:rFonts w:ascii="Symbol" w:hAnsi="Symbol" w:hint="default"/>
      </w:rPr>
    </w:lvl>
    <w:lvl w:ilvl="1" w:tplc="EE74611C">
      <w:start w:val="1"/>
      <w:numFmt w:val="bullet"/>
      <w:lvlText w:val="o"/>
      <w:lvlJc w:val="left"/>
      <w:pPr>
        <w:ind w:left="1440" w:hanging="360"/>
      </w:pPr>
      <w:rPr>
        <w:rFonts w:ascii="Courier New" w:hAnsi="Courier New" w:hint="default"/>
      </w:rPr>
    </w:lvl>
    <w:lvl w:ilvl="2" w:tplc="090A333C">
      <w:start w:val="1"/>
      <w:numFmt w:val="bullet"/>
      <w:lvlText w:val=""/>
      <w:lvlJc w:val="left"/>
      <w:pPr>
        <w:ind w:left="2160" w:hanging="360"/>
      </w:pPr>
      <w:rPr>
        <w:rFonts w:ascii="Wingdings" w:hAnsi="Wingdings" w:hint="default"/>
      </w:rPr>
    </w:lvl>
    <w:lvl w:ilvl="3" w:tplc="FE861C48">
      <w:start w:val="1"/>
      <w:numFmt w:val="bullet"/>
      <w:lvlText w:val=""/>
      <w:lvlJc w:val="left"/>
      <w:pPr>
        <w:ind w:left="2880" w:hanging="360"/>
      </w:pPr>
      <w:rPr>
        <w:rFonts w:ascii="Symbol" w:hAnsi="Symbol" w:hint="default"/>
      </w:rPr>
    </w:lvl>
    <w:lvl w:ilvl="4" w:tplc="535205C4">
      <w:start w:val="1"/>
      <w:numFmt w:val="bullet"/>
      <w:lvlText w:val="o"/>
      <w:lvlJc w:val="left"/>
      <w:pPr>
        <w:ind w:left="3600" w:hanging="360"/>
      </w:pPr>
      <w:rPr>
        <w:rFonts w:ascii="Courier New" w:hAnsi="Courier New" w:hint="default"/>
      </w:rPr>
    </w:lvl>
    <w:lvl w:ilvl="5" w:tplc="8CD08182">
      <w:start w:val="1"/>
      <w:numFmt w:val="bullet"/>
      <w:lvlText w:val=""/>
      <w:lvlJc w:val="left"/>
      <w:pPr>
        <w:ind w:left="4320" w:hanging="360"/>
      </w:pPr>
      <w:rPr>
        <w:rFonts w:ascii="Wingdings" w:hAnsi="Wingdings" w:hint="default"/>
      </w:rPr>
    </w:lvl>
    <w:lvl w:ilvl="6" w:tplc="FA2AA866">
      <w:start w:val="1"/>
      <w:numFmt w:val="bullet"/>
      <w:lvlText w:val=""/>
      <w:lvlJc w:val="left"/>
      <w:pPr>
        <w:ind w:left="5040" w:hanging="360"/>
      </w:pPr>
      <w:rPr>
        <w:rFonts w:ascii="Symbol" w:hAnsi="Symbol" w:hint="default"/>
      </w:rPr>
    </w:lvl>
    <w:lvl w:ilvl="7" w:tplc="CD14EE20">
      <w:start w:val="1"/>
      <w:numFmt w:val="bullet"/>
      <w:lvlText w:val="o"/>
      <w:lvlJc w:val="left"/>
      <w:pPr>
        <w:ind w:left="5760" w:hanging="360"/>
      </w:pPr>
      <w:rPr>
        <w:rFonts w:ascii="Courier New" w:hAnsi="Courier New" w:hint="default"/>
      </w:rPr>
    </w:lvl>
    <w:lvl w:ilvl="8" w:tplc="D930853C">
      <w:start w:val="1"/>
      <w:numFmt w:val="bullet"/>
      <w:lvlText w:val=""/>
      <w:lvlJc w:val="left"/>
      <w:pPr>
        <w:ind w:left="6480" w:hanging="360"/>
      </w:pPr>
      <w:rPr>
        <w:rFonts w:ascii="Wingdings" w:hAnsi="Wingdings" w:hint="default"/>
      </w:rPr>
    </w:lvl>
  </w:abstractNum>
  <w:abstractNum w:abstractNumId="287" w15:restartNumberingAfterBreak="0">
    <w:nsid w:val="38740310"/>
    <w:multiLevelType w:val="multilevel"/>
    <w:tmpl w:val="43DC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8C06ECF"/>
    <w:multiLevelType w:val="multilevel"/>
    <w:tmpl w:val="908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8D16407"/>
    <w:multiLevelType w:val="hybridMultilevel"/>
    <w:tmpl w:val="80B0520A"/>
    <w:lvl w:ilvl="0" w:tplc="05DACDA2">
      <w:start w:val="1"/>
      <w:numFmt w:val="bullet"/>
      <w:lvlText w:val=""/>
      <w:lvlJc w:val="left"/>
      <w:pPr>
        <w:ind w:left="720" w:hanging="360"/>
      </w:pPr>
      <w:rPr>
        <w:rFonts w:ascii="Symbol" w:hAnsi="Symbol" w:hint="default"/>
      </w:rPr>
    </w:lvl>
    <w:lvl w:ilvl="1" w:tplc="503A233E" w:tentative="1">
      <w:start w:val="1"/>
      <w:numFmt w:val="bullet"/>
      <w:lvlText w:val="o"/>
      <w:lvlJc w:val="left"/>
      <w:pPr>
        <w:ind w:left="1440" w:hanging="360"/>
      </w:pPr>
      <w:rPr>
        <w:rFonts w:ascii="Courier New" w:hAnsi="Courier New" w:hint="default"/>
      </w:rPr>
    </w:lvl>
    <w:lvl w:ilvl="2" w:tplc="6E202B4C" w:tentative="1">
      <w:start w:val="1"/>
      <w:numFmt w:val="bullet"/>
      <w:lvlText w:val=""/>
      <w:lvlJc w:val="left"/>
      <w:pPr>
        <w:ind w:left="2160" w:hanging="360"/>
      </w:pPr>
      <w:rPr>
        <w:rFonts w:ascii="Wingdings" w:hAnsi="Wingdings" w:hint="default"/>
      </w:rPr>
    </w:lvl>
    <w:lvl w:ilvl="3" w:tplc="6B4CA344" w:tentative="1">
      <w:start w:val="1"/>
      <w:numFmt w:val="bullet"/>
      <w:lvlText w:val=""/>
      <w:lvlJc w:val="left"/>
      <w:pPr>
        <w:ind w:left="2880" w:hanging="360"/>
      </w:pPr>
      <w:rPr>
        <w:rFonts w:ascii="Symbol" w:hAnsi="Symbol" w:hint="default"/>
      </w:rPr>
    </w:lvl>
    <w:lvl w:ilvl="4" w:tplc="0448BC10" w:tentative="1">
      <w:start w:val="1"/>
      <w:numFmt w:val="bullet"/>
      <w:lvlText w:val="o"/>
      <w:lvlJc w:val="left"/>
      <w:pPr>
        <w:ind w:left="3600" w:hanging="360"/>
      </w:pPr>
      <w:rPr>
        <w:rFonts w:ascii="Courier New" w:hAnsi="Courier New" w:hint="default"/>
      </w:rPr>
    </w:lvl>
    <w:lvl w:ilvl="5" w:tplc="50C86590" w:tentative="1">
      <w:start w:val="1"/>
      <w:numFmt w:val="bullet"/>
      <w:lvlText w:val=""/>
      <w:lvlJc w:val="left"/>
      <w:pPr>
        <w:ind w:left="4320" w:hanging="360"/>
      </w:pPr>
      <w:rPr>
        <w:rFonts w:ascii="Wingdings" w:hAnsi="Wingdings" w:hint="default"/>
      </w:rPr>
    </w:lvl>
    <w:lvl w:ilvl="6" w:tplc="B85E953E" w:tentative="1">
      <w:start w:val="1"/>
      <w:numFmt w:val="bullet"/>
      <w:lvlText w:val=""/>
      <w:lvlJc w:val="left"/>
      <w:pPr>
        <w:ind w:left="5040" w:hanging="360"/>
      </w:pPr>
      <w:rPr>
        <w:rFonts w:ascii="Symbol" w:hAnsi="Symbol" w:hint="default"/>
      </w:rPr>
    </w:lvl>
    <w:lvl w:ilvl="7" w:tplc="D9AAE732" w:tentative="1">
      <w:start w:val="1"/>
      <w:numFmt w:val="bullet"/>
      <w:lvlText w:val="o"/>
      <w:lvlJc w:val="left"/>
      <w:pPr>
        <w:ind w:left="5760" w:hanging="360"/>
      </w:pPr>
      <w:rPr>
        <w:rFonts w:ascii="Courier New" w:hAnsi="Courier New" w:hint="default"/>
      </w:rPr>
    </w:lvl>
    <w:lvl w:ilvl="8" w:tplc="0F5EF7E2" w:tentative="1">
      <w:start w:val="1"/>
      <w:numFmt w:val="bullet"/>
      <w:lvlText w:val=""/>
      <w:lvlJc w:val="left"/>
      <w:pPr>
        <w:ind w:left="6480" w:hanging="360"/>
      </w:pPr>
      <w:rPr>
        <w:rFonts w:ascii="Wingdings" w:hAnsi="Wingdings" w:hint="default"/>
      </w:rPr>
    </w:lvl>
  </w:abstractNum>
  <w:abstractNum w:abstractNumId="290"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39913678"/>
    <w:multiLevelType w:val="hybridMultilevel"/>
    <w:tmpl w:val="CB982C02"/>
    <w:lvl w:ilvl="0" w:tplc="191CC9C8">
      <w:start w:val="1"/>
      <w:numFmt w:val="bullet"/>
      <w:lvlText w:val=""/>
      <w:lvlJc w:val="left"/>
      <w:pPr>
        <w:tabs>
          <w:tab w:val="num" w:pos="360"/>
        </w:tabs>
        <w:ind w:left="360" w:hanging="360"/>
      </w:pPr>
      <w:rPr>
        <w:rFonts w:ascii="Symbol" w:hAnsi="Symbol" w:hint="default"/>
      </w:rPr>
    </w:lvl>
    <w:lvl w:ilvl="1" w:tplc="7676EE52">
      <w:start w:val="1"/>
      <w:numFmt w:val="bullet"/>
      <w:lvlText w:val="o"/>
      <w:lvlJc w:val="left"/>
      <w:pPr>
        <w:tabs>
          <w:tab w:val="num" w:pos="1080"/>
        </w:tabs>
        <w:ind w:left="1080" w:hanging="360"/>
      </w:pPr>
      <w:rPr>
        <w:rFonts w:ascii="Courier New" w:hAnsi="Courier New" w:hint="default"/>
      </w:rPr>
    </w:lvl>
    <w:lvl w:ilvl="2" w:tplc="5CA8FF4E">
      <w:start w:val="1"/>
      <w:numFmt w:val="bullet"/>
      <w:lvlText w:val=""/>
      <w:lvlJc w:val="left"/>
      <w:pPr>
        <w:tabs>
          <w:tab w:val="num" w:pos="1800"/>
        </w:tabs>
        <w:ind w:left="1800" w:hanging="360"/>
      </w:pPr>
      <w:rPr>
        <w:rFonts w:ascii="Wingdings" w:hAnsi="Wingdings" w:hint="default"/>
      </w:rPr>
    </w:lvl>
    <w:lvl w:ilvl="3" w:tplc="12884B10">
      <w:start w:val="1"/>
      <w:numFmt w:val="bullet"/>
      <w:lvlText w:val=""/>
      <w:lvlJc w:val="left"/>
      <w:pPr>
        <w:tabs>
          <w:tab w:val="num" w:pos="2520"/>
        </w:tabs>
        <w:ind w:left="2520" w:hanging="360"/>
      </w:pPr>
      <w:rPr>
        <w:rFonts w:ascii="Symbol" w:hAnsi="Symbol" w:hint="default"/>
      </w:rPr>
    </w:lvl>
    <w:lvl w:ilvl="4" w:tplc="2A88ECE4">
      <w:start w:val="1"/>
      <w:numFmt w:val="bullet"/>
      <w:lvlText w:val="o"/>
      <w:lvlJc w:val="left"/>
      <w:pPr>
        <w:tabs>
          <w:tab w:val="num" w:pos="3240"/>
        </w:tabs>
        <w:ind w:left="3240" w:hanging="360"/>
      </w:pPr>
      <w:rPr>
        <w:rFonts w:ascii="Courier New" w:hAnsi="Courier New" w:hint="default"/>
      </w:rPr>
    </w:lvl>
    <w:lvl w:ilvl="5" w:tplc="77B85A54">
      <w:start w:val="1"/>
      <w:numFmt w:val="bullet"/>
      <w:lvlText w:val=""/>
      <w:lvlJc w:val="left"/>
      <w:pPr>
        <w:tabs>
          <w:tab w:val="num" w:pos="3960"/>
        </w:tabs>
        <w:ind w:left="3960" w:hanging="360"/>
      </w:pPr>
      <w:rPr>
        <w:rFonts w:ascii="Wingdings" w:hAnsi="Wingdings" w:hint="default"/>
      </w:rPr>
    </w:lvl>
    <w:lvl w:ilvl="6" w:tplc="DEBC84B4">
      <w:start w:val="1"/>
      <w:numFmt w:val="bullet"/>
      <w:lvlText w:val=""/>
      <w:lvlJc w:val="left"/>
      <w:pPr>
        <w:tabs>
          <w:tab w:val="num" w:pos="4680"/>
        </w:tabs>
        <w:ind w:left="4680" w:hanging="360"/>
      </w:pPr>
      <w:rPr>
        <w:rFonts w:ascii="Symbol" w:hAnsi="Symbol" w:hint="default"/>
      </w:rPr>
    </w:lvl>
    <w:lvl w:ilvl="7" w:tplc="71D444AE">
      <w:start w:val="1"/>
      <w:numFmt w:val="bullet"/>
      <w:lvlText w:val="o"/>
      <w:lvlJc w:val="left"/>
      <w:pPr>
        <w:tabs>
          <w:tab w:val="num" w:pos="5400"/>
        </w:tabs>
        <w:ind w:left="5400" w:hanging="360"/>
      </w:pPr>
      <w:rPr>
        <w:rFonts w:ascii="Courier New" w:hAnsi="Courier New" w:hint="default"/>
      </w:rPr>
    </w:lvl>
    <w:lvl w:ilvl="8" w:tplc="1F7C256C">
      <w:start w:val="1"/>
      <w:numFmt w:val="bullet"/>
      <w:lvlText w:val=""/>
      <w:lvlJc w:val="left"/>
      <w:pPr>
        <w:tabs>
          <w:tab w:val="num" w:pos="6120"/>
        </w:tabs>
        <w:ind w:left="6120" w:hanging="360"/>
      </w:pPr>
      <w:rPr>
        <w:rFonts w:ascii="Wingdings" w:hAnsi="Wingdings" w:hint="default"/>
      </w:rPr>
    </w:lvl>
  </w:abstractNum>
  <w:abstractNum w:abstractNumId="292" w15:restartNumberingAfterBreak="0">
    <w:nsid w:val="39EF482B"/>
    <w:multiLevelType w:val="hybridMultilevel"/>
    <w:tmpl w:val="C7D4A23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3" w15:restartNumberingAfterBreak="0">
    <w:nsid w:val="3A02C891"/>
    <w:multiLevelType w:val="hybridMultilevel"/>
    <w:tmpl w:val="FFFFFFFF"/>
    <w:lvl w:ilvl="0" w:tplc="3604BBEE">
      <w:start w:val="1"/>
      <w:numFmt w:val="bullet"/>
      <w:lvlText w:val=""/>
      <w:lvlJc w:val="left"/>
      <w:pPr>
        <w:ind w:left="720" w:hanging="360"/>
      </w:pPr>
      <w:rPr>
        <w:rFonts w:ascii="Symbol" w:hAnsi="Symbol" w:hint="default"/>
      </w:rPr>
    </w:lvl>
    <w:lvl w:ilvl="1" w:tplc="0D12AE9E">
      <w:start w:val="1"/>
      <w:numFmt w:val="bullet"/>
      <w:lvlText w:val="o"/>
      <w:lvlJc w:val="left"/>
      <w:pPr>
        <w:ind w:left="1440" w:hanging="360"/>
      </w:pPr>
      <w:rPr>
        <w:rFonts w:ascii="Courier New" w:hAnsi="Courier New" w:hint="default"/>
      </w:rPr>
    </w:lvl>
    <w:lvl w:ilvl="2" w:tplc="579EDB7E">
      <w:start w:val="1"/>
      <w:numFmt w:val="bullet"/>
      <w:lvlText w:val=""/>
      <w:lvlJc w:val="left"/>
      <w:pPr>
        <w:ind w:left="2160" w:hanging="360"/>
      </w:pPr>
      <w:rPr>
        <w:rFonts w:ascii="Wingdings" w:hAnsi="Wingdings" w:hint="default"/>
      </w:rPr>
    </w:lvl>
    <w:lvl w:ilvl="3" w:tplc="FDB8391C">
      <w:start w:val="1"/>
      <w:numFmt w:val="bullet"/>
      <w:lvlText w:val=""/>
      <w:lvlJc w:val="left"/>
      <w:pPr>
        <w:ind w:left="2880" w:hanging="360"/>
      </w:pPr>
      <w:rPr>
        <w:rFonts w:ascii="Symbol" w:hAnsi="Symbol" w:hint="default"/>
      </w:rPr>
    </w:lvl>
    <w:lvl w:ilvl="4" w:tplc="762632C0">
      <w:start w:val="1"/>
      <w:numFmt w:val="bullet"/>
      <w:lvlText w:val="o"/>
      <w:lvlJc w:val="left"/>
      <w:pPr>
        <w:ind w:left="3600" w:hanging="360"/>
      </w:pPr>
      <w:rPr>
        <w:rFonts w:ascii="Courier New" w:hAnsi="Courier New" w:hint="default"/>
      </w:rPr>
    </w:lvl>
    <w:lvl w:ilvl="5" w:tplc="71ECD74A">
      <w:start w:val="1"/>
      <w:numFmt w:val="bullet"/>
      <w:lvlText w:val=""/>
      <w:lvlJc w:val="left"/>
      <w:pPr>
        <w:ind w:left="4320" w:hanging="360"/>
      </w:pPr>
      <w:rPr>
        <w:rFonts w:ascii="Wingdings" w:hAnsi="Wingdings" w:hint="default"/>
      </w:rPr>
    </w:lvl>
    <w:lvl w:ilvl="6" w:tplc="AAD65A22">
      <w:start w:val="1"/>
      <w:numFmt w:val="bullet"/>
      <w:lvlText w:val=""/>
      <w:lvlJc w:val="left"/>
      <w:pPr>
        <w:ind w:left="5040" w:hanging="360"/>
      </w:pPr>
      <w:rPr>
        <w:rFonts w:ascii="Symbol" w:hAnsi="Symbol" w:hint="default"/>
      </w:rPr>
    </w:lvl>
    <w:lvl w:ilvl="7" w:tplc="374E33E8">
      <w:start w:val="1"/>
      <w:numFmt w:val="bullet"/>
      <w:lvlText w:val="o"/>
      <w:lvlJc w:val="left"/>
      <w:pPr>
        <w:ind w:left="5760" w:hanging="360"/>
      </w:pPr>
      <w:rPr>
        <w:rFonts w:ascii="Courier New" w:hAnsi="Courier New" w:hint="default"/>
      </w:rPr>
    </w:lvl>
    <w:lvl w:ilvl="8" w:tplc="C7EC255E">
      <w:start w:val="1"/>
      <w:numFmt w:val="bullet"/>
      <w:lvlText w:val=""/>
      <w:lvlJc w:val="left"/>
      <w:pPr>
        <w:ind w:left="6480" w:hanging="360"/>
      </w:pPr>
      <w:rPr>
        <w:rFonts w:ascii="Wingdings" w:hAnsi="Wingdings" w:hint="default"/>
      </w:rPr>
    </w:lvl>
  </w:abstractNum>
  <w:abstractNum w:abstractNumId="294" w15:restartNumberingAfterBreak="0">
    <w:nsid w:val="3A7610EE"/>
    <w:multiLevelType w:val="multilevel"/>
    <w:tmpl w:val="4E70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A8B150B"/>
    <w:multiLevelType w:val="hybridMultilevel"/>
    <w:tmpl w:val="7518B858"/>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6" w15:restartNumberingAfterBreak="0">
    <w:nsid w:val="3AAB5EC4"/>
    <w:multiLevelType w:val="hybridMultilevel"/>
    <w:tmpl w:val="97505360"/>
    <w:lvl w:ilvl="0" w:tplc="FB300E78">
      <w:start w:val="1"/>
      <w:numFmt w:val="bullet"/>
      <w:lvlText w:val=""/>
      <w:lvlJc w:val="left"/>
      <w:pPr>
        <w:ind w:left="1440" w:hanging="360"/>
      </w:pPr>
      <w:rPr>
        <w:rFonts w:ascii="Symbol" w:hAnsi="Symbol"/>
      </w:rPr>
    </w:lvl>
    <w:lvl w:ilvl="1" w:tplc="75723C24">
      <w:start w:val="1"/>
      <w:numFmt w:val="bullet"/>
      <w:lvlText w:val=""/>
      <w:lvlJc w:val="left"/>
      <w:pPr>
        <w:ind w:left="1440" w:hanging="360"/>
      </w:pPr>
      <w:rPr>
        <w:rFonts w:ascii="Symbol" w:hAnsi="Symbol"/>
      </w:rPr>
    </w:lvl>
    <w:lvl w:ilvl="2" w:tplc="C12C6CE8">
      <w:start w:val="1"/>
      <w:numFmt w:val="bullet"/>
      <w:lvlText w:val=""/>
      <w:lvlJc w:val="left"/>
      <w:pPr>
        <w:ind w:left="1440" w:hanging="360"/>
      </w:pPr>
      <w:rPr>
        <w:rFonts w:ascii="Symbol" w:hAnsi="Symbol"/>
      </w:rPr>
    </w:lvl>
    <w:lvl w:ilvl="3" w:tplc="929E6450">
      <w:start w:val="1"/>
      <w:numFmt w:val="bullet"/>
      <w:lvlText w:val=""/>
      <w:lvlJc w:val="left"/>
      <w:pPr>
        <w:ind w:left="1440" w:hanging="360"/>
      </w:pPr>
      <w:rPr>
        <w:rFonts w:ascii="Symbol" w:hAnsi="Symbol"/>
      </w:rPr>
    </w:lvl>
    <w:lvl w:ilvl="4" w:tplc="C78E0A18">
      <w:start w:val="1"/>
      <w:numFmt w:val="bullet"/>
      <w:lvlText w:val=""/>
      <w:lvlJc w:val="left"/>
      <w:pPr>
        <w:ind w:left="1440" w:hanging="360"/>
      </w:pPr>
      <w:rPr>
        <w:rFonts w:ascii="Symbol" w:hAnsi="Symbol"/>
      </w:rPr>
    </w:lvl>
    <w:lvl w:ilvl="5" w:tplc="831642D6">
      <w:start w:val="1"/>
      <w:numFmt w:val="bullet"/>
      <w:lvlText w:val=""/>
      <w:lvlJc w:val="left"/>
      <w:pPr>
        <w:ind w:left="1440" w:hanging="360"/>
      </w:pPr>
      <w:rPr>
        <w:rFonts w:ascii="Symbol" w:hAnsi="Symbol"/>
      </w:rPr>
    </w:lvl>
    <w:lvl w:ilvl="6" w:tplc="7EF64290">
      <w:start w:val="1"/>
      <w:numFmt w:val="bullet"/>
      <w:lvlText w:val=""/>
      <w:lvlJc w:val="left"/>
      <w:pPr>
        <w:ind w:left="1440" w:hanging="360"/>
      </w:pPr>
      <w:rPr>
        <w:rFonts w:ascii="Symbol" w:hAnsi="Symbol"/>
      </w:rPr>
    </w:lvl>
    <w:lvl w:ilvl="7" w:tplc="13FE5C12">
      <w:start w:val="1"/>
      <w:numFmt w:val="bullet"/>
      <w:lvlText w:val=""/>
      <w:lvlJc w:val="left"/>
      <w:pPr>
        <w:ind w:left="1440" w:hanging="360"/>
      </w:pPr>
      <w:rPr>
        <w:rFonts w:ascii="Symbol" w:hAnsi="Symbol"/>
      </w:rPr>
    </w:lvl>
    <w:lvl w:ilvl="8" w:tplc="80AE13F8">
      <w:start w:val="1"/>
      <w:numFmt w:val="bullet"/>
      <w:lvlText w:val=""/>
      <w:lvlJc w:val="left"/>
      <w:pPr>
        <w:ind w:left="1440" w:hanging="360"/>
      </w:pPr>
      <w:rPr>
        <w:rFonts w:ascii="Symbol" w:hAnsi="Symbol"/>
      </w:rPr>
    </w:lvl>
  </w:abstractNum>
  <w:abstractNum w:abstractNumId="297" w15:restartNumberingAfterBreak="0">
    <w:nsid w:val="3AFB7CDF"/>
    <w:multiLevelType w:val="multilevel"/>
    <w:tmpl w:val="7360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B2F437C"/>
    <w:multiLevelType w:val="multilevel"/>
    <w:tmpl w:val="835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B3E7679"/>
    <w:multiLevelType w:val="multilevel"/>
    <w:tmpl w:val="AA3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B585CDD"/>
    <w:multiLevelType w:val="hybridMultilevel"/>
    <w:tmpl w:val="8892B62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01" w15:restartNumberingAfterBreak="0">
    <w:nsid w:val="3BB374D6"/>
    <w:multiLevelType w:val="hybridMultilevel"/>
    <w:tmpl w:val="0A20DDD8"/>
    <w:lvl w:ilvl="0" w:tplc="3BB4F03A">
      <w:start w:val="1"/>
      <w:numFmt w:val="bullet"/>
      <w:lvlText w:val=""/>
      <w:lvlJc w:val="left"/>
      <w:pPr>
        <w:ind w:left="1080" w:hanging="360"/>
      </w:pPr>
      <w:rPr>
        <w:rFonts w:ascii="Symbol" w:hAnsi="Symbol" w:hint="default"/>
        <w:color w:val="auto"/>
      </w:rPr>
    </w:lvl>
    <w:lvl w:ilvl="1" w:tplc="954C30AA" w:tentative="1">
      <w:start w:val="1"/>
      <w:numFmt w:val="bullet"/>
      <w:lvlText w:val="o"/>
      <w:lvlJc w:val="left"/>
      <w:pPr>
        <w:ind w:left="2160" w:hanging="360"/>
      </w:pPr>
      <w:rPr>
        <w:rFonts w:ascii="Courier New" w:hAnsi="Courier New" w:hint="default"/>
      </w:rPr>
    </w:lvl>
    <w:lvl w:ilvl="2" w:tplc="58BA5ADE" w:tentative="1">
      <w:start w:val="1"/>
      <w:numFmt w:val="bullet"/>
      <w:lvlText w:val=""/>
      <w:lvlJc w:val="left"/>
      <w:pPr>
        <w:ind w:left="2880" w:hanging="360"/>
      </w:pPr>
      <w:rPr>
        <w:rFonts w:ascii="Wingdings" w:hAnsi="Wingdings" w:hint="default"/>
      </w:rPr>
    </w:lvl>
    <w:lvl w:ilvl="3" w:tplc="64DA9856" w:tentative="1">
      <w:start w:val="1"/>
      <w:numFmt w:val="bullet"/>
      <w:lvlText w:val=""/>
      <w:lvlJc w:val="left"/>
      <w:pPr>
        <w:ind w:left="3600" w:hanging="360"/>
      </w:pPr>
      <w:rPr>
        <w:rFonts w:ascii="Symbol" w:hAnsi="Symbol" w:hint="default"/>
      </w:rPr>
    </w:lvl>
    <w:lvl w:ilvl="4" w:tplc="A89AC1D6" w:tentative="1">
      <w:start w:val="1"/>
      <w:numFmt w:val="bullet"/>
      <w:lvlText w:val="o"/>
      <w:lvlJc w:val="left"/>
      <w:pPr>
        <w:ind w:left="4320" w:hanging="360"/>
      </w:pPr>
      <w:rPr>
        <w:rFonts w:ascii="Courier New" w:hAnsi="Courier New" w:hint="default"/>
      </w:rPr>
    </w:lvl>
    <w:lvl w:ilvl="5" w:tplc="CAFA5F58" w:tentative="1">
      <w:start w:val="1"/>
      <w:numFmt w:val="bullet"/>
      <w:lvlText w:val=""/>
      <w:lvlJc w:val="left"/>
      <w:pPr>
        <w:ind w:left="5040" w:hanging="360"/>
      </w:pPr>
      <w:rPr>
        <w:rFonts w:ascii="Wingdings" w:hAnsi="Wingdings" w:hint="default"/>
      </w:rPr>
    </w:lvl>
    <w:lvl w:ilvl="6" w:tplc="0ED080B6" w:tentative="1">
      <w:start w:val="1"/>
      <w:numFmt w:val="bullet"/>
      <w:lvlText w:val=""/>
      <w:lvlJc w:val="left"/>
      <w:pPr>
        <w:ind w:left="5760" w:hanging="360"/>
      </w:pPr>
      <w:rPr>
        <w:rFonts w:ascii="Symbol" w:hAnsi="Symbol" w:hint="default"/>
      </w:rPr>
    </w:lvl>
    <w:lvl w:ilvl="7" w:tplc="6F5C9170" w:tentative="1">
      <w:start w:val="1"/>
      <w:numFmt w:val="bullet"/>
      <w:lvlText w:val="o"/>
      <w:lvlJc w:val="left"/>
      <w:pPr>
        <w:ind w:left="6480" w:hanging="360"/>
      </w:pPr>
      <w:rPr>
        <w:rFonts w:ascii="Courier New" w:hAnsi="Courier New" w:hint="default"/>
      </w:rPr>
    </w:lvl>
    <w:lvl w:ilvl="8" w:tplc="DA161E0A" w:tentative="1">
      <w:start w:val="1"/>
      <w:numFmt w:val="bullet"/>
      <w:lvlText w:val=""/>
      <w:lvlJc w:val="left"/>
      <w:pPr>
        <w:ind w:left="7200" w:hanging="360"/>
      </w:pPr>
      <w:rPr>
        <w:rFonts w:ascii="Wingdings" w:hAnsi="Wingdings" w:hint="default"/>
      </w:rPr>
    </w:lvl>
  </w:abstractNum>
  <w:abstractNum w:abstractNumId="302" w15:restartNumberingAfterBreak="0">
    <w:nsid w:val="3BD360A6"/>
    <w:multiLevelType w:val="multilevel"/>
    <w:tmpl w:val="35A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BEB5ADD"/>
    <w:multiLevelType w:val="hybridMultilevel"/>
    <w:tmpl w:val="25D23F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4" w15:restartNumberingAfterBreak="0">
    <w:nsid w:val="3C1771B0"/>
    <w:multiLevelType w:val="multilevel"/>
    <w:tmpl w:val="6952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CA65E57"/>
    <w:multiLevelType w:val="hybridMultilevel"/>
    <w:tmpl w:val="E0DAD162"/>
    <w:lvl w:ilvl="0" w:tplc="FB50C302">
      <w:start w:val="1"/>
      <w:numFmt w:val="bullet"/>
      <w:lvlText w:val=""/>
      <w:lvlJc w:val="left"/>
      <w:pPr>
        <w:ind w:left="780" w:hanging="360"/>
      </w:pPr>
      <w:rPr>
        <w:rFonts w:ascii="Symbol" w:hAnsi="Symbol" w:hint="default"/>
      </w:rPr>
    </w:lvl>
    <w:lvl w:ilvl="1" w:tplc="A08EE73E" w:tentative="1">
      <w:start w:val="1"/>
      <w:numFmt w:val="bullet"/>
      <w:lvlText w:val="o"/>
      <w:lvlJc w:val="left"/>
      <w:pPr>
        <w:ind w:left="1500" w:hanging="360"/>
      </w:pPr>
      <w:rPr>
        <w:rFonts w:ascii="Courier New" w:hAnsi="Courier New" w:hint="default"/>
      </w:rPr>
    </w:lvl>
    <w:lvl w:ilvl="2" w:tplc="BA12B26E" w:tentative="1">
      <w:start w:val="1"/>
      <w:numFmt w:val="bullet"/>
      <w:lvlText w:val=""/>
      <w:lvlJc w:val="left"/>
      <w:pPr>
        <w:ind w:left="2220" w:hanging="360"/>
      </w:pPr>
      <w:rPr>
        <w:rFonts w:ascii="Wingdings" w:hAnsi="Wingdings" w:hint="default"/>
      </w:rPr>
    </w:lvl>
    <w:lvl w:ilvl="3" w:tplc="A044F990" w:tentative="1">
      <w:start w:val="1"/>
      <w:numFmt w:val="bullet"/>
      <w:lvlText w:val=""/>
      <w:lvlJc w:val="left"/>
      <w:pPr>
        <w:ind w:left="2940" w:hanging="360"/>
      </w:pPr>
      <w:rPr>
        <w:rFonts w:ascii="Symbol" w:hAnsi="Symbol" w:hint="default"/>
      </w:rPr>
    </w:lvl>
    <w:lvl w:ilvl="4" w:tplc="AFF6149E" w:tentative="1">
      <w:start w:val="1"/>
      <w:numFmt w:val="bullet"/>
      <w:lvlText w:val="o"/>
      <w:lvlJc w:val="left"/>
      <w:pPr>
        <w:ind w:left="3660" w:hanging="360"/>
      </w:pPr>
      <w:rPr>
        <w:rFonts w:ascii="Courier New" w:hAnsi="Courier New" w:hint="default"/>
      </w:rPr>
    </w:lvl>
    <w:lvl w:ilvl="5" w:tplc="53624B6E" w:tentative="1">
      <w:start w:val="1"/>
      <w:numFmt w:val="bullet"/>
      <w:lvlText w:val=""/>
      <w:lvlJc w:val="left"/>
      <w:pPr>
        <w:ind w:left="4380" w:hanging="360"/>
      </w:pPr>
      <w:rPr>
        <w:rFonts w:ascii="Wingdings" w:hAnsi="Wingdings" w:hint="default"/>
      </w:rPr>
    </w:lvl>
    <w:lvl w:ilvl="6" w:tplc="36F4A022" w:tentative="1">
      <w:start w:val="1"/>
      <w:numFmt w:val="bullet"/>
      <w:lvlText w:val=""/>
      <w:lvlJc w:val="left"/>
      <w:pPr>
        <w:ind w:left="5100" w:hanging="360"/>
      </w:pPr>
      <w:rPr>
        <w:rFonts w:ascii="Symbol" w:hAnsi="Symbol" w:hint="default"/>
      </w:rPr>
    </w:lvl>
    <w:lvl w:ilvl="7" w:tplc="B350B0DE" w:tentative="1">
      <w:start w:val="1"/>
      <w:numFmt w:val="bullet"/>
      <w:lvlText w:val="o"/>
      <w:lvlJc w:val="left"/>
      <w:pPr>
        <w:ind w:left="5820" w:hanging="360"/>
      </w:pPr>
      <w:rPr>
        <w:rFonts w:ascii="Courier New" w:hAnsi="Courier New" w:hint="default"/>
      </w:rPr>
    </w:lvl>
    <w:lvl w:ilvl="8" w:tplc="C292E6A0" w:tentative="1">
      <w:start w:val="1"/>
      <w:numFmt w:val="bullet"/>
      <w:lvlText w:val=""/>
      <w:lvlJc w:val="left"/>
      <w:pPr>
        <w:ind w:left="6540" w:hanging="360"/>
      </w:pPr>
      <w:rPr>
        <w:rFonts w:ascii="Wingdings" w:hAnsi="Wingdings" w:hint="default"/>
      </w:rPr>
    </w:lvl>
  </w:abstractNum>
  <w:abstractNum w:abstractNumId="306" w15:restartNumberingAfterBreak="0">
    <w:nsid w:val="3CD454CD"/>
    <w:multiLevelType w:val="hybridMultilevel"/>
    <w:tmpl w:val="7CD20F3C"/>
    <w:lvl w:ilvl="0" w:tplc="FFFFFFFF">
      <w:start w:val="1"/>
      <w:numFmt w:val="decimal"/>
      <w:pStyle w:val="TPslevel1"/>
      <w:lvlText w:val="•"/>
      <w:lvlJc w:val="left"/>
      <w:pPr>
        <w:ind w:left="720" w:hanging="360"/>
      </w:pPr>
    </w:lvl>
    <w:lvl w:ilvl="1" w:tplc="0E72AA3A">
      <w:start w:val="1"/>
      <w:numFmt w:val="bullet"/>
      <w:pStyle w:val="TPslevel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7" w15:restartNumberingAfterBreak="0">
    <w:nsid w:val="3D787566"/>
    <w:multiLevelType w:val="hybridMultilevel"/>
    <w:tmpl w:val="476210A2"/>
    <w:lvl w:ilvl="0" w:tplc="FD843C04">
      <w:start w:val="1"/>
      <w:numFmt w:val="bullet"/>
      <w:lvlText w:val=""/>
      <w:lvlJc w:val="left"/>
      <w:pPr>
        <w:ind w:left="720" w:hanging="360"/>
      </w:pPr>
      <w:rPr>
        <w:rFonts w:ascii="Symbol" w:hAnsi="Symbol" w:hint="default"/>
      </w:rPr>
    </w:lvl>
    <w:lvl w:ilvl="1" w:tplc="D42899C0" w:tentative="1">
      <w:start w:val="1"/>
      <w:numFmt w:val="bullet"/>
      <w:lvlText w:val="o"/>
      <w:lvlJc w:val="left"/>
      <w:pPr>
        <w:ind w:left="1440" w:hanging="360"/>
      </w:pPr>
      <w:rPr>
        <w:rFonts w:ascii="Courier New" w:hAnsi="Courier New" w:hint="default"/>
      </w:rPr>
    </w:lvl>
    <w:lvl w:ilvl="2" w:tplc="0AFCCCF0" w:tentative="1">
      <w:start w:val="1"/>
      <w:numFmt w:val="bullet"/>
      <w:lvlText w:val=""/>
      <w:lvlJc w:val="left"/>
      <w:pPr>
        <w:ind w:left="2160" w:hanging="360"/>
      </w:pPr>
      <w:rPr>
        <w:rFonts w:ascii="Wingdings" w:hAnsi="Wingdings" w:hint="default"/>
      </w:rPr>
    </w:lvl>
    <w:lvl w:ilvl="3" w:tplc="D102ECE4" w:tentative="1">
      <w:start w:val="1"/>
      <w:numFmt w:val="bullet"/>
      <w:lvlText w:val=""/>
      <w:lvlJc w:val="left"/>
      <w:pPr>
        <w:ind w:left="2880" w:hanging="360"/>
      </w:pPr>
      <w:rPr>
        <w:rFonts w:ascii="Symbol" w:hAnsi="Symbol" w:hint="default"/>
      </w:rPr>
    </w:lvl>
    <w:lvl w:ilvl="4" w:tplc="81562F94" w:tentative="1">
      <w:start w:val="1"/>
      <w:numFmt w:val="bullet"/>
      <w:lvlText w:val="o"/>
      <w:lvlJc w:val="left"/>
      <w:pPr>
        <w:ind w:left="3600" w:hanging="360"/>
      </w:pPr>
      <w:rPr>
        <w:rFonts w:ascii="Courier New" w:hAnsi="Courier New" w:hint="default"/>
      </w:rPr>
    </w:lvl>
    <w:lvl w:ilvl="5" w:tplc="CA02261A" w:tentative="1">
      <w:start w:val="1"/>
      <w:numFmt w:val="bullet"/>
      <w:lvlText w:val=""/>
      <w:lvlJc w:val="left"/>
      <w:pPr>
        <w:ind w:left="4320" w:hanging="360"/>
      </w:pPr>
      <w:rPr>
        <w:rFonts w:ascii="Wingdings" w:hAnsi="Wingdings" w:hint="default"/>
      </w:rPr>
    </w:lvl>
    <w:lvl w:ilvl="6" w:tplc="0E2AC540" w:tentative="1">
      <w:start w:val="1"/>
      <w:numFmt w:val="bullet"/>
      <w:lvlText w:val=""/>
      <w:lvlJc w:val="left"/>
      <w:pPr>
        <w:ind w:left="5040" w:hanging="360"/>
      </w:pPr>
      <w:rPr>
        <w:rFonts w:ascii="Symbol" w:hAnsi="Symbol" w:hint="default"/>
      </w:rPr>
    </w:lvl>
    <w:lvl w:ilvl="7" w:tplc="A86A5654" w:tentative="1">
      <w:start w:val="1"/>
      <w:numFmt w:val="bullet"/>
      <w:lvlText w:val="o"/>
      <w:lvlJc w:val="left"/>
      <w:pPr>
        <w:ind w:left="5760" w:hanging="360"/>
      </w:pPr>
      <w:rPr>
        <w:rFonts w:ascii="Courier New" w:hAnsi="Courier New" w:hint="default"/>
      </w:rPr>
    </w:lvl>
    <w:lvl w:ilvl="8" w:tplc="4B580220" w:tentative="1">
      <w:start w:val="1"/>
      <w:numFmt w:val="bullet"/>
      <w:lvlText w:val=""/>
      <w:lvlJc w:val="left"/>
      <w:pPr>
        <w:ind w:left="6480" w:hanging="360"/>
      </w:pPr>
      <w:rPr>
        <w:rFonts w:ascii="Wingdings" w:hAnsi="Wingdings" w:hint="default"/>
      </w:rPr>
    </w:lvl>
  </w:abstractNum>
  <w:abstractNum w:abstractNumId="308" w15:restartNumberingAfterBreak="0">
    <w:nsid w:val="3D906B9D"/>
    <w:multiLevelType w:val="hybridMultilevel"/>
    <w:tmpl w:val="ACCA5718"/>
    <w:lvl w:ilvl="0" w:tplc="FFFFFFFF">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9" w15:restartNumberingAfterBreak="0">
    <w:nsid w:val="3DE55306"/>
    <w:multiLevelType w:val="hybridMultilevel"/>
    <w:tmpl w:val="E26258A4"/>
    <w:lvl w:ilvl="0" w:tplc="096E3B9E">
      <w:start w:val="1"/>
      <w:numFmt w:val="bullet"/>
      <w:lvlText w:val=""/>
      <w:lvlJc w:val="left"/>
      <w:pPr>
        <w:ind w:left="720" w:hanging="360"/>
      </w:pPr>
      <w:rPr>
        <w:rFonts w:ascii="Symbol" w:hAnsi="Symbol" w:hint="default"/>
      </w:rPr>
    </w:lvl>
    <w:lvl w:ilvl="1" w:tplc="A17CAFE0">
      <w:start w:val="1"/>
      <w:numFmt w:val="bullet"/>
      <w:lvlText w:val="o"/>
      <w:lvlJc w:val="left"/>
      <w:pPr>
        <w:ind w:left="1440" w:hanging="360"/>
      </w:pPr>
      <w:rPr>
        <w:rFonts w:ascii="Courier New" w:hAnsi="Courier New" w:hint="default"/>
      </w:rPr>
    </w:lvl>
    <w:lvl w:ilvl="2" w:tplc="9176EEE0">
      <w:start w:val="1"/>
      <w:numFmt w:val="bullet"/>
      <w:lvlText w:val=""/>
      <w:lvlJc w:val="left"/>
      <w:pPr>
        <w:ind w:left="2160" w:hanging="360"/>
      </w:pPr>
      <w:rPr>
        <w:rFonts w:ascii="Wingdings" w:hAnsi="Wingdings" w:hint="default"/>
      </w:rPr>
    </w:lvl>
    <w:lvl w:ilvl="3" w:tplc="87B82312">
      <w:start w:val="1"/>
      <w:numFmt w:val="bullet"/>
      <w:lvlText w:val=""/>
      <w:lvlJc w:val="left"/>
      <w:pPr>
        <w:ind w:left="2880" w:hanging="360"/>
      </w:pPr>
      <w:rPr>
        <w:rFonts w:ascii="Symbol" w:hAnsi="Symbol" w:hint="default"/>
      </w:rPr>
    </w:lvl>
    <w:lvl w:ilvl="4" w:tplc="C22224FE">
      <w:start w:val="1"/>
      <w:numFmt w:val="bullet"/>
      <w:lvlText w:val="o"/>
      <w:lvlJc w:val="left"/>
      <w:pPr>
        <w:ind w:left="3600" w:hanging="360"/>
      </w:pPr>
      <w:rPr>
        <w:rFonts w:ascii="Courier New" w:hAnsi="Courier New" w:hint="default"/>
      </w:rPr>
    </w:lvl>
    <w:lvl w:ilvl="5" w:tplc="B1940FBC">
      <w:start w:val="1"/>
      <w:numFmt w:val="bullet"/>
      <w:lvlText w:val=""/>
      <w:lvlJc w:val="left"/>
      <w:pPr>
        <w:ind w:left="4320" w:hanging="360"/>
      </w:pPr>
      <w:rPr>
        <w:rFonts w:ascii="Wingdings" w:hAnsi="Wingdings" w:hint="default"/>
      </w:rPr>
    </w:lvl>
    <w:lvl w:ilvl="6" w:tplc="FF20244E">
      <w:start w:val="1"/>
      <w:numFmt w:val="bullet"/>
      <w:lvlText w:val=""/>
      <w:lvlJc w:val="left"/>
      <w:pPr>
        <w:ind w:left="5040" w:hanging="360"/>
      </w:pPr>
      <w:rPr>
        <w:rFonts w:ascii="Symbol" w:hAnsi="Symbol" w:hint="default"/>
      </w:rPr>
    </w:lvl>
    <w:lvl w:ilvl="7" w:tplc="26B2DFDC">
      <w:start w:val="1"/>
      <w:numFmt w:val="bullet"/>
      <w:lvlText w:val="o"/>
      <w:lvlJc w:val="left"/>
      <w:pPr>
        <w:ind w:left="5760" w:hanging="360"/>
      </w:pPr>
      <w:rPr>
        <w:rFonts w:ascii="Courier New" w:hAnsi="Courier New" w:hint="default"/>
      </w:rPr>
    </w:lvl>
    <w:lvl w:ilvl="8" w:tplc="BA56EC7A">
      <w:start w:val="1"/>
      <w:numFmt w:val="bullet"/>
      <w:lvlText w:val=""/>
      <w:lvlJc w:val="left"/>
      <w:pPr>
        <w:ind w:left="6480" w:hanging="360"/>
      </w:pPr>
      <w:rPr>
        <w:rFonts w:ascii="Wingdings" w:hAnsi="Wingdings" w:hint="default"/>
      </w:rPr>
    </w:lvl>
  </w:abstractNum>
  <w:abstractNum w:abstractNumId="310" w15:restartNumberingAfterBreak="0">
    <w:nsid w:val="3DF17693"/>
    <w:multiLevelType w:val="multilevel"/>
    <w:tmpl w:val="6A7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E1743DE"/>
    <w:multiLevelType w:val="hybridMultilevel"/>
    <w:tmpl w:val="A6E061F4"/>
    <w:lvl w:ilvl="0" w:tplc="112287C6">
      <w:start w:val="1"/>
      <w:numFmt w:val="bullet"/>
      <w:lvlText w:val=""/>
      <w:lvlJc w:val="left"/>
      <w:pPr>
        <w:ind w:left="720" w:hanging="360"/>
      </w:pPr>
      <w:rPr>
        <w:rFonts w:ascii="Symbol" w:hAnsi="Symbol" w:hint="default"/>
      </w:rPr>
    </w:lvl>
    <w:lvl w:ilvl="1" w:tplc="4A44786E" w:tentative="1">
      <w:start w:val="1"/>
      <w:numFmt w:val="bullet"/>
      <w:lvlText w:val="o"/>
      <w:lvlJc w:val="left"/>
      <w:pPr>
        <w:ind w:left="1440" w:hanging="360"/>
      </w:pPr>
      <w:rPr>
        <w:rFonts w:ascii="Courier New" w:hAnsi="Courier New" w:hint="default"/>
      </w:rPr>
    </w:lvl>
    <w:lvl w:ilvl="2" w:tplc="A164E77E" w:tentative="1">
      <w:start w:val="1"/>
      <w:numFmt w:val="bullet"/>
      <w:lvlText w:val=""/>
      <w:lvlJc w:val="left"/>
      <w:pPr>
        <w:ind w:left="2160" w:hanging="360"/>
      </w:pPr>
      <w:rPr>
        <w:rFonts w:ascii="Wingdings" w:hAnsi="Wingdings" w:hint="default"/>
      </w:rPr>
    </w:lvl>
    <w:lvl w:ilvl="3" w:tplc="79DC5840" w:tentative="1">
      <w:start w:val="1"/>
      <w:numFmt w:val="bullet"/>
      <w:lvlText w:val=""/>
      <w:lvlJc w:val="left"/>
      <w:pPr>
        <w:ind w:left="2880" w:hanging="360"/>
      </w:pPr>
      <w:rPr>
        <w:rFonts w:ascii="Symbol" w:hAnsi="Symbol" w:hint="default"/>
      </w:rPr>
    </w:lvl>
    <w:lvl w:ilvl="4" w:tplc="F5DC93F0" w:tentative="1">
      <w:start w:val="1"/>
      <w:numFmt w:val="bullet"/>
      <w:lvlText w:val="o"/>
      <w:lvlJc w:val="left"/>
      <w:pPr>
        <w:ind w:left="3600" w:hanging="360"/>
      </w:pPr>
      <w:rPr>
        <w:rFonts w:ascii="Courier New" w:hAnsi="Courier New" w:hint="default"/>
      </w:rPr>
    </w:lvl>
    <w:lvl w:ilvl="5" w:tplc="F528A8E4" w:tentative="1">
      <w:start w:val="1"/>
      <w:numFmt w:val="bullet"/>
      <w:lvlText w:val=""/>
      <w:lvlJc w:val="left"/>
      <w:pPr>
        <w:ind w:left="4320" w:hanging="360"/>
      </w:pPr>
      <w:rPr>
        <w:rFonts w:ascii="Wingdings" w:hAnsi="Wingdings" w:hint="default"/>
      </w:rPr>
    </w:lvl>
    <w:lvl w:ilvl="6" w:tplc="E7D2E7FA" w:tentative="1">
      <w:start w:val="1"/>
      <w:numFmt w:val="bullet"/>
      <w:lvlText w:val=""/>
      <w:lvlJc w:val="left"/>
      <w:pPr>
        <w:ind w:left="5040" w:hanging="360"/>
      </w:pPr>
      <w:rPr>
        <w:rFonts w:ascii="Symbol" w:hAnsi="Symbol" w:hint="default"/>
      </w:rPr>
    </w:lvl>
    <w:lvl w:ilvl="7" w:tplc="F634C510" w:tentative="1">
      <w:start w:val="1"/>
      <w:numFmt w:val="bullet"/>
      <w:lvlText w:val="o"/>
      <w:lvlJc w:val="left"/>
      <w:pPr>
        <w:ind w:left="5760" w:hanging="360"/>
      </w:pPr>
      <w:rPr>
        <w:rFonts w:ascii="Courier New" w:hAnsi="Courier New" w:hint="default"/>
      </w:rPr>
    </w:lvl>
    <w:lvl w:ilvl="8" w:tplc="A0682FE0" w:tentative="1">
      <w:start w:val="1"/>
      <w:numFmt w:val="bullet"/>
      <w:lvlText w:val=""/>
      <w:lvlJc w:val="left"/>
      <w:pPr>
        <w:ind w:left="6480" w:hanging="360"/>
      </w:pPr>
      <w:rPr>
        <w:rFonts w:ascii="Wingdings" w:hAnsi="Wingdings" w:hint="default"/>
      </w:rPr>
    </w:lvl>
  </w:abstractNum>
  <w:abstractNum w:abstractNumId="312" w15:restartNumberingAfterBreak="0">
    <w:nsid w:val="3E2B2DC0"/>
    <w:multiLevelType w:val="hybridMultilevel"/>
    <w:tmpl w:val="FFFFFFFF"/>
    <w:lvl w:ilvl="0" w:tplc="309A0DB0">
      <w:start w:val="1"/>
      <w:numFmt w:val="bullet"/>
      <w:lvlText w:val="·"/>
      <w:lvlJc w:val="left"/>
      <w:pPr>
        <w:ind w:left="720" w:hanging="360"/>
      </w:pPr>
      <w:rPr>
        <w:rFonts w:ascii="Symbol" w:hAnsi="Symbol" w:hint="default"/>
      </w:rPr>
    </w:lvl>
    <w:lvl w:ilvl="1" w:tplc="777C4ECE">
      <w:start w:val="1"/>
      <w:numFmt w:val="bullet"/>
      <w:lvlText w:val="o"/>
      <w:lvlJc w:val="left"/>
      <w:pPr>
        <w:ind w:left="1440" w:hanging="360"/>
      </w:pPr>
      <w:rPr>
        <w:rFonts w:ascii="Courier New" w:hAnsi="Courier New" w:hint="default"/>
      </w:rPr>
    </w:lvl>
    <w:lvl w:ilvl="2" w:tplc="AE1CDF1E">
      <w:start w:val="1"/>
      <w:numFmt w:val="bullet"/>
      <w:lvlText w:val=""/>
      <w:lvlJc w:val="left"/>
      <w:pPr>
        <w:ind w:left="2160" w:hanging="360"/>
      </w:pPr>
      <w:rPr>
        <w:rFonts w:ascii="Wingdings" w:hAnsi="Wingdings" w:hint="default"/>
      </w:rPr>
    </w:lvl>
    <w:lvl w:ilvl="3" w:tplc="11DEADE4">
      <w:start w:val="1"/>
      <w:numFmt w:val="bullet"/>
      <w:lvlText w:val=""/>
      <w:lvlJc w:val="left"/>
      <w:pPr>
        <w:ind w:left="2880" w:hanging="360"/>
      </w:pPr>
      <w:rPr>
        <w:rFonts w:ascii="Symbol" w:hAnsi="Symbol" w:hint="default"/>
      </w:rPr>
    </w:lvl>
    <w:lvl w:ilvl="4" w:tplc="97F2976A">
      <w:start w:val="1"/>
      <w:numFmt w:val="bullet"/>
      <w:lvlText w:val="o"/>
      <w:lvlJc w:val="left"/>
      <w:pPr>
        <w:ind w:left="3600" w:hanging="360"/>
      </w:pPr>
      <w:rPr>
        <w:rFonts w:ascii="Courier New" w:hAnsi="Courier New" w:hint="default"/>
      </w:rPr>
    </w:lvl>
    <w:lvl w:ilvl="5" w:tplc="4942FB46">
      <w:start w:val="1"/>
      <w:numFmt w:val="bullet"/>
      <w:lvlText w:val=""/>
      <w:lvlJc w:val="left"/>
      <w:pPr>
        <w:ind w:left="4320" w:hanging="360"/>
      </w:pPr>
      <w:rPr>
        <w:rFonts w:ascii="Wingdings" w:hAnsi="Wingdings" w:hint="default"/>
      </w:rPr>
    </w:lvl>
    <w:lvl w:ilvl="6" w:tplc="6EB44AFE">
      <w:start w:val="1"/>
      <w:numFmt w:val="bullet"/>
      <w:lvlText w:val=""/>
      <w:lvlJc w:val="left"/>
      <w:pPr>
        <w:ind w:left="5040" w:hanging="360"/>
      </w:pPr>
      <w:rPr>
        <w:rFonts w:ascii="Symbol" w:hAnsi="Symbol" w:hint="default"/>
      </w:rPr>
    </w:lvl>
    <w:lvl w:ilvl="7" w:tplc="7BC0F478">
      <w:start w:val="1"/>
      <w:numFmt w:val="bullet"/>
      <w:lvlText w:val="o"/>
      <w:lvlJc w:val="left"/>
      <w:pPr>
        <w:ind w:left="5760" w:hanging="360"/>
      </w:pPr>
      <w:rPr>
        <w:rFonts w:ascii="Courier New" w:hAnsi="Courier New" w:hint="default"/>
      </w:rPr>
    </w:lvl>
    <w:lvl w:ilvl="8" w:tplc="5CB063A2">
      <w:start w:val="1"/>
      <w:numFmt w:val="bullet"/>
      <w:lvlText w:val=""/>
      <w:lvlJc w:val="left"/>
      <w:pPr>
        <w:ind w:left="6480" w:hanging="360"/>
      </w:pPr>
      <w:rPr>
        <w:rFonts w:ascii="Wingdings" w:hAnsi="Wingdings" w:hint="default"/>
      </w:rPr>
    </w:lvl>
  </w:abstractNum>
  <w:abstractNum w:abstractNumId="313" w15:restartNumberingAfterBreak="0">
    <w:nsid w:val="3E5929AF"/>
    <w:multiLevelType w:val="hybridMultilevel"/>
    <w:tmpl w:val="94DC45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4" w15:restartNumberingAfterBreak="0">
    <w:nsid w:val="3E5E579C"/>
    <w:multiLevelType w:val="multilevel"/>
    <w:tmpl w:val="9C8C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EB07C09"/>
    <w:multiLevelType w:val="hybridMultilevel"/>
    <w:tmpl w:val="D9FE9E2E"/>
    <w:lvl w:ilvl="0" w:tplc="DC74CE0A">
      <w:start w:val="1"/>
      <w:numFmt w:val="bullet"/>
      <w:lvlText w:val=""/>
      <w:lvlJc w:val="left"/>
      <w:pPr>
        <w:ind w:left="720" w:hanging="360"/>
      </w:pPr>
      <w:rPr>
        <w:rFonts w:ascii="Symbol" w:hAnsi="Symbol" w:hint="default"/>
      </w:rPr>
    </w:lvl>
    <w:lvl w:ilvl="1" w:tplc="EDBE3D9A">
      <w:start w:val="1"/>
      <w:numFmt w:val="bullet"/>
      <w:lvlText w:val="o"/>
      <w:lvlJc w:val="left"/>
      <w:pPr>
        <w:ind w:left="1440" w:hanging="360"/>
      </w:pPr>
      <w:rPr>
        <w:rFonts w:ascii="Courier New" w:hAnsi="Courier New" w:hint="default"/>
      </w:rPr>
    </w:lvl>
    <w:lvl w:ilvl="2" w:tplc="8E94395A">
      <w:start w:val="1"/>
      <w:numFmt w:val="bullet"/>
      <w:lvlText w:val=""/>
      <w:lvlJc w:val="left"/>
      <w:pPr>
        <w:ind w:left="2160" w:hanging="360"/>
      </w:pPr>
      <w:rPr>
        <w:rFonts w:ascii="Wingdings" w:hAnsi="Wingdings" w:hint="default"/>
      </w:rPr>
    </w:lvl>
    <w:lvl w:ilvl="3" w:tplc="7D1043F0">
      <w:start w:val="1"/>
      <w:numFmt w:val="bullet"/>
      <w:lvlText w:val=""/>
      <w:lvlJc w:val="left"/>
      <w:pPr>
        <w:ind w:left="2880" w:hanging="360"/>
      </w:pPr>
      <w:rPr>
        <w:rFonts w:ascii="Symbol" w:hAnsi="Symbol" w:hint="default"/>
      </w:rPr>
    </w:lvl>
    <w:lvl w:ilvl="4" w:tplc="9A36AA62">
      <w:start w:val="1"/>
      <w:numFmt w:val="bullet"/>
      <w:lvlText w:val="o"/>
      <w:lvlJc w:val="left"/>
      <w:pPr>
        <w:ind w:left="3600" w:hanging="360"/>
      </w:pPr>
      <w:rPr>
        <w:rFonts w:ascii="Courier New" w:hAnsi="Courier New" w:hint="default"/>
      </w:rPr>
    </w:lvl>
    <w:lvl w:ilvl="5" w:tplc="F9D28CFC">
      <w:start w:val="1"/>
      <w:numFmt w:val="bullet"/>
      <w:lvlText w:val=""/>
      <w:lvlJc w:val="left"/>
      <w:pPr>
        <w:ind w:left="4320" w:hanging="360"/>
      </w:pPr>
      <w:rPr>
        <w:rFonts w:ascii="Wingdings" w:hAnsi="Wingdings" w:hint="default"/>
      </w:rPr>
    </w:lvl>
    <w:lvl w:ilvl="6" w:tplc="2640CB10">
      <w:start w:val="1"/>
      <w:numFmt w:val="bullet"/>
      <w:lvlText w:val=""/>
      <w:lvlJc w:val="left"/>
      <w:pPr>
        <w:ind w:left="5040" w:hanging="360"/>
      </w:pPr>
      <w:rPr>
        <w:rFonts w:ascii="Symbol" w:hAnsi="Symbol" w:hint="default"/>
      </w:rPr>
    </w:lvl>
    <w:lvl w:ilvl="7" w:tplc="A378D81A">
      <w:start w:val="1"/>
      <w:numFmt w:val="bullet"/>
      <w:lvlText w:val="o"/>
      <w:lvlJc w:val="left"/>
      <w:pPr>
        <w:ind w:left="5760" w:hanging="360"/>
      </w:pPr>
      <w:rPr>
        <w:rFonts w:ascii="Courier New" w:hAnsi="Courier New" w:hint="default"/>
      </w:rPr>
    </w:lvl>
    <w:lvl w:ilvl="8" w:tplc="E3302B7C">
      <w:start w:val="1"/>
      <w:numFmt w:val="bullet"/>
      <w:lvlText w:val=""/>
      <w:lvlJc w:val="left"/>
      <w:pPr>
        <w:ind w:left="6480" w:hanging="360"/>
      </w:pPr>
      <w:rPr>
        <w:rFonts w:ascii="Wingdings" w:hAnsi="Wingdings" w:hint="default"/>
      </w:rPr>
    </w:lvl>
  </w:abstractNum>
  <w:abstractNum w:abstractNumId="316" w15:restartNumberingAfterBreak="0">
    <w:nsid w:val="3F060912"/>
    <w:multiLevelType w:val="hybridMultilevel"/>
    <w:tmpl w:val="2E12BE96"/>
    <w:lvl w:ilvl="0" w:tplc="BDA86B5A">
      <w:start w:val="1"/>
      <w:numFmt w:val="bullet"/>
      <w:lvlText w:val=""/>
      <w:lvlJc w:val="left"/>
      <w:pPr>
        <w:ind w:left="360" w:hanging="360"/>
      </w:pPr>
      <w:rPr>
        <w:rFonts w:ascii="Symbol" w:hAnsi="Symbol" w:hint="default"/>
      </w:rPr>
    </w:lvl>
    <w:lvl w:ilvl="1" w:tplc="EDF0D4E8">
      <w:start w:val="1"/>
      <w:numFmt w:val="bullet"/>
      <w:lvlText w:val="o"/>
      <w:lvlJc w:val="left"/>
      <w:pPr>
        <w:ind w:left="1080" w:hanging="360"/>
      </w:pPr>
      <w:rPr>
        <w:rFonts w:ascii="Courier New" w:hAnsi="Courier New" w:hint="default"/>
      </w:rPr>
    </w:lvl>
    <w:lvl w:ilvl="2" w:tplc="69148DA4" w:tentative="1">
      <w:start w:val="1"/>
      <w:numFmt w:val="bullet"/>
      <w:lvlText w:val=""/>
      <w:lvlJc w:val="left"/>
      <w:pPr>
        <w:ind w:left="1800" w:hanging="360"/>
      </w:pPr>
      <w:rPr>
        <w:rFonts w:ascii="Wingdings" w:hAnsi="Wingdings" w:hint="default"/>
      </w:rPr>
    </w:lvl>
    <w:lvl w:ilvl="3" w:tplc="78EC6EA0" w:tentative="1">
      <w:start w:val="1"/>
      <w:numFmt w:val="bullet"/>
      <w:lvlText w:val=""/>
      <w:lvlJc w:val="left"/>
      <w:pPr>
        <w:ind w:left="2520" w:hanging="360"/>
      </w:pPr>
      <w:rPr>
        <w:rFonts w:ascii="Symbol" w:hAnsi="Symbol" w:hint="default"/>
      </w:rPr>
    </w:lvl>
    <w:lvl w:ilvl="4" w:tplc="6CE62BF2" w:tentative="1">
      <w:start w:val="1"/>
      <w:numFmt w:val="bullet"/>
      <w:lvlText w:val="o"/>
      <w:lvlJc w:val="left"/>
      <w:pPr>
        <w:ind w:left="3240" w:hanging="360"/>
      </w:pPr>
      <w:rPr>
        <w:rFonts w:ascii="Courier New" w:hAnsi="Courier New" w:hint="default"/>
      </w:rPr>
    </w:lvl>
    <w:lvl w:ilvl="5" w:tplc="2D94CC96" w:tentative="1">
      <w:start w:val="1"/>
      <w:numFmt w:val="bullet"/>
      <w:lvlText w:val=""/>
      <w:lvlJc w:val="left"/>
      <w:pPr>
        <w:ind w:left="3960" w:hanging="360"/>
      </w:pPr>
      <w:rPr>
        <w:rFonts w:ascii="Wingdings" w:hAnsi="Wingdings" w:hint="default"/>
      </w:rPr>
    </w:lvl>
    <w:lvl w:ilvl="6" w:tplc="4E3499B4" w:tentative="1">
      <w:start w:val="1"/>
      <w:numFmt w:val="bullet"/>
      <w:lvlText w:val=""/>
      <w:lvlJc w:val="left"/>
      <w:pPr>
        <w:ind w:left="4680" w:hanging="360"/>
      </w:pPr>
      <w:rPr>
        <w:rFonts w:ascii="Symbol" w:hAnsi="Symbol" w:hint="default"/>
      </w:rPr>
    </w:lvl>
    <w:lvl w:ilvl="7" w:tplc="05B08D2E" w:tentative="1">
      <w:start w:val="1"/>
      <w:numFmt w:val="bullet"/>
      <w:lvlText w:val="o"/>
      <w:lvlJc w:val="left"/>
      <w:pPr>
        <w:ind w:left="5400" w:hanging="360"/>
      </w:pPr>
      <w:rPr>
        <w:rFonts w:ascii="Courier New" w:hAnsi="Courier New" w:hint="default"/>
      </w:rPr>
    </w:lvl>
    <w:lvl w:ilvl="8" w:tplc="A6324196" w:tentative="1">
      <w:start w:val="1"/>
      <w:numFmt w:val="bullet"/>
      <w:lvlText w:val=""/>
      <w:lvlJc w:val="left"/>
      <w:pPr>
        <w:ind w:left="6120" w:hanging="360"/>
      </w:pPr>
      <w:rPr>
        <w:rFonts w:ascii="Wingdings" w:hAnsi="Wingdings" w:hint="default"/>
      </w:rPr>
    </w:lvl>
  </w:abstractNum>
  <w:abstractNum w:abstractNumId="317" w15:restartNumberingAfterBreak="0">
    <w:nsid w:val="3F071EE7"/>
    <w:multiLevelType w:val="multilevel"/>
    <w:tmpl w:val="5E7635AA"/>
    <w:lvl w:ilvl="0">
      <w:start w:val="11"/>
      <w:numFmt w:val="decimal"/>
      <w:lvlText w:val="%1"/>
      <w:lvlJc w:val="left"/>
      <w:pPr>
        <w:ind w:left="900" w:hanging="900"/>
      </w:pPr>
      <w:rPr>
        <w:rFonts w:hint="default"/>
      </w:rPr>
    </w:lvl>
    <w:lvl w:ilvl="1">
      <w:start w:val="2"/>
      <w:numFmt w:val="decimal"/>
      <w:lvlText w:val="%1.%2"/>
      <w:lvlJc w:val="left"/>
      <w:pPr>
        <w:ind w:left="1078" w:hanging="900"/>
      </w:pPr>
      <w:rPr>
        <w:rFonts w:hint="default"/>
      </w:rPr>
    </w:lvl>
    <w:lvl w:ilvl="2">
      <w:start w:val="4"/>
      <w:numFmt w:val="decimal"/>
      <w:lvlText w:val="%1.%2.%3"/>
      <w:lvlJc w:val="left"/>
      <w:pPr>
        <w:ind w:left="1256" w:hanging="90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2152" w:hanging="1440"/>
      </w:pPr>
      <w:rPr>
        <w:rFonts w:hint="default"/>
      </w:rPr>
    </w:lvl>
    <w:lvl w:ilvl="5">
      <w:start w:val="1"/>
      <w:numFmt w:val="decimal"/>
      <w:lvlText w:val="%1.%2.%3.%4.%5.%6"/>
      <w:lvlJc w:val="left"/>
      <w:pPr>
        <w:ind w:left="2690" w:hanging="1800"/>
      </w:pPr>
      <w:rPr>
        <w:rFonts w:hint="default"/>
      </w:rPr>
    </w:lvl>
    <w:lvl w:ilvl="6">
      <w:start w:val="1"/>
      <w:numFmt w:val="decimal"/>
      <w:lvlText w:val="%1.%2.%3.%4.%5.%6.%7"/>
      <w:lvlJc w:val="left"/>
      <w:pPr>
        <w:ind w:left="2868" w:hanging="1800"/>
      </w:pPr>
      <w:rPr>
        <w:rFonts w:hint="default"/>
      </w:rPr>
    </w:lvl>
    <w:lvl w:ilvl="7">
      <w:start w:val="1"/>
      <w:numFmt w:val="decimal"/>
      <w:lvlText w:val="%1.%2.%3.%4.%5.%6.%7.%8"/>
      <w:lvlJc w:val="left"/>
      <w:pPr>
        <w:ind w:left="3406" w:hanging="2160"/>
      </w:pPr>
      <w:rPr>
        <w:rFonts w:hint="default"/>
      </w:rPr>
    </w:lvl>
    <w:lvl w:ilvl="8">
      <w:start w:val="1"/>
      <w:numFmt w:val="decimal"/>
      <w:lvlText w:val="%1.%2.%3.%4.%5.%6.%7.%8.%9"/>
      <w:lvlJc w:val="left"/>
      <w:pPr>
        <w:ind w:left="3944" w:hanging="2520"/>
      </w:pPr>
      <w:rPr>
        <w:rFonts w:hint="default"/>
      </w:rPr>
    </w:lvl>
  </w:abstractNum>
  <w:abstractNum w:abstractNumId="318" w15:restartNumberingAfterBreak="0">
    <w:nsid w:val="3F2D7530"/>
    <w:multiLevelType w:val="multilevel"/>
    <w:tmpl w:val="E562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F50193D"/>
    <w:multiLevelType w:val="multilevel"/>
    <w:tmpl w:val="F3D618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0" w15:restartNumberingAfterBreak="0">
    <w:nsid w:val="3F590D0D"/>
    <w:multiLevelType w:val="hybridMultilevel"/>
    <w:tmpl w:val="D660B3D4"/>
    <w:lvl w:ilvl="0" w:tplc="7BC846B8">
      <w:start w:val="1"/>
      <w:numFmt w:val="bullet"/>
      <w:lvlText w:val=""/>
      <w:lvlJc w:val="left"/>
      <w:pPr>
        <w:ind w:left="720" w:hanging="360"/>
      </w:pPr>
      <w:rPr>
        <w:rFonts w:ascii="Symbol" w:hAnsi="Symbol" w:hint="default"/>
      </w:rPr>
    </w:lvl>
    <w:lvl w:ilvl="1" w:tplc="60C03F9A" w:tentative="1">
      <w:start w:val="1"/>
      <w:numFmt w:val="bullet"/>
      <w:lvlText w:val="o"/>
      <w:lvlJc w:val="left"/>
      <w:pPr>
        <w:ind w:left="1440" w:hanging="360"/>
      </w:pPr>
      <w:rPr>
        <w:rFonts w:ascii="Courier New" w:hAnsi="Courier New" w:hint="default"/>
      </w:rPr>
    </w:lvl>
    <w:lvl w:ilvl="2" w:tplc="7EF89094" w:tentative="1">
      <w:start w:val="1"/>
      <w:numFmt w:val="bullet"/>
      <w:lvlText w:val=""/>
      <w:lvlJc w:val="left"/>
      <w:pPr>
        <w:ind w:left="2160" w:hanging="360"/>
      </w:pPr>
      <w:rPr>
        <w:rFonts w:ascii="Wingdings" w:hAnsi="Wingdings" w:hint="default"/>
      </w:rPr>
    </w:lvl>
    <w:lvl w:ilvl="3" w:tplc="E83E366E" w:tentative="1">
      <w:start w:val="1"/>
      <w:numFmt w:val="bullet"/>
      <w:lvlText w:val=""/>
      <w:lvlJc w:val="left"/>
      <w:pPr>
        <w:ind w:left="2880" w:hanging="360"/>
      </w:pPr>
      <w:rPr>
        <w:rFonts w:ascii="Symbol" w:hAnsi="Symbol" w:hint="default"/>
      </w:rPr>
    </w:lvl>
    <w:lvl w:ilvl="4" w:tplc="A226371A" w:tentative="1">
      <w:start w:val="1"/>
      <w:numFmt w:val="bullet"/>
      <w:lvlText w:val="o"/>
      <w:lvlJc w:val="left"/>
      <w:pPr>
        <w:ind w:left="3600" w:hanging="360"/>
      </w:pPr>
      <w:rPr>
        <w:rFonts w:ascii="Courier New" w:hAnsi="Courier New" w:hint="default"/>
      </w:rPr>
    </w:lvl>
    <w:lvl w:ilvl="5" w:tplc="389620DE" w:tentative="1">
      <w:start w:val="1"/>
      <w:numFmt w:val="bullet"/>
      <w:lvlText w:val=""/>
      <w:lvlJc w:val="left"/>
      <w:pPr>
        <w:ind w:left="4320" w:hanging="360"/>
      </w:pPr>
      <w:rPr>
        <w:rFonts w:ascii="Wingdings" w:hAnsi="Wingdings" w:hint="default"/>
      </w:rPr>
    </w:lvl>
    <w:lvl w:ilvl="6" w:tplc="26A85B84" w:tentative="1">
      <w:start w:val="1"/>
      <w:numFmt w:val="bullet"/>
      <w:lvlText w:val=""/>
      <w:lvlJc w:val="left"/>
      <w:pPr>
        <w:ind w:left="5040" w:hanging="360"/>
      </w:pPr>
      <w:rPr>
        <w:rFonts w:ascii="Symbol" w:hAnsi="Symbol" w:hint="default"/>
      </w:rPr>
    </w:lvl>
    <w:lvl w:ilvl="7" w:tplc="6C6000A0" w:tentative="1">
      <w:start w:val="1"/>
      <w:numFmt w:val="bullet"/>
      <w:lvlText w:val="o"/>
      <w:lvlJc w:val="left"/>
      <w:pPr>
        <w:ind w:left="5760" w:hanging="360"/>
      </w:pPr>
      <w:rPr>
        <w:rFonts w:ascii="Courier New" w:hAnsi="Courier New" w:hint="default"/>
      </w:rPr>
    </w:lvl>
    <w:lvl w:ilvl="8" w:tplc="5782969C" w:tentative="1">
      <w:start w:val="1"/>
      <w:numFmt w:val="bullet"/>
      <w:lvlText w:val=""/>
      <w:lvlJc w:val="left"/>
      <w:pPr>
        <w:ind w:left="6480" w:hanging="360"/>
      </w:pPr>
      <w:rPr>
        <w:rFonts w:ascii="Wingdings" w:hAnsi="Wingdings" w:hint="default"/>
      </w:rPr>
    </w:lvl>
  </w:abstractNum>
  <w:abstractNum w:abstractNumId="321" w15:restartNumberingAfterBreak="0">
    <w:nsid w:val="3F6F51C0"/>
    <w:multiLevelType w:val="multilevel"/>
    <w:tmpl w:val="DAEE54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2" w15:restartNumberingAfterBreak="0">
    <w:nsid w:val="3FA30952"/>
    <w:multiLevelType w:val="hybridMultilevel"/>
    <w:tmpl w:val="5AE67DC2"/>
    <w:lvl w:ilvl="0" w:tplc="0240BE90">
      <w:start w:val="1"/>
      <w:numFmt w:val="bullet"/>
      <w:lvlText w:val=""/>
      <w:lvlJc w:val="left"/>
      <w:pPr>
        <w:ind w:left="360" w:hanging="360"/>
      </w:pPr>
      <w:rPr>
        <w:rFonts w:ascii="Symbol" w:hAnsi="Symbol" w:hint="default"/>
      </w:rPr>
    </w:lvl>
    <w:lvl w:ilvl="1" w:tplc="17D24E40" w:tentative="1">
      <w:start w:val="1"/>
      <w:numFmt w:val="bullet"/>
      <w:lvlText w:val="o"/>
      <w:lvlJc w:val="left"/>
      <w:pPr>
        <w:ind w:left="1080" w:hanging="360"/>
      </w:pPr>
      <w:rPr>
        <w:rFonts w:ascii="Courier New" w:hAnsi="Courier New" w:hint="default"/>
      </w:rPr>
    </w:lvl>
    <w:lvl w:ilvl="2" w:tplc="542C8914" w:tentative="1">
      <w:start w:val="1"/>
      <w:numFmt w:val="bullet"/>
      <w:lvlText w:val=""/>
      <w:lvlJc w:val="left"/>
      <w:pPr>
        <w:ind w:left="1800" w:hanging="360"/>
      </w:pPr>
      <w:rPr>
        <w:rFonts w:ascii="Wingdings" w:hAnsi="Wingdings" w:hint="default"/>
      </w:rPr>
    </w:lvl>
    <w:lvl w:ilvl="3" w:tplc="3DF42466" w:tentative="1">
      <w:start w:val="1"/>
      <w:numFmt w:val="bullet"/>
      <w:lvlText w:val=""/>
      <w:lvlJc w:val="left"/>
      <w:pPr>
        <w:ind w:left="2520" w:hanging="360"/>
      </w:pPr>
      <w:rPr>
        <w:rFonts w:ascii="Symbol" w:hAnsi="Symbol" w:hint="default"/>
      </w:rPr>
    </w:lvl>
    <w:lvl w:ilvl="4" w:tplc="D3CE34C4" w:tentative="1">
      <w:start w:val="1"/>
      <w:numFmt w:val="bullet"/>
      <w:lvlText w:val="o"/>
      <w:lvlJc w:val="left"/>
      <w:pPr>
        <w:ind w:left="3240" w:hanging="360"/>
      </w:pPr>
      <w:rPr>
        <w:rFonts w:ascii="Courier New" w:hAnsi="Courier New" w:hint="default"/>
      </w:rPr>
    </w:lvl>
    <w:lvl w:ilvl="5" w:tplc="C896A24C" w:tentative="1">
      <w:start w:val="1"/>
      <w:numFmt w:val="bullet"/>
      <w:lvlText w:val=""/>
      <w:lvlJc w:val="left"/>
      <w:pPr>
        <w:ind w:left="3960" w:hanging="360"/>
      </w:pPr>
      <w:rPr>
        <w:rFonts w:ascii="Wingdings" w:hAnsi="Wingdings" w:hint="default"/>
      </w:rPr>
    </w:lvl>
    <w:lvl w:ilvl="6" w:tplc="C49874B6" w:tentative="1">
      <w:start w:val="1"/>
      <w:numFmt w:val="bullet"/>
      <w:lvlText w:val=""/>
      <w:lvlJc w:val="left"/>
      <w:pPr>
        <w:ind w:left="4680" w:hanging="360"/>
      </w:pPr>
      <w:rPr>
        <w:rFonts w:ascii="Symbol" w:hAnsi="Symbol" w:hint="default"/>
      </w:rPr>
    </w:lvl>
    <w:lvl w:ilvl="7" w:tplc="F5EE37CC" w:tentative="1">
      <w:start w:val="1"/>
      <w:numFmt w:val="bullet"/>
      <w:lvlText w:val="o"/>
      <w:lvlJc w:val="left"/>
      <w:pPr>
        <w:ind w:left="5400" w:hanging="360"/>
      </w:pPr>
      <w:rPr>
        <w:rFonts w:ascii="Courier New" w:hAnsi="Courier New" w:hint="default"/>
      </w:rPr>
    </w:lvl>
    <w:lvl w:ilvl="8" w:tplc="FEEAF55C" w:tentative="1">
      <w:start w:val="1"/>
      <w:numFmt w:val="bullet"/>
      <w:lvlText w:val=""/>
      <w:lvlJc w:val="left"/>
      <w:pPr>
        <w:ind w:left="6120" w:hanging="360"/>
      </w:pPr>
      <w:rPr>
        <w:rFonts w:ascii="Wingdings" w:hAnsi="Wingdings" w:hint="default"/>
      </w:rPr>
    </w:lvl>
  </w:abstractNum>
  <w:abstractNum w:abstractNumId="323" w15:restartNumberingAfterBreak="0">
    <w:nsid w:val="3FC4157F"/>
    <w:multiLevelType w:val="hybridMultilevel"/>
    <w:tmpl w:val="9B7A0AFE"/>
    <w:lvl w:ilvl="0" w:tplc="7EFC14C2">
      <w:start w:val="1"/>
      <w:numFmt w:val="bullet"/>
      <w:lvlText w:val=""/>
      <w:lvlJc w:val="left"/>
      <w:pPr>
        <w:ind w:left="780" w:hanging="360"/>
      </w:pPr>
      <w:rPr>
        <w:rFonts w:ascii="Symbol" w:hAnsi="Symbol" w:hint="default"/>
      </w:rPr>
    </w:lvl>
    <w:lvl w:ilvl="1" w:tplc="CD46B5CE" w:tentative="1">
      <w:start w:val="1"/>
      <w:numFmt w:val="bullet"/>
      <w:lvlText w:val="o"/>
      <w:lvlJc w:val="left"/>
      <w:pPr>
        <w:ind w:left="1500" w:hanging="360"/>
      </w:pPr>
      <w:rPr>
        <w:rFonts w:ascii="Courier New" w:hAnsi="Courier New" w:hint="default"/>
      </w:rPr>
    </w:lvl>
    <w:lvl w:ilvl="2" w:tplc="3A40F3DE" w:tentative="1">
      <w:start w:val="1"/>
      <w:numFmt w:val="bullet"/>
      <w:lvlText w:val=""/>
      <w:lvlJc w:val="left"/>
      <w:pPr>
        <w:ind w:left="2220" w:hanging="360"/>
      </w:pPr>
      <w:rPr>
        <w:rFonts w:ascii="Wingdings" w:hAnsi="Wingdings" w:hint="default"/>
      </w:rPr>
    </w:lvl>
    <w:lvl w:ilvl="3" w:tplc="5150F04C" w:tentative="1">
      <w:start w:val="1"/>
      <w:numFmt w:val="bullet"/>
      <w:lvlText w:val=""/>
      <w:lvlJc w:val="left"/>
      <w:pPr>
        <w:ind w:left="2940" w:hanging="360"/>
      </w:pPr>
      <w:rPr>
        <w:rFonts w:ascii="Symbol" w:hAnsi="Symbol" w:hint="default"/>
      </w:rPr>
    </w:lvl>
    <w:lvl w:ilvl="4" w:tplc="2382A660" w:tentative="1">
      <w:start w:val="1"/>
      <w:numFmt w:val="bullet"/>
      <w:lvlText w:val="o"/>
      <w:lvlJc w:val="left"/>
      <w:pPr>
        <w:ind w:left="3660" w:hanging="360"/>
      </w:pPr>
      <w:rPr>
        <w:rFonts w:ascii="Courier New" w:hAnsi="Courier New" w:hint="default"/>
      </w:rPr>
    </w:lvl>
    <w:lvl w:ilvl="5" w:tplc="33D6F76C" w:tentative="1">
      <w:start w:val="1"/>
      <w:numFmt w:val="bullet"/>
      <w:lvlText w:val=""/>
      <w:lvlJc w:val="left"/>
      <w:pPr>
        <w:ind w:left="4380" w:hanging="360"/>
      </w:pPr>
      <w:rPr>
        <w:rFonts w:ascii="Wingdings" w:hAnsi="Wingdings" w:hint="default"/>
      </w:rPr>
    </w:lvl>
    <w:lvl w:ilvl="6" w:tplc="921A9762" w:tentative="1">
      <w:start w:val="1"/>
      <w:numFmt w:val="bullet"/>
      <w:lvlText w:val=""/>
      <w:lvlJc w:val="left"/>
      <w:pPr>
        <w:ind w:left="5100" w:hanging="360"/>
      </w:pPr>
      <w:rPr>
        <w:rFonts w:ascii="Symbol" w:hAnsi="Symbol" w:hint="default"/>
      </w:rPr>
    </w:lvl>
    <w:lvl w:ilvl="7" w:tplc="0C22CC12" w:tentative="1">
      <w:start w:val="1"/>
      <w:numFmt w:val="bullet"/>
      <w:lvlText w:val="o"/>
      <w:lvlJc w:val="left"/>
      <w:pPr>
        <w:ind w:left="5820" w:hanging="360"/>
      </w:pPr>
      <w:rPr>
        <w:rFonts w:ascii="Courier New" w:hAnsi="Courier New" w:hint="default"/>
      </w:rPr>
    </w:lvl>
    <w:lvl w:ilvl="8" w:tplc="511C09CE" w:tentative="1">
      <w:start w:val="1"/>
      <w:numFmt w:val="bullet"/>
      <w:lvlText w:val=""/>
      <w:lvlJc w:val="left"/>
      <w:pPr>
        <w:ind w:left="6540" w:hanging="360"/>
      </w:pPr>
      <w:rPr>
        <w:rFonts w:ascii="Wingdings" w:hAnsi="Wingdings" w:hint="default"/>
      </w:rPr>
    </w:lvl>
  </w:abstractNum>
  <w:abstractNum w:abstractNumId="324" w15:restartNumberingAfterBreak="0">
    <w:nsid w:val="407592EA"/>
    <w:multiLevelType w:val="hybridMultilevel"/>
    <w:tmpl w:val="FFFFFFFF"/>
    <w:lvl w:ilvl="0" w:tplc="376A6A04">
      <w:start w:val="1"/>
      <w:numFmt w:val="bullet"/>
      <w:lvlText w:val=""/>
      <w:lvlJc w:val="left"/>
      <w:pPr>
        <w:ind w:left="720" w:hanging="360"/>
      </w:pPr>
      <w:rPr>
        <w:rFonts w:ascii="Symbol" w:hAnsi="Symbol" w:hint="default"/>
      </w:rPr>
    </w:lvl>
    <w:lvl w:ilvl="1" w:tplc="A490D082">
      <w:start w:val="1"/>
      <w:numFmt w:val="bullet"/>
      <w:lvlText w:val="o"/>
      <w:lvlJc w:val="left"/>
      <w:pPr>
        <w:ind w:left="1440" w:hanging="360"/>
      </w:pPr>
      <w:rPr>
        <w:rFonts w:ascii="Courier New" w:hAnsi="Courier New" w:hint="default"/>
      </w:rPr>
    </w:lvl>
    <w:lvl w:ilvl="2" w:tplc="9EFEFE78">
      <w:start w:val="1"/>
      <w:numFmt w:val="bullet"/>
      <w:lvlText w:val=""/>
      <w:lvlJc w:val="left"/>
      <w:pPr>
        <w:ind w:left="2160" w:hanging="360"/>
      </w:pPr>
      <w:rPr>
        <w:rFonts w:ascii="Wingdings" w:hAnsi="Wingdings" w:hint="default"/>
      </w:rPr>
    </w:lvl>
    <w:lvl w:ilvl="3" w:tplc="E5A4516C">
      <w:start w:val="1"/>
      <w:numFmt w:val="bullet"/>
      <w:lvlText w:val=""/>
      <w:lvlJc w:val="left"/>
      <w:pPr>
        <w:ind w:left="2880" w:hanging="360"/>
      </w:pPr>
      <w:rPr>
        <w:rFonts w:ascii="Symbol" w:hAnsi="Symbol" w:hint="default"/>
      </w:rPr>
    </w:lvl>
    <w:lvl w:ilvl="4" w:tplc="2710EBD2">
      <w:start w:val="1"/>
      <w:numFmt w:val="bullet"/>
      <w:lvlText w:val="o"/>
      <w:lvlJc w:val="left"/>
      <w:pPr>
        <w:ind w:left="3600" w:hanging="360"/>
      </w:pPr>
      <w:rPr>
        <w:rFonts w:ascii="Courier New" w:hAnsi="Courier New" w:hint="default"/>
      </w:rPr>
    </w:lvl>
    <w:lvl w:ilvl="5" w:tplc="75FA905C">
      <w:start w:val="1"/>
      <w:numFmt w:val="bullet"/>
      <w:lvlText w:val=""/>
      <w:lvlJc w:val="left"/>
      <w:pPr>
        <w:ind w:left="4320" w:hanging="360"/>
      </w:pPr>
      <w:rPr>
        <w:rFonts w:ascii="Wingdings" w:hAnsi="Wingdings" w:hint="default"/>
      </w:rPr>
    </w:lvl>
    <w:lvl w:ilvl="6" w:tplc="AF5E38AE">
      <w:start w:val="1"/>
      <w:numFmt w:val="bullet"/>
      <w:lvlText w:val=""/>
      <w:lvlJc w:val="left"/>
      <w:pPr>
        <w:ind w:left="5040" w:hanging="360"/>
      </w:pPr>
      <w:rPr>
        <w:rFonts w:ascii="Symbol" w:hAnsi="Symbol" w:hint="default"/>
      </w:rPr>
    </w:lvl>
    <w:lvl w:ilvl="7" w:tplc="EB606962">
      <w:start w:val="1"/>
      <w:numFmt w:val="bullet"/>
      <w:lvlText w:val="o"/>
      <w:lvlJc w:val="left"/>
      <w:pPr>
        <w:ind w:left="5760" w:hanging="360"/>
      </w:pPr>
      <w:rPr>
        <w:rFonts w:ascii="Courier New" w:hAnsi="Courier New" w:hint="default"/>
      </w:rPr>
    </w:lvl>
    <w:lvl w:ilvl="8" w:tplc="6AAEFDA2">
      <w:start w:val="1"/>
      <w:numFmt w:val="bullet"/>
      <w:lvlText w:val=""/>
      <w:lvlJc w:val="left"/>
      <w:pPr>
        <w:ind w:left="6480" w:hanging="360"/>
      </w:pPr>
      <w:rPr>
        <w:rFonts w:ascii="Wingdings" w:hAnsi="Wingdings" w:hint="default"/>
      </w:rPr>
    </w:lvl>
  </w:abstractNum>
  <w:abstractNum w:abstractNumId="325" w15:restartNumberingAfterBreak="0">
    <w:nsid w:val="414076E7"/>
    <w:multiLevelType w:val="multilevel"/>
    <w:tmpl w:val="B822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15E6B1B"/>
    <w:multiLevelType w:val="hybridMultilevel"/>
    <w:tmpl w:val="63BA2ACC"/>
    <w:lvl w:ilvl="0" w:tplc="BC3AA554">
      <w:start w:val="1"/>
      <w:numFmt w:val="bullet"/>
      <w:lvlText w:val=""/>
      <w:lvlJc w:val="left"/>
      <w:pPr>
        <w:ind w:left="720" w:hanging="360"/>
      </w:pPr>
      <w:rPr>
        <w:rFonts w:ascii="Symbol" w:hAnsi="Symbol" w:hint="default"/>
      </w:rPr>
    </w:lvl>
    <w:lvl w:ilvl="1" w:tplc="1A1AA3B2">
      <w:start w:val="1"/>
      <w:numFmt w:val="bullet"/>
      <w:lvlText w:val="o"/>
      <w:lvlJc w:val="left"/>
      <w:pPr>
        <w:ind w:left="1440" w:hanging="360"/>
      </w:pPr>
      <w:rPr>
        <w:rFonts w:ascii="Courier New" w:hAnsi="Courier New" w:hint="default"/>
      </w:rPr>
    </w:lvl>
    <w:lvl w:ilvl="2" w:tplc="85B4B91A" w:tentative="1">
      <w:start w:val="1"/>
      <w:numFmt w:val="bullet"/>
      <w:lvlText w:val=""/>
      <w:lvlJc w:val="left"/>
      <w:pPr>
        <w:ind w:left="2160" w:hanging="360"/>
      </w:pPr>
      <w:rPr>
        <w:rFonts w:ascii="Wingdings" w:hAnsi="Wingdings" w:hint="default"/>
      </w:rPr>
    </w:lvl>
    <w:lvl w:ilvl="3" w:tplc="B91CF936" w:tentative="1">
      <w:start w:val="1"/>
      <w:numFmt w:val="bullet"/>
      <w:lvlText w:val=""/>
      <w:lvlJc w:val="left"/>
      <w:pPr>
        <w:ind w:left="2880" w:hanging="360"/>
      </w:pPr>
      <w:rPr>
        <w:rFonts w:ascii="Symbol" w:hAnsi="Symbol" w:hint="default"/>
      </w:rPr>
    </w:lvl>
    <w:lvl w:ilvl="4" w:tplc="582E5E96" w:tentative="1">
      <w:start w:val="1"/>
      <w:numFmt w:val="bullet"/>
      <w:lvlText w:val="o"/>
      <w:lvlJc w:val="left"/>
      <w:pPr>
        <w:ind w:left="3600" w:hanging="360"/>
      </w:pPr>
      <w:rPr>
        <w:rFonts w:ascii="Courier New" w:hAnsi="Courier New" w:hint="default"/>
      </w:rPr>
    </w:lvl>
    <w:lvl w:ilvl="5" w:tplc="116CD460" w:tentative="1">
      <w:start w:val="1"/>
      <w:numFmt w:val="bullet"/>
      <w:lvlText w:val=""/>
      <w:lvlJc w:val="left"/>
      <w:pPr>
        <w:ind w:left="4320" w:hanging="360"/>
      </w:pPr>
      <w:rPr>
        <w:rFonts w:ascii="Wingdings" w:hAnsi="Wingdings" w:hint="default"/>
      </w:rPr>
    </w:lvl>
    <w:lvl w:ilvl="6" w:tplc="EA42A514" w:tentative="1">
      <w:start w:val="1"/>
      <w:numFmt w:val="bullet"/>
      <w:lvlText w:val=""/>
      <w:lvlJc w:val="left"/>
      <w:pPr>
        <w:ind w:left="5040" w:hanging="360"/>
      </w:pPr>
      <w:rPr>
        <w:rFonts w:ascii="Symbol" w:hAnsi="Symbol" w:hint="default"/>
      </w:rPr>
    </w:lvl>
    <w:lvl w:ilvl="7" w:tplc="8EB8958C" w:tentative="1">
      <w:start w:val="1"/>
      <w:numFmt w:val="bullet"/>
      <w:lvlText w:val="o"/>
      <w:lvlJc w:val="left"/>
      <w:pPr>
        <w:ind w:left="5760" w:hanging="360"/>
      </w:pPr>
      <w:rPr>
        <w:rFonts w:ascii="Courier New" w:hAnsi="Courier New" w:hint="default"/>
      </w:rPr>
    </w:lvl>
    <w:lvl w:ilvl="8" w:tplc="B302DC2C" w:tentative="1">
      <w:start w:val="1"/>
      <w:numFmt w:val="bullet"/>
      <w:lvlText w:val=""/>
      <w:lvlJc w:val="left"/>
      <w:pPr>
        <w:ind w:left="6480" w:hanging="360"/>
      </w:pPr>
      <w:rPr>
        <w:rFonts w:ascii="Wingdings" w:hAnsi="Wingdings" w:hint="default"/>
      </w:rPr>
    </w:lvl>
  </w:abstractNum>
  <w:abstractNum w:abstractNumId="327" w15:restartNumberingAfterBreak="0">
    <w:nsid w:val="41EC48EB"/>
    <w:multiLevelType w:val="hybridMultilevel"/>
    <w:tmpl w:val="5664C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8" w15:restartNumberingAfterBreak="0">
    <w:nsid w:val="41FB7C39"/>
    <w:multiLevelType w:val="hybridMultilevel"/>
    <w:tmpl w:val="F5C892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9" w15:restartNumberingAfterBreak="0">
    <w:nsid w:val="423A6E0B"/>
    <w:multiLevelType w:val="hybridMultilevel"/>
    <w:tmpl w:val="B84856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0" w15:restartNumberingAfterBreak="0">
    <w:nsid w:val="42520EF0"/>
    <w:multiLevelType w:val="multilevel"/>
    <w:tmpl w:val="85B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2BA0BF0"/>
    <w:multiLevelType w:val="hybridMultilevel"/>
    <w:tmpl w:val="6CA6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2" w15:restartNumberingAfterBreak="0">
    <w:nsid w:val="42C0009E"/>
    <w:multiLevelType w:val="hybridMultilevel"/>
    <w:tmpl w:val="9CB2E40C"/>
    <w:lvl w:ilvl="0" w:tplc="5980F312">
      <w:start w:val="1"/>
      <w:numFmt w:val="bullet"/>
      <w:lvlText w:val="o"/>
      <w:lvlJc w:val="left"/>
      <w:pPr>
        <w:ind w:left="720" w:hanging="360"/>
      </w:pPr>
      <w:rPr>
        <w:rFonts w:ascii="Courier New" w:hAnsi="Courier New" w:hint="default"/>
      </w:rPr>
    </w:lvl>
    <w:lvl w:ilvl="1" w:tplc="B150BB8E" w:tentative="1">
      <w:start w:val="1"/>
      <w:numFmt w:val="bullet"/>
      <w:lvlText w:val="o"/>
      <w:lvlJc w:val="left"/>
      <w:pPr>
        <w:ind w:left="1440" w:hanging="360"/>
      </w:pPr>
      <w:rPr>
        <w:rFonts w:ascii="Courier New" w:hAnsi="Courier New" w:hint="default"/>
      </w:rPr>
    </w:lvl>
    <w:lvl w:ilvl="2" w:tplc="D2E07506" w:tentative="1">
      <w:start w:val="1"/>
      <w:numFmt w:val="bullet"/>
      <w:lvlText w:val=""/>
      <w:lvlJc w:val="left"/>
      <w:pPr>
        <w:ind w:left="2160" w:hanging="360"/>
      </w:pPr>
      <w:rPr>
        <w:rFonts w:ascii="Wingdings" w:hAnsi="Wingdings" w:hint="default"/>
      </w:rPr>
    </w:lvl>
    <w:lvl w:ilvl="3" w:tplc="E870968E" w:tentative="1">
      <w:start w:val="1"/>
      <w:numFmt w:val="bullet"/>
      <w:lvlText w:val=""/>
      <w:lvlJc w:val="left"/>
      <w:pPr>
        <w:ind w:left="2880" w:hanging="360"/>
      </w:pPr>
      <w:rPr>
        <w:rFonts w:ascii="Symbol" w:hAnsi="Symbol" w:hint="default"/>
      </w:rPr>
    </w:lvl>
    <w:lvl w:ilvl="4" w:tplc="517EBFFE" w:tentative="1">
      <w:start w:val="1"/>
      <w:numFmt w:val="bullet"/>
      <w:lvlText w:val="o"/>
      <w:lvlJc w:val="left"/>
      <w:pPr>
        <w:ind w:left="3600" w:hanging="360"/>
      </w:pPr>
      <w:rPr>
        <w:rFonts w:ascii="Courier New" w:hAnsi="Courier New" w:hint="default"/>
      </w:rPr>
    </w:lvl>
    <w:lvl w:ilvl="5" w:tplc="29FACA8E" w:tentative="1">
      <w:start w:val="1"/>
      <w:numFmt w:val="bullet"/>
      <w:lvlText w:val=""/>
      <w:lvlJc w:val="left"/>
      <w:pPr>
        <w:ind w:left="4320" w:hanging="360"/>
      </w:pPr>
      <w:rPr>
        <w:rFonts w:ascii="Wingdings" w:hAnsi="Wingdings" w:hint="default"/>
      </w:rPr>
    </w:lvl>
    <w:lvl w:ilvl="6" w:tplc="51383CAC" w:tentative="1">
      <w:start w:val="1"/>
      <w:numFmt w:val="bullet"/>
      <w:lvlText w:val=""/>
      <w:lvlJc w:val="left"/>
      <w:pPr>
        <w:ind w:left="5040" w:hanging="360"/>
      </w:pPr>
      <w:rPr>
        <w:rFonts w:ascii="Symbol" w:hAnsi="Symbol" w:hint="default"/>
      </w:rPr>
    </w:lvl>
    <w:lvl w:ilvl="7" w:tplc="023E4CA2" w:tentative="1">
      <w:start w:val="1"/>
      <w:numFmt w:val="bullet"/>
      <w:lvlText w:val="o"/>
      <w:lvlJc w:val="left"/>
      <w:pPr>
        <w:ind w:left="5760" w:hanging="360"/>
      </w:pPr>
      <w:rPr>
        <w:rFonts w:ascii="Courier New" w:hAnsi="Courier New" w:hint="default"/>
      </w:rPr>
    </w:lvl>
    <w:lvl w:ilvl="8" w:tplc="47ECAC78" w:tentative="1">
      <w:start w:val="1"/>
      <w:numFmt w:val="bullet"/>
      <w:lvlText w:val=""/>
      <w:lvlJc w:val="left"/>
      <w:pPr>
        <w:ind w:left="6480" w:hanging="360"/>
      </w:pPr>
      <w:rPr>
        <w:rFonts w:ascii="Wingdings" w:hAnsi="Wingdings" w:hint="default"/>
      </w:rPr>
    </w:lvl>
  </w:abstractNum>
  <w:abstractNum w:abstractNumId="333" w15:restartNumberingAfterBreak="0">
    <w:nsid w:val="430A1253"/>
    <w:multiLevelType w:val="hybridMultilevel"/>
    <w:tmpl w:val="4F3639B8"/>
    <w:lvl w:ilvl="0" w:tplc="4112CF8C">
      <w:start w:val="1"/>
      <w:numFmt w:val="bullet"/>
      <w:lvlText w:val=""/>
      <w:lvlJc w:val="left"/>
      <w:pPr>
        <w:ind w:left="1440" w:hanging="360"/>
      </w:pPr>
      <w:rPr>
        <w:rFonts w:ascii="Symbol" w:hAnsi="Symbol" w:hint="default"/>
      </w:rPr>
    </w:lvl>
    <w:lvl w:ilvl="1" w:tplc="B6A67E34" w:tentative="1">
      <w:start w:val="1"/>
      <w:numFmt w:val="bullet"/>
      <w:lvlText w:val="o"/>
      <w:lvlJc w:val="left"/>
      <w:pPr>
        <w:ind w:left="2160" w:hanging="360"/>
      </w:pPr>
      <w:rPr>
        <w:rFonts w:ascii="Courier New" w:hAnsi="Courier New" w:hint="default"/>
      </w:rPr>
    </w:lvl>
    <w:lvl w:ilvl="2" w:tplc="284AFEF8" w:tentative="1">
      <w:start w:val="1"/>
      <w:numFmt w:val="bullet"/>
      <w:lvlText w:val=""/>
      <w:lvlJc w:val="left"/>
      <w:pPr>
        <w:ind w:left="2880" w:hanging="360"/>
      </w:pPr>
      <w:rPr>
        <w:rFonts w:ascii="Wingdings" w:hAnsi="Wingdings" w:hint="default"/>
      </w:rPr>
    </w:lvl>
    <w:lvl w:ilvl="3" w:tplc="FC504962" w:tentative="1">
      <w:start w:val="1"/>
      <w:numFmt w:val="bullet"/>
      <w:lvlText w:val=""/>
      <w:lvlJc w:val="left"/>
      <w:pPr>
        <w:ind w:left="3600" w:hanging="360"/>
      </w:pPr>
      <w:rPr>
        <w:rFonts w:ascii="Symbol" w:hAnsi="Symbol" w:hint="default"/>
      </w:rPr>
    </w:lvl>
    <w:lvl w:ilvl="4" w:tplc="994CA23A" w:tentative="1">
      <w:start w:val="1"/>
      <w:numFmt w:val="bullet"/>
      <w:lvlText w:val="o"/>
      <w:lvlJc w:val="left"/>
      <w:pPr>
        <w:ind w:left="4320" w:hanging="360"/>
      </w:pPr>
      <w:rPr>
        <w:rFonts w:ascii="Courier New" w:hAnsi="Courier New" w:hint="default"/>
      </w:rPr>
    </w:lvl>
    <w:lvl w:ilvl="5" w:tplc="0860BFD4" w:tentative="1">
      <w:start w:val="1"/>
      <w:numFmt w:val="bullet"/>
      <w:lvlText w:val=""/>
      <w:lvlJc w:val="left"/>
      <w:pPr>
        <w:ind w:left="5040" w:hanging="360"/>
      </w:pPr>
      <w:rPr>
        <w:rFonts w:ascii="Wingdings" w:hAnsi="Wingdings" w:hint="default"/>
      </w:rPr>
    </w:lvl>
    <w:lvl w:ilvl="6" w:tplc="A91C3A18" w:tentative="1">
      <w:start w:val="1"/>
      <w:numFmt w:val="bullet"/>
      <w:lvlText w:val=""/>
      <w:lvlJc w:val="left"/>
      <w:pPr>
        <w:ind w:left="5760" w:hanging="360"/>
      </w:pPr>
      <w:rPr>
        <w:rFonts w:ascii="Symbol" w:hAnsi="Symbol" w:hint="default"/>
      </w:rPr>
    </w:lvl>
    <w:lvl w:ilvl="7" w:tplc="0DC4550E" w:tentative="1">
      <w:start w:val="1"/>
      <w:numFmt w:val="bullet"/>
      <w:lvlText w:val="o"/>
      <w:lvlJc w:val="left"/>
      <w:pPr>
        <w:ind w:left="6480" w:hanging="360"/>
      </w:pPr>
      <w:rPr>
        <w:rFonts w:ascii="Courier New" w:hAnsi="Courier New" w:hint="default"/>
      </w:rPr>
    </w:lvl>
    <w:lvl w:ilvl="8" w:tplc="6E52A264" w:tentative="1">
      <w:start w:val="1"/>
      <w:numFmt w:val="bullet"/>
      <w:lvlText w:val=""/>
      <w:lvlJc w:val="left"/>
      <w:pPr>
        <w:ind w:left="7200" w:hanging="360"/>
      </w:pPr>
      <w:rPr>
        <w:rFonts w:ascii="Wingdings" w:hAnsi="Wingdings" w:hint="default"/>
      </w:rPr>
    </w:lvl>
  </w:abstractNum>
  <w:abstractNum w:abstractNumId="334" w15:restartNumberingAfterBreak="0">
    <w:nsid w:val="433D2E27"/>
    <w:multiLevelType w:val="hybridMultilevel"/>
    <w:tmpl w:val="6E4E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5" w15:restartNumberingAfterBreak="0">
    <w:nsid w:val="4398712E"/>
    <w:multiLevelType w:val="multilevel"/>
    <w:tmpl w:val="870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3AC6724"/>
    <w:multiLevelType w:val="hybridMultilevel"/>
    <w:tmpl w:val="D3E6A398"/>
    <w:lvl w:ilvl="0" w:tplc="BBD0C3D2">
      <w:start w:val="1"/>
      <w:numFmt w:val="bullet"/>
      <w:lvlText w:val=""/>
      <w:lvlJc w:val="left"/>
      <w:pPr>
        <w:ind w:left="720" w:hanging="360"/>
      </w:pPr>
      <w:rPr>
        <w:rFonts w:ascii="Symbol" w:hAnsi="Symbol" w:hint="default"/>
      </w:rPr>
    </w:lvl>
    <w:lvl w:ilvl="1" w:tplc="C7882BB2" w:tentative="1">
      <w:start w:val="1"/>
      <w:numFmt w:val="bullet"/>
      <w:lvlText w:val="o"/>
      <w:lvlJc w:val="left"/>
      <w:pPr>
        <w:ind w:left="1440" w:hanging="360"/>
      </w:pPr>
      <w:rPr>
        <w:rFonts w:ascii="Courier New" w:hAnsi="Courier New" w:hint="default"/>
      </w:rPr>
    </w:lvl>
    <w:lvl w:ilvl="2" w:tplc="99F0F798" w:tentative="1">
      <w:start w:val="1"/>
      <w:numFmt w:val="bullet"/>
      <w:lvlText w:val=""/>
      <w:lvlJc w:val="left"/>
      <w:pPr>
        <w:ind w:left="2160" w:hanging="360"/>
      </w:pPr>
      <w:rPr>
        <w:rFonts w:ascii="Wingdings" w:hAnsi="Wingdings" w:hint="default"/>
      </w:rPr>
    </w:lvl>
    <w:lvl w:ilvl="3" w:tplc="2FEE3CE8" w:tentative="1">
      <w:start w:val="1"/>
      <w:numFmt w:val="bullet"/>
      <w:lvlText w:val=""/>
      <w:lvlJc w:val="left"/>
      <w:pPr>
        <w:ind w:left="2880" w:hanging="360"/>
      </w:pPr>
      <w:rPr>
        <w:rFonts w:ascii="Symbol" w:hAnsi="Symbol" w:hint="default"/>
      </w:rPr>
    </w:lvl>
    <w:lvl w:ilvl="4" w:tplc="1AC8F2DA" w:tentative="1">
      <w:start w:val="1"/>
      <w:numFmt w:val="bullet"/>
      <w:lvlText w:val="o"/>
      <w:lvlJc w:val="left"/>
      <w:pPr>
        <w:ind w:left="3600" w:hanging="360"/>
      </w:pPr>
      <w:rPr>
        <w:rFonts w:ascii="Courier New" w:hAnsi="Courier New" w:hint="default"/>
      </w:rPr>
    </w:lvl>
    <w:lvl w:ilvl="5" w:tplc="3B942594" w:tentative="1">
      <w:start w:val="1"/>
      <w:numFmt w:val="bullet"/>
      <w:lvlText w:val=""/>
      <w:lvlJc w:val="left"/>
      <w:pPr>
        <w:ind w:left="4320" w:hanging="360"/>
      </w:pPr>
      <w:rPr>
        <w:rFonts w:ascii="Wingdings" w:hAnsi="Wingdings" w:hint="default"/>
      </w:rPr>
    </w:lvl>
    <w:lvl w:ilvl="6" w:tplc="2AFA407E" w:tentative="1">
      <w:start w:val="1"/>
      <w:numFmt w:val="bullet"/>
      <w:lvlText w:val=""/>
      <w:lvlJc w:val="left"/>
      <w:pPr>
        <w:ind w:left="5040" w:hanging="360"/>
      </w:pPr>
      <w:rPr>
        <w:rFonts w:ascii="Symbol" w:hAnsi="Symbol" w:hint="default"/>
      </w:rPr>
    </w:lvl>
    <w:lvl w:ilvl="7" w:tplc="A33E0832" w:tentative="1">
      <w:start w:val="1"/>
      <w:numFmt w:val="bullet"/>
      <w:lvlText w:val="o"/>
      <w:lvlJc w:val="left"/>
      <w:pPr>
        <w:ind w:left="5760" w:hanging="360"/>
      </w:pPr>
      <w:rPr>
        <w:rFonts w:ascii="Courier New" w:hAnsi="Courier New" w:hint="default"/>
      </w:rPr>
    </w:lvl>
    <w:lvl w:ilvl="8" w:tplc="E8DCF870" w:tentative="1">
      <w:start w:val="1"/>
      <w:numFmt w:val="bullet"/>
      <w:lvlText w:val=""/>
      <w:lvlJc w:val="left"/>
      <w:pPr>
        <w:ind w:left="6480" w:hanging="360"/>
      </w:pPr>
      <w:rPr>
        <w:rFonts w:ascii="Wingdings" w:hAnsi="Wingdings" w:hint="default"/>
      </w:rPr>
    </w:lvl>
  </w:abstractNum>
  <w:abstractNum w:abstractNumId="337" w15:restartNumberingAfterBreak="0">
    <w:nsid w:val="43DF1732"/>
    <w:multiLevelType w:val="hybridMultilevel"/>
    <w:tmpl w:val="67745D6A"/>
    <w:lvl w:ilvl="0" w:tplc="E63081A2">
      <w:start w:val="1"/>
      <w:numFmt w:val="bullet"/>
      <w:lvlText w:val="o"/>
      <w:lvlJc w:val="left"/>
      <w:pPr>
        <w:ind w:left="1004" w:hanging="360"/>
      </w:pPr>
      <w:rPr>
        <w:rFonts w:ascii="Courier New" w:hAnsi="Courier New" w:hint="default"/>
      </w:rPr>
    </w:lvl>
    <w:lvl w:ilvl="1" w:tplc="828EF34A" w:tentative="1">
      <w:start w:val="1"/>
      <w:numFmt w:val="bullet"/>
      <w:lvlText w:val="o"/>
      <w:lvlJc w:val="left"/>
      <w:pPr>
        <w:ind w:left="1724" w:hanging="360"/>
      </w:pPr>
      <w:rPr>
        <w:rFonts w:ascii="Courier New" w:hAnsi="Courier New" w:hint="default"/>
      </w:rPr>
    </w:lvl>
    <w:lvl w:ilvl="2" w:tplc="1C1A98AC" w:tentative="1">
      <w:start w:val="1"/>
      <w:numFmt w:val="bullet"/>
      <w:lvlText w:val=""/>
      <w:lvlJc w:val="left"/>
      <w:pPr>
        <w:ind w:left="2444" w:hanging="360"/>
      </w:pPr>
      <w:rPr>
        <w:rFonts w:ascii="Wingdings" w:hAnsi="Wingdings" w:hint="default"/>
      </w:rPr>
    </w:lvl>
    <w:lvl w:ilvl="3" w:tplc="82F8DC7C" w:tentative="1">
      <w:start w:val="1"/>
      <w:numFmt w:val="bullet"/>
      <w:lvlText w:val=""/>
      <w:lvlJc w:val="left"/>
      <w:pPr>
        <w:ind w:left="3164" w:hanging="360"/>
      </w:pPr>
      <w:rPr>
        <w:rFonts w:ascii="Symbol" w:hAnsi="Symbol" w:hint="default"/>
      </w:rPr>
    </w:lvl>
    <w:lvl w:ilvl="4" w:tplc="30CA02FA" w:tentative="1">
      <w:start w:val="1"/>
      <w:numFmt w:val="bullet"/>
      <w:lvlText w:val="o"/>
      <w:lvlJc w:val="left"/>
      <w:pPr>
        <w:ind w:left="3884" w:hanging="360"/>
      </w:pPr>
      <w:rPr>
        <w:rFonts w:ascii="Courier New" w:hAnsi="Courier New" w:hint="default"/>
      </w:rPr>
    </w:lvl>
    <w:lvl w:ilvl="5" w:tplc="8A6E0D4E" w:tentative="1">
      <w:start w:val="1"/>
      <w:numFmt w:val="bullet"/>
      <w:lvlText w:val=""/>
      <w:lvlJc w:val="left"/>
      <w:pPr>
        <w:ind w:left="4604" w:hanging="360"/>
      </w:pPr>
      <w:rPr>
        <w:rFonts w:ascii="Wingdings" w:hAnsi="Wingdings" w:hint="default"/>
      </w:rPr>
    </w:lvl>
    <w:lvl w:ilvl="6" w:tplc="B68E1048" w:tentative="1">
      <w:start w:val="1"/>
      <w:numFmt w:val="bullet"/>
      <w:lvlText w:val=""/>
      <w:lvlJc w:val="left"/>
      <w:pPr>
        <w:ind w:left="5324" w:hanging="360"/>
      </w:pPr>
      <w:rPr>
        <w:rFonts w:ascii="Symbol" w:hAnsi="Symbol" w:hint="default"/>
      </w:rPr>
    </w:lvl>
    <w:lvl w:ilvl="7" w:tplc="1E7E4894" w:tentative="1">
      <w:start w:val="1"/>
      <w:numFmt w:val="bullet"/>
      <w:lvlText w:val="o"/>
      <w:lvlJc w:val="left"/>
      <w:pPr>
        <w:ind w:left="6044" w:hanging="360"/>
      </w:pPr>
      <w:rPr>
        <w:rFonts w:ascii="Courier New" w:hAnsi="Courier New" w:hint="default"/>
      </w:rPr>
    </w:lvl>
    <w:lvl w:ilvl="8" w:tplc="CA687024" w:tentative="1">
      <w:start w:val="1"/>
      <w:numFmt w:val="bullet"/>
      <w:lvlText w:val=""/>
      <w:lvlJc w:val="left"/>
      <w:pPr>
        <w:ind w:left="6764" w:hanging="360"/>
      </w:pPr>
      <w:rPr>
        <w:rFonts w:ascii="Wingdings" w:hAnsi="Wingdings" w:hint="default"/>
      </w:rPr>
    </w:lvl>
  </w:abstractNum>
  <w:abstractNum w:abstractNumId="338" w15:restartNumberingAfterBreak="0">
    <w:nsid w:val="44147D91"/>
    <w:multiLevelType w:val="multilevel"/>
    <w:tmpl w:val="F448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45CC82A"/>
    <w:multiLevelType w:val="hybridMultilevel"/>
    <w:tmpl w:val="BDB8DAA0"/>
    <w:lvl w:ilvl="0" w:tplc="C00E79E2">
      <w:start w:val="1"/>
      <w:numFmt w:val="bullet"/>
      <w:lvlText w:val="·"/>
      <w:lvlJc w:val="left"/>
      <w:pPr>
        <w:ind w:left="720" w:hanging="360"/>
      </w:pPr>
      <w:rPr>
        <w:rFonts w:ascii="Symbol" w:hAnsi="Symbol" w:hint="default"/>
      </w:rPr>
    </w:lvl>
    <w:lvl w:ilvl="1" w:tplc="603C4C70">
      <w:start w:val="1"/>
      <w:numFmt w:val="bullet"/>
      <w:lvlText w:val="o"/>
      <w:lvlJc w:val="left"/>
      <w:pPr>
        <w:ind w:left="1440" w:hanging="360"/>
      </w:pPr>
      <w:rPr>
        <w:rFonts w:ascii="Courier New" w:hAnsi="Courier New" w:hint="default"/>
      </w:rPr>
    </w:lvl>
    <w:lvl w:ilvl="2" w:tplc="B7CA778A">
      <w:start w:val="1"/>
      <w:numFmt w:val="bullet"/>
      <w:lvlText w:val=""/>
      <w:lvlJc w:val="left"/>
      <w:pPr>
        <w:ind w:left="2160" w:hanging="360"/>
      </w:pPr>
      <w:rPr>
        <w:rFonts w:ascii="Wingdings" w:hAnsi="Wingdings" w:hint="default"/>
      </w:rPr>
    </w:lvl>
    <w:lvl w:ilvl="3" w:tplc="7A8603C8">
      <w:start w:val="1"/>
      <w:numFmt w:val="bullet"/>
      <w:lvlText w:val=""/>
      <w:lvlJc w:val="left"/>
      <w:pPr>
        <w:ind w:left="2880" w:hanging="360"/>
      </w:pPr>
      <w:rPr>
        <w:rFonts w:ascii="Symbol" w:hAnsi="Symbol" w:hint="default"/>
      </w:rPr>
    </w:lvl>
    <w:lvl w:ilvl="4" w:tplc="5274B32C">
      <w:start w:val="1"/>
      <w:numFmt w:val="bullet"/>
      <w:lvlText w:val="o"/>
      <w:lvlJc w:val="left"/>
      <w:pPr>
        <w:ind w:left="3600" w:hanging="360"/>
      </w:pPr>
      <w:rPr>
        <w:rFonts w:ascii="Courier New" w:hAnsi="Courier New" w:hint="default"/>
      </w:rPr>
    </w:lvl>
    <w:lvl w:ilvl="5" w:tplc="1C0A09B6">
      <w:start w:val="1"/>
      <w:numFmt w:val="bullet"/>
      <w:lvlText w:val=""/>
      <w:lvlJc w:val="left"/>
      <w:pPr>
        <w:ind w:left="4320" w:hanging="360"/>
      </w:pPr>
      <w:rPr>
        <w:rFonts w:ascii="Wingdings" w:hAnsi="Wingdings" w:hint="default"/>
      </w:rPr>
    </w:lvl>
    <w:lvl w:ilvl="6" w:tplc="E5941B42">
      <w:start w:val="1"/>
      <w:numFmt w:val="bullet"/>
      <w:lvlText w:val=""/>
      <w:lvlJc w:val="left"/>
      <w:pPr>
        <w:ind w:left="5040" w:hanging="360"/>
      </w:pPr>
      <w:rPr>
        <w:rFonts w:ascii="Symbol" w:hAnsi="Symbol" w:hint="default"/>
      </w:rPr>
    </w:lvl>
    <w:lvl w:ilvl="7" w:tplc="27065C42">
      <w:start w:val="1"/>
      <w:numFmt w:val="bullet"/>
      <w:lvlText w:val="o"/>
      <w:lvlJc w:val="left"/>
      <w:pPr>
        <w:ind w:left="5760" w:hanging="360"/>
      </w:pPr>
      <w:rPr>
        <w:rFonts w:ascii="Courier New" w:hAnsi="Courier New" w:hint="default"/>
      </w:rPr>
    </w:lvl>
    <w:lvl w:ilvl="8" w:tplc="E3FA89CE">
      <w:start w:val="1"/>
      <w:numFmt w:val="bullet"/>
      <w:lvlText w:val=""/>
      <w:lvlJc w:val="left"/>
      <w:pPr>
        <w:ind w:left="6480" w:hanging="360"/>
      </w:pPr>
      <w:rPr>
        <w:rFonts w:ascii="Wingdings" w:hAnsi="Wingdings" w:hint="default"/>
      </w:rPr>
    </w:lvl>
  </w:abstractNum>
  <w:abstractNum w:abstractNumId="340" w15:restartNumberingAfterBreak="0">
    <w:nsid w:val="4485564B"/>
    <w:multiLevelType w:val="hybridMultilevel"/>
    <w:tmpl w:val="800841FA"/>
    <w:lvl w:ilvl="0" w:tplc="E028ED72">
      <w:start w:val="1"/>
      <w:numFmt w:val="bullet"/>
      <w:lvlText w:val=""/>
      <w:lvlJc w:val="left"/>
      <w:pPr>
        <w:ind w:left="768" w:hanging="360"/>
      </w:pPr>
      <w:rPr>
        <w:rFonts w:ascii="Symbol" w:hAnsi="Symbol" w:hint="default"/>
      </w:rPr>
    </w:lvl>
    <w:lvl w:ilvl="1" w:tplc="CA70B3A8" w:tentative="1">
      <w:start w:val="1"/>
      <w:numFmt w:val="bullet"/>
      <w:lvlText w:val="o"/>
      <w:lvlJc w:val="left"/>
      <w:pPr>
        <w:ind w:left="1488" w:hanging="360"/>
      </w:pPr>
      <w:rPr>
        <w:rFonts w:ascii="Courier New" w:hAnsi="Courier New" w:hint="default"/>
      </w:rPr>
    </w:lvl>
    <w:lvl w:ilvl="2" w:tplc="D69CA492" w:tentative="1">
      <w:start w:val="1"/>
      <w:numFmt w:val="bullet"/>
      <w:lvlText w:val=""/>
      <w:lvlJc w:val="left"/>
      <w:pPr>
        <w:ind w:left="2208" w:hanging="360"/>
      </w:pPr>
      <w:rPr>
        <w:rFonts w:ascii="Wingdings" w:hAnsi="Wingdings" w:hint="default"/>
      </w:rPr>
    </w:lvl>
    <w:lvl w:ilvl="3" w:tplc="1E0AE58C" w:tentative="1">
      <w:start w:val="1"/>
      <w:numFmt w:val="bullet"/>
      <w:lvlText w:val=""/>
      <w:lvlJc w:val="left"/>
      <w:pPr>
        <w:ind w:left="2928" w:hanging="360"/>
      </w:pPr>
      <w:rPr>
        <w:rFonts w:ascii="Symbol" w:hAnsi="Symbol" w:hint="default"/>
      </w:rPr>
    </w:lvl>
    <w:lvl w:ilvl="4" w:tplc="D4346222" w:tentative="1">
      <w:start w:val="1"/>
      <w:numFmt w:val="bullet"/>
      <w:lvlText w:val="o"/>
      <w:lvlJc w:val="left"/>
      <w:pPr>
        <w:ind w:left="3648" w:hanging="360"/>
      </w:pPr>
      <w:rPr>
        <w:rFonts w:ascii="Courier New" w:hAnsi="Courier New" w:hint="default"/>
      </w:rPr>
    </w:lvl>
    <w:lvl w:ilvl="5" w:tplc="24EE3C62" w:tentative="1">
      <w:start w:val="1"/>
      <w:numFmt w:val="bullet"/>
      <w:lvlText w:val=""/>
      <w:lvlJc w:val="left"/>
      <w:pPr>
        <w:ind w:left="4368" w:hanging="360"/>
      </w:pPr>
      <w:rPr>
        <w:rFonts w:ascii="Wingdings" w:hAnsi="Wingdings" w:hint="default"/>
      </w:rPr>
    </w:lvl>
    <w:lvl w:ilvl="6" w:tplc="E6D2903C" w:tentative="1">
      <w:start w:val="1"/>
      <w:numFmt w:val="bullet"/>
      <w:lvlText w:val=""/>
      <w:lvlJc w:val="left"/>
      <w:pPr>
        <w:ind w:left="5088" w:hanging="360"/>
      </w:pPr>
      <w:rPr>
        <w:rFonts w:ascii="Symbol" w:hAnsi="Symbol" w:hint="default"/>
      </w:rPr>
    </w:lvl>
    <w:lvl w:ilvl="7" w:tplc="D52EC114" w:tentative="1">
      <w:start w:val="1"/>
      <w:numFmt w:val="bullet"/>
      <w:lvlText w:val="o"/>
      <w:lvlJc w:val="left"/>
      <w:pPr>
        <w:ind w:left="5808" w:hanging="360"/>
      </w:pPr>
      <w:rPr>
        <w:rFonts w:ascii="Courier New" w:hAnsi="Courier New" w:hint="default"/>
      </w:rPr>
    </w:lvl>
    <w:lvl w:ilvl="8" w:tplc="8FB0E3DC" w:tentative="1">
      <w:start w:val="1"/>
      <w:numFmt w:val="bullet"/>
      <w:lvlText w:val=""/>
      <w:lvlJc w:val="left"/>
      <w:pPr>
        <w:ind w:left="6528" w:hanging="360"/>
      </w:pPr>
      <w:rPr>
        <w:rFonts w:ascii="Wingdings" w:hAnsi="Wingdings" w:hint="default"/>
      </w:rPr>
    </w:lvl>
  </w:abstractNum>
  <w:abstractNum w:abstractNumId="341" w15:restartNumberingAfterBreak="0">
    <w:nsid w:val="44D90ABB"/>
    <w:multiLevelType w:val="multilevel"/>
    <w:tmpl w:val="9166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51B89B0"/>
    <w:multiLevelType w:val="hybridMultilevel"/>
    <w:tmpl w:val="A9DA89D0"/>
    <w:lvl w:ilvl="0" w:tplc="50DEB01A">
      <w:start w:val="1"/>
      <w:numFmt w:val="bullet"/>
      <w:lvlText w:val=""/>
      <w:lvlJc w:val="left"/>
      <w:pPr>
        <w:ind w:left="720" w:hanging="360"/>
      </w:pPr>
      <w:rPr>
        <w:rFonts w:ascii="Symbol" w:hAnsi="Symbol" w:hint="default"/>
      </w:rPr>
    </w:lvl>
    <w:lvl w:ilvl="1" w:tplc="541C1BFC">
      <w:start w:val="1"/>
      <w:numFmt w:val="bullet"/>
      <w:lvlText w:val="o"/>
      <w:lvlJc w:val="left"/>
      <w:pPr>
        <w:ind w:left="1440" w:hanging="360"/>
      </w:pPr>
      <w:rPr>
        <w:rFonts w:ascii="Courier New" w:hAnsi="Courier New" w:hint="default"/>
      </w:rPr>
    </w:lvl>
    <w:lvl w:ilvl="2" w:tplc="DB722072">
      <w:start w:val="1"/>
      <w:numFmt w:val="bullet"/>
      <w:lvlText w:val=""/>
      <w:lvlJc w:val="left"/>
      <w:pPr>
        <w:ind w:left="2160" w:hanging="360"/>
      </w:pPr>
      <w:rPr>
        <w:rFonts w:ascii="Wingdings" w:hAnsi="Wingdings" w:hint="default"/>
      </w:rPr>
    </w:lvl>
    <w:lvl w:ilvl="3" w:tplc="288037F8">
      <w:start w:val="1"/>
      <w:numFmt w:val="bullet"/>
      <w:lvlText w:val=""/>
      <w:lvlJc w:val="left"/>
      <w:pPr>
        <w:ind w:left="2880" w:hanging="360"/>
      </w:pPr>
      <w:rPr>
        <w:rFonts w:ascii="Symbol" w:hAnsi="Symbol" w:hint="default"/>
      </w:rPr>
    </w:lvl>
    <w:lvl w:ilvl="4" w:tplc="98685EB6">
      <w:start w:val="1"/>
      <w:numFmt w:val="bullet"/>
      <w:lvlText w:val="o"/>
      <w:lvlJc w:val="left"/>
      <w:pPr>
        <w:ind w:left="3600" w:hanging="360"/>
      </w:pPr>
      <w:rPr>
        <w:rFonts w:ascii="Courier New" w:hAnsi="Courier New" w:hint="default"/>
      </w:rPr>
    </w:lvl>
    <w:lvl w:ilvl="5" w:tplc="FA2633C0">
      <w:start w:val="1"/>
      <w:numFmt w:val="bullet"/>
      <w:lvlText w:val=""/>
      <w:lvlJc w:val="left"/>
      <w:pPr>
        <w:ind w:left="4320" w:hanging="360"/>
      </w:pPr>
      <w:rPr>
        <w:rFonts w:ascii="Wingdings" w:hAnsi="Wingdings" w:hint="default"/>
      </w:rPr>
    </w:lvl>
    <w:lvl w:ilvl="6" w:tplc="99745BCE">
      <w:start w:val="1"/>
      <w:numFmt w:val="bullet"/>
      <w:lvlText w:val=""/>
      <w:lvlJc w:val="left"/>
      <w:pPr>
        <w:ind w:left="5040" w:hanging="360"/>
      </w:pPr>
      <w:rPr>
        <w:rFonts w:ascii="Symbol" w:hAnsi="Symbol" w:hint="default"/>
      </w:rPr>
    </w:lvl>
    <w:lvl w:ilvl="7" w:tplc="84AAFA86">
      <w:start w:val="1"/>
      <w:numFmt w:val="bullet"/>
      <w:lvlText w:val="o"/>
      <w:lvlJc w:val="left"/>
      <w:pPr>
        <w:ind w:left="5760" w:hanging="360"/>
      </w:pPr>
      <w:rPr>
        <w:rFonts w:ascii="Courier New" w:hAnsi="Courier New" w:hint="default"/>
      </w:rPr>
    </w:lvl>
    <w:lvl w:ilvl="8" w:tplc="ABDEFDB4">
      <w:start w:val="1"/>
      <w:numFmt w:val="bullet"/>
      <w:lvlText w:val=""/>
      <w:lvlJc w:val="left"/>
      <w:pPr>
        <w:ind w:left="6480" w:hanging="360"/>
      </w:pPr>
      <w:rPr>
        <w:rFonts w:ascii="Wingdings" w:hAnsi="Wingdings" w:hint="default"/>
      </w:rPr>
    </w:lvl>
  </w:abstractNum>
  <w:abstractNum w:abstractNumId="343" w15:restartNumberingAfterBreak="0">
    <w:nsid w:val="45434CAA"/>
    <w:multiLevelType w:val="hybridMultilevel"/>
    <w:tmpl w:val="0762A34C"/>
    <w:lvl w:ilvl="0" w:tplc="47227A32">
      <w:start w:val="1"/>
      <w:numFmt w:val="bullet"/>
      <w:lvlText w:val=""/>
      <w:lvlJc w:val="left"/>
      <w:pPr>
        <w:ind w:left="780" w:hanging="360"/>
      </w:pPr>
      <w:rPr>
        <w:rFonts w:ascii="Symbol" w:hAnsi="Symbol" w:hint="default"/>
      </w:rPr>
    </w:lvl>
    <w:lvl w:ilvl="1" w:tplc="34224BD8" w:tentative="1">
      <w:start w:val="1"/>
      <w:numFmt w:val="bullet"/>
      <w:lvlText w:val="o"/>
      <w:lvlJc w:val="left"/>
      <w:pPr>
        <w:ind w:left="1500" w:hanging="360"/>
      </w:pPr>
      <w:rPr>
        <w:rFonts w:ascii="Courier New" w:hAnsi="Courier New" w:hint="default"/>
      </w:rPr>
    </w:lvl>
    <w:lvl w:ilvl="2" w:tplc="27D0C4E4" w:tentative="1">
      <w:start w:val="1"/>
      <w:numFmt w:val="bullet"/>
      <w:lvlText w:val=""/>
      <w:lvlJc w:val="left"/>
      <w:pPr>
        <w:ind w:left="2220" w:hanging="360"/>
      </w:pPr>
      <w:rPr>
        <w:rFonts w:ascii="Wingdings" w:hAnsi="Wingdings" w:hint="default"/>
      </w:rPr>
    </w:lvl>
    <w:lvl w:ilvl="3" w:tplc="E6AA8D52" w:tentative="1">
      <w:start w:val="1"/>
      <w:numFmt w:val="bullet"/>
      <w:lvlText w:val=""/>
      <w:lvlJc w:val="left"/>
      <w:pPr>
        <w:ind w:left="2940" w:hanging="360"/>
      </w:pPr>
      <w:rPr>
        <w:rFonts w:ascii="Symbol" w:hAnsi="Symbol" w:hint="default"/>
      </w:rPr>
    </w:lvl>
    <w:lvl w:ilvl="4" w:tplc="1F7C1E04" w:tentative="1">
      <w:start w:val="1"/>
      <w:numFmt w:val="bullet"/>
      <w:lvlText w:val="o"/>
      <w:lvlJc w:val="left"/>
      <w:pPr>
        <w:ind w:left="3660" w:hanging="360"/>
      </w:pPr>
      <w:rPr>
        <w:rFonts w:ascii="Courier New" w:hAnsi="Courier New" w:hint="default"/>
      </w:rPr>
    </w:lvl>
    <w:lvl w:ilvl="5" w:tplc="01266E64" w:tentative="1">
      <w:start w:val="1"/>
      <w:numFmt w:val="bullet"/>
      <w:lvlText w:val=""/>
      <w:lvlJc w:val="left"/>
      <w:pPr>
        <w:ind w:left="4380" w:hanging="360"/>
      </w:pPr>
      <w:rPr>
        <w:rFonts w:ascii="Wingdings" w:hAnsi="Wingdings" w:hint="default"/>
      </w:rPr>
    </w:lvl>
    <w:lvl w:ilvl="6" w:tplc="8466DD4E" w:tentative="1">
      <w:start w:val="1"/>
      <w:numFmt w:val="bullet"/>
      <w:lvlText w:val=""/>
      <w:lvlJc w:val="left"/>
      <w:pPr>
        <w:ind w:left="5100" w:hanging="360"/>
      </w:pPr>
      <w:rPr>
        <w:rFonts w:ascii="Symbol" w:hAnsi="Symbol" w:hint="default"/>
      </w:rPr>
    </w:lvl>
    <w:lvl w:ilvl="7" w:tplc="BD944B8A" w:tentative="1">
      <w:start w:val="1"/>
      <w:numFmt w:val="bullet"/>
      <w:lvlText w:val="o"/>
      <w:lvlJc w:val="left"/>
      <w:pPr>
        <w:ind w:left="5820" w:hanging="360"/>
      </w:pPr>
      <w:rPr>
        <w:rFonts w:ascii="Courier New" w:hAnsi="Courier New" w:hint="default"/>
      </w:rPr>
    </w:lvl>
    <w:lvl w:ilvl="8" w:tplc="4EF20558" w:tentative="1">
      <w:start w:val="1"/>
      <w:numFmt w:val="bullet"/>
      <w:lvlText w:val=""/>
      <w:lvlJc w:val="left"/>
      <w:pPr>
        <w:ind w:left="6540" w:hanging="360"/>
      </w:pPr>
      <w:rPr>
        <w:rFonts w:ascii="Wingdings" w:hAnsi="Wingdings" w:hint="default"/>
      </w:rPr>
    </w:lvl>
  </w:abstractNum>
  <w:abstractNum w:abstractNumId="344" w15:restartNumberingAfterBreak="0">
    <w:nsid w:val="454A6195"/>
    <w:multiLevelType w:val="hybridMultilevel"/>
    <w:tmpl w:val="ACE2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5" w15:restartNumberingAfterBreak="0">
    <w:nsid w:val="455917C5"/>
    <w:multiLevelType w:val="multilevel"/>
    <w:tmpl w:val="393A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56E570F"/>
    <w:multiLevelType w:val="multilevel"/>
    <w:tmpl w:val="37BC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5B91DF9"/>
    <w:multiLevelType w:val="hybridMultilevel"/>
    <w:tmpl w:val="2F60C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8" w15:restartNumberingAfterBreak="0">
    <w:nsid w:val="45BD35A4"/>
    <w:multiLevelType w:val="multilevel"/>
    <w:tmpl w:val="3C36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5BFB647"/>
    <w:multiLevelType w:val="hybridMultilevel"/>
    <w:tmpl w:val="022A526A"/>
    <w:lvl w:ilvl="0" w:tplc="387A2E30">
      <w:start w:val="2"/>
      <w:numFmt w:val="lowerRoman"/>
      <w:lvlText w:val="%1."/>
      <w:lvlJc w:val="right"/>
      <w:pPr>
        <w:ind w:left="720" w:hanging="360"/>
      </w:pPr>
    </w:lvl>
    <w:lvl w:ilvl="1" w:tplc="322C0BA2">
      <w:start w:val="1"/>
      <w:numFmt w:val="lowerLetter"/>
      <w:lvlText w:val="%2."/>
      <w:lvlJc w:val="left"/>
      <w:pPr>
        <w:ind w:left="1440" w:hanging="360"/>
      </w:pPr>
    </w:lvl>
    <w:lvl w:ilvl="2" w:tplc="AC6E8F74">
      <w:start w:val="1"/>
      <w:numFmt w:val="lowerRoman"/>
      <w:lvlText w:val="%3."/>
      <w:lvlJc w:val="right"/>
      <w:pPr>
        <w:ind w:left="2160" w:hanging="180"/>
      </w:pPr>
    </w:lvl>
    <w:lvl w:ilvl="3" w:tplc="BFACDB54">
      <w:start w:val="1"/>
      <w:numFmt w:val="decimal"/>
      <w:lvlText w:val="%4."/>
      <w:lvlJc w:val="left"/>
      <w:pPr>
        <w:ind w:left="2880" w:hanging="360"/>
      </w:pPr>
    </w:lvl>
    <w:lvl w:ilvl="4" w:tplc="D27EA6D4">
      <w:start w:val="1"/>
      <w:numFmt w:val="lowerLetter"/>
      <w:lvlText w:val="%5."/>
      <w:lvlJc w:val="left"/>
      <w:pPr>
        <w:ind w:left="3600" w:hanging="360"/>
      </w:pPr>
    </w:lvl>
    <w:lvl w:ilvl="5" w:tplc="916C53AA">
      <w:start w:val="1"/>
      <w:numFmt w:val="lowerRoman"/>
      <w:lvlText w:val="%6."/>
      <w:lvlJc w:val="right"/>
      <w:pPr>
        <w:ind w:left="4320" w:hanging="180"/>
      </w:pPr>
    </w:lvl>
    <w:lvl w:ilvl="6" w:tplc="3180823A">
      <w:start w:val="1"/>
      <w:numFmt w:val="decimal"/>
      <w:lvlText w:val="%7."/>
      <w:lvlJc w:val="left"/>
      <w:pPr>
        <w:ind w:left="5040" w:hanging="360"/>
      </w:pPr>
    </w:lvl>
    <w:lvl w:ilvl="7" w:tplc="5510D6F6">
      <w:start w:val="1"/>
      <w:numFmt w:val="lowerLetter"/>
      <w:lvlText w:val="%8."/>
      <w:lvlJc w:val="left"/>
      <w:pPr>
        <w:ind w:left="5760" w:hanging="360"/>
      </w:pPr>
    </w:lvl>
    <w:lvl w:ilvl="8" w:tplc="29CA8AFC">
      <w:start w:val="1"/>
      <w:numFmt w:val="lowerRoman"/>
      <w:lvlText w:val="%9."/>
      <w:lvlJc w:val="right"/>
      <w:pPr>
        <w:ind w:left="6480" w:hanging="180"/>
      </w:pPr>
    </w:lvl>
  </w:abstractNum>
  <w:abstractNum w:abstractNumId="350" w15:restartNumberingAfterBreak="0">
    <w:nsid w:val="45EF2FBB"/>
    <w:multiLevelType w:val="hybridMultilevel"/>
    <w:tmpl w:val="944E1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1" w15:restartNumberingAfterBreak="0">
    <w:nsid w:val="460D24D5"/>
    <w:multiLevelType w:val="hybridMultilevel"/>
    <w:tmpl w:val="8278D968"/>
    <w:lvl w:ilvl="0" w:tplc="D5408888">
      <w:start w:val="1"/>
      <w:numFmt w:val="bullet"/>
      <w:lvlText w:val=""/>
      <w:lvlJc w:val="left"/>
      <w:pPr>
        <w:ind w:left="720" w:hanging="360"/>
      </w:pPr>
      <w:rPr>
        <w:rFonts w:ascii="Symbol" w:hAnsi="Symbol" w:hint="default"/>
      </w:rPr>
    </w:lvl>
    <w:lvl w:ilvl="1" w:tplc="7230010A" w:tentative="1">
      <w:start w:val="1"/>
      <w:numFmt w:val="bullet"/>
      <w:lvlText w:val="o"/>
      <w:lvlJc w:val="left"/>
      <w:pPr>
        <w:ind w:left="1440" w:hanging="360"/>
      </w:pPr>
      <w:rPr>
        <w:rFonts w:ascii="Courier New" w:hAnsi="Courier New" w:hint="default"/>
      </w:rPr>
    </w:lvl>
    <w:lvl w:ilvl="2" w:tplc="155853FC" w:tentative="1">
      <w:start w:val="1"/>
      <w:numFmt w:val="bullet"/>
      <w:lvlText w:val=""/>
      <w:lvlJc w:val="left"/>
      <w:pPr>
        <w:ind w:left="2160" w:hanging="360"/>
      </w:pPr>
      <w:rPr>
        <w:rFonts w:ascii="Wingdings" w:hAnsi="Wingdings" w:hint="default"/>
      </w:rPr>
    </w:lvl>
    <w:lvl w:ilvl="3" w:tplc="48F08198" w:tentative="1">
      <w:start w:val="1"/>
      <w:numFmt w:val="bullet"/>
      <w:lvlText w:val=""/>
      <w:lvlJc w:val="left"/>
      <w:pPr>
        <w:ind w:left="2880" w:hanging="360"/>
      </w:pPr>
      <w:rPr>
        <w:rFonts w:ascii="Symbol" w:hAnsi="Symbol" w:hint="default"/>
      </w:rPr>
    </w:lvl>
    <w:lvl w:ilvl="4" w:tplc="1B342418" w:tentative="1">
      <w:start w:val="1"/>
      <w:numFmt w:val="bullet"/>
      <w:lvlText w:val="o"/>
      <w:lvlJc w:val="left"/>
      <w:pPr>
        <w:ind w:left="3600" w:hanging="360"/>
      </w:pPr>
      <w:rPr>
        <w:rFonts w:ascii="Courier New" w:hAnsi="Courier New" w:hint="default"/>
      </w:rPr>
    </w:lvl>
    <w:lvl w:ilvl="5" w:tplc="1DACC4D2" w:tentative="1">
      <w:start w:val="1"/>
      <w:numFmt w:val="bullet"/>
      <w:lvlText w:val=""/>
      <w:lvlJc w:val="left"/>
      <w:pPr>
        <w:ind w:left="4320" w:hanging="360"/>
      </w:pPr>
      <w:rPr>
        <w:rFonts w:ascii="Wingdings" w:hAnsi="Wingdings" w:hint="default"/>
      </w:rPr>
    </w:lvl>
    <w:lvl w:ilvl="6" w:tplc="43A214B8" w:tentative="1">
      <w:start w:val="1"/>
      <w:numFmt w:val="bullet"/>
      <w:lvlText w:val=""/>
      <w:lvlJc w:val="left"/>
      <w:pPr>
        <w:ind w:left="5040" w:hanging="360"/>
      </w:pPr>
      <w:rPr>
        <w:rFonts w:ascii="Symbol" w:hAnsi="Symbol" w:hint="default"/>
      </w:rPr>
    </w:lvl>
    <w:lvl w:ilvl="7" w:tplc="2EDE6842" w:tentative="1">
      <w:start w:val="1"/>
      <w:numFmt w:val="bullet"/>
      <w:lvlText w:val="o"/>
      <w:lvlJc w:val="left"/>
      <w:pPr>
        <w:ind w:left="5760" w:hanging="360"/>
      </w:pPr>
      <w:rPr>
        <w:rFonts w:ascii="Courier New" w:hAnsi="Courier New" w:hint="default"/>
      </w:rPr>
    </w:lvl>
    <w:lvl w:ilvl="8" w:tplc="0F88324A" w:tentative="1">
      <w:start w:val="1"/>
      <w:numFmt w:val="bullet"/>
      <w:lvlText w:val=""/>
      <w:lvlJc w:val="left"/>
      <w:pPr>
        <w:ind w:left="6480" w:hanging="360"/>
      </w:pPr>
      <w:rPr>
        <w:rFonts w:ascii="Wingdings" w:hAnsi="Wingdings" w:hint="default"/>
      </w:rPr>
    </w:lvl>
  </w:abstractNum>
  <w:abstractNum w:abstractNumId="352" w15:restartNumberingAfterBreak="0">
    <w:nsid w:val="46A9109A"/>
    <w:multiLevelType w:val="hybridMultilevel"/>
    <w:tmpl w:val="192048E0"/>
    <w:lvl w:ilvl="0" w:tplc="00C621DC">
      <w:start w:val="1"/>
      <w:numFmt w:val="bullet"/>
      <w:lvlText w:val=""/>
      <w:lvlJc w:val="left"/>
      <w:pPr>
        <w:ind w:left="720" w:hanging="360"/>
      </w:pPr>
      <w:rPr>
        <w:rFonts w:ascii="Symbol" w:hAnsi="Symbol" w:hint="default"/>
      </w:rPr>
    </w:lvl>
    <w:lvl w:ilvl="1" w:tplc="6C462A16" w:tentative="1">
      <w:start w:val="1"/>
      <w:numFmt w:val="bullet"/>
      <w:lvlText w:val="o"/>
      <w:lvlJc w:val="left"/>
      <w:pPr>
        <w:ind w:left="1440" w:hanging="360"/>
      </w:pPr>
      <w:rPr>
        <w:rFonts w:ascii="Courier New" w:hAnsi="Courier New" w:hint="default"/>
      </w:rPr>
    </w:lvl>
    <w:lvl w:ilvl="2" w:tplc="E7AC5B56" w:tentative="1">
      <w:start w:val="1"/>
      <w:numFmt w:val="bullet"/>
      <w:lvlText w:val=""/>
      <w:lvlJc w:val="left"/>
      <w:pPr>
        <w:ind w:left="2160" w:hanging="360"/>
      </w:pPr>
      <w:rPr>
        <w:rFonts w:ascii="Wingdings" w:hAnsi="Wingdings" w:hint="default"/>
      </w:rPr>
    </w:lvl>
    <w:lvl w:ilvl="3" w:tplc="7AE8AEE0" w:tentative="1">
      <w:start w:val="1"/>
      <w:numFmt w:val="bullet"/>
      <w:lvlText w:val=""/>
      <w:lvlJc w:val="left"/>
      <w:pPr>
        <w:ind w:left="2880" w:hanging="360"/>
      </w:pPr>
      <w:rPr>
        <w:rFonts w:ascii="Symbol" w:hAnsi="Symbol" w:hint="default"/>
      </w:rPr>
    </w:lvl>
    <w:lvl w:ilvl="4" w:tplc="503A30F8" w:tentative="1">
      <w:start w:val="1"/>
      <w:numFmt w:val="bullet"/>
      <w:lvlText w:val="o"/>
      <w:lvlJc w:val="left"/>
      <w:pPr>
        <w:ind w:left="3600" w:hanging="360"/>
      </w:pPr>
      <w:rPr>
        <w:rFonts w:ascii="Courier New" w:hAnsi="Courier New" w:hint="default"/>
      </w:rPr>
    </w:lvl>
    <w:lvl w:ilvl="5" w:tplc="E8C20554" w:tentative="1">
      <w:start w:val="1"/>
      <w:numFmt w:val="bullet"/>
      <w:lvlText w:val=""/>
      <w:lvlJc w:val="left"/>
      <w:pPr>
        <w:ind w:left="4320" w:hanging="360"/>
      </w:pPr>
      <w:rPr>
        <w:rFonts w:ascii="Wingdings" w:hAnsi="Wingdings" w:hint="default"/>
      </w:rPr>
    </w:lvl>
    <w:lvl w:ilvl="6" w:tplc="E70A2BCC" w:tentative="1">
      <w:start w:val="1"/>
      <w:numFmt w:val="bullet"/>
      <w:lvlText w:val=""/>
      <w:lvlJc w:val="left"/>
      <w:pPr>
        <w:ind w:left="5040" w:hanging="360"/>
      </w:pPr>
      <w:rPr>
        <w:rFonts w:ascii="Symbol" w:hAnsi="Symbol" w:hint="default"/>
      </w:rPr>
    </w:lvl>
    <w:lvl w:ilvl="7" w:tplc="93C0919A" w:tentative="1">
      <w:start w:val="1"/>
      <w:numFmt w:val="bullet"/>
      <w:lvlText w:val="o"/>
      <w:lvlJc w:val="left"/>
      <w:pPr>
        <w:ind w:left="5760" w:hanging="360"/>
      </w:pPr>
      <w:rPr>
        <w:rFonts w:ascii="Courier New" w:hAnsi="Courier New" w:hint="default"/>
      </w:rPr>
    </w:lvl>
    <w:lvl w:ilvl="8" w:tplc="3D0089EC" w:tentative="1">
      <w:start w:val="1"/>
      <w:numFmt w:val="bullet"/>
      <w:lvlText w:val=""/>
      <w:lvlJc w:val="left"/>
      <w:pPr>
        <w:ind w:left="6480" w:hanging="360"/>
      </w:pPr>
      <w:rPr>
        <w:rFonts w:ascii="Wingdings" w:hAnsi="Wingdings" w:hint="default"/>
      </w:rPr>
    </w:lvl>
  </w:abstractNum>
  <w:abstractNum w:abstractNumId="353" w15:restartNumberingAfterBreak="0">
    <w:nsid w:val="470C5511"/>
    <w:multiLevelType w:val="hybridMultilevel"/>
    <w:tmpl w:val="94D8BAB4"/>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47195C89"/>
    <w:multiLevelType w:val="multilevel"/>
    <w:tmpl w:val="5806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7546F4B"/>
    <w:multiLevelType w:val="hybridMultilevel"/>
    <w:tmpl w:val="D88C0EF6"/>
    <w:lvl w:ilvl="0" w:tplc="779AC902">
      <w:start w:val="1"/>
      <w:numFmt w:val="bullet"/>
      <w:lvlText w:val=""/>
      <w:lvlJc w:val="left"/>
      <w:pPr>
        <w:ind w:left="720" w:hanging="360"/>
      </w:pPr>
      <w:rPr>
        <w:rFonts w:ascii="Symbol" w:hAnsi="Symbol" w:hint="default"/>
      </w:rPr>
    </w:lvl>
    <w:lvl w:ilvl="1" w:tplc="CD3C32A0">
      <w:start w:val="1"/>
      <w:numFmt w:val="bullet"/>
      <w:lvlText w:val="o"/>
      <w:lvlJc w:val="left"/>
      <w:pPr>
        <w:ind w:left="1440" w:hanging="360"/>
      </w:pPr>
      <w:rPr>
        <w:rFonts w:ascii="Courier New" w:hAnsi="Courier New" w:hint="default"/>
      </w:rPr>
    </w:lvl>
    <w:lvl w:ilvl="2" w:tplc="AF8CFA2A">
      <w:start w:val="1"/>
      <w:numFmt w:val="bullet"/>
      <w:lvlText w:val=""/>
      <w:lvlJc w:val="left"/>
      <w:pPr>
        <w:ind w:left="2160" w:hanging="360"/>
      </w:pPr>
      <w:rPr>
        <w:rFonts w:ascii="Wingdings" w:hAnsi="Wingdings" w:hint="default"/>
      </w:rPr>
    </w:lvl>
    <w:lvl w:ilvl="3" w:tplc="DD56BCBE">
      <w:start w:val="1"/>
      <w:numFmt w:val="bullet"/>
      <w:lvlText w:val=""/>
      <w:lvlJc w:val="left"/>
      <w:pPr>
        <w:ind w:left="2880" w:hanging="360"/>
      </w:pPr>
      <w:rPr>
        <w:rFonts w:ascii="Symbol" w:hAnsi="Symbol" w:hint="default"/>
      </w:rPr>
    </w:lvl>
    <w:lvl w:ilvl="4" w:tplc="7036364A">
      <w:start w:val="1"/>
      <w:numFmt w:val="bullet"/>
      <w:lvlText w:val="o"/>
      <w:lvlJc w:val="left"/>
      <w:pPr>
        <w:ind w:left="3600" w:hanging="360"/>
      </w:pPr>
      <w:rPr>
        <w:rFonts w:ascii="Courier New" w:hAnsi="Courier New" w:hint="default"/>
      </w:rPr>
    </w:lvl>
    <w:lvl w:ilvl="5" w:tplc="18E46768">
      <w:start w:val="1"/>
      <w:numFmt w:val="bullet"/>
      <w:lvlText w:val=""/>
      <w:lvlJc w:val="left"/>
      <w:pPr>
        <w:ind w:left="4320" w:hanging="360"/>
      </w:pPr>
      <w:rPr>
        <w:rFonts w:ascii="Wingdings" w:hAnsi="Wingdings" w:hint="default"/>
      </w:rPr>
    </w:lvl>
    <w:lvl w:ilvl="6" w:tplc="A23410BE">
      <w:start w:val="1"/>
      <w:numFmt w:val="bullet"/>
      <w:lvlText w:val=""/>
      <w:lvlJc w:val="left"/>
      <w:pPr>
        <w:ind w:left="5040" w:hanging="360"/>
      </w:pPr>
      <w:rPr>
        <w:rFonts w:ascii="Symbol" w:hAnsi="Symbol" w:hint="default"/>
      </w:rPr>
    </w:lvl>
    <w:lvl w:ilvl="7" w:tplc="B1720C34">
      <w:start w:val="1"/>
      <w:numFmt w:val="bullet"/>
      <w:lvlText w:val="o"/>
      <w:lvlJc w:val="left"/>
      <w:pPr>
        <w:ind w:left="5760" w:hanging="360"/>
      </w:pPr>
      <w:rPr>
        <w:rFonts w:ascii="Courier New" w:hAnsi="Courier New" w:hint="default"/>
      </w:rPr>
    </w:lvl>
    <w:lvl w:ilvl="8" w:tplc="A014B0A8">
      <w:start w:val="1"/>
      <w:numFmt w:val="bullet"/>
      <w:lvlText w:val=""/>
      <w:lvlJc w:val="left"/>
      <w:pPr>
        <w:ind w:left="6480" w:hanging="360"/>
      </w:pPr>
      <w:rPr>
        <w:rFonts w:ascii="Wingdings" w:hAnsi="Wingdings" w:hint="default"/>
      </w:rPr>
    </w:lvl>
  </w:abstractNum>
  <w:abstractNum w:abstractNumId="356" w15:restartNumberingAfterBreak="0">
    <w:nsid w:val="47A14956"/>
    <w:multiLevelType w:val="hybridMultilevel"/>
    <w:tmpl w:val="FFFFFFFF"/>
    <w:lvl w:ilvl="0" w:tplc="09B849C0">
      <w:start w:val="1"/>
      <w:numFmt w:val="bullet"/>
      <w:lvlText w:val="·"/>
      <w:lvlJc w:val="left"/>
      <w:pPr>
        <w:ind w:left="720" w:hanging="360"/>
      </w:pPr>
      <w:rPr>
        <w:rFonts w:ascii="Symbol" w:hAnsi="Symbol" w:hint="default"/>
      </w:rPr>
    </w:lvl>
    <w:lvl w:ilvl="1" w:tplc="C33A0AEE">
      <w:start w:val="1"/>
      <w:numFmt w:val="bullet"/>
      <w:lvlText w:val="o"/>
      <w:lvlJc w:val="left"/>
      <w:pPr>
        <w:ind w:left="1440" w:hanging="360"/>
      </w:pPr>
      <w:rPr>
        <w:rFonts w:ascii="Courier New" w:hAnsi="Courier New" w:hint="default"/>
      </w:rPr>
    </w:lvl>
    <w:lvl w:ilvl="2" w:tplc="9BDE2AC4">
      <w:start w:val="1"/>
      <w:numFmt w:val="bullet"/>
      <w:lvlText w:val=""/>
      <w:lvlJc w:val="left"/>
      <w:pPr>
        <w:ind w:left="2160" w:hanging="360"/>
      </w:pPr>
      <w:rPr>
        <w:rFonts w:ascii="Wingdings" w:hAnsi="Wingdings" w:hint="default"/>
      </w:rPr>
    </w:lvl>
    <w:lvl w:ilvl="3" w:tplc="E53A9F8E">
      <w:start w:val="1"/>
      <w:numFmt w:val="bullet"/>
      <w:lvlText w:val=""/>
      <w:lvlJc w:val="left"/>
      <w:pPr>
        <w:ind w:left="2880" w:hanging="360"/>
      </w:pPr>
      <w:rPr>
        <w:rFonts w:ascii="Symbol" w:hAnsi="Symbol" w:hint="default"/>
      </w:rPr>
    </w:lvl>
    <w:lvl w:ilvl="4" w:tplc="8168F656">
      <w:start w:val="1"/>
      <w:numFmt w:val="bullet"/>
      <w:lvlText w:val="o"/>
      <w:lvlJc w:val="left"/>
      <w:pPr>
        <w:ind w:left="3600" w:hanging="360"/>
      </w:pPr>
      <w:rPr>
        <w:rFonts w:ascii="Courier New" w:hAnsi="Courier New" w:hint="default"/>
      </w:rPr>
    </w:lvl>
    <w:lvl w:ilvl="5" w:tplc="D556CF2C">
      <w:start w:val="1"/>
      <w:numFmt w:val="bullet"/>
      <w:lvlText w:val=""/>
      <w:lvlJc w:val="left"/>
      <w:pPr>
        <w:ind w:left="4320" w:hanging="360"/>
      </w:pPr>
      <w:rPr>
        <w:rFonts w:ascii="Wingdings" w:hAnsi="Wingdings" w:hint="default"/>
      </w:rPr>
    </w:lvl>
    <w:lvl w:ilvl="6" w:tplc="748EE75A">
      <w:start w:val="1"/>
      <w:numFmt w:val="bullet"/>
      <w:lvlText w:val=""/>
      <w:lvlJc w:val="left"/>
      <w:pPr>
        <w:ind w:left="5040" w:hanging="360"/>
      </w:pPr>
      <w:rPr>
        <w:rFonts w:ascii="Symbol" w:hAnsi="Symbol" w:hint="default"/>
      </w:rPr>
    </w:lvl>
    <w:lvl w:ilvl="7" w:tplc="FA9CCE64">
      <w:start w:val="1"/>
      <w:numFmt w:val="bullet"/>
      <w:lvlText w:val="o"/>
      <w:lvlJc w:val="left"/>
      <w:pPr>
        <w:ind w:left="5760" w:hanging="360"/>
      </w:pPr>
      <w:rPr>
        <w:rFonts w:ascii="Courier New" w:hAnsi="Courier New" w:hint="default"/>
      </w:rPr>
    </w:lvl>
    <w:lvl w:ilvl="8" w:tplc="855459A2">
      <w:start w:val="1"/>
      <w:numFmt w:val="bullet"/>
      <w:lvlText w:val=""/>
      <w:lvlJc w:val="left"/>
      <w:pPr>
        <w:ind w:left="6480" w:hanging="360"/>
      </w:pPr>
      <w:rPr>
        <w:rFonts w:ascii="Wingdings" w:hAnsi="Wingdings" w:hint="default"/>
      </w:rPr>
    </w:lvl>
  </w:abstractNum>
  <w:abstractNum w:abstractNumId="357" w15:restartNumberingAfterBreak="0">
    <w:nsid w:val="48192494"/>
    <w:multiLevelType w:val="multilevel"/>
    <w:tmpl w:val="F17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85E73A0"/>
    <w:multiLevelType w:val="hybridMultilevel"/>
    <w:tmpl w:val="27E02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9" w15:restartNumberingAfterBreak="0">
    <w:nsid w:val="48855A4B"/>
    <w:multiLevelType w:val="hybridMultilevel"/>
    <w:tmpl w:val="67CEE87E"/>
    <w:lvl w:ilvl="0" w:tplc="EF3A4542">
      <w:start w:val="1"/>
      <w:numFmt w:val="bullet"/>
      <w:lvlText w:val=""/>
      <w:lvlJc w:val="left"/>
      <w:pPr>
        <w:ind w:left="720" w:hanging="360"/>
      </w:pPr>
      <w:rPr>
        <w:rFonts w:ascii="Symbol" w:hAnsi="Symbol" w:hint="default"/>
      </w:rPr>
    </w:lvl>
    <w:lvl w:ilvl="1" w:tplc="519AEEC8" w:tentative="1">
      <w:start w:val="1"/>
      <w:numFmt w:val="bullet"/>
      <w:lvlText w:val="o"/>
      <w:lvlJc w:val="left"/>
      <w:pPr>
        <w:ind w:left="1440" w:hanging="360"/>
      </w:pPr>
      <w:rPr>
        <w:rFonts w:ascii="Courier New" w:hAnsi="Courier New" w:hint="default"/>
      </w:rPr>
    </w:lvl>
    <w:lvl w:ilvl="2" w:tplc="160055D6" w:tentative="1">
      <w:start w:val="1"/>
      <w:numFmt w:val="bullet"/>
      <w:lvlText w:val=""/>
      <w:lvlJc w:val="left"/>
      <w:pPr>
        <w:ind w:left="2160" w:hanging="360"/>
      </w:pPr>
      <w:rPr>
        <w:rFonts w:ascii="Wingdings" w:hAnsi="Wingdings" w:hint="default"/>
      </w:rPr>
    </w:lvl>
    <w:lvl w:ilvl="3" w:tplc="8CBC7950" w:tentative="1">
      <w:start w:val="1"/>
      <w:numFmt w:val="bullet"/>
      <w:lvlText w:val=""/>
      <w:lvlJc w:val="left"/>
      <w:pPr>
        <w:ind w:left="2880" w:hanging="360"/>
      </w:pPr>
      <w:rPr>
        <w:rFonts w:ascii="Symbol" w:hAnsi="Symbol" w:hint="default"/>
      </w:rPr>
    </w:lvl>
    <w:lvl w:ilvl="4" w:tplc="55260BAA" w:tentative="1">
      <w:start w:val="1"/>
      <w:numFmt w:val="bullet"/>
      <w:lvlText w:val="o"/>
      <w:lvlJc w:val="left"/>
      <w:pPr>
        <w:ind w:left="3600" w:hanging="360"/>
      </w:pPr>
      <w:rPr>
        <w:rFonts w:ascii="Courier New" w:hAnsi="Courier New" w:hint="default"/>
      </w:rPr>
    </w:lvl>
    <w:lvl w:ilvl="5" w:tplc="D1C4CAFE" w:tentative="1">
      <w:start w:val="1"/>
      <w:numFmt w:val="bullet"/>
      <w:lvlText w:val=""/>
      <w:lvlJc w:val="left"/>
      <w:pPr>
        <w:ind w:left="4320" w:hanging="360"/>
      </w:pPr>
      <w:rPr>
        <w:rFonts w:ascii="Wingdings" w:hAnsi="Wingdings" w:hint="default"/>
      </w:rPr>
    </w:lvl>
    <w:lvl w:ilvl="6" w:tplc="238C1C40" w:tentative="1">
      <w:start w:val="1"/>
      <w:numFmt w:val="bullet"/>
      <w:lvlText w:val=""/>
      <w:lvlJc w:val="left"/>
      <w:pPr>
        <w:ind w:left="5040" w:hanging="360"/>
      </w:pPr>
      <w:rPr>
        <w:rFonts w:ascii="Symbol" w:hAnsi="Symbol" w:hint="default"/>
      </w:rPr>
    </w:lvl>
    <w:lvl w:ilvl="7" w:tplc="2132F4C2" w:tentative="1">
      <w:start w:val="1"/>
      <w:numFmt w:val="bullet"/>
      <w:lvlText w:val="o"/>
      <w:lvlJc w:val="left"/>
      <w:pPr>
        <w:ind w:left="5760" w:hanging="360"/>
      </w:pPr>
      <w:rPr>
        <w:rFonts w:ascii="Courier New" w:hAnsi="Courier New" w:hint="default"/>
      </w:rPr>
    </w:lvl>
    <w:lvl w:ilvl="8" w:tplc="57783316" w:tentative="1">
      <w:start w:val="1"/>
      <w:numFmt w:val="bullet"/>
      <w:lvlText w:val=""/>
      <w:lvlJc w:val="left"/>
      <w:pPr>
        <w:ind w:left="6480" w:hanging="360"/>
      </w:pPr>
      <w:rPr>
        <w:rFonts w:ascii="Wingdings" w:hAnsi="Wingdings" w:hint="default"/>
      </w:rPr>
    </w:lvl>
  </w:abstractNum>
  <w:abstractNum w:abstractNumId="360" w15:restartNumberingAfterBreak="0">
    <w:nsid w:val="48873485"/>
    <w:multiLevelType w:val="hybridMultilevel"/>
    <w:tmpl w:val="AEBA94E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1" w15:restartNumberingAfterBreak="0">
    <w:nsid w:val="48911E3B"/>
    <w:multiLevelType w:val="hybridMultilevel"/>
    <w:tmpl w:val="D44AA264"/>
    <w:lvl w:ilvl="0" w:tplc="01045C8E">
      <w:start w:val="1"/>
      <w:numFmt w:val="bullet"/>
      <w:lvlText w:val=""/>
      <w:lvlJc w:val="left"/>
      <w:pPr>
        <w:ind w:left="720" w:hanging="360"/>
      </w:pPr>
      <w:rPr>
        <w:rFonts w:ascii="Symbol" w:hAnsi="Symbol" w:hint="default"/>
      </w:rPr>
    </w:lvl>
    <w:lvl w:ilvl="1" w:tplc="4C001612" w:tentative="1">
      <w:start w:val="1"/>
      <w:numFmt w:val="bullet"/>
      <w:lvlText w:val="o"/>
      <w:lvlJc w:val="left"/>
      <w:pPr>
        <w:ind w:left="1440" w:hanging="360"/>
      </w:pPr>
      <w:rPr>
        <w:rFonts w:ascii="Courier New" w:hAnsi="Courier New" w:hint="default"/>
      </w:rPr>
    </w:lvl>
    <w:lvl w:ilvl="2" w:tplc="26366F08" w:tentative="1">
      <w:start w:val="1"/>
      <w:numFmt w:val="bullet"/>
      <w:lvlText w:val=""/>
      <w:lvlJc w:val="left"/>
      <w:pPr>
        <w:ind w:left="2160" w:hanging="360"/>
      </w:pPr>
      <w:rPr>
        <w:rFonts w:ascii="Wingdings" w:hAnsi="Wingdings" w:hint="default"/>
      </w:rPr>
    </w:lvl>
    <w:lvl w:ilvl="3" w:tplc="F5B6F8F8" w:tentative="1">
      <w:start w:val="1"/>
      <w:numFmt w:val="bullet"/>
      <w:lvlText w:val=""/>
      <w:lvlJc w:val="left"/>
      <w:pPr>
        <w:ind w:left="2880" w:hanging="360"/>
      </w:pPr>
      <w:rPr>
        <w:rFonts w:ascii="Symbol" w:hAnsi="Symbol" w:hint="default"/>
      </w:rPr>
    </w:lvl>
    <w:lvl w:ilvl="4" w:tplc="DD106798" w:tentative="1">
      <w:start w:val="1"/>
      <w:numFmt w:val="bullet"/>
      <w:lvlText w:val="o"/>
      <w:lvlJc w:val="left"/>
      <w:pPr>
        <w:ind w:left="3600" w:hanging="360"/>
      </w:pPr>
      <w:rPr>
        <w:rFonts w:ascii="Courier New" w:hAnsi="Courier New" w:hint="default"/>
      </w:rPr>
    </w:lvl>
    <w:lvl w:ilvl="5" w:tplc="CFB84D86" w:tentative="1">
      <w:start w:val="1"/>
      <w:numFmt w:val="bullet"/>
      <w:lvlText w:val=""/>
      <w:lvlJc w:val="left"/>
      <w:pPr>
        <w:ind w:left="4320" w:hanging="360"/>
      </w:pPr>
      <w:rPr>
        <w:rFonts w:ascii="Wingdings" w:hAnsi="Wingdings" w:hint="default"/>
      </w:rPr>
    </w:lvl>
    <w:lvl w:ilvl="6" w:tplc="A21CA3E8" w:tentative="1">
      <w:start w:val="1"/>
      <w:numFmt w:val="bullet"/>
      <w:lvlText w:val=""/>
      <w:lvlJc w:val="left"/>
      <w:pPr>
        <w:ind w:left="5040" w:hanging="360"/>
      </w:pPr>
      <w:rPr>
        <w:rFonts w:ascii="Symbol" w:hAnsi="Symbol" w:hint="default"/>
      </w:rPr>
    </w:lvl>
    <w:lvl w:ilvl="7" w:tplc="A460AA98" w:tentative="1">
      <w:start w:val="1"/>
      <w:numFmt w:val="bullet"/>
      <w:lvlText w:val="o"/>
      <w:lvlJc w:val="left"/>
      <w:pPr>
        <w:ind w:left="5760" w:hanging="360"/>
      </w:pPr>
      <w:rPr>
        <w:rFonts w:ascii="Courier New" w:hAnsi="Courier New" w:hint="default"/>
      </w:rPr>
    </w:lvl>
    <w:lvl w:ilvl="8" w:tplc="27CC4846" w:tentative="1">
      <w:start w:val="1"/>
      <w:numFmt w:val="bullet"/>
      <w:lvlText w:val=""/>
      <w:lvlJc w:val="left"/>
      <w:pPr>
        <w:ind w:left="6480" w:hanging="360"/>
      </w:pPr>
      <w:rPr>
        <w:rFonts w:ascii="Wingdings" w:hAnsi="Wingdings" w:hint="default"/>
      </w:rPr>
    </w:lvl>
  </w:abstractNum>
  <w:abstractNum w:abstractNumId="362" w15:restartNumberingAfterBreak="0">
    <w:nsid w:val="4893833B"/>
    <w:multiLevelType w:val="hybridMultilevel"/>
    <w:tmpl w:val="FFFFFFFF"/>
    <w:lvl w:ilvl="0" w:tplc="BA7A5778">
      <w:start w:val="1"/>
      <w:numFmt w:val="bullet"/>
      <w:lvlText w:val=""/>
      <w:lvlJc w:val="left"/>
      <w:pPr>
        <w:ind w:left="1080" w:hanging="360"/>
      </w:pPr>
      <w:rPr>
        <w:rFonts w:ascii="Symbol" w:hAnsi="Symbol" w:hint="default"/>
      </w:rPr>
    </w:lvl>
    <w:lvl w:ilvl="1" w:tplc="06589CDC">
      <w:start w:val="1"/>
      <w:numFmt w:val="bullet"/>
      <w:lvlText w:val="o"/>
      <w:lvlJc w:val="left"/>
      <w:pPr>
        <w:ind w:left="1800" w:hanging="360"/>
      </w:pPr>
      <w:rPr>
        <w:rFonts w:ascii="Courier New" w:hAnsi="Courier New" w:hint="default"/>
      </w:rPr>
    </w:lvl>
    <w:lvl w:ilvl="2" w:tplc="20A60560">
      <w:start w:val="1"/>
      <w:numFmt w:val="bullet"/>
      <w:lvlText w:val=""/>
      <w:lvlJc w:val="left"/>
      <w:pPr>
        <w:ind w:left="2520" w:hanging="360"/>
      </w:pPr>
      <w:rPr>
        <w:rFonts w:ascii="Wingdings" w:hAnsi="Wingdings" w:hint="default"/>
      </w:rPr>
    </w:lvl>
    <w:lvl w:ilvl="3" w:tplc="81448542">
      <w:start w:val="1"/>
      <w:numFmt w:val="bullet"/>
      <w:lvlText w:val=""/>
      <w:lvlJc w:val="left"/>
      <w:pPr>
        <w:ind w:left="3240" w:hanging="360"/>
      </w:pPr>
      <w:rPr>
        <w:rFonts w:ascii="Symbol" w:hAnsi="Symbol" w:hint="default"/>
      </w:rPr>
    </w:lvl>
    <w:lvl w:ilvl="4" w:tplc="C70223D2">
      <w:start w:val="1"/>
      <w:numFmt w:val="bullet"/>
      <w:lvlText w:val="o"/>
      <w:lvlJc w:val="left"/>
      <w:pPr>
        <w:ind w:left="3960" w:hanging="360"/>
      </w:pPr>
      <w:rPr>
        <w:rFonts w:ascii="Courier New" w:hAnsi="Courier New" w:hint="default"/>
      </w:rPr>
    </w:lvl>
    <w:lvl w:ilvl="5" w:tplc="8D022A62">
      <w:start w:val="1"/>
      <w:numFmt w:val="bullet"/>
      <w:lvlText w:val=""/>
      <w:lvlJc w:val="left"/>
      <w:pPr>
        <w:ind w:left="4680" w:hanging="360"/>
      </w:pPr>
      <w:rPr>
        <w:rFonts w:ascii="Wingdings" w:hAnsi="Wingdings" w:hint="default"/>
      </w:rPr>
    </w:lvl>
    <w:lvl w:ilvl="6" w:tplc="72C68E56">
      <w:start w:val="1"/>
      <w:numFmt w:val="bullet"/>
      <w:lvlText w:val=""/>
      <w:lvlJc w:val="left"/>
      <w:pPr>
        <w:ind w:left="5400" w:hanging="360"/>
      </w:pPr>
      <w:rPr>
        <w:rFonts w:ascii="Symbol" w:hAnsi="Symbol" w:hint="default"/>
      </w:rPr>
    </w:lvl>
    <w:lvl w:ilvl="7" w:tplc="08200412">
      <w:start w:val="1"/>
      <w:numFmt w:val="bullet"/>
      <w:lvlText w:val="o"/>
      <w:lvlJc w:val="left"/>
      <w:pPr>
        <w:ind w:left="6120" w:hanging="360"/>
      </w:pPr>
      <w:rPr>
        <w:rFonts w:ascii="Courier New" w:hAnsi="Courier New" w:hint="default"/>
      </w:rPr>
    </w:lvl>
    <w:lvl w:ilvl="8" w:tplc="9124B1B4">
      <w:start w:val="1"/>
      <w:numFmt w:val="bullet"/>
      <w:lvlText w:val=""/>
      <w:lvlJc w:val="left"/>
      <w:pPr>
        <w:ind w:left="6840" w:hanging="360"/>
      </w:pPr>
      <w:rPr>
        <w:rFonts w:ascii="Wingdings" w:hAnsi="Wingdings" w:hint="default"/>
      </w:rPr>
    </w:lvl>
  </w:abstractNum>
  <w:abstractNum w:abstractNumId="363" w15:restartNumberingAfterBreak="0">
    <w:nsid w:val="48DBB5E3"/>
    <w:multiLevelType w:val="hybridMultilevel"/>
    <w:tmpl w:val="FFFFFFFF"/>
    <w:lvl w:ilvl="0" w:tplc="9698E2D0">
      <w:start w:val="1"/>
      <w:numFmt w:val="bullet"/>
      <w:lvlText w:val=""/>
      <w:lvlJc w:val="left"/>
      <w:pPr>
        <w:ind w:left="720" w:hanging="360"/>
      </w:pPr>
      <w:rPr>
        <w:rFonts w:ascii="Symbol" w:hAnsi="Symbol" w:hint="default"/>
      </w:rPr>
    </w:lvl>
    <w:lvl w:ilvl="1" w:tplc="FE1AD7F6">
      <w:start w:val="1"/>
      <w:numFmt w:val="bullet"/>
      <w:lvlText w:val="o"/>
      <w:lvlJc w:val="left"/>
      <w:pPr>
        <w:ind w:left="1440" w:hanging="360"/>
      </w:pPr>
      <w:rPr>
        <w:rFonts w:ascii="Courier New" w:hAnsi="Courier New" w:hint="default"/>
      </w:rPr>
    </w:lvl>
    <w:lvl w:ilvl="2" w:tplc="79C4C478">
      <w:start w:val="1"/>
      <w:numFmt w:val="bullet"/>
      <w:lvlText w:val=""/>
      <w:lvlJc w:val="left"/>
      <w:pPr>
        <w:ind w:left="2160" w:hanging="360"/>
      </w:pPr>
      <w:rPr>
        <w:rFonts w:ascii="Wingdings" w:hAnsi="Wingdings" w:hint="default"/>
      </w:rPr>
    </w:lvl>
    <w:lvl w:ilvl="3" w:tplc="D200C47A">
      <w:start w:val="1"/>
      <w:numFmt w:val="bullet"/>
      <w:lvlText w:val=""/>
      <w:lvlJc w:val="left"/>
      <w:pPr>
        <w:ind w:left="2880" w:hanging="360"/>
      </w:pPr>
      <w:rPr>
        <w:rFonts w:ascii="Symbol" w:hAnsi="Symbol" w:hint="default"/>
      </w:rPr>
    </w:lvl>
    <w:lvl w:ilvl="4" w:tplc="FD5676B0">
      <w:start w:val="1"/>
      <w:numFmt w:val="bullet"/>
      <w:lvlText w:val="o"/>
      <w:lvlJc w:val="left"/>
      <w:pPr>
        <w:ind w:left="3600" w:hanging="360"/>
      </w:pPr>
      <w:rPr>
        <w:rFonts w:ascii="Courier New" w:hAnsi="Courier New" w:hint="default"/>
      </w:rPr>
    </w:lvl>
    <w:lvl w:ilvl="5" w:tplc="9E5836A4">
      <w:start w:val="1"/>
      <w:numFmt w:val="bullet"/>
      <w:lvlText w:val=""/>
      <w:lvlJc w:val="left"/>
      <w:pPr>
        <w:ind w:left="4320" w:hanging="360"/>
      </w:pPr>
      <w:rPr>
        <w:rFonts w:ascii="Wingdings" w:hAnsi="Wingdings" w:hint="default"/>
      </w:rPr>
    </w:lvl>
    <w:lvl w:ilvl="6" w:tplc="9D70790C">
      <w:start w:val="1"/>
      <w:numFmt w:val="bullet"/>
      <w:lvlText w:val=""/>
      <w:lvlJc w:val="left"/>
      <w:pPr>
        <w:ind w:left="5040" w:hanging="360"/>
      </w:pPr>
      <w:rPr>
        <w:rFonts w:ascii="Symbol" w:hAnsi="Symbol" w:hint="default"/>
      </w:rPr>
    </w:lvl>
    <w:lvl w:ilvl="7" w:tplc="43821D46">
      <w:start w:val="1"/>
      <w:numFmt w:val="bullet"/>
      <w:lvlText w:val="o"/>
      <w:lvlJc w:val="left"/>
      <w:pPr>
        <w:ind w:left="5760" w:hanging="360"/>
      </w:pPr>
      <w:rPr>
        <w:rFonts w:ascii="Courier New" w:hAnsi="Courier New" w:hint="default"/>
      </w:rPr>
    </w:lvl>
    <w:lvl w:ilvl="8" w:tplc="66F8C5A0">
      <w:start w:val="1"/>
      <w:numFmt w:val="bullet"/>
      <w:lvlText w:val=""/>
      <w:lvlJc w:val="left"/>
      <w:pPr>
        <w:ind w:left="6480" w:hanging="360"/>
      </w:pPr>
      <w:rPr>
        <w:rFonts w:ascii="Wingdings" w:hAnsi="Wingdings" w:hint="default"/>
      </w:rPr>
    </w:lvl>
  </w:abstractNum>
  <w:abstractNum w:abstractNumId="364" w15:restartNumberingAfterBreak="0">
    <w:nsid w:val="49201D2B"/>
    <w:multiLevelType w:val="hybridMultilevel"/>
    <w:tmpl w:val="4BA21DD4"/>
    <w:lvl w:ilvl="0" w:tplc="E7FE7DFC">
      <w:start w:val="1"/>
      <w:numFmt w:val="bullet"/>
      <w:lvlText w:val=""/>
      <w:lvlJc w:val="left"/>
      <w:pPr>
        <w:ind w:left="720" w:hanging="360"/>
      </w:pPr>
      <w:rPr>
        <w:rFonts w:ascii="Symbol" w:hAnsi="Symbol" w:hint="default"/>
      </w:rPr>
    </w:lvl>
    <w:lvl w:ilvl="1" w:tplc="8F74FDEE" w:tentative="1">
      <w:start w:val="1"/>
      <w:numFmt w:val="bullet"/>
      <w:lvlText w:val="o"/>
      <w:lvlJc w:val="left"/>
      <w:pPr>
        <w:ind w:left="1440" w:hanging="360"/>
      </w:pPr>
      <w:rPr>
        <w:rFonts w:ascii="Courier New" w:hAnsi="Courier New" w:hint="default"/>
      </w:rPr>
    </w:lvl>
    <w:lvl w:ilvl="2" w:tplc="5F220BE8" w:tentative="1">
      <w:start w:val="1"/>
      <w:numFmt w:val="bullet"/>
      <w:lvlText w:val=""/>
      <w:lvlJc w:val="left"/>
      <w:pPr>
        <w:ind w:left="2160" w:hanging="360"/>
      </w:pPr>
      <w:rPr>
        <w:rFonts w:ascii="Wingdings" w:hAnsi="Wingdings" w:hint="default"/>
      </w:rPr>
    </w:lvl>
    <w:lvl w:ilvl="3" w:tplc="159A2ACE" w:tentative="1">
      <w:start w:val="1"/>
      <w:numFmt w:val="bullet"/>
      <w:lvlText w:val=""/>
      <w:lvlJc w:val="left"/>
      <w:pPr>
        <w:ind w:left="2880" w:hanging="360"/>
      </w:pPr>
      <w:rPr>
        <w:rFonts w:ascii="Symbol" w:hAnsi="Symbol" w:hint="default"/>
      </w:rPr>
    </w:lvl>
    <w:lvl w:ilvl="4" w:tplc="6AC45622" w:tentative="1">
      <w:start w:val="1"/>
      <w:numFmt w:val="bullet"/>
      <w:lvlText w:val="o"/>
      <w:lvlJc w:val="left"/>
      <w:pPr>
        <w:ind w:left="3600" w:hanging="360"/>
      </w:pPr>
      <w:rPr>
        <w:rFonts w:ascii="Courier New" w:hAnsi="Courier New" w:hint="default"/>
      </w:rPr>
    </w:lvl>
    <w:lvl w:ilvl="5" w:tplc="C5DC14B8" w:tentative="1">
      <w:start w:val="1"/>
      <w:numFmt w:val="bullet"/>
      <w:lvlText w:val=""/>
      <w:lvlJc w:val="left"/>
      <w:pPr>
        <w:ind w:left="4320" w:hanging="360"/>
      </w:pPr>
      <w:rPr>
        <w:rFonts w:ascii="Wingdings" w:hAnsi="Wingdings" w:hint="default"/>
      </w:rPr>
    </w:lvl>
    <w:lvl w:ilvl="6" w:tplc="558E87DE" w:tentative="1">
      <w:start w:val="1"/>
      <w:numFmt w:val="bullet"/>
      <w:lvlText w:val=""/>
      <w:lvlJc w:val="left"/>
      <w:pPr>
        <w:ind w:left="5040" w:hanging="360"/>
      </w:pPr>
      <w:rPr>
        <w:rFonts w:ascii="Symbol" w:hAnsi="Symbol" w:hint="default"/>
      </w:rPr>
    </w:lvl>
    <w:lvl w:ilvl="7" w:tplc="CBA28DFE" w:tentative="1">
      <w:start w:val="1"/>
      <w:numFmt w:val="bullet"/>
      <w:lvlText w:val="o"/>
      <w:lvlJc w:val="left"/>
      <w:pPr>
        <w:ind w:left="5760" w:hanging="360"/>
      </w:pPr>
      <w:rPr>
        <w:rFonts w:ascii="Courier New" w:hAnsi="Courier New" w:hint="default"/>
      </w:rPr>
    </w:lvl>
    <w:lvl w:ilvl="8" w:tplc="D4D80CAA" w:tentative="1">
      <w:start w:val="1"/>
      <w:numFmt w:val="bullet"/>
      <w:lvlText w:val=""/>
      <w:lvlJc w:val="left"/>
      <w:pPr>
        <w:ind w:left="6480" w:hanging="360"/>
      </w:pPr>
      <w:rPr>
        <w:rFonts w:ascii="Wingdings" w:hAnsi="Wingdings" w:hint="default"/>
      </w:rPr>
    </w:lvl>
  </w:abstractNum>
  <w:abstractNum w:abstractNumId="365" w15:restartNumberingAfterBreak="0">
    <w:nsid w:val="49712E62"/>
    <w:multiLevelType w:val="hybridMultilevel"/>
    <w:tmpl w:val="4B02D98E"/>
    <w:lvl w:ilvl="0" w:tplc="293C27D8">
      <w:start w:val="1"/>
      <w:numFmt w:val="bullet"/>
      <w:lvlText w:val=""/>
      <w:lvlJc w:val="left"/>
      <w:pPr>
        <w:ind w:left="720" w:hanging="360"/>
      </w:pPr>
      <w:rPr>
        <w:rFonts w:ascii="Symbol" w:hAnsi="Symbol" w:hint="default"/>
      </w:rPr>
    </w:lvl>
    <w:lvl w:ilvl="1" w:tplc="D33C54FC" w:tentative="1">
      <w:start w:val="1"/>
      <w:numFmt w:val="bullet"/>
      <w:lvlText w:val="o"/>
      <w:lvlJc w:val="left"/>
      <w:pPr>
        <w:ind w:left="1440" w:hanging="360"/>
      </w:pPr>
      <w:rPr>
        <w:rFonts w:ascii="Courier New" w:hAnsi="Courier New" w:hint="default"/>
      </w:rPr>
    </w:lvl>
    <w:lvl w:ilvl="2" w:tplc="9D32F8AA" w:tentative="1">
      <w:start w:val="1"/>
      <w:numFmt w:val="bullet"/>
      <w:lvlText w:val=""/>
      <w:lvlJc w:val="left"/>
      <w:pPr>
        <w:ind w:left="2160" w:hanging="360"/>
      </w:pPr>
      <w:rPr>
        <w:rFonts w:ascii="Wingdings" w:hAnsi="Wingdings" w:hint="default"/>
      </w:rPr>
    </w:lvl>
    <w:lvl w:ilvl="3" w:tplc="2E1650B4" w:tentative="1">
      <w:start w:val="1"/>
      <w:numFmt w:val="bullet"/>
      <w:lvlText w:val=""/>
      <w:lvlJc w:val="left"/>
      <w:pPr>
        <w:ind w:left="2880" w:hanging="360"/>
      </w:pPr>
      <w:rPr>
        <w:rFonts w:ascii="Symbol" w:hAnsi="Symbol" w:hint="default"/>
      </w:rPr>
    </w:lvl>
    <w:lvl w:ilvl="4" w:tplc="7BC0EDBE" w:tentative="1">
      <w:start w:val="1"/>
      <w:numFmt w:val="bullet"/>
      <w:lvlText w:val="o"/>
      <w:lvlJc w:val="left"/>
      <w:pPr>
        <w:ind w:left="3600" w:hanging="360"/>
      </w:pPr>
      <w:rPr>
        <w:rFonts w:ascii="Courier New" w:hAnsi="Courier New" w:hint="default"/>
      </w:rPr>
    </w:lvl>
    <w:lvl w:ilvl="5" w:tplc="45427D9E" w:tentative="1">
      <w:start w:val="1"/>
      <w:numFmt w:val="bullet"/>
      <w:lvlText w:val=""/>
      <w:lvlJc w:val="left"/>
      <w:pPr>
        <w:ind w:left="4320" w:hanging="360"/>
      </w:pPr>
      <w:rPr>
        <w:rFonts w:ascii="Wingdings" w:hAnsi="Wingdings" w:hint="default"/>
      </w:rPr>
    </w:lvl>
    <w:lvl w:ilvl="6" w:tplc="B524B1F8" w:tentative="1">
      <w:start w:val="1"/>
      <w:numFmt w:val="bullet"/>
      <w:lvlText w:val=""/>
      <w:lvlJc w:val="left"/>
      <w:pPr>
        <w:ind w:left="5040" w:hanging="360"/>
      </w:pPr>
      <w:rPr>
        <w:rFonts w:ascii="Symbol" w:hAnsi="Symbol" w:hint="default"/>
      </w:rPr>
    </w:lvl>
    <w:lvl w:ilvl="7" w:tplc="12F830AE" w:tentative="1">
      <w:start w:val="1"/>
      <w:numFmt w:val="bullet"/>
      <w:lvlText w:val="o"/>
      <w:lvlJc w:val="left"/>
      <w:pPr>
        <w:ind w:left="5760" w:hanging="360"/>
      </w:pPr>
      <w:rPr>
        <w:rFonts w:ascii="Courier New" w:hAnsi="Courier New" w:hint="default"/>
      </w:rPr>
    </w:lvl>
    <w:lvl w:ilvl="8" w:tplc="FB604A28" w:tentative="1">
      <w:start w:val="1"/>
      <w:numFmt w:val="bullet"/>
      <w:lvlText w:val=""/>
      <w:lvlJc w:val="left"/>
      <w:pPr>
        <w:ind w:left="6480" w:hanging="360"/>
      </w:pPr>
      <w:rPr>
        <w:rFonts w:ascii="Wingdings" w:hAnsi="Wingdings" w:hint="default"/>
      </w:rPr>
    </w:lvl>
  </w:abstractNum>
  <w:abstractNum w:abstractNumId="366" w15:restartNumberingAfterBreak="0">
    <w:nsid w:val="49812962"/>
    <w:multiLevelType w:val="hybridMultilevel"/>
    <w:tmpl w:val="BDCA87B2"/>
    <w:lvl w:ilvl="0" w:tplc="22FA5D52">
      <w:start w:val="1"/>
      <w:numFmt w:val="bullet"/>
      <w:lvlText w:val=""/>
      <w:lvlJc w:val="left"/>
      <w:pPr>
        <w:ind w:left="2160" w:hanging="360"/>
      </w:pPr>
      <w:rPr>
        <w:rFonts w:ascii="Symbol" w:hAnsi="Symbol"/>
      </w:rPr>
    </w:lvl>
    <w:lvl w:ilvl="1" w:tplc="A246C2D6">
      <w:start w:val="1"/>
      <w:numFmt w:val="bullet"/>
      <w:lvlText w:val=""/>
      <w:lvlJc w:val="left"/>
      <w:pPr>
        <w:ind w:left="2160" w:hanging="360"/>
      </w:pPr>
      <w:rPr>
        <w:rFonts w:ascii="Symbol" w:hAnsi="Symbol"/>
      </w:rPr>
    </w:lvl>
    <w:lvl w:ilvl="2" w:tplc="25AC95F2">
      <w:start w:val="1"/>
      <w:numFmt w:val="bullet"/>
      <w:lvlText w:val=""/>
      <w:lvlJc w:val="left"/>
      <w:pPr>
        <w:ind w:left="2160" w:hanging="360"/>
      </w:pPr>
      <w:rPr>
        <w:rFonts w:ascii="Symbol" w:hAnsi="Symbol"/>
      </w:rPr>
    </w:lvl>
    <w:lvl w:ilvl="3" w:tplc="CFB27A54">
      <w:start w:val="1"/>
      <w:numFmt w:val="bullet"/>
      <w:lvlText w:val=""/>
      <w:lvlJc w:val="left"/>
      <w:pPr>
        <w:ind w:left="2160" w:hanging="360"/>
      </w:pPr>
      <w:rPr>
        <w:rFonts w:ascii="Symbol" w:hAnsi="Symbol"/>
      </w:rPr>
    </w:lvl>
    <w:lvl w:ilvl="4" w:tplc="8EF01F4E">
      <w:start w:val="1"/>
      <w:numFmt w:val="bullet"/>
      <w:lvlText w:val=""/>
      <w:lvlJc w:val="left"/>
      <w:pPr>
        <w:ind w:left="2160" w:hanging="360"/>
      </w:pPr>
      <w:rPr>
        <w:rFonts w:ascii="Symbol" w:hAnsi="Symbol"/>
      </w:rPr>
    </w:lvl>
    <w:lvl w:ilvl="5" w:tplc="3594C6C2">
      <w:start w:val="1"/>
      <w:numFmt w:val="bullet"/>
      <w:lvlText w:val=""/>
      <w:lvlJc w:val="left"/>
      <w:pPr>
        <w:ind w:left="2160" w:hanging="360"/>
      </w:pPr>
      <w:rPr>
        <w:rFonts w:ascii="Symbol" w:hAnsi="Symbol"/>
      </w:rPr>
    </w:lvl>
    <w:lvl w:ilvl="6" w:tplc="B5700DC2">
      <w:start w:val="1"/>
      <w:numFmt w:val="bullet"/>
      <w:lvlText w:val=""/>
      <w:lvlJc w:val="left"/>
      <w:pPr>
        <w:ind w:left="2160" w:hanging="360"/>
      </w:pPr>
      <w:rPr>
        <w:rFonts w:ascii="Symbol" w:hAnsi="Symbol"/>
      </w:rPr>
    </w:lvl>
    <w:lvl w:ilvl="7" w:tplc="4662A0EE">
      <w:start w:val="1"/>
      <w:numFmt w:val="bullet"/>
      <w:lvlText w:val=""/>
      <w:lvlJc w:val="left"/>
      <w:pPr>
        <w:ind w:left="2160" w:hanging="360"/>
      </w:pPr>
      <w:rPr>
        <w:rFonts w:ascii="Symbol" w:hAnsi="Symbol"/>
      </w:rPr>
    </w:lvl>
    <w:lvl w:ilvl="8" w:tplc="764EF46A">
      <w:start w:val="1"/>
      <w:numFmt w:val="bullet"/>
      <w:lvlText w:val=""/>
      <w:lvlJc w:val="left"/>
      <w:pPr>
        <w:ind w:left="2160" w:hanging="360"/>
      </w:pPr>
      <w:rPr>
        <w:rFonts w:ascii="Symbol" w:hAnsi="Symbol"/>
      </w:rPr>
    </w:lvl>
  </w:abstractNum>
  <w:abstractNum w:abstractNumId="367" w15:restartNumberingAfterBreak="0">
    <w:nsid w:val="49B149EF"/>
    <w:multiLevelType w:val="hybridMultilevel"/>
    <w:tmpl w:val="46A0CBA6"/>
    <w:lvl w:ilvl="0" w:tplc="AE7A31D2">
      <w:start w:val="1"/>
      <w:numFmt w:val="bullet"/>
      <w:lvlText w:val=""/>
      <w:lvlJc w:val="left"/>
      <w:pPr>
        <w:ind w:left="720" w:hanging="360"/>
      </w:pPr>
      <w:rPr>
        <w:rFonts w:ascii="Symbol" w:hAnsi="Symbol" w:hint="default"/>
      </w:rPr>
    </w:lvl>
    <w:lvl w:ilvl="1" w:tplc="933284DC" w:tentative="1">
      <w:start w:val="1"/>
      <w:numFmt w:val="bullet"/>
      <w:lvlText w:val="o"/>
      <w:lvlJc w:val="left"/>
      <w:pPr>
        <w:ind w:left="1440" w:hanging="360"/>
      </w:pPr>
      <w:rPr>
        <w:rFonts w:ascii="Courier New" w:hAnsi="Courier New" w:hint="default"/>
      </w:rPr>
    </w:lvl>
    <w:lvl w:ilvl="2" w:tplc="6F188792" w:tentative="1">
      <w:start w:val="1"/>
      <w:numFmt w:val="bullet"/>
      <w:lvlText w:val=""/>
      <w:lvlJc w:val="left"/>
      <w:pPr>
        <w:ind w:left="2160" w:hanging="360"/>
      </w:pPr>
      <w:rPr>
        <w:rFonts w:ascii="Wingdings" w:hAnsi="Wingdings" w:hint="default"/>
      </w:rPr>
    </w:lvl>
    <w:lvl w:ilvl="3" w:tplc="6F3E34B2" w:tentative="1">
      <w:start w:val="1"/>
      <w:numFmt w:val="bullet"/>
      <w:lvlText w:val=""/>
      <w:lvlJc w:val="left"/>
      <w:pPr>
        <w:ind w:left="2880" w:hanging="360"/>
      </w:pPr>
      <w:rPr>
        <w:rFonts w:ascii="Symbol" w:hAnsi="Symbol" w:hint="default"/>
      </w:rPr>
    </w:lvl>
    <w:lvl w:ilvl="4" w:tplc="102268E8" w:tentative="1">
      <w:start w:val="1"/>
      <w:numFmt w:val="bullet"/>
      <w:lvlText w:val="o"/>
      <w:lvlJc w:val="left"/>
      <w:pPr>
        <w:ind w:left="3600" w:hanging="360"/>
      </w:pPr>
      <w:rPr>
        <w:rFonts w:ascii="Courier New" w:hAnsi="Courier New" w:hint="default"/>
      </w:rPr>
    </w:lvl>
    <w:lvl w:ilvl="5" w:tplc="2194AC80" w:tentative="1">
      <w:start w:val="1"/>
      <w:numFmt w:val="bullet"/>
      <w:lvlText w:val=""/>
      <w:lvlJc w:val="left"/>
      <w:pPr>
        <w:ind w:left="4320" w:hanging="360"/>
      </w:pPr>
      <w:rPr>
        <w:rFonts w:ascii="Wingdings" w:hAnsi="Wingdings" w:hint="default"/>
      </w:rPr>
    </w:lvl>
    <w:lvl w:ilvl="6" w:tplc="563EED18" w:tentative="1">
      <w:start w:val="1"/>
      <w:numFmt w:val="bullet"/>
      <w:lvlText w:val=""/>
      <w:lvlJc w:val="left"/>
      <w:pPr>
        <w:ind w:left="5040" w:hanging="360"/>
      </w:pPr>
      <w:rPr>
        <w:rFonts w:ascii="Symbol" w:hAnsi="Symbol" w:hint="default"/>
      </w:rPr>
    </w:lvl>
    <w:lvl w:ilvl="7" w:tplc="406CFD84" w:tentative="1">
      <w:start w:val="1"/>
      <w:numFmt w:val="bullet"/>
      <w:lvlText w:val="o"/>
      <w:lvlJc w:val="left"/>
      <w:pPr>
        <w:ind w:left="5760" w:hanging="360"/>
      </w:pPr>
      <w:rPr>
        <w:rFonts w:ascii="Courier New" w:hAnsi="Courier New" w:hint="default"/>
      </w:rPr>
    </w:lvl>
    <w:lvl w:ilvl="8" w:tplc="59744B9E" w:tentative="1">
      <w:start w:val="1"/>
      <w:numFmt w:val="bullet"/>
      <w:lvlText w:val=""/>
      <w:lvlJc w:val="left"/>
      <w:pPr>
        <w:ind w:left="6480" w:hanging="360"/>
      </w:pPr>
      <w:rPr>
        <w:rFonts w:ascii="Wingdings" w:hAnsi="Wingdings" w:hint="default"/>
      </w:rPr>
    </w:lvl>
  </w:abstractNum>
  <w:abstractNum w:abstractNumId="368" w15:restartNumberingAfterBreak="0">
    <w:nsid w:val="49E4629F"/>
    <w:multiLevelType w:val="multilevel"/>
    <w:tmpl w:val="7EBA4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A6F551D"/>
    <w:multiLevelType w:val="hybridMultilevel"/>
    <w:tmpl w:val="02560A28"/>
    <w:lvl w:ilvl="0" w:tplc="829E4C50">
      <w:start w:val="1"/>
      <w:numFmt w:val="bullet"/>
      <w:lvlText w:val=""/>
      <w:lvlJc w:val="left"/>
      <w:pPr>
        <w:ind w:left="720" w:hanging="360"/>
      </w:pPr>
      <w:rPr>
        <w:rFonts w:ascii="Symbol" w:hAnsi="Symbol" w:hint="default"/>
      </w:rPr>
    </w:lvl>
    <w:lvl w:ilvl="1" w:tplc="325C6090">
      <w:start w:val="1"/>
      <w:numFmt w:val="bullet"/>
      <w:lvlText w:val="o"/>
      <w:lvlJc w:val="left"/>
      <w:pPr>
        <w:ind w:left="1440" w:hanging="360"/>
      </w:pPr>
      <w:rPr>
        <w:rFonts w:ascii="Courier New" w:hAnsi="Courier New" w:hint="default"/>
      </w:rPr>
    </w:lvl>
    <w:lvl w:ilvl="2" w:tplc="D39EEE24" w:tentative="1">
      <w:start w:val="1"/>
      <w:numFmt w:val="bullet"/>
      <w:lvlText w:val=""/>
      <w:lvlJc w:val="left"/>
      <w:pPr>
        <w:ind w:left="2160" w:hanging="360"/>
      </w:pPr>
      <w:rPr>
        <w:rFonts w:ascii="Wingdings" w:hAnsi="Wingdings" w:hint="default"/>
      </w:rPr>
    </w:lvl>
    <w:lvl w:ilvl="3" w:tplc="7884DE78" w:tentative="1">
      <w:start w:val="1"/>
      <w:numFmt w:val="bullet"/>
      <w:lvlText w:val=""/>
      <w:lvlJc w:val="left"/>
      <w:pPr>
        <w:ind w:left="2880" w:hanging="360"/>
      </w:pPr>
      <w:rPr>
        <w:rFonts w:ascii="Symbol" w:hAnsi="Symbol" w:hint="default"/>
      </w:rPr>
    </w:lvl>
    <w:lvl w:ilvl="4" w:tplc="1A64C030" w:tentative="1">
      <w:start w:val="1"/>
      <w:numFmt w:val="bullet"/>
      <w:lvlText w:val="o"/>
      <w:lvlJc w:val="left"/>
      <w:pPr>
        <w:ind w:left="3600" w:hanging="360"/>
      </w:pPr>
      <w:rPr>
        <w:rFonts w:ascii="Courier New" w:hAnsi="Courier New" w:hint="default"/>
      </w:rPr>
    </w:lvl>
    <w:lvl w:ilvl="5" w:tplc="8AA67F22" w:tentative="1">
      <w:start w:val="1"/>
      <w:numFmt w:val="bullet"/>
      <w:lvlText w:val=""/>
      <w:lvlJc w:val="left"/>
      <w:pPr>
        <w:ind w:left="4320" w:hanging="360"/>
      </w:pPr>
      <w:rPr>
        <w:rFonts w:ascii="Wingdings" w:hAnsi="Wingdings" w:hint="default"/>
      </w:rPr>
    </w:lvl>
    <w:lvl w:ilvl="6" w:tplc="A4DE49DE" w:tentative="1">
      <w:start w:val="1"/>
      <w:numFmt w:val="bullet"/>
      <w:lvlText w:val=""/>
      <w:lvlJc w:val="left"/>
      <w:pPr>
        <w:ind w:left="5040" w:hanging="360"/>
      </w:pPr>
      <w:rPr>
        <w:rFonts w:ascii="Symbol" w:hAnsi="Symbol" w:hint="default"/>
      </w:rPr>
    </w:lvl>
    <w:lvl w:ilvl="7" w:tplc="4378D418" w:tentative="1">
      <w:start w:val="1"/>
      <w:numFmt w:val="bullet"/>
      <w:lvlText w:val="o"/>
      <w:lvlJc w:val="left"/>
      <w:pPr>
        <w:ind w:left="5760" w:hanging="360"/>
      </w:pPr>
      <w:rPr>
        <w:rFonts w:ascii="Courier New" w:hAnsi="Courier New" w:hint="default"/>
      </w:rPr>
    </w:lvl>
    <w:lvl w:ilvl="8" w:tplc="284E89FA" w:tentative="1">
      <w:start w:val="1"/>
      <w:numFmt w:val="bullet"/>
      <w:lvlText w:val=""/>
      <w:lvlJc w:val="left"/>
      <w:pPr>
        <w:ind w:left="6480" w:hanging="360"/>
      </w:pPr>
      <w:rPr>
        <w:rFonts w:ascii="Wingdings" w:hAnsi="Wingdings" w:hint="default"/>
      </w:rPr>
    </w:lvl>
  </w:abstractNum>
  <w:abstractNum w:abstractNumId="370" w15:restartNumberingAfterBreak="0">
    <w:nsid w:val="4A804D9D"/>
    <w:multiLevelType w:val="hybridMultilevel"/>
    <w:tmpl w:val="9C948352"/>
    <w:lvl w:ilvl="0" w:tplc="F14A62CE">
      <w:start w:val="1"/>
      <w:numFmt w:val="bullet"/>
      <w:lvlText w:val=""/>
      <w:lvlJc w:val="left"/>
      <w:pPr>
        <w:ind w:left="720" w:hanging="360"/>
      </w:pPr>
      <w:rPr>
        <w:rFonts w:ascii="Symbol" w:hAnsi="Symbol" w:hint="default"/>
      </w:rPr>
    </w:lvl>
    <w:lvl w:ilvl="1" w:tplc="E1843748" w:tentative="1">
      <w:start w:val="1"/>
      <w:numFmt w:val="bullet"/>
      <w:lvlText w:val="o"/>
      <w:lvlJc w:val="left"/>
      <w:pPr>
        <w:ind w:left="1440" w:hanging="360"/>
      </w:pPr>
      <w:rPr>
        <w:rFonts w:ascii="Courier New" w:hAnsi="Courier New" w:hint="default"/>
      </w:rPr>
    </w:lvl>
    <w:lvl w:ilvl="2" w:tplc="32D8066A" w:tentative="1">
      <w:start w:val="1"/>
      <w:numFmt w:val="bullet"/>
      <w:lvlText w:val=""/>
      <w:lvlJc w:val="left"/>
      <w:pPr>
        <w:ind w:left="2160" w:hanging="360"/>
      </w:pPr>
      <w:rPr>
        <w:rFonts w:ascii="Wingdings" w:hAnsi="Wingdings" w:hint="default"/>
      </w:rPr>
    </w:lvl>
    <w:lvl w:ilvl="3" w:tplc="49AEEE34" w:tentative="1">
      <w:start w:val="1"/>
      <w:numFmt w:val="bullet"/>
      <w:lvlText w:val=""/>
      <w:lvlJc w:val="left"/>
      <w:pPr>
        <w:ind w:left="2880" w:hanging="360"/>
      </w:pPr>
      <w:rPr>
        <w:rFonts w:ascii="Symbol" w:hAnsi="Symbol" w:hint="default"/>
      </w:rPr>
    </w:lvl>
    <w:lvl w:ilvl="4" w:tplc="0352DC8C" w:tentative="1">
      <w:start w:val="1"/>
      <w:numFmt w:val="bullet"/>
      <w:lvlText w:val="o"/>
      <w:lvlJc w:val="left"/>
      <w:pPr>
        <w:ind w:left="3600" w:hanging="360"/>
      </w:pPr>
      <w:rPr>
        <w:rFonts w:ascii="Courier New" w:hAnsi="Courier New" w:hint="default"/>
      </w:rPr>
    </w:lvl>
    <w:lvl w:ilvl="5" w:tplc="84089BE8" w:tentative="1">
      <w:start w:val="1"/>
      <w:numFmt w:val="bullet"/>
      <w:lvlText w:val=""/>
      <w:lvlJc w:val="left"/>
      <w:pPr>
        <w:ind w:left="4320" w:hanging="360"/>
      </w:pPr>
      <w:rPr>
        <w:rFonts w:ascii="Wingdings" w:hAnsi="Wingdings" w:hint="default"/>
      </w:rPr>
    </w:lvl>
    <w:lvl w:ilvl="6" w:tplc="AE02213A" w:tentative="1">
      <w:start w:val="1"/>
      <w:numFmt w:val="bullet"/>
      <w:lvlText w:val=""/>
      <w:lvlJc w:val="left"/>
      <w:pPr>
        <w:ind w:left="5040" w:hanging="360"/>
      </w:pPr>
      <w:rPr>
        <w:rFonts w:ascii="Symbol" w:hAnsi="Symbol" w:hint="default"/>
      </w:rPr>
    </w:lvl>
    <w:lvl w:ilvl="7" w:tplc="363AD512" w:tentative="1">
      <w:start w:val="1"/>
      <w:numFmt w:val="bullet"/>
      <w:lvlText w:val="o"/>
      <w:lvlJc w:val="left"/>
      <w:pPr>
        <w:ind w:left="5760" w:hanging="360"/>
      </w:pPr>
      <w:rPr>
        <w:rFonts w:ascii="Courier New" w:hAnsi="Courier New" w:hint="default"/>
      </w:rPr>
    </w:lvl>
    <w:lvl w:ilvl="8" w:tplc="9B14F97C" w:tentative="1">
      <w:start w:val="1"/>
      <w:numFmt w:val="bullet"/>
      <w:lvlText w:val=""/>
      <w:lvlJc w:val="left"/>
      <w:pPr>
        <w:ind w:left="6480" w:hanging="360"/>
      </w:pPr>
      <w:rPr>
        <w:rFonts w:ascii="Wingdings" w:hAnsi="Wingdings" w:hint="default"/>
      </w:rPr>
    </w:lvl>
  </w:abstractNum>
  <w:abstractNum w:abstractNumId="371" w15:restartNumberingAfterBreak="0">
    <w:nsid w:val="4A99089E"/>
    <w:multiLevelType w:val="multilevel"/>
    <w:tmpl w:val="872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AEF78AB"/>
    <w:multiLevelType w:val="hybridMultilevel"/>
    <w:tmpl w:val="F0BACEAA"/>
    <w:lvl w:ilvl="0" w:tplc="9A24F274">
      <w:start w:val="1"/>
      <w:numFmt w:val="bullet"/>
      <w:lvlText w:val=""/>
      <w:lvlJc w:val="left"/>
      <w:pPr>
        <w:ind w:left="720" w:hanging="360"/>
      </w:pPr>
      <w:rPr>
        <w:rFonts w:ascii="Symbol" w:hAnsi="Symbol" w:hint="default"/>
      </w:rPr>
    </w:lvl>
    <w:lvl w:ilvl="1" w:tplc="003A302A" w:tentative="1">
      <w:start w:val="1"/>
      <w:numFmt w:val="bullet"/>
      <w:lvlText w:val="o"/>
      <w:lvlJc w:val="left"/>
      <w:pPr>
        <w:ind w:left="1440" w:hanging="360"/>
      </w:pPr>
      <w:rPr>
        <w:rFonts w:ascii="Courier New" w:hAnsi="Courier New" w:hint="default"/>
      </w:rPr>
    </w:lvl>
    <w:lvl w:ilvl="2" w:tplc="13867486" w:tentative="1">
      <w:start w:val="1"/>
      <w:numFmt w:val="bullet"/>
      <w:lvlText w:val=""/>
      <w:lvlJc w:val="left"/>
      <w:pPr>
        <w:ind w:left="2160" w:hanging="360"/>
      </w:pPr>
      <w:rPr>
        <w:rFonts w:ascii="Wingdings" w:hAnsi="Wingdings" w:hint="default"/>
      </w:rPr>
    </w:lvl>
    <w:lvl w:ilvl="3" w:tplc="BCA49936" w:tentative="1">
      <w:start w:val="1"/>
      <w:numFmt w:val="bullet"/>
      <w:lvlText w:val=""/>
      <w:lvlJc w:val="left"/>
      <w:pPr>
        <w:ind w:left="2880" w:hanging="360"/>
      </w:pPr>
      <w:rPr>
        <w:rFonts w:ascii="Symbol" w:hAnsi="Symbol" w:hint="default"/>
      </w:rPr>
    </w:lvl>
    <w:lvl w:ilvl="4" w:tplc="28FCC89C" w:tentative="1">
      <w:start w:val="1"/>
      <w:numFmt w:val="bullet"/>
      <w:lvlText w:val="o"/>
      <w:lvlJc w:val="left"/>
      <w:pPr>
        <w:ind w:left="3600" w:hanging="360"/>
      </w:pPr>
      <w:rPr>
        <w:rFonts w:ascii="Courier New" w:hAnsi="Courier New" w:hint="default"/>
      </w:rPr>
    </w:lvl>
    <w:lvl w:ilvl="5" w:tplc="7B5A8ACE" w:tentative="1">
      <w:start w:val="1"/>
      <w:numFmt w:val="bullet"/>
      <w:lvlText w:val=""/>
      <w:lvlJc w:val="left"/>
      <w:pPr>
        <w:ind w:left="4320" w:hanging="360"/>
      </w:pPr>
      <w:rPr>
        <w:rFonts w:ascii="Wingdings" w:hAnsi="Wingdings" w:hint="default"/>
      </w:rPr>
    </w:lvl>
    <w:lvl w:ilvl="6" w:tplc="A5FC6692" w:tentative="1">
      <w:start w:val="1"/>
      <w:numFmt w:val="bullet"/>
      <w:lvlText w:val=""/>
      <w:lvlJc w:val="left"/>
      <w:pPr>
        <w:ind w:left="5040" w:hanging="360"/>
      </w:pPr>
      <w:rPr>
        <w:rFonts w:ascii="Symbol" w:hAnsi="Symbol" w:hint="default"/>
      </w:rPr>
    </w:lvl>
    <w:lvl w:ilvl="7" w:tplc="4408778C" w:tentative="1">
      <w:start w:val="1"/>
      <w:numFmt w:val="bullet"/>
      <w:lvlText w:val="o"/>
      <w:lvlJc w:val="left"/>
      <w:pPr>
        <w:ind w:left="5760" w:hanging="360"/>
      </w:pPr>
      <w:rPr>
        <w:rFonts w:ascii="Courier New" w:hAnsi="Courier New" w:hint="default"/>
      </w:rPr>
    </w:lvl>
    <w:lvl w:ilvl="8" w:tplc="9B30EF5C" w:tentative="1">
      <w:start w:val="1"/>
      <w:numFmt w:val="bullet"/>
      <w:lvlText w:val=""/>
      <w:lvlJc w:val="left"/>
      <w:pPr>
        <w:ind w:left="6480" w:hanging="360"/>
      </w:pPr>
      <w:rPr>
        <w:rFonts w:ascii="Wingdings" w:hAnsi="Wingdings" w:hint="default"/>
      </w:rPr>
    </w:lvl>
  </w:abstractNum>
  <w:abstractNum w:abstractNumId="373" w15:restartNumberingAfterBreak="0">
    <w:nsid w:val="4AF265CC"/>
    <w:multiLevelType w:val="hybridMultilevel"/>
    <w:tmpl w:val="D0F6F0AE"/>
    <w:lvl w:ilvl="0" w:tplc="0C090001">
      <w:start w:val="1"/>
      <w:numFmt w:val="bullet"/>
      <w:lvlText w:val=""/>
      <w:lvlJc w:val="left"/>
      <w:pPr>
        <w:ind w:left="360" w:hanging="360"/>
      </w:pPr>
      <w:rPr>
        <w:rFonts w:ascii="Symbol" w:hAnsi="Symbol" w:hint="default"/>
      </w:rPr>
    </w:lvl>
    <w:lvl w:ilvl="1" w:tplc="E1F410E6">
      <w:numFmt w:val="bullet"/>
      <w:lvlText w:val="-"/>
      <w:lvlJc w:val="left"/>
      <w:pPr>
        <w:ind w:left="1779" w:hanging="360"/>
      </w:pPr>
      <w:rPr>
        <w:rFonts w:ascii="Calibri" w:hAnsi="Calibri" w:hint="default"/>
      </w:rPr>
    </w:lvl>
    <w:lvl w:ilvl="2" w:tplc="B0DC9520">
      <w:start w:val="1"/>
      <w:numFmt w:val="bullet"/>
      <w:lvlText w:val=""/>
      <w:lvlJc w:val="left"/>
      <w:pPr>
        <w:ind w:left="3087" w:hanging="360"/>
      </w:pPr>
      <w:rPr>
        <w:rFonts w:ascii="Wingdings" w:hAnsi="Wingdings" w:hint="default"/>
      </w:rPr>
    </w:lvl>
    <w:lvl w:ilvl="3" w:tplc="83689D84" w:tentative="1">
      <w:start w:val="1"/>
      <w:numFmt w:val="bullet"/>
      <w:lvlText w:val=""/>
      <w:lvlJc w:val="left"/>
      <w:pPr>
        <w:ind w:left="3807" w:hanging="360"/>
      </w:pPr>
      <w:rPr>
        <w:rFonts w:ascii="Symbol" w:hAnsi="Symbol" w:hint="default"/>
      </w:rPr>
    </w:lvl>
    <w:lvl w:ilvl="4" w:tplc="6EC2698C" w:tentative="1">
      <w:start w:val="1"/>
      <w:numFmt w:val="bullet"/>
      <w:lvlText w:val="o"/>
      <w:lvlJc w:val="left"/>
      <w:pPr>
        <w:ind w:left="4527" w:hanging="360"/>
      </w:pPr>
      <w:rPr>
        <w:rFonts w:ascii="Courier New" w:hAnsi="Courier New" w:hint="default"/>
      </w:rPr>
    </w:lvl>
    <w:lvl w:ilvl="5" w:tplc="92229E42" w:tentative="1">
      <w:start w:val="1"/>
      <w:numFmt w:val="bullet"/>
      <w:lvlText w:val=""/>
      <w:lvlJc w:val="left"/>
      <w:pPr>
        <w:ind w:left="5247" w:hanging="360"/>
      </w:pPr>
      <w:rPr>
        <w:rFonts w:ascii="Wingdings" w:hAnsi="Wingdings" w:hint="default"/>
      </w:rPr>
    </w:lvl>
    <w:lvl w:ilvl="6" w:tplc="DA56A692" w:tentative="1">
      <w:start w:val="1"/>
      <w:numFmt w:val="bullet"/>
      <w:lvlText w:val=""/>
      <w:lvlJc w:val="left"/>
      <w:pPr>
        <w:ind w:left="5967" w:hanging="360"/>
      </w:pPr>
      <w:rPr>
        <w:rFonts w:ascii="Symbol" w:hAnsi="Symbol" w:hint="default"/>
      </w:rPr>
    </w:lvl>
    <w:lvl w:ilvl="7" w:tplc="E2B26D48" w:tentative="1">
      <w:start w:val="1"/>
      <w:numFmt w:val="bullet"/>
      <w:lvlText w:val="o"/>
      <w:lvlJc w:val="left"/>
      <w:pPr>
        <w:ind w:left="6687" w:hanging="360"/>
      </w:pPr>
      <w:rPr>
        <w:rFonts w:ascii="Courier New" w:hAnsi="Courier New" w:hint="default"/>
      </w:rPr>
    </w:lvl>
    <w:lvl w:ilvl="8" w:tplc="C8201518" w:tentative="1">
      <w:start w:val="1"/>
      <w:numFmt w:val="bullet"/>
      <w:lvlText w:val=""/>
      <w:lvlJc w:val="left"/>
      <w:pPr>
        <w:ind w:left="7407" w:hanging="360"/>
      </w:pPr>
      <w:rPr>
        <w:rFonts w:ascii="Wingdings" w:hAnsi="Wingdings" w:hint="default"/>
      </w:rPr>
    </w:lvl>
  </w:abstractNum>
  <w:abstractNum w:abstractNumId="374" w15:restartNumberingAfterBreak="0">
    <w:nsid w:val="4B4D048A"/>
    <w:multiLevelType w:val="hybridMultilevel"/>
    <w:tmpl w:val="A56A7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5" w15:restartNumberingAfterBreak="0">
    <w:nsid w:val="4B780B7F"/>
    <w:multiLevelType w:val="hybridMultilevel"/>
    <w:tmpl w:val="71CE668E"/>
    <w:lvl w:ilvl="0" w:tplc="B386C528">
      <w:start w:val="1"/>
      <w:numFmt w:val="bullet"/>
      <w:lvlText w:val=""/>
      <w:lvlJc w:val="left"/>
      <w:pPr>
        <w:ind w:left="720" w:hanging="360"/>
      </w:pPr>
      <w:rPr>
        <w:rFonts w:ascii="Symbol" w:hAnsi="Symbol" w:hint="default"/>
      </w:rPr>
    </w:lvl>
    <w:lvl w:ilvl="1" w:tplc="34E6AD5A" w:tentative="1">
      <w:start w:val="1"/>
      <w:numFmt w:val="bullet"/>
      <w:lvlText w:val="o"/>
      <w:lvlJc w:val="left"/>
      <w:pPr>
        <w:ind w:left="1440" w:hanging="360"/>
      </w:pPr>
      <w:rPr>
        <w:rFonts w:ascii="Courier New" w:hAnsi="Courier New" w:hint="default"/>
      </w:rPr>
    </w:lvl>
    <w:lvl w:ilvl="2" w:tplc="C486D98E" w:tentative="1">
      <w:start w:val="1"/>
      <w:numFmt w:val="bullet"/>
      <w:lvlText w:val=""/>
      <w:lvlJc w:val="left"/>
      <w:pPr>
        <w:ind w:left="2160" w:hanging="360"/>
      </w:pPr>
      <w:rPr>
        <w:rFonts w:ascii="Wingdings" w:hAnsi="Wingdings" w:hint="default"/>
      </w:rPr>
    </w:lvl>
    <w:lvl w:ilvl="3" w:tplc="B21A2F2C" w:tentative="1">
      <w:start w:val="1"/>
      <w:numFmt w:val="bullet"/>
      <w:lvlText w:val=""/>
      <w:lvlJc w:val="left"/>
      <w:pPr>
        <w:ind w:left="2880" w:hanging="360"/>
      </w:pPr>
      <w:rPr>
        <w:rFonts w:ascii="Symbol" w:hAnsi="Symbol" w:hint="default"/>
      </w:rPr>
    </w:lvl>
    <w:lvl w:ilvl="4" w:tplc="09D205CA" w:tentative="1">
      <w:start w:val="1"/>
      <w:numFmt w:val="bullet"/>
      <w:lvlText w:val="o"/>
      <w:lvlJc w:val="left"/>
      <w:pPr>
        <w:ind w:left="3600" w:hanging="360"/>
      </w:pPr>
      <w:rPr>
        <w:rFonts w:ascii="Courier New" w:hAnsi="Courier New" w:hint="default"/>
      </w:rPr>
    </w:lvl>
    <w:lvl w:ilvl="5" w:tplc="71A414AA" w:tentative="1">
      <w:start w:val="1"/>
      <w:numFmt w:val="bullet"/>
      <w:lvlText w:val=""/>
      <w:lvlJc w:val="left"/>
      <w:pPr>
        <w:ind w:left="4320" w:hanging="360"/>
      </w:pPr>
      <w:rPr>
        <w:rFonts w:ascii="Wingdings" w:hAnsi="Wingdings" w:hint="default"/>
      </w:rPr>
    </w:lvl>
    <w:lvl w:ilvl="6" w:tplc="2E2491FC" w:tentative="1">
      <w:start w:val="1"/>
      <w:numFmt w:val="bullet"/>
      <w:lvlText w:val=""/>
      <w:lvlJc w:val="left"/>
      <w:pPr>
        <w:ind w:left="5040" w:hanging="360"/>
      </w:pPr>
      <w:rPr>
        <w:rFonts w:ascii="Symbol" w:hAnsi="Symbol" w:hint="default"/>
      </w:rPr>
    </w:lvl>
    <w:lvl w:ilvl="7" w:tplc="F1D294CE" w:tentative="1">
      <w:start w:val="1"/>
      <w:numFmt w:val="bullet"/>
      <w:lvlText w:val="o"/>
      <w:lvlJc w:val="left"/>
      <w:pPr>
        <w:ind w:left="5760" w:hanging="360"/>
      </w:pPr>
      <w:rPr>
        <w:rFonts w:ascii="Courier New" w:hAnsi="Courier New" w:hint="default"/>
      </w:rPr>
    </w:lvl>
    <w:lvl w:ilvl="8" w:tplc="51B8830A" w:tentative="1">
      <w:start w:val="1"/>
      <w:numFmt w:val="bullet"/>
      <w:lvlText w:val=""/>
      <w:lvlJc w:val="left"/>
      <w:pPr>
        <w:ind w:left="6480" w:hanging="360"/>
      </w:pPr>
      <w:rPr>
        <w:rFonts w:ascii="Wingdings" w:hAnsi="Wingdings" w:hint="default"/>
      </w:rPr>
    </w:lvl>
  </w:abstractNum>
  <w:abstractNum w:abstractNumId="376" w15:restartNumberingAfterBreak="0">
    <w:nsid w:val="4B925F3A"/>
    <w:multiLevelType w:val="hybridMultilevel"/>
    <w:tmpl w:val="DC30B63E"/>
    <w:lvl w:ilvl="0" w:tplc="1F346D18">
      <w:start w:val="1"/>
      <w:numFmt w:val="bullet"/>
      <w:lvlText w:val=""/>
      <w:lvlJc w:val="left"/>
      <w:pPr>
        <w:ind w:left="720" w:hanging="360"/>
      </w:pPr>
      <w:rPr>
        <w:rFonts w:ascii="Symbol" w:hAnsi="Symbol" w:hint="default"/>
      </w:rPr>
    </w:lvl>
    <w:lvl w:ilvl="1" w:tplc="A024FF08" w:tentative="1">
      <w:start w:val="1"/>
      <w:numFmt w:val="bullet"/>
      <w:lvlText w:val="o"/>
      <w:lvlJc w:val="left"/>
      <w:pPr>
        <w:ind w:left="1440" w:hanging="360"/>
      </w:pPr>
      <w:rPr>
        <w:rFonts w:ascii="Courier New" w:hAnsi="Courier New" w:hint="default"/>
      </w:rPr>
    </w:lvl>
    <w:lvl w:ilvl="2" w:tplc="59942052" w:tentative="1">
      <w:start w:val="1"/>
      <w:numFmt w:val="bullet"/>
      <w:lvlText w:val=""/>
      <w:lvlJc w:val="left"/>
      <w:pPr>
        <w:ind w:left="2160" w:hanging="360"/>
      </w:pPr>
      <w:rPr>
        <w:rFonts w:ascii="Wingdings" w:hAnsi="Wingdings" w:hint="default"/>
      </w:rPr>
    </w:lvl>
    <w:lvl w:ilvl="3" w:tplc="334EBDB0" w:tentative="1">
      <w:start w:val="1"/>
      <w:numFmt w:val="bullet"/>
      <w:lvlText w:val=""/>
      <w:lvlJc w:val="left"/>
      <w:pPr>
        <w:ind w:left="2880" w:hanging="360"/>
      </w:pPr>
      <w:rPr>
        <w:rFonts w:ascii="Symbol" w:hAnsi="Symbol" w:hint="default"/>
      </w:rPr>
    </w:lvl>
    <w:lvl w:ilvl="4" w:tplc="7F08D8AC" w:tentative="1">
      <w:start w:val="1"/>
      <w:numFmt w:val="bullet"/>
      <w:lvlText w:val="o"/>
      <w:lvlJc w:val="left"/>
      <w:pPr>
        <w:ind w:left="3600" w:hanging="360"/>
      </w:pPr>
      <w:rPr>
        <w:rFonts w:ascii="Courier New" w:hAnsi="Courier New" w:hint="default"/>
      </w:rPr>
    </w:lvl>
    <w:lvl w:ilvl="5" w:tplc="CBB211DC" w:tentative="1">
      <w:start w:val="1"/>
      <w:numFmt w:val="bullet"/>
      <w:lvlText w:val=""/>
      <w:lvlJc w:val="left"/>
      <w:pPr>
        <w:ind w:left="4320" w:hanging="360"/>
      </w:pPr>
      <w:rPr>
        <w:rFonts w:ascii="Wingdings" w:hAnsi="Wingdings" w:hint="default"/>
      </w:rPr>
    </w:lvl>
    <w:lvl w:ilvl="6" w:tplc="9DB0EE3C" w:tentative="1">
      <w:start w:val="1"/>
      <w:numFmt w:val="bullet"/>
      <w:lvlText w:val=""/>
      <w:lvlJc w:val="left"/>
      <w:pPr>
        <w:ind w:left="5040" w:hanging="360"/>
      </w:pPr>
      <w:rPr>
        <w:rFonts w:ascii="Symbol" w:hAnsi="Symbol" w:hint="default"/>
      </w:rPr>
    </w:lvl>
    <w:lvl w:ilvl="7" w:tplc="F98AD852" w:tentative="1">
      <w:start w:val="1"/>
      <w:numFmt w:val="bullet"/>
      <w:lvlText w:val="o"/>
      <w:lvlJc w:val="left"/>
      <w:pPr>
        <w:ind w:left="5760" w:hanging="360"/>
      </w:pPr>
      <w:rPr>
        <w:rFonts w:ascii="Courier New" w:hAnsi="Courier New" w:hint="default"/>
      </w:rPr>
    </w:lvl>
    <w:lvl w:ilvl="8" w:tplc="847CF3A8" w:tentative="1">
      <w:start w:val="1"/>
      <w:numFmt w:val="bullet"/>
      <w:lvlText w:val=""/>
      <w:lvlJc w:val="left"/>
      <w:pPr>
        <w:ind w:left="6480" w:hanging="360"/>
      </w:pPr>
      <w:rPr>
        <w:rFonts w:ascii="Wingdings" w:hAnsi="Wingdings" w:hint="default"/>
      </w:rPr>
    </w:lvl>
  </w:abstractNum>
  <w:abstractNum w:abstractNumId="377" w15:restartNumberingAfterBreak="0">
    <w:nsid w:val="4B9DB7E1"/>
    <w:multiLevelType w:val="hybridMultilevel"/>
    <w:tmpl w:val="FFFFFFFF"/>
    <w:lvl w:ilvl="0" w:tplc="BB60DA3E">
      <w:start w:val="1"/>
      <w:numFmt w:val="bullet"/>
      <w:lvlText w:val=""/>
      <w:lvlJc w:val="left"/>
      <w:pPr>
        <w:ind w:left="720" w:hanging="360"/>
      </w:pPr>
      <w:rPr>
        <w:rFonts w:ascii="Symbol" w:hAnsi="Symbol" w:hint="default"/>
      </w:rPr>
    </w:lvl>
    <w:lvl w:ilvl="1" w:tplc="F5EAD770">
      <w:start w:val="1"/>
      <w:numFmt w:val="bullet"/>
      <w:lvlText w:val="o"/>
      <w:lvlJc w:val="left"/>
      <w:pPr>
        <w:ind w:left="1440" w:hanging="360"/>
      </w:pPr>
      <w:rPr>
        <w:rFonts w:ascii="Courier New" w:hAnsi="Courier New" w:hint="default"/>
      </w:rPr>
    </w:lvl>
    <w:lvl w:ilvl="2" w:tplc="8E20DBB0">
      <w:start w:val="1"/>
      <w:numFmt w:val="bullet"/>
      <w:lvlText w:val=""/>
      <w:lvlJc w:val="left"/>
      <w:pPr>
        <w:ind w:left="2160" w:hanging="360"/>
      </w:pPr>
      <w:rPr>
        <w:rFonts w:ascii="Wingdings" w:hAnsi="Wingdings" w:hint="default"/>
      </w:rPr>
    </w:lvl>
    <w:lvl w:ilvl="3" w:tplc="AE348AEA">
      <w:start w:val="1"/>
      <w:numFmt w:val="bullet"/>
      <w:lvlText w:val=""/>
      <w:lvlJc w:val="left"/>
      <w:pPr>
        <w:ind w:left="2880" w:hanging="360"/>
      </w:pPr>
      <w:rPr>
        <w:rFonts w:ascii="Symbol" w:hAnsi="Symbol" w:hint="default"/>
      </w:rPr>
    </w:lvl>
    <w:lvl w:ilvl="4" w:tplc="B9B63068">
      <w:start w:val="1"/>
      <w:numFmt w:val="bullet"/>
      <w:lvlText w:val="o"/>
      <w:lvlJc w:val="left"/>
      <w:pPr>
        <w:ind w:left="3600" w:hanging="360"/>
      </w:pPr>
      <w:rPr>
        <w:rFonts w:ascii="Courier New" w:hAnsi="Courier New" w:hint="default"/>
      </w:rPr>
    </w:lvl>
    <w:lvl w:ilvl="5" w:tplc="77F2195A">
      <w:start w:val="1"/>
      <w:numFmt w:val="bullet"/>
      <w:lvlText w:val=""/>
      <w:lvlJc w:val="left"/>
      <w:pPr>
        <w:ind w:left="4320" w:hanging="360"/>
      </w:pPr>
      <w:rPr>
        <w:rFonts w:ascii="Wingdings" w:hAnsi="Wingdings" w:hint="default"/>
      </w:rPr>
    </w:lvl>
    <w:lvl w:ilvl="6" w:tplc="038A1318">
      <w:start w:val="1"/>
      <w:numFmt w:val="bullet"/>
      <w:lvlText w:val=""/>
      <w:lvlJc w:val="left"/>
      <w:pPr>
        <w:ind w:left="5040" w:hanging="360"/>
      </w:pPr>
      <w:rPr>
        <w:rFonts w:ascii="Symbol" w:hAnsi="Symbol" w:hint="default"/>
      </w:rPr>
    </w:lvl>
    <w:lvl w:ilvl="7" w:tplc="03AE80A8">
      <w:start w:val="1"/>
      <w:numFmt w:val="bullet"/>
      <w:lvlText w:val="o"/>
      <w:lvlJc w:val="left"/>
      <w:pPr>
        <w:ind w:left="5760" w:hanging="360"/>
      </w:pPr>
      <w:rPr>
        <w:rFonts w:ascii="Courier New" w:hAnsi="Courier New" w:hint="default"/>
      </w:rPr>
    </w:lvl>
    <w:lvl w:ilvl="8" w:tplc="360A983A">
      <w:start w:val="1"/>
      <w:numFmt w:val="bullet"/>
      <w:lvlText w:val=""/>
      <w:lvlJc w:val="left"/>
      <w:pPr>
        <w:ind w:left="6480" w:hanging="360"/>
      </w:pPr>
      <w:rPr>
        <w:rFonts w:ascii="Wingdings" w:hAnsi="Wingdings" w:hint="default"/>
      </w:rPr>
    </w:lvl>
  </w:abstractNum>
  <w:abstractNum w:abstractNumId="378" w15:restartNumberingAfterBreak="0">
    <w:nsid w:val="4BA00E7D"/>
    <w:multiLevelType w:val="hybridMultilevel"/>
    <w:tmpl w:val="00589B3A"/>
    <w:lvl w:ilvl="0" w:tplc="47809116">
      <w:start w:val="1"/>
      <w:numFmt w:val="bullet"/>
      <w:lvlText w:val=""/>
      <w:lvlJc w:val="left"/>
      <w:pPr>
        <w:ind w:left="720" w:hanging="360"/>
      </w:pPr>
      <w:rPr>
        <w:rFonts w:ascii="Symbol" w:hAnsi="Symbol" w:hint="default"/>
      </w:rPr>
    </w:lvl>
    <w:lvl w:ilvl="1" w:tplc="6B668754" w:tentative="1">
      <w:start w:val="1"/>
      <w:numFmt w:val="bullet"/>
      <w:lvlText w:val="o"/>
      <w:lvlJc w:val="left"/>
      <w:pPr>
        <w:ind w:left="1440" w:hanging="360"/>
      </w:pPr>
      <w:rPr>
        <w:rFonts w:ascii="Courier New" w:hAnsi="Courier New" w:hint="default"/>
      </w:rPr>
    </w:lvl>
    <w:lvl w:ilvl="2" w:tplc="05F02A70" w:tentative="1">
      <w:start w:val="1"/>
      <w:numFmt w:val="bullet"/>
      <w:lvlText w:val=""/>
      <w:lvlJc w:val="left"/>
      <w:pPr>
        <w:ind w:left="2160" w:hanging="360"/>
      </w:pPr>
      <w:rPr>
        <w:rFonts w:ascii="Wingdings" w:hAnsi="Wingdings" w:hint="default"/>
      </w:rPr>
    </w:lvl>
    <w:lvl w:ilvl="3" w:tplc="7F92A1C8" w:tentative="1">
      <w:start w:val="1"/>
      <w:numFmt w:val="bullet"/>
      <w:lvlText w:val=""/>
      <w:lvlJc w:val="left"/>
      <w:pPr>
        <w:ind w:left="2880" w:hanging="360"/>
      </w:pPr>
      <w:rPr>
        <w:rFonts w:ascii="Symbol" w:hAnsi="Symbol" w:hint="default"/>
      </w:rPr>
    </w:lvl>
    <w:lvl w:ilvl="4" w:tplc="DD745960" w:tentative="1">
      <w:start w:val="1"/>
      <w:numFmt w:val="bullet"/>
      <w:lvlText w:val="o"/>
      <w:lvlJc w:val="left"/>
      <w:pPr>
        <w:ind w:left="3600" w:hanging="360"/>
      </w:pPr>
      <w:rPr>
        <w:rFonts w:ascii="Courier New" w:hAnsi="Courier New" w:hint="default"/>
      </w:rPr>
    </w:lvl>
    <w:lvl w:ilvl="5" w:tplc="42AE8C60" w:tentative="1">
      <w:start w:val="1"/>
      <w:numFmt w:val="bullet"/>
      <w:lvlText w:val=""/>
      <w:lvlJc w:val="left"/>
      <w:pPr>
        <w:ind w:left="4320" w:hanging="360"/>
      </w:pPr>
      <w:rPr>
        <w:rFonts w:ascii="Wingdings" w:hAnsi="Wingdings" w:hint="default"/>
      </w:rPr>
    </w:lvl>
    <w:lvl w:ilvl="6" w:tplc="ACD29B6A" w:tentative="1">
      <w:start w:val="1"/>
      <w:numFmt w:val="bullet"/>
      <w:lvlText w:val=""/>
      <w:lvlJc w:val="left"/>
      <w:pPr>
        <w:ind w:left="5040" w:hanging="360"/>
      </w:pPr>
      <w:rPr>
        <w:rFonts w:ascii="Symbol" w:hAnsi="Symbol" w:hint="default"/>
      </w:rPr>
    </w:lvl>
    <w:lvl w:ilvl="7" w:tplc="D3726C52" w:tentative="1">
      <w:start w:val="1"/>
      <w:numFmt w:val="bullet"/>
      <w:lvlText w:val="o"/>
      <w:lvlJc w:val="left"/>
      <w:pPr>
        <w:ind w:left="5760" w:hanging="360"/>
      </w:pPr>
      <w:rPr>
        <w:rFonts w:ascii="Courier New" w:hAnsi="Courier New" w:hint="default"/>
      </w:rPr>
    </w:lvl>
    <w:lvl w:ilvl="8" w:tplc="DF229A7C" w:tentative="1">
      <w:start w:val="1"/>
      <w:numFmt w:val="bullet"/>
      <w:lvlText w:val=""/>
      <w:lvlJc w:val="left"/>
      <w:pPr>
        <w:ind w:left="6480" w:hanging="360"/>
      </w:pPr>
      <w:rPr>
        <w:rFonts w:ascii="Wingdings" w:hAnsi="Wingdings" w:hint="default"/>
      </w:rPr>
    </w:lvl>
  </w:abstractNum>
  <w:abstractNum w:abstractNumId="379" w15:restartNumberingAfterBreak="0">
    <w:nsid w:val="4BB970D4"/>
    <w:multiLevelType w:val="hybridMultilevel"/>
    <w:tmpl w:val="2C9CCB0E"/>
    <w:lvl w:ilvl="0" w:tplc="52E0AE0A">
      <w:start w:val="1"/>
      <w:numFmt w:val="bullet"/>
      <w:lvlText w:val=""/>
      <w:lvlJc w:val="left"/>
      <w:pPr>
        <w:ind w:left="720" w:hanging="360"/>
      </w:pPr>
      <w:rPr>
        <w:rFonts w:ascii="Symbol" w:hAnsi="Symbol" w:hint="default"/>
      </w:rPr>
    </w:lvl>
    <w:lvl w:ilvl="1" w:tplc="604CBCF8">
      <w:start w:val="1"/>
      <w:numFmt w:val="bullet"/>
      <w:lvlText w:val="o"/>
      <w:lvlJc w:val="left"/>
      <w:pPr>
        <w:ind w:left="1440" w:hanging="360"/>
      </w:pPr>
      <w:rPr>
        <w:rFonts w:ascii="Courier New" w:hAnsi="Courier New" w:hint="default"/>
      </w:rPr>
    </w:lvl>
    <w:lvl w:ilvl="2" w:tplc="1F3E0178">
      <w:start w:val="1"/>
      <w:numFmt w:val="bullet"/>
      <w:lvlText w:val=""/>
      <w:lvlJc w:val="left"/>
      <w:pPr>
        <w:ind w:left="2160" w:hanging="360"/>
      </w:pPr>
      <w:rPr>
        <w:rFonts w:ascii="Wingdings" w:hAnsi="Wingdings" w:hint="default"/>
      </w:rPr>
    </w:lvl>
    <w:lvl w:ilvl="3" w:tplc="9F283BCC">
      <w:start w:val="1"/>
      <w:numFmt w:val="bullet"/>
      <w:lvlText w:val=""/>
      <w:lvlJc w:val="left"/>
      <w:pPr>
        <w:ind w:left="2880" w:hanging="360"/>
      </w:pPr>
      <w:rPr>
        <w:rFonts w:ascii="Symbol" w:hAnsi="Symbol" w:hint="default"/>
      </w:rPr>
    </w:lvl>
    <w:lvl w:ilvl="4" w:tplc="8FFE7118">
      <w:start w:val="1"/>
      <w:numFmt w:val="bullet"/>
      <w:lvlText w:val="o"/>
      <w:lvlJc w:val="left"/>
      <w:pPr>
        <w:ind w:left="3600" w:hanging="360"/>
      </w:pPr>
      <w:rPr>
        <w:rFonts w:ascii="Courier New" w:hAnsi="Courier New" w:hint="default"/>
      </w:rPr>
    </w:lvl>
    <w:lvl w:ilvl="5" w:tplc="03FE7CDE">
      <w:start w:val="1"/>
      <w:numFmt w:val="bullet"/>
      <w:lvlText w:val=""/>
      <w:lvlJc w:val="left"/>
      <w:pPr>
        <w:ind w:left="4320" w:hanging="360"/>
      </w:pPr>
      <w:rPr>
        <w:rFonts w:ascii="Wingdings" w:hAnsi="Wingdings" w:hint="default"/>
      </w:rPr>
    </w:lvl>
    <w:lvl w:ilvl="6" w:tplc="D080784A">
      <w:start w:val="1"/>
      <w:numFmt w:val="bullet"/>
      <w:lvlText w:val=""/>
      <w:lvlJc w:val="left"/>
      <w:pPr>
        <w:ind w:left="5040" w:hanging="360"/>
      </w:pPr>
      <w:rPr>
        <w:rFonts w:ascii="Symbol" w:hAnsi="Symbol" w:hint="default"/>
      </w:rPr>
    </w:lvl>
    <w:lvl w:ilvl="7" w:tplc="428A1840">
      <w:start w:val="1"/>
      <w:numFmt w:val="bullet"/>
      <w:lvlText w:val="o"/>
      <w:lvlJc w:val="left"/>
      <w:pPr>
        <w:ind w:left="5760" w:hanging="360"/>
      </w:pPr>
      <w:rPr>
        <w:rFonts w:ascii="Courier New" w:hAnsi="Courier New" w:hint="default"/>
      </w:rPr>
    </w:lvl>
    <w:lvl w:ilvl="8" w:tplc="9996A8A8">
      <w:start w:val="1"/>
      <w:numFmt w:val="bullet"/>
      <w:lvlText w:val=""/>
      <w:lvlJc w:val="left"/>
      <w:pPr>
        <w:ind w:left="6480" w:hanging="360"/>
      </w:pPr>
      <w:rPr>
        <w:rFonts w:ascii="Wingdings" w:hAnsi="Wingdings" w:hint="default"/>
      </w:rPr>
    </w:lvl>
  </w:abstractNum>
  <w:abstractNum w:abstractNumId="380" w15:restartNumberingAfterBreak="0">
    <w:nsid w:val="4C033D1A"/>
    <w:multiLevelType w:val="hybridMultilevel"/>
    <w:tmpl w:val="FFFFFFFF"/>
    <w:lvl w:ilvl="0" w:tplc="CF522F20">
      <w:start w:val="1"/>
      <w:numFmt w:val="bullet"/>
      <w:lvlText w:val="·"/>
      <w:lvlJc w:val="left"/>
      <w:pPr>
        <w:ind w:left="720" w:hanging="360"/>
      </w:pPr>
      <w:rPr>
        <w:rFonts w:ascii="Symbol" w:hAnsi="Symbol" w:hint="default"/>
      </w:rPr>
    </w:lvl>
    <w:lvl w:ilvl="1" w:tplc="68BA42FC">
      <w:start w:val="1"/>
      <w:numFmt w:val="bullet"/>
      <w:lvlText w:val="o"/>
      <w:lvlJc w:val="left"/>
      <w:pPr>
        <w:ind w:left="1440" w:hanging="360"/>
      </w:pPr>
      <w:rPr>
        <w:rFonts w:ascii="Courier New" w:hAnsi="Courier New" w:hint="default"/>
      </w:rPr>
    </w:lvl>
    <w:lvl w:ilvl="2" w:tplc="3B28C400">
      <w:start w:val="1"/>
      <w:numFmt w:val="bullet"/>
      <w:lvlText w:val=""/>
      <w:lvlJc w:val="left"/>
      <w:pPr>
        <w:ind w:left="2160" w:hanging="360"/>
      </w:pPr>
      <w:rPr>
        <w:rFonts w:ascii="Wingdings" w:hAnsi="Wingdings" w:hint="default"/>
      </w:rPr>
    </w:lvl>
    <w:lvl w:ilvl="3" w:tplc="BE74DAF8">
      <w:start w:val="1"/>
      <w:numFmt w:val="bullet"/>
      <w:lvlText w:val=""/>
      <w:lvlJc w:val="left"/>
      <w:pPr>
        <w:ind w:left="2880" w:hanging="360"/>
      </w:pPr>
      <w:rPr>
        <w:rFonts w:ascii="Symbol" w:hAnsi="Symbol" w:hint="default"/>
      </w:rPr>
    </w:lvl>
    <w:lvl w:ilvl="4" w:tplc="12B86124">
      <w:start w:val="1"/>
      <w:numFmt w:val="bullet"/>
      <w:lvlText w:val="o"/>
      <w:lvlJc w:val="left"/>
      <w:pPr>
        <w:ind w:left="3600" w:hanging="360"/>
      </w:pPr>
      <w:rPr>
        <w:rFonts w:ascii="Courier New" w:hAnsi="Courier New" w:hint="default"/>
      </w:rPr>
    </w:lvl>
    <w:lvl w:ilvl="5" w:tplc="0D7CACD2">
      <w:start w:val="1"/>
      <w:numFmt w:val="bullet"/>
      <w:lvlText w:val=""/>
      <w:lvlJc w:val="left"/>
      <w:pPr>
        <w:ind w:left="4320" w:hanging="360"/>
      </w:pPr>
      <w:rPr>
        <w:rFonts w:ascii="Wingdings" w:hAnsi="Wingdings" w:hint="default"/>
      </w:rPr>
    </w:lvl>
    <w:lvl w:ilvl="6" w:tplc="7F4C1690">
      <w:start w:val="1"/>
      <w:numFmt w:val="bullet"/>
      <w:lvlText w:val=""/>
      <w:lvlJc w:val="left"/>
      <w:pPr>
        <w:ind w:left="5040" w:hanging="360"/>
      </w:pPr>
      <w:rPr>
        <w:rFonts w:ascii="Symbol" w:hAnsi="Symbol" w:hint="default"/>
      </w:rPr>
    </w:lvl>
    <w:lvl w:ilvl="7" w:tplc="D00ABA46">
      <w:start w:val="1"/>
      <w:numFmt w:val="bullet"/>
      <w:lvlText w:val="o"/>
      <w:lvlJc w:val="left"/>
      <w:pPr>
        <w:ind w:left="5760" w:hanging="360"/>
      </w:pPr>
      <w:rPr>
        <w:rFonts w:ascii="Courier New" w:hAnsi="Courier New" w:hint="default"/>
      </w:rPr>
    </w:lvl>
    <w:lvl w:ilvl="8" w:tplc="8280F09E">
      <w:start w:val="1"/>
      <w:numFmt w:val="bullet"/>
      <w:lvlText w:val=""/>
      <w:lvlJc w:val="left"/>
      <w:pPr>
        <w:ind w:left="6480" w:hanging="360"/>
      </w:pPr>
      <w:rPr>
        <w:rFonts w:ascii="Wingdings" w:hAnsi="Wingdings" w:hint="default"/>
      </w:rPr>
    </w:lvl>
  </w:abstractNum>
  <w:abstractNum w:abstractNumId="381" w15:restartNumberingAfterBreak="0">
    <w:nsid w:val="4C2E5570"/>
    <w:multiLevelType w:val="hybridMultilevel"/>
    <w:tmpl w:val="CD247142"/>
    <w:lvl w:ilvl="0" w:tplc="7BACFD36">
      <w:start w:val="1"/>
      <w:numFmt w:val="bullet"/>
      <w:lvlText w:val=""/>
      <w:lvlJc w:val="left"/>
      <w:pPr>
        <w:ind w:left="1004" w:hanging="360"/>
      </w:pPr>
      <w:rPr>
        <w:rFonts w:ascii="Symbol" w:hAnsi="Symbol" w:hint="default"/>
      </w:rPr>
    </w:lvl>
    <w:lvl w:ilvl="1" w:tplc="BE823C5C" w:tentative="1">
      <w:start w:val="1"/>
      <w:numFmt w:val="bullet"/>
      <w:lvlText w:val="o"/>
      <w:lvlJc w:val="left"/>
      <w:pPr>
        <w:ind w:left="1724" w:hanging="360"/>
      </w:pPr>
      <w:rPr>
        <w:rFonts w:ascii="Courier New" w:hAnsi="Courier New" w:hint="default"/>
      </w:rPr>
    </w:lvl>
    <w:lvl w:ilvl="2" w:tplc="F93C0F6A" w:tentative="1">
      <w:start w:val="1"/>
      <w:numFmt w:val="bullet"/>
      <w:lvlText w:val=""/>
      <w:lvlJc w:val="left"/>
      <w:pPr>
        <w:ind w:left="2444" w:hanging="360"/>
      </w:pPr>
      <w:rPr>
        <w:rFonts w:ascii="Wingdings" w:hAnsi="Wingdings" w:hint="default"/>
      </w:rPr>
    </w:lvl>
    <w:lvl w:ilvl="3" w:tplc="95D2FF2A" w:tentative="1">
      <w:start w:val="1"/>
      <w:numFmt w:val="bullet"/>
      <w:lvlText w:val=""/>
      <w:lvlJc w:val="left"/>
      <w:pPr>
        <w:ind w:left="3164" w:hanging="360"/>
      </w:pPr>
      <w:rPr>
        <w:rFonts w:ascii="Symbol" w:hAnsi="Symbol" w:hint="default"/>
      </w:rPr>
    </w:lvl>
    <w:lvl w:ilvl="4" w:tplc="B70E01EC" w:tentative="1">
      <w:start w:val="1"/>
      <w:numFmt w:val="bullet"/>
      <w:lvlText w:val="o"/>
      <w:lvlJc w:val="left"/>
      <w:pPr>
        <w:ind w:left="3884" w:hanging="360"/>
      </w:pPr>
      <w:rPr>
        <w:rFonts w:ascii="Courier New" w:hAnsi="Courier New" w:hint="default"/>
      </w:rPr>
    </w:lvl>
    <w:lvl w:ilvl="5" w:tplc="0B54E00A" w:tentative="1">
      <w:start w:val="1"/>
      <w:numFmt w:val="bullet"/>
      <w:lvlText w:val=""/>
      <w:lvlJc w:val="left"/>
      <w:pPr>
        <w:ind w:left="4604" w:hanging="360"/>
      </w:pPr>
      <w:rPr>
        <w:rFonts w:ascii="Wingdings" w:hAnsi="Wingdings" w:hint="default"/>
      </w:rPr>
    </w:lvl>
    <w:lvl w:ilvl="6" w:tplc="834EB274" w:tentative="1">
      <w:start w:val="1"/>
      <w:numFmt w:val="bullet"/>
      <w:lvlText w:val=""/>
      <w:lvlJc w:val="left"/>
      <w:pPr>
        <w:ind w:left="5324" w:hanging="360"/>
      </w:pPr>
      <w:rPr>
        <w:rFonts w:ascii="Symbol" w:hAnsi="Symbol" w:hint="default"/>
      </w:rPr>
    </w:lvl>
    <w:lvl w:ilvl="7" w:tplc="A95479B2" w:tentative="1">
      <w:start w:val="1"/>
      <w:numFmt w:val="bullet"/>
      <w:lvlText w:val="o"/>
      <w:lvlJc w:val="left"/>
      <w:pPr>
        <w:ind w:left="6044" w:hanging="360"/>
      </w:pPr>
      <w:rPr>
        <w:rFonts w:ascii="Courier New" w:hAnsi="Courier New" w:hint="default"/>
      </w:rPr>
    </w:lvl>
    <w:lvl w:ilvl="8" w:tplc="3FF40896" w:tentative="1">
      <w:start w:val="1"/>
      <w:numFmt w:val="bullet"/>
      <w:lvlText w:val=""/>
      <w:lvlJc w:val="left"/>
      <w:pPr>
        <w:ind w:left="6764" w:hanging="360"/>
      </w:pPr>
      <w:rPr>
        <w:rFonts w:ascii="Wingdings" w:hAnsi="Wingdings" w:hint="default"/>
      </w:rPr>
    </w:lvl>
  </w:abstractNum>
  <w:abstractNum w:abstractNumId="382" w15:restartNumberingAfterBreak="0">
    <w:nsid w:val="4C315716"/>
    <w:multiLevelType w:val="hybridMultilevel"/>
    <w:tmpl w:val="FFFFFFFF"/>
    <w:lvl w:ilvl="0" w:tplc="913402EE">
      <w:start w:val="1"/>
      <w:numFmt w:val="bullet"/>
      <w:lvlText w:val="o"/>
      <w:lvlJc w:val="left"/>
      <w:pPr>
        <w:ind w:left="720" w:hanging="360"/>
      </w:pPr>
      <w:rPr>
        <w:rFonts w:ascii="&quot;Courier New&quot;" w:hAnsi="&quot;Courier New&quot;" w:hint="default"/>
      </w:rPr>
    </w:lvl>
    <w:lvl w:ilvl="1" w:tplc="DA1A938A">
      <w:start w:val="1"/>
      <w:numFmt w:val="bullet"/>
      <w:lvlText w:val="o"/>
      <w:lvlJc w:val="left"/>
      <w:pPr>
        <w:ind w:left="1440" w:hanging="360"/>
      </w:pPr>
      <w:rPr>
        <w:rFonts w:ascii="Courier New" w:hAnsi="Courier New" w:hint="default"/>
      </w:rPr>
    </w:lvl>
    <w:lvl w:ilvl="2" w:tplc="8FC4F594">
      <w:start w:val="1"/>
      <w:numFmt w:val="bullet"/>
      <w:lvlText w:val=""/>
      <w:lvlJc w:val="left"/>
      <w:pPr>
        <w:ind w:left="2160" w:hanging="360"/>
      </w:pPr>
      <w:rPr>
        <w:rFonts w:ascii="Wingdings" w:hAnsi="Wingdings" w:hint="default"/>
      </w:rPr>
    </w:lvl>
    <w:lvl w:ilvl="3" w:tplc="D5EC3D92">
      <w:start w:val="1"/>
      <w:numFmt w:val="bullet"/>
      <w:lvlText w:val=""/>
      <w:lvlJc w:val="left"/>
      <w:pPr>
        <w:ind w:left="2880" w:hanging="360"/>
      </w:pPr>
      <w:rPr>
        <w:rFonts w:ascii="Symbol" w:hAnsi="Symbol" w:hint="default"/>
      </w:rPr>
    </w:lvl>
    <w:lvl w:ilvl="4" w:tplc="6E1209DE">
      <w:start w:val="1"/>
      <w:numFmt w:val="bullet"/>
      <w:lvlText w:val="o"/>
      <w:lvlJc w:val="left"/>
      <w:pPr>
        <w:ind w:left="3600" w:hanging="360"/>
      </w:pPr>
      <w:rPr>
        <w:rFonts w:ascii="Courier New" w:hAnsi="Courier New" w:hint="default"/>
      </w:rPr>
    </w:lvl>
    <w:lvl w:ilvl="5" w:tplc="0D8AA184">
      <w:start w:val="1"/>
      <w:numFmt w:val="bullet"/>
      <w:lvlText w:val=""/>
      <w:lvlJc w:val="left"/>
      <w:pPr>
        <w:ind w:left="4320" w:hanging="360"/>
      </w:pPr>
      <w:rPr>
        <w:rFonts w:ascii="Wingdings" w:hAnsi="Wingdings" w:hint="default"/>
      </w:rPr>
    </w:lvl>
    <w:lvl w:ilvl="6" w:tplc="CA28D8D4">
      <w:start w:val="1"/>
      <w:numFmt w:val="bullet"/>
      <w:lvlText w:val=""/>
      <w:lvlJc w:val="left"/>
      <w:pPr>
        <w:ind w:left="5040" w:hanging="360"/>
      </w:pPr>
      <w:rPr>
        <w:rFonts w:ascii="Symbol" w:hAnsi="Symbol" w:hint="default"/>
      </w:rPr>
    </w:lvl>
    <w:lvl w:ilvl="7" w:tplc="E0221BF0">
      <w:start w:val="1"/>
      <w:numFmt w:val="bullet"/>
      <w:lvlText w:val="o"/>
      <w:lvlJc w:val="left"/>
      <w:pPr>
        <w:ind w:left="5760" w:hanging="360"/>
      </w:pPr>
      <w:rPr>
        <w:rFonts w:ascii="Courier New" w:hAnsi="Courier New" w:hint="default"/>
      </w:rPr>
    </w:lvl>
    <w:lvl w:ilvl="8" w:tplc="18082BCC">
      <w:start w:val="1"/>
      <w:numFmt w:val="bullet"/>
      <w:lvlText w:val=""/>
      <w:lvlJc w:val="left"/>
      <w:pPr>
        <w:ind w:left="6480" w:hanging="360"/>
      </w:pPr>
      <w:rPr>
        <w:rFonts w:ascii="Wingdings" w:hAnsi="Wingdings" w:hint="default"/>
      </w:rPr>
    </w:lvl>
  </w:abstractNum>
  <w:abstractNum w:abstractNumId="383" w15:restartNumberingAfterBreak="0">
    <w:nsid w:val="4C5D56B6"/>
    <w:multiLevelType w:val="hybridMultilevel"/>
    <w:tmpl w:val="9FAC290A"/>
    <w:lvl w:ilvl="0" w:tplc="BC7C59CC">
      <w:start w:val="1"/>
      <w:numFmt w:val="bullet"/>
      <w:lvlText w:val=""/>
      <w:lvlJc w:val="left"/>
      <w:pPr>
        <w:ind w:left="1440" w:hanging="360"/>
      </w:pPr>
      <w:rPr>
        <w:rFonts w:ascii="Symbol" w:hAnsi="Symbol"/>
      </w:rPr>
    </w:lvl>
    <w:lvl w:ilvl="1" w:tplc="653AD3C2">
      <w:start w:val="1"/>
      <w:numFmt w:val="bullet"/>
      <w:lvlText w:val=""/>
      <w:lvlJc w:val="left"/>
      <w:pPr>
        <w:ind w:left="1440" w:hanging="360"/>
      </w:pPr>
      <w:rPr>
        <w:rFonts w:ascii="Symbol" w:hAnsi="Symbol"/>
      </w:rPr>
    </w:lvl>
    <w:lvl w:ilvl="2" w:tplc="365A9258">
      <w:start w:val="1"/>
      <w:numFmt w:val="bullet"/>
      <w:lvlText w:val=""/>
      <w:lvlJc w:val="left"/>
      <w:pPr>
        <w:ind w:left="1440" w:hanging="360"/>
      </w:pPr>
      <w:rPr>
        <w:rFonts w:ascii="Symbol" w:hAnsi="Symbol"/>
      </w:rPr>
    </w:lvl>
    <w:lvl w:ilvl="3" w:tplc="BA9CA262">
      <w:start w:val="1"/>
      <w:numFmt w:val="bullet"/>
      <w:lvlText w:val=""/>
      <w:lvlJc w:val="left"/>
      <w:pPr>
        <w:ind w:left="1440" w:hanging="360"/>
      </w:pPr>
      <w:rPr>
        <w:rFonts w:ascii="Symbol" w:hAnsi="Symbol"/>
      </w:rPr>
    </w:lvl>
    <w:lvl w:ilvl="4" w:tplc="35240C5A">
      <w:start w:val="1"/>
      <w:numFmt w:val="bullet"/>
      <w:lvlText w:val=""/>
      <w:lvlJc w:val="left"/>
      <w:pPr>
        <w:ind w:left="1440" w:hanging="360"/>
      </w:pPr>
      <w:rPr>
        <w:rFonts w:ascii="Symbol" w:hAnsi="Symbol"/>
      </w:rPr>
    </w:lvl>
    <w:lvl w:ilvl="5" w:tplc="3496BCEA">
      <w:start w:val="1"/>
      <w:numFmt w:val="bullet"/>
      <w:lvlText w:val=""/>
      <w:lvlJc w:val="left"/>
      <w:pPr>
        <w:ind w:left="1440" w:hanging="360"/>
      </w:pPr>
      <w:rPr>
        <w:rFonts w:ascii="Symbol" w:hAnsi="Symbol"/>
      </w:rPr>
    </w:lvl>
    <w:lvl w:ilvl="6" w:tplc="DB54B206">
      <w:start w:val="1"/>
      <w:numFmt w:val="bullet"/>
      <w:lvlText w:val=""/>
      <w:lvlJc w:val="left"/>
      <w:pPr>
        <w:ind w:left="1440" w:hanging="360"/>
      </w:pPr>
      <w:rPr>
        <w:rFonts w:ascii="Symbol" w:hAnsi="Symbol"/>
      </w:rPr>
    </w:lvl>
    <w:lvl w:ilvl="7" w:tplc="21D43526">
      <w:start w:val="1"/>
      <w:numFmt w:val="bullet"/>
      <w:lvlText w:val=""/>
      <w:lvlJc w:val="left"/>
      <w:pPr>
        <w:ind w:left="1440" w:hanging="360"/>
      </w:pPr>
      <w:rPr>
        <w:rFonts w:ascii="Symbol" w:hAnsi="Symbol"/>
      </w:rPr>
    </w:lvl>
    <w:lvl w:ilvl="8" w:tplc="3E244A34">
      <w:start w:val="1"/>
      <w:numFmt w:val="bullet"/>
      <w:lvlText w:val=""/>
      <w:lvlJc w:val="left"/>
      <w:pPr>
        <w:ind w:left="1440" w:hanging="360"/>
      </w:pPr>
      <w:rPr>
        <w:rFonts w:ascii="Symbol" w:hAnsi="Symbol"/>
      </w:rPr>
    </w:lvl>
  </w:abstractNum>
  <w:abstractNum w:abstractNumId="384" w15:restartNumberingAfterBreak="0">
    <w:nsid w:val="4C7E4EBF"/>
    <w:multiLevelType w:val="hybridMultilevel"/>
    <w:tmpl w:val="7E9215F8"/>
    <w:lvl w:ilvl="0" w:tplc="4732A046">
      <w:start w:val="1"/>
      <w:numFmt w:val="bullet"/>
      <w:lvlText w:val=""/>
      <w:lvlJc w:val="left"/>
      <w:pPr>
        <w:ind w:left="360" w:hanging="360"/>
      </w:pPr>
      <w:rPr>
        <w:rFonts w:ascii="Symbol" w:hAnsi="Symbol" w:hint="default"/>
      </w:rPr>
    </w:lvl>
    <w:lvl w:ilvl="1" w:tplc="31446782" w:tentative="1">
      <w:start w:val="1"/>
      <w:numFmt w:val="bullet"/>
      <w:lvlText w:val="o"/>
      <w:lvlJc w:val="left"/>
      <w:pPr>
        <w:ind w:left="1080" w:hanging="360"/>
      </w:pPr>
      <w:rPr>
        <w:rFonts w:ascii="Courier New" w:hAnsi="Courier New" w:hint="default"/>
      </w:rPr>
    </w:lvl>
    <w:lvl w:ilvl="2" w:tplc="6F663A44" w:tentative="1">
      <w:start w:val="1"/>
      <w:numFmt w:val="bullet"/>
      <w:lvlText w:val=""/>
      <w:lvlJc w:val="left"/>
      <w:pPr>
        <w:ind w:left="1800" w:hanging="360"/>
      </w:pPr>
      <w:rPr>
        <w:rFonts w:ascii="Wingdings" w:hAnsi="Wingdings" w:hint="default"/>
      </w:rPr>
    </w:lvl>
    <w:lvl w:ilvl="3" w:tplc="A9B872E6" w:tentative="1">
      <w:start w:val="1"/>
      <w:numFmt w:val="bullet"/>
      <w:lvlText w:val=""/>
      <w:lvlJc w:val="left"/>
      <w:pPr>
        <w:ind w:left="2520" w:hanging="360"/>
      </w:pPr>
      <w:rPr>
        <w:rFonts w:ascii="Symbol" w:hAnsi="Symbol" w:hint="default"/>
      </w:rPr>
    </w:lvl>
    <w:lvl w:ilvl="4" w:tplc="7604DC00" w:tentative="1">
      <w:start w:val="1"/>
      <w:numFmt w:val="bullet"/>
      <w:lvlText w:val="o"/>
      <w:lvlJc w:val="left"/>
      <w:pPr>
        <w:ind w:left="3240" w:hanging="360"/>
      </w:pPr>
      <w:rPr>
        <w:rFonts w:ascii="Courier New" w:hAnsi="Courier New" w:hint="default"/>
      </w:rPr>
    </w:lvl>
    <w:lvl w:ilvl="5" w:tplc="8B5234E0" w:tentative="1">
      <w:start w:val="1"/>
      <w:numFmt w:val="bullet"/>
      <w:lvlText w:val=""/>
      <w:lvlJc w:val="left"/>
      <w:pPr>
        <w:ind w:left="3960" w:hanging="360"/>
      </w:pPr>
      <w:rPr>
        <w:rFonts w:ascii="Wingdings" w:hAnsi="Wingdings" w:hint="default"/>
      </w:rPr>
    </w:lvl>
    <w:lvl w:ilvl="6" w:tplc="EA4E6104" w:tentative="1">
      <w:start w:val="1"/>
      <w:numFmt w:val="bullet"/>
      <w:lvlText w:val=""/>
      <w:lvlJc w:val="left"/>
      <w:pPr>
        <w:ind w:left="4680" w:hanging="360"/>
      </w:pPr>
      <w:rPr>
        <w:rFonts w:ascii="Symbol" w:hAnsi="Symbol" w:hint="default"/>
      </w:rPr>
    </w:lvl>
    <w:lvl w:ilvl="7" w:tplc="5EB8158A" w:tentative="1">
      <w:start w:val="1"/>
      <w:numFmt w:val="bullet"/>
      <w:lvlText w:val="o"/>
      <w:lvlJc w:val="left"/>
      <w:pPr>
        <w:ind w:left="5400" w:hanging="360"/>
      </w:pPr>
      <w:rPr>
        <w:rFonts w:ascii="Courier New" w:hAnsi="Courier New" w:hint="default"/>
      </w:rPr>
    </w:lvl>
    <w:lvl w:ilvl="8" w:tplc="BB146652" w:tentative="1">
      <w:start w:val="1"/>
      <w:numFmt w:val="bullet"/>
      <w:lvlText w:val=""/>
      <w:lvlJc w:val="left"/>
      <w:pPr>
        <w:ind w:left="6120" w:hanging="360"/>
      </w:pPr>
      <w:rPr>
        <w:rFonts w:ascii="Wingdings" w:hAnsi="Wingdings" w:hint="default"/>
      </w:rPr>
    </w:lvl>
  </w:abstractNum>
  <w:abstractNum w:abstractNumId="385" w15:restartNumberingAfterBreak="0">
    <w:nsid w:val="4C8C0577"/>
    <w:multiLevelType w:val="hybridMultilevel"/>
    <w:tmpl w:val="FFFFFFFF"/>
    <w:lvl w:ilvl="0" w:tplc="823488C6">
      <w:start w:val="1"/>
      <w:numFmt w:val="bullet"/>
      <w:lvlText w:val="·"/>
      <w:lvlJc w:val="left"/>
      <w:pPr>
        <w:ind w:left="720" w:hanging="360"/>
      </w:pPr>
      <w:rPr>
        <w:rFonts w:ascii="Symbol" w:hAnsi="Symbol" w:hint="default"/>
      </w:rPr>
    </w:lvl>
    <w:lvl w:ilvl="1" w:tplc="992CD22C">
      <w:start w:val="1"/>
      <w:numFmt w:val="bullet"/>
      <w:lvlText w:val="o"/>
      <w:lvlJc w:val="left"/>
      <w:pPr>
        <w:ind w:left="1440" w:hanging="360"/>
      </w:pPr>
      <w:rPr>
        <w:rFonts w:ascii="Courier New" w:hAnsi="Courier New" w:hint="default"/>
      </w:rPr>
    </w:lvl>
    <w:lvl w:ilvl="2" w:tplc="8D8E2376">
      <w:start w:val="1"/>
      <w:numFmt w:val="bullet"/>
      <w:lvlText w:val=""/>
      <w:lvlJc w:val="left"/>
      <w:pPr>
        <w:ind w:left="2160" w:hanging="360"/>
      </w:pPr>
      <w:rPr>
        <w:rFonts w:ascii="Wingdings" w:hAnsi="Wingdings" w:hint="default"/>
      </w:rPr>
    </w:lvl>
    <w:lvl w:ilvl="3" w:tplc="CA04B19A">
      <w:start w:val="1"/>
      <w:numFmt w:val="bullet"/>
      <w:lvlText w:val=""/>
      <w:lvlJc w:val="left"/>
      <w:pPr>
        <w:ind w:left="2880" w:hanging="360"/>
      </w:pPr>
      <w:rPr>
        <w:rFonts w:ascii="Symbol" w:hAnsi="Symbol" w:hint="default"/>
      </w:rPr>
    </w:lvl>
    <w:lvl w:ilvl="4" w:tplc="E124DF06">
      <w:start w:val="1"/>
      <w:numFmt w:val="bullet"/>
      <w:lvlText w:val="o"/>
      <w:lvlJc w:val="left"/>
      <w:pPr>
        <w:ind w:left="3600" w:hanging="360"/>
      </w:pPr>
      <w:rPr>
        <w:rFonts w:ascii="Courier New" w:hAnsi="Courier New" w:hint="default"/>
      </w:rPr>
    </w:lvl>
    <w:lvl w:ilvl="5" w:tplc="7E646558">
      <w:start w:val="1"/>
      <w:numFmt w:val="bullet"/>
      <w:lvlText w:val=""/>
      <w:lvlJc w:val="left"/>
      <w:pPr>
        <w:ind w:left="4320" w:hanging="360"/>
      </w:pPr>
      <w:rPr>
        <w:rFonts w:ascii="Wingdings" w:hAnsi="Wingdings" w:hint="default"/>
      </w:rPr>
    </w:lvl>
    <w:lvl w:ilvl="6" w:tplc="357418D0">
      <w:start w:val="1"/>
      <w:numFmt w:val="bullet"/>
      <w:lvlText w:val=""/>
      <w:lvlJc w:val="left"/>
      <w:pPr>
        <w:ind w:left="5040" w:hanging="360"/>
      </w:pPr>
      <w:rPr>
        <w:rFonts w:ascii="Symbol" w:hAnsi="Symbol" w:hint="default"/>
      </w:rPr>
    </w:lvl>
    <w:lvl w:ilvl="7" w:tplc="39467A02">
      <w:start w:val="1"/>
      <w:numFmt w:val="bullet"/>
      <w:lvlText w:val="o"/>
      <w:lvlJc w:val="left"/>
      <w:pPr>
        <w:ind w:left="5760" w:hanging="360"/>
      </w:pPr>
      <w:rPr>
        <w:rFonts w:ascii="Courier New" w:hAnsi="Courier New" w:hint="default"/>
      </w:rPr>
    </w:lvl>
    <w:lvl w:ilvl="8" w:tplc="323CA78C">
      <w:start w:val="1"/>
      <w:numFmt w:val="bullet"/>
      <w:lvlText w:val=""/>
      <w:lvlJc w:val="left"/>
      <w:pPr>
        <w:ind w:left="6480" w:hanging="360"/>
      </w:pPr>
      <w:rPr>
        <w:rFonts w:ascii="Wingdings" w:hAnsi="Wingdings" w:hint="default"/>
      </w:rPr>
    </w:lvl>
  </w:abstractNum>
  <w:abstractNum w:abstractNumId="386" w15:restartNumberingAfterBreak="0">
    <w:nsid w:val="4CB44EE3"/>
    <w:multiLevelType w:val="multilevel"/>
    <w:tmpl w:val="27A6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CC85DAF"/>
    <w:multiLevelType w:val="multilevel"/>
    <w:tmpl w:val="911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CCF5F47"/>
    <w:multiLevelType w:val="hybridMultilevel"/>
    <w:tmpl w:val="F14C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4CD55E9A"/>
    <w:multiLevelType w:val="multilevel"/>
    <w:tmpl w:val="1EE0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4CF525B4"/>
    <w:multiLevelType w:val="multilevel"/>
    <w:tmpl w:val="3758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D0E625D"/>
    <w:multiLevelType w:val="hybridMultilevel"/>
    <w:tmpl w:val="87D67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2" w15:restartNumberingAfterBreak="0">
    <w:nsid w:val="4DC30289"/>
    <w:multiLevelType w:val="multilevel"/>
    <w:tmpl w:val="EEEC78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3" w15:restartNumberingAfterBreak="0">
    <w:nsid w:val="4DD10A8B"/>
    <w:multiLevelType w:val="multilevel"/>
    <w:tmpl w:val="4FA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4DD24760"/>
    <w:multiLevelType w:val="multilevel"/>
    <w:tmpl w:val="0590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E457193"/>
    <w:multiLevelType w:val="multilevel"/>
    <w:tmpl w:val="DF3EE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E79346D"/>
    <w:multiLevelType w:val="multilevel"/>
    <w:tmpl w:val="2F04FF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97" w15:restartNumberingAfterBreak="0">
    <w:nsid w:val="4E8C1512"/>
    <w:multiLevelType w:val="hybridMultilevel"/>
    <w:tmpl w:val="08783C52"/>
    <w:lvl w:ilvl="0" w:tplc="93BCF782">
      <w:start w:val="1"/>
      <w:numFmt w:val="bullet"/>
      <w:lvlText w:val=""/>
      <w:lvlJc w:val="left"/>
      <w:pPr>
        <w:ind w:left="720" w:hanging="360"/>
      </w:pPr>
      <w:rPr>
        <w:rFonts w:ascii="Symbol" w:hAnsi="Symbol" w:hint="default"/>
      </w:rPr>
    </w:lvl>
    <w:lvl w:ilvl="1" w:tplc="DDC8CD00" w:tentative="1">
      <w:start w:val="1"/>
      <w:numFmt w:val="bullet"/>
      <w:lvlText w:val="o"/>
      <w:lvlJc w:val="left"/>
      <w:pPr>
        <w:ind w:left="1440" w:hanging="360"/>
      </w:pPr>
      <w:rPr>
        <w:rFonts w:ascii="Courier New" w:hAnsi="Courier New" w:hint="default"/>
      </w:rPr>
    </w:lvl>
    <w:lvl w:ilvl="2" w:tplc="388A70E6" w:tentative="1">
      <w:start w:val="1"/>
      <w:numFmt w:val="bullet"/>
      <w:lvlText w:val=""/>
      <w:lvlJc w:val="left"/>
      <w:pPr>
        <w:ind w:left="2160" w:hanging="360"/>
      </w:pPr>
      <w:rPr>
        <w:rFonts w:ascii="Wingdings" w:hAnsi="Wingdings" w:hint="default"/>
      </w:rPr>
    </w:lvl>
    <w:lvl w:ilvl="3" w:tplc="94C6F79C" w:tentative="1">
      <w:start w:val="1"/>
      <w:numFmt w:val="bullet"/>
      <w:lvlText w:val=""/>
      <w:lvlJc w:val="left"/>
      <w:pPr>
        <w:ind w:left="2880" w:hanging="360"/>
      </w:pPr>
      <w:rPr>
        <w:rFonts w:ascii="Symbol" w:hAnsi="Symbol" w:hint="default"/>
      </w:rPr>
    </w:lvl>
    <w:lvl w:ilvl="4" w:tplc="CEDEB6D4" w:tentative="1">
      <w:start w:val="1"/>
      <w:numFmt w:val="bullet"/>
      <w:lvlText w:val="o"/>
      <w:lvlJc w:val="left"/>
      <w:pPr>
        <w:ind w:left="3600" w:hanging="360"/>
      </w:pPr>
      <w:rPr>
        <w:rFonts w:ascii="Courier New" w:hAnsi="Courier New" w:hint="default"/>
      </w:rPr>
    </w:lvl>
    <w:lvl w:ilvl="5" w:tplc="73A02E9E" w:tentative="1">
      <w:start w:val="1"/>
      <w:numFmt w:val="bullet"/>
      <w:lvlText w:val=""/>
      <w:lvlJc w:val="left"/>
      <w:pPr>
        <w:ind w:left="4320" w:hanging="360"/>
      </w:pPr>
      <w:rPr>
        <w:rFonts w:ascii="Wingdings" w:hAnsi="Wingdings" w:hint="default"/>
      </w:rPr>
    </w:lvl>
    <w:lvl w:ilvl="6" w:tplc="B3462BC8" w:tentative="1">
      <w:start w:val="1"/>
      <w:numFmt w:val="bullet"/>
      <w:lvlText w:val=""/>
      <w:lvlJc w:val="left"/>
      <w:pPr>
        <w:ind w:left="5040" w:hanging="360"/>
      </w:pPr>
      <w:rPr>
        <w:rFonts w:ascii="Symbol" w:hAnsi="Symbol" w:hint="default"/>
      </w:rPr>
    </w:lvl>
    <w:lvl w:ilvl="7" w:tplc="EB08356A" w:tentative="1">
      <w:start w:val="1"/>
      <w:numFmt w:val="bullet"/>
      <w:lvlText w:val="o"/>
      <w:lvlJc w:val="left"/>
      <w:pPr>
        <w:ind w:left="5760" w:hanging="360"/>
      </w:pPr>
      <w:rPr>
        <w:rFonts w:ascii="Courier New" w:hAnsi="Courier New" w:hint="default"/>
      </w:rPr>
    </w:lvl>
    <w:lvl w:ilvl="8" w:tplc="A43062E0" w:tentative="1">
      <w:start w:val="1"/>
      <w:numFmt w:val="bullet"/>
      <w:lvlText w:val=""/>
      <w:lvlJc w:val="left"/>
      <w:pPr>
        <w:ind w:left="6480" w:hanging="360"/>
      </w:pPr>
      <w:rPr>
        <w:rFonts w:ascii="Wingdings" w:hAnsi="Wingdings" w:hint="default"/>
      </w:rPr>
    </w:lvl>
  </w:abstractNum>
  <w:abstractNum w:abstractNumId="398" w15:restartNumberingAfterBreak="0">
    <w:nsid w:val="4EAF57A7"/>
    <w:multiLevelType w:val="hybridMultilevel"/>
    <w:tmpl w:val="BD887C92"/>
    <w:lvl w:ilvl="0" w:tplc="BC049A00">
      <w:start w:val="1"/>
      <w:numFmt w:val="bullet"/>
      <w:lvlText w:val=""/>
      <w:lvlJc w:val="left"/>
      <w:pPr>
        <w:ind w:left="720" w:hanging="360"/>
      </w:pPr>
      <w:rPr>
        <w:rFonts w:ascii="Symbol" w:hAnsi="Symbol" w:hint="default"/>
      </w:rPr>
    </w:lvl>
    <w:lvl w:ilvl="1" w:tplc="5F522A20" w:tentative="1">
      <w:start w:val="1"/>
      <w:numFmt w:val="bullet"/>
      <w:lvlText w:val="o"/>
      <w:lvlJc w:val="left"/>
      <w:pPr>
        <w:ind w:left="1440" w:hanging="360"/>
      </w:pPr>
      <w:rPr>
        <w:rFonts w:ascii="Courier New" w:hAnsi="Courier New" w:hint="default"/>
      </w:rPr>
    </w:lvl>
    <w:lvl w:ilvl="2" w:tplc="88689356" w:tentative="1">
      <w:start w:val="1"/>
      <w:numFmt w:val="bullet"/>
      <w:lvlText w:val=""/>
      <w:lvlJc w:val="left"/>
      <w:pPr>
        <w:ind w:left="2160" w:hanging="360"/>
      </w:pPr>
      <w:rPr>
        <w:rFonts w:ascii="Wingdings" w:hAnsi="Wingdings" w:hint="default"/>
      </w:rPr>
    </w:lvl>
    <w:lvl w:ilvl="3" w:tplc="F2B24F88" w:tentative="1">
      <w:start w:val="1"/>
      <w:numFmt w:val="bullet"/>
      <w:lvlText w:val=""/>
      <w:lvlJc w:val="left"/>
      <w:pPr>
        <w:ind w:left="2880" w:hanging="360"/>
      </w:pPr>
      <w:rPr>
        <w:rFonts w:ascii="Symbol" w:hAnsi="Symbol" w:hint="default"/>
      </w:rPr>
    </w:lvl>
    <w:lvl w:ilvl="4" w:tplc="AC862C58" w:tentative="1">
      <w:start w:val="1"/>
      <w:numFmt w:val="bullet"/>
      <w:lvlText w:val="o"/>
      <w:lvlJc w:val="left"/>
      <w:pPr>
        <w:ind w:left="3600" w:hanging="360"/>
      </w:pPr>
      <w:rPr>
        <w:rFonts w:ascii="Courier New" w:hAnsi="Courier New" w:hint="default"/>
      </w:rPr>
    </w:lvl>
    <w:lvl w:ilvl="5" w:tplc="87BA69AC" w:tentative="1">
      <w:start w:val="1"/>
      <w:numFmt w:val="bullet"/>
      <w:lvlText w:val=""/>
      <w:lvlJc w:val="left"/>
      <w:pPr>
        <w:ind w:left="4320" w:hanging="360"/>
      </w:pPr>
      <w:rPr>
        <w:rFonts w:ascii="Wingdings" w:hAnsi="Wingdings" w:hint="default"/>
      </w:rPr>
    </w:lvl>
    <w:lvl w:ilvl="6" w:tplc="6868EF82" w:tentative="1">
      <w:start w:val="1"/>
      <w:numFmt w:val="bullet"/>
      <w:lvlText w:val=""/>
      <w:lvlJc w:val="left"/>
      <w:pPr>
        <w:ind w:left="5040" w:hanging="360"/>
      </w:pPr>
      <w:rPr>
        <w:rFonts w:ascii="Symbol" w:hAnsi="Symbol" w:hint="default"/>
      </w:rPr>
    </w:lvl>
    <w:lvl w:ilvl="7" w:tplc="F00A4CAA" w:tentative="1">
      <w:start w:val="1"/>
      <w:numFmt w:val="bullet"/>
      <w:lvlText w:val="o"/>
      <w:lvlJc w:val="left"/>
      <w:pPr>
        <w:ind w:left="5760" w:hanging="360"/>
      </w:pPr>
      <w:rPr>
        <w:rFonts w:ascii="Courier New" w:hAnsi="Courier New" w:hint="default"/>
      </w:rPr>
    </w:lvl>
    <w:lvl w:ilvl="8" w:tplc="856A961C" w:tentative="1">
      <w:start w:val="1"/>
      <w:numFmt w:val="bullet"/>
      <w:lvlText w:val=""/>
      <w:lvlJc w:val="left"/>
      <w:pPr>
        <w:ind w:left="6480" w:hanging="360"/>
      </w:pPr>
      <w:rPr>
        <w:rFonts w:ascii="Wingdings" w:hAnsi="Wingdings" w:hint="default"/>
      </w:rPr>
    </w:lvl>
  </w:abstractNum>
  <w:abstractNum w:abstractNumId="399" w15:restartNumberingAfterBreak="0">
    <w:nsid w:val="4EEA1C37"/>
    <w:multiLevelType w:val="hybridMultilevel"/>
    <w:tmpl w:val="33AA69AC"/>
    <w:lvl w:ilvl="0" w:tplc="DE5867F0">
      <w:start w:val="1"/>
      <w:numFmt w:val="bullet"/>
      <w:lvlText w:val=""/>
      <w:lvlJc w:val="left"/>
      <w:pPr>
        <w:ind w:left="675" w:hanging="360"/>
      </w:pPr>
      <w:rPr>
        <w:rFonts w:ascii="Symbol" w:hAnsi="Symbol" w:hint="default"/>
      </w:rPr>
    </w:lvl>
    <w:lvl w:ilvl="1" w:tplc="F148E41C" w:tentative="1">
      <w:start w:val="1"/>
      <w:numFmt w:val="bullet"/>
      <w:lvlText w:val="o"/>
      <w:lvlJc w:val="left"/>
      <w:pPr>
        <w:ind w:left="1395" w:hanging="360"/>
      </w:pPr>
      <w:rPr>
        <w:rFonts w:ascii="Courier New" w:hAnsi="Courier New" w:hint="default"/>
      </w:rPr>
    </w:lvl>
    <w:lvl w:ilvl="2" w:tplc="C9EAA544" w:tentative="1">
      <w:start w:val="1"/>
      <w:numFmt w:val="bullet"/>
      <w:lvlText w:val=""/>
      <w:lvlJc w:val="left"/>
      <w:pPr>
        <w:ind w:left="2115" w:hanging="360"/>
      </w:pPr>
      <w:rPr>
        <w:rFonts w:ascii="Wingdings" w:hAnsi="Wingdings" w:hint="default"/>
      </w:rPr>
    </w:lvl>
    <w:lvl w:ilvl="3" w:tplc="9620D820" w:tentative="1">
      <w:start w:val="1"/>
      <w:numFmt w:val="bullet"/>
      <w:lvlText w:val=""/>
      <w:lvlJc w:val="left"/>
      <w:pPr>
        <w:ind w:left="2835" w:hanging="360"/>
      </w:pPr>
      <w:rPr>
        <w:rFonts w:ascii="Symbol" w:hAnsi="Symbol" w:hint="default"/>
      </w:rPr>
    </w:lvl>
    <w:lvl w:ilvl="4" w:tplc="C542F9D6" w:tentative="1">
      <w:start w:val="1"/>
      <w:numFmt w:val="bullet"/>
      <w:lvlText w:val="o"/>
      <w:lvlJc w:val="left"/>
      <w:pPr>
        <w:ind w:left="3555" w:hanging="360"/>
      </w:pPr>
      <w:rPr>
        <w:rFonts w:ascii="Courier New" w:hAnsi="Courier New" w:hint="default"/>
      </w:rPr>
    </w:lvl>
    <w:lvl w:ilvl="5" w:tplc="201091FE" w:tentative="1">
      <w:start w:val="1"/>
      <w:numFmt w:val="bullet"/>
      <w:lvlText w:val=""/>
      <w:lvlJc w:val="left"/>
      <w:pPr>
        <w:ind w:left="4275" w:hanging="360"/>
      </w:pPr>
      <w:rPr>
        <w:rFonts w:ascii="Wingdings" w:hAnsi="Wingdings" w:hint="default"/>
      </w:rPr>
    </w:lvl>
    <w:lvl w:ilvl="6" w:tplc="2620F29C" w:tentative="1">
      <w:start w:val="1"/>
      <w:numFmt w:val="bullet"/>
      <w:lvlText w:val=""/>
      <w:lvlJc w:val="left"/>
      <w:pPr>
        <w:ind w:left="4995" w:hanging="360"/>
      </w:pPr>
      <w:rPr>
        <w:rFonts w:ascii="Symbol" w:hAnsi="Symbol" w:hint="default"/>
      </w:rPr>
    </w:lvl>
    <w:lvl w:ilvl="7" w:tplc="EB361812" w:tentative="1">
      <w:start w:val="1"/>
      <w:numFmt w:val="bullet"/>
      <w:lvlText w:val="o"/>
      <w:lvlJc w:val="left"/>
      <w:pPr>
        <w:ind w:left="5715" w:hanging="360"/>
      </w:pPr>
      <w:rPr>
        <w:rFonts w:ascii="Courier New" w:hAnsi="Courier New" w:hint="default"/>
      </w:rPr>
    </w:lvl>
    <w:lvl w:ilvl="8" w:tplc="CFA45538" w:tentative="1">
      <w:start w:val="1"/>
      <w:numFmt w:val="bullet"/>
      <w:lvlText w:val=""/>
      <w:lvlJc w:val="left"/>
      <w:pPr>
        <w:ind w:left="6435" w:hanging="360"/>
      </w:pPr>
      <w:rPr>
        <w:rFonts w:ascii="Wingdings" w:hAnsi="Wingdings" w:hint="default"/>
      </w:rPr>
    </w:lvl>
  </w:abstractNum>
  <w:abstractNum w:abstractNumId="400" w15:restartNumberingAfterBreak="0">
    <w:nsid w:val="501A2D9F"/>
    <w:multiLevelType w:val="hybridMultilevel"/>
    <w:tmpl w:val="78C494B6"/>
    <w:lvl w:ilvl="0" w:tplc="8012BA44">
      <w:start w:val="1"/>
      <w:numFmt w:val="bullet"/>
      <w:lvlText w:val=""/>
      <w:lvlJc w:val="left"/>
      <w:pPr>
        <w:ind w:left="720" w:hanging="360"/>
      </w:pPr>
      <w:rPr>
        <w:rFonts w:ascii="Symbol" w:hAnsi="Symbol" w:hint="default"/>
      </w:rPr>
    </w:lvl>
    <w:lvl w:ilvl="1" w:tplc="40D8249A" w:tentative="1">
      <w:start w:val="1"/>
      <w:numFmt w:val="bullet"/>
      <w:lvlText w:val="o"/>
      <w:lvlJc w:val="left"/>
      <w:pPr>
        <w:ind w:left="1440" w:hanging="360"/>
      </w:pPr>
      <w:rPr>
        <w:rFonts w:ascii="Courier New" w:hAnsi="Courier New" w:hint="default"/>
      </w:rPr>
    </w:lvl>
    <w:lvl w:ilvl="2" w:tplc="73E229E2" w:tentative="1">
      <w:start w:val="1"/>
      <w:numFmt w:val="bullet"/>
      <w:lvlText w:val=""/>
      <w:lvlJc w:val="left"/>
      <w:pPr>
        <w:ind w:left="2160" w:hanging="360"/>
      </w:pPr>
      <w:rPr>
        <w:rFonts w:ascii="Wingdings" w:hAnsi="Wingdings" w:hint="default"/>
      </w:rPr>
    </w:lvl>
    <w:lvl w:ilvl="3" w:tplc="1110E204" w:tentative="1">
      <w:start w:val="1"/>
      <w:numFmt w:val="bullet"/>
      <w:lvlText w:val=""/>
      <w:lvlJc w:val="left"/>
      <w:pPr>
        <w:ind w:left="2880" w:hanging="360"/>
      </w:pPr>
      <w:rPr>
        <w:rFonts w:ascii="Symbol" w:hAnsi="Symbol" w:hint="default"/>
      </w:rPr>
    </w:lvl>
    <w:lvl w:ilvl="4" w:tplc="482E5E86" w:tentative="1">
      <w:start w:val="1"/>
      <w:numFmt w:val="bullet"/>
      <w:lvlText w:val="o"/>
      <w:lvlJc w:val="left"/>
      <w:pPr>
        <w:ind w:left="3600" w:hanging="360"/>
      </w:pPr>
      <w:rPr>
        <w:rFonts w:ascii="Courier New" w:hAnsi="Courier New" w:hint="default"/>
      </w:rPr>
    </w:lvl>
    <w:lvl w:ilvl="5" w:tplc="B2BC5AF0" w:tentative="1">
      <w:start w:val="1"/>
      <w:numFmt w:val="bullet"/>
      <w:lvlText w:val=""/>
      <w:lvlJc w:val="left"/>
      <w:pPr>
        <w:ind w:left="4320" w:hanging="360"/>
      </w:pPr>
      <w:rPr>
        <w:rFonts w:ascii="Wingdings" w:hAnsi="Wingdings" w:hint="default"/>
      </w:rPr>
    </w:lvl>
    <w:lvl w:ilvl="6" w:tplc="0EBE0770" w:tentative="1">
      <w:start w:val="1"/>
      <w:numFmt w:val="bullet"/>
      <w:lvlText w:val=""/>
      <w:lvlJc w:val="left"/>
      <w:pPr>
        <w:ind w:left="5040" w:hanging="360"/>
      </w:pPr>
      <w:rPr>
        <w:rFonts w:ascii="Symbol" w:hAnsi="Symbol" w:hint="default"/>
      </w:rPr>
    </w:lvl>
    <w:lvl w:ilvl="7" w:tplc="C732710C" w:tentative="1">
      <w:start w:val="1"/>
      <w:numFmt w:val="bullet"/>
      <w:lvlText w:val="o"/>
      <w:lvlJc w:val="left"/>
      <w:pPr>
        <w:ind w:left="5760" w:hanging="360"/>
      </w:pPr>
      <w:rPr>
        <w:rFonts w:ascii="Courier New" w:hAnsi="Courier New" w:hint="default"/>
      </w:rPr>
    </w:lvl>
    <w:lvl w:ilvl="8" w:tplc="510E0840" w:tentative="1">
      <w:start w:val="1"/>
      <w:numFmt w:val="bullet"/>
      <w:lvlText w:val=""/>
      <w:lvlJc w:val="left"/>
      <w:pPr>
        <w:ind w:left="6480" w:hanging="360"/>
      </w:pPr>
      <w:rPr>
        <w:rFonts w:ascii="Wingdings" w:hAnsi="Wingdings" w:hint="default"/>
      </w:rPr>
    </w:lvl>
  </w:abstractNum>
  <w:abstractNum w:abstractNumId="401" w15:restartNumberingAfterBreak="0">
    <w:nsid w:val="503122F1"/>
    <w:multiLevelType w:val="hybridMultilevel"/>
    <w:tmpl w:val="1EBA4CFA"/>
    <w:lvl w:ilvl="0" w:tplc="BBFC4998">
      <w:start w:val="1"/>
      <w:numFmt w:val="bullet"/>
      <w:lvlText w:val=""/>
      <w:lvlJc w:val="left"/>
      <w:pPr>
        <w:ind w:left="360" w:hanging="360"/>
      </w:pPr>
      <w:rPr>
        <w:rFonts w:ascii="Symbol" w:hAnsi="Symbol" w:hint="default"/>
      </w:rPr>
    </w:lvl>
    <w:lvl w:ilvl="1" w:tplc="D0142452">
      <w:start w:val="1"/>
      <w:numFmt w:val="bullet"/>
      <w:lvlText w:val="o"/>
      <w:lvlJc w:val="left"/>
      <w:pPr>
        <w:ind w:left="1080" w:hanging="360"/>
      </w:pPr>
      <w:rPr>
        <w:rFonts w:ascii="Courier New" w:hAnsi="Courier New" w:hint="default"/>
      </w:rPr>
    </w:lvl>
    <w:lvl w:ilvl="2" w:tplc="BBD09AE6" w:tentative="1">
      <w:start w:val="1"/>
      <w:numFmt w:val="bullet"/>
      <w:lvlText w:val=""/>
      <w:lvlJc w:val="left"/>
      <w:pPr>
        <w:ind w:left="1800" w:hanging="360"/>
      </w:pPr>
      <w:rPr>
        <w:rFonts w:ascii="Wingdings" w:hAnsi="Wingdings" w:hint="default"/>
      </w:rPr>
    </w:lvl>
    <w:lvl w:ilvl="3" w:tplc="D7CA1854" w:tentative="1">
      <w:start w:val="1"/>
      <w:numFmt w:val="bullet"/>
      <w:lvlText w:val=""/>
      <w:lvlJc w:val="left"/>
      <w:pPr>
        <w:ind w:left="2520" w:hanging="360"/>
      </w:pPr>
      <w:rPr>
        <w:rFonts w:ascii="Symbol" w:hAnsi="Symbol" w:hint="default"/>
      </w:rPr>
    </w:lvl>
    <w:lvl w:ilvl="4" w:tplc="C142BA02">
      <w:start w:val="1"/>
      <w:numFmt w:val="bullet"/>
      <w:lvlText w:val="o"/>
      <w:lvlJc w:val="left"/>
      <w:pPr>
        <w:ind w:left="3240" w:hanging="360"/>
      </w:pPr>
      <w:rPr>
        <w:rFonts w:ascii="Courier New" w:hAnsi="Courier New" w:hint="default"/>
      </w:rPr>
    </w:lvl>
    <w:lvl w:ilvl="5" w:tplc="8746F4D4" w:tentative="1">
      <w:start w:val="1"/>
      <w:numFmt w:val="bullet"/>
      <w:lvlText w:val=""/>
      <w:lvlJc w:val="left"/>
      <w:pPr>
        <w:ind w:left="3960" w:hanging="360"/>
      </w:pPr>
      <w:rPr>
        <w:rFonts w:ascii="Wingdings" w:hAnsi="Wingdings" w:hint="default"/>
      </w:rPr>
    </w:lvl>
    <w:lvl w:ilvl="6" w:tplc="EE969C2C" w:tentative="1">
      <w:start w:val="1"/>
      <w:numFmt w:val="bullet"/>
      <w:lvlText w:val=""/>
      <w:lvlJc w:val="left"/>
      <w:pPr>
        <w:ind w:left="4680" w:hanging="360"/>
      </w:pPr>
      <w:rPr>
        <w:rFonts w:ascii="Symbol" w:hAnsi="Symbol" w:hint="default"/>
      </w:rPr>
    </w:lvl>
    <w:lvl w:ilvl="7" w:tplc="AB78B254" w:tentative="1">
      <w:start w:val="1"/>
      <w:numFmt w:val="bullet"/>
      <w:lvlText w:val="o"/>
      <w:lvlJc w:val="left"/>
      <w:pPr>
        <w:ind w:left="5400" w:hanging="360"/>
      </w:pPr>
      <w:rPr>
        <w:rFonts w:ascii="Courier New" w:hAnsi="Courier New" w:hint="default"/>
      </w:rPr>
    </w:lvl>
    <w:lvl w:ilvl="8" w:tplc="BBAA0BE2" w:tentative="1">
      <w:start w:val="1"/>
      <w:numFmt w:val="bullet"/>
      <w:lvlText w:val=""/>
      <w:lvlJc w:val="left"/>
      <w:pPr>
        <w:ind w:left="6120" w:hanging="360"/>
      </w:pPr>
      <w:rPr>
        <w:rFonts w:ascii="Wingdings" w:hAnsi="Wingdings" w:hint="default"/>
      </w:rPr>
    </w:lvl>
  </w:abstractNum>
  <w:abstractNum w:abstractNumId="402" w15:restartNumberingAfterBreak="0">
    <w:nsid w:val="50A16CB4"/>
    <w:multiLevelType w:val="hybridMultilevel"/>
    <w:tmpl w:val="23AA77C8"/>
    <w:lvl w:ilvl="0" w:tplc="A00EBDFA">
      <w:start w:val="1"/>
      <w:numFmt w:val="bullet"/>
      <w:lvlText w:val=""/>
      <w:lvlJc w:val="left"/>
      <w:pPr>
        <w:ind w:left="720" w:hanging="360"/>
      </w:pPr>
      <w:rPr>
        <w:rFonts w:ascii="Symbol" w:hAnsi="Symbol" w:hint="default"/>
      </w:rPr>
    </w:lvl>
    <w:lvl w:ilvl="1" w:tplc="D916C088" w:tentative="1">
      <w:start w:val="1"/>
      <w:numFmt w:val="bullet"/>
      <w:lvlText w:val="o"/>
      <w:lvlJc w:val="left"/>
      <w:pPr>
        <w:ind w:left="1440" w:hanging="360"/>
      </w:pPr>
      <w:rPr>
        <w:rFonts w:ascii="Courier New" w:hAnsi="Courier New" w:hint="default"/>
      </w:rPr>
    </w:lvl>
    <w:lvl w:ilvl="2" w:tplc="A4A6F4D6" w:tentative="1">
      <w:start w:val="1"/>
      <w:numFmt w:val="bullet"/>
      <w:lvlText w:val=""/>
      <w:lvlJc w:val="left"/>
      <w:pPr>
        <w:ind w:left="2160" w:hanging="360"/>
      </w:pPr>
      <w:rPr>
        <w:rFonts w:ascii="Wingdings" w:hAnsi="Wingdings" w:hint="default"/>
      </w:rPr>
    </w:lvl>
    <w:lvl w:ilvl="3" w:tplc="5BE615A0" w:tentative="1">
      <w:start w:val="1"/>
      <w:numFmt w:val="bullet"/>
      <w:lvlText w:val=""/>
      <w:lvlJc w:val="left"/>
      <w:pPr>
        <w:ind w:left="2880" w:hanging="360"/>
      </w:pPr>
      <w:rPr>
        <w:rFonts w:ascii="Symbol" w:hAnsi="Symbol" w:hint="default"/>
      </w:rPr>
    </w:lvl>
    <w:lvl w:ilvl="4" w:tplc="F0BE53AA" w:tentative="1">
      <w:start w:val="1"/>
      <w:numFmt w:val="bullet"/>
      <w:lvlText w:val="o"/>
      <w:lvlJc w:val="left"/>
      <w:pPr>
        <w:ind w:left="3600" w:hanging="360"/>
      </w:pPr>
      <w:rPr>
        <w:rFonts w:ascii="Courier New" w:hAnsi="Courier New" w:hint="default"/>
      </w:rPr>
    </w:lvl>
    <w:lvl w:ilvl="5" w:tplc="3300FFB4" w:tentative="1">
      <w:start w:val="1"/>
      <w:numFmt w:val="bullet"/>
      <w:lvlText w:val=""/>
      <w:lvlJc w:val="left"/>
      <w:pPr>
        <w:ind w:left="4320" w:hanging="360"/>
      </w:pPr>
      <w:rPr>
        <w:rFonts w:ascii="Wingdings" w:hAnsi="Wingdings" w:hint="default"/>
      </w:rPr>
    </w:lvl>
    <w:lvl w:ilvl="6" w:tplc="30882ECE" w:tentative="1">
      <w:start w:val="1"/>
      <w:numFmt w:val="bullet"/>
      <w:lvlText w:val=""/>
      <w:lvlJc w:val="left"/>
      <w:pPr>
        <w:ind w:left="5040" w:hanging="360"/>
      </w:pPr>
      <w:rPr>
        <w:rFonts w:ascii="Symbol" w:hAnsi="Symbol" w:hint="default"/>
      </w:rPr>
    </w:lvl>
    <w:lvl w:ilvl="7" w:tplc="24F65410" w:tentative="1">
      <w:start w:val="1"/>
      <w:numFmt w:val="bullet"/>
      <w:lvlText w:val="o"/>
      <w:lvlJc w:val="left"/>
      <w:pPr>
        <w:ind w:left="5760" w:hanging="360"/>
      </w:pPr>
      <w:rPr>
        <w:rFonts w:ascii="Courier New" w:hAnsi="Courier New" w:hint="default"/>
      </w:rPr>
    </w:lvl>
    <w:lvl w:ilvl="8" w:tplc="3A0C3E2C" w:tentative="1">
      <w:start w:val="1"/>
      <w:numFmt w:val="bullet"/>
      <w:lvlText w:val=""/>
      <w:lvlJc w:val="left"/>
      <w:pPr>
        <w:ind w:left="6480" w:hanging="360"/>
      </w:pPr>
      <w:rPr>
        <w:rFonts w:ascii="Wingdings" w:hAnsi="Wingdings" w:hint="default"/>
      </w:rPr>
    </w:lvl>
  </w:abstractNum>
  <w:abstractNum w:abstractNumId="403" w15:restartNumberingAfterBreak="0">
    <w:nsid w:val="50C9659A"/>
    <w:multiLevelType w:val="multilevel"/>
    <w:tmpl w:val="FF1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0F8770B"/>
    <w:multiLevelType w:val="multilevel"/>
    <w:tmpl w:val="A9D4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13242D4"/>
    <w:multiLevelType w:val="multilevel"/>
    <w:tmpl w:val="E76A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16608CC"/>
    <w:multiLevelType w:val="hybridMultilevel"/>
    <w:tmpl w:val="6C5EC0DC"/>
    <w:lvl w:ilvl="0" w:tplc="98B0FE44">
      <w:start w:val="1"/>
      <w:numFmt w:val="bullet"/>
      <w:lvlText w:val=""/>
      <w:lvlJc w:val="left"/>
      <w:pPr>
        <w:ind w:left="720" w:hanging="360"/>
      </w:pPr>
      <w:rPr>
        <w:rFonts w:ascii="Symbol" w:hAnsi="Symbol" w:hint="default"/>
      </w:rPr>
    </w:lvl>
    <w:lvl w:ilvl="1" w:tplc="033675FA">
      <w:start w:val="1"/>
      <w:numFmt w:val="bullet"/>
      <w:lvlText w:val="o"/>
      <w:lvlJc w:val="left"/>
      <w:pPr>
        <w:ind w:left="1440" w:hanging="360"/>
      </w:pPr>
      <w:rPr>
        <w:rFonts w:ascii="Courier New" w:hAnsi="Courier New" w:hint="default"/>
      </w:rPr>
    </w:lvl>
    <w:lvl w:ilvl="2" w:tplc="781417DC" w:tentative="1">
      <w:start w:val="1"/>
      <w:numFmt w:val="bullet"/>
      <w:lvlText w:val=""/>
      <w:lvlJc w:val="left"/>
      <w:pPr>
        <w:ind w:left="2160" w:hanging="360"/>
      </w:pPr>
      <w:rPr>
        <w:rFonts w:ascii="Wingdings" w:hAnsi="Wingdings" w:hint="default"/>
      </w:rPr>
    </w:lvl>
    <w:lvl w:ilvl="3" w:tplc="99142B20" w:tentative="1">
      <w:start w:val="1"/>
      <w:numFmt w:val="bullet"/>
      <w:lvlText w:val=""/>
      <w:lvlJc w:val="left"/>
      <w:pPr>
        <w:ind w:left="2880" w:hanging="360"/>
      </w:pPr>
      <w:rPr>
        <w:rFonts w:ascii="Symbol" w:hAnsi="Symbol" w:hint="default"/>
      </w:rPr>
    </w:lvl>
    <w:lvl w:ilvl="4" w:tplc="EEA60202" w:tentative="1">
      <w:start w:val="1"/>
      <w:numFmt w:val="bullet"/>
      <w:lvlText w:val="o"/>
      <w:lvlJc w:val="left"/>
      <w:pPr>
        <w:ind w:left="3600" w:hanging="360"/>
      </w:pPr>
      <w:rPr>
        <w:rFonts w:ascii="Courier New" w:hAnsi="Courier New" w:hint="default"/>
      </w:rPr>
    </w:lvl>
    <w:lvl w:ilvl="5" w:tplc="4792227A" w:tentative="1">
      <w:start w:val="1"/>
      <w:numFmt w:val="bullet"/>
      <w:lvlText w:val=""/>
      <w:lvlJc w:val="left"/>
      <w:pPr>
        <w:ind w:left="4320" w:hanging="360"/>
      </w:pPr>
      <w:rPr>
        <w:rFonts w:ascii="Wingdings" w:hAnsi="Wingdings" w:hint="default"/>
      </w:rPr>
    </w:lvl>
    <w:lvl w:ilvl="6" w:tplc="1F2680D8" w:tentative="1">
      <w:start w:val="1"/>
      <w:numFmt w:val="bullet"/>
      <w:lvlText w:val=""/>
      <w:lvlJc w:val="left"/>
      <w:pPr>
        <w:ind w:left="5040" w:hanging="360"/>
      </w:pPr>
      <w:rPr>
        <w:rFonts w:ascii="Symbol" w:hAnsi="Symbol" w:hint="default"/>
      </w:rPr>
    </w:lvl>
    <w:lvl w:ilvl="7" w:tplc="78CCA134" w:tentative="1">
      <w:start w:val="1"/>
      <w:numFmt w:val="bullet"/>
      <w:lvlText w:val="o"/>
      <w:lvlJc w:val="left"/>
      <w:pPr>
        <w:ind w:left="5760" w:hanging="360"/>
      </w:pPr>
      <w:rPr>
        <w:rFonts w:ascii="Courier New" w:hAnsi="Courier New" w:hint="default"/>
      </w:rPr>
    </w:lvl>
    <w:lvl w:ilvl="8" w:tplc="B15A4E9E" w:tentative="1">
      <w:start w:val="1"/>
      <w:numFmt w:val="bullet"/>
      <w:lvlText w:val=""/>
      <w:lvlJc w:val="left"/>
      <w:pPr>
        <w:ind w:left="6480" w:hanging="360"/>
      </w:pPr>
      <w:rPr>
        <w:rFonts w:ascii="Wingdings" w:hAnsi="Wingdings" w:hint="default"/>
      </w:rPr>
    </w:lvl>
  </w:abstractNum>
  <w:abstractNum w:abstractNumId="407" w15:restartNumberingAfterBreak="0">
    <w:nsid w:val="5204369F"/>
    <w:multiLevelType w:val="multilevel"/>
    <w:tmpl w:val="D1822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29B4178"/>
    <w:multiLevelType w:val="hybridMultilevel"/>
    <w:tmpl w:val="A20C428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9" w15:restartNumberingAfterBreak="0">
    <w:nsid w:val="536752BC"/>
    <w:multiLevelType w:val="hybridMultilevel"/>
    <w:tmpl w:val="CBA06FC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0" w15:restartNumberingAfterBreak="0">
    <w:nsid w:val="53676EA1"/>
    <w:multiLevelType w:val="hybridMultilevel"/>
    <w:tmpl w:val="AB9CF22C"/>
    <w:lvl w:ilvl="0" w:tplc="2CAE85A6">
      <w:start w:val="1"/>
      <w:numFmt w:val="bullet"/>
      <w:lvlText w:val=""/>
      <w:lvlJc w:val="left"/>
      <w:pPr>
        <w:tabs>
          <w:tab w:val="num" w:pos="360"/>
        </w:tabs>
        <w:ind w:left="360" w:hanging="360"/>
      </w:pPr>
      <w:rPr>
        <w:rFonts w:ascii="Symbol" w:hAnsi="Symbol" w:hint="default"/>
      </w:rPr>
    </w:lvl>
    <w:lvl w:ilvl="1" w:tplc="BB1213D0">
      <w:start w:val="1"/>
      <w:numFmt w:val="decimal"/>
      <w:lvlText w:val="%2."/>
      <w:lvlJc w:val="left"/>
      <w:pPr>
        <w:tabs>
          <w:tab w:val="num" w:pos="1080"/>
        </w:tabs>
        <w:ind w:left="1080" w:hanging="360"/>
      </w:pPr>
    </w:lvl>
    <w:lvl w:ilvl="2" w:tplc="61A0AB64">
      <w:start w:val="1"/>
      <w:numFmt w:val="decimal"/>
      <w:lvlText w:val="%3."/>
      <w:lvlJc w:val="left"/>
      <w:pPr>
        <w:tabs>
          <w:tab w:val="num" w:pos="1800"/>
        </w:tabs>
        <w:ind w:left="1800" w:hanging="360"/>
      </w:pPr>
    </w:lvl>
    <w:lvl w:ilvl="3" w:tplc="AA5E5A62">
      <w:start w:val="1"/>
      <w:numFmt w:val="decimal"/>
      <w:lvlText w:val="%4."/>
      <w:lvlJc w:val="left"/>
      <w:pPr>
        <w:tabs>
          <w:tab w:val="num" w:pos="2520"/>
        </w:tabs>
        <w:ind w:left="2520" w:hanging="360"/>
      </w:pPr>
    </w:lvl>
    <w:lvl w:ilvl="4" w:tplc="B7E2D746" w:tentative="1">
      <w:start w:val="1"/>
      <w:numFmt w:val="decimal"/>
      <w:lvlText w:val="%5."/>
      <w:lvlJc w:val="left"/>
      <w:pPr>
        <w:tabs>
          <w:tab w:val="num" w:pos="3240"/>
        </w:tabs>
        <w:ind w:left="3240" w:hanging="360"/>
      </w:pPr>
    </w:lvl>
    <w:lvl w:ilvl="5" w:tplc="4A9003F0" w:tentative="1">
      <w:start w:val="1"/>
      <w:numFmt w:val="decimal"/>
      <w:lvlText w:val="%6."/>
      <w:lvlJc w:val="left"/>
      <w:pPr>
        <w:tabs>
          <w:tab w:val="num" w:pos="3960"/>
        </w:tabs>
        <w:ind w:left="3960" w:hanging="360"/>
      </w:pPr>
    </w:lvl>
    <w:lvl w:ilvl="6" w:tplc="6A14EC14" w:tentative="1">
      <w:start w:val="1"/>
      <w:numFmt w:val="decimal"/>
      <w:lvlText w:val="%7."/>
      <w:lvlJc w:val="left"/>
      <w:pPr>
        <w:tabs>
          <w:tab w:val="num" w:pos="4680"/>
        </w:tabs>
        <w:ind w:left="4680" w:hanging="360"/>
      </w:pPr>
    </w:lvl>
    <w:lvl w:ilvl="7" w:tplc="70EC6D7C" w:tentative="1">
      <w:start w:val="1"/>
      <w:numFmt w:val="decimal"/>
      <w:lvlText w:val="%8."/>
      <w:lvlJc w:val="left"/>
      <w:pPr>
        <w:tabs>
          <w:tab w:val="num" w:pos="5400"/>
        </w:tabs>
        <w:ind w:left="5400" w:hanging="360"/>
      </w:pPr>
    </w:lvl>
    <w:lvl w:ilvl="8" w:tplc="923A415C" w:tentative="1">
      <w:start w:val="1"/>
      <w:numFmt w:val="decimal"/>
      <w:lvlText w:val="%9."/>
      <w:lvlJc w:val="left"/>
      <w:pPr>
        <w:tabs>
          <w:tab w:val="num" w:pos="6120"/>
        </w:tabs>
        <w:ind w:left="6120" w:hanging="360"/>
      </w:pPr>
    </w:lvl>
  </w:abstractNum>
  <w:abstractNum w:abstractNumId="411" w15:restartNumberingAfterBreak="0">
    <w:nsid w:val="53A10E6E"/>
    <w:multiLevelType w:val="multilevel"/>
    <w:tmpl w:val="7E60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3A117EE"/>
    <w:multiLevelType w:val="hybridMultilevel"/>
    <w:tmpl w:val="91AE6AE0"/>
    <w:lvl w:ilvl="0" w:tplc="8A381070">
      <w:start w:val="1"/>
      <w:numFmt w:val="bullet"/>
      <w:lvlText w:val=""/>
      <w:lvlJc w:val="left"/>
      <w:pPr>
        <w:ind w:left="720" w:hanging="360"/>
      </w:pPr>
      <w:rPr>
        <w:rFonts w:ascii="Symbol" w:hAnsi="Symbol" w:hint="default"/>
      </w:rPr>
    </w:lvl>
    <w:lvl w:ilvl="1" w:tplc="E70A0B7E" w:tentative="1">
      <w:start w:val="1"/>
      <w:numFmt w:val="bullet"/>
      <w:lvlText w:val="o"/>
      <w:lvlJc w:val="left"/>
      <w:pPr>
        <w:ind w:left="1440" w:hanging="360"/>
      </w:pPr>
      <w:rPr>
        <w:rFonts w:ascii="Courier New" w:hAnsi="Courier New" w:hint="default"/>
      </w:rPr>
    </w:lvl>
    <w:lvl w:ilvl="2" w:tplc="57D616B0" w:tentative="1">
      <w:start w:val="1"/>
      <w:numFmt w:val="bullet"/>
      <w:lvlText w:val=""/>
      <w:lvlJc w:val="left"/>
      <w:pPr>
        <w:ind w:left="2160" w:hanging="360"/>
      </w:pPr>
      <w:rPr>
        <w:rFonts w:ascii="Wingdings" w:hAnsi="Wingdings" w:hint="default"/>
      </w:rPr>
    </w:lvl>
    <w:lvl w:ilvl="3" w:tplc="BDE22420" w:tentative="1">
      <w:start w:val="1"/>
      <w:numFmt w:val="bullet"/>
      <w:lvlText w:val=""/>
      <w:lvlJc w:val="left"/>
      <w:pPr>
        <w:ind w:left="2880" w:hanging="360"/>
      </w:pPr>
      <w:rPr>
        <w:rFonts w:ascii="Symbol" w:hAnsi="Symbol" w:hint="default"/>
      </w:rPr>
    </w:lvl>
    <w:lvl w:ilvl="4" w:tplc="31DAEEF2" w:tentative="1">
      <w:start w:val="1"/>
      <w:numFmt w:val="bullet"/>
      <w:lvlText w:val="o"/>
      <w:lvlJc w:val="left"/>
      <w:pPr>
        <w:ind w:left="3600" w:hanging="360"/>
      </w:pPr>
      <w:rPr>
        <w:rFonts w:ascii="Courier New" w:hAnsi="Courier New" w:hint="default"/>
      </w:rPr>
    </w:lvl>
    <w:lvl w:ilvl="5" w:tplc="7C0C4632" w:tentative="1">
      <w:start w:val="1"/>
      <w:numFmt w:val="bullet"/>
      <w:lvlText w:val=""/>
      <w:lvlJc w:val="left"/>
      <w:pPr>
        <w:ind w:left="4320" w:hanging="360"/>
      </w:pPr>
      <w:rPr>
        <w:rFonts w:ascii="Wingdings" w:hAnsi="Wingdings" w:hint="default"/>
      </w:rPr>
    </w:lvl>
    <w:lvl w:ilvl="6" w:tplc="51C68BE8" w:tentative="1">
      <w:start w:val="1"/>
      <w:numFmt w:val="bullet"/>
      <w:lvlText w:val=""/>
      <w:lvlJc w:val="left"/>
      <w:pPr>
        <w:ind w:left="5040" w:hanging="360"/>
      </w:pPr>
      <w:rPr>
        <w:rFonts w:ascii="Symbol" w:hAnsi="Symbol" w:hint="default"/>
      </w:rPr>
    </w:lvl>
    <w:lvl w:ilvl="7" w:tplc="A6B60E50" w:tentative="1">
      <w:start w:val="1"/>
      <w:numFmt w:val="bullet"/>
      <w:lvlText w:val="o"/>
      <w:lvlJc w:val="left"/>
      <w:pPr>
        <w:ind w:left="5760" w:hanging="360"/>
      </w:pPr>
      <w:rPr>
        <w:rFonts w:ascii="Courier New" w:hAnsi="Courier New" w:hint="default"/>
      </w:rPr>
    </w:lvl>
    <w:lvl w:ilvl="8" w:tplc="81422340" w:tentative="1">
      <w:start w:val="1"/>
      <w:numFmt w:val="bullet"/>
      <w:lvlText w:val=""/>
      <w:lvlJc w:val="left"/>
      <w:pPr>
        <w:ind w:left="6480" w:hanging="360"/>
      </w:pPr>
      <w:rPr>
        <w:rFonts w:ascii="Wingdings" w:hAnsi="Wingdings" w:hint="default"/>
      </w:rPr>
    </w:lvl>
  </w:abstractNum>
  <w:abstractNum w:abstractNumId="413" w15:restartNumberingAfterBreak="0">
    <w:nsid w:val="53DB3DEA"/>
    <w:multiLevelType w:val="hybridMultilevel"/>
    <w:tmpl w:val="F12E19BA"/>
    <w:lvl w:ilvl="0" w:tplc="7910D308">
      <w:start w:val="1"/>
      <w:numFmt w:val="bullet"/>
      <w:lvlText w:val=""/>
      <w:lvlJc w:val="left"/>
      <w:pPr>
        <w:ind w:left="1440" w:hanging="360"/>
      </w:pPr>
      <w:rPr>
        <w:rFonts w:ascii="Symbol" w:hAnsi="Symbol"/>
      </w:rPr>
    </w:lvl>
    <w:lvl w:ilvl="1" w:tplc="955ED7D6">
      <w:start w:val="1"/>
      <w:numFmt w:val="bullet"/>
      <w:lvlText w:val=""/>
      <w:lvlJc w:val="left"/>
      <w:pPr>
        <w:ind w:left="1440" w:hanging="360"/>
      </w:pPr>
      <w:rPr>
        <w:rFonts w:ascii="Symbol" w:hAnsi="Symbol"/>
      </w:rPr>
    </w:lvl>
    <w:lvl w:ilvl="2" w:tplc="D4008212">
      <w:start w:val="1"/>
      <w:numFmt w:val="bullet"/>
      <w:lvlText w:val=""/>
      <w:lvlJc w:val="left"/>
      <w:pPr>
        <w:ind w:left="1440" w:hanging="360"/>
      </w:pPr>
      <w:rPr>
        <w:rFonts w:ascii="Symbol" w:hAnsi="Symbol"/>
      </w:rPr>
    </w:lvl>
    <w:lvl w:ilvl="3" w:tplc="902EE02A">
      <w:start w:val="1"/>
      <w:numFmt w:val="bullet"/>
      <w:lvlText w:val=""/>
      <w:lvlJc w:val="left"/>
      <w:pPr>
        <w:ind w:left="1440" w:hanging="360"/>
      </w:pPr>
      <w:rPr>
        <w:rFonts w:ascii="Symbol" w:hAnsi="Symbol"/>
      </w:rPr>
    </w:lvl>
    <w:lvl w:ilvl="4" w:tplc="614AB4E4">
      <w:start w:val="1"/>
      <w:numFmt w:val="bullet"/>
      <w:lvlText w:val=""/>
      <w:lvlJc w:val="left"/>
      <w:pPr>
        <w:ind w:left="1440" w:hanging="360"/>
      </w:pPr>
      <w:rPr>
        <w:rFonts w:ascii="Symbol" w:hAnsi="Symbol"/>
      </w:rPr>
    </w:lvl>
    <w:lvl w:ilvl="5" w:tplc="194E4BDE">
      <w:start w:val="1"/>
      <w:numFmt w:val="bullet"/>
      <w:lvlText w:val=""/>
      <w:lvlJc w:val="left"/>
      <w:pPr>
        <w:ind w:left="1440" w:hanging="360"/>
      </w:pPr>
      <w:rPr>
        <w:rFonts w:ascii="Symbol" w:hAnsi="Symbol"/>
      </w:rPr>
    </w:lvl>
    <w:lvl w:ilvl="6" w:tplc="14347B2C">
      <w:start w:val="1"/>
      <w:numFmt w:val="bullet"/>
      <w:lvlText w:val=""/>
      <w:lvlJc w:val="left"/>
      <w:pPr>
        <w:ind w:left="1440" w:hanging="360"/>
      </w:pPr>
      <w:rPr>
        <w:rFonts w:ascii="Symbol" w:hAnsi="Symbol"/>
      </w:rPr>
    </w:lvl>
    <w:lvl w:ilvl="7" w:tplc="B26A4016">
      <w:start w:val="1"/>
      <w:numFmt w:val="bullet"/>
      <w:lvlText w:val=""/>
      <w:lvlJc w:val="left"/>
      <w:pPr>
        <w:ind w:left="1440" w:hanging="360"/>
      </w:pPr>
      <w:rPr>
        <w:rFonts w:ascii="Symbol" w:hAnsi="Symbol"/>
      </w:rPr>
    </w:lvl>
    <w:lvl w:ilvl="8" w:tplc="FD3EF55A">
      <w:start w:val="1"/>
      <w:numFmt w:val="bullet"/>
      <w:lvlText w:val=""/>
      <w:lvlJc w:val="left"/>
      <w:pPr>
        <w:ind w:left="1440" w:hanging="360"/>
      </w:pPr>
      <w:rPr>
        <w:rFonts w:ascii="Symbol" w:hAnsi="Symbol"/>
      </w:rPr>
    </w:lvl>
  </w:abstractNum>
  <w:abstractNum w:abstractNumId="414" w15:restartNumberingAfterBreak="0">
    <w:nsid w:val="54313500"/>
    <w:multiLevelType w:val="multilevel"/>
    <w:tmpl w:val="249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43C43D0"/>
    <w:multiLevelType w:val="hybridMultilevel"/>
    <w:tmpl w:val="0D0AAA36"/>
    <w:lvl w:ilvl="0" w:tplc="C9A2DE92">
      <w:start w:val="1"/>
      <w:numFmt w:val="bullet"/>
      <w:lvlText w:val=""/>
      <w:lvlJc w:val="left"/>
      <w:pPr>
        <w:ind w:left="-720" w:hanging="360"/>
      </w:pPr>
      <w:rPr>
        <w:rFonts w:ascii="Symbol" w:hAnsi="Symbol" w:hint="default"/>
      </w:rPr>
    </w:lvl>
    <w:lvl w:ilvl="1" w:tplc="4296E8D6">
      <w:start w:val="1"/>
      <w:numFmt w:val="bullet"/>
      <w:lvlText w:val="o"/>
      <w:lvlJc w:val="left"/>
      <w:pPr>
        <w:ind w:left="0" w:hanging="360"/>
      </w:pPr>
      <w:rPr>
        <w:rFonts w:ascii="Courier New" w:hAnsi="Courier New" w:hint="default"/>
      </w:rPr>
    </w:lvl>
    <w:lvl w:ilvl="2" w:tplc="01EACDB0" w:tentative="1">
      <w:start w:val="1"/>
      <w:numFmt w:val="bullet"/>
      <w:lvlText w:val=""/>
      <w:lvlJc w:val="left"/>
      <w:pPr>
        <w:ind w:left="720" w:hanging="360"/>
      </w:pPr>
      <w:rPr>
        <w:rFonts w:ascii="Wingdings" w:hAnsi="Wingdings" w:hint="default"/>
      </w:rPr>
    </w:lvl>
    <w:lvl w:ilvl="3" w:tplc="8598AA48" w:tentative="1">
      <w:start w:val="1"/>
      <w:numFmt w:val="bullet"/>
      <w:lvlText w:val=""/>
      <w:lvlJc w:val="left"/>
      <w:pPr>
        <w:ind w:left="1440" w:hanging="360"/>
      </w:pPr>
      <w:rPr>
        <w:rFonts w:ascii="Symbol" w:hAnsi="Symbol" w:hint="default"/>
      </w:rPr>
    </w:lvl>
    <w:lvl w:ilvl="4" w:tplc="210052FE" w:tentative="1">
      <w:start w:val="1"/>
      <w:numFmt w:val="bullet"/>
      <w:lvlText w:val="o"/>
      <w:lvlJc w:val="left"/>
      <w:pPr>
        <w:ind w:left="2160" w:hanging="360"/>
      </w:pPr>
      <w:rPr>
        <w:rFonts w:ascii="Courier New" w:hAnsi="Courier New" w:hint="default"/>
      </w:rPr>
    </w:lvl>
    <w:lvl w:ilvl="5" w:tplc="36C0C8C6" w:tentative="1">
      <w:start w:val="1"/>
      <w:numFmt w:val="bullet"/>
      <w:lvlText w:val=""/>
      <w:lvlJc w:val="left"/>
      <w:pPr>
        <w:ind w:left="2880" w:hanging="360"/>
      </w:pPr>
      <w:rPr>
        <w:rFonts w:ascii="Wingdings" w:hAnsi="Wingdings" w:hint="default"/>
      </w:rPr>
    </w:lvl>
    <w:lvl w:ilvl="6" w:tplc="D44E6FDA" w:tentative="1">
      <w:start w:val="1"/>
      <w:numFmt w:val="bullet"/>
      <w:lvlText w:val=""/>
      <w:lvlJc w:val="left"/>
      <w:pPr>
        <w:ind w:left="3600" w:hanging="360"/>
      </w:pPr>
      <w:rPr>
        <w:rFonts w:ascii="Symbol" w:hAnsi="Symbol" w:hint="default"/>
      </w:rPr>
    </w:lvl>
    <w:lvl w:ilvl="7" w:tplc="73842476" w:tentative="1">
      <w:start w:val="1"/>
      <w:numFmt w:val="bullet"/>
      <w:lvlText w:val="o"/>
      <w:lvlJc w:val="left"/>
      <w:pPr>
        <w:ind w:left="4320" w:hanging="360"/>
      </w:pPr>
      <w:rPr>
        <w:rFonts w:ascii="Courier New" w:hAnsi="Courier New" w:hint="default"/>
      </w:rPr>
    </w:lvl>
    <w:lvl w:ilvl="8" w:tplc="2FA09BB6" w:tentative="1">
      <w:start w:val="1"/>
      <w:numFmt w:val="bullet"/>
      <w:lvlText w:val=""/>
      <w:lvlJc w:val="left"/>
      <w:pPr>
        <w:ind w:left="5040" w:hanging="360"/>
      </w:pPr>
      <w:rPr>
        <w:rFonts w:ascii="Wingdings" w:hAnsi="Wingdings" w:hint="default"/>
      </w:rPr>
    </w:lvl>
  </w:abstractNum>
  <w:abstractNum w:abstractNumId="416" w15:restartNumberingAfterBreak="0">
    <w:nsid w:val="549692B3"/>
    <w:multiLevelType w:val="hybridMultilevel"/>
    <w:tmpl w:val="76A6236A"/>
    <w:lvl w:ilvl="0" w:tplc="F950F3CA">
      <w:start w:val="1"/>
      <w:numFmt w:val="bullet"/>
      <w:lvlText w:val=""/>
      <w:lvlJc w:val="left"/>
      <w:pPr>
        <w:ind w:left="720" w:hanging="360"/>
      </w:pPr>
      <w:rPr>
        <w:rFonts w:ascii="Symbol" w:hAnsi="Symbol" w:hint="default"/>
      </w:rPr>
    </w:lvl>
    <w:lvl w:ilvl="1" w:tplc="261A3EDE">
      <w:start w:val="1"/>
      <w:numFmt w:val="bullet"/>
      <w:lvlText w:val="o"/>
      <w:lvlJc w:val="left"/>
      <w:pPr>
        <w:ind w:left="1440" w:hanging="360"/>
      </w:pPr>
      <w:rPr>
        <w:rFonts w:ascii="Courier New" w:hAnsi="Courier New" w:hint="default"/>
      </w:rPr>
    </w:lvl>
    <w:lvl w:ilvl="2" w:tplc="4F9229A4">
      <w:start w:val="1"/>
      <w:numFmt w:val="bullet"/>
      <w:lvlText w:val=""/>
      <w:lvlJc w:val="left"/>
      <w:pPr>
        <w:ind w:left="2160" w:hanging="360"/>
      </w:pPr>
      <w:rPr>
        <w:rFonts w:ascii="Wingdings" w:hAnsi="Wingdings" w:hint="default"/>
      </w:rPr>
    </w:lvl>
    <w:lvl w:ilvl="3" w:tplc="D6C83156">
      <w:start w:val="1"/>
      <w:numFmt w:val="bullet"/>
      <w:lvlText w:val=""/>
      <w:lvlJc w:val="left"/>
      <w:pPr>
        <w:ind w:left="2880" w:hanging="360"/>
      </w:pPr>
      <w:rPr>
        <w:rFonts w:ascii="Symbol" w:hAnsi="Symbol" w:hint="default"/>
      </w:rPr>
    </w:lvl>
    <w:lvl w:ilvl="4" w:tplc="2C3EB674">
      <w:start w:val="1"/>
      <w:numFmt w:val="bullet"/>
      <w:lvlText w:val="o"/>
      <w:lvlJc w:val="left"/>
      <w:pPr>
        <w:ind w:left="3600" w:hanging="360"/>
      </w:pPr>
      <w:rPr>
        <w:rFonts w:ascii="Courier New" w:hAnsi="Courier New" w:hint="default"/>
      </w:rPr>
    </w:lvl>
    <w:lvl w:ilvl="5" w:tplc="F60EF8BE">
      <w:start w:val="1"/>
      <w:numFmt w:val="bullet"/>
      <w:lvlText w:val=""/>
      <w:lvlJc w:val="left"/>
      <w:pPr>
        <w:ind w:left="4320" w:hanging="360"/>
      </w:pPr>
      <w:rPr>
        <w:rFonts w:ascii="Wingdings" w:hAnsi="Wingdings" w:hint="default"/>
      </w:rPr>
    </w:lvl>
    <w:lvl w:ilvl="6" w:tplc="4C1AFC42">
      <w:start w:val="1"/>
      <w:numFmt w:val="bullet"/>
      <w:lvlText w:val=""/>
      <w:lvlJc w:val="left"/>
      <w:pPr>
        <w:ind w:left="5040" w:hanging="360"/>
      </w:pPr>
      <w:rPr>
        <w:rFonts w:ascii="Symbol" w:hAnsi="Symbol" w:hint="default"/>
      </w:rPr>
    </w:lvl>
    <w:lvl w:ilvl="7" w:tplc="11904932">
      <w:start w:val="1"/>
      <w:numFmt w:val="bullet"/>
      <w:lvlText w:val="o"/>
      <w:lvlJc w:val="left"/>
      <w:pPr>
        <w:ind w:left="5760" w:hanging="360"/>
      </w:pPr>
      <w:rPr>
        <w:rFonts w:ascii="Courier New" w:hAnsi="Courier New" w:hint="default"/>
      </w:rPr>
    </w:lvl>
    <w:lvl w:ilvl="8" w:tplc="91E0DFEA">
      <w:start w:val="1"/>
      <w:numFmt w:val="bullet"/>
      <w:lvlText w:val=""/>
      <w:lvlJc w:val="left"/>
      <w:pPr>
        <w:ind w:left="6480" w:hanging="360"/>
      </w:pPr>
      <w:rPr>
        <w:rFonts w:ascii="Wingdings" w:hAnsi="Wingdings" w:hint="default"/>
      </w:rPr>
    </w:lvl>
  </w:abstractNum>
  <w:abstractNum w:abstractNumId="417" w15:restartNumberingAfterBreak="0">
    <w:nsid w:val="54C01955"/>
    <w:multiLevelType w:val="hybridMultilevel"/>
    <w:tmpl w:val="000AC49C"/>
    <w:lvl w:ilvl="0" w:tplc="1E52A448">
      <w:start w:val="1"/>
      <w:numFmt w:val="bullet"/>
      <w:lvlText w:val=""/>
      <w:lvlJc w:val="left"/>
      <w:pPr>
        <w:ind w:left="1020" w:hanging="360"/>
      </w:pPr>
      <w:rPr>
        <w:rFonts w:ascii="Symbol" w:hAnsi="Symbol"/>
      </w:rPr>
    </w:lvl>
    <w:lvl w:ilvl="1" w:tplc="DEA27A7E">
      <w:start w:val="1"/>
      <w:numFmt w:val="bullet"/>
      <w:lvlText w:val=""/>
      <w:lvlJc w:val="left"/>
      <w:pPr>
        <w:ind w:left="1020" w:hanging="360"/>
      </w:pPr>
      <w:rPr>
        <w:rFonts w:ascii="Symbol" w:hAnsi="Symbol"/>
      </w:rPr>
    </w:lvl>
    <w:lvl w:ilvl="2" w:tplc="A6B8744C">
      <w:start w:val="1"/>
      <w:numFmt w:val="bullet"/>
      <w:lvlText w:val=""/>
      <w:lvlJc w:val="left"/>
      <w:pPr>
        <w:ind w:left="1020" w:hanging="360"/>
      </w:pPr>
      <w:rPr>
        <w:rFonts w:ascii="Symbol" w:hAnsi="Symbol"/>
      </w:rPr>
    </w:lvl>
    <w:lvl w:ilvl="3" w:tplc="F446BE82">
      <w:start w:val="1"/>
      <w:numFmt w:val="bullet"/>
      <w:lvlText w:val=""/>
      <w:lvlJc w:val="left"/>
      <w:pPr>
        <w:ind w:left="1020" w:hanging="360"/>
      </w:pPr>
      <w:rPr>
        <w:rFonts w:ascii="Symbol" w:hAnsi="Symbol"/>
      </w:rPr>
    </w:lvl>
    <w:lvl w:ilvl="4" w:tplc="FFD2B24E">
      <w:start w:val="1"/>
      <w:numFmt w:val="bullet"/>
      <w:lvlText w:val=""/>
      <w:lvlJc w:val="left"/>
      <w:pPr>
        <w:ind w:left="1020" w:hanging="360"/>
      </w:pPr>
      <w:rPr>
        <w:rFonts w:ascii="Symbol" w:hAnsi="Symbol"/>
      </w:rPr>
    </w:lvl>
    <w:lvl w:ilvl="5" w:tplc="FD88E52E">
      <w:start w:val="1"/>
      <w:numFmt w:val="bullet"/>
      <w:lvlText w:val=""/>
      <w:lvlJc w:val="left"/>
      <w:pPr>
        <w:ind w:left="1020" w:hanging="360"/>
      </w:pPr>
      <w:rPr>
        <w:rFonts w:ascii="Symbol" w:hAnsi="Symbol"/>
      </w:rPr>
    </w:lvl>
    <w:lvl w:ilvl="6" w:tplc="C2AE2DDA">
      <w:start w:val="1"/>
      <w:numFmt w:val="bullet"/>
      <w:lvlText w:val=""/>
      <w:lvlJc w:val="left"/>
      <w:pPr>
        <w:ind w:left="1020" w:hanging="360"/>
      </w:pPr>
      <w:rPr>
        <w:rFonts w:ascii="Symbol" w:hAnsi="Symbol"/>
      </w:rPr>
    </w:lvl>
    <w:lvl w:ilvl="7" w:tplc="6FD24EEC">
      <w:start w:val="1"/>
      <w:numFmt w:val="bullet"/>
      <w:lvlText w:val=""/>
      <w:lvlJc w:val="left"/>
      <w:pPr>
        <w:ind w:left="1020" w:hanging="360"/>
      </w:pPr>
      <w:rPr>
        <w:rFonts w:ascii="Symbol" w:hAnsi="Symbol"/>
      </w:rPr>
    </w:lvl>
    <w:lvl w:ilvl="8" w:tplc="1F86AABE">
      <w:start w:val="1"/>
      <w:numFmt w:val="bullet"/>
      <w:lvlText w:val=""/>
      <w:lvlJc w:val="left"/>
      <w:pPr>
        <w:ind w:left="1020" w:hanging="360"/>
      </w:pPr>
      <w:rPr>
        <w:rFonts w:ascii="Symbol" w:hAnsi="Symbol"/>
      </w:rPr>
    </w:lvl>
  </w:abstractNum>
  <w:abstractNum w:abstractNumId="418" w15:restartNumberingAfterBreak="0">
    <w:nsid w:val="550158DB"/>
    <w:multiLevelType w:val="hybridMultilevel"/>
    <w:tmpl w:val="05E8FF3A"/>
    <w:lvl w:ilvl="0" w:tplc="9B801544">
      <w:start w:val="1"/>
      <w:numFmt w:val="bullet"/>
      <w:lvlText w:val=""/>
      <w:lvlJc w:val="left"/>
      <w:pPr>
        <w:ind w:left="720" w:hanging="360"/>
      </w:pPr>
      <w:rPr>
        <w:rFonts w:ascii="Symbol" w:hAnsi="Symbol" w:hint="default"/>
      </w:rPr>
    </w:lvl>
    <w:lvl w:ilvl="1" w:tplc="4A10BD92" w:tentative="1">
      <w:start w:val="1"/>
      <w:numFmt w:val="bullet"/>
      <w:lvlText w:val="o"/>
      <w:lvlJc w:val="left"/>
      <w:pPr>
        <w:ind w:left="1440" w:hanging="360"/>
      </w:pPr>
      <w:rPr>
        <w:rFonts w:ascii="Courier New" w:hAnsi="Courier New" w:hint="default"/>
      </w:rPr>
    </w:lvl>
    <w:lvl w:ilvl="2" w:tplc="3454E768" w:tentative="1">
      <w:start w:val="1"/>
      <w:numFmt w:val="bullet"/>
      <w:lvlText w:val=""/>
      <w:lvlJc w:val="left"/>
      <w:pPr>
        <w:ind w:left="2160" w:hanging="360"/>
      </w:pPr>
      <w:rPr>
        <w:rFonts w:ascii="Wingdings" w:hAnsi="Wingdings" w:hint="default"/>
      </w:rPr>
    </w:lvl>
    <w:lvl w:ilvl="3" w:tplc="33C67DFC" w:tentative="1">
      <w:start w:val="1"/>
      <w:numFmt w:val="bullet"/>
      <w:lvlText w:val=""/>
      <w:lvlJc w:val="left"/>
      <w:pPr>
        <w:ind w:left="2880" w:hanging="360"/>
      </w:pPr>
      <w:rPr>
        <w:rFonts w:ascii="Symbol" w:hAnsi="Symbol" w:hint="default"/>
      </w:rPr>
    </w:lvl>
    <w:lvl w:ilvl="4" w:tplc="CC8E1546" w:tentative="1">
      <w:start w:val="1"/>
      <w:numFmt w:val="bullet"/>
      <w:lvlText w:val="o"/>
      <w:lvlJc w:val="left"/>
      <w:pPr>
        <w:ind w:left="3600" w:hanging="360"/>
      </w:pPr>
      <w:rPr>
        <w:rFonts w:ascii="Courier New" w:hAnsi="Courier New" w:hint="default"/>
      </w:rPr>
    </w:lvl>
    <w:lvl w:ilvl="5" w:tplc="708C17A2" w:tentative="1">
      <w:start w:val="1"/>
      <w:numFmt w:val="bullet"/>
      <w:lvlText w:val=""/>
      <w:lvlJc w:val="left"/>
      <w:pPr>
        <w:ind w:left="4320" w:hanging="360"/>
      </w:pPr>
      <w:rPr>
        <w:rFonts w:ascii="Wingdings" w:hAnsi="Wingdings" w:hint="default"/>
      </w:rPr>
    </w:lvl>
    <w:lvl w:ilvl="6" w:tplc="184C8396" w:tentative="1">
      <w:start w:val="1"/>
      <w:numFmt w:val="bullet"/>
      <w:lvlText w:val=""/>
      <w:lvlJc w:val="left"/>
      <w:pPr>
        <w:ind w:left="5040" w:hanging="360"/>
      </w:pPr>
      <w:rPr>
        <w:rFonts w:ascii="Symbol" w:hAnsi="Symbol" w:hint="default"/>
      </w:rPr>
    </w:lvl>
    <w:lvl w:ilvl="7" w:tplc="8660A2C2" w:tentative="1">
      <w:start w:val="1"/>
      <w:numFmt w:val="bullet"/>
      <w:lvlText w:val="o"/>
      <w:lvlJc w:val="left"/>
      <w:pPr>
        <w:ind w:left="5760" w:hanging="360"/>
      </w:pPr>
      <w:rPr>
        <w:rFonts w:ascii="Courier New" w:hAnsi="Courier New" w:hint="default"/>
      </w:rPr>
    </w:lvl>
    <w:lvl w:ilvl="8" w:tplc="61DA53BA" w:tentative="1">
      <w:start w:val="1"/>
      <w:numFmt w:val="bullet"/>
      <w:lvlText w:val=""/>
      <w:lvlJc w:val="left"/>
      <w:pPr>
        <w:ind w:left="6480" w:hanging="360"/>
      </w:pPr>
      <w:rPr>
        <w:rFonts w:ascii="Wingdings" w:hAnsi="Wingdings" w:hint="default"/>
      </w:rPr>
    </w:lvl>
  </w:abstractNum>
  <w:abstractNum w:abstractNumId="419" w15:restartNumberingAfterBreak="0">
    <w:nsid w:val="552E2B54"/>
    <w:multiLevelType w:val="hybridMultilevel"/>
    <w:tmpl w:val="FFFFFFFF"/>
    <w:lvl w:ilvl="0" w:tplc="4B3EDF92">
      <w:start w:val="1"/>
      <w:numFmt w:val="bullet"/>
      <w:lvlText w:val="o"/>
      <w:lvlJc w:val="left"/>
      <w:pPr>
        <w:ind w:left="720" w:hanging="360"/>
      </w:pPr>
      <w:rPr>
        <w:rFonts w:ascii="&quot;Courier New&quot;" w:hAnsi="&quot;Courier New&quot;" w:hint="default"/>
      </w:rPr>
    </w:lvl>
    <w:lvl w:ilvl="1" w:tplc="7B2A8D36">
      <w:start w:val="1"/>
      <w:numFmt w:val="bullet"/>
      <w:lvlText w:val="o"/>
      <w:lvlJc w:val="left"/>
      <w:pPr>
        <w:ind w:left="1440" w:hanging="360"/>
      </w:pPr>
      <w:rPr>
        <w:rFonts w:ascii="Courier New" w:hAnsi="Courier New" w:hint="default"/>
      </w:rPr>
    </w:lvl>
    <w:lvl w:ilvl="2" w:tplc="CAE0A628">
      <w:start w:val="1"/>
      <w:numFmt w:val="bullet"/>
      <w:lvlText w:val=""/>
      <w:lvlJc w:val="left"/>
      <w:pPr>
        <w:ind w:left="2160" w:hanging="360"/>
      </w:pPr>
      <w:rPr>
        <w:rFonts w:ascii="Wingdings" w:hAnsi="Wingdings" w:hint="default"/>
      </w:rPr>
    </w:lvl>
    <w:lvl w:ilvl="3" w:tplc="C3D4575E">
      <w:start w:val="1"/>
      <w:numFmt w:val="bullet"/>
      <w:lvlText w:val=""/>
      <w:lvlJc w:val="left"/>
      <w:pPr>
        <w:ind w:left="2880" w:hanging="360"/>
      </w:pPr>
      <w:rPr>
        <w:rFonts w:ascii="Symbol" w:hAnsi="Symbol" w:hint="default"/>
      </w:rPr>
    </w:lvl>
    <w:lvl w:ilvl="4" w:tplc="122A3730">
      <w:start w:val="1"/>
      <w:numFmt w:val="bullet"/>
      <w:lvlText w:val="o"/>
      <w:lvlJc w:val="left"/>
      <w:pPr>
        <w:ind w:left="3600" w:hanging="360"/>
      </w:pPr>
      <w:rPr>
        <w:rFonts w:ascii="Courier New" w:hAnsi="Courier New" w:hint="default"/>
      </w:rPr>
    </w:lvl>
    <w:lvl w:ilvl="5" w:tplc="A47A8900">
      <w:start w:val="1"/>
      <w:numFmt w:val="bullet"/>
      <w:lvlText w:val=""/>
      <w:lvlJc w:val="left"/>
      <w:pPr>
        <w:ind w:left="4320" w:hanging="360"/>
      </w:pPr>
      <w:rPr>
        <w:rFonts w:ascii="Wingdings" w:hAnsi="Wingdings" w:hint="default"/>
      </w:rPr>
    </w:lvl>
    <w:lvl w:ilvl="6" w:tplc="6806316E">
      <w:start w:val="1"/>
      <w:numFmt w:val="bullet"/>
      <w:lvlText w:val=""/>
      <w:lvlJc w:val="left"/>
      <w:pPr>
        <w:ind w:left="5040" w:hanging="360"/>
      </w:pPr>
      <w:rPr>
        <w:rFonts w:ascii="Symbol" w:hAnsi="Symbol" w:hint="default"/>
      </w:rPr>
    </w:lvl>
    <w:lvl w:ilvl="7" w:tplc="B2E4571E">
      <w:start w:val="1"/>
      <w:numFmt w:val="bullet"/>
      <w:lvlText w:val="o"/>
      <w:lvlJc w:val="left"/>
      <w:pPr>
        <w:ind w:left="5760" w:hanging="360"/>
      </w:pPr>
      <w:rPr>
        <w:rFonts w:ascii="Courier New" w:hAnsi="Courier New" w:hint="default"/>
      </w:rPr>
    </w:lvl>
    <w:lvl w:ilvl="8" w:tplc="9E5254B6">
      <w:start w:val="1"/>
      <w:numFmt w:val="bullet"/>
      <w:lvlText w:val=""/>
      <w:lvlJc w:val="left"/>
      <w:pPr>
        <w:ind w:left="6480" w:hanging="360"/>
      </w:pPr>
      <w:rPr>
        <w:rFonts w:ascii="Wingdings" w:hAnsi="Wingdings" w:hint="default"/>
      </w:rPr>
    </w:lvl>
  </w:abstractNum>
  <w:abstractNum w:abstractNumId="420" w15:restartNumberingAfterBreak="0">
    <w:nsid w:val="552E3111"/>
    <w:multiLevelType w:val="hybridMultilevel"/>
    <w:tmpl w:val="147644BC"/>
    <w:lvl w:ilvl="0" w:tplc="3CAE66F6">
      <w:start w:val="1"/>
      <w:numFmt w:val="bullet"/>
      <w:lvlText w:val=""/>
      <w:lvlJc w:val="left"/>
      <w:pPr>
        <w:ind w:left="720" w:hanging="360"/>
      </w:pPr>
      <w:rPr>
        <w:rFonts w:ascii="Symbol" w:hAnsi="Symbol" w:hint="default"/>
      </w:rPr>
    </w:lvl>
    <w:lvl w:ilvl="1" w:tplc="49ACAE2E">
      <w:start w:val="1"/>
      <w:numFmt w:val="bullet"/>
      <w:lvlText w:val="o"/>
      <w:lvlJc w:val="left"/>
      <w:pPr>
        <w:ind w:left="1440" w:hanging="360"/>
      </w:pPr>
      <w:rPr>
        <w:rFonts w:ascii="Courier New" w:hAnsi="Courier New" w:hint="default"/>
      </w:rPr>
    </w:lvl>
    <w:lvl w:ilvl="2" w:tplc="C4DCB058">
      <w:start w:val="1"/>
      <w:numFmt w:val="bullet"/>
      <w:lvlText w:val=""/>
      <w:lvlJc w:val="left"/>
      <w:pPr>
        <w:ind w:left="2160" w:hanging="360"/>
      </w:pPr>
      <w:rPr>
        <w:rFonts w:ascii="Wingdings" w:hAnsi="Wingdings" w:hint="default"/>
      </w:rPr>
    </w:lvl>
    <w:lvl w:ilvl="3" w:tplc="CC52169C">
      <w:start w:val="1"/>
      <w:numFmt w:val="bullet"/>
      <w:lvlText w:val=""/>
      <w:lvlJc w:val="left"/>
      <w:pPr>
        <w:ind w:left="2880" w:hanging="360"/>
      </w:pPr>
      <w:rPr>
        <w:rFonts w:ascii="Symbol" w:hAnsi="Symbol" w:hint="default"/>
      </w:rPr>
    </w:lvl>
    <w:lvl w:ilvl="4" w:tplc="BFE420A2">
      <w:start w:val="1"/>
      <w:numFmt w:val="bullet"/>
      <w:lvlText w:val="o"/>
      <w:lvlJc w:val="left"/>
      <w:pPr>
        <w:ind w:left="3600" w:hanging="360"/>
      </w:pPr>
      <w:rPr>
        <w:rFonts w:ascii="Courier New" w:hAnsi="Courier New" w:hint="default"/>
      </w:rPr>
    </w:lvl>
    <w:lvl w:ilvl="5" w:tplc="60CA8F5E">
      <w:start w:val="1"/>
      <w:numFmt w:val="bullet"/>
      <w:lvlText w:val=""/>
      <w:lvlJc w:val="left"/>
      <w:pPr>
        <w:ind w:left="4320" w:hanging="360"/>
      </w:pPr>
      <w:rPr>
        <w:rFonts w:ascii="Wingdings" w:hAnsi="Wingdings" w:hint="default"/>
      </w:rPr>
    </w:lvl>
    <w:lvl w:ilvl="6" w:tplc="B292424E">
      <w:start w:val="1"/>
      <w:numFmt w:val="bullet"/>
      <w:lvlText w:val=""/>
      <w:lvlJc w:val="left"/>
      <w:pPr>
        <w:ind w:left="5040" w:hanging="360"/>
      </w:pPr>
      <w:rPr>
        <w:rFonts w:ascii="Symbol" w:hAnsi="Symbol" w:hint="default"/>
      </w:rPr>
    </w:lvl>
    <w:lvl w:ilvl="7" w:tplc="26A87660">
      <w:start w:val="1"/>
      <w:numFmt w:val="bullet"/>
      <w:lvlText w:val="o"/>
      <w:lvlJc w:val="left"/>
      <w:pPr>
        <w:ind w:left="5760" w:hanging="360"/>
      </w:pPr>
      <w:rPr>
        <w:rFonts w:ascii="Courier New" w:hAnsi="Courier New" w:hint="default"/>
      </w:rPr>
    </w:lvl>
    <w:lvl w:ilvl="8" w:tplc="D1D2140C">
      <w:start w:val="1"/>
      <w:numFmt w:val="bullet"/>
      <w:lvlText w:val=""/>
      <w:lvlJc w:val="left"/>
      <w:pPr>
        <w:ind w:left="6480" w:hanging="360"/>
      </w:pPr>
      <w:rPr>
        <w:rFonts w:ascii="Wingdings" w:hAnsi="Wingdings" w:hint="default"/>
      </w:rPr>
    </w:lvl>
  </w:abstractNum>
  <w:abstractNum w:abstractNumId="421" w15:restartNumberingAfterBreak="0">
    <w:nsid w:val="553777B0"/>
    <w:multiLevelType w:val="hybridMultilevel"/>
    <w:tmpl w:val="E4F0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2" w15:restartNumberingAfterBreak="0">
    <w:nsid w:val="554864E1"/>
    <w:multiLevelType w:val="hybridMultilevel"/>
    <w:tmpl w:val="C7DCFD1A"/>
    <w:lvl w:ilvl="0" w:tplc="A94E7E4C">
      <w:start w:val="1"/>
      <w:numFmt w:val="bullet"/>
      <w:lvlText w:val=""/>
      <w:lvlJc w:val="left"/>
      <w:pPr>
        <w:ind w:left="720" w:hanging="360"/>
      </w:pPr>
      <w:rPr>
        <w:rFonts w:ascii="Symbol" w:hAnsi="Symbol" w:hint="default"/>
      </w:rPr>
    </w:lvl>
    <w:lvl w:ilvl="1" w:tplc="B734D55E" w:tentative="1">
      <w:start w:val="1"/>
      <w:numFmt w:val="bullet"/>
      <w:lvlText w:val="o"/>
      <w:lvlJc w:val="left"/>
      <w:pPr>
        <w:ind w:left="1440" w:hanging="360"/>
      </w:pPr>
      <w:rPr>
        <w:rFonts w:ascii="Courier New" w:hAnsi="Courier New" w:hint="default"/>
      </w:rPr>
    </w:lvl>
    <w:lvl w:ilvl="2" w:tplc="2498613C" w:tentative="1">
      <w:start w:val="1"/>
      <w:numFmt w:val="bullet"/>
      <w:lvlText w:val=""/>
      <w:lvlJc w:val="left"/>
      <w:pPr>
        <w:ind w:left="2160" w:hanging="360"/>
      </w:pPr>
      <w:rPr>
        <w:rFonts w:ascii="Wingdings" w:hAnsi="Wingdings" w:hint="default"/>
      </w:rPr>
    </w:lvl>
    <w:lvl w:ilvl="3" w:tplc="A1A857CC" w:tentative="1">
      <w:start w:val="1"/>
      <w:numFmt w:val="bullet"/>
      <w:lvlText w:val=""/>
      <w:lvlJc w:val="left"/>
      <w:pPr>
        <w:ind w:left="2880" w:hanging="360"/>
      </w:pPr>
      <w:rPr>
        <w:rFonts w:ascii="Symbol" w:hAnsi="Symbol" w:hint="default"/>
      </w:rPr>
    </w:lvl>
    <w:lvl w:ilvl="4" w:tplc="A51EF74E" w:tentative="1">
      <w:start w:val="1"/>
      <w:numFmt w:val="bullet"/>
      <w:lvlText w:val="o"/>
      <w:lvlJc w:val="left"/>
      <w:pPr>
        <w:ind w:left="3600" w:hanging="360"/>
      </w:pPr>
      <w:rPr>
        <w:rFonts w:ascii="Courier New" w:hAnsi="Courier New" w:hint="default"/>
      </w:rPr>
    </w:lvl>
    <w:lvl w:ilvl="5" w:tplc="3424AF76" w:tentative="1">
      <w:start w:val="1"/>
      <w:numFmt w:val="bullet"/>
      <w:lvlText w:val=""/>
      <w:lvlJc w:val="left"/>
      <w:pPr>
        <w:ind w:left="4320" w:hanging="360"/>
      </w:pPr>
      <w:rPr>
        <w:rFonts w:ascii="Wingdings" w:hAnsi="Wingdings" w:hint="default"/>
      </w:rPr>
    </w:lvl>
    <w:lvl w:ilvl="6" w:tplc="D1149226" w:tentative="1">
      <w:start w:val="1"/>
      <w:numFmt w:val="bullet"/>
      <w:lvlText w:val=""/>
      <w:lvlJc w:val="left"/>
      <w:pPr>
        <w:ind w:left="5040" w:hanging="360"/>
      </w:pPr>
      <w:rPr>
        <w:rFonts w:ascii="Symbol" w:hAnsi="Symbol" w:hint="default"/>
      </w:rPr>
    </w:lvl>
    <w:lvl w:ilvl="7" w:tplc="66900DEE" w:tentative="1">
      <w:start w:val="1"/>
      <w:numFmt w:val="bullet"/>
      <w:lvlText w:val="o"/>
      <w:lvlJc w:val="left"/>
      <w:pPr>
        <w:ind w:left="5760" w:hanging="360"/>
      </w:pPr>
      <w:rPr>
        <w:rFonts w:ascii="Courier New" w:hAnsi="Courier New" w:hint="default"/>
      </w:rPr>
    </w:lvl>
    <w:lvl w:ilvl="8" w:tplc="D0F020F6" w:tentative="1">
      <w:start w:val="1"/>
      <w:numFmt w:val="bullet"/>
      <w:lvlText w:val=""/>
      <w:lvlJc w:val="left"/>
      <w:pPr>
        <w:ind w:left="6480" w:hanging="360"/>
      </w:pPr>
      <w:rPr>
        <w:rFonts w:ascii="Wingdings" w:hAnsi="Wingdings" w:hint="default"/>
      </w:rPr>
    </w:lvl>
  </w:abstractNum>
  <w:abstractNum w:abstractNumId="423" w15:restartNumberingAfterBreak="0">
    <w:nsid w:val="555855DA"/>
    <w:multiLevelType w:val="multilevel"/>
    <w:tmpl w:val="55A040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358189"/>
      </w:rPr>
    </w:lvl>
    <w:lvl w:ilvl="2">
      <w:start w:val="1"/>
      <w:numFmt w:val="decimal"/>
      <w:lvlText w:val="%1.%2.%3."/>
      <w:lvlJc w:val="left"/>
      <w:pPr>
        <w:ind w:left="1224" w:hanging="504"/>
      </w:pPr>
      <w:rPr>
        <w:rFonts w:hint="default"/>
        <w:i w:val="0"/>
        <w:iCs/>
        <w:color w:val="358189"/>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55902E96"/>
    <w:multiLevelType w:val="hybridMultilevel"/>
    <w:tmpl w:val="FD846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5" w15:restartNumberingAfterBreak="0">
    <w:nsid w:val="55AAE85A"/>
    <w:multiLevelType w:val="hybridMultilevel"/>
    <w:tmpl w:val="98DE2032"/>
    <w:lvl w:ilvl="0" w:tplc="7FF8C91A">
      <w:start w:val="1"/>
      <w:numFmt w:val="bullet"/>
      <w:lvlText w:val="·"/>
      <w:lvlJc w:val="left"/>
      <w:pPr>
        <w:ind w:left="720" w:hanging="360"/>
      </w:pPr>
      <w:rPr>
        <w:rFonts w:ascii="Symbol" w:hAnsi="Symbol" w:hint="default"/>
      </w:rPr>
    </w:lvl>
    <w:lvl w:ilvl="1" w:tplc="7C681858">
      <w:start w:val="1"/>
      <w:numFmt w:val="bullet"/>
      <w:lvlText w:val="o"/>
      <w:lvlJc w:val="left"/>
      <w:pPr>
        <w:ind w:left="1440" w:hanging="360"/>
      </w:pPr>
      <w:rPr>
        <w:rFonts w:ascii="Courier New" w:hAnsi="Courier New" w:hint="default"/>
      </w:rPr>
    </w:lvl>
    <w:lvl w:ilvl="2" w:tplc="6D74757E">
      <w:start w:val="1"/>
      <w:numFmt w:val="bullet"/>
      <w:lvlText w:val=""/>
      <w:lvlJc w:val="left"/>
      <w:pPr>
        <w:ind w:left="2160" w:hanging="360"/>
      </w:pPr>
      <w:rPr>
        <w:rFonts w:ascii="Wingdings" w:hAnsi="Wingdings" w:hint="default"/>
      </w:rPr>
    </w:lvl>
    <w:lvl w:ilvl="3" w:tplc="EE56FA60">
      <w:start w:val="1"/>
      <w:numFmt w:val="bullet"/>
      <w:lvlText w:val=""/>
      <w:lvlJc w:val="left"/>
      <w:pPr>
        <w:ind w:left="2880" w:hanging="360"/>
      </w:pPr>
      <w:rPr>
        <w:rFonts w:ascii="Symbol" w:hAnsi="Symbol" w:hint="default"/>
      </w:rPr>
    </w:lvl>
    <w:lvl w:ilvl="4" w:tplc="C486DBD2">
      <w:start w:val="1"/>
      <w:numFmt w:val="bullet"/>
      <w:lvlText w:val="o"/>
      <w:lvlJc w:val="left"/>
      <w:pPr>
        <w:ind w:left="3600" w:hanging="360"/>
      </w:pPr>
      <w:rPr>
        <w:rFonts w:ascii="Courier New" w:hAnsi="Courier New" w:hint="default"/>
      </w:rPr>
    </w:lvl>
    <w:lvl w:ilvl="5" w:tplc="A9B2982E">
      <w:start w:val="1"/>
      <w:numFmt w:val="bullet"/>
      <w:lvlText w:val=""/>
      <w:lvlJc w:val="left"/>
      <w:pPr>
        <w:ind w:left="4320" w:hanging="360"/>
      </w:pPr>
      <w:rPr>
        <w:rFonts w:ascii="Wingdings" w:hAnsi="Wingdings" w:hint="default"/>
      </w:rPr>
    </w:lvl>
    <w:lvl w:ilvl="6" w:tplc="88F48CB8">
      <w:start w:val="1"/>
      <w:numFmt w:val="bullet"/>
      <w:lvlText w:val=""/>
      <w:lvlJc w:val="left"/>
      <w:pPr>
        <w:ind w:left="5040" w:hanging="360"/>
      </w:pPr>
      <w:rPr>
        <w:rFonts w:ascii="Symbol" w:hAnsi="Symbol" w:hint="default"/>
      </w:rPr>
    </w:lvl>
    <w:lvl w:ilvl="7" w:tplc="1632CAA0">
      <w:start w:val="1"/>
      <w:numFmt w:val="bullet"/>
      <w:lvlText w:val="o"/>
      <w:lvlJc w:val="left"/>
      <w:pPr>
        <w:ind w:left="5760" w:hanging="360"/>
      </w:pPr>
      <w:rPr>
        <w:rFonts w:ascii="Courier New" w:hAnsi="Courier New" w:hint="default"/>
      </w:rPr>
    </w:lvl>
    <w:lvl w:ilvl="8" w:tplc="D82A63B2">
      <w:start w:val="1"/>
      <w:numFmt w:val="bullet"/>
      <w:lvlText w:val=""/>
      <w:lvlJc w:val="left"/>
      <w:pPr>
        <w:ind w:left="6480" w:hanging="360"/>
      </w:pPr>
      <w:rPr>
        <w:rFonts w:ascii="Wingdings" w:hAnsi="Wingdings" w:hint="default"/>
      </w:rPr>
    </w:lvl>
  </w:abstractNum>
  <w:abstractNum w:abstractNumId="426" w15:restartNumberingAfterBreak="0">
    <w:nsid w:val="55B41D90"/>
    <w:multiLevelType w:val="hybridMultilevel"/>
    <w:tmpl w:val="11D0B844"/>
    <w:lvl w:ilvl="0" w:tplc="7EA4E922">
      <w:start w:val="1"/>
      <w:numFmt w:val="bullet"/>
      <w:lvlText w:val=""/>
      <w:lvlJc w:val="left"/>
      <w:pPr>
        <w:ind w:left="360" w:hanging="360"/>
      </w:pPr>
      <w:rPr>
        <w:rFonts w:ascii="Symbol" w:hAnsi="Symbol" w:hint="default"/>
      </w:rPr>
    </w:lvl>
    <w:lvl w:ilvl="1" w:tplc="7D92D53E">
      <w:start w:val="1"/>
      <w:numFmt w:val="bullet"/>
      <w:lvlText w:val="o"/>
      <w:lvlJc w:val="left"/>
      <w:pPr>
        <w:ind w:left="992" w:hanging="360"/>
      </w:pPr>
      <w:rPr>
        <w:rFonts w:ascii="Courier New" w:hAnsi="Courier New" w:hint="default"/>
      </w:rPr>
    </w:lvl>
    <w:lvl w:ilvl="2" w:tplc="6436C108" w:tentative="1">
      <w:start w:val="1"/>
      <w:numFmt w:val="bullet"/>
      <w:lvlText w:val=""/>
      <w:lvlJc w:val="left"/>
      <w:pPr>
        <w:ind w:left="1800" w:hanging="360"/>
      </w:pPr>
      <w:rPr>
        <w:rFonts w:ascii="Wingdings" w:hAnsi="Wingdings" w:hint="default"/>
      </w:rPr>
    </w:lvl>
    <w:lvl w:ilvl="3" w:tplc="FABCC9D0" w:tentative="1">
      <w:start w:val="1"/>
      <w:numFmt w:val="bullet"/>
      <w:lvlText w:val=""/>
      <w:lvlJc w:val="left"/>
      <w:pPr>
        <w:ind w:left="2520" w:hanging="360"/>
      </w:pPr>
      <w:rPr>
        <w:rFonts w:ascii="Symbol" w:hAnsi="Symbol" w:hint="default"/>
      </w:rPr>
    </w:lvl>
    <w:lvl w:ilvl="4" w:tplc="DC14AC52" w:tentative="1">
      <w:start w:val="1"/>
      <w:numFmt w:val="bullet"/>
      <w:lvlText w:val="o"/>
      <w:lvlJc w:val="left"/>
      <w:pPr>
        <w:ind w:left="3240" w:hanging="360"/>
      </w:pPr>
      <w:rPr>
        <w:rFonts w:ascii="Courier New" w:hAnsi="Courier New" w:hint="default"/>
      </w:rPr>
    </w:lvl>
    <w:lvl w:ilvl="5" w:tplc="6F38412A" w:tentative="1">
      <w:start w:val="1"/>
      <w:numFmt w:val="bullet"/>
      <w:lvlText w:val=""/>
      <w:lvlJc w:val="left"/>
      <w:pPr>
        <w:ind w:left="3960" w:hanging="360"/>
      </w:pPr>
      <w:rPr>
        <w:rFonts w:ascii="Wingdings" w:hAnsi="Wingdings" w:hint="default"/>
      </w:rPr>
    </w:lvl>
    <w:lvl w:ilvl="6" w:tplc="71B82A16" w:tentative="1">
      <w:start w:val="1"/>
      <w:numFmt w:val="bullet"/>
      <w:lvlText w:val=""/>
      <w:lvlJc w:val="left"/>
      <w:pPr>
        <w:ind w:left="4680" w:hanging="360"/>
      </w:pPr>
      <w:rPr>
        <w:rFonts w:ascii="Symbol" w:hAnsi="Symbol" w:hint="default"/>
      </w:rPr>
    </w:lvl>
    <w:lvl w:ilvl="7" w:tplc="F21E10C4" w:tentative="1">
      <w:start w:val="1"/>
      <w:numFmt w:val="bullet"/>
      <w:lvlText w:val="o"/>
      <w:lvlJc w:val="left"/>
      <w:pPr>
        <w:ind w:left="5400" w:hanging="360"/>
      </w:pPr>
      <w:rPr>
        <w:rFonts w:ascii="Courier New" w:hAnsi="Courier New" w:hint="default"/>
      </w:rPr>
    </w:lvl>
    <w:lvl w:ilvl="8" w:tplc="75D0297E" w:tentative="1">
      <w:start w:val="1"/>
      <w:numFmt w:val="bullet"/>
      <w:lvlText w:val=""/>
      <w:lvlJc w:val="left"/>
      <w:pPr>
        <w:ind w:left="6120" w:hanging="360"/>
      </w:pPr>
      <w:rPr>
        <w:rFonts w:ascii="Wingdings" w:hAnsi="Wingdings" w:hint="default"/>
      </w:rPr>
    </w:lvl>
  </w:abstractNum>
  <w:abstractNum w:abstractNumId="427" w15:restartNumberingAfterBreak="0">
    <w:nsid w:val="55E86360"/>
    <w:multiLevelType w:val="hybridMultilevel"/>
    <w:tmpl w:val="26864FF0"/>
    <w:lvl w:ilvl="0" w:tplc="071872F4">
      <w:start w:val="1"/>
      <w:numFmt w:val="bullet"/>
      <w:lvlText w:val=""/>
      <w:lvlJc w:val="left"/>
      <w:pPr>
        <w:ind w:left="720" w:hanging="360"/>
      </w:pPr>
      <w:rPr>
        <w:rFonts w:ascii="Symbol" w:hAnsi="Symbol" w:hint="default"/>
      </w:rPr>
    </w:lvl>
    <w:lvl w:ilvl="1" w:tplc="8D324DA0" w:tentative="1">
      <w:start w:val="1"/>
      <w:numFmt w:val="bullet"/>
      <w:lvlText w:val="o"/>
      <w:lvlJc w:val="left"/>
      <w:pPr>
        <w:ind w:left="1440" w:hanging="360"/>
      </w:pPr>
      <w:rPr>
        <w:rFonts w:ascii="Courier New" w:hAnsi="Courier New" w:hint="default"/>
      </w:rPr>
    </w:lvl>
    <w:lvl w:ilvl="2" w:tplc="6DA0FAEE" w:tentative="1">
      <w:start w:val="1"/>
      <w:numFmt w:val="bullet"/>
      <w:lvlText w:val=""/>
      <w:lvlJc w:val="left"/>
      <w:pPr>
        <w:ind w:left="2160" w:hanging="360"/>
      </w:pPr>
      <w:rPr>
        <w:rFonts w:ascii="Wingdings" w:hAnsi="Wingdings" w:hint="default"/>
      </w:rPr>
    </w:lvl>
    <w:lvl w:ilvl="3" w:tplc="01A21778" w:tentative="1">
      <w:start w:val="1"/>
      <w:numFmt w:val="bullet"/>
      <w:lvlText w:val=""/>
      <w:lvlJc w:val="left"/>
      <w:pPr>
        <w:ind w:left="2880" w:hanging="360"/>
      </w:pPr>
      <w:rPr>
        <w:rFonts w:ascii="Symbol" w:hAnsi="Symbol" w:hint="default"/>
      </w:rPr>
    </w:lvl>
    <w:lvl w:ilvl="4" w:tplc="CA7A3F3C" w:tentative="1">
      <w:start w:val="1"/>
      <w:numFmt w:val="bullet"/>
      <w:lvlText w:val="o"/>
      <w:lvlJc w:val="left"/>
      <w:pPr>
        <w:ind w:left="3600" w:hanging="360"/>
      </w:pPr>
      <w:rPr>
        <w:rFonts w:ascii="Courier New" w:hAnsi="Courier New" w:hint="default"/>
      </w:rPr>
    </w:lvl>
    <w:lvl w:ilvl="5" w:tplc="3BA46C10" w:tentative="1">
      <w:start w:val="1"/>
      <w:numFmt w:val="bullet"/>
      <w:lvlText w:val=""/>
      <w:lvlJc w:val="left"/>
      <w:pPr>
        <w:ind w:left="4320" w:hanging="360"/>
      </w:pPr>
      <w:rPr>
        <w:rFonts w:ascii="Wingdings" w:hAnsi="Wingdings" w:hint="default"/>
      </w:rPr>
    </w:lvl>
    <w:lvl w:ilvl="6" w:tplc="FC6C5E4C" w:tentative="1">
      <w:start w:val="1"/>
      <w:numFmt w:val="bullet"/>
      <w:lvlText w:val=""/>
      <w:lvlJc w:val="left"/>
      <w:pPr>
        <w:ind w:left="5040" w:hanging="360"/>
      </w:pPr>
      <w:rPr>
        <w:rFonts w:ascii="Symbol" w:hAnsi="Symbol" w:hint="default"/>
      </w:rPr>
    </w:lvl>
    <w:lvl w:ilvl="7" w:tplc="F63852FC" w:tentative="1">
      <w:start w:val="1"/>
      <w:numFmt w:val="bullet"/>
      <w:lvlText w:val="o"/>
      <w:lvlJc w:val="left"/>
      <w:pPr>
        <w:ind w:left="5760" w:hanging="360"/>
      </w:pPr>
      <w:rPr>
        <w:rFonts w:ascii="Courier New" w:hAnsi="Courier New" w:hint="default"/>
      </w:rPr>
    </w:lvl>
    <w:lvl w:ilvl="8" w:tplc="14B83B50" w:tentative="1">
      <w:start w:val="1"/>
      <w:numFmt w:val="bullet"/>
      <w:lvlText w:val=""/>
      <w:lvlJc w:val="left"/>
      <w:pPr>
        <w:ind w:left="6480" w:hanging="360"/>
      </w:pPr>
      <w:rPr>
        <w:rFonts w:ascii="Wingdings" w:hAnsi="Wingdings" w:hint="default"/>
      </w:rPr>
    </w:lvl>
  </w:abstractNum>
  <w:abstractNum w:abstractNumId="428" w15:restartNumberingAfterBreak="0">
    <w:nsid w:val="56456B7B"/>
    <w:multiLevelType w:val="hybridMultilevel"/>
    <w:tmpl w:val="3F1A3D82"/>
    <w:lvl w:ilvl="0" w:tplc="7474F8E4">
      <w:start w:val="1"/>
      <w:numFmt w:val="bullet"/>
      <w:lvlText w:val=""/>
      <w:lvlJc w:val="left"/>
      <w:pPr>
        <w:ind w:left="720" w:hanging="360"/>
      </w:pPr>
      <w:rPr>
        <w:rFonts w:ascii="Symbol" w:hAnsi="Symbol" w:hint="default"/>
      </w:rPr>
    </w:lvl>
    <w:lvl w:ilvl="1" w:tplc="EB968CC8" w:tentative="1">
      <w:start w:val="1"/>
      <w:numFmt w:val="bullet"/>
      <w:lvlText w:val="o"/>
      <w:lvlJc w:val="left"/>
      <w:pPr>
        <w:ind w:left="1440" w:hanging="360"/>
      </w:pPr>
      <w:rPr>
        <w:rFonts w:ascii="Courier New" w:hAnsi="Courier New" w:hint="default"/>
      </w:rPr>
    </w:lvl>
    <w:lvl w:ilvl="2" w:tplc="67F6D808" w:tentative="1">
      <w:start w:val="1"/>
      <w:numFmt w:val="bullet"/>
      <w:lvlText w:val=""/>
      <w:lvlJc w:val="left"/>
      <w:pPr>
        <w:ind w:left="2160" w:hanging="360"/>
      </w:pPr>
      <w:rPr>
        <w:rFonts w:ascii="Wingdings" w:hAnsi="Wingdings" w:hint="default"/>
      </w:rPr>
    </w:lvl>
    <w:lvl w:ilvl="3" w:tplc="2BBAC798" w:tentative="1">
      <w:start w:val="1"/>
      <w:numFmt w:val="bullet"/>
      <w:lvlText w:val=""/>
      <w:lvlJc w:val="left"/>
      <w:pPr>
        <w:ind w:left="2880" w:hanging="360"/>
      </w:pPr>
      <w:rPr>
        <w:rFonts w:ascii="Symbol" w:hAnsi="Symbol" w:hint="default"/>
      </w:rPr>
    </w:lvl>
    <w:lvl w:ilvl="4" w:tplc="966E8F92" w:tentative="1">
      <w:start w:val="1"/>
      <w:numFmt w:val="bullet"/>
      <w:lvlText w:val="o"/>
      <w:lvlJc w:val="left"/>
      <w:pPr>
        <w:ind w:left="3600" w:hanging="360"/>
      </w:pPr>
      <w:rPr>
        <w:rFonts w:ascii="Courier New" w:hAnsi="Courier New" w:hint="default"/>
      </w:rPr>
    </w:lvl>
    <w:lvl w:ilvl="5" w:tplc="70CC9F64" w:tentative="1">
      <w:start w:val="1"/>
      <w:numFmt w:val="bullet"/>
      <w:lvlText w:val=""/>
      <w:lvlJc w:val="left"/>
      <w:pPr>
        <w:ind w:left="4320" w:hanging="360"/>
      </w:pPr>
      <w:rPr>
        <w:rFonts w:ascii="Wingdings" w:hAnsi="Wingdings" w:hint="default"/>
      </w:rPr>
    </w:lvl>
    <w:lvl w:ilvl="6" w:tplc="5778095E" w:tentative="1">
      <w:start w:val="1"/>
      <w:numFmt w:val="bullet"/>
      <w:lvlText w:val=""/>
      <w:lvlJc w:val="left"/>
      <w:pPr>
        <w:ind w:left="5040" w:hanging="360"/>
      </w:pPr>
      <w:rPr>
        <w:rFonts w:ascii="Symbol" w:hAnsi="Symbol" w:hint="default"/>
      </w:rPr>
    </w:lvl>
    <w:lvl w:ilvl="7" w:tplc="BFDE4FA2" w:tentative="1">
      <w:start w:val="1"/>
      <w:numFmt w:val="bullet"/>
      <w:lvlText w:val="o"/>
      <w:lvlJc w:val="left"/>
      <w:pPr>
        <w:ind w:left="5760" w:hanging="360"/>
      </w:pPr>
      <w:rPr>
        <w:rFonts w:ascii="Courier New" w:hAnsi="Courier New" w:hint="default"/>
      </w:rPr>
    </w:lvl>
    <w:lvl w:ilvl="8" w:tplc="62BC1A12" w:tentative="1">
      <w:start w:val="1"/>
      <w:numFmt w:val="bullet"/>
      <w:lvlText w:val=""/>
      <w:lvlJc w:val="left"/>
      <w:pPr>
        <w:ind w:left="6480" w:hanging="360"/>
      </w:pPr>
      <w:rPr>
        <w:rFonts w:ascii="Wingdings" w:hAnsi="Wingdings" w:hint="default"/>
      </w:rPr>
    </w:lvl>
  </w:abstractNum>
  <w:abstractNum w:abstractNumId="429" w15:restartNumberingAfterBreak="0">
    <w:nsid w:val="57093815"/>
    <w:multiLevelType w:val="hybridMultilevel"/>
    <w:tmpl w:val="762A8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0" w15:restartNumberingAfterBreak="0">
    <w:nsid w:val="576D3421"/>
    <w:multiLevelType w:val="hybridMultilevel"/>
    <w:tmpl w:val="9EA4967A"/>
    <w:lvl w:ilvl="0" w:tplc="0C09001B">
      <w:start w:val="1"/>
      <w:numFmt w:val="lowerRoman"/>
      <w:lvlText w:val="%1."/>
      <w:lvlJc w:val="righ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1" w15:restartNumberingAfterBreak="0">
    <w:nsid w:val="579D6F8E"/>
    <w:multiLevelType w:val="multilevel"/>
    <w:tmpl w:val="F0080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2" w15:restartNumberingAfterBreak="0">
    <w:nsid w:val="579D8128"/>
    <w:multiLevelType w:val="hybridMultilevel"/>
    <w:tmpl w:val="FFFFFFFF"/>
    <w:lvl w:ilvl="0" w:tplc="F776FD4C">
      <w:start w:val="1"/>
      <w:numFmt w:val="lowerRoman"/>
      <w:lvlText w:val="(%1)"/>
      <w:lvlJc w:val="right"/>
      <w:pPr>
        <w:ind w:left="720" w:hanging="360"/>
      </w:pPr>
    </w:lvl>
    <w:lvl w:ilvl="1" w:tplc="DC704918">
      <w:start w:val="1"/>
      <w:numFmt w:val="lowerLetter"/>
      <w:lvlText w:val="%2."/>
      <w:lvlJc w:val="left"/>
      <w:pPr>
        <w:ind w:left="1440" w:hanging="360"/>
      </w:pPr>
    </w:lvl>
    <w:lvl w:ilvl="2" w:tplc="9B9426AA">
      <w:start w:val="1"/>
      <w:numFmt w:val="lowerRoman"/>
      <w:lvlText w:val="%3."/>
      <w:lvlJc w:val="right"/>
      <w:pPr>
        <w:ind w:left="2160" w:hanging="180"/>
      </w:pPr>
    </w:lvl>
    <w:lvl w:ilvl="3" w:tplc="9058E596">
      <w:start w:val="1"/>
      <w:numFmt w:val="decimal"/>
      <w:lvlText w:val="%4."/>
      <w:lvlJc w:val="left"/>
      <w:pPr>
        <w:ind w:left="2880" w:hanging="360"/>
      </w:pPr>
    </w:lvl>
    <w:lvl w:ilvl="4" w:tplc="3522E438">
      <w:start w:val="1"/>
      <w:numFmt w:val="lowerLetter"/>
      <w:lvlText w:val="%5."/>
      <w:lvlJc w:val="left"/>
      <w:pPr>
        <w:ind w:left="3600" w:hanging="360"/>
      </w:pPr>
    </w:lvl>
    <w:lvl w:ilvl="5" w:tplc="EC201C94">
      <w:start w:val="1"/>
      <w:numFmt w:val="lowerRoman"/>
      <w:lvlText w:val="%6."/>
      <w:lvlJc w:val="right"/>
      <w:pPr>
        <w:ind w:left="4320" w:hanging="180"/>
      </w:pPr>
    </w:lvl>
    <w:lvl w:ilvl="6" w:tplc="B79A313A">
      <w:start w:val="1"/>
      <w:numFmt w:val="decimal"/>
      <w:lvlText w:val="%7."/>
      <w:lvlJc w:val="left"/>
      <w:pPr>
        <w:ind w:left="5040" w:hanging="360"/>
      </w:pPr>
    </w:lvl>
    <w:lvl w:ilvl="7" w:tplc="C8A8780E">
      <w:start w:val="1"/>
      <w:numFmt w:val="lowerLetter"/>
      <w:lvlText w:val="%8."/>
      <w:lvlJc w:val="left"/>
      <w:pPr>
        <w:ind w:left="5760" w:hanging="360"/>
      </w:pPr>
    </w:lvl>
    <w:lvl w:ilvl="8" w:tplc="289E7A04">
      <w:start w:val="1"/>
      <w:numFmt w:val="lowerRoman"/>
      <w:lvlText w:val="%9."/>
      <w:lvlJc w:val="right"/>
      <w:pPr>
        <w:ind w:left="6480" w:hanging="180"/>
      </w:pPr>
    </w:lvl>
  </w:abstractNum>
  <w:abstractNum w:abstractNumId="433" w15:restartNumberingAfterBreak="0">
    <w:nsid w:val="581E4D0B"/>
    <w:multiLevelType w:val="hybridMultilevel"/>
    <w:tmpl w:val="2182EBDE"/>
    <w:lvl w:ilvl="0" w:tplc="0568E772">
      <w:start w:val="1"/>
      <w:numFmt w:val="bullet"/>
      <w:lvlText w:val=""/>
      <w:lvlJc w:val="left"/>
      <w:pPr>
        <w:ind w:left="360" w:hanging="360"/>
      </w:pPr>
      <w:rPr>
        <w:rFonts w:ascii="Symbol" w:hAnsi="Symbol" w:hint="default"/>
      </w:rPr>
    </w:lvl>
    <w:lvl w:ilvl="1" w:tplc="C20E1208" w:tentative="1">
      <w:start w:val="1"/>
      <w:numFmt w:val="bullet"/>
      <w:lvlText w:val="o"/>
      <w:lvlJc w:val="left"/>
      <w:pPr>
        <w:ind w:left="1080" w:hanging="360"/>
      </w:pPr>
      <w:rPr>
        <w:rFonts w:ascii="Courier New" w:hAnsi="Courier New" w:hint="default"/>
      </w:rPr>
    </w:lvl>
    <w:lvl w:ilvl="2" w:tplc="1E1A11E4" w:tentative="1">
      <w:start w:val="1"/>
      <w:numFmt w:val="bullet"/>
      <w:lvlText w:val=""/>
      <w:lvlJc w:val="left"/>
      <w:pPr>
        <w:ind w:left="1800" w:hanging="360"/>
      </w:pPr>
      <w:rPr>
        <w:rFonts w:ascii="Wingdings" w:hAnsi="Wingdings" w:hint="default"/>
      </w:rPr>
    </w:lvl>
    <w:lvl w:ilvl="3" w:tplc="DCF09072" w:tentative="1">
      <w:start w:val="1"/>
      <w:numFmt w:val="bullet"/>
      <w:lvlText w:val=""/>
      <w:lvlJc w:val="left"/>
      <w:pPr>
        <w:ind w:left="2520" w:hanging="360"/>
      </w:pPr>
      <w:rPr>
        <w:rFonts w:ascii="Symbol" w:hAnsi="Symbol" w:hint="default"/>
      </w:rPr>
    </w:lvl>
    <w:lvl w:ilvl="4" w:tplc="ED58D6A8" w:tentative="1">
      <w:start w:val="1"/>
      <w:numFmt w:val="bullet"/>
      <w:lvlText w:val="o"/>
      <w:lvlJc w:val="left"/>
      <w:pPr>
        <w:ind w:left="3240" w:hanging="360"/>
      </w:pPr>
      <w:rPr>
        <w:rFonts w:ascii="Courier New" w:hAnsi="Courier New" w:hint="default"/>
      </w:rPr>
    </w:lvl>
    <w:lvl w:ilvl="5" w:tplc="86362842" w:tentative="1">
      <w:start w:val="1"/>
      <w:numFmt w:val="bullet"/>
      <w:lvlText w:val=""/>
      <w:lvlJc w:val="left"/>
      <w:pPr>
        <w:ind w:left="3960" w:hanging="360"/>
      </w:pPr>
      <w:rPr>
        <w:rFonts w:ascii="Wingdings" w:hAnsi="Wingdings" w:hint="default"/>
      </w:rPr>
    </w:lvl>
    <w:lvl w:ilvl="6" w:tplc="B02C2936" w:tentative="1">
      <w:start w:val="1"/>
      <w:numFmt w:val="bullet"/>
      <w:lvlText w:val=""/>
      <w:lvlJc w:val="left"/>
      <w:pPr>
        <w:ind w:left="4680" w:hanging="360"/>
      </w:pPr>
      <w:rPr>
        <w:rFonts w:ascii="Symbol" w:hAnsi="Symbol" w:hint="default"/>
      </w:rPr>
    </w:lvl>
    <w:lvl w:ilvl="7" w:tplc="8998ED56" w:tentative="1">
      <w:start w:val="1"/>
      <w:numFmt w:val="bullet"/>
      <w:lvlText w:val="o"/>
      <w:lvlJc w:val="left"/>
      <w:pPr>
        <w:ind w:left="5400" w:hanging="360"/>
      </w:pPr>
      <w:rPr>
        <w:rFonts w:ascii="Courier New" w:hAnsi="Courier New" w:hint="default"/>
      </w:rPr>
    </w:lvl>
    <w:lvl w:ilvl="8" w:tplc="7B6438D6" w:tentative="1">
      <w:start w:val="1"/>
      <w:numFmt w:val="bullet"/>
      <w:lvlText w:val=""/>
      <w:lvlJc w:val="left"/>
      <w:pPr>
        <w:ind w:left="6120" w:hanging="360"/>
      </w:pPr>
      <w:rPr>
        <w:rFonts w:ascii="Wingdings" w:hAnsi="Wingdings" w:hint="default"/>
      </w:rPr>
    </w:lvl>
  </w:abstractNum>
  <w:abstractNum w:abstractNumId="434" w15:restartNumberingAfterBreak="0">
    <w:nsid w:val="584C1BE4"/>
    <w:multiLevelType w:val="multilevel"/>
    <w:tmpl w:val="86A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86B38D4"/>
    <w:multiLevelType w:val="multilevel"/>
    <w:tmpl w:val="DDE4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9357435"/>
    <w:multiLevelType w:val="hybridMultilevel"/>
    <w:tmpl w:val="FFFFFFFF"/>
    <w:lvl w:ilvl="0" w:tplc="9C9821BC">
      <w:start w:val="1"/>
      <w:numFmt w:val="bullet"/>
      <w:lvlText w:val=""/>
      <w:lvlJc w:val="left"/>
      <w:pPr>
        <w:ind w:left="720" w:hanging="360"/>
      </w:pPr>
      <w:rPr>
        <w:rFonts w:ascii="Symbol" w:hAnsi="Symbol" w:hint="default"/>
      </w:rPr>
    </w:lvl>
    <w:lvl w:ilvl="1" w:tplc="9294DCC4">
      <w:start w:val="1"/>
      <w:numFmt w:val="bullet"/>
      <w:lvlText w:val="o"/>
      <w:lvlJc w:val="left"/>
      <w:pPr>
        <w:ind w:left="1440" w:hanging="360"/>
      </w:pPr>
      <w:rPr>
        <w:rFonts w:ascii="Courier New" w:hAnsi="Courier New" w:hint="default"/>
      </w:rPr>
    </w:lvl>
    <w:lvl w:ilvl="2" w:tplc="F434F396">
      <w:start w:val="1"/>
      <w:numFmt w:val="bullet"/>
      <w:lvlText w:val=""/>
      <w:lvlJc w:val="left"/>
      <w:pPr>
        <w:ind w:left="2160" w:hanging="360"/>
      </w:pPr>
      <w:rPr>
        <w:rFonts w:ascii="Wingdings" w:hAnsi="Wingdings" w:hint="default"/>
      </w:rPr>
    </w:lvl>
    <w:lvl w:ilvl="3" w:tplc="7E669710">
      <w:start w:val="1"/>
      <w:numFmt w:val="bullet"/>
      <w:lvlText w:val=""/>
      <w:lvlJc w:val="left"/>
      <w:pPr>
        <w:ind w:left="2880" w:hanging="360"/>
      </w:pPr>
      <w:rPr>
        <w:rFonts w:ascii="Symbol" w:hAnsi="Symbol" w:hint="default"/>
      </w:rPr>
    </w:lvl>
    <w:lvl w:ilvl="4" w:tplc="D49CF48A">
      <w:start w:val="1"/>
      <w:numFmt w:val="bullet"/>
      <w:lvlText w:val="o"/>
      <w:lvlJc w:val="left"/>
      <w:pPr>
        <w:ind w:left="3600" w:hanging="360"/>
      </w:pPr>
      <w:rPr>
        <w:rFonts w:ascii="Courier New" w:hAnsi="Courier New" w:hint="default"/>
      </w:rPr>
    </w:lvl>
    <w:lvl w:ilvl="5" w:tplc="F04E7CE4">
      <w:start w:val="1"/>
      <w:numFmt w:val="bullet"/>
      <w:lvlText w:val=""/>
      <w:lvlJc w:val="left"/>
      <w:pPr>
        <w:ind w:left="4320" w:hanging="360"/>
      </w:pPr>
      <w:rPr>
        <w:rFonts w:ascii="Wingdings" w:hAnsi="Wingdings" w:hint="default"/>
      </w:rPr>
    </w:lvl>
    <w:lvl w:ilvl="6" w:tplc="A296E6EA">
      <w:start w:val="1"/>
      <w:numFmt w:val="bullet"/>
      <w:lvlText w:val=""/>
      <w:lvlJc w:val="left"/>
      <w:pPr>
        <w:ind w:left="5040" w:hanging="360"/>
      </w:pPr>
      <w:rPr>
        <w:rFonts w:ascii="Symbol" w:hAnsi="Symbol" w:hint="default"/>
      </w:rPr>
    </w:lvl>
    <w:lvl w:ilvl="7" w:tplc="4086C326">
      <w:start w:val="1"/>
      <w:numFmt w:val="bullet"/>
      <w:lvlText w:val="o"/>
      <w:lvlJc w:val="left"/>
      <w:pPr>
        <w:ind w:left="5760" w:hanging="360"/>
      </w:pPr>
      <w:rPr>
        <w:rFonts w:ascii="Courier New" w:hAnsi="Courier New" w:hint="default"/>
      </w:rPr>
    </w:lvl>
    <w:lvl w:ilvl="8" w:tplc="2932B924">
      <w:start w:val="1"/>
      <w:numFmt w:val="bullet"/>
      <w:lvlText w:val=""/>
      <w:lvlJc w:val="left"/>
      <w:pPr>
        <w:ind w:left="6480" w:hanging="360"/>
      </w:pPr>
      <w:rPr>
        <w:rFonts w:ascii="Wingdings" w:hAnsi="Wingdings" w:hint="default"/>
      </w:rPr>
    </w:lvl>
  </w:abstractNum>
  <w:abstractNum w:abstractNumId="437" w15:restartNumberingAfterBreak="0">
    <w:nsid w:val="597D55B9"/>
    <w:multiLevelType w:val="multilevel"/>
    <w:tmpl w:val="7F34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59C94E74"/>
    <w:multiLevelType w:val="hybridMultilevel"/>
    <w:tmpl w:val="028867BE"/>
    <w:lvl w:ilvl="0" w:tplc="08BEBE86">
      <w:start w:val="1"/>
      <w:numFmt w:val="bullet"/>
      <w:lvlText w:val=""/>
      <w:lvlJc w:val="left"/>
      <w:pPr>
        <w:ind w:left="720" w:hanging="360"/>
      </w:pPr>
      <w:rPr>
        <w:rFonts w:ascii="Symbol" w:hAnsi="Symbol" w:hint="default"/>
      </w:rPr>
    </w:lvl>
    <w:lvl w:ilvl="1" w:tplc="B91CF90E">
      <w:start w:val="1"/>
      <w:numFmt w:val="bullet"/>
      <w:lvlText w:val="o"/>
      <w:lvlJc w:val="left"/>
      <w:pPr>
        <w:ind w:left="1440" w:hanging="360"/>
      </w:pPr>
      <w:rPr>
        <w:rFonts w:ascii="Courier New" w:hAnsi="Courier New" w:hint="default"/>
      </w:rPr>
    </w:lvl>
    <w:lvl w:ilvl="2" w:tplc="529E1086">
      <w:start w:val="1"/>
      <w:numFmt w:val="bullet"/>
      <w:lvlText w:val=""/>
      <w:lvlJc w:val="left"/>
      <w:pPr>
        <w:ind w:left="2160" w:hanging="360"/>
      </w:pPr>
      <w:rPr>
        <w:rFonts w:ascii="Wingdings" w:hAnsi="Wingdings" w:hint="default"/>
      </w:rPr>
    </w:lvl>
    <w:lvl w:ilvl="3" w:tplc="55760382" w:tentative="1">
      <w:start w:val="1"/>
      <w:numFmt w:val="bullet"/>
      <w:lvlText w:val=""/>
      <w:lvlJc w:val="left"/>
      <w:pPr>
        <w:ind w:left="2880" w:hanging="360"/>
      </w:pPr>
      <w:rPr>
        <w:rFonts w:ascii="Symbol" w:hAnsi="Symbol" w:hint="default"/>
      </w:rPr>
    </w:lvl>
    <w:lvl w:ilvl="4" w:tplc="E736AC04" w:tentative="1">
      <w:start w:val="1"/>
      <w:numFmt w:val="bullet"/>
      <w:lvlText w:val="o"/>
      <w:lvlJc w:val="left"/>
      <w:pPr>
        <w:ind w:left="3600" w:hanging="360"/>
      </w:pPr>
      <w:rPr>
        <w:rFonts w:ascii="Courier New" w:hAnsi="Courier New" w:hint="default"/>
      </w:rPr>
    </w:lvl>
    <w:lvl w:ilvl="5" w:tplc="9AEE0698" w:tentative="1">
      <w:start w:val="1"/>
      <w:numFmt w:val="bullet"/>
      <w:lvlText w:val=""/>
      <w:lvlJc w:val="left"/>
      <w:pPr>
        <w:ind w:left="4320" w:hanging="360"/>
      </w:pPr>
      <w:rPr>
        <w:rFonts w:ascii="Wingdings" w:hAnsi="Wingdings" w:hint="default"/>
      </w:rPr>
    </w:lvl>
    <w:lvl w:ilvl="6" w:tplc="57D01824" w:tentative="1">
      <w:start w:val="1"/>
      <w:numFmt w:val="bullet"/>
      <w:lvlText w:val=""/>
      <w:lvlJc w:val="left"/>
      <w:pPr>
        <w:ind w:left="5040" w:hanging="360"/>
      </w:pPr>
      <w:rPr>
        <w:rFonts w:ascii="Symbol" w:hAnsi="Symbol" w:hint="default"/>
      </w:rPr>
    </w:lvl>
    <w:lvl w:ilvl="7" w:tplc="75CEF3C6" w:tentative="1">
      <w:start w:val="1"/>
      <w:numFmt w:val="bullet"/>
      <w:lvlText w:val="o"/>
      <w:lvlJc w:val="left"/>
      <w:pPr>
        <w:ind w:left="5760" w:hanging="360"/>
      </w:pPr>
      <w:rPr>
        <w:rFonts w:ascii="Courier New" w:hAnsi="Courier New" w:hint="default"/>
      </w:rPr>
    </w:lvl>
    <w:lvl w:ilvl="8" w:tplc="8A20705A" w:tentative="1">
      <w:start w:val="1"/>
      <w:numFmt w:val="bullet"/>
      <w:lvlText w:val=""/>
      <w:lvlJc w:val="left"/>
      <w:pPr>
        <w:ind w:left="6480" w:hanging="360"/>
      </w:pPr>
      <w:rPr>
        <w:rFonts w:ascii="Wingdings" w:hAnsi="Wingdings" w:hint="default"/>
      </w:rPr>
    </w:lvl>
  </w:abstractNum>
  <w:abstractNum w:abstractNumId="439" w15:restartNumberingAfterBreak="0">
    <w:nsid w:val="59E57F84"/>
    <w:multiLevelType w:val="hybridMultilevel"/>
    <w:tmpl w:val="7C844682"/>
    <w:lvl w:ilvl="0" w:tplc="A53A4678">
      <w:start w:val="1"/>
      <w:numFmt w:val="bullet"/>
      <w:lvlText w:val=""/>
      <w:lvlJc w:val="left"/>
      <w:pPr>
        <w:ind w:left="720" w:hanging="360"/>
      </w:pPr>
      <w:rPr>
        <w:rFonts w:ascii="Symbol" w:hAnsi="Symbol" w:hint="default"/>
      </w:rPr>
    </w:lvl>
    <w:lvl w:ilvl="1" w:tplc="F4B457B8" w:tentative="1">
      <w:start w:val="1"/>
      <w:numFmt w:val="bullet"/>
      <w:lvlText w:val="o"/>
      <w:lvlJc w:val="left"/>
      <w:pPr>
        <w:ind w:left="1440" w:hanging="360"/>
      </w:pPr>
      <w:rPr>
        <w:rFonts w:ascii="Courier New" w:hAnsi="Courier New" w:hint="default"/>
      </w:rPr>
    </w:lvl>
    <w:lvl w:ilvl="2" w:tplc="A3DE048A" w:tentative="1">
      <w:start w:val="1"/>
      <w:numFmt w:val="bullet"/>
      <w:lvlText w:val=""/>
      <w:lvlJc w:val="left"/>
      <w:pPr>
        <w:ind w:left="2160" w:hanging="360"/>
      </w:pPr>
      <w:rPr>
        <w:rFonts w:ascii="Wingdings" w:hAnsi="Wingdings" w:hint="default"/>
      </w:rPr>
    </w:lvl>
    <w:lvl w:ilvl="3" w:tplc="6442C212" w:tentative="1">
      <w:start w:val="1"/>
      <w:numFmt w:val="bullet"/>
      <w:lvlText w:val=""/>
      <w:lvlJc w:val="left"/>
      <w:pPr>
        <w:ind w:left="2880" w:hanging="360"/>
      </w:pPr>
      <w:rPr>
        <w:rFonts w:ascii="Symbol" w:hAnsi="Symbol" w:hint="default"/>
      </w:rPr>
    </w:lvl>
    <w:lvl w:ilvl="4" w:tplc="E27C5A3A" w:tentative="1">
      <w:start w:val="1"/>
      <w:numFmt w:val="bullet"/>
      <w:lvlText w:val="o"/>
      <w:lvlJc w:val="left"/>
      <w:pPr>
        <w:ind w:left="3600" w:hanging="360"/>
      </w:pPr>
      <w:rPr>
        <w:rFonts w:ascii="Courier New" w:hAnsi="Courier New" w:hint="default"/>
      </w:rPr>
    </w:lvl>
    <w:lvl w:ilvl="5" w:tplc="B924138C" w:tentative="1">
      <w:start w:val="1"/>
      <w:numFmt w:val="bullet"/>
      <w:lvlText w:val=""/>
      <w:lvlJc w:val="left"/>
      <w:pPr>
        <w:ind w:left="4320" w:hanging="360"/>
      </w:pPr>
      <w:rPr>
        <w:rFonts w:ascii="Wingdings" w:hAnsi="Wingdings" w:hint="default"/>
      </w:rPr>
    </w:lvl>
    <w:lvl w:ilvl="6" w:tplc="44087C0A" w:tentative="1">
      <w:start w:val="1"/>
      <w:numFmt w:val="bullet"/>
      <w:lvlText w:val=""/>
      <w:lvlJc w:val="left"/>
      <w:pPr>
        <w:ind w:left="5040" w:hanging="360"/>
      </w:pPr>
      <w:rPr>
        <w:rFonts w:ascii="Symbol" w:hAnsi="Symbol" w:hint="default"/>
      </w:rPr>
    </w:lvl>
    <w:lvl w:ilvl="7" w:tplc="18D86160" w:tentative="1">
      <w:start w:val="1"/>
      <w:numFmt w:val="bullet"/>
      <w:lvlText w:val="o"/>
      <w:lvlJc w:val="left"/>
      <w:pPr>
        <w:ind w:left="5760" w:hanging="360"/>
      </w:pPr>
      <w:rPr>
        <w:rFonts w:ascii="Courier New" w:hAnsi="Courier New" w:hint="default"/>
      </w:rPr>
    </w:lvl>
    <w:lvl w:ilvl="8" w:tplc="264CA956" w:tentative="1">
      <w:start w:val="1"/>
      <w:numFmt w:val="bullet"/>
      <w:lvlText w:val=""/>
      <w:lvlJc w:val="left"/>
      <w:pPr>
        <w:ind w:left="6480" w:hanging="360"/>
      </w:pPr>
      <w:rPr>
        <w:rFonts w:ascii="Wingdings" w:hAnsi="Wingdings" w:hint="default"/>
      </w:rPr>
    </w:lvl>
  </w:abstractNum>
  <w:abstractNum w:abstractNumId="440" w15:restartNumberingAfterBreak="0">
    <w:nsid w:val="5A45522F"/>
    <w:multiLevelType w:val="hybridMultilevel"/>
    <w:tmpl w:val="76C83310"/>
    <w:lvl w:ilvl="0" w:tplc="91B41E04">
      <w:start w:val="1"/>
      <w:numFmt w:val="bullet"/>
      <w:lvlText w:val=""/>
      <w:lvlJc w:val="left"/>
      <w:pPr>
        <w:ind w:left="720" w:hanging="360"/>
      </w:pPr>
      <w:rPr>
        <w:rFonts w:ascii="Symbol" w:hAnsi="Symbol" w:hint="default"/>
      </w:rPr>
    </w:lvl>
    <w:lvl w:ilvl="1" w:tplc="E902770C" w:tentative="1">
      <w:start w:val="1"/>
      <w:numFmt w:val="bullet"/>
      <w:lvlText w:val="o"/>
      <w:lvlJc w:val="left"/>
      <w:pPr>
        <w:ind w:left="1440" w:hanging="360"/>
      </w:pPr>
      <w:rPr>
        <w:rFonts w:ascii="Courier New" w:hAnsi="Courier New" w:hint="default"/>
      </w:rPr>
    </w:lvl>
    <w:lvl w:ilvl="2" w:tplc="67B2B310" w:tentative="1">
      <w:start w:val="1"/>
      <w:numFmt w:val="bullet"/>
      <w:lvlText w:val=""/>
      <w:lvlJc w:val="left"/>
      <w:pPr>
        <w:ind w:left="2160" w:hanging="360"/>
      </w:pPr>
      <w:rPr>
        <w:rFonts w:ascii="Wingdings" w:hAnsi="Wingdings" w:hint="default"/>
      </w:rPr>
    </w:lvl>
    <w:lvl w:ilvl="3" w:tplc="0ABE6F92" w:tentative="1">
      <w:start w:val="1"/>
      <w:numFmt w:val="bullet"/>
      <w:lvlText w:val=""/>
      <w:lvlJc w:val="left"/>
      <w:pPr>
        <w:ind w:left="2880" w:hanging="360"/>
      </w:pPr>
      <w:rPr>
        <w:rFonts w:ascii="Symbol" w:hAnsi="Symbol" w:hint="default"/>
      </w:rPr>
    </w:lvl>
    <w:lvl w:ilvl="4" w:tplc="B308B49E" w:tentative="1">
      <w:start w:val="1"/>
      <w:numFmt w:val="bullet"/>
      <w:lvlText w:val="o"/>
      <w:lvlJc w:val="left"/>
      <w:pPr>
        <w:ind w:left="3600" w:hanging="360"/>
      </w:pPr>
      <w:rPr>
        <w:rFonts w:ascii="Courier New" w:hAnsi="Courier New" w:hint="default"/>
      </w:rPr>
    </w:lvl>
    <w:lvl w:ilvl="5" w:tplc="83921D0A" w:tentative="1">
      <w:start w:val="1"/>
      <w:numFmt w:val="bullet"/>
      <w:lvlText w:val=""/>
      <w:lvlJc w:val="left"/>
      <w:pPr>
        <w:ind w:left="4320" w:hanging="360"/>
      </w:pPr>
      <w:rPr>
        <w:rFonts w:ascii="Wingdings" w:hAnsi="Wingdings" w:hint="default"/>
      </w:rPr>
    </w:lvl>
    <w:lvl w:ilvl="6" w:tplc="86DAE498" w:tentative="1">
      <w:start w:val="1"/>
      <w:numFmt w:val="bullet"/>
      <w:lvlText w:val=""/>
      <w:lvlJc w:val="left"/>
      <w:pPr>
        <w:ind w:left="5040" w:hanging="360"/>
      </w:pPr>
      <w:rPr>
        <w:rFonts w:ascii="Symbol" w:hAnsi="Symbol" w:hint="default"/>
      </w:rPr>
    </w:lvl>
    <w:lvl w:ilvl="7" w:tplc="59F8DB52" w:tentative="1">
      <w:start w:val="1"/>
      <w:numFmt w:val="bullet"/>
      <w:lvlText w:val="o"/>
      <w:lvlJc w:val="left"/>
      <w:pPr>
        <w:ind w:left="5760" w:hanging="360"/>
      </w:pPr>
      <w:rPr>
        <w:rFonts w:ascii="Courier New" w:hAnsi="Courier New" w:hint="default"/>
      </w:rPr>
    </w:lvl>
    <w:lvl w:ilvl="8" w:tplc="51BC2F72" w:tentative="1">
      <w:start w:val="1"/>
      <w:numFmt w:val="bullet"/>
      <w:lvlText w:val=""/>
      <w:lvlJc w:val="left"/>
      <w:pPr>
        <w:ind w:left="6480" w:hanging="360"/>
      </w:pPr>
      <w:rPr>
        <w:rFonts w:ascii="Wingdings" w:hAnsi="Wingdings" w:hint="default"/>
      </w:rPr>
    </w:lvl>
  </w:abstractNum>
  <w:abstractNum w:abstractNumId="441" w15:restartNumberingAfterBreak="0">
    <w:nsid w:val="5A838022"/>
    <w:multiLevelType w:val="hybridMultilevel"/>
    <w:tmpl w:val="FFFFFFFF"/>
    <w:lvl w:ilvl="0" w:tplc="3D16C310">
      <w:start w:val="1"/>
      <w:numFmt w:val="bullet"/>
      <w:lvlText w:val="·"/>
      <w:lvlJc w:val="left"/>
      <w:pPr>
        <w:ind w:left="720" w:hanging="360"/>
      </w:pPr>
      <w:rPr>
        <w:rFonts w:ascii="Symbol" w:hAnsi="Symbol" w:hint="default"/>
      </w:rPr>
    </w:lvl>
    <w:lvl w:ilvl="1" w:tplc="B60C76B0">
      <w:start w:val="1"/>
      <w:numFmt w:val="bullet"/>
      <w:lvlText w:val="o"/>
      <w:lvlJc w:val="left"/>
      <w:pPr>
        <w:ind w:left="1440" w:hanging="360"/>
      </w:pPr>
      <w:rPr>
        <w:rFonts w:ascii="Courier New" w:hAnsi="Courier New" w:hint="default"/>
      </w:rPr>
    </w:lvl>
    <w:lvl w:ilvl="2" w:tplc="A9628284">
      <w:start w:val="1"/>
      <w:numFmt w:val="bullet"/>
      <w:lvlText w:val=""/>
      <w:lvlJc w:val="left"/>
      <w:pPr>
        <w:ind w:left="2160" w:hanging="360"/>
      </w:pPr>
      <w:rPr>
        <w:rFonts w:ascii="Wingdings" w:hAnsi="Wingdings" w:hint="default"/>
      </w:rPr>
    </w:lvl>
    <w:lvl w:ilvl="3" w:tplc="5F468A88">
      <w:start w:val="1"/>
      <w:numFmt w:val="bullet"/>
      <w:lvlText w:val=""/>
      <w:lvlJc w:val="left"/>
      <w:pPr>
        <w:ind w:left="2880" w:hanging="360"/>
      </w:pPr>
      <w:rPr>
        <w:rFonts w:ascii="Symbol" w:hAnsi="Symbol" w:hint="default"/>
      </w:rPr>
    </w:lvl>
    <w:lvl w:ilvl="4" w:tplc="179E4F50">
      <w:start w:val="1"/>
      <w:numFmt w:val="bullet"/>
      <w:lvlText w:val="o"/>
      <w:lvlJc w:val="left"/>
      <w:pPr>
        <w:ind w:left="3600" w:hanging="360"/>
      </w:pPr>
      <w:rPr>
        <w:rFonts w:ascii="Courier New" w:hAnsi="Courier New" w:hint="default"/>
      </w:rPr>
    </w:lvl>
    <w:lvl w:ilvl="5" w:tplc="17A69A46">
      <w:start w:val="1"/>
      <w:numFmt w:val="bullet"/>
      <w:lvlText w:val=""/>
      <w:lvlJc w:val="left"/>
      <w:pPr>
        <w:ind w:left="4320" w:hanging="360"/>
      </w:pPr>
      <w:rPr>
        <w:rFonts w:ascii="Wingdings" w:hAnsi="Wingdings" w:hint="default"/>
      </w:rPr>
    </w:lvl>
    <w:lvl w:ilvl="6" w:tplc="DE3A15CC">
      <w:start w:val="1"/>
      <w:numFmt w:val="bullet"/>
      <w:lvlText w:val=""/>
      <w:lvlJc w:val="left"/>
      <w:pPr>
        <w:ind w:left="5040" w:hanging="360"/>
      </w:pPr>
      <w:rPr>
        <w:rFonts w:ascii="Symbol" w:hAnsi="Symbol" w:hint="default"/>
      </w:rPr>
    </w:lvl>
    <w:lvl w:ilvl="7" w:tplc="7BBA070C">
      <w:start w:val="1"/>
      <w:numFmt w:val="bullet"/>
      <w:lvlText w:val="o"/>
      <w:lvlJc w:val="left"/>
      <w:pPr>
        <w:ind w:left="5760" w:hanging="360"/>
      </w:pPr>
      <w:rPr>
        <w:rFonts w:ascii="Courier New" w:hAnsi="Courier New" w:hint="default"/>
      </w:rPr>
    </w:lvl>
    <w:lvl w:ilvl="8" w:tplc="B4A4916C">
      <w:start w:val="1"/>
      <w:numFmt w:val="bullet"/>
      <w:lvlText w:val=""/>
      <w:lvlJc w:val="left"/>
      <w:pPr>
        <w:ind w:left="6480" w:hanging="360"/>
      </w:pPr>
      <w:rPr>
        <w:rFonts w:ascii="Wingdings" w:hAnsi="Wingdings" w:hint="default"/>
      </w:rPr>
    </w:lvl>
  </w:abstractNum>
  <w:abstractNum w:abstractNumId="442" w15:restartNumberingAfterBreak="0">
    <w:nsid w:val="5AF53E33"/>
    <w:multiLevelType w:val="hybridMultilevel"/>
    <w:tmpl w:val="ED56B5D2"/>
    <w:lvl w:ilvl="0" w:tplc="C0E8167A">
      <w:start w:val="1"/>
      <w:numFmt w:val="bullet"/>
      <w:lvlText w:val=""/>
      <w:lvlJc w:val="left"/>
      <w:pPr>
        <w:ind w:left="720" w:hanging="360"/>
      </w:pPr>
      <w:rPr>
        <w:rFonts w:ascii="Symbol" w:hAnsi="Symbol" w:hint="default"/>
      </w:rPr>
    </w:lvl>
    <w:lvl w:ilvl="1" w:tplc="8BE8B182" w:tentative="1">
      <w:start w:val="1"/>
      <w:numFmt w:val="bullet"/>
      <w:lvlText w:val="o"/>
      <w:lvlJc w:val="left"/>
      <w:pPr>
        <w:ind w:left="1440" w:hanging="360"/>
      </w:pPr>
      <w:rPr>
        <w:rFonts w:ascii="Courier New" w:hAnsi="Courier New" w:hint="default"/>
      </w:rPr>
    </w:lvl>
    <w:lvl w:ilvl="2" w:tplc="756E63A4" w:tentative="1">
      <w:start w:val="1"/>
      <w:numFmt w:val="bullet"/>
      <w:lvlText w:val=""/>
      <w:lvlJc w:val="left"/>
      <w:pPr>
        <w:ind w:left="2160" w:hanging="360"/>
      </w:pPr>
      <w:rPr>
        <w:rFonts w:ascii="Wingdings" w:hAnsi="Wingdings" w:hint="default"/>
      </w:rPr>
    </w:lvl>
    <w:lvl w:ilvl="3" w:tplc="EE6E8F38" w:tentative="1">
      <w:start w:val="1"/>
      <w:numFmt w:val="bullet"/>
      <w:lvlText w:val=""/>
      <w:lvlJc w:val="left"/>
      <w:pPr>
        <w:ind w:left="2880" w:hanging="360"/>
      </w:pPr>
      <w:rPr>
        <w:rFonts w:ascii="Symbol" w:hAnsi="Symbol" w:hint="default"/>
      </w:rPr>
    </w:lvl>
    <w:lvl w:ilvl="4" w:tplc="FFA4F316" w:tentative="1">
      <w:start w:val="1"/>
      <w:numFmt w:val="bullet"/>
      <w:lvlText w:val="o"/>
      <w:lvlJc w:val="left"/>
      <w:pPr>
        <w:ind w:left="3600" w:hanging="360"/>
      </w:pPr>
      <w:rPr>
        <w:rFonts w:ascii="Courier New" w:hAnsi="Courier New" w:hint="default"/>
      </w:rPr>
    </w:lvl>
    <w:lvl w:ilvl="5" w:tplc="132E3F04" w:tentative="1">
      <w:start w:val="1"/>
      <w:numFmt w:val="bullet"/>
      <w:lvlText w:val=""/>
      <w:lvlJc w:val="left"/>
      <w:pPr>
        <w:ind w:left="4320" w:hanging="360"/>
      </w:pPr>
      <w:rPr>
        <w:rFonts w:ascii="Wingdings" w:hAnsi="Wingdings" w:hint="default"/>
      </w:rPr>
    </w:lvl>
    <w:lvl w:ilvl="6" w:tplc="E25213F2" w:tentative="1">
      <w:start w:val="1"/>
      <w:numFmt w:val="bullet"/>
      <w:lvlText w:val=""/>
      <w:lvlJc w:val="left"/>
      <w:pPr>
        <w:ind w:left="5040" w:hanging="360"/>
      </w:pPr>
      <w:rPr>
        <w:rFonts w:ascii="Symbol" w:hAnsi="Symbol" w:hint="default"/>
      </w:rPr>
    </w:lvl>
    <w:lvl w:ilvl="7" w:tplc="74B6FBE8" w:tentative="1">
      <w:start w:val="1"/>
      <w:numFmt w:val="bullet"/>
      <w:lvlText w:val="o"/>
      <w:lvlJc w:val="left"/>
      <w:pPr>
        <w:ind w:left="5760" w:hanging="360"/>
      </w:pPr>
      <w:rPr>
        <w:rFonts w:ascii="Courier New" w:hAnsi="Courier New" w:hint="default"/>
      </w:rPr>
    </w:lvl>
    <w:lvl w:ilvl="8" w:tplc="7B2A72E0" w:tentative="1">
      <w:start w:val="1"/>
      <w:numFmt w:val="bullet"/>
      <w:lvlText w:val=""/>
      <w:lvlJc w:val="left"/>
      <w:pPr>
        <w:ind w:left="6480" w:hanging="360"/>
      </w:pPr>
      <w:rPr>
        <w:rFonts w:ascii="Wingdings" w:hAnsi="Wingdings" w:hint="default"/>
      </w:rPr>
    </w:lvl>
  </w:abstractNum>
  <w:abstractNum w:abstractNumId="443" w15:restartNumberingAfterBreak="0">
    <w:nsid w:val="5B02E4F0"/>
    <w:multiLevelType w:val="hybridMultilevel"/>
    <w:tmpl w:val="FFFFFFFF"/>
    <w:lvl w:ilvl="0" w:tplc="0DDC1208">
      <w:start w:val="1"/>
      <w:numFmt w:val="bullet"/>
      <w:lvlText w:val="o"/>
      <w:lvlJc w:val="left"/>
      <w:pPr>
        <w:ind w:left="720" w:hanging="360"/>
      </w:pPr>
      <w:rPr>
        <w:rFonts w:ascii="Courier New" w:hAnsi="Courier New" w:hint="default"/>
      </w:rPr>
    </w:lvl>
    <w:lvl w:ilvl="1" w:tplc="28E43936">
      <w:start w:val="1"/>
      <w:numFmt w:val="bullet"/>
      <w:lvlText w:val="o"/>
      <w:lvlJc w:val="left"/>
      <w:pPr>
        <w:ind w:left="1440" w:hanging="360"/>
      </w:pPr>
      <w:rPr>
        <w:rFonts w:ascii="Courier New" w:hAnsi="Courier New" w:hint="default"/>
      </w:rPr>
    </w:lvl>
    <w:lvl w:ilvl="2" w:tplc="287A27D6">
      <w:start w:val="1"/>
      <w:numFmt w:val="bullet"/>
      <w:lvlText w:val=""/>
      <w:lvlJc w:val="left"/>
      <w:pPr>
        <w:ind w:left="2160" w:hanging="360"/>
      </w:pPr>
      <w:rPr>
        <w:rFonts w:ascii="Wingdings" w:hAnsi="Wingdings" w:hint="default"/>
      </w:rPr>
    </w:lvl>
    <w:lvl w:ilvl="3" w:tplc="AC70C65E">
      <w:start w:val="1"/>
      <w:numFmt w:val="bullet"/>
      <w:lvlText w:val=""/>
      <w:lvlJc w:val="left"/>
      <w:pPr>
        <w:ind w:left="2880" w:hanging="360"/>
      </w:pPr>
      <w:rPr>
        <w:rFonts w:ascii="Symbol" w:hAnsi="Symbol" w:hint="default"/>
      </w:rPr>
    </w:lvl>
    <w:lvl w:ilvl="4" w:tplc="9A285A8A">
      <w:start w:val="1"/>
      <w:numFmt w:val="bullet"/>
      <w:lvlText w:val="o"/>
      <w:lvlJc w:val="left"/>
      <w:pPr>
        <w:ind w:left="3600" w:hanging="360"/>
      </w:pPr>
      <w:rPr>
        <w:rFonts w:ascii="Courier New" w:hAnsi="Courier New" w:hint="default"/>
      </w:rPr>
    </w:lvl>
    <w:lvl w:ilvl="5" w:tplc="F64086A4">
      <w:start w:val="1"/>
      <w:numFmt w:val="bullet"/>
      <w:lvlText w:val=""/>
      <w:lvlJc w:val="left"/>
      <w:pPr>
        <w:ind w:left="4320" w:hanging="360"/>
      </w:pPr>
      <w:rPr>
        <w:rFonts w:ascii="Wingdings" w:hAnsi="Wingdings" w:hint="default"/>
      </w:rPr>
    </w:lvl>
    <w:lvl w:ilvl="6" w:tplc="C0B0D9A2">
      <w:start w:val="1"/>
      <w:numFmt w:val="bullet"/>
      <w:lvlText w:val=""/>
      <w:lvlJc w:val="left"/>
      <w:pPr>
        <w:ind w:left="5040" w:hanging="360"/>
      </w:pPr>
      <w:rPr>
        <w:rFonts w:ascii="Symbol" w:hAnsi="Symbol" w:hint="default"/>
      </w:rPr>
    </w:lvl>
    <w:lvl w:ilvl="7" w:tplc="D662F798">
      <w:start w:val="1"/>
      <w:numFmt w:val="bullet"/>
      <w:lvlText w:val="o"/>
      <w:lvlJc w:val="left"/>
      <w:pPr>
        <w:ind w:left="5760" w:hanging="360"/>
      </w:pPr>
      <w:rPr>
        <w:rFonts w:ascii="Courier New" w:hAnsi="Courier New" w:hint="default"/>
      </w:rPr>
    </w:lvl>
    <w:lvl w:ilvl="8" w:tplc="3550B294">
      <w:start w:val="1"/>
      <w:numFmt w:val="bullet"/>
      <w:lvlText w:val=""/>
      <w:lvlJc w:val="left"/>
      <w:pPr>
        <w:ind w:left="6480" w:hanging="360"/>
      </w:pPr>
      <w:rPr>
        <w:rFonts w:ascii="Wingdings" w:hAnsi="Wingdings" w:hint="default"/>
      </w:rPr>
    </w:lvl>
  </w:abstractNum>
  <w:abstractNum w:abstractNumId="444" w15:restartNumberingAfterBreak="0">
    <w:nsid w:val="5B8669CF"/>
    <w:multiLevelType w:val="hybridMultilevel"/>
    <w:tmpl w:val="131456FC"/>
    <w:lvl w:ilvl="0" w:tplc="E014F4E0">
      <w:start w:val="1"/>
      <w:numFmt w:val="bullet"/>
      <w:lvlText w:val=""/>
      <w:lvlJc w:val="left"/>
      <w:pPr>
        <w:ind w:left="720" w:hanging="360"/>
      </w:pPr>
      <w:rPr>
        <w:rFonts w:ascii="Symbol" w:hAnsi="Symbol" w:hint="default"/>
      </w:rPr>
    </w:lvl>
    <w:lvl w:ilvl="1" w:tplc="CD4C855C" w:tentative="1">
      <w:start w:val="1"/>
      <w:numFmt w:val="bullet"/>
      <w:lvlText w:val="o"/>
      <w:lvlJc w:val="left"/>
      <w:pPr>
        <w:ind w:left="1440" w:hanging="360"/>
      </w:pPr>
      <w:rPr>
        <w:rFonts w:ascii="Courier New" w:hAnsi="Courier New" w:hint="default"/>
      </w:rPr>
    </w:lvl>
    <w:lvl w:ilvl="2" w:tplc="B7D4DA6E" w:tentative="1">
      <w:start w:val="1"/>
      <w:numFmt w:val="bullet"/>
      <w:lvlText w:val=""/>
      <w:lvlJc w:val="left"/>
      <w:pPr>
        <w:ind w:left="2160" w:hanging="360"/>
      </w:pPr>
      <w:rPr>
        <w:rFonts w:ascii="Wingdings" w:hAnsi="Wingdings" w:hint="default"/>
      </w:rPr>
    </w:lvl>
    <w:lvl w:ilvl="3" w:tplc="3BEAE4A6" w:tentative="1">
      <w:start w:val="1"/>
      <w:numFmt w:val="bullet"/>
      <w:lvlText w:val=""/>
      <w:lvlJc w:val="left"/>
      <w:pPr>
        <w:ind w:left="2880" w:hanging="360"/>
      </w:pPr>
      <w:rPr>
        <w:rFonts w:ascii="Symbol" w:hAnsi="Symbol" w:hint="default"/>
      </w:rPr>
    </w:lvl>
    <w:lvl w:ilvl="4" w:tplc="409AAA3E" w:tentative="1">
      <w:start w:val="1"/>
      <w:numFmt w:val="bullet"/>
      <w:lvlText w:val="o"/>
      <w:lvlJc w:val="left"/>
      <w:pPr>
        <w:ind w:left="3600" w:hanging="360"/>
      </w:pPr>
      <w:rPr>
        <w:rFonts w:ascii="Courier New" w:hAnsi="Courier New" w:hint="default"/>
      </w:rPr>
    </w:lvl>
    <w:lvl w:ilvl="5" w:tplc="979CB4D8" w:tentative="1">
      <w:start w:val="1"/>
      <w:numFmt w:val="bullet"/>
      <w:lvlText w:val=""/>
      <w:lvlJc w:val="left"/>
      <w:pPr>
        <w:ind w:left="4320" w:hanging="360"/>
      </w:pPr>
      <w:rPr>
        <w:rFonts w:ascii="Wingdings" w:hAnsi="Wingdings" w:hint="default"/>
      </w:rPr>
    </w:lvl>
    <w:lvl w:ilvl="6" w:tplc="60484896" w:tentative="1">
      <w:start w:val="1"/>
      <w:numFmt w:val="bullet"/>
      <w:lvlText w:val=""/>
      <w:lvlJc w:val="left"/>
      <w:pPr>
        <w:ind w:left="5040" w:hanging="360"/>
      </w:pPr>
      <w:rPr>
        <w:rFonts w:ascii="Symbol" w:hAnsi="Symbol" w:hint="default"/>
      </w:rPr>
    </w:lvl>
    <w:lvl w:ilvl="7" w:tplc="2962E5DA" w:tentative="1">
      <w:start w:val="1"/>
      <w:numFmt w:val="bullet"/>
      <w:lvlText w:val="o"/>
      <w:lvlJc w:val="left"/>
      <w:pPr>
        <w:ind w:left="5760" w:hanging="360"/>
      </w:pPr>
      <w:rPr>
        <w:rFonts w:ascii="Courier New" w:hAnsi="Courier New" w:hint="default"/>
      </w:rPr>
    </w:lvl>
    <w:lvl w:ilvl="8" w:tplc="8DC42E52" w:tentative="1">
      <w:start w:val="1"/>
      <w:numFmt w:val="bullet"/>
      <w:lvlText w:val=""/>
      <w:lvlJc w:val="left"/>
      <w:pPr>
        <w:ind w:left="6480" w:hanging="360"/>
      </w:pPr>
      <w:rPr>
        <w:rFonts w:ascii="Wingdings" w:hAnsi="Wingdings" w:hint="default"/>
      </w:rPr>
    </w:lvl>
  </w:abstractNum>
  <w:abstractNum w:abstractNumId="445" w15:restartNumberingAfterBreak="0">
    <w:nsid w:val="5BC02CD1"/>
    <w:multiLevelType w:val="hybridMultilevel"/>
    <w:tmpl w:val="23B8B7AE"/>
    <w:lvl w:ilvl="0" w:tplc="3CD88978">
      <w:start w:val="1"/>
      <w:numFmt w:val="bullet"/>
      <w:lvlText w:val=""/>
      <w:lvlJc w:val="left"/>
      <w:pPr>
        <w:ind w:left="720" w:hanging="360"/>
      </w:pPr>
      <w:rPr>
        <w:rFonts w:ascii="Symbol" w:hAnsi="Symbol" w:hint="default"/>
      </w:rPr>
    </w:lvl>
    <w:lvl w:ilvl="1" w:tplc="4C4460F6" w:tentative="1">
      <w:start w:val="1"/>
      <w:numFmt w:val="bullet"/>
      <w:lvlText w:val="o"/>
      <w:lvlJc w:val="left"/>
      <w:pPr>
        <w:ind w:left="1440" w:hanging="360"/>
      </w:pPr>
      <w:rPr>
        <w:rFonts w:ascii="Courier New" w:hAnsi="Courier New" w:hint="default"/>
      </w:rPr>
    </w:lvl>
    <w:lvl w:ilvl="2" w:tplc="39E4729A" w:tentative="1">
      <w:start w:val="1"/>
      <w:numFmt w:val="bullet"/>
      <w:lvlText w:val=""/>
      <w:lvlJc w:val="left"/>
      <w:pPr>
        <w:ind w:left="2160" w:hanging="360"/>
      </w:pPr>
      <w:rPr>
        <w:rFonts w:ascii="Wingdings" w:hAnsi="Wingdings" w:hint="default"/>
      </w:rPr>
    </w:lvl>
    <w:lvl w:ilvl="3" w:tplc="1FEE7474" w:tentative="1">
      <w:start w:val="1"/>
      <w:numFmt w:val="bullet"/>
      <w:lvlText w:val=""/>
      <w:lvlJc w:val="left"/>
      <w:pPr>
        <w:ind w:left="2880" w:hanging="360"/>
      </w:pPr>
      <w:rPr>
        <w:rFonts w:ascii="Symbol" w:hAnsi="Symbol" w:hint="default"/>
      </w:rPr>
    </w:lvl>
    <w:lvl w:ilvl="4" w:tplc="1DF6DC74" w:tentative="1">
      <w:start w:val="1"/>
      <w:numFmt w:val="bullet"/>
      <w:lvlText w:val="o"/>
      <w:lvlJc w:val="left"/>
      <w:pPr>
        <w:ind w:left="3600" w:hanging="360"/>
      </w:pPr>
      <w:rPr>
        <w:rFonts w:ascii="Courier New" w:hAnsi="Courier New" w:hint="default"/>
      </w:rPr>
    </w:lvl>
    <w:lvl w:ilvl="5" w:tplc="CB201FFA" w:tentative="1">
      <w:start w:val="1"/>
      <w:numFmt w:val="bullet"/>
      <w:lvlText w:val=""/>
      <w:lvlJc w:val="left"/>
      <w:pPr>
        <w:ind w:left="4320" w:hanging="360"/>
      </w:pPr>
      <w:rPr>
        <w:rFonts w:ascii="Wingdings" w:hAnsi="Wingdings" w:hint="default"/>
      </w:rPr>
    </w:lvl>
    <w:lvl w:ilvl="6" w:tplc="2A9AC25A" w:tentative="1">
      <w:start w:val="1"/>
      <w:numFmt w:val="bullet"/>
      <w:lvlText w:val=""/>
      <w:lvlJc w:val="left"/>
      <w:pPr>
        <w:ind w:left="5040" w:hanging="360"/>
      </w:pPr>
      <w:rPr>
        <w:rFonts w:ascii="Symbol" w:hAnsi="Symbol" w:hint="default"/>
      </w:rPr>
    </w:lvl>
    <w:lvl w:ilvl="7" w:tplc="6B58A9BE" w:tentative="1">
      <w:start w:val="1"/>
      <w:numFmt w:val="bullet"/>
      <w:lvlText w:val="o"/>
      <w:lvlJc w:val="left"/>
      <w:pPr>
        <w:ind w:left="5760" w:hanging="360"/>
      </w:pPr>
      <w:rPr>
        <w:rFonts w:ascii="Courier New" w:hAnsi="Courier New" w:hint="default"/>
      </w:rPr>
    </w:lvl>
    <w:lvl w:ilvl="8" w:tplc="6CB4A0C6" w:tentative="1">
      <w:start w:val="1"/>
      <w:numFmt w:val="bullet"/>
      <w:lvlText w:val=""/>
      <w:lvlJc w:val="left"/>
      <w:pPr>
        <w:ind w:left="6480" w:hanging="360"/>
      </w:pPr>
      <w:rPr>
        <w:rFonts w:ascii="Wingdings" w:hAnsi="Wingdings" w:hint="default"/>
      </w:rPr>
    </w:lvl>
  </w:abstractNum>
  <w:abstractNum w:abstractNumId="446" w15:restartNumberingAfterBreak="0">
    <w:nsid w:val="5BC84213"/>
    <w:multiLevelType w:val="multilevel"/>
    <w:tmpl w:val="40FA2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7" w15:restartNumberingAfterBreak="0">
    <w:nsid w:val="5BF1635B"/>
    <w:multiLevelType w:val="hybridMultilevel"/>
    <w:tmpl w:val="46162482"/>
    <w:lvl w:ilvl="0" w:tplc="60D649F2">
      <w:numFmt w:val="bullet"/>
      <w:lvlText w:val=""/>
      <w:lvlJc w:val="left"/>
      <w:pPr>
        <w:ind w:left="720" w:hanging="360"/>
      </w:pPr>
      <w:rPr>
        <w:rFonts w:ascii="Symbol" w:hAnsi="Symbol" w:hint="default"/>
      </w:rPr>
    </w:lvl>
    <w:lvl w:ilvl="1" w:tplc="5BE0F768">
      <w:start w:val="1"/>
      <w:numFmt w:val="bullet"/>
      <w:lvlText w:val="o"/>
      <w:lvlJc w:val="left"/>
      <w:pPr>
        <w:ind w:left="1440" w:hanging="360"/>
      </w:pPr>
      <w:rPr>
        <w:rFonts w:ascii="Courier New" w:hAnsi="Courier New" w:hint="default"/>
      </w:rPr>
    </w:lvl>
    <w:lvl w:ilvl="2" w:tplc="08AAAAE4" w:tentative="1">
      <w:start w:val="1"/>
      <w:numFmt w:val="bullet"/>
      <w:lvlText w:val=""/>
      <w:lvlJc w:val="left"/>
      <w:pPr>
        <w:ind w:left="2160" w:hanging="360"/>
      </w:pPr>
      <w:rPr>
        <w:rFonts w:ascii="Wingdings" w:hAnsi="Wingdings" w:hint="default"/>
      </w:rPr>
    </w:lvl>
    <w:lvl w:ilvl="3" w:tplc="58B0E4A4" w:tentative="1">
      <w:start w:val="1"/>
      <w:numFmt w:val="bullet"/>
      <w:lvlText w:val=""/>
      <w:lvlJc w:val="left"/>
      <w:pPr>
        <w:ind w:left="2880" w:hanging="360"/>
      </w:pPr>
      <w:rPr>
        <w:rFonts w:ascii="Symbol" w:hAnsi="Symbol" w:hint="default"/>
      </w:rPr>
    </w:lvl>
    <w:lvl w:ilvl="4" w:tplc="E7C62FD6" w:tentative="1">
      <w:start w:val="1"/>
      <w:numFmt w:val="bullet"/>
      <w:lvlText w:val="o"/>
      <w:lvlJc w:val="left"/>
      <w:pPr>
        <w:ind w:left="3600" w:hanging="360"/>
      </w:pPr>
      <w:rPr>
        <w:rFonts w:ascii="Courier New" w:hAnsi="Courier New" w:hint="default"/>
      </w:rPr>
    </w:lvl>
    <w:lvl w:ilvl="5" w:tplc="8EB674B0" w:tentative="1">
      <w:start w:val="1"/>
      <w:numFmt w:val="bullet"/>
      <w:lvlText w:val=""/>
      <w:lvlJc w:val="left"/>
      <w:pPr>
        <w:ind w:left="4320" w:hanging="360"/>
      </w:pPr>
      <w:rPr>
        <w:rFonts w:ascii="Wingdings" w:hAnsi="Wingdings" w:hint="default"/>
      </w:rPr>
    </w:lvl>
    <w:lvl w:ilvl="6" w:tplc="E18899E4" w:tentative="1">
      <w:start w:val="1"/>
      <w:numFmt w:val="bullet"/>
      <w:lvlText w:val=""/>
      <w:lvlJc w:val="left"/>
      <w:pPr>
        <w:ind w:left="5040" w:hanging="360"/>
      </w:pPr>
      <w:rPr>
        <w:rFonts w:ascii="Symbol" w:hAnsi="Symbol" w:hint="default"/>
      </w:rPr>
    </w:lvl>
    <w:lvl w:ilvl="7" w:tplc="3AA41F04" w:tentative="1">
      <w:start w:val="1"/>
      <w:numFmt w:val="bullet"/>
      <w:lvlText w:val="o"/>
      <w:lvlJc w:val="left"/>
      <w:pPr>
        <w:ind w:left="5760" w:hanging="360"/>
      </w:pPr>
      <w:rPr>
        <w:rFonts w:ascii="Courier New" w:hAnsi="Courier New" w:hint="default"/>
      </w:rPr>
    </w:lvl>
    <w:lvl w:ilvl="8" w:tplc="368E47C0" w:tentative="1">
      <w:start w:val="1"/>
      <w:numFmt w:val="bullet"/>
      <w:lvlText w:val=""/>
      <w:lvlJc w:val="left"/>
      <w:pPr>
        <w:ind w:left="6480" w:hanging="360"/>
      </w:pPr>
      <w:rPr>
        <w:rFonts w:ascii="Wingdings" w:hAnsi="Wingdings" w:hint="default"/>
      </w:rPr>
    </w:lvl>
  </w:abstractNum>
  <w:abstractNum w:abstractNumId="448" w15:restartNumberingAfterBreak="0">
    <w:nsid w:val="5BFC24D9"/>
    <w:multiLevelType w:val="multilevel"/>
    <w:tmpl w:val="9378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C3946C7"/>
    <w:multiLevelType w:val="hybridMultilevel"/>
    <w:tmpl w:val="EF52A66C"/>
    <w:lvl w:ilvl="0" w:tplc="C5FCFBEC">
      <w:start w:val="1"/>
      <w:numFmt w:val="bullet"/>
      <w:lvlText w:val=""/>
      <w:lvlJc w:val="left"/>
      <w:pPr>
        <w:ind w:left="855" w:hanging="360"/>
      </w:pPr>
      <w:rPr>
        <w:rFonts w:ascii="Symbol" w:hAnsi="Symbol" w:hint="default"/>
      </w:rPr>
    </w:lvl>
    <w:lvl w:ilvl="1" w:tplc="1494E69C">
      <w:start w:val="1"/>
      <w:numFmt w:val="bullet"/>
      <w:lvlText w:val="o"/>
      <w:lvlJc w:val="left"/>
      <w:pPr>
        <w:ind w:left="1440" w:hanging="360"/>
      </w:pPr>
      <w:rPr>
        <w:rFonts w:ascii="Courier New" w:hAnsi="Courier New" w:hint="default"/>
      </w:rPr>
    </w:lvl>
    <w:lvl w:ilvl="2" w:tplc="70861C92" w:tentative="1">
      <w:start w:val="1"/>
      <w:numFmt w:val="bullet"/>
      <w:lvlText w:val=""/>
      <w:lvlJc w:val="left"/>
      <w:pPr>
        <w:ind w:left="2160" w:hanging="360"/>
      </w:pPr>
      <w:rPr>
        <w:rFonts w:ascii="Wingdings" w:hAnsi="Wingdings" w:hint="default"/>
      </w:rPr>
    </w:lvl>
    <w:lvl w:ilvl="3" w:tplc="549C5762" w:tentative="1">
      <w:start w:val="1"/>
      <w:numFmt w:val="bullet"/>
      <w:lvlText w:val=""/>
      <w:lvlJc w:val="left"/>
      <w:pPr>
        <w:ind w:left="2880" w:hanging="360"/>
      </w:pPr>
      <w:rPr>
        <w:rFonts w:ascii="Symbol" w:hAnsi="Symbol" w:hint="default"/>
      </w:rPr>
    </w:lvl>
    <w:lvl w:ilvl="4" w:tplc="D128AA48" w:tentative="1">
      <w:start w:val="1"/>
      <w:numFmt w:val="bullet"/>
      <w:lvlText w:val="o"/>
      <w:lvlJc w:val="left"/>
      <w:pPr>
        <w:ind w:left="3600" w:hanging="360"/>
      </w:pPr>
      <w:rPr>
        <w:rFonts w:ascii="Courier New" w:hAnsi="Courier New" w:hint="default"/>
      </w:rPr>
    </w:lvl>
    <w:lvl w:ilvl="5" w:tplc="17BA8826" w:tentative="1">
      <w:start w:val="1"/>
      <w:numFmt w:val="bullet"/>
      <w:lvlText w:val=""/>
      <w:lvlJc w:val="left"/>
      <w:pPr>
        <w:ind w:left="4320" w:hanging="360"/>
      </w:pPr>
      <w:rPr>
        <w:rFonts w:ascii="Wingdings" w:hAnsi="Wingdings" w:hint="default"/>
      </w:rPr>
    </w:lvl>
    <w:lvl w:ilvl="6" w:tplc="B53C6578" w:tentative="1">
      <w:start w:val="1"/>
      <w:numFmt w:val="bullet"/>
      <w:lvlText w:val=""/>
      <w:lvlJc w:val="left"/>
      <w:pPr>
        <w:ind w:left="5040" w:hanging="360"/>
      </w:pPr>
      <w:rPr>
        <w:rFonts w:ascii="Symbol" w:hAnsi="Symbol" w:hint="default"/>
      </w:rPr>
    </w:lvl>
    <w:lvl w:ilvl="7" w:tplc="462209E4" w:tentative="1">
      <w:start w:val="1"/>
      <w:numFmt w:val="bullet"/>
      <w:lvlText w:val="o"/>
      <w:lvlJc w:val="left"/>
      <w:pPr>
        <w:ind w:left="5760" w:hanging="360"/>
      </w:pPr>
      <w:rPr>
        <w:rFonts w:ascii="Courier New" w:hAnsi="Courier New" w:hint="default"/>
      </w:rPr>
    </w:lvl>
    <w:lvl w:ilvl="8" w:tplc="CE644C7A" w:tentative="1">
      <w:start w:val="1"/>
      <w:numFmt w:val="bullet"/>
      <w:lvlText w:val=""/>
      <w:lvlJc w:val="left"/>
      <w:pPr>
        <w:ind w:left="6480" w:hanging="360"/>
      </w:pPr>
      <w:rPr>
        <w:rFonts w:ascii="Wingdings" w:hAnsi="Wingdings" w:hint="default"/>
      </w:rPr>
    </w:lvl>
  </w:abstractNum>
  <w:abstractNum w:abstractNumId="450" w15:restartNumberingAfterBreak="0">
    <w:nsid w:val="5C7BA267"/>
    <w:multiLevelType w:val="hybridMultilevel"/>
    <w:tmpl w:val="FFFFFFFF"/>
    <w:lvl w:ilvl="0" w:tplc="4CC49180">
      <w:start w:val="1"/>
      <w:numFmt w:val="bullet"/>
      <w:lvlText w:val="·"/>
      <w:lvlJc w:val="left"/>
      <w:pPr>
        <w:ind w:left="720" w:hanging="360"/>
      </w:pPr>
      <w:rPr>
        <w:rFonts w:ascii="Symbol" w:hAnsi="Symbol" w:hint="default"/>
      </w:rPr>
    </w:lvl>
    <w:lvl w:ilvl="1" w:tplc="6B645770">
      <w:start w:val="1"/>
      <w:numFmt w:val="bullet"/>
      <w:lvlText w:val="o"/>
      <w:lvlJc w:val="left"/>
      <w:pPr>
        <w:ind w:left="1440" w:hanging="360"/>
      </w:pPr>
      <w:rPr>
        <w:rFonts w:ascii="Courier New" w:hAnsi="Courier New" w:hint="default"/>
      </w:rPr>
    </w:lvl>
    <w:lvl w:ilvl="2" w:tplc="FD6A9952">
      <w:start w:val="1"/>
      <w:numFmt w:val="bullet"/>
      <w:lvlText w:val=""/>
      <w:lvlJc w:val="left"/>
      <w:pPr>
        <w:ind w:left="2160" w:hanging="360"/>
      </w:pPr>
      <w:rPr>
        <w:rFonts w:ascii="Wingdings" w:hAnsi="Wingdings" w:hint="default"/>
      </w:rPr>
    </w:lvl>
    <w:lvl w:ilvl="3" w:tplc="6FA0A732">
      <w:start w:val="1"/>
      <w:numFmt w:val="bullet"/>
      <w:lvlText w:val=""/>
      <w:lvlJc w:val="left"/>
      <w:pPr>
        <w:ind w:left="2880" w:hanging="360"/>
      </w:pPr>
      <w:rPr>
        <w:rFonts w:ascii="Symbol" w:hAnsi="Symbol" w:hint="default"/>
      </w:rPr>
    </w:lvl>
    <w:lvl w:ilvl="4" w:tplc="D98C7962">
      <w:start w:val="1"/>
      <w:numFmt w:val="bullet"/>
      <w:lvlText w:val="o"/>
      <w:lvlJc w:val="left"/>
      <w:pPr>
        <w:ind w:left="3600" w:hanging="360"/>
      </w:pPr>
      <w:rPr>
        <w:rFonts w:ascii="Courier New" w:hAnsi="Courier New" w:hint="default"/>
      </w:rPr>
    </w:lvl>
    <w:lvl w:ilvl="5" w:tplc="267846F0">
      <w:start w:val="1"/>
      <w:numFmt w:val="bullet"/>
      <w:lvlText w:val=""/>
      <w:lvlJc w:val="left"/>
      <w:pPr>
        <w:ind w:left="4320" w:hanging="360"/>
      </w:pPr>
      <w:rPr>
        <w:rFonts w:ascii="Wingdings" w:hAnsi="Wingdings" w:hint="default"/>
      </w:rPr>
    </w:lvl>
    <w:lvl w:ilvl="6" w:tplc="B2E22636">
      <w:start w:val="1"/>
      <w:numFmt w:val="bullet"/>
      <w:lvlText w:val=""/>
      <w:lvlJc w:val="left"/>
      <w:pPr>
        <w:ind w:left="5040" w:hanging="360"/>
      </w:pPr>
      <w:rPr>
        <w:rFonts w:ascii="Symbol" w:hAnsi="Symbol" w:hint="default"/>
      </w:rPr>
    </w:lvl>
    <w:lvl w:ilvl="7" w:tplc="43661CB4">
      <w:start w:val="1"/>
      <w:numFmt w:val="bullet"/>
      <w:lvlText w:val="o"/>
      <w:lvlJc w:val="left"/>
      <w:pPr>
        <w:ind w:left="5760" w:hanging="360"/>
      </w:pPr>
      <w:rPr>
        <w:rFonts w:ascii="Courier New" w:hAnsi="Courier New" w:hint="default"/>
      </w:rPr>
    </w:lvl>
    <w:lvl w:ilvl="8" w:tplc="6A80196C">
      <w:start w:val="1"/>
      <w:numFmt w:val="bullet"/>
      <w:lvlText w:val=""/>
      <w:lvlJc w:val="left"/>
      <w:pPr>
        <w:ind w:left="6480" w:hanging="360"/>
      </w:pPr>
      <w:rPr>
        <w:rFonts w:ascii="Wingdings" w:hAnsi="Wingdings" w:hint="default"/>
      </w:rPr>
    </w:lvl>
  </w:abstractNum>
  <w:abstractNum w:abstractNumId="451" w15:restartNumberingAfterBreak="0">
    <w:nsid w:val="5C9165FC"/>
    <w:multiLevelType w:val="hybridMultilevel"/>
    <w:tmpl w:val="E7FE9376"/>
    <w:lvl w:ilvl="0" w:tplc="AE1AD08A">
      <w:start w:val="1"/>
      <w:numFmt w:val="bullet"/>
      <w:lvlText w:val=""/>
      <w:lvlJc w:val="left"/>
      <w:pPr>
        <w:ind w:left="720" w:hanging="360"/>
      </w:pPr>
      <w:rPr>
        <w:rFonts w:ascii="Symbol" w:hAnsi="Symbol" w:hint="default"/>
      </w:rPr>
    </w:lvl>
    <w:lvl w:ilvl="1" w:tplc="D4E638A2" w:tentative="1">
      <w:start w:val="1"/>
      <w:numFmt w:val="bullet"/>
      <w:lvlText w:val="o"/>
      <w:lvlJc w:val="left"/>
      <w:pPr>
        <w:ind w:left="1440" w:hanging="360"/>
      </w:pPr>
      <w:rPr>
        <w:rFonts w:ascii="Courier New" w:hAnsi="Courier New" w:hint="default"/>
      </w:rPr>
    </w:lvl>
    <w:lvl w:ilvl="2" w:tplc="EEC215BE" w:tentative="1">
      <w:start w:val="1"/>
      <w:numFmt w:val="bullet"/>
      <w:lvlText w:val=""/>
      <w:lvlJc w:val="left"/>
      <w:pPr>
        <w:ind w:left="2160" w:hanging="360"/>
      </w:pPr>
      <w:rPr>
        <w:rFonts w:ascii="Wingdings" w:hAnsi="Wingdings" w:hint="default"/>
      </w:rPr>
    </w:lvl>
    <w:lvl w:ilvl="3" w:tplc="98323422" w:tentative="1">
      <w:start w:val="1"/>
      <w:numFmt w:val="bullet"/>
      <w:lvlText w:val=""/>
      <w:lvlJc w:val="left"/>
      <w:pPr>
        <w:ind w:left="2880" w:hanging="360"/>
      </w:pPr>
      <w:rPr>
        <w:rFonts w:ascii="Symbol" w:hAnsi="Symbol" w:hint="default"/>
      </w:rPr>
    </w:lvl>
    <w:lvl w:ilvl="4" w:tplc="6756B3B2" w:tentative="1">
      <w:start w:val="1"/>
      <w:numFmt w:val="bullet"/>
      <w:lvlText w:val="o"/>
      <w:lvlJc w:val="left"/>
      <w:pPr>
        <w:ind w:left="3600" w:hanging="360"/>
      </w:pPr>
      <w:rPr>
        <w:rFonts w:ascii="Courier New" w:hAnsi="Courier New" w:hint="default"/>
      </w:rPr>
    </w:lvl>
    <w:lvl w:ilvl="5" w:tplc="393064EC" w:tentative="1">
      <w:start w:val="1"/>
      <w:numFmt w:val="bullet"/>
      <w:lvlText w:val=""/>
      <w:lvlJc w:val="left"/>
      <w:pPr>
        <w:ind w:left="4320" w:hanging="360"/>
      </w:pPr>
      <w:rPr>
        <w:rFonts w:ascii="Wingdings" w:hAnsi="Wingdings" w:hint="default"/>
      </w:rPr>
    </w:lvl>
    <w:lvl w:ilvl="6" w:tplc="35CAED64" w:tentative="1">
      <w:start w:val="1"/>
      <w:numFmt w:val="bullet"/>
      <w:lvlText w:val=""/>
      <w:lvlJc w:val="left"/>
      <w:pPr>
        <w:ind w:left="5040" w:hanging="360"/>
      </w:pPr>
      <w:rPr>
        <w:rFonts w:ascii="Symbol" w:hAnsi="Symbol" w:hint="default"/>
      </w:rPr>
    </w:lvl>
    <w:lvl w:ilvl="7" w:tplc="D414BA7C" w:tentative="1">
      <w:start w:val="1"/>
      <w:numFmt w:val="bullet"/>
      <w:lvlText w:val="o"/>
      <w:lvlJc w:val="left"/>
      <w:pPr>
        <w:ind w:left="5760" w:hanging="360"/>
      </w:pPr>
      <w:rPr>
        <w:rFonts w:ascii="Courier New" w:hAnsi="Courier New" w:hint="default"/>
      </w:rPr>
    </w:lvl>
    <w:lvl w:ilvl="8" w:tplc="C2C0D9C8" w:tentative="1">
      <w:start w:val="1"/>
      <w:numFmt w:val="bullet"/>
      <w:lvlText w:val=""/>
      <w:lvlJc w:val="left"/>
      <w:pPr>
        <w:ind w:left="6480" w:hanging="360"/>
      </w:pPr>
      <w:rPr>
        <w:rFonts w:ascii="Wingdings" w:hAnsi="Wingdings" w:hint="default"/>
      </w:rPr>
    </w:lvl>
  </w:abstractNum>
  <w:abstractNum w:abstractNumId="452" w15:restartNumberingAfterBreak="0">
    <w:nsid w:val="5CB8398F"/>
    <w:multiLevelType w:val="multilevel"/>
    <w:tmpl w:val="E222A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3" w15:restartNumberingAfterBreak="0">
    <w:nsid w:val="5D014857"/>
    <w:multiLevelType w:val="multilevel"/>
    <w:tmpl w:val="FD2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D107994"/>
    <w:multiLevelType w:val="hybridMultilevel"/>
    <w:tmpl w:val="FFFFFFFF"/>
    <w:lvl w:ilvl="0" w:tplc="7F0E9F28">
      <w:start w:val="1"/>
      <w:numFmt w:val="bullet"/>
      <w:lvlText w:val=""/>
      <w:lvlJc w:val="left"/>
      <w:pPr>
        <w:ind w:left="720" w:hanging="360"/>
      </w:pPr>
      <w:rPr>
        <w:rFonts w:ascii="Symbol" w:hAnsi="Symbol" w:hint="default"/>
      </w:rPr>
    </w:lvl>
    <w:lvl w:ilvl="1" w:tplc="72605B04">
      <w:start w:val="1"/>
      <w:numFmt w:val="bullet"/>
      <w:lvlText w:val="o"/>
      <w:lvlJc w:val="left"/>
      <w:pPr>
        <w:ind w:left="1440" w:hanging="360"/>
      </w:pPr>
      <w:rPr>
        <w:rFonts w:ascii="Courier New" w:hAnsi="Courier New" w:hint="default"/>
      </w:rPr>
    </w:lvl>
    <w:lvl w:ilvl="2" w:tplc="199E3EEC">
      <w:start w:val="1"/>
      <w:numFmt w:val="bullet"/>
      <w:lvlText w:val=""/>
      <w:lvlJc w:val="left"/>
      <w:pPr>
        <w:ind w:left="2160" w:hanging="360"/>
      </w:pPr>
      <w:rPr>
        <w:rFonts w:ascii="Wingdings" w:hAnsi="Wingdings" w:hint="default"/>
      </w:rPr>
    </w:lvl>
    <w:lvl w:ilvl="3" w:tplc="40800436">
      <w:start w:val="1"/>
      <w:numFmt w:val="bullet"/>
      <w:lvlText w:val=""/>
      <w:lvlJc w:val="left"/>
      <w:pPr>
        <w:ind w:left="2880" w:hanging="360"/>
      </w:pPr>
      <w:rPr>
        <w:rFonts w:ascii="Symbol" w:hAnsi="Symbol" w:hint="default"/>
      </w:rPr>
    </w:lvl>
    <w:lvl w:ilvl="4" w:tplc="D5C0E76E">
      <w:start w:val="1"/>
      <w:numFmt w:val="bullet"/>
      <w:lvlText w:val="o"/>
      <w:lvlJc w:val="left"/>
      <w:pPr>
        <w:ind w:left="3600" w:hanging="360"/>
      </w:pPr>
      <w:rPr>
        <w:rFonts w:ascii="Courier New" w:hAnsi="Courier New" w:hint="default"/>
      </w:rPr>
    </w:lvl>
    <w:lvl w:ilvl="5" w:tplc="13783BF2">
      <w:start w:val="1"/>
      <w:numFmt w:val="bullet"/>
      <w:lvlText w:val=""/>
      <w:lvlJc w:val="left"/>
      <w:pPr>
        <w:ind w:left="4320" w:hanging="360"/>
      </w:pPr>
      <w:rPr>
        <w:rFonts w:ascii="Wingdings" w:hAnsi="Wingdings" w:hint="default"/>
      </w:rPr>
    </w:lvl>
    <w:lvl w:ilvl="6" w:tplc="06901F54">
      <w:start w:val="1"/>
      <w:numFmt w:val="bullet"/>
      <w:lvlText w:val=""/>
      <w:lvlJc w:val="left"/>
      <w:pPr>
        <w:ind w:left="5040" w:hanging="360"/>
      </w:pPr>
      <w:rPr>
        <w:rFonts w:ascii="Symbol" w:hAnsi="Symbol" w:hint="default"/>
      </w:rPr>
    </w:lvl>
    <w:lvl w:ilvl="7" w:tplc="5484C594">
      <w:start w:val="1"/>
      <w:numFmt w:val="bullet"/>
      <w:lvlText w:val="o"/>
      <w:lvlJc w:val="left"/>
      <w:pPr>
        <w:ind w:left="5760" w:hanging="360"/>
      </w:pPr>
      <w:rPr>
        <w:rFonts w:ascii="Courier New" w:hAnsi="Courier New" w:hint="default"/>
      </w:rPr>
    </w:lvl>
    <w:lvl w:ilvl="8" w:tplc="5538CB70">
      <w:start w:val="1"/>
      <w:numFmt w:val="bullet"/>
      <w:lvlText w:val=""/>
      <w:lvlJc w:val="left"/>
      <w:pPr>
        <w:ind w:left="6480" w:hanging="360"/>
      </w:pPr>
      <w:rPr>
        <w:rFonts w:ascii="Wingdings" w:hAnsi="Wingdings" w:hint="default"/>
      </w:rPr>
    </w:lvl>
  </w:abstractNum>
  <w:abstractNum w:abstractNumId="455" w15:restartNumberingAfterBreak="0">
    <w:nsid w:val="5D60766E"/>
    <w:multiLevelType w:val="hybridMultilevel"/>
    <w:tmpl w:val="78B8AE18"/>
    <w:lvl w:ilvl="0" w:tplc="B9DE2330">
      <w:start w:val="1"/>
      <w:numFmt w:val="bullet"/>
      <w:lvlText w:val=""/>
      <w:lvlJc w:val="left"/>
      <w:pPr>
        <w:ind w:left="720" w:hanging="360"/>
      </w:pPr>
      <w:rPr>
        <w:rFonts w:ascii="Symbol" w:hAnsi="Symbol" w:hint="default"/>
      </w:rPr>
    </w:lvl>
    <w:lvl w:ilvl="1" w:tplc="63CAABE2" w:tentative="1">
      <w:start w:val="1"/>
      <w:numFmt w:val="bullet"/>
      <w:lvlText w:val="o"/>
      <w:lvlJc w:val="left"/>
      <w:pPr>
        <w:ind w:left="1440" w:hanging="360"/>
      </w:pPr>
      <w:rPr>
        <w:rFonts w:ascii="Courier New" w:hAnsi="Courier New" w:hint="default"/>
      </w:rPr>
    </w:lvl>
    <w:lvl w:ilvl="2" w:tplc="6AC0DBE0" w:tentative="1">
      <w:start w:val="1"/>
      <w:numFmt w:val="bullet"/>
      <w:lvlText w:val=""/>
      <w:lvlJc w:val="left"/>
      <w:pPr>
        <w:ind w:left="2160" w:hanging="360"/>
      </w:pPr>
      <w:rPr>
        <w:rFonts w:ascii="Wingdings" w:hAnsi="Wingdings" w:hint="default"/>
      </w:rPr>
    </w:lvl>
    <w:lvl w:ilvl="3" w:tplc="A6B86024" w:tentative="1">
      <w:start w:val="1"/>
      <w:numFmt w:val="bullet"/>
      <w:lvlText w:val=""/>
      <w:lvlJc w:val="left"/>
      <w:pPr>
        <w:ind w:left="2880" w:hanging="360"/>
      </w:pPr>
      <w:rPr>
        <w:rFonts w:ascii="Symbol" w:hAnsi="Symbol" w:hint="default"/>
      </w:rPr>
    </w:lvl>
    <w:lvl w:ilvl="4" w:tplc="9966673A" w:tentative="1">
      <w:start w:val="1"/>
      <w:numFmt w:val="bullet"/>
      <w:lvlText w:val="o"/>
      <w:lvlJc w:val="left"/>
      <w:pPr>
        <w:ind w:left="3600" w:hanging="360"/>
      </w:pPr>
      <w:rPr>
        <w:rFonts w:ascii="Courier New" w:hAnsi="Courier New" w:hint="default"/>
      </w:rPr>
    </w:lvl>
    <w:lvl w:ilvl="5" w:tplc="AFB4FC12" w:tentative="1">
      <w:start w:val="1"/>
      <w:numFmt w:val="bullet"/>
      <w:lvlText w:val=""/>
      <w:lvlJc w:val="left"/>
      <w:pPr>
        <w:ind w:left="4320" w:hanging="360"/>
      </w:pPr>
      <w:rPr>
        <w:rFonts w:ascii="Wingdings" w:hAnsi="Wingdings" w:hint="default"/>
      </w:rPr>
    </w:lvl>
    <w:lvl w:ilvl="6" w:tplc="C73AB23E" w:tentative="1">
      <w:start w:val="1"/>
      <w:numFmt w:val="bullet"/>
      <w:lvlText w:val=""/>
      <w:lvlJc w:val="left"/>
      <w:pPr>
        <w:ind w:left="5040" w:hanging="360"/>
      </w:pPr>
      <w:rPr>
        <w:rFonts w:ascii="Symbol" w:hAnsi="Symbol" w:hint="default"/>
      </w:rPr>
    </w:lvl>
    <w:lvl w:ilvl="7" w:tplc="9306D1C4" w:tentative="1">
      <w:start w:val="1"/>
      <w:numFmt w:val="bullet"/>
      <w:lvlText w:val="o"/>
      <w:lvlJc w:val="left"/>
      <w:pPr>
        <w:ind w:left="5760" w:hanging="360"/>
      </w:pPr>
      <w:rPr>
        <w:rFonts w:ascii="Courier New" w:hAnsi="Courier New" w:hint="default"/>
      </w:rPr>
    </w:lvl>
    <w:lvl w:ilvl="8" w:tplc="CEC61B46" w:tentative="1">
      <w:start w:val="1"/>
      <w:numFmt w:val="bullet"/>
      <w:lvlText w:val=""/>
      <w:lvlJc w:val="left"/>
      <w:pPr>
        <w:ind w:left="6480" w:hanging="360"/>
      </w:pPr>
      <w:rPr>
        <w:rFonts w:ascii="Wingdings" w:hAnsi="Wingdings" w:hint="default"/>
      </w:rPr>
    </w:lvl>
  </w:abstractNum>
  <w:abstractNum w:abstractNumId="456" w15:restartNumberingAfterBreak="0">
    <w:nsid w:val="5DB23E1E"/>
    <w:multiLevelType w:val="hybridMultilevel"/>
    <w:tmpl w:val="53CE763E"/>
    <w:lvl w:ilvl="0" w:tplc="014E483E">
      <w:start w:val="1"/>
      <w:numFmt w:val="bullet"/>
      <w:lvlText w:val=""/>
      <w:lvlJc w:val="left"/>
      <w:pPr>
        <w:ind w:left="720" w:hanging="360"/>
      </w:pPr>
      <w:rPr>
        <w:rFonts w:ascii="Symbol" w:hAnsi="Symbol" w:hint="default"/>
        <w:color w:val="auto"/>
      </w:rPr>
    </w:lvl>
    <w:lvl w:ilvl="1" w:tplc="D464B454" w:tentative="1">
      <w:start w:val="1"/>
      <w:numFmt w:val="bullet"/>
      <w:lvlText w:val="o"/>
      <w:lvlJc w:val="left"/>
      <w:pPr>
        <w:ind w:left="1440" w:hanging="360"/>
      </w:pPr>
      <w:rPr>
        <w:rFonts w:ascii="Courier New" w:hAnsi="Courier New" w:hint="default"/>
      </w:rPr>
    </w:lvl>
    <w:lvl w:ilvl="2" w:tplc="77905EC8" w:tentative="1">
      <w:start w:val="1"/>
      <w:numFmt w:val="bullet"/>
      <w:lvlText w:val=""/>
      <w:lvlJc w:val="left"/>
      <w:pPr>
        <w:ind w:left="2160" w:hanging="360"/>
      </w:pPr>
      <w:rPr>
        <w:rFonts w:ascii="Wingdings" w:hAnsi="Wingdings" w:hint="default"/>
      </w:rPr>
    </w:lvl>
    <w:lvl w:ilvl="3" w:tplc="B1E2C956" w:tentative="1">
      <w:start w:val="1"/>
      <w:numFmt w:val="bullet"/>
      <w:lvlText w:val=""/>
      <w:lvlJc w:val="left"/>
      <w:pPr>
        <w:ind w:left="2880" w:hanging="360"/>
      </w:pPr>
      <w:rPr>
        <w:rFonts w:ascii="Symbol" w:hAnsi="Symbol" w:hint="default"/>
      </w:rPr>
    </w:lvl>
    <w:lvl w:ilvl="4" w:tplc="93CC9CD6" w:tentative="1">
      <w:start w:val="1"/>
      <w:numFmt w:val="bullet"/>
      <w:lvlText w:val="o"/>
      <w:lvlJc w:val="left"/>
      <w:pPr>
        <w:ind w:left="3600" w:hanging="360"/>
      </w:pPr>
      <w:rPr>
        <w:rFonts w:ascii="Courier New" w:hAnsi="Courier New" w:hint="default"/>
      </w:rPr>
    </w:lvl>
    <w:lvl w:ilvl="5" w:tplc="5FDE4BBA" w:tentative="1">
      <w:start w:val="1"/>
      <w:numFmt w:val="bullet"/>
      <w:lvlText w:val=""/>
      <w:lvlJc w:val="left"/>
      <w:pPr>
        <w:ind w:left="4320" w:hanging="360"/>
      </w:pPr>
      <w:rPr>
        <w:rFonts w:ascii="Wingdings" w:hAnsi="Wingdings" w:hint="default"/>
      </w:rPr>
    </w:lvl>
    <w:lvl w:ilvl="6" w:tplc="AC9EBD7C" w:tentative="1">
      <w:start w:val="1"/>
      <w:numFmt w:val="bullet"/>
      <w:lvlText w:val=""/>
      <w:lvlJc w:val="left"/>
      <w:pPr>
        <w:ind w:left="5040" w:hanging="360"/>
      </w:pPr>
      <w:rPr>
        <w:rFonts w:ascii="Symbol" w:hAnsi="Symbol" w:hint="default"/>
      </w:rPr>
    </w:lvl>
    <w:lvl w:ilvl="7" w:tplc="DB469490" w:tentative="1">
      <w:start w:val="1"/>
      <w:numFmt w:val="bullet"/>
      <w:lvlText w:val="o"/>
      <w:lvlJc w:val="left"/>
      <w:pPr>
        <w:ind w:left="5760" w:hanging="360"/>
      </w:pPr>
      <w:rPr>
        <w:rFonts w:ascii="Courier New" w:hAnsi="Courier New" w:hint="default"/>
      </w:rPr>
    </w:lvl>
    <w:lvl w:ilvl="8" w:tplc="C846D718" w:tentative="1">
      <w:start w:val="1"/>
      <w:numFmt w:val="bullet"/>
      <w:lvlText w:val=""/>
      <w:lvlJc w:val="left"/>
      <w:pPr>
        <w:ind w:left="6480" w:hanging="360"/>
      </w:pPr>
      <w:rPr>
        <w:rFonts w:ascii="Wingdings" w:hAnsi="Wingdings" w:hint="default"/>
      </w:rPr>
    </w:lvl>
  </w:abstractNum>
  <w:abstractNum w:abstractNumId="457" w15:restartNumberingAfterBreak="0">
    <w:nsid w:val="5DC765A8"/>
    <w:multiLevelType w:val="multilevel"/>
    <w:tmpl w:val="36A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1525D4"/>
    <w:multiLevelType w:val="multilevel"/>
    <w:tmpl w:val="F61A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162A4A"/>
    <w:multiLevelType w:val="hybridMultilevel"/>
    <w:tmpl w:val="11C4E07A"/>
    <w:lvl w:ilvl="0" w:tplc="6A000354">
      <w:start w:val="1"/>
      <w:numFmt w:val="bullet"/>
      <w:lvlText w:val=""/>
      <w:lvlJc w:val="left"/>
      <w:pPr>
        <w:ind w:left="720" w:hanging="360"/>
      </w:pPr>
      <w:rPr>
        <w:rFonts w:ascii="Symbol" w:hAnsi="Symbol" w:hint="default"/>
      </w:rPr>
    </w:lvl>
    <w:lvl w:ilvl="1" w:tplc="F97A676C">
      <w:start w:val="1"/>
      <w:numFmt w:val="bullet"/>
      <w:lvlText w:val="o"/>
      <w:lvlJc w:val="left"/>
      <w:pPr>
        <w:ind w:left="1440" w:hanging="360"/>
      </w:pPr>
      <w:rPr>
        <w:rFonts w:ascii="Courier New" w:hAnsi="Courier New" w:hint="default"/>
      </w:rPr>
    </w:lvl>
    <w:lvl w:ilvl="2" w:tplc="33907F42" w:tentative="1">
      <w:start w:val="1"/>
      <w:numFmt w:val="bullet"/>
      <w:lvlText w:val=""/>
      <w:lvlJc w:val="left"/>
      <w:pPr>
        <w:ind w:left="2160" w:hanging="360"/>
      </w:pPr>
      <w:rPr>
        <w:rFonts w:ascii="Wingdings" w:hAnsi="Wingdings" w:hint="default"/>
      </w:rPr>
    </w:lvl>
    <w:lvl w:ilvl="3" w:tplc="73EEE9CA" w:tentative="1">
      <w:start w:val="1"/>
      <w:numFmt w:val="bullet"/>
      <w:lvlText w:val=""/>
      <w:lvlJc w:val="left"/>
      <w:pPr>
        <w:ind w:left="2880" w:hanging="360"/>
      </w:pPr>
      <w:rPr>
        <w:rFonts w:ascii="Symbol" w:hAnsi="Symbol" w:hint="default"/>
      </w:rPr>
    </w:lvl>
    <w:lvl w:ilvl="4" w:tplc="9FD2B370" w:tentative="1">
      <w:start w:val="1"/>
      <w:numFmt w:val="bullet"/>
      <w:lvlText w:val="o"/>
      <w:lvlJc w:val="left"/>
      <w:pPr>
        <w:ind w:left="3600" w:hanging="360"/>
      </w:pPr>
      <w:rPr>
        <w:rFonts w:ascii="Courier New" w:hAnsi="Courier New" w:hint="default"/>
      </w:rPr>
    </w:lvl>
    <w:lvl w:ilvl="5" w:tplc="82CEADC4" w:tentative="1">
      <w:start w:val="1"/>
      <w:numFmt w:val="bullet"/>
      <w:lvlText w:val=""/>
      <w:lvlJc w:val="left"/>
      <w:pPr>
        <w:ind w:left="4320" w:hanging="360"/>
      </w:pPr>
      <w:rPr>
        <w:rFonts w:ascii="Wingdings" w:hAnsi="Wingdings" w:hint="default"/>
      </w:rPr>
    </w:lvl>
    <w:lvl w:ilvl="6" w:tplc="A61E4DE2" w:tentative="1">
      <w:start w:val="1"/>
      <w:numFmt w:val="bullet"/>
      <w:lvlText w:val=""/>
      <w:lvlJc w:val="left"/>
      <w:pPr>
        <w:ind w:left="5040" w:hanging="360"/>
      </w:pPr>
      <w:rPr>
        <w:rFonts w:ascii="Symbol" w:hAnsi="Symbol" w:hint="default"/>
      </w:rPr>
    </w:lvl>
    <w:lvl w:ilvl="7" w:tplc="4A040462" w:tentative="1">
      <w:start w:val="1"/>
      <w:numFmt w:val="bullet"/>
      <w:lvlText w:val="o"/>
      <w:lvlJc w:val="left"/>
      <w:pPr>
        <w:ind w:left="5760" w:hanging="360"/>
      </w:pPr>
      <w:rPr>
        <w:rFonts w:ascii="Courier New" w:hAnsi="Courier New" w:hint="default"/>
      </w:rPr>
    </w:lvl>
    <w:lvl w:ilvl="8" w:tplc="917A59E6" w:tentative="1">
      <w:start w:val="1"/>
      <w:numFmt w:val="bullet"/>
      <w:lvlText w:val=""/>
      <w:lvlJc w:val="left"/>
      <w:pPr>
        <w:ind w:left="6480" w:hanging="360"/>
      </w:pPr>
      <w:rPr>
        <w:rFonts w:ascii="Wingdings" w:hAnsi="Wingdings" w:hint="default"/>
      </w:rPr>
    </w:lvl>
  </w:abstractNum>
  <w:abstractNum w:abstractNumId="460" w15:restartNumberingAfterBreak="0">
    <w:nsid w:val="5E3D05FA"/>
    <w:multiLevelType w:val="hybridMultilevel"/>
    <w:tmpl w:val="E49CCC2C"/>
    <w:lvl w:ilvl="0" w:tplc="DEFC20D8">
      <w:start w:val="1"/>
      <w:numFmt w:val="bullet"/>
      <w:lvlText w:val=""/>
      <w:lvlJc w:val="left"/>
      <w:pPr>
        <w:ind w:left="720" w:hanging="360"/>
      </w:pPr>
      <w:rPr>
        <w:rFonts w:ascii="Symbol" w:hAnsi="Symbol" w:hint="default"/>
      </w:rPr>
    </w:lvl>
    <w:lvl w:ilvl="1" w:tplc="68528E0A" w:tentative="1">
      <w:start w:val="1"/>
      <w:numFmt w:val="bullet"/>
      <w:lvlText w:val="o"/>
      <w:lvlJc w:val="left"/>
      <w:pPr>
        <w:ind w:left="1440" w:hanging="360"/>
      </w:pPr>
      <w:rPr>
        <w:rFonts w:ascii="Courier New" w:hAnsi="Courier New" w:hint="default"/>
      </w:rPr>
    </w:lvl>
    <w:lvl w:ilvl="2" w:tplc="887A2C30" w:tentative="1">
      <w:start w:val="1"/>
      <w:numFmt w:val="bullet"/>
      <w:lvlText w:val=""/>
      <w:lvlJc w:val="left"/>
      <w:pPr>
        <w:ind w:left="2160" w:hanging="360"/>
      </w:pPr>
      <w:rPr>
        <w:rFonts w:ascii="Wingdings" w:hAnsi="Wingdings" w:hint="default"/>
      </w:rPr>
    </w:lvl>
    <w:lvl w:ilvl="3" w:tplc="AADE8916" w:tentative="1">
      <w:start w:val="1"/>
      <w:numFmt w:val="bullet"/>
      <w:lvlText w:val=""/>
      <w:lvlJc w:val="left"/>
      <w:pPr>
        <w:ind w:left="2880" w:hanging="360"/>
      </w:pPr>
      <w:rPr>
        <w:rFonts w:ascii="Symbol" w:hAnsi="Symbol" w:hint="default"/>
      </w:rPr>
    </w:lvl>
    <w:lvl w:ilvl="4" w:tplc="851AD762" w:tentative="1">
      <w:start w:val="1"/>
      <w:numFmt w:val="bullet"/>
      <w:lvlText w:val="o"/>
      <w:lvlJc w:val="left"/>
      <w:pPr>
        <w:ind w:left="3600" w:hanging="360"/>
      </w:pPr>
      <w:rPr>
        <w:rFonts w:ascii="Courier New" w:hAnsi="Courier New" w:hint="default"/>
      </w:rPr>
    </w:lvl>
    <w:lvl w:ilvl="5" w:tplc="4C3E4704" w:tentative="1">
      <w:start w:val="1"/>
      <w:numFmt w:val="bullet"/>
      <w:lvlText w:val=""/>
      <w:lvlJc w:val="left"/>
      <w:pPr>
        <w:ind w:left="4320" w:hanging="360"/>
      </w:pPr>
      <w:rPr>
        <w:rFonts w:ascii="Wingdings" w:hAnsi="Wingdings" w:hint="default"/>
      </w:rPr>
    </w:lvl>
    <w:lvl w:ilvl="6" w:tplc="D4EAAECA" w:tentative="1">
      <w:start w:val="1"/>
      <w:numFmt w:val="bullet"/>
      <w:lvlText w:val=""/>
      <w:lvlJc w:val="left"/>
      <w:pPr>
        <w:ind w:left="5040" w:hanging="360"/>
      </w:pPr>
      <w:rPr>
        <w:rFonts w:ascii="Symbol" w:hAnsi="Symbol" w:hint="default"/>
      </w:rPr>
    </w:lvl>
    <w:lvl w:ilvl="7" w:tplc="02D63FDE" w:tentative="1">
      <w:start w:val="1"/>
      <w:numFmt w:val="bullet"/>
      <w:lvlText w:val="o"/>
      <w:lvlJc w:val="left"/>
      <w:pPr>
        <w:ind w:left="5760" w:hanging="360"/>
      </w:pPr>
      <w:rPr>
        <w:rFonts w:ascii="Courier New" w:hAnsi="Courier New" w:hint="default"/>
      </w:rPr>
    </w:lvl>
    <w:lvl w:ilvl="8" w:tplc="AE8EF64A" w:tentative="1">
      <w:start w:val="1"/>
      <w:numFmt w:val="bullet"/>
      <w:lvlText w:val=""/>
      <w:lvlJc w:val="left"/>
      <w:pPr>
        <w:ind w:left="6480" w:hanging="360"/>
      </w:pPr>
      <w:rPr>
        <w:rFonts w:ascii="Wingdings" w:hAnsi="Wingdings" w:hint="default"/>
      </w:rPr>
    </w:lvl>
  </w:abstractNum>
  <w:abstractNum w:abstractNumId="461" w15:restartNumberingAfterBreak="0">
    <w:nsid w:val="5E3F687A"/>
    <w:multiLevelType w:val="hybridMultilevel"/>
    <w:tmpl w:val="C49C07B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62" w15:restartNumberingAfterBreak="0">
    <w:nsid w:val="5E842DBB"/>
    <w:multiLevelType w:val="hybridMultilevel"/>
    <w:tmpl w:val="1848E746"/>
    <w:lvl w:ilvl="0" w:tplc="379250C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ymbol" w:hAnsi="Symbol" w:hint="default"/>
      </w:rPr>
    </w:lvl>
    <w:lvl w:ilvl="2" w:tplc="FFFFFFFF" w:tentative="1">
      <w:start w:val="1"/>
      <w:numFmt w:val="bullet"/>
      <w:lvlText w:val="§"/>
      <w:lvlJc w:val="left"/>
      <w:pPr>
        <w:ind w:left="2160" w:hanging="360"/>
      </w:pPr>
      <w:rPr>
        <w:rFonts w:ascii="Symbol" w:hAnsi="Symbol" w:hint="default"/>
      </w:rPr>
    </w:lvl>
    <w:lvl w:ilvl="3" w:tplc="AB429FB2" w:tentative="1">
      <w:start w:val="1"/>
      <w:numFmt w:val="bullet"/>
      <w:lvlText w:val=""/>
      <w:lvlJc w:val="left"/>
      <w:pPr>
        <w:ind w:left="2880" w:hanging="360"/>
      </w:pPr>
      <w:rPr>
        <w:rFonts w:ascii="Symbol" w:hAnsi="Symbol" w:hint="default"/>
      </w:rPr>
    </w:lvl>
    <w:lvl w:ilvl="4" w:tplc="E87A32DE" w:tentative="1">
      <w:start w:val="1"/>
      <w:numFmt w:val="bullet"/>
      <w:lvlText w:val="o"/>
      <w:lvlJc w:val="left"/>
      <w:pPr>
        <w:ind w:left="3600" w:hanging="360"/>
      </w:pPr>
      <w:rPr>
        <w:rFonts w:ascii="Courier New" w:hAnsi="Courier New" w:hint="default"/>
      </w:rPr>
    </w:lvl>
    <w:lvl w:ilvl="5" w:tplc="E024805C" w:tentative="1">
      <w:start w:val="1"/>
      <w:numFmt w:val="bullet"/>
      <w:lvlText w:val=""/>
      <w:lvlJc w:val="left"/>
      <w:pPr>
        <w:ind w:left="4320" w:hanging="360"/>
      </w:pPr>
      <w:rPr>
        <w:rFonts w:ascii="Wingdings" w:hAnsi="Wingdings" w:hint="default"/>
      </w:rPr>
    </w:lvl>
    <w:lvl w:ilvl="6" w:tplc="D3F05E2A" w:tentative="1">
      <w:start w:val="1"/>
      <w:numFmt w:val="bullet"/>
      <w:lvlText w:val=""/>
      <w:lvlJc w:val="left"/>
      <w:pPr>
        <w:ind w:left="5040" w:hanging="360"/>
      </w:pPr>
      <w:rPr>
        <w:rFonts w:ascii="Symbol" w:hAnsi="Symbol" w:hint="default"/>
      </w:rPr>
    </w:lvl>
    <w:lvl w:ilvl="7" w:tplc="FE2EF40E" w:tentative="1">
      <w:start w:val="1"/>
      <w:numFmt w:val="bullet"/>
      <w:lvlText w:val="o"/>
      <w:lvlJc w:val="left"/>
      <w:pPr>
        <w:ind w:left="5760" w:hanging="360"/>
      </w:pPr>
      <w:rPr>
        <w:rFonts w:ascii="Courier New" w:hAnsi="Courier New" w:hint="default"/>
      </w:rPr>
    </w:lvl>
    <w:lvl w:ilvl="8" w:tplc="44DCFA54" w:tentative="1">
      <w:start w:val="1"/>
      <w:numFmt w:val="bullet"/>
      <w:lvlText w:val=""/>
      <w:lvlJc w:val="left"/>
      <w:pPr>
        <w:ind w:left="6480" w:hanging="360"/>
      </w:pPr>
      <w:rPr>
        <w:rFonts w:ascii="Wingdings" w:hAnsi="Wingdings" w:hint="default"/>
      </w:rPr>
    </w:lvl>
  </w:abstractNum>
  <w:abstractNum w:abstractNumId="463" w15:restartNumberingAfterBreak="0">
    <w:nsid w:val="5EBF09A1"/>
    <w:multiLevelType w:val="multilevel"/>
    <w:tmpl w:val="203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EF23198"/>
    <w:multiLevelType w:val="hybridMultilevel"/>
    <w:tmpl w:val="BB78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5" w15:restartNumberingAfterBreak="0">
    <w:nsid w:val="5F0C29FB"/>
    <w:multiLevelType w:val="multilevel"/>
    <w:tmpl w:val="5D4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1159AE"/>
    <w:multiLevelType w:val="multilevel"/>
    <w:tmpl w:val="45CCF0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5FE93BD0"/>
    <w:multiLevelType w:val="hybridMultilevel"/>
    <w:tmpl w:val="AAF05C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8" w15:restartNumberingAfterBreak="0">
    <w:nsid w:val="6055641A"/>
    <w:multiLevelType w:val="hybridMultilevel"/>
    <w:tmpl w:val="0E5C2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9" w15:restartNumberingAfterBreak="0">
    <w:nsid w:val="607A061E"/>
    <w:multiLevelType w:val="multilevel"/>
    <w:tmpl w:val="D23C0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60D104F7"/>
    <w:multiLevelType w:val="multilevel"/>
    <w:tmpl w:val="455A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E8795B"/>
    <w:multiLevelType w:val="multilevel"/>
    <w:tmpl w:val="F856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0FF6AFC"/>
    <w:multiLevelType w:val="multilevel"/>
    <w:tmpl w:val="4A3E7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13F3CB3"/>
    <w:multiLevelType w:val="hybridMultilevel"/>
    <w:tmpl w:val="28A48D80"/>
    <w:lvl w:ilvl="0" w:tplc="E1F87D60">
      <w:start w:val="1"/>
      <w:numFmt w:val="bullet"/>
      <w:lvlText w:val="·"/>
      <w:lvlJc w:val="left"/>
      <w:pPr>
        <w:ind w:left="720" w:hanging="360"/>
      </w:pPr>
      <w:rPr>
        <w:rFonts w:ascii="Arial, sans-serif" w:hAnsi="Arial, sans-serif" w:hint="default"/>
      </w:rPr>
    </w:lvl>
    <w:lvl w:ilvl="1" w:tplc="296C8D3E">
      <w:start w:val="1"/>
      <w:numFmt w:val="bullet"/>
      <w:lvlText w:val="o"/>
      <w:lvlJc w:val="left"/>
      <w:pPr>
        <w:ind w:left="1440" w:hanging="360"/>
      </w:pPr>
      <w:rPr>
        <w:rFonts w:ascii="Courier New" w:hAnsi="Courier New" w:hint="default"/>
      </w:rPr>
    </w:lvl>
    <w:lvl w:ilvl="2" w:tplc="E460FB10">
      <w:start w:val="1"/>
      <w:numFmt w:val="bullet"/>
      <w:lvlText w:val=""/>
      <w:lvlJc w:val="left"/>
      <w:pPr>
        <w:ind w:left="2160" w:hanging="360"/>
      </w:pPr>
      <w:rPr>
        <w:rFonts w:ascii="Wingdings" w:hAnsi="Wingdings" w:hint="default"/>
      </w:rPr>
    </w:lvl>
    <w:lvl w:ilvl="3" w:tplc="3F88AF42">
      <w:start w:val="1"/>
      <w:numFmt w:val="bullet"/>
      <w:lvlText w:val=""/>
      <w:lvlJc w:val="left"/>
      <w:pPr>
        <w:ind w:left="2880" w:hanging="360"/>
      </w:pPr>
      <w:rPr>
        <w:rFonts w:ascii="Symbol" w:hAnsi="Symbol" w:hint="default"/>
      </w:rPr>
    </w:lvl>
    <w:lvl w:ilvl="4" w:tplc="F95CBF6E">
      <w:start w:val="1"/>
      <w:numFmt w:val="bullet"/>
      <w:lvlText w:val="o"/>
      <w:lvlJc w:val="left"/>
      <w:pPr>
        <w:ind w:left="3600" w:hanging="360"/>
      </w:pPr>
      <w:rPr>
        <w:rFonts w:ascii="Courier New" w:hAnsi="Courier New" w:hint="default"/>
      </w:rPr>
    </w:lvl>
    <w:lvl w:ilvl="5" w:tplc="5CC0AD74">
      <w:start w:val="1"/>
      <w:numFmt w:val="bullet"/>
      <w:lvlText w:val=""/>
      <w:lvlJc w:val="left"/>
      <w:pPr>
        <w:ind w:left="4320" w:hanging="360"/>
      </w:pPr>
      <w:rPr>
        <w:rFonts w:ascii="Wingdings" w:hAnsi="Wingdings" w:hint="default"/>
      </w:rPr>
    </w:lvl>
    <w:lvl w:ilvl="6" w:tplc="E938D0F0">
      <w:start w:val="1"/>
      <w:numFmt w:val="bullet"/>
      <w:lvlText w:val=""/>
      <w:lvlJc w:val="left"/>
      <w:pPr>
        <w:ind w:left="5040" w:hanging="360"/>
      </w:pPr>
      <w:rPr>
        <w:rFonts w:ascii="Symbol" w:hAnsi="Symbol" w:hint="default"/>
      </w:rPr>
    </w:lvl>
    <w:lvl w:ilvl="7" w:tplc="1BA29166">
      <w:start w:val="1"/>
      <w:numFmt w:val="bullet"/>
      <w:lvlText w:val="o"/>
      <w:lvlJc w:val="left"/>
      <w:pPr>
        <w:ind w:left="5760" w:hanging="360"/>
      </w:pPr>
      <w:rPr>
        <w:rFonts w:ascii="Courier New" w:hAnsi="Courier New" w:hint="default"/>
      </w:rPr>
    </w:lvl>
    <w:lvl w:ilvl="8" w:tplc="99F253BA">
      <w:start w:val="1"/>
      <w:numFmt w:val="bullet"/>
      <w:lvlText w:val=""/>
      <w:lvlJc w:val="left"/>
      <w:pPr>
        <w:ind w:left="6480" w:hanging="360"/>
      </w:pPr>
      <w:rPr>
        <w:rFonts w:ascii="Wingdings" w:hAnsi="Wingdings" w:hint="default"/>
      </w:rPr>
    </w:lvl>
  </w:abstractNum>
  <w:abstractNum w:abstractNumId="474" w15:restartNumberingAfterBreak="0">
    <w:nsid w:val="614C64F1"/>
    <w:multiLevelType w:val="multilevel"/>
    <w:tmpl w:val="9654A8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75" w15:restartNumberingAfterBreak="0">
    <w:nsid w:val="61897D68"/>
    <w:multiLevelType w:val="hybridMultilevel"/>
    <w:tmpl w:val="AAB6B100"/>
    <w:lvl w:ilvl="0" w:tplc="122A3240">
      <w:start w:val="1"/>
      <w:numFmt w:val="bullet"/>
      <w:lvlText w:val=""/>
      <w:lvlJc w:val="left"/>
      <w:pPr>
        <w:ind w:left="720" w:hanging="360"/>
      </w:pPr>
      <w:rPr>
        <w:rFonts w:ascii="Symbol" w:hAnsi="Symbol" w:hint="default"/>
      </w:rPr>
    </w:lvl>
    <w:lvl w:ilvl="1" w:tplc="20C22FAA" w:tentative="1">
      <w:start w:val="1"/>
      <w:numFmt w:val="bullet"/>
      <w:lvlText w:val="o"/>
      <w:lvlJc w:val="left"/>
      <w:pPr>
        <w:ind w:left="1440" w:hanging="360"/>
      </w:pPr>
      <w:rPr>
        <w:rFonts w:ascii="Courier New" w:hAnsi="Courier New" w:hint="default"/>
      </w:rPr>
    </w:lvl>
    <w:lvl w:ilvl="2" w:tplc="1848FA36" w:tentative="1">
      <w:start w:val="1"/>
      <w:numFmt w:val="bullet"/>
      <w:lvlText w:val=""/>
      <w:lvlJc w:val="left"/>
      <w:pPr>
        <w:ind w:left="2160" w:hanging="360"/>
      </w:pPr>
      <w:rPr>
        <w:rFonts w:ascii="Wingdings" w:hAnsi="Wingdings" w:hint="default"/>
      </w:rPr>
    </w:lvl>
    <w:lvl w:ilvl="3" w:tplc="A3C44270" w:tentative="1">
      <w:start w:val="1"/>
      <w:numFmt w:val="bullet"/>
      <w:lvlText w:val=""/>
      <w:lvlJc w:val="left"/>
      <w:pPr>
        <w:ind w:left="2880" w:hanging="360"/>
      </w:pPr>
      <w:rPr>
        <w:rFonts w:ascii="Symbol" w:hAnsi="Symbol" w:hint="default"/>
      </w:rPr>
    </w:lvl>
    <w:lvl w:ilvl="4" w:tplc="23909E36" w:tentative="1">
      <w:start w:val="1"/>
      <w:numFmt w:val="bullet"/>
      <w:lvlText w:val="o"/>
      <w:lvlJc w:val="left"/>
      <w:pPr>
        <w:ind w:left="3600" w:hanging="360"/>
      </w:pPr>
      <w:rPr>
        <w:rFonts w:ascii="Courier New" w:hAnsi="Courier New" w:hint="default"/>
      </w:rPr>
    </w:lvl>
    <w:lvl w:ilvl="5" w:tplc="14D0D848" w:tentative="1">
      <w:start w:val="1"/>
      <w:numFmt w:val="bullet"/>
      <w:lvlText w:val=""/>
      <w:lvlJc w:val="left"/>
      <w:pPr>
        <w:ind w:left="4320" w:hanging="360"/>
      </w:pPr>
      <w:rPr>
        <w:rFonts w:ascii="Wingdings" w:hAnsi="Wingdings" w:hint="default"/>
      </w:rPr>
    </w:lvl>
    <w:lvl w:ilvl="6" w:tplc="F9164320" w:tentative="1">
      <w:start w:val="1"/>
      <w:numFmt w:val="bullet"/>
      <w:lvlText w:val=""/>
      <w:lvlJc w:val="left"/>
      <w:pPr>
        <w:ind w:left="5040" w:hanging="360"/>
      </w:pPr>
      <w:rPr>
        <w:rFonts w:ascii="Symbol" w:hAnsi="Symbol" w:hint="default"/>
      </w:rPr>
    </w:lvl>
    <w:lvl w:ilvl="7" w:tplc="9B1AC92C" w:tentative="1">
      <w:start w:val="1"/>
      <w:numFmt w:val="bullet"/>
      <w:lvlText w:val="o"/>
      <w:lvlJc w:val="left"/>
      <w:pPr>
        <w:ind w:left="5760" w:hanging="360"/>
      </w:pPr>
      <w:rPr>
        <w:rFonts w:ascii="Courier New" w:hAnsi="Courier New" w:hint="default"/>
      </w:rPr>
    </w:lvl>
    <w:lvl w:ilvl="8" w:tplc="40A2E4B4" w:tentative="1">
      <w:start w:val="1"/>
      <w:numFmt w:val="bullet"/>
      <w:lvlText w:val=""/>
      <w:lvlJc w:val="left"/>
      <w:pPr>
        <w:ind w:left="6480" w:hanging="360"/>
      </w:pPr>
      <w:rPr>
        <w:rFonts w:ascii="Wingdings" w:hAnsi="Wingdings" w:hint="default"/>
      </w:rPr>
    </w:lvl>
  </w:abstractNum>
  <w:abstractNum w:abstractNumId="476" w15:restartNumberingAfterBreak="0">
    <w:nsid w:val="61A533E3"/>
    <w:multiLevelType w:val="hybridMultilevel"/>
    <w:tmpl w:val="9B2EDE4C"/>
    <w:lvl w:ilvl="0" w:tplc="94F622A4">
      <w:start w:val="1"/>
      <w:numFmt w:val="bullet"/>
      <w:lvlText w:val=""/>
      <w:lvlJc w:val="left"/>
      <w:pPr>
        <w:ind w:left="1080" w:hanging="360"/>
      </w:pPr>
      <w:rPr>
        <w:rFonts w:ascii="Symbol" w:hAnsi="Symbol"/>
      </w:rPr>
    </w:lvl>
    <w:lvl w:ilvl="1" w:tplc="65BEB47E">
      <w:start w:val="1"/>
      <w:numFmt w:val="bullet"/>
      <w:lvlText w:val=""/>
      <w:lvlJc w:val="left"/>
      <w:pPr>
        <w:ind w:left="1080" w:hanging="360"/>
      </w:pPr>
      <w:rPr>
        <w:rFonts w:ascii="Symbol" w:hAnsi="Symbol"/>
      </w:rPr>
    </w:lvl>
    <w:lvl w:ilvl="2" w:tplc="BB0C5E44">
      <w:start w:val="1"/>
      <w:numFmt w:val="bullet"/>
      <w:lvlText w:val=""/>
      <w:lvlJc w:val="left"/>
      <w:pPr>
        <w:ind w:left="1080" w:hanging="360"/>
      </w:pPr>
      <w:rPr>
        <w:rFonts w:ascii="Symbol" w:hAnsi="Symbol"/>
      </w:rPr>
    </w:lvl>
    <w:lvl w:ilvl="3" w:tplc="BE0ECD7C">
      <w:start w:val="1"/>
      <w:numFmt w:val="bullet"/>
      <w:lvlText w:val=""/>
      <w:lvlJc w:val="left"/>
      <w:pPr>
        <w:ind w:left="1080" w:hanging="360"/>
      </w:pPr>
      <w:rPr>
        <w:rFonts w:ascii="Symbol" w:hAnsi="Symbol"/>
      </w:rPr>
    </w:lvl>
    <w:lvl w:ilvl="4" w:tplc="85E898AE">
      <w:start w:val="1"/>
      <w:numFmt w:val="bullet"/>
      <w:lvlText w:val=""/>
      <w:lvlJc w:val="left"/>
      <w:pPr>
        <w:ind w:left="1080" w:hanging="360"/>
      </w:pPr>
      <w:rPr>
        <w:rFonts w:ascii="Symbol" w:hAnsi="Symbol"/>
      </w:rPr>
    </w:lvl>
    <w:lvl w:ilvl="5" w:tplc="F7F05744">
      <w:start w:val="1"/>
      <w:numFmt w:val="bullet"/>
      <w:lvlText w:val=""/>
      <w:lvlJc w:val="left"/>
      <w:pPr>
        <w:ind w:left="1080" w:hanging="360"/>
      </w:pPr>
      <w:rPr>
        <w:rFonts w:ascii="Symbol" w:hAnsi="Symbol"/>
      </w:rPr>
    </w:lvl>
    <w:lvl w:ilvl="6" w:tplc="39B08BAC">
      <w:start w:val="1"/>
      <w:numFmt w:val="bullet"/>
      <w:lvlText w:val=""/>
      <w:lvlJc w:val="left"/>
      <w:pPr>
        <w:ind w:left="1080" w:hanging="360"/>
      </w:pPr>
      <w:rPr>
        <w:rFonts w:ascii="Symbol" w:hAnsi="Symbol"/>
      </w:rPr>
    </w:lvl>
    <w:lvl w:ilvl="7" w:tplc="BDE4707E">
      <w:start w:val="1"/>
      <w:numFmt w:val="bullet"/>
      <w:lvlText w:val=""/>
      <w:lvlJc w:val="left"/>
      <w:pPr>
        <w:ind w:left="1080" w:hanging="360"/>
      </w:pPr>
      <w:rPr>
        <w:rFonts w:ascii="Symbol" w:hAnsi="Symbol"/>
      </w:rPr>
    </w:lvl>
    <w:lvl w:ilvl="8" w:tplc="2A5440FC">
      <w:start w:val="1"/>
      <w:numFmt w:val="bullet"/>
      <w:lvlText w:val=""/>
      <w:lvlJc w:val="left"/>
      <w:pPr>
        <w:ind w:left="1080" w:hanging="360"/>
      </w:pPr>
      <w:rPr>
        <w:rFonts w:ascii="Symbol" w:hAnsi="Symbol"/>
      </w:rPr>
    </w:lvl>
  </w:abstractNum>
  <w:abstractNum w:abstractNumId="477" w15:restartNumberingAfterBreak="0">
    <w:nsid w:val="61D023FB"/>
    <w:multiLevelType w:val="hybridMultilevel"/>
    <w:tmpl w:val="F2F8A860"/>
    <w:lvl w:ilvl="0" w:tplc="D3F85488">
      <w:start w:val="1"/>
      <w:numFmt w:val="bullet"/>
      <w:lvlText w:val=""/>
      <w:lvlJc w:val="left"/>
      <w:pPr>
        <w:ind w:left="360" w:hanging="360"/>
      </w:pPr>
      <w:rPr>
        <w:rFonts w:ascii="Symbol" w:hAnsi="Symbol" w:hint="default"/>
        <w:sz w:val="22"/>
        <w:szCs w:val="22"/>
      </w:rPr>
    </w:lvl>
    <w:lvl w:ilvl="1" w:tplc="37A8B2AA">
      <w:start w:val="1"/>
      <w:numFmt w:val="bullet"/>
      <w:lvlText w:val="o"/>
      <w:lvlJc w:val="left"/>
      <w:pPr>
        <w:ind w:left="1080" w:hanging="360"/>
      </w:pPr>
      <w:rPr>
        <w:rFonts w:ascii="Courier New" w:hAnsi="Courier New" w:hint="default"/>
      </w:rPr>
    </w:lvl>
    <w:lvl w:ilvl="2" w:tplc="BF828BC2">
      <w:start w:val="1"/>
      <w:numFmt w:val="bullet"/>
      <w:lvlText w:val=""/>
      <w:lvlJc w:val="left"/>
      <w:pPr>
        <w:ind w:left="1800" w:hanging="360"/>
      </w:pPr>
      <w:rPr>
        <w:rFonts w:ascii="Wingdings" w:hAnsi="Wingdings" w:hint="default"/>
      </w:rPr>
    </w:lvl>
    <w:lvl w:ilvl="3" w:tplc="1DF81974" w:tentative="1">
      <w:start w:val="1"/>
      <w:numFmt w:val="bullet"/>
      <w:lvlText w:val=""/>
      <w:lvlJc w:val="left"/>
      <w:pPr>
        <w:ind w:left="2520" w:hanging="360"/>
      </w:pPr>
      <w:rPr>
        <w:rFonts w:ascii="Symbol" w:hAnsi="Symbol" w:hint="default"/>
      </w:rPr>
    </w:lvl>
    <w:lvl w:ilvl="4" w:tplc="C7C8F01A" w:tentative="1">
      <w:start w:val="1"/>
      <w:numFmt w:val="bullet"/>
      <w:lvlText w:val="o"/>
      <w:lvlJc w:val="left"/>
      <w:pPr>
        <w:ind w:left="3240" w:hanging="360"/>
      </w:pPr>
      <w:rPr>
        <w:rFonts w:ascii="Courier New" w:hAnsi="Courier New" w:hint="default"/>
      </w:rPr>
    </w:lvl>
    <w:lvl w:ilvl="5" w:tplc="B49A2A84" w:tentative="1">
      <w:start w:val="1"/>
      <w:numFmt w:val="bullet"/>
      <w:lvlText w:val=""/>
      <w:lvlJc w:val="left"/>
      <w:pPr>
        <w:ind w:left="3960" w:hanging="360"/>
      </w:pPr>
      <w:rPr>
        <w:rFonts w:ascii="Wingdings" w:hAnsi="Wingdings" w:hint="default"/>
      </w:rPr>
    </w:lvl>
    <w:lvl w:ilvl="6" w:tplc="77F6B206" w:tentative="1">
      <w:start w:val="1"/>
      <w:numFmt w:val="bullet"/>
      <w:lvlText w:val=""/>
      <w:lvlJc w:val="left"/>
      <w:pPr>
        <w:ind w:left="4680" w:hanging="360"/>
      </w:pPr>
      <w:rPr>
        <w:rFonts w:ascii="Symbol" w:hAnsi="Symbol" w:hint="default"/>
      </w:rPr>
    </w:lvl>
    <w:lvl w:ilvl="7" w:tplc="2828D3DA" w:tentative="1">
      <w:start w:val="1"/>
      <w:numFmt w:val="bullet"/>
      <w:lvlText w:val="o"/>
      <w:lvlJc w:val="left"/>
      <w:pPr>
        <w:ind w:left="5400" w:hanging="360"/>
      </w:pPr>
      <w:rPr>
        <w:rFonts w:ascii="Courier New" w:hAnsi="Courier New" w:hint="default"/>
      </w:rPr>
    </w:lvl>
    <w:lvl w:ilvl="8" w:tplc="0A6A0972" w:tentative="1">
      <w:start w:val="1"/>
      <w:numFmt w:val="bullet"/>
      <w:lvlText w:val=""/>
      <w:lvlJc w:val="left"/>
      <w:pPr>
        <w:ind w:left="6120" w:hanging="360"/>
      </w:pPr>
      <w:rPr>
        <w:rFonts w:ascii="Wingdings" w:hAnsi="Wingdings" w:hint="default"/>
      </w:rPr>
    </w:lvl>
  </w:abstractNum>
  <w:abstractNum w:abstractNumId="478" w15:restartNumberingAfterBreak="0">
    <w:nsid w:val="622D2602"/>
    <w:multiLevelType w:val="hybridMultilevel"/>
    <w:tmpl w:val="96DCDD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9" w15:restartNumberingAfterBreak="0">
    <w:nsid w:val="625D62CE"/>
    <w:multiLevelType w:val="multilevel"/>
    <w:tmpl w:val="AEFEE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278610E"/>
    <w:multiLevelType w:val="multilevel"/>
    <w:tmpl w:val="648E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B91931"/>
    <w:multiLevelType w:val="hybridMultilevel"/>
    <w:tmpl w:val="67A4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62D42AE9"/>
    <w:multiLevelType w:val="hybridMultilevel"/>
    <w:tmpl w:val="DE20EA66"/>
    <w:lvl w:ilvl="0" w:tplc="8410E878">
      <w:start w:val="1"/>
      <w:numFmt w:val="bullet"/>
      <w:lvlText w:val=""/>
      <w:lvlJc w:val="left"/>
      <w:pPr>
        <w:ind w:left="720" w:hanging="360"/>
      </w:pPr>
      <w:rPr>
        <w:rFonts w:ascii="Symbol" w:hAnsi="Symbol" w:hint="default"/>
      </w:rPr>
    </w:lvl>
    <w:lvl w:ilvl="1" w:tplc="E97E21D4" w:tentative="1">
      <w:start w:val="1"/>
      <w:numFmt w:val="bullet"/>
      <w:lvlText w:val="o"/>
      <w:lvlJc w:val="left"/>
      <w:pPr>
        <w:ind w:left="1440" w:hanging="360"/>
      </w:pPr>
      <w:rPr>
        <w:rFonts w:ascii="Courier New" w:hAnsi="Courier New" w:hint="default"/>
      </w:rPr>
    </w:lvl>
    <w:lvl w:ilvl="2" w:tplc="39420F3C" w:tentative="1">
      <w:start w:val="1"/>
      <w:numFmt w:val="bullet"/>
      <w:lvlText w:val=""/>
      <w:lvlJc w:val="left"/>
      <w:pPr>
        <w:ind w:left="2160" w:hanging="360"/>
      </w:pPr>
      <w:rPr>
        <w:rFonts w:ascii="Wingdings" w:hAnsi="Wingdings" w:hint="default"/>
      </w:rPr>
    </w:lvl>
    <w:lvl w:ilvl="3" w:tplc="BF7EDF72" w:tentative="1">
      <w:start w:val="1"/>
      <w:numFmt w:val="bullet"/>
      <w:lvlText w:val=""/>
      <w:lvlJc w:val="left"/>
      <w:pPr>
        <w:ind w:left="2880" w:hanging="360"/>
      </w:pPr>
      <w:rPr>
        <w:rFonts w:ascii="Symbol" w:hAnsi="Symbol" w:hint="default"/>
      </w:rPr>
    </w:lvl>
    <w:lvl w:ilvl="4" w:tplc="A80E8FA4" w:tentative="1">
      <w:start w:val="1"/>
      <w:numFmt w:val="bullet"/>
      <w:lvlText w:val="o"/>
      <w:lvlJc w:val="left"/>
      <w:pPr>
        <w:ind w:left="3600" w:hanging="360"/>
      </w:pPr>
      <w:rPr>
        <w:rFonts w:ascii="Courier New" w:hAnsi="Courier New" w:hint="default"/>
      </w:rPr>
    </w:lvl>
    <w:lvl w:ilvl="5" w:tplc="F334D576" w:tentative="1">
      <w:start w:val="1"/>
      <w:numFmt w:val="bullet"/>
      <w:lvlText w:val=""/>
      <w:lvlJc w:val="left"/>
      <w:pPr>
        <w:ind w:left="4320" w:hanging="360"/>
      </w:pPr>
      <w:rPr>
        <w:rFonts w:ascii="Wingdings" w:hAnsi="Wingdings" w:hint="default"/>
      </w:rPr>
    </w:lvl>
    <w:lvl w:ilvl="6" w:tplc="85F46C2C" w:tentative="1">
      <w:start w:val="1"/>
      <w:numFmt w:val="bullet"/>
      <w:lvlText w:val=""/>
      <w:lvlJc w:val="left"/>
      <w:pPr>
        <w:ind w:left="5040" w:hanging="360"/>
      </w:pPr>
      <w:rPr>
        <w:rFonts w:ascii="Symbol" w:hAnsi="Symbol" w:hint="default"/>
      </w:rPr>
    </w:lvl>
    <w:lvl w:ilvl="7" w:tplc="35300396" w:tentative="1">
      <w:start w:val="1"/>
      <w:numFmt w:val="bullet"/>
      <w:lvlText w:val="o"/>
      <w:lvlJc w:val="left"/>
      <w:pPr>
        <w:ind w:left="5760" w:hanging="360"/>
      </w:pPr>
      <w:rPr>
        <w:rFonts w:ascii="Courier New" w:hAnsi="Courier New" w:hint="default"/>
      </w:rPr>
    </w:lvl>
    <w:lvl w:ilvl="8" w:tplc="01046200" w:tentative="1">
      <w:start w:val="1"/>
      <w:numFmt w:val="bullet"/>
      <w:lvlText w:val=""/>
      <w:lvlJc w:val="left"/>
      <w:pPr>
        <w:ind w:left="6480" w:hanging="360"/>
      </w:pPr>
      <w:rPr>
        <w:rFonts w:ascii="Wingdings" w:hAnsi="Wingdings" w:hint="default"/>
      </w:rPr>
    </w:lvl>
  </w:abstractNum>
  <w:abstractNum w:abstractNumId="483" w15:restartNumberingAfterBreak="0">
    <w:nsid w:val="632719FC"/>
    <w:multiLevelType w:val="hybridMultilevel"/>
    <w:tmpl w:val="3CE0DD7A"/>
    <w:lvl w:ilvl="0" w:tplc="A76E9E7A">
      <w:start w:val="1"/>
      <w:numFmt w:val="bullet"/>
      <w:lvlText w:val=""/>
      <w:lvlJc w:val="left"/>
      <w:pPr>
        <w:ind w:left="720" w:hanging="360"/>
      </w:pPr>
      <w:rPr>
        <w:rFonts w:ascii="Symbol" w:hAnsi="Symbol" w:hint="default"/>
      </w:rPr>
    </w:lvl>
    <w:lvl w:ilvl="1" w:tplc="42726170" w:tentative="1">
      <w:start w:val="1"/>
      <w:numFmt w:val="bullet"/>
      <w:lvlText w:val="o"/>
      <w:lvlJc w:val="left"/>
      <w:pPr>
        <w:ind w:left="1440" w:hanging="360"/>
      </w:pPr>
      <w:rPr>
        <w:rFonts w:ascii="Courier New" w:hAnsi="Courier New" w:hint="default"/>
      </w:rPr>
    </w:lvl>
    <w:lvl w:ilvl="2" w:tplc="5906A110" w:tentative="1">
      <w:start w:val="1"/>
      <w:numFmt w:val="bullet"/>
      <w:lvlText w:val=""/>
      <w:lvlJc w:val="left"/>
      <w:pPr>
        <w:ind w:left="2160" w:hanging="360"/>
      </w:pPr>
      <w:rPr>
        <w:rFonts w:ascii="Wingdings" w:hAnsi="Wingdings" w:hint="default"/>
      </w:rPr>
    </w:lvl>
    <w:lvl w:ilvl="3" w:tplc="8182EA32" w:tentative="1">
      <w:start w:val="1"/>
      <w:numFmt w:val="bullet"/>
      <w:lvlText w:val=""/>
      <w:lvlJc w:val="left"/>
      <w:pPr>
        <w:ind w:left="2880" w:hanging="360"/>
      </w:pPr>
      <w:rPr>
        <w:rFonts w:ascii="Symbol" w:hAnsi="Symbol" w:hint="default"/>
      </w:rPr>
    </w:lvl>
    <w:lvl w:ilvl="4" w:tplc="1018C444" w:tentative="1">
      <w:start w:val="1"/>
      <w:numFmt w:val="bullet"/>
      <w:lvlText w:val="o"/>
      <w:lvlJc w:val="left"/>
      <w:pPr>
        <w:ind w:left="3600" w:hanging="360"/>
      </w:pPr>
      <w:rPr>
        <w:rFonts w:ascii="Courier New" w:hAnsi="Courier New" w:hint="default"/>
      </w:rPr>
    </w:lvl>
    <w:lvl w:ilvl="5" w:tplc="FCBC4B8C" w:tentative="1">
      <w:start w:val="1"/>
      <w:numFmt w:val="bullet"/>
      <w:lvlText w:val=""/>
      <w:lvlJc w:val="left"/>
      <w:pPr>
        <w:ind w:left="4320" w:hanging="360"/>
      </w:pPr>
      <w:rPr>
        <w:rFonts w:ascii="Wingdings" w:hAnsi="Wingdings" w:hint="default"/>
      </w:rPr>
    </w:lvl>
    <w:lvl w:ilvl="6" w:tplc="D300574E" w:tentative="1">
      <w:start w:val="1"/>
      <w:numFmt w:val="bullet"/>
      <w:lvlText w:val=""/>
      <w:lvlJc w:val="left"/>
      <w:pPr>
        <w:ind w:left="5040" w:hanging="360"/>
      </w:pPr>
      <w:rPr>
        <w:rFonts w:ascii="Symbol" w:hAnsi="Symbol" w:hint="default"/>
      </w:rPr>
    </w:lvl>
    <w:lvl w:ilvl="7" w:tplc="DB48D7FA" w:tentative="1">
      <w:start w:val="1"/>
      <w:numFmt w:val="bullet"/>
      <w:lvlText w:val="o"/>
      <w:lvlJc w:val="left"/>
      <w:pPr>
        <w:ind w:left="5760" w:hanging="360"/>
      </w:pPr>
      <w:rPr>
        <w:rFonts w:ascii="Courier New" w:hAnsi="Courier New" w:hint="default"/>
      </w:rPr>
    </w:lvl>
    <w:lvl w:ilvl="8" w:tplc="3D5C515A" w:tentative="1">
      <w:start w:val="1"/>
      <w:numFmt w:val="bullet"/>
      <w:lvlText w:val=""/>
      <w:lvlJc w:val="left"/>
      <w:pPr>
        <w:ind w:left="6480" w:hanging="360"/>
      </w:pPr>
      <w:rPr>
        <w:rFonts w:ascii="Wingdings" w:hAnsi="Wingdings" w:hint="default"/>
      </w:rPr>
    </w:lvl>
  </w:abstractNum>
  <w:abstractNum w:abstractNumId="484" w15:restartNumberingAfterBreak="0">
    <w:nsid w:val="63627FD7"/>
    <w:multiLevelType w:val="hybridMultilevel"/>
    <w:tmpl w:val="7C6A73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5" w15:restartNumberingAfterBreak="0">
    <w:nsid w:val="638F3075"/>
    <w:multiLevelType w:val="hybridMultilevel"/>
    <w:tmpl w:val="87E02F9E"/>
    <w:lvl w:ilvl="0" w:tplc="12E2EEE0">
      <w:start w:val="1"/>
      <w:numFmt w:val="bullet"/>
      <w:lvlText w:val=""/>
      <w:lvlJc w:val="left"/>
      <w:pPr>
        <w:ind w:left="720" w:hanging="360"/>
      </w:pPr>
      <w:rPr>
        <w:rFonts w:ascii="Symbol" w:hAnsi="Symbol" w:hint="default"/>
      </w:rPr>
    </w:lvl>
    <w:lvl w:ilvl="1" w:tplc="99C6ECB2" w:tentative="1">
      <w:start w:val="1"/>
      <w:numFmt w:val="bullet"/>
      <w:lvlText w:val="o"/>
      <w:lvlJc w:val="left"/>
      <w:pPr>
        <w:ind w:left="1440" w:hanging="360"/>
      </w:pPr>
      <w:rPr>
        <w:rFonts w:ascii="Courier New" w:hAnsi="Courier New" w:hint="default"/>
      </w:rPr>
    </w:lvl>
    <w:lvl w:ilvl="2" w:tplc="296EBF92" w:tentative="1">
      <w:start w:val="1"/>
      <w:numFmt w:val="bullet"/>
      <w:lvlText w:val=""/>
      <w:lvlJc w:val="left"/>
      <w:pPr>
        <w:ind w:left="2160" w:hanging="360"/>
      </w:pPr>
      <w:rPr>
        <w:rFonts w:ascii="Wingdings" w:hAnsi="Wingdings" w:hint="default"/>
      </w:rPr>
    </w:lvl>
    <w:lvl w:ilvl="3" w:tplc="BE16C55C" w:tentative="1">
      <w:start w:val="1"/>
      <w:numFmt w:val="bullet"/>
      <w:lvlText w:val=""/>
      <w:lvlJc w:val="left"/>
      <w:pPr>
        <w:ind w:left="2880" w:hanging="360"/>
      </w:pPr>
      <w:rPr>
        <w:rFonts w:ascii="Symbol" w:hAnsi="Symbol" w:hint="default"/>
      </w:rPr>
    </w:lvl>
    <w:lvl w:ilvl="4" w:tplc="D3E6CEC6" w:tentative="1">
      <w:start w:val="1"/>
      <w:numFmt w:val="bullet"/>
      <w:lvlText w:val="o"/>
      <w:lvlJc w:val="left"/>
      <w:pPr>
        <w:ind w:left="3600" w:hanging="360"/>
      </w:pPr>
      <w:rPr>
        <w:rFonts w:ascii="Courier New" w:hAnsi="Courier New" w:hint="default"/>
      </w:rPr>
    </w:lvl>
    <w:lvl w:ilvl="5" w:tplc="18782F8E" w:tentative="1">
      <w:start w:val="1"/>
      <w:numFmt w:val="bullet"/>
      <w:lvlText w:val=""/>
      <w:lvlJc w:val="left"/>
      <w:pPr>
        <w:ind w:left="4320" w:hanging="360"/>
      </w:pPr>
      <w:rPr>
        <w:rFonts w:ascii="Wingdings" w:hAnsi="Wingdings" w:hint="default"/>
      </w:rPr>
    </w:lvl>
    <w:lvl w:ilvl="6" w:tplc="B58419E8" w:tentative="1">
      <w:start w:val="1"/>
      <w:numFmt w:val="bullet"/>
      <w:lvlText w:val=""/>
      <w:lvlJc w:val="left"/>
      <w:pPr>
        <w:ind w:left="5040" w:hanging="360"/>
      </w:pPr>
      <w:rPr>
        <w:rFonts w:ascii="Symbol" w:hAnsi="Symbol" w:hint="default"/>
      </w:rPr>
    </w:lvl>
    <w:lvl w:ilvl="7" w:tplc="173835A8" w:tentative="1">
      <w:start w:val="1"/>
      <w:numFmt w:val="bullet"/>
      <w:lvlText w:val="o"/>
      <w:lvlJc w:val="left"/>
      <w:pPr>
        <w:ind w:left="5760" w:hanging="360"/>
      </w:pPr>
      <w:rPr>
        <w:rFonts w:ascii="Courier New" w:hAnsi="Courier New" w:hint="default"/>
      </w:rPr>
    </w:lvl>
    <w:lvl w:ilvl="8" w:tplc="D3B2F05A" w:tentative="1">
      <w:start w:val="1"/>
      <w:numFmt w:val="bullet"/>
      <w:lvlText w:val=""/>
      <w:lvlJc w:val="left"/>
      <w:pPr>
        <w:ind w:left="6480" w:hanging="360"/>
      </w:pPr>
      <w:rPr>
        <w:rFonts w:ascii="Wingdings" w:hAnsi="Wingdings" w:hint="default"/>
      </w:rPr>
    </w:lvl>
  </w:abstractNum>
  <w:abstractNum w:abstractNumId="486" w15:restartNumberingAfterBreak="0">
    <w:nsid w:val="642411CD"/>
    <w:multiLevelType w:val="multilevel"/>
    <w:tmpl w:val="55BC82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7" w15:restartNumberingAfterBreak="0">
    <w:nsid w:val="6440352F"/>
    <w:multiLevelType w:val="hybridMultilevel"/>
    <w:tmpl w:val="E72ACB7E"/>
    <w:lvl w:ilvl="0" w:tplc="00089814">
      <w:start w:val="1"/>
      <w:numFmt w:val="bullet"/>
      <w:lvlText w:val=""/>
      <w:lvlJc w:val="left"/>
      <w:pPr>
        <w:ind w:left="360" w:hanging="360"/>
      </w:pPr>
      <w:rPr>
        <w:rFonts w:ascii="Symbol" w:hAnsi="Symbol" w:hint="default"/>
      </w:rPr>
    </w:lvl>
    <w:lvl w:ilvl="1" w:tplc="B8CE3D08" w:tentative="1">
      <w:start w:val="1"/>
      <w:numFmt w:val="bullet"/>
      <w:lvlText w:val="o"/>
      <w:lvlJc w:val="left"/>
      <w:pPr>
        <w:ind w:left="1080" w:hanging="360"/>
      </w:pPr>
      <w:rPr>
        <w:rFonts w:ascii="Courier New" w:hAnsi="Courier New" w:hint="default"/>
      </w:rPr>
    </w:lvl>
    <w:lvl w:ilvl="2" w:tplc="BA9EF5A2" w:tentative="1">
      <w:start w:val="1"/>
      <w:numFmt w:val="bullet"/>
      <w:lvlText w:val=""/>
      <w:lvlJc w:val="left"/>
      <w:pPr>
        <w:ind w:left="1800" w:hanging="360"/>
      </w:pPr>
      <w:rPr>
        <w:rFonts w:ascii="Wingdings" w:hAnsi="Wingdings" w:hint="default"/>
      </w:rPr>
    </w:lvl>
    <w:lvl w:ilvl="3" w:tplc="CB2E4928" w:tentative="1">
      <w:start w:val="1"/>
      <w:numFmt w:val="bullet"/>
      <w:lvlText w:val=""/>
      <w:lvlJc w:val="left"/>
      <w:pPr>
        <w:ind w:left="2520" w:hanging="360"/>
      </w:pPr>
      <w:rPr>
        <w:rFonts w:ascii="Symbol" w:hAnsi="Symbol" w:hint="default"/>
      </w:rPr>
    </w:lvl>
    <w:lvl w:ilvl="4" w:tplc="D7E878D8" w:tentative="1">
      <w:start w:val="1"/>
      <w:numFmt w:val="bullet"/>
      <w:lvlText w:val="o"/>
      <w:lvlJc w:val="left"/>
      <w:pPr>
        <w:ind w:left="3240" w:hanging="360"/>
      </w:pPr>
      <w:rPr>
        <w:rFonts w:ascii="Courier New" w:hAnsi="Courier New" w:hint="default"/>
      </w:rPr>
    </w:lvl>
    <w:lvl w:ilvl="5" w:tplc="7AB4DE3E" w:tentative="1">
      <w:start w:val="1"/>
      <w:numFmt w:val="bullet"/>
      <w:lvlText w:val=""/>
      <w:lvlJc w:val="left"/>
      <w:pPr>
        <w:ind w:left="3960" w:hanging="360"/>
      </w:pPr>
      <w:rPr>
        <w:rFonts w:ascii="Wingdings" w:hAnsi="Wingdings" w:hint="default"/>
      </w:rPr>
    </w:lvl>
    <w:lvl w:ilvl="6" w:tplc="8DF80456" w:tentative="1">
      <w:start w:val="1"/>
      <w:numFmt w:val="bullet"/>
      <w:lvlText w:val=""/>
      <w:lvlJc w:val="left"/>
      <w:pPr>
        <w:ind w:left="4680" w:hanging="360"/>
      </w:pPr>
      <w:rPr>
        <w:rFonts w:ascii="Symbol" w:hAnsi="Symbol" w:hint="default"/>
      </w:rPr>
    </w:lvl>
    <w:lvl w:ilvl="7" w:tplc="D90C3FCC" w:tentative="1">
      <w:start w:val="1"/>
      <w:numFmt w:val="bullet"/>
      <w:lvlText w:val="o"/>
      <w:lvlJc w:val="left"/>
      <w:pPr>
        <w:ind w:left="5400" w:hanging="360"/>
      </w:pPr>
      <w:rPr>
        <w:rFonts w:ascii="Courier New" w:hAnsi="Courier New" w:hint="default"/>
      </w:rPr>
    </w:lvl>
    <w:lvl w:ilvl="8" w:tplc="E4727F3C" w:tentative="1">
      <w:start w:val="1"/>
      <w:numFmt w:val="bullet"/>
      <w:lvlText w:val=""/>
      <w:lvlJc w:val="left"/>
      <w:pPr>
        <w:ind w:left="6120" w:hanging="360"/>
      </w:pPr>
      <w:rPr>
        <w:rFonts w:ascii="Wingdings" w:hAnsi="Wingdings" w:hint="default"/>
      </w:rPr>
    </w:lvl>
  </w:abstractNum>
  <w:abstractNum w:abstractNumId="488" w15:restartNumberingAfterBreak="0">
    <w:nsid w:val="64972E10"/>
    <w:multiLevelType w:val="hybridMultilevel"/>
    <w:tmpl w:val="CD2246A0"/>
    <w:lvl w:ilvl="0" w:tplc="C02CE154">
      <w:start w:val="1"/>
      <w:numFmt w:val="bullet"/>
      <w:lvlText w:val=""/>
      <w:lvlJc w:val="left"/>
      <w:pPr>
        <w:ind w:left="720" w:hanging="360"/>
      </w:pPr>
      <w:rPr>
        <w:rFonts w:ascii="Symbol" w:hAnsi="Symbol" w:hint="default"/>
      </w:rPr>
    </w:lvl>
    <w:lvl w:ilvl="1" w:tplc="DACA0824" w:tentative="1">
      <w:start w:val="1"/>
      <w:numFmt w:val="bullet"/>
      <w:lvlText w:val="o"/>
      <w:lvlJc w:val="left"/>
      <w:pPr>
        <w:ind w:left="1440" w:hanging="360"/>
      </w:pPr>
      <w:rPr>
        <w:rFonts w:ascii="Courier New" w:hAnsi="Courier New" w:hint="default"/>
      </w:rPr>
    </w:lvl>
    <w:lvl w:ilvl="2" w:tplc="A830AF48" w:tentative="1">
      <w:start w:val="1"/>
      <w:numFmt w:val="bullet"/>
      <w:lvlText w:val=""/>
      <w:lvlJc w:val="left"/>
      <w:pPr>
        <w:ind w:left="2160" w:hanging="360"/>
      </w:pPr>
      <w:rPr>
        <w:rFonts w:ascii="Wingdings" w:hAnsi="Wingdings" w:hint="default"/>
      </w:rPr>
    </w:lvl>
    <w:lvl w:ilvl="3" w:tplc="EAA20EE8" w:tentative="1">
      <w:start w:val="1"/>
      <w:numFmt w:val="bullet"/>
      <w:lvlText w:val=""/>
      <w:lvlJc w:val="left"/>
      <w:pPr>
        <w:ind w:left="2880" w:hanging="360"/>
      </w:pPr>
      <w:rPr>
        <w:rFonts w:ascii="Symbol" w:hAnsi="Symbol" w:hint="default"/>
      </w:rPr>
    </w:lvl>
    <w:lvl w:ilvl="4" w:tplc="3DDEDF32" w:tentative="1">
      <w:start w:val="1"/>
      <w:numFmt w:val="bullet"/>
      <w:lvlText w:val="o"/>
      <w:lvlJc w:val="left"/>
      <w:pPr>
        <w:ind w:left="3600" w:hanging="360"/>
      </w:pPr>
      <w:rPr>
        <w:rFonts w:ascii="Courier New" w:hAnsi="Courier New" w:hint="default"/>
      </w:rPr>
    </w:lvl>
    <w:lvl w:ilvl="5" w:tplc="0658D616" w:tentative="1">
      <w:start w:val="1"/>
      <w:numFmt w:val="bullet"/>
      <w:lvlText w:val=""/>
      <w:lvlJc w:val="left"/>
      <w:pPr>
        <w:ind w:left="4320" w:hanging="360"/>
      </w:pPr>
      <w:rPr>
        <w:rFonts w:ascii="Wingdings" w:hAnsi="Wingdings" w:hint="default"/>
      </w:rPr>
    </w:lvl>
    <w:lvl w:ilvl="6" w:tplc="819005C0" w:tentative="1">
      <w:start w:val="1"/>
      <w:numFmt w:val="bullet"/>
      <w:lvlText w:val=""/>
      <w:lvlJc w:val="left"/>
      <w:pPr>
        <w:ind w:left="5040" w:hanging="360"/>
      </w:pPr>
      <w:rPr>
        <w:rFonts w:ascii="Symbol" w:hAnsi="Symbol" w:hint="default"/>
      </w:rPr>
    </w:lvl>
    <w:lvl w:ilvl="7" w:tplc="D5AEF89E" w:tentative="1">
      <w:start w:val="1"/>
      <w:numFmt w:val="bullet"/>
      <w:lvlText w:val="o"/>
      <w:lvlJc w:val="left"/>
      <w:pPr>
        <w:ind w:left="5760" w:hanging="360"/>
      </w:pPr>
      <w:rPr>
        <w:rFonts w:ascii="Courier New" w:hAnsi="Courier New" w:hint="default"/>
      </w:rPr>
    </w:lvl>
    <w:lvl w:ilvl="8" w:tplc="5002D7EA" w:tentative="1">
      <w:start w:val="1"/>
      <w:numFmt w:val="bullet"/>
      <w:lvlText w:val=""/>
      <w:lvlJc w:val="left"/>
      <w:pPr>
        <w:ind w:left="6480" w:hanging="360"/>
      </w:pPr>
      <w:rPr>
        <w:rFonts w:ascii="Wingdings" w:hAnsi="Wingdings" w:hint="default"/>
      </w:rPr>
    </w:lvl>
  </w:abstractNum>
  <w:abstractNum w:abstractNumId="489" w15:restartNumberingAfterBreak="0">
    <w:nsid w:val="658A17EA"/>
    <w:multiLevelType w:val="hybridMultilevel"/>
    <w:tmpl w:val="FFFFFFFF"/>
    <w:lvl w:ilvl="0" w:tplc="0838B100">
      <w:start w:val="1"/>
      <w:numFmt w:val="bullet"/>
      <w:lvlText w:val="·"/>
      <w:lvlJc w:val="left"/>
      <w:pPr>
        <w:ind w:left="720" w:hanging="360"/>
      </w:pPr>
      <w:rPr>
        <w:rFonts w:ascii="Symbol" w:hAnsi="Symbol" w:hint="default"/>
      </w:rPr>
    </w:lvl>
    <w:lvl w:ilvl="1" w:tplc="E342E6E4">
      <w:start w:val="1"/>
      <w:numFmt w:val="bullet"/>
      <w:lvlText w:val="o"/>
      <w:lvlJc w:val="left"/>
      <w:pPr>
        <w:ind w:left="1440" w:hanging="360"/>
      </w:pPr>
      <w:rPr>
        <w:rFonts w:ascii="Courier New" w:hAnsi="Courier New" w:hint="default"/>
      </w:rPr>
    </w:lvl>
    <w:lvl w:ilvl="2" w:tplc="45C63C16">
      <w:start w:val="1"/>
      <w:numFmt w:val="bullet"/>
      <w:lvlText w:val=""/>
      <w:lvlJc w:val="left"/>
      <w:pPr>
        <w:ind w:left="2160" w:hanging="360"/>
      </w:pPr>
      <w:rPr>
        <w:rFonts w:ascii="Wingdings" w:hAnsi="Wingdings" w:hint="default"/>
      </w:rPr>
    </w:lvl>
    <w:lvl w:ilvl="3" w:tplc="658C45EC">
      <w:start w:val="1"/>
      <w:numFmt w:val="bullet"/>
      <w:lvlText w:val=""/>
      <w:lvlJc w:val="left"/>
      <w:pPr>
        <w:ind w:left="2880" w:hanging="360"/>
      </w:pPr>
      <w:rPr>
        <w:rFonts w:ascii="Symbol" w:hAnsi="Symbol" w:hint="default"/>
      </w:rPr>
    </w:lvl>
    <w:lvl w:ilvl="4" w:tplc="CF1E4BDA">
      <w:start w:val="1"/>
      <w:numFmt w:val="bullet"/>
      <w:lvlText w:val="o"/>
      <w:lvlJc w:val="left"/>
      <w:pPr>
        <w:ind w:left="3600" w:hanging="360"/>
      </w:pPr>
      <w:rPr>
        <w:rFonts w:ascii="Courier New" w:hAnsi="Courier New" w:hint="default"/>
      </w:rPr>
    </w:lvl>
    <w:lvl w:ilvl="5" w:tplc="528AFDBE">
      <w:start w:val="1"/>
      <w:numFmt w:val="bullet"/>
      <w:lvlText w:val=""/>
      <w:lvlJc w:val="left"/>
      <w:pPr>
        <w:ind w:left="4320" w:hanging="360"/>
      </w:pPr>
      <w:rPr>
        <w:rFonts w:ascii="Wingdings" w:hAnsi="Wingdings" w:hint="default"/>
      </w:rPr>
    </w:lvl>
    <w:lvl w:ilvl="6" w:tplc="EA765E5C">
      <w:start w:val="1"/>
      <w:numFmt w:val="bullet"/>
      <w:lvlText w:val=""/>
      <w:lvlJc w:val="left"/>
      <w:pPr>
        <w:ind w:left="5040" w:hanging="360"/>
      </w:pPr>
      <w:rPr>
        <w:rFonts w:ascii="Symbol" w:hAnsi="Symbol" w:hint="default"/>
      </w:rPr>
    </w:lvl>
    <w:lvl w:ilvl="7" w:tplc="4EC0A080">
      <w:start w:val="1"/>
      <w:numFmt w:val="bullet"/>
      <w:lvlText w:val="o"/>
      <w:lvlJc w:val="left"/>
      <w:pPr>
        <w:ind w:left="5760" w:hanging="360"/>
      </w:pPr>
      <w:rPr>
        <w:rFonts w:ascii="Courier New" w:hAnsi="Courier New" w:hint="default"/>
      </w:rPr>
    </w:lvl>
    <w:lvl w:ilvl="8" w:tplc="E5BE299A">
      <w:start w:val="1"/>
      <w:numFmt w:val="bullet"/>
      <w:lvlText w:val=""/>
      <w:lvlJc w:val="left"/>
      <w:pPr>
        <w:ind w:left="6480" w:hanging="360"/>
      </w:pPr>
      <w:rPr>
        <w:rFonts w:ascii="Wingdings" w:hAnsi="Wingdings" w:hint="default"/>
      </w:rPr>
    </w:lvl>
  </w:abstractNum>
  <w:abstractNum w:abstractNumId="490" w15:restartNumberingAfterBreak="0">
    <w:nsid w:val="65955340"/>
    <w:multiLevelType w:val="hybridMultilevel"/>
    <w:tmpl w:val="A566A2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1" w15:restartNumberingAfterBreak="0">
    <w:nsid w:val="659A0DA7"/>
    <w:multiLevelType w:val="hybridMultilevel"/>
    <w:tmpl w:val="E51A97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2" w15:restartNumberingAfterBreak="0">
    <w:nsid w:val="65E00551"/>
    <w:multiLevelType w:val="multilevel"/>
    <w:tmpl w:val="5FCCA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65E127A0"/>
    <w:multiLevelType w:val="multilevel"/>
    <w:tmpl w:val="DCB6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06422E"/>
    <w:multiLevelType w:val="hybridMultilevel"/>
    <w:tmpl w:val="54EA00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5" w15:restartNumberingAfterBreak="0">
    <w:nsid w:val="661047AB"/>
    <w:multiLevelType w:val="hybridMultilevel"/>
    <w:tmpl w:val="810897A0"/>
    <w:lvl w:ilvl="0" w:tplc="C94E377A">
      <w:start w:val="1"/>
      <w:numFmt w:val="bullet"/>
      <w:lvlText w:val=""/>
      <w:lvlJc w:val="left"/>
      <w:pPr>
        <w:ind w:left="720" w:hanging="360"/>
      </w:pPr>
      <w:rPr>
        <w:rFonts w:ascii="Symbol" w:hAnsi="Symbol" w:hint="default"/>
      </w:rPr>
    </w:lvl>
    <w:lvl w:ilvl="1" w:tplc="C554B734" w:tentative="1">
      <w:start w:val="1"/>
      <w:numFmt w:val="bullet"/>
      <w:lvlText w:val="o"/>
      <w:lvlJc w:val="left"/>
      <w:pPr>
        <w:ind w:left="1440" w:hanging="360"/>
      </w:pPr>
      <w:rPr>
        <w:rFonts w:ascii="Courier New" w:hAnsi="Courier New" w:hint="default"/>
      </w:rPr>
    </w:lvl>
    <w:lvl w:ilvl="2" w:tplc="E1CAA872" w:tentative="1">
      <w:start w:val="1"/>
      <w:numFmt w:val="bullet"/>
      <w:lvlText w:val=""/>
      <w:lvlJc w:val="left"/>
      <w:pPr>
        <w:ind w:left="2160" w:hanging="360"/>
      </w:pPr>
      <w:rPr>
        <w:rFonts w:ascii="Wingdings" w:hAnsi="Wingdings" w:hint="default"/>
      </w:rPr>
    </w:lvl>
    <w:lvl w:ilvl="3" w:tplc="D0306658" w:tentative="1">
      <w:start w:val="1"/>
      <w:numFmt w:val="bullet"/>
      <w:lvlText w:val=""/>
      <w:lvlJc w:val="left"/>
      <w:pPr>
        <w:ind w:left="2880" w:hanging="360"/>
      </w:pPr>
      <w:rPr>
        <w:rFonts w:ascii="Symbol" w:hAnsi="Symbol" w:hint="default"/>
      </w:rPr>
    </w:lvl>
    <w:lvl w:ilvl="4" w:tplc="A8C4FE06" w:tentative="1">
      <w:start w:val="1"/>
      <w:numFmt w:val="bullet"/>
      <w:lvlText w:val="o"/>
      <w:lvlJc w:val="left"/>
      <w:pPr>
        <w:ind w:left="3600" w:hanging="360"/>
      </w:pPr>
      <w:rPr>
        <w:rFonts w:ascii="Courier New" w:hAnsi="Courier New" w:hint="default"/>
      </w:rPr>
    </w:lvl>
    <w:lvl w:ilvl="5" w:tplc="C9BEF470" w:tentative="1">
      <w:start w:val="1"/>
      <w:numFmt w:val="bullet"/>
      <w:lvlText w:val=""/>
      <w:lvlJc w:val="left"/>
      <w:pPr>
        <w:ind w:left="4320" w:hanging="360"/>
      </w:pPr>
      <w:rPr>
        <w:rFonts w:ascii="Wingdings" w:hAnsi="Wingdings" w:hint="default"/>
      </w:rPr>
    </w:lvl>
    <w:lvl w:ilvl="6" w:tplc="075007AA" w:tentative="1">
      <w:start w:val="1"/>
      <w:numFmt w:val="bullet"/>
      <w:lvlText w:val=""/>
      <w:lvlJc w:val="left"/>
      <w:pPr>
        <w:ind w:left="5040" w:hanging="360"/>
      </w:pPr>
      <w:rPr>
        <w:rFonts w:ascii="Symbol" w:hAnsi="Symbol" w:hint="default"/>
      </w:rPr>
    </w:lvl>
    <w:lvl w:ilvl="7" w:tplc="4A74A81E" w:tentative="1">
      <w:start w:val="1"/>
      <w:numFmt w:val="bullet"/>
      <w:lvlText w:val="o"/>
      <w:lvlJc w:val="left"/>
      <w:pPr>
        <w:ind w:left="5760" w:hanging="360"/>
      </w:pPr>
      <w:rPr>
        <w:rFonts w:ascii="Courier New" w:hAnsi="Courier New" w:hint="default"/>
      </w:rPr>
    </w:lvl>
    <w:lvl w:ilvl="8" w:tplc="39365148" w:tentative="1">
      <w:start w:val="1"/>
      <w:numFmt w:val="bullet"/>
      <w:lvlText w:val=""/>
      <w:lvlJc w:val="left"/>
      <w:pPr>
        <w:ind w:left="6480" w:hanging="360"/>
      </w:pPr>
      <w:rPr>
        <w:rFonts w:ascii="Wingdings" w:hAnsi="Wingdings" w:hint="default"/>
      </w:rPr>
    </w:lvl>
  </w:abstractNum>
  <w:abstractNum w:abstractNumId="496" w15:restartNumberingAfterBreak="0">
    <w:nsid w:val="66703222"/>
    <w:multiLevelType w:val="multilevel"/>
    <w:tmpl w:val="0FD2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4E5BCC"/>
    <w:multiLevelType w:val="multilevel"/>
    <w:tmpl w:val="C0E0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EB7421"/>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806002F"/>
    <w:multiLevelType w:val="multilevel"/>
    <w:tmpl w:val="507C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8252CA4"/>
    <w:multiLevelType w:val="hybridMultilevel"/>
    <w:tmpl w:val="7ACE91B8"/>
    <w:lvl w:ilvl="0" w:tplc="C3F40BA6">
      <w:start w:val="1"/>
      <w:numFmt w:val="bullet"/>
      <w:lvlText w:val=""/>
      <w:lvlJc w:val="left"/>
      <w:pPr>
        <w:ind w:left="1440" w:hanging="360"/>
      </w:pPr>
      <w:rPr>
        <w:rFonts w:ascii="Symbol" w:hAnsi="Symbol"/>
      </w:rPr>
    </w:lvl>
    <w:lvl w:ilvl="1" w:tplc="2E8296F8">
      <w:start w:val="1"/>
      <w:numFmt w:val="bullet"/>
      <w:lvlText w:val=""/>
      <w:lvlJc w:val="left"/>
      <w:pPr>
        <w:ind w:left="1440" w:hanging="360"/>
      </w:pPr>
      <w:rPr>
        <w:rFonts w:ascii="Symbol" w:hAnsi="Symbol"/>
      </w:rPr>
    </w:lvl>
    <w:lvl w:ilvl="2" w:tplc="24A2B9E8">
      <w:start w:val="1"/>
      <w:numFmt w:val="bullet"/>
      <w:lvlText w:val=""/>
      <w:lvlJc w:val="left"/>
      <w:pPr>
        <w:ind w:left="1440" w:hanging="360"/>
      </w:pPr>
      <w:rPr>
        <w:rFonts w:ascii="Symbol" w:hAnsi="Symbol"/>
      </w:rPr>
    </w:lvl>
    <w:lvl w:ilvl="3" w:tplc="71F412DE">
      <w:start w:val="1"/>
      <w:numFmt w:val="bullet"/>
      <w:lvlText w:val=""/>
      <w:lvlJc w:val="left"/>
      <w:pPr>
        <w:ind w:left="1440" w:hanging="360"/>
      </w:pPr>
      <w:rPr>
        <w:rFonts w:ascii="Symbol" w:hAnsi="Symbol"/>
      </w:rPr>
    </w:lvl>
    <w:lvl w:ilvl="4" w:tplc="2A1605BE">
      <w:start w:val="1"/>
      <w:numFmt w:val="bullet"/>
      <w:lvlText w:val=""/>
      <w:lvlJc w:val="left"/>
      <w:pPr>
        <w:ind w:left="1440" w:hanging="360"/>
      </w:pPr>
      <w:rPr>
        <w:rFonts w:ascii="Symbol" w:hAnsi="Symbol"/>
      </w:rPr>
    </w:lvl>
    <w:lvl w:ilvl="5" w:tplc="C1AA3E00">
      <w:start w:val="1"/>
      <w:numFmt w:val="bullet"/>
      <w:lvlText w:val=""/>
      <w:lvlJc w:val="left"/>
      <w:pPr>
        <w:ind w:left="1440" w:hanging="360"/>
      </w:pPr>
      <w:rPr>
        <w:rFonts w:ascii="Symbol" w:hAnsi="Symbol"/>
      </w:rPr>
    </w:lvl>
    <w:lvl w:ilvl="6" w:tplc="F1420856">
      <w:start w:val="1"/>
      <w:numFmt w:val="bullet"/>
      <w:lvlText w:val=""/>
      <w:lvlJc w:val="left"/>
      <w:pPr>
        <w:ind w:left="1440" w:hanging="360"/>
      </w:pPr>
      <w:rPr>
        <w:rFonts w:ascii="Symbol" w:hAnsi="Symbol"/>
      </w:rPr>
    </w:lvl>
    <w:lvl w:ilvl="7" w:tplc="0B2631D8">
      <w:start w:val="1"/>
      <w:numFmt w:val="bullet"/>
      <w:lvlText w:val=""/>
      <w:lvlJc w:val="left"/>
      <w:pPr>
        <w:ind w:left="1440" w:hanging="360"/>
      </w:pPr>
      <w:rPr>
        <w:rFonts w:ascii="Symbol" w:hAnsi="Symbol"/>
      </w:rPr>
    </w:lvl>
    <w:lvl w:ilvl="8" w:tplc="9F2A9924">
      <w:start w:val="1"/>
      <w:numFmt w:val="bullet"/>
      <w:lvlText w:val=""/>
      <w:lvlJc w:val="left"/>
      <w:pPr>
        <w:ind w:left="1440" w:hanging="360"/>
      </w:pPr>
      <w:rPr>
        <w:rFonts w:ascii="Symbol" w:hAnsi="Symbol"/>
      </w:rPr>
    </w:lvl>
  </w:abstractNum>
  <w:abstractNum w:abstractNumId="501" w15:restartNumberingAfterBreak="0">
    <w:nsid w:val="68CC3752"/>
    <w:multiLevelType w:val="hybridMultilevel"/>
    <w:tmpl w:val="E1BA3F2A"/>
    <w:lvl w:ilvl="0" w:tplc="D2EAF7CC">
      <w:start w:val="1"/>
      <w:numFmt w:val="bullet"/>
      <w:lvlText w:val=""/>
      <w:lvlJc w:val="left"/>
      <w:pPr>
        <w:ind w:left="360" w:hanging="360"/>
      </w:pPr>
      <w:rPr>
        <w:rFonts w:ascii="Symbol" w:hAnsi="Symbol" w:hint="default"/>
      </w:rPr>
    </w:lvl>
    <w:lvl w:ilvl="1" w:tplc="0A0838D8" w:tentative="1">
      <w:start w:val="1"/>
      <w:numFmt w:val="bullet"/>
      <w:lvlText w:val="o"/>
      <w:lvlJc w:val="left"/>
      <w:pPr>
        <w:ind w:left="1440" w:hanging="360"/>
      </w:pPr>
      <w:rPr>
        <w:rFonts w:ascii="Courier New" w:hAnsi="Courier New" w:hint="default"/>
      </w:rPr>
    </w:lvl>
    <w:lvl w:ilvl="2" w:tplc="4918A980" w:tentative="1">
      <w:start w:val="1"/>
      <w:numFmt w:val="bullet"/>
      <w:lvlText w:val=""/>
      <w:lvlJc w:val="left"/>
      <w:pPr>
        <w:ind w:left="2160" w:hanging="360"/>
      </w:pPr>
      <w:rPr>
        <w:rFonts w:ascii="Wingdings" w:hAnsi="Wingdings" w:hint="default"/>
      </w:rPr>
    </w:lvl>
    <w:lvl w:ilvl="3" w:tplc="3100535C" w:tentative="1">
      <w:start w:val="1"/>
      <w:numFmt w:val="bullet"/>
      <w:lvlText w:val=""/>
      <w:lvlJc w:val="left"/>
      <w:pPr>
        <w:ind w:left="2880" w:hanging="360"/>
      </w:pPr>
      <w:rPr>
        <w:rFonts w:ascii="Symbol" w:hAnsi="Symbol" w:hint="default"/>
      </w:rPr>
    </w:lvl>
    <w:lvl w:ilvl="4" w:tplc="57304524" w:tentative="1">
      <w:start w:val="1"/>
      <w:numFmt w:val="bullet"/>
      <w:lvlText w:val="o"/>
      <w:lvlJc w:val="left"/>
      <w:pPr>
        <w:ind w:left="3600" w:hanging="360"/>
      </w:pPr>
      <w:rPr>
        <w:rFonts w:ascii="Courier New" w:hAnsi="Courier New" w:hint="default"/>
      </w:rPr>
    </w:lvl>
    <w:lvl w:ilvl="5" w:tplc="FA063B1E" w:tentative="1">
      <w:start w:val="1"/>
      <w:numFmt w:val="bullet"/>
      <w:lvlText w:val=""/>
      <w:lvlJc w:val="left"/>
      <w:pPr>
        <w:ind w:left="4320" w:hanging="360"/>
      </w:pPr>
      <w:rPr>
        <w:rFonts w:ascii="Wingdings" w:hAnsi="Wingdings" w:hint="default"/>
      </w:rPr>
    </w:lvl>
    <w:lvl w:ilvl="6" w:tplc="6C44E1FA" w:tentative="1">
      <w:start w:val="1"/>
      <w:numFmt w:val="bullet"/>
      <w:lvlText w:val=""/>
      <w:lvlJc w:val="left"/>
      <w:pPr>
        <w:ind w:left="5040" w:hanging="360"/>
      </w:pPr>
      <w:rPr>
        <w:rFonts w:ascii="Symbol" w:hAnsi="Symbol" w:hint="default"/>
      </w:rPr>
    </w:lvl>
    <w:lvl w:ilvl="7" w:tplc="C8AAB48E" w:tentative="1">
      <w:start w:val="1"/>
      <w:numFmt w:val="bullet"/>
      <w:lvlText w:val="o"/>
      <w:lvlJc w:val="left"/>
      <w:pPr>
        <w:ind w:left="5760" w:hanging="360"/>
      </w:pPr>
      <w:rPr>
        <w:rFonts w:ascii="Courier New" w:hAnsi="Courier New" w:hint="default"/>
      </w:rPr>
    </w:lvl>
    <w:lvl w:ilvl="8" w:tplc="5EF08226" w:tentative="1">
      <w:start w:val="1"/>
      <w:numFmt w:val="bullet"/>
      <w:lvlText w:val=""/>
      <w:lvlJc w:val="left"/>
      <w:pPr>
        <w:ind w:left="6480" w:hanging="360"/>
      </w:pPr>
      <w:rPr>
        <w:rFonts w:ascii="Wingdings" w:hAnsi="Wingdings" w:hint="default"/>
      </w:rPr>
    </w:lvl>
  </w:abstractNum>
  <w:abstractNum w:abstractNumId="502" w15:restartNumberingAfterBreak="0">
    <w:nsid w:val="68E326E2"/>
    <w:multiLevelType w:val="hybridMultilevel"/>
    <w:tmpl w:val="AC12C8B4"/>
    <w:lvl w:ilvl="0" w:tplc="F1E8095C">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3" w15:restartNumberingAfterBreak="0">
    <w:nsid w:val="69047D21"/>
    <w:multiLevelType w:val="hybridMultilevel"/>
    <w:tmpl w:val="E250B174"/>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4" w15:restartNumberingAfterBreak="0">
    <w:nsid w:val="692871FB"/>
    <w:multiLevelType w:val="multilevel"/>
    <w:tmpl w:val="1386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9ADC719"/>
    <w:multiLevelType w:val="hybridMultilevel"/>
    <w:tmpl w:val="FFFFFFFF"/>
    <w:lvl w:ilvl="0" w:tplc="1E0C30A2">
      <w:start w:val="1"/>
      <w:numFmt w:val="bullet"/>
      <w:lvlText w:val="·"/>
      <w:lvlJc w:val="left"/>
      <w:pPr>
        <w:ind w:left="720" w:hanging="360"/>
      </w:pPr>
      <w:rPr>
        <w:rFonts w:ascii="Symbol" w:hAnsi="Symbol" w:hint="default"/>
      </w:rPr>
    </w:lvl>
    <w:lvl w:ilvl="1" w:tplc="45F06D92">
      <w:start w:val="1"/>
      <w:numFmt w:val="bullet"/>
      <w:lvlText w:val="o"/>
      <w:lvlJc w:val="left"/>
      <w:pPr>
        <w:ind w:left="1440" w:hanging="360"/>
      </w:pPr>
      <w:rPr>
        <w:rFonts w:ascii="Courier New" w:hAnsi="Courier New" w:hint="default"/>
      </w:rPr>
    </w:lvl>
    <w:lvl w:ilvl="2" w:tplc="F064AAD4">
      <w:start w:val="1"/>
      <w:numFmt w:val="bullet"/>
      <w:lvlText w:val=""/>
      <w:lvlJc w:val="left"/>
      <w:pPr>
        <w:ind w:left="2160" w:hanging="360"/>
      </w:pPr>
      <w:rPr>
        <w:rFonts w:ascii="Wingdings" w:hAnsi="Wingdings" w:hint="default"/>
      </w:rPr>
    </w:lvl>
    <w:lvl w:ilvl="3" w:tplc="3202CE32">
      <w:start w:val="1"/>
      <w:numFmt w:val="bullet"/>
      <w:lvlText w:val=""/>
      <w:lvlJc w:val="left"/>
      <w:pPr>
        <w:ind w:left="2880" w:hanging="360"/>
      </w:pPr>
      <w:rPr>
        <w:rFonts w:ascii="Symbol" w:hAnsi="Symbol" w:hint="default"/>
      </w:rPr>
    </w:lvl>
    <w:lvl w:ilvl="4" w:tplc="EBB62D48">
      <w:start w:val="1"/>
      <w:numFmt w:val="bullet"/>
      <w:lvlText w:val="o"/>
      <w:lvlJc w:val="left"/>
      <w:pPr>
        <w:ind w:left="3600" w:hanging="360"/>
      </w:pPr>
      <w:rPr>
        <w:rFonts w:ascii="Courier New" w:hAnsi="Courier New" w:hint="default"/>
      </w:rPr>
    </w:lvl>
    <w:lvl w:ilvl="5" w:tplc="A062682C">
      <w:start w:val="1"/>
      <w:numFmt w:val="bullet"/>
      <w:lvlText w:val=""/>
      <w:lvlJc w:val="left"/>
      <w:pPr>
        <w:ind w:left="4320" w:hanging="360"/>
      </w:pPr>
      <w:rPr>
        <w:rFonts w:ascii="Wingdings" w:hAnsi="Wingdings" w:hint="default"/>
      </w:rPr>
    </w:lvl>
    <w:lvl w:ilvl="6" w:tplc="DDEAEA66">
      <w:start w:val="1"/>
      <w:numFmt w:val="bullet"/>
      <w:lvlText w:val=""/>
      <w:lvlJc w:val="left"/>
      <w:pPr>
        <w:ind w:left="5040" w:hanging="360"/>
      </w:pPr>
      <w:rPr>
        <w:rFonts w:ascii="Symbol" w:hAnsi="Symbol" w:hint="default"/>
      </w:rPr>
    </w:lvl>
    <w:lvl w:ilvl="7" w:tplc="F6965CB6">
      <w:start w:val="1"/>
      <w:numFmt w:val="bullet"/>
      <w:lvlText w:val="o"/>
      <w:lvlJc w:val="left"/>
      <w:pPr>
        <w:ind w:left="5760" w:hanging="360"/>
      </w:pPr>
      <w:rPr>
        <w:rFonts w:ascii="Courier New" w:hAnsi="Courier New" w:hint="default"/>
      </w:rPr>
    </w:lvl>
    <w:lvl w:ilvl="8" w:tplc="2ED054E0">
      <w:start w:val="1"/>
      <w:numFmt w:val="bullet"/>
      <w:lvlText w:val=""/>
      <w:lvlJc w:val="left"/>
      <w:pPr>
        <w:ind w:left="6480" w:hanging="360"/>
      </w:pPr>
      <w:rPr>
        <w:rFonts w:ascii="Wingdings" w:hAnsi="Wingdings" w:hint="default"/>
      </w:rPr>
    </w:lvl>
  </w:abstractNum>
  <w:abstractNum w:abstractNumId="506" w15:restartNumberingAfterBreak="0">
    <w:nsid w:val="69BD454B"/>
    <w:multiLevelType w:val="hybridMultilevel"/>
    <w:tmpl w:val="1D92B44C"/>
    <w:lvl w:ilvl="0" w:tplc="8DCAEF4C">
      <w:start w:val="1"/>
      <w:numFmt w:val="bullet"/>
      <w:lvlText w:val=""/>
      <w:lvlJc w:val="left"/>
      <w:pPr>
        <w:ind w:left="720" w:hanging="360"/>
      </w:pPr>
      <w:rPr>
        <w:rFonts w:ascii="Symbol" w:hAnsi="Symbol" w:hint="default"/>
      </w:rPr>
    </w:lvl>
    <w:lvl w:ilvl="1" w:tplc="B75AA218" w:tentative="1">
      <w:start w:val="1"/>
      <w:numFmt w:val="bullet"/>
      <w:lvlText w:val="o"/>
      <w:lvlJc w:val="left"/>
      <w:pPr>
        <w:ind w:left="1440" w:hanging="360"/>
      </w:pPr>
      <w:rPr>
        <w:rFonts w:ascii="Courier New" w:hAnsi="Courier New" w:hint="default"/>
      </w:rPr>
    </w:lvl>
    <w:lvl w:ilvl="2" w:tplc="E9144D84" w:tentative="1">
      <w:start w:val="1"/>
      <w:numFmt w:val="bullet"/>
      <w:lvlText w:val=""/>
      <w:lvlJc w:val="left"/>
      <w:pPr>
        <w:ind w:left="2160" w:hanging="360"/>
      </w:pPr>
      <w:rPr>
        <w:rFonts w:ascii="Wingdings" w:hAnsi="Wingdings" w:hint="default"/>
      </w:rPr>
    </w:lvl>
    <w:lvl w:ilvl="3" w:tplc="3730AD5E" w:tentative="1">
      <w:start w:val="1"/>
      <w:numFmt w:val="bullet"/>
      <w:lvlText w:val=""/>
      <w:lvlJc w:val="left"/>
      <w:pPr>
        <w:ind w:left="2880" w:hanging="360"/>
      </w:pPr>
      <w:rPr>
        <w:rFonts w:ascii="Symbol" w:hAnsi="Symbol" w:hint="default"/>
      </w:rPr>
    </w:lvl>
    <w:lvl w:ilvl="4" w:tplc="70BC489C" w:tentative="1">
      <w:start w:val="1"/>
      <w:numFmt w:val="bullet"/>
      <w:lvlText w:val="o"/>
      <w:lvlJc w:val="left"/>
      <w:pPr>
        <w:ind w:left="3600" w:hanging="360"/>
      </w:pPr>
      <w:rPr>
        <w:rFonts w:ascii="Courier New" w:hAnsi="Courier New" w:hint="default"/>
      </w:rPr>
    </w:lvl>
    <w:lvl w:ilvl="5" w:tplc="D7D23BEA" w:tentative="1">
      <w:start w:val="1"/>
      <w:numFmt w:val="bullet"/>
      <w:lvlText w:val=""/>
      <w:lvlJc w:val="left"/>
      <w:pPr>
        <w:ind w:left="4320" w:hanging="360"/>
      </w:pPr>
      <w:rPr>
        <w:rFonts w:ascii="Wingdings" w:hAnsi="Wingdings" w:hint="default"/>
      </w:rPr>
    </w:lvl>
    <w:lvl w:ilvl="6" w:tplc="EF4CF98E" w:tentative="1">
      <w:start w:val="1"/>
      <w:numFmt w:val="bullet"/>
      <w:lvlText w:val=""/>
      <w:lvlJc w:val="left"/>
      <w:pPr>
        <w:ind w:left="5040" w:hanging="360"/>
      </w:pPr>
      <w:rPr>
        <w:rFonts w:ascii="Symbol" w:hAnsi="Symbol" w:hint="default"/>
      </w:rPr>
    </w:lvl>
    <w:lvl w:ilvl="7" w:tplc="4B94EF36" w:tentative="1">
      <w:start w:val="1"/>
      <w:numFmt w:val="bullet"/>
      <w:lvlText w:val="o"/>
      <w:lvlJc w:val="left"/>
      <w:pPr>
        <w:ind w:left="5760" w:hanging="360"/>
      </w:pPr>
      <w:rPr>
        <w:rFonts w:ascii="Courier New" w:hAnsi="Courier New" w:hint="default"/>
      </w:rPr>
    </w:lvl>
    <w:lvl w:ilvl="8" w:tplc="6F0A7608" w:tentative="1">
      <w:start w:val="1"/>
      <w:numFmt w:val="bullet"/>
      <w:lvlText w:val=""/>
      <w:lvlJc w:val="left"/>
      <w:pPr>
        <w:ind w:left="6480" w:hanging="360"/>
      </w:pPr>
      <w:rPr>
        <w:rFonts w:ascii="Wingdings" w:hAnsi="Wingdings" w:hint="default"/>
      </w:rPr>
    </w:lvl>
  </w:abstractNum>
  <w:abstractNum w:abstractNumId="507" w15:restartNumberingAfterBreak="0">
    <w:nsid w:val="6A1441D3"/>
    <w:multiLevelType w:val="hybridMultilevel"/>
    <w:tmpl w:val="EA08DD76"/>
    <w:lvl w:ilvl="0" w:tplc="EC8C55CA">
      <w:start w:val="1"/>
      <w:numFmt w:val="bullet"/>
      <w:lvlText w:val=""/>
      <w:lvlJc w:val="left"/>
      <w:pPr>
        <w:ind w:left="720" w:hanging="360"/>
      </w:pPr>
      <w:rPr>
        <w:rFonts w:ascii="Symbol" w:hAnsi="Symbol" w:hint="default"/>
      </w:rPr>
    </w:lvl>
    <w:lvl w:ilvl="1" w:tplc="7A22084C">
      <w:start w:val="1"/>
      <w:numFmt w:val="bullet"/>
      <w:lvlText w:val="o"/>
      <w:lvlJc w:val="left"/>
      <w:pPr>
        <w:ind w:left="1440" w:hanging="360"/>
      </w:pPr>
      <w:rPr>
        <w:rFonts w:ascii="Courier New" w:hAnsi="Courier New" w:hint="default"/>
      </w:rPr>
    </w:lvl>
    <w:lvl w:ilvl="2" w:tplc="B1A0B53E">
      <w:start w:val="1"/>
      <w:numFmt w:val="bullet"/>
      <w:lvlText w:val=""/>
      <w:lvlJc w:val="left"/>
      <w:pPr>
        <w:ind w:left="2160" w:hanging="360"/>
      </w:pPr>
      <w:rPr>
        <w:rFonts w:ascii="Wingdings" w:hAnsi="Wingdings" w:hint="default"/>
      </w:rPr>
    </w:lvl>
    <w:lvl w:ilvl="3" w:tplc="93F82704">
      <w:start w:val="1"/>
      <w:numFmt w:val="bullet"/>
      <w:lvlText w:val=""/>
      <w:lvlJc w:val="left"/>
      <w:pPr>
        <w:ind w:left="2880" w:hanging="360"/>
      </w:pPr>
      <w:rPr>
        <w:rFonts w:ascii="Symbol" w:hAnsi="Symbol" w:hint="default"/>
      </w:rPr>
    </w:lvl>
    <w:lvl w:ilvl="4" w:tplc="1E5AED2E">
      <w:start w:val="1"/>
      <w:numFmt w:val="bullet"/>
      <w:lvlText w:val="o"/>
      <w:lvlJc w:val="left"/>
      <w:pPr>
        <w:ind w:left="3600" w:hanging="360"/>
      </w:pPr>
      <w:rPr>
        <w:rFonts w:ascii="Courier New" w:hAnsi="Courier New" w:hint="default"/>
      </w:rPr>
    </w:lvl>
    <w:lvl w:ilvl="5" w:tplc="7D00E188">
      <w:start w:val="1"/>
      <w:numFmt w:val="bullet"/>
      <w:lvlText w:val=""/>
      <w:lvlJc w:val="left"/>
      <w:pPr>
        <w:ind w:left="4320" w:hanging="360"/>
      </w:pPr>
      <w:rPr>
        <w:rFonts w:ascii="Wingdings" w:hAnsi="Wingdings" w:hint="default"/>
      </w:rPr>
    </w:lvl>
    <w:lvl w:ilvl="6" w:tplc="C72A110C">
      <w:start w:val="1"/>
      <w:numFmt w:val="bullet"/>
      <w:lvlText w:val=""/>
      <w:lvlJc w:val="left"/>
      <w:pPr>
        <w:ind w:left="5040" w:hanging="360"/>
      </w:pPr>
      <w:rPr>
        <w:rFonts w:ascii="Symbol" w:hAnsi="Symbol" w:hint="default"/>
      </w:rPr>
    </w:lvl>
    <w:lvl w:ilvl="7" w:tplc="7B18EDDC">
      <w:start w:val="1"/>
      <w:numFmt w:val="bullet"/>
      <w:lvlText w:val="o"/>
      <w:lvlJc w:val="left"/>
      <w:pPr>
        <w:ind w:left="5760" w:hanging="360"/>
      </w:pPr>
      <w:rPr>
        <w:rFonts w:ascii="Courier New" w:hAnsi="Courier New" w:hint="default"/>
      </w:rPr>
    </w:lvl>
    <w:lvl w:ilvl="8" w:tplc="D5769EF0">
      <w:start w:val="1"/>
      <w:numFmt w:val="bullet"/>
      <w:lvlText w:val=""/>
      <w:lvlJc w:val="left"/>
      <w:pPr>
        <w:ind w:left="6480" w:hanging="360"/>
      </w:pPr>
      <w:rPr>
        <w:rFonts w:ascii="Wingdings" w:hAnsi="Wingdings" w:hint="default"/>
      </w:rPr>
    </w:lvl>
  </w:abstractNum>
  <w:abstractNum w:abstractNumId="508" w15:restartNumberingAfterBreak="0">
    <w:nsid w:val="6A75606E"/>
    <w:multiLevelType w:val="hybridMultilevel"/>
    <w:tmpl w:val="6756B8B2"/>
    <w:lvl w:ilvl="0" w:tplc="106202A0">
      <w:start w:val="1"/>
      <w:numFmt w:val="bullet"/>
      <w:lvlText w:val=""/>
      <w:lvlJc w:val="left"/>
      <w:pPr>
        <w:ind w:left="720" w:hanging="360"/>
      </w:pPr>
      <w:rPr>
        <w:rFonts w:ascii="Symbol" w:hAnsi="Symbol" w:hint="default"/>
      </w:rPr>
    </w:lvl>
    <w:lvl w:ilvl="1" w:tplc="1C122EDA" w:tentative="1">
      <w:start w:val="1"/>
      <w:numFmt w:val="bullet"/>
      <w:lvlText w:val="o"/>
      <w:lvlJc w:val="left"/>
      <w:pPr>
        <w:ind w:left="1440" w:hanging="360"/>
      </w:pPr>
      <w:rPr>
        <w:rFonts w:ascii="Courier New" w:hAnsi="Courier New" w:hint="default"/>
      </w:rPr>
    </w:lvl>
    <w:lvl w:ilvl="2" w:tplc="D4846708" w:tentative="1">
      <w:start w:val="1"/>
      <w:numFmt w:val="bullet"/>
      <w:lvlText w:val=""/>
      <w:lvlJc w:val="left"/>
      <w:pPr>
        <w:ind w:left="2160" w:hanging="360"/>
      </w:pPr>
      <w:rPr>
        <w:rFonts w:ascii="Wingdings" w:hAnsi="Wingdings" w:hint="default"/>
      </w:rPr>
    </w:lvl>
    <w:lvl w:ilvl="3" w:tplc="2AA8DDA6" w:tentative="1">
      <w:start w:val="1"/>
      <w:numFmt w:val="bullet"/>
      <w:lvlText w:val=""/>
      <w:lvlJc w:val="left"/>
      <w:pPr>
        <w:ind w:left="2880" w:hanging="360"/>
      </w:pPr>
      <w:rPr>
        <w:rFonts w:ascii="Symbol" w:hAnsi="Symbol" w:hint="default"/>
      </w:rPr>
    </w:lvl>
    <w:lvl w:ilvl="4" w:tplc="E200B5BE" w:tentative="1">
      <w:start w:val="1"/>
      <w:numFmt w:val="bullet"/>
      <w:lvlText w:val="o"/>
      <w:lvlJc w:val="left"/>
      <w:pPr>
        <w:ind w:left="3600" w:hanging="360"/>
      </w:pPr>
      <w:rPr>
        <w:rFonts w:ascii="Courier New" w:hAnsi="Courier New" w:hint="default"/>
      </w:rPr>
    </w:lvl>
    <w:lvl w:ilvl="5" w:tplc="A6EAEFBE" w:tentative="1">
      <w:start w:val="1"/>
      <w:numFmt w:val="bullet"/>
      <w:lvlText w:val=""/>
      <w:lvlJc w:val="left"/>
      <w:pPr>
        <w:ind w:left="4320" w:hanging="360"/>
      </w:pPr>
      <w:rPr>
        <w:rFonts w:ascii="Wingdings" w:hAnsi="Wingdings" w:hint="default"/>
      </w:rPr>
    </w:lvl>
    <w:lvl w:ilvl="6" w:tplc="0226CEE0" w:tentative="1">
      <w:start w:val="1"/>
      <w:numFmt w:val="bullet"/>
      <w:lvlText w:val=""/>
      <w:lvlJc w:val="left"/>
      <w:pPr>
        <w:ind w:left="5040" w:hanging="360"/>
      </w:pPr>
      <w:rPr>
        <w:rFonts w:ascii="Symbol" w:hAnsi="Symbol" w:hint="default"/>
      </w:rPr>
    </w:lvl>
    <w:lvl w:ilvl="7" w:tplc="E7987780" w:tentative="1">
      <w:start w:val="1"/>
      <w:numFmt w:val="bullet"/>
      <w:lvlText w:val="o"/>
      <w:lvlJc w:val="left"/>
      <w:pPr>
        <w:ind w:left="5760" w:hanging="360"/>
      </w:pPr>
      <w:rPr>
        <w:rFonts w:ascii="Courier New" w:hAnsi="Courier New" w:hint="default"/>
      </w:rPr>
    </w:lvl>
    <w:lvl w:ilvl="8" w:tplc="02E2EFD2" w:tentative="1">
      <w:start w:val="1"/>
      <w:numFmt w:val="bullet"/>
      <w:lvlText w:val=""/>
      <w:lvlJc w:val="left"/>
      <w:pPr>
        <w:ind w:left="6480" w:hanging="360"/>
      </w:pPr>
      <w:rPr>
        <w:rFonts w:ascii="Wingdings" w:hAnsi="Wingdings" w:hint="default"/>
      </w:rPr>
    </w:lvl>
  </w:abstractNum>
  <w:abstractNum w:abstractNumId="509" w15:restartNumberingAfterBreak="0">
    <w:nsid w:val="6A841A1E"/>
    <w:multiLevelType w:val="hybridMultilevel"/>
    <w:tmpl w:val="3D2AF0A4"/>
    <w:lvl w:ilvl="0" w:tplc="884C63BC">
      <w:start w:val="1"/>
      <w:numFmt w:val="bullet"/>
      <w:lvlText w:val=""/>
      <w:lvlJc w:val="left"/>
      <w:pPr>
        <w:ind w:left="766" w:hanging="360"/>
      </w:pPr>
      <w:rPr>
        <w:rFonts w:ascii="Symbol" w:hAnsi="Symbol" w:hint="default"/>
      </w:rPr>
    </w:lvl>
    <w:lvl w:ilvl="1" w:tplc="79FAFD56" w:tentative="1">
      <w:start w:val="1"/>
      <w:numFmt w:val="bullet"/>
      <w:lvlText w:val="o"/>
      <w:lvlJc w:val="left"/>
      <w:pPr>
        <w:ind w:left="1486" w:hanging="360"/>
      </w:pPr>
      <w:rPr>
        <w:rFonts w:ascii="Courier New" w:hAnsi="Courier New" w:hint="default"/>
      </w:rPr>
    </w:lvl>
    <w:lvl w:ilvl="2" w:tplc="8160C360" w:tentative="1">
      <w:start w:val="1"/>
      <w:numFmt w:val="bullet"/>
      <w:lvlText w:val=""/>
      <w:lvlJc w:val="left"/>
      <w:pPr>
        <w:ind w:left="2206" w:hanging="360"/>
      </w:pPr>
      <w:rPr>
        <w:rFonts w:ascii="Wingdings" w:hAnsi="Wingdings" w:hint="default"/>
      </w:rPr>
    </w:lvl>
    <w:lvl w:ilvl="3" w:tplc="DE4CAE9A" w:tentative="1">
      <w:start w:val="1"/>
      <w:numFmt w:val="bullet"/>
      <w:lvlText w:val=""/>
      <w:lvlJc w:val="left"/>
      <w:pPr>
        <w:ind w:left="2926" w:hanging="360"/>
      </w:pPr>
      <w:rPr>
        <w:rFonts w:ascii="Symbol" w:hAnsi="Symbol" w:hint="default"/>
      </w:rPr>
    </w:lvl>
    <w:lvl w:ilvl="4" w:tplc="B6C654C2" w:tentative="1">
      <w:start w:val="1"/>
      <w:numFmt w:val="bullet"/>
      <w:lvlText w:val="o"/>
      <w:lvlJc w:val="left"/>
      <w:pPr>
        <w:ind w:left="3646" w:hanging="360"/>
      </w:pPr>
      <w:rPr>
        <w:rFonts w:ascii="Courier New" w:hAnsi="Courier New" w:hint="default"/>
      </w:rPr>
    </w:lvl>
    <w:lvl w:ilvl="5" w:tplc="21B471D0" w:tentative="1">
      <w:start w:val="1"/>
      <w:numFmt w:val="bullet"/>
      <w:lvlText w:val=""/>
      <w:lvlJc w:val="left"/>
      <w:pPr>
        <w:ind w:left="4366" w:hanging="360"/>
      </w:pPr>
      <w:rPr>
        <w:rFonts w:ascii="Wingdings" w:hAnsi="Wingdings" w:hint="default"/>
      </w:rPr>
    </w:lvl>
    <w:lvl w:ilvl="6" w:tplc="D6E0C986" w:tentative="1">
      <w:start w:val="1"/>
      <w:numFmt w:val="bullet"/>
      <w:lvlText w:val=""/>
      <w:lvlJc w:val="left"/>
      <w:pPr>
        <w:ind w:left="5086" w:hanging="360"/>
      </w:pPr>
      <w:rPr>
        <w:rFonts w:ascii="Symbol" w:hAnsi="Symbol" w:hint="default"/>
      </w:rPr>
    </w:lvl>
    <w:lvl w:ilvl="7" w:tplc="C5307944" w:tentative="1">
      <w:start w:val="1"/>
      <w:numFmt w:val="bullet"/>
      <w:lvlText w:val="o"/>
      <w:lvlJc w:val="left"/>
      <w:pPr>
        <w:ind w:left="5806" w:hanging="360"/>
      </w:pPr>
      <w:rPr>
        <w:rFonts w:ascii="Courier New" w:hAnsi="Courier New" w:hint="default"/>
      </w:rPr>
    </w:lvl>
    <w:lvl w:ilvl="8" w:tplc="CBC27A3A" w:tentative="1">
      <w:start w:val="1"/>
      <w:numFmt w:val="bullet"/>
      <w:lvlText w:val=""/>
      <w:lvlJc w:val="left"/>
      <w:pPr>
        <w:ind w:left="6526" w:hanging="360"/>
      </w:pPr>
      <w:rPr>
        <w:rFonts w:ascii="Wingdings" w:hAnsi="Wingdings" w:hint="default"/>
      </w:rPr>
    </w:lvl>
  </w:abstractNum>
  <w:abstractNum w:abstractNumId="510" w15:restartNumberingAfterBreak="0">
    <w:nsid w:val="6B864504"/>
    <w:multiLevelType w:val="multilevel"/>
    <w:tmpl w:val="CD5A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B8B72F8"/>
    <w:multiLevelType w:val="hybridMultilevel"/>
    <w:tmpl w:val="D246402C"/>
    <w:lvl w:ilvl="0" w:tplc="EEFE0E92">
      <w:start w:val="1"/>
      <w:numFmt w:val="bullet"/>
      <w:lvlText w:val=""/>
      <w:lvlJc w:val="left"/>
      <w:pPr>
        <w:ind w:left="720" w:hanging="360"/>
      </w:pPr>
      <w:rPr>
        <w:rFonts w:ascii="Symbol" w:hAnsi="Symbol" w:hint="default"/>
      </w:rPr>
    </w:lvl>
    <w:lvl w:ilvl="1" w:tplc="6A0CC18A" w:tentative="1">
      <w:start w:val="1"/>
      <w:numFmt w:val="bullet"/>
      <w:lvlText w:val="o"/>
      <w:lvlJc w:val="left"/>
      <w:pPr>
        <w:ind w:left="1440" w:hanging="360"/>
      </w:pPr>
      <w:rPr>
        <w:rFonts w:ascii="Courier New" w:hAnsi="Courier New" w:hint="default"/>
      </w:rPr>
    </w:lvl>
    <w:lvl w:ilvl="2" w:tplc="7E3AEDF8" w:tentative="1">
      <w:start w:val="1"/>
      <w:numFmt w:val="bullet"/>
      <w:lvlText w:val=""/>
      <w:lvlJc w:val="left"/>
      <w:pPr>
        <w:ind w:left="2160" w:hanging="360"/>
      </w:pPr>
      <w:rPr>
        <w:rFonts w:ascii="Wingdings" w:hAnsi="Wingdings" w:hint="default"/>
      </w:rPr>
    </w:lvl>
    <w:lvl w:ilvl="3" w:tplc="C28AB8F6" w:tentative="1">
      <w:start w:val="1"/>
      <w:numFmt w:val="bullet"/>
      <w:lvlText w:val=""/>
      <w:lvlJc w:val="left"/>
      <w:pPr>
        <w:ind w:left="2880" w:hanging="360"/>
      </w:pPr>
      <w:rPr>
        <w:rFonts w:ascii="Symbol" w:hAnsi="Symbol" w:hint="default"/>
      </w:rPr>
    </w:lvl>
    <w:lvl w:ilvl="4" w:tplc="6C34886C" w:tentative="1">
      <w:start w:val="1"/>
      <w:numFmt w:val="bullet"/>
      <w:lvlText w:val="o"/>
      <w:lvlJc w:val="left"/>
      <w:pPr>
        <w:ind w:left="3600" w:hanging="360"/>
      </w:pPr>
      <w:rPr>
        <w:rFonts w:ascii="Courier New" w:hAnsi="Courier New" w:hint="default"/>
      </w:rPr>
    </w:lvl>
    <w:lvl w:ilvl="5" w:tplc="0DCA6882" w:tentative="1">
      <w:start w:val="1"/>
      <w:numFmt w:val="bullet"/>
      <w:lvlText w:val=""/>
      <w:lvlJc w:val="left"/>
      <w:pPr>
        <w:ind w:left="4320" w:hanging="360"/>
      </w:pPr>
      <w:rPr>
        <w:rFonts w:ascii="Wingdings" w:hAnsi="Wingdings" w:hint="default"/>
      </w:rPr>
    </w:lvl>
    <w:lvl w:ilvl="6" w:tplc="A7D4EC3A" w:tentative="1">
      <w:start w:val="1"/>
      <w:numFmt w:val="bullet"/>
      <w:lvlText w:val=""/>
      <w:lvlJc w:val="left"/>
      <w:pPr>
        <w:ind w:left="5040" w:hanging="360"/>
      </w:pPr>
      <w:rPr>
        <w:rFonts w:ascii="Symbol" w:hAnsi="Symbol" w:hint="default"/>
      </w:rPr>
    </w:lvl>
    <w:lvl w:ilvl="7" w:tplc="05DE89F0" w:tentative="1">
      <w:start w:val="1"/>
      <w:numFmt w:val="bullet"/>
      <w:lvlText w:val="o"/>
      <w:lvlJc w:val="left"/>
      <w:pPr>
        <w:ind w:left="5760" w:hanging="360"/>
      </w:pPr>
      <w:rPr>
        <w:rFonts w:ascii="Courier New" w:hAnsi="Courier New" w:hint="default"/>
      </w:rPr>
    </w:lvl>
    <w:lvl w:ilvl="8" w:tplc="32C86B1E" w:tentative="1">
      <w:start w:val="1"/>
      <w:numFmt w:val="bullet"/>
      <w:lvlText w:val=""/>
      <w:lvlJc w:val="left"/>
      <w:pPr>
        <w:ind w:left="6480" w:hanging="360"/>
      </w:pPr>
      <w:rPr>
        <w:rFonts w:ascii="Wingdings" w:hAnsi="Wingdings" w:hint="default"/>
      </w:rPr>
    </w:lvl>
  </w:abstractNum>
  <w:abstractNum w:abstractNumId="512" w15:restartNumberingAfterBreak="0">
    <w:nsid w:val="6B9B7882"/>
    <w:multiLevelType w:val="multilevel"/>
    <w:tmpl w:val="DB5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BE1A1DB"/>
    <w:multiLevelType w:val="multilevel"/>
    <w:tmpl w:val="8E0A8404"/>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4" w15:restartNumberingAfterBreak="0">
    <w:nsid w:val="6BEE4A11"/>
    <w:multiLevelType w:val="multilevel"/>
    <w:tmpl w:val="586C92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15" w15:restartNumberingAfterBreak="0">
    <w:nsid w:val="6BF9D978"/>
    <w:multiLevelType w:val="hybridMultilevel"/>
    <w:tmpl w:val="ED7C6E58"/>
    <w:lvl w:ilvl="0" w:tplc="9B98B046">
      <w:start w:val="1"/>
      <w:numFmt w:val="decimal"/>
      <w:lvlText w:val="%1."/>
      <w:lvlJc w:val="left"/>
      <w:pPr>
        <w:ind w:left="720" w:hanging="360"/>
      </w:pPr>
    </w:lvl>
    <w:lvl w:ilvl="1" w:tplc="F3CC9926">
      <w:start w:val="1"/>
      <w:numFmt w:val="lowerLetter"/>
      <w:lvlText w:val="%2."/>
      <w:lvlJc w:val="left"/>
      <w:pPr>
        <w:ind w:left="1440" w:hanging="360"/>
      </w:pPr>
    </w:lvl>
    <w:lvl w:ilvl="2" w:tplc="D3E48350">
      <w:start w:val="1"/>
      <w:numFmt w:val="lowerRoman"/>
      <w:lvlText w:val="%3."/>
      <w:lvlJc w:val="right"/>
      <w:pPr>
        <w:ind w:left="2160" w:hanging="180"/>
      </w:pPr>
    </w:lvl>
    <w:lvl w:ilvl="3" w:tplc="F89AD8E2">
      <w:start w:val="1"/>
      <w:numFmt w:val="decimal"/>
      <w:lvlText w:val="%4."/>
      <w:lvlJc w:val="left"/>
      <w:pPr>
        <w:ind w:left="2880" w:hanging="360"/>
      </w:pPr>
    </w:lvl>
    <w:lvl w:ilvl="4" w:tplc="F58EF1FE">
      <w:start w:val="1"/>
      <w:numFmt w:val="lowerLetter"/>
      <w:lvlText w:val="%5."/>
      <w:lvlJc w:val="left"/>
      <w:pPr>
        <w:ind w:left="3600" w:hanging="360"/>
      </w:pPr>
    </w:lvl>
    <w:lvl w:ilvl="5" w:tplc="4454D58E">
      <w:start w:val="1"/>
      <w:numFmt w:val="lowerRoman"/>
      <w:lvlText w:val="%6."/>
      <w:lvlJc w:val="right"/>
      <w:pPr>
        <w:ind w:left="4320" w:hanging="180"/>
      </w:pPr>
    </w:lvl>
    <w:lvl w:ilvl="6" w:tplc="65DE5602">
      <w:start w:val="1"/>
      <w:numFmt w:val="decimal"/>
      <w:lvlText w:val="%7."/>
      <w:lvlJc w:val="left"/>
      <w:pPr>
        <w:ind w:left="5040" w:hanging="360"/>
      </w:pPr>
    </w:lvl>
    <w:lvl w:ilvl="7" w:tplc="DECE304C">
      <w:start w:val="1"/>
      <w:numFmt w:val="lowerLetter"/>
      <w:lvlText w:val="%8."/>
      <w:lvlJc w:val="left"/>
      <w:pPr>
        <w:ind w:left="5760" w:hanging="360"/>
      </w:pPr>
    </w:lvl>
    <w:lvl w:ilvl="8" w:tplc="2C865476">
      <w:start w:val="1"/>
      <w:numFmt w:val="lowerRoman"/>
      <w:lvlText w:val="%9."/>
      <w:lvlJc w:val="right"/>
      <w:pPr>
        <w:ind w:left="6480" w:hanging="180"/>
      </w:pPr>
    </w:lvl>
  </w:abstractNum>
  <w:abstractNum w:abstractNumId="516" w15:restartNumberingAfterBreak="0">
    <w:nsid w:val="6C0F5783"/>
    <w:multiLevelType w:val="hybridMultilevel"/>
    <w:tmpl w:val="1DBE8880"/>
    <w:lvl w:ilvl="0" w:tplc="EC3A2760">
      <w:start w:val="1"/>
      <w:numFmt w:val="bullet"/>
      <w:lvlText w:val=""/>
      <w:lvlJc w:val="left"/>
      <w:pPr>
        <w:ind w:left="1494" w:hanging="360"/>
      </w:pPr>
      <w:rPr>
        <w:rFonts w:ascii="Symbol" w:hAnsi="Symbol" w:hint="default"/>
      </w:rPr>
    </w:lvl>
    <w:lvl w:ilvl="1" w:tplc="FE802794" w:tentative="1">
      <w:start w:val="1"/>
      <w:numFmt w:val="bullet"/>
      <w:lvlText w:val="o"/>
      <w:lvlJc w:val="left"/>
      <w:pPr>
        <w:ind w:left="1440" w:hanging="360"/>
      </w:pPr>
      <w:rPr>
        <w:rFonts w:ascii="Courier New" w:hAnsi="Courier New" w:hint="default"/>
      </w:rPr>
    </w:lvl>
    <w:lvl w:ilvl="2" w:tplc="D1A428EC" w:tentative="1">
      <w:start w:val="1"/>
      <w:numFmt w:val="bullet"/>
      <w:lvlText w:val=""/>
      <w:lvlJc w:val="left"/>
      <w:pPr>
        <w:ind w:left="2160" w:hanging="360"/>
      </w:pPr>
      <w:rPr>
        <w:rFonts w:ascii="Wingdings" w:hAnsi="Wingdings" w:hint="default"/>
      </w:rPr>
    </w:lvl>
    <w:lvl w:ilvl="3" w:tplc="658C4988" w:tentative="1">
      <w:start w:val="1"/>
      <w:numFmt w:val="bullet"/>
      <w:lvlText w:val=""/>
      <w:lvlJc w:val="left"/>
      <w:pPr>
        <w:ind w:left="2880" w:hanging="360"/>
      </w:pPr>
      <w:rPr>
        <w:rFonts w:ascii="Symbol" w:hAnsi="Symbol" w:hint="default"/>
      </w:rPr>
    </w:lvl>
    <w:lvl w:ilvl="4" w:tplc="7DB64782" w:tentative="1">
      <w:start w:val="1"/>
      <w:numFmt w:val="bullet"/>
      <w:lvlText w:val="o"/>
      <w:lvlJc w:val="left"/>
      <w:pPr>
        <w:ind w:left="3600" w:hanging="360"/>
      </w:pPr>
      <w:rPr>
        <w:rFonts w:ascii="Courier New" w:hAnsi="Courier New" w:hint="default"/>
      </w:rPr>
    </w:lvl>
    <w:lvl w:ilvl="5" w:tplc="CE424820" w:tentative="1">
      <w:start w:val="1"/>
      <w:numFmt w:val="bullet"/>
      <w:lvlText w:val=""/>
      <w:lvlJc w:val="left"/>
      <w:pPr>
        <w:ind w:left="4320" w:hanging="360"/>
      </w:pPr>
      <w:rPr>
        <w:rFonts w:ascii="Wingdings" w:hAnsi="Wingdings" w:hint="default"/>
      </w:rPr>
    </w:lvl>
    <w:lvl w:ilvl="6" w:tplc="460E00F4" w:tentative="1">
      <w:start w:val="1"/>
      <w:numFmt w:val="bullet"/>
      <w:lvlText w:val=""/>
      <w:lvlJc w:val="left"/>
      <w:pPr>
        <w:ind w:left="5040" w:hanging="360"/>
      </w:pPr>
      <w:rPr>
        <w:rFonts w:ascii="Symbol" w:hAnsi="Symbol" w:hint="default"/>
      </w:rPr>
    </w:lvl>
    <w:lvl w:ilvl="7" w:tplc="F70419E6" w:tentative="1">
      <w:start w:val="1"/>
      <w:numFmt w:val="bullet"/>
      <w:lvlText w:val="o"/>
      <w:lvlJc w:val="left"/>
      <w:pPr>
        <w:ind w:left="5760" w:hanging="360"/>
      </w:pPr>
      <w:rPr>
        <w:rFonts w:ascii="Courier New" w:hAnsi="Courier New" w:hint="default"/>
      </w:rPr>
    </w:lvl>
    <w:lvl w:ilvl="8" w:tplc="D3027E70" w:tentative="1">
      <w:start w:val="1"/>
      <w:numFmt w:val="bullet"/>
      <w:lvlText w:val=""/>
      <w:lvlJc w:val="left"/>
      <w:pPr>
        <w:ind w:left="6480" w:hanging="360"/>
      </w:pPr>
      <w:rPr>
        <w:rFonts w:ascii="Wingdings" w:hAnsi="Wingdings" w:hint="default"/>
      </w:rPr>
    </w:lvl>
  </w:abstractNum>
  <w:abstractNum w:abstractNumId="517" w15:restartNumberingAfterBreak="0">
    <w:nsid w:val="6C209714"/>
    <w:multiLevelType w:val="hybridMultilevel"/>
    <w:tmpl w:val="FFFFFFFF"/>
    <w:lvl w:ilvl="0" w:tplc="8D7C76B8">
      <w:start w:val="1"/>
      <w:numFmt w:val="bullet"/>
      <w:lvlText w:val=""/>
      <w:lvlJc w:val="left"/>
      <w:pPr>
        <w:ind w:left="720" w:hanging="360"/>
      </w:pPr>
      <w:rPr>
        <w:rFonts w:ascii="Symbol" w:hAnsi="Symbol" w:hint="default"/>
      </w:rPr>
    </w:lvl>
    <w:lvl w:ilvl="1" w:tplc="FD74DCF2">
      <w:start w:val="1"/>
      <w:numFmt w:val="bullet"/>
      <w:lvlText w:val="o"/>
      <w:lvlJc w:val="left"/>
      <w:pPr>
        <w:ind w:left="1440" w:hanging="360"/>
      </w:pPr>
      <w:rPr>
        <w:rFonts w:ascii="Courier New" w:hAnsi="Courier New" w:cs="Times New Roman" w:hint="default"/>
      </w:rPr>
    </w:lvl>
    <w:lvl w:ilvl="2" w:tplc="D7741924">
      <w:start w:val="1"/>
      <w:numFmt w:val="bullet"/>
      <w:lvlText w:val=""/>
      <w:lvlJc w:val="left"/>
      <w:pPr>
        <w:ind w:left="2160" w:hanging="360"/>
      </w:pPr>
      <w:rPr>
        <w:rFonts w:ascii="Wingdings" w:hAnsi="Wingdings" w:hint="default"/>
      </w:rPr>
    </w:lvl>
    <w:lvl w:ilvl="3" w:tplc="CC7AD94C">
      <w:start w:val="1"/>
      <w:numFmt w:val="bullet"/>
      <w:lvlText w:val=""/>
      <w:lvlJc w:val="left"/>
      <w:pPr>
        <w:ind w:left="2880" w:hanging="360"/>
      </w:pPr>
      <w:rPr>
        <w:rFonts w:ascii="Symbol" w:hAnsi="Symbol" w:hint="default"/>
      </w:rPr>
    </w:lvl>
    <w:lvl w:ilvl="4" w:tplc="C66C9C8C">
      <w:start w:val="1"/>
      <w:numFmt w:val="bullet"/>
      <w:lvlText w:val="o"/>
      <w:lvlJc w:val="left"/>
      <w:pPr>
        <w:ind w:left="3600" w:hanging="360"/>
      </w:pPr>
      <w:rPr>
        <w:rFonts w:ascii="Courier New" w:hAnsi="Courier New" w:cs="Times New Roman" w:hint="default"/>
      </w:rPr>
    </w:lvl>
    <w:lvl w:ilvl="5" w:tplc="4D7CECC2">
      <w:start w:val="1"/>
      <w:numFmt w:val="bullet"/>
      <w:lvlText w:val=""/>
      <w:lvlJc w:val="left"/>
      <w:pPr>
        <w:ind w:left="4320" w:hanging="360"/>
      </w:pPr>
      <w:rPr>
        <w:rFonts w:ascii="Wingdings" w:hAnsi="Wingdings" w:hint="default"/>
      </w:rPr>
    </w:lvl>
    <w:lvl w:ilvl="6" w:tplc="7C8A2536">
      <w:start w:val="1"/>
      <w:numFmt w:val="bullet"/>
      <w:lvlText w:val=""/>
      <w:lvlJc w:val="left"/>
      <w:pPr>
        <w:ind w:left="5040" w:hanging="360"/>
      </w:pPr>
      <w:rPr>
        <w:rFonts w:ascii="Symbol" w:hAnsi="Symbol" w:hint="default"/>
      </w:rPr>
    </w:lvl>
    <w:lvl w:ilvl="7" w:tplc="02E422FC">
      <w:start w:val="1"/>
      <w:numFmt w:val="bullet"/>
      <w:lvlText w:val="o"/>
      <w:lvlJc w:val="left"/>
      <w:pPr>
        <w:ind w:left="5760" w:hanging="360"/>
      </w:pPr>
      <w:rPr>
        <w:rFonts w:ascii="Courier New" w:hAnsi="Courier New" w:cs="Times New Roman" w:hint="default"/>
      </w:rPr>
    </w:lvl>
    <w:lvl w:ilvl="8" w:tplc="A202B120">
      <w:start w:val="1"/>
      <w:numFmt w:val="bullet"/>
      <w:lvlText w:val=""/>
      <w:lvlJc w:val="left"/>
      <w:pPr>
        <w:ind w:left="6480" w:hanging="360"/>
      </w:pPr>
      <w:rPr>
        <w:rFonts w:ascii="Wingdings" w:hAnsi="Wingdings" w:hint="default"/>
      </w:rPr>
    </w:lvl>
  </w:abstractNum>
  <w:abstractNum w:abstractNumId="518" w15:restartNumberingAfterBreak="0">
    <w:nsid w:val="6C2B691A"/>
    <w:multiLevelType w:val="hybridMultilevel"/>
    <w:tmpl w:val="64A8E1EE"/>
    <w:lvl w:ilvl="0" w:tplc="F766A994">
      <w:start w:val="1"/>
      <w:numFmt w:val="bullet"/>
      <w:pStyle w:val="ListBullet"/>
      <w:lvlText w:val=""/>
      <w:lvlJc w:val="left"/>
      <w:pPr>
        <w:ind w:left="720" w:hanging="360"/>
      </w:pPr>
      <w:rPr>
        <w:rFonts w:ascii="Symbol" w:hAnsi="Symbol" w:hint="default"/>
      </w:rPr>
    </w:lvl>
    <w:lvl w:ilvl="1" w:tplc="45EA8A5A">
      <w:start w:val="1"/>
      <w:numFmt w:val="bullet"/>
      <w:lvlText w:val="o"/>
      <w:lvlJc w:val="left"/>
      <w:pPr>
        <w:ind w:left="1440" w:hanging="360"/>
      </w:pPr>
      <w:rPr>
        <w:rFonts w:ascii="Courier New" w:hAnsi="Courier New" w:hint="default"/>
      </w:rPr>
    </w:lvl>
    <w:lvl w:ilvl="2" w:tplc="0A9EB774" w:tentative="1">
      <w:start w:val="1"/>
      <w:numFmt w:val="bullet"/>
      <w:lvlText w:val=""/>
      <w:lvlJc w:val="left"/>
      <w:pPr>
        <w:ind w:left="2160" w:hanging="360"/>
      </w:pPr>
      <w:rPr>
        <w:rFonts w:ascii="Wingdings" w:hAnsi="Wingdings" w:hint="default"/>
      </w:rPr>
    </w:lvl>
    <w:lvl w:ilvl="3" w:tplc="7B5E520C" w:tentative="1">
      <w:start w:val="1"/>
      <w:numFmt w:val="bullet"/>
      <w:lvlText w:val=""/>
      <w:lvlJc w:val="left"/>
      <w:pPr>
        <w:ind w:left="2880" w:hanging="360"/>
      </w:pPr>
      <w:rPr>
        <w:rFonts w:ascii="Symbol" w:hAnsi="Symbol" w:hint="default"/>
      </w:rPr>
    </w:lvl>
    <w:lvl w:ilvl="4" w:tplc="FA14730C" w:tentative="1">
      <w:start w:val="1"/>
      <w:numFmt w:val="bullet"/>
      <w:lvlText w:val="o"/>
      <w:lvlJc w:val="left"/>
      <w:pPr>
        <w:ind w:left="3600" w:hanging="360"/>
      </w:pPr>
      <w:rPr>
        <w:rFonts w:ascii="Courier New" w:hAnsi="Courier New" w:hint="default"/>
      </w:rPr>
    </w:lvl>
    <w:lvl w:ilvl="5" w:tplc="0AF80B76" w:tentative="1">
      <w:start w:val="1"/>
      <w:numFmt w:val="bullet"/>
      <w:lvlText w:val=""/>
      <w:lvlJc w:val="left"/>
      <w:pPr>
        <w:ind w:left="4320" w:hanging="360"/>
      </w:pPr>
      <w:rPr>
        <w:rFonts w:ascii="Wingdings" w:hAnsi="Wingdings" w:hint="default"/>
      </w:rPr>
    </w:lvl>
    <w:lvl w:ilvl="6" w:tplc="053C4E78" w:tentative="1">
      <w:start w:val="1"/>
      <w:numFmt w:val="bullet"/>
      <w:lvlText w:val=""/>
      <w:lvlJc w:val="left"/>
      <w:pPr>
        <w:ind w:left="5040" w:hanging="360"/>
      </w:pPr>
      <w:rPr>
        <w:rFonts w:ascii="Symbol" w:hAnsi="Symbol" w:hint="default"/>
      </w:rPr>
    </w:lvl>
    <w:lvl w:ilvl="7" w:tplc="CE40FF9E" w:tentative="1">
      <w:start w:val="1"/>
      <w:numFmt w:val="bullet"/>
      <w:lvlText w:val="o"/>
      <w:lvlJc w:val="left"/>
      <w:pPr>
        <w:ind w:left="5760" w:hanging="360"/>
      </w:pPr>
      <w:rPr>
        <w:rFonts w:ascii="Courier New" w:hAnsi="Courier New" w:hint="default"/>
      </w:rPr>
    </w:lvl>
    <w:lvl w:ilvl="8" w:tplc="DFBE4016" w:tentative="1">
      <w:start w:val="1"/>
      <w:numFmt w:val="bullet"/>
      <w:lvlText w:val=""/>
      <w:lvlJc w:val="left"/>
      <w:pPr>
        <w:ind w:left="6480" w:hanging="360"/>
      </w:pPr>
      <w:rPr>
        <w:rFonts w:ascii="Wingdings" w:hAnsi="Wingdings" w:hint="default"/>
      </w:rPr>
    </w:lvl>
  </w:abstractNum>
  <w:abstractNum w:abstractNumId="519" w15:restartNumberingAfterBreak="0">
    <w:nsid w:val="6C93C671"/>
    <w:multiLevelType w:val="hybridMultilevel"/>
    <w:tmpl w:val="FFFFFFFF"/>
    <w:lvl w:ilvl="0" w:tplc="E1FC2158">
      <w:start w:val="1"/>
      <w:numFmt w:val="bullet"/>
      <w:lvlText w:val=""/>
      <w:lvlJc w:val="left"/>
      <w:pPr>
        <w:ind w:left="720" w:hanging="360"/>
      </w:pPr>
      <w:rPr>
        <w:rFonts w:ascii="Symbol" w:hAnsi="Symbol" w:hint="default"/>
      </w:rPr>
    </w:lvl>
    <w:lvl w:ilvl="1" w:tplc="B7E09B9E">
      <w:start w:val="1"/>
      <w:numFmt w:val="bullet"/>
      <w:lvlText w:val="o"/>
      <w:lvlJc w:val="left"/>
      <w:pPr>
        <w:ind w:left="1440" w:hanging="360"/>
      </w:pPr>
      <w:rPr>
        <w:rFonts w:ascii="Courier New" w:hAnsi="Courier New" w:hint="default"/>
      </w:rPr>
    </w:lvl>
    <w:lvl w:ilvl="2" w:tplc="A014887A">
      <w:start w:val="1"/>
      <w:numFmt w:val="bullet"/>
      <w:lvlText w:val=""/>
      <w:lvlJc w:val="left"/>
      <w:pPr>
        <w:ind w:left="2160" w:hanging="360"/>
      </w:pPr>
      <w:rPr>
        <w:rFonts w:ascii="Wingdings" w:hAnsi="Wingdings" w:hint="default"/>
      </w:rPr>
    </w:lvl>
    <w:lvl w:ilvl="3" w:tplc="2BAE0C40">
      <w:start w:val="1"/>
      <w:numFmt w:val="bullet"/>
      <w:lvlText w:val=""/>
      <w:lvlJc w:val="left"/>
      <w:pPr>
        <w:ind w:left="2880" w:hanging="360"/>
      </w:pPr>
      <w:rPr>
        <w:rFonts w:ascii="Symbol" w:hAnsi="Symbol" w:hint="default"/>
      </w:rPr>
    </w:lvl>
    <w:lvl w:ilvl="4" w:tplc="6B02BC88">
      <w:start w:val="1"/>
      <w:numFmt w:val="bullet"/>
      <w:lvlText w:val="o"/>
      <w:lvlJc w:val="left"/>
      <w:pPr>
        <w:ind w:left="3600" w:hanging="360"/>
      </w:pPr>
      <w:rPr>
        <w:rFonts w:ascii="Courier New" w:hAnsi="Courier New" w:hint="default"/>
      </w:rPr>
    </w:lvl>
    <w:lvl w:ilvl="5" w:tplc="34A86280">
      <w:start w:val="1"/>
      <w:numFmt w:val="bullet"/>
      <w:lvlText w:val=""/>
      <w:lvlJc w:val="left"/>
      <w:pPr>
        <w:ind w:left="4320" w:hanging="360"/>
      </w:pPr>
      <w:rPr>
        <w:rFonts w:ascii="Wingdings" w:hAnsi="Wingdings" w:hint="default"/>
      </w:rPr>
    </w:lvl>
    <w:lvl w:ilvl="6" w:tplc="2B64FD0C">
      <w:start w:val="1"/>
      <w:numFmt w:val="bullet"/>
      <w:lvlText w:val=""/>
      <w:lvlJc w:val="left"/>
      <w:pPr>
        <w:ind w:left="5040" w:hanging="360"/>
      </w:pPr>
      <w:rPr>
        <w:rFonts w:ascii="Symbol" w:hAnsi="Symbol" w:hint="default"/>
      </w:rPr>
    </w:lvl>
    <w:lvl w:ilvl="7" w:tplc="71BE1AE2">
      <w:start w:val="1"/>
      <w:numFmt w:val="bullet"/>
      <w:lvlText w:val="o"/>
      <w:lvlJc w:val="left"/>
      <w:pPr>
        <w:ind w:left="5760" w:hanging="360"/>
      </w:pPr>
      <w:rPr>
        <w:rFonts w:ascii="Courier New" w:hAnsi="Courier New" w:hint="default"/>
      </w:rPr>
    </w:lvl>
    <w:lvl w:ilvl="8" w:tplc="D896A81E">
      <w:start w:val="1"/>
      <w:numFmt w:val="bullet"/>
      <w:lvlText w:val=""/>
      <w:lvlJc w:val="left"/>
      <w:pPr>
        <w:ind w:left="6480" w:hanging="360"/>
      </w:pPr>
      <w:rPr>
        <w:rFonts w:ascii="Wingdings" w:hAnsi="Wingdings" w:hint="default"/>
      </w:rPr>
    </w:lvl>
  </w:abstractNum>
  <w:abstractNum w:abstractNumId="520" w15:restartNumberingAfterBreak="0">
    <w:nsid w:val="6CE97D58"/>
    <w:multiLevelType w:val="hybridMultilevel"/>
    <w:tmpl w:val="3E86F81C"/>
    <w:lvl w:ilvl="0" w:tplc="0EB0E5BE">
      <w:start w:val="1"/>
      <w:numFmt w:val="bullet"/>
      <w:lvlText w:val=""/>
      <w:lvlJc w:val="left"/>
      <w:pPr>
        <w:ind w:left="2487" w:hanging="360"/>
      </w:pPr>
      <w:rPr>
        <w:rFonts w:ascii="Symbol" w:hAnsi="Symbol" w:hint="default"/>
      </w:rPr>
    </w:lvl>
    <w:lvl w:ilvl="1" w:tplc="60062EDC" w:tentative="1">
      <w:start w:val="1"/>
      <w:numFmt w:val="bullet"/>
      <w:lvlText w:val="o"/>
      <w:lvlJc w:val="left"/>
      <w:pPr>
        <w:ind w:left="2520" w:hanging="360"/>
      </w:pPr>
      <w:rPr>
        <w:rFonts w:ascii="Courier New" w:hAnsi="Courier New" w:hint="default"/>
      </w:rPr>
    </w:lvl>
    <w:lvl w:ilvl="2" w:tplc="070232D0" w:tentative="1">
      <w:start w:val="1"/>
      <w:numFmt w:val="bullet"/>
      <w:lvlText w:val=""/>
      <w:lvlJc w:val="left"/>
      <w:pPr>
        <w:ind w:left="3240" w:hanging="360"/>
      </w:pPr>
      <w:rPr>
        <w:rFonts w:ascii="Wingdings" w:hAnsi="Wingdings" w:hint="default"/>
      </w:rPr>
    </w:lvl>
    <w:lvl w:ilvl="3" w:tplc="E3CA53CC" w:tentative="1">
      <w:start w:val="1"/>
      <w:numFmt w:val="bullet"/>
      <w:lvlText w:val=""/>
      <w:lvlJc w:val="left"/>
      <w:pPr>
        <w:ind w:left="3960" w:hanging="360"/>
      </w:pPr>
      <w:rPr>
        <w:rFonts w:ascii="Symbol" w:hAnsi="Symbol" w:hint="default"/>
      </w:rPr>
    </w:lvl>
    <w:lvl w:ilvl="4" w:tplc="5498AE2E" w:tentative="1">
      <w:start w:val="1"/>
      <w:numFmt w:val="bullet"/>
      <w:lvlText w:val="o"/>
      <w:lvlJc w:val="left"/>
      <w:pPr>
        <w:ind w:left="4680" w:hanging="360"/>
      </w:pPr>
      <w:rPr>
        <w:rFonts w:ascii="Courier New" w:hAnsi="Courier New" w:hint="default"/>
      </w:rPr>
    </w:lvl>
    <w:lvl w:ilvl="5" w:tplc="A626A18A" w:tentative="1">
      <w:start w:val="1"/>
      <w:numFmt w:val="bullet"/>
      <w:lvlText w:val=""/>
      <w:lvlJc w:val="left"/>
      <w:pPr>
        <w:ind w:left="5400" w:hanging="360"/>
      </w:pPr>
      <w:rPr>
        <w:rFonts w:ascii="Wingdings" w:hAnsi="Wingdings" w:hint="default"/>
      </w:rPr>
    </w:lvl>
    <w:lvl w:ilvl="6" w:tplc="92B219DA" w:tentative="1">
      <w:start w:val="1"/>
      <w:numFmt w:val="bullet"/>
      <w:lvlText w:val=""/>
      <w:lvlJc w:val="left"/>
      <w:pPr>
        <w:ind w:left="6120" w:hanging="360"/>
      </w:pPr>
      <w:rPr>
        <w:rFonts w:ascii="Symbol" w:hAnsi="Symbol" w:hint="default"/>
      </w:rPr>
    </w:lvl>
    <w:lvl w:ilvl="7" w:tplc="22324A34" w:tentative="1">
      <w:start w:val="1"/>
      <w:numFmt w:val="bullet"/>
      <w:lvlText w:val="o"/>
      <w:lvlJc w:val="left"/>
      <w:pPr>
        <w:ind w:left="6840" w:hanging="360"/>
      </w:pPr>
      <w:rPr>
        <w:rFonts w:ascii="Courier New" w:hAnsi="Courier New" w:hint="default"/>
      </w:rPr>
    </w:lvl>
    <w:lvl w:ilvl="8" w:tplc="27CAE800" w:tentative="1">
      <w:start w:val="1"/>
      <w:numFmt w:val="bullet"/>
      <w:lvlText w:val=""/>
      <w:lvlJc w:val="left"/>
      <w:pPr>
        <w:ind w:left="7560" w:hanging="360"/>
      </w:pPr>
      <w:rPr>
        <w:rFonts w:ascii="Wingdings" w:hAnsi="Wingdings" w:hint="default"/>
      </w:rPr>
    </w:lvl>
  </w:abstractNum>
  <w:abstractNum w:abstractNumId="521" w15:restartNumberingAfterBreak="0">
    <w:nsid w:val="6CFB5501"/>
    <w:multiLevelType w:val="hybridMultilevel"/>
    <w:tmpl w:val="FFFFFFFF"/>
    <w:lvl w:ilvl="0" w:tplc="41D858A8">
      <w:start w:val="1"/>
      <w:numFmt w:val="bullet"/>
      <w:lvlText w:val="·"/>
      <w:lvlJc w:val="left"/>
      <w:pPr>
        <w:ind w:left="720" w:hanging="360"/>
      </w:pPr>
      <w:rPr>
        <w:rFonts w:ascii="Symbol" w:hAnsi="Symbol" w:hint="default"/>
      </w:rPr>
    </w:lvl>
    <w:lvl w:ilvl="1" w:tplc="B12219EE">
      <w:start w:val="1"/>
      <w:numFmt w:val="bullet"/>
      <w:lvlText w:val="o"/>
      <w:lvlJc w:val="left"/>
      <w:pPr>
        <w:ind w:left="1440" w:hanging="360"/>
      </w:pPr>
      <w:rPr>
        <w:rFonts w:ascii="Courier New" w:hAnsi="Courier New" w:hint="default"/>
      </w:rPr>
    </w:lvl>
    <w:lvl w:ilvl="2" w:tplc="099AD400">
      <w:start w:val="1"/>
      <w:numFmt w:val="bullet"/>
      <w:lvlText w:val=""/>
      <w:lvlJc w:val="left"/>
      <w:pPr>
        <w:ind w:left="2160" w:hanging="360"/>
      </w:pPr>
      <w:rPr>
        <w:rFonts w:ascii="Wingdings" w:hAnsi="Wingdings" w:hint="default"/>
      </w:rPr>
    </w:lvl>
    <w:lvl w:ilvl="3" w:tplc="7DE41CA4">
      <w:start w:val="1"/>
      <w:numFmt w:val="bullet"/>
      <w:lvlText w:val=""/>
      <w:lvlJc w:val="left"/>
      <w:pPr>
        <w:ind w:left="2880" w:hanging="360"/>
      </w:pPr>
      <w:rPr>
        <w:rFonts w:ascii="Symbol" w:hAnsi="Symbol" w:hint="default"/>
      </w:rPr>
    </w:lvl>
    <w:lvl w:ilvl="4" w:tplc="4586AE92">
      <w:start w:val="1"/>
      <w:numFmt w:val="bullet"/>
      <w:lvlText w:val="o"/>
      <w:lvlJc w:val="left"/>
      <w:pPr>
        <w:ind w:left="3600" w:hanging="360"/>
      </w:pPr>
      <w:rPr>
        <w:rFonts w:ascii="Courier New" w:hAnsi="Courier New" w:hint="default"/>
      </w:rPr>
    </w:lvl>
    <w:lvl w:ilvl="5" w:tplc="C636B9AC">
      <w:start w:val="1"/>
      <w:numFmt w:val="bullet"/>
      <w:lvlText w:val=""/>
      <w:lvlJc w:val="left"/>
      <w:pPr>
        <w:ind w:left="4320" w:hanging="360"/>
      </w:pPr>
      <w:rPr>
        <w:rFonts w:ascii="Wingdings" w:hAnsi="Wingdings" w:hint="default"/>
      </w:rPr>
    </w:lvl>
    <w:lvl w:ilvl="6" w:tplc="93C8D1C6">
      <w:start w:val="1"/>
      <w:numFmt w:val="bullet"/>
      <w:lvlText w:val=""/>
      <w:lvlJc w:val="left"/>
      <w:pPr>
        <w:ind w:left="5040" w:hanging="360"/>
      </w:pPr>
      <w:rPr>
        <w:rFonts w:ascii="Symbol" w:hAnsi="Symbol" w:hint="default"/>
      </w:rPr>
    </w:lvl>
    <w:lvl w:ilvl="7" w:tplc="2D34A87E">
      <w:start w:val="1"/>
      <w:numFmt w:val="bullet"/>
      <w:lvlText w:val="o"/>
      <w:lvlJc w:val="left"/>
      <w:pPr>
        <w:ind w:left="5760" w:hanging="360"/>
      </w:pPr>
      <w:rPr>
        <w:rFonts w:ascii="Courier New" w:hAnsi="Courier New" w:hint="default"/>
      </w:rPr>
    </w:lvl>
    <w:lvl w:ilvl="8" w:tplc="8F10C382">
      <w:start w:val="1"/>
      <w:numFmt w:val="bullet"/>
      <w:lvlText w:val=""/>
      <w:lvlJc w:val="left"/>
      <w:pPr>
        <w:ind w:left="6480" w:hanging="360"/>
      </w:pPr>
      <w:rPr>
        <w:rFonts w:ascii="Wingdings" w:hAnsi="Wingdings" w:hint="default"/>
      </w:rPr>
    </w:lvl>
  </w:abstractNum>
  <w:abstractNum w:abstractNumId="522" w15:restartNumberingAfterBreak="0">
    <w:nsid w:val="6D117B48"/>
    <w:multiLevelType w:val="hybridMultilevel"/>
    <w:tmpl w:val="288E3240"/>
    <w:lvl w:ilvl="0" w:tplc="F4DAF1D2">
      <w:start w:val="1"/>
      <w:numFmt w:val="bullet"/>
      <w:lvlText w:val=""/>
      <w:lvlJc w:val="left"/>
      <w:pPr>
        <w:ind w:left="720" w:hanging="360"/>
      </w:pPr>
      <w:rPr>
        <w:rFonts w:ascii="Symbol" w:hAnsi="Symbol" w:hint="default"/>
      </w:rPr>
    </w:lvl>
    <w:lvl w:ilvl="1" w:tplc="8F543678">
      <w:start w:val="1"/>
      <w:numFmt w:val="bullet"/>
      <w:lvlText w:val="o"/>
      <w:lvlJc w:val="left"/>
      <w:pPr>
        <w:ind w:left="1440" w:hanging="360"/>
      </w:pPr>
      <w:rPr>
        <w:rFonts w:ascii="Courier New" w:hAnsi="Courier New" w:hint="default"/>
      </w:rPr>
    </w:lvl>
    <w:lvl w:ilvl="2" w:tplc="EA380BA2" w:tentative="1">
      <w:start w:val="1"/>
      <w:numFmt w:val="bullet"/>
      <w:lvlText w:val=""/>
      <w:lvlJc w:val="left"/>
      <w:pPr>
        <w:ind w:left="2160" w:hanging="360"/>
      </w:pPr>
      <w:rPr>
        <w:rFonts w:ascii="Wingdings" w:hAnsi="Wingdings" w:hint="default"/>
      </w:rPr>
    </w:lvl>
    <w:lvl w:ilvl="3" w:tplc="C7522ECC" w:tentative="1">
      <w:start w:val="1"/>
      <w:numFmt w:val="bullet"/>
      <w:lvlText w:val=""/>
      <w:lvlJc w:val="left"/>
      <w:pPr>
        <w:ind w:left="2880" w:hanging="360"/>
      </w:pPr>
      <w:rPr>
        <w:rFonts w:ascii="Symbol" w:hAnsi="Symbol" w:hint="default"/>
      </w:rPr>
    </w:lvl>
    <w:lvl w:ilvl="4" w:tplc="C6367C28" w:tentative="1">
      <w:start w:val="1"/>
      <w:numFmt w:val="bullet"/>
      <w:lvlText w:val="o"/>
      <w:lvlJc w:val="left"/>
      <w:pPr>
        <w:ind w:left="3600" w:hanging="360"/>
      </w:pPr>
      <w:rPr>
        <w:rFonts w:ascii="Courier New" w:hAnsi="Courier New" w:hint="default"/>
      </w:rPr>
    </w:lvl>
    <w:lvl w:ilvl="5" w:tplc="AB4CF84C" w:tentative="1">
      <w:start w:val="1"/>
      <w:numFmt w:val="bullet"/>
      <w:lvlText w:val=""/>
      <w:lvlJc w:val="left"/>
      <w:pPr>
        <w:ind w:left="4320" w:hanging="360"/>
      </w:pPr>
      <w:rPr>
        <w:rFonts w:ascii="Wingdings" w:hAnsi="Wingdings" w:hint="default"/>
      </w:rPr>
    </w:lvl>
    <w:lvl w:ilvl="6" w:tplc="44E0B8F4" w:tentative="1">
      <w:start w:val="1"/>
      <w:numFmt w:val="bullet"/>
      <w:lvlText w:val=""/>
      <w:lvlJc w:val="left"/>
      <w:pPr>
        <w:ind w:left="5040" w:hanging="360"/>
      </w:pPr>
      <w:rPr>
        <w:rFonts w:ascii="Symbol" w:hAnsi="Symbol" w:hint="default"/>
      </w:rPr>
    </w:lvl>
    <w:lvl w:ilvl="7" w:tplc="F7728D8C" w:tentative="1">
      <w:start w:val="1"/>
      <w:numFmt w:val="bullet"/>
      <w:lvlText w:val="o"/>
      <w:lvlJc w:val="left"/>
      <w:pPr>
        <w:ind w:left="5760" w:hanging="360"/>
      </w:pPr>
      <w:rPr>
        <w:rFonts w:ascii="Courier New" w:hAnsi="Courier New" w:hint="default"/>
      </w:rPr>
    </w:lvl>
    <w:lvl w:ilvl="8" w:tplc="C9CE6EA2" w:tentative="1">
      <w:start w:val="1"/>
      <w:numFmt w:val="bullet"/>
      <w:lvlText w:val=""/>
      <w:lvlJc w:val="left"/>
      <w:pPr>
        <w:ind w:left="6480" w:hanging="360"/>
      </w:pPr>
      <w:rPr>
        <w:rFonts w:ascii="Wingdings" w:hAnsi="Wingdings" w:hint="default"/>
      </w:rPr>
    </w:lvl>
  </w:abstractNum>
  <w:abstractNum w:abstractNumId="523" w15:restartNumberingAfterBreak="0">
    <w:nsid w:val="6D800E9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4" w15:restartNumberingAfterBreak="0">
    <w:nsid w:val="6D9E15FF"/>
    <w:multiLevelType w:val="multilevel"/>
    <w:tmpl w:val="0F4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DC57CDC"/>
    <w:multiLevelType w:val="multilevel"/>
    <w:tmpl w:val="AF20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DDB29E7"/>
    <w:multiLevelType w:val="hybridMultilevel"/>
    <w:tmpl w:val="7E94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7" w15:restartNumberingAfterBreak="0">
    <w:nsid w:val="6E226F90"/>
    <w:multiLevelType w:val="hybridMultilevel"/>
    <w:tmpl w:val="6CC2D4CC"/>
    <w:lvl w:ilvl="0" w:tplc="DCE26D2A">
      <w:start w:val="1"/>
      <w:numFmt w:val="bullet"/>
      <w:lvlText w:val=""/>
      <w:lvlJc w:val="left"/>
      <w:pPr>
        <w:ind w:left="720" w:hanging="360"/>
      </w:pPr>
      <w:rPr>
        <w:rFonts w:ascii="Symbol" w:hAnsi="Symbol" w:hint="default"/>
      </w:rPr>
    </w:lvl>
    <w:lvl w:ilvl="1" w:tplc="7102BC78" w:tentative="1">
      <w:start w:val="1"/>
      <w:numFmt w:val="bullet"/>
      <w:lvlText w:val="o"/>
      <w:lvlJc w:val="left"/>
      <w:pPr>
        <w:ind w:left="1440" w:hanging="360"/>
      </w:pPr>
      <w:rPr>
        <w:rFonts w:ascii="Courier New" w:hAnsi="Courier New" w:hint="default"/>
      </w:rPr>
    </w:lvl>
    <w:lvl w:ilvl="2" w:tplc="D1A8C41C" w:tentative="1">
      <w:start w:val="1"/>
      <w:numFmt w:val="bullet"/>
      <w:lvlText w:val=""/>
      <w:lvlJc w:val="left"/>
      <w:pPr>
        <w:ind w:left="2160" w:hanging="360"/>
      </w:pPr>
      <w:rPr>
        <w:rFonts w:ascii="Wingdings" w:hAnsi="Wingdings" w:hint="default"/>
      </w:rPr>
    </w:lvl>
    <w:lvl w:ilvl="3" w:tplc="E79E3952" w:tentative="1">
      <w:start w:val="1"/>
      <w:numFmt w:val="bullet"/>
      <w:lvlText w:val=""/>
      <w:lvlJc w:val="left"/>
      <w:pPr>
        <w:ind w:left="2880" w:hanging="360"/>
      </w:pPr>
      <w:rPr>
        <w:rFonts w:ascii="Symbol" w:hAnsi="Symbol" w:hint="default"/>
      </w:rPr>
    </w:lvl>
    <w:lvl w:ilvl="4" w:tplc="6B70026A" w:tentative="1">
      <w:start w:val="1"/>
      <w:numFmt w:val="bullet"/>
      <w:lvlText w:val="o"/>
      <w:lvlJc w:val="left"/>
      <w:pPr>
        <w:ind w:left="3600" w:hanging="360"/>
      </w:pPr>
      <w:rPr>
        <w:rFonts w:ascii="Courier New" w:hAnsi="Courier New" w:hint="default"/>
      </w:rPr>
    </w:lvl>
    <w:lvl w:ilvl="5" w:tplc="F07EC294" w:tentative="1">
      <w:start w:val="1"/>
      <w:numFmt w:val="bullet"/>
      <w:lvlText w:val=""/>
      <w:lvlJc w:val="left"/>
      <w:pPr>
        <w:ind w:left="4320" w:hanging="360"/>
      </w:pPr>
      <w:rPr>
        <w:rFonts w:ascii="Wingdings" w:hAnsi="Wingdings" w:hint="default"/>
      </w:rPr>
    </w:lvl>
    <w:lvl w:ilvl="6" w:tplc="37A8AD32" w:tentative="1">
      <w:start w:val="1"/>
      <w:numFmt w:val="bullet"/>
      <w:lvlText w:val=""/>
      <w:lvlJc w:val="left"/>
      <w:pPr>
        <w:ind w:left="5040" w:hanging="360"/>
      </w:pPr>
      <w:rPr>
        <w:rFonts w:ascii="Symbol" w:hAnsi="Symbol" w:hint="default"/>
      </w:rPr>
    </w:lvl>
    <w:lvl w:ilvl="7" w:tplc="C48018EC" w:tentative="1">
      <w:start w:val="1"/>
      <w:numFmt w:val="bullet"/>
      <w:lvlText w:val="o"/>
      <w:lvlJc w:val="left"/>
      <w:pPr>
        <w:ind w:left="5760" w:hanging="360"/>
      </w:pPr>
      <w:rPr>
        <w:rFonts w:ascii="Courier New" w:hAnsi="Courier New" w:hint="default"/>
      </w:rPr>
    </w:lvl>
    <w:lvl w:ilvl="8" w:tplc="6D8AA418" w:tentative="1">
      <w:start w:val="1"/>
      <w:numFmt w:val="bullet"/>
      <w:lvlText w:val=""/>
      <w:lvlJc w:val="left"/>
      <w:pPr>
        <w:ind w:left="6480" w:hanging="360"/>
      </w:pPr>
      <w:rPr>
        <w:rFonts w:ascii="Wingdings" w:hAnsi="Wingdings" w:hint="default"/>
      </w:rPr>
    </w:lvl>
  </w:abstractNum>
  <w:abstractNum w:abstractNumId="528" w15:restartNumberingAfterBreak="0">
    <w:nsid w:val="6E700D2A"/>
    <w:multiLevelType w:val="hybridMultilevel"/>
    <w:tmpl w:val="60C00192"/>
    <w:lvl w:ilvl="0" w:tplc="8B9A0FE4">
      <w:start w:val="1"/>
      <w:numFmt w:val="bullet"/>
      <w:lvlText w:val=""/>
      <w:lvlJc w:val="left"/>
      <w:pPr>
        <w:ind w:left="720" w:hanging="360"/>
      </w:pPr>
      <w:rPr>
        <w:rFonts w:ascii="Symbol" w:hAnsi="Symbol" w:hint="default"/>
        <w:color w:val="auto"/>
      </w:rPr>
    </w:lvl>
    <w:lvl w:ilvl="1" w:tplc="049C0FEE">
      <w:start w:val="1"/>
      <w:numFmt w:val="bullet"/>
      <w:lvlText w:val="o"/>
      <w:lvlJc w:val="left"/>
      <w:pPr>
        <w:ind w:left="1440" w:hanging="360"/>
      </w:pPr>
      <w:rPr>
        <w:rFonts w:ascii="Courier New" w:hAnsi="Courier New" w:hint="default"/>
      </w:rPr>
    </w:lvl>
    <w:lvl w:ilvl="2" w:tplc="92786EC6" w:tentative="1">
      <w:start w:val="1"/>
      <w:numFmt w:val="bullet"/>
      <w:lvlText w:val=""/>
      <w:lvlJc w:val="left"/>
      <w:pPr>
        <w:ind w:left="2160" w:hanging="360"/>
      </w:pPr>
      <w:rPr>
        <w:rFonts w:ascii="Wingdings" w:hAnsi="Wingdings" w:hint="default"/>
      </w:rPr>
    </w:lvl>
    <w:lvl w:ilvl="3" w:tplc="053E85B4" w:tentative="1">
      <w:start w:val="1"/>
      <w:numFmt w:val="bullet"/>
      <w:lvlText w:val=""/>
      <w:lvlJc w:val="left"/>
      <w:pPr>
        <w:ind w:left="2880" w:hanging="360"/>
      </w:pPr>
      <w:rPr>
        <w:rFonts w:ascii="Symbol" w:hAnsi="Symbol" w:hint="default"/>
      </w:rPr>
    </w:lvl>
    <w:lvl w:ilvl="4" w:tplc="DEF4CCDE" w:tentative="1">
      <w:start w:val="1"/>
      <w:numFmt w:val="bullet"/>
      <w:lvlText w:val="o"/>
      <w:lvlJc w:val="left"/>
      <w:pPr>
        <w:ind w:left="3600" w:hanging="360"/>
      </w:pPr>
      <w:rPr>
        <w:rFonts w:ascii="Courier New" w:hAnsi="Courier New" w:hint="default"/>
      </w:rPr>
    </w:lvl>
    <w:lvl w:ilvl="5" w:tplc="029C5D7C" w:tentative="1">
      <w:start w:val="1"/>
      <w:numFmt w:val="bullet"/>
      <w:lvlText w:val=""/>
      <w:lvlJc w:val="left"/>
      <w:pPr>
        <w:ind w:left="4320" w:hanging="360"/>
      </w:pPr>
      <w:rPr>
        <w:rFonts w:ascii="Wingdings" w:hAnsi="Wingdings" w:hint="default"/>
      </w:rPr>
    </w:lvl>
    <w:lvl w:ilvl="6" w:tplc="CC9294E2" w:tentative="1">
      <w:start w:val="1"/>
      <w:numFmt w:val="bullet"/>
      <w:lvlText w:val=""/>
      <w:lvlJc w:val="left"/>
      <w:pPr>
        <w:ind w:left="5040" w:hanging="360"/>
      </w:pPr>
      <w:rPr>
        <w:rFonts w:ascii="Symbol" w:hAnsi="Symbol" w:hint="default"/>
      </w:rPr>
    </w:lvl>
    <w:lvl w:ilvl="7" w:tplc="50B498A2" w:tentative="1">
      <w:start w:val="1"/>
      <w:numFmt w:val="bullet"/>
      <w:lvlText w:val="o"/>
      <w:lvlJc w:val="left"/>
      <w:pPr>
        <w:ind w:left="5760" w:hanging="360"/>
      </w:pPr>
      <w:rPr>
        <w:rFonts w:ascii="Courier New" w:hAnsi="Courier New" w:hint="default"/>
      </w:rPr>
    </w:lvl>
    <w:lvl w:ilvl="8" w:tplc="268E5B16" w:tentative="1">
      <w:start w:val="1"/>
      <w:numFmt w:val="bullet"/>
      <w:lvlText w:val=""/>
      <w:lvlJc w:val="left"/>
      <w:pPr>
        <w:ind w:left="6480" w:hanging="360"/>
      </w:pPr>
      <w:rPr>
        <w:rFonts w:ascii="Wingdings" w:hAnsi="Wingdings" w:hint="default"/>
      </w:rPr>
    </w:lvl>
  </w:abstractNum>
  <w:abstractNum w:abstractNumId="529" w15:restartNumberingAfterBreak="0">
    <w:nsid w:val="6EE069E4"/>
    <w:multiLevelType w:val="hybridMultilevel"/>
    <w:tmpl w:val="50949B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0" w15:restartNumberingAfterBreak="0">
    <w:nsid w:val="6EF85F2E"/>
    <w:multiLevelType w:val="hybridMultilevel"/>
    <w:tmpl w:val="72B63A9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1" w15:restartNumberingAfterBreak="0">
    <w:nsid w:val="6F044661"/>
    <w:multiLevelType w:val="multilevel"/>
    <w:tmpl w:val="8B24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F585215"/>
    <w:multiLevelType w:val="multilevel"/>
    <w:tmpl w:val="6B1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FB54362"/>
    <w:multiLevelType w:val="hybridMultilevel"/>
    <w:tmpl w:val="D3503F4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4" w15:restartNumberingAfterBreak="0">
    <w:nsid w:val="6FC64681"/>
    <w:multiLevelType w:val="hybridMultilevel"/>
    <w:tmpl w:val="ED567D7C"/>
    <w:lvl w:ilvl="0" w:tplc="73C486C4">
      <w:start w:val="1"/>
      <w:numFmt w:val="bullet"/>
      <w:lvlText w:val=""/>
      <w:lvlJc w:val="left"/>
      <w:pPr>
        <w:ind w:left="720" w:hanging="360"/>
      </w:pPr>
      <w:rPr>
        <w:rFonts w:ascii="Symbol" w:hAnsi="Symbol" w:hint="default"/>
      </w:rPr>
    </w:lvl>
    <w:lvl w:ilvl="1" w:tplc="7EB0C4F0" w:tentative="1">
      <w:start w:val="1"/>
      <w:numFmt w:val="bullet"/>
      <w:lvlText w:val="o"/>
      <w:lvlJc w:val="left"/>
      <w:pPr>
        <w:ind w:left="1440" w:hanging="360"/>
      </w:pPr>
      <w:rPr>
        <w:rFonts w:ascii="Courier New" w:hAnsi="Courier New" w:hint="default"/>
      </w:rPr>
    </w:lvl>
    <w:lvl w:ilvl="2" w:tplc="AB22EB12" w:tentative="1">
      <w:start w:val="1"/>
      <w:numFmt w:val="bullet"/>
      <w:lvlText w:val=""/>
      <w:lvlJc w:val="left"/>
      <w:pPr>
        <w:ind w:left="2160" w:hanging="360"/>
      </w:pPr>
      <w:rPr>
        <w:rFonts w:ascii="Wingdings" w:hAnsi="Wingdings" w:hint="default"/>
      </w:rPr>
    </w:lvl>
    <w:lvl w:ilvl="3" w:tplc="B5482098" w:tentative="1">
      <w:start w:val="1"/>
      <w:numFmt w:val="bullet"/>
      <w:lvlText w:val=""/>
      <w:lvlJc w:val="left"/>
      <w:pPr>
        <w:ind w:left="2880" w:hanging="360"/>
      </w:pPr>
      <w:rPr>
        <w:rFonts w:ascii="Symbol" w:hAnsi="Symbol" w:hint="default"/>
      </w:rPr>
    </w:lvl>
    <w:lvl w:ilvl="4" w:tplc="B82E7448" w:tentative="1">
      <w:start w:val="1"/>
      <w:numFmt w:val="bullet"/>
      <w:lvlText w:val="o"/>
      <w:lvlJc w:val="left"/>
      <w:pPr>
        <w:ind w:left="3600" w:hanging="360"/>
      </w:pPr>
      <w:rPr>
        <w:rFonts w:ascii="Courier New" w:hAnsi="Courier New" w:hint="default"/>
      </w:rPr>
    </w:lvl>
    <w:lvl w:ilvl="5" w:tplc="8C169DFA" w:tentative="1">
      <w:start w:val="1"/>
      <w:numFmt w:val="bullet"/>
      <w:lvlText w:val=""/>
      <w:lvlJc w:val="left"/>
      <w:pPr>
        <w:ind w:left="4320" w:hanging="360"/>
      </w:pPr>
      <w:rPr>
        <w:rFonts w:ascii="Wingdings" w:hAnsi="Wingdings" w:hint="default"/>
      </w:rPr>
    </w:lvl>
    <w:lvl w:ilvl="6" w:tplc="083C5912" w:tentative="1">
      <w:start w:val="1"/>
      <w:numFmt w:val="bullet"/>
      <w:lvlText w:val=""/>
      <w:lvlJc w:val="left"/>
      <w:pPr>
        <w:ind w:left="5040" w:hanging="360"/>
      </w:pPr>
      <w:rPr>
        <w:rFonts w:ascii="Symbol" w:hAnsi="Symbol" w:hint="default"/>
      </w:rPr>
    </w:lvl>
    <w:lvl w:ilvl="7" w:tplc="9F74B118" w:tentative="1">
      <w:start w:val="1"/>
      <w:numFmt w:val="bullet"/>
      <w:lvlText w:val="o"/>
      <w:lvlJc w:val="left"/>
      <w:pPr>
        <w:ind w:left="5760" w:hanging="360"/>
      </w:pPr>
      <w:rPr>
        <w:rFonts w:ascii="Courier New" w:hAnsi="Courier New" w:hint="default"/>
      </w:rPr>
    </w:lvl>
    <w:lvl w:ilvl="8" w:tplc="6FD6D52A" w:tentative="1">
      <w:start w:val="1"/>
      <w:numFmt w:val="bullet"/>
      <w:lvlText w:val=""/>
      <w:lvlJc w:val="left"/>
      <w:pPr>
        <w:ind w:left="6480" w:hanging="360"/>
      </w:pPr>
      <w:rPr>
        <w:rFonts w:ascii="Wingdings" w:hAnsi="Wingdings" w:hint="default"/>
      </w:rPr>
    </w:lvl>
  </w:abstractNum>
  <w:abstractNum w:abstractNumId="535" w15:restartNumberingAfterBreak="0">
    <w:nsid w:val="6FD756F5"/>
    <w:multiLevelType w:val="multilevel"/>
    <w:tmpl w:val="6D7A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FDB7B1F"/>
    <w:multiLevelType w:val="multilevel"/>
    <w:tmpl w:val="4B46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70455BC9"/>
    <w:multiLevelType w:val="multilevel"/>
    <w:tmpl w:val="F984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705C3818"/>
    <w:multiLevelType w:val="hybridMultilevel"/>
    <w:tmpl w:val="FFFFFFFF"/>
    <w:lvl w:ilvl="0" w:tplc="DBCE10CC">
      <w:start w:val="1"/>
      <w:numFmt w:val="bullet"/>
      <w:lvlText w:val="·"/>
      <w:lvlJc w:val="left"/>
      <w:pPr>
        <w:ind w:left="720" w:hanging="360"/>
      </w:pPr>
      <w:rPr>
        <w:rFonts w:ascii="Symbol" w:hAnsi="Symbol" w:hint="default"/>
      </w:rPr>
    </w:lvl>
    <w:lvl w:ilvl="1" w:tplc="A5204392">
      <w:start w:val="1"/>
      <w:numFmt w:val="bullet"/>
      <w:lvlText w:val="o"/>
      <w:lvlJc w:val="left"/>
      <w:pPr>
        <w:ind w:left="1440" w:hanging="360"/>
      </w:pPr>
      <w:rPr>
        <w:rFonts w:ascii="Courier New" w:hAnsi="Courier New" w:hint="default"/>
      </w:rPr>
    </w:lvl>
    <w:lvl w:ilvl="2" w:tplc="B8DA15F0">
      <w:start w:val="1"/>
      <w:numFmt w:val="bullet"/>
      <w:lvlText w:val=""/>
      <w:lvlJc w:val="left"/>
      <w:pPr>
        <w:ind w:left="2160" w:hanging="360"/>
      </w:pPr>
      <w:rPr>
        <w:rFonts w:ascii="Wingdings" w:hAnsi="Wingdings" w:hint="default"/>
      </w:rPr>
    </w:lvl>
    <w:lvl w:ilvl="3" w:tplc="0E6490CC">
      <w:start w:val="1"/>
      <w:numFmt w:val="bullet"/>
      <w:lvlText w:val=""/>
      <w:lvlJc w:val="left"/>
      <w:pPr>
        <w:ind w:left="2880" w:hanging="360"/>
      </w:pPr>
      <w:rPr>
        <w:rFonts w:ascii="Symbol" w:hAnsi="Symbol" w:hint="default"/>
      </w:rPr>
    </w:lvl>
    <w:lvl w:ilvl="4" w:tplc="60946790">
      <w:start w:val="1"/>
      <w:numFmt w:val="bullet"/>
      <w:lvlText w:val="o"/>
      <w:lvlJc w:val="left"/>
      <w:pPr>
        <w:ind w:left="3600" w:hanging="360"/>
      </w:pPr>
      <w:rPr>
        <w:rFonts w:ascii="Courier New" w:hAnsi="Courier New" w:hint="default"/>
      </w:rPr>
    </w:lvl>
    <w:lvl w:ilvl="5" w:tplc="55449094">
      <w:start w:val="1"/>
      <w:numFmt w:val="bullet"/>
      <w:lvlText w:val=""/>
      <w:lvlJc w:val="left"/>
      <w:pPr>
        <w:ind w:left="4320" w:hanging="360"/>
      </w:pPr>
      <w:rPr>
        <w:rFonts w:ascii="Wingdings" w:hAnsi="Wingdings" w:hint="default"/>
      </w:rPr>
    </w:lvl>
    <w:lvl w:ilvl="6" w:tplc="1AE2AE68">
      <w:start w:val="1"/>
      <w:numFmt w:val="bullet"/>
      <w:lvlText w:val=""/>
      <w:lvlJc w:val="left"/>
      <w:pPr>
        <w:ind w:left="5040" w:hanging="360"/>
      </w:pPr>
      <w:rPr>
        <w:rFonts w:ascii="Symbol" w:hAnsi="Symbol" w:hint="default"/>
      </w:rPr>
    </w:lvl>
    <w:lvl w:ilvl="7" w:tplc="3A345FA0">
      <w:start w:val="1"/>
      <w:numFmt w:val="bullet"/>
      <w:lvlText w:val="o"/>
      <w:lvlJc w:val="left"/>
      <w:pPr>
        <w:ind w:left="5760" w:hanging="360"/>
      </w:pPr>
      <w:rPr>
        <w:rFonts w:ascii="Courier New" w:hAnsi="Courier New" w:hint="default"/>
      </w:rPr>
    </w:lvl>
    <w:lvl w:ilvl="8" w:tplc="FB3CB5BE">
      <w:start w:val="1"/>
      <w:numFmt w:val="bullet"/>
      <w:lvlText w:val=""/>
      <w:lvlJc w:val="left"/>
      <w:pPr>
        <w:ind w:left="6480" w:hanging="360"/>
      </w:pPr>
      <w:rPr>
        <w:rFonts w:ascii="Wingdings" w:hAnsi="Wingdings" w:hint="default"/>
      </w:rPr>
    </w:lvl>
  </w:abstractNum>
  <w:abstractNum w:abstractNumId="539" w15:restartNumberingAfterBreak="0">
    <w:nsid w:val="715E7EDC"/>
    <w:multiLevelType w:val="hybridMultilevel"/>
    <w:tmpl w:val="10A6ECB6"/>
    <w:lvl w:ilvl="0" w:tplc="52A04578">
      <w:start w:val="5"/>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0" w15:restartNumberingAfterBreak="0">
    <w:nsid w:val="716A5061"/>
    <w:multiLevelType w:val="hybridMultilevel"/>
    <w:tmpl w:val="B6E05B5E"/>
    <w:lvl w:ilvl="0" w:tplc="F1AAA3CA">
      <w:start w:val="1"/>
      <w:numFmt w:val="bullet"/>
      <w:lvlText w:val=""/>
      <w:lvlJc w:val="left"/>
      <w:pPr>
        <w:ind w:left="780" w:hanging="360"/>
      </w:pPr>
      <w:rPr>
        <w:rFonts w:ascii="Symbol" w:hAnsi="Symbol" w:hint="default"/>
      </w:rPr>
    </w:lvl>
    <w:lvl w:ilvl="1" w:tplc="ED3E23F2" w:tentative="1">
      <w:start w:val="1"/>
      <w:numFmt w:val="bullet"/>
      <w:lvlText w:val="o"/>
      <w:lvlJc w:val="left"/>
      <w:pPr>
        <w:ind w:left="1500" w:hanging="360"/>
      </w:pPr>
      <w:rPr>
        <w:rFonts w:ascii="Courier New" w:hAnsi="Courier New" w:hint="default"/>
      </w:rPr>
    </w:lvl>
    <w:lvl w:ilvl="2" w:tplc="474CB0AA" w:tentative="1">
      <w:start w:val="1"/>
      <w:numFmt w:val="bullet"/>
      <w:lvlText w:val=""/>
      <w:lvlJc w:val="left"/>
      <w:pPr>
        <w:ind w:left="2220" w:hanging="360"/>
      </w:pPr>
      <w:rPr>
        <w:rFonts w:ascii="Wingdings" w:hAnsi="Wingdings" w:hint="default"/>
      </w:rPr>
    </w:lvl>
    <w:lvl w:ilvl="3" w:tplc="E24289D2" w:tentative="1">
      <w:start w:val="1"/>
      <w:numFmt w:val="bullet"/>
      <w:lvlText w:val=""/>
      <w:lvlJc w:val="left"/>
      <w:pPr>
        <w:ind w:left="2940" w:hanging="360"/>
      </w:pPr>
      <w:rPr>
        <w:rFonts w:ascii="Symbol" w:hAnsi="Symbol" w:hint="default"/>
      </w:rPr>
    </w:lvl>
    <w:lvl w:ilvl="4" w:tplc="A912BF4C" w:tentative="1">
      <w:start w:val="1"/>
      <w:numFmt w:val="bullet"/>
      <w:lvlText w:val="o"/>
      <w:lvlJc w:val="left"/>
      <w:pPr>
        <w:ind w:left="3660" w:hanging="360"/>
      </w:pPr>
      <w:rPr>
        <w:rFonts w:ascii="Courier New" w:hAnsi="Courier New" w:hint="default"/>
      </w:rPr>
    </w:lvl>
    <w:lvl w:ilvl="5" w:tplc="825CA8DE" w:tentative="1">
      <w:start w:val="1"/>
      <w:numFmt w:val="bullet"/>
      <w:lvlText w:val=""/>
      <w:lvlJc w:val="left"/>
      <w:pPr>
        <w:ind w:left="4380" w:hanging="360"/>
      </w:pPr>
      <w:rPr>
        <w:rFonts w:ascii="Wingdings" w:hAnsi="Wingdings" w:hint="default"/>
      </w:rPr>
    </w:lvl>
    <w:lvl w:ilvl="6" w:tplc="E31E73B4" w:tentative="1">
      <w:start w:val="1"/>
      <w:numFmt w:val="bullet"/>
      <w:lvlText w:val=""/>
      <w:lvlJc w:val="left"/>
      <w:pPr>
        <w:ind w:left="5100" w:hanging="360"/>
      </w:pPr>
      <w:rPr>
        <w:rFonts w:ascii="Symbol" w:hAnsi="Symbol" w:hint="default"/>
      </w:rPr>
    </w:lvl>
    <w:lvl w:ilvl="7" w:tplc="5DDEA1F2" w:tentative="1">
      <w:start w:val="1"/>
      <w:numFmt w:val="bullet"/>
      <w:lvlText w:val="o"/>
      <w:lvlJc w:val="left"/>
      <w:pPr>
        <w:ind w:left="5820" w:hanging="360"/>
      </w:pPr>
      <w:rPr>
        <w:rFonts w:ascii="Courier New" w:hAnsi="Courier New" w:hint="default"/>
      </w:rPr>
    </w:lvl>
    <w:lvl w:ilvl="8" w:tplc="4D3A2AD0" w:tentative="1">
      <w:start w:val="1"/>
      <w:numFmt w:val="bullet"/>
      <w:lvlText w:val=""/>
      <w:lvlJc w:val="left"/>
      <w:pPr>
        <w:ind w:left="6540" w:hanging="360"/>
      </w:pPr>
      <w:rPr>
        <w:rFonts w:ascii="Wingdings" w:hAnsi="Wingdings" w:hint="default"/>
      </w:rPr>
    </w:lvl>
  </w:abstractNum>
  <w:abstractNum w:abstractNumId="541" w15:restartNumberingAfterBreak="0">
    <w:nsid w:val="71761E67"/>
    <w:multiLevelType w:val="multilevel"/>
    <w:tmpl w:val="0102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1AA5BE2"/>
    <w:multiLevelType w:val="hybridMultilevel"/>
    <w:tmpl w:val="A8CE9020"/>
    <w:lvl w:ilvl="0" w:tplc="165E91CA">
      <w:start w:val="1"/>
      <w:numFmt w:val="bullet"/>
      <w:lvlText w:val=""/>
      <w:lvlJc w:val="left"/>
      <w:pPr>
        <w:ind w:left="720" w:hanging="360"/>
      </w:pPr>
      <w:rPr>
        <w:rFonts w:ascii="Symbol" w:hAnsi="Symbol" w:hint="default"/>
      </w:rPr>
    </w:lvl>
    <w:lvl w:ilvl="1" w:tplc="6E0E90A6" w:tentative="1">
      <w:start w:val="1"/>
      <w:numFmt w:val="bullet"/>
      <w:lvlText w:val="o"/>
      <w:lvlJc w:val="left"/>
      <w:pPr>
        <w:ind w:left="1440" w:hanging="360"/>
      </w:pPr>
      <w:rPr>
        <w:rFonts w:ascii="Courier New" w:hAnsi="Courier New" w:hint="default"/>
      </w:rPr>
    </w:lvl>
    <w:lvl w:ilvl="2" w:tplc="AD8436E6" w:tentative="1">
      <w:start w:val="1"/>
      <w:numFmt w:val="bullet"/>
      <w:lvlText w:val=""/>
      <w:lvlJc w:val="left"/>
      <w:pPr>
        <w:ind w:left="2160" w:hanging="360"/>
      </w:pPr>
      <w:rPr>
        <w:rFonts w:ascii="Wingdings" w:hAnsi="Wingdings" w:hint="default"/>
      </w:rPr>
    </w:lvl>
    <w:lvl w:ilvl="3" w:tplc="A782C892" w:tentative="1">
      <w:start w:val="1"/>
      <w:numFmt w:val="bullet"/>
      <w:lvlText w:val=""/>
      <w:lvlJc w:val="left"/>
      <w:pPr>
        <w:ind w:left="2880" w:hanging="360"/>
      </w:pPr>
      <w:rPr>
        <w:rFonts w:ascii="Symbol" w:hAnsi="Symbol" w:hint="default"/>
      </w:rPr>
    </w:lvl>
    <w:lvl w:ilvl="4" w:tplc="176E606C" w:tentative="1">
      <w:start w:val="1"/>
      <w:numFmt w:val="bullet"/>
      <w:lvlText w:val="o"/>
      <w:lvlJc w:val="left"/>
      <w:pPr>
        <w:ind w:left="3600" w:hanging="360"/>
      </w:pPr>
      <w:rPr>
        <w:rFonts w:ascii="Courier New" w:hAnsi="Courier New" w:hint="default"/>
      </w:rPr>
    </w:lvl>
    <w:lvl w:ilvl="5" w:tplc="6CCEAF4A" w:tentative="1">
      <w:start w:val="1"/>
      <w:numFmt w:val="bullet"/>
      <w:lvlText w:val=""/>
      <w:lvlJc w:val="left"/>
      <w:pPr>
        <w:ind w:left="4320" w:hanging="360"/>
      </w:pPr>
      <w:rPr>
        <w:rFonts w:ascii="Wingdings" w:hAnsi="Wingdings" w:hint="default"/>
      </w:rPr>
    </w:lvl>
    <w:lvl w:ilvl="6" w:tplc="1A70C370" w:tentative="1">
      <w:start w:val="1"/>
      <w:numFmt w:val="bullet"/>
      <w:lvlText w:val=""/>
      <w:lvlJc w:val="left"/>
      <w:pPr>
        <w:ind w:left="5040" w:hanging="360"/>
      </w:pPr>
      <w:rPr>
        <w:rFonts w:ascii="Symbol" w:hAnsi="Symbol" w:hint="default"/>
      </w:rPr>
    </w:lvl>
    <w:lvl w:ilvl="7" w:tplc="510A689A" w:tentative="1">
      <w:start w:val="1"/>
      <w:numFmt w:val="bullet"/>
      <w:lvlText w:val="o"/>
      <w:lvlJc w:val="left"/>
      <w:pPr>
        <w:ind w:left="5760" w:hanging="360"/>
      </w:pPr>
      <w:rPr>
        <w:rFonts w:ascii="Courier New" w:hAnsi="Courier New" w:hint="default"/>
      </w:rPr>
    </w:lvl>
    <w:lvl w:ilvl="8" w:tplc="71182A58" w:tentative="1">
      <w:start w:val="1"/>
      <w:numFmt w:val="bullet"/>
      <w:lvlText w:val=""/>
      <w:lvlJc w:val="left"/>
      <w:pPr>
        <w:ind w:left="6480" w:hanging="360"/>
      </w:pPr>
      <w:rPr>
        <w:rFonts w:ascii="Wingdings" w:hAnsi="Wingdings" w:hint="default"/>
      </w:rPr>
    </w:lvl>
  </w:abstractNum>
  <w:abstractNum w:abstractNumId="543" w15:restartNumberingAfterBreak="0">
    <w:nsid w:val="72707CC8"/>
    <w:multiLevelType w:val="hybridMultilevel"/>
    <w:tmpl w:val="E1B0D960"/>
    <w:lvl w:ilvl="0" w:tplc="FFFFFFFF">
      <w:start w:val="1"/>
      <w:numFmt w:val="bullet"/>
      <w:lvlText w:val="·"/>
      <w:lvlJc w:val="left"/>
      <w:pPr>
        <w:ind w:left="720" w:hanging="360"/>
      </w:pPr>
      <w:rPr>
        <w:rFonts w:ascii="Symbol" w:hAnsi="Symbol" w:hint="default"/>
      </w:rPr>
    </w:lvl>
    <w:lvl w:ilvl="1" w:tplc="1D26A2B0">
      <w:start w:val="1"/>
      <w:numFmt w:val="bullet"/>
      <w:lvlText w:val="o"/>
      <w:lvlJc w:val="left"/>
      <w:pPr>
        <w:ind w:left="1440" w:hanging="360"/>
      </w:pPr>
      <w:rPr>
        <w:rFonts w:ascii="Courier New" w:hAnsi="Courier New" w:hint="default"/>
      </w:rPr>
    </w:lvl>
    <w:lvl w:ilvl="2" w:tplc="A45CF4D8" w:tentative="1">
      <w:start w:val="1"/>
      <w:numFmt w:val="bullet"/>
      <w:lvlText w:val=""/>
      <w:lvlJc w:val="left"/>
      <w:pPr>
        <w:ind w:left="2160" w:hanging="360"/>
      </w:pPr>
      <w:rPr>
        <w:rFonts w:ascii="Wingdings" w:hAnsi="Wingdings" w:hint="default"/>
      </w:rPr>
    </w:lvl>
    <w:lvl w:ilvl="3" w:tplc="A67EB5C4" w:tentative="1">
      <w:start w:val="1"/>
      <w:numFmt w:val="bullet"/>
      <w:lvlText w:val=""/>
      <w:lvlJc w:val="left"/>
      <w:pPr>
        <w:ind w:left="2880" w:hanging="360"/>
      </w:pPr>
      <w:rPr>
        <w:rFonts w:ascii="Symbol" w:hAnsi="Symbol" w:hint="default"/>
      </w:rPr>
    </w:lvl>
    <w:lvl w:ilvl="4" w:tplc="949495DC" w:tentative="1">
      <w:start w:val="1"/>
      <w:numFmt w:val="bullet"/>
      <w:lvlText w:val="o"/>
      <w:lvlJc w:val="left"/>
      <w:pPr>
        <w:ind w:left="3600" w:hanging="360"/>
      </w:pPr>
      <w:rPr>
        <w:rFonts w:ascii="Courier New" w:hAnsi="Courier New" w:hint="default"/>
      </w:rPr>
    </w:lvl>
    <w:lvl w:ilvl="5" w:tplc="A3C685D4" w:tentative="1">
      <w:start w:val="1"/>
      <w:numFmt w:val="bullet"/>
      <w:lvlText w:val=""/>
      <w:lvlJc w:val="left"/>
      <w:pPr>
        <w:ind w:left="4320" w:hanging="360"/>
      </w:pPr>
      <w:rPr>
        <w:rFonts w:ascii="Wingdings" w:hAnsi="Wingdings" w:hint="default"/>
      </w:rPr>
    </w:lvl>
    <w:lvl w:ilvl="6" w:tplc="A7A61542" w:tentative="1">
      <w:start w:val="1"/>
      <w:numFmt w:val="bullet"/>
      <w:lvlText w:val=""/>
      <w:lvlJc w:val="left"/>
      <w:pPr>
        <w:ind w:left="5040" w:hanging="360"/>
      </w:pPr>
      <w:rPr>
        <w:rFonts w:ascii="Symbol" w:hAnsi="Symbol" w:hint="default"/>
      </w:rPr>
    </w:lvl>
    <w:lvl w:ilvl="7" w:tplc="D530354C" w:tentative="1">
      <w:start w:val="1"/>
      <w:numFmt w:val="bullet"/>
      <w:lvlText w:val="o"/>
      <w:lvlJc w:val="left"/>
      <w:pPr>
        <w:ind w:left="5760" w:hanging="360"/>
      </w:pPr>
      <w:rPr>
        <w:rFonts w:ascii="Courier New" w:hAnsi="Courier New" w:hint="default"/>
      </w:rPr>
    </w:lvl>
    <w:lvl w:ilvl="8" w:tplc="2892C7D6" w:tentative="1">
      <w:start w:val="1"/>
      <w:numFmt w:val="bullet"/>
      <w:lvlText w:val=""/>
      <w:lvlJc w:val="left"/>
      <w:pPr>
        <w:ind w:left="6480" w:hanging="360"/>
      </w:pPr>
      <w:rPr>
        <w:rFonts w:ascii="Wingdings" w:hAnsi="Wingdings" w:hint="default"/>
      </w:rPr>
    </w:lvl>
  </w:abstractNum>
  <w:abstractNum w:abstractNumId="544" w15:restartNumberingAfterBreak="0">
    <w:nsid w:val="72847C5F"/>
    <w:multiLevelType w:val="multilevel"/>
    <w:tmpl w:val="5D8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72EC26AA"/>
    <w:multiLevelType w:val="multilevel"/>
    <w:tmpl w:val="EC1CAD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731E1C3A"/>
    <w:multiLevelType w:val="multilevel"/>
    <w:tmpl w:val="224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73246CA1"/>
    <w:multiLevelType w:val="hybridMultilevel"/>
    <w:tmpl w:val="66DEAE3C"/>
    <w:lvl w:ilvl="0" w:tplc="1C625C72">
      <w:start w:val="1"/>
      <w:numFmt w:val="bullet"/>
      <w:lvlText w:val=""/>
      <w:lvlJc w:val="left"/>
      <w:pPr>
        <w:ind w:left="360" w:hanging="360"/>
      </w:pPr>
      <w:rPr>
        <w:rFonts w:ascii="Symbol" w:hAnsi="Symbol" w:hint="default"/>
      </w:rPr>
    </w:lvl>
    <w:lvl w:ilvl="1" w:tplc="E530EDEE" w:tentative="1">
      <w:start w:val="1"/>
      <w:numFmt w:val="bullet"/>
      <w:lvlText w:val="o"/>
      <w:lvlJc w:val="left"/>
      <w:pPr>
        <w:ind w:left="1080" w:hanging="360"/>
      </w:pPr>
      <w:rPr>
        <w:rFonts w:ascii="Courier New" w:hAnsi="Courier New" w:hint="default"/>
      </w:rPr>
    </w:lvl>
    <w:lvl w:ilvl="2" w:tplc="81983DF8" w:tentative="1">
      <w:start w:val="1"/>
      <w:numFmt w:val="bullet"/>
      <w:lvlText w:val=""/>
      <w:lvlJc w:val="left"/>
      <w:pPr>
        <w:ind w:left="1800" w:hanging="360"/>
      </w:pPr>
      <w:rPr>
        <w:rFonts w:ascii="Wingdings" w:hAnsi="Wingdings" w:hint="default"/>
      </w:rPr>
    </w:lvl>
    <w:lvl w:ilvl="3" w:tplc="A35A595A" w:tentative="1">
      <w:start w:val="1"/>
      <w:numFmt w:val="bullet"/>
      <w:lvlText w:val=""/>
      <w:lvlJc w:val="left"/>
      <w:pPr>
        <w:ind w:left="2520" w:hanging="360"/>
      </w:pPr>
      <w:rPr>
        <w:rFonts w:ascii="Symbol" w:hAnsi="Symbol" w:hint="default"/>
      </w:rPr>
    </w:lvl>
    <w:lvl w:ilvl="4" w:tplc="3586A666" w:tentative="1">
      <w:start w:val="1"/>
      <w:numFmt w:val="bullet"/>
      <w:lvlText w:val="o"/>
      <w:lvlJc w:val="left"/>
      <w:pPr>
        <w:ind w:left="3240" w:hanging="360"/>
      </w:pPr>
      <w:rPr>
        <w:rFonts w:ascii="Courier New" w:hAnsi="Courier New" w:hint="default"/>
      </w:rPr>
    </w:lvl>
    <w:lvl w:ilvl="5" w:tplc="4ADADBC8" w:tentative="1">
      <w:start w:val="1"/>
      <w:numFmt w:val="bullet"/>
      <w:lvlText w:val=""/>
      <w:lvlJc w:val="left"/>
      <w:pPr>
        <w:ind w:left="3960" w:hanging="360"/>
      </w:pPr>
      <w:rPr>
        <w:rFonts w:ascii="Wingdings" w:hAnsi="Wingdings" w:hint="default"/>
      </w:rPr>
    </w:lvl>
    <w:lvl w:ilvl="6" w:tplc="15DCD794" w:tentative="1">
      <w:start w:val="1"/>
      <w:numFmt w:val="bullet"/>
      <w:lvlText w:val=""/>
      <w:lvlJc w:val="left"/>
      <w:pPr>
        <w:ind w:left="4680" w:hanging="360"/>
      </w:pPr>
      <w:rPr>
        <w:rFonts w:ascii="Symbol" w:hAnsi="Symbol" w:hint="default"/>
      </w:rPr>
    </w:lvl>
    <w:lvl w:ilvl="7" w:tplc="04D4796E" w:tentative="1">
      <w:start w:val="1"/>
      <w:numFmt w:val="bullet"/>
      <w:lvlText w:val="o"/>
      <w:lvlJc w:val="left"/>
      <w:pPr>
        <w:ind w:left="5400" w:hanging="360"/>
      </w:pPr>
      <w:rPr>
        <w:rFonts w:ascii="Courier New" w:hAnsi="Courier New" w:hint="default"/>
      </w:rPr>
    </w:lvl>
    <w:lvl w:ilvl="8" w:tplc="E964620C" w:tentative="1">
      <w:start w:val="1"/>
      <w:numFmt w:val="bullet"/>
      <w:lvlText w:val=""/>
      <w:lvlJc w:val="left"/>
      <w:pPr>
        <w:ind w:left="6120" w:hanging="360"/>
      </w:pPr>
      <w:rPr>
        <w:rFonts w:ascii="Wingdings" w:hAnsi="Wingdings" w:hint="default"/>
      </w:rPr>
    </w:lvl>
  </w:abstractNum>
  <w:abstractNum w:abstractNumId="548" w15:restartNumberingAfterBreak="0">
    <w:nsid w:val="735C6EEA"/>
    <w:multiLevelType w:val="hybridMultilevel"/>
    <w:tmpl w:val="CBA06F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9" w15:restartNumberingAfterBreak="0">
    <w:nsid w:val="735E3325"/>
    <w:multiLevelType w:val="hybridMultilevel"/>
    <w:tmpl w:val="8B7EED5A"/>
    <w:lvl w:ilvl="0" w:tplc="B76C4752">
      <w:start w:val="1"/>
      <w:numFmt w:val="bullet"/>
      <w:lvlText w:val=""/>
      <w:lvlJc w:val="left"/>
      <w:pPr>
        <w:ind w:left="720" w:hanging="360"/>
      </w:pPr>
      <w:rPr>
        <w:rFonts w:ascii="Symbol" w:hAnsi="Symbol" w:hint="default"/>
      </w:rPr>
    </w:lvl>
    <w:lvl w:ilvl="1" w:tplc="638440E4" w:tentative="1">
      <w:start w:val="1"/>
      <w:numFmt w:val="bullet"/>
      <w:lvlText w:val="o"/>
      <w:lvlJc w:val="left"/>
      <w:pPr>
        <w:ind w:left="1440" w:hanging="360"/>
      </w:pPr>
      <w:rPr>
        <w:rFonts w:ascii="Courier New" w:hAnsi="Courier New" w:hint="default"/>
      </w:rPr>
    </w:lvl>
    <w:lvl w:ilvl="2" w:tplc="FC92F4D2" w:tentative="1">
      <w:start w:val="1"/>
      <w:numFmt w:val="bullet"/>
      <w:lvlText w:val=""/>
      <w:lvlJc w:val="left"/>
      <w:pPr>
        <w:ind w:left="2160" w:hanging="360"/>
      </w:pPr>
      <w:rPr>
        <w:rFonts w:ascii="Wingdings" w:hAnsi="Wingdings" w:hint="default"/>
      </w:rPr>
    </w:lvl>
    <w:lvl w:ilvl="3" w:tplc="B0645978" w:tentative="1">
      <w:start w:val="1"/>
      <w:numFmt w:val="bullet"/>
      <w:lvlText w:val=""/>
      <w:lvlJc w:val="left"/>
      <w:pPr>
        <w:ind w:left="2880" w:hanging="360"/>
      </w:pPr>
      <w:rPr>
        <w:rFonts w:ascii="Symbol" w:hAnsi="Symbol" w:hint="default"/>
      </w:rPr>
    </w:lvl>
    <w:lvl w:ilvl="4" w:tplc="E2B268A4" w:tentative="1">
      <w:start w:val="1"/>
      <w:numFmt w:val="bullet"/>
      <w:lvlText w:val="o"/>
      <w:lvlJc w:val="left"/>
      <w:pPr>
        <w:ind w:left="3600" w:hanging="360"/>
      </w:pPr>
      <w:rPr>
        <w:rFonts w:ascii="Courier New" w:hAnsi="Courier New" w:hint="default"/>
      </w:rPr>
    </w:lvl>
    <w:lvl w:ilvl="5" w:tplc="DDA48E44" w:tentative="1">
      <w:start w:val="1"/>
      <w:numFmt w:val="bullet"/>
      <w:lvlText w:val=""/>
      <w:lvlJc w:val="left"/>
      <w:pPr>
        <w:ind w:left="4320" w:hanging="360"/>
      </w:pPr>
      <w:rPr>
        <w:rFonts w:ascii="Wingdings" w:hAnsi="Wingdings" w:hint="default"/>
      </w:rPr>
    </w:lvl>
    <w:lvl w:ilvl="6" w:tplc="34D4EF0A" w:tentative="1">
      <w:start w:val="1"/>
      <w:numFmt w:val="bullet"/>
      <w:lvlText w:val=""/>
      <w:lvlJc w:val="left"/>
      <w:pPr>
        <w:ind w:left="5040" w:hanging="360"/>
      </w:pPr>
      <w:rPr>
        <w:rFonts w:ascii="Symbol" w:hAnsi="Symbol" w:hint="default"/>
      </w:rPr>
    </w:lvl>
    <w:lvl w:ilvl="7" w:tplc="06B80FE6" w:tentative="1">
      <w:start w:val="1"/>
      <w:numFmt w:val="bullet"/>
      <w:lvlText w:val="o"/>
      <w:lvlJc w:val="left"/>
      <w:pPr>
        <w:ind w:left="5760" w:hanging="360"/>
      </w:pPr>
      <w:rPr>
        <w:rFonts w:ascii="Courier New" w:hAnsi="Courier New" w:hint="default"/>
      </w:rPr>
    </w:lvl>
    <w:lvl w:ilvl="8" w:tplc="65CCC444" w:tentative="1">
      <w:start w:val="1"/>
      <w:numFmt w:val="bullet"/>
      <w:lvlText w:val=""/>
      <w:lvlJc w:val="left"/>
      <w:pPr>
        <w:ind w:left="6480" w:hanging="360"/>
      </w:pPr>
      <w:rPr>
        <w:rFonts w:ascii="Wingdings" w:hAnsi="Wingdings" w:hint="default"/>
      </w:rPr>
    </w:lvl>
  </w:abstractNum>
  <w:abstractNum w:abstractNumId="550" w15:restartNumberingAfterBreak="0">
    <w:nsid w:val="7366639C"/>
    <w:multiLevelType w:val="hybridMultilevel"/>
    <w:tmpl w:val="3A74E7E8"/>
    <w:lvl w:ilvl="0" w:tplc="C21AFCFA">
      <w:start w:val="1"/>
      <w:numFmt w:val="bullet"/>
      <w:lvlText w:val=""/>
      <w:lvlJc w:val="left"/>
      <w:pPr>
        <w:ind w:left="720" w:hanging="360"/>
      </w:pPr>
      <w:rPr>
        <w:rFonts w:ascii="Symbol" w:hAnsi="Symbol" w:hint="default"/>
      </w:rPr>
    </w:lvl>
    <w:lvl w:ilvl="1" w:tplc="C4127EE2" w:tentative="1">
      <w:start w:val="1"/>
      <w:numFmt w:val="bullet"/>
      <w:lvlText w:val="o"/>
      <w:lvlJc w:val="left"/>
      <w:pPr>
        <w:ind w:left="1440" w:hanging="360"/>
      </w:pPr>
      <w:rPr>
        <w:rFonts w:ascii="Courier New" w:hAnsi="Courier New" w:hint="default"/>
      </w:rPr>
    </w:lvl>
    <w:lvl w:ilvl="2" w:tplc="065658E8" w:tentative="1">
      <w:start w:val="1"/>
      <w:numFmt w:val="bullet"/>
      <w:lvlText w:val=""/>
      <w:lvlJc w:val="left"/>
      <w:pPr>
        <w:ind w:left="2160" w:hanging="360"/>
      </w:pPr>
      <w:rPr>
        <w:rFonts w:ascii="Wingdings" w:hAnsi="Wingdings" w:hint="default"/>
      </w:rPr>
    </w:lvl>
    <w:lvl w:ilvl="3" w:tplc="27B6FD92" w:tentative="1">
      <w:start w:val="1"/>
      <w:numFmt w:val="bullet"/>
      <w:lvlText w:val=""/>
      <w:lvlJc w:val="left"/>
      <w:pPr>
        <w:ind w:left="2880" w:hanging="360"/>
      </w:pPr>
      <w:rPr>
        <w:rFonts w:ascii="Symbol" w:hAnsi="Symbol" w:hint="default"/>
      </w:rPr>
    </w:lvl>
    <w:lvl w:ilvl="4" w:tplc="72883A26" w:tentative="1">
      <w:start w:val="1"/>
      <w:numFmt w:val="bullet"/>
      <w:lvlText w:val="o"/>
      <w:lvlJc w:val="left"/>
      <w:pPr>
        <w:ind w:left="3600" w:hanging="360"/>
      </w:pPr>
      <w:rPr>
        <w:rFonts w:ascii="Courier New" w:hAnsi="Courier New" w:hint="default"/>
      </w:rPr>
    </w:lvl>
    <w:lvl w:ilvl="5" w:tplc="254A04A0" w:tentative="1">
      <w:start w:val="1"/>
      <w:numFmt w:val="bullet"/>
      <w:lvlText w:val=""/>
      <w:lvlJc w:val="left"/>
      <w:pPr>
        <w:ind w:left="4320" w:hanging="360"/>
      </w:pPr>
      <w:rPr>
        <w:rFonts w:ascii="Wingdings" w:hAnsi="Wingdings" w:hint="default"/>
      </w:rPr>
    </w:lvl>
    <w:lvl w:ilvl="6" w:tplc="ECDAEC44" w:tentative="1">
      <w:start w:val="1"/>
      <w:numFmt w:val="bullet"/>
      <w:lvlText w:val=""/>
      <w:lvlJc w:val="left"/>
      <w:pPr>
        <w:ind w:left="5040" w:hanging="360"/>
      </w:pPr>
      <w:rPr>
        <w:rFonts w:ascii="Symbol" w:hAnsi="Symbol" w:hint="default"/>
      </w:rPr>
    </w:lvl>
    <w:lvl w:ilvl="7" w:tplc="77E03684" w:tentative="1">
      <w:start w:val="1"/>
      <w:numFmt w:val="bullet"/>
      <w:lvlText w:val="o"/>
      <w:lvlJc w:val="left"/>
      <w:pPr>
        <w:ind w:left="5760" w:hanging="360"/>
      </w:pPr>
      <w:rPr>
        <w:rFonts w:ascii="Courier New" w:hAnsi="Courier New" w:hint="default"/>
      </w:rPr>
    </w:lvl>
    <w:lvl w:ilvl="8" w:tplc="C880937A" w:tentative="1">
      <w:start w:val="1"/>
      <w:numFmt w:val="bullet"/>
      <w:lvlText w:val=""/>
      <w:lvlJc w:val="left"/>
      <w:pPr>
        <w:ind w:left="6480" w:hanging="360"/>
      </w:pPr>
      <w:rPr>
        <w:rFonts w:ascii="Wingdings" w:hAnsi="Wingdings" w:hint="default"/>
      </w:rPr>
    </w:lvl>
  </w:abstractNum>
  <w:abstractNum w:abstractNumId="551" w15:restartNumberingAfterBreak="0">
    <w:nsid w:val="73683440"/>
    <w:multiLevelType w:val="hybridMultilevel"/>
    <w:tmpl w:val="BAC00892"/>
    <w:styleLink w:val="CurrentList18"/>
    <w:lvl w:ilvl="0" w:tplc="8922738A">
      <w:start w:val="1"/>
      <w:numFmt w:val="bullet"/>
      <w:lvlText w:val=""/>
      <w:lvlJc w:val="left"/>
      <w:pPr>
        <w:ind w:left="720" w:hanging="360"/>
      </w:pPr>
      <w:rPr>
        <w:rFonts w:ascii="Symbol" w:hAnsi="Symbol" w:hint="default"/>
      </w:rPr>
    </w:lvl>
    <w:lvl w:ilvl="1" w:tplc="0EF07B2E" w:tentative="1">
      <w:start w:val="1"/>
      <w:numFmt w:val="bullet"/>
      <w:lvlText w:val="o"/>
      <w:lvlJc w:val="left"/>
      <w:pPr>
        <w:ind w:left="1440" w:hanging="360"/>
      </w:pPr>
      <w:rPr>
        <w:rFonts w:ascii="Courier New" w:hAnsi="Courier New" w:hint="default"/>
      </w:rPr>
    </w:lvl>
    <w:lvl w:ilvl="2" w:tplc="FFC2721E" w:tentative="1">
      <w:start w:val="1"/>
      <w:numFmt w:val="bullet"/>
      <w:lvlText w:val=""/>
      <w:lvlJc w:val="left"/>
      <w:pPr>
        <w:ind w:left="2160" w:hanging="360"/>
      </w:pPr>
      <w:rPr>
        <w:rFonts w:ascii="Wingdings" w:hAnsi="Wingdings" w:hint="default"/>
      </w:rPr>
    </w:lvl>
    <w:lvl w:ilvl="3" w:tplc="5F56D024" w:tentative="1">
      <w:start w:val="1"/>
      <w:numFmt w:val="bullet"/>
      <w:lvlText w:val=""/>
      <w:lvlJc w:val="left"/>
      <w:pPr>
        <w:ind w:left="2880" w:hanging="360"/>
      </w:pPr>
      <w:rPr>
        <w:rFonts w:ascii="Symbol" w:hAnsi="Symbol" w:hint="default"/>
      </w:rPr>
    </w:lvl>
    <w:lvl w:ilvl="4" w:tplc="6E64920E" w:tentative="1">
      <w:start w:val="1"/>
      <w:numFmt w:val="bullet"/>
      <w:lvlText w:val="o"/>
      <w:lvlJc w:val="left"/>
      <w:pPr>
        <w:ind w:left="3600" w:hanging="360"/>
      </w:pPr>
      <w:rPr>
        <w:rFonts w:ascii="Courier New" w:hAnsi="Courier New" w:hint="default"/>
      </w:rPr>
    </w:lvl>
    <w:lvl w:ilvl="5" w:tplc="B900D4A4" w:tentative="1">
      <w:start w:val="1"/>
      <w:numFmt w:val="bullet"/>
      <w:lvlText w:val=""/>
      <w:lvlJc w:val="left"/>
      <w:pPr>
        <w:ind w:left="4320" w:hanging="360"/>
      </w:pPr>
      <w:rPr>
        <w:rFonts w:ascii="Wingdings" w:hAnsi="Wingdings" w:hint="default"/>
      </w:rPr>
    </w:lvl>
    <w:lvl w:ilvl="6" w:tplc="2488C38A" w:tentative="1">
      <w:start w:val="1"/>
      <w:numFmt w:val="bullet"/>
      <w:lvlText w:val=""/>
      <w:lvlJc w:val="left"/>
      <w:pPr>
        <w:ind w:left="5040" w:hanging="360"/>
      </w:pPr>
      <w:rPr>
        <w:rFonts w:ascii="Symbol" w:hAnsi="Symbol" w:hint="default"/>
      </w:rPr>
    </w:lvl>
    <w:lvl w:ilvl="7" w:tplc="291C8ED4" w:tentative="1">
      <w:start w:val="1"/>
      <w:numFmt w:val="bullet"/>
      <w:lvlText w:val="o"/>
      <w:lvlJc w:val="left"/>
      <w:pPr>
        <w:ind w:left="5760" w:hanging="360"/>
      </w:pPr>
      <w:rPr>
        <w:rFonts w:ascii="Courier New" w:hAnsi="Courier New" w:hint="default"/>
      </w:rPr>
    </w:lvl>
    <w:lvl w:ilvl="8" w:tplc="C9E27034" w:tentative="1">
      <w:start w:val="1"/>
      <w:numFmt w:val="bullet"/>
      <w:lvlText w:val=""/>
      <w:lvlJc w:val="left"/>
      <w:pPr>
        <w:ind w:left="6480" w:hanging="360"/>
      </w:pPr>
      <w:rPr>
        <w:rFonts w:ascii="Wingdings" w:hAnsi="Wingdings" w:hint="default"/>
      </w:rPr>
    </w:lvl>
  </w:abstractNum>
  <w:abstractNum w:abstractNumId="552" w15:restartNumberingAfterBreak="0">
    <w:nsid w:val="73AB4572"/>
    <w:multiLevelType w:val="multilevel"/>
    <w:tmpl w:val="D91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73D164CF"/>
    <w:multiLevelType w:val="multilevel"/>
    <w:tmpl w:val="3DE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3E517C8"/>
    <w:multiLevelType w:val="hybridMultilevel"/>
    <w:tmpl w:val="2FC4BDB0"/>
    <w:lvl w:ilvl="0" w:tplc="B02E6288">
      <w:start w:val="1"/>
      <w:numFmt w:val="bullet"/>
      <w:lvlText w:val=""/>
      <w:lvlJc w:val="left"/>
      <w:pPr>
        <w:ind w:left="720" w:hanging="360"/>
      </w:pPr>
      <w:rPr>
        <w:rFonts w:ascii="Symbol" w:hAnsi="Symbol" w:hint="default"/>
      </w:rPr>
    </w:lvl>
    <w:lvl w:ilvl="1" w:tplc="802A60B6">
      <w:start w:val="1"/>
      <w:numFmt w:val="bullet"/>
      <w:lvlText w:val="o"/>
      <w:lvlJc w:val="left"/>
      <w:pPr>
        <w:ind w:left="1440" w:hanging="360"/>
      </w:pPr>
      <w:rPr>
        <w:rFonts w:ascii="Courier New" w:hAnsi="Courier New" w:hint="default"/>
      </w:rPr>
    </w:lvl>
    <w:lvl w:ilvl="2" w:tplc="B434D6F6">
      <w:start w:val="1"/>
      <w:numFmt w:val="bullet"/>
      <w:lvlText w:val=""/>
      <w:lvlJc w:val="left"/>
      <w:pPr>
        <w:ind w:left="2160" w:hanging="360"/>
      </w:pPr>
      <w:rPr>
        <w:rFonts w:ascii="Wingdings" w:hAnsi="Wingdings" w:hint="default"/>
      </w:rPr>
    </w:lvl>
    <w:lvl w:ilvl="3" w:tplc="4F4433C2">
      <w:start w:val="1"/>
      <w:numFmt w:val="bullet"/>
      <w:lvlText w:val=""/>
      <w:lvlJc w:val="left"/>
      <w:pPr>
        <w:ind w:left="2880" w:hanging="360"/>
      </w:pPr>
      <w:rPr>
        <w:rFonts w:ascii="Symbol" w:hAnsi="Symbol" w:hint="default"/>
      </w:rPr>
    </w:lvl>
    <w:lvl w:ilvl="4" w:tplc="F9F8672A">
      <w:start w:val="1"/>
      <w:numFmt w:val="bullet"/>
      <w:lvlText w:val="o"/>
      <w:lvlJc w:val="left"/>
      <w:pPr>
        <w:ind w:left="3600" w:hanging="360"/>
      </w:pPr>
      <w:rPr>
        <w:rFonts w:ascii="Courier New" w:hAnsi="Courier New" w:hint="default"/>
      </w:rPr>
    </w:lvl>
    <w:lvl w:ilvl="5" w:tplc="2256A564">
      <w:start w:val="1"/>
      <w:numFmt w:val="bullet"/>
      <w:lvlText w:val=""/>
      <w:lvlJc w:val="left"/>
      <w:pPr>
        <w:ind w:left="4320" w:hanging="360"/>
      </w:pPr>
      <w:rPr>
        <w:rFonts w:ascii="Wingdings" w:hAnsi="Wingdings" w:hint="default"/>
      </w:rPr>
    </w:lvl>
    <w:lvl w:ilvl="6" w:tplc="63820D9E">
      <w:start w:val="1"/>
      <w:numFmt w:val="bullet"/>
      <w:lvlText w:val=""/>
      <w:lvlJc w:val="left"/>
      <w:pPr>
        <w:ind w:left="5040" w:hanging="360"/>
      </w:pPr>
      <w:rPr>
        <w:rFonts w:ascii="Symbol" w:hAnsi="Symbol" w:hint="default"/>
      </w:rPr>
    </w:lvl>
    <w:lvl w:ilvl="7" w:tplc="D3C84624">
      <w:start w:val="1"/>
      <w:numFmt w:val="bullet"/>
      <w:lvlText w:val="o"/>
      <w:lvlJc w:val="left"/>
      <w:pPr>
        <w:ind w:left="5760" w:hanging="360"/>
      </w:pPr>
      <w:rPr>
        <w:rFonts w:ascii="Courier New" w:hAnsi="Courier New" w:hint="default"/>
      </w:rPr>
    </w:lvl>
    <w:lvl w:ilvl="8" w:tplc="3E42BB04">
      <w:start w:val="1"/>
      <w:numFmt w:val="bullet"/>
      <w:lvlText w:val=""/>
      <w:lvlJc w:val="left"/>
      <w:pPr>
        <w:ind w:left="6480" w:hanging="360"/>
      </w:pPr>
      <w:rPr>
        <w:rFonts w:ascii="Wingdings" w:hAnsi="Wingdings" w:hint="default"/>
      </w:rPr>
    </w:lvl>
  </w:abstractNum>
  <w:abstractNum w:abstractNumId="555" w15:restartNumberingAfterBreak="0">
    <w:nsid w:val="740200F4"/>
    <w:multiLevelType w:val="multilevel"/>
    <w:tmpl w:val="CC00A578"/>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6" w15:restartNumberingAfterBreak="0">
    <w:nsid w:val="74262C70"/>
    <w:multiLevelType w:val="multilevel"/>
    <w:tmpl w:val="07E8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44C5FB8"/>
    <w:multiLevelType w:val="hybridMultilevel"/>
    <w:tmpl w:val="BA7490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58" w15:restartNumberingAfterBreak="0">
    <w:nsid w:val="748F548E"/>
    <w:multiLevelType w:val="multilevel"/>
    <w:tmpl w:val="292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4C45A26"/>
    <w:multiLevelType w:val="hybridMultilevel"/>
    <w:tmpl w:val="7BFE3586"/>
    <w:lvl w:ilvl="0" w:tplc="58D093A6">
      <w:start w:val="1"/>
      <w:numFmt w:val="bullet"/>
      <w:lvlText w:val=""/>
      <w:lvlJc w:val="left"/>
      <w:pPr>
        <w:ind w:left="720" w:hanging="360"/>
      </w:pPr>
      <w:rPr>
        <w:rFonts w:ascii="Symbol" w:hAnsi="Symbol" w:hint="default"/>
      </w:rPr>
    </w:lvl>
    <w:lvl w:ilvl="1" w:tplc="D0CCCD2C" w:tentative="1">
      <w:start w:val="1"/>
      <w:numFmt w:val="bullet"/>
      <w:lvlText w:val="o"/>
      <w:lvlJc w:val="left"/>
      <w:pPr>
        <w:ind w:left="1440" w:hanging="360"/>
      </w:pPr>
      <w:rPr>
        <w:rFonts w:ascii="Courier New" w:hAnsi="Courier New" w:hint="default"/>
      </w:rPr>
    </w:lvl>
    <w:lvl w:ilvl="2" w:tplc="908E1746" w:tentative="1">
      <w:start w:val="1"/>
      <w:numFmt w:val="bullet"/>
      <w:lvlText w:val=""/>
      <w:lvlJc w:val="left"/>
      <w:pPr>
        <w:ind w:left="2160" w:hanging="360"/>
      </w:pPr>
      <w:rPr>
        <w:rFonts w:ascii="Wingdings" w:hAnsi="Wingdings" w:hint="default"/>
      </w:rPr>
    </w:lvl>
    <w:lvl w:ilvl="3" w:tplc="440AAD90" w:tentative="1">
      <w:start w:val="1"/>
      <w:numFmt w:val="bullet"/>
      <w:lvlText w:val=""/>
      <w:lvlJc w:val="left"/>
      <w:pPr>
        <w:ind w:left="2880" w:hanging="360"/>
      </w:pPr>
      <w:rPr>
        <w:rFonts w:ascii="Symbol" w:hAnsi="Symbol" w:hint="default"/>
      </w:rPr>
    </w:lvl>
    <w:lvl w:ilvl="4" w:tplc="161C7E8A" w:tentative="1">
      <w:start w:val="1"/>
      <w:numFmt w:val="bullet"/>
      <w:lvlText w:val="o"/>
      <w:lvlJc w:val="left"/>
      <w:pPr>
        <w:ind w:left="3600" w:hanging="360"/>
      </w:pPr>
      <w:rPr>
        <w:rFonts w:ascii="Courier New" w:hAnsi="Courier New" w:hint="default"/>
      </w:rPr>
    </w:lvl>
    <w:lvl w:ilvl="5" w:tplc="089232DE" w:tentative="1">
      <w:start w:val="1"/>
      <w:numFmt w:val="bullet"/>
      <w:lvlText w:val=""/>
      <w:lvlJc w:val="left"/>
      <w:pPr>
        <w:ind w:left="4320" w:hanging="360"/>
      </w:pPr>
      <w:rPr>
        <w:rFonts w:ascii="Wingdings" w:hAnsi="Wingdings" w:hint="default"/>
      </w:rPr>
    </w:lvl>
    <w:lvl w:ilvl="6" w:tplc="BC34A4D8" w:tentative="1">
      <w:start w:val="1"/>
      <w:numFmt w:val="bullet"/>
      <w:lvlText w:val=""/>
      <w:lvlJc w:val="left"/>
      <w:pPr>
        <w:ind w:left="5040" w:hanging="360"/>
      </w:pPr>
      <w:rPr>
        <w:rFonts w:ascii="Symbol" w:hAnsi="Symbol" w:hint="default"/>
      </w:rPr>
    </w:lvl>
    <w:lvl w:ilvl="7" w:tplc="848459C8" w:tentative="1">
      <w:start w:val="1"/>
      <w:numFmt w:val="bullet"/>
      <w:lvlText w:val="o"/>
      <w:lvlJc w:val="left"/>
      <w:pPr>
        <w:ind w:left="5760" w:hanging="360"/>
      </w:pPr>
      <w:rPr>
        <w:rFonts w:ascii="Courier New" w:hAnsi="Courier New" w:hint="default"/>
      </w:rPr>
    </w:lvl>
    <w:lvl w:ilvl="8" w:tplc="C066B8A8" w:tentative="1">
      <w:start w:val="1"/>
      <w:numFmt w:val="bullet"/>
      <w:lvlText w:val=""/>
      <w:lvlJc w:val="left"/>
      <w:pPr>
        <w:ind w:left="6480" w:hanging="360"/>
      </w:pPr>
      <w:rPr>
        <w:rFonts w:ascii="Wingdings" w:hAnsi="Wingdings" w:hint="default"/>
      </w:rPr>
    </w:lvl>
  </w:abstractNum>
  <w:abstractNum w:abstractNumId="560" w15:restartNumberingAfterBreak="0">
    <w:nsid w:val="74D55AAA"/>
    <w:multiLevelType w:val="multilevel"/>
    <w:tmpl w:val="FAB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4EDD75B"/>
    <w:multiLevelType w:val="hybridMultilevel"/>
    <w:tmpl w:val="3AE24AF2"/>
    <w:lvl w:ilvl="0" w:tplc="92288E54">
      <w:start w:val="1"/>
      <w:numFmt w:val="bullet"/>
      <w:lvlText w:val="·"/>
      <w:lvlJc w:val="left"/>
      <w:pPr>
        <w:ind w:left="720" w:hanging="360"/>
      </w:pPr>
      <w:rPr>
        <w:rFonts w:ascii="Symbol" w:hAnsi="Symbol" w:hint="default"/>
      </w:rPr>
    </w:lvl>
    <w:lvl w:ilvl="1" w:tplc="C6263576">
      <w:start w:val="1"/>
      <w:numFmt w:val="bullet"/>
      <w:lvlText w:val="o"/>
      <w:lvlJc w:val="left"/>
      <w:pPr>
        <w:ind w:left="1440" w:hanging="360"/>
      </w:pPr>
      <w:rPr>
        <w:rFonts w:ascii="Courier New" w:hAnsi="Courier New" w:hint="default"/>
      </w:rPr>
    </w:lvl>
    <w:lvl w:ilvl="2" w:tplc="58705CBA">
      <w:start w:val="1"/>
      <w:numFmt w:val="bullet"/>
      <w:lvlText w:val=""/>
      <w:lvlJc w:val="left"/>
      <w:pPr>
        <w:ind w:left="2160" w:hanging="360"/>
      </w:pPr>
      <w:rPr>
        <w:rFonts w:ascii="Wingdings" w:hAnsi="Wingdings" w:hint="default"/>
      </w:rPr>
    </w:lvl>
    <w:lvl w:ilvl="3" w:tplc="A92C8E2C">
      <w:start w:val="1"/>
      <w:numFmt w:val="bullet"/>
      <w:lvlText w:val=""/>
      <w:lvlJc w:val="left"/>
      <w:pPr>
        <w:ind w:left="2880" w:hanging="360"/>
      </w:pPr>
      <w:rPr>
        <w:rFonts w:ascii="Symbol" w:hAnsi="Symbol" w:hint="default"/>
      </w:rPr>
    </w:lvl>
    <w:lvl w:ilvl="4" w:tplc="A1F48450">
      <w:start w:val="1"/>
      <w:numFmt w:val="bullet"/>
      <w:lvlText w:val="o"/>
      <w:lvlJc w:val="left"/>
      <w:pPr>
        <w:ind w:left="3600" w:hanging="360"/>
      </w:pPr>
      <w:rPr>
        <w:rFonts w:ascii="Courier New" w:hAnsi="Courier New" w:hint="default"/>
      </w:rPr>
    </w:lvl>
    <w:lvl w:ilvl="5" w:tplc="575E2E60">
      <w:start w:val="1"/>
      <w:numFmt w:val="bullet"/>
      <w:lvlText w:val=""/>
      <w:lvlJc w:val="left"/>
      <w:pPr>
        <w:ind w:left="4320" w:hanging="360"/>
      </w:pPr>
      <w:rPr>
        <w:rFonts w:ascii="Wingdings" w:hAnsi="Wingdings" w:hint="default"/>
      </w:rPr>
    </w:lvl>
    <w:lvl w:ilvl="6" w:tplc="9B70953E">
      <w:start w:val="1"/>
      <w:numFmt w:val="bullet"/>
      <w:lvlText w:val=""/>
      <w:lvlJc w:val="left"/>
      <w:pPr>
        <w:ind w:left="5040" w:hanging="360"/>
      </w:pPr>
      <w:rPr>
        <w:rFonts w:ascii="Symbol" w:hAnsi="Symbol" w:hint="default"/>
      </w:rPr>
    </w:lvl>
    <w:lvl w:ilvl="7" w:tplc="E0165584">
      <w:start w:val="1"/>
      <w:numFmt w:val="bullet"/>
      <w:lvlText w:val="o"/>
      <w:lvlJc w:val="left"/>
      <w:pPr>
        <w:ind w:left="5760" w:hanging="360"/>
      </w:pPr>
      <w:rPr>
        <w:rFonts w:ascii="Courier New" w:hAnsi="Courier New" w:hint="default"/>
      </w:rPr>
    </w:lvl>
    <w:lvl w:ilvl="8" w:tplc="09EC15C0">
      <w:start w:val="1"/>
      <w:numFmt w:val="bullet"/>
      <w:lvlText w:val=""/>
      <w:lvlJc w:val="left"/>
      <w:pPr>
        <w:ind w:left="6480" w:hanging="360"/>
      </w:pPr>
      <w:rPr>
        <w:rFonts w:ascii="Wingdings" w:hAnsi="Wingdings" w:hint="default"/>
      </w:rPr>
    </w:lvl>
  </w:abstractNum>
  <w:abstractNum w:abstractNumId="562" w15:restartNumberingAfterBreak="0">
    <w:nsid w:val="74F52912"/>
    <w:multiLevelType w:val="hybridMultilevel"/>
    <w:tmpl w:val="BCD84B60"/>
    <w:lvl w:ilvl="0" w:tplc="FFFFFFFF">
      <w:start w:val="1"/>
      <w:numFmt w:val="bullet"/>
      <w:lvlText w:val=""/>
      <w:lvlJc w:val="left"/>
      <w:pPr>
        <w:ind w:left="720" w:hanging="360"/>
      </w:pPr>
      <w:rPr>
        <w:rFonts w:ascii="Symbol" w:hAnsi="Symbol" w:hint="default"/>
      </w:rPr>
    </w:lvl>
    <w:lvl w:ilvl="1" w:tplc="907EB212" w:tentative="1">
      <w:start w:val="1"/>
      <w:numFmt w:val="bullet"/>
      <w:lvlText w:val="o"/>
      <w:lvlJc w:val="left"/>
      <w:pPr>
        <w:ind w:left="1440" w:hanging="360"/>
      </w:pPr>
      <w:rPr>
        <w:rFonts w:ascii="Courier New" w:hAnsi="Courier New" w:hint="default"/>
      </w:rPr>
    </w:lvl>
    <w:lvl w:ilvl="2" w:tplc="D7323278" w:tentative="1">
      <w:start w:val="1"/>
      <w:numFmt w:val="bullet"/>
      <w:lvlText w:val=""/>
      <w:lvlJc w:val="left"/>
      <w:pPr>
        <w:ind w:left="2160" w:hanging="360"/>
      </w:pPr>
      <w:rPr>
        <w:rFonts w:ascii="Wingdings" w:hAnsi="Wingdings" w:hint="default"/>
      </w:rPr>
    </w:lvl>
    <w:lvl w:ilvl="3" w:tplc="7A2C6BF4" w:tentative="1">
      <w:start w:val="1"/>
      <w:numFmt w:val="bullet"/>
      <w:lvlText w:val=""/>
      <w:lvlJc w:val="left"/>
      <w:pPr>
        <w:ind w:left="2880" w:hanging="360"/>
      </w:pPr>
      <w:rPr>
        <w:rFonts w:ascii="Symbol" w:hAnsi="Symbol" w:hint="default"/>
      </w:rPr>
    </w:lvl>
    <w:lvl w:ilvl="4" w:tplc="F62A555C" w:tentative="1">
      <w:start w:val="1"/>
      <w:numFmt w:val="bullet"/>
      <w:lvlText w:val="o"/>
      <w:lvlJc w:val="left"/>
      <w:pPr>
        <w:ind w:left="3600" w:hanging="360"/>
      </w:pPr>
      <w:rPr>
        <w:rFonts w:ascii="Courier New" w:hAnsi="Courier New" w:hint="default"/>
      </w:rPr>
    </w:lvl>
    <w:lvl w:ilvl="5" w:tplc="0BAE8850" w:tentative="1">
      <w:start w:val="1"/>
      <w:numFmt w:val="bullet"/>
      <w:lvlText w:val=""/>
      <w:lvlJc w:val="left"/>
      <w:pPr>
        <w:ind w:left="4320" w:hanging="360"/>
      </w:pPr>
      <w:rPr>
        <w:rFonts w:ascii="Wingdings" w:hAnsi="Wingdings" w:hint="default"/>
      </w:rPr>
    </w:lvl>
    <w:lvl w:ilvl="6" w:tplc="FCF84706" w:tentative="1">
      <w:start w:val="1"/>
      <w:numFmt w:val="bullet"/>
      <w:lvlText w:val=""/>
      <w:lvlJc w:val="left"/>
      <w:pPr>
        <w:ind w:left="5040" w:hanging="360"/>
      </w:pPr>
      <w:rPr>
        <w:rFonts w:ascii="Symbol" w:hAnsi="Symbol" w:hint="default"/>
      </w:rPr>
    </w:lvl>
    <w:lvl w:ilvl="7" w:tplc="3A7405F0" w:tentative="1">
      <w:start w:val="1"/>
      <w:numFmt w:val="bullet"/>
      <w:lvlText w:val="o"/>
      <w:lvlJc w:val="left"/>
      <w:pPr>
        <w:ind w:left="5760" w:hanging="360"/>
      </w:pPr>
      <w:rPr>
        <w:rFonts w:ascii="Courier New" w:hAnsi="Courier New" w:hint="default"/>
      </w:rPr>
    </w:lvl>
    <w:lvl w:ilvl="8" w:tplc="2CA03AAE" w:tentative="1">
      <w:start w:val="1"/>
      <w:numFmt w:val="bullet"/>
      <w:lvlText w:val=""/>
      <w:lvlJc w:val="left"/>
      <w:pPr>
        <w:ind w:left="6480" w:hanging="360"/>
      </w:pPr>
      <w:rPr>
        <w:rFonts w:ascii="Wingdings" w:hAnsi="Wingdings" w:hint="default"/>
      </w:rPr>
    </w:lvl>
  </w:abstractNum>
  <w:abstractNum w:abstractNumId="563" w15:restartNumberingAfterBreak="0">
    <w:nsid w:val="750C17D2"/>
    <w:multiLevelType w:val="multilevel"/>
    <w:tmpl w:val="F35A60F6"/>
    <w:lvl w:ilvl="0">
      <w:start w:val="1"/>
      <w:numFmt w:val="decimal"/>
      <w:pStyle w:val="H1"/>
      <w:lvlText w:val="%1."/>
      <w:lvlJc w:val="left"/>
      <w:pPr>
        <w:ind w:left="360" w:hanging="360"/>
      </w:pPr>
      <w:rPr>
        <w:rFonts w:hint="default"/>
      </w:rPr>
    </w:lvl>
    <w:lvl w:ilvl="1">
      <w:start w:val="1"/>
      <w:numFmt w:val="decimal"/>
      <w:pStyle w:val="h2"/>
      <w:lvlText w:val="%1.%2."/>
      <w:lvlJc w:val="left"/>
      <w:pPr>
        <w:ind w:left="792" w:hanging="432"/>
      </w:pPr>
      <w:rPr>
        <w:rFonts w:hint="default"/>
        <w:color w:val="358189"/>
      </w:rPr>
    </w:lvl>
    <w:lvl w:ilvl="2">
      <w:start w:val="1"/>
      <w:numFmt w:val="decimal"/>
      <w:pStyle w:val="H3"/>
      <w:lvlText w:val="%1.%2.%3."/>
      <w:lvlJc w:val="left"/>
      <w:pPr>
        <w:ind w:left="2064" w:hanging="504"/>
      </w:pPr>
      <w:rPr>
        <w:rFonts w:hint="default"/>
        <w:i w:val="0"/>
        <w:iCs/>
        <w:color w:val="358189"/>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4" w15:restartNumberingAfterBreak="0">
    <w:nsid w:val="7587F3F1"/>
    <w:multiLevelType w:val="hybridMultilevel"/>
    <w:tmpl w:val="845097E6"/>
    <w:lvl w:ilvl="0" w:tplc="F4ECC310">
      <w:start w:val="1"/>
      <w:numFmt w:val="bullet"/>
      <w:lvlText w:val=""/>
      <w:lvlJc w:val="left"/>
      <w:pPr>
        <w:ind w:left="720" w:hanging="360"/>
      </w:pPr>
      <w:rPr>
        <w:rFonts w:ascii="Symbol" w:hAnsi="Symbol" w:hint="default"/>
      </w:rPr>
    </w:lvl>
    <w:lvl w:ilvl="1" w:tplc="C09A75AC">
      <w:start w:val="1"/>
      <w:numFmt w:val="bullet"/>
      <w:lvlText w:val="o"/>
      <w:lvlJc w:val="left"/>
      <w:pPr>
        <w:ind w:left="1440" w:hanging="360"/>
      </w:pPr>
      <w:rPr>
        <w:rFonts w:ascii="Courier New" w:hAnsi="Courier New" w:hint="default"/>
      </w:rPr>
    </w:lvl>
    <w:lvl w:ilvl="2" w:tplc="C2304BA4">
      <w:start w:val="1"/>
      <w:numFmt w:val="bullet"/>
      <w:lvlText w:val=""/>
      <w:lvlJc w:val="left"/>
      <w:pPr>
        <w:ind w:left="2160" w:hanging="360"/>
      </w:pPr>
      <w:rPr>
        <w:rFonts w:ascii="Wingdings" w:hAnsi="Wingdings" w:hint="default"/>
      </w:rPr>
    </w:lvl>
    <w:lvl w:ilvl="3" w:tplc="564031BE">
      <w:start w:val="1"/>
      <w:numFmt w:val="bullet"/>
      <w:lvlText w:val=""/>
      <w:lvlJc w:val="left"/>
      <w:pPr>
        <w:ind w:left="2880" w:hanging="360"/>
      </w:pPr>
      <w:rPr>
        <w:rFonts w:ascii="Symbol" w:hAnsi="Symbol" w:hint="default"/>
      </w:rPr>
    </w:lvl>
    <w:lvl w:ilvl="4" w:tplc="BCB267DC">
      <w:start w:val="1"/>
      <w:numFmt w:val="bullet"/>
      <w:lvlText w:val="o"/>
      <w:lvlJc w:val="left"/>
      <w:pPr>
        <w:ind w:left="3600" w:hanging="360"/>
      </w:pPr>
      <w:rPr>
        <w:rFonts w:ascii="Courier New" w:hAnsi="Courier New" w:hint="default"/>
      </w:rPr>
    </w:lvl>
    <w:lvl w:ilvl="5" w:tplc="F7287972">
      <w:start w:val="1"/>
      <w:numFmt w:val="bullet"/>
      <w:lvlText w:val=""/>
      <w:lvlJc w:val="left"/>
      <w:pPr>
        <w:ind w:left="4320" w:hanging="360"/>
      </w:pPr>
      <w:rPr>
        <w:rFonts w:ascii="Wingdings" w:hAnsi="Wingdings" w:hint="default"/>
      </w:rPr>
    </w:lvl>
    <w:lvl w:ilvl="6" w:tplc="8CDA073C">
      <w:start w:val="1"/>
      <w:numFmt w:val="bullet"/>
      <w:lvlText w:val=""/>
      <w:lvlJc w:val="left"/>
      <w:pPr>
        <w:ind w:left="5040" w:hanging="360"/>
      </w:pPr>
      <w:rPr>
        <w:rFonts w:ascii="Symbol" w:hAnsi="Symbol" w:hint="default"/>
      </w:rPr>
    </w:lvl>
    <w:lvl w:ilvl="7" w:tplc="F8602DA6">
      <w:start w:val="1"/>
      <w:numFmt w:val="bullet"/>
      <w:lvlText w:val="o"/>
      <w:lvlJc w:val="left"/>
      <w:pPr>
        <w:ind w:left="5760" w:hanging="360"/>
      </w:pPr>
      <w:rPr>
        <w:rFonts w:ascii="Courier New" w:hAnsi="Courier New" w:hint="default"/>
      </w:rPr>
    </w:lvl>
    <w:lvl w:ilvl="8" w:tplc="B5449992">
      <w:start w:val="1"/>
      <w:numFmt w:val="bullet"/>
      <w:lvlText w:val=""/>
      <w:lvlJc w:val="left"/>
      <w:pPr>
        <w:ind w:left="6480" w:hanging="360"/>
      </w:pPr>
      <w:rPr>
        <w:rFonts w:ascii="Wingdings" w:hAnsi="Wingdings" w:hint="default"/>
      </w:rPr>
    </w:lvl>
  </w:abstractNum>
  <w:abstractNum w:abstractNumId="565" w15:restartNumberingAfterBreak="0">
    <w:nsid w:val="759A7090"/>
    <w:multiLevelType w:val="multilevel"/>
    <w:tmpl w:val="206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5D364D0"/>
    <w:multiLevelType w:val="hybridMultilevel"/>
    <w:tmpl w:val="BC221E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7" w15:restartNumberingAfterBreak="0">
    <w:nsid w:val="763E6BCB"/>
    <w:multiLevelType w:val="hybridMultilevel"/>
    <w:tmpl w:val="2E64FEE4"/>
    <w:lvl w:ilvl="0" w:tplc="F738B0F4">
      <w:start w:val="1"/>
      <w:numFmt w:val="bullet"/>
      <w:lvlText w:val=""/>
      <w:lvlJc w:val="left"/>
      <w:pPr>
        <w:ind w:left="1440" w:hanging="360"/>
      </w:pPr>
      <w:rPr>
        <w:rFonts w:ascii="Symbol" w:hAnsi="Symbol" w:hint="default"/>
      </w:rPr>
    </w:lvl>
    <w:lvl w:ilvl="1" w:tplc="F9E09452" w:tentative="1">
      <w:start w:val="1"/>
      <w:numFmt w:val="bullet"/>
      <w:lvlText w:val="o"/>
      <w:lvlJc w:val="left"/>
      <w:pPr>
        <w:ind w:left="2160" w:hanging="360"/>
      </w:pPr>
      <w:rPr>
        <w:rFonts w:ascii="Courier New" w:hAnsi="Courier New" w:hint="default"/>
      </w:rPr>
    </w:lvl>
    <w:lvl w:ilvl="2" w:tplc="767250A0" w:tentative="1">
      <w:start w:val="1"/>
      <w:numFmt w:val="bullet"/>
      <w:lvlText w:val=""/>
      <w:lvlJc w:val="left"/>
      <w:pPr>
        <w:ind w:left="2880" w:hanging="360"/>
      </w:pPr>
      <w:rPr>
        <w:rFonts w:ascii="Wingdings" w:hAnsi="Wingdings" w:hint="default"/>
      </w:rPr>
    </w:lvl>
    <w:lvl w:ilvl="3" w:tplc="7EECCC82" w:tentative="1">
      <w:start w:val="1"/>
      <w:numFmt w:val="bullet"/>
      <w:lvlText w:val=""/>
      <w:lvlJc w:val="left"/>
      <w:pPr>
        <w:ind w:left="3600" w:hanging="360"/>
      </w:pPr>
      <w:rPr>
        <w:rFonts w:ascii="Symbol" w:hAnsi="Symbol" w:hint="default"/>
      </w:rPr>
    </w:lvl>
    <w:lvl w:ilvl="4" w:tplc="4D80A61E" w:tentative="1">
      <w:start w:val="1"/>
      <w:numFmt w:val="bullet"/>
      <w:lvlText w:val="o"/>
      <w:lvlJc w:val="left"/>
      <w:pPr>
        <w:ind w:left="4320" w:hanging="360"/>
      </w:pPr>
      <w:rPr>
        <w:rFonts w:ascii="Courier New" w:hAnsi="Courier New" w:hint="default"/>
      </w:rPr>
    </w:lvl>
    <w:lvl w:ilvl="5" w:tplc="408EF0AA" w:tentative="1">
      <w:start w:val="1"/>
      <w:numFmt w:val="bullet"/>
      <w:lvlText w:val=""/>
      <w:lvlJc w:val="left"/>
      <w:pPr>
        <w:ind w:left="5040" w:hanging="360"/>
      </w:pPr>
      <w:rPr>
        <w:rFonts w:ascii="Wingdings" w:hAnsi="Wingdings" w:hint="default"/>
      </w:rPr>
    </w:lvl>
    <w:lvl w:ilvl="6" w:tplc="5A862B80" w:tentative="1">
      <w:start w:val="1"/>
      <w:numFmt w:val="bullet"/>
      <w:lvlText w:val=""/>
      <w:lvlJc w:val="left"/>
      <w:pPr>
        <w:ind w:left="5760" w:hanging="360"/>
      </w:pPr>
      <w:rPr>
        <w:rFonts w:ascii="Symbol" w:hAnsi="Symbol" w:hint="default"/>
      </w:rPr>
    </w:lvl>
    <w:lvl w:ilvl="7" w:tplc="3A0C35EA" w:tentative="1">
      <w:start w:val="1"/>
      <w:numFmt w:val="bullet"/>
      <w:lvlText w:val="o"/>
      <w:lvlJc w:val="left"/>
      <w:pPr>
        <w:ind w:left="6480" w:hanging="360"/>
      </w:pPr>
      <w:rPr>
        <w:rFonts w:ascii="Courier New" w:hAnsi="Courier New" w:hint="default"/>
      </w:rPr>
    </w:lvl>
    <w:lvl w:ilvl="8" w:tplc="B04CE95A" w:tentative="1">
      <w:start w:val="1"/>
      <w:numFmt w:val="bullet"/>
      <w:lvlText w:val=""/>
      <w:lvlJc w:val="left"/>
      <w:pPr>
        <w:ind w:left="7200" w:hanging="360"/>
      </w:pPr>
      <w:rPr>
        <w:rFonts w:ascii="Wingdings" w:hAnsi="Wingdings" w:hint="default"/>
      </w:rPr>
    </w:lvl>
  </w:abstractNum>
  <w:abstractNum w:abstractNumId="568" w15:restartNumberingAfterBreak="0">
    <w:nsid w:val="764039EF"/>
    <w:multiLevelType w:val="hybridMultilevel"/>
    <w:tmpl w:val="CF663760"/>
    <w:lvl w:ilvl="0" w:tplc="2996D4F2">
      <w:start w:val="1"/>
      <w:numFmt w:val="bullet"/>
      <w:lvlText w:val=""/>
      <w:lvlJc w:val="left"/>
      <w:pPr>
        <w:ind w:left="720" w:hanging="360"/>
      </w:pPr>
      <w:rPr>
        <w:rFonts w:ascii="Symbol" w:hAnsi="Symbol" w:hint="default"/>
      </w:rPr>
    </w:lvl>
    <w:lvl w:ilvl="1" w:tplc="CD00F174" w:tentative="1">
      <w:start w:val="1"/>
      <w:numFmt w:val="bullet"/>
      <w:lvlText w:val="o"/>
      <w:lvlJc w:val="left"/>
      <w:pPr>
        <w:ind w:left="1440" w:hanging="360"/>
      </w:pPr>
      <w:rPr>
        <w:rFonts w:ascii="Courier New" w:hAnsi="Courier New" w:hint="default"/>
      </w:rPr>
    </w:lvl>
    <w:lvl w:ilvl="2" w:tplc="9CBA0862" w:tentative="1">
      <w:start w:val="1"/>
      <w:numFmt w:val="bullet"/>
      <w:lvlText w:val=""/>
      <w:lvlJc w:val="left"/>
      <w:pPr>
        <w:ind w:left="2160" w:hanging="360"/>
      </w:pPr>
      <w:rPr>
        <w:rFonts w:ascii="Wingdings" w:hAnsi="Wingdings" w:hint="default"/>
      </w:rPr>
    </w:lvl>
    <w:lvl w:ilvl="3" w:tplc="FF92076C" w:tentative="1">
      <w:start w:val="1"/>
      <w:numFmt w:val="bullet"/>
      <w:lvlText w:val=""/>
      <w:lvlJc w:val="left"/>
      <w:pPr>
        <w:ind w:left="2880" w:hanging="360"/>
      </w:pPr>
      <w:rPr>
        <w:rFonts w:ascii="Symbol" w:hAnsi="Symbol" w:hint="default"/>
      </w:rPr>
    </w:lvl>
    <w:lvl w:ilvl="4" w:tplc="3AD8D7C4" w:tentative="1">
      <w:start w:val="1"/>
      <w:numFmt w:val="bullet"/>
      <w:lvlText w:val="o"/>
      <w:lvlJc w:val="left"/>
      <w:pPr>
        <w:ind w:left="3600" w:hanging="360"/>
      </w:pPr>
      <w:rPr>
        <w:rFonts w:ascii="Courier New" w:hAnsi="Courier New" w:hint="default"/>
      </w:rPr>
    </w:lvl>
    <w:lvl w:ilvl="5" w:tplc="1EAE754E" w:tentative="1">
      <w:start w:val="1"/>
      <w:numFmt w:val="bullet"/>
      <w:lvlText w:val=""/>
      <w:lvlJc w:val="left"/>
      <w:pPr>
        <w:ind w:left="4320" w:hanging="360"/>
      </w:pPr>
      <w:rPr>
        <w:rFonts w:ascii="Wingdings" w:hAnsi="Wingdings" w:hint="default"/>
      </w:rPr>
    </w:lvl>
    <w:lvl w:ilvl="6" w:tplc="9B5A61EA" w:tentative="1">
      <w:start w:val="1"/>
      <w:numFmt w:val="bullet"/>
      <w:lvlText w:val=""/>
      <w:lvlJc w:val="left"/>
      <w:pPr>
        <w:ind w:left="5040" w:hanging="360"/>
      </w:pPr>
      <w:rPr>
        <w:rFonts w:ascii="Symbol" w:hAnsi="Symbol" w:hint="default"/>
      </w:rPr>
    </w:lvl>
    <w:lvl w:ilvl="7" w:tplc="C44C1A50" w:tentative="1">
      <w:start w:val="1"/>
      <w:numFmt w:val="bullet"/>
      <w:lvlText w:val="o"/>
      <w:lvlJc w:val="left"/>
      <w:pPr>
        <w:ind w:left="5760" w:hanging="360"/>
      </w:pPr>
      <w:rPr>
        <w:rFonts w:ascii="Courier New" w:hAnsi="Courier New" w:hint="default"/>
      </w:rPr>
    </w:lvl>
    <w:lvl w:ilvl="8" w:tplc="CA883DA4" w:tentative="1">
      <w:start w:val="1"/>
      <w:numFmt w:val="bullet"/>
      <w:lvlText w:val=""/>
      <w:lvlJc w:val="left"/>
      <w:pPr>
        <w:ind w:left="6480" w:hanging="360"/>
      </w:pPr>
      <w:rPr>
        <w:rFonts w:ascii="Wingdings" w:hAnsi="Wingdings" w:hint="default"/>
      </w:rPr>
    </w:lvl>
  </w:abstractNum>
  <w:abstractNum w:abstractNumId="569" w15:restartNumberingAfterBreak="0">
    <w:nsid w:val="766675DF"/>
    <w:multiLevelType w:val="hybridMultilevel"/>
    <w:tmpl w:val="5DC0F83E"/>
    <w:lvl w:ilvl="0" w:tplc="E750A040">
      <w:start w:val="1"/>
      <w:numFmt w:val="bullet"/>
      <w:lvlText w:val=""/>
      <w:lvlJc w:val="left"/>
      <w:pPr>
        <w:ind w:left="360" w:hanging="360"/>
      </w:pPr>
      <w:rPr>
        <w:rFonts w:ascii="Symbol" w:hAnsi="Symbol" w:hint="default"/>
      </w:rPr>
    </w:lvl>
    <w:lvl w:ilvl="1" w:tplc="65F848EC">
      <w:start w:val="1"/>
      <w:numFmt w:val="bullet"/>
      <w:lvlText w:val="o"/>
      <w:lvlJc w:val="left"/>
      <w:pPr>
        <w:ind w:left="1080" w:hanging="360"/>
      </w:pPr>
      <w:rPr>
        <w:rFonts w:ascii="Courier New" w:hAnsi="Courier New" w:hint="default"/>
      </w:rPr>
    </w:lvl>
    <w:lvl w:ilvl="2" w:tplc="193E9E38" w:tentative="1">
      <w:start w:val="1"/>
      <w:numFmt w:val="bullet"/>
      <w:lvlText w:val=""/>
      <w:lvlJc w:val="left"/>
      <w:pPr>
        <w:ind w:left="1800" w:hanging="360"/>
      </w:pPr>
      <w:rPr>
        <w:rFonts w:ascii="Wingdings" w:hAnsi="Wingdings" w:hint="default"/>
      </w:rPr>
    </w:lvl>
    <w:lvl w:ilvl="3" w:tplc="33CED484" w:tentative="1">
      <w:start w:val="1"/>
      <w:numFmt w:val="bullet"/>
      <w:lvlText w:val=""/>
      <w:lvlJc w:val="left"/>
      <w:pPr>
        <w:ind w:left="2520" w:hanging="360"/>
      </w:pPr>
      <w:rPr>
        <w:rFonts w:ascii="Symbol" w:hAnsi="Symbol" w:hint="default"/>
      </w:rPr>
    </w:lvl>
    <w:lvl w:ilvl="4" w:tplc="8064EB06" w:tentative="1">
      <w:start w:val="1"/>
      <w:numFmt w:val="bullet"/>
      <w:lvlText w:val="o"/>
      <w:lvlJc w:val="left"/>
      <w:pPr>
        <w:ind w:left="3240" w:hanging="360"/>
      </w:pPr>
      <w:rPr>
        <w:rFonts w:ascii="Courier New" w:hAnsi="Courier New" w:hint="default"/>
      </w:rPr>
    </w:lvl>
    <w:lvl w:ilvl="5" w:tplc="C97C25F4" w:tentative="1">
      <w:start w:val="1"/>
      <w:numFmt w:val="bullet"/>
      <w:lvlText w:val=""/>
      <w:lvlJc w:val="left"/>
      <w:pPr>
        <w:ind w:left="3960" w:hanging="360"/>
      </w:pPr>
      <w:rPr>
        <w:rFonts w:ascii="Wingdings" w:hAnsi="Wingdings" w:hint="default"/>
      </w:rPr>
    </w:lvl>
    <w:lvl w:ilvl="6" w:tplc="8222EEB2" w:tentative="1">
      <w:start w:val="1"/>
      <w:numFmt w:val="bullet"/>
      <w:lvlText w:val=""/>
      <w:lvlJc w:val="left"/>
      <w:pPr>
        <w:ind w:left="4680" w:hanging="360"/>
      </w:pPr>
      <w:rPr>
        <w:rFonts w:ascii="Symbol" w:hAnsi="Symbol" w:hint="default"/>
      </w:rPr>
    </w:lvl>
    <w:lvl w:ilvl="7" w:tplc="A6467606" w:tentative="1">
      <w:start w:val="1"/>
      <w:numFmt w:val="bullet"/>
      <w:lvlText w:val="o"/>
      <w:lvlJc w:val="left"/>
      <w:pPr>
        <w:ind w:left="5400" w:hanging="360"/>
      </w:pPr>
      <w:rPr>
        <w:rFonts w:ascii="Courier New" w:hAnsi="Courier New" w:hint="default"/>
      </w:rPr>
    </w:lvl>
    <w:lvl w:ilvl="8" w:tplc="352E8000" w:tentative="1">
      <w:start w:val="1"/>
      <w:numFmt w:val="bullet"/>
      <w:lvlText w:val=""/>
      <w:lvlJc w:val="left"/>
      <w:pPr>
        <w:ind w:left="6120" w:hanging="360"/>
      </w:pPr>
      <w:rPr>
        <w:rFonts w:ascii="Wingdings" w:hAnsi="Wingdings" w:hint="default"/>
      </w:rPr>
    </w:lvl>
  </w:abstractNum>
  <w:abstractNum w:abstractNumId="570" w15:restartNumberingAfterBreak="0">
    <w:nsid w:val="76AACCD0"/>
    <w:multiLevelType w:val="hybridMultilevel"/>
    <w:tmpl w:val="FFFFFFFF"/>
    <w:lvl w:ilvl="0" w:tplc="9D787528">
      <w:start w:val="1"/>
      <w:numFmt w:val="bullet"/>
      <w:lvlText w:val=""/>
      <w:lvlJc w:val="left"/>
      <w:pPr>
        <w:ind w:left="720" w:hanging="360"/>
      </w:pPr>
      <w:rPr>
        <w:rFonts w:ascii="Symbol" w:hAnsi="Symbol" w:hint="default"/>
      </w:rPr>
    </w:lvl>
    <w:lvl w:ilvl="1" w:tplc="FAC6187E">
      <w:start w:val="1"/>
      <w:numFmt w:val="bullet"/>
      <w:lvlText w:val="o"/>
      <w:lvlJc w:val="left"/>
      <w:pPr>
        <w:ind w:left="1440" w:hanging="360"/>
      </w:pPr>
      <w:rPr>
        <w:rFonts w:ascii="Courier New" w:hAnsi="Courier New" w:hint="default"/>
      </w:rPr>
    </w:lvl>
    <w:lvl w:ilvl="2" w:tplc="E6747EFA">
      <w:start w:val="1"/>
      <w:numFmt w:val="bullet"/>
      <w:lvlText w:val=""/>
      <w:lvlJc w:val="left"/>
      <w:pPr>
        <w:ind w:left="2160" w:hanging="360"/>
      </w:pPr>
      <w:rPr>
        <w:rFonts w:ascii="Wingdings" w:hAnsi="Wingdings" w:hint="default"/>
      </w:rPr>
    </w:lvl>
    <w:lvl w:ilvl="3" w:tplc="BEE27454">
      <w:start w:val="1"/>
      <w:numFmt w:val="bullet"/>
      <w:lvlText w:val=""/>
      <w:lvlJc w:val="left"/>
      <w:pPr>
        <w:ind w:left="2880" w:hanging="360"/>
      </w:pPr>
      <w:rPr>
        <w:rFonts w:ascii="Symbol" w:hAnsi="Symbol" w:hint="default"/>
      </w:rPr>
    </w:lvl>
    <w:lvl w:ilvl="4" w:tplc="28D860EC">
      <w:start w:val="1"/>
      <w:numFmt w:val="bullet"/>
      <w:lvlText w:val="o"/>
      <w:lvlJc w:val="left"/>
      <w:pPr>
        <w:ind w:left="3600" w:hanging="360"/>
      </w:pPr>
      <w:rPr>
        <w:rFonts w:ascii="Courier New" w:hAnsi="Courier New" w:hint="default"/>
      </w:rPr>
    </w:lvl>
    <w:lvl w:ilvl="5" w:tplc="B40A57EA">
      <w:start w:val="1"/>
      <w:numFmt w:val="bullet"/>
      <w:lvlText w:val=""/>
      <w:lvlJc w:val="left"/>
      <w:pPr>
        <w:ind w:left="4320" w:hanging="360"/>
      </w:pPr>
      <w:rPr>
        <w:rFonts w:ascii="Wingdings" w:hAnsi="Wingdings" w:hint="default"/>
      </w:rPr>
    </w:lvl>
    <w:lvl w:ilvl="6" w:tplc="0748C154">
      <w:start w:val="1"/>
      <w:numFmt w:val="bullet"/>
      <w:lvlText w:val=""/>
      <w:lvlJc w:val="left"/>
      <w:pPr>
        <w:ind w:left="5040" w:hanging="360"/>
      </w:pPr>
      <w:rPr>
        <w:rFonts w:ascii="Symbol" w:hAnsi="Symbol" w:hint="default"/>
      </w:rPr>
    </w:lvl>
    <w:lvl w:ilvl="7" w:tplc="5202752C">
      <w:start w:val="1"/>
      <w:numFmt w:val="bullet"/>
      <w:lvlText w:val="o"/>
      <w:lvlJc w:val="left"/>
      <w:pPr>
        <w:ind w:left="5760" w:hanging="360"/>
      </w:pPr>
      <w:rPr>
        <w:rFonts w:ascii="Courier New" w:hAnsi="Courier New" w:hint="default"/>
      </w:rPr>
    </w:lvl>
    <w:lvl w:ilvl="8" w:tplc="98687AAE">
      <w:start w:val="1"/>
      <w:numFmt w:val="bullet"/>
      <w:lvlText w:val=""/>
      <w:lvlJc w:val="left"/>
      <w:pPr>
        <w:ind w:left="6480" w:hanging="360"/>
      </w:pPr>
      <w:rPr>
        <w:rFonts w:ascii="Wingdings" w:hAnsi="Wingdings" w:hint="default"/>
      </w:rPr>
    </w:lvl>
  </w:abstractNum>
  <w:abstractNum w:abstractNumId="571" w15:restartNumberingAfterBreak="0">
    <w:nsid w:val="76C41C73"/>
    <w:multiLevelType w:val="hybridMultilevel"/>
    <w:tmpl w:val="94F282E2"/>
    <w:lvl w:ilvl="0" w:tplc="9690A6EE">
      <w:start w:val="1"/>
      <w:numFmt w:val="bullet"/>
      <w:lvlText w:val=""/>
      <w:lvlJc w:val="left"/>
      <w:pPr>
        <w:ind w:left="720" w:hanging="360"/>
      </w:pPr>
      <w:rPr>
        <w:rFonts w:ascii="Symbol" w:hAnsi="Symbol" w:hint="default"/>
      </w:rPr>
    </w:lvl>
    <w:lvl w:ilvl="1" w:tplc="6C265E4A">
      <w:start w:val="1"/>
      <w:numFmt w:val="bullet"/>
      <w:lvlText w:val="o"/>
      <w:lvlJc w:val="left"/>
      <w:pPr>
        <w:ind w:left="1440" w:hanging="360"/>
      </w:pPr>
      <w:rPr>
        <w:rFonts w:ascii="Courier New" w:hAnsi="Courier New" w:hint="default"/>
      </w:rPr>
    </w:lvl>
    <w:lvl w:ilvl="2" w:tplc="C1E025B2" w:tentative="1">
      <w:start w:val="1"/>
      <w:numFmt w:val="bullet"/>
      <w:lvlText w:val=""/>
      <w:lvlJc w:val="left"/>
      <w:pPr>
        <w:ind w:left="2160" w:hanging="360"/>
      </w:pPr>
      <w:rPr>
        <w:rFonts w:ascii="Wingdings" w:hAnsi="Wingdings" w:hint="default"/>
      </w:rPr>
    </w:lvl>
    <w:lvl w:ilvl="3" w:tplc="7D92DB50" w:tentative="1">
      <w:start w:val="1"/>
      <w:numFmt w:val="bullet"/>
      <w:lvlText w:val=""/>
      <w:lvlJc w:val="left"/>
      <w:pPr>
        <w:ind w:left="2880" w:hanging="360"/>
      </w:pPr>
      <w:rPr>
        <w:rFonts w:ascii="Symbol" w:hAnsi="Symbol" w:hint="default"/>
      </w:rPr>
    </w:lvl>
    <w:lvl w:ilvl="4" w:tplc="0FB858EE" w:tentative="1">
      <w:start w:val="1"/>
      <w:numFmt w:val="bullet"/>
      <w:lvlText w:val="o"/>
      <w:lvlJc w:val="left"/>
      <w:pPr>
        <w:ind w:left="3600" w:hanging="360"/>
      </w:pPr>
      <w:rPr>
        <w:rFonts w:ascii="Courier New" w:hAnsi="Courier New" w:hint="default"/>
      </w:rPr>
    </w:lvl>
    <w:lvl w:ilvl="5" w:tplc="25B4E834" w:tentative="1">
      <w:start w:val="1"/>
      <w:numFmt w:val="bullet"/>
      <w:lvlText w:val=""/>
      <w:lvlJc w:val="left"/>
      <w:pPr>
        <w:ind w:left="4320" w:hanging="360"/>
      </w:pPr>
      <w:rPr>
        <w:rFonts w:ascii="Wingdings" w:hAnsi="Wingdings" w:hint="default"/>
      </w:rPr>
    </w:lvl>
    <w:lvl w:ilvl="6" w:tplc="C7546CC2" w:tentative="1">
      <w:start w:val="1"/>
      <w:numFmt w:val="bullet"/>
      <w:lvlText w:val=""/>
      <w:lvlJc w:val="left"/>
      <w:pPr>
        <w:ind w:left="5040" w:hanging="360"/>
      </w:pPr>
      <w:rPr>
        <w:rFonts w:ascii="Symbol" w:hAnsi="Symbol" w:hint="default"/>
      </w:rPr>
    </w:lvl>
    <w:lvl w:ilvl="7" w:tplc="AB1CC868" w:tentative="1">
      <w:start w:val="1"/>
      <w:numFmt w:val="bullet"/>
      <w:lvlText w:val="o"/>
      <w:lvlJc w:val="left"/>
      <w:pPr>
        <w:ind w:left="5760" w:hanging="360"/>
      </w:pPr>
      <w:rPr>
        <w:rFonts w:ascii="Courier New" w:hAnsi="Courier New" w:hint="default"/>
      </w:rPr>
    </w:lvl>
    <w:lvl w:ilvl="8" w:tplc="CD26E5C0" w:tentative="1">
      <w:start w:val="1"/>
      <w:numFmt w:val="bullet"/>
      <w:lvlText w:val=""/>
      <w:lvlJc w:val="left"/>
      <w:pPr>
        <w:ind w:left="6480" w:hanging="360"/>
      </w:pPr>
      <w:rPr>
        <w:rFonts w:ascii="Wingdings" w:hAnsi="Wingdings" w:hint="default"/>
      </w:rPr>
    </w:lvl>
  </w:abstractNum>
  <w:abstractNum w:abstractNumId="572" w15:restartNumberingAfterBreak="0">
    <w:nsid w:val="76C47F8D"/>
    <w:multiLevelType w:val="multilevel"/>
    <w:tmpl w:val="3F9A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6C7AF15"/>
    <w:multiLevelType w:val="hybridMultilevel"/>
    <w:tmpl w:val="138C6494"/>
    <w:lvl w:ilvl="0" w:tplc="D70CA97C">
      <w:start w:val="1"/>
      <w:numFmt w:val="bullet"/>
      <w:lvlText w:val="·"/>
      <w:lvlJc w:val="left"/>
      <w:pPr>
        <w:ind w:left="720" w:hanging="360"/>
      </w:pPr>
      <w:rPr>
        <w:rFonts w:ascii="Symbol" w:hAnsi="Symbol" w:hint="default"/>
      </w:rPr>
    </w:lvl>
    <w:lvl w:ilvl="1" w:tplc="9AD422C2">
      <w:start w:val="1"/>
      <w:numFmt w:val="bullet"/>
      <w:lvlText w:val="o"/>
      <w:lvlJc w:val="left"/>
      <w:pPr>
        <w:ind w:left="1440" w:hanging="360"/>
      </w:pPr>
      <w:rPr>
        <w:rFonts w:ascii="Courier New" w:hAnsi="Courier New" w:hint="default"/>
      </w:rPr>
    </w:lvl>
    <w:lvl w:ilvl="2" w:tplc="EAB22C3C">
      <w:start w:val="1"/>
      <w:numFmt w:val="bullet"/>
      <w:lvlText w:val=""/>
      <w:lvlJc w:val="left"/>
      <w:pPr>
        <w:ind w:left="2160" w:hanging="360"/>
      </w:pPr>
      <w:rPr>
        <w:rFonts w:ascii="Wingdings" w:hAnsi="Wingdings" w:hint="default"/>
      </w:rPr>
    </w:lvl>
    <w:lvl w:ilvl="3" w:tplc="83B2AF48">
      <w:start w:val="1"/>
      <w:numFmt w:val="bullet"/>
      <w:lvlText w:val=""/>
      <w:lvlJc w:val="left"/>
      <w:pPr>
        <w:ind w:left="2880" w:hanging="360"/>
      </w:pPr>
      <w:rPr>
        <w:rFonts w:ascii="Symbol" w:hAnsi="Symbol" w:hint="default"/>
      </w:rPr>
    </w:lvl>
    <w:lvl w:ilvl="4" w:tplc="D702F5BA">
      <w:start w:val="1"/>
      <w:numFmt w:val="bullet"/>
      <w:lvlText w:val="o"/>
      <w:lvlJc w:val="left"/>
      <w:pPr>
        <w:ind w:left="3600" w:hanging="360"/>
      </w:pPr>
      <w:rPr>
        <w:rFonts w:ascii="Courier New" w:hAnsi="Courier New" w:hint="default"/>
      </w:rPr>
    </w:lvl>
    <w:lvl w:ilvl="5" w:tplc="678A753C">
      <w:start w:val="1"/>
      <w:numFmt w:val="bullet"/>
      <w:lvlText w:val=""/>
      <w:lvlJc w:val="left"/>
      <w:pPr>
        <w:ind w:left="4320" w:hanging="360"/>
      </w:pPr>
      <w:rPr>
        <w:rFonts w:ascii="Wingdings" w:hAnsi="Wingdings" w:hint="default"/>
      </w:rPr>
    </w:lvl>
    <w:lvl w:ilvl="6" w:tplc="0024A8E8">
      <w:start w:val="1"/>
      <w:numFmt w:val="bullet"/>
      <w:lvlText w:val=""/>
      <w:lvlJc w:val="left"/>
      <w:pPr>
        <w:ind w:left="5040" w:hanging="360"/>
      </w:pPr>
      <w:rPr>
        <w:rFonts w:ascii="Symbol" w:hAnsi="Symbol" w:hint="default"/>
      </w:rPr>
    </w:lvl>
    <w:lvl w:ilvl="7" w:tplc="6B563F8A">
      <w:start w:val="1"/>
      <w:numFmt w:val="bullet"/>
      <w:lvlText w:val="o"/>
      <w:lvlJc w:val="left"/>
      <w:pPr>
        <w:ind w:left="5760" w:hanging="360"/>
      </w:pPr>
      <w:rPr>
        <w:rFonts w:ascii="Courier New" w:hAnsi="Courier New" w:hint="default"/>
      </w:rPr>
    </w:lvl>
    <w:lvl w:ilvl="8" w:tplc="0DB2B16E">
      <w:start w:val="1"/>
      <w:numFmt w:val="bullet"/>
      <w:lvlText w:val=""/>
      <w:lvlJc w:val="left"/>
      <w:pPr>
        <w:ind w:left="6480" w:hanging="360"/>
      </w:pPr>
      <w:rPr>
        <w:rFonts w:ascii="Wingdings" w:hAnsi="Wingdings" w:hint="default"/>
      </w:rPr>
    </w:lvl>
  </w:abstractNum>
  <w:abstractNum w:abstractNumId="574" w15:restartNumberingAfterBreak="0">
    <w:nsid w:val="7729D810"/>
    <w:multiLevelType w:val="hybridMultilevel"/>
    <w:tmpl w:val="FFFFFFFF"/>
    <w:lvl w:ilvl="0" w:tplc="507C200C">
      <w:start w:val="1"/>
      <w:numFmt w:val="bullet"/>
      <w:lvlText w:val=""/>
      <w:lvlJc w:val="left"/>
      <w:pPr>
        <w:ind w:left="720" w:hanging="360"/>
      </w:pPr>
      <w:rPr>
        <w:rFonts w:ascii="Symbol" w:hAnsi="Symbol" w:hint="default"/>
      </w:rPr>
    </w:lvl>
    <w:lvl w:ilvl="1" w:tplc="D03E8F9A">
      <w:start w:val="1"/>
      <w:numFmt w:val="bullet"/>
      <w:lvlText w:val="o"/>
      <w:lvlJc w:val="left"/>
      <w:pPr>
        <w:ind w:left="1440" w:hanging="360"/>
      </w:pPr>
      <w:rPr>
        <w:rFonts w:ascii="Courier New" w:hAnsi="Courier New" w:hint="default"/>
      </w:rPr>
    </w:lvl>
    <w:lvl w:ilvl="2" w:tplc="9718122C">
      <w:start w:val="1"/>
      <w:numFmt w:val="bullet"/>
      <w:lvlText w:val=""/>
      <w:lvlJc w:val="left"/>
      <w:pPr>
        <w:ind w:left="2160" w:hanging="360"/>
      </w:pPr>
      <w:rPr>
        <w:rFonts w:ascii="Wingdings" w:hAnsi="Wingdings" w:hint="default"/>
      </w:rPr>
    </w:lvl>
    <w:lvl w:ilvl="3" w:tplc="A074043A">
      <w:start w:val="1"/>
      <w:numFmt w:val="bullet"/>
      <w:lvlText w:val=""/>
      <w:lvlJc w:val="left"/>
      <w:pPr>
        <w:ind w:left="2880" w:hanging="360"/>
      </w:pPr>
      <w:rPr>
        <w:rFonts w:ascii="Symbol" w:hAnsi="Symbol" w:hint="default"/>
      </w:rPr>
    </w:lvl>
    <w:lvl w:ilvl="4" w:tplc="6F08098A">
      <w:start w:val="1"/>
      <w:numFmt w:val="bullet"/>
      <w:lvlText w:val="o"/>
      <w:lvlJc w:val="left"/>
      <w:pPr>
        <w:ind w:left="3600" w:hanging="360"/>
      </w:pPr>
      <w:rPr>
        <w:rFonts w:ascii="Courier New" w:hAnsi="Courier New" w:hint="default"/>
      </w:rPr>
    </w:lvl>
    <w:lvl w:ilvl="5" w:tplc="470C10F0">
      <w:start w:val="1"/>
      <w:numFmt w:val="bullet"/>
      <w:lvlText w:val=""/>
      <w:lvlJc w:val="left"/>
      <w:pPr>
        <w:ind w:left="4320" w:hanging="360"/>
      </w:pPr>
      <w:rPr>
        <w:rFonts w:ascii="Wingdings" w:hAnsi="Wingdings" w:hint="default"/>
      </w:rPr>
    </w:lvl>
    <w:lvl w:ilvl="6" w:tplc="02CCADBC">
      <w:start w:val="1"/>
      <w:numFmt w:val="bullet"/>
      <w:lvlText w:val=""/>
      <w:lvlJc w:val="left"/>
      <w:pPr>
        <w:ind w:left="5040" w:hanging="360"/>
      </w:pPr>
      <w:rPr>
        <w:rFonts w:ascii="Symbol" w:hAnsi="Symbol" w:hint="default"/>
      </w:rPr>
    </w:lvl>
    <w:lvl w:ilvl="7" w:tplc="82E62000">
      <w:start w:val="1"/>
      <w:numFmt w:val="bullet"/>
      <w:lvlText w:val="o"/>
      <w:lvlJc w:val="left"/>
      <w:pPr>
        <w:ind w:left="5760" w:hanging="360"/>
      </w:pPr>
      <w:rPr>
        <w:rFonts w:ascii="Courier New" w:hAnsi="Courier New" w:hint="default"/>
      </w:rPr>
    </w:lvl>
    <w:lvl w:ilvl="8" w:tplc="1F708B6C">
      <w:start w:val="1"/>
      <w:numFmt w:val="bullet"/>
      <w:lvlText w:val=""/>
      <w:lvlJc w:val="left"/>
      <w:pPr>
        <w:ind w:left="6480" w:hanging="360"/>
      </w:pPr>
      <w:rPr>
        <w:rFonts w:ascii="Wingdings" w:hAnsi="Wingdings" w:hint="default"/>
      </w:rPr>
    </w:lvl>
  </w:abstractNum>
  <w:abstractNum w:abstractNumId="575" w15:restartNumberingAfterBreak="0">
    <w:nsid w:val="775D734C"/>
    <w:multiLevelType w:val="multilevel"/>
    <w:tmpl w:val="FF8439C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76" w15:restartNumberingAfterBreak="0">
    <w:nsid w:val="77636F3D"/>
    <w:multiLevelType w:val="hybridMultilevel"/>
    <w:tmpl w:val="9384A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7" w15:restartNumberingAfterBreak="0">
    <w:nsid w:val="778F7198"/>
    <w:multiLevelType w:val="multilevel"/>
    <w:tmpl w:val="38A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7914028"/>
    <w:multiLevelType w:val="multilevel"/>
    <w:tmpl w:val="1CB6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79D2694"/>
    <w:multiLevelType w:val="multilevel"/>
    <w:tmpl w:val="4E1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7C47A4C"/>
    <w:multiLevelType w:val="hybridMultilevel"/>
    <w:tmpl w:val="0E8A08BC"/>
    <w:lvl w:ilvl="0" w:tplc="28BAB18C">
      <w:start w:val="1"/>
      <w:numFmt w:val="bullet"/>
      <w:lvlText w:val=""/>
      <w:lvlJc w:val="left"/>
      <w:pPr>
        <w:ind w:left="720" w:hanging="360"/>
      </w:pPr>
      <w:rPr>
        <w:rFonts w:ascii="Symbol" w:hAnsi="Symbol" w:hint="default"/>
      </w:rPr>
    </w:lvl>
    <w:lvl w:ilvl="1" w:tplc="E2EC3A30" w:tentative="1">
      <w:start w:val="1"/>
      <w:numFmt w:val="bullet"/>
      <w:lvlText w:val="o"/>
      <w:lvlJc w:val="left"/>
      <w:pPr>
        <w:ind w:left="1440" w:hanging="360"/>
      </w:pPr>
      <w:rPr>
        <w:rFonts w:ascii="Courier New" w:hAnsi="Courier New" w:hint="default"/>
      </w:rPr>
    </w:lvl>
    <w:lvl w:ilvl="2" w:tplc="8B3C1946" w:tentative="1">
      <w:start w:val="1"/>
      <w:numFmt w:val="bullet"/>
      <w:lvlText w:val=""/>
      <w:lvlJc w:val="left"/>
      <w:pPr>
        <w:ind w:left="2160" w:hanging="360"/>
      </w:pPr>
      <w:rPr>
        <w:rFonts w:ascii="Wingdings" w:hAnsi="Wingdings" w:hint="default"/>
      </w:rPr>
    </w:lvl>
    <w:lvl w:ilvl="3" w:tplc="E98C4D0E" w:tentative="1">
      <w:start w:val="1"/>
      <w:numFmt w:val="bullet"/>
      <w:lvlText w:val=""/>
      <w:lvlJc w:val="left"/>
      <w:pPr>
        <w:ind w:left="2880" w:hanging="360"/>
      </w:pPr>
      <w:rPr>
        <w:rFonts w:ascii="Symbol" w:hAnsi="Symbol" w:hint="default"/>
      </w:rPr>
    </w:lvl>
    <w:lvl w:ilvl="4" w:tplc="9EAE200C" w:tentative="1">
      <w:start w:val="1"/>
      <w:numFmt w:val="bullet"/>
      <w:lvlText w:val="o"/>
      <w:lvlJc w:val="left"/>
      <w:pPr>
        <w:ind w:left="3600" w:hanging="360"/>
      </w:pPr>
      <w:rPr>
        <w:rFonts w:ascii="Courier New" w:hAnsi="Courier New" w:hint="default"/>
      </w:rPr>
    </w:lvl>
    <w:lvl w:ilvl="5" w:tplc="CF28BD8C" w:tentative="1">
      <w:start w:val="1"/>
      <w:numFmt w:val="bullet"/>
      <w:lvlText w:val=""/>
      <w:lvlJc w:val="left"/>
      <w:pPr>
        <w:ind w:left="4320" w:hanging="360"/>
      </w:pPr>
      <w:rPr>
        <w:rFonts w:ascii="Wingdings" w:hAnsi="Wingdings" w:hint="default"/>
      </w:rPr>
    </w:lvl>
    <w:lvl w:ilvl="6" w:tplc="27844D52" w:tentative="1">
      <w:start w:val="1"/>
      <w:numFmt w:val="bullet"/>
      <w:lvlText w:val=""/>
      <w:lvlJc w:val="left"/>
      <w:pPr>
        <w:ind w:left="5040" w:hanging="360"/>
      </w:pPr>
      <w:rPr>
        <w:rFonts w:ascii="Symbol" w:hAnsi="Symbol" w:hint="default"/>
      </w:rPr>
    </w:lvl>
    <w:lvl w:ilvl="7" w:tplc="93163BD0" w:tentative="1">
      <w:start w:val="1"/>
      <w:numFmt w:val="bullet"/>
      <w:lvlText w:val="o"/>
      <w:lvlJc w:val="left"/>
      <w:pPr>
        <w:ind w:left="5760" w:hanging="360"/>
      </w:pPr>
      <w:rPr>
        <w:rFonts w:ascii="Courier New" w:hAnsi="Courier New" w:hint="default"/>
      </w:rPr>
    </w:lvl>
    <w:lvl w:ilvl="8" w:tplc="096A7A34" w:tentative="1">
      <w:start w:val="1"/>
      <w:numFmt w:val="bullet"/>
      <w:lvlText w:val=""/>
      <w:lvlJc w:val="left"/>
      <w:pPr>
        <w:ind w:left="6480" w:hanging="360"/>
      </w:pPr>
      <w:rPr>
        <w:rFonts w:ascii="Wingdings" w:hAnsi="Wingdings" w:hint="default"/>
      </w:rPr>
    </w:lvl>
  </w:abstractNum>
  <w:abstractNum w:abstractNumId="581" w15:restartNumberingAfterBreak="0">
    <w:nsid w:val="781172A8"/>
    <w:multiLevelType w:val="multilevel"/>
    <w:tmpl w:val="D964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828700B"/>
    <w:multiLevelType w:val="multilevel"/>
    <w:tmpl w:val="43C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78577E75"/>
    <w:multiLevelType w:val="multilevel"/>
    <w:tmpl w:val="662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85C4F72"/>
    <w:multiLevelType w:val="hybridMultilevel"/>
    <w:tmpl w:val="5AA011E6"/>
    <w:lvl w:ilvl="0" w:tplc="EFDA266A">
      <w:start w:val="1"/>
      <w:numFmt w:val="bullet"/>
      <w:lvlText w:val="·"/>
      <w:lvlJc w:val="left"/>
      <w:pPr>
        <w:ind w:left="720" w:hanging="360"/>
      </w:pPr>
      <w:rPr>
        <w:rFonts w:ascii="Symbol" w:hAnsi="Symbol" w:hint="default"/>
      </w:rPr>
    </w:lvl>
    <w:lvl w:ilvl="1" w:tplc="2D381C9A">
      <w:start w:val="1"/>
      <w:numFmt w:val="bullet"/>
      <w:lvlText w:val="o"/>
      <w:lvlJc w:val="left"/>
      <w:pPr>
        <w:ind w:left="1440" w:hanging="360"/>
      </w:pPr>
      <w:rPr>
        <w:rFonts w:ascii="Courier New" w:hAnsi="Courier New" w:hint="default"/>
      </w:rPr>
    </w:lvl>
    <w:lvl w:ilvl="2" w:tplc="80E2037E">
      <w:start w:val="1"/>
      <w:numFmt w:val="bullet"/>
      <w:lvlText w:val=""/>
      <w:lvlJc w:val="left"/>
      <w:pPr>
        <w:ind w:left="2160" w:hanging="360"/>
      </w:pPr>
      <w:rPr>
        <w:rFonts w:ascii="Wingdings" w:hAnsi="Wingdings" w:hint="default"/>
      </w:rPr>
    </w:lvl>
    <w:lvl w:ilvl="3" w:tplc="7436A1A6">
      <w:start w:val="1"/>
      <w:numFmt w:val="bullet"/>
      <w:lvlText w:val=""/>
      <w:lvlJc w:val="left"/>
      <w:pPr>
        <w:ind w:left="2880" w:hanging="360"/>
      </w:pPr>
      <w:rPr>
        <w:rFonts w:ascii="Symbol" w:hAnsi="Symbol" w:hint="default"/>
      </w:rPr>
    </w:lvl>
    <w:lvl w:ilvl="4" w:tplc="D2C8E5BE">
      <w:start w:val="1"/>
      <w:numFmt w:val="bullet"/>
      <w:lvlText w:val="o"/>
      <w:lvlJc w:val="left"/>
      <w:pPr>
        <w:ind w:left="3600" w:hanging="360"/>
      </w:pPr>
      <w:rPr>
        <w:rFonts w:ascii="Courier New" w:hAnsi="Courier New" w:hint="default"/>
      </w:rPr>
    </w:lvl>
    <w:lvl w:ilvl="5" w:tplc="674E9956">
      <w:start w:val="1"/>
      <w:numFmt w:val="bullet"/>
      <w:lvlText w:val=""/>
      <w:lvlJc w:val="left"/>
      <w:pPr>
        <w:ind w:left="4320" w:hanging="360"/>
      </w:pPr>
      <w:rPr>
        <w:rFonts w:ascii="Wingdings" w:hAnsi="Wingdings" w:hint="default"/>
      </w:rPr>
    </w:lvl>
    <w:lvl w:ilvl="6" w:tplc="E5E2BA76">
      <w:start w:val="1"/>
      <w:numFmt w:val="bullet"/>
      <w:lvlText w:val=""/>
      <w:lvlJc w:val="left"/>
      <w:pPr>
        <w:ind w:left="5040" w:hanging="360"/>
      </w:pPr>
      <w:rPr>
        <w:rFonts w:ascii="Symbol" w:hAnsi="Symbol" w:hint="default"/>
      </w:rPr>
    </w:lvl>
    <w:lvl w:ilvl="7" w:tplc="C3A087B8">
      <w:start w:val="1"/>
      <w:numFmt w:val="bullet"/>
      <w:lvlText w:val="o"/>
      <w:lvlJc w:val="left"/>
      <w:pPr>
        <w:ind w:left="5760" w:hanging="360"/>
      </w:pPr>
      <w:rPr>
        <w:rFonts w:ascii="Courier New" w:hAnsi="Courier New" w:hint="default"/>
      </w:rPr>
    </w:lvl>
    <w:lvl w:ilvl="8" w:tplc="2124D608">
      <w:start w:val="1"/>
      <w:numFmt w:val="bullet"/>
      <w:lvlText w:val=""/>
      <w:lvlJc w:val="left"/>
      <w:pPr>
        <w:ind w:left="6480" w:hanging="360"/>
      </w:pPr>
      <w:rPr>
        <w:rFonts w:ascii="Wingdings" w:hAnsi="Wingdings" w:hint="default"/>
      </w:rPr>
    </w:lvl>
  </w:abstractNum>
  <w:abstractNum w:abstractNumId="585" w15:restartNumberingAfterBreak="0">
    <w:nsid w:val="78C618FD"/>
    <w:multiLevelType w:val="hybridMultilevel"/>
    <w:tmpl w:val="91A4BD8C"/>
    <w:lvl w:ilvl="0" w:tplc="441C63C6">
      <w:start w:val="1"/>
      <w:numFmt w:val="bullet"/>
      <w:lvlText w:val=""/>
      <w:lvlJc w:val="left"/>
      <w:pPr>
        <w:ind w:left="360" w:hanging="360"/>
      </w:pPr>
      <w:rPr>
        <w:rFonts w:ascii="Symbol" w:hAnsi="Symbol" w:hint="default"/>
      </w:rPr>
    </w:lvl>
    <w:lvl w:ilvl="1" w:tplc="41CC7DE8" w:tentative="1">
      <w:start w:val="1"/>
      <w:numFmt w:val="bullet"/>
      <w:lvlText w:val="o"/>
      <w:lvlJc w:val="left"/>
      <w:pPr>
        <w:ind w:left="1080" w:hanging="360"/>
      </w:pPr>
      <w:rPr>
        <w:rFonts w:ascii="Courier New" w:hAnsi="Courier New" w:hint="default"/>
      </w:rPr>
    </w:lvl>
    <w:lvl w:ilvl="2" w:tplc="AD089ED2" w:tentative="1">
      <w:start w:val="1"/>
      <w:numFmt w:val="bullet"/>
      <w:lvlText w:val=""/>
      <w:lvlJc w:val="left"/>
      <w:pPr>
        <w:ind w:left="1800" w:hanging="360"/>
      </w:pPr>
      <w:rPr>
        <w:rFonts w:ascii="Wingdings" w:hAnsi="Wingdings" w:hint="default"/>
      </w:rPr>
    </w:lvl>
    <w:lvl w:ilvl="3" w:tplc="53126FCC" w:tentative="1">
      <w:start w:val="1"/>
      <w:numFmt w:val="bullet"/>
      <w:lvlText w:val=""/>
      <w:lvlJc w:val="left"/>
      <w:pPr>
        <w:ind w:left="2520" w:hanging="360"/>
      </w:pPr>
      <w:rPr>
        <w:rFonts w:ascii="Symbol" w:hAnsi="Symbol" w:hint="default"/>
      </w:rPr>
    </w:lvl>
    <w:lvl w:ilvl="4" w:tplc="57C24942" w:tentative="1">
      <w:start w:val="1"/>
      <w:numFmt w:val="bullet"/>
      <w:lvlText w:val="o"/>
      <w:lvlJc w:val="left"/>
      <w:pPr>
        <w:ind w:left="3240" w:hanging="360"/>
      </w:pPr>
      <w:rPr>
        <w:rFonts w:ascii="Courier New" w:hAnsi="Courier New" w:hint="default"/>
      </w:rPr>
    </w:lvl>
    <w:lvl w:ilvl="5" w:tplc="CE02AD72" w:tentative="1">
      <w:start w:val="1"/>
      <w:numFmt w:val="bullet"/>
      <w:lvlText w:val=""/>
      <w:lvlJc w:val="left"/>
      <w:pPr>
        <w:ind w:left="3960" w:hanging="360"/>
      </w:pPr>
      <w:rPr>
        <w:rFonts w:ascii="Wingdings" w:hAnsi="Wingdings" w:hint="default"/>
      </w:rPr>
    </w:lvl>
    <w:lvl w:ilvl="6" w:tplc="7D26C31C" w:tentative="1">
      <w:start w:val="1"/>
      <w:numFmt w:val="bullet"/>
      <w:lvlText w:val=""/>
      <w:lvlJc w:val="left"/>
      <w:pPr>
        <w:ind w:left="4680" w:hanging="360"/>
      </w:pPr>
      <w:rPr>
        <w:rFonts w:ascii="Symbol" w:hAnsi="Symbol" w:hint="default"/>
      </w:rPr>
    </w:lvl>
    <w:lvl w:ilvl="7" w:tplc="828A87B8" w:tentative="1">
      <w:start w:val="1"/>
      <w:numFmt w:val="bullet"/>
      <w:lvlText w:val="o"/>
      <w:lvlJc w:val="left"/>
      <w:pPr>
        <w:ind w:left="5400" w:hanging="360"/>
      </w:pPr>
      <w:rPr>
        <w:rFonts w:ascii="Courier New" w:hAnsi="Courier New" w:hint="default"/>
      </w:rPr>
    </w:lvl>
    <w:lvl w:ilvl="8" w:tplc="40E60C32" w:tentative="1">
      <w:start w:val="1"/>
      <w:numFmt w:val="bullet"/>
      <w:lvlText w:val=""/>
      <w:lvlJc w:val="left"/>
      <w:pPr>
        <w:ind w:left="6120" w:hanging="360"/>
      </w:pPr>
      <w:rPr>
        <w:rFonts w:ascii="Wingdings" w:hAnsi="Wingdings" w:hint="default"/>
      </w:rPr>
    </w:lvl>
  </w:abstractNum>
  <w:abstractNum w:abstractNumId="586" w15:restartNumberingAfterBreak="0">
    <w:nsid w:val="78D5596A"/>
    <w:multiLevelType w:val="hybridMultilevel"/>
    <w:tmpl w:val="16F4133A"/>
    <w:lvl w:ilvl="0" w:tplc="DA1030C0">
      <w:start w:val="1"/>
      <w:numFmt w:val="bullet"/>
      <w:lvlText w:val=""/>
      <w:lvlJc w:val="left"/>
      <w:pPr>
        <w:ind w:left="720" w:hanging="360"/>
      </w:pPr>
      <w:rPr>
        <w:rFonts w:ascii="Symbol" w:hAnsi="Symbol" w:hint="default"/>
      </w:rPr>
    </w:lvl>
    <w:lvl w:ilvl="1" w:tplc="A4F25216" w:tentative="1">
      <w:start w:val="1"/>
      <w:numFmt w:val="bullet"/>
      <w:lvlText w:val="o"/>
      <w:lvlJc w:val="left"/>
      <w:pPr>
        <w:ind w:left="1440" w:hanging="360"/>
      </w:pPr>
      <w:rPr>
        <w:rFonts w:ascii="Courier New" w:hAnsi="Courier New" w:hint="default"/>
      </w:rPr>
    </w:lvl>
    <w:lvl w:ilvl="2" w:tplc="730C041A" w:tentative="1">
      <w:start w:val="1"/>
      <w:numFmt w:val="bullet"/>
      <w:lvlText w:val=""/>
      <w:lvlJc w:val="left"/>
      <w:pPr>
        <w:ind w:left="2160" w:hanging="360"/>
      </w:pPr>
      <w:rPr>
        <w:rFonts w:ascii="Wingdings" w:hAnsi="Wingdings" w:hint="default"/>
      </w:rPr>
    </w:lvl>
    <w:lvl w:ilvl="3" w:tplc="A144451C" w:tentative="1">
      <w:start w:val="1"/>
      <w:numFmt w:val="bullet"/>
      <w:lvlText w:val=""/>
      <w:lvlJc w:val="left"/>
      <w:pPr>
        <w:ind w:left="2880" w:hanging="360"/>
      </w:pPr>
      <w:rPr>
        <w:rFonts w:ascii="Symbol" w:hAnsi="Symbol" w:hint="default"/>
      </w:rPr>
    </w:lvl>
    <w:lvl w:ilvl="4" w:tplc="95649A46" w:tentative="1">
      <w:start w:val="1"/>
      <w:numFmt w:val="bullet"/>
      <w:lvlText w:val="o"/>
      <w:lvlJc w:val="left"/>
      <w:pPr>
        <w:ind w:left="3600" w:hanging="360"/>
      </w:pPr>
      <w:rPr>
        <w:rFonts w:ascii="Courier New" w:hAnsi="Courier New" w:hint="default"/>
      </w:rPr>
    </w:lvl>
    <w:lvl w:ilvl="5" w:tplc="F514A944" w:tentative="1">
      <w:start w:val="1"/>
      <w:numFmt w:val="bullet"/>
      <w:lvlText w:val=""/>
      <w:lvlJc w:val="left"/>
      <w:pPr>
        <w:ind w:left="4320" w:hanging="360"/>
      </w:pPr>
      <w:rPr>
        <w:rFonts w:ascii="Wingdings" w:hAnsi="Wingdings" w:hint="default"/>
      </w:rPr>
    </w:lvl>
    <w:lvl w:ilvl="6" w:tplc="44280A98" w:tentative="1">
      <w:start w:val="1"/>
      <w:numFmt w:val="bullet"/>
      <w:lvlText w:val=""/>
      <w:lvlJc w:val="left"/>
      <w:pPr>
        <w:ind w:left="5040" w:hanging="360"/>
      </w:pPr>
      <w:rPr>
        <w:rFonts w:ascii="Symbol" w:hAnsi="Symbol" w:hint="default"/>
      </w:rPr>
    </w:lvl>
    <w:lvl w:ilvl="7" w:tplc="AA22777A" w:tentative="1">
      <w:start w:val="1"/>
      <w:numFmt w:val="bullet"/>
      <w:lvlText w:val="o"/>
      <w:lvlJc w:val="left"/>
      <w:pPr>
        <w:ind w:left="5760" w:hanging="360"/>
      </w:pPr>
      <w:rPr>
        <w:rFonts w:ascii="Courier New" w:hAnsi="Courier New" w:hint="default"/>
      </w:rPr>
    </w:lvl>
    <w:lvl w:ilvl="8" w:tplc="E1228996" w:tentative="1">
      <w:start w:val="1"/>
      <w:numFmt w:val="bullet"/>
      <w:lvlText w:val=""/>
      <w:lvlJc w:val="left"/>
      <w:pPr>
        <w:ind w:left="6480" w:hanging="360"/>
      </w:pPr>
      <w:rPr>
        <w:rFonts w:ascii="Wingdings" w:hAnsi="Wingdings" w:hint="default"/>
      </w:rPr>
    </w:lvl>
  </w:abstractNum>
  <w:abstractNum w:abstractNumId="587" w15:restartNumberingAfterBreak="0">
    <w:nsid w:val="79093182"/>
    <w:multiLevelType w:val="hybridMultilevel"/>
    <w:tmpl w:val="FEB64EB0"/>
    <w:lvl w:ilvl="0" w:tplc="6108E944">
      <w:start w:val="1"/>
      <w:numFmt w:val="bullet"/>
      <w:lvlText w:val=""/>
      <w:lvlJc w:val="left"/>
      <w:pPr>
        <w:ind w:left="720" w:hanging="360"/>
      </w:pPr>
      <w:rPr>
        <w:rFonts w:ascii="Symbol" w:hAnsi="Symbol" w:hint="default"/>
      </w:rPr>
    </w:lvl>
    <w:lvl w:ilvl="1" w:tplc="7B365404" w:tentative="1">
      <w:start w:val="1"/>
      <w:numFmt w:val="bullet"/>
      <w:lvlText w:val="o"/>
      <w:lvlJc w:val="left"/>
      <w:pPr>
        <w:ind w:left="1440" w:hanging="360"/>
      </w:pPr>
      <w:rPr>
        <w:rFonts w:ascii="Courier New" w:hAnsi="Courier New" w:hint="default"/>
      </w:rPr>
    </w:lvl>
    <w:lvl w:ilvl="2" w:tplc="B01472D4" w:tentative="1">
      <w:start w:val="1"/>
      <w:numFmt w:val="bullet"/>
      <w:lvlText w:val=""/>
      <w:lvlJc w:val="left"/>
      <w:pPr>
        <w:ind w:left="2160" w:hanging="360"/>
      </w:pPr>
      <w:rPr>
        <w:rFonts w:ascii="Wingdings" w:hAnsi="Wingdings" w:hint="default"/>
      </w:rPr>
    </w:lvl>
    <w:lvl w:ilvl="3" w:tplc="C784C812" w:tentative="1">
      <w:start w:val="1"/>
      <w:numFmt w:val="bullet"/>
      <w:lvlText w:val=""/>
      <w:lvlJc w:val="left"/>
      <w:pPr>
        <w:ind w:left="2880" w:hanging="360"/>
      </w:pPr>
      <w:rPr>
        <w:rFonts w:ascii="Symbol" w:hAnsi="Symbol" w:hint="default"/>
      </w:rPr>
    </w:lvl>
    <w:lvl w:ilvl="4" w:tplc="DB04A808" w:tentative="1">
      <w:start w:val="1"/>
      <w:numFmt w:val="bullet"/>
      <w:lvlText w:val="o"/>
      <w:lvlJc w:val="left"/>
      <w:pPr>
        <w:ind w:left="3600" w:hanging="360"/>
      </w:pPr>
      <w:rPr>
        <w:rFonts w:ascii="Courier New" w:hAnsi="Courier New" w:hint="default"/>
      </w:rPr>
    </w:lvl>
    <w:lvl w:ilvl="5" w:tplc="D94CD0FC" w:tentative="1">
      <w:start w:val="1"/>
      <w:numFmt w:val="bullet"/>
      <w:lvlText w:val=""/>
      <w:lvlJc w:val="left"/>
      <w:pPr>
        <w:ind w:left="4320" w:hanging="360"/>
      </w:pPr>
      <w:rPr>
        <w:rFonts w:ascii="Wingdings" w:hAnsi="Wingdings" w:hint="default"/>
      </w:rPr>
    </w:lvl>
    <w:lvl w:ilvl="6" w:tplc="03AC4928" w:tentative="1">
      <w:start w:val="1"/>
      <w:numFmt w:val="bullet"/>
      <w:lvlText w:val=""/>
      <w:lvlJc w:val="left"/>
      <w:pPr>
        <w:ind w:left="5040" w:hanging="360"/>
      </w:pPr>
      <w:rPr>
        <w:rFonts w:ascii="Symbol" w:hAnsi="Symbol" w:hint="default"/>
      </w:rPr>
    </w:lvl>
    <w:lvl w:ilvl="7" w:tplc="0D0498D4" w:tentative="1">
      <w:start w:val="1"/>
      <w:numFmt w:val="bullet"/>
      <w:lvlText w:val="o"/>
      <w:lvlJc w:val="left"/>
      <w:pPr>
        <w:ind w:left="5760" w:hanging="360"/>
      </w:pPr>
      <w:rPr>
        <w:rFonts w:ascii="Courier New" w:hAnsi="Courier New" w:hint="default"/>
      </w:rPr>
    </w:lvl>
    <w:lvl w:ilvl="8" w:tplc="A9268354" w:tentative="1">
      <w:start w:val="1"/>
      <w:numFmt w:val="bullet"/>
      <w:lvlText w:val=""/>
      <w:lvlJc w:val="left"/>
      <w:pPr>
        <w:ind w:left="6480" w:hanging="360"/>
      </w:pPr>
      <w:rPr>
        <w:rFonts w:ascii="Wingdings" w:hAnsi="Wingdings" w:hint="default"/>
      </w:rPr>
    </w:lvl>
  </w:abstractNum>
  <w:abstractNum w:abstractNumId="588" w15:restartNumberingAfterBreak="0">
    <w:nsid w:val="7925661D"/>
    <w:multiLevelType w:val="multilevel"/>
    <w:tmpl w:val="8C8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9435A36"/>
    <w:multiLevelType w:val="hybridMultilevel"/>
    <w:tmpl w:val="395A9098"/>
    <w:lvl w:ilvl="0" w:tplc="5456D998">
      <w:start w:val="1"/>
      <w:numFmt w:val="bullet"/>
      <w:lvlText w:val=""/>
      <w:lvlJc w:val="left"/>
      <w:pPr>
        <w:ind w:left="720" w:hanging="360"/>
      </w:pPr>
      <w:rPr>
        <w:rFonts w:ascii="Symbol" w:hAnsi="Symbol" w:hint="default"/>
      </w:rPr>
    </w:lvl>
    <w:lvl w:ilvl="1" w:tplc="3B1E544A" w:tentative="1">
      <w:start w:val="1"/>
      <w:numFmt w:val="bullet"/>
      <w:lvlText w:val="o"/>
      <w:lvlJc w:val="left"/>
      <w:pPr>
        <w:ind w:left="1440" w:hanging="360"/>
      </w:pPr>
      <w:rPr>
        <w:rFonts w:ascii="Courier New" w:hAnsi="Courier New" w:hint="default"/>
      </w:rPr>
    </w:lvl>
    <w:lvl w:ilvl="2" w:tplc="160E8182" w:tentative="1">
      <w:start w:val="1"/>
      <w:numFmt w:val="bullet"/>
      <w:lvlText w:val=""/>
      <w:lvlJc w:val="left"/>
      <w:pPr>
        <w:ind w:left="2160" w:hanging="360"/>
      </w:pPr>
      <w:rPr>
        <w:rFonts w:ascii="Wingdings" w:hAnsi="Wingdings" w:hint="default"/>
      </w:rPr>
    </w:lvl>
    <w:lvl w:ilvl="3" w:tplc="B776CEF6" w:tentative="1">
      <w:start w:val="1"/>
      <w:numFmt w:val="bullet"/>
      <w:lvlText w:val=""/>
      <w:lvlJc w:val="left"/>
      <w:pPr>
        <w:ind w:left="2880" w:hanging="360"/>
      </w:pPr>
      <w:rPr>
        <w:rFonts w:ascii="Symbol" w:hAnsi="Symbol" w:hint="default"/>
      </w:rPr>
    </w:lvl>
    <w:lvl w:ilvl="4" w:tplc="3FD2DAA2" w:tentative="1">
      <w:start w:val="1"/>
      <w:numFmt w:val="bullet"/>
      <w:lvlText w:val="o"/>
      <w:lvlJc w:val="left"/>
      <w:pPr>
        <w:ind w:left="3600" w:hanging="360"/>
      </w:pPr>
      <w:rPr>
        <w:rFonts w:ascii="Courier New" w:hAnsi="Courier New" w:hint="default"/>
      </w:rPr>
    </w:lvl>
    <w:lvl w:ilvl="5" w:tplc="2E9A3C48" w:tentative="1">
      <w:start w:val="1"/>
      <w:numFmt w:val="bullet"/>
      <w:lvlText w:val=""/>
      <w:lvlJc w:val="left"/>
      <w:pPr>
        <w:ind w:left="4320" w:hanging="360"/>
      </w:pPr>
      <w:rPr>
        <w:rFonts w:ascii="Wingdings" w:hAnsi="Wingdings" w:hint="default"/>
      </w:rPr>
    </w:lvl>
    <w:lvl w:ilvl="6" w:tplc="204A03E4" w:tentative="1">
      <w:start w:val="1"/>
      <w:numFmt w:val="bullet"/>
      <w:lvlText w:val=""/>
      <w:lvlJc w:val="left"/>
      <w:pPr>
        <w:ind w:left="5040" w:hanging="360"/>
      </w:pPr>
      <w:rPr>
        <w:rFonts w:ascii="Symbol" w:hAnsi="Symbol" w:hint="default"/>
      </w:rPr>
    </w:lvl>
    <w:lvl w:ilvl="7" w:tplc="BE44C5F8" w:tentative="1">
      <w:start w:val="1"/>
      <w:numFmt w:val="bullet"/>
      <w:lvlText w:val="o"/>
      <w:lvlJc w:val="left"/>
      <w:pPr>
        <w:ind w:left="5760" w:hanging="360"/>
      </w:pPr>
      <w:rPr>
        <w:rFonts w:ascii="Courier New" w:hAnsi="Courier New" w:hint="default"/>
      </w:rPr>
    </w:lvl>
    <w:lvl w:ilvl="8" w:tplc="321CDBC0" w:tentative="1">
      <w:start w:val="1"/>
      <w:numFmt w:val="bullet"/>
      <w:lvlText w:val=""/>
      <w:lvlJc w:val="left"/>
      <w:pPr>
        <w:ind w:left="6480" w:hanging="360"/>
      </w:pPr>
      <w:rPr>
        <w:rFonts w:ascii="Wingdings" w:hAnsi="Wingdings" w:hint="default"/>
      </w:rPr>
    </w:lvl>
  </w:abstractNum>
  <w:abstractNum w:abstractNumId="590" w15:restartNumberingAfterBreak="0">
    <w:nsid w:val="79592A55"/>
    <w:multiLevelType w:val="hybridMultilevel"/>
    <w:tmpl w:val="68E44DE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91" w15:restartNumberingAfterBreak="0">
    <w:nsid w:val="7987029D"/>
    <w:multiLevelType w:val="multilevel"/>
    <w:tmpl w:val="3088433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9A04B23"/>
    <w:multiLevelType w:val="hybridMultilevel"/>
    <w:tmpl w:val="2BF6DEA8"/>
    <w:lvl w:ilvl="0" w:tplc="BD24C28E">
      <w:start w:val="1"/>
      <w:numFmt w:val="bullet"/>
      <w:lvlText w:val=""/>
      <w:lvlJc w:val="left"/>
      <w:pPr>
        <w:ind w:left="720" w:hanging="360"/>
      </w:pPr>
      <w:rPr>
        <w:rFonts w:ascii="Symbol" w:hAnsi="Symbol" w:hint="default"/>
      </w:rPr>
    </w:lvl>
    <w:lvl w:ilvl="1" w:tplc="4A10C59A">
      <w:start w:val="1"/>
      <w:numFmt w:val="bullet"/>
      <w:lvlText w:val="o"/>
      <w:lvlJc w:val="left"/>
      <w:pPr>
        <w:ind w:left="1440" w:hanging="360"/>
      </w:pPr>
      <w:rPr>
        <w:rFonts w:ascii="Courier New" w:hAnsi="Courier New" w:hint="default"/>
      </w:rPr>
    </w:lvl>
    <w:lvl w:ilvl="2" w:tplc="2FDC6ED0" w:tentative="1">
      <w:start w:val="1"/>
      <w:numFmt w:val="bullet"/>
      <w:lvlText w:val=""/>
      <w:lvlJc w:val="left"/>
      <w:pPr>
        <w:ind w:left="2160" w:hanging="360"/>
      </w:pPr>
      <w:rPr>
        <w:rFonts w:ascii="Wingdings" w:hAnsi="Wingdings" w:hint="default"/>
      </w:rPr>
    </w:lvl>
    <w:lvl w:ilvl="3" w:tplc="9ED27A4E" w:tentative="1">
      <w:start w:val="1"/>
      <w:numFmt w:val="bullet"/>
      <w:lvlText w:val=""/>
      <w:lvlJc w:val="left"/>
      <w:pPr>
        <w:ind w:left="2880" w:hanging="360"/>
      </w:pPr>
      <w:rPr>
        <w:rFonts w:ascii="Symbol" w:hAnsi="Symbol" w:hint="default"/>
      </w:rPr>
    </w:lvl>
    <w:lvl w:ilvl="4" w:tplc="A80A39E4" w:tentative="1">
      <w:start w:val="1"/>
      <w:numFmt w:val="bullet"/>
      <w:lvlText w:val="o"/>
      <w:lvlJc w:val="left"/>
      <w:pPr>
        <w:ind w:left="3600" w:hanging="360"/>
      </w:pPr>
      <w:rPr>
        <w:rFonts w:ascii="Courier New" w:hAnsi="Courier New" w:hint="default"/>
      </w:rPr>
    </w:lvl>
    <w:lvl w:ilvl="5" w:tplc="27542406" w:tentative="1">
      <w:start w:val="1"/>
      <w:numFmt w:val="bullet"/>
      <w:lvlText w:val=""/>
      <w:lvlJc w:val="left"/>
      <w:pPr>
        <w:ind w:left="4320" w:hanging="360"/>
      </w:pPr>
      <w:rPr>
        <w:rFonts w:ascii="Wingdings" w:hAnsi="Wingdings" w:hint="default"/>
      </w:rPr>
    </w:lvl>
    <w:lvl w:ilvl="6" w:tplc="6F5CB34A" w:tentative="1">
      <w:start w:val="1"/>
      <w:numFmt w:val="bullet"/>
      <w:lvlText w:val=""/>
      <w:lvlJc w:val="left"/>
      <w:pPr>
        <w:ind w:left="5040" w:hanging="360"/>
      </w:pPr>
      <w:rPr>
        <w:rFonts w:ascii="Symbol" w:hAnsi="Symbol" w:hint="default"/>
      </w:rPr>
    </w:lvl>
    <w:lvl w:ilvl="7" w:tplc="C70A5E72" w:tentative="1">
      <w:start w:val="1"/>
      <w:numFmt w:val="bullet"/>
      <w:lvlText w:val="o"/>
      <w:lvlJc w:val="left"/>
      <w:pPr>
        <w:ind w:left="5760" w:hanging="360"/>
      </w:pPr>
      <w:rPr>
        <w:rFonts w:ascii="Courier New" w:hAnsi="Courier New" w:hint="default"/>
      </w:rPr>
    </w:lvl>
    <w:lvl w:ilvl="8" w:tplc="D312EDF4" w:tentative="1">
      <w:start w:val="1"/>
      <w:numFmt w:val="bullet"/>
      <w:lvlText w:val=""/>
      <w:lvlJc w:val="left"/>
      <w:pPr>
        <w:ind w:left="6480" w:hanging="360"/>
      </w:pPr>
      <w:rPr>
        <w:rFonts w:ascii="Wingdings" w:hAnsi="Wingdings" w:hint="default"/>
      </w:rPr>
    </w:lvl>
  </w:abstractNum>
  <w:abstractNum w:abstractNumId="593" w15:restartNumberingAfterBreak="0">
    <w:nsid w:val="79FD44CD"/>
    <w:multiLevelType w:val="multilevel"/>
    <w:tmpl w:val="3CB0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A211687"/>
    <w:multiLevelType w:val="multilevel"/>
    <w:tmpl w:val="EC842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7A4172CD"/>
    <w:multiLevelType w:val="multilevel"/>
    <w:tmpl w:val="DAB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A4E62E0"/>
    <w:multiLevelType w:val="hybridMultilevel"/>
    <w:tmpl w:val="E4DA2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7" w15:restartNumberingAfterBreak="0">
    <w:nsid w:val="7A544518"/>
    <w:multiLevelType w:val="hybridMultilevel"/>
    <w:tmpl w:val="3B14DD3C"/>
    <w:lvl w:ilvl="0" w:tplc="BDA86B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8" w15:restartNumberingAfterBreak="0">
    <w:nsid w:val="7A667A3C"/>
    <w:multiLevelType w:val="hybridMultilevel"/>
    <w:tmpl w:val="90DE137E"/>
    <w:lvl w:ilvl="0" w:tplc="4FEA4AA0">
      <w:start w:val="1"/>
      <w:numFmt w:val="bullet"/>
      <w:lvlText w:val=""/>
      <w:lvlJc w:val="left"/>
      <w:pPr>
        <w:ind w:left="720" w:hanging="360"/>
      </w:pPr>
      <w:rPr>
        <w:rFonts w:ascii="Symbol" w:hAnsi="Symbol" w:hint="default"/>
      </w:rPr>
    </w:lvl>
    <w:lvl w:ilvl="1" w:tplc="71DA3966" w:tentative="1">
      <w:start w:val="1"/>
      <w:numFmt w:val="bullet"/>
      <w:lvlText w:val="o"/>
      <w:lvlJc w:val="left"/>
      <w:pPr>
        <w:ind w:left="1440" w:hanging="360"/>
      </w:pPr>
      <w:rPr>
        <w:rFonts w:ascii="Courier New" w:hAnsi="Courier New" w:hint="default"/>
      </w:rPr>
    </w:lvl>
    <w:lvl w:ilvl="2" w:tplc="59CC7548">
      <w:start w:val="1"/>
      <w:numFmt w:val="bullet"/>
      <w:lvlText w:val="o"/>
      <w:lvlJc w:val="left"/>
      <w:pPr>
        <w:ind w:left="2160" w:hanging="360"/>
      </w:pPr>
      <w:rPr>
        <w:rFonts w:ascii="Courier New" w:hAnsi="Courier New" w:hint="default"/>
      </w:rPr>
    </w:lvl>
    <w:lvl w:ilvl="3" w:tplc="E3EC742C" w:tentative="1">
      <w:start w:val="1"/>
      <w:numFmt w:val="bullet"/>
      <w:lvlText w:val=""/>
      <w:lvlJc w:val="left"/>
      <w:pPr>
        <w:ind w:left="2880" w:hanging="360"/>
      </w:pPr>
      <w:rPr>
        <w:rFonts w:ascii="Symbol" w:hAnsi="Symbol" w:hint="default"/>
      </w:rPr>
    </w:lvl>
    <w:lvl w:ilvl="4" w:tplc="3702981A" w:tentative="1">
      <w:start w:val="1"/>
      <w:numFmt w:val="bullet"/>
      <w:lvlText w:val="o"/>
      <w:lvlJc w:val="left"/>
      <w:pPr>
        <w:ind w:left="3600" w:hanging="360"/>
      </w:pPr>
      <w:rPr>
        <w:rFonts w:ascii="Courier New" w:hAnsi="Courier New" w:hint="default"/>
      </w:rPr>
    </w:lvl>
    <w:lvl w:ilvl="5" w:tplc="B69640B8" w:tentative="1">
      <w:start w:val="1"/>
      <w:numFmt w:val="bullet"/>
      <w:lvlText w:val=""/>
      <w:lvlJc w:val="left"/>
      <w:pPr>
        <w:ind w:left="4320" w:hanging="360"/>
      </w:pPr>
      <w:rPr>
        <w:rFonts w:ascii="Wingdings" w:hAnsi="Wingdings" w:hint="default"/>
      </w:rPr>
    </w:lvl>
    <w:lvl w:ilvl="6" w:tplc="24043348" w:tentative="1">
      <w:start w:val="1"/>
      <w:numFmt w:val="bullet"/>
      <w:lvlText w:val=""/>
      <w:lvlJc w:val="left"/>
      <w:pPr>
        <w:ind w:left="5040" w:hanging="360"/>
      </w:pPr>
      <w:rPr>
        <w:rFonts w:ascii="Symbol" w:hAnsi="Symbol" w:hint="default"/>
      </w:rPr>
    </w:lvl>
    <w:lvl w:ilvl="7" w:tplc="C0728B90" w:tentative="1">
      <w:start w:val="1"/>
      <w:numFmt w:val="bullet"/>
      <w:lvlText w:val="o"/>
      <w:lvlJc w:val="left"/>
      <w:pPr>
        <w:ind w:left="5760" w:hanging="360"/>
      </w:pPr>
      <w:rPr>
        <w:rFonts w:ascii="Courier New" w:hAnsi="Courier New" w:hint="default"/>
      </w:rPr>
    </w:lvl>
    <w:lvl w:ilvl="8" w:tplc="7EDA0514" w:tentative="1">
      <w:start w:val="1"/>
      <w:numFmt w:val="bullet"/>
      <w:lvlText w:val=""/>
      <w:lvlJc w:val="left"/>
      <w:pPr>
        <w:ind w:left="6480" w:hanging="360"/>
      </w:pPr>
      <w:rPr>
        <w:rFonts w:ascii="Wingdings" w:hAnsi="Wingdings" w:hint="default"/>
      </w:rPr>
    </w:lvl>
  </w:abstractNum>
  <w:abstractNum w:abstractNumId="599" w15:restartNumberingAfterBreak="0">
    <w:nsid w:val="7A7C2DFA"/>
    <w:multiLevelType w:val="multilevel"/>
    <w:tmpl w:val="FD3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ABE35AC"/>
    <w:multiLevelType w:val="hybridMultilevel"/>
    <w:tmpl w:val="FFFFFFFF"/>
    <w:lvl w:ilvl="0" w:tplc="552E3920">
      <w:start w:val="1"/>
      <w:numFmt w:val="bullet"/>
      <w:lvlText w:val=""/>
      <w:lvlJc w:val="left"/>
      <w:pPr>
        <w:ind w:left="720" w:hanging="360"/>
      </w:pPr>
      <w:rPr>
        <w:rFonts w:ascii="Symbol" w:hAnsi="Symbol" w:hint="default"/>
      </w:rPr>
    </w:lvl>
    <w:lvl w:ilvl="1" w:tplc="D05E2CC8">
      <w:start w:val="1"/>
      <w:numFmt w:val="bullet"/>
      <w:lvlText w:val="o"/>
      <w:lvlJc w:val="left"/>
      <w:pPr>
        <w:ind w:left="1440" w:hanging="360"/>
      </w:pPr>
      <w:rPr>
        <w:rFonts w:ascii="Courier New" w:hAnsi="Courier New" w:hint="default"/>
      </w:rPr>
    </w:lvl>
    <w:lvl w:ilvl="2" w:tplc="6AC8FC88">
      <w:start w:val="1"/>
      <w:numFmt w:val="bullet"/>
      <w:lvlText w:val=""/>
      <w:lvlJc w:val="left"/>
      <w:pPr>
        <w:ind w:left="2160" w:hanging="360"/>
      </w:pPr>
      <w:rPr>
        <w:rFonts w:ascii="Wingdings" w:hAnsi="Wingdings" w:hint="default"/>
      </w:rPr>
    </w:lvl>
    <w:lvl w:ilvl="3" w:tplc="B3788AD6">
      <w:start w:val="1"/>
      <w:numFmt w:val="bullet"/>
      <w:lvlText w:val=""/>
      <w:lvlJc w:val="left"/>
      <w:pPr>
        <w:ind w:left="2880" w:hanging="360"/>
      </w:pPr>
      <w:rPr>
        <w:rFonts w:ascii="Symbol" w:hAnsi="Symbol" w:hint="default"/>
      </w:rPr>
    </w:lvl>
    <w:lvl w:ilvl="4" w:tplc="BE3221DE">
      <w:start w:val="1"/>
      <w:numFmt w:val="bullet"/>
      <w:lvlText w:val="o"/>
      <w:lvlJc w:val="left"/>
      <w:pPr>
        <w:ind w:left="3600" w:hanging="360"/>
      </w:pPr>
      <w:rPr>
        <w:rFonts w:ascii="Courier New" w:hAnsi="Courier New" w:hint="default"/>
      </w:rPr>
    </w:lvl>
    <w:lvl w:ilvl="5" w:tplc="CB0CFFFC">
      <w:start w:val="1"/>
      <w:numFmt w:val="bullet"/>
      <w:lvlText w:val=""/>
      <w:lvlJc w:val="left"/>
      <w:pPr>
        <w:ind w:left="4320" w:hanging="360"/>
      </w:pPr>
      <w:rPr>
        <w:rFonts w:ascii="Wingdings" w:hAnsi="Wingdings" w:hint="default"/>
      </w:rPr>
    </w:lvl>
    <w:lvl w:ilvl="6" w:tplc="2460E04C">
      <w:start w:val="1"/>
      <w:numFmt w:val="bullet"/>
      <w:lvlText w:val=""/>
      <w:lvlJc w:val="left"/>
      <w:pPr>
        <w:ind w:left="5040" w:hanging="360"/>
      </w:pPr>
      <w:rPr>
        <w:rFonts w:ascii="Symbol" w:hAnsi="Symbol" w:hint="default"/>
      </w:rPr>
    </w:lvl>
    <w:lvl w:ilvl="7" w:tplc="75BC1DAC">
      <w:start w:val="1"/>
      <w:numFmt w:val="bullet"/>
      <w:lvlText w:val="o"/>
      <w:lvlJc w:val="left"/>
      <w:pPr>
        <w:ind w:left="5760" w:hanging="360"/>
      </w:pPr>
      <w:rPr>
        <w:rFonts w:ascii="Courier New" w:hAnsi="Courier New" w:hint="default"/>
      </w:rPr>
    </w:lvl>
    <w:lvl w:ilvl="8" w:tplc="BF42F912">
      <w:start w:val="1"/>
      <w:numFmt w:val="bullet"/>
      <w:lvlText w:val=""/>
      <w:lvlJc w:val="left"/>
      <w:pPr>
        <w:ind w:left="6480" w:hanging="360"/>
      </w:pPr>
      <w:rPr>
        <w:rFonts w:ascii="Wingdings" w:hAnsi="Wingdings" w:hint="default"/>
      </w:rPr>
    </w:lvl>
  </w:abstractNum>
  <w:abstractNum w:abstractNumId="601" w15:restartNumberingAfterBreak="0">
    <w:nsid w:val="7B280907"/>
    <w:multiLevelType w:val="hybridMultilevel"/>
    <w:tmpl w:val="092E6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2" w15:restartNumberingAfterBreak="0">
    <w:nsid w:val="7B8B5525"/>
    <w:multiLevelType w:val="hybridMultilevel"/>
    <w:tmpl w:val="D0FAB55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603" w15:restartNumberingAfterBreak="0">
    <w:nsid w:val="7BB76DA7"/>
    <w:multiLevelType w:val="hybridMultilevel"/>
    <w:tmpl w:val="FFFFFFFF"/>
    <w:lvl w:ilvl="0" w:tplc="3288078A">
      <w:start w:val="1"/>
      <w:numFmt w:val="bullet"/>
      <w:lvlText w:val=""/>
      <w:lvlJc w:val="left"/>
      <w:pPr>
        <w:ind w:left="720" w:hanging="360"/>
      </w:pPr>
      <w:rPr>
        <w:rFonts w:ascii="Symbol" w:hAnsi="Symbol" w:hint="default"/>
      </w:rPr>
    </w:lvl>
    <w:lvl w:ilvl="1" w:tplc="89E247C6">
      <w:start w:val="1"/>
      <w:numFmt w:val="bullet"/>
      <w:lvlText w:val="o"/>
      <w:lvlJc w:val="left"/>
      <w:pPr>
        <w:ind w:left="1440" w:hanging="360"/>
      </w:pPr>
      <w:rPr>
        <w:rFonts w:ascii="Courier New" w:hAnsi="Courier New" w:hint="default"/>
      </w:rPr>
    </w:lvl>
    <w:lvl w:ilvl="2" w:tplc="DD64EF82">
      <w:start w:val="1"/>
      <w:numFmt w:val="bullet"/>
      <w:lvlText w:val=""/>
      <w:lvlJc w:val="left"/>
      <w:pPr>
        <w:ind w:left="2160" w:hanging="360"/>
      </w:pPr>
      <w:rPr>
        <w:rFonts w:ascii="Wingdings" w:hAnsi="Wingdings" w:hint="default"/>
      </w:rPr>
    </w:lvl>
    <w:lvl w:ilvl="3" w:tplc="07F0E38E">
      <w:start w:val="1"/>
      <w:numFmt w:val="bullet"/>
      <w:lvlText w:val=""/>
      <w:lvlJc w:val="left"/>
      <w:pPr>
        <w:ind w:left="2880" w:hanging="360"/>
      </w:pPr>
      <w:rPr>
        <w:rFonts w:ascii="Symbol" w:hAnsi="Symbol" w:hint="default"/>
      </w:rPr>
    </w:lvl>
    <w:lvl w:ilvl="4" w:tplc="7CAE8E32">
      <w:start w:val="1"/>
      <w:numFmt w:val="bullet"/>
      <w:lvlText w:val="o"/>
      <w:lvlJc w:val="left"/>
      <w:pPr>
        <w:ind w:left="3600" w:hanging="360"/>
      </w:pPr>
      <w:rPr>
        <w:rFonts w:ascii="Courier New" w:hAnsi="Courier New" w:hint="default"/>
      </w:rPr>
    </w:lvl>
    <w:lvl w:ilvl="5" w:tplc="AE962A6C">
      <w:start w:val="1"/>
      <w:numFmt w:val="bullet"/>
      <w:lvlText w:val=""/>
      <w:lvlJc w:val="left"/>
      <w:pPr>
        <w:ind w:left="4320" w:hanging="360"/>
      </w:pPr>
      <w:rPr>
        <w:rFonts w:ascii="Wingdings" w:hAnsi="Wingdings" w:hint="default"/>
      </w:rPr>
    </w:lvl>
    <w:lvl w:ilvl="6" w:tplc="DD8024BE">
      <w:start w:val="1"/>
      <w:numFmt w:val="bullet"/>
      <w:lvlText w:val=""/>
      <w:lvlJc w:val="left"/>
      <w:pPr>
        <w:ind w:left="5040" w:hanging="360"/>
      </w:pPr>
      <w:rPr>
        <w:rFonts w:ascii="Symbol" w:hAnsi="Symbol" w:hint="default"/>
      </w:rPr>
    </w:lvl>
    <w:lvl w:ilvl="7" w:tplc="E81C1808">
      <w:start w:val="1"/>
      <w:numFmt w:val="bullet"/>
      <w:lvlText w:val="o"/>
      <w:lvlJc w:val="left"/>
      <w:pPr>
        <w:ind w:left="5760" w:hanging="360"/>
      </w:pPr>
      <w:rPr>
        <w:rFonts w:ascii="Courier New" w:hAnsi="Courier New" w:hint="default"/>
      </w:rPr>
    </w:lvl>
    <w:lvl w:ilvl="8" w:tplc="67582E14">
      <w:start w:val="1"/>
      <w:numFmt w:val="bullet"/>
      <w:lvlText w:val=""/>
      <w:lvlJc w:val="left"/>
      <w:pPr>
        <w:ind w:left="6480" w:hanging="360"/>
      </w:pPr>
      <w:rPr>
        <w:rFonts w:ascii="Wingdings" w:hAnsi="Wingdings" w:hint="default"/>
      </w:rPr>
    </w:lvl>
  </w:abstractNum>
  <w:abstractNum w:abstractNumId="604" w15:restartNumberingAfterBreak="0">
    <w:nsid w:val="7BFA69D7"/>
    <w:multiLevelType w:val="multilevel"/>
    <w:tmpl w:val="67C2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7C353F6A"/>
    <w:multiLevelType w:val="multilevel"/>
    <w:tmpl w:val="03E0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C68A073"/>
    <w:multiLevelType w:val="hybridMultilevel"/>
    <w:tmpl w:val="F5322510"/>
    <w:lvl w:ilvl="0" w:tplc="53706B7A">
      <w:start w:val="1"/>
      <w:numFmt w:val="bullet"/>
      <w:lvlText w:val="·"/>
      <w:lvlJc w:val="left"/>
      <w:pPr>
        <w:ind w:left="720" w:hanging="360"/>
      </w:pPr>
      <w:rPr>
        <w:rFonts w:ascii="Symbol" w:hAnsi="Symbol" w:hint="default"/>
      </w:rPr>
    </w:lvl>
    <w:lvl w:ilvl="1" w:tplc="82AA11E4">
      <w:start w:val="1"/>
      <w:numFmt w:val="bullet"/>
      <w:lvlText w:val="o"/>
      <w:lvlJc w:val="left"/>
      <w:pPr>
        <w:ind w:left="1440" w:hanging="360"/>
      </w:pPr>
      <w:rPr>
        <w:rFonts w:ascii="Courier New" w:hAnsi="Courier New" w:hint="default"/>
      </w:rPr>
    </w:lvl>
    <w:lvl w:ilvl="2" w:tplc="BF3A8D98">
      <w:start w:val="1"/>
      <w:numFmt w:val="bullet"/>
      <w:lvlText w:val=""/>
      <w:lvlJc w:val="left"/>
      <w:pPr>
        <w:ind w:left="2160" w:hanging="360"/>
      </w:pPr>
      <w:rPr>
        <w:rFonts w:ascii="Wingdings" w:hAnsi="Wingdings" w:hint="default"/>
      </w:rPr>
    </w:lvl>
    <w:lvl w:ilvl="3" w:tplc="61B82652">
      <w:start w:val="1"/>
      <w:numFmt w:val="bullet"/>
      <w:lvlText w:val=""/>
      <w:lvlJc w:val="left"/>
      <w:pPr>
        <w:ind w:left="2880" w:hanging="360"/>
      </w:pPr>
      <w:rPr>
        <w:rFonts w:ascii="Symbol" w:hAnsi="Symbol" w:hint="default"/>
      </w:rPr>
    </w:lvl>
    <w:lvl w:ilvl="4" w:tplc="5F94123C">
      <w:start w:val="1"/>
      <w:numFmt w:val="bullet"/>
      <w:lvlText w:val="o"/>
      <w:lvlJc w:val="left"/>
      <w:pPr>
        <w:ind w:left="3600" w:hanging="360"/>
      </w:pPr>
      <w:rPr>
        <w:rFonts w:ascii="Courier New" w:hAnsi="Courier New" w:hint="default"/>
      </w:rPr>
    </w:lvl>
    <w:lvl w:ilvl="5" w:tplc="09600766">
      <w:start w:val="1"/>
      <w:numFmt w:val="bullet"/>
      <w:lvlText w:val=""/>
      <w:lvlJc w:val="left"/>
      <w:pPr>
        <w:ind w:left="4320" w:hanging="360"/>
      </w:pPr>
      <w:rPr>
        <w:rFonts w:ascii="Wingdings" w:hAnsi="Wingdings" w:hint="default"/>
      </w:rPr>
    </w:lvl>
    <w:lvl w:ilvl="6" w:tplc="377032B6">
      <w:start w:val="1"/>
      <w:numFmt w:val="bullet"/>
      <w:lvlText w:val=""/>
      <w:lvlJc w:val="left"/>
      <w:pPr>
        <w:ind w:left="5040" w:hanging="360"/>
      </w:pPr>
      <w:rPr>
        <w:rFonts w:ascii="Symbol" w:hAnsi="Symbol" w:hint="default"/>
      </w:rPr>
    </w:lvl>
    <w:lvl w:ilvl="7" w:tplc="F020A2C0">
      <w:start w:val="1"/>
      <w:numFmt w:val="bullet"/>
      <w:lvlText w:val="o"/>
      <w:lvlJc w:val="left"/>
      <w:pPr>
        <w:ind w:left="5760" w:hanging="360"/>
      </w:pPr>
      <w:rPr>
        <w:rFonts w:ascii="Courier New" w:hAnsi="Courier New" w:hint="default"/>
      </w:rPr>
    </w:lvl>
    <w:lvl w:ilvl="8" w:tplc="419A3AA4">
      <w:start w:val="1"/>
      <w:numFmt w:val="bullet"/>
      <w:lvlText w:val=""/>
      <w:lvlJc w:val="left"/>
      <w:pPr>
        <w:ind w:left="6480" w:hanging="360"/>
      </w:pPr>
      <w:rPr>
        <w:rFonts w:ascii="Wingdings" w:hAnsi="Wingdings" w:hint="default"/>
      </w:rPr>
    </w:lvl>
  </w:abstractNum>
  <w:abstractNum w:abstractNumId="607" w15:restartNumberingAfterBreak="0">
    <w:nsid w:val="7C7C7679"/>
    <w:multiLevelType w:val="hybridMultilevel"/>
    <w:tmpl w:val="A1B07FBE"/>
    <w:lvl w:ilvl="0" w:tplc="8EF496A6">
      <w:start w:val="1"/>
      <w:numFmt w:val="bullet"/>
      <w:lvlText w:val="·"/>
      <w:lvlJc w:val="left"/>
      <w:pPr>
        <w:ind w:left="720" w:hanging="360"/>
      </w:pPr>
      <w:rPr>
        <w:rFonts w:ascii="Symbol" w:hAnsi="Symbol" w:hint="default"/>
      </w:rPr>
    </w:lvl>
    <w:lvl w:ilvl="1" w:tplc="D5DACD66" w:tentative="1">
      <w:start w:val="1"/>
      <w:numFmt w:val="bullet"/>
      <w:lvlText w:val="o"/>
      <w:lvlJc w:val="left"/>
      <w:pPr>
        <w:ind w:left="1440" w:hanging="360"/>
      </w:pPr>
      <w:rPr>
        <w:rFonts w:ascii="Courier New" w:hAnsi="Courier New" w:hint="default"/>
      </w:rPr>
    </w:lvl>
    <w:lvl w:ilvl="2" w:tplc="53E60A90" w:tentative="1">
      <w:start w:val="1"/>
      <w:numFmt w:val="bullet"/>
      <w:lvlText w:val=""/>
      <w:lvlJc w:val="left"/>
      <w:pPr>
        <w:ind w:left="2160" w:hanging="360"/>
      </w:pPr>
      <w:rPr>
        <w:rFonts w:ascii="Wingdings" w:hAnsi="Wingdings" w:hint="default"/>
      </w:rPr>
    </w:lvl>
    <w:lvl w:ilvl="3" w:tplc="BBFAEECC" w:tentative="1">
      <w:start w:val="1"/>
      <w:numFmt w:val="bullet"/>
      <w:lvlText w:val=""/>
      <w:lvlJc w:val="left"/>
      <w:pPr>
        <w:ind w:left="2880" w:hanging="360"/>
      </w:pPr>
      <w:rPr>
        <w:rFonts w:ascii="Symbol" w:hAnsi="Symbol" w:hint="default"/>
      </w:rPr>
    </w:lvl>
    <w:lvl w:ilvl="4" w:tplc="8806CE9E" w:tentative="1">
      <w:start w:val="1"/>
      <w:numFmt w:val="bullet"/>
      <w:lvlText w:val="o"/>
      <w:lvlJc w:val="left"/>
      <w:pPr>
        <w:ind w:left="3600" w:hanging="360"/>
      </w:pPr>
      <w:rPr>
        <w:rFonts w:ascii="Courier New" w:hAnsi="Courier New" w:hint="default"/>
      </w:rPr>
    </w:lvl>
    <w:lvl w:ilvl="5" w:tplc="1868B466" w:tentative="1">
      <w:start w:val="1"/>
      <w:numFmt w:val="bullet"/>
      <w:lvlText w:val=""/>
      <w:lvlJc w:val="left"/>
      <w:pPr>
        <w:ind w:left="4320" w:hanging="360"/>
      </w:pPr>
      <w:rPr>
        <w:rFonts w:ascii="Wingdings" w:hAnsi="Wingdings" w:hint="default"/>
      </w:rPr>
    </w:lvl>
    <w:lvl w:ilvl="6" w:tplc="1D1AD4C0" w:tentative="1">
      <w:start w:val="1"/>
      <w:numFmt w:val="bullet"/>
      <w:lvlText w:val=""/>
      <w:lvlJc w:val="left"/>
      <w:pPr>
        <w:ind w:left="5040" w:hanging="360"/>
      </w:pPr>
      <w:rPr>
        <w:rFonts w:ascii="Symbol" w:hAnsi="Symbol" w:hint="default"/>
      </w:rPr>
    </w:lvl>
    <w:lvl w:ilvl="7" w:tplc="5B9E24EE" w:tentative="1">
      <w:start w:val="1"/>
      <w:numFmt w:val="bullet"/>
      <w:lvlText w:val="o"/>
      <w:lvlJc w:val="left"/>
      <w:pPr>
        <w:ind w:left="5760" w:hanging="360"/>
      </w:pPr>
      <w:rPr>
        <w:rFonts w:ascii="Courier New" w:hAnsi="Courier New" w:hint="default"/>
      </w:rPr>
    </w:lvl>
    <w:lvl w:ilvl="8" w:tplc="461041E4" w:tentative="1">
      <w:start w:val="1"/>
      <w:numFmt w:val="bullet"/>
      <w:lvlText w:val=""/>
      <w:lvlJc w:val="left"/>
      <w:pPr>
        <w:ind w:left="6480" w:hanging="360"/>
      </w:pPr>
      <w:rPr>
        <w:rFonts w:ascii="Wingdings" w:hAnsi="Wingdings" w:hint="default"/>
      </w:rPr>
    </w:lvl>
  </w:abstractNum>
  <w:abstractNum w:abstractNumId="608" w15:restartNumberingAfterBreak="0">
    <w:nsid w:val="7CBE54D5"/>
    <w:multiLevelType w:val="hybridMultilevel"/>
    <w:tmpl w:val="1AA6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9" w15:restartNumberingAfterBreak="0">
    <w:nsid w:val="7CD24E4E"/>
    <w:multiLevelType w:val="multilevel"/>
    <w:tmpl w:val="D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7D050CC0"/>
    <w:multiLevelType w:val="hybridMultilevel"/>
    <w:tmpl w:val="8FCAC44C"/>
    <w:lvl w:ilvl="0" w:tplc="036C81E0">
      <w:start w:val="1"/>
      <w:numFmt w:val="bullet"/>
      <w:lvlText w:val=""/>
      <w:lvlJc w:val="left"/>
      <w:pPr>
        <w:ind w:left="720" w:hanging="360"/>
      </w:pPr>
      <w:rPr>
        <w:rFonts w:ascii="Symbol" w:hAnsi="Symbol" w:hint="default"/>
      </w:rPr>
    </w:lvl>
    <w:lvl w:ilvl="1" w:tplc="0D806BD2" w:tentative="1">
      <w:start w:val="1"/>
      <w:numFmt w:val="bullet"/>
      <w:lvlText w:val="o"/>
      <w:lvlJc w:val="left"/>
      <w:pPr>
        <w:ind w:left="1440" w:hanging="360"/>
      </w:pPr>
      <w:rPr>
        <w:rFonts w:ascii="Courier New" w:hAnsi="Courier New" w:hint="default"/>
      </w:rPr>
    </w:lvl>
    <w:lvl w:ilvl="2" w:tplc="B4C0A7C0" w:tentative="1">
      <w:start w:val="1"/>
      <w:numFmt w:val="bullet"/>
      <w:lvlText w:val=""/>
      <w:lvlJc w:val="left"/>
      <w:pPr>
        <w:ind w:left="2160" w:hanging="360"/>
      </w:pPr>
      <w:rPr>
        <w:rFonts w:ascii="Wingdings" w:hAnsi="Wingdings" w:hint="default"/>
      </w:rPr>
    </w:lvl>
    <w:lvl w:ilvl="3" w:tplc="14A2E232" w:tentative="1">
      <w:start w:val="1"/>
      <w:numFmt w:val="bullet"/>
      <w:lvlText w:val=""/>
      <w:lvlJc w:val="left"/>
      <w:pPr>
        <w:ind w:left="2880" w:hanging="360"/>
      </w:pPr>
      <w:rPr>
        <w:rFonts w:ascii="Symbol" w:hAnsi="Symbol" w:hint="default"/>
      </w:rPr>
    </w:lvl>
    <w:lvl w:ilvl="4" w:tplc="158600DC" w:tentative="1">
      <w:start w:val="1"/>
      <w:numFmt w:val="bullet"/>
      <w:lvlText w:val="o"/>
      <w:lvlJc w:val="left"/>
      <w:pPr>
        <w:ind w:left="3600" w:hanging="360"/>
      </w:pPr>
      <w:rPr>
        <w:rFonts w:ascii="Courier New" w:hAnsi="Courier New" w:hint="default"/>
      </w:rPr>
    </w:lvl>
    <w:lvl w:ilvl="5" w:tplc="6E2265D8" w:tentative="1">
      <w:start w:val="1"/>
      <w:numFmt w:val="bullet"/>
      <w:lvlText w:val=""/>
      <w:lvlJc w:val="left"/>
      <w:pPr>
        <w:ind w:left="4320" w:hanging="360"/>
      </w:pPr>
      <w:rPr>
        <w:rFonts w:ascii="Wingdings" w:hAnsi="Wingdings" w:hint="default"/>
      </w:rPr>
    </w:lvl>
    <w:lvl w:ilvl="6" w:tplc="8FEA79E0" w:tentative="1">
      <w:start w:val="1"/>
      <w:numFmt w:val="bullet"/>
      <w:lvlText w:val=""/>
      <w:lvlJc w:val="left"/>
      <w:pPr>
        <w:ind w:left="5040" w:hanging="360"/>
      </w:pPr>
      <w:rPr>
        <w:rFonts w:ascii="Symbol" w:hAnsi="Symbol" w:hint="default"/>
      </w:rPr>
    </w:lvl>
    <w:lvl w:ilvl="7" w:tplc="FE3601D4" w:tentative="1">
      <w:start w:val="1"/>
      <w:numFmt w:val="bullet"/>
      <w:lvlText w:val="o"/>
      <w:lvlJc w:val="left"/>
      <w:pPr>
        <w:ind w:left="5760" w:hanging="360"/>
      </w:pPr>
      <w:rPr>
        <w:rFonts w:ascii="Courier New" w:hAnsi="Courier New" w:hint="default"/>
      </w:rPr>
    </w:lvl>
    <w:lvl w:ilvl="8" w:tplc="8702DAF8" w:tentative="1">
      <w:start w:val="1"/>
      <w:numFmt w:val="bullet"/>
      <w:lvlText w:val=""/>
      <w:lvlJc w:val="left"/>
      <w:pPr>
        <w:ind w:left="6480" w:hanging="360"/>
      </w:pPr>
      <w:rPr>
        <w:rFonts w:ascii="Wingdings" w:hAnsi="Wingdings" w:hint="default"/>
      </w:rPr>
    </w:lvl>
  </w:abstractNum>
  <w:abstractNum w:abstractNumId="611" w15:restartNumberingAfterBreak="0">
    <w:nsid w:val="7D1675D2"/>
    <w:multiLevelType w:val="multilevel"/>
    <w:tmpl w:val="A4F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D2970FA"/>
    <w:multiLevelType w:val="multilevel"/>
    <w:tmpl w:val="E6C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D811ECE"/>
    <w:multiLevelType w:val="multilevel"/>
    <w:tmpl w:val="02E6ABC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4" w15:restartNumberingAfterBreak="0">
    <w:nsid w:val="7DCEE0CD"/>
    <w:multiLevelType w:val="hybridMultilevel"/>
    <w:tmpl w:val="FFFFFFFF"/>
    <w:lvl w:ilvl="0" w:tplc="76785140">
      <w:start w:val="1"/>
      <w:numFmt w:val="bullet"/>
      <w:lvlText w:val=""/>
      <w:lvlJc w:val="left"/>
      <w:pPr>
        <w:ind w:left="720" w:hanging="360"/>
      </w:pPr>
      <w:rPr>
        <w:rFonts w:ascii="Symbol" w:hAnsi="Symbol" w:hint="default"/>
      </w:rPr>
    </w:lvl>
    <w:lvl w:ilvl="1" w:tplc="5790BC06">
      <w:start w:val="1"/>
      <w:numFmt w:val="bullet"/>
      <w:lvlText w:val="o"/>
      <w:lvlJc w:val="left"/>
      <w:pPr>
        <w:ind w:left="1440" w:hanging="360"/>
      </w:pPr>
      <w:rPr>
        <w:rFonts w:ascii="Courier New" w:hAnsi="Courier New" w:hint="default"/>
      </w:rPr>
    </w:lvl>
    <w:lvl w:ilvl="2" w:tplc="A51CD4CE">
      <w:start w:val="1"/>
      <w:numFmt w:val="bullet"/>
      <w:lvlText w:val=""/>
      <w:lvlJc w:val="left"/>
      <w:pPr>
        <w:ind w:left="2160" w:hanging="360"/>
      </w:pPr>
      <w:rPr>
        <w:rFonts w:ascii="Wingdings" w:hAnsi="Wingdings" w:hint="default"/>
      </w:rPr>
    </w:lvl>
    <w:lvl w:ilvl="3" w:tplc="94668802">
      <w:start w:val="1"/>
      <w:numFmt w:val="bullet"/>
      <w:lvlText w:val=""/>
      <w:lvlJc w:val="left"/>
      <w:pPr>
        <w:ind w:left="2880" w:hanging="360"/>
      </w:pPr>
      <w:rPr>
        <w:rFonts w:ascii="Symbol" w:hAnsi="Symbol" w:hint="default"/>
      </w:rPr>
    </w:lvl>
    <w:lvl w:ilvl="4" w:tplc="4D68E74A">
      <w:start w:val="1"/>
      <w:numFmt w:val="bullet"/>
      <w:lvlText w:val="o"/>
      <w:lvlJc w:val="left"/>
      <w:pPr>
        <w:ind w:left="3600" w:hanging="360"/>
      </w:pPr>
      <w:rPr>
        <w:rFonts w:ascii="Courier New" w:hAnsi="Courier New" w:hint="default"/>
      </w:rPr>
    </w:lvl>
    <w:lvl w:ilvl="5" w:tplc="8CBEF844">
      <w:start w:val="1"/>
      <w:numFmt w:val="bullet"/>
      <w:lvlText w:val=""/>
      <w:lvlJc w:val="left"/>
      <w:pPr>
        <w:ind w:left="4320" w:hanging="360"/>
      </w:pPr>
      <w:rPr>
        <w:rFonts w:ascii="Wingdings" w:hAnsi="Wingdings" w:hint="default"/>
      </w:rPr>
    </w:lvl>
    <w:lvl w:ilvl="6" w:tplc="EECEF94E">
      <w:start w:val="1"/>
      <w:numFmt w:val="bullet"/>
      <w:lvlText w:val=""/>
      <w:lvlJc w:val="left"/>
      <w:pPr>
        <w:ind w:left="5040" w:hanging="360"/>
      </w:pPr>
      <w:rPr>
        <w:rFonts w:ascii="Symbol" w:hAnsi="Symbol" w:hint="default"/>
      </w:rPr>
    </w:lvl>
    <w:lvl w:ilvl="7" w:tplc="C5D2928E">
      <w:start w:val="1"/>
      <w:numFmt w:val="bullet"/>
      <w:lvlText w:val="o"/>
      <w:lvlJc w:val="left"/>
      <w:pPr>
        <w:ind w:left="5760" w:hanging="360"/>
      </w:pPr>
      <w:rPr>
        <w:rFonts w:ascii="Courier New" w:hAnsi="Courier New" w:hint="default"/>
      </w:rPr>
    </w:lvl>
    <w:lvl w:ilvl="8" w:tplc="F0544C4E">
      <w:start w:val="1"/>
      <w:numFmt w:val="bullet"/>
      <w:lvlText w:val=""/>
      <w:lvlJc w:val="left"/>
      <w:pPr>
        <w:ind w:left="6480" w:hanging="360"/>
      </w:pPr>
      <w:rPr>
        <w:rFonts w:ascii="Wingdings" w:hAnsi="Wingdings" w:hint="default"/>
      </w:rPr>
    </w:lvl>
  </w:abstractNum>
  <w:abstractNum w:abstractNumId="615" w15:restartNumberingAfterBreak="0">
    <w:nsid w:val="7E1E18D2"/>
    <w:multiLevelType w:val="hybridMultilevel"/>
    <w:tmpl w:val="D6EA7920"/>
    <w:lvl w:ilvl="0" w:tplc="4322C9D2">
      <w:start w:val="1"/>
      <w:numFmt w:val="bullet"/>
      <w:lvlText w:val=""/>
      <w:lvlJc w:val="left"/>
      <w:pPr>
        <w:ind w:left="360" w:hanging="360"/>
      </w:pPr>
      <w:rPr>
        <w:rFonts w:ascii="Symbol" w:hAnsi="Symbol" w:hint="default"/>
      </w:rPr>
    </w:lvl>
    <w:lvl w:ilvl="1" w:tplc="1EC03384">
      <w:start w:val="1"/>
      <w:numFmt w:val="bullet"/>
      <w:lvlText w:val="o"/>
      <w:lvlJc w:val="left"/>
      <w:pPr>
        <w:ind w:left="928" w:hanging="360"/>
      </w:pPr>
      <w:rPr>
        <w:rFonts w:ascii="Courier New" w:hAnsi="Courier New" w:hint="default"/>
      </w:rPr>
    </w:lvl>
    <w:lvl w:ilvl="2" w:tplc="B6C63CAA">
      <w:start w:val="1"/>
      <w:numFmt w:val="bullet"/>
      <w:lvlText w:val=""/>
      <w:lvlJc w:val="left"/>
      <w:pPr>
        <w:ind w:left="2236" w:hanging="360"/>
      </w:pPr>
      <w:rPr>
        <w:rFonts w:ascii="Wingdings" w:hAnsi="Wingdings" w:hint="default"/>
      </w:rPr>
    </w:lvl>
    <w:lvl w:ilvl="3" w:tplc="902AFDF4" w:tentative="1">
      <w:start w:val="1"/>
      <w:numFmt w:val="bullet"/>
      <w:lvlText w:val=""/>
      <w:lvlJc w:val="left"/>
      <w:pPr>
        <w:ind w:left="2956" w:hanging="360"/>
      </w:pPr>
      <w:rPr>
        <w:rFonts w:ascii="Symbol" w:hAnsi="Symbol" w:hint="default"/>
      </w:rPr>
    </w:lvl>
    <w:lvl w:ilvl="4" w:tplc="35D44E8C" w:tentative="1">
      <w:start w:val="1"/>
      <w:numFmt w:val="bullet"/>
      <w:lvlText w:val="o"/>
      <w:lvlJc w:val="left"/>
      <w:pPr>
        <w:ind w:left="3676" w:hanging="360"/>
      </w:pPr>
      <w:rPr>
        <w:rFonts w:ascii="Courier New" w:hAnsi="Courier New" w:hint="default"/>
      </w:rPr>
    </w:lvl>
    <w:lvl w:ilvl="5" w:tplc="BBF652D6" w:tentative="1">
      <w:start w:val="1"/>
      <w:numFmt w:val="bullet"/>
      <w:lvlText w:val=""/>
      <w:lvlJc w:val="left"/>
      <w:pPr>
        <w:ind w:left="4396" w:hanging="360"/>
      </w:pPr>
      <w:rPr>
        <w:rFonts w:ascii="Wingdings" w:hAnsi="Wingdings" w:hint="default"/>
      </w:rPr>
    </w:lvl>
    <w:lvl w:ilvl="6" w:tplc="3A54FC66" w:tentative="1">
      <w:start w:val="1"/>
      <w:numFmt w:val="bullet"/>
      <w:lvlText w:val=""/>
      <w:lvlJc w:val="left"/>
      <w:pPr>
        <w:ind w:left="5116" w:hanging="360"/>
      </w:pPr>
      <w:rPr>
        <w:rFonts w:ascii="Symbol" w:hAnsi="Symbol" w:hint="default"/>
      </w:rPr>
    </w:lvl>
    <w:lvl w:ilvl="7" w:tplc="7B2A97D8" w:tentative="1">
      <w:start w:val="1"/>
      <w:numFmt w:val="bullet"/>
      <w:lvlText w:val="o"/>
      <w:lvlJc w:val="left"/>
      <w:pPr>
        <w:ind w:left="5836" w:hanging="360"/>
      </w:pPr>
      <w:rPr>
        <w:rFonts w:ascii="Courier New" w:hAnsi="Courier New" w:hint="default"/>
      </w:rPr>
    </w:lvl>
    <w:lvl w:ilvl="8" w:tplc="C144095E" w:tentative="1">
      <w:start w:val="1"/>
      <w:numFmt w:val="bullet"/>
      <w:lvlText w:val=""/>
      <w:lvlJc w:val="left"/>
      <w:pPr>
        <w:ind w:left="6556" w:hanging="360"/>
      </w:pPr>
      <w:rPr>
        <w:rFonts w:ascii="Wingdings" w:hAnsi="Wingdings" w:hint="default"/>
      </w:rPr>
    </w:lvl>
  </w:abstractNum>
  <w:abstractNum w:abstractNumId="616" w15:restartNumberingAfterBreak="0">
    <w:nsid w:val="7E4857F1"/>
    <w:multiLevelType w:val="multilevel"/>
    <w:tmpl w:val="13F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E543FB0"/>
    <w:multiLevelType w:val="multilevel"/>
    <w:tmpl w:val="0F7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E7C5A29"/>
    <w:multiLevelType w:val="hybridMultilevel"/>
    <w:tmpl w:val="FFFFFFFF"/>
    <w:lvl w:ilvl="0" w:tplc="CD7EF0DA">
      <w:start w:val="1"/>
      <w:numFmt w:val="bullet"/>
      <w:lvlText w:val="·"/>
      <w:lvlJc w:val="left"/>
      <w:pPr>
        <w:ind w:left="720" w:hanging="360"/>
      </w:pPr>
      <w:rPr>
        <w:rFonts w:ascii="Symbol" w:hAnsi="Symbol" w:hint="default"/>
      </w:rPr>
    </w:lvl>
    <w:lvl w:ilvl="1" w:tplc="7BE2E89C">
      <w:start w:val="1"/>
      <w:numFmt w:val="bullet"/>
      <w:lvlText w:val="o"/>
      <w:lvlJc w:val="left"/>
      <w:pPr>
        <w:ind w:left="1440" w:hanging="360"/>
      </w:pPr>
      <w:rPr>
        <w:rFonts w:ascii="Courier New" w:hAnsi="Courier New" w:hint="default"/>
      </w:rPr>
    </w:lvl>
    <w:lvl w:ilvl="2" w:tplc="400217FA">
      <w:start w:val="1"/>
      <w:numFmt w:val="bullet"/>
      <w:lvlText w:val=""/>
      <w:lvlJc w:val="left"/>
      <w:pPr>
        <w:ind w:left="2160" w:hanging="360"/>
      </w:pPr>
      <w:rPr>
        <w:rFonts w:ascii="Wingdings" w:hAnsi="Wingdings" w:hint="default"/>
      </w:rPr>
    </w:lvl>
    <w:lvl w:ilvl="3" w:tplc="21984050">
      <w:start w:val="1"/>
      <w:numFmt w:val="bullet"/>
      <w:lvlText w:val=""/>
      <w:lvlJc w:val="left"/>
      <w:pPr>
        <w:ind w:left="2880" w:hanging="360"/>
      </w:pPr>
      <w:rPr>
        <w:rFonts w:ascii="Symbol" w:hAnsi="Symbol" w:hint="default"/>
      </w:rPr>
    </w:lvl>
    <w:lvl w:ilvl="4" w:tplc="9CCCAC88">
      <w:start w:val="1"/>
      <w:numFmt w:val="bullet"/>
      <w:lvlText w:val="o"/>
      <w:lvlJc w:val="left"/>
      <w:pPr>
        <w:ind w:left="3600" w:hanging="360"/>
      </w:pPr>
      <w:rPr>
        <w:rFonts w:ascii="Courier New" w:hAnsi="Courier New" w:hint="default"/>
      </w:rPr>
    </w:lvl>
    <w:lvl w:ilvl="5" w:tplc="7E48ED6E">
      <w:start w:val="1"/>
      <w:numFmt w:val="bullet"/>
      <w:lvlText w:val=""/>
      <w:lvlJc w:val="left"/>
      <w:pPr>
        <w:ind w:left="4320" w:hanging="360"/>
      </w:pPr>
      <w:rPr>
        <w:rFonts w:ascii="Wingdings" w:hAnsi="Wingdings" w:hint="default"/>
      </w:rPr>
    </w:lvl>
    <w:lvl w:ilvl="6" w:tplc="257C4A96">
      <w:start w:val="1"/>
      <w:numFmt w:val="bullet"/>
      <w:lvlText w:val=""/>
      <w:lvlJc w:val="left"/>
      <w:pPr>
        <w:ind w:left="5040" w:hanging="360"/>
      </w:pPr>
      <w:rPr>
        <w:rFonts w:ascii="Symbol" w:hAnsi="Symbol" w:hint="default"/>
      </w:rPr>
    </w:lvl>
    <w:lvl w:ilvl="7" w:tplc="DEC85BBE">
      <w:start w:val="1"/>
      <w:numFmt w:val="bullet"/>
      <w:lvlText w:val="o"/>
      <w:lvlJc w:val="left"/>
      <w:pPr>
        <w:ind w:left="5760" w:hanging="360"/>
      </w:pPr>
      <w:rPr>
        <w:rFonts w:ascii="Courier New" w:hAnsi="Courier New" w:hint="default"/>
      </w:rPr>
    </w:lvl>
    <w:lvl w:ilvl="8" w:tplc="FB1AD05C">
      <w:start w:val="1"/>
      <w:numFmt w:val="bullet"/>
      <w:lvlText w:val=""/>
      <w:lvlJc w:val="left"/>
      <w:pPr>
        <w:ind w:left="6480" w:hanging="360"/>
      </w:pPr>
      <w:rPr>
        <w:rFonts w:ascii="Wingdings" w:hAnsi="Wingdings" w:hint="default"/>
      </w:rPr>
    </w:lvl>
  </w:abstractNum>
  <w:abstractNum w:abstractNumId="619" w15:restartNumberingAfterBreak="0">
    <w:nsid w:val="7E8E561C"/>
    <w:multiLevelType w:val="multilevel"/>
    <w:tmpl w:val="73A2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E9F7BC3"/>
    <w:multiLevelType w:val="hybridMultilevel"/>
    <w:tmpl w:val="73BC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1" w15:restartNumberingAfterBreak="0">
    <w:nsid w:val="7EBA0899"/>
    <w:multiLevelType w:val="multilevel"/>
    <w:tmpl w:val="EF6A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7EC76F1C"/>
    <w:multiLevelType w:val="hybridMultilevel"/>
    <w:tmpl w:val="9FC027A8"/>
    <w:lvl w:ilvl="0" w:tplc="7DA470E4">
      <w:start w:val="1"/>
      <w:numFmt w:val="bullet"/>
      <w:lvlText w:val=""/>
      <w:lvlJc w:val="left"/>
      <w:pPr>
        <w:ind w:left="720" w:hanging="360"/>
      </w:pPr>
      <w:rPr>
        <w:rFonts w:ascii="Symbol" w:hAnsi="Symbol" w:hint="default"/>
      </w:rPr>
    </w:lvl>
    <w:lvl w:ilvl="1" w:tplc="7954FE1C" w:tentative="1">
      <w:start w:val="1"/>
      <w:numFmt w:val="bullet"/>
      <w:lvlText w:val="o"/>
      <w:lvlJc w:val="left"/>
      <w:pPr>
        <w:ind w:left="1440" w:hanging="360"/>
      </w:pPr>
      <w:rPr>
        <w:rFonts w:ascii="Courier New" w:hAnsi="Courier New" w:hint="default"/>
      </w:rPr>
    </w:lvl>
    <w:lvl w:ilvl="2" w:tplc="2362E73C" w:tentative="1">
      <w:start w:val="1"/>
      <w:numFmt w:val="bullet"/>
      <w:lvlText w:val=""/>
      <w:lvlJc w:val="left"/>
      <w:pPr>
        <w:ind w:left="2160" w:hanging="360"/>
      </w:pPr>
      <w:rPr>
        <w:rFonts w:ascii="Wingdings" w:hAnsi="Wingdings" w:hint="default"/>
      </w:rPr>
    </w:lvl>
    <w:lvl w:ilvl="3" w:tplc="A66C2BB0" w:tentative="1">
      <w:start w:val="1"/>
      <w:numFmt w:val="bullet"/>
      <w:lvlText w:val=""/>
      <w:lvlJc w:val="left"/>
      <w:pPr>
        <w:ind w:left="2880" w:hanging="360"/>
      </w:pPr>
      <w:rPr>
        <w:rFonts w:ascii="Symbol" w:hAnsi="Symbol" w:hint="default"/>
      </w:rPr>
    </w:lvl>
    <w:lvl w:ilvl="4" w:tplc="69FEB54E" w:tentative="1">
      <w:start w:val="1"/>
      <w:numFmt w:val="bullet"/>
      <w:lvlText w:val="o"/>
      <w:lvlJc w:val="left"/>
      <w:pPr>
        <w:ind w:left="3600" w:hanging="360"/>
      </w:pPr>
      <w:rPr>
        <w:rFonts w:ascii="Courier New" w:hAnsi="Courier New" w:hint="default"/>
      </w:rPr>
    </w:lvl>
    <w:lvl w:ilvl="5" w:tplc="09846E3A" w:tentative="1">
      <w:start w:val="1"/>
      <w:numFmt w:val="bullet"/>
      <w:lvlText w:val=""/>
      <w:lvlJc w:val="left"/>
      <w:pPr>
        <w:ind w:left="4320" w:hanging="360"/>
      </w:pPr>
      <w:rPr>
        <w:rFonts w:ascii="Wingdings" w:hAnsi="Wingdings" w:hint="default"/>
      </w:rPr>
    </w:lvl>
    <w:lvl w:ilvl="6" w:tplc="46627214" w:tentative="1">
      <w:start w:val="1"/>
      <w:numFmt w:val="bullet"/>
      <w:lvlText w:val=""/>
      <w:lvlJc w:val="left"/>
      <w:pPr>
        <w:ind w:left="5040" w:hanging="360"/>
      </w:pPr>
      <w:rPr>
        <w:rFonts w:ascii="Symbol" w:hAnsi="Symbol" w:hint="default"/>
      </w:rPr>
    </w:lvl>
    <w:lvl w:ilvl="7" w:tplc="CB843F76" w:tentative="1">
      <w:start w:val="1"/>
      <w:numFmt w:val="bullet"/>
      <w:lvlText w:val="o"/>
      <w:lvlJc w:val="left"/>
      <w:pPr>
        <w:ind w:left="5760" w:hanging="360"/>
      </w:pPr>
      <w:rPr>
        <w:rFonts w:ascii="Courier New" w:hAnsi="Courier New" w:hint="default"/>
      </w:rPr>
    </w:lvl>
    <w:lvl w:ilvl="8" w:tplc="EADA311C" w:tentative="1">
      <w:start w:val="1"/>
      <w:numFmt w:val="bullet"/>
      <w:lvlText w:val=""/>
      <w:lvlJc w:val="left"/>
      <w:pPr>
        <w:ind w:left="6480" w:hanging="360"/>
      </w:pPr>
      <w:rPr>
        <w:rFonts w:ascii="Wingdings" w:hAnsi="Wingdings" w:hint="default"/>
      </w:rPr>
    </w:lvl>
  </w:abstractNum>
  <w:abstractNum w:abstractNumId="623" w15:restartNumberingAfterBreak="0">
    <w:nsid w:val="7F5657CF"/>
    <w:multiLevelType w:val="hybridMultilevel"/>
    <w:tmpl w:val="F35A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4" w15:restartNumberingAfterBreak="0">
    <w:nsid w:val="7F680533"/>
    <w:multiLevelType w:val="hybridMultilevel"/>
    <w:tmpl w:val="2F94B318"/>
    <w:lvl w:ilvl="0" w:tplc="FCFC1078">
      <w:start w:val="1"/>
      <w:numFmt w:val="bullet"/>
      <w:lvlText w:val=""/>
      <w:lvlJc w:val="left"/>
      <w:pPr>
        <w:ind w:left="720" w:hanging="360"/>
      </w:pPr>
      <w:rPr>
        <w:rFonts w:ascii="Symbol" w:hAnsi="Symbol" w:hint="default"/>
      </w:rPr>
    </w:lvl>
    <w:lvl w:ilvl="1" w:tplc="09766B66" w:tentative="1">
      <w:start w:val="1"/>
      <w:numFmt w:val="bullet"/>
      <w:lvlText w:val="o"/>
      <w:lvlJc w:val="left"/>
      <w:pPr>
        <w:ind w:left="1440" w:hanging="360"/>
      </w:pPr>
      <w:rPr>
        <w:rFonts w:ascii="Courier New" w:hAnsi="Courier New" w:hint="default"/>
      </w:rPr>
    </w:lvl>
    <w:lvl w:ilvl="2" w:tplc="AAFE45A4" w:tentative="1">
      <w:start w:val="1"/>
      <w:numFmt w:val="bullet"/>
      <w:lvlText w:val=""/>
      <w:lvlJc w:val="left"/>
      <w:pPr>
        <w:ind w:left="2160" w:hanging="360"/>
      </w:pPr>
      <w:rPr>
        <w:rFonts w:ascii="Wingdings" w:hAnsi="Wingdings" w:hint="default"/>
      </w:rPr>
    </w:lvl>
    <w:lvl w:ilvl="3" w:tplc="F3467B5A" w:tentative="1">
      <w:start w:val="1"/>
      <w:numFmt w:val="bullet"/>
      <w:lvlText w:val=""/>
      <w:lvlJc w:val="left"/>
      <w:pPr>
        <w:ind w:left="2880" w:hanging="360"/>
      </w:pPr>
      <w:rPr>
        <w:rFonts w:ascii="Symbol" w:hAnsi="Symbol" w:hint="default"/>
      </w:rPr>
    </w:lvl>
    <w:lvl w:ilvl="4" w:tplc="C41E3C9C" w:tentative="1">
      <w:start w:val="1"/>
      <w:numFmt w:val="bullet"/>
      <w:lvlText w:val="o"/>
      <w:lvlJc w:val="left"/>
      <w:pPr>
        <w:ind w:left="3600" w:hanging="360"/>
      </w:pPr>
      <w:rPr>
        <w:rFonts w:ascii="Courier New" w:hAnsi="Courier New" w:hint="default"/>
      </w:rPr>
    </w:lvl>
    <w:lvl w:ilvl="5" w:tplc="8F56634C" w:tentative="1">
      <w:start w:val="1"/>
      <w:numFmt w:val="bullet"/>
      <w:lvlText w:val=""/>
      <w:lvlJc w:val="left"/>
      <w:pPr>
        <w:ind w:left="4320" w:hanging="360"/>
      </w:pPr>
      <w:rPr>
        <w:rFonts w:ascii="Wingdings" w:hAnsi="Wingdings" w:hint="default"/>
      </w:rPr>
    </w:lvl>
    <w:lvl w:ilvl="6" w:tplc="D0562DF4" w:tentative="1">
      <w:start w:val="1"/>
      <w:numFmt w:val="bullet"/>
      <w:lvlText w:val=""/>
      <w:lvlJc w:val="left"/>
      <w:pPr>
        <w:ind w:left="5040" w:hanging="360"/>
      </w:pPr>
      <w:rPr>
        <w:rFonts w:ascii="Symbol" w:hAnsi="Symbol" w:hint="default"/>
      </w:rPr>
    </w:lvl>
    <w:lvl w:ilvl="7" w:tplc="75F4A7F0" w:tentative="1">
      <w:start w:val="1"/>
      <w:numFmt w:val="bullet"/>
      <w:lvlText w:val="o"/>
      <w:lvlJc w:val="left"/>
      <w:pPr>
        <w:ind w:left="5760" w:hanging="360"/>
      </w:pPr>
      <w:rPr>
        <w:rFonts w:ascii="Courier New" w:hAnsi="Courier New" w:hint="default"/>
      </w:rPr>
    </w:lvl>
    <w:lvl w:ilvl="8" w:tplc="18C6B568" w:tentative="1">
      <w:start w:val="1"/>
      <w:numFmt w:val="bullet"/>
      <w:lvlText w:val=""/>
      <w:lvlJc w:val="left"/>
      <w:pPr>
        <w:ind w:left="6480" w:hanging="360"/>
      </w:pPr>
      <w:rPr>
        <w:rFonts w:ascii="Wingdings" w:hAnsi="Wingdings" w:hint="default"/>
      </w:rPr>
    </w:lvl>
  </w:abstractNum>
  <w:abstractNum w:abstractNumId="625" w15:restartNumberingAfterBreak="0">
    <w:nsid w:val="7F8314BC"/>
    <w:multiLevelType w:val="hybridMultilevel"/>
    <w:tmpl w:val="65C6F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6" w15:restartNumberingAfterBreak="0">
    <w:nsid w:val="7F844AC2"/>
    <w:multiLevelType w:val="multilevel"/>
    <w:tmpl w:val="59C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535197">
    <w:abstractNumId w:val="64"/>
  </w:num>
  <w:num w:numId="2" w16cid:durableId="954216727">
    <w:abstractNumId w:val="610"/>
  </w:num>
  <w:num w:numId="3" w16cid:durableId="1289553572">
    <w:abstractNumId w:val="551"/>
  </w:num>
  <w:num w:numId="4" w16cid:durableId="1179076492">
    <w:abstractNumId w:val="194"/>
  </w:num>
  <w:num w:numId="5" w16cid:durableId="1942376491">
    <w:abstractNumId w:val="518"/>
  </w:num>
  <w:num w:numId="6" w16cid:durableId="744228382">
    <w:abstractNumId w:val="565"/>
  </w:num>
  <w:num w:numId="7" w16cid:durableId="216203539">
    <w:abstractNumId w:val="482"/>
  </w:num>
  <w:num w:numId="8" w16cid:durableId="585961875">
    <w:abstractNumId w:val="283"/>
  </w:num>
  <w:num w:numId="9" w16cid:durableId="824247734">
    <w:abstractNumId w:val="259"/>
  </w:num>
  <w:num w:numId="10" w16cid:durableId="1411388422">
    <w:abstractNumId w:val="45"/>
  </w:num>
  <w:num w:numId="11" w16cid:durableId="1376465921">
    <w:abstractNumId w:val="593"/>
  </w:num>
  <w:num w:numId="12" w16cid:durableId="1909919079">
    <w:abstractNumId w:val="93"/>
  </w:num>
  <w:num w:numId="13" w16cid:durableId="1467358224">
    <w:abstractNumId w:val="189"/>
  </w:num>
  <w:num w:numId="14" w16cid:durableId="640888902">
    <w:abstractNumId w:val="458"/>
  </w:num>
  <w:num w:numId="15" w16cid:durableId="1832136866">
    <w:abstractNumId w:val="172"/>
  </w:num>
  <w:num w:numId="16" w16cid:durableId="1835416816">
    <w:abstractNumId w:val="6"/>
  </w:num>
  <w:num w:numId="17" w16cid:durableId="1283657681">
    <w:abstractNumId w:val="16"/>
  </w:num>
  <w:num w:numId="18" w16cid:durableId="2086877591">
    <w:abstractNumId w:val="13"/>
  </w:num>
  <w:num w:numId="19" w16cid:durableId="1580359887">
    <w:abstractNumId w:val="185"/>
  </w:num>
  <w:num w:numId="20" w16cid:durableId="1656059682">
    <w:abstractNumId w:val="165"/>
  </w:num>
  <w:num w:numId="21" w16cid:durableId="1005597653">
    <w:abstractNumId w:val="131"/>
  </w:num>
  <w:num w:numId="22" w16cid:durableId="528186341">
    <w:abstractNumId w:val="532"/>
  </w:num>
  <w:num w:numId="23" w16cid:durableId="1029834407">
    <w:abstractNumId w:val="431"/>
  </w:num>
  <w:num w:numId="24" w16cid:durableId="1295522489">
    <w:abstractNumId w:val="97"/>
  </w:num>
  <w:num w:numId="25" w16cid:durableId="1607543146">
    <w:abstractNumId w:val="278"/>
  </w:num>
  <w:num w:numId="26" w16cid:durableId="1721393287">
    <w:abstractNumId w:val="168"/>
  </w:num>
  <w:num w:numId="27" w16cid:durableId="1176069151">
    <w:abstractNumId w:val="457"/>
  </w:num>
  <w:num w:numId="28" w16cid:durableId="1473214860">
    <w:abstractNumId w:val="301"/>
  </w:num>
  <w:num w:numId="29" w16cid:durableId="1980181690">
    <w:abstractNumId w:val="479"/>
  </w:num>
  <w:num w:numId="30" w16cid:durableId="1237671264">
    <w:abstractNumId w:val="522"/>
  </w:num>
  <w:num w:numId="31" w16cid:durableId="364015716">
    <w:abstractNumId w:val="567"/>
  </w:num>
  <w:num w:numId="32" w16cid:durableId="1255362439">
    <w:abstractNumId w:val="333"/>
  </w:num>
  <w:num w:numId="33" w16cid:durableId="898326189">
    <w:abstractNumId w:val="456"/>
  </w:num>
  <w:num w:numId="34" w16cid:durableId="1808738417">
    <w:abstractNumId w:val="311"/>
  </w:num>
  <w:num w:numId="35" w16cid:durableId="1741440646">
    <w:abstractNumId w:val="372"/>
  </w:num>
  <w:num w:numId="36" w16cid:durableId="665086117">
    <w:abstractNumId w:val="545"/>
  </w:num>
  <w:num w:numId="37" w16cid:durableId="629558378">
    <w:abstractNumId w:val="598"/>
  </w:num>
  <w:num w:numId="38" w16cid:durableId="231701346">
    <w:abstractNumId w:val="404"/>
  </w:num>
  <w:num w:numId="39" w16cid:durableId="876357947">
    <w:abstractNumId w:val="550"/>
  </w:num>
  <w:num w:numId="40" w16cid:durableId="1855994865">
    <w:abstractNumId w:val="326"/>
  </w:num>
  <w:num w:numId="41" w16cid:durableId="1572688775">
    <w:abstractNumId w:val="255"/>
  </w:num>
  <w:num w:numId="42" w16cid:durableId="12535932">
    <w:abstractNumId w:val="574"/>
  </w:num>
  <w:num w:numId="43" w16cid:durableId="68581541">
    <w:abstractNumId w:val="178"/>
  </w:num>
  <w:num w:numId="44" w16cid:durableId="687171372">
    <w:abstractNumId w:val="343"/>
  </w:num>
  <w:num w:numId="45" w16cid:durableId="1619682123">
    <w:abstractNumId w:val="541"/>
  </w:num>
  <w:num w:numId="46" w16cid:durableId="1233850923">
    <w:abstractNumId w:val="228"/>
  </w:num>
  <w:num w:numId="47" w16cid:durableId="575476202">
    <w:abstractNumId w:val="483"/>
  </w:num>
  <w:num w:numId="48" w16cid:durableId="1064765625">
    <w:abstractNumId w:val="410"/>
  </w:num>
  <w:num w:numId="49" w16cid:durableId="897205614">
    <w:abstractNumId w:val="455"/>
  </w:num>
  <w:num w:numId="50" w16cid:durableId="753474295">
    <w:abstractNumId w:val="583"/>
  </w:num>
  <w:num w:numId="51" w16cid:durableId="1712807798">
    <w:abstractNumId w:val="547"/>
  </w:num>
  <w:num w:numId="52" w16cid:durableId="1306230317">
    <w:abstractNumId w:val="444"/>
  </w:num>
  <w:num w:numId="53" w16cid:durableId="1910116328">
    <w:abstractNumId w:val="120"/>
  </w:num>
  <w:num w:numId="54" w16cid:durableId="819738117">
    <w:abstractNumId w:val="517"/>
  </w:num>
  <w:num w:numId="55" w16cid:durableId="2321843">
    <w:abstractNumId w:val="147"/>
  </w:num>
  <w:num w:numId="56" w16cid:durableId="1426268880">
    <w:abstractNumId w:val="406"/>
  </w:num>
  <w:num w:numId="57" w16cid:durableId="1103309481">
    <w:abstractNumId w:val="378"/>
  </w:num>
  <w:num w:numId="58" w16cid:durableId="1821311934">
    <w:abstractNumId w:val="332"/>
  </w:num>
  <w:num w:numId="59" w16cid:durableId="706639142">
    <w:abstractNumId w:val="7"/>
  </w:num>
  <w:num w:numId="60" w16cid:durableId="1897083311">
    <w:abstractNumId w:val="615"/>
  </w:num>
  <w:num w:numId="61" w16cid:durableId="1058438617">
    <w:abstractNumId w:val="415"/>
  </w:num>
  <w:num w:numId="62" w16cid:durableId="786505877">
    <w:abstractNumId w:val="285"/>
  </w:num>
  <w:num w:numId="63" w16cid:durableId="1204559553">
    <w:abstractNumId w:val="98"/>
  </w:num>
  <w:num w:numId="64" w16cid:durableId="1523012272">
    <w:abstractNumId w:val="38"/>
  </w:num>
  <w:num w:numId="65" w16cid:durableId="72633307">
    <w:abstractNumId w:val="418"/>
  </w:num>
  <w:num w:numId="66" w16cid:durableId="2125271274">
    <w:abstractNumId w:val="214"/>
  </w:num>
  <w:num w:numId="67" w16cid:durableId="961694346">
    <w:abstractNumId w:val="322"/>
  </w:num>
  <w:num w:numId="68" w16cid:durableId="920679200">
    <w:abstractNumId w:val="589"/>
  </w:num>
  <w:num w:numId="69" w16cid:durableId="1394426996">
    <w:abstractNumId w:val="442"/>
  </w:num>
  <w:num w:numId="70" w16cid:durableId="1643732368">
    <w:abstractNumId w:val="148"/>
  </w:num>
  <w:num w:numId="71" w16cid:durableId="413011285">
    <w:abstractNumId w:val="116"/>
  </w:num>
  <w:num w:numId="72" w16cid:durableId="206920871">
    <w:abstractNumId w:val="237"/>
  </w:num>
  <w:num w:numId="73" w16cid:durableId="1820994072">
    <w:abstractNumId w:val="324"/>
  </w:num>
  <w:num w:numId="74" w16cid:durableId="458915014">
    <w:abstractNumId w:val="77"/>
  </w:num>
  <w:num w:numId="75" w16cid:durableId="1049525639">
    <w:abstractNumId w:val="12"/>
  </w:num>
  <w:num w:numId="76" w16cid:durableId="17704783">
    <w:abstractNumId w:val="229"/>
  </w:num>
  <w:num w:numId="77" w16cid:durableId="345788089">
    <w:abstractNumId w:val="438"/>
  </w:num>
  <w:num w:numId="78" w16cid:durableId="1000893207">
    <w:abstractNumId w:val="119"/>
  </w:num>
  <w:num w:numId="79" w16cid:durableId="1340237746">
    <w:abstractNumId w:val="540"/>
  </w:num>
  <w:num w:numId="80" w16cid:durableId="609121597">
    <w:abstractNumId w:val="15"/>
  </w:num>
  <w:num w:numId="81" w16cid:durableId="360283367">
    <w:abstractNumId w:val="316"/>
  </w:num>
  <w:num w:numId="82" w16cid:durableId="651980947">
    <w:abstractNumId w:val="477"/>
  </w:num>
  <w:num w:numId="83" w16cid:durableId="858663214">
    <w:abstractNumId w:val="569"/>
  </w:num>
  <w:num w:numId="84" w16cid:durableId="1864368468">
    <w:abstractNumId w:val="256"/>
  </w:num>
  <w:num w:numId="85" w16cid:durableId="235670051">
    <w:abstractNumId w:val="63"/>
  </w:num>
  <w:num w:numId="86" w16cid:durableId="1159156266">
    <w:abstractNumId w:val="65"/>
  </w:num>
  <w:num w:numId="87" w16cid:durableId="1614704117">
    <w:abstractNumId w:val="528"/>
  </w:num>
  <w:num w:numId="88" w16cid:durableId="351499053">
    <w:abstractNumId w:val="340"/>
  </w:num>
  <w:num w:numId="89" w16cid:durableId="1366901550">
    <w:abstractNumId w:val="587"/>
  </w:num>
  <w:num w:numId="90" w16cid:durableId="248393541">
    <w:abstractNumId w:val="145"/>
  </w:num>
  <w:num w:numId="91" w16cid:durableId="759446885">
    <w:abstractNumId w:val="83"/>
  </w:num>
  <w:num w:numId="92" w16cid:durableId="1949191916">
    <w:abstractNumId w:val="543"/>
  </w:num>
  <w:num w:numId="93" w16cid:durableId="480269354">
    <w:abstractNumId w:val="87"/>
  </w:num>
  <w:num w:numId="94" w16cid:durableId="4291689">
    <w:abstractNumId w:val="171"/>
  </w:num>
  <w:num w:numId="95" w16cid:durableId="663700368">
    <w:abstractNumId w:val="384"/>
  </w:num>
  <w:num w:numId="96" w16cid:durableId="254555835">
    <w:abstractNumId w:val="426"/>
  </w:num>
  <w:num w:numId="97" w16cid:durableId="2088070069">
    <w:abstractNumId w:val="459"/>
  </w:num>
  <w:num w:numId="98" w16cid:durableId="1604070418">
    <w:abstractNumId w:val="460"/>
  </w:num>
  <w:num w:numId="99" w16cid:durableId="1709262778">
    <w:abstractNumId w:val="373"/>
  </w:num>
  <w:num w:numId="100" w16cid:durableId="1016351063">
    <w:abstractNumId w:val="337"/>
  </w:num>
  <w:num w:numId="101" w16cid:durableId="1113017882">
    <w:abstractNumId w:val="114"/>
  </w:num>
  <w:num w:numId="102" w16cid:durableId="313684031">
    <w:abstractNumId w:val="8"/>
  </w:num>
  <w:num w:numId="103" w16cid:durableId="1956668272">
    <w:abstractNumId w:val="144"/>
  </w:num>
  <w:num w:numId="104" w16cid:durableId="1344285751">
    <w:abstractNumId w:val="533"/>
  </w:num>
  <w:num w:numId="105" w16cid:durableId="2085948930">
    <w:abstractNumId w:val="516"/>
  </w:num>
  <w:num w:numId="106" w16cid:durableId="1425419551">
    <w:abstractNumId w:val="307"/>
  </w:num>
  <w:num w:numId="107" w16cid:durableId="661393033">
    <w:abstractNumId w:val="507"/>
  </w:num>
  <w:num w:numId="108" w16cid:durableId="2048332860">
    <w:abstractNumId w:val="35"/>
  </w:num>
  <w:num w:numId="109" w16cid:durableId="1889801612">
    <w:abstractNumId w:val="154"/>
  </w:num>
  <w:num w:numId="110" w16cid:durableId="1676373787">
    <w:abstractNumId w:val="265"/>
  </w:num>
  <w:num w:numId="111" w16cid:durableId="1223830875">
    <w:abstractNumId w:val="36"/>
  </w:num>
  <w:num w:numId="112" w16cid:durableId="329717730">
    <w:abstractNumId w:val="128"/>
  </w:num>
  <w:num w:numId="113" w16cid:durableId="1715080679">
    <w:abstractNumId w:val="215"/>
  </w:num>
  <w:num w:numId="114" w16cid:durableId="2127461730">
    <w:abstractNumId w:val="484"/>
  </w:num>
  <w:num w:numId="115" w16cid:durableId="1387488412">
    <w:abstractNumId w:val="61"/>
  </w:num>
  <w:num w:numId="116" w16cid:durableId="1721248540">
    <w:abstractNumId w:val="9"/>
  </w:num>
  <w:num w:numId="117" w16cid:durableId="1905675769">
    <w:abstractNumId w:val="624"/>
  </w:num>
  <w:num w:numId="118" w16cid:durableId="92479998">
    <w:abstractNumId w:val="313"/>
  </w:num>
  <w:num w:numId="119" w16cid:durableId="387999444">
    <w:abstractNumId w:val="233"/>
  </w:num>
  <w:num w:numId="120" w16cid:durableId="1517380186">
    <w:abstractNumId w:val="102"/>
  </w:num>
  <w:num w:numId="121" w16cid:durableId="1591085943">
    <w:abstractNumId w:val="17"/>
  </w:num>
  <w:num w:numId="122" w16cid:durableId="709458806">
    <w:abstractNumId w:val="357"/>
  </w:num>
  <w:num w:numId="123" w16cid:durableId="2090811953">
    <w:abstractNumId w:val="287"/>
  </w:num>
  <w:num w:numId="124" w16cid:durableId="1764108662">
    <w:abstractNumId w:val="10"/>
  </w:num>
  <w:num w:numId="125" w16cid:durableId="1804927574">
    <w:abstractNumId w:val="579"/>
  </w:num>
  <w:num w:numId="126" w16cid:durableId="2145389540">
    <w:abstractNumId w:val="269"/>
  </w:num>
  <w:num w:numId="127" w16cid:durableId="1385104639">
    <w:abstractNumId w:val="75"/>
  </w:num>
  <w:num w:numId="128" w16cid:durableId="256014798">
    <w:abstractNumId w:val="55"/>
  </w:num>
  <w:num w:numId="129" w16cid:durableId="1286504138">
    <w:abstractNumId w:val="524"/>
  </w:num>
  <w:num w:numId="130" w16cid:durableId="1732384513">
    <w:abstractNumId w:val="302"/>
  </w:num>
  <w:num w:numId="131" w16cid:durableId="900604343">
    <w:abstractNumId w:val="91"/>
  </w:num>
  <w:num w:numId="132" w16cid:durableId="260375256">
    <w:abstractNumId w:val="531"/>
  </w:num>
  <w:num w:numId="133" w16cid:durableId="1869636604">
    <w:abstractNumId w:val="617"/>
  </w:num>
  <w:num w:numId="134" w16cid:durableId="1657957898">
    <w:abstractNumId w:val="84"/>
  </w:num>
  <w:num w:numId="135" w16cid:durableId="413817248">
    <w:abstractNumId w:val="403"/>
  </w:num>
  <w:num w:numId="136" w16cid:durableId="595794064">
    <w:abstractNumId w:val="611"/>
  </w:num>
  <w:num w:numId="137" w16cid:durableId="444078168">
    <w:abstractNumId w:val="57"/>
  </w:num>
  <w:num w:numId="138" w16cid:durableId="750856282">
    <w:abstractNumId w:val="277"/>
  </w:num>
  <w:num w:numId="139" w16cid:durableId="896431167">
    <w:abstractNumId w:val="612"/>
  </w:num>
  <w:num w:numId="140" w16cid:durableId="979070780">
    <w:abstractNumId w:val="564"/>
  </w:num>
  <w:num w:numId="141" w16cid:durableId="1541281072">
    <w:abstractNumId w:val="603"/>
  </w:num>
  <w:num w:numId="142" w16cid:durableId="1999113627">
    <w:abstractNumId w:val="152"/>
  </w:num>
  <w:num w:numId="143" w16cid:durableId="1214734440">
    <w:abstractNumId w:val="454"/>
  </w:num>
  <w:num w:numId="144" w16cid:durableId="773405925">
    <w:abstractNumId w:val="435"/>
  </w:num>
  <w:num w:numId="145" w16cid:durableId="514804006">
    <w:abstractNumId w:val="40"/>
  </w:num>
  <w:num w:numId="146" w16cid:durableId="1894732050">
    <w:abstractNumId w:val="558"/>
  </w:num>
  <w:num w:numId="147" w16cid:durableId="1768039480">
    <w:abstractNumId w:val="465"/>
  </w:num>
  <w:num w:numId="148" w16cid:durableId="1742216590">
    <w:abstractNumId w:val="249"/>
  </w:num>
  <w:num w:numId="149" w16cid:durableId="883368904">
    <w:abstractNumId w:val="297"/>
  </w:num>
  <w:num w:numId="150" w16cid:durableId="1950047536">
    <w:abstractNumId w:val="400"/>
  </w:num>
  <w:num w:numId="151" w16cid:durableId="247930783">
    <w:abstractNumId w:val="626"/>
  </w:num>
  <w:num w:numId="152" w16cid:durableId="1131092661">
    <w:abstractNumId w:val="359"/>
  </w:num>
  <w:num w:numId="153" w16cid:durableId="866260390">
    <w:abstractNumId w:val="361"/>
  </w:num>
  <w:num w:numId="154" w16cid:durableId="127862591">
    <w:abstractNumId w:val="241"/>
  </w:num>
  <w:num w:numId="155" w16cid:durableId="1583830978">
    <w:abstractNumId w:val="559"/>
  </w:num>
  <w:num w:numId="156" w16cid:durableId="1368484943">
    <w:abstractNumId w:val="506"/>
  </w:num>
  <w:num w:numId="157" w16cid:durableId="1939287588">
    <w:abstractNumId w:val="397"/>
  </w:num>
  <w:num w:numId="158" w16cid:durableId="1871531871">
    <w:abstractNumId w:val="273"/>
  </w:num>
  <w:num w:numId="159" w16cid:durableId="461971534">
    <w:abstractNumId w:val="146"/>
  </w:num>
  <w:num w:numId="160" w16cid:durableId="1527334080">
    <w:abstractNumId w:val="554"/>
  </w:num>
  <w:num w:numId="161" w16cid:durableId="2051832476">
    <w:abstractNumId w:val="143"/>
  </w:num>
  <w:num w:numId="162" w16cid:durableId="27143307">
    <w:abstractNumId w:val="67"/>
  </w:num>
  <w:num w:numId="163" w16cid:durableId="155804828">
    <w:abstractNumId w:val="613"/>
  </w:num>
  <w:num w:numId="164" w16cid:durableId="844631300">
    <w:abstractNumId w:val="199"/>
  </w:num>
  <w:num w:numId="165" w16cid:durableId="480391192">
    <w:abstractNumId w:val="323"/>
  </w:num>
  <w:num w:numId="166" w16cid:durableId="250509952">
    <w:abstractNumId w:val="449"/>
  </w:num>
  <w:num w:numId="167" w16cid:durableId="955261079">
    <w:abstractNumId w:val="25"/>
  </w:num>
  <w:num w:numId="168" w16cid:durableId="822425250">
    <w:abstractNumId w:val="142"/>
  </w:num>
  <w:num w:numId="169" w16cid:durableId="1418669455">
    <w:abstractNumId w:val="43"/>
  </w:num>
  <w:num w:numId="170" w16cid:durableId="1112674522">
    <w:abstractNumId w:val="450"/>
  </w:num>
  <w:num w:numId="171" w16cid:durableId="1330594352">
    <w:abstractNumId w:val="183"/>
  </w:num>
  <w:num w:numId="172" w16cid:durableId="222255390">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75546551">
    <w:abstractNumId w:val="42"/>
  </w:num>
  <w:num w:numId="174" w16cid:durableId="185289673">
    <w:abstractNumId w:val="20"/>
  </w:num>
  <w:num w:numId="175" w16cid:durableId="359208325">
    <w:abstractNumId w:val="351"/>
  </w:num>
  <w:num w:numId="176" w16cid:durableId="118954970">
    <w:abstractNumId w:val="289"/>
  </w:num>
  <w:num w:numId="177" w16cid:durableId="1463183810">
    <w:abstractNumId w:val="14"/>
  </w:num>
  <w:num w:numId="178" w16cid:durableId="1178152270">
    <w:abstractNumId w:val="347"/>
  </w:num>
  <w:num w:numId="179" w16cid:durableId="618220072">
    <w:abstractNumId w:val="160"/>
  </w:num>
  <w:num w:numId="180" w16cid:durableId="1343312540">
    <w:abstractNumId w:val="3"/>
  </w:num>
  <w:num w:numId="181" w16cid:durableId="164170970">
    <w:abstractNumId w:val="376"/>
  </w:num>
  <w:num w:numId="182" w16cid:durableId="2046247982">
    <w:abstractNumId w:val="451"/>
  </w:num>
  <w:num w:numId="183" w16cid:durableId="1594049063">
    <w:abstractNumId w:val="34"/>
  </w:num>
  <w:num w:numId="184" w16cid:durableId="2056392827">
    <w:abstractNumId w:val="127"/>
  </w:num>
  <w:num w:numId="185" w16cid:durableId="167255493">
    <w:abstractNumId w:val="407"/>
  </w:num>
  <w:num w:numId="186" w16cid:durableId="810755275">
    <w:abstractNumId w:val="298"/>
  </w:num>
  <w:num w:numId="187" w16cid:durableId="1754548816">
    <w:abstractNumId w:val="270"/>
  </w:num>
  <w:num w:numId="188" w16cid:durableId="1141656534">
    <w:abstractNumId w:val="192"/>
  </w:num>
  <w:num w:numId="189" w16cid:durableId="1786582716">
    <w:abstractNumId w:val="362"/>
  </w:num>
  <w:num w:numId="190" w16cid:durableId="1968077421">
    <w:abstractNumId w:val="568"/>
  </w:num>
  <w:num w:numId="191" w16cid:durableId="1962611906">
    <w:abstractNumId w:val="126"/>
  </w:num>
  <w:num w:numId="192" w16cid:durableId="648631720">
    <w:abstractNumId w:val="440"/>
  </w:num>
  <w:num w:numId="193" w16cid:durableId="196165464">
    <w:abstractNumId w:val="491"/>
  </w:num>
  <w:num w:numId="194" w16cid:durableId="335618862">
    <w:abstractNumId w:val="402"/>
  </w:num>
  <w:num w:numId="195" w16cid:durableId="1641153257">
    <w:abstractNumId w:val="367"/>
  </w:num>
  <w:num w:numId="196" w16cid:durableId="509104724">
    <w:abstractNumId w:val="276"/>
  </w:num>
  <w:num w:numId="197" w16cid:durableId="1160657216">
    <w:abstractNumId w:val="137"/>
  </w:num>
  <w:num w:numId="198" w16cid:durableId="1436097956">
    <w:abstractNumId w:val="398"/>
  </w:num>
  <w:num w:numId="199" w16cid:durableId="1354727171">
    <w:abstractNumId w:val="485"/>
  </w:num>
  <w:num w:numId="200" w16cid:durableId="218059958">
    <w:abstractNumId w:val="53"/>
  </w:num>
  <w:num w:numId="201" w16cid:durableId="1040666650">
    <w:abstractNumId w:val="254"/>
  </w:num>
  <w:num w:numId="202" w16cid:durableId="1792626461">
    <w:abstractNumId w:val="375"/>
  </w:num>
  <w:num w:numId="203" w16cid:durableId="443036328">
    <w:abstractNumId w:val="251"/>
  </w:num>
  <w:num w:numId="204" w16cid:durableId="1420827849">
    <w:abstractNumId w:val="299"/>
  </w:num>
  <w:num w:numId="205" w16cid:durableId="798838189">
    <w:abstractNumId w:val="463"/>
  </w:num>
  <w:num w:numId="206" w16cid:durableId="722295680">
    <w:abstractNumId w:val="73"/>
  </w:num>
  <w:num w:numId="207" w16cid:durableId="100491821">
    <w:abstractNumId w:val="201"/>
  </w:num>
  <w:num w:numId="208" w16cid:durableId="1307399579">
    <w:abstractNumId w:val="369"/>
  </w:num>
  <w:num w:numId="209" w16cid:durableId="769011968">
    <w:abstractNumId w:val="141"/>
  </w:num>
  <w:num w:numId="210" w16cid:durableId="682628093">
    <w:abstractNumId w:val="580"/>
  </w:num>
  <w:num w:numId="211" w16cid:durableId="814302035">
    <w:abstractNumId w:val="81"/>
  </w:num>
  <w:num w:numId="212" w16cid:durableId="1050417782">
    <w:abstractNumId w:val="364"/>
  </w:num>
  <w:num w:numId="213" w16cid:durableId="346449012">
    <w:abstractNumId w:val="101"/>
  </w:num>
  <w:num w:numId="214" w16cid:durableId="1057780285">
    <w:abstractNumId w:val="445"/>
  </w:num>
  <w:num w:numId="215" w16cid:durableId="1296302492">
    <w:abstractNumId w:val="548"/>
  </w:num>
  <w:num w:numId="216" w16cid:durableId="815491400">
    <w:abstractNumId w:val="409"/>
  </w:num>
  <w:num w:numId="217" w16cid:durableId="366835334">
    <w:abstractNumId w:val="226"/>
  </w:num>
  <w:num w:numId="218" w16cid:durableId="901983414">
    <w:abstractNumId w:val="174"/>
  </w:num>
  <w:num w:numId="219" w16cid:durableId="1281571698">
    <w:abstractNumId w:val="95"/>
  </w:num>
  <w:num w:numId="220" w16cid:durableId="1630473330">
    <w:abstractNumId w:val="50"/>
  </w:num>
  <w:num w:numId="221" w16cid:durableId="1663779598">
    <w:abstractNumId w:val="386"/>
  </w:num>
  <w:num w:numId="222" w16cid:durableId="19093765">
    <w:abstractNumId w:val="173"/>
  </w:num>
  <w:num w:numId="223" w16cid:durableId="1716658711">
    <w:abstractNumId w:val="621"/>
  </w:num>
  <w:num w:numId="224" w16cid:durableId="1724712101">
    <w:abstractNumId w:val="446"/>
  </w:num>
  <w:num w:numId="225" w16cid:durableId="920066623">
    <w:abstractNumId w:val="486"/>
  </w:num>
  <w:num w:numId="226" w16cid:durableId="198902799">
    <w:abstractNumId w:val="469"/>
  </w:num>
  <w:num w:numId="227" w16cid:durableId="1299722644">
    <w:abstractNumId w:val="474"/>
  </w:num>
  <w:num w:numId="228" w16cid:durableId="882640690">
    <w:abstractNumId w:val="466"/>
  </w:num>
  <w:num w:numId="229" w16cid:durableId="1054043245">
    <w:abstractNumId w:val="122"/>
  </w:num>
  <w:num w:numId="230" w16cid:durableId="2119905147">
    <w:abstractNumId w:val="604"/>
  </w:num>
  <w:num w:numId="231" w16cid:durableId="2125494319">
    <w:abstractNumId w:val="368"/>
  </w:num>
  <w:num w:numId="232" w16cid:durableId="1799489549">
    <w:abstractNumId w:val="227"/>
  </w:num>
  <w:num w:numId="233" w16cid:durableId="870262646">
    <w:abstractNumId w:val="37"/>
  </w:num>
  <w:num w:numId="234" w16cid:durableId="609355654">
    <w:abstractNumId w:val="430"/>
  </w:num>
  <w:num w:numId="235" w16cid:durableId="641274891">
    <w:abstractNumId w:val="70"/>
  </w:num>
  <w:num w:numId="236" w16cid:durableId="467010897">
    <w:abstractNumId w:val="206"/>
  </w:num>
  <w:num w:numId="237" w16cid:durableId="1430009310">
    <w:abstractNumId w:val="52"/>
  </w:num>
  <w:num w:numId="238" w16cid:durableId="1551574024">
    <w:abstractNumId w:val="72"/>
  </w:num>
  <w:num w:numId="239" w16cid:durableId="1495102313">
    <w:abstractNumId w:val="336"/>
  </w:num>
  <w:num w:numId="240" w16cid:durableId="1911498278">
    <w:abstractNumId w:val="447"/>
  </w:num>
  <w:num w:numId="241" w16cid:durableId="716852377">
    <w:abstractNumId w:val="80"/>
  </w:num>
  <w:num w:numId="242" w16cid:durableId="1669090669">
    <w:abstractNumId w:val="5"/>
  </w:num>
  <w:num w:numId="243" w16cid:durableId="195509607">
    <w:abstractNumId w:val="492"/>
  </w:num>
  <w:num w:numId="244" w16cid:durableId="446391257">
    <w:abstractNumId w:val="234"/>
  </w:num>
  <w:num w:numId="245" w16cid:durableId="1695183517">
    <w:abstractNumId w:val="149"/>
  </w:num>
  <w:num w:numId="246" w16cid:durableId="1287078050">
    <w:abstractNumId w:val="294"/>
  </w:num>
  <w:num w:numId="247" w16cid:durableId="1402366127">
    <w:abstractNumId w:val="427"/>
  </w:num>
  <w:num w:numId="248" w16cid:durableId="1364281664">
    <w:abstractNumId w:val="534"/>
  </w:num>
  <w:num w:numId="249" w16cid:durableId="379940523">
    <w:abstractNumId w:val="262"/>
  </w:num>
  <w:num w:numId="250" w16cid:durableId="1524976550">
    <w:abstractNumId w:val="79"/>
  </w:num>
  <w:num w:numId="251" w16cid:durableId="1921258649">
    <w:abstractNumId w:val="380"/>
  </w:num>
  <w:num w:numId="252" w16cid:durableId="2014213886">
    <w:abstractNumId w:val="382"/>
  </w:num>
  <w:num w:numId="253" w16cid:durableId="1135098541">
    <w:abstractNumId w:val="489"/>
  </w:num>
  <w:num w:numId="254" w16cid:durableId="810025542">
    <w:abstractNumId w:val="419"/>
  </w:num>
  <w:num w:numId="255" w16cid:durableId="1549220680">
    <w:abstractNumId w:val="538"/>
  </w:num>
  <w:num w:numId="256" w16cid:durableId="1836140981">
    <w:abstractNumId w:val="441"/>
  </w:num>
  <w:num w:numId="257" w16cid:durableId="505678976">
    <w:abstractNumId w:val="236"/>
  </w:num>
  <w:num w:numId="258" w16cid:durableId="1289165569">
    <w:abstractNumId w:val="312"/>
  </w:num>
  <w:num w:numId="259" w16cid:durableId="889420792">
    <w:abstractNumId w:val="356"/>
  </w:num>
  <w:num w:numId="260" w16cid:durableId="1005015712">
    <w:abstractNumId w:val="117"/>
  </w:num>
  <w:num w:numId="261" w16cid:durableId="115149849">
    <w:abstractNumId w:val="49"/>
  </w:num>
  <w:num w:numId="262" w16cid:durableId="1211576151">
    <w:abstractNumId w:val="607"/>
  </w:num>
  <w:num w:numId="263" w16cid:durableId="776027274">
    <w:abstractNumId w:val="111"/>
  </w:num>
  <w:num w:numId="264" w16cid:durableId="426198134">
    <w:abstractNumId w:val="86"/>
  </w:num>
  <w:num w:numId="265" w16cid:durableId="2105222677">
    <w:abstractNumId w:val="504"/>
  </w:num>
  <w:num w:numId="266" w16cid:durableId="1071928972">
    <w:abstractNumId w:val="225"/>
  </w:num>
  <w:num w:numId="267" w16cid:durableId="1620987959">
    <w:abstractNumId w:val="124"/>
  </w:num>
  <w:num w:numId="268" w16cid:durableId="304509910">
    <w:abstractNumId w:val="405"/>
  </w:num>
  <w:num w:numId="269" w16cid:durableId="588196974">
    <w:abstractNumId w:val="338"/>
  </w:num>
  <w:num w:numId="270" w16cid:durableId="117574629">
    <w:abstractNumId w:val="182"/>
  </w:num>
  <w:num w:numId="271" w16cid:durableId="1929995772">
    <w:abstractNumId w:val="346"/>
  </w:num>
  <w:num w:numId="272" w16cid:durableId="877939423">
    <w:abstractNumId w:val="497"/>
  </w:num>
  <w:num w:numId="273" w16cid:durableId="197284085">
    <w:abstractNumId w:val="414"/>
  </w:num>
  <w:num w:numId="274" w16cid:durableId="1418090418">
    <w:abstractNumId w:val="320"/>
  </w:num>
  <w:num w:numId="275" w16cid:durableId="446628288">
    <w:abstractNumId w:val="394"/>
  </w:num>
  <w:num w:numId="276" w16cid:durableId="1236938482">
    <w:abstractNumId w:val="221"/>
  </w:num>
  <w:num w:numId="277" w16cid:durableId="605892944">
    <w:abstractNumId w:val="365"/>
  </w:num>
  <w:num w:numId="278" w16cid:durableId="241112531">
    <w:abstractNumId w:val="571"/>
  </w:num>
  <w:num w:numId="279" w16cid:durableId="1739787184">
    <w:abstractNumId w:val="622"/>
  </w:num>
  <w:num w:numId="280" w16cid:durableId="27529552">
    <w:abstractNumId w:val="508"/>
  </w:num>
  <w:num w:numId="281" w16cid:durableId="1497916024">
    <w:abstractNumId w:val="295"/>
  </w:num>
  <w:num w:numId="282" w16cid:durableId="81948650">
    <w:abstractNumId w:val="62"/>
  </w:num>
  <w:num w:numId="283" w16cid:durableId="1143504021">
    <w:abstractNumId w:val="519"/>
  </w:num>
  <w:num w:numId="284" w16cid:durableId="1447387406">
    <w:abstractNumId w:val="556"/>
  </w:num>
  <w:num w:numId="285" w16cid:durableId="443962185">
    <w:abstractNumId w:val="231"/>
  </w:num>
  <w:num w:numId="286" w16cid:durableId="1818255266">
    <w:abstractNumId w:val="205"/>
  </w:num>
  <w:num w:numId="287" w16cid:durableId="599290738">
    <w:abstractNumId w:val="471"/>
  </w:num>
  <w:num w:numId="288" w16cid:durableId="968441827">
    <w:abstractNumId w:val="26"/>
  </w:num>
  <w:num w:numId="289" w16cid:durableId="732579257">
    <w:abstractNumId w:val="345"/>
  </w:num>
  <w:num w:numId="290" w16cid:durableId="2050915035">
    <w:abstractNumId w:val="209"/>
  </w:num>
  <w:num w:numId="291" w16cid:durableId="2121143442">
    <w:abstractNumId w:val="159"/>
  </w:num>
  <w:num w:numId="292" w16cid:durableId="1430466505">
    <w:abstractNumId w:val="240"/>
  </w:num>
  <w:num w:numId="293" w16cid:durableId="1682856860">
    <w:abstractNumId w:val="284"/>
  </w:num>
  <w:num w:numId="294" w16cid:durableId="941303353">
    <w:abstractNumId w:val="392"/>
  </w:num>
  <w:num w:numId="295" w16cid:durableId="102387066">
    <w:abstractNumId w:val="69"/>
  </w:num>
  <w:num w:numId="296" w16cid:durableId="1968733039">
    <w:abstractNumId w:val="11"/>
  </w:num>
  <w:num w:numId="297" w16cid:durableId="1931771175">
    <w:abstractNumId w:val="264"/>
  </w:num>
  <w:num w:numId="298" w16cid:durableId="183252097">
    <w:abstractNumId w:val="164"/>
  </w:num>
  <w:num w:numId="299" w16cid:durableId="1117064895">
    <w:abstractNumId w:val="462"/>
  </w:num>
  <w:num w:numId="300" w16cid:durableId="1117945451">
    <w:abstractNumId w:val="238"/>
  </w:num>
  <w:num w:numId="301" w16cid:durableId="570189910">
    <w:abstractNumId w:val="245"/>
  </w:num>
  <w:num w:numId="302" w16cid:durableId="1671256296">
    <w:abstractNumId w:val="537"/>
  </w:num>
  <w:num w:numId="303" w16cid:durableId="1734157242">
    <w:abstractNumId w:val="200"/>
  </w:num>
  <w:num w:numId="304" w16cid:durableId="204752802">
    <w:abstractNumId w:val="395"/>
  </w:num>
  <w:num w:numId="305" w16cid:durableId="201866320">
    <w:abstractNumId w:val="472"/>
  </w:num>
  <w:num w:numId="306" w16cid:durableId="720053738">
    <w:abstractNumId w:val="591"/>
  </w:num>
  <w:num w:numId="307" w16cid:durableId="2088189528">
    <w:abstractNumId w:val="390"/>
  </w:num>
  <w:num w:numId="308" w16cid:durableId="144200062">
    <w:abstractNumId w:val="151"/>
  </w:num>
  <w:num w:numId="309" w16cid:durableId="695619468">
    <w:abstractNumId w:val="196"/>
  </w:num>
  <w:num w:numId="310" w16cid:durableId="594438837">
    <w:abstractNumId w:val="488"/>
  </w:num>
  <w:num w:numId="311" w16cid:durableId="1322537782">
    <w:abstractNumId w:val="428"/>
  </w:num>
  <w:num w:numId="312" w16cid:durableId="49303620">
    <w:abstractNumId w:val="381"/>
  </w:num>
  <w:num w:numId="313" w16cid:durableId="1364207883">
    <w:abstractNumId w:val="89"/>
  </w:num>
  <w:num w:numId="314" w16cid:durableId="824902530">
    <w:abstractNumId w:val="272"/>
  </w:num>
  <w:num w:numId="315" w16cid:durableId="1341199106">
    <w:abstractNumId w:val="594"/>
  </w:num>
  <w:num w:numId="316" w16cid:durableId="864707608">
    <w:abstractNumId w:val="280"/>
  </w:num>
  <w:num w:numId="317" w16cid:durableId="906035490">
    <w:abstractNumId w:val="271"/>
  </w:num>
  <w:num w:numId="318" w16cid:durableId="428355237">
    <w:abstractNumId w:val="204"/>
  </w:num>
  <w:num w:numId="319" w16cid:durableId="1254628048">
    <w:abstractNumId w:val="572"/>
  </w:num>
  <w:num w:numId="320" w16cid:durableId="1265460399">
    <w:abstractNumId w:val="129"/>
  </w:num>
  <w:num w:numId="321" w16cid:durableId="1404178715">
    <w:abstractNumId w:val="536"/>
  </w:num>
  <w:num w:numId="322" w16cid:durableId="11107611">
    <w:abstractNumId w:val="525"/>
  </w:num>
  <w:num w:numId="323" w16cid:durableId="420875648">
    <w:abstractNumId w:val="411"/>
  </w:num>
  <w:num w:numId="324" w16cid:durableId="190538085">
    <w:abstractNumId w:val="581"/>
  </w:num>
  <w:num w:numId="325" w16cid:durableId="2117484778">
    <w:abstractNumId w:val="133"/>
  </w:num>
  <w:num w:numId="326" w16cid:durableId="1683505920">
    <w:abstractNumId w:val="330"/>
  </w:num>
  <w:num w:numId="327" w16cid:durableId="38476545">
    <w:abstractNumId w:val="288"/>
  </w:num>
  <w:num w:numId="328" w16cid:durableId="515311333">
    <w:abstractNumId w:val="180"/>
  </w:num>
  <w:num w:numId="329" w16cid:durableId="108361991">
    <w:abstractNumId w:val="387"/>
  </w:num>
  <w:num w:numId="330" w16cid:durableId="1206479491">
    <w:abstractNumId w:val="176"/>
  </w:num>
  <w:num w:numId="331" w16cid:durableId="1735201088">
    <w:abstractNumId w:val="39"/>
  </w:num>
  <w:num w:numId="332" w16cid:durableId="1783576840">
    <w:abstractNumId w:val="22"/>
  </w:num>
  <w:num w:numId="333" w16cid:durableId="955528572">
    <w:abstractNumId w:val="578"/>
  </w:num>
  <w:num w:numId="334" w16cid:durableId="500967358">
    <w:abstractNumId w:val="4"/>
  </w:num>
  <w:num w:numId="335" w16cid:durableId="505100058">
    <w:abstractNumId w:val="354"/>
  </w:num>
  <w:num w:numId="336" w16cid:durableId="1580022410">
    <w:abstractNumId w:val="499"/>
  </w:num>
  <w:num w:numId="337" w16cid:durableId="97604830">
    <w:abstractNumId w:val="104"/>
  </w:num>
  <w:num w:numId="338" w16cid:durableId="1243417510">
    <w:abstractNumId w:val="535"/>
  </w:num>
  <w:num w:numId="339" w16cid:durableId="135073094">
    <w:abstractNumId w:val="123"/>
  </w:num>
  <w:num w:numId="340" w16cid:durableId="176506098">
    <w:abstractNumId w:val="44"/>
  </w:num>
  <w:num w:numId="341" w16cid:durableId="1930387193">
    <w:abstractNumId w:val="88"/>
  </w:num>
  <w:num w:numId="342" w16cid:durableId="1446733445">
    <w:abstractNumId w:val="318"/>
  </w:num>
  <w:num w:numId="343" w16cid:durableId="262302058">
    <w:abstractNumId w:val="310"/>
  </w:num>
  <w:num w:numId="344" w16cid:durableId="1803107923">
    <w:abstractNumId w:val="582"/>
  </w:num>
  <w:num w:numId="345" w16cid:durableId="938677198">
    <w:abstractNumId w:val="527"/>
  </w:num>
  <w:num w:numId="346" w16cid:durableId="288556138">
    <w:abstractNumId w:val="188"/>
  </w:num>
  <w:num w:numId="347" w16cid:durableId="1795050895">
    <w:abstractNumId w:val="433"/>
  </w:num>
  <w:num w:numId="348" w16cid:durableId="834564566">
    <w:abstractNumId w:val="562"/>
  </w:num>
  <w:num w:numId="349" w16cid:durableId="940719120">
    <w:abstractNumId w:val="501"/>
  </w:num>
  <w:num w:numId="350" w16cid:durableId="329673289">
    <w:abstractNumId w:val="305"/>
  </w:num>
  <w:num w:numId="351" w16cid:durableId="220750136">
    <w:abstractNumId w:val="96"/>
  </w:num>
  <w:num w:numId="352" w16cid:durableId="1443577299">
    <w:abstractNumId w:val="263"/>
  </w:num>
  <w:num w:numId="353" w16cid:durableId="799421618">
    <w:abstractNumId w:val="211"/>
  </w:num>
  <w:num w:numId="354" w16cid:durableId="955019873">
    <w:abstractNumId w:val="304"/>
  </w:num>
  <w:num w:numId="355" w16cid:durableId="1709452274">
    <w:abstractNumId w:val="588"/>
  </w:num>
  <w:num w:numId="356" w16cid:durableId="1297638219">
    <w:abstractNumId w:val="348"/>
  </w:num>
  <w:num w:numId="357" w16cid:durableId="679817901">
    <w:abstractNumId w:val="219"/>
  </w:num>
  <w:num w:numId="358" w16cid:durableId="233659693">
    <w:abstractNumId w:val="30"/>
  </w:num>
  <w:num w:numId="359" w16cid:durableId="2130851078">
    <w:abstractNumId w:val="371"/>
  </w:num>
  <w:num w:numId="360" w16cid:durableId="1270772617">
    <w:abstractNumId w:val="325"/>
  </w:num>
  <w:num w:numId="361" w16cid:durableId="1795640343">
    <w:abstractNumId w:val="439"/>
  </w:num>
  <w:num w:numId="362" w16cid:durableId="1330258485">
    <w:abstractNumId w:val="157"/>
  </w:num>
  <w:num w:numId="363" w16cid:durableId="621808160">
    <w:abstractNumId w:val="291"/>
  </w:num>
  <w:num w:numId="364" w16cid:durableId="1326203120">
    <w:abstractNumId w:val="585"/>
  </w:num>
  <w:num w:numId="365" w16cid:durableId="1303802243">
    <w:abstractNumId w:val="542"/>
  </w:num>
  <w:num w:numId="366" w16cid:durableId="1795439854">
    <w:abstractNumId w:val="268"/>
  </w:num>
  <w:num w:numId="367" w16cid:durableId="683362516">
    <w:abstractNumId w:val="186"/>
  </w:num>
  <w:num w:numId="368" w16cid:durableId="414976062">
    <w:abstractNumId w:val="422"/>
  </w:num>
  <w:num w:numId="369" w16cid:durableId="38750906">
    <w:abstractNumId w:val="92"/>
  </w:num>
  <w:num w:numId="370" w16cid:durableId="1444298788">
    <w:abstractNumId w:val="544"/>
  </w:num>
  <w:num w:numId="371" w16cid:durableId="1011028103">
    <w:abstractNumId w:val="546"/>
  </w:num>
  <w:num w:numId="372" w16cid:durableId="481195120">
    <w:abstractNumId w:val="452"/>
  </w:num>
  <w:num w:numId="373" w16cid:durableId="1465000504">
    <w:abstractNumId w:val="319"/>
  </w:num>
  <w:num w:numId="374" w16cid:durableId="470749142">
    <w:abstractNumId w:val="118"/>
  </w:num>
  <w:num w:numId="375" w16cid:durableId="50883607">
    <w:abstractNumId w:val="512"/>
  </w:num>
  <w:num w:numId="376" w16cid:durableId="2011444239">
    <w:abstractNumId w:val="480"/>
  </w:num>
  <w:num w:numId="377" w16cid:durableId="622426006">
    <w:abstractNumId w:val="99"/>
  </w:num>
  <w:num w:numId="378" w16cid:durableId="1134451104">
    <w:abstractNumId w:val="577"/>
  </w:num>
  <w:num w:numId="379" w16cid:durableId="936406687">
    <w:abstractNumId w:val="341"/>
  </w:num>
  <w:num w:numId="380" w16cid:durableId="1672756606">
    <w:abstractNumId w:val="18"/>
  </w:num>
  <w:num w:numId="381" w16cid:durableId="1992706866">
    <w:abstractNumId w:val="314"/>
  </w:num>
  <w:num w:numId="382" w16cid:durableId="146896695">
    <w:abstractNumId w:val="195"/>
  </w:num>
  <w:num w:numId="383" w16cid:durableId="660432228">
    <w:abstractNumId w:val="549"/>
  </w:num>
  <w:num w:numId="384" w16cid:durableId="1109856003">
    <w:abstractNumId w:val="167"/>
  </w:num>
  <w:num w:numId="385" w16cid:durableId="885096408">
    <w:abstractNumId w:val="498"/>
  </w:num>
  <w:num w:numId="386" w16cid:durableId="1940868484">
    <w:abstractNumId w:val="609"/>
  </w:num>
  <w:num w:numId="387" w16cid:durableId="472522705">
    <w:abstractNumId w:val="412"/>
  </w:num>
  <w:num w:numId="388" w16cid:durableId="302465353">
    <w:abstractNumId w:val="370"/>
  </w:num>
  <w:num w:numId="389" w16cid:durableId="1431776959">
    <w:abstractNumId w:val="166"/>
  </w:num>
  <w:num w:numId="390" w16cid:durableId="162472138">
    <w:abstractNumId w:val="106"/>
  </w:num>
  <w:num w:numId="391" w16cid:durableId="917324585">
    <w:abstractNumId w:val="60"/>
  </w:num>
  <w:num w:numId="392" w16cid:durableId="462894727">
    <w:abstractNumId w:val="110"/>
  </w:num>
  <w:num w:numId="393" w16cid:durableId="301548020">
    <w:abstractNumId w:val="509"/>
  </w:num>
  <w:num w:numId="394" w16cid:durableId="634871241">
    <w:abstractNumId w:val="248"/>
  </w:num>
  <w:num w:numId="395" w16cid:durableId="1018652509">
    <w:abstractNumId w:val="352"/>
  </w:num>
  <w:num w:numId="396" w16cid:durableId="1725524870">
    <w:abstractNumId w:val="401"/>
  </w:num>
  <w:num w:numId="397" w16cid:durableId="707023631">
    <w:abstractNumId w:val="21"/>
  </w:num>
  <w:num w:numId="398" w16cid:durableId="221016058">
    <w:abstractNumId w:val="552"/>
  </w:num>
  <w:num w:numId="399" w16cid:durableId="39090016">
    <w:abstractNumId w:val="595"/>
  </w:num>
  <w:num w:numId="400" w16cid:durableId="252587664">
    <w:abstractNumId w:val="243"/>
  </w:num>
  <w:num w:numId="401" w16cid:durableId="3745666">
    <w:abstractNumId w:val="393"/>
  </w:num>
  <w:num w:numId="402" w16cid:durableId="171798111">
    <w:abstractNumId w:val="586"/>
  </w:num>
  <w:num w:numId="403" w16cid:durableId="1004475943">
    <w:abstractNumId w:val="76"/>
  </w:num>
  <w:num w:numId="404" w16cid:durableId="1683511730">
    <w:abstractNumId w:val="158"/>
  </w:num>
  <w:num w:numId="405" w16cid:durableId="2063096779">
    <w:abstractNumId w:val="175"/>
  </w:num>
  <w:num w:numId="406" w16cid:durableId="1241721170">
    <w:abstractNumId w:val="179"/>
  </w:num>
  <w:num w:numId="407" w16cid:durableId="1728528636">
    <w:abstractNumId w:val="470"/>
  </w:num>
  <w:num w:numId="408" w16cid:durableId="1012532953">
    <w:abstractNumId w:val="495"/>
  </w:num>
  <w:num w:numId="409" w16cid:durableId="1214269597">
    <w:abstractNumId w:val="487"/>
  </w:num>
  <w:num w:numId="410" w16cid:durableId="1015304">
    <w:abstractNumId w:val="399"/>
  </w:num>
  <w:num w:numId="411" w16cid:durableId="907113539">
    <w:abstractNumId w:val="520"/>
  </w:num>
  <w:num w:numId="412" w16cid:durableId="930629409">
    <w:abstractNumId w:val="592"/>
  </w:num>
  <w:num w:numId="413" w16cid:durableId="527064434">
    <w:abstractNumId w:val="432"/>
  </w:num>
  <w:num w:numId="414" w16cid:durableId="1334918626">
    <w:abstractNumId w:val="437"/>
  </w:num>
  <w:num w:numId="415" w16cid:durableId="440684227">
    <w:abstractNumId w:val="453"/>
  </w:num>
  <w:num w:numId="416" w16cid:durableId="1956478655">
    <w:abstractNumId w:val="436"/>
  </w:num>
  <w:num w:numId="417" w16cid:durableId="684065063">
    <w:abstractNumId w:val="511"/>
  </w:num>
  <w:num w:numId="418" w16cid:durableId="311639051">
    <w:abstractNumId w:val="618"/>
  </w:num>
  <w:num w:numId="419" w16cid:durableId="2122529674">
    <w:abstractNumId w:val="59"/>
  </w:num>
  <w:num w:numId="420" w16cid:durableId="1246495327">
    <w:abstractNumId w:val="48"/>
  </w:num>
  <w:num w:numId="421" w16cid:durableId="896164760">
    <w:abstractNumId w:val="28"/>
  </w:num>
  <w:num w:numId="422" w16cid:durableId="1794977882">
    <w:abstractNumId w:val="521"/>
  </w:num>
  <w:num w:numId="423" w16cid:durableId="2118140308">
    <w:abstractNumId w:val="385"/>
  </w:num>
  <w:num w:numId="424" w16cid:durableId="334039191">
    <w:abstractNumId w:val="505"/>
  </w:num>
  <w:num w:numId="425" w16cid:durableId="187985349">
    <w:abstractNumId w:val="78"/>
  </w:num>
  <w:num w:numId="426" w16cid:durableId="1354302551">
    <w:abstractNumId w:val="207"/>
  </w:num>
  <w:num w:numId="427" w16cid:durableId="1125461454">
    <w:abstractNumId w:val="198"/>
  </w:num>
  <w:num w:numId="428" w16cid:durableId="112752452">
    <w:abstractNumId w:val="109"/>
  </w:num>
  <w:num w:numId="429" w16cid:durableId="1385712535">
    <w:abstractNumId w:val="4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502937649">
    <w:abstractNumId w:val="475"/>
  </w:num>
  <w:num w:numId="431" w16cid:durableId="612593974">
    <w:abstractNumId w:val="443"/>
  </w:num>
  <w:num w:numId="432" w16cid:durableId="12152520">
    <w:abstractNumId w:val="266"/>
  </w:num>
  <w:num w:numId="433" w16cid:durableId="7643">
    <w:abstractNumId w:val="90"/>
  </w:num>
  <w:num w:numId="434" w16cid:durableId="821508710">
    <w:abstractNumId w:val="51"/>
  </w:num>
  <w:num w:numId="435" w16cid:durableId="817453111">
    <w:abstractNumId w:val="503"/>
  </w:num>
  <w:num w:numId="436" w16cid:durableId="796874693">
    <w:abstractNumId w:val="275"/>
  </w:num>
  <w:num w:numId="437" w16cid:durableId="994186059">
    <w:abstractNumId w:val="94"/>
  </w:num>
  <w:num w:numId="438" w16cid:durableId="98910234">
    <w:abstractNumId w:val="496"/>
  </w:num>
  <w:num w:numId="439" w16cid:durableId="439377743">
    <w:abstractNumId w:val="434"/>
  </w:num>
  <w:num w:numId="440" w16cid:durableId="760491521">
    <w:abstractNumId w:val="140"/>
  </w:num>
  <w:num w:numId="441" w16cid:durableId="68774713">
    <w:abstractNumId w:val="252"/>
  </w:num>
  <w:num w:numId="442" w16cid:durableId="1842773936">
    <w:abstractNumId w:val="468"/>
  </w:num>
  <w:num w:numId="443" w16cid:durableId="176581359">
    <w:abstractNumId w:val="163"/>
  </w:num>
  <w:num w:numId="444" w16cid:durableId="9184132">
    <w:abstractNumId w:val="223"/>
  </w:num>
  <w:num w:numId="445" w16cid:durableId="1077018910">
    <w:abstractNumId w:val="108"/>
  </w:num>
  <w:num w:numId="446" w16cid:durableId="1485707308">
    <w:abstractNumId w:val="557"/>
  </w:num>
  <w:num w:numId="447" w16cid:durableId="233006753">
    <w:abstractNumId w:val="623"/>
  </w:num>
  <w:num w:numId="448" w16cid:durableId="1985160668">
    <w:abstractNumId w:val="220"/>
  </w:num>
  <w:num w:numId="449" w16cid:durableId="40054749">
    <w:abstractNumId w:val="597"/>
  </w:num>
  <w:num w:numId="450" w16cid:durableId="606278468">
    <w:abstractNumId w:val="602"/>
  </w:num>
  <w:num w:numId="451" w16cid:durableId="1426223909">
    <w:abstractNumId w:val="150"/>
  </w:num>
  <w:num w:numId="452" w16cid:durableId="1282032307">
    <w:abstractNumId w:val="608"/>
  </w:num>
  <w:num w:numId="453" w16cid:durableId="594827778">
    <w:abstractNumId w:val="0"/>
  </w:num>
  <w:num w:numId="454" w16cid:durableId="1331106840">
    <w:abstractNumId w:val="41"/>
  </w:num>
  <w:num w:numId="455" w16cid:durableId="937761208">
    <w:abstractNumId w:val="481"/>
  </w:num>
  <w:num w:numId="456" w16cid:durableId="1190412948">
    <w:abstractNumId w:val="553"/>
  </w:num>
  <w:num w:numId="457" w16cid:durableId="571695888">
    <w:abstractNumId w:val="247"/>
  </w:num>
  <w:num w:numId="458" w16cid:durableId="140121667">
    <w:abstractNumId w:val="599"/>
  </w:num>
  <w:num w:numId="459" w16cid:durableId="1561282093">
    <w:abstractNumId w:val="162"/>
  </w:num>
  <w:num w:numId="460" w16cid:durableId="53239791">
    <w:abstractNumId w:val="19"/>
  </w:num>
  <w:num w:numId="461" w16cid:durableId="494691875">
    <w:abstractNumId w:val="616"/>
  </w:num>
  <w:num w:numId="462" w16cid:durableId="372996543">
    <w:abstractNumId w:val="461"/>
  </w:num>
  <w:num w:numId="463" w16cid:durableId="1692683071">
    <w:abstractNumId w:val="560"/>
  </w:num>
  <w:num w:numId="464" w16cid:durableId="1840534296">
    <w:abstractNumId w:val="448"/>
  </w:num>
  <w:num w:numId="465" w16cid:durableId="749889744">
    <w:abstractNumId w:val="125"/>
  </w:num>
  <w:num w:numId="466" w16cid:durableId="62336800">
    <w:abstractNumId w:val="112"/>
  </w:num>
  <w:num w:numId="467" w16cid:durableId="1089539938">
    <w:abstractNumId w:val="134"/>
  </w:num>
  <w:num w:numId="468" w16cid:durableId="645816995">
    <w:abstractNumId w:val="74"/>
  </w:num>
  <w:num w:numId="469" w16cid:durableId="872379034">
    <w:abstractNumId w:val="66"/>
  </w:num>
  <w:num w:numId="470" w16cid:durableId="1607734885">
    <w:abstractNumId w:val="350"/>
  </w:num>
  <w:num w:numId="471" w16cid:durableId="906919790">
    <w:abstractNumId w:val="530"/>
  </w:num>
  <w:num w:numId="472" w16cid:durableId="2046757037">
    <w:abstractNumId w:val="242"/>
  </w:num>
  <w:num w:numId="473" w16cid:durableId="582032510">
    <w:abstractNumId w:val="290"/>
  </w:num>
  <w:num w:numId="474" w16cid:durableId="1624775382">
    <w:abstractNumId w:val="335"/>
  </w:num>
  <w:num w:numId="475" w16cid:durableId="1557083914">
    <w:abstractNumId w:val="274"/>
  </w:num>
  <w:num w:numId="476" w16cid:durableId="1963999345">
    <w:abstractNumId w:val="563"/>
  </w:num>
  <w:num w:numId="477" w16cid:durableId="1186403507">
    <w:abstractNumId w:val="334"/>
  </w:num>
  <w:num w:numId="478" w16cid:durableId="814420887">
    <w:abstractNumId w:val="246"/>
  </w:num>
  <w:num w:numId="479" w16cid:durableId="1015882629">
    <w:abstractNumId w:val="421"/>
  </w:num>
  <w:num w:numId="480" w16cid:durableId="1293292794">
    <w:abstractNumId w:val="526"/>
  </w:num>
  <w:num w:numId="481" w16cid:durableId="742022236">
    <w:abstractNumId w:val="529"/>
  </w:num>
  <w:num w:numId="482" w16cid:durableId="860095293">
    <w:abstractNumId w:val="500"/>
  </w:num>
  <w:num w:numId="483" w16cid:durableId="36468738">
    <w:abstractNumId w:val="383"/>
  </w:num>
  <w:num w:numId="484" w16cid:durableId="219288920">
    <w:abstractNumId w:val="413"/>
  </w:num>
  <w:num w:numId="485" w16cid:durableId="484709495">
    <w:abstractNumId w:val="514"/>
  </w:num>
  <w:num w:numId="486" w16cid:durableId="1135565458">
    <w:abstractNumId w:val="575"/>
  </w:num>
  <w:num w:numId="487" w16cid:durableId="1488277464">
    <w:abstractNumId w:val="396"/>
  </w:num>
  <w:num w:numId="488" w16cid:durableId="756710885">
    <w:abstractNumId w:val="296"/>
  </w:num>
  <w:num w:numId="489" w16cid:durableId="300430985">
    <w:abstractNumId w:val="490"/>
  </w:num>
  <w:num w:numId="490" w16cid:durableId="767045351">
    <w:abstractNumId w:val="105"/>
  </w:num>
  <w:num w:numId="491" w16cid:durableId="1677539037">
    <w:abstractNumId w:val="155"/>
  </w:num>
  <w:num w:numId="492" w16cid:durableId="1561163003">
    <w:abstractNumId w:val="130"/>
  </w:num>
  <w:num w:numId="493" w16cid:durableId="2039696664">
    <w:abstractNumId w:val="360"/>
  </w:num>
  <w:num w:numId="494" w16cid:durableId="1438062651">
    <w:abstractNumId w:val="329"/>
  </w:num>
  <w:num w:numId="495" w16cid:durableId="1457217381">
    <w:abstractNumId w:val="54"/>
  </w:num>
  <w:num w:numId="496" w16cid:durableId="1233274364">
    <w:abstractNumId w:val="107"/>
  </w:num>
  <w:num w:numId="497" w16cid:durableId="427970110">
    <w:abstractNumId w:val="71"/>
  </w:num>
  <w:num w:numId="498" w16cid:durableId="25522600">
    <w:abstractNumId w:val="596"/>
  </w:num>
  <w:num w:numId="499" w16cid:durableId="617375738">
    <w:abstractNumId w:val="181"/>
  </w:num>
  <w:num w:numId="500" w16cid:durableId="1176730710">
    <w:abstractNumId w:val="292"/>
  </w:num>
  <w:num w:numId="501" w16cid:durableId="1233589002">
    <w:abstractNumId w:val="494"/>
  </w:num>
  <w:num w:numId="502" w16cid:durableId="357702938">
    <w:abstractNumId w:val="121"/>
  </w:num>
  <w:num w:numId="503" w16cid:durableId="997224104">
    <w:abstractNumId w:val="253"/>
  </w:num>
  <w:num w:numId="504" w16cid:durableId="747189008">
    <w:abstractNumId w:val="217"/>
  </w:num>
  <w:num w:numId="505" w16cid:durableId="1881939887">
    <w:abstractNumId w:val="1"/>
  </w:num>
  <w:num w:numId="506" w16cid:durableId="1523786491">
    <w:abstractNumId w:val="510"/>
  </w:num>
  <w:num w:numId="507" w16cid:durableId="165636875">
    <w:abstractNumId w:val="244"/>
  </w:num>
  <w:num w:numId="508" w16cid:durableId="1351566355">
    <w:abstractNumId w:val="331"/>
  </w:num>
  <w:num w:numId="509" w16cid:durableId="2098549210">
    <w:abstractNumId w:val="282"/>
  </w:num>
  <w:num w:numId="510" w16cid:durableId="2094353377">
    <w:abstractNumId w:val="260"/>
  </w:num>
  <w:num w:numId="511" w16cid:durableId="854928479">
    <w:abstractNumId w:val="539"/>
  </w:num>
  <w:num w:numId="512" w16cid:durableId="1172987372">
    <w:abstractNumId w:val="566"/>
  </w:num>
  <w:num w:numId="513" w16cid:durableId="1001082184">
    <w:abstractNumId w:val="46"/>
  </w:num>
  <w:num w:numId="514" w16cid:durableId="1638299450">
    <w:abstractNumId w:val="224"/>
  </w:num>
  <w:num w:numId="515" w16cid:durableId="1703439082">
    <w:abstractNumId w:val="408"/>
  </w:num>
  <w:num w:numId="516" w16cid:durableId="234904427">
    <w:abstractNumId w:val="232"/>
  </w:num>
  <w:num w:numId="517" w16cid:durableId="976685865">
    <w:abstractNumId w:val="308"/>
  </w:num>
  <w:num w:numId="518" w16cid:durableId="1419670249">
    <w:abstractNumId w:val="136"/>
  </w:num>
  <w:num w:numId="519" w16cid:durableId="114754884">
    <w:abstractNumId w:val="239"/>
  </w:num>
  <w:num w:numId="520" w16cid:durableId="40984642">
    <w:abstractNumId w:val="197"/>
  </w:num>
  <w:num w:numId="521" w16cid:durableId="420874524">
    <w:abstractNumId w:val="563"/>
  </w:num>
  <w:num w:numId="522" w16cid:durableId="248738517">
    <w:abstractNumId w:val="317"/>
  </w:num>
  <w:num w:numId="523" w16cid:durableId="1399665502">
    <w:abstractNumId w:val="429"/>
  </w:num>
  <w:num w:numId="524" w16cid:durableId="1002972866">
    <w:abstractNumId w:val="82"/>
  </w:num>
  <w:num w:numId="525" w16cid:durableId="1950308778">
    <w:abstractNumId w:val="33"/>
  </w:num>
  <w:num w:numId="526" w16cid:durableId="959998681">
    <w:abstractNumId w:val="424"/>
  </w:num>
  <w:num w:numId="527" w16cid:durableId="2006976239">
    <w:abstractNumId w:val="374"/>
  </w:num>
  <w:num w:numId="528" w16cid:durableId="973830471">
    <w:abstractNumId w:val="170"/>
  </w:num>
  <w:num w:numId="529" w16cid:durableId="1585913610">
    <w:abstractNumId w:val="267"/>
  </w:num>
  <w:num w:numId="530" w16cid:durableId="2129005684">
    <w:abstractNumId w:val="377"/>
  </w:num>
  <w:num w:numId="531" w16cid:durableId="393820837">
    <w:abstractNumId w:val="601"/>
  </w:num>
  <w:num w:numId="532" w16cid:durableId="1544714080">
    <w:abstractNumId w:val="590"/>
  </w:num>
  <w:num w:numId="533" w16cid:durableId="1781949067">
    <w:abstractNumId w:val="300"/>
  </w:num>
  <w:num w:numId="534" w16cid:durableId="757098237">
    <w:abstractNumId w:val="327"/>
  </w:num>
  <w:num w:numId="535" w16cid:durableId="1425035640">
    <w:abstractNumId w:val="85"/>
  </w:num>
  <w:num w:numId="536" w16cid:durableId="1675766490">
    <w:abstractNumId w:val="218"/>
  </w:num>
  <w:num w:numId="537" w16cid:durableId="1443501448">
    <w:abstractNumId w:val="303"/>
  </w:num>
  <w:num w:numId="538" w16cid:durableId="1764958854">
    <w:abstractNumId w:val="23"/>
  </w:num>
  <w:num w:numId="539" w16cid:durableId="1073164133">
    <w:abstractNumId w:val="24"/>
  </w:num>
  <w:num w:numId="540" w16cid:durableId="922183649">
    <w:abstractNumId w:val="478"/>
  </w:num>
  <w:num w:numId="541" w16cid:durableId="1130054161">
    <w:abstractNumId w:val="353"/>
  </w:num>
  <w:num w:numId="542" w16cid:durableId="1847287369">
    <w:abstractNumId w:val="467"/>
  </w:num>
  <w:num w:numId="543" w16cid:durableId="1085955008">
    <w:abstractNumId w:val="202"/>
  </w:num>
  <w:num w:numId="544" w16cid:durableId="1310208024">
    <w:abstractNumId w:val="281"/>
  </w:num>
  <w:num w:numId="545" w16cid:durableId="16322147">
    <w:abstractNumId w:val="606"/>
  </w:num>
  <w:num w:numId="546" w16cid:durableId="1497694564">
    <w:abstractNumId w:val="258"/>
  </w:num>
  <w:num w:numId="547" w16cid:durableId="115569915">
    <w:abstractNumId w:val="555"/>
  </w:num>
  <w:num w:numId="548" w16cid:durableId="765728324">
    <w:abstractNumId w:val="420"/>
  </w:num>
  <w:num w:numId="549" w16cid:durableId="1133018961">
    <w:abstractNumId w:val="213"/>
  </w:num>
  <w:num w:numId="550" w16cid:durableId="431626585">
    <w:abstractNumId w:val="32"/>
  </w:num>
  <w:num w:numId="551" w16cid:durableId="1076900155">
    <w:abstractNumId w:val="355"/>
  </w:num>
  <w:num w:numId="552" w16cid:durableId="249195769">
    <w:abstractNumId w:val="342"/>
  </w:num>
  <w:num w:numId="553" w16cid:durableId="1677686923">
    <w:abstractNumId w:val="47"/>
  </w:num>
  <w:num w:numId="554" w16cid:durableId="1365442871">
    <w:abstractNumId w:val="561"/>
  </w:num>
  <w:num w:numId="555" w16cid:durableId="1836874878">
    <w:abstractNumId w:val="216"/>
  </w:num>
  <w:num w:numId="556" w16cid:durableId="1512069189">
    <w:abstractNumId w:val="513"/>
  </w:num>
  <w:num w:numId="557" w16cid:durableId="382294682">
    <w:abstractNumId w:val="473"/>
  </w:num>
  <w:num w:numId="558" w16cid:durableId="1775829708">
    <w:abstractNumId w:val="584"/>
  </w:num>
  <w:num w:numId="559" w16cid:durableId="256136179">
    <w:abstractNumId w:val="191"/>
  </w:num>
  <w:num w:numId="560" w16cid:durableId="621036916">
    <w:abstractNumId w:val="193"/>
  </w:num>
  <w:num w:numId="561" w16cid:durableId="784152740">
    <w:abstractNumId w:val="115"/>
  </w:num>
  <w:num w:numId="562" w16cid:durableId="1846896405">
    <w:abstractNumId w:val="203"/>
  </w:num>
  <w:num w:numId="563" w16cid:durableId="1422216829">
    <w:abstractNumId w:val="515"/>
  </w:num>
  <w:num w:numId="564" w16cid:durableId="268245795">
    <w:abstractNumId w:val="100"/>
  </w:num>
  <w:num w:numId="565" w16cid:durableId="848060913">
    <w:abstractNumId w:val="349"/>
  </w:num>
  <w:num w:numId="566" w16cid:durableId="306790398">
    <w:abstractNumId w:val="250"/>
  </w:num>
  <w:num w:numId="567" w16cid:durableId="324629510">
    <w:abstractNumId w:val="156"/>
  </w:num>
  <w:num w:numId="568" w16cid:durableId="2124226095">
    <w:abstractNumId w:val="208"/>
  </w:num>
  <w:num w:numId="569" w16cid:durableId="1969621074">
    <w:abstractNumId w:val="425"/>
  </w:num>
  <w:num w:numId="570" w16cid:durableId="893321966">
    <w:abstractNumId w:val="309"/>
  </w:num>
  <w:num w:numId="571" w16cid:durableId="494802703">
    <w:abstractNumId w:val="315"/>
  </w:num>
  <w:num w:numId="572" w16cid:durableId="888422265">
    <w:abstractNumId w:val="379"/>
  </w:num>
  <w:num w:numId="573" w16cid:durableId="995299490">
    <w:abstractNumId w:val="416"/>
  </w:num>
  <w:num w:numId="574" w16cid:durableId="1713768645">
    <w:abstractNumId w:val="573"/>
  </w:num>
  <w:num w:numId="575" w16cid:durableId="2073842654">
    <w:abstractNumId w:val="339"/>
  </w:num>
  <w:num w:numId="576" w16cid:durableId="1615945009">
    <w:abstractNumId w:val="286"/>
  </w:num>
  <w:num w:numId="577" w16cid:durableId="810638294">
    <w:abstractNumId w:val="570"/>
  </w:num>
  <w:num w:numId="578" w16cid:durableId="989601286">
    <w:abstractNumId w:val="600"/>
  </w:num>
  <w:num w:numId="579" w16cid:durableId="1029452757">
    <w:abstractNumId w:val="363"/>
  </w:num>
  <w:num w:numId="580" w16cid:durableId="1315373114">
    <w:abstractNumId w:val="293"/>
  </w:num>
  <w:num w:numId="581" w16cid:durableId="1270744255">
    <w:abstractNumId w:val="230"/>
  </w:num>
  <w:num w:numId="582" w16cid:durableId="1794859029">
    <w:abstractNumId w:val="135"/>
  </w:num>
  <w:num w:numId="583" w16cid:durableId="16582157">
    <w:abstractNumId w:val="279"/>
  </w:num>
  <w:num w:numId="584" w16cid:durableId="1059356540">
    <w:abstractNumId w:val="614"/>
  </w:num>
  <w:num w:numId="585" w16cid:durableId="467280557">
    <w:abstractNumId w:val="56"/>
  </w:num>
  <w:num w:numId="586" w16cid:durableId="1753971920">
    <w:abstractNumId w:val="306"/>
    <w:lvlOverride w:ilvl="0">
      <w:startOverride w:val="1"/>
    </w:lvlOverride>
    <w:lvlOverride w:ilvl="1"/>
    <w:lvlOverride w:ilvl="2"/>
    <w:lvlOverride w:ilvl="3"/>
    <w:lvlOverride w:ilvl="4"/>
    <w:lvlOverride w:ilvl="5"/>
    <w:lvlOverride w:ilvl="6"/>
    <w:lvlOverride w:ilvl="7"/>
    <w:lvlOverride w:ilvl="8"/>
  </w:num>
  <w:num w:numId="587" w16cid:durableId="1137181119">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16cid:durableId="865604850">
    <w:abstractNumId w:val="235"/>
  </w:num>
  <w:num w:numId="589" w16cid:durableId="801119599">
    <w:abstractNumId w:val="502"/>
  </w:num>
  <w:num w:numId="590" w16cid:durableId="1373651388">
    <w:abstractNumId w:val="138"/>
  </w:num>
  <w:num w:numId="591" w16cid:durableId="872229023">
    <w:abstractNumId w:val="29"/>
  </w:num>
  <w:num w:numId="592" w16cid:durableId="149366524">
    <w:abstractNumId w:val="423"/>
  </w:num>
  <w:num w:numId="593" w16cid:durableId="532498384">
    <w:abstractNumId w:val="388"/>
  </w:num>
  <w:num w:numId="594" w16cid:durableId="1350525583">
    <w:abstractNumId w:val="619"/>
  </w:num>
  <w:num w:numId="595" w16cid:durableId="1094713576">
    <w:abstractNumId w:val="518"/>
  </w:num>
  <w:num w:numId="596" w16cid:durableId="757022208">
    <w:abstractNumId w:val="518"/>
  </w:num>
  <w:num w:numId="597" w16cid:durableId="276528125">
    <w:abstractNumId w:val="366"/>
  </w:num>
  <w:num w:numId="598" w16cid:durableId="1783263673">
    <w:abstractNumId w:val="417"/>
  </w:num>
  <w:num w:numId="599" w16cid:durableId="957757397">
    <w:abstractNumId w:val="476"/>
  </w:num>
  <w:num w:numId="600" w16cid:durableId="1490320255">
    <w:abstractNumId w:val="103"/>
  </w:num>
  <w:num w:numId="601" w16cid:durableId="846020518">
    <w:abstractNumId w:val="261"/>
  </w:num>
  <w:num w:numId="602" w16cid:durableId="2143765641">
    <w:abstractNumId w:val="625"/>
  </w:num>
  <w:num w:numId="603" w16cid:durableId="1174028321">
    <w:abstractNumId w:val="576"/>
  </w:num>
  <w:num w:numId="604" w16cid:durableId="11028752">
    <w:abstractNumId w:val="7"/>
  </w:num>
  <w:num w:numId="605" w16cid:durableId="466355770">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16cid:durableId="1889947953">
    <w:abstractNumId w:val="389"/>
  </w:num>
  <w:num w:numId="607" w16cid:durableId="1978298281">
    <w:abstractNumId w:val="2"/>
  </w:num>
  <w:num w:numId="608" w16cid:durableId="446388872">
    <w:abstractNumId w:val="31"/>
  </w:num>
  <w:num w:numId="609" w16cid:durableId="1540581909">
    <w:abstractNumId w:val="493"/>
  </w:num>
  <w:num w:numId="610" w16cid:durableId="964964589">
    <w:abstractNumId w:val="605"/>
  </w:num>
  <w:num w:numId="611" w16cid:durableId="918714393">
    <w:abstractNumId w:val="161"/>
  </w:num>
  <w:num w:numId="612" w16cid:durableId="1724938417">
    <w:abstractNumId w:val="257"/>
  </w:num>
  <w:num w:numId="613" w16cid:durableId="696659622">
    <w:abstractNumId w:val="391"/>
  </w:num>
  <w:num w:numId="614" w16cid:durableId="731580466">
    <w:abstractNumId w:val="58"/>
  </w:num>
  <w:num w:numId="615" w16cid:durableId="1839999953">
    <w:abstractNumId w:val="153"/>
  </w:num>
  <w:num w:numId="616" w16cid:durableId="1378580908">
    <w:abstractNumId w:val="132"/>
  </w:num>
  <w:num w:numId="617" w16cid:durableId="1798333041">
    <w:abstractNumId w:val="464"/>
  </w:num>
  <w:num w:numId="618" w16cid:durableId="121072858">
    <w:abstractNumId w:val="344"/>
  </w:num>
  <w:num w:numId="619" w16cid:durableId="896938384">
    <w:abstractNumId w:val="177"/>
  </w:num>
  <w:num w:numId="620" w16cid:durableId="2021393562">
    <w:abstractNumId w:val="321"/>
  </w:num>
  <w:num w:numId="621" w16cid:durableId="1915969664">
    <w:abstractNumId w:val="523"/>
  </w:num>
  <w:num w:numId="622" w16cid:durableId="1220289428">
    <w:abstractNumId w:val="212"/>
  </w:num>
  <w:num w:numId="623" w16cid:durableId="230192034">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1559052035">
    <w:abstractNumId w:val="139"/>
  </w:num>
  <w:num w:numId="625" w16cid:durableId="1144082347">
    <w:abstractNumId w:val="190"/>
  </w:num>
  <w:num w:numId="626" w16cid:durableId="597373882">
    <w:abstractNumId w:val="184"/>
  </w:num>
  <w:num w:numId="627" w16cid:durableId="1107239662">
    <w:abstractNumId w:val="222"/>
  </w:num>
  <w:num w:numId="628" w16cid:durableId="673923733">
    <w:abstractNumId w:val="68"/>
  </w:num>
  <w:num w:numId="629" w16cid:durableId="512036927">
    <w:abstractNumId w:val="620"/>
  </w:num>
  <w:num w:numId="630" w16cid:durableId="938831773">
    <w:abstractNumId w:val="210"/>
  </w:num>
  <w:num w:numId="631" w16cid:durableId="635723500">
    <w:abstractNumId w:val="358"/>
  </w:num>
  <w:num w:numId="632" w16cid:durableId="1266428001">
    <w:abstractNumId w:val="328"/>
  </w:num>
  <w:num w:numId="633" w16cid:durableId="1746565168">
    <w:abstractNumId w:val="187"/>
  </w:num>
  <w:num w:numId="634" w16cid:durableId="1607998579">
    <w:abstractNumId w:val="113"/>
  </w:num>
  <w:num w:numId="635" w16cid:durableId="784931858">
    <w:abstractNumId w:val="27"/>
  </w:num>
  <w:numIdMacAtCleanup w:val="6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C08"/>
    <w:rsid w:val="00000107"/>
    <w:rsid w:val="000004D8"/>
    <w:rsid w:val="00000626"/>
    <w:rsid w:val="0000062C"/>
    <w:rsid w:val="0000064D"/>
    <w:rsid w:val="0000077A"/>
    <w:rsid w:val="000007A5"/>
    <w:rsid w:val="00000807"/>
    <w:rsid w:val="00000933"/>
    <w:rsid w:val="00000940"/>
    <w:rsid w:val="00000CDF"/>
    <w:rsid w:val="00000D5B"/>
    <w:rsid w:val="00000E69"/>
    <w:rsid w:val="00000E73"/>
    <w:rsid w:val="00001016"/>
    <w:rsid w:val="0000101F"/>
    <w:rsid w:val="000010DD"/>
    <w:rsid w:val="0000113F"/>
    <w:rsid w:val="000011C9"/>
    <w:rsid w:val="0000133E"/>
    <w:rsid w:val="00001372"/>
    <w:rsid w:val="000013C1"/>
    <w:rsid w:val="0000140D"/>
    <w:rsid w:val="0000143C"/>
    <w:rsid w:val="00001451"/>
    <w:rsid w:val="000014F8"/>
    <w:rsid w:val="0000160D"/>
    <w:rsid w:val="00001655"/>
    <w:rsid w:val="0000174B"/>
    <w:rsid w:val="00001768"/>
    <w:rsid w:val="000018B1"/>
    <w:rsid w:val="000018E1"/>
    <w:rsid w:val="0000194A"/>
    <w:rsid w:val="0000197B"/>
    <w:rsid w:val="000019F0"/>
    <w:rsid w:val="00001C18"/>
    <w:rsid w:val="00001CFE"/>
    <w:rsid w:val="00001DE4"/>
    <w:rsid w:val="00001E3E"/>
    <w:rsid w:val="00001E5E"/>
    <w:rsid w:val="00001E6A"/>
    <w:rsid w:val="00001E89"/>
    <w:rsid w:val="00001EA5"/>
    <w:rsid w:val="00001F77"/>
    <w:rsid w:val="0000217C"/>
    <w:rsid w:val="00002196"/>
    <w:rsid w:val="0000228E"/>
    <w:rsid w:val="00002385"/>
    <w:rsid w:val="0000242C"/>
    <w:rsid w:val="00002437"/>
    <w:rsid w:val="00002453"/>
    <w:rsid w:val="000025B5"/>
    <w:rsid w:val="000025D4"/>
    <w:rsid w:val="000025D5"/>
    <w:rsid w:val="000025F8"/>
    <w:rsid w:val="000025FF"/>
    <w:rsid w:val="000027B8"/>
    <w:rsid w:val="000027E3"/>
    <w:rsid w:val="00002801"/>
    <w:rsid w:val="0000281B"/>
    <w:rsid w:val="00002824"/>
    <w:rsid w:val="00002A0C"/>
    <w:rsid w:val="00002A22"/>
    <w:rsid w:val="00002C41"/>
    <w:rsid w:val="00002CD3"/>
    <w:rsid w:val="00002D98"/>
    <w:rsid w:val="00002E4B"/>
    <w:rsid w:val="00002E96"/>
    <w:rsid w:val="00002EEF"/>
    <w:rsid w:val="00003074"/>
    <w:rsid w:val="0000310D"/>
    <w:rsid w:val="00003210"/>
    <w:rsid w:val="0000322B"/>
    <w:rsid w:val="00003277"/>
    <w:rsid w:val="00003393"/>
    <w:rsid w:val="0000340B"/>
    <w:rsid w:val="00003445"/>
    <w:rsid w:val="00003620"/>
    <w:rsid w:val="0000368B"/>
    <w:rsid w:val="000036D4"/>
    <w:rsid w:val="0000374E"/>
    <w:rsid w:val="00003816"/>
    <w:rsid w:val="0000386D"/>
    <w:rsid w:val="00003897"/>
    <w:rsid w:val="00003A41"/>
    <w:rsid w:val="00003AC6"/>
    <w:rsid w:val="00003B60"/>
    <w:rsid w:val="00003B9A"/>
    <w:rsid w:val="00003BE3"/>
    <w:rsid w:val="00003C96"/>
    <w:rsid w:val="00003CA8"/>
    <w:rsid w:val="00003DC2"/>
    <w:rsid w:val="00003DD3"/>
    <w:rsid w:val="00003EC3"/>
    <w:rsid w:val="0000402D"/>
    <w:rsid w:val="000040E9"/>
    <w:rsid w:val="0000413D"/>
    <w:rsid w:val="0000422B"/>
    <w:rsid w:val="00004257"/>
    <w:rsid w:val="00004279"/>
    <w:rsid w:val="00004287"/>
    <w:rsid w:val="00004468"/>
    <w:rsid w:val="00004517"/>
    <w:rsid w:val="00004573"/>
    <w:rsid w:val="000049C8"/>
    <w:rsid w:val="000049F0"/>
    <w:rsid w:val="00004ADA"/>
    <w:rsid w:val="00004B1F"/>
    <w:rsid w:val="00004B2F"/>
    <w:rsid w:val="00004B6D"/>
    <w:rsid w:val="00004BF9"/>
    <w:rsid w:val="00004E43"/>
    <w:rsid w:val="00004E64"/>
    <w:rsid w:val="00004E6C"/>
    <w:rsid w:val="00004EE2"/>
    <w:rsid w:val="00004F2F"/>
    <w:rsid w:val="00004F44"/>
    <w:rsid w:val="00004F5C"/>
    <w:rsid w:val="00004FD2"/>
    <w:rsid w:val="00004FFA"/>
    <w:rsid w:val="000051A5"/>
    <w:rsid w:val="000051CF"/>
    <w:rsid w:val="000051EB"/>
    <w:rsid w:val="0000521E"/>
    <w:rsid w:val="0000526D"/>
    <w:rsid w:val="000052DD"/>
    <w:rsid w:val="00005438"/>
    <w:rsid w:val="000055AE"/>
    <w:rsid w:val="000056AD"/>
    <w:rsid w:val="0000573F"/>
    <w:rsid w:val="00005771"/>
    <w:rsid w:val="000058BD"/>
    <w:rsid w:val="00005940"/>
    <w:rsid w:val="0000599C"/>
    <w:rsid w:val="00005B64"/>
    <w:rsid w:val="00005C08"/>
    <w:rsid w:val="00005CF3"/>
    <w:rsid w:val="00005D01"/>
    <w:rsid w:val="00005E41"/>
    <w:rsid w:val="00005E49"/>
    <w:rsid w:val="00005E87"/>
    <w:rsid w:val="00005F61"/>
    <w:rsid w:val="00005FBC"/>
    <w:rsid w:val="00005FCC"/>
    <w:rsid w:val="00006145"/>
    <w:rsid w:val="00006196"/>
    <w:rsid w:val="000061F3"/>
    <w:rsid w:val="00006209"/>
    <w:rsid w:val="00006226"/>
    <w:rsid w:val="00006560"/>
    <w:rsid w:val="000065BB"/>
    <w:rsid w:val="000065E3"/>
    <w:rsid w:val="000065E7"/>
    <w:rsid w:val="000065F4"/>
    <w:rsid w:val="000065F9"/>
    <w:rsid w:val="00006622"/>
    <w:rsid w:val="00006665"/>
    <w:rsid w:val="00006669"/>
    <w:rsid w:val="00006725"/>
    <w:rsid w:val="000069C1"/>
    <w:rsid w:val="00006A0E"/>
    <w:rsid w:val="00006A0F"/>
    <w:rsid w:val="00006ACA"/>
    <w:rsid w:val="00006B39"/>
    <w:rsid w:val="00006B76"/>
    <w:rsid w:val="00006C7C"/>
    <w:rsid w:val="00006CE4"/>
    <w:rsid w:val="00006D09"/>
    <w:rsid w:val="00006DBC"/>
    <w:rsid w:val="00006DDA"/>
    <w:rsid w:val="00006E53"/>
    <w:rsid w:val="00006E62"/>
    <w:rsid w:val="00006EB6"/>
    <w:rsid w:val="00006F53"/>
    <w:rsid w:val="00006F5D"/>
    <w:rsid w:val="00006FEF"/>
    <w:rsid w:val="0000701A"/>
    <w:rsid w:val="0000728C"/>
    <w:rsid w:val="000072EC"/>
    <w:rsid w:val="00007307"/>
    <w:rsid w:val="00007344"/>
    <w:rsid w:val="0000739C"/>
    <w:rsid w:val="0000742B"/>
    <w:rsid w:val="000074DC"/>
    <w:rsid w:val="00007525"/>
    <w:rsid w:val="000076CB"/>
    <w:rsid w:val="00007799"/>
    <w:rsid w:val="0000791D"/>
    <w:rsid w:val="000079CE"/>
    <w:rsid w:val="00007B6B"/>
    <w:rsid w:val="00007E65"/>
    <w:rsid w:val="00007ED3"/>
    <w:rsid w:val="00010074"/>
    <w:rsid w:val="0001007D"/>
    <w:rsid w:val="0001020A"/>
    <w:rsid w:val="00010221"/>
    <w:rsid w:val="0001023D"/>
    <w:rsid w:val="0001039C"/>
    <w:rsid w:val="00010681"/>
    <w:rsid w:val="000107EE"/>
    <w:rsid w:val="00010982"/>
    <w:rsid w:val="000109F4"/>
    <w:rsid w:val="00010A1C"/>
    <w:rsid w:val="00010AF3"/>
    <w:rsid w:val="00010E2E"/>
    <w:rsid w:val="00010E42"/>
    <w:rsid w:val="00010E74"/>
    <w:rsid w:val="00010EAF"/>
    <w:rsid w:val="00010F3A"/>
    <w:rsid w:val="00011242"/>
    <w:rsid w:val="00011272"/>
    <w:rsid w:val="0001134E"/>
    <w:rsid w:val="000113F1"/>
    <w:rsid w:val="00011594"/>
    <w:rsid w:val="000115F5"/>
    <w:rsid w:val="00011779"/>
    <w:rsid w:val="000117A7"/>
    <w:rsid w:val="00011871"/>
    <w:rsid w:val="000118DB"/>
    <w:rsid w:val="000119D4"/>
    <w:rsid w:val="00011A0C"/>
    <w:rsid w:val="00011B06"/>
    <w:rsid w:val="00011B2B"/>
    <w:rsid w:val="00011B91"/>
    <w:rsid w:val="00011CE5"/>
    <w:rsid w:val="00011D7E"/>
    <w:rsid w:val="00011E44"/>
    <w:rsid w:val="00011EF3"/>
    <w:rsid w:val="00011F56"/>
    <w:rsid w:val="00011F8F"/>
    <w:rsid w:val="00012001"/>
    <w:rsid w:val="0001208A"/>
    <w:rsid w:val="000120A4"/>
    <w:rsid w:val="00012147"/>
    <w:rsid w:val="00012286"/>
    <w:rsid w:val="00012347"/>
    <w:rsid w:val="000124A7"/>
    <w:rsid w:val="000124FE"/>
    <w:rsid w:val="0001255D"/>
    <w:rsid w:val="000125F7"/>
    <w:rsid w:val="00012710"/>
    <w:rsid w:val="00012779"/>
    <w:rsid w:val="00012782"/>
    <w:rsid w:val="00012902"/>
    <w:rsid w:val="000129A8"/>
    <w:rsid w:val="00012A39"/>
    <w:rsid w:val="00012A79"/>
    <w:rsid w:val="00012AA4"/>
    <w:rsid w:val="00012AC0"/>
    <w:rsid w:val="00012BA7"/>
    <w:rsid w:val="00012BEC"/>
    <w:rsid w:val="00012DAF"/>
    <w:rsid w:val="00012E0A"/>
    <w:rsid w:val="00012FE7"/>
    <w:rsid w:val="000130B2"/>
    <w:rsid w:val="0001314D"/>
    <w:rsid w:val="0001333B"/>
    <w:rsid w:val="0001340B"/>
    <w:rsid w:val="0001358C"/>
    <w:rsid w:val="00013713"/>
    <w:rsid w:val="0001374E"/>
    <w:rsid w:val="00013785"/>
    <w:rsid w:val="000139A5"/>
    <w:rsid w:val="000139E7"/>
    <w:rsid w:val="00013AD8"/>
    <w:rsid w:val="00013AE4"/>
    <w:rsid w:val="00013AF4"/>
    <w:rsid w:val="00013B8D"/>
    <w:rsid w:val="00013CE2"/>
    <w:rsid w:val="00013D45"/>
    <w:rsid w:val="00013E7C"/>
    <w:rsid w:val="00013E8E"/>
    <w:rsid w:val="00013F0C"/>
    <w:rsid w:val="000142CD"/>
    <w:rsid w:val="00014342"/>
    <w:rsid w:val="000144C2"/>
    <w:rsid w:val="00014543"/>
    <w:rsid w:val="0001457A"/>
    <w:rsid w:val="000146CF"/>
    <w:rsid w:val="000146DE"/>
    <w:rsid w:val="00014763"/>
    <w:rsid w:val="000149F1"/>
    <w:rsid w:val="00014B25"/>
    <w:rsid w:val="00014D1B"/>
    <w:rsid w:val="00014D3B"/>
    <w:rsid w:val="00014D7A"/>
    <w:rsid w:val="00014EA9"/>
    <w:rsid w:val="00015177"/>
    <w:rsid w:val="000151BC"/>
    <w:rsid w:val="000151D8"/>
    <w:rsid w:val="000151E9"/>
    <w:rsid w:val="0001528E"/>
    <w:rsid w:val="00015436"/>
    <w:rsid w:val="0001546E"/>
    <w:rsid w:val="000154B5"/>
    <w:rsid w:val="0001551E"/>
    <w:rsid w:val="00015839"/>
    <w:rsid w:val="00015878"/>
    <w:rsid w:val="00015976"/>
    <w:rsid w:val="000159A0"/>
    <w:rsid w:val="00015B94"/>
    <w:rsid w:val="00015C2D"/>
    <w:rsid w:val="00015C76"/>
    <w:rsid w:val="00015CEC"/>
    <w:rsid w:val="00015E64"/>
    <w:rsid w:val="00015EEE"/>
    <w:rsid w:val="00015F12"/>
    <w:rsid w:val="00015F90"/>
    <w:rsid w:val="0001602C"/>
    <w:rsid w:val="00016143"/>
    <w:rsid w:val="0001615B"/>
    <w:rsid w:val="000162C9"/>
    <w:rsid w:val="00016312"/>
    <w:rsid w:val="00016318"/>
    <w:rsid w:val="00016359"/>
    <w:rsid w:val="0001642E"/>
    <w:rsid w:val="00016531"/>
    <w:rsid w:val="00016540"/>
    <w:rsid w:val="000165D3"/>
    <w:rsid w:val="0001667D"/>
    <w:rsid w:val="000166EF"/>
    <w:rsid w:val="000167E1"/>
    <w:rsid w:val="0001692F"/>
    <w:rsid w:val="00016C35"/>
    <w:rsid w:val="00016D64"/>
    <w:rsid w:val="00016D85"/>
    <w:rsid w:val="00016E50"/>
    <w:rsid w:val="00016FB7"/>
    <w:rsid w:val="000170D8"/>
    <w:rsid w:val="000170E3"/>
    <w:rsid w:val="000171A4"/>
    <w:rsid w:val="0001722D"/>
    <w:rsid w:val="00017273"/>
    <w:rsid w:val="000172CB"/>
    <w:rsid w:val="000173CD"/>
    <w:rsid w:val="00017446"/>
    <w:rsid w:val="00017508"/>
    <w:rsid w:val="00017550"/>
    <w:rsid w:val="00017685"/>
    <w:rsid w:val="00017701"/>
    <w:rsid w:val="00017765"/>
    <w:rsid w:val="00017892"/>
    <w:rsid w:val="000178E0"/>
    <w:rsid w:val="000178F6"/>
    <w:rsid w:val="000179AC"/>
    <w:rsid w:val="00017A96"/>
    <w:rsid w:val="00017BAD"/>
    <w:rsid w:val="00017FF1"/>
    <w:rsid w:val="00020022"/>
    <w:rsid w:val="00020052"/>
    <w:rsid w:val="0002007C"/>
    <w:rsid w:val="000201EF"/>
    <w:rsid w:val="0002041C"/>
    <w:rsid w:val="0002063C"/>
    <w:rsid w:val="00020666"/>
    <w:rsid w:val="000206E3"/>
    <w:rsid w:val="0002091D"/>
    <w:rsid w:val="0002095E"/>
    <w:rsid w:val="00020979"/>
    <w:rsid w:val="00020AA5"/>
    <w:rsid w:val="00020B6B"/>
    <w:rsid w:val="00020C00"/>
    <w:rsid w:val="00020D4B"/>
    <w:rsid w:val="00020EDF"/>
    <w:rsid w:val="00020F7D"/>
    <w:rsid w:val="00021126"/>
    <w:rsid w:val="0002112D"/>
    <w:rsid w:val="000211D5"/>
    <w:rsid w:val="0002124C"/>
    <w:rsid w:val="00021283"/>
    <w:rsid w:val="0002145D"/>
    <w:rsid w:val="000214CB"/>
    <w:rsid w:val="00021637"/>
    <w:rsid w:val="00021781"/>
    <w:rsid w:val="000217D3"/>
    <w:rsid w:val="0002185F"/>
    <w:rsid w:val="0002186A"/>
    <w:rsid w:val="00021986"/>
    <w:rsid w:val="0002198B"/>
    <w:rsid w:val="00021C13"/>
    <w:rsid w:val="00021CD8"/>
    <w:rsid w:val="00021D28"/>
    <w:rsid w:val="00021FD0"/>
    <w:rsid w:val="000221A9"/>
    <w:rsid w:val="0002236A"/>
    <w:rsid w:val="0002258A"/>
    <w:rsid w:val="000225DE"/>
    <w:rsid w:val="00022612"/>
    <w:rsid w:val="000226AB"/>
    <w:rsid w:val="000226D9"/>
    <w:rsid w:val="00022796"/>
    <w:rsid w:val="000229EC"/>
    <w:rsid w:val="00022A3D"/>
    <w:rsid w:val="00022AB7"/>
    <w:rsid w:val="00022BAD"/>
    <w:rsid w:val="00022C2A"/>
    <w:rsid w:val="00022D8D"/>
    <w:rsid w:val="00022DD8"/>
    <w:rsid w:val="00022F9C"/>
    <w:rsid w:val="00023056"/>
    <w:rsid w:val="00023164"/>
    <w:rsid w:val="000231A3"/>
    <w:rsid w:val="0002321C"/>
    <w:rsid w:val="000232DC"/>
    <w:rsid w:val="000232E6"/>
    <w:rsid w:val="00023348"/>
    <w:rsid w:val="000233D1"/>
    <w:rsid w:val="00023448"/>
    <w:rsid w:val="000236F9"/>
    <w:rsid w:val="00023772"/>
    <w:rsid w:val="00023A00"/>
    <w:rsid w:val="00023A8E"/>
    <w:rsid w:val="00023B2E"/>
    <w:rsid w:val="00023B34"/>
    <w:rsid w:val="00023BD9"/>
    <w:rsid w:val="00023C3E"/>
    <w:rsid w:val="00023C7F"/>
    <w:rsid w:val="00023C87"/>
    <w:rsid w:val="00023D31"/>
    <w:rsid w:val="00023D5B"/>
    <w:rsid w:val="00023D7D"/>
    <w:rsid w:val="00023E1F"/>
    <w:rsid w:val="00023EA8"/>
    <w:rsid w:val="00023FC2"/>
    <w:rsid w:val="00024027"/>
    <w:rsid w:val="000242CC"/>
    <w:rsid w:val="000243E1"/>
    <w:rsid w:val="0002462C"/>
    <w:rsid w:val="00024674"/>
    <w:rsid w:val="0002467A"/>
    <w:rsid w:val="0002479D"/>
    <w:rsid w:val="000247D4"/>
    <w:rsid w:val="000248BE"/>
    <w:rsid w:val="000248F7"/>
    <w:rsid w:val="0002490B"/>
    <w:rsid w:val="000249A5"/>
    <w:rsid w:val="000249C2"/>
    <w:rsid w:val="000249FA"/>
    <w:rsid w:val="00024A55"/>
    <w:rsid w:val="00024B80"/>
    <w:rsid w:val="00024BEE"/>
    <w:rsid w:val="00024D14"/>
    <w:rsid w:val="00024D46"/>
    <w:rsid w:val="00024D7C"/>
    <w:rsid w:val="00024E63"/>
    <w:rsid w:val="00024F26"/>
    <w:rsid w:val="00024F9E"/>
    <w:rsid w:val="00024FF4"/>
    <w:rsid w:val="0002507A"/>
    <w:rsid w:val="00025432"/>
    <w:rsid w:val="0002548C"/>
    <w:rsid w:val="000254E1"/>
    <w:rsid w:val="000254E6"/>
    <w:rsid w:val="00025662"/>
    <w:rsid w:val="00025716"/>
    <w:rsid w:val="00025718"/>
    <w:rsid w:val="000257C4"/>
    <w:rsid w:val="000257C9"/>
    <w:rsid w:val="000259F6"/>
    <w:rsid w:val="00025AC6"/>
    <w:rsid w:val="00025BC8"/>
    <w:rsid w:val="00025DD0"/>
    <w:rsid w:val="00025E1A"/>
    <w:rsid w:val="00025EAE"/>
    <w:rsid w:val="00025F61"/>
    <w:rsid w:val="00025F74"/>
    <w:rsid w:val="00026005"/>
    <w:rsid w:val="0002602F"/>
    <w:rsid w:val="00026145"/>
    <w:rsid w:val="0002626D"/>
    <w:rsid w:val="0002636E"/>
    <w:rsid w:val="0002645A"/>
    <w:rsid w:val="00026497"/>
    <w:rsid w:val="000265D6"/>
    <w:rsid w:val="0002660C"/>
    <w:rsid w:val="00026668"/>
    <w:rsid w:val="000266BB"/>
    <w:rsid w:val="000266ED"/>
    <w:rsid w:val="000267E3"/>
    <w:rsid w:val="000269A3"/>
    <w:rsid w:val="000269B3"/>
    <w:rsid w:val="00026A23"/>
    <w:rsid w:val="00026A49"/>
    <w:rsid w:val="00026AC9"/>
    <w:rsid w:val="00026C1E"/>
    <w:rsid w:val="00026C50"/>
    <w:rsid w:val="00026CB1"/>
    <w:rsid w:val="00026CC6"/>
    <w:rsid w:val="00026DA9"/>
    <w:rsid w:val="00026E27"/>
    <w:rsid w:val="00027008"/>
    <w:rsid w:val="00027158"/>
    <w:rsid w:val="000271A8"/>
    <w:rsid w:val="000271D1"/>
    <w:rsid w:val="0002734E"/>
    <w:rsid w:val="000273DC"/>
    <w:rsid w:val="000273F6"/>
    <w:rsid w:val="00027493"/>
    <w:rsid w:val="0002755F"/>
    <w:rsid w:val="000275E3"/>
    <w:rsid w:val="000276E0"/>
    <w:rsid w:val="000276EA"/>
    <w:rsid w:val="0002771C"/>
    <w:rsid w:val="00027802"/>
    <w:rsid w:val="00027890"/>
    <w:rsid w:val="000278A6"/>
    <w:rsid w:val="000279E2"/>
    <w:rsid w:val="00027AB3"/>
    <w:rsid w:val="00027B35"/>
    <w:rsid w:val="00027B69"/>
    <w:rsid w:val="00027BAF"/>
    <w:rsid w:val="00027D6F"/>
    <w:rsid w:val="00030175"/>
    <w:rsid w:val="000301A2"/>
    <w:rsid w:val="000301B1"/>
    <w:rsid w:val="0003023B"/>
    <w:rsid w:val="00030270"/>
    <w:rsid w:val="0003051F"/>
    <w:rsid w:val="00030647"/>
    <w:rsid w:val="00030691"/>
    <w:rsid w:val="0003089C"/>
    <w:rsid w:val="000308AF"/>
    <w:rsid w:val="000308E7"/>
    <w:rsid w:val="00030900"/>
    <w:rsid w:val="00030AFF"/>
    <w:rsid w:val="00030B25"/>
    <w:rsid w:val="00030BE6"/>
    <w:rsid w:val="00030CE8"/>
    <w:rsid w:val="00030D25"/>
    <w:rsid w:val="00030DD3"/>
    <w:rsid w:val="00030DF4"/>
    <w:rsid w:val="00030DFF"/>
    <w:rsid w:val="00030EEE"/>
    <w:rsid w:val="00030FF3"/>
    <w:rsid w:val="00031050"/>
    <w:rsid w:val="000310DE"/>
    <w:rsid w:val="00031117"/>
    <w:rsid w:val="0003122F"/>
    <w:rsid w:val="0003124F"/>
    <w:rsid w:val="00031279"/>
    <w:rsid w:val="0003135F"/>
    <w:rsid w:val="000314EE"/>
    <w:rsid w:val="0003166E"/>
    <w:rsid w:val="00031715"/>
    <w:rsid w:val="00031745"/>
    <w:rsid w:val="00031753"/>
    <w:rsid w:val="00031767"/>
    <w:rsid w:val="000317A3"/>
    <w:rsid w:val="00031909"/>
    <w:rsid w:val="00031929"/>
    <w:rsid w:val="00031AC7"/>
    <w:rsid w:val="00031B35"/>
    <w:rsid w:val="00031B5E"/>
    <w:rsid w:val="00031B62"/>
    <w:rsid w:val="00031B65"/>
    <w:rsid w:val="00031C12"/>
    <w:rsid w:val="00031C45"/>
    <w:rsid w:val="00031DBE"/>
    <w:rsid w:val="00031DCE"/>
    <w:rsid w:val="00031E2E"/>
    <w:rsid w:val="00031F1F"/>
    <w:rsid w:val="00032022"/>
    <w:rsid w:val="0003203E"/>
    <w:rsid w:val="000321B7"/>
    <w:rsid w:val="000322CC"/>
    <w:rsid w:val="0003231B"/>
    <w:rsid w:val="0003239B"/>
    <w:rsid w:val="00032522"/>
    <w:rsid w:val="00032570"/>
    <w:rsid w:val="00032795"/>
    <w:rsid w:val="00032838"/>
    <w:rsid w:val="000328BE"/>
    <w:rsid w:val="000328E8"/>
    <w:rsid w:val="000329C3"/>
    <w:rsid w:val="00032AF7"/>
    <w:rsid w:val="00032BAD"/>
    <w:rsid w:val="00032BBA"/>
    <w:rsid w:val="00032BD4"/>
    <w:rsid w:val="00032CD1"/>
    <w:rsid w:val="00032DEE"/>
    <w:rsid w:val="00032E02"/>
    <w:rsid w:val="00032E30"/>
    <w:rsid w:val="00032F54"/>
    <w:rsid w:val="0003317E"/>
    <w:rsid w:val="000331D6"/>
    <w:rsid w:val="00033214"/>
    <w:rsid w:val="000332E2"/>
    <w:rsid w:val="00033310"/>
    <w:rsid w:val="000333D2"/>
    <w:rsid w:val="000334C4"/>
    <w:rsid w:val="0003357C"/>
    <w:rsid w:val="0003365A"/>
    <w:rsid w:val="0003368A"/>
    <w:rsid w:val="0003374E"/>
    <w:rsid w:val="000337C1"/>
    <w:rsid w:val="00033807"/>
    <w:rsid w:val="00033844"/>
    <w:rsid w:val="00033856"/>
    <w:rsid w:val="0003398D"/>
    <w:rsid w:val="000339BA"/>
    <w:rsid w:val="00033C74"/>
    <w:rsid w:val="00033E78"/>
    <w:rsid w:val="00033F98"/>
    <w:rsid w:val="00033FCC"/>
    <w:rsid w:val="00034084"/>
    <w:rsid w:val="000341BA"/>
    <w:rsid w:val="0003422A"/>
    <w:rsid w:val="0003424B"/>
    <w:rsid w:val="000342EB"/>
    <w:rsid w:val="000343C4"/>
    <w:rsid w:val="00034437"/>
    <w:rsid w:val="00034463"/>
    <w:rsid w:val="00034467"/>
    <w:rsid w:val="00034593"/>
    <w:rsid w:val="0003468B"/>
    <w:rsid w:val="000346A0"/>
    <w:rsid w:val="000346D1"/>
    <w:rsid w:val="000347B4"/>
    <w:rsid w:val="00034996"/>
    <w:rsid w:val="000349D7"/>
    <w:rsid w:val="00034A57"/>
    <w:rsid w:val="00034CE2"/>
    <w:rsid w:val="00034E36"/>
    <w:rsid w:val="00034F74"/>
    <w:rsid w:val="00034F90"/>
    <w:rsid w:val="00035064"/>
    <w:rsid w:val="0003514E"/>
    <w:rsid w:val="000351F0"/>
    <w:rsid w:val="0003522D"/>
    <w:rsid w:val="00035234"/>
    <w:rsid w:val="00035278"/>
    <w:rsid w:val="0003529F"/>
    <w:rsid w:val="000352C4"/>
    <w:rsid w:val="000352EA"/>
    <w:rsid w:val="00035323"/>
    <w:rsid w:val="00035418"/>
    <w:rsid w:val="000354CB"/>
    <w:rsid w:val="000355A8"/>
    <w:rsid w:val="00035663"/>
    <w:rsid w:val="000356D3"/>
    <w:rsid w:val="000357F0"/>
    <w:rsid w:val="00035952"/>
    <w:rsid w:val="00035AEB"/>
    <w:rsid w:val="00035B82"/>
    <w:rsid w:val="00035C27"/>
    <w:rsid w:val="00035DA5"/>
    <w:rsid w:val="00035DFD"/>
    <w:rsid w:val="00035F4D"/>
    <w:rsid w:val="00035F6A"/>
    <w:rsid w:val="00035F73"/>
    <w:rsid w:val="00035F9A"/>
    <w:rsid w:val="00035FAA"/>
    <w:rsid w:val="00036006"/>
    <w:rsid w:val="000360D1"/>
    <w:rsid w:val="00036173"/>
    <w:rsid w:val="00036258"/>
    <w:rsid w:val="000362C8"/>
    <w:rsid w:val="000362CB"/>
    <w:rsid w:val="00036354"/>
    <w:rsid w:val="0003636C"/>
    <w:rsid w:val="00036547"/>
    <w:rsid w:val="00036692"/>
    <w:rsid w:val="00036698"/>
    <w:rsid w:val="000366BC"/>
    <w:rsid w:val="000367A0"/>
    <w:rsid w:val="0003685A"/>
    <w:rsid w:val="00036AF5"/>
    <w:rsid w:val="00036B1B"/>
    <w:rsid w:val="00036BEE"/>
    <w:rsid w:val="00036DEE"/>
    <w:rsid w:val="00036EB7"/>
    <w:rsid w:val="00036EDE"/>
    <w:rsid w:val="00036F8E"/>
    <w:rsid w:val="00037021"/>
    <w:rsid w:val="00037088"/>
    <w:rsid w:val="000370D9"/>
    <w:rsid w:val="00037117"/>
    <w:rsid w:val="0003716D"/>
    <w:rsid w:val="0003728A"/>
    <w:rsid w:val="000373B4"/>
    <w:rsid w:val="0003741A"/>
    <w:rsid w:val="00037481"/>
    <w:rsid w:val="0003749E"/>
    <w:rsid w:val="000374BA"/>
    <w:rsid w:val="000374F3"/>
    <w:rsid w:val="00037516"/>
    <w:rsid w:val="00037587"/>
    <w:rsid w:val="000375E5"/>
    <w:rsid w:val="000376A4"/>
    <w:rsid w:val="0003777F"/>
    <w:rsid w:val="0003793D"/>
    <w:rsid w:val="00037945"/>
    <w:rsid w:val="00037A06"/>
    <w:rsid w:val="00037A17"/>
    <w:rsid w:val="00037D72"/>
    <w:rsid w:val="00037DCE"/>
    <w:rsid w:val="00037E3B"/>
    <w:rsid w:val="00037E5A"/>
    <w:rsid w:val="00037EE5"/>
    <w:rsid w:val="00037F69"/>
    <w:rsid w:val="00040005"/>
    <w:rsid w:val="00040131"/>
    <w:rsid w:val="0004036E"/>
    <w:rsid w:val="000403BB"/>
    <w:rsid w:val="00040464"/>
    <w:rsid w:val="0004048E"/>
    <w:rsid w:val="000406EE"/>
    <w:rsid w:val="0004075C"/>
    <w:rsid w:val="00040782"/>
    <w:rsid w:val="0004082F"/>
    <w:rsid w:val="00040A45"/>
    <w:rsid w:val="00040AB2"/>
    <w:rsid w:val="00040B23"/>
    <w:rsid w:val="00040C48"/>
    <w:rsid w:val="00040CCA"/>
    <w:rsid w:val="00040CEB"/>
    <w:rsid w:val="00040D4E"/>
    <w:rsid w:val="00040DF6"/>
    <w:rsid w:val="00040FBD"/>
    <w:rsid w:val="00040FD9"/>
    <w:rsid w:val="000411E0"/>
    <w:rsid w:val="000412E3"/>
    <w:rsid w:val="00041355"/>
    <w:rsid w:val="000415D8"/>
    <w:rsid w:val="00041656"/>
    <w:rsid w:val="000416E5"/>
    <w:rsid w:val="000417A8"/>
    <w:rsid w:val="000417B6"/>
    <w:rsid w:val="000418C8"/>
    <w:rsid w:val="000419F2"/>
    <w:rsid w:val="00041A21"/>
    <w:rsid w:val="00041A86"/>
    <w:rsid w:val="00041B89"/>
    <w:rsid w:val="00041C9A"/>
    <w:rsid w:val="00041CF8"/>
    <w:rsid w:val="00041D2B"/>
    <w:rsid w:val="00041D46"/>
    <w:rsid w:val="00041D68"/>
    <w:rsid w:val="00041D8E"/>
    <w:rsid w:val="00041E8A"/>
    <w:rsid w:val="00041FDA"/>
    <w:rsid w:val="0004205A"/>
    <w:rsid w:val="000421F3"/>
    <w:rsid w:val="000422E9"/>
    <w:rsid w:val="00042355"/>
    <w:rsid w:val="0004236D"/>
    <w:rsid w:val="0004241C"/>
    <w:rsid w:val="00042430"/>
    <w:rsid w:val="000424B0"/>
    <w:rsid w:val="000424E3"/>
    <w:rsid w:val="00042609"/>
    <w:rsid w:val="0004260C"/>
    <w:rsid w:val="0004290C"/>
    <w:rsid w:val="00042BB9"/>
    <w:rsid w:val="00042D1E"/>
    <w:rsid w:val="00042D2D"/>
    <w:rsid w:val="00042D76"/>
    <w:rsid w:val="00042EA7"/>
    <w:rsid w:val="00042EB6"/>
    <w:rsid w:val="00042FC7"/>
    <w:rsid w:val="00043075"/>
    <w:rsid w:val="00043169"/>
    <w:rsid w:val="000431E3"/>
    <w:rsid w:val="000431EB"/>
    <w:rsid w:val="00043266"/>
    <w:rsid w:val="000432D6"/>
    <w:rsid w:val="000432FF"/>
    <w:rsid w:val="00043311"/>
    <w:rsid w:val="0004331A"/>
    <w:rsid w:val="000435AB"/>
    <w:rsid w:val="000435AF"/>
    <w:rsid w:val="000435FC"/>
    <w:rsid w:val="00043629"/>
    <w:rsid w:val="000436AC"/>
    <w:rsid w:val="000436C4"/>
    <w:rsid w:val="000436D6"/>
    <w:rsid w:val="000436FE"/>
    <w:rsid w:val="0004372E"/>
    <w:rsid w:val="000437AD"/>
    <w:rsid w:val="00043827"/>
    <w:rsid w:val="000439A7"/>
    <w:rsid w:val="000439C6"/>
    <w:rsid w:val="000439DD"/>
    <w:rsid w:val="00043ADF"/>
    <w:rsid w:val="00043AE0"/>
    <w:rsid w:val="00043B08"/>
    <w:rsid w:val="00043B30"/>
    <w:rsid w:val="00043DB0"/>
    <w:rsid w:val="00043E94"/>
    <w:rsid w:val="00043F52"/>
    <w:rsid w:val="00043F5E"/>
    <w:rsid w:val="00044123"/>
    <w:rsid w:val="00044289"/>
    <w:rsid w:val="000442DF"/>
    <w:rsid w:val="0004430E"/>
    <w:rsid w:val="00044666"/>
    <w:rsid w:val="0004475F"/>
    <w:rsid w:val="0004479A"/>
    <w:rsid w:val="000447F4"/>
    <w:rsid w:val="0004499F"/>
    <w:rsid w:val="000449F0"/>
    <w:rsid w:val="00044B4D"/>
    <w:rsid w:val="00044B71"/>
    <w:rsid w:val="00044B79"/>
    <w:rsid w:val="00044B83"/>
    <w:rsid w:val="00044BE4"/>
    <w:rsid w:val="00044C00"/>
    <w:rsid w:val="00044D61"/>
    <w:rsid w:val="00044E06"/>
    <w:rsid w:val="00044E40"/>
    <w:rsid w:val="00044EA5"/>
    <w:rsid w:val="00044F66"/>
    <w:rsid w:val="000450C4"/>
    <w:rsid w:val="0004529F"/>
    <w:rsid w:val="00045351"/>
    <w:rsid w:val="000453FF"/>
    <w:rsid w:val="00045417"/>
    <w:rsid w:val="0004554A"/>
    <w:rsid w:val="00045662"/>
    <w:rsid w:val="00045798"/>
    <w:rsid w:val="00045808"/>
    <w:rsid w:val="00045878"/>
    <w:rsid w:val="000458B9"/>
    <w:rsid w:val="0004591E"/>
    <w:rsid w:val="00045935"/>
    <w:rsid w:val="00045995"/>
    <w:rsid w:val="000459D8"/>
    <w:rsid w:val="00045DA7"/>
    <w:rsid w:val="00045E33"/>
    <w:rsid w:val="00045E71"/>
    <w:rsid w:val="00046067"/>
    <w:rsid w:val="000461BE"/>
    <w:rsid w:val="000461E8"/>
    <w:rsid w:val="0004631E"/>
    <w:rsid w:val="00046342"/>
    <w:rsid w:val="000463B8"/>
    <w:rsid w:val="000463E9"/>
    <w:rsid w:val="00046411"/>
    <w:rsid w:val="0004642C"/>
    <w:rsid w:val="00046499"/>
    <w:rsid w:val="0004655F"/>
    <w:rsid w:val="000465B4"/>
    <w:rsid w:val="0004667F"/>
    <w:rsid w:val="0004678B"/>
    <w:rsid w:val="0004680D"/>
    <w:rsid w:val="00046857"/>
    <w:rsid w:val="000468D5"/>
    <w:rsid w:val="000468FB"/>
    <w:rsid w:val="0004690D"/>
    <w:rsid w:val="0004691B"/>
    <w:rsid w:val="00046C2A"/>
    <w:rsid w:val="00046DA6"/>
    <w:rsid w:val="00046E22"/>
    <w:rsid w:val="00046E8D"/>
    <w:rsid w:val="00046EF8"/>
    <w:rsid w:val="00046F3B"/>
    <w:rsid w:val="00046FAB"/>
    <w:rsid w:val="00046FC6"/>
    <w:rsid w:val="000470A5"/>
    <w:rsid w:val="000470AA"/>
    <w:rsid w:val="00047242"/>
    <w:rsid w:val="000472A0"/>
    <w:rsid w:val="00047370"/>
    <w:rsid w:val="000473DE"/>
    <w:rsid w:val="00047479"/>
    <w:rsid w:val="000474DC"/>
    <w:rsid w:val="000474DE"/>
    <w:rsid w:val="000474F5"/>
    <w:rsid w:val="000475BE"/>
    <w:rsid w:val="000475E5"/>
    <w:rsid w:val="0004768C"/>
    <w:rsid w:val="00047792"/>
    <w:rsid w:val="000477D1"/>
    <w:rsid w:val="000477F9"/>
    <w:rsid w:val="00047982"/>
    <w:rsid w:val="000479BD"/>
    <w:rsid w:val="000479DC"/>
    <w:rsid w:val="00047A48"/>
    <w:rsid w:val="00047B0F"/>
    <w:rsid w:val="00047B1B"/>
    <w:rsid w:val="00047B94"/>
    <w:rsid w:val="00047D2B"/>
    <w:rsid w:val="00047D35"/>
    <w:rsid w:val="00047D82"/>
    <w:rsid w:val="00047D99"/>
    <w:rsid w:val="00047F8F"/>
    <w:rsid w:val="00047F94"/>
    <w:rsid w:val="0004FCCD"/>
    <w:rsid w:val="0005017E"/>
    <w:rsid w:val="000501D6"/>
    <w:rsid w:val="000502D0"/>
    <w:rsid w:val="00050392"/>
    <w:rsid w:val="0005044B"/>
    <w:rsid w:val="00050483"/>
    <w:rsid w:val="000504CE"/>
    <w:rsid w:val="00050564"/>
    <w:rsid w:val="00050565"/>
    <w:rsid w:val="000506C5"/>
    <w:rsid w:val="0005071E"/>
    <w:rsid w:val="0005072C"/>
    <w:rsid w:val="000507A6"/>
    <w:rsid w:val="0005095D"/>
    <w:rsid w:val="00050984"/>
    <w:rsid w:val="00050A5B"/>
    <w:rsid w:val="00050B61"/>
    <w:rsid w:val="00050BAF"/>
    <w:rsid w:val="00050C0A"/>
    <w:rsid w:val="00050C0C"/>
    <w:rsid w:val="00050C17"/>
    <w:rsid w:val="00050C22"/>
    <w:rsid w:val="00050C9E"/>
    <w:rsid w:val="00050E62"/>
    <w:rsid w:val="00050F88"/>
    <w:rsid w:val="00050FC1"/>
    <w:rsid w:val="00050FC9"/>
    <w:rsid w:val="00051005"/>
    <w:rsid w:val="00051086"/>
    <w:rsid w:val="0005119A"/>
    <w:rsid w:val="00051245"/>
    <w:rsid w:val="000512AA"/>
    <w:rsid w:val="00051376"/>
    <w:rsid w:val="000514A4"/>
    <w:rsid w:val="00051538"/>
    <w:rsid w:val="0005166F"/>
    <w:rsid w:val="00051718"/>
    <w:rsid w:val="00051833"/>
    <w:rsid w:val="0005187E"/>
    <w:rsid w:val="00051AFF"/>
    <w:rsid w:val="00051D02"/>
    <w:rsid w:val="00051E64"/>
    <w:rsid w:val="00051F66"/>
    <w:rsid w:val="000520C9"/>
    <w:rsid w:val="000520D5"/>
    <w:rsid w:val="000522C9"/>
    <w:rsid w:val="0005245F"/>
    <w:rsid w:val="0005248C"/>
    <w:rsid w:val="000526F8"/>
    <w:rsid w:val="0005271A"/>
    <w:rsid w:val="000527B6"/>
    <w:rsid w:val="00052823"/>
    <w:rsid w:val="0005284E"/>
    <w:rsid w:val="00052966"/>
    <w:rsid w:val="000529D4"/>
    <w:rsid w:val="00052C38"/>
    <w:rsid w:val="00052D77"/>
    <w:rsid w:val="00052DFD"/>
    <w:rsid w:val="00052F2D"/>
    <w:rsid w:val="000530A2"/>
    <w:rsid w:val="0005311E"/>
    <w:rsid w:val="000531B0"/>
    <w:rsid w:val="00053290"/>
    <w:rsid w:val="00053297"/>
    <w:rsid w:val="00053334"/>
    <w:rsid w:val="000533B4"/>
    <w:rsid w:val="00053425"/>
    <w:rsid w:val="000535E4"/>
    <w:rsid w:val="00053682"/>
    <w:rsid w:val="00053A1D"/>
    <w:rsid w:val="00053B61"/>
    <w:rsid w:val="00053B79"/>
    <w:rsid w:val="00053C1E"/>
    <w:rsid w:val="00053C30"/>
    <w:rsid w:val="00053DB1"/>
    <w:rsid w:val="00053E83"/>
    <w:rsid w:val="00053F71"/>
    <w:rsid w:val="00054053"/>
    <w:rsid w:val="0005410D"/>
    <w:rsid w:val="0005411D"/>
    <w:rsid w:val="000545FF"/>
    <w:rsid w:val="0005464B"/>
    <w:rsid w:val="000546AC"/>
    <w:rsid w:val="00054707"/>
    <w:rsid w:val="00054815"/>
    <w:rsid w:val="00054836"/>
    <w:rsid w:val="0005496A"/>
    <w:rsid w:val="00054A49"/>
    <w:rsid w:val="00054B2C"/>
    <w:rsid w:val="00054C9F"/>
    <w:rsid w:val="00054CE5"/>
    <w:rsid w:val="00054FF0"/>
    <w:rsid w:val="0005506D"/>
    <w:rsid w:val="00055085"/>
    <w:rsid w:val="000550D6"/>
    <w:rsid w:val="00055131"/>
    <w:rsid w:val="0005513A"/>
    <w:rsid w:val="00055208"/>
    <w:rsid w:val="000552E7"/>
    <w:rsid w:val="0005531E"/>
    <w:rsid w:val="000554DD"/>
    <w:rsid w:val="000554E8"/>
    <w:rsid w:val="000555D3"/>
    <w:rsid w:val="0005571F"/>
    <w:rsid w:val="000557B9"/>
    <w:rsid w:val="00055885"/>
    <w:rsid w:val="0005599A"/>
    <w:rsid w:val="00055AC9"/>
    <w:rsid w:val="00055CD5"/>
    <w:rsid w:val="00056000"/>
    <w:rsid w:val="00056092"/>
    <w:rsid w:val="0005623F"/>
    <w:rsid w:val="000562E5"/>
    <w:rsid w:val="00056432"/>
    <w:rsid w:val="000564BC"/>
    <w:rsid w:val="000564C8"/>
    <w:rsid w:val="000564D7"/>
    <w:rsid w:val="00056615"/>
    <w:rsid w:val="00056724"/>
    <w:rsid w:val="0005675C"/>
    <w:rsid w:val="00056768"/>
    <w:rsid w:val="00056797"/>
    <w:rsid w:val="00056811"/>
    <w:rsid w:val="000568B8"/>
    <w:rsid w:val="000569B1"/>
    <w:rsid w:val="00056A15"/>
    <w:rsid w:val="00056A1B"/>
    <w:rsid w:val="00056C38"/>
    <w:rsid w:val="00056D1B"/>
    <w:rsid w:val="00056D76"/>
    <w:rsid w:val="00056E6F"/>
    <w:rsid w:val="0005703E"/>
    <w:rsid w:val="000570FD"/>
    <w:rsid w:val="000571A7"/>
    <w:rsid w:val="0005727A"/>
    <w:rsid w:val="000572E0"/>
    <w:rsid w:val="00057319"/>
    <w:rsid w:val="00057432"/>
    <w:rsid w:val="0005768D"/>
    <w:rsid w:val="00057751"/>
    <w:rsid w:val="000577CF"/>
    <w:rsid w:val="0005784E"/>
    <w:rsid w:val="000579B5"/>
    <w:rsid w:val="00057A2D"/>
    <w:rsid w:val="00057A60"/>
    <w:rsid w:val="00057B3D"/>
    <w:rsid w:val="00057B47"/>
    <w:rsid w:val="00057C38"/>
    <w:rsid w:val="00057CA1"/>
    <w:rsid w:val="00057D47"/>
    <w:rsid w:val="00057DFB"/>
    <w:rsid w:val="00057E38"/>
    <w:rsid w:val="00057E45"/>
    <w:rsid w:val="00057E4C"/>
    <w:rsid w:val="00057E8B"/>
    <w:rsid w:val="00057EAC"/>
    <w:rsid w:val="00057F07"/>
    <w:rsid w:val="0006000D"/>
    <w:rsid w:val="00060097"/>
    <w:rsid w:val="0006012A"/>
    <w:rsid w:val="00060310"/>
    <w:rsid w:val="00060353"/>
    <w:rsid w:val="00060642"/>
    <w:rsid w:val="00060676"/>
    <w:rsid w:val="00060701"/>
    <w:rsid w:val="00060830"/>
    <w:rsid w:val="000609B1"/>
    <w:rsid w:val="00060AAA"/>
    <w:rsid w:val="00060C25"/>
    <w:rsid w:val="00060C80"/>
    <w:rsid w:val="00060D7D"/>
    <w:rsid w:val="00060DC3"/>
    <w:rsid w:val="00060E0E"/>
    <w:rsid w:val="00060F34"/>
    <w:rsid w:val="00060F7F"/>
    <w:rsid w:val="00060FE3"/>
    <w:rsid w:val="0006106E"/>
    <w:rsid w:val="00061245"/>
    <w:rsid w:val="000612A5"/>
    <w:rsid w:val="00061383"/>
    <w:rsid w:val="0006146C"/>
    <w:rsid w:val="00061549"/>
    <w:rsid w:val="00061552"/>
    <w:rsid w:val="000616E6"/>
    <w:rsid w:val="000617A6"/>
    <w:rsid w:val="0006182F"/>
    <w:rsid w:val="00061911"/>
    <w:rsid w:val="000619E2"/>
    <w:rsid w:val="00061A5C"/>
    <w:rsid w:val="00061AAA"/>
    <w:rsid w:val="00061AD5"/>
    <w:rsid w:val="00061B6B"/>
    <w:rsid w:val="00061B8D"/>
    <w:rsid w:val="00061BAB"/>
    <w:rsid w:val="00061BBE"/>
    <w:rsid w:val="00061BE2"/>
    <w:rsid w:val="00061C30"/>
    <w:rsid w:val="0006205B"/>
    <w:rsid w:val="00062182"/>
    <w:rsid w:val="000621BC"/>
    <w:rsid w:val="000621BF"/>
    <w:rsid w:val="00062409"/>
    <w:rsid w:val="000624D3"/>
    <w:rsid w:val="000625F8"/>
    <w:rsid w:val="00062754"/>
    <w:rsid w:val="0006290D"/>
    <w:rsid w:val="00062A1B"/>
    <w:rsid w:val="00062A9F"/>
    <w:rsid w:val="00062BDD"/>
    <w:rsid w:val="00062BFC"/>
    <w:rsid w:val="00062CD8"/>
    <w:rsid w:val="00062DC5"/>
    <w:rsid w:val="00062DD7"/>
    <w:rsid w:val="00062DF4"/>
    <w:rsid w:val="00062E0B"/>
    <w:rsid w:val="00062E63"/>
    <w:rsid w:val="00062FB1"/>
    <w:rsid w:val="00063073"/>
    <w:rsid w:val="0006325D"/>
    <w:rsid w:val="0006328F"/>
    <w:rsid w:val="00063297"/>
    <w:rsid w:val="00063355"/>
    <w:rsid w:val="00063425"/>
    <w:rsid w:val="00063483"/>
    <w:rsid w:val="00063655"/>
    <w:rsid w:val="0006370F"/>
    <w:rsid w:val="0006375B"/>
    <w:rsid w:val="0006386D"/>
    <w:rsid w:val="00063954"/>
    <w:rsid w:val="000639DD"/>
    <w:rsid w:val="00063A5E"/>
    <w:rsid w:val="00063B70"/>
    <w:rsid w:val="00063C6A"/>
    <w:rsid w:val="00063D04"/>
    <w:rsid w:val="00063D78"/>
    <w:rsid w:val="00063DA5"/>
    <w:rsid w:val="00063DA9"/>
    <w:rsid w:val="00063DBC"/>
    <w:rsid w:val="00063E92"/>
    <w:rsid w:val="00063EEC"/>
    <w:rsid w:val="00063F1A"/>
    <w:rsid w:val="00063F4D"/>
    <w:rsid w:val="000640C2"/>
    <w:rsid w:val="00064350"/>
    <w:rsid w:val="000643B3"/>
    <w:rsid w:val="0006446C"/>
    <w:rsid w:val="000644F2"/>
    <w:rsid w:val="00064627"/>
    <w:rsid w:val="0006482D"/>
    <w:rsid w:val="000648AE"/>
    <w:rsid w:val="00064973"/>
    <w:rsid w:val="00064A19"/>
    <w:rsid w:val="00064C6D"/>
    <w:rsid w:val="00064DA9"/>
    <w:rsid w:val="00064DB2"/>
    <w:rsid w:val="00064E4B"/>
    <w:rsid w:val="00064F49"/>
    <w:rsid w:val="00064FCC"/>
    <w:rsid w:val="00064FD2"/>
    <w:rsid w:val="0006506F"/>
    <w:rsid w:val="00065091"/>
    <w:rsid w:val="000650BA"/>
    <w:rsid w:val="000650CE"/>
    <w:rsid w:val="000653CE"/>
    <w:rsid w:val="000653D2"/>
    <w:rsid w:val="00065400"/>
    <w:rsid w:val="00065453"/>
    <w:rsid w:val="00065471"/>
    <w:rsid w:val="000654A8"/>
    <w:rsid w:val="000656DB"/>
    <w:rsid w:val="000658D9"/>
    <w:rsid w:val="0006590A"/>
    <w:rsid w:val="00065948"/>
    <w:rsid w:val="00065A2C"/>
    <w:rsid w:val="00065AC7"/>
    <w:rsid w:val="00065BEC"/>
    <w:rsid w:val="00065C18"/>
    <w:rsid w:val="00065C46"/>
    <w:rsid w:val="00065D26"/>
    <w:rsid w:val="00065E1C"/>
    <w:rsid w:val="00065ED4"/>
    <w:rsid w:val="00065F02"/>
    <w:rsid w:val="00065F52"/>
    <w:rsid w:val="00065FC3"/>
    <w:rsid w:val="00065FE9"/>
    <w:rsid w:val="00065FED"/>
    <w:rsid w:val="00065FFA"/>
    <w:rsid w:val="00066127"/>
    <w:rsid w:val="00066172"/>
    <w:rsid w:val="000661FE"/>
    <w:rsid w:val="000662CF"/>
    <w:rsid w:val="000663B6"/>
    <w:rsid w:val="000663CE"/>
    <w:rsid w:val="000663F7"/>
    <w:rsid w:val="00066434"/>
    <w:rsid w:val="00066546"/>
    <w:rsid w:val="000665E8"/>
    <w:rsid w:val="0006662D"/>
    <w:rsid w:val="000666D5"/>
    <w:rsid w:val="000668C5"/>
    <w:rsid w:val="000668E3"/>
    <w:rsid w:val="00066959"/>
    <w:rsid w:val="00066971"/>
    <w:rsid w:val="00066A9E"/>
    <w:rsid w:val="00066ADA"/>
    <w:rsid w:val="00066BFA"/>
    <w:rsid w:val="00066C4F"/>
    <w:rsid w:val="00066CC8"/>
    <w:rsid w:val="00066CCE"/>
    <w:rsid w:val="00066DAF"/>
    <w:rsid w:val="00066DB1"/>
    <w:rsid w:val="00066E12"/>
    <w:rsid w:val="00066FE7"/>
    <w:rsid w:val="000671C9"/>
    <w:rsid w:val="00067260"/>
    <w:rsid w:val="00067297"/>
    <w:rsid w:val="000673FD"/>
    <w:rsid w:val="00067407"/>
    <w:rsid w:val="0006744D"/>
    <w:rsid w:val="000674CA"/>
    <w:rsid w:val="0006758E"/>
    <w:rsid w:val="00067640"/>
    <w:rsid w:val="00067669"/>
    <w:rsid w:val="0006768D"/>
    <w:rsid w:val="000676BF"/>
    <w:rsid w:val="000676F1"/>
    <w:rsid w:val="000677E1"/>
    <w:rsid w:val="00067913"/>
    <w:rsid w:val="000679EC"/>
    <w:rsid w:val="00067A7C"/>
    <w:rsid w:val="00067B13"/>
    <w:rsid w:val="00067B79"/>
    <w:rsid w:val="00067BDC"/>
    <w:rsid w:val="00067C89"/>
    <w:rsid w:val="00067F42"/>
    <w:rsid w:val="00067F77"/>
    <w:rsid w:val="0006E1CB"/>
    <w:rsid w:val="0007013B"/>
    <w:rsid w:val="00070154"/>
    <w:rsid w:val="000701E1"/>
    <w:rsid w:val="000702F6"/>
    <w:rsid w:val="000703D8"/>
    <w:rsid w:val="0007058A"/>
    <w:rsid w:val="00070665"/>
    <w:rsid w:val="000707BB"/>
    <w:rsid w:val="00070834"/>
    <w:rsid w:val="0007086E"/>
    <w:rsid w:val="00070891"/>
    <w:rsid w:val="00070A45"/>
    <w:rsid w:val="00070AE7"/>
    <w:rsid w:val="00070B2E"/>
    <w:rsid w:val="00070BCD"/>
    <w:rsid w:val="00070C28"/>
    <w:rsid w:val="00070C32"/>
    <w:rsid w:val="00070CFF"/>
    <w:rsid w:val="00070DAD"/>
    <w:rsid w:val="00070E01"/>
    <w:rsid w:val="00070E02"/>
    <w:rsid w:val="00070E13"/>
    <w:rsid w:val="00070E18"/>
    <w:rsid w:val="00070F67"/>
    <w:rsid w:val="00070F69"/>
    <w:rsid w:val="00070F7C"/>
    <w:rsid w:val="0007110B"/>
    <w:rsid w:val="0007111A"/>
    <w:rsid w:val="000711A3"/>
    <w:rsid w:val="00071216"/>
    <w:rsid w:val="000713E5"/>
    <w:rsid w:val="00071425"/>
    <w:rsid w:val="0007155F"/>
    <w:rsid w:val="0007164D"/>
    <w:rsid w:val="00071694"/>
    <w:rsid w:val="000716E8"/>
    <w:rsid w:val="0007178B"/>
    <w:rsid w:val="000717CE"/>
    <w:rsid w:val="000717D4"/>
    <w:rsid w:val="000718BF"/>
    <w:rsid w:val="00071958"/>
    <w:rsid w:val="00071A3C"/>
    <w:rsid w:val="00071A7A"/>
    <w:rsid w:val="00071AA5"/>
    <w:rsid w:val="00071AEF"/>
    <w:rsid w:val="00071B04"/>
    <w:rsid w:val="00071B76"/>
    <w:rsid w:val="00071BB9"/>
    <w:rsid w:val="00071E45"/>
    <w:rsid w:val="00071E50"/>
    <w:rsid w:val="00071F9F"/>
    <w:rsid w:val="00072014"/>
    <w:rsid w:val="000721BD"/>
    <w:rsid w:val="00072202"/>
    <w:rsid w:val="0007220F"/>
    <w:rsid w:val="00072233"/>
    <w:rsid w:val="00072239"/>
    <w:rsid w:val="00072249"/>
    <w:rsid w:val="0007224D"/>
    <w:rsid w:val="00072311"/>
    <w:rsid w:val="00072387"/>
    <w:rsid w:val="000723CB"/>
    <w:rsid w:val="0007260B"/>
    <w:rsid w:val="0007269B"/>
    <w:rsid w:val="000726DD"/>
    <w:rsid w:val="00072733"/>
    <w:rsid w:val="000727DA"/>
    <w:rsid w:val="00072847"/>
    <w:rsid w:val="00072887"/>
    <w:rsid w:val="000728AD"/>
    <w:rsid w:val="000729EE"/>
    <w:rsid w:val="00072A19"/>
    <w:rsid w:val="00072ABE"/>
    <w:rsid w:val="00072B46"/>
    <w:rsid w:val="00072C53"/>
    <w:rsid w:val="00072CE6"/>
    <w:rsid w:val="00072D0E"/>
    <w:rsid w:val="00072D7A"/>
    <w:rsid w:val="00072E24"/>
    <w:rsid w:val="00072EF0"/>
    <w:rsid w:val="00072FE6"/>
    <w:rsid w:val="0007304B"/>
    <w:rsid w:val="0007305B"/>
    <w:rsid w:val="0007313D"/>
    <w:rsid w:val="00073158"/>
    <w:rsid w:val="00073357"/>
    <w:rsid w:val="0007340E"/>
    <w:rsid w:val="00073432"/>
    <w:rsid w:val="00073451"/>
    <w:rsid w:val="000734AE"/>
    <w:rsid w:val="00073518"/>
    <w:rsid w:val="00073537"/>
    <w:rsid w:val="0007356E"/>
    <w:rsid w:val="000736CB"/>
    <w:rsid w:val="00073912"/>
    <w:rsid w:val="00073933"/>
    <w:rsid w:val="000739FD"/>
    <w:rsid w:val="00073A0E"/>
    <w:rsid w:val="00073ACE"/>
    <w:rsid w:val="00073AD8"/>
    <w:rsid w:val="00073AE7"/>
    <w:rsid w:val="00073E29"/>
    <w:rsid w:val="00073EB0"/>
    <w:rsid w:val="00073F18"/>
    <w:rsid w:val="00073F3E"/>
    <w:rsid w:val="00073F5D"/>
    <w:rsid w:val="00074053"/>
    <w:rsid w:val="0007438B"/>
    <w:rsid w:val="000743D1"/>
    <w:rsid w:val="00074405"/>
    <w:rsid w:val="00074509"/>
    <w:rsid w:val="00074610"/>
    <w:rsid w:val="000746E3"/>
    <w:rsid w:val="000746E4"/>
    <w:rsid w:val="00074786"/>
    <w:rsid w:val="000747F6"/>
    <w:rsid w:val="00074871"/>
    <w:rsid w:val="0007492D"/>
    <w:rsid w:val="000749DD"/>
    <w:rsid w:val="00074AA3"/>
    <w:rsid w:val="00074BE5"/>
    <w:rsid w:val="00074C12"/>
    <w:rsid w:val="00074E3F"/>
    <w:rsid w:val="00074E67"/>
    <w:rsid w:val="00074F68"/>
    <w:rsid w:val="00075038"/>
    <w:rsid w:val="00075067"/>
    <w:rsid w:val="00075178"/>
    <w:rsid w:val="00075309"/>
    <w:rsid w:val="0007533F"/>
    <w:rsid w:val="00075383"/>
    <w:rsid w:val="0007543D"/>
    <w:rsid w:val="00075544"/>
    <w:rsid w:val="000755BF"/>
    <w:rsid w:val="000755F4"/>
    <w:rsid w:val="000755F5"/>
    <w:rsid w:val="0007569F"/>
    <w:rsid w:val="0007577F"/>
    <w:rsid w:val="000757DD"/>
    <w:rsid w:val="000759C9"/>
    <w:rsid w:val="000759D0"/>
    <w:rsid w:val="00075AC1"/>
    <w:rsid w:val="00075AF4"/>
    <w:rsid w:val="00075B16"/>
    <w:rsid w:val="00075B21"/>
    <w:rsid w:val="00075BDC"/>
    <w:rsid w:val="00075D07"/>
    <w:rsid w:val="00075D0E"/>
    <w:rsid w:val="00075D92"/>
    <w:rsid w:val="00075E37"/>
    <w:rsid w:val="00075FB4"/>
    <w:rsid w:val="000761BF"/>
    <w:rsid w:val="00076230"/>
    <w:rsid w:val="00076261"/>
    <w:rsid w:val="000762A0"/>
    <w:rsid w:val="00076333"/>
    <w:rsid w:val="000763B7"/>
    <w:rsid w:val="00076415"/>
    <w:rsid w:val="00076441"/>
    <w:rsid w:val="00076495"/>
    <w:rsid w:val="0007651B"/>
    <w:rsid w:val="0007662E"/>
    <w:rsid w:val="00076814"/>
    <w:rsid w:val="00076832"/>
    <w:rsid w:val="00076A81"/>
    <w:rsid w:val="00076C34"/>
    <w:rsid w:val="00076C3A"/>
    <w:rsid w:val="00076FA3"/>
    <w:rsid w:val="0007719C"/>
    <w:rsid w:val="00077248"/>
    <w:rsid w:val="000772A0"/>
    <w:rsid w:val="000772F2"/>
    <w:rsid w:val="00077343"/>
    <w:rsid w:val="000773D3"/>
    <w:rsid w:val="000774D5"/>
    <w:rsid w:val="00077579"/>
    <w:rsid w:val="000775F1"/>
    <w:rsid w:val="000776F9"/>
    <w:rsid w:val="00077759"/>
    <w:rsid w:val="00077767"/>
    <w:rsid w:val="000777AE"/>
    <w:rsid w:val="000778AE"/>
    <w:rsid w:val="000779F8"/>
    <w:rsid w:val="00077A92"/>
    <w:rsid w:val="00077B44"/>
    <w:rsid w:val="00077C3C"/>
    <w:rsid w:val="00077CF2"/>
    <w:rsid w:val="00077D08"/>
    <w:rsid w:val="00077D87"/>
    <w:rsid w:val="00077DE8"/>
    <w:rsid w:val="00077E6C"/>
    <w:rsid w:val="000800EA"/>
    <w:rsid w:val="000802BB"/>
    <w:rsid w:val="000804D3"/>
    <w:rsid w:val="0008066C"/>
    <w:rsid w:val="00080712"/>
    <w:rsid w:val="0008080B"/>
    <w:rsid w:val="00080933"/>
    <w:rsid w:val="00080AFC"/>
    <w:rsid w:val="00080C30"/>
    <w:rsid w:val="00080ED2"/>
    <w:rsid w:val="00080F70"/>
    <w:rsid w:val="00080F84"/>
    <w:rsid w:val="00080F9F"/>
    <w:rsid w:val="0008107B"/>
    <w:rsid w:val="00081088"/>
    <w:rsid w:val="00081112"/>
    <w:rsid w:val="000811D5"/>
    <w:rsid w:val="0008128D"/>
    <w:rsid w:val="000812FA"/>
    <w:rsid w:val="000812FB"/>
    <w:rsid w:val="00081527"/>
    <w:rsid w:val="000815AB"/>
    <w:rsid w:val="000816C8"/>
    <w:rsid w:val="000817F3"/>
    <w:rsid w:val="00081826"/>
    <w:rsid w:val="00081841"/>
    <w:rsid w:val="00081878"/>
    <w:rsid w:val="000818E0"/>
    <w:rsid w:val="000819FC"/>
    <w:rsid w:val="00081A16"/>
    <w:rsid w:val="00081B77"/>
    <w:rsid w:val="00081B8F"/>
    <w:rsid w:val="00081D35"/>
    <w:rsid w:val="00081D6F"/>
    <w:rsid w:val="00081F7F"/>
    <w:rsid w:val="00081F9D"/>
    <w:rsid w:val="00082029"/>
    <w:rsid w:val="00082207"/>
    <w:rsid w:val="0008222E"/>
    <w:rsid w:val="000822A5"/>
    <w:rsid w:val="000822F8"/>
    <w:rsid w:val="0008235A"/>
    <w:rsid w:val="00082638"/>
    <w:rsid w:val="00082641"/>
    <w:rsid w:val="00082685"/>
    <w:rsid w:val="00082765"/>
    <w:rsid w:val="000827D3"/>
    <w:rsid w:val="00082945"/>
    <w:rsid w:val="000829C6"/>
    <w:rsid w:val="000829FB"/>
    <w:rsid w:val="00082B91"/>
    <w:rsid w:val="00082D32"/>
    <w:rsid w:val="00082E16"/>
    <w:rsid w:val="00082E7E"/>
    <w:rsid w:val="00082FBF"/>
    <w:rsid w:val="000830AA"/>
    <w:rsid w:val="0008311C"/>
    <w:rsid w:val="00083144"/>
    <w:rsid w:val="000831C1"/>
    <w:rsid w:val="0008323E"/>
    <w:rsid w:val="00083284"/>
    <w:rsid w:val="000832C6"/>
    <w:rsid w:val="00083311"/>
    <w:rsid w:val="0008332E"/>
    <w:rsid w:val="000834B4"/>
    <w:rsid w:val="00083588"/>
    <w:rsid w:val="0008359E"/>
    <w:rsid w:val="0008369D"/>
    <w:rsid w:val="000836C4"/>
    <w:rsid w:val="000836DF"/>
    <w:rsid w:val="0008376E"/>
    <w:rsid w:val="000837AA"/>
    <w:rsid w:val="000838C8"/>
    <w:rsid w:val="000838C9"/>
    <w:rsid w:val="0008397E"/>
    <w:rsid w:val="0008397F"/>
    <w:rsid w:val="00083BA7"/>
    <w:rsid w:val="00083D5B"/>
    <w:rsid w:val="00083E32"/>
    <w:rsid w:val="00083EFE"/>
    <w:rsid w:val="00083F76"/>
    <w:rsid w:val="0008402E"/>
    <w:rsid w:val="00084162"/>
    <w:rsid w:val="00084175"/>
    <w:rsid w:val="00084405"/>
    <w:rsid w:val="000844E6"/>
    <w:rsid w:val="00084517"/>
    <w:rsid w:val="00084616"/>
    <w:rsid w:val="000846A3"/>
    <w:rsid w:val="000846C8"/>
    <w:rsid w:val="0008472A"/>
    <w:rsid w:val="000847F9"/>
    <w:rsid w:val="000848CB"/>
    <w:rsid w:val="00084A76"/>
    <w:rsid w:val="00084ABA"/>
    <w:rsid w:val="00084C12"/>
    <w:rsid w:val="00084C82"/>
    <w:rsid w:val="00084DCC"/>
    <w:rsid w:val="00084FEA"/>
    <w:rsid w:val="000850F4"/>
    <w:rsid w:val="00085160"/>
    <w:rsid w:val="00085279"/>
    <w:rsid w:val="000852C8"/>
    <w:rsid w:val="000852F6"/>
    <w:rsid w:val="000854AC"/>
    <w:rsid w:val="00085582"/>
    <w:rsid w:val="000855A1"/>
    <w:rsid w:val="000856B5"/>
    <w:rsid w:val="0008572D"/>
    <w:rsid w:val="00085781"/>
    <w:rsid w:val="00085835"/>
    <w:rsid w:val="00085891"/>
    <w:rsid w:val="00085946"/>
    <w:rsid w:val="00085A9B"/>
    <w:rsid w:val="00085AED"/>
    <w:rsid w:val="00085C0D"/>
    <w:rsid w:val="00085D00"/>
    <w:rsid w:val="00085E48"/>
    <w:rsid w:val="00085F10"/>
    <w:rsid w:val="00085F50"/>
    <w:rsid w:val="00085FA2"/>
    <w:rsid w:val="000861EA"/>
    <w:rsid w:val="0008623C"/>
    <w:rsid w:val="000863DF"/>
    <w:rsid w:val="00086485"/>
    <w:rsid w:val="0008651A"/>
    <w:rsid w:val="00086867"/>
    <w:rsid w:val="00086896"/>
    <w:rsid w:val="000869F6"/>
    <w:rsid w:val="00086B5B"/>
    <w:rsid w:val="00086CEF"/>
    <w:rsid w:val="00086D9C"/>
    <w:rsid w:val="00086DD3"/>
    <w:rsid w:val="00086DF8"/>
    <w:rsid w:val="00087002"/>
    <w:rsid w:val="000870FA"/>
    <w:rsid w:val="00087168"/>
    <w:rsid w:val="00087188"/>
    <w:rsid w:val="0008718A"/>
    <w:rsid w:val="0008719A"/>
    <w:rsid w:val="0008723B"/>
    <w:rsid w:val="000872FD"/>
    <w:rsid w:val="00087320"/>
    <w:rsid w:val="00087327"/>
    <w:rsid w:val="000873CC"/>
    <w:rsid w:val="00087510"/>
    <w:rsid w:val="0008753B"/>
    <w:rsid w:val="00087579"/>
    <w:rsid w:val="000875FD"/>
    <w:rsid w:val="000876F5"/>
    <w:rsid w:val="000877F9"/>
    <w:rsid w:val="00087812"/>
    <w:rsid w:val="0008782D"/>
    <w:rsid w:val="00087847"/>
    <w:rsid w:val="00087878"/>
    <w:rsid w:val="000878A1"/>
    <w:rsid w:val="000879E7"/>
    <w:rsid w:val="00087C82"/>
    <w:rsid w:val="00087CFA"/>
    <w:rsid w:val="00087D4C"/>
    <w:rsid w:val="00090005"/>
    <w:rsid w:val="00090153"/>
    <w:rsid w:val="000901BB"/>
    <w:rsid w:val="00090208"/>
    <w:rsid w:val="00090268"/>
    <w:rsid w:val="00090306"/>
    <w:rsid w:val="00090321"/>
    <w:rsid w:val="0009040A"/>
    <w:rsid w:val="00090502"/>
    <w:rsid w:val="00090546"/>
    <w:rsid w:val="00090554"/>
    <w:rsid w:val="000905EE"/>
    <w:rsid w:val="00090618"/>
    <w:rsid w:val="00090667"/>
    <w:rsid w:val="000906AF"/>
    <w:rsid w:val="00090708"/>
    <w:rsid w:val="00090747"/>
    <w:rsid w:val="0009082A"/>
    <w:rsid w:val="00090932"/>
    <w:rsid w:val="00090B42"/>
    <w:rsid w:val="00090D58"/>
    <w:rsid w:val="00090D7F"/>
    <w:rsid w:val="00090E27"/>
    <w:rsid w:val="00090E50"/>
    <w:rsid w:val="00090EFE"/>
    <w:rsid w:val="00090F2B"/>
    <w:rsid w:val="00090F83"/>
    <w:rsid w:val="00090F8D"/>
    <w:rsid w:val="00090FB2"/>
    <w:rsid w:val="00091152"/>
    <w:rsid w:val="0009122C"/>
    <w:rsid w:val="000914EE"/>
    <w:rsid w:val="000916F8"/>
    <w:rsid w:val="0009187A"/>
    <w:rsid w:val="000918A9"/>
    <w:rsid w:val="00091900"/>
    <w:rsid w:val="00091980"/>
    <w:rsid w:val="00091A68"/>
    <w:rsid w:val="00091B1D"/>
    <w:rsid w:val="00091B62"/>
    <w:rsid w:val="00091C9A"/>
    <w:rsid w:val="00091CC1"/>
    <w:rsid w:val="00091CC6"/>
    <w:rsid w:val="00091E83"/>
    <w:rsid w:val="00091F40"/>
    <w:rsid w:val="0009201B"/>
    <w:rsid w:val="0009201E"/>
    <w:rsid w:val="00092071"/>
    <w:rsid w:val="000921E3"/>
    <w:rsid w:val="00092227"/>
    <w:rsid w:val="000922C8"/>
    <w:rsid w:val="000922E0"/>
    <w:rsid w:val="000923AC"/>
    <w:rsid w:val="0009246A"/>
    <w:rsid w:val="00092553"/>
    <w:rsid w:val="000925C9"/>
    <w:rsid w:val="000925FC"/>
    <w:rsid w:val="00092602"/>
    <w:rsid w:val="0009261D"/>
    <w:rsid w:val="000926B0"/>
    <w:rsid w:val="00092728"/>
    <w:rsid w:val="000927FF"/>
    <w:rsid w:val="0009288F"/>
    <w:rsid w:val="000928CA"/>
    <w:rsid w:val="000928EF"/>
    <w:rsid w:val="00092A86"/>
    <w:rsid w:val="00092BE1"/>
    <w:rsid w:val="00092CB2"/>
    <w:rsid w:val="00092CC6"/>
    <w:rsid w:val="00092CC8"/>
    <w:rsid w:val="00092D95"/>
    <w:rsid w:val="00092DA8"/>
    <w:rsid w:val="00092DF3"/>
    <w:rsid w:val="00092F37"/>
    <w:rsid w:val="00092F3B"/>
    <w:rsid w:val="0009308E"/>
    <w:rsid w:val="0009314D"/>
    <w:rsid w:val="000931E6"/>
    <w:rsid w:val="00093247"/>
    <w:rsid w:val="00093387"/>
    <w:rsid w:val="0009341F"/>
    <w:rsid w:val="00093544"/>
    <w:rsid w:val="000935F8"/>
    <w:rsid w:val="00093677"/>
    <w:rsid w:val="000936B3"/>
    <w:rsid w:val="000936D7"/>
    <w:rsid w:val="00093741"/>
    <w:rsid w:val="00093923"/>
    <w:rsid w:val="000939DB"/>
    <w:rsid w:val="00093A53"/>
    <w:rsid w:val="00093B22"/>
    <w:rsid w:val="00093B24"/>
    <w:rsid w:val="00093B8E"/>
    <w:rsid w:val="00093CD3"/>
    <w:rsid w:val="00093E24"/>
    <w:rsid w:val="00093E9A"/>
    <w:rsid w:val="0009405B"/>
    <w:rsid w:val="000941B8"/>
    <w:rsid w:val="00094407"/>
    <w:rsid w:val="00094448"/>
    <w:rsid w:val="000944FC"/>
    <w:rsid w:val="000945DB"/>
    <w:rsid w:val="00094733"/>
    <w:rsid w:val="00094769"/>
    <w:rsid w:val="00094959"/>
    <w:rsid w:val="00094964"/>
    <w:rsid w:val="000949FB"/>
    <w:rsid w:val="00094A60"/>
    <w:rsid w:val="00094AAF"/>
    <w:rsid w:val="00094AE3"/>
    <w:rsid w:val="00094AFA"/>
    <w:rsid w:val="00094BDC"/>
    <w:rsid w:val="00094C84"/>
    <w:rsid w:val="00094CEB"/>
    <w:rsid w:val="00095008"/>
    <w:rsid w:val="0009509E"/>
    <w:rsid w:val="000950E8"/>
    <w:rsid w:val="00095141"/>
    <w:rsid w:val="000952A4"/>
    <w:rsid w:val="00095323"/>
    <w:rsid w:val="00095352"/>
    <w:rsid w:val="00095452"/>
    <w:rsid w:val="000954A4"/>
    <w:rsid w:val="0009553D"/>
    <w:rsid w:val="0009557B"/>
    <w:rsid w:val="000955C4"/>
    <w:rsid w:val="00095641"/>
    <w:rsid w:val="000957C8"/>
    <w:rsid w:val="00095931"/>
    <w:rsid w:val="00095973"/>
    <w:rsid w:val="00095A72"/>
    <w:rsid w:val="00095AB3"/>
    <w:rsid w:val="00095B46"/>
    <w:rsid w:val="00095FBA"/>
    <w:rsid w:val="00096062"/>
    <w:rsid w:val="000960F1"/>
    <w:rsid w:val="000960FF"/>
    <w:rsid w:val="00096127"/>
    <w:rsid w:val="00096225"/>
    <w:rsid w:val="0009622B"/>
    <w:rsid w:val="00096268"/>
    <w:rsid w:val="000962AF"/>
    <w:rsid w:val="0009637E"/>
    <w:rsid w:val="000964D0"/>
    <w:rsid w:val="0009656D"/>
    <w:rsid w:val="00096683"/>
    <w:rsid w:val="000966D5"/>
    <w:rsid w:val="0009675F"/>
    <w:rsid w:val="00096840"/>
    <w:rsid w:val="00096876"/>
    <w:rsid w:val="000968BE"/>
    <w:rsid w:val="000968F3"/>
    <w:rsid w:val="00096905"/>
    <w:rsid w:val="00096940"/>
    <w:rsid w:val="00096A17"/>
    <w:rsid w:val="00096A68"/>
    <w:rsid w:val="00096B44"/>
    <w:rsid w:val="00096B94"/>
    <w:rsid w:val="00096C5B"/>
    <w:rsid w:val="00096CAC"/>
    <w:rsid w:val="00096F0B"/>
    <w:rsid w:val="00096F0F"/>
    <w:rsid w:val="00096F6B"/>
    <w:rsid w:val="00096FA6"/>
    <w:rsid w:val="000970A7"/>
    <w:rsid w:val="00097116"/>
    <w:rsid w:val="0009712D"/>
    <w:rsid w:val="000971CA"/>
    <w:rsid w:val="000972E6"/>
    <w:rsid w:val="00097321"/>
    <w:rsid w:val="000974BE"/>
    <w:rsid w:val="000975A5"/>
    <w:rsid w:val="0009766A"/>
    <w:rsid w:val="00097693"/>
    <w:rsid w:val="000976C5"/>
    <w:rsid w:val="000976C7"/>
    <w:rsid w:val="000976C9"/>
    <w:rsid w:val="000976CA"/>
    <w:rsid w:val="00097938"/>
    <w:rsid w:val="000979E7"/>
    <w:rsid w:val="00097A46"/>
    <w:rsid w:val="00097B09"/>
    <w:rsid w:val="00097BBD"/>
    <w:rsid w:val="00097C0E"/>
    <w:rsid w:val="00097C16"/>
    <w:rsid w:val="00097C25"/>
    <w:rsid w:val="00097D18"/>
    <w:rsid w:val="00097E02"/>
    <w:rsid w:val="00097E0D"/>
    <w:rsid w:val="00097E37"/>
    <w:rsid w:val="00097ECF"/>
    <w:rsid w:val="00097F05"/>
    <w:rsid w:val="00097F5D"/>
    <w:rsid w:val="00097FCA"/>
    <w:rsid w:val="000A0075"/>
    <w:rsid w:val="000A0083"/>
    <w:rsid w:val="000A02A3"/>
    <w:rsid w:val="000A04A8"/>
    <w:rsid w:val="000A0543"/>
    <w:rsid w:val="000A05BE"/>
    <w:rsid w:val="000A0620"/>
    <w:rsid w:val="000A0719"/>
    <w:rsid w:val="000A0744"/>
    <w:rsid w:val="000A07A8"/>
    <w:rsid w:val="000A0905"/>
    <w:rsid w:val="000A09E2"/>
    <w:rsid w:val="000A0A20"/>
    <w:rsid w:val="000A0A44"/>
    <w:rsid w:val="000A0B05"/>
    <w:rsid w:val="000A0B3A"/>
    <w:rsid w:val="000A0B7A"/>
    <w:rsid w:val="000A0BEB"/>
    <w:rsid w:val="000A0C0E"/>
    <w:rsid w:val="000A0CB5"/>
    <w:rsid w:val="000A0D48"/>
    <w:rsid w:val="000A0DE2"/>
    <w:rsid w:val="000A0F60"/>
    <w:rsid w:val="000A10E7"/>
    <w:rsid w:val="000A11EE"/>
    <w:rsid w:val="000A1285"/>
    <w:rsid w:val="000A140C"/>
    <w:rsid w:val="000A1449"/>
    <w:rsid w:val="000A14A5"/>
    <w:rsid w:val="000A1711"/>
    <w:rsid w:val="000A176B"/>
    <w:rsid w:val="000A187D"/>
    <w:rsid w:val="000A18B3"/>
    <w:rsid w:val="000A1911"/>
    <w:rsid w:val="000A1946"/>
    <w:rsid w:val="000A196A"/>
    <w:rsid w:val="000A19A7"/>
    <w:rsid w:val="000A1A76"/>
    <w:rsid w:val="000A1B5E"/>
    <w:rsid w:val="000A1BC9"/>
    <w:rsid w:val="000A1C06"/>
    <w:rsid w:val="000A1C6B"/>
    <w:rsid w:val="000A1ECF"/>
    <w:rsid w:val="000A1F14"/>
    <w:rsid w:val="000A202C"/>
    <w:rsid w:val="000A219C"/>
    <w:rsid w:val="000A2270"/>
    <w:rsid w:val="000A229A"/>
    <w:rsid w:val="000A22E2"/>
    <w:rsid w:val="000A2314"/>
    <w:rsid w:val="000A231D"/>
    <w:rsid w:val="000A237A"/>
    <w:rsid w:val="000A29B8"/>
    <w:rsid w:val="000A2A2F"/>
    <w:rsid w:val="000A2C5A"/>
    <w:rsid w:val="000A2D08"/>
    <w:rsid w:val="000A2D70"/>
    <w:rsid w:val="000A2DA2"/>
    <w:rsid w:val="000A2DC5"/>
    <w:rsid w:val="000A2DE7"/>
    <w:rsid w:val="000A2E1E"/>
    <w:rsid w:val="000A2E57"/>
    <w:rsid w:val="000A2E74"/>
    <w:rsid w:val="000A2EC6"/>
    <w:rsid w:val="000A2ECB"/>
    <w:rsid w:val="000A2F56"/>
    <w:rsid w:val="000A31CB"/>
    <w:rsid w:val="000A3243"/>
    <w:rsid w:val="000A33A0"/>
    <w:rsid w:val="000A33F9"/>
    <w:rsid w:val="000A33FD"/>
    <w:rsid w:val="000A3404"/>
    <w:rsid w:val="000A345D"/>
    <w:rsid w:val="000A355D"/>
    <w:rsid w:val="000A3710"/>
    <w:rsid w:val="000A3777"/>
    <w:rsid w:val="000A38E9"/>
    <w:rsid w:val="000A3A7B"/>
    <w:rsid w:val="000A3C17"/>
    <w:rsid w:val="000A3C32"/>
    <w:rsid w:val="000A3CE8"/>
    <w:rsid w:val="000A3D17"/>
    <w:rsid w:val="000A3D71"/>
    <w:rsid w:val="000A3DE8"/>
    <w:rsid w:val="000A3ECF"/>
    <w:rsid w:val="000A3F49"/>
    <w:rsid w:val="000A403F"/>
    <w:rsid w:val="000A4085"/>
    <w:rsid w:val="000A418E"/>
    <w:rsid w:val="000A41F1"/>
    <w:rsid w:val="000A4241"/>
    <w:rsid w:val="000A42DE"/>
    <w:rsid w:val="000A4352"/>
    <w:rsid w:val="000A4431"/>
    <w:rsid w:val="000A4518"/>
    <w:rsid w:val="000A4550"/>
    <w:rsid w:val="000A4563"/>
    <w:rsid w:val="000A4609"/>
    <w:rsid w:val="000A465C"/>
    <w:rsid w:val="000A48B5"/>
    <w:rsid w:val="000A49C8"/>
    <w:rsid w:val="000A4A7B"/>
    <w:rsid w:val="000A4C06"/>
    <w:rsid w:val="000A4DD2"/>
    <w:rsid w:val="000A4E74"/>
    <w:rsid w:val="000A4EA2"/>
    <w:rsid w:val="000A4EA6"/>
    <w:rsid w:val="000A4F39"/>
    <w:rsid w:val="000A4FE3"/>
    <w:rsid w:val="000A5006"/>
    <w:rsid w:val="000A53A7"/>
    <w:rsid w:val="000A541B"/>
    <w:rsid w:val="000A54F0"/>
    <w:rsid w:val="000A554A"/>
    <w:rsid w:val="000A55DC"/>
    <w:rsid w:val="000A561D"/>
    <w:rsid w:val="000A5627"/>
    <w:rsid w:val="000A5689"/>
    <w:rsid w:val="000A5887"/>
    <w:rsid w:val="000A58B5"/>
    <w:rsid w:val="000A5AAA"/>
    <w:rsid w:val="000A5AC0"/>
    <w:rsid w:val="000A5B7E"/>
    <w:rsid w:val="000A5BE4"/>
    <w:rsid w:val="000A5C61"/>
    <w:rsid w:val="000A5FD6"/>
    <w:rsid w:val="000A61AB"/>
    <w:rsid w:val="000A6228"/>
    <w:rsid w:val="000A622D"/>
    <w:rsid w:val="000A633D"/>
    <w:rsid w:val="000A634D"/>
    <w:rsid w:val="000A6515"/>
    <w:rsid w:val="000A661D"/>
    <w:rsid w:val="000A665D"/>
    <w:rsid w:val="000A667A"/>
    <w:rsid w:val="000A66CE"/>
    <w:rsid w:val="000A670A"/>
    <w:rsid w:val="000A6746"/>
    <w:rsid w:val="000A67A2"/>
    <w:rsid w:val="000A6800"/>
    <w:rsid w:val="000A681C"/>
    <w:rsid w:val="000A6831"/>
    <w:rsid w:val="000A69A3"/>
    <w:rsid w:val="000A69EC"/>
    <w:rsid w:val="000A6CA1"/>
    <w:rsid w:val="000A6CC5"/>
    <w:rsid w:val="000A6D98"/>
    <w:rsid w:val="000A6E3C"/>
    <w:rsid w:val="000A6F5A"/>
    <w:rsid w:val="000A7178"/>
    <w:rsid w:val="000A71E8"/>
    <w:rsid w:val="000A722C"/>
    <w:rsid w:val="000A72DB"/>
    <w:rsid w:val="000A736A"/>
    <w:rsid w:val="000A741F"/>
    <w:rsid w:val="000A7538"/>
    <w:rsid w:val="000A758A"/>
    <w:rsid w:val="000A75A4"/>
    <w:rsid w:val="000A7617"/>
    <w:rsid w:val="000A7674"/>
    <w:rsid w:val="000A76D0"/>
    <w:rsid w:val="000A76F2"/>
    <w:rsid w:val="000A7759"/>
    <w:rsid w:val="000A77E1"/>
    <w:rsid w:val="000A7B4E"/>
    <w:rsid w:val="000A7B8C"/>
    <w:rsid w:val="000A7D15"/>
    <w:rsid w:val="000A7D97"/>
    <w:rsid w:val="000A7E5C"/>
    <w:rsid w:val="000A7E9C"/>
    <w:rsid w:val="000A7EFB"/>
    <w:rsid w:val="000A7F35"/>
    <w:rsid w:val="000B027C"/>
    <w:rsid w:val="000B027E"/>
    <w:rsid w:val="000B0343"/>
    <w:rsid w:val="000B03C8"/>
    <w:rsid w:val="000B03FD"/>
    <w:rsid w:val="000B0529"/>
    <w:rsid w:val="000B05D3"/>
    <w:rsid w:val="000B0609"/>
    <w:rsid w:val="000B0691"/>
    <w:rsid w:val="000B0843"/>
    <w:rsid w:val="000B0966"/>
    <w:rsid w:val="000B0A7F"/>
    <w:rsid w:val="000B0B29"/>
    <w:rsid w:val="000B0C95"/>
    <w:rsid w:val="000B0CC5"/>
    <w:rsid w:val="000B0D36"/>
    <w:rsid w:val="000B0D46"/>
    <w:rsid w:val="000B0E5A"/>
    <w:rsid w:val="000B0ED8"/>
    <w:rsid w:val="000B1009"/>
    <w:rsid w:val="000B106C"/>
    <w:rsid w:val="000B107F"/>
    <w:rsid w:val="000B1108"/>
    <w:rsid w:val="000B11C3"/>
    <w:rsid w:val="000B12FA"/>
    <w:rsid w:val="000B13BD"/>
    <w:rsid w:val="000B1484"/>
    <w:rsid w:val="000B1554"/>
    <w:rsid w:val="000B1572"/>
    <w:rsid w:val="000B168A"/>
    <w:rsid w:val="000B1700"/>
    <w:rsid w:val="000B1777"/>
    <w:rsid w:val="000B17D9"/>
    <w:rsid w:val="000B188B"/>
    <w:rsid w:val="000B1946"/>
    <w:rsid w:val="000B19BC"/>
    <w:rsid w:val="000B1C62"/>
    <w:rsid w:val="000B1CD6"/>
    <w:rsid w:val="000B1CEF"/>
    <w:rsid w:val="000B1D9F"/>
    <w:rsid w:val="000B1DEF"/>
    <w:rsid w:val="000B2007"/>
    <w:rsid w:val="000B21D8"/>
    <w:rsid w:val="000B230D"/>
    <w:rsid w:val="000B23DF"/>
    <w:rsid w:val="000B2553"/>
    <w:rsid w:val="000B25B3"/>
    <w:rsid w:val="000B2615"/>
    <w:rsid w:val="000B265B"/>
    <w:rsid w:val="000B267A"/>
    <w:rsid w:val="000B2699"/>
    <w:rsid w:val="000B269A"/>
    <w:rsid w:val="000B270D"/>
    <w:rsid w:val="000B277D"/>
    <w:rsid w:val="000B2A24"/>
    <w:rsid w:val="000B2A40"/>
    <w:rsid w:val="000B2B9E"/>
    <w:rsid w:val="000B2C12"/>
    <w:rsid w:val="000B2D41"/>
    <w:rsid w:val="000B2DE1"/>
    <w:rsid w:val="000B2E56"/>
    <w:rsid w:val="000B2F29"/>
    <w:rsid w:val="000B2F88"/>
    <w:rsid w:val="000B2FCA"/>
    <w:rsid w:val="000B3070"/>
    <w:rsid w:val="000B3307"/>
    <w:rsid w:val="000B33D8"/>
    <w:rsid w:val="000B34AC"/>
    <w:rsid w:val="000B34B0"/>
    <w:rsid w:val="000B352A"/>
    <w:rsid w:val="000B3576"/>
    <w:rsid w:val="000B36D8"/>
    <w:rsid w:val="000B3744"/>
    <w:rsid w:val="000B3946"/>
    <w:rsid w:val="000B3987"/>
    <w:rsid w:val="000B39AC"/>
    <w:rsid w:val="000B3C6B"/>
    <w:rsid w:val="000B3F87"/>
    <w:rsid w:val="000B3F9D"/>
    <w:rsid w:val="000B4049"/>
    <w:rsid w:val="000B40FF"/>
    <w:rsid w:val="000B4154"/>
    <w:rsid w:val="000B41BD"/>
    <w:rsid w:val="000B41BE"/>
    <w:rsid w:val="000B4474"/>
    <w:rsid w:val="000B44AA"/>
    <w:rsid w:val="000B45A3"/>
    <w:rsid w:val="000B468E"/>
    <w:rsid w:val="000B4861"/>
    <w:rsid w:val="000B490B"/>
    <w:rsid w:val="000B49AF"/>
    <w:rsid w:val="000B4A16"/>
    <w:rsid w:val="000B4B2B"/>
    <w:rsid w:val="000B4CD2"/>
    <w:rsid w:val="000B4D3E"/>
    <w:rsid w:val="000B4D54"/>
    <w:rsid w:val="000B4D81"/>
    <w:rsid w:val="000B4E0C"/>
    <w:rsid w:val="000B4F13"/>
    <w:rsid w:val="000B4F5D"/>
    <w:rsid w:val="000B4FC7"/>
    <w:rsid w:val="000B4FEA"/>
    <w:rsid w:val="000B5195"/>
    <w:rsid w:val="000B5267"/>
    <w:rsid w:val="000B53CC"/>
    <w:rsid w:val="000B54A4"/>
    <w:rsid w:val="000B54D6"/>
    <w:rsid w:val="000B550E"/>
    <w:rsid w:val="000B55EA"/>
    <w:rsid w:val="000B57DC"/>
    <w:rsid w:val="000B5813"/>
    <w:rsid w:val="000B5822"/>
    <w:rsid w:val="000B5886"/>
    <w:rsid w:val="000B5901"/>
    <w:rsid w:val="000B5A6D"/>
    <w:rsid w:val="000B5A90"/>
    <w:rsid w:val="000B5AC3"/>
    <w:rsid w:val="000B5B9D"/>
    <w:rsid w:val="000B5BBA"/>
    <w:rsid w:val="000B5CAB"/>
    <w:rsid w:val="000B5CE8"/>
    <w:rsid w:val="000B5DF5"/>
    <w:rsid w:val="000B5F96"/>
    <w:rsid w:val="000B6034"/>
    <w:rsid w:val="000B6045"/>
    <w:rsid w:val="000B60A8"/>
    <w:rsid w:val="000B6111"/>
    <w:rsid w:val="000B614A"/>
    <w:rsid w:val="000B61AB"/>
    <w:rsid w:val="000B61C5"/>
    <w:rsid w:val="000B6231"/>
    <w:rsid w:val="000B6278"/>
    <w:rsid w:val="000B6283"/>
    <w:rsid w:val="000B6370"/>
    <w:rsid w:val="000B637F"/>
    <w:rsid w:val="000B63B4"/>
    <w:rsid w:val="000B6526"/>
    <w:rsid w:val="000B6541"/>
    <w:rsid w:val="000B694D"/>
    <w:rsid w:val="000B6952"/>
    <w:rsid w:val="000B6970"/>
    <w:rsid w:val="000B6AC4"/>
    <w:rsid w:val="000B6ACD"/>
    <w:rsid w:val="000B6B64"/>
    <w:rsid w:val="000B6B9D"/>
    <w:rsid w:val="000B6D94"/>
    <w:rsid w:val="000B6E47"/>
    <w:rsid w:val="000B6E8F"/>
    <w:rsid w:val="000B6ED2"/>
    <w:rsid w:val="000B6ED9"/>
    <w:rsid w:val="000B7015"/>
    <w:rsid w:val="000B718D"/>
    <w:rsid w:val="000B7275"/>
    <w:rsid w:val="000B746B"/>
    <w:rsid w:val="000B7491"/>
    <w:rsid w:val="000B76A2"/>
    <w:rsid w:val="000B7705"/>
    <w:rsid w:val="000B7731"/>
    <w:rsid w:val="000B7771"/>
    <w:rsid w:val="000B7778"/>
    <w:rsid w:val="000B7817"/>
    <w:rsid w:val="000B7836"/>
    <w:rsid w:val="000B78E6"/>
    <w:rsid w:val="000B797E"/>
    <w:rsid w:val="000B7A04"/>
    <w:rsid w:val="000B7B5F"/>
    <w:rsid w:val="000B7B9A"/>
    <w:rsid w:val="000B7C1E"/>
    <w:rsid w:val="000B7D4B"/>
    <w:rsid w:val="000B7D82"/>
    <w:rsid w:val="000B7D8A"/>
    <w:rsid w:val="000B7DD1"/>
    <w:rsid w:val="000B7EDD"/>
    <w:rsid w:val="000B7F9F"/>
    <w:rsid w:val="000B7FEA"/>
    <w:rsid w:val="000C0035"/>
    <w:rsid w:val="000C0085"/>
    <w:rsid w:val="000C0121"/>
    <w:rsid w:val="000C01CF"/>
    <w:rsid w:val="000C0233"/>
    <w:rsid w:val="000C0327"/>
    <w:rsid w:val="000C037F"/>
    <w:rsid w:val="000C0386"/>
    <w:rsid w:val="000C041E"/>
    <w:rsid w:val="000C042D"/>
    <w:rsid w:val="000C0531"/>
    <w:rsid w:val="000C078D"/>
    <w:rsid w:val="000C07BC"/>
    <w:rsid w:val="000C0859"/>
    <w:rsid w:val="000C0900"/>
    <w:rsid w:val="000C09B0"/>
    <w:rsid w:val="000C0A49"/>
    <w:rsid w:val="000C0A50"/>
    <w:rsid w:val="000C0ADB"/>
    <w:rsid w:val="000C0B03"/>
    <w:rsid w:val="000C0BA0"/>
    <w:rsid w:val="000C0BBF"/>
    <w:rsid w:val="000C0C4E"/>
    <w:rsid w:val="000C0D69"/>
    <w:rsid w:val="000C0DD1"/>
    <w:rsid w:val="000C1194"/>
    <w:rsid w:val="000C12D4"/>
    <w:rsid w:val="000C12EE"/>
    <w:rsid w:val="000C1302"/>
    <w:rsid w:val="000C13DF"/>
    <w:rsid w:val="000C1690"/>
    <w:rsid w:val="000C1718"/>
    <w:rsid w:val="000C179A"/>
    <w:rsid w:val="000C1925"/>
    <w:rsid w:val="000C1983"/>
    <w:rsid w:val="000C19B3"/>
    <w:rsid w:val="000C1AB2"/>
    <w:rsid w:val="000C1AEE"/>
    <w:rsid w:val="000C1B6C"/>
    <w:rsid w:val="000C1CB3"/>
    <w:rsid w:val="000C1D2B"/>
    <w:rsid w:val="000C1D41"/>
    <w:rsid w:val="000C1D6F"/>
    <w:rsid w:val="000C1DD6"/>
    <w:rsid w:val="000C1FFC"/>
    <w:rsid w:val="000C20BE"/>
    <w:rsid w:val="000C22A9"/>
    <w:rsid w:val="000C239C"/>
    <w:rsid w:val="000C2495"/>
    <w:rsid w:val="000C2557"/>
    <w:rsid w:val="000C2671"/>
    <w:rsid w:val="000C28AF"/>
    <w:rsid w:val="000C28D9"/>
    <w:rsid w:val="000C28FD"/>
    <w:rsid w:val="000C2A56"/>
    <w:rsid w:val="000C2A9B"/>
    <w:rsid w:val="000C2B44"/>
    <w:rsid w:val="000C2BF5"/>
    <w:rsid w:val="000C2C2A"/>
    <w:rsid w:val="000C2CA6"/>
    <w:rsid w:val="000C2D02"/>
    <w:rsid w:val="000C2DBB"/>
    <w:rsid w:val="000C2F15"/>
    <w:rsid w:val="000C2F23"/>
    <w:rsid w:val="000C2FF9"/>
    <w:rsid w:val="000C311E"/>
    <w:rsid w:val="000C337D"/>
    <w:rsid w:val="000C34C7"/>
    <w:rsid w:val="000C34EC"/>
    <w:rsid w:val="000C374C"/>
    <w:rsid w:val="000C374D"/>
    <w:rsid w:val="000C37D9"/>
    <w:rsid w:val="000C3857"/>
    <w:rsid w:val="000C38BC"/>
    <w:rsid w:val="000C38DC"/>
    <w:rsid w:val="000C3A44"/>
    <w:rsid w:val="000C3AD3"/>
    <w:rsid w:val="000C3BC9"/>
    <w:rsid w:val="000C3DED"/>
    <w:rsid w:val="000C3F16"/>
    <w:rsid w:val="000C3F36"/>
    <w:rsid w:val="000C3F38"/>
    <w:rsid w:val="000C4262"/>
    <w:rsid w:val="000C4296"/>
    <w:rsid w:val="000C42A6"/>
    <w:rsid w:val="000C435D"/>
    <w:rsid w:val="000C43E7"/>
    <w:rsid w:val="000C43F9"/>
    <w:rsid w:val="000C44EE"/>
    <w:rsid w:val="000C4578"/>
    <w:rsid w:val="000C4607"/>
    <w:rsid w:val="000C4626"/>
    <w:rsid w:val="000C466F"/>
    <w:rsid w:val="000C46A5"/>
    <w:rsid w:val="000C4750"/>
    <w:rsid w:val="000C48AA"/>
    <w:rsid w:val="000C4A11"/>
    <w:rsid w:val="000C4AB1"/>
    <w:rsid w:val="000C4ACD"/>
    <w:rsid w:val="000C4B62"/>
    <w:rsid w:val="000C4D3E"/>
    <w:rsid w:val="000C4D5F"/>
    <w:rsid w:val="000C4D6E"/>
    <w:rsid w:val="000C4E5D"/>
    <w:rsid w:val="000C4EB1"/>
    <w:rsid w:val="000C5008"/>
    <w:rsid w:val="000C5099"/>
    <w:rsid w:val="000C50FC"/>
    <w:rsid w:val="000C5148"/>
    <w:rsid w:val="000C5164"/>
    <w:rsid w:val="000C51F9"/>
    <w:rsid w:val="000C52B3"/>
    <w:rsid w:val="000C5329"/>
    <w:rsid w:val="000C5387"/>
    <w:rsid w:val="000C5422"/>
    <w:rsid w:val="000C54AE"/>
    <w:rsid w:val="000C54F8"/>
    <w:rsid w:val="000C550B"/>
    <w:rsid w:val="000C5524"/>
    <w:rsid w:val="000C56B3"/>
    <w:rsid w:val="000C56D2"/>
    <w:rsid w:val="000C57E7"/>
    <w:rsid w:val="000C59B5"/>
    <w:rsid w:val="000C5B82"/>
    <w:rsid w:val="000C5C1A"/>
    <w:rsid w:val="000C5C55"/>
    <w:rsid w:val="000C5C66"/>
    <w:rsid w:val="000C5D60"/>
    <w:rsid w:val="000C5E5F"/>
    <w:rsid w:val="000C60C3"/>
    <w:rsid w:val="000C6213"/>
    <w:rsid w:val="000C623E"/>
    <w:rsid w:val="000C63DB"/>
    <w:rsid w:val="000C6539"/>
    <w:rsid w:val="000C657F"/>
    <w:rsid w:val="000C668E"/>
    <w:rsid w:val="000C66B7"/>
    <w:rsid w:val="000C687E"/>
    <w:rsid w:val="000C6900"/>
    <w:rsid w:val="000C6930"/>
    <w:rsid w:val="000C6A2B"/>
    <w:rsid w:val="000C6B36"/>
    <w:rsid w:val="000C6B90"/>
    <w:rsid w:val="000C6C16"/>
    <w:rsid w:val="000C6C32"/>
    <w:rsid w:val="000C6C71"/>
    <w:rsid w:val="000C6CBE"/>
    <w:rsid w:val="000C6DB6"/>
    <w:rsid w:val="000C6FE0"/>
    <w:rsid w:val="000C7237"/>
    <w:rsid w:val="000C728D"/>
    <w:rsid w:val="000C737B"/>
    <w:rsid w:val="000C73F8"/>
    <w:rsid w:val="000C7410"/>
    <w:rsid w:val="000C7418"/>
    <w:rsid w:val="000C74BD"/>
    <w:rsid w:val="000C75D8"/>
    <w:rsid w:val="000C75FB"/>
    <w:rsid w:val="000C760F"/>
    <w:rsid w:val="000C7693"/>
    <w:rsid w:val="000C7862"/>
    <w:rsid w:val="000C7917"/>
    <w:rsid w:val="000C7950"/>
    <w:rsid w:val="000C799A"/>
    <w:rsid w:val="000C79F1"/>
    <w:rsid w:val="000C7AE2"/>
    <w:rsid w:val="000C7B48"/>
    <w:rsid w:val="000C7B4E"/>
    <w:rsid w:val="000C7B73"/>
    <w:rsid w:val="000C7B8E"/>
    <w:rsid w:val="000C7C3E"/>
    <w:rsid w:val="000C7C53"/>
    <w:rsid w:val="000C7D3D"/>
    <w:rsid w:val="000C7F02"/>
    <w:rsid w:val="000D0102"/>
    <w:rsid w:val="000D0157"/>
    <w:rsid w:val="000D0247"/>
    <w:rsid w:val="000D0303"/>
    <w:rsid w:val="000D05DA"/>
    <w:rsid w:val="000D0706"/>
    <w:rsid w:val="000D07E4"/>
    <w:rsid w:val="000D07F5"/>
    <w:rsid w:val="000D083D"/>
    <w:rsid w:val="000D089A"/>
    <w:rsid w:val="000D0972"/>
    <w:rsid w:val="000D0CAD"/>
    <w:rsid w:val="000D0CF4"/>
    <w:rsid w:val="000D0DD2"/>
    <w:rsid w:val="000D0E8F"/>
    <w:rsid w:val="000D0E98"/>
    <w:rsid w:val="000D100E"/>
    <w:rsid w:val="000D1048"/>
    <w:rsid w:val="000D109D"/>
    <w:rsid w:val="000D10E7"/>
    <w:rsid w:val="000D1186"/>
    <w:rsid w:val="000D1295"/>
    <w:rsid w:val="000D1513"/>
    <w:rsid w:val="000D1663"/>
    <w:rsid w:val="000D1726"/>
    <w:rsid w:val="000D172A"/>
    <w:rsid w:val="000D185E"/>
    <w:rsid w:val="000D18FF"/>
    <w:rsid w:val="000D190E"/>
    <w:rsid w:val="000D1A2A"/>
    <w:rsid w:val="000D1A42"/>
    <w:rsid w:val="000D1B8F"/>
    <w:rsid w:val="000D1C93"/>
    <w:rsid w:val="000D1DBA"/>
    <w:rsid w:val="000D1E71"/>
    <w:rsid w:val="000D1EF4"/>
    <w:rsid w:val="000D1F0F"/>
    <w:rsid w:val="000D1FD2"/>
    <w:rsid w:val="000D2001"/>
    <w:rsid w:val="000D2014"/>
    <w:rsid w:val="000D207D"/>
    <w:rsid w:val="000D2174"/>
    <w:rsid w:val="000D21CE"/>
    <w:rsid w:val="000D21DC"/>
    <w:rsid w:val="000D2208"/>
    <w:rsid w:val="000D22A7"/>
    <w:rsid w:val="000D22DF"/>
    <w:rsid w:val="000D230B"/>
    <w:rsid w:val="000D2314"/>
    <w:rsid w:val="000D2492"/>
    <w:rsid w:val="000D2528"/>
    <w:rsid w:val="000D2828"/>
    <w:rsid w:val="000D2B42"/>
    <w:rsid w:val="000D2BBE"/>
    <w:rsid w:val="000D2D2A"/>
    <w:rsid w:val="000D2D69"/>
    <w:rsid w:val="000D2DD6"/>
    <w:rsid w:val="000D2E08"/>
    <w:rsid w:val="000D2EF8"/>
    <w:rsid w:val="000D2F70"/>
    <w:rsid w:val="000D2FAB"/>
    <w:rsid w:val="000D3059"/>
    <w:rsid w:val="000D3170"/>
    <w:rsid w:val="000D317C"/>
    <w:rsid w:val="000D3234"/>
    <w:rsid w:val="000D329F"/>
    <w:rsid w:val="000D32A9"/>
    <w:rsid w:val="000D331F"/>
    <w:rsid w:val="000D3337"/>
    <w:rsid w:val="000D33B4"/>
    <w:rsid w:val="000D3422"/>
    <w:rsid w:val="000D375D"/>
    <w:rsid w:val="000D3859"/>
    <w:rsid w:val="000D3919"/>
    <w:rsid w:val="000D39BA"/>
    <w:rsid w:val="000D3B39"/>
    <w:rsid w:val="000D3BF7"/>
    <w:rsid w:val="000D3CDE"/>
    <w:rsid w:val="000D3CF6"/>
    <w:rsid w:val="000D3D5E"/>
    <w:rsid w:val="000D3DCC"/>
    <w:rsid w:val="000D3E4A"/>
    <w:rsid w:val="000D3EEE"/>
    <w:rsid w:val="000D3FA3"/>
    <w:rsid w:val="000D3FCB"/>
    <w:rsid w:val="000D408D"/>
    <w:rsid w:val="000D41C8"/>
    <w:rsid w:val="000D4298"/>
    <w:rsid w:val="000D431D"/>
    <w:rsid w:val="000D43A9"/>
    <w:rsid w:val="000D4442"/>
    <w:rsid w:val="000D44A7"/>
    <w:rsid w:val="000D456E"/>
    <w:rsid w:val="000D45B7"/>
    <w:rsid w:val="000D4600"/>
    <w:rsid w:val="000D4636"/>
    <w:rsid w:val="000D477A"/>
    <w:rsid w:val="000D47AD"/>
    <w:rsid w:val="000D4861"/>
    <w:rsid w:val="000D49E9"/>
    <w:rsid w:val="000D4AAA"/>
    <w:rsid w:val="000D4AAE"/>
    <w:rsid w:val="000D4BE0"/>
    <w:rsid w:val="000D4D30"/>
    <w:rsid w:val="000D4DEE"/>
    <w:rsid w:val="000D4F10"/>
    <w:rsid w:val="000D4F21"/>
    <w:rsid w:val="000D5066"/>
    <w:rsid w:val="000D5121"/>
    <w:rsid w:val="000D5132"/>
    <w:rsid w:val="000D52AB"/>
    <w:rsid w:val="000D52C3"/>
    <w:rsid w:val="000D52DE"/>
    <w:rsid w:val="000D532F"/>
    <w:rsid w:val="000D5502"/>
    <w:rsid w:val="000D557D"/>
    <w:rsid w:val="000D5645"/>
    <w:rsid w:val="000D56E6"/>
    <w:rsid w:val="000D572A"/>
    <w:rsid w:val="000D57F7"/>
    <w:rsid w:val="000D5B98"/>
    <w:rsid w:val="000D5C50"/>
    <w:rsid w:val="000D5CE3"/>
    <w:rsid w:val="000D5D01"/>
    <w:rsid w:val="000D5D30"/>
    <w:rsid w:val="000D5E66"/>
    <w:rsid w:val="000D6087"/>
    <w:rsid w:val="000D62B0"/>
    <w:rsid w:val="000D62E6"/>
    <w:rsid w:val="000D635C"/>
    <w:rsid w:val="000D657F"/>
    <w:rsid w:val="000D65A2"/>
    <w:rsid w:val="000D6661"/>
    <w:rsid w:val="000D6701"/>
    <w:rsid w:val="000D6861"/>
    <w:rsid w:val="000D687B"/>
    <w:rsid w:val="000D6909"/>
    <w:rsid w:val="000D6925"/>
    <w:rsid w:val="000D69F8"/>
    <w:rsid w:val="000D6B2C"/>
    <w:rsid w:val="000D6B31"/>
    <w:rsid w:val="000D6BCB"/>
    <w:rsid w:val="000D6BF6"/>
    <w:rsid w:val="000D6CE3"/>
    <w:rsid w:val="000D6D87"/>
    <w:rsid w:val="000D6E73"/>
    <w:rsid w:val="000D6E98"/>
    <w:rsid w:val="000D6EB3"/>
    <w:rsid w:val="000D6ECA"/>
    <w:rsid w:val="000D705E"/>
    <w:rsid w:val="000D70A3"/>
    <w:rsid w:val="000D711A"/>
    <w:rsid w:val="000D7137"/>
    <w:rsid w:val="000D734A"/>
    <w:rsid w:val="000D7374"/>
    <w:rsid w:val="000D739A"/>
    <w:rsid w:val="000D7520"/>
    <w:rsid w:val="000D77D9"/>
    <w:rsid w:val="000D78B3"/>
    <w:rsid w:val="000D78D7"/>
    <w:rsid w:val="000D7904"/>
    <w:rsid w:val="000D7999"/>
    <w:rsid w:val="000D7A11"/>
    <w:rsid w:val="000D7B5E"/>
    <w:rsid w:val="000D7C03"/>
    <w:rsid w:val="000D7C2F"/>
    <w:rsid w:val="000D7DA1"/>
    <w:rsid w:val="000D7DE9"/>
    <w:rsid w:val="000D7F43"/>
    <w:rsid w:val="000D7F53"/>
    <w:rsid w:val="000D7F86"/>
    <w:rsid w:val="000E00A9"/>
    <w:rsid w:val="000E00DF"/>
    <w:rsid w:val="000E011E"/>
    <w:rsid w:val="000E0128"/>
    <w:rsid w:val="000E0207"/>
    <w:rsid w:val="000E02DF"/>
    <w:rsid w:val="000E04AF"/>
    <w:rsid w:val="000E055A"/>
    <w:rsid w:val="000E05AD"/>
    <w:rsid w:val="000E08B4"/>
    <w:rsid w:val="000E09FC"/>
    <w:rsid w:val="000E0AA9"/>
    <w:rsid w:val="000E0ADA"/>
    <w:rsid w:val="000E0B6C"/>
    <w:rsid w:val="000E0BC3"/>
    <w:rsid w:val="000E0BC8"/>
    <w:rsid w:val="000E0BD7"/>
    <w:rsid w:val="000E0C02"/>
    <w:rsid w:val="000E0C0E"/>
    <w:rsid w:val="000E0E06"/>
    <w:rsid w:val="000E0E0A"/>
    <w:rsid w:val="000E0E5D"/>
    <w:rsid w:val="000E0F10"/>
    <w:rsid w:val="000E0FC2"/>
    <w:rsid w:val="000E1103"/>
    <w:rsid w:val="000E1111"/>
    <w:rsid w:val="000E1150"/>
    <w:rsid w:val="000E1208"/>
    <w:rsid w:val="000E13CB"/>
    <w:rsid w:val="000E13EC"/>
    <w:rsid w:val="000E1443"/>
    <w:rsid w:val="000E158F"/>
    <w:rsid w:val="000E1630"/>
    <w:rsid w:val="000E16EC"/>
    <w:rsid w:val="000E181F"/>
    <w:rsid w:val="000E1931"/>
    <w:rsid w:val="000E19C7"/>
    <w:rsid w:val="000E1A3B"/>
    <w:rsid w:val="000E1A63"/>
    <w:rsid w:val="000E1A8C"/>
    <w:rsid w:val="000E1C37"/>
    <w:rsid w:val="000E1CA1"/>
    <w:rsid w:val="000E1D86"/>
    <w:rsid w:val="000E20E7"/>
    <w:rsid w:val="000E2288"/>
    <w:rsid w:val="000E22B1"/>
    <w:rsid w:val="000E231F"/>
    <w:rsid w:val="000E2343"/>
    <w:rsid w:val="000E24F0"/>
    <w:rsid w:val="000E24FB"/>
    <w:rsid w:val="000E24FE"/>
    <w:rsid w:val="000E2545"/>
    <w:rsid w:val="000E2547"/>
    <w:rsid w:val="000E25CC"/>
    <w:rsid w:val="000E25CE"/>
    <w:rsid w:val="000E272E"/>
    <w:rsid w:val="000E280E"/>
    <w:rsid w:val="000E28F0"/>
    <w:rsid w:val="000E290F"/>
    <w:rsid w:val="000E2972"/>
    <w:rsid w:val="000E2AC7"/>
    <w:rsid w:val="000E2AD2"/>
    <w:rsid w:val="000E2AE1"/>
    <w:rsid w:val="000E2BC7"/>
    <w:rsid w:val="000E2CC8"/>
    <w:rsid w:val="000E2CF4"/>
    <w:rsid w:val="000E2D33"/>
    <w:rsid w:val="000E2D7E"/>
    <w:rsid w:val="000E2DB7"/>
    <w:rsid w:val="000E2F15"/>
    <w:rsid w:val="000E3150"/>
    <w:rsid w:val="000E325F"/>
    <w:rsid w:val="000E3645"/>
    <w:rsid w:val="000E36A4"/>
    <w:rsid w:val="000E36D5"/>
    <w:rsid w:val="000E3B52"/>
    <w:rsid w:val="000E3BF9"/>
    <w:rsid w:val="000E3CED"/>
    <w:rsid w:val="000E3E53"/>
    <w:rsid w:val="000E402B"/>
    <w:rsid w:val="000E4058"/>
    <w:rsid w:val="000E4077"/>
    <w:rsid w:val="000E40D7"/>
    <w:rsid w:val="000E4188"/>
    <w:rsid w:val="000E4201"/>
    <w:rsid w:val="000E427A"/>
    <w:rsid w:val="000E4308"/>
    <w:rsid w:val="000E447A"/>
    <w:rsid w:val="000E448C"/>
    <w:rsid w:val="000E44AA"/>
    <w:rsid w:val="000E4541"/>
    <w:rsid w:val="000E45E8"/>
    <w:rsid w:val="000E46FF"/>
    <w:rsid w:val="000E495F"/>
    <w:rsid w:val="000E4960"/>
    <w:rsid w:val="000E49E0"/>
    <w:rsid w:val="000E49E7"/>
    <w:rsid w:val="000E4A84"/>
    <w:rsid w:val="000E4A9B"/>
    <w:rsid w:val="000E4B13"/>
    <w:rsid w:val="000E4B3C"/>
    <w:rsid w:val="000E4C77"/>
    <w:rsid w:val="000E4D8D"/>
    <w:rsid w:val="000E4E99"/>
    <w:rsid w:val="000E4F3A"/>
    <w:rsid w:val="000E4FCA"/>
    <w:rsid w:val="000E501B"/>
    <w:rsid w:val="000E5089"/>
    <w:rsid w:val="000E5171"/>
    <w:rsid w:val="000E5177"/>
    <w:rsid w:val="000E51E3"/>
    <w:rsid w:val="000E5230"/>
    <w:rsid w:val="000E5258"/>
    <w:rsid w:val="000E5390"/>
    <w:rsid w:val="000E539C"/>
    <w:rsid w:val="000E53D6"/>
    <w:rsid w:val="000E546B"/>
    <w:rsid w:val="000E54ED"/>
    <w:rsid w:val="000E5530"/>
    <w:rsid w:val="000E5700"/>
    <w:rsid w:val="000E5714"/>
    <w:rsid w:val="000E574B"/>
    <w:rsid w:val="000E5825"/>
    <w:rsid w:val="000E588F"/>
    <w:rsid w:val="000E5985"/>
    <w:rsid w:val="000E59F3"/>
    <w:rsid w:val="000E5A31"/>
    <w:rsid w:val="000E5A32"/>
    <w:rsid w:val="000E5A3E"/>
    <w:rsid w:val="000E5BAA"/>
    <w:rsid w:val="000E5CC2"/>
    <w:rsid w:val="000E5CD2"/>
    <w:rsid w:val="000E5DA5"/>
    <w:rsid w:val="000E5F02"/>
    <w:rsid w:val="000E6015"/>
    <w:rsid w:val="000E6060"/>
    <w:rsid w:val="000E609B"/>
    <w:rsid w:val="000E6180"/>
    <w:rsid w:val="000E629F"/>
    <w:rsid w:val="000E62D5"/>
    <w:rsid w:val="000E6323"/>
    <w:rsid w:val="000E64C8"/>
    <w:rsid w:val="000E6597"/>
    <w:rsid w:val="000E6799"/>
    <w:rsid w:val="000E6927"/>
    <w:rsid w:val="000E6986"/>
    <w:rsid w:val="000E69C8"/>
    <w:rsid w:val="000E6A25"/>
    <w:rsid w:val="000E6B30"/>
    <w:rsid w:val="000E6B35"/>
    <w:rsid w:val="000E6CA9"/>
    <w:rsid w:val="000E6D1B"/>
    <w:rsid w:val="000E6D58"/>
    <w:rsid w:val="000E6F34"/>
    <w:rsid w:val="000E6F53"/>
    <w:rsid w:val="000E7004"/>
    <w:rsid w:val="000E70A2"/>
    <w:rsid w:val="000E71F8"/>
    <w:rsid w:val="000E722C"/>
    <w:rsid w:val="000E744D"/>
    <w:rsid w:val="000E7604"/>
    <w:rsid w:val="000E761C"/>
    <w:rsid w:val="000E776D"/>
    <w:rsid w:val="000E78A0"/>
    <w:rsid w:val="000E7950"/>
    <w:rsid w:val="000E7AC4"/>
    <w:rsid w:val="000E7BA8"/>
    <w:rsid w:val="000E7BEC"/>
    <w:rsid w:val="000E7C6F"/>
    <w:rsid w:val="000E7CF7"/>
    <w:rsid w:val="000E7D79"/>
    <w:rsid w:val="000E7D89"/>
    <w:rsid w:val="000E7E12"/>
    <w:rsid w:val="000E7FBC"/>
    <w:rsid w:val="000F007E"/>
    <w:rsid w:val="000F008A"/>
    <w:rsid w:val="000F0139"/>
    <w:rsid w:val="000F0161"/>
    <w:rsid w:val="000F0196"/>
    <w:rsid w:val="000F01A0"/>
    <w:rsid w:val="000F0276"/>
    <w:rsid w:val="000F056F"/>
    <w:rsid w:val="000F0575"/>
    <w:rsid w:val="000F05CC"/>
    <w:rsid w:val="000F06D0"/>
    <w:rsid w:val="000F081B"/>
    <w:rsid w:val="000F0A89"/>
    <w:rsid w:val="000F0AB3"/>
    <w:rsid w:val="000F0B46"/>
    <w:rsid w:val="000F0B5B"/>
    <w:rsid w:val="000F0C0A"/>
    <w:rsid w:val="000F0C99"/>
    <w:rsid w:val="000F0CAF"/>
    <w:rsid w:val="000F0F3C"/>
    <w:rsid w:val="000F0F49"/>
    <w:rsid w:val="000F0FCF"/>
    <w:rsid w:val="000F1052"/>
    <w:rsid w:val="000F111E"/>
    <w:rsid w:val="000F1122"/>
    <w:rsid w:val="000F11B6"/>
    <w:rsid w:val="000F1251"/>
    <w:rsid w:val="000F1285"/>
    <w:rsid w:val="000F1395"/>
    <w:rsid w:val="000F13CD"/>
    <w:rsid w:val="000F1527"/>
    <w:rsid w:val="000F15CF"/>
    <w:rsid w:val="000F15E0"/>
    <w:rsid w:val="000F1660"/>
    <w:rsid w:val="000F1681"/>
    <w:rsid w:val="000F16FE"/>
    <w:rsid w:val="000F179E"/>
    <w:rsid w:val="000F17B4"/>
    <w:rsid w:val="000F17CD"/>
    <w:rsid w:val="000F182A"/>
    <w:rsid w:val="000F1979"/>
    <w:rsid w:val="000F19D1"/>
    <w:rsid w:val="000F1B54"/>
    <w:rsid w:val="000F1C8D"/>
    <w:rsid w:val="000F1CA6"/>
    <w:rsid w:val="000F1ED7"/>
    <w:rsid w:val="000F1FEC"/>
    <w:rsid w:val="000F209F"/>
    <w:rsid w:val="000F20AA"/>
    <w:rsid w:val="000F221D"/>
    <w:rsid w:val="000F22EA"/>
    <w:rsid w:val="000F2329"/>
    <w:rsid w:val="000F239A"/>
    <w:rsid w:val="000F23FA"/>
    <w:rsid w:val="000F243F"/>
    <w:rsid w:val="000F26FB"/>
    <w:rsid w:val="000F2727"/>
    <w:rsid w:val="000F27A5"/>
    <w:rsid w:val="000F28B7"/>
    <w:rsid w:val="000F28F3"/>
    <w:rsid w:val="000F2BD6"/>
    <w:rsid w:val="000F2C2F"/>
    <w:rsid w:val="000F2CE2"/>
    <w:rsid w:val="000F2E42"/>
    <w:rsid w:val="000F2F7E"/>
    <w:rsid w:val="000F3110"/>
    <w:rsid w:val="000F316C"/>
    <w:rsid w:val="000F31B8"/>
    <w:rsid w:val="000F31DB"/>
    <w:rsid w:val="000F3320"/>
    <w:rsid w:val="000F3396"/>
    <w:rsid w:val="000F3407"/>
    <w:rsid w:val="000F340B"/>
    <w:rsid w:val="000F363D"/>
    <w:rsid w:val="000F3697"/>
    <w:rsid w:val="000F36F7"/>
    <w:rsid w:val="000F370B"/>
    <w:rsid w:val="000F373A"/>
    <w:rsid w:val="000F378A"/>
    <w:rsid w:val="000F379A"/>
    <w:rsid w:val="000F37A8"/>
    <w:rsid w:val="000F37B0"/>
    <w:rsid w:val="000F38C9"/>
    <w:rsid w:val="000F395C"/>
    <w:rsid w:val="000F3A0A"/>
    <w:rsid w:val="000F3A8B"/>
    <w:rsid w:val="000F3AB7"/>
    <w:rsid w:val="000F3BE0"/>
    <w:rsid w:val="000F3C74"/>
    <w:rsid w:val="000F3E1E"/>
    <w:rsid w:val="000F3E4A"/>
    <w:rsid w:val="000F3E4C"/>
    <w:rsid w:val="000F3E54"/>
    <w:rsid w:val="000F3ED8"/>
    <w:rsid w:val="000F3F4D"/>
    <w:rsid w:val="000F3F97"/>
    <w:rsid w:val="000F4116"/>
    <w:rsid w:val="000F418E"/>
    <w:rsid w:val="000F421C"/>
    <w:rsid w:val="000F4245"/>
    <w:rsid w:val="000F42B8"/>
    <w:rsid w:val="000F452A"/>
    <w:rsid w:val="000F46AD"/>
    <w:rsid w:val="000F46C8"/>
    <w:rsid w:val="000F47BA"/>
    <w:rsid w:val="000F487F"/>
    <w:rsid w:val="000F48A5"/>
    <w:rsid w:val="000F492E"/>
    <w:rsid w:val="000F4998"/>
    <w:rsid w:val="000F49A1"/>
    <w:rsid w:val="000F49C0"/>
    <w:rsid w:val="000F4A0D"/>
    <w:rsid w:val="000F4A46"/>
    <w:rsid w:val="000F4B54"/>
    <w:rsid w:val="000F4BBB"/>
    <w:rsid w:val="000F4BED"/>
    <w:rsid w:val="000F4CCF"/>
    <w:rsid w:val="000F4E39"/>
    <w:rsid w:val="000F4F0B"/>
    <w:rsid w:val="000F4F25"/>
    <w:rsid w:val="000F5005"/>
    <w:rsid w:val="000F50CB"/>
    <w:rsid w:val="000F51BA"/>
    <w:rsid w:val="000F52A1"/>
    <w:rsid w:val="000F5366"/>
    <w:rsid w:val="000F5399"/>
    <w:rsid w:val="000F53E0"/>
    <w:rsid w:val="000F54AE"/>
    <w:rsid w:val="000F54EC"/>
    <w:rsid w:val="000F550A"/>
    <w:rsid w:val="000F571A"/>
    <w:rsid w:val="000F581A"/>
    <w:rsid w:val="000F592D"/>
    <w:rsid w:val="000F59BF"/>
    <w:rsid w:val="000F5AB6"/>
    <w:rsid w:val="000F5B09"/>
    <w:rsid w:val="000F5D0B"/>
    <w:rsid w:val="000F5DA5"/>
    <w:rsid w:val="000F5EB0"/>
    <w:rsid w:val="000F5F6E"/>
    <w:rsid w:val="000F5FB3"/>
    <w:rsid w:val="000F5FDF"/>
    <w:rsid w:val="000F6001"/>
    <w:rsid w:val="000F6068"/>
    <w:rsid w:val="000F6219"/>
    <w:rsid w:val="000F62CE"/>
    <w:rsid w:val="000F633B"/>
    <w:rsid w:val="000F634B"/>
    <w:rsid w:val="000F6436"/>
    <w:rsid w:val="000F6453"/>
    <w:rsid w:val="000F668A"/>
    <w:rsid w:val="000F6758"/>
    <w:rsid w:val="000F684B"/>
    <w:rsid w:val="000F68B1"/>
    <w:rsid w:val="000F69AC"/>
    <w:rsid w:val="000F6ABD"/>
    <w:rsid w:val="000F6AE6"/>
    <w:rsid w:val="000F6BB7"/>
    <w:rsid w:val="000F6CCA"/>
    <w:rsid w:val="000F6CD1"/>
    <w:rsid w:val="000F6E17"/>
    <w:rsid w:val="000F6EE6"/>
    <w:rsid w:val="000F703D"/>
    <w:rsid w:val="000F7061"/>
    <w:rsid w:val="000F7278"/>
    <w:rsid w:val="000F72C2"/>
    <w:rsid w:val="000F73B6"/>
    <w:rsid w:val="000F7459"/>
    <w:rsid w:val="000F7462"/>
    <w:rsid w:val="000F7483"/>
    <w:rsid w:val="000F7539"/>
    <w:rsid w:val="000F7AB7"/>
    <w:rsid w:val="000F7B06"/>
    <w:rsid w:val="000F7B9D"/>
    <w:rsid w:val="000F7BE8"/>
    <w:rsid w:val="000F7C8A"/>
    <w:rsid w:val="0010006B"/>
    <w:rsid w:val="0010009E"/>
    <w:rsid w:val="001000C2"/>
    <w:rsid w:val="0010023B"/>
    <w:rsid w:val="00100286"/>
    <w:rsid w:val="001002A2"/>
    <w:rsid w:val="00100339"/>
    <w:rsid w:val="00100420"/>
    <w:rsid w:val="00100705"/>
    <w:rsid w:val="00100715"/>
    <w:rsid w:val="001007DD"/>
    <w:rsid w:val="001008BC"/>
    <w:rsid w:val="0010090E"/>
    <w:rsid w:val="00100A62"/>
    <w:rsid w:val="00100A80"/>
    <w:rsid w:val="00100B49"/>
    <w:rsid w:val="00100C18"/>
    <w:rsid w:val="00100E2B"/>
    <w:rsid w:val="00100EA9"/>
    <w:rsid w:val="00100EEE"/>
    <w:rsid w:val="00100F2B"/>
    <w:rsid w:val="00100F83"/>
    <w:rsid w:val="00100FD2"/>
    <w:rsid w:val="0010105F"/>
    <w:rsid w:val="001010F5"/>
    <w:rsid w:val="00101122"/>
    <w:rsid w:val="001011B1"/>
    <w:rsid w:val="00101356"/>
    <w:rsid w:val="00101444"/>
    <w:rsid w:val="00101503"/>
    <w:rsid w:val="0010155A"/>
    <w:rsid w:val="001015C9"/>
    <w:rsid w:val="001017E1"/>
    <w:rsid w:val="00101944"/>
    <w:rsid w:val="001019C8"/>
    <w:rsid w:val="00101AB3"/>
    <w:rsid w:val="00101B26"/>
    <w:rsid w:val="00101B66"/>
    <w:rsid w:val="00101B93"/>
    <w:rsid w:val="00101CB6"/>
    <w:rsid w:val="00101D19"/>
    <w:rsid w:val="00101D4C"/>
    <w:rsid w:val="00101DC4"/>
    <w:rsid w:val="00101DCD"/>
    <w:rsid w:val="00101DE8"/>
    <w:rsid w:val="00101EC6"/>
    <w:rsid w:val="00101F85"/>
    <w:rsid w:val="0010204C"/>
    <w:rsid w:val="00102185"/>
    <w:rsid w:val="00102248"/>
    <w:rsid w:val="00102405"/>
    <w:rsid w:val="00102511"/>
    <w:rsid w:val="001025DA"/>
    <w:rsid w:val="00102621"/>
    <w:rsid w:val="0010268B"/>
    <w:rsid w:val="001026E5"/>
    <w:rsid w:val="00102776"/>
    <w:rsid w:val="00102813"/>
    <w:rsid w:val="00102854"/>
    <w:rsid w:val="00102951"/>
    <w:rsid w:val="001029B4"/>
    <w:rsid w:val="001029DD"/>
    <w:rsid w:val="00102A3B"/>
    <w:rsid w:val="00102AC5"/>
    <w:rsid w:val="00102B9B"/>
    <w:rsid w:val="00102C8A"/>
    <w:rsid w:val="00102CC5"/>
    <w:rsid w:val="00102CE8"/>
    <w:rsid w:val="00102D6F"/>
    <w:rsid w:val="00102DB7"/>
    <w:rsid w:val="00102DE7"/>
    <w:rsid w:val="00102F3E"/>
    <w:rsid w:val="00103144"/>
    <w:rsid w:val="001031AB"/>
    <w:rsid w:val="00103230"/>
    <w:rsid w:val="00103253"/>
    <w:rsid w:val="0010325D"/>
    <w:rsid w:val="00103285"/>
    <w:rsid w:val="0010331B"/>
    <w:rsid w:val="00103496"/>
    <w:rsid w:val="00103605"/>
    <w:rsid w:val="0010372F"/>
    <w:rsid w:val="001037C3"/>
    <w:rsid w:val="00103800"/>
    <w:rsid w:val="0010390A"/>
    <w:rsid w:val="001039F2"/>
    <w:rsid w:val="00103A54"/>
    <w:rsid w:val="00103B1A"/>
    <w:rsid w:val="00103B9B"/>
    <w:rsid w:val="00103DEE"/>
    <w:rsid w:val="0010408F"/>
    <w:rsid w:val="00104143"/>
    <w:rsid w:val="0010431B"/>
    <w:rsid w:val="0010431C"/>
    <w:rsid w:val="00104559"/>
    <w:rsid w:val="00104594"/>
    <w:rsid w:val="00104685"/>
    <w:rsid w:val="0010472A"/>
    <w:rsid w:val="00104744"/>
    <w:rsid w:val="00104784"/>
    <w:rsid w:val="0010493F"/>
    <w:rsid w:val="00104948"/>
    <w:rsid w:val="001049A8"/>
    <w:rsid w:val="00104AD3"/>
    <w:rsid w:val="00104ADF"/>
    <w:rsid w:val="00104AE1"/>
    <w:rsid w:val="00104B7F"/>
    <w:rsid w:val="00104CA8"/>
    <w:rsid w:val="00104CC2"/>
    <w:rsid w:val="00104CEE"/>
    <w:rsid w:val="00104D0F"/>
    <w:rsid w:val="00104D5A"/>
    <w:rsid w:val="001051C8"/>
    <w:rsid w:val="001051CB"/>
    <w:rsid w:val="001051DF"/>
    <w:rsid w:val="00105358"/>
    <w:rsid w:val="00105502"/>
    <w:rsid w:val="0010552D"/>
    <w:rsid w:val="001055C0"/>
    <w:rsid w:val="00105622"/>
    <w:rsid w:val="0010565E"/>
    <w:rsid w:val="001056ED"/>
    <w:rsid w:val="0010574C"/>
    <w:rsid w:val="00105806"/>
    <w:rsid w:val="00105810"/>
    <w:rsid w:val="0010599E"/>
    <w:rsid w:val="00105A10"/>
    <w:rsid w:val="00105A2F"/>
    <w:rsid w:val="00105A40"/>
    <w:rsid w:val="00105BA4"/>
    <w:rsid w:val="00105C22"/>
    <w:rsid w:val="00105C91"/>
    <w:rsid w:val="00105D15"/>
    <w:rsid w:val="00105D32"/>
    <w:rsid w:val="00105D50"/>
    <w:rsid w:val="00105EEF"/>
    <w:rsid w:val="00105FB2"/>
    <w:rsid w:val="00106066"/>
    <w:rsid w:val="0010606F"/>
    <w:rsid w:val="001060FC"/>
    <w:rsid w:val="00106154"/>
    <w:rsid w:val="00106161"/>
    <w:rsid w:val="0010619C"/>
    <w:rsid w:val="0010627D"/>
    <w:rsid w:val="00106421"/>
    <w:rsid w:val="00106630"/>
    <w:rsid w:val="001066BC"/>
    <w:rsid w:val="001066C3"/>
    <w:rsid w:val="0010670B"/>
    <w:rsid w:val="0010671E"/>
    <w:rsid w:val="0010676F"/>
    <w:rsid w:val="001067C9"/>
    <w:rsid w:val="00106858"/>
    <w:rsid w:val="001068C7"/>
    <w:rsid w:val="0010693B"/>
    <w:rsid w:val="00106A21"/>
    <w:rsid w:val="00106AF7"/>
    <w:rsid w:val="00106BE2"/>
    <w:rsid w:val="00106C2D"/>
    <w:rsid w:val="00106C98"/>
    <w:rsid w:val="00106CB0"/>
    <w:rsid w:val="00106D58"/>
    <w:rsid w:val="00106E39"/>
    <w:rsid w:val="00106E82"/>
    <w:rsid w:val="00106EF0"/>
    <w:rsid w:val="00106F23"/>
    <w:rsid w:val="00106FE6"/>
    <w:rsid w:val="0010703A"/>
    <w:rsid w:val="0010704D"/>
    <w:rsid w:val="00107094"/>
    <w:rsid w:val="001070C0"/>
    <w:rsid w:val="001070CE"/>
    <w:rsid w:val="001071E8"/>
    <w:rsid w:val="001072DF"/>
    <w:rsid w:val="001074E0"/>
    <w:rsid w:val="0010760C"/>
    <w:rsid w:val="00107724"/>
    <w:rsid w:val="00107744"/>
    <w:rsid w:val="001079F4"/>
    <w:rsid w:val="00107A90"/>
    <w:rsid w:val="00107AB1"/>
    <w:rsid w:val="00107BE0"/>
    <w:rsid w:val="00107C85"/>
    <w:rsid w:val="00107DD3"/>
    <w:rsid w:val="00107E00"/>
    <w:rsid w:val="0011014C"/>
    <w:rsid w:val="00110210"/>
    <w:rsid w:val="00110547"/>
    <w:rsid w:val="001105C5"/>
    <w:rsid w:val="001105F6"/>
    <w:rsid w:val="001106D9"/>
    <w:rsid w:val="001107AA"/>
    <w:rsid w:val="00110908"/>
    <w:rsid w:val="00110912"/>
    <w:rsid w:val="0011093F"/>
    <w:rsid w:val="001109E1"/>
    <w:rsid w:val="00110BCD"/>
    <w:rsid w:val="00110D17"/>
    <w:rsid w:val="00110D75"/>
    <w:rsid w:val="00110E01"/>
    <w:rsid w:val="00110F99"/>
    <w:rsid w:val="00110FA0"/>
    <w:rsid w:val="0011102B"/>
    <w:rsid w:val="00111126"/>
    <w:rsid w:val="00111370"/>
    <w:rsid w:val="001115C1"/>
    <w:rsid w:val="001115E7"/>
    <w:rsid w:val="00111611"/>
    <w:rsid w:val="0011164E"/>
    <w:rsid w:val="0011166C"/>
    <w:rsid w:val="001116BE"/>
    <w:rsid w:val="0011181F"/>
    <w:rsid w:val="00111887"/>
    <w:rsid w:val="001118F0"/>
    <w:rsid w:val="001119AC"/>
    <w:rsid w:val="00111B00"/>
    <w:rsid w:val="00111C32"/>
    <w:rsid w:val="00111C94"/>
    <w:rsid w:val="00111CE1"/>
    <w:rsid w:val="00111D85"/>
    <w:rsid w:val="00111D9F"/>
    <w:rsid w:val="00111E8F"/>
    <w:rsid w:val="00111E9A"/>
    <w:rsid w:val="00111F45"/>
    <w:rsid w:val="00111F91"/>
    <w:rsid w:val="00112196"/>
    <w:rsid w:val="001122A3"/>
    <w:rsid w:val="00112391"/>
    <w:rsid w:val="001123FC"/>
    <w:rsid w:val="00112470"/>
    <w:rsid w:val="0011248D"/>
    <w:rsid w:val="00112520"/>
    <w:rsid w:val="00112598"/>
    <w:rsid w:val="0011260A"/>
    <w:rsid w:val="00112661"/>
    <w:rsid w:val="001126DE"/>
    <w:rsid w:val="0011278E"/>
    <w:rsid w:val="00112801"/>
    <w:rsid w:val="0011286C"/>
    <w:rsid w:val="00112931"/>
    <w:rsid w:val="00112A51"/>
    <w:rsid w:val="00112A76"/>
    <w:rsid w:val="00112A9D"/>
    <w:rsid w:val="00112BAE"/>
    <w:rsid w:val="00112BDC"/>
    <w:rsid w:val="00112BF1"/>
    <w:rsid w:val="00112C32"/>
    <w:rsid w:val="00112C42"/>
    <w:rsid w:val="00112C67"/>
    <w:rsid w:val="00112C6F"/>
    <w:rsid w:val="00112C87"/>
    <w:rsid w:val="00112DCB"/>
    <w:rsid w:val="00112E3F"/>
    <w:rsid w:val="00112E5E"/>
    <w:rsid w:val="00112FCB"/>
    <w:rsid w:val="00112FDB"/>
    <w:rsid w:val="001130DD"/>
    <w:rsid w:val="00113101"/>
    <w:rsid w:val="0011312B"/>
    <w:rsid w:val="0011314C"/>
    <w:rsid w:val="00113150"/>
    <w:rsid w:val="001131CD"/>
    <w:rsid w:val="00113243"/>
    <w:rsid w:val="001132A1"/>
    <w:rsid w:val="001132DA"/>
    <w:rsid w:val="001132F9"/>
    <w:rsid w:val="00113317"/>
    <w:rsid w:val="00113328"/>
    <w:rsid w:val="001134AE"/>
    <w:rsid w:val="0011355D"/>
    <w:rsid w:val="0011360E"/>
    <w:rsid w:val="001136D5"/>
    <w:rsid w:val="00113762"/>
    <w:rsid w:val="001137B7"/>
    <w:rsid w:val="00113AA1"/>
    <w:rsid w:val="00113B6D"/>
    <w:rsid w:val="00113BEB"/>
    <w:rsid w:val="00113E92"/>
    <w:rsid w:val="00113EE0"/>
    <w:rsid w:val="00113F14"/>
    <w:rsid w:val="00113FEB"/>
    <w:rsid w:val="00114003"/>
    <w:rsid w:val="0011413B"/>
    <w:rsid w:val="00114383"/>
    <w:rsid w:val="001143E6"/>
    <w:rsid w:val="001144C1"/>
    <w:rsid w:val="00114644"/>
    <w:rsid w:val="00114662"/>
    <w:rsid w:val="001146EC"/>
    <w:rsid w:val="00114702"/>
    <w:rsid w:val="0011472F"/>
    <w:rsid w:val="00114741"/>
    <w:rsid w:val="00114813"/>
    <w:rsid w:val="00114945"/>
    <w:rsid w:val="001149EF"/>
    <w:rsid w:val="00114A3A"/>
    <w:rsid w:val="00114A78"/>
    <w:rsid w:val="00114B2A"/>
    <w:rsid w:val="00114B47"/>
    <w:rsid w:val="00114B84"/>
    <w:rsid w:val="00114C2C"/>
    <w:rsid w:val="00114DCE"/>
    <w:rsid w:val="00114F00"/>
    <w:rsid w:val="00114F15"/>
    <w:rsid w:val="0011501A"/>
    <w:rsid w:val="00115345"/>
    <w:rsid w:val="00115676"/>
    <w:rsid w:val="00115961"/>
    <w:rsid w:val="00115A52"/>
    <w:rsid w:val="00115B77"/>
    <w:rsid w:val="00115BAC"/>
    <w:rsid w:val="00115BE9"/>
    <w:rsid w:val="00115CE0"/>
    <w:rsid w:val="00115DA8"/>
    <w:rsid w:val="00115ECC"/>
    <w:rsid w:val="00115EEE"/>
    <w:rsid w:val="00115F0A"/>
    <w:rsid w:val="00115F4C"/>
    <w:rsid w:val="00115FDC"/>
    <w:rsid w:val="001163AF"/>
    <w:rsid w:val="001164B3"/>
    <w:rsid w:val="001165DA"/>
    <w:rsid w:val="0011677E"/>
    <w:rsid w:val="001168CB"/>
    <w:rsid w:val="00116B38"/>
    <w:rsid w:val="00116BDF"/>
    <w:rsid w:val="00116DAA"/>
    <w:rsid w:val="00116DCE"/>
    <w:rsid w:val="00116E14"/>
    <w:rsid w:val="00116E1F"/>
    <w:rsid w:val="00116EE9"/>
    <w:rsid w:val="00116EF4"/>
    <w:rsid w:val="00116FDB"/>
    <w:rsid w:val="001170C1"/>
    <w:rsid w:val="0011714F"/>
    <w:rsid w:val="0011715E"/>
    <w:rsid w:val="001173B1"/>
    <w:rsid w:val="00117417"/>
    <w:rsid w:val="0011749D"/>
    <w:rsid w:val="00117559"/>
    <w:rsid w:val="00117578"/>
    <w:rsid w:val="001176DD"/>
    <w:rsid w:val="001177D0"/>
    <w:rsid w:val="00117B58"/>
    <w:rsid w:val="00117BC3"/>
    <w:rsid w:val="00117C28"/>
    <w:rsid w:val="00117D4F"/>
    <w:rsid w:val="00117ED1"/>
    <w:rsid w:val="00117F35"/>
    <w:rsid w:val="00117F3A"/>
    <w:rsid w:val="00120074"/>
    <w:rsid w:val="0012012F"/>
    <w:rsid w:val="001201B0"/>
    <w:rsid w:val="001201EE"/>
    <w:rsid w:val="001201FF"/>
    <w:rsid w:val="00120296"/>
    <w:rsid w:val="00120452"/>
    <w:rsid w:val="001204D2"/>
    <w:rsid w:val="00120580"/>
    <w:rsid w:val="00120638"/>
    <w:rsid w:val="001206C9"/>
    <w:rsid w:val="001208E2"/>
    <w:rsid w:val="00120921"/>
    <w:rsid w:val="0012097D"/>
    <w:rsid w:val="001209F4"/>
    <w:rsid w:val="00120A06"/>
    <w:rsid w:val="00120AFA"/>
    <w:rsid w:val="00120B1F"/>
    <w:rsid w:val="00120BD6"/>
    <w:rsid w:val="00120C09"/>
    <w:rsid w:val="00120C1F"/>
    <w:rsid w:val="00120D88"/>
    <w:rsid w:val="00120EE4"/>
    <w:rsid w:val="00120FA0"/>
    <w:rsid w:val="00120FFA"/>
    <w:rsid w:val="00121021"/>
    <w:rsid w:val="00121109"/>
    <w:rsid w:val="0012142D"/>
    <w:rsid w:val="00121491"/>
    <w:rsid w:val="001217E3"/>
    <w:rsid w:val="00121831"/>
    <w:rsid w:val="00121861"/>
    <w:rsid w:val="00121949"/>
    <w:rsid w:val="0012196A"/>
    <w:rsid w:val="001219AC"/>
    <w:rsid w:val="00121B56"/>
    <w:rsid w:val="00121CAF"/>
    <w:rsid w:val="00121CBA"/>
    <w:rsid w:val="00121CE9"/>
    <w:rsid w:val="00121FF2"/>
    <w:rsid w:val="0012228D"/>
    <w:rsid w:val="001222B5"/>
    <w:rsid w:val="001222E8"/>
    <w:rsid w:val="0012234F"/>
    <w:rsid w:val="00122354"/>
    <w:rsid w:val="001223F1"/>
    <w:rsid w:val="0012249F"/>
    <w:rsid w:val="001225AB"/>
    <w:rsid w:val="001225E8"/>
    <w:rsid w:val="001226C1"/>
    <w:rsid w:val="00122783"/>
    <w:rsid w:val="001227B3"/>
    <w:rsid w:val="00122808"/>
    <w:rsid w:val="00122845"/>
    <w:rsid w:val="00122940"/>
    <w:rsid w:val="00122944"/>
    <w:rsid w:val="00122999"/>
    <w:rsid w:val="001229D3"/>
    <w:rsid w:val="00122AA4"/>
    <w:rsid w:val="00122C21"/>
    <w:rsid w:val="00122CB0"/>
    <w:rsid w:val="00122CF0"/>
    <w:rsid w:val="00122D27"/>
    <w:rsid w:val="00122DCE"/>
    <w:rsid w:val="00122F28"/>
    <w:rsid w:val="00122FBB"/>
    <w:rsid w:val="00122FE6"/>
    <w:rsid w:val="00123013"/>
    <w:rsid w:val="00123054"/>
    <w:rsid w:val="0012321A"/>
    <w:rsid w:val="00123242"/>
    <w:rsid w:val="0012329E"/>
    <w:rsid w:val="001232E1"/>
    <w:rsid w:val="001232F8"/>
    <w:rsid w:val="001233DF"/>
    <w:rsid w:val="0012354F"/>
    <w:rsid w:val="001235A4"/>
    <w:rsid w:val="0012360F"/>
    <w:rsid w:val="00123628"/>
    <w:rsid w:val="0012364B"/>
    <w:rsid w:val="001236C7"/>
    <w:rsid w:val="00123878"/>
    <w:rsid w:val="00123933"/>
    <w:rsid w:val="00123954"/>
    <w:rsid w:val="00123AA1"/>
    <w:rsid w:val="00123AF3"/>
    <w:rsid w:val="00123C68"/>
    <w:rsid w:val="00123D25"/>
    <w:rsid w:val="00123D35"/>
    <w:rsid w:val="00123D55"/>
    <w:rsid w:val="00123D5F"/>
    <w:rsid w:val="00123D9B"/>
    <w:rsid w:val="00123DDD"/>
    <w:rsid w:val="00123E1E"/>
    <w:rsid w:val="00123E56"/>
    <w:rsid w:val="00124045"/>
    <w:rsid w:val="001240AD"/>
    <w:rsid w:val="00124108"/>
    <w:rsid w:val="00124203"/>
    <w:rsid w:val="00124252"/>
    <w:rsid w:val="0012427B"/>
    <w:rsid w:val="001242B9"/>
    <w:rsid w:val="00124354"/>
    <w:rsid w:val="0012444D"/>
    <w:rsid w:val="00124544"/>
    <w:rsid w:val="0012462C"/>
    <w:rsid w:val="00124746"/>
    <w:rsid w:val="001247CD"/>
    <w:rsid w:val="001247E3"/>
    <w:rsid w:val="00124818"/>
    <w:rsid w:val="00124915"/>
    <w:rsid w:val="00124948"/>
    <w:rsid w:val="001249BB"/>
    <w:rsid w:val="001249C6"/>
    <w:rsid w:val="001249E9"/>
    <w:rsid w:val="00124B09"/>
    <w:rsid w:val="00124B58"/>
    <w:rsid w:val="00124B9B"/>
    <w:rsid w:val="00124C6F"/>
    <w:rsid w:val="00124D41"/>
    <w:rsid w:val="00124E05"/>
    <w:rsid w:val="00124F07"/>
    <w:rsid w:val="0012504C"/>
    <w:rsid w:val="00125190"/>
    <w:rsid w:val="0012528F"/>
    <w:rsid w:val="00125375"/>
    <w:rsid w:val="00125446"/>
    <w:rsid w:val="001254C9"/>
    <w:rsid w:val="00125550"/>
    <w:rsid w:val="0012558F"/>
    <w:rsid w:val="00125676"/>
    <w:rsid w:val="0012580F"/>
    <w:rsid w:val="001258B8"/>
    <w:rsid w:val="001258B9"/>
    <w:rsid w:val="00125927"/>
    <w:rsid w:val="00125992"/>
    <w:rsid w:val="00125B47"/>
    <w:rsid w:val="00125B7E"/>
    <w:rsid w:val="00125B97"/>
    <w:rsid w:val="00125D94"/>
    <w:rsid w:val="00125E2A"/>
    <w:rsid w:val="0012609F"/>
    <w:rsid w:val="00126155"/>
    <w:rsid w:val="001261DE"/>
    <w:rsid w:val="001262A5"/>
    <w:rsid w:val="001262B0"/>
    <w:rsid w:val="001262B2"/>
    <w:rsid w:val="0012631A"/>
    <w:rsid w:val="00126325"/>
    <w:rsid w:val="0012635D"/>
    <w:rsid w:val="00126411"/>
    <w:rsid w:val="00126496"/>
    <w:rsid w:val="001264EE"/>
    <w:rsid w:val="00126564"/>
    <w:rsid w:val="00126605"/>
    <w:rsid w:val="00126607"/>
    <w:rsid w:val="001266BA"/>
    <w:rsid w:val="0012684B"/>
    <w:rsid w:val="001269B7"/>
    <w:rsid w:val="001269F0"/>
    <w:rsid w:val="00126AC2"/>
    <w:rsid w:val="00126AF2"/>
    <w:rsid w:val="00126B29"/>
    <w:rsid w:val="00126B2E"/>
    <w:rsid w:val="00126BB6"/>
    <w:rsid w:val="00126D39"/>
    <w:rsid w:val="00126D77"/>
    <w:rsid w:val="00126E50"/>
    <w:rsid w:val="001271F5"/>
    <w:rsid w:val="00127232"/>
    <w:rsid w:val="001273A7"/>
    <w:rsid w:val="001273E4"/>
    <w:rsid w:val="001274FB"/>
    <w:rsid w:val="00127585"/>
    <w:rsid w:val="00127588"/>
    <w:rsid w:val="001277BE"/>
    <w:rsid w:val="0012782A"/>
    <w:rsid w:val="001278D1"/>
    <w:rsid w:val="001278D6"/>
    <w:rsid w:val="00127918"/>
    <w:rsid w:val="001279A9"/>
    <w:rsid w:val="001279FC"/>
    <w:rsid w:val="00127A15"/>
    <w:rsid w:val="00127A53"/>
    <w:rsid w:val="00127B0E"/>
    <w:rsid w:val="00127B2D"/>
    <w:rsid w:val="00127DB8"/>
    <w:rsid w:val="00127E47"/>
    <w:rsid w:val="00127E74"/>
    <w:rsid w:val="00127EDD"/>
    <w:rsid w:val="00127F8F"/>
    <w:rsid w:val="001300A0"/>
    <w:rsid w:val="001300C6"/>
    <w:rsid w:val="001300DA"/>
    <w:rsid w:val="0013011A"/>
    <w:rsid w:val="0013012B"/>
    <w:rsid w:val="0013013C"/>
    <w:rsid w:val="001301A7"/>
    <w:rsid w:val="0013025B"/>
    <w:rsid w:val="001302F7"/>
    <w:rsid w:val="0013035D"/>
    <w:rsid w:val="001303E2"/>
    <w:rsid w:val="00130426"/>
    <w:rsid w:val="00130467"/>
    <w:rsid w:val="00130617"/>
    <w:rsid w:val="00130735"/>
    <w:rsid w:val="00130777"/>
    <w:rsid w:val="001308AC"/>
    <w:rsid w:val="001308AD"/>
    <w:rsid w:val="001309CD"/>
    <w:rsid w:val="001309D3"/>
    <w:rsid w:val="00130A95"/>
    <w:rsid w:val="00130B27"/>
    <w:rsid w:val="00130BEB"/>
    <w:rsid w:val="00130C27"/>
    <w:rsid w:val="00130C6C"/>
    <w:rsid w:val="00130D29"/>
    <w:rsid w:val="00130D4E"/>
    <w:rsid w:val="00130D65"/>
    <w:rsid w:val="00130E48"/>
    <w:rsid w:val="00130E4C"/>
    <w:rsid w:val="00130FE9"/>
    <w:rsid w:val="0013106B"/>
    <w:rsid w:val="00131155"/>
    <w:rsid w:val="001312F0"/>
    <w:rsid w:val="0013132C"/>
    <w:rsid w:val="0013133D"/>
    <w:rsid w:val="00131451"/>
    <w:rsid w:val="00131474"/>
    <w:rsid w:val="001314B3"/>
    <w:rsid w:val="001316C9"/>
    <w:rsid w:val="00131731"/>
    <w:rsid w:val="0013179D"/>
    <w:rsid w:val="00131894"/>
    <w:rsid w:val="001319B7"/>
    <w:rsid w:val="00131A16"/>
    <w:rsid w:val="00131AE9"/>
    <w:rsid w:val="00131AFB"/>
    <w:rsid w:val="00131C4B"/>
    <w:rsid w:val="00131C4C"/>
    <w:rsid w:val="00131CD0"/>
    <w:rsid w:val="00131D9D"/>
    <w:rsid w:val="00131EBE"/>
    <w:rsid w:val="00131F69"/>
    <w:rsid w:val="0013203E"/>
    <w:rsid w:val="00132084"/>
    <w:rsid w:val="0013217F"/>
    <w:rsid w:val="0013219F"/>
    <w:rsid w:val="001321C1"/>
    <w:rsid w:val="001322EB"/>
    <w:rsid w:val="0013238B"/>
    <w:rsid w:val="0013245C"/>
    <w:rsid w:val="00132482"/>
    <w:rsid w:val="00132539"/>
    <w:rsid w:val="001327A5"/>
    <w:rsid w:val="00132939"/>
    <w:rsid w:val="001329E3"/>
    <w:rsid w:val="001329E5"/>
    <w:rsid w:val="00132A17"/>
    <w:rsid w:val="00132A5E"/>
    <w:rsid w:val="00132A78"/>
    <w:rsid w:val="00132A9A"/>
    <w:rsid w:val="00132ABA"/>
    <w:rsid w:val="00132CB7"/>
    <w:rsid w:val="00132CD3"/>
    <w:rsid w:val="00132CF6"/>
    <w:rsid w:val="00132D22"/>
    <w:rsid w:val="00132D59"/>
    <w:rsid w:val="00132E2A"/>
    <w:rsid w:val="00132EC9"/>
    <w:rsid w:val="00132EEA"/>
    <w:rsid w:val="00132F1D"/>
    <w:rsid w:val="00132FB1"/>
    <w:rsid w:val="00133371"/>
    <w:rsid w:val="00133530"/>
    <w:rsid w:val="001335CB"/>
    <w:rsid w:val="00133649"/>
    <w:rsid w:val="00133663"/>
    <w:rsid w:val="001336C7"/>
    <w:rsid w:val="00133795"/>
    <w:rsid w:val="001337FB"/>
    <w:rsid w:val="00133831"/>
    <w:rsid w:val="0013387C"/>
    <w:rsid w:val="001338A6"/>
    <w:rsid w:val="001338C9"/>
    <w:rsid w:val="001339BE"/>
    <w:rsid w:val="00133AB1"/>
    <w:rsid w:val="00133BF1"/>
    <w:rsid w:val="00133D48"/>
    <w:rsid w:val="00133DB1"/>
    <w:rsid w:val="00133E89"/>
    <w:rsid w:val="00133F5D"/>
    <w:rsid w:val="00133F86"/>
    <w:rsid w:val="00133FDE"/>
    <w:rsid w:val="00134210"/>
    <w:rsid w:val="0013424C"/>
    <w:rsid w:val="001342E8"/>
    <w:rsid w:val="001343AB"/>
    <w:rsid w:val="0013447C"/>
    <w:rsid w:val="00134491"/>
    <w:rsid w:val="001344CD"/>
    <w:rsid w:val="0013456D"/>
    <w:rsid w:val="001345C5"/>
    <w:rsid w:val="0013465B"/>
    <w:rsid w:val="00134674"/>
    <w:rsid w:val="001346FF"/>
    <w:rsid w:val="0013471A"/>
    <w:rsid w:val="00134743"/>
    <w:rsid w:val="001347C6"/>
    <w:rsid w:val="001347FA"/>
    <w:rsid w:val="00134808"/>
    <w:rsid w:val="00134865"/>
    <w:rsid w:val="001349C1"/>
    <w:rsid w:val="00134A26"/>
    <w:rsid w:val="00134B6A"/>
    <w:rsid w:val="00134B7E"/>
    <w:rsid w:val="00134B99"/>
    <w:rsid w:val="00134C0A"/>
    <w:rsid w:val="00134C4D"/>
    <w:rsid w:val="00134E9C"/>
    <w:rsid w:val="00134F6D"/>
    <w:rsid w:val="00135072"/>
    <w:rsid w:val="001350CF"/>
    <w:rsid w:val="001352CE"/>
    <w:rsid w:val="00135386"/>
    <w:rsid w:val="00135427"/>
    <w:rsid w:val="00135511"/>
    <w:rsid w:val="00135588"/>
    <w:rsid w:val="0013580B"/>
    <w:rsid w:val="00135939"/>
    <w:rsid w:val="001359A9"/>
    <w:rsid w:val="00135B81"/>
    <w:rsid w:val="00135CAA"/>
    <w:rsid w:val="00135D2C"/>
    <w:rsid w:val="00135E9B"/>
    <w:rsid w:val="00135F03"/>
    <w:rsid w:val="00135F29"/>
    <w:rsid w:val="00135F31"/>
    <w:rsid w:val="001360B1"/>
    <w:rsid w:val="001360D0"/>
    <w:rsid w:val="001360FE"/>
    <w:rsid w:val="00136159"/>
    <w:rsid w:val="001361CF"/>
    <w:rsid w:val="001361F2"/>
    <w:rsid w:val="00136281"/>
    <w:rsid w:val="00136328"/>
    <w:rsid w:val="00136378"/>
    <w:rsid w:val="001363DC"/>
    <w:rsid w:val="001364A3"/>
    <w:rsid w:val="001364C7"/>
    <w:rsid w:val="001364DD"/>
    <w:rsid w:val="001364EF"/>
    <w:rsid w:val="001365EF"/>
    <w:rsid w:val="0013685A"/>
    <w:rsid w:val="0013687F"/>
    <w:rsid w:val="00136A29"/>
    <w:rsid w:val="00136BDC"/>
    <w:rsid w:val="00136C9E"/>
    <w:rsid w:val="00136D2A"/>
    <w:rsid w:val="00136DA7"/>
    <w:rsid w:val="00136EC2"/>
    <w:rsid w:val="00136F2B"/>
    <w:rsid w:val="00136F69"/>
    <w:rsid w:val="00136F7F"/>
    <w:rsid w:val="00137075"/>
    <w:rsid w:val="001372B9"/>
    <w:rsid w:val="00137521"/>
    <w:rsid w:val="0013759E"/>
    <w:rsid w:val="00137627"/>
    <w:rsid w:val="0013765F"/>
    <w:rsid w:val="0013779D"/>
    <w:rsid w:val="001377F9"/>
    <w:rsid w:val="001378A4"/>
    <w:rsid w:val="001378D9"/>
    <w:rsid w:val="00137B48"/>
    <w:rsid w:val="00137B61"/>
    <w:rsid w:val="00137BB2"/>
    <w:rsid w:val="00137BE0"/>
    <w:rsid w:val="00137C3F"/>
    <w:rsid w:val="00137C78"/>
    <w:rsid w:val="00137CC7"/>
    <w:rsid w:val="00137CD6"/>
    <w:rsid w:val="00137D58"/>
    <w:rsid w:val="00137E51"/>
    <w:rsid w:val="00137EDE"/>
    <w:rsid w:val="00137F04"/>
    <w:rsid w:val="00137FE3"/>
    <w:rsid w:val="00140217"/>
    <w:rsid w:val="00140327"/>
    <w:rsid w:val="00140501"/>
    <w:rsid w:val="001406B8"/>
    <w:rsid w:val="001406E4"/>
    <w:rsid w:val="00140877"/>
    <w:rsid w:val="0014091C"/>
    <w:rsid w:val="00140994"/>
    <w:rsid w:val="00140A11"/>
    <w:rsid w:val="00140AF3"/>
    <w:rsid w:val="00140BA1"/>
    <w:rsid w:val="00140BE6"/>
    <w:rsid w:val="00140C43"/>
    <w:rsid w:val="00140CA6"/>
    <w:rsid w:val="00140CA7"/>
    <w:rsid w:val="00140DDB"/>
    <w:rsid w:val="00140DE8"/>
    <w:rsid w:val="00140E2A"/>
    <w:rsid w:val="00140E53"/>
    <w:rsid w:val="00140F0C"/>
    <w:rsid w:val="0014102B"/>
    <w:rsid w:val="0014108B"/>
    <w:rsid w:val="00141127"/>
    <w:rsid w:val="001411C4"/>
    <w:rsid w:val="00141271"/>
    <w:rsid w:val="001412FA"/>
    <w:rsid w:val="001413D2"/>
    <w:rsid w:val="001413D7"/>
    <w:rsid w:val="00141504"/>
    <w:rsid w:val="001415F3"/>
    <w:rsid w:val="0014164B"/>
    <w:rsid w:val="00141662"/>
    <w:rsid w:val="001418BB"/>
    <w:rsid w:val="001418BE"/>
    <w:rsid w:val="001419CA"/>
    <w:rsid w:val="001419E4"/>
    <w:rsid w:val="00141AA2"/>
    <w:rsid w:val="00141AB0"/>
    <w:rsid w:val="00141ADF"/>
    <w:rsid w:val="00141B42"/>
    <w:rsid w:val="00141B69"/>
    <w:rsid w:val="00141C52"/>
    <w:rsid w:val="00141C77"/>
    <w:rsid w:val="00141CFA"/>
    <w:rsid w:val="00141DA9"/>
    <w:rsid w:val="00141DB3"/>
    <w:rsid w:val="00141E05"/>
    <w:rsid w:val="00141E2D"/>
    <w:rsid w:val="00141EE5"/>
    <w:rsid w:val="00141EFE"/>
    <w:rsid w:val="00141FE6"/>
    <w:rsid w:val="00142006"/>
    <w:rsid w:val="00142037"/>
    <w:rsid w:val="0014204D"/>
    <w:rsid w:val="001421EA"/>
    <w:rsid w:val="00142282"/>
    <w:rsid w:val="0014228E"/>
    <w:rsid w:val="00142671"/>
    <w:rsid w:val="00142739"/>
    <w:rsid w:val="0014274C"/>
    <w:rsid w:val="0014277E"/>
    <w:rsid w:val="001428D1"/>
    <w:rsid w:val="001429AD"/>
    <w:rsid w:val="001429B7"/>
    <w:rsid w:val="00142A41"/>
    <w:rsid w:val="00142BB6"/>
    <w:rsid w:val="00142E14"/>
    <w:rsid w:val="00142E53"/>
    <w:rsid w:val="00142EB0"/>
    <w:rsid w:val="00142F55"/>
    <w:rsid w:val="00143140"/>
    <w:rsid w:val="00143328"/>
    <w:rsid w:val="0014333E"/>
    <w:rsid w:val="001433C8"/>
    <w:rsid w:val="001433E8"/>
    <w:rsid w:val="00143597"/>
    <w:rsid w:val="001435CA"/>
    <w:rsid w:val="00143730"/>
    <w:rsid w:val="00143868"/>
    <w:rsid w:val="001438B8"/>
    <w:rsid w:val="001439A8"/>
    <w:rsid w:val="001439F4"/>
    <w:rsid w:val="00143B1F"/>
    <w:rsid w:val="00143BEF"/>
    <w:rsid w:val="00143D22"/>
    <w:rsid w:val="00143D54"/>
    <w:rsid w:val="00143DD9"/>
    <w:rsid w:val="00143DF5"/>
    <w:rsid w:val="00143EA3"/>
    <w:rsid w:val="00144043"/>
    <w:rsid w:val="0014407D"/>
    <w:rsid w:val="001440D6"/>
    <w:rsid w:val="00144116"/>
    <w:rsid w:val="001441D1"/>
    <w:rsid w:val="001441E3"/>
    <w:rsid w:val="00144262"/>
    <w:rsid w:val="001442B3"/>
    <w:rsid w:val="001442CC"/>
    <w:rsid w:val="0014434B"/>
    <w:rsid w:val="001443F9"/>
    <w:rsid w:val="001444AF"/>
    <w:rsid w:val="0014459C"/>
    <w:rsid w:val="001445FE"/>
    <w:rsid w:val="0014498B"/>
    <w:rsid w:val="00144A6F"/>
    <w:rsid w:val="00144AEF"/>
    <w:rsid w:val="00144B10"/>
    <w:rsid w:val="00144C42"/>
    <w:rsid w:val="00145072"/>
    <w:rsid w:val="0014508A"/>
    <w:rsid w:val="0014510D"/>
    <w:rsid w:val="0014515D"/>
    <w:rsid w:val="001452A2"/>
    <w:rsid w:val="00145356"/>
    <w:rsid w:val="00145401"/>
    <w:rsid w:val="0014548A"/>
    <w:rsid w:val="001454BD"/>
    <w:rsid w:val="001454D7"/>
    <w:rsid w:val="001458DD"/>
    <w:rsid w:val="0014597A"/>
    <w:rsid w:val="0014599F"/>
    <w:rsid w:val="001459AC"/>
    <w:rsid w:val="001459AD"/>
    <w:rsid w:val="00145A42"/>
    <w:rsid w:val="00145B26"/>
    <w:rsid w:val="00145B2D"/>
    <w:rsid w:val="00145B2F"/>
    <w:rsid w:val="00145B48"/>
    <w:rsid w:val="00145BEE"/>
    <w:rsid w:val="00145D4D"/>
    <w:rsid w:val="00145D7E"/>
    <w:rsid w:val="00145E75"/>
    <w:rsid w:val="00145EDF"/>
    <w:rsid w:val="00145F8F"/>
    <w:rsid w:val="00145FCA"/>
    <w:rsid w:val="00145FD3"/>
    <w:rsid w:val="00145FE5"/>
    <w:rsid w:val="00146056"/>
    <w:rsid w:val="001461D9"/>
    <w:rsid w:val="00146291"/>
    <w:rsid w:val="00146292"/>
    <w:rsid w:val="00146327"/>
    <w:rsid w:val="001463AA"/>
    <w:rsid w:val="001463E1"/>
    <w:rsid w:val="0014668B"/>
    <w:rsid w:val="001466A7"/>
    <w:rsid w:val="00146836"/>
    <w:rsid w:val="001468BA"/>
    <w:rsid w:val="00146958"/>
    <w:rsid w:val="00146A62"/>
    <w:rsid w:val="00146A9D"/>
    <w:rsid w:val="00146BD8"/>
    <w:rsid w:val="00146C0E"/>
    <w:rsid w:val="00146CDE"/>
    <w:rsid w:val="00146FE5"/>
    <w:rsid w:val="001473B4"/>
    <w:rsid w:val="001475B8"/>
    <w:rsid w:val="001475C4"/>
    <w:rsid w:val="00147609"/>
    <w:rsid w:val="00147681"/>
    <w:rsid w:val="0014771D"/>
    <w:rsid w:val="0014774A"/>
    <w:rsid w:val="00147781"/>
    <w:rsid w:val="001477DD"/>
    <w:rsid w:val="00147852"/>
    <w:rsid w:val="001478D1"/>
    <w:rsid w:val="00147943"/>
    <w:rsid w:val="001479B6"/>
    <w:rsid w:val="00147BC3"/>
    <w:rsid w:val="00147BF7"/>
    <w:rsid w:val="00147C4C"/>
    <w:rsid w:val="00147D51"/>
    <w:rsid w:val="00147D6A"/>
    <w:rsid w:val="00147D9C"/>
    <w:rsid w:val="00150126"/>
    <w:rsid w:val="0015039B"/>
    <w:rsid w:val="00150465"/>
    <w:rsid w:val="00150521"/>
    <w:rsid w:val="0015082A"/>
    <w:rsid w:val="001508BD"/>
    <w:rsid w:val="00150925"/>
    <w:rsid w:val="00150946"/>
    <w:rsid w:val="0015096A"/>
    <w:rsid w:val="00150AD5"/>
    <w:rsid w:val="00150B1C"/>
    <w:rsid w:val="00150B22"/>
    <w:rsid w:val="00150B51"/>
    <w:rsid w:val="00150D6C"/>
    <w:rsid w:val="00150DB0"/>
    <w:rsid w:val="00150E1C"/>
    <w:rsid w:val="0015100F"/>
    <w:rsid w:val="0015101C"/>
    <w:rsid w:val="0015104C"/>
    <w:rsid w:val="0015139C"/>
    <w:rsid w:val="0015140C"/>
    <w:rsid w:val="00151467"/>
    <w:rsid w:val="001514B9"/>
    <w:rsid w:val="00151505"/>
    <w:rsid w:val="0015152A"/>
    <w:rsid w:val="001515D2"/>
    <w:rsid w:val="00151664"/>
    <w:rsid w:val="0015168C"/>
    <w:rsid w:val="00151741"/>
    <w:rsid w:val="001517E2"/>
    <w:rsid w:val="001517EF"/>
    <w:rsid w:val="001519A6"/>
    <w:rsid w:val="00151A24"/>
    <w:rsid w:val="00151BC1"/>
    <w:rsid w:val="00151BC7"/>
    <w:rsid w:val="00151E4D"/>
    <w:rsid w:val="00151F41"/>
    <w:rsid w:val="00152033"/>
    <w:rsid w:val="001520AE"/>
    <w:rsid w:val="001522D8"/>
    <w:rsid w:val="00152314"/>
    <w:rsid w:val="00152495"/>
    <w:rsid w:val="00152564"/>
    <w:rsid w:val="001525A6"/>
    <w:rsid w:val="001526C6"/>
    <w:rsid w:val="00152713"/>
    <w:rsid w:val="00152715"/>
    <w:rsid w:val="00152793"/>
    <w:rsid w:val="001527F8"/>
    <w:rsid w:val="001527FE"/>
    <w:rsid w:val="00152877"/>
    <w:rsid w:val="00152893"/>
    <w:rsid w:val="001528B1"/>
    <w:rsid w:val="001529DE"/>
    <w:rsid w:val="001529ED"/>
    <w:rsid w:val="00152C87"/>
    <w:rsid w:val="00152C93"/>
    <w:rsid w:val="00152E65"/>
    <w:rsid w:val="00152E74"/>
    <w:rsid w:val="00152EC4"/>
    <w:rsid w:val="0015301D"/>
    <w:rsid w:val="0015305A"/>
    <w:rsid w:val="001530A4"/>
    <w:rsid w:val="001530F1"/>
    <w:rsid w:val="00153191"/>
    <w:rsid w:val="0015319D"/>
    <w:rsid w:val="00153288"/>
    <w:rsid w:val="001532F1"/>
    <w:rsid w:val="001533D4"/>
    <w:rsid w:val="0015341D"/>
    <w:rsid w:val="001537D3"/>
    <w:rsid w:val="00153812"/>
    <w:rsid w:val="00153880"/>
    <w:rsid w:val="001538D4"/>
    <w:rsid w:val="00153977"/>
    <w:rsid w:val="00153A57"/>
    <w:rsid w:val="00153C29"/>
    <w:rsid w:val="00153C40"/>
    <w:rsid w:val="00153E29"/>
    <w:rsid w:val="00153FB9"/>
    <w:rsid w:val="00153FC0"/>
    <w:rsid w:val="0015401E"/>
    <w:rsid w:val="001540AB"/>
    <w:rsid w:val="001540CD"/>
    <w:rsid w:val="00154238"/>
    <w:rsid w:val="001542A1"/>
    <w:rsid w:val="0015439E"/>
    <w:rsid w:val="001544BD"/>
    <w:rsid w:val="001547C7"/>
    <w:rsid w:val="001548A2"/>
    <w:rsid w:val="001549AD"/>
    <w:rsid w:val="00154B61"/>
    <w:rsid w:val="00154B6D"/>
    <w:rsid w:val="00154C67"/>
    <w:rsid w:val="00154CD3"/>
    <w:rsid w:val="00154D69"/>
    <w:rsid w:val="00154DA6"/>
    <w:rsid w:val="00154E65"/>
    <w:rsid w:val="00154F5C"/>
    <w:rsid w:val="001550B3"/>
    <w:rsid w:val="0015514E"/>
    <w:rsid w:val="00155157"/>
    <w:rsid w:val="0015530D"/>
    <w:rsid w:val="00155327"/>
    <w:rsid w:val="0015534F"/>
    <w:rsid w:val="001553B3"/>
    <w:rsid w:val="001554C2"/>
    <w:rsid w:val="001555F7"/>
    <w:rsid w:val="00155612"/>
    <w:rsid w:val="0015562E"/>
    <w:rsid w:val="00155798"/>
    <w:rsid w:val="00155871"/>
    <w:rsid w:val="00155879"/>
    <w:rsid w:val="0015594F"/>
    <w:rsid w:val="00155A57"/>
    <w:rsid w:val="00155B6A"/>
    <w:rsid w:val="00155B76"/>
    <w:rsid w:val="00155CA5"/>
    <w:rsid w:val="00155DA3"/>
    <w:rsid w:val="00155DA4"/>
    <w:rsid w:val="00155ECB"/>
    <w:rsid w:val="00155ECE"/>
    <w:rsid w:val="00155F89"/>
    <w:rsid w:val="00155FE2"/>
    <w:rsid w:val="00156044"/>
    <w:rsid w:val="0015609E"/>
    <w:rsid w:val="001560F1"/>
    <w:rsid w:val="00156257"/>
    <w:rsid w:val="00156355"/>
    <w:rsid w:val="00156450"/>
    <w:rsid w:val="0015653D"/>
    <w:rsid w:val="0015655D"/>
    <w:rsid w:val="00156662"/>
    <w:rsid w:val="001566D8"/>
    <w:rsid w:val="0015698E"/>
    <w:rsid w:val="00156995"/>
    <w:rsid w:val="001569C2"/>
    <w:rsid w:val="001569CA"/>
    <w:rsid w:val="00156A17"/>
    <w:rsid w:val="00156C93"/>
    <w:rsid w:val="00156C9C"/>
    <w:rsid w:val="00156D37"/>
    <w:rsid w:val="00156DAE"/>
    <w:rsid w:val="00156F8F"/>
    <w:rsid w:val="00156FD1"/>
    <w:rsid w:val="00157081"/>
    <w:rsid w:val="00157090"/>
    <w:rsid w:val="0015711E"/>
    <w:rsid w:val="001572D4"/>
    <w:rsid w:val="00157379"/>
    <w:rsid w:val="00157442"/>
    <w:rsid w:val="001575EC"/>
    <w:rsid w:val="00157611"/>
    <w:rsid w:val="0015767B"/>
    <w:rsid w:val="001576DD"/>
    <w:rsid w:val="00157730"/>
    <w:rsid w:val="0015789C"/>
    <w:rsid w:val="001578C4"/>
    <w:rsid w:val="001578CB"/>
    <w:rsid w:val="0015795C"/>
    <w:rsid w:val="00157A22"/>
    <w:rsid w:val="00157A4C"/>
    <w:rsid w:val="00157A6E"/>
    <w:rsid w:val="00157B1A"/>
    <w:rsid w:val="00157DAF"/>
    <w:rsid w:val="00157DBA"/>
    <w:rsid w:val="00157DC3"/>
    <w:rsid w:val="00157E5A"/>
    <w:rsid w:val="00157E9D"/>
    <w:rsid w:val="00157F5F"/>
    <w:rsid w:val="00157FCF"/>
    <w:rsid w:val="001600A4"/>
    <w:rsid w:val="001601C2"/>
    <w:rsid w:val="0016028D"/>
    <w:rsid w:val="001602C3"/>
    <w:rsid w:val="001603AF"/>
    <w:rsid w:val="0016045B"/>
    <w:rsid w:val="00160496"/>
    <w:rsid w:val="00160632"/>
    <w:rsid w:val="0016068B"/>
    <w:rsid w:val="0016073D"/>
    <w:rsid w:val="001607F7"/>
    <w:rsid w:val="001608F6"/>
    <w:rsid w:val="00160A77"/>
    <w:rsid w:val="00160AA5"/>
    <w:rsid w:val="00160B12"/>
    <w:rsid w:val="00160D3B"/>
    <w:rsid w:val="00160DAE"/>
    <w:rsid w:val="00160EE0"/>
    <w:rsid w:val="0016101E"/>
    <w:rsid w:val="00161086"/>
    <w:rsid w:val="001610C5"/>
    <w:rsid w:val="0016118B"/>
    <w:rsid w:val="00161206"/>
    <w:rsid w:val="00161256"/>
    <w:rsid w:val="00161267"/>
    <w:rsid w:val="00161289"/>
    <w:rsid w:val="00161357"/>
    <w:rsid w:val="00161476"/>
    <w:rsid w:val="001614AA"/>
    <w:rsid w:val="001615C0"/>
    <w:rsid w:val="0016169F"/>
    <w:rsid w:val="00161806"/>
    <w:rsid w:val="00161885"/>
    <w:rsid w:val="001618DA"/>
    <w:rsid w:val="001618FC"/>
    <w:rsid w:val="00161943"/>
    <w:rsid w:val="00161AFE"/>
    <w:rsid w:val="00161C67"/>
    <w:rsid w:val="00161C95"/>
    <w:rsid w:val="00161CB6"/>
    <w:rsid w:val="00161D85"/>
    <w:rsid w:val="00161F7A"/>
    <w:rsid w:val="00161FA8"/>
    <w:rsid w:val="00161FB0"/>
    <w:rsid w:val="00162085"/>
    <w:rsid w:val="001621A8"/>
    <w:rsid w:val="0016226D"/>
    <w:rsid w:val="00162312"/>
    <w:rsid w:val="00162477"/>
    <w:rsid w:val="0016254B"/>
    <w:rsid w:val="00162589"/>
    <w:rsid w:val="001625C5"/>
    <w:rsid w:val="0016278A"/>
    <w:rsid w:val="0016294C"/>
    <w:rsid w:val="00162AC7"/>
    <w:rsid w:val="00162C76"/>
    <w:rsid w:val="00162D75"/>
    <w:rsid w:val="00162DCE"/>
    <w:rsid w:val="0016302C"/>
    <w:rsid w:val="0016303B"/>
    <w:rsid w:val="00163127"/>
    <w:rsid w:val="001631F0"/>
    <w:rsid w:val="00163259"/>
    <w:rsid w:val="001633BF"/>
    <w:rsid w:val="001633CF"/>
    <w:rsid w:val="0016345D"/>
    <w:rsid w:val="00163568"/>
    <w:rsid w:val="00163576"/>
    <w:rsid w:val="0016358A"/>
    <w:rsid w:val="001635AC"/>
    <w:rsid w:val="001635D5"/>
    <w:rsid w:val="001635EC"/>
    <w:rsid w:val="001636FD"/>
    <w:rsid w:val="00163700"/>
    <w:rsid w:val="0016371C"/>
    <w:rsid w:val="00163783"/>
    <w:rsid w:val="0016380C"/>
    <w:rsid w:val="00163925"/>
    <w:rsid w:val="00163987"/>
    <w:rsid w:val="00163A3B"/>
    <w:rsid w:val="00163AD8"/>
    <w:rsid w:val="00163DE9"/>
    <w:rsid w:val="00163E61"/>
    <w:rsid w:val="00163F06"/>
    <w:rsid w:val="0016400A"/>
    <w:rsid w:val="0016406F"/>
    <w:rsid w:val="001640D0"/>
    <w:rsid w:val="0016413B"/>
    <w:rsid w:val="00164395"/>
    <w:rsid w:val="0016441E"/>
    <w:rsid w:val="00164870"/>
    <w:rsid w:val="0016489C"/>
    <w:rsid w:val="00164928"/>
    <w:rsid w:val="0016498C"/>
    <w:rsid w:val="00164AAC"/>
    <w:rsid w:val="00164BC6"/>
    <w:rsid w:val="00164BCD"/>
    <w:rsid w:val="00164C51"/>
    <w:rsid w:val="00164E21"/>
    <w:rsid w:val="00164E22"/>
    <w:rsid w:val="00164E6C"/>
    <w:rsid w:val="00164F01"/>
    <w:rsid w:val="001651D7"/>
    <w:rsid w:val="0016528C"/>
    <w:rsid w:val="00165333"/>
    <w:rsid w:val="001653E0"/>
    <w:rsid w:val="00165457"/>
    <w:rsid w:val="00165582"/>
    <w:rsid w:val="0016561C"/>
    <w:rsid w:val="00165621"/>
    <w:rsid w:val="00165698"/>
    <w:rsid w:val="0016572A"/>
    <w:rsid w:val="0016578E"/>
    <w:rsid w:val="00165794"/>
    <w:rsid w:val="001657C9"/>
    <w:rsid w:val="00165858"/>
    <w:rsid w:val="001658A5"/>
    <w:rsid w:val="00165966"/>
    <w:rsid w:val="00165BEC"/>
    <w:rsid w:val="00165D2E"/>
    <w:rsid w:val="00165D30"/>
    <w:rsid w:val="00165D73"/>
    <w:rsid w:val="00165DEE"/>
    <w:rsid w:val="00165E39"/>
    <w:rsid w:val="00165FB7"/>
    <w:rsid w:val="001660BE"/>
    <w:rsid w:val="00166195"/>
    <w:rsid w:val="00166202"/>
    <w:rsid w:val="001662B6"/>
    <w:rsid w:val="0016638E"/>
    <w:rsid w:val="00166422"/>
    <w:rsid w:val="00166457"/>
    <w:rsid w:val="00166530"/>
    <w:rsid w:val="0016692C"/>
    <w:rsid w:val="00166C74"/>
    <w:rsid w:val="00166CDA"/>
    <w:rsid w:val="00166D4B"/>
    <w:rsid w:val="00166D54"/>
    <w:rsid w:val="00166E22"/>
    <w:rsid w:val="00166E4E"/>
    <w:rsid w:val="001670EB"/>
    <w:rsid w:val="001670F8"/>
    <w:rsid w:val="00167136"/>
    <w:rsid w:val="0016718D"/>
    <w:rsid w:val="0016729B"/>
    <w:rsid w:val="0016738B"/>
    <w:rsid w:val="0016744D"/>
    <w:rsid w:val="00167625"/>
    <w:rsid w:val="0016763A"/>
    <w:rsid w:val="0016765B"/>
    <w:rsid w:val="00167722"/>
    <w:rsid w:val="0016786A"/>
    <w:rsid w:val="001678EC"/>
    <w:rsid w:val="00167900"/>
    <w:rsid w:val="00167983"/>
    <w:rsid w:val="001679CA"/>
    <w:rsid w:val="00167B50"/>
    <w:rsid w:val="00167C84"/>
    <w:rsid w:val="00167E78"/>
    <w:rsid w:val="00167ED7"/>
    <w:rsid w:val="00167F47"/>
    <w:rsid w:val="001700B2"/>
    <w:rsid w:val="001701C8"/>
    <w:rsid w:val="0017023D"/>
    <w:rsid w:val="0017027B"/>
    <w:rsid w:val="001702A2"/>
    <w:rsid w:val="001702AA"/>
    <w:rsid w:val="001702CE"/>
    <w:rsid w:val="00170371"/>
    <w:rsid w:val="00170375"/>
    <w:rsid w:val="00170392"/>
    <w:rsid w:val="001703A3"/>
    <w:rsid w:val="00170428"/>
    <w:rsid w:val="00170483"/>
    <w:rsid w:val="001704B2"/>
    <w:rsid w:val="001704DC"/>
    <w:rsid w:val="001705EE"/>
    <w:rsid w:val="001705FA"/>
    <w:rsid w:val="001705FB"/>
    <w:rsid w:val="0017061D"/>
    <w:rsid w:val="00170630"/>
    <w:rsid w:val="001706A1"/>
    <w:rsid w:val="0017078D"/>
    <w:rsid w:val="001707D9"/>
    <w:rsid w:val="00170AF4"/>
    <w:rsid w:val="00170B7A"/>
    <w:rsid w:val="00170C21"/>
    <w:rsid w:val="00170DA8"/>
    <w:rsid w:val="00170DCD"/>
    <w:rsid w:val="00170F0A"/>
    <w:rsid w:val="00170FD0"/>
    <w:rsid w:val="0017105D"/>
    <w:rsid w:val="0017127F"/>
    <w:rsid w:val="001712E7"/>
    <w:rsid w:val="0017134A"/>
    <w:rsid w:val="0017145A"/>
    <w:rsid w:val="001715F1"/>
    <w:rsid w:val="00171838"/>
    <w:rsid w:val="00171863"/>
    <w:rsid w:val="00171864"/>
    <w:rsid w:val="00171906"/>
    <w:rsid w:val="00171B68"/>
    <w:rsid w:val="00171B6F"/>
    <w:rsid w:val="00171D42"/>
    <w:rsid w:val="00171EF7"/>
    <w:rsid w:val="00171F53"/>
    <w:rsid w:val="0017208F"/>
    <w:rsid w:val="001720EB"/>
    <w:rsid w:val="0017218D"/>
    <w:rsid w:val="001722E3"/>
    <w:rsid w:val="001723CF"/>
    <w:rsid w:val="00172450"/>
    <w:rsid w:val="00172570"/>
    <w:rsid w:val="0017257F"/>
    <w:rsid w:val="0017259B"/>
    <w:rsid w:val="0017264F"/>
    <w:rsid w:val="00172745"/>
    <w:rsid w:val="00172855"/>
    <w:rsid w:val="0017286D"/>
    <w:rsid w:val="00172987"/>
    <w:rsid w:val="00172A3F"/>
    <w:rsid w:val="00172A6E"/>
    <w:rsid w:val="00172BBC"/>
    <w:rsid w:val="00172C12"/>
    <w:rsid w:val="00172CA7"/>
    <w:rsid w:val="00172CC8"/>
    <w:rsid w:val="00172E24"/>
    <w:rsid w:val="00172EAD"/>
    <w:rsid w:val="00172EF3"/>
    <w:rsid w:val="00172F6B"/>
    <w:rsid w:val="0017315C"/>
    <w:rsid w:val="00173168"/>
    <w:rsid w:val="001731D0"/>
    <w:rsid w:val="0017327E"/>
    <w:rsid w:val="00173464"/>
    <w:rsid w:val="0017355F"/>
    <w:rsid w:val="00173600"/>
    <w:rsid w:val="001736C8"/>
    <w:rsid w:val="0017370F"/>
    <w:rsid w:val="00173763"/>
    <w:rsid w:val="001737DE"/>
    <w:rsid w:val="00173804"/>
    <w:rsid w:val="00173839"/>
    <w:rsid w:val="00173884"/>
    <w:rsid w:val="0017394E"/>
    <w:rsid w:val="00173970"/>
    <w:rsid w:val="00173995"/>
    <w:rsid w:val="00173AB2"/>
    <w:rsid w:val="00173B2F"/>
    <w:rsid w:val="00173C32"/>
    <w:rsid w:val="00173C42"/>
    <w:rsid w:val="00173C61"/>
    <w:rsid w:val="00173E14"/>
    <w:rsid w:val="00173E15"/>
    <w:rsid w:val="00173F40"/>
    <w:rsid w:val="00173FB1"/>
    <w:rsid w:val="00174082"/>
    <w:rsid w:val="0017414E"/>
    <w:rsid w:val="0017417A"/>
    <w:rsid w:val="0017418A"/>
    <w:rsid w:val="001741BA"/>
    <w:rsid w:val="0017420F"/>
    <w:rsid w:val="0017422B"/>
    <w:rsid w:val="0017423F"/>
    <w:rsid w:val="001742DD"/>
    <w:rsid w:val="001742F1"/>
    <w:rsid w:val="0017434E"/>
    <w:rsid w:val="0017436D"/>
    <w:rsid w:val="0017439B"/>
    <w:rsid w:val="00174574"/>
    <w:rsid w:val="00174583"/>
    <w:rsid w:val="001745A8"/>
    <w:rsid w:val="00174638"/>
    <w:rsid w:val="0017464F"/>
    <w:rsid w:val="001746E0"/>
    <w:rsid w:val="00174741"/>
    <w:rsid w:val="001747E5"/>
    <w:rsid w:val="00174843"/>
    <w:rsid w:val="0017489E"/>
    <w:rsid w:val="001748E8"/>
    <w:rsid w:val="00174968"/>
    <w:rsid w:val="001749D7"/>
    <w:rsid w:val="001749E4"/>
    <w:rsid w:val="00174A25"/>
    <w:rsid w:val="00174B28"/>
    <w:rsid w:val="00174BA2"/>
    <w:rsid w:val="00174BCE"/>
    <w:rsid w:val="00174BEE"/>
    <w:rsid w:val="00174C4E"/>
    <w:rsid w:val="00174EB2"/>
    <w:rsid w:val="00174EF0"/>
    <w:rsid w:val="00174FFC"/>
    <w:rsid w:val="00175142"/>
    <w:rsid w:val="00175146"/>
    <w:rsid w:val="0017517D"/>
    <w:rsid w:val="0017532D"/>
    <w:rsid w:val="0017534F"/>
    <w:rsid w:val="00175462"/>
    <w:rsid w:val="001755BE"/>
    <w:rsid w:val="00175607"/>
    <w:rsid w:val="001756C7"/>
    <w:rsid w:val="001756FA"/>
    <w:rsid w:val="00175723"/>
    <w:rsid w:val="00175750"/>
    <w:rsid w:val="00175779"/>
    <w:rsid w:val="0017588B"/>
    <w:rsid w:val="001758E0"/>
    <w:rsid w:val="00175986"/>
    <w:rsid w:val="00175AAD"/>
    <w:rsid w:val="00175B10"/>
    <w:rsid w:val="00175C64"/>
    <w:rsid w:val="00175C6A"/>
    <w:rsid w:val="00175E27"/>
    <w:rsid w:val="00175E9A"/>
    <w:rsid w:val="00175F9B"/>
    <w:rsid w:val="00175FE1"/>
    <w:rsid w:val="00176158"/>
    <w:rsid w:val="00176305"/>
    <w:rsid w:val="0017634C"/>
    <w:rsid w:val="00176371"/>
    <w:rsid w:val="0017637D"/>
    <w:rsid w:val="0017637F"/>
    <w:rsid w:val="001763AB"/>
    <w:rsid w:val="001764A2"/>
    <w:rsid w:val="0017653E"/>
    <w:rsid w:val="00176540"/>
    <w:rsid w:val="001765B5"/>
    <w:rsid w:val="0017674D"/>
    <w:rsid w:val="001767FC"/>
    <w:rsid w:val="0017689D"/>
    <w:rsid w:val="0017691C"/>
    <w:rsid w:val="00176986"/>
    <w:rsid w:val="0017698D"/>
    <w:rsid w:val="001769A6"/>
    <w:rsid w:val="00176ABC"/>
    <w:rsid w:val="00176B11"/>
    <w:rsid w:val="00176B15"/>
    <w:rsid w:val="00176B25"/>
    <w:rsid w:val="00176B94"/>
    <w:rsid w:val="00176D8E"/>
    <w:rsid w:val="00176D99"/>
    <w:rsid w:val="00176DFC"/>
    <w:rsid w:val="00176E42"/>
    <w:rsid w:val="00176EAF"/>
    <w:rsid w:val="00176F16"/>
    <w:rsid w:val="00176F26"/>
    <w:rsid w:val="00176F91"/>
    <w:rsid w:val="00176F98"/>
    <w:rsid w:val="00177169"/>
    <w:rsid w:val="00177212"/>
    <w:rsid w:val="001772F5"/>
    <w:rsid w:val="0017738B"/>
    <w:rsid w:val="001773D8"/>
    <w:rsid w:val="00177480"/>
    <w:rsid w:val="00177581"/>
    <w:rsid w:val="00177647"/>
    <w:rsid w:val="0017766F"/>
    <w:rsid w:val="001776A3"/>
    <w:rsid w:val="001776C3"/>
    <w:rsid w:val="0017778B"/>
    <w:rsid w:val="0017788F"/>
    <w:rsid w:val="001778BD"/>
    <w:rsid w:val="00177A78"/>
    <w:rsid w:val="00177B30"/>
    <w:rsid w:val="00177B59"/>
    <w:rsid w:val="00177BC3"/>
    <w:rsid w:val="00177C0C"/>
    <w:rsid w:val="00177D5E"/>
    <w:rsid w:val="00177F28"/>
    <w:rsid w:val="00180095"/>
    <w:rsid w:val="001800E9"/>
    <w:rsid w:val="00180150"/>
    <w:rsid w:val="001801DD"/>
    <w:rsid w:val="00180273"/>
    <w:rsid w:val="00180289"/>
    <w:rsid w:val="001803CE"/>
    <w:rsid w:val="001803FB"/>
    <w:rsid w:val="001804DE"/>
    <w:rsid w:val="00180565"/>
    <w:rsid w:val="00180566"/>
    <w:rsid w:val="00180586"/>
    <w:rsid w:val="00180592"/>
    <w:rsid w:val="001805AF"/>
    <w:rsid w:val="00180758"/>
    <w:rsid w:val="00180769"/>
    <w:rsid w:val="0018088E"/>
    <w:rsid w:val="0018089F"/>
    <w:rsid w:val="001808B3"/>
    <w:rsid w:val="00180A88"/>
    <w:rsid w:val="00180CB9"/>
    <w:rsid w:val="00180CEE"/>
    <w:rsid w:val="00180DB9"/>
    <w:rsid w:val="00180E3C"/>
    <w:rsid w:val="001811B0"/>
    <w:rsid w:val="00181222"/>
    <w:rsid w:val="0018124A"/>
    <w:rsid w:val="0018129A"/>
    <w:rsid w:val="001813D1"/>
    <w:rsid w:val="001814ED"/>
    <w:rsid w:val="00181602"/>
    <w:rsid w:val="00181679"/>
    <w:rsid w:val="00181716"/>
    <w:rsid w:val="0018174A"/>
    <w:rsid w:val="001817C2"/>
    <w:rsid w:val="001817F9"/>
    <w:rsid w:val="00181842"/>
    <w:rsid w:val="00181867"/>
    <w:rsid w:val="001818DE"/>
    <w:rsid w:val="001818F5"/>
    <w:rsid w:val="00181960"/>
    <w:rsid w:val="001819F1"/>
    <w:rsid w:val="001819FA"/>
    <w:rsid w:val="00181B37"/>
    <w:rsid w:val="00181D85"/>
    <w:rsid w:val="00181E66"/>
    <w:rsid w:val="00181FA4"/>
    <w:rsid w:val="00182015"/>
    <w:rsid w:val="001820DA"/>
    <w:rsid w:val="001820F5"/>
    <w:rsid w:val="00182255"/>
    <w:rsid w:val="001823E3"/>
    <w:rsid w:val="001823E8"/>
    <w:rsid w:val="00182517"/>
    <w:rsid w:val="00182539"/>
    <w:rsid w:val="001826E6"/>
    <w:rsid w:val="001827AD"/>
    <w:rsid w:val="001827C0"/>
    <w:rsid w:val="001827FE"/>
    <w:rsid w:val="00182886"/>
    <w:rsid w:val="001828C8"/>
    <w:rsid w:val="001829C8"/>
    <w:rsid w:val="00182BE4"/>
    <w:rsid w:val="00182DD8"/>
    <w:rsid w:val="00182E15"/>
    <w:rsid w:val="00182FFD"/>
    <w:rsid w:val="00183116"/>
    <w:rsid w:val="00183247"/>
    <w:rsid w:val="0018324D"/>
    <w:rsid w:val="001832F2"/>
    <w:rsid w:val="00183356"/>
    <w:rsid w:val="00183511"/>
    <w:rsid w:val="00183640"/>
    <w:rsid w:val="00183744"/>
    <w:rsid w:val="00183790"/>
    <w:rsid w:val="001837BF"/>
    <w:rsid w:val="0018381E"/>
    <w:rsid w:val="00183912"/>
    <w:rsid w:val="001839CF"/>
    <w:rsid w:val="001839E9"/>
    <w:rsid w:val="00183B0C"/>
    <w:rsid w:val="00183BEF"/>
    <w:rsid w:val="00183C7C"/>
    <w:rsid w:val="00183C95"/>
    <w:rsid w:val="00183CB7"/>
    <w:rsid w:val="00183CDB"/>
    <w:rsid w:val="00183EF3"/>
    <w:rsid w:val="00183F0D"/>
    <w:rsid w:val="00183F18"/>
    <w:rsid w:val="00184011"/>
    <w:rsid w:val="00184079"/>
    <w:rsid w:val="001840C8"/>
    <w:rsid w:val="001841C1"/>
    <w:rsid w:val="001841F5"/>
    <w:rsid w:val="001841FD"/>
    <w:rsid w:val="00184335"/>
    <w:rsid w:val="001843A1"/>
    <w:rsid w:val="0018449F"/>
    <w:rsid w:val="001844C0"/>
    <w:rsid w:val="0018452C"/>
    <w:rsid w:val="00184577"/>
    <w:rsid w:val="0018466B"/>
    <w:rsid w:val="0018483C"/>
    <w:rsid w:val="00184843"/>
    <w:rsid w:val="0018497B"/>
    <w:rsid w:val="00184B22"/>
    <w:rsid w:val="00184BEA"/>
    <w:rsid w:val="00184D17"/>
    <w:rsid w:val="00184DCA"/>
    <w:rsid w:val="00184E99"/>
    <w:rsid w:val="00184F6A"/>
    <w:rsid w:val="00184F8C"/>
    <w:rsid w:val="00185163"/>
    <w:rsid w:val="001851B9"/>
    <w:rsid w:val="00185254"/>
    <w:rsid w:val="0018529A"/>
    <w:rsid w:val="001852AD"/>
    <w:rsid w:val="00185319"/>
    <w:rsid w:val="0018531B"/>
    <w:rsid w:val="00185374"/>
    <w:rsid w:val="001853A2"/>
    <w:rsid w:val="0018544F"/>
    <w:rsid w:val="001855A8"/>
    <w:rsid w:val="001855EA"/>
    <w:rsid w:val="00185647"/>
    <w:rsid w:val="00185760"/>
    <w:rsid w:val="001857CC"/>
    <w:rsid w:val="00185856"/>
    <w:rsid w:val="0018592E"/>
    <w:rsid w:val="001859BD"/>
    <w:rsid w:val="00185A37"/>
    <w:rsid w:val="00185A57"/>
    <w:rsid w:val="00185A6A"/>
    <w:rsid w:val="00185AB0"/>
    <w:rsid w:val="00185AB1"/>
    <w:rsid w:val="00185B3C"/>
    <w:rsid w:val="00185BC9"/>
    <w:rsid w:val="00185E14"/>
    <w:rsid w:val="00185E55"/>
    <w:rsid w:val="00185F62"/>
    <w:rsid w:val="00185FC7"/>
    <w:rsid w:val="00186130"/>
    <w:rsid w:val="001863E9"/>
    <w:rsid w:val="001864BF"/>
    <w:rsid w:val="0018653B"/>
    <w:rsid w:val="0018672A"/>
    <w:rsid w:val="001867AE"/>
    <w:rsid w:val="0018687B"/>
    <w:rsid w:val="001868C2"/>
    <w:rsid w:val="00186938"/>
    <w:rsid w:val="00186A27"/>
    <w:rsid w:val="00186A85"/>
    <w:rsid w:val="00186AD8"/>
    <w:rsid w:val="00186B02"/>
    <w:rsid w:val="00186B66"/>
    <w:rsid w:val="00186CF1"/>
    <w:rsid w:val="00186ED5"/>
    <w:rsid w:val="00186EE6"/>
    <w:rsid w:val="00186FA7"/>
    <w:rsid w:val="001871B7"/>
    <w:rsid w:val="001871C9"/>
    <w:rsid w:val="001871E9"/>
    <w:rsid w:val="001872CD"/>
    <w:rsid w:val="0018745C"/>
    <w:rsid w:val="00187789"/>
    <w:rsid w:val="00187814"/>
    <w:rsid w:val="0018783E"/>
    <w:rsid w:val="001878EF"/>
    <w:rsid w:val="00187916"/>
    <w:rsid w:val="00187931"/>
    <w:rsid w:val="0018794F"/>
    <w:rsid w:val="001879DF"/>
    <w:rsid w:val="00187AD3"/>
    <w:rsid w:val="00187B92"/>
    <w:rsid w:val="00187BEE"/>
    <w:rsid w:val="00187D36"/>
    <w:rsid w:val="00187E2B"/>
    <w:rsid w:val="00187EB9"/>
    <w:rsid w:val="00187F4F"/>
    <w:rsid w:val="00187FAF"/>
    <w:rsid w:val="00190057"/>
    <w:rsid w:val="001900FD"/>
    <w:rsid w:val="0019014C"/>
    <w:rsid w:val="001901AF"/>
    <w:rsid w:val="001903FD"/>
    <w:rsid w:val="00190515"/>
    <w:rsid w:val="0019055B"/>
    <w:rsid w:val="001905F4"/>
    <w:rsid w:val="0019060E"/>
    <w:rsid w:val="00190626"/>
    <w:rsid w:val="00190C1F"/>
    <w:rsid w:val="00190E2B"/>
    <w:rsid w:val="00190F26"/>
    <w:rsid w:val="00190FD6"/>
    <w:rsid w:val="00191063"/>
    <w:rsid w:val="001910DB"/>
    <w:rsid w:val="00191111"/>
    <w:rsid w:val="0019118A"/>
    <w:rsid w:val="001911BC"/>
    <w:rsid w:val="001912DC"/>
    <w:rsid w:val="001913C6"/>
    <w:rsid w:val="00191404"/>
    <w:rsid w:val="00191497"/>
    <w:rsid w:val="001914F2"/>
    <w:rsid w:val="00191515"/>
    <w:rsid w:val="0019159A"/>
    <w:rsid w:val="001915A2"/>
    <w:rsid w:val="00191693"/>
    <w:rsid w:val="001916AF"/>
    <w:rsid w:val="001916F5"/>
    <w:rsid w:val="0019182B"/>
    <w:rsid w:val="001918DD"/>
    <w:rsid w:val="001918E2"/>
    <w:rsid w:val="00191968"/>
    <w:rsid w:val="00191981"/>
    <w:rsid w:val="00191A69"/>
    <w:rsid w:val="00191ACB"/>
    <w:rsid w:val="00191AFE"/>
    <w:rsid w:val="00191B17"/>
    <w:rsid w:val="00191B23"/>
    <w:rsid w:val="00191BD7"/>
    <w:rsid w:val="00191D3F"/>
    <w:rsid w:val="00191D6B"/>
    <w:rsid w:val="00191D7A"/>
    <w:rsid w:val="00191D8C"/>
    <w:rsid w:val="00191E8D"/>
    <w:rsid w:val="00191EE6"/>
    <w:rsid w:val="00191F11"/>
    <w:rsid w:val="00191FAC"/>
    <w:rsid w:val="0019210A"/>
    <w:rsid w:val="001921C5"/>
    <w:rsid w:val="0019224E"/>
    <w:rsid w:val="0019238F"/>
    <w:rsid w:val="001924B2"/>
    <w:rsid w:val="00192556"/>
    <w:rsid w:val="00192689"/>
    <w:rsid w:val="0019270D"/>
    <w:rsid w:val="00192728"/>
    <w:rsid w:val="00192753"/>
    <w:rsid w:val="0019278A"/>
    <w:rsid w:val="001927BA"/>
    <w:rsid w:val="0019286A"/>
    <w:rsid w:val="00192896"/>
    <w:rsid w:val="001928F9"/>
    <w:rsid w:val="0019291F"/>
    <w:rsid w:val="001929CA"/>
    <w:rsid w:val="00192B65"/>
    <w:rsid w:val="00192FC0"/>
    <w:rsid w:val="00193086"/>
    <w:rsid w:val="00193153"/>
    <w:rsid w:val="00193342"/>
    <w:rsid w:val="001933B7"/>
    <w:rsid w:val="001933CE"/>
    <w:rsid w:val="00193446"/>
    <w:rsid w:val="001935A8"/>
    <w:rsid w:val="001935B0"/>
    <w:rsid w:val="0019363C"/>
    <w:rsid w:val="001936FD"/>
    <w:rsid w:val="00193745"/>
    <w:rsid w:val="0019379C"/>
    <w:rsid w:val="001937E4"/>
    <w:rsid w:val="0019390D"/>
    <w:rsid w:val="00193A29"/>
    <w:rsid w:val="00193A3D"/>
    <w:rsid w:val="00193AB8"/>
    <w:rsid w:val="00193BDA"/>
    <w:rsid w:val="00193D32"/>
    <w:rsid w:val="00193D4B"/>
    <w:rsid w:val="00193DE4"/>
    <w:rsid w:val="00193EE8"/>
    <w:rsid w:val="00193FA0"/>
    <w:rsid w:val="00193FEB"/>
    <w:rsid w:val="00194067"/>
    <w:rsid w:val="00194095"/>
    <w:rsid w:val="00194163"/>
    <w:rsid w:val="001941C7"/>
    <w:rsid w:val="00194229"/>
    <w:rsid w:val="00194356"/>
    <w:rsid w:val="0019441A"/>
    <w:rsid w:val="0019453A"/>
    <w:rsid w:val="00194558"/>
    <w:rsid w:val="001945CA"/>
    <w:rsid w:val="001946C9"/>
    <w:rsid w:val="001947E5"/>
    <w:rsid w:val="0019488E"/>
    <w:rsid w:val="00194946"/>
    <w:rsid w:val="001949F9"/>
    <w:rsid w:val="00194A6D"/>
    <w:rsid w:val="00194A70"/>
    <w:rsid w:val="00194B92"/>
    <w:rsid w:val="00194C70"/>
    <w:rsid w:val="00194C73"/>
    <w:rsid w:val="00194D05"/>
    <w:rsid w:val="00194DD8"/>
    <w:rsid w:val="00194E0C"/>
    <w:rsid w:val="00194F71"/>
    <w:rsid w:val="00195164"/>
    <w:rsid w:val="001951D2"/>
    <w:rsid w:val="00195290"/>
    <w:rsid w:val="00195293"/>
    <w:rsid w:val="001955D4"/>
    <w:rsid w:val="001955EE"/>
    <w:rsid w:val="00195665"/>
    <w:rsid w:val="00195679"/>
    <w:rsid w:val="001957D3"/>
    <w:rsid w:val="00195891"/>
    <w:rsid w:val="001958FF"/>
    <w:rsid w:val="00195921"/>
    <w:rsid w:val="00195A37"/>
    <w:rsid w:val="00195AFC"/>
    <w:rsid w:val="00195C0B"/>
    <w:rsid w:val="00195C53"/>
    <w:rsid w:val="00195CA1"/>
    <w:rsid w:val="00195F81"/>
    <w:rsid w:val="00196236"/>
    <w:rsid w:val="00196436"/>
    <w:rsid w:val="0019646E"/>
    <w:rsid w:val="001964A9"/>
    <w:rsid w:val="00196511"/>
    <w:rsid w:val="00196541"/>
    <w:rsid w:val="0019654C"/>
    <w:rsid w:val="00196671"/>
    <w:rsid w:val="0019669E"/>
    <w:rsid w:val="001966E5"/>
    <w:rsid w:val="0019680B"/>
    <w:rsid w:val="00196854"/>
    <w:rsid w:val="00196945"/>
    <w:rsid w:val="00196A4A"/>
    <w:rsid w:val="00196B2D"/>
    <w:rsid w:val="00196C8E"/>
    <w:rsid w:val="00196CAC"/>
    <w:rsid w:val="00196E4C"/>
    <w:rsid w:val="00196F43"/>
    <w:rsid w:val="00196F55"/>
    <w:rsid w:val="00196FA7"/>
    <w:rsid w:val="0019701B"/>
    <w:rsid w:val="00197125"/>
    <w:rsid w:val="00197133"/>
    <w:rsid w:val="00197360"/>
    <w:rsid w:val="001974ED"/>
    <w:rsid w:val="00197520"/>
    <w:rsid w:val="0019754E"/>
    <w:rsid w:val="00197582"/>
    <w:rsid w:val="00197773"/>
    <w:rsid w:val="0019783C"/>
    <w:rsid w:val="00197A9C"/>
    <w:rsid w:val="00197B85"/>
    <w:rsid w:val="00197B88"/>
    <w:rsid w:val="00197D43"/>
    <w:rsid w:val="00197D89"/>
    <w:rsid w:val="00197DD0"/>
    <w:rsid w:val="00197E6D"/>
    <w:rsid w:val="00197EF9"/>
    <w:rsid w:val="00197FAC"/>
    <w:rsid w:val="00197FC4"/>
    <w:rsid w:val="001A00CD"/>
    <w:rsid w:val="001A0372"/>
    <w:rsid w:val="001A05A9"/>
    <w:rsid w:val="001A0624"/>
    <w:rsid w:val="001A0671"/>
    <w:rsid w:val="001A06DF"/>
    <w:rsid w:val="001A078D"/>
    <w:rsid w:val="001A07C0"/>
    <w:rsid w:val="001A07F6"/>
    <w:rsid w:val="001A0862"/>
    <w:rsid w:val="001A09C5"/>
    <w:rsid w:val="001A09EC"/>
    <w:rsid w:val="001A0B38"/>
    <w:rsid w:val="001A0D57"/>
    <w:rsid w:val="001A0ED1"/>
    <w:rsid w:val="001A0F93"/>
    <w:rsid w:val="001A1012"/>
    <w:rsid w:val="001A106C"/>
    <w:rsid w:val="001A109D"/>
    <w:rsid w:val="001A1126"/>
    <w:rsid w:val="001A114F"/>
    <w:rsid w:val="001A1176"/>
    <w:rsid w:val="001A121A"/>
    <w:rsid w:val="001A122E"/>
    <w:rsid w:val="001A123E"/>
    <w:rsid w:val="001A14AB"/>
    <w:rsid w:val="001A1528"/>
    <w:rsid w:val="001A157F"/>
    <w:rsid w:val="001A158D"/>
    <w:rsid w:val="001A15A5"/>
    <w:rsid w:val="001A15CB"/>
    <w:rsid w:val="001A1623"/>
    <w:rsid w:val="001A1634"/>
    <w:rsid w:val="001A172F"/>
    <w:rsid w:val="001A1743"/>
    <w:rsid w:val="001A1942"/>
    <w:rsid w:val="001A1A11"/>
    <w:rsid w:val="001A1A9D"/>
    <w:rsid w:val="001A1D41"/>
    <w:rsid w:val="001A1EE4"/>
    <w:rsid w:val="001A1F61"/>
    <w:rsid w:val="001A1F98"/>
    <w:rsid w:val="001A1FBB"/>
    <w:rsid w:val="001A2153"/>
    <w:rsid w:val="001A2170"/>
    <w:rsid w:val="001A2557"/>
    <w:rsid w:val="001A2786"/>
    <w:rsid w:val="001A27D6"/>
    <w:rsid w:val="001A2844"/>
    <w:rsid w:val="001A285F"/>
    <w:rsid w:val="001A2928"/>
    <w:rsid w:val="001A2964"/>
    <w:rsid w:val="001A29D8"/>
    <w:rsid w:val="001A2C8B"/>
    <w:rsid w:val="001A2D05"/>
    <w:rsid w:val="001A2DFD"/>
    <w:rsid w:val="001A2EF5"/>
    <w:rsid w:val="001A30B7"/>
    <w:rsid w:val="001A30CD"/>
    <w:rsid w:val="001A311D"/>
    <w:rsid w:val="001A31CE"/>
    <w:rsid w:val="001A31F2"/>
    <w:rsid w:val="001A3279"/>
    <w:rsid w:val="001A32AC"/>
    <w:rsid w:val="001A32E2"/>
    <w:rsid w:val="001A32F2"/>
    <w:rsid w:val="001A3358"/>
    <w:rsid w:val="001A3477"/>
    <w:rsid w:val="001A34CB"/>
    <w:rsid w:val="001A34F9"/>
    <w:rsid w:val="001A37A4"/>
    <w:rsid w:val="001A3818"/>
    <w:rsid w:val="001A3887"/>
    <w:rsid w:val="001A38C6"/>
    <w:rsid w:val="001A3908"/>
    <w:rsid w:val="001A3AA8"/>
    <w:rsid w:val="001A3B8B"/>
    <w:rsid w:val="001A3BAE"/>
    <w:rsid w:val="001A3CED"/>
    <w:rsid w:val="001A3DD1"/>
    <w:rsid w:val="001A3E5B"/>
    <w:rsid w:val="001A3EB0"/>
    <w:rsid w:val="001A3FAA"/>
    <w:rsid w:val="001A404A"/>
    <w:rsid w:val="001A4067"/>
    <w:rsid w:val="001A4099"/>
    <w:rsid w:val="001A40BB"/>
    <w:rsid w:val="001A4193"/>
    <w:rsid w:val="001A41FC"/>
    <w:rsid w:val="001A43EF"/>
    <w:rsid w:val="001A4449"/>
    <w:rsid w:val="001A4466"/>
    <w:rsid w:val="001A44AE"/>
    <w:rsid w:val="001A44E4"/>
    <w:rsid w:val="001A45CA"/>
    <w:rsid w:val="001A45DF"/>
    <w:rsid w:val="001A4643"/>
    <w:rsid w:val="001A4717"/>
    <w:rsid w:val="001A4756"/>
    <w:rsid w:val="001A483A"/>
    <w:rsid w:val="001A4A27"/>
    <w:rsid w:val="001A4A89"/>
    <w:rsid w:val="001A4ACA"/>
    <w:rsid w:val="001A4B0B"/>
    <w:rsid w:val="001A4C10"/>
    <w:rsid w:val="001A4C88"/>
    <w:rsid w:val="001A4CFF"/>
    <w:rsid w:val="001A4D79"/>
    <w:rsid w:val="001A4EA1"/>
    <w:rsid w:val="001A5001"/>
    <w:rsid w:val="001A504A"/>
    <w:rsid w:val="001A50DE"/>
    <w:rsid w:val="001A50F7"/>
    <w:rsid w:val="001A5212"/>
    <w:rsid w:val="001A5226"/>
    <w:rsid w:val="001A5315"/>
    <w:rsid w:val="001A533E"/>
    <w:rsid w:val="001A535F"/>
    <w:rsid w:val="001A53AE"/>
    <w:rsid w:val="001A53D6"/>
    <w:rsid w:val="001A54B5"/>
    <w:rsid w:val="001A554A"/>
    <w:rsid w:val="001A55C0"/>
    <w:rsid w:val="001A564A"/>
    <w:rsid w:val="001A5721"/>
    <w:rsid w:val="001A5767"/>
    <w:rsid w:val="001A57B6"/>
    <w:rsid w:val="001A57FE"/>
    <w:rsid w:val="001A58D4"/>
    <w:rsid w:val="001A59F9"/>
    <w:rsid w:val="001A5A1B"/>
    <w:rsid w:val="001A5B64"/>
    <w:rsid w:val="001A5B79"/>
    <w:rsid w:val="001A5C44"/>
    <w:rsid w:val="001A5C66"/>
    <w:rsid w:val="001A5CB8"/>
    <w:rsid w:val="001A5CFD"/>
    <w:rsid w:val="001A5ED6"/>
    <w:rsid w:val="001A5EFC"/>
    <w:rsid w:val="001A5FBE"/>
    <w:rsid w:val="001A60F7"/>
    <w:rsid w:val="001A60F8"/>
    <w:rsid w:val="001A6160"/>
    <w:rsid w:val="001A61FC"/>
    <w:rsid w:val="001A6227"/>
    <w:rsid w:val="001A628D"/>
    <w:rsid w:val="001A635A"/>
    <w:rsid w:val="001A63F5"/>
    <w:rsid w:val="001A643D"/>
    <w:rsid w:val="001A663C"/>
    <w:rsid w:val="001A6678"/>
    <w:rsid w:val="001A6731"/>
    <w:rsid w:val="001A6742"/>
    <w:rsid w:val="001A6745"/>
    <w:rsid w:val="001A67BB"/>
    <w:rsid w:val="001A6850"/>
    <w:rsid w:val="001A697B"/>
    <w:rsid w:val="001A69AA"/>
    <w:rsid w:val="001A69E5"/>
    <w:rsid w:val="001A6A09"/>
    <w:rsid w:val="001A6A9C"/>
    <w:rsid w:val="001A6B6C"/>
    <w:rsid w:val="001A6C24"/>
    <w:rsid w:val="001A6CF7"/>
    <w:rsid w:val="001A6DA3"/>
    <w:rsid w:val="001A6F30"/>
    <w:rsid w:val="001A6F37"/>
    <w:rsid w:val="001A6FB4"/>
    <w:rsid w:val="001A7071"/>
    <w:rsid w:val="001A7088"/>
    <w:rsid w:val="001A70D0"/>
    <w:rsid w:val="001A7125"/>
    <w:rsid w:val="001A73E7"/>
    <w:rsid w:val="001A7435"/>
    <w:rsid w:val="001A75F9"/>
    <w:rsid w:val="001A775B"/>
    <w:rsid w:val="001A778C"/>
    <w:rsid w:val="001A77AA"/>
    <w:rsid w:val="001A77C6"/>
    <w:rsid w:val="001A782B"/>
    <w:rsid w:val="001A78C1"/>
    <w:rsid w:val="001A7CB9"/>
    <w:rsid w:val="001A7CC2"/>
    <w:rsid w:val="001A7D55"/>
    <w:rsid w:val="001A7DD5"/>
    <w:rsid w:val="001A7E96"/>
    <w:rsid w:val="001A7FE4"/>
    <w:rsid w:val="001B0104"/>
    <w:rsid w:val="001B024D"/>
    <w:rsid w:val="001B0297"/>
    <w:rsid w:val="001B02A2"/>
    <w:rsid w:val="001B06F5"/>
    <w:rsid w:val="001B0795"/>
    <w:rsid w:val="001B0850"/>
    <w:rsid w:val="001B087C"/>
    <w:rsid w:val="001B0ACD"/>
    <w:rsid w:val="001B0ADC"/>
    <w:rsid w:val="001B0B83"/>
    <w:rsid w:val="001B0C94"/>
    <w:rsid w:val="001B0CAB"/>
    <w:rsid w:val="001B0D9A"/>
    <w:rsid w:val="001B0EB8"/>
    <w:rsid w:val="001B0F68"/>
    <w:rsid w:val="001B10E2"/>
    <w:rsid w:val="001B1152"/>
    <w:rsid w:val="001B1248"/>
    <w:rsid w:val="001B1253"/>
    <w:rsid w:val="001B1316"/>
    <w:rsid w:val="001B1446"/>
    <w:rsid w:val="001B1673"/>
    <w:rsid w:val="001B1710"/>
    <w:rsid w:val="001B1718"/>
    <w:rsid w:val="001B17A9"/>
    <w:rsid w:val="001B18E7"/>
    <w:rsid w:val="001B191D"/>
    <w:rsid w:val="001B1A10"/>
    <w:rsid w:val="001B1A39"/>
    <w:rsid w:val="001B1A3F"/>
    <w:rsid w:val="001B1E03"/>
    <w:rsid w:val="001B1E25"/>
    <w:rsid w:val="001B1E56"/>
    <w:rsid w:val="001B1E64"/>
    <w:rsid w:val="001B1ECD"/>
    <w:rsid w:val="001B1EF9"/>
    <w:rsid w:val="001B1FA7"/>
    <w:rsid w:val="001B2115"/>
    <w:rsid w:val="001B216A"/>
    <w:rsid w:val="001B21EB"/>
    <w:rsid w:val="001B21F2"/>
    <w:rsid w:val="001B2224"/>
    <w:rsid w:val="001B22D1"/>
    <w:rsid w:val="001B237F"/>
    <w:rsid w:val="001B243F"/>
    <w:rsid w:val="001B2595"/>
    <w:rsid w:val="001B25A9"/>
    <w:rsid w:val="001B25C7"/>
    <w:rsid w:val="001B25F9"/>
    <w:rsid w:val="001B264B"/>
    <w:rsid w:val="001B2689"/>
    <w:rsid w:val="001B26E5"/>
    <w:rsid w:val="001B2883"/>
    <w:rsid w:val="001B2AC8"/>
    <w:rsid w:val="001B2B4A"/>
    <w:rsid w:val="001B2C24"/>
    <w:rsid w:val="001B2C5D"/>
    <w:rsid w:val="001B2CB8"/>
    <w:rsid w:val="001B2D59"/>
    <w:rsid w:val="001B2DD1"/>
    <w:rsid w:val="001B2F44"/>
    <w:rsid w:val="001B307C"/>
    <w:rsid w:val="001B309F"/>
    <w:rsid w:val="001B3213"/>
    <w:rsid w:val="001B321F"/>
    <w:rsid w:val="001B3325"/>
    <w:rsid w:val="001B3449"/>
    <w:rsid w:val="001B3475"/>
    <w:rsid w:val="001B3585"/>
    <w:rsid w:val="001B3617"/>
    <w:rsid w:val="001B3659"/>
    <w:rsid w:val="001B36BF"/>
    <w:rsid w:val="001B36D0"/>
    <w:rsid w:val="001B3729"/>
    <w:rsid w:val="001B37BE"/>
    <w:rsid w:val="001B3848"/>
    <w:rsid w:val="001B3939"/>
    <w:rsid w:val="001B39E1"/>
    <w:rsid w:val="001B39F3"/>
    <w:rsid w:val="001B3A04"/>
    <w:rsid w:val="001B3A30"/>
    <w:rsid w:val="001B3AEC"/>
    <w:rsid w:val="001B3AED"/>
    <w:rsid w:val="001B3CEB"/>
    <w:rsid w:val="001B3F22"/>
    <w:rsid w:val="001B4095"/>
    <w:rsid w:val="001B40D6"/>
    <w:rsid w:val="001B42F2"/>
    <w:rsid w:val="001B4363"/>
    <w:rsid w:val="001B4423"/>
    <w:rsid w:val="001B4676"/>
    <w:rsid w:val="001B46D1"/>
    <w:rsid w:val="001B46EC"/>
    <w:rsid w:val="001B46FF"/>
    <w:rsid w:val="001B479C"/>
    <w:rsid w:val="001B47E6"/>
    <w:rsid w:val="001B4873"/>
    <w:rsid w:val="001B4939"/>
    <w:rsid w:val="001B49B9"/>
    <w:rsid w:val="001B49C0"/>
    <w:rsid w:val="001B49D2"/>
    <w:rsid w:val="001B49E2"/>
    <w:rsid w:val="001B4A8D"/>
    <w:rsid w:val="001B4AA9"/>
    <w:rsid w:val="001B4AD9"/>
    <w:rsid w:val="001B4B52"/>
    <w:rsid w:val="001B4D84"/>
    <w:rsid w:val="001B4DA2"/>
    <w:rsid w:val="001B4E01"/>
    <w:rsid w:val="001B4E85"/>
    <w:rsid w:val="001B4EB8"/>
    <w:rsid w:val="001B5076"/>
    <w:rsid w:val="001B51E7"/>
    <w:rsid w:val="001B5236"/>
    <w:rsid w:val="001B527E"/>
    <w:rsid w:val="001B529C"/>
    <w:rsid w:val="001B52CB"/>
    <w:rsid w:val="001B52EC"/>
    <w:rsid w:val="001B52FB"/>
    <w:rsid w:val="001B53BC"/>
    <w:rsid w:val="001B5419"/>
    <w:rsid w:val="001B549C"/>
    <w:rsid w:val="001B54A4"/>
    <w:rsid w:val="001B5523"/>
    <w:rsid w:val="001B55F1"/>
    <w:rsid w:val="001B55FC"/>
    <w:rsid w:val="001B5700"/>
    <w:rsid w:val="001B57A9"/>
    <w:rsid w:val="001B581D"/>
    <w:rsid w:val="001B58B9"/>
    <w:rsid w:val="001B593F"/>
    <w:rsid w:val="001B59A5"/>
    <w:rsid w:val="001B5C77"/>
    <w:rsid w:val="001B5ECA"/>
    <w:rsid w:val="001B5F8D"/>
    <w:rsid w:val="001B6093"/>
    <w:rsid w:val="001B60D0"/>
    <w:rsid w:val="001B6107"/>
    <w:rsid w:val="001B613C"/>
    <w:rsid w:val="001B61EF"/>
    <w:rsid w:val="001B622A"/>
    <w:rsid w:val="001B62FB"/>
    <w:rsid w:val="001B6341"/>
    <w:rsid w:val="001B64F2"/>
    <w:rsid w:val="001B65A6"/>
    <w:rsid w:val="001B65DF"/>
    <w:rsid w:val="001B680F"/>
    <w:rsid w:val="001B6869"/>
    <w:rsid w:val="001B6906"/>
    <w:rsid w:val="001B6919"/>
    <w:rsid w:val="001B692E"/>
    <w:rsid w:val="001B6A16"/>
    <w:rsid w:val="001B6ABE"/>
    <w:rsid w:val="001B6C6B"/>
    <w:rsid w:val="001B6DCB"/>
    <w:rsid w:val="001B6DE7"/>
    <w:rsid w:val="001B6E32"/>
    <w:rsid w:val="001B6E64"/>
    <w:rsid w:val="001B6EBA"/>
    <w:rsid w:val="001B6EC4"/>
    <w:rsid w:val="001B6EFA"/>
    <w:rsid w:val="001B6EFE"/>
    <w:rsid w:val="001B6F34"/>
    <w:rsid w:val="001B6F5B"/>
    <w:rsid w:val="001B7040"/>
    <w:rsid w:val="001B71F5"/>
    <w:rsid w:val="001B72FA"/>
    <w:rsid w:val="001B7397"/>
    <w:rsid w:val="001B73A0"/>
    <w:rsid w:val="001B7427"/>
    <w:rsid w:val="001B7456"/>
    <w:rsid w:val="001B76E8"/>
    <w:rsid w:val="001B7850"/>
    <w:rsid w:val="001B7874"/>
    <w:rsid w:val="001B7942"/>
    <w:rsid w:val="001B7BC0"/>
    <w:rsid w:val="001B7D12"/>
    <w:rsid w:val="001B7E12"/>
    <w:rsid w:val="001B7EA2"/>
    <w:rsid w:val="001B7EBE"/>
    <w:rsid w:val="001B7F1D"/>
    <w:rsid w:val="001B7FC2"/>
    <w:rsid w:val="001C0142"/>
    <w:rsid w:val="001C01AF"/>
    <w:rsid w:val="001C0386"/>
    <w:rsid w:val="001C0392"/>
    <w:rsid w:val="001C03B8"/>
    <w:rsid w:val="001C03F2"/>
    <w:rsid w:val="001C04A9"/>
    <w:rsid w:val="001C04C8"/>
    <w:rsid w:val="001C060F"/>
    <w:rsid w:val="001C0718"/>
    <w:rsid w:val="001C08EC"/>
    <w:rsid w:val="001C0B67"/>
    <w:rsid w:val="001C0BF3"/>
    <w:rsid w:val="001C0E39"/>
    <w:rsid w:val="001C0EA6"/>
    <w:rsid w:val="001C0EFA"/>
    <w:rsid w:val="001C11B9"/>
    <w:rsid w:val="001C125B"/>
    <w:rsid w:val="001C127B"/>
    <w:rsid w:val="001C129C"/>
    <w:rsid w:val="001C12EB"/>
    <w:rsid w:val="001C148F"/>
    <w:rsid w:val="001C15E0"/>
    <w:rsid w:val="001C1700"/>
    <w:rsid w:val="001C18BB"/>
    <w:rsid w:val="001C18CA"/>
    <w:rsid w:val="001C19DC"/>
    <w:rsid w:val="001C1A55"/>
    <w:rsid w:val="001C1A8F"/>
    <w:rsid w:val="001C1B91"/>
    <w:rsid w:val="001C1BE1"/>
    <w:rsid w:val="001C1D01"/>
    <w:rsid w:val="001C1DE9"/>
    <w:rsid w:val="001C1E30"/>
    <w:rsid w:val="001C1EE3"/>
    <w:rsid w:val="001C1F90"/>
    <w:rsid w:val="001C2020"/>
    <w:rsid w:val="001C205A"/>
    <w:rsid w:val="001C20C0"/>
    <w:rsid w:val="001C22D3"/>
    <w:rsid w:val="001C22FC"/>
    <w:rsid w:val="001C230F"/>
    <w:rsid w:val="001C231C"/>
    <w:rsid w:val="001C2357"/>
    <w:rsid w:val="001C23DB"/>
    <w:rsid w:val="001C241A"/>
    <w:rsid w:val="001C2480"/>
    <w:rsid w:val="001C25CC"/>
    <w:rsid w:val="001C26D2"/>
    <w:rsid w:val="001C26E4"/>
    <w:rsid w:val="001C272F"/>
    <w:rsid w:val="001C2B38"/>
    <w:rsid w:val="001C2C14"/>
    <w:rsid w:val="001C2C91"/>
    <w:rsid w:val="001C2E0B"/>
    <w:rsid w:val="001C2EF1"/>
    <w:rsid w:val="001C301E"/>
    <w:rsid w:val="001C309F"/>
    <w:rsid w:val="001C30D9"/>
    <w:rsid w:val="001C30F1"/>
    <w:rsid w:val="001C3349"/>
    <w:rsid w:val="001C3494"/>
    <w:rsid w:val="001C34BE"/>
    <w:rsid w:val="001C3540"/>
    <w:rsid w:val="001C36C0"/>
    <w:rsid w:val="001C3912"/>
    <w:rsid w:val="001C39C7"/>
    <w:rsid w:val="001C39F0"/>
    <w:rsid w:val="001C3A62"/>
    <w:rsid w:val="001C3ACD"/>
    <w:rsid w:val="001C3B71"/>
    <w:rsid w:val="001C3BBA"/>
    <w:rsid w:val="001C3BFF"/>
    <w:rsid w:val="001C3C0B"/>
    <w:rsid w:val="001C3C5C"/>
    <w:rsid w:val="001C3CBA"/>
    <w:rsid w:val="001C3E57"/>
    <w:rsid w:val="001C3F4B"/>
    <w:rsid w:val="001C3F78"/>
    <w:rsid w:val="001C3FC5"/>
    <w:rsid w:val="001C401E"/>
    <w:rsid w:val="001C4070"/>
    <w:rsid w:val="001C40DB"/>
    <w:rsid w:val="001C419E"/>
    <w:rsid w:val="001C4276"/>
    <w:rsid w:val="001C432D"/>
    <w:rsid w:val="001C4390"/>
    <w:rsid w:val="001C440C"/>
    <w:rsid w:val="001C4548"/>
    <w:rsid w:val="001C45B9"/>
    <w:rsid w:val="001C45EC"/>
    <w:rsid w:val="001C4628"/>
    <w:rsid w:val="001C4694"/>
    <w:rsid w:val="001C4699"/>
    <w:rsid w:val="001C4816"/>
    <w:rsid w:val="001C4826"/>
    <w:rsid w:val="001C48B4"/>
    <w:rsid w:val="001C48BE"/>
    <w:rsid w:val="001C4922"/>
    <w:rsid w:val="001C498D"/>
    <w:rsid w:val="001C4A33"/>
    <w:rsid w:val="001C4A74"/>
    <w:rsid w:val="001C4B03"/>
    <w:rsid w:val="001C4B83"/>
    <w:rsid w:val="001C4C8A"/>
    <w:rsid w:val="001C4CFA"/>
    <w:rsid w:val="001C4D4C"/>
    <w:rsid w:val="001C500F"/>
    <w:rsid w:val="001C5012"/>
    <w:rsid w:val="001C5108"/>
    <w:rsid w:val="001C510D"/>
    <w:rsid w:val="001C5120"/>
    <w:rsid w:val="001C5226"/>
    <w:rsid w:val="001C52A7"/>
    <w:rsid w:val="001C52E2"/>
    <w:rsid w:val="001C52E5"/>
    <w:rsid w:val="001C53DF"/>
    <w:rsid w:val="001C542C"/>
    <w:rsid w:val="001C54E1"/>
    <w:rsid w:val="001C54E2"/>
    <w:rsid w:val="001C54E3"/>
    <w:rsid w:val="001C56E1"/>
    <w:rsid w:val="001C5706"/>
    <w:rsid w:val="001C57C5"/>
    <w:rsid w:val="001C5937"/>
    <w:rsid w:val="001C5946"/>
    <w:rsid w:val="001C59C7"/>
    <w:rsid w:val="001C5A47"/>
    <w:rsid w:val="001C5B0F"/>
    <w:rsid w:val="001C5B7C"/>
    <w:rsid w:val="001C5E2C"/>
    <w:rsid w:val="001C5E8E"/>
    <w:rsid w:val="001C603B"/>
    <w:rsid w:val="001C6144"/>
    <w:rsid w:val="001C615C"/>
    <w:rsid w:val="001C61DC"/>
    <w:rsid w:val="001C62C7"/>
    <w:rsid w:val="001C6309"/>
    <w:rsid w:val="001C6537"/>
    <w:rsid w:val="001C6652"/>
    <w:rsid w:val="001C66C8"/>
    <w:rsid w:val="001C6706"/>
    <w:rsid w:val="001C6773"/>
    <w:rsid w:val="001C67C1"/>
    <w:rsid w:val="001C6856"/>
    <w:rsid w:val="001C6898"/>
    <w:rsid w:val="001C68FD"/>
    <w:rsid w:val="001C6947"/>
    <w:rsid w:val="001C69F2"/>
    <w:rsid w:val="001C6ACC"/>
    <w:rsid w:val="001C6BBA"/>
    <w:rsid w:val="001C6C1B"/>
    <w:rsid w:val="001C6CA1"/>
    <w:rsid w:val="001C6CF9"/>
    <w:rsid w:val="001C6D25"/>
    <w:rsid w:val="001C6E02"/>
    <w:rsid w:val="001C6E7D"/>
    <w:rsid w:val="001C6E82"/>
    <w:rsid w:val="001C6ECC"/>
    <w:rsid w:val="001C7060"/>
    <w:rsid w:val="001C70B1"/>
    <w:rsid w:val="001C712D"/>
    <w:rsid w:val="001C714E"/>
    <w:rsid w:val="001C7254"/>
    <w:rsid w:val="001C725D"/>
    <w:rsid w:val="001C72E2"/>
    <w:rsid w:val="001C7349"/>
    <w:rsid w:val="001C73F8"/>
    <w:rsid w:val="001C747B"/>
    <w:rsid w:val="001C75A3"/>
    <w:rsid w:val="001C7825"/>
    <w:rsid w:val="001C78A3"/>
    <w:rsid w:val="001C790C"/>
    <w:rsid w:val="001C794B"/>
    <w:rsid w:val="001C7A88"/>
    <w:rsid w:val="001C7AEF"/>
    <w:rsid w:val="001C7B5D"/>
    <w:rsid w:val="001C7D91"/>
    <w:rsid w:val="001C7DAA"/>
    <w:rsid w:val="001D0100"/>
    <w:rsid w:val="001D0164"/>
    <w:rsid w:val="001D02AD"/>
    <w:rsid w:val="001D0328"/>
    <w:rsid w:val="001D0366"/>
    <w:rsid w:val="001D036F"/>
    <w:rsid w:val="001D0373"/>
    <w:rsid w:val="001D03C6"/>
    <w:rsid w:val="001D0482"/>
    <w:rsid w:val="001D0566"/>
    <w:rsid w:val="001D05DD"/>
    <w:rsid w:val="001D0759"/>
    <w:rsid w:val="001D0912"/>
    <w:rsid w:val="001D09EC"/>
    <w:rsid w:val="001D0B8F"/>
    <w:rsid w:val="001D0BC8"/>
    <w:rsid w:val="001D0BE8"/>
    <w:rsid w:val="001D0C23"/>
    <w:rsid w:val="001D0CCC"/>
    <w:rsid w:val="001D0DD7"/>
    <w:rsid w:val="001D0EC6"/>
    <w:rsid w:val="001D0EE3"/>
    <w:rsid w:val="001D0EF3"/>
    <w:rsid w:val="001D104B"/>
    <w:rsid w:val="001D1119"/>
    <w:rsid w:val="001D11DD"/>
    <w:rsid w:val="001D1252"/>
    <w:rsid w:val="001D1288"/>
    <w:rsid w:val="001D151B"/>
    <w:rsid w:val="001D156E"/>
    <w:rsid w:val="001D1578"/>
    <w:rsid w:val="001D1592"/>
    <w:rsid w:val="001D17B7"/>
    <w:rsid w:val="001D18CF"/>
    <w:rsid w:val="001D1D9A"/>
    <w:rsid w:val="001D1DBB"/>
    <w:rsid w:val="001D1DC3"/>
    <w:rsid w:val="001D1DCA"/>
    <w:rsid w:val="001D1DF5"/>
    <w:rsid w:val="001D1E5D"/>
    <w:rsid w:val="001D1F47"/>
    <w:rsid w:val="001D205C"/>
    <w:rsid w:val="001D2068"/>
    <w:rsid w:val="001D2096"/>
    <w:rsid w:val="001D2194"/>
    <w:rsid w:val="001D21AF"/>
    <w:rsid w:val="001D238F"/>
    <w:rsid w:val="001D23B6"/>
    <w:rsid w:val="001D23CC"/>
    <w:rsid w:val="001D256E"/>
    <w:rsid w:val="001D264F"/>
    <w:rsid w:val="001D26B9"/>
    <w:rsid w:val="001D2789"/>
    <w:rsid w:val="001D287D"/>
    <w:rsid w:val="001D2966"/>
    <w:rsid w:val="001D29AE"/>
    <w:rsid w:val="001D2A41"/>
    <w:rsid w:val="001D2AF3"/>
    <w:rsid w:val="001D2C27"/>
    <w:rsid w:val="001D2E5E"/>
    <w:rsid w:val="001D2E65"/>
    <w:rsid w:val="001D2EEE"/>
    <w:rsid w:val="001D2F3E"/>
    <w:rsid w:val="001D2F8A"/>
    <w:rsid w:val="001D3169"/>
    <w:rsid w:val="001D316D"/>
    <w:rsid w:val="001D3212"/>
    <w:rsid w:val="001D328F"/>
    <w:rsid w:val="001D34B6"/>
    <w:rsid w:val="001D34EB"/>
    <w:rsid w:val="001D3572"/>
    <w:rsid w:val="001D35DA"/>
    <w:rsid w:val="001D3817"/>
    <w:rsid w:val="001D3851"/>
    <w:rsid w:val="001D38F6"/>
    <w:rsid w:val="001D397A"/>
    <w:rsid w:val="001D39BF"/>
    <w:rsid w:val="001D3A59"/>
    <w:rsid w:val="001D3A65"/>
    <w:rsid w:val="001D3ADC"/>
    <w:rsid w:val="001D3AFF"/>
    <w:rsid w:val="001D3BCA"/>
    <w:rsid w:val="001D3C03"/>
    <w:rsid w:val="001D3DCB"/>
    <w:rsid w:val="001D3E35"/>
    <w:rsid w:val="001D404A"/>
    <w:rsid w:val="001D4172"/>
    <w:rsid w:val="001D422A"/>
    <w:rsid w:val="001D422B"/>
    <w:rsid w:val="001D4285"/>
    <w:rsid w:val="001D4287"/>
    <w:rsid w:val="001D4393"/>
    <w:rsid w:val="001D443E"/>
    <w:rsid w:val="001D4449"/>
    <w:rsid w:val="001D463F"/>
    <w:rsid w:val="001D4645"/>
    <w:rsid w:val="001D46CF"/>
    <w:rsid w:val="001D487F"/>
    <w:rsid w:val="001D498C"/>
    <w:rsid w:val="001D49A6"/>
    <w:rsid w:val="001D49EE"/>
    <w:rsid w:val="001D4A3B"/>
    <w:rsid w:val="001D4B57"/>
    <w:rsid w:val="001D4BB0"/>
    <w:rsid w:val="001D4C2F"/>
    <w:rsid w:val="001D4C4A"/>
    <w:rsid w:val="001D4C4F"/>
    <w:rsid w:val="001D4DA9"/>
    <w:rsid w:val="001D4DE0"/>
    <w:rsid w:val="001D4E15"/>
    <w:rsid w:val="001D4FEA"/>
    <w:rsid w:val="001D5181"/>
    <w:rsid w:val="001D52D2"/>
    <w:rsid w:val="001D536F"/>
    <w:rsid w:val="001D53BE"/>
    <w:rsid w:val="001D53EF"/>
    <w:rsid w:val="001D5447"/>
    <w:rsid w:val="001D553C"/>
    <w:rsid w:val="001D5547"/>
    <w:rsid w:val="001D5560"/>
    <w:rsid w:val="001D5638"/>
    <w:rsid w:val="001D56C9"/>
    <w:rsid w:val="001D570A"/>
    <w:rsid w:val="001D578C"/>
    <w:rsid w:val="001D5903"/>
    <w:rsid w:val="001D59F4"/>
    <w:rsid w:val="001D5A3F"/>
    <w:rsid w:val="001D5B1E"/>
    <w:rsid w:val="001D5C1A"/>
    <w:rsid w:val="001D5C60"/>
    <w:rsid w:val="001D5CC1"/>
    <w:rsid w:val="001D5CEB"/>
    <w:rsid w:val="001D5D0D"/>
    <w:rsid w:val="001D5D61"/>
    <w:rsid w:val="001D5FCE"/>
    <w:rsid w:val="001D6044"/>
    <w:rsid w:val="001D6063"/>
    <w:rsid w:val="001D607C"/>
    <w:rsid w:val="001D6146"/>
    <w:rsid w:val="001D62B6"/>
    <w:rsid w:val="001D62E8"/>
    <w:rsid w:val="001D647D"/>
    <w:rsid w:val="001D64B7"/>
    <w:rsid w:val="001D65C4"/>
    <w:rsid w:val="001D6887"/>
    <w:rsid w:val="001D68F0"/>
    <w:rsid w:val="001D697F"/>
    <w:rsid w:val="001D6A29"/>
    <w:rsid w:val="001D6A65"/>
    <w:rsid w:val="001D6A84"/>
    <w:rsid w:val="001D6AC1"/>
    <w:rsid w:val="001D6C95"/>
    <w:rsid w:val="001D6CAF"/>
    <w:rsid w:val="001D6CC9"/>
    <w:rsid w:val="001D6D7D"/>
    <w:rsid w:val="001D6DE2"/>
    <w:rsid w:val="001D6E9E"/>
    <w:rsid w:val="001D6EEE"/>
    <w:rsid w:val="001D6F05"/>
    <w:rsid w:val="001D6F6F"/>
    <w:rsid w:val="001D7038"/>
    <w:rsid w:val="001D7127"/>
    <w:rsid w:val="001D7179"/>
    <w:rsid w:val="001D72B2"/>
    <w:rsid w:val="001D730E"/>
    <w:rsid w:val="001D7381"/>
    <w:rsid w:val="001D73D9"/>
    <w:rsid w:val="001D7439"/>
    <w:rsid w:val="001D74C2"/>
    <w:rsid w:val="001D74DE"/>
    <w:rsid w:val="001D7540"/>
    <w:rsid w:val="001D7576"/>
    <w:rsid w:val="001D75CF"/>
    <w:rsid w:val="001D75E1"/>
    <w:rsid w:val="001D7619"/>
    <w:rsid w:val="001D768C"/>
    <w:rsid w:val="001D7765"/>
    <w:rsid w:val="001D7791"/>
    <w:rsid w:val="001D788D"/>
    <w:rsid w:val="001D793F"/>
    <w:rsid w:val="001D7A2D"/>
    <w:rsid w:val="001D7B5E"/>
    <w:rsid w:val="001D7C4A"/>
    <w:rsid w:val="001D7C5F"/>
    <w:rsid w:val="001D7C69"/>
    <w:rsid w:val="001D7CD9"/>
    <w:rsid w:val="001D7DC9"/>
    <w:rsid w:val="001D7DF9"/>
    <w:rsid w:val="001E0126"/>
    <w:rsid w:val="001E013B"/>
    <w:rsid w:val="001E01A1"/>
    <w:rsid w:val="001E0233"/>
    <w:rsid w:val="001E032C"/>
    <w:rsid w:val="001E037A"/>
    <w:rsid w:val="001E03D3"/>
    <w:rsid w:val="001E0408"/>
    <w:rsid w:val="001E0448"/>
    <w:rsid w:val="001E06CE"/>
    <w:rsid w:val="001E06D0"/>
    <w:rsid w:val="001E0885"/>
    <w:rsid w:val="001E08D0"/>
    <w:rsid w:val="001E0906"/>
    <w:rsid w:val="001E0962"/>
    <w:rsid w:val="001E096E"/>
    <w:rsid w:val="001E099D"/>
    <w:rsid w:val="001E09E9"/>
    <w:rsid w:val="001E0A45"/>
    <w:rsid w:val="001E0B04"/>
    <w:rsid w:val="001E0B0A"/>
    <w:rsid w:val="001E0B3E"/>
    <w:rsid w:val="001E0C50"/>
    <w:rsid w:val="001E0C51"/>
    <w:rsid w:val="001E0D03"/>
    <w:rsid w:val="001E0ED3"/>
    <w:rsid w:val="001E0FD8"/>
    <w:rsid w:val="001E122C"/>
    <w:rsid w:val="001E1285"/>
    <w:rsid w:val="001E139C"/>
    <w:rsid w:val="001E14A2"/>
    <w:rsid w:val="001E14F3"/>
    <w:rsid w:val="001E16A1"/>
    <w:rsid w:val="001E17A8"/>
    <w:rsid w:val="001E18D4"/>
    <w:rsid w:val="001E18F7"/>
    <w:rsid w:val="001E1C03"/>
    <w:rsid w:val="001E1DBB"/>
    <w:rsid w:val="001E1F85"/>
    <w:rsid w:val="001E1FBC"/>
    <w:rsid w:val="001E2002"/>
    <w:rsid w:val="001E2028"/>
    <w:rsid w:val="001E21BB"/>
    <w:rsid w:val="001E21E9"/>
    <w:rsid w:val="001E2262"/>
    <w:rsid w:val="001E254D"/>
    <w:rsid w:val="001E2567"/>
    <w:rsid w:val="001E266D"/>
    <w:rsid w:val="001E2675"/>
    <w:rsid w:val="001E26B8"/>
    <w:rsid w:val="001E27DA"/>
    <w:rsid w:val="001E2801"/>
    <w:rsid w:val="001E29E2"/>
    <w:rsid w:val="001E2A05"/>
    <w:rsid w:val="001E2B6E"/>
    <w:rsid w:val="001E2D9A"/>
    <w:rsid w:val="001E2F1F"/>
    <w:rsid w:val="001E2F22"/>
    <w:rsid w:val="001E302E"/>
    <w:rsid w:val="001E3098"/>
    <w:rsid w:val="001E30B0"/>
    <w:rsid w:val="001E3111"/>
    <w:rsid w:val="001E3125"/>
    <w:rsid w:val="001E3153"/>
    <w:rsid w:val="001E31A0"/>
    <w:rsid w:val="001E31B6"/>
    <w:rsid w:val="001E324B"/>
    <w:rsid w:val="001E328A"/>
    <w:rsid w:val="001E3322"/>
    <w:rsid w:val="001E356F"/>
    <w:rsid w:val="001E35B7"/>
    <w:rsid w:val="001E3622"/>
    <w:rsid w:val="001E3625"/>
    <w:rsid w:val="001E3686"/>
    <w:rsid w:val="001E373F"/>
    <w:rsid w:val="001E3807"/>
    <w:rsid w:val="001E3882"/>
    <w:rsid w:val="001E38F7"/>
    <w:rsid w:val="001E3988"/>
    <w:rsid w:val="001E3A34"/>
    <w:rsid w:val="001E3B65"/>
    <w:rsid w:val="001E3D75"/>
    <w:rsid w:val="001E3DC5"/>
    <w:rsid w:val="001E3E55"/>
    <w:rsid w:val="001E3ECF"/>
    <w:rsid w:val="001E3F19"/>
    <w:rsid w:val="001E3F3F"/>
    <w:rsid w:val="001E3F6F"/>
    <w:rsid w:val="001E4055"/>
    <w:rsid w:val="001E417E"/>
    <w:rsid w:val="001E41CB"/>
    <w:rsid w:val="001E41D8"/>
    <w:rsid w:val="001E4203"/>
    <w:rsid w:val="001E421E"/>
    <w:rsid w:val="001E4390"/>
    <w:rsid w:val="001E4463"/>
    <w:rsid w:val="001E447E"/>
    <w:rsid w:val="001E4594"/>
    <w:rsid w:val="001E45A6"/>
    <w:rsid w:val="001E469B"/>
    <w:rsid w:val="001E476A"/>
    <w:rsid w:val="001E47B4"/>
    <w:rsid w:val="001E483B"/>
    <w:rsid w:val="001E4881"/>
    <w:rsid w:val="001E48FE"/>
    <w:rsid w:val="001E4969"/>
    <w:rsid w:val="001E49C9"/>
    <w:rsid w:val="001E4A25"/>
    <w:rsid w:val="001E4A9A"/>
    <w:rsid w:val="001E4B3B"/>
    <w:rsid w:val="001E4BC0"/>
    <w:rsid w:val="001E4BCE"/>
    <w:rsid w:val="001E4BEC"/>
    <w:rsid w:val="001E4C08"/>
    <w:rsid w:val="001E4C48"/>
    <w:rsid w:val="001E4E1F"/>
    <w:rsid w:val="001E4E31"/>
    <w:rsid w:val="001E5081"/>
    <w:rsid w:val="001E509B"/>
    <w:rsid w:val="001E51A4"/>
    <w:rsid w:val="001E522B"/>
    <w:rsid w:val="001E5236"/>
    <w:rsid w:val="001E5253"/>
    <w:rsid w:val="001E5356"/>
    <w:rsid w:val="001E5535"/>
    <w:rsid w:val="001E553C"/>
    <w:rsid w:val="001E5568"/>
    <w:rsid w:val="001E556B"/>
    <w:rsid w:val="001E5619"/>
    <w:rsid w:val="001E57AA"/>
    <w:rsid w:val="001E57C4"/>
    <w:rsid w:val="001E57D1"/>
    <w:rsid w:val="001E58A2"/>
    <w:rsid w:val="001E59F9"/>
    <w:rsid w:val="001E5A95"/>
    <w:rsid w:val="001E5C7A"/>
    <w:rsid w:val="001E5D3B"/>
    <w:rsid w:val="001E5EBE"/>
    <w:rsid w:val="001E5EC9"/>
    <w:rsid w:val="001E5EE2"/>
    <w:rsid w:val="001E5F6C"/>
    <w:rsid w:val="001E6097"/>
    <w:rsid w:val="001E60DC"/>
    <w:rsid w:val="001E6208"/>
    <w:rsid w:val="001E62E4"/>
    <w:rsid w:val="001E631C"/>
    <w:rsid w:val="001E63AD"/>
    <w:rsid w:val="001E63EE"/>
    <w:rsid w:val="001E6537"/>
    <w:rsid w:val="001E656D"/>
    <w:rsid w:val="001E65E9"/>
    <w:rsid w:val="001E69BA"/>
    <w:rsid w:val="001E6A95"/>
    <w:rsid w:val="001E6C25"/>
    <w:rsid w:val="001E6C50"/>
    <w:rsid w:val="001E6C6E"/>
    <w:rsid w:val="001E6C81"/>
    <w:rsid w:val="001E6D04"/>
    <w:rsid w:val="001E6D48"/>
    <w:rsid w:val="001E6E29"/>
    <w:rsid w:val="001E6E2B"/>
    <w:rsid w:val="001E6E6A"/>
    <w:rsid w:val="001E6F2E"/>
    <w:rsid w:val="001E6F99"/>
    <w:rsid w:val="001E70A8"/>
    <w:rsid w:val="001E70AC"/>
    <w:rsid w:val="001E733B"/>
    <w:rsid w:val="001E734E"/>
    <w:rsid w:val="001E7364"/>
    <w:rsid w:val="001E73C3"/>
    <w:rsid w:val="001E73CB"/>
    <w:rsid w:val="001E750E"/>
    <w:rsid w:val="001E7524"/>
    <w:rsid w:val="001E7526"/>
    <w:rsid w:val="001E7584"/>
    <w:rsid w:val="001E7588"/>
    <w:rsid w:val="001E75EE"/>
    <w:rsid w:val="001E7660"/>
    <w:rsid w:val="001E7742"/>
    <w:rsid w:val="001E77A0"/>
    <w:rsid w:val="001E77FA"/>
    <w:rsid w:val="001E7947"/>
    <w:rsid w:val="001E7A01"/>
    <w:rsid w:val="001E7AE7"/>
    <w:rsid w:val="001E7C71"/>
    <w:rsid w:val="001E7CCF"/>
    <w:rsid w:val="001E7E00"/>
    <w:rsid w:val="001E7E73"/>
    <w:rsid w:val="001E7EED"/>
    <w:rsid w:val="001E7FE9"/>
    <w:rsid w:val="001F0168"/>
    <w:rsid w:val="001F0243"/>
    <w:rsid w:val="001F0348"/>
    <w:rsid w:val="001F0394"/>
    <w:rsid w:val="001F04EC"/>
    <w:rsid w:val="001F051D"/>
    <w:rsid w:val="001F066F"/>
    <w:rsid w:val="001F0793"/>
    <w:rsid w:val="001F07CE"/>
    <w:rsid w:val="001F08A9"/>
    <w:rsid w:val="001F0908"/>
    <w:rsid w:val="001F096F"/>
    <w:rsid w:val="001F099E"/>
    <w:rsid w:val="001F09CD"/>
    <w:rsid w:val="001F0A08"/>
    <w:rsid w:val="001F0A6C"/>
    <w:rsid w:val="001F0A77"/>
    <w:rsid w:val="001F0A8B"/>
    <w:rsid w:val="001F0D47"/>
    <w:rsid w:val="001F0DB9"/>
    <w:rsid w:val="001F0FE9"/>
    <w:rsid w:val="001F0FF8"/>
    <w:rsid w:val="001F1052"/>
    <w:rsid w:val="001F10AA"/>
    <w:rsid w:val="001F10CA"/>
    <w:rsid w:val="001F10F1"/>
    <w:rsid w:val="001F1156"/>
    <w:rsid w:val="001F12AC"/>
    <w:rsid w:val="001F130C"/>
    <w:rsid w:val="001F1578"/>
    <w:rsid w:val="001F15F2"/>
    <w:rsid w:val="001F1633"/>
    <w:rsid w:val="001F18FB"/>
    <w:rsid w:val="001F193B"/>
    <w:rsid w:val="001F1978"/>
    <w:rsid w:val="001F19C2"/>
    <w:rsid w:val="001F1B29"/>
    <w:rsid w:val="001F1B3F"/>
    <w:rsid w:val="001F1DD3"/>
    <w:rsid w:val="001F1E39"/>
    <w:rsid w:val="001F1EE4"/>
    <w:rsid w:val="001F1F0E"/>
    <w:rsid w:val="001F205D"/>
    <w:rsid w:val="001F20D2"/>
    <w:rsid w:val="001F21B7"/>
    <w:rsid w:val="001F23C2"/>
    <w:rsid w:val="001F242B"/>
    <w:rsid w:val="001F2514"/>
    <w:rsid w:val="001F2765"/>
    <w:rsid w:val="001F27D9"/>
    <w:rsid w:val="001F2830"/>
    <w:rsid w:val="001F28EE"/>
    <w:rsid w:val="001F2A60"/>
    <w:rsid w:val="001F2A8E"/>
    <w:rsid w:val="001F2ABF"/>
    <w:rsid w:val="001F2B1A"/>
    <w:rsid w:val="001F2B40"/>
    <w:rsid w:val="001F2C38"/>
    <w:rsid w:val="001F2C8A"/>
    <w:rsid w:val="001F2D0B"/>
    <w:rsid w:val="001F2D77"/>
    <w:rsid w:val="001F2E54"/>
    <w:rsid w:val="001F2ED0"/>
    <w:rsid w:val="001F2FD9"/>
    <w:rsid w:val="001F3023"/>
    <w:rsid w:val="001F305F"/>
    <w:rsid w:val="001F30F1"/>
    <w:rsid w:val="001F3112"/>
    <w:rsid w:val="001F3150"/>
    <w:rsid w:val="001F31CA"/>
    <w:rsid w:val="001F323F"/>
    <w:rsid w:val="001F3296"/>
    <w:rsid w:val="001F332D"/>
    <w:rsid w:val="001F33E2"/>
    <w:rsid w:val="001F33FF"/>
    <w:rsid w:val="001F3464"/>
    <w:rsid w:val="001F34BA"/>
    <w:rsid w:val="001F3596"/>
    <w:rsid w:val="001F36EF"/>
    <w:rsid w:val="001F3796"/>
    <w:rsid w:val="001F3805"/>
    <w:rsid w:val="001F3880"/>
    <w:rsid w:val="001F3915"/>
    <w:rsid w:val="001F3959"/>
    <w:rsid w:val="001F396E"/>
    <w:rsid w:val="001F3B46"/>
    <w:rsid w:val="001F3BCD"/>
    <w:rsid w:val="001F3C4C"/>
    <w:rsid w:val="001F3E66"/>
    <w:rsid w:val="001F3ECD"/>
    <w:rsid w:val="001F42A8"/>
    <w:rsid w:val="001F42D7"/>
    <w:rsid w:val="001F43AD"/>
    <w:rsid w:val="001F43E3"/>
    <w:rsid w:val="001F460B"/>
    <w:rsid w:val="001F4745"/>
    <w:rsid w:val="001F47CB"/>
    <w:rsid w:val="001F48A5"/>
    <w:rsid w:val="001F48F1"/>
    <w:rsid w:val="001F4B6E"/>
    <w:rsid w:val="001F4CD7"/>
    <w:rsid w:val="001F4E87"/>
    <w:rsid w:val="001F4EDD"/>
    <w:rsid w:val="001F4EE6"/>
    <w:rsid w:val="001F4F5C"/>
    <w:rsid w:val="001F50F2"/>
    <w:rsid w:val="001F51C5"/>
    <w:rsid w:val="001F5276"/>
    <w:rsid w:val="001F5374"/>
    <w:rsid w:val="001F54AD"/>
    <w:rsid w:val="001F5503"/>
    <w:rsid w:val="001F5549"/>
    <w:rsid w:val="001F554C"/>
    <w:rsid w:val="001F5599"/>
    <w:rsid w:val="001F55A6"/>
    <w:rsid w:val="001F5635"/>
    <w:rsid w:val="001F5946"/>
    <w:rsid w:val="001F59CB"/>
    <w:rsid w:val="001F5A15"/>
    <w:rsid w:val="001F5A1D"/>
    <w:rsid w:val="001F5AD0"/>
    <w:rsid w:val="001F5B13"/>
    <w:rsid w:val="001F5BF4"/>
    <w:rsid w:val="001F5CEB"/>
    <w:rsid w:val="001F5CEF"/>
    <w:rsid w:val="001F5DD6"/>
    <w:rsid w:val="001F5E61"/>
    <w:rsid w:val="001F5E90"/>
    <w:rsid w:val="001F5EA9"/>
    <w:rsid w:val="001F60F3"/>
    <w:rsid w:val="001F613A"/>
    <w:rsid w:val="001F6177"/>
    <w:rsid w:val="001F6180"/>
    <w:rsid w:val="001F6263"/>
    <w:rsid w:val="001F643C"/>
    <w:rsid w:val="001F64CE"/>
    <w:rsid w:val="001F64E2"/>
    <w:rsid w:val="001F67E2"/>
    <w:rsid w:val="001F67F0"/>
    <w:rsid w:val="001F680E"/>
    <w:rsid w:val="001F697E"/>
    <w:rsid w:val="001F698D"/>
    <w:rsid w:val="001F6A49"/>
    <w:rsid w:val="001F6B22"/>
    <w:rsid w:val="001F6B2C"/>
    <w:rsid w:val="001F6B35"/>
    <w:rsid w:val="001F6BE4"/>
    <w:rsid w:val="001F6C0D"/>
    <w:rsid w:val="001F6C24"/>
    <w:rsid w:val="001F6DD6"/>
    <w:rsid w:val="001F6DE7"/>
    <w:rsid w:val="001F6FDC"/>
    <w:rsid w:val="001F7003"/>
    <w:rsid w:val="001F703E"/>
    <w:rsid w:val="001F7087"/>
    <w:rsid w:val="001F7334"/>
    <w:rsid w:val="001F7399"/>
    <w:rsid w:val="001F73B4"/>
    <w:rsid w:val="001F754C"/>
    <w:rsid w:val="001F75FF"/>
    <w:rsid w:val="001F7691"/>
    <w:rsid w:val="001F76BA"/>
    <w:rsid w:val="001F7846"/>
    <w:rsid w:val="001F7918"/>
    <w:rsid w:val="001F7A15"/>
    <w:rsid w:val="001F7A46"/>
    <w:rsid w:val="001F7C95"/>
    <w:rsid w:val="001F7D02"/>
    <w:rsid w:val="001F7D39"/>
    <w:rsid w:val="00200068"/>
    <w:rsid w:val="0020013A"/>
    <w:rsid w:val="0020029A"/>
    <w:rsid w:val="002002E8"/>
    <w:rsid w:val="002003E0"/>
    <w:rsid w:val="0020054B"/>
    <w:rsid w:val="00200697"/>
    <w:rsid w:val="002007FC"/>
    <w:rsid w:val="00200961"/>
    <w:rsid w:val="0020098E"/>
    <w:rsid w:val="00200B1F"/>
    <w:rsid w:val="00200C9A"/>
    <w:rsid w:val="00200CBE"/>
    <w:rsid w:val="00200D3A"/>
    <w:rsid w:val="00200D7E"/>
    <w:rsid w:val="00200E4B"/>
    <w:rsid w:val="00200EC6"/>
    <w:rsid w:val="00200F1A"/>
    <w:rsid w:val="00200F4E"/>
    <w:rsid w:val="00200FC6"/>
    <w:rsid w:val="00201023"/>
    <w:rsid w:val="002010B4"/>
    <w:rsid w:val="002010D1"/>
    <w:rsid w:val="002011FF"/>
    <w:rsid w:val="0020120A"/>
    <w:rsid w:val="0020135F"/>
    <w:rsid w:val="0020136B"/>
    <w:rsid w:val="002013DF"/>
    <w:rsid w:val="002015FB"/>
    <w:rsid w:val="00201605"/>
    <w:rsid w:val="00201629"/>
    <w:rsid w:val="00201800"/>
    <w:rsid w:val="002018DC"/>
    <w:rsid w:val="002018F3"/>
    <w:rsid w:val="00201969"/>
    <w:rsid w:val="00201991"/>
    <w:rsid w:val="002019AF"/>
    <w:rsid w:val="002019E3"/>
    <w:rsid w:val="00201A51"/>
    <w:rsid w:val="00201B62"/>
    <w:rsid w:val="00201B77"/>
    <w:rsid w:val="00201C86"/>
    <w:rsid w:val="00201CA9"/>
    <w:rsid w:val="00201FE1"/>
    <w:rsid w:val="0020200A"/>
    <w:rsid w:val="00202056"/>
    <w:rsid w:val="00202061"/>
    <w:rsid w:val="00202117"/>
    <w:rsid w:val="00202240"/>
    <w:rsid w:val="0020239B"/>
    <w:rsid w:val="002023A6"/>
    <w:rsid w:val="002023B1"/>
    <w:rsid w:val="002023D7"/>
    <w:rsid w:val="00202454"/>
    <w:rsid w:val="002024CC"/>
    <w:rsid w:val="002024E8"/>
    <w:rsid w:val="0020253C"/>
    <w:rsid w:val="002026A6"/>
    <w:rsid w:val="002027EC"/>
    <w:rsid w:val="00202994"/>
    <w:rsid w:val="00202A30"/>
    <w:rsid w:val="00202A58"/>
    <w:rsid w:val="00202C0A"/>
    <w:rsid w:val="00202CB3"/>
    <w:rsid w:val="00202E41"/>
    <w:rsid w:val="00202E78"/>
    <w:rsid w:val="00202EC4"/>
    <w:rsid w:val="00202EE7"/>
    <w:rsid w:val="00202F27"/>
    <w:rsid w:val="00202F2B"/>
    <w:rsid w:val="00202F8E"/>
    <w:rsid w:val="00202F95"/>
    <w:rsid w:val="00203001"/>
    <w:rsid w:val="0020300F"/>
    <w:rsid w:val="0020308A"/>
    <w:rsid w:val="002030B4"/>
    <w:rsid w:val="002031ED"/>
    <w:rsid w:val="0020332C"/>
    <w:rsid w:val="00203500"/>
    <w:rsid w:val="0020362D"/>
    <w:rsid w:val="00203676"/>
    <w:rsid w:val="0020375C"/>
    <w:rsid w:val="00203816"/>
    <w:rsid w:val="002038CB"/>
    <w:rsid w:val="0020390A"/>
    <w:rsid w:val="002039BD"/>
    <w:rsid w:val="00203A05"/>
    <w:rsid w:val="00203ABF"/>
    <w:rsid w:val="00203C72"/>
    <w:rsid w:val="00203D8F"/>
    <w:rsid w:val="00203DAC"/>
    <w:rsid w:val="002040A3"/>
    <w:rsid w:val="002041C4"/>
    <w:rsid w:val="002041DB"/>
    <w:rsid w:val="0020425B"/>
    <w:rsid w:val="002042A0"/>
    <w:rsid w:val="002043D7"/>
    <w:rsid w:val="002045BB"/>
    <w:rsid w:val="00204603"/>
    <w:rsid w:val="00204811"/>
    <w:rsid w:val="002048EA"/>
    <w:rsid w:val="00204907"/>
    <w:rsid w:val="00204908"/>
    <w:rsid w:val="00204A81"/>
    <w:rsid w:val="00204B80"/>
    <w:rsid w:val="00204CB3"/>
    <w:rsid w:val="00204D34"/>
    <w:rsid w:val="00204DD0"/>
    <w:rsid w:val="00204E2B"/>
    <w:rsid w:val="00204E69"/>
    <w:rsid w:val="00204F51"/>
    <w:rsid w:val="00205111"/>
    <w:rsid w:val="002051A1"/>
    <w:rsid w:val="00205201"/>
    <w:rsid w:val="0020525B"/>
    <w:rsid w:val="002052BA"/>
    <w:rsid w:val="002052BC"/>
    <w:rsid w:val="00205455"/>
    <w:rsid w:val="0020547B"/>
    <w:rsid w:val="00205621"/>
    <w:rsid w:val="002057E8"/>
    <w:rsid w:val="00205987"/>
    <w:rsid w:val="00205998"/>
    <w:rsid w:val="00205A5B"/>
    <w:rsid w:val="00205B72"/>
    <w:rsid w:val="00205BBA"/>
    <w:rsid w:val="00205C41"/>
    <w:rsid w:val="00205D16"/>
    <w:rsid w:val="00205D4D"/>
    <w:rsid w:val="00205D80"/>
    <w:rsid w:val="00205DC9"/>
    <w:rsid w:val="0020603C"/>
    <w:rsid w:val="0020609D"/>
    <w:rsid w:val="00206107"/>
    <w:rsid w:val="00206149"/>
    <w:rsid w:val="0020619A"/>
    <w:rsid w:val="00206295"/>
    <w:rsid w:val="002062A1"/>
    <w:rsid w:val="0020639F"/>
    <w:rsid w:val="00206511"/>
    <w:rsid w:val="00206600"/>
    <w:rsid w:val="002066F5"/>
    <w:rsid w:val="00206A89"/>
    <w:rsid w:val="00206AAF"/>
    <w:rsid w:val="00206AD0"/>
    <w:rsid w:val="00206B19"/>
    <w:rsid w:val="00206C59"/>
    <w:rsid w:val="00206C82"/>
    <w:rsid w:val="00206D5E"/>
    <w:rsid w:val="00206D79"/>
    <w:rsid w:val="00206EE7"/>
    <w:rsid w:val="00206F56"/>
    <w:rsid w:val="00206F71"/>
    <w:rsid w:val="00206F76"/>
    <w:rsid w:val="00206FB2"/>
    <w:rsid w:val="00207034"/>
    <w:rsid w:val="00207110"/>
    <w:rsid w:val="0020714F"/>
    <w:rsid w:val="00207169"/>
    <w:rsid w:val="00207633"/>
    <w:rsid w:val="00207690"/>
    <w:rsid w:val="002076B2"/>
    <w:rsid w:val="002076C7"/>
    <w:rsid w:val="00207731"/>
    <w:rsid w:val="00207757"/>
    <w:rsid w:val="002078CC"/>
    <w:rsid w:val="0020795F"/>
    <w:rsid w:val="00207A3F"/>
    <w:rsid w:val="00207A93"/>
    <w:rsid w:val="00207C06"/>
    <w:rsid w:val="00207DF7"/>
    <w:rsid w:val="00207E17"/>
    <w:rsid w:val="00207F57"/>
    <w:rsid w:val="00207F84"/>
    <w:rsid w:val="00207FA0"/>
    <w:rsid w:val="00207FB3"/>
    <w:rsid w:val="00210199"/>
    <w:rsid w:val="002101B0"/>
    <w:rsid w:val="002102D9"/>
    <w:rsid w:val="002102DB"/>
    <w:rsid w:val="00210362"/>
    <w:rsid w:val="0021037D"/>
    <w:rsid w:val="002103EC"/>
    <w:rsid w:val="00210410"/>
    <w:rsid w:val="00210550"/>
    <w:rsid w:val="0021059A"/>
    <w:rsid w:val="002105E7"/>
    <w:rsid w:val="00210610"/>
    <w:rsid w:val="00210704"/>
    <w:rsid w:val="002107BC"/>
    <w:rsid w:val="002107CA"/>
    <w:rsid w:val="00210832"/>
    <w:rsid w:val="00210865"/>
    <w:rsid w:val="0021088D"/>
    <w:rsid w:val="00210990"/>
    <w:rsid w:val="002109B9"/>
    <w:rsid w:val="00210A1F"/>
    <w:rsid w:val="00210AF6"/>
    <w:rsid w:val="00210B36"/>
    <w:rsid w:val="00210B77"/>
    <w:rsid w:val="00210D79"/>
    <w:rsid w:val="00210DB8"/>
    <w:rsid w:val="00210E7F"/>
    <w:rsid w:val="00210EC4"/>
    <w:rsid w:val="00210F62"/>
    <w:rsid w:val="00210F7A"/>
    <w:rsid w:val="002110A5"/>
    <w:rsid w:val="002110AC"/>
    <w:rsid w:val="002110B8"/>
    <w:rsid w:val="002111E1"/>
    <w:rsid w:val="002111FD"/>
    <w:rsid w:val="002112AA"/>
    <w:rsid w:val="002113C5"/>
    <w:rsid w:val="002114DB"/>
    <w:rsid w:val="002116FC"/>
    <w:rsid w:val="00211745"/>
    <w:rsid w:val="00211776"/>
    <w:rsid w:val="0021183A"/>
    <w:rsid w:val="00211884"/>
    <w:rsid w:val="00211901"/>
    <w:rsid w:val="002119A1"/>
    <w:rsid w:val="00211B7B"/>
    <w:rsid w:val="00211CBA"/>
    <w:rsid w:val="00211CD3"/>
    <w:rsid w:val="00211D08"/>
    <w:rsid w:val="00211D73"/>
    <w:rsid w:val="00211D86"/>
    <w:rsid w:val="00211DB4"/>
    <w:rsid w:val="00211E38"/>
    <w:rsid w:val="00211F8A"/>
    <w:rsid w:val="0021205B"/>
    <w:rsid w:val="00212244"/>
    <w:rsid w:val="00212298"/>
    <w:rsid w:val="00212331"/>
    <w:rsid w:val="0021243C"/>
    <w:rsid w:val="00212480"/>
    <w:rsid w:val="002124DD"/>
    <w:rsid w:val="0021257C"/>
    <w:rsid w:val="0021262C"/>
    <w:rsid w:val="00212719"/>
    <w:rsid w:val="00212822"/>
    <w:rsid w:val="00212845"/>
    <w:rsid w:val="00212A3B"/>
    <w:rsid w:val="00212A4E"/>
    <w:rsid w:val="00212AAF"/>
    <w:rsid w:val="00212AC7"/>
    <w:rsid w:val="00212AEB"/>
    <w:rsid w:val="00212B8D"/>
    <w:rsid w:val="00212D3A"/>
    <w:rsid w:val="00212E3D"/>
    <w:rsid w:val="00212E83"/>
    <w:rsid w:val="00212F0B"/>
    <w:rsid w:val="00212F0E"/>
    <w:rsid w:val="00212F6B"/>
    <w:rsid w:val="00212FD0"/>
    <w:rsid w:val="00213018"/>
    <w:rsid w:val="0021308A"/>
    <w:rsid w:val="002130A5"/>
    <w:rsid w:val="0021310E"/>
    <w:rsid w:val="002131D1"/>
    <w:rsid w:val="00213263"/>
    <w:rsid w:val="002133F2"/>
    <w:rsid w:val="00213842"/>
    <w:rsid w:val="00213860"/>
    <w:rsid w:val="002138BD"/>
    <w:rsid w:val="002138CC"/>
    <w:rsid w:val="002138F8"/>
    <w:rsid w:val="00213D86"/>
    <w:rsid w:val="00213E53"/>
    <w:rsid w:val="00213F21"/>
    <w:rsid w:val="00213FD3"/>
    <w:rsid w:val="00214003"/>
    <w:rsid w:val="0021404D"/>
    <w:rsid w:val="00214203"/>
    <w:rsid w:val="00214260"/>
    <w:rsid w:val="0021431D"/>
    <w:rsid w:val="00214352"/>
    <w:rsid w:val="00214412"/>
    <w:rsid w:val="00214503"/>
    <w:rsid w:val="002145DF"/>
    <w:rsid w:val="0021462C"/>
    <w:rsid w:val="00214711"/>
    <w:rsid w:val="00214756"/>
    <w:rsid w:val="002147EC"/>
    <w:rsid w:val="002149CF"/>
    <w:rsid w:val="00214A5B"/>
    <w:rsid w:val="00214D42"/>
    <w:rsid w:val="00214E28"/>
    <w:rsid w:val="00214E82"/>
    <w:rsid w:val="002151B6"/>
    <w:rsid w:val="00215293"/>
    <w:rsid w:val="00215401"/>
    <w:rsid w:val="0021545A"/>
    <w:rsid w:val="002154BE"/>
    <w:rsid w:val="00215562"/>
    <w:rsid w:val="002155BD"/>
    <w:rsid w:val="002157B0"/>
    <w:rsid w:val="002157CF"/>
    <w:rsid w:val="0021582E"/>
    <w:rsid w:val="002158B9"/>
    <w:rsid w:val="00215A4B"/>
    <w:rsid w:val="00215AFE"/>
    <w:rsid w:val="00215B68"/>
    <w:rsid w:val="00215DE3"/>
    <w:rsid w:val="00216089"/>
    <w:rsid w:val="002162B5"/>
    <w:rsid w:val="002163A3"/>
    <w:rsid w:val="002163FA"/>
    <w:rsid w:val="00216641"/>
    <w:rsid w:val="00216648"/>
    <w:rsid w:val="00216655"/>
    <w:rsid w:val="0021673C"/>
    <w:rsid w:val="00216940"/>
    <w:rsid w:val="00216968"/>
    <w:rsid w:val="00216AD6"/>
    <w:rsid w:val="00216B53"/>
    <w:rsid w:val="00216B84"/>
    <w:rsid w:val="00216B9F"/>
    <w:rsid w:val="00216C2A"/>
    <w:rsid w:val="00216C55"/>
    <w:rsid w:val="00216CC2"/>
    <w:rsid w:val="00216CEB"/>
    <w:rsid w:val="00216E2D"/>
    <w:rsid w:val="00216EC2"/>
    <w:rsid w:val="00216F10"/>
    <w:rsid w:val="00216FCE"/>
    <w:rsid w:val="00216FE6"/>
    <w:rsid w:val="00217030"/>
    <w:rsid w:val="002171DB"/>
    <w:rsid w:val="00217233"/>
    <w:rsid w:val="002172A5"/>
    <w:rsid w:val="002173B7"/>
    <w:rsid w:val="002173C0"/>
    <w:rsid w:val="00217608"/>
    <w:rsid w:val="0021764D"/>
    <w:rsid w:val="002176E4"/>
    <w:rsid w:val="0021774F"/>
    <w:rsid w:val="0021795F"/>
    <w:rsid w:val="002179BE"/>
    <w:rsid w:val="002179DA"/>
    <w:rsid w:val="002179EE"/>
    <w:rsid w:val="00217A17"/>
    <w:rsid w:val="00217C84"/>
    <w:rsid w:val="00217C96"/>
    <w:rsid w:val="00217E80"/>
    <w:rsid w:val="00217EFC"/>
    <w:rsid w:val="00217F29"/>
    <w:rsid w:val="00217F3D"/>
    <w:rsid w:val="00217F96"/>
    <w:rsid w:val="00217FB4"/>
    <w:rsid w:val="00217FC4"/>
    <w:rsid w:val="002200F4"/>
    <w:rsid w:val="0022011C"/>
    <w:rsid w:val="002202B6"/>
    <w:rsid w:val="0022031C"/>
    <w:rsid w:val="00220374"/>
    <w:rsid w:val="00220559"/>
    <w:rsid w:val="002206BF"/>
    <w:rsid w:val="002206E4"/>
    <w:rsid w:val="0022072D"/>
    <w:rsid w:val="002207BF"/>
    <w:rsid w:val="00220824"/>
    <w:rsid w:val="00220909"/>
    <w:rsid w:val="00220AC5"/>
    <w:rsid w:val="00220CDF"/>
    <w:rsid w:val="00220D1A"/>
    <w:rsid w:val="00220E16"/>
    <w:rsid w:val="00220F8C"/>
    <w:rsid w:val="00221285"/>
    <w:rsid w:val="002212DC"/>
    <w:rsid w:val="00221456"/>
    <w:rsid w:val="002215E2"/>
    <w:rsid w:val="0022161A"/>
    <w:rsid w:val="0022180E"/>
    <w:rsid w:val="00221858"/>
    <w:rsid w:val="002218D6"/>
    <w:rsid w:val="0022198F"/>
    <w:rsid w:val="002219AF"/>
    <w:rsid w:val="00221AA5"/>
    <w:rsid w:val="00221AEF"/>
    <w:rsid w:val="00221B4C"/>
    <w:rsid w:val="00221C36"/>
    <w:rsid w:val="00221C54"/>
    <w:rsid w:val="00221DA1"/>
    <w:rsid w:val="00221DAD"/>
    <w:rsid w:val="00221E98"/>
    <w:rsid w:val="00221F27"/>
    <w:rsid w:val="00221F2C"/>
    <w:rsid w:val="00221FF8"/>
    <w:rsid w:val="00222207"/>
    <w:rsid w:val="002222D1"/>
    <w:rsid w:val="00222369"/>
    <w:rsid w:val="002223BB"/>
    <w:rsid w:val="00222429"/>
    <w:rsid w:val="002224A6"/>
    <w:rsid w:val="0022253A"/>
    <w:rsid w:val="0022253B"/>
    <w:rsid w:val="0022256C"/>
    <w:rsid w:val="002226D6"/>
    <w:rsid w:val="0022270C"/>
    <w:rsid w:val="0022271A"/>
    <w:rsid w:val="0022276B"/>
    <w:rsid w:val="002227D3"/>
    <w:rsid w:val="002228FD"/>
    <w:rsid w:val="00222999"/>
    <w:rsid w:val="002229BA"/>
    <w:rsid w:val="00222AC0"/>
    <w:rsid w:val="00222AEE"/>
    <w:rsid w:val="00222BC8"/>
    <w:rsid w:val="00222C3E"/>
    <w:rsid w:val="00222C8A"/>
    <w:rsid w:val="00222D5C"/>
    <w:rsid w:val="00222DAF"/>
    <w:rsid w:val="00222EE6"/>
    <w:rsid w:val="00222F45"/>
    <w:rsid w:val="00222F8E"/>
    <w:rsid w:val="0022301C"/>
    <w:rsid w:val="0022307B"/>
    <w:rsid w:val="002231CE"/>
    <w:rsid w:val="00223268"/>
    <w:rsid w:val="002232BF"/>
    <w:rsid w:val="00223382"/>
    <w:rsid w:val="00223393"/>
    <w:rsid w:val="0022348E"/>
    <w:rsid w:val="002235B2"/>
    <w:rsid w:val="002236E8"/>
    <w:rsid w:val="002236F6"/>
    <w:rsid w:val="00223890"/>
    <w:rsid w:val="002238C3"/>
    <w:rsid w:val="00223A9D"/>
    <w:rsid w:val="00223BF4"/>
    <w:rsid w:val="00223C6B"/>
    <w:rsid w:val="00223C71"/>
    <w:rsid w:val="00223C7C"/>
    <w:rsid w:val="00223CA9"/>
    <w:rsid w:val="00223E01"/>
    <w:rsid w:val="00223E46"/>
    <w:rsid w:val="00223EA9"/>
    <w:rsid w:val="00223F5F"/>
    <w:rsid w:val="00223F7B"/>
    <w:rsid w:val="00223F7E"/>
    <w:rsid w:val="0022409A"/>
    <w:rsid w:val="0022419E"/>
    <w:rsid w:val="002241DD"/>
    <w:rsid w:val="002241EC"/>
    <w:rsid w:val="002242F0"/>
    <w:rsid w:val="002244BD"/>
    <w:rsid w:val="002244BE"/>
    <w:rsid w:val="002245E5"/>
    <w:rsid w:val="00224761"/>
    <w:rsid w:val="00224919"/>
    <w:rsid w:val="00224AC7"/>
    <w:rsid w:val="00224C7D"/>
    <w:rsid w:val="00224DCD"/>
    <w:rsid w:val="00224DDF"/>
    <w:rsid w:val="00224DF5"/>
    <w:rsid w:val="00224E38"/>
    <w:rsid w:val="00224E68"/>
    <w:rsid w:val="002250CC"/>
    <w:rsid w:val="002251A3"/>
    <w:rsid w:val="002251BD"/>
    <w:rsid w:val="002251F4"/>
    <w:rsid w:val="0022530B"/>
    <w:rsid w:val="002254CA"/>
    <w:rsid w:val="00225628"/>
    <w:rsid w:val="0022565F"/>
    <w:rsid w:val="002256BD"/>
    <w:rsid w:val="0022570D"/>
    <w:rsid w:val="00225812"/>
    <w:rsid w:val="00225916"/>
    <w:rsid w:val="00225A2E"/>
    <w:rsid w:val="00225A5A"/>
    <w:rsid w:val="00225AF2"/>
    <w:rsid w:val="00225BB9"/>
    <w:rsid w:val="00225CC9"/>
    <w:rsid w:val="00225D50"/>
    <w:rsid w:val="00225EF9"/>
    <w:rsid w:val="00225F5B"/>
    <w:rsid w:val="002260CE"/>
    <w:rsid w:val="002260D5"/>
    <w:rsid w:val="0022631C"/>
    <w:rsid w:val="0022635E"/>
    <w:rsid w:val="002264C2"/>
    <w:rsid w:val="00226695"/>
    <w:rsid w:val="002266C4"/>
    <w:rsid w:val="002267E0"/>
    <w:rsid w:val="00226902"/>
    <w:rsid w:val="00226A31"/>
    <w:rsid w:val="00226A3E"/>
    <w:rsid w:val="00226A9C"/>
    <w:rsid w:val="00226EE7"/>
    <w:rsid w:val="00226EEB"/>
    <w:rsid w:val="00226F62"/>
    <w:rsid w:val="00227048"/>
    <w:rsid w:val="0022706C"/>
    <w:rsid w:val="002270C9"/>
    <w:rsid w:val="00227104"/>
    <w:rsid w:val="002272AD"/>
    <w:rsid w:val="0022732B"/>
    <w:rsid w:val="002273F0"/>
    <w:rsid w:val="002273FF"/>
    <w:rsid w:val="00227486"/>
    <w:rsid w:val="002275DF"/>
    <w:rsid w:val="002275FE"/>
    <w:rsid w:val="002276AD"/>
    <w:rsid w:val="00227913"/>
    <w:rsid w:val="00227A16"/>
    <w:rsid w:val="00227A55"/>
    <w:rsid w:val="00227AE7"/>
    <w:rsid w:val="00227B44"/>
    <w:rsid w:val="00227BA0"/>
    <w:rsid w:val="00227C69"/>
    <w:rsid w:val="00227CFB"/>
    <w:rsid w:val="00227D41"/>
    <w:rsid w:val="00227D52"/>
    <w:rsid w:val="00227E0B"/>
    <w:rsid w:val="00227E45"/>
    <w:rsid w:val="00227E7A"/>
    <w:rsid w:val="002301A0"/>
    <w:rsid w:val="0023035A"/>
    <w:rsid w:val="002303C0"/>
    <w:rsid w:val="00230519"/>
    <w:rsid w:val="0023055D"/>
    <w:rsid w:val="00230609"/>
    <w:rsid w:val="00230720"/>
    <w:rsid w:val="00230733"/>
    <w:rsid w:val="002307A3"/>
    <w:rsid w:val="00230A88"/>
    <w:rsid w:val="00230BC7"/>
    <w:rsid w:val="00230C6C"/>
    <w:rsid w:val="00230D59"/>
    <w:rsid w:val="00230E6E"/>
    <w:rsid w:val="00230F92"/>
    <w:rsid w:val="002310FE"/>
    <w:rsid w:val="002312CB"/>
    <w:rsid w:val="00231339"/>
    <w:rsid w:val="00231518"/>
    <w:rsid w:val="002315BB"/>
    <w:rsid w:val="0023168F"/>
    <w:rsid w:val="002316AC"/>
    <w:rsid w:val="0023170C"/>
    <w:rsid w:val="002318A4"/>
    <w:rsid w:val="0023196E"/>
    <w:rsid w:val="00231982"/>
    <w:rsid w:val="00231988"/>
    <w:rsid w:val="00231A35"/>
    <w:rsid w:val="00231ACD"/>
    <w:rsid w:val="00231C59"/>
    <w:rsid w:val="00231D75"/>
    <w:rsid w:val="00231DB6"/>
    <w:rsid w:val="00231F72"/>
    <w:rsid w:val="00232096"/>
    <w:rsid w:val="002321C6"/>
    <w:rsid w:val="002323F6"/>
    <w:rsid w:val="00232434"/>
    <w:rsid w:val="0023245E"/>
    <w:rsid w:val="002324F3"/>
    <w:rsid w:val="0023250B"/>
    <w:rsid w:val="002325A3"/>
    <w:rsid w:val="002325F6"/>
    <w:rsid w:val="002326C0"/>
    <w:rsid w:val="00232733"/>
    <w:rsid w:val="002327C2"/>
    <w:rsid w:val="00232877"/>
    <w:rsid w:val="0023298E"/>
    <w:rsid w:val="00232A32"/>
    <w:rsid w:val="00232A92"/>
    <w:rsid w:val="00232B98"/>
    <w:rsid w:val="00232BCF"/>
    <w:rsid w:val="00232C7D"/>
    <w:rsid w:val="00232D26"/>
    <w:rsid w:val="00232D5D"/>
    <w:rsid w:val="00232E97"/>
    <w:rsid w:val="00233108"/>
    <w:rsid w:val="00233201"/>
    <w:rsid w:val="0023323C"/>
    <w:rsid w:val="0023325B"/>
    <w:rsid w:val="002332D4"/>
    <w:rsid w:val="0023332C"/>
    <w:rsid w:val="002333C4"/>
    <w:rsid w:val="00233436"/>
    <w:rsid w:val="00233717"/>
    <w:rsid w:val="00233763"/>
    <w:rsid w:val="00233879"/>
    <w:rsid w:val="00233898"/>
    <w:rsid w:val="00233907"/>
    <w:rsid w:val="00233948"/>
    <w:rsid w:val="002339F2"/>
    <w:rsid w:val="00233A3E"/>
    <w:rsid w:val="00233AA3"/>
    <w:rsid w:val="00233C46"/>
    <w:rsid w:val="00233C5D"/>
    <w:rsid w:val="00233C71"/>
    <w:rsid w:val="00233CA4"/>
    <w:rsid w:val="00233DF7"/>
    <w:rsid w:val="00233EA4"/>
    <w:rsid w:val="00233FA3"/>
    <w:rsid w:val="00234014"/>
    <w:rsid w:val="00234056"/>
    <w:rsid w:val="00234085"/>
    <w:rsid w:val="002340B2"/>
    <w:rsid w:val="002340E9"/>
    <w:rsid w:val="002341A9"/>
    <w:rsid w:val="0023420B"/>
    <w:rsid w:val="00234277"/>
    <w:rsid w:val="00234398"/>
    <w:rsid w:val="002343C2"/>
    <w:rsid w:val="0023448D"/>
    <w:rsid w:val="0023469D"/>
    <w:rsid w:val="00234806"/>
    <w:rsid w:val="0023486F"/>
    <w:rsid w:val="00234AA9"/>
    <w:rsid w:val="00234B86"/>
    <w:rsid w:val="00234BDE"/>
    <w:rsid w:val="00234CA4"/>
    <w:rsid w:val="00234CA5"/>
    <w:rsid w:val="00234D09"/>
    <w:rsid w:val="00234D11"/>
    <w:rsid w:val="00234D75"/>
    <w:rsid w:val="00234D8A"/>
    <w:rsid w:val="00234DBC"/>
    <w:rsid w:val="00234E03"/>
    <w:rsid w:val="00234E8B"/>
    <w:rsid w:val="00234EA2"/>
    <w:rsid w:val="00234FE4"/>
    <w:rsid w:val="00235055"/>
    <w:rsid w:val="00235087"/>
    <w:rsid w:val="0023518A"/>
    <w:rsid w:val="002351E5"/>
    <w:rsid w:val="00235241"/>
    <w:rsid w:val="00235254"/>
    <w:rsid w:val="002352B3"/>
    <w:rsid w:val="002355BC"/>
    <w:rsid w:val="0023571D"/>
    <w:rsid w:val="0023575F"/>
    <w:rsid w:val="002357E5"/>
    <w:rsid w:val="00235934"/>
    <w:rsid w:val="00235AAD"/>
    <w:rsid w:val="00235B18"/>
    <w:rsid w:val="00235B33"/>
    <w:rsid w:val="00235CAC"/>
    <w:rsid w:val="00235CE6"/>
    <w:rsid w:val="00235DDE"/>
    <w:rsid w:val="00235DFD"/>
    <w:rsid w:val="00235E16"/>
    <w:rsid w:val="00235EC8"/>
    <w:rsid w:val="00235ECD"/>
    <w:rsid w:val="00235F15"/>
    <w:rsid w:val="00235F94"/>
    <w:rsid w:val="002360EC"/>
    <w:rsid w:val="00236154"/>
    <w:rsid w:val="00236315"/>
    <w:rsid w:val="002363D0"/>
    <w:rsid w:val="002364CD"/>
    <w:rsid w:val="002365B5"/>
    <w:rsid w:val="002365DD"/>
    <w:rsid w:val="002366CF"/>
    <w:rsid w:val="00236742"/>
    <w:rsid w:val="00236783"/>
    <w:rsid w:val="00236841"/>
    <w:rsid w:val="002368A6"/>
    <w:rsid w:val="00236954"/>
    <w:rsid w:val="002369CB"/>
    <w:rsid w:val="00236A9A"/>
    <w:rsid w:val="00236BA6"/>
    <w:rsid w:val="00236CD9"/>
    <w:rsid w:val="00236DAC"/>
    <w:rsid w:val="00236E21"/>
    <w:rsid w:val="00236E4C"/>
    <w:rsid w:val="00236ED3"/>
    <w:rsid w:val="00236EF2"/>
    <w:rsid w:val="00237010"/>
    <w:rsid w:val="00237137"/>
    <w:rsid w:val="002371DB"/>
    <w:rsid w:val="00237303"/>
    <w:rsid w:val="00237330"/>
    <w:rsid w:val="00237379"/>
    <w:rsid w:val="00237447"/>
    <w:rsid w:val="00237469"/>
    <w:rsid w:val="002375A9"/>
    <w:rsid w:val="002375AB"/>
    <w:rsid w:val="002375D5"/>
    <w:rsid w:val="00237663"/>
    <w:rsid w:val="00237718"/>
    <w:rsid w:val="00237724"/>
    <w:rsid w:val="002377B7"/>
    <w:rsid w:val="002377CD"/>
    <w:rsid w:val="0023790A"/>
    <w:rsid w:val="0023793B"/>
    <w:rsid w:val="00237A44"/>
    <w:rsid w:val="00237B30"/>
    <w:rsid w:val="00237C93"/>
    <w:rsid w:val="00237D4C"/>
    <w:rsid w:val="00237D56"/>
    <w:rsid w:val="00237DF7"/>
    <w:rsid w:val="00237E51"/>
    <w:rsid w:val="00237E74"/>
    <w:rsid w:val="00237F4E"/>
    <w:rsid w:val="00237FEC"/>
    <w:rsid w:val="00240000"/>
    <w:rsid w:val="00240021"/>
    <w:rsid w:val="0024010B"/>
    <w:rsid w:val="00240235"/>
    <w:rsid w:val="0024037D"/>
    <w:rsid w:val="00240398"/>
    <w:rsid w:val="002403BE"/>
    <w:rsid w:val="00240458"/>
    <w:rsid w:val="0024053F"/>
    <w:rsid w:val="002405BB"/>
    <w:rsid w:val="00240630"/>
    <w:rsid w:val="002406C2"/>
    <w:rsid w:val="00240844"/>
    <w:rsid w:val="0024096C"/>
    <w:rsid w:val="00240A0C"/>
    <w:rsid w:val="00240A63"/>
    <w:rsid w:val="00240AB9"/>
    <w:rsid w:val="00240AC5"/>
    <w:rsid w:val="00240AD7"/>
    <w:rsid w:val="00240B39"/>
    <w:rsid w:val="00240BEF"/>
    <w:rsid w:val="00240BFF"/>
    <w:rsid w:val="00240CB3"/>
    <w:rsid w:val="00240D3A"/>
    <w:rsid w:val="00240DBE"/>
    <w:rsid w:val="00240DC2"/>
    <w:rsid w:val="00240E62"/>
    <w:rsid w:val="00240FB4"/>
    <w:rsid w:val="002410E9"/>
    <w:rsid w:val="00241110"/>
    <w:rsid w:val="00241172"/>
    <w:rsid w:val="0024134D"/>
    <w:rsid w:val="002413C4"/>
    <w:rsid w:val="002414C9"/>
    <w:rsid w:val="0024151A"/>
    <w:rsid w:val="0024155D"/>
    <w:rsid w:val="00241584"/>
    <w:rsid w:val="00241797"/>
    <w:rsid w:val="002417A3"/>
    <w:rsid w:val="0024185B"/>
    <w:rsid w:val="00241938"/>
    <w:rsid w:val="002419FA"/>
    <w:rsid w:val="00241CD9"/>
    <w:rsid w:val="00241D3A"/>
    <w:rsid w:val="00241E59"/>
    <w:rsid w:val="00241E9A"/>
    <w:rsid w:val="00241FBC"/>
    <w:rsid w:val="00241FD9"/>
    <w:rsid w:val="0024206F"/>
    <w:rsid w:val="00242091"/>
    <w:rsid w:val="002421C4"/>
    <w:rsid w:val="00242203"/>
    <w:rsid w:val="00242364"/>
    <w:rsid w:val="0024240C"/>
    <w:rsid w:val="00242441"/>
    <w:rsid w:val="0024245B"/>
    <w:rsid w:val="0024254D"/>
    <w:rsid w:val="002425B5"/>
    <w:rsid w:val="002425C9"/>
    <w:rsid w:val="00242782"/>
    <w:rsid w:val="002427DC"/>
    <w:rsid w:val="00242854"/>
    <w:rsid w:val="002429A9"/>
    <w:rsid w:val="002429D5"/>
    <w:rsid w:val="002429E9"/>
    <w:rsid w:val="002429EF"/>
    <w:rsid w:val="00242AE7"/>
    <w:rsid w:val="00242B61"/>
    <w:rsid w:val="00242B94"/>
    <w:rsid w:val="00242CE4"/>
    <w:rsid w:val="00242F64"/>
    <w:rsid w:val="00242F81"/>
    <w:rsid w:val="00243031"/>
    <w:rsid w:val="00243285"/>
    <w:rsid w:val="0024338F"/>
    <w:rsid w:val="002433FA"/>
    <w:rsid w:val="0024345C"/>
    <w:rsid w:val="0024347C"/>
    <w:rsid w:val="00243485"/>
    <w:rsid w:val="002436B5"/>
    <w:rsid w:val="002438F8"/>
    <w:rsid w:val="002438FA"/>
    <w:rsid w:val="00243930"/>
    <w:rsid w:val="00243966"/>
    <w:rsid w:val="00243A54"/>
    <w:rsid w:val="00243AA6"/>
    <w:rsid w:val="00243AC7"/>
    <w:rsid w:val="00243AD6"/>
    <w:rsid w:val="00243B4C"/>
    <w:rsid w:val="00243C5E"/>
    <w:rsid w:val="00243C6B"/>
    <w:rsid w:val="00243D17"/>
    <w:rsid w:val="00243E18"/>
    <w:rsid w:val="00243EE2"/>
    <w:rsid w:val="00243F81"/>
    <w:rsid w:val="00243F9F"/>
    <w:rsid w:val="00243FBF"/>
    <w:rsid w:val="00244110"/>
    <w:rsid w:val="002441AA"/>
    <w:rsid w:val="00244366"/>
    <w:rsid w:val="00244379"/>
    <w:rsid w:val="002443A0"/>
    <w:rsid w:val="00244474"/>
    <w:rsid w:val="002444AC"/>
    <w:rsid w:val="002444F1"/>
    <w:rsid w:val="002445AC"/>
    <w:rsid w:val="0024461D"/>
    <w:rsid w:val="002446B1"/>
    <w:rsid w:val="002448FE"/>
    <w:rsid w:val="002449E5"/>
    <w:rsid w:val="00244B11"/>
    <w:rsid w:val="00244D32"/>
    <w:rsid w:val="00244DDE"/>
    <w:rsid w:val="00244EA3"/>
    <w:rsid w:val="00244EA7"/>
    <w:rsid w:val="002450C6"/>
    <w:rsid w:val="00245154"/>
    <w:rsid w:val="0024535D"/>
    <w:rsid w:val="002453CE"/>
    <w:rsid w:val="002453D0"/>
    <w:rsid w:val="00245498"/>
    <w:rsid w:val="00245591"/>
    <w:rsid w:val="0024583C"/>
    <w:rsid w:val="00245856"/>
    <w:rsid w:val="00245858"/>
    <w:rsid w:val="00245889"/>
    <w:rsid w:val="002459FE"/>
    <w:rsid w:val="00245A15"/>
    <w:rsid w:val="00245A4E"/>
    <w:rsid w:val="00245BCA"/>
    <w:rsid w:val="00245C09"/>
    <w:rsid w:val="00245D0F"/>
    <w:rsid w:val="00245D6C"/>
    <w:rsid w:val="002460DA"/>
    <w:rsid w:val="00246110"/>
    <w:rsid w:val="002461E0"/>
    <w:rsid w:val="002461EA"/>
    <w:rsid w:val="00246206"/>
    <w:rsid w:val="0024620A"/>
    <w:rsid w:val="00246269"/>
    <w:rsid w:val="002462CB"/>
    <w:rsid w:val="002462E4"/>
    <w:rsid w:val="0024675D"/>
    <w:rsid w:val="0024683E"/>
    <w:rsid w:val="00246874"/>
    <w:rsid w:val="002468EF"/>
    <w:rsid w:val="002469A7"/>
    <w:rsid w:val="00246B9D"/>
    <w:rsid w:val="00246BF0"/>
    <w:rsid w:val="00246C4F"/>
    <w:rsid w:val="00246C58"/>
    <w:rsid w:val="00246CDF"/>
    <w:rsid w:val="00246DB5"/>
    <w:rsid w:val="00246EFC"/>
    <w:rsid w:val="00246F72"/>
    <w:rsid w:val="00246FD2"/>
    <w:rsid w:val="00247044"/>
    <w:rsid w:val="00247071"/>
    <w:rsid w:val="002470EF"/>
    <w:rsid w:val="0024715B"/>
    <w:rsid w:val="00247168"/>
    <w:rsid w:val="0024720F"/>
    <w:rsid w:val="00247219"/>
    <w:rsid w:val="002472A1"/>
    <w:rsid w:val="002472CC"/>
    <w:rsid w:val="0024731E"/>
    <w:rsid w:val="00247454"/>
    <w:rsid w:val="002474AB"/>
    <w:rsid w:val="002475E0"/>
    <w:rsid w:val="00247697"/>
    <w:rsid w:val="002476A6"/>
    <w:rsid w:val="002476C4"/>
    <w:rsid w:val="00247747"/>
    <w:rsid w:val="002478EA"/>
    <w:rsid w:val="0024796B"/>
    <w:rsid w:val="002479CF"/>
    <w:rsid w:val="00247B51"/>
    <w:rsid w:val="00247B71"/>
    <w:rsid w:val="00247C0E"/>
    <w:rsid w:val="00247C48"/>
    <w:rsid w:val="00247E10"/>
    <w:rsid w:val="00247E8A"/>
    <w:rsid w:val="00247EAC"/>
    <w:rsid w:val="00250018"/>
    <w:rsid w:val="0025009A"/>
    <w:rsid w:val="002501DB"/>
    <w:rsid w:val="002502A9"/>
    <w:rsid w:val="00250427"/>
    <w:rsid w:val="002506FD"/>
    <w:rsid w:val="00250845"/>
    <w:rsid w:val="00250850"/>
    <w:rsid w:val="0025085C"/>
    <w:rsid w:val="002509F0"/>
    <w:rsid w:val="00250A12"/>
    <w:rsid w:val="00250A7D"/>
    <w:rsid w:val="00250B36"/>
    <w:rsid w:val="00250BB3"/>
    <w:rsid w:val="00250C1B"/>
    <w:rsid w:val="00250C35"/>
    <w:rsid w:val="00250C70"/>
    <w:rsid w:val="00250D98"/>
    <w:rsid w:val="00250FAE"/>
    <w:rsid w:val="00250FEB"/>
    <w:rsid w:val="002511BA"/>
    <w:rsid w:val="002511F5"/>
    <w:rsid w:val="00251454"/>
    <w:rsid w:val="002514AD"/>
    <w:rsid w:val="0025152B"/>
    <w:rsid w:val="002516D3"/>
    <w:rsid w:val="00251701"/>
    <w:rsid w:val="002517CB"/>
    <w:rsid w:val="00251828"/>
    <w:rsid w:val="0025183B"/>
    <w:rsid w:val="0025186C"/>
    <w:rsid w:val="00251876"/>
    <w:rsid w:val="002519B2"/>
    <w:rsid w:val="00251AD3"/>
    <w:rsid w:val="00251C25"/>
    <w:rsid w:val="00251D2D"/>
    <w:rsid w:val="00251F1C"/>
    <w:rsid w:val="00251FB4"/>
    <w:rsid w:val="00252060"/>
    <w:rsid w:val="002520C6"/>
    <w:rsid w:val="0025221E"/>
    <w:rsid w:val="002522C0"/>
    <w:rsid w:val="0025230A"/>
    <w:rsid w:val="00252320"/>
    <w:rsid w:val="002523C6"/>
    <w:rsid w:val="00252425"/>
    <w:rsid w:val="00252440"/>
    <w:rsid w:val="00252507"/>
    <w:rsid w:val="00252528"/>
    <w:rsid w:val="0025258E"/>
    <w:rsid w:val="002525BF"/>
    <w:rsid w:val="002525D1"/>
    <w:rsid w:val="0025260E"/>
    <w:rsid w:val="002526E0"/>
    <w:rsid w:val="002526E2"/>
    <w:rsid w:val="0025288E"/>
    <w:rsid w:val="002528CE"/>
    <w:rsid w:val="002528E9"/>
    <w:rsid w:val="0025294D"/>
    <w:rsid w:val="002529B3"/>
    <w:rsid w:val="00252A9E"/>
    <w:rsid w:val="00252AFD"/>
    <w:rsid w:val="00252D09"/>
    <w:rsid w:val="00252E89"/>
    <w:rsid w:val="00252ED2"/>
    <w:rsid w:val="002532D5"/>
    <w:rsid w:val="00253539"/>
    <w:rsid w:val="00253656"/>
    <w:rsid w:val="002536C9"/>
    <w:rsid w:val="002538AF"/>
    <w:rsid w:val="00253952"/>
    <w:rsid w:val="00253AB1"/>
    <w:rsid w:val="00253C45"/>
    <w:rsid w:val="00253CA1"/>
    <w:rsid w:val="00253D62"/>
    <w:rsid w:val="00253DAD"/>
    <w:rsid w:val="00253DD1"/>
    <w:rsid w:val="00253E88"/>
    <w:rsid w:val="0025409E"/>
    <w:rsid w:val="002540C3"/>
    <w:rsid w:val="0025423A"/>
    <w:rsid w:val="002543F4"/>
    <w:rsid w:val="0025446A"/>
    <w:rsid w:val="0025451E"/>
    <w:rsid w:val="0025453C"/>
    <w:rsid w:val="0025456F"/>
    <w:rsid w:val="002545CC"/>
    <w:rsid w:val="0025464B"/>
    <w:rsid w:val="0025472D"/>
    <w:rsid w:val="00254777"/>
    <w:rsid w:val="00254790"/>
    <w:rsid w:val="002547CD"/>
    <w:rsid w:val="002549F1"/>
    <w:rsid w:val="00254A17"/>
    <w:rsid w:val="00254A7D"/>
    <w:rsid w:val="00254B41"/>
    <w:rsid w:val="00254B99"/>
    <w:rsid w:val="00254D33"/>
    <w:rsid w:val="00254D62"/>
    <w:rsid w:val="00254E19"/>
    <w:rsid w:val="00254ED9"/>
    <w:rsid w:val="00254FC0"/>
    <w:rsid w:val="0025501C"/>
    <w:rsid w:val="002550BB"/>
    <w:rsid w:val="002550D5"/>
    <w:rsid w:val="00255250"/>
    <w:rsid w:val="0025539E"/>
    <w:rsid w:val="00255417"/>
    <w:rsid w:val="00255459"/>
    <w:rsid w:val="00255655"/>
    <w:rsid w:val="002556C3"/>
    <w:rsid w:val="002556C5"/>
    <w:rsid w:val="0025574C"/>
    <w:rsid w:val="0025577F"/>
    <w:rsid w:val="00255855"/>
    <w:rsid w:val="00255896"/>
    <w:rsid w:val="00255898"/>
    <w:rsid w:val="002559D3"/>
    <w:rsid w:val="00255B21"/>
    <w:rsid w:val="00255B8A"/>
    <w:rsid w:val="00255C8B"/>
    <w:rsid w:val="00255D0F"/>
    <w:rsid w:val="00255EB0"/>
    <w:rsid w:val="00255EC6"/>
    <w:rsid w:val="00255ECB"/>
    <w:rsid w:val="00255FAA"/>
    <w:rsid w:val="00255FDA"/>
    <w:rsid w:val="0025602A"/>
    <w:rsid w:val="00256087"/>
    <w:rsid w:val="00256276"/>
    <w:rsid w:val="002562A1"/>
    <w:rsid w:val="0025639B"/>
    <w:rsid w:val="002563B8"/>
    <w:rsid w:val="0025645F"/>
    <w:rsid w:val="002564EA"/>
    <w:rsid w:val="002565C3"/>
    <w:rsid w:val="00256606"/>
    <w:rsid w:val="0025661C"/>
    <w:rsid w:val="002566A2"/>
    <w:rsid w:val="002568B3"/>
    <w:rsid w:val="0025692B"/>
    <w:rsid w:val="00256A5C"/>
    <w:rsid w:val="00256C2B"/>
    <w:rsid w:val="00256C96"/>
    <w:rsid w:val="00256CA5"/>
    <w:rsid w:val="00256D56"/>
    <w:rsid w:val="00256D98"/>
    <w:rsid w:val="00256DD6"/>
    <w:rsid w:val="00256E18"/>
    <w:rsid w:val="00256E9B"/>
    <w:rsid w:val="00256EB9"/>
    <w:rsid w:val="00256EBA"/>
    <w:rsid w:val="00256EFF"/>
    <w:rsid w:val="00256F11"/>
    <w:rsid w:val="00256F37"/>
    <w:rsid w:val="0025700D"/>
    <w:rsid w:val="00257017"/>
    <w:rsid w:val="0025706B"/>
    <w:rsid w:val="002570B7"/>
    <w:rsid w:val="0025717A"/>
    <w:rsid w:val="0025734E"/>
    <w:rsid w:val="00257589"/>
    <w:rsid w:val="00257683"/>
    <w:rsid w:val="002576AC"/>
    <w:rsid w:val="002576EC"/>
    <w:rsid w:val="00257723"/>
    <w:rsid w:val="00257784"/>
    <w:rsid w:val="00257786"/>
    <w:rsid w:val="002578C0"/>
    <w:rsid w:val="002578DB"/>
    <w:rsid w:val="00257976"/>
    <w:rsid w:val="002579C0"/>
    <w:rsid w:val="00257A29"/>
    <w:rsid w:val="00257B76"/>
    <w:rsid w:val="00257C46"/>
    <w:rsid w:val="00257CC2"/>
    <w:rsid w:val="00257D34"/>
    <w:rsid w:val="00257F08"/>
    <w:rsid w:val="002600E6"/>
    <w:rsid w:val="0026015F"/>
    <w:rsid w:val="002602D3"/>
    <w:rsid w:val="00260492"/>
    <w:rsid w:val="00260612"/>
    <w:rsid w:val="0026063B"/>
    <w:rsid w:val="002606C0"/>
    <w:rsid w:val="002606DF"/>
    <w:rsid w:val="002606E3"/>
    <w:rsid w:val="00260719"/>
    <w:rsid w:val="00260A3A"/>
    <w:rsid w:val="00260C57"/>
    <w:rsid w:val="00260C59"/>
    <w:rsid w:val="00260E25"/>
    <w:rsid w:val="00260E7E"/>
    <w:rsid w:val="00260EB1"/>
    <w:rsid w:val="00260F10"/>
    <w:rsid w:val="00260FAA"/>
    <w:rsid w:val="00261022"/>
    <w:rsid w:val="002611F0"/>
    <w:rsid w:val="00261216"/>
    <w:rsid w:val="00261271"/>
    <w:rsid w:val="002613A0"/>
    <w:rsid w:val="002613DF"/>
    <w:rsid w:val="002614E3"/>
    <w:rsid w:val="00261548"/>
    <w:rsid w:val="002615D3"/>
    <w:rsid w:val="002615E8"/>
    <w:rsid w:val="0026160C"/>
    <w:rsid w:val="002616DF"/>
    <w:rsid w:val="002618CA"/>
    <w:rsid w:val="002618E0"/>
    <w:rsid w:val="00261926"/>
    <w:rsid w:val="00261AA3"/>
    <w:rsid w:val="00261AE8"/>
    <w:rsid w:val="00261C17"/>
    <w:rsid w:val="00261D04"/>
    <w:rsid w:val="00261D62"/>
    <w:rsid w:val="00261E94"/>
    <w:rsid w:val="00261E98"/>
    <w:rsid w:val="00261F8B"/>
    <w:rsid w:val="00261FB5"/>
    <w:rsid w:val="002620A7"/>
    <w:rsid w:val="002620C1"/>
    <w:rsid w:val="00262162"/>
    <w:rsid w:val="00262194"/>
    <w:rsid w:val="00262226"/>
    <w:rsid w:val="00262289"/>
    <w:rsid w:val="00262344"/>
    <w:rsid w:val="00262447"/>
    <w:rsid w:val="0026245D"/>
    <w:rsid w:val="002624BC"/>
    <w:rsid w:val="002624DF"/>
    <w:rsid w:val="00262584"/>
    <w:rsid w:val="002625C9"/>
    <w:rsid w:val="0026269A"/>
    <w:rsid w:val="002626D4"/>
    <w:rsid w:val="002627DF"/>
    <w:rsid w:val="0026287B"/>
    <w:rsid w:val="00262983"/>
    <w:rsid w:val="00262A18"/>
    <w:rsid w:val="00262B43"/>
    <w:rsid w:val="00262B69"/>
    <w:rsid w:val="00262B8C"/>
    <w:rsid w:val="00262BA4"/>
    <w:rsid w:val="00262C8F"/>
    <w:rsid w:val="00262D30"/>
    <w:rsid w:val="00262D80"/>
    <w:rsid w:val="00262F9E"/>
    <w:rsid w:val="0026309A"/>
    <w:rsid w:val="0026330F"/>
    <w:rsid w:val="0026331A"/>
    <w:rsid w:val="002635B8"/>
    <w:rsid w:val="00263750"/>
    <w:rsid w:val="0026376D"/>
    <w:rsid w:val="0026380E"/>
    <w:rsid w:val="0026383F"/>
    <w:rsid w:val="00263867"/>
    <w:rsid w:val="002638B7"/>
    <w:rsid w:val="002638FC"/>
    <w:rsid w:val="0026396A"/>
    <w:rsid w:val="00263991"/>
    <w:rsid w:val="002639AA"/>
    <w:rsid w:val="00263B2C"/>
    <w:rsid w:val="00263BCE"/>
    <w:rsid w:val="00263C86"/>
    <w:rsid w:val="00263CBF"/>
    <w:rsid w:val="00263D12"/>
    <w:rsid w:val="00263E12"/>
    <w:rsid w:val="00263E6D"/>
    <w:rsid w:val="00263F2E"/>
    <w:rsid w:val="00263F91"/>
    <w:rsid w:val="00263FA6"/>
    <w:rsid w:val="00263FF8"/>
    <w:rsid w:val="002640BC"/>
    <w:rsid w:val="00264499"/>
    <w:rsid w:val="002644E8"/>
    <w:rsid w:val="00264740"/>
    <w:rsid w:val="00264779"/>
    <w:rsid w:val="002647AB"/>
    <w:rsid w:val="002647B0"/>
    <w:rsid w:val="00264851"/>
    <w:rsid w:val="00264852"/>
    <w:rsid w:val="00264A09"/>
    <w:rsid w:val="00264C8D"/>
    <w:rsid w:val="00264D94"/>
    <w:rsid w:val="00264DCC"/>
    <w:rsid w:val="00264E8B"/>
    <w:rsid w:val="00265065"/>
    <w:rsid w:val="00265080"/>
    <w:rsid w:val="00265177"/>
    <w:rsid w:val="00265234"/>
    <w:rsid w:val="0026525E"/>
    <w:rsid w:val="002652EF"/>
    <w:rsid w:val="00265302"/>
    <w:rsid w:val="0026536E"/>
    <w:rsid w:val="00265435"/>
    <w:rsid w:val="002655C8"/>
    <w:rsid w:val="00265669"/>
    <w:rsid w:val="002656BD"/>
    <w:rsid w:val="002658A1"/>
    <w:rsid w:val="00265908"/>
    <w:rsid w:val="0026591A"/>
    <w:rsid w:val="002659E4"/>
    <w:rsid w:val="00265ABA"/>
    <w:rsid w:val="00265B41"/>
    <w:rsid w:val="00265CA9"/>
    <w:rsid w:val="00265EDF"/>
    <w:rsid w:val="00265F36"/>
    <w:rsid w:val="0026614C"/>
    <w:rsid w:val="002661D7"/>
    <w:rsid w:val="002662DA"/>
    <w:rsid w:val="00266333"/>
    <w:rsid w:val="00266383"/>
    <w:rsid w:val="0026642D"/>
    <w:rsid w:val="00266571"/>
    <w:rsid w:val="002666CC"/>
    <w:rsid w:val="0026674E"/>
    <w:rsid w:val="00266761"/>
    <w:rsid w:val="002668C8"/>
    <w:rsid w:val="002668D5"/>
    <w:rsid w:val="0026697A"/>
    <w:rsid w:val="00266A9B"/>
    <w:rsid w:val="00266ACC"/>
    <w:rsid w:val="00266AF8"/>
    <w:rsid w:val="00266B3C"/>
    <w:rsid w:val="00266B91"/>
    <w:rsid w:val="00266B97"/>
    <w:rsid w:val="00266BCC"/>
    <w:rsid w:val="00266C0F"/>
    <w:rsid w:val="00266CE5"/>
    <w:rsid w:val="00266DC6"/>
    <w:rsid w:val="00266E5A"/>
    <w:rsid w:val="00266EA0"/>
    <w:rsid w:val="00266EB7"/>
    <w:rsid w:val="00266F22"/>
    <w:rsid w:val="0026700E"/>
    <w:rsid w:val="00267072"/>
    <w:rsid w:val="00267078"/>
    <w:rsid w:val="00267195"/>
    <w:rsid w:val="00267227"/>
    <w:rsid w:val="002672E9"/>
    <w:rsid w:val="00267466"/>
    <w:rsid w:val="0026749C"/>
    <w:rsid w:val="002676FA"/>
    <w:rsid w:val="002677AF"/>
    <w:rsid w:val="0026786A"/>
    <w:rsid w:val="00267882"/>
    <w:rsid w:val="00267AED"/>
    <w:rsid w:val="00267BA6"/>
    <w:rsid w:val="00267BBC"/>
    <w:rsid w:val="00267BDF"/>
    <w:rsid w:val="00267C0F"/>
    <w:rsid w:val="00267CD8"/>
    <w:rsid w:val="00267D70"/>
    <w:rsid w:val="00267D7E"/>
    <w:rsid w:val="00267D97"/>
    <w:rsid w:val="00267DA3"/>
    <w:rsid w:val="00267E47"/>
    <w:rsid w:val="00267E73"/>
    <w:rsid w:val="00267E82"/>
    <w:rsid w:val="00270207"/>
    <w:rsid w:val="002702E6"/>
    <w:rsid w:val="0027042B"/>
    <w:rsid w:val="00270476"/>
    <w:rsid w:val="002704B1"/>
    <w:rsid w:val="00270523"/>
    <w:rsid w:val="002706F2"/>
    <w:rsid w:val="002707AD"/>
    <w:rsid w:val="002707E4"/>
    <w:rsid w:val="002708B1"/>
    <w:rsid w:val="00270B8B"/>
    <w:rsid w:val="00270C6A"/>
    <w:rsid w:val="00270CA2"/>
    <w:rsid w:val="00270D5E"/>
    <w:rsid w:val="00270D64"/>
    <w:rsid w:val="00270F35"/>
    <w:rsid w:val="00270F5C"/>
    <w:rsid w:val="00270F8B"/>
    <w:rsid w:val="002710A0"/>
    <w:rsid w:val="002710EB"/>
    <w:rsid w:val="00271155"/>
    <w:rsid w:val="00271268"/>
    <w:rsid w:val="00271284"/>
    <w:rsid w:val="0027141E"/>
    <w:rsid w:val="00271552"/>
    <w:rsid w:val="0027163C"/>
    <w:rsid w:val="0027165C"/>
    <w:rsid w:val="00271740"/>
    <w:rsid w:val="00271792"/>
    <w:rsid w:val="002717C0"/>
    <w:rsid w:val="002717C8"/>
    <w:rsid w:val="00271898"/>
    <w:rsid w:val="002719F9"/>
    <w:rsid w:val="00271A11"/>
    <w:rsid w:val="00271B79"/>
    <w:rsid w:val="00271B9A"/>
    <w:rsid w:val="00271C4F"/>
    <w:rsid w:val="00271C97"/>
    <w:rsid w:val="00271CDD"/>
    <w:rsid w:val="00271D08"/>
    <w:rsid w:val="00271EED"/>
    <w:rsid w:val="00271F7F"/>
    <w:rsid w:val="00271F85"/>
    <w:rsid w:val="00272198"/>
    <w:rsid w:val="002721DC"/>
    <w:rsid w:val="00272249"/>
    <w:rsid w:val="0027225C"/>
    <w:rsid w:val="002723B0"/>
    <w:rsid w:val="002723E9"/>
    <w:rsid w:val="0027242E"/>
    <w:rsid w:val="00272463"/>
    <w:rsid w:val="00272587"/>
    <w:rsid w:val="00272630"/>
    <w:rsid w:val="002726F1"/>
    <w:rsid w:val="00272730"/>
    <w:rsid w:val="00272733"/>
    <w:rsid w:val="00272746"/>
    <w:rsid w:val="0027275B"/>
    <w:rsid w:val="00272831"/>
    <w:rsid w:val="002728E6"/>
    <w:rsid w:val="00272A6C"/>
    <w:rsid w:val="00272BB4"/>
    <w:rsid w:val="00272C5B"/>
    <w:rsid w:val="00272C7A"/>
    <w:rsid w:val="00272DE1"/>
    <w:rsid w:val="00272F27"/>
    <w:rsid w:val="002731A1"/>
    <w:rsid w:val="002731A7"/>
    <w:rsid w:val="00273340"/>
    <w:rsid w:val="002733BE"/>
    <w:rsid w:val="00273447"/>
    <w:rsid w:val="002735F0"/>
    <w:rsid w:val="0027373F"/>
    <w:rsid w:val="002737BE"/>
    <w:rsid w:val="002737F0"/>
    <w:rsid w:val="0027386D"/>
    <w:rsid w:val="002739FB"/>
    <w:rsid w:val="00273A7B"/>
    <w:rsid w:val="00273C85"/>
    <w:rsid w:val="00273CF4"/>
    <w:rsid w:val="00273D1C"/>
    <w:rsid w:val="00273E54"/>
    <w:rsid w:val="00273E6A"/>
    <w:rsid w:val="00273E7C"/>
    <w:rsid w:val="00273EC3"/>
    <w:rsid w:val="00274087"/>
    <w:rsid w:val="002740DC"/>
    <w:rsid w:val="002740EA"/>
    <w:rsid w:val="0027410A"/>
    <w:rsid w:val="0027422F"/>
    <w:rsid w:val="00274291"/>
    <w:rsid w:val="002744BE"/>
    <w:rsid w:val="002745D7"/>
    <w:rsid w:val="00274651"/>
    <w:rsid w:val="002749D3"/>
    <w:rsid w:val="00274C4C"/>
    <w:rsid w:val="00274C7C"/>
    <w:rsid w:val="00274C95"/>
    <w:rsid w:val="00274CB5"/>
    <w:rsid w:val="00274DB0"/>
    <w:rsid w:val="00274E24"/>
    <w:rsid w:val="00274F31"/>
    <w:rsid w:val="00274F76"/>
    <w:rsid w:val="00274F94"/>
    <w:rsid w:val="00275087"/>
    <w:rsid w:val="0027520C"/>
    <w:rsid w:val="00275237"/>
    <w:rsid w:val="00275444"/>
    <w:rsid w:val="0027547B"/>
    <w:rsid w:val="00275531"/>
    <w:rsid w:val="002755CF"/>
    <w:rsid w:val="002756DE"/>
    <w:rsid w:val="00275814"/>
    <w:rsid w:val="0027584C"/>
    <w:rsid w:val="00275A95"/>
    <w:rsid w:val="00275B1A"/>
    <w:rsid w:val="00275C9B"/>
    <w:rsid w:val="00275C9D"/>
    <w:rsid w:val="00275E03"/>
    <w:rsid w:val="00275E71"/>
    <w:rsid w:val="00275EB0"/>
    <w:rsid w:val="00275ECB"/>
    <w:rsid w:val="00275F6E"/>
    <w:rsid w:val="00276039"/>
    <w:rsid w:val="002761A1"/>
    <w:rsid w:val="002763F1"/>
    <w:rsid w:val="00276427"/>
    <w:rsid w:val="00276444"/>
    <w:rsid w:val="00276454"/>
    <w:rsid w:val="002764C7"/>
    <w:rsid w:val="002765B1"/>
    <w:rsid w:val="0027665A"/>
    <w:rsid w:val="0027688E"/>
    <w:rsid w:val="002768DD"/>
    <w:rsid w:val="0027691A"/>
    <w:rsid w:val="002769A3"/>
    <w:rsid w:val="00276BF5"/>
    <w:rsid w:val="00276D2A"/>
    <w:rsid w:val="00276D43"/>
    <w:rsid w:val="00276E38"/>
    <w:rsid w:val="00276E9D"/>
    <w:rsid w:val="00276F4D"/>
    <w:rsid w:val="00276F9E"/>
    <w:rsid w:val="00276FB4"/>
    <w:rsid w:val="00277036"/>
    <w:rsid w:val="00277158"/>
    <w:rsid w:val="00277171"/>
    <w:rsid w:val="002771D8"/>
    <w:rsid w:val="002772BC"/>
    <w:rsid w:val="002772C0"/>
    <w:rsid w:val="002772FE"/>
    <w:rsid w:val="0027738D"/>
    <w:rsid w:val="00277592"/>
    <w:rsid w:val="0027767F"/>
    <w:rsid w:val="0027773C"/>
    <w:rsid w:val="00277747"/>
    <w:rsid w:val="002777DE"/>
    <w:rsid w:val="00277805"/>
    <w:rsid w:val="0027787A"/>
    <w:rsid w:val="00277BF2"/>
    <w:rsid w:val="00277C55"/>
    <w:rsid w:val="00277C61"/>
    <w:rsid w:val="00277C79"/>
    <w:rsid w:val="00277CBF"/>
    <w:rsid w:val="00277DDC"/>
    <w:rsid w:val="00277DFD"/>
    <w:rsid w:val="00277E5D"/>
    <w:rsid w:val="00277EDB"/>
    <w:rsid w:val="00277F2D"/>
    <w:rsid w:val="00277FD0"/>
    <w:rsid w:val="00280050"/>
    <w:rsid w:val="00280124"/>
    <w:rsid w:val="002801C3"/>
    <w:rsid w:val="002801D9"/>
    <w:rsid w:val="00280278"/>
    <w:rsid w:val="002802D5"/>
    <w:rsid w:val="0028039B"/>
    <w:rsid w:val="002803B9"/>
    <w:rsid w:val="002803D2"/>
    <w:rsid w:val="00280455"/>
    <w:rsid w:val="0028071B"/>
    <w:rsid w:val="0028081D"/>
    <w:rsid w:val="002808DC"/>
    <w:rsid w:val="002809A3"/>
    <w:rsid w:val="00280A2B"/>
    <w:rsid w:val="00280A7F"/>
    <w:rsid w:val="00280ABD"/>
    <w:rsid w:val="00280BAA"/>
    <w:rsid w:val="00280CFF"/>
    <w:rsid w:val="00280F6F"/>
    <w:rsid w:val="00280F91"/>
    <w:rsid w:val="00281040"/>
    <w:rsid w:val="002810BE"/>
    <w:rsid w:val="002812A9"/>
    <w:rsid w:val="00281350"/>
    <w:rsid w:val="002813AF"/>
    <w:rsid w:val="002813B8"/>
    <w:rsid w:val="00281518"/>
    <w:rsid w:val="00281697"/>
    <w:rsid w:val="0028169A"/>
    <w:rsid w:val="002816FE"/>
    <w:rsid w:val="00281773"/>
    <w:rsid w:val="0028188A"/>
    <w:rsid w:val="002818CD"/>
    <w:rsid w:val="002818D7"/>
    <w:rsid w:val="0028196C"/>
    <w:rsid w:val="00281B6C"/>
    <w:rsid w:val="00281BE7"/>
    <w:rsid w:val="00281C3B"/>
    <w:rsid w:val="00281D08"/>
    <w:rsid w:val="00281E5A"/>
    <w:rsid w:val="00281EA4"/>
    <w:rsid w:val="0028203B"/>
    <w:rsid w:val="00282043"/>
    <w:rsid w:val="002820D5"/>
    <w:rsid w:val="0028218B"/>
    <w:rsid w:val="002822AE"/>
    <w:rsid w:val="00282463"/>
    <w:rsid w:val="0028246B"/>
    <w:rsid w:val="002824A0"/>
    <w:rsid w:val="0028250E"/>
    <w:rsid w:val="0028262F"/>
    <w:rsid w:val="0028281E"/>
    <w:rsid w:val="0028287C"/>
    <w:rsid w:val="002828CE"/>
    <w:rsid w:val="00282961"/>
    <w:rsid w:val="002829A2"/>
    <w:rsid w:val="00282ADD"/>
    <w:rsid w:val="00282C10"/>
    <w:rsid w:val="00282C7E"/>
    <w:rsid w:val="00282E5E"/>
    <w:rsid w:val="00282E9F"/>
    <w:rsid w:val="00282EB7"/>
    <w:rsid w:val="00282F7B"/>
    <w:rsid w:val="00282FD7"/>
    <w:rsid w:val="00282FE4"/>
    <w:rsid w:val="00282FE5"/>
    <w:rsid w:val="002830BF"/>
    <w:rsid w:val="0028314D"/>
    <w:rsid w:val="002832CB"/>
    <w:rsid w:val="0028334C"/>
    <w:rsid w:val="0028340A"/>
    <w:rsid w:val="002834D8"/>
    <w:rsid w:val="002835DA"/>
    <w:rsid w:val="0028362F"/>
    <w:rsid w:val="0028370A"/>
    <w:rsid w:val="002837AE"/>
    <w:rsid w:val="00283986"/>
    <w:rsid w:val="00283A2B"/>
    <w:rsid w:val="00283A2C"/>
    <w:rsid w:val="00283B9E"/>
    <w:rsid w:val="00283BF1"/>
    <w:rsid w:val="00283E8B"/>
    <w:rsid w:val="00284015"/>
    <w:rsid w:val="002841A7"/>
    <w:rsid w:val="0028425D"/>
    <w:rsid w:val="002842DA"/>
    <w:rsid w:val="00284343"/>
    <w:rsid w:val="0028439E"/>
    <w:rsid w:val="0028447E"/>
    <w:rsid w:val="002844B8"/>
    <w:rsid w:val="002845F9"/>
    <w:rsid w:val="0028460C"/>
    <w:rsid w:val="00284643"/>
    <w:rsid w:val="002847FA"/>
    <w:rsid w:val="00284903"/>
    <w:rsid w:val="00284928"/>
    <w:rsid w:val="00284A87"/>
    <w:rsid w:val="00284A9F"/>
    <w:rsid w:val="00284AEF"/>
    <w:rsid w:val="00284B10"/>
    <w:rsid w:val="00284B51"/>
    <w:rsid w:val="00284B87"/>
    <w:rsid w:val="00284BCA"/>
    <w:rsid w:val="00284D4F"/>
    <w:rsid w:val="00284DE5"/>
    <w:rsid w:val="00284E44"/>
    <w:rsid w:val="00284E9E"/>
    <w:rsid w:val="00284F8B"/>
    <w:rsid w:val="00285001"/>
    <w:rsid w:val="00285031"/>
    <w:rsid w:val="00285101"/>
    <w:rsid w:val="0028511A"/>
    <w:rsid w:val="00285252"/>
    <w:rsid w:val="002852BE"/>
    <w:rsid w:val="002852E7"/>
    <w:rsid w:val="002853A1"/>
    <w:rsid w:val="002853D0"/>
    <w:rsid w:val="0028552E"/>
    <w:rsid w:val="00285530"/>
    <w:rsid w:val="00285714"/>
    <w:rsid w:val="00285748"/>
    <w:rsid w:val="0028576A"/>
    <w:rsid w:val="00285851"/>
    <w:rsid w:val="00285876"/>
    <w:rsid w:val="00285A5F"/>
    <w:rsid w:val="00285AD5"/>
    <w:rsid w:val="00285B0D"/>
    <w:rsid w:val="00285BF2"/>
    <w:rsid w:val="00285CB5"/>
    <w:rsid w:val="00285D9D"/>
    <w:rsid w:val="00285E1D"/>
    <w:rsid w:val="00286091"/>
    <w:rsid w:val="002860A0"/>
    <w:rsid w:val="002860A5"/>
    <w:rsid w:val="0028616A"/>
    <w:rsid w:val="0028630F"/>
    <w:rsid w:val="00286658"/>
    <w:rsid w:val="00286690"/>
    <w:rsid w:val="002866FA"/>
    <w:rsid w:val="0028672C"/>
    <w:rsid w:val="002867CF"/>
    <w:rsid w:val="00286845"/>
    <w:rsid w:val="002868B4"/>
    <w:rsid w:val="0028692F"/>
    <w:rsid w:val="00286AEE"/>
    <w:rsid w:val="00286AFC"/>
    <w:rsid w:val="00286B07"/>
    <w:rsid w:val="00286B42"/>
    <w:rsid w:val="00286B5E"/>
    <w:rsid w:val="00286B69"/>
    <w:rsid w:val="00286BB0"/>
    <w:rsid w:val="00286C05"/>
    <w:rsid w:val="00286CE2"/>
    <w:rsid w:val="00286E3F"/>
    <w:rsid w:val="00286E71"/>
    <w:rsid w:val="00287068"/>
    <w:rsid w:val="00287090"/>
    <w:rsid w:val="002870CF"/>
    <w:rsid w:val="0028714C"/>
    <w:rsid w:val="0028716D"/>
    <w:rsid w:val="002871B2"/>
    <w:rsid w:val="0028726A"/>
    <w:rsid w:val="00287290"/>
    <w:rsid w:val="00287327"/>
    <w:rsid w:val="00287376"/>
    <w:rsid w:val="002874B9"/>
    <w:rsid w:val="0028761E"/>
    <w:rsid w:val="00287784"/>
    <w:rsid w:val="002877B0"/>
    <w:rsid w:val="0028782E"/>
    <w:rsid w:val="00287838"/>
    <w:rsid w:val="0028795B"/>
    <w:rsid w:val="00287986"/>
    <w:rsid w:val="00287A95"/>
    <w:rsid w:val="00287C70"/>
    <w:rsid w:val="00287CF2"/>
    <w:rsid w:val="00287DD5"/>
    <w:rsid w:val="00287E6A"/>
    <w:rsid w:val="00287F25"/>
    <w:rsid w:val="00287FF2"/>
    <w:rsid w:val="00290045"/>
    <w:rsid w:val="00290082"/>
    <w:rsid w:val="002900B6"/>
    <w:rsid w:val="00290190"/>
    <w:rsid w:val="00290253"/>
    <w:rsid w:val="00290292"/>
    <w:rsid w:val="002905EE"/>
    <w:rsid w:val="00290626"/>
    <w:rsid w:val="0029073B"/>
    <w:rsid w:val="0029094A"/>
    <w:rsid w:val="00290B22"/>
    <w:rsid w:val="00290B3B"/>
    <w:rsid w:val="00290B81"/>
    <w:rsid w:val="00290B96"/>
    <w:rsid w:val="00290CD1"/>
    <w:rsid w:val="00290DA1"/>
    <w:rsid w:val="00290DF4"/>
    <w:rsid w:val="00290E69"/>
    <w:rsid w:val="00290E6D"/>
    <w:rsid w:val="00290E83"/>
    <w:rsid w:val="00290F3F"/>
    <w:rsid w:val="00290F74"/>
    <w:rsid w:val="0029103F"/>
    <w:rsid w:val="0029104A"/>
    <w:rsid w:val="002910BD"/>
    <w:rsid w:val="00291103"/>
    <w:rsid w:val="0029117F"/>
    <w:rsid w:val="002911A1"/>
    <w:rsid w:val="0029120E"/>
    <w:rsid w:val="0029123D"/>
    <w:rsid w:val="00291244"/>
    <w:rsid w:val="00291254"/>
    <w:rsid w:val="0029133C"/>
    <w:rsid w:val="002913A9"/>
    <w:rsid w:val="0029152E"/>
    <w:rsid w:val="0029168D"/>
    <w:rsid w:val="002918EC"/>
    <w:rsid w:val="002918EF"/>
    <w:rsid w:val="0029199C"/>
    <w:rsid w:val="002919DC"/>
    <w:rsid w:val="00291A44"/>
    <w:rsid w:val="00291ABB"/>
    <w:rsid w:val="00291B57"/>
    <w:rsid w:val="00291C29"/>
    <w:rsid w:val="00291C7F"/>
    <w:rsid w:val="00291DDF"/>
    <w:rsid w:val="00291E0E"/>
    <w:rsid w:val="00291F64"/>
    <w:rsid w:val="00291FA6"/>
    <w:rsid w:val="0029217E"/>
    <w:rsid w:val="002921B3"/>
    <w:rsid w:val="002921BD"/>
    <w:rsid w:val="002921D6"/>
    <w:rsid w:val="0029224D"/>
    <w:rsid w:val="00292314"/>
    <w:rsid w:val="002923DE"/>
    <w:rsid w:val="00292418"/>
    <w:rsid w:val="002924B7"/>
    <w:rsid w:val="002924D1"/>
    <w:rsid w:val="00292579"/>
    <w:rsid w:val="002925BC"/>
    <w:rsid w:val="00292613"/>
    <w:rsid w:val="0029268D"/>
    <w:rsid w:val="002926A4"/>
    <w:rsid w:val="002926A8"/>
    <w:rsid w:val="0029270C"/>
    <w:rsid w:val="00292726"/>
    <w:rsid w:val="0029299D"/>
    <w:rsid w:val="0029299E"/>
    <w:rsid w:val="002929AC"/>
    <w:rsid w:val="002929DD"/>
    <w:rsid w:val="00292A47"/>
    <w:rsid w:val="00292B70"/>
    <w:rsid w:val="00292BA3"/>
    <w:rsid w:val="00292CD2"/>
    <w:rsid w:val="00292EB9"/>
    <w:rsid w:val="00292F08"/>
    <w:rsid w:val="0029301C"/>
    <w:rsid w:val="0029302D"/>
    <w:rsid w:val="00293045"/>
    <w:rsid w:val="00293071"/>
    <w:rsid w:val="00293081"/>
    <w:rsid w:val="0029319B"/>
    <w:rsid w:val="002931BB"/>
    <w:rsid w:val="0029321C"/>
    <w:rsid w:val="00293360"/>
    <w:rsid w:val="0029341C"/>
    <w:rsid w:val="00293466"/>
    <w:rsid w:val="00293495"/>
    <w:rsid w:val="002934E4"/>
    <w:rsid w:val="0029359F"/>
    <w:rsid w:val="002935F5"/>
    <w:rsid w:val="002937A2"/>
    <w:rsid w:val="002937A3"/>
    <w:rsid w:val="002937E9"/>
    <w:rsid w:val="002938B2"/>
    <w:rsid w:val="0029397E"/>
    <w:rsid w:val="00293B9A"/>
    <w:rsid w:val="00293C5F"/>
    <w:rsid w:val="00293DF9"/>
    <w:rsid w:val="00293E83"/>
    <w:rsid w:val="00294134"/>
    <w:rsid w:val="002941CC"/>
    <w:rsid w:val="002941E7"/>
    <w:rsid w:val="002942D7"/>
    <w:rsid w:val="002942F5"/>
    <w:rsid w:val="002942F9"/>
    <w:rsid w:val="00294327"/>
    <w:rsid w:val="00294370"/>
    <w:rsid w:val="00294387"/>
    <w:rsid w:val="002943F7"/>
    <w:rsid w:val="00294479"/>
    <w:rsid w:val="0029448B"/>
    <w:rsid w:val="0029450E"/>
    <w:rsid w:val="002945AA"/>
    <w:rsid w:val="002946CF"/>
    <w:rsid w:val="00294791"/>
    <w:rsid w:val="0029482B"/>
    <w:rsid w:val="0029484C"/>
    <w:rsid w:val="00294BDF"/>
    <w:rsid w:val="00294BF3"/>
    <w:rsid w:val="00294CBF"/>
    <w:rsid w:val="00294E92"/>
    <w:rsid w:val="00294EBC"/>
    <w:rsid w:val="00294F51"/>
    <w:rsid w:val="002950A0"/>
    <w:rsid w:val="00295109"/>
    <w:rsid w:val="0029511A"/>
    <w:rsid w:val="002951B0"/>
    <w:rsid w:val="002954E5"/>
    <w:rsid w:val="00295522"/>
    <w:rsid w:val="0029563D"/>
    <w:rsid w:val="002957C0"/>
    <w:rsid w:val="002958B7"/>
    <w:rsid w:val="00295931"/>
    <w:rsid w:val="00295A55"/>
    <w:rsid w:val="00295A75"/>
    <w:rsid w:val="00295AEF"/>
    <w:rsid w:val="00295B10"/>
    <w:rsid w:val="00295B68"/>
    <w:rsid w:val="00295C41"/>
    <w:rsid w:val="00295C65"/>
    <w:rsid w:val="00295CA9"/>
    <w:rsid w:val="00295D2B"/>
    <w:rsid w:val="00295D80"/>
    <w:rsid w:val="00295D9C"/>
    <w:rsid w:val="00295DFA"/>
    <w:rsid w:val="00295E93"/>
    <w:rsid w:val="00295EA2"/>
    <w:rsid w:val="00295F79"/>
    <w:rsid w:val="00295F89"/>
    <w:rsid w:val="0029605B"/>
    <w:rsid w:val="00296094"/>
    <w:rsid w:val="00296111"/>
    <w:rsid w:val="00296183"/>
    <w:rsid w:val="002963EA"/>
    <w:rsid w:val="00296585"/>
    <w:rsid w:val="0029664D"/>
    <w:rsid w:val="002966FB"/>
    <w:rsid w:val="00296852"/>
    <w:rsid w:val="00296949"/>
    <w:rsid w:val="00296979"/>
    <w:rsid w:val="002969CD"/>
    <w:rsid w:val="00296A59"/>
    <w:rsid w:val="00296B07"/>
    <w:rsid w:val="00296B52"/>
    <w:rsid w:val="00296D08"/>
    <w:rsid w:val="00296D8B"/>
    <w:rsid w:val="00296E4D"/>
    <w:rsid w:val="00296EB5"/>
    <w:rsid w:val="00296ED2"/>
    <w:rsid w:val="00297258"/>
    <w:rsid w:val="0029725F"/>
    <w:rsid w:val="002972EF"/>
    <w:rsid w:val="002973BF"/>
    <w:rsid w:val="00297490"/>
    <w:rsid w:val="002974E5"/>
    <w:rsid w:val="002974FE"/>
    <w:rsid w:val="00297503"/>
    <w:rsid w:val="0029751B"/>
    <w:rsid w:val="002975C9"/>
    <w:rsid w:val="002975E9"/>
    <w:rsid w:val="002975FD"/>
    <w:rsid w:val="00297612"/>
    <w:rsid w:val="0029769D"/>
    <w:rsid w:val="002978D2"/>
    <w:rsid w:val="0029791A"/>
    <w:rsid w:val="00297922"/>
    <w:rsid w:val="00297C34"/>
    <w:rsid w:val="00297C67"/>
    <w:rsid w:val="00297F1B"/>
    <w:rsid w:val="002A0168"/>
    <w:rsid w:val="002A018E"/>
    <w:rsid w:val="002A0238"/>
    <w:rsid w:val="002A0370"/>
    <w:rsid w:val="002A0412"/>
    <w:rsid w:val="002A0421"/>
    <w:rsid w:val="002A047D"/>
    <w:rsid w:val="002A04ED"/>
    <w:rsid w:val="002A0597"/>
    <w:rsid w:val="002A05BC"/>
    <w:rsid w:val="002A0728"/>
    <w:rsid w:val="002A08F8"/>
    <w:rsid w:val="002A098D"/>
    <w:rsid w:val="002A09F1"/>
    <w:rsid w:val="002A0A1A"/>
    <w:rsid w:val="002A0A41"/>
    <w:rsid w:val="002A0C9D"/>
    <w:rsid w:val="002A0DF9"/>
    <w:rsid w:val="002A0E1C"/>
    <w:rsid w:val="002A0EE7"/>
    <w:rsid w:val="002A0F8B"/>
    <w:rsid w:val="002A1148"/>
    <w:rsid w:val="002A11AF"/>
    <w:rsid w:val="002A1218"/>
    <w:rsid w:val="002A1302"/>
    <w:rsid w:val="002A1376"/>
    <w:rsid w:val="002A13DA"/>
    <w:rsid w:val="002A13EE"/>
    <w:rsid w:val="002A147F"/>
    <w:rsid w:val="002A1669"/>
    <w:rsid w:val="002A1871"/>
    <w:rsid w:val="002A1933"/>
    <w:rsid w:val="002A1A33"/>
    <w:rsid w:val="002A1B14"/>
    <w:rsid w:val="002A1B83"/>
    <w:rsid w:val="002A1B8F"/>
    <w:rsid w:val="002A1BFB"/>
    <w:rsid w:val="002A1C82"/>
    <w:rsid w:val="002A1D04"/>
    <w:rsid w:val="002A1DB9"/>
    <w:rsid w:val="002A1E23"/>
    <w:rsid w:val="002A1E79"/>
    <w:rsid w:val="002A1EA7"/>
    <w:rsid w:val="002A1F0B"/>
    <w:rsid w:val="002A1F2C"/>
    <w:rsid w:val="002A206A"/>
    <w:rsid w:val="002A2181"/>
    <w:rsid w:val="002A2241"/>
    <w:rsid w:val="002A247A"/>
    <w:rsid w:val="002A25FF"/>
    <w:rsid w:val="002A26F8"/>
    <w:rsid w:val="002A273D"/>
    <w:rsid w:val="002A27BD"/>
    <w:rsid w:val="002A283C"/>
    <w:rsid w:val="002A2999"/>
    <w:rsid w:val="002A29B1"/>
    <w:rsid w:val="002A2B09"/>
    <w:rsid w:val="002A2B4D"/>
    <w:rsid w:val="002A2CDA"/>
    <w:rsid w:val="002A2F19"/>
    <w:rsid w:val="002A2F8C"/>
    <w:rsid w:val="002A300F"/>
    <w:rsid w:val="002A3013"/>
    <w:rsid w:val="002A306B"/>
    <w:rsid w:val="002A316B"/>
    <w:rsid w:val="002A3170"/>
    <w:rsid w:val="002A31B2"/>
    <w:rsid w:val="002A3233"/>
    <w:rsid w:val="002A33B4"/>
    <w:rsid w:val="002A3449"/>
    <w:rsid w:val="002A34E4"/>
    <w:rsid w:val="002A3518"/>
    <w:rsid w:val="002A3526"/>
    <w:rsid w:val="002A35FA"/>
    <w:rsid w:val="002A3656"/>
    <w:rsid w:val="002A36D8"/>
    <w:rsid w:val="002A371D"/>
    <w:rsid w:val="002A3720"/>
    <w:rsid w:val="002A3752"/>
    <w:rsid w:val="002A3781"/>
    <w:rsid w:val="002A3819"/>
    <w:rsid w:val="002A3835"/>
    <w:rsid w:val="002A3840"/>
    <w:rsid w:val="002A3893"/>
    <w:rsid w:val="002A3900"/>
    <w:rsid w:val="002A39E6"/>
    <w:rsid w:val="002A3A48"/>
    <w:rsid w:val="002A3B01"/>
    <w:rsid w:val="002A3BD4"/>
    <w:rsid w:val="002A3CED"/>
    <w:rsid w:val="002A4181"/>
    <w:rsid w:val="002A4442"/>
    <w:rsid w:val="002A44D6"/>
    <w:rsid w:val="002A468D"/>
    <w:rsid w:val="002A46F0"/>
    <w:rsid w:val="002A487F"/>
    <w:rsid w:val="002A4900"/>
    <w:rsid w:val="002A4A2D"/>
    <w:rsid w:val="002A4ABD"/>
    <w:rsid w:val="002A4B5A"/>
    <w:rsid w:val="002A4B91"/>
    <w:rsid w:val="002A4CDB"/>
    <w:rsid w:val="002A4ED5"/>
    <w:rsid w:val="002A4FA3"/>
    <w:rsid w:val="002A5039"/>
    <w:rsid w:val="002A50FF"/>
    <w:rsid w:val="002A515C"/>
    <w:rsid w:val="002A52A4"/>
    <w:rsid w:val="002A52CA"/>
    <w:rsid w:val="002A532F"/>
    <w:rsid w:val="002A5383"/>
    <w:rsid w:val="002A563C"/>
    <w:rsid w:val="002A56B1"/>
    <w:rsid w:val="002A56C4"/>
    <w:rsid w:val="002A5718"/>
    <w:rsid w:val="002A574A"/>
    <w:rsid w:val="002A5872"/>
    <w:rsid w:val="002A5889"/>
    <w:rsid w:val="002A59A9"/>
    <w:rsid w:val="002A59AB"/>
    <w:rsid w:val="002A5A26"/>
    <w:rsid w:val="002A5A7A"/>
    <w:rsid w:val="002A5A8A"/>
    <w:rsid w:val="002A5B0F"/>
    <w:rsid w:val="002A5BBA"/>
    <w:rsid w:val="002A5C1B"/>
    <w:rsid w:val="002A5DC2"/>
    <w:rsid w:val="002A5E12"/>
    <w:rsid w:val="002A5F6E"/>
    <w:rsid w:val="002A5F8A"/>
    <w:rsid w:val="002A600C"/>
    <w:rsid w:val="002A623F"/>
    <w:rsid w:val="002A62A0"/>
    <w:rsid w:val="002A62C3"/>
    <w:rsid w:val="002A6328"/>
    <w:rsid w:val="002A6386"/>
    <w:rsid w:val="002A63ED"/>
    <w:rsid w:val="002A6448"/>
    <w:rsid w:val="002A64BA"/>
    <w:rsid w:val="002A64CC"/>
    <w:rsid w:val="002A65AA"/>
    <w:rsid w:val="002A66AF"/>
    <w:rsid w:val="002A66F2"/>
    <w:rsid w:val="002A672E"/>
    <w:rsid w:val="002A673F"/>
    <w:rsid w:val="002A6970"/>
    <w:rsid w:val="002A69D8"/>
    <w:rsid w:val="002A6B85"/>
    <w:rsid w:val="002A6B98"/>
    <w:rsid w:val="002A6C32"/>
    <w:rsid w:val="002A6CED"/>
    <w:rsid w:val="002A6CFB"/>
    <w:rsid w:val="002A6D0E"/>
    <w:rsid w:val="002A6D37"/>
    <w:rsid w:val="002A6FA2"/>
    <w:rsid w:val="002A7096"/>
    <w:rsid w:val="002A7159"/>
    <w:rsid w:val="002A71A7"/>
    <w:rsid w:val="002A72FF"/>
    <w:rsid w:val="002A7587"/>
    <w:rsid w:val="002A75E4"/>
    <w:rsid w:val="002A7929"/>
    <w:rsid w:val="002A7A84"/>
    <w:rsid w:val="002A7AAE"/>
    <w:rsid w:val="002A7BCB"/>
    <w:rsid w:val="002A7C57"/>
    <w:rsid w:val="002A7FCE"/>
    <w:rsid w:val="002B0002"/>
    <w:rsid w:val="002B0029"/>
    <w:rsid w:val="002B0271"/>
    <w:rsid w:val="002B02C3"/>
    <w:rsid w:val="002B02E6"/>
    <w:rsid w:val="002B03A0"/>
    <w:rsid w:val="002B0488"/>
    <w:rsid w:val="002B050D"/>
    <w:rsid w:val="002B0552"/>
    <w:rsid w:val="002B067A"/>
    <w:rsid w:val="002B08BC"/>
    <w:rsid w:val="002B093E"/>
    <w:rsid w:val="002B0AAB"/>
    <w:rsid w:val="002B0AB7"/>
    <w:rsid w:val="002B0B32"/>
    <w:rsid w:val="002B0BD9"/>
    <w:rsid w:val="002B0CC2"/>
    <w:rsid w:val="002B0DCD"/>
    <w:rsid w:val="002B0E3F"/>
    <w:rsid w:val="002B0E5C"/>
    <w:rsid w:val="002B0FAB"/>
    <w:rsid w:val="002B10F3"/>
    <w:rsid w:val="002B1226"/>
    <w:rsid w:val="002B1421"/>
    <w:rsid w:val="002B1467"/>
    <w:rsid w:val="002B1689"/>
    <w:rsid w:val="002B16E4"/>
    <w:rsid w:val="002B16E7"/>
    <w:rsid w:val="002B1785"/>
    <w:rsid w:val="002B17EA"/>
    <w:rsid w:val="002B1863"/>
    <w:rsid w:val="002B1915"/>
    <w:rsid w:val="002B1923"/>
    <w:rsid w:val="002B1948"/>
    <w:rsid w:val="002B1C1B"/>
    <w:rsid w:val="002B1C27"/>
    <w:rsid w:val="002B1C87"/>
    <w:rsid w:val="002B1CF8"/>
    <w:rsid w:val="002B1D49"/>
    <w:rsid w:val="002B1E43"/>
    <w:rsid w:val="002B1ED1"/>
    <w:rsid w:val="002B1EDF"/>
    <w:rsid w:val="002B1F11"/>
    <w:rsid w:val="002B1F39"/>
    <w:rsid w:val="002B1F3E"/>
    <w:rsid w:val="002B1FE8"/>
    <w:rsid w:val="002B2108"/>
    <w:rsid w:val="002B21B4"/>
    <w:rsid w:val="002B21D9"/>
    <w:rsid w:val="002B21EC"/>
    <w:rsid w:val="002B2243"/>
    <w:rsid w:val="002B231C"/>
    <w:rsid w:val="002B23D3"/>
    <w:rsid w:val="002B240B"/>
    <w:rsid w:val="002B2492"/>
    <w:rsid w:val="002B24B3"/>
    <w:rsid w:val="002B25BE"/>
    <w:rsid w:val="002B26E9"/>
    <w:rsid w:val="002B2840"/>
    <w:rsid w:val="002B28A2"/>
    <w:rsid w:val="002B29CB"/>
    <w:rsid w:val="002B2A9C"/>
    <w:rsid w:val="002B2B11"/>
    <w:rsid w:val="002B2B68"/>
    <w:rsid w:val="002B2B88"/>
    <w:rsid w:val="002B2BE7"/>
    <w:rsid w:val="002B2CF9"/>
    <w:rsid w:val="002B2D1D"/>
    <w:rsid w:val="002B2DA4"/>
    <w:rsid w:val="002B2DF0"/>
    <w:rsid w:val="002B3002"/>
    <w:rsid w:val="002B3094"/>
    <w:rsid w:val="002B351D"/>
    <w:rsid w:val="002B35DA"/>
    <w:rsid w:val="002B376C"/>
    <w:rsid w:val="002B384D"/>
    <w:rsid w:val="002B38EE"/>
    <w:rsid w:val="002B3925"/>
    <w:rsid w:val="002B39EF"/>
    <w:rsid w:val="002B3AAA"/>
    <w:rsid w:val="002B3ADE"/>
    <w:rsid w:val="002B3B96"/>
    <w:rsid w:val="002B3C06"/>
    <w:rsid w:val="002B3C67"/>
    <w:rsid w:val="002B3DAB"/>
    <w:rsid w:val="002B3DAE"/>
    <w:rsid w:val="002B3DD9"/>
    <w:rsid w:val="002B3E1D"/>
    <w:rsid w:val="002B3EB3"/>
    <w:rsid w:val="002B3EBC"/>
    <w:rsid w:val="002B3F75"/>
    <w:rsid w:val="002B4111"/>
    <w:rsid w:val="002B413D"/>
    <w:rsid w:val="002B4170"/>
    <w:rsid w:val="002B440B"/>
    <w:rsid w:val="002B4413"/>
    <w:rsid w:val="002B455A"/>
    <w:rsid w:val="002B45BE"/>
    <w:rsid w:val="002B464D"/>
    <w:rsid w:val="002B4690"/>
    <w:rsid w:val="002B48C6"/>
    <w:rsid w:val="002B4969"/>
    <w:rsid w:val="002B4A85"/>
    <w:rsid w:val="002B4B4F"/>
    <w:rsid w:val="002B4DBE"/>
    <w:rsid w:val="002B4E13"/>
    <w:rsid w:val="002B4F6D"/>
    <w:rsid w:val="002B50F5"/>
    <w:rsid w:val="002B5102"/>
    <w:rsid w:val="002B517A"/>
    <w:rsid w:val="002B5183"/>
    <w:rsid w:val="002B521C"/>
    <w:rsid w:val="002B527F"/>
    <w:rsid w:val="002B530B"/>
    <w:rsid w:val="002B5338"/>
    <w:rsid w:val="002B53A2"/>
    <w:rsid w:val="002B53C9"/>
    <w:rsid w:val="002B541C"/>
    <w:rsid w:val="002B5449"/>
    <w:rsid w:val="002B54A6"/>
    <w:rsid w:val="002B55EC"/>
    <w:rsid w:val="002B5630"/>
    <w:rsid w:val="002B575C"/>
    <w:rsid w:val="002B57B7"/>
    <w:rsid w:val="002B5835"/>
    <w:rsid w:val="002B5860"/>
    <w:rsid w:val="002B58B0"/>
    <w:rsid w:val="002B58C6"/>
    <w:rsid w:val="002B5B32"/>
    <w:rsid w:val="002B5B63"/>
    <w:rsid w:val="002B5BA0"/>
    <w:rsid w:val="002B5DBF"/>
    <w:rsid w:val="002B5DC0"/>
    <w:rsid w:val="002B5DD2"/>
    <w:rsid w:val="002B5E8D"/>
    <w:rsid w:val="002B603F"/>
    <w:rsid w:val="002B6042"/>
    <w:rsid w:val="002B6086"/>
    <w:rsid w:val="002B6093"/>
    <w:rsid w:val="002B60D1"/>
    <w:rsid w:val="002B60E3"/>
    <w:rsid w:val="002B618C"/>
    <w:rsid w:val="002B61B9"/>
    <w:rsid w:val="002B6266"/>
    <w:rsid w:val="002B6285"/>
    <w:rsid w:val="002B62D5"/>
    <w:rsid w:val="002B648C"/>
    <w:rsid w:val="002B64D5"/>
    <w:rsid w:val="002B64E1"/>
    <w:rsid w:val="002B64F5"/>
    <w:rsid w:val="002B654F"/>
    <w:rsid w:val="002B6560"/>
    <w:rsid w:val="002B660A"/>
    <w:rsid w:val="002B6653"/>
    <w:rsid w:val="002B69FA"/>
    <w:rsid w:val="002B6A98"/>
    <w:rsid w:val="002B6B17"/>
    <w:rsid w:val="002B6BE2"/>
    <w:rsid w:val="002B6C58"/>
    <w:rsid w:val="002B6C75"/>
    <w:rsid w:val="002B6CBE"/>
    <w:rsid w:val="002B6DBB"/>
    <w:rsid w:val="002B6DD2"/>
    <w:rsid w:val="002B6E5A"/>
    <w:rsid w:val="002B6E7D"/>
    <w:rsid w:val="002B6FC1"/>
    <w:rsid w:val="002B7169"/>
    <w:rsid w:val="002B71DA"/>
    <w:rsid w:val="002B728B"/>
    <w:rsid w:val="002B72D3"/>
    <w:rsid w:val="002B7393"/>
    <w:rsid w:val="002B73B6"/>
    <w:rsid w:val="002B7424"/>
    <w:rsid w:val="002B7439"/>
    <w:rsid w:val="002B74BD"/>
    <w:rsid w:val="002B7524"/>
    <w:rsid w:val="002B7550"/>
    <w:rsid w:val="002B77AA"/>
    <w:rsid w:val="002B781C"/>
    <w:rsid w:val="002B78A9"/>
    <w:rsid w:val="002B78C7"/>
    <w:rsid w:val="002B78FC"/>
    <w:rsid w:val="002B7927"/>
    <w:rsid w:val="002B7B30"/>
    <w:rsid w:val="002B7C2C"/>
    <w:rsid w:val="002B7CB3"/>
    <w:rsid w:val="002B7FEB"/>
    <w:rsid w:val="002C00E2"/>
    <w:rsid w:val="002C0104"/>
    <w:rsid w:val="002C016C"/>
    <w:rsid w:val="002C023B"/>
    <w:rsid w:val="002C0279"/>
    <w:rsid w:val="002C0328"/>
    <w:rsid w:val="002C037D"/>
    <w:rsid w:val="002C03B7"/>
    <w:rsid w:val="002C04D3"/>
    <w:rsid w:val="002C04D8"/>
    <w:rsid w:val="002C05F7"/>
    <w:rsid w:val="002C06DF"/>
    <w:rsid w:val="002C0747"/>
    <w:rsid w:val="002C078C"/>
    <w:rsid w:val="002C085B"/>
    <w:rsid w:val="002C095B"/>
    <w:rsid w:val="002C0A28"/>
    <w:rsid w:val="002C0AC6"/>
    <w:rsid w:val="002C0AD8"/>
    <w:rsid w:val="002C0AE5"/>
    <w:rsid w:val="002C0C7C"/>
    <w:rsid w:val="002C0D59"/>
    <w:rsid w:val="002C0E2A"/>
    <w:rsid w:val="002C0E90"/>
    <w:rsid w:val="002C0F1A"/>
    <w:rsid w:val="002C0F38"/>
    <w:rsid w:val="002C0F83"/>
    <w:rsid w:val="002C117F"/>
    <w:rsid w:val="002C129C"/>
    <w:rsid w:val="002C1392"/>
    <w:rsid w:val="002C146A"/>
    <w:rsid w:val="002C14F1"/>
    <w:rsid w:val="002C1630"/>
    <w:rsid w:val="002C167A"/>
    <w:rsid w:val="002C16B6"/>
    <w:rsid w:val="002C16D7"/>
    <w:rsid w:val="002C1753"/>
    <w:rsid w:val="002C1812"/>
    <w:rsid w:val="002C1820"/>
    <w:rsid w:val="002C1887"/>
    <w:rsid w:val="002C1908"/>
    <w:rsid w:val="002C19F7"/>
    <w:rsid w:val="002C1A6D"/>
    <w:rsid w:val="002C1BAB"/>
    <w:rsid w:val="002C1C14"/>
    <w:rsid w:val="002C1C84"/>
    <w:rsid w:val="002C1D5F"/>
    <w:rsid w:val="002C1DC9"/>
    <w:rsid w:val="002C1E06"/>
    <w:rsid w:val="002C1EC9"/>
    <w:rsid w:val="002C1EE6"/>
    <w:rsid w:val="002C20FD"/>
    <w:rsid w:val="002C218D"/>
    <w:rsid w:val="002C21EE"/>
    <w:rsid w:val="002C221B"/>
    <w:rsid w:val="002C22E4"/>
    <w:rsid w:val="002C23C7"/>
    <w:rsid w:val="002C23E3"/>
    <w:rsid w:val="002C259F"/>
    <w:rsid w:val="002C2658"/>
    <w:rsid w:val="002C2740"/>
    <w:rsid w:val="002C2A0F"/>
    <w:rsid w:val="002C2A19"/>
    <w:rsid w:val="002C2A6A"/>
    <w:rsid w:val="002C2A73"/>
    <w:rsid w:val="002C2B9A"/>
    <w:rsid w:val="002C2BA9"/>
    <w:rsid w:val="002C2E79"/>
    <w:rsid w:val="002C2E91"/>
    <w:rsid w:val="002C2F00"/>
    <w:rsid w:val="002C2F34"/>
    <w:rsid w:val="002C2FAA"/>
    <w:rsid w:val="002C3071"/>
    <w:rsid w:val="002C31B1"/>
    <w:rsid w:val="002C31CB"/>
    <w:rsid w:val="002C32AD"/>
    <w:rsid w:val="002C331F"/>
    <w:rsid w:val="002C33B4"/>
    <w:rsid w:val="002C3636"/>
    <w:rsid w:val="002C363E"/>
    <w:rsid w:val="002C36A9"/>
    <w:rsid w:val="002C3785"/>
    <w:rsid w:val="002C37E0"/>
    <w:rsid w:val="002C3925"/>
    <w:rsid w:val="002C39E6"/>
    <w:rsid w:val="002C3A68"/>
    <w:rsid w:val="002C3A6D"/>
    <w:rsid w:val="002C3B02"/>
    <w:rsid w:val="002C3BBC"/>
    <w:rsid w:val="002C3CB4"/>
    <w:rsid w:val="002C3D1B"/>
    <w:rsid w:val="002C3D1F"/>
    <w:rsid w:val="002C3E1D"/>
    <w:rsid w:val="002C3F48"/>
    <w:rsid w:val="002C3FE9"/>
    <w:rsid w:val="002C4043"/>
    <w:rsid w:val="002C40FE"/>
    <w:rsid w:val="002C4171"/>
    <w:rsid w:val="002C4475"/>
    <w:rsid w:val="002C4476"/>
    <w:rsid w:val="002C447D"/>
    <w:rsid w:val="002C44D1"/>
    <w:rsid w:val="002C46B7"/>
    <w:rsid w:val="002C46E4"/>
    <w:rsid w:val="002C470B"/>
    <w:rsid w:val="002C4898"/>
    <w:rsid w:val="002C4997"/>
    <w:rsid w:val="002C4A9C"/>
    <w:rsid w:val="002C4AC7"/>
    <w:rsid w:val="002C4AE7"/>
    <w:rsid w:val="002C4B20"/>
    <w:rsid w:val="002C4D00"/>
    <w:rsid w:val="002C4D4A"/>
    <w:rsid w:val="002C4DF0"/>
    <w:rsid w:val="002C4E03"/>
    <w:rsid w:val="002C4EB2"/>
    <w:rsid w:val="002C4F23"/>
    <w:rsid w:val="002C4FA3"/>
    <w:rsid w:val="002C4FDF"/>
    <w:rsid w:val="002C500A"/>
    <w:rsid w:val="002C50DA"/>
    <w:rsid w:val="002C52F8"/>
    <w:rsid w:val="002C5327"/>
    <w:rsid w:val="002C539C"/>
    <w:rsid w:val="002C53DC"/>
    <w:rsid w:val="002C54AD"/>
    <w:rsid w:val="002C54B8"/>
    <w:rsid w:val="002C5684"/>
    <w:rsid w:val="002C56D1"/>
    <w:rsid w:val="002C56DD"/>
    <w:rsid w:val="002C5708"/>
    <w:rsid w:val="002C570B"/>
    <w:rsid w:val="002C57A0"/>
    <w:rsid w:val="002C57E0"/>
    <w:rsid w:val="002C580D"/>
    <w:rsid w:val="002C58D0"/>
    <w:rsid w:val="002C5A24"/>
    <w:rsid w:val="002C5A6A"/>
    <w:rsid w:val="002C5A9D"/>
    <w:rsid w:val="002C5B15"/>
    <w:rsid w:val="002C5C3C"/>
    <w:rsid w:val="002C5C41"/>
    <w:rsid w:val="002C5C59"/>
    <w:rsid w:val="002C5C71"/>
    <w:rsid w:val="002C5D22"/>
    <w:rsid w:val="002C5D2D"/>
    <w:rsid w:val="002C5DBB"/>
    <w:rsid w:val="002C5E3A"/>
    <w:rsid w:val="002C5EFF"/>
    <w:rsid w:val="002C6164"/>
    <w:rsid w:val="002C6305"/>
    <w:rsid w:val="002C6318"/>
    <w:rsid w:val="002C631C"/>
    <w:rsid w:val="002C646F"/>
    <w:rsid w:val="002C650E"/>
    <w:rsid w:val="002C658D"/>
    <w:rsid w:val="002C67DD"/>
    <w:rsid w:val="002C6831"/>
    <w:rsid w:val="002C685C"/>
    <w:rsid w:val="002C689D"/>
    <w:rsid w:val="002C6967"/>
    <w:rsid w:val="002C6A3E"/>
    <w:rsid w:val="002C6A45"/>
    <w:rsid w:val="002C6ABD"/>
    <w:rsid w:val="002C6C57"/>
    <w:rsid w:val="002C6CE1"/>
    <w:rsid w:val="002C6D6F"/>
    <w:rsid w:val="002C6FB0"/>
    <w:rsid w:val="002C704F"/>
    <w:rsid w:val="002C7054"/>
    <w:rsid w:val="002C7078"/>
    <w:rsid w:val="002C7112"/>
    <w:rsid w:val="002C7184"/>
    <w:rsid w:val="002C71D8"/>
    <w:rsid w:val="002C72B3"/>
    <w:rsid w:val="002C7538"/>
    <w:rsid w:val="002C7837"/>
    <w:rsid w:val="002C78BE"/>
    <w:rsid w:val="002C79A7"/>
    <w:rsid w:val="002C7B43"/>
    <w:rsid w:val="002C7B76"/>
    <w:rsid w:val="002C7CDD"/>
    <w:rsid w:val="002C7D2B"/>
    <w:rsid w:val="002C7F1F"/>
    <w:rsid w:val="002D00A5"/>
    <w:rsid w:val="002D0365"/>
    <w:rsid w:val="002D0556"/>
    <w:rsid w:val="002D0686"/>
    <w:rsid w:val="002D0751"/>
    <w:rsid w:val="002D096B"/>
    <w:rsid w:val="002D0AB0"/>
    <w:rsid w:val="002D0AD5"/>
    <w:rsid w:val="002D0AF1"/>
    <w:rsid w:val="002D0AF2"/>
    <w:rsid w:val="002D0B8F"/>
    <w:rsid w:val="002D0C60"/>
    <w:rsid w:val="002D0C7F"/>
    <w:rsid w:val="002D0CD2"/>
    <w:rsid w:val="002D0E08"/>
    <w:rsid w:val="002D0E91"/>
    <w:rsid w:val="002D0EFA"/>
    <w:rsid w:val="002D0F5D"/>
    <w:rsid w:val="002D10CA"/>
    <w:rsid w:val="002D110C"/>
    <w:rsid w:val="002D111A"/>
    <w:rsid w:val="002D118C"/>
    <w:rsid w:val="002D1270"/>
    <w:rsid w:val="002D136F"/>
    <w:rsid w:val="002D13CC"/>
    <w:rsid w:val="002D13CD"/>
    <w:rsid w:val="002D13DD"/>
    <w:rsid w:val="002D1432"/>
    <w:rsid w:val="002D1448"/>
    <w:rsid w:val="002D1934"/>
    <w:rsid w:val="002D196C"/>
    <w:rsid w:val="002D1AC8"/>
    <w:rsid w:val="002D1B56"/>
    <w:rsid w:val="002D1C51"/>
    <w:rsid w:val="002D1CFE"/>
    <w:rsid w:val="002D1DBC"/>
    <w:rsid w:val="002D1E34"/>
    <w:rsid w:val="002D1E3C"/>
    <w:rsid w:val="002D1E53"/>
    <w:rsid w:val="002D1EBE"/>
    <w:rsid w:val="002D202F"/>
    <w:rsid w:val="002D2068"/>
    <w:rsid w:val="002D20A4"/>
    <w:rsid w:val="002D20E7"/>
    <w:rsid w:val="002D2108"/>
    <w:rsid w:val="002D223D"/>
    <w:rsid w:val="002D22B1"/>
    <w:rsid w:val="002D22BC"/>
    <w:rsid w:val="002D23EF"/>
    <w:rsid w:val="002D2516"/>
    <w:rsid w:val="002D26E0"/>
    <w:rsid w:val="002D2794"/>
    <w:rsid w:val="002D27F0"/>
    <w:rsid w:val="002D282A"/>
    <w:rsid w:val="002D29C9"/>
    <w:rsid w:val="002D29D3"/>
    <w:rsid w:val="002D2BBA"/>
    <w:rsid w:val="002D2D2D"/>
    <w:rsid w:val="002D2D8E"/>
    <w:rsid w:val="002D2E30"/>
    <w:rsid w:val="002D2EFF"/>
    <w:rsid w:val="002D2F67"/>
    <w:rsid w:val="002D2FB0"/>
    <w:rsid w:val="002D2FBC"/>
    <w:rsid w:val="002D3094"/>
    <w:rsid w:val="002D3146"/>
    <w:rsid w:val="002D3181"/>
    <w:rsid w:val="002D31CE"/>
    <w:rsid w:val="002D32C4"/>
    <w:rsid w:val="002D335E"/>
    <w:rsid w:val="002D33AC"/>
    <w:rsid w:val="002D34AF"/>
    <w:rsid w:val="002D34EE"/>
    <w:rsid w:val="002D3563"/>
    <w:rsid w:val="002D380B"/>
    <w:rsid w:val="002D3879"/>
    <w:rsid w:val="002D388C"/>
    <w:rsid w:val="002D38FF"/>
    <w:rsid w:val="002D3903"/>
    <w:rsid w:val="002D3964"/>
    <w:rsid w:val="002D3D7D"/>
    <w:rsid w:val="002D3DD7"/>
    <w:rsid w:val="002D3E3C"/>
    <w:rsid w:val="002D3F44"/>
    <w:rsid w:val="002D3F6D"/>
    <w:rsid w:val="002D4015"/>
    <w:rsid w:val="002D40DA"/>
    <w:rsid w:val="002D40E0"/>
    <w:rsid w:val="002D4169"/>
    <w:rsid w:val="002D4199"/>
    <w:rsid w:val="002D420F"/>
    <w:rsid w:val="002D424D"/>
    <w:rsid w:val="002D42D7"/>
    <w:rsid w:val="002D431C"/>
    <w:rsid w:val="002D43B4"/>
    <w:rsid w:val="002D4483"/>
    <w:rsid w:val="002D44AF"/>
    <w:rsid w:val="002D45A3"/>
    <w:rsid w:val="002D4615"/>
    <w:rsid w:val="002D4654"/>
    <w:rsid w:val="002D4671"/>
    <w:rsid w:val="002D4689"/>
    <w:rsid w:val="002D4819"/>
    <w:rsid w:val="002D4855"/>
    <w:rsid w:val="002D4875"/>
    <w:rsid w:val="002D4A12"/>
    <w:rsid w:val="002D4B68"/>
    <w:rsid w:val="002D4F0A"/>
    <w:rsid w:val="002D4FF9"/>
    <w:rsid w:val="002D50A2"/>
    <w:rsid w:val="002D50F5"/>
    <w:rsid w:val="002D52CC"/>
    <w:rsid w:val="002D5355"/>
    <w:rsid w:val="002D540C"/>
    <w:rsid w:val="002D55C8"/>
    <w:rsid w:val="002D5619"/>
    <w:rsid w:val="002D5629"/>
    <w:rsid w:val="002D56B6"/>
    <w:rsid w:val="002D57CF"/>
    <w:rsid w:val="002D5895"/>
    <w:rsid w:val="002D58CE"/>
    <w:rsid w:val="002D5DB4"/>
    <w:rsid w:val="002D5ED6"/>
    <w:rsid w:val="002D60A6"/>
    <w:rsid w:val="002D60E7"/>
    <w:rsid w:val="002D6112"/>
    <w:rsid w:val="002D61BC"/>
    <w:rsid w:val="002D61F0"/>
    <w:rsid w:val="002D62C0"/>
    <w:rsid w:val="002D637A"/>
    <w:rsid w:val="002D63AC"/>
    <w:rsid w:val="002D6492"/>
    <w:rsid w:val="002D64BF"/>
    <w:rsid w:val="002D65A8"/>
    <w:rsid w:val="002D6624"/>
    <w:rsid w:val="002D67F9"/>
    <w:rsid w:val="002D6836"/>
    <w:rsid w:val="002D6A4A"/>
    <w:rsid w:val="002D6AAE"/>
    <w:rsid w:val="002D6ACC"/>
    <w:rsid w:val="002D6D10"/>
    <w:rsid w:val="002D6DB2"/>
    <w:rsid w:val="002D6DC9"/>
    <w:rsid w:val="002D6ED5"/>
    <w:rsid w:val="002D6F87"/>
    <w:rsid w:val="002D70A0"/>
    <w:rsid w:val="002D7106"/>
    <w:rsid w:val="002D7140"/>
    <w:rsid w:val="002D72C7"/>
    <w:rsid w:val="002D74C8"/>
    <w:rsid w:val="002D74F3"/>
    <w:rsid w:val="002D75F9"/>
    <w:rsid w:val="002D7619"/>
    <w:rsid w:val="002D76D1"/>
    <w:rsid w:val="002D787F"/>
    <w:rsid w:val="002D791C"/>
    <w:rsid w:val="002D7935"/>
    <w:rsid w:val="002D79B2"/>
    <w:rsid w:val="002D7C6E"/>
    <w:rsid w:val="002D7C70"/>
    <w:rsid w:val="002D7E11"/>
    <w:rsid w:val="002D7FF1"/>
    <w:rsid w:val="002E00C4"/>
    <w:rsid w:val="002E00E9"/>
    <w:rsid w:val="002E0112"/>
    <w:rsid w:val="002E02E0"/>
    <w:rsid w:val="002E04D1"/>
    <w:rsid w:val="002E052F"/>
    <w:rsid w:val="002E06AE"/>
    <w:rsid w:val="002E06E3"/>
    <w:rsid w:val="002E06F3"/>
    <w:rsid w:val="002E074B"/>
    <w:rsid w:val="002E0763"/>
    <w:rsid w:val="002E0812"/>
    <w:rsid w:val="002E086E"/>
    <w:rsid w:val="002E09CA"/>
    <w:rsid w:val="002E0A39"/>
    <w:rsid w:val="002E0B85"/>
    <w:rsid w:val="002E0BDB"/>
    <w:rsid w:val="002E0CAB"/>
    <w:rsid w:val="002E0D3D"/>
    <w:rsid w:val="002E0D7F"/>
    <w:rsid w:val="002E0EB7"/>
    <w:rsid w:val="002E0ECC"/>
    <w:rsid w:val="002E0F6B"/>
    <w:rsid w:val="002E1022"/>
    <w:rsid w:val="002E107C"/>
    <w:rsid w:val="002E1141"/>
    <w:rsid w:val="002E11C1"/>
    <w:rsid w:val="002E130C"/>
    <w:rsid w:val="002E13DC"/>
    <w:rsid w:val="002E13E0"/>
    <w:rsid w:val="002E1485"/>
    <w:rsid w:val="002E14D1"/>
    <w:rsid w:val="002E1511"/>
    <w:rsid w:val="002E162C"/>
    <w:rsid w:val="002E16E3"/>
    <w:rsid w:val="002E16EF"/>
    <w:rsid w:val="002E183C"/>
    <w:rsid w:val="002E1B82"/>
    <w:rsid w:val="002E1C26"/>
    <w:rsid w:val="002E1D48"/>
    <w:rsid w:val="002E1D85"/>
    <w:rsid w:val="002E1DAA"/>
    <w:rsid w:val="002E1ED7"/>
    <w:rsid w:val="002E1FEF"/>
    <w:rsid w:val="002E20B3"/>
    <w:rsid w:val="002E21A4"/>
    <w:rsid w:val="002E228E"/>
    <w:rsid w:val="002E2335"/>
    <w:rsid w:val="002E235D"/>
    <w:rsid w:val="002E2407"/>
    <w:rsid w:val="002E2432"/>
    <w:rsid w:val="002E25BD"/>
    <w:rsid w:val="002E25EB"/>
    <w:rsid w:val="002E25FC"/>
    <w:rsid w:val="002E2649"/>
    <w:rsid w:val="002E2674"/>
    <w:rsid w:val="002E26AF"/>
    <w:rsid w:val="002E275D"/>
    <w:rsid w:val="002E27AA"/>
    <w:rsid w:val="002E27DA"/>
    <w:rsid w:val="002E288F"/>
    <w:rsid w:val="002E2890"/>
    <w:rsid w:val="002E28ED"/>
    <w:rsid w:val="002E295B"/>
    <w:rsid w:val="002E2B68"/>
    <w:rsid w:val="002E2EA2"/>
    <w:rsid w:val="002E2F77"/>
    <w:rsid w:val="002E308C"/>
    <w:rsid w:val="002E3141"/>
    <w:rsid w:val="002E31D0"/>
    <w:rsid w:val="002E31D9"/>
    <w:rsid w:val="002E3222"/>
    <w:rsid w:val="002E331D"/>
    <w:rsid w:val="002E33E5"/>
    <w:rsid w:val="002E3403"/>
    <w:rsid w:val="002E34ED"/>
    <w:rsid w:val="002E37D7"/>
    <w:rsid w:val="002E38F8"/>
    <w:rsid w:val="002E3922"/>
    <w:rsid w:val="002E397E"/>
    <w:rsid w:val="002E3990"/>
    <w:rsid w:val="002E3A5A"/>
    <w:rsid w:val="002E3AA1"/>
    <w:rsid w:val="002E3AD7"/>
    <w:rsid w:val="002E3B8F"/>
    <w:rsid w:val="002E3C1F"/>
    <w:rsid w:val="002E3C42"/>
    <w:rsid w:val="002E3CFA"/>
    <w:rsid w:val="002E3DDD"/>
    <w:rsid w:val="002E3E0C"/>
    <w:rsid w:val="002E3E2D"/>
    <w:rsid w:val="002E3ED3"/>
    <w:rsid w:val="002E3EEF"/>
    <w:rsid w:val="002E4023"/>
    <w:rsid w:val="002E415A"/>
    <w:rsid w:val="002E42B6"/>
    <w:rsid w:val="002E434B"/>
    <w:rsid w:val="002E43BE"/>
    <w:rsid w:val="002E4686"/>
    <w:rsid w:val="002E47D5"/>
    <w:rsid w:val="002E47DF"/>
    <w:rsid w:val="002E48C1"/>
    <w:rsid w:val="002E4972"/>
    <w:rsid w:val="002E4996"/>
    <w:rsid w:val="002E49A8"/>
    <w:rsid w:val="002E49C6"/>
    <w:rsid w:val="002E49F0"/>
    <w:rsid w:val="002E4A26"/>
    <w:rsid w:val="002E4AAB"/>
    <w:rsid w:val="002E4B5A"/>
    <w:rsid w:val="002E4BFF"/>
    <w:rsid w:val="002E4D40"/>
    <w:rsid w:val="002E4EEE"/>
    <w:rsid w:val="002E4EF8"/>
    <w:rsid w:val="002E4FCD"/>
    <w:rsid w:val="002E5013"/>
    <w:rsid w:val="002E503B"/>
    <w:rsid w:val="002E5170"/>
    <w:rsid w:val="002E5224"/>
    <w:rsid w:val="002E5242"/>
    <w:rsid w:val="002E5283"/>
    <w:rsid w:val="002E5290"/>
    <w:rsid w:val="002E52B8"/>
    <w:rsid w:val="002E53DD"/>
    <w:rsid w:val="002E5618"/>
    <w:rsid w:val="002E56BC"/>
    <w:rsid w:val="002E5768"/>
    <w:rsid w:val="002E57F5"/>
    <w:rsid w:val="002E581C"/>
    <w:rsid w:val="002E59B9"/>
    <w:rsid w:val="002E5B87"/>
    <w:rsid w:val="002E5D50"/>
    <w:rsid w:val="002E5EB2"/>
    <w:rsid w:val="002E5EE3"/>
    <w:rsid w:val="002E5FAF"/>
    <w:rsid w:val="002E5FCD"/>
    <w:rsid w:val="002E62A0"/>
    <w:rsid w:val="002E62A7"/>
    <w:rsid w:val="002E63D7"/>
    <w:rsid w:val="002E65A9"/>
    <w:rsid w:val="002E65F0"/>
    <w:rsid w:val="002E6864"/>
    <w:rsid w:val="002E69A7"/>
    <w:rsid w:val="002E6B44"/>
    <w:rsid w:val="002E6C9B"/>
    <w:rsid w:val="002E6CBF"/>
    <w:rsid w:val="002E6D26"/>
    <w:rsid w:val="002E6D2D"/>
    <w:rsid w:val="002E6DD0"/>
    <w:rsid w:val="002E6E52"/>
    <w:rsid w:val="002E6F7A"/>
    <w:rsid w:val="002E710C"/>
    <w:rsid w:val="002E7134"/>
    <w:rsid w:val="002E7267"/>
    <w:rsid w:val="002E726B"/>
    <w:rsid w:val="002E73FD"/>
    <w:rsid w:val="002E7494"/>
    <w:rsid w:val="002E74B7"/>
    <w:rsid w:val="002E7685"/>
    <w:rsid w:val="002E771A"/>
    <w:rsid w:val="002E779B"/>
    <w:rsid w:val="002E7B7F"/>
    <w:rsid w:val="002E7C47"/>
    <w:rsid w:val="002E7C8B"/>
    <w:rsid w:val="002E7D17"/>
    <w:rsid w:val="002E7D5F"/>
    <w:rsid w:val="002E7D9A"/>
    <w:rsid w:val="002E7D9F"/>
    <w:rsid w:val="002E7FF4"/>
    <w:rsid w:val="002F00A8"/>
    <w:rsid w:val="002F01AF"/>
    <w:rsid w:val="002F01ED"/>
    <w:rsid w:val="002F0214"/>
    <w:rsid w:val="002F0406"/>
    <w:rsid w:val="002F0473"/>
    <w:rsid w:val="002F07D9"/>
    <w:rsid w:val="002F0805"/>
    <w:rsid w:val="002F08D4"/>
    <w:rsid w:val="002F0939"/>
    <w:rsid w:val="002F0A21"/>
    <w:rsid w:val="002F0A89"/>
    <w:rsid w:val="002F0C2E"/>
    <w:rsid w:val="002F0E40"/>
    <w:rsid w:val="002F0E5A"/>
    <w:rsid w:val="002F0F1C"/>
    <w:rsid w:val="002F1009"/>
    <w:rsid w:val="002F1012"/>
    <w:rsid w:val="002F1084"/>
    <w:rsid w:val="002F10D1"/>
    <w:rsid w:val="002F1179"/>
    <w:rsid w:val="002F11CD"/>
    <w:rsid w:val="002F124D"/>
    <w:rsid w:val="002F1331"/>
    <w:rsid w:val="002F13D2"/>
    <w:rsid w:val="002F143A"/>
    <w:rsid w:val="002F146C"/>
    <w:rsid w:val="002F14CD"/>
    <w:rsid w:val="002F15A6"/>
    <w:rsid w:val="002F15AA"/>
    <w:rsid w:val="002F1688"/>
    <w:rsid w:val="002F16FB"/>
    <w:rsid w:val="002F17B6"/>
    <w:rsid w:val="002F1898"/>
    <w:rsid w:val="002F18A1"/>
    <w:rsid w:val="002F1A6D"/>
    <w:rsid w:val="002F1B0D"/>
    <w:rsid w:val="002F1B85"/>
    <w:rsid w:val="002F1BA8"/>
    <w:rsid w:val="002F1D3F"/>
    <w:rsid w:val="002F1E4A"/>
    <w:rsid w:val="002F1EAE"/>
    <w:rsid w:val="002F214B"/>
    <w:rsid w:val="002F218C"/>
    <w:rsid w:val="002F21A9"/>
    <w:rsid w:val="002F224F"/>
    <w:rsid w:val="002F22A5"/>
    <w:rsid w:val="002F22AA"/>
    <w:rsid w:val="002F231C"/>
    <w:rsid w:val="002F2712"/>
    <w:rsid w:val="002F27C1"/>
    <w:rsid w:val="002F27C7"/>
    <w:rsid w:val="002F27EA"/>
    <w:rsid w:val="002F2843"/>
    <w:rsid w:val="002F28CF"/>
    <w:rsid w:val="002F2960"/>
    <w:rsid w:val="002F29EE"/>
    <w:rsid w:val="002F2AB0"/>
    <w:rsid w:val="002F2ABE"/>
    <w:rsid w:val="002F2C38"/>
    <w:rsid w:val="002F2CD5"/>
    <w:rsid w:val="002F2EBB"/>
    <w:rsid w:val="002F2F0C"/>
    <w:rsid w:val="002F2F14"/>
    <w:rsid w:val="002F2FEE"/>
    <w:rsid w:val="002F3055"/>
    <w:rsid w:val="002F3121"/>
    <w:rsid w:val="002F317B"/>
    <w:rsid w:val="002F317E"/>
    <w:rsid w:val="002F3282"/>
    <w:rsid w:val="002F32C1"/>
    <w:rsid w:val="002F32CA"/>
    <w:rsid w:val="002F339A"/>
    <w:rsid w:val="002F347A"/>
    <w:rsid w:val="002F34B7"/>
    <w:rsid w:val="002F3589"/>
    <w:rsid w:val="002F35C4"/>
    <w:rsid w:val="002F36D3"/>
    <w:rsid w:val="002F3793"/>
    <w:rsid w:val="002F3847"/>
    <w:rsid w:val="002F389E"/>
    <w:rsid w:val="002F392E"/>
    <w:rsid w:val="002F3933"/>
    <w:rsid w:val="002F39DB"/>
    <w:rsid w:val="002F3A0A"/>
    <w:rsid w:val="002F3A52"/>
    <w:rsid w:val="002F3A61"/>
    <w:rsid w:val="002F3AC5"/>
    <w:rsid w:val="002F3B2B"/>
    <w:rsid w:val="002F3C04"/>
    <w:rsid w:val="002F3CCB"/>
    <w:rsid w:val="002F3D64"/>
    <w:rsid w:val="002F3DA0"/>
    <w:rsid w:val="002F3DC5"/>
    <w:rsid w:val="002F3DD4"/>
    <w:rsid w:val="002F3F29"/>
    <w:rsid w:val="002F3F89"/>
    <w:rsid w:val="002F3FAB"/>
    <w:rsid w:val="002F41F7"/>
    <w:rsid w:val="002F4298"/>
    <w:rsid w:val="002F4341"/>
    <w:rsid w:val="002F439C"/>
    <w:rsid w:val="002F453B"/>
    <w:rsid w:val="002F4748"/>
    <w:rsid w:val="002F479D"/>
    <w:rsid w:val="002F47E0"/>
    <w:rsid w:val="002F487D"/>
    <w:rsid w:val="002F4909"/>
    <w:rsid w:val="002F4A00"/>
    <w:rsid w:val="002F4A01"/>
    <w:rsid w:val="002F4AD4"/>
    <w:rsid w:val="002F4B14"/>
    <w:rsid w:val="002F4B66"/>
    <w:rsid w:val="002F4F12"/>
    <w:rsid w:val="002F4F9A"/>
    <w:rsid w:val="002F4FEA"/>
    <w:rsid w:val="002F50B5"/>
    <w:rsid w:val="002F51F0"/>
    <w:rsid w:val="002F5426"/>
    <w:rsid w:val="002F5441"/>
    <w:rsid w:val="002F55C3"/>
    <w:rsid w:val="002F56E2"/>
    <w:rsid w:val="002F58E3"/>
    <w:rsid w:val="002F58FA"/>
    <w:rsid w:val="002F5965"/>
    <w:rsid w:val="002F59A1"/>
    <w:rsid w:val="002F5B0C"/>
    <w:rsid w:val="002F5BCB"/>
    <w:rsid w:val="002F5C9E"/>
    <w:rsid w:val="002F5D02"/>
    <w:rsid w:val="002F5DE3"/>
    <w:rsid w:val="002F5FBB"/>
    <w:rsid w:val="002F6001"/>
    <w:rsid w:val="002F604B"/>
    <w:rsid w:val="002F60A2"/>
    <w:rsid w:val="002F60CA"/>
    <w:rsid w:val="002F60FC"/>
    <w:rsid w:val="002F61E0"/>
    <w:rsid w:val="002F622C"/>
    <w:rsid w:val="002F63AA"/>
    <w:rsid w:val="002F648F"/>
    <w:rsid w:val="002F64DA"/>
    <w:rsid w:val="002F6503"/>
    <w:rsid w:val="002F6526"/>
    <w:rsid w:val="002F652D"/>
    <w:rsid w:val="002F6560"/>
    <w:rsid w:val="002F6562"/>
    <w:rsid w:val="002F65C0"/>
    <w:rsid w:val="002F672D"/>
    <w:rsid w:val="002F6745"/>
    <w:rsid w:val="002F67FE"/>
    <w:rsid w:val="002F6A61"/>
    <w:rsid w:val="002F6ADD"/>
    <w:rsid w:val="002F6B91"/>
    <w:rsid w:val="002F6C9E"/>
    <w:rsid w:val="002F6CE1"/>
    <w:rsid w:val="002F6D28"/>
    <w:rsid w:val="002F6D43"/>
    <w:rsid w:val="002F6EE6"/>
    <w:rsid w:val="002F6F3D"/>
    <w:rsid w:val="002F722F"/>
    <w:rsid w:val="002F7285"/>
    <w:rsid w:val="002F72EB"/>
    <w:rsid w:val="002F73F8"/>
    <w:rsid w:val="002F7475"/>
    <w:rsid w:val="002F7498"/>
    <w:rsid w:val="002F74A4"/>
    <w:rsid w:val="002F750F"/>
    <w:rsid w:val="002F76B4"/>
    <w:rsid w:val="002F7802"/>
    <w:rsid w:val="002F7807"/>
    <w:rsid w:val="002F7883"/>
    <w:rsid w:val="002F7948"/>
    <w:rsid w:val="002F7BC1"/>
    <w:rsid w:val="002F7C98"/>
    <w:rsid w:val="002F7CD4"/>
    <w:rsid w:val="002F7D60"/>
    <w:rsid w:val="002F7D61"/>
    <w:rsid w:val="002F7EC6"/>
    <w:rsid w:val="002F7EEF"/>
    <w:rsid w:val="0030011F"/>
    <w:rsid w:val="00300124"/>
    <w:rsid w:val="0030028C"/>
    <w:rsid w:val="0030028E"/>
    <w:rsid w:val="003002B2"/>
    <w:rsid w:val="0030044A"/>
    <w:rsid w:val="003004B8"/>
    <w:rsid w:val="003004BE"/>
    <w:rsid w:val="003004DD"/>
    <w:rsid w:val="00300721"/>
    <w:rsid w:val="00300845"/>
    <w:rsid w:val="00300A61"/>
    <w:rsid w:val="00300A7E"/>
    <w:rsid w:val="00300B09"/>
    <w:rsid w:val="00300C7D"/>
    <w:rsid w:val="00300C9D"/>
    <w:rsid w:val="00300CB8"/>
    <w:rsid w:val="00300CDB"/>
    <w:rsid w:val="00300F1C"/>
    <w:rsid w:val="00301075"/>
    <w:rsid w:val="00301096"/>
    <w:rsid w:val="003010AC"/>
    <w:rsid w:val="00301110"/>
    <w:rsid w:val="00301143"/>
    <w:rsid w:val="003012EB"/>
    <w:rsid w:val="0030130F"/>
    <w:rsid w:val="003015FA"/>
    <w:rsid w:val="0030165E"/>
    <w:rsid w:val="00301684"/>
    <w:rsid w:val="003016A4"/>
    <w:rsid w:val="00301743"/>
    <w:rsid w:val="00301771"/>
    <w:rsid w:val="0030192B"/>
    <w:rsid w:val="00301931"/>
    <w:rsid w:val="00301AAF"/>
    <w:rsid w:val="00301AB1"/>
    <w:rsid w:val="00301AEE"/>
    <w:rsid w:val="00301D67"/>
    <w:rsid w:val="00301D81"/>
    <w:rsid w:val="00301D89"/>
    <w:rsid w:val="00301D8C"/>
    <w:rsid w:val="00301E8D"/>
    <w:rsid w:val="00301EB4"/>
    <w:rsid w:val="00301EEB"/>
    <w:rsid w:val="00301F4F"/>
    <w:rsid w:val="00301F8D"/>
    <w:rsid w:val="00302035"/>
    <w:rsid w:val="003021FE"/>
    <w:rsid w:val="003023FD"/>
    <w:rsid w:val="0030240A"/>
    <w:rsid w:val="0030241C"/>
    <w:rsid w:val="00302466"/>
    <w:rsid w:val="003024B3"/>
    <w:rsid w:val="003025EE"/>
    <w:rsid w:val="0030260A"/>
    <w:rsid w:val="003026D9"/>
    <w:rsid w:val="003027E2"/>
    <w:rsid w:val="00302938"/>
    <w:rsid w:val="00302A2F"/>
    <w:rsid w:val="00302AAA"/>
    <w:rsid w:val="00302D15"/>
    <w:rsid w:val="00302E5D"/>
    <w:rsid w:val="00302EEC"/>
    <w:rsid w:val="00302EF4"/>
    <w:rsid w:val="00302EFF"/>
    <w:rsid w:val="00302F19"/>
    <w:rsid w:val="00302FA3"/>
    <w:rsid w:val="00302FA6"/>
    <w:rsid w:val="00302FDD"/>
    <w:rsid w:val="00302FE3"/>
    <w:rsid w:val="00303251"/>
    <w:rsid w:val="0030339C"/>
    <w:rsid w:val="00303482"/>
    <w:rsid w:val="0030348B"/>
    <w:rsid w:val="00303625"/>
    <w:rsid w:val="0030378F"/>
    <w:rsid w:val="003038AA"/>
    <w:rsid w:val="00303972"/>
    <w:rsid w:val="00303A76"/>
    <w:rsid w:val="00303B1B"/>
    <w:rsid w:val="00303B86"/>
    <w:rsid w:val="00303CE6"/>
    <w:rsid w:val="00303D60"/>
    <w:rsid w:val="00303D83"/>
    <w:rsid w:val="00303E93"/>
    <w:rsid w:val="00303EE4"/>
    <w:rsid w:val="00304062"/>
    <w:rsid w:val="003040DD"/>
    <w:rsid w:val="0030415C"/>
    <w:rsid w:val="0030426C"/>
    <w:rsid w:val="00304372"/>
    <w:rsid w:val="00304444"/>
    <w:rsid w:val="00304473"/>
    <w:rsid w:val="003044C1"/>
    <w:rsid w:val="003044E1"/>
    <w:rsid w:val="00304563"/>
    <w:rsid w:val="003045ED"/>
    <w:rsid w:val="00304612"/>
    <w:rsid w:val="0030482F"/>
    <w:rsid w:val="0030489E"/>
    <w:rsid w:val="003048F3"/>
    <w:rsid w:val="003048FE"/>
    <w:rsid w:val="003049AD"/>
    <w:rsid w:val="00304BCE"/>
    <w:rsid w:val="00304C0F"/>
    <w:rsid w:val="00304CCA"/>
    <w:rsid w:val="00304D2B"/>
    <w:rsid w:val="00304D67"/>
    <w:rsid w:val="00304D9F"/>
    <w:rsid w:val="00304E54"/>
    <w:rsid w:val="00304FDB"/>
    <w:rsid w:val="00305033"/>
    <w:rsid w:val="003051B5"/>
    <w:rsid w:val="003051C0"/>
    <w:rsid w:val="0030526E"/>
    <w:rsid w:val="00305350"/>
    <w:rsid w:val="0030547C"/>
    <w:rsid w:val="00305594"/>
    <w:rsid w:val="003055A1"/>
    <w:rsid w:val="003056C9"/>
    <w:rsid w:val="00305920"/>
    <w:rsid w:val="003059F4"/>
    <w:rsid w:val="00305C9B"/>
    <w:rsid w:val="00305E23"/>
    <w:rsid w:val="00305E5F"/>
    <w:rsid w:val="00305EE1"/>
    <w:rsid w:val="00305F7A"/>
    <w:rsid w:val="003061BF"/>
    <w:rsid w:val="00306243"/>
    <w:rsid w:val="003062EA"/>
    <w:rsid w:val="00306386"/>
    <w:rsid w:val="0030648B"/>
    <w:rsid w:val="00306563"/>
    <w:rsid w:val="003065A7"/>
    <w:rsid w:val="003066B7"/>
    <w:rsid w:val="0030674F"/>
    <w:rsid w:val="0030692F"/>
    <w:rsid w:val="0030696E"/>
    <w:rsid w:val="00306995"/>
    <w:rsid w:val="003069E9"/>
    <w:rsid w:val="00306AB8"/>
    <w:rsid w:val="00306EC7"/>
    <w:rsid w:val="00306F50"/>
    <w:rsid w:val="00306F86"/>
    <w:rsid w:val="00306FA3"/>
    <w:rsid w:val="003070A8"/>
    <w:rsid w:val="0030713A"/>
    <w:rsid w:val="00307164"/>
    <w:rsid w:val="003071AB"/>
    <w:rsid w:val="003072DF"/>
    <w:rsid w:val="003072E7"/>
    <w:rsid w:val="003072F9"/>
    <w:rsid w:val="00307304"/>
    <w:rsid w:val="00307317"/>
    <w:rsid w:val="0030734C"/>
    <w:rsid w:val="0030734F"/>
    <w:rsid w:val="0030737E"/>
    <w:rsid w:val="003074A9"/>
    <w:rsid w:val="003076A8"/>
    <w:rsid w:val="003076D1"/>
    <w:rsid w:val="00307758"/>
    <w:rsid w:val="00307915"/>
    <w:rsid w:val="00307A1F"/>
    <w:rsid w:val="00307A3C"/>
    <w:rsid w:val="00307AA2"/>
    <w:rsid w:val="00307B4E"/>
    <w:rsid w:val="00307E7A"/>
    <w:rsid w:val="00307EE4"/>
    <w:rsid w:val="00307EFA"/>
    <w:rsid w:val="0031006B"/>
    <w:rsid w:val="00310175"/>
    <w:rsid w:val="003103F8"/>
    <w:rsid w:val="00310451"/>
    <w:rsid w:val="00310501"/>
    <w:rsid w:val="00310513"/>
    <w:rsid w:val="0031051C"/>
    <w:rsid w:val="00310685"/>
    <w:rsid w:val="00310743"/>
    <w:rsid w:val="003107C0"/>
    <w:rsid w:val="003107FD"/>
    <w:rsid w:val="00310911"/>
    <w:rsid w:val="0031091D"/>
    <w:rsid w:val="00310967"/>
    <w:rsid w:val="00310A7F"/>
    <w:rsid w:val="00310AEB"/>
    <w:rsid w:val="00310AFE"/>
    <w:rsid w:val="00310C60"/>
    <w:rsid w:val="00310E3B"/>
    <w:rsid w:val="00310E4A"/>
    <w:rsid w:val="00310E59"/>
    <w:rsid w:val="00310E98"/>
    <w:rsid w:val="00310EEC"/>
    <w:rsid w:val="00310F4E"/>
    <w:rsid w:val="00310FBB"/>
    <w:rsid w:val="00310FE2"/>
    <w:rsid w:val="0031104C"/>
    <w:rsid w:val="003110D7"/>
    <w:rsid w:val="0031117F"/>
    <w:rsid w:val="0031127F"/>
    <w:rsid w:val="00311438"/>
    <w:rsid w:val="00311669"/>
    <w:rsid w:val="00311790"/>
    <w:rsid w:val="0031182C"/>
    <w:rsid w:val="00311899"/>
    <w:rsid w:val="00311963"/>
    <w:rsid w:val="0031198E"/>
    <w:rsid w:val="003119C6"/>
    <w:rsid w:val="00311B16"/>
    <w:rsid w:val="00311B6B"/>
    <w:rsid w:val="00311BF5"/>
    <w:rsid w:val="00311CDE"/>
    <w:rsid w:val="00311D1A"/>
    <w:rsid w:val="00311D7C"/>
    <w:rsid w:val="00311E5C"/>
    <w:rsid w:val="00311E62"/>
    <w:rsid w:val="00311FAF"/>
    <w:rsid w:val="00312088"/>
    <w:rsid w:val="0031226F"/>
    <w:rsid w:val="0031245B"/>
    <w:rsid w:val="00312548"/>
    <w:rsid w:val="00312551"/>
    <w:rsid w:val="00312688"/>
    <w:rsid w:val="0031268A"/>
    <w:rsid w:val="00312775"/>
    <w:rsid w:val="003127AA"/>
    <w:rsid w:val="00312816"/>
    <w:rsid w:val="003128FD"/>
    <w:rsid w:val="00312918"/>
    <w:rsid w:val="00312A24"/>
    <w:rsid w:val="00312B44"/>
    <w:rsid w:val="00312C62"/>
    <w:rsid w:val="00312D1B"/>
    <w:rsid w:val="00312E02"/>
    <w:rsid w:val="00312E1D"/>
    <w:rsid w:val="00312E58"/>
    <w:rsid w:val="00312F71"/>
    <w:rsid w:val="00313212"/>
    <w:rsid w:val="0031332B"/>
    <w:rsid w:val="003134CA"/>
    <w:rsid w:val="003134FB"/>
    <w:rsid w:val="0031365F"/>
    <w:rsid w:val="003137DA"/>
    <w:rsid w:val="00313864"/>
    <w:rsid w:val="00313880"/>
    <w:rsid w:val="00313961"/>
    <w:rsid w:val="003139DC"/>
    <w:rsid w:val="00313B15"/>
    <w:rsid w:val="00313B2D"/>
    <w:rsid w:val="00313B4B"/>
    <w:rsid w:val="00313B8C"/>
    <w:rsid w:val="00313BB6"/>
    <w:rsid w:val="00313D8B"/>
    <w:rsid w:val="00313E08"/>
    <w:rsid w:val="00313EBD"/>
    <w:rsid w:val="00313ED8"/>
    <w:rsid w:val="00313F2C"/>
    <w:rsid w:val="00313F5F"/>
    <w:rsid w:val="00313F84"/>
    <w:rsid w:val="00314014"/>
    <w:rsid w:val="0031405D"/>
    <w:rsid w:val="0031410B"/>
    <w:rsid w:val="0031412A"/>
    <w:rsid w:val="003141DB"/>
    <w:rsid w:val="00314338"/>
    <w:rsid w:val="003143C8"/>
    <w:rsid w:val="0031456F"/>
    <w:rsid w:val="00314585"/>
    <w:rsid w:val="003145CC"/>
    <w:rsid w:val="003146EE"/>
    <w:rsid w:val="0031474A"/>
    <w:rsid w:val="003147A9"/>
    <w:rsid w:val="0031491F"/>
    <w:rsid w:val="0031495A"/>
    <w:rsid w:val="00314ACE"/>
    <w:rsid w:val="00314BA0"/>
    <w:rsid w:val="00314E2A"/>
    <w:rsid w:val="00314E3F"/>
    <w:rsid w:val="003151C0"/>
    <w:rsid w:val="00315467"/>
    <w:rsid w:val="00315484"/>
    <w:rsid w:val="00315498"/>
    <w:rsid w:val="0031554E"/>
    <w:rsid w:val="0031560C"/>
    <w:rsid w:val="00315673"/>
    <w:rsid w:val="00315689"/>
    <w:rsid w:val="003156BD"/>
    <w:rsid w:val="003156FD"/>
    <w:rsid w:val="00315877"/>
    <w:rsid w:val="003158B3"/>
    <w:rsid w:val="003159BF"/>
    <w:rsid w:val="00315A00"/>
    <w:rsid w:val="00315B0A"/>
    <w:rsid w:val="00315C1F"/>
    <w:rsid w:val="00315D8A"/>
    <w:rsid w:val="00315E15"/>
    <w:rsid w:val="00315F10"/>
    <w:rsid w:val="00315F22"/>
    <w:rsid w:val="00315FD0"/>
    <w:rsid w:val="003160A4"/>
    <w:rsid w:val="003160C0"/>
    <w:rsid w:val="003160F6"/>
    <w:rsid w:val="0031617F"/>
    <w:rsid w:val="00316212"/>
    <w:rsid w:val="0031628B"/>
    <w:rsid w:val="003162A9"/>
    <w:rsid w:val="003162C6"/>
    <w:rsid w:val="0031631C"/>
    <w:rsid w:val="0031634E"/>
    <w:rsid w:val="003163EF"/>
    <w:rsid w:val="00316407"/>
    <w:rsid w:val="00316519"/>
    <w:rsid w:val="0031666A"/>
    <w:rsid w:val="003167CB"/>
    <w:rsid w:val="00316946"/>
    <w:rsid w:val="00316958"/>
    <w:rsid w:val="003169BF"/>
    <w:rsid w:val="00316AFD"/>
    <w:rsid w:val="00316B17"/>
    <w:rsid w:val="00316C10"/>
    <w:rsid w:val="00316D38"/>
    <w:rsid w:val="00316F1E"/>
    <w:rsid w:val="00316F29"/>
    <w:rsid w:val="00316F2C"/>
    <w:rsid w:val="00316FE5"/>
    <w:rsid w:val="003170D5"/>
    <w:rsid w:val="00317162"/>
    <w:rsid w:val="003171CC"/>
    <w:rsid w:val="003171E1"/>
    <w:rsid w:val="0031723B"/>
    <w:rsid w:val="00317302"/>
    <w:rsid w:val="00317425"/>
    <w:rsid w:val="003174C0"/>
    <w:rsid w:val="00317573"/>
    <w:rsid w:val="003175DD"/>
    <w:rsid w:val="00317640"/>
    <w:rsid w:val="00317658"/>
    <w:rsid w:val="003176AF"/>
    <w:rsid w:val="003176FE"/>
    <w:rsid w:val="00317776"/>
    <w:rsid w:val="00317781"/>
    <w:rsid w:val="003177ED"/>
    <w:rsid w:val="0031787F"/>
    <w:rsid w:val="003178D1"/>
    <w:rsid w:val="0031798E"/>
    <w:rsid w:val="003179A1"/>
    <w:rsid w:val="00317B04"/>
    <w:rsid w:val="00317BC8"/>
    <w:rsid w:val="00317C8A"/>
    <w:rsid w:val="00317D3C"/>
    <w:rsid w:val="00317DEB"/>
    <w:rsid w:val="00317EB0"/>
    <w:rsid w:val="00317F1B"/>
    <w:rsid w:val="00317FFB"/>
    <w:rsid w:val="0032004F"/>
    <w:rsid w:val="0032008D"/>
    <w:rsid w:val="003200BD"/>
    <w:rsid w:val="00320105"/>
    <w:rsid w:val="003201AE"/>
    <w:rsid w:val="003202D9"/>
    <w:rsid w:val="00320349"/>
    <w:rsid w:val="0032034E"/>
    <w:rsid w:val="0032036F"/>
    <w:rsid w:val="00320423"/>
    <w:rsid w:val="0032047D"/>
    <w:rsid w:val="00320485"/>
    <w:rsid w:val="0032049C"/>
    <w:rsid w:val="00320594"/>
    <w:rsid w:val="00320712"/>
    <w:rsid w:val="003207E5"/>
    <w:rsid w:val="0032081F"/>
    <w:rsid w:val="0032090C"/>
    <w:rsid w:val="003209CB"/>
    <w:rsid w:val="00320A87"/>
    <w:rsid w:val="00320AF3"/>
    <w:rsid w:val="00320DCE"/>
    <w:rsid w:val="00320ECF"/>
    <w:rsid w:val="00320EF8"/>
    <w:rsid w:val="00320FB2"/>
    <w:rsid w:val="00321025"/>
    <w:rsid w:val="00321152"/>
    <w:rsid w:val="0032125A"/>
    <w:rsid w:val="00321260"/>
    <w:rsid w:val="00321267"/>
    <w:rsid w:val="003212D3"/>
    <w:rsid w:val="0032144D"/>
    <w:rsid w:val="00321465"/>
    <w:rsid w:val="00321540"/>
    <w:rsid w:val="00321682"/>
    <w:rsid w:val="003217FE"/>
    <w:rsid w:val="00321837"/>
    <w:rsid w:val="00321882"/>
    <w:rsid w:val="00321887"/>
    <w:rsid w:val="00321AA9"/>
    <w:rsid w:val="00321ADE"/>
    <w:rsid w:val="00321BB5"/>
    <w:rsid w:val="00321C8C"/>
    <w:rsid w:val="00321C9A"/>
    <w:rsid w:val="00321D7B"/>
    <w:rsid w:val="00321D84"/>
    <w:rsid w:val="00321F38"/>
    <w:rsid w:val="00321F78"/>
    <w:rsid w:val="00322045"/>
    <w:rsid w:val="003220A8"/>
    <w:rsid w:val="003220F3"/>
    <w:rsid w:val="00322115"/>
    <w:rsid w:val="00322134"/>
    <w:rsid w:val="00322174"/>
    <w:rsid w:val="003223F0"/>
    <w:rsid w:val="003226A5"/>
    <w:rsid w:val="003226E9"/>
    <w:rsid w:val="00322777"/>
    <w:rsid w:val="0032288C"/>
    <w:rsid w:val="00322984"/>
    <w:rsid w:val="00322A14"/>
    <w:rsid w:val="00322B39"/>
    <w:rsid w:val="00322D6A"/>
    <w:rsid w:val="0032300A"/>
    <w:rsid w:val="00323071"/>
    <w:rsid w:val="0032318C"/>
    <w:rsid w:val="003231CF"/>
    <w:rsid w:val="00323220"/>
    <w:rsid w:val="0032326C"/>
    <w:rsid w:val="003233DC"/>
    <w:rsid w:val="0032348D"/>
    <w:rsid w:val="0032348E"/>
    <w:rsid w:val="0032352D"/>
    <w:rsid w:val="00323573"/>
    <w:rsid w:val="0032357E"/>
    <w:rsid w:val="00323628"/>
    <w:rsid w:val="003236EB"/>
    <w:rsid w:val="00323891"/>
    <w:rsid w:val="003239ED"/>
    <w:rsid w:val="00323A64"/>
    <w:rsid w:val="00323A83"/>
    <w:rsid w:val="00323ABE"/>
    <w:rsid w:val="00323AEA"/>
    <w:rsid w:val="00323B08"/>
    <w:rsid w:val="00323BFD"/>
    <w:rsid w:val="00323E05"/>
    <w:rsid w:val="00323E2D"/>
    <w:rsid w:val="00323E8C"/>
    <w:rsid w:val="00323FD6"/>
    <w:rsid w:val="0032407B"/>
    <w:rsid w:val="003240D8"/>
    <w:rsid w:val="0032416F"/>
    <w:rsid w:val="00324199"/>
    <w:rsid w:val="00324223"/>
    <w:rsid w:val="00324228"/>
    <w:rsid w:val="0032440F"/>
    <w:rsid w:val="003245EE"/>
    <w:rsid w:val="0032465B"/>
    <w:rsid w:val="00324696"/>
    <w:rsid w:val="00324833"/>
    <w:rsid w:val="003248EB"/>
    <w:rsid w:val="003249A5"/>
    <w:rsid w:val="00324A62"/>
    <w:rsid w:val="00324B6F"/>
    <w:rsid w:val="00324BD0"/>
    <w:rsid w:val="00324D56"/>
    <w:rsid w:val="00324D6B"/>
    <w:rsid w:val="00324D90"/>
    <w:rsid w:val="00324EA4"/>
    <w:rsid w:val="00324ED6"/>
    <w:rsid w:val="00325332"/>
    <w:rsid w:val="00325373"/>
    <w:rsid w:val="0032538D"/>
    <w:rsid w:val="00325425"/>
    <w:rsid w:val="003254C5"/>
    <w:rsid w:val="003255FF"/>
    <w:rsid w:val="0032564B"/>
    <w:rsid w:val="00325702"/>
    <w:rsid w:val="00325719"/>
    <w:rsid w:val="003258B2"/>
    <w:rsid w:val="003259C3"/>
    <w:rsid w:val="00325AAA"/>
    <w:rsid w:val="00325AAC"/>
    <w:rsid w:val="00325BE9"/>
    <w:rsid w:val="00325BF7"/>
    <w:rsid w:val="00325CCF"/>
    <w:rsid w:val="00325E0E"/>
    <w:rsid w:val="00325EA1"/>
    <w:rsid w:val="00325FD2"/>
    <w:rsid w:val="0032612A"/>
    <w:rsid w:val="0032614A"/>
    <w:rsid w:val="003261AE"/>
    <w:rsid w:val="003261D1"/>
    <w:rsid w:val="00326558"/>
    <w:rsid w:val="00326596"/>
    <w:rsid w:val="003265E0"/>
    <w:rsid w:val="00326761"/>
    <w:rsid w:val="003267DD"/>
    <w:rsid w:val="0032687B"/>
    <w:rsid w:val="00326B01"/>
    <w:rsid w:val="00326B75"/>
    <w:rsid w:val="00326BA0"/>
    <w:rsid w:val="00326D7B"/>
    <w:rsid w:val="00326DA6"/>
    <w:rsid w:val="00326F01"/>
    <w:rsid w:val="00326F3B"/>
    <w:rsid w:val="00326F49"/>
    <w:rsid w:val="00327070"/>
    <w:rsid w:val="003270B5"/>
    <w:rsid w:val="0032711F"/>
    <w:rsid w:val="003272B4"/>
    <w:rsid w:val="003272F8"/>
    <w:rsid w:val="00327379"/>
    <w:rsid w:val="00327428"/>
    <w:rsid w:val="0032745F"/>
    <w:rsid w:val="003274EC"/>
    <w:rsid w:val="0032753A"/>
    <w:rsid w:val="003276AA"/>
    <w:rsid w:val="0032786A"/>
    <w:rsid w:val="003278B1"/>
    <w:rsid w:val="003278B7"/>
    <w:rsid w:val="0032795D"/>
    <w:rsid w:val="00327975"/>
    <w:rsid w:val="00327B3D"/>
    <w:rsid w:val="00327B5B"/>
    <w:rsid w:val="00327BE8"/>
    <w:rsid w:val="00327CAE"/>
    <w:rsid w:val="00327D6F"/>
    <w:rsid w:val="00327D9A"/>
    <w:rsid w:val="00327EBC"/>
    <w:rsid w:val="00327F12"/>
    <w:rsid w:val="00327F8F"/>
    <w:rsid w:val="003300A5"/>
    <w:rsid w:val="003300B5"/>
    <w:rsid w:val="003300C4"/>
    <w:rsid w:val="00330100"/>
    <w:rsid w:val="00330125"/>
    <w:rsid w:val="003302EB"/>
    <w:rsid w:val="00330368"/>
    <w:rsid w:val="003303DB"/>
    <w:rsid w:val="003304D0"/>
    <w:rsid w:val="00330665"/>
    <w:rsid w:val="00330723"/>
    <w:rsid w:val="0033072C"/>
    <w:rsid w:val="00330799"/>
    <w:rsid w:val="003307A0"/>
    <w:rsid w:val="00330898"/>
    <w:rsid w:val="0033098B"/>
    <w:rsid w:val="003309C8"/>
    <w:rsid w:val="003309DD"/>
    <w:rsid w:val="003309EC"/>
    <w:rsid w:val="00330B5D"/>
    <w:rsid w:val="00330B67"/>
    <w:rsid w:val="00330C78"/>
    <w:rsid w:val="00330D6F"/>
    <w:rsid w:val="00330E32"/>
    <w:rsid w:val="00330EFB"/>
    <w:rsid w:val="00330F28"/>
    <w:rsid w:val="0033105B"/>
    <w:rsid w:val="00331310"/>
    <w:rsid w:val="003313AE"/>
    <w:rsid w:val="00331410"/>
    <w:rsid w:val="0033143C"/>
    <w:rsid w:val="00331453"/>
    <w:rsid w:val="00331486"/>
    <w:rsid w:val="003314BB"/>
    <w:rsid w:val="0033157A"/>
    <w:rsid w:val="003317CD"/>
    <w:rsid w:val="00331809"/>
    <w:rsid w:val="0033180A"/>
    <w:rsid w:val="0033183A"/>
    <w:rsid w:val="003318B3"/>
    <w:rsid w:val="00331A5D"/>
    <w:rsid w:val="00331B58"/>
    <w:rsid w:val="00331C97"/>
    <w:rsid w:val="00331CC8"/>
    <w:rsid w:val="00331E83"/>
    <w:rsid w:val="00331FE7"/>
    <w:rsid w:val="00332165"/>
    <w:rsid w:val="003321A0"/>
    <w:rsid w:val="00332222"/>
    <w:rsid w:val="00332255"/>
    <w:rsid w:val="00332285"/>
    <w:rsid w:val="003323F1"/>
    <w:rsid w:val="003323F8"/>
    <w:rsid w:val="00332495"/>
    <w:rsid w:val="003324E9"/>
    <w:rsid w:val="00332573"/>
    <w:rsid w:val="003325DE"/>
    <w:rsid w:val="003326A6"/>
    <w:rsid w:val="00332765"/>
    <w:rsid w:val="00332AC4"/>
    <w:rsid w:val="00332B31"/>
    <w:rsid w:val="00332BF6"/>
    <w:rsid w:val="00332C7A"/>
    <w:rsid w:val="00332C81"/>
    <w:rsid w:val="00332CB7"/>
    <w:rsid w:val="00332FCF"/>
    <w:rsid w:val="00333067"/>
    <w:rsid w:val="003332F2"/>
    <w:rsid w:val="00333338"/>
    <w:rsid w:val="00333385"/>
    <w:rsid w:val="003333B0"/>
    <w:rsid w:val="003334CF"/>
    <w:rsid w:val="003335EA"/>
    <w:rsid w:val="00333698"/>
    <w:rsid w:val="003336AC"/>
    <w:rsid w:val="003337A0"/>
    <w:rsid w:val="003337A6"/>
    <w:rsid w:val="003337FF"/>
    <w:rsid w:val="0033380C"/>
    <w:rsid w:val="0033389B"/>
    <w:rsid w:val="00333916"/>
    <w:rsid w:val="00333988"/>
    <w:rsid w:val="00333AC9"/>
    <w:rsid w:val="00333B03"/>
    <w:rsid w:val="00333CAD"/>
    <w:rsid w:val="00333D25"/>
    <w:rsid w:val="00333D80"/>
    <w:rsid w:val="00333DB0"/>
    <w:rsid w:val="00333E48"/>
    <w:rsid w:val="00333E73"/>
    <w:rsid w:val="00333F7B"/>
    <w:rsid w:val="00334013"/>
    <w:rsid w:val="00334147"/>
    <w:rsid w:val="0033415E"/>
    <w:rsid w:val="00334366"/>
    <w:rsid w:val="00334371"/>
    <w:rsid w:val="0033437B"/>
    <w:rsid w:val="003343D0"/>
    <w:rsid w:val="003343F3"/>
    <w:rsid w:val="003343FB"/>
    <w:rsid w:val="0033442D"/>
    <w:rsid w:val="003344F4"/>
    <w:rsid w:val="00334780"/>
    <w:rsid w:val="003347AC"/>
    <w:rsid w:val="003349C3"/>
    <w:rsid w:val="003349C9"/>
    <w:rsid w:val="00334ACC"/>
    <w:rsid w:val="00334AD3"/>
    <w:rsid w:val="00334BC2"/>
    <w:rsid w:val="00334C21"/>
    <w:rsid w:val="00334E21"/>
    <w:rsid w:val="00334FC4"/>
    <w:rsid w:val="00335096"/>
    <w:rsid w:val="00335127"/>
    <w:rsid w:val="00335182"/>
    <w:rsid w:val="003351EB"/>
    <w:rsid w:val="0033520A"/>
    <w:rsid w:val="00335448"/>
    <w:rsid w:val="00335456"/>
    <w:rsid w:val="00335473"/>
    <w:rsid w:val="003354FF"/>
    <w:rsid w:val="003355A1"/>
    <w:rsid w:val="003356AB"/>
    <w:rsid w:val="00335786"/>
    <w:rsid w:val="00335870"/>
    <w:rsid w:val="0033591A"/>
    <w:rsid w:val="00335920"/>
    <w:rsid w:val="003359B2"/>
    <w:rsid w:val="003359F9"/>
    <w:rsid w:val="00335A00"/>
    <w:rsid w:val="00335A83"/>
    <w:rsid w:val="00335B42"/>
    <w:rsid w:val="00335B8B"/>
    <w:rsid w:val="00335BA7"/>
    <w:rsid w:val="00335C4D"/>
    <w:rsid w:val="00335D59"/>
    <w:rsid w:val="00335E50"/>
    <w:rsid w:val="00335FAF"/>
    <w:rsid w:val="00336025"/>
    <w:rsid w:val="00336035"/>
    <w:rsid w:val="003360DA"/>
    <w:rsid w:val="0033620F"/>
    <w:rsid w:val="00336345"/>
    <w:rsid w:val="003363A0"/>
    <w:rsid w:val="0033644E"/>
    <w:rsid w:val="003364DC"/>
    <w:rsid w:val="00336514"/>
    <w:rsid w:val="00336555"/>
    <w:rsid w:val="0033656A"/>
    <w:rsid w:val="00336583"/>
    <w:rsid w:val="0033659F"/>
    <w:rsid w:val="00336774"/>
    <w:rsid w:val="00336853"/>
    <w:rsid w:val="00336AE9"/>
    <w:rsid w:val="00336CE0"/>
    <w:rsid w:val="00336D91"/>
    <w:rsid w:val="00336DE0"/>
    <w:rsid w:val="00336E21"/>
    <w:rsid w:val="00336E5C"/>
    <w:rsid w:val="00336E82"/>
    <w:rsid w:val="00336FA7"/>
    <w:rsid w:val="00337014"/>
    <w:rsid w:val="003370E7"/>
    <w:rsid w:val="0033730E"/>
    <w:rsid w:val="0033747D"/>
    <w:rsid w:val="003376E4"/>
    <w:rsid w:val="00337708"/>
    <w:rsid w:val="00337709"/>
    <w:rsid w:val="00337759"/>
    <w:rsid w:val="0033775F"/>
    <w:rsid w:val="00337812"/>
    <w:rsid w:val="00337855"/>
    <w:rsid w:val="003378F9"/>
    <w:rsid w:val="003379C0"/>
    <w:rsid w:val="00337B54"/>
    <w:rsid w:val="00337BF0"/>
    <w:rsid w:val="00337C2E"/>
    <w:rsid w:val="00337CFB"/>
    <w:rsid w:val="00337D08"/>
    <w:rsid w:val="00337D1F"/>
    <w:rsid w:val="00337D23"/>
    <w:rsid w:val="00337DB6"/>
    <w:rsid w:val="00337F05"/>
    <w:rsid w:val="00340047"/>
    <w:rsid w:val="003400A7"/>
    <w:rsid w:val="00340164"/>
    <w:rsid w:val="00340246"/>
    <w:rsid w:val="003403F0"/>
    <w:rsid w:val="003404AA"/>
    <w:rsid w:val="003407AC"/>
    <w:rsid w:val="003408AF"/>
    <w:rsid w:val="0034093D"/>
    <w:rsid w:val="00340A1A"/>
    <w:rsid w:val="00340A5B"/>
    <w:rsid w:val="00340B1A"/>
    <w:rsid w:val="00340BA0"/>
    <w:rsid w:val="00340BEC"/>
    <w:rsid w:val="00340D28"/>
    <w:rsid w:val="00340DD6"/>
    <w:rsid w:val="00340DDC"/>
    <w:rsid w:val="00340F12"/>
    <w:rsid w:val="00340FAA"/>
    <w:rsid w:val="003412B3"/>
    <w:rsid w:val="00341344"/>
    <w:rsid w:val="003413FE"/>
    <w:rsid w:val="0034161E"/>
    <w:rsid w:val="00341642"/>
    <w:rsid w:val="003416A0"/>
    <w:rsid w:val="00341750"/>
    <w:rsid w:val="003417A3"/>
    <w:rsid w:val="003418A2"/>
    <w:rsid w:val="003418B3"/>
    <w:rsid w:val="00341918"/>
    <w:rsid w:val="003419EF"/>
    <w:rsid w:val="00341AB9"/>
    <w:rsid w:val="00341B20"/>
    <w:rsid w:val="00341CAA"/>
    <w:rsid w:val="00341D3C"/>
    <w:rsid w:val="00341D7E"/>
    <w:rsid w:val="00341D9B"/>
    <w:rsid w:val="00341E21"/>
    <w:rsid w:val="00341E80"/>
    <w:rsid w:val="003420E0"/>
    <w:rsid w:val="00342182"/>
    <w:rsid w:val="0034228B"/>
    <w:rsid w:val="003423CE"/>
    <w:rsid w:val="0034243B"/>
    <w:rsid w:val="003424F8"/>
    <w:rsid w:val="00342555"/>
    <w:rsid w:val="003425B6"/>
    <w:rsid w:val="00342A57"/>
    <w:rsid w:val="00342ADD"/>
    <w:rsid w:val="00342B20"/>
    <w:rsid w:val="00342BF2"/>
    <w:rsid w:val="00342BFA"/>
    <w:rsid w:val="00342CF7"/>
    <w:rsid w:val="00342D5B"/>
    <w:rsid w:val="00342E2D"/>
    <w:rsid w:val="00342EA8"/>
    <w:rsid w:val="00342F7C"/>
    <w:rsid w:val="0034318D"/>
    <w:rsid w:val="003431F3"/>
    <w:rsid w:val="003432AB"/>
    <w:rsid w:val="003432C4"/>
    <w:rsid w:val="00343351"/>
    <w:rsid w:val="0034335A"/>
    <w:rsid w:val="00343363"/>
    <w:rsid w:val="0034337C"/>
    <w:rsid w:val="003434C8"/>
    <w:rsid w:val="003434F9"/>
    <w:rsid w:val="00343506"/>
    <w:rsid w:val="0034362E"/>
    <w:rsid w:val="00343860"/>
    <w:rsid w:val="003438D5"/>
    <w:rsid w:val="003439EC"/>
    <w:rsid w:val="00343A73"/>
    <w:rsid w:val="00343AE9"/>
    <w:rsid w:val="00343C4B"/>
    <w:rsid w:val="00343C6F"/>
    <w:rsid w:val="00343D0F"/>
    <w:rsid w:val="00343D11"/>
    <w:rsid w:val="0034406F"/>
    <w:rsid w:val="003441D2"/>
    <w:rsid w:val="00344251"/>
    <w:rsid w:val="003442E5"/>
    <w:rsid w:val="0034458C"/>
    <w:rsid w:val="0034467E"/>
    <w:rsid w:val="003446EF"/>
    <w:rsid w:val="0034476E"/>
    <w:rsid w:val="0034498F"/>
    <w:rsid w:val="00344A99"/>
    <w:rsid w:val="00344ACE"/>
    <w:rsid w:val="00344C1A"/>
    <w:rsid w:val="00344C4F"/>
    <w:rsid w:val="00344CF5"/>
    <w:rsid w:val="00344CF9"/>
    <w:rsid w:val="00344D12"/>
    <w:rsid w:val="00344DC4"/>
    <w:rsid w:val="00344DDA"/>
    <w:rsid w:val="00344F09"/>
    <w:rsid w:val="00344F45"/>
    <w:rsid w:val="0034500F"/>
    <w:rsid w:val="00345087"/>
    <w:rsid w:val="00345139"/>
    <w:rsid w:val="003452C2"/>
    <w:rsid w:val="00345336"/>
    <w:rsid w:val="00345426"/>
    <w:rsid w:val="003454F0"/>
    <w:rsid w:val="0034550D"/>
    <w:rsid w:val="003456CE"/>
    <w:rsid w:val="0034579C"/>
    <w:rsid w:val="003457FB"/>
    <w:rsid w:val="003458A5"/>
    <w:rsid w:val="003458CD"/>
    <w:rsid w:val="0034598A"/>
    <w:rsid w:val="003459D6"/>
    <w:rsid w:val="00345A32"/>
    <w:rsid w:val="00345A4F"/>
    <w:rsid w:val="00345A90"/>
    <w:rsid w:val="00345AC6"/>
    <w:rsid w:val="00345C96"/>
    <w:rsid w:val="00345D7F"/>
    <w:rsid w:val="00345DAA"/>
    <w:rsid w:val="00345F17"/>
    <w:rsid w:val="00346077"/>
    <w:rsid w:val="0034609C"/>
    <w:rsid w:val="003460A2"/>
    <w:rsid w:val="0034613D"/>
    <w:rsid w:val="00346141"/>
    <w:rsid w:val="003461B6"/>
    <w:rsid w:val="00346210"/>
    <w:rsid w:val="00346213"/>
    <w:rsid w:val="00346231"/>
    <w:rsid w:val="0034645D"/>
    <w:rsid w:val="003464C5"/>
    <w:rsid w:val="003465AD"/>
    <w:rsid w:val="0034661B"/>
    <w:rsid w:val="003466E3"/>
    <w:rsid w:val="003466F4"/>
    <w:rsid w:val="003467A7"/>
    <w:rsid w:val="0034693F"/>
    <w:rsid w:val="0034699C"/>
    <w:rsid w:val="00346AA4"/>
    <w:rsid w:val="00346ABD"/>
    <w:rsid w:val="00346B60"/>
    <w:rsid w:val="00346D2C"/>
    <w:rsid w:val="00346D2D"/>
    <w:rsid w:val="00346DC2"/>
    <w:rsid w:val="00346DEE"/>
    <w:rsid w:val="00346F03"/>
    <w:rsid w:val="00346FF5"/>
    <w:rsid w:val="00347038"/>
    <w:rsid w:val="0034711E"/>
    <w:rsid w:val="00347137"/>
    <w:rsid w:val="00347286"/>
    <w:rsid w:val="003472EE"/>
    <w:rsid w:val="00347317"/>
    <w:rsid w:val="003473A1"/>
    <w:rsid w:val="003474BC"/>
    <w:rsid w:val="00347511"/>
    <w:rsid w:val="003475C3"/>
    <w:rsid w:val="00347608"/>
    <w:rsid w:val="0034767A"/>
    <w:rsid w:val="003476EA"/>
    <w:rsid w:val="003476FA"/>
    <w:rsid w:val="003478F0"/>
    <w:rsid w:val="00347D2B"/>
    <w:rsid w:val="00347DB3"/>
    <w:rsid w:val="00347DCD"/>
    <w:rsid w:val="00347E20"/>
    <w:rsid w:val="00347E8C"/>
    <w:rsid w:val="00347EE3"/>
    <w:rsid w:val="00347EEC"/>
    <w:rsid w:val="00347F2B"/>
    <w:rsid w:val="00347F5A"/>
    <w:rsid w:val="0035015F"/>
    <w:rsid w:val="0035019C"/>
    <w:rsid w:val="003501DA"/>
    <w:rsid w:val="003501F1"/>
    <w:rsid w:val="00350232"/>
    <w:rsid w:val="0035029E"/>
    <w:rsid w:val="00350328"/>
    <w:rsid w:val="003503B3"/>
    <w:rsid w:val="003503BB"/>
    <w:rsid w:val="00350596"/>
    <w:rsid w:val="00350755"/>
    <w:rsid w:val="00350A06"/>
    <w:rsid w:val="00350AF9"/>
    <w:rsid w:val="00350B5B"/>
    <w:rsid w:val="00350B5F"/>
    <w:rsid w:val="00350C14"/>
    <w:rsid w:val="00350C84"/>
    <w:rsid w:val="00350D82"/>
    <w:rsid w:val="00350E44"/>
    <w:rsid w:val="00350ECD"/>
    <w:rsid w:val="00350EF2"/>
    <w:rsid w:val="00350FA7"/>
    <w:rsid w:val="00350FE2"/>
    <w:rsid w:val="00351024"/>
    <w:rsid w:val="00351065"/>
    <w:rsid w:val="00351274"/>
    <w:rsid w:val="003512B9"/>
    <w:rsid w:val="0035134A"/>
    <w:rsid w:val="003513CE"/>
    <w:rsid w:val="00351478"/>
    <w:rsid w:val="00351532"/>
    <w:rsid w:val="00351552"/>
    <w:rsid w:val="003516B5"/>
    <w:rsid w:val="003518E8"/>
    <w:rsid w:val="00351995"/>
    <w:rsid w:val="003519FD"/>
    <w:rsid w:val="00351ABB"/>
    <w:rsid w:val="00351AC2"/>
    <w:rsid w:val="00351B35"/>
    <w:rsid w:val="00351B8F"/>
    <w:rsid w:val="00351C43"/>
    <w:rsid w:val="00351C4A"/>
    <w:rsid w:val="00351C55"/>
    <w:rsid w:val="00351DA8"/>
    <w:rsid w:val="00351EB3"/>
    <w:rsid w:val="00352013"/>
    <w:rsid w:val="00352043"/>
    <w:rsid w:val="003520AA"/>
    <w:rsid w:val="003520C1"/>
    <w:rsid w:val="0035214D"/>
    <w:rsid w:val="003521EB"/>
    <w:rsid w:val="003521EC"/>
    <w:rsid w:val="003522B9"/>
    <w:rsid w:val="003522C3"/>
    <w:rsid w:val="003522C6"/>
    <w:rsid w:val="003523CC"/>
    <w:rsid w:val="0035243D"/>
    <w:rsid w:val="00352440"/>
    <w:rsid w:val="003524D2"/>
    <w:rsid w:val="003524DA"/>
    <w:rsid w:val="0035256D"/>
    <w:rsid w:val="0035262B"/>
    <w:rsid w:val="0035281C"/>
    <w:rsid w:val="003528A7"/>
    <w:rsid w:val="003528BE"/>
    <w:rsid w:val="00352ADD"/>
    <w:rsid w:val="00352B2C"/>
    <w:rsid w:val="00352C50"/>
    <w:rsid w:val="00352C96"/>
    <w:rsid w:val="00352CD5"/>
    <w:rsid w:val="00352D7B"/>
    <w:rsid w:val="0035308D"/>
    <w:rsid w:val="00353146"/>
    <w:rsid w:val="003531DA"/>
    <w:rsid w:val="00353297"/>
    <w:rsid w:val="003533E4"/>
    <w:rsid w:val="00353420"/>
    <w:rsid w:val="00353470"/>
    <w:rsid w:val="003534A1"/>
    <w:rsid w:val="00353695"/>
    <w:rsid w:val="003536CC"/>
    <w:rsid w:val="003536DA"/>
    <w:rsid w:val="0035388A"/>
    <w:rsid w:val="003538A0"/>
    <w:rsid w:val="00353AA7"/>
    <w:rsid w:val="00353C53"/>
    <w:rsid w:val="00353C5D"/>
    <w:rsid w:val="00353CC2"/>
    <w:rsid w:val="00353D06"/>
    <w:rsid w:val="00353D7C"/>
    <w:rsid w:val="00353D86"/>
    <w:rsid w:val="0035403B"/>
    <w:rsid w:val="00354159"/>
    <w:rsid w:val="0035415F"/>
    <w:rsid w:val="0035434C"/>
    <w:rsid w:val="0035440D"/>
    <w:rsid w:val="0035443B"/>
    <w:rsid w:val="00354453"/>
    <w:rsid w:val="00354459"/>
    <w:rsid w:val="00354612"/>
    <w:rsid w:val="003546A8"/>
    <w:rsid w:val="0035485A"/>
    <w:rsid w:val="003548E8"/>
    <w:rsid w:val="00354923"/>
    <w:rsid w:val="0035497C"/>
    <w:rsid w:val="00354ADE"/>
    <w:rsid w:val="00354B28"/>
    <w:rsid w:val="00354B52"/>
    <w:rsid w:val="00354C97"/>
    <w:rsid w:val="00354DD1"/>
    <w:rsid w:val="00354DF0"/>
    <w:rsid w:val="00354EAC"/>
    <w:rsid w:val="00354EFF"/>
    <w:rsid w:val="00354F13"/>
    <w:rsid w:val="00354F93"/>
    <w:rsid w:val="0035509D"/>
    <w:rsid w:val="003550B1"/>
    <w:rsid w:val="00355205"/>
    <w:rsid w:val="00355227"/>
    <w:rsid w:val="00355247"/>
    <w:rsid w:val="0035524F"/>
    <w:rsid w:val="0035532B"/>
    <w:rsid w:val="003553AD"/>
    <w:rsid w:val="003553BC"/>
    <w:rsid w:val="0035549D"/>
    <w:rsid w:val="003554B9"/>
    <w:rsid w:val="003555A1"/>
    <w:rsid w:val="00355649"/>
    <w:rsid w:val="003556A5"/>
    <w:rsid w:val="003556CE"/>
    <w:rsid w:val="003556D7"/>
    <w:rsid w:val="003556EE"/>
    <w:rsid w:val="0035582D"/>
    <w:rsid w:val="00355BDF"/>
    <w:rsid w:val="00355C0C"/>
    <w:rsid w:val="00355C27"/>
    <w:rsid w:val="00355CD2"/>
    <w:rsid w:val="00355D6B"/>
    <w:rsid w:val="00355D92"/>
    <w:rsid w:val="00355E35"/>
    <w:rsid w:val="00355E58"/>
    <w:rsid w:val="00355F10"/>
    <w:rsid w:val="00355FA1"/>
    <w:rsid w:val="00356086"/>
    <w:rsid w:val="0035618F"/>
    <w:rsid w:val="003561D6"/>
    <w:rsid w:val="003561EF"/>
    <w:rsid w:val="0035640F"/>
    <w:rsid w:val="00356426"/>
    <w:rsid w:val="0035650E"/>
    <w:rsid w:val="00356600"/>
    <w:rsid w:val="003566B6"/>
    <w:rsid w:val="003567AE"/>
    <w:rsid w:val="0035699B"/>
    <w:rsid w:val="00356A0A"/>
    <w:rsid w:val="00356B43"/>
    <w:rsid w:val="00356B84"/>
    <w:rsid w:val="00356BF2"/>
    <w:rsid w:val="00356C19"/>
    <w:rsid w:val="00356C29"/>
    <w:rsid w:val="00356CA0"/>
    <w:rsid w:val="00356CEE"/>
    <w:rsid w:val="00356D70"/>
    <w:rsid w:val="00356DB4"/>
    <w:rsid w:val="00356E26"/>
    <w:rsid w:val="00356E27"/>
    <w:rsid w:val="00356E70"/>
    <w:rsid w:val="00356F76"/>
    <w:rsid w:val="00356FC7"/>
    <w:rsid w:val="00357129"/>
    <w:rsid w:val="00357342"/>
    <w:rsid w:val="00357583"/>
    <w:rsid w:val="00357681"/>
    <w:rsid w:val="003576D8"/>
    <w:rsid w:val="003576EF"/>
    <w:rsid w:val="00357722"/>
    <w:rsid w:val="003577DE"/>
    <w:rsid w:val="003577E2"/>
    <w:rsid w:val="0035785F"/>
    <w:rsid w:val="00357883"/>
    <w:rsid w:val="0035799D"/>
    <w:rsid w:val="00357A27"/>
    <w:rsid w:val="00357BB1"/>
    <w:rsid w:val="00357C14"/>
    <w:rsid w:val="00357CA0"/>
    <w:rsid w:val="00357CD3"/>
    <w:rsid w:val="00357EDC"/>
    <w:rsid w:val="00357F78"/>
    <w:rsid w:val="00357FA7"/>
    <w:rsid w:val="00357FCF"/>
    <w:rsid w:val="00360025"/>
    <w:rsid w:val="0036007A"/>
    <w:rsid w:val="0036007E"/>
    <w:rsid w:val="003600C6"/>
    <w:rsid w:val="00360393"/>
    <w:rsid w:val="0036042F"/>
    <w:rsid w:val="003605B8"/>
    <w:rsid w:val="00360681"/>
    <w:rsid w:val="00360789"/>
    <w:rsid w:val="003607B5"/>
    <w:rsid w:val="003607DD"/>
    <w:rsid w:val="00360965"/>
    <w:rsid w:val="00360993"/>
    <w:rsid w:val="0036099D"/>
    <w:rsid w:val="00360C96"/>
    <w:rsid w:val="00360DDA"/>
    <w:rsid w:val="00360EC4"/>
    <w:rsid w:val="00361011"/>
    <w:rsid w:val="003610F7"/>
    <w:rsid w:val="00361153"/>
    <w:rsid w:val="00361185"/>
    <w:rsid w:val="003612F3"/>
    <w:rsid w:val="0036137E"/>
    <w:rsid w:val="003617C0"/>
    <w:rsid w:val="003618A9"/>
    <w:rsid w:val="00361B00"/>
    <w:rsid w:val="00361BA1"/>
    <w:rsid w:val="00361CC6"/>
    <w:rsid w:val="00361DF1"/>
    <w:rsid w:val="00361E5F"/>
    <w:rsid w:val="00361E8C"/>
    <w:rsid w:val="00361E92"/>
    <w:rsid w:val="00361EB9"/>
    <w:rsid w:val="00361EEA"/>
    <w:rsid w:val="003620A1"/>
    <w:rsid w:val="003620E4"/>
    <w:rsid w:val="003620E5"/>
    <w:rsid w:val="00362128"/>
    <w:rsid w:val="00362151"/>
    <w:rsid w:val="003621CD"/>
    <w:rsid w:val="00362362"/>
    <w:rsid w:val="0036241D"/>
    <w:rsid w:val="003624C3"/>
    <w:rsid w:val="003625AE"/>
    <w:rsid w:val="003625BC"/>
    <w:rsid w:val="0036261C"/>
    <w:rsid w:val="00362674"/>
    <w:rsid w:val="003626C6"/>
    <w:rsid w:val="00362776"/>
    <w:rsid w:val="003628BD"/>
    <w:rsid w:val="003628D6"/>
    <w:rsid w:val="00362917"/>
    <w:rsid w:val="00362A9E"/>
    <w:rsid w:val="00362AAC"/>
    <w:rsid w:val="00362AD0"/>
    <w:rsid w:val="00362B7E"/>
    <w:rsid w:val="00362C45"/>
    <w:rsid w:val="00362C98"/>
    <w:rsid w:val="00362CBC"/>
    <w:rsid w:val="00362DEB"/>
    <w:rsid w:val="00362FE1"/>
    <w:rsid w:val="00363005"/>
    <w:rsid w:val="003630F6"/>
    <w:rsid w:val="00363238"/>
    <w:rsid w:val="003632F6"/>
    <w:rsid w:val="00363365"/>
    <w:rsid w:val="00363378"/>
    <w:rsid w:val="003633C1"/>
    <w:rsid w:val="0036343F"/>
    <w:rsid w:val="00363444"/>
    <w:rsid w:val="00363488"/>
    <w:rsid w:val="003634BD"/>
    <w:rsid w:val="00363654"/>
    <w:rsid w:val="0036371C"/>
    <w:rsid w:val="00363786"/>
    <w:rsid w:val="00363897"/>
    <w:rsid w:val="0036393B"/>
    <w:rsid w:val="0036399E"/>
    <w:rsid w:val="003639DD"/>
    <w:rsid w:val="00363AEF"/>
    <w:rsid w:val="00363B31"/>
    <w:rsid w:val="00363D5F"/>
    <w:rsid w:val="00363EBF"/>
    <w:rsid w:val="00363FE5"/>
    <w:rsid w:val="00363FF4"/>
    <w:rsid w:val="003642AB"/>
    <w:rsid w:val="003642CF"/>
    <w:rsid w:val="00364429"/>
    <w:rsid w:val="0036442C"/>
    <w:rsid w:val="00364648"/>
    <w:rsid w:val="00364828"/>
    <w:rsid w:val="003648F9"/>
    <w:rsid w:val="00364977"/>
    <w:rsid w:val="0036497D"/>
    <w:rsid w:val="00364A91"/>
    <w:rsid w:val="00364A97"/>
    <w:rsid w:val="00364B6F"/>
    <w:rsid w:val="00364BB7"/>
    <w:rsid w:val="00364BF6"/>
    <w:rsid w:val="00364BF8"/>
    <w:rsid w:val="00364C42"/>
    <w:rsid w:val="00364CB0"/>
    <w:rsid w:val="00364CF5"/>
    <w:rsid w:val="00364D4A"/>
    <w:rsid w:val="00364DAC"/>
    <w:rsid w:val="00364DB1"/>
    <w:rsid w:val="00364DE1"/>
    <w:rsid w:val="00364EFE"/>
    <w:rsid w:val="00364F99"/>
    <w:rsid w:val="00364FC0"/>
    <w:rsid w:val="003650DF"/>
    <w:rsid w:val="003651BC"/>
    <w:rsid w:val="0036520F"/>
    <w:rsid w:val="00365274"/>
    <w:rsid w:val="003653AC"/>
    <w:rsid w:val="003653E8"/>
    <w:rsid w:val="003654E0"/>
    <w:rsid w:val="003655AF"/>
    <w:rsid w:val="003655C4"/>
    <w:rsid w:val="003655D1"/>
    <w:rsid w:val="00365608"/>
    <w:rsid w:val="0036560C"/>
    <w:rsid w:val="0036561E"/>
    <w:rsid w:val="00365625"/>
    <w:rsid w:val="003656B2"/>
    <w:rsid w:val="003657F0"/>
    <w:rsid w:val="00365841"/>
    <w:rsid w:val="00365894"/>
    <w:rsid w:val="0036590D"/>
    <w:rsid w:val="0036596C"/>
    <w:rsid w:val="003659E4"/>
    <w:rsid w:val="00365AC2"/>
    <w:rsid w:val="00365C3A"/>
    <w:rsid w:val="00365C42"/>
    <w:rsid w:val="00365CC5"/>
    <w:rsid w:val="00365D1B"/>
    <w:rsid w:val="00365DF3"/>
    <w:rsid w:val="00365F03"/>
    <w:rsid w:val="00366031"/>
    <w:rsid w:val="003661D9"/>
    <w:rsid w:val="00366271"/>
    <w:rsid w:val="00366528"/>
    <w:rsid w:val="00366600"/>
    <w:rsid w:val="00366692"/>
    <w:rsid w:val="003666B2"/>
    <w:rsid w:val="00366744"/>
    <w:rsid w:val="00366760"/>
    <w:rsid w:val="00366906"/>
    <w:rsid w:val="003669AD"/>
    <w:rsid w:val="00366A97"/>
    <w:rsid w:val="00366AFF"/>
    <w:rsid w:val="00366B32"/>
    <w:rsid w:val="00366BBB"/>
    <w:rsid w:val="00366C38"/>
    <w:rsid w:val="00366F28"/>
    <w:rsid w:val="00366F51"/>
    <w:rsid w:val="00366F65"/>
    <w:rsid w:val="00366FD4"/>
    <w:rsid w:val="00367104"/>
    <w:rsid w:val="003672EC"/>
    <w:rsid w:val="00367372"/>
    <w:rsid w:val="00367422"/>
    <w:rsid w:val="0036756F"/>
    <w:rsid w:val="003675AA"/>
    <w:rsid w:val="00367860"/>
    <w:rsid w:val="0036793E"/>
    <w:rsid w:val="00367982"/>
    <w:rsid w:val="00367A2C"/>
    <w:rsid w:val="00367A8B"/>
    <w:rsid w:val="00367AC2"/>
    <w:rsid w:val="00367ADB"/>
    <w:rsid w:val="00367BA3"/>
    <w:rsid w:val="00367C2F"/>
    <w:rsid w:val="00367DBB"/>
    <w:rsid w:val="00367E7F"/>
    <w:rsid w:val="00367E98"/>
    <w:rsid w:val="00367F5E"/>
    <w:rsid w:val="00367FCC"/>
    <w:rsid w:val="0037007A"/>
    <w:rsid w:val="00370263"/>
    <w:rsid w:val="00370293"/>
    <w:rsid w:val="0037036A"/>
    <w:rsid w:val="0037039A"/>
    <w:rsid w:val="003703FB"/>
    <w:rsid w:val="0037040D"/>
    <w:rsid w:val="003704E6"/>
    <w:rsid w:val="0037050A"/>
    <w:rsid w:val="003705B7"/>
    <w:rsid w:val="003705D4"/>
    <w:rsid w:val="00370789"/>
    <w:rsid w:val="0037083B"/>
    <w:rsid w:val="00370840"/>
    <w:rsid w:val="00370919"/>
    <w:rsid w:val="0037099D"/>
    <w:rsid w:val="00370ACE"/>
    <w:rsid w:val="00370AFD"/>
    <w:rsid w:val="00370B87"/>
    <w:rsid w:val="00370BDE"/>
    <w:rsid w:val="00370C04"/>
    <w:rsid w:val="00370C55"/>
    <w:rsid w:val="00370C95"/>
    <w:rsid w:val="00370DA2"/>
    <w:rsid w:val="00370E2B"/>
    <w:rsid w:val="00370E88"/>
    <w:rsid w:val="00370F03"/>
    <w:rsid w:val="00370F21"/>
    <w:rsid w:val="00370F26"/>
    <w:rsid w:val="00371148"/>
    <w:rsid w:val="00371340"/>
    <w:rsid w:val="00371354"/>
    <w:rsid w:val="00371412"/>
    <w:rsid w:val="0037145A"/>
    <w:rsid w:val="0037150F"/>
    <w:rsid w:val="00371766"/>
    <w:rsid w:val="003718B0"/>
    <w:rsid w:val="00371A0D"/>
    <w:rsid w:val="00371B82"/>
    <w:rsid w:val="00371BC4"/>
    <w:rsid w:val="00371BFC"/>
    <w:rsid w:val="00371C3B"/>
    <w:rsid w:val="00371C74"/>
    <w:rsid w:val="00371D42"/>
    <w:rsid w:val="00371D54"/>
    <w:rsid w:val="00371D6B"/>
    <w:rsid w:val="00371DF3"/>
    <w:rsid w:val="00371E00"/>
    <w:rsid w:val="00371E33"/>
    <w:rsid w:val="00371E67"/>
    <w:rsid w:val="00371EE4"/>
    <w:rsid w:val="003720AF"/>
    <w:rsid w:val="003720B8"/>
    <w:rsid w:val="003721D2"/>
    <w:rsid w:val="003721E8"/>
    <w:rsid w:val="0037221F"/>
    <w:rsid w:val="00372235"/>
    <w:rsid w:val="003722B6"/>
    <w:rsid w:val="00372444"/>
    <w:rsid w:val="00372578"/>
    <w:rsid w:val="00372601"/>
    <w:rsid w:val="0037262A"/>
    <w:rsid w:val="00372692"/>
    <w:rsid w:val="003726B4"/>
    <w:rsid w:val="0037276E"/>
    <w:rsid w:val="00372782"/>
    <w:rsid w:val="003727E9"/>
    <w:rsid w:val="00372878"/>
    <w:rsid w:val="00372935"/>
    <w:rsid w:val="0037295D"/>
    <w:rsid w:val="003729B6"/>
    <w:rsid w:val="003729D5"/>
    <w:rsid w:val="00372A9D"/>
    <w:rsid w:val="00372C5F"/>
    <w:rsid w:val="00372CAB"/>
    <w:rsid w:val="00372D31"/>
    <w:rsid w:val="00372DF7"/>
    <w:rsid w:val="00372E7B"/>
    <w:rsid w:val="003731BB"/>
    <w:rsid w:val="00373220"/>
    <w:rsid w:val="0037323F"/>
    <w:rsid w:val="00373246"/>
    <w:rsid w:val="0037351A"/>
    <w:rsid w:val="00373526"/>
    <w:rsid w:val="0037353F"/>
    <w:rsid w:val="00373662"/>
    <w:rsid w:val="003736AB"/>
    <w:rsid w:val="0037381A"/>
    <w:rsid w:val="00373852"/>
    <w:rsid w:val="0037385A"/>
    <w:rsid w:val="0037388C"/>
    <w:rsid w:val="0037389A"/>
    <w:rsid w:val="003738D0"/>
    <w:rsid w:val="003739AD"/>
    <w:rsid w:val="003739BD"/>
    <w:rsid w:val="00373A0A"/>
    <w:rsid w:val="00373A2D"/>
    <w:rsid w:val="00373A92"/>
    <w:rsid w:val="00373AFD"/>
    <w:rsid w:val="00373B12"/>
    <w:rsid w:val="00373B55"/>
    <w:rsid w:val="00373BBE"/>
    <w:rsid w:val="00373BFF"/>
    <w:rsid w:val="00373C2D"/>
    <w:rsid w:val="00373D2A"/>
    <w:rsid w:val="00373DC9"/>
    <w:rsid w:val="00373E02"/>
    <w:rsid w:val="00373E1C"/>
    <w:rsid w:val="003740E0"/>
    <w:rsid w:val="00374394"/>
    <w:rsid w:val="0037441A"/>
    <w:rsid w:val="00374575"/>
    <w:rsid w:val="00374583"/>
    <w:rsid w:val="00374595"/>
    <w:rsid w:val="003745FA"/>
    <w:rsid w:val="003745FE"/>
    <w:rsid w:val="0037465D"/>
    <w:rsid w:val="00374683"/>
    <w:rsid w:val="003748C0"/>
    <w:rsid w:val="00374901"/>
    <w:rsid w:val="00374982"/>
    <w:rsid w:val="00374A20"/>
    <w:rsid w:val="00374D85"/>
    <w:rsid w:val="00374E88"/>
    <w:rsid w:val="00374E9C"/>
    <w:rsid w:val="00374F68"/>
    <w:rsid w:val="003750BB"/>
    <w:rsid w:val="003751DC"/>
    <w:rsid w:val="00375202"/>
    <w:rsid w:val="00375353"/>
    <w:rsid w:val="003753F6"/>
    <w:rsid w:val="00375405"/>
    <w:rsid w:val="003754F0"/>
    <w:rsid w:val="00375699"/>
    <w:rsid w:val="003756C6"/>
    <w:rsid w:val="00375739"/>
    <w:rsid w:val="0037592F"/>
    <w:rsid w:val="00375971"/>
    <w:rsid w:val="003759EB"/>
    <w:rsid w:val="00375AA8"/>
    <w:rsid w:val="00375ACD"/>
    <w:rsid w:val="00375B21"/>
    <w:rsid w:val="00375C30"/>
    <w:rsid w:val="00375C96"/>
    <w:rsid w:val="00375E97"/>
    <w:rsid w:val="00375F4B"/>
    <w:rsid w:val="00375F5A"/>
    <w:rsid w:val="0037602F"/>
    <w:rsid w:val="00376153"/>
    <w:rsid w:val="003761F8"/>
    <w:rsid w:val="00376219"/>
    <w:rsid w:val="00376222"/>
    <w:rsid w:val="003762F9"/>
    <w:rsid w:val="0037635D"/>
    <w:rsid w:val="00376391"/>
    <w:rsid w:val="0037653D"/>
    <w:rsid w:val="0037653E"/>
    <w:rsid w:val="00376562"/>
    <w:rsid w:val="003765CD"/>
    <w:rsid w:val="0037663B"/>
    <w:rsid w:val="00376715"/>
    <w:rsid w:val="00376725"/>
    <w:rsid w:val="003767A8"/>
    <w:rsid w:val="00376822"/>
    <w:rsid w:val="0037698E"/>
    <w:rsid w:val="00376A16"/>
    <w:rsid w:val="00376A6D"/>
    <w:rsid w:val="00376B47"/>
    <w:rsid w:val="00376B72"/>
    <w:rsid w:val="00376E0B"/>
    <w:rsid w:val="00376E3C"/>
    <w:rsid w:val="00376EC4"/>
    <w:rsid w:val="00376F03"/>
    <w:rsid w:val="00376FA1"/>
    <w:rsid w:val="00376FD1"/>
    <w:rsid w:val="0037708F"/>
    <w:rsid w:val="003770E1"/>
    <w:rsid w:val="0037713E"/>
    <w:rsid w:val="003771A9"/>
    <w:rsid w:val="00377223"/>
    <w:rsid w:val="00377354"/>
    <w:rsid w:val="003773AE"/>
    <w:rsid w:val="00377405"/>
    <w:rsid w:val="00377420"/>
    <w:rsid w:val="00377437"/>
    <w:rsid w:val="003774B0"/>
    <w:rsid w:val="00377547"/>
    <w:rsid w:val="00377671"/>
    <w:rsid w:val="003776D2"/>
    <w:rsid w:val="00377752"/>
    <w:rsid w:val="0037776D"/>
    <w:rsid w:val="003777CF"/>
    <w:rsid w:val="00377882"/>
    <w:rsid w:val="003779CF"/>
    <w:rsid w:val="003779E0"/>
    <w:rsid w:val="00377A44"/>
    <w:rsid w:val="00377AFC"/>
    <w:rsid w:val="00377B37"/>
    <w:rsid w:val="00377B64"/>
    <w:rsid w:val="00377C97"/>
    <w:rsid w:val="00377D30"/>
    <w:rsid w:val="00377DCF"/>
    <w:rsid w:val="00377E53"/>
    <w:rsid w:val="00377EFE"/>
    <w:rsid w:val="00377FAE"/>
    <w:rsid w:val="0038004C"/>
    <w:rsid w:val="003800DE"/>
    <w:rsid w:val="00380209"/>
    <w:rsid w:val="00380244"/>
    <w:rsid w:val="003802AF"/>
    <w:rsid w:val="003802C7"/>
    <w:rsid w:val="00380352"/>
    <w:rsid w:val="0038043F"/>
    <w:rsid w:val="00380482"/>
    <w:rsid w:val="003805A3"/>
    <w:rsid w:val="00380617"/>
    <w:rsid w:val="003806AA"/>
    <w:rsid w:val="003807F1"/>
    <w:rsid w:val="003808AD"/>
    <w:rsid w:val="003808BE"/>
    <w:rsid w:val="003809B1"/>
    <w:rsid w:val="00380A48"/>
    <w:rsid w:val="00380A8B"/>
    <w:rsid w:val="00380AD8"/>
    <w:rsid w:val="00380C3D"/>
    <w:rsid w:val="00380C9E"/>
    <w:rsid w:val="00380D9C"/>
    <w:rsid w:val="00380DE3"/>
    <w:rsid w:val="00380F33"/>
    <w:rsid w:val="00381017"/>
    <w:rsid w:val="003811FC"/>
    <w:rsid w:val="0038121A"/>
    <w:rsid w:val="0038124C"/>
    <w:rsid w:val="00381271"/>
    <w:rsid w:val="003812AC"/>
    <w:rsid w:val="003813DF"/>
    <w:rsid w:val="00381628"/>
    <w:rsid w:val="00381684"/>
    <w:rsid w:val="0038169F"/>
    <w:rsid w:val="003816C0"/>
    <w:rsid w:val="003817C4"/>
    <w:rsid w:val="00381891"/>
    <w:rsid w:val="00381906"/>
    <w:rsid w:val="003819B7"/>
    <w:rsid w:val="00381A12"/>
    <w:rsid w:val="00381A42"/>
    <w:rsid w:val="00381A9B"/>
    <w:rsid w:val="00381B2A"/>
    <w:rsid w:val="00381B63"/>
    <w:rsid w:val="00381BD3"/>
    <w:rsid w:val="00381C2D"/>
    <w:rsid w:val="00381FD2"/>
    <w:rsid w:val="003821E7"/>
    <w:rsid w:val="0038220B"/>
    <w:rsid w:val="003823A2"/>
    <w:rsid w:val="003823C6"/>
    <w:rsid w:val="00382413"/>
    <w:rsid w:val="00382705"/>
    <w:rsid w:val="003827F4"/>
    <w:rsid w:val="00382875"/>
    <w:rsid w:val="003829EC"/>
    <w:rsid w:val="00382B0B"/>
    <w:rsid w:val="00382B70"/>
    <w:rsid w:val="00382C03"/>
    <w:rsid w:val="00382C61"/>
    <w:rsid w:val="00382CE0"/>
    <w:rsid w:val="00382D36"/>
    <w:rsid w:val="00382D5C"/>
    <w:rsid w:val="00382E32"/>
    <w:rsid w:val="00382F0E"/>
    <w:rsid w:val="00382F81"/>
    <w:rsid w:val="0038302E"/>
    <w:rsid w:val="00383083"/>
    <w:rsid w:val="00383133"/>
    <w:rsid w:val="00383197"/>
    <w:rsid w:val="003835DB"/>
    <w:rsid w:val="00383672"/>
    <w:rsid w:val="00383772"/>
    <w:rsid w:val="00383778"/>
    <w:rsid w:val="0038377B"/>
    <w:rsid w:val="00383ACA"/>
    <w:rsid w:val="00383B11"/>
    <w:rsid w:val="00383B39"/>
    <w:rsid w:val="00383BE4"/>
    <w:rsid w:val="00383C2E"/>
    <w:rsid w:val="00383C43"/>
    <w:rsid w:val="00383C8E"/>
    <w:rsid w:val="00383CE8"/>
    <w:rsid w:val="00383D72"/>
    <w:rsid w:val="00384048"/>
    <w:rsid w:val="00384169"/>
    <w:rsid w:val="003841E1"/>
    <w:rsid w:val="00384252"/>
    <w:rsid w:val="00384260"/>
    <w:rsid w:val="003842B9"/>
    <w:rsid w:val="0038448E"/>
    <w:rsid w:val="00384648"/>
    <w:rsid w:val="0038464C"/>
    <w:rsid w:val="0038467F"/>
    <w:rsid w:val="00384690"/>
    <w:rsid w:val="00384692"/>
    <w:rsid w:val="00384735"/>
    <w:rsid w:val="0038491C"/>
    <w:rsid w:val="003849FD"/>
    <w:rsid w:val="00384B5E"/>
    <w:rsid w:val="00384C60"/>
    <w:rsid w:val="00384CE2"/>
    <w:rsid w:val="00384D0D"/>
    <w:rsid w:val="00384D8A"/>
    <w:rsid w:val="00384F58"/>
    <w:rsid w:val="00385041"/>
    <w:rsid w:val="003851E8"/>
    <w:rsid w:val="003852DC"/>
    <w:rsid w:val="003852EE"/>
    <w:rsid w:val="00385309"/>
    <w:rsid w:val="00385376"/>
    <w:rsid w:val="00385387"/>
    <w:rsid w:val="0038546D"/>
    <w:rsid w:val="0038547D"/>
    <w:rsid w:val="0038559D"/>
    <w:rsid w:val="00385657"/>
    <w:rsid w:val="003856E5"/>
    <w:rsid w:val="0038574C"/>
    <w:rsid w:val="003857EF"/>
    <w:rsid w:val="003857F6"/>
    <w:rsid w:val="0038599B"/>
    <w:rsid w:val="00385A2B"/>
    <w:rsid w:val="00385A74"/>
    <w:rsid w:val="00385A9F"/>
    <w:rsid w:val="00385B3A"/>
    <w:rsid w:val="00385B7F"/>
    <w:rsid w:val="00385D2F"/>
    <w:rsid w:val="00385D46"/>
    <w:rsid w:val="00385D4B"/>
    <w:rsid w:val="00385E67"/>
    <w:rsid w:val="00385F16"/>
    <w:rsid w:val="00385F1D"/>
    <w:rsid w:val="00385F32"/>
    <w:rsid w:val="00385FDE"/>
    <w:rsid w:val="00386030"/>
    <w:rsid w:val="00386056"/>
    <w:rsid w:val="00386130"/>
    <w:rsid w:val="003861CC"/>
    <w:rsid w:val="003861E5"/>
    <w:rsid w:val="003862E0"/>
    <w:rsid w:val="003863BD"/>
    <w:rsid w:val="003863C9"/>
    <w:rsid w:val="0038643D"/>
    <w:rsid w:val="00386568"/>
    <w:rsid w:val="00386587"/>
    <w:rsid w:val="00386655"/>
    <w:rsid w:val="003867EC"/>
    <w:rsid w:val="0038684C"/>
    <w:rsid w:val="00386993"/>
    <w:rsid w:val="00386A44"/>
    <w:rsid w:val="00386ABB"/>
    <w:rsid w:val="00386B0C"/>
    <w:rsid w:val="00386B7E"/>
    <w:rsid w:val="00386BE0"/>
    <w:rsid w:val="00386D5C"/>
    <w:rsid w:val="00386DE4"/>
    <w:rsid w:val="00386E50"/>
    <w:rsid w:val="00386EB3"/>
    <w:rsid w:val="00386EB7"/>
    <w:rsid w:val="00386EC9"/>
    <w:rsid w:val="00387011"/>
    <w:rsid w:val="00387167"/>
    <w:rsid w:val="00387183"/>
    <w:rsid w:val="003871D9"/>
    <w:rsid w:val="00387287"/>
    <w:rsid w:val="0038729B"/>
    <w:rsid w:val="003872C4"/>
    <w:rsid w:val="003872F6"/>
    <w:rsid w:val="00387329"/>
    <w:rsid w:val="00387364"/>
    <w:rsid w:val="003873E7"/>
    <w:rsid w:val="003875F1"/>
    <w:rsid w:val="00387701"/>
    <w:rsid w:val="0038780F"/>
    <w:rsid w:val="00387854"/>
    <w:rsid w:val="00387873"/>
    <w:rsid w:val="00387A35"/>
    <w:rsid w:val="00387AC8"/>
    <w:rsid w:val="00387AD0"/>
    <w:rsid w:val="00387B03"/>
    <w:rsid w:val="00387BB2"/>
    <w:rsid w:val="00387BF6"/>
    <w:rsid w:val="00387BF8"/>
    <w:rsid w:val="00387C5F"/>
    <w:rsid w:val="00387CB5"/>
    <w:rsid w:val="00387D00"/>
    <w:rsid w:val="00387D56"/>
    <w:rsid w:val="00387DB2"/>
    <w:rsid w:val="00387EB1"/>
    <w:rsid w:val="00387F64"/>
    <w:rsid w:val="00390029"/>
    <w:rsid w:val="0039009C"/>
    <w:rsid w:val="003900D9"/>
    <w:rsid w:val="003901E2"/>
    <w:rsid w:val="003902DE"/>
    <w:rsid w:val="003902EB"/>
    <w:rsid w:val="00390471"/>
    <w:rsid w:val="0039063E"/>
    <w:rsid w:val="0039065F"/>
    <w:rsid w:val="003906C1"/>
    <w:rsid w:val="003906FA"/>
    <w:rsid w:val="003906FD"/>
    <w:rsid w:val="003907CC"/>
    <w:rsid w:val="00390800"/>
    <w:rsid w:val="003908D0"/>
    <w:rsid w:val="00390925"/>
    <w:rsid w:val="0039097A"/>
    <w:rsid w:val="00390A51"/>
    <w:rsid w:val="00390A60"/>
    <w:rsid w:val="00390A6B"/>
    <w:rsid w:val="00390B60"/>
    <w:rsid w:val="00390C28"/>
    <w:rsid w:val="00390C94"/>
    <w:rsid w:val="00390CC7"/>
    <w:rsid w:val="00390D84"/>
    <w:rsid w:val="00390F10"/>
    <w:rsid w:val="003911A5"/>
    <w:rsid w:val="00391205"/>
    <w:rsid w:val="00391207"/>
    <w:rsid w:val="0039128F"/>
    <w:rsid w:val="00391301"/>
    <w:rsid w:val="0039141E"/>
    <w:rsid w:val="0039163A"/>
    <w:rsid w:val="00391651"/>
    <w:rsid w:val="0039167E"/>
    <w:rsid w:val="00391717"/>
    <w:rsid w:val="003917C5"/>
    <w:rsid w:val="003918B7"/>
    <w:rsid w:val="00391A47"/>
    <w:rsid w:val="00391A85"/>
    <w:rsid w:val="00391B30"/>
    <w:rsid w:val="00391C13"/>
    <w:rsid w:val="00391C36"/>
    <w:rsid w:val="00391D2F"/>
    <w:rsid w:val="00391DEC"/>
    <w:rsid w:val="00391E99"/>
    <w:rsid w:val="00391EDC"/>
    <w:rsid w:val="00391F70"/>
    <w:rsid w:val="00391FA2"/>
    <w:rsid w:val="00391FC8"/>
    <w:rsid w:val="00392121"/>
    <w:rsid w:val="00392179"/>
    <w:rsid w:val="00392200"/>
    <w:rsid w:val="00392278"/>
    <w:rsid w:val="00392373"/>
    <w:rsid w:val="00392386"/>
    <w:rsid w:val="003925FB"/>
    <w:rsid w:val="00392648"/>
    <w:rsid w:val="003926AA"/>
    <w:rsid w:val="003927F9"/>
    <w:rsid w:val="00392864"/>
    <w:rsid w:val="0039286D"/>
    <w:rsid w:val="0039289F"/>
    <w:rsid w:val="00392965"/>
    <w:rsid w:val="00392984"/>
    <w:rsid w:val="003929FE"/>
    <w:rsid w:val="00392A98"/>
    <w:rsid w:val="00392AAA"/>
    <w:rsid w:val="00392AAB"/>
    <w:rsid w:val="00392B21"/>
    <w:rsid w:val="00392B32"/>
    <w:rsid w:val="00392B68"/>
    <w:rsid w:val="00392C8F"/>
    <w:rsid w:val="00392CAA"/>
    <w:rsid w:val="00392F0C"/>
    <w:rsid w:val="00392FDC"/>
    <w:rsid w:val="0039305A"/>
    <w:rsid w:val="00393065"/>
    <w:rsid w:val="003930A5"/>
    <w:rsid w:val="003931DD"/>
    <w:rsid w:val="00393303"/>
    <w:rsid w:val="0039332C"/>
    <w:rsid w:val="00393394"/>
    <w:rsid w:val="003933BE"/>
    <w:rsid w:val="00393440"/>
    <w:rsid w:val="0039346D"/>
    <w:rsid w:val="00393475"/>
    <w:rsid w:val="00393560"/>
    <w:rsid w:val="003935EB"/>
    <w:rsid w:val="0039376C"/>
    <w:rsid w:val="00393907"/>
    <w:rsid w:val="00393A2F"/>
    <w:rsid w:val="00393B19"/>
    <w:rsid w:val="00393B4E"/>
    <w:rsid w:val="00393E52"/>
    <w:rsid w:val="00393E5F"/>
    <w:rsid w:val="00393F0E"/>
    <w:rsid w:val="00393FA0"/>
    <w:rsid w:val="003940E9"/>
    <w:rsid w:val="00394179"/>
    <w:rsid w:val="003941A5"/>
    <w:rsid w:val="003941FD"/>
    <w:rsid w:val="00394425"/>
    <w:rsid w:val="0039449B"/>
    <w:rsid w:val="00394529"/>
    <w:rsid w:val="003945F5"/>
    <w:rsid w:val="00394729"/>
    <w:rsid w:val="0039473B"/>
    <w:rsid w:val="0039479E"/>
    <w:rsid w:val="0039480A"/>
    <w:rsid w:val="00394ABE"/>
    <w:rsid w:val="00394B75"/>
    <w:rsid w:val="00394BA8"/>
    <w:rsid w:val="00394BD2"/>
    <w:rsid w:val="00394C16"/>
    <w:rsid w:val="00394CDA"/>
    <w:rsid w:val="00394D1E"/>
    <w:rsid w:val="00394E02"/>
    <w:rsid w:val="00394E89"/>
    <w:rsid w:val="00394EED"/>
    <w:rsid w:val="00394F38"/>
    <w:rsid w:val="00394F9B"/>
    <w:rsid w:val="00394FAB"/>
    <w:rsid w:val="0039504D"/>
    <w:rsid w:val="003950CD"/>
    <w:rsid w:val="003950F9"/>
    <w:rsid w:val="0039520B"/>
    <w:rsid w:val="003952E0"/>
    <w:rsid w:val="0039530C"/>
    <w:rsid w:val="003953CD"/>
    <w:rsid w:val="003953F9"/>
    <w:rsid w:val="00395522"/>
    <w:rsid w:val="0039560E"/>
    <w:rsid w:val="00395740"/>
    <w:rsid w:val="00395783"/>
    <w:rsid w:val="00395A1F"/>
    <w:rsid w:val="00395A59"/>
    <w:rsid w:val="00395A63"/>
    <w:rsid w:val="00395B3B"/>
    <w:rsid w:val="00395B73"/>
    <w:rsid w:val="00395C65"/>
    <w:rsid w:val="00395D01"/>
    <w:rsid w:val="00395E64"/>
    <w:rsid w:val="00395FE2"/>
    <w:rsid w:val="00396253"/>
    <w:rsid w:val="003962BA"/>
    <w:rsid w:val="0039644D"/>
    <w:rsid w:val="003964F1"/>
    <w:rsid w:val="0039652F"/>
    <w:rsid w:val="003966AA"/>
    <w:rsid w:val="0039672B"/>
    <w:rsid w:val="003967CA"/>
    <w:rsid w:val="00396862"/>
    <w:rsid w:val="00396927"/>
    <w:rsid w:val="00396A02"/>
    <w:rsid w:val="00396D0B"/>
    <w:rsid w:val="00396D3D"/>
    <w:rsid w:val="00396D97"/>
    <w:rsid w:val="00396D9D"/>
    <w:rsid w:val="00396E12"/>
    <w:rsid w:val="00396F94"/>
    <w:rsid w:val="00396FD2"/>
    <w:rsid w:val="00396FEF"/>
    <w:rsid w:val="0039709D"/>
    <w:rsid w:val="0039714D"/>
    <w:rsid w:val="00397183"/>
    <w:rsid w:val="00397237"/>
    <w:rsid w:val="00397251"/>
    <w:rsid w:val="00397300"/>
    <w:rsid w:val="00397387"/>
    <w:rsid w:val="00397409"/>
    <w:rsid w:val="003975DA"/>
    <w:rsid w:val="00397626"/>
    <w:rsid w:val="003976BF"/>
    <w:rsid w:val="0039770D"/>
    <w:rsid w:val="0039778D"/>
    <w:rsid w:val="0039784B"/>
    <w:rsid w:val="00397AFA"/>
    <w:rsid w:val="00397BE5"/>
    <w:rsid w:val="00397C36"/>
    <w:rsid w:val="00397C83"/>
    <w:rsid w:val="00397D06"/>
    <w:rsid w:val="00397E18"/>
    <w:rsid w:val="00397F11"/>
    <w:rsid w:val="00397F69"/>
    <w:rsid w:val="00397F91"/>
    <w:rsid w:val="00397FD6"/>
    <w:rsid w:val="003A000C"/>
    <w:rsid w:val="003A0025"/>
    <w:rsid w:val="003A0064"/>
    <w:rsid w:val="003A00E6"/>
    <w:rsid w:val="003A02DC"/>
    <w:rsid w:val="003A03C5"/>
    <w:rsid w:val="003A042B"/>
    <w:rsid w:val="003A04B6"/>
    <w:rsid w:val="003A04C9"/>
    <w:rsid w:val="003A0541"/>
    <w:rsid w:val="003A05DE"/>
    <w:rsid w:val="003A06CD"/>
    <w:rsid w:val="003A0739"/>
    <w:rsid w:val="003A0748"/>
    <w:rsid w:val="003A078F"/>
    <w:rsid w:val="003A0859"/>
    <w:rsid w:val="003A08EB"/>
    <w:rsid w:val="003A0A90"/>
    <w:rsid w:val="003A0AFB"/>
    <w:rsid w:val="003A0B34"/>
    <w:rsid w:val="003A0B88"/>
    <w:rsid w:val="003A0BB3"/>
    <w:rsid w:val="003A0D75"/>
    <w:rsid w:val="003A0DED"/>
    <w:rsid w:val="003A0E5D"/>
    <w:rsid w:val="003A0EE7"/>
    <w:rsid w:val="003A0F03"/>
    <w:rsid w:val="003A0FCF"/>
    <w:rsid w:val="003A0FE4"/>
    <w:rsid w:val="003A134B"/>
    <w:rsid w:val="003A1374"/>
    <w:rsid w:val="003A1400"/>
    <w:rsid w:val="003A14FA"/>
    <w:rsid w:val="003A15C5"/>
    <w:rsid w:val="003A175A"/>
    <w:rsid w:val="003A18FC"/>
    <w:rsid w:val="003A1932"/>
    <w:rsid w:val="003A19AA"/>
    <w:rsid w:val="003A1A3F"/>
    <w:rsid w:val="003A1A92"/>
    <w:rsid w:val="003A1BE8"/>
    <w:rsid w:val="003A1C71"/>
    <w:rsid w:val="003A1E3B"/>
    <w:rsid w:val="003A1F5D"/>
    <w:rsid w:val="003A2093"/>
    <w:rsid w:val="003A20B9"/>
    <w:rsid w:val="003A2227"/>
    <w:rsid w:val="003A22CC"/>
    <w:rsid w:val="003A2322"/>
    <w:rsid w:val="003A233E"/>
    <w:rsid w:val="003A234A"/>
    <w:rsid w:val="003A23D9"/>
    <w:rsid w:val="003A24FE"/>
    <w:rsid w:val="003A26D1"/>
    <w:rsid w:val="003A271A"/>
    <w:rsid w:val="003A27AA"/>
    <w:rsid w:val="003A287A"/>
    <w:rsid w:val="003A288D"/>
    <w:rsid w:val="003A2957"/>
    <w:rsid w:val="003A29AD"/>
    <w:rsid w:val="003A29AF"/>
    <w:rsid w:val="003A2AB5"/>
    <w:rsid w:val="003A2BDE"/>
    <w:rsid w:val="003A2CEB"/>
    <w:rsid w:val="003A2CED"/>
    <w:rsid w:val="003A2F03"/>
    <w:rsid w:val="003A2F09"/>
    <w:rsid w:val="003A2F5B"/>
    <w:rsid w:val="003A30CD"/>
    <w:rsid w:val="003A3295"/>
    <w:rsid w:val="003A3356"/>
    <w:rsid w:val="003A335C"/>
    <w:rsid w:val="003A3392"/>
    <w:rsid w:val="003A3419"/>
    <w:rsid w:val="003A3527"/>
    <w:rsid w:val="003A3535"/>
    <w:rsid w:val="003A3625"/>
    <w:rsid w:val="003A3694"/>
    <w:rsid w:val="003A37BD"/>
    <w:rsid w:val="003A3940"/>
    <w:rsid w:val="003A39A9"/>
    <w:rsid w:val="003A3B3A"/>
    <w:rsid w:val="003A3B40"/>
    <w:rsid w:val="003A3B43"/>
    <w:rsid w:val="003A3F4E"/>
    <w:rsid w:val="003A4088"/>
    <w:rsid w:val="003A40AB"/>
    <w:rsid w:val="003A40BD"/>
    <w:rsid w:val="003A40DF"/>
    <w:rsid w:val="003A40EC"/>
    <w:rsid w:val="003A41E6"/>
    <w:rsid w:val="003A4287"/>
    <w:rsid w:val="003A4298"/>
    <w:rsid w:val="003A42A3"/>
    <w:rsid w:val="003A4376"/>
    <w:rsid w:val="003A4424"/>
    <w:rsid w:val="003A44C1"/>
    <w:rsid w:val="003A45C5"/>
    <w:rsid w:val="003A466E"/>
    <w:rsid w:val="003A47CC"/>
    <w:rsid w:val="003A490C"/>
    <w:rsid w:val="003A4961"/>
    <w:rsid w:val="003A4982"/>
    <w:rsid w:val="003A49F3"/>
    <w:rsid w:val="003A4A17"/>
    <w:rsid w:val="003A4A4A"/>
    <w:rsid w:val="003A4A87"/>
    <w:rsid w:val="003A4A99"/>
    <w:rsid w:val="003A4B3F"/>
    <w:rsid w:val="003A4BAE"/>
    <w:rsid w:val="003A4BB4"/>
    <w:rsid w:val="003A4E7C"/>
    <w:rsid w:val="003A4F19"/>
    <w:rsid w:val="003A4F31"/>
    <w:rsid w:val="003A5033"/>
    <w:rsid w:val="003A5066"/>
    <w:rsid w:val="003A510C"/>
    <w:rsid w:val="003A51AE"/>
    <w:rsid w:val="003A52BB"/>
    <w:rsid w:val="003A5306"/>
    <w:rsid w:val="003A5409"/>
    <w:rsid w:val="003A554F"/>
    <w:rsid w:val="003A5593"/>
    <w:rsid w:val="003A56B9"/>
    <w:rsid w:val="003A5710"/>
    <w:rsid w:val="003A5809"/>
    <w:rsid w:val="003A580E"/>
    <w:rsid w:val="003A586D"/>
    <w:rsid w:val="003A5911"/>
    <w:rsid w:val="003A5919"/>
    <w:rsid w:val="003A5B95"/>
    <w:rsid w:val="003A5C21"/>
    <w:rsid w:val="003A5ECE"/>
    <w:rsid w:val="003A5F07"/>
    <w:rsid w:val="003A5F0C"/>
    <w:rsid w:val="003A5F6F"/>
    <w:rsid w:val="003A603D"/>
    <w:rsid w:val="003A60BF"/>
    <w:rsid w:val="003A612B"/>
    <w:rsid w:val="003A6189"/>
    <w:rsid w:val="003A6263"/>
    <w:rsid w:val="003A62F4"/>
    <w:rsid w:val="003A6359"/>
    <w:rsid w:val="003A6483"/>
    <w:rsid w:val="003A6559"/>
    <w:rsid w:val="003A656B"/>
    <w:rsid w:val="003A6571"/>
    <w:rsid w:val="003A6685"/>
    <w:rsid w:val="003A67CD"/>
    <w:rsid w:val="003A6861"/>
    <w:rsid w:val="003A693F"/>
    <w:rsid w:val="003A6A10"/>
    <w:rsid w:val="003A6C01"/>
    <w:rsid w:val="003A6C10"/>
    <w:rsid w:val="003A6D4C"/>
    <w:rsid w:val="003A6D65"/>
    <w:rsid w:val="003A6D6D"/>
    <w:rsid w:val="003A6D84"/>
    <w:rsid w:val="003A6E85"/>
    <w:rsid w:val="003A6E96"/>
    <w:rsid w:val="003A6F2E"/>
    <w:rsid w:val="003A70B9"/>
    <w:rsid w:val="003A71A0"/>
    <w:rsid w:val="003A72E1"/>
    <w:rsid w:val="003A72EA"/>
    <w:rsid w:val="003A72EC"/>
    <w:rsid w:val="003A7623"/>
    <w:rsid w:val="003A766C"/>
    <w:rsid w:val="003A7927"/>
    <w:rsid w:val="003A7954"/>
    <w:rsid w:val="003A7B6F"/>
    <w:rsid w:val="003A7C71"/>
    <w:rsid w:val="003A7C88"/>
    <w:rsid w:val="003A7CED"/>
    <w:rsid w:val="003A7D56"/>
    <w:rsid w:val="003A7D96"/>
    <w:rsid w:val="003A7E70"/>
    <w:rsid w:val="003A7EFF"/>
    <w:rsid w:val="003A7FDC"/>
    <w:rsid w:val="003B0006"/>
    <w:rsid w:val="003B00A0"/>
    <w:rsid w:val="003B00FC"/>
    <w:rsid w:val="003B0137"/>
    <w:rsid w:val="003B013B"/>
    <w:rsid w:val="003B0176"/>
    <w:rsid w:val="003B0326"/>
    <w:rsid w:val="003B0390"/>
    <w:rsid w:val="003B03E4"/>
    <w:rsid w:val="003B04B3"/>
    <w:rsid w:val="003B05BF"/>
    <w:rsid w:val="003B0685"/>
    <w:rsid w:val="003B06DF"/>
    <w:rsid w:val="003B0737"/>
    <w:rsid w:val="003B07B0"/>
    <w:rsid w:val="003B07CE"/>
    <w:rsid w:val="003B083A"/>
    <w:rsid w:val="003B09D8"/>
    <w:rsid w:val="003B0A74"/>
    <w:rsid w:val="003B0B01"/>
    <w:rsid w:val="003B0C06"/>
    <w:rsid w:val="003B0C15"/>
    <w:rsid w:val="003B0C9B"/>
    <w:rsid w:val="003B0CC1"/>
    <w:rsid w:val="003B0D1A"/>
    <w:rsid w:val="003B0D2B"/>
    <w:rsid w:val="003B0E78"/>
    <w:rsid w:val="003B0F36"/>
    <w:rsid w:val="003B1242"/>
    <w:rsid w:val="003B1331"/>
    <w:rsid w:val="003B1375"/>
    <w:rsid w:val="003B1377"/>
    <w:rsid w:val="003B13CA"/>
    <w:rsid w:val="003B14A9"/>
    <w:rsid w:val="003B14CA"/>
    <w:rsid w:val="003B15E6"/>
    <w:rsid w:val="003B15F1"/>
    <w:rsid w:val="003B1705"/>
    <w:rsid w:val="003B184E"/>
    <w:rsid w:val="003B18CF"/>
    <w:rsid w:val="003B1954"/>
    <w:rsid w:val="003B1962"/>
    <w:rsid w:val="003B1AE7"/>
    <w:rsid w:val="003B1B6D"/>
    <w:rsid w:val="003B1B74"/>
    <w:rsid w:val="003B1C03"/>
    <w:rsid w:val="003B1D46"/>
    <w:rsid w:val="003B1D87"/>
    <w:rsid w:val="003B1E5C"/>
    <w:rsid w:val="003B1FF4"/>
    <w:rsid w:val="003B2264"/>
    <w:rsid w:val="003B2302"/>
    <w:rsid w:val="003B23E9"/>
    <w:rsid w:val="003B2427"/>
    <w:rsid w:val="003B24C0"/>
    <w:rsid w:val="003B2559"/>
    <w:rsid w:val="003B2674"/>
    <w:rsid w:val="003B269E"/>
    <w:rsid w:val="003B2733"/>
    <w:rsid w:val="003B2767"/>
    <w:rsid w:val="003B27A3"/>
    <w:rsid w:val="003B29D1"/>
    <w:rsid w:val="003B29D2"/>
    <w:rsid w:val="003B2A0E"/>
    <w:rsid w:val="003B2AD2"/>
    <w:rsid w:val="003B2B7B"/>
    <w:rsid w:val="003B2C34"/>
    <w:rsid w:val="003B2CB4"/>
    <w:rsid w:val="003B2CE3"/>
    <w:rsid w:val="003B2CE4"/>
    <w:rsid w:val="003B2D11"/>
    <w:rsid w:val="003B3024"/>
    <w:rsid w:val="003B30AE"/>
    <w:rsid w:val="003B30D6"/>
    <w:rsid w:val="003B3188"/>
    <w:rsid w:val="003B31BC"/>
    <w:rsid w:val="003B3271"/>
    <w:rsid w:val="003B344F"/>
    <w:rsid w:val="003B349E"/>
    <w:rsid w:val="003B3631"/>
    <w:rsid w:val="003B378B"/>
    <w:rsid w:val="003B37CC"/>
    <w:rsid w:val="003B380D"/>
    <w:rsid w:val="003B382C"/>
    <w:rsid w:val="003B39B2"/>
    <w:rsid w:val="003B3AEB"/>
    <w:rsid w:val="003B3DCE"/>
    <w:rsid w:val="003B3E9D"/>
    <w:rsid w:val="003B3F61"/>
    <w:rsid w:val="003B3F66"/>
    <w:rsid w:val="003B3FA0"/>
    <w:rsid w:val="003B40AC"/>
    <w:rsid w:val="003B4242"/>
    <w:rsid w:val="003B433C"/>
    <w:rsid w:val="003B43AB"/>
    <w:rsid w:val="003B450A"/>
    <w:rsid w:val="003B45AF"/>
    <w:rsid w:val="003B4742"/>
    <w:rsid w:val="003B477C"/>
    <w:rsid w:val="003B481B"/>
    <w:rsid w:val="003B495F"/>
    <w:rsid w:val="003B49BB"/>
    <w:rsid w:val="003B4BBD"/>
    <w:rsid w:val="003B4C0E"/>
    <w:rsid w:val="003B4C16"/>
    <w:rsid w:val="003B4CF6"/>
    <w:rsid w:val="003B4EE1"/>
    <w:rsid w:val="003B525B"/>
    <w:rsid w:val="003B529E"/>
    <w:rsid w:val="003B53BD"/>
    <w:rsid w:val="003B53C6"/>
    <w:rsid w:val="003B53E4"/>
    <w:rsid w:val="003B54C3"/>
    <w:rsid w:val="003B55EE"/>
    <w:rsid w:val="003B55FA"/>
    <w:rsid w:val="003B56F2"/>
    <w:rsid w:val="003B56FA"/>
    <w:rsid w:val="003B57C4"/>
    <w:rsid w:val="003B5998"/>
    <w:rsid w:val="003B5A1E"/>
    <w:rsid w:val="003B5A35"/>
    <w:rsid w:val="003B5A70"/>
    <w:rsid w:val="003B5A79"/>
    <w:rsid w:val="003B5BC9"/>
    <w:rsid w:val="003B5BDD"/>
    <w:rsid w:val="003B5BE9"/>
    <w:rsid w:val="003B5C91"/>
    <w:rsid w:val="003B5D22"/>
    <w:rsid w:val="003B5D37"/>
    <w:rsid w:val="003B5D56"/>
    <w:rsid w:val="003B5D7B"/>
    <w:rsid w:val="003B5D85"/>
    <w:rsid w:val="003B5DC7"/>
    <w:rsid w:val="003B5E00"/>
    <w:rsid w:val="003B5FA4"/>
    <w:rsid w:val="003B613C"/>
    <w:rsid w:val="003B622E"/>
    <w:rsid w:val="003B6263"/>
    <w:rsid w:val="003B62B0"/>
    <w:rsid w:val="003B631E"/>
    <w:rsid w:val="003B6326"/>
    <w:rsid w:val="003B6439"/>
    <w:rsid w:val="003B6468"/>
    <w:rsid w:val="003B6531"/>
    <w:rsid w:val="003B6577"/>
    <w:rsid w:val="003B6658"/>
    <w:rsid w:val="003B66A1"/>
    <w:rsid w:val="003B66E9"/>
    <w:rsid w:val="003B6729"/>
    <w:rsid w:val="003B6763"/>
    <w:rsid w:val="003B67DC"/>
    <w:rsid w:val="003B688F"/>
    <w:rsid w:val="003B68AC"/>
    <w:rsid w:val="003B68CB"/>
    <w:rsid w:val="003B6966"/>
    <w:rsid w:val="003B6AB6"/>
    <w:rsid w:val="003B6CAA"/>
    <w:rsid w:val="003B6D71"/>
    <w:rsid w:val="003B6E75"/>
    <w:rsid w:val="003B6F75"/>
    <w:rsid w:val="003B701F"/>
    <w:rsid w:val="003B7081"/>
    <w:rsid w:val="003B715F"/>
    <w:rsid w:val="003B717A"/>
    <w:rsid w:val="003B71AC"/>
    <w:rsid w:val="003B7275"/>
    <w:rsid w:val="003B738E"/>
    <w:rsid w:val="003B75C8"/>
    <w:rsid w:val="003B772B"/>
    <w:rsid w:val="003B77C3"/>
    <w:rsid w:val="003B788D"/>
    <w:rsid w:val="003B79AB"/>
    <w:rsid w:val="003B79AE"/>
    <w:rsid w:val="003B7A60"/>
    <w:rsid w:val="003B7B2E"/>
    <w:rsid w:val="003B7BBB"/>
    <w:rsid w:val="003B7D87"/>
    <w:rsid w:val="003B7E05"/>
    <w:rsid w:val="003B7F2D"/>
    <w:rsid w:val="003C00CE"/>
    <w:rsid w:val="003C0123"/>
    <w:rsid w:val="003C020C"/>
    <w:rsid w:val="003C0461"/>
    <w:rsid w:val="003C04A4"/>
    <w:rsid w:val="003C04EE"/>
    <w:rsid w:val="003C05B6"/>
    <w:rsid w:val="003C0618"/>
    <w:rsid w:val="003C0728"/>
    <w:rsid w:val="003C0738"/>
    <w:rsid w:val="003C083C"/>
    <w:rsid w:val="003C0901"/>
    <w:rsid w:val="003C0988"/>
    <w:rsid w:val="003C0A7F"/>
    <w:rsid w:val="003C0BD5"/>
    <w:rsid w:val="003C0D6B"/>
    <w:rsid w:val="003C0E01"/>
    <w:rsid w:val="003C0FEE"/>
    <w:rsid w:val="003C1001"/>
    <w:rsid w:val="003C1058"/>
    <w:rsid w:val="003C10DB"/>
    <w:rsid w:val="003C111A"/>
    <w:rsid w:val="003C1159"/>
    <w:rsid w:val="003C123D"/>
    <w:rsid w:val="003C137A"/>
    <w:rsid w:val="003C14C6"/>
    <w:rsid w:val="003C1531"/>
    <w:rsid w:val="003C158E"/>
    <w:rsid w:val="003C15DF"/>
    <w:rsid w:val="003C170F"/>
    <w:rsid w:val="003C18C1"/>
    <w:rsid w:val="003C18E3"/>
    <w:rsid w:val="003C19DF"/>
    <w:rsid w:val="003C19FE"/>
    <w:rsid w:val="003C1C37"/>
    <w:rsid w:val="003C1D74"/>
    <w:rsid w:val="003C1DDE"/>
    <w:rsid w:val="003C1DF3"/>
    <w:rsid w:val="003C1E0E"/>
    <w:rsid w:val="003C1E2B"/>
    <w:rsid w:val="003C1E46"/>
    <w:rsid w:val="003C1FC9"/>
    <w:rsid w:val="003C1FD5"/>
    <w:rsid w:val="003C210A"/>
    <w:rsid w:val="003C250A"/>
    <w:rsid w:val="003C2617"/>
    <w:rsid w:val="003C29D9"/>
    <w:rsid w:val="003C2B7E"/>
    <w:rsid w:val="003C2C80"/>
    <w:rsid w:val="003C2D02"/>
    <w:rsid w:val="003C2E5F"/>
    <w:rsid w:val="003C2E8E"/>
    <w:rsid w:val="003C2F21"/>
    <w:rsid w:val="003C2F73"/>
    <w:rsid w:val="003C2F90"/>
    <w:rsid w:val="003C3066"/>
    <w:rsid w:val="003C3673"/>
    <w:rsid w:val="003C36CE"/>
    <w:rsid w:val="003C36DA"/>
    <w:rsid w:val="003C36F9"/>
    <w:rsid w:val="003C373A"/>
    <w:rsid w:val="003C373B"/>
    <w:rsid w:val="003C38BA"/>
    <w:rsid w:val="003C3A74"/>
    <w:rsid w:val="003C3CDA"/>
    <w:rsid w:val="003C3E0D"/>
    <w:rsid w:val="003C3E1E"/>
    <w:rsid w:val="003C3F23"/>
    <w:rsid w:val="003C4066"/>
    <w:rsid w:val="003C410D"/>
    <w:rsid w:val="003C41CD"/>
    <w:rsid w:val="003C4440"/>
    <w:rsid w:val="003C45E4"/>
    <w:rsid w:val="003C45FA"/>
    <w:rsid w:val="003C461D"/>
    <w:rsid w:val="003C4664"/>
    <w:rsid w:val="003C46EA"/>
    <w:rsid w:val="003C478A"/>
    <w:rsid w:val="003C49A2"/>
    <w:rsid w:val="003C49A8"/>
    <w:rsid w:val="003C4A45"/>
    <w:rsid w:val="003C4B0A"/>
    <w:rsid w:val="003C4B8A"/>
    <w:rsid w:val="003C4BE0"/>
    <w:rsid w:val="003C4D38"/>
    <w:rsid w:val="003C4D47"/>
    <w:rsid w:val="003C4F51"/>
    <w:rsid w:val="003C5031"/>
    <w:rsid w:val="003C503F"/>
    <w:rsid w:val="003C511E"/>
    <w:rsid w:val="003C5142"/>
    <w:rsid w:val="003C5154"/>
    <w:rsid w:val="003C52CF"/>
    <w:rsid w:val="003C53D7"/>
    <w:rsid w:val="003C53F6"/>
    <w:rsid w:val="003C53FA"/>
    <w:rsid w:val="003C5481"/>
    <w:rsid w:val="003C5482"/>
    <w:rsid w:val="003C55D8"/>
    <w:rsid w:val="003C562E"/>
    <w:rsid w:val="003C56FD"/>
    <w:rsid w:val="003C5752"/>
    <w:rsid w:val="003C5757"/>
    <w:rsid w:val="003C5879"/>
    <w:rsid w:val="003C58B4"/>
    <w:rsid w:val="003C5937"/>
    <w:rsid w:val="003C595B"/>
    <w:rsid w:val="003C5970"/>
    <w:rsid w:val="003C59B1"/>
    <w:rsid w:val="003C59F9"/>
    <w:rsid w:val="003C5A05"/>
    <w:rsid w:val="003C5A4E"/>
    <w:rsid w:val="003C5A8B"/>
    <w:rsid w:val="003C5AEE"/>
    <w:rsid w:val="003C5B99"/>
    <w:rsid w:val="003C5C2B"/>
    <w:rsid w:val="003C5CD3"/>
    <w:rsid w:val="003C5D94"/>
    <w:rsid w:val="003C5DCE"/>
    <w:rsid w:val="003C5ED6"/>
    <w:rsid w:val="003C5F32"/>
    <w:rsid w:val="003C6093"/>
    <w:rsid w:val="003C61A5"/>
    <w:rsid w:val="003C635A"/>
    <w:rsid w:val="003C63D9"/>
    <w:rsid w:val="003C63E7"/>
    <w:rsid w:val="003C66F8"/>
    <w:rsid w:val="003C67D4"/>
    <w:rsid w:val="003C67D5"/>
    <w:rsid w:val="003C67D6"/>
    <w:rsid w:val="003C6830"/>
    <w:rsid w:val="003C6836"/>
    <w:rsid w:val="003C69C7"/>
    <w:rsid w:val="003C6A05"/>
    <w:rsid w:val="003C6A75"/>
    <w:rsid w:val="003C6A7B"/>
    <w:rsid w:val="003C6B36"/>
    <w:rsid w:val="003C6B9F"/>
    <w:rsid w:val="003C6BA3"/>
    <w:rsid w:val="003C6C62"/>
    <w:rsid w:val="003C6CE1"/>
    <w:rsid w:val="003C6F32"/>
    <w:rsid w:val="003C72A8"/>
    <w:rsid w:val="003C7338"/>
    <w:rsid w:val="003C73BA"/>
    <w:rsid w:val="003C7586"/>
    <w:rsid w:val="003C75DD"/>
    <w:rsid w:val="003C77E3"/>
    <w:rsid w:val="003C781B"/>
    <w:rsid w:val="003C7859"/>
    <w:rsid w:val="003C78AD"/>
    <w:rsid w:val="003C7A8A"/>
    <w:rsid w:val="003C7ADE"/>
    <w:rsid w:val="003C7C09"/>
    <w:rsid w:val="003C7C11"/>
    <w:rsid w:val="003C7C44"/>
    <w:rsid w:val="003C7CE7"/>
    <w:rsid w:val="003C7EC1"/>
    <w:rsid w:val="003D0057"/>
    <w:rsid w:val="003D00B7"/>
    <w:rsid w:val="003D010C"/>
    <w:rsid w:val="003D030F"/>
    <w:rsid w:val="003D036F"/>
    <w:rsid w:val="003D03BE"/>
    <w:rsid w:val="003D0513"/>
    <w:rsid w:val="003D0578"/>
    <w:rsid w:val="003D0610"/>
    <w:rsid w:val="003D0706"/>
    <w:rsid w:val="003D077E"/>
    <w:rsid w:val="003D07E7"/>
    <w:rsid w:val="003D0870"/>
    <w:rsid w:val="003D0876"/>
    <w:rsid w:val="003D08D2"/>
    <w:rsid w:val="003D0972"/>
    <w:rsid w:val="003D09FE"/>
    <w:rsid w:val="003D0B1B"/>
    <w:rsid w:val="003D0B7B"/>
    <w:rsid w:val="003D0C35"/>
    <w:rsid w:val="003D0C42"/>
    <w:rsid w:val="003D0C8D"/>
    <w:rsid w:val="003D0CF6"/>
    <w:rsid w:val="003D0D11"/>
    <w:rsid w:val="003D0DC3"/>
    <w:rsid w:val="003D0F87"/>
    <w:rsid w:val="003D1205"/>
    <w:rsid w:val="003D1269"/>
    <w:rsid w:val="003D12B2"/>
    <w:rsid w:val="003D1366"/>
    <w:rsid w:val="003D13A3"/>
    <w:rsid w:val="003D13A7"/>
    <w:rsid w:val="003D13F7"/>
    <w:rsid w:val="003D13FA"/>
    <w:rsid w:val="003D142C"/>
    <w:rsid w:val="003D14EC"/>
    <w:rsid w:val="003D14F8"/>
    <w:rsid w:val="003D1764"/>
    <w:rsid w:val="003D1826"/>
    <w:rsid w:val="003D18BA"/>
    <w:rsid w:val="003D1A1D"/>
    <w:rsid w:val="003D1D00"/>
    <w:rsid w:val="003D1DA8"/>
    <w:rsid w:val="003D1DDA"/>
    <w:rsid w:val="003D1E4F"/>
    <w:rsid w:val="003D1F16"/>
    <w:rsid w:val="003D202D"/>
    <w:rsid w:val="003D20B9"/>
    <w:rsid w:val="003D21C7"/>
    <w:rsid w:val="003D21C9"/>
    <w:rsid w:val="003D21F4"/>
    <w:rsid w:val="003D221D"/>
    <w:rsid w:val="003D2259"/>
    <w:rsid w:val="003D225B"/>
    <w:rsid w:val="003D22AA"/>
    <w:rsid w:val="003D2325"/>
    <w:rsid w:val="003D23A5"/>
    <w:rsid w:val="003D24A5"/>
    <w:rsid w:val="003D2509"/>
    <w:rsid w:val="003D2655"/>
    <w:rsid w:val="003D278D"/>
    <w:rsid w:val="003D2AEE"/>
    <w:rsid w:val="003D2B5C"/>
    <w:rsid w:val="003D2B9C"/>
    <w:rsid w:val="003D2B9F"/>
    <w:rsid w:val="003D2C68"/>
    <w:rsid w:val="003D2D1C"/>
    <w:rsid w:val="003D2D7F"/>
    <w:rsid w:val="003D2E28"/>
    <w:rsid w:val="003D2FE6"/>
    <w:rsid w:val="003D306F"/>
    <w:rsid w:val="003D30B6"/>
    <w:rsid w:val="003D30CC"/>
    <w:rsid w:val="003D3242"/>
    <w:rsid w:val="003D32E3"/>
    <w:rsid w:val="003D332F"/>
    <w:rsid w:val="003D34D5"/>
    <w:rsid w:val="003D3577"/>
    <w:rsid w:val="003D35EF"/>
    <w:rsid w:val="003D35FC"/>
    <w:rsid w:val="003D3637"/>
    <w:rsid w:val="003D3658"/>
    <w:rsid w:val="003D3677"/>
    <w:rsid w:val="003D374A"/>
    <w:rsid w:val="003D3768"/>
    <w:rsid w:val="003D3799"/>
    <w:rsid w:val="003D380C"/>
    <w:rsid w:val="003D3826"/>
    <w:rsid w:val="003D3847"/>
    <w:rsid w:val="003D3921"/>
    <w:rsid w:val="003D39FE"/>
    <w:rsid w:val="003D3AFB"/>
    <w:rsid w:val="003D3B7C"/>
    <w:rsid w:val="003D3B8D"/>
    <w:rsid w:val="003D3D85"/>
    <w:rsid w:val="003D3DBA"/>
    <w:rsid w:val="003D3E5C"/>
    <w:rsid w:val="003D3F23"/>
    <w:rsid w:val="003D4271"/>
    <w:rsid w:val="003D4277"/>
    <w:rsid w:val="003D4305"/>
    <w:rsid w:val="003D45B0"/>
    <w:rsid w:val="003D4660"/>
    <w:rsid w:val="003D47FD"/>
    <w:rsid w:val="003D481B"/>
    <w:rsid w:val="003D4849"/>
    <w:rsid w:val="003D485F"/>
    <w:rsid w:val="003D4876"/>
    <w:rsid w:val="003D4898"/>
    <w:rsid w:val="003D4A50"/>
    <w:rsid w:val="003D4B90"/>
    <w:rsid w:val="003D4E50"/>
    <w:rsid w:val="003D4F3D"/>
    <w:rsid w:val="003D4F57"/>
    <w:rsid w:val="003D4FAE"/>
    <w:rsid w:val="003D5020"/>
    <w:rsid w:val="003D5178"/>
    <w:rsid w:val="003D517D"/>
    <w:rsid w:val="003D537A"/>
    <w:rsid w:val="003D53FD"/>
    <w:rsid w:val="003D5492"/>
    <w:rsid w:val="003D5621"/>
    <w:rsid w:val="003D5731"/>
    <w:rsid w:val="003D5757"/>
    <w:rsid w:val="003D57C5"/>
    <w:rsid w:val="003D582F"/>
    <w:rsid w:val="003D5865"/>
    <w:rsid w:val="003D58DC"/>
    <w:rsid w:val="003D58EC"/>
    <w:rsid w:val="003D58F2"/>
    <w:rsid w:val="003D5A90"/>
    <w:rsid w:val="003D5BBC"/>
    <w:rsid w:val="003D5C3D"/>
    <w:rsid w:val="003D5C48"/>
    <w:rsid w:val="003D5CF9"/>
    <w:rsid w:val="003D5D98"/>
    <w:rsid w:val="003D5E6D"/>
    <w:rsid w:val="003D60A6"/>
    <w:rsid w:val="003D60AD"/>
    <w:rsid w:val="003D60CA"/>
    <w:rsid w:val="003D60CD"/>
    <w:rsid w:val="003D60D5"/>
    <w:rsid w:val="003D6227"/>
    <w:rsid w:val="003D6345"/>
    <w:rsid w:val="003D63A5"/>
    <w:rsid w:val="003D6426"/>
    <w:rsid w:val="003D642B"/>
    <w:rsid w:val="003D645A"/>
    <w:rsid w:val="003D64AD"/>
    <w:rsid w:val="003D6547"/>
    <w:rsid w:val="003D6610"/>
    <w:rsid w:val="003D6649"/>
    <w:rsid w:val="003D6711"/>
    <w:rsid w:val="003D67A7"/>
    <w:rsid w:val="003D67D2"/>
    <w:rsid w:val="003D6A25"/>
    <w:rsid w:val="003D6A67"/>
    <w:rsid w:val="003D6A92"/>
    <w:rsid w:val="003D6AA7"/>
    <w:rsid w:val="003D6B02"/>
    <w:rsid w:val="003D6BAB"/>
    <w:rsid w:val="003D6CD5"/>
    <w:rsid w:val="003D6CFC"/>
    <w:rsid w:val="003D6D1D"/>
    <w:rsid w:val="003D6E11"/>
    <w:rsid w:val="003D6ECC"/>
    <w:rsid w:val="003D6EF2"/>
    <w:rsid w:val="003D6F87"/>
    <w:rsid w:val="003D6FF4"/>
    <w:rsid w:val="003D7049"/>
    <w:rsid w:val="003D706A"/>
    <w:rsid w:val="003D71C2"/>
    <w:rsid w:val="003D727D"/>
    <w:rsid w:val="003D72AA"/>
    <w:rsid w:val="003D72D3"/>
    <w:rsid w:val="003D7375"/>
    <w:rsid w:val="003D73B9"/>
    <w:rsid w:val="003D7458"/>
    <w:rsid w:val="003D7459"/>
    <w:rsid w:val="003D74A1"/>
    <w:rsid w:val="003D7654"/>
    <w:rsid w:val="003D7679"/>
    <w:rsid w:val="003D76CB"/>
    <w:rsid w:val="003D76D8"/>
    <w:rsid w:val="003D7706"/>
    <w:rsid w:val="003D78F4"/>
    <w:rsid w:val="003D7971"/>
    <w:rsid w:val="003D7A91"/>
    <w:rsid w:val="003D7A9D"/>
    <w:rsid w:val="003D7C34"/>
    <w:rsid w:val="003D7CC3"/>
    <w:rsid w:val="003D7DDE"/>
    <w:rsid w:val="003D7E17"/>
    <w:rsid w:val="003D7F0A"/>
    <w:rsid w:val="003D7F30"/>
    <w:rsid w:val="003E005D"/>
    <w:rsid w:val="003E012C"/>
    <w:rsid w:val="003E0205"/>
    <w:rsid w:val="003E0375"/>
    <w:rsid w:val="003E0392"/>
    <w:rsid w:val="003E043C"/>
    <w:rsid w:val="003E0445"/>
    <w:rsid w:val="003E0718"/>
    <w:rsid w:val="003E07D4"/>
    <w:rsid w:val="003E090E"/>
    <w:rsid w:val="003E0915"/>
    <w:rsid w:val="003E0D40"/>
    <w:rsid w:val="003E0E89"/>
    <w:rsid w:val="003E103F"/>
    <w:rsid w:val="003E1043"/>
    <w:rsid w:val="003E11BD"/>
    <w:rsid w:val="003E122A"/>
    <w:rsid w:val="003E1284"/>
    <w:rsid w:val="003E128B"/>
    <w:rsid w:val="003E12BA"/>
    <w:rsid w:val="003E12CC"/>
    <w:rsid w:val="003E1503"/>
    <w:rsid w:val="003E1691"/>
    <w:rsid w:val="003E1866"/>
    <w:rsid w:val="003E18B5"/>
    <w:rsid w:val="003E1936"/>
    <w:rsid w:val="003E1965"/>
    <w:rsid w:val="003E1A8E"/>
    <w:rsid w:val="003E1B9F"/>
    <w:rsid w:val="003E1C02"/>
    <w:rsid w:val="003E1C5E"/>
    <w:rsid w:val="003E1CAA"/>
    <w:rsid w:val="003E1CBF"/>
    <w:rsid w:val="003E1DB4"/>
    <w:rsid w:val="003E1DD9"/>
    <w:rsid w:val="003E1EB4"/>
    <w:rsid w:val="003E1EC8"/>
    <w:rsid w:val="003E1FC9"/>
    <w:rsid w:val="003E2267"/>
    <w:rsid w:val="003E22AE"/>
    <w:rsid w:val="003E2316"/>
    <w:rsid w:val="003E234D"/>
    <w:rsid w:val="003E235A"/>
    <w:rsid w:val="003E2380"/>
    <w:rsid w:val="003E23AC"/>
    <w:rsid w:val="003E25A3"/>
    <w:rsid w:val="003E2612"/>
    <w:rsid w:val="003E2747"/>
    <w:rsid w:val="003E286E"/>
    <w:rsid w:val="003E28A3"/>
    <w:rsid w:val="003E2AFB"/>
    <w:rsid w:val="003E2B01"/>
    <w:rsid w:val="003E2CF3"/>
    <w:rsid w:val="003E2E44"/>
    <w:rsid w:val="003E2E50"/>
    <w:rsid w:val="003E2E59"/>
    <w:rsid w:val="003E3009"/>
    <w:rsid w:val="003E3044"/>
    <w:rsid w:val="003E3193"/>
    <w:rsid w:val="003E31DF"/>
    <w:rsid w:val="003E31E7"/>
    <w:rsid w:val="003E32C6"/>
    <w:rsid w:val="003E32E9"/>
    <w:rsid w:val="003E3312"/>
    <w:rsid w:val="003E339D"/>
    <w:rsid w:val="003E347C"/>
    <w:rsid w:val="003E3588"/>
    <w:rsid w:val="003E37D3"/>
    <w:rsid w:val="003E3990"/>
    <w:rsid w:val="003E3A0B"/>
    <w:rsid w:val="003E3A30"/>
    <w:rsid w:val="003E3AA7"/>
    <w:rsid w:val="003E3B21"/>
    <w:rsid w:val="003E3C6E"/>
    <w:rsid w:val="003E3D60"/>
    <w:rsid w:val="003E3E6C"/>
    <w:rsid w:val="003E3EDA"/>
    <w:rsid w:val="003E3F49"/>
    <w:rsid w:val="003E406D"/>
    <w:rsid w:val="003E4097"/>
    <w:rsid w:val="003E41E2"/>
    <w:rsid w:val="003E4256"/>
    <w:rsid w:val="003E428D"/>
    <w:rsid w:val="003E474A"/>
    <w:rsid w:val="003E485B"/>
    <w:rsid w:val="003E485C"/>
    <w:rsid w:val="003E487D"/>
    <w:rsid w:val="003E489D"/>
    <w:rsid w:val="003E4916"/>
    <w:rsid w:val="003E4A1B"/>
    <w:rsid w:val="003E4AFB"/>
    <w:rsid w:val="003E4BB0"/>
    <w:rsid w:val="003E4CA4"/>
    <w:rsid w:val="003E4D0A"/>
    <w:rsid w:val="003E4D23"/>
    <w:rsid w:val="003E4DE4"/>
    <w:rsid w:val="003E4DF0"/>
    <w:rsid w:val="003E4E4A"/>
    <w:rsid w:val="003E505B"/>
    <w:rsid w:val="003E5105"/>
    <w:rsid w:val="003E5127"/>
    <w:rsid w:val="003E5175"/>
    <w:rsid w:val="003E5177"/>
    <w:rsid w:val="003E53E9"/>
    <w:rsid w:val="003E5473"/>
    <w:rsid w:val="003E5494"/>
    <w:rsid w:val="003E5516"/>
    <w:rsid w:val="003E55C2"/>
    <w:rsid w:val="003E57D3"/>
    <w:rsid w:val="003E58E9"/>
    <w:rsid w:val="003E5B20"/>
    <w:rsid w:val="003E5BDA"/>
    <w:rsid w:val="003E5BFA"/>
    <w:rsid w:val="003E5C28"/>
    <w:rsid w:val="003E5CA0"/>
    <w:rsid w:val="003E5CFE"/>
    <w:rsid w:val="003E5D56"/>
    <w:rsid w:val="003E5DAB"/>
    <w:rsid w:val="003E5E11"/>
    <w:rsid w:val="003E5E33"/>
    <w:rsid w:val="003E5E3F"/>
    <w:rsid w:val="003E5E5A"/>
    <w:rsid w:val="003E6318"/>
    <w:rsid w:val="003E632A"/>
    <w:rsid w:val="003E633D"/>
    <w:rsid w:val="003E6616"/>
    <w:rsid w:val="003E6813"/>
    <w:rsid w:val="003E689E"/>
    <w:rsid w:val="003E68CE"/>
    <w:rsid w:val="003E68D4"/>
    <w:rsid w:val="003E6A1E"/>
    <w:rsid w:val="003E6B0B"/>
    <w:rsid w:val="003E6BE7"/>
    <w:rsid w:val="003E6CF1"/>
    <w:rsid w:val="003E6D6D"/>
    <w:rsid w:val="003E7104"/>
    <w:rsid w:val="003E72DA"/>
    <w:rsid w:val="003E742E"/>
    <w:rsid w:val="003E7458"/>
    <w:rsid w:val="003E74BC"/>
    <w:rsid w:val="003E76F4"/>
    <w:rsid w:val="003E781D"/>
    <w:rsid w:val="003E79A6"/>
    <w:rsid w:val="003E79B7"/>
    <w:rsid w:val="003E7AD2"/>
    <w:rsid w:val="003E7B28"/>
    <w:rsid w:val="003E7BDF"/>
    <w:rsid w:val="003E7CBB"/>
    <w:rsid w:val="003E7CD7"/>
    <w:rsid w:val="003E7DA9"/>
    <w:rsid w:val="003E7DC1"/>
    <w:rsid w:val="003E7ED3"/>
    <w:rsid w:val="003E7EDA"/>
    <w:rsid w:val="003E7F9C"/>
    <w:rsid w:val="003E7FA7"/>
    <w:rsid w:val="003F015F"/>
    <w:rsid w:val="003F01D4"/>
    <w:rsid w:val="003F025E"/>
    <w:rsid w:val="003F031C"/>
    <w:rsid w:val="003F03CC"/>
    <w:rsid w:val="003F03EB"/>
    <w:rsid w:val="003F0407"/>
    <w:rsid w:val="003F0529"/>
    <w:rsid w:val="003F0530"/>
    <w:rsid w:val="003F05ED"/>
    <w:rsid w:val="003F0667"/>
    <w:rsid w:val="003F07D0"/>
    <w:rsid w:val="003F0834"/>
    <w:rsid w:val="003F098C"/>
    <w:rsid w:val="003F09BA"/>
    <w:rsid w:val="003F09F3"/>
    <w:rsid w:val="003F0A18"/>
    <w:rsid w:val="003F0B59"/>
    <w:rsid w:val="003F0B9E"/>
    <w:rsid w:val="003F0CF7"/>
    <w:rsid w:val="003F0E12"/>
    <w:rsid w:val="003F0EC7"/>
    <w:rsid w:val="003F0F05"/>
    <w:rsid w:val="003F10C4"/>
    <w:rsid w:val="003F10C9"/>
    <w:rsid w:val="003F10DB"/>
    <w:rsid w:val="003F116F"/>
    <w:rsid w:val="003F1336"/>
    <w:rsid w:val="003F13CA"/>
    <w:rsid w:val="003F15D0"/>
    <w:rsid w:val="003F15DD"/>
    <w:rsid w:val="003F15ED"/>
    <w:rsid w:val="003F15EE"/>
    <w:rsid w:val="003F15F6"/>
    <w:rsid w:val="003F1806"/>
    <w:rsid w:val="003F1827"/>
    <w:rsid w:val="003F1861"/>
    <w:rsid w:val="003F197E"/>
    <w:rsid w:val="003F1A13"/>
    <w:rsid w:val="003F1A24"/>
    <w:rsid w:val="003F1A76"/>
    <w:rsid w:val="003F1A7D"/>
    <w:rsid w:val="003F1B83"/>
    <w:rsid w:val="003F1BAD"/>
    <w:rsid w:val="003F1C80"/>
    <w:rsid w:val="003F1D54"/>
    <w:rsid w:val="003F1D5B"/>
    <w:rsid w:val="003F1E64"/>
    <w:rsid w:val="003F1E81"/>
    <w:rsid w:val="003F2033"/>
    <w:rsid w:val="003F2209"/>
    <w:rsid w:val="003F22B1"/>
    <w:rsid w:val="003F239E"/>
    <w:rsid w:val="003F23CD"/>
    <w:rsid w:val="003F2495"/>
    <w:rsid w:val="003F24B7"/>
    <w:rsid w:val="003F2651"/>
    <w:rsid w:val="003F267B"/>
    <w:rsid w:val="003F26D6"/>
    <w:rsid w:val="003F26DE"/>
    <w:rsid w:val="003F2749"/>
    <w:rsid w:val="003F2985"/>
    <w:rsid w:val="003F2A69"/>
    <w:rsid w:val="003F2AC4"/>
    <w:rsid w:val="003F2B71"/>
    <w:rsid w:val="003F2C96"/>
    <w:rsid w:val="003F2D52"/>
    <w:rsid w:val="003F2E10"/>
    <w:rsid w:val="003F2F61"/>
    <w:rsid w:val="003F3022"/>
    <w:rsid w:val="003F32A7"/>
    <w:rsid w:val="003F34D0"/>
    <w:rsid w:val="003F35F5"/>
    <w:rsid w:val="003F36AC"/>
    <w:rsid w:val="003F371E"/>
    <w:rsid w:val="003F380A"/>
    <w:rsid w:val="003F3880"/>
    <w:rsid w:val="003F38B4"/>
    <w:rsid w:val="003F390B"/>
    <w:rsid w:val="003F3B12"/>
    <w:rsid w:val="003F3B25"/>
    <w:rsid w:val="003F3C57"/>
    <w:rsid w:val="003F3CBC"/>
    <w:rsid w:val="003F3EA6"/>
    <w:rsid w:val="003F3EF9"/>
    <w:rsid w:val="003F3F19"/>
    <w:rsid w:val="003F3F1B"/>
    <w:rsid w:val="003F401F"/>
    <w:rsid w:val="003F4091"/>
    <w:rsid w:val="003F4114"/>
    <w:rsid w:val="003F4145"/>
    <w:rsid w:val="003F4181"/>
    <w:rsid w:val="003F41E6"/>
    <w:rsid w:val="003F4233"/>
    <w:rsid w:val="003F4332"/>
    <w:rsid w:val="003F4407"/>
    <w:rsid w:val="003F4437"/>
    <w:rsid w:val="003F44D7"/>
    <w:rsid w:val="003F4516"/>
    <w:rsid w:val="003F4544"/>
    <w:rsid w:val="003F4588"/>
    <w:rsid w:val="003F4681"/>
    <w:rsid w:val="003F4698"/>
    <w:rsid w:val="003F478A"/>
    <w:rsid w:val="003F47AC"/>
    <w:rsid w:val="003F49C3"/>
    <w:rsid w:val="003F49DA"/>
    <w:rsid w:val="003F49EA"/>
    <w:rsid w:val="003F4AC7"/>
    <w:rsid w:val="003F4CD7"/>
    <w:rsid w:val="003F4D64"/>
    <w:rsid w:val="003F4DAF"/>
    <w:rsid w:val="003F4DFB"/>
    <w:rsid w:val="003F4E40"/>
    <w:rsid w:val="003F4EAB"/>
    <w:rsid w:val="003F4FEA"/>
    <w:rsid w:val="003F4FF5"/>
    <w:rsid w:val="003F505C"/>
    <w:rsid w:val="003F50B1"/>
    <w:rsid w:val="003F5331"/>
    <w:rsid w:val="003F539D"/>
    <w:rsid w:val="003F5457"/>
    <w:rsid w:val="003F57CA"/>
    <w:rsid w:val="003F5820"/>
    <w:rsid w:val="003F5835"/>
    <w:rsid w:val="003F588C"/>
    <w:rsid w:val="003F591E"/>
    <w:rsid w:val="003F5B27"/>
    <w:rsid w:val="003F5B51"/>
    <w:rsid w:val="003F5BF0"/>
    <w:rsid w:val="003F5CEF"/>
    <w:rsid w:val="003F5E28"/>
    <w:rsid w:val="003F5E35"/>
    <w:rsid w:val="003F60BC"/>
    <w:rsid w:val="003F6181"/>
    <w:rsid w:val="003F6265"/>
    <w:rsid w:val="003F628F"/>
    <w:rsid w:val="003F62B8"/>
    <w:rsid w:val="003F6363"/>
    <w:rsid w:val="003F63C2"/>
    <w:rsid w:val="003F63F2"/>
    <w:rsid w:val="003F6498"/>
    <w:rsid w:val="003F6506"/>
    <w:rsid w:val="003F65B7"/>
    <w:rsid w:val="003F6613"/>
    <w:rsid w:val="003F66A4"/>
    <w:rsid w:val="003F67E5"/>
    <w:rsid w:val="003F67FE"/>
    <w:rsid w:val="003F6852"/>
    <w:rsid w:val="003F68B7"/>
    <w:rsid w:val="003F6B39"/>
    <w:rsid w:val="003F6C54"/>
    <w:rsid w:val="003F6D37"/>
    <w:rsid w:val="003F6DBE"/>
    <w:rsid w:val="003F6E48"/>
    <w:rsid w:val="003F6EEC"/>
    <w:rsid w:val="003F7009"/>
    <w:rsid w:val="003F7160"/>
    <w:rsid w:val="003F72C9"/>
    <w:rsid w:val="003F7366"/>
    <w:rsid w:val="003F73E0"/>
    <w:rsid w:val="003F783B"/>
    <w:rsid w:val="003F7970"/>
    <w:rsid w:val="003F79E6"/>
    <w:rsid w:val="003F7AC6"/>
    <w:rsid w:val="003F7AFE"/>
    <w:rsid w:val="003F7B81"/>
    <w:rsid w:val="003F7C58"/>
    <w:rsid w:val="003F7C95"/>
    <w:rsid w:val="003F7E39"/>
    <w:rsid w:val="003F7EB8"/>
    <w:rsid w:val="003F7ECB"/>
    <w:rsid w:val="003F7FA7"/>
    <w:rsid w:val="0040027C"/>
    <w:rsid w:val="004002EB"/>
    <w:rsid w:val="00400300"/>
    <w:rsid w:val="0040034F"/>
    <w:rsid w:val="00400398"/>
    <w:rsid w:val="004004C1"/>
    <w:rsid w:val="0040054E"/>
    <w:rsid w:val="004005B6"/>
    <w:rsid w:val="0040068A"/>
    <w:rsid w:val="004008AC"/>
    <w:rsid w:val="0040090D"/>
    <w:rsid w:val="004009A5"/>
    <w:rsid w:val="00400A23"/>
    <w:rsid w:val="00400AC0"/>
    <w:rsid w:val="00400B1A"/>
    <w:rsid w:val="00400BD3"/>
    <w:rsid w:val="00400C09"/>
    <w:rsid w:val="00400C9E"/>
    <w:rsid w:val="00400E8B"/>
    <w:rsid w:val="00400EE5"/>
    <w:rsid w:val="00400EFA"/>
    <w:rsid w:val="00400FBD"/>
    <w:rsid w:val="0040102F"/>
    <w:rsid w:val="004010CE"/>
    <w:rsid w:val="0040124D"/>
    <w:rsid w:val="00401298"/>
    <w:rsid w:val="0040136F"/>
    <w:rsid w:val="004013B8"/>
    <w:rsid w:val="004013D0"/>
    <w:rsid w:val="0040140E"/>
    <w:rsid w:val="00401487"/>
    <w:rsid w:val="004014EA"/>
    <w:rsid w:val="004015AA"/>
    <w:rsid w:val="004015E3"/>
    <w:rsid w:val="004015E9"/>
    <w:rsid w:val="00401613"/>
    <w:rsid w:val="0040165E"/>
    <w:rsid w:val="00401675"/>
    <w:rsid w:val="004016B4"/>
    <w:rsid w:val="00401763"/>
    <w:rsid w:val="004017D4"/>
    <w:rsid w:val="00401875"/>
    <w:rsid w:val="004019E4"/>
    <w:rsid w:val="00401AAC"/>
    <w:rsid w:val="00401AB7"/>
    <w:rsid w:val="00401C29"/>
    <w:rsid w:val="00401CA5"/>
    <w:rsid w:val="00401D07"/>
    <w:rsid w:val="00401E5E"/>
    <w:rsid w:val="00401E88"/>
    <w:rsid w:val="00401E9A"/>
    <w:rsid w:val="00401E9F"/>
    <w:rsid w:val="00401ECE"/>
    <w:rsid w:val="00401F94"/>
    <w:rsid w:val="0040208B"/>
    <w:rsid w:val="00402217"/>
    <w:rsid w:val="00402290"/>
    <w:rsid w:val="004024D0"/>
    <w:rsid w:val="00402582"/>
    <w:rsid w:val="004025BB"/>
    <w:rsid w:val="00402625"/>
    <w:rsid w:val="004027AF"/>
    <w:rsid w:val="00402849"/>
    <w:rsid w:val="004028A1"/>
    <w:rsid w:val="00402919"/>
    <w:rsid w:val="00402A3D"/>
    <w:rsid w:val="00402B44"/>
    <w:rsid w:val="00402BAC"/>
    <w:rsid w:val="00402D0B"/>
    <w:rsid w:val="00402DA3"/>
    <w:rsid w:val="00402E21"/>
    <w:rsid w:val="00402FE7"/>
    <w:rsid w:val="0040305C"/>
    <w:rsid w:val="0040306E"/>
    <w:rsid w:val="00403079"/>
    <w:rsid w:val="00403107"/>
    <w:rsid w:val="004033FF"/>
    <w:rsid w:val="0040342B"/>
    <w:rsid w:val="00403474"/>
    <w:rsid w:val="00403478"/>
    <w:rsid w:val="004034E0"/>
    <w:rsid w:val="0040351A"/>
    <w:rsid w:val="00403631"/>
    <w:rsid w:val="004037CC"/>
    <w:rsid w:val="004038CE"/>
    <w:rsid w:val="00403960"/>
    <w:rsid w:val="004039FA"/>
    <w:rsid w:val="00403B38"/>
    <w:rsid w:val="00403B8F"/>
    <w:rsid w:val="00403C53"/>
    <w:rsid w:val="00403DB6"/>
    <w:rsid w:val="00403E52"/>
    <w:rsid w:val="00403F5B"/>
    <w:rsid w:val="00403F6B"/>
    <w:rsid w:val="00404035"/>
    <w:rsid w:val="0040410B"/>
    <w:rsid w:val="00404175"/>
    <w:rsid w:val="0040418C"/>
    <w:rsid w:val="00404229"/>
    <w:rsid w:val="00404389"/>
    <w:rsid w:val="0040438F"/>
    <w:rsid w:val="004044AB"/>
    <w:rsid w:val="004044B8"/>
    <w:rsid w:val="0040451B"/>
    <w:rsid w:val="00404548"/>
    <w:rsid w:val="0040460A"/>
    <w:rsid w:val="0040468C"/>
    <w:rsid w:val="0040469D"/>
    <w:rsid w:val="004046B0"/>
    <w:rsid w:val="0040474A"/>
    <w:rsid w:val="0040483A"/>
    <w:rsid w:val="00404869"/>
    <w:rsid w:val="004048E3"/>
    <w:rsid w:val="004048E8"/>
    <w:rsid w:val="00404A3C"/>
    <w:rsid w:val="00404B10"/>
    <w:rsid w:val="00404C25"/>
    <w:rsid w:val="00404C31"/>
    <w:rsid w:val="00404C77"/>
    <w:rsid w:val="00404C80"/>
    <w:rsid w:val="00404D57"/>
    <w:rsid w:val="00404D96"/>
    <w:rsid w:val="00404DB7"/>
    <w:rsid w:val="00404E21"/>
    <w:rsid w:val="00404EF1"/>
    <w:rsid w:val="00404FA9"/>
    <w:rsid w:val="00405025"/>
    <w:rsid w:val="004050AC"/>
    <w:rsid w:val="00405106"/>
    <w:rsid w:val="00405222"/>
    <w:rsid w:val="004052A1"/>
    <w:rsid w:val="00405304"/>
    <w:rsid w:val="004053A4"/>
    <w:rsid w:val="00405431"/>
    <w:rsid w:val="00405460"/>
    <w:rsid w:val="004054F4"/>
    <w:rsid w:val="0040556A"/>
    <w:rsid w:val="0040563E"/>
    <w:rsid w:val="00405681"/>
    <w:rsid w:val="00405718"/>
    <w:rsid w:val="00405761"/>
    <w:rsid w:val="0040590C"/>
    <w:rsid w:val="00405947"/>
    <w:rsid w:val="0040594A"/>
    <w:rsid w:val="004059BB"/>
    <w:rsid w:val="00405A24"/>
    <w:rsid w:val="00405A9C"/>
    <w:rsid w:val="00405AA7"/>
    <w:rsid w:val="00405CEB"/>
    <w:rsid w:val="00405E43"/>
    <w:rsid w:val="00405F46"/>
    <w:rsid w:val="0040602F"/>
    <w:rsid w:val="0040613F"/>
    <w:rsid w:val="004061FC"/>
    <w:rsid w:val="0040621B"/>
    <w:rsid w:val="00406234"/>
    <w:rsid w:val="00406251"/>
    <w:rsid w:val="0040630F"/>
    <w:rsid w:val="0040633D"/>
    <w:rsid w:val="004063BA"/>
    <w:rsid w:val="00406496"/>
    <w:rsid w:val="004065F3"/>
    <w:rsid w:val="004066C1"/>
    <w:rsid w:val="004066C8"/>
    <w:rsid w:val="00406886"/>
    <w:rsid w:val="00406951"/>
    <w:rsid w:val="004069DF"/>
    <w:rsid w:val="00406AC6"/>
    <w:rsid w:val="00406BB2"/>
    <w:rsid w:val="00406CD6"/>
    <w:rsid w:val="00406D07"/>
    <w:rsid w:val="00406DC7"/>
    <w:rsid w:val="00406DF0"/>
    <w:rsid w:val="004070BC"/>
    <w:rsid w:val="00407118"/>
    <w:rsid w:val="00407144"/>
    <w:rsid w:val="00407164"/>
    <w:rsid w:val="00407275"/>
    <w:rsid w:val="0040739C"/>
    <w:rsid w:val="004073BC"/>
    <w:rsid w:val="004073E6"/>
    <w:rsid w:val="00407418"/>
    <w:rsid w:val="00407544"/>
    <w:rsid w:val="00407728"/>
    <w:rsid w:val="0040772C"/>
    <w:rsid w:val="004078AC"/>
    <w:rsid w:val="0040795D"/>
    <w:rsid w:val="0040797F"/>
    <w:rsid w:val="004079A4"/>
    <w:rsid w:val="00407A4A"/>
    <w:rsid w:val="00407B74"/>
    <w:rsid w:val="00407D63"/>
    <w:rsid w:val="00407E9B"/>
    <w:rsid w:val="00407EE3"/>
    <w:rsid w:val="00407F74"/>
    <w:rsid w:val="00407F85"/>
    <w:rsid w:val="00407FD0"/>
    <w:rsid w:val="00410142"/>
    <w:rsid w:val="00410277"/>
    <w:rsid w:val="00410351"/>
    <w:rsid w:val="004103DA"/>
    <w:rsid w:val="00410479"/>
    <w:rsid w:val="0041047D"/>
    <w:rsid w:val="0041052A"/>
    <w:rsid w:val="004105CD"/>
    <w:rsid w:val="004105D1"/>
    <w:rsid w:val="00410605"/>
    <w:rsid w:val="004106EF"/>
    <w:rsid w:val="004107E5"/>
    <w:rsid w:val="00410814"/>
    <w:rsid w:val="004108D7"/>
    <w:rsid w:val="00410B2A"/>
    <w:rsid w:val="00410B63"/>
    <w:rsid w:val="00410DBC"/>
    <w:rsid w:val="00410F04"/>
    <w:rsid w:val="00410FAD"/>
    <w:rsid w:val="004110CB"/>
    <w:rsid w:val="0041114E"/>
    <w:rsid w:val="0041123E"/>
    <w:rsid w:val="004114FF"/>
    <w:rsid w:val="00411521"/>
    <w:rsid w:val="004115ED"/>
    <w:rsid w:val="0041164C"/>
    <w:rsid w:val="00411690"/>
    <w:rsid w:val="00411710"/>
    <w:rsid w:val="004117E9"/>
    <w:rsid w:val="0041182C"/>
    <w:rsid w:val="00411966"/>
    <w:rsid w:val="00411ABE"/>
    <w:rsid w:val="00411B34"/>
    <w:rsid w:val="00411C89"/>
    <w:rsid w:val="00411CA7"/>
    <w:rsid w:val="00411D8D"/>
    <w:rsid w:val="00411DFC"/>
    <w:rsid w:val="00411E0D"/>
    <w:rsid w:val="00411F17"/>
    <w:rsid w:val="00411FA8"/>
    <w:rsid w:val="0041200E"/>
    <w:rsid w:val="004120C5"/>
    <w:rsid w:val="00412185"/>
    <w:rsid w:val="004121C4"/>
    <w:rsid w:val="0041227B"/>
    <w:rsid w:val="004123CE"/>
    <w:rsid w:val="004124D5"/>
    <w:rsid w:val="0041252C"/>
    <w:rsid w:val="004125F0"/>
    <w:rsid w:val="00412611"/>
    <w:rsid w:val="004127BF"/>
    <w:rsid w:val="00412816"/>
    <w:rsid w:val="004128F1"/>
    <w:rsid w:val="00412B27"/>
    <w:rsid w:val="00412BDE"/>
    <w:rsid w:val="00412C0A"/>
    <w:rsid w:val="00412C20"/>
    <w:rsid w:val="00412DDA"/>
    <w:rsid w:val="0041323E"/>
    <w:rsid w:val="004132B9"/>
    <w:rsid w:val="00413303"/>
    <w:rsid w:val="0041351F"/>
    <w:rsid w:val="00413522"/>
    <w:rsid w:val="00413609"/>
    <w:rsid w:val="00413623"/>
    <w:rsid w:val="004136A8"/>
    <w:rsid w:val="004136C3"/>
    <w:rsid w:val="004137AB"/>
    <w:rsid w:val="00413939"/>
    <w:rsid w:val="004139D3"/>
    <w:rsid w:val="004139D6"/>
    <w:rsid w:val="00413A33"/>
    <w:rsid w:val="00413A4A"/>
    <w:rsid w:val="00413A5A"/>
    <w:rsid w:val="00413A67"/>
    <w:rsid w:val="00413ADC"/>
    <w:rsid w:val="00413B0A"/>
    <w:rsid w:val="00413B29"/>
    <w:rsid w:val="00413B68"/>
    <w:rsid w:val="00413BC1"/>
    <w:rsid w:val="00413CA8"/>
    <w:rsid w:val="00413E3A"/>
    <w:rsid w:val="00413E78"/>
    <w:rsid w:val="00413EE2"/>
    <w:rsid w:val="00413F67"/>
    <w:rsid w:val="00414039"/>
    <w:rsid w:val="004140DE"/>
    <w:rsid w:val="0041410B"/>
    <w:rsid w:val="00414166"/>
    <w:rsid w:val="0041420F"/>
    <w:rsid w:val="00414361"/>
    <w:rsid w:val="00414445"/>
    <w:rsid w:val="00414461"/>
    <w:rsid w:val="0041451A"/>
    <w:rsid w:val="00414528"/>
    <w:rsid w:val="0041452B"/>
    <w:rsid w:val="004145AD"/>
    <w:rsid w:val="004146B2"/>
    <w:rsid w:val="00414780"/>
    <w:rsid w:val="004147EB"/>
    <w:rsid w:val="004148E8"/>
    <w:rsid w:val="0041492E"/>
    <w:rsid w:val="004149F8"/>
    <w:rsid w:val="00414A41"/>
    <w:rsid w:val="00414AD1"/>
    <w:rsid w:val="00414B09"/>
    <w:rsid w:val="00414B13"/>
    <w:rsid w:val="00414BC8"/>
    <w:rsid w:val="00414BF3"/>
    <w:rsid w:val="00414C5C"/>
    <w:rsid w:val="00414CB3"/>
    <w:rsid w:val="00414CD5"/>
    <w:rsid w:val="00414CE0"/>
    <w:rsid w:val="00414E21"/>
    <w:rsid w:val="00414FE6"/>
    <w:rsid w:val="004151B8"/>
    <w:rsid w:val="00415235"/>
    <w:rsid w:val="00415249"/>
    <w:rsid w:val="004152AE"/>
    <w:rsid w:val="00415421"/>
    <w:rsid w:val="0041557A"/>
    <w:rsid w:val="004155B7"/>
    <w:rsid w:val="00415654"/>
    <w:rsid w:val="00415676"/>
    <w:rsid w:val="00415714"/>
    <w:rsid w:val="00415819"/>
    <w:rsid w:val="004158FD"/>
    <w:rsid w:val="00415924"/>
    <w:rsid w:val="00415A9A"/>
    <w:rsid w:val="00415B5E"/>
    <w:rsid w:val="00415CBC"/>
    <w:rsid w:val="00415D1C"/>
    <w:rsid w:val="00415EA4"/>
    <w:rsid w:val="00415FAE"/>
    <w:rsid w:val="00415FD1"/>
    <w:rsid w:val="00415FD9"/>
    <w:rsid w:val="00415FF6"/>
    <w:rsid w:val="00416014"/>
    <w:rsid w:val="0041604B"/>
    <w:rsid w:val="00416061"/>
    <w:rsid w:val="0041610B"/>
    <w:rsid w:val="004161E0"/>
    <w:rsid w:val="004161FB"/>
    <w:rsid w:val="00416276"/>
    <w:rsid w:val="00416354"/>
    <w:rsid w:val="0041638B"/>
    <w:rsid w:val="004163A3"/>
    <w:rsid w:val="004165AD"/>
    <w:rsid w:val="0041675A"/>
    <w:rsid w:val="0041676B"/>
    <w:rsid w:val="004168EA"/>
    <w:rsid w:val="00416914"/>
    <w:rsid w:val="00416B7C"/>
    <w:rsid w:val="00416BA1"/>
    <w:rsid w:val="00416BDF"/>
    <w:rsid w:val="00416C68"/>
    <w:rsid w:val="00416C6F"/>
    <w:rsid w:val="00416FA6"/>
    <w:rsid w:val="00416FB3"/>
    <w:rsid w:val="00417069"/>
    <w:rsid w:val="004170C2"/>
    <w:rsid w:val="00417101"/>
    <w:rsid w:val="00417136"/>
    <w:rsid w:val="004172D9"/>
    <w:rsid w:val="00417537"/>
    <w:rsid w:val="004175D9"/>
    <w:rsid w:val="00417657"/>
    <w:rsid w:val="004176BB"/>
    <w:rsid w:val="0041778C"/>
    <w:rsid w:val="004177F9"/>
    <w:rsid w:val="00417812"/>
    <w:rsid w:val="00417818"/>
    <w:rsid w:val="0041784D"/>
    <w:rsid w:val="004179C0"/>
    <w:rsid w:val="00417A4F"/>
    <w:rsid w:val="00417AE2"/>
    <w:rsid w:val="00417AE3"/>
    <w:rsid w:val="00417AF6"/>
    <w:rsid w:val="00417B2A"/>
    <w:rsid w:val="00417B56"/>
    <w:rsid w:val="00417BD8"/>
    <w:rsid w:val="00417C2F"/>
    <w:rsid w:val="00417CD0"/>
    <w:rsid w:val="00417D72"/>
    <w:rsid w:val="00417DAD"/>
    <w:rsid w:val="00417DE2"/>
    <w:rsid w:val="00417E59"/>
    <w:rsid w:val="00417E5D"/>
    <w:rsid w:val="00417E66"/>
    <w:rsid w:val="00417E7F"/>
    <w:rsid w:val="00417E92"/>
    <w:rsid w:val="00417FE7"/>
    <w:rsid w:val="00420025"/>
    <w:rsid w:val="004200AC"/>
    <w:rsid w:val="004201DC"/>
    <w:rsid w:val="0042023F"/>
    <w:rsid w:val="0042029C"/>
    <w:rsid w:val="00420471"/>
    <w:rsid w:val="004205DC"/>
    <w:rsid w:val="00420613"/>
    <w:rsid w:val="00420664"/>
    <w:rsid w:val="00420675"/>
    <w:rsid w:val="00420731"/>
    <w:rsid w:val="0042088F"/>
    <w:rsid w:val="004208D3"/>
    <w:rsid w:val="0042092D"/>
    <w:rsid w:val="00420936"/>
    <w:rsid w:val="004209ED"/>
    <w:rsid w:val="00420A7C"/>
    <w:rsid w:val="00420A91"/>
    <w:rsid w:val="00420F6B"/>
    <w:rsid w:val="00420FB4"/>
    <w:rsid w:val="00420FE0"/>
    <w:rsid w:val="00421029"/>
    <w:rsid w:val="00421088"/>
    <w:rsid w:val="00421218"/>
    <w:rsid w:val="004212B5"/>
    <w:rsid w:val="004212B7"/>
    <w:rsid w:val="004212EF"/>
    <w:rsid w:val="004212F3"/>
    <w:rsid w:val="00421347"/>
    <w:rsid w:val="004213BB"/>
    <w:rsid w:val="004213F5"/>
    <w:rsid w:val="004215C7"/>
    <w:rsid w:val="004215F8"/>
    <w:rsid w:val="004216B0"/>
    <w:rsid w:val="00421809"/>
    <w:rsid w:val="00421887"/>
    <w:rsid w:val="0042197D"/>
    <w:rsid w:val="00421A15"/>
    <w:rsid w:val="00421B6E"/>
    <w:rsid w:val="00421BE0"/>
    <w:rsid w:val="00421C0B"/>
    <w:rsid w:val="00421C8D"/>
    <w:rsid w:val="00421CFA"/>
    <w:rsid w:val="00421D59"/>
    <w:rsid w:val="00421D73"/>
    <w:rsid w:val="00422145"/>
    <w:rsid w:val="004221DB"/>
    <w:rsid w:val="004222DB"/>
    <w:rsid w:val="00422375"/>
    <w:rsid w:val="0042247B"/>
    <w:rsid w:val="004224C4"/>
    <w:rsid w:val="004225AB"/>
    <w:rsid w:val="00422600"/>
    <w:rsid w:val="0042260F"/>
    <w:rsid w:val="00422636"/>
    <w:rsid w:val="0042277F"/>
    <w:rsid w:val="00422794"/>
    <w:rsid w:val="004228B9"/>
    <w:rsid w:val="0042295E"/>
    <w:rsid w:val="0042296F"/>
    <w:rsid w:val="00422A33"/>
    <w:rsid w:val="00422AA5"/>
    <w:rsid w:val="00422C30"/>
    <w:rsid w:val="00422CFD"/>
    <w:rsid w:val="00422D29"/>
    <w:rsid w:val="00422E42"/>
    <w:rsid w:val="00422FC6"/>
    <w:rsid w:val="00423027"/>
    <w:rsid w:val="00423280"/>
    <w:rsid w:val="004232AC"/>
    <w:rsid w:val="004232F1"/>
    <w:rsid w:val="004232F7"/>
    <w:rsid w:val="00423386"/>
    <w:rsid w:val="004234EF"/>
    <w:rsid w:val="0042352B"/>
    <w:rsid w:val="0042352C"/>
    <w:rsid w:val="00423591"/>
    <w:rsid w:val="004236F4"/>
    <w:rsid w:val="00423710"/>
    <w:rsid w:val="0042371D"/>
    <w:rsid w:val="004237C1"/>
    <w:rsid w:val="004237F9"/>
    <w:rsid w:val="00423863"/>
    <w:rsid w:val="0042386B"/>
    <w:rsid w:val="00423907"/>
    <w:rsid w:val="00423979"/>
    <w:rsid w:val="00423A0D"/>
    <w:rsid w:val="00423A86"/>
    <w:rsid w:val="00423AD4"/>
    <w:rsid w:val="00423AD5"/>
    <w:rsid w:val="00423B31"/>
    <w:rsid w:val="00423CB1"/>
    <w:rsid w:val="00423D3E"/>
    <w:rsid w:val="00423D84"/>
    <w:rsid w:val="00423DDB"/>
    <w:rsid w:val="00423EED"/>
    <w:rsid w:val="00423F20"/>
    <w:rsid w:val="00423FDF"/>
    <w:rsid w:val="00424011"/>
    <w:rsid w:val="00424090"/>
    <w:rsid w:val="0042416E"/>
    <w:rsid w:val="00424271"/>
    <w:rsid w:val="004243B2"/>
    <w:rsid w:val="004245A4"/>
    <w:rsid w:val="004245B1"/>
    <w:rsid w:val="004245D4"/>
    <w:rsid w:val="004245D8"/>
    <w:rsid w:val="00424702"/>
    <w:rsid w:val="004247C3"/>
    <w:rsid w:val="00424984"/>
    <w:rsid w:val="00424985"/>
    <w:rsid w:val="00424B7F"/>
    <w:rsid w:val="00424C03"/>
    <w:rsid w:val="00424F14"/>
    <w:rsid w:val="004250B8"/>
    <w:rsid w:val="00425115"/>
    <w:rsid w:val="0042513C"/>
    <w:rsid w:val="0042518D"/>
    <w:rsid w:val="004251FD"/>
    <w:rsid w:val="0042526A"/>
    <w:rsid w:val="004252E0"/>
    <w:rsid w:val="00425325"/>
    <w:rsid w:val="00425570"/>
    <w:rsid w:val="0042561A"/>
    <w:rsid w:val="00425663"/>
    <w:rsid w:val="004257D2"/>
    <w:rsid w:val="0042593B"/>
    <w:rsid w:val="00425AD0"/>
    <w:rsid w:val="00425AD9"/>
    <w:rsid w:val="00425AF4"/>
    <w:rsid w:val="00425B46"/>
    <w:rsid w:val="00425D14"/>
    <w:rsid w:val="00425E07"/>
    <w:rsid w:val="00425E2F"/>
    <w:rsid w:val="0042608B"/>
    <w:rsid w:val="004260D7"/>
    <w:rsid w:val="00426111"/>
    <w:rsid w:val="004262AD"/>
    <w:rsid w:val="004263BB"/>
    <w:rsid w:val="00426433"/>
    <w:rsid w:val="00426609"/>
    <w:rsid w:val="0042682C"/>
    <w:rsid w:val="004269DE"/>
    <w:rsid w:val="00426AA0"/>
    <w:rsid w:val="00426AC8"/>
    <w:rsid w:val="00426C15"/>
    <w:rsid w:val="00426C34"/>
    <w:rsid w:val="00426C63"/>
    <w:rsid w:val="00426C82"/>
    <w:rsid w:val="00426E55"/>
    <w:rsid w:val="00426FD4"/>
    <w:rsid w:val="0042702F"/>
    <w:rsid w:val="004271A9"/>
    <w:rsid w:val="004271FB"/>
    <w:rsid w:val="004272EC"/>
    <w:rsid w:val="00427417"/>
    <w:rsid w:val="004276E0"/>
    <w:rsid w:val="004276E9"/>
    <w:rsid w:val="00427737"/>
    <w:rsid w:val="00427754"/>
    <w:rsid w:val="0042781E"/>
    <w:rsid w:val="00427B36"/>
    <w:rsid w:val="00427BA0"/>
    <w:rsid w:val="00427BD5"/>
    <w:rsid w:val="00427C83"/>
    <w:rsid w:val="00427D7C"/>
    <w:rsid w:val="00427F0C"/>
    <w:rsid w:val="00427F73"/>
    <w:rsid w:val="00427F7C"/>
    <w:rsid w:val="00427F97"/>
    <w:rsid w:val="00427FDD"/>
    <w:rsid w:val="0042C868"/>
    <w:rsid w:val="00430163"/>
    <w:rsid w:val="0043017D"/>
    <w:rsid w:val="0043053F"/>
    <w:rsid w:val="00430579"/>
    <w:rsid w:val="004305FA"/>
    <w:rsid w:val="0043081C"/>
    <w:rsid w:val="00430907"/>
    <w:rsid w:val="00430924"/>
    <w:rsid w:val="00430963"/>
    <w:rsid w:val="004309A6"/>
    <w:rsid w:val="00430BA1"/>
    <w:rsid w:val="00430BC9"/>
    <w:rsid w:val="00430E8D"/>
    <w:rsid w:val="00430FAD"/>
    <w:rsid w:val="0043104E"/>
    <w:rsid w:val="00431097"/>
    <w:rsid w:val="004312FA"/>
    <w:rsid w:val="004313C3"/>
    <w:rsid w:val="004314BA"/>
    <w:rsid w:val="00431595"/>
    <w:rsid w:val="004315BE"/>
    <w:rsid w:val="00431681"/>
    <w:rsid w:val="0043169D"/>
    <w:rsid w:val="00431707"/>
    <w:rsid w:val="00431726"/>
    <w:rsid w:val="00431773"/>
    <w:rsid w:val="00431802"/>
    <w:rsid w:val="0043188F"/>
    <w:rsid w:val="00431A71"/>
    <w:rsid w:val="00431B44"/>
    <w:rsid w:val="00431BAF"/>
    <w:rsid w:val="00431BCF"/>
    <w:rsid w:val="00431BE1"/>
    <w:rsid w:val="00431CB8"/>
    <w:rsid w:val="00431CD1"/>
    <w:rsid w:val="00431F9F"/>
    <w:rsid w:val="0043205D"/>
    <w:rsid w:val="004320A6"/>
    <w:rsid w:val="00432167"/>
    <w:rsid w:val="0043228D"/>
    <w:rsid w:val="004322BA"/>
    <w:rsid w:val="004322DF"/>
    <w:rsid w:val="004323B8"/>
    <w:rsid w:val="0043245B"/>
    <w:rsid w:val="00432486"/>
    <w:rsid w:val="004325DD"/>
    <w:rsid w:val="004325E3"/>
    <w:rsid w:val="004325EF"/>
    <w:rsid w:val="00432636"/>
    <w:rsid w:val="004326BE"/>
    <w:rsid w:val="004326EC"/>
    <w:rsid w:val="00432758"/>
    <w:rsid w:val="00432789"/>
    <w:rsid w:val="0043299A"/>
    <w:rsid w:val="004329C9"/>
    <w:rsid w:val="00432B84"/>
    <w:rsid w:val="00432CEB"/>
    <w:rsid w:val="00432EF6"/>
    <w:rsid w:val="00432F0F"/>
    <w:rsid w:val="0043305E"/>
    <w:rsid w:val="0043336F"/>
    <w:rsid w:val="0043358C"/>
    <w:rsid w:val="0043368E"/>
    <w:rsid w:val="00433740"/>
    <w:rsid w:val="00433900"/>
    <w:rsid w:val="0043393E"/>
    <w:rsid w:val="00433AA7"/>
    <w:rsid w:val="00433B18"/>
    <w:rsid w:val="00433BF0"/>
    <w:rsid w:val="00433BFB"/>
    <w:rsid w:val="00433C29"/>
    <w:rsid w:val="00433D04"/>
    <w:rsid w:val="00433E40"/>
    <w:rsid w:val="00433EF3"/>
    <w:rsid w:val="00433F41"/>
    <w:rsid w:val="00433FCD"/>
    <w:rsid w:val="00433FE6"/>
    <w:rsid w:val="00434174"/>
    <w:rsid w:val="00434181"/>
    <w:rsid w:val="0043418E"/>
    <w:rsid w:val="00434199"/>
    <w:rsid w:val="004341C1"/>
    <w:rsid w:val="00434568"/>
    <w:rsid w:val="00434726"/>
    <w:rsid w:val="0043474E"/>
    <w:rsid w:val="004347FF"/>
    <w:rsid w:val="00434926"/>
    <w:rsid w:val="004349D9"/>
    <w:rsid w:val="00434B89"/>
    <w:rsid w:val="00434BF1"/>
    <w:rsid w:val="00434DF6"/>
    <w:rsid w:val="0043510F"/>
    <w:rsid w:val="00435490"/>
    <w:rsid w:val="00435580"/>
    <w:rsid w:val="0043558E"/>
    <w:rsid w:val="00435689"/>
    <w:rsid w:val="0043570C"/>
    <w:rsid w:val="00435736"/>
    <w:rsid w:val="0043577B"/>
    <w:rsid w:val="00435846"/>
    <w:rsid w:val="00435905"/>
    <w:rsid w:val="00435991"/>
    <w:rsid w:val="004359B0"/>
    <w:rsid w:val="004359B7"/>
    <w:rsid w:val="00435A76"/>
    <w:rsid w:val="00435C42"/>
    <w:rsid w:val="00435CC6"/>
    <w:rsid w:val="00435D77"/>
    <w:rsid w:val="00435D8C"/>
    <w:rsid w:val="00435F2B"/>
    <w:rsid w:val="00436123"/>
    <w:rsid w:val="004361AA"/>
    <w:rsid w:val="004362A7"/>
    <w:rsid w:val="0043638E"/>
    <w:rsid w:val="00436404"/>
    <w:rsid w:val="0043640C"/>
    <w:rsid w:val="00436670"/>
    <w:rsid w:val="004367AC"/>
    <w:rsid w:val="004367B7"/>
    <w:rsid w:val="0043686B"/>
    <w:rsid w:val="004369B2"/>
    <w:rsid w:val="004369D5"/>
    <w:rsid w:val="00436A84"/>
    <w:rsid w:val="00436AD4"/>
    <w:rsid w:val="00436C19"/>
    <w:rsid w:val="00436F51"/>
    <w:rsid w:val="00436FDB"/>
    <w:rsid w:val="00436FED"/>
    <w:rsid w:val="00437089"/>
    <w:rsid w:val="004370A8"/>
    <w:rsid w:val="0043711B"/>
    <w:rsid w:val="00437144"/>
    <w:rsid w:val="00437215"/>
    <w:rsid w:val="0043740C"/>
    <w:rsid w:val="0043746A"/>
    <w:rsid w:val="004374F3"/>
    <w:rsid w:val="004375FA"/>
    <w:rsid w:val="004376EF"/>
    <w:rsid w:val="0043776B"/>
    <w:rsid w:val="00437A70"/>
    <w:rsid w:val="00437C6A"/>
    <w:rsid w:val="00437CDB"/>
    <w:rsid w:val="00437CEE"/>
    <w:rsid w:val="00437DF5"/>
    <w:rsid w:val="00437E0D"/>
    <w:rsid w:val="00437F84"/>
    <w:rsid w:val="00440016"/>
    <w:rsid w:val="004400C1"/>
    <w:rsid w:val="00440187"/>
    <w:rsid w:val="004401F5"/>
    <w:rsid w:val="004403F7"/>
    <w:rsid w:val="004404AE"/>
    <w:rsid w:val="00440743"/>
    <w:rsid w:val="00440753"/>
    <w:rsid w:val="0044077A"/>
    <w:rsid w:val="00440967"/>
    <w:rsid w:val="00440A65"/>
    <w:rsid w:val="00440A88"/>
    <w:rsid w:val="00440AD0"/>
    <w:rsid w:val="00440B5D"/>
    <w:rsid w:val="00440B8C"/>
    <w:rsid w:val="00440C05"/>
    <w:rsid w:val="00440C78"/>
    <w:rsid w:val="00440D8C"/>
    <w:rsid w:val="00440DA1"/>
    <w:rsid w:val="00440E3B"/>
    <w:rsid w:val="00440E84"/>
    <w:rsid w:val="00440F23"/>
    <w:rsid w:val="00440F44"/>
    <w:rsid w:val="00441037"/>
    <w:rsid w:val="004410BC"/>
    <w:rsid w:val="00441126"/>
    <w:rsid w:val="00441193"/>
    <w:rsid w:val="004411E1"/>
    <w:rsid w:val="0044120C"/>
    <w:rsid w:val="00441211"/>
    <w:rsid w:val="0044129E"/>
    <w:rsid w:val="00441461"/>
    <w:rsid w:val="004414CB"/>
    <w:rsid w:val="0044174C"/>
    <w:rsid w:val="00441859"/>
    <w:rsid w:val="004419B4"/>
    <w:rsid w:val="004419B9"/>
    <w:rsid w:val="004419CE"/>
    <w:rsid w:val="00441A3D"/>
    <w:rsid w:val="00441A6E"/>
    <w:rsid w:val="00441B46"/>
    <w:rsid w:val="00441B49"/>
    <w:rsid w:val="00441B6B"/>
    <w:rsid w:val="00441C5C"/>
    <w:rsid w:val="00441CA9"/>
    <w:rsid w:val="00441DF0"/>
    <w:rsid w:val="00441E2B"/>
    <w:rsid w:val="00441F0A"/>
    <w:rsid w:val="00441FF8"/>
    <w:rsid w:val="004420A2"/>
    <w:rsid w:val="0044223D"/>
    <w:rsid w:val="00442453"/>
    <w:rsid w:val="0044257A"/>
    <w:rsid w:val="0044257C"/>
    <w:rsid w:val="004425EC"/>
    <w:rsid w:val="00442690"/>
    <w:rsid w:val="0044277D"/>
    <w:rsid w:val="00442787"/>
    <w:rsid w:val="00442844"/>
    <w:rsid w:val="004428D4"/>
    <w:rsid w:val="0044290C"/>
    <w:rsid w:val="00442912"/>
    <w:rsid w:val="00442976"/>
    <w:rsid w:val="00442A8B"/>
    <w:rsid w:val="00442B7B"/>
    <w:rsid w:val="00442BB2"/>
    <w:rsid w:val="00442C19"/>
    <w:rsid w:val="00442C6E"/>
    <w:rsid w:val="00442C74"/>
    <w:rsid w:val="00442C86"/>
    <w:rsid w:val="00442D46"/>
    <w:rsid w:val="00442FBC"/>
    <w:rsid w:val="00442FF4"/>
    <w:rsid w:val="00443068"/>
    <w:rsid w:val="004430BC"/>
    <w:rsid w:val="00443133"/>
    <w:rsid w:val="00443152"/>
    <w:rsid w:val="00443222"/>
    <w:rsid w:val="004432E7"/>
    <w:rsid w:val="0044370B"/>
    <w:rsid w:val="004438C4"/>
    <w:rsid w:val="0044396F"/>
    <w:rsid w:val="004439D8"/>
    <w:rsid w:val="004439EE"/>
    <w:rsid w:val="00443C71"/>
    <w:rsid w:val="00443D65"/>
    <w:rsid w:val="00443E4A"/>
    <w:rsid w:val="00443EB6"/>
    <w:rsid w:val="00443F88"/>
    <w:rsid w:val="0044405E"/>
    <w:rsid w:val="0044409B"/>
    <w:rsid w:val="0044416B"/>
    <w:rsid w:val="004441F5"/>
    <w:rsid w:val="00444241"/>
    <w:rsid w:val="004442D0"/>
    <w:rsid w:val="00444305"/>
    <w:rsid w:val="00444471"/>
    <w:rsid w:val="00444530"/>
    <w:rsid w:val="0044468A"/>
    <w:rsid w:val="004447CC"/>
    <w:rsid w:val="0044485C"/>
    <w:rsid w:val="00444875"/>
    <w:rsid w:val="00444924"/>
    <w:rsid w:val="00444AE9"/>
    <w:rsid w:val="00444DE4"/>
    <w:rsid w:val="00444E4C"/>
    <w:rsid w:val="00444EC9"/>
    <w:rsid w:val="00444FF6"/>
    <w:rsid w:val="0044505B"/>
    <w:rsid w:val="004450A1"/>
    <w:rsid w:val="004450ED"/>
    <w:rsid w:val="00445127"/>
    <w:rsid w:val="00445192"/>
    <w:rsid w:val="0044520C"/>
    <w:rsid w:val="0044529F"/>
    <w:rsid w:val="004452DF"/>
    <w:rsid w:val="004452FB"/>
    <w:rsid w:val="004452FD"/>
    <w:rsid w:val="0044533F"/>
    <w:rsid w:val="00445534"/>
    <w:rsid w:val="00445571"/>
    <w:rsid w:val="004455CC"/>
    <w:rsid w:val="004456A5"/>
    <w:rsid w:val="004457DC"/>
    <w:rsid w:val="00445864"/>
    <w:rsid w:val="00445AA3"/>
    <w:rsid w:val="00445AE9"/>
    <w:rsid w:val="00445B36"/>
    <w:rsid w:val="00445C5C"/>
    <w:rsid w:val="00445CBA"/>
    <w:rsid w:val="00445DDF"/>
    <w:rsid w:val="00445F14"/>
    <w:rsid w:val="00445F9A"/>
    <w:rsid w:val="00446094"/>
    <w:rsid w:val="0044609E"/>
    <w:rsid w:val="004460ED"/>
    <w:rsid w:val="0044619D"/>
    <w:rsid w:val="00446238"/>
    <w:rsid w:val="00446254"/>
    <w:rsid w:val="00446280"/>
    <w:rsid w:val="0044629E"/>
    <w:rsid w:val="004463DC"/>
    <w:rsid w:val="0044640F"/>
    <w:rsid w:val="00446422"/>
    <w:rsid w:val="00446486"/>
    <w:rsid w:val="00446826"/>
    <w:rsid w:val="00446888"/>
    <w:rsid w:val="004468A1"/>
    <w:rsid w:val="00446B4A"/>
    <w:rsid w:val="00446B4D"/>
    <w:rsid w:val="00446BF1"/>
    <w:rsid w:val="00446C1F"/>
    <w:rsid w:val="00446F7A"/>
    <w:rsid w:val="004470AB"/>
    <w:rsid w:val="004470C3"/>
    <w:rsid w:val="00447128"/>
    <w:rsid w:val="0044719A"/>
    <w:rsid w:val="00447396"/>
    <w:rsid w:val="004473DF"/>
    <w:rsid w:val="00447471"/>
    <w:rsid w:val="00447571"/>
    <w:rsid w:val="0044758C"/>
    <w:rsid w:val="004475AD"/>
    <w:rsid w:val="004475C4"/>
    <w:rsid w:val="004475C8"/>
    <w:rsid w:val="004475F2"/>
    <w:rsid w:val="00447635"/>
    <w:rsid w:val="0044763F"/>
    <w:rsid w:val="004476A1"/>
    <w:rsid w:val="004476D9"/>
    <w:rsid w:val="00447705"/>
    <w:rsid w:val="0044771C"/>
    <w:rsid w:val="004477F9"/>
    <w:rsid w:val="0044786D"/>
    <w:rsid w:val="00447975"/>
    <w:rsid w:val="00447A5E"/>
    <w:rsid w:val="00447A81"/>
    <w:rsid w:val="00447AA8"/>
    <w:rsid w:val="00447B28"/>
    <w:rsid w:val="00447E43"/>
    <w:rsid w:val="00447FC3"/>
    <w:rsid w:val="004500DB"/>
    <w:rsid w:val="00450114"/>
    <w:rsid w:val="00450187"/>
    <w:rsid w:val="0045019A"/>
    <w:rsid w:val="004502D8"/>
    <w:rsid w:val="004502FF"/>
    <w:rsid w:val="0045041A"/>
    <w:rsid w:val="00450482"/>
    <w:rsid w:val="004504FD"/>
    <w:rsid w:val="00450524"/>
    <w:rsid w:val="004506E6"/>
    <w:rsid w:val="004508DB"/>
    <w:rsid w:val="00450914"/>
    <w:rsid w:val="004509A8"/>
    <w:rsid w:val="00450B78"/>
    <w:rsid w:val="00451062"/>
    <w:rsid w:val="0045109D"/>
    <w:rsid w:val="004511A6"/>
    <w:rsid w:val="004511D5"/>
    <w:rsid w:val="004511EC"/>
    <w:rsid w:val="0045120E"/>
    <w:rsid w:val="0045132F"/>
    <w:rsid w:val="004513AA"/>
    <w:rsid w:val="00451411"/>
    <w:rsid w:val="00451434"/>
    <w:rsid w:val="004515AB"/>
    <w:rsid w:val="00451623"/>
    <w:rsid w:val="00451631"/>
    <w:rsid w:val="00451775"/>
    <w:rsid w:val="00451A54"/>
    <w:rsid w:val="00451A60"/>
    <w:rsid w:val="00451AED"/>
    <w:rsid w:val="00451B30"/>
    <w:rsid w:val="00451BC3"/>
    <w:rsid w:val="00451C13"/>
    <w:rsid w:val="00451C28"/>
    <w:rsid w:val="00451D9D"/>
    <w:rsid w:val="00451DF6"/>
    <w:rsid w:val="00451F0B"/>
    <w:rsid w:val="00451FAD"/>
    <w:rsid w:val="004522C0"/>
    <w:rsid w:val="0045239F"/>
    <w:rsid w:val="004523A8"/>
    <w:rsid w:val="00452485"/>
    <w:rsid w:val="004524B7"/>
    <w:rsid w:val="00452505"/>
    <w:rsid w:val="004525FB"/>
    <w:rsid w:val="00452782"/>
    <w:rsid w:val="004527BC"/>
    <w:rsid w:val="00452921"/>
    <w:rsid w:val="00452A02"/>
    <w:rsid w:val="00452A73"/>
    <w:rsid w:val="00452AB5"/>
    <w:rsid w:val="00452AD9"/>
    <w:rsid w:val="00452B3B"/>
    <w:rsid w:val="00452B85"/>
    <w:rsid w:val="00452BDD"/>
    <w:rsid w:val="00452C41"/>
    <w:rsid w:val="00452C67"/>
    <w:rsid w:val="00452CAA"/>
    <w:rsid w:val="00452ECA"/>
    <w:rsid w:val="00452EF3"/>
    <w:rsid w:val="00452F0B"/>
    <w:rsid w:val="00452FE3"/>
    <w:rsid w:val="0045300A"/>
    <w:rsid w:val="00453047"/>
    <w:rsid w:val="00453164"/>
    <w:rsid w:val="004534EE"/>
    <w:rsid w:val="0045351A"/>
    <w:rsid w:val="004535B8"/>
    <w:rsid w:val="004535CB"/>
    <w:rsid w:val="004536BE"/>
    <w:rsid w:val="004536C0"/>
    <w:rsid w:val="004536D3"/>
    <w:rsid w:val="0045370E"/>
    <w:rsid w:val="00453795"/>
    <w:rsid w:val="00453A1D"/>
    <w:rsid w:val="00453CE9"/>
    <w:rsid w:val="00453D1F"/>
    <w:rsid w:val="00453D60"/>
    <w:rsid w:val="00453D84"/>
    <w:rsid w:val="00453DCB"/>
    <w:rsid w:val="00453E72"/>
    <w:rsid w:val="00453EC3"/>
    <w:rsid w:val="00453FA2"/>
    <w:rsid w:val="00453FCA"/>
    <w:rsid w:val="00454211"/>
    <w:rsid w:val="00454213"/>
    <w:rsid w:val="0045425A"/>
    <w:rsid w:val="0045427C"/>
    <w:rsid w:val="0045431A"/>
    <w:rsid w:val="004543A1"/>
    <w:rsid w:val="00454524"/>
    <w:rsid w:val="004545FD"/>
    <w:rsid w:val="00454671"/>
    <w:rsid w:val="004546B4"/>
    <w:rsid w:val="0045480D"/>
    <w:rsid w:val="0045484E"/>
    <w:rsid w:val="004548BA"/>
    <w:rsid w:val="004549FD"/>
    <w:rsid w:val="00454A20"/>
    <w:rsid w:val="00454A40"/>
    <w:rsid w:val="00454A41"/>
    <w:rsid w:val="00454BBD"/>
    <w:rsid w:val="00454C2B"/>
    <w:rsid w:val="00454C8A"/>
    <w:rsid w:val="00454D3A"/>
    <w:rsid w:val="00454E89"/>
    <w:rsid w:val="00454FC3"/>
    <w:rsid w:val="00454FC5"/>
    <w:rsid w:val="0045505B"/>
    <w:rsid w:val="00455168"/>
    <w:rsid w:val="00455271"/>
    <w:rsid w:val="0045527A"/>
    <w:rsid w:val="004553A9"/>
    <w:rsid w:val="004553F2"/>
    <w:rsid w:val="0045541E"/>
    <w:rsid w:val="00455425"/>
    <w:rsid w:val="00455464"/>
    <w:rsid w:val="0045558E"/>
    <w:rsid w:val="00455645"/>
    <w:rsid w:val="0045573A"/>
    <w:rsid w:val="004558A4"/>
    <w:rsid w:val="004558D3"/>
    <w:rsid w:val="00455903"/>
    <w:rsid w:val="00455A02"/>
    <w:rsid w:val="00455BAF"/>
    <w:rsid w:val="00455D0F"/>
    <w:rsid w:val="00455D24"/>
    <w:rsid w:val="00455D8A"/>
    <w:rsid w:val="00455E65"/>
    <w:rsid w:val="00455EBE"/>
    <w:rsid w:val="00455F14"/>
    <w:rsid w:val="00455F2D"/>
    <w:rsid w:val="00455FCB"/>
    <w:rsid w:val="00456015"/>
    <w:rsid w:val="004561BC"/>
    <w:rsid w:val="004561D4"/>
    <w:rsid w:val="00456257"/>
    <w:rsid w:val="0045632C"/>
    <w:rsid w:val="00456332"/>
    <w:rsid w:val="004563FA"/>
    <w:rsid w:val="0045640B"/>
    <w:rsid w:val="00456424"/>
    <w:rsid w:val="00456478"/>
    <w:rsid w:val="004565C4"/>
    <w:rsid w:val="004565F0"/>
    <w:rsid w:val="0045664F"/>
    <w:rsid w:val="00456722"/>
    <w:rsid w:val="0045692A"/>
    <w:rsid w:val="00456967"/>
    <w:rsid w:val="004569D9"/>
    <w:rsid w:val="00456A16"/>
    <w:rsid w:val="00456A2F"/>
    <w:rsid w:val="00456AB3"/>
    <w:rsid w:val="00456E93"/>
    <w:rsid w:val="00456E9C"/>
    <w:rsid w:val="00457053"/>
    <w:rsid w:val="00457069"/>
    <w:rsid w:val="00457085"/>
    <w:rsid w:val="0045711F"/>
    <w:rsid w:val="00457159"/>
    <w:rsid w:val="004572A6"/>
    <w:rsid w:val="004573CF"/>
    <w:rsid w:val="004573E8"/>
    <w:rsid w:val="0045745F"/>
    <w:rsid w:val="004574B1"/>
    <w:rsid w:val="004574C8"/>
    <w:rsid w:val="004574CF"/>
    <w:rsid w:val="0045752C"/>
    <w:rsid w:val="00457587"/>
    <w:rsid w:val="0045767E"/>
    <w:rsid w:val="004576B8"/>
    <w:rsid w:val="004577E2"/>
    <w:rsid w:val="0045781A"/>
    <w:rsid w:val="004578B8"/>
    <w:rsid w:val="004578E3"/>
    <w:rsid w:val="00457977"/>
    <w:rsid w:val="004579B7"/>
    <w:rsid w:val="004579D1"/>
    <w:rsid w:val="00457A7D"/>
    <w:rsid w:val="00457A9D"/>
    <w:rsid w:val="00457B74"/>
    <w:rsid w:val="00457BF7"/>
    <w:rsid w:val="00457C5D"/>
    <w:rsid w:val="00457DE5"/>
    <w:rsid w:val="00457EA2"/>
    <w:rsid w:val="00457EF8"/>
    <w:rsid w:val="00457FCB"/>
    <w:rsid w:val="00460244"/>
    <w:rsid w:val="00460420"/>
    <w:rsid w:val="00460427"/>
    <w:rsid w:val="00460441"/>
    <w:rsid w:val="004604CE"/>
    <w:rsid w:val="00460516"/>
    <w:rsid w:val="0046055A"/>
    <w:rsid w:val="00460590"/>
    <w:rsid w:val="004605EF"/>
    <w:rsid w:val="00460647"/>
    <w:rsid w:val="004606DD"/>
    <w:rsid w:val="004606DF"/>
    <w:rsid w:val="00460746"/>
    <w:rsid w:val="00460778"/>
    <w:rsid w:val="004608E4"/>
    <w:rsid w:val="00460947"/>
    <w:rsid w:val="00460DE0"/>
    <w:rsid w:val="00460DF0"/>
    <w:rsid w:val="00460DF1"/>
    <w:rsid w:val="00460EB6"/>
    <w:rsid w:val="00460F72"/>
    <w:rsid w:val="00460F85"/>
    <w:rsid w:val="00460FE5"/>
    <w:rsid w:val="00460FF2"/>
    <w:rsid w:val="0046106D"/>
    <w:rsid w:val="004610CF"/>
    <w:rsid w:val="00461192"/>
    <w:rsid w:val="0046129C"/>
    <w:rsid w:val="004612CE"/>
    <w:rsid w:val="00461451"/>
    <w:rsid w:val="00461486"/>
    <w:rsid w:val="00461522"/>
    <w:rsid w:val="00461569"/>
    <w:rsid w:val="004616D7"/>
    <w:rsid w:val="004617E2"/>
    <w:rsid w:val="004618E3"/>
    <w:rsid w:val="00461973"/>
    <w:rsid w:val="00461A85"/>
    <w:rsid w:val="00461C6C"/>
    <w:rsid w:val="00461C74"/>
    <w:rsid w:val="00461C8B"/>
    <w:rsid w:val="00461DEA"/>
    <w:rsid w:val="00461E0F"/>
    <w:rsid w:val="00461F79"/>
    <w:rsid w:val="0046206E"/>
    <w:rsid w:val="00462142"/>
    <w:rsid w:val="00462172"/>
    <w:rsid w:val="0046219B"/>
    <w:rsid w:val="004621C7"/>
    <w:rsid w:val="0046226C"/>
    <w:rsid w:val="004622E6"/>
    <w:rsid w:val="00462330"/>
    <w:rsid w:val="004623FA"/>
    <w:rsid w:val="0046240C"/>
    <w:rsid w:val="00462563"/>
    <w:rsid w:val="004625F5"/>
    <w:rsid w:val="004626C9"/>
    <w:rsid w:val="0046272E"/>
    <w:rsid w:val="00462A34"/>
    <w:rsid w:val="00462A73"/>
    <w:rsid w:val="00462AC6"/>
    <w:rsid w:val="00462B41"/>
    <w:rsid w:val="00462B48"/>
    <w:rsid w:val="00462BE8"/>
    <w:rsid w:val="00462CA5"/>
    <w:rsid w:val="00462D2B"/>
    <w:rsid w:val="00462D85"/>
    <w:rsid w:val="00462DAC"/>
    <w:rsid w:val="00462E0E"/>
    <w:rsid w:val="00462F0F"/>
    <w:rsid w:val="00462F66"/>
    <w:rsid w:val="00463007"/>
    <w:rsid w:val="00463051"/>
    <w:rsid w:val="004630F2"/>
    <w:rsid w:val="00463251"/>
    <w:rsid w:val="00463254"/>
    <w:rsid w:val="004632FF"/>
    <w:rsid w:val="0046334C"/>
    <w:rsid w:val="00463357"/>
    <w:rsid w:val="004634E2"/>
    <w:rsid w:val="00463529"/>
    <w:rsid w:val="00463555"/>
    <w:rsid w:val="00463691"/>
    <w:rsid w:val="00463A43"/>
    <w:rsid w:val="00463AD9"/>
    <w:rsid w:val="00463B27"/>
    <w:rsid w:val="00463D89"/>
    <w:rsid w:val="00463E88"/>
    <w:rsid w:val="00463EE2"/>
    <w:rsid w:val="00463F33"/>
    <w:rsid w:val="0046401F"/>
    <w:rsid w:val="004640E8"/>
    <w:rsid w:val="004641AE"/>
    <w:rsid w:val="00464200"/>
    <w:rsid w:val="0046432D"/>
    <w:rsid w:val="0046439F"/>
    <w:rsid w:val="00464500"/>
    <w:rsid w:val="0046463C"/>
    <w:rsid w:val="00464647"/>
    <w:rsid w:val="00464744"/>
    <w:rsid w:val="00464754"/>
    <w:rsid w:val="0046475E"/>
    <w:rsid w:val="00464914"/>
    <w:rsid w:val="00464B23"/>
    <w:rsid w:val="00464B27"/>
    <w:rsid w:val="00464C04"/>
    <w:rsid w:val="00464C67"/>
    <w:rsid w:val="00464CE6"/>
    <w:rsid w:val="00464D0E"/>
    <w:rsid w:val="00464E6B"/>
    <w:rsid w:val="00464E73"/>
    <w:rsid w:val="00464F8C"/>
    <w:rsid w:val="00464F96"/>
    <w:rsid w:val="00465039"/>
    <w:rsid w:val="00465111"/>
    <w:rsid w:val="00465175"/>
    <w:rsid w:val="004651C4"/>
    <w:rsid w:val="00465283"/>
    <w:rsid w:val="00465348"/>
    <w:rsid w:val="004653DE"/>
    <w:rsid w:val="004653FD"/>
    <w:rsid w:val="00465522"/>
    <w:rsid w:val="00465554"/>
    <w:rsid w:val="00465555"/>
    <w:rsid w:val="00465561"/>
    <w:rsid w:val="004655DF"/>
    <w:rsid w:val="00465617"/>
    <w:rsid w:val="00465658"/>
    <w:rsid w:val="00465660"/>
    <w:rsid w:val="00465724"/>
    <w:rsid w:val="004658F0"/>
    <w:rsid w:val="00465993"/>
    <w:rsid w:val="00465A03"/>
    <w:rsid w:val="00465B48"/>
    <w:rsid w:val="00465C88"/>
    <w:rsid w:val="00465CB3"/>
    <w:rsid w:val="00465D22"/>
    <w:rsid w:val="00465E03"/>
    <w:rsid w:val="00465F96"/>
    <w:rsid w:val="00465FCD"/>
    <w:rsid w:val="00465FE2"/>
    <w:rsid w:val="0046605E"/>
    <w:rsid w:val="004661C3"/>
    <w:rsid w:val="004662CF"/>
    <w:rsid w:val="004663CB"/>
    <w:rsid w:val="00466567"/>
    <w:rsid w:val="0046659E"/>
    <w:rsid w:val="004665C2"/>
    <w:rsid w:val="004665D4"/>
    <w:rsid w:val="0046660E"/>
    <w:rsid w:val="004666B6"/>
    <w:rsid w:val="0046672A"/>
    <w:rsid w:val="00466782"/>
    <w:rsid w:val="00466790"/>
    <w:rsid w:val="004667EB"/>
    <w:rsid w:val="004668CC"/>
    <w:rsid w:val="004668E0"/>
    <w:rsid w:val="00466922"/>
    <w:rsid w:val="00466B23"/>
    <w:rsid w:val="00466BD4"/>
    <w:rsid w:val="00466CCD"/>
    <w:rsid w:val="00466CFD"/>
    <w:rsid w:val="004672E5"/>
    <w:rsid w:val="0046734C"/>
    <w:rsid w:val="004673A9"/>
    <w:rsid w:val="00467416"/>
    <w:rsid w:val="0046746D"/>
    <w:rsid w:val="004674D7"/>
    <w:rsid w:val="0046760D"/>
    <w:rsid w:val="004676DA"/>
    <w:rsid w:val="004676E3"/>
    <w:rsid w:val="0046775F"/>
    <w:rsid w:val="00467995"/>
    <w:rsid w:val="004679E9"/>
    <w:rsid w:val="00467B07"/>
    <w:rsid w:val="00467BD0"/>
    <w:rsid w:val="00467D7C"/>
    <w:rsid w:val="00467DF5"/>
    <w:rsid w:val="00467E8F"/>
    <w:rsid w:val="00467ED6"/>
    <w:rsid w:val="0047007F"/>
    <w:rsid w:val="004700D9"/>
    <w:rsid w:val="00470241"/>
    <w:rsid w:val="0047025B"/>
    <w:rsid w:val="00470374"/>
    <w:rsid w:val="004703C0"/>
    <w:rsid w:val="00470413"/>
    <w:rsid w:val="00470450"/>
    <w:rsid w:val="0047046C"/>
    <w:rsid w:val="00470486"/>
    <w:rsid w:val="004704C7"/>
    <w:rsid w:val="004705B3"/>
    <w:rsid w:val="004705EA"/>
    <w:rsid w:val="0047074D"/>
    <w:rsid w:val="004707BB"/>
    <w:rsid w:val="00470834"/>
    <w:rsid w:val="00470928"/>
    <w:rsid w:val="004709C4"/>
    <w:rsid w:val="004709C7"/>
    <w:rsid w:val="004709FD"/>
    <w:rsid w:val="00470C15"/>
    <w:rsid w:val="00470C7F"/>
    <w:rsid w:val="00470CB0"/>
    <w:rsid w:val="00470CE1"/>
    <w:rsid w:val="00470CE2"/>
    <w:rsid w:val="00470CF7"/>
    <w:rsid w:val="00470D32"/>
    <w:rsid w:val="00470D6E"/>
    <w:rsid w:val="00470D7D"/>
    <w:rsid w:val="00470EEF"/>
    <w:rsid w:val="00470F97"/>
    <w:rsid w:val="00470F9F"/>
    <w:rsid w:val="0047100C"/>
    <w:rsid w:val="0047107C"/>
    <w:rsid w:val="00471131"/>
    <w:rsid w:val="004712DE"/>
    <w:rsid w:val="0047136B"/>
    <w:rsid w:val="00471373"/>
    <w:rsid w:val="004714C3"/>
    <w:rsid w:val="00471541"/>
    <w:rsid w:val="0047154A"/>
    <w:rsid w:val="0047164E"/>
    <w:rsid w:val="00471697"/>
    <w:rsid w:val="0047178A"/>
    <w:rsid w:val="00471800"/>
    <w:rsid w:val="004718D9"/>
    <w:rsid w:val="004719A5"/>
    <w:rsid w:val="00471A3B"/>
    <w:rsid w:val="00471A85"/>
    <w:rsid w:val="00471B9A"/>
    <w:rsid w:val="00471E61"/>
    <w:rsid w:val="00471EE5"/>
    <w:rsid w:val="00471FFA"/>
    <w:rsid w:val="00472002"/>
    <w:rsid w:val="004720C0"/>
    <w:rsid w:val="00472188"/>
    <w:rsid w:val="0047232F"/>
    <w:rsid w:val="004723C4"/>
    <w:rsid w:val="00472531"/>
    <w:rsid w:val="004725FD"/>
    <w:rsid w:val="00472610"/>
    <w:rsid w:val="0047267C"/>
    <w:rsid w:val="0047276F"/>
    <w:rsid w:val="00472781"/>
    <w:rsid w:val="004727B0"/>
    <w:rsid w:val="00472885"/>
    <w:rsid w:val="0047288A"/>
    <w:rsid w:val="0047295E"/>
    <w:rsid w:val="00472C98"/>
    <w:rsid w:val="00472D72"/>
    <w:rsid w:val="00472DEE"/>
    <w:rsid w:val="00472E36"/>
    <w:rsid w:val="00472FA4"/>
    <w:rsid w:val="00473069"/>
    <w:rsid w:val="004731BF"/>
    <w:rsid w:val="00473359"/>
    <w:rsid w:val="00473471"/>
    <w:rsid w:val="00473788"/>
    <w:rsid w:val="004737DC"/>
    <w:rsid w:val="00473904"/>
    <w:rsid w:val="00473938"/>
    <w:rsid w:val="0047394B"/>
    <w:rsid w:val="004739C3"/>
    <w:rsid w:val="004739DE"/>
    <w:rsid w:val="004739EF"/>
    <w:rsid w:val="004739FF"/>
    <w:rsid w:val="00473A8E"/>
    <w:rsid w:val="00473AD5"/>
    <w:rsid w:val="00473B07"/>
    <w:rsid w:val="00473B83"/>
    <w:rsid w:val="00473C25"/>
    <w:rsid w:val="00473C86"/>
    <w:rsid w:val="00473DA5"/>
    <w:rsid w:val="00473DD8"/>
    <w:rsid w:val="00473EBB"/>
    <w:rsid w:val="00473F20"/>
    <w:rsid w:val="00473F46"/>
    <w:rsid w:val="00473F87"/>
    <w:rsid w:val="0047407F"/>
    <w:rsid w:val="00474341"/>
    <w:rsid w:val="004743CB"/>
    <w:rsid w:val="004745D5"/>
    <w:rsid w:val="004745F9"/>
    <w:rsid w:val="00474613"/>
    <w:rsid w:val="00474688"/>
    <w:rsid w:val="004746A0"/>
    <w:rsid w:val="004746F7"/>
    <w:rsid w:val="00474875"/>
    <w:rsid w:val="00474881"/>
    <w:rsid w:val="00474884"/>
    <w:rsid w:val="0047497E"/>
    <w:rsid w:val="00474A0B"/>
    <w:rsid w:val="00474A85"/>
    <w:rsid w:val="00474AFC"/>
    <w:rsid w:val="00474D39"/>
    <w:rsid w:val="00474D4E"/>
    <w:rsid w:val="00474D9B"/>
    <w:rsid w:val="00474DB9"/>
    <w:rsid w:val="00474E42"/>
    <w:rsid w:val="00474E57"/>
    <w:rsid w:val="00474F25"/>
    <w:rsid w:val="00474F7C"/>
    <w:rsid w:val="004750C6"/>
    <w:rsid w:val="004751DF"/>
    <w:rsid w:val="00475373"/>
    <w:rsid w:val="0047540F"/>
    <w:rsid w:val="00475692"/>
    <w:rsid w:val="00475722"/>
    <w:rsid w:val="0047578D"/>
    <w:rsid w:val="004757C8"/>
    <w:rsid w:val="00475850"/>
    <w:rsid w:val="004759BF"/>
    <w:rsid w:val="00475A50"/>
    <w:rsid w:val="00475AAF"/>
    <w:rsid w:val="00475AFC"/>
    <w:rsid w:val="00475B9D"/>
    <w:rsid w:val="00475B9E"/>
    <w:rsid w:val="00475D44"/>
    <w:rsid w:val="00475FBB"/>
    <w:rsid w:val="00476054"/>
    <w:rsid w:val="0047608C"/>
    <w:rsid w:val="00476116"/>
    <w:rsid w:val="00476171"/>
    <w:rsid w:val="00476220"/>
    <w:rsid w:val="004762A4"/>
    <w:rsid w:val="0047639A"/>
    <w:rsid w:val="004763E1"/>
    <w:rsid w:val="004764E7"/>
    <w:rsid w:val="00476542"/>
    <w:rsid w:val="0047662E"/>
    <w:rsid w:val="0047673A"/>
    <w:rsid w:val="004767BB"/>
    <w:rsid w:val="00476807"/>
    <w:rsid w:val="0047682C"/>
    <w:rsid w:val="004768B0"/>
    <w:rsid w:val="00476965"/>
    <w:rsid w:val="00476994"/>
    <w:rsid w:val="004769BA"/>
    <w:rsid w:val="00476A1F"/>
    <w:rsid w:val="00476AE2"/>
    <w:rsid w:val="00476B33"/>
    <w:rsid w:val="00476B66"/>
    <w:rsid w:val="00476D5E"/>
    <w:rsid w:val="00476EA1"/>
    <w:rsid w:val="00476EDD"/>
    <w:rsid w:val="00476F46"/>
    <w:rsid w:val="00476F68"/>
    <w:rsid w:val="00477056"/>
    <w:rsid w:val="00477180"/>
    <w:rsid w:val="0047718E"/>
    <w:rsid w:val="0047724D"/>
    <w:rsid w:val="0047725D"/>
    <w:rsid w:val="0047727D"/>
    <w:rsid w:val="004773B5"/>
    <w:rsid w:val="00477483"/>
    <w:rsid w:val="004774FE"/>
    <w:rsid w:val="00477634"/>
    <w:rsid w:val="00477667"/>
    <w:rsid w:val="00477733"/>
    <w:rsid w:val="004778CF"/>
    <w:rsid w:val="00477A03"/>
    <w:rsid w:val="00477AD9"/>
    <w:rsid w:val="00477B74"/>
    <w:rsid w:val="00477D8A"/>
    <w:rsid w:val="00477DA1"/>
    <w:rsid w:val="00477F46"/>
    <w:rsid w:val="00477FF9"/>
    <w:rsid w:val="00480053"/>
    <w:rsid w:val="0048014B"/>
    <w:rsid w:val="00480170"/>
    <w:rsid w:val="00480265"/>
    <w:rsid w:val="004802BC"/>
    <w:rsid w:val="004803B9"/>
    <w:rsid w:val="0048042A"/>
    <w:rsid w:val="004804FD"/>
    <w:rsid w:val="004805B2"/>
    <w:rsid w:val="00480707"/>
    <w:rsid w:val="004807BD"/>
    <w:rsid w:val="004807F2"/>
    <w:rsid w:val="0048084B"/>
    <w:rsid w:val="00480870"/>
    <w:rsid w:val="00480920"/>
    <w:rsid w:val="0048095E"/>
    <w:rsid w:val="00480A07"/>
    <w:rsid w:val="00480B76"/>
    <w:rsid w:val="00480BB0"/>
    <w:rsid w:val="00480CBB"/>
    <w:rsid w:val="00480D34"/>
    <w:rsid w:val="00481404"/>
    <w:rsid w:val="004814F8"/>
    <w:rsid w:val="004817F0"/>
    <w:rsid w:val="00481813"/>
    <w:rsid w:val="004818F5"/>
    <w:rsid w:val="00481912"/>
    <w:rsid w:val="004819F1"/>
    <w:rsid w:val="00481A7A"/>
    <w:rsid w:val="00481AB1"/>
    <w:rsid w:val="00481AB7"/>
    <w:rsid w:val="00481B7E"/>
    <w:rsid w:val="00481E43"/>
    <w:rsid w:val="00481FCF"/>
    <w:rsid w:val="0048204C"/>
    <w:rsid w:val="00482154"/>
    <w:rsid w:val="004821A6"/>
    <w:rsid w:val="00482637"/>
    <w:rsid w:val="004826F9"/>
    <w:rsid w:val="0048279B"/>
    <w:rsid w:val="004827BB"/>
    <w:rsid w:val="004828F9"/>
    <w:rsid w:val="004829EF"/>
    <w:rsid w:val="00482AA2"/>
    <w:rsid w:val="00482AAF"/>
    <w:rsid w:val="00482E12"/>
    <w:rsid w:val="00482EE2"/>
    <w:rsid w:val="00482EEA"/>
    <w:rsid w:val="00482F23"/>
    <w:rsid w:val="00482F3E"/>
    <w:rsid w:val="0048305E"/>
    <w:rsid w:val="004830E3"/>
    <w:rsid w:val="00483201"/>
    <w:rsid w:val="00483217"/>
    <w:rsid w:val="00483226"/>
    <w:rsid w:val="00483278"/>
    <w:rsid w:val="00483299"/>
    <w:rsid w:val="004834A0"/>
    <w:rsid w:val="00483590"/>
    <w:rsid w:val="004835D8"/>
    <w:rsid w:val="0048360C"/>
    <w:rsid w:val="0048360E"/>
    <w:rsid w:val="004836B5"/>
    <w:rsid w:val="004836F6"/>
    <w:rsid w:val="004838BA"/>
    <w:rsid w:val="00483972"/>
    <w:rsid w:val="00483979"/>
    <w:rsid w:val="004839BD"/>
    <w:rsid w:val="004839E4"/>
    <w:rsid w:val="004839F5"/>
    <w:rsid w:val="00483B5C"/>
    <w:rsid w:val="00483B9F"/>
    <w:rsid w:val="00483BA6"/>
    <w:rsid w:val="00483BED"/>
    <w:rsid w:val="00483C68"/>
    <w:rsid w:val="00483D23"/>
    <w:rsid w:val="00483D88"/>
    <w:rsid w:val="00483E49"/>
    <w:rsid w:val="00483E67"/>
    <w:rsid w:val="00483F1F"/>
    <w:rsid w:val="00483FB2"/>
    <w:rsid w:val="00483FD5"/>
    <w:rsid w:val="00484042"/>
    <w:rsid w:val="004840C9"/>
    <w:rsid w:val="0048432D"/>
    <w:rsid w:val="00484365"/>
    <w:rsid w:val="004843DE"/>
    <w:rsid w:val="00484471"/>
    <w:rsid w:val="00484690"/>
    <w:rsid w:val="00484743"/>
    <w:rsid w:val="00484773"/>
    <w:rsid w:val="004848C2"/>
    <w:rsid w:val="00484934"/>
    <w:rsid w:val="0048493E"/>
    <w:rsid w:val="00484A77"/>
    <w:rsid w:val="00484A96"/>
    <w:rsid w:val="00484AC1"/>
    <w:rsid w:val="00484B53"/>
    <w:rsid w:val="00484B81"/>
    <w:rsid w:val="00484BD6"/>
    <w:rsid w:val="00484C2F"/>
    <w:rsid w:val="00484CFD"/>
    <w:rsid w:val="00484E2A"/>
    <w:rsid w:val="00484F54"/>
    <w:rsid w:val="00484F97"/>
    <w:rsid w:val="00485021"/>
    <w:rsid w:val="0048517B"/>
    <w:rsid w:val="00485240"/>
    <w:rsid w:val="00485278"/>
    <w:rsid w:val="00485469"/>
    <w:rsid w:val="0048547E"/>
    <w:rsid w:val="00485489"/>
    <w:rsid w:val="0048549B"/>
    <w:rsid w:val="004854F3"/>
    <w:rsid w:val="00485500"/>
    <w:rsid w:val="00485505"/>
    <w:rsid w:val="00485544"/>
    <w:rsid w:val="00485621"/>
    <w:rsid w:val="0048570F"/>
    <w:rsid w:val="0048577A"/>
    <w:rsid w:val="004859FC"/>
    <w:rsid w:val="00485ACE"/>
    <w:rsid w:val="00485B41"/>
    <w:rsid w:val="00485B72"/>
    <w:rsid w:val="00485BC7"/>
    <w:rsid w:val="00485D4B"/>
    <w:rsid w:val="00485D5C"/>
    <w:rsid w:val="00485D85"/>
    <w:rsid w:val="00485E7D"/>
    <w:rsid w:val="004860A2"/>
    <w:rsid w:val="0048617B"/>
    <w:rsid w:val="004861F1"/>
    <w:rsid w:val="0048621D"/>
    <w:rsid w:val="00486392"/>
    <w:rsid w:val="00486449"/>
    <w:rsid w:val="0048647A"/>
    <w:rsid w:val="0048673C"/>
    <w:rsid w:val="00486993"/>
    <w:rsid w:val="0048699D"/>
    <w:rsid w:val="004869E8"/>
    <w:rsid w:val="00486A92"/>
    <w:rsid w:val="00486C69"/>
    <w:rsid w:val="00486DD7"/>
    <w:rsid w:val="00486EC7"/>
    <w:rsid w:val="00486ED6"/>
    <w:rsid w:val="00486F07"/>
    <w:rsid w:val="00486F93"/>
    <w:rsid w:val="00487042"/>
    <w:rsid w:val="0048711B"/>
    <w:rsid w:val="004871BA"/>
    <w:rsid w:val="00487278"/>
    <w:rsid w:val="00487311"/>
    <w:rsid w:val="00487485"/>
    <w:rsid w:val="0048760E"/>
    <w:rsid w:val="004876FF"/>
    <w:rsid w:val="0048772C"/>
    <w:rsid w:val="00487759"/>
    <w:rsid w:val="004879EB"/>
    <w:rsid w:val="004879FC"/>
    <w:rsid w:val="00487A73"/>
    <w:rsid w:val="00487C2A"/>
    <w:rsid w:val="00487CE0"/>
    <w:rsid w:val="00487D0C"/>
    <w:rsid w:val="00487DD7"/>
    <w:rsid w:val="00487E45"/>
    <w:rsid w:val="00487EB8"/>
    <w:rsid w:val="00487EC5"/>
    <w:rsid w:val="00487ED6"/>
    <w:rsid w:val="00487F19"/>
    <w:rsid w:val="00490031"/>
    <w:rsid w:val="004900EF"/>
    <w:rsid w:val="004901E6"/>
    <w:rsid w:val="004902C7"/>
    <w:rsid w:val="0049045D"/>
    <w:rsid w:val="0049045E"/>
    <w:rsid w:val="004905D6"/>
    <w:rsid w:val="00490709"/>
    <w:rsid w:val="004907AA"/>
    <w:rsid w:val="00490887"/>
    <w:rsid w:val="004908AB"/>
    <w:rsid w:val="004908CA"/>
    <w:rsid w:val="004908F3"/>
    <w:rsid w:val="0049094A"/>
    <w:rsid w:val="004909AA"/>
    <w:rsid w:val="00490A49"/>
    <w:rsid w:val="00490AC6"/>
    <w:rsid w:val="00490C97"/>
    <w:rsid w:val="00490DEA"/>
    <w:rsid w:val="00490F25"/>
    <w:rsid w:val="00490FDA"/>
    <w:rsid w:val="00491157"/>
    <w:rsid w:val="004912D2"/>
    <w:rsid w:val="0049132D"/>
    <w:rsid w:val="00491562"/>
    <w:rsid w:val="0049157A"/>
    <w:rsid w:val="004915BA"/>
    <w:rsid w:val="004915F4"/>
    <w:rsid w:val="004915FE"/>
    <w:rsid w:val="00491647"/>
    <w:rsid w:val="00491750"/>
    <w:rsid w:val="00491773"/>
    <w:rsid w:val="00491793"/>
    <w:rsid w:val="00491800"/>
    <w:rsid w:val="00491862"/>
    <w:rsid w:val="00491945"/>
    <w:rsid w:val="00491A4A"/>
    <w:rsid w:val="00491BAB"/>
    <w:rsid w:val="00491CC5"/>
    <w:rsid w:val="00491D42"/>
    <w:rsid w:val="00491DE0"/>
    <w:rsid w:val="00491ECE"/>
    <w:rsid w:val="00492049"/>
    <w:rsid w:val="004921DA"/>
    <w:rsid w:val="00492290"/>
    <w:rsid w:val="00492380"/>
    <w:rsid w:val="0049242F"/>
    <w:rsid w:val="00492440"/>
    <w:rsid w:val="0049244F"/>
    <w:rsid w:val="00492497"/>
    <w:rsid w:val="004924FE"/>
    <w:rsid w:val="00492740"/>
    <w:rsid w:val="0049274E"/>
    <w:rsid w:val="004927B2"/>
    <w:rsid w:val="0049283C"/>
    <w:rsid w:val="00492872"/>
    <w:rsid w:val="004928C9"/>
    <w:rsid w:val="00492BF1"/>
    <w:rsid w:val="00492D04"/>
    <w:rsid w:val="00492D06"/>
    <w:rsid w:val="00492D2F"/>
    <w:rsid w:val="00492E05"/>
    <w:rsid w:val="00492F46"/>
    <w:rsid w:val="00492F77"/>
    <w:rsid w:val="00492F94"/>
    <w:rsid w:val="00493299"/>
    <w:rsid w:val="004932AA"/>
    <w:rsid w:val="004932DC"/>
    <w:rsid w:val="0049383B"/>
    <w:rsid w:val="004938E7"/>
    <w:rsid w:val="00493934"/>
    <w:rsid w:val="00493AC4"/>
    <w:rsid w:val="00493AE8"/>
    <w:rsid w:val="00493B7F"/>
    <w:rsid w:val="00493CF4"/>
    <w:rsid w:val="00493D70"/>
    <w:rsid w:val="00493D92"/>
    <w:rsid w:val="00493DA3"/>
    <w:rsid w:val="00493E91"/>
    <w:rsid w:val="004940AE"/>
    <w:rsid w:val="00494125"/>
    <w:rsid w:val="00494184"/>
    <w:rsid w:val="0049419A"/>
    <w:rsid w:val="004941A3"/>
    <w:rsid w:val="004941CF"/>
    <w:rsid w:val="00494417"/>
    <w:rsid w:val="0049441F"/>
    <w:rsid w:val="00494497"/>
    <w:rsid w:val="00494527"/>
    <w:rsid w:val="004945FB"/>
    <w:rsid w:val="00494756"/>
    <w:rsid w:val="0049480F"/>
    <w:rsid w:val="0049481E"/>
    <w:rsid w:val="00494862"/>
    <w:rsid w:val="004948A1"/>
    <w:rsid w:val="0049491F"/>
    <w:rsid w:val="00494923"/>
    <w:rsid w:val="00494A0F"/>
    <w:rsid w:val="00494AB6"/>
    <w:rsid w:val="00494B22"/>
    <w:rsid w:val="00494B5F"/>
    <w:rsid w:val="00494C63"/>
    <w:rsid w:val="00494E8F"/>
    <w:rsid w:val="00494F45"/>
    <w:rsid w:val="004951AD"/>
    <w:rsid w:val="004951C9"/>
    <w:rsid w:val="004951DA"/>
    <w:rsid w:val="00495354"/>
    <w:rsid w:val="004953CB"/>
    <w:rsid w:val="00495415"/>
    <w:rsid w:val="00495421"/>
    <w:rsid w:val="004954EB"/>
    <w:rsid w:val="004955B1"/>
    <w:rsid w:val="00495610"/>
    <w:rsid w:val="004956DB"/>
    <w:rsid w:val="00495716"/>
    <w:rsid w:val="00495785"/>
    <w:rsid w:val="004957BE"/>
    <w:rsid w:val="00495858"/>
    <w:rsid w:val="0049589E"/>
    <w:rsid w:val="00495952"/>
    <w:rsid w:val="004959C3"/>
    <w:rsid w:val="00495A52"/>
    <w:rsid w:val="00495C9C"/>
    <w:rsid w:val="00495DCA"/>
    <w:rsid w:val="00495EC4"/>
    <w:rsid w:val="00495EDA"/>
    <w:rsid w:val="00495F90"/>
    <w:rsid w:val="0049602F"/>
    <w:rsid w:val="00496092"/>
    <w:rsid w:val="0049628C"/>
    <w:rsid w:val="0049637C"/>
    <w:rsid w:val="00496510"/>
    <w:rsid w:val="0049651F"/>
    <w:rsid w:val="004965D8"/>
    <w:rsid w:val="00496646"/>
    <w:rsid w:val="00496649"/>
    <w:rsid w:val="004966F5"/>
    <w:rsid w:val="0049675C"/>
    <w:rsid w:val="004968D5"/>
    <w:rsid w:val="00496BC8"/>
    <w:rsid w:val="00496C43"/>
    <w:rsid w:val="00496D85"/>
    <w:rsid w:val="00496DBE"/>
    <w:rsid w:val="00496EC3"/>
    <w:rsid w:val="00497018"/>
    <w:rsid w:val="00497109"/>
    <w:rsid w:val="0049713D"/>
    <w:rsid w:val="004973AD"/>
    <w:rsid w:val="004973EC"/>
    <w:rsid w:val="004974D0"/>
    <w:rsid w:val="004974F2"/>
    <w:rsid w:val="004974F6"/>
    <w:rsid w:val="0049751C"/>
    <w:rsid w:val="004975C6"/>
    <w:rsid w:val="0049761B"/>
    <w:rsid w:val="0049761D"/>
    <w:rsid w:val="00497715"/>
    <w:rsid w:val="00497724"/>
    <w:rsid w:val="00497790"/>
    <w:rsid w:val="00497814"/>
    <w:rsid w:val="00497A1C"/>
    <w:rsid w:val="00497A79"/>
    <w:rsid w:val="00497B23"/>
    <w:rsid w:val="00497D15"/>
    <w:rsid w:val="00497E40"/>
    <w:rsid w:val="00497E96"/>
    <w:rsid w:val="00497F01"/>
    <w:rsid w:val="00497F32"/>
    <w:rsid w:val="00497FE9"/>
    <w:rsid w:val="004A00D4"/>
    <w:rsid w:val="004A01BB"/>
    <w:rsid w:val="004A02F8"/>
    <w:rsid w:val="004A03B9"/>
    <w:rsid w:val="004A03E8"/>
    <w:rsid w:val="004A052D"/>
    <w:rsid w:val="004A0601"/>
    <w:rsid w:val="004A065A"/>
    <w:rsid w:val="004A06DD"/>
    <w:rsid w:val="004A0720"/>
    <w:rsid w:val="004A07AC"/>
    <w:rsid w:val="004A07CE"/>
    <w:rsid w:val="004A09C9"/>
    <w:rsid w:val="004A09EF"/>
    <w:rsid w:val="004A0A36"/>
    <w:rsid w:val="004A0A3A"/>
    <w:rsid w:val="004A0B1E"/>
    <w:rsid w:val="004A0B58"/>
    <w:rsid w:val="004A0BB0"/>
    <w:rsid w:val="004A0CA5"/>
    <w:rsid w:val="004A0D46"/>
    <w:rsid w:val="004A0D72"/>
    <w:rsid w:val="004A0EB2"/>
    <w:rsid w:val="004A101F"/>
    <w:rsid w:val="004A10E9"/>
    <w:rsid w:val="004A11CF"/>
    <w:rsid w:val="004A124A"/>
    <w:rsid w:val="004A12A9"/>
    <w:rsid w:val="004A13F2"/>
    <w:rsid w:val="004A14B8"/>
    <w:rsid w:val="004A14F3"/>
    <w:rsid w:val="004A1625"/>
    <w:rsid w:val="004A168A"/>
    <w:rsid w:val="004A18BE"/>
    <w:rsid w:val="004A1A79"/>
    <w:rsid w:val="004A1A97"/>
    <w:rsid w:val="004A1C28"/>
    <w:rsid w:val="004A1C70"/>
    <w:rsid w:val="004A1CBB"/>
    <w:rsid w:val="004A1CE2"/>
    <w:rsid w:val="004A1E3E"/>
    <w:rsid w:val="004A1E4A"/>
    <w:rsid w:val="004A1E50"/>
    <w:rsid w:val="004A1E7E"/>
    <w:rsid w:val="004A1E9F"/>
    <w:rsid w:val="004A2037"/>
    <w:rsid w:val="004A2239"/>
    <w:rsid w:val="004A2270"/>
    <w:rsid w:val="004A22AA"/>
    <w:rsid w:val="004A2371"/>
    <w:rsid w:val="004A2492"/>
    <w:rsid w:val="004A24FB"/>
    <w:rsid w:val="004A262A"/>
    <w:rsid w:val="004A26CF"/>
    <w:rsid w:val="004A2715"/>
    <w:rsid w:val="004A2718"/>
    <w:rsid w:val="004A2746"/>
    <w:rsid w:val="004A27D1"/>
    <w:rsid w:val="004A2856"/>
    <w:rsid w:val="004A2866"/>
    <w:rsid w:val="004A2978"/>
    <w:rsid w:val="004A2B3A"/>
    <w:rsid w:val="004A2C2D"/>
    <w:rsid w:val="004A2CF4"/>
    <w:rsid w:val="004A2CF7"/>
    <w:rsid w:val="004A2D68"/>
    <w:rsid w:val="004A2DA7"/>
    <w:rsid w:val="004A2E06"/>
    <w:rsid w:val="004A2E59"/>
    <w:rsid w:val="004A3016"/>
    <w:rsid w:val="004A30A3"/>
    <w:rsid w:val="004A3110"/>
    <w:rsid w:val="004A316B"/>
    <w:rsid w:val="004A32A8"/>
    <w:rsid w:val="004A3333"/>
    <w:rsid w:val="004A345F"/>
    <w:rsid w:val="004A35BA"/>
    <w:rsid w:val="004A35F3"/>
    <w:rsid w:val="004A3646"/>
    <w:rsid w:val="004A3668"/>
    <w:rsid w:val="004A3715"/>
    <w:rsid w:val="004A3788"/>
    <w:rsid w:val="004A38D5"/>
    <w:rsid w:val="004A3A0E"/>
    <w:rsid w:val="004A3A19"/>
    <w:rsid w:val="004A3BCF"/>
    <w:rsid w:val="004A3DCF"/>
    <w:rsid w:val="004A4018"/>
    <w:rsid w:val="004A40DD"/>
    <w:rsid w:val="004A4235"/>
    <w:rsid w:val="004A423D"/>
    <w:rsid w:val="004A428B"/>
    <w:rsid w:val="004A42C5"/>
    <w:rsid w:val="004A4304"/>
    <w:rsid w:val="004A4354"/>
    <w:rsid w:val="004A4391"/>
    <w:rsid w:val="004A44CB"/>
    <w:rsid w:val="004A4504"/>
    <w:rsid w:val="004A461E"/>
    <w:rsid w:val="004A472D"/>
    <w:rsid w:val="004A4807"/>
    <w:rsid w:val="004A484E"/>
    <w:rsid w:val="004A4882"/>
    <w:rsid w:val="004A489B"/>
    <w:rsid w:val="004A4AA4"/>
    <w:rsid w:val="004A4C4C"/>
    <w:rsid w:val="004A4DA7"/>
    <w:rsid w:val="004A4E2B"/>
    <w:rsid w:val="004A4E36"/>
    <w:rsid w:val="004A4E81"/>
    <w:rsid w:val="004A4FDA"/>
    <w:rsid w:val="004A5143"/>
    <w:rsid w:val="004A51A9"/>
    <w:rsid w:val="004A528B"/>
    <w:rsid w:val="004A54DE"/>
    <w:rsid w:val="004A54F4"/>
    <w:rsid w:val="004A558F"/>
    <w:rsid w:val="004A559F"/>
    <w:rsid w:val="004A568C"/>
    <w:rsid w:val="004A5698"/>
    <w:rsid w:val="004A56AC"/>
    <w:rsid w:val="004A56C4"/>
    <w:rsid w:val="004A5736"/>
    <w:rsid w:val="004A57A7"/>
    <w:rsid w:val="004A5840"/>
    <w:rsid w:val="004A5903"/>
    <w:rsid w:val="004A5991"/>
    <w:rsid w:val="004A599E"/>
    <w:rsid w:val="004A5A54"/>
    <w:rsid w:val="004A5A80"/>
    <w:rsid w:val="004A5B55"/>
    <w:rsid w:val="004A5CA3"/>
    <w:rsid w:val="004A5D24"/>
    <w:rsid w:val="004A5E94"/>
    <w:rsid w:val="004A5F5D"/>
    <w:rsid w:val="004A5F82"/>
    <w:rsid w:val="004A5F8B"/>
    <w:rsid w:val="004A5FB8"/>
    <w:rsid w:val="004A609F"/>
    <w:rsid w:val="004A61F5"/>
    <w:rsid w:val="004A625E"/>
    <w:rsid w:val="004A6262"/>
    <w:rsid w:val="004A641F"/>
    <w:rsid w:val="004A6493"/>
    <w:rsid w:val="004A6561"/>
    <w:rsid w:val="004A6608"/>
    <w:rsid w:val="004A667E"/>
    <w:rsid w:val="004A6789"/>
    <w:rsid w:val="004A6838"/>
    <w:rsid w:val="004A6853"/>
    <w:rsid w:val="004A68B8"/>
    <w:rsid w:val="004A6A51"/>
    <w:rsid w:val="004A6A7B"/>
    <w:rsid w:val="004A6CD4"/>
    <w:rsid w:val="004A6D41"/>
    <w:rsid w:val="004A6D95"/>
    <w:rsid w:val="004A6DC4"/>
    <w:rsid w:val="004A703F"/>
    <w:rsid w:val="004A7242"/>
    <w:rsid w:val="004A72AD"/>
    <w:rsid w:val="004A736F"/>
    <w:rsid w:val="004A739F"/>
    <w:rsid w:val="004A74E1"/>
    <w:rsid w:val="004A756D"/>
    <w:rsid w:val="004A77EC"/>
    <w:rsid w:val="004A7A54"/>
    <w:rsid w:val="004A7C47"/>
    <w:rsid w:val="004A7CC9"/>
    <w:rsid w:val="004A7D4A"/>
    <w:rsid w:val="004A7D8F"/>
    <w:rsid w:val="004A7E49"/>
    <w:rsid w:val="004A7F6A"/>
    <w:rsid w:val="004B00EA"/>
    <w:rsid w:val="004B0172"/>
    <w:rsid w:val="004B01BF"/>
    <w:rsid w:val="004B02BF"/>
    <w:rsid w:val="004B0315"/>
    <w:rsid w:val="004B04F1"/>
    <w:rsid w:val="004B054F"/>
    <w:rsid w:val="004B0597"/>
    <w:rsid w:val="004B062E"/>
    <w:rsid w:val="004B0710"/>
    <w:rsid w:val="004B0724"/>
    <w:rsid w:val="004B079D"/>
    <w:rsid w:val="004B07D7"/>
    <w:rsid w:val="004B08CD"/>
    <w:rsid w:val="004B09B8"/>
    <w:rsid w:val="004B0A6E"/>
    <w:rsid w:val="004B0B47"/>
    <w:rsid w:val="004B0BB3"/>
    <w:rsid w:val="004B0C38"/>
    <w:rsid w:val="004B0CD8"/>
    <w:rsid w:val="004B0D39"/>
    <w:rsid w:val="004B0F76"/>
    <w:rsid w:val="004B1087"/>
    <w:rsid w:val="004B117D"/>
    <w:rsid w:val="004B1329"/>
    <w:rsid w:val="004B139E"/>
    <w:rsid w:val="004B1441"/>
    <w:rsid w:val="004B144B"/>
    <w:rsid w:val="004B15D4"/>
    <w:rsid w:val="004B171E"/>
    <w:rsid w:val="004B18AC"/>
    <w:rsid w:val="004B1910"/>
    <w:rsid w:val="004B1A56"/>
    <w:rsid w:val="004B1A91"/>
    <w:rsid w:val="004B1B15"/>
    <w:rsid w:val="004B1D77"/>
    <w:rsid w:val="004B1DCC"/>
    <w:rsid w:val="004B1E37"/>
    <w:rsid w:val="004B1E9C"/>
    <w:rsid w:val="004B1FEF"/>
    <w:rsid w:val="004B1FF3"/>
    <w:rsid w:val="004B20C5"/>
    <w:rsid w:val="004B20E3"/>
    <w:rsid w:val="004B240B"/>
    <w:rsid w:val="004B24AA"/>
    <w:rsid w:val="004B24D5"/>
    <w:rsid w:val="004B24F5"/>
    <w:rsid w:val="004B251D"/>
    <w:rsid w:val="004B2556"/>
    <w:rsid w:val="004B25E6"/>
    <w:rsid w:val="004B2626"/>
    <w:rsid w:val="004B262F"/>
    <w:rsid w:val="004B2682"/>
    <w:rsid w:val="004B27CD"/>
    <w:rsid w:val="004B281E"/>
    <w:rsid w:val="004B28A9"/>
    <w:rsid w:val="004B292F"/>
    <w:rsid w:val="004B2931"/>
    <w:rsid w:val="004B2B37"/>
    <w:rsid w:val="004B2B55"/>
    <w:rsid w:val="004B2CAB"/>
    <w:rsid w:val="004B2E3A"/>
    <w:rsid w:val="004B314B"/>
    <w:rsid w:val="004B31D0"/>
    <w:rsid w:val="004B31F1"/>
    <w:rsid w:val="004B3246"/>
    <w:rsid w:val="004B330D"/>
    <w:rsid w:val="004B3446"/>
    <w:rsid w:val="004B344F"/>
    <w:rsid w:val="004B347B"/>
    <w:rsid w:val="004B34B2"/>
    <w:rsid w:val="004B357F"/>
    <w:rsid w:val="004B35CE"/>
    <w:rsid w:val="004B35DF"/>
    <w:rsid w:val="004B361A"/>
    <w:rsid w:val="004B36A9"/>
    <w:rsid w:val="004B3856"/>
    <w:rsid w:val="004B38A6"/>
    <w:rsid w:val="004B3926"/>
    <w:rsid w:val="004B3932"/>
    <w:rsid w:val="004B3970"/>
    <w:rsid w:val="004B397B"/>
    <w:rsid w:val="004B3AC8"/>
    <w:rsid w:val="004B3C48"/>
    <w:rsid w:val="004B3C53"/>
    <w:rsid w:val="004B3CCB"/>
    <w:rsid w:val="004B3CD8"/>
    <w:rsid w:val="004B3DBF"/>
    <w:rsid w:val="004B3E91"/>
    <w:rsid w:val="004B3F06"/>
    <w:rsid w:val="004B3FAD"/>
    <w:rsid w:val="004B4042"/>
    <w:rsid w:val="004B4125"/>
    <w:rsid w:val="004B4165"/>
    <w:rsid w:val="004B4181"/>
    <w:rsid w:val="004B41DA"/>
    <w:rsid w:val="004B4223"/>
    <w:rsid w:val="004B4263"/>
    <w:rsid w:val="004B4270"/>
    <w:rsid w:val="004B43B2"/>
    <w:rsid w:val="004B43ED"/>
    <w:rsid w:val="004B4410"/>
    <w:rsid w:val="004B445F"/>
    <w:rsid w:val="004B44D8"/>
    <w:rsid w:val="004B451C"/>
    <w:rsid w:val="004B45B9"/>
    <w:rsid w:val="004B466A"/>
    <w:rsid w:val="004B46E2"/>
    <w:rsid w:val="004B47AC"/>
    <w:rsid w:val="004B4801"/>
    <w:rsid w:val="004B48EB"/>
    <w:rsid w:val="004B4ACA"/>
    <w:rsid w:val="004B4AF4"/>
    <w:rsid w:val="004B4B63"/>
    <w:rsid w:val="004B4B98"/>
    <w:rsid w:val="004B4C53"/>
    <w:rsid w:val="004B4CB0"/>
    <w:rsid w:val="004B4D4F"/>
    <w:rsid w:val="004B4E3B"/>
    <w:rsid w:val="004B4E6D"/>
    <w:rsid w:val="004B5065"/>
    <w:rsid w:val="004B516D"/>
    <w:rsid w:val="004B519A"/>
    <w:rsid w:val="004B5427"/>
    <w:rsid w:val="004B542C"/>
    <w:rsid w:val="004B5562"/>
    <w:rsid w:val="004B56AA"/>
    <w:rsid w:val="004B572B"/>
    <w:rsid w:val="004B5941"/>
    <w:rsid w:val="004B5A24"/>
    <w:rsid w:val="004B5ADF"/>
    <w:rsid w:val="004B5B46"/>
    <w:rsid w:val="004B5C88"/>
    <w:rsid w:val="004B5ED5"/>
    <w:rsid w:val="004B5F8D"/>
    <w:rsid w:val="004B5FE9"/>
    <w:rsid w:val="004B6063"/>
    <w:rsid w:val="004B60F3"/>
    <w:rsid w:val="004B6106"/>
    <w:rsid w:val="004B61E0"/>
    <w:rsid w:val="004B623A"/>
    <w:rsid w:val="004B6274"/>
    <w:rsid w:val="004B645E"/>
    <w:rsid w:val="004B6494"/>
    <w:rsid w:val="004B64C5"/>
    <w:rsid w:val="004B654F"/>
    <w:rsid w:val="004B6724"/>
    <w:rsid w:val="004B674D"/>
    <w:rsid w:val="004B6781"/>
    <w:rsid w:val="004B691C"/>
    <w:rsid w:val="004B692B"/>
    <w:rsid w:val="004B6A0D"/>
    <w:rsid w:val="004B6A3A"/>
    <w:rsid w:val="004B6B0E"/>
    <w:rsid w:val="004B6B7C"/>
    <w:rsid w:val="004B6C17"/>
    <w:rsid w:val="004B6CC3"/>
    <w:rsid w:val="004B6DEF"/>
    <w:rsid w:val="004B6DFD"/>
    <w:rsid w:val="004B6E27"/>
    <w:rsid w:val="004B6E54"/>
    <w:rsid w:val="004B6EB6"/>
    <w:rsid w:val="004B6F5B"/>
    <w:rsid w:val="004B6FB3"/>
    <w:rsid w:val="004B6FDC"/>
    <w:rsid w:val="004B7112"/>
    <w:rsid w:val="004B7490"/>
    <w:rsid w:val="004B74C1"/>
    <w:rsid w:val="004B7505"/>
    <w:rsid w:val="004B75E9"/>
    <w:rsid w:val="004B761B"/>
    <w:rsid w:val="004B783F"/>
    <w:rsid w:val="004B78DF"/>
    <w:rsid w:val="004B7965"/>
    <w:rsid w:val="004B798A"/>
    <w:rsid w:val="004B7AF3"/>
    <w:rsid w:val="004B7B2F"/>
    <w:rsid w:val="004B7C91"/>
    <w:rsid w:val="004B7D1A"/>
    <w:rsid w:val="004B7D57"/>
    <w:rsid w:val="004B7DE5"/>
    <w:rsid w:val="004B7E69"/>
    <w:rsid w:val="004B7EC0"/>
    <w:rsid w:val="004B7EFD"/>
    <w:rsid w:val="004B7FBF"/>
    <w:rsid w:val="004C008F"/>
    <w:rsid w:val="004C01C2"/>
    <w:rsid w:val="004C023F"/>
    <w:rsid w:val="004C028F"/>
    <w:rsid w:val="004C0303"/>
    <w:rsid w:val="004C0674"/>
    <w:rsid w:val="004C07DD"/>
    <w:rsid w:val="004C0846"/>
    <w:rsid w:val="004C089D"/>
    <w:rsid w:val="004C08BA"/>
    <w:rsid w:val="004C08D9"/>
    <w:rsid w:val="004C08E9"/>
    <w:rsid w:val="004C0906"/>
    <w:rsid w:val="004C0919"/>
    <w:rsid w:val="004C0B9A"/>
    <w:rsid w:val="004C0BC6"/>
    <w:rsid w:val="004C0C08"/>
    <w:rsid w:val="004C0C0B"/>
    <w:rsid w:val="004C0C17"/>
    <w:rsid w:val="004C0CB5"/>
    <w:rsid w:val="004C0D7F"/>
    <w:rsid w:val="004C0E0B"/>
    <w:rsid w:val="004C0F1D"/>
    <w:rsid w:val="004C0FC5"/>
    <w:rsid w:val="004C0FD6"/>
    <w:rsid w:val="004C0FF7"/>
    <w:rsid w:val="004C1118"/>
    <w:rsid w:val="004C1195"/>
    <w:rsid w:val="004C11AE"/>
    <w:rsid w:val="004C1287"/>
    <w:rsid w:val="004C145A"/>
    <w:rsid w:val="004C1552"/>
    <w:rsid w:val="004C16AF"/>
    <w:rsid w:val="004C1702"/>
    <w:rsid w:val="004C1832"/>
    <w:rsid w:val="004C18D7"/>
    <w:rsid w:val="004C1942"/>
    <w:rsid w:val="004C1976"/>
    <w:rsid w:val="004C1A36"/>
    <w:rsid w:val="004C1AA5"/>
    <w:rsid w:val="004C1AE6"/>
    <w:rsid w:val="004C1B06"/>
    <w:rsid w:val="004C1B3E"/>
    <w:rsid w:val="004C1DA2"/>
    <w:rsid w:val="004C1DF2"/>
    <w:rsid w:val="004C1F99"/>
    <w:rsid w:val="004C1F9E"/>
    <w:rsid w:val="004C211B"/>
    <w:rsid w:val="004C2127"/>
    <w:rsid w:val="004C213B"/>
    <w:rsid w:val="004C223C"/>
    <w:rsid w:val="004C22CE"/>
    <w:rsid w:val="004C22D9"/>
    <w:rsid w:val="004C23BD"/>
    <w:rsid w:val="004C2493"/>
    <w:rsid w:val="004C25A9"/>
    <w:rsid w:val="004C261A"/>
    <w:rsid w:val="004C266E"/>
    <w:rsid w:val="004C29AC"/>
    <w:rsid w:val="004C29EF"/>
    <w:rsid w:val="004C2A10"/>
    <w:rsid w:val="004C2AAE"/>
    <w:rsid w:val="004C2B0F"/>
    <w:rsid w:val="004C2C08"/>
    <w:rsid w:val="004C2C59"/>
    <w:rsid w:val="004C2D25"/>
    <w:rsid w:val="004C2E22"/>
    <w:rsid w:val="004C2E50"/>
    <w:rsid w:val="004C2E61"/>
    <w:rsid w:val="004C2F47"/>
    <w:rsid w:val="004C2FCA"/>
    <w:rsid w:val="004C2FED"/>
    <w:rsid w:val="004C2FEF"/>
    <w:rsid w:val="004C302B"/>
    <w:rsid w:val="004C338F"/>
    <w:rsid w:val="004C366F"/>
    <w:rsid w:val="004C36CA"/>
    <w:rsid w:val="004C3759"/>
    <w:rsid w:val="004C37E4"/>
    <w:rsid w:val="004C3ADC"/>
    <w:rsid w:val="004C3B07"/>
    <w:rsid w:val="004C3B8E"/>
    <w:rsid w:val="004C3C0D"/>
    <w:rsid w:val="004C3C67"/>
    <w:rsid w:val="004C3D4D"/>
    <w:rsid w:val="004C3E47"/>
    <w:rsid w:val="004C3EC5"/>
    <w:rsid w:val="004C4054"/>
    <w:rsid w:val="004C407E"/>
    <w:rsid w:val="004C41F0"/>
    <w:rsid w:val="004C4242"/>
    <w:rsid w:val="004C428F"/>
    <w:rsid w:val="004C42B0"/>
    <w:rsid w:val="004C4398"/>
    <w:rsid w:val="004C43EA"/>
    <w:rsid w:val="004C442E"/>
    <w:rsid w:val="004C465F"/>
    <w:rsid w:val="004C4704"/>
    <w:rsid w:val="004C4760"/>
    <w:rsid w:val="004C4818"/>
    <w:rsid w:val="004C487F"/>
    <w:rsid w:val="004C4ACD"/>
    <w:rsid w:val="004C4B20"/>
    <w:rsid w:val="004C4B5C"/>
    <w:rsid w:val="004C4B7E"/>
    <w:rsid w:val="004C4BA6"/>
    <w:rsid w:val="004C4CDE"/>
    <w:rsid w:val="004C4DB7"/>
    <w:rsid w:val="004C4E27"/>
    <w:rsid w:val="004C4FA8"/>
    <w:rsid w:val="004C508E"/>
    <w:rsid w:val="004C5143"/>
    <w:rsid w:val="004C5198"/>
    <w:rsid w:val="004C5219"/>
    <w:rsid w:val="004C5243"/>
    <w:rsid w:val="004C52A0"/>
    <w:rsid w:val="004C52D2"/>
    <w:rsid w:val="004C54F4"/>
    <w:rsid w:val="004C557E"/>
    <w:rsid w:val="004C55DF"/>
    <w:rsid w:val="004C57B5"/>
    <w:rsid w:val="004C57C2"/>
    <w:rsid w:val="004C5822"/>
    <w:rsid w:val="004C58A5"/>
    <w:rsid w:val="004C5963"/>
    <w:rsid w:val="004C5A1C"/>
    <w:rsid w:val="004C5A6E"/>
    <w:rsid w:val="004C5ADB"/>
    <w:rsid w:val="004C5BCD"/>
    <w:rsid w:val="004C5C26"/>
    <w:rsid w:val="004C5D7D"/>
    <w:rsid w:val="004C5DF3"/>
    <w:rsid w:val="004C5E70"/>
    <w:rsid w:val="004C5FCB"/>
    <w:rsid w:val="004C5FE7"/>
    <w:rsid w:val="004C6046"/>
    <w:rsid w:val="004C61F4"/>
    <w:rsid w:val="004C6243"/>
    <w:rsid w:val="004C6246"/>
    <w:rsid w:val="004C6247"/>
    <w:rsid w:val="004C632D"/>
    <w:rsid w:val="004C6369"/>
    <w:rsid w:val="004C63F8"/>
    <w:rsid w:val="004C6438"/>
    <w:rsid w:val="004C643A"/>
    <w:rsid w:val="004C64F3"/>
    <w:rsid w:val="004C6585"/>
    <w:rsid w:val="004C666A"/>
    <w:rsid w:val="004C6684"/>
    <w:rsid w:val="004C6695"/>
    <w:rsid w:val="004C672B"/>
    <w:rsid w:val="004C67DC"/>
    <w:rsid w:val="004C683B"/>
    <w:rsid w:val="004C683D"/>
    <w:rsid w:val="004C68A4"/>
    <w:rsid w:val="004C68D9"/>
    <w:rsid w:val="004C69B2"/>
    <w:rsid w:val="004C69C1"/>
    <w:rsid w:val="004C6B3A"/>
    <w:rsid w:val="004C6B5A"/>
    <w:rsid w:val="004C6B9B"/>
    <w:rsid w:val="004C6BE3"/>
    <w:rsid w:val="004C6D28"/>
    <w:rsid w:val="004C6E40"/>
    <w:rsid w:val="004C6EE7"/>
    <w:rsid w:val="004C6FE5"/>
    <w:rsid w:val="004C71C6"/>
    <w:rsid w:val="004C726D"/>
    <w:rsid w:val="004C73BB"/>
    <w:rsid w:val="004C73C7"/>
    <w:rsid w:val="004C74D9"/>
    <w:rsid w:val="004C7616"/>
    <w:rsid w:val="004C761F"/>
    <w:rsid w:val="004C765B"/>
    <w:rsid w:val="004C77D9"/>
    <w:rsid w:val="004C77E6"/>
    <w:rsid w:val="004C790D"/>
    <w:rsid w:val="004C79FC"/>
    <w:rsid w:val="004C7AF0"/>
    <w:rsid w:val="004C7AF4"/>
    <w:rsid w:val="004C7B69"/>
    <w:rsid w:val="004C7B7E"/>
    <w:rsid w:val="004C7C7E"/>
    <w:rsid w:val="004C7F16"/>
    <w:rsid w:val="004C7F78"/>
    <w:rsid w:val="004C7F99"/>
    <w:rsid w:val="004C7FB9"/>
    <w:rsid w:val="004C7FD7"/>
    <w:rsid w:val="004D0087"/>
    <w:rsid w:val="004D00EC"/>
    <w:rsid w:val="004D0104"/>
    <w:rsid w:val="004D036D"/>
    <w:rsid w:val="004D0371"/>
    <w:rsid w:val="004D0420"/>
    <w:rsid w:val="004D042A"/>
    <w:rsid w:val="004D04AE"/>
    <w:rsid w:val="004D056C"/>
    <w:rsid w:val="004D064F"/>
    <w:rsid w:val="004D06B8"/>
    <w:rsid w:val="004D0819"/>
    <w:rsid w:val="004D084E"/>
    <w:rsid w:val="004D08F6"/>
    <w:rsid w:val="004D09B3"/>
    <w:rsid w:val="004D09EC"/>
    <w:rsid w:val="004D0B7F"/>
    <w:rsid w:val="004D0C18"/>
    <w:rsid w:val="004D0C64"/>
    <w:rsid w:val="004D0C73"/>
    <w:rsid w:val="004D0C74"/>
    <w:rsid w:val="004D0DDB"/>
    <w:rsid w:val="004D0E31"/>
    <w:rsid w:val="004D0E9B"/>
    <w:rsid w:val="004D0EB3"/>
    <w:rsid w:val="004D0F3E"/>
    <w:rsid w:val="004D0FC9"/>
    <w:rsid w:val="004D1060"/>
    <w:rsid w:val="004D107F"/>
    <w:rsid w:val="004D1165"/>
    <w:rsid w:val="004D14EE"/>
    <w:rsid w:val="004D153D"/>
    <w:rsid w:val="004D1613"/>
    <w:rsid w:val="004D16BC"/>
    <w:rsid w:val="004D17F6"/>
    <w:rsid w:val="004D17FF"/>
    <w:rsid w:val="004D1836"/>
    <w:rsid w:val="004D185E"/>
    <w:rsid w:val="004D18C2"/>
    <w:rsid w:val="004D19D5"/>
    <w:rsid w:val="004D1A9F"/>
    <w:rsid w:val="004D1B48"/>
    <w:rsid w:val="004D1B5C"/>
    <w:rsid w:val="004D1B7D"/>
    <w:rsid w:val="004D1C08"/>
    <w:rsid w:val="004D1C1F"/>
    <w:rsid w:val="004D1C67"/>
    <w:rsid w:val="004D1CDD"/>
    <w:rsid w:val="004D1CF4"/>
    <w:rsid w:val="004D1D0F"/>
    <w:rsid w:val="004D1D7D"/>
    <w:rsid w:val="004D1DE4"/>
    <w:rsid w:val="004D1EC1"/>
    <w:rsid w:val="004D1F9A"/>
    <w:rsid w:val="004D1FD7"/>
    <w:rsid w:val="004D1FE5"/>
    <w:rsid w:val="004D209C"/>
    <w:rsid w:val="004D20E0"/>
    <w:rsid w:val="004D21E5"/>
    <w:rsid w:val="004D220E"/>
    <w:rsid w:val="004D2280"/>
    <w:rsid w:val="004D2343"/>
    <w:rsid w:val="004D23BA"/>
    <w:rsid w:val="004D248A"/>
    <w:rsid w:val="004D24A3"/>
    <w:rsid w:val="004D278B"/>
    <w:rsid w:val="004D28D1"/>
    <w:rsid w:val="004D2A79"/>
    <w:rsid w:val="004D2AD9"/>
    <w:rsid w:val="004D2AE7"/>
    <w:rsid w:val="004D2B09"/>
    <w:rsid w:val="004D2B42"/>
    <w:rsid w:val="004D2BC0"/>
    <w:rsid w:val="004D2CA4"/>
    <w:rsid w:val="004D2CE9"/>
    <w:rsid w:val="004D2D29"/>
    <w:rsid w:val="004D2E46"/>
    <w:rsid w:val="004D2FB1"/>
    <w:rsid w:val="004D2FC6"/>
    <w:rsid w:val="004D30DF"/>
    <w:rsid w:val="004D30EA"/>
    <w:rsid w:val="004D314B"/>
    <w:rsid w:val="004D3173"/>
    <w:rsid w:val="004D31F0"/>
    <w:rsid w:val="004D324F"/>
    <w:rsid w:val="004D3287"/>
    <w:rsid w:val="004D32A1"/>
    <w:rsid w:val="004D337D"/>
    <w:rsid w:val="004D33E2"/>
    <w:rsid w:val="004D3425"/>
    <w:rsid w:val="004D342A"/>
    <w:rsid w:val="004D345C"/>
    <w:rsid w:val="004D34ED"/>
    <w:rsid w:val="004D3590"/>
    <w:rsid w:val="004D35CD"/>
    <w:rsid w:val="004D35E5"/>
    <w:rsid w:val="004D35F7"/>
    <w:rsid w:val="004D36E0"/>
    <w:rsid w:val="004D370B"/>
    <w:rsid w:val="004D3716"/>
    <w:rsid w:val="004D376A"/>
    <w:rsid w:val="004D37EB"/>
    <w:rsid w:val="004D37FF"/>
    <w:rsid w:val="004D387D"/>
    <w:rsid w:val="004D38A2"/>
    <w:rsid w:val="004D38BF"/>
    <w:rsid w:val="004D38E7"/>
    <w:rsid w:val="004D3936"/>
    <w:rsid w:val="004D39DA"/>
    <w:rsid w:val="004D3A54"/>
    <w:rsid w:val="004D3A69"/>
    <w:rsid w:val="004D3ADD"/>
    <w:rsid w:val="004D3B0A"/>
    <w:rsid w:val="004D3BD7"/>
    <w:rsid w:val="004D3D01"/>
    <w:rsid w:val="004D3D43"/>
    <w:rsid w:val="004D3E67"/>
    <w:rsid w:val="004D3EEC"/>
    <w:rsid w:val="004D3F96"/>
    <w:rsid w:val="004D3F9F"/>
    <w:rsid w:val="004D400F"/>
    <w:rsid w:val="004D409B"/>
    <w:rsid w:val="004D410F"/>
    <w:rsid w:val="004D41D5"/>
    <w:rsid w:val="004D4211"/>
    <w:rsid w:val="004D4251"/>
    <w:rsid w:val="004D4281"/>
    <w:rsid w:val="004D429C"/>
    <w:rsid w:val="004D44F5"/>
    <w:rsid w:val="004D450D"/>
    <w:rsid w:val="004D469C"/>
    <w:rsid w:val="004D47E5"/>
    <w:rsid w:val="004D47F5"/>
    <w:rsid w:val="004D48B7"/>
    <w:rsid w:val="004D48DF"/>
    <w:rsid w:val="004D491F"/>
    <w:rsid w:val="004D4B73"/>
    <w:rsid w:val="004D4BED"/>
    <w:rsid w:val="004D4C86"/>
    <w:rsid w:val="004D4D09"/>
    <w:rsid w:val="004D4DC1"/>
    <w:rsid w:val="004D4E4B"/>
    <w:rsid w:val="004D4E9C"/>
    <w:rsid w:val="004D4F1A"/>
    <w:rsid w:val="004D4F61"/>
    <w:rsid w:val="004D4F7A"/>
    <w:rsid w:val="004D4FDB"/>
    <w:rsid w:val="004D5008"/>
    <w:rsid w:val="004D50F2"/>
    <w:rsid w:val="004D51AF"/>
    <w:rsid w:val="004D51ED"/>
    <w:rsid w:val="004D526D"/>
    <w:rsid w:val="004D52F4"/>
    <w:rsid w:val="004D5319"/>
    <w:rsid w:val="004D5324"/>
    <w:rsid w:val="004D556D"/>
    <w:rsid w:val="004D5686"/>
    <w:rsid w:val="004D56C9"/>
    <w:rsid w:val="004D56CE"/>
    <w:rsid w:val="004D5715"/>
    <w:rsid w:val="004D578A"/>
    <w:rsid w:val="004D57D3"/>
    <w:rsid w:val="004D57F7"/>
    <w:rsid w:val="004D5897"/>
    <w:rsid w:val="004D58A4"/>
    <w:rsid w:val="004D58BD"/>
    <w:rsid w:val="004D59BD"/>
    <w:rsid w:val="004D59EA"/>
    <w:rsid w:val="004D59EC"/>
    <w:rsid w:val="004D5B2D"/>
    <w:rsid w:val="004D5B34"/>
    <w:rsid w:val="004D5D6B"/>
    <w:rsid w:val="004D5E30"/>
    <w:rsid w:val="004D6135"/>
    <w:rsid w:val="004D62D0"/>
    <w:rsid w:val="004D63F1"/>
    <w:rsid w:val="004D6557"/>
    <w:rsid w:val="004D65EB"/>
    <w:rsid w:val="004D663C"/>
    <w:rsid w:val="004D668E"/>
    <w:rsid w:val="004D675C"/>
    <w:rsid w:val="004D6859"/>
    <w:rsid w:val="004D6889"/>
    <w:rsid w:val="004D6988"/>
    <w:rsid w:val="004D6B81"/>
    <w:rsid w:val="004D6BC3"/>
    <w:rsid w:val="004D6C81"/>
    <w:rsid w:val="004D6E2B"/>
    <w:rsid w:val="004D6F65"/>
    <w:rsid w:val="004D7084"/>
    <w:rsid w:val="004D71C0"/>
    <w:rsid w:val="004D72E5"/>
    <w:rsid w:val="004D736D"/>
    <w:rsid w:val="004D73CD"/>
    <w:rsid w:val="004D7497"/>
    <w:rsid w:val="004D7601"/>
    <w:rsid w:val="004D7759"/>
    <w:rsid w:val="004D79F6"/>
    <w:rsid w:val="004D7BCC"/>
    <w:rsid w:val="004D7CA4"/>
    <w:rsid w:val="004D7DE8"/>
    <w:rsid w:val="004D7E24"/>
    <w:rsid w:val="004D7E92"/>
    <w:rsid w:val="004E016F"/>
    <w:rsid w:val="004E03E2"/>
    <w:rsid w:val="004E0443"/>
    <w:rsid w:val="004E044E"/>
    <w:rsid w:val="004E0497"/>
    <w:rsid w:val="004E0542"/>
    <w:rsid w:val="004E0549"/>
    <w:rsid w:val="004E0554"/>
    <w:rsid w:val="004E069A"/>
    <w:rsid w:val="004E0708"/>
    <w:rsid w:val="004E0A89"/>
    <w:rsid w:val="004E0ADA"/>
    <w:rsid w:val="004E0B43"/>
    <w:rsid w:val="004E0B7B"/>
    <w:rsid w:val="004E0C69"/>
    <w:rsid w:val="004E0DC5"/>
    <w:rsid w:val="004E1008"/>
    <w:rsid w:val="004E1055"/>
    <w:rsid w:val="004E113E"/>
    <w:rsid w:val="004E122B"/>
    <w:rsid w:val="004E1283"/>
    <w:rsid w:val="004E12FA"/>
    <w:rsid w:val="004E1301"/>
    <w:rsid w:val="004E136F"/>
    <w:rsid w:val="004E1678"/>
    <w:rsid w:val="004E16A0"/>
    <w:rsid w:val="004E16F2"/>
    <w:rsid w:val="004E176E"/>
    <w:rsid w:val="004E1839"/>
    <w:rsid w:val="004E1882"/>
    <w:rsid w:val="004E18E9"/>
    <w:rsid w:val="004E190D"/>
    <w:rsid w:val="004E1BCB"/>
    <w:rsid w:val="004E1D73"/>
    <w:rsid w:val="004E1E3D"/>
    <w:rsid w:val="004E1E87"/>
    <w:rsid w:val="004E1F3D"/>
    <w:rsid w:val="004E1F40"/>
    <w:rsid w:val="004E2029"/>
    <w:rsid w:val="004E2071"/>
    <w:rsid w:val="004E2086"/>
    <w:rsid w:val="004E20CE"/>
    <w:rsid w:val="004E2110"/>
    <w:rsid w:val="004E211B"/>
    <w:rsid w:val="004E2130"/>
    <w:rsid w:val="004E2172"/>
    <w:rsid w:val="004E22C7"/>
    <w:rsid w:val="004E23B5"/>
    <w:rsid w:val="004E24C0"/>
    <w:rsid w:val="004E24D4"/>
    <w:rsid w:val="004E259A"/>
    <w:rsid w:val="004E2601"/>
    <w:rsid w:val="004E269B"/>
    <w:rsid w:val="004E26F4"/>
    <w:rsid w:val="004E2732"/>
    <w:rsid w:val="004E278E"/>
    <w:rsid w:val="004E27A2"/>
    <w:rsid w:val="004E287E"/>
    <w:rsid w:val="004E2B95"/>
    <w:rsid w:val="004E2C29"/>
    <w:rsid w:val="004E2C8C"/>
    <w:rsid w:val="004E2D12"/>
    <w:rsid w:val="004E2D32"/>
    <w:rsid w:val="004E2D84"/>
    <w:rsid w:val="004E2E61"/>
    <w:rsid w:val="004E2F51"/>
    <w:rsid w:val="004E3001"/>
    <w:rsid w:val="004E305B"/>
    <w:rsid w:val="004E3221"/>
    <w:rsid w:val="004E32C4"/>
    <w:rsid w:val="004E33A8"/>
    <w:rsid w:val="004E3500"/>
    <w:rsid w:val="004E3521"/>
    <w:rsid w:val="004E35FA"/>
    <w:rsid w:val="004E3681"/>
    <w:rsid w:val="004E369B"/>
    <w:rsid w:val="004E3704"/>
    <w:rsid w:val="004E388E"/>
    <w:rsid w:val="004E38B8"/>
    <w:rsid w:val="004E397A"/>
    <w:rsid w:val="004E3A1A"/>
    <w:rsid w:val="004E3A3E"/>
    <w:rsid w:val="004E3A74"/>
    <w:rsid w:val="004E3B0D"/>
    <w:rsid w:val="004E3BF0"/>
    <w:rsid w:val="004E3D12"/>
    <w:rsid w:val="004E3E23"/>
    <w:rsid w:val="004E3F16"/>
    <w:rsid w:val="004E3F5E"/>
    <w:rsid w:val="004E4065"/>
    <w:rsid w:val="004E41AE"/>
    <w:rsid w:val="004E42CC"/>
    <w:rsid w:val="004E42DD"/>
    <w:rsid w:val="004E4321"/>
    <w:rsid w:val="004E4331"/>
    <w:rsid w:val="004E4553"/>
    <w:rsid w:val="004E4579"/>
    <w:rsid w:val="004E4595"/>
    <w:rsid w:val="004E465C"/>
    <w:rsid w:val="004E4693"/>
    <w:rsid w:val="004E4761"/>
    <w:rsid w:val="004E47FB"/>
    <w:rsid w:val="004E4849"/>
    <w:rsid w:val="004E489B"/>
    <w:rsid w:val="004E4911"/>
    <w:rsid w:val="004E4A12"/>
    <w:rsid w:val="004E4A25"/>
    <w:rsid w:val="004E4C2E"/>
    <w:rsid w:val="004E4CF3"/>
    <w:rsid w:val="004E4D08"/>
    <w:rsid w:val="004E4D38"/>
    <w:rsid w:val="004E4D49"/>
    <w:rsid w:val="004E4D74"/>
    <w:rsid w:val="004E4D88"/>
    <w:rsid w:val="004E4EE3"/>
    <w:rsid w:val="004E4EF6"/>
    <w:rsid w:val="004E4F2F"/>
    <w:rsid w:val="004E50B2"/>
    <w:rsid w:val="004E50ED"/>
    <w:rsid w:val="004E5116"/>
    <w:rsid w:val="004E5162"/>
    <w:rsid w:val="004E5200"/>
    <w:rsid w:val="004E5250"/>
    <w:rsid w:val="004E53AF"/>
    <w:rsid w:val="004E5458"/>
    <w:rsid w:val="004E5485"/>
    <w:rsid w:val="004E54E2"/>
    <w:rsid w:val="004E54F2"/>
    <w:rsid w:val="004E54FB"/>
    <w:rsid w:val="004E5652"/>
    <w:rsid w:val="004E566D"/>
    <w:rsid w:val="004E5673"/>
    <w:rsid w:val="004E56D6"/>
    <w:rsid w:val="004E5763"/>
    <w:rsid w:val="004E5788"/>
    <w:rsid w:val="004E57B2"/>
    <w:rsid w:val="004E5806"/>
    <w:rsid w:val="004E5888"/>
    <w:rsid w:val="004E5B41"/>
    <w:rsid w:val="004E5B65"/>
    <w:rsid w:val="004E5BED"/>
    <w:rsid w:val="004E5C06"/>
    <w:rsid w:val="004E5CAD"/>
    <w:rsid w:val="004E5CBC"/>
    <w:rsid w:val="004E5D60"/>
    <w:rsid w:val="004E5EB9"/>
    <w:rsid w:val="004E5FBD"/>
    <w:rsid w:val="004E618A"/>
    <w:rsid w:val="004E6199"/>
    <w:rsid w:val="004E6204"/>
    <w:rsid w:val="004E681E"/>
    <w:rsid w:val="004E6848"/>
    <w:rsid w:val="004E6852"/>
    <w:rsid w:val="004E6982"/>
    <w:rsid w:val="004E69E2"/>
    <w:rsid w:val="004E69E6"/>
    <w:rsid w:val="004E6A84"/>
    <w:rsid w:val="004E6BE3"/>
    <w:rsid w:val="004E6D46"/>
    <w:rsid w:val="004E6EEE"/>
    <w:rsid w:val="004E6F88"/>
    <w:rsid w:val="004E702B"/>
    <w:rsid w:val="004E718A"/>
    <w:rsid w:val="004E71AF"/>
    <w:rsid w:val="004E7373"/>
    <w:rsid w:val="004E7498"/>
    <w:rsid w:val="004E75AF"/>
    <w:rsid w:val="004E7675"/>
    <w:rsid w:val="004E76AA"/>
    <w:rsid w:val="004E76E8"/>
    <w:rsid w:val="004E770F"/>
    <w:rsid w:val="004E780C"/>
    <w:rsid w:val="004E785C"/>
    <w:rsid w:val="004E7AD4"/>
    <w:rsid w:val="004E7B0F"/>
    <w:rsid w:val="004E7B38"/>
    <w:rsid w:val="004E7B6F"/>
    <w:rsid w:val="004E7E9D"/>
    <w:rsid w:val="004F002B"/>
    <w:rsid w:val="004F026C"/>
    <w:rsid w:val="004F0274"/>
    <w:rsid w:val="004F0290"/>
    <w:rsid w:val="004F0353"/>
    <w:rsid w:val="004F035F"/>
    <w:rsid w:val="004F08E5"/>
    <w:rsid w:val="004F092B"/>
    <w:rsid w:val="004F095A"/>
    <w:rsid w:val="004F0978"/>
    <w:rsid w:val="004F09D4"/>
    <w:rsid w:val="004F0A23"/>
    <w:rsid w:val="004F0AA1"/>
    <w:rsid w:val="004F0AD6"/>
    <w:rsid w:val="004F0C7E"/>
    <w:rsid w:val="004F0CB5"/>
    <w:rsid w:val="004F0CC8"/>
    <w:rsid w:val="004F0CD8"/>
    <w:rsid w:val="004F0E17"/>
    <w:rsid w:val="004F0E32"/>
    <w:rsid w:val="004F0E54"/>
    <w:rsid w:val="004F0E82"/>
    <w:rsid w:val="004F0F9D"/>
    <w:rsid w:val="004F1197"/>
    <w:rsid w:val="004F12AF"/>
    <w:rsid w:val="004F12B1"/>
    <w:rsid w:val="004F12C1"/>
    <w:rsid w:val="004F1398"/>
    <w:rsid w:val="004F1458"/>
    <w:rsid w:val="004F15CA"/>
    <w:rsid w:val="004F16A4"/>
    <w:rsid w:val="004F1738"/>
    <w:rsid w:val="004F17C7"/>
    <w:rsid w:val="004F1864"/>
    <w:rsid w:val="004F1911"/>
    <w:rsid w:val="004F197C"/>
    <w:rsid w:val="004F1A1D"/>
    <w:rsid w:val="004F1C6F"/>
    <w:rsid w:val="004F1CBC"/>
    <w:rsid w:val="004F1CFB"/>
    <w:rsid w:val="004F1EE4"/>
    <w:rsid w:val="004F1F8F"/>
    <w:rsid w:val="004F1F95"/>
    <w:rsid w:val="004F1FF1"/>
    <w:rsid w:val="004F201D"/>
    <w:rsid w:val="004F2077"/>
    <w:rsid w:val="004F21BC"/>
    <w:rsid w:val="004F222D"/>
    <w:rsid w:val="004F229F"/>
    <w:rsid w:val="004F22B1"/>
    <w:rsid w:val="004F2345"/>
    <w:rsid w:val="004F239E"/>
    <w:rsid w:val="004F23C6"/>
    <w:rsid w:val="004F256E"/>
    <w:rsid w:val="004F272E"/>
    <w:rsid w:val="004F2859"/>
    <w:rsid w:val="004F294F"/>
    <w:rsid w:val="004F2A22"/>
    <w:rsid w:val="004F2B06"/>
    <w:rsid w:val="004F2B69"/>
    <w:rsid w:val="004F2B6F"/>
    <w:rsid w:val="004F2BA6"/>
    <w:rsid w:val="004F2D59"/>
    <w:rsid w:val="004F2D6E"/>
    <w:rsid w:val="004F2F55"/>
    <w:rsid w:val="004F2F66"/>
    <w:rsid w:val="004F3055"/>
    <w:rsid w:val="004F307A"/>
    <w:rsid w:val="004F3112"/>
    <w:rsid w:val="004F318B"/>
    <w:rsid w:val="004F3218"/>
    <w:rsid w:val="004F3252"/>
    <w:rsid w:val="004F327B"/>
    <w:rsid w:val="004F3316"/>
    <w:rsid w:val="004F3362"/>
    <w:rsid w:val="004F3387"/>
    <w:rsid w:val="004F33A0"/>
    <w:rsid w:val="004F33BD"/>
    <w:rsid w:val="004F343A"/>
    <w:rsid w:val="004F3567"/>
    <w:rsid w:val="004F363E"/>
    <w:rsid w:val="004F37CB"/>
    <w:rsid w:val="004F37DB"/>
    <w:rsid w:val="004F38BF"/>
    <w:rsid w:val="004F38FD"/>
    <w:rsid w:val="004F3918"/>
    <w:rsid w:val="004F3A0C"/>
    <w:rsid w:val="004F3B0F"/>
    <w:rsid w:val="004F3EDC"/>
    <w:rsid w:val="004F4291"/>
    <w:rsid w:val="004F42FA"/>
    <w:rsid w:val="004F431E"/>
    <w:rsid w:val="004F4451"/>
    <w:rsid w:val="004F460E"/>
    <w:rsid w:val="004F4627"/>
    <w:rsid w:val="004F46AD"/>
    <w:rsid w:val="004F4720"/>
    <w:rsid w:val="004F48C0"/>
    <w:rsid w:val="004F4974"/>
    <w:rsid w:val="004F4B76"/>
    <w:rsid w:val="004F4C0B"/>
    <w:rsid w:val="004F4C6C"/>
    <w:rsid w:val="004F4C91"/>
    <w:rsid w:val="004F4D61"/>
    <w:rsid w:val="004F4D6F"/>
    <w:rsid w:val="004F4E22"/>
    <w:rsid w:val="004F4EEF"/>
    <w:rsid w:val="004F50B7"/>
    <w:rsid w:val="004F50EE"/>
    <w:rsid w:val="004F5170"/>
    <w:rsid w:val="004F51E0"/>
    <w:rsid w:val="004F528D"/>
    <w:rsid w:val="004F52FC"/>
    <w:rsid w:val="004F532E"/>
    <w:rsid w:val="004F5357"/>
    <w:rsid w:val="004F536E"/>
    <w:rsid w:val="004F5419"/>
    <w:rsid w:val="004F54B3"/>
    <w:rsid w:val="004F54FD"/>
    <w:rsid w:val="004F559E"/>
    <w:rsid w:val="004F562C"/>
    <w:rsid w:val="004F5632"/>
    <w:rsid w:val="004F5665"/>
    <w:rsid w:val="004F567E"/>
    <w:rsid w:val="004F580D"/>
    <w:rsid w:val="004F587B"/>
    <w:rsid w:val="004F594F"/>
    <w:rsid w:val="004F597A"/>
    <w:rsid w:val="004F5A70"/>
    <w:rsid w:val="004F5C2B"/>
    <w:rsid w:val="004F5CB4"/>
    <w:rsid w:val="004F5D42"/>
    <w:rsid w:val="004F5E95"/>
    <w:rsid w:val="004F60AF"/>
    <w:rsid w:val="004F60FD"/>
    <w:rsid w:val="004F6214"/>
    <w:rsid w:val="004F6245"/>
    <w:rsid w:val="004F62D5"/>
    <w:rsid w:val="004F63FB"/>
    <w:rsid w:val="004F648A"/>
    <w:rsid w:val="004F64AB"/>
    <w:rsid w:val="004F656B"/>
    <w:rsid w:val="004F65B7"/>
    <w:rsid w:val="004F66CE"/>
    <w:rsid w:val="004F6762"/>
    <w:rsid w:val="004F6785"/>
    <w:rsid w:val="004F6822"/>
    <w:rsid w:val="004F68D4"/>
    <w:rsid w:val="004F699E"/>
    <w:rsid w:val="004F69E2"/>
    <w:rsid w:val="004F6BCD"/>
    <w:rsid w:val="004F6C1B"/>
    <w:rsid w:val="004F6C76"/>
    <w:rsid w:val="004F6D80"/>
    <w:rsid w:val="004F6DBE"/>
    <w:rsid w:val="004F715B"/>
    <w:rsid w:val="004F71C0"/>
    <w:rsid w:val="004F720E"/>
    <w:rsid w:val="004F726D"/>
    <w:rsid w:val="004F727C"/>
    <w:rsid w:val="004F748B"/>
    <w:rsid w:val="004F7575"/>
    <w:rsid w:val="004F7826"/>
    <w:rsid w:val="004F7AE4"/>
    <w:rsid w:val="004F7CD4"/>
    <w:rsid w:val="004F7D6A"/>
    <w:rsid w:val="004F7DD3"/>
    <w:rsid w:val="004F7FEF"/>
    <w:rsid w:val="005002F2"/>
    <w:rsid w:val="0050039F"/>
    <w:rsid w:val="005003C6"/>
    <w:rsid w:val="005004E1"/>
    <w:rsid w:val="00500502"/>
    <w:rsid w:val="0050076B"/>
    <w:rsid w:val="005007AA"/>
    <w:rsid w:val="005008B2"/>
    <w:rsid w:val="0050094B"/>
    <w:rsid w:val="005009D5"/>
    <w:rsid w:val="005009DB"/>
    <w:rsid w:val="00500A63"/>
    <w:rsid w:val="00500AE0"/>
    <w:rsid w:val="00500B11"/>
    <w:rsid w:val="00500B33"/>
    <w:rsid w:val="00500B99"/>
    <w:rsid w:val="00500D20"/>
    <w:rsid w:val="00500D56"/>
    <w:rsid w:val="00500D66"/>
    <w:rsid w:val="00500E0B"/>
    <w:rsid w:val="00500E19"/>
    <w:rsid w:val="00500E38"/>
    <w:rsid w:val="00500F2C"/>
    <w:rsid w:val="00500F6F"/>
    <w:rsid w:val="00501030"/>
    <w:rsid w:val="00501064"/>
    <w:rsid w:val="005010E1"/>
    <w:rsid w:val="005010E3"/>
    <w:rsid w:val="00501225"/>
    <w:rsid w:val="00501255"/>
    <w:rsid w:val="005012D0"/>
    <w:rsid w:val="00501510"/>
    <w:rsid w:val="00501572"/>
    <w:rsid w:val="0050169A"/>
    <w:rsid w:val="005017B4"/>
    <w:rsid w:val="005017CC"/>
    <w:rsid w:val="005018D9"/>
    <w:rsid w:val="005018E5"/>
    <w:rsid w:val="005019B8"/>
    <w:rsid w:val="00501A9A"/>
    <w:rsid w:val="00501BF5"/>
    <w:rsid w:val="00501C8B"/>
    <w:rsid w:val="00501DAA"/>
    <w:rsid w:val="00501DCB"/>
    <w:rsid w:val="00501E4E"/>
    <w:rsid w:val="00501E78"/>
    <w:rsid w:val="00501FB4"/>
    <w:rsid w:val="00501FE1"/>
    <w:rsid w:val="00501FFB"/>
    <w:rsid w:val="005020D7"/>
    <w:rsid w:val="0050210A"/>
    <w:rsid w:val="0050212D"/>
    <w:rsid w:val="00502272"/>
    <w:rsid w:val="005022A4"/>
    <w:rsid w:val="0050238E"/>
    <w:rsid w:val="005023A1"/>
    <w:rsid w:val="005023EB"/>
    <w:rsid w:val="00502408"/>
    <w:rsid w:val="00502418"/>
    <w:rsid w:val="00502528"/>
    <w:rsid w:val="005026BF"/>
    <w:rsid w:val="005026D4"/>
    <w:rsid w:val="00502714"/>
    <w:rsid w:val="00502718"/>
    <w:rsid w:val="005027B0"/>
    <w:rsid w:val="005027CA"/>
    <w:rsid w:val="00502943"/>
    <w:rsid w:val="005029A5"/>
    <w:rsid w:val="00502A4D"/>
    <w:rsid w:val="00502B3A"/>
    <w:rsid w:val="00502B8A"/>
    <w:rsid w:val="00502BE4"/>
    <w:rsid w:val="00502CC4"/>
    <w:rsid w:val="00502E2D"/>
    <w:rsid w:val="00502ECA"/>
    <w:rsid w:val="00502EEB"/>
    <w:rsid w:val="00502F8C"/>
    <w:rsid w:val="00503082"/>
    <w:rsid w:val="0050311C"/>
    <w:rsid w:val="00503268"/>
    <w:rsid w:val="0050326C"/>
    <w:rsid w:val="0050331F"/>
    <w:rsid w:val="005033BA"/>
    <w:rsid w:val="00503448"/>
    <w:rsid w:val="0050348B"/>
    <w:rsid w:val="00503565"/>
    <w:rsid w:val="0050358B"/>
    <w:rsid w:val="005035E3"/>
    <w:rsid w:val="005037A8"/>
    <w:rsid w:val="0050380A"/>
    <w:rsid w:val="00503893"/>
    <w:rsid w:val="00503921"/>
    <w:rsid w:val="00503A26"/>
    <w:rsid w:val="00503B0F"/>
    <w:rsid w:val="00503B7E"/>
    <w:rsid w:val="00503C1C"/>
    <w:rsid w:val="00503C33"/>
    <w:rsid w:val="00503CDE"/>
    <w:rsid w:val="00503D28"/>
    <w:rsid w:val="00503D87"/>
    <w:rsid w:val="00503DC1"/>
    <w:rsid w:val="00503FB9"/>
    <w:rsid w:val="00504142"/>
    <w:rsid w:val="0050418A"/>
    <w:rsid w:val="005042D5"/>
    <w:rsid w:val="005043C1"/>
    <w:rsid w:val="005043F3"/>
    <w:rsid w:val="00504630"/>
    <w:rsid w:val="00504792"/>
    <w:rsid w:val="0050495E"/>
    <w:rsid w:val="00504986"/>
    <w:rsid w:val="00504A20"/>
    <w:rsid w:val="00504B1E"/>
    <w:rsid w:val="00504B2C"/>
    <w:rsid w:val="00504BDE"/>
    <w:rsid w:val="00504BF4"/>
    <w:rsid w:val="00505003"/>
    <w:rsid w:val="00505132"/>
    <w:rsid w:val="00505213"/>
    <w:rsid w:val="00505353"/>
    <w:rsid w:val="00505358"/>
    <w:rsid w:val="00505362"/>
    <w:rsid w:val="005053EB"/>
    <w:rsid w:val="00505598"/>
    <w:rsid w:val="005055D8"/>
    <w:rsid w:val="005055DD"/>
    <w:rsid w:val="0050569B"/>
    <w:rsid w:val="005058F1"/>
    <w:rsid w:val="00505A68"/>
    <w:rsid w:val="00505BDC"/>
    <w:rsid w:val="00505BF3"/>
    <w:rsid w:val="00505C70"/>
    <w:rsid w:val="00505D29"/>
    <w:rsid w:val="00505DCE"/>
    <w:rsid w:val="00505EBC"/>
    <w:rsid w:val="00505F36"/>
    <w:rsid w:val="00506018"/>
    <w:rsid w:val="00506053"/>
    <w:rsid w:val="005060E9"/>
    <w:rsid w:val="00506109"/>
    <w:rsid w:val="00506115"/>
    <w:rsid w:val="0050613D"/>
    <w:rsid w:val="005063A0"/>
    <w:rsid w:val="005063FD"/>
    <w:rsid w:val="00506404"/>
    <w:rsid w:val="00506596"/>
    <w:rsid w:val="005065BD"/>
    <w:rsid w:val="005065D8"/>
    <w:rsid w:val="00506751"/>
    <w:rsid w:val="00506758"/>
    <w:rsid w:val="00506788"/>
    <w:rsid w:val="0050686B"/>
    <w:rsid w:val="0050692A"/>
    <w:rsid w:val="005069C9"/>
    <w:rsid w:val="00506A07"/>
    <w:rsid w:val="00506A3A"/>
    <w:rsid w:val="00506A8E"/>
    <w:rsid w:val="00506B99"/>
    <w:rsid w:val="00506C85"/>
    <w:rsid w:val="00506D12"/>
    <w:rsid w:val="00506D4C"/>
    <w:rsid w:val="00506D9B"/>
    <w:rsid w:val="00506F7B"/>
    <w:rsid w:val="00507045"/>
    <w:rsid w:val="00507207"/>
    <w:rsid w:val="0050723C"/>
    <w:rsid w:val="0050729C"/>
    <w:rsid w:val="005075B7"/>
    <w:rsid w:val="0050772F"/>
    <w:rsid w:val="005078B0"/>
    <w:rsid w:val="005078B5"/>
    <w:rsid w:val="005078C0"/>
    <w:rsid w:val="00507A24"/>
    <w:rsid w:val="00507A50"/>
    <w:rsid w:val="00507D5F"/>
    <w:rsid w:val="00507D6A"/>
    <w:rsid w:val="00507ECB"/>
    <w:rsid w:val="00507F9D"/>
    <w:rsid w:val="00507FE4"/>
    <w:rsid w:val="00507FEA"/>
    <w:rsid w:val="0051002C"/>
    <w:rsid w:val="005101A3"/>
    <w:rsid w:val="00510327"/>
    <w:rsid w:val="005104DF"/>
    <w:rsid w:val="00510646"/>
    <w:rsid w:val="0051071B"/>
    <w:rsid w:val="00510754"/>
    <w:rsid w:val="005107D5"/>
    <w:rsid w:val="005108B0"/>
    <w:rsid w:val="005108B4"/>
    <w:rsid w:val="005108BD"/>
    <w:rsid w:val="005108D5"/>
    <w:rsid w:val="005109CF"/>
    <w:rsid w:val="00510DB1"/>
    <w:rsid w:val="00510EDA"/>
    <w:rsid w:val="00510F20"/>
    <w:rsid w:val="00510F96"/>
    <w:rsid w:val="00510FE2"/>
    <w:rsid w:val="00511054"/>
    <w:rsid w:val="005110AF"/>
    <w:rsid w:val="005110B4"/>
    <w:rsid w:val="00511132"/>
    <w:rsid w:val="00511150"/>
    <w:rsid w:val="00511188"/>
    <w:rsid w:val="005111C0"/>
    <w:rsid w:val="005111CB"/>
    <w:rsid w:val="0051124C"/>
    <w:rsid w:val="00511283"/>
    <w:rsid w:val="0051128B"/>
    <w:rsid w:val="0051139A"/>
    <w:rsid w:val="00511426"/>
    <w:rsid w:val="0051144F"/>
    <w:rsid w:val="00511750"/>
    <w:rsid w:val="0051184C"/>
    <w:rsid w:val="0051194B"/>
    <w:rsid w:val="005119B0"/>
    <w:rsid w:val="005119FD"/>
    <w:rsid w:val="00511A02"/>
    <w:rsid w:val="00511A49"/>
    <w:rsid w:val="00511B64"/>
    <w:rsid w:val="00511C66"/>
    <w:rsid w:val="00511DF5"/>
    <w:rsid w:val="00511F2C"/>
    <w:rsid w:val="00511F96"/>
    <w:rsid w:val="0051210E"/>
    <w:rsid w:val="0051220E"/>
    <w:rsid w:val="0051228B"/>
    <w:rsid w:val="00512348"/>
    <w:rsid w:val="0051240F"/>
    <w:rsid w:val="005124EA"/>
    <w:rsid w:val="0051289C"/>
    <w:rsid w:val="005128A8"/>
    <w:rsid w:val="0051290B"/>
    <w:rsid w:val="00512954"/>
    <w:rsid w:val="00512BEC"/>
    <w:rsid w:val="00512CD6"/>
    <w:rsid w:val="00512D89"/>
    <w:rsid w:val="00512DB0"/>
    <w:rsid w:val="00512E0D"/>
    <w:rsid w:val="00512EA1"/>
    <w:rsid w:val="00512EDF"/>
    <w:rsid w:val="00512F3B"/>
    <w:rsid w:val="00512FC2"/>
    <w:rsid w:val="00513038"/>
    <w:rsid w:val="0051313E"/>
    <w:rsid w:val="00513147"/>
    <w:rsid w:val="0051336A"/>
    <w:rsid w:val="00513398"/>
    <w:rsid w:val="00513416"/>
    <w:rsid w:val="0051350A"/>
    <w:rsid w:val="005135F0"/>
    <w:rsid w:val="005136AF"/>
    <w:rsid w:val="0051371A"/>
    <w:rsid w:val="0051383D"/>
    <w:rsid w:val="00513883"/>
    <w:rsid w:val="005139C7"/>
    <w:rsid w:val="00513B80"/>
    <w:rsid w:val="00513BEE"/>
    <w:rsid w:val="00513D4F"/>
    <w:rsid w:val="00513DA2"/>
    <w:rsid w:val="00513F0D"/>
    <w:rsid w:val="005140F7"/>
    <w:rsid w:val="00514134"/>
    <w:rsid w:val="005143A1"/>
    <w:rsid w:val="00514424"/>
    <w:rsid w:val="0051454D"/>
    <w:rsid w:val="005145CE"/>
    <w:rsid w:val="005146B2"/>
    <w:rsid w:val="005146DC"/>
    <w:rsid w:val="005148A6"/>
    <w:rsid w:val="005148C4"/>
    <w:rsid w:val="005149C7"/>
    <w:rsid w:val="00514A43"/>
    <w:rsid w:val="00514AAB"/>
    <w:rsid w:val="00514ADF"/>
    <w:rsid w:val="00514AED"/>
    <w:rsid w:val="00514B04"/>
    <w:rsid w:val="00514B0C"/>
    <w:rsid w:val="00514BCE"/>
    <w:rsid w:val="00514BEE"/>
    <w:rsid w:val="00514BFE"/>
    <w:rsid w:val="00514CCA"/>
    <w:rsid w:val="00514D4C"/>
    <w:rsid w:val="00514E67"/>
    <w:rsid w:val="00514FE1"/>
    <w:rsid w:val="0051501E"/>
    <w:rsid w:val="005150B2"/>
    <w:rsid w:val="005150DE"/>
    <w:rsid w:val="00515243"/>
    <w:rsid w:val="00515286"/>
    <w:rsid w:val="00515462"/>
    <w:rsid w:val="00515494"/>
    <w:rsid w:val="005154B9"/>
    <w:rsid w:val="005155CE"/>
    <w:rsid w:val="005155D2"/>
    <w:rsid w:val="005157C5"/>
    <w:rsid w:val="005157CF"/>
    <w:rsid w:val="0051583F"/>
    <w:rsid w:val="005158AF"/>
    <w:rsid w:val="00515909"/>
    <w:rsid w:val="00515A8A"/>
    <w:rsid w:val="00515AF5"/>
    <w:rsid w:val="00515B39"/>
    <w:rsid w:val="00515BF8"/>
    <w:rsid w:val="00515CFE"/>
    <w:rsid w:val="00515DC1"/>
    <w:rsid w:val="00515DF6"/>
    <w:rsid w:val="00515E19"/>
    <w:rsid w:val="00515E26"/>
    <w:rsid w:val="00515F39"/>
    <w:rsid w:val="00515FAE"/>
    <w:rsid w:val="005160DB"/>
    <w:rsid w:val="00516140"/>
    <w:rsid w:val="00516160"/>
    <w:rsid w:val="0051618B"/>
    <w:rsid w:val="00516206"/>
    <w:rsid w:val="005162CF"/>
    <w:rsid w:val="00516348"/>
    <w:rsid w:val="0051635D"/>
    <w:rsid w:val="0051638A"/>
    <w:rsid w:val="005163AE"/>
    <w:rsid w:val="005164D2"/>
    <w:rsid w:val="00516586"/>
    <w:rsid w:val="00516698"/>
    <w:rsid w:val="00516976"/>
    <w:rsid w:val="00516A8E"/>
    <w:rsid w:val="00516ABB"/>
    <w:rsid w:val="00516C3C"/>
    <w:rsid w:val="00516C9D"/>
    <w:rsid w:val="00516D69"/>
    <w:rsid w:val="00516D91"/>
    <w:rsid w:val="00516DC4"/>
    <w:rsid w:val="00516E3B"/>
    <w:rsid w:val="00516E52"/>
    <w:rsid w:val="00516E92"/>
    <w:rsid w:val="00517014"/>
    <w:rsid w:val="00517146"/>
    <w:rsid w:val="005171D8"/>
    <w:rsid w:val="00517223"/>
    <w:rsid w:val="005172BA"/>
    <w:rsid w:val="005172F9"/>
    <w:rsid w:val="0051739F"/>
    <w:rsid w:val="005174BD"/>
    <w:rsid w:val="0051759C"/>
    <w:rsid w:val="005175FA"/>
    <w:rsid w:val="00517678"/>
    <w:rsid w:val="00517680"/>
    <w:rsid w:val="0051775F"/>
    <w:rsid w:val="005177D4"/>
    <w:rsid w:val="00517894"/>
    <w:rsid w:val="005178CB"/>
    <w:rsid w:val="00517934"/>
    <w:rsid w:val="0051796F"/>
    <w:rsid w:val="005179DD"/>
    <w:rsid w:val="00517ACC"/>
    <w:rsid w:val="00517AFC"/>
    <w:rsid w:val="00517C4B"/>
    <w:rsid w:val="00517C70"/>
    <w:rsid w:val="00517DCF"/>
    <w:rsid w:val="00517E09"/>
    <w:rsid w:val="00517E54"/>
    <w:rsid w:val="00517E6E"/>
    <w:rsid w:val="00517F4A"/>
    <w:rsid w:val="00517F68"/>
    <w:rsid w:val="00517F77"/>
    <w:rsid w:val="00517FC4"/>
    <w:rsid w:val="0052002C"/>
    <w:rsid w:val="0052005D"/>
    <w:rsid w:val="0052005F"/>
    <w:rsid w:val="0052006B"/>
    <w:rsid w:val="005200E3"/>
    <w:rsid w:val="00520190"/>
    <w:rsid w:val="005201F5"/>
    <w:rsid w:val="00520299"/>
    <w:rsid w:val="005202DD"/>
    <w:rsid w:val="00520365"/>
    <w:rsid w:val="00520501"/>
    <w:rsid w:val="005205BA"/>
    <w:rsid w:val="005205E9"/>
    <w:rsid w:val="0052086F"/>
    <w:rsid w:val="005209FB"/>
    <w:rsid w:val="00520A7B"/>
    <w:rsid w:val="00520AE1"/>
    <w:rsid w:val="00520C62"/>
    <w:rsid w:val="00520C6E"/>
    <w:rsid w:val="00520CDA"/>
    <w:rsid w:val="00520D66"/>
    <w:rsid w:val="00520F21"/>
    <w:rsid w:val="00520F36"/>
    <w:rsid w:val="00521113"/>
    <w:rsid w:val="00521180"/>
    <w:rsid w:val="005211E7"/>
    <w:rsid w:val="005212B2"/>
    <w:rsid w:val="0052142B"/>
    <w:rsid w:val="0052144F"/>
    <w:rsid w:val="005214B4"/>
    <w:rsid w:val="00521540"/>
    <w:rsid w:val="005215A4"/>
    <w:rsid w:val="0052169E"/>
    <w:rsid w:val="00521705"/>
    <w:rsid w:val="00521771"/>
    <w:rsid w:val="00521A4B"/>
    <w:rsid w:val="00521B70"/>
    <w:rsid w:val="00521BB8"/>
    <w:rsid w:val="00521BEF"/>
    <w:rsid w:val="00521C74"/>
    <w:rsid w:val="00521D19"/>
    <w:rsid w:val="00521D91"/>
    <w:rsid w:val="00521DCA"/>
    <w:rsid w:val="00521DCD"/>
    <w:rsid w:val="00521E60"/>
    <w:rsid w:val="00521E6E"/>
    <w:rsid w:val="00521FCD"/>
    <w:rsid w:val="00522180"/>
    <w:rsid w:val="005221CA"/>
    <w:rsid w:val="00522239"/>
    <w:rsid w:val="0052228D"/>
    <w:rsid w:val="00522295"/>
    <w:rsid w:val="00522454"/>
    <w:rsid w:val="00522477"/>
    <w:rsid w:val="005226EE"/>
    <w:rsid w:val="00522705"/>
    <w:rsid w:val="0052271D"/>
    <w:rsid w:val="00522817"/>
    <w:rsid w:val="005229BA"/>
    <w:rsid w:val="00522AF6"/>
    <w:rsid w:val="00522B8D"/>
    <w:rsid w:val="00522BEF"/>
    <w:rsid w:val="00522CE6"/>
    <w:rsid w:val="00522D00"/>
    <w:rsid w:val="00522DE0"/>
    <w:rsid w:val="00522E98"/>
    <w:rsid w:val="00522EBF"/>
    <w:rsid w:val="00522FBD"/>
    <w:rsid w:val="0052305C"/>
    <w:rsid w:val="00523134"/>
    <w:rsid w:val="005232AA"/>
    <w:rsid w:val="00523427"/>
    <w:rsid w:val="0052354B"/>
    <w:rsid w:val="0052356D"/>
    <w:rsid w:val="0052365F"/>
    <w:rsid w:val="0052372E"/>
    <w:rsid w:val="005238BB"/>
    <w:rsid w:val="00523947"/>
    <w:rsid w:val="00523956"/>
    <w:rsid w:val="00523984"/>
    <w:rsid w:val="00523A41"/>
    <w:rsid w:val="00523ADB"/>
    <w:rsid w:val="00523B01"/>
    <w:rsid w:val="00523B55"/>
    <w:rsid w:val="00523B7D"/>
    <w:rsid w:val="00523B80"/>
    <w:rsid w:val="00523B99"/>
    <w:rsid w:val="00523BAF"/>
    <w:rsid w:val="00523C9F"/>
    <w:rsid w:val="00523D80"/>
    <w:rsid w:val="00523DB8"/>
    <w:rsid w:val="00523DD2"/>
    <w:rsid w:val="00523E67"/>
    <w:rsid w:val="00523FFA"/>
    <w:rsid w:val="0052402D"/>
    <w:rsid w:val="00524089"/>
    <w:rsid w:val="00524169"/>
    <w:rsid w:val="0052422F"/>
    <w:rsid w:val="005242A4"/>
    <w:rsid w:val="005243AB"/>
    <w:rsid w:val="005243BA"/>
    <w:rsid w:val="005244CB"/>
    <w:rsid w:val="00524680"/>
    <w:rsid w:val="0052482E"/>
    <w:rsid w:val="00524893"/>
    <w:rsid w:val="005248D3"/>
    <w:rsid w:val="0052491E"/>
    <w:rsid w:val="0052497E"/>
    <w:rsid w:val="00524A22"/>
    <w:rsid w:val="00524AD4"/>
    <w:rsid w:val="00524AF6"/>
    <w:rsid w:val="00524C8E"/>
    <w:rsid w:val="00524DC0"/>
    <w:rsid w:val="00524DC9"/>
    <w:rsid w:val="00524E0B"/>
    <w:rsid w:val="00524E24"/>
    <w:rsid w:val="00525158"/>
    <w:rsid w:val="005251B8"/>
    <w:rsid w:val="005251E1"/>
    <w:rsid w:val="005252CD"/>
    <w:rsid w:val="00525395"/>
    <w:rsid w:val="005253D5"/>
    <w:rsid w:val="005253E1"/>
    <w:rsid w:val="00525404"/>
    <w:rsid w:val="00525528"/>
    <w:rsid w:val="005255D3"/>
    <w:rsid w:val="00525931"/>
    <w:rsid w:val="00525973"/>
    <w:rsid w:val="00525AA0"/>
    <w:rsid w:val="00525AA6"/>
    <w:rsid w:val="00525AAB"/>
    <w:rsid w:val="00525B60"/>
    <w:rsid w:val="00525BBE"/>
    <w:rsid w:val="00525D16"/>
    <w:rsid w:val="00525D41"/>
    <w:rsid w:val="00525D5F"/>
    <w:rsid w:val="00525D81"/>
    <w:rsid w:val="00525E47"/>
    <w:rsid w:val="00525E56"/>
    <w:rsid w:val="00525E86"/>
    <w:rsid w:val="00525E9E"/>
    <w:rsid w:val="00525F1B"/>
    <w:rsid w:val="00525FAF"/>
    <w:rsid w:val="00526103"/>
    <w:rsid w:val="00526223"/>
    <w:rsid w:val="00526318"/>
    <w:rsid w:val="005264AA"/>
    <w:rsid w:val="005264B3"/>
    <w:rsid w:val="005264F4"/>
    <w:rsid w:val="0052653C"/>
    <w:rsid w:val="005265FC"/>
    <w:rsid w:val="00526648"/>
    <w:rsid w:val="005266DF"/>
    <w:rsid w:val="0052673F"/>
    <w:rsid w:val="0052676E"/>
    <w:rsid w:val="00526794"/>
    <w:rsid w:val="005268C8"/>
    <w:rsid w:val="005268D2"/>
    <w:rsid w:val="0052690C"/>
    <w:rsid w:val="00526928"/>
    <w:rsid w:val="00526975"/>
    <w:rsid w:val="00526B51"/>
    <w:rsid w:val="00526B94"/>
    <w:rsid w:val="00526CAD"/>
    <w:rsid w:val="00526D24"/>
    <w:rsid w:val="00526D69"/>
    <w:rsid w:val="00526D9D"/>
    <w:rsid w:val="00526DBE"/>
    <w:rsid w:val="00526DC7"/>
    <w:rsid w:val="00526F50"/>
    <w:rsid w:val="0052706F"/>
    <w:rsid w:val="0052722B"/>
    <w:rsid w:val="005272AA"/>
    <w:rsid w:val="0052753F"/>
    <w:rsid w:val="0052756C"/>
    <w:rsid w:val="005275B2"/>
    <w:rsid w:val="0052761F"/>
    <w:rsid w:val="005276FD"/>
    <w:rsid w:val="0052771C"/>
    <w:rsid w:val="00527745"/>
    <w:rsid w:val="00527897"/>
    <w:rsid w:val="005278F1"/>
    <w:rsid w:val="0052793C"/>
    <w:rsid w:val="00527943"/>
    <w:rsid w:val="0052795A"/>
    <w:rsid w:val="00527963"/>
    <w:rsid w:val="0052799B"/>
    <w:rsid w:val="00527AD9"/>
    <w:rsid w:val="00527DF0"/>
    <w:rsid w:val="00527E1A"/>
    <w:rsid w:val="00527E39"/>
    <w:rsid w:val="00527E3F"/>
    <w:rsid w:val="00527E52"/>
    <w:rsid w:val="00527FFD"/>
    <w:rsid w:val="00530025"/>
    <w:rsid w:val="00530182"/>
    <w:rsid w:val="00530243"/>
    <w:rsid w:val="0053024A"/>
    <w:rsid w:val="00530325"/>
    <w:rsid w:val="0053032D"/>
    <w:rsid w:val="00530401"/>
    <w:rsid w:val="00530710"/>
    <w:rsid w:val="0053071C"/>
    <w:rsid w:val="00530751"/>
    <w:rsid w:val="005307E4"/>
    <w:rsid w:val="00530989"/>
    <w:rsid w:val="005309D7"/>
    <w:rsid w:val="00530B15"/>
    <w:rsid w:val="00530BA5"/>
    <w:rsid w:val="00530BC3"/>
    <w:rsid w:val="00530E20"/>
    <w:rsid w:val="00530FAA"/>
    <w:rsid w:val="005310B5"/>
    <w:rsid w:val="005311A9"/>
    <w:rsid w:val="0053126D"/>
    <w:rsid w:val="00531272"/>
    <w:rsid w:val="00531376"/>
    <w:rsid w:val="005314C5"/>
    <w:rsid w:val="00531552"/>
    <w:rsid w:val="00531605"/>
    <w:rsid w:val="00531651"/>
    <w:rsid w:val="0053165A"/>
    <w:rsid w:val="00531786"/>
    <w:rsid w:val="005317C2"/>
    <w:rsid w:val="0053180B"/>
    <w:rsid w:val="00531846"/>
    <w:rsid w:val="005318FC"/>
    <w:rsid w:val="0053190D"/>
    <w:rsid w:val="00531A33"/>
    <w:rsid w:val="00531B4F"/>
    <w:rsid w:val="00531B69"/>
    <w:rsid w:val="00531C04"/>
    <w:rsid w:val="00531C75"/>
    <w:rsid w:val="00531CDE"/>
    <w:rsid w:val="00531CE4"/>
    <w:rsid w:val="00531E25"/>
    <w:rsid w:val="00531E32"/>
    <w:rsid w:val="00531E3D"/>
    <w:rsid w:val="00531E57"/>
    <w:rsid w:val="00531E6E"/>
    <w:rsid w:val="00531F45"/>
    <w:rsid w:val="00531FAF"/>
    <w:rsid w:val="005321EE"/>
    <w:rsid w:val="0053236B"/>
    <w:rsid w:val="005323AA"/>
    <w:rsid w:val="005323B5"/>
    <w:rsid w:val="0053242E"/>
    <w:rsid w:val="0053247F"/>
    <w:rsid w:val="00532581"/>
    <w:rsid w:val="00532584"/>
    <w:rsid w:val="00532676"/>
    <w:rsid w:val="005326D4"/>
    <w:rsid w:val="0053278D"/>
    <w:rsid w:val="00532848"/>
    <w:rsid w:val="0053294C"/>
    <w:rsid w:val="005329F2"/>
    <w:rsid w:val="00532A60"/>
    <w:rsid w:val="00532AC1"/>
    <w:rsid w:val="00532B26"/>
    <w:rsid w:val="00532B69"/>
    <w:rsid w:val="00532B94"/>
    <w:rsid w:val="00532C92"/>
    <w:rsid w:val="00532E90"/>
    <w:rsid w:val="00532EBB"/>
    <w:rsid w:val="00532F40"/>
    <w:rsid w:val="00532FEB"/>
    <w:rsid w:val="00533099"/>
    <w:rsid w:val="005330BD"/>
    <w:rsid w:val="00533153"/>
    <w:rsid w:val="0053325E"/>
    <w:rsid w:val="00533269"/>
    <w:rsid w:val="00533333"/>
    <w:rsid w:val="00533340"/>
    <w:rsid w:val="0053334E"/>
    <w:rsid w:val="005333F7"/>
    <w:rsid w:val="00533401"/>
    <w:rsid w:val="005334BE"/>
    <w:rsid w:val="00533619"/>
    <w:rsid w:val="00533761"/>
    <w:rsid w:val="0053377B"/>
    <w:rsid w:val="005338CB"/>
    <w:rsid w:val="005338EE"/>
    <w:rsid w:val="00533990"/>
    <w:rsid w:val="005339C7"/>
    <w:rsid w:val="00533D61"/>
    <w:rsid w:val="00533DF1"/>
    <w:rsid w:val="00533E1C"/>
    <w:rsid w:val="00533ED8"/>
    <w:rsid w:val="00533FEE"/>
    <w:rsid w:val="00534093"/>
    <w:rsid w:val="005340E9"/>
    <w:rsid w:val="00534168"/>
    <w:rsid w:val="005342DC"/>
    <w:rsid w:val="005343A9"/>
    <w:rsid w:val="00534436"/>
    <w:rsid w:val="00534453"/>
    <w:rsid w:val="0053445D"/>
    <w:rsid w:val="005344C7"/>
    <w:rsid w:val="00534515"/>
    <w:rsid w:val="005345BD"/>
    <w:rsid w:val="00534656"/>
    <w:rsid w:val="00534681"/>
    <w:rsid w:val="005346B4"/>
    <w:rsid w:val="005346C7"/>
    <w:rsid w:val="005347BD"/>
    <w:rsid w:val="005349C7"/>
    <w:rsid w:val="005349FE"/>
    <w:rsid w:val="00534AC0"/>
    <w:rsid w:val="00534B24"/>
    <w:rsid w:val="00534C2C"/>
    <w:rsid w:val="00534DCA"/>
    <w:rsid w:val="00534DCB"/>
    <w:rsid w:val="00534E8D"/>
    <w:rsid w:val="00534E91"/>
    <w:rsid w:val="00534F6B"/>
    <w:rsid w:val="00534FB2"/>
    <w:rsid w:val="00534FFC"/>
    <w:rsid w:val="005350A7"/>
    <w:rsid w:val="005350A8"/>
    <w:rsid w:val="005350F0"/>
    <w:rsid w:val="00535130"/>
    <w:rsid w:val="005351D6"/>
    <w:rsid w:val="005352C4"/>
    <w:rsid w:val="00535376"/>
    <w:rsid w:val="00535476"/>
    <w:rsid w:val="0053580C"/>
    <w:rsid w:val="00535889"/>
    <w:rsid w:val="00535918"/>
    <w:rsid w:val="005359CE"/>
    <w:rsid w:val="005359E6"/>
    <w:rsid w:val="00535A4B"/>
    <w:rsid w:val="00535B61"/>
    <w:rsid w:val="00535EDD"/>
    <w:rsid w:val="00535EF7"/>
    <w:rsid w:val="00535F03"/>
    <w:rsid w:val="00535F9E"/>
    <w:rsid w:val="00535FB4"/>
    <w:rsid w:val="00535FBD"/>
    <w:rsid w:val="0053627C"/>
    <w:rsid w:val="00536284"/>
    <w:rsid w:val="005363A0"/>
    <w:rsid w:val="00536444"/>
    <w:rsid w:val="0053658F"/>
    <w:rsid w:val="005365D0"/>
    <w:rsid w:val="00536669"/>
    <w:rsid w:val="0053670E"/>
    <w:rsid w:val="0053677E"/>
    <w:rsid w:val="005367B5"/>
    <w:rsid w:val="00536913"/>
    <w:rsid w:val="00536922"/>
    <w:rsid w:val="00536A68"/>
    <w:rsid w:val="00536B1B"/>
    <w:rsid w:val="00536B49"/>
    <w:rsid w:val="00536B5B"/>
    <w:rsid w:val="00536B65"/>
    <w:rsid w:val="00536C16"/>
    <w:rsid w:val="00536F42"/>
    <w:rsid w:val="00536FFE"/>
    <w:rsid w:val="00537038"/>
    <w:rsid w:val="00537118"/>
    <w:rsid w:val="00537142"/>
    <w:rsid w:val="00537235"/>
    <w:rsid w:val="00537242"/>
    <w:rsid w:val="00537294"/>
    <w:rsid w:val="00537304"/>
    <w:rsid w:val="005373B3"/>
    <w:rsid w:val="005373B9"/>
    <w:rsid w:val="00537408"/>
    <w:rsid w:val="00537481"/>
    <w:rsid w:val="00537503"/>
    <w:rsid w:val="005375CA"/>
    <w:rsid w:val="005375ED"/>
    <w:rsid w:val="005376DA"/>
    <w:rsid w:val="005376FA"/>
    <w:rsid w:val="00537706"/>
    <w:rsid w:val="0053773F"/>
    <w:rsid w:val="005377CB"/>
    <w:rsid w:val="0053783F"/>
    <w:rsid w:val="005378A7"/>
    <w:rsid w:val="005378BA"/>
    <w:rsid w:val="005378D2"/>
    <w:rsid w:val="0053792E"/>
    <w:rsid w:val="00537A62"/>
    <w:rsid w:val="00537C33"/>
    <w:rsid w:val="00537C8F"/>
    <w:rsid w:val="00537CCF"/>
    <w:rsid w:val="00537E7A"/>
    <w:rsid w:val="00537F03"/>
    <w:rsid w:val="00537F92"/>
    <w:rsid w:val="00537FC9"/>
    <w:rsid w:val="00540009"/>
    <w:rsid w:val="0054017F"/>
    <w:rsid w:val="005402B8"/>
    <w:rsid w:val="00540328"/>
    <w:rsid w:val="005403DC"/>
    <w:rsid w:val="0054046F"/>
    <w:rsid w:val="00540551"/>
    <w:rsid w:val="00540726"/>
    <w:rsid w:val="00540910"/>
    <w:rsid w:val="005409C8"/>
    <w:rsid w:val="00540A0E"/>
    <w:rsid w:val="00540BEB"/>
    <w:rsid w:val="00540C4B"/>
    <w:rsid w:val="00540D83"/>
    <w:rsid w:val="00540E01"/>
    <w:rsid w:val="00540E4D"/>
    <w:rsid w:val="00540E8F"/>
    <w:rsid w:val="00540EEF"/>
    <w:rsid w:val="00540F58"/>
    <w:rsid w:val="005412C9"/>
    <w:rsid w:val="0054133B"/>
    <w:rsid w:val="00541385"/>
    <w:rsid w:val="005413CA"/>
    <w:rsid w:val="005413F7"/>
    <w:rsid w:val="005414D2"/>
    <w:rsid w:val="005414F3"/>
    <w:rsid w:val="0054155E"/>
    <w:rsid w:val="00541571"/>
    <w:rsid w:val="0054159C"/>
    <w:rsid w:val="005415C9"/>
    <w:rsid w:val="005416C9"/>
    <w:rsid w:val="0054177D"/>
    <w:rsid w:val="005417CB"/>
    <w:rsid w:val="00541890"/>
    <w:rsid w:val="0054196B"/>
    <w:rsid w:val="00541A71"/>
    <w:rsid w:val="00541B67"/>
    <w:rsid w:val="00541BA1"/>
    <w:rsid w:val="00541BBC"/>
    <w:rsid w:val="00541CED"/>
    <w:rsid w:val="00541D46"/>
    <w:rsid w:val="00541D5C"/>
    <w:rsid w:val="00541DA9"/>
    <w:rsid w:val="00541F30"/>
    <w:rsid w:val="00541FDF"/>
    <w:rsid w:val="00542022"/>
    <w:rsid w:val="005420BD"/>
    <w:rsid w:val="00542266"/>
    <w:rsid w:val="0054228B"/>
    <w:rsid w:val="005423AC"/>
    <w:rsid w:val="005423B3"/>
    <w:rsid w:val="0054245F"/>
    <w:rsid w:val="0054253E"/>
    <w:rsid w:val="005426D1"/>
    <w:rsid w:val="00542770"/>
    <w:rsid w:val="005427A1"/>
    <w:rsid w:val="005427B4"/>
    <w:rsid w:val="0054280F"/>
    <w:rsid w:val="005428A6"/>
    <w:rsid w:val="005429FF"/>
    <w:rsid w:val="00542A35"/>
    <w:rsid w:val="00542BA1"/>
    <w:rsid w:val="00542CD2"/>
    <w:rsid w:val="00542D3B"/>
    <w:rsid w:val="00542D9D"/>
    <w:rsid w:val="00542DFE"/>
    <w:rsid w:val="00542E1C"/>
    <w:rsid w:val="00542E48"/>
    <w:rsid w:val="00542E5A"/>
    <w:rsid w:val="00542E94"/>
    <w:rsid w:val="00542EF8"/>
    <w:rsid w:val="00542F86"/>
    <w:rsid w:val="00543019"/>
    <w:rsid w:val="0054309D"/>
    <w:rsid w:val="005430BE"/>
    <w:rsid w:val="00543132"/>
    <w:rsid w:val="00543170"/>
    <w:rsid w:val="005431C3"/>
    <w:rsid w:val="0054328E"/>
    <w:rsid w:val="0054332F"/>
    <w:rsid w:val="0054335B"/>
    <w:rsid w:val="0054337C"/>
    <w:rsid w:val="00543441"/>
    <w:rsid w:val="0054345A"/>
    <w:rsid w:val="0054347A"/>
    <w:rsid w:val="005437A5"/>
    <w:rsid w:val="0054382F"/>
    <w:rsid w:val="0054397D"/>
    <w:rsid w:val="00543A41"/>
    <w:rsid w:val="00543B0B"/>
    <w:rsid w:val="00543B6F"/>
    <w:rsid w:val="00543B98"/>
    <w:rsid w:val="00543C64"/>
    <w:rsid w:val="00543CAF"/>
    <w:rsid w:val="00543E1F"/>
    <w:rsid w:val="00543EE4"/>
    <w:rsid w:val="00543F0F"/>
    <w:rsid w:val="00543FB9"/>
    <w:rsid w:val="00543FE7"/>
    <w:rsid w:val="00544034"/>
    <w:rsid w:val="0054413A"/>
    <w:rsid w:val="00544282"/>
    <w:rsid w:val="0054456A"/>
    <w:rsid w:val="005445F5"/>
    <w:rsid w:val="005446D5"/>
    <w:rsid w:val="0054473E"/>
    <w:rsid w:val="005447A1"/>
    <w:rsid w:val="0054480B"/>
    <w:rsid w:val="00544A59"/>
    <w:rsid w:val="00544A7D"/>
    <w:rsid w:val="00544AE7"/>
    <w:rsid w:val="00544BE8"/>
    <w:rsid w:val="00544C7C"/>
    <w:rsid w:val="00544D34"/>
    <w:rsid w:val="00544E13"/>
    <w:rsid w:val="00544E77"/>
    <w:rsid w:val="00545036"/>
    <w:rsid w:val="005450F3"/>
    <w:rsid w:val="0054515A"/>
    <w:rsid w:val="0054517D"/>
    <w:rsid w:val="0054518F"/>
    <w:rsid w:val="0054526A"/>
    <w:rsid w:val="005452E9"/>
    <w:rsid w:val="00545390"/>
    <w:rsid w:val="00545394"/>
    <w:rsid w:val="00545424"/>
    <w:rsid w:val="00545567"/>
    <w:rsid w:val="0054556D"/>
    <w:rsid w:val="0054562B"/>
    <w:rsid w:val="0054579D"/>
    <w:rsid w:val="00545998"/>
    <w:rsid w:val="005459D9"/>
    <w:rsid w:val="00545A11"/>
    <w:rsid w:val="00545AB0"/>
    <w:rsid w:val="00545AC2"/>
    <w:rsid w:val="00545AD9"/>
    <w:rsid w:val="00545B72"/>
    <w:rsid w:val="00545BE7"/>
    <w:rsid w:val="00545C5B"/>
    <w:rsid w:val="00545C8A"/>
    <w:rsid w:val="00545D7D"/>
    <w:rsid w:val="00546021"/>
    <w:rsid w:val="00546036"/>
    <w:rsid w:val="005460B3"/>
    <w:rsid w:val="005460CA"/>
    <w:rsid w:val="005460E1"/>
    <w:rsid w:val="005460FA"/>
    <w:rsid w:val="0054610A"/>
    <w:rsid w:val="0054615C"/>
    <w:rsid w:val="00546258"/>
    <w:rsid w:val="005462EF"/>
    <w:rsid w:val="005462F8"/>
    <w:rsid w:val="0054636B"/>
    <w:rsid w:val="005463CE"/>
    <w:rsid w:val="00546478"/>
    <w:rsid w:val="005467DE"/>
    <w:rsid w:val="00546825"/>
    <w:rsid w:val="0054691B"/>
    <w:rsid w:val="0054692F"/>
    <w:rsid w:val="00546930"/>
    <w:rsid w:val="0054696A"/>
    <w:rsid w:val="00546994"/>
    <w:rsid w:val="005469F4"/>
    <w:rsid w:val="00546E8A"/>
    <w:rsid w:val="00546F3F"/>
    <w:rsid w:val="00547075"/>
    <w:rsid w:val="005470DF"/>
    <w:rsid w:val="0054734B"/>
    <w:rsid w:val="005474DA"/>
    <w:rsid w:val="00547551"/>
    <w:rsid w:val="00547573"/>
    <w:rsid w:val="0054759A"/>
    <w:rsid w:val="00547640"/>
    <w:rsid w:val="005476B0"/>
    <w:rsid w:val="00547718"/>
    <w:rsid w:val="00547728"/>
    <w:rsid w:val="00547765"/>
    <w:rsid w:val="00547833"/>
    <w:rsid w:val="0054785D"/>
    <w:rsid w:val="0054793A"/>
    <w:rsid w:val="00547A77"/>
    <w:rsid w:val="00547BE5"/>
    <w:rsid w:val="00547D20"/>
    <w:rsid w:val="00547DE1"/>
    <w:rsid w:val="00547E1C"/>
    <w:rsid w:val="00547F86"/>
    <w:rsid w:val="00547FE1"/>
    <w:rsid w:val="00550061"/>
    <w:rsid w:val="00550218"/>
    <w:rsid w:val="0055026E"/>
    <w:rsid w:val="005502B2"/>
    <w:rsid w:val="005503DF"/>
    <w:rsid w:val="005504C5"/>
    <w:rsid w:val="00550518"/>
    <w:rsid w:val="00550588"/>
    <w:rsid w:val="005505D3"/>
    <w:rsid w:val="005506C6"/>
    <w:rsid w:val="005506CF"/>
    <w:rsid w:val="005506EE"/>
    <w:rsid w:val="00550704"/>
    <w:rsid w:val="005507CC"/>
    <w:rsid w:val="005507DB"/>
    <w:rsid w:val="0055088A"/>
    <w:rsid w:val="0055088B"/>
    <w:rsid w:val="0055090F"/>
    <w:rsid w:val="0055098F"/>
    <w:rsid w:val="00550A04"/>
    <w:rsid w:val="00550A37"/>
    <w:rsid w:val="00550A6A"/>
    <w:rsid w:val="00550ACC"/>
    <w:rsid w:val="00550E95"/>
    <w:rsid w:val="00550F24"/>
    <w:rsid w:val="0055124E"/>
    <w:rsid w:val="00551264"/>
    <w:rsid w:val="0055131E"/>
    <w:rsid w:val="00551410"/>
    <w:rsid w:val="00551437"/>
    <w:rsid w:val="005514CE"/>
    <w:rsid w:val="00551635"/>
    <w:rsid w:val="00551639"/>
    <w:rsid w:val="0055165B"/>
    <w:rsid w:val="00551673"/>
    <w:rsid w:val="0055174F"/>
    <w:rsid w:val="005518F7"/>
    <w:rsid w:val="00551B61"/>
    <w:rsid w:val="00551C96"/>
    <w:rsid w:val="00551C9F"/>
    <w:rsid w:val="00551D0F"/>
    <w:rsid w:val="00551F31"/>
    <w:rsid w:val="00552157"/>
    <w:rsid w:val="00552233"/>
    <w:rsid w:val="00552498"/>
    <w:rsid w:val="00552665"/>
    <w:rsid w:val="005527AB"/>
    <w:rsid w:val="00552816"/>
    <w:rsid w:val="005528E7"/>
    <w:rsid w:val="005528F3"/>
    <w:rsid w:val="00552A3F"/>
    <w:rsid w:val="00552A93"/>
    <w:rsid w:val="00552AE1"/>
    <w:rsid w:val="00552B44"/>
    <w:rsid w:val="00552C81"/>
    <w:rsid w:val="00552DFB"/>
    <w:rsid w:val="00552DFE"/>
    <w:rsid w:val="00552F58"/>
    <w:rsid w:val="00552F6D"/>
    <w:rsid w:val="005530C0"/>
    <w:rsid w:val="0055316C"/>
    <w:rsid w:val="0055325E"/>
    <w:rsid w:val="005532B1"/>
    <w:rsid w:val="00553580"/>
    <w:rsid w:val="005535D5"/>
    <w:rsid w:val="005536AA"/>
    <w:rsid w:val="005536BB"/>
    <w:rsid w:val="00553837"/>
    <w:rsid w:val="0055394D"/>
    <w:rsid w:val="0055395C"/>
    <w:rsid w:val="00553961"/>
    <w:rsid w:val="0055397F"/>
    <w:rsid w:val="00553A04"/>
    <w:rsid w:val="00553A0C"/>
    <w:rsid w:val="00553C2C"/>
    <w:rsid w:val="00553E17"/>
    <w:rsid w:val="00553E21"/>
    <w:rsid w:val="00553E37"/>
    <w:rsid w:val="00553E48"/>
    <w:rsid w:val="00554073"/>
    <w:rsid w:val="0055407E"/>
    <w:rsid w:val="005540FF"/>
    <w:rsid w:val="0055411D"/>
    <w:rsid w:val="005541AF"/>
    <w:rsid w:val="0055429F"/>
    <w:rsid w:val="005544B1"/>
    <w:rsid w:val="00554517"/>
    <w:rsid w:val="0055459D"/>
    <w:rsid w:val="005547B6"/>
    <w:rsid w:val="005549C4"/>
    <w:rsid w:val="00554B5D"/>
    <w:rsid w:val="00554C68"/>
    <w:rsid w:val="00554C83"/>
    <w:rsid w:val="00554D5F"/>
    <w:rsid w:val="00554E78"/>
    <w:rsid w:val="00554F0E"/>
    <w:rsid w:val="00554F34"/>
    <w:rsid w:val="00554F7E"/>
    <w:rsid w:val="00555059"/>
    <w:rsid w:val="005550C5"/>
    <w:rsid w:val="005550FF"/>
    <w:rsid w:val="0055510E"/>
    <w:rsid w:val="005551E8"/>
    <w:rsid w:val="0055529A"/>
    <w:rsid w:val="0055529C"/>
    <w:rsid w:val="005552A4"/>
    <w:rsid w:val="005552FD"/>
    <w:rsid w:val="005553D5"/>
    <w:rsid w:val="00555423"/>
    <w:rsid w:val="005554E6"/>
    <w:rsid w:val="005556E0"/>
    <w:rsid w:val="0055579D"/>
    <w:rsid w:val="005557D3"/>
    <w:rsid w:val="005558A9"/>
    <w:rsid w:val="005558BE"/>
    <w:rsid w:val="00555966"/>
    <w:rsid w:val="00555A2D"/>
    <w:rsid w:val="00555AA1"/>
    <w:rsid w:val="00555B30"/>
    <w:rsid w:val="00555C29"/>
    <w:rsid w:val="00555C2E"/>
    <w:rsid w:val="00555C5E"/>
    <w:rsid w:val="00555D0E"/>
    <w:rsid w:val="00555D93"/>
    <w:rsid w:val="00555ECC"/>
    <w:rsid w:val="00555EDA"/>
    <w:rsid w:val="00556131"/>
    <w:rsid w:val="005561D8"/>
    <w:rsid w:val="00556396"/>
    <w:rsid w:val="00556399"/>
    <w:rsid w:val="00556422"/>
    <w:rsid w:val="005564C8"/>
    <w:rsid w:val="00556588"/>
    <w:rsid w:val="005565C3"/>
    <w:rsid w:val="00556612"/>
    <w:rsid w:val="005566A5"/>
    <w:rsid w:val="00556743"/>
    <w:rsid w:val="0055679D"/>
    <w:rsid w:val="0055682C"/>
    <w:rsid w:val="00556887"/>
    <w:rsid w:val="00556933"/>
    <w:rsid w:val="00556999"/>
    <w:rsid w:val="005569C0"/>
    <w:rsid w:val="00556AA7"/>
    <w:rsid w:val="00556AEA"/>
    <w:rsid w:val="00556B24"/>
    <w:rsid w:val="00556C18"/>
    <w:rsid w:val="00556CFD"/>
    <w:rsid w:val="00556D6D"/>
    <w:rsid w:val="00556D88"/>
    <w:rsid w:val="00556DB7"/>
    <w:rsid w:val="00556EDA"/>
    <w:rsid w:val="00557131"/>
    <w:rsid w:val="00557198"/>
    <w:rsid w:val="00557223"/>
    <w:rsid w:val="00557275"/>
    <w:rsid w:val="005572F0"/>
    <w:rsid w:val="0055732F"/>
    <w:rsid w:val="00557461"/>
    <w:rsid w:val="005576FC"/>
    <w:rsid w:val="00557763"/>
    <w:rsid w:val="00557A23"/>
    <w:rsid w:val="00557A82"/>
    <w:rsid w:val="00557B29"/>
    <w:rsid w:val="00557BCD"/>
    <w:rsid w:val="00557C96"/>
    <w:rsid w:val="00557DA6"/>
    <w:rsid w:val="00557F1C"/>
    <w:rsid w:val="00557F94"/>
    <w:rsid w:val="00557FAA"/>
    <w:rsid w:val="0056004F"/>
    <w:rsid w:val="00560057"/>
    <w:rsid w:val="005601CB"/>
    <w:rsid w:val="005601DB"/>
    <w:rsid w:val="00560310"/>
    <w:rsid w:val="0056045A"/>
    <w:rsid w:val="00560540"/>
    <w:rsid w:val="00560575"/>
    <w:rsid w:val="00560645"/>
    <w:rsid w:val="0056077C"/>
    <w:rsid w:val="00560A9D"/>
    <w:rsid w:val="00560B0A"/>
    <w:rsid w:val="00560B36"/>
    <w:rsid w:val="00560DEC"/>
    <w:rsid w:val="00560DF5"/>
    <w:rsid w:val="00560DFF"/>
    <w:rsid w:val="00560E0B"/>
    <w:rsid w:val="00560F92"/>
    <w:rsid w:val="0056101C"/>
    <w:rsid w:val="005610E9"/>
    <w:rsid w:val="00561267"/>
    <w:rsid w:val="00561408"/>
    <w:rsid w:val="005614C2"/>
    <w:rsid w:val="00561555"/>
    <w:rsid w:val="0056184B"/>
    <w:rsid w:val="0056186E"/>
    <w:rsid w:val="0056187E"/>
    <w:rsid w:val="00561982"/>
    <w:rsid w:val="005619B3"/>
    <w:rsid w:val="00561ACC"/>
    <w:rsid w:val="00561AFF"/>
    <w:rsid w:val="00561B0C"/>
    <w:rsid w:val="00561C4B"/>
    <w:rsid w:val="00561DF2"/>
    <w:rsid w:val="00561E6B"/>
    <w:rsid w:val="00561F00"/>
    <w:rsid w:val="00562019"/>
    <w:rsid w:val="00562029"/>
    <w:rsid w:val="00562039"/>
    <w:rsid w:val="00562086"/>
    <w:rsid w:val="00562154"/>
    <w:rsid w:val="005621F3"/>
    <w:rsid w:val="005622EC"/>
    <w:rsid w:val="00562342"/>
    <w:rsid w:val="005623F6"/>
    <w:rsid w:val="005624FA"/>
    <w:rsid w:val="0056251D"/>
    <w:rsid w:val="0056276C"/>
    <w:rsid w:val="0056280B"/>
    <w:rsid w:val="0056291A"/>
    <w:rsid w:val="00562935"/>
    <w:rsid w:val="00562A1E"/>
    <w:rsid w:val="00562A59"/>
    <w:rsid w:val="00562AC2"/>
    <w:rsid w:val="00562AF4"/>
    <w:rsid w:val="00562AFD"/>
    <w:rsid w:val="00562BB7"/>
    <w:rsid w:val="00562C5D"/>
    <w:rsid w:val="00562D4E"/>
    <w:rsid w:val="00562D9B"/>
    <w:rsid w:val="00562DDC"/>
    <w:rsid w:val="00562DFB"/>
    <w:rsid w:val="00562E47"/>
    <w:rsid w:val="00562EF4"/>
    <w:rsid w:val="00562F3E"/>
    <w:rsid w:val="00562FE8"/>
    <w:rsid w:val="0056300F"/>
    <w:rsid w:val="0056303D"/>
    <w:rsid w:val="005630A4"/>
    <w:rsid w:val="005630C6"/>
    <w:rsid w:val="005631B2"/>
    <w:rsid w:val="005632A6"/>
    <w:rsid w:val="00563321"/>
    <w:rsid w:val="005633EF"/>
    <w:rsid w:val="005633F4"/>
    <w:rsid w:val="00563509"/>
    <w:rsid w:val="0056350E"/>
    <w:rsid w:val="0056355A"/>
    <w:rsid w:val="0056360F"/>
    <w:rsid w:val="0056363E"/>
    <w:rsid w:val="00563950"/>
    <w:rsid w:val="00563A19"/>
    <w:rsid w:val="00563B17"/>
    <w:rsid w:val="00563C1B"/>
    <w:rsid w:val="00563CD1"/>
    <w:rsid w:val="00563CD3"/>
    <w:rsid w:val="00563D42"/>
    <w:rsid w:val="00563D89"/>
    <w:rsid w:val="00563DC5"/>
    <w:rsid w:val="00564118"/>
    <w:rsid w:val="00564299"/>
    <w:rsid w:val="00564449"/>
    <w:rsid w:val="00564503"/>
    <w:rsid w:val="0056452D"/>
    <w:rsid w:val="00564591"/>
    <w:rsid w:val="005645E3"/>
    <w:rsid w:val="005646EC"/>
    <w:rsid w:val="00564826"/>
    <w:rsid w:val="00564880"/>
    <w:rsid w:val="0056490F"/>
    <w:rsid w:val="00564980"/>
    <w:rsid w:val="005649FC"/>
    <w:rsid w:val="00564AF2"/>
    <w:rsid w:val="00564B23"/>
    <w:rsid w:val="00564B31"/>
    <w:rsid w:val="00564B47"/>
    <w:rsid w:val="00564B6D"/>
    <w:rsid w:val="00564B98"/>
    <w:rsid w:val="00564BE7"/>
    <w:rsid w:val="00564C8E"/>
    <w:rsid w:val="00564DDC"/>
    <w:rsid w:val="00564E13"/>
    <w:rsid w:val="00564E2F"/>
    <w:rsid w:val="00564E5F"/>
    <w:rsid w:val="00564E8E"/>
    <w:rsid w:val="00564ED9"/>
    <w:rsid w:val="00564F34"/>
    <w:rsid w:val="0056501A"/>
    <w:rsid w:val="0056512F"/>
    <w:rsid w:val="00565135"/>
    <w:rsid w:val="00565185"/>
    <w:rsid w:val="00565301"/>
    <w:rsid w:val="00565313"/>
    <w:rsid w:val="00565358"/>
    <w:rsid w:val="00565383"/>
    <w:rsid w:val="00565387"/>
    <w:rsid w:val="00565478"/>
    <w:rsid w:val="0056550F"/>
    <w:rsid w:val="00565586"/>
    <w:rsid w:val="00565640"/>
    <w:rsid w:val="0056576B"/>
    <w:rsid w:val="0056579D"/>
    <w:rsid w:val="005657ED"/>
    <w:rsid w:val="005657F8"/>
    <w:rsid w:val="0056587A"/>
    <w:rsid w:val="005658C5"/>
    <w:rsid w:val="00565902"/>
    <w:rsid w:val="00565B26"/>
    <w:rsid w:val="00565BF9"/>
    <w:rsid w:val="00565CB3"/>
    <w:rsid w:val="00565CEE"/>
    <w:rsid w:val="00565D38"/>
    <w:rsid w:val="00565DED"/>
    <w:rsid w:val="00566011"/>
    <w:rsid w:val="00566062"/>
    <w:rsid w:val="0056624F"/>
    <w:rsid w:val="005662A6"/>
    <w:rsid w:val="00566310"/>
    <w:rsid w:val="00566346"/>
    <w:rsid w:val="00566356"/>
    <w:rsid w:val="00566451"/>
    <w:rsid w:val="005665F6"/>
    <w:rsid w:val="00566689"/>
    <w:rsid w:val="005666D1"/>
    <w:rsid w:val="00566774"/>
    <w:rsid w:val="00566818"/>
    <w:rsid w:val="00566859"/>
    <w:rsid w:val="00566879"/>
    <w:rsid w:val="005669B0"/>
    <w:rsid w:val="00566A57"/>
    <w:rsid w:val="00566C73"/>
    <w:rsid w:val="00566CD9"/>
    <w:rsid w:val="00566DC3"/>
    <w:rsid w:val="00566DE9"/>
    <w:rsid w:val="00566F5E"/>
    <w:rsid w:val="00567063"/>
    <w:rsid w:val="0056707D"/>
    <w:rsid w:val="00567127"/>
    <w:rsid w:val="005672AC"/>
    <w:rsid w:val="005672D9"/>
    <w:rsid w:val="005673BD"/>
    <w:rsid w:val="005675B9"/>
    <w:rsid w:val="005675C6"/>
    <w:rsid w:val="005675EC"/>
    <w:rsid w:val="00567653"/>
    <w:rsid w:val="00567684"/>
    <w:rsid w:val="005676D0"/>
    <w:rsid w:val="00567736"/>
    <w:rsid w:val="00567739"/>
    <w:rsid w:val="00567787"/>
    <w:rsid w:val="0056781C"/>
    <w:rsid w:val="005678D1"/>
    <w:rsid w:val="00567947"/>
    <w:rsid w:val="0056798B"/>
    <w:rsid w:val="00567B6C"/>
    <w:rsid w:val="00567BA8"/>
    <w:rsid w:val="00567BBD"/>
    <w:rsid w:val="00567EDD"/>
    <w:rsid w:val="005700A5"/>
    <w:rsid w:val="00570100"/>
    <w:rsid w:val="0057010F"/>
    <w:rsid w:val="00570180"/>
    <w:rsid w:val="0057020A"/>
    <w:rsid w:val="00570218"/>
    <w:rsid w:val="0057021E"/>
    <w:rsid w:val="00570371"/>
    <w:rsid w:val="00570403"/>
    <w:rsid w:val="00570451"/>
    <w:rsid w:val="00570497"/>
    <w:rsid w:val="00570614"/>
    <w:rsid w:val="005706BC"/>
    <w:rsid w:val="0057071F"/>
    <w:rsid w:val="00570721"/>
    <w:rsid w:val="0057078A"/>
    <w:rsid w:val="005707A6"/>
    <w:rsid w:val="005707D6"/>
    <w:rsid w:val="005707D8"/>
    <w:rsid w:val="0057080E"/>
    <w:rsid w:val="0057089D"/>
    <w:rsid w:val="00570BDE"/>
    <w:rsid w:val="00570D46"/>
    <w:rsid w:val="00570E0E"/>
    <w:rsid w:val="00570E89"/>
    <w:rsid w:val="00570EA4"/>
    <w:rsid w:val="00570F43"/>
    <w:rsid w:val="00570FB2"/>
    <w:rsid w:val="00570FB3"/>
    <w:rsid w:val="00571072"/>
    <w:rsid w:val="00571382"/>
    <w:rsid w:val="005715C8"/>
    <w:rsid w:val="00571819"/>
    <w:rsid w:val="00571879"/>
    <w:rsid w:val="00571A66"/>
    <w:rsid w:val="00571A87"/>
    <w:rsid w:val="00571B49"/>
    <w:rsid w:val="00571C9C"/>
    <w:rsid w:val="00571D2D"/>
    <w:rsid w:val="00571D69"/>
    <w:rsid w:val="00571EE2"/>
    <w:rsid w:val="005720E3"/>
    <w:rsid w:val="005721B0"/>
    <w:rsid w:val="005721F4"/>
    <w:rsid w:val="005721FC"/>
    <w:rsid w:val="0057224A"/>
    <w:rsid w:val="00572395"/>
    <w:rsid w:val="00572527"/>
    <w:rsid w:val="00572555"/>
    <w:rsid w:val="00572669"/>
    <w:rsid w:val="005726CF"/>
    <w:rsid w:val="00572738"/>
    <w:rsid w:val="005727E4"/>
    <w:rsid w:val="00572896"/>
    <w:rsid w:val="005728E3"/>
    <w:rsid w:val="005728FD"/>
    <w:rsid w:val="005729BC"/>
    <w:rsid w:val="00572A45"/>
    <w:rsid w:val="00572B44"/>
    <w:rsid w:val="00572BD0"/>
    <w:rsid w:val="00572D04"/>
    <w:rsid w:val="00572DAF"/>
    <w:rsid w:val="00572F1A"/>
    <w:rsid w:val="00572F8F"/>
    <w:rsid w:val="00573095"/>
    <w:rsid w:val="00573282"/>
    <w:rsid w:val="005733B2"/>
    <w:rsid w:val="0057344B"/>
    <w:rsid w:val="005735D6"/>
    <w:rsid w:val="00573837"/>
    <w:rsid w:val="00573AB4"/>
    <w:rsid w:val="00573D41"/>
    <w:rsid w:val="00573E6B"/>
    <w:rsid w:val="0057400C"/>
    <w:rsid w:val="005740E3"/>
    <w:rsid w:val="0057410D"/>
    <w:rsid w:val="0057413B"/>
    <w:rsid w:val="00574256"/>
    <w:rsid w:val="00574284"/>
    <w:rsid w:val="005743DA"/>
    <w:rsid w:val="005743EA"/>
    <w:rsid w:val="00574408"/>
    <w:rsid w:val="005744C8"/>
    <w:rsid w:val="005744F2"/>
    <w:rsid w:val="005746FE"/>
    <w:rsid w:val="005747E4"/>
    <w:rsid w:val="0057482A"/>
    <w:rsid w:val="005748DA"/>
    <w:rsid w:val="00574A0C"/>
    <w:rsid w:val="00574A5E"/>
    <w:rsid w:val="00574A7F"/>
    <w:rsid w:val="00574AB6"/>
    <w:rsid w:val="00574AF4"/>
    <w:rsid w:val="00574B54"/>
    <w:rsid w:val="00574CA5"/>
    <w:rsid w:val="00574E72"/>
    <w:rsid w:val="00574EDF"/>
    <w:rsid w:val="00574FB7"/>
    <w:rsid w:val="00574FE5"/>
    <w:rsid w:val="005751A3"/>
    <w:rsid w:val="00575249"/>
    <w:rsid w:val="005752C1"/>
    <w:rsid w:val="00575302"/>
    <w:rsid w:val="0057547B"/>
    <w:rsid w:val="00575598"/>
    <w:rsid w:val="005756F6"/>
    <w:rsid w:val="0057577A"/>
    <w:rsid w:val="0057589C"/>
    <w:rsid w:val="00575948"/>
    <w:rsid w:val="00575A10"/>
    <w:rsid w:val="00575A17"/>
    <w:rsid w:val="00575C6B"/>
    <w:rsid w:val="00575D4F"/>
    <w:rsid w:val="00575D8B"/>
    <w:rsid w:val="00575E0B"/>
    <w:rsid w:val="00575F75"/>
    <w:rsid w:val="00575F93"/>
    <w:rsid w:val="00576007"/>
    <w:rsid w:val="0057605E"/>
    <w:rsid w:val="00576065"/>
    <w:rsid w:val="005760FC"/>
    <w:rsid w:val="005761BD"/>
    <w:rsid w:val="00576264"/>
    <w:rsid w:val="005762B7"/>
    <w:rsid w:val="005762DA"/>
    <w:rsid w:val="005763DE"/>
    <w:rsid w:val="00576430"/>
    <w:rsid w:val="0057648A"/>
    <w:rsid w:val="00576505"/>
    <w:rsid w:val="0057653E"/>
    <w:rsid w:val="0057654C"/>
    <w:rsid w:val="00576867"/>
    <w:rsid w:val="00576869"/>
    <w:rsid w:val="00576A63"/>
    <w:rsid w:val="00576A73"/>
    <w:rsid w:val="00576BE3"/>
    <w:rsid w:val="00576CA8"/>
    <w:rsid w:val="00576DF7"/>
    <w:rsid w:val="00576E69"/>
    <w:rsid w:val="00576EE1"/>
    <w:rsid w:val="00576F54"/>
    <w:rsid w:val="005770B9"/>
    <w:rsid w:val="00577141"/>
    <w:rsid w:val="00577162"/>
    <w:rsid w:val="005771B7"/>
    <w:rsid w:val="005771C8"/>
    <w:rsid w:val="00577262"/>
    <w:rsid w:val="00577308"/>
    <w:rsid w:val="005773AA"/>
    <w:rsid w:val="0057740C"/>
    <w:rsid w:val="00577429"/>
    <w:rsid w:val="005775A0"/>
    <w:rsid w:val="005775EB"/>
    <w:rsid w:val="00577678"/>
    <w:rsid w:val="005776B8"/>
    <w:rsid w:val="005776DB"/>
    <w:rsid w:val="005778C2"/>
    <w:rsid w:val="00577910"/>
    <w:rsid w:val="00577991"/>
    <w:rsid w:val="00577A1B"/>
    <w:rsid w:val="00577A4C"/>
    <w:rsid w:val="00577AF6"/>
    <w:rsid w:val="00577B77"/>
    <w:rsid w:val="00577CC5"/>
    <w:rsid w:val="00577E7F"/>
    <w:rsid w:val="00577EC8"/>
    <w:rsid w:val="00577F2D"/>
    <w:rsid w:val="00577F65"/>
    <w:rsid w:val="00580041"/>
    <w:rsid w:val="00580127"/>
    <w:rsid w:val="005801E7"/>
    <w:rsid w:val="00580498"/>
    <w:rsid w:val="005806B3"/>
    <w:rsid w:val="00580765"/>
    <w:rsid w:val="005807EC"/>
    <w:rsid w:val="00580869"/>
    <w:rsid w:val="0058089B"/>
    <w:rsid w:val="00580962"/>
    <w:rsid w:val="00580A0B"/>
    <w:rsid w:val="00580BB7"/>
    <w:rsid w:val="00580D52"/>
    <w:rsid w:val="00580D5C"/>
    <w:rsid w:val="00580D80"/>
    <w:rsid w:val="00580F17"/>
    <w:rsid w:val="00580F8B"/>
    <w:rsid w:val="00581026"/>
    <w:rsid w:val="00581075"/>
    <w:rsid w:val="00581148"/>
    <w:rsid w:val="005811DE"/>
    <w:rsid w:val="005812C4"/>
    <w:rsid w:val="005812D5"/>
    <w:rsid w:val="00581303"/>
    <w:rsid w:val="00581325"/>
    <w:rsid w:val="00581457"/>
    <w:rsid w:val="005814E6"/>
    <w:rsid w:val="00581541"/>
    <w:rsid w:val="00581588"/>
    <w:rsid w:val="005817F5"/>
    <w:rsid w:val="0058183E"/>
    <w:rsid w:val="00581AAD"/>
    <w:rsid w:val="00581B21"/>
    <w:rsid w:val="00581B31"/>
    <w:rsid w:val="00581D2E"/>
    <w:rsid w:val="00581D6E"/>
    <w:rsid w:val="00581EE5"/>
    <w:rsid w:val="00581F30"/>
    <w:rsid w:val="00581F31"/>
    <w:rsid w:val="00581F62"/>
    <w:rsid w:val="00582245"/>
    <w:rsid w:val="005823F5"/>
    <w:rsid w:val="00582426"/>
    <w:rsid w:val="00582465"/>
    <w:rsid w:val="0058255E"/>
    <w:rsid w:val="005825A6"/>
    <w:rsid w:val="005825F5"/>
    <w:rsid w:val="00582665"/>
    <w:rsid w:val="00582695"/>
    <w:rsid w:val="005826AA"/>
    <w:rsid w:val="00582739"/>
    <w:rsid w:val="0058273C"/>
    <w:rsid w:val="00582883"/>
    <w:rsid w:val="00582888"/>
    <w:rsid w:val="005828F1"/>
    <w:rsid w:val="00582957"/>
    <w:rsid w:val="005829A6"/>
    <w:rsid w:val="00582A54"/>
    <w:rsid w:val="00582A55"/>
    <w:rsid w:val="00582D6D"/>
    <w:rsid w:val="00582FA7"/>
    <w:rsid w:val="00583000"/>
    <w:rsid w:val="0058306F"/>
    <w:rsid w:val="005830EF"/>
    <w:rsid w:val="0058314E"/>
    <w:rsid w:val="005831A4"/>
    <w:rsid w:val="005832DE"/>
    <w:rsid w:val="005833A0"/>
    <w:rsid w:val="005833E8"/>
    <w:rsid w:val="0058361C"/>
    <w:rsid w:val="0058372A"/>
    <w:rsid w:val="00583739"/>
    <w:rsid w:val="0058376C"/>
    <w:rsid w:val="00583778"/>
    <w:rsid w:val="005837EF"/>
    <w:rsid w:val="00583964"/>
    <w:rsid w:val="00583B15"/>
    <w:rsid w:val="00583D77"/>
    <w:rsid w:val="00583F03"/>
    <w:rsid w:val="00583F4C"/>
    <w:rsid w:val="00583FA5"/>
    <w:rsid w:val="0058409C"/>
    <w:rsid w:val="0058415C"/>
    <w:rsid w:val="00584238"/>
    <w:rsid w:val="0058427A"/>
    <w:rsid w:val="00584302"/>
    <w:rsid w:val="00584380"/>
    <w:rsid w:val="00584594"/>
    <w:rsid w:val="005847BB"/>
    <w:rsid w:val="005847CF"/>
    <w:rsid w:val="0058486E"/>
    <w:rsid w:val="00584949"/>
    <w:rsid w:val="00584A72"/>
    <w:rsid w:val="00584B16"/>
    <w:rsid w:val="00584D33"/>
    <w:rsid w:val="00584DA5"/>
    <w:rsid w:val="00584E70"/>
    <w:rsid w:val="00584EEF"/>
    <w:rsid w:val="00584F1A"/>
    <w:rsid w:val="00584F33"/>
    <w:rsid w:val="00584F54"/>
    <w:rsid w:val="00584F5B"/>
    <w:rsid w:val="0058506F"/>
    <w:rsid w:val="00585072"/>
    <w:rsid w:val="00585218"/>
    <w:rsid w:val="00585229"/>
    <w:rsid w:val="0058526D"/>
    <w:rsid w:val="0058526F"/>
    <w:rsid w:val="00585402"/>
    <w:rsid w:val="00585852"/>
    <w:rsid w:val="00585865"/>
    <w:rsid w:val="005859C1"/>
    <w:rsid w:val="00585A6C"/>
    <w:rsid w:val="00585A8F"/>
    <w:rsid w:val="00585B5A"/>
    <w:rsid w:val="00585C0C"/>
    <w:rsid w:val="00585CD9"/>
    <w:rsid w:val="00585DBD"/>
    <w:rsid w:val="00585E79"/>
    <w:rsid w:val="00585EC7"/>
    <w:rsid w:val="00585F03"/>
    <w:rsid w:val="005860F5"/>
    <w:rsid w:val="005862C1"/>
    <w:rsid w:val="00586342"/>
    <w:rsid w:val="005863A0"/>
    <w:rsid w:val="00586672"/>
    <w:rsid w:val="0058673E"/>
    <w:rsid w:val="005867DD"/>
    <w:rsid w:val="005868A3"/>
    <w:rsid w:val="00586943"/>
    <w:rsid w:val="00586A11"/>
    <w:rsid w:val="00586A52"/>
    <w:rsid w:val="00586B63"/>
    <w:rsid w:val="00586D9F"/>
    <w:rsid w:val="00586E99"/>
    <w:rsid w:val="00587073"/>
    <w:rsid w:val="005870EC"/>
    <w:rsid w:val="00587110"/>
    <w:rsid w:val="005872EB"/>
    <w:rsid w:val="0058736E"/>
    <w:rsid w:val="0058742A"/>
    <w:rsid w:val="005874DE"/>
    <w:rsid w:val="0058753F"/>
    <w:rsid w:val="00587620"/>
    <w:rsid w:val="005876F5"/>
    <w:rsid w:val="00587794"/>
    <w:rsid w:val="0058789B"/>
    <w:rsid w:val="005878EA"/>
    <w:rsid w:val="00587900"/>
    <w:rsid w:val="00587929"/>
    <w:rsid w:val="00587961"/>
    <w:rsid w:val="00587AEA"/>
    <w:rsid w:val="00587CA7"/>
    <w:rsid w:val="00587D44"/>
    <w:rsid w:val="00587E3F"/>
    <w:rsid w:val="00587E82"/>
    <w:rsid w:val="00587EE5"/>
    <w:rsid w:val="00587EE6"/>
    <w:rsid w:val="00587F48"/>
    <w:rsid w:val="00587F77"/>
    <w:rsid w:val="00590024"/>
    <w:rsid w:val="0059003E"/>
    <w:rsid w:val="0059010F"/>
    <w:rsid w:val="0059021E"/>
    <w:rsid w:val="005903AA"/>
    <w:rsid w:val="00590427"/>
    <w:rsid w:val="00590475"/>
    <w:rsid w:val="005904CE"/>
    <w:rsid w:val="00590566"/>
    <w:rsid w:val="005905CA"/>
    <w:rsid w:val="005905CD"/>
    <w:rsid w:val="00590717"/>
    <w:rsid w:val="0059076B"/>
    <w:rsid w:val="0059078E"/>
    <w:rsid w:val="00590815"/>
    <w:rsid w:val="0059084D"/>
    <w:rsid w:val="005908F6"/>
    <w:rsid w:val="00590AFF"/>
    <w:rsid w:val="00590BBD"/>
    <w:rsid w:val="00590D3A"/>
    <w:rsid w:val="00590D52"/>
    <w:rsid w:val="00590EAC"/>
    <w:rsid w:val="00590EE3"/>
    <w:rsid w:val="0059112A"/>
    <w:rsid w:val="00591258"/>
    <w:rsid w:val="0059129B"/>
    <w:rsid w:val="00591467"/>
    <w:rsid w:val="00591486"/>
    <w:rsid w:val="005914A8"/>
    <w:rsid w:val="005914ED"/>
    <w:rsid w:val="00591635"/>
    <w:rsid w:val="0059163B"/>
    <w:rsid w:val="005916A1"/>
    <w:rsid w:val="0059175D"/>
    <w:rsid w:val="00591771"/>
    <w:rsid w:val="0059184D"/>
    <w:rsid w:val="005918AE"/>
    <w:rsid w:val="00591993"/>
    <w:rsid w:val="005919F8"/>
    <w:rsid w:val="00591A32"/>
    <w:rsid w:val="00591AF5"/>
    <w:rsid w:val="00591AFC"/>
    <w:rsid w:val="00591B5E"/>
    <w:rsid w:val="00591BA9"/>
    <w:rsid w:val="00591C2F"/>
    <w:rsid w:val="00591D48"/>
    <w:rsid w:val="00591E50"/>
    <w:rsid w:val="00591F83"/>
    <w:rsid w:val="00592344"/>
    <w:rsid w:val="0059238B"/>
    <w:rsid w:val="005923AA"/>
    <w:rsid w:val="005923FE"/>
    <w:rsid w:val="005925CF"/>
    <w:rsid w:val="005926CA"/>
    <w:rsid w:val="00592742"/>
    <w:rsid w:val="0059278E"/>
    <w:rsid w:val="0059279B"/>
    <w:rsid w:val="0059287A"/>
    <w:rsid w:val="00592AB7"/>
    <w:rsid w:val="00592BB0"/>
    <w:rsid w:val="00592C02"/>
    <w:rsid w:val="00592E17"/>
    <w:rsid w:val="00592EC1"/>
    <w:rsid w:val="00592F43"/>
    <w:rsid w:val="00592F47"/>
    <w:rsid w:val="00592F4F"/>
    <w:rsid w:val="00592FED"/>
    <w:rsid w:val="005931A8"/>
    <w:rsid w:val="0059333E"/>
    <w:rsid w:val="00593549"/>
    <w:rsid w:val="0059358F"/>
    <w:rsid w:val="005935BC"/>
    <w:rsid w:val="005935E2"/>
    <w:rsid w:val="00593639"/>
    <w:rsid w:val="005937EA"/>
    <w:rsid w:val="00593887"/>
    <w:rsid w:val="0059388F"/>
    <w:rsid w:val="005938CE"/>
    <w:rsid w:val="00593934"/>
    <w:rsid w:val="00593957"/>
    <w:rsid w:val="00593A0B"/>
    <w:rsid w:val="00593B42"/>
    <w:rsid w:val="00593BE3"/>
    <w:rsid w:val="00593C7E"/>
    <w:rsid w:val="00593E99"/>
    <w:rsid w:val="00593F11"/>
    <w:rsid w:val="00593FFC"/>
    <w:rsid w:val="005940EC"/>
    <w:rsid w:val="005941B4"/>
    <w:rsid w:val="0059422D"/>
    <w:rsid w:val="005942E6"/>
    <w:rsid w:val="005943D6"/>
    <w:rsid w:val="0059443B"/>
    <w:rsid w:val="005944E3"/>
    <w:rsid w:val="0059463A"/>
    <w:rsid w:val="0059471F"/>
    <w:rsid w:val="00594855"/>
    <w:rsid w:val="005948B6"/>
    <w:rsid w:val="00594982"/>
    <w:rsid w:val="00594A11"/>
    <w:rsid w:val="00594B94"/>
    <w:rsid w:val="00594C20"/>
    <w:rsid w:val="00594CD5"/>
    <w:rsid w:val="00594DF8"/>
    <w:rsid w:val="00594EB3"/>
    <w:rsid w:val="00594F4F"/>
    <w:rsid w:val="00594F5B"/>
    <w:rsid w:val="005950CA"/>
    <w:rsid w:val="0059527D"/>
    <w:rsid w:val="005952D1"/>
    <w:rsid w:val="0059535D"/>
    <w:rsid w:val="00595367"/>
    <w:rsid w:val="00595379"/>
    <w:rsid w:val="005953DB"/>
    <w:rsid w:val="0059565C"/>
    <w:rsid w:val="005956FC"/>
    <w:rsid w:val="00595862"/>
    <w:rsid w:val="005958E6"/>
    <w:rsid w:val="005958F4"/>
    <w:rsid w:val="005959F7"/>
    <w:rsid w:val="00595A34"/>
    <w:rsid w:val="00595BC7"/>
    <w:rsid w:val="00595DAD"/>
    <w:rsid w:val="00595DBC"/>
    <w:rsid w:val="00595E39"/>
    <w:rsid w:val="00595EE0"/>
    <w:rsid w:val="005960D3"/>
    <w:rsid w:val="0059629C"/>
    <w:rsid w:val="005963D0"/>
    <w:rsid w:val="0059646B"/>
    <w:rsid w:val="005965A6"/>
    <w:rsid w:val="005966AA"/>
    <w:rsid w:val="00596736"/>
    <w:rsid w:val="00596775"/>
    <w:rsid w:val="005967C7"/>
    <w:rsid w:val="005967D1"/>
    <w:rsid w:val="005968F5"/>
    <w:rsid w:val="00596AEE"/>
    <w:rsid w:val="00596B6B"/>
    <w:rsid w:val="00596C1D"/>
    <w:rsid w:val="00596D79"/>
    <w:rsid w:val="00596DD8"/>
    <w:rsid w:val="00596E71"/>
    <w:rsid w:val="00596EB5"/>
    <w:rsid w:val="00596F6B"/>
    <w:rsid w:val="00596FF6"/>
    <w:rsid w:val="00597087"/>
    <w:rsid w:val="005970EC"/>
    <w:rsid w:val="005970FE"/>
    <w:rsid w:val="00597148"/>
    <w:rsid w:val="005971FB"/>
    <w:rsid w:val="00597450"/>
    <w:rsid w:val="0059745E"/>
    <w:rsid w:val="0059748B"/>
    <w:rsid w:val="0059751F"/>
    <w:rsid w:val="005975BF"/>
    <w:rsid w:val="005975EC"/>
    <w:rsid w:val="005976CD"/>
    <w:rsid w:val="0059778C"/>
    <w:rsid w:val="00597836"/>
    <w:rsid w:val="0059785E"/>
    <w:rsid w:val="005978BC"/>
    <w:rsid w:val="00597D9B"/>
    <w:rsid w:val="00597E0D"/>
    <w:rsid w:val="00597EE0"/>
    <w:rsid w:val="00597F7F"/>
    <w:rsid w:val="005A01A2"/>
    <w:rsid w:val="005A0220"/>
    <w:rsid w:val="005A025C"/>
    <w:rsid w:val="005A02F4"/>
    <w:rsid w:val="005A033D"/>
    <w:rsid w:val="005A0342"/>
    <w:rsid w:val="005A0531"/>
    <w:rsid w:val="005A0563"/>
    <w:rsid w:val="005A058C"/>
    <w:rsid w:val="005A0660"/>
    <w:rsid w:val="005A079E"/>
    <w:rsid w:val="005A085C"/>
    <w:rsid w:val="005A0B47"/>
    <w:rsid w:val="005A0B57"/>
    <w:rsid w:val="005A0C05"/>
    <w:rsid w:val="005A0E5A"/>
    <w:rsid w:val="005A0FA3"/>
    <w:rsid w:val="005A1006"/>
    <w:rsid w:val="005A1128"/>
    <w:rsid w:val="005A12E7"/>
    <w:rsid w:val="005A143E"/>
    <w:rsid w:val="005A1475"/>
    <w:rsid w:val="005A1694"/>
    <w:rsid w:val="005A16CC"/>
    <w:rsid w:val="005A171E"/>
    <w:rsid w:val="005A179C"/>
    <w:rsid w:val="005A1822"/>
    <w:rsid w:val="005A1892"/>
    <w:rsid w:val="005A18B7"/>
    <w:rsid w:val="005A18DE"/>
    <w:rsid w:val="005A19DE"/>
    <w:rsid w:val="005A19E0"/>
    <w:rsid w:val="005A1AC7"/>
    <w:rsid w:val="005A1AD1"/>
    <w:rsid w:val="005A1B00"/>
    <w:rsid w:val="005A1BCA"/>
    <w:rsid w:val="005A1C48"/>
    <w:rsid w:val="005A1C52"/>
    <w:rsid w:val="005A1C7A"/>
    <w:rsid w:val="005A1C9D"/>
    <w:rsid w:val="005A1CA7"/>
    <w:rsid w:val="005A1E10"/>
    <w:rsid w:val="005A1E42"/>
    <w:rsid w:val="005A1F94"/>
    <w:rsid w:val="005A1FED"/>
    <w:rsid w:val="005A2066"/>
    <w:rsid w:val="005A209B"/>
    <w:rsid w:val="005A21BE"/>
    <w:rsid w:val="005A21EA"/>
    <w:rsid w:val="005A228C"/>
    <w:rsid w:val="005A2369"/>
    <w:rsid w:val="005A2378"/>
    <w:rsid w:val="005A2426"/>
    <w:rsid w:val="005A24E0"/>
    <w:rsid w:val="005A250F"/>
    <w:rsid w:val="005A25F7"/>
    <w:rsid w:val="005A270D"/>
    <w:rsid w:val="005A2861"/>
    <w:rsid w:val="005A2939"/>
    <w:rsid w:val="005A299C"/>
    <w:rsid w:val="005A29D8"/>
    <w:rsid w:val="005A2A00"/>
    <w:rsid w:val="005A2BBE"/>
    <w:rsid w:val="005A2BE0"/>
    <w:rsid w:val="005A2BF9"/>
    <w:rsid w:val="005A2CDF"/>
    <w:rsid w:val="005A2D59"/>
    <w:rsid w:val="005A2E0F"/>
    <w:rsid w:val="005A2E4B"/>
    <w:rsid w:val="005A2F60"/>
    <w:rsid w:val="005A3222"/>
    <w:rsid w:val="005A322C"/>
    <w:rsid w:val="005A32E9"/>
    <w:rsid w:val="005A3342"/>
    <w:rsid w:val="005A33B5"/>
    <w:rsid w:val="005A341A"/>
    <w:rsid w:val="005A3441"/>
    <w:rsid w:val="005A34B9"/>
    <w:rsid w:val="005A34D7"/>
    <w:rsid w:val="005A35D6"/>
    <w:rsid w:val="005A35D7"/>
    <w:rsid w:val="005A3712"/>
    <w:rsid w:val="005A375B"/>
    <w:rsid w:val="005A3799"/>
    <w:rsid w:val="005A39D8"/>
    <w:rsid w:val="005A3A83"/>
    <w:rsid w:val="005A3B72"/>
    <w:rsid w:val="005A3BD5"/>
    <w:rsid w:val="005A3BDD"/>
    <w:rsid w:val="005A3C5D"/>
    <w:rsid w:val="005A3CE3"/>
    <w:rsid w:val="005A3E01"/>
    <w:rsid w:val="005A3E48"/>
    <w:rsid w:val="005A401B"/>
    <w:rsid w:val="005A4481"/>
    <w:rsid w:val="005A4515"/>
    <w:rsid w:val="005A453B"/>
    <w:rsid w:val="005A4541"/>
    <w:rsid w:val="005A46DC"/>
    <w:rsid w:val="005A474F"/>
    <w:rsid w:val="005A47B7"/>
    <w:rsid w:val="005A47C1"/>
    <w:rsid w:val="005A47F1"/>
    <w:rsid w:val="005A4810"/>
    <w:rsid w:val="005A4865"/>
    <w:rsid w:val="005A48BA"/>
    <w:rsid w:val="005A48D4"/>
    <w:rsid w:val="005A48DD"/>
    <w:rsid w:val="005A4940"/>
    <w:rsid w:val="005A4B42"/>
    <w:rsid w:val="005A4B57"/>
    <w:rsid w:val="005A4B75"/>
    <w:rsid w:val="005A4C5C"/>
    <w:rsid w:val="005A4D1A"/>
    <w:rsid w:val="005A4D83"/>
    <w:rsid w:val="005A4DBA"/>
    <w:rsid w:val="005A4E8F"/>
    <w:rsid w:val="005A502B"/>
    <w:rsid w:val="005A5067"/>
    <w:rsid w:val="005A5175"/>
    <w:rsid w:val="005A5253"/>
    <w:rsid w:val="005A5277"/>
    <w:rsid w:val="005A53BF"/>
    <w:rsid w:val="005A55DC"/>
    <w:rsid w:val="005A57BE"/>
    <w:rsid w:val="005A5807"/>
    <w:rsid w:val="005A5830"/>
    <w:rsid w:val="005A583C"/>
    <w:rsid w:val="005A58C5"/>
    <w:rsid w:val="005A5BA2"/>
    <w:rsid w:val="005A5CDE"/>
    <w:rsid w:val="005A5D31"/>
    <w:rsid w:val="005A5DB0"/>
    <w:rsid w:val="005A5E06"/>
    <w:rsid w:val="005A5EA3"/>
    <w:rsid w:val="005A5EFF"/>
    <w:rsid w:val="005A5FC7"/>
    <w:rsid w:val="005A5FED"/>
    <w:rsid w:val="005A6118"/>
    <w:rsid w:val="005A621C"/>
    <w:rsid w:val="005A64FB"/>
    <w:rsid w:val="005A6638"/>
    <w:rsid w:val="005A6658"/>
    <w:rsid w:val="005A66B7"/>
    <w:rsid w:val="005A66C8"/>
    <w:rsid w:val="005A67C2"/>
    <w:rsid w:val="005A6810"/>
    <w:rsid w:val="005A6831"/>
    <w:rsid w:val="005A6869"/>
    <w:rsid w:val="005A68BE"/>
    <w:rsid w:val="005A68C8"/>
    <w:rsid w:val="005A69CE"/>
    <w:rsid w:val="005A69E2"/>
    <w:rsid w:val="005A6ACA"/>
    <w:rsid w:val="005A6BE7"/>
    <w:rsid w:val="005A6C0C"/>
    <w:rsid w:val="005A6EA6"/>
    <w:rsid w:val="005A6F1F"/>
    <w:rsid w:val="005A7005"/>
    <w:rsid w:val="005A703A"/>
    <w:rsid w:val="005A719C"/>
    <w:rsid w:val="005A71C0"/>
    <w:rsid w:val="005A7290"/>
    <w:rsid w:val="005A7365"/>
    <w:rsid w:val="005A740E"/>
    <w:rsid w:val="005A7498"/>
    <w:rsid w:val="005A775B"/>
    <w:rsid w:val="005A795F"/>
    <w:rsid w:val="005A7BB7"/>
    <w:rsid w:val="005A7D0A"/>
    <w:rsid w:val="005A7D5B"/>
    <w:rsid w:val="005B01A4"/>
    <w:rsid w:val="005B034C"/>
    <w:rsid w:val="005B03B8"/>
    <w:rsid w:val="005B0459"/>
    <w:rsid w:val="005B0503"/>
    <w:rsid w:val="005B0599"/>
    <w:rsid w:val="005B05DC"/>
    <w:rsid w:val="005B05F9"/>
    <w:rsid w:val="005B06C5"/>
    <w:rsid w:val="005B0773"/>
    <w:rsid w:val="005B07C5"/>
    <w:rsid w:val="005B07D4"/>
    <w:rsid w:val="005B07D7"/>
    <w:rsid w:val="005B09B1"/>
    <w:rsid w:val="005B09D4"/>
    <w:rsid w:val="005B0A4C"/>
    <w:rsid w:val="005B0A6E"/>
    <w:rsid w:val="005B0AD4"/>
    <w:rsid w:val="005B0B95"/>
    <w:rsid w:val="005B0BAD"/>
    <w:rsid w:val="005B0C95"/>
    <w:rsid w:val="005B0E19"/>
    <w:rsid w:val="005B0E76"/>
    <w:rsid w:val="005B0EC6"/>
    <w:rsid w:val="005B0F77"/>
    <w:rsid w:val="005B0F96"/>
    <w:rsid w:val="005B0FF5"/>
    <w:rsid w:val="005B1115"/>
    <w:rsid w:val="005B1188"/>
    <w:rsid w:val="005B127C"/>
    <w:rsid w:val="005B1380"/>
    <w:rsid w:val="005B14D4"/>
    <w:rsid w:val="005B1562"/>
    <w:rsid w:val="005B1592"/>
    <w:rsid w:val="005B15F5"/>
    <w:rsid w:val="005B1688"/>
    <w:rsid w:val="005B16C8"/>
    <w:rsid w:val="005B181F"/>
    <w:rsid w:val="005B1956"/>
    <w:rsid w:val="005B19C3"/>
    <w:rsid w:val="005B1AEF"/>
    <w:rsid w:val="005B1BE9"/>
    <w:rsid w:val="005B1BF6"/>
    <w:rsid w:val="005B1C3C"/>
    <w:rsid w:val="005B1D79"/>
    <w:rsid w:val="005B2053"/>
    <w:rsid w:val="005B20DB"/>
    <w:rsid w:val="005B210E"/>
    <w:rsid w:val="005B22CB"/>
    <w:rsid w:val="005B23F1"/>
    <w:rsid w:val="005B25F7"/>
    <w:rsid w:val="005B262C"/>
    <w:rsid w:val="005B291C"/>
    <w:rsid w:val="005B2934"/>
    <w:rsid w:val="005B295E"/>
    <w:rsid w:val="005B2994"/>
    <w:rsid w:val="005B2B65"/>
    <w:rsid w:val="005B2B78"/>
    <w:rsid w:val="005B2BF0"/>
    <w:rsid w:val="005B2C20"/>
    <w:rsid w:val="005B2CE5"/>
    <w:rsid w:val="005B2D47"/>
    <w:rsid w:val="005B2E77"/>
    <w:rsid w:val="005B2E9A"/>
    <w:rsid w:val="005B3007"/>
    <w:rsid w:val="005B300A"/>
    <w:rsid w:val="005B3074"/>
    <w:rsid w:val="005B3121"/>
    <w:rsid w:val="005B31F6"/>
    <w:rsid w:val="005B3320"/>
    <w:rsid w:val="005B3437"/>
    <w:rsid w:val="005B3442"/>
    <w:rsid w:val="005B3468"/>
    <w:rsid w:val="005B360A"/>
    <w:rsid w:val="005B362E"/>
    <w:rsid w:val="005B36FD"/>
    <w:rsid w:val="005B3776"/>
    <w:rsid w:val="005B3881"/>
    <w:rsid w:val="005B38AF"/>
    <w:rsid w:val="005B38F0"/>
    <w:rsid w:val="005B3933"/>
    <w:rsid w:val="005B3936"/>
    <w:rsid w:val="005B3A0A"/>
    <w:rsid w:val="005B3B1A"/>
    <w:rsid w:val="005B3BC8"/>
    <w:rsid w:val="005B3BDA"/>
    <w:rsid w:val="005B3CC2"/>
    <w:rsid w:val="005B3CCC"/>
    <w:rsid w:val="005B3DC4"/>
    <w:rsid w:val="005B3DF3"/>
    <w:rsid w:val="005B3DF7"/>
    <w:rsid w:val="005B3E05"/>
    <w:rsid w:val="005B3E1D"/>
    <w:rsid w:val="005B3E53"/>
    <w:rsid w:val="005B3F9E"/>
    <w:rsid w:val="005B3FEA"/>
    <w:rsid w:val="005B40CF"/>
    <w:rsid w:val="005B433E"/>
    <w:rsid w:val="005B440A"/>
    <w:rsid w:val="005B44BD"/>
    <w:rsid w:val="005B465D"/>
    <w:rsid w:val="005B466C"/>
    <w:rsid w:val="005B4698"/>
    <w:rsid w:val="005B47F5"/>
    <w:rsid w:val="005B49CD"/>
    <w:rsid w:val="005B4A7D"/>
    <w:rsid w:val="005B4AB1"/>
    <w:rsid w:val="005B4AD5"/>
    <w:rsid w:val="005B4BA1"/>
    <w:rsid w:val="005B4BCB"/>
    <w:rsid w:val="005B4C27"/>
    <w:rsid w:val="005B4C39"/>
    <w:rsid w:val="005B4DA3"/>
    <w:rsid w:val="005B4E2E"/>
    <w:rsid w:val="005B4E59"/>
    <w:rsid w:val="005B500E"/>
    <w:rsid w:val="005B5067"/>
    <w:rsid w:val="005B50B4"/>
    <w:rsid w:val="005B5190"/>
    <w:rsid w:val="005B51E1"/>
    <w:rsid w:val="005B51EC"/>
    <w:rsid w:val="005B527D"/>
    <w:rsid w:val="005B531B"/>
    <w:rsid w:val="005B5420"/>
    <w:rsid w:val="005B54F2"/>
    <w:rsid w:val="005B553F"/>
    <w:rsid w:val="005B55B7"/>
    <w:rsid w:val="005B5743"/>
    <w:rsid w:val="005B57AF"/>
    <w:rsid w:val="005B57D4"/>
    <w:rsid w:val="005B5880"/>
    <w:rsid w:val="005B5926"/>
    <w:rsid w:val="005B595E"/>
    <w:rsid w:val="005B5B2C"/>
    <w:rsid w:val="005B5DE7"/>
    <w:rsid w:val="005B6095"/>
    <w:rsid w:val="005B60FA"/>
    <w:rsid w:val="005B6250"/>
    <w:rsid w:val="005B633B"/>
    <w:rsid w:val="005B6352"/>
    <w:rsid w:val="005B63FE"/>
    <w:rsid w:val="005B6469"/>
    <w:rsid w:val="005B6623"/>
    <w:rsid w:val="005B6793"/>
    <w:rsid w:val="005B67B0"/>
    <w:rsid w:val="005B67DF"/>
    <w:rsid w:val="005B685B"/>
    <w:rsid w:val="005B6871"/>
    <w:rsid w:val="005B69B7"/>
    <w:rsid w:val="005B6B93"/>
    <w:rsid w:val="005B6C40"/>
    <w:rsid w:val="005B6C65"/>
    <w:rsid w:val="005B6D33"/>
    <w:rsid w:val="005B6DCC"/>
    <w:rsid w:val="005B6E6F"/>
    <w:rsid w:val="005B6E8E"/>
    <w:rsid w:val="005B6EE5"/>
    <w:rsid w:val="005B6F8A"/>
    <w:rsid w:val="005B6FD6"/>
    <w:rsid w:val="005B7013"/>
    <w:rsid w:val="005B70AD"/>
    <w:rsid w:val="005B71DD"/>
    <w:rsid w:val="005B71E3"/>
    <w:rsid w:val="005B723C"/>
    <w:rsid w:val="005B72F5"/>
    <w:rsid w:val="005B748C"/>
    <w:rsid w:val="005B74FF"/>
    <w:rsid w:val="005B7521"/>
    <w:rsid w:val="005B75A7"/>
    <w:rsid w:val="005B7660"/>
    <w:rsid w:val="005B785B"/>
    <w:rsid w:val="005B791F"/>
    <w:rsid w:val="005B797F"/>
    <w:rsid w:val="005B799C"/>
    <w:rsid w:val="005B7BDD"/>
    <w:rsid w:val="005B7BE6"/>
    <w:rsid w:val="005B7C17"/>
    <w:rsid w:val="005B7C33"/>
    <w:rsid w:val="005B7C46"/>
    <w:rsid w:val="005B7CEF"/>
    <w:rsid w:val="005B7D9D"/>
    <w:rsid w:val="005B7DBD"/>
    <w:rsid w:val="005B7E03"/>
    <w:rsid w:val="005B7E87"/>
    <w:rsid w:val="005B7F6D"/>
    <w:rsid w:val="005B7FB5"/>
    <w:rsid w:val="005C00B3"/>
    <w:rsid w:val="005C00BF"/>
    <w:rsid w:val="005C0135"/>
    <w:rsid w:val="005C02A3"/>
    <w:rsid w:val="005C0324"/>
    <w:rsid w:val="005C0363"/>
    <w:rsid w:val="005C0376"/>
    <w:rsid w:val="005C039D"/>
    <w:rsid w:val="005C0454"/>
    <w:rsid w:val="005C04F6"/>
    <w:rsid w:val="005C0607"/>
    <w:rsid w:val="005C06F2"/>
    <w:rsid w:val="005C081F"/>
    <w:rsid w:val="005C0884"/>
    <w:rsid w:val="005C0899"/>
    <w:rsid w:val="005C0921"/>
    <w:rsid w:val="005C0943"/>
    <w:rsid w:val="005C09C5"/>
    <w:rsid w:val="005C0B96"/>
    <w:rsid w:val="005C0BF6"/>
    <w:rsid w:val="005C0C16"/>
    <w:rsid w:val="005C0D1C"/>
    <w:rsid w:val="005C0E40"/>
    <w:rsid w:val="005C0E62"/>
    <w:rsid w:val="005C0F74"/>
    <w:rsid w:val="005C0FD6"/>
    <w:rsid w:val="005C105A"/>
    <w:rsid w:val="005C11C7"/>
    <w:rsid w:val="005C1279"/>
    <w:rsid w:val="005C1428"/>
    <w:rsid w:val="005C14CB"/>
    <w:rsid w:val="005C14D3"/>
    <w:rsid w:val="005C1501"/>
    <w:rsid w:val="005C193B"/>
    <w:rsid w:val="005C19FD"/>
    <w:rsid w:val="005C1A6D"/>
    <w:rsid w:val="005C1A79"/>
    <w:rsid w:val="005C1AA4"/>
    <w:rsid w:val="005C1BB2"/>
    <w:rsid w:val="005C1BE8"/>
    <w:rsid w:val="005C1D67"/>
    <w:rsid w:val="005C1D69"/>
    <w:rsid w:val="005C1DE9"/>
    <w:rsid w:val="005C1F54"/>
    <w:rsid w:val="005C20CB"/>
    <w:rsid w:val="005C20ED"/>
    <w:rsid w:val="005C2251"/>
    <w:rsid w:val="005C22CC"/>
    <w:rsid w:val="005C2470"/>
    <w:rsid w:val="005C2538"/>
    <w:rsid w:val="005C2564"/>
    <w:rsid w:val="005C260F"/>
    <w:rsid w:val="005C27A4"/>
    <w:rsid w:val="005C2833"/>
    <w:rsid w:val="005C2B2E"/>
    <w:rsid w:val="005C2B5B"/>
    <w:rsid w:val="005C2BC9"/>
    <w:rsid w:val="005C2C92"/>
    <w:rsid w:val="005C2CC5"/>
    <w:rsid w:val="005C2E3E"/>
    <w:rsid w:val="005C2E4D"/>
    <w:rsid w:val="005C2EA5"/>
    <w:rsid w:val="005C3012"/>
    <w:rsid w:val="005C3139"/>
    <w:rsid w:val="005C3160"/>
    <w:rsid w:val="005C31BB"/>
    <w:rsid w:val="005C32C4"/>
    <w:rsid w:val="005C35D6"/>
    <w:rsid w:val="005C366A"/>
    <w:rsid w:val="005C367C"/>
    <w:rsid w:val="005C3975"/>
    <w:rsid w:val="005C39AD"/>
    <w:rsid w:val="005C3A71"/>
    <w:rsid w:val="005C3ABA"/>
    <w:rsid w:val="005C3BCE"/>
    <w:rsid w:val="005C3C61"/>
    <w:rsid w:val="005C3EBC"/>
    <w:rsid w:val="005C4156"/>
    <w:rsid w:val="005C42F6"/>
    <w:rsid w:val="005C433E"/>
    <w:rsid w:val="005C438F"/>
    <w:rsid w:val="005C43BC"/>
    <w:rsid w:val="005C454A"/>
    <w:rsid w:val="005C45DD"/>
    <w:rsid w:val="005C4652"/>
    <w:rsid w:val="005C46D4"/>
    <w:rsid w:val="005C47D1"/>
    <w:rsid w:val="005C4872"/>
    <w:rsid w:val="005C49D9"/>
    <w:rsid w:val="005C4B04"/>
    <w:rsid w:val="005C4CA8"/>
    <w:rsid w:val="005C4D45"/>
    <w:rsid w:val="005C4D4A"/>
    <w:rsid w:val="005C4DA0"/>
    <w:rsid w:val="005C4DB6"/>
    <w:rsid w:val="005C513B"/>
    <w:rsid w:val="005C51EE"/>
    <w:rsid w:val="005C5230"/>
    <w:rsid w:val="005C54B6"/>
    <w:rsid w:val="005C54BF"/>
    <w:rsid w:val="005C54D9"/>
    <w:rsid w:val="005C5510"/>
    <w:rsid w:val="005C5592"/>
    <w:rsid w:val="005C5743"/>
    <w:rsid w:val="005C5957"/>
    <w:rsid w:val="005C59A2"/>
    <w:rsid w:val="005C5AC3"/>
    <w:rsid w:val="005C5B27"/>
    <w:rsid w:val="005C5BA8"/>
    <w:rsid w:val="005C5BAD"/>
    <w:rsid w:val="005C5BF5"/>
    <w:rsid w:val="005C5CAD"/>
    <w:rsid w:val="005C5E5B"/>
    <w:rsid w:val="005C5F0B"/>
    <w:rsid w:val="005C5F0E"/>
    <w:rsid w:val="005C5F3A"/>
    <w:rsid w:val="005C6028"/>
    <w:rsid w:val="005C60BC"/>
    <w:rsid w:val="005C6125"/>
    <w:rsid w:val="005C613E"/>
    <w:rsid w:val="005C61C4"/>
    <w:rsid w:val="005C622B"/>
    <w:rsid w:val="005C6259"/>
    <w:rsid w:val="005C62ED"/>
    <w:rsid w:val="005C631E"/>
    <w:rsid w:val="005C635C"/>
    <w:rsid w:val="005C67BF"/>
    <w:rsid w:val="005C6945"/>
    <w:rsid w:val="005C6982"/>
    <w:rsid w:val="005C69ED"/>
    <w:rsid w:val="005C6B38"/>
    <w:rsid w:val="005C6B6F"/>
    <w:rsid w:val="005C6C4B"/>
    <w:rsid w:val="005C6C81"/>
    <w:rsid w:val="005C6CDD"/>
    <w:rsid w:val="005C6DB6"/>
    <w:rsid w:val="005C6DBE"/>
    <w:rsid w:val="005C6DCD"/>
    <w:rsid w:val="005C6DF3"/>
    <w:rsid w:val="005C6E37"/>
    <w:rsid w:val="005C6E60"/>
    <w:rsid w:val="005C6E6E"/>
    <w:rsid w:val="005C6EEA"/>
    <w:rsid w:val="005C6EF3"/>
    <w:rsid w:val="005C718B"/>
    <w:rsid w:val="005C7195"/>
    <w:rsid w:val="005C72A8"/>
    <w:rsid w:val="005C738F"/>
    <w:rsid w:val="005C744F"/>
    <w:rsid w:val="005C74DF"/>
    <w:rsid w:val="005C757D"/>
    <w:rsid w:val="005C75AF"/>
    <w:rsid w:val="005C76F6"/>
    <w:rsid w:val="005C7908"/>
    <w:rsid w:val="005C79C0"/>
    <w:rsid w:val="005C7A27"/>
    <w:rsid w:val="005C7A82"/>
    <w:rsid w:val="005C7D04"/>
    <w:rsid w:val="005C7DED"/>
    <w:rsid w:val="005C7E07"/>
    <w:rsid w:val="005C7E7B"/>
    <w:rsid w:val="005C7ED2"/>
    <w:rsid w:val="005C7F1E"/>
    <w:rsid w:val="005C7F7B"/>
    <w:rsid w:val="005C7F99"/>
    <w:rsid w:val="005C7FD4"/>
    <w:rsid w:val="005D0031"/>
    <w:rsid w:val="005D016D"/>
    <w:rsid w:val="005D020A"/>
    <w:rsid w:val="005D03A8"/>
    <w:rsid w:val="005D0530"/>
    <w:rsid w:val="005D05FB"/>
    <w:rsid w:val="005D074D"/>
    <w:rsid w:val="005D075A"/>
    <w:rsid w:val="005D0845"/>
    <w:rsid w:val="005D0968"/>
    <w:rsid w:val="005D09D9"/>
    <w:rsid w:val="005D0A69"/>
    <w:rsid w:val="005D0A90"/>
    <w:rsid w:val="005D0AB0"/>
    <w:rsid w:val="005D0B99"/>
    <w:rsid w:val="005D0BA3"/>
    <w:rsid w:val="005D0D48"/>
    <w:rsid w:val="005D0E45"/>
    <w:rsid w:val="005D0EE1"/>
    <w:rsid w:val="005D1181"/>
    <w:rsid w:val="005D11E0"/>
    <w:rsid w:val="005D12C2"/>
    <w:rsid w:val="005D13E1"/>
    <w:rsid w:val="005D1493"/>
    <w:rsid w:val="005D1622"/>
    <w:rsid w:val="005D174A"/>
    <w:rsid w:val="005D186D"/>
    <w:rsid w:val="005D18D8"/>
    <w:rsid w:val="005D1C1B"/>
    <w:rsid w:val="005D1CBA"/>
    <w:rsid w:val="005D1D4D"/>
    <w:rsid w:val="005D1DCF"/>
    <w:rsid w:val="005D1DE5"/>
    <w:rsid w:val="005D1E5B"/>
    <w:rsid w:val="005D1E64"/>
    <w:rsid w:val="005D1E97"/>
    <w:rsid w:val="005D1EF0"/>
    <w:rsid w:val="005D1FC2"/>
    <w:rsid w:val="005D2108"/>
    <w:rsid w:val="005D239E"/>
    <w:rsid w:val="005D251B"/>
    <w:rsid w:val="005D2540"/>
    <w:rsid w:val="005D2558"/>
    <w:rsid w:val="005D2632"/>
    <w:rsid w:val="005D27A1"/>
    <w:rsid w:val="005D2849"/>
    <w:rsid w:val="005D2A7F"/>
    <w:rsid w:val="005D2AFA"/>
    <w:rsid w:val="005D2BC0"/>
    <w:rsid w:val="005D2BCF"/>
    <w:rsid w:val="005D2C45"/>
    <w:rsid w:val="005D2C8F"/>
    <w:rsid w:val="005D2CC2"/>
    <w:rsid w:val="005D2D12"/>
    <w:rsid w:val="005D2D76"/>
    <w:rsid w:val="005D2DDB"/>
    <w:rsid w:val="005D2F2A"/>
    <w:rsid w:val="005D313B"/>
    <w:rsid w:val="005D3177"/>
    <w:rsid w:val="005D31BA"/>
    <w:rsid w:val="005D3392"/>
    <w:rsid w:val="005D3425"/>
    <w:rsid w:val="005D345C"/>
    <w:rsid w:val="005D34AB"/>
    <w:rsid w:val="005D3589"/>
    <w:rsid w:val="005D3597"/>
    <w:rsid w:val="005D3693"/>
    <w:rsid w:val="005D36DE"/>
    <w:rsid w:val="005D3741"/>
    <w:rsid w:val="005D3897"/>
    <w:rsid w:val="005D38D0"/>
    <w:rsid w:val="005D3A56"/>
    <w:rsid w:val="005D3C1A"/>
    <w:rsid w:val="005D3C91"/>
    <w:rsid w:val="005D3E28"/>
    <w:rsid w:val="005D3F6F"/>
    <w:rsid w:val="005D3F85"/>
    <w:rsid w:val="005D40C9"/>
    <w:rsid w:val="005D40DA"/>
    <w:rsid w:val="005D416C"/>
    <w:rsid w:val="005D41B3"/>
    <w:rsid w:val="005D41E7"/>
    <w:rsid w:val="005D42CC"/>
    <w:rsid w:val="005D42E2"/>
    <w:rsid w:val="005D4393"/>
    <w:rsid w:val="005D442D"/>
    <w:rsid w:val="005D4622"/>
    <w:rsid w:val="005D46E6"/>
    <w:rsid w:val="005D4734"/>
    <w:rsid w:val="005D476B"/>
    <w:rsid w:val="005D47A2"/>
    <w:rsid w:val="005D48B0"/>
    <w:rsid w:val="005D48CD"/>
    <w:rsid w:val="005D4918"/>
    <w:rsid w:val="005D4A3D"/>
    <w:rsid w:val="005D4AC1"/>
    <w:rsid w:val="005D4B0E"/>
    <w:rsid w:val="005D4B8B"/>
    <w:rsid w:val="005D4CA8"/>
    <w:rsid w:val="005D4D35"/>
    <w:rsid w:val="005D4F79"/>
    <w:rsid w:val="005D5028"/>
    <w:rsid w:val="005D50B7"/>
    <w:rsid w:val="005D50D1"/>
    <w:rsid w:val="005D5167"/>
    <w:rsid w:val="005D520B"/>
    <w:rsid w:val="005D52F2"/>
    <w:rsid w:val="005D5325"/>
    <w:rsid w:val="005D5419"/>
    <w:rsid w:val="005D541A"/>
    <w:rsid w:val="005D546E"/>
    <w:rsid w:val="005D55C0"/>
    <w:rsid w:val="005D56E0"/>
    <w:rsid w:val="005D56E2"/>
    <w:rsid w:val="005D571A"/>
    <w:rsid w:val="005D57C3"/>
    <w:rsid w:val="005D58C7"/>
    <w:rsid w:val="005D58D5"/>
    <w:rsid w:val="005D5998"/>
    <w:rsid w:val="005D5A1A"/>
    <w:rsid w:val="005D5AE2"/>
    <w:rsid w:val="005D5DD2"/>
    <w:rsid w:val="005D5DF5"/>
    <w:rsid w:val="005D6204"/>
    <w:rsid w:val="005D6221"/>
    <w:rsid w:val="005D6361"/>
    <w:rsid w:val="005D6384"/>
    <w:rsid w:val="005D6408"/>
    <w:rsid w:val="005D6487"/>
    <w:rsid w:val="005D64C6"/>
    <w:rsid w:val="005D65AA"/>
    <w:rsid w:val="005D666A"/>
    <w:rsid w:val="005D6679"/>
    <w:rsid w:val="005D68A2"/>
    <w:rsid w:val="005D6B89"/>
    <w:rsid w:val="005D6C0F"/>
    <w:rsid w:val="005D6C4B"/>
    <w:rsid w:val="005D6C7B"/>
    <w:rsid w:val="005D6CBE"/>
    <w:rsid w:val="005D6D3B"/>
    <w:rsid w:val="005D6D9A"/>
    <w:rsid w:val="005D715A"/>
    <w:rsid w:val="005D7282"/>
    <w:rsid w:val="005D728C"/>
    <w:rsid w:val="005D72A3"/>
    <w:rsid w:val="005D736E"/>
    <w:rsid w:val="005D7388"/>
    <w:rsid w:val="005D740D"/>
    <w:rsid w:val="005D747D"/>
    <w:rsid w:val="005D7551"/>
    <w:rsid w:val="005D75F0"/>
    <w:rsid w:val="005D7635"/>
    <w:rsid w:val="005D76C9"/>
    <w:rsid w:val="005D76CE"/>
    <w:rsid w:val="005D772C"/>
    <w:rsid w:val="005D7779"/>
    <w:rsid w:val="005D77DD"/>
    <w:rsid w:val="005D7916"/>
    <w:rsid w:val="005D7923"/>
    <w:rsid w:val="005D79E8"/>
    <w:rsid w:val="005D7CFA"/>
    <w:rsid w:val="005D7F52"/>
    <w:rsid w:val="005D7F7B"/>
    <w:rsid w:val="005E015E"/>
    <w:rsid w:val="005E01D8"/>
    <w:rsid w:val="005E0248"/>
    <w:rsid w:val="005E0307"/>
    <w:rsid w:val="005E037E"/>
    <w:rsid w:val="005E04EA"/>
    <w:rsid w:val="005E0580"/>
    <w:rsid w:val="005E05D4"/>
    <w:rsid w:val="005E062B"/>
    <w:rsid w:val="005E0692"/>
    <w:rsid w:val="005E06A8"/>
    <w:rsid w:val="005E06AC"/>
    <w:rsid w:val="005E07A9"/>
    <w:rsid w:val="005E0802"/>
    <w:rsid w:val="005E090C"/>
    <w:rsid w:val="005E0B30"/>
    <w:rsid w:val="005E0B9D"/>
    <w:rsid w:val="005E0D5C"/>
    <w:rsid w:val="005E0DEC"/>
    <w:rsid w:val="005E0E64"/>
    <w:rsid w:val="005E0F55"/>
    <w:rsid w:val="005E0FB0"/>
    <w:rsid w:val="005E1063"/>
    <w:rsid w:val="005E1163"/>
    <w:rsid w:val="005E1211"/>
    <w:rsid w:val="005E122F"/>
    <w:rsid w:val="005E1346"/>
    <w:rsid w:val="005E1397"/>
    <w:rsid w:val="005E14E1"/>
    <w:rsid w:val="005E15FF"/>
    <w:rsid w:val="005E186D"/>
    <w:rsid w:val="005E1A6E"/>
    <w:rsid w:val="005E1A80"/>
    <w:rsid w:val="005E1A8F"/>
    <w:rsid w:val="005E1B37"/>
    <w:rsid w:val="005E1B42"/>
    <w:rsid w:val="005E1B89"/>
    <w:rsid w:val="005E1BCB"/>
    <w:rsid w:val="005E1BE5"/>
    <w:rsid w:val="005E1BEF"/>
    <w:rsid w:val="005E1CCE"/>
    <w:rsid w:val="005E1E09"/>
    <w:rsid w:val="005E1F28"/>
    <w:rsid w:val="005E2050"/>
    <w:rsid w:val="005E2055"/>
    <w:rsid w:val="005E2161"/>
    <w:rsid w:val="005E21F8"/>
    <w:rsid w:val="005E222A"/>
    <w:rsid w:val="005E2287"/>
    <w:rsid w:val="005E2451"/>
    <w:rsid w:val="005E2499"/>
    <w:rsid w:val="005E24ED"/>
    <w:rsid w:val="005E250B"/>
    <w:rsid w:val="005E2577"/>
    <w:rsid w:val="005E25A5"/>
    <w:rsid w:val="005E25DC"/>
    <w:rsid w:val="005E263D"/>
    <w:rsid w:val="005E2692"/>
    <w:rsid w:val="005E278F"/>
    <w:rsid w:val="005E2848"/>
    <w:rsid w:val="005E286D"/>
    <w:rsid w:val="005E28A0"/>
    <w:rsid w:val="005E28D2"/>
    <w:rsid w:val="005E28DC"/>
    <w:rsid w:val="005E29ED"/>
    <w:rsid w:val="005E2B2F"/>
    <w:rsid w:val="005E2B68"/>
    <w:rsid w:val="005E2BEF"/>
    <w:rsid w:val="005E2C0E"/>
    <w:rsid w:val="005E2F6B"/>
    <w:rsid w:val="005E31FC"/>
    <w:rsid w:val="005E3376"/>
    <w:rsid w:val="005E352C"/>
    <w:rsid w:val="005E3534"/>
    <w:rsid w:val="005E3577"/>
    <w:rsid w:val="005E35B4"/>
    <w:rsid w:val="005E36DE"/>
    <w:rsid w:val="005E36EE"/>
    <w:rsid w:val="005E3736"/>
    <w:rsid w:val="005E37A8"/>
    <w:rsid w:val="005E386C"/>
    <w:rsid w:val="005E3888"/>
    <w:rsid w:val="005E38DA"/>
    <w:rsid w:val="005E391D"/>
    <w:rsid w:val="005E39BA"/>
    <w:rsid w:val="005E3AE4"/>
    <w:rsid w:val="005E3B63"/>
    <w:rsid w:val="005E3CFD"/>
    <w:rsid w:val="005E3D86"/>
    <w:rsid w:val="005E3DBF"/>
    <w:rsid w:val="005E3E8F"/>
    <w:rsid w:val="005E3F59"/>
    <w:rsid w:val="005E41D3"/>
    <w:rsid w:val="005E42FB"/>
    <w:rsid w:val="005E4328"/>
    <w:rsid w:val="005E438C"/>
    <w:rsid w:val="005E445A"/>
    <w:rsid w:val="005E44D3"/>
    <w:rsid w:val="005E4653"/>
    <w:rsid w:val="005E47EC"/>
    <w:rsid w:val="005E4807"/>
    <w:rsid w:val="005E48B8"/>
    <w:rsid w:val="005E493A"/>
    <w:rsid w:val="005E496B"/>
    <w:rsid w:val="005E4A37"/>
    <w:rsid w:val="005E4A58"/>
    <w:rsid w:val="005E4B7A"/>
    <w:rsid w:val="005E4BA7"/>
    <w:rsid w:val="005E4BB5"/>
    <w:rsid w:val="005E4BE6"/>
    <w:rsid w:val="005E4C9E"/>
    <w:rsid w:val="005E4D50"/>
    <w:rsid w:val="005E4D71"/>
    <w:rsid w:val="005E4DD7"/>
    <w:rsid w:val="005E4EB9"/>
    <w:rsid w:val="005E4FDF"/>
    <w:rsid w:val="005E5108"/>
    <w:rsid w:val="005E51CB"/>
    <w:rsid w:val="005E5278"/>
    <w:rsid w:val="005E537C"/>
    <w:rsid w:val="005E551D"/>
    <w:rsid w:val="005E55AE"/>
    <w:rsid w:val="005E5744"/>
    <w:rsid w:val="005E5886"/>
    <w:rsid w:val="005E5939"/>
    <w:rsid w:val="005E5AD0"/>
    <w:rsid w:val="005E5B53"/>
    <w:rsid w:val="005E5B90"/>
    <w:rsid w:val="005E5BC4"/>
    <w:rsid w:val="005E5BCF"/>
    <w:rsid w:val="005E5BFD"/>
    <w:rsid w:val="005E5C29"/>
    <w:rsid w:val="005E5D93"/>
    <w:rsid w:val="005E5DE1"/>
    <w:rsid w:val="005E5F1C"/>
    <w:rsid w:val="005E5FD2"/>
    <w:rsid w:val="005E5FDF"/>
    <w:rsid w:val="005E61A2"/>
    <w:rsid w:val="005E6414"/>
    <w:rsid w:val="005E6464"/>
    <w:rsid w:val="005E64CC"/>
    <w:rsid w:val="005E6520"/>
    <w:rsid w:val="005E6581"/>
    <w:rsid w:val="005E6584"/>
    <w:rsid w:val="005E6698"/>
    <w:rsid w:val="005E67DC"/>
    <w:rsid w:val="005E687F"/>
    <w:rsid w:val="005E6887"/>
    <w:rsid w:val="005E68A7"/>
    <w:rsid w:val="005E6AF4"/>
    <w:rsid w:val="005E6B64"/>
    <w:rsid w:val="005E6BD0"/>
    <w:rsid w:val="005E6BE1"/>
    <w:rsid w:val="005E6C5A"/>
    <w:rsid w:val="005E6C97"/>
    <w:rsid w:val="005E6D41"/>
    <w:rsid w:val="005E6E5A"/>
    <w:rsid w:val="005E6E5E"/>
    <w:rsid w:val="005E6EF3"/>
    <w:rsid w:val="005E7053"/>
    <w:rsid w:val="005E7313"/>
    <w:rsid w:val="005E7355"/>
    <w:rsid w:val="005E74D4"/>
    <w:rsid w:val="005E752E"/>
    <w:rsid w:val="005E75EF"/>
    <w:rsid w:val="005E75FC"/>
    <w:rsid w:val="005E7904"/>
    <w:rsid w:val="005E794B"/>
    <w:rsid w:val="005E7D27"/>
    <w:rsid w:val="005E7FD8"/>
    <w:rsid w:val="005F01C6"/>
    <w:rsid w:val="005F026B"/>
    <w:rsid w:val="005F0381"/>
    <w:rsid w:val="005F040F"/>
    <w:rsid w:val="005F04BA"/>
    <w:rsid w:val="005F05C9"/>
    <w:rsid w:val="005F0697"/>
    <w:rsid w:val="005F073C"/>
    <w:rsid w:val="005F0806"/>
    <w:rsid w:val="005F08C9"/>
    <w:rsid w:val="005F08EB"/>
    <w:rsid w:val="005F0937"/>
    <w:rsid w:val="005F0943"/>
    <w:rsid w:val="005F0B06"/>
    <w:rsid w:val="005F0B2F"/>
    <w:rsid w:val="005F0B70"/>
    <w:rsid w:val="005F0CAB"/>
    <w:rsid w:val="005F0D95"/>
    <w:rsid w:val="005F0E26"/>
    <w:rsid w:val="005F0F23"/>
    <w:rsid w:val="005F0FCF"/>
    <w:rsid w:val="005F1017"/>
    <w:rsid w:val="005F10AD"/>
    <w:rsid w:val="005F10D4"/>
    <w:rsid w:val="005F10FF"/>
    <w:rsid w:val="005F1207"/>
    <w:rsid w:val="005F1427"/>
    <w:rsid w:val="005F1506"/>
    <w:rsid w:val="005F161D"/>
    <w:rsid w:val="005F162A"/>
    <w:rsid w:val="005F1732"/>
    <w:rsid w:val="005F189C"/>
    <w:rsid w:val="005F18ED"/>
    <w:rsid w:val="005F18F4"/>
    <w:rsid w:val="005F1A8E"/>
    <w:rsid w:val="005F1ABC"/>
    <w:rsid w:val="005F1C2F"/>
    <w:rsid w:val="005F1CD2"/>
    <w:rsid w:val="005F1D5D"/>
    <w:rsid w:val="005F1DE4"/>
    <w:rsid w:val="005F1DF7"/>
    <w:rsid w:val="005F1EEB"/>
    <w:rsid w:val="005F1F60"/>
    <w:rsid w:val="005F20F3"/>
    <w:rsid w:val="005F217A"/>
    <w:rsid w:val="005F217C"/>
    <w:rsid w:val="005F21E6"/>
    <w:rsid w:val="005F2245"/>
    <w:rsid w:val="005F2323"/>
    <w:rsid w:val="005F23AE"/>
    <w:rsid w:val="005F23C1"/>
    <w:rsid w:val="005F23DB"/>
    <w:rsid w:val="005F24B4"/>
    <w:rsid w:val="005F24E4"/>
    <w:rsid w:val="005F25B1"/>
    <w:rsid w:val="005F2667"/>
    <w:rsid w:val="005F2880"/>
    <w:rsid w:val="005F2A1E"/>
    <w:rsid w:val="005F2B25"/>
    <w:rsid w:val="005F2BD9"/>
    <w:rsid w:val="005F2C89"/>
    <w:rsid w:val="005F2D49"/>
    <w:rsid w:val="005F2E11"/>
    <w:rsid w:val="005F2F61"/>
    <w:rsid w:val="005F2FA6"/>
    <w:rsid w:val="005F30BE"/>
    <w:rsid w:val="005F3250"/>
    <w:rsid w:val="005F3273"/>
    <w:rsid w:val="005F3279"/>
    <w:rsid w:val="005F3359"/>
    <w:rsid w:val="005F3388"/>
    <w:rsid w:val="005F33C6"/>
    <w:rsid w:val="005F3427"/>
    <w:rsid w:val="005F3444"/>
    <w:rsid w:val="005F371E"/>
    <w:rsid w:val="005F375A"/>
    <w:rsid w:val="005F3785"/>
    <w:rsid w:val="005F378B"/>
    <w:rsid w:val="005F3861"/>
    <w:rsid w:val="005F3A76"/>
    <w:rsid w:val="005F3D9B"/>
    <w:rsid w:val="005F3F78"/>
    <w:rsid w:val="005F3FE4"/>
    <w:rsid w:val="005F4024"/>
    <w:rsid w:val="005F406C"/>
    <w:rsid w:val="005F410C"/>
    <w:rsid w:val="005F4114"/>
    <w:rsid w:val="005F418E"/>
    <w:rsid w:val="005F41ED"/>
    <w:rsid w:val="005F4210"/>
    <w:rsid w:val="005F42D2"/>
    <w:rsid w:val="005F4321"/>
    <w:rsid w:val="005F443A"/>
    <w:rsid w:val="005F44A5"/>
    <w:rsid w:val="005F4615"/>
    <w:rsid w:val="005F4823"/>
    <w:rsid w:val="005F4946"/>
    <w:rsid w:val="005F4998"/>
    <w:rsid w:val="005F4BC7"/>
    <w:rsid w:val="005F4C53"/>
    <w:rsid w:val="005F4C59"/>
    <w:rsid w:val="005F4CA6"/>
    <w:rsid w:val="005F4D35"/>
    <w:rsid w:val="005F4D66"/>
    <w:rsid w:val="005F4DAB"/>
    <w:rsid w:val="005F4DF7"/>
    <w:rsid w:val="005F4E9E"/>
    <w:rsid w:val="005F4FAA"/>
    <w:rsid w:val="005F5002"/>
    <w:rsid w:val="005F508C"/>
    <w:rsid w:val="005F5093"/>
    <w:rsid w:val="005F50D4"/>
    <w:rsid w:val="005F520F"/>
    <w:rsid w:val="005F5388"/>
    <w:rsid w:val="005F54CC"/>
    <w:rsid w:val="005F55BC"/>
    <w:rsid w:val="005F566E"/>
    <w:rsid w:val="005F5786"/>
    <w:rsid w:val="005F578A"/>
    <w:rsid w:val="005F5882"/>
    <w:rsid w:val="005F590E"/>
    <w:rsid w:val="005F5999"/>
    <w:rsid w:val="005F5A3A"/>
    <w:rsid w:val="005F5AAC"/>
    <w:rsid w:val="005F5C69"/>
    <w:rsid w:val="005F5C80"/>
    <w:rsid w:val="005F5CDB"/>
    <w:rsid w:val="005F5D0D"/>
    <w:rsid w:val="005F5D4E"/>
    <w:rsid w:val="005F5E41"/>
    <w:rsid w:val="005F5F2C"/>
    <w:rsid w:val="005F6025"/>
    <w:rsid w:val="005F634E"/>
    <w:rsid w:val="005F643C"/>
    <w:rsid w:val="005F646C"/>
    <w:rsid w:val="005F647D"/>
    <w:rsid w:val="005F6485"/>
    <w:rsid w:val="005F648F"/>
    <w:rsid w:val="005F6521"/>
    <w:rsid w:val="005F661E"/>
    <w:rsid w:val="005F6644"/>
    <w:rsid w:val="005F66C8"/>
    <w:rsid w:val="005F66F7"/>
    <w:rsid w:val="005F66FB"/>
    <w:rsid w:val="005F672A"/>
    <w:rsid w:val="005F6787"/>
    <w:rsid w:val="005F6816"/>
    <w:rsid w:val="005F6865"/>
    <w:rsid w:val="005F68EB"/>
    <w:rsid w:val="005F6998"/>
    <w:rsid w:val="005F699D"/>
    <w:rsid w:val="005F69AB"/>
    <w:rsid w:val="005F6AB3"/>
    <w:rsid w:val="005F6B39"/>
    <w:rsid w:val="005F6BA5"/>
    <w:rsid w:val="005F6BED"/>
    <w:rsid w:val="005F6DA9"/>
    <w:rsid w:val="005F6DFA"/>
    <w:rsid w:val="005F6E5D"/>
    <w:rsid w:val="005F6F8F"/>
    <w:rsid w:val="005F6F9B"/>
    <w:rsid w:val="005F6FBE"/>
    <w:rsid w:val="005F702D"/>
    <w:rsid w:val="005F70BD"/>
    <w:rsid w:val="005F71A7"/>
    <w:rsid w:val="005F722F"/>
    <w:rsid w:val="005F72A0"/>
    <w:rsid w:val="005F734D"/>
    <w:rsid w:val="005F7447"/>
    <w:rsid w:val="005F744E"/>
    <w:rsid w:val="005F7584"/>
    <w:rsid w:val="005F7598"/>
    <w:rsid w:val="005F77BF"/>
    <w:rsid w:val="005F77FF"/>
    <w:rsid w:val="005F783F"/>
    <w:rsid w:val="005F78D0"/>
    <w:rsid w:val="005F7999"/>
    <w:rsid w:val="005F79B8"/>
    <w:rsid w:val="005F79F6"/>
    <w:rsid w:val="005F7A5D"/>
    <w:rsid w:val="005F7A88"/>
    <w:rsid w:val="005F7AE8"/>
    <w:rsid w:val="005F7B2D"/>
    <w:rsid w:val="005F7B91"/>
    <w:rsid w:val="005F7CB6"/>
    <w:rsid w:val="005F7D79"/>
    <w:rsid w:val="005F7DA3"/>
    <w:rsid w:val="005F7E1B"/>
    <w:rsid w:val="005F7ED2"/>
    <w:rsid w:val="005F7F1C"/>
    <w:rsid w:val="005F7F43"/>
    <w:rsid w:val="005F7F93"/>
    <w:rsid w:val="005F7F96"/>
    <w:rsid w:val="005F7F97"/>
    <w:rsid w:val="005F7FC0"/>
    <w:rsid w:val="00600192"/>
    <w:rsid w:val="006001A4"/>
    <w:rsid w:val="006001C4"/>
    <w:rsid w:val="006001CE"/>
    <w:rsid w:val="00600227"/>
    <w:rsid w:val="006002D5"/>
    <w:rsid w:val="0060049B"/>
    <w:rsid w:val="006005E8"/>
    <w:rsid w:val="00600783"/>
    <w:rsid w:val="00600832"/>
    <w:rsid w:val="00600896"/>
    <w:rsid w:val="006008CE"/>
    <w:rsid w:val="00600A95"/>
    <w:rsid w:val="00600C73"/>
    <w:rsid w:val="00600C9E"/>
    <w:rsid w:val="00600CFB"/>
    <w:rsid w:val="00600EF6"/>
    <w:rsid w:val="00600F24"/>
    <w:rsid w:val="00600F31"/>
    <w:rsid w:val="0060109C"/>
    <w:rsid w:val="00601314"/>
    <w:rsid w:val="0060134B"/>
    <w:rsid w:val="00601377"/>
    <w:rsid w:val="00601541"/>
    <w:rsid w:val="00601593"/>
    <w:rsid w:val="0060159E"/>
    <w:rsid w:val="006015CC"/>
    <w:rsid w:val="006016DB"/>
    <w:rsid w:val="006016FA"/>
    <w:rsid w:val="00601702"/>
    <w:rsid w:val="00601774"/>
    <w:rsid w:val="0060177B"/>
    <w:rsid w:val="00601785"/>
    <w:rsid w:val="006017A5"/>
    <w:rsid w:val="006017CB"/>
    <w:rsid w:val="00601802"/>
    <w:rsid w:val="0060182E"/>
    <w:rsid w:val="006018E4"/>
    <w:rsid w:val="0060196A"/>
    <w:rsid w:val="006019B9"/>
    <w:rsid w:val="00601A34"/>
    <w:rsid w:val="00601AFC"/>
    <w:rsid w:val="00601B23"/>
    <w:rsid w:val="00601BBD"/>
    <w:rsid w:val="00601C1D"/>
    <w:rsid w:val="00601C25"/>
    <w:rsid w:val="00601CE2"/>
    <w:rsid w:val="00601D26"/>
    <w:rsid w:val="00601D82"/>
    <w:rsid w:val="00601E7C"/>
    <w:rsid w:val="00601EBC"/>
    <w:rsid w:val="00601EE6"/>
    <w:rsid w:val="00601F04"/>
    <w:rsid w:val="00601F52"/>
    <w:rsid w:val="00601F76"/>
    <w:rsid w:val="00601FC7"/>
    <w:rsid w:val="0060207C"/>
    <w:rsid w:val="006020DA"/>
    <w:rsid w:val="006020F4"/>
    <w:rsid w:val="0060213C"/>
    <w:rsid w:val="00602161"/>
    <w:rsid w:val="0060216D"/>
    <w:rsid w:val="006021B6"/>
    <w:rsid w:val="006021E7"/>
    <w:rsid w:val="0060221E"/>
    <w:rsid w:val="00602299"/>
    <w:rsid w:val="006025F4"/>
    <w:rsid w:val="00602630"/>
    <w:rsid w:val="006027D0"/>
    <w:rsid w:val="006027E9"/>
    <w:rsid w:val="0060283A"/>
    <w:rsid w:val="00602850"/>
    <w:rsid w:val="00602898"/>
    <w:rsid w:val="00602950"/>
    <w:rsid w:val="00602C24"/>
    <w:rsid w:val="00602DA9"/>
    <w:rsid w:val="00602DAB"/>
    <w:rsid w:val="00602E08"/>
    <w:rsid w:val="00602F96"/>
    <w:rsid w:val="0060304B"/>
    <w:rsid w:val="006030F3"/>
    <w:rsid w:val="006031EC"/>
    <w:rsid w:val="006033D5"/>
    <w:rsid w:val="0060340D"/>
    <w:rsid w:val="00603418"/>
    <w:rsid w:val="006034C9"/>
    <w:rsid w:val="0060352D"/>
    <w:rsid w:val="00603551"/>
    <w:rsid w:val="006035E3"/>
    <w:rsid w:val="00603671"/>
    <w:rsid w:val="00603688"/>
    <w:rsid w:val="006036E0"/>
    <w:rsid w:val="0060380A"/>
    <w:rsid w:val="0060382E"/>
    <w:rsid w:val="0060388A"/>
    <w:rsid w:val="006038AF"/>
    <w:rsid w:val="0060398C"/>
    <w:rsid w:val="006039AE"/>
    <w:rsid w:val="006039E5"/>
    <w:rsid w:val="00603A0A"/>
    <w:rsid w:val="00603B0B"/>
    <w:rsid w:val="00603B46"/>
    <w:rsid w:val="00603BEE"/>
    <w:rsid w:val="00603D5E"/>
    <w:rsid w:val="00603E51"/>
    <w:rsid w:val="00603FA0"/>
    <w:rsid w:val="00604036"/>
    <w:rsid w:val="00604202"/>
    <w:rsid w:val="00604221"/>
    <w:rsid w:val="00604321"/>
    <w:rsid w:val="006044A4"/>
    <w:rsid w:val="00604507"/>
    <w:rsid w:val="006045CF"/>
    <w:rsid w:val="006045D5"/>
    <w:rsid w:val="006045D7"/>
    <w:rsid w:val="00604629"/>
    <w:rsid w:val="00604652"/>
    <w:rsid w:val="006046CF"/>
    <w:rsid w:val="00604731"/>
    <w:rsid w:val="00604737"/>
    <w:rsid w:val="0060475F"/>
    <w:rsid w:val="00604812"/>
    <w:rsid w:val="0060491C"/>
    <w:rsid w:val="0060498B"/>
    <w:rsid w:val="00604A55"/>
    <w:rsid w:val="00604A86"/>
    <w:rsid w:val="00604B34"/>
    <w:rsid w:val="00604BD0"/>
    <w:rsid w:val="00604BE7"/>
    <w:rsid w:val="00604CA6"/>
    <w:rsid w:val="00604DC4"/>
    <w:rsid w:val="00604E8F"/>
    <w:rsid w:val="00604F01"/>
    <w:rsid w:val="006050AC"/>
    <w:rsid w:val="00605147"/>
    <w:rsid w:val="006051A5"/>
    <w:rsid w:val="006051EC"/>
    <w:rsid w:val="006052FF"/>
    <w:rsid w:val="0060547E"/>
    <w:rsid w:val="00605628"/>
    <w:rsid w:val="00605683"/>
    <w:rsid w:val="006056D6"/>
    <w:rsid w:val="006059EA"/>
    <w:rsid w:val="00605AED"/>
    <w:rsid w:val="00605AF5"/>
    <w:rsid w:val="00605B2B"/>
    <w:rsid w:val="00605B90"/>
    <w:rsid w:val="00605C7E"/>
    <w:rsid w:val="00605C84"/>
    <w:rsid w:val="00605E56"/>
    <w:rsid w:val="00605E58"/>
    <w:rsid w:val="0060624B"/>
    <w:rsid w:val="006062F7"/>
    <w:rsid w:val="0060633E"/>
    <w:rsid w:val="0060637A"/>
    <w:rsid w:val="00606386"/>
    <w:rsid w:val="006063A2"/>
    <w:rsid w:val="006063C5"/>
    <w:rsid w:val="006064D2"/>
    <w:rsid w:val="00606523"/>
    <w:rsid w:val="0060657D"/>
    <w:rsid w:val="0060658E"/>
    <w:rsid w:val="006065D7"/>
    <w:rsid w:val="00606680"/>
    <w:rsid w:val="006067A7"/>
    <w:rsid w:val="006067C8"/>
    <w:rsid w:val="0060683E"/>
    <w:rsid w:val="00606ACC"/>
    <w:rsid w:val="00606BAB"/>
    <w:rsid w:val="00606C48"/>
    <w:rsid w:val="00606D06"/>
    <w:rsid w:val="00606DE9"/>
    <w:rsid w:val="00606EF0"/>
    <w:rsid w:val="00607078"/>
    <w:rsid w:val="0060716E"/>
    <w:rsid w:val="006071DD"/>
    <w:rsid w:val="006071FC"/>
    <w:rsid w:val="00607281"/>
    <w:rsid w:val="0060738D"/>
    <w:rsid w:val="00607418"/>
    <w:rsid w:val="006074AA"/>
    <w:rsid w:val="00607503"/>
    <w:rsid w:val="00607529"/>
    <w:rsid w:val="0060754D"/>
    <w:rsid w:val="006075A3"/>
    <w:rsid w:val="00607677"/>
    <w:rsid w:val="00607796"/>
    <w:rsid w:val="00607872"/>
    <w:rsid w:val="006078A0"/>
    <w:rsid w:val="006078A4"/>
    <w:rsid w:val="00607951"/>
    <w:rsid w:val="00607A0F"/>
    <w:rsid w:val="00607A14"/>
    <w:rsid w:val="00607B9A"/>
    <w:rsid w:val="00607C6B"/>
    <w:rsid w:val="00607DE2"/>
    <w:rsid w:val="00607E72"/>
    <w:rsid w:val="006100F4"/>
    <w:rsid w:val="00610197"/>
    <w:rsid w:val="00610202"/>
    <w:rsid w:val="0061023A"/>
    <w:rsid w:val="00610246"/>
    <w:rsid w:val="006102C6"/>
    <w:rsid w:val="006102D7"/>
    <w:rsid w:val="00610403"/>
    <w:rsid w:val="00610435"/>
    <w:rsid w:val="0061048E"/>
    <w:rsid w:val="00610490"/>
    <w:rsid w:val="0061050A"/>
    <w:rsid w:val="0061060F"/>
    <w:rsid w:val="006106B0"/>
    <w:rsid w:val="006106EC"/>
    <w:rsid w:val="006107BE"/>
    <w:rsid w:val="0061080C"/>
    <w:rsid w:val="00610861"/>
    <w:rsid w:val="0061090B"/>
    <w:rsid w:val="00610A16"/>
    <w:rsid w:val="00610AA0"/>
    <w:rsid w:val="00610D6E"/>
    <w:rsid w:val="00610D7B"/>
    <w:rsid w:val="00610DE8"/>
    <w:rsid w:val="00610E4F"/>
    <w:rsid w:val="00610F08"/>
    <w:rsid w:val="00610FB5"/>
    <w:rsid w:val="00610FB6"/>
    <w:rsid w:val="00611027"/>
    <w:rsid w:val="00611093"/>
    <w:rsid w:val="006110AF"/>
    <w:rsid w:val="006110F7"/>
    <w:rsid w:val="00611162"/>
    <w:rsid w:val="00611169"/>
    <w:rsid w:val="00611170"/>
    <w:rsid w:val="006111B5"/>
    <w:rsid w:val="00611228"/>
    <w:rsid w:val="00611269"/>
    <w:rsid w:val="006113A1"/>
    <w:rsid w:val="00611457"/>
    <w:rsid w:val="00611506"/>
    <w:rsid w:val="00611522"/>
    <w:rsid w:val="006115FC"/>
    <w:rsid w:val="006116D3"/>
    <w:rsid w:val="0061178C"/>
    <w:rsid w:val="006117CC"/>
    <w:rsid w:val="006118A2"/>
    <w:rsid w:val="006118A4"/>
    <w:rsid w:val="00611952"/>
    <w:rsid w:val="006119DC"/>
    <w:rsid w:val="00611A1D"/>
    <w:rsid w:val="00611A75"/>
    <w:rsid w:val="00611A90"/>
    <w:rsid w:val="00611B56"/>
    <w:rsid w:val="00611B8D"/>
    <w:rsid w:val="00611BB3"/>
    <w:rsid w:val="00611BEF"/>
    <w:rsid w:val="00611C85"/>
    <w:rsid w:val="00611E57"/>
    <w:rsid w:val="00611EF6"/>
    <w:rsid w:val="00611F82"/>
    <w:rsid w:val="00611FB2"/>
    <w:rsid w:val="006120FD"/>
    <w:rsid w:val="0061221A"/>
    <w:rsid w:val="00612261"/>
    <w:rsid w:val="00612299"/>
    <w:rsid w:val="0061245E"/>
    <w:rsid w:val="006124A9"/>
    <w:rsid w:val="00612654"/>
    <w:rsid w:val="0061267A"/>
    <w:rsid w:val="0061283F"/>
    <w:rsid w:val="0061284B"/>
    <w:rsid w:val="006128DF"/>
    <w:rsid w:val="00612941"/>
    <w:rsid w:val="00612B04"/>
    <w:rsid w:val="00612B2F"/>
    <w:rsid w:val="00612BF7"/>
    <w:rsid w:val="00612DCB"/>
    <w:rsid w:val="00612DEA"/>
    <w:rsid w:val="00612DFD"/>
    <w:rsid w:val="00612F37"/>
    <w:rsid w:val="0061300D"/>
    <w:rsid w:val="0061301A"/>
    <w:rsid w:val="0061306B"/>
    <w:rsid w:val="00613092"/>
    <w:rsid w:val="0061317D"/>
    <w:rsid w:val="006132FE"/>
    <w:rsid w:val="00613302"/>
    <w:rsid w:val="0061346C"/>
    <w:rsid w:val="006134AF"/>
    <w:rsid w:val="006136BF"/>
    <w:rsid w:val="006137D4"/>
    <w:rsid w:val="00613892"/>
    <w:rsid w:val="006138CC"/>
    <w:rsid w:val="00613E6D"/>
    <w:rsid w:val="00613E7B"/>
    <w:rsid w:val="00613F10"/>
    <w:rsid w:val="00614119"/>
    <w:rsid w:val="00614178"/>
    <w:rsid w:val="00614328"/>
    <w:rsid w:val="006144AE"/>
    <w:rsid w:val="006144BB"/>
    <w:rsid w:val="0061466A"/>
    <w:rsid w:val="00614700"/>
    <w:rsid w:val="00614767"/>
    <w:rsid w:val="006147EF"/>
    <w:rsid w:val="006147F6"/>
    <w:rsid w:val="0061482E"/>
    <w:rsid w:val="00614875"/>
    <w:rsid w:val="006148C0"/>
    <w:rsid w:val="006149D1"/>
    <w:rsid w:val="00614A23"/>
    <w:rsid w:val="00614A5A"/>
    <w:rsid w:val="00614AD7"/>
    <w:rsid w:val="00614B14"/>
    <w:rsid w:val="00614B83"/>
    <w:rsid w:val="00614BF7"/>
    <w:rsid w:val="00614CB8"/>
    <w:rsid w:val="00614D21"/>
    <w:rsid w:val="00614D94"/>
    <w:rsid w:val="00614E0E"/>
    <w:rsid w:val="00614E2C"/>
    <w:rsid w:val="00614F01"/>
    <w:rsid w:val="00614FEC"/>
    <w:rsid w:val="00615041"/>
    <w:rsid w:val="0061513B"/>
    <w:rsid w:val="00615168"/>
    <w:rsid w:val="00615178"/>
    <w:rsid w:val="006151BA"/>
    <w:rsid w:val="00615288"/>
    <w:rsid w:val="006153CB"/>
    <w:rsid w:val="006153E0"/>
    <w:rsid w:val="0061543A"/>
    <w:rsid w:val="0061553C"/>
    <w:rsid w:val="00615588"/>
    <w:rsid w:val="00615655"/>
    <w:rsid w:val="006156E2"/>
    <w:rsid w:val="00615785"/>
    <w:rsid w:val="006157D5"/>
    <w:rsid w:val="006157DA"/>
    <w:rsid w:val="00615871"/>
    <w:rsid w:val="00615873"/>
    <w:rsid w:val="00615947"/>
    <w:rsid w:val="00615AAF"/>
    <w:rsid w:val="00615ABF"/>
    <w:rsid w:val="00615B97"/>
    <w:rsid w:val="00615CA8"/>
    <w:rsid w:val="00615D7F"/>
    <w:rsid w:val="00615E79"/>
    <w:rsid w:val="00615EB4"/>
    <w:rsid w:val="0061610D"/>
    <w:rsid w:val="006162E5"/>
    <w:rsid w:val="006162FD"/>
    <w:rsid w:val="0061637D"/>
    <w:rsid w:val="006163CB"/>
    <w:rsid w:val="0061645A"/>
    <w:rsid w:val="0061645B"/>
    <w:rsid w:val="00616490"/>
    <w:rsid w:val="00616522"/>
    <w:rsid w:val="00616541"/>
    <w:rsid w:val="006165D6"/>
    <w:rsid w:val="00616686"/>
    <w:rsid w:val="00616723"/>
    <w:rsid w:val="006167A1"/>
    <w:rsid w:val="00616970"/>
    <w:rsid w:val="00616976"/>
    <w:rsid w:val="00616C70"/>
    <w:rsid w:val="00616D48"/>
    <w:rsid w:val="00616DA2"/>
    <w:rsid w:val="00616DCA"/>
    <w:rsid w:val="00616E76"/>
    <w:rsid w:val="00616EBB"/>
    <w:rsid w:val="00616F92"/>
    <w:rsid w:val="00617105"/>
    <w:rsid w:val="006172EC"/>
    <w:rsid w:val="0061735C"/>
    <w:rsid w:val="00617443"/>
    <w:rsid w:val="006174C4"/>
    <w:rsid w:val="00617753"/>
    <w:rsid w:val="006177E7"/>
    <w:rsid w:val="00617854"/>
    <w:rsid w:val="0061799B"/>
    <w:rsid w:val="00617ABF"/>
    <w:rsid w:val="00617AF4"/>
    <w:rsid w:val="00617BC9"/>
    <w:rsid w:val="00617DD4"/>
    <w:rsid w:val="00617EA2"/>
    <w:rsid w:val="00617EDA"/>
    <w:rsid w:val="00617EEA"/>
    <w:rsid w:val="00617F3D"/>
    <w:rsid w:val="00617F8F"/>
    <w:rsid w:val="00617FAB"/>
    <w:rsid w:val="00620078"/>
    <w:rsid w:val="006202E9"/>
    <w:rsid w:val="006203C4"/>
    <w:rsid w:val="00620403"/>
    <w:rsid w:val="0062060B"/>
    <w:rsid w:val="006206EC"/>
    <w:rsid w:val="00620710"/>
    <w:rsid w:val="0062071D"/>
    <w:rsid w:val="006207B8"/>
    <w:rsid w:val="006207D6"/>
    <w:rsid w:val="00620915"/>
    <w:rsid w:val="00620937"/>
    <w:rsid w:val="006209DF"/>
    <w:rsid w:val="00620A37"/>
    <w:rsid w:val="00620A4E"/>
    <w:rsid w:val="00620AF8"/>
    <w:rsid w:val="00620C87"/>
    <w:rsid w:val="00620D24"/>
    <w:rsid w:val="00620DC6"/>
    <w:rsid w:val="00620E4C"/>
    <w:rsid w:val="00620E8D"/>
    <w:rsid w:val="00620EE1"/>
    <w:rsid w:val="00620F87"/>
    <w:rsid w:val="00621019"/>
    <w:rsid w:val="0062103D"/>
    <w:rsid w:val="0062109B"/>
    <w:rsid w:val="006210AB"/>
    <w:rsid w:val="006210FC"/>
    <w:rsid w:val="0062139D"/>
    <w:rsid w:val="006213DB"/>
    <w:rsid w:val="00621550"/>
    <w:rsid w:val="006215AF"/>
    <w:rsid w:val="00621767"/>
    <w:rsid w:val="006217CB"/>
    <w:rsid w:val="00621812"/>
    <w:rsid w:val="00621830"/>
    <w:rsid w:val="006219C6"/>
    <w:rsid w:val="00621AB7"/>
    <w:rsid w:val="00621B16"/>
    <w:rsid w:val="00621BE3"/>
    <w:rsid w:val="00621FB4"/>
    <w:rsid w:val="00622037"/>
    <w:rsid w:val="00622071"/>
    <w:rsid w:val="006220CD"/>
    <w:rsid w:val="006220E2"/>
    <w:rsid w:val="00622243"/>
    <w:rsid w:val="006222E8"/>
    <w:rsid w:val="00622347"/>
    <w:rsid w:val="0062237B"/>
    <w:rsid w:val="006224AD"/>
    <w:rsid w:val="00622543"/>
    <w:rsid w:val="00622614"/>
    <w:rsid w:val="0062263A"/>
    <w:rsid w:val="00622666"/>
    <w:rsid w:val="006226B2"/>
    <w:rsid w:val="006226D3"/>
    <w:rsid w:val="00622785"/>
    <w:rsid w:val="006227A6"/>
    <w:rsid w:val="006227B4"/>
    <w:rsid w:val="006227C0"/>
    <w:rsid w:val="0062291C"/>
    <w:rsid w:val="006229A2"/>
    <w:rsid w:val="00622AA9"/>
    <w:rsid w:val="00622B98"/>
    <w:rsid w:val="00622BB4"/>
    <w:rsid w:val="00622CFF"/>
    <w:rsid w:val="00622D1D"/>
    <w:rsid w:val="00622D93"/>
    <w:rsid w:val="00622E00"/>
    <w:rsid w:val="00622EBA"/>
    <w:rsid w:val="006230C6"/>
    <w:rsid w:val="0062316E"/>
    <w:rsid w:val="00623298"/>
    <w:rsid w:val="006232C4"/>
    <w:rsid w:val="0062339F"/>
    <w:rsid w:val="0062343A"/>
    <w:rsid w:val="00623445"/>
    <w:rsid w:val="00623527"/>
    <w:rsid w:val="006235F4"/>
    <w:rsid w:val="006235F8"/>
    <w:rsid w:val="00623673"/>
    <w:rsid w:val="006236C3"/>
    <w:rsid w:val="006238E9"/>
    <w:rsid w:val="00623928"/>
    <w:rsid w:val="006239A3"/>
    <w:rsid w:val="00623B8B"/>
    <w:rsid w:val="00623B94"/>
    <w:rsid w:val="00623C24"/>
    <w:rsid w:val="00623D2B"/>
    <w:rsid w:val="00623D9F"/>
    <w:rsid w:val="00623DB6"/>
    <w:rsid w:val="00623FF0"/>
    <w:rsid w:val="0062408B"/>
    <w:rsid w:val="006240A5"/>
    <w:rsid w:val="00624191"/>
    <w:rsid w:val="006242FB"/>
    <w:rsid w:val="0062439D"/>
    <w:rsid w:val="006243AF"/>
    <w:rsid w:val="006243F6"/>
    <w:rsid w:val="0062449F"/>
    <w:rsid w:val="00624507"/>
    <w:rsid w:val="0062453F"/>
    <w:rsid w:val="00624566"/>
    <w:rsid w:val="0062456F"/>
    <w:rsid w:val="006245C9"/>
    <w:rsid w:val="0062460F"/>
    <w:rsid w:val="00624630"/>
    <w:rsid w:val="00624692"/>
    <w:rsid w:val="0062469C"/>
    <w:rsid w:val="0062471B"/>
    <w:rsid w:val="0062475A"/>
    <w:rsid w:val="00624944"/>
    <w:rsid w:val="00624A70"/>
    <w:rsid w:val="00624BA4"/>
    <w:rsid w:val="00624C07"/>
    <w:rsid w:val="00624CBA"/>
    <w:rsid w:val="00624D2B"/>
    <w:rsid w:val="00624D42"/>
    <w:rsid w:val="00624DCB"/>
    <w:rsid w:val="00624E66"/>
    <w:rsid w:val="00624EAA"/>
    <w:rsid w:val="00624F67"/>
    <w:rsid w:val="00624FAD"/>
    <w:rsid w:val="0062504B"/>
    <w:rsid w:val="00625224"/>
    <w:rsid w:val="00625243"/>
    <w:rsid w:val="0062526A"/>
    <w:rsid w:val="006252FB"/>
    <w:rsid w:val="006253B3"/>
    <w:rsid w:val="006253E9"/>
    <w:rsid w:val="0062540E"/>
    <w:rsid w:val="0062543D"/>
    <w:rsid w:val="0062571F"/>
    <w:rsid w:val="006258BC"/>
    <w:rsid w:val="006258EC"/>
    <w:rsid w:val="00625A0B"/>
    <w:rsid w:val="00625B50"/>
    <w:rsid w:val="00625B5B"/>
    <w:rsid w:val="00625BE6"/>
    <w:rsid w:val="00625D0F"/>
    <w:rsid w:val="00625D3A"/>
    <w:rsid w:val="00625DF5"/>
    <w:rsid w:val="00625EAE"/>
    <w:rsid w:val="00625F29"/>
    <w:rsid w:val="0062615E"/>
    <w:rsid w:val="0062634F"/>
    <w:rsid w:val="0062648D"/>
    <w:rsid w:val="00626492"/>
    <w:rsid w:val="006264D6"/>
    <w:rsid w:val="0062660F"/>
    <w:rsid w:val="00626685"/>
    <w:rsid w:val="006268C7"/>
    <w:rsid w:val="006269C7"/>
    <w:rsid w:val="006269CD"/>
    <w:rsid w:val="00626C7A"/>
    <w:rsid w:val="00626CF2"/>
    <w:rsid w:val="00626D3B"/>
    <w:rsid w:val="00626D42"/>
    <w:rsid w:val="00626DC0"/>
    <w:rsid w:val="00626E07"/>
    <w:rsid w:val="00626E57"/>
    <w:rsid w:val="00626F5B"/>
    <w:rsid w:val="0062702E"/>
    <w:rsid w:val="00627031"/>
    <w:rsid w:val="0062733B"/>
    <w:rsid w:val="0062745F"/>
    <w:rsid w:val="00627474"/>
    <w:rsid w:val="0062749C"/>
    <w:rsid w:val="006274E5"/>
    <w:rsid w:val="006276AB"/>
    <w:rsid w:val="00627759"/>
    <w:rsid w:val="006277BA"/>
    <w:rsid w:val="006278B7"/>
    <w:rsid w:val="00627AC3"/>
    <w:rsid w:val="00627BCA"/>
    <w:rsid w:val="00627E15"/>
    <w:rsid w:val="00627E3E"/>
    <w:rsid w:val="00627E5D"/>
    <w:rsid w:val="00627ECE"/>
    <w:rsid w:val="00627EE4"/>
    <w:rsid w:val="00627F07"/>
    <w:rsid w:val="00627F22"/>
    <w:rsid w:val="00627FB0"/>
    <w:rsid w:val="00627FCD"/>
    <w:rsid w:val="00630020"/>
    <w:rsid w:val="0063006A"/>
    <w:rsid w:val="006300A3"/>
    <w:rsid w:val="006301AD"/>
    <w:rsid w:val="006301AE"/>
    <w:rsid w:val="0063027A"/>
    <w:rsid w:val="0063027D"/>
    <w:rsid w:val="006302C8"/>
    <w:rsid w:val="006302EE"/>
    <w:rsid w:val="006303E6"/>
    <w:rsid w:val="00630481"/>
    <w:rsid w:val="006305EE"/>
    <w:rsid w:val="00630679"/>
    <w:rsid w:val="00630787"/>
    <w:rsid w:val="006307F0"/>
    <w:rsid w:val="006308AB"/>
    <w:rsid w:val="006308BB"/>
    <w:rsid w:val="0063092D"/>
    <w:rsid w:val="0063097D"/>
    <w:rsid w:val="00630AF5"/>
    <w:rsid w:val="00630BA4"/>
    <w:rsid w:val="00630C63"/>
    <w:rsid w:val="00630C6D"/>
    <w:rsid w:val="00630D03"/>
    <w:rsid w:val="00630DCC"/>
    <w:rsid w:val="00630E3E"/>
    <w:rsid w:val="00630FED"/>
    <w:rsid w:val="00630FF0"/>
    <w:rsid w:val="00631006"/>
    <w:rsid w:val="00631028"/>
    <w:rsid w:val="00631069"/>
    <w:rsid w:val="0063106D"/>
    <w:rsid w:val="006311BC"/>
    <w:rsid w:val="00631235"/>
    <w:rsid w:val="0063124F"/>
    <w:rsid w:val="0063129C"/>
    <w:rsid w:val="006312E8"/>
    <w:rsid w:val="0063132D"/>
    <w:rsid w:val="00631443"/>
    <w:rsid w:val="00631456"/>
    <w:rsid w:val="00631492"/>
    <w:rsid w:val="0063149D"/>
    <w:rsid w:val="006314AC"/>
    <w:rsid w:val="006315E9"/>
    <w:rsid w:val="00631758"/>
    <w:rsid w:val="0063180F"/>
    <w:rsid w:val="006319B2"/>
    <w:rsid w:val="00631AAC"/>
    <w:rsid w:val="00631AB1"/>
    <w:rsid w:val="00631AD2"/>
    <w:rsid w:val="00631C47"/>
    <w:rsid w:val="00631CE3"/>
    <w:rsid w:val="00631D1F"/>
    <w:rsid w:val="00631D7B"/>
    <w:rsid w:val="00631DD5"/>
    <w:rsid w:val="00631DDA"/>
    <w:rsid w:val="00631DF3"/>
    <w:rsid w:val="00631E2F"/>
    <w:rsid w:val="00631EA4"/>
    <w:rsid w:val="00631F3B"/>
    <w:rsid w:val="00631F89"/>
    <w:rsid w:val="00631FC2"/>
    <w:rsid w:val="006320CF"/>
    <w:rsid w:val="00632212"/>
    <w:rsid w:val="00632279"/>
    <w:rsid w:val="00632300"/>
    <w:rsid w:val="006323C8"/>
    <w:rsid w:val="00632475"/>
    <w:rsid w:val="0063260E"/>
    <w:rsid w:val="00632625"/>
    <w:rsid w:val="0063262F"/>
    <w:rsid w:val="0063270E"/>
    <w:rsid w:val="00632960"/>
    <w:rsid w:val="006329D4"/>
    <w:rsid w:val="00632ACD"/>
    <w:rsid w:val="00632BE2"/>
    <w:rsid w:val="00632C93"/>
    <w:rsid w:val="00632D01"/>
    <w:rsid w:val="00632D88"/>
    <w:rsid w:val="00632DA7"/>
    <w:rsid w:val="00632DC3"/>
    <w:rsid w:val="00632EBB"/>
    <w:rsid w:val="00632EDD"/>
    <w:rsid w:val="00632F06"/>
    <w:rsid w:val="00632F2D"/>
    <w:rsid w:val="00632F41"/>
    <w:rsid w:val="00632F72"/>
    <w:rsid w:val="00633102"/>
    <w:rsid w:val="00633113"/>
    <w:rsid w:val="00633125"/>
    <w:rsid w:val="00633175"/>
    <w:rsid w:val="0063319E"/>
    <w:rsid w:val="006331F2"/>
    <w:rsid w:val="0063320B"/>
    <w:rsid w:val="0063324C"/>
    <w:rsid w:val="00633384"/>
    <w:rsid w:val="006333BE"/>
    <w:rsid w:val="006333F4"/>
    <w:rsid w:val="00633403"/>
    <w:rsid w:val="006334BB"/>
    <w:rsid w:val="00633653"/>
    <w:rsid w:val="0063371E"/>
    <w:rsid w:val="00633728"/>
    <w:rsid w:val="00633747"/>
    <w:rsid w:val="006337AA"/>
    <w:rsid w:val="006338CD"/>
    <w:rsid w:val="00633976"/>
    <w:rsid w:val="006339FB"/>
    <w:rsid w:val="00633A03"/>
    <w:rsid w:val="00633A09"/>
    <w:rsid w:val="00633BC3"/>
    <w:rsid w:val="00633E3D"/>
    <w:rsid w:val="00633E49"/>
    <w:rsid w:val="00633E5C"/>
    <w:rsid w:val="00633F2E"/>
    <w:rsid w:val="006340A8"/>
    <w:rsid w:val="006340D2"/>
    <w:rsid w:val="00634160"/>
    <w:rsid w:val="006341A5"/>
    <w:rsid w:val="0063420B"/>
    <w:rsid w:val="0063432F"/>
    <w:rsid w:val="00634368"/>
    <w:rsid w:val="0063436C"/>
    <w:rsid w:val="006344E4"/>
    <w:rsid w:val="00634526"/>
    <w:rsid w:val="0063454E"/>
    <w:rsid w:val="00634633"/>
    <w:rsid w:val="00634660"/>
    <w:rsid w:val="0063472B"/>
    <w:rsid w:val="006347AC"/>
    <w:rsid w:val="0063483D"/>
    <w:rsid w:val="006348C0"/>
    <w:rsid w:val="00634ABA"/>
    <w:rsid w:val="00634AE4"/>
    <w:rsid w:val="00634B26"/>
    <w:rsid w:val="00634C88"/>
    <w:rsid w:val="00634E5C"/>
    <w:rsid w:val="00634FD2"/>
    <w:rsid w:val="00634FE3"/>
    <w:rsid w:val="00635061"/>
    <w:rsid w:val="00635078"/>
    <w:rsid w:val="006351CB"/>
    <w:rsid w:val="00635207"/>
    <w:rsid w:val="00635242"/>
    <w:rsid w:val="00635290"/>
    <w:rsid w:val="00635390"/>
    <w:rsid w:val="0063541A"/>
    <w:rsid w:val="0063542E"/>
    <w:rsid w:val="0063558B"/>
    <w:rsid w:val="006355EE"/>
    <w:rsid w:val="00635620"/>
    <w:rsid w:val="00635624"/>
    <w:rsid w:val="006356EF"/>
    <w:rsid w:val="006358B9"/>
    <w:rsid w:val="006358C8"/>
    <w:rsid w:val="006358CC"/>
    <w:rsid w:val="006358E4"/>
    <w:rsid w:val="00635919"/>
    <w:rsid w:val="0063594B"/>
    <w:rsid w:val="006359EF"/>
    <w:rsid w:val="00635A4D"/>
    <w:rsid w:val="00635A82"/>
    <w:rsid w:val="00635A97"/>
    <w:rsid w:val="00635B22"/>
    <w:rsid w:val="00635DA5"/>
    <w:rsid w:val="00635DDD"/>
    <w:rsid w:val="00635EA3"/>
    <w:rsid w:val="00635F23"/>
    <w:rsid w:val="00635F9E"/>
    <w:rsid w:val="00635FDD"/>
    <w:rsid w:val="00635FE1"/>
    <w:rsid w:val="00636107"/>
    <w:rsid w:val="00636349"/>
    <w:rsid w:val="00636397"/>
    <w:rsid w:val="0063646B"/>
    <w:rsid w:val="00636563"/>
    <w:rsid w:val="00636701"/>
    <w:rsid w:val="00636911"/>
    <w:rsid w:val="0063695E"/>
    <w:rsid w:val="00636AF2"/>
    <w:rsid w:val="00636B40"/>
    <w:rsid w:val="00636CF8"/>
    <w:rsid w:val="00636E4B"/>
    <w:rsid w:val="00636E57"/>
    <w:rsid w:val="00636EA0"/>
    <w:rsid w:val="00636EA5"/>
    <w:rsid w:val="00636F2B"/>
    <w:rsid w:val="00636F83"/>
    <w:rsid w:val="0063703C"/>
    <w:rsid w:val="00637166"/>
    <w:rsid w:val="00637286"/>
    <w:rsid w:val="006372A3"/>
    <w:rsid w:val="006374A8"/>
    <w:rsid w:val="0063759D"/>
    <w:rsid w:val="0063766B"/>
    <w:rsid w:val="006376C6"/>
    <w:rsid w:val="006376E6"/>
    <w:rsid w:val="006377CB"/>
    <w:rsid w:val="00637826"/>
    <w:rsid w:val="006378EE"/>
    <w:rsid w:val="0063791E"/>
    <w:rsid w:val="00637B02"/>
    <w:rsid w:val="00637BC8"/>
    <w:rsid w:val="00637BEB"/>
    <w:rsid w:val="00637C69"/>
    <w:rsid w:val="00637E58"/>
    <w:rsid w:val="00640011"/>
    <w:rsid w:val="006400BF"/>
    <w:rsid w:val="0064024C"/>
    <w:rsid w:val="006402EB"/>
    <w:rsid w:val="006403F2"/>
    <w:rsid w:val="00640401"/>
    <w:rsid w:val="0064042F"/>
    <w:rsid w:val="00640463"/>
    <w:rsid w:val="00640466"/>
    <w:rsid w:val="0064053A"/>
    <w:rsid w:val="0064063F"/>
    <w:rsid w:val="006409F8"/>
    <w:rsid w:val="00640BA4"/>
    <w:rsid w:val="00641087"/>
    <w:rsid w:val="006410BC"/>
    <w:rsid w:val="0064129C"/>
    <w:rsid w:val="0064134F"/>
    <w:rsid w:val="00641363"/>
    <w:rsid w:val="00641447"/>
    <w:rsid w:val="0064145E"/>
    <w:rsid w:val="00641483"/>
    <w:rsid w:val="00641492"/>
    <w:rsid w:val="00641561"/>
    <w:rsid w:val="006415DC"/>
    <w:rsid w:val="00641602"/>
    <w:rsid w:val="0064165C"/>
    <w:rsid w:val="0064174D"/>
    <w:rsid w:val="0064177E"/>
    <w:rsid w:val="00641793"/>
    <w:rsid w:val="00641794"/>
    <w:rsid w:val="00641B16"/>
    <w:rsid w:val="00641B69"/>
    <w:rsid w:val="00641BDB"/>
    <w:rsid w:val="00641C3B"/>
    <w:rsid w:val="00641CA3"/>
    <w:rsid w:val="00641CC4"/>
    <w:rsid w:val="00641D0E"/>
    <w:rsid w:val="00641E5D"/>
    <w:rsid w:val="00641E5E"/>
    <w:rsid w:val="00641F7C"/>
    <w:rsid w:val="00641F9F"/>
    <w:rsid w:val="00642099"/>
    <w:rsid w:val="006423A7"/>
    <w:rsid w:val="00642443"/>
    <w:rsid w:val="0064254E"/>
    <w:rsid w:val="00642554"/>
    <w:rsid w:val="006425F8"/>
    <w:rsid w:val="00642627"/>
    <w:rsid w:val="00642714"/>
    <w:rsid w:val="00642783"/>
    <w:rsid w:val="006427E4"/>
    <w:rsid w:val="006428E8"/>
    <w:rsid w:val="00642904"/>
    <w:rsid w:val="0064290E"/>
    <w:rsid w:val="00642AC7"/>
    <w:rsid w:val="00642B72"/>
    <w:rsid w:val="00642B9B"/>
    <w:rsid w:val="00642C18"/>
    <w:rsid w:val="00642C99"/>
    <w:rsid w:val="00642CE9"/>
    <w:rsid w:val="00642E52"/>
    <w:rsid w:val="00642F88"/>
    <w:rsid w:val="00642F95"/>
    <w:rsid w:val="00642FE7"/>
    <w:rsid w:val="0064309E"/>
    <w:rsid w:val="006430A7"/>
    <w:rsid w:val="0064324F"/>
    <w:rsid w:val="006432F8"/>
    <w:rsid w:val="00643306"/>
    <w:rsid w:val="006433EF"/>
    <w:rsid w:val="0064340D"/>
    <w:rsid w:val="0064353A"/>
    <w:rsid w:val="00643552"/>
    <w:rsid w:val="006436A0"/>
    <w:rsid w:val="006436E8"/>
    <w:rsid w:val="006436F0"/>
    <w:rsid w:val="0064381B"/>
    <w:rsid w:val="00643894"/>
    <w:rsid w:val="0064391C"/>
    <w:rsid w:val="00643923"/>
    <w:rsid w:val="006439C8"/>
    <w:rsid w:val="006439FE"/>
    <w:rsid w:val="00643A1B"/>
    <w:rsid w:val="00643A3E"/>
    <w:rsid w:val="00643A84"/>
    <w:rsid w:val="00643AB7"/>
    <w:rsid w:val="00643B29"/>
    <w:rsid w:val="00643B2F"/>
    <w:rsid w:val="00643B49"/>
    <w:rsid w:val="00643B8D"/>
    <w:rsid w:val="00643B92"/>
    <w:rsid w:val="00643B9F"/>
    <w:rsid w:val="00643C9B"/>
    <w:rsid w:val="00643CE5"/>
    <w:rsid w:val="00643D8D"/>
    <w:rsid w:val="00643E7D"/>
    <w:rsid w:val="00643ECD"/>
    <w:rsid w:val="00643F29"/>
    <w:rsid w:val="00643FD9"/>
    <w:rsid w:val="006440BD"/>
    <w:rsid w:val="00644103"/>
    <w:rsid w:val="0064418D"/>
    <w:rsid w:val="006442BD"/>
    <w:rsid w:val="0064435D"/>
    <w:rsid w:val="006444A8"/>
    <w:rsid w:val="006444AB"/>
    <w:rsid w:val="00644627"/>
    <w:rsid w:val="00644631"/>
    <w:rsid w:val="00644715"/>
    <w:rsid w:val="0064485D"/>
    <w:rsid w:val="006448AC"/>
    <w:rsid w:val="0064498D"/>
    <w:rsid w:val="00644AB5"/>
    <w:rsid w:val="00644BC3"/>
    <w:rsid w:val="00644BCB"/>
    <w:rsid w:val="00644CD4"/>
    <w:rsid w:val="00644CF5"/>
    <w:rsid w:val="00644D59"/>
    <w:rsid w:val="00644D6F"/>
    <w:rsid w:val="00644DC0"/>
    <w:rsid w:val="00644E35"/>
    <w:rsid w:val="00644E94"/>
    <w:rsid w:val="00644EC6"/>
    <w:rsid w:val="00644EC7"/>
    <w:rsid w:val="00644F88"/>
    <w:rsid w:val="00645296"/>
    <w:rsid w:val="0064552E"/>
    <w:rsid w:val="006455CB"/>
    <w:rsid w:val="006455F0"/>
    <w:rsid w:val="00645684"/>
    <w:rsid w:val="006457F2"/>
    <w:rsid w:val="0064580C"/>
    <w:rsid w:val="006459BE"/>
    <w:rsid w:val="00645AF7"/>
    <w:rsid w:val="00645BBB"/>
    <w:rsid w:val="00645D58"/>
    <w:rsid w:val="00645E1B"/>
    <w:rsid w:val="00645E28"/>
    <w:rsid w:val="00645E35"/>
    <w:rsid w:val="0064604E"/>
    <w:rsid w:val="006460D2"/>
    <w:rsid w:val="006460FB"/>
    <w:rsid w:val="00646257"/>
    <w:rsid w:val="0064639A"/>
    <w:rsid w:val="006463B8"/>
    <w:rsid w:val="006463DE"/>
    <w:rsid w:val="00646402"/>
    <w:rsid w:val="0064641B"/>
    <w:rsid w:val="00646518"/>
    <w:rsid w:val="0064663D"/>
    <w:rsid w:val="006466D6"/>
    <w:rsid w:val="0064670F"/>
    <w:rsid w:val="00646711"/>
    <w:rsid w:val="00646769"/>
    <w:rsid w:val="006467B1"/>
    <w:rsid w:val="006469F4"/>
    <w:rsid w:val="00646A10"/>
    <w:rsid w:val="00646A1A"/>
    <w:rsid w:val="00646A4D"/>
    <w:rsid w:val="00646AB7"/>
    <w:rsid w:val="00646B47"/>
    <w:rsid w:val="00646B8A"/>
    <w:rsid w:val="00646BA9"/>
    <w:rsid w:val="00646BDD"/>
    <w:rsid w:val="00646C7E"/>
    <w:rsid w:val="00646D6A"/>
    <w:rsid w:val="00646E4E"/>
    <w:rsid w:val="00646F2D"/>
    <w:rsid w:val="00646F92"/>
    <w:rsid w:val="006471D0"/>
    <w:rsid w:val="006472EE"/>
    <w:rsid w:val="0064733D"/>
    <w:rsid w:val="0064740E"/>
    <w:rsid w:val="00647747"/>
    <w:rsid w:val="00647754"/>
    <w:rsid w:val="00647770"/>
    <w:rsid w:val="00647871"/>
    <w:rsid w:val="00647962"/>
    <w:rsid w:val="00647AB5"/>
    <w:rsid w:val="00647AD0"/>
    <w:rsid w:val="00647B29"/>
    <w:rsid w:val="00647C3E"/>
    <w:rsid w:val="00647F9D"/>
    <w:rsid w:val="00647FB9"/>
    <w:rsid w:val="0065005A"/>
    <w:rsid w:val="006500CA"/>
    <w:rsid w:val="00650111"/>
    <w:rsid w:val="00650113"/>
    <w:rsid w:val="00650281"/>
    <w:rsid w:val="0065030C"/>
    <w:rsid w:val="006503B0"/>
    <w:rsid w:val="006504EB"/>
    <w:rsid w:val="006505F6"/>
    <w:rsid w:val="00650615"/>
    <w:rsid w:val="00650631"/>
    <w:rsid w:val="006506BC"/>
    <w:rsid w:val="006508E1"/>
    <w:rsid w:val="00650AE7"/>
    <w:rsid w:val="00650AFD"/>
    <w:rsid w:val="00650B4E"/>
    <w:rsid w:val="00650B8D"/>
    <w:rsid w:val="00650BB0"/>
    <w:rsid w:val="00650C21"/>
    <w:rsid w:val="00650DC3"/>
    <w:rsid w:val="00650EDD"/>
    <w:rsid w:val="00651008"/>
    <w:rsid w:val="00651061"/>
    <w:rsid w:val="00651087"/>
    <w:rsid w:val="00651092"/>
    <w:rsid w:val="0065115A"/>
    <w:rsid w:val="006511DF"/>
    <w:rsid w:val="0065124A"/>
    <w:rsid w:val="0065124C"/>
    <w:rsid w:val="00651294"/>
    <w:rsid w:val="006512C4"/>
    <w:rsid w:val="0065138E"/>
    <w:rsid w:val="00651547"/>
    <w:rsid w:val="0065162A"/>
    <w:rsid w:val="006516C0"/>
    <w:rsid w:val="00651863"/>
    <w:rsid w:val="006519AD"/>
    <w:rsid w:val="006519D4"/>
    <w:rsid w:val="00651A10"/>
    <w:rsid w:val="00651B63"/>
    <w:rsid w:val="00651C46"/>
    <w:rsid w:val="00651C76"/>
    <w:rsid w:val="00651CA1"/>
    <w:rsid w:val="00651DA7"/>
    <w:rsid w:val="00651FDD"/>
    <w:rsid w:val="00651FE6"/>
    <w:rsid w:val="0065201B"/>
    <w:rsid w:val="0065209F"/>
    <w:rsid w:val="00652175"/>
    <w:rsid w:val="0065224E"/>
    <w:rsid w:val="00652293"/>
    <w:rsid w:val="006522AC"/>
    <w:rsid w:val="00652464"/>
    <w:rsid w:val="00652639"/>
    <w:rsid w:val="006526EF"/>
    <w:rsid w:val="0065273D"/>
    <w:rsid w:val="00652751"/>
    <w:rsid w:val="0065282D"/>
    <w:rsid w:val="00652883"/>
    <w:rsid w:val="00652906"/>
    <w:rsid w:val="006529AE"/>
    <w:rsid w:val="00652A5D"/>
    <w:rsid w:val="00652A85"/>
    <w:rsid w:val="00652C67"/>
    <w:rsid w:val="00652D2B"/>
    <w:rsid w:val="00652D50"/>
    <w:rsid w:val="00652D5B"/>
    <w:rsid w:val="00652D7A"/>
    <w:rsid w:val="00652EAB"/>
    <w:rsid w:val="00652ED9"/>
    <w:rsid w:val="00652F4F"/>
    <w:rsid w:val="00652F5A"/>
    <w:rsid w:val="0065306B"/>
    <w:rsid w:val="0065307B"/>
    <w:rsid w:val="006530A1"/>
    <w:rsid w:val="006530CB"/>
    <w:rsid w:val="006532BB"/>
    <w:rsid w:val="0065351D"/>
    <w:rsid w:val="006537A4"/>
    <w:rsid w:val="00653811"/>
    <w:rsid w:val="006538C8"/>
    <w:rsid w:val="00653A71"/>
    <w:rsid w:val="00653C10"/>
    <w:rsid w:val="00653CA9"/>
    <w:rsid w:val="00653E19"/>
    <w:rsid w:val="00653E9E"/>
    <w:rsid w:val="00653ED3"/>
    <w:rsid w:val="00653F5B"/>
    <w:rsid w:val="00654048"/>
    <w:rsid w:val="0065406D"/>
    <w:rsid w:val="006541DD"/>
    <w:rsid w:val="00654287"/>
    <w:rsid w:val="0065439C"/>
    <w:rsid w:val="0065451C"/>
    <w:rsid w:val="00654602"/>
    <w:rsid w:val="0065464E"/>
    <w:rsid w:val="0065474A"/>
    <w:rsid w:val="006547DB"/>
    <w:rsid w:val="0065480F"/>
    <w:rsid w:val="00654A05"/>
    <w:rsid w:val="00654C8B"/>
    <w:rsid w:val="00654DC8"/>
    <w:rsid w:val="00654ED2"/>
    <w:rsid w:val="00654EEF"/>
    <w:rsid w:val="00654F97"/>
    <w:rsid w:val="00654FC2"/>
    <w:rsid w:val="006550BF"/>
    <w:rsid w:val="006550DD"/>
    <w:rsid w:val="006551E2"/>
    <w:rsid w:val="0065522B"/>
    <w:rsid w:val="006552CF"/>
    <w:rsid w:val="00655300"/>
    <w:rsid w:val="00655390"/>
    <w:rsid w:val="006553D7"/>
    <w:rsid w:val="0065553F"/>
    <w:rsid w:val="0065556A"/>
    <w:rsid w:val="006555C6"/>
    <w:rsid w:val="0065560F"/>
    <w:rsid w:val="00655798"/>
    <w:rsid w:val="0065579E"/>
    <w:rsid w:val="0065582D"/>
    <w:rsid w:val="00655936"/>
    <w:rsid w:val="00655A22"/>
    <w:rsid w:val="00655A8E"/>
    <w:rsid w:val="00655BCA"/>
    <w:rsid w:val="00655C0F"/>
    <w:rsid w:val="00655C39"/>
    <w:rsid w:val="00655D46"/>
    <w:rsid w:val="00655FA7"/>
    <w:rsid w:val="0065618A"/>
    <w:rsid w:val="006561A8"/>
    <w:rsid w:val="006561D8"/>
    <w:rsid w:val="006561E5"/>
    <w:rsid w:val="0065622F"/>
    <w:rsid w:val="00656280"/>
    <w:rsid w:val="006562A4"/>
    <w:rsid w:val="00656360"/>
    <w:rsid w:val="00656373"/>
    <w:rsid w:val="0065648A"/>
    <w:rsid w:val="006564E0"/>
    <w:rsid w:val="00656768"/>
    <w:rsid w:val="0065678C"/>
    <w:rsid w:val="006568A6"/>
    <w:rsid w:val="006568B2"/>
    <w:rsid w:val="0065690F"/>
    <w:rsid w:val="00656A6F"/>
    <w:rsid w:val="00656A9D"/>
    <w:rsid w:val="00656D59"/>
    <w:rsid w:val="00656E4C"/>
    <w:rsid w:val="00656F02"/>
    <w:rsid w:val="00656F2D"/>
    <w:rsid w:val="00656F8B"/>
    <w:rsid w:val="00657039"/>
    <w:rsid w:val="006573C3"/>
    <w:rsid w:val="00657414"/>
    <w:rsid w:val="00657514"/>
    <w:rsid w:val="00657542"/>
    <w:rsid w:val="0065762A"/>
    <w:rsid w:val="0065763F"/>
    <w:rsid w:val="0065764A"/>
    <w:rsid w:val="00657771"/>
    <w:rsid w:val="00657960"/>
    <w:rsid w:val="006579B2"/>
    <w:rsid w:val="00657B17"/>
    <w:rsid w:val="00657BB7"/>
    <w:rsid w:val="00657BC6"/>
    <w:rsid w:val="00657C09"/>
    <w:rsid w:val="00657C16"/>
    <w:rsid w:val="00657C9A"/>
    <w:rsid w:val="00657D1D"/>
    <w:rsid w:val="00657DBE"/>
    <w:rsid w:val="00657DFA"/>
    <w:rsid w:val="0066001C"/>
    <w:rsid w:val="00660023"/>
    <w:rsid w:val="0066008A"/>
    <w:rsid w:val="0066008E"/>
    <w:rsid w:val="00660177"/>
    <w:rsid w:val="006601BA"/>
    <w:rsid w:val="00660240"/>
    <w:rsid w:val="00660309"/>
    <w:rsid w:val="00660325"/>
    <w:rsid w:val="00660455"/>
    <w:rsid w:val="006604E0"/>
    <w:rsid w:val="0066059C"/>
    <w:rsid w:val="00660625"/>
    <w:rsid w:val="0066074F"/>
    <w:rsid w:val="006607DD"/>
    <w:rsid w:val="006608DB"/>
    <w:rsid w:val="0066092D"/>
    <w:rsid w:val="006609FA"/>
    <w:rsid w:val="00660A4C"/>
    <w:rsid w:val="00660B4F"/>
    <w:rsid w:val="00660B55"/>
    <w:rsid w:val="00660BA4"/>
    <w:rsid w:val="00660CB6"/>
    <w:rsid w:val="00660D1E"/>
    <w:rsid w:val="00660DD5"/>
    <w:rsid w:val="00660EA2"/>
    <w:rsid w:val="00660F30"/>
    <w:rsid w:val="006610C2"/>
    <w:rsid w:val="006611D9"/>
    <w:rsid w:val="00661462"/>
    <w:rsid w:val="006615C7"/>
    <w:rsid w:val="00661609"/>
    <w:rsid w:val="0066176C"/>
    <w:rsid w:val="00661815"/>
    <w:rsid w:val="0066186B"/>
    <w:rsid w:val="006618B4"/>
    <w:rsid w:val="0066198D"/>
    <w:rsid w:val="00661ABB"/>
    <w:rsid w:val="00661AC3"/>
    <w:rsid w:val="00661B15"/>
    <w:rsid w:val="00661BB6"/>
    <w:rsid w:val="00661C10"/>
    <w:rsid w:val="00661C4F"/>
    <w:rsid w:val="00661CD4"/>
    <w:rsid w:val="00661CE3"/>
    <w:rsid w:val="00661EA4"/>
    <w:rsid w:val="00661F85"/>
    <w:rsid w:val="0066208A"/>
    <w:rsid w:val="006620D0"/>
    <w:rsid w:val="0066214C"/>
    <w:rsid w:val="006622A5"/>
    <w:rsid w:val="006623AA"/>
    <w:rsid w:val="00662550"/>
    <w:rsid w:val="00662566"/>
    <w:rsid w:val="006625E0"/>
    <w:rsid w:val="006625E6"/>
    <w:rsid w:val="006626BA"/>
    <w:rsid w:val="00662738"/>
    <w:rsid w:val="006628A0"/>
    <w:rsid w:val="0066298B"/>
    <w:rsid w:val="006629B0"/>
    <w:rsid w:val="00662C52"/>
    <w:rsid w:val="00662CEF"/>
    <w:rsid w:val="00662D59"/>
    <w:rsid w:val="00662DA4"/>
    <w:rsid w:val="00662E3B"/>
    <w:rsid w:val="00662EAD"/>
    <w:rsid w:val="00662FC7"/>
    <w:rsid w:val="00663203"/>
    <w:rsid w:val="00663375"/>
    <w:rsid w:val="006635B8"/>
    <w:rsid w:val="006635BC"/>
    <w:rsid w:val="00663698"/>
    <w:rsid w:val="006636C8"/>
    <w:rsid w:val="00663741"/>
    <w:rsid w:val="006638A3"/>
    <w:rsid w:val="006638EE"/>
    <w:rsid w:val="00663997"/>
    <w:rsid w:val="006639C3"/>
    <w:rsid w:val="00663C6B"/>
    <w:rsid w:val="00663CFA"/>
    <w:rsid w:val="00663D32"/>
    <w:rsid w:val="00663D71"/>
    <w:rsid w:val="00663E18"/>
    <w:rsid w:val="00663E6F"/>
    <w:rsid w:val="00663F0A"/>
    <w:rsid w:val="00663F79"/>
    <w:rsid w:val="00663FF2"/>
    <w:rsid w:val="00664109"/>
    <w:rsid w:val="00664114"/>
    <w:rsid w:val="006641BC"/>
    <w:rsid w:val="0066428B"/>
    <w:rsid w:val="00664347"/>
    <w:rsid w:val="0066442D"/>
    <w:rsid w:val="00664516"/>
    <w:rsid w:val="006645FF"/>
    <w:rsid w:val="0066462D"/>
    <w:rsid w:val="00664705"/>
    <w:rsid w:val="00664765"/>
    <w:rsid w:val="006647B1"/>
    <w:rsid w:val="006647CE"/>
    <w:rsid w:val="0066485E"/>
    <w:rsid w:val="006648BB"/>
    <w:rsid w:val="006648D7"/>
    <w:rsid w:val="00664919"/>
    <w:rsid w:val="00664A79"/>
    <w:rsid w:val="00664B31"/>
    <w:rsid w:val="00664C01"/>
    <w:rsid w:val="00664D03"/>
    <w:rsid w:val="00664D6D"/>
    <w:rsid w:val="00664DED"/>
    <w:rsid w:val="00664E14"/>
    <w:rsid w:val="00664F86"/>
    <w:rsid w:val="00664F88"/>
    <w:rsid w:val="00664FFC"/>
    <w:rsid w:val="00665161"/>
    <w:rsid w:val="00665386"/>
    <w:rsid w:val="006653B8"/>
    <w:rsid w:val="006653DB"/>
    <w:rsid w:val="00665477"/>
    <w:rsid w:val="006654F5"/>
    <w:rsid w:val="00665559"/>
    <w:rsid w:val="006656DF"/>
    <w:rsid w:val="00665722"/>
    <w:rsid w:val="006657B2"/>
    <w:rsid w:val="006658D0"/>
    <w:rsid w:val="0066594B"/>
    <w:rsid w:val="006659CB"/>
    <w:rsid w:val="006659ED"/>
    <w:rsid w:val="00665B46"/>
    <w:rsid w:val="00665D9F"/>
    <w:rsid w:val="00665DC1"/>
    <w:rsid w:val="00665E03"/>
    <w:rsid w:val="00665E3B"/>
    <w:rsid w:val="00665F75"/>
    <w:rsid w:val="00665FDE"/>
    <w:rsid w:val="0066606B"/>
    <w:rsid w:val="006660C6"/>
    <w:rsid w:val="006660DC"/>
    <w:rsid w:val="00666131"/>
    <w:rsid w:val="0066619B"/>
    <w:rsid w:val="006661AB"/>
    <w:rsid w:val="0066656B"/>
    <w:rsid w:val="006665E5"/>
    <w:rsid w:val="00666733"/>
    <w:rsid w:val="00666890"/>
    <w:rsid w:val="006669FA"/>
    <w:rsid w:val="00666A20"/>
    <w:rsid w:val="00666A2F"/>
    <w:rsid w:val="00666B22"/>
    <w:rsid w:val="00666DCD"/>
    <w:rsid w:val="00666E91"/>
    <w:rsid w:val="00667017"/>
    <w:rsid w:val="006670E5"/>
    <w:rsid w:val="00667271"/>
    <w:rsid w:val="006672B2"/>
    <w:rsid w:val="0066739C"/>
    <w:rsid w:val="006673F0"/>
    <w:rsid w:val="006675B6"/>
    <w:rsid w:val="0066761E"/>
    <w:rsid w:val="0066763E"/>
    <w:rsid w:val="0066775E"/>
    <w:rsid w:val="006677E3"/>
    <w:rsid w:val="0066782E"/>
    <w:rsid w:val="006678DB"/>
    <w:rsid w:val="00667994"/>
    <w:rsid w:val="00667A7F"/>
    <w:rsid w:val="00667B02"/>
    <w:rsid w:val="00667B75"/>
    <w:rsid w:val="00667B97"/>
    <w:rsid w:val="00667BD4"/>
    <w:rsid w:val="00667C2A"/>
    <w:rsid w:val="00667D18"/>
    <w:rsid w:val="00667DC0"/>
    <w:rsid w:val="00667EC8"/>
    <w:rsid w:val="00667ED0"/>
    <w:rsid w:val="00667F37"/>
    <w:rsid w:val="00667F79"/>
    <w:rsid w:val="0067019B"/>
    <w:rsid w:val="006702B0"/>
    <w:rsid w:val="0067049C"/>
    <w:rsid w:val="006704BB"/>
    <w:rsid w:val="006704C7"/>
    <w:rsid w:val="00670532"/>
    <w:rsid w:val="006706A0"/>
    <w:rsid w:val="006706C2"/>
    <w:rsid w:val="00670713"/>
    <w:rsid w:val="006707DE"/>
    <w:rsid w:val="006708DA"/>
    <w:rsid w:val="0067098C"/>
    <w:rsid w:val="006709B2"/>
    <w:rsid w:val="006709BA"/>
    <w:rsid w:val="00670B4A"/>
    <w:rsid w:val="00670BAC"/>
    <w:rsid w:val="00670BBC"/>
    <w:rsid w:val="00670C6C"/>
    <w:rsid w:val="00670DD6"/>
    <w:rsid w:val="00670E2C"/>
    <w:rsid w:val="00670F8C"/>
    <w:rsid w:val="0067102C"/>
    <w:rsid w:val="006711F0"/>
    <w:rsid w:val="006712A4"/>
    <w:rsid w:val="006712B7"/>
    <w:rsid w:val="00671348"/>
    <w:rsid w:val="006713C1"/>
    <w:rsid w:val="006713C8"/>
    <w:rsid w:val="00671422"/>
    <w:rsid w:val="00671514"/>
    <w:rsid w:val="00671541"/>
    <w:rsid w:val="00671570"/>
    <w:rsid w:val="00671655"/>
    <w:rsid w:val="00671679"/>
    <w:rsid w:val="0067169B"/>
    <w:rsid w:val="00671791"/>
    <w:rsid w:val="006717EC"/>
    <w:rsid w:val="00671803"/>
    <w:rsid w:val="006718F1"/>
    <w:rsid w:val="00671A42"/>
    <w:rsid w:val="00671A91"/>
    <w:rsid w:val="00671AFA"/>
    <w:rsid w:val="00671B6B"/>
    <w:rsid w:val="00671C62"/>
    <w:rsid w:val="00671CFE"/>
    <w:rsid w:val="00671D8B"/>
    <w:rsid w:val="0067226E"/>
    <w:rsid w:val="00672270"/>
    <w:rsid w:val="00672299"/>
    <w:rsid w:val="00672331"/>
    <w:rsid w:val="00672366"/>
    <w:rsid w:val="00672597"/>
    <w:rsid w:val="0067269E"/>
    <w:rsid w:val="00672722"/>
    <w:rsid w:val="0067284F"/>
    <w:rsid w:val="0067285C"/>
    <w:rsid w:val="0067287E"/>
    <w:rsid w:val="00672891"/>
    <w:rsid w:val="006728DE"/>
    <w:rsid w:val="00672BB9"/>
    <w:rsid w:val="00672E10"/>
    <w:rsid w:val="0067309D"/>
    <w:rsid w:val="006731D3"/>
    <w:rsid w:val="00673221"/>
    <w:rsid w:val="00673280"/>
    <w:rsid w:val="00673390"/>
    <w:rsid w:val="00673451"/>
    <w:rsid w:val="006736B6"/>
    <w:rsid w:val="006736BC"/>
    <w:rsid w:val="0067373D"/>
    <w:rsid w:val="00673747"/>
    <w:rsid w:val="00673800"/>
    <w:rsid w:val="0067382A"/>
    <w:rsid w:val="006738D2"/>
    <w:rsid w:val="00673A05"/>
    <w:rsid w:val="00673A4F"/>
    <w:rsid w:val="00673A92"/>
    <w:rsid w:val="00673B8C"/>
    <w:rsid w:val="00673E44"/>
    <w:rsid w:val="00673F2B"/>
    <w:rsid w:val="00673F46"/>
    <w:rsid w:val="00673F74"/>
    <w:rsid w:val="00673FC9"/>
    <w:rsid w:val="00674120"/>
    <w:rsid w:val="00674122"/>
    <w:rsid w:val="00674226"/>
    <w:rsid w:val="00674236"/>
    <w:rsid w:val="00674247"/>
    <w:rsid w:val="006743A5"/>
    <w:rsid w:val="006743A8"/>
    <w:rsid w:val="0067446E"/>
    <w:rsid w:val="006744FA"/>
    <w:rsid w:val="00674538"/>
    <w:rsid w:val="006745D1"/>
    <w:rsid w:val="00674659"/>
    <w:rsid w:val="0067493C"/>
    <w:rsid w:val="006749BB"/>
    <w:rsid w:val="00674B24"/>
    <w:rsid w:val="00674B44"/>
    <w:rsid w:val="00674B68"/>
    <w:rsid w:val="00674C9C"/>
    <w:rsid w:val="00674CAD"/>
    <w:rsid w:val="00674CDD"/>
    <w:rsid w:val="00674DC5"/>
    <w:rsid w:val="00674FC8"/>
    <w:rsid w:val="006750CF"/>
    <w:rsid w:val="006750EA"/>
    <w:rsid w:val="00675109"/>
    <w:rsid w:val="006751D5"/>
    <w:rsid w:val="006752C0"/>
    <w:rsid w:val="006752FB"/>
    <w:rsid w:val="00675302"/>
    <w:rsid w:val="006753F3"/>
    <w:rsid w:val="006759F7"/>
    <w:rsid w:val="00675B7B"/>
    <w:rsid w:val="00675B96"/>
    <w:rsid w:val="00675C34"/>
    <w:rsid w:val="00675C99"/>
    <w:rsid w:val="00675E0F"/>
    <w:rsid w:val="00675F00"/>
    <w:rsid w:val="00675F2D"/>
    <w:rsid w:val="00676001"/>
    <w:rsid w:val="0067601B"/>
    <w:rsid w:val="0067604E"/>
    <w:rsid w:val="00676080"/>
    <w:rsid w:val="00676092"/>
    <w:rsid w:val="0067612B"/>
    <w:rsid w:val="00676277"/>
    <w:rsid w:val="006762A9"/>
    <w:rsid w:val="00676357"/>
    <w:rsid w:val="00676363"/>
    <w:rsid w:val="006763F2"/>
    <w:rsid w:val="006763FF"/>
    <w:rsid w:val="00676487"/>
    <w:rsid w:val="006764E9"/>
    <w:rsid w:val="00676521"/>
    <w:rsid w:val="00676593"/>
    <w:rsid w:val="0067669B"/>
    <w:rsid w:val="00676769"/>
    <w:rsid w:val="006767D4"/>
    <w:rsid w:val="006767FB"/>
    <w:rsid w:val="00676976"/>
    <w:rsid w:val="00676A7D"/>
    <w:rsid w:val="00676B8A"/>
    <w:rsid w:val="00676B99"/>
    <w:rsid w:val="00676BEE"/>
    <w:rsid w:val="00676C00"/>
    <w:rsid w:val="00676C42"/>
    <w:rsid w:val="00676D11"/>
    <w:rsid w:val="00676E4A"/>
    <w:rsid w:val="00676EE1"/>
    <w:rsid w:val="00676EEC"/>
    <w:rsid w:val="00676F14"/>
    <w:rsid w:val="00676F25"/>
    <w:rsid w:val="00677007"/>
    <w:rsid w:val="00677021"/>
    <w:rsid w:val="0067703D"/>
    <w:rsid w:val="0067709D"/>
    <w:rsid w:val="00677106"/>
    <w:rsid w:val="006771AC"/>
    <w:rsid w:val="00677312"/>
    <w:rsid w:val="00677406"/>
    <w:rsid w:val="0067758A"/>
    <w:rsid w:val="00677637"/>
    <w:rsid w:val="00677656"/>
    <w:rsid w:val="006776DA"/>
    <w:rsid w:val="00677708"/>
    <w:rsid w:val="006777B5"/>
    <w:rsid w:val="006777D1"/>
    <w:rsid w:val="0067782F"/>
    <w:rsid w:val="006778FA"/>
    <w:rsid w:val="00677911"/>
    <w:rsid w:val="00677A58"/>
    <w:rsid w:val="00677A72"/>
    <w:rsid w:val="00677B11"/>
    <w:rsid w:val="00677B37"/>
    <w:rsid w:val="00677B95"/>
    <w:rsid w:val="00677BF9"/>
    <w:rsid w:val="00677C3A"/>
    <w:rsid w:val="00677D9B"/>
    <w:rsid w:val="00677E1E"/>
    <w:rsid w:val="00677E80"/>
    <w:rsid w:val="00677ED4"/>
    <w:rsid w:val="00677FBC"/>
    <w:rsid w:val="00680061"/>
    <w:rsid w:val="006800D1"/>
    <w:rsid w:val="006800DA"/>
    <w:rsid w:val="00680111"/>
    <w:rsid w:val="00680435"/>
    <w:rsid w:val="006804CD"/>
    <w:rsid w:val="00680576"/>
    <w:rsid w:val="006805B9"/>
    <w:rsid w:val="00680622"/>
    <w:rsid w:val="006806BF"/>
    <w:rsid w:val="0068072C"/>
    <w:rsid w:val="0068079B"/>
    <w:rsid w:val="006807C9"/>
    <w:rsid w:val="006809C6"/>
    <w:rsid w:val="00680B05"/>
    <w:rsid w:val="00680B23"/>
    <w:rsid w:val="00680E0D"/>
    <w:rsid w:val="00680E60"/>
    <w:rsid w:val="00680E6B"/>
    <w:rsid w:val="00681188"/>
    <w:rsid w:val="00681206"/>
    <w:rsid w:val="00681208"/>
    <w:rsid w:val="006813E1"/>
    <w:rsid w:val="00681478"/>
    <w:rsid w:val="006814EB"/>
    <w:rsid w:val="00681551"/>
    <w:rsid w:val="006815F1"/>
    <w:rsid w:val="006815F6"/>
    <w:rsid w:val="006816D3"/>
    <w:rsid w:val="006816E0"/>
    <w:rsid w:val="006817A1"/>
    <w:rsid w:val="006817E2"/>
    <w:rsid w:val="00681BFD"/>
    <w:rsid w:val="00681C5B"/>
    <w:rsid w:val="00681C91"/>
    <w:rsid w:val="00681D51"/>
    <w:rsid w:val="00681DBE"/>
    <w:rsid w:val="00681E13"/>
    <w:rsid w:val="00681ECD"/>
    <w:rsid w:val="00682069"/>
    <w:rsid w:val="00682089"/>
    <w:rsid w:val="006820D8"/>
    <w:rsid w:val="00682423"/>
    <w:rsid w:val="00682669"/>
    <w:rsid w:val="00682715"/>
    <w:rsid w:val="0068277C"/>
    <w:rsid w:val="006827CB"/>
    <w:rsid w:val="0068288E"/>
    <w:rsid w:val="00682A06"/>
    <w:rsid w:val="00682A0A"/>
    <w:rsid w:val="00682BF9"/>
    <w:rsid w:val="00682C0A"/>
    <w:rsid w:val="00682C6E"/>
    <w:rsid w:val="00682CC7"/>
    <w:rsid w:val="00682CE1"/>
    <w:rsid w:val="00682D7F"/>
    <w:rsid w:val="00682EA3"/>
    <w:rsid w:val="00682F97"/>
    <w:rsid w:val="0068309D"/>
    <w:rsid w:val="006830EF"/>
    <w:rsid w:val="00683146"/>
    <w:rsid w:val="00683167"/>
    <w:rsid w:val="0068316C"/>
    <w:rsid w:val="006831FE"/>
    <w:rsid w:val="006832EC"/>
    <w:rsid w:val="00683370"/>
    <w:rsid w:val="006833A5"/>
    <w:rsid w:val="006833FC"/>
    <w:rsid w:val="00683548"/>
    <w:rsid w:val="006837CB"/>
    <w:rsid w:val="00683A3A"/>
    <w:rsid w:val="00683B14"/>
    <w:rsid w:val="00683BCF"/>
    <w:rsid w:val="00683C01"/>
    <w:rsid w:val="00683C29"/>
    <w:rsid w:val="00683C48"/>
    <w:rsid w:val="00683D04"/>
    <w:rsid w:val="00683D13"/>
    <w:rsid w:val="00683DDC"/>
    <w:rsid w:val="00683EED"/>
    <w:rsid w:val="00683F98"/>
    <w:rsid w:val="00683FD9"/>
    <w:rsid w:val="00683FDA"/>
    <w:rsid w:val="00684003"/>
    <w:rsid w:val="00684004"/>
    <w:rsid w:val="0068407F"/>
    <w:rsid w:val="00684111"/>
    <w:rsid w:val="00684236"/>
    <w:rsid w:val="00684271"/>
    <w:rsid w:val="006843D5"/>
    <w:rsid w:val="0068454A"/>
    <w:rsid w:val="00684562"/>
    <w:rsid w:val="006848E3"/>
    <w:rsid w:val="006848EA"/>
    <w:rsid w:val="00684931"/>
    <w:rsid w:val="0068495A"/>
    <w:rsid w:val="00684B0C"/>
    <w:rsid w:val="00684B25"/>
    <w:rsid w:val="00684BFB"/>
    <w:rsid w:val="00684BFD"/>
    <w:rsid w:val="00684C01"/>
    <w:rsid w:val="00684E7A"/>
    <w:rsid w:val="00684F4E"/>
    <w:rsid w:val="00685228"/>
    <w:rsid w:val="00685244"/>
    <w:rsid w:val="00685472"/>
    <w:rsid w:val="006854FE"/>
    <w:rsid w:val="00685532"/>
    <w:rsid w:val="0068556A"/>
    <w:rsid w:val="00685604"/>
    <w:rsid w:val="00685629"/>
    <w:rsid w:val="0068581B"/>
    <w:rsid w:val="006858A3"/>
    <w:rsid w:val="006859FD"/>
    <w:rsid w:val="00685A0D"/>
    <w:rsid w:val="00685A1A"/>
    <w:rsid w:val="00685A72"/>
    <w:rsid w:val="00685A77"/>
    <w:rsid w:val="00685BAD"/>
    <w:rsid w:val="00685BBA"/>
    <w:rsid w:val="00685CAD"/>
    <w:rsid w:val="00685DBC"/>
    <w:rsid w:val="00686020"/>
    <w:rsid w:val="006860DE"/>
    <w:rsid w:val="006860F2"/>
    <w:rsid w:val="00686151"/>
    <w:rsid w:val="0068617C"/>
    <w:rsid w:val="00686255"/>
    <w:rsid w:val="006862EF"/>
    <w:rsid w:val="0068634D"/>
    <w:rsid w:val="00686429"/>
    <w:rsid w:val="0068647F"/>
    <w:rsid w:val="00686491"/>
    <w:rsid w:val="00686516"/>
    <w:rsid w:val="00686628"/>
    <w:rsid w:val="00686634"/>
    <w:rsid w:val="006866AC"/>
    <w:rsid w:val="006866B6"/>
    <w:rsid w:val="0068686D"/>
    <w:rsid w:val="006868BC"/>
    <w:rsid w:val="0068692C"/>
    <w:rsid w:val="00686A68"/>
    <w:rsid w:val="00686B15"/>
    <w:rsid w:val="00686C64"/>
    <w:rsid w:val="00686C6C"/>
    <w:rsid w:val="00686DBB"/>
    <w:rsid w:val="00686DF3"/>
    <w:rsid w:val="00686EBC"/>
    <w:rsid w:val="00686F06"/>
    <w:rsid w:val="00686F99"/>
    <w:rsid w:val="00687030"/>
    <w:rsid w:val="00687075"/>
    <w:rsid w:val="0068707D"/>
    <w:rsid w:val="006870E6"/>
    <w:rsid w:val="006871BB"/>
    <w:rsid w:val="00687239"/>
    <w:rsid w:val="006872FF"/>
    <w:rsid w:val="0068733D"/>
    <w:rsid w:val="0068736F"/>
    <w:rsid w:val="0068737E"/>
    <w:rsid w:val="006873C7"/>
    <w:rsid w:val="006873F1"/>
    <w:rsid w:val="00687503"/>
    <w:rsid w:val="00687511"/>
    <w:rsid w:val="00687564"/>
    <w:rsid w:val="0068782B"/>
    <w:rsid w:val="0068788B"/>
    <w:rsid w:val="006878E8"/>
    <w:rsid w:val="00687924"/>
    <w:rsid w:val="00687A05"/>
    <w:rsid w:val="00687A9A"/>
    <w:rsid w:val="00687CCB"/>
    <w:rsid w:val="00687D06"/>
    <w:rsid w:val="00687D57"/>
    <w:rsid w:val="00687D84"/>
    <w:rsid w:val="00687E6F"/>
    <w:rsid w:val="0069011D"/>
    <w:rsid w:val="00690170"/>
    <w:rsid w:val="0069019E"/>
    <w:rsid w:val="00690213"/>
    <w:rsid w:val="00690270"/>
    <w:rsid w:val="006903AD"/>
    <w:rsid w:val="006903CC"/>
    <w:rsid w:val="00690405"/>
    <w:rsid w:val="00690430"/>
    <w:rsid w:val="00690518"/>
    <w:rsid w:val="00690646"/>
    <w:rsid w:val="00690658"/>
    <w:rsid w:val="006907AC"/>
    <w:rsid w:val="006907D6"/>
    <w:rsid w:val="0069096C"/>
    <w:rsid w:val="006909AD"/>
    <w:rsid w:val="00690CAA"/>
    <w:rsid w:val="00690CB0"/>
    <w:rsid w:val="00690CD3"/>
    <w:rsid w:val="00690DCE"/>
    <w:rsid w:val="00690DE2"/>
    <w:rsid w:val="00690E0B"/>
    <w:rsid w:val="00690E91"/>
    <w:rsid w:val="00690EA5"/>
    <w:rsid w:val="00691139"/>
    <w:rsid w:val="00691269"/>
    <w:rsid w:val="006912C7"/>
    <w:rsid w:val="006912F8"/>
    <w:rsid w:val="0069134F"/>
    <w:rsid w:val="00691361"/>
    <w:rsid w:val="0069139D"/>
    <w:rsid w:val="006914BA"/>
    <w:rsid w:val="006914BE"/>
    <w:rsid w:val="0069156A"/>
    <w:rsid w:val="006915BB"/>
    <w:rsid w:val="0069172E"/>
    <w:rsid w:val="00691945"/>
    <w:rsid w:val="0069196E"/>
    <w:rsid w:val="006919B4"/>
    <w:rsid w:val="006919EB"/>
    <w:rsid w:val="00691A68"/>
    <w:rsid w:val="00691A8B"/>
    <w:rsid w:val="00691ADD"/>
    <w:rsid w:val="00691B46"/>
    <w:rsid w:val="00691BEE"/>
    <w:rsid w:val="00691D03"/>
    <w:rsid w:val="00691D33"/>
    <w:rsid w:val="00691DE5"/>
    <w:rsid w:val="00691E32"/>
    <w:rsid w:val="00691EF4"/>
    <w:rsid w:val="00691F74"/>
    <w:rsid w:val="0069216B"/>
    <w:rsid w:val="0069234E"/>
    <w:rsid w:val="0069243A"/>
    <w:rsid w:val="006924C4"/>
    <w:rsid w:val="0069256B"/>
    <w:rsid w:val="006926FA"/>
    <w:rsid w:val="00692786"/>
    <w:rsid w:val="00692821"/>
    <w:rsid w:val="0069294C"/>
    <w:rsid w:val="00692A10"/>
    <w:rsid w:val="00692AF7"/>
    <w:rsid w:val="00692BB7"/>
    <w:rsid w:val="00692D6E"/>
    <w:rsid w:val="00693015"/>
    <w:rsid w:val="006930EF"/>
    <w:rsid w:val="006931C8"/>
    <w:rsid w:val="00693403"/>
    <w:rsid w:val="0069348F"/>
    <w:rsid w:val="006934F4"/>
    <w:rsid w:val="00693501"/>
    <w:rsid w:val="00693503"/>
    <w:rsid w:val="0069351E"/>
    <w:rsid w:val="00693546"/>
    <w:rsid w:val="00693556"/>
    <w:rsid w:val="006936D7"/>
    <w:rsid w:val="0069376C"/>
    <w:rsid w:val="00693912"/>
    <w:rsid w:val="006939B2"/>
    <w:rsid w:val="006939EB"/>
    <w:rsid w:val="00693A8D"/>
    <w:rsid w:val="00693AB0"/>
    <w:rsid w:val="00693AE6"/>
    <w:rsid w:val="00693C12"/>
    <w:rsid w:val="00693C72"/>
    <w:rsid w:val="00693D06"/>
    <w:rsid w:val="00693D1F"/>
    <w:rsid w:val="00693D8E"/>
    <w:rsid w:val="00693E29"/>
    <w:rsid w:val="00693EA2"/>
    <w:rsid w:val="00693F29"/>
    <w:rsid w:val="00693F86"/>
    <w:rsid w:val="00693FD0"/>
    <w:rsid w:val="00694014"/>
    <w:rsid w:val="0069404E"/>
    <w:rsid w:val="006941BD"/>
    <w:rsid w:val="006942E5"/>
    <w:rsid w:val="006942FA"/>
    <w:rsid w:val="006943B0"/>
    <w:rsid w:val="006943BB"/>
    <w:rsid w:val="00694426"/>
    <w:rsid w:val="00694491"/>
    <w:rsid w:val="006944FA"/>
    <w:rsid w:val="006945F8"/>
    <w:rsid w:val="006945FA"/>
    <w:rsid w:val="0069466B"/>
    <w:rsid w:val="0069476D"/>
    <w:rsid w:val="006947D3"/>
    <w:rsid w:val="006947F4"/>
    <w:rsid w:val="00694890"/>
    <w:rsid w:val="00694936"/>
    <w:rsid w:val="00694B12"/>
    <w:rsid w:val="00694E38"/>
    <w:rsid w:val="00694EC7"/>
    <w:rsid w:val="00694EEF"/>
    <w:rsid w:val="00694EF7"/>
    <w:rsid w:val="00695001"/>
    <w:rsid w:val="00695014"/>
    <w:rsid w:val="006950C3"/>
    <w:rsid w:val="00695147"/>
    <w:rsid w:val="006952FD"/>
    <w:rsid w:val="0069531D"/>
    <w:rsid w:val="006953A5"/>
    <w:rsid w:val="00695645"/>
    <w:rsid w:val="00695685"/>
    <w:rsid w:val="0069569A"/>
    <w:rsid w:val="006956AE"/>
    <w:rsid w:val="006956E2"/>
    <w:rsid w:val="0069572F"/>
    <w:rsid w:val="00695747"/>
    <w:rsid w:val="00695767"/>
    <w:rsid w:val="006958B7"/>
    <w:rsid w:val="00695926"/>
    <w:rsid w:val="00695937"/>
    <w:rsid w:val="00695B40"/>
    <w:rsid w:val="00695C32"/>
    <w:rsid w:val="00695CE2"/>
    <w:rsid w:val="00695DC4"/>
    <w:rsid w:val="00695E0B"/>
    <w:rsid w:val="0069600B"/>
    <w:rsid w:val="00696078"/>
    <w:rsid w:val="0069608C"/>
    <w:rsid w:val="0069611C"/>
    <w:rsid w:val="00696139"/>
    <w:rsid w:val="0069615F"/>
    <w:rsid w:val="006961A9"/>
    <w:rsid w:val="006962F6"/>
    <w:rsid w:val="006963A7"/>
    <w:rsid w:val="006963AF"/>
    <w:rsid w:val="006963C4"/>
    <w:rsid w:val="00696418"/>
    <w:rsid w:val="006964A8"/>
    <w:rsid w:val="006964C5"/>
    <w:rsid w:val="006964E3"/>
    <w:rsid w:val="006964E6"/>
    <w:rsid w:val="00696572"/>
    <w:rsid w:val="006965B4"/>
    <w:rsid w:val="0069663F"/>
    <w:rsid w:val="0069684F"/>
    <w:rsid w:val="006969DB"/>
    <w:rsid w:val="00696B05"/>
    <w:rsid w:val="00696D2C"/>
    <w:rsid w:val="00696E3E"/>
    <w:rsid w:val="00696EA2"/>
    <w:rsid w:val="00696EE4"/>
    <w:rsid w:val="00697217"/>
    <w:rsid w:val="00697246"/>
    <w:rsid w:val="00697329"/>
    <w:rsid w:val="006973D1"/>
    <w:rsid w:val="00697422"/>
    <w:rsid w:val="0069747C"/>
    <w:rsid w:val="0069747F"/>
    <w:rsid w:val="006974A2"/>
    <w:rsid w:val="0069750D"/>
    <w:rsid w:val="00697518"/>
    <w:rsid w:val="006975CB"/>
    <w:rsid w:val="00697839"/>
    <w:rsid w:val="00697889"/>
    <w:rsid w:val="006978C2"/>
    <w:rsid w:val="00697B27"/>
    <w:rsid w:val="00697B4D"/>
    <w:rsid w:val="00697CCC"/>
    <w:rsid w:val="00697DB2"/>
    <w:rsid w:val="00697DE7"/>
    <w:rsid w:val="00697EA2"/>
    <w:rsid w:val="00697F00"/>
    <w:rsid w:val="006A00DD"/>
    <w:rsid w:val="006A00E6"/>
    <w:rsid w:val="006A00F8"/>
    <w:rsid w:val="006A0210"/>
    <w:rsid w:val="006A0282"/>
    <w:rsid w:val="006A04AE"/>
    <w:rsid w:val="006A055F"/>
    <w:rsid w:val="006A064E"/>
    <w:rsid w:val="006A073A"/>
    <w:rsid w:val="006A075D"/>
    <w:rsid w:val="006A078F"/>
    <w:rsid w:val="006A07A7"/>
    <w:rsid w:val="006A07C2"/>
    <w:rsid w:val="006A08EE"/>
    <w:rsid w:val="006A0968"/>
    <w:rsid w:val="006A09F8"/>
    <w:rsid w:val="006A0AB5"/>
    <w:rsid w:val="006A0B33"/>
    <w:rsid w:val="006A0BA8"/>
    <w:rsid w:val="006A0BB2"/>
    <w:rsid w:val="006A0C5D"/>
    <w:rsid w:val="006A0DCE"/>
    <w:rsid w:val="006A0E34"/>
    <w:rsid w:val="006A0E96"/>
    <w:rsid w:val="006A0EA6"/>
    <w:rsid w:val="006A0FAA"/>
    <w:rsid w:val="006A0FB5"/>
    <w:rsid w:val="006A1042"/>
    <w:rsid w:val="006A1253"/>
    <w:rsid w:val="006A1383"/>
    <w:rsid w:val="006A145C"/>
    <w:rsid w:val="006A15E7"/>
    <w:rsid w:val="006A1675"/>
    <w:rsid w:val="006A1707"/>
    <w:rsid w:val="006A170D"/>
    <w:rsid w:val="006A1770"/>
    <w:rsid w:val="006A18C7"/>
    <w:rsid w:val="006A1937"/>
    <w:rsid w:val="006A1A91"/>
    <w:rsid w:val="006A1ABE"/>
    <w:rsid w:val="006A1AC7"/>
    <w:rsid w:val="006A1B8B"/>
    <w:rsid w:val="006A1C26"/>
    <w:rsid w:val="006A1C5D"/>
    <w:rsid w:val="006A1D1F"/>
    <w:rsid w:val="006A1D4A"/>
    <w:rsid w:val="006A1E7D"/>
    <w:rsid w:val="006A1EDD"/>
    <w:rsid w:val="006A1F7A"/>
    <w:rsid w:val="006A2186"/>
    <w:rsid w:val="006A2206"/>
    <w:rsid w:val="006A23E5"/>
    <w:rsid w:val="006A2464"/>
    <w:rsid w:val="006A2694"/>
    <w:rsid w:val="006A26AC"/>
    <w:rsid w:val="006A26E0"/>
    <w:rsid w:val="006A2795"/>
    <w:rsid w:val="006A27F2"/>
    <w:rsid w:val="006A27FF"/>
    <w:rsid w:val="006A2C36"/>
    <w:rsid w:val="006A2C7B"/>
    <w:rsid w:val="006A2CFA"/>
    <w:rsid w:val="006A2F04"/>
    <w:rsid w:val="006A3010"/>
    <w:rsid w:val="006A3113"/>
    <w:rsid w:val="006A3211"/>
    <w:rsid w:val="006A3248"/>
    <w:rsid w:val="006A32D9"/>
    <w:rsid w:val="006A3321"/>
    <w:rsid w:val="006A346F"/>
    <w:rsid w:val="006A3546"/>
    <w:rsid w:val="006A35DC"/>
    <w:rsid w:val="006A3729"/>
    <w:rsid w:val="006A37DE"/>
    <w:rsid w:val="006A3816"/>
    <w:rsid w:val="006A3AD8"/>
    <w:rsid w:val="006A3B40"/>
    <w:rsid w:val="006A3BA7"/>
    <w:rsid w:val="006A3CAA"/>
    <w:rsid w:val="006A3CE2"/>
    <w:rsid w:val="006A3F78"/>
    <w:rsid w:val="006A402F"/>
    <w:rsid w:val="006A403D"/>
    <w:rsid w:val="006A4264"/>
    <w:rsid w:val="006A433D"/>
    <w:rsid w:val="006A4584"/>
    <w:rsid w:val="006A4609"/>
    <w:rsid w:val="006A47E1"/>
    <w:rsid w:val="006A4884"/>
    <w:rsid w:val="006A48D3"/>
    <w:rsid w:val="006A496B"/>
    <w:rsid w:val="006A49C1"/>
    <w:rsid w:val="006A49D9"/>
    <w:rsid w:val="006A49FB"/>
    <w:rsid w:val="006A4CEC"/>
    <w:rsid w:val="006A4CEE"/>
    <w:rsid w:val="006A4EA8"/>
    <w:rsid w:val="006A4F00"/>
    <w:rsid w:val="006A4F6F"/>
    <w:rsid w:val="006A50F9"/>
    <w:rsid w:val="006A50FD"/>
    <w:rsid w:val="006A5166"/>
    <w:rsid w:val="006A52C8"/>
    <w:rsid w:val="006A5459"/>
    <w:rsid w:val="006A583C"/>
    <w:rsid w:val="006A5C20"/>
    <w:rsid w:val="006A5DBD"/>
    <w:rsid w:val="006A5E4B"/>
    <w:rsid w:val="006A5E54"/>
    <w:rsid w:val="006A5E75"/>
    <w:rsid w:val="006A5E77"/>
    <w:rsid w:val="006A5ECF"/>
    <w:rsid w:val="006A6017"/>
    <w:rsid w:val="006A6060"/>
    <w:rsid w:val="006A60F2"/>
    <w:rsid w:val="006A6114"/>
    <w:rsid w:val="006A619A"/>
    <w:rsid w:val="006A6228"/>
    <w:rsid w:val="006A630D"/>
    <w:rsid w:val="006A6361"/>
    <w:rsid w:val="006A642A"/>
    <w:rsid w:val="006A6454"/>
    <w:rsid w:val="006A648D"/>
    <w:rsid w:val="006A67A1"/>
    <w:rsid w:val="006A68D1"/>
    <w:rsid w:val="006A6936"/>
    <w:rsid w:val="006A6A0D"/>
    <w:rsid w:val="006A6A48"/>
    <w:rsid w:val="006A6AB6"/>
    <w:rsid w:val="006A6CAE"/>
    <w:rsid w:val="006A6D8E"/>
    <w:rsid w:val="006A6DB0"/>
    <w:rsid w:val="006A6DB7"/>
    <w:rsid w:val="006A6DCB"/>
    <w:rsid w:val="006A6DCF"/>
    <w:rsid w:val="006A6DD6"/>
    <w:rsid w:val="006A6E7A"/>
    <w:rsid w:val="006A6F0F"/>
    <w:rsid w:val="006A6F54"/>
    <w:rsid w:val="006A6FAB"/>
    <w:rsid w:val="006A70DF"/>
    <w:rsid w:val="006A7159"/>
    <w:rsid w:val="006A717C"/>
    <w:rsid w:val="006A71C3"/>
    <w:rsid w:val="006A73C8"/>
    <w:rsid w:val="006A74DD"/>
    <w:rsid w:val="006A7511"/>
    <w:rsid w:val="006A7563"/>
    <w:rsid w:val="006A75E0"/>
    <w:rsid w:val="006A7604"/>
    <w:rsid w:val="006A7695"/>
    <w:rsid w:val="006A7699"/>
    <w:rsid w:val="006A7713"/>
    <w:rsid w:val="006A786A"/>
    <w:rsid w:val="006A786D"/>
    <w:rsid w:val="006A7960"/>
    <w:rsid w:val="006A7BD3"/>
    <w:rsid w:val="006A7C5A"/>
    <w:rsid w:val="006A7D0D"/>
    <w:rsid w:val="006A7DF0"/>
    <w:rsid w:val="006A7E0F"/>
    <w:rsid w:val="006A7E4B"/>
    <w:rsid w:val="006A7F5B"/>
    <w:rsid w:val="006A7F93"/>
    <w:rsid w:val="006B0003"/>
    <w:rsid w:val="006B0182"/>
    <w:rsid w:val="006B01C7"/>
    <w:rsid w:val="006B0230"/>
    <w:rsid w:val="006B0257"/>
    <w:rsid w:val="006B0333"/>
    <w:rsid w:val="006B03AB"/>
    <w:rsid w:val="006B0415"/>
    <w:rsid w:val="006B04D2"/>
    <w:rsid w:val="006B0523"/>
    <w:rsid w:val="006B055E"/>
    <w:rsid w:val="006B05DB"/>
    <w:rsid w:val="006B07FD"/>
    <w:rsid w:val="006B08A2"/>
    <w:rsid w:val="006B094D"/>
    <w:rsid w:val="006B0A7F"/>
    <w:rsid w:val="006B0B1B"/>
    <w:rsid w:val="006B0B1C"/>
    <w:rsid w:val="006B0B3B"/>
    <w:rsid w:val="006B0CED"/>
    <w:rsid w:val="006B0D22"/>
    <w:rsid w:val="006B0D3D"/>
    <w:rsid w:val="006B0D98"/>
    <w:rsid w:val="006B0EDA"/>
    <w:rsid w:val="006B0F4B"/>
    <w:rsid w:val="006B0F72"/>
    <w:rsid w:val="006B10CC"/>
    <w:rsid w:val="006B1180"/>
    <w:rsid w:val="006B11B8"/>
    <w:rsid w:val="006B1228"/>
    <w:rsid w:val="006B1480"/>
    <w:rsid w:val="006B14A2"/>
    <w:rsid w:val="006B161E"/>
    <w:rsid w:val="006B169A"/>
    <w:rsid w:val="006B16ED"/>
    <w:rsid w:val="006B16F5"/>
    <w:rsid w:val="006B173F"/>
    <w:rsid w:val="006B180B"/>
    <w:rsid w:val="006B18A8"/>
    <w:rsid w:val="006B196B"/>
    <w:rsid w:val="006B196D"/>
    <w:rsid w:val="006B1ADE"/>
    <w:rsid w:val="006B1BF1"/>
    <w:rsid w:val="006B1BF5"/>
    <w:rsid w:val="006B1CA9"/>
    <w:rsid w:val="006B1CB4"/>
    <w:rsid w:val="006B1DA3"/>
    <w:rsid w:val="006B1E01"/>
    <w:rsid w:val="006B1E24"/>
    <w:rsid w:val="006B1E9C"/>
    <w:rsid w:val="006B1F72"/>
    <w:rsid w:val="006B21AD"/>
    <w:rsid w:val="006B21D9"/>
    <w:rsid w:val="006B222A"/>
    <w:rsid w:val="006B22B4"/>
    <w:rsid w:val="006B23D9"/>
    <w:rsid w:val="006B2450"/>
    <w:rsid w:val="006B24CA"/>
    <w:rsid w:val="006B2539"/>
    <w:rsid w:val="006B2957"/>
    <w:rsid w:val="006B2979"/>
    <w:rsid w:val="006B29C4"/>
    <w:rsid w:val="006B2AAA"/>
    <w:rsid w:val="006B2C22"/>
    <w:rsid w:val="006B2C51"/>
    <w:rsid w:val="006B2C53"/>
    <w:rsid w:val="006B2D1F"/>
    <w:rsid w:val="006B2DF4"/>
    <w:rsid w:val="006B2E16"/>
    <w:rsid w:val="006B2E84"/>
    <w:rsid w:val="006B2EE5"/>
    <w:rsid w:val="006B2F46"/>
    <w:rsid w:val="006B2FD3"/>
    <w:rsid w:val="006B2FE2"/>
    <w:rsid w:val="006B327E"/>
    <w:rsid w:val="006B3323"/>
    <w:rsid w:val="006B3467"/>
    <w:rsid w:val="006B346A"/>
    <w:rsid w:val="006B34CE"/>
    <w:rsid w:val="006B3513"/>
    <w:rsid w:val="006B351C"/>
    <w:rsid w:val="006B3554"/>
    <w:rsid w:val="006B3615"/>
    <w:rsid w:val="006B366D"/>
    <w:rsid w:val="006B3670"/>
    <w:rsid w:val="006B368C"/>
    <w:rsid w:val="006B3713"/>
    <w:rsid w:val="006B37DB"/>
    <w:rsid w:val="006B37E3"/>
    <w:rsid w:val="006B37ED"/>
    <w:rsid w:val="006B389A"/>
    <w:rsid w:val="006B3955"/>
    <w:rsid w:val="006B39B1"/>
    <w:rsid w:val="006B3A30"/>
    <w:rsid w:val="006B3B58"/>
    <w:rsid w:val="006B3B87"/>
    <w:rsid w:val="006B3BC9"/>
    <w:rsid w:val="006B3C24"/>
    <w:rsid w:val="006B3D88"/>
    <w:rsid w:val="006B3DA4"/>
    <w:rsid w:val="006B3E14"/>
    <w:rsid w:val="006B3EAC"/>
    <w:rsid w:val="006B3F5E"/>
    <w:rsid w:val="006B410F"/>
    <w:rsid w:val="006B4161"/>
    <w:rsid w:val="006B4193"/>
    <w:rsid w:val="006B43BF"/>
    <w:rsid w:val="006B44A8"/>
    <w:rsid w:val="006B44BC"/>
    <w:rsid w:val="006B467C"/>
    <w:rsid w:val="006B4755"/>
    <w:rsid w:val="006B478B"/>
    <w:rsid w:val="006B47A0"/>
    <w:rsid w:val="006B47FA"/>
    <w:rsid w:val="006B4853"/>
    <w:rsid w:val="006B4AB0"/>
    <w:rsid w:val="006B4BA4"/>
    <w:rsid w:val="006B4BEE"/>
    <w:rsid w:val="006B4BEF"/>
    <w:rsid w:val="006B4C01"/>
    <w:rsid w:val="006B4CF0"/>
    <w:rsid w:val="006B4D38"/>
    <w:rsid w:val="006B4ED2"/>
    <w:rsid w:val="006B4FA8"/>
    <w:rsid w:val="006B5065"/>
    <w:rsid w:val="006B51D4"/>
    <w:rsid w:val="006B524A"/>
    <w:rsid w:val="006B5272"/>
    <w:rsid w:val="006B5450"/>
    <w:rsid w:val="006B5563"/>
    <w:rsid w:val="006B5604"/>
    <w:rsid w:val="006B5649"/>
    <w:rsid w:val="006B5773"/>
    <w:rsid w:val="006B57C9"/>
    <w:rsid w:val="006B58C0"/>
    <w:rsid w:val="006B58DC"/>
    <w:rsid w:val="006B5929"/>
    <w:rsid w:val="006B5AC3"/>
    <w:rsid w:val="006B5AE8"/>
    <w:rsid w:val="006B5BED"/>
    <w:rsid w:val="006B5BFE"/>
    <w:rsid w:val="006B5DA1"/>
    <w:rsid w:val="006B6036"/>
    <w:rsid w:val="006B6113"/>
    <w:rsid w:val="006B6254"/>
    <w:rsid w:val="006B6288"/>
    <w:rsid w:val="006B62CC"/>
    <w:rsid w:val="006B630A"/>
    <w:rsid w:val="006B6445"/>
    <w:rsid w:val="006B6491"/>
    <w:rsid w:val="006B64E4"/>
    <w:rsid w:val="006B6523"/>
    <w:rsid w:val="006B6574"/>
    <w:rsid w:val="006B667D"/>
    <w:rsid w:val="006B67E8"/>
    <w:rsid w:val="006B682B"/>
    <w:rsid w:val="006B687A"/>
    <w:rsid w:val="006B6969"/>
    <w:rsid w:val="006B69A1"/>
    <w:rsid w:val="006B6A64"/>
    <w:rsid w:val="006B6B1F"/>
    <w:rsid w:val="006B6BB6"/>
    <w:rsid w:val="006B6C77"/>
    <w:rsid w:val="006B6D5D"/>
    <w:rsid w:val="006B6FAB"/>
    <w:rsid w:val="006B70D5"/>
    <w:rsid w:val="006B7128"/>
    <w:rsid w:val="006B72EC"/>
    <w:rsid w:val="006B7383"/>
    <w:rsid w:val="006B738B"/>
    <w:rsid w:val="006B73A5"/>
    <w:rsid w:val="006B73CC"/>
    <w:rsid w:val="006B74B3"/>
    <w:rsid w:val="006B77D2"/>
    <w:rsid w:val="006B7AAC"/>
    <w:rsid w:val="006B7CB3"/>
    <w:rsid w:val="006B7D31"/>
    <w:rsid w:val="006B7D6E"/>
    <w:rsid w:val="006B7DEC"/>
    <w:rsid w:val="006B7DFC"/>
    <w:rsid w:val="006B7E2D"/>
    <w:rsid w:val="006C00D4"/>
    <w:rsid w:val="006C01EB"/>
    <w:rsid w:val="006C0255"/>
    <w:rsid w:val="006C02A6"/>
    <w:rsid w:val="006C02E0"/>
    <w:rsid w:val="006C0447"/>
    <w:rsid w:val="006C0478"/>
    <w:rsid w:val="006C04A8"/>
    <w:rsid w:val="006C070A"/>
    <w:rsid w:val="006C075B"/>
    <w:rsid w:val="006C087F"/>
    <w:rsid w:val="006C08B1"/>
    <w:rsid w:val="006C09CC"/>
    <w:rsid w:val="006C0A58"/>
    <w:rsid w:val="006C0A96"/>
    <w:rsid w:val="006C0C75"/>
    <w:rsid w:val="006C0D5E"/>
    <w:rsid w:val="006C0D9D"/>
    <w:rsid w:val="006C0E0D"/>
    <w:rsid w:val="006C0E7D"/>
    <w:rsid w:val="006C0EC9"/>
    <w:rsid w:val="006C10C1"/>
    <w:rsid w:val="006C1184"/>
    <w:rsid w:val="006C11EF"/>
    <w:rsid w:val="006C127F"/>
    <w:rsid w:val="006C1359"/>
    <w:rsid w:val="006C13B3"/>
    <w:rsid w:val="006C14C6"/>
    <w:rsid w:val="006C1580"/>
    <w:rsid w:val="006C1733"/>
    <w:rsid w:val="006C177A"/>
    <w:rsid w:val="006C181B"/>
    <w:rsid w:val="006C185B"/>
    <w:rsid w:val="006C18BF"/>
    <w:rsid w:val="006C192D"/>
    <w:rsid w:val="006C1B73"/>
    <w:rsid w:val="006C1B9B"/>
    <w:rsid w:val="006C1BB0"/>
    <w:rsid w:val="006C1C1A"/>
    <w:rsid w:val="006C1E2F"/>
    <w:rsid w:val="006C1EE1"/>
    <w:rsid w:val="006C1F9C"/>
    <w:rsid w:val="006C20E4"/>
    <w:rsid w:val="006C2133"/>
    <w:rsid w:val="006C21E1"/>
    <w:rsid w:val="006C228E"/>
    <w:rsid w:val="006C2309"/>
    <w:rsid w:val="006C2366"/>
    <w:rsid w:val="006C25E4"/>
    <w:rsid w:val="006C267D"/>
    <w:rsid w:val="006C2787"/>
    <w:rsid w:val="006C2797"/>
    <w:rsid w:val="006C2863"/>
    <w:rsid w:val="006C2891"/>
    <w:rsid w:val="006C28DF"/>
    <w:rsid w:val="006C28FB"/>
    <w:rsid w:val="006C2979"/>
    <w:rsid w:val="006C2992"/>
    <w:rsid w:val="006C2A8F"/>
    <w:rsid w:val="006C2AE5"/>
    <w:rsid w:val="006C2B00"/>
    <w:rsid w:val="006C2C68"/>
    <w:rsid w:val="006C2CB9"/>
    <w:rsid w:val="006C2CF8"/>
    <w:rsid w:val="006C2D7C"/>
    <w:rsid w:val="006C2E43"/>
    <w:rsid w:val="006C2F62"/>
    <w:rsid w:val="006C2FC0"/>
    <w:rsid w:val="006C2FF9"/>
    <w:rsid w:val="006C30E6"/>
    <w:rsid w:val="006C30FB"/>
    <w:rsid w:val="006C316F"/>
    <w:rsid w:val="006C3325"/>
    <w:rsid w:val="006C3484"/>
    <w:rsid w:val="006C355D"/>
    <w:rsid w:val="006C35B9"/>
    <w:rsid w:val="006C3625"/>
    <w:rsid w:val="006C377C"/>
    <w:rsid w:val="006C3807"/>
    <w:rsid w:val="006C3993"/>
    <w:rsid w:val="006C39BC"/>
    <w:rsid w:val="006C3A42"/>
    <w:rsid w:val="006C3B17"/>
    <w:rsid w:val="006C3B4B"/>
    <w:rsid w:val="006C3B51"/>
    <w:rsid w:val="006C3CC3"/>
    <w:rsid w:val="006C3CFE"/>
    <w:rsid w:val="006C3D77"/>
    <w:rsid w:val="006C3E65"/>
    <w:rsid w:val="006C3FEF"/>
    <w:rsid w:val="006C401B"/>
    <w:rsid w:val="006C4112"/>
    <w:rsid w:val="006C41B2"/>
    <w:rsid w:val="006C4227"/>
    <w:rsid w:val="006C4323"/>
    <w:rsid w:val="006C4423"/>
    <w:rsid w:val="006C446C"/>
    <w:rsid w:val="006C4484"/>
    <w:rsid w:val="006C44F2"/>
    <w:rsid w:val="006C4734"/>
    <w:rsid w:val="006C48FB"/>
    <w:rsid w:val="006C497F"/>
    <w:rsid w:val="006C49CC"/>
    <w:rsid w:val="006C4A38"/>
    <w:rsid w:val="006C4AC2"/>
    <w:rsid w:val="006C4AC3"/>
    <w:rsid w:val="006C4B97"/>
    <w:rsid w:val="006C4CAD"/>
    <w:rsid w:val="006C4E64"/>
    <w:rsid w:val="006C4E78"/>
    <w:rsid w:val="006C4E7A"/>
    <w:rsid w:val="006C4F1C"/>
    <w:rsid w:val="006C5073"/>
    <w:rsid w:val="006C50FE"/>
    <w:rsid w:val="006C52C9"/>
    <w:rsid w:val="006C5375"/>
    <w:rsid w:val="006C53FF"/>
    <w:rsid w:val="006C5425"/>
    <w:rsid w:val="006C5462"/>
    <w:rsid w:val="006C56AD"/>
    <w:rsid w:val="006C575B"/>
    <w:rsid w:val="006C5762"/>
    <w:rsid w:val="006C580F"/>
    <w:rsid w:val="006C588A"/>
    <w:rsid w:val="006C58D0"/>
    <w:rsid w:val="006C5A74"/>
    <w:rsid w:val="006C5AF8"/>
    <w:rsid w:val="006C5BBC"/>
    <w:rsid w:val="006C5CB0"/>
    <w:rsid w:val="006C5D6D"/>
    <w:rsid w:val="006C5DAF"/>
    <w:rsid w:val="006C5DC0"/>
    <w:rsid w:val="006C5F1B"/>
    <w:rsid w:val="006C5FFE"/>
    <w:rsid w:val="006C6153"/>
    <w:rsid w:val="006C6206"/>
    <w:rsid w:val="006C62F7"/>
    <w:rsid w:val="006C631C"/>
    <w:rsid w:val="006C6438"/>
    <w:rsid w:val="006C64C6"/>
    <w:rsid w:val="006C653F"/>
    <w:rsid w:val="006C6593"/>
    <w:rsid w:val="006C65C5"/>
    <w:rsid w:val="006C661A"/>
    <w:rsid w:val="006C672D"/>
    <w:rsid w:val="006C681F"/>
    <w:rsid w:val="006C6882"/>
    <w:rsid w:val="006C69BA"/>
    <w:rsid w:val="006C6BDD"/>
    <w:rsid w:val="006C6C3C"/>
    <w:rsid w:val="006C6D11"/>
    <w:rsid w:val="006C6DA8"/>
    <w:rsid w:val="006C6E8B"/>
    <w:rsid w:val="006C6F6A"/>
    <w:rsid w:val="006C6FF4"/>
    <w:rsid w:val="006C71A0"/>
    <w:rsid w:val="006C71DE"/>
    <w:rsid w:val="006C71DF"/>
    <w:rsid w:val="006C72CA"/>
    <w:rsid w:val="006C7323"/>
    <w:rsid w:val="006C7388"/>
    <w:rsid w:val="006C73E2"/>
    <w:rsid w:val="006C75FD"/>
    <w:rsid w:val="006C7619"/>
    <w:rsid w:val="006C768C"/>
    <w:rsid w:val="006C7779"/>
    <w:rsid w:val="006C7806"/>
    <w:rsid w:val="006C7851"/>
    <w:rsid w:val="006C795A"/>
    <w:rsid w:val="006C7ADF"/>
    <w:rsid w:val="006C7AEB"/>
    <w:rsid w:val="006C7B6B"/>
    <w:rsid w:val="006C7C42"/>
    <w:rsid w:val="006C7C60"/>
    <w:rsid w:val="006C7CF2"/>
    <w:rsid w:val="006C7D47"/>
    <w:rsid w:val="006C7EF4"/>
    <w:rsid w:val="006C7F9F"/>
    <w:rsid w:val="006C7FB3"/>
    <w:rsid w:val="006D000C"/>
    <w:rsid w:val="006D0036"/>
    <w:rsid w:val="006D013C"/>
    <w:rsid w:val="006D0186"/>
    <w:rsid w:val="006D033E"/>
    <w:rsid w:val="006D03EA"/>
    <w:rsid w:val="006D049F"/>
    <w:rsid w:val="006D04F9"/>
    <w:rsid w:val="006D059C"/>
    <w:rsid w:val="006D05D2"/>
    <w:rsid w:val="006D067F"/>
    <w:rsid w:val="006D073E"/>
    <w:rsid w:val="006D07BE"/>
    <w:rsid w:val="006D07C3"/>
    <w:rsid w:val="006D0818"/>
    <w:rsid w:val="006D0854"/>
    <w:rsid w:val="006D08AF"/>
    <w:rsid w:val="006D08F1"/>
    <w:rsid w:val="006D09C1"/>
    <w:rsid w:val="006D09DB"/>
    <w:rsid w:val="006D09FB"/>
    <w:rsid w:val="006D0A7A"/>
    <w:rsid w:val="006D0AAC"/>
    <w:rsid w:val="006D0ADC"/>
    <w:rsid w:val="006D0BBA"/>
    <w:rsid w:val="006D0C55"/>
    <w:rsid w:val="006D0C58"/>
    <w:rsid w:val="006D0CB1"/>
    <w:rsid w:val="006D106A"/>
    <w:rsid w:val="006D1079"/>
    <w:rsid w:val="006D10BF"/>
    <w:rsid w:val="006D10F3"/>
    <w:rsid w:val="006D1318"/>
    <w:rsid w:val="006D13BC"/>
    <w:rsid w:val="006D13FC"/>
    <w:rsid w:val="006D144F"/>
    <w:rsid w:val="006D147D"/>
    <w:rsid w:val="006D1535"/>
    <w:rsid w:val="006D15C2"/>
    <w:rsid w:val="006D15E0"/>
    <w:rsid w:val="006D1700"/>
    <w:rsid w:val="006D1742"/>
    <w:rsid w:val="006D19C0"/>
    <w:rsid w:val="006D1B00"/>
    <w:rsid w:val="006D1CA7"/>
    <w:rsid w:val="006D1E26"/>
    <w:rsid w:val="006D1E5E"/>
    <w:rsid w:val="006D1E5F"/>
    <w:rsid w:val="006D1EC2"/>
    <w:rsid w:val="006D1EFA"/>
    <w:rsid w:val="006D212A"/>
    <w:rsid w:val="006D212C"/>
    <w:rsid w:val="006D219D"/>
    <w:rsid w:val="006D21D9"/>
    <w:rsid w:val="006D223F"/>
    <w:rsid w:val="006D2285"/>
    <w:rsid w:val="006D249F"/>
    <w:rsid w:val="006D26CE"/>
    <w:rsid w:val="006D2703"/>
    <w:rsid w:val="006D2758"/>
    <w:rsid w:val="006D27E6"/>
    <w:rsid w:val="006D283E"/>
    <w:rsid w:val="006D2878"/>
    <w:rsid w:val="006D2900"/>
    <w:rsid w:val="006D2933"/>
    <w:rsid w:val="006D29A2"/>
    <w:rsid w:val="006D2CAA"/>
    <w:rsid w:val="006D2D0E"/>
    <w:rsid w:val="006D2D28"/>
    <w:rsid w:val="006D2D35"/>
    <w:rsid w:val="006D2D4D"/>
    <w:rsid w:val="006D2EB3"/>
    <w:rsid w:val="006D2F92"/>
    <w:rsid w:val="006D3240"/>
    <w:rsid w:val="006D3345"/>
    <w:rsid w:val="006D3364"/>
    <w:rsid w:val="006D3573"/>
    <w:rsid w:val="006D3598"/>
    <w:rsid w:val="006D36A6"/>
    <w:rsid w:val="006D3729"/>
    <w:rsid w:val="006D3763"/>
    <w:rsid w:val="006D3A14"/>
    <w:rsid w:val="006D3B72"/>
    <w:rsid w:val="006D3C42"/>
    <w:rsid w:val="006D3C93"/>
    <w:rsid w:val="006D3D17"/>
    <w:rsid w:val="006D3D45"/>
    <w:rsid w:val="006D3EAB"/>
    <w:rsid w:val="006D3FD3"/>
    <w:rsid w:val="006D4032"/>
    <w:rsid w:val="006D4080"/>
    <w:rsid w:val="006D42E8"/>
    <w:rsid w:val="006D432B"/>
    <w:rsid w:val="006D43D0"/>
    <w:rsid w:val="006D4534"/>
    <w:rsid w:val="006D4662"/>
    <w:rsid w:val="006D4683"/>
    <w:rsid w:val="006D47FF"/>
    <w:rsid w:val="006D4826"/>
    <w:rsid w:val="006D499B"/>
    <w:rsid w:val="006D4A23"/>
    <w:rsid w:val="006D4A26"/>
    <w:rsid w:val="006D4A34"/>
    <w:rsid w:val="006D4A5E"/>
    <w:rsid w:val="006D4B53"/>
    <w:rsid w:val="006D4B6C"/>
    <w:rsid w:val="006D4C47"/>
    <w:rsid w:val="006D4C52"/>
    <w:rsid w:val="006D4CB2"/>
    <w:rsid w:val="006D4E8D"/>
    <w:rsid w:val="006D4EE6"/>
    <w:rsid w:val="006D4FEE"/>
    <w:rsid w:val="006D5074"/>
    <w:rsid w:val="006D50BD"/>
    <w:rsid w:val="006D50D9"/>
    <w:rsid w:val="006D51DC"/>
    <w:rsid w:val="006D5203"/>
    <w:rsid w:val="006D5264"/>
    <w:rsid w:val="006D5329"/>
    <w:rsid w:val="006D5362"/>
    <w:rsid w:val="006D5381"/>
    <w:rsid w:val="006D5382"/>
    <w:rsid w:val="006D539A"/>
    <w:rsid w:val="006D53BC"/>
    <w:rsid w:val="006D53E8"/>
    <w:rsid w:val="006D5428"/>
    <w:rsid w:val="006D5552"/>
    <w:rsid w:val="006D56AF"/>
    <w:rsid w:val="006D5AE3"/>
    <w:rsid w:val="006D5C1B"/>
    <w:rsid w:val="006D5C8E"/>
    <w:rsid w:val="006D5CFF"/>
    <w:rsid w:val="006D5E4D"/>
    <w:rsid w:val="006D5EA4"/>
    <w:rsid w:val="006D5F16"/>
    <w:rsid w:val="006D5F27"/>
    <w:rsid w:val="006D5FB7"/>
    <w:rsid w:val="006D6085"/>
    <w:rsid w:val="006D60D8"/>
    <w:rsid w:val="006D6109"/>
    <w:rsid w:val="006D6110"/>
    <w:rsid w:val="006D613D"/>
    <w:rsid w:val="006D614B"/>
    <w:rsid w:val="006D6161"/>
    <w:rsid w:val="006D6244"/>
    <w:rsid w:val="006D624A"/>
    <w:rsid w:val="006D62CA"/>
    <w:rsid w:val="006D62F0"/>
    <w:rsid w:val="006D6343"/>
    <w:rsid w:val="006D6492"/>
    <w:rsid w:val="006D6526"/>
    <w:rsid w:val="006D653D"/>
    <w:rsid w:val="006D6596"/>
    <w:rsid w:val="006D6597"/>
    <w:rsid w:val="006D65EE"/>
    <w:rsid w:val="006D6653"/>
    <w:rsid w:val="006D66C1"/>
    <w:rsid w:val="006D66C9"/>
    <w:rsid w:val="006D681E"/>
    <w:rsid w:val="006D689A"/>
    <w:rsid w:val="006D6913"/>
    <w:rsid w:val="006D696C"/>
    <w:rsid w:val="006D69B1"/>
    <w:rsid w:val="006D69D3"/>
    <w:rsid w:val="006D6A56"/>
    <w:rsid w:val="006D6B96"/>
    <w:rsid w:val="006D6C1D"/>
    <w:rsid w:val="006D6C22"/>
    <w:rsid w:val="006D6E3D"/>
    <w:rsid w:val="006D6E96"/>
    <w:rsid w:val="006D6F94"/>
    <w:rsid w:val="006D6FB9"/>
    <w:rsid w:val="006D7026"/>
    <w:rsid w:val="006D702E"/>
    <w:rsid w:val="006D71D5"/>
    <w:rsid w:val="006D738B"/>
    <w:rsid w:val="006D73DF"/>
    <w:rsid w:val="006D73FD"/>
    <w:rsid w:val="006D73FE"/>
    <w:rsid w:val="006D750A"/>
    <w:rsid w:val="006D750F"/>
    <w:rsid w:val="006D7538"/>
    <w:rsid w:val="006D7553"/>
    <w:rsid w:val="006D758C"/>
    <w:rsid w:val="006D7636"/>
    <w:rsid w:val="006D76A0"/>
    <w:rsid w:val="006D76AB"/>
    <w:rsid w:val="006D7782"/>
    <w:rsid w:val="006D7800"/>
    <w:rsid w:val="006D7843"/>
    <w:rsid w:val="006D792F"/>
    <w:rsid w:val="006D7D2A"/>
    <w:rsid w:val="006D7DA9"/>
    <w:rsid w:val="006D7F29"/>
    <w:rsid w:val="006E00E1"/>
    <w:rsid w:val="006E024C"/>
    <w:rsid w:val="006E02CF"/>
    <w:rsid w:val="006E0344"/>
    <w:rsid w:val="006E0380"/>
    <w:rsid w:val="006E03C5"/>
    <w:rsid w:val="006E0443"/>
    <w:rsid w:val="006E0529"/>
    <w:rsid w:val="006E05B6"/>
    <w:rsid w:val="006E05D2"/>
    <w:rsid w:val="006E07DB"/>
    <w:rsid w:val="006E0805"/>
    <w:rsid w:val="006E08AA"/>
    <w:rsid w:val="006E0958"/>
    <w:rsid w:val="006E09F4"/>
    <w:rsid w:val="006E0AEB"/>
    <w:rsid w:val="006E0AF4"/>
    <w:rsid w:val="006E0B19"/>
    <w:rsid w:val="006E0B6F"/>
    <w:rsid w:val="006E0BC4"/>
    <w:rsid w:val="006E0BEC"/>
    <w:rsid w:val="006E0C94"/>
    <w:rsid w:val="006E0D15"/>
    <w:rsid w:val="006E0D89"/>
    <w:rsid w:val="006E0DED"/>
    <w:rsid w:val="006E0E4C"/>
    <w:rsid w:val="006E0F9A"/>
    <w:rsid w:val="006E0FBA"/>
    <w:rsid w:val="006E1162"/>
    <w:rsid w:val="006E122A"/>
    <w:rsid w:val="006E12EA"/>
    <w:rsid w:val="006E132E"/>
    <w:rsid w:val="006E16C5"/>
    <w:rsid w:val="006E17F5"/>
    <w:rsid w:val="006E1815"/>
    <w:rsid w:val="006E1818"/>
    <w:rsid w:val="006E1967"/>
    <w:rsid w:val="006E1A0D"/>
    <w:rsid w:val="006E1A1D"/>
    <w:rsid w:val="006E1B3F"/>
    <w:rsid w:val="006E1B8F"/>
    <w:rsid w:val="006E1BFB"/>
    <w:rsid w:val="006E1C03"/>
    <w:rsid w:val="006E2067"/>
    <w:rsid w:val="006E21A6"/>
    <w:rsid w:val="006E2210"/>
    <w:rsid w:val="006E224E"/>
    <w:rsid w:val="006E24D3"/>
    <w:rsid w:val="006E24D8"/>
    <w:rsid w:val="006E2680"/>
    <w:rsid w:val="006E2714"/>
    <w:rsid w:val="006E27D2"/>
    <w:rsid w:val="006E27DA"/>
    <w:rsid w:val="006E2826"/>
    <w:rsid w:val="006E2875"/>
    <w:rsid w:val="006E29A2"/>
    <w:rsid w:val="006E2A4E"/>
    <w:rsid w:val="006E2B7E"/>
    <w:rsid w:val="006E2BF2"/>
    <w:rsid w:val="006E2CC0"/>
    <w:rsid w:val="006E2CDD"/>
    <w:rsid w:val="006E2D85"/>
    <w:rsid w:val="006E2D8C"/>
    <w:rsid w:val="006E2E12"/>
    <w:rsid w:val="006E2E24"/>
    <w:rsid w:val="006E2E8F"/>
    <w:rsid w:val="006E2F00"/>
    <w:rsid w:val="006E2FEF"/>
    <w:rsid w:val="006E3014"/>
    <w:rsid w:val="006E30AD"/>
    <w:rsid w:val="006E30B4"/>
    <w:rsid w:val="006E30CF"/>
    <w:rsid w:val="006E3166"/>
    <w:rsid w:val="006E325C"/>
    <w:rsid w:val="006E3270"/>
    <w:rsid w:val="006E32A9"/>
    <w:rsid w:val="006E33D3"/>
    <w:rsid w:val="006E34AD"/>
    <w:rsid w:val="006E383B"/>
    <w:rsid w:val="006E3840"/>
    <w:rsid w:val="006E391A"/>
    <w:rsid w:val="006E3996"/>
    <w:rsid w:val="006E3ACA"/>
    <w:rsid w:val="006E3B90"/>
    <w:rsid w:val="006E3BAF"/>
    <w:rsid w:val="006E3BB4"/>
    <w:rsid w:val="006E3BF9"/>
    <w:rsid w:val="006E3DB0"/>
    <w:rsid w:val="006E3E50"/>
    <w:rsid w:val="006E3F19"/>
    <w:rsid w:val="006E3F9D"/>
    <w:rsid w:val="006E40F8"/>
    <w:rsid w:val="006E415C"/>
    <w:rsid w:val="006E4315"/>
    <w:rsid w:val="006E432F"/>
    <w:rsid w:val="006E4749"/>
    <w:rsid w:val="006E4A89"/>
    <w:rsid w:val="006E4AD2"/>
    <w:rsid w:val="006E4B04"/>
    <w:rsid w:val="006E4BBE"/>
    <w:rsid w:val="006E4C3A"/>
    <w:rsid w:val="006E4C58"/>
    <w:rsid w:val="006E4DEE"/>
    <w:rsid w:val="006E4E78"/>
    <w:rsid w:val="006E4F36"/>
    <w:rsid w:val="006E4F5E"/>
    <w:rsid w:val="006E4FC2"/>
    <w:rsid w:val="006E516F"/>
    <w:rsid w:val="006E51BA"/>
    <w:rsid w:val="006E523A"/>
    <w:rsid w:val="006E52D4"/>
    <w:rsid w:val="006E5360"/>
    <w:rsid w:val="006E5394"/>
    <w:rsid w:val="006E53FF"/>
    <w:rsid w:val="006E5711"/>
    <w:rsid w:val="006E573B"/>
    <w:rsid w:val="006E5858"/>
    <w:rsid w:val="006E5893"/>
    <w:rsid w:val="006E59AF"/>
    <w:rsid w:val="006E59B0"/>
    <w:rsid w:val="006E59E5"/>
    <w:rsid w:val="006E5A2E"/>
    <w:rsid w:val="006E5C48"/>
    <w:rsid w:val="006E5CFE"/>
    <w:rsid w:val="006E5D9B"/>
    <w:rsid w:val="006E5F73"/>
    <w:rsid w:val="006E6008"/>
    <w:rsid w:val="006E62C2"/>
    <w:rsid w:val="006E6411"/>
    <w:rsid w:val="006E6454"/>
    <w:rsid w:val="006E64C9"/>
    <w:rsid w:val="006E658E"/>
    <w:rsid w:val="006E65CD"/>
    <w:rsid w:val="006E65F1"/>
    <w:rsid w:val="006E66CD"/>
    <w:rsid w:val="006E685A"/>
    <w:rsid w:val="006E690A"/>
    <w:rsid w:val="006E6948"/>
    <w:rsid w:val="006E6AD2"/>
    <w:rsid w:val="006E6AEF"/>
    <w:rsid w:val="006E6B09"/>
    <w:rsid w:val="006E6B42"/>
    <w:rsid w:val="006E6C26"/>
    <w:rsid w:val="006E6C58"/>
    <w:rsid w:val="006E6D37"/>
    <w:rsid w:val="006E6D5D"/>
    <w:rsid w:val="006E6D5E"/>
    <w:rsid w:val="006E6E68"/>
    <w:rsid w:val="006E6FDC"/>
    <w:rsid w:val="006E70F4"/>
    <w:rsid w:val="006E7150"/>
    <w:rsid w:val="006E71FB"/>
    <w:rsid w:val="006E724C"/>
    <w:rsid w:val="006E7476"/>
    <w:rsid w:val="006E747F"/>
    <w:rsid w:val="006E74E0"/>
    <w:rsid w:val="006E74E5"/>
    <w:rsid w:val="006E75C4"/>
    <w:rsid w:val="006E7898"/>
    <w:rsid w:val="006E78E0"/>
    <w:rsid w:val="006E792F"/>
    <w:rsid w:val="006E7A3C"/>
    <w:rsid w:val="006E7A72"/>
    <w:rsid w:val="006E7AA1"/>
    <w:rsid w:val="006E7ABF"/>
    <w:rsid w:val="006E7BCC"/>
    <w:rsid w:val="006E7CBB"/>
    <w:rsid w:val="006E7DB1"/>
    <w:rsid w:val="006E7EFA"/>
    <w:rsid w:val="006E7F83"/>
    <w:rsid w:val="006F03D5"/>
    <w:rsid w:val="006F052D"/>
    <w:rsid w:val="006F0600"/>
    <w:rsid w:val="006F0801"/>
    <w:rsid w:val="006F0802"/>
    <w:rsid w:val="006F08C7"/>
    <w:rsid w:val="006F0942"/>
    <w:rsid w:val="006F0993"/>
    <w:rsid w:val="006F0998"/>
    <w:rsid w:val="006F0AF7"/>
    <w:rsid w:val="006F0CAB"/>
    <w:rsid w:val="006F0DFF"/>
    <w:rsid w:val="006F0EBE"/>
    <w:rsid w:val="006F0ECD"/>
    <w:rsid w:val="006F0F10"/>
    <w:rsid w:val="006F0F5F"/>
    <w:rsid w:val="006F0FA1"/>
    <w:rsid w:val="006F1074"/>
    <w:rsid w:val="006F11D1"/>
    <w:rsid w:val="006F1383"/>
    <w:rsid w:val="006F139A"/>
    <w:rsid w:val="006F145D"/>
    <w:rsid w:val="006F1466"/>
    <w:rsid w:val="006F173A"/>
    <w:rsid w:val="006F1935"/>
    <w:rsid w:val="006F19E4"/>
    <w:rsid w:val="006F19F2"/>
    <w:rsid w:val="006F1B36"/>
    <w:rsid w:val="006F1BAD"/>
    <w:rsid w:val="006F1BE3"/>
    <w:rsid w:val="006F1D49"/>
    <w:rsid w:val="006F1D5C"/>
    <w:rsid w:val="006F1DA6"/>
    <w:rsid w:val="006F1EEF"/>
    <w:rsid w:val="006F1F78"/>
    <w:rsid w:val="006F2022"/>
    <w:rsid w:val="006F21F8"/>
    <w:rsid w:val="006F2330"/>
    <w:rsid w:val="006F2569"/>
    <w:rsid w:val="006F257A"/>
    <w:rsid w:val="006F2668"/>
    <w:rsid w:val="006F27A6"/>
    <w:rsid w:val="006F27AF"/>
    <w:rsid w:val="006F2844"/>
    <w:rsid w:val="006F29F8"/>
    <w:rsid w:val="006F2A25"/>
    <w:rsid w:val="006F2B07"/>
    <w:rsid w:val="006F2BD6"/>
    <w:rsid w:val="006F2CD1"/>
    <w:rsid w:val="006F2CF4"/>
    <w:rsid w:val="006F2DAA"/>
    <w:rsid w:val="006F2E82"/>
    <w:rsid w:val="006F2EC3"/>
    <w:rsid w:val="006F2F26"/>
    <w:rsid w:val="006F2F40"/>
    <w:rsid w:val="006F2F8D"/>
    <w:rsid w:val="006F3013"/>
    <w:rsid w:val="006F30EE"/>
    <w:rsid w:val="006F3133"/>
    <w:rsid w:val="006F31D7"/>
    <w:rsid w:val="006F3205"/>
    <w:rsid w:val="006F324D"/>
    <w:rsid w:val="006F325B"/>
    <w:rsid w:val="006F327F"/>
    <w:rsid w:val="006F328F"/>
    <w:rsid w:val="006F32CB"/>
    <w:rsid w:val="006F34BC"/>
    <w:rsid w:val="006F36B0"/>
    <w:rsid w:val="006F36CF"/>
    <w:rsid w:val="006F3704"/>
    <w:rsid w:val="006F3737"/>
    <w:rsid w:val="006F37BF"/>
    <w:rsid w:val="006F3841"/>
    <w:rsid w:val="006F384B"/>
    <w:rsid w:val="006F399F"/>
    <w:rsid w:val="006F3A2C"/>
    <w:rsid w:val="006F3A62"/>
    <w:rsid w:val="006F3B05"/>
    <w:rsid w:val="006F3BE6"/>
    <w:rsid w:val="006F3CEF"/>
    <w:rsid w:val="006F3E6E"/>
    <w:rsid w:val="006F4096"/>
    <w:rsid w:val="006F4109"/>
    <w:rsid w:val="006F416E"/>
    <w:rsid w:val="006F42FE"/>
    <w:rsid w:val="006F43E0"/>
    <w:rsid w:val="006F44C8"/>
    <w:rsid w:val="006F4548"/>
    <w:rsid w:val="006F45E8"/>
    <w:rsid w:val="006F47EB"/>
    <w:rsid w:val="006F48BC"/>
    <w:rsid w:val="006F4952"/>
    <w:rsid w:val="006F49CB"/>
    <w:rsid w:val="006F4B6A"/>
    <w:rsid w:val="006F4C0F"/>
    <w:rsid w:val="006F4DCB"/>
    <w:rsid w:val="006F4EB9"/>
    <w:rsid w:val="006F4EE2"/>
    <w:rsid w:val="006F509D"/>
    <w:rsid w:val="006F50B4"/>
    <w:rsid w:val="006F50D1"/>
    <w:rsid w:val="006F5188"/>
    <w:rsid w:val="006F5195"/>
    <w:rsid w:val="006F5319"/>
    <w:rsid w:val="006F5322"/>
    <w:rsid w:val="006F547E"/>
    <w:rsid w:val="006F5545"/>
    <w:rsid w:val="006F55E9"/>
    <w:rsid w:val="006F561B"/>
    <w:rsid w:val="006F56EA"/>
    <w:rsid w:val="006F5739"/>
    <w:rsid w:val="006F595B"/>
    <w:rsid w:val="006F59B0"/>
    <w:rsid w:val="006F59B4"/>
    <w:rsid w:val="006F5A42"/>
    <w:rsid w:val="006F5A8C"/>
    <w:rsid w:val="006F5A9A"/>
    <w:rsid w:val="006F5AEC"/>
    <w:rsid w:val="006F5B1F"/>
    <w:rsid w:val="006F5B8D"/>
    <w:rsid w:val="006F5BDB"/>
    <w:rsid w:val="006F5C6D"/>
    <w:rsid w:val="006F5DBC"/>
    <w:rsid w:val="006F5E15"/>
    <w:rsid w:val="006F6034"/>
    <w:rsid w:val="006F61DB"/>
    <w:rsid w:val="006F61EA"/>
    <w:rsid w:val="006F621E"/>
    <w:rsid w:val="006F623F"/>
    <w:rsid w:val="006F6281"/>
    <w:rsid w:val="006F6315"/>
    <w:rsid w:val="006F636B"/>
    <w:rsid w:val="006F640D"/>
    <w:rsid w:val="006F64F1"/>
    <w:rsid w:val="006F6845"/>
    <w:rsid w:val="006F6960"/>
    <w:rsid w:val="006F6B6E"/>
    <w:rsid w:val="006F6C50"/>
    <w:rsid w:val="006F6CFF"/>
    <w:rsid w:val="006F6D23"/>
    <w:rsid w:val="006F6EEA"/>
    <w:rsid w:val="006F6F72"/>
    <w:rsid w:val="006F6FE8"/>
    <w:rsid w:val="006F716D"/>
    <w:rsid w:val="006F7197"/>
    <w:rsid w:val="006F719E"/>
    <w:rsid w:val="006F7231"/>
    <w:rsid w:val="006F72FD"/>
    <w:rsid w:val="006F7377"/>
    <w:rsid w:val="006F73BD"/>
    <w:rsid w:val="006F74E6"/>
    <w:rsid w:val="006F7540"/>
    <w:rsid w:val="006F75B6"/>
    <w:rsid w:val="006F767E"/>
    <w:rsid w:val="006F7684"/>
    <w:rsid w:val="006F780E"/>
    <w:rsid w:val="006F783E"/>
    <w:rsid w:val="006F7861"/>
    <w:rsid w:val="006F78CA"/>
    <w:rsid w:val="006F7934"/>
    <w:rsid w:val="006F7994"/>
    <w:rsid w:val="006F7B6F"/>
    <w:rsid w:val="006F7BFC"/>
    <w:rsid w:val="006F7C18"/>
    <w:rsid w:val="006F7C2C"/>
    <w:rsid w:val="006F7D8C"/>
    <w:rsid w:val="006F7DB2"/>
    <w:rsid w:val="006F7E8D"/>
    <w:rsid w:val="007000CE"/>
    <w:rsid w:val="007000EB"/>
    <w:rsid w:val="007001F6"/>
    <w:rsid w:val="0070026F"/>
    <w:rsid w:val="0070028B"/>
    <w:rsid w:val="0070034D"/>
    <w:rsid w:val="00700450"/>
    <w:rsid w:val="00700507"/>
    <w:rsid w:val="00700549"/>
    <w:rsid w:val="0070061F"/>
    <w:rsid w:val="00700624"/>
    <w:rsid w:val="00700636"/>
    <w:rsid w:val="00700661"/>
    <w:rsid w:val="0070071F"/>
    <w:rsid w:val="00700740"/>
    <w:rsid w:val="0070081E"/>
    <w:rsid w:val="00700853"/>
    <w:rsid w:val="0070092F"/>
    <w:rsid w:val="00700A5F"/>
    <w:rsid w:val="00700ACC"/>
    <w:rsid w:val="00700B3B"/>
    <w:rsid w:val="00700D11"/>
    <w:rsid w:val="00700D2A"/>
    <w:rsid w:val="00700E94"/>
    <w:rsid w:val="007011CB"/>
    <w:rsid w:val="007013CE"/>
    <w:rsid w:val="00701558"/>
    <w:rsid w:val="00701631"/>
    <w:rsid w:val="00701664"/>
    <w:rsid w:val="0070169D"/>
    <w:rsid w:val="007017A0"/>
    <w:rsid w:val="0070183E"/>
    <w:rsid w:val="00701851"/>
    <w:rsid w:val="007018D7"/>
    <w:rsid w:val="00701933"/>
    <w:rsid w:val="00701A7B"/>
    <w:rsid w:val="00701C2F"/>
    <w:rsid w:val="00701C97"/>
    <w:rsid w:val="00701DDF"/>
    <w:rsid w:val="00701E3B"/>
    <w:rsid w:val="00701E54"/>
    <w:rsid w:val="007022D4"/>
    <w:rsid w:val="00702319"/>
    <w:rsid w:val="0070238E"/>
    <w:rsid w:val="007023A3"/>
    <w:rsid w:val="0070265D"/>
    <w:rsid w:val="007026FE"/>
    <w:rsid w:val="007027B9"/>
    <w:rsid w:val="00702825"/>
    <w:rsid w:val="007028AF"/>
    <w:rsid w:val="0070290B"/>
    <w:rsid w:val="0070291D"/>
    <w:rsid w:val="00702925"/>
    <w:rsid w:val="00702943"/>
    <w:rsid w:val="00702AE5"/>
    <w:rsid w:val="00702AEE"/>
    <w:rsid w:val="00702B0C"/>
    <w:rsid w:val="00702B8A"/>
    <w:rsid w:val="00702DEA"/>
    <w:rsid w:val="00702E5C"/>
    <w:rsid w:val="00702FC0"/>
    <w:rsid w:val="00703058"/>
    <w:rsid w:val="00703344"/>
    <w:rsid w:val="00703395"/>
    <w:rsid w:val="007033AB"/>
    <w:rsid w:val="007034EE"/>
    <w:rsid w:val="007035B2"/>
    <w:rsid w:val="007035F3"/>
    <w:rsid w:val="00703603"/>
    <w:rsid w:val="007037A3"/>
    <w:rsid w:val="007037B4"/>
    <w:rsid w:val="007039ED"/>
    <w:rsid w:val="00703C94"/>
    <w:rsid w:val="00703DE0"/>
    <w:rsid w:val="00703DEF"/>
    <w:rsid w:val="00703E1A"/>
    <w:rsid w:val="00703E3B"/>
    <w:rsid w:val="0070411A"/>
    <w:rsid w:val="00704182"/>
    <w:rsid w:val="007041F2"/>
    <w:rsid w:val="0070429D"/>
    <w:rsid w:val="00704320"/>
    <w:rsid w:val="0070438A"/>
    <w:rsid w:val="0070439D"/>
    <w:rsid w:val="007043BB"/>
    <w:rsid w:val="007043E9"/>
    <w:rsid w:val="007044CE"/>
    <w:rsid w:val="00704698"/>
    <w:rsid w:val="0070486C"/>
    <w:rsid w:val="007048C7"/>
    <w:rsid w:val="007048F5"/>
    <w:rsid w:val="00704A79"/>
    <w:rsid w:val="00704AAE"/>
    <w:rsid w:val="00704BA9"/>
    <w:rsid w:val="00704D34"/>
    <w:rsid w:val="00704E48"/>
    <w:rsid w:val="007051E1"/>
    <w:rsid w:val="007051F3"/>
    <w:rsid w:val="007053EE"/>
    <w:rsid w:val="00705426"/>
    <w:rsid w:val="0070542C"/>
    <w:rsid w:val="0070552B"/>
    <w:rsid w:val="0070554B"/>
    <w:rsid w:val="0070563E"/>
    <w:rsid w:val="00705644"/>
    <w:rsid w:val="00705669"/>
    <w:rsid w:val="0070566A"/>
    <w:rsid w:val="00705805"/>
    <w:rsid w:val="00705868"/>
    <w:rsid w:val="007058B5"/>
    <w:rsid w:val="0070596A"/>
    <w:rsid w:val="00705B92"/>
    <w:rsid w:val="00705C50"/>
    <w:rsid w:val="00705C63"/>
    <w:rsid w:val="00705C91"/>
    <w:rsid w:val="00705CB3"/>
    <w:rsid w:val="00705D48"/>
    <w:rsid w:val="00705D81"/>
    <w:rsid w:val="00705EA7"/>
    <w:rsid w:val="00705F36"/>
    <w:rsid w:val="0070601C"/>
    <w:rsid w:val="007062A5"/>
    <w:rsid w:val="0070644E"/>
    <w:rsid w:val="007064D3"/>
    <w:rsid w:val="007064E9"/>
    <w:rsid w:val="007065A1"/>
    <w:rsid w:val="00706636"/>
    <w:rsid w:val="0070663E"/>
    <w:rsid w:val="007066A3"/>
    <w:rsid w:val="00706704"/>
    <w:rsid w:val="00706795"/>
    <w:rsid w:val="0070686D"/>
    <w:rsid w:val="007069E6"/>
    <w:rsid w:val="00706AA0"/>
    <w:rsid w:val="00706AFD"/>
    <w:rsid w:val="00706B1C"/>
    <w:rsid w:val="00706B64"/>
    <w:rsid w:val="00706C4A"/>
    <w:rsid w:val="00706C78"/>
    <w:rsid w:val="00706C99"/>
    <w:rsid w:val="00706CAB"/>
    <w:rsid w:val="00706CC5"/>
    <w:rsid w:val="00706CCE"/>
    <w:rsid w:val="00706D2E"/>
    <w:rsid w:val="00706E03"/>
    <w:rsid w:val="00706E53"/>
    <w:rsid w:val="00706F02"/>
    <w:rsid w:val="00706FC0"/>
    <w:rsid w:val="00707076"/>
    <w:rsid w:val="00707182"/>
    <w:rsid w:val="00707194"/>
    <w:rsid w:val="0070728D"/>
    <w:rsid w:val="007072C5"/>
    <w:rsid w:val="007074CF"/>
    <w:rsid w:val="00707549"/>
    <w:rsid w:val="007075A7"/>
    <w:rsid w:val="0070762B"/>
    <w:rsid w:val="00707652"/>
    <w:rsid w:val="0070767C"/>
    <w:rsid w:val="0070796E"/>
    <w:rsid w:val="00707987"/>
    <w:rsid w:val="007079E9"/>
    <w:rsid w:val="00707B72"/>
    <w:rsid w:val="00707C74"/>
    <w:rsid w:val="00707C7E"/>
    <w:rsid w:val="00707DC5"/>
    <w:rsid w:val="00707DCA"/>
    <w:rsid w:val="00707E03"/>
    <w:rsid w:val="00707F8F"/>
    <w:rsid w:val="00707FB1"/>
    <w:rsid w:val="00708BFE"/>
    <w:rsid w:val="007100F8"/>
    <w:rsid w:val="00710117"/>
    <w:rsid w:val="007102B7"/>
    <w:rsid w:val="007102FC"/>
    <w:rsid w:val="007104F0"/>
    <w:rsid w:val="00710503"/>
    <w:rsid w:val="0071074E"/>
    <w:rsid w:val="00710870"/>
    <w:rsid w:val="00710A18"/>
    <w:rsid w:val="00710AB1"/>
    <w:rsid w:val="00710ACD"/>
    <w:rsid w:val="00710AF0"/>
    <w:rsid w:val="00710CEA"/>
    <w:rsid w:val="00710DE4"/>
    <w:rsid w:val="00710E5D"/>
    <w:rsid w:val="00710EC0"/>
    <w:rsid w:val="007110C2"/>
    <w:rsid w:val="007110F1"/>
    <w:rsid w:val="00711122"/>
    <w:rsid w:val="007111CB"/>
    <w:rsid w:val="00711284"/>
    <w:rsid w:val="00711384"/>
    <w:rsid w:val="00711540"/>
    <w:rsid w:val="00711564"/>
    <w:rsid w:val="00711631"/>
    <w:rsid w:val="00711672"/>
    <w:rsid w:val="007116CF"/>
    <w:rsid w:val="00711864"/>
    <w:rsid w:val="007118F7"/>
    <w:rsid w:val="00711A40"/>
    <w:rsid w:val="00711B0A"/>
    <w:rsid w:val="00711B63"/>
    <w:rsid w:val="00711C01"/>
    <w:rsid w:val="00711C76"/>
    <w:rsid w:val="00711C7D"/>
    <w:rsid w:val="00711CEE"/>
    <w:rsid w:val="00711D5A"/>
    <w:rsid w:val="00711D7D"/>
    <w:rsid w:val="00711DD8"/>
    <w:rsid w:val="00711F84"/>
    <w:rsid w:val="00711FA3"/>
    <w:rsid w:val="00711FB0"/>
    <w:rsid w:val="00712129"/>
    <w:rsid w:val="0071214F"/>
    <w:rsid w:val="007122CD"/>
    <w:rsid w:val="00712333"/>
    <w:rsid w:val="0071237D"/>
    <w:rsid w:val="007125D7"/>
    <w:rsid w:val="00712602"/>
    <w:rsid w:val="0071269C"/>
    <w:rsid w:val="007127C8"/>
    <w:rsid w:val="00712896"/>
    <w:rsid w:val="007128A5"/>
    <w:rsid w:val="00712961"/>
    <w:rsid w:val="0071296B"/>
    <w:rsid w:val="007129C2"/>
    <w:rsid w:val="00712ADB"/>
    <w:rsid w:val="00712BD1"/>
    <w:rsid w:val="00712D38"/>
    <w:rsid w:val="00712D52"/>
    <w:rsid w:val="00712D6B"/>
    <w:rsid w:val="00712DC0"/>
    <w:rsid w:val="00712DF4"/>
    <w:rsid w:val="00712E1E"/>
    <w:rsid w:val="00712EDF"/>
    <w:rsid w:val="00712F3B"/>
    <w:rsid w:val="00712FB1"/>
    <w:rsid w:val="00713062"/>
    <w:rsid w:val="00713129"/>
    <w:rsid w:val="007131CB"/>
    <w:rsid w:val="007131F1"/>
    <w:rsid w:val="007131FB"/>
    <w:rsid w:val="007132A4"/>
    <w:rsid w:val="0071331E"/>
    <w:rsid w:val="00713351"/>
    <w:rsid w:val="00713392"/>
    <w:rsid w:val="007133A4"/>
    <w:rsid w:val="0071351E"/>
    <w:rsid w:val="00713559"/>
    <w:rsid w:val="00713881"/>
    <w:rsid w:val="007138A1"/>
    <w:rsid w:val="007138D6"/>
    <w:rsid w:val="00713960"/>
    <w:rsid w:val="007139E3"/>
    <w:rsid w:val="00713A56"/>
    <w:rsid w:val="00713B7A"/>
    <w:rsid w:val="00713D42"/>
    <w:rsid w:val="00713DE9"/>
    <w:rsid w:val="00713E09"/>
    <w:rsid w:val="00713E67"/>
    <w:rsid w:val="0071401E"/>
    <w:rsid w:val="00714040"/>
    <w:rsid w:val="007140BE"/>
    <w:rsid w:val="00714210"/>
    <w:rsid w:val="0071422E"/>
    <w:rsid w:val="00714321"/>
    <w:rsid w:val="0071439B"/>
    <w:rsid w:val="007143E5"/>
    <w:rsid w:val="0071441E"/>
    <w:rsid w:val="007144FA"/>
    <w:rsid w:val="007145C9"/>
    <w:rsid w:val="007147C7"/>
    <w:rsid w:val="00714818"/>
    <w:rsid w:val="0071487D"/>
    <w:rsid w:val="0071496D"/>
    <w:rsid w:val="007149B4"/>
    <w:rsid w:val="00714A83"/>
    <w:rsid w:val="00714AA6"/>
    <w:rsid w:val="00714AFA"/>
    <w:rsid w:val="00714DD9"/>
    <w:rsid w:val="00714E70"/>
    <w:rsid w:val="00714F17"/>
    <w:rsid w:val="00714F33"/>
    <w:rsid w:val="00714FF3"/>
    <w:rsid w:val="007150B8"/>
    <w:rsid w:val="007150CE"/>
    <w:rsid w:val="0071512C"/>
    <w:rsid w:val="0071540D"/>
    <w:rsid w:val="00715453"/>
    <w:rsid w:val="00715460"/>
    <w:rsid w:val="00715577"/>
    <w:rsid w:val="0071560B"/>
    <w:rsid w:val="007156BB"/>
    <w:rsid w:val="0071580B"/>
    <w:rsid w:val="00715AC8"/>
    <w:rsid w:val="00715B3E"/>
    <w:rsid w:val="00715D0B"/>
    <w:rsid w:val="00715D85"/>
    <w:rsid w:val="00715E05"/>
    <w:rsid w:val="00715E7E"/>
    <w:rsid w:val="00715E9A"/>
    <w:rsid w:val="00715EBD"/>
    <w:rsid w:val="0071607F"/>
    <w:rsid w:val="007162EF"/>
    <w:rsid w:val="00716418"/>
    <w:rsid w:val="007167A5"/>
    <w:rsid w:val="007169E1"/>
    <w:rsid w:val="00716B8F"/>
    <w:rsid w:val="00716C14"/>
    <w:rsid w:val="00716D14"/>
    <w:rsid w:val="00716DDE"/>
    <w:rsid w:val="00716EE0"/>
    <w:rsid w:val="00716FA2"/>
    <w:rsid w:val="00716FFF"/>
    <w:rsid w:val="00717030"/>
    <w:rsid w:val="00717113"/>
    <w:rsid w:val="0071721F"/>
    <w:rsid w:val="007172B5"/>
    <w:rsid w:val="007172D4"/>
    <w:rsid w:val="007172D9"/>
    <w:rsid w:val="007172E8"/>
    <w:rsid w:val="00717484"/>
    <w:rsid w:val="007174AF"/>
    <w:rsid w:val="007174B2"/>
    <w:rsid w:val="007174BC"/>
    <w:rsid w:val="007174D0"/>
    <w:rsid w:val="00717561"/>
    <w:rsid w:val="0071756B"/>
    <w:rsid w:val="0071782A"/>
    <w:rsid w:val="007178AD"/>
    <w:rsid w:val="007178DB"/>
    <w:rsid w:val="00717AEC"/>
    <w:rsid w:val="00717C62"/>
    <w:rsid w:val="00717CBC"/>
    <w:rsid w:val="00717D9F"/>
    <w:rsid w:val="00717EFE"/>
    <w:rsid w:val="00717F49"/>
    <w:rsid w:val="00717F7C"/>
    <w:rsid w:val="007200A3"/>
    <w:rsid w:val="007200FB"/>
    <w:rsid w:val="0072010F"/>
    <w:rsid w:val="00720122"/>
    <w:rsid w:val="007201CF"/>
    <w:rsid w:val="007201F1"/>
    <w:rsid w:val="00720206"/>
    <w:rsid w:val="00720259"/>
    <w:rsid w:val="0072037D"/>
    <w:rsid w:val="00720522"/>
    <w:rsid w:val="00720555"/>
    <w:rsid w:val="007205B9"/>
    <w:rsid w:val="007206AA"/>
    <w:rsid w:val="007206C9"/>
    <w:rsid w:val="007208B4"/>
    <w:rsid w:val="007208FE"/>
    <w:rsid w:val="00720975"/>
    <w:rsid w:val="00720A4F"/>
    <w:rsid w:val="00720A5A"/>
    <w:rsid w:val="00720ABE"/>
    <w:rsid w:val="00720CBE"/>
    <w:rsid w:val="00720E88"/>
    <w:rsid w:val="00720EBE"/>
    <w:rsid w:val="0072107D"/>
    <w:rsid w:val="0072108B"/>
    <w:rsid w:val="007210A2"/>
    <w:rsid w:val="007210D4"/>
    <w:rsid w:val="007211FC"/>
    <w:rsid w:val="00721239"/>
    <w:rsid w:val="0072149C"/>
    <w:rsid w:val="007214AD"/>
    <w:rsid w:val="007214C7"/>
    <w:rsid w:val="007214F8"/>
    <w:rsid w:val="00721540"/>
    <w:rsid w:val="007217F6"/>
    <w:rsid w:val="00721838"/>
    <w:rsid w:val="007218FE"/>
    <w:rsid w:val="00721A28"/>
    <w:rsid w:val="00721A7B"/>
    <w:rsid w:val="00721B4D"/>
    <w:rsid w:val="00721C76"/>
    <w:rsid w:val="00721CF4"/>
    <w:rsid w:val="00721D3F"/>
    <w:rsid w:val="00721D6F"/>
    <w:rsid w:val="00721F0D"/>
    <w:rsid w:val="00721F5C"/>
    <w:rsid w:val="00721FD0"/>
    <w:rsid w:val="00722004"/>
    <w:rsid w:val="00722107"/>
    <w:rsid w:val="0072226D"/>
    <w:rsid w:val="00722498"/>
    <w:rsid w:val="00722539"/>
    <w:rsid w:val="007225B3"/>
    <w:rsid w:val="0072282C"/>
    <w:rsid w:val="007228BA"/>
    <w:rsid w:val="0072297B"/>
    <w:rsid w:val="00722AAC"/>
    <w:rsid w:val="00722CB4"/>
    <w:rsid w:val="00722D25"/>
    <w:rsid w:val="00722DCC"/>
    <w:rsid w:val="00722E1E"/>
    <w:rsid w:val="00722E3B"/>
    <w:rsid w:val="00722EDC"/>
    <w:rsid w:val="00722F28"/>
    <w:rsid w:val="00722FDD"/>
    <w:rsid w:val="00723027"/>
    <w:rsid w:val="00723253"/>
    <w:rsid w:val="0072356B"/>
    <w:rsid w:val="00723698"/>
    <w:rsid w:val="00723973"/>
    <w:rsid w:val="007239E7"/>
    <w:rsid w:val="00723A9F"/>
    <w:rsid w:val="00723AB9"/>
    <w:rsid w:val="00723B7B"/>
    <w:rsid w:val="00723BA3"/>
    <w:rsid w:val="00723BD0"/>
    <w:rsid w:val="00723BD6"/>
    <w:rsid w:val="00723BEA"/>
    <w:rsid w:val="00723C88"/>
    <w:rsid w:val="00723D4F"/>
    <w:rsid w:val="00723E82"/>
    <w:rsid w:val="00723ED1"/>
    <w:rsid w:val="00723F96"/>
    <w:rsid w:val="00723FC1"/>
    <w:rsid w:val="00724037"/>
    <w:rsid w:val="007241DE"/>
    <w:rsid w:val="00724206"/>
    <w:rsid w:val="007242A6"/>
    <w:rsid w:val="007242B8"/>
    <w:rsid w:val="00724326"/>
    <w:rsid w:val="007244C8"/>
    <w:rsid w:val="00724576"/>
    <w:rsid w:val="007245C1"/>
    <w:rsid w:val="007246C6"/>
    <w:rsid w:val="00724984"/>
    <w:rsid w:val="00724B91"/>
    <w:rsid w:val="00724BC2"/>
    <w:rsid w:val="00724C38"/>
    <w:rsid w:val="00724C85"/>
    <w:rsid w:val="00724D2F"/>
    <w:rsid w:val="00724D4C"/>
    <w:rsid w:val="00724D7A"/>
    <w:rsid w:val="00724E36"/>
    <w:rsid w:val="00724ECD"/>
    <w:rsid w:val="00724F75"/>
    <w:rsid w:val="00724FA1"/>
    <w:rsid w:val="0072500A"/>
    <w:rsid w:val="00725027"/>
    <w:rsid w:val="0072503A"/>
    <w:rsid w:val="0072504A"/>
    <w:rsid w:val="0072511F"/>
    <w:rsid w:val="00725188"/>
    <w:rsid w:val="0072528F"/>
    <w:rsid w:val="007252F6"/>
    <w:rsid w:val="00725344"/>
    <w:rsid w:val="007253B8"/>
    <w:rsid w:val="007253D8"/>
    <w:rsid w:val="0072548A"/>
    <w:rsid w:val="007254A3"/>
    <w:rsid w:val="00725658"/>
    <w:rsid w:val="007257D7"/>
    <w:rsid w:val="0072589F"/>
    <w:rsid w:val="007258BC"/>
    <w:rsid w:val="00725992"/>
    <w:rsid w:val="007259CF"/>
    <w:rsid w:val="00725AD1"/>
    <w:rsid w:val="00725B01"/>
    <w:rsid w:val="00725B18"/>
    <w:rsid w:val="00725B2A"/>
    <w:rsid w:val="00725BB2"/>
    <w:rsid w:val="00725BFB"/>
    <w:rsid w:val="00725C4B"/>
    <w:rsid w:val="00725C55"/>
    <w:rsid w:val="00725CDB"/>
    <w:rsid w:val="00725DA6"/>
    <w:rsid w:val="00725ED8"/>
    <w:rsid w:val="00726006"/>
    <w:rsid w:val="0072607D"/>
    <w:rsid w:val="00726121"/>
    <w:rsid w:val="007261F1"/>
    <w:rsid w:val="00726319"/>
    <w:rsid w:val="00726394"/>
    <w:rsid w:val="00726442"/>
    <w:rsid w:val="007264A3"/>
    <w:rsid w:val="00726507"/>
    <w:rsid w:val="0072654C"/>
    <w:rsid w:val="00726597"/>
    <w:rsid w:val="0072666E"/>
    <w:rsid w:val="0072682B"/>
    <w:rsid w:val="00726844"/>
    <w:rsid w:val="007268BA"/>
    <w:rsid w:val="00726909"/>
    <w:rsid w:val="0072691B"/>
    <w:rsid w:val="00726C2B"/>
    <w:rsid w:val="00726C89"/>
    <w:rsid w:val="00726CA9"/>
    <w:rsid w:val="00726CC8"/>
    <w:rsid w:val="00726D6F"/>
    <w:rsid w:val="00726E7B"/>
    <w:rsid w:val="00726ECF"/>
    <w:rsid w:val="00726F56"/>
    <w:rsid w:val="00726FA4"/>
    <w:rsid w:val="0072713F"/>
    <w:rsid w:val="00727255"/>
    <w:rsid w:val="0072730C"/>
    <w:rsid w:val="007273A7"/>
    <w:rsid w:val="007274B5"/>
    <w:rsid w:val="00727504"/>
    <w:rsid w:val="00727690"/>
    <w:rsid w:val="00727815"/>
    <w:rsid w:val="0072784A"/>
    <w:rsid w:val="00727855"/>
    <w:rsid w:val="00727A67"/>
    <w:rsid w:val="00727B3D"/>
    <w:rsid w:val="00727B65"/>
    <w:rsid w:val="00727C51"/>
    <w:rsid w:val="00727C64"/>
    <w:rsid w:val="00727ECB"/>
    <w:rsid w:val="00727ED6"/>
    <w:rsid w:val="0073007A"/>
    <w:rsid w:val="007300A0"/>
    <w:rsid w:val="0073015C"/>
    <w:rsid w:val="0073015F"/>
    <w:rsid w:val="007301FB"/>
    <w:rsid w:val="0073022A"/>
    <w:rsid w:val="007302A4"/>
    <w:rsid w:val="0073031B"/>
    <w:rsid w:val="00730395"/>
    <w:rsid w:val="007305B1"/>
    <w:rsid w:val="007309DC"/>
    <w:rsid w:val="00730A55"/>
    <w:rsid w:val="00730B1C"/>
    <w:rsid w:val="00730C2A"/>
    <w:rsid w:val="00730C97"/>
    <w:rsid w:val="00730D00"/>
    <w:rsid w:val="00730DAF"/>
    <w:rsid w:val="00730EC8"/>
    <w:rsid w:val="00730F82"/>
    <w:rsid w:val="00731070"/>
    <w:rsid w:val="007310A6"/>
    <w:rsid w:val="007311B5"/>
    <w:rsid w:val="00731247"/>
    <w:rsid w:val="007312F3"/>
    <w:rsid w:val="00731312"/>
    <w:rsid w:val="00731388"/>
    <w:rsid w:val="0073139C"/>
    <w:rsid w:val="007314F0"/>
    <w:rsid w:val="0073154E"/>
    <w:rsid w:val="00731651"/>
    <w:rsid w:val="007316FA"/>
    <w:rsid w:val="007318A6"/>
    <w:rsid w:val="007318B6"/>
    <w:rsid w:val="007318F6"/>
    <w:rsid w:val="00731A04"/>
    <w:rsid w:val="00731A2B"/>
    <w:rsid w:val="00731BC1"/>
    <w:rsid w:val="00731C5A"/>
    <w:rsid w:val="00731D12"/>
    <w:rsid w:val="00731D2D"/>
    <w:rsid w:val="00731EF2"/>
    <w:rsid w:val="00731FCA"/>
    <w:rsid w:val="00732080"/>
    <w:rsid w:val="0073217C"/>
    <w:rsid w:val="0073217D"/>
    <w:rsid w:val="00732276"/>
    <w:rsid w:val="007323FD"/>
    <w:rsid w:val="00732508"/>
    <w:rsid w:val="0073251F"/>
    <w:rsid w:val="00732841"/>
    <w:rsid w:val="00732857"/>
    <w:rsid w:val="0073296A"/>
    <w:rsid w:val="00732978"/>
    <w:rsid w:val="00732A21"/>
    <w:rsid w:val="00732BAD"/>
    <w:rsid w:val="00732C07"/>
    <w:rsid w:val="00732DB1"/>
    <w:rsid w:val="00732E2B"/>
    <w:rsid w:val="00732F68"/>
    <w:rsid w:val="00732F76"/>
    <w:rsid w:val="00733075"/>
    <w:rsid w:val="007330D8"/>
    <w:rsid w:val="007330F4"/>
    <w:rsid w:val="0073316B"/>
    <w:rsid w:val="00733238"/>
    <w:rsid w:val="00733277"/>
    <w:rsid w:val="007332BE"/>
    <w:rsid w:val="007332D7"/>
    <w:rsid w:val="00733396"/>
    <w:rsid w:val="007333CC"/>
    <w:rsid w:val="00733456"/>
    <w:rsid w:val="007335A4"/>
    <w:rsid w:val="00733614"/>
    <w:rsid w:val="007336EC"/>
    <w:rsid w:val="007337BA"/>
    <w:rsid w:val="0073384B"/>
    <w:rsid w:val="007338FE"/>
    <w:rsid w:val="0073395C"/>
    <w:rsid w:val="00733A60"/>
    <w:rsid w:val="00733AA6"/>
    <w:rsid w:val="00733AB6"/>
    <w:rsid w:val="00733D52"/>
    <w:rsid w:val="00733ECC"/>
    <w:rsid w:val="00733F5C"/>
    <w:rsid w:val="00733FAC"/>
    <w:rsid w:val="0073421C"/>
    <w:rsid w:val="007342F2"/>
    <w:rsid w:val="007343A4"/>
    <w:rsid w:val="007343F4"/>
    <w:rsid w:val="0073470C"/>
    <w:rsid w:val="0073474A"/>
    <w:rsid w:val="0073481D"/>
    <w:rsid w:val="00734843"/>
    <w:rsid w:val="0073487D"/>
    <w:rsid w:val="0073488A"/>
    <w:rsid w:val="00734946"/>
    <w:rsid w:val="0073498A"/>
    <w:rsid w:val="00734A0E"/>
    <w:rsid w:val="00734D6D"/>
    <w:rsid w:val="00734DBD"/>
    <w:rsid w:val="00734EA5"/>
    <w:rsid w:val="00734EB6"/>
    <w:rsid w:val="00734F6A"/>
    <w:rsid w:val="00734F79"/>
    <w:rsid w:val="00735183"/>
    <w:rsid w:val="0073534A"/>
    <w:rsid w:val="00735420"/>
    <w:rsid w:val="007355DC"/>
    <w:rsid w:val="007356A0"/>
    <w:rsid w:val="007356B8"/>
    <w:rsid w:val="007356C9"/>
    <w:rsid w:val="007356D0"/>
    <w:rsid w:val="007356D7"/>
    <w:rsid w:val="0073573E"/>
    <w:rsid w:val="007357AC"/>
    <w:rsid w:val="0073584D"/>
    <w:rsid w:val="00735852"/>
    <w:rsid w:val="00735945"/>
    <w:rsid w:val="00735988"/>
    <w:rsid w:val="007359A0"/>
    <w:rsid w:val="00735BD5"/>
    <w:rsid w:val="00735D64"/>
    <w:rsid w:val="00735E07"/>
    <w:rsid w:val="00735F2B"/>
    <w:rsid w:val="00735FAB"/>
    <w:rsid w:val="00735FBE"/>
    <w:rsid w:val="00735FCD"/>
    <w:rsid w:val="00736154"/>
    <w:rsid w:val="00736181"/>
    <w:rsid w:val="00736265"/>
    <w:rsid w:val="007362DB"/>
    <w:rsid w:val="0073632A"/>
    <w:rsid w:val="00736336"/>
    <w:rsid w:val="00736379"/>
    <w:rsid w:val="007363F5"/>
    <w:rsid w:val="00736456"/>
    <w:rsid w:val="0073645A"/>
    <w:rsid w:val="007365D1"/>
    <w:rsid w:val="007365EF"/>
    <w:rsid w:val="007365F2"/>
    <w:rsid w:val="0073661F"/>
    <w:rsid w:val="0073668C"/>
    <w:rsid w:val="007366DE"/>
    <w:rsid w:val="00736804"/>
    <w:rsid w:val="0073681E"/>
    <w:rsid w:val="00736836"/>
    <w:rsid w:val="0073685F"/>
    <w:rsid w:val="0073688A"/>
    <w:rsid w:val="00736904"/>
    <w:rsid w:val="00736AF8"/>
    <w:rsid w:val="00736CA9"/>
    <w:rsid w:val="00736CBA"/>
    <w:rsid w:val="00736D0C"/>
    <w:rsid w:val="00736D91"/>
    <w:rsid w:val="00736F44"/>
    <w:rsid w:val="00736FB8"/>
    <w:rsid w:val="00737236"/>
    <w:rsid w:val="00737272"/>
    <w:rsid w:val="007372A5"/>
    <w:rsid w:val="007373CA"/>
    <w:rsid w:val="007374CE"/>
    <w:rsid w:val="0073750A"/>
    <w:rsid w:val="007375B0"/>
    <w:rsid w:val="0073773C"/>
    <w:rsid w:val="007377E3"/>
    <w:rsid w:val="007379AD"/>
    <w:rsid w:val="007379EC"/>
    <w:rsid w:val="00737AA5"/>
    <w:rsid w:val="00737B01"/>
    <w:rsid w:val="00737B4C"/>
    <w:rsid w:val="00737BC5"/>
    <w:rsid w:val="00737C10"/>
    <w:rsid w:val="00737CC7"/>
    <w:rsid w:val="00737D57"/>
    <w:rsid w:val="00737E3E"/>
    <w:rsid w:val="00737E40"/>
    <w:rsid w:val="00737E5E"/>
    <w:rsid w:val="00737E6C"/>
    <w:rsid w:val="00737FC3"/>
    <w:rsid w:val="00740079"/>
    <w:rsid w:val="007400F7"/>
    <w:rsid w:val="0074012E"/>
    <w:rsid w:val="00740244"/>
    <w:rsid w:val="00740276"/>
    <w:rsid w:val="00740322"/>
    <w:rsid w:val="007403A0"/>
    <w:rsid w:val="007404B5"/>
    <w:rsid w:val="007405A7"/>
    <w:rsid w:val="007405E3"/>
    <w:rsid w:val="00740638"/>
    <w:rsid w:val="007407D3"/>
    <w:rsid w:val="007407D4"/>
    <w:rsid w:val="00740882"/>
    <w:rsid w:val="007408A0"/>
    <w:rsid w:val="007408B6"/>
    <w:rsid w:val="0074098A"/>
    <w:rsid w:val="007409ED"/>
    <w:rsid w:val="00740AD6"/>
    <w:rsid w:val="00740AEF"/>
    <w:rsid w:val="00740B9C"/>
    <w:rsid w:val="00740BF0"/>
    <w:rsid w:val="00740C34"/>
    <w:rsid w:val="00740D4E"/>
    <w:rsid w:val="00740FA1"/>
    <w:rsid w:val="00741019"/>
    <w:rsid w:val="007410EC"/>
    <w:rsid w:val="00741148"/>
    <w:rsid w:val="007412B5"/>
    <w:rsid w:val="0074136D"/>
    <w:rsid w:val="00741370"/>
    <w:rsid w:val="00741646"/>
    <w:rsid w:val="00741745"/>
    <w:rsid w:val="00741804"/>
    <w:rsid w:val="007418C6"/>
    <w:rsid w:val="00741A1B"/>
    <w:rsid w:val="00741A4B"/>
    <w:rsid w:val="00741AAE"/>
    <w:rsid w:val="00741AC1"/>
    <w:rsid w:val="00741D1E"/>
    <w:rsid w:val="00741D68"/>
    <w:rsid w:val="00741DFF"/>
    <w:rsid w:val="00741E6D"/>
    <w:rsid w:val="007420B6"/>
    <w:rsid w:val="00742149"/>
    <w:rsid w:val="0074222C"/>
    <w:rsid w:val="00742284"/>
    <w:rsid w:val="007423C5"/>
    <w:rsid w:val="007425DD"/>
    <w:rsid w:val="00742670"/>
    <w:rsid w:val="0074268E"/>
    <w:rsid w:val="007427BD"/>
    <w:rsid w:val="0074280B"/>
    <w:rsid w:val="0074285E"/>
    <w:rsid w:val="007428DD"/>
    <w:rsid w:val="00742AAF"/>
    <w:rsid w:val="00742AF7"/>
    <w:rsid w:val="00742BD9"/>
    <w:rsid w:val="00742C30"/>
    <w:rsid w:val="00742C47"/>
    <w:rsid w:val="00742CFE"/>
    <w:rsid w:val="00742D7C"/>
    <w:rsid w:val="00742DFE"/>
    <w:rsid w:val="00742EB4"/>
    <w:rsid w:val="00742F82"/>
    <w:rsid w:val="00742F83"/>
    <w:rsid w:val="00742FDD"/>
    <w:rsid w:val="00743020"/>
    <w:rsid w:val="00743128"/>
    <w:rsid w:val="007434F1"/>
    <w:rsid w:val="00743717"/>
    <w:rsid w:val="00743837"/>
    <w:rsid w:val="00743BB6"/>
    <w:rsid w:val="00743C5F"/>
    <w:rsid w:val="00743CED"/>
    <w:rsid w:val="00743DFB"/>
    <w:rsid w:val="00744074"/>
    <w:rsid w:val="0074419A"/>
    <w:rsid w:val="00744238"/>
    <w:rsid w:val="00744299"/>
    <w:rsid w:val="007442B8"/>
    <w:rsid w:val="007442D2"/>
    <w:rsid w:val="007443BB"/>
    <w:rsid w:val="007443E9"/>
    <w:rsid w:val="00744438"/>
    <w:rsid w:val="007444CA"/>
    <w:rsid w:val="007446F4"/>
    <w:rsid w:val="0074493C"/>
    <w:rsid w:val="00744B14"/>
    <w:rsid w:val="00744BD2"/>
    <w:rsid w:val="00744CBA"/>
    <w:rsid w:val="00744CF3"/>
    <w:rsid w:val="00744F35"/>
    <w:rsid w:val="00744F57"/>
    <w:rsid w:val="00745053"/>
    <w:rsid w:val="00745110"/>
    <w:rsid w:val="007452F7"/>
    <w:rsid w:val="0074538D"/>
    <w:rsid w:val="0074541E"/>
    <w:rsid w:val="00745622"/>
    <w:rsid w:val="00745681"/>
    <w:rsid w:val="007456D2"/>
    <w:rsid w:val="00745797"/>
    <w:rsid w:val="0074579D"/>
    <w:rsid w:val="00745815"/>
    <w:rsid w:val="00745920"/>
    <w:rsid w:val="0074595C"/>
    <w:rsid w:val="00745A55"/>
    <w:rsid w:val="00745B30"/>
    <w:rsid w:val="00745B57"/>
    <w:rsid w:val="00745B75"/>
    <w:rsid w:val="00745C3D"/>
    <w:rsid w:val="00745CBB"/>
    <w:rsid w:val="00745CE6"/>
    <w:rsid w:val="00745D74"/>
    <w:rsid w:val="00745DE5"/>
    <w:rsid w:val="00745EAD"/>
    <w:rsid w:val="00746058"/>
    <w:rsid w:val="007460CF"/>
    <w:rsid w:val="00746209"/>
    <w:rsid w:val="007462F4"/>
    <w:rsid w:val="007462F5"/>
    <w:rsid w:val="00746459"/>
    <w:rsid w:val="0074645B"/>
    <w:rsid w:val="007464FA"/>
    <w:rsid w:val="0074664D"/>
    <w:rsid w:val="00746816"/>
    <w:rsid w:val="00746894"/>
    <w:rsid w:val="00746902"/>
    <w:rsid w:val="0074692A"/>
    <w:rsid w:val="00746A6F"/>
    <w:rsid w:val="00746A9C"/>
    <w:rsid w:val="00746C4C"/>
    <w:rsid w:val="00746CA3"/>
    <w:rsid w:val="00746E8E"/>
    <w:rsid w:val="00746F66"/>
    <w:rsid w:val="00746F86"/>
    <w:rsid w:val="00747033"/>
    <w:rsid w:val="0074715E"/>
    <w:rsid w:val="007471B5"/>
    <w:rsid w:val="007471CF"/>
    <w:rsid w:val="007472A1"/>
    <w:rsid w:val="007472C9"/>
    <w:rsid w:val="00747365"/>
    <w:rsid w:val="0074742E"/>
    <w:rsid w:val="007474DF"/>
    <w:rsid w:val="00747643"/>
    <w:rsid w:val="007476A3"/>
    <w:rsid w:val="00747737"/>
    <w:rsid w:val="00747864"/>
    <w:rsid w:val="007479EA"/>
    <w:rsid w:val="00747A06"/>
    <w:rsid w:val="00747BE0"/>
    <w:rsid w:val="00747C2A"/>
    <w:rsid w:val="00747EAD"/>
    <w:rsid w:val="00747FCD"/>
    <w:rsid w:val="00750233"/>
    <w:rsid w:val="00750243"/>
    <w:rsid w:val="007502A9"/>
    <w:rsid w:val="0075039A"/>
    <w:rsid w:val="007504E8"/>
    <w:rsid w:val="0075050B"/>
    <w:rsid w:val="00750573"/>
    <w:rsid w:val="007505D7"/>
    <w:rsid w:val="0075067E"/>
    <w:rsid w:val="007506DA"/>
    <w:rsid w:val="0075070D"/>
    <w:rsid w:val="007507A9"/>
    <w:rsid w:val="0075087C"/>
    <w:rsid w:val="00750884"/>
    <w:rsid w:val="007508FA"/>
    <w:rsid w:val="00750A14"/>
    <w:rsid w:val="00750B6A"/>
    <w:rsid w:val="00750B85"/>
    <w:rsid w:val="00750BF7"/>
    <w:rsid w:val="00750D9C"/>
    <w:rsid w:val="00750EDB"/>
    <w:rsid w:val="00750F35"/>
    <w:rsid w:val="00750F61"/>
    <w:rsid w:val="00750F79"/>
    <w:rsid w:val="00750FBE"/>
    <w:rsid w:val="00750FD2"/>
    <w:rsid w:val="007510FB"/>
    <w:rsid w:val="0075118F"/>
    <w:rsid w:val="0075127C"/>
    <w:rsid w:val="00751348"/>
    <w:rsid w:val="00751358"/>
    <w:rsid w:val="00751381"/>
    <w:rsid w:val="007513D7"/>
    <w:rsid w:val="0075172D"/>
    <w:rsid w:val="007517AF"/>
    <w:rsid w:val="007517C2"/>
    <w:rsid w:val="007517E8"/>
    <w:rsid w:val="007518BB"/>
    <w:rsid w:val="007519CB"/>
    <w:rsid w:val="00751A3E"/>
    <w:rsid w:val="00751B93"/>
    <w:rsid w:val="00751C28"/>
    <w:rsid w:val="00751C57"/>
    <w:rsid w:val="00751C89"/>
    <w:rsid w:val="00751D8A"/>
    <w:rsid w:val="00751DD6"/>
    <w:rsid w:val="00751E77"/>
    <w:rsid w:val="00751F64"/>
    <w:rsid w:val="00751FBD"/>
    <w:rsid w:val="00752037"/>
    <w:rsid w:val="007520D8"/>
    <w:rsid w:val="0075210F"/>
    <w:rsid w:val="00752393"/>
    <w:rsid w:val="007523B0"/>
    <w:rsid w:val="0075258C"/>
    <w:rsid w:val="007525BF"/>
    <w:rsid w:val="00752705"/>
    <w:rsid w:val="007528EF"/>
    <w:rsid w:val="00752998"/>
    <w:rsid w:val="00752A44"/>
    <w:rsid w:val="00752A6B"/>
    <w:rsid w:val="00752A73"/>
    <w:rsid w:val="00752A97"/>
    <w:rsid w:val="00752EF5"/>
    <w:rsid w:val="00752F84"/>
    <w:rsid w:val="00753172"/>
    <w:rsid w:val="00753205"/>
    <w:rsid w:val="007532EA"/>
    <w:rsid w:val="007534A0"/>
    <w:rsid w:val="00753637"/>
    <w:rsid w:val="007536A2"/>
    <w:rsid w:val="007536CF"/>
    <w:rsid w:val="007536DC"/>
    <w:rsid w:val="007537AC"/>
    <w:rsid w:val="0075384A"/>
    <w:rsid w:val="00753891"/>
    <w:rsid w:val="00753A2D"/>
    <w:rsid w:val="00753A4C"/>
    <w:rsid w:val="00753C08"/>
    <w:rsid w:val="00753C57"/>
    <w:rsid w:val="00753C7E"/>
    <w:rsid w:val="00754007"/>
    <w:rsid w:val="00754018"/>
    <w:rsid w:val="00754033"/>
    <w:rsid w:val="007540AF"/>
    <w:rsid w:val="00754104"/>
    <w:rsid w:val="0075415A"/>
    <w:rsid w:val="00754180"/>
    <w:rsid w:val="00754184"/>
    <w:rsid w:val="00754186"/>
    <w:rsid w:val="0075424F"/>
    <w:rsid w:val="00754260"/>
    <w:rsid w:val="00754284"/>
    <w:rsid w:val="007542F3"/>
    <w:rsid w:val="00754417"/>
    <w:rsid w:val="00754510"/>
    <w:rsid w:val="00754540"/>
    <w:rsid w:val="00754CB5"/>
    <w:rsid w:val="00754EE3"/>
    <w:rsid w:val="00754EF7"/>
    <w:rsid w:val="007550DB"/>
    <w:rsid w:val="007550FD"/>
    <w:rsid w:val="00755194"/>
    <w:rsid w:val="0075519E"/>
    <w:rsid w:val="00755298"/>
    <w:rsid w:val="0075529E"/>
    <w:rsid w:val="007553A5"/>
    <w:rsid w:val="007554C0"/>
    <w:rsid w:val="007555CD"/>
    <w:rsid w:val="00755729"/>
    <w:rsid w:val="00755761"/>
    <w:rsid w:val="00755800"/>
    <w:rsid w:val="00755805"/>
    <w:rsid w:val="0075584C"/>
    <w:rsid w:val="007558EA"/>
    <w:rsid w:val="00755943"/>
    <w:rsid w:val="00755A01"/>
    <w:rsid w:val="00755A28"/>
    <w:rsid w:val="00755AFE"/>
    <w:rsid w:val="00755B0E"/>
    <w:rsid w:val="00755B49"/>
    <w:rsid w:val="00755BC5"/>
    <w:rsid w:val="00755BE5"/>
    <w:rsid w:val="00755C4C"/>
    <w:rsid w:val="00755D0A"/>
    <w:rsid w:val="00755D3B"/>
    <w:rsid w:val="00755EB9"/>
    <w:rsid w:val="00755F5C"/>
    <w:rsid w:val="00755F70"/>
    <w:rsid w:val="00755FBD"/>
    <w:rsid w:val="00755FC4"/>
    <w:rsid w:val="0075605D"/>
    <w:rsid w:val="007560B0"/>
    <w:rsid w:val="007561DC"/>
    <w:rsid w:val="007562B5"/>
    <w:rsid w:val="007563DD"/>
    <w:rsid w:val="00756460"/>
    <w:rsid w:val="00756678"/>
    <w:rsid w:val="0075668B"/>
    <w:rsid w:val="00756705"/>
    <w:rsid w:val="0075671E"/>
    <w:rsid w:val="00756895"/>
    <w:rsid w:val="00756930"/>
    <w:rsid w:val="00756983"/>
    <w:rsid w:val="00756AF1"/>
    <w:rsid w:val="00756B7C"/>
    <w:rsid w:val="00756BC4"/>
    <w:rsid w:val="00756C82"/>
    <w:rsid w:val="00756DC6"/>
    <w:rsid w:val="00756DE7"/>
    <w:rsid w:val="00756E6E"/>
    <w:rsid w:val="00756EB6"/>
    <w:rsid w:val="00756FAD"/>
    <w:rsid w:val="00757017"/>
    <w:rsid w:val="0075716B"/>
    <w:rsid w:val="00757188"/>
    <w:rsid w:val="007571DE"/>
    <w:rsid w:val="00757415"/>
    <w:rsid w:val="007575BE"/>
    <w:rsid w:val="007578B6"/>
    <w:rsid w:val="0075792F"/>
    <w:rsid w:val="0075798C"/>
    <w:rsid w:val="00757A23"/>
    <w:rsid w:val="00757B0E"/>
    <w:rsid w:val="00757B41"/>
    <w:rsid w:val="00757B7C"/>
    <w:rsid w:val="00757C3A"/>
    <w:rsid w:val="00757D12"/>
    <w:rsid w:val="00757D66"/>
    <w:rsid w:val="00757D79"/>
    <w:rsid w:val="00757ED4"/>
    <w:rsid w:val="00757F29"/>
    <w:rsid w:val="00757FA3"/>
    <w:rsid w:val="007601F4"/>
    <w:rsid w:val="0076032B"/>
    <w:rsid w:val="00760579"/>
    <w:rsid w:val="007605D8"/>
    <w:rsid w:val="00760601"/>
    <w:rsid w:val="0076063C"/>
    <w:rsid w:val="0076065E"/>
    <w:rsid w:val="0076070F"/>
    <w:rsid w:val="007607B9"/>
    <w:rsid w:val="0076082A"/>
    <w:rsid w:val="00760915"/>
    <w:rsid w:val="00760971"/>
    <w:rsid w:val="007609E7"/>
    <w:rsid w:val="00760AE2"/>
    <w:rsid w:val="00760AFD"/>
    <w:rsid w:val="00760B01"/>
    <w:rsid w:val="00760B99"/>
    <w:rsid w:val="00760C2B"/>
    <w:rsid w:val="00760C8F"/>
    <w:rsid w:val="00760D54"/>
    <w:rsid w:val="00760DB9"/>
    <w:rsid w:val="00760EFA"/>
    <w:rsid w:val="00760F27"/>
    <w:rsid w:val="00760F90"/>
    <w:rsid w:val="00761034"/>
    <w:rsid w:val="0076106F"/>
    <w:rsid w:val="0076111F"/>
    <w:rsid w:val="00761171"/>
    <w:rsid w:val="0076118B"/>
    <w:rsid w:val="007611BA"/>
    <w:rsid w:val="007613FF"/>
    <w:rsid w:val="0076142B"/>
    <w:rsid w:val="007614D3"/>
    <w:rsid w:val="00761508"/>
    <w:rsid w:val="0076150C"/>
    <w:rsid w:val="00761577"/>
    <w:rsid w:val="007616F3"/>
    <w:rsid w:val="007618A8"/>
    <w:rsid w:val="00761B00"/>
    <w:rsid w:val="00761B17"/>
    <w:rsid w:val="00761B84"/>
    <w:rsid w:val="00761BB8"/>
    <w:rsid w:val="00761BCC"/>
    <w:rsid w:val="00761CD2"/>
    <w:rsid w:val="00761D79"/>
    <w:rsid w:val="00761D8F"/>
    <w:rsid w:val="00761F6C"/>
    <w:rsid w:val="00761F80"/>
    <w:rsid w:val="0076203D"/>
    <w:rsid w:val="0076213C"/>
    <w:rsid w:val="0076215E"/>
    <w:rsid w:val="0076239B"/>
    <w:rsid w:val="007624F9"/>
    <w:rsid w:val="00762581"/>
    <w:rsid w:val="007625BA"/>
    <w:rsid w:val="0076264B"/>
    <w:rsid w:val="00762667"/>
    <w:rsid w:val="00762708"/>
    <w:rsid w:val="0076277C"/>
    <w:rsid w:val="00762A0D"/>
    <w:rsid w:val="00762A2C"/>
    <w:rsid w:val="00762AA0"/>
    <w:rsid w:val="00762BA4"/>
    <w:rsid w:val="00762C0B"/>
    <w:rsid w:val="00762C1C"/>
    <w:rsid w:val="00762C58"/>
    <w:rsid w:val="00763045"/>
    <w:rsid w:val="00763079"/>
    <w:rsid w:val="007630EA"/>
    <w:rsid w:val="00763141"/>
    <w:rsid w:val="007631F2"/>
    <w:rsid w:val="007632E9"/>
    <w:rsid w:val="00763357"/>
    <w:rsid w:val="0076336A"/>
    <w:rsid w:val="0076343A"/>
    <w:rsid w:val="007635ED"/>
    <w:rsid w:val="00763690"/>
    <w:rsid w:val="0076389D"/>
    <w:rsid w:val="007638EA"/>
    <w:rsid w:val="007639BA"/>
    <w:rsid w:val="007639BD"/>
    <w:rsid w:val="00763A3E"/>
    <w:rsid w:val="00763D0C"/>
    <w:rsid w:val="00763DF1"/>
    <w:rsid w:val="00763E23"/>
    <w:rsid w:val="00763E5E"/>
    <w:rsid w:val="00763E68"/>
    <w:rsid w:val="00763F2A"/>
    <w:rsid w:val="00763F3F"/>
    <w:rsid w:val="00763F77"/>
    <w:rsid w:val="007640A3"/>
    <w:rsid w:val="007640A5"/>
    <w:rsid w:val="007640B3"/>
    <w:rsid w:val="00764179"/>
    <w:rsid w:val="007641E0"/>
    <w:rsid w:val="00764272"/>
    <w:rsid w:val="007642CD"/>
    <w:rsid w:val="0076451D"/>
    <w:rsid w:val="00764691"/>
    <w:rsid w:val="007646A2"/>
    <w:rsid w:val="007646CD"/>
    <w:rsid w:val="007647EE"/>
    <w:rsid w:val="00764842"/>
    <w:rsid w:val="00764880"/>
    <w:rsid w:val="007648B2"/>
    <w:rsid w:val="00764961"/>
    <w:rsid w:val="00764B1F"/>
    <w:rsid w:val="00764CF2"/>
    <w:rsid w:val="00764F36"/>
    <w:rsid w:val="00764F73"/>
    <w:rsid w:val="00764F8C"/>
    <w:rsid w:val="00765106"/>
    <w:rsid w:val="00765192"/>
    <w:rsid w:val="007651A5"/>
    <w:rsid w:val="00765305"/>
    <w:rsid w:val="007653E4"/>
    <w:rsid w:val="00765401"/>
    <w:rsid w:val="00765432"/>
    <w:rsid w:val="0076556F"/>
    <w:rsid w:val="00765776"/>
    <w:rsid w:val="0076589E"/>
    <w:rsid w:val="0076589F"/>
    <w:rsid w:val="007659E6"/>
    <w:rsid w:val="00765A1A"/>
    <w:rsid w:val="00765A73"/>
    <w:rsid w:val="00765ABF"/>
    <w:rsid w:val="00765B36"/>
    <w:rsid w:val="00765BC1"/>
    <w:rsid w:val="00765C29"/>
    <w:rsid w:val="00765C86"/>
    <w:rsid w:val="00765CDD"/>
    <w:rsid w:val="00765D70"/>
    <w:rsid w:val="00765E35"/>
    <w:rsid w:val="00766069"/>
    <w:rsid w:val="007660DB"/>
    <w:rsid w:val="00766116"/>
    <w:rsid w:val="007661E7"/>
    <w:rsid w:val="00766365"/>
    <w:rsid w:val="00766440"/>
    <w:rsid w:val="00766559"/>
    <w:rsid w:val="00766564"/>
    <w:rsid w:val="00766621"/>
    <w:rsid w:val="00766700"/>
    <w:rsid w:val="007667C7"/>
    <w:rsid w:val="00766AC1"/>
    <w:rsid w:val="00766B3F"/>
    <w:rsid w:val="00766DC9"/>
    <w:rsid w:val="00766F5F"/>
    <w:rsid w:val="00766F8C"/>
    <w:rsid w:val="00766FB0"/>
    <w:rsid w:val="00767097"/>
    <w:rsid w:val="00767169"/>
    <w:rsid w:val="0076717E"/>
    <w:rsid w:val="007672DB"/>
    <w:rsid w:val="00767465"/>
    <w:rsid w:val="00767668"/>
    <w:rsid w:val="00767674"/>
    <w:rsid w:val="0076767C"/>
    <w:rsid w:val="00767681"/>
    <w:rsid w:val="00767762"/>
    <w:rsid w:val="007677C6"/>
    <w:rsid w:val="007677DE"/>
    <w:rsid w:val="00767863"/>
    <w:rsid w:val="007679B8"/>
    <w:rsid w:val="00767A95"/>
    <w:rsid w:val="00767ACA"/>
    <w:rsid w:val="00767BCA"/>
    <w:rsid w:val="00767BCC"/>
    <w:rsid w:val="00767C94"/>
    <w:rsid w:val="00767D4E"/>
    <w:rsid w:val="00767D55"/>
    <w:rsid w:val="00767DEE"/>
    <w:rsid w:val="0076E08A"/>
    <w:rsid w:val="00770096"/>
    <w:rsid w:val="0077015A"/>
    <w:rsid w:val="00770183"/>
    <w:rsid w:val="007701C5"/>
    <w:rsid w:val="007701D4"/>
    <w:rsid w:val="007702F0"/>
    <w:rsid w:val="00770471"/>
    <w:rsid w:val="0077049D"/>
    <w:rsid w:val="007704BF"/>
    <w:rsid w:val="00770572"/>
    <w:rsid w:val="00770699"/>
    <w:rsid w:val="007706CC"/>
    <w:rsid w:val="007706D3"/>
    <w:rsid w:val="007707B9"/>
    <w:rsid w:val="00770ADC"/>
    <w:rsid w:val="00770DDE"/>
    <w:rsid w:val="00770E1C"/>
    <w:rsid w:val="00770F41"/>
    <w:rsid w:val="00770F91"/>
    <w:rsid w:val="00770FAC"/>
    <w:rsid w:val="0077111F"/>
    <w:rsid w:val="00771167"/>
    <w:rsid w:val="00771355"/>
    <w:rsid w:val="0077144E"/>
    <w:rsid w:val="00771478"/>
    <w:rsid w:val="007714AB"/>
    <w:rsid w:val="007714C0"/>
    <w:rsid w:val="007715F5"/>
    <w:rsid w:val="007717A6"/>
    <w:rsid w:val="007717B4"/>
    <w:rsid w:val="00771837"/>
    <w:rsid w:val="007718AC"/>
    <w:rsid w:val="00771921"/>
    <w:rsid w:val="00771982"/>
    <w:rsid w:val="00771AA7"/>
    <w:rsid w:val="00771C07"/>
    <w:rsid w:val="00771C18"/>
    <w:rsid w:val="00771D52"/>
    <w:rsid w:val="00771D7F"/>
    <w:rsid w:val="00771DA7"/>
    <w:rsid w:val="00771F85"/>
    <w:rsid w:val="0077206D"/>
    <w:rsid w:val="007721B7"/>
    <w:rsid w:val="00772342"/>
    <w:rsid w:val="00772369"/>
    <w:rsid w:val="007723D7"/>
    <w:rsid w:val="0077246E"/>
    <w:rsid w:val="007724A3"/>
    <w:rsid w:val="007725EC"/>
    <w:rsid w:val="00772719"/>
    <w:rsid w:val="0077280E"/>
    <w:rsid w:val="00772846"/>
    <w:rsid w:val="00772899"/>
    <w:rsid w:val="00772996"/>
    <w:rsid w:val="007729EE"/>
    <w:rsid w:val="00772E8F"/>
    <w:rsid w:val="00772F1F"/>
    <w:rsid w:val="00772F7B"/>
    <w:rsid w:val="00772FB4"/>
    <w:rsid w:val="00772FBB"/>
    <w:rsid w:val="00773138"/>
    <w:rsid w:val="007731E3"/>
    <w:rsid w:val="00773256"/>
    <w:rsid w:val="0077329C"/>
    <w:rsid w:val="0077344A"/>
    <w:rsid w:val="00773507"/>
    <w:rsid w:val="00773686"/>
    <w:rsid w:val="007736F9"/>
    <w:rsid w:val="007737DB"/>
    <w:rsid w:val="007738B1"/>
    <w:rsid w:val="00773997"/>
    <w:rsid w:val="007739A0"/>
    <w:rsid w:val="00773A4C"/>
    <w:rsid w:val="00773A60"/>
    <w:rsid w:val="00773B16"/>
    <w:rsid w:val="00773B84"/>
    <w:rsid w:val="00773CBB"/>
    <w:rsid w:val="00773D33"/>
    <w:rsid w:val="00773D35"/>
    <w:rsid w:val="00773D83"/>
    <w:rsid w:val="00773DAA"/>
    <w:rsid w:val="00773E87"/>
    <w:rsid w:val="00773FC3"/>
    <w:rsid w:val="00774120"/>
    <w:rsid w:val="0077431B"/>
    <w:rsid w:val="00774346"/>
    <w:rsid w:val="0077437A"/>
    <w:rsid w:val="007745F6"/>
    <w:rsid w:val="007746A0"/>
    <w:rsid w:val="00774813"/>
    <w:rsid w:val="007749AD"/>
    <w:rsid w:val="00774B8F"/>
    <w:rsid w:val="00774B91"/>
    <w:rsid w:val="00774BB6"/>
    <w:rsid w:val="00774C22"/>
    <w:rsid w:val="00774CA3"/>
    <w:rsid w:val="00774E96"/>
    <w:rsid w:val="00774F73"/>
    <w:rsid w:val="00774FB7"/>
    <w:rsid w:val="007751F1"/>
    <w:rsid w:val="0077520B"/>
    <w:rsid w:val="007752A9"/>
    <w:rsid w:val="007752B4"/>
    <w:rsid w:val="0077531D"/>
    <w:rsid w:val="00775465"/>
    <w:rsid w:val="007754D9"/>
    <w:rsid w:val="00775608"/>
    <w:rsid w:val="007756B3"/>
    <w:rsid w:val="00775702"/>
    <w:rsid w:val="0077585F"/>
    <w:rsid w:val="0077586C"/>
    <w:rsid w:val="0077586F"/>
    <w:rsid w:val="007758C4"/>
    <w:rsid w:val="007758C5"/>
    <w:rsid w:val="00775909"/>
    <w:rsid w:val="00775961"/>
    <w:rsid w:val="00775981"/>
    <w:rsid w:val="00775AF7"/>
    <w:rsid w:val="00775B32"/>
    <w:rsid w:val="00775B37"/>
    <w:rsid w:val="00775DC3"/>
    <w:rsid w:val="00775EBF"/>
    <w:rsid w:val="00775F0C"/>
    <w:rsid w:val="00775F18"/>
    <w:rsid w:val="00775F42"/>
    <w:rsid w:val="00775F87"/>
    <w:rsid w:val="00775FC5"/>
    <w:rsid w:val="0077603B"/>
    <w:rsid w:val="007761BB"/>
    <w:rsid w:val="00776252"/>
    <w:rsid w:val="0077626E"/>
    <w:rsid w:val="007763A7"/>
    <w:rsid w:val="00776428"/>
    <w:rsid w:val="00776499"/>
    <w:rsid w:val="00776574"/>
    <w:rsid w:val="007765AB"/>
    <w:rsid w:val="007765E9"/>
    <w:rsid w:val="00776642"/>
    <w:rsid w:val="007766FD"/>
    <w:rsid w:val="00776833"/>
    <w:rsid w:val="00776838"/>
    <w:rsid w:val="0077683E"/>
    <w:rsid w:val="00776842"/>
    <w:rsid w:val="00776843"/>
    <w:rsid w:val="0077699A"/>
    <w:rsid w:val="007769C6"/>
    <w:rsid w:val="00776AB0"/>
    <w:rsid w:val="00776D02"/>
    <w:rsid w:val="00776DB0"/>
    <w:rsid w:val="00776E29"/>
    <w:rsid w:val="00776FAC"/>
    <w:rsid w:val="0077702C"/>
    <w:rsid w:val="0077710C"/>
    <w:rsid w:val="007772F3"/>
    <w:rsid w:val="00777327"/>
    <w:rsid w:val="0077734E"/>
    <w:rsid w:val="0077745D"/>
    <w:rsid w:val="00777465"/>
    <w:rsid w:val="007774B1"/>
    <w:rsid w:val="00777554"/>
    <w:rsid w:val="007775B9"/>
    <w:rsid w:val="00777880"/>
    <w:rsid w:val="00777908"/>
    <w:rsid w:val="00777958"/>
    <w:rsid w:val="00777A94"/>
    <w:rsid w:val="00777B59"/>
    <w:rsid w:val="00777B5F"/>
    <w:rsid w:val="00777BB2"/>
    <w:rsid w:val="00777CA2"/>
    <w:rsid w:val="00777D36"/>
    <w:rsid w:val="00777D5B"/>
    <w:rsid w:val="00777D9F"/>
    <w:rsid w:val="00777DDD"/>
    <w:rsid w:val="00777E43"/>
    <w:rsid w:val="00777F00"/>
    <w:rsid w:val="00777F82"/>
    <w:rsid w:val="00777FCB"/>
    <w:rsid w:val="00777FD6"/>
    <w:rsid w:val="00780087"/>
    <w:rsid w:val="0078032E"/>
    <w:rsid w:val="007803A6"/>
    <w:rsid w:val="007804AE"/>
    <w:rsid w:val="007804BB"/>
    <w:rsid w:val="00780568"/>
    <w:rsid w:val="00780585"/>
    <w:rsid w:val="007805FC"/>
    <w:rsid w:val="007808AA"/>
    <w:rsid w:val="00780A0B"/>
    <w:rsid w:val="00780A97"/>
    <w:rsid w:val="00780C20"/>
    <w:rsid w:val="00780CAC"/>
    <w:rsid w:val="00780CF4"/>
    <w:rsid w:val="00780D44"/>
    <w:rsid w:val="00780D55"/>
    <w:rsid w:val="00780DAA"/>
    <w:rsid w:val="00780F5E"/>
    <w:rsid w:val="007810D8"/>
    <w:rsid w:val="0078114F"/>
    <w:rsid w:val="00781208"/>
    <w:rsid w:val="00781216"/>
    <w:rsid w:val="0078127B"/>
    <w:rsid w:val="0078132C"/>
    <w:rsid w:val="0078135B"/>
    <w:rsid w:val="0078138F"/>
    <w:rsid w:val="007813D4"/>
    <w:rsid w:val="0078145D"/>
    <w:rsid w:val="00781504"/>
    <w:rsid w:val="00781536"/>
    <w:rsid w:val="007816A9"/>
    <w:rsid w:val="00781711"/>
    <w:rsid w:val="00781783"/>
    <w:rsid w:val="00781814"/>
    <w:rsid w:val="0078199E"/>
    <w:rsid w:val="007819F0"/>
    <w:rsid w:val="00781A07"/>
    <w:rsid w:val="00781ACD"/>
    <w:rsid w:val="00781C33"/>
    <w:rsid w:val="00781C85"/>
    <w:rsid w:val="00781C9E"/>
    <w:rsid w:val="00781D1E"/>
    <w:rsid w:val="00781D8C"/>
    <w:rsid w:val="00781D92"/>
    <w:rsid w:val="00781F41"/>
    <w:rsid w:val="00781F4D"/>
    <w:rsid w:val="00781FEB"/>
    <w:rsid w:val="00782014"/>
    <w:rsid w:val="0078209C"/>
    <w:rsid w:val="007821F6"/>
    <w:rsid w:val="00782259"/>
    <w:rsid w:val="007822D5"/>
    <w:rsid w:val="00782303"/>
    <w:rsid w:val="007823E1"/>
    <w:rsid w:val="007824B0"/>
    <w:rsid w:val="007825A9"/>
    <w:rsid w:val="00782684"/>
    <w:rsid w:val="007826B7"/>
    <w:rsid w:val="00782723"/>
    <w:rsid w:val="00782814"/>
    <w:rsid w:val="00782924"/>
    <w:rsid w:val="00782994"/>
    <w:rsid w:val="007829C5"/>
    <w:rsid w:val="00782BD8"/>
    <w:rsid w:val="00782C5E"/>
    <w:rsid w:val="00782C5F"/>
    <w:rsid w:val="00782CC4"/>
    <w:rsid w:val="00782CDC"/>
    <w:rsid w:val="00782CE3"/>
    <w:rsid w:val="00782D41"/>
    <w:rsid w:val="00782EA9"/>
    <w:rsid w:val="00782EB8"/>
    <w:rsid w:val="00782FD7"/>
    <w:rsid w:val="007830EF"/>
    <w:rsid w:val="0078321A"/>
    <w:rsid w:val="0078326F"/>
    <w:rsid w:val="00783270"/>
    <w:rsid w:val="007832C0"/>
    <w:rsid w:val="007834A7"/>
    <w:rsid w:val="007834C7"/>
    <w:rsid w:val="007834CD"/>
    <w:rsid w:val="007834D1"/>
    <w:rsid w:val="0078367D"/>
    <w:rsid w:val="007836D6"/>
    <w:rsid w:val="007836DF"/>
    <w:rsid w:val="0078376F"/>
    <w:rsid w:val="007838E6"/>
    <w:rsid w:val="007839E6"/>
    <w:rsid w:val="00783A2C"/>
    <w:rsid w:val="00783B44"/>
    <w:rsid w:val="00783C02"/>
    <w:rsid w:val="00783CE7"/>
    <w:rsid w:val="00783E41"/>
    <w:rsid w:val="00783E43"/>
    <w:rsid w:val="00784020"/>
    <w:rsid w:val="00784046"/>
    <w:rsid w:val="00784090"/>
    <w:rsid w:val="00784095"/>
    <w:rsid w:val="0078420F"/>
    <w:rsid w:val="0078429A"/>
    <w:rsid w:val="0078437A"/>
    <w:rsid w:val="00784431"/>
    <w:rsid w:val="00784450"/>
    <w:rsid w:val="007844A0"/>
    <w:rsid w:val="00784595"/>
    <w:rsid w:val="0078462E"/>
    <w:rsid w:val="007846A9"/>
    <w:rsid w:val="007846EA"/>
    <w:rsid w:val="007847A8"/>
    <w:rsid w:val="0078488C"/>
    <w:rsid w:val="007848A7"/>
    <w:rsid w:val="00784A6A"/>
    <w:rsid w:val="00784AA1"/>
    <w:rsid w:val="00784C2B"/>
    <w:rsid w:val="00784C3A"/>
    <w:rsid w:val="00784E98"/>
    <w:rsid w:val="00784F2F"/>
    <w:rsid w:val="00784F6D"/>
    <w:rsid w:val="00784F82"/>
    <w:rsid w:val="00784FE9"/>
    <w:rsid w:val="00785021"/>
    <w:rsid w:val="00785093"/>
    <w:rsid w:val="0078511E"/>
    <w:rsid w:val="00785193"/>
    <w:rsid w:val="007853D7"/>
    <w:rsid w:val="00785436"/>
    <w:rsid w:val="00785479"/>
    <w:rsid w:val="00785546"/>
    <w:rsid w:val="00785575"/>
    <w:rsid w:val="00785579"/>
    <w:rsid w:val="007855A6"/>
    <w:rsid w:val="007856A7"/>
    <w:rsid w:val="00785879"/>
    <w:rsid w:val="0078588B"/>
    <w:rsid w:val="007858FF"/>
    <w:rsid w:val="00785974"/>
    <w:rsid w:val="00785A09"/>
    <w:rsid w:val="00785A2D"/>
    <w:rsid w:val="00785AD5"/>
    <w:rsid w:val="00785B5C"/>
    <w:rsid w:val="00785B89"/>
    <w:rsid w:val="00785CBC"/>
    <w:rsid w:val="00785CE7"/>
    <w:rsid w:val="00785CFD"/>
    <w:rsid w:val="00785D0B"/>
    <w:rsid w:val="00785EB1"/>
    <w:rsid w:val="00785F09"/>
    <w:rsid w:val="00785F2B"/>
    <w:rsid w:val="00785FD8"/>
    <w:rsid w:val="00786111"/>
    <w:rsid w:val="00786168"/>
    <w:rsid w:val="00786329"/>
    <w:rsid w:val="00786367"/>
    <w:rsid w:val="00786376"/>
    <w:rsid w:val="00786379"/>
    <w:rsid w:val="00786563"/>
    <w:rsid w:val="00786573"/>
    <w:rsid w:val="00786592"/>
    <w:rsid w:val="007866ED"/>
    <w:rsid w:val="007867F0"/>
    <w:rsid w:val="007868B2"/>
    <w:rsid w:val="007868B6"/>
    <w:rsid w:val="00786927"/>
    <w:rsid w:val="0078694C"/>
    <w:rsid w:val="00786B39"/>
    <w:rsid w:val="00786B5C"/>
    <w:rsid w:val="00786BAB"/>
    <w:rsid w:val="00786C5F"/>
    <w:rsid w:val="00786D14"/>
    <w:rsid w:val="00786DD9"/>
    <w:rsid w:val="00786E1C"/>
    <w:rsid w:val="00786E38"/>
    <w:rsid w:val="00786E4D"/>
    <w:rsid w:val="00786E88"/>
    <w:rsid w:val="00786E9E"/>
    <w:rsid w:val="00786F72"/>
    <w:rsid w:val="0078730D"/>
    <w:rsid w:val="00787481"/>
    <w:rsid w:val="0078749E"/>
    <w:rsid w:val="007876AB"/>
    <w:rsid w:val="0078778F"/>
    <w:rsid w:val="007878FA"/>
    <w:rsid w:val="00787B3E"/>
    <w:rsid w:val="00787C1B"/>
    <w:rsid w:val="00787C38"/>
    <w:rsid w:val="00787C7B"/>
    <w:rsid w:val="00787CBC"/>
    <w:rsid w:val="00787E11"/>
    <w:rsid w:val="00787E5C"/>
    <w:rsid w:val="00787FE9"/>
    <w:rsid w:val="00790076"/>
    <w:rsid w:val="0079008C"/>
    <w:rsid w:val="0079032A"/>
    <w:rsid w:val="007903B2"/>
    <w:rsid w:val="007903D8"/>
    <w:rsid w:val="007904A3"/>
    <w:rsid w:val="00790558"/>
    <w:rsid w:val="007906FC"/>
    <w:rsid w:val="007907B8"/>
    <w:rsid w:val="0079080C"/>
    <w:rsid w:val="00790974"/>
    <w:rsid w:val="00790A3A"/>
    <w:rsid w:val="00790A53"/>
    <w:rsid w:val="00790B93"/>
    <w:rsid w:val="00790C09"/>
    <w:rsid w:val="00790C4E"/>
    <w:rsid w:val="00790F61"/>
    <w:rsid w:val="00791112"/>
    <w:rsid w:val="0079112E"/>
    <w:rsid w:val="00791188"/>
    <w:rsid w:val="007911AC"/>
    <w:rsid w:val="00791215"/>
    <w:rsid w:val="00791248"/>
    <w:rsid w:val="007912C2"/>
    <w:rsid w:val="007912E0"/>
    <w:rsid w:val="007913B5"/>
    <w:rsid w:val="007914F9"/>
    <w:rsid w:val="00791524"/>
    <w:rsid w:val="00791765"/>
    <w:rsid w:val="007917D4"/>
    <w:rsid w:val="007918C8"/>
    <w:rsid w:val="0079199D"/>
    <w:rsid w:val="00791AC9"/>
    <w:rsid w:val="00791C9F"/>
    <w:rsid w:val="00791E5D"/>
    <w:rsid w:val="00791F8F"/>
    <w:rsid w:val="00792231"/>
    <w:rsid w:val="0079228B"/>
    <w:rsid w:val="007923EF"/>
    <w:rsid w:val="0079247A"/>
    <w:rsid w:val="0079259D"/>
    <w:rsid w:val="007925EA"/>
    <w:rsid w:val="0079260C"/>
    <w:rsid w:val="0079265D"/>
    <w:rsid w:val="0079275C"/>
    <w:rsid w:val="0079278A"/>
    <w:rsid w:val="007929BC"/>
    <w:rsid w:val="00792BAC"/>
    <w:rsid w:val="00792DB4"/>
    <w:rsid w:val="00792EFB"/>
    <w:rsid w:val="00792FD9"/>
    <w:rsid w:val="00793297"/>
    <w:rsid w:val="0079333C"/>
    <w:rsid w:val="0079334B"/>
    <w:rsid w:val="0079335F"/>
    <w:rsid w:val="00793436"/>
    <w:rsid w:val="0079344D"/>
    <w:rsid w:val="00793590"/>
    <w:rsid w:val="007935AB"/>
    <w:rsid w:val="00793698"/>
    <w:rsid w:val="0079377B"/>
    <w:rsid w:val="00793806"/>
    <w:rsid w:val="00793864"/>
    <w:rsid w:val="00793918"/>
    <w:rsid w:val="00793936"/>
    <w:rsid w:val="00793A11"/>
    <w:rsid w:val="00793A60"/>
    <w:rsid w:val="00793C11"/>
    <w:rsid w:val="00793C93"/>
    <w:rsid w:val="00793D2D"/>
    <w:rsid w:val="00793D94"/>
    <w:rsid w:val="00793DFA"/>
    <w:rsid w:val="00793F26"/>
    <w:rsid w:val="00793FA6"/>
    <w:rsid w:val="00794023"/>
    <w:rsid w:val="007940D7"/>
    <w:rsid w:val="0079424C"/>
    <w:rsid w:val="007942AF"/>
    <w:rsid w:val="007942B6"/>
    <w:rsid w:val="00794327"/>
    <w:rsid w:val="0079437A"/>
    <w:rsid w:val="00794592"/>
    <w:rsid w:val="007945AB"/>
    <w:rsid w:val="00794609"/>
    <w:rsid w:val="0079471E"/>
    <w:rsid w:val="007947B5"/>
    <w:rsid w:val="00794824"/>
    <w:rsid w:val="0079488B"/>
    <w:rsid w:val="007949CF"/>
    <w:rsid w:val="007949E7"/>
    <w:rsid w:val="00794AFA"/>
    <w:rsid w:val="00794B02"/>
    <w:rsid w:val="00794BBA"/>
    <w:rsid w:val="00794BE2"/>
    <w:rsid w:val="00794CCC"/>
    <w:rsid w:val="00794D14"/>
    <w:rsid w:val="00794D19"/>
    <w:rsid w:val="00794D31"/>
    <w:rsid w:val="00794D8A"/>
    <w:rsid w:val="00794DAD"/>
    <w:rsid w:val="00794E3B"/>
    <w:rsid w:val="00794F81"/>
    <w:rsid w:val="00794FA1"/>
    <w:rsid w:val="007950C3"/>
    <w:rsid w:val="007950C9"/>
    <w:rsid w:val="00795268"/>
    <w:rsid w:val="007952EF"/>
    <w:rsid w:val="00795342"/>
    <w:rsid w:val="007953C2"/>
    <w:rsid w:val="00795499"/>
    <w:rsid w:val="007954A5"/>
    <w:rsid w:val="007954C3"/>
    <w:rsid w:val="007954EC"/>
    <w:rsid w:val="0079558A"/>
    <w:rsid w:val="007955AE"/>
    <w:rsid w:val="00795650"/>
    <w:rsid w:val="0079573E"/>
    <w:rsid w:val="007957BB"/>
    <w:rsid w:val="007959D5"/>
    <w:rsid w:val="00795B78"/>
    <w:rsid w:val="00795BE8"/>
    <w:rsid w:val="00795C11"/>
    <w:rsid w:val="00795C5D"/>
    <w:rsid w:val="00795CAF"/>
    <w:rsid w:val="00795CD3"/>
    <w:rsid w:val="00796022"/>
    <w:rsid w:val="00796060"/>
    <w:rsid w:val="007960A4"/>
    <w:rsid w:val="007960D5"/>
    <w:rsid w:val="0079610B"/>
    <w:rsid w:val="0079611C"/>
    <w:rsid w:val="0079612B"/>
    <w:rsid w:val="007961CE"/>
    <w:rsid w:val="00796202"/>
    <w:rsid w:val="0079622D"/>
    <w:rsid w:val="007962B9"/>
    <w:rsid w:val="007962ED"/>
    <w:rsid w:val="007962F8"/>
    <w:rsid w:val="00796315"/>
    <w:rsid w:val="00796347"/>
    <w:rsid w:val="00796478"/>
    <w:rsid w:val="0079650F"/>
    <w:rsid w:val="0079656B"/>
    <w:rsid w:val="00796696"/>
    <w:rsid w:val="007967C8"/>
    <w:rsid w:val="007968BF"/>
    <w:rsid w:val="007968EF"/>
    <w:rsid w:val="00796AAD"/>
    <w:rsid w:val="00796B93"/>
    <w:rsid w:val="00796B94"/>
    <w:rsid w:val="00796CD4"/>
    <w:rsid w:val="00796DB0"/>
    <w:rsid w:val="00796F6F"/>
    <w:rsid w:val="00797082"/>
    <w:rsid w:val="007970D5"/>
    <w:rsid w:val="0079710F"/>
    <w:rsid w:val="007971D4"/>
    <w:rsid w:val="007973E1"/>
    <w:rsid w:val="007974CC"/>
    <w:rsid w:val="0079756A"/>
    <w:rsid w:val="00797570"/>
    <w:rsid w:val="00797589"/>
    <w:rsid w:val="00797610"/>
    <w:rsid w:val="00797740"/>
    <w:rsid w:val="007978DD"/>
    <w:rsid w:val="0079792F"/>
    <w:rsid w:val="00797A45"/>
    <w:rsid w:val="00797B57"/>
    <w:rsid w:val="00797E68"/>
    <w:rsid w:val="00797EE0"/>
    <w:rsid w:val="00797FB3"/>
    <w:rsid w:val="007A0169"/>
    <w:rsid w:val="007A020C"/>
    <w:rsid w:val="007A02E8"/>
    <w:rsid w:val="007A0342"/>
    <w:rsid w:val="007A0362"/>
    <w:rsid w:val="007A053A"/>
    <w:rsid w:val="007A05F2"/>
    <w:rsid w:val="007A0808"/>
    <w:rsid w:val="007A086E"/>
    <w:rsid w:val="007A099E"/>
    <w:rsid w:val="007A0A84"/>
    <w:rsid w:val="007A0B9A"/>
    <w:rsid w:val="007A0C1F"/>
    <w:rsid w:val="007A0C44"/>
    <w:rsid w:val="007A0CB4"/>
    <w:rsid w:val="007A0D09"/>
    <w:rsid w:val="007A0D8A"/>
    <w:rsid w:val="007A0E19"/>
    <w:rsid w:val="007A0E48"/>
    <w:rsid w:val="007A0E8D"/>
    <w:rsid w:val="007A0F68"/>
    <w:rsid w:val="007A0FA1"/>
    <w:rsid w:val="007A108E"/>
    <w:rsid w:val="007A108F"/>
    <w:rsid w:val="007A11CF"/>
    <w:rsid w:val="007A1215"/>
    <w:rsid w:val="007A1248"/>
    <w:rsid w:val="007A12D4"/>
    <w:rsid w:val="007A134D"/>
    <w:rsid w:val="007A13B4"/>
    <w:rsid w:val="007A146F"/>
    <w:rsid w:val="007A14D3"/>
    <w:rsid w:val="007A15B0"/>
    <w:rsid w:val="007A166C"/>
    <w:rsid w:val="007A17A5"/>
    <w:rsid w:val="007A17B4"/>
    <w:rsid w:val="007A1835"/>
    <w:rsid w:val="007A1929"/>
    <w:rsid w:val="007A1BA0"/>
    <w:rsid w:val="007A1C5A"/>
    <w:rsid w:val="007A1E23"/>
    <w:rsid w:val="007A1EEC"/>
    <w:rsid w:val="007A1F03"/>
    <w:rsid w:val="007A1F56"/>
    <w:rsid w:val="007A20BD"/>
    <w:rsid w:val="007A20CA"/>
    <w:rsid w:val="007A21D3"/>
    <w:rsid w:val="007A21F3"/>
    <w:rsid w:val="007A2207"/>
    <w:rsid w:val="007A22BC"/>
    <w:rsid w:val="007A22C0"/>
    <w:rsid w:val="007A22D6"/>
    <w:rsid w:val="007A2313"/>
    <w:rsid w:val="007A2325"/>
    <w:rsid w:val="007A237C"/>
    <w:rsid w:val="007A252D"/>
    <w:rsid w:val="007A25D7"/>
    <w:rsid w:val="007A2654"/>
    <w:rsid w:val="007A27EF"/>
    <w:rsid w:val="007A280C"/>
    <w:rsid w:val="007A280E"/>
    <w:rsid w:val="007A2A81"/>
    <w:rsid w:val="007A2AB6"/>
    <w:rsid w:val="007A2AD4"/>
    <w:rsid w:val="007A2C15"/>
    <w:rsid w:val="007A2C1F"/>
    <w:rsid w:val="007A2DAD"/>
    <w:rsid w:val="007A2F6D"/>
    <w:rsid w:val="007A2FFE"/>
    <w:rsid w:val="007A314D"/>
    <w:rsid w:val="007A3152"/>
    <w:rsid w:val="007A3300"/>
    <w:rsid w:val="007A3304"/>
    <w:rsid w:val="007A3330"/>
    <w:rsid w:val="007A342D"/>
    <w:rsid w:val="007A358D"/>
    <w:rsid w:val="007A359F"/>
    <w:rsid w:val="007A35FF"/>
    <w:rsid w:val="007A3630"/>
    <w:rsid w:val="007A37A6"/>
    <w:rsid w:val="007A3824"/>
    <w:rsid w:val="007A3843"/>
    <w:rsid w:val="007A3944"/>
    <w:rsid w:val="007A3974"/>
    <w:rsid w:val="007A3A82"/>
    <w:rsid w:val="007A3C53"/>
    <w:rsid w:val="007A3D08"/>
    <w:rsid w:val="007A3D90"/>
    <w:rsid w:val="007A3DF3"/>
    <w:rsid w:val="007A3E07"/>
    <w:rsid w:val="007A3F0C"/>
    <w:rsid w:val="007A3F2D"/>
    <w:rsid w:val="007A4130"/>
    <w:rsid w:val="007A413A"/>
    <w:rsid w:val="007A417D"/>
    <w:rsid w:val="007A42A3"/>
    <w:rsid w:val="007A42D7"/>
    <w:rsid w:val="007A4526"/>
    <w:rsid w:val="007A4555"/>
    <w:rsid w:val="007A45B7"/>
    <w:rsid w:val="007A45E4"/>
    <w:rsid w:val="007A465F"/>
    <w:rsid w:val="007A46A3"/>
    <w:rsid w:val="007A46DB"/>
    <w:rsid w:val="007A4823"/>
    <w:rsid w:val="007A486B"/>
    <w:rsid w:val="007A48B4"/>
    <w:rsid w:val="007A4B1E"/>
    <w:rsid w:val="007A4C05"/>
    <w:rsid w:val="007A4C9F"/>
    <w:rsid w:val="007A4CDA"/>
    <w:rsid w:val="007A4D03"/>
    <w:rsid w:val="007A4D55"/>
    <w:rsid w:val="007A4DCA"/>
    <w:rsid w:val="007A4E70"/>
    <w:rsid w:val="007A4FB3"/>
    <w:rsid w:val="007A5009"/>
    <w:rsid w:val="007A501B"/>
    <w:rsid w:val="007A5141"/>
    <w:rsid w:val="007A5242"/>
    <w:rsid w:val="007A52CB"/>
    <w:rsid w:val="007A53C5"/>
    <w:rsid w:val="007A53EF"/>
    <w:rsid w:val="007A54FF"/>
    <w:rsid w:val="007A55F4"/>
    <w:rsid w:val="007A56A9"/>
    <w:rsid w:val="007A5889"/>
    <w:rsid w:val="007A58B7"/>
    <w:rsid w:val="007A5AA1"/>
    <w:rsid w:val="007A5C00"/>
    <w:rsid w:val="007A5C3D"/>
    <w:rsid w:val="007A5C6A"/>
    <w:rsid w:val="007A5D0E"/>
    <w:rsid w:val="007A5D8D"/>
    <w:rsid w:val="007A6001"/>
    <w:rsid w:val="007A61CE"/>
    <w:rsid w:val="007A62A9"/>
    <w:rsid w:val="007A62F5"/>
    <w:rsid w:val="007A6318"/>
    <w:rsid w:val="007A6384"/>
    <w:rsid w:val="007A6395"/>
    <w:rsid w:val="007A6532"/>
    <w:rsid w:val="007A6535"/>
    <w:rsid w:val="007A6591"/>
    <w:rsid w:val="007A65CB"/>
    <w:rsid w:val="007A6889"/>
    <w:rsid w:val="007A68C1"/>
    <w:rsid w:val="007A695D"/>
    <w:rsid w:val="007A69A3"/>
    <w:rsid w:val="007A69D5"/>
    <w:rsid w:val="007A6A2B"/>
    <w:rsid w:val="007A6A31"/>
    <w:rsid w:val="007A6B90"/>
    <w:rsid w:val="007A6CB8"/>
    <w:rsid w:val="007A6EED"/>
    <w:rsid w:val="007A6FB5"/>
    <w:rsid w:val="007A6FFE"/>
    <w:rsid w:val="007A7065"/>
    <w:rsid w:val="007A70BD"/>
    <w:rsid w:val="007A7175"/>
    <w:rsid w:val="007A71BB"/>
    <w:rsid w:val="007A72D6"/>
    <w:rsid w:val="007A72EF"/>
    <w:rsid w:val="007A7433"/>
    <w:rsid w:val="007A743C"/>
    <w:rsid w:val="007A74B0"/>
    <w:rsid w:val="007A76B8"/>
    <w:rsid w:val="007A773B"/>
    <w:rsid w:val="007A7790"/>
    <w:rsid w:val="007A7839"/>
    <w:rsid w:val="007A789E"/>
    <w:rsid w:val="007A78CD"/>
    <w:rsid w:val="007A795A"/>
    <w:rsid w:val="007A79FC"/>
    <w:rsid w:val="007A7B2A"/>
    <w:rsid w:val="007A7BC2"/>
    <w:rsid w:val="007A7C07"/>
    <w:rsid w:val="007A7C10"/>
    <w:rsid w:val="007A7C3C"/>
    <w:rsid w:val="007A7CB3"/>
    <w:rsid w:val="007A7D74"/>
    <w:rsid w:val="007A7EA0"/>
    <w:rsid w:val="007A7EBA"/>
    <w:rsid w:val="007A7ECC"/>
    <w:rsid w:val="007A7F37"/>
    <w:rsid w:val="007B00C1"/>
    <w:rsid w:val="007B020F"/>
    <w:rsid w:val="007B050E"/>
    <w:rsid w:val="007B0517"/>
    <w:rsid w:val="007B05CF"/>
    <w:rsid w:val="007B0626"/>
    <w:rsid w:val="007B06F3"/>
    <w:rsid w:val="007B0739"/>
    <w:rsid w:val="007B0794"/>
    <w:rsid w:val="007B07C2"/>
    <w:rsid w:val="007B07F7"/>
    <w:rsid w:val="007B085D"/>
    <w:rsid w:val="007B08C3"/>
    <w:rsid w:val="007B09F4"/>
    <w:rsid w:val="007B0AC4"/>
    <w:rsid w:val="007B0B29"/>
    <w:rsid w:val="007B0B52"/>
    <w:rsid w:val="007B0B68"/>
    <w:rsid w:val="007B0D3F"/>
    <w:rsid w:val="007B0ED4"/>
    <w:rsid w:val="007B0EFC"/>
    <w:rsid w:val="007B0F53"/>
    <w:rsid w:val="007B0FEF"/>
    <w:rsid w:val="007B101C"/>
    <w:rsid w:val="007B109B"/>
    <w:rsid w:val="007B1101"/>
    <w:rsid w:val="007B124A"/>
    <w:rsid w:val="007B14CC"/>
    <w:rsid w:val="007B155A"/>
    <w:rsid w:val="007B158A"/>
    <w:rsid w:val="007B1621"/>
    <w:rsid w:val="007B1703"/>
    <w:rsid w:val="007B17DA"/>
    <w:rsid w:val="007B1806"/>
    <w:rsid w:val="007B18AA"/>
    <w:rsid w:val="007B18E6"/>
    <w:rsid w:val="007B1AA9"/>
    <w:rsid w:val="007B1AAF"/>
    <w:rsid w:val="007B1B28"/>
    <w:rsid w:val="007B1C86"/>
    <w:rsid w:val="007B1CF0"/>
    <w:rsid w:val="007B1DBA"/>
    <w:rsid w:val="007B1E14"/>
    <w:rsid w:val="007B1F03"/>
    <w:rsid w:val="007B1F27"/>
    <w:rsid w:val="007B21FB"/>
    <w:rsid w:val="007B2375"/>
    <w:rsid w:val="007B2475"/>
    <w:rsid w:val="007B24B3"/>
    <w:rsid w:val="007B2513"/>
    <w:rsid w:val="007B25D2"/>
    <w:rsid w:val="007B25FA"/>
    <w:rsid w:val="007B26D2"/>
    <w:rsid w:val="007B273E"/>
    <w:rsid w:val="007B2894"/>
    <w:rsid w:val="007B29A9"/>
    <w:rsid w:val="007B2CD2"/>
    <w:rsid w:val="007B2D0C"/>
    <w:rsid w:val="007B2EAD"/>
    <w:rsid w:val="007B2FFD"/>
    <w:rsid w:val="007B3022"/>
    <w:rsid w:val="007B30EA"/>
    <w:rsid w:val="007B317B"/>
    <w:rsid w:val="007B31B4"/>
    <w:rsid w:val="007B31D3"/>
    <w:rsid w:val="007B31DB"/>
    <w:rsid w:val="007B326C"/>
    <w:rsid w:val="007B32F2"/>
    <w:rsid w:val="007B330A"/>
    <w:rsid w:val="007B33EA"/>
    <w:rsid w:val="007B3484"/>
    <w:rsid w:val="007B351F"/>
    <w:rsid w:val="007B3522"/>
    <w:rsid w:val="007B353A"/>
    <w:rsid w:val="007B3581"/>
    <w:rsid w:val="007B35CD"/>
    <w:rsid w:val="007B35D3"/>
    <w:rsid w:val="007B3685"/>
    <w:rsid w:val="007B371F"/>
    <w:rsid w:val="007B37DC"/>
    <w:rsid w:val="007B38D1"/>
    <w:rsid w:val="007B38E8"/>
    <w:rsid w:val="007B392E"/>
    <w:rsid w:val="007B39AE"/>
    <w:rsid w:val="007B39DC"/>
    <w:rsid w:val="007B39F6"/>
    <w:rsid w:val="007B3C8E"/>
    <w:rsid w:val="007B3CB7"/>
    <w:rsid w:val="007B3CE7"/>
    <w:rsid w:val="007B3D0F"/>
    <w:rsid w:val="007B3D56"/>
    <w:rsid w:val="007B3DCD"/>
    <w:rsid w:val="007B3DD1"/>
    <w:rsid w:val="007B3EB1"/>
    <w:rsid w:val="007B3F71"/>
    <w:rsid w:val="007B3FD0"/>
    <w:rsid w:val="007B415A"/>
    <w:rsid w:val="007B41CD"/>
    <w:rsid w:val="007B42F2"/>
    <w:rsid w:val="007B449C"/>
    <w:rsid w:val="007B4629"/>
    <w:rsid w:val="007B47FC"/>
    <w:rsid w:val="007B4880"/>
    <w:rsid w:val="007B4897"/>
    <w:rsid w:val="007B49D4"/>
    <w:rsid w:val="007B4A0D"/>
    <w:rsid w:val="007B4A70"/>
    <w:rsid w:val="007B4ADF"/>
    <w:rsid w:val="007B4B13"/>
    <w:rsid w:val="007B4BB5"/>
    <w:rsid w:val="007B4BCF"/>
    <w:rsid w:val="007B4BD7"/>
    <w:rsid w:val="007B4CB7"/>
    <w:rsid w:val="007B4CBD"/>
    <w:rsid w:val="007B4EC4"/>
    <w:rsid w:val="007B4F62"/>
    <w:rsid w:val="007B4F8C"/>
    <w:rsid w:val="007B5157"/>
    <w:rsid w:val="007B519B"/>
    <w:rsid w:val="007B51FD"/>
    <w:rsid w:val="007B52DD"/>
    <w:rsid w:val="007B533A"/>
    <w:rsid w:val="007B5437"/>
    <w:rsid w:val="007B54C9"/>
    <w:rsid w:val="007B54F5"/>
    <w:rsid w:val="007B56D6"/>
    <w:rsid w:val="007B580E"/>
    <w:rsid w:val="007B5838"/>
    <w:rsid w:val="007B59AA"/>
    <w:rsid w:val="007B59B8"/>
    <w:rsid w:val="007B5B5E"/>
    <w:rsid w:val="007B5B88"/>
    <w:rsid w:val="007B5C4D"/>
    <w:rsid w:val="007B5C5C"/>
    <w:rsid w:val="007B5D7C"/>
    <w:rsid w:val="007B5DC8"/>
    <w:rsid w:val="007B5E1D"/>
    <w:rsid w:val="007B6025"/>
    <w:rsid w:val="007B6057"/>
    <w:rsid w:val="007B60A7"/>
    <w:rsid w:val="007B616B"/>
    <w:rsid w:val="007B61DC"/>
    <w:rsid w:val="007B6251"/>
    <w:rsid w:val="007B6272"/>
    <w:rsid w:val="007B62CB"/>
    <w:rsid w:val="007B62F0"/>
    <w:rsid w:val="007B635D"/>
    <w:rsid w:val="007B647D"/>
    <w:rsid w:val="007B6513"/>
    <w:rsid w:val="007B6591"/>
    <w:rsid w:val="007B6668"/>
    <w:rsid w:val="007B6729"/>
    <w:rsid w:val="007B688A"/>
    <w:rsid w:val="007B68BE"/>
    <w:rsid w:val="007B68D3"/>
    <w:rsid w:val="007B6D0A"/>
    <w:rsid w:val="007B6D12"/>
    <w:rsid w:val="007B6D6E"/>
    <w:rsid w:val="007B6D92"/>
    <w:rsid w:val="007B6E21"/>
    <w:rsid w:val="007B6F27"/>
    <w:rsid w:val="007B7008"/>
    <w:rsid w:val="007B7088"/>
    <w:rsid w:val="007B7089"/>
    <w:rsid w:val="007B70A1"/>
    <w:rsid w:val="007B725D"/>
    <w:rsid w:val="007B7315"/>
    <w:rsid w:val="007B74A0"/>
    <w:rsid w:val="007B7593"/>
    <w:rsid w:val="007B76B0"/>
    <w:rsid w:val="007B7849"/>
    <w:rsid w:val="007B78C1"/>
    <w:rsid w:val="007B799F"/>
    <w:rsid w:val="007B79ED"/>
    <w:rsid w:val="007B7A58"/>
    <w:rsid w:val="007B7B05"/>
    <w:rsid w:val="007B7C7C"/>
    <w:rsid w:val="007B7DB6"/>
    <w:rsid w:val="007B7E2D"/>
    <w:rsid w:val="007B7E5E"/>
    <w:rsid w:val="007B7E6D"/>
    <w:rsid w:val="007B7E75"/>
    <w:rsid w:val="007B7F37"/>
    <w:rsid w:val="007B7F3E"/>
    <w:rsid w:val="007C008C"/>
    <w:rsid w:val="007C02BA"/>
    <w:rsid w:val="007C0452"/>
    <w:rsid w:val="007C0510"/>
    <w:rsid w:val="007C054D"/>
    <w:rsid w:val="007C05BD"/>
    <w:rsid w:val="007C062A"/>
    <w:rsid w:val="007C066B"/>
    <w:rsid w:val="007C070D"/>
    <w:rsid w:val="007C0785"/>
    <w:rsid w:val="007C07C0"/>
    <w:rsid w:val="007C085B"/>
    <w:rsid w:val="007C0877"/>
    <w:rsid w:val="007C094D"/>
    <w:rsid w:val="007C0A42"/>
    <w:rsid w:val="007C0A6B"/>
    <w:rsid w:val="007C0C00"/>
    <w:rsid w:val="007C0CB9"/>
    <w:rsid w:val="007C0CCB"/>
    <w:rsid w:val="007C0E19"/>
    <w:rsid w:val="007C0EA0"/>
    <w:rsid w:val="007C0F3C"/>
    <w:rsid w:val="007C1227"/>
    <w:rsid w:val="007C1317"/>
    <w:rsid w:val="007C142E"/>
    <w:rsid w:val="007C1438"/>
    <w:rsid w:val="007C14A8"/>
    <w:rsid w:val="007C14F8"/>
    <w:rsid w:val="007C1515"/>
    <w:rsid w:val="007C156F"/>
    <w:rsid w:val="007C1598"/>
    <w:rsid w:val="007C18AC"/>
    <w:rsid w:val="007C1945"/>
    <w:rsid w:val="007C1B78"/>
    <w:rsid w:val="007C1C4B"/>
    <w:rsid w:val="007C2123"/>
    <w:rsid w:val="007C2258"/>
    <w:rsid w:val="007C228C"/>
    <w:rsid w:val="007C22CC"/>
    <w:rsid w:val="007C22E4"/>
    <w:rsid w:val="007C2368"/>
    <w:rsid w:val="007C236F"/>
    <w:rsid w:val="007C24C1"/>
    <w:rsid w:val="007C2736"/>
    <w:rsid w:val="007C277E"/>
    <w:rsid w:val="007C2818"/>
    <w:rsid w:val="007C2A1B"/>
    <w:rsid w:val="007C2B7D"/>
    <w:rsid w:val="007C2CA4"/>
    <w:rsid w:val="007C2D29"/>
    <w:rsid w:val="007C2E0B"/>
    <w:rsid w:val="007C2EFE"/>
    <w:rsid w:val="007C2F91"/>
    <w:rsid w:val="007C2FAD"/>
    <w:rsid w:val="007C3177"/>
    <w:rsid w:val="007C341C"/>
    <w:rsid w:val="007C348C"/>
    <w:rsid w:val="007C349B"/>
    <w:rsid w:val="007C36AF"/>
    <w:rsid w:val="007C371A"/>
    <w:rsid w:val="007C382F"/>
    <w:rsid w:val="007C3848"/>
    <w:rsid w:val="007C3A0A"/>
    <w:rsid w:val="007C3B39"/>
    <w:rsid w:val="007C3B71"/>
    <w:rsid w:val="007C3B75"/>
    <w:rsid w:val="007C3C31"/>
    <w:rsid w:val="007C3C63"/>
    <w:rsid w:val="007C3CF8"/>
    <w:rsid w:val="007C3E4A"/>
    <w:rsid w:val="007C3E5E"/>
    <w:rsid w:val="007C3E64"/>
    <w:rsid w:val="007C3ED9"/>
    <w:rsid w:val="007C3F26"/>
    <w:rsid w:val="007C3F6B"/>
    <w:rsid w:val="007C3F82"/>
    <w:rsid w:val="007C3F97"/>
    <w:rsid w:val="007C3FF1"/>
    <w:rsid w:val="007C402B"/>
    <w:rsid w:val="007C40C0"/>
    <w:rsid w:val="007C410F"/>
    <w:rsid w:val="007C4171"/>
    <w:rsid w:val="007C4218"/>
    <w:rsid w:val="007C4225"/>
    <w:rsid w:val="007C423C"/>
    <w:rsid w:val="007C4342"/>
    <w:rsid w:val="007C4488"/>
    <w:rsid w:val="007C4569"/>
    <w:rsid w:val="007C45C4"/>
    <w:rsid w:val="007C45D6"/>
    <w:rsid w:val="007C4627"/>
    <w:rsid w:val="007C4660"/>
    <w:rsid w:val="007C4673"/>
    <w:rsid w:val="007C46DA"/>
    <w:rsid w:val="007C470C"/>
    <w:rsid w:val="007C48AD"/>
    <w:rsid w:val="007C493B"/>
    <w:rsid w:val="007C495F"/>
    <w:rsid w:val="007C4AE9"/>
    <w:rsid w:val="007C4CCF"/>
    <w:rsid w:val="007C4D3A"/>
    <w:rsid w:val="007C4E41"/>
    <w:rsid w:val="007C4EAC"/>
    <w:rsid w:val="007C4F98"/>
    <w:rsid w:val="007C5036"/>
    <w:rsid w:val="007C503A"/>
    <w:rsid w:val="007C5065"/>
    <w:rsid w:val="007C5099"/>
    <w:rsid w:val="007C5173"/>
    <w:rsid w:val="007C518E"/>
    <w:rsid w:val="007C52C8"/>
    <w:rsid w:val="007C53EA"/>
    <w:rsid w:val="007C54A5"/>
    <w:rsid w:val="007C54F4"/>
    <w:rsid w:val="007C5621"/>
    <w:rsid w:val="007C56A8"/>
    <w:rsid w:val="007C5850"/>
    <w:rsid w:val="007C5952"/>
    <w:rsid w:val="007C5A51"/>
    <w:rsid w:val="007C5C5F"/>
    <w:rsid w:val="007C5C83"/>
    <w:rsid w:val="007C5F9B"/>
    <w:rsid w:val="007C60DF"/>
    <w:rsid w:val="007C60E1"/>
    <w:rsid w:val="007C6153"/>
    <w:rsid w:val="007C61D7"/>
    <w:rsid w:val="007C6283"/>
    <w:rsid w:val="007C62A4"/>
    <w:rsid w:val="007C62AC"/>
    <w:rsid w:val="007C6335"/>
    <w:rsid w:val="007C639C"/>
    <w:rsid w:val="007C6527"/>
    <w:rsid w:val="007C6531"/>
    <w:rsid w:val="007C65BD"/>
    <w:rsid w:val="007C65FD"/>
    <w:rsid w:val="007C67DE"/>
    <w:rsid w:val="007C6862"/>
    <w:rsid w:val="007C68AA"/>
    <w:rsid w:val="007C68B8"/>
    <w:rsid w:val="007C690B"/>
    <w:rsid w:val="007C6945"/>
    <w:rsid w:val="007C69A3"/>
    <w:rsid w:val="007C69DF"/>
    <w:rsid w:val="007C6A1E"/>
    <w:rsid w:val="007C6A6C"/>
    <w:rsid w:val="007C6ABF"/>
    <w:rsid w:val="007C6C87"/>
    <w:rsid w:val="007C6D5F"/>
    <w:rsid w:val="007C6EE7"/>
    <w:rsid w:val="007C6FED"/>
    <w:rsid w:val="007C702A"/>
    <w:rsid w:val="007C707B"/>
    <w:rsid w:val="007C723F"/>
    <w:rsid w:val="007C731F"/>
    <w:rsid w:val="007C7324"/>
    <w:rsid w:val="007C7373"/>
    <w:rsid w:val="007C73AD"/>
    <w:rsid w:val="007C7454"/>
    <w:rsid w:val="007C74EB"/>
    <w:rsid w:val="007C7554"/>
    <w:rsid w:val="007C75D4"/>
    <w:rsid w:val="007C76F0"/>
    <w:rsid w:val="007C78A7"/>
    <w:rsid w:val="007C791E"/>
    <w:rsid w:val="007C79BF"/>
    <w:rsid w:val="007C79EA"/>
    <w:rsid w:val="007C7B3B"/>
    <w:rsid w:val="007C7B49"/>
    <w:rsid w:val="007C7BD1"/>
    <w:rsid w:val="007C7C13"/>
    <w:rsid w:val="007C7CB0"/>
    <w:rsid w:val="007C7CFB"/>
    <w:rsid w:val="007C7DA1"/>
    <w:rsid w:val="007C7DA4"/>
    <w:rsid w:val="007C7E4E"/>
    <w:rsid w:val="007C7E8A"/>
    <w:rsid w:val="007C7EFA"/>
    <w:rsid w:val="007C7FBB"/>
    <w:rsid w:val="007C7FD9"/>
    <w:rsid w:val="007C7FE4"/>
    <w:rsid w:val="007D0023"/>
    <w:rsid w:val="007D0073"/>
    <w:rsid w:val="007D00C8"/>
    <w:rsid w:val="007D012E"/>
    <w:rsid w:val="007D02B5"/>
    <w:rsid w:val="007D02D4"/>
    <w:rsid w:val="007D03E7"/>
    <w:rsid w:val="007D0467"/>
    <w:rsid w:val="007D046D"/>
    <w:rsid w:val="007D0540"/>
    <w:rsid w:val="007D05E7"/>
    <w:rsid w:val="007D06C1"/>
    <w:rsid w:val="007D0740"/>
    <w:rsid w:val="007D08A1"/>
    <w:rsid w:val="007D08D5"/>
    <w:rsid w:val="007D0923"/>
    <w:rsid w:val="007D09ED"/>
    <w:rsid w:val="007D0B5B"/>
    <w:rsid w:val="007D0B92"/>
    <w:rsid w:val="007D0C57"/>
    <w:rsid w:val="007D0CD0"/>
    <w:rsid w:val="007D0D12"/>
    <w:rsid w:val="007D0E13"/>
    <w:rsid w:val="007D0E99"/>
    <w:rsid w:val="007D0F5B"/>
    <w:rsid w:val="007D1101"/>
    <w:rsid w:val="007D12C8"/>
    <w:rsid w:val="007D16BB"/>
    <w:rsid w:val="007D17DE"/>
    <w:rsid w:val="007D182F"/>
    <w:rsid w:val="007D1A95"/>
    <w:rsid w:val="007D1C90"/>
    <w:rsid w:val="007D1CC6"/>
    <w:rsid w:val="007D1D6F"/>
    <w:rsid w:val="007D1EF7"/>
    <w:rsid w:val="007D1F6E"/>
    <w:rsid w:val="007D1FCD"/>
    <w:rsid w:val="007D203F"/>
    <w:rsid w:val="007D2182"/>
    <w:rsid w:val="007D2196"/>
    <w:rsid w:val="007D2238"/>
    <w:rsid w:val="007D22A6"/>
    <w:rsid w:val="007D23D0"/>
    <w:rsid w:val="007D23DF"/>
    <w:rsid w:val="007D25C5"/>
    <w:rsid w:val="007D2692"/>
    <w:rsid w:val="007D291E"/>
    <w:rsid w:val="007D2999"/>
    <w:rsid w:val="007D29C5"/>
    <w:rsid w:val="007D29DD"/>
    <w:rsid w:val="007D2BCD"/>
    <w:rsid w:val="007D2BE5"/>
    <w:rsid w:val="007D2CA2"/>
    <w:rsid w:val="007D2F0E"/>
    <w:rsid w:val="007D30A1"/>
    <w:rsid w:val="007D3132"/>
    <w:rsid w:val="007D31C7"/>
    <w:rsid w:val="007D31D4"/>
    <w:rsid w:val="007D32C5"/>
    <w:rsid w:val="007D3332"/>
    <w:rsid w:val="007D3369"/>
    <w:rsid w:val="007D339D"/>
    <w:rsid w:val="007D3447"/>
    <w:rsid w:val="007D3480"/>
    <w:rsid w:val="007D34E1"/>
    <w:rsid w:val="007D376B"/>
    <w:rsid w:val="007D379C"/>
    <w:rsid w:val="007D38D8"/>
    <w:rsid w:val="007D3A1C"/>
    <w:rsid w:val="007D3A98"/>
    <w:rsid w:val="007D3C00"/>
    <w:rsid w:val="007D3CC7"/>
    <w:rsid w:val="007D3D2B"/>
    <w:rsid w:val="007D3E36"/>
    <w:rsid w:val="007D3F5F"/>
    <w:rsid w:val="007D404C"/>
    <w:rsid w:val="007D410F"/>
    <w:rsid w:val="007D4190"/>
    <w:rsid w:val="007D424E"/>
    <w:rsid w:val="007D4293"/>
    <w:rsid w:val="007D42B2"/>
    <w:rsid w:val="007D4318"/>
    <w:rsid w:val="007D434E"/>
    <w:rsid w:val="007D436C"/>
    <w:rsid w:val="007D4373"/>
    <w:rsid w:val="007D4529"/>
    <w:rsid w:val="007D4552"/>
    <w:rsid w:val="007D47CD"/>
    <w:rsid w:val="007D4A82"/>
    <w:rsid w:val="007D4C40"/>
    <w:rsid w:val="007D4CF4"/>
    <w:rsid w:val="007D4E1C"/>
    <w:rsid w:val="007D4E43"/>
    <w:rsid w:val="007D4E9E"/>
    <w:rsid w:val="007D4F32"/>
    <w:rsid w:val="007D4F83"/>
    <w:rsid w:val="007D5069"/>
    <w:rsid w:val="007D50EF"/>
    <w:rsid w:val="007D5174"/>
    <w:rsid w:val="007D52D3"/>
    <w:rsid w:val="007D53EF"/>
    <w:rsid w:val="007D5462"/>
    <w:rsid w:val="007D54B1"/>
    <w:rsid w:val="007D54E4"/>
    <w:rsid w:val="007D560B"/>
    <w:rsid w:val="007D5645"/>
    <w:rsid w:val="007D5732"/>
    <w:rsid w:val="007D5739"/>
    <w:rsid w:val="007D57F0"/>
    <w:rsid w:val="007D5850"/>
    <w:rsid w:val="007D58A6"/>
    <w:rsid w:val="007D58A9"/>
    <w:rsid w:val="007D591F"/>
    <w:rsid w:val="007D5930"/>
    <w:rsid w:val="007D5A2B"/>
    <w:rsid w:val="007D5AE4"/>
    <w:rsid w:val="007D5C62"/>
    <w:rsid w:val="007D5D16"/>
    <w:rsid w:val="007D5DE7"/>
    <w:rsid w:val="007D5E18"/>
    <w:rsid w:val="007D5E78"/>
    <w:rsid w:val="007D61E0"/>
    <w:rsid w:val="007D61ED"/>
    <w:rsid w:val="007D62AB"/>
    <w:rsid w:val="007D62D1"/>
    <w:rsid w:val="007D6331"/>
    <w:rsid w:val="007D6338"/>
    <w:rsid w:val="007D6371"/>
    <w:rsid w:val="007D63FC"/>
    <w:rsid w:val="007D64A5"/>
    <w:rsid w:val="007D656F"/>
    <w:rsid w:val="007D6596"/>
    <w:rsid w:val="007D66E4"/>
    <w:rsid w:val="007D6747"/>
    <w:rsid w:val="007D67CA"/>
    <w:rsid w:val="007D67D2"/>
    <w:rsid w:val="007D6A50"/>
    <w:rsid w:val="007D6ADE"/>
    <w:rsid w:val="007D6BD3"/>
    <w:rsid w:val="007D6C5A"/>
    <w:rsid w:val="007D6CB2"/>
    <w:rsid w:val="007D6D2D"/>
    <w:rsid w:val="007D6DB5"/>
    <w:rsid w:val="007D6F48"/>
    <w:rsid w:val="007D715A"/>
    <w:rsid w:val="007D718A"/>
    <w:rsid w:val="007D71A4"/>
    <w:rsid w:val="007D71E2"/>
    <w:rsid w:val="007D736C"/>
    <w:rsid w:val="007D740B"/>
    <w:rsid w:val="007D74B3"/>
    <w:rsid w:val="007D74BE"/>
    <w:rsid w:val="007D7618"/>
    <w:rsid w:val="007D7637"/>
    <w:rsid w:val="007D7763"/>
    <w:rsid w:val="007D780F"/>
    <w:rsid w:val="007D783B"/>
    <w:rsid w:val="007D7A50"/>
    <w:rsid w:val="007D7A5B"/>
    <w:rsid w:val="007D7A7D"/>
    <w:rsid w:val="007D7AD0"/>
    <w:rsid w:val="007D7BC4"/>
    <w:rsid w:val="007D7C74"/>
    <w:rsid w:val="007D7C87"/>
    <w:rsid w:val="007D7DAD"/>
    <w:rsid w:val="007D7EDD"/>
    <w:rsid w:val="007D7F52"/>
    <w:rsid w:val="007D7FDF"/>
    <w:rsid w:val="007E005E"/>
    <w:rsid w:val="007E0074"/>
    <w:rsid w:val="007E00E4"/>
    <w:rsid w:val="007E012A"/>
    <w:rsid w:val="007E014F"/>
    <w:rsid w:val="007E01A6"/>
    <w:rsid w:val="007E02AB"/>
    <w:rsid w:val="007E0347"/>
    <w:rsid w:val="007E039A"/>
    <w:rsid w:val="007E04A0"/>
    <w:rsid w:val="007E059A"/>
    <w:rsid w:val="007E06B4"/>
    <w:rsid w:val="007E0831"/>
    <w:rsid w:val="007E09C5"/>
    <w:rsid w:val="007E0A3B"/>
    <w:rsid w:val="007E0A4D"/>
    <w:rsid w:val="007E0BC4"/>
    <w:rsid w:val="007E0C8D"/>
    <w:rsid w:val="007E0D5F"/>
    <w:rsid w:val="007E0D89"/>
    <w:rsid w:val="007E0DA0"/>
    <w:rsid w:val="007E0E2E"/>
    <w:rsid w:val="007E0E3C"/>
    <w:rsid w:val="007E105A"/>
    <w:rsid w:val="007E1085"/>
    <w:rsid w:val="007E10F6"/>
    <w:rsid w:val="007E1367"/>
    <w:rsid w:val="007E1406"/>
    <w:rsid w:val="007E1439"/>
    <w:rsid w:val="007E154F"/>
    <w:rsid w:val="007E1603"/>
    <w:rsid w:val="007E1681"/>
    <w:rsid w:val="007E16E6"/>
    <w:rsid w:val="007E170B"/>
    <w:rsid w:val="007E177B"/>
    <w:rsid w:val="007E17E9"/>
    <w:rsid w:val="007E1826"/>
    <w:rsid w:val="007E1874"/>
    <w:rsid w:val="007E18A4"/>
    <w:rsid w:val="007E18C9"/>
    <w:rsid w:val="007E18CF"/>
    <w:rsid w:val="007E1A53"/>
    <w:rsid w:val="007E1B2A"/>
    <w:rsid w:val="007E1B7A"/>
    <w:rsid w:val="007E1D6B"/>
    <w:rsid w:val="007E1DEA"/>
    <w:rsid w:val="007E2042"/>
    <w:rsid w:val="007E2185"/>
    <w:rsid w:val="007E21D1"/>
    <w:rsid w:val="007E2236"/>
    <w:rsid w:val="007E22F4"/>
    <w:rsid w:val="007E23B7"/>
    <w:rsid w:val="007E2413"/>
    <w:rsid w:val="007E2492"/>
    <w:rsid w:val="007E2551"/>
    <w:rsid w:val="007E2576"/>
    <w:rsid w:val="007E25EF"/>
    <w:rsid w:val="007E286A"/>
    <w:rsid w:val="007E2992"/>
    <w:rsid w:val="007E29FF"/>
    <w:rsid w:val="007E2A8C"/>
    <w:rsid w:val="007E2B96"/>
    <w:rsid w:val="007E2C2C"/>
    <w:rsid w:val="007E2CA0"/>
    <w:rsid w:val="007E2CCA"/>
    <w:rsid w:val="007E2D48"/>
    <w:rsid w:val="007E2D60"/>
    <w:rsid w:val="007E2DFC"/>
    <w:rsid w:val="007E30F5"/>
    <w:rsid w:val="007E30FF"/>
    <w:rsid w:val="007E31AE"/>
    <w:rsid w:val="007E320C"/>
    <w:rsid w:val="007E32ED"/>
    <w:rsid w:val="007E3313"/>
    <w:rsid w:val="007E3321"/>
    <w:rsid w:val="007E332E"/>
    <w:rsid w:val="007E34B5"/>
    <w:rsid w:val="007E3506"/>
    <w:rsid w:val="007E3530"/>
    <w:rsid w:val="007E358F"/>
    <w:rsid w:val="007E3622"/>
    <w:rsid w:val="007E36A8"/>
    <w:rsid w:val="007E36D9"/>
    <w:rsid w:val="007E3746"/>
    <w:rsid w:val="007E37B3"/>
    <w:rsid w:val="007E37F0"/>
    <w:rsid w:val="007E3823"/>
    <w:rsid w:val="007E38F6"/>
    <w:rsid w:val="007E3A3D"/>
    <w:rsid w:val="007E3A3F"/>
    <w:rsid w:val="007E3AAE"/>
    <w:rsid w:val="007E3BBA"/>
    <w:rsid w:val="007E3E1A"/>
    <w:rsid w:val="007E3E83"/>
    <w:rsid w:val="007E3EA9"/>
    <w:rsid w:val="007E3ECA"/>
    <w:rsid w:val="007E3F21"/>
    <w:rsid w:val="007E3FF8"/>
    <w:rsid w:val="007E40F5"/>
    <w:rsid w:val="007E43BB"/>
    <w:rsid w:val="007E446C"/>
    <w:rsid w:val="007E453B"/>
    <w:rsid w:val="007E455F"/>
    <w:rsid w:val="007E45CC"/>
    <w:rsid w:val="007E45EE"/>
    <w:rsid w:val="007E4621"/>
    <w:rsid w:val="007E4660"/>
    <w:rsid w:val="007E469F"/>
    <w:rsid w:val="007E471F"/>
    <w:rsid w:val="007E47EF"/>
    <w:rsid w:val="007E4BBF"/>
    <w:rsid w:val="007E4C29"/>
    <w:rsid w:val="007E4F09"/>
    <w:rsid w:val="007E4F84"/>
    <w:rsid w:val="007E5037"/>
    <w:rsid w:val="007E50B0"/>
    <w:rsid w:val="007E5133"/>
    <w:rsid w:val="007E517C"/>
    <w:rsid w:val="007E51E8"/>
    <w:rsid w:val="007E5299"/>
    <w:rsid w:val="007E52D4"/>
    <w:rsid w:val="007E5494"/>
    <w:rsid w:val="007E54E4"/>
    <w:rsid w:val="007E5550"/>
    <w:rsid w:val="007E55A4"/>
    <w:rsid w:val="007E55A5"/>
    <w:rsid w:val="007E55C9"/>
    <w:rsid w:val="007E55D5"/>
    <w:rsid w:val="007E5659"/>
    <w:rsid w:val="007E5682"/>
    <w:rsid w:val="007E56DA"/>
    <w:rsid w:val="007E574A"/>
    <w:rsid w:val="007E5761"/>
    <w:rsid w:val="007E587F"/>
    <w:rsid w:val="007E59B0"/>
    <w:rsid w:val="007E5A93"/>
    <w:rsid w:val="007E5B59"/>
    <w:rsid w:val="007E5BDF"/>
    <w:rsid w:val="007E5C41"/>
    <w:rsid w:val="007E5D42"/>
    <w:rsid w:val="007E5F6F"/>
    <w:rsid w:val="007E601B"/>
    <w:rsid w:val="007E6031"/>
    <w:rsid w:val="007E611E"/>
    <w:rsid w:val="007E61A5"/>
    <w:rsid w:val="007E61A8"/>
    <w:rsid w:val="007E61C1"/>
    <w:rsid w:val="007E62AE"/>
    <w:rsid w:val="007E65C6"/>
    <w:rsid w:val="007E66A2"/>
    <w:rsid w:val="007E673D"/>
    <w:rsid w:val="007E678B"/>
    <w:rsid w:val="007E67A9"/>
    <w:rsid w:val="007E67DA"/>
    <w:rsid w:val="007E69E6"/>
    <w:rsid w:val="007E6B53"/>
    <w:rsid w:val="007E6C16"/>
    <w:rsid w:val="007E6C89"/>
    <w:rsid w:val="007E6CED"/>
    <w:rsid w:val="007E6D61"/>
    <w:rsid w:val="007E6DB4"/>
    <w:rsid w:val="007E6E02"/>
    <w:rsid w:val="007E6E57"/>
    <w:rsid w:val="007E70ED"/>
    <w:rsid w:val="007E73F7"/>
    <w:rsid w:val="007E744E"/>
    <w:rsid w:val="007E7465"/>
    <w:rsid w:val="007E74B7"/>
    <w:rsid w:val="007E7559"/>
    <w:rsid w:val="007E75E9"/>
    <w:rsid w:val="007E7676"/>
    <w:rsid w:val="007E7690"/>
    <w:rsid w:val="007E76F5"/>
    <w:rsid w:val="007E793C"/>
    <w:rsid w:val="007E7A47"/>
    <w:rsid w:val="007E7A77"/>
    <w:rsid w:val="007E7B3A"/>
    <w:rsid w:val="007E7C56"/>
    <w:rsid w:val="007E7C7A"/>
    <w:rsid w:val="007E7CAD"/>
    <w:rsid w:val="007E7CCD"/>
    <w:rsid w:val="007E7CDC"/>
    <w:rsid w:val="007E7CFC"/>
    <w:rsid w:val="007E7FC2"/>
    <w:rsid w:val="007F004F"/>
    <w:rsid w:val="007F00C6"/>
    <w:rsid w:val="007F01C5"/>
    <w:rsid w:val="007F01D1"/>
    <w:rsid w:val="007F0434"/>
    <w:rsid w:val="007F06F8"/>
    <w:rsid w:val="007F0862"/>
    <w:rsid w:val="007F08ED"/>
    <w:rsid w:val="007F09B9"/>
    <w:rsid w:val="007F0C1B"/>
    <w:rsid w:val="007F0C25"/>
    <w:rsid w:val="007F0CC5"/>
    <w:rsid w:val="007F0D2C"/>
    <w:rsid w:val="007F0D90"/>
    <w:rsid w:val="007F1022"/>
    <w:rsid w:val="007F10A9"/>
    <w:rsid w:val="007F1234"/>
    <w:rsid w:val="007F1249"/>
    <w:rsid w:val="007F12ED"/>
    <w:rsid w:val="007F1309"/>
    <w:rsid w:val="007F155F"/>
    <w:rsid w:val="007F1630"/>
    <w:rsid w:val="007F1645"/>
    <w:rsid w:val="007F16F2"/>
    <w:rsid w:val="007F1779"/>
    <w:rsid w:val="007F179D"/>
    <w:rsid w:val="007F1AF2"/>
    <w:rsid w:val="007F1B4C"/>
    <w:rsid w:val="007F1C8B"/>
    <w:rsid w:val="007F1D43"/>
    <w:rsid w:val="007F1D52"/>
    <w:rsid w:val="007F1EB0"/>
    <w:rsid w:val="007F1EB6"/>
    <w:rsid w:val="007F1F1A"/>
    <w:rsid w:val="007F1F2C"/>
    <w:rsid w:val="007F1F57"/>
    <w:rsid w:val="007F1F87"/>
    <w:rsid w:val="007F1FD7"/>
    <w:rsid w:val="007F1FE4"/>
    <w:rsid w:val="007F2056"/>
    <w:rsid w:val="007F20BC"/>
    <w:rsid w:val="007F22CF"/>
    <w:rsid w:val="007F22E5"/>
    <w:rsid w:val="007F22E6"/>
    <w:rsid w:val="007F2322"/>
    <w:rsid w:val="007F23D5"/>
    <w:rsid w:val="007F2491"/>
    <w:rsid w:val="007F24F9"/>
    <w:rsid w:val="007F2548"/>
    <w:rsid w:val="007F29F0"/>
    <w:rsid w:val="007F2C8B"/>
    <w:rsid w:val="007F2DE6"/>
    <w:rsid w:val="007F3095"/>
    <w:rsid w:val="007F3195"/>
    <w:rsid w:val="007F3240"/>
    <w:rsid w:val="007F32AB"/>
    <w:rsid w:val="007F368B"/>
    <w:rsid w:val="007F380C"/>
    <w:rsid w:val="007F3830"/>
    <w:rsid w:val="007F383C"/>
    <w:rsid w:val="007F38C0"/>
    <w:rsid w:val="007F3A46"/>
    <w:rsid w:val="007F3B48"/>
    <w:rsid w:val="007F3BE2"/>
    <w:rsid w:val="007F3C18"/>
    <w:rsid w:val="007F3C20"/>
    <w:rsid w:val="007F3C50"/>
    <w:rsid w:val="007F3C93"/>
    <w:rsid w:val="007F3DF3"/>
    <w:rsid w:val="007F3E23"/>
    <w:rsid w:val="007F3E71"/>
    <w:rsid w:val="007F3EC9"/>
    <w:rsid w:val="007F3F64"/>
    <w:rsid w:val="007F3FC2"/>
    <w:rsid w:val="007F41AC"/>
    <w:rsid w:val="007F4200"/>
    <w:rsid w:val="007F4266"/>
    <w:rsid w:val="007F439C"/>
    <w:rsid w:val="007F4585"/>
    <w:rsid w:val="007F4819"/>
    <w:rsid w:val="007F48F0"/>
    <w:rsid w:val="007F4906"/>
    <w:rsid w:val="007F490B"/>
    <w:rsid w:val="007F4972"/>
    <w:rsid w:val="007F4982"/>
    <w:rsid w:val="007F4A06"/>
    <w:rsid w:val="007F4B5D"/>
    <w:rsid w:val="007F4C2D"/>
    <w:rsid w:val="007F4C65"/>
    <w:rsid w:val="007F4CB1"/>
    <w:rsid w:val="007F4F38"/>
    <w:rsid w:val="007F4FCE"/>
    <w:rsid w:val="007F5043"/>
    <w:rsid w:val="007F509D"/>
    <w:rsid w:val="007F50A9"/>
    <w:rsid w:val="007F50C0"/>
    <w:rsid w:val="007F5194"/>
    <w:rsid w:val="007F5208"/>
    <w:rsid w:val="007F5214"/>
    <w:rsid w:val="007F521F"/>
    <w:rsid w:val="007F522F"/>
    <w:rsid w:val="007F524A"/>
    <w:rsid w:val="007F536F"/>
    <w:rsid w:val="007F5381"/>
    <w:rsid w:val="007F5383"/>
    <w:rsid w:val="007F5402"/>
    <w:rsid w:val="007F543C"/>
    <w:rsid w:val="007F548D"/>
    <w:rsid w:val="007F54D3"/>
    <w:rsid w:val="007F5528"/>
    <w:rsid w:val="007F5654"/>
    <w:rsid w:val="007F5749"/>
    <w:rsid w:val="007F57C1"/>
    <w:rsid w:val="007F5885"/>
    <w:rsid w:val="007F58CA"/>
    <w:rsid w:val="007F58EE"/>
    <w:rsid w:val="007F595F"/>
    <w:rsid w:val="007F5A0B"/>
    <w:rsid w:val="007F5A30"/>
    <w:rsid w:val="007F5A8E"/>
    <w:rsid w:val="007F5ADB"/>
    <w:rsid w:val="007F5B4C"/>
    <w:rsid w:val="007F5E47"/>
    <w:rsid w:val="007F5E7C"/>
    <w:rsid w:val="007F6076"/>
    <w:rsid w:val="007F6144"/>
    <w:rsid w:val="007F6204"/>
    <w:rsid w:val="007F62FD"/>
    <w:rsid w:val="007F64C1"/>
    <w:rsid w:val="007F664D"/>
    <w:rsid w:val="007F67E6"/>
    <w:rsid w:val="007F67F0"/>
    <w:rsid w:val="007F691E"/>
    <w:rsid w:val="007F6943"/>
    <w:rsid w:val="007F69D8"/>
    <w:rsid w:val="007F6A00"/>
    <w:rsid w:val="007F6ABF"/>
    <w:rsid w:val="007F6B9B"/>
    <w:rsid w:val="007F6D0A"/>
    <w:rsid w:val="007F6D63"/>
    <w:rsid w:val="007F6EEA"/>
    <w:rsid w:val="007F6F3E"/>
    <w:rsid w:val="007F6F54"/>
    <w:rsid w:val="007F70E9"/>
    <w:rsid w:val="007F7161"/>
    <w:rsid w:val="007F7194"/>
    <w:rsid w:val="007F72C3"/>
    <w:rsid w:val="007F7517"/>
    <w:rsid w:val="007F76BC"/>
    <w:rsid w:val="007F7705"/>
    <w:rsid w:val="007F7742"/>
    <w:rsid w:val="007F77C8"/>
    <w:rsid w:val="007F77DD"/>
    <w:rsid w:val="007F792B"/>
    <w:rsid w:val="007F7A1C"/>
    <w:rsid w:val="007F7ABB"/>
    <w:rsid w:val="007F7AEE"/>
    <w:rsid w:val="007F7C77"/>
    <w:rsid w:val="007F7D6A"/>
    <w:rsid w:val="007F7DF0"/>
    <w:rsid w:val="007F7FDB"/>
    <w:rsid w:val="008000CE"/>
    <w:rsid w:val="0080017C"/>
    <w:rsid w:val="0080026E"/>
    <w:rsid w:val="0080069A"/>
    <w:rsid w:val="008006BA"/>
    <w:rsid w:val="008007E2"/>
    <w:rsid w:val="00800802"/>
    <w:rsid w:val="00800832"/>
    <w:rsid w:val="00800884"/>
    <w:rsid w:val="0080094E"/>
    <w:rsid w:val="008009F5"/>
    <w:rsid w:val="00800C10"/>
    <w:rsid w:val="00800D93"/>
    <w:rsid w:val="00800E21"/>
    <w:rsid w:val="00800E9D"/>
    <w:rsid w:val="00800EBB"/>
    <w:rsid w:val="00800FAC"/>
    <w:rsid w:val="00801009"/>
    <w:rsid w:val="0080102E"/>
    <w:rsid w:val="008010EF"/>
    <w:rsid w:val="008011E8"/>
    <w:rsid w:val="00801283"/>
    <w:rsid w:val="0080145E"/>
    <w:rsid w:val="008014C6"/>
    <w:rsid w:val="0080158D"/>
    <w:rsid w:val="008015B9"/>
    <w:rsid w:val="00801681"/>
    <w:rsid w:val="008016E5"/>
    <w:rsid w:val="0080178E"/>
    <w:rsid w:val="008017F8"/>
    <w:rsid w:val="0080180E"/>
    <w:rsid w:val="0080184C"/>
    <w:rsid w:val="0080184E"/>
    <w:rsid w:val="008018D1"/>
    <w:rsid w:val="00801987"/>
    <w:rsid w:val="00801A70"/>
    <w:rsid w:val="00801B13"/>
    <w:rsid w:val="00801BF6"/>
    <w:rsid w:val="00801C38"/>
    <w:rsid w:val="00801C96"/>
    <w:rsid w:val="00801CC3"/>
    <w:rsid w:val="00801D2F"/>
    <w:rsid w:val="00801E78"/>
    <w:rsid w:val="00801F54"/>
    <w:rsid w:val="00801F64"/>
    <w:rsid w:val="00801F76"/>
    <w:rsid w:val="00801FB8"/>
    <w:rsid w:val="0080205C"/>
    <w:rsid w:val="008020E5"/>
    <w:rsid w:val="008022DA"/>
    <w:rsid w:val="00802497"/>
    <w:rsid w:val="008024A5"/>
    <w:rsid w:val="008024EA"/>
    <w:rsid w:val="008027AC"/>
    <w:rsid w:val="008028DC"/>
    <w:rsid w:val="00802933"/>
    <w:rsid w:val="00802A88"/>
    <w:rsid w:val="00802AF2"/>
    <w:rsid w:val="00802B46"/>
    <w:rsid w:val="00802BD5"/>
    <w:rsid w:val="00802CA4"/>
    <w:rsid w:val="00802CB0"/>
    <w:rsid w:val="00802D73"/>
    <w:rsid w:val="00802E24"/>
    <w:rsid w:val="00802E6B"/>
    <w:rsid w:val="00802E75"/>
    <w:rsid w:val="00802FB6"/>
    <w:rsid w:val="008030A4"/>
    <w:rsid w:val="00803146"/>
    <w:rsid w:val="008031FB"/>
    <w:rsid w:val="00803216"/>
    <w:rsid w:val="00803532"/>
    <w:rsid w:val="00803538"/>
    <w:rsid w:val="00803560"/>
    <w:rsid w:val="00803612"/>
    <w:rsid w:val="0080365A"/>
    <w:rsid w:val="008036BF"/>
    <w:rsid w:val="008037D2"/>
    <w:rsid w:val="00803816"/>
    <w:rsid w:val="0080381D"/>
    <w:rsid w:val="008039EC"/>
    <w:rsid w:val="00803B36"/>
    <w:rsid w:val="00803B7F"/>
    <w:rsid w:val="00803C4F"/>
    <w:rsid w:val="00803DA4"/>
    <w:rsid w:val="00803DEA"/>
    <w:rsid w:val="00803E66"/>
    <w:rsid w:val="00803F8E"/>
    <w:rsid w:val="00804015"/>
    <w:rsid w:val="008040C4"/>
    <w:rsid w:val="008040DD"/>
    <w:rsid w:val="0080411E"/>
    <w:rsid w:val="0080414F"/>
    <w:rsid w:val="0080416E"/>
    <w:rsid w:val="008041E7"/>
    <w:rsid w:val="00804211"/>
    <w:rsid w:val="00804297"/>
    <w:rsid w:val="008043B2"/>
    <w:rsid w:val="008043B9"/>
    <w:rsid w:val="008043D4"/>
    <w:rsid w:val="008043E7"/>
    <w:rsid w:val="008045E2"/>
    <w:rsid w:val="0080486C"/>
    <w:rsid w:val="00804A5B"/>
    <w:rsid w:val="00804B24"/>
    <w:rsid w:val="00804BCE"/>
    <w:rsid w:val="00804C20"/>
    <w:rsid w:val="00804C9D"/>
    <w:rsid w:val="00804D9B"/>
    <w:rsid w:val="00804ED5"/>
    <w:rsid w:val="00804F6E"/>
    <w:rsid w:val="00804FA8"/>
    <w:rsid w:val="0080508C"/>
    <w:rsid w:val="00805337"/>
    <w:rsid w:val="00805341"/>
    <w:rsid w:val="008053B3"/>
    <w:rsid w:val="00805529"/>
    <w:rsid w:val="00805591"/>
    <w:rsid w:val="00805639"/>
    <w:rsid w:val="008056E1"/>
    <w:rsid w:val="00805B9A"/>
    <w:rsid w:val="00805C31"/>
    <w:rsid w:val="00805E95"/>
    <w:rsid w:val="00805E96"/>
    <w:rsid w:val="0080609F"/>
    <w:rsid w:val="00806120"/>
    <w:rsid w:val="00806265"/>
    <w:rsid w:val="00806291"/>
    <w:rsid w:val="00806333"/>
    <w:rsid w:val="0080634A"/>
    <w:rsid w:val="00806356"/>
    <w:rsid w:val="00806394"/>
    <w:rsid w:val="008064AB"/>
    <w:rsid w:val="008064C4"/>
    <w:rsid w:val="008064DD"/>
    <w:rsid w:val="0080670A"/>
    <w:rsid w:val="00806765"/>
    <w:rsid w:val="00806998"/>
    <w:rsid w:val="00806A21"/>
    <w:rsid w:val="00806B1A"/>
    <w:rsid w:val="00806B7D"/>
    <w:rsid w:val="00806BD7"/>
    <w:rsid w:val="00806D8D"/>
    <w:rsid w:val="00806F31"/>
    <w:rsid w:val="00806F3C"/>
    <w:rsid w:val="00806F3F"/>
    <w:rsid w:val="00807008"/>
    <w:rsid w:val="00807043"/>
    <w:rsid w:val="00807156"/>
    <w:rsid w:val="00807399"/>
    <w:rsid w:val="008074CB"/>
    <w:rsid w:val="008075D3"/>
    <w:rsid w:val="008075FC"/>
    <w:rsid w:val="0080776A"/>
    <w:rsid w:val="00807921"/>
    <w:rsid w:val="00807A07"/>
    <w:rsid w:val="00807A0A"/>
    <w:rsid w:val="00807A31"/>
    <w:rsid w:val="00807B28"/>
    <w:rsid w:val="00807B5D"/>
    <w:rsid w:val="00807B99"/>
    <w:rsid w:val="00807BC1"/>
    <w:rsid w:val="00807BD4"/>
    <w:rsid w:val="00807C6D"/>
    <w:rsid w:val="00810064"/>
    <w:rsid w:val="008100BD"/>
    <w:rsid w:val="00810121"/>
    <w:rsid w:val="0081015D"/>
    <w:rsid w:val="008101D7"/>
    <w:rsid w:val="00810221"/>
    <w:rsid w:val="00810227"/>
    <w:rsid w:val="00810250"/>
    <w:rsid w:val="008102D9"/>
    <w:rsid w:val="00810332"/>
    <w:rsid w:val="00810370"/>
    <w:rsid w:val="0081047E"/>
    <w:rsid w:val="0081053C"/>
    <w:rsid w:val="00810736"/>
    <w:rsid w:val="00810860"/>
    <w:rsid w:val="008109A7"/>
    <w:rsid w:val="008109AC"/>
    <w:rsid w:val="00810A9E"/>
    <w:rsid w:val="00810AA7"/>
    <w:rsid w:val="00810AFF"/>
    <w:rsid w:val="00810B32"/>
    <w:rsid w:val="00810C02"/>
    <w:rsid w:val="00810E29"/>
    <w:rsid w:val="00810EA0"/>
    <w:rsid w:val="00810F30"/>
    <w:rsid w:val="00810F60"/>
    <w:rsid w:val="00810F91"/>
    <w:rsid w:val="00811050"/>
    <w:rsid w:val="00811075"/>
    <w:rsid w:val="00811182"/>
    <w:rsid w:val="008111A1"/>
    <w:rsid w:val="00811486"/>
    <w:rsid w:val="008114EF"/>
    <w:rsid w:val="00811539"/>
    <w:rsid w:val="0081155B"/>
    <w:rsid w:val="00811685"/>
    <w:rsid w:val="00811752"/>
    <w:rsid w:val="00811792"/>
    <w:rsid w:val="00811A22"/>
    <w:rsid w:val="00811B99"/>
    <w:rsid w:val="00811C06"/>
    <w:rsid w:val="00811C2D"/>
    <w:rsid w:val="00811CA0"/>
    <w:rsid w:val="00811F34"/>
    <w:rsid w:val="00811F4F"/>
    <w:rsid w:val="00812042"/>
    <w:rsid w:val="008120B7"/>
    <w:rsid w:val="008120F5"/>
    <w:rsid w:val="00812343"/>
    <w:rsid w:val="0081234A"/>
    <w:rsid w:val="00812411"/>
    <w:rsid w:val="008124FB"/>
    <w:rsid w:val="00812708"/>
    <w:rsid w:val="00812903"/>
    <w:rsid w:val="00812B7F"/>
    <w:rsid w:val="00812DA9"/>
    <w:rsid w:val="00812DC0"/>
    <w:rsid w:val="00812DC4"/>
    <w:rsid w:val="00812DC7"/>
    <w:rsid w:val="00812DFB"/>
    <w:rsid w:val="00812E6C"/>
    <w:rsid w:val="00812FD0"/>
    <w:rsid w:val="00813028"/>
    <w:rsid w:val="00813031"/>
    <w:rsid w:val="00813073"/>
    <w:rsid w:val="0081314A"/>
    <w:rsid w:val="008134E8"/>
    <w:rsid w:val="008134EB"/>
    <w:rsid w:val="0081354D"/>
    <w:rsid w:val="0081358C"/>
    <w:rsid w:val="00813691"/>
    <w:rsid w:val="00813876"/>
    <w:rsid w:val="00813909"/>
    <w:rsid w:val="0081392E"/>
    <w:rsid w:val="00813942"/>
    <w:rsid w:val="00813D10"/>
    <w:rsid w:val="00813E15"/>
    <w:rsid w:val="00813E5D"/>
    <w:rsid w:val="00813E74"/>
    <w:rsid w:val="00813EC4"/>
    <w:rsid w:val="00813FBB"/>
    <w:rsid w:val="00813FD8"/>
    <w:rsid w:val="00814163"/>
    <w:rsid w:val="00814219"/>
    <w:rsid w:val="0081421E"/>
    <w:rsid w:val="00814449"/>
    <w:rsid w:val="00814468"/>
    <w:rsid w:val="00814495"/>
    <w:rsid w:val="008144D5"/>
    <w:rsid w:val="008144F8"/>
    <w:rsid w:val="0081458F"/>
    <w:rsid w:val="008146EE"/>
    <w:rsid w:val="0081477F"/>
    <w:rsid w:val="008147D4"/>
    <w:rsid w:val="008147EB"/>
    <w:rsid w:val="00814825"/>
    <w:rsid w:val="0081488E"/>
    <w:rsid w:val="008148F6"/>
    <w:rsid w:val="008149A3"/>
    <w:rsid w:val="008149E9"/>
    <w:rsid w:val="00814A3A"/>
    <w:rsid w:val="00814B56"/>
    <w:rsid w:val="00814B66"/>
    <w:rsid w:val="00814BB7"/>
    <w:rsid w:val="00814C1A"/>
    <w:rsid w:val="00814DA1"/>
    <w:rsid w:val="00814DD2"/>
    <w:rsid w:val="00814EB0"/>
    <w:rsid w:val="0081501A"/>
    <w:rsid w:val="0081503A"/>
    <w:rsid w:val="0081517F"/>
    <w:rsid w:val="00815387"/>
    <w:rsid w:val="0081542E"/>
    <w:rsid w:val="00815476"/>
    <w:rsid w:val="008155AC"/>
    <w:rsid w:val="008155FF"/>
    <w:rsid w:val="008156D0"/>
    <w:rsid w:val="0081575F"/>
    <w:rsid w:val="008157CE"/>
    <w:rsid w:val="008157CF"/>
    <w:rsid w:val="0081583F"/>
    <w:rsid w:val="008158A4"/>
    <w:rsid w:val="00815973"/>
    <w:rsid w:val="00815BEA"/>
    <w:rsid w:val="00815E33"/>
    <w:rsid w:val="00815E45"/>
    <w:rsid w:val="00815F75"/>
    <w:rsid w:val="0081603E"/>
    <w:rsid w:val="008160C0"/>
    <w:rsid w:val="008161C1"/>
    <w:rsid w:val="0081623B"/>
    <w:rsid w:val="00816359"/>
    <w:rsid w:val="0081643E"/>
    <w:rsid w:val="0081643F"/>
    <w:rsid w:val="0081646A"/>
    <w:rsid w:val="00816477"/>
    <w:rsid w:val="0081647C"/>
    <w:rsid w:val="008164B9"/>
    <w:rsid w:val="00816584"/>
    <w:rsid w:val="0081663F"/>
    <w:rsid w:val="008167AB"/>
    <w:rsid w:val="008169F1"/>
    <w:rsid w:val="008169F6"/>
    <w:rsid w:val="008169FE"/>
    <w:rsid w:val="00816B0A"/>
    <w:rsid w:val="00816C77"/>
    <w:rsid w:val="00816CA4"/>
    <w:rsid w:val="00816D55"/>
    <w:rsid w:val="00816E77"/>
    <w:rsid w:val="00816F13"/>
    <w:rsid w:val="00817056"/>
    <w:rsid w:val="0081718E"/>
    <w:rsid w:val="00817255"/>
    <w:rsid w:val="00817275"/>
    <w:rsid w:val="0081744B"/>
    <w:rsid w:val="008175AB"/>
    <w:rsid w:val="00817680"/>
    <w:rsid w:val="008176B2"/>
    <w:rsid w:val="00817769"/>
    <w:rsid w:val="0081779C"/>
    <w:rsid w:val="0081781C"/>
    <w:rsid w:val="0081782D"/>
    <w:rsid w:val="0081788E"/>
    <w:rsid w:val="008178D0"/>
    <w:rsid w:val="00817970"/>
    <w:rsid w:val="008179B7"/>
    <w:rsid w:val="00817A65"/>
    <w:rsid w:val="00817B38"/>
    <w:rsid w:val="00817B98"/>
    <w:rsid w:val="00817BA2"/>
    <w:rsid w:val="00817BBF"/>
    <w:rsid w:val="00817D08"/>
    <w:rsid w:val="00817E76"/>
    <w:rsid w:val="00817E98"/>
    <w:rsid w:val="00817EF3"/>
    <w:rsid w:val="00817EFA"/>
    <w:rsid w:val="00817F3B"/>
    <w:rsid w:val="00817F47"/>
    <w:rsid w:val="00817FC9"/>
    <w:rsid w:val="00820217"/>
    <w:rsid w:val="00820237"/>
    <w:rsid w:val="0082026D"/>
    <w:rsid w:val="008202A7"/>
    <w:rsid w:val="008202E6"/>
    <w:rsid w:val="00820462"/>
    <w:rsid w:val="00820547"/>
    <w:rsid w:val="00820648"/>
    <w:rsid w:val="008206B9"/>
    <w:rsid w:val="00820716"/>
    <w:rsid w:val="00820823"/>
    <w:rsid w:val="00820A06"/>
    <w:rsid w:val="00820AA9"/>
    <w:rsid w:val="00820ACA"/>
    <w:rsid w:val="00820B8C"/>
    <w:rsid w:val="00820CB6"/>
    <w:rsid w:val="00820DB1"/>
    <w:rsid w:val="00820E1E"/>
    <w:rsid w:val="00820EE5"/>
    <w:rsid w:val="0082101E"/>
    <w:rsid w:val="00821103"/>
    <w:rsid w:val="0082121E"/>
    <w:rsid w:val="00821230"/>
    <w:rsid w:val="0082134E"/>
    <w:rsid w:val="0082156D"/>
    <w:rsid w:val="008216EE"/>
    <w:rsid w:val="00821752"/>
    <w:rsid w:val="00821791"/>
    <w:rsid w:val="00821823"/>
    <w:rsid w:val="0082199F"/>
    <w:rsid w:val="00821A09"/>
    <w:rsid w:val="00821C90"/>
    <w:rsid w:val="00821EDB"/>
    <w:rsid w:val="00821F13"/>
    <w:rsid w:val="00821FDE"/>
    <w:rsid w:val="00822222"/>
    <w:rsid w:val="0082247D"/>
    <w:rsid w:val="00822487"/>
    <w:rsid w:val="008227CA"/>
    <w:rsid w:val="008228A8"/>
    <w:rsid w:val="00822A9A"/>
    <w:rsid w:val="00822B09"/>
    <w:rsid w:val="00822B51"/>
    <w:rsid w:val="00822C5A"/>
    <w:rsid w:val="00822EF2"/>
    <w:rsid w:val="0082303E"/>
    <w:rsid w:val="00823169"/>
    <w:rsid w:val="00823277"/>
    <w:rsid w:val="008232AA"/>
    <w:rsid w:val="008232E8"/>
    <w:rsid w:val="008232F6"/>
    <w:rsid w:val="00823381"/>
    <w:rsid w:val="0082338E"/>
    <w:rsid w:val="008234BA"/>
    <w:rsid w:val="008234E3"/>
    <w:rsid w:val="00823537"/>
    <w:rsid w:val="008235FC"/>
    <w:rsid w:val="0082378D"/>
    <w:rsid w:val="0082382B"/>
    <w:rsid w:val="00823851"/>
    <w:rsid w:val="008238E8"/>
    <w:rsid w:val="00823A28"/>
    <w:rsid w:val="00823A4A"/>
    <w:rsid w:val="00823B5D"/>
    <w:rsid w:val="00823C0A"/>
    <w:rsid w:val="00823C8E"/>
    <w:rsid w:val="00823CC9"/>
    <w:rsid w:val="00823E40"/>
    <w:rsid w:val="00823E4B"/>
    <w:rsid w:val="00823EB1"/>
    <w:rsid w:val="00823F5A"/>
    <w:rsid w:val="00823FA6"/>
    <w:rsid w:val="00823FC4"/>
    <w:rsid w:val="00823FE6"/>
    <w:rsid w:val="0082406D"/>
    <w:rsid w:val="008241C5"/>
    <w:rsid w:val="00824251"/>
    <w:rsid w:val="0082431A"/>
    <w:rsid w:val="0082435D"/>
    <w:rsid w:val="00824382"/>
    <w:rsid w:val="00824427"/>
    <w:rsid w:val="008244BF"/>
    <w:rsid w:val="008244C7"/>
    <w:rsid w:val="00824619"/>
    <w:rsid w:val="0082467F"/>
    <w:rsid w:val="008247DC"/>
    <w:rsid w:val="00824828"/>
    <w:rsid w:val="00824839"/>
    <w:rsid w:val="008248DE"/>
    <w:rsid w:val="00824923"/>
    <w:rsid w:val="00824AE7"/>
    <w:rsid w:val="00824B0A"/>
    <w:rsid w:val="00824B16"/>
    <w:rsid w:val="00824C33"/>
    <w:rsid w:val="00824C5F"/>
    <w:rsid w:val="00824CF3"/>
    <w:rsid w:val="00824CF5"/>
    <w:rsid w:val="00824D5F"/>
    <w:rsid w:val="00824DBA"/>
    <w:rsid w:val="00824E21"/>
    <w:rsid w:val="00824F08"/>
    <w:rsid w:val="00824F79"/>
    <w:rsid w:val="008250FE"/>
    <w:rsid w:val="0082521A"/>
    <w:rsid w:val="00825364"/>
    <w:rsid w:val="00825391"/>
    <w:rsid w:val="00825398"/>
    <w:rsid w:val="008253F5"/>
    <w:rsid w:val="008253F9"/>
    <w:rsid w:val="00825436"/>
    <w:rsid w:val="00825646"/>
    <w:rsid w:val="008256C4"/>
    <w:rsid w:val="00825908"/>
    <w:rsid w:val="008259E8"/>
    <w:rsid w:val="00825A22"/>
    <w:rsid w:val="00825BB1"/>
    <w:rsid w:val="00825C30"/>
    <w:rsid w:val="00825C61"/>
    <w:rsid w:val="00825E1B"/>
    <w:rsid w:val="008260E4"/>
    <w:rsid w:val="00826108"/>
    <w:rsid w:val="008263AE"/>
    <w:rsid w:val="008263B6"/>
    <w:rsid w:val="00826493"/>
    <w:rsid w:val="00826517"/>
    <w:rsid w:val="00826519"/>
    <w:rsid w:val="0082652E"/>
    <w:rsid w:val="00826567"/>
    <w:rsid w:val="00826586"/>
    <w:rsid w:val="00826659"/>
    <w:rsid w:val="008266D4"/>
    <w:rsid w:val="0082671C"/>
    <w:rsid w:val="0082697F"/>
    <w:rsid w:val="008269A2"/>
    <w:rsid w:val="00826AD8"/>
    <w:rsid w:val="00826C7D"/>
    <w:rsid w:val="00826CD4"/>
    <w:rsid w:val="00826D55"/>
    <w:rsid w:val="00826DD5"/>
    <w:rsid w:val="00826F42"/>
    <w:rsid w:val="00826F8D"/>
    <w:rsid w:val="00826FA6"/>
    <w:rsid w:val="00827044"/>
    <w:rsid w:val="0082706C"/>
    <w:rsid w:val="008270D3"/>
    <w:rsid w:val="008270F6"/>
    <w:rsid w:val="008271BC"/>
    <w:rsid w:val="0082720F"/>
    <w:rsid w:val="008272AD"/>
    <w:rsid w:val="00827336"/>
    <w:rsid w:val="0082736E"/>
    <w:rsid w:val="008273CD"/>
    <w:rsid w:val="008273E4"/>
    <w:rsid w:val="0082748E"/>
    <w:rsid w:val="00827492"/>
    <w:rsid w:val="0082749A"/>
    <w:rsid w:val="008274D7"/>
    <w:rsid w:val="008274F4"/>
    <w:rsid w:val="0082751A"/>
    <w:rsid w:val="00827566"/>
    <w:rsid w:val="00827602"/>
    <w:rsid w:val="0082762B"/>
    <w:rsid w:val="00827667"/>
    <w:rsid w:val="00827682"/>
    <w:rsid w:val="0082779B"/>
    <w:rsid w:val="008277B7"/>
    <w:rsid w:val="008279CB"/>
    <w:rsid w:val="008279F3"/>
    <w:rsid w:val="00827B4E"/>
    <w:rsid w:val="00827B73"/>
    <w:rsid w:val="00827B89"/>
    <w:rsid w:val="00827E1E"/>
    <w:rsid w:val="00827E87"/>
    <w:rsid w:val="00827F29"/>
    <w:rsid w:val="00827F2A"/>
    <w:rsid w:val="00830133"/>
    <w:rsid w:val="00830269"/>
    <w:rsid w:val="00830351"/>
    <w:rsid w:val="00830448"/>
    <w:rsid w:val="0083045D"/>
    <w:rsid w:val="008304D3"/>
    <w:rsid w:val="008304EF"/>
    <w:rsid w:val="00830509"/>
    <w:rsid w:val="00830580"/>
    <w:rsid w:val="00830587"/>
    <w:rsid w:val="00830591"/>
    <w:rsid w:val="008305FB"/>
    <w:rsid w:val="008306CF"/>
    <w:rsid w:val="00830717"/>
    <w:rsid w:val="0083073D"/>
    <w:rsid w:val="0083074C"/>
    <w:rsid w:val="00830794"/>
    <w:rsid w:val="0083090E"/>
    <w:rsid w:val="00830AED"/>
    <w:rsid w:val="00830BEA"/>
    <w:rsid w:val="00830DB4"/>
    <w:rsid w:val="00830E78"/>
    <w:rsid w:val="008311A3"/>
    <w:rsid w:val="008311E3"/>
    <w:rsid w:val="0083127A"/>
    <w:rsid w:val="0083134D"/>
    <w:rsid w:val="0083135B"/>
    <w:rsid w:val="008313D3"/>
    <w:rsid w:val="008314BE"/>
    <w:rsid w:val="00831512"/>
    <w:rsid w:val="0083155D"/>
    <w:rsid w:val="00831655"/>
    <w:rsid w:val="0083166F"/>
    <w:rsid w:val="00831698"/>
    <w:rsid w:val="00831731"/>
    <w:rsid w:val="00831739"/>
    <w:rsid w:val="008317EC"/>
    <w:rsid w:val="008317F2"/>
    <w:rsid w:val="0083180A"/>
    <w:rsid w:val="0083189A"/>
    <w:rsid w:val="00831944"/>
    <w:rsid w:val="00831AC4"/>
    <w:rsid w:val="00831CB1"/>
    <w:rsid w:val="00831D5D"/>
    <w:rsid w:val="00831E41"/>
    <w:rsid w:val="00831F56"/>
    <w:rsid w:val="00831FCF"/>
    <w:rsid w:val="008320A4"/>
    <w:rsid w:val="00832155"/>
    <w:rsid w:val="00832188"/>
    <w:rsid w:val="008321B4"/>
    <w:rsid w:val="008321DB"/>
    <w:rsid w:val="00832481"/>
    <w:rsid w:val="008324B4"/>
    <w:rsid w:val="008324E9"/>
    <w:rsid w:val="008324EF"/>
    <w:rsid w:val="00832777"/>
    <w:rsid w:val="00832809"/>
    <w:rsid w:val="00832915"/>
    <w:rsid w:val="0083299B"/>
    <w:rsid w:val="008329D4"/>
    <w:rsid w:val="00832BA2"/>
    <w:rsid w:val="00832E3B"/>
    <w:rsid w:val="00832F6B"/>
    <w:rsid w:val="00832FDD"/>
    <w:rsid w:val="008330A1"/>
    <w:rsid w:val="00833269"/>
    <w:rsid w:val="0083327A"/>
    <w:rsid w:val="00833340"/>
    <w:rsid w:val="008333FF"/>
    <w:rsid w:val="0083343A"/>
    <w:rsid w:val="00833446"/>
    <w:rsid w:val="008334DF"/>
    <w:rsid w:val="0083350C"/>
    <w:rsid w:val="0083356E"/>
    <w:rsid w:val="008335AD"/>
    <w:rsid w:val="008336FB"/>
    <w:rsid w:val="008337A5"/>
    <w:rsid w:val="00833938"/>
    <w:rsid w:val="00833A9F"/>
    <w:rsid w:val="00833ACC"/>
    <w:rsid w:val="00833BCE"/>
    <w:rsid w:val="00833BEE"/>
    <w:rsid w:val="00833CCB"/>
    <w:rsid w:val="00833D1B"/>
    <w:rsid w:val="00833E22"/>
    <w:rsid w:val="008341D0"/>
    <w:rsid w:val="008343DA"/>
    <w:rsid w:val="008343F7"/>
    <w:rsid w:val="008344A3"/>
    <w:rsid w:val="008346DB"/>
    <w:rsid w:val="00834992"/>
    <w:rsid w:val="00834A38"/>
    <w:rsid w:val="00834B4B"/>
    <w:rsid w:val="00834B65"/>
    <w:rsid w:val="00834C5E"/>
    <w:rsid w:val="00834D1E"/>
    <w:rsid w:val="00834D97"/>
    <w:rsid w:val="00834DB4"/>
    <w:rsid w:val="00834E03"/>
    <w:rsid w:val="00835071"/>
    <w:rsid w:val="008350A5"/>
    <w:rsid w:val="0083524C"/>
    <w:rsid w:val="008352A1"/>
    <w:rsid w:val="008353CE"/>
    <w:rsid w:val="008353DB"/>
    <w:rsid w:val="00835481"/>
    <w:rsid w:val="0083559A"/>
    <w:rsid w:val="008355EA"/>
    <w:rsid w:val="00835645"/>
    <w:rsid w:val="008356C5"/>
    <w:rsid w:val="008356E9"/>
    <w:rsid w:val="0083581C"/>
    <w:rsid w:val="00835969"/>
    <w:rsid w:val="00835A2C"/>
    <w:rsid w:val="00835ACA"/>
    <w:rsid w:val="00835B43"/>
    <w:rsid w:val="00835BA8"/>
    <w:rsid w:val="00835BAA"/>
    <w:rsid w:val="00835BC2"/>
    <w:rsid w:val="00835C0E"/>
    <w:rsid w:val="00835ED0"/>
    <w:rsid w:val="00835F56"/>
    <w:rsid w:val="0083601E"/>
    <w:rsid w:val="00836090"/>
    <w:rsid w:val="008360B1"/>
    <w:rsid w:val="00836182"/>
    <w:rsid w:val="0083618E"/>
    <w:rsid w:val="00836242"/>
    <w:rsid w:val="0083626B"/>
    <w:rsid w:val="00836447"/>
    <w:rsid w:val="00836487"/>
    <w:rsid w:val="00836497"/>
    <w:rsid w:val="008365B1"/>
    <w:rsid w:val="00836631"/>
    <w:rsid w:val="0083667E"/>
    <w:rsid w:val="0083668B"/>
    <w:rsid w:val="008367C8"/>
    <w:rsid w:val="008369FD"/>
    <w:rsid w:val="00836A3D"/>
    <w:rsid w:val="00836A82"/>
    <w:rsid w:val="00836BF0"/>
    <w:rsid w:val="00836D26"/>
    <w:rsid w:val="00836E18"/>
    <w:rsid w:val="00836E76"/>
    <w:rsid w:val="00836F4B"/>
    <w:rsid w:val="0083712B"/>
    <w:rsid w:val="008371CF"/>
    <w:rsid w:val="008372BA"/>
    <w:rsid w:val="00837483"/>
    <w:rsid w:val="008374A6"/>
    <w:rsid w:val="0083753A"/>
    <w:rsid w:val="0083755C"/>
    <w:rsid w:val="00837629"/>
    <w:rsid w:val="008376CD"/>
    <w:rsid w:val="0083776F"/>
    <w:rsid w:val="008377A8"/>
    <w:rsid w:val="00837A06"/>
    <w:rsid w:val="00837A4B"/>
    <w:rsid w:val="00837B8A"/>
    <w:rsid w:val="00837C12"/>
    <w:rsid w:val="00837C9D"/>
    <w:rsid w:val="00837D0B"/>
    <w:rsid w:val="00837D5A"/>
    <w:rsid w:val="00837DA3"/>
    <w:rsid w:val="00837DF8"/>
    <w:rsid w:val="00837E8E"/>
    <w:rsid w:val="00837F2E"/>
    <w:rsid w:val="00837F5C"/>
    <w:rsid w:val="00837F7D"/>
    <w:rsid w:val="00837F97"/>
    <w:rsid w:val="00840015"/>
    <w:rsid w:val="0084006D"/>
    <w:rsid w:val="008400B9"/>
    <w:rsid w:val="008400FF"/>
    <w:rsid w:val="008401DA"/>
    <w:rsid w:val="008403E3"/>
    <w:rsid w:val="008403E5"/>
    <w:rsid w:val="00840586"/>
    <w:rsid w:val="008405B0"/>
    <w:rsid w:val="00840696"/>
    <w:rsid w:val="008406A6"/>
    <w:rsid w:val="0084070A"/>
    <w:rsid w:val="00840844"/>
    <w:rsid w:val="00840863"/>
    <w:rsid w:val="0084089C"/>
    <w:rsid w:val="008409C4"/>
    <w:rsid w:val="00840A25"/>
    <w:rsid w:val="00840A7E"/>
    <w:rsid w:val="00840AB6"/>
    <w:rsid w:val="00840B2B"/>
    <w:rsid w:val="00840C5F"/>
    <w:rsid w:val="00840C80"/>
    <w:rsid w:val="00840D7B"/>
    <w:rsid w:val="00840D84"/>
    <w:rsid w:val="00840ED1"/>
    <w:rsid w:val="00840F7C"/>
    <w:rsid w:val="008410BA"/>
    <w:rsid w:val="00841137"/>
    <w:rsid w:val="00841144"/>
    <w:rsid w:val="00841190"/>
    <w:rsid w:val="008411CF"/>
    <w:rsid w:val="008412DA"/>
    <w:rsid w:val="0084131C"/>
    <w:rsid w:val="00841324"/>
    <w:rsid w:val="008415A1"/>
    <w:rsid w:val="00841738"/>
    <w:rsid w:val="00841884"/>
    <w:rsid w:val="00841912"/>
    <w:rsid w:val="0084194B"/>
    <w:rsid w:val="00841956"/>
    <w:rsid w:val="0084196A"/>
    <w:rsid w:val="008419FA"/>
    <w:rsid w:val="00841A28"/>
    <w:rsid w:val="00841A9B"/>
    <w:rsid w:val="00841B1D"/>
    <w:rsid w:val="00841B2B"/>
    <w:rsid w:val="00841C11"/>
    <w:rsid w:val="00841E41"/>
    <w:rsid w:val="00841F29"/>
    <w:rsid w:val="00841F62"/>
    <w:rsid w:val="00841F9D"/>
    <w:rsid w:val="00841FBC"/>
    <w:rsid w:val="00841FFA"/>
    <w:rsid w:val="00842004"/>
    <w:rsid w:val="0084200B"/>
    <w:rsid w:val="00842085"/>
    <w:rsid w:val="00842128"/>
    <w:rsid w:val="00842178"/>
    <w:rsid w:val="008421A4"/>
    <w:rsid w:val="008421ED"/>
    <w:rsid w:val="00842312"/>
    <w:rsid w:val="0084239F"/>
    <w:rsid w:val="00842576"/>
    <w:rsid w:val="0084258F"/>
    <w:rsid w:val="008427B0"/>
    <w:rsid w:val="008427C0"/>
    <w:rsid w:val="008427D8"/>
    <w:rsid w:val="008427DA"/>
    <w:rsid w:val="008428A4"/>
    <w:rsid w:val="00842AB2"/>
    <w:rsid w:val="00842B2F"/>
    <w:rsid w:val="00842B36"/>
    <w:rsid w:val="00842B77"/>
    <w:rsid w:val="00842BAA"/>
    <w:rsid w:val="00842CA5"/>
    <w:rsid w:val="00842E15"/>
    <w:rsid w:val="00842EA1"/>
    <w:rsid w:val="00842F25"/>
    <w:rsid w:val="00842F4D"/>
    <w:rsid w:val="00843005"/>
    <w:rsid w:val="00843068"/>
    <w:rsid w:val="00843101"/>
    <w:rsid w:val="00843169"/>
    <w:rsid w:val="00843243"/>
    <w:rsid w:val="00843255"/>
    <w:rsid w:val="0084326A"/>
    <w:rsid w:val="008432A0"/>
    <w:rsid w:val="00843384"/>
    <w:rsid w:val="00843588"/>
    <w:rsid w:val="008435F6"/>
    <w:rsid w:val="00843673"/>
    <w:rsid w:val="00843679"/>
    <w:rsid w:val="0084368D"/>
    <w:rsid w:val="0084370A"/>
    <w:rsid w:val="00843765"/>
    <w:rsid w:val="008437B6"/>
    <w:rsid w:val="0084382A"/>
    <w:rsid w:val="008439AE"/>
    <w:rsid w:val="008439F1"/>
    <w:rsid w:val="00843A54"/>
    <w:rsid w:val="00843AE1"/>
    <w:rsid w:val="00843BE0"/>
    <w:rsid w:val="00843C62"/>
    <w:rsid w:val="00843D15"/>
    <w:rsid w:val="00843F14"/>
    <w:rsid w:val="00843F59"/>
    <w:rsid w:val="00843F95"/>
    <w:rsid w:val="00844087"/>
    <w:rsid w:val="00844139"/>
    <w:rsid w:val="00844274"/>
    <w:rsid w:val="0084429C"/>
    <w:rsid w:val="00844343"/>
    <w:rsid w:val="00844493"/>
    <w:rsid w:val="00844494"/>
    <w:rsid w:val="008444D3"/>
    <w:rsid w:val="008446A7"/>
    <w:rsid w:val="008446DB"/>
    <w:rsid w:val="008446E6"/>
    <w:rsid w:val="008448AF"/>
    <w:rsid w:val="00844A4C"/>
    <w:rsid w:val="00844BAF"/>
    <w:rsid w:val="00844C6F"/>
    <w:rsid w:val="00844CB3"/>
    <w:rsid w:val="00844D46"/>
    <w:rsid w:val="00844D68"/>
    <w:rsid w:val="00844EB0"/>
    <w:rsid w:val="00844F1B"/>
    <w:rsid w:val="00844FC8"/>
    <w:rsid w:val="00845023"/>
    <w:rsid w:val="008451F6"/>
    <w:rsid w:val="00845295"/>
    <w:rsid w:val="008452AC"/>
    <w:rsid w:val="0084538E"/>
    <w:rsid w:val="0084540A"/>
    <w:rsid w:val="00845422"/>
    <w:rsid w:val="00845477"/>
    <w:rsid w:val="00845549"/>
    <w:rsid w:val="008455F6"/>
    <w:rsid w:val="008456A9"/>
    <w:rsid w:val="00845716"/>
    <w:rsid w:val="00845762"/>
    <w:rsid w:val="008458B9"/>
    <w:rsid w:val="0084591B"/>
    <w:rsid w:val="00845A09"/>
    <w:rsid w:val="00845A0E"/>
    <w:rsid w:val="00845BC3"/>
    <w:rsid w:val="00845C21"/>
    <w:rsid w:val="00845C70"/>
    <w:rsid w:val="00845CAC"/>
    <w:rsid w:val="00845CE6"/>
    <w:rsid w:val="00845D9E"/>
    <w:rsid w:val="00845DF6"/>
    <w:rsid w:val="00845E4B"/>
    <w:rsid w:val="00845EF1"/>
    <w:rsid w:val="00845FF4"/>
    <w:rsid w:val="00845FF6"/>
    <w:rsid w:val="00846066"/>
    <w:rsid w:val="008460AD"/>
    <w:rsid w:val="008460B0"/>
    <w:rsid w:val="008462DA"/>
    <w:rsid w:val="0084633F"/>
    <w:rsid w:val="00846439"/>
    <w:rsid w:val="008464CF"/>
    <w:rsid w:val="008464F7"/>
    <w:rsid w:val="00846585"/>
    <w:rsid w:val="008465A4"/>
    <w:rsid w:val="0084668F"/>
    <w:rsid w:val="00846747"/>
    <w:rsid w:val="0084698A"/>
    <w:rsid w:val="008469FB"/>
    <w:rsid w:val="00846A01"/>
    <w:rsid w:val="00846A31"/>
    <w:rsid w:val="00846A79"/>
    <w:rsid w:val="00846AFF"/>
    <w:rsid w:val="00846B67"/>
    <w:rsid w:val="00846B8E"/>
    <w:rsid w:val="00846BAA"/>
    <w:rsid w:val="00846CEA"/>
    <w:rsid w:val="00846D85"/>
    <w:rsid w:val="00846E1C"/>
    <w:rsid w:val="00846E4E"/>
    <w:rsid w:val="00846EBF"/>
    <w:rsid w:val="00846ED1"/>
    <w:rsid w:val="00846FB7"/>
    <w:rsid w:val="008470F4"/>
    <w:rsid w:val="008470FD"/>
    <w:rsid w:val="0084724C"/>
    <w:rsid w:val="008472CD"/>
    <w:rsid w:val="008472E3"/>
    <w:rsid w:val="0084737D"/>
    <w:rsid w:val="00847411"/>
    <w:rsid w:val="008476CC"/>
    <w:rsid w:val="0084772C"/>
    <w:rsid w:val="0084782B"/>
    <w:rsid w:val="008478C4"/>
    <w:rsid w:val="008478EB"/>
    <w:rsid w:val="0084798E"/>
    <w:rsid w:val="008479E6"/>
    <w:rsid w:val="00847AA7"/>
    <w:rsid w:val="00847C53"/>
    <w:rsid w:val="00847C7A"/>
    <w:rsid w:val="00847C8F"/>
    <w:rsid w:val="00847C98"/>
    <w:rsid w:val="00847E3A"/>
    <w:rsid w:val="00847FB7"/>
    <w:rsid w:val="0085002C"/>
    <w:rsid w:val="008500B8"/>
    <w:rsid w:val="008500B9"/>
    <w:rsid w:val="008500BE"/>
    <w:rsid w:val="008500F6"/>
    <w:rsid w:val="00850125"/>
    <w:rsid w:val="0085035A"/>
    <w:rsid w:val="00850365"/>
    <w:rsid w:val="00850430"/>
    <w:rsid w:val="008505BA"/>
    <w:rsid w:val="008505D9"/>
    <w:rsid w:val="00850663"/>
    <w:rsid w:val="00850791"/>
    <w:rsid w:val="008508CF"/>
    <w:rsid w:val="00850916"/>
    <w:rsid w:val="0085094A"/>
    <w:rsid w:val="00850A82"/>
    <w:rsid w:val="00850ACC"/>
    <w:rsid w:val="00850B5E"/>
    <w:rsid w:val="00850D0B"/>
    <w:rsid w:val="00850D54"/>
    <w:rsid w:val="00850E69"/>
    <w:rsid w:val="00850F7F"/>
    <w:rsid w:val="00850FEA"/>
    <w:rsid w:val="00851010"/>
    <w:rsid w:val="0085104E"/>
    <w:rsid w:val="0085109B"/>
    <w:rsid w:val="008511B3"/>
    <w:rsid w:val="00851251"/>
    <w:rsid w:val="008513A0"/>
    <w:rsid w:val="00851418"/>
    <w:rsid w:val="00851761"/>
    <w:rsid w:val="0085179A"/>
    <w:rsid w:val="008518C4"/>
    <w:rsid w:val="008518E4"/>
    <w:rsid w:val="0085195E"/>
    <w:rsid w:val="00851B36"/>
    <w:rsid w:val="00851D07"/>
    <w:rsid w:val="00851D14"/>
    <w:rsid w:val="00851D34"/>
    <w:rsid w:val="00851E1C"/>
    <w:rsid w:val="008520CD"/>
    <w:rsid w:val="00852118"/>
    <w:rsid w:val="00852135"/>
    <w:rsid w:val="0085213E"/>
    <w:rsid w:val="00852174"/>
    <w:rsid w:val="00852198"/>
    <w:rsid w:val="008521C3"/>
    <w:rsid w:val="008522C2"/>
    <w:rsid w:val="008523B2"/>
    <w:rsid w:val="00852462"/>
    <w:rsid w:val="00852513"/>
    <w:rsid w:val="00852532"/>
    <w:rsid w:val="0085259F"/>
    <w:rsid w:val="008525B2"/>
    <w:rsid w:val="008525DC"/>
    <w:rsid w:val="00852676"/>
    <w:rsid w:val="008527D2"/>
    <w:rsid w:val="00852815"/>
    <w:rsid w:val="0085289F"/>
    <w:rsid w:val="0085294D"/>
    <w:rsid w:val="00852A12"/>
    <w:rsid w:val="00852A2E"/>
    <w:rsid w:val="00852B3C"/>
    <w:rsid w:val="00852CE3"/>
    <w:rsid w:val="00852D2B"/>
    <w:rsid w:val="00852D41"/>
    <w:rsid w:val="00852D59"/>
    <w:rsid w:val="00852D9F"/>
    <w:rsid w:val="00852E23"/>
    <w:rsid w:val="0085309C"/>
    <w:rsid w:val="0085319F"/>
    <w:rsid w:val="0085346F"/>
    <w:rsid w:val="0085354C"/>
    <w:rsid w:val="0085370C"/>
    <w:rsid w:val="00853734"/>
    <w:rsid w:val="00853790"/>
    <w:rsid w:val="008538C2"/>
    <w:rsid w:val="00853976"/>
    <w:rsid w:val="00853AD6"/>
    <w:rsid w:val="00853AD8"/>
    <w:rsid w:val="00853BB8"/>
    <w:rsid w:val="00853BBB"/>
    <w:rsid w:val="00853C77"/>
    <w:rsid w:val="00853D8A"/>
    <w:rsid w:val="00853E08"/>
    <w:rsid w:val="00853EA3"/>
    <w:rsid w:val="00853FD3"/>
    <w:rsid w:val="008540C0"/>
    <w:rsid w:val="008540D0"/>
    <w:rsid w:val="0085411F"/>
    <w:rsid w:val="008541E7"/>
    <w:rsid w:val="008543CB"/>
    <w:rsid w:val="00854417"/>
    <w:rsid w:val="00854441"/>
    <w:rsid w:val="00854459"/>
    <w:rsid w:val="0085448B"/>
    <w:rsid w:val="00854517"/>
    <w:rsid w:val="00854574"/>
    <w:rsid w:val="008546AA"/>
    <w:rsid w:val="008546E0"/>
    <w:rsid w:val="008546FE"/>
    <w:rsid w:val="008547A4"/>
    <w:rsid w:val="00854889"/>
    <w:rsid w:val="008548AD"/>
    <w:rsid w:val="008548CC"/>
    <w:rsid w:val="008549BF"/>
    <w:rsid w:val="00854A6A"/>
    <w:rsid w:val="00854A6D"/>
    <w:rsid w:val="00854AAB"/>
    <w:rsid w:val="00854B30"/>
    <w:rsid w:val="00854D2E"/>
    <w:rsid w:val="00854FFC"/>
    <w:rsid w:val="00855013"/>
    <w:rsid w:val="0085506F"/>
    <w:rsid w:val="008551E7"/>
    <w:rsid w:val="0085527F"/>
    <w:rsid w:val="008552F8"/>
    <w:rsid w:val="0085543C"/>
    <w:rsid w:val="00855502"/>
    <w:rsid w:val="00855509"/>
    <w:rsid w:val="0085561C"/>
    <w:rsid w:val="00855681"/>
    <w:rsid w:val="008556D9"/>
    <w:rsid w:val="008556EC"/>
    <w:rsid w:val="0085575D"/>
    <w:rsid w:val="00855767"/>
    <w:rsid w:val="00855780"/>
    <w:rsid w:val="008557D2"/>
    <w:rsid w:val="00855814"/>
    <w:rsid w:val="0085581A"/>
    <w:rsid w:val="00855885"/>
    <w:rsid w:val="008558DC"/>
    <w:rsid w:val="008558F5"/>
    <w:rsid w:val="00855949"/>
    <w:rsid w:val="008559EF"/>
    <w:rsid w:val="00855BA6"/>
    <w:rsid w:val="00855BA7"/>
    <w:rsid w:val="00855C97"/>
    <w:rsid w:val="00855D74"/>
    <w:rsid w:val="00855E4E"/>
    <w:rsid w:val="00855E99"/>
    <w:rsid w:val="00855F5F"/>
    <w:rsid w:val="008560EC"/>
    <w:rsid w:val="0085611D"/>
    <w:rsid w:val="00856152"/>
    <w:rsid w:val="00856170"/>
    <w:rsid w:val="00856232"/>
    <w:rsid w:val="00856304"/>
    <w:rsid w:val="00856312"/>
    <w:rsid w:val="00856600"/>
    <w:rsid w:val="00856618"/>
    <w:rsid w:val="0085665F"/>
    <w:rsid w:val="008566C0"/>
    <w:rsid w:val="008566C6"/>
    <w:rsid w:val="008566D6"/>
    <w:rsid w:val="0085676B"/>
    <w:rsid w:val="0085678C"/>
    <w:rsid w:val="008567BA"/>
    <w:rsid w:val="008567E6"/>
    <w:rsid w:val="008567F1"/>
    <w:rsid w:val="00856882"/>
    <w:rsid w:val="008568F8"/>
    <w:rsid w:val="008569B8"/>
    <w:rsid w:val="00856B11"/>
    <w:rsid w:val="00856B96"/>
    <w:rsid w:val="00856CDA"/>
    <w:rsid w:val="00856DBB"/>
    <w:rsid w:val="00856E19"/>
    <w:rsid w:val="00856E7B"/>
    <w:rsid w:val="00856F18"/>
    <w:rsid w:val="00856F57"/>
    <w:rsid w:val="00856F7E"/>
    <w:rsid w:val="00857084"/>
    <w:rsid w:val="00857156"/>
    <w:rsid w:val="008571F5"/>
    <w:rsid w:val="00857356"/>
    <w:rsid w:val="008573C7"/>
    <w:rsid w:val="0085743F"/>
    <w:rsid w:val="00857460"/>
    <w:rsid w:val="008574CC"/>
    <w:rsid w:val="008575FD"/>
    <w:rsid w:val="00857693"/>
    <w:rsid w:val="0085774B"/>
    <w:rsid w:val="00857A7F"/>
    <w:rsid w:val="00857BAF"/>
    <w:rsid w:val="00857CA4"/>
    <w:rsid w:val="00857CBE"/>
    <w:rsid w:val="00857E39"/>
    <w:rsid w:val="00857E81"/>
    <w:rsid w:val="0086000D"/>
    <w:rsid w:val="00860166"/>
    <w:rsid w:val="008601C1"/>
    <w:rsid w:val="008602F5"/>
    <w:rsid w:val="00860394"/>
    <w:rsid w:val="008603F4"/>
    <w:rsid w:val="00860623"/>
    <w:rsid w:val="0086077E"/>
    <w:rsid w:val="00860922"/>
    <w:rsid w:val="00860934"/>
    <w:rsid w:val="0086097C"/>
    <w:rsid w:val="00860A0B"/>
    <w:rsid w:val="00860A16"/>
    <w:rsid w:val="00860AB5"/>
    <w:rsid w:val="00860B22"/>
    <w:rsid w:val="00860B41"/>
    <w:rsid w:val="00860BA0"/>
    <w:rsid w:val="00860C31"/>
    <w:rsid w:val="00860C47"/>
    <w:rsid w:val="00860D14"/>
    <w:rsid w:val="00860D68"/>
    <w:rsid w:val="00861035"/>
    <w:rsid w:val="008611BD"/>
    <w:rsid w:val="008612B9"/>
    <w:rsid w:val="0086135F"/>
    <w:rsid w:val="008616B7"/>
    <w:rsid w:val="0086170C"/>
    <w:rsid w:val="0086171F"/>
    <w:rsid w:val="00861722"/>
    <w:rsid w:val="00861794"/>
    <w:rsid w:val="0086180B"/>
    <w:rsid w:val="00861AEC"/>
    <w:rsid w:val="00861EB5"/>
    <w:rsid w:val="00861FC5"/>
    <w:rsid w:val="00861FD7"/>
    <w:rsid w:val="0086204C"/>
    <w:rsid w:val="008621BF"/>
    <w:rsid w:val="00862202"/>
    <w:rsid w:val="008622D6"/>
    <w:rsid w:val="00862390"/>
    <w:rsid w:val="00862394"/>
    <w:rsid w:val="00862518"/>
    <w:rsid w:val="00862544"/>
    <w:rsid w:val="008626A3"/>
    <w:rsid w:val="008626DC"/>
    <w:rsid w:val="008626FE"/>
    <w:rsid w:val="00862749"/>
    <w:rsid w:val="0086274A"/>
    <w:rsid w:val="008627C5"/>
    <w:rsid w:val="0086283D"/>
    <w:rsid w:val="00862884"/>
    <w:rsid w:val="00862976"/>
    <w:rsid w:val="00862999"/>
    <w:rsid w:val="008629EA"/>
    <w:rsid w:val="00862A48"/>
    <w:rsid w:val="00862A68"/>
    <w:rsid w:val="00862C3E"/>
    <w:rsid w:val="00862D66"/>
    <w:rsid w:val="00862D6A"/>
    <w:rsid w:val="00862D89"/>
    <w:rsid w:val="00862DC3"/>
    <w:rsid w:val="00862F78"/>
    <w:rsid w:val="00862FB2"/>
    <w:rsid w:val="00863290"/>
    <w:rsid w:val="00863414"/>
    <w:rsid w:val="00863478"/>
    <w:rsid w:val="00863772"/>
    <w:rsid w:val="00863818"/>
    <w:rsid w:val="0086385A"/>
    <w:rsid w:val="00863913"/>
    <w:rsid w:val="00863A46"/>
    <w:rsid w:val="00863B00"/>
    <w:rsid w:val="00863BDF"/>
    <w:rsid w:val="00863BF7"/>
    <w:rsid w:val="00863C15"/>
    <w:rsid w:val="00863DB9"/>
    <w:rsid w:val="00863DE1"/>
    <w:rsid w:val="00863DEA"/>
    <w:rsid w:val="00863E09"/>
    <w:rsid w:val="00863E1C"/>
    <w:rsid w:val="00863E31"/>
    <w:rsid w:val="00863EBF"/>
    <w:rsid w:val="00863F09"/>
    <w:rsid w:val="00863F65"/>
    <w:rsid w:val="00863F68"/>
    <w:rsid w:val="00863FCC"/>
    <w:rsid w:val="0086401F"/>
    <w:rsid w:val="0086406A"/>
    <w:rsid w:val="0086411A"/>
    <w:rsid w:val="008646EC"/>
    <w:rsid w:val="008647B5"/>
    <w:rsid w:val="00864893"/>
    <w:rsid w:val="0086489C"/>
    <w:rsid w:val="008648B1"/>
    <w:rsid w:val="00864A72"/>
    <w:rsid w:val="00864C05"/>
    <w:rsid w:val="00864DCE"/>
    <w:rsid w:val="00864E48"/>
    <w:rsid w:val="00864E83"/>
    <w:rsid w:val="00864EFE"/>
    <w:rsid w:val="00864FF0"/>
    <w:rsid w:val="0086504F"/>
    <w:rsid w:val="0086540A"/>
    <w:rsid w:val="008656B8"/>
    <w:rsid w:val="0086570F"/>
    <w:rsid w:val="0086577C"/>
    <w:rsid w:val="0086578E"/>
    <w:rsid w:val="008657D7"/>
    <w:rsid w:val="008658E6"/>
    <w:rsid w:val="008659B9"/>
    <w:rsid w:val="008659F5"/>
    <w:rsid w:val="00865A1B"/>
    <w:rsid w:val="00865D3E"/>
    <w:rsid w:val="00865D62"/>
    <w:rsid w:val="00865D8C"/>
    <w:rsid w:val="00865DB6"/>
    <w:rsid w:val="00865DD0"/>
    <w:rsid w:val="00865E3E"/>
    <w:rsid w:val="00865E82"/>
    <w:rsid w:val="00865ECE"/>
    <w:rsid w:val="008660DC"/>
    <w:rsid w:val="0086611B"/>
    <w:rsid w:val="0086618B"/>
    <w:rsid w:val="00866218"/>
    <w:rsid w:val="0086626C"/>
    <w:rsid w:val="00866323"/>
    <w:rsid w:val="00866344"/>
    <w:rsid w:val="00866360"/>
    <w:rsid w:val="00866484"/>
    <w:rsid w:val="00866493"/>
    <w:rsid w:val="00866506"/>
    <w:rsid w:val="008665A2"/>
    <w:rsid w:val="008665F9"/>
    <w:rsid w:val="008667A0"/>
    <w:rsid w:val="00866823"/>
    <w:rsid w:val="0086690D"/>
    <w:rsid w:val="00866A47"/>
    <w:rsid w:val="00866A4F"/>
    <w:rsid w:val="00866A8E"/>
    <w:rsid w:val="00866AD6"/>
    <w:rsid w:val="00866B5B"/>
    <w:rsid w:val="00866C0D"/>
    <w:rsid w:val="00866EB5"/>
    <w:rsid w:val="00866F0D"/>
    <w:rsid w:val="00867018"/>
    <w:rsid w:val="008670AE"/>
    <w:rsid w:val="008670C4"/>
    <w:rsid w:val="008670F3"/>
    <w:rsid w:val="00867179"/>
    <w:rsid w:val="0086724E"/>
    <w:rsid w:val="008673BB"/>
    <w:rsid w:val="008674B7"/>
    <w:rsid w:val="008674DC"/>
    <w:rsid w:val="00867505"/>
    <w:rsid w:val="00867515"/>
    <w:rsid w:val="00867541"/>
    <w:rsid w:val="00867856"/>
    <w:rsid w:val="00867888"/>
    <w:rsid w:val="00867AEA"/>
    <w:rsid w:val="00867AEF"/>
    <w:rsid w:val="00867B41"/>
    <w:rsid w:val="00867C03"/>
    <w:rsid w:val="00867C2D"/>
    <w:rsid w:val="00867C3D"/>
    <w:rsid w:val="00867F1E"/>
    <w:rsid w:val="00867FA5"/>
    <w:rsid w:val="00870112"/>
    <w:rsid w:val="00870183"/>
    <w:rsid w:val="008701DB"/>
    <w:rsid w:val="0087043C"/>
    <w:rsid w:val="008704D8"/>
    <w:rsid w:val="008705D1"/>
    <w:rsid w:val="0087062D"/>
    <w:rsid w:val="00870657"/>
    <w:rsid w:val="00870781"/>
    <w:rsid w:val="008707E7"/>
    <w:rsid w:val="0087081D"/>
    <w:rsid w:val="0087089F"/>
    <w:rsid w:val="0087093C"/>
    <w:rsid w:val="008709E8"/>
    <w:rsid w:val="00870AA2"/>
    <w:rsid w:val="00870B4B"/>
    <w:rsid w:val="00870BEB"/>
    <w:rsid w:val="00870C2A"/>
    <w:rsid w:val="00870C7C"/>
    <w:rsid w:val="00870D65"/>
    <w:rsid w:val="00870DAF"/>
    <w:rsid w:val="00870EB8"/>
    <w:rsid w:val="00870EBD"/>
    <w:rsid w:val="00870FC9"/>
    <w:rsid w:val="00871079"/>
    <w:rsid w:val="00871188"/>
    <w:rsid w:val="00871215"/>
    <w:rsid w:val="00871239"/>
    <w:rsid w:val="0087140D"/>
    <w:rsid w:val="00871466"/>
    <w:rsid w:val="0087148A"/>
    <w:rsid w:val="00871520"/>
    <w:rsid w:val="00871595"/>
    <w:rsid w:val="008715DA"/>
    <w:rsid w:val="0087161B"/>
    <w:rsid w:val="008716A7"/>
    <w:rsid w:val="00871718"/>
    <w:rsid w:val="00871722"/>
    <w:rsid w:val="00871753"/>
    <w:rsid w:val="008717BA"/>
    <w:rsid w:val="008717F1"/>
    <w:rsid w:val="008718DD"/>
    <w:rsid w:val="0087194A"/>
    <w:rsid w:val="0087196C"/>
    <w:rsid w:val="00871AF5"/>
    <w:rsid w:val="00871BD0"/>
    <w:rsid w:val="00871C27"/>
    <w:rsid w:val="00871CAD"/>
    <w:rsid w:val="00871CF0"/>
    <w:rsid w:val="00871DAF"/>
    <w:rsid w:val="00871EB9"/>
    <w:rsid w:val="00871F7E"/>
    <w:rsid w:val="00871FBA"/>
    <w:rsid w:val="00872137"/>
    <w:rsid w:val="00872165"/>
    <w:rsid w:val="008721D7"/>
    <w:rsid w:val="008722E2"/>
    <w:rsid w:val="00872441"/>
    <w:rsid w:val="00872464"/>
    <w:rsid w:val="00872465"/>
    <w:rsid w:val="0087276B"/>
    <w:rsid w:val="0087285D"/>
    <w:rsid w:val="00872A45"/>
    <w:rsid w:val="00872A8F"/>
    <w:rsid w:val="00872C29"/>
    <w:rsid w:val="00872C4E"/>
    <w:rsid w:val="00872D96"/>
    <w:rsid w:val="00872E60"/>
    <w:rsid w:val="00872EB1"/>
    <w:rsid w:val="00872F64"/>
    <w:rsid w:val="00872F79"/>
    <w:rsid w:val="00872F94"/>
    <w:rsid w:val="00872FC9"/>
    <w:rsid w:val="00872FF8"/>
    <w:rsid w:val="0087307E"/>
    <w:rsid w:val="00873139"/>
    <w:rsid w:val="0087313F"/>
    <w:rsid w:val="008732B2"/>
    <w:rsid w:val="008733D3"/>
    <w:rsid w:val="00873461"/>
    <w:rsid w:val="00873465"/>
    <w:rsid w:val="00873504"/>
    <w:rsid w:val="008736A1"/>
    <w:rsid w:val="008736FB"/>
    <w:rsid w:val="00873779"/>
    <w:rsid w:val="0087392A"/>
    <w:rsid w:val="008739BD"/>
    <w:rsid w:val="00873AA8"/>
    <w:rsid w:val="00873CAF"/>
    <w:rsid w:val="00873D40"/>
    <w:rsid w:val="00873DE4"/>
    <w:rsid w:val="00873F8B"/>
    <w:rsid w:val="00874131"/>
    <w:rsid w:val="00874153"/>
    <w:rsid w:val="00874214"/>
    <w:rsid w:val="00874273"/>
    <w:rsid w:val="008742A6"/>
    <w:rsid w:val="008743FF"/>
    <w:rsid w:val="00874462"/>
    <w:rsid w:val="00874508"/>
    <w:rsid w:val="00874511"/>
    <w:rsid w:val="008745CB"/>
    <w:rsid w:val="008745F9"/>
    <w:rsid w:val="0087474F"/>
    <w:rsid w:val="008747BB"/>
    <w:rsid w:val="008748A9"/>
    <w:rsid w:val="008748FF"/>
    <w:rsid w:val="00874991"/>
    <w:rsid w:val="008749C0"/>
    <w:rsid w:val="00874AFB"/>
    <w:rsid w:val="00874B0B"/>
    <w:rsid w:val="00874BC1"/>
    <w:rsid w:val="00874C45"/>
    <w:rsid w:val="00874C52"/>
    <w:rsid w:val="00874C95"/>
    <w:rsid w:val="00874CBB"/>
    <w:rsid w:val="00874CBC"/>
    <w:rsid w:val="00874DFC"/>
    <w:rsid w:val="00874E98"/>
    <w:rsid w:val="00874EE9"/>
    <w:rsid w:val="00874F90"/>
    <w:rsid w:val="008750C2"/>
    <w:rsid w:val="00875108"/>
    <w:rsid w:val="0087528E"/>
    <w:rsid w:val="00875306"/>
    <w:rsid w:val="008757A2"/>
    <w:rsid w:val="00875854"/>
    <w:rsid w:val="00875863"/>
    <w:rsid w:val="008759C2"/>
    <w:rsid w:val="00875A42"/>
    <w:rsid w:val="00875A7F"/>
    <w:rsid w:val="00875A92"/>
    <w:rsid w:val="00875A94"/>
    <w:rsid w:val="00875B41"/>
    <w:rsid w:val="00875B4E"/>
    <w:rsid w:val="00875BCE"/>
    <w:rsid w:val="00875C07"/>
    <w:rsid w:val="00875C7E"/>
    <w:rsid w:val="00875C80"/>
    <w:rsid w:val="00875E0F"/>
    <w:rsid w:val="00875EB4"/>
    <w:rsid w:val="00875EF6"/>
    <w:rsid w:val="00875FC7"/>
    <w:rsid w:val="0087613A"/>
    <w:rsid w:val="0087618C"/>
    <w:rsid w:val="008761C2"/>
    <w:rsid w:val="00876325"/>
    <w:rsid w:val="00876438"/>
    <w:rsid w:val="00876463"/>
    <w:rsid w:val="008764DD"/>
    <w:rsid w:val="00876515"/>
    <w:rsid w:val="00876537"/>
    <w:rsid w:val="00876580"/>
    <w:rsid w:val="008766D8"/>
    <w:rsid w:val="00876733"/>
    <w:rsid w:val="00876A72"/>
    <w:rsid w:val="00876AC3"/>
    <w:rsid w:val="00876B55"/>
    <w:rsid w:val="00876B68"/>
    <w:rsid w:val="00876BE8"/>
    <w:rsid w:val="00876D0C"/>
    <w:rsid w:val="00876DB4"/>
    <w:rsid w:val="00876DB9"/>
    <w:rsid w:val="00876E0B"/>
    <w:rsid w:val="00876EAD"/>
    <w:rsid w:val="00876EFD"/>
    <w:rsid w:val="00876F82"/>
    <w:rsid w:val="00876F9C"/>
    <w:rsid w:val="00876FAC"/>
    <w:rsid w:val="00876FAE"/>
    <w:rsid w:val="00876FFE"/>
    <w:rsid w:val="0087703E"/>
    <w:rsid w:val="008770BB"/>
    <w:rsid w:val="008770F5"/>
    <w:rsid w:val="008772B4"/>
    <w:rsid w:val="008772FA"/>
    <w:rsid w:val="00877391"/>
    <w:rsid w:val="008774FF"/>
    <w:rsid w:val="00877623"/>
    <w:rsid w:val="00877628"/>
    <w:rsid w:val="00877663"/>
    <w:rsid w:val="00877733"/>
    <w:rsid w:val="00877850"/>
    <w:rsid w:val="008778E6"/>
    <w:rsid w:val="00877902"/>
    <w:rsid w:val="008779CF"/>
    <w:rsid w:val="00877B3C"/>
    <w:rsid w:val="00877C5B"/>
    <w:rsid w:val="00877F10"/>
    <w:rsid w:val="0088004F"/>
    <w:rsid w:val="00880097"/>
    <w:rsid w:val="008800BB"/>
    <w:rsid w:val="0088021C"/>
    <w:rsid w:val="008802EC"/>
    <w:rsid w:val="00880303"/>
    <w:rsid w:val="0088036D"/>
    <w:rsid w:val="00880571"/>
    <w:rsid w:val="00880572"/>
    <w:rsid w:val="00880595"/>
    <w:rsid w:val="00880650"/>
    <w:rsid w:val="008806A3"/>
    <w:rsid w:val="008806C2"/>
    <w:rsid w:val="00880720"/>
    <w:rsid w:val="00880764"/>
    <w:rsid w:val="00880801"/>
    <w:rsid w:val="0088083F"/>
    <w:rsid w:val="00880860"/>
    <w:rsid w:val="0088088A"/>
    <w:rsid w:val="008808A8"/>
    <w:rsid w:val="008808D2"/>
    <w:rsid w:val="008808E3"/>
    <w:rsid w:val="00880A63"/>
    <w:rsid w:val="00880A68"/>
    <w:rsid w:val="00880BAA"/>
    <w:rsid w:val="00880C81"/>
    <w:rsid w:val="00880E2F"/>
    <w:rsid w:val="00880FC3"/>
    <w:rsid w:val="0088114B"/>
    <w:rsid w:val="008811FC"/>
    <w:rsid w:val="00881315"/>
    <w:rsid w:val="0088137A"/>
    <w:rsid w:val="008813AC"/>
    <w:rsid w:val="008813B9"/>
    <w:rsid w:val="008813C7"/>
    <w:rsid w:val="008813F8"/>
    <w:rsid w:val="00881481"/>
    <w:rsid w:val="0088150E"/>
    <w:rsid w:val="00881533"/>
    <w:rsid w:val="008815D1"/>
    <w:rsid w:val="0088163F"/>
    <w:rsid w:val="00881729"/>
    <w:rsid w:val="0088174B"/>
    <w:rsid w:val="00881755"/>
    <w:rsid w:val="008817BE"/>
    <w:rsid w:val="008817D4"/>
    <w:rsid w:val="008817F0"/>
    <w:rsid w:val="0088182A"/>
    <w:rsid w:val="008819FE"/>
    <w:rsid w:val="00881AA3"/>
    <w:rsid w:val="00881C7E"/>
    <w:rsid w:val="00881CB7"/>
    <w:rsid w:val="00881E97"/>
    <w:rsid w:val="00881EA0"/>
    <w:rsid w:val="00882116"/>
    <w:rsid w:val="0088213C"/>
    <w:rsid w:val="0088217D"/>
    <w:rsid w:val="00882194"/>
    <w:rsid w:val="008822A1"/>
    <w:rsid w:val="008824AF"/>
    <w:rsid w:val="008824C0"/>
    <w:rsid w:val="00882562"/>
    <w:rsid w:val="00882576"/>
    <w:rsid w:val="0088262A"/>
    <w:rsid w:val="0088263C"/>
    <w:rsid w:val="0088269F"/>
    <w:rsid w:val="00882745"/>
    <w:rsid w:val="0088279E"/>
    <w:rsid w:val="0088282B"/>
    <w:rsid w:val="0088290D"/>
    <w:rsid w:val="00882920"/>
    <w:rsid w:val="00882928"/>
    <w:rsid w:val="008829DD"/>
    <w:rsid w:val="00882A3A"/>
    <w:rsid w:val="00882AE0"/>
    <w:rsid w:val="00882B88"/>
    <w:rsid w:val="00882C17"/>
    <w:rsid w:val="00882CE1"/>
    <w:rsid w:val="00882EC0"/>
    <w:rsid w:val="00882EE9"/>
    <w:rsid w:val="0088300B"/>
    <w:rsid w:val="0088323F"/>
    <w:rsid w:val="008832E8"/>
    <w:rsid w:val="0088338B"/>
    <w:rsid w:val="008833F4"/>
    <w:rsid w:val="008834E7"/>
    <w:rsid w:val="008834F9"/>
    <w:rsid w:val="00883558"/>
    <w:rsid w:val="008835D5"/>
    <w:rsid w:val="008836EA"/>
    <w:rsid w:val="0088370E"/>
    <w:rsid w:val="00883734"/>
    <w:rsid w:val="008837C5"/>
    <w:rsid w:val="00883888"/>
    <w:rsid w:val="008838C0"/>
    <w:rsid w:val="00883ACF"/>
    <w:rsid w:val="00883C78"/>
    <w:rsid w:val="00883CEF"/>
    <w:rsid w:val="00883D0E"/>
    <w:rsid w:val="00883D24"/>
    <w:rsid w:val="00883E00"/>
    <w:rsid w:val="00883E83"/>
    <w:rsid w:val="00883F4C"/>
    <w:rsid w:val="00883F64"/>
    <w:rsid w:val="00884085"/>
    <w:rsid w:val="008840DC"/>
    <w:rsid w:val="00884148"/>
    <w:rsid w:val="008841CF"/>
    <w:rsid w:val="00884244"/>
    <w:rsid w:val="00884336"/>
    <w:rsid w:val="00884483"/>
    <w:rsid w:val="008844E6"/>
    <w:rsid w:val="00884611"/>
    <w:rsid w:val="008846A1"/>
    <w:rsid w:val="008847EE"/>
    <w:rsid w:val="00884855"/>
    <w:rsid w:val="008848E1"/>
    <w:rsid w:val="008849EC"/>
    <w:rsid w:val="00884A0F"/>
    <w:rsid w:val="00884A2E"/>
    <w:rsid w:val="00884BA2"/>
    <w:rsid w:val="00884CCE"/>
    <w:rsid w:val="00884E4A"/>
    <w:rsid w:val="00884E85"/>
    <w:rsid w:val="00884F0E"/>
    <w:rsid w:val="0088507F"/>
    <w:rsid w:val="00885111"/>
    <w:rsid w:val="00885190"/>
    <w:rsid w:val="0088526C"/>
    <w:rsid w:val="00885426"/>
    <w:rsid w:val="00885496"/>
    <w:rsid w:val="008854BA"/>
    <w:rsid w:val="008854DC"/>
    <w:rsid w:val="00885555"/>
    <w:rsid w:val="0088560E"/>
    <w:rsid w:val="008856A6"/>
    <w:rsid w:val="008856C5"/>
    <w:rsid w:val="0088593B"/>
    <w:rsid w:val="00885ABB"/>
    <w:rsid w:val="00885B1C"/>
    <w:rsid w:val="00885C08"/>
    <w:rsid w:val="00885C46"/>
    <w:rsid w:val="00885DD7"/>
    <w:rsid w:val="00885DEC"/>
    <w:rsid w:val="00885E64"/>
    <w:rsid w:val="00885EDD"/>
    <w:rsid w:val="00885F8E"/>
    <w:rsid w:val="008861F6"/>
    <w:rsid w:val="0088628D"/>
    <w:rsid w:val="00886490"/>
    <w:rsid w:val="008865A1"/>
    <w:rsid w:val="00886612"/>
    <w:rsid w:val="00886678"/>
    <w:rsid w:val="008866B8"/>
    <w:rsid w:val="0088673B"/>
    <w:rsid w:val="0088687B"/>
    <w:rsid w:val="00886995"/>
    <w:rsid w:val="00886A0F"/>
    <w:rsid w:val="00886BA7"/>
    <w:rsid w:val="00886BC4"/>
    <w:rsid w:val="00886BC5"/>
    <w:rsid w:val="00886E59"/>
    <w:rsid w:val="00887050"/>
    <w:rsid w:val="008870A2"/>
    <w:rsid w:val="00887278"/>
    <w:rsid w:val="0088738A"/>
    <w:rsid w:val="008876FC"/>
    <w:rsid w:val="00887774"/>
    <w:rsid w:val="008877A9"/>
    <w:rsid w:val="0088788B"/>
    <w:rsid w:val="00887900"/>
    <w:rsid w:val="008879F3"/>
    <w:rsid w:val="00887A92"/>
    <w:rsid w:val="00887B14"/>
    <w:rsid w:val="00887C90"/>
    <w:rsid w:val="00887CBA"/>
    <w:rsid w:val="00887E82"/>
    <w:rsid w:val="00887F70"/>
    <w:rsid w:val="00890016"/>
    <w:rsid w:val="00890045"/>
    <w:rsid w:val="00890230"/>
    <w:rsid w:val="0089025E"/>
    <w:rsid w:val="0089026A"/>
    <w:rsid w:val="0089026B"/>
    <w:rsid w:val="008902FB"/>
    <w:rsid w:val="00890334"/>
    <w:rsid w:val="00890348"/>
    <w:rsid w:val="00890377"/>
    <w:rsid w:val="0089038B"/>
    <w:rsid w:val="008903FC"/>
    <w:rsid w:val="0089043A"/>
    <w:rsid w:val="0089046A"/>
    <w:rsid w:val="008904D1"/>
    <w:rsid w:val="008905D9"/>
    <w:rsid w:val="008905EF"/>
    <w:rsid w:val="00890638"/>
    <w:rsid w:val="00890651"/>
    <w:rsid w:val="008906A9"/>
    <w:rsid w:val="008907F8"/>
    <w:rsid w:val="00890887"/>
    <w:rsid w:val="008908FE"/>
    <w:rsid w:val="00890AAF"/>
    <w:rsid w:val="00890B27"/>
    <w:rsid w:val="00890B6B"/>
    <w:rsid w:val="00890D2A"/>
    <w:rsid w:val="00890D9B"/>
    <w:rsid w:val="00890DE5"/>
    <w:rsid w:val="00890E6A"/>
    <w:rsid w:val="00890E8E"/>
    <w:rsid w:val="00890EFF"/>
    <w:rsid w:val="008910DC"/>
    <w:rsid w:val="00891134"/>
    <w:rsid w:val="00891174"/>
    <w:rsid w:val="008911F1"/>
    <w:rsid w:val="00891212"/>
    <w:rsid w:val="00891224"/>
    <w:rsid w:val="008912C3"/>
    <w:rsid w:val="008913FA"/>
    <w:rsid w:val="008914FC"/>
    <w:rsid w:val="00891539"/>
    <w:rsid w:val="0089161E"/>
    <w:rsid w:val="00891692"/>
    <w:rsid w:val="0089174A"/>
    <w:rsid w:val="008918C9"/>
    <w:rsid w:val="00891964"/>
    <w:rsid w:val="00891984"/>
    <w:rsid w:val="00891ACF"/>
    <w:rsid w:val="00891B33"/>
    <w:rsid w:val="00891B64"/>
    <w:rsid w:val="00891C8E"/>
    <w:rsid w:val="00891CF4"/>
    <w:rsid w:val="00891E17"/>
    <w:rsid w:val="00891EC7"/>
    <w:rsid w:val="00892040"/>
    <w:rsid w:val="00892098"/>
    <w:rsid w:val="008920A7"/>
    <w:rsid w:val="00892125"/>
    <w:rsid w:val="00892154"/>
    <w:rsid w:val="00892295"/>
    <w:rsid w:val="0089240D"/>
    <w:rsid w:val="008924A6"/>
    <w:rsid w:val="00892609"/>
    <w:rsid w:val="00892689"/>
    <w:rsid w:val="00892723"/>
    <w:rsid w:val="00892728"/>
    <w:rsid w:val="0089272F"/>
    <w:rsid w:val="0089273A"/>
    <w:rsid w:val="0089275E"/>
    <w:rsid w:val="008927A2"/>
    <w:rsid w:val="0089282D"/>
    <w:rsid w:val="00892886"/>
    <w:rsid w:val="00892A07"/>
    <w:rsid w:val="00892A80"/>
    <w:rsid w:val="00892B83"/>
    <w:rsid w:val="00892BCC"/>
    <w:rsid w:val="00892CAB"/>
    <w:rsid w:val="00892E9B"/>
    <w:rsid w:val="00892EFC"/>
    <w:rsid w:val="00893081"/>
    <w:rsid w:val="00893165"/>
    <w:rsid w:val="00893495"/>
    <w:rsid w:val="008934EA"/>
    <w:rsid w:val="0089371A"/>
    <w:rsid w:val="00893728"/>
    <w:rsid w:val="008937DF"/>
    <w:rsid w:val="00893803"/>
    <w:rsid w:val="00893848"/>
    <w:rsid w:val="00893866"/>
    <w:rsid w:val="0089389D"/>
    <w:rsid w:val="008938D6"/>
    <w:rsid w:val="0089392F"/>
    <w:rsid w:val="0089396F"/>
    <w:rsid w:val="00893B63"/>
    <w:rsid w:val="00893BA7"/>
    <w:rsid w:val="00893C87"/>
    <w:rsid w:val="00893D24"/>
    <w:rsid w:val="00893DB2"/>
    <w:rsid w:val="00893F96"/>
    <w:rsid w:val="00894051"/>
    <w:rsid w:val="00894079"/>
    <w:rsid w:val="008940CB"/>
    <w:rsid w:val="00894126"/>
    <w:rsid w:val="00894128"/>
    <w:rsid w:val="00894351"/>
    <w:rsid w:val="0089438F"/>
    <w:rsid w:val="008943C7"/>
    <w:rsid w:val="008943D4"/>
    <w:rsid w:val="008943F8"/>
    <w:rsid w:val="00894458"/>
    <w:rsid w:val="008944AF"/>
    <w:rsid w:val="00894658"/>
    <w:rsid w:val="008946A8"/>
    <w:rsid w:val="00894779"/>
    <w:rsid w:val="00894881"/>
    <w:rsid w:val="00894923"/>
    <w:rsid w:val="008949D8"/>
    <w:rsid w:val="008949F3"/>
    <w:rsid w:val="00894A0D"/>
    <w:rsid w:val="00894D41"/>
    <w:rsid w:val="00894D64"/>
    <w:rsid w:val="00894D80"/>
    <w:rsid w:val="00894D9D"/>
    <w:rsid w:val="00894DBC"/>
    <w:rsid w:val="00894E75"/>
    <w:rsid w:val="00894F6E"/>
    <w:rsid w:val="00895091"/>
    <w:rsid w:val="00895291"/>
    <w:rsid w:val="00895434"/>
    <w:rsid w:val="0089543E"/>
    <w:rsid w:val="00895447"/>
    <w:rsid w:val="0089557A"/>
    <w:rsid w:val="008955A5"/>
    <w:rsid w:val="00895637"/>
    <w:rsid w:val="00895690"/>
    <w:rsid w:val="0089569C"/>
    <w:rsid w:val="008956BF"/>
    <w:rsid w:val="00895798"/>
    <w:rsid w:val="00895800"/>
    <w:rsid w:val="00895A2C"/>
    <w:rsid w:val="00895ADD"/>
    <w:rsid w:val="00895B46"/>
    <w:rsid w:val="00895B7D"/>
    <w:rsid w:val="00895B91"/>
    <w:rsid w:val="00895BAC"/>
    <w:rsid w:val="00895BC2"/>
    <w:rsid w:val="00895C5C"/>
    <w:rsid w:val="00895CAB"/>
    <w:rsid w:val="00895E88"/>
    <w:rsid w:val="00895F22"/>
    <w:rsid w:val="00895FCC"/>
    <w:rsid w:val="008961AF"/>
    <w:rsid w:val="008961E9"/>
    <w:rsid w:val="0089622D"/>
    <w:rsid w:val="008966D4"/>
    <w:rsid w:val="008967A1"/>
    <w:rsid w:val="008967E1"/>
    <w:rsid w:val="00896808"/>
    <w:rsid w:val="00896954"/>
    <w:rsid w:val="00896982"/>
    <w:rsid w:val="00896A9F"/>
    <w:rsid w:val="00896AAA"/>
    <w:rsid w:val="00896ABE"/>
    <w:rsid w:val="00896AC6"/>
    <w:rsid w:val="00896B3F"/>
    <w:rsid w:val="00896BB5"/>
    <w:rsid w:val="00896BBB"/>
    <w:rsid w:val="00896C26"/>
    <w:rsid w:val="00896CB4"/>
    <w:rsid w:val="00896D6B"/>
    <w:rsid w:val="00896E32"/>
    <w:rsid w:val="00896E78"/>
    <w:rsid w:val="00896F7D"/>
    <w:rsid w:val="008972D5"/>
    <w:rsid w:val="008972ED"/>
    <w:rsid w:val="00897376"/>
    <w:rsid w:val="00897392"/>
    <w:rsid w:val="00897400"/>
    <w:rsid w:val="00897405"/>
    <w:rsid w:val="0089745D"/>
    <w:rsid w:val="008974F3"/>
    <w:rsid w:val="00897542"/>
    <w:rsid w:val="00897631"/>
    <w:rsid w:val="0089764E"/>
    <w:rsid w:val="008978D2"/>
    <w:rsid w:val="0089796D"/>
    <w:rsid w:val="008979A9"/>
    <w:rsid w:val="00897AA9"/>
    <w:rsid w:val="00897AEA"/>
    <w:rsid w:val="00897AFC"/>
    <w:rsid w:val="00897B96"/>
    <w:rsid w:val="00897D2F"/>
    <w:rsid w:val="00897D6D"/>
    <w:rsid w:val="00897F0E"/>
    <w:rsid w:val="00897FE2"/>
    <w:rsid w:val="00897FE3"/>
    <w:rsid w:val="008A0222"/>
    <w:rsid w:val="008A024A"/>
    <w:rsid w:val="008A0294"/>
    <w:rsid w:val="008A039F"/>
    <w:rsid w:val="008A047E"/>
    <w:rsid w:val="008A04C9"/>
    <w:rsid w:val="008A050E"/>
    <w:rsid w:val="008A0644"/>
    <w:rsid w:val="008A07A6"/>
    <w:rsid w:val="008A080B"/>
    <w:rsid w:val="008A0A8F"/>
    <w:rsid w:val="008A0B74"/>
    <w:rsid w:val="008A0C26"/>
    <w:rsid w:val="008A0C53"/>
    <w:rsid w:val="008A0C57"/>
    <w:rsid w:val="008A0C93"/>
    <w:rsid w:val="008A0D7D"/>
    <w:rsid w:val="008A0FAA"/>
    <w:rsid w:val="008A0FBE"/>
    <w:rsid w:val="008A10AC"/>
    <w:rsid w:val="008A1104"/>
    <w:rsid w:val="008A11AA"/>
    <w:rsid w:val="008A11F5"/>
    <w:rsid w:val="008A126F"/>
    <w:rsid w:val="008A1337"/>
    <w:rsid w:val="008A1477"/>
    <w:rsid w:val="008A151A"/>
    <w:rsid w:val="008A1564"/>
    <w:rsid w:val="008A159D"/>
    <w:rsid w:val="008A1731"/>
    <w:rsid w:val="008A17A8"/>
    <w:rsid w:val="008A18BC"/>
    <w:rsid w:val="008A19AD"/>
    <w:rsid w:val="008A19E0"/>
    <w:rsid w:val="008A1A15"/>
    <w:rsid w:val="008A1A67"/>
    <w:rsid w:val="008A1A98"/>
    <w:rsid w:val="008A1ABB"/>
    <w:rsid w:val="008A1B2F"/>
    <w:rsid w:val="008A1B97"/>
    <w:rsid w:val="008A1BF8"/>
    <w:rsid w:val="008A1C29"/>
    <w:rsid w:val="008A1C77"/>
    <w:rsid w:val="008A1D9E"/>
    <w:rsid w:val="008A1DD8"/>
    <w:rsid w:val="008A1DE6"/>
    <w:rsid w:val="008A1DF5"/>
    <w:rsid w:val="008A1E77"/>
    <w:rsid w:val="008A1ECE"/>
    <w:rsid w:val="008A1F47"/>
    <w:rsid w:val="008A1F59"/>
    <w:rsid w:val="008A1FA5"/>
    <w:rsid w:val="008A20DC"/>
    <w:rsid w:val="008A21D1"/>
    <w:rsid w:val="008A21D8"/>
    <w:rsid w:val="008A21E0"/>
    <w:rsid w:val="008A2202"/>
    <w:rsid w:val="008A221E"/>
    <w:rsid w:val="008A2308"/>
    <w:rsid w:val="008A2439"/>
    <w:rsid w:val="008A25AE"/>
    <w:rsid w:val="008A2655"/>
    <w:rsid w:val="008A2681"/>
    <w:rsid w:val="008A27AE"/>
    <w:rsid w:val="008A2806"/>
    <w:rsid w:val="008A283D"/>
    <w:rsid w:val="008A2979"/>
    <w:rsid w:val="008A2A08"/>
    <w:rsid w:val="008A2A57"/>
    <w:rsid w:val="008A2A84"/>
    <w:rsid w:val="008A2C24"/>
    <w:rsid w:val="008A2CFB"/>
    <w:rsid w:val="008A2D0E"/>
    <w:rsid w:val="008A2DD6"/>
    <w:rsid w:val="008A2E98"/>
    <w:rsid w:val="008A2FC0"/>
    <w:rsid w:val="008A311D"/>
    <w:rsid w:val="008A31E6"/>
    <w:rsid w:val="008A32A1"/>
    <w:rsid w:val="008A339C"/>
    <w:rsid w:val="008A3529"/>
    <w:rsid w:val="008A3590"/>
    <w:rsid w:val="008A366C"/>
    <w:rsid w:val="008A36ED"/>
    <w:rsid w:val="008A389E"/>
    <w:rsid w:val="008A38DD"/>
    <w:rsid w:val="008A392E"/>
    <w:rsid w:val="008A3966"/>
    <w:rsid w:val="008A3C71"/>
    <w:rsid w:val="008A3D99"/>
    <w:rsid w:val="008A3DB1"/>
    <w:rsid w:val="008A3F8B"/>
    <w:rsid w:val="008A4045"/>
    <w:rsid w:val="008A4062"/>
    <w:rsid w:val="008A40C2"/>
    <w:rsid w:val="008A40D2"/>
    <w:rsid w:val="008A425D"/>
    <w:rsid w:val="008A444E"/>
    <w:rsid w:val="008A4644"/>
    <w:rsid w:val="008A46E2"/>
    <w:rsid w:val="008A4718"/>
    <w:rsid w:val="008A4747"/>
    <w:rsid w:val="008A47AC"/>
    <w:rsid w:val="008A47AE"/>
    <w:rsid w:val="008A49EF"/>
    <w:rsid w:val="008A4AA2"/>
    <w:rsid w:val="008A4C4A"/>
    <w:rsid w:val="008A4C6A"/>
    <w:rsid w:val="008A4EC2"/>
    <w:rsid w:val="008A4F48"/>
    <w:rsid w:val="008A4F4D"/>
    <w:rsid w:val="008A4F9B"/>
    <w:rsid w:val="008A510D"/>
    <w:rsid w:val="008A5201"/>
    <w:rsid w:val="008A5254"/>
    <w:rsid w:val="008A5257"/>
    <w:rsid w:val="008A5293"/>
    <w:rsid w:val="008A5301"/>
    <w:rsid w:val="008A5507"/>
    <w:rsid w:val="008A55CB"/>
    <w:rsid w:val="008A5616"/>
    <w:rsid w:val="008A5637"/>
    <w:rsid w:val="008A573B"/>
    <w:rsid w:val="008A57A8"/>
    <w:rsid w:val="008A5837"/>
    <w:rsid w:val="008A5845"/>
    <w:rsid w:val="008A5972"/>
    <w:rsid w:val="008A5A95"/>
    <w:rsid w:val="008A5AF9"/>
    <w:rsid w:val="008A5B51"/>
    <w:rsid w:val="008A5BDC"/>
    <w:rsid w:val="008A5C29"/>
    <w:rsid w:val="008A5C32"/>
    <w:rsid w:val="008A5CE5"/>
    <w:rsid w:val="008A5DB2"/>
    <w:rsid w:val="008A5EA0"/>
    <w:rsid w:val="008A5FB6"/>
    <w:rsid w:val="008A60D0"/>
    <w:rsid w:val="008A6137"/>
    <w:rsid w:val="008A6147"/>
    <w:rsid w:val="008A61F3"/>
    <w:rsid w:val="008A61F7"/>
    <w:rsid w:val="008A6449"/>
    <w:rsid w:val="008A65B9"/>
    <w:rsid w:val="008A6725"/>
    <w:rsid w:val="008A6768"/>
    <w:rsid w:val="008A677F"/>
    <w:rsid w:val="008A68C6"/>
    <w:rsid w:val="008A68C8"/>
    <w:rsid w:val="008A6ADB"/>
    <w:rsid w:val="008A6B1A"/>
    <w:rsid w:val="008A6BAE"/>
    <w:rsid w:val="008A6C66"/>
    <w:rsid w:val="008A6C9F"/>
    <w:rsid w:val="008A6CFF"/>
    <w:rsid w:val="008A6F32"/>
    <w:rsid w:val="008A7374"/>
    <w:rsid w:val="008A73E0"/>
    <w:rsid w:val="008A74CE"/>
    <w:rsid w:val="008A74E2"/>
    <w:rsid w:val="008A7592"/>
    <w:rsid w:val="008A7644"/>
    <w:rsid w:val="008A76F3"/>
    <w:rsid w:val="008A77EC"/>
    <w:rsid w:val="008A788D"/>
    <w:rsid w:val="008A7904"/>
    <w:rsid w:val="008A798E"/>
    <w:rsid w:val="008A7A4F"/>
    <w:rsid w:val="008A7BAF"/>
    <w:rsid w:val="008A7C4B"/>
    <w:rsid w:val="008A7CD9"/>
    <w:rsid w:val="008A7D95"/>
    <w:rsid w:val="008A7E67"/>
    <w:rsid w:val="008A7EE3"/>
    <w:rsid w:val="008A7F2F"/>
    <w:rsid w:val="008B0021"/>
    <w:rsid w:val="008B01F6"/>
    <w:rsid w:val="008B0221"/>
    <w:rsid w:val="008B0238"/>
    <w:rsid w:val="008B0388"/>
    <w:rsid w:val="008B04E4"/>
    <w:rsid w:val="008B04F1"/>
    <w:rsid w:val="008B0730"/>
    <w:rsid w:val="008B0737"/>
    <w:rsid w:val="008B0741"/>
    <w:rsid w:val="008B081A"/>
    <w:rsid w:val="008B08BC"/>
    <w:rsid w:val="008B0928"/>
    <w:rsid w:val="008B09AF"/>
    <w:rsid w:val="008B0B4A"/>
    <w:rsid w:val="008B0C08"/>
    <w:rsid w:val="008B0CC8"/>
    <w:rsid w:val="008B0DB0"/>
    <w:rsid w:val="008B0FEF"/>
    <w:rsid w:val="008B1265"/>
    <w:rsid w:val="008B12E0"/>
    <w:rsid w:val="008B133E"/>
    <w:rsid w:val="008B1388"/>
    <w:rsid w:val="008B13C2"/>
    <w:rsid w:val="008B1474"/>
    <w:rsid w:val="008B14A5"/>
    <w:rsid w:val="008B15D9"/>
    <w:rsid w:val="008B15F0"/>
    <w:rsid w:val="008B165F"/>
    <w:rsid w:val="008B16D1"/>
    <w:rsid w:val="008B16F9"/>
    <w:rsid w:val="008B1762"/>
    <w:rsid w:val="008B17DF"/>
    <w:rsid w:val="008B1859"/>
    <w:rsid w:val="008B1876"/>
    <w:rsid w:val="008B18A9"/>
    <w:rsid w:val="008B1B67"/>
    <w:rsid w:val="008B1B94"/>
    <w:rsid w:val="008B1B95"/>
    <w:rsid w:val="008B1B9E"/>
    <w:rsid w:val="008B1BC2"/>
    <w:rsid w:val="008B1CC7"/>
    <w:rsid w:val="008B1CFD"/>
    <w:rsid w:val="008B1D12"/>
    <w:rsid w:val="008B20B3"/>
    <w:rsid w:val="008B2156"/>
    <w:rsid w:val="008B22CF"/>
    <w:rsid w:val="008B23AB"/>
    <w:rsid w:val="008B2439"/>
    <w:rsid w:val="008B253C"/>
    <w:rsid w:val="008B25C6"/>
    <w:rsid w:val="008B282D"/>
    <w:rsid w:val="008B2879"/>
    <w:rsid w:val="008B288E"/>
    <w:rsid w:val="008B2920"/>
    <w:rsid w:val="008B296E"/>
    <w:rsid w:val="008B2A02"/>
    <w:rsid w:val="008B2BF1"/>
    <w:rsid w:val="008B2BFA"/>
    <w:rsid w:val="008B2BFD"/>
    <w:rsid w:val="008B2CBA"/>
    <w:rsid w:val="008B2D22"/>
    <w:rsid w:val="008B2D85"/>
    <w:rsid w:val="008B2DE0"/>
    <w:rsid w:val="008B2E39"/>
    <w:rsid w:val="008B2F91"/>
    <w:rsid w:val="008B2F93"/>
    <w:rsid w:val="008B2FE9"/>
    <w:rsid w:val="008B3057"/>
    <w:rsid w:val="008B3082"/>
    <w:rsid w:val="008B30E6"/>
    <w:rsid w:val="008B314A"/>
    <w:rsid w:val="008B3217"/>
    <w:rsid w:val="008B3300"/>
    <w:rsid w:val="008B333C"/>
    <w:rsid w:val="008B334B"/>
    <w:rsid w:val="008B3388"/>
    <w:rsid w:val="008B33C5"/>
    <w:rsid w:val="008B3402"/>
    <w:rsid w:val="008B3403"/>
    <w:rsid w:val="008B3420"/>
    <w:rsid w:val="008B342E"/>
    <w:rsid w:val="008B3634"/>
    <w:rsid w:val="008B36FD"/>
    <w:rsid w:val="008B3729"/>
    <w:rsid w:val="008B3749"/>
    <w:rsid w:val="008B3896"/>
    <w:rsid w:val="008B396E"/>
    <w:rsid w:val="008B39B9"/>
    <w:rsid w:val="008B39C8"/>
    <w:rsid w:val="008B3AAE"/>
    <w:rsid w:val="008B3C04"/>
    <w:rsid w:val="008B3C4A"/>
    <w:rsid w:val="008B3C5A"/>
    <w:rsid w:val="008B3D7B"/>
    <w:rsid w:val="008B3D87"/>
    <w:rsid w:val="008B3E2A"/>
    <w:rsid w:val="008B3E5B"/>
    <w:rsid w:val="008B3FC9"/>
    <w:rsid w:val="008B4002"/>
    <w:rsid w:val="008B402B"/>
    <w:rsid w:val="008B403B"/>
    <w:rsid w:val="008B40BF"/>
    <w:rsid w:val="008B4192"/>
    <w:rsid w:val="008B4389"/>
    <w:rsid w:val="008B44A1"/>
    <w:rsid w:val="008B4605"/>
    <w:rsid w:val="008B49A9"/>
    <w:rsid w:val="008B4A60"/>
    <w:rsid w:val="008B4D35"/>
    <w:rsid w:val="008B4EBA"/>
    <w:rsid w:val="008B4EC4"/>
    <w:rsid w:val="008B4EFA"/>
    <w:rsid w:val="008B50D9"/>
    <w:rsid w:val="008B5146"/>
    <w:rsid w:val="008B524B"/>
    <w:rsid w:val="008B5271"/>
    <w:rsid w:val="008B5346"/>
    <w:rsid w:val="008B54E1"/>
    <w:rsid w:val="008B558F"/>
    <w:rsid w:val="008B55EC"/>
    <w:rsid w:val="008B5667"/>
    <w:rsid w:val="008B56A6"/>
    <w:rsid w:val="008B5964"/>
    <w:rsid w:val="008B5A30"/>
    <w:rsid w:val="008B5A7E"/>
    <w:rsid w:val="008B5AA6"/>
    <w:rsid w:val="008B5ABE"/>
    <w:rsid w:val="008B5C44"/>
    <w:rsid w:val="008B5D55"/>
    <w:rsid w:val="008B5FCE"/>
    <w:rsid w:val="008B5FEA"/>
    <w:rsid w:val="008B61F0"/>
    <w:rsid w:val="008B6223"/>
    <w:rsid w:val="008B633C"/>
    <w:rsid w:val="008B6387"/>
    <w:rsid w:val="008B64BC"/>
    <w:rsid w:val="008B661E"/>
    <w:rsid w:val="008B6819"/>
    <w:rsid w:val="008B68F7"/>
    <w:rsid w:val="008B6931"/>
    <w:rsid w:val="008B69DB"/>
    <w:rsid w:val="008B69FB"/>
    <w:rsid w:val="008B6B13"/>
    <w:rsid w:val="008B6C46"/>
    <w:rsid w:val="008B6CB4"/>
    <w:rsid w:val="008B6CBB"/>
    <w:rsid w:val="008B6E8B"/>
    <w:rsid w:val="008B6FA7"/>
    <w:rsid w:val="008B711C"/>
    <w:rsid w:val="008B7211"/>
    <w:rsid w:val="008B745C"/>
    <w:rsid w:val="008B756E"/>
    <w:rsid w:val="008B7577"/>
    <w:rsid w:val="008B75F1"/>
    <w:rsid w:val="008B7697"/>
    <w:rsid w:val="008B76D4"/>
    <w:rsid w:val="008B7717"/>
    <w:rsid w:val="008B780F"/>
    <w:rsid w:val="008B78D0"/>
    <w:rsid w:val="008B7ABF"/>
    <w:rsid w:val="008B7B0A"/>
    <w:rsid w:val="008B7CEB"/>
    <w:rsid w:val="008B7D89"/>
    <w:rsid w:val="008B7E0E"/>
    <w:rsid w:val="008B7EE5"/>
    <w:rsid w:val="008B7FF3"/>
    <w:rsid w:val="008C0068"/>
    <w:rsid w:val="008C00C2"/>
    <w:rsid w:val="008C02B9"/>
    <w:rsid w:val="008C02D2"/>
    <w:rsid w:val="008C02D9"/>
    <w:rsid w:val="008C02DC"/>
    <w:rsid w:val="008C0302"/>
    <w:rsid w:val="008C038C"/>
    <w:rsid w:val="008C05A2"/>
    <w:rsid w:val="008C06C5"/>
    <w:rsid w:val="008C071D"/>
    <w:rsid w:val="008C0853"/>
    <w:rsid w:val="008C0864"/>
    <w:rsid w:val="008C0884"/>
    <w:rsid w:val="008C088C"/>
    <w:rsid w:val="008C09D7"/>
    <w:rsid w:val="008C0CA9"/>
    <w:rsid w:val="008C0D81"/>
    <w:rsid w:val="008C0DB3"/>
    <w:rsid w:val="008C0E87"/>
    <w:rsid w:val="008C0E9D"/>
    <w:rsid w:val="008C1007"/>
    <w:rsid w:val="008C118C"/>
    <w:rsid w:val="008C11C8"/>
    <w:rsid w:val="008C1348"/>
    <w:rsid w:val="008C13A6"/>
    <w:rsid w:val="008C14EF"/>
    <w:rsid w:val="008C1571"/>
    <w:rsid w:val="008C1575"/>
    <w:rsid w:val="008C15C2"/>
    <w:rsid w:val="008C15CE"/>
    <w:rsid w:val="008C1608"/>
    <w:rsid w:val="008C1A85"/>
    <w:rsid w:val="008C1ACD"/>
    <w:rsid w:val="008C1BB4"/>
    <w:rsid w:val="008C1C3D"/>
    <w:rsid w:val="008C1DB4"/>
    <w:rsid w:val="008C1E1F"/>
    <w:rsid w:val="008C1E74"/>
    <w:rsid w:val="008C1E8C"/>
    <w:rsid w:val="008C1F2E"/>
    <w:rsid w:val="008C1FEB"/>
    <w:rsid w:val="008C2025"/>
    <w:rsid w:val="008C21FF"/>
    <w:rsid w:val="008C2234"/>
    <w:rsid w:val="008C2258"/>
    <w:rsid w:val="008C2350"/>
    <w:rsid w:val="008C2441"/>
    <w:rsid w:val="008C2483"/>
    <w:rsid w:val="008C24A4"/>
    <w:rsid w:val="008C24DE"/>
    <w:rsid w:val="008C25EC"/>
    <w:rsid w:val="008C2610"/>
    <w:rsid w:val="008C2622"/>
    <w:rsid w:val="008C2697"/>
    <w:rsid w:val="008C26B4"/>
    <w:rsid w:val="008C284D"/>
    <w:rsid w:val="008C28D6"/>
    <w:rsid w:val="008C290E"/>
    <w:rsid w:val="008C2999"/>
    <w:rsid w:val="008C2BFB"/>
    <w:rsid w:val="008C2C32"/>
    <w:rsid w:val="008C2CE3"/>
    <w:rsid w:val="008C2DA6"/>
    <w:rsid w:val="008C2E0D"/>
    <w:rsid w:val="008C2EE3"/>
    <w:rsid w:val="008C307E"/>
    <w:rsid w:val="008C3098"/>
    <w:rsid w:val="008C30D5"/>
    <w:rsid w:val="008C328C"/>
    <w:rsid w:val="008C3392"/>
    <w:rsid w:val="008C33A4"/>
    <w:rsid w:val="008C3478"/>
    <w:rsid w:val="008C34B6"/>
    <w:rsid w:val="008C34FE"/>
    <w:rsid w:val="008C3506"/>
    <w:rsid w:val="008C35D7"/>
    <w:rsid w:val="008C35F1"/>
    <w:rsid w:val="008C360D"/>
    <w:rsid w:val="008C36B3"/>
    <w:rsid w:val="008C36B9"/>
    <w:rsid w:val="008C3737"/>
    <w:rsid w:val="008C3800"/>
    <w:rsid w:val="008C3971"/>
    <w:rsid w:val="008C3A12"/>
    <w:rsid w:val="008C3AC9"/>
    <w:rsid w:val="008C3B33"/>
    <w:rsid w:val="008C3C11"/>
    <w:rsid w:val="008C3CAF"/>
    <w:rsid w:val="008C3CF9"/>
    <w:rsid w:val="008C4129"/>
    <w:rsid w:val="008C413C"/>
    <w:rsid w:val="008C441E"/>
    <w:rsid w:val="008C4566"/>
    <w:rsid w:val="008C463D"/>
    <w:rsid w:val="008C4649"/>
    <w:rsid w:val="008C4835"/>
    <w:rsid w:val="008C487C"/>
    <w:rsid w:val="008C4959"/>
    <w:rsid w:val="008C4A2B"/>
    <w:rsid w:val="008C4AFB"/>
    <w:rsid w:val="008C4B4D"/>
    <w:rsid w:val="008C4B56"/>
    <w:rsid w:val="008C4B97"/>
    <w:rsid w:val="008C4BD5"/>
    <w:rsid w:val="008C4C1A"/>
    <w:rsid w:val="008C4CB9"/>
    <w:rsid w:val="008C4D01"/>
    <w:rsid w:val="008C4DC2"/>
    <w:rsid w:val="008C4FA2"/>
    <w:rsid w:val="008C5041"/>
    <w:rsid w:val="008C504B"/>
    <w:rsid w:val="008C5108"/>
    <w:rsid w:val="008C5324"/>
    <w:rsid w:val="008C5388"/>
    <w:rsid w:val="008C54B9"/>
    <w:rsid w:val="008C54BE"/>
    <w:rsid w:val="008C5631"/>
    <w:rsid w:val="008C5672"/>
    <w:rsid w:val="008C57CC"/>
    <w:rsid w:val="008C58F1"/>
    <w:rsid w:val="008C591A"/>
    <w:rsid w:val="008C594D"/>
    <w:rsid w:val="008C5C19"/>
    <w:rsid w:val="008C5E1B"/>
    <w:rsid w:val="008C5F33"/>
    <w:rsid w:val="008C5F95"/>
    <w:rsid w:val="008C5FF3"/>
    <w:rsid w:val="008C6018"/>
    <w:rsid w:val="008C60AF"/>
    <w:rsid w:val="008C60D9"/>
    <w:rsid w:val="008C617B"/>
    <w:rsid w:val="008C61B7"/>
    <w:rsid w:val="008C6240"/>
    <w:rsid w:val="008C6245"/>
    <w:rsid w:val="008C6274"/>
    <w:rsid w:val="008C63D6"/>
    <w:rsid w:val="008C6592"/>
    <w:rsid w:val="008C6595"/>
    <w:rsid w:val="008C6613"/>
    <w:rsid w:val="008C699B"/>
    <w:rsid w:val="008C69A2"/>
    <w:rsid w:val="008C69DD"/>
    <w:rsid w:val="008C6A56"/>
    <w:rsid w:val="008C6AD7"/>
    <w:rsid w:val="008C6B40"/>
    <w:rsid w:val="008C6BF2"/>
    <w:rsid w:val="008C6CD4"/>
    <w:rsid w:val="008C6CED"/>
    <w:rsid w:val="008C6D38"/>
    <w:rsid w:val="008C6D53"/>
    <w:rsid w:val="008C6D8A"/>
    <w:rsid w:val="008C6DA8"/>
    <w:rsid w:val="008C6DF4"/>
    <w:rsid w:val="008C6EC3"/>
    <w:rsid w:val="008C6ECE"/>
    <w:rsid w:val="008C6ED3"/>
    <w:rsid w:val="008C6FFC"/>
    <w:rsid w:val="008C704A"/>
    <w:rsid w:val="008C7069"/>
    <w:rsid w:val="008C712B"/>
    <w:rsid w:val="008C72EE"/>
    <w:rsid w:val="008C731B"/>
    <w:rsid w:val="008C7405"/>
    <w:rsid w:val="008C7549"/>
    <w:rsid w:val="008C7657"/>
    <w:rsid w:val="008C7743"/>
    <w:rsid w:val="008C7B6C"/>
    <w:rsid w:val="008C7D6E"/>
    <w:rsid w:val="008C7DAC"/>
    <w:rsid w:val="008C7E93"/>
    <w:rsid w:val="008C7F94"/>
    <w:rsid w:val="008D0006"/>
    <w:rsid w:val="008D0069"/>
    <w:rsid w:val="008D006A"/>
    <w:rsid w:val="008D0153"/>
    <w:rsid w:val="008D0175"/>
    <w:rsid w:val="008D0304"/>
    <w:rsid w:val="008D036E"/>
    <w:rsid w:val="008D03CB"/>
    <w:rsid w:val="008D044B"/>
    <w:rsid w:val="008D04EE"/>
    <w:rsid w:val="008D0597"/>
    <w:rsid w:val="008D05ED"/>
    <w:rsid w:val="008D06D5"/>
    <w:rsid w:val="008D074D"/>
    <w:rsid w:val="008D0762"/>
    <w:rsid w:val="008D096A"/>
    <w:rsid w:val="008D0A53"/>
    <w:rsid w:val="008D0AC5"/>
    <w:rsid w:val="008D0C16"/>
    <w:rsid w:val="008D0CBB"/>
    <w:rsid w:val="008D0D66"/>
    <w:rsid w:val="008D0ED7"/>
    <w:rsid w:val="008D0F44"/>
    <w:rsid w:val="008D0F70"/>
    <w:rsid w:val="008D101C"/>
    <w:rsid w:val="008D1059"/>
    <w:rsid w:val="008D1154"/>
    <w:rsid w:val="008D11AD"/>
    <w:rsid w:val="008D124F"/>
    <w:rsid w:val="008D1271"/>
    <w:rsid w:val="008D128F"/>
    <w:rsid w:val="008D129D"/>
    <w:rsid w:val="008D12E6"/>
    <w:rsid w:val="008D13A7"/>
    <w:rsid w:val="008D13EC"/>
    <w:rsid w:val="008D1462"/>
    <w:rsid w:val="008D1482"/>
    <w:rsid w:val="008D1524"/>
    <w:rsid w:val="008D1738"/>
    <w:rsid w:val="008D1801"/>
    <w:rsid w:val="008D185C"/>
    <w:rsid w:val="008D191E"/>
    <w:rsid w:val="008D193A"/>
    <w:rsid w:val="008D1998"/>
    <w:rsid w:val="008D1A2B"/>
    <w:rsid w:val="008D1AA6"/>
    <w:rsid w:val="008D1B9C"/>
    <w:rsid w:val="008D1BB9"/>
    <w:rsid w:val="008D1DB8"/>
    <w:rsid w:val="008D1DFE"/>
    <w:rsid w:val="008D1EC3"/>
    <w:rsid w:val="008D1F31"/>
    <w:rsid w:val="008D1F48"/>
    <w:rsid w:val="008D1F7B"/>
    <w:rsid w:val="008D2087"/>
    <w:rsid w:val="008D2092"/>
    <w:rsid w:val="008D2268"/>
    <w:rsid w:val="008D2339"/>
    <w:rsid w:val="008D2366"/>
    <w:rsid w:val="008D24C3"/>
    <w:rsid w:val="008D254D"/>
    <w:rsid w:val="008D25DD"/>
    <w:rsid w:val="008D26D9"/>
    <w:rsid w:val="008D2735"/>
    <w:rsid w:val="008D286E"/>
    <w:rsid w:val="008D2AD6"/>
    <w:rsid w:val="008D2AF8"/>
    <w:rsid w:val="008D2BD2"/>
    <w:rsid w:val="008D2DAD"/>
    <w:rsid w:val="008D2DD5"/>
    <w:rsid w:val="008D2EB5"/>
    <w:rsid w:val="008D2F2E"/>
    <w:rsid w:val="008D2FC7"/>
    <w:rsid w:val="008D306C"/>
    <w:rsid w:val="008D3122"/>
    <w:rsid w:val="008D3130"/>
    <w:rsid w:val="008D33A2"/>
    <w:rsid w:val="008D33DF"/>
    <w:rsid w:val="008D341F"/>
    <w:rsid w:val="008D3468"/>
    <w:rsid w:val="008D3473"/>
    <w:rsid w:val="008D34AC"/>
    <w:rsid w:val="008D34B0"/>
    <w:rsid w:val="008D34BB"/>
    <w:rsid w:val="008D3552"/>
    <w:rsid w:val="008D35FD"/>
    <w:rsid w:val="008D369A"/>
    <w:rsid w:val="008D369C"/>
    <w:rsid w:val="008D36F9"/>
    <w:rsid w:val="008D376F"/>
    <w:rsid w:val="008D37AB"/>
    <w:rsid w:val="008D37D0"/>
    <w:rsid w:val="008D3915"/>
    <w:rsid w:val="008D39B0"/>
    <w:rsid w:val="008D3A26"/>
    <w:rsid w:val="008D3A30"/>
    <w:rsid w:val="008D3B28"/>
    <w:rsid w:val="008D3CD8"/>
    <w:rsid w:val="008D3DE1"/>
    <w:rsid w:val="008D3FF9"/>
    <w:rsid w:val="008D3FFB"/>
    <w:rsid w:val="008D405F"/>
    <w:rsid w:val="008D40BC"/>
    <w:rsid w:val="008D414F"/>
    <w:rsid w:val="008D4199"/>
    <w:rsid w:val="008D41BC"/>
    <w:rsid w:val="008D436A"/>
    <w:rsid w:val="008D43F6"/>
    <w:rsid w:val="008D444C"/>
    <w:rsid w:val="008D44B6"/>
    <w:rsid w:val="008D44CA"/>
    <w:rsid w:val="008D467E"/>
    <w:rsid w:val="008D46A6"/>
    <w:rsid w:val="008D47BA"/>
    <w:rsid w:val="008D47C4"/>
    <w:rsid w:val="008D4802"/>
    <w:rsid w:val="008D481F"/>
    <w:rsid w:val="008D485F"/>
    <w:rsid w:val="008D4862"/>
    <w:rsid w:val="008D48FD"/>
    <w:rsid w:val="008D494C"/>
    <w:rsid w:val="008D497E"/>
    <w:rsid w:val="008D4B1B"/>
    <w:rsid w:val="008D4B1D"/>
    <w:rsid w:val="008D4B33"/>
    <w:rsid w:val="008D4C41"/>
    <w:rsid w:val="008D4D2B"/>
    <w:rsid w:val="008D4D3C"/>
    <w:rsid w:val="008D4E39"/>
    <w:rsid w:val="008D4F3D"/>
    <w:rsid w:val="008D5194"/>
    <w:rsid w:val="008D524D"/>
    <w:rsid w:val="008D52CC"/>
    <w:rsid w:val="008D5320"/>
    <w:rsid w:val="008D53D9"/>
    <w:rsid w:val="008D5401"/>
    <w:rsid w:val="008D5483"/>
    <w:rsid w:val="008D5502"/>
    <w:rsid w:val="008D5621"/>
    <w:rsid w:val="008D56A0"/>
    <w:rsid w:val="008D56CB"/>
    <w:rsid w:val="008D56FA"/>
    <w:rsid w:val="008D57E2"/>
    <w:rsid w:val="008D5881"/>
    <w:rsid w:val="008D5A00"/>
    <w:rsid w:val="008D5A36"/>
    <w:rsid w:val="008D5AA8"/>
    <w:rsid w:val="008D5B16"/>
    <w:rsid w:val="008D5BAC"/>
    <w:rsid w:val="008D5BF0"/>
    <w:rsid w:val="008D5C7F"/>
    <w:rsid w:val="008D5EA5"/>
    <w:rsid w:val="008D5EE7"/>
    <w:rsid w:val="008D6142"/>
    <w:rsid w:val="008D6170"/>
    <w:rsid w:val="008D61B5"/>
    <w:rsid w:val="008D6339"/>
    <w:rsid w:val="008D64FD"/>
    <w:rsid w:val="008D659E"/>
    <w:rsid w:val="008D65BE"/>
    <w:rsid w:val="008D66F7"/>
    <w:rsid w:val="008D6951"/>
    <w:rsid w:val="008D6A33"/>
    <w:rsid w:val="008D6CC2"/>
    <w:rsid w:val="008D6CC9"/>
    <w:rsid w:val="008D6CCF"/>
    <w:rsid w:val="008D6E38"/>
    <w:rsid w:val="008D6F2C"/>
    <w:rsid w:val="008D70F6"/>
    <w:rsid w:val="008D7161"/>
    <w:rsid w:val="008D7164"/>
    <w:rsid w:val="008D716E"/>
    <w:rsid w:val="008D729E"/>
    <w:rsid w:val="008D72DE"/>
    <w:rsid w:val="008D72FF"/>
    <w:rsid w:val="008D78A8"/>
    <w:rsid w:val="008D78AA"/>
    <w:rsid w:val="008D7A4C"/>
    <w:rsid w:val="008D7AFC"/>
    <w:rsid w:val="008D7B3E"/>
    <w:rsid w:val="008D7C22"/>
    <w:rsid w:val="008D7C45"/>
    <w:rsid w:val="008D7C9F"/>
    <w:rsid w:val="008D7CB7"/>
    <w:rsid w:val="008D7D37"/>
    <w:rsid w:val="008D7D3D"/>
    <w:rsid w:val="008D7D57"/>
    <w:rsid w:val="008D7D59"/>
    <w:rsid w:val="008D7E05"/>
    <w:rsid w:val="008D7E0D"/>
    <w:rsid w:val="008D7E17"/>
    <w:rsid w:val="008D7EAE"/>
    <w:rsid w:val="008D7F83"/>
    <w:rsid w:val="008E013D"/>
    <w:rsid w:val="008E01C1"/>
    <w:rsid w:val="008E030A"/>
    <w:rsid w:val="008E030F"/>
    <w:rsid w:val="008E03B9"/>
    <w:rsid w:val="008E03DB"/>
    <w:rsid w:val="008E0536"/>
    <w:rsid w:val="008E05A7"/>
    <w:rsid w:val="008E0713"/>
    <w:rsid w:val="008E078F"/>
    <w:rsid w:val="008E07A4"/>
    <w:rsid w:val="008E0843"/>
    <w:rsid w:val="008E08CA"/>
    <w:rsid w:val="008E097E"/>
    <w:rsid w:val="008E0A48"/>
    <w:rsid w:val="008E0A4C"/>
    <w:rsid w:val="008E0A69"/>
    <w:rsid w:val="008E0C48"/>
    <w:rsid w:val="008E0D8A"/>
    <w:rsid w:val="008E0E6B"/>
    <w:rsid w:val="008E0ED6"/>
    <w:rsid w:val="008E0FA4"/>
    <w:rsid w:val="008E0FCD"/>
    <w:rsid w:val="008E1086"/>
    <w:rsid w:val="008E109D"/>
    <w:rsid w:val="008E10E2"/>
    <w:rsid w:val="008E10FD"/>
    <w:rsid w:val="008E1118"/>
    <w:rsid w:val="008E1238"/>
    <w:rsid w:val="008E1311"/>
    <w:rsid w:val="008E1360"/>
    <w:rsid w:val="008E13C9"/>
    <w:rsid w:val="008E142F"/>
    <w:rsid w:val="008E1441"/>
    <w:rsid w:val="008E14E7"/>
    <w:rsid w:val="008E1504"/>
    <w:rsid w:val="008E1538"/>
    <w:rsid w:val="008E1594"/>
    <w:rsid w:val="008E15EC"/>
    <w:rsid w:val="008E177D"/>
    <w:rsid w:val="008E1877"/>
    <w:rsid w:val="008E1A31"/>
    <w:rsid w:val="008E1AD3"/>
    <w:rsid w:val="008E1B11"/>
    <w:rsid w:val="008E1DC8"/>
    <w:rsid w:val="008E1DCC"/>
    <w:rsid w:val="008E1F21"/>
    <w:rsid w:val="008E1F34"/>
    <w:rsid w:val="008E206A"/>
    <w:rsid w:val="008E2122"/>
    <w:rsid w:val="008E2405"/>
    <w:rsid w:val="008E24EC"/>
    <w:rsid w:val="008E2578"/>
    <w:rsid w:val="008E276F"/>
    <w:rsid w:val="008E27C5"/>
    <w:rsid w:val="008E27F3"/>
    <w:rsid w:val="008E2850"/>
    <w:rsid w:val="008E2851"/>
    <w:rsid w:val="008E285D"/>
    <w:rsid w:val="008E2865"/>
    <w:rsid w:val="008E2974"/>
    <w:rsid w:val="008E2A46"/>
    <w:rsid w:val="008E2B8B"/>
    <w:rsid w:val="008E2BEF"/>
    <w:rsid w:val="008E2C67"/>
    <w:rsid w:val="008E2C7E"/>
    <w:rsid w:val="008E2CD9"/>
    <w:rsid w:val="008E2D6D"/>
    <w:rsid w:val="008E2FCD"/>
    <w:rsid w:val="008E3036"/>
    <w:rsid w:val="008E3049"/>
    <w:rsid w:val="008E318C"/>
    <w:rsid w:val="008E318F"/>
    <w:rsid w:val="008E325F"/>
    <w:rsid w:val="008E331F"/>
    <w:rsid w:val="008E335B"/>
    <w:rsid w:val="008E3369"/>
    <w:rsid w:val="008E33F3"/>
    <w:rsid w:val="008E3607"/>
    <w:rsid w:val="008E3615"/>
    <w:rsid w:val="008E36C0"/>
    <w:rsid w:val="008E3741"/>
    <w:rsid w:val="008E374F"/>
    <w:rsid w:val="008E39B8"/>
    <w:rsid w:val="008E39D4"/>
    <w:rsid w:val="008E39F1"/>
    <w:rsid w:val="008E3A21"/>
    <w:rsid w:val="008E3A87"/>
    <w:rsid w:val="008E3B8E"/>
    <w:rsid w:val="008E3B9D"/>
    <w:rsid w:val="008E3BBD"/>
    <w:rsid w:val="008E3C1A"/>
    <w:rsid w:val="008E3C3B"/>
    <w:rsid w:val="008E3C77"/>
    <w:rsid w:val="008E3CFB"/>
    <w:rsid w:val="008E3D1B"/>
    <w:rsid w:val="008E3D54"/>
    <w:rsid w:val="008E3FE4"/>
    <w:rsid w:val="008E4063"/>
    <w:rsid w:val="008E4212"/>
    <w:rsid w:val="008E42CF"/>
    <w:rsid w:val="008E43C0"/>
    <w:rsid w:val="008E443D"/>
    <w:rsid w:val="008E4528"/>
    <w:rsid w:val="008E452E"/>
    <w:rsid w:val="008E4689"/>
    <w:rsid w:val="008E469F"/>
    <w:rsid w:val="008E46C1"/>
    <w:rsid w:val="008E492D"/>
    <w:rsid w:val="008E4A65"/>
    <w:rsid w:val="008E4B4A"/>
    <w:rsid w:val="008E4B5D"/>
    <w:rsid w:val="008E4BE1"/>
    <w:rsid w:val="008E4C5F"/>
    <w:rsid w:val="008E4CE2"/>
    <w:rsid w:val="008E4CF4"/>
    <w:rsid w:val="008E4F8E"/>
    <w:rsid w:val="008E510B"/>
    <w:rsid w:val="008E518E"/>
    <w:rsid w:val="008E51F9"/>
    <w:rsid w:val="008E525B"/>
    <w:rsid w:val="008E5347"/>
    <w:rsid w:val="008E5464"/>
    <w:rsid w:val="008E548B"/>
    <w:rsid w:val="008E54BA"/>
    <w:rsid w:val="008E5550"/>
    <w:rsid w:val="008E561F"/>
    <w:rsid w:val="008E5844"/>
    <w:rsid w:val="008E5895"/>
    <w:rsid w:val="008E58BA"/>
    <w:rsid w:val="008E590F"/>
    <w:rsid w:val="008E597E"/>
    <w:rsid w:val="008E5B20"/>
    <w:rsid w:val="008E5C74"/>
    <w:rsid w:val="008E5E1C"/>
    <w:rsid w:val="008E5E71"/>
    <w:rsid w:val="008E5F3A"/>
    <w:rsid w:val="008E6079"/>
    <w:rsid w:val="008E609F"/>
    <w:rsid w:val="008E6123"/>
    <w:rsid w:val="008E61F3"/>
    <w:rsid w:val="008E6308"/>
    <w:rsid w:val="008E6396"/>
    <w:rsid w:val="008E656A"/>
    <w:rsid w:val="008E65BD"/>
    <w:rsid w:val="008E664C"/>
    <w:rsid w:val="008E6667"/>
    <w:rsid w:val="008E6674"/>
    <w:rsid w:val="008E6691"/>
    <w:rsid w:val="008E66DF"/>
    <w:rsid w:val="008E692D"/>
    <w:rsid w:val="008E6B38"/>
    <w:rsid w:val="008E6B5A"/>
    <w:rsid w:val="008E6CEF"/>
    <w:rsid w:val="008E6D95"/>
    <w:rsid w:val="008E6E84"/>
    <w:rsid w:val="008E6F1F"/>
    <w:rsid w:val="008E6F4D"/>
    <w:rsid w:val="008E6F5C"/>
    <w:rsid w:val="008E6FD7"/>
    <w:rsid w:val="008E70F6"/>
    <w:rsid w:val="008E7155"/>
    <w:rsid w:val="008E7233"/>
    <w:rsid w:val="008E7238"/>
    <w:rsid w:val="008E7239"/>
    <w:rsid w:val="008E730A"/>
    <w:rsid w:val="008E7364"/>
    <w:rsid w:val="008E73D9"/>
    <w:rsid w:val="008E73DB"/>
    <w:rsid w:val="008E7406"/>
    <w:rsid w:val="008E748A"/>
    <w:rsid w:val="008E765B"/>
    <w:rsid w:val="008E77B6"/>
    <w:rsid w:val="008E77F8"/>
    <w:rsid w:val="008E781F"/>
    <w:rsid w:val="008E7908"/>
    <w:rsid w:val="008E79C6"/>
    <w:rsid w:val="008E79CD"/>
    <w:rsid w:val="008E79FF"/>
    <w:rsid w:val="008E7B08"/>
    <w:rsid w:val="008E7BFF"/>
    <w:rsid w:val="008E7CC9"/>
    <w:rsid w:val="008E7D30"/>
    <w:rsid w:val="008E7E06"/>
    <w:rsid w:val="008E7EEE"/>
    <w:rsid w:val="008E7F44"/>
    <w:rsid w:val="008E7F64"/>
    <w:rsid w:val="008F019B"/>
    <w:rsid w:val="008F0313"/>
    <w:rsid w:val="008F041C"/>
    <w:rsid w:val="008F042F"/>
    <w:rsid w:val="008F044B"/>
    <w:rsid w:val="008F04CC"/>
    <w:rsid w:val="008F0503"/>
    <w:rsid w:val="008F0587"/>
    <w:rsid w:val="008F05AD"/>
    <w:rsid w:val="008F0628"/>
    <w:rsid w:val="008F080E"/>
    <w:rsid w:val="008F0851"/>
    <w:rsid w:val="008F0855"/>
    <w:rsid w:val="008F089E"/>
    <w:rsid w:val="008F097D"/>
    <w:rsid w:val="008F0A09"/>
    <w:rsid w:val="008F0AB4"/>
    <w:rsid w:val="008F0B23"/>
    <w:rsid w:val="008F0BA1"/>
    <w:rsid w:val="008F0BE2"/>
    <w:rsid w:val="008F0C3E"/>
    <w:rsid w:val="008F0EA3"/>
    <w:rsid w:val="008F0F4D"/>
    <w:rsid w:val="008F1187"/>
    <w:rsid w:val="008F1230"/>
    <w:rsid w:val="008F124D"/>
    <w:rsid w:val="008F125E"/>
    <w:rsid w:val="008F12FD"/>
    <w:rsid w:val="008F1363"/>
    <w:rsid w:val="008F140A"/>
    <w:rsid w:val="008F1419"/>
    <w:rsid w:val="008F1469"/>
    <w:rsid w:val="008F156F"/>
    <w:rsid w:val="008F15C8"/>
    <w:rsid w:val="008F1607"/>
    <w:rsid w:val="008F178C"/>
    <w:rsid w:val="008F17AA"/>
    <w:rsid w:val="008F17D4"/>
    <w:rsid w:val="008F182F"/>
    <w:rsid w:val="008F18EA"/>
    <w:rsid w:val="008F1904"/>
    <w:rsid w:val="008F19FC"/>
    <w:rsid w:val="008F1ACD"/>
    <w:rsid w:val="008F1B70"/>
    <w:rsid w:val="008F1C6A"/>
    <w:rsid w:val="008F1CC1"/>
    <w:rsid w:val="008F1E47"/>
    <w:rsid w:val="008F1EA1"/>
    <w:rsid w:val="008F1EAE"/>
    <w:rsid w:val="008F1F99"/>
    <w:rsid w:val="008F1F9E"/>
    <w:rsid w:val="008F1FAA"/>
    <w:rsid w:val="008F202B"/>
    <w:rsid w:val="008F20A6"/>
    <w:rsid w:val="008F2190"/>
    <w:rsid w:val="008F2262"/>
    <w:rsid w:val="008F2282"/>
    <w:rsid w:val="008F24D6"/>
    <w:rsid w:val="008F2529"/>
    <w:rsid w:val="008F25BC"/>
    <w:rsid w:val="008F25CD"/>
    <w:rsid w:val="008F260B"/>
    <w:rsid w:val="008F2646"/>
    <w:rsid w:val="008F2690"/>
    <w:rsid w:val="008F27EF"/>
    <w:rsid w:val="008F2880"/>
    <w:rsid w:val="008F2A3C"/>
    <w:rsid w:val="008F2A6E"/>
    <w:rsid w:val="008F2B24"/>
    <w:rsid w:val="008F2B8B"/>
    <w:rsid w:val="008F2C12"/>
    <w:rsid w:val="008F2CFF"/>
    <w:rsid w:val="008F2DB3"/>
    <w:rsid w:val="008F2EEF"/>
    <w:rsid w:val="008F309E"/>
    <w:rsid w:val="008F3130"/>
    <w:rsid w:val="008F316E"/>
    <w:rsid w:val="008F3177"/>
    <w:rsid w:val="008F3205"/>
    <w:rsid w:val="008F3272"/>
    <w:rsid w:val="008F335E"/>
    <w:rsid w:val="008F33A7"/>
    <w:rsid w:val="008F33D0"/>
    <w:rsid w:val="008F342D"/>
    <w:rsid w:val="008F34E6"/>
    <w:rsid w:val="008F34EC"/>
    <w:rsid w:val="008F3552"/>
    <w:rsid w:val="008F355D"/>
    <w:rsid w:val="008F3591"/>
    <w:rsid w:val="008F35BD"/>
    <w:rsid w:val="008F3665"/>
    <w:rsid w:val="008F3671"/>
    <w:rsid w:val="008F3749"/>
    <w:rsid w:val="008F37AA"/>
    <w:rsid w:val="008F38D9"/>
    <w:rsid w:val="008F3944"/>
    <w:rsid w:val="008F3970"/>
    <w:rsid w:val="008F3AB2"/>
    <w:rsid w:val="008F3B46"/>
    <w:rsid w:val="008F3BC6"/>
    <w:rsid w:val="008F3BDC"/>
    <w:rsid w:val="008F3C79"/>
    <w:rsid w:val="008F3EAD"/>
    <w:rsid w:val="008F3F2B"/>
    <w:rsid w:val="008F40CF"/>
    <w:rsid w:val="008F42ED"/>
    <w:rsid w:val="008F4326"/>
    <w:rsid w:val="008F4332"/>
    <w:rsid w:val="008F45AD"/>
    <w:rsid w:val="008F45C8"/>
    <w:rsid w:val="008F4604"/>
    <w:rsid w:val="008F467B"/>
    <w:rsid w:val="008F4684"/>
    <w:rsid w:val="008F475C"/>
    <w:rsid w:val="008F48B8"/>
    <w:rsid w:val="008F498C"/>
    <w:rsid w:val="008F4D2B"/>
    <w:rsid w:val="008F4D9F"/>
    <w:rsid w:val="008F4DB5"/>
    <w:rsid w:val="008F4E25"/>
    <w:rsid w:val="008F4E39"/>
    <w:rsid w:val="008F4E96"/>
    <w:rsid w:val="008F4FF2"/>
    <w:rsid w:val="008F5116"/>
    <w:rsid w:val="008F5186"/>
    <w:rsid w:val="008F51F5"/>
    <w:rsid w:val="008F53CB"/>
    <w:rsid w:val="008F5457"/>
    <w:rsid w:val="008F546B"/>
    <w:rsid w:val="008F552C"/>
    <w:rsid w:val="008F559A"/>
    <w:rsid w:val="008F560A"/>
    <w:rsid w:val="008F5660"/>
    <w:rsid w:val="008F56F9"/>
    <w:rsid w:val="008F5774"/>
    <w:rsid w:val="008F57B9"/>
    <w:rsid w:val="008F57C7"/>
    <w:rsid w:val="008F5896"/>
    <w:rsid w:val="008F591E"/>
    <w:rsid w:val="008F5932"/>
    <w:rsid w:val="008F59BC"/>
    <w:rsid w:val="008F5C73"/>
    <w:rsid w:val="008F5D75"/>
    <w:rsid w:val="008F5EC8"/>
    <w:rsid w:val="008F5F2D"/>
    <w:rsid w:val="008F5F5A"/>
    <w:rsid w:val="008F5F7E"/>
    <w:rsid w:val="008F5F89"/>
    <w:rsid w:val="008F5FCB"/>
    <w:rsid w:val="008F5FD5"/>
    <w:rsid w:val="008F603B"/>
    <w:rsid w:val="008F6065"/>
    <w:rsid w:val="008F6088"/>
    <w:rsid w:val="008F60A6"/>
    <w:rsid w:val="008F61B0"/>
    <w:rsid w:val="008F61C9"/>
    <w:rsid w:val="008F6203"/>
    <w:rsid w:val="008F626B"/>
    <w:rsid w:val="008F658D"/>
    <w:rsid w:val="008F6690"/>
    <w:rsid w:val="008F66CB"/>
    <w:rsid w:val="008F6AF8"/>
    <w:rsid w:val="008F6B0F"/>
    <w:rsid w:val="008F6BAF"/>
    <w:rsid w:val="008F6C11"/>
    <w:rsid w:val="008F6C4A"/>
    <w:rsid w:val="008F6EC2"/>
    <w:rsid w:val="008F6FAE"/>
    <w:rsid w:val="008F70C5"/>
    <w:rsid w:val="008F715E"/>
    <w:rsid w:val="008F7183"/>
    <w:rsid w:val="008F72A8"/>
    <w:rsid w:val="008F7528"/>
    <w:rsid w:val="008F75D6"/>
    <w:rsid w:val="008F7641"/>
    <w:rsid w:val="008F77D7"/>
    <w:rsid w:val="008F780E"/>
    <w:rsid w:val="008F7819"/>
    <w:rsid w:val="008F788A"/>
    <w:rsid w:val="008F78A4"/>
    <w:rsid w:val="008F7A6B"/>
    <w:rsid w:val="008F7AC1"/>
    <w:rsid w:val="008F7BA9"/>
    <w:rsid w:val="008F7C7B"/>
    <w:rsid w:val="008F7CBE"/>
    <w:rsid w:val="008F7D37"/>
    <w:rsid w:val="008F7EA2"/>
    <w:rsid w:val="008F7EA6"/>
    <w:rsid w:val="008F7EB2"/>
    <w:rsid w:val="008F7F22"/>
    <w:rsid w:val="008F7F7B"/>
    <w:rsid w:val="008F7FFB"/>
    <w:rsid w:val="009000F5"/>
    <w:rsid w:val="0090025F"/>
    <w:rsid w:val="00900292"/>
    <w:rsid w:val="00900408"/>
    <w:rsid w:val="00900415"/>
    <w:rsid w:val="00900448"/>
    <w:rsid w:val="0090049E"/>
    <w:rsid w:val="009004CA"/>
    <w:rsid w:val="00900555"/>
    <w:rsid w:val="0090060C"/>
    <w:rsid w:val="00900699"/>
    <w:rsid w:val="0090083C"/>
    <w:rsid w:val="00900945"/>
    <w:rsid w:val="00900959"/>
    <w:rsid w:val="00900AC8"/>
    <w:rsid w:val="00900B88"/>
    <w:rsid w:val="00900C50"/>
    <w:rsid w:val="00900E50"/>
    <w:rsid w:val="00900E69"/>
    <w:rsid w:val="00900F94"/>
    <w:rsid w:val="009010AD"/>
    <w:rsid w:val="009012F3"/>
    <w:rsid w:val="0090141A"/>
    <w:rsid w:val="0090145D"/>
    <w:rsid w:val="009014AA"/>
    <w:rsid w:val="009014B4"/>
    <w:rsid w:val="009014D2"/>
    <w:rsid w:val="00901559"/>
    <w:rsid w:val="009015B6"/>
    <w:rsid w:val="009017F3"/>
    <w:rsid w:val="009018B3"/>
    <w:rsid w:val="00901A2D"/>
    <w:rsid w:val="00901A84"/>
    <w:rsid w:val="00901B91"/>
    <w:rsid w:val="00901BFA"/>
    <w:rsid w:val="00901D5A"/>
    <w:rsid w:val="00901E94"/>
    <w:rsid w:val="00901F2C"/>
    <w:rsid w:val="00902047"/>
    <w:rsid w:val="009020E2"/>
    <w:rsid w:val="009021E1"/>
    <w:rsid w:val="0090222A"/>
    <w:rsid w:val="0090225E"/>
    <w:rsid w:val="009023AC"/>
    <w:rsid w:val="00902435"/>
    <w:rsid w:val="00902451"/>
    <w:rsid w:val="00902662"/>
    <w:rsid w:val="00902782"/>
    <w:rsid w:val="00902947"/>
    <w:rsid w:val="009029FF"/>
    <w:rsid w:val="00902A00"/>
    <w:rsid w:val="00902AC4"/>
    <w:rsid w:val="00902B18"/>
    <w:rsid w:val="00902BB7"/>
    <w:rsid w:val="00902BBB"/>
    <w:rsid w:val="00902C87"/>
    <w:rsid w:val="00902D48"/>
    <w:rsid w:val="00902E51"/>
    <w:rsid w:val="00902EF5"/>
    <w:rsid w:val="00902F64"/>
    <w:rsid w:val="00902F68"/>
    <w:rsid w:val="00902FA0"/>
    <w:rsid w:val="00902FAA"/>
    <w:rsid w:val="00903001"/>
    <w:rsid w:val="00903052"/>
    <w:rsid w:val="009030C2"/>
    <w:rsid w:val="00903231"/>
    <w:rsid w:val="0090325E"/>
    <w:rsid w:val="0090327B"/>
    <w:rsid w:val="009032BF"/>
    <w:rsid w:val="009032FC"/>
    <w:rsid w:val="00903332"/>
    <w:rsid w:val="00903333"/>
    <w:rsid w:val="00903469"/>
    <w:rsid w:val="00903587"/>
    <w:rsid w:val="009035D5"/>
    <w:rsid w:val="00903751"/>
    <w:rsid w:val="00903763"/>
    <w:rsid w:val="009037B8"/>
    <w:rsid w:val="009037D8"/>
    <w:rsid w:val="00903806"/>
    <w:rsid w:val="0090388B"/>
    <w:rsid w:val="00903932"/>
    <w:rsid w:val="00903ADC"/>
    <w:rsid w:val="00903CAF"/>
    <w:rsid w:val="00903D31"/>
    <w:rsid w:val="00903D38"/>
    <w:rsid w:val="00903DC4"/>
    <w:rsid w:val="00903E73"/>
    <w:rsid w:val="00903E9C"/>
    <w:rsid w:val="00903EAB"/>
    <w:rsid w:val="00903F04"/>
    <w:rsid w:val="0090405E"/>
    <w:rsid w:val="009040B0"/>
    <w:rsid w:val="009040EC"/>
    <w:rsid w:val="0090414D"/>
    <w:rsid w:val="00904192"/>
    <w:rsid w:val="009041A7"/>
    <w:rsid w:val="00904252"/>
    <w:rsid w:val="0090435E"/>
    <w:rsid w:val="00904813"/>
    <w:rsid w:val="00904843"/>
    <w:rsid w:val="009048B9"/>
    <w:rsid w:val="009048D6"/>
    <w:rsid w:val="00904A04"/>
    <w:rsid w:val="00904A5A"/>
    <w:rsid w:val="00904B07"/>
    <w:rsid w:val="00904CDF"/>
    <w:rsid w:val="00904F5A"/>
    <w:rsid w:val="00904FCD"/>
    <w:rsid w:val="009050D0"/>
    <w:rsid w:val="00905114"/>
    <w:rsid w:val="009051C8"/>
    <w:rsid w:val="00905214"/>
    <w:rsid w:val="009052FD"/>
    <w:rsid w:val="009054C2"/>
    <w:rsid w:val="00905522"/>
    <w:rsid w:val="009055C6"/>
    <w:rsid w:val="00905629"/>
    <w:rsid w:val="0090563A"/>
    <w:rsid w:val="00905704"/>
    <w:rsid w:val="009058E0"/>
    <w:rsid w:val="0090591E"/>
    <w:rsid w:val="00905A44"/>
    <w:rsid w:val="00905CD5"/>
    <w:rsid w:val="00905CEC"/>
    <w:rsid w:val="00905EBF"/>
    <w:rsid w:val="00905FC7"/>
    <w:rsid w:val="0090602D"/>
    <w:rsid w:val="0090605F"/>
    <w:rsid w:val="009060E6"/>
    <w:rsid w:val="00906102"/>
    <w:rsid w:val="00906199"/>
    <w:rsid w:val="0090619F"/>
    <w:rsid w:val="00906287"/>
    <w:rsid w:val="009063A8"/>
    <w:rsid w:val="009063DD"/>
    <w:rsid w:val="0090661B"/>
    <w:rsid w:val="0090664E"/>
    <w:rsid w:val="00906671"/>
    <w:rsid w:val="009066D7"/>
    <w:rsid w:val="00906762"/>
    <w:rsid w:val="0090683A"/>
    <w:rsid w:val="00906877"/>
    <w:rsid w:val="00906C16"/>
    <w:rsid w:val="00906C29"/>
    <w:rsid w:val="00906CDF"/>
    <w:rsid w:val="00906D32"/>
    <w:rsid w:val="00906E1B"/>
    <w:rsid w:val="00906E3D"/>
    <w:rsid w:val="00906E69"/>
    <w:rsid w:val="00906EFF"/>
    <w:rsid w:val="00906FF2"/>
    <w:rsid w:val="0090709E"/>
    <w:rsid w:val="00907107"/>
    <w:rsid w:val="0090711C"/>
    <w:rsid w:val="00907182"/>
    <w:rsid w:val="00907315"/>
    <w:rsid w:val="00907319"/>
    <w:rsid w:val="00907381"/>
    <w:rsid w:val="009074BF"/>
    <w:rsid w:val="00907595"/>
    <w:rsid w:val="00907722"/>
    <w:rsid w:val="00907807"/>
    <w:rsid w:val="009078AF"/>
    <w:rsid w:val="00907ABD"/>
    <w:rsid w:val="00907B5C"/>
    <w:rsid w:val="00907B90"/>
    <w:rsid w:val="00907C26"/>
    <w:rsid w:val="00907C7C"/>
    <w:rsid w:val="00907CDF"/>
    <w:rsid w:val="00907F10"/>
    <w:rsid w:val="00907F77"/>
    <w:rsid w:val="00907FC2"/>
    <w:rsid w:val="00910037"/>
    <w:rsid w:val="00910144"/>
    <w:rsid w:val="00910217"/>
    <w:rsid w:val="0091045A"/>
    <w:rsid w:val="00910460"/>
    <w:rsid w:val="0091065E"/>
    <w:rsid w:val="00910662"/>
    <w:rsid w:val="0091073D"/>
    <w:rsid w:val="00910766"/>
    <w:rsid w:val="009107FC"/>
    <w:rsid w:val="0091082B"/>
    <w:rsid w:val="009108C7"/>
    <w:rsid w:val="00910903"/>
    <w:rsid w:val="009109A9"/>
    <w:rsid w:val="00910A40"/>
    <w:rsid w:val="00910BDE"/>
    <w:rsid w:val="00910BFB"/>
    <w:rsid w:val="00910D3A"/>
    <w:rsid w:val="00910E50"/>
    <w:rsid w:val="00910EA3"/>
    <w:rsid w:val="00910EDD"/>
    <w:rsid w:val="00910F3E"/>
    <w:rsid w:val="009110C4"/>
    <w:rsid w:val="009110EE"/>
    <w:rsid w:val="00911134"/>
    <w:rsid w:val="00911145"/>
    <w:rsid w:val="00911163"/>
    <w:rsid w:val="00911180"/>
    <w:rsid w:val="00911199"/>
    <w:rsid w:val="00911281"/>
    <w:rsid w:val="009112A8"/>
    <w:rsid w:val="009112FA"/>
    <w:rsid w:val="00911483"/>
    <w:rsid w:val="0091148C"/>
    <w:rsid w:val="009114DC"/>
    <w:rsid w:val="00911550"/>
    <w:rsid w:val="00911560"/>
    <w:rsid w:val="009116A1"/>
    <w:rsid w:val="009117A8"/>
    <w:rsid w:val="00911820"/>
    <w:rsid w:val="00911AD4"/>
    <w:rsid w:val="00911AE5"/>
    <w:rsid w:val="00911DB9"/>
    <w:rsid w:val="00911F03"/>
    <w:rsid w:val="00911F45"/>
    <w:rsid w:val="00911FA4"/>
    <w:rsid w:val="00911FEF"/>
    <w:rsid w:val="00912002"/>
    <w:rsid w:val="0091201F"/>
    <w:rsid w:val="00912072"/>
    <w:rsid w:val="009120C1"/>
    <w:rsid w:val="00912130"/>
    <w:rsid w:val="00912175"/>
    <w:rsid w:val="0091219B"/>
    <w:rsid w:val="009121B9"/>
    <w:rsid w:val="00912239"/>
    <w:rsid w:val="009122B7"/>
    <w:rsid w:val="00912302"/>
    <w:rsid w:val="0091233D"/>
    <w:rsid w:val="00912357"/>
    <w:rsid w:val="009123AA"/>
    <w:rsid w:val="0091240C"/>
    <w:rsid w:val="0091246F"/>
    <w:rsid w:val="00912630"/>
    <w:rsid w:val="0091268A"/>
    <w:rsid w:val="009126A3"/>
    <w:rsid w:val="0091275C"/>
    <w:rsid w:val="009127D7"/>
    <w:rsid w:val="009128FF"/>
    <w:rsid w:val="00912A31"/>
    <w:rsid w:val="00912A9F"/>
    <w:rsid w:val="00912B52"/>
    <w:rsid w:val="00912B77"/>
    <w:rsid w:val="00912C28"/>
    <w:rsid w:val="00912C91"/>
    <w:rsid w:val="00912CAD"/>
    <w:rsid w:val="00912CF5"/>
    <w:rsid w:val="00912D1E"/>
    <w:rsid w:val="00912E24"/>
    <w:rsid w:val="00912F80"/>
    <w:rsid w:val="00912FA7"/>
    <w:rsid w:val="00912FBC"/>
    <w:rsid w:val="0091301C"/>
    <w:rsid w:val="00913032"/>
    <w:rsid w:val="00913035"/>
    <w:rsid w:val="009130CE"/>
    <w:rsid w:val="009130E3"/>
    <w:rsid w:val="00913154"/>
    <w:rsid w:val="0091322D"/>
    <w:rsid w:val="00913505"/>
    <w:rsid w:val="00913536"/>
    <w:rsid w:val="00913688"/>
    <w:rsid w:val="009136C0"/>
    <w:rsid w:val="00913756"/>
    <w:rsid w:val="00913770"/>
    <w:rsid w:val="0091384E"/>
    <w:rsid w:val="009138DC"/>
    <w:rsid w:val="009138F4"/>
    <w:rsid w:val="00913924"/>
    <w:rsid w:val="0091392C"/>
    <w:rsid w:val="00913991"/>
    <w:rsid w:val="009139FF"/>
    <w:rsid w:val="00913A00"/>
    <w:rsid w:val="00913A85"/>
    <w:rsid w:val="00913B24"/>
    <w:rsid w:val="00913D2D"/>
    <w:rsid w:val="00913D4E"/>
    <w:rsid w:val="00913E0A"/>
    <w:rsid w:val="00913F0C"/>
    <w:rsid w:val="00913F32"/>
    <w:rsid w:val="009140F7"/>
    <w:rsid w:val="00914107"/>
    <w:rsid w:val="0091417F"/>
    <w:rsid w:val="009142E7"/>
    <w:rsid w:val="009142FF"/>
    <w:rsid w:val="0091432E"/>
    <w:rsid w:val="00914397"/>
    <w:rsid w:val="00914610"/>
    <w:rsid w:val="0091466E"/>
    <w:rsid w:val="0091469F"/>
    <w:rsid w:val="009146CD"/>
    <w:rsid w:val="0091472B"/>
    <w:rsid w:val="00914734"/>
    <w:rsid w:val="0091477E"/>
    <w:rsid w:val="009147AA"/>
    <w:rsid w:val="009147F0"/>
    <w:rsid w:val="0091487D"/>
    <w:rsid w:val="009148AD"/>
    <w:rsid w:val="00914A7A"/>
    <w:rsid w:val="00914ADF"/>
    <w:rsid w:val="00914B76"/>
    <w:rsid w:val="00914B87"/>
    <w:rsid w:val="00914C58"/>
    <w:rsid w:val="00914D6B"/>
    <w:rsid w:val="00914E10"/>
    <w:rsid w:val="00914E54"/>
    <w:rsid w:val="00914EA7"/>
    <w:rsid w:val="00914F79"/>
    <w:rsid w:val="00914FF0"/>
    <w:rsid w:val="00915089"/>
    <w:rsid w:val="009150E3"/>
    <w:rsid w:val="00915289"/>
    <w:rsid w:val="009153E9"/>
    <w:rsid w:val="0091540F"/>
    <w:rsid w:val="0091546B"/>
    <w:rsid w:val="00915481"/>
    <w:rsid w:val="009154E2"/>
    <w:rsid w:val="009155A5"/>
    <w:rsid w:val="00915647"/>
    <w:rsid w:val="00915710"/>
    <w:rsid w:val="00915785"/>
    <w:rsid w:val="009157A6"/>
    <w:rsid w:val="0091580B"/>
    <w:rsid w:val="00915817"/>
    <w:rsid w:val="009159AF"/>
    <w:rsid w:val="009159FB"/>
    <w:rsid w:val="00915B88"/>
    <w:rsid w:val="00915C21"/>
    <w:rsid w:val="00915C60"/>
    <w:rsid w:val="00915C8E"/>
    <w:rsid w:val="00915CBF"/>
    <w:rsid w:val="00915CE6"/>
    <w:rsid w:val="00915D9D"/>
    <w:rsid w:val="00915E1C"/>
    <w:rsid w:val="00915E95"/>
    <w:rsid w:val="00915EA6"/>
    <w:rsid w:val="00915FAC"/>
    <w:rsid w:val="009161DD"/>
    <w:rsid w:val="0091621D"/>
    <w:rsid w:val="009162AE"/>
    <w:rsid w:val="0091636B"/>
    <w:rsid w:val="009163B1"/>
    <w:rsid w:val="009164CB"/>
    <w:rsid w:val="009165E3"/>
    <w:rsid w:val="0091668E"/>
    <w:rsid w:val="009166D8"/>
    <w:rsid w:val="0091678F"/>
    <w:rsid w:val="009167EA"/>
    <w:rsid w:val="009167EC"/>
    <w:rsid w:val="0091680C"/>
    <w:rsid w:val="00916812"/>
    <w:rsid w:val="00916856"/>
    <w:rsid w:val="009168BA"/>
    <w:rsid w:val="009168BD"/>
    <w:rsid w:val="009168EB"/>
    <w:rsid w:val="00916902"/>
    <w:rsid w:val="009169CA"/>
    <w:rsid w:val="00916B02"/>
    <w:rsid w:val="00916BC4"/>
    <w:rsid w:val="00916C43"/>
    <w:rsid w:val="00916CF6"/>
    <w:rsid w:val="00916E3B"/>
    <w:rsid w:val="00916F50"/>
    <w:rsid w:val="00916FDC"/>
    <w:rsid w:val="00917032"/>
    <w:rsid w:val="00917257"/>
    <w:rsid w:val="00917398"/>
    <w:rsid w:val="0091743E"/>
    <w:rsid w:val="0091747C"/>
    <w:rsid w:val="0091751F"/>
    <w:rsid w:val="0091752C"/>
    <w:rsid w:val="00917600"/>
    <w:rsid w:val="00917602"/>
    <w:rsid w:val="00917606"/>
    <w:rsid w:val="00917609"/>
    <w:rsid w:val="009176E9"/>
    <w:rsid w:val="009176F8"/>
    <w:rsid w:val="00917704"/>
    <w:rsid w:val="00917765"/>
    <w:rsid w:val="0091782B"/>
    <w:rsid w:val="009178FB"/>
    <w:rsid w:val="009179AF"/>
    <w:rsid w:val="00917B63"/>
    <w:rsid w:val="00917C92"/>
    <w:rsid w:val="00917CE1"/>
    <w:rsid w:val="00917D05"/>
    <w:rsid w:val="00917D48"/>
    <w:rsid w:val="00917D61"/>
    <w:rsid w:val="00917E3A"/>
    <w:rsid w:val="00917F06"/>
    <w:rsid w:val="00917FCC"/>
    <w:rsid w:val="0092000B"/>
    <w:rsid w:val="009200E7"/>
    <w:rsid w:val="00920164"/>
    <w:rsid w:val="00920180"/>
    <w:rsid w:val="00920213"/>
    <w:rsid w:val="0092021A"/>
    <w:rsid w:val="009202A4"/>
    <w:rsid w:val="00920331"/>
    <w:rsid w:val="00920367"/>
    <w:rsid w:val="0092048D"/>
    <w:rsid w:val="009204F3"/>
    <w:rsid w:val="00920712"/>
    <w:rsid w:val="00920823"/>
    <w:rsid w:val="0092090B"/>
    <w:rsid w:val="009209E1"/>
    <w:rsid w:val="00920B7C"/>
    <w:rsid w:val="00920CA1"/>
    <w:rsid w:val="00920D6F"/>
    <w:rsid w:val="00920E17"/>
    <w:rsid w:val="00920E2C"/>
    <w:rsid w:val="00921015"/>
    <w:rsid w:val="00921039"/>
    <w:rsid w:val="0092105C"/>
    <w:rsid w:val="009210B0"/>
    <w:rsid w:val="00921203"/>
    <w:rsid w:val="0092120B"/>
    <w:rsid w:val="00921357"/>
    <w:rsid w:val="00921403"/>
    <w:rsid w:val="00921513"/>
    <w:rsid w:val="009215CF"/>
    <w:rsid w:val="009215D9"/>
    <w:rsid w:val="009215F0"/>
    <w:rsid w:val="009216CF"/>
    <w:rsid w:val="00921717"/>
    <w:rsid w:val="00921977"/>
    <w:rsid w:val="00921985"/>
    <w:rsid w:val="00921A76"/>
    <w:rsid w:val="00921AA0"/>
    <w:rsid w:val="00921B56"/>
    <w:rsid w:val="00921CD6"/>
    <w:rsid w:val="00921E62"/>
    <w:rsid w:val="00921E89"/>
    <w:rsid w:val="00921EAB"/>
    <w:rsid w:val="00921EAD"/>
    <w:rsid w:val="00921EF9"/>
    <w:rsid w:val="00921F81"/>
    <w:rsid w:val="00921FC1"/>
    <w:rsid w:val="009220B7"/>
    <w:rsid w:val="009220F6"/>
    <w:rsid w:val="0092210B"/>
    <w:rsid w:val="00922137"/>
    <w:rsid w:val="00922153"/>
    <w:rsid w:val="00922179"/>
    <w:rsid w:val="009221BC"/>
    <w:rsid w:val="00922249"/>
    <w:rsid w:val="00922269"/>
    <w:rsid w:val="00922280"/>
    <w:rsid w:val="00922412"/>
    <w:rsid w:val="00922437"/>
    <w:rsid w:val="00922538"/>
    <w:rsid w:val="009226B7"/>
    <w:rsid w:val="0092275A"/>
    <w:rsid w:val="00922761"/>
    <w:rsid w:val="009227CF"/>
    <w:rsid w:val="0092282C"/>
    <w:rsid w:val="00922909"/>
    <w:rsid w:val="00922943"/>
    <w:rsid w:val="00922ADB"/>
    <w:rsid w:val="00922BED"/>
    <w:rsid w:val="00922C23"/>
    <w:rsid w:val="00922C5B"/>
    <w:rsid w:val="00922C72"/>
    <w:rsid w:val="00922E51"/>
    <w:rsid w:val="00922EA1"/>
    <w:rsid w:val="00922F23"/>
    <w:rsid w:val="00922F44"/>
    <w:rsid w:val="00923089"/>
    <w:rsid w:val="0092310C"/>
    <w:rsid w:val="0092319E"/>
    <w:rsid w:val="009231B8"/>
    <w:rsid w:val="0092320B"/>
    <w:rsid w:val="00923276"/>
    <w:rsid w:val="009232A4"/>
    <w:rsid w:val="00923329"/>
    <w:rsid w:val="009233C0"/>
    <w:rsid w:val="00923480"/>
    <w:rsid w:val="009235DF"/>
    <w:rsid w:val="00923690"/>
    <w:rsid w:val="009237CD"/>
    <w:rsid w:val="009237FF"/>
    <w:rsid w:val="00923809"/>
    <w:rsid w:val="0092386E"/>
    <w:rsid w:val="0092394A"/>
    <w:rsid w:val="009239FB"/>
    <w:rsid w:val="00923A0A"/>
    <w:rsid w:val="00923A66"/>
    <w:rsid w:val="00923AA2"/>
    <w:rsid w:val="00923ACB"/>
    <w:rsid w:val="00923ADB"/>
    <w:rsid w:val="00923AEE"/>
    <w:rsid w:val="00923B9C"/>
    <w:rsid w:val="00923C16"/>
    <w:rsid w:val="00923C26"/>
    <w:rsid w:val="00923C35"/>
    <w:rsid w:val="00923CAC"/>
    <w:rsid w:val="00923D1B"/>
    <w:rsid w:val="00923DDA"/>
    <w:rsid w:val="00923F23"/>
    <w:rsid w:val="00923FB9"/>
    <w:rsid w:val="0092421F"/>
    <w:rsid w:val="0092422B"/>
    <w:rsid w:val="00924368"/>
    <w:rsid w:val="009243B5"/>
    <w:rsid w:val="0092459A"/>
    <w:rsid w:val="009246B3"/>
    <w:rsid w:val="009246FD"/>
    <w:rsid w:val="00924790"/>
    <w:rsid w:val="00924829"/>
    <w:rsid w:val="0092488D"/>
    <w:rsid w:val="00924955"/>
    <w:rsid w:val="009249A2"/>
    <w:rsid w:val="00924C96"/>
    <w:rsid w:val="00924CB8"/>
    <w:rsid w:val="00924CD3"/>
    <w:rsid w:val="00924DE0"/>
    <w:rsid w:val="00924E4E"/>
    <w:rsid w:val="00924E50"/>
    <w:rsid w:val="00924EDE"/>
    <w:rsid w:val="00924F29"/>
    <w:rsid w:val="00924F70"/>
    <w:rsid w:val="00924F77"/>
    <w:rsid w:val="00924FC0"/>
    <w:rsid w:val="00925030"/>
    <w:rsid w:val="009251BD"/>
    <w:rsid w:val="0092520B"/>
    <w:rsid w:val="00925223"/>
    <w:rsid w:val="00925284"/>
    <w:rsid w:val="00925332"/>
    <w:rsid w:val="0092533E"/>
    <w:rsid w:val="00925558"/>
    <w:rsid w:val="00925586"/>
    <w:rsid w:val="0092598C"/>
    <w:rsid w:val="00925A47"/>
    <w:rsid w:val="00925B11"/>
    <w:rsid w:val="00925BFB"/>
    <w:rsid w:val="00925C63"/>
    <w:rsid w:val="00925D8D"/>
    <w:rsid w:val="00925E5F"/>
    <w:rsid w:val="00925E64"/>
    <w:rsid w:val="00925E88"/>
    <w:rsid w:val="00925EC2"/>
    <w:rsid w:val="00925F55"/>
    <w:rsid w:val="00925F80"/>
    <w:rsid w:val="00925FDF"/>
    <w:rsid w:val="00925FFD"/>
    <w:rsid w:val="00926085"/>
    <w:rsid w:val="0092611C"/>
    <w:rsid w:val="00926142"/>
    <w:rsid w:val="00926282"/>
    <w:rsid w:val="009262CF"/>
    <w:rsid w:val="009263CD"/>
    <w:rsid w:val="009263F4"/>
    <w:rsid w:val="009263F9"/>
    <w:rsid w:val="0092651B"/>
    <w:rsid w:val="00926566"/>
    <w:rsid w:val="009265B6"/>
    <w:rsid w:val="009266EA"/>
    <w:rsid w:val="0092672C"/>
    <w:rsid w:val="009267A0"/>
    <w:rsid w:val="009268BC"/>
    <w:rsid w:val="00926962"/>
    <w:rsid w:val="009269A2"/>
    <w:rsid w:val="009269F4"/>
    <w:rsid w:val="009269F7"/>
    <w:rsid w:val="00926A97"/>
    <w:rsid w:val="00926AA3"/>
    <w:rsid w:val="00926B14"/>
    <w:rsid w:val="00926B68"/>
    <w:rsid w:val="00926B71"/>
    <w:rsid w:val="00926C7D"/>
    <w:rsid w:val="00926E47"/>
    <w:rsid w:val="00926EDA"/>
    <w:rsid w:val="00926F2A"/>
    <w:rsid w:val="00927035"/>
    <w:rsid w:val="009271C1"/>
    <w:rsid w:val="009273D2"/>
    <w:rsid w:val="00927410"/>
    <w:rsid w:val="00927430"/>
    <w:rsid w:val="0092753D"/>
    <w:rsid w:val="00927625"/>
    <w:rsid w:val="00927686"/>
    <w:rsid w:val="0092773B"/>
    <w:rsid w:val="00927A0C"/>
    <w:rsid w:val="00927A40"/>
    <w:rsid w:val="00927B14"/>
    <w:rsid w:val="00927BF7"/>
    <w:rsid w:val="00927C1A"/>
    <w:rsid w:val="00927C50"/>
    <w:rsid w:val="00927CA1"/>
    <w:rsid w:val="00927D27"/>
    <w:rsid w:val="00927E6F"/>
    <w:rsid w:val="00927E78"/>
    <w:rsid w:val="00927FA9"/>
    <w:rsid w:val="00927FF0"/>
    <w:rsid w:val="00927FFC"/>
    <w:rsid w:val="00930038"/>
    <w:rsid w:val="00930096"/>
    <w:rsid w:val="00930285"/>
    <w:rsid w:val="0093031C"/>
    <w:rsid w:val="0093031D"/>
    <w:rsid w:val="00930352"/>
    <w:rsid w:val="00930366"/>
    <w:rsid w:val="0093048B"/>
    <w:rsid w:val="009305F2"/>
    <w:rsid w:val="009305F8"/>
    <w:rsid w:val="00930615"/>
    <w:rsid w:val="0093069B"/>
    <w:rsid w:val="009306AC"/>
    <w:rsid w:val="00930777"/>
    <w:rsid w:val="009307F1"/>
    <w:rsid w:val="009308D0"/>
    <w:rsid w:val="00930953"/>
    <w:rsid w:val="009309A5"/>
    <w:rsid w:val="009309C2"/>
    <w:rsid w:val="00930A1E"/>
    <w:rsid w:val="00930B5E"/>
    <w:rsid w:val="00930C97"/>
    <w:rsid w:val="00930D95"/>
    <w:rsid w:val="00930E1A"/>
    <w:rsid w:val="00930E1E"/>
    <w:rsid w:val="00930FE7"/>
    <w:rsid w:val="00931080"/>
    <w:rsid w:val="009310BF"/>
    <w:rsid w:val="00931287"/>
    <w:rsid w:val="0093129E"/>
    <w:rsid w:val="009312C2"/>
    <w:rsid w:val="00931342"/>
    <w:rsid w:val="009314E7"/>
    <w:rsid w:val="00931581"/>
    <w:rsid w:val="00931593"/>
    <w:rsid w:val="0093159E"/>
    <w:rsid w:val="00931688"/>
    <w:rsid w:val="00931A31"/>
    <w:rsid w:val="00931A65"/>
    <w:rsid w:val="00931A88"/>
    <w:rsid w:val="00931B23"/>
    <w:rsid w:val="00931BF2"/>
    <w:rsid w:val="00931BFB"/>
    <w:rsid w:val="00931C5D"/>
    <w:rsid w:val="00931ECB"/>
    <w:rsid w:val="00931FCF"/>
    <w:rsid w:val="0093201F"/>
    <w:rsid w:val="009321D9"/>
    <w:rsid w:val="00932226"/>
    <w:rsid w:val="009322BE"/>
    <w:rsid w:val="00932312"/>
    <w:rsid w:val="00932335"/>
    <w:rsid w:val="00932474"/>
    <w:rsid w:val="00932484"/>
    <w:rsid w:val="009325F5"/>
    <w:rsid w:val="00932755"/>
    <w:rsid w:val="0093277B"/>
    <w:rsid w:val="00932810"/>
    <w:rsid w:val="0093286F"/>
    <w:rsid w:val="009329B8"/>
    <w:rsid w:val="00932A87"/>
    <w:rsid w:val="00932AB6"/>
    <w:rsid w:val="00932BAB"/>
    <w:rsid w:val="00932E74"/>
    <w:rsid w:val="00932EE6"/>
    <w:rsid w:val="00932FD5"/>
    <w:rsid w:val="009330C9"/>
    <w:rsid w:val="009330F1"/>
    <w:rsid w:val="0093315B"/>
    <w:rsid w:val="009331A3"/>
    <w:rsid w:val="0093325E"/>
    <w:rsid w:val="00933299"/>
    <w:rsid w:val="00933349"/>
    <w:rsid w:val="00933366"/>
    <w:rsid w:val="00933521"/>
    <w:rsid w:val="00933545"/>
    <w:rsid w:val="009335DF"/>
    <w:rsid w:val="0093365E"/>
    <w:rsid w:val="00933729"/>
    <w:rsid w:val="00933743"/>
    <w:rsid w:val="009337EB"/>
    <w:rsid w:val="009337F9"/>
    <w:rsid w:val="00933802"/>
    <w:rsid w:val="00933810"/>
    <w:rsid w:val="0093382F"/>
    <w:rsid w:val="00933895"/>
    <w:rsid w:val="00933BAF"/>
    <w:rsid w:val="00933D59"/>
    <w:rsid w:val="00933DB9"/>
    <w:rsid w:val="00933DCE"/>
    <w:rsid w:val="00933E50"/>
    <w:rsid w:val="00933F05"/>
    <w:rsid w:val="00933F4F"/>
    <w:rsid w:val="00933FDD"/>
    <w:rsid w:val="00934050"/>
    <w:rsid w:val="00934163"/>
    <w:rsid w:val="009341E2"/>
    <w:rsid w:val="00934235"/>
    <w:rsid w:val="009342B7"/>
    <w:rsid w:val="00934364"/>
    <w:rsid w:val="0093446D"/>
    <w:rsid w:val="0093453D"/>
    <w:rsid w:val="00934573"/>
    <w:rsid w:val="009345B2"/>
    <w:rsid w:val="009345D3"/>
    <w:rsid w:val="00934689"/>
    <w:rsid w:val="0093479C"/>
    <w:rsid w:val="009347C5"/>
    <w:rsid w:val="0093482E"/>
    <w:rsid w:val="00934848"/>
    <w:rsid w:val="00934A09"/>
    <w:rsid w:val="00934ACE"/>
    <w:rsid w:val="00934BD4"/>
    <w:rsid w:val="00934BF5"/>
    <w:rsid w:val="00934CAD"/>
    <w:rsid w:val="00934ECA"/>
    <w:rsid w:val="00934F00"/>
    <w:rsid w:val="00934FBA"/>
    <w:rsid w:val="00934FEF"/>
    <w:rsid w:val="00935003"/>
    <w:rsid w:val="009350AA"/>
    <w:rsid w:val="009350E6"/>
    <w:rsid w:val="00935142"/>
    <w:rsid w:val="0093515F"/>
    <w:rsid w:val="0093519B"/>
    <w:rsid w:val="009351DB"/>
    <w:rsid w:val="009352CC"/>
    <w:rsid w:val="009353CD"/>
    <w:rsid w:val="009353FB"/>
    <w:rsid w:val="0093582B"/>
    <w:rsid w:val="0093584D"/>
    <w:rsid w:val="0093588C"/>
    <w:rsid w:val="00935893"/>
    <w:rsid w:val="00935A0B"/>
    <w:rsid w:val="00935B25"/>
    <w:rsid w:val="00935D18"/>
    <w:rsid w:val="00935E3F"/>
    <w:rsid w:val="00935E8E"/>
    <w:rsid w:val="00935F2E"/>
    <w:rsid w:val="00936053"/>
    <w:rsid w:val="0093606C"/>
    <w:rsid w:val="0093607C"/>
    <w:rsid w:val="0093608F"/>
    <w:rsid w:val="0093609F"/>
    <w:rsid w:val="009360D2"/>
    <w:rsid w:val="0093610C"/>
    <w:rsid w:val="00936121"/>
    <w:rsid w:val="00936162"/>
    <w:rsid w:val="00936225"/>
    <w:rsid w:val="00936370"/>
    <w:rsid w:val="009364AD"/>
    <w:rsid w:val="009364D7"/>
    <w:rsid w:val="009365A8"/>
    <w:rsid w:val="0093669B"/>
    <w:rsid w:val="00936773"/>
    <w:rsid w:val="009369CC"/>
    <w:rsid w:val="009369FB"/>
    <w:rsid w:val="00936A9D"/>
    <w:rsid w:val="00936B8B"/>
    <w:rsid w:val="00936D63"/>
    <w:rsid w:val="00936D7D"/>
    <w:rsid w:val="00936DD3"/>
    <w:rsid w:val="00936EC2"/>
    <w:rsid w:val="00936FDA"/>
    <w:rsid w:val="00936FEE"/>
    <w:rsid w:val="00936FF1"/>
    <w:rsid w:val="00937044"/>
    <w:rsid w:val="009370BB"/>
    <w:rsid w:val="009370D3"/>
    <w:rsid w:val="009371A9"/>
    <w:rsid w:val="00937252"/>
    <w:rsid w:val="00937498"/>
    <w:rsid w:val="00937548"/>
    <w:rsid w:val="00937586"/>
    <w:rsid w:val="009375BA"/>
    <w:rsid w:val="0093762F"/>
    <w:rsid w:val="009377A5"/>
    <w:rsid w:val="009377BE"/>
    <w:rsid w:val="00937B33"/>
    <w:rsid w:val="00937B84"/>
    <w:rsid w:val="00937B9E"/>
    <w:rsid w:val="00937C85"/>
    <w:rsid w:val="00937D76"/>
    <w:rsid w:val="00937E25"/>
    <w:rsid w:val="00937E42"/>
    <w:rsid w:val="00937EE1"/>
    <w:rsid w:val="00937EF3"/>
    <w:rsid w:val="00937F5A"/>
    <w:rsid w:val="00937F91"/>
    <w:rsid w:val="00940024"/>
    <w:rsid w:val="00940127"/>
    <w:rsid w:val="009402DE"/>
    <w:rsid w:val="00940488"/>
    <w:rsid w:val="009404BC"/>
    <w:rsid w:val="00940572"/>
    <w:rsid w:val="00940653"/>
    <w:rsid w:val="009406B0"/>
    <w:rsid w:val="009406DD"/>
    <w:rsid w:val="00940710"/>
    <w:rsid w:val="00940775"/>
    <w:rsid w:val="00940947"/>
    <w:rsid w:val="0094098A"/>
    <w:rsid w:val="00940A20"/>
    <w:rsid w:val="00940A64"/>
    <w:rsid w:val="00940AE3"/>
    <w:rsid w:val="00940B6E"/>
    <w:rsid w:val="00940CB9"/>
    <w:rsid w:val="00940CD2"/>
    <w:rsid w:val="00940CEA"/>
    <w:rsid w:val="00940F16"/>
    <w:rsid w:val="00940F9C"/>
    <w:rsid w:val="009410EF"/>
    <w:rsid w:val="00941173"/>
    <w:rsid w:val="00941262"/>
    <w:rsid w:val="009412E8"/>
    <w:rsid w:val="0094135E"/>
    <w:rsid w:val="009413DD"/>
    <w:rsid w:val="009413FE"/>
    <w:rsid w:val="0094149A"/>
    <w:rsid w:val="009415A9"/>
    <w:rsid w:val="0094162F"/>
    <w:rsid w:val="00941683"/>
    <w:rsid w:val="009416FE"/>
    <w:rsid w:val="00941788"/>
    <w:rsid w:val="0094185A"/>
    <w:rsid w:val="00941957"/>
    <w:rsid w:val="00941A25"/>
    <w:rsid w:val="00941A56"/>
    <w:rsid w:val="00941A8C"/>
    <w:rsid w:val="00941C32"/>
    <w:rsid w:val="00941C5D"/>
    <w:rsid w:val="00941C90"/>
    <w:rsid w:val="00941C9D"/>
    <w:rsid w:val="00941DA1"/>
    <w:rsid w:val="00941DCB"/>
    <w:rsid w:val="00941E45"/>
    <w:rsid w:val="00941E73"/>
    <w:rsid w:val="00941F1A"/>
    <w:rsid w:val="00941F33"/>
    <w:rsid w:val="009420DE"/>
    <w:rsid w:val="0094215B"/>
    <w:rsid w:val="009422DC"/>
    <w:rsid w:val="00942441"/>
    <w:rsid w:val="00942485"/>
    <w:rsid w:val="00942538"/>
    <w:rsid w:val="00942574"/>
    <w:rsid w:val="009425DF"/>
    <w:rsid w:val="0094270D"/>
    <w:rsid w:val="009427E7"/>
    <w:rsid w:val="00942819"/>
    <w:rsid w:val="00942A1E"/>
    <w:rsid w:val="00942C0C"/>
    <w:rsid w:val="00942C1A"/>
    <w:rsid w:val="00942C50"/>
    <w:rsid w:val="00942C98"/>
    <w:rsid w:val="00942E48"/>
    <w:rsid w:val="00942F53"/>
    <w:rsid w:val="00942FB4"/>
    <w:rsid w:val="00943244"/>
    <w:rsid w:val="0094338B"/>
    <w:rsid w:val="00943396"/>
    <w:rsid w:val="00943448"/>
    <w:rsid w:val="0094361B"/>
    <w:rsid w:val="0094363C"/>
    <w:rsid w:val="00943656"/>
    <w:rsid w:val="0094365C"/>
    <w:rsid w:val="00943736"/>
    <w:rsid w:val="009437D3"/>
    <w:rsid w:val="0094394B"/>
    <w:rsid w:val="00943A46"/>
    <w:rsid w:val="00943A4E"/>
    <w:rsid w:val="00943A73"/>
    <w:rsid w:val="00943A76"/>
    <w:rsid w:val="00943BBA"/>
    <w:rsid w:val="00943C38"/>
    <w:rsid w:val="00943C5D"/>
    <w:rsid w:val="00943CBC"/>
    <w:rsid w:val="00943D38"/>
    <w:rsid w:val="00943D59"/>
    <w:rsid w:val="00943E47"/>
    <w:rsid w:val="00943F5D"/>
    <w:rsid w:val="00944072"/>
    <w:rsid w:val="0094418E"/>
    <w:rsid w:val="0094471E"/>
    <w:rsid w:val="009447A9"/>
    <w:rsid w:val="009448C5"/>
    <w:rsid w:val="0094490F"/>
    <w:rsid w:val="0094495F"/>
    <w:rsid w:val="00944AA0"/>
    <w:rsid w:val="00944AFC"/>
    <w:rsid w:val="00944B72"/>
    <w:rsid w:val="00944C18"/>
    <w:rsid w:val="00944CDB"/>
    <w:rsid w:val="00944DA7"/>
    <w:rsid w:val="00944E52"/>
    <w:rsid w:val="00944E84"/>
    <w:rsid w:val="00944EE6"/>
    <w:rsid w:val="00945269"/>
    <w:rsid w:val="0094529E"/>
    <w:rsid w:val="00945307"/>
    <w:rsid w:val="00945528"/>
    <w:rsid w:val="0094556B"/>
    <w:rsid w:val="009455F1"/>
    <w:rsid w:val="0094570F"/>
    <w:rsid w:val="0094571A"/>
    <w:rsid w:val="00945895"/>
    <w:rsid w:val="009458BD"/>
    <w:rsid w:val="00945961"/>
    <w:rsid w:val="00945A52"/>
    <w:rsid w:val="00945B2E"/>
    <w:rsid w:val="00945B53"/>
    <w:rsid w:val="00945CF1"/>
    <w:rsid w:val="00945D13"/>
    <w:rsid w:val="00945DCD"/>
    <w:rsid w:val="00945E6D"/>
    <w:rsid w:val="00945F5C"/>
    <w:rsid w:val="00946106"/>
    <w:rsid w:val="00946132"/>
    <w:rsid w:val="0094614D"/>
    <w:rsid w:val="009461B3"/>
    <w:rsid w:val="0094622E"/>
    <w:rsid w:val="009462E1"/>
    <w:rsid w:val="0094646F"/>
    <w:rsid w:val="009464C8"/>
    <w:rsid w:val="00946726"/>
    <w:rsid w:val="00946805"/>
    <w:rsid w:val="00946882"/>
    <w:rsid w:val="009468EC"/>
    <w:rsid w:val="00946922"/>
    <w:rsid w:val="00946955"/>
    <w:rsid w:val="00946976"/>
    <w:rsid w:val="00946ACD"/>
    <w:rsid w:val="00946C70"/>
    <w:rsid w:val="00946D29"/>
    <w:rsid w:val="00946E77"/>
    <w:rsid w:val="00946F33"/>
    <w:rsid w:val="00946F56"/>
    <w:rsid w:val="00946F5A"/>
    <w:rsid w:val="00946FC7"/>
    <w:rsid w:val="00947019"/>
    <w:rsid w:val="009471AA"/>
    <w:rsid w:val="009471DB"/>
    <w:rsid w:val="00947210"/>
    <w:rsid w:val="009473B6"/>
    <w:rsid w:val="00947453"/>
    <w:rsid w:val="00947909"/>
    <w:rsid w:val="009479BE"/>
    <w:rsid w:val="009479DA"/>
    <w:rsid w:val="009479F2"/>
    <w:rsid w:val="00947A0A"/>
    <w:rsid w:val="00947B40"/>
    <w:rsid w:val="00947C64"/>
    <w:rsid w:val="00947CA4"/>
    <w:rsid w:val="00947DC8"/>
    <w:rsid w:val="00947E92"/>
    <w:rsid w:val="00947FA7"/>
    <w:rsid w:val="009500CC"/>
    <w:rsid w:val="00950125"/>
    <w:rsid w:val="00950134"/>
    <w:rsid w:val="009501E5"/>
    <w:rsid w:val="00950290"/>
    <w:rsid w:val="0095031A"/>
    <w:rsid w:val="009503A1"/>
    <w:rsid w:val="00950404"/>
    <w:rsid w:val="00950464"/>
    <w:rsid w:val="009504B3"/>
    <w:rsid w:val="009504FE"/>
    <w:rsid w:val="00950624"/>
    <w:rsid w:val="00950761"/>
    <w:rsid w:val="009507B6"/>
    <w:rsid w:val="009508A7"/>
    <w:rsid w:val="009509CC"/>
    <w:rsid w:val="00950A92"/>
    <w:rsid w:val="00950AD8"/>
    <w:rsid w:val="00950B5D"/>
    <w:rsid w:val="00950EC0"/>
    <w:rsid w:val="00950EDF"/>
    <w:rsid w:val="00950FA3"/>
    <w:rsid w:val="0095100C"/>
    <w:rsid w:val="00951043"/>
    <w:rsid w:val="00951106"/>
    <w:rsid w:val="009511D8"/>
    <w:rsid w:val="009511F8"/>
    <w:rsid w:val="00951218"/>
    <w:rsid w:val="00951251"/>
    <w:rsid w:val="00951620"/>
    <w:rsid w:val="0095162C"/>
    <w:rsid w:val="0095167C"/>
    <w:rsid w:val="009516E5"/>
    <w:rsid w:val="009517D3"/>
    <w:rsid w:val="009518B5"/>
    <w:rsid w:val="009518D7"/>
    <w:rsid w:val="00951A59"/>
    <w:rsid w:val="00951A9B"/>
    <w:rsid w:val="00951B1E"/>
    <w:rsid w:val="00951C7A"/>
    <w:rsid w:val="00951C93"/>
    <w:rsid w:val="00951D6A"/>
    <w:rsid w:val="00951DF5"/>
    <w:rsid w:val="00951E15"/>
    <w:rsid w:val="00951ED4"/>
    <w:rsid w:val="00951FCE"/>
    <w:rsid w:val="0095215C"/>
    <w:rsid w:val="009523F9"/>
    <w:rsid w:val="00952451"/>
    <w:rsid w:val="009524AF"/>
    <w:rsid w:val="00952690"/>
    <w:rsid w:val="009528BE"/>
    <w:rsid w:val="0095290B"/>
    <w:rsid w:val="00952941"/>
    <w:rsid w:val="00952AB3"/>
    <w:rsid w:val="00952B31"/>
    <w:rsid w:val="00952BFA"/>
    <w:rsid w:val="00952C93"/>
    <w:rsid w:val="00952D73"/>
    <w:rsid w:val="00952E4D"/>
    <w:rsid w:val="00952ED3"/>
    <w:rsid w:val="00952F13"/>
    <w:rsid w:val="00952F3F"/>
    <w:rsid w:val="00952F59"/>
    <w:rsid w:val="00952F7A"/>
    <w:rsid w:val="00952FD8"/>
    <w:rsid w:val="009530B2"/>
    <w:rsid w:val="009531B6"/>
    <w:rsid w:val="009532A0"/>
    <w:rsid w:val="00953406"/>
    <w:rsid w:val="00953441"/>
    <w:rsid w:val="009534F6"/>
    <w:rsid w:val="00953500"/>
    <w:rsid w:val="00953523"/>
    <w:rsid w:val="00953561"/>
    <w:rsid w:val="009536BD"/>
    <w:rsid w:val="0095370F"/>
    <w:rsid w:val="0095372E"/>
    <w:rsid w:val="0095384F"/>
    <w:rsid w:val="00953998"/>
    <w:rsid w:val="00953A0F"/>
    <w:rsid w:val="00953D22"/>
    <w:rsid w:val="00953E62"/>
    <w:rsid w:val="00953ED7"/>
    <w:rsid w:val="00954007"/>
    <w:rsid w:val="00954022"/>
    <w:rsid w:val="009541C2"/>
    <w:rsid w:val="00954210"/>
    <w:rsid w:val="0095427D"/>
    <w:rsid w:val="009542B5"/>
    <w:rsid w:val="00954389"/>
    <w:rsid w:val="00954412"/>
    <w:rsid w:val="00954559"/>
    <w:rsid w:val="0095456D"/>
    <w:rsid w:val="00954591"/>
    <w:rsid w:val="009546FB"/>
    <w:rsid w:val="00954701"/>
    <w:rsid w:val="00954742"/>
    <w:rsid w:val="00954863"/>
    <w:rsid w:val="009548E5"/>
    <w:rsid w:val="00954A30"/>
    <w:rsid w:val="00954A77"/>
    <w:rsid w:val="00954AB8"/>
    <w:rsid w:val="00954AFB"/>
    <w:rsid w:val="00954BF4"/>
    <w:rsid w:val="00954C38"/>
    <w:rsid w:val="00954E29"/>
    <w:rsid w:val="00954E55"/>
    <w:rsid w:val="00954E61"/>
    <w:rsid w:val="00954F75"/>
    <w:rsid w:val="00954FF1"/>
    <w:rsid w:val="00955024"/>
    <w:rsid w:val="00955040"/>
    <w:rsid w:val="009550A4"/>
    <w:rsid w:val="009550BC"/>
    <w:rsid w:val="009553AF"/>
    <w:rsid w:val="009554A2"/>
    <w:rsid w:val="009554F6"/>
    <w:rsid w:val="009555D5"/>
    <w:rsid w:val="0095560C"/>
    <w:rsid w:val="009557BE"/>
    <w:rsid w:val="009557E8"/>
    <w:rsid w:val="0095585C"/>
    <w:rsid w:val="009559AD"/>
    <w:rsid w:val="009559C3"/>
    <w:rsid w:val="009559F4"/>
    <w:rsid w:val="00955CF7"/>
    <w:rsid w:val="00955D55"/>
    <w:rsid w:val="00955D89"/>
    <w:rsid w:val="00955E5F"/>
    <w:rsid w:val="00955EC2"/>
    <w:rsid w:val="00955F2B"/>
    <w:rsid w:val="009560FF"/>
    <w:rsid w:val="00956178"/>
    <w:rsid w:val="00956245"/>
    <w:rsid w:val="00956286"/>
    <w:rsid w:val="009562DE"/>
    <w:rsid w:val="00956342"/>
    <w:rsid w:val="0095641C"/>
    <w:rsid w:val="009564D2"/>
    <w:rsid w:val="009564F0"/>
    <w:rsid w:val="0095652F"/>
    <w:rsid w:val="009566A3"/>
    <w:rsid w:val="00956968"/>
    <w:rsid w:val="009569FE"/>
    <w:rsid w:val="00956B2D"/>
    <w:rsid w:val="00956B3D"/>
    <w:rsid w:val="00956C0F"/>
    <w:rsid w:val="00956C63"/>
    <w:rsid w:val="00956CD1"/>
    <w:rsid w:val="00956CDA"/>
    <w:rsid w:val="00956DF1"/>
    <w:rsid w:val="00956DFE"/>
    <w:rsid w:val="00956F21"/>
    <w:rsid w:val="00956F28"/>
    <w:rsid w:val="00957040"/>
    <w:rsid w:val="00957098"/>
    <w:rsid w:val="00957203"/>
    <w:rsid w:val="0095723F"/>
    <w:rsid w:val="00957343"/>
    <w:rsid w:val="00957357"/>
    <w:rsid w:val="009573F1"/>
    <w:rsid w:val="0095745C"/>
    <w:rsid w:val="0095755B"/>
    <w:rsid w:val="00957566"/>
    <w:rsid w:val="0095764D"/>
    <w:rsid w:val="00957652"/>
    <w:rsid w:val="009576C5"/>
    <w:rsid w:val="009576CC"/>
    <w:rsid w:val="009578D6"/>
    <w:rsid w:val="00957917"/>
    <w:rsid w:val="00957958"/>
    <w:rsid w:val="00957964"/>
    <w:rsid w:val="00957B57"/>
    <w:rsid w:val="00957BD0"/>
    <w:rsid w:val="00957BD9"/>
    <w:rsid w:val="00957BE9"/>
    <w:rsid w:val="00957C3D"/>
    <w:rsid w:val="00957E16"/>
    <w:rsid w:val="00957E88"/>
    <w:rsid w:val="00957F9F"/>
    <w:rsid w:val="00957FA0"/>
    <w:rsid w:val="00957FC9"/>
    <w:rsid w:val="0096009F"/>
    <w:rsid w:val="009601A6"/>
    <w:rsid w:val="009601B3"/>
    <w:rsid w:val="00960239"/>
    <w:rsid w:val="00960240"/>
    <w:rsid w:val="00960241"/>
    <w:rsid w:val="00960393"/>
    <w:rsid w:val="009603C2"/>
    <w:rsid w:val="009603C4"/>
    <w:rsid w:val="009603F5"/>
    <w:rsid w:val="00960419"/>
    <w:rsid w:val="00960443"/>
    <w:rsid w:val="00960476"/>
    <w:rsid w:val="00960484"/>
    <w:rsid w:val="00960487"/>
    <w:rsid w:val="00960505"/>
    <w:rsid w:val="00960564"/>
    <w:rsid w:val="009605DA"/>
    <w:rsid w:val="0096062B"/>
    <w:rsid w:val="009606F4"/>
    <w:rsid w:val="00960707"/>
    <w:rsid w:val="009607B6"/>
    <w:rsid w:val="009607D1"/>
    <w:rsid w:val="009607EB"/>
    <w:rsid w:val="009608BC"/>
    <w:rsid w:val="009609AB"/>
    <w:rsid w:val="00960A04"/>
    <w:rsid w:val="00960A13"/>
    <w:rsid w:val="00960D05"/>
    <w:rsid w:val="00960DC9"/>
    <w:rsid w:val="00960E22"/>
    <w:rsid w:val="00960F5B"/>
    <w:rsid w:val="00960FC7"/>
    <w:rsid w:val="00960FDF"/>
    <w:rsid w:val="00961204"/>
    <w:rsid w:val="009612A0"/>
    <w:rsid w:val="009612E2"/>
    <w:rsid w:val="0096132A"/>
    <w:rsid w:val="0096138C"/>
    <w:rsid w:val="00961445"/>
    <w:rsid w:val="009614AC"/>
    <w:rsid w:val="009614E4"/>
    <w:rsid w:val="0096154C"/>
    <w:rsid w:val="00961566"/>
    <w:rsid w:val="0096158A"/>
    <w:rsid w:val="0096160C"/>
    <w:rsid w:val="00961649"/>
    <w:rsid w:val="009616ED"/>
    <w:rsid w:val="009616F1"/>
    <w:rsid w:val="009617B7"/>
    <w:rsid w:val="00961910"/>
    <w:rsid w:val="00961A36"/>
    <w:rsid w:val="00961AB2"/>
    <w:rsid w:val="00961AC9"/>
    <w:rsid w:val="00961ADE"/>
    <w:rsid w:val="00961BEB"/>
    <w:rsid w:val="00961D2A"/>
    <w:rsid w:val="00961D44"/>
    <w:rsid w:val="00961D50"/>
    <w:rsid w:val="00961D88"/>
    <w:rsid w:val="00961E1E"/>
    <w:rsid w:val="00961E6E"/>
    <w:rsid w:val="00961FEA"/>
    <w:rsid w:val="00962054"/>
    <w:rsid w:val="0096219C"/>
    <w:rsid w:val="009623F1"/>
    <w:rsid w:val="0096240D"/>
    <w:rsid w:val="0096250A"/>
    <w:rsid w:val="0096258A"/>
    <w:rsid w:val="009625FA"/>
    <w:rsid w:val="00962633"/>
    <w:rsid w:val="00962656"/>
    <w:rsid w:val="009627B1"/>
    <w:rsid w:val="00962947"/>
    <w:rsid w:val="00962A31"/>
    <w:rsid w:val="00962BCD"/>
    <w:rsid w:val="00962C45"/>
    <w:rsid w:val="00962D00"/>
    <w:rsid w:val="00962D13"/>
    <w:rsid w:val="00962E2B"/>
    <w:rsid w:val="00962EAD"/>
    <w:rsid w:val="00963000"/>
    <w:rsid w:val="009630B9"/>
    <w:rsid w:val="00963110"/>
    <w:rsid w:val="00963155"/>
    <w:rsid w:val="0096321B"/>
    <w:rsid w:val="00963260"/>
    <w:rsid w:val="00963383"/>
    <w:rsid w:val="009633E2"/>
    <w:rsid w:val="009634BA"/>
    <w:rsid w:val="00963506"/>
    <w:rsid w:val="00963568"/>
    <w:rsid w:val="0096371E"/>
    <w:rsid w:val="00963781"/>
    <w:rsid w:val="009637A9"/>
    <w:rsid w:val="009637BB"/>
    <w:rsid w:val="009639B8"/>
    <w:rsid w:val="009639DC"/>
    <w:rsid w:val="00963A9F"/>
    <w:rsid w:val="00963B95"/>
    <w:rsid w:val="00963BD1"/>
    <w:rsid w:val="00963C07"/>
    <w:rsid w:val="00963C4A"/>
    <w:rsid w:val="00963D3C"/>
    <w:rsid w:val="00963D69"/>
    <w:rsid w:val="00963E53"/>
    <w:rsid w:val="00963F0F"/>
    <w:rsid w:val="00963F65"/>
    <w:rsid w:val="00964024"/>
    <w:rsid w:val="00964171"/>
    <w:rsid w:val="00964172"/>
    <w:rsid w:val="009641E7"/>
    <w:rsid w:val="009641F0"/>
    <w:rsid w:val="00964204"/>
    <w:rsid w:val="0096423E"/>
    <w:rsid w:val="00964334"/>
    <w:rsid w:val="00964431"/>
    <w:rsid w:val="0096457B"/>
    <w:rsid w:val="00964614"/>
    <w:rsid w:val="0096462F"/>
    <w:rsid w:val="00964631"/>
    <w:rsid w:val="0096469D"/>
    <w:rsid w:val="009646DD"/>
    <w:rsid w:val="009647E3"/>
    <w:rsid w:val="00964981"/>
    <w:rsid w:val="009649C3"/>
    <w:rsid w:val="00964B1B"/>
    <w:rsid w:val="00964BAE"/>
    <w:rsid w:val="00964BBA"/>
    <w:rsid w:val="00964BFA"/>
    <w:rsid w:val="00964DB4"/>
    <w:rsid w:val="00964E36"/>
    <w:rsid w:val="00964F39"/>
    <w:rsid w:val="00964F45"/>
    <w:rsid w:val="00964FAD"/>
    <w:rsid w:val="009651D3"/>
    <w:rsid w:val="00965230"/>
    <w:rsid w:val="009653FC"/>
    <w:rsid w:val="009654D4"/>
    <w:rsid w:val="00965679"/>
    <w:rsid w:val="009656FA"/>
    <w:rsid w:val="00965749"/>
    <w:rsid w:val="00965750"/>
    <w:rsid w:val="009657E7"/>
    <w:rsid w:val="00965981"/>
    <w:rsid w:val="00965A7B"/>
    <w:rsid w:val="00965CF5"/>
    <w:rsid w:val="00965D21"/>
    <w:rsid w:val="00965D82"/>
    <w:rsid w:val="00965F1F"/>
    <w:rsid w:val="00965F4A"/>
    <w:rsid w:val="00965FFD"/>
    <w:rsid w:val="00965FFF"/>
    <w:rsid w:val="009660D2"/>
    <w:rsid w:val="009660DD"/>
    <w:rsid w:val="009660EE"/>
    <w:rsid w:val="00966181"/>
    <w:rsid w:val="0096629B"/>
    <w:rsid w:val="00966321"/>
    <w:rsid w:val="0096639C"/>
    <w:rsid w:val="009663B7"/>
    <w:rsid w:val="00966434"/>
    <w:rsid w:val="0096674A"/>
    <w:rsid w:val="009667B9"/>
    <w:rsid w:val="00966830"/>
    <w:rsid w:val="00966833"/>
    <w:rsid w:val="0096684C"/>
    <w:rsid w:val="00966880"/>
    <w:rsid w:val="00966933"/>
    <w:rsid w:val="0096698D"/>
    <w:rsid w:val="00966A5B"/>
    <w:rsid w:val="00966AA4"/>
    <w:rsid w:val="00966B03"/>
    <w:rsid w:val="00966BB2"/>
    <w:rsid w:val="00966C38"/>
    <w:rsid w:val="00966C3A"/>
    <w:rsid w:val="00966C3C"/>
    <w:rsid w:val="00966CB0"/>
    <w:rsid w:val="00966DA6"/>
    <w:rsid w:val="00966DC6"/>
    <w:rsid w:val="00966DC9"/>
    <w:rsid w:val="00966F8E"/>
    <w:rsid w:val="009670C6"/>
    <w:rsid w:val="00967106"/>
    <w:rsid w:val="009671DE"/>
    <w:rsid w:val="00967264"/>
    <w:rsid w:val="009673B1"/>
    <w:rsid w:val="009673C6"/>
    <w:rsid w:val="0096751D"/>
    <w:rsid w:val="0096759A"/>
    <w:rsid w:val="0096764E"/>
    <w:rsid w:val="00967659"/>
    <w:rsid w:val="0096777F"/>
    <w:rsid w:val="0096787C"/>
    <w:rsid w:val="009678F8"/>
    <w:rsid w:val="0096790B"/>
    <w:rsid w:val="0096793E"/>
    <w:rsid w:val="0096798B"/>
    <w:rsid w:val="00967B19"/>
    <w:rsid w:val="00967B80"/>
    <w:rsid w:val="00967BBB"/>
    <w:rsid w:val="00967BD6"/>
    <w:rsid w:val="00967BF4"/>
    <w:rsid w:val="00967C10"/>
    <w:rsid w:val="00967C30"/>
    <w:rsid w:val="00967CD6"/>
    <w:rsid w:val="00967D84"/>
    <w:rsid w:val="00967D88"/>
    <w:rsid w:val="00967FFD"/>
    <w:rsid w:val="009700AA"/>
    <w:rsid w:val="009701BA"/>
    <w:rsid w:val="00970267"/>
    <w:rsid w:val="0097030E"/>
    <w:rsid w:val="0097039D"/>
    <w:rsid w:val="00970409"/>
    <w:rsid w:val="0097047A"/>
    <w:rsid w:val="009704E7"/>
    <w:rsid w:val="009706C4"/>
    <w:rsid w:val="00970762"/>
    <w:rsid w:val="009707BA"/>
    <w:rsid w:val="009707F3"/>
    <w:rsid w:val="0097091A"/>
    <w:rsid w:val="009709A2"/>
    <w:rsid w:val="009709EC"/>
    <w:rsid w:val="00970B36"/>
    <w:rsid w:val="00970B51"/>
    <w:rsid w:val="00970C32"/>
    <w:rsid w:val="00970C39"/>
    <w:rsid w:val="00970D5C"/>
    <w:rsid w:val="00970D71"/>
    <w:rsid w:val="00970DB8"/>
    <w:rsid w:val="00970DE3"/>
    <w:rsid w:val="00970E8E"/>
    <w:rsid w:val="00970EB0"/>
    <w:rsid w:val="00970EE1"/>
    <w:rsid w:val="00970FDE"/>
    <w:rsid w:val="00971013"/>
    <w:rsid w:val="00971124"/>
    <w:rsid w:val="00971177"/>
    <w:rsid w:val="00971195"/>
    <w:rsid w:val="009713C1"/>
    <w:rsid w:val="00971485"/>
    <w:rsid w:val="009714F8"/>
    <w:rsid w:val="009715FF"/>
    <w:rsid w:val="00971619"/>
    <w:rsid w:val="00971633"/>
    <w:rsid w:val="00971640"/>
    <w:rsid w:val="009716FF"/>
    <w:rsid w:val="009718A0"/>
    <w:rsid w:val="00971B12"/>
    <w:rsid w:val="00971BD0"/>
    <w:rsid w:val="00971C4C"/>
    <w:rsid w:val="00971C75"/>
    <w:rsid w:val="00971D30"/>
    <w:rsid w:val="00971E11"/>
    <w:rsid w:val="00971F33"/>
    <w:rsid w:val="00971FF6"/>
    <w:rsid w:val="009720CD"/>
    <w:rsid w:val="009720D7"/>
    <w:rsid w:val="00972484"/>
    <w:rsid w:val="009724B8"/>
    <w:rsid w:val="009725AB"/>
    <w:rsid w:val="009725F7"/>
    <w:rsid w:val="009726BC"/>
    <w:rsid w:val="0097272D"/>
    <w:rsid w:val="00972919"/>
    <w:rsid w:val="00972A4E"/>
    <w:rsid w:val="00972AEB"/>
    <w:rsid w:val="00972CCC"/>
    <w:rsid w:val="00972E23"/>
    <w:rsid w:val="00972E6B"/>
    <w:rsid w:val="00972EB6"/>
    <w:rsid w:val="00972EFF"/>
    <w:rsid w:val="00972F39"/>
    <w:rsid w:val="00972FBF"/>
    <w:rsid w:val="00973036"/>
    <w:rsid w:val="009730FD"/>
    <w:rsid w:val="00973144"/>
    <w:rsid w:val="00973182"/>
    <w:rsid w:val="009731B3"/>
    <w:rsid w:val="0097322A"/>
    <w:rsid w:val="0097326F"/>
    <w:rsid w:val="009733C1"/>
    <w:rsid w:val="00973427"/>
    <w:rsid w:val="0097353D"/>
    <w:rsid w:val="0097362D"/>
    <w:rsid w:val="009736F6"/>
    <w:rsid w:val="00973717"/>
    <w:rsid w:val="009737E6"/>
    <w:rsid w:val="00973908"/>
    <w:rsid w:val="00973929"/>
    <w:rsid w:val="00973A16"/>
    <w:rsid w:val="00973A73"/>
    <w:rsid w:val="00973B3A"/>
    <w:rsid w:val="00973BAF"/>
    <w:rsid w:val="00973CD0"/>
    <w:rsid w:val="00973EFA"/>
    <w:rsid w:val="00973FC1"/>
    <w:rsid w:val="00973FC8"/>
    <w:rsid w:val="00974002"/>
    <w:rsid w:val="009740C9"/>
    <w:rsid w:val="0097411F"/>
    <w:rsid w:val="00974172"/>
    <w:rsid w:val="0097425D"/>
    <w:rsid w:val="00974282"/>
    <w:rsid w:val="00974404"/>
    <w:rsid w:val="00974460"/>
    <w:rsid w:val="009744F3"/>
    <w:rsid w:val="00974555"/>
    <w:rsid w:val="009745F5"/>
    <w:rsid w:val="00974804"/>
    <w:rsid w:val="00974871"/>
    <w:rsid w:val="0097489F"/>
    <w:rsid w:val="00974AC2"/>
    <w:rsid w:val="00974B54"/>
    <w:rsid w:val="00974CB7"/>
    <w:rsid w:val="00974D8D"/>
    <w:rsid w:val="00974DBF"/>
    <w:rsid w:val="00975030"/>
    <w:rsid w:val="009751AD"/>
    <w:rsid w:val="009751C3"/>
    <w:rsid w:val="0097528A"/>
    <w:rsid w:val="009752A0"/>
    <w:rsid w:val="009752EC"/>
    <w:rsid w:val="0097541A"/>
    <w:rsid w:val="0097549B"/>
    <w:rsid w:val="009755EA"/>
    <w:rsid w:val="009756A0"/>
    <w:rsid w:val="009756B8"/>
    <w:rsid w:val="009756CE"/>
    <w:rsid w:val="009756D6"/>
    <w:rsid w:val="0097574C"/>
    <w:rsid w:val="009757D6"/>
    <w:rsid w:val="00975925"/>
    <w:rsid w:val="0097594C"/>
    <w:rsid w:val="00975A5F"/>
    <w:rsid w:val="00975C1D"/>
    <w:rsid w:val="00975D04"/>
    <w:rsid w:val="00975EA6"/>
    <w:rsid w:val="00975EB1"/>
    <w:rsid w:val="00975EE2"/>
    <w:rsid w:val="0097614D"/>
    <w:rsid w:val="00976193"/>
    <w:rsid w:val="00976284"/>
    <w:rsid w:val="009764AA"/>
    <w:rsid w:val="00976515"/>
    <w:rsid w:val="009765FF"/>
    <w:rsid w:val="0097662D"/>
    <w:rsid w:val="00976663"/>
    <w:rsid w:val="00976679"/>
    <w:rsid w:val="00976731"/>
    <w:rsid w:val="00976834"/>
    <w:rsid w:val="00976959"/>
    <w:rsid w:val="00976AB3"/>
    <w:rsid w:val="00976AEE"/>
    <w:rsid w:val="00976B2E"/>
    <w:rsid w:val="00976B6A"/>
    <w:rsid w:val="00976C2F"/>
    <w:rsid w:val="00976C52"/>
    <w:rsid w:val="00976C59"/>
    <w:rsid w:val="00976CCB"/>
    <w:rsid w:val="00976CF8"/>
    <w:rsid w:val="00976DF5"/>
    <w:rsid w:val="00976FFC"/>
    <w:rsid w:val="0097703E"/>
    <w:rsid w:val="00977060"/>
    <w:rsid w:val="00977066"/>
    <w:rsid w:val="0097710F"/>
    <w:rsid w:val="0097712B"/>
    <w:rsid w:val="0097715C"/>
    <w:rsid w:val="009771EA"/>
    <w:rsid w:val="00977253"/>
    <w:rsid w:val="009772B7"/>
    <w:rsid w:val="009772BD"/>
    <w:rsid w:val="009772E2"/>
    <w:rsid w:val="00977350"/>
    <w:rsid w:val="00977368"/>
    <w:rsid w:val="009773F9"/>
    <w:rsid w:val="0097746E"/>
    <w:rsid w:val="009775A7"/>
    <w:rsid w:val="009775E4"/>
    <w:rsid w:val="009775F8"/>
    <w:rsid w:val="00977600"/>
    <w:rsid w:val="009776DA"/>
    <w:rsid w:val="009777E9"/>
    <w:rsid w:val="00977848"/>
    <w:rsid w:val="00977860"/>
    <w:rsid w:val="00977914"/>
    <w:rsid w:val="00977A12"/>
    <w:rsid w:val="00977B37"/>
    <w:rsid w:val="00977BA6"/>
    <w:rsid w:val="00977BE1"/>
    <w:rsid w:val="00977C3B"/>
    <w:rsid w:val="00977CCB"/>
    <w:rsid w:val="00977CE5"/>
    <w:rsid w:val="00977D56"/>
    <w:rsid w:val="00977EB9"/>
    <w:rsid w:val="00977F23"/>
    <w:rsid w:val="00977F8B"/>
    <w:rsid w:val="00980003"/>
    <w:rsid w:val="00980165"/>
    <w:rsid w:val="0098016D"/>
    <w:rsid w:val="00980362"/>
    <w:rsid w:val="009803C8"/>
    <w:rsid w:val="0098047A"/>
    <w:rsid w:val="009805AC"/>
    <w:rsid w:val="009805E8"/>
    <w:rsid w:val="0098063C"/>
    <w:rsid w:val="0098090B"/>
    <w:rsid w:val="009809EB"/>
    <w:rsid w:val="00980A91"/>
    <w:rsid w:val="00980B8F"/>
    <w:rsid w:val="00980B97"/>
    <w:rsid w:val="00980BFE"/>
    <w:rsid w:val="00980CFD"/>
    <w:rsid w:val="00980D31"/>
    <w:rsid w:val="00980DC3"/>
    <w:rsid w:val="00980EDE"/>
    <w:rsid w:val="00981019"/>
    <w:rsid w:val="0098112D"/>
    <w:rsid w:val="00981239"/>
    <w:rsid w:val="0098149B"/>
    <w:rsid w:val="009814D9"/>
    <w:rsid w:val="009815BE"/>
    <w:rsid w:val="00981659"/>
    <w:rsid w:val="00981788"/>
    <w:rsid w:val="00981873"/>
    <w:rsid w:val="00981A4E"/>
    <w:rsid w:val="00981A62"/>
    <w:rsid w:val="00981BFE"/>
    <w:rsid w:val="00981DB2"/>
    <w:rsid w:val="00981EB5"/>
    <w:rsid w:val="00981F08"/>
    <w:rsid w:val="00981F57"/>
    <w:rsid w:val="00981FF1"/>
    <w:rsid w:val="00982040"/>
    <w:rsid w:val="00982067"/>
    <w:rsid w:val="0098212B"/>
    <w:rsid w:val="00982255"/>
    <w:rsid w:val="00982270"/>
    <w:rsid w:val="0098237E"/>
    <w:rsid w:val="009823CF"/>
    <w:rsid w:val="00982434"/>
    <w:rsid w:val="009824CD"/>
    <w:rsid w:val="00982581"/>
    <w:rsid w:val="009826B3"/>
    <w:rsid w:val="00982739"/>
    <w:rsid w:val="00982761"/>
    <w:rsid w:val="009827AF"/>
    <w:rsid w:val="00982960"/>
    <w:rsid w:val="00982B6D"/>
    <w:rsid w:val="00982B9B"/>
    <w:rsid w:val="00982BA8"/>
    <w:rsid w:val="00982C68"/>
    <w:rsid w:val="00982C9A"/>
    <w:rsid w:val="00982DCB"/>
    <w:rsid w:val="00982F73"/>
    <w:rsid w:val="00983164"/>
    <w:rsid w:val="0098316A"/>
    <w:rsid w:val="0098337D"/>
    <w:rsid w:val="00983504"/>
    <w:rsid w:val="00983657"/>
    <w:rsid w:val="009836A2"/>
    <w:rsid w:val="009836AD"/>
    <w:rsid w:val="00983757"/>
    <w:rsid w:val="009837A1"/>
    <w:rsid w:val="00983810"/>
    <w:rsid w:val="009838A8"/>
    <w:rsid w:val="009839A2"/>
    <w:rsid w:val="00983B38"/>
    <w:rsid w:val="00983B4F"/>
    <w:rsid w:val="00983C4D"/>
    <w:rsid w:val="00983CCC"/>
    <w:rsid w:val="00983CF4"/>
    <w:rsid w:val="00983D0C"/>
    <w:rsid w:val="00983DFF"/>
    <w:rsid w:val="00983E89"/>
    <w:rsid w:val="00984071"/>
    <w:rsid w:val="00984261"/>
    <w:rsid w:val="009842AB"/>
    <w:rsid w:val="009844BD"/>
    <w:rsid w:val="009844C4"/>
    <w:rsid w:val="009846BA"/>
    <w:rsid w:val="009846CA"/>
    <w:rsid w:val="0098473F"/>
    <w:rsid w:val="0098479D"/>
    <w:rsid w:val="00984877"/>
    <w:rsid w:val="009848DC"/>
    <w:rsid w:val="00984918"/>
    <w:rsid w:val="00984A27"/>
    <w:rsid w:val="00984A5B"/>
    <w:rsid w:val="00984A77"/>
    <w:rsid w:val="00984ABB"/>
    <w:rsid w:val="00984B37"/>
    <w:rsid w:val="00984B3E"/>
    <w:rsid w:val="00984BD7"/>
    <w:rsid w:val="00984D3A"/>
    <w:rsid w:val="00984DE7"/>
    <w:rsid w:val="00984E46"/>
    <w:rsid w:val="00984E53"/>
    <w:rsid w:val="009850B2"/>
    <w:rsid w:val="00985137"/>
    <w:rsid w:val="00985229"/>
    <w:rsid w:val="009852AB"/>
    <w:rsid w:val="00985356"/>
    <w:rsid w:val="0098547C"/>
    <w:rsid w:val="00985633"/>
    <w:rsid w:val="00985763"/>
    <w:rsid w:val="00985778"/>
    <w:rsid w:val="00985812"/>
    <w:rsid w:val="0098587D"/>
    <w:rsid w:val="00985880"/>
    <w:rsid w:val="00985922"/>
    <w:rsid w:val="0098598A"/>
    <w:rsid w:val="00985A16"/>
    <w:rsid w:val="00985A89"/>
    <w:rsid w:val="00985ADF"/>
    <w:rsid w:val="00985AE2"/>
    <w:rsid w:val="00985AE4"/>
    <w:rsid w:val="00985B2A"/>
    <w:rsid w:val="00985B61"/>
    <w:rsid w:val="00985BF8"/>
    <w:rsid w:val="00985CE8"/>
    <w:rsid w:val="00985D45"/>
    <w:rsid w:val="00985DC7"/>
    <w:rsid w:val="00985E86"/>
    <w:rsid w:val="00985EFB"/>
    <w:rsid w:val="00985FC6"/>
    <w:rsid w:val="00986027"/>
    <w:rsid w:val="00986135"/>
    <w:rsid w:val="009861D2"/>
    <w:rsid w:val="009863D8"/>
    <w:rsid w:val="00986448"/>
    <w:rsid w:val="0098644A"/>
    <w:rsid w:val="0098650D"/>
    <w:rsid w:val="00986521"/>
    <w:rsid w:val="00986744"/>
    <w:rsid w:val="009867BE"/>
    <w:rsid w:val="00986827"/>
    <w:rsid w:val="00986892"/>
    <w:rsid w:val="0098691E"/>
    <w:rsid w:val="00986A3C"/>
    <w:rsid w:val="00986A60"/>
    <w:rsid w:val="00986BCA"/>
    <w:rsid w:val="00986BFC"/>
    <w:rsid w:val="00986C3B"/>
    <w:rsid w:val="00986C79"/>
    <w:rsid w:val="00986D92"/>
    <w:rsid w:val="00986DF9"/>
    <w:rsid w:val="00986F55"/>
    <w:rsid w:val="00986F65"/>
    <w:rsid w:val="00986FA9"/>
    <w:rsid w:val="00987035"/>
    <w:rsid w:val="00987092"/>
    <w:rsid w:val="009870AD"/>
    <w:rsid w:val="009870D3"/>
    <w:rsid w:val="00987145"/>
    <w:rsid w:val="009872C5"/>
    <w:rsid w:val="0098730E"/>
    <w:rsid w:val="009874EE"/>
    <w:rsid w:val="009875F4"/>
    <w:rsid w:val="00987A15"/>
    <w:rsid w:val="00987ADF"/>
    <w:rsid w:val="00987B09"/>
    <w:rsid w:val="00987B95"/>
    <w:rsid w:val="00987BD5"/>
    <w:rsid w:val="00987C09"/>
    <w:rsid w:val="00987C10"/>
    <w:rsid w:val="00987C18"/>
    <w:rsid w:val="00987C6F"/>
    <w:rsid w:val="00987CD4"/>
    <w:rsid w:val="00987D49"/>
    <w:rsid w:val="00987DB1"/>
    <w:rsid w:val="00990001"/>
    <w:rsid w:val="009900B4"/>
    <w:rsid w:val="009903A2"/>
    <w:rsid w:val="00990515"/>
    <w:rsid w:val="009905DB"/>
    <w:rsid w:val="0099075C"/>
    <w:rsid w:val="009907C3"/>
    <w:rsid w:val="0099081B"/>
    <w:rsid w:val="0099089E"/>
    <w:rsid w:val="009908A9"/>
    <w:rsid w:val="009908B2"/>
    <w:rsid w:val="0099091E"/>
    <w:rsid w:val="00990948"/>
    <w:rsid w:val="00990A1D"/>
    <w:rsid w:val="00990A39"/>
    <w:rsid w:val="00990A69"/>
    <w:rsid w:val="00990AEA"/>
    <w:rsid w:val="00990B5D"/>
    <w:rsid w:val="00990DB5"/>
    <w:rsid w:val="00990F18"/>
    <w:rsid w:val="0099100D"/>
    <w:rsid w:val="009910D7"/>
    <w:rsid w:val="0099114B"/>
    <w:rsid w:val="0099115C"/>
    <w:rsid w:val="0099128D"/>
    <w:rsid w:val="009914C5"/>
    <w:rsid w:val="00991560"/>
    <w:rsid w:val="009915BA"/>
    <w:rsid w:val="009916B2"/>
    <w:rsid w:val="0099171D"/>
    <w:rsid w:val="00991734"/>
    <w:rsid w:val="009917C1"/>
    <w:rsid w:val="00991817"/>
    <w:rsid w:val="00991897"/>
    <w:rsid w:val="00991922"/>
    <w:rsid w:val="00991923"/>
    <w:rsid w:val="0099194D"/>
    <w:rsid w:val="00991C3F"/>
    <w:rsid w:val="00991C6C"/>
    <w:rsid w:val="00991DB9"/>
    <w:rsid w:val="00991E30"/>
    <w:rsid w:val="00991E61"/>
    <w:rsid w:val="00991F91"/>
    <w:rsid w:val="00991FA5"/>
    <w:rsid w:val="00992088"/>
    <w:rsid w:val="009920F3"/>
    <w:rsid w:val="00992179"/>
    <w:rsid w:val="009921C0"/>
    <w:rsid w:val="009922EF"/>
    <w:rsid w:val="00992350"/>
    <w:rsid w:val="0099236A"/>
    <w:rsid w:val="00992422"/>
    <w:rsid w:val="009924BE"/>
    <w:rsid w:val="009924C9"/>
    <w:rsid w:val="00992529"/>
    <w:rsid w:val="009925B9"/>
    <w:rsid w:val="009925EA"/>
    <w:rsid w:val="00992627"/>
    <w:rsid w:val="0099262C"/>
    <w:rsid w:val="009927DB"/>
    <w:rsid w:val="0099299D"/>
    <w:rsid w:val="00992B12"/>
    <w:rsid w:val="00992B9F"/>
    <w:rsid w:val="00992BEB"/>
    <w:rsid w:val="00992CA5"/>
    <w:rsid w:val="00992E7A"/>
    <w:rsid w:val="00992E94"/>
    <w:rsid w:val="00992F2F"/>
    <w:rsid w:val="00993182"/>
    <w:rsid w:val="009931E4"/>
    <w:rsid w:val="009931ED"/>
    <w:rsid w:val="009931EE"/>
    <w:rsid w:val="0099322D"/>
    <w:rsid w:val="00993276"/>
    <w:rsid w:val="009933E2"/>
    <w:rsid w:val="00993400"/>
    <w:rsid w:val="0099356E"/>
    <w:rsid w:val="0099361A"/>
    <w:rsid w:val="0099373F"/>
    <w:rsid w:val="0099385D"/>
    <w:rsid w:val="00993A7F"/>
    <w:rsid w:val="00993BDB"/>
    <w:rsid w:val="00993C60"/>
    <w:rsid w:val="00993F39"/>
    <w:rsid w:val="00993FA5"/>
    <w:rsid w:val="00993FFF"/>
    <w:rsid w:val="00994003"/>
    <w:rsid w:val="009940A8"/>
    <w:rsid w:val="00994116"/>
    <w:rsid w:val="00994168"/>
    <w:rsid w:val="009941CF"/>
    <w:rsid w:val="00994215"/>
    <w:rsid w:val="00994413"/>
    <w:rsid w:val="00994440"/>
    <w:rsid w:val="00994568"/>
    <w:rsid w:val="009945CF"/>
    <w:rsid w:val="009945FB"/>
    <w:rsid w:val="0099461F"/>
    <w:rsid w:val="0099466D"/>
    <w:rsid w:val="00994700"/>
    <w:rsid w:val="00994718"/>
    <w:rsid w:val="00994783"/>
    <w:rsid w:val="009947D9"/>
    <w:rsid w:val="009947FD"/>
    <w:rsid w:val="0099492E"/>
    <w:rsid w:val="009949C2"/>
    <w:rsid w:val="009949E2"/>
    <w:rsid w:val="00994C08"/>
    <w:rsid w:val="00994C18"/>
    <w:rsid w:val="00994CFE"/>
    <w:rsid w:val="00994E3A"/>
    <w:rsid w:val="00994E4C"/>
    <w:rsid w:val="00994E5B"/>
    <w:rsid w:val="0099507B"/>
    <w:rsid w:val="0099510E"/>
    <w:rsid w:val="0099511E"/>
    <w:rsid w:val="00995196"/>
    <w:rsid w:val="009951BA"/>
    <w:rsid w:val="00995270"/>
    <w:rsid w:val="00995352"/>
    <w:rsid w:val="009953DD"/>
    <w:rsid w:val="009953E4"/>
    <w:rsid w:val="009956B9"/>
    <w:rsid w:val="0099577C"/>
    <w:rsid w:val="00995846"/>
    <w:rsid w:val="009958B0"/>
    <w:rsid w:val="009958B8"/>
    <w:rsid w:val="009958C3"/>
    <w:rsid w:val="00995993"/>
    <w:rsid w:val="00995AC8"/>
    <w:rsid w:val="00995ACC"/>
    <w:rsid w:val="00995B2E"/>
    <w:rsid w:val="00995B39"/>
    <w:rsid w:val="00995BD9"/>
    <w:rsid w:val="00995DDB"/>
    <w:rsid w:val="00995DFB"/>
    <w:rsid w:val="00995E20"/>
    <w:rsid w:val="00995E94"/>
    <w:rsid w:val="00995EC6"/>
    <w:rsid w:val="00995F74"/>
    <w:rsid w:val="00995FD6"/>
    <w:rsid w:val="009960DE"/>
    <w:rsid w:val="009961B0"/>
    <w:rsid w:val="00996222"/>
    <w:rsid w:val="0099624D"/>
    <w:rsid w:val="0099624E"/>
    <w:rsid w:val="0099626A"/>
    <w:rsid w:val="009962E6"/>
    <w:rsid w:val="0099633C"/>
    <w:rsid w:val="009963E4"/>
    <w:rsid w:val="009963F2"/>
    <w:rsid w:val="0099642C"/>
    <w:rsid w:val="009964AA"/>
    <w:rsid w:val="009964C8"/>
    <w:rsid w:val="0099661B"/>
    <w:rsid w:val="009966B0"/>
    <w:rsid w:val="009966B5"/>
    <w:rsid w:val="00996796"/>
    <w:rsid w:val="009967F9"/>
    <w:rsid w:val="00996930"/>
    <w:rsid w:val="00996948"/>
    <w:rsid w:val="00996D21"/>
    <w:rsid w:val="00996D3F"/>
    <w:rsid w:val="00996D4E"/>
    <w:rsid w:val="00996D8D"/>
    <w:rsid w:val="00996E7B"/>
    <w:rsid w:val="00996EC3"/>
    <w:rsid w:val="00996EFD"/>
    <w:rsid w:val="00996F18"/>
    <w:rsid w:val="00996F5B"/>
    <w:rsid w:val="00997116"/>
    <w:rsid w:val="009971C6"/>
    <w:rsid w:val="00997285"/>
    <w:rsid w:val="00997326"/>
    <w:rsid w:val="00997361"/>
    <w:rsid w:val="0099736A"/>
    <w:rsid w:val="0099738A"/>
    <w:rsid w:val="009975F4"/>
    <w:rsid w:val="0099761A"/>
    <w:rsid w:val="00997631"/>
    <w:rsid w:val="00997685"/>
    <w:rsid w:val="009977BA"/>
    <w:rsid w:val="0099789D"/>
    <w:rsid w:val="009979AA"/>
    <w:rsid w:val="00997A53"/>
    <w:rsid w:val="00997A99"/>
    <w:rsid w:val="00997B0A"/>
    <w:rsid w:val="00997C33"/>
    <w:rsid w:val="00997CA7"/>
    <w:rsid w:val="00997CF9"/>
    <w:rsid w:val="00997D20"/>
    <w:rsid w:val="00997E1F"/>
    <w:rsid w:val="00997EAA"/>
    <w:rsid w:val="00997F11"/>
    <w:rsid w:val="009A021E"/>
    <w:rsid w:val="009A02EF"/>
    <w:rsid w:val="009A0323"/>
    <w:rsid w:val="009A0396"/>
    <w:rsid w:val="009A03C2"/>
    <w:rsid w:val="009A0466"/>
    <w:rsid w:val="009A051A"/>
    <w:rsid w:val="009A062C"/>
    <w:rsid w:val="009A07FD"/>
    <w:rsid w:val="009A0878"/>
    <w:rsid w:val="009A0A08"/>
    <w:rsid w:val="009A0C96"/>
    <w:rsid w:val="009A0D9B"/>
    <w:rsid w:val="009A0EC6"/>
    <w:rsid w:val="009A0EF9"/>
    <w:rsid w:val="009A1080"/>
    <w:rsid w:val="009A1096"/>
    <w:rsid w:val="009A11EA"/>
    <w:rsid w:val="009A1293"/>
    <w:rsid w:val="009A1300"/>
    <w:rsid w:val="009A1315"/>
    <w:rsid w:val="009A13CE"/>
    <w:rsid w:val="009A16F8"/>
    <w:rsid w:val="009A170D"/>
    <w:rsid w:val="009A17F5"/>
    <w:rsid w:val="009A1808"/>
    <w:rsid w:val="009A18EE"/>
    <w:rsid w:val="009A19FF"/>
    <w:rsid w:val="009A1A16"/>
    <w:rsid w:val="009A1AA9"/>
    <w:rsid w:val="009A1B2B"/>
    <w:rsid w:val="009A1B65"/>
    <w:rsid w:val="009A1B8F"/>
    <w:rsid w:val="009A1B91"/>
    <w:rsid w:val="009A1BAC"/>
    <w:rsid w:val="009A1D6F"/>
    <w:rsid w:val="009A1E3F"/>
    <w:rsid w:val="009A1E4F"/>
    <w:rsid w:val="009A1EF2"/>
    <w:rsid w:val="009A1FCD"/>
    <w:rsid w:val="009A2185"/>
    <w:rsid w:val="009A227B"/>
    <w:rsid w:val="009A22AC"/>
    <w:rsid w:val="009A25EF"/>
    <w:rsid w:val="009A260E"/>
    <w:rsid w:val="009A2693"/>
    <w:rsid w:val="009A26EA"/>
    <w:rsid w:val="009A2791"/>
    <w:rsid w:val="009A27A5"/>
    <w:rsid w:val="009A27CB"/>
    <w:rsid w:val="009A2864"/>
    <w:rsid w:val="009A28AE"/>
    <w:rsid w:val="009A28EC"/>
    <w:rsid w:val="009A28FB"/>
    <w:rsid w:val="009A29B2"/>
    <w:rsid w:val="009A29E3"/>
    <w:rsid w:val="009A2C93"/>
    <w:rsid w:val="009A2E57"/>
    <w:rsid w:val="009A32C3"/>
    <w:rsid w:val="009A32CD"/>
    <w:rsid w:val="009A3344"/>
    <w:rsid w:val="009A335E"/>
    <w:rsid w:val="009A3364"/>
    <w:rsid w:val="009A33EB"/>
    <w:rsid w:val="009A3432"/>
    <w:rsid w:val="009A3466"/>
    <w:rsid w:val="009A3624"/>
    <w:rsid w:val="009A3626"/>
    <w:rsid w:val="009A3726"/>
    <w:rsid w:val="009A3842"/>
    <w:rsid w:val="009A38B2"/>
    <w:rsid w:val="009A396A"/>
    <w:rsid w:val="009A3A8D"/>
    <w:rsid w:val="009A3B92"/>
    <w:rsid w:val="009A3BB2"/>
    <w:rsid w:val="009A3BB5"/>
    <w:rsid w:val="009A3C59"/>
    <w:rsid w:val="009A3CDF"/>
    <w:rsid w:val="009A3D8F"/>
    <w:rsid w:val="009A3E2A"/>
    <w:rsid w:val="009A3F71"/>
    <w:rsid w:val="009A41B3"/>
    <w:rsid w:val="009A421F"/>
    <w:rsid w:val="009A4321"/>
    <w:rsid w:val="009A4496"/>
    <w:rsid w:val="009A44CE"/>
    <w:rsid w:val="009A4501"/>
    <w:rsid w:val="009A45DE"/>
    <w:rsid w:val="009A477E"/>
    <w:rsid w:val="009A47F7"/>
    <w:rsid w:val="009A4908"/>
    <w:rsid w:val="009A4931"/>
    <w:rsid w:val="009A4962"/>
    <w:rsid w:val="009A49C8"/>
    <w:rsid w:val="009A49F6"/>
    <w:rsid w:val="009A4A67"/>
    <w:rsid w:val="009A4BDD"/>
    <w:rsid w:val="009A4D12"/>
    <w:rsid w:val="009A4DA7"/>
    <w:rsid w:val="009A4EB6"/>
    <w:rsid w:val="009A50DA"/>
    <w:rsid w:val="009A5121"/>
    <w:rsid w:val="009A51DA"/>
    <w:rsid w:val="009A51DC"/>
    <w:rsid w:val="009A5231"/>
    <w:rsid w:val="009A524E"/>
    <w:rsid w:val="009A5500"/>
    <w:rsid w:val="009A5696"/>
    <w:rsid w:val="009A5851"/>
    <w:rsid w:val="009A5882"/>
    <w:rsid w:val="009A58D3"/>
    <w:rsid w:val="009A5954"/>
    <w:rsid w:val="009A5A15"/>
    <w:rsid w:val="009A5B40"/>
    <w:rsid w:val="009A5BDD"/>
    <w:rsid w:val="009A5D6F"/>
    <w:rsid w:val="009A5F73"/>
    <w:rsid w:val="009A5FDB"/>
    <w:rsid w:val="009A6113"/>
    <w:rsid w:val="009A6155"/>
    <w:rsid w:val="009A626D"/>
    <w:rsid w:val="009A6277"/>
    <w:rsid w:val="009A62C4"/>
    <w:rsid w:val="009A62CD"/>
    <w:rsid w:val="009A63CC"/>
    <w:rsid w:val="009A6459"/>
    <w:rsid w:val="009A64E1"/>
    <w:rsid w:val="009A6558"/>
    <w:rsid w:val="009A661E"/>
    <w:rsid w:val="009A6634"/>
    <w:rsid w:val="009A6652"/>
    <w:rsid w:val="009A671C"/>
    <w:rsid w:val="009A697F"/>
    <w:rsid w:val="009A69D8"/>
    <w:rsid w:val="009A6AFB"/>
    <w:rsid w:val="009A6CB5"/>
    <w:rsid w:val="009A6CEC"/>
    <w:rsid w:val="009A6D27"/>
    <w:rsid w:val="009A6D49"/>
    <w:rsid w:val="009A6D96"/>
    <w:rsid w:val="009A6FF9"/>
    <w:rsid w:val="009A7045"/>
    <w:rsid w:val="009A7192"/>
    <w:rsid w:val="009A71B8"/>
    <w:rsid w:val="009A72B2"/>
    <w:rsid w:val="009A72E8"/>
    <w:rsid w:val="009A7588"/>
    <w:rsid w:val="009A7595"/>
    <w:rsid w:val="009A77D5"/>
    <w:rsid w:val="009A78C2"/>
    <w:rsid w:val="009A7911"/>
    <w:rsid w:val="009A7A23"/>
    <w:rsid w:val="009A7A3E"/>
    <w:rsid w:val="009A7AD1"/>
    <w:rsid w:val="009A7B7A"/>
    <w:rsid w:val="009A7B99"/>
    <w:rsid w:val="009A7BCA"/>
    <w:rsid w:val="009A7BDD"/>
    <w:rsid w:val="009A7C24"/>
    <w:rsid w:val="009A7C2C"/>
    <w:rsid w:val="009A7C6E"/>
    <w:rsid w:val="009A7E88"/>
    <w:rsid w:val="009A7F0F"/>
    <w:rsid w:val="009B004A"/>
    <w:rsid w:val="009B009A"/>
    <w:rsid w:val="009B00AA"/>
    <w:rsid w:val="009B0152"/>
    <w:rsid w:val="009B0229"/>
    <w:rsid w:val="009B02F5"/>
    <w:rsid w:val="009B044C"/>
    <w:rsid w:val="009B0543"/>
    <w:rsid w:val="009B06BA"/>
    <w:rsid w:val="009B0721"/>
    <w:rsid w:val="009B0813"/>
    <w:rsid w:val="009B08C8"/>
    <w:rsid w:val="009B09BC"/>
    <w:rsid w:val="009B0AA5"/>
    <w:rsid w:val="009B0B86"/>
    <w:rsid w:val="009B0BB0"/>
    <w:rsid w:val="009B0C70"/>
    <w:rsid w:val="009B0CA4"/>
    <w:rsid w:val="009B0E50"/>
    <w:rsid w:val="009B1065"/>
    <w:rsid w:val="009B11A4"/>
    <w:rsid w:val="009B139D"/>
    <w:rsid w:val="009B1417"/>
    <w:rsid w:val="009B148C"/>
    <w:rsid w:val="009B15A5"/>
    <w:rsid w:val="009B1760"/>
    <w:rsid w:val="009B17F0"/>
    <w:rsid w:val="009B18B7"/>
    <w:rsid w:val="009B18BC"/>
    <w:rsid w:val="009B1933"/>
    <w:rsid w:val="009B1976"/>
    <w:rsid w:val="009B1ABC"/>
    <w:rsid w:val="009B1B1F"/>
    <w:rsid w:val="009B1D19"/>
    <w:rsid w:val="009B1ED2"/>
    <w:rsid w:val="009B1F78"/>
    <w:rsid w:val="009B1FB1"/>
    <w:rsid w:val="009B2015"/>
    <w:rsid w:val="009B2209"/>
    <w:rsid w:val="009B230E"/>
    <w:rsid w:val="009B2479"/>
    <w:rsid w:val="009B249F"/>
    <w:rsid w:val="009B24AE"/>
    <w:rsid w:val="009B2572"/>
    <w:rsid w:val="009B264D"/>
    <w:rsid w:val="009B26B6"/>
    <w:rsid w:val="009B278C"/>
    <w:rsid w:val="009B27C6"/>
    <w:rsid w:val="009B2887"/>
    <w:rsid w:val="009B2953"/>
    <w:rsid w:val="009B297B"/>
    <w:rsid w:val="009B2983"/>
    <w:rsid w:val="009B2B59"/>
    <w:rsid w:val="009B2C8F"/>
    <w:rsid w:val="009B2CF3"/>
    <w:rsid w:val="009B2D17"/>
    <w:rsid w:val="009B2D71"/>
    <w:rsid w:val="009B2E0D"/>
    <w:rsid w:val="009B2EA5"/>
    <w:rsid w:val="009B2EB7"/>
    <w:rsid w:val="009B3198"/>
    <w:rsid w:val="009B3204"/>
    <w:rsid w:val="009B3275"/>
    <w:rsid w:val="009B32FF"/>
    <w:rsid w:val="009B3310"/>
    <w:rsid w:val="009B3315"/>
    <w:rsid w:val="009B3650"/>
    <w:rsid w:val="009B365B"/>
    <w:rsid w:val="009B3708"/>
    <w:rsid w:val="009B377A"/>
    <w:rsid w:val="009B3842"/>
    <w:rsid w:val="009B3943"/>
    <w:rsid w:val="009B394D"/>
    <w:rsid w:val="009B3959"/>
    <w:rsid w:val="009B3A9B"/>
    <w:rsid w:val="009B3AEF"/>
    <w:rsid w:val="009B3D04"/>
    <w:rsid w:val="009B3F28"/>
    <w:rsid w:val="009B3F38"/>
    <w:rsid w:val="009B3F92"/>
    <w:rsid w:val="009B3FC6"/>
    <w:rsid w:val="009B4006"/>
    <w:rsid w:val="009B415C"/>
    <w:rsid w:val="009B41AB"/>
    <w:rsid w:val="009B41D9"/>
    <w:rsid w:val="009B443C"/>
    <w:rsid w:val="009B4452"/>
    <w:rsid w:val="009B4456"/>
    <w:rsid w:val="009B44B3"/>
    <w:rsid w:val="009B44B5"/>
    <w:rsid w:val="009B46BC"/>
    <w:rsid w:val="009B4750"/>
    <w:rsid w:val="009B47A2"/>
    <w:rsid w:val="009B47E4"/>
    <w:rsid w:val="009B481A"/>
    <w:rsid w:val="009B48D2"/>
    <w:rsid w:val="009B48F2"/>
    <w:rsid w:val="009B4976"/>
    <w:rsid w:val="009B4AAB"/>
    <w:rsid w:val="009B4B25"/>
    <w:rsid w:val="009B4BC3"/>
    <w:rsid w:val="009B4C1A"/>
    <w:rsid w:val="009B4DAB"/>
    <w:rsid w:val="009B4F9F"/>
    <w:rsid w:val="009B5339"/>
    <w:rsid w:val="009B5346"/>
    <w:rsid w:val="009B5371"/>
    <w:rsid w:val="009B53B1"/>
    <w:rsid w:val="009B5444"/>
    <w:rsid w:val="009B55F3"/>
    <w:rsid w:val="009B561B"/>
    <w:rsid w:val="009B5627"/>
    <w:rsid w:val="009B566F"/>
    <w:rsid w:val="009B57D1"/>
    <w:rsid w:val="009B588D"/>
    <w:rsid w:val="009B59B1"/>
    <w:rsid w:val="009B5A31"/>
    <w:rsid w:val="009B5A59"/>
    <w:rsid w:val="009B5AB3"/>
    <w:rsid w:val="009B5AC1"/>
    <w:rsid w:val="009B5D6C"/>
    <w:rsid w:val="009B5DD9"/>
    <w:rsid w:val="009B5E31"/>
    <w:rsid w:val="009B5E85"/>
    <w:rsid w:val="009B5F15"/>
    <w:rsid w:val="009B5FDA"/>
    <w:rsid w:val="009B60B1"/>
    <w:rsid w:val="009B60EF"/>
    <w:rsid w:val="009B6189"/>
    <w:rsid w:val="009B61C1"/>
    <w:rsid w:val="009B630A"/>
    <w:rsid w:val="009B6321"/>
    <w:rsid w:val="009B633E"/>
    <w:rsid w:val="009B6508"/>
    <w:rsid w:val="009B6523"/>
    <w:rsid w:val="009B659F"/>
    <w:rsid w:val="009B6781"/>
    <w:rsid w:val="009B67BD"/>
    <w:rsid w:val="009B6830"/>
    <w:rsid w:val="009B6939"/>
    <w:rsid w:val="009B697C"/>
    <w:rsid w:val="009B697E"/>
    <w:rsid w:val="009B6A5E"/>
    <w:rsid w:val="009B6A91"/>
    <w:rsid w:val="009B6AD2"/>
    <w:rsid w:val="009B6B0A"/>
    <w:rsid w:val="009B6B73"/>
    <w:rsid w:val="009B6BB3"/>
    <w:rsid w:val="009B6DFB"/>
    <w:rsid w:val="009B6ECD"/>
    <w:rsid w:val="009B6F14"/>
    <w:rsid w:val="009B6F3D"/>
    <w:rsid w:val="009B70A7"/>
    <w:rsid w:val="009B70AB"/>
    <w:rsid w:val="009B70CC"/>
    <w:rsid w:val="009B70EC"/>
    <w:rsid w:val="009B721E"/>
    <w:rsid w:val="009B723C"/>
    <w:rsid w:val="009B7396"/>
    <w:rsid w:val="009B7420"/>
    <w:rsid w:val="009B7476"/>
    <w:rsid w:val="009B7554"/>
    <w:rsid w:val="009B7575"/>
    <w:rsid w:val="009B7594"/>
    <w:rsid w:val="009B7701"/>
    <w:rsid w:val="009B77BD"/>
    <w:rsid w:val="009B7980"/>
    <w:rsid w:val="009B79C0"/>
    <w:rsid w:val="009B7B11"/>
    <w:rsid w:val="009B7B25"/>
    <w:rsid w:val="009B7C56"/>
    <w:rsid w:val="009B7CD0"/>
    <w:rsid w:val="009B7EB3"/>
    <w:rsid w:val="009B7F6F"/>
    <w:rsid w:val="009C0000"/>
    <w:rsid w:val="009C02BA"/>
    <w:rsid w:val="009C02D8"/>
    <w:rsid w:val="009C02EE"/>
    <w:rsid w:val="009C03A1"/>
    <w:rsid w:val="009C0633"/>
    <w:rsid w:val="009C0798"/>
    <w:rsid w:val="009C07D0"/>
    <w:rsid w:val="009C07D2"/>
    <w:rsid w:val="009C0A0E"/>
    <w:rsid w:val="009C0B2A"/>
    <w:rsid w:val="009C0B66"/>
    <w:rsid w:val="009C0B74"/>
    <w:rsid w:val="009C0C21"/>
    <w:rsid w:val="009C0C5A"/>
    <w:rsid w:val="009C0EC0"/>
    <w:rsid w:val="009C1004"/>
    <w:rsid w:val="009C1249"/>
    <w:rsid w:val="009C1308"/>
    <w:rsid w:val="009C1352"/>
    <w:rsid w:val="009C154A"/>
    <w:rsid w:val="009C176A"/>
    <w:rsid w:val="009C17A7"/>
    <w:rsid w:val="009C1866"/>
    <w:rsid w:val="009C1A27"/>
    <w:rsid w:val="009C1A75"/>
    <w:rsid w:val="009C1AC8"/>
    <w:rsid w:val="009C1B12"/>
    <w:rsid w:val="009C1B7C"/>
    <w:rsid w:val="009C1BAA"/>
    <w:rsid w:val="009C1C69"/>
    <w:rsid w:val="009C1D38"/>
    <w:rsid w:val="009C1D9F"/>
    <w:rsid w:val="009C1ED7"/>
    <w:rsid w:val="009C2029"/>
    <w:rsid w:val="009C2164"/>
    <w:rsid w:val="009C2184"/>
    <w:rsid w:val="009C23F8"/>
    <w:rsid w:val="009C24CD"/>
    <w:rsid w:val="009C2533"/>
    <w:rsid w:val="009C25F1"/>
    <w:rsid w:val="009C25F6"/>
    <w:rsid w:val="009C26F1"/>
    <w:rsid w:val="009C28A1"/>
    <w:rsid w:val="009C28AD"/>
    <w:rsid w:val="009C2906"/>
    <w:rsid w:val="009C2B45"/>
    <w:rsid w:val="009C2B81"/>
    <w:rsid w:val="009C2BC1"/>
    <w:rsid w:val="009C2C66"/>
    <w:rsid w:val="009C2C9B"/>
    <w:rsid w:val="009C2D7E"/>
    <w:rsid w:val="009C2E10"/>
    <w:rsid w:val="009C2EDC"/>
    <w:rsid w:val="009C300B"/>
    <w:rsid w:val="009C3051"/>
    <w:rsid w:val="009C34CE"/>
    <w:rsid w:val="009C3521"/>
    <w:rsid w:val="009C353D"/>
    <w:rsid w:val="009C35F5"/>
    <w:rsid w:val="009C3665"/>
    <w:rsid w:val="009C3672"/>
    <w:rsid w:val="009C36EF"/>
    <w:rsid w:val="009C3745"/>
    <w:rsid w:val="009C3759"/>
    <w:rsid w:val="009C38AC"/>
    <w:rsid w:val="009C38FE"/>
    <w:rsid w:val="009C3972"/>
    <w:rsid w:val="009C39EA"/>
    <w:rsid w:val="009C3AB8"/>
    <w:rsid w:val="009C3C64"/>
    <w:rsid w:val="009C3D26"/>
    <w:rsid w:val="009C3D85"/>
    <w:rsid w:val="009C3F73"/>
    <w:rsid w:val="009C3FA7"/>
    <w:rsid w:val="009C3FD8"/>
    <w:rsid w:val="009C4065"/>
    <w:rsid w:val="009C40B0"/>
    <w:rsid w:val="009C40BF"/>
    <w:rsid w:val="009C4495"/>
    <w:rsid w:val="009C44E0"/>
    <w:rsid w:val="009C4550"/>
    <w:rsid w:val="009C4600"/>
    <w:rsid w:val="009C4629"/>
    <w:rsid w:val="009C4668"/>
    <w:rsid w:val="009C46B7"/>
    <w:rsid w:val="009C4830"/>
    <w:rsid w:val="009C4850"/>
    <w:rsid w:val="009C4886"/>
    <w:rsid w:val="009C48E1"/>
    <w:rsid w:val="009C4950"/>
    <w:rsid w:val="009C4962"/>
    <w:rsid w:val="009C4965"/>
    <w:rsid w:val="009C4AB1"/>
    <w:rsid w:val="009C4AF7"/>
    <w:rsid w:val="009C4B49"/>
    <w:rsid w:val="009C4B73"/>
    <w:rsid w:val="009C4B87"/>
    <w:rsid w:val="009C4CD6"/>
    <w:rsid w:val="009C4D67"/>
    <w:rsid w:val="009C4D8B"/>
    <w:rsid w:val="009C4E10"/>
    <w:rsid w:val="009C4E49"/>
    <w:rsid w:val="009C5197"/>
    <w:rsid w:val="009C51D1"/>
    <w:rsid w:val="009C529D"/>
    <w:rsid w:val="009C530B"/>
    <w:rsid w:val="009C531F"/>
    <w:rsid w:val="009C5360"/>
    <w:rsid w:val="009C537C"/>
    <w:rsid w:val="009C540C"/>
    <w:rsid w:val="009C54E0"/>
    <w:rsid w:val="009C56F8"/>
    <w:rsid w:val="009C5709"/>
    <w:rsid w:val="009C57E7"/>
    <w:rsid w:val="009C57FC"/>
    <w:rsid w:val="009C5810"/>
    <w:rsid w:val="009C5923"/>
    <w:rsid w:val="009C5A09"/>
    <w:rsid w:val="009C5A1C"/>
    <w:rsid w:val="009C5B69"/>
    <w:rsid w:val="009C5CCA"/>
    <w:rsid w:val="009C5E97"/>
    <w:rsid w:val="009C5F9C"/>
    <w:rsid w:val="009C60C4"/>
    <w:rsid w:val="009C6114"/>
    <w:rsid w:val="009C6166"/>
    <w:rsid w:val="009C6177"/>
    <w:rsid w:val="009C62D7"/>
    <w:rsid w:val="009C6359"/>
    <w:rsid w:val="009C63FD"/>
    <w:rsid w:val="009C6405"/>
    <w:rsid w:val="009C65D4"/>
    <w:rsid w:val="009C669A"/>
    <w:rsid w:val="009C66C3"/>
    <w:rsid w:val="009C66E4"/>
    <w:rsid w:val="009C66E6"/>
    <w:rsid w:val="009C67A4"/>
    <w:rsid w:val="009C6887"/>
    <w:rsid w:val="009C688B"/>
    <w:rsid w:val="009C689E"/>
    <w:rsid w:val="009C68AC"/>
    <w:rsid w:val="009C6A05"/>
    <w:rsid w:val="009C6A6B"/>
    <w:rsid w:val="009C6AC0"/>
    <w:rsid w:val="009C6B6F"/>
    <w:rsid w:val="009C6D38"/>
    <w:rsid w:val="009C6E31"/>
    <w:rsid w:val="009C6E36"/>
    <w:rsid w:val="009C6E83"/>
    <w:rsid w:val="009C6F3A"/>
    <w:rsid w:val="009C709E"/>
    <w:rsid w:val="009C70D8"/>
    <w:rsid w:val="009C70F5"/>
    <w:rsid w:val="009C7175"/>
    <w:rsid w:val="009C72D5"/>
    <w:rsid w:val="009C735D"/>
    <w:rsid w:val="009C74EE"/>
    <w:rsid w:val="009C7539"/>
    <w:rsid w:val="009C7652"/>
    <w:rsid w:val="009C7699"/>
    <w:rsid w:val="009C7713"/>
    <w:rsid w:val="009C778B"/>
    <w:rsid w:val="009C77E7"/>
    <w:rsid w:val="009C782A"/>
    <w:rsid w:val="009C788A"/>
    <w:rsid w:val="009C79B1"/>
    <w:rsid w:val="009C7B45"/>
    <w:rsid w:val="009C7B64"/>
    <w:rsid w:val="009C7B77"/>
    <w:rsid w:val="009C7B93"/>
    <w:rsid w:val="009C7D35"/>
    <w:rsid w:val="009C7DCC"/>
    <w:rsid w:val="009D0085"/>
    <w:rsid w:val="009D00BC"/>
    <w:rsid w:val="009D00C7"/>
    <w:rsid w:val="009D0150"/>
    <w:rsid w:val="009D01EE"/>
    <w:rsid w:val="009D0231"/>
    <w:rsid w:val="009D02CD"/>
    <w:rsid w:val="009D032E"/>
    <w:rsid w:val="009D045A"/>
    <w:rsid w:val="009D06DE"/>
    <w:rsid w:val="009D08C1"/>
    <w:rsid w:val="009D09CF"/>
    <w:rsid w:val="009D0AA8"/>
    <w:rsid w:val="009D0AEA"/>
    <w:rsid w:val="009D0AEC"/>
    <w:rsid w:val="009D0BBB"/>
    <w:rsid w:val="009D0D9F"/>
    <w:rsid w:val="009D0DE8"/>
    <w:rsid w:val="009D0E02"/>
    <w:rsid w:val="009D0EE9"/>
    <w:rsid w:val="009D12E4"/>
    <w:rsid w:val="009D12F6"/>
    <w:rsid w:val="009D1400"/>
    <w:rsid w:val="009D14DD"/>
    <w:rsid w:val="009D1526"/>
    <w:rsid w:val="009D1599"/>
    <w:rsid w:val="009D15DD"/>
    <w:rsid w:val="009D15E5"/>
    <w:rsid w:val="009D1609"/>
    <w:rsid w:val="009D1613"/>
    <w:rsid w:val="009D1823"/>
    <w:rsid w:val="009D18AA"/>
    <w:rsid w:val="009D1971"/>
    <w:rsid w:val="009D1AC7"/>
    <w:rsid w:val="009D1BD5"/>
    <w:rsid w:val="009D1BEF"/>
    <w:rsid w:val="009D1C32"/>
    <w:rsid w:val="009D1C8F"/>
    <w:rsid w:val="009D1D22"/>
    <w:rsid w:val="009D1D26"/>
    <w:rsid w:val="009D1D89"/>
    <w:rsid w:val="009D1E40"/>
    <w:rsid w:val="009D1EB1"/>
    <w:rsid w:val="009D1F27"/>
    <w:rsid w:val="009D2012"/>
    <w:rsid w:val="009D20A0"/>
    <w:rsid w:val="009D2123"/>
    <w:rsid w:val="009D2135"/>
    <w:rsid w:val="009D24B5"/>
    <w:rsid w:val="009D24D2"/>
    <w:rsid w:val="009D26B0"/>
    <w:rsid w:val="009D27DA"/>
    <w:rsid w:val="009D2805"/>
    <w:rsid w:val="009D2927"/>
    <w:rsid w:val="009D2938"/>
    <w:rsid w:val="009D2950"/>
    <w:rsid w:val="009D2A29"/>
    <w:rsid w:val="009D2B1B"/>
    <w:rsid w:val="009D2B43"/>
    <w:rsid w:val="009D2D99"/>
    <w:rsid w:val="009D2DEE"/>
    <w:rsid w:val="009D2E1C"/>
    <w:rsid w:val="009D2E2F"/>
    <w:rsid w:val="009D2E83"/>
    <w:rsid w:val="009D2F6D"/>
    <w:rsid w:val="009D3031"/>
    <w:rsid w:val="009D30FE"/>
    <w:rsid w:val="009D31AB"/>
    <w:rsid w:val="009D3414"/>
    <w:rsid w:val="009D3492"/>
    <w:rsid w:val="009D34CC"/>
    <w:rsid w:val="009D34D7"/>
    <w:rsid w:val="009D355C"/>
    <w:rsid w:val="009D37FD"/>
    <w:rsid w:val="009D383C"/>
    <w:rsid w:val="009D3C3B"/>
    <w:rsid w:val="009D3C73"/>
    <w:rsid w:val="009D3CF3"/>
    <w:rsid w:val="009D3D89"/>
    <w:rsid w:val="009D3E83"/>
    <w:rsid w:val="009D3EBB"/>
    <w:rsid w:val="009D3F39"/>
    <w:rsid w:val="009D3FE8"/>
    <w:rsid w:val="009D4059"/>
    <w:rsid w:val="009D4120"/>
    <w:rsid w:val="009D415B"/>
    <w:rsid w:val="009D41C8"/>
    <w:rsid w:val="009D4217"/>
    <w:rsid w:val="009D4263"/>
    <w:rsid w:val="009D42D9"/>
    <w:rsid w:val="009D43A8"/>
    <w:rsid w:val="009D4446"/>
    <w:rsid w:val="009D445F"/>
    <w:rsid w:val="009D448A"/>
    <w:rsid w:val="009D4528"/>
    <w:rsid w:val="009D4581"/>
    <w:rsid w:val="009D45F6"/>
    <w:rsid w:val="009D4634"/>
    <w:rsid w:val="009D4657"/>
    <w:rsid w:val="009D4760"/>
    <w:rsid w:val="009D47AA"/>
    <w:rsid w:val="009D4870"/>
    <w:rsid w:val="009D487E"/>
    <w:rsid w:val="009D49DF"/>
    <w:rsid w:val="009D49FF"/>
    <w:rsid w:val="009D4A20"/>
    <w:rsid w:val="009D4A59"/>
    <w:rsid w:val="009D4AD0"/>
    <w:rsid w:val="009D4AF0"/>
    <w:rsid w:val="009D4AFB"/>
    <w:rsid w:val="009D4B1D"/>
    <w:rsid w:val="009D4B55"/>
    <w:rsid w:val="009D4DB8"/>
    <w:rsid w:val="009D4E4D"/>
    <w:rsid w:val="009D4F6F"/>
    <w:rsid w:val="009D4F81"/>
    <w:rsid w:val="009D4FE9"/>
    <w:rsid w:val="009D4FF6"/>
    <w:rsid w:val="009D5008"/>
    <w:rsid w:val="009D51EA"/>
    <w:rsid w:val="009D52D6"/>
    <w:rsid w:val="009D53CA"/>
    <w:rsid w:val="009D543C"/>
    <w:rsid w:val="009D5519"/>
    <w:rsid w:val="009D57B1"/>
    <w:rsid w:val="009D5943"/>
    <w:rsid w:val="009D5975"/>
    <w:rsid w:val="009D5A09"/>
    <w:rsid w:val="009D5A61"/>
    <w:rsid w:val="009D5AA0"/>
    <w:rsid w:val="009D5B5A"/>
    <w:rsid w:val="009D5BA6"/>
    <w:rsid w:val="009D5C10"/>
    <w:rsid w:val="009D5DCA"/>
    <w:rsid w:val="009D6061"/>
    <w:rsid w:val="009D627F"/>
    <w:rsid w:val="009D637F"/>
    <w:rsid w:val="009D66AE"/>
    <w:rsid w:val="009D6776"/>
    <w:rsid w:val="009D680F"/>
    <w:rsid w:val="009D68DF"/>
    <w:rsid w:val="009D69BB"/>
    <w:rsid w:val="009D6A4E"/>
    <w:rsid w:val="009D6B05"/>
    <w:rsid w:val="009D6BC4"/>
    <w:rsid w:val="009D6C5A"/>
    <w:rsid w:val="009D6C6E"/>
    <w:rsid w:val="009D6CC2"/>
    <w:rsid w:val="009D6D3E"/>
    <w:rsid w:val="009D6DB1"/>
    <w:rsid w:val="009D6F85"/>
    <w:rsid w:val="009D6FF9"/>
    <w:rsid w:val="009D70AB"/>
    <w:rsid w:val="009D714C"/>
    <w:rsid w:val="009D7179"/>
    <w:rsid w:val="009D748F"/>
    <w:rsid w:val="009D7597"/>
    <w:rsid w:val="009D75AB"/>
    <w:rsid w:val="009D75AF"/>
    <w:rsid w:val="009D76F7"/>
    <w:rsid w:val="009D7704"/>
    <w:rsid w:val="009D778A"/>
    <w:rsid w:val="009D7829"/>
    <w:rsid w:val="009D78AD"/>
    <w:rsid w:val="009D7906"/>
    <w:rsid w:val="009D7911"/>
    <w:rsid w:val="009D793B"/>
    <w:rsid w:val="009D7962"/>
    <w:rsid w:val="009D7A00"/>
    <w:rsid w:val="009D7A02"/>
    <w:rsid w:val="009D7AAC"/>
    <w:rsid w:val="009D7B2D"/>
    <w:rsid w:val="009D7CA7"/>
    <w:rsid w:val="009D7D1F"/>
    <w:rsid w:val="009D7D6A"/>
    <w:rsid w:val="009D7DC2"/>
    <w:rsid w:val="009D7E44"/>
    <w:rsid w:val="009D7E6F"/>
    <w:rsid w:val="009D7E91"/>
    <w:rsid w:val="009D7F45"/>
    <w:rsid w:val="009E0113"/>
    <w:rsid w:val="009E0118"/>
    <w:rsid w:val="009E0130"/>
    <w:rsid w:val="009E0286"/>
    <w:rsid w:val="009E02C3"/>
    <w:rsid w:val="009E032A"/>
    <w:rsid w:val="009E033E"/>
    <w:rsid w:val="009E0348"/>
    <w:rsid w:val="009E04AA"/>
    <w:rsid w:val="009E0896"/>
    <w:rsid w:val="009E08FD"/>
    <w:rsid w:val="009E0B20"/>
    <w:rsid w:val="009E0C0C"/>
    <w:rsid w:val="009E0D82"/>
    <w:rsid w:val="009E0DB6"/>
    <w:rsid w:val="009E0E22"/>
    <w:rsid w:val="009E0E63"/>
    <w:rsid w:val="009E0E9D"/>
    <w:rsid w:val="009E0EAB"/>
    <w:rsid w:val="009E0F4B"/>
    <w:rsid w:val="009E0FCD"/>
    <w:rsid w:val="009E0FF4"/>
    <w:rsid w:val="009E108A"/>
    <w:rsid w:val="009E120B"/>
    <w:rsid w:val="009E1263"/>
    <w:rsid w:val="009E1376"/>
    <w:rsid w:val="009E13A7"/>
    <w:rsid w:val="009E1446"/>
    <w:rsid w:val="009E15BD"/>
    <w:rsid w:val="009E160B"/>
    <w:rsid w:val="009E1616"/>
    <w:rsid w:val="009E1657"/>
    <w:rsid w:val="009E16AA"/>
    <w:rsid w:val="009E16BA"/>
    <w:rsid w:val="009E16C0"/>
    <w:rsid w:val="009E18FA"/>
    <w:rsid w:val="009E1B17"/>
    <w:rsid w:val="009E1B2F"/>
    <w:rsid w:val="009E1B85"/>
    <w:rsid w:val="009E1BB1"/>
    <w:rsid w:val="009E1D03"/>
    <w:rsid w:val="009E1EDF"/>
    <w:rsid w:val="009E1EF5"/>
    <w:rsid w:val="009E2048"/>
    <w:rsid w:val="009E20B4"/>
    <w:rsid w:val="009E2118"/>
    <w:rsid w:val="009E213E"/>
    <w:rsid w:val="009E2194"/>
    <w:rsid w:val="009E222A"/>
    <w:rsid w:val="009E2288"/>
    <w:rsid w:val="009E22BA"/>
    <w:rsid w:val="009E22DA"/>
    <w:rsid w:val="009E2765"/>
    <w:rsid w:val="009E2802"/>
    <w:rsid w:val="009E2999"/>
    <w:rsid w:val="009E29E5"/>
    <w:rsid w:val="009E2A45"/>
    <w:rsid w:val="009E2AAC"/>
    <w:rsid w:val="009E2B22"/>
    <w:rsid w:val="009E2BF5"/>
    <w:rsid w:val="009E2E0F"/>
    <w:rsid w:val="009E2E94"/>
    <w:rsid w:val="009E2ED0"/>
    <w:rsid w:val="009E2ED1"/>
    <w:rsid w:val="009E2F3E"/>
    <w:rsid w:val="009E2F9E"/>
    <w:rsid w:val="009E3154"/>
    <w:rsid w:val="009E31F9"/>
    <w:rsid w:val="009E327B"/>
    <w:rsid w:val="009E3354"/>
    <w:rsid w:val="009E33D0"/>
    <w:rsid w:val="009E3535"/>
    <w:rsid w:val="009E3539"/>
    <w:rsid w:val="009E353D"/>
    <w:rsid w:val="009E3568"/>
    <w:rsid w:val="009E3642"/>
    <w:rsid w:val="009E3649"/>
    <w:rsid w:val="009E3654"/>
    <w:rsid w:val="009E3786"/>
    <w:rsid w:val="009E37D3"/>
    <w:rsid w:val="009E3992"/>
    <w:rsid w:val="009E399C"/>
    <w:rsid w:val="009E3A21"/>
    <w:rsid w:val="009E3AFC"/>
    <w:rsid w:val="009E3C0A"/>
    <w:rsid w:val="009E3C35"/>
    <w:rsid w:val="009E3C98"/>
    <w:rsid w:val="009E3CDA"/>
    <w:rsid w:val="009E3CF7"/>
    <w:rsid w:val="009E3DC5"/>
    <w:rsid w:val="009E3E35"/>
    <w:rsid w:val="009E3E41"/>
    <w:rsid w:val="009E3E9E"/>
    <w:rsid w:val="009E3F0D"/>
    <w:rsid w:val="009E3F43"/>
    <w:rsid w:val="009E3F98"/>
    <w:rsid w:val="009E3FAD"/>
    <w:rsid w:val="009E401A"/>
    <w:rsid w:val="009E4042"/>
    <w:rsid w:val="009E4199"/>
    <w:rsid w:val="009E41B0"/>
    <w:rsid w:val="009E4238"/>
    <w:rsid w:val="009E42DB"/>
    <w:rsid w:val="009E44AC"/>
    <w:rsid w:val="009E4524"/>
    <w:rsid w:val="009E45BA"/>
    <w:rsid w:val="009E45F9"/>
    <w:rsid w:val="009E4614"/>
    <w:rsid w:val="009E4675"/>
    <w:rsid w:val="009E46DC"/>
    <w:rsid w:val="009E4766"/>
    <w:rsid w:val="009E496B"/>
    <w:rsid w:val="009E4AB0"/>
    <w:rsid w:val="009E4C8B"/>
    <w:rsid w:val="009E4E60"/>
    <w:rsid w:val="009E4F35"/>
    <w:rsid w:val="009E4F4D"/>
    <w:rsid w:val="009E4FAA"/>
    <w:rsid w:val="009E4FD7"/>
    <w:rsid w:val="009E5015"/>
    <w:rsid w:val="009E510F"/>
    <w:rsid w:val="009E5276"/>
    <w:rsid w:val="009E52CD"/>
    <w:rsid w:val="009E54EE"/>
    <w:rsid w:val="009E5542"/>
    <w:rsid w:val="009E55E3"/>
    <w:rsid w:val="009E56A7"/>
    <w:rsid w:val="009E57C4"/>
    <w:rsid w:val="009E584F"/>
    <w:rsid w:val="009E5A2B"/>
    <w:rsid w:val="009E5C5F"/>
    <w:rsid w:val="009E5DBE"/>
    <w:rsid w:val="009E5DE4"/>
    <w:rsid w:val="009E5E41"/>
    <w:rsid w:val="009E5FCA"/>
    <w:rsid w:val="009E60B0"/>
    <w:rsid w:val="009E61EC"/>
    <w:rsid w:val="009E63A1"/>
    <w:rsid w:val="009E63E9"/>
    <w:rsid w:val="009E64C8"/>
    <w:rsid w:val="009E675F"/>
    <w:rsid w:val="009E685A"/>
    <w:rsid w:val="009E6929"/>
    <w:rsid w:val="009E6945"/>
    <w:rsid w:val="009E6B36"/>
    <w:rsid w:val="009E6BA1"/>
    <w:rsid w:val="009E6CE3"/>
    <w:rsid w:val="009E6EA6"/>
    <w:rsid w:val="009E6ED8"/>
    <w:rsid w:val="009E6FD3"/>
    <w:rsid w:val="009E71A9"/>
    <w:rsid w:val="009E7247"/>
    <w:rsid w:val="009E724A"/>
    <w:rsid w:val="009E7250"/>
    <w:rsid w:val="009E73F9"/>
    <w:rsid w:val="009E74AA"/>
    <w:rsid w:val="009E74D1"/>
    <w:rsid w:val="009E74DF"/>
    <w:rsid w:val="009E74E5"/>
    <w:rsid w:val="009E74E8"/>
    <w:rsid w:val="009E74F3"/>
    <w:rsid w:val="009E7505"/>
    <w:rsid w:val="009E760B"/>
    <w:rsid w:val="009E764B"/>
    <w:rsid w:val="009E76EA"/>
    <w:rsid w:val="009E7783"/>
    <w:rsid w:val="009E77A9"/>
    <w:rsid w:val="009E77D6"/>
    <w:rsid w:val="009E7802"/>
    <w:rsid w:val="009E7855"/>
    <w:rsid w:val="009E7A05"/>
    <w:rsid w:val="009E7B4B"/>
    <w:rsid w:val="009E7BD2"/>
    <w:rsid w:val="009E7CB3"/>
    <w:rsid w:val="009E7D80"/>
    <w:rsid w:val="009E7DE8"/>
    <w:rsid w:val="009E7F1D"/>
    <w:rsid w:val="009E7FD9"/>
    <w:rsid w:val="009F0383"/>
    <w:rsid w:val="009F063E"/>
    <w:rsid w:val="009F078A"/>
    <w:rsid w:val="009F0792"/>
    <w:rsid w:val="009F07C5"/>
    <w:rsid w:val="009F084F"/>
    <w:rsid w:val="009F089B"/>
    <w:rsid w:val="009F08BB"/>
    <w:rsid w:val="009F0903"/>
    <w:rsid w:val="009F0915"/>
    <w:rsid w:val="009F094D"/>
    <w:rsid w:val="009F0964"/>
    <w:rsid w:val="009F0BEC"/>
    <w:rsid w:val="009F0BEE"/>
    <w:rsid w:val="009F0D26"/>
    <w:rsid w:val="009F0D81"/>
    <w:rsid w:val="009F0E81"/>
    <w:rsid w:val="009F0FFB"/>
    <w:rsid w:val="009F115E"/>
    <w:rsid w:val="009F1300"/>
    <w:rsid w:val="009F148B"/>
    <w:rsid w:val="009F150D"/>
    <w:rsid w:val="009F1603"/>
    <w:rsid w:val="009F1654"/>
    <w:rsid w:val="009F165C"/>
    <w:rsid w:val="009F16B5"/>
    <w:rsid w:val="009F1706"/>
    <w:rsid w:val="009F181F"/>
    <w:rsid w:val="009F1B23"/>
    <w:rsid w:val="009F1D26"/>
    <w:rsid w:val="009F1D46"/>
    <w:rsid w:val="009F1DB5"/>
    <w:rsid w:val="009F1DCA"/>
    <w:rsid w:val="009F1E1A"/>
    <w:rsid w:val="009F1E6C"/>
    <w:rsid w:val="009F1E7A"/>
    <w:rsid w:val="009F1E96"/>
    <w:rsid w:val="009F1F39"/>
    <w:rsid w:val="009F20C9"/>
    <w:rsid w:val="009F223C"/>
    <w:rsid w:val="009F245C"/>
    <w:rsid w:val="009F24CB"/>
    <w:rsid w:val="009F259B"/>
    <w:rsid w:val="009F25E1"/>
    <w:rsid w:val="009F267D"/>
    <w:rsid w:val="009F27F5"/>
    <w:rsid w:val="009F292C"/>
    <w:rsid w:val="009F2964"/>
    <w:rsid w:val="009F29F2"/>
    <w:rsid w:val="009F2C12"/>
    <w:rsid w:val="009F2C55"/>
    <w:rsid w:val="009F2CA5"/>
    <w:rsid w:val="009F2D2B"/>
    <w:rsid w:val="009F2ECF"/>
    <w:rsid w:val="009F2EEE"/>
    <w:rsid w:val="009F302A"/>
    <w:rsid w:val="009F3035"/>
    <w:rsid w:val="009F3315"/>
    <w:rsid w:val="009F333D"/>
    <w:rsid w:val="009F342B"/>
    <w:rsid w:val="009F3508"/>
    <w:rsid w:val="009F3532"/>
    <w:rsid w:val="009F3556"/>
    <w:rsid w:val="009F3572"/>
    <w:rsid w:val="009F3576"/>
    <w:rsid w:val="009F3728"/>
    <w:rsid w:val="009F3742"/>
    <w:rsid w:val="009F3813"/>
    <w:rsid w:val="009F383F"/>
    <w:rsid w:val="009F389D"/>
    <w:rsid w:val="009F38FF"/>
    <w:rsid w:val="009F3941"/>
    <w:rsid w:val="009F3A08"/>
    <w:rsid w:val="009F3AA1"/>
    <w:rsid w:val="009F3B32"/>
    <w:rsid w:val="009F3BA0"/>
    <w:rsid w:val="009F3C49"/>
    <w:rsid w:val="009F3C9B"/>
    <w:rsid w:val="009F3D16"/>
    <w:rsid w:val="009F3D19"/>
    <w:rsid w:val="009F3D4B"/>
    <w:rsid w:val="009F3E26"/>
    <w:rsid w:val="009F3E43"/>
    <w:rsid w:val="009F410C"/>
    <w:rsid w:val="009F41EA"/>
    <w:rsid w:val="009F4299"/>
    <w:rsid w:val="009F4340"/>
    <w:rsid w:val="009F4477"/>
    <w:rsid w:val="009F44A8"/>
    <w:rsid w:val="009F4569"/>
    <w:rsid w:val="009F456B"/>
    <w:rsid w:val="009F459D"/>
    <w:rsid w:val="009F45BB"/>
    <w:rsid w:val="009F4786"/>
    <w:rsid w:val="009F4A3D"/>
    <w:rsid w:val="009F4AC9"/>
    <w:rsid w:val="009F4AE7"/>
    <w:rsid w:val="009F4B5D"/>
    <w:rsid w:val="009F4CE2"/>
    <w:rsid w:val="009F4CE6"/>
    <w:rsid w:val="009F4D2A"/>
    <w:rsid w:val="009F4DAA"/>
    <w:rsid w:val="009F50B2"/>
    <w:rsid w:val="009F51A4"/>
    <w:rsid w:val="009F523D"/>
    <w:rsid w:val="009F5245"/>
    <w:rsid w:val="009F528B"/>
    <w:rsid w:val="009F54B0"/>
    <w:rsid w:val="009F54E6"/>
    <w:rsid w:val="009F557B"/>
    <w:rsid w:val="009F55CC"/>
    <w:rsid w:val="009F55F2"/>
    <w:rsid w:val="009F585F"/>
    <w:rsid w:val="009F587B"/>
    <w:rsid w:val="009F59DB"/>
    <w:rsid w:val="009F5A4D"/>
    <w:rsid w:val="009F5C6E"/>
    <w:rsid w:val="009F5D0B"/>
    <w:rsid w:val="009F5D5A"/>
    <w:rsid w:val="009F5EBF"/>
    <w:rsid w:val="009F5F56"/>
    <w:rsid w:val="009F603D"/>
    <w:rsid w:val="009F61DC"/>
    <w:rsid w:val="009F6463"/>
    <w:rsid w:val="009F6567"/>
    <w:rsid w:val="009F6642"/>
    <w:rsid w:val="009F6649"/>
    <w:rsid w:val="009F6889"/>
    <w:rsid w:val="009F68B6"/>
    <w:rsid w:val="009F6991"/>
    <w:rsid w:val="009F6A48"/>
    <w:rsid w:val="009F6B88"/>
    <w:rsid w:val="009F6C8F"/>
    <w:rsid w:val="009F6EF0"/>
    <w:rsid w:val="009F6F0D"/>
    <w:rsid w:val="009F7199"/>
    <w:rsid w:val="009F71B8"/>
    <w:rsid w:val="009F71D9"/>
    <w:rsid w:val="009F7294"/>
    <w:rsid w:val="009F73AB"/>
    <w:rsid w:val="009F7493"/>
    <w:rsid w:val="009F75E6"/>
    <w:rsid w:val="009F7612"/>
    <w:rsid w:val="009F76F5"/>
    <w:rsid w:val="009F771A"/>
    <w:rsid w:val="009F7891"/>
    <w:rsid w:val="009F7894"/>
    <w:rsid w:val="009F78D4"/>
    <w:rsid w:val="009F7930"/>
    <w:rsid w:val="009F7960"/>
    <w:rsid w:val="009F7A29"/>
    <w:rsid w:val="009F7B35"/>
    <w:rsid w:val="009F7B8F"/>
    <w:rsid w:val="009F7BA7"/>
    <w:rsid w:val="009F7D75"/>
    <w:rsid w:val="009F7EA8"/>
    <w:rsid w:val="009F7EDC"/>
    <w:rsid w:val="009F7F0F"/>
    <w:rsid w:val="00A00218"/>
    <w:rsid w:val="00A00321"/>
    <w:rsid w:val="00A00452"/>
    <w:rsid w:val="00A0052E"/>
    <w:rsid w:val="00A00783"/>
    <w:rsid w:val="00A008F0"/>
    <w:rsid w:val="00A00922"/>
    <w:rsid w:val="00A00C07"/>
    <w:rsid w:val="00A00C1E"/>
    <w:rsid w:val="00A00C3A"/>
    <w:rsid w:val="00A00C4E"/>
    <w:rsid w:val="00A00C89"/>
    <w:rsid w:val="00A00CA6"/>
    <w:rsid w:val="00A00D2B"/>
    <w:rsid w:val="00A00E05"/>
    <w:rsid w:val="00A00FAC"/>
    <w:rsid w:val="00A01110"/>
    <w:rsid w:val="00A01167"/>
    <w:rsid w:val="00A012C8"/>
    <w:rsid w:val="00A01340"/>
    <w:rsid w:val="00A0151C"/>
    <w:rsid w:val="00A01688"/>
    <w:rsid w:val="00A01782"/>
    <w:rsid w:val="00A01928"/>
    <w:rsid w:val="00A0198F"/>
    <w:rsid w:val="00A01995"/>
    <w:rsid w:val="00A01B5D"/>
    <w:rsid w:val="00A01C4F"/>
    <w:rsid w:val="00A01C73"/>
    <w:rsid w:val="00A01E29"/>
    <w:rsid w:val="00A01EAC"/>
    <w:rsid w:val="00A01F26"/>
    <w:rsid w:val="00A01F83"/>
    <w:rsid w:val="00A01FBA"/>
    <w:rsid w:val="00A02047"/>
    <w:rsid w:val="00A02109"/>
    <w:rsid w:val="00A0258B"/>
    <w:rsid w:val="00A025B8"/>
    <w:rsid w:val="00A025D2"/>
    <w:rsid w:val="00A025DC"/>
    <w:rsid w:val="00A0283E"/>
    <w:rsid w:val="00A02ADB"/>
    <w:rsid w:val="00A02BAC"/>
    <w:rsid w:val="00A02BEC"/>
    <w:rsid w:val="00A02D8E"/>
    <w:rsid w:val="00A02E1D"/>
    <w:rsid w:val="00A02E98"/>
    <w:rsid w:val="00A02E9E"/>
    <w:rsid w:val="00A0302E"/>
    <w:rsid w:val="00A03079"/>
    <w:rsid w:val="00A03156"/>
    <w:rsid w:val="00A031D7"/>
    <w:rsid w:val="00A031E1"/>
    <w:rsid w:val="00A031F9"/>
    <w:rsid w:val="00A03333"/>
    <w:rsid w:val="00A03369"/>
    <w:rsid w:val="00A033C9"/>
    <w:rsid w:val="00A03728"/>
    <w:rsid w:val="00A0388E"/>
    <w:rsid w:val="00A038C0"/>
    <w:rsid w:val="00A038C9"/>
    <w:rsid w:val="00A038FF"/>
    <w:rsid w:val="00A03920"/>
    <w:rsid w:val="00A03B10"/>
    <w:rsid w:val="00A03C0E"/>
    <w:rsid w:val="00A03CE0"/>
    <w:rsid w:val="00A03D24"/>
    <w:rsid w:val="00A03D4E"/>
    <w:rsid w:val="00A03E70"/>
    <w:rsid w:val="00A03EED"/>
    <w:rsid w:val="00A03FF6"/>
    <w:rsid w:val="00A040F5"/>
    <w:rsid w:val="00A0413D"/>
    <w:rsid w:val="00A042A0"/>
    <w:rsid w:val="00A0434E"/>
    <w:rsid w:val="00A0444B"/>
    <w:rsid w:val="00A0448F"/>
    <w:rsid w:val="00A04490"/>
    <w:rsid w:val="00A044A1"/>
    <w:rsid w:val="00A04602"/>
    <w:rsid w:val="00A046DD"/>
    <w:rsid w:val="00A04786"/>
    <w:rsid w:val="00A04A50"/>
    <w:rsid w:val="00A04BCC"/>
    <w:rsid w:val="00A04BF3"/>
    <w:rsid w:val="00A04C9C"/>
    <w:rsid w:val="00A04D24"/>
    <w:rsid w:val="00A04EDF"/>
    <w:rsid w:val="00A04F15"/>
    <w:rsid w:val="00A04FEB"/>
    <w:rsid w:val="00A0511E"/>
    <w:rsid w:val="00A05120"/>
    <w:rsid w:val="00A0516D"/>
    <w:rsid w:val="00A0516F"/>
    <w:rsid w:val="00A0519E"/>
    <w:rsid w:val="00A051E5"/>
    <w:rsid w:val="00A0520B"/>
    <w:rsid w:val="00A05325"/>
    <w:rsid w:val="00A0547F"/>
    <w:rsid w:val="00A0549D"/>
    <w:rsid w:val="00A054F6"/>
    <w:rsid w:val="00A05623"/>
    <w:rsid w:val="00A0565F"/>
    <w:rsid w:val="00A0573C"/>
    <w:rsid w:val="00A05787"/>
    <w:rsid w:val="00A057BD"/>
    <w:rsid w:val="00A057D7"/>
    <w:rsid w:val="00A057EB"/>
    <w:rsid w:val="00A0583E"/>
    <w:rsid w:val="00A05910"/>
    <w:rsid w:val="00A059D7"/>
    <w:rsid w:val="00A05B23"/>
    <w:rsid w:val="00A05B76"/>
    <w:rsid w:val="00A05B9A"/>
    <w:rsid w:val="00A05BDD"/>
    <w:rsid w:val="00A05C20"/>
    <w:rsid w:val="00A05D37"/>
    <w:rsid w:val="00A05D49"/>
    <w:rsid w:val="00A05DE9"/>
    <w:rsid w:val="00A05DEC"/>
    <w:rsid w:val="00A05F46"/>
    <w:rsid w:val="00A05F53"/>
    <w:rsid w:val="00A05FAD"/>
    <w:rsid w:val="00A0601C"/>
    <w:rsid w:val="00A060E0"/>
    <w:rsid w:val="00A06108"/>
    <w:rsid w:val="00A06169"/>
    <w:rsid w:val="00A0616D"/>
    <w:rsid w:val="00A061AA"/>
    <w:rsid w:val="00A061F7"/>
    <w:rsid w:val="00A0622F"/>
    <w:rsid w:val="00A06404"/>
    <w:rsid w:val="00A06550"/>
    <w:rsid w:val="00A06588"/>
    <w:rsid w:val="00A06668"/>
    <w:rsid w:val="00A066E5"/>
    <w:rsid w:val="00A06705"/>
    <w:rsid w:val="00A067F4"/>
    <w:rsid w:val="00A06814"/>
    <w:rsid w:val="00A068E4"/>
    <w:rsid w:val="00A0696A"/>
    <w:rsid w:val="00A06A41"/>
    <w:rsid w:val="00A06A54"/>
    <w:rsid w:val="00A06A8B"/>
    <w:rsid w:val="00A06AA9"/>
    <w:rsid w:val="00A06AC9"/>
    <w:rsid w:val="00A06BB2"/>
    <w:rsid w:val="00A06C3A"/>
    <w:rsid w:val="00A06D14"/>
    <w:rsid w:val="00A06D93"/>
    <w:rsid w:val="00A06E0E"/>
    <w:rsid w:val="00A06E5E"/>
    <w:rsid w:val="00A07026"/>
    <w:rsid w:val="00A070E5"/>
    <w:rsid w:val="00A0729E"/>
    <w:rsid w:val="00A0732B"/>
    <w:rsid w:val="00A0733F"/>
    <w:rsid w:val="00A07373"/>
    <w:rsid w:val="00A0740C"/>
    <w:rsid w:val="00A074A7"/>
    <w:rsid w:val="00A074E9"/>
    <w:rsid w:val="00A0756B"/>
    <w:rsid w:val="00A0763E"/>
    <w:rsid w:val="00A07935"/>
    <w:rsid w:val="00A07966"/>
    <w:rsid w:val="00A07BB4"/>
    <w:rsid w:val="00A07D83"/>
    <w:rsid w:val="00A07E94"/>
    <w:rsid w:val="00A07F33"/>
    <w:rsid w:val="00A07F54"/>
    <w:rsid w:val="00A10016"/>
    <w:rsid w:val="00A101F6"/>
    <w:rsid w:val="00A102E4"/>
    <w:rsid w:val="00A10393"/>
    <w:rsid w:val="00A10401"/>
    <w:rsid w:val="00A10411"/>
    <w:rsid w:val="00A10441"/>
    <w:rsid w:val="00A1057B"/>
    <w:rsid w:val="00A10674"/>
    <w:rsid w:val="00A10777"/>
    <w:rsid w:val="00A107F4"/>
    <w:rsid w:val="00A108E3"/>
    <w:rsid w:val="00A10A40"/>
    <w:rsid w:val="00A10B1D"/>
    <w:rsid w:val="00A10BFC"/>
    <w:rsid w:val="00A10C4D"/>
    <w:rsid w:val="00A10CB2"/>
    <w:rsid w:val="00A10CF6"/>
    <w:rsid w:val="00A10E6B"/>
    <w:rsid w:val="00A10ED4"/>
    <w:rsid w:val="00A11183"/>
    <w:rsid w:val="00A111DB"/>
    <w:rsid w:val="00A11299"/>
    <w:rsid w:val="00A11516"/>
    <w:rsid w:val="00A1166F"/>
    <w:rsid w:val="00A11765"/>
    <w:rsid w:val="00A11823"/>
    <w:rsid w:val="00A11987"/>
    <w:rsid w:val="00A11AB3"/>
    <w:rsid w:val="00A11AFE"/>
    <w:rsid w:val="00A11DF6"/>
    <w:rsid w:val="00A11EF5"/>
    <w:rsid w:val="00A11EF7"/>
    <w:rsid w:val="00A11FC8"/>
    <w:rsid w:val="00A11FE5"/>
    <w:rsid w:val="00A11FF6"/>
    <w:rsid w:val="00A120FD"/>
    <w:rsid w:val="00A1227A"/>
    <w:rsid w:val="00A1242C"/>
    <w:rsid w:val="00A1245D"/>
    <w:rsid w:val="00A12530"/>
    <w:rsid w:val="00A125D8"/>
    <w:rsid w:val="00A1265B"/>
    <w:rsid w:val="00A12669"/>
    <w:rsid w:val="00A12758"/>
    <w:rsid w:val="00A1282B"/>
    <w:rsid w:val="00A128BB"/>
    <w:rsid w:val="00A128E7"/>
    <w:rsid w:val="00A12A2A"/>
    <w:rsid w:val="00A12AD9"/>
    <w:rsid w:val="00A12C8D"/>
    <w:rsid w:val="00A12D6A"/>
    <w:rsid w:val="00A12E1F"/>
    <w:rsid w:val="00A12EDE"/>
    <w:rsid w:val="00A12EE2"/>
    <w:rsid w:val="00A12F0E"/>
    <w:rsid w:val="00A12FC9"/>
    <w:rsid w:val="00A13014"/>
    <w:rsid w:val="00A1313B"/>
    <w:rsid w:val="00A131AB"/>
    <w:rsid w:val="00A13225"/>
    <w:rsid w:val="00A13254"/>
    <w:rsid w:val="00A132A7"/>
    <w:rsid w:val="00A132C7"/>
    <w:rsid w:val="00A1345D"/>
    <w:rsid w:val="00A134FE"/>
    <w:rsid w:val="00A13501"/>
    <w:rsid w:val="00A135B3"/>
    <w:rsid w:val="00A13612"/>
    <w:rsid w:val="00A1366F"/>
    <w:rsid w:val="00A137E6"/>
    <w:rsid w:val="00A1387C"/>
    <w:rsid w:val="00A1390D"/>
    <w:rsid w:val="00A139F2"/>
    <w:rsid w:val="00A13AC7"/>
    <w:rsid w:val="00A13BBF"/>
    <w:rsid w:val="00A13D66"/>
    <w:rsid w:val="00A13DB3"/>
    <w:rsid w:val="00A13DD5"/>
    <w:rsid w:val="00A13ED9"/>
    <w:rsid w:val="00A13F7D"/>
    <w:rsid w:val="00A13FB8"/>
    <w:rsid w:val="00A14157"/>
    <w:rsid w:val="00A14240"/>
    <w:rsid w:val="00A145C2"/>
    <w:rsid w:val="00A147E5"/>
    <w:rsid w:val="00A148D6"/>
    <w:rsid w:val="00A148F8"/>
    <w:rsid w:val="00A14C00"/>
    <w:rsid w:val="00A14C0A"/>
    <w:rsid w:val="00A14C88"/>
    <w:rsid w:val="00A14CC8"/>
    <w:rsid w:val="00A14D05"/>
    <w:rsid w:val="00A14DC4"/>
    <w:rsid w:val="00A14E54"/>
    <w:rsid w:val="00A14E97"/>
    <w:rsid w:val="00A14EDB"/>
    <w:rsid w:val="00A14F02"/>
    <w:rsid w:val="00A14F15"/>
    <w:rsid w:val="00A14F2E"/>
    <w:rsid w:val="00A15051"/>
    <w:rsid w:val="00A1508E"/>
    <w:rsid w:val="00A1518F"/>
    <w:rsid w:val="00A1533A"/>
    <w:rsid w:val="00A1538D"/>
    <w:rsid w:val="00A153B6"/>
    <w:rsid w:val="00A154E7"/>
    <w:rsid w:val="00A155E7"/>
    <w:rsid w:val="00A156C0"/>
    <w:rsid w:val="00A157C8"/>
    <w:rsid w:val="00A157EE"/>
    <w:rsid w:val="00A15853"/>
    <w:rsid w:val="00A158F0"/>
    <w:rsid w:val="00A15973"/>
    <w:rsid w:val="00A159C0"/>
    <w:rsid w:val="00A159CA"/>
    <w:rsid w:val="00A15A22"/>
    <w:rsid w:val="00A15A70"/>
    <w:rsid w:val="00A16275"/>
    <w:rsid w:val="00A162E7"/>
    <w:rsid w:val="00A162FF"/>
    <w:rsid w:val="00A16535"/>
    <w:rsid w:val="00A1665A"/>
    <w:rsid w:val="00A166DE"/>
    <w:rsid w:val="00A167CA"/>
    <w:rsid w:val="00A1689D"/>
    <w:rsid w:val="00A1689E"/>
    <w:rsid w:val="00A1689F"/>
    <w:rsid w:val="00A168B2"/>
    <w:rsid w:val="00A16907"/>
    <w:rsid w:val="00A16A81"/>
    <w:rsid w:val="00A16AD1"/>
    <w:rsid w:val="00A16D32"/>
    <w:rsid w:val="00A16E7D"/>
    <w:rsid w:val="00A16ED3"/>
    <w:rsid w:val="00A16FC6"/>
    <w:rsid w:val="00A17002"/>
    <w:rsid w:val="00A17182"/>
    <w:rsid w:val="00A171F5"/>
    <w:rsid w:val="00A17203"/>
    <w:rsid w:val="00A172A7"/>
    <w:rsid w:val="00A172B7"/>
    <w:rsid w:val="00A172FE"/>
    <w:rsid w:val="00A17466"/>
    <w:rsid w:val="00A17499"/>
    <w:rsid w:val="00A17567"/>
    <w:rsid w:val="00A17586"/>
    <w:rsid w:val="00A175F8"/>
    <w:rsid w:val="00A176BE"/>
    <w:rsid w:val="00A176D9"/>
    <w:rsid w:val="00A176FE"/>
    <w:rsid w:val="00A1776A"/>
    <w:rsid w:val="00A177AD"/>
    <w:rsid w:val="00A17A1A"/>
    <w:rsid w:val="00A17B82"/>
    <w:rsid w:val="00A17DC7"/>
    <w:rsid w:val="00A17E53"/>
    <w:rsid w:val="00A20014"/>
    <w:rsid w:val="00A20044"/>
    <w:rsid w:val="00A201EA"/>
    <w:rsid w:val="00A20306"/>
    <w:rsid w:val="00A2030B"/>
    <w:rsid w:val="00A2039D"/>
    <w:rsid w:val="00A203A3"/>
    <w:rsid w:val="00A2041C"/>
    <w:rsid w:val="00A2049E"/>
    <w:rsid w:val="00A205A9"/>
    <w:rsid w:val="00A20628"/>
    <w:rsid w:val="00A20645"/>
    <w:rsid w:val="00A20704"/>
    <w:rsid w:val="00A208F8"/>
    <w:rsid w:val="00A20904"/>
    <w:rsid w:val="00A20A36"/>
    <w:rsid w:val="00A20A81"/>
    <w:rsid w:val="00A20AAF"/>
    <w:rsid w:val="00A20AFD"/>
    <w:rsid w:val="00A20B86"/>
    <w:rsid w:val="00A20D39"/>
    <w:rsid w:val="00A20E4E"/>
    <w:rsid w:val="00A20F5D"/>
    <w:rsid w:val="00A20F7F"/>
    <w:rsid w:val="00A20F9B"/>
    <w:rsid w:val="00A21073"/>
    <w:rsid w:val="00A21115"/>
    <w:rsid w:val="00A2127A"/>
    <w:rsid w:val="00A212FD"/>
    <w:rsid w:val="00A213CB"/>
    <w:rsid w:val="00A213EB"/>
    <w:rsid w:val="00A214FE"/>
    <w:rsid w:val="00A2167F"/>
    <w:rsid w:val="00A216E5"/>
    <w:rsid w:val="00A219DC"/>
    <w:rsid w:val="00A21A18"/>
    <w:rsid w:val="00A21BC4"/>
    <w:rsid w:val="00A21C91"/>
    <w:rsid w:val="00A21DB2"/>
    <w:rsid w:val="00A21F36"/>
    <w:rsid w:val="00A223F1"/>
    <w:rsid w:val="00A22478"/>
    <w:rsid w:val="00A2257F"/>
    <w:rsid w:val="00A225A7"/>
    <w:rsid w:val="00A225B5"/>
    <w:rsid w:val="00A2261A"/>
    <w:rsid w:val="00A2262E"/>
    <w:rsid w:val="00A2268F"/>
    <w:rsid w:val="00A2275B"/>
    <w:rsid w:val="00A227CE"/>
    <w:rsid w:val="00A227FA"/>
    <w:rsid w:val="00A2281C"/>
    <w:rsid w:val="00A2287E"/>
    <w:rsid w:val="00A229C9"/>
    <w:rsid w:val="00A22BC5"/>
    <w:rsid w:val="00A22BF0"/>
    <w:rsid w:val="00A22D25"/>
    <w:rsid w:val="00A22D47"/>
    <w:rsid w:val="00A22FEB"/>
    <w:rsid w:val="00A22FF2"/>
    <w:rsid w:val="00A23061"/>
    <w:rsid w:val="00A230C2"/>
    <w:rsid w:val="00A2311E"/>
    <w:rsid w:val="00A23155"/>
    <w:rsid w:val="00A23449"/>
    <w:rsid w:val="00A23475"/>
    <w:rsid w:val="00A2354F"/>
    <w:rsid w:val="00A23558"/>
    <w:rsid w:val="00A2364A"/>
    <w:rsid w:val="00A237F4"/>
    <w:rsid w:val="00A238A7"/>
    <w:rsid w:val="00A238F9"/>
    <w:rsid w:val="00A23A8E"/>
    <w:rsid w:val="00A23B39"/>
    <w:rsid w:val="00A23C01"/>
    <w:rsid w:val="00A23C04"/>
    <w:rsid w:val="00A23D91"/>
    <w:rsid w:val="00A23EA9"/>
    <w:rsid w:val="00A23EEC"/>
    <w:rsid w:val="00A23F1E"/>
    <w:rsid w:val="00A24018"/>
    <w:rsid w:val="00A2415C"/>
    <w:rsid w:val="00A24235"/>
    <w:rsid w:val="00A24274"/>
    <w:rsid w:val="00A24293"/>
    <w:rsid w:val="00A24294"/>
    <w:rsid w:val="00A242A0"/>
    <w:rsid w:val="00A242C3"/>
    <w:rsid w:val="00A242D9"/>
    <w:rsid w:val="00A24358"/>
    <w:rsid w:val="00A24369"/>
    <w:rsid w:val="00A243DD"/>
    <w:rsid w:val="00A24421"/>
    <w:rsid w:val="00A24437"/>
    <w:rsid w:val="00A24549"/>
    <w:rsid w:val="00A2460E"/>
    <w:rsid w:val="00A2483A"/>
    <w:rsid w:val="00A248BC"/>
    <w:rsid w:val="00A249B1"/>
    <w:rsid w:val="00A24AFE"/>
    <w:rsid w:val="00A24C5F"/>
    <w:rsid w:val="00A24DB3"/>
    <w:rsid w:val="00A24DBA"/>
    <w:rsid w:val="00A24E26"/>
    <w:rsid w:val="00A24EA3"/>
    <w:rsid w:val="00A2500D"/>
    <w:rsid w:val="00A25090"/>
    <w:rsid w:val="00A250DA"/>
    <w:rsid w:val="00A252E2"/>
    <w:rsid w:val="00A252E8"/>
    <w:rsid w:val="00A252ED"/>
    <w:rsid w:val="00A25373"/>
    <w:rsid w:val="00A254DA"/>
    <w:rsid w:val="00A2557D"/>
    <w:rsid w:val="00A2585C"/>
    <w:rsid w:val="00A25926"/>
    <w:rsid w:val="00A25A4D"/>
    <w:rsid w:val="00A25AFF"/>
    <w:rsid w:val="00A25B22"/>
    <w:rsid w:val="00A25B2F"/>
    <w:rsid w:val="00A25B31"/>
    <w:rsid w:val="00A25BB6"/>
    <w:rsid w:val="00A25C5A"/>
    <w:rsid w:val="00A25E51"/>
    <w:rsid w:val="00A25E87"/>
    <w:rsid w:val="00A25E9C"/>
    <w:rsid w:val="00A25EDD"/>
    <w:rsid w:val="00A25FA1"/>
    <w:rsid w:val="00A260D4"/>
    <w:rsid w:val="00A26131"/>
    <w:rsid w:val="00A26153"/>
    <w:rsid w:val="00A26386"/>
    <w:rsid w:val="00A26439"/>
    <w:rsid w:val="00A265F8"/>
    <w:rsid w:val="00A26630"/>
    <w:rsid w:val="00A266B0"/>
    <w:rsid w:val="00A26811"/>
    <w:rsid w:val="00A2683E"/>
    <w:rsid w:val="00A268FF"/>
    <w:rsid w:val="00A26990"/>
    <w:rsid w:val="00A26A80"/>
    <w:rsid w:val="00A26B4F"/>
    <w:rsid w:val="00A26D36"/>
    <w:rsid w:val="00A26D7F"/>
    <w:rsid w:val="00A26DDE"/>
    <w:rsid w:val="00A270FA"/>
    <w:rsid w:val="00A27139"/>
    <w:rsid w:val="00A27171"/>
    <w:rsid w:val="00A27278"/>
    <w:rsid w:val="00A27286"/>
    <w:rsid w:val="00A27472"/>
    <w:rsid w:val="00A274D8"/>
    <w:rsid w:val="00A2758C"/>
    <w:rsid w:val="00A27714"/>
    <w:rsid w:val="00A27729"/>
    <w:rsid w:val="00A27932"/>
    <w:rsid w:val="00A27A35"/>
    <w:rsid w:val="00A27BAE"/>
    <w:rsid w:val="00A27C1F"/>
    <w:rsid w:val="00A27CA8"/>
    <w:rsid w:val="00A27CBE"/>
    <w:rsid w:val="00A27CFD"/>
    <w:rsid w:val="00A27CFF"/>
    <w:rsid w:val="00A27D43"/>
    <w:rsid w:val="00A27DC5"/>
    <w:rsid w:val="00A27DCE"/>
    <w:rsid w:val="00A27E06"/>
    <w:rsid w:val="00A27EC6"/>
    <w:rsid w:val="00A27EDB"/>
    <w:rsid w:val="00A27FA4"/>
    <w:rsid w:val="00A27FD7"/>
    <w:rsid w:val="00A30157"/>
    <w:rsid w:val="00A302A4"/>
    <w:rsid w:val="00A302C4"/>
    <w:rsid w:val="00A30342"/>
    <w:rsid w:val="00A30346"/>
    <w:rsid w:val="00A303EB"/>
    <w:rsid w:val="00A3066A"/>
    <w:rsid w:val="00A306CF"/>
    <w:rsid w:val="00A3071C"/>
    <w:rsid w:val="00A3079C"/>
    <w:rsid w:val="00A30851"/>
    <w:rsid w:val="00A3097F"/>
    <w:rsid w:val="00A309E3"/>
    <w:rsid w:val="00A30A42"/>
    <w:rsid w:val="00A30AAE"/>
    <w:rsid w:val="00A30B84"/>
    <w:rsid w:val="00A30BB3"/>
    <w:rsid w:val="00A30C5F"/>
    <w:rsid w:val="00A30CB2"/>
    <w:rsid w:val="00A30D2C"/>
    <w:rsid w:val="00A30D4F"/>
    <w:rsid w:val="00A30DF7"/>
    <w:rsid w:val="00A30EFE"/>
    <w:rsid w:val="00A31063"/>
    <w:rsid w:val="00A31110"/>
    <w:rsid w:val="00A31174"/>
    <w:rsid w:val="00A31307"/>
    <w:rsid w:val="00A31397"/>
    <w:rsid w:val="00A31566"/>
    <w:rsid w:val="00A316C4"/>
    <w:rsid w:val="00A3174E"/>
    <w:rsid w:val="00A3184B"/>
    <w:rsid w:val="00A31865"/>
    <w:rsid w:val="00A318CF"/>
    <w:rsid w:val="00A31C06"/>
    <w:rsid w:val="00A31C91"/>
    <w:rsid w:val="00A31DAF"/>
    <w:rsid w:val="00A31F9B"/>
    <w:rsid w:val="00A31FA5"/>
    <w:rsid w:val="00A32030"/>
    <w:rsid w:val="00A3212D"/>
    <w:rsid w:val="00A321B4"/>
    <w:rsid w:val="00A321F0"/>
    <w:rsid w:val="00A323EB"/>
    <w:rsid w:val="00A32468"/>
    <w:rsid w:val="00A32576"/>
    <w:rsid w:val="00A3257E"/>
    <w:rsid w:val="00A32644"/>
    <w:rsid w:val="00A32692"/>
    <w:rsid w:val="00A327B3"/>
    <w:rsid w:val="00A32902"/>
    <w:rsid w:val="00A3298D"/>
    <w:rsid w:val="00A32A11"/>
    <w:rsid w:val="00A32B7B"/>
    <w:rsid w:val="00A32C12"/>
    <w:rsid w:val="00A32CAA"/>
    <w:rsid w:val="00A32E34"/>
    <w:rsid w:val="00A32F89"/>
    <w:rsid w:val="00A333BD"/>
    <w:rsid w:val="00A33497"/>
    <w:rsid w:val="00A334E1"/>
    <w:rsid w:val="00A3355F"/>
    <w:rsid w:val="00A33684"/>
    <w:rsid w:val="00A337F7"/>
    <w:rsid w:val="00A33A0E"/>
    <w:rsid w:val="00A33A7C"/>
    <w:rsid w:val="00A33AA9"/>
    <w:rsid w:val="00A33AF3"/>
    <w:rsid w:val="00A33B25"/>
    <w:rsid w:val="00A33C45"/>
    <w:rsid w:val="00A33E18"/>
    <w:rsid w:val="00A33E4C"/>
    <w:rsid w:val="00A33EDB"/>
    <w:rsid w:val="00A33F26"/>
    <w:rsid w:val="00A34097"/>
    <w:rsid w:val="00A341E1"/>
    <w:rsid w:val="00A343A2"/>
    <w:rsid w:val="00A343F2"/>
    <w:rsid w:val="00A34410"/>
    <w:rsid w:val="00A3455A"/>
    <w:rsid w:val="00A346E7"/>
    <w:rsid w:val="00A346EA"/>
    <w:rsid w:val="00A346F0"/>
    <w:rsid w:val="00A3475F"/>
    <w:rsid w:val="00A347F6"/>
    <w:rsid w:val="00A3481B"/>
    <w:rsid w:val="00A348A9"/>
    <w:rsid w:val="00A34A2B"/>
    <w:rsid w:val="00A34A8C"/>
    <w:rsid w:val="00A34B6A"/>
    <w:rsid w:val="00A34C24"/>
    <w:rsid w:val="00A34DC9"/>
    <w:rsid w:val="00A34E15"/>
    <w:rsid w:val="00A350A8"/>
    <w:rsid w:val="00A352A9"/>
    <w:rsid w:val="00A352B5"/>
    <w:rsid w:val="00A352E6"/>
    <w:rsid w:val="00A353A2"/>
    <w:rsid w:val="00A353BA"/>
    <w:rsid w:val="00A353C7"/>
    <w:rsid w:val="00A35487"/>
    <w:rsid w:val="00A354AA"/>
    <w:rsid w:val="00A35508"/>
    <w:rsid w:val="00A357BB"/>
    <w:rsid w:val="00A3584D"/>
    <w:rsid w:val="00A3586F"/>
    <w:rsid w:val="00A35A85"/>
    <w:rsid w:val="00A35AFD"/>
    <w:rsid w:val="00A35B45"/>
    <w:rsid w:val="00A35BC5"/>
    <w:rsid w:val="00A35C1E"/>
    <w:rsid w:val="00A35C23"/>
    <w:rsid w:val="00A35C4D"/>
    <w:rsid w:val="00A35D97"/>
    <w:rsid w:val="00A35FBA"/>
    <w:rsid w:val="00A36014"/>
    <w:rsid w:val="00A36204"/>
    <w:rsid w:val="00A36296"/>
    <w:rsid w:val="00A362EA"/>
    <w:rsid w:val="00A36376"/>
    <w:rsid w:val="00A3637F"/>
    <w:rsid w:val="00A3641E"/>
    <w:rsid w:val="00A3641F"/>
    <w:rsid w:val="00A36424"/>
    <w:rsid w:val="00A36454"/>
    <w:rsid w:val="00A36485"/>
    <w:rsid w:val="00A365F0"/>
    <w:rsid w:val="00A3674B"/>
    <w:rsid w:val="00A3674F"/>
    <w:rsid w:val="00A3679A"/>
    <w:rsid w:val="00A36828"/>
    <w:rsid w:val="00A368A0"/>
    <w:rsid w:val="00A369BE"/>
    <w:rsid w:val="00A369CD"/>
    <w:rsid w:val="00A369D7"/>
    <w:rsid w:val="00A36B23"/>
    <w:rsid w:val="00A36B26"/>
    <w:rsid w:val="00A36B79"/>
    <w:rsid w:val="00A36C3B"/>
    <w:rsid w:val="00A36C7F"/>
    <w:rsid w:val="00A36D07"/>
    <w:rsid w:val="00A36E42"/>
    <w:rsid w:val="00A36EC4"/>
    <w:rsid w:val="00A36EE5"/>
    <w:rsid w:val="00A3706F"/>
    <w:rsid w:val="00A37175"/>
    <w:rsid w:val="00A372B3"/>
    <w:rsid w:val="00A37347"/>
    <w:rsid w:val="00A37381"/>
    <w:rsid w:val="00A37505"/>
    <w:rsid w:val="00A37732"/>
    <w:rsid w:val="00A379FB"/>
    <w:rsid w:val="00A37A0A"/>
    <w:rsid w:val="00A37AA1"/>
    <w:rsid w:val="00A37B4D"/>
    <w:rsid w:val="00A37BC9"/>
    <w:rsid w:val="00A37CE0"/>
    <w:rsid w:val="00A37DCF"/>
    <w:rsid w:val="00A37E9C"/>
    <w:rsid w:val="00A40083"/>
    <w:rsid w:val="00A400DD"/>
    <w:rsid w:val="00A4038B"/>
    <w:rsid w:val="00A405F7"/>
    <w:rsid w:val="00A40AC7"/>
    <w:rsid w:val="00A40B17"/>
    <w:rsid w:val="00A40B61"/>
    <w:rsid w:val="00A40B9B"/>
    <w:rsid w:val="00A40D4F"/>
    <w:rsid w:val="00A40DC0"/>
    <w:rsid w:val="00A40DF1"/>
    <w:rsid w:val="00A40E6C"/>
    <w:rsid w:val="00A40E7E"/>
    <w:rsid w:val="00A410A2"/>
    <w:rsid w:val="00A410EF"/>
    <w:rsid w:val="00A410FF"/>
    <w:rsid w:val="00A412E7"/>
    <w:rsid w:val="00A41428"/>
    <w:rsid w:val="00A41457"/>
    <w:rsid w:val="00A41621"/>
    <w:rsid w:val="00A416AA"/>
    <w:rsid w:val="00A416C0"/>
    <w:rsid w:val="00A4172B"/>
    <w:rsid w:val="00A41770"/>
    <w:rsid w:val="00A417B5"/>
    <w:rsid w:val="00A417F7"/>
    <w:rsid w:val="00A4181E"/>
    <w:rsid w:val="00A4182C"/>
    <w:rsid w:val="00A41856"/>
    <w:rsid w:val="00A4185C"/>
    <w:rsid w:val="00A41893"/>
    <w:rsid w:val="00A418AC"/>
    <w:rsid w:val="00A418B6"/>
    <w:rsid w:val="00A418D7"/>
    <w:rsid w:val="00A4192D"/>
    <w:rsid w:val="00A41965"/>
    <w:rsid w:val="00A41A2E"/>
    <w:rsid w:val="00A41A39"/>
    <w:rsid w:val="00A41AD3"/>
    <w:rsid w:val="00A41D6A"/>
    <w:rsid w:val="00A41E68"/>
    <w:rsid w:val="00A41E6B"/>
    <w:rsid w:val="00A41EC9"/>
    <w:rsid w:val="00A41F75"/>
    <w:rsid w:val="00A41FAE"/>
    <w:rsid w:val="00A41FB2"/>
    <w:rsid w:val="00A420FF"/>
    <w:rsid w:val="00A4212B"/>
    <w:rsid w:val="00A4221F"/>
    <w:rsid w:val="00A42280"/>
    <w:rsid w:val="00A4228F"/>
    <w:rsid w:val="00A422D3"/>
    <w:rsid w:val="00A4235B"/>
    <w:rsid w:val="00A4238E"/>
    <w:rsid w:val="00A423AA"/>
    <w:rsid w:val="00A42406"/>
    <w:rsid w:val="00A42463"/>
    <w:rsid w:val="00A425B8"/>
    <w:rsid w:val="00A425FC"/>
    <w:rsid w:val="00A42654"/>
    <w:rsid w:val="00A426D2"/>
    <w:rsid w:val="00A42791"/>
    <w:rsid w:val="00A427A9"/>
    <w:rsid w:val="00A427DB"/>
    <w:rsid w:val="00A4283C"/>
    <w:rsid w:val="00A4286E"/>
    <w:rsid w:val="00A42AE5"/>
    <w:rsid w:val="00A42CBA"/>
    <w:rsid w:val="00A42CCE"/>
    <w:rsid w:val="00A42D60"/>
    <w:rsid w:val="00A42DB0"/>
    <w:rsid w:val="00A42DE2"/>
    <w:rsid w:val="00A42E53"/>
    <w:rsid w:val="00A42E7F"/>
    <w:rsid w:val="00A42EB4"/>
    <w:rsid w:val="00A42FC1"/>
    <w:rsid w:val="00A42FCD"/>
    <w:rsid w:val="00A430C0"/>
    <w:rsid w:val="00A430FC"/>
    <w:rsid w:val="00A4314F"/>
    <w:rsid w:val="00A431A8"/>
    <w:rsid w:val="00A43248"/>
    <w:rsid w:val="00A432C2"/>
    <w:rsid w:val="00A435D2"/>
    <w:rsid w:val="00A43742"/>
    <w:rsid w:val="00A43762"/>
    <w:rsid w:val="00A43845"/>
    <w:rsid w:val="00A43870"/>
    <w:rsid w:val="00A4395B"/>
    <w:rsid w:val="00A439F0"/>
    <w:rsid w:val="00A439FD"/>
    <w:rsid w:val="00A43A3A"/>
    <w:rsid w:val="00A43A4C"/>
    <w:rsid w:val="00A43AD9"/>
    <w:rsid w:val="00A43BB2"/>
    <w:rsid w:val="00A43BBD"/>
    <w:rsid w:val="00A43E43"/>
    <w:rsid w:val="00A43F4E"/>
    <w:rsid w:val="00A43F88"/>
    <w:rsid w:val="00A43F99"/>
    <w:rsid w:val="00A44071"/>
    <w:rsid w:val="00A4413E"/>
    <w:rsid w:val="00A441D9"/>
    <w:rsid w:val="00A441E7"/>
    <w:rsid w:val="00A44230"/>
    <w:rsid w:val="00A44268"/>
    <w:rsid w:val="00A44477"/>
    <w:rsid w:val="00A444AE"/>
    <w:rsid w:val="00A4451C"/>
    <w:rsid w:val="00A4451D"/>
    <w:rsid w:val="00A44520"/>
    <w:rsid w:val="00A4453A"/>
    <w:rsid w:val="00A445D4"/>
    <w:rsid w:val="00A44661"/>
    <w:rsid w:val="00A446E1"/>
    <w:rsid w:val="00A4478F"/>
    <w:rsid w:val="00A44800"/>
    <w:rsid w:val="00A448F3"/>
    <w:rsid w:val="00A44918"/>
    <w:rsid w:val="00A44999"/>
    <w:rsid w:val="00A44A57"/>
    <w:rsid w:val="00A44B7D"/>
    <w:rsid w:val="00A44CA2"/>
    <w:rsid w:val="00A44CAA"/>
    <w:rsid w:val="00A44CB2"/>
    <w:rsid w:val="00A44F05"/>
    <w:rsid w:val="00A44F21"/>
    <w:rsid w:val="00A44F24"/>
    <w:rsid w:val="00A4513E"/>
    <w:rsid w:val="00A45289"/>
    <w:rsid w:val="00A45341"/>
    <w:rsid w:val="00A45382"/>
    <w:rsid w:val="00A454CA"/>
    <w:rsid w:val="00A454FF"/>
    <w:rsid w:val="00A45532"/>
    <w:rsid w:val="00A456F7"/>
    <w:rsid w:val="00A4577D"/>
    <w:rsid w:val="00A4578F"/>
    <w:rsid w:val="00A457A2"/>
    <w:rsid w:val="00A457A9"/>
    <w:rsid w:val="00A457ED"/>
    <w:rsid w:val="00A45A02"/>
    <w:rsid w:val="00A45A70"/>
    <w:rsid w:val="00A45B96"/>
    <w:rsid w:val="00A45BA7"/>
    <w:rsid w:val="00A45CC4"/>
    <w:rsid w:val="00A45D13"/>
    <w:rsid w:val="00A45EF1"/>
    <w:rsid w:val="00A460EB"/>
    <w:rsid w:val="00A46132"/>
    <w:rsid w:val="00A46226"/>
    <w:rsid w:val="00A4624B"/>
    <w:rsid w:val="00A462CD"/>
    <w:rsid w:val="00A46645"/>
    <w:rsid w:val="00A4664A"/>
    <w:rsid w:val="00A466E9"/>
    <w:rsid w:val="00A4676D"/>
    <w:rsid w:val="00A46818"/>
    <w:rsid w:val="00A4682D"/>
    <w:rsid w:val="00A4685B"/>
    <w:rsid w:val="00A468E5"/>
    <w:rsid w:val="00A468F8"/>
    <w:rsid w:val="00A4692C"/>
    <w:rsid w:val="00A469D9"/>
    <w:rsid w:val="00A46A2D"/>
    <w:rsid w:val="00A46A89"/>
    <w:rsid w:val="00A46AEE"/>
    <w:rsid w:val="00A46AF8"/>
    <w:rsid w:val="00A46B05"/>
    <w:rsid w:val="00A46C89"/>
    <w:rsid w:val="00A46CBA"/>
    <w:rsid w:val="00A46CF3"/>
    <w:rsid w:val="00A46D2F"/>
    <w:rsid w:val="00A46DDF"/>
    <w:rsid w:val="00A46EB3"/>
    <w:rsid w:val="00A46F77"/>
    <w:rsid w:val="00A46FB0"/>
    <w:rsid w:val="00A47077"/>
    <w:rsid w:val="00A47084"/>
    <w:rsid w:val="00A4714D"/>
    <w:rsid w:val="00A472C0"/>
    <w:rsid w:val="00A47320"/>
    <w:rsid w:val="00A4755C"/>
    <w:rsid w:val="00A47570"/>
    <w:rsid w:val="00A475FA"/>
    <w:rsid w:val="00A476EA"/>
    <w:rsid w:val="00A47968"/>
    <w:rsid w:val="00A4798B"/>
    <w:rsid w:val="00A47B3B"/>
    <w:rsid w:val="00A47B9B"/>
    <w:rsid w:val="00A47BDA"/>
    <w:rsid w:val="00A47C21"/>
    <w:rsid w:val="00A47C7B"/>
    <w:rsid w:val="00A47CC0"/>
    <w:rsid w:val="00A47CC3"/>
    <w:rsid w:val="00A47D30"/>
    <w:rsid w:val="00A47E2F"/>
    <w:rsid w:val="00A47EC2"/>
    <w:rsid w:val="00A47FD8"/>
    <w:rsid w:val="00A47FE4"/>
    <w:rsid w:val="00A502DC"/>
    <w:rsid w:val="00A50399"/>
    <w:rsid w:val="00A503B9"/>
    <w:rsid w:val="00A504B6"/>
    <w:rsid w:val="00A50540"/>
    <w:rsid w:val="00A50740"/>
    <w:rsid w:val="00A5088D"/>
    <w:rsid w:val="00A5091E"/>
    <w:rsid w:val="00A50A2C"/>
    <w:rsid w:val="00A50A98"/>
    <w:rsid w:val="00A50AF7"/>
    <w:rsid w:val="00A50B5F"/>
    <w:rsid w:val="00A50D5A"/>
    <w:rsid w:val="00A50D60"/>
    <w:rsid w:val="00A50DF2"/>
    <w:rsid w:val="00A50EDD"/>
    <w:rsid w:val="00A50F4F"/>
    <w:rsid w:val="00A50FEE"/>
    <w:rsid w:val="00A51070"/>
    <w:rsid w:val="00A510C7"/>
    <w:rsid w:val="00A510ED"/>
    <w:rsid w:val="00A510FA"/>
    <w:rsid w:val="00A51193"/>
    <w:rsid w:val="00A51273"/>
    <w:rsid w:val="00A513EE"/>
    <w:rsid w:val="00A514AE"/>
    <w:rsid w:val="00A5156B"/>
    <w:rsid w:val="00A515B1"/>
    <w:rsid w:val="00A517FA"/>
    <w:rsid w:val="00A517FE"/>
    <w:rsid w:val="00A51927"/>
    <w:rsid w:val="00A519BE"/>
    <w:rsid w:val="00A51A5E"/>
    <w:rsid w:val="00A51CAF"/>
    <w:rsid w:val="00A51D6F"/>
    <w:rsid w:val="00A51E19"/>
    <w:rsid w:val="00A51E2F"/>
    <w:rsid w:val="00A51F8B"/>
    <w:rsid w:val="00A52055"/>
    <w:rsid w:val="00A52130"/>
    <w:rsid w:val="00A52224"/>
    <w:rsid w:val="00A522DD"/>
    <w:rsid w:val="00A52564"/>
    <w:rsid w:val="00A525D1"/>
    <w:rsid w:val="00A525F8"/>
    <w:rsid w:val="00A5260F"/>
    <w:rsid w:val="00A526F2"/>
    <w:rsid w:val="00A5274A"/>
    <w:rsid w:val="00A5278C"/>
    <w:rsid w:val="00A52859"/>
    <w:rsid w:val="00A52875"/>
    <w:rsid w:val="00A528D6"/>
    <w:rsid w:val="00A528DC"/>
    <w:rsid w:val="00A52943"/>
    <w:rsid w:val="00A52991"/>
    <w:rsid w:val="00A52C37"/>
    <w:rsid w:val="00A52C63"/>
    <w:rsid w:val="00A52DA2"/>
    <w:rsid w:val="00A52EA7"/>
    <w:rsid w:val="00A53018"/>
    <w:rsid w:val="00A53035"/>
    <w:rsid w:val="00A531F0"/>
    <w:rsid w:val="00A5325C"/>
    <w:rsid w:val="00A53273"/>
    <w:rsid w:val="00A5331D"/>
    <w:rsid w:val="00A53401"/>
    <w:rsid w:val="00A53424"/>
    <w:rsid w:val="00A535CF"/>
    <w:rsid w:val="00A5362D"/>
    <w:rsid w:val="00A5369C"/>
    <w:rsid w:val="00A536C4"/>
    <w:rsid w:val="00A5373B"/>
    <w:rsid w:val="00A53801"/>
    <w:rsid w:val="00A53863"/>
    <w:rsid w:val="00A538CC"/>
    <w:rsid w:val="00A53A85"/>
    <w:rsid w:val="00A53B13"/>
    <w:rsid w:val="00A53B8D"/>
    <w:rsid w:val="00A53C86"/>
    <w:rsid w:val="00A53E68"/>
    <w:rsid w:val="00A53E99"/>
    <w:rsid w:val="00A53FE9"/>
    <w:rsid w:val="00A5400A"/>
    <w:rsid w:val="00A5414A"/>
    <w:rsid w:val="00A54196"/>
    <w:rsid w:val="00A5422D"/>
    <w:rsid w:val="00A542AF"/>
    <w:rsid w:val="00A542D8"/>
    <w:rsid w:val="00A542FC"/>
    <w:rsid w:val="00A54377"/>
    <w:rsid w:val="00A54391"/>
    <w:rsid w:val="00A54517"/>
    <w:rsid w:val="00A54755"/>
    <w:rsid w:val="00A54946"/>
    <w:rsid w:val="00A549D5"/>
    <w:rsid w:val="00A54A10"/>
    <w:rsid w:val="00A54A11"/>
    <w:rsid w:val="00A54A26"/>
    <w:rsid w:val="00A54A3F"/>
    <w:rsid w:val="00A54B6D"/>
    <w:rsid w:val="00A54C2C"/>
    <w:rsid w:val="00A54C3C"/>
    <w:rsid w:val="00A54DE7"/>
    <w:rsid w:val="00A54E07"/>
    <w:rsid w:val="00A54E59"/>
    <w:rsid w:val="00A54EB5"/>
    <w:rsid w:val="00A54EE5"/>
    <w:rsid w:val="00A54F8A"/>
    <w:rsid w:val="00A54FE3"/>
    <w:rsid w:val="00A55022"/>
    <w:rsid w:val="00A55057"/>
    <w:rsid w:val="00A55225"/>
    <w:rsid w:val="00A55248"/>
    <w:rsid w:val="00A55366"/>
    <w:rsid w:val="00A55540"/>
    <w:rsid w:val="00A557C6"/>
    <w:rsid w:val="00A55907"/>
    <w:rsid w:val="00A55918"/>
    <w:rsid w:val="00A55B10"/>
    <w:rsid w:val="00A55BA5"/>
    <w:rsid w:val="00A55C17"/>
    <w:rsid w:val="00A55C8D"/>
    <w:rsid w:val="00A55D07"/>
    <w:rsid w:val="00A55D34"/>
    <w:rsid w:val="00A55E20"/>
    <w:rsid w:val="00A56067"/>
    <w:rsid w:val="00A56116"/>
    <w:rsid w:val="00A56208"/>
    <w:rsid w:val="00A5621B"/>
    <w:rsid w:val="00A562AE"/>
    <w:rsid w:val="00A562C4"/>
    <w:rsid w:val="00A56481"/>
    <w:rsid w:val="00A565EC"/>
    <w:rsid w:val="00A567CC"/>
    <w:rsid w:val="00A568AE"/>
    <w:rsid w:val="00A56906"/>
    <w:rsid w:val="00A5691C"/>
    <w:rsid w:val="00A56949"/>
    <w:rsid w:val="00A56A26"/>
    <w:rsid w:val="00A56A88"/>
    <w:rsid w:val="00A56ADD"/>
    <w:rsid w:val="00A56B71"/>
    <w:rsid w:val="00A56BB1"/>
    <w:rsid w:val="00A56BB3"/>
    <w:rsid w:val="00A56CF3"/>
    <w:rsid w:val="00A56D68"/>
    <w:rsid w:val="00A56DDA"/>
    <w:rsid w:val="00A56DEE"/>
    <w:rsid w:val="00A56E47"/>
    <w:rsid w:val="00A56EB0"/>
    <w:rsid w:val="00A56F1B"/>
    <w:rsid w:val="00A56F7F"/>
    <w:rsid w:val="00A56F9A"/>
    <w:rsid w:val="00A570DE"/>
    <w:rsid w:val="00A57117"/>
    <w:rsid w:val="00A5712C"/>
    <w:rsid w:val="00A57144"/>
    <w:rsid w:val="00A57197"/>
    <w:rsid w:val="00A571D1"/>
    <w:rsid w:val="00A57239"/>
    <w:rsid w:val="00A572B9"/>
    <w:rsid w:val="00A57315"/>
    <w:rsid w:val="00A57532"/>
    <w:rsid w:val="00A57545"/>
    <w:rsid w:val="00A575F0"/>
    <w:rsid w:val="00A57767"/>
    <w:rsid w:val="00A577C9"/>
    <w:rsid w:val="00A57802"/>
    <w:rsid w:val="00A57826"/>
    <w:rsid w:val="00A579C2"/>
    <w:rsid w:val="00A57A09"/>
    <w:rsid w:val="00A57A0D"/>
    <w:rsid w:val="00A57B28"/>
    <w:rsid w:val="00A57BA3"/>
    <w:rsid w:val="00A57BE2"/>
    <w:rsid w:val="00A57CAC"/>
    <w:rsid w:val="00A57D17"/>
    <w:rsid w:val="00A57D1A"/>
    <w:rsid w:val="00A57DDF"/>
    <w:rsid w:val="00A60195"/>
    <w:rsid w:val="00A601B2"/>
    <w:rsid w:val="00A601E0"/>
    <w:rsid w:val="00A602C1"/>
    <w:rsid w:val="00A60413"/>
    <w:rsid w:val="00A60638"/>
    <w:rsid w:val="00A60687"/>
    <w:rsid w:val="00A60729"/>
    <w:rsid w:val="00A6074C"/>
    <w:rsid w:val="00A60770"/>
    <w:rsid w:val="00A6095E"/>
    <w:rsid w:val="00A60A16"/>
    <w:rsid w:val="00A60AB2"/>
    <w:rsid w:val="00A60BBA"/>
    <w:rsid w:val="00A60DD5"/>
    <w:rsid w:val="00A60DDC"/>
    <w:rsid w:val="00A60DEC"/>
    <w:rsid w:val="00A60EB7"/>
    <w:rsid w:val="00A61145"/>
    <w:rsid w:val="00A6117C"/>
    <w:rsid w:val="00A6118A"/>
    <w:rsid w:val="00A61393"/>
    <w:rsid w:val="00A61410"/>
    <w:rsid w:val="00A61547"/>
    <w:rsid w:val="00A61716"/>
    <w:rsid w:val="00A617FD"/>
    <w:rsid w:val="00A6181E"/>
    <w:rsid w:val="00A61878"/>
    <w:rsid w:val="00A61894"/>
    <w:rsid w:val="00A61A62"/>
    <w:rsid w:val="00A61B7F"/>
    <w:rsid w:val="00A61C27"/>
    <w:rsid w:val="00A61C9B"/>
    <w:rsid w:val="00A61CB7"/>
    <w:rsid w:val="00A61CC4"/>
    <w:rsid w:val="00A61D6C"/>
    <w:rsid w:val="00A61F19"/>
    <w:rsid w:val="00A61F36"/>
    <w:rsid w:val="00A61F4F"/>
    <w:rsid w:val="00A61F5C"/>
    <w:rsid w:val="00A61FE8"/>
    <w:rsid w:val="00A620CC"/>
    <w:rsid w:val="00A62258"/>
    <w:rsid w:val="00A622CF"/>
    <w:rsid w:val="00A6235B"/>
    <w:rsid w:val="00A624E3"/>
    <w:rsid w:val="00A6250F"/>
    <w:rsid w:val="00A625F1"/>
    <w:rsid w:val="00A6271F"/>
    <w:rsid w:val="00A62744"/>
    <w:rsid w:val="00A627E5"/>
    <w:rsid w:val="00A628D1"/>
    <w:rsid w:val="00A629D3"/>
    <w:rsid w:val="00A62A1C"/>
    <w:rsid w:val="00A62C25"/>
    <w:rsid w:val="00A62D5A"/>
    <w:rsid w:val="00A62D91"/>
    <w:rsid w:val="00A62DE6"/>
    <w:rsid w:val="00A62E4C"/>
    <w:rsid w:val="00A62EF3"/>
    <w:rsid w:val="00A62F1C"/>
    <w:rsid w:val="00A62FA0"/>
    <w:rsid w:val="00A62FA6"/>
    <w:rsid w:val="00A6309C"/>
    <w:rsid w:val="00A63150"/>
    <w:rsid w:val="00A63159"/>
    <w:rsid w:val="00A6318D"/>
    <w:rsid w:val="00A63346"/>
    <w:rsid w:val="00A633B8"/>
    <w:rsid w:val="00A6340F"/>
    <w:rsid w:val="00A634BC"/>
    <w:rsid w:val="00A634E0"/>
    <w:rsid w:val="00A634ED"/>
    <w:rsid w:val="00A63684"/>
    <w:rsid w:val="00A636BA"/>
    <w:rsid w:val="00A63789"/>
    <w:rsid w:val="00A63821"/>
    <w:rsid w:val="00A63880"/>
    <w:rsid w:val="00A63B35"/>
    <w:rsid w:val="00A63C95"/>
    <w:rsid w:val="00A63DAD"/>
    <w:rsid w:val="00A63FE4"/>
    <w:rsid w:val="00A64017"/>
    <w:rsid w:val="00A64053"/>
    <w:rsid w:val="00A640FA"/>
    <w:rsid w:val="00A6412A"/>
    <w:rsid w:val="00A643B3"/>
    <w:rsid w:val="00A6452D"/>
    <w:rsid w:val="00A64611"/>
    <w:rsid w:val="00A64688"/>
    <w:rsid w:val="00A6470F"/>
    <w:rsid w:val="00A64728"/>
    <w:rsid w:val="00A64789"/>
    <w:rsid w:val="00A6481C"/>
    <w:rsid w:val="00A64877"/>
    <w:rsid w:val="00A64BB6"/>
    <w:rsid w:val="00A64BCB"/>
    <w:rsid w:val="00A64C99"/>
    <w:rsid w:val="00A64CF9"/>
    <w:rsid w:val="00A64D1F"/>
    <w:rsid w:val="00A64D6C"/>
    <w:rsid w:val="00A64EB6"/>
    <w:rsid w:val="00A64EB8"/>
    <w:rsid w:val="00A64F80"/>
    <w:rsid w:val="00A64FFD"/>
    <w:rsid w:val="00A6506A"/>
    <w:rsid w:val="00A6507E"/>
    <w:rsid w:val="00A6509E"/>
    <w:rsid w:val="00A65181"/>
    <w:rsid w:val="00A65244"/>
    <w:rsid w:val="00A65267"/>
    <w:rsid w:val="00A6531F"/>
    <w:rsid w:val="00A65320"/>
    <w:rsid w:val="00A653E5"/>
    <w:rsid w:val="00A654D4"/>
    <w:rsid w:val="00A6552B"/>
    <w:rsid w:val="00A6558A"/>
    <w:rsid w:val="00A657F1"/>
    <w:rsid w:val="00A65888"/>
    <w:rsid w:val="00A65A4A"/>
    <w:rsid w:val="00A65ABE"/>
    <w:rsid w:val="00A65AC6"/>
    <w:rsid w:val="00A65ADF"/>
    <w:rsid w:val="00A65B5E"/>
    <w:rsid w:val="00A65B86"/>
    <w:rsid w:val="00A65BDC"/>
    <w:rsid w:val="00A65D01"/>
    <w:rsid w:val="00A65DD4"/>
    <w:rsid w:val="00A65F47"/>
    <w:rsid w:val="00A65FDD"/>
    <w:rsid w:val="00A66232"/>
    <w:rsid w:val="00A66259"/>
    <w:rsid w:val="00A66360"/>
    <w:rsid w:val="00A663EC"/>
    <w:rsid w:val="00A66628"/>
    <w:rsid w:val="00A666C3"/>
    <w:rsid w:val="00A6670C"/>
    <w:rsid w:val="00A66732"/>
    <w:rsid w:val="00A667FE"/>
    <w:rsid w:val="00A6682A"/>
    <w:rsid w:val="00A66965"/>
    <w:rsid w:val="00A6698D"/>
    <w:rsid w:val="00A669D3"/>
    <w:rsid w:val="00A66AD6"/>
    <w:rsid w:val="00A66BFD"/>
    <w:rsid w:val="00A66CD4"/>
    <w:rsid w:val="00A66CDA"/>
    <w:rsid w:val="00A66E7D"/>
    <w:rsid w:val="00A66E90"/>
    <w:rsid w:val="00A66F75"/>
    <w:rsid w:val="00A66F90"/>
    <w:rsid w:val="00A67013"/>
    <w:rsid w:val="00A672B8"/>
    <w:rsid w:val="00A672F5"/>
    <w:rsid w:val="00A6738F"/>
    <w:rsid w:val="00A67484"/>
    <w:rsid w:val="00A67493"/>
    <w:rsid w:val="00A67725"/>
    <w:rsid w:val="00A67787"/>
    <w:rsid w:val="00A677C1"/>
    <w:rsid w:val="00A677C9"/>
    <w:rsid w:val="00A67855"/>
    <w:rsid w:val="00A679B4"/>
    <w:rsid w:val="00A67AEA"/>
    <w:rsid w:val="00A67B08"/>
    <w:rsid w:val="00A67CD1"/>
    <w:rsid w:val="00A67D1E"/>
    <w:rsid w:val="00A67D52"/>
    <w:rsid w:val="00A67D9B"/>
    <w:rsid w:val="00A67E37"/>
    <w:rsid w:val="00A7008D"/>
    <w:rsid w:val="00A70117"/>
    <w:rsid w:val="00A701D5"/>
    <w:rsid w:val="00A701F3"/>
    <w:rsid w:val="00A70229"/>
    <w:rsid w:val="00A70265"/>
    <w:rsid w:val="00A702F6"/>
    <w:rsid w:val="00A703C9"/>
    <w:rsid w:val="00A70410"/>
    <w:rsid w:val="00A70474"/>
    <w:rsid w:val="00A7053D"/>
    <w:rsid w:val="00A70769"/>
    <w:rsid w:val="00A70817"/>
    <w:rsid w:val="00A7085C"/>
    <w:rsid w:val="00A7098E"/>
    <w:rsid w:val="00A70B38"/>
    <w:rsid w:val="00A70B4F"/>
    <w:rsid w:val="00A70CC7"/>
    <w:rsid w:val="00A70DD9"/>
    <w:rsid w:val="00A70F80"/>
    <w:rsid w:val="00A70FE9"/>
    <w:rsid w:val="00A71002"/>
    <w:rsid w:val="00A71265"/>
    <w:rsid w:val="00A71279"/>
    <w:rsid w:val="00A71350"/>
    <w:rsid w:val="00A713EB"/>
    <w:rsid w:val="00A714F5"/>
    <w:rsid w:val="00A7174D"/>
    <w:rsid w:val="00A7186E"/>
    <w:rsid w:val="00A71900"/>
    <w:rsid w:val="00A71A31"/>
    <w:rsid w:val="00A71B57"/>
    <w:rsid w:val="00A71B98"/>
    <w:rsid w:val="00A71C2E"/>
    <w:rsid w:val="00A71C3B"/>
    <w:rsid w:val="00A71CEA"/>
    <w:rsid w:val="00A71D96"/>
    <w:rsid w:val="00A71EFA"/>
    <w:rsid w:val="00A720E9"/>
    <w:rsid w:val="00A72168"/>
    <w:rsid w:val="00A72384"/>
    <w:rsid w:val="00A723B5"/>
    <w:rsid w:val="00A723EC"/>
    <w:rsid w:val="00A7252F"/>
    <w:rsid w:val="00A72587"/>
    <w:rsid w:val="00A725AA"/>
    <w:rsid w:val="00A72600"/>
    <w:rsid w:val="00A7266D"/>
    <w:rsid w:val="00A726A1"/>
    <w:rsid w:val="00A727E1"/>
    <w:rsid w:val="00A728C4"/>
    <w:rsid w:val="00A728DA"/>
    <w:rsid w:val="00A729D2"/>
    <w:rsid w:val="00A72E74"/>
    <w:rsid w:val="00A72EB7"/>
    <w:rsid w:val="00A72F11"/>
    <w:rsid w:val="00A72FC9"/>
    <w:rsid w:val="00A7300F"/>
    <w:rsid w:val="00A73032"/>
    <w:rsid w:val="00A7318A"/>
    <w:rsid w:val="00A731B7"/>
    <w:rsid w:val="00A73201"/>
    <w:rsid w:val="00A7324B"/>
    <w:rsid w:val="00A732AD"/>
    <w:rsid w:val="00A7331B"/>
    <w:rsid w:val="00A7338C"/>
    <w:rsid w:val="00A73484"/>
    <w:rsid w:val="00A735A1"/>
    <w:rsid w:val="00A736A7"/>
    <w:rsid w:val="00A73779"/>
    <w:rsid w:val="00A737B6"/>
    <w:rsid w:val="00A73837"/>
    <w:rsid w:val="00A7384C"/>
    <w:rsid w:val="00A7387D"/>
    <w:rsid w:val="00A73A2F"/>
    <w:rsid w:val="00A73DF4"/>
    <w:rsid w:val="00A73EF8"/>
    <w:rsid w:val="00A73FC5"/>
    <w:rsid w:val="00A74095"/>
    <w:rsid w:val="00A74107"/>
    <w:rsid w:val="00A74150"/>
    <w:rsid w:val="00A74215"/>
    <w:rsid w:val="00A7437D"/>
    <w:rsid w:val="00A74516"/>
    <w:rsid w:val="00A745B9"/>
    <w:rsid w:val="00A7461D"/>
    <w:rsid w:val="00A7469F"/>
    <w:rsid w:val="00A74745"/>
    <w:rsid w:val="00A7481E"/>
    <w:rsid w:val="00A74943"/>
    <w:rsid w:val="00A74B92"/>
    <w:rsid w:val="00A74C0E"/>
    <w:rsid w:val="00A74C29"/>
    <w:rsid w:val="00A74E7E"/>
    <w:rsid w:val="00A74FDA"/>
    <w:rsid w:val="00A75045"/>
    <w:rsid w:val="00A75127"/>
    <w:rsid w:val="00A751DE"/>
    <w:rsid w:val="00A7525B"/>
    <w:rsid w:val="00A753B9"/>
    <w:rsid w:val="00A7543F"/>
    <w:rsid w:val="00A7560A"/>
    <w:rsid w:val="00A756DA"/>
    <w:rsid w:val="00A7576D"/>
    <w:rsid w:val="00A758DF"/>
    <w:rsid w:val="00A75A5B"/>
    <w:rsid w:val="00A75A60"/>
    <w:rsid w:val="00A75AF5"/>
    <w:rsid w:val="00A75BBF"/>
    <w:rsid w:val="00A75CB5"/>
    <w:rsid w:val="00A75CF7"/>
    <w:rsid w:val="00A75D0A"/>
    <w:rsid w:val="00A75D2D"/>
    <w:rsid w:val="00A75E28"/>
    <w:rsid w:val="00A7604B"/>
    <w:rsid w:val="00A7607D"/>
    <w:rsid w:val="00A7611B"/>
    <w:rsid w:val="00A761B6"/>
    <w:rsid w:val="00A761C0"/>
    <w:rsid w:val="00A7633F"/>
    <w:rsid w:val="00A76448"/>
    <w:rsid w:val="00A764D3"/>
    <w:rsid w:val="00A764F6"/>
    <w:rsid w:val="00A7665C"/>
    <w:rsid w:val="00A76661"/>
    <w:rsid w:val="00A766C9"/>
    <w:rsid w:val="00A767F2"/>
    <w:rsid w:val="00A76871"/>
    <w:rsid w:val="00A768A9"/>
    <w:rsid w:val="00A76A36"/>
    <w:rsid w:val="00A76ACA"/>
    <w:rsid w:val="00A76B6D"/>
    <w:rsid w:val="00A76B93"/>
    <w:rsid w:val="00A76BD7"/>
    <w:rsid w:val="00A76BFD"/>
    <w:rsid w:val="00A76E34"/>
    <w:rsid w:val="00A76EB3"/>
    <w:rsid w:val="00A770B1"/>
    <w:rsid w:val="00A77163"/>
    <w:rsid w:val="00A7728F"/>
    <w:rsid w:val="00A7731D"/>
    <w:rsid w:val="00A7741F"/>
    <w:rsid w:val="00A774EC"/>
    <w:rsid w:val="00A776D9"/>
    <w:rsid w:val="00A777CC"/>
    <w:rsid w:val="00A777ED"/>
    <w:rsid w:val="00A778D0"/>
    <w:rsid w:val="00A77950"/>
    <w:rsid w:val="00A77C53"/>
    <w:rsid w:val="00A77CAE"/>
    <w:rsid w:val="00A77DB3"/>
    <w:rsid w:val="00A77E0E"/>
    <w:rsid w:val="00A77E41"/>
    <w:rsid w:val="00A80060"/>
    <w:rsid w:val="00A80204"/>
    <w:rsid w:val="00A80248"/>
    <w:rsid w:val="00A80365"/>
    <w:rsid w:val="00A8040B"/>
    <w:rsid w:val="00A80415"/>
    <w:rsid w:val="00A80422"/>
    <w:rsid w:val="00A8042D"/>
    <w:rsid w:val="00A80501"/>
    <w:rsid w:val="00A80680"/>
    <w:rsid w:val="00A806A6"/>
    <w:rsid w:val="00A806F2"/>
    <w:rsid w:val="00A80712"/>
    <w:rsid w:val="00A80717"/>
    <w:rsid w:val="00A807AE"/>
    <w:rsid w:val="00A808C2"/>
    <w:rsid w:val="00A80910"/>
    <w:rsid w:val="00A809BB"/>
    <w:rsid w:val="00A809E8"/>
    <w:rsid w:val="00A80A48"/>
    <w:rsid w:val="00A80B3E"/>
    <w:rsid w:val="00A80C45"/>
    <w:rsid w:val="00A80C4F"/>
    <w:rsid w:val="00A80C6A"/>
    <w:rsid w:val="00A80C73"/>
    <w:rsid w:val="00A80C96"/>
    <w:rsid w:val="00A80CA6"/>
    <w:rsid w:val="00A80ED0"/>
    <w:rsid w:val="00A80F10"/>
    <w:rsid w:val="00A80F45"/>
    <w:rsid w:val="00A80FB4"/>
    <w:rsid w:val="00A80FE5"/>
    <w:rsid w:val="00A8118D"/>
    <w:rsid w:val="00A811B2"/>
    <w:rsid w:val="00A811DA"/>
    <w:rsid w:val="00A81206"/>
    <w:rsid w:val="00A81219"/>
    <w:rsid w:val="00A81263"/>
    <w:rsid w:val="00A81272"/>
    <w:rsid w:val="00A812EF"/>
    <w:rsid w:val="00A81332"/>
    <w:rsid w:val="00A815FA"/>
    <w:rsid w:val="00A8165A"/>
    <w:rsid w:val="00A81764"/>
    <w:rsid w:val="00A817F7"/>
    <w:rsid w:val="00A81813"/>
    <w:rsid w:val="00A81826"/>
    <w:rsid w:val="00A818A6"/>
    <w:rsid w:val="00A819E5"/>
    <w:rsid w:val="00A81BAD"/>
    <w:rsid w:val="00A81C5E"/>
    <w:rsid w:val="00A81D71"/>
    <w:rsid w:val="00A81E44"/>
    <w:rsid w:val="00A81E82"/>
    <w:rsid w:val="00A81F13"/>
    <w:rsid w:val="00A81F88"/>
    <w:rsid w:val="00A82032"/>
    <w:rsid w:val="00A820ED"/>
    <w:rsid w:val="00A82190"/>
    <w:rsid w:val="00A821F5"/>
    <w:rsid w:val="00A82222"/>
    <w:rsid w:val="00A8229E"/>
    <w:rsid w:val="00A8230B"/>
    <w:rsid w:val="00A823F9"/>
    <w:rsid w:val="00A82437"/>
    <w:rsid w:val="00A826EF"/>
    <w:rsid w:val="00A82738"/>
    <w:rsid w:val="00A827E8"/>
    <w:rsid w:val="00A829C1"/>
    <w:rsid w:val="00A829EE"/>
    <w:rsid w:val="00A82A20"/>
    <w:rsid w:val="00A82A68"/>
    <w:rsid w:val="00A82BDA"/>
    <w:rsid w:val="00A82C22"/>
    <w:rsid w:val="00A82D54"/>
    <w:rsid w:val="00A82DDA"/>
    <w:rsid w:val="00A82F83"/>
    <w:rsid w:val="00A8303E"/>
    <w:rsid w:val="00A83070"/>
    <w:rsid w:val="00A83077"/>
    <w:rsid w:val="00A831A1"/>
    <w:rsid w:val="00A8325E"/>
    <w:rsid w:val="00A832A2"/>
    <w:rsid w:val="00A832BC"/>
    <w:rsid w:val="00A832DE"/>
    <w:rsid w:val="00A83325"/>
    <w:rsid w:val="00A8335B"/>
    <w:rsid w:val="00A83514"/>
    <w:rsid w:val="00A835E3"/>
    <w:rsid w:val="00A83647"/>
    <w:rsid w:val="00A836CB"/>
    <w:rsid w:val="00A836FE"/>
    <w:rsid w:val="00A83747"/>
    <w:rsid w:val="00A83787"/>
    <w:rsid w:val="00A8384F"/>
    <w:rsid w:val="00A83A0A"/>
    <w:rsid w:val="00A83A57"/>
    <w:rsid w:val="00A83A9E"/>
    <w:rsid w:val="00A83B12"/>
    <w:rsid w:val="00A83D00"/>
    <w:rsid w:val="00A84024"/>
    <w:rsid w:val="00A84120"/>
    <w:rsid w:val="00A8416D"/>
    <w:rsid w:val="00A84231"/>
    <w:rsid w:val="00A84244"/>
    <w:rsid w:val="00A843B4"/>
    <w:rsid w:val="00A843BE"/>
    <w:rsid w:val="00A843F8"/>
    <w:rsid w:val="00A84459"/>
    <w:rsid w:val="00A84471"/>
    <w:rsid w:val="00A845A5"/>
    <w:rsid w:val="00A845DB"/>
    <w:rsid w:val="00A845E8"/>
    <w:rsid w:val="00A84696"/>
    <w:rsid w:val="00A846D2"/>
    <w:rsid w:val="00A847AD"/>
    <w:rsid w:val="00A848D2"/>
    <w:rsid w:val="00A84B78"/>
    <w:rsid w:val="00A84C84"/>
    <w:rsid w:val="00A84CF7"/>
    <w:rsid w:val="00A84D6E"/>
    <w:rsid w:val="00A85086"/>
    <w:rsid w:val="00A8531C"/>
    <w:rsid w:val="00A853D4"/>
    <w:rsid w:val="00A854DC"/>
    <w:rsid w:val="00A85659"/>
    <w:rsid w:val="00A856AE"/>
    <w:rsid w:val="00A85704"/>
    <w:rsid w:val="00A85757"/>
    <w:rsid w:val="00A857A4"/>
    <w:rsid w:val="00A857DC"/>
    <w:rsid w:val="00A85820"/>
    <w:rsid w:val="00A8589F"/>
    <w:rsid w:val="00A858EF"/>
    <w:rsid w:val="00A85943"/>
    <w:rsid w:val="00A85B0F"/>
    <w:rsid w:val="00A85C17"/>
    <w:rsid w:val="00A85D21"/>
    <w:rsid w:val="00A85E58"/>
    <w:rsid w:val="00A85EC9"/>
    <w:rsid w:val="00A85ED8"/>
    <w:rsid w:val="00A85F8B"/>
    <w:rsid w:val="00A85F97"/>
    <w:rsid w:val="00A86009"/>
    <w:rsid w:val="00A8603F"/>
    <w:rsid w:val="00A86079"/>
    <w:rsid w:val="00A8629C"/>
    <w:rsid w:val="00A86308"/>
    <w:rsid w:val="00A863F5"/>
    <w:rsid w:val="00A8640D"/>
    <w:rsid w:val="00A8648D"/>
    <w:rsid w:val="00A86785"/>
    <w:rsid w:val="00A867F0"/>
    <w:rsid w:val="00A86813"/>
    <w:rsid w:val="00A86948"/>
    <w:rsid w:val="00A86959"/>
    <w:rsid w:val="00A86A32"/>
    <w:rsid w:val="00A86C1D"/>
    <w:rsid w:val="00A86C54"/>
    <w:rsid w:val="00A86C6A"/>
    <w:rsid w:val="00A86D31"/>
    <w:rsid w:val="00A86D93"/>
    <w:rsid w:val="00A86DC4"/>
    <w:rsid w:val="00A86EA3"/>
    <w:rsid w:val="00A86F2A"/>
    <w:rsid w:val="00A86FDB"/>
    <w:rsid w:val="00A87019"/>
    <w:rsid w:val="00A8704B"/>
    <w:rsid w:val="00A870DB"/>
    <w:rsid w:val="00A8714A"/>
    <w:rsid w:val="00A87401"/>
    <w:rsid w:val="00A874ED"/>
    <w:rsid w:val="00A875AA"/>
    <w:rsid w:val="00A87712"/>
    <w:rsid w:val="00A87753"/>
    <w:rsid w:val="00A877FB"/>
    <w:rsid w:val="00A87AD6"/>
    <w:rsid w:val="00A87B9A"/>
    <w:rsid w:val="00A87BFA"/>
    <w:rsid w:val="00A87DD1"/>
    <w:rsid w:val="00A87E22"/>
    <w:rsid w:val="00A87FD9"/>
    <w:rsid w:val="00A901E7"/>
    <w:rsid w:val="00A90561"/>
    <w:rsid w:val="00A9065F"/>
    <w:rsid w:val="00A9080E"/>
    <w:rsid w:val="00A9082B"/>
    <w:rsid w:val="00A9083C"/>
    <w:rsid w:val="00A908E6"/>
    <w:rsid w:val="00A90916"/>
    <w:rsid w:val="00A909C4"/>
    <w:rsid w:val="00A909E4"/>
    <w:rsid w:val="00A90A09"/>
    <w:rsid w:val="00A90A14"/>
    <w:rsid w:val="00A90B0F"/>
    <w:rsid w:val="00A90BAE"/>
    <w:rsid w:val="00A90C48"/>
    <w:rsid w:val="00A90CFD"/>
    <w:rsid w:val="00A90D50"/>
    <w:rsid w:val="00A90D86"/>
    <w:rsid w:val="00A90EFA"/>
    <w:rsid w:val="00A90F40"/>
    <w:rsid w:val="00A90FB2"/>
    <w:rsid w:val="00A91008"/>
    <w:rsid w:val="00A91102"/>
    <w:rsid w:val="00A91103"/>
    <w:rsid w:val="00A91140"/>
    <w:rsid w:val="00A91163"/>
    <w:rsid w:val="00A9120A"/>
    <w:rsid w:val="00A91241"/>
    <w:rsid w:val="00A912B6"/>
    <w:rsid w:val="00A912C0"/>
    <w:rsid w:val="00A91361"/>
    <w:rsid w:val="00A913EC"/>
    <w:rsid w:val="00A91441"/>
    <w:rsid w:val="00A91475"/>
    <w:rsid w:val="00A914B0"/>
    <w:rsid w:val="00A9150E"/>
    <w:rsid w:val="00A91605"/>
    <w:rsid w:val="00A916C1"/>
    <w:rsid w:val="00A91712"/>
    <w:rsid w:val="00A91798"/>
    <w:rsid w:val="00A917D6"/>
    <w:rsid w:val="00A91A1F"/>
    <w:rsid w:val="00A91A9B"/>
    <w:rsid w:val="00A91BA7"/>
    <w:rsid w:val="00A91D21"/>
    <w:rsid w:val="00A91E49"/>
    <w:rsid w:val="00A91EE0"/>
    <w:rsid w:val="00A91EEE"/>
    <w:rsid w:val="00A91FA5"/>
    <w:rsid w:val="00A92122"/>
    <w:rsid w:val="00A92150"/>
    <w:rsid w:val="00A92213"/>
    <w:rsid w:val="00A9221A"/>
    <w:rsid w:val="00A92290"/>
    <w:rsid w:val="00A92301"/>
    <w:rsid w:val="00A92376"/>
    <w:rsid w:val="00A923D3"/>
    <w:rsid w:val="00A924A4"/>
    <w:rsid w:val="00A924B0"/>
    <w:rsid w:val="00A9258B"/>
    <w:rsid w:val="00A926A7"/>
    <w:rsid w:val="00A92779"/>
    <w:rsid w:val="00A9284E"/>
    <w:rsid w:val="00A92865"/>
    <w:rsid w:val="00A9292C"/>
    <w:rsid w:val="00A92A51"/>
    <w:rsid w:val="00A92AA1"/>
    <w:rsid w:val="00A92B6C"/>
    <w:rsid w:val="00A92C0E"/>
    <w:rsid w:val="00A92C64"/>
    <w:rsid w:val="00A92CBD"/>
    <w:rsid w:val="00A92CD1"/>
    <w:rsid w:val="00A92D92"/>
    <w:rsid w:val="00A92E0E"/>
    <w:rsid w:val="00A92E35"/>
    <w:rsid w:val="00A92EA6"/>
    <w:rsid w:val="00A92F50"/>
    <w:rsid w:val="00A92F6C"/>
    <w:rsid w:val="00A92FA1"/>
    <w:rsid w:val="00A92FC0"/>
    <w:rsid w:val="00A92FDB"/>
    <w:rsid w:val="00A9303F"/>
    <w:rsid w:val="00A93049"/>
    <w:rsid w:val="00A930A9"/>
    <w:rsid w:val="00A93117"/>
    <w:rsid w:val="00A93174"/>
    <w:rsid w:val="00A93198"/>
    <w:rsid w:val="00A931A7"/>
    <w:rsid w:val="00A93200"/>
    <w:rsid w:val="00A933C9"/>
    <w:rsid w:val="00A93503"/>
    <w:rsid w:val="00A93610"/>
    <w:rsid w:val="00A937D1"/>
    <w:rsid w:val="00A939CA"/>
    <w:rsid w:val="00A939CF"/>
    <w:rsid w:val="00A93BCB"/>
    <w:rsid w:val="00A93BD5"/>
    <w:rsid w:val="00A93C4F"/>
    <w:rsid w:val="00A93CFD"/>
    <w:rsid w:val="00A93D12"/>
    <w:rsid w:val="00A93E4C"/>
    <w:rsid w:val="00A93E55"/>
    <w:rsid w:val="00A93F3F"/>
    <w:rsid w:val="00A93F52"/>
    <w:rsid w:val="00A93FA9"/>
    <w:rsid w:val="00A94103"/>
    <w:rsid w:val="00A94120"/>
    <w:rsid w:val="00A94162"/>
    <w:rsid w:val="00A94225"/>
    <w:rsid w:val="00A94285"/>
    <w:rsid w:val="00A9457B"/>
    <w:rsid w:val="00A945B5"/>
    <w:rsid w:val="00A94670"/>
    <w:rsid w:val="00A9493B"/>
    <w:rsid w:val="00A94AA1"/>
    <w:rsid w:val="00A94AE2"/>
    <w:rsid w:val="00A94C4D"/>
    <w:rsid w:val="00A94C9D"/>
    <w:rsid w:val="00A94D92"/>
    <w:rsid w:val="00A94DD7"/>
    <w:rsid w:val="00A94F7E"/>
    <w:rsid w:val="00A94F8F"/>
    <w:rsid w:val="00A94F9D"/>
    <w:rsid w:val="00A95036"/>
    <w:rsid w:val="00A95122"/>
    <w:rsid w:val="00A9519E"/>
    <w:rsid w:val="00A951B5"/>
    <w:rsid w:val="00A951D9"/>
    <w:rsid w:val="00A951F8"/>
    <w:rsid w:val="00A95229"/>
    <w:rsid w:val="00A95269"/>
    <w:rsid w:val="00A952B4"/>
    <w:rsid w:val="00A9538F"/>
    <w:rsid w:val="00A9559C"/>
    <w:rsid w:val="00A9560F"/>
    <w:rsid w:val="00A957C0"/>
    <w:rsid w:val="00A95842"/>
    <w:rsid w:val="00A9585E"/>
    <w:rsid w:val="00A958B4"/>
    <w:rsid w:val="00A95A23"/>
    <w:rsid w:val="00A95BF2"/>
    <w:rsid w:val="00A95C5F"/>
    <w:rsid w:val="00A95CEE"/>
    <w:rsid w:val="00A95E0E"/>
    <w:rsid w:val="00A95E23"/>
    <w:rsid w:val="00A95E4A"/>
    <w:rsid w:val="00A95E97"/>
    <w:rsid w:val="00A95EAB"/>
    <w:rsid w:val="00A95ED6"/>
    <w:rsid w:val="00A95FD1"/>
    <w:rsid w:val="00A95FEF"/>
    <w:rsid w:val="00A960CE"/>
    <w:rsid w:val="00A9614A"/>
    <w:rsid w:val="00A96186"/>
    <w:rsid w:val="00A96188"/>
    <w:rsid w:val="00A96192"/>
    <w:rsid w:val="00A9619C"/>
    <w:rsid w:val="00A961C4"/>
    <w:rsid w:val="00A96283"/>
    <w:rsid w:val="00A96306"/>
    <w:rsid w:val="00A965F3"/>
    <w:rsid w:val="00A9677C"/>
    <w:rsid w:val="00A967D4"/>
    <w:rsid w:val="00A96880"/>
    <w:rsid w:val="00A968D6"/>
    <w:rsid w:val="00A96D20"/>
    <w:rsid w:val="00A96FD3"/>
    <w:rsid w:val="00A970EF"/>
    <w:rsid w:val="00A97136"/>
    <w:rsid w:val="00A97137"/>
    <w:rsid w:val="00A9721B"/>
    <w:rsid w:val="00A97574"/>
    <w:rsid w:val="00A976BE"/>
    <w:rsid w:val="00A976C8"/>
    <w:rsid w:val="00A976E4"/>
    <w:rsid w:val="00A978F4"/>
    <w:rsid w:val="00A9796E"/>
    <w:rsid w:val="00A97A5C"/>
    <w:rsid w:val="00A97A6F"/>
    <w:rsid w:val="00A97CDA"/>
    <w:rsid w:val="00A97D64"/>
    <w:rsid w:val="00A97DB1"/>
    <w:rsid w:val="00A97E57"/>
    <w:rsid w:val="00A97E6A"/>
    <w:rsid w:val="00A97F5C"/>
    <w:rsid w:val="00A97F9F"/>
    <w:rsid w:val="00AA00B9"/>
    <w:rsid w:val="00AA00FC"/>
    <w:rsid w:val="00AA01BD"/>
    <w:rsid w:val="00AA020B"/>
    <w:rsid w:val="00AA0260"/>
    <w:rsid w:val="00AA0297"/>
    <w:rsid w:val="00AA03D8"/>
    <w:rsid w:val="00AA0473"/>
    <w:rsid w:val="00AA0521"/>
    <w:rsid w:val="00AA0559"/>
    <w:rsid w:val="00AA05B7"/>
    <w:rsid w:val="00AA0723"/>
    <w:rsid w:val="00AA0797"/>
    <w:rsid w:val="00AA095A"/>
    <w:rsid w:val="00AA0977"/>
    <w:rsid w:val="00AA099F"/>
    <w:rsid w:val="00AA0A2E"/>
    <w:rsid w:val="00AA0A76"/>
    <w:rsid w:val="00AA0A9B"/>
    <w:rsid w:val="00AA0A9F"/>
    <w:rsid w:val="00AA0B64"/>
    <w:rsid w:val="00AA0BE4"/>
    <w:rsid w:val="00AA0BEE"/>
    <w:rsid w:val="00AA0CAB"/>
    <w:rsid w:val="00AA0CF9"/>
    <w:rsid w:val="00AA0D79"/>
    <w:rsid w:val="00AA0DDE"/>
    <w:rsid w:val="00AA0E65"/>
    <w:rsid w:val="00AA0E8A"/>
    <w:rsid w:val="00AA0EE5"/>
    <w:rsid w:val="00AA0F80"/>
    <w:rsid w:val="00AA1007"/>
    <w:rsid w:val="00AA109A"/>
    <w:rsid w:val="00AA127F"/>
    <w:rsid w:val="00AA12BB"/>
    <w:rsid w:val="00AA14EE"/>
    <w:rsid w:val="00AA16D5"/>
    <w:rsid w:val="00AA1783"/>
    <w:rsid w:val="00AA17EF"/>
    <w:rsid w:val="00AA18A4"/>
    <w:rsid w:val="00AA1949"/>
    <w:rsid w:val="00AA19ED"/>
    <w:rsid w:val="00AA1BE0"/>
    <w:rsid w:val="00AA1C25"/>
    <w:rsid w:val="00AA1CA5"/>
    <w:rsid w:val="00AA1CD2"/>
    <w:rsid w:val="00AA1CEF"/>
    <w:rsid w:val="00AA1D8D"/>
    <w:rsid w:val="00AA1EFC"/>
    <w:rsid w:val="00AA210D"/>
    <w:rsid w:val="00AA21B0"/>
    <w:rsid w:val="00AA21B1"/>
    <w:rsid w:val="00AA21DA"/>
    <w:rsid w:val="00AA2281"/>
    <w:rsid w:val="00AA2282"/>
    <w:rsid w:val="00AA22CD"/>
    <w:rsid w:val="00AA2345"/>
    <w:rsid w:val="00AA24D6"/>
    <w:rsid w:val="00AA2655"/>
    <w:rsid w:val="00AA2731"/>
    <w:rsid w:val="00AA2738"/>
    <w:rsid w:val="00AA2754"/>
    <w:rsid w:val="00AA2A2F"/>
    <w:rsid w:val="00AA2A5E"/>
    <w:rsid w:val="00AA2C25"/>
    <w:rsid w:val="00AA2C37"/>
    <w:rsid w:val="00AA2D02"/>
    <w:rsid w:val="00AA2E22"/>
    <w:rsid w:val="00AA302A"/>
    <w:rsid w:val="00AA303F"/>
    <w:rsid w:val="00AA3084"/>
    <w:rsid w:val="00AA3129"/>
    <w:rsid w:val="00AA317E"/>
    <w:rsid w:val="00AA31AA"/>
    <w:rsid w:val="00AA3311"/>
    <w:rsid w:val="00AA334C"/>
    <w:rsid w:val="00AA334F"/>
    <w:rsid w:val="00AA3373"/>
    <w:rsid w:val="00AA3512"/>
    <w:rsid w:val="00AA36B4"/>
    <w:rsid w:val="00AA38A0"/>
    <w:rsid w:val="00AA3A0E"/>
    <w:rsid w:val="00AA3AE7"/>
    <w:rsid w:val="00AA3B43"/>
    <w:rsid w:val="00AA3BD8"/>
    <w:rsid w:val="00AA3BF1"/>
    <w:rsid w:val="00AA3C25"/>
    <w:rsid w:val="00AA3C42"/>
    <w:rsid w:val="00AA3CEE"/>
    <w:rsid w:val="00AA3E2E"/>
    <w:rsid w:val="00AA3E36"/>
    <w:rsid w:val="00AA3E55"/>
    <w:rsid w:val="00AA3E57"/>
    <w:rsid w:val="00AA3E58"/>
    <w:rsid w:val="00AA3EEC"/>
    <w:rsid w:val="00AA3EF2"/>
    <w:rsid w:val="00AA3FFB"/>
    <w:rsid w:val="00AA40CC"/>
    <w:rsid w:val="00AA40DB"/>
    <w:rsid w:val="00AA4168"/>
    <w:rsid w:val="00AA41A4"/>
    <w:rsid w:val="00AA43C3"/>
    <w:rsid w:val="00AA43D4"/>
    <w:rsid w:val="00AA44C0"/>
    <w:rsid w:val="00AA4716"/>
    <w:rsid w:val="00AA4752"/>
    <w:rsid w:val="00AA495B"/>
    <w:rsid w:val="00AA49DD"/>
    <w:rsid w:val="00AA49F4"/>
    <w:rsid w:val="00AA4B02"/>
    <w:rsid w:val="00AA4B41"/>
    <w:rsid w:val="00AA4EF9"/>
    <w:rsid w:val="00AA4F59"/>
    <w:rsid w:val="00AA4FCD"/>
    <w:rsid w:val="00AA515C"/>
    <w:rsid w:val="00AA515D"/>
    <w:rsid w:val="00AA519C"/>
    <w:rsid w:val="00AA5584"/>
    <w:rsid w:val="00AA55B7"/>
    <w:rsid w:val="00AA5669"/>
    <w:rsid w:val="00AA5689"/>
    <w:rsid w:val="00AA56CF"/>
    <w:rsid w:val="00AA5998"/>
    <w:rsid w:val="00AA59A8"/>
    <w:rsid w:val="00AA59C2"/>
    <w:rsid w:val="00AA5AF7"/>
    <w:rsid w:val="00AA5B65"/>
    <w:rsid w:val="00AA5B9D"/>
    <w:rsid w:val="00AA5C4D"/>
    <w:rsid w:val="00AA5D1D"/>
    <w:rsid w:val="00AA5D59"/>
    <w:rsid w:val="00AA5E4F"/>
    <w:rsid w:val="00AA5EEE"/>
    <w:rsid w:val="00AA5F6B"/>
    <w:rsid w:val="00AA5F92"/>
    <w:rsid w:val="00AA5FEB"/>
    <w:rsid w:val="00AA60CD"/>
    <w:rsid w:val="00AA612D"/>
    <w:rsid w:val="00AA6133"/>
    <w:rsid w:val="00AA6216"/>
    <w:rsid w:val="00AA6255"/>
    <w:rsid w:val="00AA62DA"/>
    <w:rsid w:val="00AA6318"/>
    <w:rsid w:val="00AA638F"/>
    <w:rsid w:val="00AA63CA"/>
    <w:rsid w:val="00AA63CC"/>
    <w:rsid w:val="00AA63FC"/>
    <w:rsid w:val="00AA6537"/>
    <w:rsid w:val="00AA6569"/>
    <w:rsid w:val="00AA65B5"/>
    <w:rsid w:val="00AA660E"/>
    <w:rsid w:val="00AA668D"/>
    <w:rsid w:val="00AA6789"/>
    <w:rsid w:val="00AA67E9"/>
    <w:rsid w:val="00AA682F"/>
    <w:rsid w:val="00AA68EF"/>
    <w:rsid w:val="00AA6925"/>
    <w:rsid w:val="00AA6963"/>
    <w:rsid w:val="00AA69C5"/>
    <w:rsid w:val="00AA6A5B"/>
    <w:rsid w:val="00AA6ADB"/>
    <w:rsid w:val="00AA6B37"/>
    <w:rsid w:val="00AA6C08"/>
    <w:rsid w:val="00AA6C3C"/>
    <w:rsid w:val="00AA6C5B"/>
    <w:rsid w:val="00AA6DC0"/>
    <w:rsid w:val="00AA6EAE"/>
    <w:rsid w:val="00AA6EE8"/>
    <w:rsid w:val="00AA6F79"/>
    <w:rsid w:val="00AA6F81"/>
    <w:rsid w:val="00AA707E"/>
    <w:rsid w:val="00AA7256"/>
    <w:rsid w:val="00AA73A0"/>
    <w:rsid w:val="00AA73C5"/>
    <w:rsid w:val="00AA7415"/>
    <w:rsid w:val="00AA7538"/>
    <w:rsid w:val="00AA75AB"/>
    <w:rsid w:val="00AA7600"/>
    <w:rsid w:val="00AA777B"/>
    <w:rsid w:val="00AA7794"/>
    <w:rsid w:val="00AA77D0"/>
    <w:rsid w:val="00AA7828"/>
    <w:rsid w:val="00AA78E2"/>
    <w:rsid w:val="00AA79E3"/>
    <w:rsid w:val="00AA7A00"/>
    <w:rsid w:val="00AA7AAE"/>
    <w:rsid w:val="00AA7BDC"/>
    <w:rsid w:val="00AA7BF6"/>
    <w:rsid w:val="00AA7C09"/>
    <w:rsid w:val="00AA7F55"/>
    <w:rsid w:val="00AA7F62"/>
    <w:rsid w:val="00AB018D"/>
    <w:rsid w:val="00AB0230"/>
    <w:rsid w:val="00AB0268"/>
    <w:rsid w:val="00AB0327"/>
    <w:rsid w:val="00AB03E4"/>
    <w:rsid w:val="00AB0448"/>
    <w:rsid w:val="00AB0516"/>
    <w:rsid w:val="00AB051B"/>
    <w:rsid w:val="00AB051F"/>
    <w:rsid w:val="00AB0528"/>
    <w:rsid w:val="00AB0551"/>
    <w:rsid w:val="00AB0570"/>
    <w:rsid w:val="00AB05DA"/>
    <w:rsid w:val="00AB07A7"/>
    <w:rsid w:val="00AB07CE"/>
    <w:rsid w:val="00AB089F"/>
    <w:rsid w:val="00AB09A7"/>
    <w:rsid w:val="00AB0A50"/>
    <w:rsid w:val="00AB0B29"/>
    <w:rsid w:val="00AB0E66"/>
    <w:rsid w:val="00AB1093"/>
    <w:rsid w:val="00AB1211"/>
    <w:rsid w:val="00AB12AD"/>
    <w:rsid w:val="00AB138C"/>
    <w:rsid w:val="00AB148B"/>
    <w:rsid w:val="00AB149A"/>
    <w:rsid w:val="00AB1555"/>
    <w:rsid w:val="00AB1571"/>
    <w:rsid w:val="00AB15C8"/>
    <w:rsid w:val="00AB1646"/>
    <w:rsid w:val="00AB18BA"/>
    <w:rsid w:val="00AB18E3"/>
    <w:rsid w:val="00AB1919"/>
    <w:rsid w:val="00AB1977"/>
    <w:rsid w:val="00AB1A4F"/>
    <w:rsid w:val="00AB1BD8"/>
    <w:rsid w:val="00AB1C68"/>
    <w:rsid w:val="00AB1DA6"/>
    <w:rsid w:val="00AB1DAA"/>
    <w:rsid w:val="00AB1DC7"/>
    <w:rsid w:val="00AB1F43"/>
    <w:rsid w:val="00AB1FE5"/>
    <w:rsid w:val="00AB2292"/>
    <w:rsid w:val="00AB22F9"/>
    <w:rsid w:val="00AB23F5"/>
    <w:rsid w:val="00AB27ED"/>
    <w:rsid w:val="00AB296D"/>
    <w:rsid w:val="00AB2981"/>
    <w:rsid w:val="00AB2A4D"/>
    <w:rsid w:val="00AB2AEE"/>
    <w:rsid w:val="00AB2B76"/>
    <w:rsid w:val="00AB2C67"/>
    <w:rsid w:val="00AB2C6B"/>
    <w:rsid w:val="00AB2CD2"/>
    <w:rsid w:val="00AB2DB1"/>
    <w:rsid w:val="00AB2E4E"/>
    <w:rsid w:val="00AB2E81"/>
    <w:rsid w:val="00AB2F0A"/>
    <w:rsid w:val="00AB2F10"/>
    <w:rsid w:val="00AB2F6A"/>
    <w:rsid w:val="00AB2FC1"/>
    <w:rsid w:val="00AB31C9"/>
    <w:rsid w:val="00AB31F5"/>
    <w:rsid w:val="00AB32AB"/>
    <w:rsid w:val="00AB32F2"/>
    <w:rsid w:val="00AB3320"/>
    <w:rsid w:val="00AB3409"/>
    <w:rsid w:val="00AB3434"/>
    <w:rsid w:val="00AB3582"/>
    <w:rsid w:val="00AB35C5"/>
    <w:rsid w:val="00AB36D3"/>
    <w:rsid w:val="00AB3849"/>
    <w:rsid w:val="00AB3876"/>
    <w:rsid w:val="00AB3A90"/>
    <w:rsid w:val="00AB3AB8"/>
    <w:rsid w:val="00AB3AD5"/>
    <w:rsid w:val="00AB3C30"/>
    <w:rsid w:val="00AB3D11"/>
    <w:rsid w:val="00AB4068"/>
    <w:rsid w:val="00AB4071"/>
    <w:rsid w:val="00AB41A7"/>
    <w:rsid w:val="00AB4244"/>
    <w:rsid w:val="00AB43EF"/>
    <w:rsid w:val="00AB44AF"/>
    <w:rsid w:val="00AB4519"/>
    <w:rsid w:val="00AB45B0"/>
    <w:rsid w:val="00AB4605"/>
    <w:rsid w:val="00AB47F5"/>
    <w:rsid w:val="00AB489C"/>
    <w:rsid w:val="00AB4964"/>
    <w:rsid w:val="00AB49E2"/>
    <w:rsid w:val="00AB49EB"/>
    <w:rsid w:val="00AB4B01"/>
    <w:rsid w:val="00AB4B13"/>
    <w:rsid w:val="00AB4B62"/>
    <w:rsid w:val="00AB4B7B"/>
    <w:rsid w:val="00AB4BD2"/>
    <w:rsid w:val="00AB4C3D"/>
    <w:rsid w:val="00AB4C42"/>
    <w:rsid w:val="00AB4CC3"/>
    <w:rsid w:val="00AB4DD0"/>
    <w:rsid w:val="00AB4F11"/>
    <w:rsid w:val="00AB5163"/>
    <w:rsid w:val="00AB51F0"/>
    <w:rsid w:val="00AB531A"/>
    <w:rsid w:val="00AB53D6"/>
    <w:rsid w:val="00AB543C"/>
    <w:rsid w:val="00AB5466"/>
    <w:rsid w:val="00AB55B5"/>
    <w:rsid w:val="00AB5614"/>
    <w:rsid w:val="00AB5627"/>
    <w:rsid w:val="00AB570F"/>
    <w:rsid w:val="00AB573B"/>
    <w:rsid w:val="00AB57F0"/>
    <w:rsid w:val="00AB587B"/>
    <w:rsid w:val="00AB58EB"/>
    <w:rsid w:val="00AB5A17"/>
    <w:rsid w:val="00AB5B29"/>
    <w:rsid w:val="00AB5B46"/>
    <w:rsid w:val="00AB5B53"/>
    <w:rsid w:val="00AB5B80"/>
    <w:rsid w:val="00AB5BB2"/>
    <w:rsid w:val="00AB5BE5"/>
    <w:rsid w:val="00AB5E1E"/>
    <w:rsid w:val="00AB5F1A"/>
    <w:rsid w:val="00AB5F5E"/>
    <w:rsid w:val="00AB5F91"/>
    <w:rsid w:val="00AB5FB0"/>
    <w:rsid w:val="00AB5FEA"/>
    <w:rsid w:val="00AB61D3"/>
    <w:rsid w:val="00AB6264"/>
    <w:rsid w:val="00AB62CA"/>
    <w:rsid w:val="00AB6317"/>
    <w:rsid w:val="00AB6319"/>
    <w:rsid w:val="00AB6461"/>
    <w:rsid w:val="00AB6513"/>
    <w:rsid w:val="00AB6541"/>
    <w:rsid w:val="00AB66C2"/>
    <w:rsid w:val="00AB674D"/>
    <w:rsid w:val="00AB67D1"/>
    <w:rsid w:val="00AB67D5"/>
    <w:rsid w:val="00AB6872"/>
    <w:rsid w:val="00AB688A"/>
    <w:rsid w:val="00AB688C"/>
    <w:rsid w:val="00AB69E5"/>
    <w:rsid w:val="00AB6A2A"/>
    <w:rsid w:val="00AB6AE6"/>
    <w:rsid w:val="00AB6C88"/>
    <w:rsid w:val="00AB6CB0"/>
    <w:rsid w:val="00AB6CE7"/>
    <w:rsid w:val="00AB6CE8"/>
    <w:rsid w:val="00AB6FA8"/>
    <w:rsid w:val="00AB6FCB"/>
    <w:rsid w:val="00AB70CD"/>
    <w:rsid w:val="00AB7143"/>
    <w:rsid w:val="00AB71C2"/>
    <w:rsid w:val="00AB7211"/>
    <w:rsid w:val="00AB7255"/>
    <w:rsid w:val="00AB7295"/>
    <w:rsid w:val="00AB74C2"/>
    <w:rsid w:val="00AB7834"/>
    <w:rsid w:val="00AB789A"/>
    <w:rsid w:val="00AB79EC"/>
    <w:rsid w:val="00AB7A6F"/>
    <w:rsid w:val="00AB7CC2"/>
    <w:rsid w:val="00AB7CDA"/>
    <w:rsid w:val="00AB7D7D"/>
    <w:rsid w:val="00AB7DAC"/>
    <w:rsid w:val="00AB7DB8"/>
    <w:rsid w:val="00AB7FD5"/>
    <w:rsid w:val="00AC0041"/>
    <w:rsid w:val="00AC01C1"/>
    <w:rsid w:val="00AC01E8"/>
    <w:rsid w:val="00AC0305"/>
    <w:rsid w:val="00AC031D"/>
    <w:rsid w:val="00AC0503"/>
    <w:rsid w:val="00AC050C"/>
    <w:rsid w:val="00AC051D"/>
    <w:rsid w:val="00AC064A"/>
    <w:rsid w:val="00AC06C8"/>
    <w:rsid w:val="00AC07F5"/>
    <w:rsid w:val="00AC096A"/>
    <w:rsid w:val="00AC098E"/>
    <w:rsid w:val="00AC09AD"/>
    <w:rsid w:val="00AC0A54"/>
    <w:rsid w:val="00AC0A6A"/>
    <w:rsid w:val="00AC0BCC"/>
    <w:rsid w:val="00AC0C3B"/>
    <w:rsid w:val="00AC0CD4"/>
    <w:rsid w:val="00AC0CFB"/>
    <w:rsid w:val="00AC0DB2"/>
    <w:rsid w:val="00AC0E20"/>
    <w:rsid w:val="00AC0F89"/>
    <w:rsid w:val="00AC1030"/>
    <w:rsid w:val="00AC1036"/>
    <w:rsid w:val="00AC1152"/>
    <w:rsid w:val="00AC11B4"/>
    <w:rsid w:val="00AC1238"/>
    <w:rsid w:val="00AC12A4"/>
    <w:rsid w:val="00AC12CC"/>
    <w:rsid w:val="00AC1363"/>
    <w:rsid w:val="00AC152C"/>
    <w:rsid w:val="00AC15B3"/>
    <w:rsid w:val="00AC16D2"/>
    <w:rsid w:val="00AC187E"/>
    <w:rsid w:val="00AC18D9"/>
    <w:rsid w:val="00AC19A5"/>
    <w:rsid w:val="00AC19E6"/>
    <w:rsid w:val="00AC1A47"/>
    <w:rsid w:val="00AC1B41"/>
    <w:rsid w:val="00AC1C18"/>
    <w:rsid w:val="00AC1C7B"/>
    <w:rsid w:val="00AC1C86"/>
    <w:rsid w:val="00AC1DCD"/>
    <w:rsid w:val="00AC1E0D"/>
    <w:rsid w:val="00AC2098"/>
    <w:rsid w:val="00AC2197"/>
    <w:rsid w:val="00AC21FD"/>
    <w:rsid w:val="00AC248B"/>
    <w:rsid w:val="00AC24FE"/>
    <w:rsid w:val="00AC2524"/>
    <w:rsid w:val="00AC252D"/>
    <w:rsid w:val="00AC25CE"/>
    <w:rsid w:val="00AC25D7"/>
    <w:rsid w:val="00AC2870"/>
    <w:rsid w:val="00AC289A"/>
    <w:rsid w:val="00AC297F"/>
    <w:rsid w:val="00AC29F6"/>
    <w:rsid w:val="00AC2A96"/>
    <w:rsid w:val="00AC2B5C"/>
    <w:rsid w:val="00AC2C06"/>
    <w:rsid w:val="00AC2CBB"/>
    <w:rsid w:val="00AC2DCF"/>
    <w:rsid w:val="00AC3081"/>
    <w:rsid w:val="00AC309C"/>
    <w:rsid w:val="00AC319E"/>
    <w:rsid w:val="00AC31A3"/>
    <w:rsid w:val="00AC31DD"/>
    <w:rsid w:val="00AC320F"/>
    <w:rsid w:val="00AC3286"/>
    <w:rsid w:val="00AC32B4"/>
    <w:rsid w:val="00AC3494"/>
    <w:rsid w:val="00AC34F2"/>
    <w:rsid w:val="00AC3600"/>
    <w:rsid w:val="00AC364B"/>
    <w:rsid w:val="00AC3741"/>
    <w:rsid w:val="00AC3886"/>
    <w:rsid w:val="00AC39F8"/>
    <w:rsid w:val="00AC3AE1"/>
    <w:rsid w:val="00AC3AFD"/>
    <w:rsid w:val="00AC3C1F"/>
    <w:rsid w:val="00AC3E5D"/>
    <w:rsid w:val="00AC3E5E"/>
    <w:rsid w:val="00AC3EB3"/>
    <w:rsid w:val="00AC3EF4"/>
    <w:rsid w:val="00AC3F76"/>
    <w:rsid w:val="00AC3F84"/>
    <w:rsid w:val="00AC3FD3"/>
    <w:rsid w:val="00AC4048"/>
    <w:rsid w:val="00AC407B"/>
    <w:rsid w:val="00AC4085"/>
    <w:rsid w:val="00AC40C1"/>
    <w:rsid w:val="00AC4256"/>
    <w:rsid w:val="00AC42E0"/>
    <w:rsid w:val="00AC4447"/>
    <w:rsid w:val="00AC4485"/>
    <w:rsid w:val="00AC451B"/>
    <w:rsid w:val="00AC4597"/>
    <w:rsid w:val="00AC45C1"/>
    <w:rsid w:val="00AC465A"/>
    <w:rsid w:val="00AC4752"/>
    <w:rsid w:val="00AC47B6"/>
    <w:rsid w:val="00AC49A7"/>
    <w:rsid w:val="00AC49D8"/>
    <w:rsid w:val="00AC4A51"/>
    <w:rsid w:val="00AC4A90"/>
    <w:rsid w:val="00AC4AA1"/>
    <w:rsid w:val="00AC4B30"/>
    <w:rsid w:val="00AC4B7E"/>
    <w:rsid w:val="00AC4C12"/>
    <w:rsid w:val="00AC4C6B"/>
    <w:rsid w:val="00AC4C9E"/>
    <w:rsid w:val="00AC4CD9"/>
    <w:rsid w:val="00AC4D27"/>
    <w:rsid w:val="00AC4DDC"/>
    <w:rsid w:val="00AC4E65"/>
    <w:rsid w:val="00AC507B"/>
    <w:rsid w:val="00AC50EA"/>
    <w:rsid w:val="00AC5122"/>
    <w:rsid w:val="00AC5137"/>
    <w:rsid w:val="00AC5140"/>
    <w:rsid w:val="00AC5215"/>
    <w:rsid w:val="00AC5282"/>
    <w:rsid w:val="00AC52BB"/>
    <w:rsid w:val="00AC5329"/>
    <w:rsid w:val="00AC5492"/>
    <w:rsid w:val="00AC54DA"/>
    <w:rsid w:val="00AC55FE"/>
    <w:rsid w:val="00AC55FF"/>
    <w:rsid w:val="00AC5671"/>
    <w:rsid w:val="00AC572E"/>
    <w:rsid w:val="00AC581D"/>
    <w:rsid w:val="00AC5962"/>
    <w:rsid w:val="00AC5C8A"/>
    <w:rsid w:val="00AC5DAE"/>
    <w:rsid w:val="00AC5EA8"/>
    <w:rsid w:val="00AC60EE"/>
    <w:rsid w:val="00AC618D"/>
    <w:rsid w:val="00AC622E"/>
    <w:rsid w:val="00AC6240"/>
    <w:rsid w:val="00AC624E"/>
    <w:rsid w:val="00AC62C7"/>
    <w:rsid w:val="00AC6321"/>
    <w:rsid w:val="00AC6495"/>
    <w:rsid w:val="00AC6577"/>
    <w:rsid w:val="00AC65CC"/>
    <w:rsid w:val="00AC6686"/>
    <w:rsid w:val="00AC6841"/>
    <w:rsid w:val="00AC68BE"/>
    <w:rsid w:val="00AC69D5"/>
    <w:rsid w:val="00AC6B9D"/>
    <w:rsid w:val="00AC6D39"/>
    <w:rsid w:val="00AC6D7D"/>
    <w:rsid w:val="00AC6E13"/>
    <w:rsid w:val="00AC6F4D"/>
    <w:rsid w:val="00AC6F65"/>
    <w:rsid w:val="00AC700B"/>
    <w:rsid w:val="00AC7060"/>
    <w:rsid w:val="00AC7192"/>
    <w:rsid w:val="00AC724D"/>
    <w:rsid w:val="00AC7287"/>
    <w:rsid w:val="00AC728E"/>
    <w:rsid w:val="00AC73A7"/>
    <w:rsid w:val="00AC746F"/>
    <w:rsid w:val="00AC74B6"/>
    <w:rsid w:val="00AC764A"/>
    <w:rsid w:val="00AC76AE"/>
    <w:rsid w:val="00AC777D"/>
    <w:rsid w:val="00AC7886"/>
    <w:rsid w:val="00AC7906"/>
    <w:rsid w:val="00AC790E"/>
    <w:rsid w:val="00AC7952"/>
    <w:rsid w:val="00AC7976"/>
    <w:rsid w:val="00AC7A2A"/>
    <w:rsid w:val="00AC7A2E"/>
    <w:rsid w:val="00AC7B0D"/>
    <w:rsid w:val="00AC7CDC"/>
    <w:rsid w:val="00AC7D85"/>
    <w:rsid w:val="00AC7DE8"/>
    <w:rsid w:val="00AC7E38"/>
    <w:rsid w:val="00AC7E51"/>
    <w:rsid w:val="00AC7E54"/>
    <w:rsid w:val="00AC7E84"/>
    <w:rsid w:val="00AC7E90"/>
    <w:rsid w:val="00AD0052"/>
    <w:rsid w:val="00AD0233"/>
    <w:rsid w:val="00AD0382"/>
    <w:rsid w:val="00AD03BC"/>
    <w:rsid w:val="00AD040A"/>
    <w:rsid w:val="00AD04D0"/>
    <w:rsid w:val="00AD0589"/>
    <w:rsid w:val="00AD078D"/>
    <w:rsid w:val="00AD0795"/>
    <w:rsid w:val="00AD07AD"/>
    <w:rsid w:val="00AD07B3"/>
    <w:rsid w:val="00AD08B7"/>
    <w:rsid w:val="00AD08C3"/>
    <w:rsid w:val="00AD0A3E"/>
    <w:rsid w:val="00AD0AF6"/>
    <w:rsid w:val="00AD0BE9"/>
    <w:rsid w:val="00AD0C33"/>
    <w:rsid w:val="00AD0C3F"/>
    <w:rsid w:val="00AD0EA3"/>
    <w:rsid w:val="00AD0EEE"/>
    <w:rsid w:val="00AD0F43"/>
    <w:rsid w:val="00AD0F68"/>
    <w:rsid w:val="00AD0F92"/>
    <w:rsid w:val="00AD1012"/>
    <w:rsid w:val="00AD1021"/>
    <w:rsid w:val="00AD109E"/>
    <w:rsid w:val="00AD10FD"/>
    <w:rsid w:val="00AD1116"/>
    <w:rsid w:val="00AD1157"/>
    <w:rsid w:val="00AD116C"/>
    <w:rsid w:val="00AD125A"/>
    <w:rsid w:val="00AD129F"/>
    <w:rsid w:val="00AD1305"/>
    <w:rsid w:val="00AD140E"/>
    <w:rsid w:val="00AD14DC"/>
    <w:rsid w:val="00AD152E"/>
    <w:rsid w:val="00AD157C"/>
    <w:rsid w:val="00AD15C2"/>
    <w:rsid w:val="00AD166B"/>
    <w:rsid w:val="00AD176F"/>
    <w:rsid w:val="00AD177B"/>
    <w:rsid w:val="00AD17E3"/>
    <w:rsid w:val="00AD17E5"/>
    <w:rsid w:val="00AD1C9B"/>
    <w:rsid w:val="00AD1D15"/>
    <w:rsid w:val="00AD1E13"/>
    <w:rsid w:val="00AD1E1E"/>
    <w:rsid w:val="00AD1E32"/>
    <w:rsid w:val="00AD1E76"/>
    <w:rsid w:val="00AD1FE5"/>
    <w:rsid w:val="00AD20D0"/>
    <w:rsid w:val="00AD22A9"/>
    <w:rsid w:val="00AD22C4"/>
    <w:rsid w:val="00AD2316"/>
    <w:rsid w:val="00AD2523"/>
    <w:rsid w:val="00AD260A"/>
    <w:rsid w:val="00AD2719"/>
    <w:rsid w:val="00AD2745"/>
    <w:rsid w:val="00AD2B8E"/>
    <w:rsid w:val="00AD2BB6"/>
    <w:rsid w:val="00AD2C8A"/>
    <w:rsid w:val="00AD2C90"/>
    <w:rsid w:val="00AD2CE5"/>
    <w:rsid w:val="00AD2D41"/>
    <w:rsid w:val="00AD2DB3"/>
    <w:rsid w:val="00AD2DFA"/>
    <w:rsid w:val="00AD2F78"/>
    <w:rsid w:val="00AD302F"/>
    <w:rsid w:val="00AD3030"/>
    <w:rsid w:val="00AD31B5"/>
    <w:rsid w:val="00AD31D6"/>
    <w:rsid w:val="00AD31E0"/>
    <w:rsid w:val="00AD32E4"/>
    <w:rsid w:val="00AD334A"/>
    <w:rsid w:val="00AD3395"/>
    <w:rsid w:val="00AD341F"/>
    <w:rsid w:val="00AD3538"/>
    <w:rsid w:val="00AD355E"/>
    <w:rsid w:val="00AD37DD"/>
    <w:rsid w:val="00AD3882"/>
    <w:rsid w:val="00AD38CC"/>
    <w:rsid w:val="00AD39AA"/>
    <w:rsid w:val="00AD3A41"/>
    <w:rsid w:val="00AD3A47"/>
    <w:rsid w:val="00AD3CB4"/>
    <w:rsid w:val="00AD3E21"/>
    <w:rsid w:val="00AD3E3E"/>
    <w:rsid w:val="00AD3F4A"/>
    <w:rsid w:val="00AD4080"/>
    <w:rsid w:val="00AD4140"/>
    <w:rsid w:val="00AD41C1"/>
    <w:rsid w:val="00AD42A5"/>
    <w:rsid w:val="00AD42F4"/>
    <w:rsid w:val="00AD454B"/>
    <w:rsid w:val="00AD465D"/>
    <w:rsid w:val="00AD469E"/>
    <w:rsid w:val="00AD4879"/>
    <w:rsid w:val="00AD4955"/>
    <w:rsid w:val="00AD4A12"/>
    <w:rsid w:val="00AD4A78"/>
    <w:rsid w:val="00AD4B34"/>
    <w:rsid w:val="00AD4C5B"/>
    <w:rsid w:val="00AD4D6E"/>
    <w:rsid w:val="00AD4EC9"/>
    <w:rsid w:val="00AD4F23"/>
    <w:rsid w:val="00AD4F75"/>
    <w:rsid w:val="00AD5008"/>
    <w:rsid w:val="00AD5031"/>
    <w:rsid w:val="00AD5151"/>
    <w:rsid w:val="00AD5170"/>
    <w:rsid w:val="00AD519B"/>
    <w:rsid w:val="00AD52AE"/>
    <w:rsid w:val="00AD53A0"/>
    <w:rsid w:val="00AD561F"/>
    <w:rsid w:val="00AD5633"/>
    <w:rsid w:val="00AD56DF"/>
    <w:rsid w:val="00AD5706"/>
    <w:rsid w:val="00AD57BC"/>
    <w:rsid w:val="00AD5A2F"/>
    <w:rsid w:val="00AD5A50"/>
    <w:rsid w:val="00AD5AA3"/>
    <w:rsid w:val="00AD5AC6"/>
    <w:rsid w:val="00AD5B18"/>
    <w:rsid w:val="00AD5D3C"/>
    <w:rsid w:val="00AD5D87"/>
    <w:rsid w:val="00AD5D9A"/>
    <w:rsid w:val="00AD5D9F"/>
    <w:rsid w:val="00AD5DC7"/>
    <w:rsid w:val="00AD5E06"/>
    <w:rsid w:val="00AD6067"/>
    <w:rsid w:val="00AD610A"/>
    <w:rsid w:val="00AD62CA"/>
    <w:rsid w:val="00AD64AC"/>
    <w:rsid w:val="00AD64B6"/>
    <w:rsid w:val="00AD6786"/>
    <w:rsid w:val="00AD68DE"/>
    <w:rsid w:val="00AD6908"/>
    <w:rsid w:val="00AD690F"/>
    <w:rsid w:val="00AD6A0F"/>
    <w:rsid w:val="00AD6A25"/>
    <w:rsid w:val="00AD6A5D"/>
    <w:rsid w:val="00AD6A71"/>
    <w:rsid w:val="00AD6A9B"/>
    <w:rsid w:val="00AD6C39"/>
    <w:rsid w:val="00AD6D81"/>
    <w:rsid w:val="00AD6E40"/>
    <w:rsid w:val="00AD6E44"/>
    <w:rsid w:val="00AD7096"/>
    <w:rsid w:val="00AD70AC"/>
    <w:rsid w:val="00AD710D"/>
    <w:rsid w:val="00AD713E"/>
    <w:rsid w:val="00AD71F2"/>
    <w:rsid w:val="00AD723F"/>
    <w:rsid w:val="00AD73B7"/>
    <w:rsid w:val="00AD74A9"/>
    <w:rsid w:val="00AD7510"/>
    <w:rsid w:val="00AD76D8"/>
    <w:rsid w:val="00AD77CE"/>
    <w:rsid w:val="00AD77E8"/>
    <w:rsid w:val="00AD7884"/>
    <w:rsid w:val="00AD78C0"/>
    <w:rsid w:val="00AD78DD"/>
    <w:rsid w:val="00AD7919"/>
    <w:rsid w:val="00AD7988"/>
    <w:rsid w:val="00AD7994"/>
    <w:rsid w:val="00AD79EC"/>
    <w:rsid w:val="00AD7A21"/>
    <w:rsid w:val="00AD7AB0"/>
    <w:rsid w:val="00AD7AFC"/>
    <w:rsid w:val="00AD7B13"/>
    <w:rsid w:val="00AD7BA8"/>
    <w:rsid w:val="00AD7CDA"/>
    <w:rsid w:val="00AD7D59"/>
    <w:rsid w:val="00AD7E5A"/>
    <w:rsid w:val="00AD7F54"/>
    <w:rsid w:val="00AD7F9F"/>
    <w:rsid w:val="00AE0100"/>
    <w:rsid w:val="00AE0162"/>
    <w:rsid w:val="00AE0207"/>
    <w:rsid w:val="00AE03B0"/>
    <w:rsid w:val="00AE051F"/>
    <w:rsid w:val="00AE0551"/>
    <w:rsid w:val="00AE05C2"/>
    <w:rsid w:val="00AE084D"/>
    <w:rsid w:val="00AE0953"/>
    <w:rsid w:val="00AE09E3"/>
    <w:rsid w:val="00AE0B20"/>
    <w:rsid w:val="00AE0BFF"/>
    <w:rsid w:val="00AE0CAF"/>
    <w:rsid w:val="00AE0CD4"/>
    <w:rsid w:val="00AE0CF6"/>
    <w:rsid w:val="00AE0D34"/>
    <w:rsid w:val="00AE0DFC"/>
    <w:rsid w:val="00AE0E2B"/>
    <w:rsid w:val="00AE0E83"/>
    <w:rsid w:val="00AE0EE2"/>
    <w:rsid w:val="00AE0EE3"/>
    <w:rsid w:val="00AE0FC5"/>
    <w:rsid w:val="00AE1207"/>
    <w:rsid w:val="00AE121C"/>
    <w:rsid w:val="00AE12FF"/>
    <w:rsid w:val="00AE1347"/>
    <w:rsid w:val="00AE142B"/>
    <w:rsid w:val="00AE149B"/>
    <w:rsid w:val="00AE159D"/>
    <w:rsid w:val="00AE162E"/>
    <w:rsid w:val="00AE183E"/>
    <w:rsid w:val="00AE19B2"/>
    <w:rsid w:val="00AE19D9"/>
    <w:rsid w:val="00AE1A21"/>
    <w:rsid w:val="00AE1A75"/>
    <w:rsid w:val="00AE1B72"/>
    <w:rsid w:val="00AE1BD5"/>
    <w:rsid w:val="00AE1C50"/>
    <w:rsid w:val="00AE1F0B"/>
    <w:rsid w:val="00AE2152"/>
    <w:rsid w:val="00AE2372"/>
    <w:rsid w:val="00AE23FD"/>
    <w:rsid w:val="00AE2480"/>
    <w:rsid w:val="00AE28FF"/>
    <w:rsid w:val="00AE29FA"/>
    <w:rsid w:val="00AE2AAD"/>
    <w:rsid w:val="00AE2B5C"/>
    <w:rsid w:val="00AE2C22"/>
    <w:rsid w:val="00AE2C44"/>
    <w:rsid w:val="00AE2DDC"/>
    <w:rsid w:val="00AE2E2F"/>
    <w:rsid w:val="00AE2F75"/>
    <w:rsid w:val="00AE2FB3"/>
    <w:rsid w:val="00AE3087"/>
    <w:rsid w:val="00AE30BD"/>
    <w:rsid w:val="00AE3147"/>
    <w:rsid w:val="00AE3251"/>
    <w:rsid w:val="00AE3371"/>
    <w:rsid w:val="00AE33BF"/>
    <w:rsid w:val="00AE351B"/>
    <w:rsid w:val="00AE35AC"/>
    <w:rsid w:val="00AE35F9"/>
    <w:rsid w:val="00AE3607"/>
    <w:rsid w:val="00AE3787"/>
    <w:rsid w:val="00AE379B"/>
    <w:rsid w:val="00AE3863"/>
    <w:rsid w:val="00AE3A91"/>
    <w:rsid w:val="00AE3B4F"/>
    <w:rsid w:val="00AE3C55"/>
    <w:rsid w:val="00AE3D62"/>
    <w:rsid w:val="00AE3DA5"/>
    <w:rsid w:val="00AE3DE1"/>
    <w:rsid w:val="00AE3E0B"/>
    <w:rsid w:val="00AE4328"/>
    <w:rsid w:val="00AE445C"/>
    <w:rsid w:val="00AE44FF"/>
    <w:rsid w:val="00AE46C8"/>
    <w:rsid w:val="00AE46FD"/>
    <w:rsid w:val="00AE49B0"/>
    <w:rsid w:val="00AE49E4"/>
    <w:rsid w:val="00AE4A6C"/>
    <w:rsid w:val="00AE4AA7"/>
    <w:rsid w:val="00AE4AF7"/>
    <w:rsid w:val="00AE4D68"/>
    <w:rsid w:val="00AE4DB1"/>
    <w:rsid w:val="00AE4ECC"/>
    <w:rsid w:val="00AE4FD9"/>
    <w:rsid w:val="00AE5012"/>
    <w:rsid w:val="00AE516A"/>
    <w:rsid w:val="00AE51BB"/>
    <w:rsid w:val="00AE537D"/>
    <w:rsid w:val="00AE548B"/>
    <w:rsid w:val="00AE55D4"/>
    <w:rsid w:val="00AE55EF"/>
    <w:rsid w:val="00AE56D9"/>
    <w:rsid w:val="00AE57A3"/>
    <w:rsid w:val="00AE595D"/>
    <w:rsid w:val="00AE59E5"/>
    <w:rsid w:val="00AE59E7"/>
    <w:rsid w:val="00AE5B3C"/>
    <w:rsid w:val="00AE5CE6"/>
    <w:rsid w:val="00AE5F4D"/>
    <w:rsid w:val="00AE5F83"/>
    <w:rsid w:val="00AE5FDC"/>
    <w:rsid w:val="00AE5FFD"/>
    <w:rsid w:val="00AE6029"/>
    <w:rsid w:val="00AE607C"/>
    <w:rsid w:val="00AE6091"/>
    <w:rsid w:val="00AE652B"/>
    <w:rsid w:val="00AE657B"/>
    <w:rsid w:val="00AE659D"/>
    <w:rsid w:val="00AE66F5"/>
    <w:rsid w:val="00AE68AA"/>
    <w:rsid w:val="00AE6905"/>
    <w:rsid w:val="00AE69FB"/>
    <w:rsid w:val="00AE6A1E"/>
    <w:rsid w:val="00AE6A2D"/>
    <w:rsid w:val="00AE6B2B"/>
    <w:rsid w:val="00AE6B87"/>
    <w:rsid w:val="00AE6C03"/>
    <w:rsid w:val="00AE6C2D"/>
    <w:rsid w:val="00AE6C38"/>
    <w:rsid w:val="00AE6C97"/>
    <w:rsid w:val="00AE6D2B"/>
    <w:rsid w:val="00AE6E39"/>
    <w:rsid w:val="00AE6E6C"/>
    <w:rsid w:val="00AE6FFB"/>
    <w:rsid w:val="00AE7072"/>
    <w:rsid w:val="00AE7092"/>
    <w:rsid w:val="00AE712D"/>
    <w:rsid w:val="00AE7428"/>
    <w:rsid w:val="00AE74EF"/>
    <w:rsid w:val="00AE7566"/>
    <w:rsid w:val="00AE758C"/>
    <w:rsid w:val="00AE7603"/>
    <w:rsid w:val="00AE7711"/>
    <w:rsid w:val="00AE787E"/>
    <w:rsid w:val="00AE7B1A"/>
    <w:rsid w:val="00AE7B3F"/>
    <w:rsid w:val="00AE7C2D"/>
    <w:rsid w:val="00AE7C40"/>
    <w:rsid w:val="00AE7C95"/>
    <w:rsid w:val="00AE7D19"/>
    <w:rsid w:val="00AE7DDD"/>
    <w:rsid w:val="00AE7F2A"/>
    <w:rsid w:val="00AE7FBB"/>
    <w:rsid w:val="00AF019B"/>
    <w:rsid w:val="00AF01DC"/>
    <w:rsid w:val="00AF01F2"/>
    <w:rsid w:val="00AF02D2"/>
    <w:rsid w:val="00AF038D"/>
    <w:rsid w:val="00AF038F"/>
    <w:rsid w:val="00AF0482"/>
    <w:rsid w:val="00AF04BA"/>
    <w:rsid w:val="00AF069F"/>
    <w:rsid w:val="00AF0777"/>
    <w:rsid w:val="00AF082C"/>
    <w:rsid w:val="00AF09BF"/>
    <w:rsid w:val="00AF0A3B"/>
    <w:rsid w:val="00AF0A45"/>
    <w:rsid w:val="00AF0B59"/>
    <w:rsid w:val="00AF0D3B"/>
    <w:rsid w:val="00AF0F13"/>
    <w:rsid w:val="00AF0FBF"/>
    <w:rsid w:val="00AF0FD4"/>
    <w:rsid w:val="00AF1048"/>
    <w:rsid w:val="00AF10F0"/>
    <w:rsid w:val="00AF110C"/>
    <w:rsid w:val="00AF113B"/>
    <w:rsid w:val="00AF1324"/>
    <w:rsid w:val="00AF1513"/>
    <w:rsid w:val="00AF1519"/>
    <w:rsid w:val="00AF15C7"/>
    <w:rsid w:val="00AF16A9"/>
    <w:rsid w:val="00AF1735"/>
    <w:rsid w:val="00AF18A0"/>
    <w:rsid w:val="00AF194D"/>
    <w:rsid w:val="00AF19ED"/>
    <w:rsid w:val="00AF1AF5"/>
    <w:rsid w:val="00AF1B06"/>
    <w:rsid w:val="00AF1B57"/>
    <w:rsid w:val="00AF1CE9"/>
    <w:rsid w:val="00AF1F76"/>
    <w:rsid w:val="00AF2081"/>
    <w:rsid w:val="00AF2132"/>
    <w:rsid w:val="00AF2366"/>
    <w:rsid w:val="00AF23AA"/>
    <w:rsid w:val="00AF23AB"/>
    <w:rsid w:val="00AF23DD"/>
    <w:rsid w:val="00AF27AF"/>
    <w:rsid w:val="00AF27EC"/>
    <w:rsid w:val="00AF28CC"/>
    <w:rsid w:val="00AF28E5"/>
    <w:rsid w:val="00AF2921"/>
    <w:rsid w:val="00AF29AD"/>
    <w:rsid w:val="00AF2B12"/>
    <w:rsid w:val="00AF2C91"/>
    <w:rsid w:val="00AF2D11"/>
    <w:rsid w:val="00AF2D67"/>
    <w:rsid w:val="00AF2DA3"/>
    <w:rsid w:val="00AF2DA4"/>
    <w:rsid w:val="00AF2DD6"/>
    <w:rsid w:val="00AF2E11"/>
    <w:rsid w:val="00AF2ED3"/>
    <w:rsid w:val="00AF2F61"/>
    <w:rsid w:val="00AF309F"/>
    <w:rsid w:val="00AF3110"/>
    <w:rsid w:val="00AF311C"/>
    <w:rsid w:val="00AF32BE"/>
    <w:rsid w:val="00AF339A"/>
    <w:rsid w:val="00AF34EB"/>
    <w:rsid w:val="00AF36EC"/>
    <w:rsid w:val="00AF376C"/>
    <w:rsid w:val="00AF3863"/>
    <w:rsid w:val="00AF3A1C"/>
    <w:rsid w:val="00AF3A9E"/>
    <w:rsid w:val="00AF3AA5"/>
    <w:rsid w:val="00AF3AC7"/>
    <w:rsid w:val="00AF3AE8"/>
    <w:rsid w:val="00AF3D5B"/>
    <w:rsid w:val="00AF3E3D"/>
    <w:rsid w:val="00AF3ED5"/>
    <w:rsid w:val="00AF3EF3"/>
    <w:rsid w:val="00AF3F67"/>
    <w:rsid w:val="00AF3F6C"/>
    <w:rsid w:val="00AF3F84"/>
    <w:rsid w:val="00AF3F9A"/>
    <w:rsid w:val="00AF3FE2"/>
    <w:rsid w:val="00AF40DE"/>
    <w:rsid w:val="00AF40F0"/>
    <w:rsid w:val="00AF420A"/>
    <w:rsid w:val="00AF421B"/>
    <w:rsid w:val="00AF4286"/>
    <w:rsid w:val="00AF42C4"/>
    <w:rsid w:val="00AF44B9"/>
    <w:rsid w:val="00AF4500"/>
    <w:rsid w:val="00AF451C"/>
    <w:rsid w:val="00AF464A"/>
    <w:rsid w:val="00AF4686"/>
    <w:rsid w:val="00AF47A0"/>
    <w:rsid w:val="00AF4861"/>
    <w:rsid w:val="00AF4888"/>
    <w:rsid w:val="00AF48CD"/>
    <w:rsid w:val="00AF4950"/>
    <w:rsid w:val="00AF4CF1"/>
    <w:rsid w:val="00AF4D61"/>
    <w:rsid w:val="00AF4DC4"/>
    <w:rsid w:val="00AF4EEE"/>
    <w:rsid w:val="00AF4F5C"/>
    <w:rsid w:val="00AF4F9B"/>
    <w:rsid w:val="00AF4FD1"/>
    <w:rsid w:val="00AF4FFD"/>
    <w:rsid w:val="00AF506C"/>
    <w:rsid w:val="00AF50AA"/>
    <w:rsid w:val="00AF518D"/>
    <w:rsid w:val="00AF52C7"/>
    <w:rsid w:val="00AF52F8"/>
    <w:rsid w:val="00AF533D"/>
    <w:rsid w:val="00AF5374"/>
    <w:rsid w:val="00AF53F2"/>
    <w:rsid w:val="00AF54EC"/>
    <w:rsid w:val="00AF5580"/>
    <w:rsid w:val="00AF567C"/>
    <w:rsid w:val="00AF5685"/>
    <w:rsid w:val="00AF56A1"/>
    <w:rsid w:val="00AF590E"/>
    <w:rsid w:val="00AF5A11"/>
    <w:rsid w:val="00AF5B71"/>
    <w:rsid w:val="00AF5BB9"/>
    <w:rsid w:val="00AF5C01"/>
    <w:rsid w:val="00AF5D35"/>
    <w:rsid w:val="00AF5D77"/>
    <w:rsid w:val="00AF5DB7"/>
    <w:rsid w:val="00AF5FDA"/>
    <w:rsid w:val="00AF61F5"/>
    <w:rsid w:val="00AF6218"/>
    <w:rsid w:val="00AF62F1"/>
    <w:rsid w:val="00AF65C5"/>
    <w:rsid w:val="00AF66B3"/>
    <w:rsid w:val="00AF6709"/>
    <w:rsid w:val="00AF6719"/>
    <w:rsid w:val="00AF68C1"/>
    <w:rsid w:val="00AF68F6"/>
    <w:rsid w:val="00AF691F"/>
    <w:rsid w:val="00AF6A5E"/>
    <w:rsid w:val="00AF6A68"/>
    <w:rsid w:val="00AF6B34"/>
    <w:rsid w:val="00AF6C33"/>
    <w:rsid w:val="00AF6C85"/>
    <w:rsid w:val="00AF6CB1"/>
    <w:rsid w:val="00AF6ECC"/>
    <w:rsid w:val="00AF6EED"/>
    <w:rsid w:val="00AF7036"/>
    <w:rsid w:val="00AF7147"/>
    <w:rsid w:val="00AF7270"/>
    <w:rsid w:val="00AF73D9"/>
    <w:rsid w:val="00AF7506"/>
    <w:rsid w:val="00AF75EE"/>
    <w:rsid w:val="00AF761C"/>
    <w:rsid w:val="00AF7693"/>
    <w:rsid w:val="00AF776F"/>
    <w:rsid w:val="00AF77A9"/>
    <w:rsid w:val="00AF77CE"/>
    <w:rsid w:val="00AF7840"/>
    <w:rsid w:val="00AF79AF"/>
    <w:rsid w:val="00AF7A8A"/>
    <w:rsid w:val="00AF7ABC"/>
    <w:rsid w:val="00AF7AF0"/>
    <w:rsid w:val="00AF7C38"/>
    <w:rsid w:val="00AF7D49"/>
    <w:rsid w:val="00AF7D7D"/>
    <w:rsid w:val="00AF7DC5"/>
    <w:rsid w:val="00AF7DED"/>
    <w:rsid w:val="00AF7F99"/>
    <w:rsid w:val="00AF7FCF"/>
    <w:rsid w:val="00AF7FD5"/>
    <w:rsid w:val="00AF7FE8"/>
    <w:rsid w:val="00B000F2"/>
    <w:rsid w:val="00B0028D"/>
    <w:rsid w:val="00B003AC"/>
    <w:rsid w:val="00B003F7"/>
    <w:rsid w:val="00B00451"/>
    <w:rsid w:val="00B00514"/>
    <w:rsid w:val="00B00523"/>
    <w:rsid w:val="00B00602"/>
    <w:rsid w:val="00B00648"/>
    <w:rsid w:val="00B00782"/>
    <w:rsid w:val="00B007D1"/>
    <w:rsid w:val="00B007EF"/>
    <w:rsid w:val="00B00819"/>
    <w:rsid w:val="00B00B13"/>
    <w:rsid w:val="00B00BE1"/>
    <w:rsid w:val="00B01123"/>
    <w:rsid w:val="00B0114D"/>
    <w:rsid w:val="00B01170"/>
    <w:rsid w:val="00B01220"/>
    <w:rsid w:val="00B012EF"/>
    <w:rsid w:val="00B0136E"/>
    <w:rsid w:val="00B01390"/>
    <w:rsid w:val="00B013EE"/>
    <w:rsid w:val="00B01414"/>
    <w:rsid w:val="00B01467"/>
    <w:rsid w:val="00B01597"/>
    <w:rsid w:val="00B01606"/>
    <w:rsid w:val="00B01639"/>
    <w:rsid w:val="00B017C2"/>
    <w:rsid w:val="00B0199C"/>
    <w:rsid w:val="00B019CF"/>
    <w:rsid w:val="00B01D10"/>
    <w:rsid w:val="00B01D3E"/>
    <w:rsid w:val="00B01D46"/>
    <w:rsid w:val="00B01D8D"/>
    <w:rsid w:val="00B01DAD"/>
    <w:rsid w:val="00B01DE7"/>
    <w:rsid w:val="00B02131"/>
    <w:rsid w:val="00B021C7"/>
    <w:rsid w:val="00B021D4"/>
    <w:rsid w:val="00B021FE"/>
    <w:rsid w:val="00B022D6"/>
    <w:rsid w:val="00B02403"/>
    <w:rsid w:val="00B02536"/>
    <w:rsid w:val="00B0263B"/>
    <w:rsid w:val="00B02713"/>
    <w:rsid w:val="00B02736"/>
    <w:rsid w:val="00B027EA"/>
    <w:rsid w:val="00B0280F"/>
    <w:rsid w:val="00B02B52"/>
    <w:rsid w:val="00B02C30"/>
    <w:rsid w:val="00B02CE1"/>
    <w:rsid w:val="00B02DC7"/>
    <w:rsid w:val="00B02E4B"/>
    <w:rsid w:val="00B02EA5"/>
    <w:rsid w:val="00B02F77"/>
    <w:rsid w:val="00B030BA"/>
    <w:rsid w:val="00B030BF"/>
    <w:rsid w:val="00B0311D"/>
    <w:rsid w:val="00B03165"/>
    <w:rsid w:val="00B032CC"/>
    <w:rsid w:val="00B03382"/>
    <w:rsid w:val="00B0345F"/>
    <w:rsid w:val="00B03614"/>
    <w:rsid w:val="00B03A36"/>
    <w:rsid w:val="00B03A57"/>
    <w:rsid w:val="00B03B94"/>
    <w:rsid w:val="00B03BE9"/>
    <w:rsid w:val="00B03D54"/>
    <w:rsid w:val="00B03E9B"/>
    <w:rsid w:val="00B03F22"/>
    <w:rsid w:val="00B03F3B"/>
    <w:rsid w:val="00B04029"/>
    <w:rsid w:val="00B0413E"/>
    <w:rsid w:val="00B0422B"/>
    <w:rsid w:val="00B04344"/>
    <w:rsid w:val="00B0441D"/>
    <w:rsid w:val="00B0447A"/>
    <w:rsid w:val="00B044E3"/>
    <w:rsid w:val="00B04563"/>
    <w:rsid w:val="00B045C0"/>
    <w:rsid w:val="00B04646"/>
    <w:rsid w:val="00B0491C"/>
    <w:rsid w:val="00B04987"/>
    <w:rsid w:val="00B04A20"/>
    <w:rsid w:val="00B04A51"/>
    <w:rsid w:val="00B04AD4"/>
    <w:rsid w:val="00B04AF4"/>
    <w:rsid w:val="00B04B5D"/>
    <w:rsid w:val="00B04C77"/>
    <w:rsid w:val="00B04CA8"/>
    <w:rsid w:val="00B04DC7"/>
    <w:rsid w:val="00B04E6B"/>
    <w:rsid w:val="00B05071"/>
    <w:rsid w:val="00B050DA"/>
    <w:rsid w:val="00B050DC"/>
    <w:rsid w:val="00B050EB"/>
    <w:rsid w:val="00B05130"/>
    <w:rsid w:val="00B05426"/>
    <w:rsid w:val="00B05481"/>
    <w:rsid w:val="00B05512"/>
    <w:rsid w:val="00B05516"/>
    <w:rsid w:val="00B05528"/>
    <w:rsid w:val="00B055A8"/>
    <w:rsid w:val="00B05664"/>
    <w:rsid w:val="00B05A53"/>
    <w:rsid w:val="00B05B08"/>
    <w:rsid w:val="00B05BFE"/>
    <w:rsid w:val="00B05ED8"/>
    <w:rsid w:val="00B05FF4"/>
    <w:rsid w:val="00B05FF7"/>
    <w:rsid w:val="00B06003"/>
    <w:rsid w:val="00B0610A"/>
    <w:rsid w:val="00B06138"/>
    <w:rsid w:val="00B06140"/>
    <w:rsid w:val="00B06329"/>
    <w:rsid w:val="00B066A3"/>
    <w:rsid w:val="00B066E3"/>
    <w:rsid w:val="00B0685C"/>
    <w:rsid w:val="00B06914"/>
    <w:rsid w:val="00B06971"/>
    <w:rsid w:val="00B06A3F"/>
    <w:rsid w:val="00B06C7B"/>
    <w:rsid w:val="00B06C91"/>
    <w:rsid w:val="00B06CEF"/>
    <w:rsid w:val="00B06DC2"/>
    <w:rsid w:val="00B06DC3"/>
    <w:rsid w:val="00B06E4D"/>
    <w:rsid w:val="00B06FEE"/>
    <w:rsid w:val="00B07049"/>
    <w:rsid w:val="00B07141"/>
    <w:rsid w:val="00B07218"/>
    <w:rsid w:val="00B07252"/>
    <w:rsid w:val="00B07271"/>
    <w:rsid w:val="00B0728D"/>
    <w:rsid w:val="00B072D9"/>
    <w:rsid w:val="00B07535"/>
    <w:rsid w:val="00B07608"/>
    <w:rsid w:val="00B07644"/>
    <w:rsid w:val="00B0764D"/>
    <w:rsid w:val="00B0790D"/>
    <w:rsid w:val="00B07957"/>
    <w:rsid w:val="00B079F6"/>
    <w:rsid w:val="00B07E57"/>
    <w:rsid w:val="00B07F71"/>
    <w:rsid w:val="00B07FD8"/>
    <w:rsid w:val="00B100A3"/>
    <w:rsid w:val="00B101E4"/>
    <w:rsid w:val="00B10279"/>
    <w:rsid w:val="00B1038E"/>
    <w:rsid w:val="00B10489"/>
    <w:rsid w:val="00B104D8"/>
    <w:rsid w:val="00B10521"/>
    <w:rsid w:val="00B1055F"/>
    <w:rsid w:val="00B105AD"/>
    <w:rsid w:val="00B1062D"/>
    <w:rsid w:val="00B1068A"/>
    <w:rsid w:val="00B10739"/>
    <w:rsid w:val="00B10892"/>
    <w:rsid w:val="00B108CF"/>
    <w:rsid w:val="00B10983"/>
    <w:rsid w:val="00B109FD"/>
    <w:rsid w:val="00B10A76"/>
    <w:rsid w:val="00B10BD4"/>
    <w:rsid w:val="00B10C90"/>
    <w:rsid w:val="00B10CA3"/>
    <w:rsid w:val="00B10DAE"/>
    <w:rsid w:val="00B10E1A"/>
    <w:rsid w:val="00B10E8C"/>
    <w:rsid w:val="00B10F49"/>
    <w:rsid w:val="00B10F69"/>
    <w:rsid w:val="00B10F77"/>
    <w:rsid w:val="00B10FA2"/>
    <w:rsid w:val="00B11088"/>
    <w:rsid w:val="00B11092"/>
    <w:rsid w:val="00B11116"/>
    <w:rsid w:val="00B11167"/>
    <w:rsid w:val="00B111CA"/>
    <w:rsid w:val="00B1122C"/>
    <w:rsid w:val="00B112DF"/>
    <w:rsid w:val="00B113B2"/>
    <w:rsid w:val="00B11576"/>
    <w:rsid w:val="00B1166E"/>
    <w:rsid w:val="00B1177B"/>
    <w:rsid w:val="00B11848"/>
    <w:rsid w:val="00B119FC"/>
    <w:rsid w:val="00B11A81"/>
    <w:rsid w:val="00B11BBC"/>
    <w:rsid w:val="00B11D35"/>
    <w:rsid w:val="00B11DA4"/>
    <w:rsid w:val="00B11E72"/>
    <w:rsid w:val="00B11F94"/>
    <w:rsid w:val="00B120A4"/>
    <w:rsid w:val="00B12173"/>
    <w:rsid w:val="00B121F4"/>
    <w:rsid w:val="00B12292"/>
    <w:rsid w:val="00B123C4"/>
    <w:rsid w:val="00B1242A"/>
    <w:rsid w:val="00B12469"/>
    <w:rsid w:val="00B12502"/>
    <w:rsid w:val="00B125C3"/>
    <w:rsid w:val="00B1264E"/>
    <w:rsid w:val="00B12651"/>
    <w:rsid w:val="00B12862"/>
    <w:rsid w:val="00B12868"/>
    <w:rsid w:val="00B128F3"/>
    <w:rsid w:val="00B129D8"/>
    <w:rsid w:val="00B12B7F"/>
    <w:rsid w:val="00B12BFB"/>
    <w:rsid w:val="00B12DD9"/>
    <w:rsid w:val="00B12F17"/>
    <w:rsid w:val="00B13162"/>
    <w:rsid w:val="00B134BE"/>
    <w:rsid w:val="00B134C4"/>
    <w:rsid w:val="00B135A2"/>
    <w:rsid w:val="00B13654"/>
    <w:rsid w:val="00B13726"/>
    <w:rsid w:val="00B13812"/>
    <w:rsid w:val="00B1391A"/>
    <w:rsid w:val="00B13A72"/>
    <w:rsid w:val="00B13A82"/>
    <w:rsid w:val="00B13B8F"/>
    <w:rsid w:val="00B13BB1"/>
    <w:rsid w:val="00B13E60"/>
    <w:rsid w:val="00B13E74"/>
    <w:rsid w:val="00B13EC0"/>
    <w:rsid w:val="00B13ED4"/>
    <w:rsid w:val="00B13F83"/>
    <w:rsid w:val="00B13FDB"/>
    <w:rsid w:val="00B14061"/>
    <w:rsid w:val="00B140E8"/>
    <w:rsid w:val="00B1419A"/>
    <w:rsid w:val="00B141D4"/>
    <w:rsid w:val="00B142A2"/>
    <w:rsid w:val="00B142CD"/>
    <w:rsid w:val="00B142E8"/>
    <w:rsid w:val="00B1438B"/>
    <w:rsid w:val="00B146A1"/>
    <w:rsid w:val="00B14743"/>
    <w:rsid w:val="00B147A2"/>
    <w:rsid w:val="00B147CF"/>
    <w:rsid w:val="00B147F3"/>
    <w:rsid w:val="00B14820"/>
    <w:rsid w:val="00B14850"/>
    <w:rsid w:val="00B148EE"/>
    <w:rsid w:val="00B14918"/>
    <w:rsid w:val="00B1492A"/>
    <w:rsid w:val="00B14934"/>
    <w:rsid w:val="00B14957"/>
    <w:rsid w:val="00B14965"/>
    <w:rsid w:val="00B14C2B"/>
    <w:rsid w:val="00B14D0A"/>
    <w:rsid w:val="00B14D2E"/>
    <w:rsid w:val="00B14EB1"/>
    <w:rsid w:val="00B14ECE"/>
    <w:rsid w:val="00B14EE7"/>
    <w:rsid w:val="00B14FEF"/>
    <w:rsid w:val="00B1522B"/>
    <w:rsid w:val="00B15244"/>
    <w:rsid w:val="00B1530F"/>
    <w:rsid w:val="00B15351"/>
    <w:rsid w:val="00B15416"/>
    <w:rsid w:val="00B154D3"/>
    <w:rsid w:val="00B154F5"/>
    <w:rsid w:val="00B15661"/>
    <w:rsid w:val="00B157A4"/>
    <w:rsid w:val="00B15807"/>
    <w:rsid w:val="00B1591E"/>
    <w:rsid w:val="00B15995"/>
    <w:rsid w:val="00B1599C"/>
    <w:rsid w:val="00B15A50"/>
    <w:rsid w:val="00B15CA4"/>
    <w:rsid w:val="00B15E7E"/>
    <w:rsid w:val="00B15FCC"/>
    <w:rsid w:val="00B1605C"/>
    <w:rsid w:val="00B160FB"/>
    <w:rsid w:val="00B161FE"/>
    <w:rsid w:val="00B16270"/>
    <w:rsid w:val="00B162B5"/>
    <w:rsid w:val="00B162D6"/>
    <w:rsid w:val="00B1633A"/>
    <w:rsid w:val="00B163E4"/>
    <w:rsid w:val="00B165EC"/>
    <w:rsid w:val="00B16613"/>
    <w:rsid w:val="00B16859"/>
    <w:rsid w:val="00B1688C"/>
    <w:rsid w:val="00B16943"/>
    <w:rsid w:val="00B1695D"/>
    <w:rsid w:val="00B16965"/>
    <w:rsid w:val="00B1697E"/>
    <w:rsid w:val="00B169E2"/>
    <w:rsid w:val="00B169EC"/>
    <w:rsid w:val="00B16A28"/>
    <w:rsid w:val="00B16AC5"/>
    <w:rsid w:val="00B16AFA"/>
    <w:rsid w:val="00B16C5F"/>
    <w:rsid w:val="00B16D1E"/>
    <w:rsid w:val="00B16DE8"/>
    <w:rsid w:val="00B16DF3"/>
    <w:rsid w:val="00B16F1C"/>
    <w:rsid w:val="00B170C2"/>
    <w:rsid w:val="00B17185"/>
    <w:rsid w:val="00B171C1"/>
    <w:rsid w:val="00B1731B"/>
    <w:rsid w:val="00B17378"/>
    <w:rsid w:val="00B1742D"/>
    <w:rsid w:val="00B174B3"/>
    <w:rsid w:val="00B174EF"/>
    <w:rsid w:val="00B175A8"/>
    <w:rsid w:val="00B176CC"/>
    <w:rsid w:val="00B176D9"/>
    <w:rsid w:val="00B17814"/>
    <w:rsid w:val="00B178B5"/>
    <w:rsid w:val="00B1791C"/>
    <w:rsid w:val="00B179FD"/>
    <w:rsid w:val="00B17AB1"/>
    <w:rsid w:val="00B17B4A"/>
    <w:rsid w:val="00B17CA6"/>
    <w:rsid w:val="00B17CAB"/>
    <w:rsid w:val="00B17DDE"/>
    <w:rsid w:val="00B17DF2"/>
    <w:rsid w:val="00B17E7C"/>
    <w:rsid w:val="00B17EBF"/>
    <w:rsid w:val="00B17EE1"/>
    <w:rsid w:val="00B17F02"/>
    <w:rsid w:val="00B17F16"/>
    <w:rsid w:val="00B17F43"/>
    <w:rsid w:val="00B17F5A"/>
    <w:rsid w:val="00B17F5C"/>
    <w:rsid w:val="00B17F97"/>
    <w:rsid w:val="00B1AE3A"/>
    <w:rsid w:val="00B20103"/>
    <w:rsid w:val="00B2016D"/>
    <w:rsid w:val="00B204E6"/>
    <w:rsid w:val="00B206BD"/>
    <w:rsid w:val="00B20720"/>
    <w:rsid w:val="00B20742"/>
    <w:rsid w:val="00B20743"/>
    <w:rsid w:val="00B20842"/>
    <w:rsid w:val="00B2084E"/>
    <w:rsid w:val="00B208D6"/>
    <w:rsid w:val="00B20963"/>
    <w:rsid w:val="00B2096C"/>
    <w:rsid w:val="00B2099F"/>
    <w:rsid w:val="00B209B8"/>
    <w:rsid w:val="00B209F9"/>
    <w:rsid w:val="00B20A00"/>
    <w:rsid w:val="00B20ABD"/>
    <w:rsid w:val="00B20CAC"/>
    <w:rsid w:val="00B20E28"/>
    <w:rsid w:val="00B20EC1"/>
    <w:rsid w:val="00B2109D"/>
    <w:rsid w:val="00B210A6"/>
    <w:rsid w:val="00B2112E"/>
    <w:rsid w:val="00B21150"/>
    <w:rsid w:val="00B211C9"/>
    <w:rsid w:val="00B211DF"/>
    <w:rsid w:val="00B21237"/>
    <w:rsid w:val="00B2126E"/>
    <w:rsid w:val="00B214ED"/>
    <w:rsid w:val="00B215B0"/>
    <w:rsid w:val="00B21663"/>
    <w:rsid w:val="00B216FC"/>
    <w:rsid w:val="00B21726"/>
    <w:rsid w:val="00B2172B"/>
    <w:rsid w:val="00B21766"/>
    <w:rsid w:val="00B2176F"/>
    <w:rsid w:val="00B21871"/>
    <w:rsid w:val="00B2195A"/>
    <w:rsid w:val="00B21AB0"/>
    <w:rsid w:val="00B21BA2"/>
    <w:rsid w:val="00B21CAF"/>
    <w:rsid w:val="00B21E21"/>
    <w:rsid w:val="00B21F3D"/>
    <w:rsid w:val="00B220C7"/>
    <w:rsid w:val="00B22109"/>
    <w:rsid w:val="00B221BD"/>
    <w:rsid w:val="00B222FA"/>
    <w:rsid w:val="00B223FF"/>
    <w:rsid w:val="00B22472"/>
    <w:rsid w:val="00B2250C"/>
    <w:rsid w:val="00B2251B"/>
    <w:rsid w:val="00B22619"/>
    <w:rsid w:val="00B226B7"/>
    <w:rsid w:val="00B2272E"/>
    <w:rsid w:val="00B22883"/>
    <w:rsid w:val="00B228B0"/>
    <w:rsid w:val="00B22904"/>
    <w:rsid w:val="00B22C4C"/>
    <w:rsid w:val="00B22C52"/>
    <w:rsid w:val="00B22C56"/>
    <w:rsid w:val="00B22C86"/>
    <w:rsid w:val="00B22EE6"/>
    <w:rsid w:val="00B22F8B"/>
    <w:rsid w:val="00B23219"/>
    <w:rsid w:val="00B23236"/>
    <w:rsid w:val="00B232AD"/>
    <w:rsid w:val="00B23358"/>
    <w:rsid w:val="00B2338D"/>
    <w:rsid w:val="00B23525"/>
    <w:rsid w:val="00B23596"/>
    <w:rsid w:val="00B23629"/>
    <w:rsid w:val="00B236F6"/>
    <w:rsid w:val="00B23827"/>
    <w:rsid w:val="00B23917"/>
    <w:rsid w:val="00B23946"/>
    <w:rsid w:val="00B239E5"/>
    <w:rsid w:val="00B23A3D"/>
    <w:rsid w:val="00B23A51"/>
    <w:rsid w:val="00B23AB0"/>
    <w:rsid w:val="00B23BA2"/>
    <w:rsid w:val="00B23BF1"/>
    <w:rsid w:val="00B23C69"/>
    <w:rsid w:val="00B23D2F"/>
    <w:rsid w:val="00B23D3C"/>
    <w:rsid w:val="00B23E34"/>
    <w:rsid w:val="00B23E56"/>
    <w:rsid w:val="00B23E76"/>
    <w:rsid w:val="00B240FB"/>
    <w:rsid w:val="00B24292"/>
    <w:rsid w:val="00B24310"/>
    <w:rsid w:val="00B2432C"/>
    <w:rsid w:val="00B2433B"/>
    <w:rsid w:val="00B2469D"/>
    <w:rsid w:val="00B2477D"/>
    <w:rsid w:val="00B24894"/>
    <w:rsid w:val="00B2495D"/>
    <w:rsid w:val="00B24964"/>
    <w:rsid w:val="00B24A33"/>
    <w:rsid w:val="00B24A3A"/>
    <w:rsid w:val="00B24B78"/>
    <w:rsid w:val="00B24CC6"/>
    <w:rsid w:val="00B24D1E"/>
    <w:rsid w:val="00B24E27"/>
    <w:rsid w:val="00B24E96"/>
    <w:rsid w:val="00B24EB8"/>
    <w:rsid w:val="00B24F08"/>
    <w:rsid w:val="00B24F17"/>
    <w:rsid w:val="00B25077"/>
    <w:rsid w:val="00B251B3"/>
    <w:rsid w:val="00B251C9"/>
    <w:rsid w:val="00B251EB"/>
    <w:rsid w:val="00B25423"/>
    <w:rsid w:val="00B256B6"/>
    <w:rsid w:val="00B257DD"/>
    <w:rsid w:val="00B25961"/>
    <w:rsid w:val="00B25A17"/>
    <w:rsid w:val="00B25A7D"/>
    <w:rsid w:val="00B25BAA"/>
    <w:rsid w:val="00B25C90"/>
    <w:rsid w:val="00B25C95"/>
    <w:rsid w:val="00B25CE3"/>
    <w:rsid w:val="00B25D44"/>
    <w:rsid w:val="00B25E76"/>
    <w:rsid w:val="00B25F1C"/>
    <w:rsid w:val="00B25F75"/>
    <w:rsid w:val="00B25FAE"/>
    <w:rsid w:val="00B2604D"/>
    <w:rsid w:val="00B261A5"/>
    <w:rsid w:val="00B261CC"/>
    <w:rsid w:val="00B261CD"/>
    <w:rsid w:val="00B26207"/>
    <w:rsid w:val="00B262D1"/>
    <w:rsid w:val="00B262FB"/>
    <w:rsid w:val="00B26342"/>
    <w:rsid w:val="00B263B4"/>
    <w:rsid w:val="00B2650A"/>
    <w:rsid w:val="00B26626"/>
    <w:rsid w:val="00B26672"/>
    <w:rsid w:val="00B2684F"/>
    <w:rsid w:val="00B26872"/>
    <w:rsid w:val="00B26A22"/>
    <w:rsid w:val="00B26AC4"/>
    <w:rsid w:val="00B26B42"/>
    <w:rsid w:val="00B26C2A"/>
    <w:rsid w:val="00B26C3E"/>
    <w:rsid w:val="00B26C9B"/>
    <w:rsid w:val="00B26C9C"/>
    <w:rsid w:val="00B26D01"/>
    <w:rsid w:val="00B26DF8"/>
    <w:rsid w:val="00B26E29"/>
    <w:rsid w:val="00B26F69"/>
    <w:rsid w:val="00B271E4"/>
    <w:rsid w:val="00B27283"/>
    <w:rsid w:val="00B273AA"/>
    <w:rsid w:val="00B27468"/>
    <w:rsid w:val="00B274FD"/>
    <w:rsid w:val="00B27514"/>
    <w:rsid w:val="00B27535"/>
    <w:rsid w:val="00B275C9"/>
    <w:rsid w:val="00B276E4"/>
    <w:rsid w:val="00B27777"/>
    <w:rsid w:val="00B27865"/>
    <w:rsid w:val="00B27866"/>
    <w:rsid w:val="00B279A7"/>
    <w:rsid w:val="00B279AF"/>
    <w:rsid w:val="00B27A3D"/>
    <w:rsid w:val="00B27A67"/>
    <w:rsid w:val="00B27B2E"/>
    <w:rsid w:val="00B27C21"/>
    <w:rsid w:val="00B27C3B"/>
    <w:rsid w:val="00B27CC2"/>
    <w:rsid w:val="00B27D43"/>
    <w:rsid w:val="00B27DFB"/>
    <w:rsid w:val="00B27E17"/>
    <w:rsid w:val="00B27EDD"/>
    <w:rsid w:val="00B300CC"/>
    <w:rsid w:val="00B300F6"/>
    <w:rsid w:val="00B3019E"/>
    <w:rsid w:val="00B3039C"/>
    <w:rsid w:val="00B303CD"/>
    <w:rsid w:val="00B30537"/>
    <w:rsid w:val="00B30629"/>
    <w:rsid w:val="00B3070C"/>
    <w:rsid w:val="00B30722"/>
    <w:rsid w:val="00B3089E"/>
    <w:rsid w:val="00B3095F"/>
    <w:rsid w:val="00B30982"/>
    <w:rsid w:val="00B30A4D"/>
    <w:rsid w:val="00B30A55"/>
    <w:rsid w:val="00B30BFB"/>
    <w:rsid w:val="00B30D9A"/>
    <w:rsid w:val="00B30DA1"/>
    <w:rsid w:val="00B30E5C"/>
    <w:rsid w:val="00B30E8B"/>
    <w:rsid w:val="00B30EEB"/>
    <w:rsid w:val="00B30FBA"/>
    <w:rsid w:val="00B3101A"/>
    <w:rsid w:val="00B3103F"/>
    <w:rsid w:val="00B310A7"/>
    <w:rsid w:val="00B311BC"/>
    <w:rsid w:val="00B311F4"/>
    <w:rsid w:val="00B3121C"/>
    <w:rsid w:val="00B31230"/>
    <w:rsid w:val="00B31261"/>
    <w:rsid w:val="00B31299"/>
    <w:rsid w:val="00B31371"/>
    <w:rsid w:val="00B31398"/>
    <w:rsid w:val="00B3144B"/>
    <w:rsid w:val="00B31541"/>
    <w:rsid w:val="00B31626"/>
    <w:rsid w:val="00B31651"/>
    <w:rsid w:val="00B3199B"/>
    <w:rsid w:val="00B31BC2"/>
    <w:rsid w:val="00B31C76"/>
    <w:rsid w:val="00B31D70"/>
    <w:rsid w:val="00B31DC0"/>
    <w:rsid w:val="00B31E22"/>
    <w:rsid w:val="00B31E24"/>
    <w:rsid w:val="00B31F12"/>
    <w:rsid w:val="00B31FB1"/>
    <w:rsid w:val="00B31FEC"/>
    <w:rsid w:val="00B32090"/>
    <w:rsid w:val="00B320CD"/>
    <w:rsid w:val="00B321E4"/>
    <w:rsid w:val="00B3224C"/>
    <w:rsid w:val="00B32256"/>
    <w:rsid w:val="00B3237B"/>
    <w:rsid w:val="00B3249C"/>
    <w:rsid w:val="00B324A6"/>
    <w:rsid w:val="00B32576"/>
    <w:rsid w:val="00B325E6"/>
    <w:rsid w:val="00B32932"/>
    <w:rsid w:val="00B32A13"/>
    <w:rsid w:val="00B32A23"/>
    <w:rsid w:val="00B32A88"/>
    <w:rsid w:val="00B32B16"/>
    <w:rsid w:val="00B32BBD"/>
    <w:rsid w:val="00B32C93"/>
    <w:rsid w:val="00B32D7B"/>
    <w:rsid w:val="00B32D86"/>
    <w:rsid w:val="00B32DC7"/>
    <w:rsid w:val="00B32E47"/>
    <w:rsid w:val="00B32E4E"/>
    <w:rsid w:val="00B32EE5"/>
    <w:rsid w:val="00B3312B"/>
    <w:rsid w:val="00B33190"/>
    <w:rsid w:val="00B333F4"/>
    <w:rsid w:val="00B3345F"/>
    <w:rsid w:val="00B3356C"/>
    <w:rsid w:val="00B336E9"/>
    <w:rsid w:val="00B3372D"/>
    <w:rsid w:val="00B33832"/>
    <w:rsid w:val="00B33924"/>
    <w:rsid w:val="00B33BC5"/>
    <w:rsid w:val="00B33CA1"/>
    <w:rsid w:val="00B33CA8"/>
    <w:rsid w:val="00B33E3B"/>
    <w:rsid w:val="00B34074"/>
    <w:rsid w:val="00B341C2"/>
    <w:rsid w:val="00B341C3"/>
    <w:rsid w:val="00B343B7"/>
    <w:rsid w:val="00B345BA"/>
    <w:rsid w:val="00B34640"/>
    <w:rsid w:val="00B346C1"/>
    <w:rsid w:val="00B3472A"/>
    <w:rsid w:val="00B34752"/>
    <w:rsid w:val="00B3476C"/>
    <w:rsid w:val="00B34773"/>
    <w:rsid w:val="00B34774"/>
    <w:rsid w:val="00B347C7"/>
    <w:rsid w:val="00B3486D"/>
    <w:rsid w:val="00B3488B"/>
    <w:rsid w:val="00B34A77"/>
    <w:rsid w:val="00B34B7C"/>
    <w:rsid w:val="00B34BD0"/>
    <w:rsid w:val="00B34D2F"/>
    <w:rsid w:val="00B34D40"/>
    <w:rsid w:val="00B34E11"/>
    <w:rsid w:val="00B34EFF"/>
    <w:rsid w:val="00B34F51"/>
    <w:rsid w:val="00B3500D"/>
    <w:rsid w:val="00B35116"/>
    <w:rsid w:val="00B351E8"/>
    <w:rsid w:val="00B353DE"/>
    <w:rsid w:val="00B3547A"/>
    <w:rsid w:val="00B35536"/>
    <w:rsid w:val="00B3554F"/>
    <w:rsid w:val="00B35663"/>
    <w:rsid w:val="00B3577E"/>
    <w:rsid w:val="00B357DC"/>
    <w:rsid w:val="00B35964"/>
    <w:rsid w:val="00B359AB"/>
    <w:rsid w:val="00B35A1B"/>
    <w:rsid w:val="00B35A24"/>
    <w:rsid w:val="00B35AA4"/>
    <w:rsid w:val="00B35ADF"/>
    <w:rsid w:val="00B35AF0"/>
    <w:rsid w:val="00B35B0A"/>
    <w:rsid w:val="00B35B8A"/>
    <w:rsid w:val="00B35C01"/>
    <w:rsid w:val="00B35C39"/>
    <w:rsid w:val="00B35C67"/>
    <w:rsid w:val="00B35E74"/>
    <w:rsid w:val="00B35E9E"/>
    <w:rsid w:val="00B35F8C"/>
    <w:rsid w:val="00B35FEF"/>
    <w:rsid w:val="00B36017"/>
    <w:rsid w:val="00B360B3"/>
    <w:rsid w:val="00B36102"/>
    <w:rsid w:val="00B3612F"/>
    <w:rsid w:val="00B361E9"/>
    <w:rsid w:val="00B36203"/>
    <w:rsid w:val="00B3623E"/>
    <w:rsid w:val="00B363FB"/>
    <w:rsid w:val="00B36517"/>
    <w:rsid w:val="00B365A7"/>
    <w:rsid w:val="00B365C7"/>
    <w:rsid w:val="00B365CB"/>
    <w:rsid w:val="00B36665"/>
    <w:rsid w:val="00B366CE"/>
    <w:rsid w:val="00B3696D"/>
    <w:rsid w:val="00B36A2F"/>
    <w:rsid w:val="00B36BAB"/>
    <w:rsid w:val="00B36BAD"/>
    <w:rsid w:val="00B36C8B"/>
    <w:rsid w:val="00B36D2B"/>
    <w:rsid w:val="00B36D2D"/>
    <w:rsid w:val="00B36D2F"/>
    <w:rsid w:val="00B36D53"/>
    <w:rsid w:val="00B36E44"/>
    <w:rsid w:val="00B36E6D"/>
    <w:rsid w:val="00B36F79"/>
    <w:rsid w:val="00B36FF2"/>
    <w:rsid w:val="00B3707F"/>
    <w:rsid w:val="00B370BA"/>
    <w:rsid w:val="00B3727A"/>
    <w:rsid w:val="00B3743A"/>
    <w:rsid w:val="00B37505"/>
    <w:rsid w:val="00B37510"/>
    <w:rsid w:val="00B3757B"/>
    <w:rsid w:val="00B375FF"/>
    <w:rsid w:val="00B377DB"/>
    <w:rsid w:val="00B37804"/>
    <w:rsid w:val="00B3794D"/>
    <w:rsid w:val="00B37ACF"/>
    <w:rsid w:val="00B37C0A"/>
    <w:rsid w:val="00B37C9E"/>
    <w:rsid w:val="00B37D73"/>
    <w:rsid w:val="00B4007D"/>
    <w:rsid w:val="00B4017B"/>
    <w:rsid w:val="00B40235"/>
    <w:rsid w:val="00B4028D"/>
    <w:rsid w:val="00B40292"/>
    <w:rsid w:val="00B4061A"/>
    <w:rsid w:val="00B40651"/>
    <w:rsid w:val="00B40741"/>
    <w:rsid w:val="00B40990"/>
    <w:rsid w:val="00B409DF"/>
    <w:rsid w:val="00B40A01"/>
    <w:rsid w:val="00B40A4E"/>
    <w:rsid w:val="00B40AB9"/>
    <w:rsid w:val="00B40BDE"/>
    <w:rsid w:val="00B40CE3"/>
    <w:rsid w:val="00B40EE7"/>
    <w:rsid w:val="00B40F6A"/>
    <w:rsid w:val="00B40F7C"/>
    <w:rsid w:val="00B40FD8"/>
    <w:rsid w:val="00B41058"/>
    <w:rsid w:val="00B4108B"/>
    <w:rsid w:val="00B41105"/>
    <w:rsid w:val="00B411AC"/>
    <w:rsid w:val="00B411FE"/>
    <w:rsid w:val="00B4122C"/>
    <w:rsid w:val="00B4122F"/>
    <w:rsid w:val="00B41289"/>
    <w:rsid w:val="00B41331"/>
    <w:rsid w:val="00B4136D"/>
    <w:rsid w:val="00B41439"/>
    <w:rsid w:val="00B4160C"/>
    <w:rsid w:val="00B41623"/>
    <w:rsid w:val="00B416F0"/>
    <w:rsid w:val="00B4173A"/>
    <w:rsid w:val="00B41817"/>
    <w:rsid w:val="00B41889"/>
    <w:rsid w:val="00B418FD"/>
    <w:rsid w:val="00B4190B"/>
    <w:rsid w:val="00B419AC"/>
    <w:rsid w:val="00B419AD"/>
    <w:rsid w:val="00B41B3C"/>
    <w:rsid w:val="00B41BEF"/>
    <w:rsid w:val="00B41D09"/>
    <w:rsid w:val="00B41E6A"/>
    <w:rsid w:val="00B41EA2"/>
    <w:rsid w:val="00B41EAA"/>
    <w:rsid w:val="00B41ED1"/>
    <w:rsid w:val="00B41F13"/>
    <w:rsid w:val="00B42099"/>
    <w:rsid w:val="00B423B3"/>
    <w:rsid w:val="00B423EC"/>
    <w:rsid w:val="00B424CD"/>
    <w:rsid w:val="00B425D0"/>
    <w:rsid w:val="00B4266F"/>
    <w:rsid w:val="00B42744"/>
    <w:rsid w:val="00B42765"/>
    <w:rsid w:val="00B427E8"/>
    <w:rsid w:val="00B427F7"/>
    <w:rsid w:val="00B42893"/>
    <w:rsid w:val="00B428D7"/>
    <w:rsid w:val="00B42986"/>
    <w:rsid w:val="00B42A3C"/>
    <w:rsid w:val="00B42AA7"/>
    <w:rsid w:val="00B42B61"/>
    <w:rsid w:val="00B42CE8"/>
    <w:rsid w:val="00B42D57"/>
    <w:rsid w:val="00B42E63"/>
    <w:rsid w:val="00B42ED9"/>
    <w:rsid w:val="00B42F44"/>
    <w:rsid w:val="00B42FEE"/>
    <w:rsid w:val="00B4330E"/>
    <w:rsid w:val="00B433BA"/>
    <w:rsid w:val="00B43721"/>
    <w:rsid w:val="00B437B3"/>
    <w:rsid w:val="00B43809"/>
    <w:rsid w:val="00B43925"/>
    <w:rsid w:val="00B43CD4"/>
    <w:rsid w:val="00B43D48"/>
    <w:rsid w:val="00B43D8C"/>
    <w:rsid w:val="00B43DF0"/>
    <w:rsid w:val="00B43EAC"/>
    <w:rsid w:val="00B4404B"/>
    <w:rsid w:val="00B44096"/>
    <w:rsid w:val="00B4421B"/>
    <w:rsid w:val="00B4426C"/>
    <w:rsid w:val="00B4429C"/>
    <w:rsid w:val="00B4433B"/>
    <w:rsid w:val="00B4445E"/>
    <w:rsid w:val="00B44569"/>
    <w:rsid w:val="00B4461A"/>
    <w:rsid w:val="00B44659"/>
    <w:rsid w:val="00B44865"/>
    <w:rsid w:val="00B4493E"/>
    <w:rsid w:val="00B44947"/>
    <w:rsid w:val="00B44C26"/>
    <w:rsid w:val="00B44C2F"/>
    <w:rsid w:val="00B44C54"/>
    <w:rsid w:val="00B44CE0"/>
    <w:rsid w:val="00B44CF2"/>
    <w:rsid w:val="00B44D8A"/>
    <w:rsid w:val="00B44DEE"/>
    <w:rsid w:val="00B44E5B"/>
    <w:rsid w:val="00B44EE8"/>
    <w:rsid w:val="00B44EFF"/>
    <w:rsid w:val="00B44FCD"/>
    <w:rsid w:val="00B450F5"/>
    <w:rsid w:val="00B4511C"/>
    <w:rsid w:val="00B4514C"/>
    <w:rsid w:val="00B451E3"/>
    <w:rsid w:val="00B45200"/>
    <w:rsid w:val="00B452B1"/>
    <w:rsid w:val="00B452C5"/>
    <w:rsid w:val="00B453D9"/>
    <w:rsid w:val="00B45481"/>
    <w:rsid w:val="00B4548E"/>
    <w:rsid w:val="00B454C6"/>
    <w:rsid w:val="00B454E7"/>
    <w:rsid w:val="00B457B8"/>
    <w:rsid w:val="00B457F3"/>
    <w:rsid w:val="00B4585F"/>
    <w:rsid w:val="00B4591D"/>
    <w:rsid w:val="00B459BB"/>
    <w:rsid w:val="00B459FB"/>
    <w:rsid w:val="00B45BDA"/>
    <w:rsid w:val="00B45CF0"/>
    <w:rsid w:val="00B45D1A"/>
    <w:rsid w:val="00B45ED0"/>
    <w:rsid w:val="00B46015"/>
    <w:rsid w:val="00B46033"/>
    <w:rsid w:val="00B4608E"/>
    <w:rsid w:val="00B460DF"/>
    <w:rsid w:val="00B46118"/>
    <w:rsid w:val="00B46178"/>
    <w:rsid w:val="00B46193"/>
    <w:rsid w:val="00B461BF"/>
    <w:rsid w:val="00B46421"/>
    <w:rsid w:val="00B46456"/>
    <w:rsid w:val="00B46468"/>
    <w:rsid w:val="00B464DB"/>
    <w:rsid w:val="00B4651C"/>
    <w:rsid w:val="00B4656D"/>
    <w:rsid w:val="00B466D0"/>
    <w:rsid w:val="00B466EE"/>
    <w:rsid w:val="00B46751"/>
    <w:rsid w:val="00B46774"/>
    <w:rsid w:val="00B469B0"/>
    <w:rsid w:val="00B46A73"/>
    <w:rsid w:val="00B46A78"/>
    <w:rsid w:val="00B46BC4"/>
    <w:rsid w:val="00B46C3E"/>
    <w:rsid w:val="00B46E2A"/>
    <w:rsid w:val="00B46F36"/>
    <w:rsid w:val="00B4709B"/>
    <w:rsid w:val="00B47348"/>
    <w:rsid w:val="00B4734A"/>
    <w:rsid w:val="00B474B7"/>
    <w:rsid w:val="00B474B8"/>
    <w:rsid w:val="00B47569"/>
    <w:rsid w:val="00B475F1"/>
    <w:rsid w:val="00B477F1"/>
    <w:rsid w:val="00B4781F"/>
    <w:rsid w:val="00B4793B"/>
    <w:rsid w:val="00B47A65"/>
    <w:rsid w:val="00B47AE0"/>
    <w:rsid w:val="00B47AFC"/>
    <w:rsid w:val="00B47B0E"/>
    <w:rsid w:val="00B47C3E"/>
    <w:rsid w:val="00B47DC0"/>
    <w:rsid w:val="00B47E37"/>
    <w:rsid w:val="00B47E3D"/>
    <w:rsid w:val="00B47E47"/>
    <w:rsid w:val="00B47F9A"/>
    <w:rsid w:val="00B47FFC"/>
    <w:rsid w:val="00B50061"/>
    <w:rsid w:val="00B50097"/>
    <w:rsid w:val="00B50129"/>
    <w:rsid w:val="00B50181"/>
    <w:rsid w:val="00B502B5"/>
    <w:rsid w:val="00B503F2"/>
    <w:rsid w:val="00B5045A"/>
    <w:rsid w:val="00B50570"/>
    <w:rsid w:val="00B50577"/>
    <w:rsid w:val="00B505EA"/>
    <w:rsid w:val="00B5064C"/>
    <w:rsid w:val="00B506B1"/>
    <w:rsid w:val="00B50738"/>
    <w:rsid w:val="00B50814"/>
    <w:rsid w:val="00B50A99"/>
    <w:rsid w:val="00B50AD3"/>
    <w:rsid w:val="00B50ADA"/>
    <w:rsid w:val="00B50BBB"/>
    <w:rsid w:val="00B50C1D"/>
    <w:rsid w:val="00B50CAA"/>
    <w:rsid w:val="00B50D41"/>
    <w:rsid w:val="00B50F64"/>
    <w:rsid w:val="00B50FAF"/>
    <w:rsid w:val="00B51036"/>
    <w:rsid w:val="00B510B3"/>
    <w:rsid w:val="00B51118"/>
    <w:rsid w:val="00B51167"/>
    <w:rsid w:val="00B511F3"/>
    <w:rsid w:val="00B51247"/>
    <w:rsid w:val="00B5135C"/>
    <w:rsid w:val="00B513DE"/>
    <w:rsid w:val="00B51503"/>
    <w:rsid w:val="00B5152E"/>
    <w:rsid w:val="00B5157F"/>
    <w:rsid w:val="00B515DF"/>
    <w:rsid w:val="00B5165C"/>
    <w:rsid w:val="00B517E9"/>
    <w:rsid w:val="00B517F3"/>
    <w:rsid w:val="00B51AAE"/>
    <w:rsid w:val="00B51AED"/>
    <w:rsid w:val="00B51B44"/>
    <w:rsid w:val="00B51B8E"/>
    <w:rsid w:val="00B51B9E"/>
    <w:rsid w:val="00B51C50"/>
    <w:rsid w:val="00B51C94"/>
    <w:rsid w:val="00B51D47"/>
    <w:rsid w:val="00B51DA9"/>
    <w:rsid w:val="00B520A5"/>
    <w:rsid w:val="00B522A1"/>
    <w:rsid w:val="00B522BF"/>
    <w:rsid w:val="00B522E8"/>
    <w:rsid w:val="00B52407"/>
    <w:rsid w:val="00B52433"/>
    <w:rsid w:val="00B527BE"/>
    <w:rsid w:val="00B529A3"/>
    <w:rsid w:val="00B529F2"/>
    <w:rsid w:val="00B52A54"/>
    <w:rsid w:val="00B52A75"/>
    <w:rsid w:val="00B52AB4"/>
    <w:rsid w:val="00B52AF7"/>
    <w:rsid w:val="00B52B19"/>
    <w:rsid w:val="00B52C42"/>
    <w:rsid w:val="00B52C86"/>
    <w:rsid w:val="00B52CC7"/>
    <w:rsid w:val="00B52D09"/>
    <w:rsid w:val="00B52E93"/>
    <w:rsid w:val="00B52EEC"/>
    <w:rsid w:val="00B52F8F"/>
    <w:rsid w:val="00B53007"/>
    <w:rsid w:val="00B53187"/>
    <w:rsid w:val="00B532B6"/>
    <w:rsid w:val="00B53325"/>
    <w:rsid w:val="00B53539"/>
    <w:rsid w:val="00B535AD"/>
    <w:rsid w:val="00B53688"/>
    <w:rsid w:val="00B537C0"/>
    <w:rsid w:val="00B53823"/>
    <w:rsid w:val="00B53896"/>
    <w:rsid w:val="00B538E6"/>
    <w:rsid w:val="00B53908"/>
    <w:rsid w:val="00B53A3A"/>
    <w:rsid w:val="00B53A89"/>
    <w:rsid w:val="00B53C5D"/>
    <w:rsid w:val="00B53D29"/>
    <w:rsid w:val="00B53D73"/>
    <w:rsid w:val="00B53E14"/>
    <w:rsid w:val="00B53E93"/>
    <w:rsid w:val="00B53F07"/>
    <w:rsid w:val="00B53F14"/>
    <w:rsid w:val="00B540F1"/>
    <w:rsid w:val="00B54134"/>
    <w:rsid w:val="00B541CC"/>
    <w:rsid w:val="00B54216"/>
    <w:rsid w:val="00B54224"/>
    <w:rsid w:val="00B54253"/>
    <w:rsid w:val="00B54273"/>
    <w:rsid w:val="00B5428C"/>
    <w:rsid w:val="00B54296"/>
    <w:rsid w:val="00B542E5"/>
    <w:rsid w:val="00B54353"/>
    <w:rsid w:val="00B543B6"/>
    <w:rsid w:val="00B54536"/>
    <w:rsid w:val="00B5461F"/>
    <w:rsid w:val="00B5466C"/>
    <w:rsid w:val="00B546AE"/>
    <w:rsid w:val="00B546FB"/>
    <w:rsid w:val="00B548D0"/>
    <w:rsid w:val="00B54971"/>
    <w:rsid w:val="00B549CE"/>
    <w:rsid w:val="00B54BCF"/>
    <w:rsid w:val="00B54CB0"/>
    <w:rsid w:val="00B54CF1"/>
    <w:rsid w:val="00B54D35"/>
    <w:rsid w:val="00B54FD9"/>
    <w:rsid w:val="00B550D9"/>
    <w:rsid w:val="00B551DB"/>
    <w:rsid w:val="00B55226"/>
    <w:rsid w:val="00B5522C"/>
    <w:rsid w:val="00B5524A"/>
    <w:rsid w:val="00B55339"/>
    <w:rsid w:val="00B55378"/>
    <w:rsid w:val="00B5540F"/>
    <w:rsid w:val="00B55438"/>
    <w:rsid w:val="00B55441"/>
    <w:rsid w:val="00B555D2"/>
    <w:rsid w:val="00B5597D"/>
    <w:rsid w:val="00B55995"/>
    <w:rsid w:val="00B559C3"/>
    <w:rsid w:val="00B55A0E"/>
    <w:rsid w:val="00B55ADE"/>
    <w:rsid w:val="00B55B4D"/>
    <w:rsid w:val="00B55B51"/>
    <w:rsid w:val="00B55DA4"/>
    <w:rsid w:val="00B55DC7"/>
    <w:rsid w:val="00B55DDB"/>
    <w:rsid w:val="00B55E93"/>
    <w:rsid w:val="00B55EED"/>
    <w:rsid w:val="00B55F04"/>
    <w:rsid w:val="00B56037"/>
    <w:rsid w:val="00B56045"/>
    <w:rsid w:val="00B56047"/>
    <w:rsid w:val="00B560E3"/>
    <w:rsid w:val="00B56111"/>
    <w:rsid w:val="00B561DD"/>
    <w:rsid w:val="00B56235"/>
    <w:rsid w:val="00B5632A"/>
    <w:rsid w:val="00B5632F"/>
    <w:rsid w:val="00B5643C"/>
    <w:rsid w:val="00B565CE"/>
    <w:rsid w:val="00B56601"/>
    <w:rsid w:val="00B56665"/>
    <w:rsid w:val="00B567B9"/>
    <w:rsid w:val="00B56827"/>
    <w:rsid w:val="00B56892"/>
    <w:rsid w:val="00B56A75"/>
    <w:rsid w:val="00B56AFF"/>
    <w:rsid w:val="00B56B30"/>
    <w:rsid w:val="00B56B8D"/>
    <w:rsid w:val="00B56C1F"/>
    <w:rsid w:val="00B56C5F"/>
    <w:rsid w:val="00B56CDC"/>
    <w:rsid w:val="00B56D4E"/>
    <w:rsid w:val="00B56DF3"/>
    <w:rsid w:val="00B56E2A"/>
    <w:rsid w:val="00B56E2B"/>
    <w:rsid w:val="00B56F3E"/>
    <w:rsid w:val="00B56F60"/>
    <w:rsid w:val="00B56F6C"/>
    <w:rsid w:val="00B5712B"/>
    <w:rsid w:val="00B57162"/>
    <w:rsid w:val="00B57188"/>
    <w:rsid w:val="00B5737B"/>
    <w:rsid w:val="00B573CD"/>
    <w:rsid w:val="00B57530"/>
    <w:rsid w:val="00B5756C"/>
    <w:rsid w:val="00B575A6"/>
    <w:rsid w:val="00B57626"/>
    <w:rsid w:val="00B57782"/>
    <w:rsid w:val="00B577A3"/>
    <w:rsid w:val="00B577BA"/>
    <w:rsid w:val="00B57940"/>
    <w:rsid w:val="00B57AFB"/>
    <w:rsid w:val="00B57B0B"/>
    <w:rsid w:val="00B57BDC"/>
    <w:rsid w:val="00B57C65"/>
    <w:rsid w:val="00B57D53"/>
    <w:rsid w:val="00B57DCF"/>
    <w:rsid w:val="00B57E10"/>
    <w:rsid w:val="00B57E9E"/>
    <w:rsid w:val="00B57FBB"/>
    <w:rsid w:val="00B60055"/>
    <w:rsid w:val="00B60142"/>
    <w:rsid w:val="00B6014F"/>
    <w:rsid w:val="00B60188"/>
    <w:rsid w:val="00B60195"/>
    <w:rsid w:val="00B601C7"/>
    <w:rsid w:val="00B60380"/>
    <w:rsid w:val="00B6046F"/>
    <w:rsid w:val="00B606F5"/>
    <w:rsid w:val="00B6073C"/>
    <w:rsid w:val="00B60752"/>
    <w:rsid w:val="00B608BB"/>
    <w:rsid w:val="00B609DE"/>
    <w:rsid w:val="00B60BB5"/>
    <w:rsid w:val="00B60BFA"/>
    <w:rsid w:val="00B60C35"/>
    <w:rsid w:val="00B60DAD"/>
    <w:rsid w:val="00B60E3C"/>
    <w:rsid w:val="00B60F2F"/>
    <w:rsid w:val="00B60F61"/>
    <w:rsid w:val="00B61236"/>
    <w:rsid w:val="00B61411"/>
    <w:rsid w:val="00B615A8"/>
    <w:rsid w:val="00B616ED"/>
    <w:rsid w:val="00B6173E"/>
    <w:rsid w:val="00B61904"/>
    <w:rsid w:val="00B61B4F"/>
    <w:rsid w:val="00B61CEB"/>
    <w:rsid w:val="00B61E2E"/>
    <w:rsid w:val="00B61E48"/>
    <w:rsid w:val="00B61F28"/>
    <w:rsid w:val="00B61FC3"/>
    <w:rsid w:val="00B620A4"/>
    <w:rsid w:val="00B620E7"/>
    <w:rsid w:val="00B6221F"/>
    <w:rsid w:val="00B622C1"/>
    <w:rsid w:val="00B62349"/>
    <w:rsid w:val="00B62430"/>
    <w:rsid w:val="00B6248C"/>
    <w:rsid w:val="00B624EF"/>
    <w:rsid w:val="00B626B6"/>
    <w:rsid w:val="00B626BA"/>
    <w:rsid w:val="00B627FB"/>
    <w:rsid w:val="00B6283E"/>
    <w:rsid w:val="00B62898"/>
    <w:rsid w:val="00B628AF"/>
    <w:rsid w:val="00B628BA"/>
    <w:rsid w:val="00B628CD"/>
    <w:rsid w:val="00B6297D"/>
    <w:rsid w:val="00B62A58"/>
    <w:rsid w:val="00B62C3C"/>
    <w:rsid w:val="00B62C87"/>
    <w:rsid w:val="00B62C9B"/>
    <w:rsid w:val="00B62D35"/>
    <w:rsid w:val="00B62E43"/>
    <w:rsid w:val="00B62F14"/>
    <w:rsid w:val="00B62F2A"/>
    <w:rsid w:val="00B62F55"/>
    <w:rsid w:val="00B62F69"/>
    <w:rsid w:val="00B62FDF"/>
    <w:rsid w:val="00B63045"/>
    <w:rsid w:val="00B63062"/>
    <w:rsid w:val="00B63130"/>
    <w:rsid w:val="00B63180"/>
    <w:rsid w:val="00B631AB"/>
    <w:rsid w:val="00B6334D"/>
    <w:rsid w:val="00B633CC"/>
    <w:rsid w:val="00B635E3"/>
    <w:rsid w:val="00B63606"/>
    <w:rsid w:val="00B636EA"/>
    <w:rsid w:val="00B6379E"/>
    <w:rsid w:val="00B6383D"/>
    <w:rsid w:val="00B638C7"/>
    <w:rsid w:val="00B639D2"/>
    <w:rsid w:val="00B63B20"/>
    <w:rsid w:val="00B63B99"/>
    <w:rsid w:val="00B63BA1"/>
    <w:rsid w:val="00B63C9C"/>
    <w:rsid w:val="00B63E2F"/>
    <w:rsid w:val="00B63F62"/>
    <w:rsid w:val="00B63FB0"/>
    <w:rsid w:val="00B63FEE"/>
    <w:rsid w:val="00B64087"/>
    <w:rsid w:val="00B6409D"/>
    <w:rsid w:val="00B640B4"/>
    <w:rsid w:val="00B640FC"/>
    <w:rsid w:val="00B64173"/>
    <w:rsid w:val="00B64284"/>
    <w:rsid w:val="00B642B9"/>
    <w:rsid w:val="00B64649"/>
    <w:rsid w:val="00B6469B"/>
    <w:rsid w:val="00B6473C"/>
    <w:rsid w:val="00B64881"/>
    <w:rsid w:val="00B648AC"/>
    <w:rsid w:val="00B648CF"/>
    <w:rsid w:val="00B6498F"/>
    <w:rsid w:val="00B64B11"/>
    <w:rsid w:val="00B64B57"/>
    <w:rsid w:val="00B64B5C"/>
    <w:rsid w:val="00B64C9F"/>
    <w:rsid w:val="00B64E5A"/>
    <w:rsid w:val="00B64EC3"/>
    <w:rsid w:val="00B64F41"/>
    <w:rsid w:val="00B65017"/>
    <w:rsid w:val="00B6501F"/>
    <w:rsid w:val="00B6513F"/>
    <w:rsid w:val="00B65169"/>
    <w:rsid w:val="00B65273"/>
    <w:rsid w:val="00B65425"/>
    <w:rsid w:val="00B65847"/>
    <w:rsid w:val="00B658F5"/>
    <w:rsid w:val="00B65972"/>
    <w:rsid w:val="00B65AE5"/>
    <w:rsid w:val="00B65AE8"/>
    <w:rsid w:val="00B65BA0"/>
    <w:rsid w:val="00B65D60"/>
    <w:rsid w:val="00B65D93"/>
    <w:rsid w:val="00B65E0B"/>
    <w:rsid w:val="00B65FB3"/>
    <w:rsid w:val="00B65FB9"/>
    <w:rsid w:val="00B66168"/>
    <w:rsid w:val="00B66180"/>
    <w:rsid w:val="00B66243"/>
    <w:rsid w:val="00B66485"/>
    <w:rsid w:val="00B664A1"/>
    <w:rsid w:val="00B6655B"/>
    <w:rsid w:val="00B66762"/>
    <w:rsid w:val="00B668B9"/>
    <w:rsid w:val="00B6696E"/>
    <w:rsid w:val="00B66A03"/>
    <w:rsid w:val="00B66AB4"/>
    <w:rsid w:val="00B66B5B"/>
    <w:rsid w:val="00B66B8D"/>
    <w:rsid w:val="00B66DD7"/>
    <w:rsid w:val="00B66EAD"/>
    <w:rsid w:val="00B66EF3"/>
    <w:rsid w:val="00B67061"/>
    <w:rsid w:val="00B67078"/>
    <w:rsid w:val="00B67091"/>
    <w:rsid w:val="00B67150"/>
    <w:rsid w:val="00B67161"/>
    <w:rsid w:val="00B6723C"/>
    <w:rsid w:val="00B67269"/>
    <w:rsid w:val="00B673C0"/>
    <w:rsid w:val="00B67437"/>
    <w:rsid w:val="00B67443"/>
    <w:rsid w:val="00B674CF"/>
    <w:rsid w:val="00B67533"/>
    <w:rsid w:val="00B67606"/>
    <w:rsid w:val="00B676D8"/>
    <w:rsid w:val="00B6772C"/>
    <w:rsid w:val="00B678A1"/>
    <w:rsid w:val="00B678E8"/>
    <w:rsid w:val="00B6790C"/>
    <w:rsid w:val="00B67976"/>
    <w:rsid w:val="00B6797D"/>
    <w:rsid w:val="00B679AC"/>
    <w:rsid w:val="00B67B6C"/>
    <w:rsid w:val="00B67B70"/>
    <w:rsid w:val="00B67C74"/>
    <w:rsid w:val="00B67EB5"/>
    <w:rsid w:val="00B67EEA"/>
    <w:rsid w:val="00B70022"/>
    <w:rsid w:val="00B700A9"/>
    <w:rsid w:val="00B7023E"/>
    <w:rsid w:val="00B70334"/>
    <w:rsid w:val="00B703B9"/>
    <w:rsid w:val="00B7040C"/>
    <w:rsid w:val="00B70485"/>
    <w:rsid w:val="00B70495"/>
    <w:rsid w:val="00B704EE"/>
    <w:rsid w:val="00B7058D"/>
    <w:rsid w:val="00B705D6"/>
    <w:rsid w:val="00B7062E"/>
    <w:rsid w:val="00B70664"/>
    <w:rsid w:val="00B70703"/>
    <w:rsid w:val="00B7074B"/>
    <w:rsid w:val="00B70813"/>
    <w:rsid w:val="00B708BB"/>
    <w:rsid w:val="00B708C4"/>
    <w:rsid w:val="00B709BC"/>
    <w:rsid w:val="00B70A4C"/>
    <w:rsid w:val="00B70AB0"/>
    <w:rsid w:val="00B70C39"/>
    <w:rsid w:val="00B70CD6"/>
    <w:rsid w:val="00B70D24"/>
    <w:rsid w:val="00B70D52"/>
    <w:rsid w:val="00B70D92"/>
    <w:rsid w:val="00B70E53"/>
    <w:rsid w:val="00B70EAA"/>
    <w:rsid w:val="00B70F5C"/>
    <w:rsid w:val="00B7111D"/>
    <w:rsid w:val="00B7112F"/>
    <w:rsid w:val="00B71142"/>
    <w:rsid w:val="00B71204"/>
    <w:rsid w:val="00B71207"/>
    <w:rsid w:val="00B71211"/>
    <w:rsid w:val="00B71228"/>
    <w:rsid w:val="00B712CC"/>
    <w:rsid w:val="00B713A1"/>
    <w:rsid w:val="00B713B9"/>
    <w:rsid w:val="00B7152F"/>
    <w:rsid w:val="00B7157E"/>
    <w:rsid w:val="00B715D4"/>
    <w:rsid w:val="00B715E3"/>
    <w:rsid w:val="00B7161F"/>
    <w:rsid w:val="00B7164E"/>
    <w:rsid w:val="00B7168F"/>
    <w:rsid w:val="00B71690"/>
    <w:rsid w:val="00B716EA"/>
    <w:rsid w:val="00B71781"/>
    <w:rsid w:val="00B717BC"/>
    <w:rsid w:val="00B717CA"/>
    <w:rsid w:val="00B71892"/>
    <w:rsid w:val="00B71941"/>
    <w:rsid w:val="00B71969"/>
    <w:rsid w:val="00B71BD0"/>
    <w:rsid w:val="00B71C0B"/>
    <w:rsid w:val="00B71C1F"/>
    <w:rsid w:val="00B71C27"/>
    <w:rsid w:val="00B71C63"/>
    <w:rsid w:val="00B71E19"/>
    <w:rsid w:val="00B71F07"/>
    <w:rsid w:val="00B71F3A"/>
    <w:rsid w:val="00B722AB"/>
    <w:rsid w:val="00B722AF"/>
    <w:rsid w:val="00B7235B"/>
    <w:rsid w:val="00B72392"/>
    <w:rsid w:val="00B723F4"/>
    <w:rsid w:val="00B724CA"/>
    <w:rsid w:val="00B72576"/>
    <w:rsid w:val="00B725D9"/>
    <w:rsid w:val="00B72664"/>
    <w:rsid w:val="00B72695"/>
    <w:rsid w:val="00B726B6"/>
    <w:rsid w:val="00B7273A"/>
    <w:rsid w:val="00B72855"/>
    <w:rsid w:val="00B7285E"/>
    <w:rsid w:val="00B7292A"/>
    <w:rsid w:val="00B72AE9"/>
    <w:rsid w:val="00B72B1A"/>
    <w:rsid w:val="00B72CE0"/>
    <w:rsid w:val="00B72D8D"/>
    <w:rsid w:val="00B72F03"/>
    <w:rsid w:val="00B72FB2"/>
    <w:rsid w:val="00B730A5"/>
    <w:rsid w:val="00B7316D"/>
    <w:rsid w:val="00B732A8"/>
    <w:rsid w:val="00B73456"/>
    <w:rsid w:val="00B73461"/>
    <w:rsid w:val="00B7348A"/>
    <w:rsid w:val="00B73507"/>
    <w:rsid w:val="00B73534"/>
    <w:rsid w:val="00B735C0"/>
    <w:rsid w:val="00B736AE"/>
    <w:rsid w:val="00B73776"/>
    <w:rsid w:val="00B73826"/>
    <w:rsid w:val="00B73AE1"/>
    <w:rsid w:val="00B73BE8"/>
    <w:rsid w:val="00B73C5F"/>
    <w:rsid w:val="00B73D9A"/>
    <w:rsid w:val="00B73DEF"/>
    <w:rsid w:val="00B73DF6"/>
    <w:rsid w:val="00B74037"/>
    <w:rsid w:val="00B7408A"/>
    <w:rsid w:val="00B740A2"/>
    <w:rsid w:val="00B74308"/>
    <w:rsid w:val="00B74641"/>
    <w:rsid w:val="00B746E1"/>
    <w:rsid w:val="00B74705"/>
    <w:rsid w:val="00B7470A"/>
    <w:rsid w:val="00B7473E"/>
    <w:rsid w:val="00B74A0D"/>
    <w:rsid w:val="00B74A3B"/>
    <w:rsid w:val="00B74ABB"/>
    <w:rsid w:val="00B74C02"/>
    <w:rsid w:val="00B74C97"/>
    <w:rsid w:val="00B74CE2"/>
    <w:rsid w:val="00B74E01"/>
    <w:rsid w:val="00B74E86"/>
    <w:rsid w:val="00B74F12"/>
    <w:rsid w:val="00B7518B"/>
    <w:rsid w:val="00B751D6"/>
    <w:rsid w:val="00B752EE"/>
    <w:rsid w:val="00B75342"/>
    <w:rsid w:val="00B7540B"/>
    <w:rsid w:val="00B75454"/>
    <w:rsid w:val="00B75482"/>
    <w:rsid w:val="00B75483"/>
    <w:rsid w:val="00B75504"/>
    <w:rsid w:val="00B75541"/>
    <w:rsid w:val="00B7584D"/>
    <w:rsid w:val="00B7587C"/>
    <w:rsid w:val="00B75B05"/>
    <w:rsid w:val="00B75B1B"/>
    <w:rsid w:val="00B75BB0"/>
    <w:rsid w:val="00B75C2D"/>
    <w:rsid w:val="00B75C44"/>
    <w:rsid w:val="00B75CD0"/>
    <w:rsid w:val="00B75D74"/>
    <w:rsid w:val="00B75D77"/>
    <w:rsid w:val="00B75D93"/>
    <w:rsid w:val="00B75DA0"/>
    <w:rsid w:val="00B75EB3"/>
    <w:rsid w:val="00B75FB8"/>
    <w:rsid w:val="00B760CB"/>
    <w:rsid w:val="00B764DA"/>
    <w:rsid w:val="00B76514"/>
    <w:rsid w:val="00B76604"/>
    <w:rsid w:val="00B7676A"/>
    <w:rsid w:val="00B767BC"/>
    <w:rsid w:val="00B768D9"/>
    <w:rsid w:val="00B76911"/>
    <w:rsid w:val="00B76A12"/>
    <w:rsid w:val="00B76ADB"/>
    <w:rsid w:val="00B76AE6"/>
    <w:rsid w:val="00B76B9C"/>
    <w:rsid w:val="00B76BB5"/>
    <w:rsid w:val="00B76CA4"/>
    <w:rsid w:val="00B76CAB"/>
    <w:rsid w:val="00B76CEF"/>
    <w:rsid w:val="00B76D65"/>
    <w:rsid w:val="00B76E1F"/>
    <w:rsid w:val="00B76E3C"/>
    <w:rsid w:val="00B76F2F"/>
    <w:rsid w:val="00B76F71"/>
    <w:rsid w:val="00B76FFD"/>
    <w:rsid w:val="00B77152"/>
    <w:rsid w:val="00B772BD"/>
    <w:rsid w:val="00B773EF"/>
    <w:rsid w:val="00B77463"/>
    <w:rsid w:val="00B7749C"/>
    <w:rsid w:val="00B7755B"/>
    <w:rsid w:val="00B77687"/>
    <w:rsid w:val="00B776EA"/>
    <w:rsid w:val="00B778AB"/>
    <w:rsid w:val="00B7795B"/>
    <w:rsid w:val="00B779F0"/>
    <w:rsid w:val="00B77B09"/>
    <w:rsid w:val="00B77D54"/>
    <w:rsid w:val="00B77E10"/>
    <w:rsid w:val="00B77E1C"/>
    <w:rsid w:val="00B77E4A"/>
    <w:rsid w:val="00B77EC8"/>
    <w:rsid w:val="00B77FCD"/>
    <w:rsid w:val="00B77FD8"/>
    <w:rsid w:val="00B800D1"/>
    <w:rsid w:val="00B80147"/>
    <w:rsid w:val="00B8019C"/>
    <w:rsid w:val="00B801D4"/>
    <w:rsid w:val="00B801E0"/>
    <w:rsid w:val="00B80297"/>
    <w:rsid w:val="00B802FE"/>
    <w:rsid w:val="00B803E3"/>
    <w:rsid w:val="00B80434"/>
    <w:rsid w:val="00B8046B"/>
    <w:rsid w:val="00B80488"/>
    <w:rsid w:val="00B805A3"/>
    <w:rsid w:val="00B805A8"/>
    <w:rsid w:val="00B805BC"/>
    <w:rsid w:val="00B80767"/>
    <w:rsid w:val="00B8081E"/>
    <w:rsid w:val="00B80A19"/>
    <w:rsid w:val="00B80B84"/>
    <w:rsid w:val="00B80C7D"/>
    <w:rsid w:val="00B80D3F"/>
    <w:rsid w:val="00B80DD3"/>
    <w:rsid w:val="00B80E07"/>
    <w:rsid w:val="00B80F9F"/>
    <w:rsid w:val="00B81035"/>
    <w:rsid w:val="00B81089"/>
    <w:rsid w:val="00B810D0"/>
    <w:rsid w:val="00B81284"/>
    <w:rsid w:val="00B813AF"/>
    <w:rsid w:val="00B813C4"/>
    <w:rsid w:val="00B813E3"/>
    <w:rsid w:val="00B8140B"/>
    <w:rsid w:val="00B81528"/>
    <w:rsid w:val="00B81571"/>
    <w:rsid w:val="00B81650"/>
    <w:rsid w:val="00B81746"/>
    <w:rsid w:val="00B818A0"/>
    <w:rsid w:val="00B8196E"/>
    <w:rsid w:val="00B81A03"/>
    <w:rsid w:val="00B81AC8"/>
    <w:rsid w:val="00B81AF1"/>
    <w:rsid w:val="00B81B55"/>
    <w:rsid w:val="00B81BA2"/>
    <w:rsid w:val="00B81D30"/>
    <w:rsid w:val="00B81D55"/>
    <w:rsid w:val="00B81ED9"/>
    <w:rsid w:val="00B820D2"/>
    <w:rsid w:val="00B8214C"/>
    <w:rsid w:val="00B8216A"/>
    <w:rsid w:val="00B8218D"/>
    <w:rsid w:val="00B82222"/>
    <w:rsid w:val="00B8234C"/>
    <w:rsid w:val="00B82350"/>
    <w:rsid w:val="00B82397"/>
    <w:rsid w:val="00B8245B"/>
    <w:rsid w:val="00B824D3"/>
    <w:rsid w:val="00B82555"/>
    <w:rsid w:val="00B82566"/>
    <w:rsid w:val="00B82567"/>
    <w:rsid w:val="00B82575"/>
    <w:rsid w:val="00B8258B"/>
    <w:rsid w:val="00B8277C"/>
    <w:rsid w:val="00B827D3"/>
    <w:rsid w:val="00B8282D"/>
    <w:rsid w:val="00B82830"/>
    <w:rsid w:val="00B828D1"/>
    <w:rsid w:val="00B828FB"/>
    <w:rsid w:val="00B82936"/>
    <w:rsid w:val="00B82994"/>
    <w:rsid w:val="00B82995"/>
    <w:rsid w:val="00B82B01"/>
    <w:rsid w:val="00B82BA4"/>
    <w:rsid w:val="00B82CC1"/>
    <w:rsid w:val="00B82D49"/>
    <w:rsid w:val="00B82D50"/>
    <w:rsid w:val="00B82EDA"/>
    <w:rsid w:val="00B8306E"/>
    <w:rsid w:val="00B83115"/>
    <w:rsid w:val="00B83231"/>
    <w:rsid w:val="00B8356B"/>
    <w:rsid w:val="00B835DC"/>
    <w:rsid w:val="00B83727"/>
    <w:rsid w:val="00B837C5"/>
    <w:rsid w:val="00B83841"/>
    <w:rsid w:val="00B83A7C"/>
    <w:rsid w:val="00B83A94"/>
    <w:rsid w:val="00B83C5B"/>
    <w:rsid w:val="00B83D25"/>
    <w:rsid w:val="00B83E01"/>
    <w:rsid w:val="00B83E0B"/>
    <w:rsid w:val="00B83E2C"/>
    <w:rsid w:val="00B83EC2"/>
    <w:rsid w:val="00B83F22"/>
    <w:rsid w:val="00B83F7E"/>
    <w:rsid w:val="00B84159"/>
    <w:rsid w:val="00B84196"/>
    <w:rsid w:val="00B841DF"/>
    <w:rsid w:val="00B84281"/>
    <w:rsid w:val="00B842AB"/>
    <w:rsid w:val="00B842C1"/>
    <w:rsid w:val="00B8435C"/>
    <w:rsid w:val="00B843D3"/>
    <w:rsid w:val="00B8443E"/>
    <w:rsid w:val="00B8444C"/>
    <w:rsid w:val="00B84760"/>
    <w:rsid w:val="00B849AA"/>
    <w:rsid w:val="00B84B77"/>
    <w:rsid w:val="00B84C44"/>
    <w:rsid w:val="00B84C82"/>
    <w:rsid w:val="00B84CA0"/>
    <w:rsid w:val="00B84D3D"/>
    <w:rsid w:val="00B84DEB"/>
    <w:rsid w:val="00B84E0A"/>
    <w:rsid w:val="00B84EF3"/>
    <w:rsid w:val="00B851CF"/>
    <w:rsid w:val="00B85325"/>
    <w:rsid w:val="00B85673"/>
    <w:rsid w:val="00B8577F"/>
    <w:rsid w:val="00B857E6"/>
    <w:rsid w:val="00B8580D"/>
    <w:rsid w:val="00B858B2"/>
    <w:rsid w:val="00B85AD3"/>
    <w:rsid w:val="00B85B56"/>
    <w:rsid w:val="00B85B8F"/>
    <w:rsid w:val="00B85B91"/>
    <w:rsid w:val="00B85DE5"/>
    <w:rsid w:val="00B85ECD"/>
    <w:rsid w:val="00B85FA5"/>
    <w:rsid w:val="00B86078"/>
    <w:rsid w:val="00B8607F"/>
    <w:rsid w:val="00B860DF"/>
    <w:rsid w:val="00B86160"/>
    <w:rsid w:val="00B861C1"/>
    <w:rsid w:val="00B861C9"/>
    <w:rsid w:val="00B8637F"/>
    <w:rsid w:val="00B863F5"/>
    <w:rsid w:val="00B8650F"/>
    <w:rsid w:val="00B865F6"/>
    <w:rsid w:val="00B8662E"/>
    <w:rsid w:val="00B86768"/>
    <w:rsid w:val="00B86771"/>
    <w:rsid w:val="00B869C4"/>
    <w:rsid w:val="00B86A90"/>
    <w:rsid w:val="00B86EEE"/>
    <w:rsid w:val="00B8701D"/>
    <w:rsid w:val="00B871A8"/>
    <w:rsid w:val="00B87217"/>
    <w:rsid w:val="00B87321"/>
    <w:rsid w:val="00B873F2"/>
    <w:rsid w:val="00B87410"/>
    <w:rsid w:val="00B874BE"/>
    <w:rsid w:val="00B8755A"/>
    <w:rsid w:val="00B875A3"/>
    <w:rsid w:val="00B875BD"/>
    <w:rsid w:val="00B8781C"/>
    <w:rsid w:val="00B87928"/>
    <w:rsid w:val="00B879C4"/>
    <w:rsid w:val="00B87C8B"/>
    <w:rsid w:val="00B87CC8"/>
    <w:rsid w:val="00B88D57"/>
    <w:rsid w:val="00B9012C"/>
    <w:rsid w:val="00B90157"/>
    <w:rsid w:val="00B901BF"/>
    <w:rsid w:val="00B902CD"/>
    <w:rsid w:val="00B9034C"/>
    <w:rsid w:val="00B9043D"/>
    <w:rsid w:val="00B904B4"/>
    <w:rsid w:val="00B90672"/>
    <w:rsid w:val="00B906BA"/>
    <w:rsid w:val="00B90749"/>
    <w:rsid w:val="00B90788"/>
    <w:rsid w:val="00B90A49"/>
    <w:rsid w:val="00B90B5D"/>
    <w:rsid w:val="00B90D8F"/>
    <w:rsid w:val="00B90E17"/>
    <w:rsid w:val="00B90FA0"/>
    <w:rsid w:val="00B90FB8"/>
    <w:rsid w:val="00B9101F"/>
    <w:rsid w:val="00B9107E"/>
    <w:rsid w:val="00B910C9"/>
    <w:rsid w:val="00B910F0"/>
    <w:rsid w:val="00B91266"/>
    <w:rsid w:val="00B912AE"/>
    <w:rsid w:val="00B913ED"/>
    <w:rsid w:val="00B91415"/>
    <w:rsid w:val="00B914D6"/>
    <w:rsid w:val="00B91559"/>
    <w:rsid w:val="00B91611"/>
    <w:rsid w:val="00B916E1"/>
    <w:rsid w:val="00B917CE"/>
    <w:rsid w:val="00B9197C"/>
    <w:rsid w:val="00B919B3"/>
    <w:rsid w:val="00B919C9"/>
    <w:rsid w:val="00B919D2"/>
    <w:rsid w:val="00B91A3F"/>
    <w:rsid w:val="00B91B38"/>
    <w:rsid w:val="00B91BE7"/>
    <w:rsid w:val="00B91D81"/>
    <w:rsid w:val="00B91DF4"/>
    <w:rsid w:val="00B91F08"/>
    <w:rsid w:val="00B91F5F"/>
    <w:rsid w:val="00B91FCF"/>
    <w:rsid w:val="00B91FFC"/>
    <w:rsid w:val="00B92006"/>
    <w:rsid w:val="00B92196"/>
    <w:rsid w:val="00B9246C"/>
    <w:rsid w:val="00B926B4"/>
    <w:rsid w:val="00B926CB"/>
    <w:rsid w:val="00B927C6"/>
    <w:rsid w:val="00B9282A"/>
    <w:rsid w:val="00B92862"/>
    <w:rsid w:val="00B92928"/>
    <w:rsid w:val="00B9295B"/>
    <w:rsid w:val="00B929B8"/>
    <w:rsid w:val="00B929F0"/>
    <w:rsid w:val="00B92B71"/>
    <w:rsid w:val="00B92C68"/>
    <w:rsid w:val="00B92CFB"/>
    <w:rsid w:val="00B92D35"/>
    <w:rsid w:val="00B92D3C"/>
    <w:rsid w:val="00B92F0B"/>
    <w:rsid w:val="00B92FC0"/>
    <w:rsid w:val="00B92FE3"/>
    <w:rsid w:val="00B9307E"/>
    <w:rsid w:val="00B9308B"/>
    <w:rsid w:val="00B930F3"/>
    <w:rsid w:val="00B931A0"/>
    <w:rsid w:val="00B931DE"/>
    <w:rsid w:val="00B9328D"/>
    <w:rsid w:val="00B933AB"/>
    <w:rsid w:val="00B934B6"/>
    <w:rsid w:val="00B934E8"/>
    <w:rsid w:val="00B9359C"/>
    <w:rsid w:val="00B937B0"/>
    <w:rsid w:val="00B937C3"/>
    <w:rsid w:val="00B9384B"/>
    <w:rsid w:val="00B938C4"/>
    <w:rsid w:val="00B93970"/>
    <w:rsid w:val="00B93B02"/>
    <w:rsid w:val="00B93B21"/>
    <w:rsid w:val="00B93B40"/>
    <w:rsid w:val="00B93B92"/>
    <w:rsid w:val="00B93D4E"/>
    <w:rsid w:val="00B93E5F"/>
    <w:rsid w:val="00B93EAC"/>
    <w:rsid w:val="00B93EF6"/>
    <w:rsid w:val="00B941E6"/>
    <w:rsid w:val="00B9432F"/>
    <w:rsid w:val="00B94335"/>
    <w:rsid w:val="00B943D6"/>
    <w:rsid w:val="00B94433"/>
    <w:rsid w:val="00B94505"/>
    <w:rsid w:val="00B94574"/>
    <w:rsid w:val="00B945CB"/>
    <w:rsid w:val="00B94631"/>
    <w:rsid w:val="00B9489F"/>
    <w:rsid w:val="00B9491E"/>
    <w:rsid w:val="00B94A58"/>
    <w:rsid w:val="00B94A5C"/>
    <w:rsid w:val="00B94A60"/>
    <w:rsid w:val="00B94AC9"/>
    <w:rsid w:val="00B94B56"/>
    <w:rsid w:val="00B94BB8"/>
    <w:rsid w:val="00B94BDF"/>
    <w:rsid w:val="00B94C26"/>
    <w:rsid w:val="00B94C6B"/>
    <w:rsid w:val="00B94CA9"/>
    <w:rsid w:val="00B950E9"/>
    <w:rsid w:val="00B952BE"/>
    <w:rsid w:val="00B9536C"/>
    <w:rsid w:val="00B953F2"/>
    <w:rsid w:val="00B9543A"/>
    <w:rsid w:val="00B954B4"/>
    <w:rsid w:val="00B95617"/>
    <w:rsid w:val="00B95728"/>
    <w:rsid w:val="00B95873"/>
    <w:rsid w:val="00B95894"/>
    <w:rsid w:val="00B95A94"/>
    <w:rsid w:val="00B95AD8"/>
    <w:rsid w:val="00B95AF3"/>
    <w:rsid w:val="00B95B2E"/>
    <w:rsid w:val="00B95BC9"/>
    <w:rsid w:val="00B95C29"/>
    <w:rsid w:val="00B95D95"/>
    <w:rsid w:val="00B95DA6"/>
    <w:rsid w:val="00B95E4C"/>
    <w:rsid w:val="00B95F17"/>
    <w:rsid w:val="00B95F40"/>
    <w:rsid w:val="00B96001"/>
    <w:rsid w:val="00B96011"/>
    <w:rsid w:val="00B9602B"/>
    <w:rsid w:val="00B96071"/>
    <w:rsid w:val="00B960A4"/>
    <w:rsid w:val="00B96304"/>
    <w:rsid w:val="00B96475"/>
    <w:rsid w:val="00B9699C"/>
    <w:rsid w:val="00B96AB9"/>
    <w:rsid w:val="00B96C3A"/>
    <w:rsid w:val="00B96D25"/>
    <w:rsid w:val="00B96DEB"/>
    <w:rsid w:val="00B96EB2"/>
    <w:rsid w:val="00B9703A"/>
    <w:rsid w:val="00B970B3"/>
    <w:rsid w:val="00B97196"/>
    <w:rsid w:val="00B97224"/>
    <w:rsid w:val="00B97227"/>
    <w:rsid w:val="00B97229"/>
    <w:rsid w:val="00B9722E"/>
    <w:rsid w:val="00B97248"/>
    <w:rsid w:val="00B97334"/>
    <w:rsid w:val="00B97343"/>
    <w:rsid w:val="00B973A4"/>
    <w:rsid w:val="00B97563"/>
    <w:rsid w:val="00B975A7"/>
    <w:rsid w:val="00B9763B"/>
    <w:rsid w:val="00B9766A"/>
    <w:rsid w:val="00B9774F"/>
    <w:rsid w:val="00B977D6"/>
    <w:rsid w:val="00B97818"/>
    <w:rsid w:val="00B97859"/>
    <w:rsid w:val="00B979ED"/>
    <w:rsid w:val="00B97A28"/>
    <w:rsid w:val="00B97AEF"/>
    <w:rsid w:val="00B97B8C"/>
    <w:rsid w:val="00B97C0E"/>
    <w:rsid w:val="00B97C67"/>
    <w:rsid w:val="00B97C70"/>
    <w:rsid w:val="00B97D6E"/>
    <w:rsid w:val="00B97D73"/>
    <w:rsid w:val="00B97D78"/>
    <w:rsid w:val="00B97F50"/>
    <w:rsid w:val="00BA00BC"/>
    <w:rsid w:val="00BA02F9"/>
    <w:rsid w:val="00BA0361"/>
    <w:rsid w:val="00BA03B8"/>
    <w:rsid w:val="00BA04D7"/>
    <w:rsid w:val="00BA04E4"/>
    <w:rsid w:val="00BA0525"/>
    <w:rsid w:val="00BA0545"/>
    <w:rsid w:val="00BA0595"/>
    <w:rsid w:val="00BA05B3"/>
    <w:rsid w:val="00BA05FA"/>
    <w:rsid w:val="00BA0618"/>
    <w:rsid w:val="00BA07E6"/>
    <w:rsid w:val="00BA086E"/>
    <w:rsid w:val="00BA08A1"/>
    <w:rsid w:val="00BA08E4"/>
    <w:rsid w:val="00BA0930"/>
    <w:rsid w:val="00BA0AAD"/>
    <w:rsid w:val="00BA0AEA"/>
    <w:rsid w:val="00BA0B06"/>
    <w:rsid w:val="00BA0B20"/>
    <w:rsid w:val="00BA0C21"/>
    <w:rsid w:val="00BA0CE1"/>
    <w:rsid w:val="00BA0CEE"/>
    <w:rsid w:val="00BA0CF8"/>
    <w:rsid w:val="00BA0D1C"/>
    <w:rsid w:val="00BA0E40"/>
    <w:rsid w:val="00BA0EDB"/>
    <w:rsid w:val="00BA0FAA"/>
    <w:rsid w:val="00BA0FEB"/>
    <w:rsid w:val="00BA114E"/>
    <w:rsid w:val="00BA1539"/>
    <w:rsid w:val="00BA15F7"/>
    <w:rsid w:val="00BA16DC"/>
    <w:rsid w:val="00BA17CE"/>
    <w:rsid w:val="00BA18D8"/>
    <w:rsid w:val="00BA1EEE"/>
    <w:rsid w:val="00BA1EF7"/>
    <w:rsid w:val="00BA1F45"/>
    <w:rsid w:val="00BA1F49"/>
    <w:rsid w:val="00BA2092"/>
    <w:rsid w:val="00BA2265"/>
    <w:rsid w:val="00BA2536"/>
    <w:rsid w:val="00BA26AD"/>
    <w:rsid w:val="00BA2871"/>
    <w:rsid w:val="00BA2908"/>
    <w:rsid w:val="00BA29D4"/>
    <w:rsid w:val="00BA29E4"/>
    <w:rsid w:val="00BA29F2"/>
    <w:rsid w:val="00BA2BE3"/>
    <w:rsid w:val="00BA2CD0"/>
    <w:rsid w:val="00BA2E18"/>
    <w:rsid w:val="00BA3144"/>
    <w:rsid w:val="00BA3202"/>
    <w:rsid w:val="00BA3362"/>
    <w:rsid w:val="00BA3524"/>
    <w:rsid w:val="00BA35B9"/>
    <w:rsid w:val="00BA35E8"/>
    <w:rsid w:val="00BA35F1"/>
    <w:rsid w:val="00BA36CB"/>
    <w:rsid w:val="00BA36D0"/>
    <w:rsid w:val="00BA3897"/>
    <w:rsid w:val="00BA38F3"/>
    <w:rsid w:val="00BA39DE"/>
    <w:rsid w:val="00BA3A32"/>
    <w:rsid w:val="00BA3A51"/>
    <w:rsid w:val="00BA3B5B"/>
    <w:rsid w:val="00BA3CC6"/>
    <w:rsid w:val="00BA3D29"/>
    <w:rsid w:val="00BA3DCF"/>
    <w:rsid w:val="00BA3E4E"/>
    <w:rsid w:val="00BA3E5D"/>
    <w:rsid w:val="00BA4038"/>
    <w:rsid w:val="00BA4061"/>
    <w:rsid w:val="00BA4071"/>
    <w:rsid w:val="00BA4082"/>
    <w:rsid w:val="00BA40A5"/>
    <w:rsid w:val="00BA4172"/>
    <w:rsid w:val="00BA4182"/>
    <w:rsid w:val="00BA432A"/>
    <w:rsid w:val="00BA436E"/>
    <w:rsid w:val="00BA4396"/>
    <w:rsid w:val="00BA4431"/>
    <w:rsid w:val="00BA4585"/>
    <w:rsid w:val="00BA4661"/>
    <w:rsid w:val="00BA46A8"/>
    <w:rsid w:val="00BA47D3"/>
    <w:rsid w:val="00BA47DE"/>
    <w:rsid w:val="00BA4818"/>
    <w:rsid w:val="00BA4879"/>
    <w:rsid w:val="00BA48EC"/>
    <w:rsid w:val="00BA4A73"/>
    <w:rsid w:val="00BA4B93"/>
    <w:rsid w:val="00BA4BBE"/>
    <w:rsid w:val="00BA4C87"/>
    <w:rsid w:val="00BA4C89"/>
    <w:rsid w:val="00BA4CB9"/>
    <w:rsid w:val="00BA4CEB"/>
    <w:rsid w:val="00BA4DB7"/>
    <w:rsid w:val="00BA500B"/>
    <w:rsid w:val="00BA5024"/>
    <w:rsid w:val="00BA5129"/>
    <w:rsid w:val="00BA5190"/>
    <w:rsid w:val="00BA5220"/>
    <w:rsid w:val="00BA535D"/>
    <w:rsid w:val="00BA5367"/>
    <w:rsid w:val="00BA53A2"/>
    <w:rsid w:val="00BA5446"/>
    <w:rsid w:val="00BA5474"/>
    <w:rsid w:val="00BA5496"/>
    <w:rsid w:val="00BA549B"/>
    <w:rsid w:val="00BA54BC"/>
    <w:rsid w:val="00BA5514"/>
    <w:rsid w:val="00BA55EB"/>
    <w:rsid w:val="00BA55FE"/>
    <w:rsid w:val="00BA5709"/>
    <w:rsid w:val="00BA5735"/>
    <w:rsid w:val="00BA5822"/>
    <w:rsid w:val="00BA598D"/>
    <w:rsid w:val="00BA5A09"/>
    <w:rsid w:val="00BA5A29"/>
    <w:rsid w:val="00BA5BB3"/>
    <w:rsid w:val="00BA5D35"/>
    <w:rsid w:val="00BA5D51"/>
    <w:rsid w:val="00BA5ED1"/>
    <w:rsid w:val="00BA5F6A"/>
    <w:rsid w:val="00BA5FFB"/>
    <w:rsid w:val="00BA603C"/>
    <w:rsid w:val="00BA60CD"/>
    <w:rsid w:val="00BA619A"/>
    <w:rsid w:val="00BA6205"/>
    <w:rsid w:val="00BA62D2"/>
    <w:rsid w:val="00BA6301"/>
    <w:rsid w:val="00BA63E0"/>
    <w:rsid w:val="00BA648F"/>
    <w:rsid w:val="00BA65B5"/>
    <w:rsid w:val="00BA6824"/>
    <w:rsid w:val="00BA6861"/>
    <w:rsid w:val="00BA6B4B"/>
    <w:rsid w:val="00BA6C4F"/>
    <w:rsid w:val="00BA6D92"/>
    <w:rsid w:val="00BA6E10"/>
    <w:rsid w:val="00BA6E21"/>
    <w:rsid w:val="00BA6E56"/>
    <w:rsid w:val="00BA6F71"/>
    <w:rsid w:val="00BA6FCE"/>
    <w:rsid w:val="00BA709F"/>
    <w:rsid w:val="00BA7134"/>
    <w:rsid w:val="00BA7278"/>
    <w:rsid w:val="00BA72BD"/>
    <w:rsid w:val="00BA731A"/>
    <w:rsid w:val="00BA7461"/>
    <w:rsid w:val="00BA783E"/>
    <w:rsid w:val="00BA7843"/>
    <w:rsid w:val="00BA791D"/>
    <w:rsid w:val="00BA7988"/>
    <w:rsid w:val="00BA7AEF"/>
    <w:rsid w:val="00BA7AFF"/>
    <w:rsid w:val="00BA7B70"/>
    <w:rsid w:val="00BA7B9E"/>
    <w:rsid w:val="00BA7C21"/>
    <w:rsid w:val="00BA7C94"/>
    <w:rsid w:val="00BA7F0A"/>
    <w:rsid w:val="00BB0049"/>
    <w:rsid w:val="00BB012F"/>
    <w:rsid w:val="00BB01A7"/>
    <w:rsid w:val="00BB01AD"/>
    <w:rsid w:val="00BB01F3"/>
    <w:rsid w:val="00BB033F"/>
    <w:rsid w:val="00BB03FC"/>
    <w:rsid w:val="00BB04C3"/>
    <w:rsid w:val="00BB04CE"/>
    <w:rsid w:val="00BB051E"/>
    <w:rsid w:val="00BB0531"/>
    <w:rsid w:val="00BB0543"/>
    <w:rsid w:val="00BB06D9"/>
    <w:rsid w:val="00BB074A"/>
    <w:rsid w:val="00BB075E"/>
    <w:rsid w:val="00BB083C"/>
    <w:rsid w:val="00BB085D"/>
    <w:rsid w:val="00BB08DA"/>
    <w:rsid w:val="00BB0970"/>
    <w:rsid w:val="00BB09A1"/>
    <w:rsid w:val="00BB09C0"/>
    <w:rsid w:val="00BB0A6D"/>
    <w:rsid w:val="00BB0B0A"/>
    <w:rsid w:val="00BB0B72"/>
    <w:rsid w:val="00BB0BD6"/>
    <w:rsid w:val="00BB0C8E"/>
    <w:rsid w:val="00BB0DFC"/>
    <w:rsid w:val="00BB0FA6"/>
    <w:rsid w:val="00BB1190"/>
    <w:rsid w:val="00BB119E"/>
    <w:rsid w:val="00BB11DE"/>
    <w:rsid w:val="00BB1339"/>
    <w:rsid w:val="00BB1519"/>
    <w:rsid w:val="00BB153A"/>
    <w:rsid w:val="00BB1559"/>
    <w:rsid w:val="00BB15F7"/>
    <w:rsid w:val="00BB1721"/>
    <w:rsid w:val="00BB1754"/>
    <w:rsid w:val="00BB17E2"/>
    <w:rsid w:val="00BB1805"/>
    <w:rsid w:val="00BB182F"/>
    <w:rsid w:val="00BB18FB"/>
    <w:rsid w:val="00BB1939"/>
    <w:rsid w:val="00BB197E"/>
    <w:rsid w:val="00BB19EC"/>
    <w:rsid w:val="00BB1BDE"/>
    <w:rsid w:val="00BB1D0E"/>
    <w:rsid w:val="00BB1DC2"/>
    <w:rsid w:val="00BB1DEF"/>
    <w:rsid w:val="00BB1E8A"/>
    <w:rsid w:val="00BB1FB7"/>
    <w:rsid w:val="00BB207B"/>
    <w:rsid w:val="00BB2149"/>
    <w:rsid w:val="00BB214B"/>
    <w:rsid w:val="00BB2196"/>
    <w:rsid w:val="00BB21F8"/>
    <w:rsid w:val="00BB22A7"/>
    <w:rsid w:val="00BB2366"/>
    <w:rsid w:val="00BB23E8"/>
    <w:rsid w:val="00BB2459"/>
    <w:rsid w:val="00BB2476"/>
    <w:rsid w:val="00BB251D"/>
    <w:rsid w:val="00BB2707"/>
    <w:rsid w:val="00BB292E"/>
    <w:rsid w:val="00BB2A19"/>
    <w:rsid w:val="00BB2A33"/>
    <w:rsid w:val="00BB2A63"/>
    <w:rsid w:val="00BB2A78"/>
    <w:rsid w:val="00BB2B28"/>
    <w:rsid w:val="00BB2B31"/>
    <w:rsid w:val="00BB2BEC"/>
    <w:rsid w:val="00BB2C1F"/>
    <w:rsid w:val="00BB2C23"/>
    <w:rsid w:val="00BB2C29"/>
    <w:rsid w:val="00BB2CA9"/>
    <w:rsid w:val="00BB2CAC"/>
    <w:rsid w:val="00BB2D3C"/>
    <w:rsid w:val="00BB2D77"/>
    <w:rsid w:val="00BB2E70"/>
    <w:rsid w:val="00BB2EE8"/>
    <w:rsid w:val="00BB3081"/>
    <w:rsid w:val="00BB3200"/>
    <w:rsid w:val="00BB325E"/>
    <w:rsid w:val="00BB32C3"/>
    <w:rsid w:val="00BB32C6"/>
    <w:rsid w:val="00BB35A1"/>
    <w:rsid w:val="00BB35AF"/>
    <w:rsid w:val="00BB3684"/>
    <w:rsid w:val="00BB36C9"/>
    <w:rsid w:val="00BB36CF"/>
    <w:rsid w:val="00BB36FD"/>
    <w:rsid w:val="00BB3741"/>
    <w:rsid w:val="00BB3785"/>
    <w:rsid w:val="00BB37F0"/>
    <w:rsid w:val="00BB3863"/>
    <w:rsid w:val="00BB3869"/>
    <w:rsid w:val="00BB392E"/>
    <w:rsid w:val="00BB398D"/>
    <w:rsid w:val="00BB3A49"/>
    <w:rsid w:val="00BB3A60"/>
    <w:rsid w:val="00BB3AF8"/>
    <w:rsid w:val="00BB3BA4"/>
    <w:rsid w:val="00BB3BFB"/>
    <w:rsid w:val="00BB3C41"/>
    <w:rsid w:val="00BB3C6B"/>
    <w:rsid w:val="00BB3DDD"/>
    <w:rsid w:val="00BB3F66"/>
    <w:rsid w:val="00BB3F9F"/>
    <w:rsid w:val="00BB3FB3"/>
    <w:rsid w:val="00BB4036"/>
    <w:rsid w:val="00BB4054"/>
    <w:rsid w:val="00BB409B"/>
    <w:rsid w:val="00BB40E9"/>
    <w:rsid w:val="00BB412C"/>
    <w:rsid w:val="00BB413A"/>
    <w:rsid w:val="00BB425C"/>
    <w:rsid w:val="00BB42BE"/>
    <w:rsid w:val="00BB42E8"/>
    <w:rsid w:val="00BB43A1"/>
    <w:rsid w:val="00BB441B"/>
    <w:rsid w:val="00BB4559"/>
    <w:rsid w:val="00BB4575"/>
    <w:rsid w:val="00BB46C8"/>
    <w:rsid w:val="00BB47A3"/>
    <w:rsid w:val="00BB48A7"/>
    <w:rsid w:val="00BB49C6"/>
    <w:rsid w:val="00BB49D1"/>
    <w:rsid w:val="00BB4A34"/>
    <w:rsid w:val="00BB4C3C"/>
    <w:rsid w:val="00BB4D00"/>
    <w:rsid w:val="00BB4DF6"/>
    <w:rsid w:val="00BB4E40"/>
    <w:rsid w:val="00BB4E95"/>
    <w:rsid w:val="00BB4EF3"/>
    <w:rsid w:val="00BB4F42"/>
    <w:rsid w:val="00BB4F6B"/>
    <w:rsid w:val="00BB50C4"/>
    <w:rsid w:val="00BB50E3"/>
    <w:rsid w:val="00BB5219"/>
    <w:rsid w:val="00BB5262"/>
    <w:rsid w:val="00BB52A3"/>
    <w:rsid w:val="00BB546E"/>
    <w:rsid w:val="00BB54F8"/>
    <w:rsid w:val="00BB5593"/>
    <w:rsid w:val="00BB563B"/>
    <w:rsid w:val="00BB57AD"/>
    <w:rsid w:val="00BB57D9"/>
    <w:rsid w:val="00BB5876"/>
    <w:rsid w:val="00BB5908"/>
    <w:rsid w:val="00BB5CED"/>
    <w:rsid w:val="00BB5D1A"/>
    <w:rsid w:val="00BB5D57"/>
    <w:rsid w:val="00BB5DFE"/>
    <w:rsid w:val="00BB5E40"/>
    <w:rsid w:val="00BB5F5B"/>
    <w:rsid w:val="00BB5F6C"/>
    <w:rsid w:val="00BB6138"/>
    <w:rsid w:val="00BB6260"/>
    <w:rsid w:val="00BB6523"/>
    <w:rsid w:val="00BB6729"/>
    <w:rsid w:val="00BB6747"/>
    <w:rsid w:val="00BB67F2"/>
    <w:rsid w:val="00BB6CDF"/>
    <w:rsid w:val="00BB6D29"/>
    <w:rsid w:val="00BB6D43"/>
    <w:rsid w:val="00BB6DB5"/>
    <w:rsid w:val="00BB6E4E"/>
    <w:rsid w:val="00BB6ED9"/>
    <w:rsid w:val="00BB7045"/>
    <w:rsid w:val="00BB7133"/>
    <w:rsid w:val="00BB7166"/>
    <w:rsid w:val="00BB7210"/>
    <w:rsid w:val="00BB723C"/>
    <w:rsid w:val="00BB743E"/>
    <w:rsid w:val="00BB7694"/>
    <w:rsid w:val="00BB76BF"/>
    <w:rsid w:val="00BB76DB"/>
    <w:rsid w:val="00BB7707"/>
    <w:rsid w:val="00BB77D9"/>
    <w:rsid w:val="00BB78D2"/>
    <w:rsid w:val="00BB78E5"/>
    <w:rsid w:val="00BB7935"/>
    <w:rsid w:val="00BB7A1A"/>
    <w:rsid w:val="00BB7AA1"/>
    <w:rsid w:val="00BB7C2D"/>
    <w:rsid w:val="00BB7C9C"/>
    <w:rsid w:val="00BB7D4B"/>
    <w:rsid w:val="00BB7D8E"/>
    <w:rsid w:val="00BB7DA8"/>
    <w:rsid w:val="00BB7F7C"/>
    <w:rsid w:val="00BC0138"/>
    <w:rsid w:val="00BC0313"/>
    <w:rsid w:val="00BC03D0"/>
    <w:rsid w:val="00BC04E2"/>
    <w:rsid w:val="00BC06B4"/>
    <w:rsid w:val="00BC0778"/>
    <w:rsid w:val="00BC0801"/>
    <w:rsid w:val="00BC0808"/>
    <w:rsid w:val="00BC083E"/>
    <w:rsid w:val="00BC08FF"/>
    <w:rsid w:val="00BC09FC"/>
    <w:rsid w:val="00BC0A05"/>
    <w:rsid w:val="00BC0ADD"/>
    <w:rsid w:val="00BC0B12"/>
    <w:rsid w:val="00BC0D8E"/>
    <w:rsid w:val="00BC102C"/>
    <w:rsid w:val="00BC1226"/>
    <w:rsid w:val="00BC128D"/>
    <w:rsid w:val="00BC12C1"/>
    <w:rsid w:val="00BC1381"/>
    <w:rsid w:val="00BC13D9"/>
    <w:rsid w:val="00BC1453"/>
    <w:rsid w:val="00BC151E"/>
    <w:rsid w:val="00BC1526"/>
    <w:rsid w:val="00BC15A7"/>
    <w:rsid w:val="00BC162A"/>
    <w:rsid w:val="00BC1654"/>
    <w:rsid w:val="00BC16F1"/>
    <w:rsid w:val="00BC1705"/>
    <w:rsid w:val="00BC18CF"/>
    <w:rsid w:val="00BC18D0"/>
    <w:rsid w:val="00BC1ACB"/>
    <w:rsid w:val="00BC1B28"/>
    <w:rsid w:val="00BC1BC6"/>
    <w:rsid w:val="00BC1BF0"/>
    <w:rsid w:val="00BC1C1F"/>
    <w:rsid w:val="00BC1D8D"/>
    <w:rsid w:val="00BC1DA1"/>
    <w:rsid w:val="00BC1ECA"/>
    <w:rsid w:val="00BC203D"/>
    <w:rsid w:val="00BC21D8"/>
    <w:rsid w:val="00BC23BC"/>
    <w:rsid w:val="00BC248D"/>
    <w:rsid w:val="00BC26E3"/>
    <w:rsid w:val="00BC289A"/>
    <w:rsid w:val="00BC29E3"/>
    <w:rsid w:val="00BC2A98"/>
    <w:rsid w:val="00BC2AF7"/>
    <w:rsid w:val="00BC2B49"/>
    <w:rsid w:val="00BC2B58"/>
    <w:rsid w:val="00BC2CAE"/>
    <w:rsid w:val="00BC2DED"/>
    <w:rsid w:val="00BC2F54"/>
    <w:rsid w:val="00BC2FDD"/>
    <w:rsid w:val="00BC31A1"/>
    <w:rsid w:val="00BC31E9"/>
    <w:rsid w:val="00BC321A"/>
    <w:rsid w:val="00BC3231"/>
    <w:rsid w:val="00BC327D"/>
    <w:rsid w:val="00BC335C"/>
    <w:rsid w:val="00BC33B9"/>
    <w:rsid w:val="00BC33C3"/>
    <w:rsid w:val="00BC3417"/>
    <w:rsid w:val="00BC35E4"/>
    <w:rsid w:val="00BC361D"/>
    <w:rsid w:val="00BC3632"/>
    <w:rsid w:val="00BC3696"/>
    <w:rsid w:val="00BC371B"/>
    <w:rsid w:val="00BC372A"/>
    <w:rsid w:val="00BC3854"/>
    <w:rsid w:val="00BC3B10"/>
    <w:rsid w:val="00BC3C83"/>
    <w:rsid w:val="00BC3D52"/>
    <w:rsid w:val="00BC3DCF"/>
    <w:rsid w:val="00BC3E7D"/>
    <w:rsid w:val="00BC3F18"/>
    <w:rsid w:val="00BC3FA4"/>
    <w:rsid w:val="00BC3FC1"/>
    <w:rsid w:val="00BC3FC3"/>
    <w:rsid w:val="00BC4036"/>
    <w:rsid w:val="00BC40EF"/>
    <w:rsid w:val="00BC41D5"/>
    <w:rsid w:val="00BC4211"/>
    <w:rsid w:val="00BC42D3"/>
    <w:rsid w:val="00BC42DA"/>
    <w:rsid w:val="00BC4470"/>
    <w:rsid w:val="00BC449F"/>
    <w:rsid w:val="00BC458B"/>
    <w:rsid w:val="00BC45AA"/>
    <w:rsid w:val="00BC45C0"/>
    <w:rsid w:val="00BC47FB"/>
    <w:rsid w:val="00BC499B"/>
    <w:rsid w:val="00BC4A24"/>
    <w:rsid w:val="00BC4A61"/>
    <w:rsid w:val="00BC4B04"/>
    <w:rsid w:val="00BC4B56"/>
    <w:rsid w:val="00BC4BDE"/>
    <w:rsid w:val="00BC4CCB"/>
    <w:rsid w:val="00BC4D21"/>
    <w:rsid w:val="00BC4E6B"/>
    <w:rsid w:val="00BC4EF1"/>
    <w:rsid w:val="00BC5022"/>
    <w:rsid w:val="00BC505B"/>
    <w:rsid w:val="00BC50C1"/>
    <w:rsid w:val="00BC51D3"/>
    <w:rsid w:val="00BC52BA"/>
    <w:rsid w:val="00BC52DF"/>
    <w:rsid w:val="00BC5787"/>
    <w:rsid w:val="00BC579A"/>
    <w:rsid w:val="00BC57EA"/>
    <w:rsid w:val="00BC583C"/>
    <w:rsid w:val="00BC586D"/>
    <w:rsid w:val="00BC5997"/>
    <w:rsid w:val="00BC59AC"/>
    <w:rsid w:val="00BC5A05"/>
    <w:rsid w:val="00BC5AE8"/>
    <w:rsid w:val="00BC5AF5"/>
    <w:rsid w:val="00BC5BA3"/>
    <w:rsid w:val="00BC5E2A"/>
    <w:rsid w:val="00BC5F60"/>
    <w:rsid w:val="00BC61FA"/>
    <w:rsid w:val="00BC624D"/>
    <w:rsid w:val="00BC6337"/>
    <w:rsid w:val="00BC646B"/>
    <w:rsid w:val="00BC6537"/>
    <w:rsid w:val="00BC667E"/>
    <w:rsid w:val="00BC679B"/>
    <w:rsid w:val="00BC681F"/>
    <w:rsid w:val="00BC6825"/>
    <w:rsid w:val="00BC6874"/>
    <w:rsid w:val="00BC68F6"/>
    <w:rsid w:val="00BC690A"/>
    <w:rsid w:val="00BC6A6D"/>
    <w:rsid w:val="00BC6AC7"/>
    <w:rsid w:val="00BC6B00"/>
    <w:rsid w:val="00BC6B19"/>
    <w:rsid w:val="00BC6B4C"/>
    <w:rsid w:val="00BC6C77"/>
    <w:rsid w:val="00BC6C9D"/>
    <w:rsid w:val="00BC6D1F"/>
    <w:rsid w:val="00BC6D73"/>
    <w:rsid w:val="00BC6E09"/>
    <w:rsid w:val="00BC6E76"/>
    <w:rsid w:val="00BC6E98"/>
    <w:rsid w:val="00BC6F7E"/>
    <w:rsid w:val="00BC71A7"/>
    <w:rsid w:val="00BC7221"/>
    <w:rsid w:val="00BC727C"/>
    <w:rsid w:val="00BC72A9"/>
    <w:rsid w:val="00BC733A"/>
    <w:rsid w:val="00BC742F"/>
    <w:rsid w:val="00BC74A5"/>
    <w:rsid w:val="00BC74D0"/>
    <w:rsid w:val="00BC75B7"/>
    <w:rsid w:val="00BC75E4"/>
    <w:rsid w:val="00BC75F4"/>
    <w:rsid w:val="00BC763E"/>
    <w:rsid w:val="00BC7641"/>
    <w:rsid w:val="00BC7676"/>
    <w:rsid w:val="00BC7773"/>
    <w:rsid w:val="00BC7A31"/>
    <w:rsid w:val="00BC7ACC"/>
    <w:rsid w:val="00BC7AEE"/>
    <w:rsid w:val="00BC7B8C"/>
    <w:rsid w:val="00BC7C3A"/>
    <w:rsid w:val="00BC7D53"/>
    <w:rsid w:val="00BC7DD7"/>
    <w:rsid w:val="00BC7E67"/>
    <w:rsid w:val="00BC7EA9"/>
    <w:rsid w:val="00BC7F3B"/>
    <w:rsid w:val="00BC7F88"/>
    <w:rsid w:val="00BC7FBD"/>
    <w:rsid w:val="00BD001C"/>
    <w:rsid w:val="00BD0111"/>
    <w:rsid w:val="00BD0135"/>
    <w:rsid w:val="00BD01E2"/>
    <w:rsid w:val="00BD0231"/>
    <w:rsid w:val="00BD0264"/>
    <w:rsid w:val="00BD02B2"/>
    <w:rsid w:val="00BD02DD"/>
    <w:rsid w:val="00BD02FA"/>
    <w:rsid w:val="00BD0335"/>
    <w:rsid w:val="00BD03A5"/>
    <w:rsid w:val="00BD0469"/>
    <w:rsid w:val="00BD04AC"/>
    <w:rsid w:val="00BD0619"/>
    <w:rsid w:val="00BD06AE"/>
    <w:rsid w:val="00BD06CA"/>
    <w:rsid w:val="00BD0780"/>
    <w:rsid w:val="00BD0957"/>
    <w:rsid w:val="00BD09FC"/>
    <w:rsid w:val="00BD0A9C"/>
    <w:rsid w:val="00BD0B61"/>
    <w:rsid w:val="00BD0B6B"/>
    <w:rsid w:val="00BD0BD5"/>
    <w:rsid w:val="00BD0DD9"/>
    <w:rsid w:val="00BD0F1D"/>
    <w:rsid w:val="00BD0F63"/>
    <w:rsid w:val="00BD1114"/>
    <w:rsid w:val="00BD1132"/>
    <w:rsid w:val="00BD119A"/>
    <w:rsid w:val="00BD139E"/>
    <w:rsid w:val="00BD1474"/>
    <w:rsid w:val="00BD1691"/>
    <w:rsid w:val="00BD172F"/>
    <w:rsid w:val="00BD17C1"/>
    <w:rsid w:val="00BD1925"/>
    <w:rsid w:val="00BD1AF9"/>
    <w:rsid w:val="00BD1B0B"/>
    <w:rsid w:val="00BD1B9E"/>
    <w:rsid w:val="00BD1BF4"/>
    <w:rsid w:val="00BD1C27"/>
    <w:rsid w:val="00BD1CDD"/>
    <w:rsid w:val="00BD1D5E"/>
    <w:rsid w:val="00BD1D5F"/>
    <w:rsid w:val="00BD1EC1"/>
    <w:rsid w:val="00BD1F15"/>
    <w:rsid w:val="00BD1F4E"/>
    <w:rsid w:val="00BD1FB9"/>
    <w:rsid w:val="00BD2014"/>
    <w:rsid w:val="00BD2114"/>
    <w:rsid w:val="00BD222D"/>
    <w:rsid w:val="00BD2230"/>
    <w:rsid w:val="00BD230C"/>
    <w:rsid w:val="00BD2458"/>
    <w:rsid w:val="00BD246B"/>
    <w:rsid w:val="00BD250E"/>
    <w:rsid w:val="00BD2856"/>
    <w:rsid w:val="00BD291A"/>
    <w:rsid w:val="00BD2949"/>
    <w:rsid w:val="00BD2A0A"/>
    <w:rsid w:val="00BD2AF2"/>
    <w:rsid w:val="00BD2BB8"/>
    <w:rsid w:val="00BD2CC5"/>
    <w:rsid w:val="00BD2D1D"/>
    <w:rsid w:val="00BD2DA2"/>
    <w:rsid w:val="00BD2DFE"/>
    <w:rsid w:val="00BD2E7A"/>
    <w:rsid w:val="00BD2F99"/>
    <w:rsid w:val="00BD30D8"/>
    <w:rsid w:val="00BD31F1"/>
    <w:rsid w:val="00BD34A1"/>
    <w:rsid w:val="00BD36C0"/>
    <w:rsid w:val="00BD36EB"/>
    <w:rsid w:val="00BD3761"/>
    <w:rsid w:val="00BD38A6"/>
    <w:rsid w:val="00BD38D9"/>
    <w:rsid w:val="00BD3C6C"/>
    <w:rsid w:val="00BD3E84"/>
    <w:rsid w:val="00BD3E88"/>
    <w:rsid w:val="00BD3EA3"/>
    <w:rsid w:val="00BD406B"/>
    <w:rsid w:val="00BD40BE"/>
    <w:rsid w:val="00BD422B"/>
    <w:rsid w:val="00BD427A"/>
    <w:rsid w:val="00BD4437"/>
    <w:rsid w:val="00BD448A"/>
    <w:rsid w:val="00BD44CA"/>
    <w:rsid w:val="00BD4576"/>
    <w:rsid w:val="00BD45E0"/>
    <w:rsid w:val="00BD46A6"/>
    <w:rsid w:val="00BD46D2"/>
    <w:rsid w:val="00BD47AF"/>
    <w:rsid w:val="00BD47BA"/>
    <w:rsid w:val="00BD4942"/>
    <w:rsid w:val="00BD4981"/>
    <w:rsid w:val="00BD4A63"/>
    <w:rsid w:val="00BD4A81"/>
    <w:rsid w:val="00BD4AC0"/>
    <w:rsid w:val="00BD4B2E"/>
    <w:rsid w:val="00BD4B5A"/>
    <w:rsid w:val="00BD4BB8"/>
    <w:rsid w:val="00BD4BE7"/>
    <w:rsid w:val="00BD4C80"/>
    <w:rsid w:val="00BD4C81"/>
    <w:rsid w:val="00BD4D7B"/>
    <w:rsid w:val="00BD4DFD"/>
    <w:rsid w:val="00BD4F0E"/>
    <w:rsid w:val="00BD4FF0"/>
    <w:rsid w:val="00BD51B9"/>
    <w:rsid w:val="00BD54BD"/>
    <w:rsid w:val="00BD550F"/>
    <w:rsid w:val="00BD5558"/>
    <w:rsid w:val="00BD557D"/>
    <w:rsid w:val="00BD5698"/>
    <w:rsid w:val="00BD5889"/>
    <w:rsid w:val="00BD58DC"/>
    <w:rsid w:val="00BD592B"/>
    <w:rsid w:val="00BD599B"/>
    <w:rsid w:val="00BD59F0"/>
    <w:rsid w:val="00BD5B46"/>
    <w:rsid w:val="00BD5B91"/>
    <w:rsid w:val="00BD5C1E"/>
    <w:rsid w:val="00BD5C44"/>
    <w:rsid w:val="00BD5CCF"/>
    <w:rsid w:val="00BD5D62"/>
    <w:rsid w:val="00BD5DF2"/>
    <w:rsid w:val="00BD5E20"/>
    <w:rsid w:val="00BD5E92"/>
    <w:rsid w:val="00BD5F91"/>
    <w:rsid w:val="00BD6055"/>
    <w:rsid w:val="00BD60B7"/>
    <w:rsid w:val="00BD613F"/>
    <w:rsid w:val="00BD6158"/>
    <w:rsid w:val="00BD6279"/>
    <w:rsid w:val="00BD6353"/>
    <w:rsid w:val="00BD63C2"/>
    <w:rsid w:val="00BD6484"/>
    <w:rsid w:val="00BD64B3"/>
    <w:rsid w:val="00BD6512"/>
    <w:rsid w:val="00BD6588"/>
    <w:rsid w:val="00BD674B"/>
    <w:rsid w:val="00BD6897"/>
    <w:rsid w:val="00BD6B2A"/>
    <w:rsid w:val="00BD6B54"/>
    <w:rsid w:val="00BD6C34"/>
    <w:rsid w:val="00BD6D33"/>
    <w:rsid w:val="00BD6F42"/>
    <w:rsid w:val="00BD7051"/>
    <w:rsid w:val="00BD70A7"/>
    <w:rsid w:val="00BD70D9"/>
    <w:rsid w:val="00BD7134"/>
    <w:rsid w:val="00BD71B3"/>
    <w:rsid w:val="00BD733D"/>
    <w:rsid w:val="00BD7356"/>
    <w:rsid w:val="00BD7384"/>
    <w:rsid w:val="00BD73E8"/>
    <w:rsid w:val="00BD742C"/>
    <w:rsid w:val="00BD7576"/>
    <w:rsid w:val="00BD763C"/>
    <w:rsid w:val="00BD764D"/>
    <w:rsid w:val="00BD76AF"/>
    <w:rsid w:val="00BD76C3"/>
    <w:rsid w:val="00BD76ED"/>
    <w:rsid w:val="00BD7731"/>
    <w:rsid w:val="00BD7741"/>
    <w:rsid w:val="00BD77F4"/>
    <w:rsid w:val="00BD7957"/>
    <w:rsid w:val="00BD79E4"/>
    <w:rsid w:val="00BD7A06"/>
    <w:rsid w:val="00BD7B56"/>
    <w:rsid w:val="00BD7C11"/>
    <w:rsid w:val="00BD7C91"/>
    <w:rsid w:val="00BD7CDA"/>
    <w:rsid w:val="00BD7DCC"/>
    <w:rsid w:val="00BD7DF1"/>
    <w:rsid w:val="00BD7E5B"/>
    <w:rsid w:val="00BD7EA0"/>
    <w:rsid w:val="00BD7F25"/>
    <w:rsid w:val="00BE0241"/>
    <w:rsid w:val="00BE040C"/>
    <w:rsid w:val="00BE04D6"/>
    <w:rsid w:val="00BE0511"/>
    <w:rsid w:val="00BE0633"/>
    <w:rsid w:val="00BE0640"/>
    <w:rsid w:val="00BE0989"/>
    <w:rsid w:val="00BE0A05"/>
    <w:rsid w:val="00BE0A74"/>
    <w:rsid w:val="00BE0AA7"/>
    <w:rsid w:val="00BE0AB8"/>
    <w:rsid w:val="00BE0ADD"/>
    <w:rsid w:val="00BE0C34"/>
    <w:rsid w:val="00BE0CA0"/>
    <w:rsid w:val="00BE0CCA"/>
    <w:rsid w:val="00BE0D11"/>
    <w:rsid w:val="00BE0F57"/>
    <w:rsid w:val="00BE0F58"/>
    <w:rsid w:val="00BE0FAF"/>
    <w:rsid w:val="00BE1072"/>
    <w:rsid w:val="00BE1232"/>
    <w:rsid w:val="00BE12E8"/>
    <w:rsid w:val="00BE12F2"/>
    <w:rsid w:val="00BE14C0"/>
    <w:rsid w:val="00BE153B"/>
    <w:rsid w:val="00BE15AB"/>
    <w:rsid w:val="00BE166C"/>
    <w:rsid w:val="00BE17A0"/>
    <w:rsid w:val="00BE1874"/>
    <w:rsid w:val="00BE18E9"/>
    <w:rsid w:val="00BE1A76"/>
    <w:rsid w:val="00BE1C5D"/>
    <w:rsid w:val="00BE1CBB"/>
    <w:rsid w:val="00BE1D28"/>
    <w:rsid w:val="00BE1D75"/>
    <w:rsid w:val="00BE1D82"/>
    <w:rsid w:val="00BE1DF5"/>
    <w:rsid w:val="00BE1EA9"/>
    <w:rsid w:val="00BE1F14"/>
    <w:rsid w:val="00BE1F1A"/>
    <w:rsid w:val="00BE1F54"/>
    <w:rsid w:val="00BE1F87"/>
    <w:rsid w:val="00BE2079"/>
    <w:rsid w:val="00BE2158"/>
    <w:rsid w:val="00BE235F"/>
    <w:rsid w:val="00BE2508"/>
    <w:rsid w:val="00BE259D"/>
    <w:rsid w:val="00BE2616"/>
    <w:rsid w:val="00BE27DD"/>
    <w:rsid w:val="00BE29DA"/>
    <w:rsid w:val="00BE29E4"/>
    <w:rsid w:val="00BE2A03"/>
    <w:rsid w:val="00BE2AE2"/>
    <w:rsid w:val="00BE2B46"/>
    <w:rsid w:val="00BE2BE1"/>
    <w:rsid w:val="00BE2CCF"/>
    <w:rsid w:val="00BE2D2D"/>
    <w:rsid w:val="00BE2DA1"/>
    <w:rsid w:val="00BE2DC0"/>
    <w:rsid w:val="00BE2E98"/>
    <w:rsid w:val="00BE2F87"/>
    <w:rsid w:val="00BE3101"/>
    <w:rsid w:val="00BE31BC"/>
    <w:rsid w:val="00BE3202"/>
    <w:rsid w:val="00BE3209"/>
    <w:rsid w:val="00BE3417"/>
    <w:rsid w:val="00BE3424"/>
    <w:rsid w:val="00BE3467"/>
    <w:rsid w:val="00BE34BC"/>
    <w:rsid w:val="00BE35D4"/>
    <w:rsid w:val="00BE367B"/>
    <w:rsid w:val="00BE3876"/>
    <w:rsid w:val="00BE39A9"/>
    <w:rsid w:val="00BE39C5"/>
    <w:rsid w:val="00BE3A6A"/>
    <w:rsid w:val="00BE3AC5"/>
    <w:rsid w:val="00BE3ADA"/>
    <w:rsid w:val="00BE3B56"/>
    <w:rsid w:val="00BE3D13"/>
    <w:rsid w:val="00BE3D7B"/>
    <w:rsid w:val="00BE3F7A"/>
    <w:rsid w:val="00BE3FFB"/>
    <w:rsid w:val="00BE401B"/>
    <w:rsid w:val="00BE40D1"/>
    <w:rsid w:val="00BE40E2"/>
    <w:rsid w:val="00BE41BB"/>
    <w:rsid w:val="00BE41F6"/>
    <w:rsid w:val="00BE420B"/>
    <w:rsid w:val="00BE425A"/>
    <w:rsid w:val="00BE42BD"/>
    <w:rsid w:val="00BE438B"/>
    <w:rsid w:val="00BE43CA"/>
    <w:rsid w:val="00BE4408"/>
    <w:rsid w:val="00BE444D"/>
    <w:rsid w:val="00BE4492"/>
    <w:rsid w:val="00BE45F1"/>
    <w:rsid w:val="00BE4628"/>
    <w:rsid w:val="00BE46B1"/>
    <w:rsid w:val="00BE4772"/>
    <w:rsid w:val="00BE4936"/>
    <w:rsid w:val="00BE4A04"/>
    <w:rsid w:val="00BE4A9F"/>
    <w:rsid w:val="00BE4AEA"/>
    <w:rsid w:val="00BE4CDF"/>
    <w:rsid w:val="00BE4CF4"/>
    <w:rsid w:val="00BE4F61"/>
    <w:rsid w:val="00BE4F6A"/>
    <w:rsid w:val="00BE505A"/>
    <w:rsid w:val="00BE50D0"/>
    <w:rsid w:val="00BE52BF"/>
    <w:rsid w:val="00BE537B"/>
    <w:rsid w:val="00BE53EB"/>
    <w:rsid w:val="00BE5534"/>
    <w:rsid w:val="00BE558D"/>
    <w:rsid w:val="00BE58A7"/>
    <w:rsid w:val="00BE58A9"/>
    <w:rsid w:val="00BE5A56"/>
    <w:rsid w:val="00BE5B45"/>
    <w:rsid w:val="00BE5C17"/>
    <w:rsid w:val="00BE5C2C"/>
    <w:rsid w:val="00BE5C79"/>
    <w:rsid w:val="00BE5DC1"/>
    <w:rsid w:val="00BE5DDD"/>
    <w:rsid w:val="00BE5E1A"/>
    <w:rsid w:val="00BE5EA9"/>
    <w:rsid w:val="00BE5EF4"/>
    <w:rsid w:val="00BE5FC5"/>
    <w:rsid w:val="00BE60AA"/>
    <w:rsid w:val="00BE6170"/>
    <w:rsid w:val="00BE61AF"/>
    <w:rsid w:val="00BE62F4"/>
    <w:rsid w:val="00BE62F6"/>
    <w:rsid w:val="00BE64E1"/>
    <w:rsid w:val="00BE6567"/>
    <w:rsid w:val="00BE6716"/>
    <w:rsid w:val="00BE67C8"/>
    <w:rsid w:val="00BE69DF"/>
    <w:rsid w:val="00BE6B1F"/>
    <w:rsid w:val="00BE6C0F"/>
    <w:rsid w:val="00BE6C16"/>
    <w:rsid w:val="00BE6C3D"/>
    <w:rsid w:val="00BE6CD0"/>
    <w:rsid w:val="00BE6E33"/>
    <w:rsid w:val="00BE6E7E"/>
    <w:rsid w:val="00BE6F9C"/>
    <w:rsid w:val="00BE711E"/>
    <w:rsid w:val="00BE71B8"/>
    <w:rsid w:val="00BE721C"/>
    <w:rsid w:val="00BE7261"/>
    <w:rsid w:val="00BE745B"/>
    <w:rsid w:val="00BE7576"/>
    <w:rsid w:val="00BE7604"/>
    <w:rsid w:val="00BE77CD"/>
    <w:rsid w:val="00BE7963"/>
    <w:rsid w:val="00BE7A97"/>
    <w:rsid w:val="00BE7AB5"/>
    <w:rsid w:val="00BE7BF8"/>
    <w:rsid w:val="00BE7BFD"/>
    <w:rsid w:val="00BE7C73"/>
    <w:rsid w:val="00BE7C74"/>
    <w:rsid w:val="00BE7C81"/>
    <w:rsid w:val="00BE7D08"/>
    <w:rsid w:val="00BE7D16"/>
    <w:rsid w:val="00BE7DC0"/>
    <w:rsid w:val="00BE7F71"/>
    <w:rsid w:val="00BE7FEE"/>
    <w:rsid w:val="00BE7FFE"/>
    <w:rsid w:val="00BF017A"/>
    <w:rsid w:val="00BF01BF"/>
    <w:rsid w:val="00BF0247"/>
    <w:rsid w:val="00BF043F"/>
    <w:rsid w:val="00BF05A9"/>
    <w:rsid w:val="00BF05C6"/>
    <w:rsid w:val="00BF068D"/>
    <w:rsid w:val="00BF06BC"/>
    <w:rsid w:val="00BF07DC"/>
    <w:rsid w:val="00BF0818"/>
    <w:rsid w:val="00BF081D"/>
    <w:rsid w:val="00BF08AC"/>
    <w:rsid w:val="00BF08DD"/>
    <w:rsid w:val="00BF0A44"/>
    <w:rsid w:val="00BF0A62"/>
    <w:rsid w:val="00BF0B37"/>
    <w:rsid w:val="00BF0B63"/>
    <w:rsid w:val="00BF0B70"/>
    <w:rsid w:val="00BF0BA1"/>
    <w:rsid w:val="00BF0BBF"/>
    <w:rsid w:val="00BF0C9D"/>
    <w:rsid w:val="00BF0CC1"/>
    <w:rsid w:val="00BF0D2E"/>
    <w:rsid w:val="00BF0E2E"/>
    <w:rsid w:val="00BF0E5A"/>
    <w:rsid w:val="00BF1110"/>
    <w:rsid w:val="00BF1377"/>
    <w:rsid w:val="00BF1550"/>
    <w:rsid w:val="00BF1576"/>
    <w:rsid w:val="00BF16DA"/>
    <w:rsid w:val="00BF19C6"/>
    <w:rsid w:val="00BF1A2E"/>
    <w:rsid w:val="00BF1C9C"/>
    <w:rsid w:val="00BF1CFB"/>
    <w:rsid w:val="00BF1D01"/>
    <w:rsid w:val="00BF1E32"/>
    <w:rsid w:val="00BF1EBC"/>
    <w:rsid w:val="00BF1F5C"/>
    <w:rsid w:val="00BF1FBE"/>
    <w:rsid w:val="00BF200F"/>
    <w:rsid w:val="00BF205B"/>
    <w:rsid w:val="00BF20F3"/>
    <w:rsid w:val="00BF2122"/>
    <w:rsid w:val="00BF2171"/>
    <w:rsid w:val="00BF2192"/>
    <w:rsid w:val="00BF2277"/>
    <w:rsid w:val="00BF22BB"/>
    <w:rsid w:val="00BF22E3"/>
    <w:rsid w:val="00BF246C"/>
    <w:rsid w:val="00BF2476"/>
    <w:rsid w:val="00BF2480"/>
    <w:rsid w:val="00BF25AC"/>
    <w:rsid w:val="00BF25F4"/>
    <w:rsid w:val="00BF262E"/>
    <w:rsid w:val="00BF26CC"/>
    <w:rsid w:val="00BF26D2"/>
    <w:rsid w:val="00BF29CA"/>
    <w:rsid w:val="00BF2A14"/>
    <w:rsid w:val="00BF2A4F"/>
    <w:rsid w:val="00BF2B8C"/>
    <w:rsid w:val="00BF2BA5"/>
    <w:rsid w:val="00BF2BB9"/>
    <w:rsid w:val="00BF2C10"/>
    <w:rsid w:val="00BF2CB1"/>
    <w:rsid w:val="00BF2CBE"/>
    <w:rsid w:val="00BF2E3B"/>
    <w:rsid w:val="00BF2E56"/>
    <w:rsid w:val="00BF2E69"/>
    <w:rsid w:val="00BF2F0B"/>
    <w:rsid w:val="00BF2F6D"/>
    <w:rsid w:val="00BF3036"/>
    <w:rsid w:val="00BF30DE"/>
    <w:rsid w:val="00BF3142"/>
    <w:rsid w:val="00BF3153"/>
    <w:rsid w:val="00BF316D"/>
    <w:rsid w:val="00BF3218"/>
    <w:rsid w:val="00BF334D"/>
    <w:rsid w:val="00BF359A"/>
    <w:rsid w:val="00BF35C1"/>
    <w:rsid w:val="00BF37BB"/>
    <w:rsid w:val="00BF38CF"/>
    <w:rsid w:val="00BF3993"/>
    <w:rsid w:val="00BF39E5"/>
    <w:rsid w:val="00BF3AE8"/>
    <w:rsid w:val="00BF3B0D"/>
    <w:rsid w:val="00BF3B70"/>
    <w:rsid w:val="00BF3C6C"/>
    <w:rsid w:val="00BF3C71"/>
    <w:rsid w:val="00BF3CA8"/>
    <w:rsid w:val="00BF3D46"/>
    <w:rsid w:val="00BF3D7A"/>
    <w:rsid w:val="00BF3D9B"/>
    <w:rsid w:val="00BF3D9F"/>
    <w:rsid w:val="00BF3E8A"/>
    <w:rsid w:val="00BF3EB8"/>
    <w:rsid w:val="00BF3ECC"/>
    <w:rsid w:val="00BF3F1E"/>
    <w:rsid w:val="00BF3FD9"/>
    <w:rsid w:val="00BF4058"/>
    <w:rsid w:val="00BF40AC"/>
    <w:rsid w:val="00BF40C0"/>
    <w:rsid w:val="00BF4145"/>
    <w:rsid w:val="00BF414F"/>
    <w:rsid w:val="00BF433F"/>
    <w:rsid w:val="00BF45CC"/>
    <w:rsid w:val="00BF4653"/>
    <w:rsid w:val="00BF46E6"/>
    <w:rsid w:val="00BF4809"/>
    <w:rsid w:val="00BF4830"/>
    <w:rsid w:val="00BF48F8"/>
    <w:rsid w:val="00BF491D"/>
    <w:rsid w:val="00BF49DB"/>
    <w:rsid w:val="00BF49E3"/>
    <w:rsid w:val="00BF4AD2"/>
    <w:rsid w:val="00BF4AFB"/>
    <w:rsid w:val="00BF4C3A"/>
    <w:rsid w:val="00BF4CEC"/>
    <w:rsid w:val="00BF4D4C"/>
    <w:rsid w:val="00BF4DE8"/>
    <w:rsid w:val="00BF4E57"/>
    <w:rsid w:val="00BF4E86"/>
    <w:rsid w:val="00BF4F81"/>
    <w:rsid w:val="00BF4F9D"/>
    <w:rsid w:val="00BF4FB8"/>
    <w:rsid w:val="00BF501E"/>
    <w:rsid w:val="00BF508E"/>
    <w:rsid w:val="00BF50CA"/>
    <w:rsid w:val="00BF50E9"/>
    <w:rsid w:val="00BF51BE"/>
    <w:rsid w:val="00BF52A5"/>
    <w:rsid w:val="00BF53A2"/>
    <w:rsid w:val="00BF53D3"/>
    <w:rsid w:val="00BF5439"/>
    <w:rsid w:val="00BF54E3"/>
    <w:rsid w:val="00BF553F"/>
    <w:rsid w:val="00BF55C6"/>
    <w:rsid w:val="00BF5851"/>
    <w:rsid w:val="00BF5A4B"/>
    <w:rsid w:val="00BF5A4D"/>
    <w:rsid w:val="00BF5BA3"/>
    <w:rsid w:val="00BF5C48"/>
    <w:rsid w:val="00BF5C68"/>
    <w:rsid w:val="00BF5CDC"/>
    <w:rsid w:val="00BF5CE3"/>
    <w:rsid w:val="00BF5E08"/>
    <w:rsid w:val="00BF5E0F"/>
    <w:rsid w:val="00BF5FA5"/>
    <w:rsid w:val="00BF6105"/>
    <w:rsid w:val="00BF6145"/>
    <w:rsid w:val="00BF6376"/>
    <w:rsid w:val="00BF63A1"/>
    <w:rsid w:val="00BF6425"/>
    <w:rsid w:val="00BF6494"/>
    <w:rsid w:val="00BF6526"/>
    <w:rsid w:val="00BF6544"/>
    <w:rsid w:val="00BF654F"/>
    <w:rsid w:val="00BF65DF"/>
    <w:rsid w:val="00BF67DB"/>
    <w:rsid w:val="00BF67F4"/>
    <w:rsid w:val="00BF68A3"/>
    <w:rsid w:val="00BF6A1C"/>
    <w:rsid w:val="00BF6B50"/>
    <w:rsid w:val="00BF6C45"/>
    <w:rsid w:val="00BF6CEA"/>
    <w:rsid w:val="00BF6E6A"/>
    <w:rsid w:val="00BF6EC4"/>
    <w:rsid w:val="00BF6F5F"/>
    <w:rsid w:val="00BF6FFC"/>
    <w:rsid w:val="00BF7027"/>
    <w:rsid w:val="00BF71C7"/>
    <w:rsid w:val="00BF73E4"/>
    <w:rsid w:val="00BF75E6"/>
    <w:rsid w:val="00BF77D5"/>
    <w:rsid w:val="00BF781F"/>
    <w:rsid w:val="00BF790B"/>
    <w:rsid w:val="00BF7AA8"/>
    <w:rsid w:val="00BF7B8E"/>
    <w:rsid w:val="00BF7BB9"/>
    <w:rsid w:val="00BF7C6E"/>
    <w:rsid w:val="00BF7C75"/>
    <w:rsid w:val="00BF7D6F"/>
    <w:rsid w:val="00BF7E33"/>
    <w:rsid w:val="00BF7E7F"/>
    <w:rsid w:val="00BF7F61"/>
    <w:rsid w:val="00BF7F73"/>
    <w:rsid w:val="00BF7FC9"/>
    <w:rsid w:val="00BF7FF7"/>
    <w:rsid w:val="00C00046"/>
    <w:rsid w:val="00C000CC"/>
    <w:rsid w:val="00C00108"/>
    <w:rsid w:val="00C001AF"/>
    <w:rsid w:val="00C001E3"/>
    <w:rsid w:val="00C001F5"/>
    <w:rsid w:val="00C00206"/>
    <w:rsid w:val="00C0043A"/>
    <w:rsid w:val="00C004C6"/>
    <w:rsid w:val="00C00684"/>
    <w:rsid w:val="00C0069D"/>
    <w:rsid w:val="00C006AB"/>
    <w:rsid w:val="00C00704"/>
    <w:rsid w:val="00C00826"/>
    <w:rsid w:val="00C00935"/>
    <w:rsid w:val="00C0094A"/>
    <w:rsid w:val="00C00A3D"/>
    <w:rsid w:val="00C00A7A"/>
    <w:rsid w:val="00C00B6D"/>
    <w:rsid w:val="00C00D21"/>
    <w:rsid w:val="00C00DBA"/>
    <w:rsid w:val="00C00DE0"/>
    <w:rsid w:val="00C00E87"/>
    <w:rsid w:val="00C00FB6"/>
    <w:rsid w:val="00C01195"/>
    <w:rsid w:val="00C012A7"/>
    <w:rsid w:val="00C012B5"/>
    <w:rsid w:val="00C01315"/>
    <w:rsid w:val="00C0137F"/>
    <w:rsid w:val="00C0145F"/>
    <w:rsid w:val="00C01793"/>
    <w:rsid w:val="00C017F8"/>
    <w:rsid w:val="00C018F3"/>
    <w:rsid w:val="00C01B5A"/>
    <w:rsid w:val="00C01C1C"/>
    <w:rsid w:val="00C01C7F"/>
    <w:rsid w:val="00C01CDE"/>
    <w:rsid w:val="00C01E86"/>
    <w:rsid w:val="00C02008"/>
    <w:rsid w:val="00C020D0"/>
    <w:rsid w:val="00C02144"/>
    <w:rsid w:val="00C021F3"/>
    <w:rsid w:val="00C02235"/>
    <w:rsid w:val="00C0227C"/>
    <w:rsid w:val="00C02634"/>
    <w:rsid w:val="00C0267F"/>
    <w:rsid w:val="00C027C1"/>
    <w:rsid w:val="00C028AC"/>
    <w:rsid w:val="00C0290C"/>
    <w:rsid w:val="00C0293D"/>
    <w:rsid w:val="00C02B50"/>
    <w:rsid w:val="00C02B52"/>
    <w:rsid w:val="00C02C02"/>
    <w:rsid w:val="00C02C9D"/>
    <w:rsid w:val="00C02D87"/>
    <w:rsid w:val="00C02EA6"/>
    <w:rsid w:val="00C02F01"/>
    <w:rsid w:val="00C02FCF"/>
    <w:rsid w:val="00C0319E"/>
    <w:rsid w:val="00C031BE"/>
    <w:rsid w:val="00C031CF"/>
    <w:rsid w:val="00C03205"/>
    <w:rsid w:val="00C0326F"/>
    <w:rsid w:val="00C032AF"/>
    <w:rsid w:val="00C0341C"/>
    <w:rsid w:val="00C0347E"/>
    <w:rsid w:val="00C035BC"/>
    <w:rsid w:val="00C037A7"/>
    <w:rsid w:val="00C037D9"/>
    <w:rsid w:val="00C0390B"/>
    <w:rsid w:val="00C039A9"/>
    <w:rsid w:val="00C03D33"/>
    <w:rsid w:val="00C03DA5"/>
    <w:rsid w:val="00C03DFC"/>
    <w:rsid w:val="00C03E75"/>
    <w:rsid w:val="00C03E95"/>
    <w:rsid w:val="00C04010"/>
    <w:rsid w:val="00C04064"/>
    <w:rsid w:val="00C0415A"/>
    <w:rsid w:val="00C04168"/>
    <w:rsid w:val="00C0428A"/>
    <w:rsid w:val="00C042A9"/>
    <w:rsid w:val="00C04363"/>
    <w:rsid w:val="00C044BE"/>
    <w:rsid w:val="00C044EE"/>
    <w:rsid w:val="00C0455E"/>
    <w:rsid w:val="00C045CD"/>
    <w:rsid w:val="00C046CD"/>
    <w:rsid w:val="00C04899"/>
    <w:rsid w:val="00C04904"/>
    <w:rsid w:val="00C04921"/>
    <w:rsid w:val="00C04937"/>
    <w:rsid w:val="00C04974"/>
    <w:rsid w:val="00C049AF"/>
    <w:rsid w:val="00C04A6A"/>
    <w:rsid w:val="00C04C5E"/>
    <w:rsid w:val="00C04D23"/>
    <w:rsid w:val="00C04D7A"/>
    <w:rsid w:val="00C04EF4"/>
    <w:rsid w:val="00C050DA"/>
    <w:rsid w:val="00C05162"/>
    <w:rsid w:val="00C051D3"/>
    <w:rsid w:val="00C051DA"/>
    <w:rsid w:val="00C052F2"/>
    <w:rsid w:val="00C05457"/>
    <w:rsid w:val="00C0548C"/>
    <w:rsid w:val="00C054B8"/>
    <w:rsid w:val="00C0551B"/>
    <w:rsid w:val="00C057CF"/>
    <w:rsid w:val="00C05830"/>
    <w:rsid w:val="00C05847"/>
    <w:rsid w:val="00C0595A"/>
    <w:rsid w:val="00C0597B"/>
    <w:rsid w:val="00C05A4B"/>
    <w:rsid w:val="00C05ACE"/>
    <w:rsid w:val="00C05ADD"/>
    <w:rsid w:val="00C05B0F"/>
    <w:rsid w:val="00C05B85"/>
    <w:rsid w:val="00C05B97"/>
    <w:rsid w:val="00C05C06"/>
    <w:rsid w:val="00C05C1E"/>
    <w:rsid w:val="00C05C2B"/>
    <w:rsid w:val="00C05C9F"/>
    <w:rsid w:val="00C05D47"/>
    <w:rsid w:val="00C05EDF"/>
    <w:rsid w:val="00C05EEA"/>
    <w:rsid w:val="00C05F60"/>
    <w:rsid w:val="00C06075"/>
    <w:rsid w:val="00C06113"/>
    <w:rsid w:val="00C0613B"/>
    <w:rsid w:val="00C06186"/>
    <w:rsid w:val="00C061FD"/>
    <w:rsid w:val="00C06278"/>
    <w:rsid w:val="00C06316"/>
    <w:rsid w:val="00C063BC"/>
    <w:rsid w:val="00C063E1"/>
    <w:rsid w:val="00C063F8"/>
    <w:rsid w:val="00C063FD"/>
    <w:rsid w:val="00C06449"/>
    <w:rsid w:val="00C06479"/>
    <w:rsid w:val="00C064D1"/>
    <w:rsid w:val="00C065BB"/>
    <w:rsid w:val="00C06666"/>
    <w:rsid w:val="00C0667C"/>
    <w:rsid w:val="00C06690"/>
    <w:rsid w:val="00C066C0"/>
    <w:rsid w:val="00C068A6"/>
    <w:rsid w:val="00C068CB"/>
    <w:rsid w:val="00C06999"/>
    <w:rsid w:val="00C069AB"/>
    <w:rsid w:val="00C069C1"/>
    <w:rsid w:val="00C06B73"/>
    <w:rsid w:val="00C06C68"/>
    <w:rsid w:val="00C06C6B"/>
    <w:rsid w:val="00C06CC2"/>
    <w:rsid w:val="00C06D1E"/>
    <w:rsid w:val="00C06E45"/>
    <w:rsid w:val="00C06FA2"/>
    <w:rsid w:val="00C06FE3"/>
    <w:rsid w:val="00C07061"/>
    <w:rsid w:val="00C070C0"/>
    <w:rsid w:val="00C0721F"/>
    <w:rsid w:val="00C073B3"/>
    <w:rsid w:val="00C073E5"/>
    <w:rsid w:val="00C07401"/>
    <w:rsid w:val="00C07421"/>
    <w:rsid w:val="00C07470"/>
    <w:rsid w:val="00C074AC"/>
    <w:rsid w:val="00C075CC"/>
    <w:rsid w:val="00C0767C"/>
    <w:rsid w:val="00C0771B"/>
    <w:rsid w:val="00C07931"/>
    <w:rsid w:val="00C07999"/>
    <w:rsid w:val="00C07A60"/>
    <w:rsid w:val="00C07A62"/>
    <w:rsid w:val="00C07B5A"/>
    <w:rsid w:val="00C07B78"/>
    <w:rsid w:val="00C07C70"/>
    <w:rsid w:val="00C07DF6"/>
    <w:rsid w:val="00C07F2A"/>
    <w:rsid w:val="00C10012"/>
    <w:rsid w:val="00C10105"/>
    <w:rsid w:val="00C10125"/>
    <w:rsid w:val="00C101AB"/>
    <w:rsid w:val="00C101D3"/>
    <w:rsid w:val="00C10356"/>
    <w:rsid w:val="00C10372"/>
    <w:rsid w:val="00C103CE"/>
    <w:rsid w:val="00C1044B"/>
    <w:rsid w:val="00C10489"/>
    <w:rsid w:val="00C105F1"/>
    <w:rsid w:val="00C1067D"/>
    <w:rsid w:val="00C10910"/>
    <w:rsid w:val="00C10ACA"/>
    <w:rsid w:val="00C10B79"/>
    <w:rsid w:val="00C10BDC"/>
    <w:rsid w:val="00C10D10"/>
    <w:rsid w:val="00C10D8D"/>
    <w:rsid w:val="00C10F37"/>
    <w:rsid w:val="00C1106E"/>
    <w:rsid w:val="00C11120"/>
    <w:rsid w:val="00C1113D"/>
    <w:rsid w:val="00C11163"/>
    <w:rsid w:val="00C111D3"/>
    <w:rsid w:val="00C111DE"/>
    <w:rsid w:val="00C112D2"/>
    <w:rsid w:val="00C1132D"/>
    <w:rsid w:val="00C113EA"/>
    <w:rsid w:val="00C1143D"/>
    <w:rsid w:val="00C11487"/>
    <w:rsid w:val="00C114E4"/>
    <w:rsid w:val="00C115CB"/>
    <w:rsid w:val="00C1161A"/>
    <w:rsid w:val="00C116A9"/>
    <w:rsid w:val="00C11909"/>
    <w:rsid w:val="00C11987"/>
    <w:rsid w:val="00C119C4"/>
    <w:rsid w:val="00C119D9"/>
    <w:rsid w:val="00C11A7B"/>
    <w:rsid w:val="00C11C10"/>
    <w:rsid w:val="00C11C3C"/>
    <w:rsid w:val="00C11CB4"/>
    <w:rsid w:val="00C11E6D"/>
    <w:rsid w:val="00C11EEE"/>
    <w:rsid w:val="00C11F59"/>
    <w:rsid w:val="00C11FC3"/>
    <w:rsid w:val="00C11FC9"/>
    <w:rsid w:val="00C11FD1"/>
    <w:rsid w:val="00C120BD"/>
    <w:rsid w:val="00C120C4"/>
    <w:rsid w:val="00C12210"/>
    <w:rsid w:val="00C122CD"/>
    <w:rsid w:val="00C12502"/>
    <w:rsid w:val="00C12527"/>
    <w:rsid w:val="00C12579"/>
    <w:rsid w:val="00C1260B"/>
    <w:rsid w:val="00C12616"/>
    <w:rsid w:val="00C12639"/>
    <w:rsid w:val="00C126D7"/>
    <w:rsid w:val="00C1288D"/>
    <w:rsid w:val="00C1289C"/>
    <w:rsid w:val="00C12A27"/>
    <w:rsid w:val="00C12B66"/>
    <w:rsid w:val="00C12B81"/>
    <w:rsid w:val="00C12C0F"/>
    <w:rsid w:val="00C12C64"/>
    <w:rsid w:val="00C12D09"/>
    <w:rsid w:val="00C12FA2"/>
    <w:rsid w:val="00C13099"/>
    <w:rsid w:val="00C13128"/>
    <w:rsid w:val="00C131C7"/>
    <w:rsid w:val="00C132CA"/>
    <w:rsid w:val="00C132F1"/>
    <w:rsid w:val="00C13336"/>
    <w:rsid w:val="00C13341"/>
    <w:rsid w:val="00C13556"/>
    <w:rsid w:val="00C135C9"/>
    <w:rsid w:val="00C135D0"/>
    <w:rsid w:val="00C13611"/>
    <w:rsid w:val="00C139BB"/>
    <w:rsid w:val="00C13B93"/>
    <w:rsid w:val="00C13C03"/>
    <w:rsid w:val="00C13D22"/>
    <w:rsid w:val="00C13D6B"/>
    <w:rsid w:val="00C13E5C"/>
    <w:rsid w:val="00C13F95"/>
    <w:rsid w:val="00C13FA0"/>
    <w:rsid w:val="00C1430D"/>
    <w:rsid w:val="00C1433B"/>
    <w:rsid w:val="00C143A4"/>
    <w:rsid w:val="00C143AA"/>
    <w:rsid w:val="00C14439"/>
    <w:rsid w:val="00C1446F"/>
    <w:rsid w:val="00C145C7"/>
    <w:rsid w:val="00C145CB"/>
    <w:rsid w:val="00C14722"/>
    <w:rsid w:val="00C14777"/>
    <w:rsid w:val="00C14793"/>
    <w:rsid w:val="00C14A7D"/>
    <w:rsid w:val="00C14AAF"/>
    <w:rsid w:val="00C14B0D"/>
    <w:rsid w:val="00C14B45"/>
    <w:rsid w:val="00C14B9D"/>
    <w:rsid w:val="00C14C88"/>
    <w:rsid w:val="00C14EBA"/>
    <w:rsid w:val="00C14FE4"/>
    <w:rsid w:val="00C14FE8"/>
    <w:rsid w:val="00C150A4"/>
    <w:rsid w:val="00C150D5"/>
    <w:rsid w:val="00C150EC"/>
    <w:rsid w:val="00C15211"/>
    <w:rsid w:val="00C154D0"/>
    <w:rsid w:val="00C1551C"/>
    <w:rsid w:val="00C15674"/>
    <w:rsid w:val="00C1568C"/>
    <w:rsid w:val="00C15725"/>
    <w:rsid w:val="00C1595C"/>
    <w:rsid w:val="00C15988"/>
    <w:rsid w:val="00C1598D"/>
    <w:rsid w:val="00C15AC6"/>
    <w:rsid w:val="00C15AFF"/>
    <w:rsid w:val="00C15B7B"/>
    <w:rsid w:val="00C15CD5"/>
    <w:rsid w:val="00C15E46"/>
    <w:rsid w:val="00C1614A"/>
    <w:rsid w:val="00C161A0"/>
    <w:rsid w:val="00C162E1"/>
    <w:rsid w:val="00C16346"/>
    <w:rsid w:val="00C1635E"/>
    <w:rsid w:val="00C16370"/>
    <w:rsid w:val="00C1638E"/>
    <w:rsid w:val="00C163C3"/>
    <w:rsid w:val="00C163EB"/>
    <w:rsid w:val="00C165D1"/>
    <w:rsid w:val="00C16691"/>
    <w:rsid w:val="00C166DC"/>
    <w:rsid w:val="00C16760"/>
    <w:rsid w:val="00C1676D"/>
    <w:rsid w:val="00C1679E"/>
    <w:rsid w:val="00C168B6"/>
    <w:rsid w:val="00C169EF"/>
    <w:rsid w:val="00C16AC1"/>
    <w:rsid w:val="00C16AD9"/>
    <w:rsid w:val="00C16AF0"/>
    <w:rsid w:val="00C16B68"/>
    <w:rsid w:val="00C16D18"/>
    <w:rsid w:val="00C16D63"/>
    <w:rsid w:val="00C16DA0"/>
    <w:rsid w:val="00C16DFA"/>
    <w:rsid w:val="00C16E3B"/>
    <w:rsid w:val="00C16F01"/>
    <w:rsid w:val="00C17037"/>
    <w:rsid w:val="00C17049"/>
    <w:rsid w:val="00C17059"/>
    <w:rsid w:val="00C17109"/>
    <w:rsid w:val="00C1712D"/>
    <w:rsid w:val="00C17139"/>
    <w:rsid w:val="00C17199"/>
    <w:rsid w:val="00C171A6"/>
    <w:rsid w:val="00C171CC"/>
    <w:rsid w:val="00C17208"/>
    <w:rsid w:val="00C17238"/>
    <w:rsid w:val="00C1732C"/>
    <w:rsid w:val="00C17370"/>
    <w:rsid w:val="00C173B5"/>
    <w:rsid w:val="00C174CD"/>
    <w:rsid w:val="00C17504"/>
    <w:rsid w:val="00C1750E"/>
    <w:rsid w:val="00C1757B"/>
    <w:rsid w:val="00C1762C"/>
    <w:rsid w:val="00C17842"/>
    <w:rsid w:val="00C17976"/>
    <w:rsid w:val="00C1797C"/>
    <w:rsid w:val="00C17992"/>
    <w:rsid w:val="00C17C1A"/>
    <w:rsid w:val="00C17C20"/>
    <w:rsid w:val="00C17C3C"/>
    <w:rsid w:val="00C17C79"/>
    <w:rsid w:val="00C17D45"/>
    <w:rsid w:val="00C17DAF"/>
    <w:rsid w:val="00C17F64"/>
    <w:rsid w:val="00C17FE0"/>
    <w:rsid w:val="00C20068"/>
    <w:rsid w:val="00C20101"/>
    <w:rsid w:val="00C2010B"/>
    <w:rsid w:val="00C2011F"/>
    <w:rsid w:val="00C20180"/>
    <w:rsid w:val="00C2018F"/>
    <w:rsid w:val="00C201FF"/>
    <w:rsid w:val="00C2029B"/>
    <w:rsid w:val="00C20480"/>
    <w:rsid w:val="00C205A0"/>
    <w:rsid w:val="00C2083B"/>
    <w:rsid w:val="00C2083F"/>
    <w:rsid w:val="00C2084E"/>
    <w:rsid w:val="00C208AA"/>
    <w:rsid w:val="00C20964"/>
    <w:rsid w:val="00C20989"/>
    <w:rsid w:val="00C209CB"/>
    <w:rsid w:val="00C20A0E"/>
    <w:rsid w:val="00C20A69"/>
    <w:rsid w:val="00C20A99"/>
    <w:rsid w:val="00C20BF4"/>
    <w:rsid w:val="00C20D2F"/>
    <w:rsid w:val="00C20E3E"/>
    <w:rsid w:val="00C20ECE"/>
    <w:rsid w:val="00C20F2B"/>
    <w:rsid w:val="00C21041"/>
    <w:rsid w:val="00C21102"/>
    <w:rsid w:val="00C2111B"/>
    <w:rsid w:val="00C2124D"/>
    <w:rsid w:val="00C2131E"/>
    <w:rsid w:val="00C2145B"/>
    <w:rsid w:val="00C214A6"/>
    <w:rsid w:val="00C214EE"/>
    <w:rsid w:val="00C2150F"/>
    <w:rsid w:val="00C2155F"/>
    <w:rsid w:val="00C21617"/>
    <w:rsid w:val="00C217D1"/>
    <w:rsid w:val="00C2186F"/>
    <w:rsid w:val="00C21920"/>
    <w:rsid w:val="00C21A9C"/>
    <w:rsid w:val="00C21B8D"/>
    <w:rsid w:val="00C21C9D"/>
    <w:rsid w:val="00C21CEA"/>
    <w:rsid w:val="00C21D2F"/>
    <w:rsid w:val="00C21D9D"/>
    <w:rsid w:val="00C21DA6"/>
    <w:rsid w:val="00C21DDC"/>
    <w:rsid w:val="00C21E0C"/>
    <w:rsid w:val="00C21ED5"/>
    <w:rsid w:val="00C21F1D"/>
    <w:rsid w:val="00C21FB0"/>
    <w:rsid w:val="00C221FE"/>
    <w:rsid w:val="00C222ED"/>
    <w:rsid w:val="00C222FB"/>
    <w:rsid w:val="00C223E9"/>
    <w:rsid w:val="00C22656"/>
    <w:rsid w:val="00C226CE"/>
    <w:rsid w:val="00C22915"/>
    <w:rsid w:val="00C22928"/>
    <w:rsid w:val="00C2293C"/>
    <w:rsid w:val="00C22961"/>
    <w:rsid w:val="00C22981"/>
    <w:rsid w:val="00C2299F"/>
    <w:rsid w:val="00C22A5A"/>
    <w:rsid w:val="00C22B3C"/>
    <w:rsid w:val="00C22C43"/>
    <w:rsid w:val="00C22CCA"/>
    <w:rsid w:val="00C22CD7"/>
    <w:rsid w:val="00C22D8F"/>
    <w:rsid w:val="00C22FB0"/>
    <w:rsid w:val="00C230FB"/>
    <w:rsid w:val="00C231B3"/>
    <w:rsid w:val="00C231C3"/>
    <w:rsid w:val="00C231CA"/>
    <w:rsid w:val="00C231E9"/>
    <w:rsid w:val="00C23306"/>
    <w:rsid w:val="00C234B7"/>
    <w:rsid w:val="00C235FD"/>
    <w:rsid w:val="00C23642"/>
    <w:rsid w:val="00C237D2"/>
    <w:rsid w:val="00C238AC"/>
    <w:rsid w:val="00C2393F"/>
    <w:rsid w:val="00C239F5"/>
    <w:rsid w:val="00C23A75"/>
    <w:rsid w:val="00C23A8D"/>
    <w:rsid w:val="00C23B4A"/>
    <w:rsid w:val="00C23E1F"/>
    <w:rsid w:val="00C23ECA"/>
    <w:rsid w:val="00C23EE3"/>
    <w:rsid w:val="00C23FA6"/>
    <w:rsid w:val="00C241D1"/>
    <w:rsid w:val="00C243AB"/>
    <w:rsid w:val="00C243C5"/>
    <w:rsid w:val="00C243DB"/>
    <w:rsid w:val="00C244D2"/>
    <w:rsid w:val="00C24505"/>
    <w:rsid w:val="00C24545"/>
    <w:rsid w:val="00C24658"/>
    <w:rsid w:val="00C24676"/>
    <w:rsid w:val="00C24776"/>
    <w:rsid w:val="00C247DE"/>
    <w:rsid w:val="00C248F3"/>
    <w:rsid w:val="00C2492B"/>
    <w:rsid w:val="00C249BB"/>
    <w:rsid w:val="00C24A7C"/>
    <w:rsid w:val="00C24AB4"/>
    <w:rsid w:val="00C24ACE"/>
    <w:rsid w:val="00C24AD0"/>
    <w:rsid w:val="00C24B59"/>
    <w:rsid w:val="00C24D05"/>
    <w:rsid w:val="00C24D3C"/>
    <w:rsid w:val="00C24D6F"/>
    <w:rsid w:val="00C24FDD"/>
    <w:rsid w:val="00C2502A"/>
    <w:rsid w:val="00C250BA"/>
    <w:rsid w:val="00C25157"/>
    <w:rsid w:val="00C25158"/>
    <w:rsid w:val="00C251FC"/>
    <w:rsid w:val="00C253C0"/>
    <w:rsid w:val="00C2550E"/>
    <w:rsid w:val="00C2559E"/>
    <w:rsid w:val="00C25665"/>
    <w:rsid w:val="00C25677"/>
    <w:rsid w:val="00C25687"/>
    <w:rsid w:val="00C2574B"/>
    <w:rsid w:val="00C25781"/>
    <w:rsid w:val="00C257D1"/>
    <w:rsid w:val="00C258A4"/>
    <w:rsid w:val="00C258B2"/>
    <w:rsid w:val="00C258B3"/>
    <w:rsid w:val="00C258DE"/>
    <w:rsid w:val="00C2590D"/>
    <w:rsid w:val="00C25A66"/>
    <w:rsid w:val="00C25A72"/>
    <w:rsid w:val="00C25C2B"/>
    <w:rsid w:val="00C25D46"/>
    <w:rsid w:val="00C25F93"/>
    <w:rsid w:val="00C25FD7"/>
    <w:rsid w:val="00C2607E"/>
    <w:rsid w:val="00C26111"/>
    <w:rsid w:val="00C26196"/>
    <w:rsid w:val="00C26341"/>
    <w:rsid w:val="00C266FB"/>
    <w:rsid w:val="00C26801"/>
    <w:rsid w:val="00C26881"/>
    <w:rsid w:val="00C26A8A"/>
    <w:rsid w:val="00C26B5B"/>
    <w:rsid w:val="00C270A0"/>
    <w:rsid w:val="00C2728D"/>
    <w:rsid w:val="00C272E5"/>
    <w:rsid w:val="00C27300"/>
    <w:rsid w:val="00C27470"/>
    <w:rsid w:val="00C274A2"/>
    <w:rsid w:val="00C27541"/>
    <w:rsid w:val="00C275CD"/>
    <w:rsid w:val="00C27644"/>
    <w:rsid w:val="00C2769E"/>
    <w:rsid w:val="00C27829"/>
    <w:rsid w:val="00C27914"/>
    <w:rsid w:val="00C2791A"/>
    <w:rsid w:val="00C279AF"/>
    <w:rsid w:val="00C27A9E"/>
    <w:rsid w:val="00C27AB2"/>
    <w:rsid w:val="00C27ACF"/>
    <w:rsid w:val="00C27AD8"/>
    <w:rsid w:val="00C27D1B"/>
    <w:rsid w:val="00C27D6C"/>
    <w:rsid w:val="00C27D78"/>
    <w:rsid w:val="00C2D8F1"/>
    <w:rsid w:val="00C30205"/>
    <w:rsid w:val="00C302EB"/>
    <w:rsid w:val="00C3032B"/>
    <w:rsid w:val="00C30558"/>
    <w:rsid w:val="00C305B5"/>
    <w:rsid w:val="00C30619"/>
    <w:rsid w:val="00C3066E"/>
    <w:rsid w:val="00C3075A"/>
    <w:rsid w:val="00C30762"/>
    <w:rsid w:val="00C30963"/>
    <w:rsid w:val="00C3096D"/>
    <w:rsid w:val="00C309F7"/>
    <w:rsid w:val="00C30A63"/>
    <w:rsid w:val="00C30C93"/>
    <w:rsid w:val="00C30D93"/>
    <w:rsid w:val="00C30DA6"/>
    <w:rsid w:val="00C30DD0"/>
    <w:rsid w:val="00C30FBF"/>
    <w:rsid w:val="00C31022"/>
    <w:rsid w:val="00C3106D"/>
    <w:rsid w:val="00C310EB"/>
    <w:rsid w:val="00C312B3"/>
    <w:rsid w:val="00C312D4"/>
    <w:rsid w:val="00C31572"/>
    <w:rsid w:val="00C315AB"/>
    <w:rsid w:val="00C31634"/>
    <w:rsid w:val="00C3166B"/>
    <w:rsid w:val="00C316BB"/>
    <w:rsid w:val="00C316E7"/>
    <w:rsid w:val="00C317D7"/>
    <w:rsid w:val="00C31803"/>
    <w:rsid w:val="00C31952"/>
    <w:rsid w:val="00C31999"/>
    <w:rsid w:val="00C319BB"/>
    <w:rsid w:val="00C31BA0"/>
    <w:rsid w:val="00C31C6C"/>
    <w:rsid w:val="00C31DE8"/>
    <w:rsid w:val="00C31F51"/>
    <w:rsid w:val="00C320BC"/>
    <w:rsid w:val="00C320F2"/>
    <w:rsid w:val="00C32154"/>
    <w:rsid w:val="00C321E1"/>
    <w:rsid w:val="00C3239E"/>
    <w:rsid w:val="00C32457"/>
    <w:rsid w:val="00C3248E"/>
    <w:rsid w:val="00C324AF"/>
    <w:rsid w:val="00C324D4"/>
    <w:rsid w:val="00C324F1"/>
    <w:rsid w:val="00C3256A"/>
    <w:rsid w:val="00C325AD"/>
    <w:rsid w:val="00C325C6"/>
    <w:rsid w:val="00C32645"/>
    <w:rsid w:val="00C326E2"/>
    <w:rsid w:val="00C327E0"/>
    <w:rsid w:val="00C32808"/>
    <w:rsid w:val="00C32882"/>
    <w:rsid w:val="00C32933"/>
    <w:rsid w:val="00C329D2"/>
    <w:rsid w:val="00C32B31"/>
    <w:rsid w:val="00C32BC3"/>
    <w:rsid w:val="00C32C02"/>
    <w:rsid w:val="00C32C14"/>
    <w:rsid w:val="00C32D6F"/>
    <w:rsid w:val="00C32DE1"/>
    <w:rsid w:val="00C32E04"/>
    <w:rsid w:val="00C32E07"/>
    <w:rsid w:val="00C32EC0"/>
    <w:rsid w:val="00C32EE3"/>
    <w:rsid w:val="00C3324A"/>
    <w:rsid w:val="00C33276"/>
    <w:rsid w:val="00C33377"/>
    <w:rsid w:val="00C3341F"/>
    <w:rsid w:val="00C33449"/>
    <w:rsid w:val="00C334F4"/>
    <w:rsid w:val="00C3350B"/>
    <w:rsid w:val="00C3356E"/>
    <w:rsid w:val="00C3365D"/>
    <w:rsid w:val="00C336FD"/>
    <w:rsid w:val="00C337AD"/>
    <w:rsid w:val="00C3380F"/>
    <w:rsid w:val="00C3391A"/>
    <w:rsid w:val="00C339E7"/>
    <w:rsid w:val="00C33AC9"/>
    <w:rsid w:val="00C33B02"/>
    <w:rsid w:val="00C33BA9"/>
    <w:rsid w:val="00C33C0C"/>
    <w:rsid w:val="00C33E0C"/>
    <w:rsid w:val="00C33F48"/>
    <w:rsid w:val="00C33FBC"/>
    <w:rsid w:val="00C34022"/>
    <w:rsid w:val="00C341DF"/>
    <w:rsid w:val="00C34212"/>
    <w:rsid w:val="00C342F2"/>
    <w:rsid w:val="00C34310"/>
    <w:rsid w:val="00C343EE"/>
    <w:rsid w:val="00C34415"/>
    <w:rsid w:val="00C34662"/>
    <w:rsid w:val="00C346DC"/>
    <w:rsid w:val="00C347E3"/>
    <w:rsid w:val="00C347E5"/>
    <w:rsid w:val="00C34840"/>
    <w:rsid w:val="00C34864"/>
    <w:rsid w:val="00C34A3E"/>
    <w:rsid w:val="00C34A74"/>
    <w:rsid w:val="00C34B4C"/>
    <w:rsid w:val="00C34CC5"/>
    <w:rsid w:val="00C34D81"/>
    <w:rsid w:val="00C35052"/>
    <w:rsid w:val="00C350B4"/>
    <w:rsid w:val="00C351BC"/>
    <w:rsid w:val="00C35264"/>
    <w:rsid w:val="00C352BC"/>
    <w:rsid w:val="00C353B8"/>
    <w:rsid w:val="00C354AC"/>
    <w:rsid w:val="00C35565"/>
    <w:rsid w:val="00C35592"/>
    <w:rsid w:val="00C35631"/>
    <w:rsid w:val="00C3581B"/>
    <w:rsid w:val="00C35820"/>
    <w:rsid w:val="00C35887"/>
    <w:rsid w:val="00C35999"/>
    <w:rsid w:val="00C359D9"/>
    <w:rsid w:val="00C35ABB"/>
    <w:rsid w:val="00C35CA2"/>
    <w:rsid w:val="00C35D14"/>
    <w:rsid w:val="00C35E0A"/>
    <w:rsid w:val="00C35EBC"/>
    <w:rsid w:val="00C3601D"/>
    <w:rsid w:val="00C3618E"/>
    <w:rsid w:val="00C361B1"/>
    <w:rsid w:val="00C362BB"/>
    <w:rsid w:val="00C362DB"/>
    <w:rsid w:val="00C3636A"/>
    <w:rsid w:val="00C363C8"/>
    <w:rsid w:val="00C3650A"/>
    <w:rsid w:val="00C3651C"/>
    <w:rsid w:val="00C365F1"/>
    <w:rsid w:val="00C3661D"/>
    <w:rsid w:val="00C3664B"/>
    <w:rsid w:val="00C36669"/>
    <w:rsid w:val="00C36737"/>
    <w:rsid w:val="00C3677E"/>
    <w:rsid w:val="00C367CA"/>
    <w:rsid w:val="00C367F1"/>
    <w:rsid w:val="00C3688E"/>
    <w:rsid w:val="00C368CE"/>
    <w:rsid w:val="00C369C9"/>
    <w:rsid w:val="00C369D7"/>
    <w:rsid w:val="00C36A73"/>
    <w:rsid w:val="00C36C0D"/>
    <w:rsid w:val="00C36D11"/>
    <w:rsid w:val="00C36F27"/>
    <w:rsid w:val="00C370DF"/>
    <w:rsid w:val="00C3716B"/>
    <w:rsid w:val="00C37178"/>
    <w:rsid w:val="00C371E7"/>
    <w:rsid w:val="00C37205"/>
    <w:rsid w:val="00C3727B"/>
    <w:rsid w:val="00C37358"/>
    <w:rsid w:val="00C3735A"/>
    <w:rsid w:val="00C3737D"/>
    <w:rsid w:val="00C37548"/>
    <w:rsid w:val="00C375AA"/>
    <w:rsid w:val="00C375C1"/>
    <w:rsid w:val="00C375DE"/>
    <w:rsid w:val="00C37602"/>
    <w:rsid w:val="00C3764D"/>
    <w:rsid w:val="00C37698"/>
    <w:rsid w:val="00C3798C"/>
    <w:rsid w:val="00C379E5"/>
    <w:rsid w:val="00C37A42"/>
    <w:rsid w:val="00C37A51"/>
    <w:rsid w:val="00C37B13"/>
    <w:rsid w:val="00C37C84"/>
    <w:rsid w:val="00C37C88"/>
    <w:rsid w:val="00C37CD8"/>
    <w:rsid w:val="00C37E29"/>
    <w:rsid w:val="00C37EAF"/>
    <w:rsid w:val="00C37EBF"/>
    <w:rsid w:val="00C37F3D"/>
    <w:rsid w:val="00C400CC"/>
    <w:rsid w:val="00C400EF"/>
    <w:rsid w:val="00C401E3"/>
    <w:rsid w:val="00C40219"/>
    <w:rsid w:val="00C40291"/>
    <w:rsid w:val="00C404E1"/>
    <w:rsid w:val="00C40524"/>
    <w:rsid w:val="00C405E0"/>
    <w:rsid w:val="00C405FE"/>
    <w:rsid w:val="00C407BC"/>
    <w:rsid w:val="00C4080A"/>
    <w:rsid w:val="00C40859"/>
    <w:rsid w:val="00C408B2"/>
    <w:rsid w:val="00C40912"/>
    <w:rsid w:val="00C409DB"/>
    <w:rsid w:val="00C40A8A"/>
    <w:rsid w:val="00C40A99"/>
    <w:rsid w:val="00C40AFF"/>
    <w:rsid w:val="00C40C3F"/>
    <w:rsid w:val="00C40D20"/>
    <w:rsid w:val="00C40E70"/>
    <w:rsid w:val="00C40FAA"/>
    <w:rsid w:val="00C410B5"/>
    <w:rsid w:val="00C41151"/>
    <w:rsid w:val="00C41362"/>
    <w:rsid w:val="00C413B8"/>
    <w:rsid w:val="00C4168D"/>
    <w:rsid w:val="00C4172D"/>
    <w:rsid w:val="00C41806"/>
    <w:rsid w:val="00C41A0C"/>
    <w:rsid w:val="00C41A46"/>
    <w:rsid w:val="00C41A7C"/>
    <w:rsid w:val="00C41CC7"/>
    <w:rsid w:val="00C41E20"/>
    <w:rsid w:val="00C41EAC"/>
    <w:rsid w:val="00C41F59"/>
    <w:rsid w:val="00C4210E"/>
    <w:rsid w:val="00C42194"/>
    <w:rsid w:val="00C421E2"/>
    <w:rsid w:val="00C42483"/>
    <w:rsid w:val="00C42489"/>
    <w:rsid w:val="00C4256C"/>
    <w:rsid w:val="00C425FC"/>
    <w:rsid w:val="00C4270B"/>
    <w:rsid w:val="00C4270F"/>
    <w:rsid w:val="00C42750"/>
    <w:rsid w:val="00C427C3"/>
    <w:rsid w:val="00C428EA"/>
    <w:rsid w:val="00C4290D"/>
    <w:rsid w:val="00C4296E"/>
    <w:rsid w:val="00C42989"/>
    <w:rsid w:val="00C42A7C"/>
    <w:rsid w:val="00C42B27"/>
    <w:rsid w:val="00C42B28"/>
    <w:rsid w:val="00C42C0F"/>
    <w:rsid w:val="00C42CB4"/>
    <w:rsid w:val="00C42D3C"/>
    <w:rsid w:val="00C42DEA"/>
    <w:rsid w:val="00C42F0B"/>
    <w:rsid w:val="00C43078"/>
    <w:rsid w:val="00C431FF"/>
    <w:rsid w:val="00C4333A"/>
    <w:rsid w:val="00C433A6"/>
    <w:rsid w:val="00C43434"/>
    <w:rsid w:val="00C4368E"/>
    <w:rsid w:val="00C436C9"/>
    <w:rsid w:val="00C437A2"/>
    <w:rsid w:val="00C437A8"/>
    <w:rsid w:val="00C437BE"/>
    <w:rsid w:val="00C4391D"/>
    <w:rsid w:val="00C4397F"/>
    <w:rsid w:val="00C43993"/>
    <w:rsid w:val="00C43C6B"/>
    <w:rsid w:val="00C43CA3"/>
    <w:rsid w:val="00C43CC5"/>
    <w:rsid w:val="00C43CF2"/>
    <w:rsid w:val="00C43F5A"/>
    <w:rsid w:val="00C43F7C"/>
    <w:rsid w:val="00C43FF3"/>
    <w:rsid w:val="00C4407E"/>
    <w:rsid w:val="00C440A3"/>
    <w:rsid w:val="00C4414B"/>
    <w:rsid w:val="00C4422C"/>
    <w:rsid w:val="00C442B9"/>
    <w:rsid w:val="00C44482"/>
    <w:rsid w:val="00C444EE"/>
    <w:rsid w:val="00C444F6"/>
    <w:rsid w:val="00C446ED"/>
    <w:rsid w:val="00C44849"/>
    <w:rsid w:val="00C44858"/>
    <w:rsid w:val="00C448DA"/>
    <w:rsid w:val="00C44980"/>
    <w:rsid w:val="00C44B10"/>
    <w:rsid w:val="00C44CFF"/>
    <w:rsid w:val="00C44EC8"/>
    <w:rsid w:val="00C44FC8"/>
    <w:rsid w:val="00C4503D"/>
    <w:rsid w:val="00C4515A"/>
    <w:rsid w:val="00C4519A"/>
    <w:rsid w:val="00C45381"/>
    <w:rsid w:val="00C45386"/>
    <w:rsid w:val="00C453C9"/>
    <w:rsid w:val="00C453DA"/>
    <w:rsid w:val="00C454B9"/>
    <w:rsid w:val="00C45658"/>
    <w:rsid w:val="00C457D2"/>
    <w:rsid w:val="00C458DA"/>
    <w:rsid w:val="00C45981"/>
    <w:rsid w:val="00C45986"/>
    <w:rsid w:val="00C45AE1"/>
    <w:rsid w:val="00C45B6A"/>
    <w:rsid w:val="00C45CC5"/>
    <w:rsid w:val="00C45DCA"/>
    <w:rsid w:val="00C45EDF"/>
    <w:rsid w:val="00C45EF7"/>
    <w:rsid w:val="00C45FA1"/>
    <w:rsid w:val="00C46139"/>
    <w:rsid w:val="00C46150"/>
    <w:rsid w:val="00C461B2"/>
    <w:rsid w:val="00C4628E"/>
    <w:rsid w:val="00C46371"/>
    <w:rsid w:val="00C46483"/>
    <w:rsid w:val="00C464A9"/>
    <w:rsid w:val="00C4656D"/>
    <w:rsid w:val="00C465C0"/>
    <w:rsid w:val="00C46740"/>
    <w:rsid w:val="00C46766"/>
    <w:rsid w:val="00C467FE"/>
    <w:rsid w:val="00C4681E"/>
    <w:rsid w:val="00C46880"/>
    <w:rsid w:val="00C46889"/>
    <w:rsid w:val="00C468D6"/>
    <w:rsid w:val="00C46924"/>
    <w:rsid w:val="00C46CB7"/>
    <w:rsid w:val="00C46CE1"/>
    <w:rsid w:val="00C46CEA"/>
    <w:rsid w:val="00C46DD6"/>
    <w:rsid w:val="00C46F42"/>
    <w:rsid w:val="00C46F53"/>
    <w:rsid w:val="00C46F8A"/>
    <w:rsid w:val="00C46FE5"/>
    <w:rsid w:val="00C47010"/>
    <w:rsid w:val="00C47158"/>
    <w:rsid w:val="00C473C1"/>
    <w:rsid w:val="00C47446"/>
    <w:rsid w:val="00C47492"/>
    <w:rsid w:val="00C4752A"/>
    <w:rsid w:val="00C47660"/>
    <w:rsid w:val="00C47771"/>
    <w:rsid w:val="00C477A4"/>
    <w:rsid w:val="00C477E1"/>
    <w:rsid w:val="00C478CB"/>
    <w:rsid w:val="00C47908"/>
    <w:rsid w:val="00C4796D"/>
    <w:rsid w:val="00C479C4"/>
    <w:rsid w:val="00C47AA5"/>
    <w:rsid w:val="00C47AAD"/>
    <w:rsid w:val="00C47AD0"/>
    <w:rsid w:val="00C47C0A"/>
    <w:rsid w:val="00C47C3F"/>
    <w:rsid w:val="00C47C44"/>
    <w:rsid w:val="00C47CBF"/>
    <w:rsid w:val="00C47D24"/>
    <w:rsid w:val="00C47D34"/>
    <w:rsid w:val="00C47D7F"/>
    <w:rsid w:val="00C47E44"/>
    <w:rsid w:val="00C47EA4"/>
    <w:rsid w:val="00C47F31"/>
    <w:rsid w:val="00C47FF7"/>
    <w:rsid w:val="00C50031"/>
    <w:rsid w:val="00C5005E"/>
    <w:rsid w:val="00C500EF"/>
    <w:rsid w:val="00C500F7"/>
    <w:rsid w:val="00C50114"/>
    <w:rsid w:val="00C5021D"/>
    <w:rsid w:val="00C50239"/>
    <w:rsid w:val="00C503B0"/>
    <w:rsid w:val="00C503C1"/>
    <w:rsid w:val="00C503DE"/>
    <w:rsid w:val="00C50420"/>
    <w:rsid w:val="00C505F0"/>
    <w:rsid w:val="00C505FB"/>
    <w:rsid w:val="00C50693"/>
    <w:rsid w:val="00C507E8"/>
    <w:rsid w:val="00C508B7"/>
    <w:rsid w:val="00C50914"/>
    <w:rsid w:val="00C50983"/>
    <w:rsid w:val="00C50B9C"/>
    <w:rsid w:val="00C50BAF"/>
    <w:rsid w:val="00C50BFF"/>
    <w:rsid w:val="00C50C05"/>
    <w:rsid w:val="00C50C4D"/>
    <w:rsid w:val="00C50D14"/>
    <w:rsid w:val="00C50D2B"/>
    <w:rsid w:val="00C50D80"/>
    <w:rsid w:val="00C50DA0"/>
    <w:rsid w:val="00C50F53"/>
    <w:rsid w:val="00C50FC6"/>
    <w:rsid w:val="00C50FE1"/>
    <w:rsid w:val="00C510F2"/>
    <w:rsid w:val="00C51243"/>
    <w:rsid w:val="00C51388"/>
    <w:rsid w:val="00C513BE"/>
    <w:rsid w:val="00C515BC"/>
    <w:rsid w:val="00C515E1"/>
    <w:rsid w:val="00C5160F"/>
    <w:rsid w:val="00C51685"/>
    <w:rsid w:val="00C51763"/>
    <w:rsid w:val="00C5184B"/>
    <w:rsid w:val="00C5187A"/>
    <w:rsid w:val="00C51899"/>
    <w:rsid w:val="00C51A53"/>
    <w:rsid w:val="00C51AEC"/>
    <w:rsid w:val="00C51C3E"/>
    <w:rsid w:val="00C51CF0"/>
    <w:rsid w:val="00C51CF8"/>
    <w:rsid w:val="00C51D03"/>
    <w:rsid w:val="00C51D06"/>
    <w:rsid w:val="00C51D64"/>
    <w:rsid w:val="00C51E9D"/>
    <w:rsid w:val="00C52044"/>
    <w:rsid w:val="00C5211D"/>
    <w:rsid w:val="00C5220E"/>
    <w:rsid w:val="00C522AE"/>
    <w:rsid w:val="00C523EE"/>
    <w:rsid w:val="00C524E7"/>
    <w:rsid w:val="00C52504"/>
    <w:rsid w:val="00C525C3"/>
    <w:rsid w:val="00C52606"/>
    <w:rsid w:val="00C527F0"/>
    <w:rsid w:val="00C52884"/>
    <w:rsid w:val="00C528A2"/>
    <w:rsid w:val="00C528BD"/>
    <w:rsid w:val="00C529FD"/>
    <w:rsid w:val="00C52BE7"/>
    <w:rsid w:val="00C52C2C"/>
    <w:rsid w:val="00C52CE6"/>
    <w:rsid w:val="00C52D2E"/>
    <w:rsid w:val="00C52DB2"/>
    <w:rsid w:val="00C52F67"/>
    <w:rsid w:val="00C530E8"/>
    <w:rsid w:val="00C5311B"/>
    <w:rsid w:val="00C53133"/>
    <w:rsid w:val="00C53183"/>
    <w:rsid w:val="00C531AC"/>
    <w:rsid w:val="00C532E5"/>
    <w:rsid w:val="00C532F6"/>
    <w:rsid w:val="00C53312"/>
    <w:rsid w:val="00C533A4"/>
    <w:rsid w:val="00C53437"/>
    <w:rsid w:val="00C53463"/>
    <w:rsid w:val="00C53644"/>
    <w:rsid w:val="00C536E5"/>
    <w:rsid w:val="00C536F6"/>
    <w:rsid w:val="00C53752"/>
    <w:rsid w:val="00C537C6"/>
    <w:rsid w:val="00C53832"/>
    <w:rsid w:val="00C5384C"/>
    <w:rsid w:val="00C53BDF"/>
    <w:rsid w:val="00C53C7B"/>
    <w:rsid w:val="00C53CDB"/>
    <w:rsid w:val="00C53CFF"/>
    <w:rsid w:val="00C53D3E"/>
    <w:rsid w:val="00C53D61"/>
    <w:rsid w:val="00C53E33"/>
    <w:rsid w:val="00C53E7F"/>
    <w:rsid w:val="00C53E89"/>
    <w:rsid w:val="00C53EDD"/>
    <w:rsid w:val="00C53EEA"/>
    <w:rsid w:val="00C53F9E"/>
    <w:rsid w:val="00C540EC"/>
    <w:rsid w:val="00C54126"/>
    <w:rsid w:val="00C541DC"/>
    <w:rsid w:val="00C541E5"/>
    <w:rsid w:val="00C542B2"/>
    <w:rsid w:val="00C5435A"/>
    <w:rsid w:val="00C54390"/>
    <w:rsid w:val="00C543F6"/>
    <w:rsid w:val="00C54427"/>
    <w:rsid w:val="00C5442C"/>
    <w:rsid w:val="00C544C6"/>
    <w:rsid w:val="00C5455E"/>
    <w:rsid w:val="00C54687"/>
    <w:rsid w:val="00C54784"/>
    <w:rsid w:val="00C548FC"/>
    <w:rsid w:val="00C549D3"/>
    <w:rsid w:val="00C54B1B"/>
    <w:rsid w:val="00C54B34"/>
    <w:rsid w:val="00C54B95"/>
    <w:rsid w:val="00C54F46"/>
    <w:rsid w:val="00C54F59"/>
    <w:rsid w:val="00C54F9F"/>
    <w:rsid w:val="00C54FC3"/>
    <w:rsid w:val="00C5500E"/>
    <w:rsid w:val="00C55011"/>
    <w:rsid w:val="00C5504C"/>
    <w:rsid w:val="00C550B7"/>
    <w:rsid w:val="00C550FC"/>
    <w:rsid w:val="00C55284"/>
    <w:rsid w:val="00C553ED"/>
    <w:rsid w:val="00C55524"/>
    <w:rsid w:val="00C55556"/>
    <w:rsid w:val="00C5559F"/>
    <w:rsid w:val="00C55669"/>
    <w:rsid w:val="00C5576A"/>
    <w:rsid w:val="00C55770"/>
    <w:rsid w:val="00C557CC"/>
    <w:rsid w:val="00C557D1"/>
    <w:rsid w:val="00C557D4"/>
    <w:rsid w:val="00C558A3"/>
    <w:rsid w:val="00C5598A"/>
    <w:rsid w:val="00C55A19"/>
    <w:rsid w:val="00C55A31"/>
    <w:rsid w:val="00C55A91"/>
    <w:rsid w:val="00C55B02"/>
    <w:rsid w:val="00C55B24"/>
    <w:rsid w:val="00C55BA0"/>
    <w:rsid w:val="00C55C6B"/>
    <w:rsid w:val="00C55D9E"/>
    <w:rsid w:val="00C55DE0"/>
    <w:rsid w:val="00C55F96"/>
    <w:rsid w:val="00C55FD5"/>
    <w:rsid w:val="00C56020"/>
    <w:rsid w:val="00C56113"/>
    <w:rsid w:val="00C561DF"/>
    <w:rsid w:val="00C562B2"/>
    <w:rsid w:val="00C56363"/>
    <w:rsid w:val="00C5636D"/>
    <w:rsid w:val="00C56393"/>
    <w:rsid w:val="00C563EE"/>
    <w:rsid w:val="00C563F2"/>
    <w:rsid w:val="00C564A0"/>
    <w:rsid w:val="00C564D2"/>
    <w:rsid w:val="00C567E5"/>
    <w:rsid w:val="00C56803"/>
    <w:rsid w:val="00C568E5"/>
    <w:rsid w:val="00C5693E"/>
    <w:rsid w:val="00C5694D"/>
    <w:rsid w:val="00C56A00"/>
    <w:rsid w:val="00C56A0D"/>
    <w:rsid w:val="00C56ADD"/>
    <w:rsid w:val="00C56AE6"/>
    <w:rsid w:val="00C56B14"/>
    <w:rsid w:val="00C56CEC"/>
    <w:rsid w:val="00C56F22"/>
    <w:rsid w:val="00C5715F"/>
    <w:rsid w:val="00C57185"/>
    <w:rsid w:val="00C571EE"/>
    <w:rsid w:val="00C57303"/>
    <w:rsid w:val="00C57398"/>
    <w:rsid w:val="00C57672"/>
    <w:rsid w:val="00C5767A"/>
    <w:rsid w:val="00C576D2"/>
    <w:rsid w:val="00C5773A"/>
    <w:rsid w:val="00C578D4"/>
    <w:rsid w:val="00C578F5"/>
    <w:rsid w:val="00C57905"/>
    <w:rsid w:val="00C579A2"/>
    <w:rsid w:val="00C57A35"/>
    <w:rsid w:val="00C57B74"/>
    <w:rsid w:val="00C57B9B"/>
    <w:rsid w:val="00C57CCC"/>
    <w:rsid w:val="00C57D2F"/>
    <w:rsid w:val="00C57D3F"/>
    <w:rsid w:val="00C57DA7"/>
    <w:rsid w:val="00C57E2B"/>
    <w:rsid w:val="00C57E37"/>
    <w:rsid w:val="00C57F3B"/>
    <w:rsid w:val="00C57F9D"/>
    <w:rsid w:val="00C60246"/>
    <w:rsid w:val="00C60268"/>
    <w:rsid w:val="00C602B4"/>
    <w:rsid w:val="00C6033B"/>
    <w:rsid w:val="00C6035A"/>
    <w:rsid w:val="00C6037A"/>
    <w:rsid w:val="00C60722"/>
    <w:rsid w:val="00C6073F"/>
    <w:rsid w:val="00C6077F"/>
    <w:rsid w:val="00C607E5"/>
    <w:rsid w:val="00C6080C"/>
    <w:rsid w:val="00C6096D"/>
    <w:rsid w:val="00C609C5"/>
    <w:rsid w:val="00C60BE0"/>
    <w:rsid w:val="00C60D2E"/>
    <w:rsid w:val="00C60E29"/>
    <w:rsid w:val="00C60ECA"/>
    <w:rsid w:val="00C60ECC"/>
    <w:rsid w:val="00C61081"/>
    <w:rsid w:val="00C610B7"/>
    <w:rsid w:val="00C6115C"/>
    <w:rsid w:val="00C611EA"/>
    <w:rsid w:val="00C611F7"/>
    <w:rsid w:val="00C614F7"/>
    <w:rsid w:val="00C6162D"/>
    <w:rsid w:val="00C61672"/>
    <w:rsid w:val="00C61686"/>
    <w:rsid w:val="00C616B8"/>
    <w:rsid w:val="00C61753"/>
    <w:rsid w:val="00C618B3"/>
    <w:rsid w:val="00C619AE"/>
    <w:rsid w:val="00C61B87"/>
    <w:rsid w:val="00C61C20"/>
    <w:rsid w:val="00C61CF2"/>
    <w:rsid w:val="00C61DD8"/>
    <w:rsid w:val="00C61E4C"/>
    <w:rsid w:val="00C61E60"/>
    <w:rsid w:val="00C61F21"/>
    <w:rsid w:val="00C62031"/>
    <w:rsid w:val="00C6206F"/>
    <w:rsid w:val="00C620B7"/>
    <w:rsid w:val="00C62300"/>
    <w:rsid w:val="00C62393"/>
    <w:rsid w:val="00C623B8"/>
    <w:rsid w:val="00C623EA"/>
    <w:rsid w:val="00C623F8"/>
    <w:rsid w:val="00C62427"/>
    <w:rsid w:val="00C6248D"/>
    <w:rsid w:val="00C6252E"/>
    <w:rsid w:val="00C6257C"/>
    <w:rsid w:val="00C62722"/>
    <w:rsid w:val="00C627A5"/>
    <w:rsid w:val="00C627C4"/>
    <w:rsid w:val="00C628D9"/>
    <w:rsid w:val="00C628FA"/>
    <w:rsid w:val="00C6295B"/>
    <w:rsid w:val="00C629BD"/>
    <w:rsid w:val="00C62A3A"/>
    <w:rsid w:val="00C62ACD"/>
    <w:rsid w:val="00C62B94"/>
    <w:rsid w:val="00C62CD6"/>
    <w:rsid w:val="00C62D53"/>
    <w:rsid w:val="00C62F5E"/>
    <w:rsid w:val="00C63038"/>
    <w:rsid w:val="00C63044"/>
    <w:rsid w:val="00C6313B"/>
    <w:rsid w:val="00C631C4"/>
    <w:rsid w:val="00C631F0"/>
    <w:rsid w:val="00C6327D"/>
    <w:rsid w:val="00C63324"/>
    <w:rsid w:val="00C63399"/>
    <w:rsid w:val="00C6342E"/>
    <w:rsid w:val="00C63484"/>
    <w:rsid w:val="00C636D3"/>
    <w:rsid w:val="00C636FF"/>
    <w:rsid w:val="00C63ABD"/>
    <w:rsid w:val="00C63AE1"/>
    <w:rsid w:val="00C63AE5"/>
    <w:rsid w:val="00C63B43"/>
    <w:rsid w:val="00C63B93"/>
    <w:rsid w:val="00C63C9C"/>
    <w:rsid w:val="00C63E18"/>
    <w:rsid w:val="00C63E22"/>
    <w:rsid w:val="00C63E2B"/>
    <w:rsid w:val="00C640E4"/>
    <w:rsid w:val="00C64151"/>
    <w:rsid w:val="00C641E8"/>
    <w:rsid w:val="00C641F7"/>
    <w:rsid w:val="00C64230"/>
    <w:rsid w:val="00C642CB"/>
    <w:rsid w:val="00C643B8"/>
    <w:rsid w:val="00C6441B"/>
    <w:rsid w:val="00C6448B"/>
    <w:rsid w:val="00C644AA"/>
    <w:rsid w:val="00C644CA"/>
    <w:rsid w:val="00C644E2"/>
    <w:rsid w:val="00C6457D"/>
    <w:rsid w:val="00C64591"/>
    <w:rsid w:val="00C64658"/>
    <w:rsid w:val="00C64745"/>
    <w:rsid w:val="00C64868"/>
    <w:rsid w:val="00C6494D"/>
    <w:rsid w:val="00C64B60"/>
    <w:rsid w:val="00C64C44"/>
    <w:rsid w:val="00C64CF8"/>
    <w:rsid w:val="00C64D69"/>
    <w:rsid w:val="00C64DFA"/>
    <w:rsid w:val="00C64EAE"/>
    <w:rsid w:val="00C64F52"/>
    <w:rsid w:val="00C64F79"/>
    <w:rsid w:val="00C64FC9"/>
    <w:rsid w:val="00C65162"/>
    <w:rsid w:val="00C6520E"/>
    <w:rsid w:val="00C65315"/>
    <w:rsid w:val="00C65462"/>
    <w:rsid w:val="00C654D5"/>
    <w:rsid w:val="00C65526"/>
    <w:rsid w:val="00C6552C"/>
    <w:rsid w:val="00C656E8"/>
    <w:rsid w:val="00C65720"/>
    <w:rsid w:val="00C6576C"/>
    <w:rsid w:val="00C6577B"/>
    <w:rsid w:val="00C6581B"/>
    <w:rsid w:val="00C65833"/>
    <w:rsid w:val="00C65A1B"/>
    <w:rsid w:val="00C65B14"/>
    <w:rsid w:val="00C65B97"/>
    <w:rsid w:val="00C65BB6"/>
    <w:rsid w:val="00C65BC6"/>
    <w:rsid w:val="00C65C56"/>
    <w:rsid w:val="00C65C9C"/>
    <w:rsid w:val="00C6603F"/>
    <w:rsid w:val="00C66098"/>
    <w:rsid w:val="00C660C1"/>
    <w:rsid w:val="00C6615D"/>
    <w:rsid w:val="00C661B0"/>
    <w:rsid w:val="00C66259"/>
    <w:rsid w:val="00C66453"/>
    <w:rsid w:val="00C66488"/>
    <w:rsid w:val="00C66554"/>
    <w:rsid w:val="00C66610"/>
    <w:rsid w:val="00C6665B"/>
    <w:rsid w:val="00C666EE"/>
    <w:rsid w:val="00C6672D"/>
    <w:rsid w:val="00C66755"/>
    <w:rsid w:val="00C66783"/>
    <w:rsid w:val="00C66A95"/>
    <w:rsid w:val="00C66B68"/>
    <w:rsid w:val="00C66BBC"/>
    <w:rsid w:val="00C66C14"/>
    <w:rsid w:val="00C66CF7"/>
    <w:rsid w:val="00C66D0E"/>
    <w:rsid w:val="00C66D0F"/>
    <w:rsid w:val="00C66D46"/>
    <w:rsid w:val="00C66FCA"/>
    <w:rsid w:val="00C6705E"/>
    <w:rsid w:val="00C67085"/>
    <w:rsid w:val="00C6711C"/>
    <w:rsid w:val="00C67184"/>
    <w:rsid w:val="00C67244"/>
    <w:rsid w:val="00C67281"/>
    <w:rsid w:val="00C672B6"/>
    <w:rsid w:val="00C672E4"/>
    <w:rsid w:val="00C67404"/>
    <w:rsid w:val="00C6742C"/>
    <w:rsid w:val="00C67432"/>
    <w:rsid w:val="00C675BB"/>
    <w:rsid w:val="00C676E7"/>
    <w:rsid w:val="00C676ED"/>
    <w:rsid w:val="00C677EC"/>
    <w:rsid w:val="00C6783C"/>
    <w:rsid w:val="00C6786C"/>
    <w:rsid w:val="00C679BC"/>
    <w:rsid w:val="00C67A0D"/>
    <w:rsid w:val="00C67A4B"/>
    <w:rsid w:val="00C67AED"/>
    <w:rsid w:val="00C67BBA"/>
    <w:rsid w:val="00C67CDD"/>
    <w:rsid w:val="00C67D3B"/>
    <w:rsid w:val="00C67D80"/>
    <w:rsid w:val="00C67F5A"/>
    <w:rsid w:val="00C7001E"/>
    <w:rsid w:val="00C700B1"/>
    <w:rsid w:val="00C704E9"/>
    <w:rsid w:val="00C7057C"/>
    <w:rsid w:val="00C7073D"/>
    <w:rsid w:val="00C70862"/>
    <w:rsid w:val="00C70890"/>
    <w:rsid w:val="00C70928"/>
    <w:rsid w:val="00C70B02"/>
    <w:rsid w:val="00C70BD0"/>
    <w:rsid w:val="00C70C48"/>
    <w:rsid w:val="00C70D6D"/>
    <w:rsid w:val="00C70D8D"/>
    <w:rsid w:val="00C70E09"/>
    <w:rsid w:val="00C70EE6"/>
    <w:rsid w:val="00C70F67"/>
    <w:rsid w:val="00C70F73"/>
    <w:rsid w:val="00C70F83"/>
    <w:rsid w:val="00C7102F"/>
    <w:rsid w:val="00C710CB"/>
    <w:rsid w:val="00C711BD"/>
    <w:rsid w:val="00C711E9"/>
    <w:rsid w:val="00C712D4"/>
    <w:rsid w:val="00C7137D"/>
    <w:rsid w:val="00C71532"/>
    <w:rsid w:val="00C71603"/>
    <w:rsid w:val="00C71611"/>
    <w:rsid w:val="00C7166F"/>
    <w:rsid w:val="00C716C5"/>
    <w:rsid w:val="00C7186A"/>
    <w:rsid w:val="00C718E9"/>
    <w:rsid w:val="00C71953"/>
    <w:rsid w:val="00C71A54"/>
    <w:rsid w:val="00C71C6D"/>
    <w:rsid w:val="00C71E60"/>
    <w:rsid w:val="00C71F42"/>
    <w:rsid w:val="00C72006"/>
    <w:rsid w:val="00C720C8"/>
    <w:rsid w:val="00C72126"/>
    <w:rsid w:val="00C7216F"/>
    <w:rsid w:val="00C72458"/>
    <w:rsid w:val="00C72459"/>
    <w:rsid w:val="00C7248E"/>
    <w:rsid w:val="00C724B8"/>
    <w:rsid w:val="00C724EE"/>
    <w:rsid w:val="00C724F7"/>
    <w:rsid w:val="00C72587"/>
    <w:rsid w:val="00C72765"/>
    <w:rsid w:val="00C7290A"/>
    <w:rsid w:val="00C72B24"/>
    <w:rsid w:val="00C72BF0"/>
    <w:rsid w:val="00C72DCA"/>
    <w:rsid w:val="00C72E35"/>
    <w:rsid w:val="00C72F9B"/>
    <w:rsid w:val="00C72FB4"/>
    <w:rsid w:val="00C73012"/>
    <w:rsid w:val="00C731FD"/>
    <w:rsid w:val="00C73281"/>
    <w:rsid w:val="00C73370"/>
    <w:rsid w:val="00C734E6"/>
    <w:rsid w:val="00C73508"/>
    <w:rsid w:val="00C7357B"/>
    <w:rsid w:val="00C73587"/>
    <w:rsid w:val="00C73660"/>
    <w:rsid w:val="00C736C6"/>
    <w:rsid w:val="00C73832"/>
    <w:rsid w:val="00C7385F"/>
    <w:rsid w:val="00C73874"/>
    <w:rsid w:val="00C73A00"/>
    <w:rsid w:val="00C73B04"/>
    <w:rsid w:val="00C73B34"/>
    <w:rsid w:val="00C73BD5"/>
    <w:rsid w:val="00C73C70"/>
    <w:rsid w:val="00C73D23"/>
    <w:rsid w:val="00C740AE"/>
    <w:rsid w:val="00C74153"/>
    <w:rsid w:val="00C742C3"/>
    <w:rsid w:val="00C74316"/>
    <w:rsid w:val="00C74391"/>
    <w:rsid w:val="00C7449D"/>
    <w:rsid w:val="00C744B5"/>
    <w:rsid w:val="00C744C0"/>
    <w:rsid w:val="00C7452E"/>
    <w:rsid w:val="00C7467A"/>
    <w:rsid w:val="00C746AF"/>
    <w:rsid w:val="00C747AE"/>
    <w:rsid w:val="00C747AF"/>
    <w:rsid w:val="00C749AA"/>
    <w:rsid w:val="00C749D0"/>
    <w:rsid w:val="00C74B13"/>
    <w:rsid w:val="00C74B39"/>
    <w:rsid w:val="00C74BCC"/>
    <w:rsid w:val="00C74C3F"/>
    <w:rsid w:val="00C74DC1"/>
    <w:rsid w:val="00C74EC4"/>
    <w:rsid w:val="00C7502E"/>
    <w:rsid w:val="00C750C5"/>
    <w:rsid w:val="00C750FC"/>
    <w:rsid w:val="00C75135"/>
    <w:rsid w:val="00C75333"/>
    <w:rsid w:val="00C75358"/>
    <w:rsid w:val="00C75452"/>
    <w:rsid w:val="00C754C6"/>
    <w:rsid w:val="00C754DE"/>
    <w:rsid w:val="00C754F0"/>
    <w:rsid w:val="00C754F1"/>
    <w:rsid w:val="00C7581B"/>
    <w:rsid w:val="00C758AA"/>
    <w:rsid w:val="00C75938"/>
    <w:rsid w:val="00C75963"/>
    <w:rsid w:val="00C759E6"/>
    <w:rsid w:val="00C75A04"/>
    <w:rsid w:val="00C75A6B"/>
    <w:rsid w:val="00C75AF5"/>
    <w:rsid w:val="00C75B03"/>
    <w:rsid w:val="00C75D6E"/>
    <w:rsid w:val="00C75D8E"/>
    <w:rsid w:val="00C75DC3"/>
    <w:rsid w:val="00C75DE2"/>
    <w:rsid w:val="00C75F67"/>
    <w:rsid w:val="00C75FB6"/>
    <w:rsid w:val="00C75FBA"/>
    <w:rsid w:val="00C75FDF"/>
    <w:rsid w:val="00C75FE7"/>
    <w:rsid w:val="00C75FEA"/>
    <w:rsid w:val="00C76252"/>
    <w:rsid w:val="00C76453"/>
    <w:rsid w:val="00C7652C"/>
    <w:rsid w:val="00C765B5"/>
    <w:rsid w:val="00C765F3"/>
    <w:rsid w:val="00C76738"/>
    <w:rsid w:val="00C7684D"/>
    <w:rsid w:val="00C769A1"/>
    <w:rsid w:val="00C769BF"/>
    <w:rsid w:val="00C769E1"/>
    <w:rsid w:val="00C76A07"/>
    <w:rsid w:val="00C76B68"/>
    <w:rsid w:val="00C76C3B"/>
    <w:rsid w:val="00C76C71"/>
    <w:rsid w:val="00C76CE6"/>
    <w:rsid w:val="00C76D0B"/>
    <w:rsid w:val="00C76D3F"/>
    <w:rsid w:val="00C76D53"/>
    <w:rsid w:val="00C76E5D"/>
    <w:rsid w:val="00C76E6D"/>
    <w:rsid w:val="00C76EFB"/>
    <w:rsid w:val="00C77026"/>
    <w:rsid w:val="00C77119"/>
    <w:rsid w:val="00C7711C"/>
    <w:rsid w:val="00C77128"/>
    <w:rsid w:val="00C77249"/>
    <w:rsid w:val="00C772A5"/>
    <w:rsid w:val="00C77586"/>
    <w:rsid w:val="00C775B0"/>
    <w:rsid w:val="00C775FD"/>
    <w:rsid w:val="00C7765F"/>
    <w:rsid w:val="00C776CE"/>
    <w:rsid w:val="00C77821"/>
    <w:rsid w:val="00C7791C"/>
    <w:rsid w:val="00C77964"/>
    <w:rsid w:val="00C77977"/>
    <w:rsid w:val="00C7797B"/>
    <w:rsid w:val="00C77991"/>
    <w:rsid w:val="00C77A6C"/>
    <w:rsid w:val="00C77AF0"/>
    <w:rsid w:val="00C77E24"/>
    <w:rsid w:val="00C77F4B"/>
    <w:rsid w:val="00C77FB5"/>
    <w:rsid w:val="00C8013C"/>
    <w:rsid w:val="00C802F9"/>
    <w:rsid w:val="00C804AD"/>
    <w:rsid w:val="00C80523"/>
    <w:rsid w:val="00C805FF"/>
    <w:rsid w:val="00C8063B"/>
    <w:rsid w:val="00C806C5"/>
    <w:rsid w:val="00C806CB"/>
    <w:rsid w:val="00C8082E"/>
    <w:rsid w:val="00C8091A"/>
    <w:rsid w:val="00C80960"/>
    <w:rsid w:val="00C809DF"/>
    <w:rsid w:val="00C80A19"/>
    <w:rsid w:val="00C80A5E"/>
    <w:rsid w:val="00C80CAD"/>
    <w:rsid w:val="00C80D70"/>
    <w:rsid w:val="00C80DBB"/>
    <w:rsid w:val="00C80E0B"/>
    <w:rsid w:val="00C80E4D"/>
    <w:rsid w:val="00C8119F"/>
    <w:rsid w:val="00C81214"/>
    <w:rsid w:val="00C81277"/>
    <w:rsid w:val="00C81313"/>
    <w:rsid w:val="00C81334"/>
    <w:rsid w:val="00C8148E"/>
    <w:rsid w:val="00C8149F"/>
    <w:rsid w:val="00C81692"/>
    <w:rsid w:val="00C816A9"/>
    <w:rsid w:val="00C8171B"/>
    <w:rsid w:val="00C8183E"/>
    <w:rsid w:val="00C818CD"/>
    <w:rsid w:val="00C81900"/>
    <w:rsid w:val="00C819CA"/>
    <w:rsid w:val="00C81A09"/>
    <w:rsid w:val="00C81A28"/>
    <w:rsid w:val="00C81D15"/>
    <w:rsid w:val="00C81D25"/>
    <w:rsid w:val="00C81D2B"/>
    <w:rsid w:val="00C81DA5"/>
    <w:rsid w:val="00C81DB1"/>
    <w:rsid w:val="00C81DDD"/>
    <w:rsid w:val="00C81E25"/>
    <w:rsid w:val="00C81EDC"/>
    <w:rsid w:val="00C81FFF"/>
    <w:rsid w:val="00C82046"/>
    <w:rsid w:val="00C8208B"/>
    <w:rsid w:val="00C820D2"/>
    <w:rsid w:val="00C821FE"/>
    <w:rsid w:val="00C82277"/>
    <w:rsid w:val="00C8228B"/>
    <w:rsid w:val="00C82296"/>
    <w:rsid w:val="00C822A1"/>
    <w:rsid w:val="00C822B6"/>
    <w:rsid w:val="00C82315"/>
    <w:rsid w:val="00C82329"/>
    <w:rsid w:val="00C824D3"/>
    <w:rsid w:val="00C825CE"/>
    <w:rsid w:val="00C826E9"/>
    <w:rsid w:val="00C82733"/>
    <w:rsid w:val="00C828F6"/>
    <w:rsid w:val="00C8298C"/>
    <w:rsid w:val="00C82D42"/>
    <w:rsid w:val="00C82D55"/>
    <w:rsid w:val="00C82F48"/>
    <w:rsid w:val="00C82FC3"/>
    <w:rsid w:val="00C82FF8"/>
    <w:rsid w:val="00C830D7"/>
    <w:rsid w:val="00C83134"/>
    <w:rsid w:val="00C83139"/>
    <w:rsid w:val="00C831D1"/>
    <w:rsid w:val="00C832F1"/>
    <w:rsid w:val="00C83627"/>
    <w:rsid w:val="00C83648"/>
    <w:rsid w:val="00C836B0"/>
    <w:rsid w:val="00C83718"/>
    <w:rsid w:val="00C83753"/>
    <w:rsid w:val="00C8384F"/>
    <w:rsid w:val="00C83A00"/>
    <w:rsid w:val="00C83AFF"/>
    <w:rsid w:val="00C83B3A"/>
    <w:rsid w:val="00C83D5C"/>
    <w:rsid w:val="00C83D5E"/>
    <w:rsid w:val="00C83DB4"/>
    <w:rsid w:val="00C83DC6"/>
    <w:rsid w:val="00C83E89"/>
    <w:rsid w:val="00C84053"/>
    <w:rsid w:val="00C8406C"/>
    <w:rsid w:val="00C840E7"/>
    <w:rsid w:val="00C842BF"/>
    <w:rsid w:val="00C84315"/>
    <w:rsid w:val="00C8435D"/>
    <w:rsid w:val="00C84559"/>
    <w:rsid w:val="00C845E2"/>
    <w:rsid w:val="00C8460C"/>
    <w:rsid w:val="00C84675"/>
    <w:rsid w:val="00C84680"/>
    <w:rsid w:val="00C84719"/>
    <w:rsid w:val="00C84858"/>
    <w:rsid w:val="00C8489F"/>
    <w:rsid w:val="00C84AE2"/>
    <w:rsid w:val="00C84BBD"/>
    <w:rsid w:val="00C84C07"/>
    <w:rsid w:val="00C84C59"/>
    <w:rsid w:val="00C84D6D"/>
    <w:rsid w:val="00C84EB1"/>
    <w:rsid w:val="00C84EF2"/>
    <w:rsid w:val="00C84F55"/>
    <w:rsid w:val="00C84FAC"/>
    <w:rsid w:val="00C84FE6"/>
    <w:rsid w:val="00C8523B"/>
    <w:rsid w:val="00C85258"/>
    <w:rsid w:val="00C85460"/>
    <w:rsid w:val="00C854F3"/>
    <w:rsid w:val="00C855C3"/>
    <w:rsid w:val="00C856AC"/>
    <w:rsid w:val="00C85729"/>
    <w:rsid w:val="00C85766"/>
    <w:rsid w:val="00C857E4"/>
    <w:rsid w:val="00C85882"/>
    <w:rsid w:val="00C858AA"/>
    <w:rsid w:val="00C8595C"/>
    <w:rsid w:val="00C85C36"/>
    <w:rsid w:val="00C85D14"/>
    <w:rsid w:val="00C85E22"/>
    <w:rsid w:val="00C85F69"/>
    <w:rsid w:val="00C85F9E"/>
    <w:rsid w:val="00C85FC3"/>
    <w:rsid w:val="00C8603C"/>
    <w:rsid w:val="00C86062"/>
    <w:rsid w:val="00C860F9"/>
    <w:rsid w:val="00C86171"/>
    <w:rsid w:val="00C86190"/>
    <w:rsid w:val="00C86309"/>
    <w:rsid w:val="00C8664D"/>
    <w:rsid w:val="00C86819"/>
    <w:rsid w:val="00C869B8"/>
    <w:rsid w:val="00C86A53"/>
    <w:rsid w:val="00C86AAF"/>
    <w:rsid w:val="00C86AE2"/>
    <w:rsid w:val="00C86B81"/>
    <w:rsid w:val="00C86CF3"/>
    <w:rsid w:val="00C86CF4"/>
    <w:rsid w:val="00C86DE5"/>
    <w:rsid w:val="00C86E69"/>
    <w:rsid w:val="00C86E91"/>
    <w:rsid w:val="00C86F22"/>
    <w:rsid w:val="00C86F9A"/>
    <w:rsid w:val="00C8714B"/>
    <w:rsid w:val="00C8733D"/>
    <w:rsid w:val="00C8737C"/>
    <w:rsid w:val="00C87396"/>
    <w:rsid w:val="00C87428"/>
    <w:rsid w:val="00C8749E"/>
    <w:rsid w:val="00C8750E"/>
    <w:rsid w:val="00C8755D"/>
    <w:rsid w:val="00C87623"/>
    <w:rsid w:val="00C876F2"/>
    <w:rsid w:val="00C878CF"/>
    <w:rsid w:val="00C8791A"/>
    <w:rsid w:val="00C87943"/>
    <w:rsid w:val="00C879C8"/>
    <w:rsid w:val="00C87A69"/>
    <w:rsid w:val="00C87AE2"/>
    <w:rsid w:val="00C87C4B"/>
    <w:rsid w:val="00C87EC5"/>
    <w:rsid w:val="00C87F0F"/>
    <w:rsid w:val="00C9001B"/>
    <w:rsid w:val="00C90041"/>
    <w:rsid w:val="00C90154"/>
    <w:rsid w:val="00C901B1"/>
    <w:rsid w:val="00C90232"/>
    <w:rsid w:val="00C90392"/>
    <w:rsid w:val="00C906BF"/>
    <w:rsid w:val="00C90821"/>
    <w:rsid w:val="00C90A61"/>
    <w:rsid w:val="00C90A7A"/>
    <w:rsid w:val="00C90C14"/>
    <w:rsid w:val="00C90D0A"/>
    <w:rsid w:val="00C90D18"/>
    <w:rsid w:val="00C90DD7"/>
    <w:rsid w:val="00C90EFF"/>
    <w:rsid w:val="00C90FAC"/>
    <w:rsid w:val="00C91014"/>
    <w:rsid w:val="00C9112D"/>
    <w:rsid w:val="00C9116C"/>
    <w:rsid w:val="00C911D2"/>
    <w:rsid w:val="00C91255"/>
    <w:rsid w:val="00C912D5"/>
    <w:rsid w:val="00C91363"/>
    <w:rsid w:val="00C913DE"/>
    <w:rsid w:val="00C9142C"/>
    <w:rsid w:val="00C91431"/>
    <w:rsid w:val="00C91476"/>
    <w:rsid w:val="00C914BF"/>
    <w:rsid w:val="00C9153D"/>
    <w:rsid w:val="00C915D2"/>
    <w:rsid w:val="00C9195A"/>
    <w:rsid w:val="00C91961"/>
    <w:rsid w:val="00C919A9"/>
    <w:rsid w:val="00C919DC"/>
    <w:rsid w:val="00C91A38"/>
    <w:rsid w:val="00C91A66"/>
    <w:rsid w:val="00C91AF0"/>
    <w:rsid w:val="00C91B4D"/>
    <w:rsid w:val="00C91BA6"/>
    <w:rsid w:val="00C91CCF"/>
    <w:rsid w:val="00C91D22"/>
    <w:rsid w:val="00C91F6B"/>
    <w:rsid w:val="00C92014"/>
    <w:rsid w:val="00C92086"/>
    <w:rsid w:val="00C9236B"/>
    <w:rsid w:val="00C92442"/>
    <w:rsid w:val="00C9255C"/>
    <w:rsid w:val="00C926D0"/>
    <w:rsid w:val="00C92815"/>
    <w:rsid w:val="00C92827"/>
    <w:rsid w:val="00C929AC"/>
    <w:rsid w:val="00C92A24"/>
    <w:rsid w:val="00C92A98"/>
    <w:rsid w:val="00C92ABD"/>
    <w:rsid w:val="00C92B15"/>
    <w:rsid w:val="00C92C8A"/>
    <w:rsid w:val="00C92D80"/>
    <w:rsid w:val="00C92D8A"/>
    <w:rsid w:val="00C92E90"/>
    <w:rsid w:val="00C92F8E"/>
    <w:rsid w:val="00C92FE9"/>
    <w:rsid w:val="00C93080"/>
    <w:rsid w:val="00C93131"/>
    <w:rsid w:val="00C9317B"/>
    <w:rsid w:val="00C931B8"/>
    <w:rsid w:val="00C9325C"/>
    <w:rsid w:val="00C93290"/>
    <w:rsid w:val="00C932B2"/>
    <w:rsid w:val="00C9336B"/>
    <w:rsid w:val="00C9356C"/>
    <w:rsid w:val="00C93584"/>
    <w:rsid w:val="00C935BD"/>
    <w:rsid w:val="00C9366E"/>
    <w:rsid w:val="00C936A8"/>
    <w:rsid w:val="00C93710"/>
    <w:rsid w:val="00C9379D"/>
    <w:rsid w:val="00C937AA"/>
    <w:rsid w:val="00C938DB"/>
    <w:rsid w:val="00C93913"/>
    <w:rsid w:val="00C93A3E"/>
    <w:rsid w:val="00C93BC5"/>
    <w:rsid w:val="00C93C1F"/>
    <w:rsid w:val="00C93C42"/>
    <w:rsid w:val="00C93EF4"/>
    <w:rsid w:val="00C93F38"/>
    <w:rsid w:val="00C93F5C"/>
    <w:rsid w:val="00C94078"/>
    <w:rsid w:val="00C940B3"/>
    <w:rsid w:val="00C94109"/>
    <w:rsid w:val="00C94139"/>
    <w:rsid w:val="00C94264"/>
    <w:rsid w:val="00C943D3"/>
    <w:rsid w:val="00C944A2"/>
    <w:rsid w:val="00C944A4"/>
    <w:rsid w:val="00C944DF"/>
    <w:rsid w:val="00C944E4"/>
    <w:rsid w:val="00C94545"/>
    <w:rsid w:val="00C9458E"/>
    <w:rsid w:val="00C947B2"/>
    <w:rsid w:val="00C94918"/>
    <w:rsid w:val="00C94A4F"/>
    <w:rsid w:val="00C94AB2"/>
    <w:rsid w:val="00C94B44"/>
    <w:rsid w:val="00C94C11"/>
    <w:rsid w:val="00C94C29"/>
    <w:rsid w:val="00C94C79"/>
    <w:rsid w:val="00C94CDD"/>
    <w:rsid w:val="00C94D52"/>
    <w:rsid w:val="00C94DC7"/>
    <w:rsid w:val="00C94E06"/>
    <w:rsid w:val="00C94E43"/>
    <w:rsid w:val="00C94F4D"/>
    <w:rsid w:val="00C94F58"/>
    <w:rsid w:val="00C950E0"/>
    <w:rsid w:val="00C9518C"/>
    <w:rsid w:val="00C952EC"/>
    <w:rsid w:val="00C95389"/>
    <w:rsid w:val="00C954E7"/>
    <w:rsid w:val="00C954ED"/>
    <w:rsid w:val="00C95519"/>
    <w:rsid w:val="00C95521"/>
    <w:rsid w:val="00C95549"/>
    <w:rsid w:val="00C95687"/>
    <w:rsid w:val="00C956B9"/>
    <w:rsid w:val="00C9570B"/>
    <w:rsid w:val="00C9581D"/>
    <w:rsid w:val="00C95832"/>
    <w:rsid w:val="00C958BC"/>
    <w:rsid w:val="00C958EE"/>
    <w:rsid w:val="00C95A4C"/>
    <w:rsid w:val="00C95AB8"/>
    <w:rsid w:val="00C95BCB"/>
    <w:rsid w:val="00C95BE3"/>
    <w:rsid w:val="00C95BFF"/>
    <w:rsid w:val="00C95C96"/>
    <w:rsid w:val="00C95DE1"/>
    <w:rsid w:val="00C95E1D"/>
    <w:rsid w:val="00C96055"/>
    <w:rsid w:val="00C96314"/>
    <w:rsid w:val="00C96320"/>
    <w:rsid w:val="00C9650D"/>
    <w:rsid w:val="00C96521"/>
    <w:rsid w:val="00C96601"/>
    <w:rsid w:val="00C96619"/>
    <w:rsid w:val="00C96656"/>
    <w:rsid w:val="00C967DA"/>
    <w:rsid w:val="00C967E7"/>
    <w:rsid w:val="00C96800"/>
    <w:rsid w:val="00C9688F"/>
    <w:rsid w:val="00C9697F"/>
    <w:rsid w:val="00C96A3D"/>
    <w:rsid w:val="00C96A64"/>
    <w:rsid w:val="00C96A88"/>
    <w:rsid w:val="00C96ABD"/>
    <w:rsid w:val="00C96B16"/>
    <w:rsid w:val="00C96B4A"/>
    <w:rsid w:val="00C96B57"/>
    <w:rsid w:val="00C96D76"/>
    <w:rsid w:val="00C97178"/>
    <w:rsid w:val="00C972DE"/>
    <w:rsid w:val="00C974CF"/>
    <w:rsid w:val="00C97546"/>
    <w:rsid w:val="00C975FA"/>
    <w:rsid w:val="00C97696"/>
    <w:rsid w:val="00C97731"/>
    <w:rsid w:val="00C977D0"/>
    <w:rsid w:val="00C97925"/>
    <w:rsid w:val="00C979AE"/>
    <w:rsid w:val="00C97A19"/>
    <w:rsid w:val="00C97AE1"/>
    <w:rsid w:val="00C97B6D"/>
    <w:rsid w:val="00C97CD8"/>
    <w:rsid w:val="00C97E73"/>
    <w:rsid w:val="00CA000B"/>
    <w:rsid w:val="00CA0036"/>
    <w:rsid w:val="00CA0151"/>
    <w:rsid w:val="00CA01A5"/>
    <w:rsid w:val="00CA01B7"/>
    <w:rsid w:val="00CA022C"/>
    <w:rsid w:val="00CA047F"/>
    <w:rsid w:val="00CA0496"/>
    <w:rsid w:val="00CA04CA"/>
    <w:rsid w:val="00CA0593"/>
    <w:rsid w:val="00CA05AA"/>
    <w:rsid w:val="00CA069B"/>
    <w:rsid w:val="00CA06C7"/>
    <w:rsid w:val="00CA0720"/>
    <w:rsid w:val="00CA072B"/>
    <w:rsid w:val="00CA0811"/>
    <w:rsid w:val="00CA0827"/>
    <w:rsid w:val="00CA0874"/>
    <w:rsid w:val="00CA0A53"/>
    <w:rsid w:val="00CA0A6A"/>
    <w:rsid w:val="00CA0ADE"/>
    <w:rsid w:val="00CA0B21"/>
    <w:rsid w:val="00CA0B44"/>
    <w:rsid w:val="00CA0B70"/>
    <w:rsid w:val="00CA0B85"/>
    <w:rsid w:val="00CA0BF9"/>
    <w:rsid w:val="00CA0DAC"/>
    <w:rsid w:val="00CA0DC6"/>
    <w:rsid w:val="00CA0E23"/>
    <w:rsid w:val="00CA0E3C"/>
    <w:rsid w:val="00CA0EF3"/>
    <w:rsid w:val="00CA0F56"/>
    <w:rsid w:val="00CA0FC5"/>
    <w:rsid w:val="00CA0FF1"/>
    <w:rsid w:val="00CA132D"/>
    <w:rsid w:val="00CA1513"/>
    <w:rsid w:val="00CA1687"/>
    <w:rsid w:val="00CA1694"/>
    <w:rsid w:val="00CA1783"/>
    <w:rsid w:val="00CA18C7"/>
    <w:rsid w:val="00CA1AE0"/>
    <w:rsid w:val="00CA1B4D"/>
    <w:rsid w:val="00CA1C45"/>
    <w:rsid w:val="00CA1D8E"/>
    <w:rsid w:val="00CA1E26"/>
    <w:rsid w:val="00CA1F2F"/>
    <w:rsid w:val="00CA1F5D"/>
    <w:rsid w:val="00CA1FE0"/>
    <w:rsid w:val="00CA2114"/>
    <w:rsid w:val="00CA21D0"/>
    <w:rsid w:val="00CA2279"/>
    <w:rsid w:val="00CA2360"/>
    <w:rsid w:val="00CA23EA"/>
    <w:rsid w:val="00CA2482"/>
    <w:rsid w:val="00CA26D2"/>
    <w:rsid w:val="00CA272E"/>
    <w:rsid w:val="00CA28E0"/>
    <w:rsid w:val="00CA2943"/>
    <w:rsid w:val="00CA2AA0"/>
    <w:rsid w:val="00CA2B11"/>
    <w:rsid w:val="00CA2B4D"/>
    <w:rsid w:val="00CA2B53"/>
    <w:rsid w:val="00CA2B60"/>
    <w:rsid w:val="00CA2D69"/>
    <w:rsid w:val="00CA2DF0"/>
    <w:rsid w:val="00CA2E53"/>
    <w:rsid w:val="00CA2EAA"/>
    <w:rsid w:val="00CA2EC6"/>
    <w:rsid w:val="00CA2EEE"/>
    <w:rsid w:val="00CA2FB6"/>
    <w:rsid w:val="00CA2FE6"/>
    <w:rsid w:val="00CA3015"/>
    <w:rsid w:val="00CA302D"/>
    <w:rsid w:val="00CA3099"/>
    <w:rsid w:val="00CA3133"/>
    <w:rsid w:val="00CA3136"/>
    <w:rsid w:val="00CA317A"/>
    <w:rsid w:val="00CA3297"/>
    <w:rsid w:val="00CA3453"/>
    <w:rsid w:val="00CA347B"/>
    <w:rsid w:val="00CA353B"/>
    <w:rsid w:val="00CA3549"/>
    <w:rsid w:val="00CA354C"/>
    <w:rsid w:val="00CA35B8"/>
    <w:rsid w:val="00CA36BB"/>
    <w:rsid w:val="00CA36CD"/>
    <w:rsid w:val="00CA373C"/>
    <w:rsid w:val="00CA3760"/>
    <w:rsid w:val="00CA37E8"/>
    <w:rsid w:val="00CA37F1"/>
    <w:rsid w:val="00CA3854"/>
    <w:rsid w:val="00CA39BE"/>
    <w:rsid w:val="00CA39FE"/>
    <w:rsid w:val="00CA3AEA"/>
    <w:rsid w:val="00CA3B34"/>
    <w:rsid w:val="00CA3BDC"/>
    <w:rsid w:val="00CA3CFC"/>
    <w:rsid w:val="00CA3DEF"/>
    <w:rsid w:val="00CA3E09"/>
    <w:rsid w:val="00CA404D"/>
    <w:rsid w:val="00CA40F6"/>
    <w:rsid w:val="00CA428A"/>
    <w:rsid w:val="00CA4427"/>
    <w:rsid w:val="00CA45B4"/>
    <w:rsid w:val="00CA45EE"/>
    <w:rsid w:val="00CA46C2"/>
    <w:rsid w:val="00CA480D"/>
    <w:rsid w:val="00CA4870"/>
    <w:rsid w:val="00CA4873"/>
    <w:rsid w:val="00CA4896"/>
    <w:rsid w:val="00CA49D8"/>
    <w:rsid w:val="00CA4A79"/>
    <w:rsid w:val="00CA4AE9"/>
    <w:rsid w:val="00CA4B0E"/>
    <w:rsid w:val="00CA4BE4"/>
    <w:rsid w:val="00CA4D55"/>
    <w:rsid w:val="00CA4DC4"/>
    <w:rsid w:val="00CA4E1F"/>
    <w:rsid w:val="00CA4E30"/>
    <w:rsid w:val="00CA4FF8"/>
    <w:rsid w:val="00CA507A"/>
    <w:rsid w:val="00CA50A3"/>
    <w:rsid w:val="00CA50F3"/>
    <w:rsid w:val="00CA5338"/>
    <w:rsid w:val="00CA539D"/>
    <w:rsid w:val="00CA53B9"/>
    <w:rsid w:val="00CA53D7"/>
    <w:rsid w:val="00CA5441"/>
    <w:rsid w:val="00CA552F"/>
    <w:rsid w:val="00CA566B"/>
    <w:rsid w:val="00CA578F"/>
    <w:rsid w:val="00CA57AA"/>
    <w:rsid w:val="00CA5811"/>
    <w:rsid w:val="00CA5913"/>
    <w:rsid w:val="00CA5921"/>
    <w:rsid w:val="00CA5A2D"/>
    <w:rsid w:val="00CA5A3A"/>
    <w:rsid w:val="00CA5A45"/>
    <w:rsid w:val="00CA5C30"/>
    <w:rsid w:val="00CA5D02"/>
    <w:rsid w:val="00CA5D70"/>
    <w:rsid w:val="00CA5DD6"/>
    <w:rsid w:val="00CA5E1F"/>
    <w:rsid w:val="00CA5E91"/>
    <w:rsid w:val="00CA5F01"/>
    <w:rsid w:val="00CA5F80"/>
    <w:rsid w:val="00CA5F85"/>
    <w:rsid w:val="00CA5F8B"/>
    <w:rsid w:val="00CA5FD1"/>
    <w:rsid w:val="00CA608D"/>
    <w:rsid w:val="00CA60B2"/>
    <w:rsid w:val="00CA6114"/>
    <w:rsid w:val="00CA6194"/>
    <w:rsid w:val="00CA636C"/>
    <w:rsid w:val="00CA640D"/>
    <w:rsid w:val="00CA64B0"/>
    <w:rsid w:val="00CA6518"/>
    <w:rsid w:val="00CA6540"/>
    <w:rsid w:val="00CA66FC"/>
    <w:rsid w:val="00CA6836"/>
    <w:rsid w:val="00CA6864"/>
    <w:rsid w:val="00CA689E"/>
    <w:rsid w:val="00CA6938"/>
    <w:rsid w:val="00CA6A2E"/>
    <w:rsid w:val="00CA6A8D"/>
    <w:rsid w:val="00CA6B85"/>
    <w:rsid w:val="00CA6BFB"/>
    <w:rsid w:val="00CA6E86"/>
    <w:rsid w:val="00CA6EA0"/>
    <w:rsid w:val="00CA6F3E"/>
    <w:rsid w:val="00CA6F98"/>
    <w:rsid w:val="00CA7141"/>
    <w:rsid w:val="00CA71B4"/>
    <w:rsid w:val="00CA71ED"/>
    <w:rsid w:val="00CA72E1"/>
    <w:rsid w:val="00CA77AC"/>
    <w:rsid w:val="00CA783B"/>
    <w:rsid w:val="00CA78A6"/>
    <w:rsid w:val="00CA7A19"/>
    <w:rsid w:val="00CA7AB0"/>
    <w:rsid w:val="00CA7AF5"/>
    <w:rsid w:val="00CA7B1B"/>
    <w:rsid w:val="00CA7B38"/>
    <w:rsid w:val="00CA7BCA"/>
    <w:rsid w:val="00CA7DE7"/>
    <w:rsid w:val="00CA7ED7"/>
    <w:rsid w:val="00CA7F12"/>
    <w:rsid w:val="00CB0001"/>
    <w:rsid w:val="00CB0188"/>
    <w:rsid w:val="00CB0225"/>
    <w:rsid w:val="00CB026F"/>
    <w:rsid w:val="00CB0361"/>
    <w:rsid w:val="00CB04AA"/>
    <w:rsid w:val="00CB0AAB"/>
    <w:rsid w:val="00CB0BB5"/>
    <w:rsid w:val="00CB0C90"/>
    <w:rsid w:val="00CB0E36"/>
    <w:rsid w:val="00CB0E56"/>
    <w:rsid w:val="00CB0E5C"/>
    <w:rsid w:val="00CB0FA2"/>
    <w:rsid w:val="00CB0FBE"/>
    <w:rsid w:val="00CB10A1"/>
    <w:rsid w:val="00CB11DB"/>
    <w:rsid w:val="00CB121F"/>
    <w:rsid w:val="00CB1470"/>
    <w:rsid w:val="00CB1571"/>
    <w:rsid w:val="00CB15EA"/>
    <w:rsid w:val="00CB168B"/>
    <w:rsid w:val="00CB16F2"/>
    <w:rsid w:val="00CB172D"/>
    <w:rsid w:val="00CB1836"/>
    <w:rsid w:val="00CB195E"/>
    <w:rsid w:val="00CB1998"/>
    <w:rsid w:val="00CB1AC2"/>
    <w:rsid w:val="00CB1AF7"/>
    <w:rsid w:val="00CB1C25"/>
    <w:rsid w:val="00CB1CA8"/>
    <w:rsid w:val="00CB1D02"/>
    <w:rsid w:val="00CB1D5F"/>
    <w:rsid w:val="00CB1D9D"/>
    <w:rsid w:val="00CB1F5B"/>
    <w:rsid w:val="00CB2058"/>
    <w:rsid w:val="00CB2186"/>
    <w:rsid w:val="00CB2224"/>
    <w:rsid w:val="00CB226A"/>
    <w:rsid w:val="00CB2282"/>
    <w:rsid w:val="00CB2283"/>
    <w:rsid w:val="00CB22CE"/>
    <w:rsid w:val="00CB23EF"/>
    <w:rsid w:val="00CB2414"/>
    <w:rsid w:val="00CB2484"/>
    <w:rsid w:val="00CB2487"/>
    <w:rsid w:val="00CB2543"/>
    <w:rsid w:val="00CB2625"/>
    <w:rsid w:val="00CB280E"/>
    <w:rsid w:val="00CB296F"/>
    <w:rsid w:val="00CB2B64"/>
    <w:rsid w:val="00CB2BFB"/>
    <w:rsid w:val="00CB2C12"/>
    <w:rsid w:val="00CB2CD4"/>
    <w:rsid w:val="00CB2DCF"/>
    <w:rsid w:val="00CB2DF2"/>
    <w:rsid w:val="00CB2E29"/>
    <w:rsid w:val="00CB2F43"/>
    <w:rsid w:val="00CB2F4B"/>
    <w:rsid w:val="00CB2F4C"/>
    <w:rsid w:val="00CB2FDB"/>
    <w:rsid w:val="00CB3264"/>
    <w:rsid w:val="00CB326D"/>
    <w:rsid w:val="00CB3425"/>
    <w:rsid w:val="00CB34BD"/>
    <w:rsid w:val="00CB34FC"/>
    <w:rsid w:val="00CB3572"/>
    <w:rsid w:val="00CB3711"/>
    <w:rsid w:val="00CB3797"/>
    <w:rsid w:val="00CB37B9"/>
    <w:rsid w:val="00CB37EF"/>
    <w:rsid w:val="00CB38AD"/>
    <w:rsid w:val="00CB3911"/>
    <w:rsid w:val="00CB395B"/>
    <w:rsid w:val="00CB3965"/>
    <w:rsid w:val="00CB3A1B"/>
    <w:rsid w:val="00CB3B03"/>
    <w:rsid w:val="00CB3B4A"/>
    <w:rsid w:val="00CB3B4D"/>
    <w:rsid w:val="00CB3B9F"/>
    <w:rsid w:val="00CB3BCE"/>
    <w:rsid w:val="00CB3C26"/>
    <w:rsid w:val="00CB3C5A"/>
    <w:rsid w:val="00CB3C87"/>
    <w:rsid w:val="00CB3DC9"/>
    <w:rsid w:val="00CB3DE5"/>
    <w:rsid w:val="00CB3DE7"/>
    <w:rsid w:val="00CB3E0A"/>
    <w:rsid w:val="00CB40A4"/>
    <w:rsid w:val="00CB40B8"/>
    <w:rsid w:val="00CB40FF"/>
    <w:rsid w:val="00CB4157"/>
    <w:rsid w:val="00CB41A9"/>
    <w:rsid w:val="00CB424D"/>
    <w:rsid w:val="00CB42EF"/>
    <w:rsid w:val="00CB432A"/>
    <w:rsid w:val="00CB43E6"/>
    <w:rsid w:val="00CB4416"/>
    <w:rsid w:val="00CB4598"/>
    <w:rsid w:val="00CB45EC"/>
    <w:rsid w:val="00CB45EE"/>
    <w:rsid w:val="00CB45F6"/>
    <w:rsid w:val="00CB475B"/>
    <w:rsid w:val="00CB4787"/>
    <w:rsid w:val="00CB47DF"/>
    <w:rsid w:val="00CB4968"/>
    <w:rsid w:val="00CB49D4"/>
    <w:rsid w:val="00CB49F0"/>
    <w:rsid w:val="00CB4A08"/>
    <w:rsid w:val="00CB4B92"/>
    <w:rsid w:val="00CB4BE5"/>
    <w:rsid w:val="00CB4D11"/>
    <w:rsid w:val="00CB4FEC"/>
    <w:rsid w:val="00CB5013"/>
    <w:rsid w:val="00CB50DA"/>
    <w:rsid w:val="00CB5110"/>
    <w:rsid w:val="00CB5125"/>
    <w:rsid w:val="00CB5237"/>
    <w:rsid w:val="00CB53E8"/>
    <w:rsid w:val="00CB5449"/>
    <w:rsid w:val="00CB54A4"/>
    <w:rsid w:val="00CB5595"/>
    <w:rsid w:val="00CB55F6"/>
    <w:rsid w:val="00CB5680"/>
    <w:rsid w:val="00CB5847"/>
    <w:rsid w:val="00CB588C"/>
    <w:rsid w:val="00CB59EC"/>
    <w:rsid w:val="00CB59EF"/>
    <w:rsid w:val="00CB5A19"/>
    <w:rsid w:val="00CB5B38"/>
    <w:rsid w:val="00CB5C07"/>
    <w:rsid w:val="00CB5C79"/>
    <w:rsid w:val="00CB5CC7"/>
    <w:rsid w:val="00CB5F36"/>
    <w:rsid w:val="00CB5F63"/>
    <w:rsid w:val="00CB6064"/>
    <w:rsid w:val="00CB61DE"/>
    <w:rsid w:val="00CB627F"/>
    <w:rsid w:val="00CB62DC"/>
    <w:rsid w:val="00CB6345"/>
    <w:rsid w:val="00CB65C5"/>
    <w:rsid w:val="00CB65FC"/>
    <w:rsid w:val="00CB6609"/>
    <w:rsid w:val="00CB66CB"/>
    <w:rsid w:val="00CB68ED"/>
    <w:rsid w:val="00CB6BCF"/>
    <w:rsid w:val="00CB6C12"/>
    <w:rsid w:val="00CB6D40"/>
    <w:rsid w:val="00CB6EA2"/>
    <w:rsid w:val="00CB6EB6"/>
    <w:rsid w:val="00CB6F0F"/>
    <w:rsid w:val="00CB6FBF"/>
    <w:rsid w:val="00CB71F4"/>
    <w:rsid w:val="00CB7272"/>
    <w:rsid w:val="00CB72BD"/>
    <w:rsid w:val="00CB7334"/>
    <w:rsid w:val="00CB74D2"/>
    <w:rsid w:val="00CB7507"/>
    <w:rsid w:val="00CB7508"/>
    <w:rsid w:val="00CB7510"/>
    <w:rsid w:val="00CB7577"/>
    <w:rsid w:val="00CB7584"/>
    <w:rsid w:val="00CB76D2"/>
    <w:rsid w:val="00CB7780"/>
    <w:rsid w:val="00CB77E4"/>
    <w:rsid w:val="00CB7942"/>
    <w:rsid w:val="00CB7B71"/>
    <w:rsid w:val="00CB7BF5"/>
    <w:rsid w:val="00CB7CC5"/>
    <w:rsid w:val="00CB7F30"/>
    <w:rsid w:val="00CC002B"/>
    <w:rsid w:val="00CC0063"/>
    <w:rsid w:val="00CC0119"/>
    <w:rsid w:val="00CC01AF"/>
    <w:rsid w:val="00CC01B7"/>
    <w:rsid w:val="00CC0228"/>
    <w:rsid w:val="00CC0316"/>
    <w:rsid w:val="00CC0323"/>
    <w:rsid w:val="00CC035A"/>
    <w:rsid w:val="00CC038C"/>
    <w:rsid w:val="00CC04F4"/>
    <w:rsid w:val="00CC0970"/>
    <w:rsid w:val="00CC0B0E"/>
    <w:rsid w:val="00CC0C59"/>
    <w:rsid w:val="00CC0D09"/>
    <w:rsid w:val="00CC0E57"/>
    <w:rsid w:val="00CC0E81"/>
    <w:rsid w:val="00CC0F69"/>
    <w:rsid w:val="00CC0FD9"/>
    <w:rsid w:val="00CC1110"/>
    <w:rsid w:val="00CC1119"/>
    <w:rsid w:val="00CC11BE"/>
    <w:rsid w:val="00CC11C6"/>
    <w:rsid w:val="00CC1205"/>
    <w:rsid w:val="00CC1234"/>
    <w:rsid w:val="00CC128D"/>
    <w:rsid w:val="00CC130F"/>
    <w:rsid w:val="00CC1453"/>
    <w:rsid w:val="00CC14EF"/>
    <w:rsid w:val="00CC14FE"/>
    <w:rsid w:val="00CC17D0"/>
    <w:rsid w:val="00CC1822"/>
    <w:rsid w:val="00CC18C0"/>
    <w:rsid w:val="00CC19FE"/>
    <w:rsid w:val="00CC1A94"/>
    <w:rsid w:val="00CC1ADD"/>
    <w:rsid w:val="00CC1DBA"/>
    <w:rsid w:val="00CC1EE4"/>
    <w:rsid w:val="00CC2033"/>
    <w:rsid w:val="00CC2076"/>
    <w:rsid w:val="00CC20B4"/>
    <w:rsid w:val="00CC20FD"/>
    <w:rsid w:val="00CC21A8"/>
    <w:rsid w:val="00CC231D"/>
    <w:rsid w:val="00CC2382"/>
    <w:rsid w:val="00CC249A"/>
    <w:rsid w:val="00CC2520"/>
    <w:rsid w:val="00CC256E"/>
    <w:rsid w:val="00CC2733"/>
    <w:rsid w:val="00CC27E2"/>
    <w:rsid w:val="00CC2847"/>
    <w:rsid w:val="00CC28DE"/>
    <w:rsid w:val="00CC2904"/>
    <w:rsid w:val="00CC298E"/>
    <w:rsid w:val="00CC2BD8"/>
    <w:rsid w:val="00CC2BE3"/>
    <w:rsid w:val="00CC2CF6"/>
    <w:rsid w:val="00CC2D1E"/>
    <w:rsid w:val="00CC2D29"/>
    <w:rsid w:val="00CC2D3B"/>
    <w:rsid w:val="00CC2D46"/>
    <w:rsid w:val="00CC2D54"/>
    <w:rsid w:val="00CC2DB9"/>
    <w:rsid w:val="00CC2E76"/>
    <w:rsid w:val="00CC2F77"/>
    <w:rsid w:val="00CC32A2"/>
    <w:rsid w:val="00CC3363"/>
    <w:rsid w:val="00CC3532"/>
    <w:rsid w:val="00CC3580"/>
    <w:rsid w:val="00CC36B7"/>
    <w:rsid w:val="00CC36EA"/>
    <w:rsid w:val="00CC374B"/>
    <w:rsid w:val="00CC3796"/>
    <w:rsid w:val="00CC37FF"/>
    <w:rsid w:val="00CC3800"/>
    <w:rsid w:val="00CC3874"/>
    <w:rsid w:val="00CC38A5"/>
    <w:rsid w:val="00CC38C8"/>
    <w:rsid w:val="00CC3A9C"/>
    <w:rsid w:val="00CC3AC9"/>
    <w:rsid w:val="00CC3CAB"/>
    <w:rsid w:val="00CC3CDC"/>
    <w:rsid w:val="00CC3DC6"/>
    <w:rsid w:val="00CC3E43"/>
    <w:rsid w:val="00CC3ECC"/>
    <w:rsid w:val="00CC3FB9"/>
    <w:rsid w:val="00CC3FE5"/>
    <w:rsid w:val="00CC40EA"/>
    <w:rsid w:val="00CC41A6"/>
    <w:rsid w:val="00CC44EB"/>
    <w:rsid w:val="00CC46E6"/>
    <w:rsid w:val="00CC4743"/>
    <w:rsid w:val="00CC4924"/>
    <w:rsid w:val="00CC49B8"/>
    <w:rsid w:val="00CC4A33"/>
    <w:rsid w:val="00CC4A68"/>
    <w:rsid w:val="00CC4A8D"/>
    <w:rsid w:val="00CC4B4D"/>
    <w:rsid w:val="00CC4B7D"/>
    <w:rsid w:val="00CC4BDB"/>
    <w:rsid w:val="00CC4C35"/>
    <w:rsid w:val="00CC4DA2"/>
    <w:rsid w:val="00CC4EFB"/>
    <w:rsid w:val="00CC5055"/>
    <w:rsid w:val="00CC50CC"/>
    <w:rsid w:val="00CC50D8"/>
    <w:rsid w:val="00CC52A2"/>
    <w:rsid w:val="00CC52E0"/>
    <w:rsid w:val="00CC534E"/>
    <w:rsid w:val="00CC53A5"/>
    <w:rsid w:val="00CC53FA"/>
    <w:rsid w:val="00CC5432"/>
    <w:rsid w:val="00CC543A"/>
    <w:rsid w:val="00CC54B1"/>
    <w:rsid w:val="00CC54BE"/>
    <w:rsid w:val="00CC54C6"/>
    <w:rsid w:val="00CC562B"/>
    <w:rsid w:val="00CC562D"/>
    <w:rsid w:val="00CC5796"/>
    <w:rsid w:val="00CC57C0"/>
    <w:rsid w:val="00CC57D4"/>
    <w:rsid w:val="00CC57D5"/>
    <w:rsid w:val="00CC583F"/>
    <w:rsid w:val="00CC5871"/>
    <w:rsid w:val="00CC597E"/>
    <w:rsid w:val="00CC59E1"/>
    <w:rsid w:val="00CC5A20"/>
    <w:rsid w:val="00CC5A69"/>
    <w:rsid w:val="00CC5C3F"/>
    <w:rsid w:val="00CC5C72"/>
    <w:rsid w:val="00CC5CC6"/>
    <w:rsid w:val="00CC5CE5"/>
    <w:rsid w:val="00CC5E19"/>
    <w:rsid w:val="00CC5E21"/>
    <w:rsid w:val="00CC5E6C"/>
    <w:rsid w:val="00CC5F6C"/>
    <w:rsid w:val="00CC5FD4"/>
    <w:rsid w:val="00CC5FE0"/>
    <w:rsid w:val="00CC6081"/>
    <w:rsid w:val="00CC6082"/>
    <w:rsid w:val="00CC60B8"/>
    <w:rsid w:val="00CC60DB"/>
    <w:rsid w:val="00CC6104"/>
    <w:rsid w:val="00CC6178"/>
    <w:rsid w:val="00CC6225"/>
    <w:rsid w:val="00CC6232"/>
    <w:rsid w:val="00CC6293"/>
    <w:rsid w:val="00CC62A3"/>
    <w:rsid w:val="00CC630E"/>
    <w:rsid w:val="00CC6329"/>
    <w:rsid w:val="00CC632E"/>
    <w:rsid w:val="00CC63CD"/>
    <w:rsid w:val="00CC64CB"/>
    <w:rsid w:val="00CC64DD"/>
    <w:rsid w:val="00CC65CD"/>
    <w:rsid w:val="00CC6703"/>
    <w:rsid w:val="00CC6755"/>
    <w:rsid w:val="00CC6776"/>
    <w:rsid w:val="00CC6782"/>
    <w:rsid w:val="00CC67C3"/>
    <w:rsid w:val="00CC690F"/>
    <w:rsid w:val="00CC6A86"/>
    <w:rsid w:val="00CC6AB8"/>
    <w:rsid w:val="00CC6B85"/>
    <w:rsid w:val="00CC6BBC"/>
    <w:rsid w:val="00CC6C6E"/>
    <w:rsid w:val="00CC6DAD"/>
    <w:rsid w:val="00CC6DCD"/>
    <w:rsid w:val="00CC6DF8"/>
    <w:rsid w:val="00CC6FC2"/>
    <w:rsid w:val="00CC741A"/>
    <w:rsid w:val="00CC76D1"/>
    <w:rsid w:val="00CC7737"/>
    <w:rsid w:val="00CC7803"/>
    <w:rsid w:val="00CC79B0"/>
    <w:rsid w:val="00CC79D3"/>
    <w:rsid w:val="00CC7ABE"/>
    <w:rsid w:val="00CC7BC2"/>
    <w:rsid w:val="00CC7C8A"/>
    <w:rsid w:val="00CC7CAF"/>
    <w:rsid w:val="00CC7CBB"/>
    <w:rsid w:val="00CC7CC7"/>
    <w:rsid w:val="00CC7E89"/>
    <w:rsid w:val="00CC7ED7"/>
    <w:rsid w:val="00CC7EFA"/>
    <w:rsid w:val="00CC7F1C"/>
    <w:rsid w:val="00CC7F56"/>
    <w:rsid w:val="00CC7FC6"/>
    <w:rsid w:val="00CD0134"/>
    <w:rsid w:val="00CD013A"/>
    <w:rsid w:val="00CD028A"/>
    <w:rsid w:val="00CD0496"/>
    <w:rsid w:val="00CD056C"/>
    <w:rsid w:val="00CD05D1"/>
    <w:rsid w:val="00CD06CF"/>
    <w:rsid w:val="00CD07AE"/>
    <w:rsid w:val="00CD07BE"/>
    <w:rsid w:val="00CD07C2"/>
    <w:rsid w:val="00CD0838"/>
    <w:rsid w:val="00CD0924"/>
    <w:rsid w:val="00CD0978"/>
    <w:rsid w:val="00CD0C6F"/>
    <w:rsid w:val="00CD0CC5"/>
    <w:rsid w:val="00CD0DD1"/>
    <w:rsid w:val="00CD0DE5"/>
    <w:rsid w:val="00CD0E16"/>
    <w:rsid w:val="00CD0E8C"/>
    <w:rsid w:val="00CD1005"/>
    <w:rsid w:val="00CD118B"/>
    <w:rsid w:val="00CD11B0"/>
    <w:rsid w:val="00CD12A6"/>
    <w:rsid w:val="00CD1491"/>
    <w:rsid w:val="00CD14AB"/>
    <w:rsid w:val="00CD1560"/>
    <w:rsid w:val="00CD15E2"/>
    <w:rsid w:val="00CD1610"/>
    <w:rsid w:val="00CD168B"/>
    <w:rsid w:val="00CD17AC"/>
    <w:rsid w:val="00CD1865"/>
    <w:rsid w:val="00CD1AD8"/>
    <w:rsid w:val="00CD1B0D"/>
    <w:rsid w:val="00CD1BC2"/>
    <w:rsid w:val="00CD1D13"/>
    <w:rsid w:val="00CD1D3D"/>
    <w:rsid w:val="00CD1EA6"/>
    <w:rsid w:val="00CD2113"/>
    <w:rsid w:val="00CD2206"/>
    <w:rsid w:val="00CD2243"/>
    <w:rsid w:val="00CD231B"/>
    <w:rsid w:val="00CD2474"/>
    <w:rsid w:val="00CD2594"/>
    <w:rsid w:val="00CD25FF"/>
    <w:rsid w:val="00CD270C"/>
    <w:rsid w:val="00CD2759"/>
    <w:rsid w:val="00CD27D3"/>
    <w:rsid w:val="00CD284C"/>
    <w:rsid w:val="00CD28CB"/>
    <w:rsid w:val="00CD28EF"/>
    <w:rsid w:val="00CD2928"/>
    <w:rsid w:val="00CD29B6"/>
    <w:rsid w:val="00CD29F8"/>
    <w:rsid w:val="00CD2AFF"/>
    <w:rsid w:val="00CD2BB3"/>
    <w:rsid w:val="00CD2BDB"/>
    <w:rsid w:val="00CD2C54"/>
    <w:rsid w:val="00CD2D10"/>
    <w:rsid w:val="00CD2F22"/>
    <w:rsid w:val="00CD2F4B"/>
    <w:rsid w:val="00CD2F59"/>
    <w:rsid w:val="00CD31C3"/>
    <w:rsid w:val="00CD320B"/>
    <w:rsid w:val="00CD32CA"/>
    <w:rsid w:val="00CD32EF"/>
    <w:rsid w:val="00CD341B"/>
    <w:rsid w:val="00CD345C"/>
    <w:rsid w:val="00CD3578"/>
    <w:rsid w:val="00CD35D6"/>
    <w:rsid w:val="00CD361D"/>
    <w:rsid w:val="00CD37ED"/>
    <w:rsid w:val="00CD383B"/>
    <w:rsid w:val="00CD38EA"/>
    <w:rsid w:val="00CD3922"/>
    <w:rsid w:val="00CD3989"/>
    <w:rsid w:val="00CD3A54"/>
    <w:rsid w:val="00CD3A66"/>
    <w:rsid w:val="00CD3AF6"/>
    <w:rsid w:val="00CD3C22"/>
    <w:rsid w:val="00CD3DD4"/>
    <w:rsid w:val="00CD3DF3"/>
    <w:rsid w:val="00CD3E23"/>
    <w:rsid w:val="00CD413F"/>
    <w:rsid w:val="00CD414A"/>
    <w:rsid w:val="00CD41E2"/>
    <w:rsid w:val="00CD4244"/>
    <w:rsid w:val="00CD439C"/>
    <w:rsid w:val="00CD43AC"/>
    <w:rsid w:val="00CD43B3"/>
    <w:rsid w:val="00CD4416"/>
    <w:rsid w:val="00CD4539"/>
    <w:rsid w:val="00CD477C"/>
    <w:rsid w:val="00CD47AE"/>
    <w:rsid w:val="00CD485F"/>
    <w:rsid w:val="00CD4868"/>
    <w:rsid w:val="00CD4AD0"/>
    <w:rsid w:val="00CD4BEF"/>
    <w:rsid w:val="00CD4C39"/>
    <w:rsid w:val="00CD4CCD"/>
    <w:rsid w:val="00CD4D1D"/>
    <w:rsid w:val="00CD4F70"/>
    <w:rsid w:val="00CD5160"/>
    <w:rsid w:val="00CD523A"/>
    <w:rsid w:val="00CD5247"/>
    <w:rsid w:val="00CD533F"/>
    <w:rsid w:val="00CD53DC"/>
    <w:rsid w:val="00CD54A9"/>
    <w:rsid w:val="00CD5511"/>
    <w:rsid w:val="00CD552D"/>
    <w:rsid w:val="00CD5595"/>
    <w:rsid w:val="00CD5672"/>
    <w:rsid w:val="00CD568E"/>
    <w:rsid w:val="00CD5768"/>
    <w:rsid w:val="00CD5915"/>
    <w:rsid w:val="00CD5993"/>
    <w:rsid w:val="00CD599D"/>
    <w:rsid w:val="00CD59A6"/>
    <w:rsid w:val="00CD5B0C"/>
    <w:rsid w:val="00CD5C09"/>
    <w:rsid w:val="00CD5C2E"/>
    <w:rsid w:val="00CD5F1B"/>
    <w:rsid w:val="00CD5F62"/>
    <w:rsid w:val="00CD6024"/>
    <w:rsid w:val="00CD6036"/>
    <w:rsid w:val="00CD604F"/>
    <w:rsid w:val="00CD60B6"/>
    <w:rsid w:val="00CD611D"/>
    <w:rsid w:val="00CD61EC"/>
    <w:rsid w:val="00CD6241"/>
    <w:rsid w:val="00CD6260"/>
    <w:rsid w:val="00CD633F"/>
    <w:rsid w:val="00CD6425"/>
    <w:rsid w:val="00CD644E"/>
    <w:rsid w:val="00CD6472"/>
    <w:rsid w:val="00CD64D0"/>
    <w:rsid w:val="00CD64D1"/>
    <w:rsid w:val="00CD64DB"/>
    <w:rsid w:val="00CD6573"/>
    <w:rsid w:val="00CD6593"/>
    <w:rsid w:val="00CD65BB"/>
    <w:rsid w:val="00CD6681"/>
    <w:rsid w:val="00CD6731"/>
    <w:rsid w:val="00CD6747"/>
    <w:rsid w:val="00CD68A0"/>
    <w:rsid w:val="00CD6901"/>
    <w:rsid w:val="00CD6909"/>
    <w:rsid w:val="00CD6996"/>
    <w:rsid w:val="00CD69B2"/>
    <w:rsid w:val="00CD6A13"/>
    <w:rsid w:val="00CD6A61"/>
    <w:rsid w:val="00CD6BFE"/>
    <w:rsid w:val="00CD6C02"/>
    <w:rsid w:val="00CD6C9A"/>
    <w:rsid w:val="00CD6CE1"/>
    <w:rsid w:val="00CD6E13"/>
    <w:rsid w:val="00CD6E39"/>
    <w:rsid w:val="00CD6EAE"/>
    <w:rsid w:val="00CD6FC6"/>
    <w:rsid w:val="00CD6FDA"/>
    <w:rsid w:val="00CD7043"/>
    <w:rsid w:val="00CD70A7"/>
    <w:rsid w:val="00CD7100"/>
    <w:rsid w:val="00CD719E"/>
    <w:rsid w:val="00CD7219"/>
    <w:rsid w:val="00CD7280"/>
    <w:rsid w:val="00CD728A"/>
    <w:rsid w:val="00CD73D5"/>
    <w:rsid w:val="00CD7500"/>
    <w:rsid w:val="00CD7595"/>
    <w:rsid w:val="00CD75AF"/>
    <w:rsid w:val="00CD761C"/>
    <w:rsid w:val="00CD764E"/>
    <w:rsid w:val="00CD77DC"/>
    <w:rsid w:val="00CD781F"/>
    <w:rsid w:val="00CD784F"/>
    <w:rsid w:val="00CD78E7"/>
    <w:rsid w:val="00CD7A05"/>
    <w:rsid w:val="00CD7A22"/>
    <w:rsid w:val="00CD7A4F"/>
    <w:rsid w:val="00CD7A6C"/>
    <w:rsid w:val="00CD7A7E"/>
    <w:rsid w:val="00CD7A91"/>
    <w:rsid w:val="00CD7BC9"/>
    <w:rsid w:val="00CD7CE0"/>
    <w:rsid w:val="00CD7EA6"/>
    <w:rsid w:val="00CD7F3C"/>
    <w:rsid w:val="00CE016B"/>
    <w:rsid w:val="00CE01C1"/>
    <w:rsid w:val="00CE063D"/>
    <w:rsid w:val="00CE0641"/>
    <w:rsid w:val="00CE0649"/>
    <w:rsid w:val="00CE06C9"/>
    <w:rsid w:val="00CE076D"/>
    <w:rsid w:val="00CE0801"/>
    <w:rsid w:val="00CE0834"/>
    <w:rsid w:val="00CE0839"/>
    <w:rsid w:val="00CE0840"/>
    <w:rsid w:val="00CE0850"/>
    <w:rsid w:val="00CE0863"/>
    <w:rsid w:val="00CE096A"/>
    <w:rsid w:val="00CE099B"/>
    <w:rsid w:val="00CE09C7"/>
    <w:rsid w:val="00CE0A60"/>
    <w:rsid w:val="00CE0A72"/>
    <w:rsid w:val="00CE0A7E"/>
    <w:rsid w:val="00CE0AA8"/>
    <w:rsid w:val="00CE0B2F"/>
    <w:rsid w:val="00CE0B80"/>
    <w:rsid w:val="00CE0C01"/>
    <w:rsid w:val="00CE0C97"/>
    <w:rsid w:val="00CE0D6D"/>
    <w:rsid w:val="00CE0F96"/>
    <w:rsid w:val="00CE0FFD"/>
    <w:rsid w:val="00CE1106"/>
    <w:rsid w:val="00CE1187"/>
    <w:rsid w:val="00CE1194"/>
    <w:rsid w:val="00CE1218"/>
    <w:rsid w:val="00CE1321"/>
    <w:rsid w:val="00CE13A6"/>
    <w:rsid w:val="00CE13BE"/>
    <w:rsid w:val="00CE1468"/>
    <w:rsid w:val="00CE14F2"/>
    <w:rsid w:val="00CE14FF"/>
    <w:rsid w:val="00CE1543"/>
    <w:rsid w:val="00CE1564"/>
    <w:rsid w:val="00CE1580"/>
    <w:rsid w:val="00CE1693"/>
    <w:rsid w:val="00CE16B3"/>
    <w:rsid w:val="00CE16EE"/>
    <w:rsid w:val="00CE174B"/>
    <w:rsid w:val="00CE180F"/>
    <w:rsid w:val="00CE19A7"/>
    <w:rsid w:val="00CE19D2"/>
    <w:rsid w:val="00CE1AAE"/>
    <w:rsid w:val="00CE1ABF"/>
    <w:rsid w:val="00CE1B7A"/>
    <w:rsid w:val="00CE1CDB"/>
    <w:rsid w:val="00CE1D32"/>
    <w:rsid w:val="00CE1D43"/>
    <w:rsid w:val="00CE1D84"/>
    <w:rsid w:val="00CE1E35"/>
    <w:rsid w:val="00CE1FA4"/>
    <w:rsid w:val="00CE1FD4"/>
    <w:rsid w:val="00CE2099"/>
    <w:rsid w:val="00CE218B"/>
    <w:rsid w:val="00CE21E6"/>
    <w:rsid w:val="00CE22A5"/>
    <w:rsid w:val="00CE2374"/>
    <w:rsid w:val="00CE25B1"/>
    <w:rsid w:val="00CE262E"/>
    <w:rsid w:val="00CE267F"/>
    <w:rsid w:val="00CE2708"/>
    <w:rsid w:val="00CE272C"/>
    <w:rsid w:val="00CE278D"/>
    <w:rsid w:val="00CE27F4"/>
    <w:rsid w:val="00CE288C"/>
    <w:rsid w:val="00CE29BB"/>
    <w:rsid w:val="00CE29F1"/>
    <w:rsid w:val="00CE2ABA"/>
    <w:rsid w:val="00CE2AF0"/>
    <w:rsid w:val="00CE2B84"/>
    <w:rsid w:val="00CE2C1F"/>
    <w:rsid w:val="00CE2D9D"/>
    <w:rsid w:val="00CE2DC4"/>
    <w:rsid w:val="00CE2EE4"/>
    <w:rsid w:val="00CE3094"/>
    <w:rsid w:val="00CE30E0"/>
    <w:rsid w:val="00CE30FD"/>
    <w:rsid w:val="00CE31C3"/>
    <w:rsid w:val="00CE32B9"/>
    <w:rsid w:val="00CE3344"/>
    <w:rsid w:val="00CE33C7"/>
    <w:rsid w:val="00CE33DD"/>
    <w:rsid w:val="00CE3503"/>
    <w:rsid w:val="00CE3559"/>
    <w:rsid w:val="00CE3585"/>
    <w:rsid w:val="00CE369E"/>
    <w:rsid w:val="00CE3772"/>
    <w:rsid w:val="00CE379D"/>
    <w:rsid w:val="00CE37CC"/>
    <w:rsid w:val="00CE37E6"/>
    <w:rsid w:val="00CE3871"/>
    <w:rsid w:val="00CE38E0"/>
    <w:rsid w:val="00CE3963"/>
    <w:rsid w:val="00CE396F"/>
    <w:rsid w:val="00CE3A30"/>
    <w:rsid w:val="00CE3A75"/>
    <w:rsid w:val="00CE40EE"/>
    <w:rsid w:val="00CE4124"/>
    <w:rsid w:val="00CE413D"/>
    <w:rsid w:val="00CE4161"/>
    <w:rsid w:val="00CE4191"/>
    <w:rsid w:val="00CE4223"/>
    <w:rsid w:val="00CE4466"/>
    <w:rsid w:val="00CE44D1"/>
    <w:rsid w:val="00CE4657"/>
    <w:rsid w:val="00CE46E6"/>
    <w:rsid w:val="00CE477A"/>
    <w:rsid w:val="00CE4808"/>
    <w:rsid w:val="00CE4830"/>
    <w:rsid w:val="00CE4852"/>
    <w:rsid w:val="00CE48EA"/>
    <w:rsid w:val="00CE4941"/>
    <w:rsid w:val="00CE497C"/>
    <w:rsid w:val="00CE4A0F"/>
    <w:rsid w:val="00CE4A21"/>
    <w:rsid w:val="00CE4A57"/>
    <w:rsid w:val="00CE4AA6"/>
    <w:rsid w:val="00CE4ACF"/>
    <w:rsid w:val="00CE4AE5"/>
    <w:rsid w:val="00CE4B3A"/>
    <w:rsid w:val="00CE4B4A"/>
    <w:rsid w:val="00CE4F79"/>
    <w:rsid w:val="00CE50FB"/>
    <w:rsid w:val="00CE51A7"/>
    <w:rsid w:val="00CE51EE"/>
    <w:rsid w:val="00CE5218"/>
    <w:rsid w:val="00CE5510"/>
    <w:rsid w:val="00CE555B"/>
    <w:rsid w:val="00CE55E4"/>
    <w:rsid w:val="00CE56EB"/>
    <w:rsid w:val="00CE5748"/>
    <w:rsid w:val="00CE5887"/>
    <w:rsid w:val="00CE5A94"/>
    <w:rsid w:val="00CE5AA0"/>
    <w:rsid w:val="00CE5B6D"/>
    <w:rsid w:val="00CE5C16"/>
    <w:rsid w:val="00CE5E1D"/>
    <w:rsid w:val="00CE5F54"/>
    <w:rsid w:val="00CE61C8"/>
    <w:rsid w:val="00CE639B"/>
    <w:rsid w:val="00CE642F"/>
    <w:rsid w:val="00CE6490"/>
    <w:rsid w:val="00CE65CE"/>
    <w:rsid w:val="00CE6685"/>
    <w:rsid w:val="00CE67AE"/>
    <w:rsid w:val="00CE6874"/>
    <w:rsid w:val="00CE6AFD"/>
    <w:rsid w:val="00CE6B80"/>
    <w:rsid w:val="00CE6C14"/>
    <w:rsid w:val="00CE6C4A"/>
    <w:rsid w:val="00CE6C73"/>
    <w:rsid w:val="00CE6CCD"/>
    <w:rsid w:val="00CE6D58"/>
    <w:rsid w:val="00CE6EF5"/>
    <w:rsid w:val="00CE703A"/>
    <w:rsid w:val="00CE71F2"/>
    <w:rsid w:val="00CE7229"/>
    <w:rsid w:val="00CE7230"/>
    <w:rsid w:val="00CE72C1"/>
    <w:rsid w:val="00CE740F"/>
    <w:rsid w:val="00CE7424"/>
    <w:rsid w:val="00CE7682"/>
    <w:rsid w:val="00CE772D"/>
    <w:rsid w:val="00CE781B"/>
    <w:rsid w:val="00CE7832"/>
    <w:rsid w:val="00CE7975"/>
    <w:rsid w:val="00CE79B0"/>
    <w:rsid w:val="00CE7A1B"/>
    <w:rsid w:val="00CE7A9E"/>
    <w:rsid w:val="00CE7BC3"/>
    <w:rsid w:val="00CE7CF2"/>
    <w:rsid w:val="00CE7D39"/>
    <w:rsid w:val="00CE7D8C"/>
    <w:rsid w:val="00CE7E84"/>
    <w:rsid w:val="00CE7EF2"/>
    <w:rsid w:val="00CF0013"/>
    <w:rsid w:val="00CF0016"/>
    <w:rsid w:val="00CF001F"/>
    <w:rsid w:val="00CF007F"/>
    <w:rsid w:val="00CF0266"/>
    <w:rsid w:val="00CF0270"/>
    <w:rsid w:val="00CF02E0"/>
    <w:rsid w:val="00CF0365"/>
    <w:rsid w:val="00CF043B"/>
    <w:rsid w:val="00CF054F"/>
    <w:rsid w:val="00CF065E"/>
    <w:rsid w:val="00CF0687"/>
    <w:rsid w:val="00CF0792"/>
    <w:rsid w:val="00CF0A96"/>
    <w:rsid w:val="00CF0B07"/>
    <w:rsid w:val="00CF0C9D"/>
    <w:rsid w:val="00CF0CAF"/>
    <w:rsid w:val="00CF0CDB"/>
    <w:rsid w:val="00CF0DBF"/>
    <w:rsid w:val="00CF0E09"/>
    <w:rsid w:val="00CF0E3A"/>
    <w:rsid w:val="00CF103A"/>
    <w:rsid w:val="00CF1199"/>
    <w:rsid w:val="00CF1221"/>
    <w:rsid w:val="00CF1273"/>
    <w:rsid w:val="00CF13A5"/>
    <w:rsid w:val="00CF13DC"/>
    <w:rsid w:val="00CF13DE"/>
    <w:rsid w:val="00CF13F3"/>
    <w:rsid w:val="00CF13F7"/>
    <w:rsid w:val="00CF14BC"/>
    <w:rsid w:val="00CF152C"/>
    <w:rsid w:val="00CF17C9"/>
    <w:rsid w:val="00CF17F2"/>
    <w:rsid w:val="00CF180B"/>
    <w:rsid w:val="00CF1838"/>
    <w:rsid w:val="00CF1868"/>
    <w:rsid w:val="00CF1A30"/>
    <w:rsid w:val="00CF1A8F"/>
    <w:rsid w:val="00CF1B05"/>
    <w:rsid w:val="00CF1B08"/>
    <w:rsid w:val="00CF1D28"/>
    <w:rsid w:val="00CF1DD3"/>
    <w:rsid w:val="00CF1DD5"/>
    <w:rsid w:val="00CF1F26"/>
    <w:rsid w:val="00CF1F61"/>
    <w:rsid w:val="00CF208D"/>
    <w:rsid w:val="00CF2211"/>
    <w:rsid w:val="00CF22EF"/>
    <w:rsid w:val="00CF23F4"/>
    <w:rsid w:val="00CF249B"/>
    <w:rsid w:val="00CF24BB"/>
    <w:rsid w:val="00CF2691"/>
    <w:rsid w:val="00CF26AF"/>
    <w:rsid w:val="00CF27EE"/>
    <w:rsid w:val="00CF2864"/>
    <w:rsid w:val="00CF287F"/>
    <w:rsid w:val="00CF290D"/>
    <w:rsid w:val="00CF293C"/>
    <w:rsid w:val="00CF293E"/>
    <w:rsid w:val="00CF2947"/>
    <w:rsid w:val="00CF29AB"/>
    <w:rsid w:val="00CF2A19"/>
    <w:rsid w:val="00CF2A85"/>
    <w:rsid w:val="00CF2C21"/>
    <w:rsid w:val="00CF2D7B"/>
    <w:rsid w:val="00CF2D92"/>
    <w:rsid w:val="00CF2E14"/>
    <w:rsid w:val="00CF2F33"/>
    <w:rsid w:val="00CF303D"/>
    <w:rsid w:val="00CF3153"/>
    <w:rsid w:val="00CF3208"/>
    <w:rsid w:val="00CF32BF"/>
    <w:rsid w:val="00CF3417"/>
    <w:rsid w:val="00CF34B7"/>
    <w:rsid w:val="00CF3500"/>
    <w:rsid w:val="00CF360F"/>
    <w:rsid w:val="00CF374F"/>
    <w:rsid w:val="00CF3899"/>
    <w:rsid w:val="00CF39B5"/>
    <w:rsid w:val="00CF39BC"/>
    <w:rsid w:val="00CF3B45"/>
    <w:rsid w:val="00CF3BCE"/>
    <w:rsid w:val="00CF3BF0"/>
    <w:rsid w:val="00CF3C52"/>
    <w:rsid w:val="00CF3C5D"/>
    <w:rsid w:val="00CF3CB3"/>
    <w:rsid w:val="00CF3D21"/>
    <w:rsid w:val="00CF3D8B"/>
    <w:rsid w:val="00CF3E16"/>
    <w:rsid w:val="00CF3E2E"/>
    <w:rsid w:val="00CF3E4B"/>
    <w:rsid w:val="00CF3EA3"/>
    <w:rsid w:val="00CF3EE5"/>
    <w:rsid w:val="00CF3F53"/>
    <w:rsid w:val="00CF3FE7"/>
    <w:rsid w:val="00CF40FE"/>
    <w:rsid w:val="00CF41B1"/>
    <w:rsid w:val="00CF4203"/>
    <w:rsid w:val="00CF426D"/>
    <w:rsid w:val="00CF433B"/>
    <w:rsid w:val="00CF4364"/>
    <w:rsid w:val="00CF4453"/>
    <w:rsid w:val="00CF4536"/>
    <w:rsid w:val="00CF4556"/>
    <w:rsid w:val="00CF45F0"/>
    <w:rsid w:val="00CF4737"/>
    <w:rsid w:val="00CF47D2"/>
    <w:rsid w:val="00CF47FB"/>
    <w:rsid w:val="00CF4846"/>
    <w:rsid w:val="00CF4890"/>
    <w:rsid w:val="00CF48C3"/>
    <w:rsid w:val="00CF4A78"/>
    <w:rsid w:val="00CF4B7A"/>
    <w:rsid w:val="00CF4B86"/>
    <w:rsid w:val="00CF4C05"/>
    <w:rsid w:val="00CF4CF4"/>
    <w:rsid w:val="00CF4DF1"/>
    <w:rsid w:val="00CF4EE1"/>
    <w:rsid w:val="00CF4F28"/>
    <w:rsid w:val="00CF4F2E"/>
    <w:rsid w:val="00CF5048"/>
    <w:rsid w:val="00CF504F"/>
    <w:rsid w:val="00CF5076"/>
    <w:rsid w:val="00CF5103"/>
    <w:rsid w:val="00CF5106"/>
    <w:rsid w:val="00CF5110"/>
    <w:rsid w:val="00CF51D4"/>
    <w:rsid w:val="00CF5200"/>
    <w:rsid w:val="00CF5291"/>
    <w:rsid w:val="00CF5341"/>
    <w:rsid w:val="00CF534F"/>
    <w:rsid w:val="00CF54A6"/>
    <w:rsid w:val="00CF5508"/>
    <w:rsid w:val="00CF55A2"/>
    <w:rsid w:val="00CF55A4"/>
    <w:rsid w:val="00CF55CD"/>
    <w:rsid w:val="00CF5608"/>
    <w:rsid w:val="00CF577E"/>
    <w:rsid w:val="00CF57A2"/>
    <w:rsid w:val="00CF5A0A"/>
    <w:rsid w:val="00CF5A1A"/>
    <w:rsid w:val="00CF5AF7"/>
    <w:rsid w:val="00CF5C89"/>
    <w:rsid w:val="00CF5DB4"/>
    <w:rsid w:val="00CF5E79"/>
    <w:rsid w:val="00CF5E8B"/>
    <w:rsid w:val="00CF5F93"/>
    <w:rsid w:val="00CF603A"/>
    <w:rsid w:val="00CF614B"/>
    <w:rsid w:val="00CF6296"/>
    <w:rsid w:val="00CF636B"/>
    <w:rsid w:val="00CF63F1"/>
    <w:rsid w:val="00CF643F"/>
    <w:rsid w:val="00CF649D"/>
    <w:rsid w:val="00CF6576"/>
    <w:rsid w:val="00CF6887"/>
    <w:rsid w:val="00CF68B2"/>
    <w:rsid w:val="00CF68FE"/>
    <w:rsid w:val="00CF6CD7"/>
    <w:rsid w:val="00CF6DC5"/>
    <w:rsid w:val="00CF6E1E"/>
    <w:rsid w:val="00CF6F8B"/>
    <w:rsid w:val="00CF7097"/>
    <w:rsid w:val="00CF71AD"/>
    <w:rsid w:val="00CF726F"/>
    <w:rsid w:val="00CF738B"/>
    <w:rsid w:val="00CF7459"/>
    <w:rsid w:val="00CF7483"/>
    <w:rsid w:val="00CF7546"/>
    <w:rsid w:val="00CF75EB"/>
    <w:rsid w:val="00CF773A"/>
    <w:rsid w:val="00CF7897"/>
    <w:rsid w:val="00CF79ED"/>
    <w:rsid w:val="00CF7AD3"/>
    <w:rsid w:val="00CF7AF1"/>
    <w:rsid w:val="00CF7AF8"/>
    <w:rsid w:val="00CF7B60"/>
    <w:rsid w:val="00CF7C2B"/>
    <w:rsid w:val="00CF7C8F"/>
    <w:rsid w:val="00CF7DB4"/>
    <w:rsid w:val="00CF7E31"/>
    <w:rsid w:val="00CF7F92"/>
    <w:rsid w:val="00CF7FFE"/>
    <w:rsid w:val="00D00046"/>
    <w:rsid w:val="00D0015F"/>
    <w:rsid w:val="00D00190"/>
    <w:rsid w:val="00D001B4"/>
    <w:rsid w:val="00D001B6"/>
    <w:rsid w:val="00D0028B"/>
    <w:rsid w:val="00D00381"/>
    <w:rsid w:val="00D003B1"/>
    <w:rsid w:val="00D004AB"/>
    <w:rsid w:val="00D0055C"/>
    <w:rsid w:val="00D00627"/>
    <w:rsid w:val="00D00913"/>
    <w:rsid w:val="00D00B27"/>
    <w:rsid w:val="00D00BE9"/>
    <w:rsid w:val="00D00C89"/>
    <w:rsid w:val="00D00CB1"/>
    <w:rsid w:val="00D00CEA"/>
    <w:rsid w:val="00D00D5C"/>
    <w:rsid w:val="00D00DF9"/>
    <w:rsid w:val="00D00E7A"/>
    <w:rsid w:val="00D00E8B"/>
    <w:rsid w:val="00D00EFB"/>
    <w:rsid w:val="00D010BF"/>
    <w:rsid w:val="00D01122"/>
    <w:rsid w:val="00D011D4"/>
    <w:rsid w:val="00D0130D"/>
    <w:rsid w:val="00D014B4"/>
    <w:rsid w:val="00D014BF"/>
    <w:rsid w:val="00D01544"/>
    <w:rsid w:val="00D0165C"/>
    <w:rsid w:val="00D01679"/>
    <w:rsid w:val="00D01691"/>
    <w:rsid w:val="00D016EC"/>
    <w:rsid w:val="00D017E6"/>
    <w:rsid w:val="00D01ACF"/>
    <w:rsid w:val="00D01AD4"/>
    <w:rsid w:val="00D01BBB"/>
    <w:rsid w:val="00D01E44"/>
    <w:rsid w:val="00D01F84"/>
    <w:rsid w:val="00D01FFC"/>
    <w:rsid w:val="00D02100"/>
    <w:rsid w:val="00D02122"/>
    <w:rsid w:val="00D0214B"/>
    <w:rsid w:val="00D023C8"/>
    <w:rsid w:val="00D0245E"/>
    <w:rsid w:val="00D02472"/>
    <w:rsid w:val="00D02488"/>
    <w:rsid w:val="00D02590"/>
    <w:rsid w:val="00D025D7"/>
    <w:rsid w:val="00D025DF"/>
    <w:rsid w:val="00D02794"/>
    <w:rsid w:val="00D027DF"/>
    <w:rsid w:val="00D02811"/>
    <w:rsid w:val="00D028AB"/>
    <w:rsid w:val="00D02996"/>
    <w:rsid w:val="00D029C4"/>
    <w:rsid w:val="00D02AE6"/>
    <w:rsid w:val="00D02C7C"/>
    <w:rsid w:val="00D02CAD"/>
    <w:rsid w:val="00D02D72"/>
    <w:rsid w:val="00D032B5"/>
    <w:rsid w:val="00D03328"/>
    <w:rsid w:val="00D03353"/>
    <w:rsid w:val="00D033C7"/>
    <w:rsid w:val="00D03416"/>
    <w:rsid w:val="00D034D8"/>
    <w:rsid w:val="00D03546"/>
    <w:rsid w:val="00D03599"/>
    <w:rsid w:val="00D035CD"/>
    <w:rsid w:val="00D0369C"/>
    <w:rsid w:val="00D03765"/>
    <w:rsid w:val="00D037AD"/>
    <w:rsid w:val="00D03825"/>
    <w:rsid w:val="00D0396A"/>
    <w:rsid w:val="00D03AD8"/>
    <w:rsid w:val="00D03B1E"/>
    <w:rsid w:val="00D03B34"/>
    <w:rsid w:val="00D03B48"/>
    <w:rsid w:val="00D03B7E"/>
    <w:rsid w:val="00D03C35"/>
    <w:rsid w:val="00D03D1B"/>
    <w:rsid w:val="00D03D81"/>
    <w:rsid w:val="00D03DEF"/>
    <w:rsid w:val="00D03E19"/>
    <w:rsid w:val="00D03E90"/>
    <w:rsid w:val="00D03EB3"/>
    <w:rsid w:val="00D03FB1"/>
    <w:rsid w:val="00D04082"/>
    <w:rsid w:val="00D040B7"/>
    <w:rsid w:val="00D04133"/>
    <w:rsid w:val="00D04170"/>
    <w:rsid w:val="00D04237"/>
    <w:rsid w:val="00D04379"/>
    <w:rsid w:val="00D04472"/>
    <w:rsid w:val="00D0447F"/>
    <w:rsid w:val="00D044F8"/>
    <w:rsid w:val="00D045F0"/>
    <w:rsid w:val="00D04664"/>
    <w:rsid w:val="00D046E6"/>
    <w:rsid w:val="00D0478D"/>
    <w:rsid w:val="00D04A1D"/>
    <w:rsid w:val="00D04A27"/>
    <w:rsid w:val="00D04AEA"/>
    <w:rsid w:val="00D04B97"/>
    <w:rsid w:val="00D04D2F"/>
    <w:rsid w:val="00D04EFD"/>
    <w:rsid w:val="00D04F02"/>
    <w:rsid w:val="00D0507E"/>
    <w:rsid w:val="00D05102"/>
    <w:rsid w:val="00D0511C"/>
    <w:rsid w:val="00D051D0"/>
    <w:rsid w:val="00D052AD"/>
    <w:rsid w:val="00D0535F"/>
    <w:rsid w:val="00D0542B"/>
    <w:rsid w:val="00D05547"/>
    <w:rsid w:val="00D05692"/>
    <w:rsid w:val="00D05737"/>
    <w:rsid w:val="00D05951"/>
    <w:rsid w:val="00D0598D"/>
    <w:rsid w:val="00D05A94"/>
    <w:rsid w:val="00D05B1A"/>
    <w:rsid w:val="00D05C5F"/>
    <w:rsid w:val="00D05DB1"/>
    <w:rsid w:val="00D05DCC"/>
    <w:rsid w:val="00D06046"/>
    <w:rsid w:val="00D0606F"/>
    <w:rsid w:val="00D0617D"/>
    <w:rsid w:val="00D061F1"/>
    <w:rsid w:val="00D0624D"/>
    <w:rsid w:val="00D062CF"/>
    <w:rsid w:val="00D062FB"/>
    <w:rsid w:val="00D06359"/>
    <w:rsid w:val="00D0645B"/>
    <w:rsid w:val="00D06483"/>
    <w:rsid w:val="00D065B0"/>
    <w:rsid w:val="00D06604"/>
    <w:rsid w:val="00D0661D"/>
    <w:rsid w:val="00D06668"/>
    <w:rsid w:val="00D066EB"/>
    <w:rsid w:val="00D067A9"/>
    <w:rsid w:val="00D06866"/>
    <w:rsid w:val="00D06889"/>
    <w:rsid w:val="00D068A4"/>
    <w:rsid w:val="00D06917"/>
    <w:rsid w:val="00D06945"/>
    <w:rsid w:val="00D06965"/>
    <w:rsid w:val="00D06A17"/>
    <w:rsid w:val="00D06B1E"/>
    <w:rsid w:val="00D06B36"/>
    <w:rsid w:val="00D06B40"/>
    <w:rsid w:val="00D06C0F"/>
    <w:rsid w:val="00D06C28"/>
    <w:rsid w:val="00D06C5F"/>
    <w:rsid w:val="00D06C87"/>
    <w:rsid w:val="00D06CB2"/>
    <w:rsid w:val="00D06CB8"/>
    <w:rsid w:val="00D06CDC"/>
    <w:rsid w:val="00D06D1E"/>
    <w:rsid w:val="00D06D67"/>
    <w:rsid w:val="00D06DF5"/>
    <w:rsid w:val="00D06ECC"/>
    <w:rsid w:val="00D07217"/>
    <w:rsid w:val="00D0733E"/>
    <w:rsid w:val="00D0770F"/>
    <w:rsid w:val="00D077A7"/>
    <w:rsid w:val="00D077F8"/>
    <w:rsid w:val="00D07845"/>
    <w:rsid w:val="00D07BDC"/>
    <w:rsid w:val="00D07BF2"/>
    <w:rsid w:val="00D07DC8"/>
    <w:rsid w:val="00D07E4A"/>
    <w:rsid w:val="00D07FC6"/>
    <w:rsid w:val="00D10089"/>
    <w:rsid w:val="00D1010C"/>
    <w:rsid w:val="00D10219"/>
    <w:rsid w:val="00D102AB"/>
    <w:rsid w:val="00D102B7"/>
    <w:rsid w:val="00D103BF"/>
    <w:rsid w:val="00D1048E"/>
    <w:rsid w:val="00D105BE"/>
    <w:rsid w:val="00D105F3"/>
    <w:rsid w:val="00D10637"/>
    <w:rsid w:val="00D106F2"/>
    <w:rsid w:val="00D10741"/>
    <w:rsid w:val="00D1076B"/>
    <w:rsid w:val="00D10795"/>
    <w:rsid w:val="00D107CB"/>
    <w:rsid w:val="00D108B3"/>
    <w:rsid w:val="00D108B7"/>
    <w:rsid w:val="00D10964"/>
    <w:rsid w:val="00D1098F"/>
    <w:rsid w:val="00D10AE5"/>
    <w:rsid w:val="00D10B76"/>
    <w:rsid w:val="00D10B80"/>
    <w:rsid w:val="00D10C2F"/>
    <w:rsid w:val="00D10C8A"/>
    <w:rsid w:val="00D10CA4"/>
    <w:rsid w:val="00D10D0D"/>
    <w:rsid w:val="00D10D82"/>
    <w:rsid w:val="00D10DE1"/>
    <w:rsid w:val="00D10E0E"/>
    <w:rsid w:val="00D10E1C"/>
    <w:rsid w:val="00D10E2C"/>
    <w:rsid w:val="00D10EFE"/>
    <w:rsid w:val="00D1136D"/>
    <w:rsid w:val="00D11420"/>
    <w:rsid w:val="00D1150B"/>
    <w:rsid w:val="00D1167A"/>
    <w:rsid w:val="00D11894"/>
    <w:rsid w:val="00D119BF"/>
    <w:rsid w:val="00D11A33"/>
    <w:rsid w:val="00D11AA6"/>
    <w:rsid w:val="00D11AB0"/>
    <w:rsid w:val="00D11B1A"/>
    <w:rsid w:val="00D11B4A"/>
    <w:rsid w:val="00D11C0D"/>
    <w:rsid w:val="00D11C21"/>
    <w:rsid w:val="00D11D14"/>
    <w:rsid w:val="00D11DBD"/>
    <w:rsid w:val="00D11F35"/>
    <w:rsid w:val="00D11FD6"/>
    <w:rsid w:val="00D1200E"/>
    <w:rsid w:val="00D120C8"/>
    <w:rsid w:val="00D12281"/>
    <w:rsid w:val="00D122D1"/>
    <w:rsid w:val="00D126C1"/>
    <w:rsid w:val="00D126D4"/>
    <w:rsid w:val="00D1271C"/>
    <w:rsid w:val="00D12854"/>
    <w:rsid w:val="00D12B27"/>
    <w:rsid w:val="00D12B60"/>
    <w:rsid w:val="00D12CCF"/>
    <w:rsid w:val="00D12E19"/>
    <w:rsid w:val="00D12EC4"/>
    <w:rsid w:val="00D131C6"/>
    <w:rsid w:val="00D13290"/>
    <w:rsid w:val="00D133A6"/>
    <w:rsid w:val="00D13478"/>
    <w:rsid w:val="00D13581"/>
    <w:rsid w:val="00D1360C"/>
    <w:rsid w:val="00D13775"/>
    <w:rsid w:val="00D137B1"/>
    <w:rsid w:val="00D1388B"/>
    <w:rsid w:val="00D138A7"/>
    <w:rsid w:val="00D13A16"/>
    <w:rsid w:val="00D13A46"/>
    <w:rsid w:val="00D13A7C"/>
    <w:rsid w:val="00D13A98"/>
    <w:rsid w:val="00D13B52"/>
    <w:rsid w:val="00D13B94"/>
    <w:rsid w:val="00D13ED0"/>
    <w:rsid w:val="00D13EEB"/>
    <w:rsid w:val="00D13FE1"/>
    <w:rsid w:val="00D141A6"/>
    <w:rsid w:val="00D1422E"/>
    <w:rsid w:val="00D1428B"/>
    <w:rsid w:val="00D14326"/>
    <w:rsid w:val="00D143F7"/>
    <w:rsid w:val="00D14416"/>
    <w:rsid w:val="00D14453"/>
    <w:rsid w:val="00D14527"/>
    <w:rsid w:val="00D14532"/>
    <w:rsid w:val="00D14557"/>
    <w:rsid w:val="00D145B0"/>
    <w:rsid w:val="00D14614"/>
    <w:rsid w:val="00D14780"/>
    <w:rsid w:val="00D14783"/>
    <w:rsid w:val="00D1481B"/>
    <w:rsid w:val="00D148F5"/>
    <w:rsid w:val="00D14975"/>
    <w:rsid w:val="00D14A30"/>
    <w:rsid w:val="00D14C80"/>
    <w:rsid w:val="00D14CB4"/>
    <w:rsid w:val="00D14DD0"/>
    <w:rsid w:val="00D14DD6"/>
    <w:rsid w:val="00D14E0D"/>
    <w:rsid w:val="00D14E38"/>
    <w:rsid w:val="00D14E81"/>
    <w:rsid w:val="00D14E83"/>
    <w:rsid w:val="00D1505D"/>
    <w:rsid w:val="00D150CD"/>
    <w:rsid w:val="00D1518A"/>
    <w:rsid w:val="00D15257"/>
    <w:rsid w:val="00D1531B"/>
    <w:rsid w:val="00D15442"/>
    <w:rsid w:val="00D154B7"/>
    <w:rsid w:val="00D154D2"/>
    <w:rsid w:val="00D1551A"/>
    <w:rsid w:val="00D1556A"/>
    <w:rsid w:val="00D156F2"/>
    <w:rsid w:val="00D15714"/>
    <w:rsid w:val="00D157EF"/>
    <w:rsid w:val="00D158DE"/>
    <w:rsid w:val="00D15979"/>
    <w:rsid w:val="00D159B2"/>
    <w:rsid w:val="00D159CE"/>
    <w:rsid w:val="00D159D2"/>
    <w:rsid w:val="00D15A16"/>
    <w:rsid w:val="00D15B2A"/>
    <w:rsid w:val="00D15B87"/>
    <w:rsid w:val="00D15BBA"/>
    <w:rsid w:val="00D15C33"/>
    <w:rsid w:val="00D15C8B"/>
    <w:rsid w:val="00D15EED"/>
    <w:rsid w:val="00D15F35"/>
    <w:rsid w:val="00D16054"/>
    <w:rsid w:val="00D16114"/>
    <w:rsid w:val="00D161D1"/>
    <w:rsid w:val="00D163FC"/>
    <w:rsid w:val="00D1644A"/>
    <w:rsid w:val="00D16519"/>
    <w:rsid w:val="00D16595"/>
    <w:rsid w:val="00D16668"/>
    <w:rsid w:val="00D16709"/>
    <w:rsid w:val="00D167E3"/>
    <w:rsid w:val="00D167F4"/>
    <w:rsid w:val="00D1680E"/>
    <w:rsid w:val="00D1684B"/>
    <w:rsid w:val="00D16855"/>
    <w:rsid w:val="00D168DC"/>
    <w:rsid w:val="00D16B28"/>
    <w:rsid w:val="00D16BB6"/>
    <w:rsid w:val="00D16CED"/>
    <w:rsid w:val="00D16D0C"/>
    <w:rsid w:val="00D16D55"/>
    <w:rsid w:val="00D16E7A"/>
    <w:rsid w:val="00D16FC0"/>
    <w:rsid w:val="00D170C7"/>
    <w:rsid w:val="00D170D3"/>
    <w:rsid w:val="00D17215"/>
    <w:rsid w:val="00D1745C"/>
    <w:rsid w:val="00D174A3"/>
    <w:rsid w:val="00D17530"/>
    <w:rsid w:val="00D1767D"/>
    <w:rsid w:val="00D1768D"/>
    <w:rsid w:val="00D177FE"/>
    <w:rsid w:val="00D17880"/>
    <w:rsid w:val="00D178D0"/>
    <w:rsid w:val="00D179D3"/>
    <w:rsid w:val="00D17A56"/>
    <w:rsid w:val="00D17CA3"/>
    <w:rsid w:val="00D17D22"/>
    <w:rsid w:val="00D17DF2"/>
    <w:rsid w:val="00D17E09"/>
    <w:rsid w:val="00D17EBE"/>
    <w:rsid w:val="00D2005F"/>
    <w:rsid w:val="00D202B8"/>
    <w:rsid w:val="00D202DC"/>
    <w:rsid w:val="00D2037B"/>
    <w:rsid w:val="00D204D7"/>
    <w:rsid w:val="00D20542"/>
    <w:rsid w:val="00D2055F"/>
    <w:rsid w:val="00D20685"/>
    <w:rsid w:val="00D20740"/>
    <w:rsid w:val="00D2076D"/>
    <w:rsid w:val="00D2078A"/>
    <w:rsid w:val="00D207F4"/>
    <w:rsid w:val="00D20843"/>
    <w:rsid w:val="00D20844"/>
    <w:rsid w:val="00D2088F"/>
    <w:rsid w:val="00D2098A"/>
    <w:rsid w:val="00D2099E"/>
    <w:rsid w:val="00D209A9"/>
    <w:rsid w:val="00D209B9"/>
    <w:rsid w:val="00D20A7F"/>
    <w:rsid w:val="00D20DA0"/>
    <w:rsid w:val="00D20E58"/>
    <w:rsid w:val="00D20E71"/>
    <w:rsid w:val="00D20E72"/>
    <w:rsid w:val="00D20EED"/>
    <w:rsid w:val="00D210CA"/>
    <w:rsid w:val="00D2111B"/>
    <w:rsid w:val="00D21124"/>
    <w:rsid w:val="00D212C2"/>
    <w:rsid w:val="00D21324"/>
    <w:rsid w:val="00D213C6"/>
    <w:rsid w:val="00D213F3"/>
    <w:rsid w:val="00D21724"/>
    <w:rsid w:val="00D218AE"/>
    <w:rsid w:val="00D21957"/>
    <w:rsid w:val="00D21A00"/>
    <w:rsid w:val="00D21B87"/>
    <w:rsid w:val="00D21D2B"/>
    <w:rsid w:val="00D21D96"/>
    <w:rsid w:val="00D21FE2"/>
    <w:rsid w:val="00D22273"/>
    <w:rsid w:val="00D22277"/>
    <w:rsid w:val="00D222EC"/>
    <w:rsid w:val="00D223D9"/>
    <w:rsid w:val="00D22556"/>
    <w:rsid w:val="00D22594"/>
    <w:rsid w:val="00D225AA"/>
    <w:rsid w:val="00D225D9"/>
    <w:rsid w:val="00D22622"/>
    <w:rsid w:val="00D2267A"/>
    <w:rsid w:val="00D22814"/>
    <w:rsid w:val="00D2283B"/>
    <w:rsid w:val="00D22931"/>
    <w:rsid w:val="00D22967"/>
    <w:rsid w:val="00D22A02"/>
    <w:rsid w:val="00D22A32"/>
    <w:rsid w:val="00D22B68"/>
    <w:rsid w:val="00D22C16"/>
    <w:rsid w:val="00D22D50"/>
    <w:rsid w:val="00D22DCE"/>
    <w:rsid w:val="00D22F1D"/>
    <w:rsid w:val="00D2308F"/>
    <w:rsid w:val="00D230B4"/>
    <w:rsid w:val="00D23154"/>
    <w:rsid w:val="00D232E9"/>
    <w:rsid w:val="00D2331A"/>
    <w:rsid w:val="00D23326"/>
    <w:rsid w:val="00D2336E"/>
    <w:rsid w:val="00D233C0"/>
    <w:rsid w:val="00D23471"/>
    <w:rsid w:val="00D23482"/>
    <w:rsid w:val="00D23595"/>
    <w:rsid w:val="00D2359D"/>
    <w:rsid w:val="00D235AD"/>
    <w:rsid w:val="00D235BC"/>
    <w:rsid w:val="00D235C6"/>
    <w:rsid w:val="00D2368A"/>
    <w:rsid w:val="00D236A1"/>
    <w:rsid w:val="00D23752"/>
    <w:rsid w:val="00D2375B"/>
    <w:rsid w:val="00D238A3"/>
    <w:rsid w:val="00D2396D"/>
    <w:rsid w:val="00D23992"/>
    <w:rsid w:val="00D239F6"/>
    <w:rsid w:val="00D23A2D"/>
    <w:rsid w:val="00D23A56"/>
    <w:rsid w:val="00D23ABB"/>
    <w:rsid w:val="00D23C2E"/>
    <w:rsid w:val="00D23F67"/>
    <w:rsid w:val="00D23F77"/>
    <w:rsid w:val="00D24210"/>
    <w:rsid w:val="00D2425A"/>
    <w:rsid w:val="00D242BD"/>
    <w:rsid w:val="00D24418"/>
    <w:rsid w:val="00D2443E"/>
    <w:rsid w:val="00D2449E"/>
    <w:rsid w:val="00D245F9"/>
    <w:rsid w:val="00D24664"/>
    <w:rsid w:val="00D246BD"/>
    <w:rsid w:val="00D24712"/>
    <w:rsid w:val="00D2484B"/>
    <w:rsid w:val="00D2495B"/>
    <w:rsid w:val="00D2497D"/>
    <w:rsid w:val="00D24A1B"/>
    <w:rsid w:val="00D24AF3"/>
    <w:rsid w:val="00D24BB9"/>
    <w:rsid w:val="00D24D30"/>
    <w:rsid w:val="00D24DB4"/>
    <w:rsid w:val="00D24E56"/>
    <w:rsid w:val="00D24F12"/>
    <w:rsid w:val="00D25056"/>
    <w:rsid w:val="00D2507E"/>
    <w:rsid w:val="00D25142"/>
    <w:rsid w:val="00D251F2"/>
    <w:rsid w:val="00D252D9"/>
    <w:rsid w:val="00D25323"/>
    <w:rsid w:val="00D25371"/>
    <w:rsid w:val="00D25444"/>
    <w:rsid w:val="00D25490"/>
    <w:rsid w:val="00D255A8"/>
    <w:rsid w:val="00D257D7"/>
    <w:rsid w:val="00D25AAC"/>
    <w:rsid w:val="00D25AFA"/>
    <w:rsid w:val="00D25B04"/>
    <w:rsid w:val="00D25B26"/>
    <w:rsid w:val="00D25C46"/>
    <w:rsid w:val="00D25C5F"/>
    <w:rsid w:val="00D25E0E"/>
    <w:rsid w:val="00D25E28"/>
    <w:rsid w:val="00D260C2"/>
    <w:rsid w:val="00D26182"/>
    <w:rsid w:val="00D2627E"/>
    <w:rsid w:val="00D262A7"/>
    <w:rsid w:val="00D262EA"/>
    <w:rsid w:val="00D262ED"/>
    <w:rsid w:val="00D26397"/>
    <w:rsid w:val="00D26433"/>
    <w:rsid w:val="00D2655C"/>
    <w:rsid w:val="00D26562"/>
    <w:rsid w:val="00D26662"/>
    <w:rsid w:val="00D26A1F"/>
    <w:rsid w:val="00D26A4A"/>
    <w:rsid w:val="00D26B91"/>
    <w:rsid w:val="00D26BBB"/>
    <w:rsid w:val="00D26DC3"/>
    <w:rsid w:val="00D26DD9"/>
    <w:rsid w:val="00D26E26"/>
    <w:rsid w:val="00D26EC5"/>
    <w:rsid w:val="00D26F22"/>
    <w:rsid w:val="00D26FAA"/>
    <w:rsid w:val="00D26FFD"/>
    <w:rsid w:val="00D2700F"/>
    <w:rsid w:val="00D270C9"/>
    <w:rsid w:val="00D27185"/>
    <w:rsid w:val="00D27198"/>
    <w:rsid w:val="00D2737F"/>
    <w:rsid w:val="00D273DA"/>
    <w:rsid w:val="00D27496"/>
    <w:rsid w:val="00D274CB"/>
    <w:rsid w:val="00D27559"/>
    <w:rsid w:val="00D27564"/>
    <w:rsid w:val="00D275F2"/>
    <w:rsid w:val="00D275FC"/>
    <w:rsid w:val="00D27680"/>
    <w:rsid w:val="00D2768A"/>
    <w:rsid w:val="00D276CF"/>
    <w:rsid w:val="00D2778E"/>
    <w:rsid w:val="00D27807"/>
    <w:rsid w:val="00D27899"/>
    <w:rsid w:val="00D278DC"/>
    <w:rsid w:val="00D27989"/>
    <w:rsid w:val="00D279AC"/>
    <w:rsid w:val="00D279BE"/>
    <w:rsid w:val="00D27A34"/>
    <w:rsid w:val="00D27A6B"/>
    <w:rsid w:val="00D27A6C"/>
    <w:rsid w:val="00D27B54"/>
    <w:rsid w:val="00D27B65"/>
    <w:rsid w:val="00D27B66"/>
    <w:rsid w:val="00D27DD2"/>
    <w:rsid w:val="00D27ECF"/>
    <w:rsid w:val="00D27F21"/>
    <w:rsid w:val="00D27F51"/>
    <w:rsid w:val="00D30020"/>
    <w:rsid w:val="00D30087"/>
    <w:rsid w:val="00D30153"/>
    <w:rsid w:val="00D3015D"/>
    <w:rsid w:val="00D30312"/>
    <w:rsid w:val="00D30356"/>
    <w:rsid w:val="00D303CF"/>
    <w:rsid w:val="00D30507"/>
    <w:rsid w:val="00D305D7"/>
    <w:rsid w:val="00D30656"/>
    <w:rsid w:val="00D30683"/>
    <w:rsid w:val="00D30739"/>
    <w:rsid w:val="00D3075E"/>
    <w:rsid w:val="00D3079D"/>
    <w:rsid w:val="00D307F3"/>
    <w:rsid w:val="00D30829"/>
    <w:rsid w:val="00D30882"/>
    <w:rsid w:val="00D309DB"/>
    <w:rsid w:val="00D30AAC"/>
    <w:rsid w:val="00D30BAC"/>
    <w:rsid w:val="00D30BC8"/>
    <w:rsid w:val="00D30C06"/>
    <w:rsid w:val="00D30CFF"/>
    <w:rsid w:val="00D30D3D"/>
    <w:rsid w:val="00D30E75"/>
    <w:rsid w:val="00D3101E"/>
    <w:rsid w:val="00D31059"/>
    <w:rsid w:val="00D31084"/>
    <w:rsid w:val="00D310C8"/>
    <w:rsid w:val="00D312A9"/>
    <w:rsid w:val="00D313B1"/>
    <w:rsid w:val="00D31403"/>
    <w:rsid w:val="00D3142A"/>
    <w:rsid w:val="00D314E3"/>
    <w:rsid w:val="00D31517"/>
    <w:rsid w:val="00D31693"/>
    <w:rsid w:val="00D316AC"/>
    <w:rsid w:val="00D316BE"/>
    <w:rsid w:val="00D317FD"/>
    <w:rsid w:val="00D318C2"/>
    <w:rsid w:val="00D318E8"/>
    <w:rsid w:val="00D3196F"/>
    <w:rsid w:val="00D31A4B"/>
    <w:rsid w:val="00D31DC7"/>
    <w:rsid w:val="00D31FA4"/>
    <w:rsid w:val="00D3208A"/>
    <w:rsid w:val="00D3215F"/>
    <w:rsid w:val="00D3217E"/>
    <w:rsid w:val="00D321C8"/>
    <w:rsid w:val="00D32305"/>
    <w:rsid w:val="00D323CB"/>
    <w:rsid w:val="00D3257E"/>
    <w:rsid w:val="00D3283B"/>
    <w:rsid w:val="00D328B3"/>
    <w:rsid w:val="00D328E6"/>
    <w:rsid w:val="00D329BD"/>
    <w:rsid w:val="00D329E6"/>
    <w:rsid w:val="00D329EB"/>
    <w:rsid w:val="00D32AB5"/>
    <w:rsid w:val="00D32ADF"/>
    <w:rsid w:val="00D32BEF"/>
    <w:rsid w:val="00D32BF1"/>
    <w:rsid w:val="00D32C6F"/>
    <w:rsid w:val="00D32CAD"/>
    <w:rsid w:val="00D32CD6"/>
    <w:rsid w:val="00D32DE7"/>
    <w:rsid w:val="00D32F0F"/>
    <w:rsid w:val="00D32FE5"/>
    <w:rsid w:val="00D3300C"/>
    <w:rsid w:val="00D3310E"/>
    <w:rsid w:val="00D3315F"/>
    <w:rsid w:val="00D33180"/>
    <w:rsid w:val="00D3321E"/>
    <w:rsid w:val="00D33340"/>
    <w:rsid w:val="00D33556"/>
    <w:rsid w:val="00D3371D"/>
    <w:rsid w:val="00D338FF"/>
    <w:rsid w:val="00D33920"/>
    <w:rsid w:val="00D33956"/>
    <w:rsid w:val="00D3396C"/>
    <w:rsid w:val="00D339E0"/>
    <w:rsid w:val="00D339FC"/>
    <w:rsid w:val="00D33A5C"/>
    <w:rsid w:val="00D33A77"/>
    <w:rsid w:val="00D33B2C"/>
    <w:rsid w:val="00D33BDE"/>
    <w:rsid w:val="00D33C41"/>
    <w:rsid w:val="00D33C84"/>
    <w:rsid w:val="00D33CAC"/>
    <w:rsid w:val="00D33D10"/>
    <w:rsid w:val="00D33D5B"/>
    <w:rsid w:val="00D33E2F"/>
    <w:rsid w:val="00D33ED0"/>
    <w:rsid w:val="00D33F2D"/>
    <w:rsid w:val="00D33F44"/>
    <w:rsid w:val="00D33F4D"/>
    <w:rsid w:val="00D33FB5"/>
    <w:rsid w:val="00D33FEB"/>
    <w:rsid w:val="00D3401A"/>
    <w:rsid w:val="00D3415B"/>
    <w:rsid w:val="00D341FF"/>
    <w:rsid w:val="00D34355"/>
    <w:rsid w:val="00D343E9"/>
    <w:rsid w:val="00D3461F"/>
    <w:rsid w:val="00D34648"/>
    <w:rsid w:val="00D347B9"/>
    <w:rsid w:val="00D34937"/>
    <w:rsid w:val="00D349AD"/>
    <w:rsid w:val="00D34A50"/>
    <w:rsid w:val="00D34B04"/>
    <w:rsid w:val="00D34B50"/>
    <w:rsid w:val="00D34B99"/>
    <w:rsid w:val="00D34CBA"/>
    <w:rsid w:val="00D34D8F"/>
    <w:rsid w:val="00D34E4A"/>
    <w:rsid w:val="00D34F00"/>
    <w:rsid w:val="00D35075"/>
    <w:rsid w:val="00D351CA"/>
    <w:rsid w:val="00D35293"/>
    <w:rsid w:val="00D35359"/>
    <w:rsid w:val="00D35381"/>
    <w:rsid w:val="00D354AA"/>
    <w:rsid w:val="00D3559A"/>
    <w:rsid w:val="00D35644"/>
    <w:rsid w:val="00D3567F"/>
    <w:rsid w:val="00D357B2"/>
    <w:rsid w:val="00D357B5"/>
    <w:rsid w:val="00D3591A"/>
    <w:rsid w:val="00D35AF5"/>
    <w:rsid w:val="00D35B15"/>
    <w:rsid w:val="00D35B55"/>
    <w:rsid w:val="00D35B9E"/>
    <w:rsid w:val="00D35BA6"/>
    <w:rsid w:val="00D35CA5"/>
    <w:rsid w:val="00D35EC0"/>
    <w:rsid w:val="00D36044"/>
    <w:rsid w:val="00D3614F"/>
    <w:rsid w:val="00D36158"/>
    <w:rsid w:val="00D36188"/>
    <w:rsid w:val="00D361E5"/>
    <w:rsid w:val="00D36258"/>
    <w:rsid w:val="00D36328"/>
    <w:rsid w:val="00D36391"/>
    <w:rsid w:val="00D36510"/>
    <w:rsid w:val="00D36538"/>
    <w:rsid w:val="00D36611"/>
    <w:rsid w:val="00D368CA"/>
    <w:rsid w:val="00D369E9"/>
    <w:rsid w:val="00D36AB3"/>
    <w:rsid w:val="00D36AB6"/>
    <w:rsid w:val="00D36B4C"/>
    <w:rsid w:val="00D36B7A"/>
    <w:rsid w:val="00D36BC1"/>
    <w:rsid w:val="00D36C4D"/>
    <w:rsid w:val="00D36C84"/>
    <w:rsid w:val="00D36D3B"/>
    <w:rsid w:val="00D36D5A"/>
    <w:rsid w:val="00D36FB9"/>
    <w:rsid w:val="00D3706D"/>
    <w:rsid w:val="00D37270"/>
    <w:rsid w:val="00D372B2"/>
    <w:rsid w:val="00D37515"/>
    <w:rsid w:val="00D37546"/>
    <w:rsid w:val="00D375A1"/>
    <w:rsid w:val="00D375F0"/>
    <w:rsid w:val="00D3762C"/>
    <w:rsid w:val="00D37702"/>
    <w:rsid w:val="00D3772C"/>
    <w:rsid w:val="00D37738"/>
    <w:rsid w:val="00D377CD"/>
    <w:rsid w:val="00D377D5"/>
    <w:rsid w:val="00D37A3A"/>
    <w:rsid w:val="00D37B0B"/>
    <w:rsid w:val="00D37BDF"/>
    <w:rsid w:val="00D37BE7"/>
    <w:rsid w:val="00D37CCE"/>
    <w:rsid w:val="00D37D18"/>
    <w:rsid w:val="00D37D3D"/>
    <w:rsid w:val="00D37E05"/>
    <w:rsid w:val="00D37E06"/>
    <w:rsid w:val="00D37ECE"/>
    <w:rsid w:val="00D37F49"/>
    <w:rsid w:val="00D37FE7"/>
    <w:rsid w:val="00D40112"/>
    <w:rsid w:val="00D40182"/>
    <w:rsid w:val="00D402A3"/>
    <w:rsid w:val="00D402AC"/>
    <w:rsid w:val="00D40317"/>
    <w:rsid w:val="00D406FC"/>
    <w:rsid w:val="00D4074B"/>
    <w:rsid w:val="00D4086E"/>
    <w:rsid w:val="00D4088D"/>
    <w:rsid w:val="00D409B3"/>
    <w:rsid w:val="00D40A2B"/>
    <w:rsid w:val="00D40A79"/>
    <w:rsid w:val="00D40A9E"/>
    <w:rsid w:val="00D40AD9"/>
    <w:rsid w:val="00D40B18"/>
    <w:rsid w:val="00D40B55"/>
    <w:rsid w:val="00D40C24"/>
    <w:rsid w:val="00D40C27"/>
    <w:rsid w:val="00D40C48"/>
    <w:rsid w:val="00D40C60"/>
    <w:rsid w:val="00D40CD2"/>
    <w:rsid w:val="00D40CF1"/>
    <w:rsid w:val="00D40D87"/>
    <w:rsid w:val="00D40E48"/>
    <w:rsid w:val="00D40E66"/>
    <w:rsid w:val="00D40F8C"/>
    <w:rsid w:val="00D40F9A"/>
    <w:rsid w:val="00D40FE2"/>
    <w:rsid w:val="00D41040"/>
    <w:rsid w:val="00D41135"/>
    <w:rsid w:val="00D4116F"/>
    <w:rsid w:val="00D41206"/>
    <w:rsid w:val="00D412D1"/>
    <w:rsid w:val="00D4132D"/>
    <w:rsid w:val="00D41376"/>
    <w:rsid w:val="00D41438"/>
    <w:rsid w:val="00D415F8"/>
    <w:rsid w:val="00D416D2"/>
    <w:rsid w:val="00D4178B"/>
    <w:rsid w:val="00D418AA"/>
    <w:rsid w:val="00D419C6"/>
    <w:rsid w:val="00D41B3F"/>
    <w:rsid w:val="00D41BA9"/>
    <w:rsid w:val="00D41CB8"/>
    <w:rsid w:val="00D41E7A"/>
    <w:rsid w:val="00D421DD"/>
    <w:rsid w:val="00D42226"/>
    <w:rsid w:val="00D422FD"/>
    <w:rsid w:val="00D42381"/>
    <w:rsid w:val="00D42403"/>
    <w:rsid w:val="00D4244A"/>
    <w:rsid w:val="00D424BC"/>
    <w:rsid w:val="00D42654"/>
    <w:rsid w:val="00D427D9"/>
    <w:rsid w:val="00D4280D"/>
    <w:rsid w:val="00D42833"/>
    <w:rsid w:val="00D428A5"/>
    <w:rsid w:val="00D428C3"/>
    <w:rsid w:val="00D428E9"/>
    <w:rsid w:val="00D42917"/>
    <w:rsid w:val="00D42923"/>
    <w:rsid w:val="00D42B3E"/>
    <w:rsid w:val="00D42D9D"/>
    <w:rsid w:val="00D42DCC"/>
    <w:rsid w:val="00D42DD1"/>
    <w:rsid w:val="00D42EF7"/>
    <w:rsid w:val="00D42FA0"/>
    <w:rsid w:val="00D42FD5"/>
    <w:rsid w:val="00D43020"/>
    <w:rsid w:val="00D43065"/>
    <w:rsid w:val="00D43096"/>
    <w:rsid w:val="00D430A8"/>
    <w:rsid w:val="00D430C1"/>
    <w:rsid w:val="00D4314E"/>
    <w:rsid w:val="00D43189"/>
    <w:rsid w:val="00D43194"/>
    <w:rsid w:val="00D43239"/>
    <w:rsid w:val="00D43297"/>
    <w:rsid w:val="00D432A7"/>
    <w:rsid w:val="00D432BB"/>
    <w:rsid w:val="00D43359"/>
    <w:rsid w:val="00D43372"/>
    <w:rsid w:val="00D434B9"/>
    <w:rsid w:val="00D434DC"/>
    <w:rsid w:val="00D43597"/>
    <w:rsid w:val="00D435AE"/>
    <w:rsid w:val="00D43786"/>
    <w:rsid w:val="00D43872"/>
    <w:rsid w:val="00D43967"/>
    <w:rsid w:val="00D43CDC"/>
    <w:rsid w:val="00D43E4B"/>
    <w:rsid w:val="00D43F24"/>
    <w:rsid w:val="00D43F6A"/>
    <w:rsid w:val="00D43F9A"/>
    <w:rsid w:val="00D43FAB"/>
    <w:rsid w:val="00D440F3"/>
    <w:rsid w:val="00D441B3"/>
    <w:rsid w:val="00D441C6"/>
    <w:rsid w:val="00D4428C"/>
    <w:rsid w:val="00D446FD"/>
    <w:rsid w:val="00D44793"/>
    <w:rsid w:val="00D447B8"/>
    <w:rsid w:val="00D448A9"/>
    <w:rsid w:val="00D44A7C"/>
    <w:rsid w:val="00D44A93"/>
    <w:rsid w:val="00D44B7B"/>
    <w:rsid w:val="00D44BD7"/>
    <w:rsid w:val="00D44BDB"/>
    <w:rsid w:val="00D44C19"/>
    <w:rsid w:val="00D44C6D"/>
    <w:rsid w:val="00D44C77"/>
    <w:rsid w:val="00D44D32"/>
    <w:rsid w:val="00D44D54"/>
    <w:rsid w:val="00D44E31"/>
    <w:rsid w:val="00D44EE4"/>
    <w:rsid w:val="00D450FB"/>
    <w:rsid w:val="00D4524E"/>
    <w:rsid w:val="00D452AB"/>
    <w:rsid w:val="00D452E6"/>
    <w:rsid w:val="00D453A6"/>
    <w:rsid w:val="00D45425"/>
    <w:rsid w:val="00D45429"/>
    <w:rsid w:val="00D45471"/>
    <w:rsid w:val="00D45530"/>
    <w:rsid w:val="00D4553D"/>
    <w:rsid w:val="00D458E8"/>
    <w:rsid w:val="00D45920"/>
    <w:rsid w:val="00D45B95"/>
    <w:rsid w:val="00D45D7B"/>
    <w:rsid w:val="00D45FAA"/>
    <w:rsid w:val="00D46036"/>
    <w:rsid w:val="00D4618C"/>
    <w:rsid w:val="00D461E0"/>
    <w:rsid w:val="00D46248"/>
    <w:rsid w:val="00D46254"/>
    <w:rsid w:val="00D462C5"/>
    <w:rsid w:val="00D463DA"/>
    <w:rsid w:val="00D46419"/>
    <w:rsid w:val="00D464E1"/>
    <w:rsid w:val="00D466E5"/>
    <w:rsid w:val="00D46738"/>
    <w:rsid w:val="00D4676E"/>
    <w:rsid w:val="00D4678B"/>
    <w:rsid w:val="00D4693D"/>
    <w:rsid w:val="00D46990"/>
    <w:rsid w:val="00D46A56"/>
    <w:rsid w:val="00D46B0C"/>
    <w:rsid w:val="00D46C19"/>
    <w:rsid w:val="00D46C22"/>
    <w:rsid w:val="00D46C39"/>
    <w:rsid w:val="00D46CCD"/>
    <w:rsid w:val="00D46E6E"/>
    <w:rsid w:val="00D46EFA"/>
    <w:rsid w:val="00D46F27"/>
    <w:rsid w:val="00D46F3B"/>
    <w:rsid w:val="00D47017"/>
    <w:rsid w:val="00D470D2"/>
    <w:rsid w:val="00D47111"/>
    <w:rsid w:val="00D47127"/>
    <w:rsid w:val="00D47306"/>
    <w:rsid w:val="00D47352"/>
    <w:rsid w:val="00D47373"/>
    <w:rsid w:val="00D47479"/>
    <w:rsid w:val="00D475F7"/>
    <w:rsid w:val="00D4777D"/>
    <w:rsid w:val="00D477DC"/>
    <w:rsid w:val="00D4794A"/>
    <w:rsid w:val="00D479BF"/>
    <w:rsid w:val="00D47ABB"/>
    <w:rsid w:val="00D47B0C"/>
    <w:rsid w:val="00D47BCD"/>
    <w:rsid w:val="00D47D3C"/>
    <w:rsid w:val="00D47D93"/>
    <w:rsid w:val="00D47D94"/>
    <w:rsid w:val="00D47E72"/>
    <w:rsid w:val="00D47EA6"/>
    <w:rsid w:val="00D47F07"/>
    <w:rsid w:val="00D47F13"/>
    <w:rsid w:val="00D500DE"/>
    <w:rsid w:val="00D501E1"/>
    <w:rsid w:val="00D50273"/>
    <w:rsid w:val="00D5033B"/>
    <w:rsid w:val="00D503D7"/>
    <w:rsid w:val="00D503FD"/>
    <w:rsid w:val="00D505DA"/>
    <w:rsid w:val="00D50781"/>
    <w:rsid w:val="00D508CF"/>
    <w:rsid w:val="00D509E3"/>
    <w:rsid w:val="00D50A13"/>
    <w:rsid w:val="00D50AF1"/>
    <w:rsid w:val="00D50B72"/>
    <w:rsid w:val="00D50BA9"/>
    <w:rsid w:val="00D50BEE"/>
    <w:rsid w:val="00D50C32"/>
    <w:rsid w:val="00D50C39"/>
    <w:rsid w:val="00D50C5F"/>
    <w:rsid w:val="00D50C81"/>
    <w:rsid w:val="00D50E50"/>
    <w:rsid w:val="00D50F10"/>
    <w:rsid w:val="00D50F9C"/>
    <w:rsid w:val="00D5105E"/>
    <w:rsid w:val="00D51162"/>
    <w:rsid w:val="00D51170"/>
    <w:rsid w:val="00D5119A"/>
    <w:rsid w:val="00D512DC"/>
    <w:rsid w:val="00D51338"/>
    <w:rsid w:val="00D51520"/>
    <w:rsid w:val="00D5152C"/>
    <w:rsid w:val="00D51625"/>
    <w:rsid w:val="00D51641"/>
    <w:rsid w:val="00D51704"/>
    <w:rsid w:val="00D51773"/>
    <w:rsid w:val="00D51997"/>
    <w:rsid w:val="00D519BE"/>
    <w:rsid w:val="00D51BC2"/>
    <w:rsid w:val="00D51C89"/>
    <w:rsid w:val="00D51CBA"/>
    <w:rsid w:val="00D51E07"/>
    <w:rsid w:val="00D51E3E"/>
    <w:rsid w:val="00D51FC0"/>
    <w:rsid w:val="00D51FE8"/>
    <w:rsid w:val="00D52024"/>
    <w:rsid w:val="00D5209F"/>
    <w:rsid w:val="00D52171"/>
    <w:rsid w:val="00D52222"/>
    <w:rsid w:val="00D52246"/>
    <w:rsid w:val="00D52296"/>
    <w:rsid w:val="00D522CF"/>
    <w:rsid w:val="00D523C4"/>
    <w:rsid w:val="00D523DC"/>
    <w:rsid w:val="00D5245B"/>
    <w:rsid w:val="00D52532"/>
    <w:rsid w:val="00D526A8"/>
    <w:rsid w:val="00D52735"/>
    <w:rsid w:val="00D52769"/>
    <w:rsid w:val="00D5277E"/>
    <w:rsid w:val="00D527B4"/>
    <w:rsid w:val="00D52923"/>
    <w:rsid w:val="00D5292A"/>
    <w:rsid w:val="00D529A6"/>
    <w:rsid w:val="00D529C9"/>
    <w:rsid w:val="00D529F9"/>
    <w:rsid w:val="00D52AE2"/>
    <w:rsid w:val="00D52B20"/>
    <w:rsid w:val="00D52B31"/>
    <w:rsid w:val="00D52C61"/>
    <w:rsid w:val="00D52E38"/>
    <w:rsid w:val="00D52F0B"/>
    <w:rsid w:val="00D52FE6"/>
    <w:rsid w:val="00D52FFA"/>
    <w:rsid w:val="00D53108"/>
    <w:rsid w:val="00D5327C"/>
    <w:rsid w:val="00D533F8"/>
    <w:rsid w:val="00D534B4"/>
    <w:rsid w:val="00D5354D"/>
    <w:rsid w:val="00D53623"/>
    <w:rsid w:val="00D536D9"/>
    <w:rsid w:val="00D5370A"/>
    <w:rsid w:val="00D5377B"/>
    <w:rsid w:val="00D5381A"/>
    <w:rsid w:val="00D539AD"/>
    <w:rsid w:val="00D53AF5"/>
    <w:rsid w:val="00D53B32"/>
    <w:rsid w:val="00D53B57"/>
    <w:rsid w:val="00D53BD2"/>
    <w:rsid w:val="00D53D90"/>
    <w:rsid w:val="00D53DC4"/>
    <w:rsid w:val="00D53DF5"/>
    <w:rsid w:val="00D53DF8"/>
    <w:rsid w:val="00D53DF9"/>
    <w:rsid w:val="00D53E65"/>
    <w:rsid w:val="00D53E94"/>
    <w:rsid w:val="00D53FCD"/>
    <w:rsid w:val="00D5427C"/>
    <w:rsid w:val="00D54351"/>
    <w:rsid w:val="00D54353"/>
    <w:rsid w:val="00D543B5"/>
    <w:rsid w:val="00D543BA"/>
    <w:rsid w:val="00D5449B"/>
    <w:rsid w:val="00D54543"/>
    <w:rsid w:val="00D54573"/>
    <w:rsid w:val="00D54615"/>
    <w:rsid w:val="00D5463C"/>
    <w:rsid w:val="00D547D7"/>
    <w:rsid w:val="00D5491B"/>
    <w:rsid w:val="00D54A11"/>
    <w:rsid w:val="00D54A4F"/>
    <w:rsid w:val="00D54B50"/>
    <w:rsid w:val="00D54B6F"/>
    <w:rsid w:val="00D54B95"/>
    <w:rsid w:val="00D54C4C"/>
    <w:rsid w:val="00D54C90"/>
    <w:rsid w:val="00D54DA2"/>
    <w:rsid w:val="00D54E45"/>
    <w:rsid w:val="00D54F0F"/>
    <w:rsid w:val="00D5515F"/>
    <w:rsid w:val="00D55328"/>
    <w:rsid w:val="00D55490"/>
    <w:rsid w:val="00D55561"/>
    <w:rsid w:val="00D5557A"/>
    <w:rsid w:val="00D55597"/>
    <w:rsid w:val="00D5567A"/>
    <w:rsid w:val="00D556B9"/>
    <w:rsid w:val="00D556E8"/>
    <w:rsid w:val="00D55834"/>
    <w:rsid w:val="00D55948"/>
    <w:rsid w:val="00D559A7"/>
    <w:rsid w:val="00D559F0"/>
    <w:rsid w:val="00D55A9E"/>
    <w:rsid w:val="00D55B2F"/>
    <w:rsid w:val="00D55B54"/>
    <w:rsid w:val="00D55BD9"/>
    <w:rsid w:val="00D55C17"/>
    <w:rsid w:val="00D55C90"/>
    <w:rsid w:val="00D55CFA"/>
    <w:rsid w:val="00D55D32"/>
    <w:rsid w:val="00D55D3F"/>
    <w:rsid w:val="00D55E52"/>
    <w:rsid w:val="00D55E91"/>
    <w:rsid w:val="00D56042"/>
    <w:rsid w:val="00D56078"/>
    <w:rsid w:val="00D56130"/>
    <w:rsid w:val="00D56283"/>
    <w:rsid w:val="00D56444"/>
    <w:rsid w:val="00D56499"/>
    <w:rsid w:val="00D565B3"/>
    <w:rsid w:val="00D565C0"/>
    <w:rsid w:val="00D565CD"/>
    <w:rsid w:val="00D56892"/>
    <w:rsid w:val="00D56982"/>
    <w:rsid w:val="00D569E6"/>
    <w:rsid w:val="00D56B62"/>
    <w:rsid w:val="00D56B89"/>
    <w:rsid w:val="00D56C77"/>
    <w:rsid w:val="00D56D58"/>
    <w:rsid w:val="00D56FBF"/>
    <w:rsid w:val="00D57128"/>
    <w:rsid w:val="00D57165"/>
    <w:rsid w:val="00D57364"/>
    <w:rsid w:val="00D573F8"/>
    <w:rsid w:val="00D57514"/>
    <w:rsid w:val="00D5758E"/>
    <w:rsid w:val="00D5759B"/>
    <w:rsid w:val="00D576C7"/>
    <w:rsid w:val="00D57753"/>
    <w:rsid w:val="00D577F5"/>
    <w:rsid w:val="00D5789B"/>
    <w:rsid w:val="00D5792D"/>
    <w:rsid w:val="00D579B3"/>
    <w:rsid w:val="00D57B9D"/>
    <w:rsid w:val="00D57D0A"/>
    <w:rsid w:val="00D57D95"/>
    <w:rsid w:val="00D57E02"/>
    <w:rsid w:val="00D57E69"/>
    <w:rsid w:val="00D57EE0"/>
    <w:rsid w:val="00D57EF7"/>
    <w:rsid w:val="00D57F3D"/>
    <w:rsid w:val="00D57FAB"/>
    <w:rsid w:val="00D600FD"/>
    <w:rsid w:val="00D60112"/>
    <w:rsid w:val="00D60122"/>
    <w:rsid w:val="00D602C8"/>
    <w:rsid w:val="00D60303"/>
    <w:rsid w:val="00D60340"/>
    <w:rsid w:val="00D6050D"/>
    <w:rsid w:val="00D60714"/>
    <w:rsid w:val="00D6092B"/>
    <w:rsid w:val="00D6093B"/>
    <w:rsid w:val="00D60A2E"/>
    <w:rsid w:val="00D60A48"/>
    <w:rsid w:val="00D60B1F"/>
    <w:rsid w:val="00D60FB7"/>
    <w:rsid w:val="00D61014"/>
    <w:rsid w:val="00D61083"/>
    <w:rsid w:val="00D61113"/>
    <w:rsid w:val="00D61215"/>
    <w:rsid w:val="00D61303"/>
    <w:rsid w:val="00D613C1"/>
    <w:rsid w:val="00D613C2"/>
    <w:rsid w:val="00D61416"/>
    <w:rsid w:val="00D614E2"/>
    <w:rsid w:val="00D615D1"/>
    <w:rsid w:val="00D61845"/>
    <w:rsid w:val="00D6188A"/>
    <w:rsid w:val="00D618BC"/>
    <w:rsid w:val="00D6195B"/>
    <w:rsid w:val="00D619A8"/>
    <w:rsid w:val="00D619C4"/>
    <w:rsid w:val="00D61AA0"/>
    <w:rsid w:val="00D61AE1"/>
    <w:rsid w:val="00D61AE3"/>
    <w:rsid w:val="00D61DB9"/>
    <w:rsid w:val="00D61E72"/>
    <w:rsid w:val="00D61E9B"/>
    <w:rsid w:val="00D61EF5"/>
    <w:rsid w:val="00D61FB9"/>
    <w:rsid w:val="00D61FF5"/>
    <w:rsid w:val="00D62069"/>
    <w:rsid w:val="00D62075"/>
    <w:rsid w:val="00D6207D"/>
    <w:rsid w:val="00D620CB"/>
    <w:rsid w:val="00D6213C"/>
    <w:rsid w:val="00D62423"/>
    <w:rsid w:val="00D6246C"/>
    <w:rsid w:val="00D62495"/>
    <w:rsid w:val="00D624DE"/>
    <w:rsid w:val="00D62562"/>
    <w:rsid w:val="00D62636"/>
    <w:rsid w:val="00D626C1"/>
    <w:rsid w:val="00D62734"/>
    <w:rsid w:val="00D627DF"/>
    <w:rsid w:val="00D628E9"/>
    <w:rsid w:val="00D6296C"/>
    <w:rsid w:val="00D62A92"/>
    <w:rsid w:val="00D62B68"/>
    <w:rsid w:val="00D62C18"/>
    <w:rsid w:val="00D62C85"/>
    <w:rsid w:val="00D62C93"/>
    <w:rsid w:val="00D62CB6"/>
    <w:rsid w:val="00D62D02"/>
    <w:rsid w:val="00D62E4F"/>
    <w:rsid w:val="00D62F96"/>
    <w:rsid w:val="00D62FA9"/>
    <w:rsid w:val="00D62FAB"/>
    <w:rsid w:val="00D6307C"/>
    <w:rsid w:val="00D6313B"/>
    <w:rsid w:val="00D6315F"/>
    <w:rsid w:val="00D631CC"/>
    <w:rsid w:val="00D632D3"/>
    <w:rsid w:val="00D63440"/>
    <w:rsid w:val="00D63527"/>
    <w:rsid w:val="00D635FE"/>
    <w:rsid w:val="00D63658"/>
    <w:rsid w:val="00D63976"/>
    <w:rsid w:val="00D63A55"/>
    <w:rsid w:val="00D63A7A"/>
    <w:rsid w:val="00D63A8E"/>
    <w:rsid w:val="00D63AB0"/>
    <w:rsid w:val="00D63B3E"/>
    <w:rsid w:val="00D63BC4"/>
    <w:rsid w:val="00D63BF6"/>
    <w:rsid w:val="00D63CA3"/>
    <w:rsid w:val="00D63D17"/>
    <w:rsid w:val="00D63DC1"/>
    <w:rsid w:val="00D63DE7"/>
    <w:rsid w:val="00D63DEA"/>
    <w:rsid w:val="00D63EA7"/>
    <w:rsid w:val="00D63ECB"/>
    <w:rsid w:val="00D63F03"/>
    <w:rsid w:val="00D63F7C"/>
    <w:rsid w:val="00D640FA"/>
    <w:rsid w:val="00D64121"/>
    <w:rsid w:val="00D64144"/>
    <w:rsid w:val="00D64176"/>
    <w:rsid w:val="00D641D5"/>
    <w:rsid w:val="00D643C2"/>
    <w:rsid w:val="00D643D5"/>
    <w:rsid w:val="00D644D8"/>
    <w:rsid w:val="00D644E3"/>
    <w:rsid w:val="00D64506"/>
    <w:rsid w:val="00D64584"/>
    <w:rsid w:val="00D6459F"/>
    <w:rsid w:val="00D645D5"/>
    <w:rsid w:val="00D64612"/>
    <w:rsid w:val="00D6467C"/>
    <w:rsid w:val="00D646D4"/>
    <w:rsid w:val="00D6472C"/>
    <w:rsid w:val="00D64740"/>
    <w:rsid w:val="00D647C4"/>
    <w:rsid w:val="00D647FC"/>
    <w:rsid w:val="00D64801"/>
    <w:rsid w:val="00D6483E"/>
    <w:rsid w:val="00D648A4"/>
    <w:rsid w:val="00D64925"/>
    <w:rsid w:val="00D64B78"/>
    <w:rsid w:val="00D64C71"/>
    <w:rsid w:val="00D64D91"/>
    <w:rsid w:val="00D64E39"/>
    <w:rsid w:val="00D64F4E"/>
    <w:rsid w:val="00D64F4F"/>
    <w:rsid w:val="00D6511D"/>
    <w:rsid w:val="00D6516C"/>
    <w:rsid w:val="00D651BB"/>
    <w:rsid w:val="00D65261"/>
    <w:rsid w:val="00D655BC"/>
    <w:rsid w:val="00D65608"/>
    <w:rsid w:val="00D65787"/>
    <w:rsid w:val="00D657E0"/>
    <w:rsid w:val="00D657FB"/>
    <w:rsid w:val="00D6592C"/>
    <w:rsid w:val="00D659AF"/>
    <w:rsid w:val="00D65AE6"/>
    <w:rsid w:val="00D65B50"/>
    <w:rsid w:val="00D65C6C"/>
    <w:rsid w:val="00D65FAE"/>
    <w:rsid w:val="00D65FDE"/>
    <w:rsid w:val="00D6603C"/>
    <w:rsid w:val="00D6606F"/>
    <w:rsid w:val="00D660A2"/>
    <w:rsid w:val="00D660F3"/>
    <w:rsid w:val="00D66222"/>
    <w:rsid w:val="00D66269"/>
    <w:rsid w:val="00D662D2"/>
    <w:rsid w:val="00D663DE"/>
    <w:rsid w:val="00D6641E"/>
    <w:rsid w:val="00D66554"/>
    <w:rsid w:val="00D66654"/>
    <w:rsid w:val="00D66689"/>
    <w:rsid w:val="00D66AAE"/>
    <w:rsid w:val="00D66BA4"/>
    <w:rsid w:val="00D66CC8"/>
    <w:rsid w:val="00D66D02"/>
    <w:rsid w:val="00D66DBB"/>
    <w:rsid w:val="00D66F47"/>
    <w:rsid w:val="00D66F4E"/>
    <w:rsid w:val="00D66F8F"/>
    <w:rsid w:val="00D67284"/>
    <w:rsid w:val="00D672DC"/>
    <w:rsid w:val="00D67487"/>
    <w:rsid w:val="00D6750D"/>
    <w:rsid w:val="00D676AD"/>
    <w:rsid w:val="00D67771"/>
    <w:rsid w:val="00D677F2"/>
    <w:rsid w:val="00D67828"/>
    <w:rsid w:val="00D67884"/>
    <w:rsid w:val="00D67914"/>
    <w:rsid w:val="00D67B01"/>
    <w:rsid w:val="00D67BAB"/>
    <w:rsid w:val="00D67C6F"/>
    <w:rsid w:val="00D67CB9"/>
    <w:rsid w:val="00D67D07"/>
    <w:rsid w:val="00D67E9B"/>
    <w:rsid w:val="00D67ED7"/>
    <w:rsid w:val="00D70061"/>
    <w:rsid w:val="00D700D9"/>
    <w:rsid w:val="00D70302"/>
    <w:rsid w:val="00D703A4"/>
    <w:rsid w:val="00D70482"/>
    <w:rsid w:val="00D7051C"/>
    <w:rsid w:val="00D70535"/>
    <w:rsid w:val="00D7058F"/>
    <w:rsid w:val="00D706C1"/>
    <w:rsid w:val="00D707C3"/>
    <w:rsid w:val="00D707E0"/>
    <w:rsid w:val="00D7080F"/>
    <w:rsid w:val="00D7083A"/>
    <w:rsid w:val="00D70917"/>
    <w:rsid w:val="00D70924"/>
    <w:rsid w:val="00D70988"/>
    <w:rsid w:val="00D70A30"/>
    <w:rsid w:val="00D70AF1"/>
    <w:rsid w:val="00D70B42"/>
    <w:rsid w:val="00D70D7C"/>
    <w:rsid w:val="00D70E71"/>
    <w:rsid w:val="00D70EC2"/>
    <w:rsid w:val="00D7114B"/>
    <w:rsid w:val="00D712E2"/>
    <w:rsid w:val="00D71340"/>
    <w:rsid w:val="00D71355"/>
    <w:rsid w:val="00D713D5"/>
    <w:rsid w:val="00D7156D"/>
    <w:rsid w:val="00D7158A"/>
    <w:rsid w:val="00D715D1"/>
    <w:rsid w:val="00D716F7"/>
    <w:rsid w:val="00D716FB"/>
    <w:rsid w:val="00D717DC"/>
    <w:rsid w:val="00D71865"/>
    <w:rsid w:val="00D719DD"/>
    <w:rsid w:val="00D71A02"/>
    <w:rsid w:val="00D71A5C"/>
    <w:rsid w:val="00D71A6A"/>
    <w:rsid w:val="00D71AC7"/>
    <w:rsid w:val="00D71B5E"/>
    <w:rsid w:val="00D71BA2"/>
    <w:rsid w:val="00D71CB0"/>
    <w:rsid w:val="00D71E2F"/>
    <w:rsid w:val="00D7207A"/>
    <w:rsid w:val="00D720DB"/>
    <w:rsid w:val="00D720ED"/>
    <w:rsid w:val="00D7210D"/>
    <w:rsid w:val="00D72148"/>
    <w:rsid w:val="00D721EB"/>
    <w:rsid w:val="00D72230"/>
    <w:rsid w:val="00D72240"/>
    <w:rsid w:val="00D7224F"/>
    <w:rsid w:val="00D723D9"/>
    <w:rsid w:val="00D724F2"/>
    <w:rsid w:val="00D72559"/>
    <w:rsid w:val="00D7258F"/>
    <w:rsid w:val="00D725F0"/>
    <w:rsid w:val="00D727A0"/>
    <w:rsid w:val="00D727FF"/>
    <w:rsid w:val="00D72957"/>
    <w:rsid w:val="00D729BC"/>
    <w:rsid w:val="00D72A2F"/>
    <w:rsid w:val="00D72AA4"/>
    <w:rsid w:val="00D72AB9"/>
    <w:rsid w:val="00D72B9F"/>
    <w:rsid w:val="00D72C1B"/>
    <w:rsid w:val="00D72D52"/>
    <w:rsid w:val="00D72D5C"/>
    <w:rsid w:val="00D72E03"/>
    <w:rsid w:val="00D72F19"/>
    <w:rsid w:val="00D72F3F"/>
    <w:rsid w:val="00D72F67"/>
    <w:rsid w:val="00D72FEE"/>
    <w:rsid w:val="00D7307A"/>
    <w:rsid w:val="00D730B6"/>
    <w:rsid w:val="00D73331"/>
    <w:rsid w:val="00D7335D"/>
    <w:rsid w:val="00D73613"/>
    <w:rsid w:val="00D73678"/>
    <w:rsid w:val="00D73801"/>
    <w:rsid w:val="00D7392D"/>
    <w:rsid w:val="00D73A08"/>
    <w:rsid w:val="00D73A27"/>
    <w:rsid w:val="00D73A3E"/>
    <w:rsid w:val="00D73A4D"/>
    <w:rsid w:val="00D73B23"/>
    <w:rsid w:val="00D73C08"/>
    <w:rsid w:val="00D73C66"/>
    <w:rsid w:val="00D73C75"/>
    <w:rsid w:val="00D73C97"/>
    <w:rsid w:val="00D73DD8"/>
    <w:rsid w:val="00D73E14"/>
    <w:rsid w:val="00D73F74"/>
    <w:rsid w:val="00D74034"/>
    <w:rsid w:val="00D740D8"/>
    <w:rsid w:val="00D74117"/>
    <w:rsid w:val="00D74137"/>
    <w:rsid w:val="00D74158"/>
    <w:rsid w:val="00D7416D"/>
    <w:rsid w:val="00D74183"/>
    <w:rsid w:val="00D741F4"/>
    <w:rsid w:val="00D7421E"/>
    <w:rsid w:val="00D74250"/>
    <w:rsid w:val="00D7426D"/>
    <w:rsid w:val="00D742AE"/>
    <w:rsid w:val="00D7432C"/>
    <w:rsid w:val="00D7449C"/>
    <w:rsid w:val="00D74529"/>
    <w:rsid w:val="00D74562"/>
    <w:rsid w:val="00D745E1"/>
    <w:rsid w:val="00D745E2"/>
    <w:rsid w:val="00D7468F"/>
    <w:rsid w:val="00D747F6"/>
    <w:rsid w:val="00D74916"/>
    <w:rsid w:val="00D7495C"/>
    <w:rsid w:val="00D74990"/>
    <w:rsid w:val="00D749C7"/>
    <w:rsid w:val="00D74A3C"/>
    <w:rsid w:val="00D74B28"/>
    <w:rsid w:val="00D74B36"/>
    <w:rsid w:val="00D74B6B"/>
    <w:rsid w:val="00D74B86"/>
    <w:rsid w:val="00D74BF6"/>
    <w:rsid w:val="00D74C14"/>
    <w:rsid w:val="00D74CC7"/>
    <w:rsid w:val="00D74D8A"/>
    <w:rsid w:val="00D74DB6"/>
    <w:rsid w:val="00D74E94"/>
    <w:rsid w:val="00D74EC9"/>
    <w:rsid w:val="00D74FD8"/>
    <w:rsid w:val="00D7510C"/>
    <w:rsid w:val="00D75166"/>
    <w:rsid w:val="00D7529A"/>
    <w:rsid w:val="00D7536E"/>
    <w:rsid w:val="00D75399"/>
    <w:rsid w:val="00D753A9"/>
    <w:rsid w:val="00D753F7"/>
    <w:rsid w:val="00D754D3"/>
    <w:rsid w:val="00D7554A"/>
    <w:rsid w:val="00D755D9"/>
    <w:rsid w:val="00D755F2"/>
    <w:rsid w:val="00D75735"/>
    <w:rsid w:val="00D757C2"/>
    <w:rsid w:val="00D757C8"/>
    <w:rsid w:val="00D758BF"/>
    <w:rsid w:val="00D75900"/>
    <w:rsid w:val="00D75907"/>
    <w:rsid w:val="00D7591E"/>
    <w:rsid w:val="00D75A38"/>
    <w:rsid w:val="00D75C17"/>
    <w:rsid w:val="00D75C89"/>
    <w:rsid w:val="00D75CE8"/>
    <w:rsid w:val="00D75CF2"/>
    <w:rsid w:val="00D75D41"/>
    <w:rsid w:val="00D75DA6"/>
    <w:rsid w:val="00D75E5C"/>
    <w:rsid w:val="00D75E6A"/>
    <w:rsid w:val="00D75EC5"/>
    <w:rsid w:val="00D75FC3"/>
    <w:rsid w:val="00D76034"/>
    <w:rsid w:val="00D76042"/>
    <w:rsid w:val="00D760B0"/>
    <w:rsid w:val="00D76111"/>
    <w:rsid w:val="00D7615E"/>
    <w:rsid w:val="00D76169"/>
    <w:rsid w:val="00D76189"/>
    <w:rsid w:val="00D76198"/>
    <w:rsid w:val="00D761BB"/>
    <w:rsid w:val="00D762BF"/>
    <w:rsid w:val="00D7633A"/>
    <w:rsid w:val="00D76385"/>
    <w:rsid w:val="00D763BC"/>
    <w:rsid w:val="00D76616"/>
    <w:rsid w:val="00D766A8"/>
    <w:rsid w:val="00D767A1"/>
    <w:rsid w:val="00D767F4"/>
    <w:rsid w:val="00D7686C"/>
    <w:rsid w:val="00D768A9"/>
    <w:rsid w:val="00D7696C"/>
    <w:rsid w:val="00D76A16"/>
    <w:rsid w:val="00D76AC6"/>
    <w:rsid w:val="00D76CEC"/>
    <w:rsid w:val="00D76CF4"/>
    <w:rsid w:val="00D76D32"/>
    <w:rsid w:val="00D76DCB"/>
    <w:rsid w:val="00D76DD1"/>
    <w:rsid w:val="00D76FA5"/>
    <w:rsid w:val="00D7707E"/>
    <w:rsid w:val="00D770BB"/>
    <w:rsid w:val="00D7714A"/>
    <w:rsid w:val="00D77273"/>
    <w:rsid w:val="00D77321"/>
    <w:rsid w:val="00D773E0"/>
    <w:rsid w:val="00D773E5"/>
    <w:rsid w:val="00D77429"/>
    <w:rsid w:val="00D77471"/>
    <w:rsid w:val="00D775F3"/>
    <w:rsid w:val="00D77793"/>
    <w:rsid w:val="00D777EF"/>
    <w:rsid w:val="00D7796F"/>
    <w:rsid w:val="00D77B8F"/>
    <w:rsid w:val="00D77BFD"/>
    <w:rsid w:val="00D77F16"/>
    <w:rsid w:val="00D80005"/>
    <w:rsid w:val="00D800A2"/>
    <w:rsid w:val="00D801A8"/>
    <w:rsid w:val="00D801C4"/>
    <w:rsid w:val="00D80322"/>
    <w:rsid w:val="00D805A0"/>
    <w:rsid w:val="00D807B9"/>
    <w:rsid w:val="00D80941"/>
    <w:rsid w:val="00D80A28"/>
    <w:rsid w:val="00D80A52"/>
    <w:rsid w:val="00D80B10"/>
    <w:rsid w:val="00D80C3B"/>
    <w:rsid w:val="00D80CCB"/>
    <w:rsid w:val="00D80D12"/>
    <w:rsid w:val="00D8116C"/>
    <w:rsid w:val="00D81189"/>
    <w:rsid w:val="00D812D5"/>
    <w:rsid w:val="00D81363"/>
    <w:rsid w:val="00D81366"/>
    <w:rsid w:val="00D813A9"/>
    <w:rsid w:val="00D81420"/>
    <w:rsid w:val="00D8146B"/>
    <w:rsid w:val="00D816E6"/>
    <w:rsid w:val="00D81716"/>
    <w:rsid w:val="00D81893"/>
    <w:rsid w:val="00D818C0"/>
    <w:rsid w:val="00D819F6"/>
    <w:rsid w:val="00D81A23"/>
    <w:rsid w:val="00D81A48"/>
    <w:rsid w:val="00D81AEC"/>
    <w:rsid w:val="00D81AFB"/>
    <w:rsid w:val="00D81B02"/>
    <w:rsid w:val="00D81B33"/>
    <w:rsid w:val="00D81B8D"/>
    <w:rsid w:val="00D81BF0"/>
    <w:rsid w:val="00D81C36"/>
    <w:rsid w:val="00D82056"/>
    <w:rsid w:val="00D82136"/>
    <w:rsid w:val="00D82202"/>
    <w:rsid w:val="00D82298"/>
    <w:rsid w:val="00D82306"/>
    <w:rsid w:val="00D8237D"/>
    <w:rsid w:val="00D82656"/>
    <w:rsid w:val="00D82888"/>
    <w:rsid w:val="00D82909"/>
    <w:rsid w:val="00D82A9C"/>
    <w:rsid w:val="00D82AC2"/>
    <w:rsid w:val="00D82BD3"/>
    <w:rsid w:val="00D82C6F"/>
    <w:rsid w:val="00D82C81"/>
    <w:rsid w:val="00D82C8B"/>
    <w:rsid w:val="00D82D07"/>
    <w:rsid w:val="00D82DAF"/>
    <w:rsid w:val="00D82E6B"/>
    <w:rsid w:val="00D82EB2"/>
    <w:rsid w:val="00D82F2A"/>
    <w:rsid w:val="00D82F84"/>
    <w:rsid w:val="00D83001"/>
    <w:rsid w:val="00D832DC"/>
    <w:rsid w:val="00D833D5"/>
    <w:rsid w:val="00D834ED"/>
    <w:rsid w:val="00D8360F"/>
    <w:rsid w:val="00D837F9"/>
    <w:rsid w:val="00D83896"/>
    <w:rsid w:val="00D8398E"/>
    <w:rsid w:val="00D83C1F"/>
    <w:rsid w:val="00D83CE9"/>
    <w:rsid w:val="00D83E21"/>
    <w:rsid w:val="00D83F26"/>
    <w:rsid w:val="00D84094"/>
    <w:rsid w:val="00D8411F"/>
    <w:rsid w:val="00D84252"/>
    <w:rsid w:val="00D84535"/>
    <w:rsid w:val="00D8454C"/>
    <w:rsid w:val="00D845CB"/>
    <w:rsid w:val="00D846E2"/>
    <w:rsid w:val="00D84755"/>
    <w:rsid w:val="00D84817"/>
    <w:rsid w:val="00D84872"/>
    <w:rsid w:val="00D848E0"/>
    <w:rsid w:val="00D84AE2"/>
    <w:rsid w:val="00D84B8C"/>
    <w:rsid w:val="00D84BBD"/>
    <w:rsid w:val="00D84BE2"/>
    <w:rsid w:val="00D84CA3"/>
    <w:rsid w:val="00D84E5A"/>
    <w:rsid w:val="00D84F75"/>
    <w:rsid w:val="00D8506E"/>
    <w:rsid w:val="00D850D9"/>
    <w:rsid w:val="00D850F8"/>
    <w:rsid w:val="00D85170"/>
    <w:rsid w:val="00D853E3"/>
    <w:rsid w:val="00D854AC"/>
    <w:rsid w:val="00D85526"/>
    <w:rsid w:val="00D855AE"/>
    <w:rsid w:val="00D85640"/>
    <w:rsid w:val="00D85674"/>
    <w:rsid w:val="00D85757"/>
    <w:rsid w:val="00D8579C"/>
    <w:rsid w:val="00D8579D"/>
    <w:rsid w:val="00D8586C"/>
    <w:rsid w:val="00D85873"/>
    <w:rsid w:val="00D859CF"/>
    <w:rsid w:val="00D85A29"/>
    <w:rsid w:val="00D85A5F"/>
    <w:rsid w:val="00D85AE3"/>
    <w:rsid w:val="00D85BB1"/>
    <w:rsid w:val="00D85DB9"/>
    <w:rsid w:val="00D85E3B"/>
    <w:rsid w:val="00D85E96"/>
    <w:rsid w:val="00D85E98"/>
    <w:rsid w:val="00D85EA0"/>
    <w:rsid w:val="00D85F41"/>
    <w:rsid w:val="00D85FFD"/>
    <w:rsid w:val="00D86093"/>
    <w:rsid w:val="00D862DD"/>
    <w:rsid w:val="00D863F2"/>
    <w:rsid w:val="00D86489"/>
    <w:rsid w:val="00D86523"/>
    <w:rsid w:val="00D865D0"/>
    <w:rsid w:val="00D865F2"/>
    <w:rsid w:val="00D8669A"/>
    <w:rsid w:val="00D867AF"/>
    <w:rsid w:val="00D8693E"/>
    <w:rsid w:val="00D86A7F"/>
    <w:rsid w:val="00D86B29"/>
    <w:rsid w:val="00D86C65"/>
    <w:rsid w:val="00D86E64"/>
    <w:rsid w:val="00D86ED9"/>
    <w:rsid w:val="00D86F4A"/>
    <w:rsid w:val="00D87085"/>
    <w:rsid w:val="00D87100"/>
    <w:rsid w:val="00D871BA"/>
    <w:rsid w:val="00D8724A"/>
    <w:rsid w:val="00D8727C"/>
    <w:rsid w:val="00D872E1"/>
    <w:rsid w:val="00D87300"/>
    <w:rsid w:val="00D87460"/>
    <w:rsid w:val="00D87495"/>
    <w:rsid w:val="00D874FE"/>
    <w:rsid w:val="00D87591"/>
    <w:rsid w:val="00D875DB"/>
    <w:rsid w:val="00D875E8"/>
    <w:rsid w:val="00D876DD"/>
    <w:rsid w:val="00D87719"/>
    <w:rsid w:val="00D87973"/>
    <w:rsid w:val="00D87B0D"/>
    <w:rsid w:val="00D87C65"/>
    <w:rsid w:val="00D87C8E"/>
    <w:rsid w:val="00D87C91"/>
    <w:rsid w:val="00D87EE0"/>
    <w:rsid w:val="00D87FC6"/>
    <w:rsid w:val="00D900C4"/>
    <w:rsid w:val="00D9021E"/>
    <w:rsid w:val="00D90279"/>
    <w:rsid w:val="00D9030C"/>
    <w:rsid w:val="00D9036B"/>
    <w:rsid w:val="00D903A6"/>
    <w:rsid w:val="00D903C0"/>
    <w:rsid w:val="00D905C5"/>
    <w:rsid w:val="00D90607"/>
    <w:rsid w:val="00D906A8"/>
    <w:rsid w:val="00D906B4"/>
    <w:rsid w:val="00D906C7"/>
    <w:rsid w:val="00D906FD"/>
    <w:rsid w:val="00D90708"/>
    <w:rsid w:val="00D908B9"/>
    <w:rsid w:val="00D908C1"/>
    <w:rsid w:val="00D908F0"/>
    <w:rsid w:val="00D908F4"/>
    <w:rsid w:val="00D909AC"/>
    <w:rsid w:val="00D90B39"/>
    <w:rsid w:val="00D90BF7"/>
    <w:rsid w:val="00D90C7B"/>
    <w:rsid w:val="00D90C88"/>
    <w:rsid w:val="00D90CAE"/>
    <w:rsid w:val="00D90CF4"/>
    <w:rsid w:val="00D90D38"/>
    <w:rsid w:val="00D90FD1"/>
    <w:rsid w:val="00D90FDC"/>
    <w:rsid w:val="00D9107A"/>
    <w:rsid w:val="00D910C0"/>
    <w:rsid w:val="00D910C5"/>
    <w:rsid w:val="00D9118C"/>
    <w:rsid w:val="00D91293"/>
    <w:rsid w:val="00D91312"/>
    <w:rsid w:val="00D91318"/>
    <w:rsid w:val="00D913B2"/>
    <w:rsid w:val="00D913CC"/>
    <w:rsid w:val="00D9145C"/>
    <w:rsid w:val="00D9152C"/>
    <w:rsid w:val="00D91587"/>
    <w:rsid w:val="00D91699"/>
    <w:rsid w:val="00D9171E"/>
    <w:rsid w:val="00D91760"/>
    <w:rsid w:val="00D917D4"/>
    <w:rsid w:val="00D917FF"/>
    <w:rsid w:val="00D918BB"/>
    <w:rsid w:val="00D91AD9"/>
    <w:rsid w:val="00D91B1E"/>
    <w:rsid w:val="00D91BC3"/>
    <w:rsid w:val="00D91BC6"/>
    <w:rsid w:val="00D91D43"/>
    <w:rsid w:val="00D91D81"/>
    <w:rsid w:val="00D91D8C"/>
    <w:rsid w:val="00D91E32"/>
    <w:rsid w:val="00D91EC6"/>
    <w:rsid w:val="00D9201B"/>
    <w:rsid w:val="00D9206D"/>
    <w:rsid w:val="00D920C5"/>
    <w:rsid w:val="00D920F2"/>
    <w:rsid w:val="00D922B6"/>
    <w:rsid w:val="00D92383"/>
    <w:rsid w:val="00D925AA"/>
    <w:rsid w:val="00D92616"/>
    <w:rsid w:val="00D926CE"/>
    <w:rsid w:val="00D92723"/>
    <w:rsid w:val="00D9279B"/>
    <w:rsid w:val="00D9279C"/>
    <w:rsid w:val="00D927AC"/>
    <w:rsid w:val="00D92974"/>
    <w:rsid w:val="00D92987"/>
    <w:rsid w:val="00D92A36"/>
    <w:rsid w:val="00D92A65"/>
    <w:rsid w:val="00D92AAC"/>
    <w:rsid w:val="00D92B89"/>
    <w:rsid w:val="00D92C1F"/>
    <w:rsid w:val="00D92D1C"/>
    <w:rsid w:val="00D92DBC"/>
    <w:rsid w:val="00D92DDA"/>
    <w:rsid w:val="00D92E13"/>
    <w:rsid w:val="00D92ED5"/>
    <w:rsid w:val="00D930A4"/>
    <w:rsid w:val="00D93205"/>
    <w:rsid w:val="00D932E5"/>
    <w:rsid w:val="00D932F2"/>
    <w:rsid w:val="00D93318"/>
    <w:rsid w:val="00D935C8"/>
    <w:rsid w:val="00D9369B"/>
    <w:rsid w:val="00D93727"/>
    <w:rsid w:val="00D937D3"/>
    <w:rsid w:val="00D938ED"/>
    <w:rsid w:val="00D9393F"/>
    <w:rsid w:val="00D93991"/>
    <w:rsid w:val="00D93ADB"/>
    <w:rsid w:val="00D93AF6"/>
    <w:rsid w:val="00D93B28"/>
    <w:rsid w:val="00D93B2C"/>
    <w:rsid w:val="00D93B33"/>
    <w:rsid w:val="00D93CE1"/>
    <w:rsid w:val="00D940C4"/>
    <w:rsid w:val="00D94157"/>
    <w:rsid w:val="00D94190"/>
    <w:rsid w:val="00D94233"/>
    <w:rsid w:val="00D9423C"/>
    <w:rsid w:val="00D9425D"/>
    <w:rsid w:val="00D9426E"/>
    <w:rsid w:val="00D94397"/>
    <w:rsid w:val="00D9440E"/>
    <w:rsid w:val="00D9456E"/>
    <w:rsid w:val="00D945F5"/>
    <w:rsid w:val="00D94649"/>
    <w:rsid w:val="00D946B9"/>
    <w:rsid w:val="00D946DF"/>
    <w:rsid w:val="00D94803"/>
    <w:rsid w:val="00D9497A"/>
    <w:rsid w:val="00D94ACC"/>
    <w:rsid w:val="00D94BB3"/>
    <w:rsid w:val="00D94BED"/>
    <w:rsid w:val="00D9513B"/>
    <w:rsid w:val="00D95228"/>
    <w:rsid w:val="00D95260"/>
    <w:rsid w:val="00D95299"/>
    <w:rsid w:val="00D9543D"/>
    <w:rsid w:val="00D9557B"/>
    <w:rsid w:val="00D9561B"/>
    <w:rsid w:val="00D95808"/>
    <w:rsid w:val="00D9587C"/>
    <w:rsid w:val="00D95AF2"/>
    <w:rsid w:val="00D95BD6"/>
    <w:rsid w:val="00D95D9F"/>
    <w:rsid w:val="00D95DC2"/>
    <w:rsid w:val="00D95DF4"/>
    <w:rsid w:val="00D95E04"/>
    <w:rsid w:val="00D95E47"/>
    <w:rsid w:val="00D95E61"/>
    <w:rsid w:val="00D95E76"/>
    <w:rsid w:val="00D95ED5"/>
    <w:rsid w:val="00D95F9B"/>
    <w:rsid w:val="00D95FB3"/>
    <w:rsid w:val="00D96181"/>
    <w:rsid w:val="00D961C8"/>
    <w:rsid w:val="00D96287"/>
    <w:rsid w:val="00D962F4"/>
    <w:rsid w:val="00D96323"/>
    <w:rsid w:val="00D964F8"/>
    <w:rsid w:val="00D965A4"/>
    <w:rsid w:val="00D96646"/>
    <w:rsid w:val="00D96750"/>
    <w:rsid w:val="00D967FC"/>
    <w:rsid w:val="00D96816"/>
    <w:rsid w:val="00D9682B"/>
    <w:rsid w:val="00D96861"/>
    <w:rsid w:val="00D96A05"/>
    <w:rsid w:val="00D96B1F"/>
    <w:rsid w:val="00D96B25"/>
    <w:rsid w:val="00D96B7D"/>
    <w:rsid w:val="00D96BB8"/>
    <w:rsid w:val="00D96CC7"/>
    <w:rsid w:val="00D96CD0"/>
    <w:rsid w:val="00D96D4C"/>
    <w:rsid w:val="00D96DC1"/>
    <w:rsid w:val="00D96F0A"/>
    <w:rsid w:val="00D96F5F"/>
    <w:rsid w:val="00D96F7D"/>
    <w:rsid w:val="00D9701D"/>
    <w:rsid w:val="00D9707E"/>
    <w:rsid w:val="00D97094"/>
    <w:rsid w:val="00D970DD"/>
    <w:rsid w:val="00D970EC"/>
    <w:rsid w:val="00D9713E"/>
    <w:rsid w:val="00D971CB"/>
    <w:rsid w:val="00D971E2"/>
    <w:rsid w:val="00D971FC"/>
    <w:rsid w:val="00D97251"/>
    <w:rsid w:val="00D972B4"/>
    <w:rsid w:val="00D97343"/>
    <w:rsid w:val="00D97362"/>
    <w:rsid w:val="00D97523"/>
    <w:rsid w:val="00D9763D"/>
    <w:rsid w:val="00D97663"/>
    <w:rsid w:val="00D97700"/>
    <w:rsid w:val="00D977E6"/>
    <w:rsid w:val="00D978E4"/>
    <w:rsid w:val="00D97A01"/>
    <w:rsid w:val="00D97A16"/>
    <w:rsid w:val="00D97BEF"/>
    <w:rsid w:val="00D97CD0"/>
    <w:rsid w:val="00D97D04"/>
    <w:rsid w:val="00D97D9E"/>
    <w:rsid w:val="00D97EFB"/>
    <w:rsid w:val="00D97FAA"/>
    <w:rsid w:val="00DA0113"/>
    <w:rsid w:val="00DA014C"/>
    <w:rsid w:val="00DA027D"/>
    <w:rsid w:val="00DA0304"/>
    <w:rsid w:val="00DA03E9"/>
    <w:rsid w:val="00DA0486"/>
    <w:rsid w:val="00DA04CF"/>
    <w:rsid w:val="00DA051E"/>
    <w:rsid w:val="00DA060F"/>
    <w:rsid w:val="00DA082D"/>
    <w:rsid w:val="00DA0895"/>
    <w:rsid w:val="00DA089D"/>
    <w:rsid w:val="00DA0B47"/>
    <w:rsid w:val="00DA0BF9"/>
    <w:rsid w:val="00DA0D89"/>
    <w:rsid w:val="00DA0E1A"/>
    <w:rsid w:val="00DA0E1D"/>
    <w:rsid w:val="00DA0E33"/>
    <w:rsid w:val="00DA0F03"/>
    <w:rsid w:val="00DA0FBE"/>
    <w:rsid w:val="00DA1124"/>
    <w:rsid w:val="00DA1140"/>
    <w:rsid w:val="00DA1145"/>
    <w:rsid w:val="00DA1290"/>
    <w:rsid w:val="00DA129D"/>
    <w:rsid w:val="00DA12CE"/>
    <w:rsid w:val="00DA13C2"/>
    <w:rsid w:val="00DA14ED"/>
    <w:rsid w:val="00DA1555"/>
    <w:rsid w:val="00DA1614"/>
    <w:rsid w:val="00DA1636"/>
    <w:rsid w:val="00DA1829"/>
    <w:rsid w:val="00DA184C"/>
    <w:rsid w:val="00DA1907"/>
    <w:rsid w:val="00DA1A64"/>
    <w:rsid w:val="00DA1C28"/>
    <w:rsid w:val="00DA1C4D"/>
    <w:rsid w:val="00DA1D01"/>
    <w:rsid w:val="00DA1D69"/>
    <w:rsid w:val="00DA1DC3"/>
    <w:rsid w:val="00DA1E7A"/>
    <w:rsid w:val="00DA1E8A"/>
    <w:rsid w:val="00DA1EF6"/>
    <w:rsid w:val="00DA1EFD"/>
    <w:rsid w:val="00DA1F0F"/>
    <w:rsid w:val="00DA1FE6"/>
    <w:rsid w:val="00DA1FF6"/>
    <w:rsid w:val="00DA2135"/>
    <w:rsid w:val="00DA21E7"/>
    <w:rsid w:val="00DA2257"/>
    <w:rsid w:val="00DA23B2"/>
    <w:rsid w:val="00DA23DA"/>
    <w:rsid w:val="00DA24BA"/>
    <w:rsid w:val="00DA24D9"/>
    <w:rsid w:val="00DA28FF"/>
    <w:rsid w:val="00DA2915"/>
    <w:rsid w:val="00DA29AD"/>
    <w:rsid w:val="00DA2A41"/>
    <w:rsid w:val="00DA2AC5"/>
    <w:rsid w:val="00DA2ACB"/>
    <w:rsid w:val="00DA2B4E"/>
    <w:rsid w:val="00DA2C05"/>
    <w:rsid w:val="00DA2D23"/>
    <w:rsid w:val="00DA2D7E"/>
    <w:rsid w:val="00DA2ECC"/>
    <w:rsid w:val="00DA2EEB"/>
    <w:rsid w:val="00DA2FB2"/>
    <w:rsid w:val="00DA2FE8"/>
    <w:rsid w:val="00DA342E"/>
    <w:rsid w:val="00DA3500"/>
    <w:rsid w:val="00DA359A"/>
    <w:rsid w:val="00DA36B6"/>
    <w:rsid w:val="00DA3756"/>
    <w:rsid w:val="00DA377C"/>
    <w:rsid w:val="00DA37E7"/>
    <w:rsid w:val="00DA3823"/>
    <w:rsid w:val="00DA383A"/>
    <w:rsid w:val="00DA384F"/>
    <w:rsid w:val="00DA39E6"/>
    <w:rsid w:val="00DA3A56"/>
    <w:rsid w:val="00DA3A5D"/>
    <w:rsid w:val="00DA3B5C"/>
    <w:rsid w:val="00DA3CAB"/>
    <w:rsid w:val="00DA3CD5"/>
    <w:rsid w:val="00DA3D03"/>
    <w:rsid w:val="00DA3DC0"/>
    <w:rsid w:val="00DA3DF8"/>
    <w:rsid w:val="00DA3EBB"/>
    <w:rsid w:val="00DA3FD0"/>
    <w:rsid w:val="00DA406B"/>
    <w:rsid w:val="00DA4081"/>
    <w:rsid w:val="00DA40F2"/>
    <w:rsid w:val="00DA41CF"/>
    <w:rsid w:val="00DA4361"/>
    <w:rsid w:val="00DA4459"/>
    <w:rsid w:val="00DA45A1"/>
    <w:rsid w:val="00DA465B"/>
    <w:rsid w:val="00DA46AB"/>
    <w:rsid w:val="00DA4728"/>
    <w:rsid w:val="00DA47F5"/>
    <w:rsid w:val="00DA4959"/>
    <w:rsid w:val="00DA499B"/>
    <w:rsid w:val="00DA49CC"/>
    <w:rsid w:val="00DA4A3F"/>
    <w:rsid w:val="00DA4B77"/>
    <w:rsid w:val="00DA4C62"/>
    <w:rsid w:val="00DA4D4E"/>
    <w:rsid w:val="00DA4D6E"/>
    <w:rsid w:val="00DA4D75"/>
    <w:rsid w:val="00DA4DCB"/>
    <w:rsid w:val="00DA4DEB"/>
    <w:rsid w:val="00DA4E0A"/>
    <w:rsid w:val="00DA4FD6"/>
    <w:rsid w:val="00DA5000"/>
    <w:rsid w:val="00DA50DC"/>
    <w:rsid w:val="00DA5213"/>
    <w:rsid w:val="00DA53CE"/>
    <w:rsid w:val="00DA55C5"/>
    <w:rsid w:val="00DA57FF"/>
    <w:rsid w:val="00DA5951"/>
    <w:rsid w:val="00DA5987"/>
    <w:rsid w:val="00DA59EB"/>
    <w:rsid w:val="00DA5A0D"/>
    <w:rsid w:val="00DA5B59"/>
    <w:rsid w:val="00DA5CB3"/>
    <w:rsid w:val="00DA5D38"/>
    <w:rsid w:val="00DA5DBF"/>
    <w:rsid w:val="00DA5E7F"/>
    <w:rsid w:val="00DA5E93"/>
    <w:rsid w:val="00DA5EC6"/>
    <w:rsid w:val="00DA5ED4"/>
    <w:rsid w:val="00DA5EF8"/>
    <w:rsid w:val="00DA5F08"/>
    <w:rsid w:val="00DA5F41"/>
    <w:rsid w:val="00DA6144"/>
    <w:rsid w:val="00DA61A5"/>
    <w:rsid w:val="00DA62D7"/>
    <w:rsid w:val="00DA62E1"/>
    <w:rsid w:val="00DA62E3"/>
    <w:rsid w:val="00DA64C3"/>
    <w:rsid w:val="00DA65F1"/>
    <w:rsid w:val="00DA66D5"/>
    <w:rsid w:val="00DA66DF"/>
    <w:rsid w:val="00DA66F3"/>
    <w:rsid w:val="00DA6755"/>
    <w:rsid w:val="00DA6837"/>
    <w:rsid w:val="00DA697B"/>
    <w:rsid w:val="00DA69CD"/>
    <w:rsid w:val="00DA6AA4"/>
    <w:rsid w:val="00DA6AE5"/>
    <w:rsid w:val="00DA6B19"/>
    <w:rsid w:val="00DA6B2B"/>
    <w:rsid w:val="00DA6B44"/>
    <w:rsid w:val="00DA6D0E"/>
    <w:rsid w:val="00DA6FD3"/>
    <w:rsid w:val="00DA705B"/>
    <w:rsid w:val="00DA7198"/>
    <w:rsid w:val="00DA71AB"/>
    <w:rsid w:val="00DA71F3"/>
    <w:rsid w:val="00DA7326"/>
    <w:rsid w:val="00DA74DE"/>
    <w:rsid w:val="00DA7547"/>
    <w:rsid w:val="00DA759C"/>
    <w:rsid w:val="00DA75D5"/>
    <w:rsid w:val="00DA7619"/>
    <w:rsid w:val="00DA7770"/>
    <w:rsid w:val="00DA77C2"/>
    <w:rsid w:val="00DA7837"/>
    <w:rsid w:val="00DA7A6A"/>
    <w:rsid w:val="00DA7B13"/>
    <w:rsid w:val="00DA7C06"/>
    <w:rsid w:val="00DA7C42"/>
    <w:rsid w:val="00DA7C73"/>
    <w:rsid w:val="00DA7E82"/>
    <w:rsid w:val="00DA7EDC"/>
    <w:rsid w:val="00DA7F70"/>
    <w:rsid w:val="00DB000C"/>
    <w:rsid w:val="00DB00BD"/>
    <w:rsid w:val="00DB0197"/>
    <w:rsid w:val="00DB01B4"/>
    <w:rsid w:val="00DB0285"/>
    <w:rsid w:val="00DB03B7"/>
    <w:rsid w:val="00DB03E4"/>
    <w:rsid w:val="00DB042A"/>
    <w:rsid w:val="00DB0444"/>
    <w:rsid w:val="00DB07F2"/>
    <w:rsid w:val="00DB07F6"/>
    <w:rsid w:val="00DB085A"/>
    <w:rsid w:val="00DB0887"/>
    <w:rsid w:val="00DB0995"/>
    <w:rsid w:val="00DB0A37"/>
    <w:rsid w:val="00DB0A65"/>
    <w:rsid w:val="00DB0C5F"/>
    <w:rsid w:val="00DB0CDB"/>
    <w:rsid w:val="00DB0D9E"/>
    <w:rsid w:val="00DB0E32"/>
    <w:rsid w:val="00DB0F13"/>
    <w:rsid w:val="00DB0F24"/>
    <w:rsid w:val="00DB0FA8"/>
    <w:rsid w:val="00DB1023"/>
    <w:rsid w:val="00DB1067"/>
    <w:rsid w:val="00DB10AB"/>
    <w:rsid w:val="00DB111D"/>
    <w:rsid w:val="00DB11BC"/>
    <w:rsid w:val="00DB11BF"/>
    <w:rsid w:val="00DB11FB"/>
    <w:rsid w:val="00DB1228"/>
    <w:rsid w:val="00DB129D"/>
    <w:rsid w:val="00DB12E4"/>
    <w:rsid w:val="00DB131E"/>
    <w:rsid w:val="00DB1412"/>
    <w:rsid w:val="00DB14F5"/>
    <w:rsid w:val="00DB1510"/>
    <w:rsid w:val="00DB1569"/>
    <w:rsid w:val="00DB15A8"/>
    <w:rsid w:val="00DB1697"/>
    <w:rsid w:val="00DB1786"/>
    <w:rsid w:val="00DB1822"/>
    <w:rsid w:val="00DB18B1"/>
    <w:rsid w:val="00DB18EE"/>
    <w:rsid w:val="00DB19C1"/>
    <w:rsid w:val="00DB1A64"/>
    <w:rsid w:val="00DB1B13"/>
    <w:rsid w:val="00DB1B30"/>
    <w:rsid w:val="00DB1BC6"/>
    <w:rsid w:val="00DB1C77"/>
    <w:rsid w:val="00DB1C7B"/>
    <w:rsid w:val="00DB1E06"/>
    <w:rsid w:val="00DB1E75"/>
    <w:rsid w:val="00DB1F2D"/>
    <w:rsid w:val="00DB1F78"/>
    <w:rsid w:val="00DB1F8A"/>
    <w:rsid w:val="00DB1F8C"/>
    <w:rsid w:val="00DB1F91"/>
    <w:rsid w:val="00DB1FB8"/>
    <w:rsid w:val="00DB207A"/>
    <w:rsid w:val="00DB2109"/>
    <w:rsid w:val="00DB2280"/>
    <w:rsid w:val="00DB232C"/>
    <w:rsid w:val="00DB2366"/>
    <w:rsid w:val="00DB24A6"/>
    <w:rsid w:val="00DB24BC"/>
    <w:rsid w:val="00DB24CB"/>
    <w:rsid w:val="00DB24D9"/>
    <w:rsid w:val="00DB2619"/>
    <w:rsid w:val="00DB2665"/>
    <w:rsid w:val="00DB273F"/>
    <w:rsid w:val="00DB2821"/>
    <w:rsid w:val="00DB285D"/>
    <w:rsid w:val="00DB2B06"/>
    <w:rsid w:val="00DB2D2F"/>
    <w:rsid w:val="00DB2DD3"/>
    <w:rsid w:val="00DB2DE8"/>
    <w:rsid w:val="00DB2E2B"/>
    <w:rsid w:val="00DB2E3C"/>
    <w:rsid w:val="00DB2E9B"/>
    <w:rsid w:val="00DB303D"/>
    <w:rsid w:val="00DB3257"/>
    <w:rsid w:val="00DB32FF"/>
    <w:rsid w:val="00DB33F0"/>
    <w:rsid w:val="00DB34FA"/>
    <w:rsid w:val="00DB3522"/>
    <w:rsid w:val="00DB35F7"/>
    <w:rsid w:val="00DB36E2"/>
    <w:rsid w:val="00DB380C"/>
    <w:rsid w:val="00DB38E9"/>
    <w:rsid w:val="00DB3905"/>
    <w:rsid w:val="00DB3ABE"/>
    <w:rsid w:val="00DB3B0B"/>
    <w:rsid w:val="00DB3D79"/>
    <w:rsid w:val="00DB3DF8"/>
    <w:rsid w:val="00DB3EE1"/>
    <w:rsid w:val="00DB3F9E"/>
    <w:rsid w:val="00DB3FA1"/>
    <w:rsid w:val="00DB4049"/>
    <w:rsid w:val="00DB4219"/>
    <w:rsid w:val="00DB44C3"/>
    <w:rsid w:val="00DB467B"/>
    <w:rsid w:val="00DB48F6"/>
    <w:rsid w:val="00DB4930"/>
    <w:rsid w:val="00DB49BA"/>
    <w:rsid w:val="00DB49EE"/>
    <w:rsid w:val="00DB4A01"/>
    <w:rsid w:val="00DB4ADA"/>
    <w:rsid w:val="00DB4B5C"/>
    <w:rsid w:val="00DB4C36"/>
    <w:rsid w:val="00DB4CD4"/>
    <w:rsid w:val="00DB4DB6"/>
    <w:rsid w:val="00DB4E31"/>
    <w:rsid w:val="00DB4E58"/>
    <w:rsid w:val="00DB4E5F"/>
    <w:rsid w:val="00DB4ED3"/>
    <w:rsid w:val="00DB5007"/>
    <w:rsid w:val="00DB5238"/>
    <w:rsid w:val="00DB52F7"/>
    <w:rsid w:val="00DB52F8"/>
    <w:rsid w:val="00DB5414"/>
    <w:rsid w:val="00DB5476"/>
    <w:rsid w:val="00DB5564"/>
    <w:rsid w:val="00DB55E9"/>
    <w:rsid w:val="00DB563E"/>
    <w:rsid w:val="00DB591B"/>
    <w:rsid w:val="00DB592C"/>
    <w:rsid w:val="00DB5A20"/>
    <w:rsid w:val="00DB5A22"/>
    <w:rsid w:val="00DB5A54"/>
    <w:rsid w:val="00DB5C7D"/>
    <w:rsid w:val="00DB5DA7"/>
    <w:rsid w:val="00DB5EA1"/>
    <w:rsid w:val="00DB5EDC"/>
    <w:rsid w:val="00DB5F28"/>
    <w:rsid w:val="00DB5F4E"/>
    <w:rsid w:val="00DB6042"/>
    <w:rsid w:val="00DB60AE"/>
    <w:rsid w:val="00DB60C6"/>
    <w:rsid w:val="00DB60DC"/>
    <w:rsid w:val="00DB6298"/>
    <w:rsid w:val="00DB629C"/>
    <w:rsid w:val="00DB63A2"/>
    <w:rsid w:val="00DB64BC"/>
    <w:rsid w:val="00DB64C6"/>
    <w:rsid w:val="00DB650C"/>
    <w:rsid w:val="00DB65BA"/>
    <w:rsid w:val="00DB660E"/>
    <w:rsid w:val="00DB6613"/>
    <w:rsid w:val="00DB662D"/>
    <w:rsid w:val="00DB663B"/>
    <w:rsid w:val="00DB6706"/>
    <w:rsid w:val="00DB6744"/>
    <w:rsid w:val="00DB6773"/>
    <w:rsid w:val="00DB685D"/>
    <w:rsid w:val="00DB6A6B"/>
    <w:rsid w:val="00DB6A91"/>
    <w:rsid w:val="00DB6A96"/>
    <w:rsid w:val="00DB6BD1"/>
    <w:rsid w:val="00DB6CA8"/>
    <w:rsid w:val="00DB6D5B"/>
    <w:rsid w:val="00DB6DC9"/>
    <w:rsid w:val="00DB6F81"/>
    <w:rsid w:val="00DB70DF"/>
    <w:rsid w:val="00DB70E5"/>
    <w:rsid w:val="00DB71AA"/>
    <w:rsid w:val="00DB71FB"/>
    <w:rsid w:val="00DB728F"/>
    <w:rsid w:val="00DB73EA"/>
    <w:rsid w:val="00DB74EB"/>
    <w:rsid w:val="00DB759D"/>
    <w:rsid w:val="00DB75DA"/>
    <w:rsid w:val="00DB76CE"/>
    <w:rsid w:val="00DB76ED"/>
    <w:rsid w:val="00DB76F2"/>
    <w:rsid w:val="00DB77D0"/>
    <w:rsid w:val="00DB78A1"/>
    <w:rsid w:val="00DB7943"/>
    <w:rsid w:val="00DB7A2E"/>
    <w:rsid w:val="00DB7DE8"/>
    <w:rsid w:val="00DB7E47"/>
    <w:rsid w:val="00DC0074"/>
    <w:rsid w:val="00DC0155"/>
    <w:rsid w:val="00DC015B"/>
    <w:rsid w:val="00DC020C"/>
    <w:rsid w:val="00DC0298"/>
    <w:rsid w:val="00DC0308"/>
    <w:rsid w:val="00DC03B8"/>
    <w:rsid w:val="00DC04D4"/>
    <w:rsid w:val="00DC064B"/>
    <w:rsid w:val="00DC064C"/>
    <w:rsid w:val="00DC07AA"/>
    <w:rsid w:val="00DC07C9"/>
    <w:rsid w:val="00DC08DD"/>
    <w:rsid w:val="00DC0918"/>
    <w:rsid w:val="00DC0969"/>
    <w:rsid w:val="00DC0B30"/>
    <w:rsid w:val="00DC0DFB"/>
    <w:rsid w:val="00DC0EA7"/>
    <w:rsid w:val="00DC0EC1"/>
    <w:rsid w:val="00DC1078"/>
    <w:rsid w:val="00DC1198"/>
    <w:rsid w:val="00DC12AC"/>
    <w:rsid w:val="00DC1363"/>
    <w:rsid w:val="00DC1413"/>
    <w:rsid w:val="00DC162A"/>
    <w:rsid w:val="00DC166E"/>
    <w:rsid w:val="00DC167F"/>
    <w:rsid w:val="00DC16FC"/>
    <w:rsid w:val="00DC1ADF"/>
    <w:rsid w:val="00DC1C34"/>
    <w:rsid w:val="00DC1D40"/>
    <w:rsid w:val="00DC1F26"/>
    <w:rsid w:val="00DC206D"/>
    <w:rsid w:val="00DC214A"/>
    <w:rsid w:val="00DC222B"/>
    <w:rsid w:val="00DC23E6"/>
    <w:rsid w:val="00DC24D3"/>
    <w:rsid w:val="00DC2502"/>
    <w:rsid w:val="00DC250B"/>
    <w:rsid w:val="00DC2529"/>
    <w:rsid w:val="00DC2564"/>
    <w:rsid w:val="00DC25FA"/>
    <w:rsid w:val="00DC261C"/>
    <w:rsid w:val="00DC2626"/>
    <w:rsid w:val="00DC275A"/>
    <w:rsid w:val="00DC27B1"/>
    <w:rsid w:val="00DC27ED"/>
    <w:rsid w:val="00DC27F2"/>
    <w:rsid w:val="00DC2835"/>
    <w:rsid w:val="00DC28D8"/>
    <w:rsid w:val="00DC28FB"/>
    <w:rsid w:val="00DC2A60"/>
    <w:rsid w:val="00DC2B1D"/>
    <w:rsid w:val="00DC2BC1"/>
    <w:rsid w:val="00DC2CC0"/>
    <w:rsid w:val="00DC2D0C"/>
    <w:rsid w:val="00DC2D7B"/>
    <w:rsid w:val="00DC2DA1"/>
    <w:rsid w:val="00DC2DFF"/>
    <w:rsid w:val="00DC2E03"/>
    <w:rsid w:val="00DC2E3A"/>
    <w:rsid w:val="00DC2EEF"/>
    <w:rsid w:val="00DC2FCD"/>
    <w:rsid w:val="00DC3088"/>
    <w:rsid w:val="00DC313D"/>
    <w:rsid w:val="00DC3224"/>
    <w:rsid w:val="00DC3294"/>
    <w:rsid w:val="00DC32FF"/>
    <w:rsid w:val="00DC3432"/>
    <w:rsid w:val="00DC34DD"/>
    <w:rsid w:val="00DC3658"/>
    <w:rsid w:val="00DC36FB"/>
    <w:rsid w:val="00DC3910"/>
    <w:rsid w:val="00DC3A0E"/>
    <w:rsid w:val="00DC3A32"/>
    <w:rsid w:val="00DC3AC3"/>
    <w:rsid w:val="00DC3B24"/>
    <w:rsid w:val="00DC3C80"/>
    <w:rsid w:val="00DC3DF9"/>
    <w:rsid w:val="00DC3FEE"/>
    <w:rsid w:val="00DC4021"/>
    <w:rsid w:val="00DC4178"/>
    <w:rsid w:val="00DC41AC"/>
    <w:rsid w:val="00DC431C"/>
    <w:rsid w:val="00DC4320"/>
    <w:rsid w:val="00DC448B"/>
    <w:rsid w:val="00DC45C1"/>
    <w:rsid w:val="00DC466F"/>
    <w:rsid w:val="00DC4887"/>
    <w:rsid w:val="00DC48FE"/>
    <w:rsid w:val="00DC4962"/>
    <w:rsid w:val="00DC4AAA"/>
    <w:rsid w:val="00DC4AB9"/>
    <w:rsid w:val="00DC4D86"/>
    <w:rsid w:val="00DC4F2D"/>
    <w:rsid w:val="00DC4FB5"/>
    <w:rsid w:val="00DC523B"/>
    <w:rsid w:val="00DC52C9"/>
    <w:rsid w:val="00DC5410"/>
    <w:rsid w:val="00DC545A"/>
    <w:rsid w:val="00DC54EC"/>
    <w:rsid w:val="00DC55A1"/>
    <w:rsid w:val="00DC57CD"/>
    <w:rsid w:val="00DC59DE"/>
    <w:rsid w:val="00DC5A00"/>
    <w:rsid w:val="00DC5AF6"/>
    <w:rsid w:val="00DC5B17"/>
    <w:rsid w:val="00DC5B1D"/>
    <w:rsid w:val="00DC5CDA"/>
    <w:rsid w:val="00DC5D2F"/>
    <w:rsid w:val="00DC5D66"/>
    <w:rsid w:val="00DC5DB5"/>
    <w:rsid w:val="00DC5DB6"/>
    <w:rsid w:val="00DC5ED3"/>
    <w:rsid w:val="00DC619D"/>
    <w:rsid w:val="00DC61BF"/>
    <w:rsid w:val="00DC6314"/>
    <w:rsid w:val="00DC6357"/>
    <w:rsid w:val="00DC63BE"/>
    <w:rsid w:val="00DC6746"/>
    <w:rsid w:val="00DC677C"/>
    <w:rsid w:val="00DC67A6"/>
    <w:rsid w:val="00DC67BA"/>
    <w:rsid w:val="00DC68D1"/>
    <w:rsid w:val="00DC693E"/>
    <w:rsid w:val="00DC6ABE"/>
    <w:rsid w:val="00DC6E1A"/>
    <w:rsid w:val="00DC6E32"/>
    <w:rsid w:val="00DC6F0C"/>
    <w:rsid w:val="00DC6FB9"/>
    <w:rsid w:val="00DC6FF2"/>
    <w:rsid w:val="00DC7361"/>
    <w:rsid w:val="00DC74EA"/>
    <w:rsid w:val="00DC7525"/>
    <w:rsid w:val="00DC753E"/>
    <w:rsid w:val="00DC75A8"/>
    <w:rsid w:val="00DC75F7"/>
    <w:rsid w:val="00DC76B7"/>
    <w:rsid w:val="00DC76F1"/>
    <w:rsid w:val="00DC7742"/>
    <w:rsid w:val="00DC7784"/>
    <w:rsid w:val="00DC782C"/>
    <w:rsid w:val="00DC7846"/>
    <w:rsid w:val="00DC7AE3"/>
    <w:rsid w:val="00DC7AF5"/>
    <w:rsid w:val="00DC7BD3"/>
    <w:rsid w:val="00DC7CA0"/>
    <w:rsid w:val="00DC7CE3"/>
    <w:rsid w:val="00DC7D30"/>
    <w:rsid w:val="00DC7E59"/>
    <w:rsid w:val="00DC7F6E"/>
    <w:rsid w:val="00DC7F93"/>
    <w:rsid w:val="00DD007E"/>
    <w:rsid w:val="00DD00B3"/>
    <w:rsid w:val="00DD00E7"/>
    <w:rsid w:val="00DD019A"/>
    <w:rsid w:val="00DD01F8"/>
    <w:rsid w:val="00DD0215"/>
    <w:rsid w:val="00DD0361"/>
    <w:rsid w:val="00DD038D"/>
    <w:rsid w:val="00DD0473"/>
    <w:rsid w:val="00DD0480"/>
    <w:rsid w:val="00DD0504"/>
    <w:rsid w:val="00DD0687"/>
    <w:rsid w:val="00DD06BC"/>
    <w:rsid w:val="00DD06FB"/>
    <w:rsid w:val="00DD092A"/>
    <w:rsid w:val="00DD0975"/>
    <w:rsid w:val="00DD0A20"/>
    <w:rsid w:val="00DD0ADA"/>
    <w:rsid w:val="00DD0AEE"/>
    <w:rsid w:val="00DD0AFB"/>
    <w:rsid w:val="00DD0D31"/>
    <w:rsid w:val="00DD0D65"/>
    <w:rsid w:val="00DD0E98"/>
    <w:rsid w:val="00DD0F04"/>
    <w:rsid w:val="00DD0F51"/>
    <w:rsid w:val="00DD0FE7"/>
    <w:rsid w:val="00DD108B"/>
    <w:rsid w:val="00DD110D"/>
    <w:rsid w:val="00DD12A4"/>
    <w:rsid w:val="00DD1409"/>
    <w:rsid w:val="00DD140E"/>
    <w:rsid w:val="00DD15CA"/>
    <w:rsid w:val="00DD15CD"/>
    <w:rsid w:val="00DD1796"/>
    <w:rsid w:val="00DD1807"/>
    <w:rsid w:val="00DD1821"/>
    <w:rsid w:val="00DD184E"/>
    <w:rsid w:val="00DD1928"/>
    <w:rsid w:val="00DD1AE2"/>
    <w:rsid w:val="00DD1BF0"/>
    <w:rsid w:val="00DD1CCF"/>
    <w:rsid w:val="00DD1D4F"/>
    <w:rsid w:val="00DD2000"/>
    <w:rsid w:val="00DD2021"/>
    <w:rsid w:val="00DD2073"/>
    <w:rsid w:val="00DD20FB"/>
    <w:rsid w:val="00DD22B0"/>
    <w:rsid w:val="00DD22FB"/>
    <w:rsid w:val="00DD24D0"/>
    <w:rsid w:val="00DD2500"/>
    <w:rsid w:val="00DD2571"/>
    <w:rsid w:val="00DD25B6"/>
    <w:rsid w:val="00DD25B7"/>
    <w:rsid w:val="00DD2618"/>
    <w:rsid w:val="00DD2619"/>
    <w:rsid w:val="00DD2631"/>
    <w:rsid w:val="00DD2694"/>
    <w:rsid w:val="00DD2761"/>
    <w:rsid w:val="00DD29E6"/>
    <w:rsid w:val="00DD2A33"/>
    <w:rsid w:val="00DD2A7A"/>
    <w:rsid w:val="00DD2B5F"/>
    <w:rsid w:val="00DD2B81"/>
    <w:rsid w:val="00DD2C73"/>
    <w:rsid w:val="00DD2CB7"/>
    <w:rsid w:val="00DD2D15"/>
    <w:rsid w:val="00DD2E53"/>
    <w:rsid w:val="00DD2F30"/>
    <w:rsid w:val="00DD2F51"/>
    <w:rsid w:val="00DD2F68"/>
    <w:rsid w:val="00DD2FB2"/>
    <w:rsid w:val="00DD2FE2"/>
    <w:rsid w:val="00DD30BA"/>
    <w:rsid w:val="00DD3104"/>
    <w:rsid w:val="00DD32B2"/>
    <w:rsid w:val="00DD330F"/>
    <w:rsid w:val="00DD33E1"/>
    <w:rsid w:val="00DD3476"/>
    <w:rsid w:val="00DD35A0"/>
    <w:rsid w:val="00DD3626"/>
    <w:rsid w:val="00DD38F0"/>
    <w:rsid w:val="00DD3941"/>
    <w:rsid w:val="00DD3972"/>
    <w:rsid w:val="00DD3B48"/>
    <w:rsid w:val="00DD3BA6"/>
    <w:rsid w:val="00DD3C53"/>
    <w:rsid w:val="00DD3CBF"/>
    <w:rsid w:val="00DD3CCC"/>
    <w:rsid w:val="00DD3FF4"/>
    <w:rsid w:val="00DD3FF6"/>
    <w:rsid w:val="00DD4019"/>
    <w:rsid w:val="00DD4031"/>
    <w:rsid w:val="00DD40A2"/>
    <w:rsid w:val="00DD41B6"/>
    <w:rsid w:val="00DD4226"/>
    <w:rsid w:val="00DD42BC"/>
    <w:rsid w:val="00DD4470"/>
    <w:rsid w:val="00DD44ED"/>
    <w:rsid w:val="00DD4535"/>
    <w:rsid w:val="00DD45C1"/>
    <w:rsid w:val="00DD4708"/>
    <w:rsid w:val="00DD4792"/>
    <w:rsid w:val="00DD47EC"/>
    <w:rsid w:val="00DD494F"/>
    <w:rsid w:val="00DD49A7"/>
    <w:rsid w:val="00DD4A18"/>
    <w:rsid w:val="00DD4A1B"/>
    <w:rsid w:val="00DD4D54"/>
    <w:rsid w:val="00DD4DC5"/>
    <w:rsid w:val="00DD4E42"/>
    <w:rsid w:val="00DD4F19"/>
    <w:rsid w:val="00DD5295"/>
    <w:rsid w:val="00DD5364"/>
    <w:rsid w:val="00DD54A6"/>
    <w:rsid w:val="00DD55A5"/>
    <w:rsid w:val="00DD573C"/>
    <w:rsid w:val="00DD5744"/>
    <w:rsid w:val="00DD5793"/>
    <w:rsid w:val="00DD581E"/>
    <w:rsid w:val="00DD58C2"/>
    <w:rsid w:val="00DD58FF"/>
    <w:rsid w:val="00DD592D"/>
    <w:rsid w:val="00DD5A70"/>
    <w:rsid w:val="00DD5CB6"/>
    <w:rsid w:val="00DD5CC4"/>
    <w:rsid w:val="00DD5D4D"/>
    <w:rsid w:val="00DD5DBC"/>
    <w:rsid w:val="00DD5DFF"/>
    <w:rsid w:val="00DD5F6F"/>
    <w:rsid w:val="00DD5F8D"/>
    <w:rsid w:val="00DD6088"/>
    <w:rsid w:val="00DD61C0"/>
    <w:rsid w:val="00DD6262"/>
    <w:rsid w:val="00DD64AA"/>
    <w:rsid w:val="00DD64B4"/>
    <w:rsid w:val="00DD6538"/>
    <w:rsid w:val="00DD6722"/>
    <w:rsid w:val="00DD695B"/>
    <w:rsid w:val="00DD69FB"/>
    <w:rsid w:val="00DD6B72"/>
    <w:rsid w:val="00DD6BA1"/>
    <w:rsid w:val="00DD6D24"/>
    <w:rsid w:val="00DD6D86"/>
    <w:rsid w:val="00DD6FA3"/>
    <w:rsid w:val="00DD70C7"/>
    <w:rsid w:val="00DD7147"/>
    <w:rsid w:val="00DD714F"/>
    <w:rsid w:val="00DD7286"/>
    <w:rsid w:val="00DD73A4"/>
    <w:rsid w:val="00DD746C"/>
    <w:rsid w:val="00DD7536"/>
    <w:rsid w:val="00DD7603"/>
    <w:rsid w:val="00DD7635"/>
    <w:rsid w:val="00DD763A"/>
    <w:rsid w:val="00DD798F"/>
    <w:rsid w:val="00DD79C2"/>
    <w:rsid w:val="00DD7AC1"/>
    <w:rsid w:val="00DD7AD3"/>
    <w:rsid w:val="00DD7AE0"/>
    <w:rsid w:val="00DD7C87"/>
    <w:rsid w:val="00DD7CDE"/>
    <w:rsid w:val="00DD7D12"/>
    <w:rsid w:val="00DD7D59"/>
    <w:rsid w:val="00DD7E0E"/>
    <w:rsid w:val="00DD7E28"/>
    <w:rsid w:val="00DD7F74"/>
    <w:rsid w:val="00DD7FB7"/>
    <w:rsid w:val="00DE0056"/>
    <w:rsid w:val="00DE0084"/>
    <w:rsid w:val="00DE016F"/>
    <w:rsid w:val="00DE02D0"/>
    <w:rsid w:val="00DE03A1"/>
    <w:rsid w:val="00DE0420"/>
    <w:rsid w:val="00DE0642"/>
    <w:rsid w:val="00DE0912"/>
    <w:rsid w:val="00DE0C7A"/>
    <w:rsid w:val="00DE0C7B"/>
    <w:rsid w:val="00DE0CB8"/>
    <w:rsid w:val="00DE0DBD"/>
    <w:rsid w:val="00DE0DE3"/>
    <w:rsid w:val="00DE0F23"/>
    <w:rsid w:val="00DE0F4F"/>
    <w:rsid w:val="00DE0FA5"/>
    <w:rsid w:val="00DE0FF6"/>
    <w:rsid w:val="00DE114B"/>
    <w:rsid w:val="00DE12C3"/>
    <w:rsid w:val="00DE1390"/>
    <w:rsid w:val="00DE13D6"/>
    <w:rsid w:val="00DE143C"/>
    <w:rsid w:val="00DE1445"/>
    <w:rsid w:val="00DE14BF"/>
    <w:rsid w:val="00DE14E6"/>
    <w:rsid w:val="00DE155C"/>
    <w:rsid w:val="00DE157A"/>
    <w:rsid w:val="00DE1597"/>
    <w:rsid w:val="00DE1729"/>
    <w:rsid w:val="00DE1784"/>
    <w:rsid w:val="00DE1840"/>
    <w:rsid w:val="00DE18A8"/>
    <w:rsid w:val="00DE196B"/>
    <w:rsid w:val="00DE1AB1"/>
    <w:rsid w:val="00DE1B1C"/>
    <w:rsid w:val="00DE1B6F"/>
    <w:rsid w:val="00DE1BE2"/>
    <w:rsid w:val="00DE1BF5"/>
    <w:rsid w:val="00DE1C36"/>
    <w:rsid w:val="00DE1DC2"/>
    <w:rsid w:val="00DE1DCD"/>
    <w:rsid w:val="00DE1E1B"/>
    <w:rsid w:val="00DE1E38"/>
    <w:rsid w:val="00DE1EF0"/>
    <w:rsid w:val="00DE1FBB"/>
    <w:rsid w:val="00DE2049"/>
    <w:rsid w:val="00DE20A1"/>
    <w:rsid w:val="00DE2151"/>
    <w:rsid w:val="00DE215A"/>
    <w:rsid w:val="00DE2178"/>
    <w:rsid w:val="00DE2183"/>
    <w:rsid w:val="00DE221D"/>
    <w:rsid w:val="00DE22C7"/>
    <w:rsid w:val="00DE2313"/>
    <w:rsid w:val="00DE2343"/>
    <w:rsid w:val="00DE23D4"/>
    <w:rsid w:val="00DE2447"/>
    <w:rsid w:val="00DE24FB"/>
    <w:rsid w:val="00DE2591"/>
    <w:rsid w:val="00DE25CD"/>
    <w:rsid w:val="00DE26CA"/>
    <w:rsid w:val="00DE272B"/>
    <w:rsid w:val="00DE27F1"/>
    <w:rsid w:val="00DE2865"/>
    <w:rsid w:val="00DE29CF"/>
    <w:rsid w:val="00DE2A7F"/>
    <w:rsid w:val="00DE2B33"/>
    <w:rsid w:val="00DE2C8D"/>
    <w:rsid w:val="00DE2CA0"/>
    <w:rsid w:val="00DE2E4D"/>
    <w:rsid w:val="00DE2F3B"/>
    <w:rsid w:val="00DE3076"/>
    <w:rsid w:val="00DE30E3"/>
    <w:rsid w:val="00DE3247"/>
    <w:rsid w:val="00DE3265"/>
    <w:rsid w:val="00DE32E7"/>
    <w:rsid w:val="00DE3473"/>
    <w:rsid w:val="00DE357C"/>
    <w:rsid w:val="00DE3672"/>
    <w:rsid w:val="00DE36A3"/>
    <w:rsid w:val="00DE36CC"/>
    <w:rsid w:val="00DE3756"/>
    <w:rsid w:val="00DE382D"/>
    <w:rsid w:val="00DE3834"/>
    <w:rsid w:val="00DE3A32"/>
    <w:rsid w:val="00DE3A36"/>
    <w:rsid w:val="00DE3A41"/>
    <w:rsid w:val="00DE3B03"/>
    <w:rsid w:val="00DE3B0E"/>
    <w:rsid w:val="00DE3B68"/>
    <w:rsid w:val="00DE3BB5"/>
    <w:rsid w:val="00DE3BC9"/>
    <w:rsid w:val="00DE3BEF"/>
    <w:rsid w:val="00DE3C17"/>
    <w:rsid w:val="00DE3DFC"/>
    <w:rsid w:val="00DE3E22"/>
    <w:rsid w:val="00DE3E5E"/>
    <w:rsid w:val="00DE3E96"/>
    <w:rsid w:val="00DE3ED6"/>
    <w:rsid w:val="00DE3F16"/>
    <w:rsid w:val="00DE3F4E"/>
    <w:rsid w:val="00DE3FE6"/>
    <w:rsid w:val="00DE4140"/>
    <w:rsid w:val="00DE4248"/>
    <w:rsid w:val="00DE424B"/>
    <w:rsid w:val="00DE43EF"/>
    <w:rsid w:val="00DE4418"/>
    <w:rsid w:val="00DE4464"/>
    <w:rsid w:val="00DE449C"/>
    <w:rsid w:val="00DE4527"/>
    <w:rsid w:val="00DE472C"/>
    <w:rsid w:val="00DE4BBE"/>
    <w:rsid w:val="00DE4BCC"/>
    <w:rsid w:val="00DE4F4E"/>
    <w:rsid w:val="00DE4FE4"/>
    <w:rsid w:val="00DE5064"/>
    <w:rsid w:val="00DE50CD"/>
    <w:rsid w:val="00DE51CD"/>
    <w:rsid w:val="00DE52AC"/>
    <w:rsid w:val="00DE52F3"/>
    <w:rsid w:val="00DE5347"/>
    <w:rsid w:val="00DE5383"/>
    <w:rsid w:val="00DE53B3"/>
    <w:rsid w:val="00DE543A"/>
    <w:rsid w:val="00DE5455"/>
    <w:rsid w:val="00DE5572"/>
    <w:rsid w:val="00DE55BD"/>
    <w:rsid w:val="00DE5613"/>
    <w:rsid w:val="00DE56D7"/>
    <w:rsid w:val="00DE5723"/>
    <w:rsid w:val="00DE573C"/>
    <w:rsid w:val="00DE57C2"/>
    <w:rsid w:val="00DE59FF"/>
    <w:rsid w:val="00DE5A22"/>
    <w:rsid w:val="00DE5B09"/>
    <w:rsid w:val="00DE5BDF"/>
    <w:rsid w:val="00DE5C02"/>
    <w:rsid w:val="00DE5C1F"/>
    <w:rsid w:val="00DE5D0E"/>
    <w:rsid w:val="00DE5DA8"/>
    <w:rsid w:val="00DE5DEE"/>
    <w:rsid w:val="00DE5EF3"/>
    <w:rsid w:val="00DE60CF"/>
    <w:rsid w:val="00DE61F4"/>
    <w:rsid w:val="00DE6219"/>
    <w:rsid w:val="00DE6234"/>
    <w:rsid w:val="00DE62C5"/>
    <w:rsid w:val="00DE6378"/>
    <w:rsid w:val="00DE63A7"/>
    <w:rsid w:val="00DE641A"/>
    <w:rsid w:val="00DE644F"/>
    <w:rsid w:val="00DE65C1"/>
    <w:rsid w:val="00DE65D6"/>
    <w:rsid w:val="00DE6677"/>
    <w:rsid w:val="00DE67D3"/>
    <w:rsid w:val="00DE67D7"/>
    <w:rsid w:val="00DE6830"/>
    <w:rsid w:val="00DE6835"/>
    <w:rsid w:val="00DE68DF"/>
    <w:rsid w:val="00DE6958"/>
    <w:rsid w:val="00DE6A7D"/>
    <w:rsid w:val="00DE6AA9"/>
    <w:rsid w:val="00DE6ABF"/>
    <w:rsid w:val="00DE6C43"/>
    <w:rsid w:val="00DE6F02"/>
    <w:rsid w:val="00DE6F81"/>
    <w:rsid w:val="00DE6FC6"/>
    <w:rsid w:val="00DE700E"/>
    <w:rsid w:val="00DE704B"/>
    <w:rsid w:val="00DE706E"/>
    <w:rsid w:val="00DE70C5"/>
    <w:rsid w:val="00DE7188"/>
    <w:rsid w:val="00DE722F"/>
    <w:rsid w:val="00DE7287"/>
    <w:rsid w:val="00DE72D4"/>
    <w:rsid w:val="00DE7397"/>
    <w:rsid w:val="00DE73D2"/>
    <w:rsid w:val="00DE7432"/>
    <w:rsid w:val="00DE749B"/>
    <w:rsid w:val="00DE74AB"/>
    <w:rsid w:val="00DE7669"/>
    <w:rsid w:val="00DE76A8"/>
    <w:rsid w:val="00DE775D"/>
    <w:rsid w:val="00DE7766"/>
    <w:rsid w:val="00DE77C5"/>
    <w:rsid w:val="00DE78B1"/>
    <w:rsid w:val="00DE78C0"/>
    <w:rsid w:val="00DE7932"/>
    <w:rsid w:val="00DE798B"/>
    <w:rsid w:val="00DE7A57"/>
    <w:rsid w:val="00DE7C1D"/>
    <w:rsid w:val="00DE7E9B"/>
    <w:rsid w:val="00DE7E9C"/>
    <w:rsid w:val="00DE7F35"/>
    <w:rsid w:val="00DF0164"/>
    <w:rsid w:val="00DF01B9"/>
    <w:rsid w:val="00DF0350"/>
    <w:rsid w:val="00DF0379"/>
    <w:rsid w:val="00DF0396"/>
    <w:rsid w:val="00DF0592"/>
    <w:rsid w:val="00DF061F"/>
    <w:rsid w:val="00DF07AE"/>
    <w:rsid w:val="00DF07DE"/>
    <w:rsid w:val="00DF07FF"/>
    <w:rsid w:val="00DF0988"/>
    <w:rsid w:val="00DF0AAA"/>
    <w:rsid w:val="00DF0D68"/>
    <w:rsid w:val="00DF0D77"/>
    <w:rsid w:val="00DF0DFF"/>
    <w:rsid w:val="00DF0E90"/>
    <w:rsid w:val="00DF0EBB"/>
    <w:rsid w:val="00DF126A"/>
    <w:rsid w:val="00DF131C"/>
    <w:rsid w:val="00DF13C1"/>
    <w:rsid w:val="00DF14D5"/>
    <w:rsid w:val="00DF14DB"/>
    <w:rsid w:val="00DF167C"/>
    <w:rsid w:val="00DF1685"/>
    <w:rsid w:val="00DF169D"/>
    <w:rsid w:val="00DF16F7"/>
    <w:rsid w:val="00DF17AC"/>
    <w:rsid w:val="00DF18CC"/>
    <w:rsid w:val="00DF1939"/>
    <w:rsid w:val="00DF1969"/>
    <w:rsid w:val="00DF1A79"/>
    <w:rsid w:val="00DF1B1E"/>
    <w:rsid w:val="00DF1B6B"/>
    <w:rsid w:val="00DF1C3B"/>
    <w:rsid w:val="00DF1C67"/>
    <w:rsid w:val="00DF1DC0"/>
    <w:rsid w:val="00DF1DE5"/>
    <w:rsid w:val="00DF1E87"/>
    <w:rsid w:val="00DF2428"/>
    <w:rsid w:val="00DF2465"/>
    <w:rsid w:val="00DF2570"/>
    <w:rsid w:val="00DF25B9"/>
    <w:rsid w:val="00DF25C3"/>
    <w:rsid w:val="00DF262C"/>
    <w:rsid w:val="00DF26C3"/>
    <w:rsid w:val="00DF27AC"/>
    <w:rsid w:val="00DF27DE"/>
    <w:rsid w:val="00DF27E4"/>
    <w:rsid w:val="00DF2939"/>
    <w:rsid w:val="00DF29AF"/>
    <w:rsid w:val="00DF2A89"/>
    <w:rsid w:val="00DF2B65"/>
    <w:rsid w:val="00DF2BEE"/>
    <w:rsid w:val="00DF2C53"/>
    <w:rsid w:val="00DF2C5C"/>
    <w:rsid w:val="00DF2D23"/>
    <w:rsid w:val="00DF2D77"/>
    <w:rsid w:val="00DF2F51"/>
    <w:rsid w:val="00DF30A9"/>
    <w:rsid w:val="00DF3203"/>
    <w:rsid w:val="00DF3221"/>
    <w:rsid w:val="00DF333B"/>
    <w:rsid w:val="00DF3359"/>
    <w:rsid w:val="00DF33D3"/>
    <w:rsid w:val="00DF3463"/>
    <w:rsid w:val="00DF3464"/>
    <w:rsid w:val="00DF348C"/>
    <w:rsid w:val="00DF34E5"/>
    <w:rsid w:val="00DF3721"/>
    <w:rsid w:val="00DF37FA"/>
    <w:rsid w:val="00DF3934"/>
    <w:rsid w:val="00DF3961"/>
    <w:rsid w:val="00DF3973"/>
    <w:rsid w:val="00DF39AB"/>
    <w:rsid w:val="00DF39F6"/>
    <w:rsid w:val="00DF39FD"/>
    <w:rsid w:val="00DF3B54"/>
    <w:rsid w:val="00DF3BC0"/>
    <w:rsid w:val="00DF3C04"/>
    <w:rsid w:val="00DF3C43"/>
    <w:rsid w:val="00DF3DCB"/>
    <w:rsid w:val="00DF3F6B"/>
    <w:rsid w:val="00DF401B"/>
    <w:rsid w:val="00DF4043"/>
    <w:rsid w:val="00DF405C"/>
    <w:rsid w:val="00DF415F"/>
    <w:rsid w:val="00DF422B"/>
    <w:rsid w:val="00DF423E"/>
    <w:rsid w:val="00DF4291"/>
    <w:rsid w:val="00DF43D2"/>
    <w:rsid w:val="00DF4434"/>
    <w:rsid w:val="00DF455D"/>
    <w:rsid w:val="00DF4651"/>
    <w:rsid w:val="00DF46AE"/>
    <w:rsid w:val="00DF475F"/>
    <w:rsid w:val="00DF47E1"/>
    <w:rsid w:val="00DF4848"/>
    <w:rsid w:val="00DF4A65"/>
    <w:rsid w:val="00DF4B10"/>
    <w:rsid w:val="00DF4D33"/>
    <w:rsid w:val="00DF4D40"/>
    <w:rsid w:val="00DF4D4D"/>
    <w:rsid w:val="00DF4D7F"/>
    <w:rsid w:val="00DF4DE9"/>
    <w:rsid w:val="00DF505F"/>
    <w:rsid w:val="00DF50F6"/>
    <w:rsid w:val="00DF5172"/>
    <w:rsid w:val="00DF5272"/>
    <w:rsid w:val="00DF532C"/>
    <w:rsid w:val="00DF535C"/>
    <w:rsid w:val="00DF5373"/>
    <w:rsid w:val="00DF540C"/>
    <w:rsid w:val="00DF5465"/>
    <w:rsid w:val="00DF54BB"/>
    <w:rsid w:val="00DF55A5"/>
    <w:rsid w:val="00DF55CC"/>
    <w:rsid w:val="00DF55FE"/>
    <w:rsid w:val="00DF561A"/>
    <w:rsid w:val="00DF5682"/>
    <w:rsid w:val="00DF5698"/>
    <w:rsid w:val="00DF5738"/>
    <w:rsid w:val="00DF57B6"/>
    <w:rsid w:val="00DF5823"/>
    <w:rsid w:val="00DF5849"/>
    <w:rsid w:val="00DF5A99"/>
    <w:rsid w:val="00DF5B2B"/>
    <w:rsid w:val="00DF5DB3"/>
    <w:rsid w:val="00DF5E7D"/>
    <w:rsid w:val="00DF5F62"/>
    <w:rsid w:val="00DF5F66"/>
    <w:rsid w:val="00DF5F69"/>
    <w:rsid w:val="00DF5F7D"/>
    <w:rsid w:val="00DF5F99"/>
    <w:rsid w:val="00DF5FAC"/>
    <w:rsid w:val="00DF6066"/>
    <w:rsid w:val="00DF6129"/>
    <w:rsid w:val="00DF61A6"/>
    <w:rsid w:val="00DF6567"/>
    <w:rsid w:val="00DF674F"/>
    <w:rsid w:val="00DF6820"/>
    <w:rsid w:val="00DF682C"/>
    <w:rsid w:val="00DF691E"/>
    <w:rsid w:val="00DF699F"/>
    <w:rsid w:val="00DF6A40"/>
    <w:rsid w:val="00DF6BCA"/>
    <w:rsid w:val="00DF6BF0"/>
    <w:rsid w:val="00DF6D82"/>
    <w:rsid w:val="00DF6E46"/>
    <w:rsid w:val="00DF701F"/>
    <w:rsid w:val="00DF70EB"/>
    <w:rsid w:val="00DF7107"/>
    <w:rsid w:val="00DF71F6"/>
    <w:rsid w:val="00DF72BD"/>
    <w:rsid w:val="00DF72E0"/>
    <w:rsid w:val="00DF7333"/>
    <w:rsid w:val="00DF7370"/>
    <w:rsid w:val="00DF7410"/>
    <w:rsid w:val="00DF741F"/>
    <w:rsid w:val="00DF748B"/>
    <w:rsid w:val="00DF74A1"/>
    <w:rsid w:val="00DF754B"/>
    <w:rsid w:val="00DF77F6"/>
    <w:rsid w:val="00DF7883"/>
    <w:rsid w:val="00DF78D0"/>
    <w:rsid w:val="00DF798E"/>
    <w:rsid w:val="00DF7A83"/>
    <w:rsid w:val="00DF7AE0"/>
    <w:rsid w:val="00DF7BEE"/>
    <w:rsid w:val="00DF7C6C"/>
    <w:rsid w:val="00DF7C8D"/>
    <w:rsid w:val="00DF7CA9"/>
    <w:rsid w:val="00DF7CD1"/>
    <w:rsid w:val="00DF7E8A"/>
    <w:rsid w:val="00DF7EE3"/>
    <w:rsid w:val="00DF7EF0"/>
    <w:rsid w:val="00E000AE"/>
    <w:rsid w:val="00E000C3"/>
    <w:rsid w:val="00E0010D"/>
    <w:rsid w:val="00E00119"/>
    <w:rsid w:val="00E00212"/>
    <w:rsid w:val="00E00280"/>
    <w:rsid w:val="00E002D3"/>
    <w:rsid w:val="00E00307"/>
    <w:rsid w:val="00E0035C"/>
    <w:rsid w:val="00E00369"/>
    <w:rsid w:val="00E00516"/>
    <w:rsid w:val="00E0065D"/>
    <w:rsid w:val="00E006C5"/>
    <w:rsid w:val="00E006E7"/>
    <w:rsid w:val="00E00991"/>
    <w:rsid w:val="00E00B23"/>
    <w:rsid w:val="00E00B3B"/>
    <w:rsid w:val="00E00B78"/>
    <w:rsid w:val="00E00BCF"/>
    <w:rsid w:val="00E00BD2"/>
    <w:rsid w:val="00E00D5B"/>
    <w:rsid w:val="00E00DDF"/>
    <w:rsid w:val="00E00DF5"/>
    <w:rsid w:val="00E00E0E"/>
    <w:rsid w:val="00E00E1F"/>
    <w:rsid w:val="00E00EC9"/>
    <w:rsid w:val="00E00F1A"/>
    <w:rsid w:val="00E0101B"/>
    <w:rsid w:val="00E0115E"/>
    <w:rsid w:val="00E0137C"/>
    <w:rsid w:val="00E0141D"/>
    <w:rsid w:val="00E0151B"/>
    <w:rsid w:val="00E01586"/>
    <w:rsid w:val="00E01854"/>
    <w:rsid w:val="00E0187E"/>
    <w:rsid w:val="00E018DE"/>
    <w:rsid w:val="00E01AEA"/>
    <w:rsid w:val="00E01B07"/>
    <w:rsid w:val="00E01B72"/>
    <w:rsid w:val="00E01E04"/>
    <w:rsid w:val="00E01F12"/>
    <w:rsid w:val="00E01F3A"/>
    <w:rsid w:val="00E01FFB"/>
    <w:rsid w:val="00E02059"/>
    <w:rsid w:val="00E02110"/>
    <w:rsid w:val="00E02135"/>
    <w:rsid w:val="00E022B7"/>
    <w:rsid w:val="00E022CE"/>
    <w:rsid w:val="00E02314"/>
    <w:rsid w:val="00E0235E"/>
    <w:rsid w:val="00E023E7"/>
    <w:rsid w:val="00E0273C"/>
    <w:rsid w:val="00E0279E"/>
    <w:rsid w:val="00E0284F"/>
    <w:rsid w:val="00E02876"/>
    <w:rsid w:val="00E0287B"/>
    <w:rsid w:val="00E0296F"/>
    <w:rsid w:val="00E029A3"/>
    <w:rsid w:val="00E029B2"/>
    <w:rsid w:val="00E02A24"/>
    <w:rsid w:val="00E02AB7"/>
    <w:rsid w:val="00E02B6E"/>
    <w:rsid w:val="00E02C62"/>
    <w:rsid w:val="00E02CE6"/>
    <w:rsid w:val="00E02E95"/>
    <w:rsid w:val="00E02EDD"/>
    <w:rsid w:val="00E03028"/>
    <w:rsid w:val="00E03079"/>
    <w:rsid w:val="00E030DA"/>
    <w:rsid w:val="00E032CF"/>
    <w:rsid w:val="00E033DE"/>
    <w:rsid w:val="00E03419"/>
    <w:rsid w:val="00E03491"/>
    <w:rsid w:val="00E0352B"/>
    <w:rsid w:val="00E03584"/>
    <w:rsid w:val="00E03619"/>
    <w:rsid w:val="00E0362C"/>
    <w:rsid w:val="00E036BF"/>
    <w:rsid w:val="00E03948"/>
    <w:rsid w:val="00E03B97"/>
    <w:rsid w:val="00E03CA4"/>
    <w:rsid w:val="00E03CB8"/>
    <w:rsid w:val="00E03DA0"/>
    <w:rsid w:val="00E03DDC"/>
    <w:rsid w:val="00E03E04"/>
    <w:rsid w:val="00E03E9C"/>
    <w:rsid w:val="00E03ECA"/>
    <w:rsid w:val="00E0409E"/>
    <w:rsid w:val="00E04157"/>
    <w:rsid w:val="00E041D6"/>
    <w:rsid w:val="00E0421A"/>
    <w:rsid w:val="00E04244"/>
    <w:rsid w:val="00E0429E"/>
    <w:rsid w:val="00E0438A"/>
    <w:rsid w:val="00E04423"/>
    <w:rsid w:val="00E0443D"/>
    <w:rsid w:val="00E04504"/>
    <w:rsid w:val="00E04517"/>
    <w:rsid w:val="00E0451A"/>
    <w:rsid w:val="00E04528"/>
    <w:rsid w:val="00E0459C"/>
    <w:rsid w:val="00E045CB"/>
    <w:rsid w:val="00E047D5"/>
    <w:rsid w:val="00E0493E"/>
    <w:rsid w:val="00E0496A"/>
    <w:rsid w:val="00E04997"/>
    <w:rsid w:val="00E04A5C"/>
    <w:rsid w:val="00E04AB8"/>
    <w:rsid w:val="00E04C77"/>
    <w:rsid w:val="00E04D35"/>
    <w:rsid w:val="00E04D85"/>
    <w:rsid w:val="00E05024"/>
    <w:rsid w:val="00E05103"/>
    <w:rsid w:val="00E0510A"/>
    <w:rsid w:val="00E05157"/>
    <w:rsid w:val="00E051C7"/>
    <w:rsid w:val="00E053B8"/>
    <w:rsid w:val="00E0542A"/>
    <w:rsid w:val="00E05459"/>
    <w:rsid w:val="00E05522"/>
    <w:rsid w:val="00E055CF"/>
    <w:rsid w:val="00E05665"/>
    <w:rsid w:val="00E056D4"/>
    <w:rsid w:val="00E058EC"/>
    <w:rsid w:val="00E05940"/>
    <w:rsid w:val="00E0594E"/>
    <w:rsid w:val="00E059AD"/>
    <w:rsid w:val="00E05B09"/>
    <w:rsid w:val="00E05C23"/>
    <w:rsid w:val="00E05C91"/>
    <w:rsid w:val="00E05D2E"/>
    <w:rsid w:val="00E05D99"/>
    <w:rsid w:val="00E05E28"/>
    <w:rsid w:val="00E05E61"/>
    <w:rsid w:val="00E05E6B"/>
    <w:rsid w:val="00E05EB4"/>
    <w:rsid w:val="00E05F0C"/>
    <w:rsid w:val="00E05F17"/>
    <w:rsid w:val="00E0604D"/>
    <w:rsid w:val="00E0606C"/>
    <w:rsid w:val="00E060B2"/>
    <w:rsid w:val="00E06228"/>
    <w:rsid w:val="00E06280"/>
    <w:rsid w:val="00E062A8"/>
    <w:rsid w:val="00E06368"/>
    <w:rsid w:val="00E06442"/>
    <w:rsid w:val="00E0673B"/>
    <w:rsid w:val="00E06860"/>
    <w:rsid w:val="00E069F5"/>
    <w:rsid w:val="00E06CEC"/>
    <w:rsid w:val="00E06D32"/>
    <w:rsid w:val="00E06D70"/>
    <w:rsid w:val="00E06D8B"/>
    <w:rsid w:val="00E06DCF"/>
    <w:rsid w:val="00E06ED1"/>
    <w:rsid w:val="00E06F96"/>
    <w:rsid w:val="00E07057"/>
    <w:rsid w:val="00E070BF"/>
    <w:rsid w:val="00E071E9"/>
    <w:rsid w:val="00E0734D"/>
    <w:rsid w:val="00E0758C"/>
    <w:rsid w:val="00E075CA"/>
    <w:rsid w:val="00E07726"/>
    <w:rsid w:val="00E0772A"/>
    <w:rsid w:val="00E0775F"/>
    <w:rsid w:val="00E0789B"/>
    <w:rsid w:val="00E07987"/>
    <w:rsid w:val="00E07A15"/>
    <w:rsid w:val="00E07A7F"/>
    <w:rsid w:val="00E07AE2"/>
    <w:rsid w:val="00E07D06"/>
    <w:rsid w:val="00E07D76"/>
    <w:rsid w:val="00E07E6D"/>
    <w:rsid w:val="00E07EED"/>
    <w:rsid w:val="00E07FF1"/>
    <w:rsid w:val="00E1006F"/>
    <w:rsid w:val="00E10149"/>
    <w:rsid w:val="00E101CA"/>
    <w:rsid w:val="00E101FF"/>
    <w:rsid w:val="00E10213"/>
    <w:rsid w:val="00E1040B"/>
    <w:rsid w:val="00E10418"/>
    <w:rsid w:val="00E10494"/>
    <w:rsid w:val="00E104C1"/>
    <w:rsid w:val="00E104EB"/>
    <w:rsid w:val="00E104F9"/>
    <w:rsid w:val="00E10636"/>
    <w:rsid w:val="00E1079D"/>
    <w:rsid w:val="00E107AD"/>
    <w:rsid w:val="00E1086A"/>
    <w:rsid w:val="00E1090A"/>
    <w:rsid w:val="00E109F7"/>
    <w:rsid w:val="00E10A4F"/>
    <w:rsid w:val="00E10ADF"/>
    <w:rsid w:val="00E10BEC"/>
    <w:rsid w:val="00E10C05"/>
    <w:rsid w:val="00E10D37"/>
    <w:rsid w:val="00E10E16"/>
    <w:rsid w:val="00E10F0D"/>
    <w:rsid w:val="00E110F9"/>
    <w:rsid w:val="00E112A6"/>
    <w:rsid w:val="00E117DE"/>
    <w:rsid w:val="00E118B1"/>
    <w:rsid w:val="00E1192A"/>
    <w:rsid w:val="00E11B35"/>
    <w:rsid w:val="00E11C47"/>
    <w:rsid w:val="00E11CA6"/>
    <w:rsid w:val="00E11CE0"/>
    <w:rsid w:val="00E11D15"/>
    <w:rsid w:val="00E11D53"/>
    <w:rsid w:val="00E11D9E"/>
    <w:rsid w:val="00E11E45"/>
    <w:rsid w:val="00E11F17"/>
    <w:rsid w:val="00E12000"/>
    <w:rsid w:val="00E12037"/>
    <w:rsid w:val="00E120A8"/>
    <w:rsid w:val="00E12151"/>
    <w:rsid w:val="00E12215"/>
    <w:rsid w:val="00E12367"/>
    <w:rsid w:val="00E12373"/>
    <w:rsid w:val="00E125EC"/>
    <w:rsid w:val="00E12625"/>
    <w:rsid w:val="00E12776"/>
    <w:rsid w:val="00E12780"/>
    <w:rsid w:val="00E127A1"/>
    <w:rsid w:val="00E127D4"/>
    <w:rsid w:val="00E127F1"/>
    <w:rsid w:val="00E12832"/>
    <w:rsid w:val="00E129A0"/>
    <w:rsid w:val="00E12A2C"/>
    <w:rsid w:val="00E12A3F"/>
    <w:rsid w:val="00E12AB7"/>
    <w:rsid w:val="00E12B25"/>
    <w:rsid w:val="00E12B79"/>
    <w:rsid w:val="00E12B84"/>
    <w:rsid w:val="00E12C00"/>
    <w:rsid w:val="00E12C34"/>
    <w:rsid w:val="00E12C38"/>
    <w:rsid w:val="00E12C59"/>
    <w:rsid w:val="00E12CEE"/>
    <w:rsid w:val="00E12E07"/>
    <w:rsid w:val="00E12E4C"/>
    <w:rsid w:val="00E13069"/>
    <w:rsid w:val="00E1312C"/>
    <w:rsid w:val="00E13165"/>
    <w:rsid w:val="00E1316C"/>
    <w:rsid w:val="00E13209"/>
    <w:rsid w:val="00E1324E"/>
    <w:rsid w:val="00E13330"/>
    <w:rsid w:val="00E133B2"/>
    <w:rsid w:val="00E134AF"/>
    <w:rsid w:val="00E135BF"/>
    <w:rsid w:val="00E13632"/>
    <w:rsid w:val="00E1363D"/>
    <w:rsid w:val="00E1377B"/>
    <w:rsid w:val="00E13819"/>
    <w:rsid w:val="00E138FF"/>
    <w:rsid w:val="00E13928"/>
    <w:rsid w:val="00E13A1B"/>
    <w:rsid w:val="00E13AE8"/>
    <w:rsid w:val="00E13BE1"/>
    <w:rsid w:val="00E13C5A"/>
    <w:rsid w:val="00E13D52"/>
    <w:rsid w:val="00E13DB1"/>
    <w:rsid w:val="00E13E47"/>
    <w:rsid w:val="00E13ED5"/>
    <w:rsid w:val="00E14091"/>
    <w:rsid w:val="00E14236"/>
    <w:rsid w:val="00E14320"/>
    <w:rsid w:val="00E145CC"/>
    <w:rsid w:val="00E14623"/>
    <w:rsid w:val="00E14625"/>
    <w:rsid w:val="00E146CB"/>
    <w:rsid w:val="00E147C5"/>
    <w:rsid w:val="00E14833"/>
    <w:rsid w:val="00E1489D"/>
    <w:rsid w:val="00E14916"/>
    <w:rsid w:val="00E149BD"/>
    <w:rsid w:val="00E14A05"/>
    <w:rsid w:val="00E14AA9"/>
    <w:rsid w:val="00E14AD6"/>
    <w:rsid w:val="00E14B31"/>
    <w:rsid w:val="00E14B93"/>
    <w:rsid w:val="00E14BB4"/>
    <w:rsid w:val="00E14C45"/>
    <w:rsid w:val="00E14D1D"/>
    <w:rsid w:val="00E14D33"/>
    <w:rsid w:val="00E14E86"/>
    <w:rsid w:val="00E14EA2"/>
    <w:rsid w:val="00E1508E"/>
    <w:rsid w:val="00E150A5"/>
    <w:rsid w:val="00E15111"/>
    <w:rsid w:val="00E15137"/>
    <w:rsid w:val="00E1513C"/>
    <w:rsid w:val="00E151F9"/>
    <w:rsid w:val="00E1528A"/>
    <w:rsid w:val="00E155F3"/>
    <w:rsid w:val="00E1566C"/>
    <w:rsid w:val="00E1569D"/>
    <w:rsid w:val="00E156A3"/>
    <w:rsid w:val="00E156F9"/>
    <w:rsid w:val="00E157EE"/>
    <w:rsid w:val="00E1585C"/>
    <w:rsid w:val="00E15891"/>
    <w:rsid w:val="00E15B29"/>
    <w:rsid w:val="00E15B91"/>
    <w:rsid w:val="00E15C9B"/>
    <w:rsid w:val="00E15D32"/>
    <w:rsid w:val="00E15E9F"/>
    <w:rsid w:val="00E16191"/>
    <w:rsid w:val="00E1634E"/>
    <w:rsid w:val="00E1635F"/>
    <w:rsid w:val="00E16361"/>
    <w:rsid w:val="00E1636B"/>
    <w:rsid w:val="00E164B6"/>
    <w:rsid w:val="00E1663B"/>
    <w:rsid w:val="00E16745"/>
    <w:rsid w:val="00E1682C"/>
    <w:rsid w:val="00E1683A"/>
    <w:rsid w:val="00E16847"/>
    <w:rsid w:val="00E16890"/>
    <w:rsid w:val="00E16955"/>
    <w:rsid w:val="00E16C22"/>
    <w:rsid w:val="00E16C7B"/>
    <w:rsid w:val="00E16EA9"/>
    <w:rsid w:val="00E16F1C"/>
    <w:rsid w:val="00E1704A"/>
    <w:rsid w:val="00E1705C"/>
    <w:rsid w:val="00E170E2"/>
    <w:rsid w:val="00E17211"/>
    <w:rsid w:val="00E172A9"/>
    <w:rsid w:val="00E17438"/>
    <w:rsid w:val="00E1743F"/>
    <w:rsid w:val="00E174A6"/>
    <w:rsid w:val="00E175E9"/>
    <w:rsid w:val="00E176F9"/>
    <w:rsid w:val="00E1780D"/>
    <w:rsid w:val="00E1788B"/>
    <w:rsid w:val="00E179B7"/>
    <w:rsid w:val="00E179F2"/>
    <w:rsid w:val="00E17AEC"/>
    <w:rsid w:val="00E17B6A"/>
    <w:rsid w:val="00E17C75"/>
    <w:rsid w:val="00E17D71"/>
    <w:rsid w:val="00E17DCB"/>
    <w:rsid w:val="00E17DF0"/>
    <w:rsid w:val="00E17EF9"/>
    <w:rsid w:val="00E17F24"/>
    <w:rsid w:val="00E20019"/>
    <w:rsid w:val="00E20020"/>
    <w:rsid w:val="00E20149"/>
    <w:rsid w:val="00E2019E"/>
    <w:rsid w:val="00E20200"/>
    <w:rsid w:val="00E202E4"/>
    <w:rsid w:val="00E20339"/>
    <w:rsid w:val="00E20526"/>
    <w:rsid w:val="00E20539"/>
    <w:rsid w:val="00E20572"/>
    <w:rsid w:val="00E20625"/>
    <w:rsid w:val="00E20635"/>
    <w:rsid w:val="00E20707"/>
    <w:rsid w:val="00E2070C"/>
    <w:rsid w:val="00E207AE"/>
    <w:rsid w:val="00E20807"/>
    <w:rsid w:val="00E2081D"/>
    <w:rsid w:val="00E209C4"/>
    <w:rsid w:val="00E209CC"/>
    <w:rsid w:val="00E209DB"/>
    <w:rsid w:val="00E20BB9"/>
    <w:rsid w:val="00E20EF4"/>
    <w:rsid w:val="00E210DA"/>
    <w:rsid w:val="00E2121E"/>
    <w:rsid w:val="00E212A1"/>
    <w:rsid w:val="00E212C5"/>
    <w:rsid w:val="00E212E2"/>
    <w:rsid w:val="00E21392"/>
    <w:rsid w:val="00E21441"/>
    <w:rsid w:val="00E21646"/>
    <w:rsid w:val="00E216A0"/>
    <w:rsid w:val="00E21777"/>
    <w:rsid w:val="00E217A1"/>
    <w:rsid w:val="00E21861"/>
    <w:rsid w:val="00E2187A"/>
    <w:rsid w:val="00E21907"/>
    <w:rsid w:val="00E21A3A"/>
    <w:rsid w:val="00E21CBE"/>
    <w:rsid w:val="00E21CBF"/>
    <w:rsid w:val="00E21CEE"/>
    <w:rsid w:val="00E21D02"/>
    <w:rsid w:val="00E21D67"/>
    <w:rsid w:val="00E21DD7"/>
    <w:rsid w:val="00E21E26"/>
    <w:rsid w:val="00E21EFA"/>
    <w:rsid w:val="00E2209F"/>
    <w:rsid w:val="00E220A8"/>
    <w:rsid w:val="00E221DD"/>
    <w:rsid w:val="00E2233D"/>
    <w:rsid w:val="00E22369"/>
    <w:rsid w:val="00E22394"/>
    <w:rsid w:val="00E223E6"/>
    <w:rsid w:val="00E22456"/>
    <w:rsid w:val="00E22537"/>
    <w:rsid w:val="00E225FD"/>
    <w:rsid w:val="00E22684"/>
    <w:rsid w:val="00E226D0"/>
    <w:rsid w:val="00E227FC"/>
    <w:rsid w:val="00E2287F"/>
    <w:rsid w:val="00E22989"/>
    <w:rsid w:val="00E2298E"/>
    <w:rsid w:val="00E22A46"/>
    <w:rsid w:val="00E22B1D"/>
    <w:rsid w:val="00E22CE3"/>
    <w:rsid w:val="00E22F17"/>
    <w:rsid w:val="00E22F6A"/>
    <w:rsid w:val="00E23063"/>
    <w:rsid w:val="00E2308D"/>
    <w:rsid w:val="00E231B2"/>
    <w:rsid w:val="00E23214"/>
    <w:rsid w:val="00E2321B"/>
    <w:rsid w:val="00E232AA"/>
    <w:rsid w:val="00E23339"/>
    <w:rsid w:val="00E2334B"/>
    <w:rsid w:val="00E233C5"/>
    <w:rsid w:val="00E233E8"/>
    <w:rsid w:val="00E234F4"/>
    <w:rsid w:val="00E23530"/>
    <w:rsid w:val="00E235D7"/>
    <w:rsid w:val="00E235E1"/>
    <w:rsid w:val="00E23707"/>
    <w:rsid w:val="00E23797"/>
    <w:rsid w:val="00E23802"/>
    <w:rsid w:val="00E2388D"/>
    <w:rsid w:val="00E23991"/>
    <w:rsid w:val="00E239BC"/>
    <w:rsid w:val="00E239C3"/>
    <w:rsid w:val="00E23B3D"/>
    <w:rsid w:val="00E23B4E"/>
    <w:rsid w:val="00E23BCC"/>
    <w:rsid w:val="00E23BD1"/>
    <w:rsid w:val="00E23C82"/>
    <w:rsid w:val="00E23CCC"/>
    <w:rsid w:val="00E23CF3"/>
    <w:rsid w:val="00E23D6A"/>
    <w:rsid w:val="00E23E45"/>
    <w:rsid w:val="00E23EAC"/>
    <w:rsid w:val="00E23F14"/>
    <w:rsid w:val="00E23F47"/>
    <w:rsid w:val="00E23F6A"/>
    <w:rsid w:val="00E23F88"/>
    <w:rsid w:val="00E2444D"/>
    <w:rsid w:val="00E245C5"/>
    <w:rsid w:val="00E24658"/>
    <w:rsid w:val="00E247F7"/>
    <w:rsid w:val="00E24954"/>
    <w:rsid w:val="00E24AC6"/>
    <w:rsid w:val="00E24B00"/>
    <w:rsid w:val="00E24B69"/>
    <w:rsid w:val="00E24BEC"/>
    <w:rsid w:val="00E24CAD"/>
    <w:rsid w:val="00E24D6A"/>
    <w:rsid w:val="00E24DA2"/>
    <w:rsid w:val="00E24DCE"/>
    <w:rsid w:val="00E24E04"/>
    <w:rsid w:val="00E24E78"/>
    <w:rsid w:val="00E24FC9"/>
    <w:rsid w:val="00E25095"/>
    <w:rsid w:val="00E250F6"/>
    <w:rsid w:val="00E25110"/>
    <w:rsid w:val="00E2517D"/>
    <w:rsid w:val="00E2522C"/>
    <w:rsid w:val="00E2531F"/>
    <w:rsid w:val="00E253AD"/>
    <w:rsid w:val="00E2552F"/>
    <w:rsid w:val="00E2554C"/>
    <w:rsid w:val="00E25565"/>
    <w:rsid w:val="00E2589F"/>
    <w:rsid w:val="00E258A5"/>
    <w:rsid w:val="00E2591E"/>
    <w:rsid w:val="00E25B25"/>
    <w:rsid w:val="00E25B34"/>
    <w:rsid w:val="00E25C55"/>
    <w:rsid w:val="00E25DCD"/>
    <w:rsid w:val="00E261DC"/>
    <w:rsid w:val="00E26260"/>
    <w:rsid w:val="00E262C9"/>
    <w:rsid w:val="00E264C1"/>
    <w:rsid w:val="00E26553"/>
    <w:rsid w:val="00E265F7"/>
    <w:rsid w:val="00E26784"/>
    <w:rsid w:val="00E26892"/>
    <w:rsid w:val="00E2689B"/>
    <w:rsid w:val="00E26918"/>
    <w:rsid w:val="00E26938"/>
    <w:rsid w:val="00E26960"/>
    <w:rsid w:val="00E26ADC"/>
    <w:rsid w:val="00E26AFC"/>
    <w:rsid w:val="00E26AFD"/>
    <w:rsid w:val="00E26B9F"/>
    <w:rsid w:val="00E26C1F"/>
    <w:rsid w:val="00E26CA0"/>
    <w:rsid w:val="00E26CAA"/>
    <w:rsid w:val="00E26D4C"/>
    <w:rsid w:val="00E26DC0"/>
    <w:rsid w:val="00E26E99"/>
    <w:rsid w:val="00E26EE0"/>
    <w:rsid w:val="00E26FAC"/>
    <w:rsid w:val="00E26FEB"/>
    <w:rsid w:val="00E27028"/>
    <w:rsid w:val="00E27165"/>
    <w:rsid w:val="00E2737A"/>
    <w:rsid w:val="00E27570"/>
    <w:rsid w:val="00E278A7"/>
    <w:rsid w:val="00E279BB"/>
    <w:rsid w:val="00E27A04"/>
    <w:rsid w:val="00E27A97"/>
    <w:rsid w:val="00E27C26"/>
    <w:rsid w:val="00E27C91"/>
    <w:rsid w:val="00E27CA6"/>
    <w:rsid w:val="00E27DCF"/>
    <w:rsid w:val="00E27F7F"/>
    <w:rsid w:val="00E27F84"/>
    <w:rsid w:val="00E27F99"/>
    <w:rsid w:val="00E27FA6"/>
    <w:rsid w:val="00E2CE08"/>
    <w:rsid w:val="00E300E2"/>
    <w:rsid w:val="00E300F7"/>
    <w:rsid w:val="00E3017E"/>
    <w:rsid w:val="00E301D5"/>
    <w:rsid w:val="00E301FC"/>
    <w:rsid w:val="00E30347"/>
    <w:rsid w:val="00E303E6"/>
    <w:rsid w:val="00E30400"/>
    <w:rsid w:val="00E304DA"/>
    <w:rsid w:val="00E30548"/>
    <w:rsid w:val="00E305AF"/>
    <w:rsid w:val="00E30630"/>
    <w:rsid w:val="00E307AE"/>
    <w:rsid w:val="00E30896"/>
    <w:rsid w:val="00E308AC"/>
    <w:rsid w:val="00E30972"/>
    <w:rsid w:val="00E30A37"/>
    <w:rsid w:val="00E30B60"/>
    <w:rsid w:val="00E30CD7"/>
    <w:rsid w:val="00E30D37"/>
    <w:rsid w:val="00E30D84"/>
    <w:rsid w:val="00E30E91"/>
    <w:rsid w:val="00E30EA4"/>
    <w:rsid w:val="00E310C1"/>
    <w:rsid w:val="00E31113"/>
    <w:rsid w:val="00E31159"/>
    <w:rsid w:val="00E3139E"/>
    <w:rsid w:val="00E313DA"/>
    <w:rsid w:val="00E31403"/>
    <w:rsid w:val="00E31491"/>
    <w:rsid w:val="00E314AF"/>
    <w:rsid w:val="00E3161C"/>
    <w:rsid w:val="00E316D2"/>
    <w:rsid w:val="00E316D9"/>
    <w:rsid w:val="00E316E6"/>
    <w:rsid w:val="00E3171E"/>
    <w:rsid w:val="00E31749"/>
    <w:rsid w:val="00E3184A"/>
    <w:rsid w:val="00E318E7"/>
    <w:rsid w:val="00E31A44"/>
    <w:rsid w:val="00E31AD7"/>
    <w:rsid w:val="00E31D82"/>
    <w:rsid w:val="00E31DD4"/>
    <w:rsid w:val="00E31EAC"/>
    <w:rsid w:val="00E32142"/>
    <w:rsid w:val="00E32209"/>
    <w:rsid w:val="00E32251"/>
    <w:rsid w:val="00E322FC"/>
    <w:rsid w:val="00E32356"/>
    <w:rsid w:val="00E32404"/>
    <w:rsid w:val="00E325E4"/>
    <w:rsid w:val="00E32637"/>
    <w:rsid w:val="00E3269C"/>
    <w:rsid w:val="00E326C5"/>
    <w:rsid w:val="00E326EE"/>
    <w:rsid w:val="00E327C6"/>
    <w:rsid w:val="00E327D7"/>
    <w:rsid w:val="00E3283A"/>
    <w:rsid w:val="00E328FC"/>
    <w:rsid w:val="00E32977"/>
    <w:rsid w:val="00E3299F"/>
    <w:rsid w:val="00E32A17"/>
    <w:rsid w:val="00E32B6D"/>
    <w:rsid w:val="00E32BCD"/>
    <w:rsid w:val="00E32D5F"/>
    <w:rsid w:val="00E32E81"/>
    <w:rsid w:val="00E32EAE"/>
    <w:rsid w:val="00E32ED3"/>
    <w:rsid w:val="00E32F34"/>
    <w:rsid w:val="00E330AF"/>
    <w:rsid w:val="00E330C8"/>
    <w:rsid w:val="00E330D9"/>
    <w:rsid w:val="00E33128"/>
    <w:rsid w:val="00E33180"/>
    <w:rsid w:val="00E331BE"/>
    <w:rsid w:val="00E331DB"/>
    <w:rsid w:val="00E331FC"/>
    <w:rsid w:val="00E332A7"/>
    <w:rsid w:val="00E3334C"/>
    <w:rsid w:val="00E3335C"/>
    <w:rsid w:val="00E3342B"/>
    <w:rsid w:val="00E334C6"/>
    <w:rsid w:val="00E3351C"/>
    <w:rsid w:val="00E335B8"/>
    <w:rsid w:val="00E336C1"/>
    <w:rsid w:val="00E33740"/>
    <w:rsid w:val="00E33949"/>
    <w:rsid w:val="00E33950"/>
    <w:rsid w:val="00E33A0C"/>
    <w:rsid w:val="00E33A10"/>
    <w:rsid w:val="00E33A69"/>
    <w:rsid w:val="00E33AC1"/>
    <w:rsid w:val="00E33B0C"/>
    <w:rsid w:val="00E33BFB"/>
    <w:rsid w:val="00E33C35"/>
    <w:rsid w:val="00E33D44"/>
    <w:rsid w:val="00E33D7F"/>
    <w:rsid w:val="00E340A7"/>
    <w:rsid w:val="00E340F7"/>
    <w:rsid w:val="00E341CB"/>
    <w:rsid w:val="00E34228"/>
    <w:rsid w:val="00E34229"/>
    <w:rsid w:val="00E342DA"/>
    <w:rsid w:val="00E3430D"/>
    <w:rsid w:val="00E343BB"/>
    <w:rsid w:val="00E344F1"/>
    <w:rsid w:val="00E34500"/>
    <w:rsid w:val="00E34514"/>
    <w:rsid w:val="00E3464D"/>
    <w:rsid w:val="00E3471F"/>
    <w:rsid w:val="00E3483F"/>
    <w:rsid w:val="00E34914"/>
    <w:rsid w:val="00E34A69"/>
    <w:rsid w:val="00E34ADF"/>
    <w:rsid w:val="00E34AE0"/>
    <w:rsid w:val="00E34C22"/>
    <w:rsid w:val="00E34C29"/>
    <w:rsid w:val="00E34DAF"/>
    <w:rsid w:val="00E34DB5"/>
    <w:rsid w:val="00E34E2A"/>
    <w:rsid w:val="00E3509C"/>
    <w:rsid w:val="00E3510D"/>
    <w:rsid w:val="00E3515F"/>
    <w:rsid w:val="00E3517F"/>
    <w:rsid w:val="00E35219"/>
    <w:rsid w:val="00E3526E"/>
    <w:rsid w:val="00E352E0"/>
    <w:rsid w:val="00E35448"/>
    <w:rsid w:val="00E354A1"/>
    <w:rsid w:val="00E3552D"/>
    <w:rsid w:val="00E356AF"/>
    <w:rsid w:val="00E356D4"/>
    <w:rsid w:val="00E35750"/>
    <w:rsid w:val="00E357BE"/>
    <w:rsid w:val="00E35849"/>
    <w:rsid w:val="00E358CD"/>
    <w:rsid w:val="00E359EC"/>
    <w:rsid w:val="00E35A43"/>
    <w:rsid w:val="00E35BB4"/>
    <w:rsid w:val="00E35BBB"/>
    <w:rsid w:val="00E35BC0"/>
    <w:rsid w:val="00E35D56"/>
    <w:rsid w:val="00E35DD6"/>
    <w:rsid w:val="00E35ECF"/>
    <w:rsid w:val="00E35ED6"/>
    <w:rsid w:val="00E35F3B"/>
    <w:rsid w:val="00E360A0"/>
    <w:rsid w:val="00E36209"/>
    <w:rsid w:val="00E3623E"/>
    <w:rsid w:val="00E36283"/>
    <w:rsid w:val="00E36362"/>
    <w:rsid w:val="00E363AB"/>
    <w:rsid w:val="00E365E2"/>
    <w:rsid w:val="00E365F6"/>
    <w:rsid w:val="00E36633"/>
    <w:rsid w:val="00E36669"/>
    <w:rsid w:val="00E3670A"/>
    <w:rsid w:val="00E367DB"/>
    <w:rsid w:val="00E368B7"/>
    <w:rsid w:val="00E369A2"/>
    <w:rsid w:val="00E369B4"/>
    <w:rsid w:val="00E369CB"/>
    <w:rsid w:val="00E36A3D"/>
    <w:rsid w:val="00E36A40"/>
    <w:rsid w:val="00E36B49"/>
    <w:rsid w:val="00E36C18"/>
    <w:rsid w:val="00E36C2F"/>
    <w:rsid w:val="00E36D78"/>
    <w:rsid w:val="00E36F20"/>
    <w:rsid w:val="00E36FFD"/>
    <w:rsid w:val="00E37037"/>
    <w:rsid w:val="00E37042"/>
    <w:rsid w:val="00E370AF"/>
    <w:rsid w:val="00E3711F"/>
    <w:rsid w:val="00E371E2"/>
    <w:rsid w:val="00E371E6"/>
    <w:rsid w:val="00E3734B"/>
    <w:rsid w:val="00E3734E"/>
    <w:rsid w:val="00E37434"/>
    <w:rsid w:val="00E3760A"/>
    <w:rsid w:val="00E377F0"/>
    <w:rsid w:val="00E3785C"/>
    <w:rsid w:val="00E3795F"/>
    <w:rsid w:val="00E37997"/>
    <w:rsid w:val="00E379B3"/>
    <w:rsid w:val="00E37A4C"/>
    <w:rsid w:val="00E37BD9"/>
    <w:rsid w:val="00E37C4D"/>
    <w:rsid w:val="00E37D5B"/>
    <w:rsid w:val="00E37DDF"/>
    <w:rsid w:val="00E37E3A"/>
    <w:rsid w:val="00E37E79"/>
    <w:rsid w:val="00E40267"/>
    <w:rsid w:val="00E402AE"/>
    <w:rsid w:val="00E4046F"/>
    <w:rsid w:val="00E404F4"/>
    <w:rsid w:val="00E40626"/>
    <w:rsid w:val="00E40652"/>
    <w:rsid w:val="00E406B2"/>
    <w:rsid w:val="00E40726"/>
    <w:rsid w:val="00E4072E"/>
    <w:rsid w:val="00E40749"/>
    <w:rsid w:val="00E4085D"/>
    <w:rsid w:val="00E4088B"/>
    <w:rsid w:val="00E409BE"/>
    <w:rsid w:val="00E409F2"/>
    <w:rsid w:val="00E40A1B"/>
    <w:rsid w:val="00E40B25"/>
    <w:rsid w:val="00E40B2B"/>
    <w:rsid w:val="00E40D13"/>
    <w:rsid w:val="00E40D28"/>
    <w:rsid w:val="00E40D35"/>
    <w:rsid w:val="00E40DAF"/>
    <w:rsid w:val="00E40E9B"/>
    <w:rsid w:val="00E41021"/>
    <w:rsid w:val="00E4105E"/>
    <w:rsid w:val="00E4108D"/>
    <w:rsid w:val="00E41164"/>
    <w:rsid w:val="00E4126E"/>
    <w:rsid w:val="00E41328"/>
    <w:rsid w:val="00E41375"/>
    <w:rsid w:val="00E41402"/>
    <w:rsid w:val="00E41418"/>
    <w:rsid w:val="00E41426"/>
    <w:rsid w:val="00E414BB"/>
    <w:rsid w:val="00E41522"/>
    <w:rsid w:val="00E4152C"/>
    <w:rsid w:val="00E41531"/>
    <w:rsid w:val="00E415C8"/>
    <w:rsid w:val="00E4164A"/>
    <w:rsid w:val="00E4177B"/>
    <w:rsid w:val="00E417AE"/>
    <w:rsid w:val="00E418E4"/>
    <w:rsid w:val="00E418F4"/>
    <w:rsid w:val="00E41902"/>
    <w:rsid w:val="00E419BB"/>
    <w:rsid w:val="00E41BCE"/>
    <w:rsid w:val="00E41BEF"/>
    <w:rsid w:val="00E41C03"/>
    <w:rsid w:val="00E41C36"/>
    <w:rsid w:val="00E41C58"/>
    <w:rsid w:val="00E41C78"/>
    <w:rsid w:val="00E41DF8"/>
    <w:rsid w:val="00E41E2E"/>
    <w:rsid w:val="00E41E4F"/>
    <w:rsid w:val="00E41FB6"/>
    <w:rsid w:val="00E41FDE"/>
    <w:rsid w:val="00E42150"/>
    <w:rsid w:val="00E42156"/>
    <w:rsid w:val="00E42183"/>
    <w:rsid w:val="00E4225C"/>
    <w:rsid w:val="00E4229B"/>
    <w:rsid w:val="00E422E7"/>
    <w:rsid w:val="00E422EA"/>
    <w:rsid w:val="00E42399"/>
    <w:rsid w:val="00E423CB"/>
    <w:rsid w:val="00E423FB"/>
    <w:rsid w:val="00E42526"/>
    <w:rsid w:val="00E42547"/>
    <w:rsid w:val="00E42560"/>
    <w:rsid w:val="00E426BD"/>
    <w:rsid w:val="00E4271D"/>
    <w:rsid w:val="00E4273C"/>
    <w:rsid w:val="00E427C4"/>
    <w:rsid w:val="00E427E9"/>
    <w:rsid w:val="00E4286D"/>
    <w:rsid w:val="00E429A5"/>
    <w:rsid w:val="00E429B7"/>
    <w:rsid w:val="00E42B1C"/>
    <w:rsid w:val="00E42BCD"/>
    <w:rsid w:val="00E42BEB"/>
    <w:rsid w:val="00E42C5F"/>
    <w:rsid w:val="00E42CD2"/>
    <w:rsid w:val="00E42D55"/>
    <w:rsid w:val="00E43031"/>
    <w:rsid w:val="00E430CD"/>
    <w:rsid w:val="00E430D6"/>
    <w:rsid w:val="00E4317E"/>
    <w:rsid w:val="00E431C7"/>
    <w:rsid w:val="00E43270"/>
    <w:rsid w:val="00E4328A"/>
    <w:rsid w:val="00E4334D"/>
    <w:rsid w:val="00E433C9"/>
    <w:rsid w:val="00E43561"/>
    <w:rsid w:val="00E43593"/>
    <w:rsid w:val="00E435B7"/>
    <w:rsid w:val="00E4361D"/>
    <w:rsid w:val="00E43635"/>
    <w:rsid w:val="00E43831"/>
    <w:rsid w:val="00E43842"/>
    <w:rsid w:val="00E43AD8"/>
    <w:rsid w:val="00E43DBA"/>
    <w:rsid w:val="00E43F0E"/>
    <w:rsid w:val="00E43F5D"/>
    <w:rsid w:val="00E43F7E"/>
    <w:rsid w:val="00E43F8A"/>
    <w:rsid w:val="00E43F9F"/>
    <w:rsid w:val="00E44248"/>
    <w:rsid w:val="00E44365"/>
    <w:rsid w:val="00E4436E"/>
    <w:rsid w:val="00E444F2"/>
    <w:rsid w:val="00E445B6"/>
    <w:rsid w:val="00E4466F"/>
    <w:rsid w:val="00E4468C"/>
    <w:rsid w:val="00E44764"/>
    <w:rsid w:val="00E44765"/>
    <w:rsid w:val="00E4482A"/>
    <w:rsid w:val="00E4482E"/>
    <w:rsid w:val="00E4492C"/>
    <w:rsid w:val="00E44989"/>
    <w:rsid w:val="00E4498B"/>
    <w:rsid w:val="00E44B70"/>
    <w:rsid w:val="00E44BB1"/>
    <w:rsid w:val="00E44BBC"/>
    <w:rsid w:val="00E44C4D"/>
    <w:rsid w:val="00E44C87"/>
    <w:rsid w:val="00E44CE4"/>
    <w:rsid w:val="00E44CFC"/>
    <w:rsid w:val="00E44D75"/>
    <w:rsid w:val="00E44D90"/>
    <w:rsid w:val="00E44F79"/>
    <w:rsid w:val="00E44FA9"/>
    <w:rsid w:val="00E4502F"/>
    <w:rsid w:val="00E45062"/>
    <w:rsid w:val="00E4506F"/>
    <w:rsid w:val="00E45095"/>
    <w:rsid w:val="00E450B3"/>
    <w:rsid w:val="00E4538C"/>
    <w:rsid w:val="00E453CF"/>
    <w:rsid w:val="00E45420"/>
    <w:rsid w:val="00E45477"/>
    <w:rsid w:val="00E4548D"/>
    <w:rsid w:val="00E454A1"/>
    <w:rsid w:val="00E454BA"/>
    <w:rsid w:val="00E456D0"/>
    <w:rsid w:val="00E458C0"/>
    <w:rsid w:val="00E45A3F"/>
    <w:rsid w:val="00E45A4E"/>
    <w:rsid w:val="00E45A60"/>
    <w:rsid w:val="00E45A8D"/>
    <w:rsid w:val="00E45B13"/>
    <w:rsid w:val="00E45B38"/>
    <w:rsid w:val="00E45B54"/>
    <w:rsid w:val="00E45C5C"/>
    <w:rsid w:val="00E45E5F"/>
    <w:rsid w:val="00E46036"/>
    <w:rsid w:val="00E4610B"/>
    <w:rsid w:val="00E46112"/>
    <w:rsid w:val="00E46172"/>
    <w:rsid w:val="00E4637C"/>
    <w:rsid w:val="00E4646B"/>
    <w:rsid w:val="00E46736"/>
    <w:rsid w:val="00E467DE"/>
    <w:rsid w:val="00E46AC6"/>
    <w:rsid w:val="00E46AE3"/>
    <w:rsid w:val="00E46B60"/>
    <w:rsid w:val="00E46BBE"/>
    <w:rsid w:val="00E46BEC"/>
    <w:rsid w:val="00E46CA7"/>
    <w:rsid w:val="00E46CC1"/>
    <w:rsid w:val="00E46E1B"/>
    <w:rsid w:val="00E46F4F"/>
    <w:rsid w:val="00E46F8A"/>
    <w:rsid w:val="00E4709E"/>
    <w:rsid w:val="00E47158"/>
    <w:rsid w:val="00E47192"/>
    <w:rsid w:val="00E47289"/>
    <w:rsid w:val="00E47410"/>
    <w:rsid w:val="00E474BE"/>
    <w:rsid w:val="00E474ED"/>
    <w:rsid w:val="00E4750E"/>
    <w:rsid w:val="00E47519"/>
    <w:rsid w:val="00E47576"/>
    <w:rsid w:val="00E475AF"/>
    <w:rsid w:val="00E47653"/>
    <w:rsid w:val="00E4766F"/>
    <w:rsid w:val="00E476E7"/>
    <w:rsid w:val="00E47761"/>
    <w:rsid w:val="00E4778C"/>
    <w:rsid w:val="00E47804"/>
    <w:rsid w:val="00E47875"/>
    <w:rsid w:val="00E47921"/>
    <w:rsid w:val="00E47A0A"/>
    <w:rsid w:val="00E47AAC"/>
    <w:rsid w:val="00E47CF2"/>
    <w:rsid w:val="00E47FB2"/>
    <w:rsid w:val="00E5003F"/>
    <w:rsid w:val="00E500BE"/>
    <w:rsid w:val="00E50175"/>
    <w:rsid w:val="00E50223"/>
    <w:rsid w:val="00E50240"/>
    <w:rsid w:val="00E502A1"/>
    <w:rsid w:val="00E50343"/>
    <w:rsid w:val="00E503A5"/>
    <w:rsid w:val="00E50413"/>
    <w:rsid w:val="00E504A7"/>
    <w:rsid w:val="00E504BF"/>
    <w:rsid w:val="00E5054A"/>
    <w:rsid w:val="00E505BD"/>
    <w:rsid w:val="00E50777"/>
    <w:rsid w:val="00E50792"/>
    <w:rsid w:val="00E508BA"/>
    <w:rsid w:val="00E5096C"/>
    <w:rsid w:val="00E50987"/>
    <w:rsid w:val="00E50A4D"/>
    <w:rsid w:val="00E50A62"/>
    <w:rsid w:val="00E50AD0"/>
    <w:rsid w:val="00E50AD9"/>
    <w:rsid w:val="00E50B2F"/>
    <w:rsid w:val="00E50BD0"/>
    <w:rsid w:val="00E50BF4"/>
    <w:rsid w:val="00E50D33"/>
    <w:rsid w:val="00E50D48"/>
    <w:rsid w:val="00E50D9A"/>
    <w:rsid w:val="00E50FAD"/>
    <w:rsid w:val="00E510E7"/>
    <w:rsid w:val="00E5114A"/>
    <w:rsid w:val="00E51159"/>
    <w:rsid w:val="00E5160B"/>
    <w:rsid w:val="00E51628"/>
    <w:rsid w:val="00E5162E"/>
    <w:rsid w:val="00E517D2"/>
    <w:rsid w:val="00E51999"/>
    <w:rsid w:val="00E51B54"/>
    <w:rsid w:val="00E51B7A"/>
    <w:rsid w:val="00E51BDA"/>
    <w:rsid w:val="00E51C5B"/>
    <w:rsid w:val="00E51C89"/>
    <w:rsid w:val="00E51CBB"/>
    <w:rsid w:val="00E51CC3"/>
    <w:rsid w:val="00E51CEC"/>
    <w:rsid w:val="00E51D12"/>
    <w:rsid w:val="00E51E7A"/>
    <w:rsid w:val="00E51F23"/>
    <w:rsid w:val="00E522DB"/>
    <w:rsid w:val="00E522ED"/>
    <w:rsid w:val="00E5232A"/>
    <w:rsid w:val="00E5243E"/>
    <w:rsid w:val="00E524BA"/>
    <w:rsid w:val="00E52634"/>
    <w:rsid w:val="00E52644"/>
    <w:rsid w:val="00E52815"/>
    <w:rsid w:val="00E52898"/>
    <w:rsid w:val="00E529A9"/>
    <w:rsid w:val="00E529F4"/>
    <w:rsid w:val="00E52A3E"/>
    <w:rsid w:val="00E52E38"/>
    <w:rsid w:val="00E52FA4"/>
    <w:rsid w:val="00E52FC7"/>
    <w:rsid w:val="00E530B7"/>
    <w:rsid w:val="00E530F1"/>
    <w:rsid w:val="00E5324A"/>
    <w:rsid w:val="00E533D9"/>
    <w:rsid w:val="00E533F6"/>
    <w:rsid w:val="00E534A9"/>
    <w:rsid w:val="00E53512"/>
    <w:rsid w:val="00E535D9"/>
    <w:rsid w:val="00E5360A"/>
    <w:rsid w:val="00E53614"/>
    <w:rsid w:val="00E53723"/>
    <w:rsid w:val="00E53741"/>
    <w:rsid w:val="00E53944"/>
    <w:rsid w:val="00E5396A"/>
    <w:rsid w:val="00E53A19"/>
    <w:rsid w:val="00E53AA0"/>
    <w:rsid w:val="00E53AC9"/>
    <w:rsid w:val="00E53AEF"/>
    <w:rsid w:val="00E53CD4"/>
    <w:rsid w:val="00E53D46"/>
    <w:rsid w:val="00E53E49"/>
    <w:rsid w:val="00E53EC4"/>
    <w:rsid w:val="00E53F37"/>
    <w:rsid w:val="00E53F5A"/>
    <w:rsid w:val="00E53FB5"/>
    <w:rsid w:val="00E54084"/>
    <w:rsid w:val="00E540C5"/>
    <w:rsid w:val="00E542AA"/>
    <w:rsid w:val="00E5454F"/>
    <w:rsid w:val="00E5456B"/>
    <w:rsid w:val="00E546A0"/>
    <w:rsid w:val="00E546BD"/>
    <w:rsid w:val="00E5475A"/>
    <w:rsid w:val="00E5489A"/>
    <w:rsid w:val="00E549F0"/>
    <w:rsid w:val="00E54B3F"/>
    <w:rsid w:val="00E54B4F"/>
    <w:rsid w:val="00E54B61"/>
    <w:rsid w:val="00E54BC5"/>
    <w:rsid w:val="00E54C35"/>
    <w:rsid w:val="00E54C96"/>
    <w:rsid w:val="00E54DBA"/>
    <w:rsid w:val="00E54DCF"/>
    <w:rsid w:val="00E54E72"/>
    <w:rsid w:val="00E54EA0"/>
    <w:rsid w:val="00E54FE7"/>
    <w:rsid w:val="00E54FE8"/>
    <w:rsid w:val="00E55042"/>
    <w:rsid w:val="00E5515B"/>
    <w:rsid w:val="00E55180"/>
    <w:rsid w:val="00E5534C"/>
    <w:rsid w:val="00E5537F"/>
    <w:rsid w:val="00E55392"/>
    <w:rsid w:val="00E5541A"/>
    <w:rsid w:val="00E5544A"/>
    <w:rsid w:val="00E554BF"/>
    <w:rsid w:val="00E554EF"/>
    <w:rsid w:val="00E55504"/>
    <w:rsid w:val="00E55547"/>
    <w:rsid w:val="00E5556F"/>
    <w:rsid w:val="00E555B5"/>
    <w:rsid w:val="00E55746"/>
    <w:rsid w:val="00E557AD"/>
    <w:rsid w:val="00E55807"/>
    <w:rsid w:val="00E558FC"/>
    <w:rsid w:val="00E55921"/>
    <w:rsid w:val="00E55B6F"/>
    <w:rsid w:val="00E55B9D"/>
    <w:rsid w:val="00E55C32"/>
    <w:rsid w:val="00E55D1A"/>
    <w:rsid w:val="00E55E07"/>
    <w:rsid w:val="00E55FC2"/>
    <w:rsid w:val="00E56053"/>
    <w:rsid w:val="00E56075"/>
    <w:rsid w:val="00E560E3"/>
    <w:rsid w:val="00E5610A"/>
    <w:rsid w:val="00E56172"/>
    <w:rsid w:val="00E5622F"/>
    <w:rsid w:val="00E56323"/>
    <w:rsid w:val="00E563C3"/>
    <w:rsid w:val="00E563E5"/>
    <w:rsid w:val="00E564DC"/>
    <w:rsid w:val="00E5652C"/>
    <w:rsid w:val="00E56547"/>
    <w:rsid w:val="00E5668D"/>
    <w:rsid w:val="00E569D2"/>
    <w:rsid w:val="00E569D4"/>
    <w:rsid w:val="00E569E9"/>
    <w:rsid w:val="00E56A33"/>
    <w:rsid w:val="00E56A98"/>
    <w:rsid w:val="00E56ABC"/>
    <w:rsid w:val="00E56B52"/>
    <w:rsid w:val="00E56B5A"/>
    <w:rsid w:val="00E56C4F"/>
    <w:rsid w:val="00E56C90"/>
    <w:rsid w:val="00E56D01"/>
    <w:rsid w:val="00E56DE1"/>
    <w:rsid w:val="00E56EAB"/>
    <w:rsid w:val="00E56F4F"/>
    <w:rsid w:val="00E56FE3"/>
    <w:rsid w:val="00E5707A"/>
    <w:rsid w:val="00E5713B"/>
    <w:rsid w:val="00E571D1"/>
    <w:rsid w:val="00E5721A"/>
    <w:rsid w:val="00E57341"/>
    <w:rsid w:val="00E573D0"/>
    <w:rsid w:val="00E5757A"/>
    <w:rsid w:val="00E576A9"/>
    <w:rsid w:val="00E57A32"/>
    <w:rsid w:val="00E57A91"/>
    <w:rsid w:val="00E57BBD"/>
    <w:rsid w:val="00E57C49"/>
    <w:rsid w:val="00E57C5B"/>
    <w:rsid w:val="00E57C66"/>
    <w:rsid w:val="00E57DAB"/>
    <w:rsid w:val="00E57DE7"/>
    <w:rsid w:val="00E57EAD"/>
    <w:rsid w:val="00E6001E"/>
    <w:rsid w:val="00E60073"/>
    <w:rsid w:val="00E600B1"/>
    <w:rsid w:val="00E600D5"/>
    <w:rsid w:val="00E60139"/>
    <w:rsid w:val="00E601CB"/>
    <w:rsid w:val="00E60214"/>
    <w:rsid w:val="00E60348"/>
    <w:rsid w:val="00E603B6"/>
    <w:rsid w:val="00E603BD"/>
    <w:rsid w:val="00E604B2"/>
    <w:rsid w:val="00E604BD"/>
    <w:rsid w:val="00E60614"/>
    <w:rsid w:val="00E60667"/>
    <w:rsid w:val="00E60702"/>
    <w:rsid w:val="00E60747"/>
    <w:rsid w:val="00E607CB"/>
    <w:rsid w:val="00E60849"/>
    <w:rsid w:val="00E6092E"/>
    <w:rsid w:val="00E609B0"/>
    <w:rsid w:val="00E60A05"/>
    <w:rsid w:val="00E60A77"/>
    <w:rsid w:val="00E60ADA"/>
    <w:rsid w:val="00E60C96"/>
    <w:rsid w:val="00E60D3B"/>
    <w:rsid w:val="00E60E6F"/>
    <w:rsid w:val="00E60E93"/>
    <w:rsid w:val="00E60F49"/>
    <w:rsid w:val="00E60F93"/>
    <w:rsid w:val="00E61085"/>
    <w:rsid w:val="00E610AB"/>
    <w:rsid w:val="00E6112D"/>
    <w:rsid w:val="00E61161"/>
    <w:rsid w:val="00E611D4"/>
    <w:rsid w:val="00E61225"/>
    <w:rsid w:val="00E6124F"/>
    <w:rsid w:val="00E61270"/>
    <w:rsid w:val="00E613E9"/>
    <w:rsid w:val="00E614D7"/>
    <w:rsid w:val="00E614EC"/>
    <w:rsid w:val="00E61532"/>
    <w:rsid w:val="00E61536"/>
    <w:rsid w:val="00E6154C"/>
    <w:rsid w:val="00E6158D"/>
    <w:rsid w:val="00E61660"/>
    <w:rsid w:val="00E616F0"/>
    <w:rsid w:val="00E61873"/>
    <w:rsid w:val="00E61A4C"/>
    <w:rsid w:val="00E61A53"/>
    <w:rsid w:val="00E61AEF"/>
    <w:rsid w:val="00E61B32"/>
    <w:rsid w:val="00E61BBE"/>
    <w:rsid w:val="00E61C2E"/>
    <w:rsid w:val="00E61D8B"/>
    <w:rsid w:val="00E61E76"/>
    <w:rsid w:val="00E61EF3"/>
    <w:rsid w:val="00E61FDF"/>
    <w:rsid w:val="00E623B5"/>
    <w:rsid w:val="00E625EF"/>
    <w:rsid w:val="00E62707"/>
    <w:rsid w:val="00E627F8"/>
    <w:rsid w:val="00E6283C"/>
    <w:rsid w:val="00E62989"/>
    <w:rsid w:val="00E6298F"/>
    <w:rsid w:val="00E62A0F"/>
    <w:rsid w:val="00E62B75"/>
    <w:rsid w:val="00E62B85"/>
    <w:rsid w:val="00E62BC5"/>
    <w:rsid w:val="00E62BF3"/>
    <w:rsid w:val="00E62C68"/>
    <w:rsid w:val="00E62C6E"/>
    <w:rsid w:val="00E62D22"/>
    <w:rsid w:val="00E62D3B"/>
    <w:rsid w:val="00E62E71"/>
    <w:rsid w:val="00E62F64"/>
    <w:rsid w:val="00E63105"/>
    <w:rsid w:val="00E63138"/>
    <w:rsid w:val="00E63141"/>
    <w:rsid w:val="00E631E8"/>
    <w:rsid w:val="00E63236"/>
    <w:rsid w:val="00E6327A"/>
    <w:rsid w:val="00E63469"/>
    <w:rsid w:val="00E63570"/>
    <w:rsid w:val="00E63575"/>
    <w:rsid w:val="00E635B5"/>
    <w:rsid w:val="00E635F1"/>
    <w:rsid w:val="00E6364B"/>
    <w:rsid w:val="00E637A1"/>
    <w:rsid w:val="00E63830"/>
    <w:rsid w:val="00E63836"/>
    <w:rsid w:val="00E6387C"/>
    <w:rsid w:val="00E639AD"/>
    <w:rsid w:val="00E63A85"/>
    <w:rsid w:val="00E63A97"/>
    <w:rsid w:val="00E63B07"/>
    <w:rsid w:val="00E63BE3"/>
    <w:rsid w:val="00E63D2A"/>
    <w:rsid w:val="00E63D65"/>
    <w:rsid w:val="00E63D76"/>
    <w:rsid w:val="00E63DDF"/>
    <w:rsid w:val="00E63DE1"/>
    <w:rsid w:val="00E63E1E"/>
    <w:rsid w:val="00E63FDA"/>
    <w:rsid w:val="00E64093"/>
    <w:rsid w:val="00E640C3"/>
    <w:rsid w:val="00E64145"/>
    <w:rsid w:val="00E6424F"/>
    <w:rsid w:val="00E64252"/>
    <w:rsid w:val="00E6431F"/>
    <w:rsid w:val="00E64360"/>
    <w:rsid w:val="00E644FE"/>
    <w:rsid w:val="00E645DF"/>
    <w:rsid w:val="00E6460D"/>
    <w:rsid w:val="00E64643"/>
    <w:rsid w:val="00E64646"/>
    <w:rsid w:val="00E648AB"/>
    <w:rsid w:val="00E648C7"/>
    <w:rsid w:val="00E649DF"/>
    <w:rsid w:val="00E64AAB"/>
    <w:rsid w:val="00E64B27"/>
    <w:rsid w:val="00E64C29"/>
    <w:rsid w:val="00E64DDD"/>
    <w:rsid w:val="00E64E45"/>
    <w:rsid w:val="00E64F30"/>
    <w:rsid w:val="00E64F36"/>
    <w:rsid w:val="00E64F89"/>
    <w:rsid w:val="00E65107"/>
    <w:rsid w:val="00E6525A"/>
    <w:rsid w:val="00E65283"/>
    <w:rsid w:val="00E652A5"/>
    <w:rsid w:val="00E653FC"/>
    <w:rsid w:val="00E656BE"/>
    <w:rsid w:val="00E65721"/>
    <w:rsid w:val="00E65754"/>
    <w:rsid w:val="00E657B8"/>
    <w:rsid w:val="00E658BE"/>
    <w:rsid w:val="00E6590B"/>
    <w:rsid w:val="00E65A41"/>
    <w:rsid w:val="00E65DDC"/>
    <w:rsid w:val="00E66101"/>
    <w:rsid w:val="00E66187"/>
    <w:rsid w:val="00E66240"/>
    <w:rsid w:val="00E6625D"/>
    <w:rsid w:val="00E66260"/>
    <w:rsid w:val="00E66261"/>
    <w:rsid w:val="00E663BD"/>
    <w:rsid w:val="00E6647F"/>
    <w:rsid w:val="00E66580"/>
    <w:rsid w:val="00E666D3"/>
    <w:rsid w:val="00E6686A"/>
    <w:rsid w:val="00E66AA8"/>
    <w:rsid w:val="00E66AF1"/>
    <w:rsid w:val="00E66B66"/>
    <w:rsid w:val="00E66D97"/>
    <w:rsid w:val="00E66E73"/>
    <w:rsid w:val="00E67054"/>
    <w:rsid w:val="00E6712E"/>
    <w:rsid w:val="00E67149"/>
    <w:rsid w:val="00E671A9"/>
    <w:rsid w:val="00E6722A"/>
    <w:rsid w:val="00E67317"/>
    <w:rsid w:val="00E67369"/>
    <w:rsid w:val="00E67399"/>
    <w:rsid w:val="00E673BE"/>
    <w:rsid w:val="00E67415"/>
    <w:rsid w:val="00E6742A"/>
    <w:rsid w:val="00E674D0"/>
    <w:rsid w:val="00E6754A"/>
    <w:rsid w:val="00E6761B"/>
    <w:rsid w:val="00E676C8"/>
    <w:rsid w:val="00E67759"/>
    <w:rsid w:val="00E6780A"/>
    <w:rsid w:val="00E67875"/>
    <w:rsid w:val="00E6797F"/>
    <w:rsid w:val="00E67AA3"/>
    <w:rsid w:val="00E67B03"/>
    <w:rsid w:val="00E67B4F"/>
    <w:rsid w:val="00E67BA2"/>
    <w:rsid w:val="00E67BF4"/>
    <w:rsid w:val="00E67C6F"/>
    <w:rsid w:val="00E67D81"/>
    <w:rsid w:val="00E67DF5"/>
    <w:rsid w:val="00E67F15"/>
    <w:rsid w:val="00E67F36"/>
    <w:rsid w:val="00E70065"/>
    <w:rsid w:val="00E700C2"/>
    <w:rsid w:val="00E700E3"/>
    <w:rsid w:val="00E70119"/>
    <w:rsid w:val="00E701D5"/>
    <w:rsid w:val="00E70286"/>
    <w:rsid w:val="00E70486"/>
    <w:rsid w:val="00E70548"/>
    <w:rsid w:val="00E706BF"/>
    <w:rsid w:val="00E7085C"/>
    <w:rsid w:val="00E708E6"/>
    <w:rsid w:val="00E70989"/>
    <w:rsid w:val="00E70991"/>
    <w:rsid w:val="00E709FF"/>
    <w:rsid w:val="00E70B0F"/>
    <w:rsid w:val="00E70B89"/>
    <w:rsid w:val="00E70C5A"/>
    <w:rsid w:val="00E70D06"/>
    <w:rsid w:val="00E70DAC"/>
    <w:rsid w:val="00E70E7F"/>
    <w:rsid w:val="00E70F0B"/>
    <w:rsid w:val="00E710B5"/>
    <w:rsid w:val="00E71117"/>
    <w:rsid w:val="00E7112B"/>
    <w:rsid w:val="00E7115C"/>
    <w:rsid w:val="00E712A4"/>
    <w:rsid w:val="00E713D1"/>
    <w:rsid w:val="00E71440"/>
    <w:rsid w:val="00E71536"/>
    <w:rsid w:val="00E71560"/>
    <w:rsid w:val="00E715E0"/>
    <w:rsid w:val="00E71672"/>
    <w:rsid w:val="00E716B0"/>
    <w:rsid w:val="00E717C3"/>
    <w:rsid w:val="00E717CA"/>
    <w:rsid w:val="00E717F8"/>
    <w:rsid w:val="00E71861"/>
    <w:rsid w:val="00E71AE7"/>
    <w:rsid w:val="00E71AEE"/>
    <w:rsid w:val="00E71B0F"/>
    <w:rsid w:val="00E71B38"/>
    <w:rsid w:val="00E71CB9"/>
    <w:rsid w:val="00E71D80"/>
    <w:rsid w:val="00E71E2A"/>
    <w:rsid w:val="00E71EB4"/>
    <w:rsid w:val="00E720D9"/>
    <w:rsid w:val="00E721D2"/>
    <w:rsid w:val="00E722E4"/>
    <w:rsid w:val="00E7243F"/>
    <w:rsid w:val="00E72553"/>
    <w:rsid w:val="00E72609"/>
    <w:rsid w:val="00E7265D"/>
    <w:rsid w:val="00E72673"/>
    <w:rsid w:val="00E726A4"/>
    <w:rsid w:val="00E7273C"/>
    <w:rsid w:val="00E72758"/>
    <w:rsid w:val="00E72787"/>
    <w:rsid w:val="00E7278D"/>
    <w:rsid w:val="00E727C5"/>
    <w:rsid w:val="00E727F6"/>
    <w:rsid w:val="00E72948"/>
    <w:rsid w:val="00E729BC"/>
    <w:rsid w:val="00E729F9"/>
    <w:rsid w:val="00E72A03"/>
    <w:rsid w:val="00E72B21"/>
    <w:rsid w:val="00E72B55"/>
    <w:rsid w:val="00E72B84"/>
    <w:rsid w:val="00E72BA7"/>
    <w:rsid w:val="00E72C6D"/>
    <w:rsid w:val="00E72D15"/>
    <w:rsid w:val="00E72E86"/>
    <w:rsid w:val="00E72F15"/>
    <w:rsid w:val="00E73195"/>
    <w:rsid w:val="00E73325"/>
    <w:rsid w:val="00E7335B"/>
    <w:rsid w:val="00E73395"/>
    <w:rsid w:val="00E735E1"/>
    <w:rsid w:val="00E73775"/>
    <w:rsid w:val="00E737B9"/>
    <w:rsid w:val="00E739AE"/>
    <w:rsid w:val="00E739C2"/>
    <w:rsid w:val="00E73A00"/>
    <w:rsid w:val="00E73BA9"/>
    <w:rsid w:val="00E73C10"/>
    <w:rsid w:val="00E73D55"/>
    <w:rsid w:val="00E73E95"/>
    <w:rsid w:val="00E73EF9"/>
    <w:rsid w:val="00E7403D"/>
    <w:rsid w:val="00E741A4"/>
    <w:rsid w:val="00E742D9"/>
    <w:rsid w:val="00E74379"/>
    <w:rsid w:val="00E744AB"/>
    <w:rsid w:val="00E744E0"/>
    <w:rsid w:val="00E74506"/>
    <w:rsid w:val="00E74572"/>
    <w:rsid w:val="00E745BF"/>
    <w:rsid w:val="00E7465D"/>
    <w:rsid w:val="00E7469E"/>
    <w:rsid w:val="00E746EA"/>
    <w:rsid w:val="00E7485B"/>
    <w:rsid w:val="00E74902"/>
    <w:rsid w:val="00E74AED"/>
    <w:rsid w:val="00E74B08"/>
    <w:rsid w:val="00E74D2C"/>
    <w:rsid w:val="00E74DBD"/>
    <w:rsid w:val="00E74DC2"/>
    <w:rsid w:val="00E74E40"/>
    <w:rsid w:val="00E74F4D"/>
    <w:rsid w:val="00E74FB2"/>
    <w:rsid w:val="00E7506F"/>
    <w:rsid w:val="00E7508D"/>
    <w:rsid w:val="00E75475"/>
    <w:rsid w:val="00E754DE"/>
    <w:rsid w:val="00E7550D"/>
    <w:rsid w:val="00E7550F"/>
    <w:rsid w:val="00E755B0"/>
    <w:rsid w:val="00E75621"/>
    <w:rsid w:val="00E756AE"/>
    <w:rsid w:val="00E75712"/>
    <w:rsid w:val="00E757A0"/>
    <w:rsid w:val="00E75880"/>
    <w:rsid w:val="00E75953"/>
    <w:rsid w:val="00E759AF"/>
    <w:rsid w:val="00E75ACD"/>
    <w:rsid w:val="00E75B8A"/>
    <w:rsid w:val="00E75B9F"/>
    <w:rsid w:val="00E75CAC"/>
    <w:rsid w:val="00E75D1E"/>
    <w:rsid w:val="00E75FA3"/>
    <w:rsid w:val="00E761E2"/>
    <w:rsid w:val="00E7625D"/>
    <w:rsid w:val="00E76399"/>
    <w:rsid w:val="00E76548"/>
    <w:rsid w:val="00E765D6"/>
    <w:rsid w:val="00E766B0"/>
    <w:rsid w:val="00E7679A"/>
    <w:rsid w:val="00E7689A"/>
    <w:rsid w:val="00E768BE"/>
    <w:rsid w:val="00E7694C"/>
    <w:rsid w:val="00E7696C"/>
    <w:rsid w:val="00E76A82"/>
    <w:rsid w:val="00E76B4B"/>
    <w:rsid w:val="00E76C1A"/>
    <w:rsid w:val="00E76D1F"/>
    <w:rsid w:val="00E76D76"/>
    <w:rsid w:val="00E76D8C"/>
    <w:rsid w:val="00E76E82"/>
    <w:rsid w:val="00E76EA4"/>
    <w:rsid w:val="00E76EB5"/>
    <w:rsid w:val="00E76EF6"/>
    <w:rsid w:val="00E76F4A"/>
    <w:rsid w:val="00E76F5F"/>
    <w:rsid w:val="00E76F84"/>
    <w:rsid w:val="00E76F8E"/>
    <w:rsid w:val="00E7702D"/>
    <w:rsid w:val="00E7712E"/>
    <w:rsid w:val="00E77140"/>
    <w:rsid w:val="00E77149"/>
    <w:rsid w:val="00E771C1"/>
    <w:rsid w:val="00E772C8"/>
    <w:rsid w:val="00E77330"/>
    <w:rsid w:val="00E77348"/>
    <w:rsid w:val="00E77372"/>
    <w:rsid w:val="00E773FE"/>
    <w:rsid w:val="00E7741C"/>
    <w:rsid w:val="00E775BE"/>
    <w:rsid w:val="00E77783"/>
    <w:rsid w:val="00E777F7"/>
    <w:rsid w:val="00E77827"/>
    <w:rsid w:val="00E7785B"/>
    <w:rsid w:val="00E77898"/>
    <w:rsid w:val="00E77AB5"/>
    <w:rsid w:val="00E77ABC"/>
    <w:rsid w:val="00E77C90"/>
    <w:rsid w:val="00E77CEE"/>
    <w:rsid w:val="00E77D9E"/>
    <w:rsid w:val="00E77E4C"/>
    <w:rsid w:val="00E77E68"/>
    <w:rsid w:val="00E77F6D"/>
    <w:rsid w:val="00E77FD4"/>
    <w:rsid w:val="00E80013"/>
    <w:rsid w:val="00E801E9"/>
    <w:rsid w:val="00E80202"/>
    <w:rsid w:val="00E80397"/>
    <w:rsid w:val="00E803E2"/>
    <w:rsid w:val="00E8042A"/>
    <w:rsid w:val="00E804A8"/>
    <w:rsid w:val="00E80506"/>
    <w:rsid w:val="00E80590"/>
    <w:rsid w:val="00E8059F"/>
    <w:rsid w:val="00E805A1"/>
    <w:rsid w:val="00E805E8"/>
    <w:rsid w:val="00E8060E"/>
    <w:rsid w:val="00E807C9"/>
    <w:rsid w:val="00E807D5"/>
    <w:rsid w:val="00E809D0"/>
    <w:rsid w:val="00E80A0F"/>
    <w:rsid w:val="00E80A9E"/>
    <w:rsid w:val="00E80B06"/>
    <w:rsid w:val="00E80B7D"/>
    <w:rsid w:val="00E80BBA"/>
    <w:rsid w:val="00E80F51"/>
    <w:rsid w:val="00E80FE6"/>
    <w:rsid w:val="00E81049"/>
    <w:rsid w:val="00E8112D"/>
    <w:rsid w:val="00E8126D"/>
    <w:rsid w:val="00E81334"/>
    <w:rsid w:val="00E81414"/>
    <w:rsid w:val="00E814DA"/>
    <w:rsid w:val="00E8155E"/>
    <w:rsid w:val="00E81576"/>
    <w:rsid w:val="00E81A63"/>
    <w:rsid w:val="00E81A89"/>
    <w:rsid w:val="00E81B48"/>
    <w:rsid w:val="00E81B6D"/>
    <w:rsid w:val="00E81CBF"/>
    <w:rsid w:val="00E81D00"/>
    <w:rsid w:val="00E81D9B"/>
    <w:rsid w:val="00E81DC9"/>
    <w:rsid w:val="00E81E46"/>
    <w:rsid w:val="00E81E73"/>
    <w:rsid w:val="00E81F22"/>
    <w:rsid w:val="00E82186"/>
    <w:rsid w:val="00E82434"/>
    <w:rsid w:val="00E8247D"/>
    <w:rsid w:val="00E824F2"/>
    <w:rsid w:val="00E82561"/>
    <w:rsid w:val="00E82582"/>
    <w:rsid w:val="00E82658"/>
    <w:rsid w:val="00E826C4"/>
    <w:rsid w:val="00E82711"/>
    <w:rsid w:val="00E82715"/>
    <w:rsid w:val="00E828B4"/>
    <w:rsid w:val="00E82993"/>
    <w:rsid w:val="00E829E3"/>
    <w:rsid w:val="00E829F2"/>
    <w:rsid w:val="00E82A0C"/>
    <w:rsid w:val="00E82AFA"/>
    <w:rsid w:val="00E82B1F"/>
    <w:rsid w:val="00E82C14"/>
    <w:rsid w:val="00E82C36"/>
    <w:rsid w:val="00E82ED8"/>
    <w:rsid w:val="00E82FBE"/>
    <w:rsid w:val="00E83110"/>
    <w:rsid w:val="00E8331E"/>
    <w:rsid w:val="00E836B0"/>
    <w:rsid w:val="00E8376B"/>
    <w:rsid w:val="00E83B32"/>
    <w:rsid w:val="00E83BD8"/>
    <w:rsid w:val="00E83CC5"/>
    <w:rsid w:val="00E83D71"/>
    <w:rsid w:val="00E83E29"/>
    <w:rsid w:val="00E83E78"/>
    <w:rsid w:val="00E83F6F"/>
    <w:rsid w:val="00E84263"/>
    <w:rsid w:val="00E84335"/>
    <w:rsid w:val="00E8471A"/>
    <w:rsid w:val="00E84794"/>
    <w:rsid w:val="00E84A16"/>
    <w:rsid w:val="00E84A5E"/>
    <w:rsid w:val="00E84A6B"/>
    <w:rsid w:val="00E84A90"/>
    <w:rsid w:val="00E84B53"/>
    <w:rsid w:val="00E84C24"/>
    <w:rsid w:val="00E84C9C"/>
    <w:rsid w:val="00E84D9E"/>
    <w:rsid w:val="00E84E5F"/>
    <w:rsid w:val="00E84F40"/>
    <w:rsid w:val="00E85001"/>
    <w:rsid w:val="00E85053"/>
    <w:rsid w:val="00E8516F"/>
    <w:rsid w:val="00E85273"/>
    <w:rsid w:val="00E85276"/>
    <w:rsid w:val="00E8530E"/>
    <w:rsid w:val="00E853C7"/>
    <w:rsid w:val="00E85544"/>
    <w:rsid w:val="00E8557D"/>
    <w:rsid w:val="00E8565D"/>
    <w:rsid w:val="00E85724"/>
    <w:rsid w:val="00E85A10"/>
    <w:rsid w:val="00E85AF4"/>
    <w:rsid w:val="00E85AFE"/>
    <w:rsid w:val="00E85C5D"/>
    <w:rsid w:val="00E85D13"/>
    <w:rsid w:val="00E85E13"/>
    <w:rsid w:val="00E85E91"/>
    <w:rsid w:val="00E85F01"/>
    <w:rsid w:val="00E85FE8"/>
    <w:rsid w:val="00E86080"/>
    <w:rsid w:val="00E860F8"/>
    <w:rsid w:val="00E8612C"/>
    <w:rsid w:val="00E8614E"/>
    <w:rsid w:val="00E86306"/>
    <w:rsid w:val="00E86387"/>
    <w:rsid w:val="00E863AD"/>
    <w:rsid w:val="00E864D7"/>
    <w:rsid w:val="00E86691"/>
    <w:rsid w:val="00E866E3"/>
    <w:rsid w:val="00E86719"/>
    <w:rsid w:val="00E8672E"/>
    <w:rsid w:val="00E86765"/>
    <w:rsid w:val="00E867BE"/>
    <w:rsid w:val="00E8686D"/>
    <w:rsid w:val="00E86AB7"/>
    <w:rsid w:val="00E86AF6"/>
    <w:rsid w:val="00E86BBA"/>
    <w:rsid w:val="00E86D4F"/>
    <w:rsid w:val="00E86D66"/>
    <w:rsid w:val="00E86D8D"/>
    <w:rsid w:val="00E86DA7"/>
    <w:rsid w:val="00E86EA8"/>
    <w:rsid w:val="00E86FCD"/>
    <w:rsid w:val="00E870D8"/>
    <w:rsid w:val="00E871B9"/>
    <w:rsid w:val="00E87248"/>
    <w:rsid w:val="00E874BA"/>
    <w:rsid w:val="00E874C5"/>
    <w:rsid w:val="00E8756A"/>
    <w:rsid w:val="00E87570"/>
    <w:rsid w:val="00E87596"/>
    <w:rsid w:val="00E87641"/>
    <w:rsid w:val="00E8781C"/>
    <w:rsid w:val="00E878DC"/>
    <w:rsid w:val="00E87960"/>
    <w:rsid w:val="00E879AA"/>
    <w:rsid w:val="00E879C6"/>
    <w:rsid w:val="00E87AAA"/>
    <w:rsid w:val="00E87AB2"/>
    <w:rsid w:val="00E87C13"/>
    <w:rsid w:val="00E87D45"/>
    <w:rsid w:val="00E87D75"/>
    <w:rsid w:val="00E87E42"/>
    <w:rsid w:val="00E87E6F"/>
    <w:rsid w:val="00E87EDF"/>
    <w:rsid w:val="00E87F3D"/>
    <w:rsid w:val="00E87F42"/>
    <w:rsid w:val="00E9000A"/>
    <w:rsid w:val="00E90073"/>
    <w:rsid w:val="00E90105"/>
    <w:rsid w:val="00E90110"/>
    <w:rsid w:val="00E9024A"/>
    <w:rsid w:val="00E9026E"/>
    <w:rsid w:val="00E9030C"/>
    <w:rsid w:val="00E90395"/>
    <w:rsid w:val="00E903B8"/>
    <w:rsid w:val="00E90495"/>
    <w:rsid w:val="00E9053D"/>
    <w:rsid w:val="00E905B1"/>
    <w:rsid w:val="00E905D7"/>
    <w:rsid w:val="00E905F2"/>
    <w:rsid w:val="00E906AD"/>
    <w:rsid w:val="00E9080B"/>
    <w:rsid w:val="00E908CE"/>
    <w:rsid w:val="00E90960"/>
    <w:rsid w:val="00E90A5E"/>
    <w:rsid w:val="00E90AEB"/>
    <w:rsid w:val="00E90AFF"/>
    <w:rsid w:val="00E90B5D"/>
    <w:rsid w:val="00E90BA9"/>
    <w:rsid w:val="00E90D4D"/>
    <w:rsid w:val="00E90DF8"/>
    <w:rsid w:val="00E91006"/>
    <w:rsid w:val="00E91087"/>
    <w:rsid w:val="00E91108"/>
    <w:rsid w:val="00E911AC"/>
    <w:rsid w:val="00E911DF"/>
    <w:rsid w:val="00E9122A"/>
    <w:rsid w:val="00E913EB"/>
    <w:rsid w:val="00E91547"/>
    <w:rsid w:val="00E91567"/>
    <w:rsid w:val="00E9157C"/>
    <w:rsid w:val="00E91615"/>
    <w:rsid w:val="00E91660"/>
    <w:rsid w:val="00E917FC"/>
    <w:rsid w:val="00E91824"/>
    <w:rsid w:val="00E91833"/>
    <w:rsid w:val="00E91880"/>
    <w:rsid w:val="00E919A3"/>
    <w:rsid w:val="00E91A25"/>
    <w:rsid w:val="00E91ABF"/>
    <w:rsid w:val="00E91C36"/>
    <w:rsid w:val="00E91C55"/>
    <w:rsid w:val="00E91D23"/>
    <w:rsid w:val="00E91DB8"/>
    <w:rsid w:val="00E91E26"/>
    <w:rsid w:val="00E91F23"/>
    <w:rsid w:val="00E92001"/>
    <w:rsid w:val="00E920A8"/>
    <w:rsid w:val="00E920BE"/>
    <w:rsid w:val="00E920F6"/>
    <w:rsid w:val="00E92108"/>
    <w:rsid w:val="00E92147"/>
    <w:rsid w:val="00E92155"/>
    <w:rsid w:val="00E92197"/>
    <w:rsid w:val="00E92312"/>
    <w:rsid w:val="00E9231E"/>
    <w:rsid w:val="00E92357"/>
    <w:rsid w:val="00E92385"/>
    <w:rsid w:val="00E9238B"/>
    <w:rsid w:val="00E92431"/>
    <w:rsid w:val="00E9244E"/>
    <w:rsid w:val="00E925C9"/>
    <w:rsid w:val="00E9273B"/>
    <w:rsid w:val="00E92783"/>
    <w:rsid w:val="00E927A1"/>
    <w:rsid w:val="00E92839"/>
    <w:rsid w:val="00E92901"/>
    <w:rsid w:val="00E92A89"/>
    <w:rsid w:val="00E92AC2"/>
    <w:rsid w:val="00E92AE0"/>
    <w:rsid w:val="00E92BAA"/>
    <w:rsid w:val="00E92D87"/>
    <w:rsid w:val="00E93079"/>
    <w:rsid w:val="00E93081"/>
    <w:rsid w:val="00E930AD"/>
    <w:rsid w:val="00E930AE"/>
    <w:rsid w:val="00E93158"/>
    <w:rsid w:val="00E931CF"/>
    <w:rsid w:val="00E932F9"/>
    <w:rsid w:val="00E9336B"/>
    <w:rsid w:val="00E9355D"/>
    <w:rsid w:val="00E9372F"/>
    <w:rsid w:val="00E938CC"/>
    <w:rsid w:val="00E93CCD"/>
    <w:rsid w:val="00E93CD2"/>
    <w:rsid w:val="00E93E7E"/>
    <w:rsid w:val="00E93ED0"/>
    <w:rsid w:val="00E93F7D"/>
    <w:rsid w:val="00E940BE"/>
    <w:rsid w:val="00E94141"/>
    <w:rsid w:val="00E942AD"/>
    <w:rsid w:val="00E9444A"/>
    <w:rsid w:val="00E94473"/>
    <w:rsid w:val="00E94503"/>
    <w:rsid w:val="00E94523"/>
    <w:rsid w:val="00E945E0"/>
    <w:rsid w:val="00E9474E"/>
    <w:rsid w:val="00E947D7"/>
    <w:rsid w:val="00E947FF"/>
    <w:rsid w:val="00E94824"/>
    <w:rsid w:val="00E94847"/>
    <w:rsid w:val="00E94A21"/>
    <w:rsid w:val="00E94B66"/>
    <w:rsid w:val="00E94C14"/>
    <w:rsid w:val="00E94CF2"/>
    <w:rsid w:val="00E94D2B"/>
    <w:rsid w:val="00E94D49"/>
    <w:rsid w:val="00E94D7F"/>
    <w:rsid w:val="00E94DEC"/>
    <w:rsid w:val="00E94E5E"/>
    <w:rsid w:val="00E94F6A"/>
    <w:rsid w:val="00E94F71"/>
    <w:rsid w:val="00E94FE2"/>
    <w:rsid w:val="00E95221"/>
    <w:rsid w:val="00E9537D"/>
    <w:rsid w:val="00E9550C"/>
    <w:rsid w:val="00E9550F"/>
    <w:rsid w:val="00E955CD"/>
    <w:rsid w:val="00E95790"/>
    <w:rsid w:val="00E9597C"/>
    <w:rsid w:val="00E9598D"/>
    <w:rsid w:val="00E959D5"/>
    <w:rsid w:val="00E95B00"/>
    <w:rsid w:val="00E95B69"/>
    <w:rsid w:val="00E95BA3"/>
    <w:rsid w:val="00E95CE4"/>
    <w:rsid w:val="00E95D92"/>
    <w:rsid w:val="00E95EFB"/>
    <w:rsid w:val="00E95F0D"/>
    <w:rsid w:val="00E96026"/>
    <w:rsid w:val="00E96082"/>
    <w:rsid w:val="00E962E9"/>
    <w:rsid w:val="00E963D2"/>
    <w:rsid w:val="00E963F9"/>
    <w:rsid w:val="00E96432"/>
    <w:rsid w:val="00E9647D"/>
    <w:rsid w:val="00E9649B"/>
    <w:rsid w:val="00E9651F"/>
    <w:rsid w:val="00E96701"/>
    <w:rsid w:val="00E96787"/>
    <w:rsid w:val="00E967C6"/>
    <w:rsid w:val="00E9687B"/>
    <w:rsid w:val="00E96895"/>
    <w:rsid w:val="00E96923"/>
    <w:rsid w:val="00E96B68"/>
    <w:rsid w:val="00E96CFD"/>
    <w:rsid w:val="00E96D58"/>
    <w:rsid w:val="00E96D86"/>
    <w:rsid w:val="00E96E7A"/>
    <w:rsid w:val="00E96ECC"/>
    <w:rsid w:val="00E96ECD"/>
    <w:rsid w:val="00E96F32"/>
    <w:rsid w:val="00E9704A"/>
    <w:rsid w:val="00E97073"/>
    <w:rsid w:val="00E970B0"/>
    <w:rsid w:val="00E970CD"/>
    <w:rsid w:val="00E9730C"/>
    <w:rsid w:val="00E974D2"/>
    <w:rsid w:val="00E974D4"/>
    <w:rsid w:val="00E974EE"/>
    <w:rsid w:val="00E97544"/>
    <w:rsid w:val="00E975A6"/>
    <w:rsid w:val="00E97619"/>
    <w:rsid w:val="00E9769B"/>
    <w:rsid w:val="00E976A8"/>
    <w:rsid w:val="00E9771B"/>
    <w:rsid w:val="00E977A7"/>
    <w:rsid w:val="00E97808"/>
    <w:rsid w:val="00E978F1"/>
    <w:rsid w:val="00E97906"/>
    <w:rsid w:val="00E9790F"/>
    <w:rsid w:val="00E9792A"/>
    <w:rsid w:val="00E979B2"/>
    <w:rsid w:val="00E979EB"/>
    <w:rsid w:val="00E97A16"/>
    <w:rsid w:val="00E97A1A"/>
    <w:rsid w:val="00E97A33"/>
    <w:rsid w:val="00E97A5E"/>
    <w:rsid w:val="00E97AB2"/>
    <w:rsid w:val="00E97AD6"/>
    <w:rsid w:val="00E97ADF"/>
    <w:rsid w:val="00E97AE6"/>
    <w:rsid w:val="00E97B71"/>
    <w:rsid w:val="00E97B87"/>
    <w:rsid w:val="00E97B93"/>
    <w:rsid w:val="00E97BCB"/>
    <w:rsid w:val="00E97C88"/>
    <w:rsid w:val="00E97C99"/>
    <w:rsid w:val="00E97CBF"/>
    <w:rsid w:val="00E97CCF"/>
    <w:rsid w:val="00E97CD7"/>
    <w:rsid w:val="00E97DB2"/>
    <w:rsid w:val="00E97E3E"/>
    <w:rsid w:val="00E97EBE"/>
    <w:rsid w:val="00E97F7F"/>
    <w:rsid w:val="00EA0021"/>
    <w:rsid w:val="00EA0059"/>
    <w:rsid w:val="00EA0087"/>
    <w:rsid w:val="00EA008C"/>
    <w:rsid w:val="00EA00CB"/>
    <w:rsid w:val="00EA0132"/>
    <w:rsid w:val="00EA01BE"/>
    <w:rsid w:val="00EA023B"/>
    <w:rsid w:val="00EA02E2"/>
    <w:rsid w:val="00EA039A"/>
    <w:rsid w:val="00EA039C"/>
    <w:rsid w:val="00EA03CE"/>
    <w:rsid w:val="00EA03CF"/>
    <w:rsid w:val="00EA0524"/>
    <w:rsid w:val="00EA0527"/>
    <w:rsid w:val="00EA0578"/>
    <w:rsid w:val="00EA05F7"/>
    <w:rsid w:val="00EA0601"/>
    <w:rsid w:val="00EA074E"/>
    <w:rsid w:val="00EA0787"/>
    <w:rsid w:val="00EA07E3"/>
    <w:rsid w:val="00EA09AE"/>
    <w:rsid w:val="00EA0AF7"/>
    <w:rsid w:val="00EA0B55"/>
    <w:rsid w:val="00EA0B6B"/>
    <w:rsid w:val="00EA0C82"/>
    <w:rsid w:val="00EA0F56"/>
    <w:rsid w:val="00EA109B"/>
    <w:rsid w:val="00EA10AA"/>
    <w:rsid w:val="00EA10DE"/>
    <w:rsid w:val="00EA1208"/>
    <w:rsid w:val="00EA12A3"/>
    <w:rsid w:val="00EA1383"/>
    <w:rsid w:val="00EA13EE"/>
    <w:rsid w:val="00EA1498"/>
    <w:rsid w:val="00EA1808"/>
    <w:rsid w:val="00EA192F"/>
    <w:rsid w:val="00EA1972"/>
    <w:rsid w:val="00EA197C"/>
    <w:rsid w:val="00EA1B3E"/>
    <w:rsid w:val="00EA1B63"/>
    <w:rsid w:val="00EA1B6C"/>
    <w:rsid w:val="00EA1BD9"/>
    <w:rsid w:val="00EA1C3B"/>
    <w:rsid w:val="00EA1C78"/>
    <w:rsid w:val="00EA1C8F"/>
    <w:rsid w:val="00EA1CD3"/>
    <w:rsid w:val="00EA1CDD"/>
    <w:rsid w:val="00EA1D10"/>
    <w:rsid w:val="00EA1D3D"/>
    <w:rsid w:val="00EA1D9D"/>
    <w:rsid w:val="00EA1DF5"/>
    <w:rsid w:val="00EA1F81"/>
    <w:rsid w:val="00EA1FBB"/>
    <w:rsid w:val="00EA2062"/>
    <w:rsid w:val="00EA2084"/>
    <w:rsid w:val="00EA21F9"/>
    <w:rsid w:val="00EA22C2"/>
    <w:rsid w:val="00EA22F3"/>
    <w:rsid w:val="00EA2304"/>
    <w:rsid w:val="00EA2332"/>
    <w:rsid w:val="00EA2354"/>
    <w:rsid w:val="00EA23BB"/>
    <w:rsid w:val="00EA25C6"/>
    <w:rsid w:val="00EA267C"/>
    <w:rsid w:val="00EA27D1"/>
    <w:rsid w:val="00EA2969"/>
    <w:rsid w:val="00EA2977"/>
    <w:rsid w:val="00EA298F"/>
    <w:rsid w:val="00EA2A4D"/>
    <w:rsid w:val="00EA2A9A"/>
    <w:rsid w:val="00EA2B41"/>
    <w:rsid w:val="00EA2B6D"/>
    <w:rsid w:val="00EA2C58"/>
    <w:rsid w:val="00EA2CA2"/>
    <w:rsid w:val="00EA2D93"/>
    <w:rsid w:val="00EA2DAD"/>
    <w:rsid w:val="00EA2DE9"/>
    <w:rsid w:val="00EA2FBB"/>
    <w:rsid w:val="00EA3033"/>
    <w:rsid w:val="00EA3086"/>
    <w:rsid w:val="00EA30B3"/>
    <w:rsid w:val="00EA3123"/>
    <w:rsid w:val="00EA3124"/>
    <w:rsid w:val="00EA32DD"/>
    <w:rsid w:val="00EA3411"/>
    <w:rsid w:val="00EA3513"/>
    <w:rsid w:val="00EA36A8"/>
    <w:rsid w:val="00EA383A"/>
    <w:rsid w:val="00EA3861"/>
    <w:rsid w:val="00EA39B7"/>
    <w:rsid w:val="00EA39BA"/>
    <w:rsid w:val="00EA3A95"/>
    <w:rsid w:val="00EA3B28"/>
    <w:rsid w:val="00EA3BE4"/>
    <w:rsid w:val="00EA3BF8"/>
    <w:rsid w:val="00EA3C7D"/>
    <w:rsid w:val="00EA3DA9"/>
    <w:rsid w:val="00EA3DFE"/>
    <w:rsid w:val="00EA3E1A"/>
    <w:rsid w:val="00EA3EAD"/>
    <w:rsid w:val="00EA3F23"/>
    <w:rsid w:val="00EA3F50"/>
    <w:rsid w:val="00EA3FDC"/>
    <w:rsid w:val="00EA40FE"/>
    <w:rsid w:val="00EA4163"/>
    <w:rsid w:val="00EA426D"/>
    <w:rsid w:val="00EA4316"/>
    <w:rsid w:val="00EA443F"/>
    <w:rsid w:val="00EA455C"/>
    <w:rsid w:val="00EA47B3"/>
    <w:rsid w:val="00EA47C3"/>
    <w:rsid w:val="00EA4844"/>
    <w:rsid w:val="00EA4A72"/>
    <w:rsid w:val="00EA4A87"/>
    <w:rsid w:val="00EA4AEA"/>
    <w:rsid w:val="00EA4B01"/>
    <w:rsid w:val="00EA4BB1"/>
    <w:rsid w:val="00EA4C56"/>
    <w:rsid w:val="00EA4C8A"/>
    <w:rsid w:val="00EA4CD9"/>
    <w:rsid w:val="00EA4E11"/>
    <w:rsid w:val="00EA4FC5"/>
    <w:rsid w:val="00EA4FDE"/>
    <w:rsid w:val="00EA508C"/>
    <w:rsid w:val="00EA5114"/>
    <w:rsid w:val="00EA517A"/>
    <w:rsid w:val="00EA5197"/>
    <w:rsid w:val="00EA524F"/>
    <w:rsid w:val="00EA5250"/>
    <w:rsid w:val="00EA52B9"/>
    <w:rsid w:val="00EA52CD"/>
    <w:rsid w:val="00EA52DE"/>
    <w:rsid w:val="00EA5305"/>
    <w:rsid w:val="00EA5321"/>
    <w:rsid w:val="00EA5472"/>
    <w:rsid w:val="00EA553E"/>
    <w:rsid w:val="00EA5567"/>
    <w:rsid w:val="00EA556B"/>
    <w:rsid w:val="00EA55BD"/>
    <w:rsid w:val="00EA56EE"/>
    <w:rsid w:val="00EA5705"/>
    <w:rsid w:val="00EA5903"/>
    <w:rsid w:val="00EA5966"/>
    <w:rsid w:val="00EA5995"/>
    <w:rsid w:val="00EA59D2"/>
    <w:rsid w:val="00EA5AD7"/>
    <w:rsid w:val="00EA5B49"/>
    <w:rsid w:val="00EA5B6E"/>
    <w:rsid w:val="00EA5B9C"/>
    <w:rsid w:val="00EA5B9E"/>
    <w:rsid w:val="00EA5BB3"/>
    <w:rsid w:val="00EA5C2C"/>
    <w:rsid w:val="00EA5C57"/>
    <w:rsid w:val="00EA5D7E"/>
    <w:rsid w:val="00EA5DE5"/>
    <w:rsid w:val="00EA5EE5"/>
    <w:rsid w:val="00EA5F48"/>
    <w:rsid w:val="00EA5F6E"/>
    <w:rsid w:val="00EA6081"/>
    <w:rsid w:val="00EA6225"/>
    <w:rsid w:val="00EA646A"/>
    <w:rsid w:val="00EA651E"/>
    <w:rsid w:val="00EA656D"/>
    <w:rsid w:val="00EA6637"/>
    <w:rsid w:val="00EA66D6"/>
    <w:rsid w:val="00EA672A"/>
    <w:rsid w:val="00EA67D1"/>
    <w:rsid w:val="00EA68C9"/>
    <w:rsid w:val="00EA6923"/>
    <w:rsid w:val="00EA6B05"/>
    <w:rsid w:val="00EA6B3F"/>
    <w:rsid w:val="00EA6BAD"/>
    <w:rsid w:val="00EA6CA1"/>
    <w:rsid w:val="00EA6CA4"/>
    <w:rsid w:val="00EA6D11"/>
    <w:rsid w:val="00EA6E1F"/>
    <w:rsid w:val="00EA6EE5"/>
    <w:rsid w:val="00EA702D"/>
    <w:rsid w:val="00EA713D"/>
    <w:rsid w:val="00EA71F0"/>
    <w:rsid w:val="00EA7264"/>
    <w:rsid w:val="00EA73DF"/>
    <w:rsid w:val="00EA742B"/>
    <w:rsid w:val="00EA7510"/>
    <w:rsid w:val="00EA7578"/>
    <w:rsid w:val="00EA75EF"/>
    <w:rsid w:val="00EA771B"/>
    <w:rsid w:val="00EA772B"/>
    <w:rsid w:val="00EA78F9"/>
    <w:rsid w:val="00EA7A01"/>
    <w:rsid w:val="00EA7A79"/>
    <w:rsid w:val="00EA7AD2"/>
    <w:rsid w:val="00EA7AE3"/>
    <w:rsid w:val="00EA7E05"/>
    <w:rsid w:val="00EA7E4E"/>
    <w:rsid w:val="00EA7E84"/>
    <w:rsid w:val="00EB00CF"/>
    <w:rsid w:val="00EB0104"/>
    <w:rsid w:val="00EB0158"/>
    <w:rsid w:val="00EB01BB"/>
    <w:rsid w:val="00EB022A"/>
    <w:rsid w:val="00EB028B"/>
    <w:rsid w:val="00EB0324"/>
    <w:rsid w:val="00EB0347"/>
    <w:rsid w:val="00EB0398"/>
    <w:rsid w:val="00EB03A7"/>
    <w:rsid w:val="00EB0467"/>
    <w:rsid w:val="00EB046D"/>
    <w:rsid w:val="00EB04AC"/>
    <w:rsid w:val="00EB06DA"/>
    <w:rsid w:val="00EB0738"/>
    <w:rsid w:val="00EB0751"/>
    <w:rsid w:val="00EB0771"/>
    <w:rsid w:val="00EB08D8"/>
    <w:rsid w:val="00EB0A35"/>
    <w:rsid w:val="00EB0ACC"/>
    <w:rsid w:val="00EB0B16"/>
    <w:rsid w:val="00EB0B46"/>
    <w:rsid w:val="00EB0BAE"/>
    <w:rsid w:val="00EB0BE0"/>
    <w:rsid w:val="00EB0D04"/>
    <w:rsid w:val="00EB0E75"/>
    <w:rsid w:val="00EB0FB9"/>
    <w:rsid w:val="00EB1069"/>
    <w:rsid w:val="00EB10FA"/>
    <w:rsid w:val="00EB1147"/>
    <w:rsid w:val="00EB11D9"/>
    <w:rsid w:val="00EB124D"/>
    <w:rsid w:val="00EB1261"/>
    <w:rsid w:val="00EB126A"/>
    <w:rsid w:val="00EB1395"/>
    <w:rsid w:val="00EB18D4"/>
    <w:rsid w:val="00EB18DF"/>
    <w:rsid w:val="00EB19C0"/>
    <w:rsid w:val="00EB1B3E"/>
    <w:rsid w:val="00EB1D79"/>
    <w:rsid w:val="00EB1F47"/>
    <w:rsid w:val="00EB1F96"/>
    <w:rsid w:val="00EB20B4"/>
    <w:rsid w:val="00EB20DD"/>
    <w:rsid w:val="00EB2249"/>
    <w:rsid w:val="00EB229F"/>
    <w:rsid w:val="00EB239E"/>
    <w:rsid w:val="00EB244D"/>
    <w:rsid w:val="00EB2476"/>
    <w:rsid w:val="00EB24BF"/>
    <w:rsid w:val="00EB2533"/>
    <w:rsid w:val="00EB256A"/>
    <w:rsid w:val="00EB2572"/>
    <w:rsid w:val="00EB2639"/>
    <w:rsid w:val="00EB265A"/>
    <w:rsid w:val="00EB26B8"/>
    <w:rsid w:val="00EB27A5"/>
    <w:rsid w:val="00EB295D"/>
    <w:rsid w:val="00EB297D"/>
    <w:rsid w:val="00EB2A3B"/>
    <w:rsid w:val="00EB2AC7"/>
    <w:rsid w:val="00EB2BF3"/>
    <w:rsid w:val="00EB2CE2"/>
    <w:rsid w:val="00EB2DD8"/>
    <w:rsid w:val="00EB2E48"/>
    <w:rsid w:val="00EB2E69"/>
    <w:rsid w:val="00EB2E78"/>
    <w:rsid w:val="00EB2E84"/>
    <w:rsid w:val="00EB2E99"/>
    <w:rsid w:val="00EB2F67"/>
    <w:rsid w:val="00EB3094"/>
    <w:rsid w:val="00EB31D4"/>
    <w:rsid w:val="00EB3261"/>
    <w:rsid w:val="00EB333F"/>
    <w:rsid w:val="00EB349B"/>
    <w:rsid w:val="00EB350B"/>
    <w:rsid w:val="00EB384A"/>
    <w:rsid w:val="00EB38A8"/>
    <w:rsid w:val="00EB38B3"/>
    <w:rsid w:val="00EB3A63"/>
    <w:rsid w:val="00EB3AC6"/>
    <w:rsid w:val="00EB3B8B"/>
    <w:rsid w:val="00EB3BBB"/>
    <w:rsid w:val="00EB3C42"/>
    <w:rsid w:val="00EB3CDE"/>
    <w:rsid w:val="00EB3DA2"/>
    <w:rsid w:val="00EB3DA4"/>
    <w:rsid w:val="00EB3FC4"/>
    <w:rsid w:val="00EB418D"/>
    <w:rsid w:val="00EB41BE"/>
    <w:rsid w:val="00EB41D0"/>
    <w:rsid w:val="00EB434C"/>
    <w:rsid w:val="00EB446F"/>
    <w:rsid w:val="00EB44E5"/>
    <w:rsid w:val="00EB4569"/>
    <w:rsid w:val="00EB4598"/>
    <w:rsid w:val="00EB4637"/>
    <w:rsid w:val="00EB46FD"/>
    <w:rsid w:val="00EB477B"/>
    <w:rsid w:val="00EB47E4"/>
    <w:rsid w:val="00EB48DF"/>
    <w:rsid w:val="00EB4B18"/>
    <w:rsid w:val="00EB4BB5"/>
    <w:rsid w:val="00EB4BC8"/>
    <w:rsid w:val="00EB4C3B"/>
    <w:rsid w:val="00EB4D7A"/>
    <w:rsid w:val="00EB4DC5"/>
    <w:rsid w:val="00EB4E3A"/>
    <w:rsid w:val="00EB4E69"/>
    <w:rsid w:val="00EB4F3B"/>
    <w:rsid w:val="00EB4F6C"/>
    <w:rsid w:val="00EB5003"/>
    <w:rsid w:val="00EB5148"/>
    <w:rsid w:val="00EB5183"/>
    <w:rsid w:val="00EB51BC"/>
    <w:rsid w:val="00EB5235"/>
    <w:rsid w:val="00EB52B6"/>
    <w:rsid w:val="00EB52E6"/>
    <w:rsid w:val="00EB5433"/>
    <w:rsid w:val="00EB547E"/>
    <w:rsid w:val="00EB54E6"/>
    <w:rsid w:val="00EB55DE"/>
    <w:rsid w:val="00EB57FE"/>
    <w:rsid w:val="00EB584D"/>
    <w:rsid w:val="00EB5890"/>
    <w:rsid w:val="00EB5B75"/>
    <w:rsid w:val="00EB5B7F"/>
    <w:rsid w:val="00EB5B87"/>
    <w:rsid w:val="00EB5C35"/>
    <w:rsid w:val="00EB5C4E"/>
    <w:rsid w:val="00EB5D78"/>
    <w:rsid w:val="00EB5D7E"/>
    <w:rsid w:val="00EB5D94"/>
    <w:rsid w:val="00EB5E3F"/>
    <w:rsid w:val="00EB5EFD"/>
    <w:rsid w:val="00EB5F72"/>
    <w:rsid w:val="00EB5FDF"/>
    <w:rsid w:val="00EB606B"/>
    <w:rsid w:val="00EB60AA"/>
    <w:rsid w:val="00EB630D"/>
    <w:rsid w:val="00EB6318"/>
    <w:rsid w:val="00EB6324"/>
    <w:rsid w:val="00EB638A"/>
    <w:rsid w:val="00EB6401"/>
    <w:rsid w:val="00EB6506"/>
    <w:rsid w:val="00EB65CD"/>
    <w:rsid w:val="00EB663F"/>
    <w:rsid w:val="00EB6642"/>
    <w:rsid w:val="00EB678E"/>
    <w:rsid w:val="00EB67B3"/>
    <w:rsid w:val="00EB67CD"/>
    <w:rsid w:val="00EB6931"/>
    <w:rsid w:val="00EB6CB6"/>
    <w:rsid w:val="00EB6D43"/>
    <w:rsid w:val="00EB6D4E"/>
    <w:rsid w:val="00EB6D74"/>
    <w:rsid w:val="00EB7055"/>
    <w:rsid w:val="00EB707F"/>
    <w:rsid w:val="00EB7279"/>
    <w:rsid w:val="00EB72ED"/>
    <w:rsid w:val="00EB730F"/>
    <w:rsid w:val="00EB7387"/>
    <w:rsid w:val="00EB745E"/>
    <w:rsid w:val="00EB7644"/>
    <w:rsid w:val="00EB7773"/>
    <w:rsid w:val="00EB7915"/>
    <w:rsid w:val="00EB7A30"/>
    <w:rsid w:val="00EB7A52"/>
    <w:rsid w:val="00EB7D3B"/>
    <w:rsid w:val="00EB7DE1"/>
    <w:rsid w:val="00EB7E92"/>
    <w:rsid w:val="00EB7ED0"/>
    <w:rsid w:val="00EB7EE3"/>
    <w:rsid w:val="00EB7FE1"/>
    <w:rsid w:val="00EC0067"/>
    <w:rsid w:val="00EC00A6"/>
    <w:rsid w:val="00EC00BD"/>
    <w:rsid w:val="00EC00F8"/>
    <w:rsid w:val="00EC0128"/>
    <w:rsid w:val="00EC01C5"/>
    <w:rsid w:val="00EC026D"/>
    <w:rsid w:val="00EC04B7"/>
    <w:rsid w:val="00EC055A"/>
    <w:rsid w:val="00EC055C"/>
    <w:rsid w:val="00EC05B9"/>
    <w:rsid w:val="00EC05F0"/>
    <w:rsid w:val="00EC061A"/>
    <w:rsid w:val="00EC0817"/>
    <w:rsid w:val="00EC0878"/>
    <w:rsid w:val="00EC0A32"/>
    <w:rsid w:val="00EC0AE5"/>
    <w:rsid w:val="00EC0B0D"/>
    <w:rsid w:val="00EC0C80"/>
    <w:rsid w:val="00EC0F2C"/>
    <w:rsid w:val="00EC0F4B"/>
    <w:rsid w:val="00EC0FF1"/>
    <w:rsid w:val="00EC1079"/>
    <w:rsid w:val="00EC1264"/>
    <w:rsid w:val="00EC129B"/>
    <w:rsid w:val="00EC12D2"/>
    <w:rsid w:val="00EC13FF"/>
    <w:rsid w:val="00EC1450"/>
    <w:rsid w:val="00EC14A8"/>
    <w:rsid w:val="00EC14CF"/>
    <w:rsid w:val="00EC16AE"/>
    <w:rsid w:val="00EC17A5"/>
    <w:rsid w:val="00EC17EA"/>
    <w:rsid w:val="00EC18C7"/>
    <w:rsid w:val="00EC196B"/>
    <w:rsid w:val="00EC1988"/>
    <w:rsid w:val="00EC1CA5"/>
    <w:rsid w:val="00EC1CEA"/>
    <w:rsid w:val="00EC1D1F"/>
    <w:rsid w:val="00EC1D24"/>
    <w:rsid w:val="00EC1D2C"/>
    <w:rsid w:val="00EC1E2A"/>
    <w:rsid w:val="00EC1F80"/>
    <w:rsid w:val="00EC1F99"/>
    <w:rsid w:val="00EC2048"/>
    <w:rsid w:val="00EC2181"/>
    <w:rsid w:val="00EC226F"/>
    <w:rsid w:val="00EC233F"/>
    <w:rsid w:val="00EC2366"/>
    <w:rsid w:val="00EC2422"/>
    <w:rsid w:val="00EC2537"/>
    <w:rsid w:val="00EC2581"/>
    <w:rsid w:val="00EC25B9"/>
    <w:rsid w:val="00EC268B"/>
    <w:rsid w:val="00EC2865"/>
    <w:rsid w:val="00EC28BC"/>
    <w:rsid w:val="00EC292A"/>
    <w:rsid w:val="00EC295B"/>
    <w:rsid w:val="00EC29A4"/>
    <w:rsid w:val="00EC2A16"/>
    <w:rsid w:val="00EC2A32"/>
    <w:rsid w:val="00EC2B08"/>
    <w:rsid w:val="00EC2BFA"/>
    <w:rsid w:val="00EC2C0D"/>
    <w:rsid w:val="00EC2C31"/>
    <w:rsid w:val="00EC2C7E"/>
    <w:rsid w:val="00EC2DFA"/>
    <w:rsid w:val="00EC2E97"/>
    <w:rsid w:val="00EC2EF9"/>
    <w:rsid w:val="00EC30F1"/>
    <w:rsid w:val="00EC322B"/>
    <w:rsid w:val="00EC330A"/>
    <w:rsid w:val="00EC3317"/>
    <w:rsid w:val="00EC3393"/>
    <w:rsid w:val="00EC359D"/>
    <w:rsid w:val="00EC361D"/>
    <w:rsid w:val="00EC3693"/>
    <w:rsid w:val="00EC36C2"/>
    <w:rsid w:val="00EC372F"/>
    <w:rsid w:val="00EC3801"/>
    <w:rsid w:val="00EC38B1"/>
    <w:rsid w:val="00EC39C3"/>
    <w:rsid w:val="00EC3A15"/>
    <w:rsid w:val="00EC3B5D"/>
    <w:rsid w:val="00EC3C61"/>
    <w:rsid w:val="00EC3CE3"/>
    <w:rsid w:val="00EC3D1E"/>
    <w:rsid w:val="00EC3D48"/>
    <w:rsid w:val="00EC3F20"/>
    <w:rsid w:val="00EC3F43"/>
    <w:rsid w:val="00EC3F8F"/>
    <w:rsid w:val="00EC4040"/>
    <w:rsid w:val="00EC4086"/>
    <w:rsid w:val="00EC411C"/>
    <w:rsid w:val="00EC424D"/>
    <w:rsid w:val="00EC4280"/>
    <w:rsid w:val="00EC42C5"/>
    <w:rsid w:val="00EC42E6"/>
    <w:rsid w:val="00EC4457"/>
    <w:rsid w:val="00EC46F6"/>
    <w:rsid w:val="00EC4716"/>
    <w:rsid w:val="00EC4754"/>
    <w:rsid w:val="00EC476A"/>
    <w:rsid w:val="00EC4789"/>
    <w:rsid w:val="00EC47C7"/>
    <w:rsid w:val="00EC4837"/>
    <w:rsid w:val="00EC499A"/>
    <w:rsid w:val="00EC4A31"/>
    <w:rsid w:val="00EC4A93"/>
    <w:rsid w:val="00EC4AFB"/>
    <w:rsid w:val="00EC4B99"/>
    <w:rsid w:val="00EC4BAD"/>
    <w:rsid w:val="00EC4BE6"/>
    <w:rsid w:val="00EC4BF4"/>
    <w:rsid w:val="00EC4C2B"/>
    <w:rsid w:val="00EC4C4C"/>
    <w:rsid w:val="00EC4D2C"/>
    <w:rsid w:val="00EC4D3E"/>
    <w:rsid w:val="00EC4D64"/>
    <w:rsid w:val="00EC4E30"/>
    <w:rsid w:val="00EC4EFD"/>
    <w:rsid w:val="00EC4F01"/>
    <w:rsid w:val="00EC4FBF"/>
    <w:rsid w:val="00EC5085"/>
    <w:rsid w:val="00EC518F"/>
    <w:rsid w:val="00EC51EC"/>
    <w:rsid w:val="00EC53C1"/>
    <w:rsid w:val="00EC546A"/>
    <w:rsid w:val="00EC54F4"/>
    <w:rsid w:val="00EC55EB"/>
    <w:rsid w:val="00EC55F1"/>
    <w:rsid w:val="00EC5688"/>
    <w:rsid w:val="00EC56E0"/>
    <w:rsid w:val="00EC572B"/>
    <w:rsid w:val="00EC588B"/>
    <w:rsid w:val="00EC5BF5"/>
    <w:rsid w:val="00EC5C1E"/>
    <w:rsid w:val="00EC5CB4"/>
    <w:rsid w:val="00EC5CFA"/>
    <w:rsid w:val="00EC5E12"/>
    <w:rsid w:val="00EC6058"/>
    <w:rsid w:val="00EC60AA"/>
    <w:rsid w:val="00EC61DC"/>
    <w:rsid w:val="00EC625D"/>
    <w:rsid w:val="00EC638F"/>
    <w:rsid w:val="00EC63B9"/>
    <w:rsid w:val="00EC6551"/>
    <w:rsid w:val="00EC6771"/>
    <w:rsid w:val="00EC6778"/>
    <w:rsid w:val="00EC685E"/>
    <w:rsid w:val="00EC69D3"/>
    <w:rsid w:val="00EC6A16"/>
    <w:rsid w:val="00EC6A54"/>
    <w:rsid w:val="00EC6B88"/>
    <w:rsid w:val="00EC6B93"/>
    <w:rsid w:val="00EC6C48"/>
    <w:rsid w:val="00EC6EB3"/>
    <w:rsid w:val="00EC70BE"/>
    <w:rsid w:val="00EC713F"/>
    <w:rsid w:val="00EC71EB"/>
    <w:rsid w:val="00EC7278"/>
    <w:rsid w:val="00EC727E"/>
    <w:rsid w:val="00EC7373"/>
    <w:rsid w:val="00EC73D6"/>
    <w:rsid w:val="00EC73DE"/>
    <w:rsid w:val="00EC7405"/>
    <w:rsid w:val="00EC76B3"/>
    <w:rsid w:val="00EC7721"/>
    <w:rsid w:val="00EC774E"/>
    <w:rsid w:val="00EC7772"/>
    <w:rsid w:val="00EC77B9"/>
    <w:rsid w:val="00EC793A"/>
    <w:rsid w:val="00EC7A4D"/>
    <w:rsid w:val="00EC7A86"/>
    <w:rsid w:val="00EC7A8D"/>
    <w:rsid w:val="00EC7B8C"/>
    <w:rsid w:val="00EC7CCF"/>
    <w:rsid w:val="00EC7CF8"/>
    <w:rsid w:val="00EC7D2A"/>
    <w:rsid w:val="00EC7D72"/>
    <w:rsid w:val="00EC7E52"/>
    <w:rsid w:val="00EC7FD3"/>
    <w:rsid w:val="00EC7FE3"/>
    <w:rsid w:val="00ED0039"/>
    <w:rsid w:val="00ED0089"/>
    <w:rsid w:val="00ED00D9"/>
    <w:rsid w:val="00ED00E4"/>
    <w:rsid w:val="00ED0114"/>
    <w:rsid w:val="00ED0141"/>
    <w:rsid w:val="00ED017C"/>
    <w:rsid w:val="00ED021E"/>
    <w:rsid w:val="00ED0275"/>
    <w:rsid w:val="00ED0348"/>
    <w:rsid w:val="00ED0375"/>
    <w:rsid w:val="00ED03BF"/>
    <w:rsid w:val="00ED0450"/>
    <w:rsid w:val="00ED053C"/>
    <w:rsid w:val="00ED0541"/>
    <w:rsid w:val="00ED05BC"/>
    <w:rsid w:val="00ED05F1"/>
    <w:rsid w:val="00ED0731"/>
    <w:rsid w:val="00ED07DD"/>
    <w:rsid w:val="00ED0938"/>
    <w:rsid w:val="00ED0B8D"/>
    <w:rsid w:val="00ED0B92"/>
    <w:rsid w:val="00ED0BE7"/>
    <w:rsid w:val="00ED0C8D"/>
    <w:rsid w:val="00ED0C9E"/>
    <w:rsid w:val="00ED0D9C"/>
    <w:rsid w:val="00ED0DB8"/>
    <w:rsid w:val="00ED0DEB"/>
    <w:rsid w:val="00ED0E04"/>
    <w:rsid w:val="00ED0EAF"/>
    <w:rsid w:val="00ED0EC0"/>
    <w:rsid w:val="00ED0F5C"/>
    <w:rsid w:val="00ED0FA7"/>
    <w:rsid w:val="00ED1047"/>
    <w:rsid w:val="00ED1070"/>
    <w:rsid w:val="00ED10B9"/>
    <w:rsid w:val="00ED11AE"/>
    <w:rsid w:val="00ED127D"/>
    <w:rsid w:val="00ED1291"/>
    <w:rsid w:val="00ED12AF"/>
    <w:rsid w:val="00ED1331"/>
    <w:rsid w:val="00ED150F"/>
    <w:rsid w:val="00ED156C"/>
    <w:rsid w:val="00ED1607"/>
    <w:rsid w:val="00ED1679"/>
    <w:rsid w:val="00ED1712"/>
    <w:rsid w:val="00ED17CB"/>
    <w:rsid w:val="00ED17D1"/>
    <w:rsid w:val="00ED181F"/>
    <w:rsid w:val="00ED18B4"/>
    <w:rsid w:val="00ED18B9"/>
    <w:rsid w:val="00ED18CB"/>
    <w:rsid w:val="00ED19E1"/>
    <w:rsid w:val="00ED1A85"/>
    <w:rsid w:val="00ED1A8D"/>
    <w:rsid w:val="00ED1B02"/>
    <w:rsid w:val="00ED1B09"/>
    <w:rsid w:val="00ED1C53"/>
    <w:rsid w:val="00ED1C94"/>
    <w:rsid w:val="00ED1CF6"/>
    <w:rsid w:val="00ED1EC0"/>
    <w:rsid w:val="00ED1EC6"/>
    <w:rsid w:val="00ED1ECA"/>
    <w:rsid w:val="00ED21C5"/>
    <w:rsid w:val="00ED2300"/>
    <w:rsid w:val="00ED232A"/>
    <w:rsid w:val="00ED2396"/>
    <w:rsid w:val="00ED251C"/>
    <w:rsid w:val="00ED254E"/>
    <w:rsid w:val="00ED258F"/>
    <w:rsid w:val="00ED2770"/>
    <w:rsid w:val="00ED2880"/>
    <w:rsid w:val="00ED29D5"/>
    <w:rsid w:val="00ED2A68"/>
    <w:rsid w:val="00ED2AA8"/>
    <w:rsid w:val="00ED2AEB"/>
    <w:rsid w:val="00ED2B0C"/>
    <w:rsid w:val="00ED2BA3"/>
    <w:rsid w:val="00ED2D28"/>
    <w:rsid w:val="00ED2DBF"/>
    <w:rsid w:val="00ED2E14"/>
    <w:rsid w:val="00ED2E83"/>
    <w:rsid w:val="00ED2F21"/>
    <w:rsid w:val="00ED2F48"/>
    <w:rsid w:val="00ED3018"/>
    <w:rsid w:val="00ED30E6"/>
    <w:rsid w:val="00ED32A5"/>
    <w:rsid w:val="00ED332B"/>
    <w:rsid w:val="00ED35E1"/>
    <w:rsid w:val="00ED35FD"/>
    <w:rsid w:val="00ED3667"/>
    <w:rsid w:val="00ED36C0"/>
    <w:rsid w:val="00ED3702"/>
    <w:rsid w:val="00ED3966"/>
    <w:rsid w:val="00ED39E1"/>
    <w:rsid w:val="00ED3A07"/>
    <w:rsid w:val="00ED3A23"/>
    <w:rsid w:val="00ED3A48"/>
    <w:rsid w:val="00ED3B63"/>
    <w:rsid w:val="00ED3C45"/>
    <w:rsid w:val="00ED3C7D"/>
    <w:rsid w:val="00ED3D3F"/>
    <w:rsid w:val="00ED3D7F"/>
    <w:rsid w:val="00ED3D92"/>
    <w:rsid w:val="00ED3E10"/>
    <w:rsid w:val="00ED3E97"/>
    <w:rsid w:val="00ED41EE"/>
    <w:rsid w:val="00ED426D"/>
    <w:rsid w:val="00ED438A"/>
    <w:rsid w:val="00ED43BA"/>
    <w:rsid w:val="00ED4417"/>
    <w:rsid w:val="00ED4450"/>
    <w:rsid w:val="00ED44CD"/>
    <w:rsid w:val="00ED455D"/>
    <w:rsid w:val="00ED4726"/>
    <w:rsid w:val="00ED479A"/>
    <w:rsid w:val="00ED49DF"/>
    <w:rsid w:val="00ED4AFE"/>
    <w:rsid w:val="00ED4BF3"/>
    <w:rsid w:val="00ED4C77"/>
    <w:rsid w:val="00ED4E3A"/>
    <w:rsid w:val="00ED4EAB"/>
    <w:rsid w:val="00ED4EB5"/>
    <w:rsid w:val="00ED4EDB"/>
    <w:rsid w:val="00ED4F00"/>
    <w:rsid w:val="00ED5069"/>
    <w:rsid w:val="00ED510F"/>
    <w:rsid w:val="00ED519C"/>
    <w:rsid w:val="00ED51C1"/>
    <w:rsid w:val="00ED5289"/>
    <w:rsid w:val="00ED5298"/>
    <w:rsid w:val="00ED52B9"/>
    <w:rsid w:val="00ED5492"/>
    <w:rsid w:val="00ED54A7"/>
    <w:rsid w:val="00ED54DE"/>
    <w:rsid w:val="00ED551E"/>
    <w:rsid w:val="00ED55BE"/>
    <w:rsid w:val="00ED5641"/>
    <w:rsid w:val="00ED5727"/>
    <w:rsid w:val="00ED5868"/>
    <w:rsid w:val="00ED588D"/>
    <w:rsid w:val="00ED5A16"/>
    <w:rsid w:val="00ED5A67"/>
    <w:rsid w:val="00ED5B18"/>
    <w:rsid w:val="00ED5B75"/>
    <w:rsid w:val="00ED5B86"/>
    <w:rsid w:val="00ED5D28"/>
    <w:rsid w:val="00ED5D68"/>
    <w:rsid w:val="00ED5D80"/>
    <w:rsid w:val="00ED5F03"/>
    <w:rsid w:val="00ED5F2B"/>
    <w:rsid w:val="00ED5FD4"/>
    <w:rsid w:val="00ED60EE"/>
    <w:rsid w:val="00ED6286"/>
    <w:rsid w:val="00ED628E"/>
    <w:rsid w:val="00ED631B"/>
    <w:rsid w:val="00ED6332"/>
    <w:rsid w:val="00ED6508"/>
    <w:rsid w:val="00ED65CC"/>
    <w:rsid w:val="00ED67FC"/>
    <w:rsid w:val="00ED69BB"/>
    <w:rsid w:val="00ED6A91"/>
    <w:rsid w:val="00ED6B51"/>
    <w:rsid w:val="00ED6C7C"/>
    <w:rsid w:val="00ED6DC1"/>
    <w:rsid w:val="00ED6EB7"/>
    <w:rsid w:val="00ED709E"/>
    <w:rsid w:val="00ED70CD"/>
    <w:rsid w:val="00ED7163"/>
    <w:rsid w:val="00ED72D4"/>
    <w:rsid w:val="00ED7340"/>
    <w:rsid w:val="00ED737B"/>
    <w:rsid w:val="00ED7393"/>
    <w:rsid w:val="00ED73B7"/>
    <w:rsid w:val="00ED7486"/>
    <w:rsid w:val="00ED7549"/>
    <w:rsid w:val="00ED767C"/>
    <w:rsid w:val="00ED76EC"/>
    <w:rsid w:val="00ED774A"/>
    <w:rsid w:val="00ED77FF"/>
    <w:rsid w:val="00ED78C4"/>
    <w:rsid w:val="00ED78EA"/>
    <w:rsid w:val="00ED79B6"/>
    <w:rsid w:val="00ED7B18"/>
    <w:rsid w:val="00ED7C32"/>
    <w:rsid w:val="00ED7C3B"/>
    <w:rsid w:val="00ED7C70"/>
    <w:rsid w:val="00ED7C8A"/>
    <w:rsid w:val="00ED7E8D"/>
    <w:rsid w:val="00ED7FB6"/>
    <w:rsid w:val="00EE00DA"/>
    <w:rsid w:val="00EE01C2"/>
    <w:rsid w:val="00EE02D6"/>
    <w:rsid w:val="00EE044E"/>
    <w:rsid w:val="00EE0460"/>
    <w:rsid w:val="00EE0478"/>
    <w:rsid w:val="00EE049C"/>
    <w:rsid w:val="00EE05E0"/>
    <w:rsid w:val="00EE0694"/>
    <w:rsid w:val="00EE07BF"/>
    <w:rsid w:val="00EE08D7"/>
    <w:rsid w:val="00EE08DC"/>
    <w:rsid w:val="00EE090D"/>
    <w:rsid w:val="00EE091B"/>
    <w:rsid w:val="00EE0B14"/>
    <w:rsid w:val="00EE0B25"/>
    <w:rsid w:val="00EE0B70"/>
    <w:rsid w:val="00EE0CDD"/>
    <w:rsid w:val="00EE0E79"/>
    <w:rsid w:val="00EE0F71"/>
    <w:rsid w:val="00EE1026"/>
    <w:rsid w:val="00EE123E"/>
    <w:rsid w:val="00EE1263"/>
    <w:rsid w:val="00EE12D5"/>
    <w:rsid w:val="00EE1353"/>
    <w:rsid w:val="00EE156F"/>
    <w:rsid w:val="00EE15D0"/>
    <w:rsid w:val="00EE1968"/>
    <w:rsid w:val="00EE1AD2"/>
    <w:rsid w:val="00EE1B28"/>
    <w:rsid w:val="00EE1B78"/>
    <w:rsid w:val="00EE1C70"/>
    <w:rsid w:val="00EE1C79"/>
    <w:rsid w:val="00EE1C91"/>
    <w:rsid w:val="00EE1C9C"/>
    <w:rsid w:val="00EE1CCF"/>
    <w:rsid w:val="00EE1D91"/>
    <w:rsid w:val="00EE1EDD"/>
    <w:rsid w:val="00EE1FF1"/>
    <w:rsid w:val="00EE2089"/>
    <w:rsid w:val="00EE2146"/>
    <w:rsid w:val="00EE224C"/>
    <w:rsid w:val="00EE225E"/>
    <w:rsid w:val="00EE23F2"/>
    <w:rsid w:val="00EE24C0"/>
    <w:rsid w:val="00EE258F"/>
    <w:rsid w:val="00EE25D7"/>
    <w:rsid w:val="00EE25D8"/>
    <w:rsid w:val="00EE2652"/>
    <w:rsid w:val="00EE2703"/>
    <w:rsid w:val="00EE27F1"/>
    <w:rsid w:val="00EE2827"/>
    <w:rsid w:val="00EE296B"/>
    <w:rsid w:val="00EE2A0F"/>
    <w:rsid w:val="00EE2A24"/>
    <w:rsid w:val="00EE2A4B"/>
    <w:rsid w:val="00EE2AF7"/>
    <w:rsid w:val="00EE2BBF"/>
    <w:rsid w:val="00EE2D65"/>
    <w:rsid w:val="00EE2DAE"/>
    <w:rsid w:val="00EE2E03"/>
    <w:rsid w:val="00EE2F2B"/>
    <w:rsid w:val="00EE3222"/>
    <w:rsid w:val="00EE32F7"/>
    <w:rsid w:val="00EE34FE"/>
    <w:rsid w:val="00EE35B1"/>
    <w:rsid w:val="00EE3608"/>
    <w:rsid w:val="00EE3675"/>
    <w:rsid w:val="00EE3743"/>
    <w:rsid w:val="00EE3753"/>
    <w:rsid w:val="00EE3917"/>
    <w:rsid w:val="00EE39DE"/>
    <w:rsid w:val="00EE3AE4"/>
    <w:rsid w:val="00EE3B2F"/>
    <w:rsid w:val="00EE3B40"/>
    <w:rsid w:val="00EE3B83"/>
    <w:rsid w:val="00EE3BB9"/>
    <w:rsid w:val="00EE3C9A"/>
    <w:rsid w:val="00EE3CC2"/>
    <w:rsid w:val="00EE3E24"/>
    <w:rsid w:val="00EE3E84"/>
    <w:rsid w:val="00EE3F4F"/>
    <w:rsid w:val="00EE3F96"/>
    <w:rsid w:val="00EE3FDA"/>
    <w:rsid w:val="00EE4050"/>
    <w:rsid w:val="00EE40BD"/>
    <w:rsid w:val="00EE41C9"/>
    <w:rsid w:val="00EE422F"/>
    <w:rsid w:val="00EE4261"/>
    <w:rsid w:val="00EE439A"/>
    <w:rsid w:val="00EE4552"/>
    <w:rsid w:val="00EE46B2"/>
    <w:rsid w:val="00EE46BA"/>
    <w:rsid w:val="00EE476F"/>
    <w:rsid w:val="00EE4776"/>
    <w:rsid w:val="00EE4836"/>
    <w:rsid w:val="00EE486E"/>
    <w:rsid w:val="00EE497B"/>
    <w:rsid w:val="00EE49EF"/>
    <w:rsid w:val="00EE4B31"/>
    <w:rsid w:val="00EE4C0B"/>
    <w:rsid w:val="00EE4CC1"/>
    <w:rsid w:val="00EE4D74"/>
    <w:rsid w:val="00EE4ECD"/>
    <w:rsid w:val="00EE4F48"/>
    <w:rsid w:val="00EE50EA"/>
    <w:rsid w:val="00EE513D"/>
    <w:rsid w:val="00EE51C3"/>
    <w:rsid w:val="00EE5278"/>
    <w:rsid w:val="00EE5362"/>
    <w:rsid w:val="00EE543C"/>
    <w:rsid w:val="00EE5512"/>
    <w:rsid w:val="00EE5574"/>
    <w:rsid w:val="00EE57C2"/>
    <w:rsid w:val="00EE5959"/>
    <w:rsid w:val="00EE5A2B"/>
    <w:rsid w:val="00EE5A7A"/>
    <w:rsid w:val="00EE5C06"/>
    <w:rsid w:val="00EE5CD2"/>
    <w:rsid w:val="00EE5D96"/>
    <w:rsid w:val="00EE5ED6"/>
    <w:rsid w:val="00EE5FE8"/>
    <w:rsid w:val="00EE6005"/>
    <w:rsid w:val="00EE60FB"/>
    <w:rsid w:val="00EE6174"/>
    <w:rsid w:val="00EE61D1"/>
    <w:rsid w:val="00EE6347"/>
    <w:rsid w:val="00EE63EB"/>
    <w:rsid w:val="00EE64F6"/>
    <w:rsid w:val="00EE650A"/>
    <w:rsid w:val="00EE652D"/>
    <w:rsid w:val="00EE65FD"/>
    <w:rsid w:val="00EE6752"/>
    <w:rsid w:val="00EE6879"/>
    <w:rsid w:val="00EE6938"/>
    <w:rsid w:val="00EE6B14"/>
    <w:rsid w:val="00EE6B76"/>
    <w:rsid w:val="00EE6C14"/>
    <w:rsid w:val="00EE6DB3"/>
    <w:rsid w:val="00EE6DBA"/>
    <w:rsid w:val="00EE6EE9"/>
    <w:rsid w:val="00EE7173"/>
    <w:rsid w:val="00EE7191"/>
    <w:rsid w:val="00EE7297"/>
    <w:rsid w:val="00EE736A"/>
    <w:rsid w:val="00EE7401"/>
    <w:rsid w:val="00EE74F7"/>
    <w:rsid w:val="00EE7546"/>
    <w:rsid w:val="00EE75F8"/>
    <w:rsid w:val="00EE7641"/>
    <w:rsid w:val="00EE7736"/>
    <w:rsid w:val="00EE7834"/>
    <w:rsid w:val="00EE78B2"/>
    <w:rsid w:val="00EE78D8"/>
    <w:rsid w:val="00EE78DA"/>
    <w:rsid w:val="00EE792A"/>
    <w:rsid w:val="00EE79A0"/>
    <w:rsid w:val="00EE79C8"/>
    <w:rsid w:val="00EE7A1D"/>
    <w:rsid w:val="00EE7A68"/>
    <w:rsid w:val="00EE7A9A"/>
    <w:rsid w:val="00EE7CAB"/>
    <w:rsid w:val="00EE7D49"/>
    <w:rsid w:val="00EE7D8A"/>
    <w:rsid w:val="00EE7F24"/>
    <w:rsid w:val="00EF01A1"/>
    <w:rsid w:val="00EF01C2"/>
    <w:rsid w:val="00EF0269"/>
    <w:rsid w:val="00EF02F0"/>
    <w:rsid w:val="00EF037D"/>
    <w:rsid w:val="00EF03D4"/>
    <w:rsid w:val="00EF03F2"/>
    <w:rsid w:val="00EF04EC"/>
    <w:rsid w:val="00EF078A"/>
    <w:rsid w:val="00EF083F"/>
    <w:rsid w:val="00EF098F"/>
    <w:rsid w:val="00EF09C5"/>
    <w:rsid w:val="00EF0BC7"/>
    <w:rsid w:val="00EF0BDC"/>
    <w:rsid w:val="00EF0CC2"/>
    <w:rsid w:val="00EF0E25"/>
    <w:rsid w:val="00EF0FE5"/>
    <w:rsid w:val="00EF135A"/>
    <w:rsid w:val="00EF1392"/>
    <w:rsid w:val="00EF1429"/>
    <w:rsid w:val="00EF1573"/>
    <w:rsid w:val="00EF157C"/>
    <w:rsid w:val="00EF15A5"/>
    <w:rsid w:val="00EF1684"/>
    <w:rsid w:val="00EF16B4"/>
    <w:rsid w:val="00EF173E"/>
    <w:rsid w:val="00EF184F"/>
    <w:rsid w:val="00EF1960"/>
    <w:rsid w:val="00EF19FC"/>
    <w:rsid w:val="00EF1B08"/>
    <w:rsid w:val="00EF1BFC"/>
    <w:rsid w:val="00EF1C5B"/>
    <w:rsid w:val="00EF1DB8"/>
    <w:rsid w:val="00EF1DC9"/>
    <w:rsid w:val="00EF1ECD"/>
    <w:rsid w:val="00EF1F9C"/>
    <w:rsid w:val="00EF2042"/>
    <w:rsid w:val="00EF2086"/>
    <w:rsid w:val="00EF20E6"/>
    <w:rsid w:val="00EF2101"/>
    <w:rsid w:val="00EF21BA"/>
    <w:rsid w:val="00EF2283"/>
    <w:rsid w:val="00EF253B"/>
    <w:rsid w:val="00EF25F7"/>
    <w:rsid w:val="00EF261A"/>
    <w:rsid w:val="00EF270D"/>
    <w:rsid w:val="00EF2804"/>
    <w:rsid w:val="00EF280A"/>
    <w:rsid w:val="00EF286E"/>
    <w:rsid w:val="00EF28A1"/>
    <w:rsid w:val="00EF2936"/>
    <w:rsid w:val="00EF2955"/>
    <w:rsid w:val="00EF29C8"/>
    <w:rsid w:val="00EF2A5E"/>
    <w:rsid w:val="00EF2B8E"/>
    <w:rsid w:val="00EF2BA4"/>
    <w:rsid w:val="00EF2BE9"/>
    <w:rsid w:val="00EF2C0C"/>
    <w:rsid w:val="00EF2CF1"/>
    <w:rsid w:val="00EF2D5C"/>
    <w:rsid w:val="00EF2DA6"/>
    <w:rsid w:val="00EF2DE3"/>
    <w:rsid w:val="00EF2E07"/>
    <w:rsid w:val="00EF2E9B"/>
    <w:rsid w:val="00EF2F95"/>
    <w:rsid w:val="00EF303E"/>
    <w:rsid w:val="00EF308F"/>
    <w:rsid w:val="00EF30F8"/>
    <w:rsid w:val="00EF3113"/>
    <w:rsid w:val="00EF3129"/>
    <w:rsid w:val="00EF316C"/>
    <w:rsid w:val="00EF326A"/>
    <w:rsid w:val="00EF334C"/>
    <w:rsid w:val="00EF33FF"/>
    <w:rsid w:val="00EF3444"/>
    <w:rsid w:val="00EF3516"/>
    <w:rsid w:val="00EF3530"/>
    <w:rsid w:val="00EF37A0"/>
    <w:rsid w:val="00EF3852"/>
    <w:rsid w:val="00EF385C"/>
    <w:rsid w:val="00EF3A09"/>
    <w:rsid w:val="00EF3A3C"/>
    <w:rsid w:val="00EF3AB2"/>
    <w:rsid w:val="00EF3C68"/>
    <w:rsid w:val="00EF3DAA"/>
    <w:rsid w:val="00EF3E2D"/>
    <w:rsid w:val="00EF3E88"/>
    <w:rsid w:val="00EF4091"/>
    <w:rsid w:val="00EF4152"/>
    <w:rsid w:val="00EF41A9"/>
    <w:rsid w:val="00EF4247"/>
    <w:rsid w:val="00EF4321"/>
    <w:rsid w:val="00EF43D4"/>
    <w:rsid w:val="00EF4471"/>
    <w:rsid w:val="00EF4864"/>
    <w:rsid w:val="00EF48A8"/>
    <w:rsid w:val="00EF4952"/>
    <w:rsid w:val="00EF496A"/>
    <w:rsid w:val="00EF49F5"/>
    <w:rsid w:val="00EF4AD0"/>
    <w:rsid w:val="00EF4B2D"/>
    <w:rsid w:val="00EF4B69"/>
    <w:rsid w:val="00EF4CA5"/>
    <w:rsid w:val="00EF4DA1"/>
    <w:rsid w:val="00EF4E75"/>
    <w:rsid w:val="00EF4F05"/>
    <w:rsid w:val="00EF510F"/>
    <w:rsid w:val="00EF5113"/>
    <w:rsid w:val="00EF51F6"/>
    <w:rsid w:val="00EF5221"/>
    <w:rsid w:val="00EF524A"/>
    <w:rsid w:val="00EF5301"/>
    <w:rsid w:val="00EF5430"/>
    <w:rsid w:val="00EF548C"/>
    <w:rsid w:val="00EF54AE"/>
    <w:rsid w:val="00EF5669"/>
    <w:rsid w:val="00EF56FC"/>
    <w:rsid w:val="00EF5728"/>
    <w:rsid w:val="00EF5776"/>
    <w:rsid w:val="00EF5811"/>
    <w:rsid w:val="00EF5871"/>
    <w:rsid w:val="00EF5881"/>
    <w:rsid w:val="00EF58BE"/>
    <w:rsid w:val="00EF58FD"/>
    <w:rsid w:val="00EF5AD3"/>
    <w:rsid w:val="00EF5AE3"/>
    <w:rsid w:val="00EF5AF3"/>
    <w:rsid w:val="00EF5BEB"/>
    <w:rsid w:val="00EF5C0F"/>
    <w:rsid w:val="00EF5C53"/>
    <w:rsid w:val="00EF5E53"/>
    <w:rsid w:val="00EF5EFE"/>
    <w:rsid w:val="00EF6051"/>
    <w:rsid w:val="00EF60E5"/>
    <w:rsid w:val="00EF619F"/>
    <w:rsid w:val="00EF62A3"/>
    <w:rsid w:val="00EF6303"/>
    <w:rsid w:val="00EF630C"/>
    <w:rsid w:val="00EF646B"/>
    <w:rsid w:val="00EF66AD"/>
    <w:rsid w:val="00EF66B4"/>
    <w:rsid w:val="00EF6749"/>
    <w:rsid w:val="00EF67CD"/>
    <w:rsid w:val="00EF6A97"/>
    <w:rsid w:val="00EF6AC8"/>
    <w:rsid w:val="00EF6B5A"/>
    <w:rsid w:val="00EF6C9D"/>
    <w:rsid w:val="00EF6DA7"/>
    <w:rsid w:val="00EF6F91"/>
    <w:rsid w:val="00EF6F99"/>
    <w:rsid w:val="00EF701B"/>
    <w:rsid w:val="00EF7058"/>
    <w:rsid w:val="00EF71FE"/>
    <w:rsid w:val="00EF7230"/>
    <w:rsid w:val="00EF756E"/>
    <w:rsid w:val="00EF7593"/>
    <w:rsid w:val="00EF75A5"/>
    <w:rsid w:val="00EF75B5"/>
    <w:rsid w:val="00EF75FB"/>
    <w:rsid w:val="00EF76C8"/>
    <w:rsid w:val="00EF775D"/>
    <w:rsid w:val="00EF77FB"/>
    <w:rsid w:val="00EF7841"/>
    <w:rsid w:val="00EF784B"/>
    <w:rsid w:val="00EF79D4"/>
    <w:rsid w:val="00EF79DB"/>
    <w:rsid w:val="00EF7B1D"/>
    <w:rsid w:val="00EF7B83"/>
    <w:rsid w:val="00EF7BC3"/>
    <w:rsid w:val="00EF7C63"/>
    <w:rsid w:val="00EF7CAF"/>
    <w:rsid w:val="00EF7D85"/>
    <w:rsid w:val="00EF7DE9"/>
    <w:rsid w:val="00EF7E2D"/>
    <w:rsid w:val="00EF7E59"/>
    <w:rsid w:val="00EF7ECE"/>
    <w:rsid w:val="00EF7F78"/>
    <w:rsid w:val="00F00065"/>
    <w:rsid w:val="00F000E3"/>
    <w:rsid w:val="00F00226"/>
    <w:rsid w:val="00F00266"/>
    <w:rsid w:val="00F00357"/>
    <w:rsid w:val="00F0063C"/>
    <w:rsid w:val="00F0079C"/>
    <w:rsid w:val="00F0081F"/>
    <w:rsid w:val="00F00912"/>
    <w:rsid w:val="00F00920"/>
    <w:rsid w:val="00F00990"/>
    <w:rsid w:val="00F009A4"/>
    <w:rsid w:val="00F009C7"/>
    <w:rsid w:val="00F00BB5"/>
    <w:rsid w:val="00F00C9A"/>
    <w:rsid w:val="00F00D8B"/>
    <w:rsid w:val="00F00DF5"/>
    <w:rsid w:val="00F00F8E"/>
    <w:rsid w:val="00F010C3"/>
    <w:rsid w:val="00F0110D"/>
    <w:rsid w:val="00F011EA"/>
    <w:rsid w:val="00F01211"/>
    <w:rsid w:val="00F01377"/>
    <w:rsid w:val="00F01383"/>
    <w:rsid w:val="00F0144B"/>
    <w:rsid w:val="00F016E6"/>
    <w:rsid w:val="00F01767"/>
    <w:rsid w:val="00F01792"/>
    <w:rsid w:val="00F017F2"/>
    <w:rsid w:val="00F01983"/>
    <w:rsid w:val="00F019C5"/>
    <w:rsid w:val="00F019EF"/>
    <w:rsid w:val="00F019F2"/>
    <w:rsid w:val="00F01A3A"/>
    <w:rsid w:val="00F01A9C"/>
    <w:rsid w:val="00F01B80"/>
    <w:rsid w:val="00F01C80"/>
    <w:rsid w:val="00F01CD3"/>
    <w:rsid w:val="00F01CD5"/>
    <w:rsid w:val="00F01D98"/>
    <w:rsid w:val="00F01DE1"/>
    <w:rsid w:val="00F01E4C"/>
    <w:rsid w:val="00F01E5C"/>
    <w:rsid w:val="00F01EAC"/>
    <w:rsid w:val="00F01EEF"/>
    <w:rsid w:val="00F01F01"/>
    <w:rsid w:val="00F01F53"/>
    <w:rsid w:val="00F01F59"/>
    <w:rsid w:val="00F01FED"/>
    <w:rsid w:val="00F020A8"/>
    <w:rsid w:val="00F021BD"/>
    <w:rsid w:val="00F02201"/>
    <w:rsid w:val="00F023F8"/>
    <w:rsid w:val="00F0254B"/>
    <w:rsid w:val="00F025DE"/>
    <w:rsid w:val="00F02915"/>
    <w:rsid w:val="00F029B1"/>
    <w:rsid w:val="00F02A94"/>
    <w:rsid w:val="00F02B28"/>
    <w:rsid w:val="00F02BAE"/>
    <w:rsid w:val="00F02C01"/>
    <w:rsid w:val="00F02C32"/>
    <w:rsid w:val="00F02C4B"/>
    <w:rsid w:val="00F02D47"/>
    <w:rsid w:val="00F02FA7"/>
    <w:rsid w:val="00F03098"/>
    <w:rsid w:val="00F0322B"/>
    <w:rsid w:val="00F03335"/>
    <w:rsid w:val="00F033CD"/>
    <w:rsid w:val="00F0342D"/>
    <w:rsid w:val="00F03431"/>
    <w:rsid w:val="00F034C2"/>
    <w:rsid w:val="00F036F1"/>
    <w:rsid w:val="00F03764"/>
    <w:rsid w:val="00F03903"/>
    <w:rsid w:val="00F03926"/>
    <w:rsid w:val="00F03A05"/>
    <w:rsid w:val="00F03A25"/>
    <w:rsid w:val="00F03A31"/>
    <w:rsid w:val="00F03A68"/>
    <w:rsid w:val="00F03C1F"/>
    <w:rsid w:val="00F03C3D"/>
    <w:rsid w:val="00F03D9F"/>
    <w:rsid w:val="00F03FD3"/>
    <w:rsid w:val="00F03FF9"/>
    <w:rsid w:val="00F04024"/>
    <w:rsid w:val="00F04107"/>
    <w:rsid w:val="00F0411D"/>
    <w:rsid w:val="00F04237"/>
    <w:rsid w:val="00F04247"/>
    <w:rsid w:val="00F0431C"/>
    <w:rsid w:val="00F04340"/>
    <w:rsid w:val="00F04397"/>
    <w:rsid w:val="00F04543"/>
    <w:rsid w:val="00F04708"/>
    <w:rsid w:val="00F047F4"/>
    <w:rsid w:val="00F0480B"/>
    <w:rsid w:val="00F04837"/>
    <w:rsid w:val="00F04957"/>
    <w:rsid w:val="00F04977"/>
    <w:rsid w:val="00F0498C"/>
    <w:rsid w:val="00F04B65"/>
    <w:rsid w:val="00F04BFF"/>
    <w:rsid w:val="00F04D40"/>
    <w:rsid w:val="00F04D6D"/>
    <w:rsid w:val="00F04E79"/>
    <w:rsid w:val="00F04EEA"/>
    <w:rsid w:val="00F04F61"/>
    <w:rsid w:val="00F04FB7"/>
    <w:rsid w:val="00F0507F"/>
    <w:rsid w:val="00F050A0"/>
    <w:rsid w:val="00F05181"/>
    <w:rsid w:val="00F056FD"/>
    <w:rsid w:val="00F05802"/>
    <w:rsid w:val="00F0583C"/>
    <w:rsid w:val="00F05910"/>
    <w:rsid w:val="00F059C1"/>
    <w:rsid w:val="00F05AB9"/>
    <w:rsid w:val="00F05B6B"/>
    <w:rsid w:val="00F05B7A"/>
    <w:rsid w:val="00F05D9F"/>
    <w:rsid w:val="00F05E98"/>
    <w:rsid w:val="00F0607D"/>
    <w:rsid w:val="00F060C5"/>
    <w:rsid w:val="00F06181"/>
    <w:rsid w:val="00F06344"/>
    <w:rsid w:val="00F06410"/>
    <w:rsid w:val="00F06454"/>
    <w:rsid w:val="00F06499"/>
    <w:rsid w:val="00F0649B"/>
    <w:rsid w:val="00F064B0"/>
    <w:rsid w:val="00F066CF"/>
    <w:rsid w:val="00F066DF"/>
    <w:rsid w:val="00F06858"/>
    <w:rsid w:val="00F0689F"/>
    <w:rsid w:val="00F06906"/>
    <w:rsid w:val="00F06913"/>
    <w:rsid w:val="00F06943"/>
    <w:rsid w:val="00F06A26"/>
    <w:rsid w:val="00F06AE7"/>
    <w:rsid w:val="00F06BDE"/>
    <w:rsid w:val="00F06C81"/>
    <w:rsid w:val="00F06DA6"/>
    <w:rsid w:val="00F06EBD"/>
    <w:rsid w:val="00F06F37"/>
    <w:rsid w:val="00F0705B"/>
    <w:rsid w:val="00F0708E"/>
    <w:rsid w:val="00F070C4"/>
    <w:rsid w:val="00F07285"/>
    <w:rsid w:val="00F0728A"/>
    <w:rsid w:val="00F0731E"/>
    <w:rsid w:val="00F07343"/>
    <w:rsid w:val="00F074DF"/>
    <w:rsid w:val="00F0759B"/>
    <w:rsid w:val="00F07633"/>
    <w:rsid w:val="00F077A4"/>
    <w:rsid w:val="00F077E9"/>
    <w:rsid w:val="00F07965"/>
    <w:rsid w:val="00F0797F"/>
    <w:rsid w:val="00F079D2"/>
    <w:rsid w:val="00F07A29"/>
    <w:rsid w:val="00F07AF9"/>
    <w:rsid w:val="00F07BB8"/>
    <w:rsid w:val="00F07DC7"/>
    <w:rsid w:val="00F07DE5"/>
    <w:rsid w:val="00F10022"/>
    <w:rsid w:val="00F10090"/>
    <w:rsid w:val="00F100FB"/>
    <w:rsid w:val="00F101A0"/>
    <w:rsid w:val="00F101CD"/>
    <w:rsid w:val="00F10325"/>
    <w:rsid w:val="00F103F1"/>
    <w:rsid w:val="00F10519"/>
    <w:rsid w:val="00F10534"/>
    <w:rsid w:val="00F10547"/>
    <w:rsid w:val="00F10606"/>
    <w:rsid w:val="00F106D0"/>
    <w:rsid w:val="00F106FE"/>
    <w:rsid w:val="00F10748"/>
    <w:rsid w:val="00F10961"/>
    <w:rsid w:val="00F109CE"/>
    <w:rsid w:val="00F10A24"/>
    <w:rsid w:val="00F10A7E"/>
    <w:rsid w:val="00F10AA6"/>
    <w:rsid w:val="00F10B2B"/>
    <w:rsid w:val="00F10BD8"/>
    <w:rsid w:val="00F10FBC"/>
    <w:rsid w:val="00F1102B"/>
    <w:rsid w:val="00F110A2"/>
    <w:rsid w:val="00F110A5"/>
    <w:rsid w:val="00F110FE"/>
    <w:rsid w:val="00F112C8"/>
    <w:rsid w:val="00F112EB"/>
    <w:rsid w:val="00F113BF"/>
    <w:rsid w:val="00F11487"/>
    <w:rsid w:val="00F11580"/>
    <w:rsid w:val="00F11781"/>
    <w:rsid w:val="00F1182A"/>
    <w:rsid w:val="00F11855"/>
    <w:rsid w:val="00F119D2"/>
    <w:rsid w:val="00F11B12"/>
    <w:rsid w:val="00F11B8E"/>
    <w:rsid w:val="00F11BAF"/>
    <w:rsid w:val="00F11C33"/>
    <w:rsid w:val="00F11D18"/>
    <w:rsid w:val="00F11D1A"/>
    <w:rsid w:val="00F11D95"/>
    <w:rsid w:val="00F11DF5"/>
    <w:rsid w:val="00F12035"/>
    <w:rsid w:val="00F1212F"/>
    <w:rsid w:val="00F1218D"/>
    <w:rsid w:val="00F122F7"/>
    <w:rsid w:val="00F12410"/>
    <w:rsid w:val="00F12549"/>
    <w:rsid w:val="00F125EB"/>
    <w:rsid w:val="00F126E6"/>
    <w:rsid w:val="00F127CE"/>
    <w:rsid w:val="00F127D9"/>
    <w:rsid w:val="00F127F5"/>
    <w:rsid w:val="00F128F0"/>
    <w:rsid w:val="00F1297B"/>
    <w:rsid w:val="00F129D8"/>
    <w:rsid w:val="00F12C48"/>
    <w:rsid w:val="00F12C52"/>
    <w:rsid w:val="00F12CB3"/>
    <w:rsid w:val="00F12F4F"/>
    <w:rsid w:val="00F13043"/>
    <w:rsid w:val="00F1305D"/>
    <w:rsid w:val="00F13108"/>
    <w:rsid w:val="00F131AA"/>
    <w:rsid w:val="00F13289"/>
    <w:rsid w:val="00F133C4"/>
    <w:rsid w:val="00F13503"/>
    <w:rsid w:val="00F13564"/>
    <w:rsid w:val="00F13595"/>
    <w:rsid w:val="00F135AC"/>
    <w:rsid w:val="00F13725"/>
    <w:rsid w:val="00F13785"/>
    <w:rsid w:val="00F13846"/>
    <w:rsid w:val="00F138AB"/>
    <w:rsid w:val="00F138C4"/>
    <w:rsid w:val="00F138FD"/>
    <w:rsid w:val="00F13A31"/>
    <w:rsid w:val="00F13BBA"/>
    <w:rsid w:val="00F13C04"/>
    <w:rsid w:val="00F13C0C"/>
    <w:rsid w:val="00F13C3A"/>
    <w:rsid w:val="00F13CF0"/>
    <w:rsid w:val="00F13D0D"/>
    <w:rsid w:val="00F13D26"/>
    <w:rsid w:val="00F13DA3"/>
    <w:rsid w:val="00F13DFC"/>
    <w:rsid w:val="00F13E51"/>
    <w:rsid w:val="00F13EB2"/>
    <w:rsid w:val="00F14104"/>
    <w:rsid w:val="00F14139"/>
    <w:rsid w:val="00F1417A"/>
    <w:rsid w:val="00F14184"/>
    <w:rsid w:val="00F141B2"/>
    <w:rsid w:val="00F141B7"/>
    <w:rsid w:val="00F1421B"/>
    <w:rsid w:val="00F143C0"/>
    <w:rsid w:val="00F144A0"/>
    <w:rsid w:val="00F14795"/>
    <w:rsid w:val="00F1498B"/>
    <w:rsid w:val="00F149D0"/>
    <w:rsid w:val="00F14A80"/>
    <w:rsid w:val="00F14C41"/>
    <w:rsid w:val="00F14C8A"/>
    <w:rsid w:val="00F14C9F"/>
    <w:rsid w:val="00F14CEE"/>
    <w:rsid w:val="00F14D6C"/>
    <w:rsid w:val="00F14D96"/>
    <w:rsid w:val="00F14DEC"/>
    <w:rsid w:val="00F14E2C"/>
    <w:rsid w:val="00F14E9E"/>
    <w:rsid w:val="00F14EFB"/>
    <w:rsid w:val="00F14F35"/>
    <w:rsid w:val="00F150B5"/>
    <w:rsid w:val="00F1517C"/>
    <w:rsid w:val="00F15194"/>
    <w:rsid w:val="00F153C5"/>
    <w:rsid w:val="00F15419"/>
    <w:rsid w:val="00F155B5"/>
    <w:rsid w:val="00F157E6"/>
    <w:rsid w:val="00F158DD"/>
    <w:rsid w:val="00F1593F"/>
    <w:rsid w:val="00F159BD"/>
    <w:rsid w:val="00F15A42"/>
    <w:rsid w:val="00F15A44"/>
    <w:rsid w:val="00F15C0C"/>
    <w:rsid w:val="00F15C16"/>
    <w:rsid w:val="00F15C1B"/>
    <w:rsid w:val="00F15C33"/>
    <w:rsid w:val="00F15EC0"/>
    <w:rsid w:val="00F16035"/>
    <w:rsid w:val="00F16078"/>
    <w:rsid w:val="00F1607E"/>
    <w:rsid w:val="00F161AC"/>
    <w:rsid w:val="00F162E5"/>
    <w:rsid w:val="00F1632B"/>
    <w:rsid w:val="00F163DE"/>
    <w:rsid w:val="00F163FD"/>
    <w:rsid w:val="00F16434"/>
    <w:rsid w:val="00F16480"/>
    <w:rsid w:val="00F16497"/>
    <w:rsid w:val="00F164EF"/>
    <w:rsid w:val="00F16523"/>
    <w:rsid w:val="00F165EC"/>
    <w:rsid w:val="00F16682"/>
    <w:rsid w:val="00F16687"/>
    <w:rsid w:val="00F166CE"/>
    <w:rsid w:val="00F16714"/>
    <w:rsid w:val="00F16813"/>
    <w:rsid w:val="00F16A43"/>
    <w:rsid w:val="00F16C29"/>
    <w:rsid w:val="00F16D16"/>
    <w:rsid w:val="00F16D3C"/>
    <w:rsid w:val="00F16D90"/>
    <w:rsid w:val="00F16DBF"/>
    <w:rsid w:val="00F16DCD"/>
    <w:rsid w:val="00F16EA9"/>
    <w:rsid w:val="00F1700C"/>
    <w:rsid w:val="00F172CC"/>
    <w:rsid w:val="00F176A7"/>
    <w:rsid w:val="00F176BA"/>
    <w:rsid w:val="00F177C7"/>
    <w:rsid w:val="00F177D2"/>
    <w:rsid w:val="00F177EA"/>
    <w:rsid w:val="00F17881"/>
    <w:rsid w:val="00F17993"/>
    <w:rsid w:val="00F179D1"/>
    <w:rsid w:val="00F17A3B"/>
    <w:rsid w:val="00F17A94"/>
    <w:rsid w:val="00F17AF5"/>
    <w:rsid w:val="00F17B1B"/>
    <w:rsid w:val="00F17C46"/>
    <w:rsid w:val="00F17C97"/>
    <w:rsid w:val="00F17CC5"/>
    <w:rsid w:val="00F17D15"/>
    <w:rsid w:val="00F17E94"/>
    <w:rsid w:val="00F17EBC"/>
    <w:rsid w:val="00F17F09"/>
    <w:rsid w:val="00F200A8"/>
    <w:rsid w:val="00F200E5"/>
    <w:rsid w:val="00F201C4"/>
    <w:rsid w:val="00F201CA"/>
    <w:rsid w:val="00F20207"/>
    <w:rsid w:val="00F2022C"/>
    <w:rsid w:val="00F20246"/>
    <w:rsid w:val="00F20271"/>
    <w:rsid w:val="00F2027B"/>
    <w:rsid w:val="00F202B4"/>
    <w:rsid w:val="00F20304"/>
    <w:rsid w:val="00F20310"/>
    <w:rsid w:val="00F20321"/>
    <w:rsid w:val="00F20348"/>
    <w:rsid w:val="00F203AA"/>
    <w:rsid w:val="00F20401"/>
    <w:rsid w:val="00F2043C"/>
    <w:rsid w:val="00F204A5"/>
    <w:rsid w:val="00F20716"/>
    <w:rsid w:val="00F207C4"/>
    <w:rsid w:val="00F207D7"/>
    <w:rsid w:val="00F20802"/>
    <w:rsid w:val="00F20813"/>
    <w:rsid w:val="00F2093B"/>
    <w:rsid w:val="00F20966"/>
    <w:rsid w:val="00F209AD"/>
    <w:rsid w:val="00F209DE"/>
    <w:rsid w:val="00F20A6D"/>
    <w:rsid w:val="00F20B61"/>
    <w:rsid w:val="00F20B99"/>
    <w:rsid w:val="00F20BA0"/>
    <w:rsid w:val="00F20C2F"/>
    <w:rsid w:val="00F20CE9"/>
    <w:rsid w:val="00F20D0F"/>
    <w:rsid w:val="00F20D10"/>
    <w:rsid w:val="00F20DFC"/>
    <w:rsid w:val="00F20F95"/>
    <w:rsid w:val="00F20FE4"/>
    <w:rsid w:val="00F21063"/>
    <w:rsid w:val="00F21260"/>
    <w:rsid w:val="00F2132B"/>
    <w:rsid w:val="00F21370"/>
    <w:rsid w:val="00F21510"/>
    <w:rsid w:val="00F2177B"/>
    <w:rsid w:val="00F217BE"/>
    <w:rsid w:val="00F218BD"/>
    <w:rsid w:val="00F218E9"/>
    <w:rsid w:val="00F218F4"/>
    <w:rsid w:val="00F21922"/>
    <w:rsid w:val="00F21947"/>
    <w:rsid w:val="00F21AA9"/>
    <w:rsid w:val="00F21AD0"/>
    <w:rsid w:val="00F21B22"/>
    <w:rsid w:val="00F21B7C"/>
    <w:rsid w:val="00F21C62"/>
    <w:rsid w:val="00F21C93"/>
    <w:rsid w:val="00F21DA4"/>
    <w:rsid w:val="00F21F43"/>
    <w:rsid w:val="00F21F85"/>
    <w:rsid w:val="00F2216A"/>
    <w:rsid w:val="00F221A8"/>
    <w:rsid w:val="00F223D3"/>
    <w:rsid w:val="00F2247B"/>
    <w:rsid w:val="00F224C2"/>
    <w:rsid w:val="00F2252E"/>
    <w:rsid w:val="00F22534"/>
    <w:rsid w:val="00F225B4"/>
    <w:rsid w:val="00F225BF"/>
    <w:rsid w:val="00F22623"/>
    <w:rsid w:val="00F2262F"/>
    <w:rsid w:val="00F2264A"/>
    <w:rsid w:val="00F22755"/>
    <w:rsid w:val="00F22770"/>
    <w:rsid w:val="00F22829"/>
    <w:rsid w:val="00F2289B"/>
    <w:rsid w:val="00F22935"/>
    <w:rsid w:val="00F22B38"/>
    <w:rsid w:val="00F22B7B"/>
    <w:rsid w:val="00F22CB2"/>
    <w:rsid w:val="00F22CEC"/>
    <w:rsid w:val="00F22E10"/>
    <w:rsid w:val="00F22E61"/>
    <w:rsid w:val="00F22F02"/>
    <w:rsid w:val="00F22F83"/>
    <w:rsid w:val="00F230C2"/>
    <w:rsid w:val="00F23211"/>
    <w:rsid w:val="00F2321E"/>
    <w:rsid w:val="00F23258"/>
    <w:rsid w:val="00F23384"/>
    <w:rsid w:val="00F234E2"/>
    <w:rsid w:val="00F234E6"/>
    <w:rsid w:val="00F23521"/>
    <w:rsid w:val="00F23554"/>
    <w:rsid w:val="00F23750"/>
    <w:rsid w:val="00F23895"/>
    <w:rsid w:val="00F23973"/>
    <w:rsid w:val="00F23BA1"/>
    <w:rsid w:val="00F23C3F"/>
    <w:rsid w:val="00F23D89"/>
    <w:rsid w:val="00F23F11"/>
    <w:rsid w:val="00F23FF3"/>
    <w:rsid w:val="00F24104"/>
    <w:rsid w:val="00F2446F"/>
    <w:rsid w:val="00F244A4"/>
    <w:rsid w:val="00F247F7"/>
    <w:rsid w:val="00F248B2"/>
    <w:rsid w:val="00F248F3"/>
    <w:rsid w:val="00F24A01"/>
    <w:rsid w:val="00F24A6D"/>
    <w:rsid w:val="00F24A86"/>
    <w:rsid w:val="00F24ADF"/>
    <w:rsid w:val="00F24B23"/>
    <w:rsid w:val="00F24B5A"/>
    <w:rsid w:val="00F24C53"/>
    <w:rsid w:val="00F24CCD"/>
    <w:rsid w:val="00F24D55"/>
    <w:rsid w:val="00F24D87"/>
    <w:rsid w:val="00F251E4"/>
    <w:rsid w:val="00F25268"/>
    <w:rsid w:val="00F252D5"/>
    <w:rsid w:val="00F2541F"/>
    <w:rsid w:val="00F254F5"/>
    <w:rsid w:val="00F25559"/>
    <w:rsid w:val="00F255E3"/>
    <w:rsid w:val="00F2562C"/>
    <w:rsid w:val="00F2575E"/>
    <w:rsid w:val="00F257B7"/>
    <w:rsid w:val="00F258DF"/>
    <w:rsid w:val="00F25C48"/>
    <w:rsid w:val="00F25D54"/>
    <w:rsid w:val="00F25DB4"/>
    <w:rsid w:val="00F25EFD"/>
    <w:rsid w:val="00F25FD5"/>
    <w:rsid w:val="00F25FD9"/>
    <w:rsid w:val="00F261EB"/>
    <w:rsid w:val="00F262B8"/>
    <w:rsid w:val="00F2633D"/>
    <w:rsid w:val="00F264E9"/>
    <w:rsid w:val="00F26531"/>
    <w:rsid w:val="00F26630"/>
    <w:rsid w:val="00F26692"/>
    <w:rsid w:val="00F266CC"/>
    <w:rsid w:val="00F266F4"/>
    <w:rsid w:val="00F268E3"/>
    <w:rsid w:val="00F2693F"/>
    <w:rsid w:val="00F269C6"/>
    <w:rsid w:val="00F269CF"/>
    <w:rsid w:val="00F26BEA"/>
    <w:rsid w:val="00F26C48"/>
    <w:rsid w:val="00F26CF6"/>
    <w:rsid w:val="00F26E6D"/>
    <w:rsid w:val="00F26F43"/>
    <w:rsid w:val="00F27005"/>
    <w:rsid w:val="00F270CC"/>
    <w:rsid w:val="00F2711A"/>
    <w:rsid w:val="00F27128"/>
    <w:rsid w:val="00F27132"/>
    <w:rsid w:val="00F2716A"/>
    <w:rsid w:val="00F27174"/>
    <w:rsid w:val="00F272A0"/>
    <w:rsid w:val="00F27364"/>
    <w:rsid w:val="00F274C0"/>
    <w:rsid w:val="00F274D6"/>
    <w:rsid w:val="00F274F7"/>
    <w:rsid w:val="00F274FB"/>
    <w:rsid w:val="00F2753F"/>
    <w:rsid w:val="00F27563"/>
    <w:rsid w:val="00F276A2"/>
    <w:rsid w:val="00F27707"/>
    <w:rsid w:val="00F27757"/>
    <w:rsid w:val="00F2795D"/>
    <w:rsid w:val="00F279C8"/>
    <w:rsid w:val="00F27A85"/>
    <w:rsid w:val="00F27AA7"/>
    <w:rsid w:val="00F27AAC"/>
    <w:rsid w:val="00F27ABC"/>
    <w:rsid w:val="00F27AD2"/>
    <w:rsid w:val="00F27AE5"/>
    <w:rsid w:val="00F27C0E"/>
    <w:rsid w:val="00F27CA3"/>
    <w:rsid w:val="00F27D7C"/>
    <w:rsid w:val="00F27F4B"/>
    <w:rsid w:val="00F30152"/>
    <w:rsid w:val="00F302EC"/>
    <w:rsid w:val="00F303EF"/>
    <w:rsid w:val="00F30482"/>
    <w:rsid w:val="00F304A1"/>
    <w:rsid w:val="00F30547"/>
    <w:rsid w:val="00F30580"/>
    <w:rsid w:val="00F30599"/>
    <w:rsid w:val="00F305B7"/>
    <w:rsid w:val="00F3064A"/>
    <w:rsid w:val="00F307AA"/>
    <w:rsid w:val="00F3083D"/>
    <w:rsid w:val="00F308C9"/>
    <w:rsid w:val="00F308FA"/>
    <w:rsid w:val="00F30998"/>
    <w:rsid w:val="00F3099B"/>
    <w:rsid w:val="00F30B22"/>
    <w:rsid w:val="00F30B2D"/>
    <w:rsid w:val="00F30B64"/>
    <w:rsid w:val="00F30BFE"/>
    <w:rsid w:val="00F30CA0"/>
    <w:rsid w:val="00F30CD5"/>
    <w:rsid w:val="00F30D12"/>
    <w:rsid w:val="00F30D85"/>
    <w:rsid w:val="00F30DFA"/>
    <w:rsid w:val="00F3116F"/>
    <w:rsid w:val="00F31193"/>
    <w:rsid w:val="00F3126C"/>
    <w:rsid w:val="00F3126D"/>
    <w:rsid w:val="00F313FA"/>
    <w:rsid w:val="00F314F1"/>
    <w:rsid w:val="00F31528"/>
    <w:rsid w:val="00F3154A"/>
    <w:rsid w:val="00F315D5"/>
    <w:rsid w:val="00F315F2"/>
    <w:rsid w:val="00F31605"/>
    <w:rsid w:val="00F3164A"/>
    <w:rsid w:val="00F31689"/>
    <w:rsid w:val="00F31698"/>
    <w:rsid w:val="00F316A9"/>
    <w:rsid w:val="00F31710"/>
    <w:rsid w:val="00F31790"/>
    <w:rsid w:val="00F318B7"/>
    <w:rsid w:val="00F318C2"/>
    <w:rsid w:val="00F31900"/>
    <w:rsid w:val="00F3192F"/>
    <w:rsid w:val="00F31A8E"/>
    <w:rsid w:val="00F31BFB"/>
    <w:rsid w:val="00F31C0B"/>
    <w:rsid w:val="00F31CCA"/>
    <w:rsid w:val="00F31D2D"/>
    <w:rsid w:val="00F31E23"/>
    <w:rsid w:val="00F31E61"/>
    <w:rsid w:val="00F31E6B"/>
    <w:rsid w:val="00F31E81"/>
    <w:rsid w:val="00F31EEA"/>
    <w:rsid w:val="00F31FA1"/>
    <w:rsid w:val="00F32015"/>
    <w:rsid w:val="00F3205A"/>
    <w:rsid w:val="00F32084"/>
    <w:rsid w:val="00F320E2"/>
    <w:rsid w:val="00F3211D"/>
    <w:rsid w:val="00F321FF"/>
    <w:rsid w:val="00F322CF"/>
    <w:rsid w:val="00F32385"/>
    <w:rsid w:val="00F323A4"/>
    <w:rsid w:val="00F323C0"/>
    <w:rsid w:val="00F32404"/>
    <w:rsid w:val="00F32511"/>
    <w:rsid w:val="00F325FD"/>
    <w:rsid w:val="00F32756"/>
    <w:rsid w:val="00F32789"/>
    <w:rsid w:val="00F3291D"/>
    <w:rsid w:val="00F3295B"/>
    <w:rsid w:val="00F32960"/>
    <w:rsid w:val="00F32AC5"/>
    <w:rsid w:val="00F32AE3"/>
    <w:rsid w:val="00F32AE7"/>
    <w:rsid w:val="00F32B04"/>
    <w:rsid w:val="00F32E4E"/>
    <w:rsid w:val="00F32ECB"/>
    <w:rsid w:val="00F32F00"/>
    <w:rsid w:val="00F330A8"/>
    <w:rsid w:val="00F330CD"/>
    <w:rsid w:val="00F33197"/>
    <w:rsid w:val="00F33360"/>
    <w:rsid w:val="00F333B1"/>
    <w:rsid w:val="00F334A6"/>
    <w:rsid w:val="00F334D2"/>
    <w:rsid w:val="00F3350A"/>
    <w:rsid w:val="00F335C6"/>
    <w:rsid w:val="00F33741"/>
    <w:rsid w:val="00F33854"/>
    <w:rsid w:val="00F33A7B"/>
    <w:rsid w:val="00F33BB0"/>
    <w:rsid w:val="00F33CB3"/>
    <w:rsid w:val="00F33D25"/>
    <w:rsid w:val="00F33D55"/>
    <w:rsid w:val="00F33DB8"/>
    <w:rsid w:val="00F33DC7"/>
    <w:rsid w:val="00F33F47"/>
    <w:rsid w:val="00F33F8A"/>
    <w:rsid w:val="00F34042"/>
    <w:rsid w:val="00F3416A"/>
    <w:rsid w:val="00F341A2"/>
    <w:rsid w:val="00F34442"/>
    <w:rsid w:val="00F34461"/>
    <w:rsid w:val="00F34508"/>
    <w:rsid w:val="00F3450D"/>
    <w:rsid w:val="00F345C6"/>
    <w:rsid w:val="00F34655"/>
    <w:rsid w:val="00F34799"/>
    <w:rsid w:val="00F347B5"/>
    <w:rsid w:val="00F348A1"/>
    <w:rsid w:val="00F348BB"/>
    <w:rsid w:val="00F34B89"/>
    <w:rsid w:val="00F34CF2"/>
    <w:rsid w:val="00F34D47"/>
    <w:rsid w:val="00F34E39"/>
    <w:rsid w:val="00F35063"/>
    <w:rsid w:val="00F350AC"/>
    <w:rsid w:val="00F350C9"/>
    <w:rsid w:val="00F3519F"/>
    <w:rsid w:val="00F35206"/>
    <w:rsid w:val="00F35244"/>
    <w:rsid w:val="00F35276"/>
    <w:rsid w:val="00F352C8"/>
    <w:rsid w:val="00F35319"/>
    <w:rsid w:val="00F35479"/>
    <w:rsid w:val="00F3549B"/>
    <w:rsid w:val="00F354FB"/>
    <w:rsid w:val="00F3554F"/>
    <w:rsid w:val="00F355D3"/>
    <w:rsid w:val="00F35728"/>
    <w:rsid w:val="00F358EA"/>
    <w:rsid w:val="00F35935"/>
    <w:rsid w:val="00F35A27"/>
    <w:rsid w:val="00F35AB7"/>
    <w:rsid w:val="00F35BE3"/>
    <w:rsid w:val="00F35D80"/>
    <w:rsid w:val="00F35E1E"/>
    <w:rsid w:val="00F35F05"/>
    <w:rsid w:val="00F35FF5"/>
    <w:rsid w:val="00F36051"/>
    <w:rsid w:val="00F36279"/>
    <w:rsid w:val="00F362CE"/>
    <w:rsid w:val="00F363A2"/>
    <w:rsid w:val="00F364E7"/>
    <w:rsid w:val="00F36506"/>
    <w:rsid w:val="00F36555"/>
    <w:rsid w:val="00F36609"/>
    <w:rsid w:val="00F367F3"/>
    <w:rsid w:val="00F3686E"/>
    <w:rsid w:val="00F3687C"/>
    <w:rsid w:val="00F36D06"/>
    <w:rsid w:val="00F36D35"/>
    <w:rsid w:val="00F36D57"/>
    <w:rsid w:val="00F36EB0"/>
    <w:rsid w:val="00F3711F"/>
    <w:rsid w:val="00F373D9"/>
    <w:rsid w:val="00F37429"/>
    <w:rsid w:val="00F37481"/>
    <w:rsid w:val="00F37493"/>
    <w:rsid w:val="00F3757A"/>
    <w:rsid w:val="00F37791"/>
    <w:rsid w:val="00F377DC"/>
    <w:rsid w:val="00F377E1"/>
    <w:rsid w:val="00F378B5"/>
    <w:rsid w:val="00F37923"/>
    <w:rsid w:val="00F37995"/>
    <w:rsid w:val="00F379EF"/>
    <w:rsid w:val="00F37AD9"/>
    <w:rsid w:val="00F37BB2"/>
    <w:rsid w:val="00F37CF8"/>
    <w:rsid w:val="00F37D08"/>
    <w:rsid w:val="00F37DCA"/>
    <w:rsid w:val="00F37E31"/>
    <w:rsid w:val="00F37F02"/>
    <w:rsid w:val="00F37F87"/>
    <w:rsid w:val="00F37FC3"/>
    <w:rsid w:val="00F40106"/>
    <w:rsid w:val="00F4017C"/>
    <w:rsid w:val="00F4019D"/>
    <w:rsid w:val="00F40325"/>
    <w:rsid w:val="00F40349"/>
    <w:rsid w:val="00F4050B"/>
    <w:rsid w:val="00F4073F"/>
    <w:rsid w:val="00F4074B"/>
    <w:rsid w:val="00F40769"/>
    <w:rsid w:val="00F40794"/>
    <w:rsid w:val="00F4097B"/>
    <w:rsid w:val="00F409D6"/>
    <w:rsid w:val="00F40A02"/>
    <w:rsid w:val="00F40AD5"/>
    <w:rsid w:val="00F40B08"/>
    <w:rsid w:val="00F40BA1"/>
    <w:rsid w:val="00F40C4B"/>
    <w:rsid w:val="00F40C65"/>
    <w:rsid w:val="00F40CA0"/>
    <w:rsid w:val="00F40CD3"/>
    <w:rsid w:val="00F40D90"/>
    <w:rsid w:val="00F40DA6"/>
    <w:rsid w:val="00F40E7B"/>
    <w:rsid w:val="00F40E8D"/>
    <w:rsid w:val="00F40F68"/>
    <w:rsid w:val="00F411DB"/>
    <w:rsid w:val="00F41220"/>
    <w:rsid w:val="00F412C7"/>
    <w:rsid w:val="00F4134E"/>
    <w:rsid w:val="00F413EE"/>
    <w:rsid w:val="00F4142F"/>
    <w:rsid w:val="00F414A5"/>
    <w:rsid w:val="00F41649"/>
    <w:rsid w:val="00F41771"/>
    <w:rsid w:val="00F4180A"/>
    <w:rsid w:val="00F419AD"/>
    <w:rsid w:val="00F41C4F"/>
    <w:rsid w:val="00F41CB6"/>
    <w:rsid w:val="00F41CDE"/>
    <w:rsid w:val="00F41CE3"/>
    <w:rsid w:val="00F41CF8"/>
    <w:rsid w:val="00F41E23"/>
    <w:rsid w:val="00F41E74"/>
    <w:rsid w:val="00F420A6"/>
    <w:rsid w:val="00F420BA"/>
    <w:rsid w:val="00F42212"/>
    <w:rsid w:val="00F4224C"/>
    <w:rsid w:val="00F4230D"/>
    <w:rsid w:val="00F423C0"/>
    <w:rsid w:val="00F42664"/>
    <w:rsid w:val="00F4269B"/>
    <w:rsid w:val="00F4281A"/>
    <w:rsid w:val="00F428AA"/>
    <w:rsid w:val="00F428CC"/>
    <w:rsid w:val="00F42947"/>
    <w:rsid w:val="00F42A77"/>
    <w:rsid w:val="00F42BB1"/>
    <w:rsid w:val="00F42CAF"/>
    <w:rsid w:val="00F42CDC"/>
    <w:rsid w:val="00F42D1C"/>
    <w:rsid w:val="00F42D9F"/>
    <w:rsid w:val="00F42DE5"/>
    <w:rsid w:val="00F42EB3"/>
    <w:rsid w:val="00F42EC0"/>
    <w:rsid w:val="00F42EFA"/>
    <w:rsid w:val="00F42F32"/>
    <w:rsid w:val="00F42F7C"/>
    <w:rsid w:val="00F43082"/>
    <w:rsid w:val="00F430D2"/>
    <w:rsid w:val="00F4317E"/>
    <w:rsid w:val="00F431FB"/>
    <w:rsid w:val="00F432A4"/>
    <w:rsid w:val="00F43381"/>
    <w:rsid w:val="00F43397"/>
    <w:rsid w:val="00F433D4"/>
    <w:rsid w:val="00F434F3"/>
    <w:rsid w:val="00F43787"/>
    <w:rsid w:val="00F43848"/>
    <w:rsid w:val="00F4390C"/>
    <w:rsid w:val="00F43946"/>
    <w:rsid w:val="00F439C8"/>
    <w:rsid w:val="00F43A16"/>
    <w:rsid w:val="00F43A2B"/>
    <w:rsid w:val="00F43B19"/>
    <w:rsid w:val="00F43C05"/>
    <w:rsid w:val="00F43C9B"/>
    <w:rsid w:val="00F43D25"/>
    <w:rsid w:val="00F43D34"/>
    <w:rsid w:val="00F43E0D"/>
    <w:rsid w:val="00F43E7C"/>
    <w:rsid w:val="00F43EE2"/>
    <w:rsid w:val="00F44020"/>
    <w:rsid w:val="00F4419C"/>
    <w:rsid w:val="00F4419F"/>
    <w:rsid w:val="00F441A3"/>
    <w:rsid w:val="00F44201"/>
    <w:rsid w:val="00F442ED"/>
    <w:rsid w:val="00F44345"/>
    <w:rsid w:val="00F4436C"/>
    <w:rsid w:val="00F4444F"/>
    <w:rsid w:val="00F4448C"/>
    <w:rsid w:val="00F444BE"/>
    <w:rsid w:val="00F4451B"/>
    <w:rsid w:val="00F4463B"/>
    <w:rsid w:val="00F446D5"/>
    <w:rsid w:val="00F4487C"/>
    <w:rsid w:val="00F44990"/>
    <w:rsid w:val="00F449EE"/>
    <w:rsid w:val="00F44A2B"/>
    <w:rsid w:val="00F44AC7"/>
    <w:rsid w:val="00F44B8D"/>
    <w:rsid w:val="00F44BBD"/>
    <w:rsid w:val="00F44BE8"/>
    <w:rsid w:val="00F44CB9"/>
    <w:rsid w:val="00F44CC5"/>
    <w:rsid w:val="00F44CDB"/>
    <w:rsid w:val="00F44CEA"/>
    <w:rsid w:val="00F44D46"/>
    <w:rsid w:val="00F44DC5"/>
    <w:rsid w:val="00F44E99"/>
    <w:rsid w:val="00F44F52"/>
    <w:rsid w:val="00F44FA7"/>
    <w:rsid w:val="00F45049"/>
    <w:rsid w:val="00F4504E"/>
    <w:rsid w:val="00F45088"/>
    <w:rsid w:val="00F45106"/>
    <w:rsid w:val="00F45178"/>
    <w:rsid w:val="00F45211"/>
    <w:rsid w:val="00F4524B"/>
    <w:rsid w:val="00F45258"/>
    <w:rsid w:val="00F45266"/>
    <w:rsid w:val="00F45394"/>
    <w:rsid w:val="00F453BF"/>
    <w:rsid w:val="00F453D6"/>
    <w:rsid w:val="00F454B5"/>
    <w:rsid w:val="00F454BB"/>
    <w:rsid w:val="00F455B0"/>
    <w:rsid w:val="00F45708"/>
    <w:rsid w:val="00F45755"/>
    <w:rsid w:val="00F457B8"/>
    <w:rsid w:val="00F457E2"/>
    <w:rsid w:val="00F4588D"/>
    <w:rsid w:val="00F458B2"/>
    <w:rsid w:val="00F4590D"/>
    <w:rsid w:val="00F45936"/>
    <w:rsid w:val="00F45A74"/>
    <w:rsid w:val="00F45A89"/>
    <w:rsid w:val="00F45B34"/>
    <w:rsid w:val="00F45BDD"/>
    <w:rsid w:val="00F45C1F"/>
    <w:rsid w:val="00F45C5F"/>
    <w:rsid w:val="00F45C85"/>
    <w:rsid w:val="00F45CFD"/>
    <w:rsid w:val="00F45D0B"/>
    <w:rsid w:val="00F45D4A"/>
    <w:rsid w:val="00F45D4F"/>
    <w:rsid w:val="00F45EBB"/>
    <w:rsid w:val="00F45EE6"/>
    <w:rsid w:val="00F45F05"/>
    <w:rsid w:val="00F45F31"/>
    <w:rsid w:val="00F45FCD"/>
    <w:rsid w:val="00F46048"/>
    <w:rsid w:val="00F460C7"/>
    <w:rsid w:val="00F4613D"/>
    <w:rsid w:val="00F46157"/>
    <w:rsid w:val="00F461B4"/>
    <w:rsid w:val="00F4624A"/>
    <w:rsid w:val="00F462D9"/>
    <w:rsid w:val="00F46322"/>
    <w:rsid w:val="00F4634B"/>
    <w:rsid w:val="00F464CC"/>
    <w:rsid w:val="00F46595"/>
    <w:rsid w:val="00F465A1"/>
    <w:rsid w:val="00F46630"/>
    <w:rsid w:val="00F4676C"/>
    <w:rsid w:val="00F4677F"/>
    <w:rsid w:val="00F46949"/>
    <w:rsid w:val="00F46F14"/>
    <w:rsid w:val="00F4700E"/>
    <w:rsid w:val="00F47017"/>
    <w:rsid w:val="00F47080"/>
    <w:rsid w:val="00F471AD"/>
    <w:rsid w:val="00F47306"/>
    <w:rsid w:val="00F47359"/>
    <w:rsid w:val="00F4739F"/>
    <w:rsid w:val="00F4741D"/>
    <w:rsid w:val="00F474D9"/>
    <w:rsid w:val="00F475B3"/>
    <w:rsid w:val="00F4776A"/>
    <w:rsid w:val="00F4776F"/>
    <w:rsid w:val="00F478B7"/>
    <w:rsid w:val="00F4793E"/>
    <w:rsid w:val="00F47AEB"/>
    <w:rsid w:val="00F47B1B"/>
    <w:rsid w:val="00F47B2F"/>
    <w:rsid w:val="00F47C86"/>
    <w:rsid w:val="00F47DD5"/>
    <w:rsid w:val="00F47E6B"/>
    <w:rsid w:val="00F47E9D"/>
    <w:rsid w:val="00F47F57"/>
    <w:rsid w:val="00F500BC"/>
    <w:rsid w:val="00F5020F"/>
    <w:rsid w:val="00F50586"/>
    <w:rsid w:val="00F50630"/>
    <w:rsid w:val="00F506C0"/>
    <w:rsid w:val="00F50722"/>
    <w:rsid w:val="00F50816"/>
    <w:rsid w:val="00F50861"/>
    <w:rsid w:val="00F50999"/>
    <w:rsid w:val="00F509BE"/>
    <w:rsid w:val="00F509CD"/>
    <w:rsid w:val="00F50A97"/>
    <w:rsid w:val="00F50A9E"/>
    <w:rsid w:val="00F50AF4"/>
    <w:rsid w:val="00F50C2F"/>
    <w:rsid w:val="00F50C89"/>
    <w:rsid w:val="00F50C9E"/>
    <w:rsid w:val="00F50D89"/>
    <w:rsid w:val="00F50E20"/>
    <w:rsid w:val="00F50E2D"/>
    <w:rsid w:val="00F50EB8"/>
    <w:rsid w:val="00F50F4A"/>
    <w:rsid w:val="00F50FFB"/>
    <w:rsid w:val="00F5100C"/>
    <w:rsid w:val="00F51018"/>
    <w:rsid w:val="00F51085"/>
    <w:rsid w:val="00F510D4"/>
    <w:rsid w:val="00F5115A"/>
    <w:rsid w:val="00F51271"/>
    <w:rsid w:val="00F51272"/>
    <w:rsid w:val="00F512AD"/>
    <w:rsid w:val="00F512C1"/>
    <w:rsid w:val="00F5133B"/>
    <w:rsid w:val="00F513C3"/>
    <w:rsid w:val="00F513CB"/>
    <w:rsid w:val="00F5146F"/>
    <w:rsid w:val="00F51615"/>
    <w:rsid w:val="00F51649"/>
    <w:rsid w:val="00F51650"/>
    <w:rsid w:val="00F51714"/>
    <w:rsid w:val="00F5199E"/>
    <w:rsid w:val="00F51B3C"/>
    <w:rsid w:val="00F51B9A"/>
    <w:rsid w:val="00F51C17"/>
    <w:rsid w:val="00F51D1E"/>
    <w:rsid w:val="00F51F5C"/>
    <w:rsid w:val="00F51FA4"/>
    <w:rsid w:val="00F5218A"/>
    <w:rsid w:val="00F521C1"/>
    <w:rsid w:val="00F52231"/>
    <w:rsid w:val="00F52299"/>
    <w:rsid w:val="00F52355"/>
    <w:rsid w:val="00F523B0"/>
    <w:rsid w:val="00F5242B"/>
    <w:rsid w:val="00F52500"/>
    <w:rsid w:val="00F5253C"/>
    <w:rsid w:val="00F525D8"/>
    <w:rsid w:val="00F525ED"/>
    <w:rsid w:val="00F52659"/>
    <w:rsid w:val="00F52732"/>
    <w:rsid w:val="00F528A8"/>
    <w:rsid w:val="00F5295E"/>
    <w:rsid w:val="00F529D0"/>
    <w:rsid w:val="00F52A9F"/>
    <w:rsid w:val="00F52B41"/>
    <w:rsid w:val="00F52B8A"/>
    <w:rsid w:val="00F52BBD"/>
    <w:rsid w:val="00F52C8A"/>
    <w:rsid w:val="00F52D6C"/>
    <w:rsid w:val="00F52D6D"/>
    <w:rsid w:val="00F52DA3"/>
    <w:rsid w:val="00F52DBB"/>
    <w:rsid w:val="00F52ED7"/>
    <w:rsid w:val="00F52F91"/>
    <w:rsid w:val="00F53045"/>
    <w:rsid w:val="00F534ED"/>
    <w:rsid w:val="00F534F0"/>
    <w:rsid w:val="00F5379B"/>
    <w:rsid w:val="00F53927"/>
    <w:rsid w:val="00F539F0"/>
    <w:rsid w:val="00F53CEB"/>
    <w:rsid w:val="00F53E5F"/>
    <w:rsid w:val="00F53ED3"/>
    <w:rsid w:val="00F53EE3"/>
    <w:rsid w:val="00F53EF6"/>
    <w:rsid w:val="00F53F5A"/>
    <w:rsid w:val="00F5401B"/>
    <w:rsid w:val="00F5408C"/>
    <w:rsid w:val="00F54096"/>
    <w:rsid w:val="00F5434E"/>
    <w:rsid w:val="00F54444"/>
    <w:rsid w:val="00F5452A"/>
    <w:rsid w:val="00F5458C"/>
    <w:rsid w:val="00F54693"/>
    <w:rsid w:val="00F546E9"/>
    <w:rsid w:val="00F5476E"/>
    <w:rsid w:val="00F547FD"/>
    <w:rsid w:val="00F549C1"/>
    <w:rsid w:val="00F549FF"/>
    <w:rsid w:val="00F54A53"/>
    <w:rsid w:val="00F54A8E"/>
    <w:rsid w:val="00F54AD1"/>
    <w:rsid w:val="00F54B6E"/>
    <w:rsid w:val="00F54DFF"/>
    <w:rsid w:val="00F54F02"/>
    <w:rsid w:val="00F54F07"/>
    <w:rsid w:val="00F54F6B"/>
    <w:rsid w:val="00F54FA0"/>
    <w:rsid w:val="00F54FC7"/>
    <w:rsid w:val="00F5528B"/>
    <w:rsid w:val="00F5538F"/>
    <w:rsid w:val="00F553BB"/>
    <w:rsid w:val="00F553F4"/>
    <w:rsid w:val="00F55459"/>
    <w:rsid w:val="00F554A8"/>
    <w:rsid w:val="00F555A1"/>
    <w:rsid w:val="00F55614"/>
    <w:rsid w:val="00F55637"/>
    <w:rsid w:val="00F556CD"/>
    <w:rsid w:val="00F5571C"/>
    <w:rsid w:val="00F55738"/>
    <w:rsid w:val="00F55798"/>
    <w:rsid w:val="00F55863"/>
    <w:rsid w:val="00F55872"/>
    <w:rsid w:val="00F558E5"/>
    <w:rsid w:val="00F55954"/>
    <w:rsid w:val="00F559E0"/>
    <w:rsid w:val="00F55A96"/>
    <w:rsid w:val="00F55C58"/>
    <w:rsid w:val="00F55C62"/>
    <w:rsid w:val="00F55CAF"/>
    <w:rsid w:val="00F55D88"/>
    <w:rsid w:val="00F55DF9"/>
    <w:rsid w:val="00F55E25"/>
    <w:rsid w:val="00F55F24"/>
    <w:rsid w:val="00F55F71"/>
    <w:rsid w:val="00F55FAD"/>
    <w:rsid w:val="00F56033"/>
    <w:rsid w:val="00F56108"/>
    <w:rsid w:val="00F56139"/>
    <w:rsid w:val="00F56175"/>
    <w:rsid w:val="00F5626B"/>
    <w:rsid w:val="00F5629C"/>
    <w:rsid w:val="00F56300"/>
    <w:rsid w:val="00F5658D"/>
    <w:rsid w:val="00F56604"/>
    <w:rsid w:val="00F566A7"/>
    <w:rsid w:val="00F56703"/>
    <w:rsid w:val="00F56812"/>
    <w:rsid w:val="00F5695C"/>
    <w:rsid w:val="00F56A11"/>
    <w:rsid w:val="00F56B0B"/>
    <w:rsid w:val="00F56C7F"/>
    <w:rsid w:val="00F56F6C"/>
    <w:rsid w:val="00F56FDA"/>
    <w:rsid w:val="00F57092"/>
    <w:rsid w:val="00F5710E"/>
    <w:rsid w:val="00F5718C"/>
    <w:rsid w:val="00F571D0"/>
    <w:rsid w:val="00F57315"/>
    <w:rsid w:val="00F57377"/>
    <w:rsid w:val="00F574CA"/>
    <w:rsid w:val="00F57520"/>
    <w:rsid w:val="00F5752D"/>
    <w:rsid w:val="00F575F4"/>
    <w:rsid w:val="00F57600"/>
    <w:rsid w:val="00F576DE"/>
    <w:rsid w:val="00F5794D"/>
    <w:rsid w:val="00F57B05"/>
    <w:rsid w:val="00F57B14"/>
    <w:rsid w:val="00F57B2D"/>
    <w:rsid w:val="00F57BF8"/>
    <w:rsid w:val="00F57D56"/>
    <w:rsid w:val="00F57D57"/>
    <w:rsid w:val="00F57E73"/>
    <w:rsid w:val="00F57EE1"/>
    <w:rsid w:val="00F57F35"/>
    <w:rsid w:val="00F57F6E"/>
    <w:rsid w:val="00F57FDE"/>
    <w:rsid w:val="00F57FEE"/>
    <w:rsid w:val="00F600AA"/>
    <w:rsid w:val="00F602D6"/>
    <w:rsid w:val="00F603C0"/>
    <w:rsid w:val="00F6046E"/>
    <w:rsid w:val="00F604CE"/>
    <w:rsid w:val="00F605CF"/>
    <w:rsid w:val="00F60644"/>
    <w:rsid w:val="00F60699"/>
    <w:rsid w:val="00F60842"/>
    <w:rsid w:val="00F608DA"/>
    <w:rsid w:val="00F60901"/>
    <w:rsid w:val="00F609E3"/>
    <w:rsid w:val="00F60DE2"/>
    <w:rsid w:val="00F60F74"/>
    <w:rsid w:val="00F6113B"/>
    <w:rsid w:val="00F613B7"/>
    <w:rsid w:val="00F61414"/>
    <w:rsid w:val="00F6145F"/>
    <w:rsid w:val="00F6149B"/>
    <w:rsid w:val="00F6155B"/>
    <w:rsid w:val="00F61605"/>
    <w:rsid w:val="00F61613"/>
    <w:rsid w:val="00F616B5"/>
    <w:rsid w:val="00F617CF"/>
    <w:rsid w:val="00F61840"/>
    <w:rsid w:val="00F61843"/>
    <w:rsid w:val="00F6186B"/>
    <w:rsid w:val="00F6190C"/>
    <w:rsid w:val="00F6195B"/>
    <w:rsid w:val="00F61A1A"/>
    <w:rsid w:val="00F61A32"/>
    <w:rsid w:val="00F61B69"/>
    <w:rsid w:val="00F61C7C"/>
    <w:rsid w:val="00F61CAE"/>
    <w:rsid w:val="00F61CD9"/>
    <w:rsid w:val="00F61CE4"/>
    <w:rsid w:val="00F61E22"/>
    <w:rsid w:val="00F61E4F"/>
    <w:rsid w:val="00F61EF7"/>
    <w:rsid w:val="00F620FE"/>
    <w:rsid w:val="00F6214A"/>
    <w:rsid w:val="00F6214B"/>
    <w:rsid w:val="00F622AC"/>
    <w:rsid w:val="00F6237B"/>
    <w:rsid w:val="00F623E4"/>
    <w:rsid w:val="00F6244A"/>
    <w:rsid w:val="00F6244B"/>
    <w:rsid w:val="00F62568"/>
    <w:rsid w:val="00F625D7"/>
    <w:rsid w:val="00F6274F"/>
    <w:rsid w:val="00F6280C"/>
    <w:rsid w:val="00F62A00"/>
    <w:rsid w:val="00F62A46"/>
    <w:rsid w:val="00F62A5E"/>
    <w:rsid w:val="00F62D50"/>
    <w:rsid w:val="00F62D54"/>
    <w:rsid w:val="00F62D9D"/>
    <w:rsid w:val="00F62EDA"/>
    <w:rsid w:val="00F63148"/>
    <w:rsid w:val="00F631B0"/>
    <w:rsid w:val="00F633C1"/>
    <w:rsid w:val="00F633D5"/>
    <w:rsid w:val="00F633E7"/>
    <w:rsid w:val="00F63415"/>
    <w:rsid w:val="00F634CD"/>
    <w:rsid w:val="00F6353C"/>
    <w:rsid w:val="00F63565"/>
    <w:rsid w:val="00F63666"/>
    <w:rsid w:val="00F636DD"/>
    <w:rsid w:val="00F63703"/>
    <w:rsid w:val="00F639ED"/>
    <w:rsid w:val="00F63A7D"/>
    <w:rsid w:val="00F63A88"/>
    <w:rsid w:val="00F63ADB"/>
    <w:rsid w:val="00F63C16"/>
    <w:rsid w:val="00F63D7F"/>
    <w:rsid w:val="00F63E31"/>
    <w:rsid w:val="00F63E4D"/>
    <w:rsid w:val="00F64115"/>
    <w:rsid w:val="00F64279"/>
    <w:rsid w:val="00F643B0"/>
    <w:rsid w:val="00F64627"/>
    <w:rsid w:val="00F64747"/>
    <w:rsid w:val="00F64763"/>
    <w:rsid w:val="00F6478C"/>
    <w:rsid w:val="00F648D3"/>
    <w:rsid w:val="00F64951"/>
    <w:rsid w:val="00F64973"/>
    <w:rsid w:val="00F64A2E"/>
    <w:rsid w:val="00F64A44"/>
    <w:rsid w:val="00F64A7D"/>
    <w:rsid w:val="00F64B37"/>
    <w:rsid w:val="00F64CB2"/>
    <w:rsid w:val="00F64DA4"/>
    <w:rsid w:val="00F64DF9"/>
    <w:rsid w:val="00F64E3D"/>
    <w:rsid w:val="00F64E92"/>
    <w:rsid w:val="00F64F02"/>
    <w:rsid w:val="00F64FD9"/>
    <w:rsid w:val="00F65055"/>
    <w:rsid w:val="00F65096"/>
    <w:rsid w:val="00F6528A"/>
    <w:rsid w:val="00F6531B"/>
    <w:rsid w:val="00F6542E"/>
    <w:rsid w:val="00F65552"/>
    <w:rsid w:val="00F65565"/>
    <w:rsid w:val="00F6556B"/>
    <w:rsid w:val="00F65675"/>
    <w:rsid w:val="00F6573E"/>
    <w:rsid w:val="00F6576A"/>
    <w:rsid w:val="00F6576E"/>
    <w:rsid w:val="00F65785"/>
    <w:rsid w:val="00F657BE"/>
    <w:rsid w:val="00F6580E"/>
    <w:rsid w:val="00F6587B"/>
    <w:rsid w:val="00F65A26"/>
    <w:rsid w:val="00F65A50"/>
    <w:rsid w:val="00F65A92"/>
    <w:rsid w:val="00F65BC7"/>
    <w:rsid w:val="00F65C10"/>
    <w:rsid w:val="00F65C3E"/>
    <w:rsid w:val="00F65C53"/>
    <w:rsid w:val="00F65CD1"/>
    <w:rsid w:val="00F65CD6"/>
    <w:rsid w:val="00F65DE5"/>
    <w:rsid w:val="00F65DFE"/>
    <w:rsid w:val="00F65E43"/>
    <w:rsid w:val="00F65E6A"/>
    <w:rsid w:val="00F65E9C"/>
    <w:rsid w:val="00F65EB7"/>
    <w:rsid w:val="00F65ECA"/>
    <w:rsid w:val="00F65ED4"/>
    <w:rsid w:val="00F65F26"/>
    <w:rsid w:val="00F660D3"/>
    <w:rsid w:val="00F66101"/>
    <w:rsid w:val="00F6617D"/>
    <w:rsid w:val="00F66212"/>
    <w:rsid w:val="00F66294"/>
    <w:rsid w:val="00F664AA"/>
    <w:rsid w:val="00F66596"/>
    <w:rsid w:val="00F66699"/>
    <w:rsid w:val="00F666BF"/>
    <w:rsid w:val="00F667C5"/>
    <w:rsid w:val="00F66AE0"/>
    <w:rsid w:val="00F66B8D"/>
    <w:rsid w:val="00F66C89"/>
    <w:rsid w:val="00F66CAE"/>
    <w:rsid w:val="00F66DED"/>
    <w:rsid w:val="00F66F2A"/>
    <w:rsid w:val="00F66F59"/>
    <w:rsid w:val="00F671F3"/>
    <w:rsid w:val="00F67208"/>
    <w:rsid w:val="00F672CD"/>
    <w:rsid w:val="00F67357"/>
    <w:rsid w:val="00F6739B"/>
    <w:rsid w:val="00F67566"/>
    <w:rsid w:val="00F6769F"/>
    <w:rsid w:val="00F676C4"/>
    <w:rsid w:val="00F67744"/>
    <w:rsid w:val="00F677AB"/>
    <w:rsid w:val="00F677B0"/>
    <w:rsid w:val="00F67844"/>
    <w:rsid w:val="00F678F5"/>
    <w:rsid w:val="00F67934"/>
    <w:rsid w:val="00F67A84"/>
    <w:rsid w:val="00F67AE2"/>
    <w:rsid w:val="00F67AE7"/>
    <w:rsid w:val="00F67BFA"/>
    <w:rsid w:val="00F67D08"/>
    <w:rsid w:val="00F67E82"/>
    <w:rsid w:val="00F67F0E"/>
    <w:rsid w:val="00F67FB6"/>
    <w:rsid w:val="00F70007"/>
    <w:rsid w:val="00F70010"/>
    <w:rsid w:val="00F700F0"/>
    <w:rsid w:val="00F701EA"/>
    <w:rsid w:val="00F70201"/>
    <w:rsid w:val="00F70257"/>
    <w:rsid w:val="00F703AB"/>
    <w:rsid w:val="00F703B4"/>
    <w:rsid w:val="00F7041C"/>
    <w:rsid w:val="00F704C7"/>
    <w:rsid w:val="00F70664"/>
    <w:rsid w:val="00F70695"/>
    <w:rsid w:val="00F70735"/>
    <w:rsid w:val="00F7076A"/>
    <w:rsid w:val="00F7076E"/>
    <w:rsid w:val="00F708E0"/>
    <w:rsid w:val="00F70A1F"/>
    <w:rsid w:val="00F70A92"/>
    <w:rsid w:val="00F70B03"/>
    <w:rsid w:val="00F70B5C"/>
    <w:rsid w:val="00F70BF6"/>
    <w:rsid w:val="00F70DE4"/>
    <w:rsid w:val="00F70E42"/>
    <w:rsid w:val="00F71279"/>
    <w:rsid w:val="00F7130C"/>
    <w:rsid w:val="00F71524"/>
    <w:rsid w:val="00F71584"/>
    <w:rsid w:val="00F71616"/>
    <w:rsid w:val="00F7172F"/>
    <w:rsid w:val="00F7179F"/>
    <w:rsid w:val="00F717E4"/>
    <w:rsid w:val="00F71861"/>
    <w:rsid w:val="00F7198A"/>
    <w:rsid w:val="00F719D3"/>
    <w:rsid w:val="00F71A29"/>
    <w:rsid w:val="00F71A5E"/>
    <w:rsid w:val="00F71B3A"/>
    <w:rsid w:val="00F71C60"/>
    <w:rsid w:val="00F71CC1"/>
    <w:rsid w:val="00F71CDE"/>
    <w:rsid w:val="00F71CF7"/>
    <w:rsid w:val="00F71D4F"/>
    <w:rsid w:val="00F71E91"/>
    <w:rsid w:val="00F71F0B"/>
    <w:rsid w:val="00F7217B"/>
    <w:rsid w:val="00F7218F"/>
    <w:rsid w:val="00F722E8"/>
    <w:rsid w:val="00F7235F"/>
    <w:rsid w:val="00F72438"/>
    <w:rsid w:val="00F726AD"/>
    <w:rsid w:val="00F726EC"/>
    <w:rsid w:val="00F727D5"/>
    <w:rsid w:val="00F72899"/>
    <w:rsid w:val="00F7294A"/>
    <w:rsid w:val="00F72966"/>
    <w:rsid w:val="00F729D8"/>
    <w:rsid w:val="00F72AA0"/>
    <w:rsid w:val="00F72AA4"/>
    <w:rsid w:val="00F72AD9"/>
    <w:rsid w:val="00F72AEC"/>
    <w:rsid w:val="00F72BD3"/>
    <w:rsid w:val="00F72BFA"/>
    <w:rsid w:val="00F72CE0"/>
    <w:rsid w:val="00F72D45"/>
    <w:rsid w:val="00F72DFE"/>
    <w:rsid w:val="00F72EA6"/>
    <w:rsid w:val="00F72F2C"/>
    <w:rsid w:val="00F7316C"/>
    <w:rsid w:val="00F73231"/>
    <w:rsid w:val="00F73276"/>
    <w:rsid w:val="00F732C6"/>
    <w:rsid w:val="00F732EC"/>
    <w:rsid w:val="00F7339B"/>
    <w:rsid w:val="00F73428"/>
    <w:rsid w:val="00F73453"/>
    <w:rsid w:val="00F7363A"/>
    <w:rsid w:val="00F7366D"/>
    <w:rsid w:val="00F7372B"/>
    <w:rsid w:val="00F73796"/>
    <w:rsid w:val="00F73851"/>
    <w:rsid w:val="00F738A4"/>
    <w:rsid w:val="00F739FC"/>
    <w:rsid w:val="00F73A11"/>
    <w:rsid w:val="00F73A2C"/>
    <w:rsid w:val="00F73A3C"/>
    <w:rsid w:val="00F73A80"/>
    <w:rsid w:val="00F73AC7"/>
    <w:rsid w:val="00F73AFD"/>
    <w:rsid w:val="00F73B70"/>
    <w:rsid w:val="00F73CD0"/>
    <w:rsid w:val="00F73D36"/>
    <w:rsid w:val="00F73D6A"/>
    <w:rsid w:val="00F73E71"/>
    <w:rsid w:val="00F73F00"/>
    <w:rsid w:val="00F7404B"/>
    <w:rsid w:val="00F741DE"/>
    <w:rsid w:val="00F741FC"/>
    <w:rsid w:val="00F74200"/>
    <w:rsid w:val="00F74279"/>
    <w:rsid w:val="00F74314"/>
    <w:rsid w:val="00F74326"/>
    <w:rsid w:val="00F743D2"/>
    <w:rsid w:val="00F74495"/>
    <w:rsid w:val="00F744D2"/>
    <w:rsid w:val="00F74539"/>
    <w:rsid w:val="00F7467E"/>
    <w:rsid w:val="00F7485B"/>
    <w:rsid w:val="00F74965"/>
    <w:rsid w:val="00F74999"/>
    <w:rsid w:val="00F74A1E"/>
    <w:rsid w:val="00F74AD5"/>
    <w:rsid w:val="00F74B46"/>
    <w:rsid w:val="00F74B91"/>
    <w:rsid w:val="00F74BDC"/>
    <w:rsid w:val="00F74CE4"/>
    <w:rsid w:val="00F74E37"/>
    <w:rsid w:val="00F74F2D"/>
    <w:rsid w:val="00F74F4A"/>
    <w:rsid w:val="00F75063"/>
    <w:rsid w:val="00F75071"/>
    <w:rsid w:val="00F750AC"/>
    <w:rsid w:val="00F7511A"/>
    <w:rsid w:val="00F75292"/>
    <w:rsid w:val="00F7533D"/>
    <w:rsid w:val="00F75376"/>
    <w:rsid w:val="00F753D0"/>
    <w:rsid w:val="00F75404"/>
    <w:rsid w:val="00F75537"/>
    <w:rsid w:val="00F75671"/>
    <w:rsid w:val="00F757AB"/>
    <w:rsid w:val="00F75847"/>
    <w:rsid w:val="00F75952"/>
    <w:rsid w:val="00F7598F"/>
    <w:rsid w:val="00F7599B"/>
    <w:rsid w:val="00F75A52"/>
    <w:rsid w:val="00F75ACD"/>
    <w:rsid w:val="00F75C64"/>
    <w:rsid w:val="00F75E1A"/>
    <w:rsid w:val="00F75E51"/>
    <w:rsid w:val="00F75EA0"/>
    <w:rsid w:val="00F75F00"/>
    <w:rsid w:val="00F75F68"/>
    <w:rsid w:val="00F75FFB"/>
    <w:rsid w:val="00F7600C"/>
    <w:rsid w:val="00F7624B"/>
    <w:rsid w:val="00F762FA"/>
    <w:rsid w:val="00F76374"/>
    <w:rsid w:val="00F763D7"/>
    <w:rsid w:val="00F76698"/>
    <w:rsid w:val="00F766A6"/>
    <w:rsid w:val="00F76712"/>
    <w:rsid w:val="00F76755"/>
    <w:rsid w:val="00F767C3"/>
    <w:rsid w:val="00F767D5"/>
    <w:rsid w:val="00F768FB"/>
    <w:rsid w:val="00F76979"/>
    <w:rsid w:val="00F769FA"/>
    <w:rsid w:val="00F76A90"/>
    <w:rsid w:val="00F76AE0"/>
    <w:rsid w:val="00F76B65"/>
    <w:rsid w:val="00F76B98"/>
    <w:rsid w:val="00F76C61"/>
    <w:rsid w:val="00F76D2B"/>
    <w:rsid w:val="00F76F10"/>
    <w:rsid w:val="00F77057"/>
    <w:rsid w:val="00F770A1"/>
    <w:rsid w:val="00F77220"/>
    <w:rsid w:val="00F772EE"/>
    <w:rsid w:val="00F773C6"/>
    <w:rsid w:val="00F773D5"/>
    <w:rsid w:val="00F774F0"/>
    <w:rsid w:val="00F7751A"/>
    <w:rsid w:val="00F77555"/>
    <w:rsid w:val="00F7757A"/>
    <w:rsid w:val="00F77636"/>
    <w:rsid w:val="00F776C8"/>
    <w:rsid w:val="00F776E2"/>
    <w:rsid w:val="00F77805"/>
    <w:rsid w:val="00F7786A"/>
    <w:rsid w:val="00F778A9"/>
    <w:rsid w:val="00F77909"/>
    <w:rsid w:val="00F77926"/>
    <w:rsid w:val="00F77997"/>
    <w:rsid w:val="00F77AB2"/>
    <w:rsid w:val="00F77B94"/>
    <w:rsid w:val="00F77CE7"/>
    <w:rsid w:val="00F77E20"/>
    <w:rsid w:val="00F77E8E"/>
    <w:rsid w:val="00F77EB5"/>
    <w:rsid w:val="00F77F24"/>
    <w:rsid w:val="00F77F71"/>
    <w:rsid w:val="00F77FA6"/>
    <w:rsid w:val="00F80032"/>
    <w:rsid w:val="00F800C6"/>
    <w:rsid w:val="00F8046E"/>
    <w:rsid w:val="00F806F8"/>
    <w:rsid w:val="00F80A80"/>
    <w:rsid w:val="00F80B31"/>
    <w:rsid w:val="00F80BA8"/>
    <w:rsid w:val="00F80BF5"/>
    <w:rsid w:val="00F80C1D"/>
    <w:rsid w:val="00F80D60"/>
    <w:rsid w:val="00F80D9B"/>
    <w:rsid w:val="00F80F12"/>
    <w:rsid w:val="00F80F2D"/>
    <w:rsid w:val="00F810BF"/>
    <w:rsid w:val="00F810DF"/>
    <w:rsid w:val="00F8115E"/>
    <w:rsid w:val="00F81208"/>
    <w:rsid w:val="00F8120C"/>
    <w:rsid w:val="00F81593"/>
    <w:rsid w:val="00F815E9"/>
    <w:rsid w:val="00F81600"/>
    <w:rsid w:val="00F81602"/>
    <w:rsid w:val="00F8162A"/>
    <w:rsid w:val="00F817F7"/>
    <w:rsid w:val="00F81902"/>
    <w:rsid w:val="00F81922"/>
    <w:rsid w:val="00F8197A"/>
    <w:rsid w:val="00F81AC4"/>
    <w:rsid w:val="00F81AE6"/>
    <w:rsid w:val="00F81AED"/>
    <w:rsid w:val="00F81B39"/>
    <w:rsid w:val="00F81C4C"/>
    <w:rsid w:val="00F81F56"/>
    <w:rsid w:val="00F8204D"/>
    <w:rsid w:val="00F8210F"/>
    <w:rsid w:val="00F82157"/>
    <w:rsid w:val="00F82197"/>
    <w:rsid w:val="00F822D6"/>
    <w:rsid w:val="00F8233C"/>
    <w:rsid w:val="00F823A6"/>
    <w:rsid w:val="00F826E4"/>
    <w:rsid w:val="00F8273E"/>
    <w:rsid w:val="00F82789"/>
    <w:rsid w:val="00F827A9"/>
    <w:rsid w:val="00F82866"/>
    <w:rsid w:val="00F82879"/>
    <w:rsid w:val="00F828D9"/>
    <w:rsid w:val="00F828E0"/>
    <w:rsid w:val="00F828E7"/>
    <w:rsid w:val="00F82907"/>
    <w:rsid w:val="00F82A1D"/>
    <w:rsid w:val="00F82A5B"/>
    <w:rsid w:val="00F82A8B"/>
    <w:rsid w:val="00F82B1E"/>
    <w:rsid w:val="00F82D89"/>
    <w:rsid w:val="00F82E5F"/>
    <w:rsid w:val="00F83062"/>
    <w:rsid w:val="00F8323D"/>
    <w:rsid w:val="00F832F1"/>
    <w:rsid w:val="00F83306"/>
    <w:rsid w:val="00F8331B"/>
    <w:rsid w:val="00F83432"/>
    <w:rsid w:val="00F8359A"/>
    <w:rsid w:val="00F83619"/>
    <w:rsid w:val="00F8362F"/>
    <w:rsid w:val="00F83774"/>
    <w:rsid w:val="00F83806"/>
    <w:rsid w:val="00F8386E"/>
    <w:rsid w:val="00F83890"/>
    <w:rsid w:val="00F838FA"/>
    <w:rsid w:val="00F839E6"/>
    <w:rsid w:val="00F83C97"/>
    <w:rsid w:val="00F83C9A"/>
    <w:rsid w:val="00F83D54"/>
    <w:rsid w:val="00F83E92"/>
    <w:rsid w:val="00F83F4B"/>
    <w:rsid w:val="00F83FAD"/>
    <w:rsid w:val="00F8408E"/>
    <w:rsid w:val="00F840AC"/>
    <w:rsid w:val="00F84159"/>
    <w:rsid w:val="00F841B3"/>
    <w:rsid w:val="00F841DD"/>
    <w:rsid w:val="00F84216"/>
    <w:rsid w:val="00F8424F"/>
    <w:rsid w:val="00F842A8"/>
    <w:rsid w:val="00F84315"/>
    <w:rsid w:val="00F8445F"/>
    <w:rsid w:val="00F84527"/>
    <w:rsid w:val="00F84534"/>
    <w:rsid w:val="00F84582"/>
    <w:rsid w:val="00F845EB"/>
    <w:rsid w:val="00F846A1"/>
    <w:rsid w:val="00F8472D"/>
    <w:rsid w:val="00F8475F"/>
    <w:rsid w:val="00F8476D"/>
    <w:rsid w:val="00F84793"/>
    <w:rsid w:val="00F847B5"/>
    <w:rsid w:val="00F84800"/>
    <w:rsid w:val="00F84807"/>
    <w:rsid w:val="00F84947"/>
    <w:rsid w:val="00F84978"/>
    <w:rsid w:val="00F84998"/>
    <w:rsid w:val="00F849D7"/>
    <w:rsid w:val="00F84A3B"/>
    <w:rsid w:val="00F84A71"/>
    <w:rsid w:val="00F84A72"/>
    <w:rsid w:val="00F84A88"/>
    <w:rsid w:val="00F84AF6"/>
    <w:rsid w:val="00F84B18"/>
    <w:rsid w:val="00F84C24"/>
    <w:rsid w:val="00F84DAC"/>
    <w:rsid w:val="00F84DD6"/>
    <w:rsid w:val="00F84E4D"/>
    <w:rsid w:val="00F85006"/>
    <w:rsid w:val="00F8501B"/>
    <w:rsid w:val="00F85165"/>
    <w:rsid w:val="00F851AA"/>
    <w:rsid w:val="00F851FE"/>
    <w:rsid w:val="00F852C0"/>
    <w:rsid w:val="00F85329"/>
    <w:rsid w:val="00F853A0"/>
    <w:rsid w:val="00F853B8"/>
    <w:rsid w:val="00F8544E"/>
    <w:rsid w:val="00F85496"/>
    <w:rsid w:val="00F85595"/>
    <w:rsid w:val="00F85647"/>
    <w:rsid w:val="00F85678"/>
    <w:rsid w:val="00F85692"/>
    <w:rsid w:val="00F856F7"/>
    <w:rsid w:val="00F858DF"/>
    <w:rsid w:val="00F8591F"/>
    <w:rsid w:val="00F85986"/>
    <w:rsid w:val="00F85A7E"/>
    <w:rsid w:val="00F85AAC"/>
    <w:rsid w:val="00F85B32"/>
    <w:rsid w:val="00F85BD3"/>
    <w:rsid w:val="00F85C1D"/>
    <w:rsid w:val="00F85CD5"/>
    <w:rsid w:val="00F86037"/>
    <w:rsid w:val="00F86043"/>
    <w:rsid w:val="00F8620C"/>
    <w:rsid w:val="00F862F2"/>
    <w:rsid w:val="00F86336"/>
    <w:rsid w:val="00F86538"/>
    <w:rsid w:val="00F86555"/>
    <w:rsid w:val="00F867C7"/>
    <w:rsid w:val="00F867F3"/>
    <w:rsid w:val="00F8689B"/>
    <w:rsid w:val="00F86A4F"/>
    <w:rsid w:val="00F86AAB"/>
    <w:rsid w:val="00F86B81"/>
    <w:rsid w:val="00F86C9B"/>
    <w:rsid w:val="00F86DD8"/>
    <w:rsid w:val="00F86E10"/>
    <w:rsid w:val="00F86EFF"/>
    <w:rsid w:val="00F86F2E"/>
    <w:rsid w:val="00F86F74"/>
    <w:rsid w:val="00F86FE6"/>
    <w:rsid w:val="00F8719B"/>
    <w:rsid w:val="00F871BD"/>
    <w:rsid w:val="00F871BE"/>
    <w:rsid w:val="00F871C5"/>
    <w:rsid w:val="00F8721E"/>
    <w:rsid w:val="00F87279"/>
    <w:rsid w:val="00F87283"/>
    <w:rsid w:val="00F872BA"/>
    <w:rsid w:val="00F87491"/>
    <w:rsid w:val="00F87520"/>
    <w:rsid w:val="00F8756C"/>
    <w:rsid w:val="00F87628"/>
    <w:rsid w:val="00F87690"/>
    <w:rsid w:val="00F876E7"/>
    <w:rsid w:val="00F877B8"/>
    <w:rsid w:val="00F878D0"/>
    <w:rsid w:val="00F87983"/>
    <w:rsid w:val="00F87A20"/>
    <w:rsid w:val="00F87AC0"/>
    <w:rsid w:val="00F87B54"/>
    <w:rsid w:val="00F87B6D"/>
    <w:rsid w:val="00F87DD0"/>
    <w:rsid w:val="00F87EDA"/>
    <w:rsid w:val="00F87F46"/>
    <w:rsid w:val="00F87F67"/>
    <w:rsid w:val="00F87F74"/>
    <w:rsid w:val="00F9002F"/>
    <w:rsid w:val="00F90086"/>
    <w:rsid w:val="00F900F3"/>
    <w:rsid w:val="00F900F6"/>
    <w:rsid w:val="00F90138"/>
    <w:rsid w:val="00F90158"/>
    <w:rsid w:val="00F90180"/>
    <w:rsid w:val="00F9029D"/>
    <w:rsid w:val="00F9030B"/>
    <w:rsid w:val="00F903CD"/>
    <w:rsid w:val="00F904C2"/>
    <w:rsid w:val="00F90525"/>
    <w:rsid w:val="00F90534"/>
    <w:rsid w:val="00F90566"/>
    <w:rsid w:val="00F905F8"/>
    <w:rsid w:val="00F90675"/>
    <w:rsid w:val="00F90695"/>
    <w:rsid w:val="00F906DE"/>
    <w:rsid w:val="00F9084F"/>
    <w:rsid w:val="00F90950"/>
    <w:rsid w:val="00F909B2"/>
    <w:rsid w:val="00F90A51"/>
    <w:rsid w:val="00F90BC5"/>
    <w:rsid w:val="00F90BFE"/>
    <w:rsid w:val="00F90C1C"/>
    <w:rsid w:val="00F90EA1"/>
    <w:rsid w:val="00F90EEF"/>
    <w:rsid w:val="00F91110"/>
    <w:rsid w:val="00F912B3"/>
    <w:rsid w:val="00F912F0"/>
    <w:rsid w:val="00F91359"/>
    <w:rsid w:val="00F9142E"/>
    <w:rsid w:val="00F9145B"/>
    <w:rsid w:val="00F915F7"/>
    <w:rsid w:val="00F916AD"/>
    <w:rsid w:val="00F91766"/>
    <w:rsid w:val="00F91798"/>
    <w:rsid w:val="00F918D7"/>
    <w:rsid w:val="00F91972"/>
    <w:rsid w:val="00F9198C"/>
    <w:rsid w:val="00F919F3"/>
    <w:rsid w:val="00F91ABE"/>
    <w:rsid w:val="00F91AD9"/>
    <w:rsid w:val="00F91B62"/>
    <w:rsid w:val="00F91C00"/>
    <w:rsid w:val="00F91C24"/>
    <w:rsid w:val="00F91CE4"/>
    <w:rsid w:val="00F91DA8"/>
    <w:rsid w:val="00F91EC6"/>
    <w:rsid w:val="00F91EDC"/>
    <w:rsid w:val="00F91EEE"/>
    <w:rsid w:val="00F91F64"/>
    <w:rsid w:val="00F91F68"/>
    <w:rsid w:val="00F92299"/>
    <w:rsid w:val="00F92324"/>
    <w:rsid w:val="00F924E3"/>
    <w:rsid w:val="00F925FC"/>
    <w:rsid w:val="00F9282D"/>
    <w:rsid w:val="00F928BD"/>
    <w:rsid w:val="00F928ED"/>
    <w:rsid w:val="00F92A50"/>
    <w:rsid w:val="00F92A77"/>
    <w:rsid w:val="00F92B1A"/>
    <w:rsid w:val="00F92BFB"/>
    <w:rsid w:val="00F92C76"/>
    <w:rsid w:val="00F92CE4"/>
    <w:rsid w:val="00F92CFD"/>
    <w:rsid w:val="00F93046"/>
    <w:rsid w:val="00F93051"/>
    <w:rsid w:val="00F9315C"/>
    <w:rsid w:val="00F9320A"/>
    <w:rsid w:val="00F93244"/>
    <w:rsid w:val="00F93310"/>
    <w:rsid w:val="00F93408"/>
    <w:rsid w:val="00F934AE"/>
    <w:rsid w:val="00F934B9"/>
    <w:rsid w:val="00F9357F"/>
    <w:rsid w:val="00F936A7"/>
    <w:rsid w:val="00F93736"/>
    <w:rsid w:val="00F93787"/>
    <w:rsid w:val="00F937DF"/>
    <w:rsid w:val="00F938C1"/>
    <w:rsid w:val="00F93907"/>
    <w:rsid w:val="00F93A17"/>
    <w:rsid w:val="00F93C3F"/>
    <w:rsid w:val="00F93CF8"/>
    <w:rsid w:val="00F93CFE"/>
    <w:rsid w:val="00F93D5C"/>
    <w:rsid w:val="00F93DE5"/>
    <w:rsid w:val="00F93EAE"/>
    <w:rsid w:val="00F93F0D"/>
    <w:rsid w:val="00F93FFE"/>
    <w:rsid w:val="00F94075"/>
    <w:rsid w:val="00F940CB"/>
    <w:rsid w:val="00F94149"/>
    <w:rsid w:val="00F9415F"/>
    <w:rsid w:val="00F9418F"/>
    <w:rsid w:val="00F94209"/>
    <w:rsid w:val="00F943E4"/>
    <w:rsid w:val="00F9450B"/>
    <w:rsid w:val="00F94567"/>
    <w:rsid w:val="00F9456E"/>
    <w:rsid w:val="00F94606"/>
    <w:rsid w:val="00F94674"/>
    <w:rsid w:val="00F94872"/>
    <w:rsid w:val="00F94879"/>
    <w:rsid w:val="00F94902"/>
    <w:rsid w:val="00F94A0E"/>
    <w:rsid w:val="00F94BB6"/>
    <w:rsid w:val="00F94C91"/>
    <w:rsid w:val="00F94C97"/>
    <w:rsid w:val="00F94CAE"/>
    <w:rsid w:val="00F94D40"/>
    <w:rsid w:val="00F94F0B"/>
    <w:rsid w:val="00F94F3E"/>
    <w:rsid w:val="00F951B4"/>
    <w:rsid w:val="00F9535D"/>
    <w:rsid w:val="00F953CE"/>
    <w:rsid w:val="00F954D7"/>
    <w:rsid w:val="00F95556"/>
    <w:rsid w:val="00F956D3"/>
    <w:rsid w:val="00F957BB"/>
    <w:rsid w:val="00F95833"/>
    <w:rsid w:val="00F958AE"/>
    <w:rsid w:val="00F95A12"/>
    <w:rsid w:val="00F95A3D"/>
    <w:rsid w:val="00F95B51"/>
    <w:rsid w:val="00F95BA0"/>
    <w:rsid w:val="00F95C5F"/>
    <w:rsid w:val="00F95C64"/>
    <w:rsid w:val="00F95CED"/>
    <w:rsid w:val="00F95D0B"/>
    <w:rsid w:val="00F95D3E"/>
    <w:rsid w:val="00F95D99"/>
    <w:rsid w:val="00F95F62"/>
    <w:rsid w:val="00F9603D"/>
    <w:rsid w:val="00F960D6"/>
    <w:rsid w:val="00F9613E"/>
    <w:rsid w:val="00F96387"/>
    <w:rsid w:val="00F96399"/>
    <w:rsid w:val="00F964BD"/>
    <w:rsid w:val="00F96606"/>
    <w:rsid w:val="00F966DE"/>
    <w:rsid w:val="00F96764"/>
    <w:rsid w:val="00F967EA"/>
    <w:rsid w:val="00F9689B"/>
    <w:rsid w:val="00F96970"/>
    <w:rsid w:val="00F969B6"/>
    <w:rsid w:val="00F96C93"/>
    <w:rsid w:val="00F96D30"/>
    <w:rsid w:val="00F96D37"/>
    <w:rsid w:val="00F96D69"/>
    <w:rsid w:val="00F96DAF"/>
    <w:rsid w:val="00F971C5"/>
    <w:rsid w:val="00F97254"/>
    <w:rsid w:val="00F972FE"/>
    <w:rsid w:val="00F97368"/>
    <w:rsid w:val="00F97518"/>
    <w:rsid w:val="00F97546"/>
    <w:rsid w:val="00F9762D"/>
    <w:rsid w:val="00F978C8"/>
    <w:rsid w:val="00F97902"/>
    <w:rsid w:val="00F97942"/>
    <w:rsid w:val="00F979F9"/>
    <w:rsid w:val="00F97A39"/>
    <w:rsid w:val="00F97A9B"/>
    <w:rsid w:val="00F97B83"/>
    <w:rsid w:val="00F97C2F"/>
    <w:rsid w:val="00F97D64"/>
    <w:rsid w:val="00F97F95"/>
    <w:rsid w:val="00FA01FF"/>
    <w:rsid w:val="00FA02BF"/>
    <w:rsid w:val="00FA034B"/>
    <w:rsid w:val="00FA0359"/>
    <w:rsid w:val="00FA035E"/>
    <w:rsid w:val="00FA0386"/>
    <w:rsid w:val="00FA066E"/>
    <w:rsid w:val="00FA0903"/>
    <w:rsid w:val="00FA09AC"/>
    <w:rsid w:val="00FA0BBD"/>
    <w:rsid w:val="00FA0C41"/>
    <w:rsid w:val="00FA0C85"/>
    <w:rsid w:val="00FA0CC2"/>
    <w:rsid w:val="00FA0CCD"/>
    <w:rsid w:val="00FA0DEF"/>
    <w:rsid w:val="00FA0FA3"/>
    <w:rsid w:val="00FA12B9"/>
    <w:rsid w:val="00FA1327"/>
    <w:rsid w:val="00FA1429"/>
    <w:rsid w:val="00FA1798"/>
    <w:rsid w:val="00FA17B5"/>
    <w:rsid w:val="00FA18CB"/>
    <w:rsid w:val="00FA18DD"/>
    <w:rsid w:val="00FA18E2"/>
    <w:rsid w:val="00FA1957"/>
    <w:rsid w:val="00FA19B3"/>
    <w:rsid w:val="00FA1CC1"/>
    <w:rsid w:val="00FA1D4B"/>
    <w:rsid w:val="00FA1DDD"/>
    <w:rsid w:val="00FA1F21"/>
    <w:rsid w:val="00FA200D"/>
    <w:rsid w:val="00FA20A4"/>
    <w:rsid w:val="00FA2192"/>
    <w:rsid w:val="00FA247E"/>
    <w:rsid w:val="00FA2483"/>
    <w:rsid w:val="00FA2594"/>
    <w:rsid w:val="00FA2702"/>
    <w:rsid w:val="00FA2712"/>
    <w:rsid w:val="00FA27A2"/>
    <w:rsid w:val="00FA2855"/>
    <w:rsid w:val="00FA2914"/>
    <w:rsid w:val="00FA2991"/>
    <w:rsid w:val="00FA2AD0"/>
    <w:rsid w:val="00FA2D34"/>
    <w:rsid w:val="00FA2D7C"/>
    <w:rsid w:val="00FA2DAF"/>
    <w:rsid w:val="00FA2DC2"/>
    <w:rsid w:val="00FA2DF2"/>
    <w:rsid w:val="00FA2E14"/>
    <w:rsid w:val="00FA2F0D"/>
    <w:rsid w:val="00FA31AA"/>
    <w:rsid w:val="00FA31EE"/>
    <w:rsid w:val="00FA31F1"/>
    <w:rsid w:val="00FA3262"/>
    <w:rsid w:val="00FA33CF"/>
    <w:rsid w:val="00FA33FB"/>
    <w:rsid w:val="00FA35FB"/>
    <w:rsid w:val="00FA3617"/>
    <w:rsid w:val="00FA36F2"/>
    <w:rsid w:val="00FA372D"/>
    <w:rsid w:val="00FA3778"/>
    <w:rsid w:val="00FA37A7"/>
    <w:rsid w:val="00FA3835"/>
    <w:rsid w:val="00FA3897"/>
    <w:rsid w:val="00FA3A5F"/>
    <w:rsid w:val="00FA3A86"/>
    <w:rsid w:val="00FA3ACB"/>
    <w:rsid w:val="00FA3ADC"/>
    <w:rsid w:val="00FA3B61"/>
    <w:rsid w:val="00FA3B8F"/>
    <w:rsid w:val="00FA3BD5"/>
    <w:rsid w:val="00FA3C1F"/>
    <w:rsid w:val="00FA3C22"/>
    <w:rsid w:val="00FA3CFB"/>
    <w:rsid w:val="00FA3D85"/>
    <w:rsid w:val="00FA3DC6"/>
    <w:rsid w:val="00FA3E4B"/>
    <w:rsid w:val="00FA4271"/>
    <w:rsid w:val="00FA4518"/>
    <w:rsid w:val="00FA45F8"/>
    <w:rsid w:val="00FA4608"/>
    <w:rsid w:val="00FA4682"/>
    <w:rsid w:val="00FA4689"/>
    <w:rsid w:val="00FA46CA"/>
    <w:rsid w:val="00FA46EE"/>
    <w:rsid w:val="00FA47D0"/>
    <w:rsid w:val="00FA483B"/>
    <w:rsid w:val="00FA4B1B"/>
    <w:rsid w:val="00FA4BDB"/>
    <w:rsid w:val="00FA4C94"/>
    <w:rsid w:val="00FA4CA6"/>
    <w:rsid w:val="00FA4D3A"/>
    <w:rsid w:val="00FA4DB5"/>
    <w:rsid w:val="00FA4E3A"/>
    <w:rsid w:val="00FA4EB3"/>
    <w:rsid w:val="00FA4F1B"/>
    <w:rsid w:val="00FA5047"/>
    <w:rsid w:val="00FA504A"/>
    <w:rsid w:val="00FA50F3"/>
    <w:rsid w:val="00FA511C"/>
    <w:rsid w:val="00FA5232"/>
    <w:rsid w:val="00FA52FD"/>
    <w:rsid w:val="00FA5352"/>
    <w:rsid w:val="00FA5358"/>
    <w:rsid w:val="00FA53A8"/>
    <w:rsid w:val="00FA545E"/>
    <w:rsid w:val="00FA54D3"/>
    <w:rsid w:val="00FA56A4"/>
    <w:rsid w:val="00FA56F6"/>
    <w:rsid w:val="00FA57F5"/>
    <w:rsid w:val="00FA58E4"/>
    <w:rsid w:val="00FA59B4"/>
    <w:rsid w:val="00FA59F4"/>
    <w:rsid w:val="00FA5B7B"/>
    <w:rsid w:val="00FA5D45"/>
    <w:rsid w:val="00FA5D90"/>
    <w:rsid w:val="00FA5D97"/>
    <w:rsid w:val="00FA5DAD"/>
    <w:rsid w:val="00FA5DFE"/>
    <w:rsid w:val="00FA5E0D"/>
    <w:rsid w:val="00FA5E35"/>
    <w:rsid w:val="00FA5F1B"/>
    <w:rsid w:val="00FA6043"/>
    <w:rsid w:val="00FA6044"/>
    <w:rsid w:val="00FA6059"/>
    <w:rsid w:val="00FA614A"/>
    <w:rsid w:val="00FA619D"/>
    <w:rsid w:val="00FA64C9"/>
    <w:rsid w:val="00FA64D8"/>
    <w:rsid w:val="00FA64EE"/>
    <w:rsid w:val="00FA655D"/>
    <w:rsid w:val="00FA65C5"/>
    <w:rsid w:val="00FA66A5"/>
    <w:rsid w:val="00FA6737"/>
    <w:rsid w:val="00FA6763"/>
    <w:rsid w:val="00FA68D8"/>
    <w:rsid w:val="00FA698A"/>
    <w:rsid w:val="00FA6990"/>
    <w:rsid w:val="00FA6A72"/>
    <w:rsid w:val="00FA6B7C"/>
    <w:rsid w:val="00FA6B99"/>
    <w:rsid w:val="00FA6D07"/>
    <w:rsid w:val="00FA6D29"/>
    <w:rsid w:val="00FA6D91"/>
    <w:rsid w:val="00FA6EF9"/>
    <w:rsid w:val="00FA6F13"/>
    <w:rsid w:val="00FA6F7F"/>
    <w:rsid w:val="00FA70D7"/>
    <w:rsid w:val="00FA7152"/>
    <w:rsid w:val="00FA718B"/>
    <w:rsid w:val="00FA71AC"/>
    <w:rsid w:val="00FA71B9"/>
    <w:rsid w:val="00FA71ED"/>
    <w:rsid w:val="00FA7251"/>
    <w:rsid w:val="00FA727A"/>
    <w:rsid w:val="00FA73A4"/>
    <w:rsid w:val="00FA745D"/>
    <w:rsid w:val="00FA7482"/>
    <w:rsid w:val="00FA75A4"/>
    <w:rsid w:val="00FA76CD"/>
    <w:rsid w:val="00FA7894"/>
    <w:rsid w:val="00FA78A9"/>
    <w:rsid w:val="00FA7AE4"/>
    <w:rsid w:val="00FA7DFF"/>
    <w:rsid w:val="00FA7E3F"/>
    <w:rsid w:val="00FA7FEA"/>
    <w:rsid w:val="00FA7FEE"/>
    <w:rsid w:val="00FB0003"/>
    <w:rsid w:val="00FB0025"/>
    <w:rsid w:val="00FB00F1"/>
    <w:rsid w:val="00FB024C"/>
    <w:rsid w:val="00FB0265"/>
    <w:rsid w:val="00FB0310"/>
    <w:rsid w:val="00FB047E"/>
    <w:rsid w:val="00FB0523"/>
    <w:rsid w:val="00FB0564"/>
    <w:rsid w:val="00FB05E2"/>
    <w:rsid w:val="00FB0623"/>
    <w:rsid w:val="00FB0670"/>
    <w:rsid w:val="00FB069A"/>
    <w:rsid w:val="00FB069D"/>
    <w:rsid w:val="00FB087E"/>
    <w:rsid w:val="00FB08AF"/>
    <w:rsid w:val="00FB08DB"/>
    <w:rsid w:val="00FB0918"/>
    <w:rsid w:val="00FB0B2D"/>
    <w:rsid w:val="00FB0B6E"/>
    <w:rsid w:val="00FB0B96"/>
    <w:rsid w:val="00FB0BD5"/>
    <w:rsid w:val="00FB0C0C"/>
    <w:rsid w:val="00FB0D23"/>
    <w:rsid w:val="00FB0DBF"/>
    <w:rsid w:val="00FB0F45"/>
    <w:rsid w:val="00FB0F8A"/>
    <w:rsid w:val="00FB108E"/>
    <w:rsid w:val="00FB11E8"/>
    <w:rsid w:val="00FB124B"/>
    <w:rsid w:val="00FB1315"/>
    <w:rsid w:val="00FB1321"/>
    <w:rsid w:val="00FB140C"/>
    <w:rsid w:val="00FB1503"/>
    <w:rsid w:val="00FB1537"/>
    <w:rsid w:val="00FB156F"/>
    <w:rsid w:val="00FB1591"/>
    <w:rsid w:val="00FB1728"/>
    <w:rsid w:val="00FB185B"/>
    <w:rsid w:val="00FB1861"/>
    <w:rsid w:val="00FB1982"/>
    <w:rsid w:val="00FB1A26"/>
    <w:rsid w:val="00FB1A4B"/>
    <w:rsid w:val="00FB1C87"/>
    <w:rsid w:val="00FB1D36"/>
    <w:rsid w:val="00FB1ED8"/>
    <w:rsid w:val="00FB1EFF"/>
    <w:rsid w:val="00FB1F2D"/>
    <w:rsid w:val="00FB1FA2"/>
    <w:rsid w:val="00FB200D"/>
    <w:rsid w:val="00FB22CE"/>
    <w:rsid w:val="00FB22D4"/>
    <w:rsid w:val="00FB22E7"/>
    <w:rsid w:val="00FB2301"/>
    <w:rsid w:val="00FB2620"/>
    <w:rsid w:val="00FB27F9"/>
    <w:rsid w:val="00FB289A"/>
    <w:rsid w:val="00FB28AD"/>
    <w:rsid w:val="00FB2957"/>
    <w:rsid w:val="00FB2BC1"/>
    <w:rsid w:val="00FB2BDB"/>
    <w:rsid w:val="00FB2C63"/>
    <w:rsid w:val="00FB2DE7"/>
    <w:rsid w:val="00FB2DFF"/>
    <w:rsid w:val="00FB2E88"/>
    <w:rsid w:val="00FB2F10"/>
    <w:rsid w:val="00FB2F24"/>
    <w:rsid w:val="00FB2F75"/>
    <w:rsid w:val="00FB3031"/>
    <w:rsid w:val="00FB3142"/>
    <w:rsid w:val="00FB319E"/>
    <w:rsid w:val="00FB326E"/>
    <w:rsid w:val="00FB3281"/>
    <w:rsid w:val="00FB340F"/>
    <w:rsid w:val="00FB34B8"/>
    <w:rsid w:val="00FB357B"/>
    <w:rsid w:val="00FB357C"/>
    <w:rsid w:val="00FB3606"/>
    <w:rsid w:val="00FB3610"/>
    <w:rsid w:val="00FB3721"/>
    <w:rsid w:val="00FB3793"/>
    <w:rsid w:val="00FB37FB"/>
    <w:rsid w:val="00FB3875"/>
    <w:rsid w:val="00FB3894"/>
    <w:rsid w:val="00FB38CA"/>
    <w:rsid w:val="00FB3A2E"/>
    <w:rsid w:val="00FB3B02"/>
    <w:rsid w:val="00FB3B07"/>
    <w:rsid w:val="00FB3B2F"/>
    <w:rsid w:val="00FB3B48"/>
    <w:rsid w:val="00FB3B4D"/>
    <w:rsid w:val="00FB3F91"/>
    <w:rsid w:val="00FB3F99"/>
    <w:rsid w:val="00FB4027"/>
    <w:rsid w:val="00FB40B9"/>
    <w:rsid w:val="00FB4150"/>
    <w:rsid w:val="00FB4182"/>
    <w:rsid w:val="00FB4210"/>
    <w:rsid w:val="00FB421A"/>
    <w:rsid w:val="00FB464A"/>
    <w:rsid w:val="00FB466D"/>
    <w:rsid w:val="00FB4714"/>
    <w:rsid w:val="00FB48A0"/>
    <w:rsid w:val="00FB48A4"/>
    <w:rsid w:val="00FB48B8"/>
    <w:rsid w:val="00FB496B"/>
    <w:rsid w:val="00FB4A0C"/>
    <w:rsid w:val="00FB4A16"/>
    <w:rsid w:val="00FB4AA4"/>
    <w:rsid w:val="00FB4AF3"/>
    <w:rsid w:val="00FB4B31"/>
    <w:rsid w:val="00FB4C13"/>
    <w:rsid w:val="00FB4C8E"/>
    <w:rsid w:val="00FB4CD9"/>
    <w:rsid w:val="00FB4D07"/>
    <w:rsid w:val="00FB4DCA"/>
    <w:rsid w:val="00FB4E63"/>
    <w:rsid w:val="00FB4EF3"/>
    <w:rsid w:val="00FB4EFE"/>
    <w:rsid w:val="00FB4FE8"/>
    <w:rsid w:val="00FB5025"/>
    <w:rsid w:val="00FB50C0"/>
    <w:rsid w:val="00FB511A"/>
    <w:rsid w:val="00FB51C4"/>
    <w:rsid w:val="00FB53E8"/>
    <w:rsid w:val="00FB54FB"/>
    <w:rsid w:val="00FB5508"/>
    <w:rsid w:val="00FB5673"/>
    <w:rsid w:val="00FB56B3"/>
    <w:rsid w:val="00FB5825"/>
    <w:rsid w:val="00FB5867"/>
    <w:rsid w:val="00FB5927"/>
    <w:rsid w:val="00FB59CB"/>
    <w:rsid w:val="00FB5A10"/>
    <w:rsid w:val="00FB5A65"/>
    <w:rsid w:val="00FB5A9D"/>
    <w:rsid w:val="00FB5B49"/>
    <w:rsid w:val="00FB5B57"/>
    <w:rsid w:val="00FB5BCB"/>
    <w:rsid w:val="00FB5BEB"/>
    <w:rsid w:val="00FB5C17"/>
    <w:rsid w:val="00FB5C8E"/>
    <w:rsid w:val="00FB5CA9"/>
    <w:rsid w:val="00FB5D66"/>
    <w:rsid w:val="00FB5E44"/>
    <w:rsid w:val="00FB6098"/>
    <w:rsid w:val="00FB60B6"/>
    <w:rsid w:val="00FB61C5"/>
    <w:rsid w:val="00FB6250"/>
    <w:rsid w:val="00FB6265"/>
    <w:rsid w:val="00FB626F"/>
    <w:rsid w:val="00FB6294"/>
    <w:rsid w:val="00FB63CA"/>
    <w:rsid w:val="00FB64B5"/>
    <w:rsid w:val="00FB6511"/>
    <w:rsid w:val="00FB65BB"/>
    <w:rsid w:val="00FB6672"/>
    <w:rsid w:val="00FB674E"/>
    <w:rsid w:val="00FB67B1"/>
    <w:rsid w:val="00FB6A22"/>
    <w:rsid w:val="00FB6A75"/>
    <w:rsid w:val="00FB6AC0"/>
    <w:rsid w:val="00FB6B69"/>
    <w:rsid w:val="00FB6B79"/>
    <w:rsid w:val="00FB6BAC"/>
    <w:rsid w:val="00FB6BBD"/>
    <w:rsid w:val="00FB6BC8"/>
    <w:rsid w:val="00FB6BFD"/>
    <w:rsid w:val="00FB6C60"/>
    <w:rsid w:val="00FB6D29"/>
    <w:rsid w:val="00FB6E0D"/>
    <w:rsid w:val="00FB6E49"/>
    <w:rsid w:val="00FB6F01"/>
    <w:rsid w:val="00FB6F8E"/>
    <w:rsid w:val="00FB702E"/>
    <w:rsid w:val="00FB7307"/>
    <w:rsid w:val="00FB75AC"/>
    <w:rsid w:val="00FB7873"/>
    <w:rsid w:val="00FB79F9"/>
    <w:rsid w:val="00FB7AB6"/>
    <w:rsid w:val="00FB7AF2"/>
    <w:rsid w:val="00FB7B32"/>
    <w:rsid w:val="00FB7BC7"/>
    <w:rsid w:val="00FB7BEB"/>
    <w:rsid w:val="00FB7CF0"/>
    <w:rsid w:val="00FB7E85"/>
    <w:rsid w:val="00FB7F49"/>
    <w:rsid w:val="00FC00AE"/>
    <w:rsid w:val="00FC00E4"/>
    <w:rsid w:val="00FC01A7"/>
    <w:rsid w:val="00FC01BB"/>
    <w:rsid w:val="00FC01CB"/>
    <w:rsid w:val="00FC02E0"/>
    <w:rsid w:val="00FC0310"/>
    <w:rsid w:val="00FC05A2"/>
    <w:rsid w:val="00FC0603"/>
    <w:rsid w:val="00FC06FC"/>
    <w:rsid w:val="00FC078C"/>
    <w:rsid w:val="00FC093F"/>
    <w:rsid w:val="00FC0A11"/>
    <w:rsid w:val="00FC0A3C"/>
    <w:rsid w:val="00FC0A4F"/>
    <w:rsid w:val="00FC0B65"/>
    <w:rsid w:val="00FC0BBE"/>
    <w:rsid w:val="00FC0C68"/>
    <w:rsid w:val="00FC0CF3"/>
    <w:rsid w:val="00FC0D95"/>
    <w:rsid w:val="00FC0DAF"/>
    <w:rsid w:val="00FC0E80"/>
    <w:rsid w:val="00FC0F22"/>
    <w:rsid w:val="00FC113B"/>
    <w:rsid w:val="00FC1290"/>
    <w:rsid w:val="00FC12CA"/>
    <w:rsid w:val="00FC1322"/>
    <w:rsid w:val="00FC1772"/>
    <w:rsid w:val="00FC1819"/>
    <w:rsid w:val="00FC18C8"/>
    <w:rsid w:val="00FC1A33"/>
    <w:rsid w:val="00FC1AC1"/>
    <w:rsid w:val="00FC1B25"/>
    <w:rsid w:val="00FC1BD7"/>
    <w:rsid w:val="00FC1C46"/>
    <w:rsid w:val="00FC1D5F"/>
    <w:rsid w:val="00FC1D9E"/>
    <w:rsid w:val="00FC1DDA"/>
    <w:rsid w:val="00FC1F41"/>
    <w:rsid w:val="00FC20C5"/>
    <w:rsid w:val="00FC21C8"/>
    <w:rsid w:val="00FC21FA"/>
    <w:rsid w:val="00FC233A"/>
    <w:rsid w:val="00FC238F"/>
    <w:rsid w:val="00FC2397"/>
    <w:rsid w:val="00FC23D6"/>
    <w:rsid w:val="00FC24B7"/>
    <w:rsid w:val="00FC251B"/>
    <w:rsid w:val="00FC2777"/>
    <w:rsid w:val="00FC2835"/>
    <w:rsid w:val="00FC28AA"/>
    <w:rsid w:val="00FC28DB"/>
    <w:rsid w:val="00FC28E4"/>
    <w:rsid w:val="00FC2A0C"/>
    <w:rsid w:val="00FC2A40"/>
    <w:rsid w:val="00FC2C19"/>
    <w:rsid w:val="00FC2D21"/>
    <w:rsid w:val="00FC2E2B"/>
    <w:rsid w:val="00FC3039"/>
    <w:rsid w:val="00FC30EF"/>
    <w:rsid w:val="00FC3184"/>
    <w:rsid w:val="00FC34BB"/>
    <w:rsid w:val="00FC34F3"/>
    <w:rsid w:val="00FC36C3"/>
    <w:rsid w:val="00FC373F"/>
    <w:rsid w:val="00FC3749"/>
    <w:rsid w:val="00FC3767"/>
    <w:rsid w:val="00FC3B00"/>
    <w:rsid w:val="00FC3C61"/>
    <w:rsid w:val="00FC3CC7"/>
    <w:rsid w:val="00FC3D08"/>
    <w:rsid w:val="00FC3E36"/>
    <w:rsid w:val="00FC3F31"/>
    <w:rsid w:val="00FC3FA3"/>
    <w:rsid w:val="00FC4076"/>
    <w:rsid w:val="00FC410B"/>
    <w:rsid w:val="00FC4272"/>
    <w:rsid w:val="00FC427C"/>
    <w:rsid w:val="00FC4365"/>
    <w:rsid w:val="00FC437E"/>
    <w:rsid w:val="00FC4383"/>
    <w:rsid w:val="00FC445F"/>
    <w:rsid w:val="00FC45C1"/>
    <w:rsid w:val="00FC46C0"/>
    <w:rsid w:val="00FC470E"/>
    <w:rsid w:val="00FC4757"/>
    <w:rsid w:val="00FC4761"/>
    <w:rsid w:val="00FC489B"/>
    <w:rsid w:val="00FC4A65"/>
    <w:rsid w:val="00FC4A89"/>
    <w:rsid w:val="00FC4AE5"/>
    <w:rsid w:val="00FC4B35"/>
    <w:rsid w:val="00FC4C3C"/>
    <w:rsid w:val="00FC4C82"/>
    <w:rsid w:val="00FC4CDB"/>
    <w:rsid w:val="00FC4D95"/>
    <w:rsid w:val="00FC4E42"/>
    <w:rsid w:val="00FC4EA8"/>
    <w:rsid w:val="00FC50D2"/>
    <w:rsid w:val="00FC515D"/>
    <w:rsid w:val="00FC51FB"/>
    <w:rsid w:val="00FC5433"/>
    <w:rsid w:val="00FC5541"/>
    <w:rsid w:val="00FC5546"/>
    <w:rsid w:val="00FC564B"/>
    <w:rsid w:val="00FC5691"/>
    <w:rsid w:val="00FC5711"/>
    <w:rsid w:val="00FC57D3"/>
    <w:rsid w:val="00FC58ED"/>
    <w:rsid w:val="00FC5B42"/>
    <w:rsid w:val="00FC5B97"/>
    <w:rsid w:val="00FC5E1E"/>
    <w:rsid w:val="00FC5F74"/>
    <w:rsid w:val="00FC6064"/>
    <w:rsid w:val="00FC615D"/>
    <w:rsid w:val="00FC6257"/>
    <w:rsid w:val="00FC6331"/>
    <w:rsid w:val="00FC6390"/>
    <w:rsid w:val="00FC6394"/>
    <w:rsid w:val="00FC6424"/>
    <w:rsid w:val="00FC6666"/>
    <w:rsid w:val="00FC6906"/>
    <w:rsid w:val="00FC6980"/>
    <w:rsid w:val="00FC69FD"/>
    <w:rsid w:val="00FC69FE"/>
    <w:rsid w:val="00FC6A55"/>
    <w:rsid w:val="00FC6AB4"/>
    <w:rsid w:val="00FC6ACA"/>
    <w:rsid w:val="00FC6CB6"/>
    <w:rsid w:val="00FC6D13"/>
    <w:rsid w:val="00FC6D2E"/>
    <w:rsid w:val="00FC6D3C"/>
    <w:rsid w:val="00FC6EC2"/>
    <w:rsid w:val="00FC6FC1"/>
    <w:rsid w:val="00FC7005"/>
    <w:rsid w:val="00FC70B0"/>
    <w:rsid w:val="00FC7143"/>
    <w:rsid w:val="00FC720E"/>
    <w:rsid w:val="00FC726E"/>
    <w:rsid w:val="00FC735C"/>
    <w:rsid w:val="00FC738E"/>
    <w:rsid w:val="00FC73AE"/>
    <w:rsid w:val="00FC73CE"/>
    <w:rsid w:val="00FC7425"/>
    <w:rsid w:val="00FC7579"/>
    <w:rsid w:val="00FC757C"/>
    <w:rsid w:val="00FC7582"/>
    <w:rsid w:val="00FC7699"/>
    <w:rsid w:val="00FC77DD"/>
    <w:rsid w:val="00FC783D"/>
    <w:rsid w:val="00FC7867"/>
    <w:rsid w:val="00FC79E6"/>
    <w:rsid w:val="00FC7A93"/>
    <w:rsid w:val="00FC7B6E"/>
    <w:rsid w:val="00FC7BA6"/>
    <w:rsid w:val="00FC7BCF"/>
    <w:rsid w:val="00FC7C50"/>
    <w:rsid w:val="00FC7CFD"/>
    <w:rsid w:val="00FC7D34"/>
    <w:rsid w:val="00FC7DB2"/>
    <w:rsid w:val="00FC7E8F"/>
    <w:rsid w:val="00FC7F4E"/>
    <w:rsid w:val="00FC7F6C"/>
    <w:rsid w:val="00FC7F8B"/>
    <w:rsid w:val="00FC7FBE"/>
    <w:rsid w:val="00FD0229"/>
    <w:rsid w:val="00FD02E5"/>
    <w:rsid w:val="00FD02F7"/>
    <w:rsid w:val="00FD043F"/>
    <w:rsid w:val="00FD04A5"/>
    <w:rsid w:val="00FD0528"/>
    <w:rsid w:val="00FD057C"/>
    <w:rsid w:val="00FD0581"/>
    <w:rsid w:val="00FD0656"/>
    <w:rsid w:val="00FD0803"/>
    <w:rsid w:val="00FD0827"/>
    <w:rsid w:val="00FD0847"/>
    <w:rsid w:val="00FD08C9"/>
    <w:rsid w:val="00FD0A37"/>
    <w:rsid w:val="00FD0A84"/>
    <w:rsid w:val="00FD0A8B"/>
    <w:rsid w:val="00FD0ADC"/>
    <w:rsid w:val="00FD0C8D"/>
    <w:rsid w:val="00FD0D0A"/>
    <w:rsid w:val="00FD0DCB"/>
    <w:rsid w:val="00FD0F63"/>
    <w:rsid w:val="00FD0F86"/>
    <w:rsid w:val="00FD1146"/>
    <w:rsid w:val="00FD11E9"/>
    <w:rsid w:val="00FD125F"/>
    <w:rsid w:val="00FD12C3"/>
    <w:rsid w:val="00FD133D"/>
    <w:rsid w:val="00FD141C"/>
    <w:rsid w:val="00FD1427"/>
    <w:rsid w:val="00FD149B"/>
    <w:rsid w:val="00FD15E2"/>
    <w:rsid w:val="00FD1636"/>
    <w:rsid w:val="00FD16D4"/>
    <w:rsid w:val="00FD182B"/>
    <w:rsid w:val="00FD1925"/>
    <w:rsid w:val="00FD1A3E"/>
    <w:rsid w:val="00FD1AB9"/>
    <w:rsid w:val="00FD1D72"/>
    <w:rsid w:val="00FD1F27"/>
    <w:rsid w:val="00FD1F6F"/>
    <w:rsid w:val="00FD2030"/>
    <w:rsid w:val="00FD20CC"/>
    <w:rsid w:val="00FD211F"/>
    <w:rsid w:val="00FD213C"/>
    <w:rsid w:val="00FD2142"/>
    <w:rsid w:val="00FD21A2"/>
    <w:rsid w:val="00FD21AB"/>
    <w:rsid w:val="00FD221D"/>
    <w:rsid w:val="00FD22B2"/>
    <w:rsid w:val="00FD2306"/>
    <w:rsid w:val="00FD2351"/>
    <w:rsid w:val="00FD2630"/>
    <w:rsid w:val="00FD26C8"/>
    <w:rsid w:val="00FD27C3"/>
    <w:rsid w:val="00FD280D"/>
    <w:rsid w:val="00FD2825"/>
    <w:rsid w:val="00FD28E6"/>
    <w:rsid w:val="00FD290F"/>
    <w:rsid w:val="00FD29EF"/>
    <w:rsid w:val="00FD2AE2"/>
    <w:rsid w:val="00FD2B46"/>
    <w:rsid w:val="00FD2C56"/>
    <w:rsid w:val="00FD2CC8"/>
    <w:rsid w:val="00FD2F71"/>
    <w:rsid w:val="00FD2F82"/>
    <w:rsid w:val="00FD3014"/>
    <w:rsid w:val="00FD3046"/>
    <w:rsid w:val="00FD3083"/>
    <w:rsid w:val="00FD32AA"/>
    <w:rsid w:val="00FD33A3"/>
    <w:rsid w:val="00FD340F"/>
    <w:rsid w:val="00FD36BC"/>
    <w:rsid w:val="00FD3835"/>
    <w:rsid w:val="00FD3938"/>
    <w:rsid w:val="00FD394C"/>
    <w:rsid w:val="00FD39C1"/>
    <w:rsid w:val="00FD3A21"/>
    <w:rsid w:val="00FD3ABE"/>
    <w:rsid w:val="00FD3ABF"/>
    <w:rsid w:val="00FD3CA8"/>
    <w:rsid w:val="00FD3D0B"/>
    <w:rsid w:val="00FD3E5D"/>
    <w:rsid w:val="00FD3E95"/>
    <w:rsid w:val="00FD3EF5"/>
    <w:rsid w:val="00FD4082"/>
    <w:rsid w:val="00FD410D"/>
    <w:rsid w:val="00FD418B"/>
    <w:rsid w:val="00FD436A"/>
    <w:rsid w:val="00FD4486"/>
    <w:rsid w:val="00FD4550"/>
    <w:rsid w:val="00FD45E5"/>
    <w:rsid w:val="00FD4696"/>
    <w:rsid w:val="00FD4709"/>
    <w:rsid w:val="00FD4752"/>
    <w:rsid w:val="00FD47CB"/>
    <w:rsid w:val="00FD47E9"/>
    <w:rsid w:val="00FD4927"/>
    <w:rsid w:val="00FD49EC"/>
    <w:rsid w:val="00FD4A05"/>
    <w:rsid w:val="00FD4A43"/>
    <w:rsid w:val="00FD4A6B"/>
    <w:rsid w:val="00FD4AC8"/>
    <w:rsid w:val="00FD4AE3"/>
    <w:rsid w:val="00FD4D86"/>
    <w:rsid w:val="00FD4DD7"/>
    <w:rsid w:val="00FD4DE8"/>
    <w:rsid w:val="00FD4E12"/>
    <w:rsid w:val="00FD4E3E"/>
    <w:rsid w:val="00FD4F3A"/>
    <w:rsid w:val="00FD506A"/>
    <w:rsid w:val="00FD51C2"/>
    <w:rsid w:val="00FD53A0"/>
    <w:rsid w:val="00FD5531"/>
    <w:rsid w:val="00FD55AF"/>
    <w:rsid w:val="00FD563A"/>
    <w:rsid w:val="00FD5652"/>
    <w:rsid w:val="00FD576F"/>
    <w:rsid w:val="00FD57D7"/>
    <w:rsid w:val="00FD5829"/>
    <w:rsid w:val="00FD5883"/>
    <w:rsid w:val="00FD5A53"/>
    <w:rsid w:val="00FD5C2F"/>
    <w:rsid w:val="00FD5D45"/>
    <w:rsid w:val="00FD5D97"/>
    <w:rsid w:val="00FD5E20"/>
    <w:rsid w:val="00FD5E72"/>
    <w:rsid w:val="00FD5E73"/>
    <w:rsid w:val="00FD5ECE"/>
    <w:rsid w:val="00FD61AE"/>
    <w:rsid w:val="00FD61F7"/>
    <w:rsid w:val="00FD6233"/>
    <w:rsid w:val="00FD62AC"/>
    <w:rsid w:val="00FD63E2"/>
    <w:rsid w:val="00FD6475"/>
    <w:rsid w:val="00FD649E"/>
    <w:rsid w:val="00FD64CD"/>
    <w:rsid w:val="00FD6545"/>
    <w:rsid w:val="00FD6583"/>
    <w:rsid w:val="00FD6639"/>
    <w:rsid w:val="00FD66FC"/>
    <w:rsid w:val="00FD6789"/>
    <w:rsid w:val="00FD67D9"/>
    <w:rsid w:val="00FD6875"/>
    <w:rsid w:val="00FD6A8B"/>
    <w:rsid w:val="00FD6B9E"/>
    <w:rsid w:val="00FD6C52"/>
    <w:rsid w:val="00FD6C63"/>
    <w:rsid w:val="00FD6D67"/>
    <w:rsid w:val="00FD6D77"/>
    <w:rsid w:val="00FD6FD7"/>
    <w:rsid w:val="00FD704E"/>
    <w:rsid w:val="00FD708F"/>
    <w:rsid w:val="00FD7135"/>
    <w:rsid w:val="00FD71B9"/>
    <w:rsid w:val="00FD71FC"/>
    <w:rsid w:val="00FD72F0"/>
    <w:rsid w:val="00FD73C7"/>
    <w:rsid w:val="00FD7514"/>
    <w:rsid w:val="00FD75FA"/>
    <w:rsid w:val="00FD76E9"/>
    <w:rsid w:val="00FD7718"/>
    <w:rsid w:val="00FD7724"/>
    <w:rsid w:val="00FD773F"/>
    <w:rsid w:val="00FD779F"/>
    <w:rsid w:val="00FD77B6"/>
    <w:rsid w:val="00FD7963"/>
    <w:rsid w:val="00FD79A2"/>
    <w:rsid w:val="00FD79E5"/>
    <w:rsid w:val="00FD7B70"/>
    <w:rsid w:val="00FD7BAB"/>
    <w:rsid w:val="00FD7D4C"/>
    <w:rsid w:val="00FD7E65"/>
    <w:rsid w:val="00FD7E6C"/>
    <w:rsid w:val="00FD7E7E"/>
    <w:rsid w:val="00FD7F2B"/>
    <w:rsid w:val="00FD7FDF"/>
    <w:rsid w:val="00FE01B2"/>
    <w:rsid w:val="00FE0224"/>
    <w:rsid w:val="00FE0246"/>
    <w:rsid w:val="00FE0253"/>
    <w:rsid w:val="00FE02B4"/>
    <w:rsid w:val="00FE0342"/>
    <w:rsid w:val="00FE034B"/>
    <w:rsid w:val="00FE04B1"/>
    <w:rsid w:val="00FE0562"/>
    <w:rsid w:val="00FE060A"/>
    <w:rsid w:val="00FE0673"/>
    <w:rsid w:val="00FE070A"/>
    <w:rsid w:val="00FE07F5"/>
    <w:rsid w:val="00FE07FE"/>
    <w:rsid w:val="00FE0804"/>
    <w:rsid w:val="00FE0860"/>
    <w:rsid w:val="00FE089F"/>
    <w:rsid w:val="00FE096E"/>
    <w:rsid w:val="00FE09EF"/>
    <w:rsid w:val="00FE0A48"/>
    <w:rsid w:val="00FE0B2A"/>
    <w:rsid w:val="00FE0B3E"/>
    <w:rsid w:val="00FE0B87"/>
    <w:rsid w:val="00FE0BAE"/>
    <w:rsid w:val="00FE0DCB"/>
    <w:rsid w:val="00FE0E12"/>
    <w:rsid w:val="00FE0ECF"/>
    <w:rsid w:val="00FE0F24"/>
    <w:rsid w:val="00FE0FAF"/>
    <w:rsid w:val="00FE0FD5"/>
    <w:rsid w:val="00FE0FF4"/>
    <w:rsid w:val="00FE1042"/>
    <w:rsid w:val="00FE10C5"/>
    <w:rsid w:val="00FE117E"/>
    <w:rsid w:val="00FE122A"/>
    <w:rsid w:val="00FE128D"/>
    <w:rsid w:val="00FE13E7"/>
    <w:rsid w:val="00FE1422"/>
    <w:rsid w:val="00FE14C1"/>
    <w:rsid w:val="00FE14C9"/>
    <w:rsid w:val="00FE1679"/>
    <w:rsid w:val="00FE16ED"/>
    <w:rsid w:val="00FE175B"/>
    <w:rsid w:val="00FE17F4"/>
    <w:rsid w:val="00FE1843"/>
    <w:rsid w:val="00FE1862"/>
    <w:rsid w:val="00FE192E"/>
    <w:rsid w:val="00FE1981"/>
    <w:rsid w:val="00FE1999"/>
    <w:rsid w:val="00FE1AB6"/>
    <w:rsid w:val="00FE1B5E"/>
    <w:rsid w:val="00FE1B99"/>
    <w:rsid w:val="00FE1BEC"/>
    <w:rsid w:val="00FE1C40"/>
    <w:rsid w:val="00FE1C6D"/>
    <w:rsid w:val="00FE1CF4"/>
    <w:rsid w:val="00FE1D4E"/>
    <w:rsid w:val="00FE1DAB"/>
    <w:rsid w:val="00FE1E0A"/>
    <w:rsid w:val="00FE1E55"/>
    <w:rsid w:val="00FE2285"/>
    <w:rsid w:val="00FE22B3"/>
    <w:rsid w:val="00FE23C1"/>
    <w:rsid w:val="00FE2455"/>
    <w:rsid w:val="00FE249F"/>
    <w:rsid w:val="00FE24FC"/>
    <w:rsid w:val="00FE25CE"/>
    <w:rsid w:val="00FE282A"/>
    <w:rsid w:val="00FE2A5F"/>
    <w:rsid w:val="00FE2AB6"/>
    <w:rsid w:val="00FE2BC6"/>
    <w:rsid w:val="00FE2C53"/>
    <w:rsid w:val="00FE2C6B"/>
    <w:rsid w:val="00FE2CBD"/>
    <w:rsid w:val="00FE2D40"/>
    <w:rsid w:val="00FE2E36"/>
    <w:rsid w:val="00FE3111"/>
    <w:rsid w:val="00FE3182"/>
    <w:rsid w:val="00FE33D0"/>
    <w:rsid w:val="00FE34A5"/>
    <w:rsid w:val="00FE34D1"/>
    <w:rsid w:val="00FE354C"/>
    <w:rsid w:val="00FE35E7"/>
    <w:rsid w:val="00FE3675"/>
    <w:rsid w:val="00FE37CE"/>
    <w:rsid w:val="00FE3817"/>
    <w:rsid w:val="00FE38AF"/>
    <w:rsid w:val="00FE3987"/>
    <w:rsid w:val="00FE39E0"/>
    <w:rsid w:val="00FE3BD1"/>
    <w:rsid w:val="00FE3DB5"/>
    <w:rsid w:val="00FE3DF4"/>
    <w:rsid w:val="00FE3E71"/>
    <w:rsid w:val="00FE3F6C"/>
    <w:rsid w:val="00FE402D"/>
    <w:rsid w:val="00FE404E"/>
    <w:rsid w:val="00FE40C9"/>
    <w:rsid w:val="00FE418B"/>
    <w:rsid w:val="00FE41C8"/>
    <w:rsid w:val="00FE420C"/>
    <w:rsid w:val="00FE42AD"/>
    <w:rsid w:val="00FE433C"/>
    <w:rsid w:val="00FE438A"/>
    <w:rsid w:val="00FE43C5"/>
    <w:rsid w:val="00FE43F5"/>
    <w:rsid w:val="00FE441F"/>
    <w:rsid w:val="00FE4502"/>
    <w:rsid w:val="00FE458B"/>
    <w:rsid w:val="00FE45F6"/>
    <w:rsid w:val="00FE4625"/>
    <w:rsid w:val="00FE4697"/>
    <w:rsid w:val="00FE46A6"/>
    <w:rsid w:val="00FE475D"/>
    <w:rsid w:val="00FE48B5"/>
    <w:rsid w:val="00FE4995"/>
    <w:rsid w:val="00FE4B70"/>
    <w:rsid w:val="00FE4CCC"/>
    <w:rsid w:val="00FE4D39"/>
    <w:rsid w:val="00FE4E81"/>
    <w:rsid w:val="00FE4F63"/>
    <w:rsid w:val="00FE4F66"/>
    <w:rsid w:val="00FE50F5"/>
    <w:rsid w:val="00FE5124"/>
    <w:rsid w:val="00FE519F"/>
    <w:rsid w:val="00FE51A7"/>
    <w:rsid w:val="00FE5270"/>
    <w:rsid w:val="00FE551D"/>
    <w:rsid w:val="00FE55F9"/>
    <w:rsid w:val="00FE5663"/>
    <w:rsid w:val="00FE56E4"/>
    <w:rsid w:val="00FE5788"/>
    <w:rsid w:val="00FE579B"/>
    <w:rsid w:val="00FE581D"/>
    <w:rsid w:val="00FE59DB"/>
    <w:rsid w:val="00FE59E9"/>
    <w:rsid w:val="00FE59EA"/>
    <w:rsid w:val="00FE5A5B"/>
    <w:rsid w:val="00FE5CAA"/>
    <w:rsid w:val="00FE5DF8"/>
    <w:rsid w:val="00FE5FE5"/>
    <w:rsid w:val="00FE5FF4"/>
    <w:rsid w:val="00FE60BB"/>
    <w:rsid w:val="00FE60F6"/>
    <w:rsid w:val="00FE61DE"/>
    <w:rsid w:val="00FE6204"/>
    <w:rsid w:val="00FE62F0"/>
    <w:rsid w:val="00FE6586"/>
    <w:rsid w:val="00FE66CE"/>
    <w:rsid w:val="00FE6725"/>
    <w:rsid w:val="00FE673E"/>
    <w:rsid w:val="00FE67FD"/>
    <w:rsid w:val="00FE685F"/>
    <w:rsid w:val="00FE6883"/>
    <w:rsid w:val="00FE6B29"/>
    <w:rsid w:val="00FE6BB7"/>
    <w:rsid w:val="00FE6C10"/>
    <w:rsid w:val="00FE6C4A"/>
    <w:rsid w:val="00FE6C6F"/>
    <w:rsid w:val="00FE6C9A"/>
    <w:rsid w:val="00FE6F71"/>
    <w:rsid w:val="00FE6FBA"/>
    <w:rsid w:val="00FE6FC0"/>
    <w:rsid w:val="00FE7018"/>
    <w:rsid w:val="00FE70F3"/>
    <w:rsid w:val="00FE71C0"/>
    <w:rsid w:val="00FE7275"/>
    <w:rsid w:val="00FE7308"/>
    <w:rsid w:val="00FE7309"/>
    <w:rsid w:val="00FE747D"/>
    <w:rsid w:val="00FE74AE"/>
    <w:rsid w:val="00FE7532"/>
    <w:rsid w:val="00FE7648"/>
    <w:rsid w:val="00FE7672"/>
    <w:rsid w:val="00FE7773"/>
    <w:rsid w:val="00FE777C"/>
    <w:rsid w:val="00FE77B8"/>
    <w:rsid w:val="00FE7811"/>
    <w:rsid w:val="00FE7983"/>
    <w:rsid w:val="00FE7A92"/>
    <w:rsid w:val="00FE7B64"/>
    <w:rsid w:val="00FE7BB6"/>
    <w:rsid w:val="00FE7C2A"/>
    <w:rsid w:val="00FE7C4E"/>
    <w:rsid w:val="00FE7D67"/>
    <w:rsid w:val="00FE7E0D"/>
    <w:rsid w:val="00FE7E1F"/>
    <w:rsid w:val="00FE7E63"/>
    <w:rsid w:val="00FE7E7F"/>
    <w:rsid w:val="00FE7F05"/>
    <w:rsid w:val="00FF00DD"/>
    <w:rsid w:val="00FF0149"/>
    <w:rsid w:val="00FF0158"/>
    <w:rsid w:val="00FF026E"/>
    <w:rsid w:val="00FF02D2"/>
    <w:rsid w:val="00FF0365"/>
    <w:rsid w:val="00FF03B0"/>
    <w:rsid w:val="00FF03B5"/>
    <w:rsid w:val="00FF0470"/>
    <w:rsid w:val="00FF04DD"/>
    <w:rsid w:val="00FF050F"/>
    <w:rsid w:val="00FF070C"/>
    <w:rsid w:val="00FF0712"/>
    <w:rsid w:val="00FF0723"/>
    <w:rsid w:val="00FF07E2"/>
    <w:rsid w:val="00FF09D3"/>
    <w:rsid w:val="00FF0A4A"/>
    <w:rsid w:val="00FF0A68"/>
    <w:rsid w:val="00FF0A7B"/>
    <w:rsid w:val="00FF0ABC"/>
    <w:rsid w:val="00FF0B04"/>
    <w:rsid w:val="00FF0B2A"/>
    <w:rsid w:val="00FF0BF1"/>
    <w:rsid w:val="00FF0C02"/>
    <w:rsid w:val="00FF0C06"/>
    <w:rsid w:val="00FF0D07"/>
    <w:rsid w:val="00FF0D2E"/>
    <w:rsid w:val="00FF0DC9"/>
    <w:rsid w:val="00FF0E0F"/>
    <w:rsid w:val="00FF0F6F"/>
    <w:rsid w:val="00FF0FA9"/>
    <w:rsid w:val="00FF1063"/>
    <w:rsid w:val="00FF11E7"/>
    <w:rsid w:val="00FF138C"/>
    <w:rsid w:val="00FF1482"/>
    <w:rsid w:val="00FF16AC"/>
    <w:rsid w:val="00FF16D1"/>
    <w:rsid w:val="00FF1939"/>
    <w:rsid w:val="00FF1ADF"/>
    <w:rsid w:val="00FF1B56"/>
    <w:rsid w:val="00FF1B6E"/>
    <w:rsid w:val="00FF1B76"/>
    <w:rsid w:val="00FF1D2B"/>
    <w:rsid w:val="00FF1D44"/>
    <w:rsid w:val="00FF1F3A"/>
    <w:rsid w:val="00FF2095"/>
    <w:rsid w:val="00FF215A"/>
    <w:rsid w:val="00FF216E"/>
    <w:rsid w:val="00FF21AC"/>
    <w:rsid w:val="00FF2338"/>
    <w:rsid w:val="00FF2383"/>
    <w:rsid w:val="00FF23FE"/>
    <w:rsid w:val="00FF255A"/>
    <w:rsid w:val="00FF257D"/>
    <w:rsid w:val="00FF268F"/>
    <w:rsid w:val="00FF2696"/>
    <w:rsid w:val="00FF26E8"/>
    <w:rsid w:val="00FF297A"/>
    <w:rsid w:val="00FF29B9"/>
    <w:rsid w:val="00FF29C2"/>
    <w:rsid w:val="00FF29CC"/>
    <w:rsid w:val="00FF29D6"/>
    <w:rsid w:val="00FF2A7A"/>
    <w:rsid w:val="00FF2A8B"/>
    <w:rsid w:val="00FF2A97"/>
    <w:rsid w:val="00FF2D03"/>
    <w:rsid w:val="00FF2E54"/>
    <w:rsid w:val="00FF2E7A"/>
    <w:rsid w:val="00FF2FDB"/>
    <w:rsid w:val="00FF30BE"/>
    <w:rsid w:val="00FF3133"/>
    <w:rsid w:val="00FF3199"/>
    <w:rsid w:val="00FF3211"/>
    <w:rsid w:val="00FF332E"/>
    <w:rsid w:val="00FF3434"/>
    <w:rsid w:val="00FF343E"/>
    <w:rsid w:val="00FF355F"/>
    <w:rsid w:val="00FF3617"/>
    <w:rsid w:val="00FF364E"/>
    <w:rsid w:val="00FF369D"/>
    <w:rsid w:val="00FF3726"/>
    <w:rsid w:val="00FF38DD"/>
    <w:rsid w:val="00FF3A32"/>
    <w:rsid w:val="00FF3A75"/>
    <w:rsid w:val="00FF3B7F"/>
    <w:rsid w:val="00FF3D82"/>
    <w:rsid w:val="00FF3DA9"/>
    <w:rsid w:val="00FF3F65"/>
    <w:rsid w:val="00FF3FB4"/>
    <w:rsid w:val="00FF4091"/>
    <w:rsid w:val="00FF40C2"/>
    <w:rsid w:val="00FF40F7"/>
    <w:rsid w:val="00FF4191"/>
    <w:rsid w:val="00FF41BC"/>
    <w:rsid w:val="00FF42DA"/>
    <w:rsid w:val="00FF4692"/>
    <w:rsid w:val="00FF46F1"/>
    <w:rsid w:val="00FF484F"/>
    <w:rsid w:val="00FF485E"/>
    <w:rsid w:val="00FF48CA"/>
    <w:rsid w:val="00FF4915"/>
    <w:rsid w:val="00FF4A09"/>
    <w:rsid w:val="00FF4A17"/>
    <w:rsid w:val="00FF4B02"/>
    <w:rsid w:val="00FF4B28"/>
    <w:rsid w:val="00FF4B39"/>
    <w:rsid w:val="00FF4BD8"/>
    <w:rsid w:val="00FF4C53"/>
    <w:rsid w:val="00FF4C5B"/>
    <w:rsid w:val="00FF4CFE"/>
    <w:rsid w:val="00FF4D31"/>
    <w:rsid w:val="00FF4D85"/>
    <w:rsid w:val="00FF4E03"/>
    <w:rsid w:val="00FF4E1C"/>
    <w:rsid w:val="00FF4F6F"/>
    <w:rsid w:val="00FF4F7D"/>
    <w:rsid w:val="00FF504F"/>
    <w:rsid w:val="00FF5076"/>
    <w:rsid w:val="00FF50B2"/>
    <w:rsid w:val="00FF50E2"/>
    <w:rsid w:val="00FF5148"/>
    <w:rsid w:val="00FF532E"/>
    <w:rsid w:val="00FF54BC"/>
    <w:rsid w:val="00FF556B"/>
    <w:rsid w:val="00FF558F"/>
    <w:rsid w:val="00FF55BE"/>
    <w:rsid w:val="00FF5653"/>
    <w:rsid w:val="00FF5665"/>
    <w:rsid w:val="00FF587F"/>
    <w:rsid w:val="00FF593E"/>
    <w:rsid w:val="00FF59C0"/>
    <w:rsid w:val="00FF5A29"/>
    <w:rsid w:val="00FF5BB0"/>
    <w:rsid w:val="00FF5C68"/>
    <w:rsid w:val="00FF5C9A"/>
    <w:rsid w:val="00FF5CE5"/>
    <w:rsid w:val="00FF5CE7"/>
    <w:rsid w:val="00FF5DDF"/>
    <w:rsid w:val="00FF5DEF"/>
    <w:rsid w:val="00FF5F13"/>
    <w:rsid w:val="00FF5F39"/>
    <w:rsid w:val="00FF5FDF"/>
    <w:rsid w:val="00FF6018"/>
    <w:rsid w:val="00FF6038"/>
    <w:rsid w:val="00FF60AD"/>
    <w:rsid w:val="00FF60CA"/>
    <w:rsid w:val="00FF613D"/>
    <w:rsid w:val="00FF6179"/>
    <w:rsid w:val="00FF61B0"/>
    <w:rsid w:val="00FF6205"/>
    <w:rsid w:val="00FF623A"/>
    <w:rsid w:val="00FF629D"/>
    <w:rsid w:val="00FF6314"/>
    <w:rsid w:val="00FF6332"/>
    <w:rsid w:val="00FF6384"/>
    <w:rsid w:val="00FF6390"/>
    <w:rsid w:val="00FF6430"/>
    <w:rsid w:val="00FF650F"/>
    <w:rsid w:val="00FF6527"/>
    <w:rsid w:val="00FF6765"/>
    <w:rsid w:val="00FF677E"/>
    <w:rsid w:val="00FF6853"/>
    <w:rsid w:val="00FF6880"/>
    <w:rsid w:val="00FF6A17"/>
    <w:rsid w:val="00FF6A4D"/>
    <w:rsid w:val="00FF6B4D"/>
    <w:rsid w:val="00FF6BE5"/>
    <w:rsid w:val="00FF6C21"/>
    <w:rsid w:val="00FF6CD7"/>
    <w:rsid w:val="00FF6CE2"/>
    <w:rsid w:val="00FF6CED"/>
    <w:rsid w:val="00FF6D2C"/>
    <w:rsid w:val="00FF6D40"/>
    <w:rsid w:val="00FF6DCC"/>
    <w:rsid w:val="00FF6E8A"/>
    <w:rsid w:val="00FF6F7A"/>
    <w:rsid w:val="00FF6FAD"/>
    <w:rsid w:val="00FF7025"/>
    <w:rsid w:val="00FF70DF"/>
    <w:rsid w:val="00FF72C0"/>
    <w:rsid w:val="00FF741B"/>
    <w:rsid w:val="00FF7457"/>
    <w:rsid w:val="00FF74B4"/>
    <w:rsid w:val="00FF74F7"/>
    <w:rsid w:val="00FF7530"/>
    <w:rsid w:val="00FF7659"/>
    <w:rsid w:val="00FF76A9"/>
    <w:rsid w:val="00FF76B2"/>
    <w:rsid w:val="00FF78C0"/>
    <w:rsid w:val="00FF796F"/>
    <w:rsid w:val="00FF7A6E"/>
    <w:rsid w:val="00FF7BD3"/>
    <w:rsid w:val="00FF7C6B"/>
    <w:rsid w:val="00FF7CEB"/>
    <w:rsid w:val="00FF7CF7"/>
    <w:rsid w:val="00FF7D38"/>
    <w:rsid w:val="00FF7E01"/>
    <w:rsid w:val="00FF7E05"/>
    <w:rsid w:val="00FF7FE1"/>
    <w:rsid w:val="011604D2"/>
    <w:rsid w:val="014B11E5"/>
    <w:rsid w:val="01534658"/>
    <w:rsid w:val="015AACA2"/>
    <w:rsid w:val="0169377A"/>
    <w:rsid w:val="01758E5D"/>
    <w:rsid w:val="017842E1"/>
    <w:rsid w:val="01851CB8"/>
    <w:rsid w:val="01A11C1B"/>
    <w:rsid w:val="01AE3676"/>
    <w:rsid w:val="01B5CB6B"/>
    <w:rsid w:val="02161A77"/>
    <w:rsid w:val="02182358"/>
    <w:rsid w:val="02204F00"/>
    <w:rsid w:val="0236807C"/>
    <w:rsid w:val="02707ABB"/>
    <w:rsid w:val="02765456"/>
    <w:rsid w:val="027C059F"/>
    <w:rsid w:val="028CA73D"/>
    <w:rsid w:val="02ABCA45"/>
    <w:rsid w:val="02BBBFEA"/>
    <w:rsid w:val="02C671B2"/>
    <w:rsid w:val="02E2A5C8"/>
    <w:rsid w:val="0312F2FE"/>
    <w:rsid w:val="036B9C01"/>
    <w:rsid w:val="038407FC"/>
    <w:rsid w:val="038A04B8"/>
    <w:rsid w:val="03C7BE5C"/>
    <w:rsid w:val="03C9A8E9"/>
    <w:rsid w:val="03DC6BA5"/>
    <w:rsid w:val="03DD84F1"/>
    <w:rsid w:val="042016BC"/>
    <w:rsid w:val="043B62E4"/>
    <w:rsid w:val="044C28B8"/>
    <w:rsid w:val="045BC0FA"/>
    <w:rsid w:val="0475F72B"/>
    <w:rsid w:val="0476ACD4"/>
    <w:rsid w:val="048912AF"/>
    <w:rsid w:val="04B3F452"/>
    <w:rsid w:val="04BA2DF0"/>
    <w:rsid w:val="04BC8EDA"/>
    <w:rsid w:val="04D87A54"/>
    <w:rsid w:val="04E52460"/>
    <w:rsid w:val="04F37148"/>
    <w:rsid w:val="04FB7FFA"/>
    <w:rsid w:val="050FD385"/>
    <w:rsid w:val="0515703D"/>
    <w:rsid w:val="051A0FE4"/>
    <w:rsid w:val="051E6F6F"/>
    <w:rsid w:val="052C3445"/>
    <w:rsid w:val="052EE07A"/>
    <w:rsid w:val="05362625"/>
    <w:rsid w:val="053A4231"/>
    <w:rsid w:val="053EA4A2"/>
    <w:rsid w:val="054BE6A0"/>
    <w:rsid w:val="0559E47E"/>
    <w:rsid w:val="0563D514"/>
    <w:rsid w:val="0565333E"/>
    <w:rsid w:val="0565D2F2"/>
    <w:rsid w:val="056E8BE1"/>
    <w:rsid w:val="056EDFF9"/>
    <w:rsid w:val="0570E2CE"/>
    <w:rsid w:val="05799E0B"/>
    <w:rsid w:val="05932764"/>
    <w:rsid w:val="059732F2"/>
    <w:rsid w:val="05B79CD2"/>
    <w:rsid w:val="05CD75AD"/>
    <w:rsid w:val="05D4594F"/>
    <w:rsid w:val="05DD305A"/>
    <w:rsid w:val="05F68C6C"/>
    <w:rsid w:val="05F793C4"/>
    <w:rsid w:val="05F7F883"/>
    <w:rsid w:val="0601CFCF"/>
    <w:rsid w:val="06062D5A"/>
    <w:rsid w:val="0610200E"/>
    <w:rsid w:val="0612AD2A"/>
    <w:rsid w:val="0625E4D4"/>
    <w:rsid w:val="0626DE6C"/>
    <w:rsid w:val="0628677C"/>
    <w:rsid w:val="064D8E71"/>
    <w:rsid w:val="06614C8E"/>
    <w:rsid w:val="06688C97"/>
    <w:rsid w:val="0670F1F9"/>
    <w:rsid w:val="06747A8C"/>
    <w:rsid w:val="0675FCB6"/>
    <w:rsid w:val="067774BB"/>
    <w:rsid w:val="067971A3"/>
    <w:rsid w:val="068C5EF2"/>
    <w:rsid w:val="0690B754"/>
    <w:rsid w:val="06BF5745"/>
    <w:rsid w:val="06CC873A"/>
    <w:rsid w:val="06D021E0"/>
    <w:rsid w:val="06D7E3DD"/>
    <w:rsid w:val="06E31FE3"/>
    <w:rsid w:val="06EFED24"/>
    <w:rsid w:val="072090E0"/>
    <w:rsid w:val="0722A664"/>
    <w:rsid w:val="0737EAC4"/>
    <w:rsid w:val="0742C90B"/>
    <w:rsid w:val="0742DE1D"/>
    <w:rsid w:val="07454CA6"/>
    <w:rsid w:val="075BF061"/>
    <w:rsid w:val="076C9081"/>
    <w:rsid w:val="07761C63"/>
    <w:rsid w:val="0784D6B9"/>
    <w:rsid w:val="07948767"/>
    <w:rsid w:val="07CAE1FA"/>
    <w:rsid w:val="07CF3D73"/>
    <w:rsid w:val="07D7238B"/>
    <w:rsid w:val="080270C9"/>
    <w:rsid w:val="0802F37E"/>
    <w:rsid w:val="080779BF"/>
    <w:rsid w:val="0811DB55"/>
    <w:rsid w:val="0851B121"/>
    <w:rsid w:val="085808E7"/>
    <w:rsid w:val="0868D823"/>
    <w:rsid w:val="0869794D"/>
    <w:rsid w:val="08748E1D"/>
    <w:rsid w:val="0875CC3F"/>
    <w:rsid w:val="087640AE"/>
    <w:rsid w:val="08766E26"/>
    <w:rsid w:val="087CA367"/>
    <w:rsid w:val="087D9049"/>
    <w:rsid w:val="08875326"/>
    <w:rsid w:val="088ECD54"/>
    <w:rsid w:val="089EA568"/>
    <w:rsid w:val="08A0EF66"/>
    <w:rsid w:val="08BC51D1"/>
    <w:rsid w:val="08D6BD9B"/>
    <w:rsid w:val="08E218AE"/>
    <w:rsid w:val="08FBA39C"/>
    <w:rsid w:val="09347675"/>
    <w:rsid w:val="093C1579"/>
    <w:rsid w:val="094CBF77"/>
    <w:rsid w:val="09655A71"/>
    <w:rsid w:val="09728E5C"/>
    <w:rsid w:val="097EE197"/>
    <w:rsid w:val="0983A572"/>
    <w:rsid w:val="0985220D"/>
    <w:rsid w:val="09AE1147"/>
    <w:rsid w:val="09B4D337"/>
    <w:rsid w:val="09CF7D6E"/>
    <w:rsid w:val="09CFC91F"/>
    <w:rsid w:val="09D7DB8A"/>
    <w:rsid w:val="0A093ED6"/>
    <w:rsid w:val="0A0E4958"/>
    <w:rsid w:val="0A42F0E4"/>
    <w:rsid w:val="0A579568"/>
    <w:rsid w:val="0A5CA5CC"/>
    <w:rsid w:val="0A619205"/>
    <w:rsid w:val="0A70848A"/>
    <w:rsid w:val="0A8186A0"/>
    <w:rsid w:val="0AAC9D9E"/>
    <w:rsid w:val="0AB53F8D"/>
    <w:rsid w:val="0ABB0CA3"/>
    <w:rsid w:val="0AD590C6"/>
    <w:rsid w:val="0AF10C22"/>
    <w:rsid w:val="0AFC6A65"/>
    <w:rsid w:val="0B09B757"/>
    <w:rsid w:val="0B26A6A5"/>
    <w:rsid w:val="0B413465"/>
    <w:rsid w:val="0B684D20"/>
    <w:rsid w:val="0B719E07"/>
    <w:rsid w:val="0B8818AE"/>
    <w:rsid w:val="0B8D8F76"/>
    <w:rsid w:val="0BA50104"/>
    <w:rsid w:val="0BC8FA13"/>
    <w:rsid w:val="0BCCC82E"/>
    <w:rsid w:val="0BD6F5A8"/>
    <w:rsid w:val="0BD782A0"/>
    <w:rsid w:val="0BE50ADE"/>
    <w:rsid w:val="0BE92F1C"/>
    <w:rsid w:val="0BF8D71E"/>
    <w:rsid w:val="0BFCAD83"/>
    <w:rsid w:val="0C017215"/>
    <w:rsid w:val="0C2D275F"/>
    <w:rsid w:val="0C2E4ED1"/>
    <w:rsid w:val="0C2E94B6"/>
    <w:rsid w:val="0C3070A8"/>
    <w:rsid w:val="0C3F42E3"/>
    <w:rsid w:val="0C70118D"/>
    <w:rsid w:val="0C701CD4"/>
    <w:rsid w:val="0C78F4B2"/>
    <w:rsid w:val="0C800244"/>
    <w:rsid w:val="0C87EED4"/>
    <w:rsid w:val="0CA30588"/>
    <w:rsid w:val="0CB4DB6A"/>
    <w:rsid w:val="0CB5FFE1"/>
    <w:rsid w:val="0CCF52AF"/>
    <w:rsid w:val="0CD50693"/>
    <w:rsid w:val="0CDADCB2"/>
    <w:rsid w:val="0CE91E08"/>
    <w:rsid w:val="0D0C0B9B"/>
    <w:rsid w:val="0D0D3E6C"/>
    <w:rsid w:val="0D1641CC"/>
    <w:rsid w:val="0D23C94C"/>
    <w:rsid w:val="0D2C5638"/>
    <w:rsid w:val="0D371AC5"/>
    <w:rsid w:val="0D44692A"/>
    <w:rsid w:val="0D5AFB54"/>
    <w:rsid w:val="0D6233DC"/>
    <w:rsid w:val="0D6F7540"/>
    <w:rsid w:val="0D89EAE9"/>
    <w:rsid w:val="0D8C8F59"/>
    <w:rsid w:val="0D99E91B"/>
    <w:rsid w:val="0D9CF420"/>
    <w:rsid w:val="0DD13512"/>
    <w:rsid w:val="0DF40A7E"/>
    <w:rsid w:val="0DF5D8EF"/>
    <w:rsid w:val="0DF91F98"/>
    <w:rsid w:val="0DFD71FD"/>
    <w:rsid w:val="0E117C3A"/>
    <w:rsid w:val="0E1CFC31"/>
    <w:rsid w:val="0E20155C"/>
    <w:rsid w:val="0E2128FC"/>
    <w:rsid w:val="0E347756"/>
    <w:rsid w:val="0E46FFB4"/>
    <w:rsid w:val="0E4E667C"/>
    <w:rsid w:val="0E4F2A62"/>
    <w:rsid w:val="0E509EC8"/>
    <w:rsid w:val="0E78BFD2"/>
    <w:rsid w:val="0E83C6CC"/>
    <w:rsid w:val="0E88DCBE"/>
    <w:rsid w:val="0E8B78CC"/>
    <w:rsid w:val="0E945537"/>
    <w:rsid w:val="0E9CE4AA"/>
    <w:rsid w:val="0EA17FB0"/>
    <w:rsid w:val="0EB050DB"/>
    <w:rsid w:val="0EBF26B7"/>
    <w:rsid w:val="0EC9789A"/>
    <w:rsid w:val="0ED321FE"/>
    <w:rsid w:val="0EDA4114"/>
    <w:rsid w:val="0EDC4992"/>
    <w:rsid w:val="0EDD0DA1"/>
    <w:rsid w:val="0EF22114"/>
    <w:rsid w:val="0EFC4FF1"/>
    <w:rsid w:val="0F29E970"/>
    <w:rsid w:val="0F4D601C"/>
    <w:rsid w:val="0F545B50"/>
    <w:rsid w:val="0F6AF3F3"/>
    <w:rsid w:val="0F6EEF48"/>
    <w:rsid w:val="0F794942"/>
    <w:rsid w:val="0FF7432C"/>
    <w:rsid w:val="10034FDE"/>
    <w:rsid w:val="100556FC"/>
    <w:rsid w:val="101E3A6F"/>
    <w:rsid w:val="10275FC6"/>
    <w:rsid w:val="1053BC5C"/>
    <w:rsid w:val="10574445"/>
    <w:rsid w:val="105E6978"/>
    <w:rsid w:val="1062E2ED"/>
    <w:rsid w:val="10954BA8"/>
    <w:rsid w:val="10990D5D"/>
    <w:rsid w:val="10CB51FE"/>
    <w:rsid w:val="10CF7519"/>
    <w:rsid w:val="10D033F8"/>
    <w:rsid w:val="10D1C12C"/>
    <w:rsid w:val="10E410FD"/>
    <w:rsid w:val="10ED6D53"/>
    <w:rsid w:val="1117204C"/>
    <w:rsid w:val="11315056"/>
    <w:rsid w:val="113D2327"/>
    <w:rsid w:val="114001B2"/>
    <w:rsid w:val="114D0190"/>
    <w:rsid w:val="11625D1E"/>
    <w:rsid w:val="116F805B"/>
    <w:rsid w:val="118CC8A7"/>
    <w:rsid w:val="11A3A687"/>
    <w:rsid w:val="11A6DB50"/>
    <w:rsid w:val="11D1E7D4"/>
    <w:rsid w:val="11D38CA9"/>
    <w:rsid w:val="11E65C1A"/>
    <w:rsid w:val="11EA8D83"/>
    <w:rsid w:val="11EBFCBB"/>
    <w:rsid w:val="11F8C33F"/>
    <w:rsid w:val="11F9A814"/>
    <w:rsid w:val="12042BF7"/>
    <w:rsid w:val="120CD347"/>
    <w:rsid w:val="12124F8E"/>
    <w:rsid w:val="121C3925"/>
    <w:rsid w:val="122C8255"/>
    <w:rsid w:val="12316E96"/>
    <w:rsid w:val="1247E175"/>
    <w:rsid w:val="125FA26F"/>
    <w:rsid w:val="1291F0C2"/>
    <w:rsid w:val="12935D81"/>
    <w:rsid w:val="129BCC67"/>
    <w:rsid w:val="12A2FEEA"/>
    <w:rsid w:val="12CF6E54"/>
    <w:rsid w:val="12D9CE7A"/>
    <w:rsid w:val="12DF35BD"/>
    <w:rsid w:val="12EEB964"/>
    <w:rsid w:val="12F63CAC"/>
    <w:rsid w:val="1336E031"/>
    <w:rsid w:val="1337D6C2"/>
    <w:rsid w:val="13496E90"/>
    <w:rsid w:val="134C10BE"/>
    <w:rsid w:val="1358250E"/>
    <w:rsid w:val="13594052"/>
    <w:rsid w:val="13A324A2"/>
    <w:rsid w:val="13BFE70B"/>
    <w:rsid w:val="13C837A5"/>
    <w:rsid w:val="13D77EBA"/>
    <w:rsid w:val="13DE068F"/>
    <w:rsid w:val="13DFA324"/>
    <w:rsid w:val="13E38E10"/>
    <w:rsid w:val="13F36905"/>
    <w:rsid w:val="13F7B916"/>
    <w:rsid w:val="13FFE430"/>
    <w:rsid w:val="141FF351"/>
    <w:rsid w:val="14213917"/>
    <w:rsid w:val="144602A6"/>
    <w:rsid w:val="145BAF4D"/>
    <w:rsid w:val="1470EF80"/>
    <w:rsid w:val="1474CCBB"/>
    <w:rsid w:val="147803E0"/>
    <w:rsid w:val="14889F29"/>
    <w:rsid w:val="1497D884"/>
    <w:rsid w:val="149BD09A"/>
    <w:rsid w:val="149F19D8"/>
    <w:rsid w:val="14AA6FB2"/>
    <w:rsid w:val="14ACDE66"/>
    <w:rsid w:val="14B347E5"/>
    <w:rsid w:val="14D5C04F"/>
    <w:rsid w:val="14DA174E"/>
    <w:rsid w:val="14E031C6"/>
    <w:rsid w:val="14E07101"/>
    <w:rsid w:val="14ECFE0A"/>
    <w:rsid w:val="14ED1290"/>
    <w:rsid w:val="15098514"/>
    <w:rsid w:val="1517D198"/>
    <w:rsid w:val="15257FE7"/>
    <w:rsid w:val="152AB83A"/>
    <w:rsid w:val="1536CEF0"/>
    <w:rsid w:val="15465738"/>
    <w:rsid w:val="1564AECD"/>
    <w:rsid w:val="1575CD73"/>
    <w:rsid w:val="157FD20B"/>
    <w:rsid w:val="15AA730D"/>
    <w:rsid w:val="15D55C8B"/>
    <w:rsid w:val="15DAF43C"/>
    <w:rsid w:val="15DC00B3"/>
    <w:rsid w:val="15F8B323"/>
    <w:rsid w:val="161E07BA"/>
    <w:rsid w:val="161EB2FD"/>
    <w:rsid w:val="1632E84B"/>
    <w:rsid w:val="16482D0C"/>
    <w:rsid w:val="164C7545"/>
    <w:rsid w:val="165AE230"/>
    <w:rsid w:val="1660B402"/>
    <w:rsid w:val="1667C257"/>
    <w:rsid w:val="16683152"/>
    <w:rsid w:val="166FEE7A"/>
    <w:rsid w:val="166FFCF3"/>
    <w:rsid w:val="167C806A"/>
    <w:rsid w:val="1689DCCA"/>
    <w:rsid w:val="16AB9134"/>
    <w:rsid w:val="16ADFE06"/>
    <w:rsid w:val="16AF25B0"/>
    <w:rsid w:val="16DB9E80"/>
    <w:rsid w:val="16E106BF"/>
    <w:rsid w:val="16EA9ADA"/>
    <w:rsid w:val="16F29505"/>
    <w:rsid w:val="16F71915"/>
    <w:rsid w:val="17045C23"/>
    <w:rsid w:val="17168DD5"/>
    <w:rsid w:val="171D0FE2"/>
    <w:rsid w:val="172FAF8A"/>
    <w:rsid w:val="17463F08"/>
    <w:rsid w:val="176E0343"/>
    <w:rsid w:val="1778AADF"/>
    <w:rsid w:val="17885EFA"/>
    <w:rsid w:val="178C8D93"/>
    <w:rsid w:val="17D59AF9"/>
    <w:rsid w:val="17DC83B9"/>
    <w:rsid w:val="17E31626"/>
    <w:rsid w:val="17F11744"/>
    <w:rsid w:val="18149950"/>
    <w:rsid w:val="181D11A3"/>
    <w:rsid w:val="181E35AE"/>
    <w:rsid w:val="18302065"/>
    <w:rsid w:val="183D4FCC"/>
    <w:rsid w:val="186CC791"/>
    <w:rsid w:val="189B4612"/>
    <w:rsid w:val="189E7868"/>
    <w:rsid w:val="18A3D1BD"/>
    <w:rsid w:val="18ACB31B"/>
    <w:rsid w:val="18AFC4F1"/>
    <w:rsid w:val="18B748E6"/>
    <w:rsid w:val="18BDEF11"/>
    <w:rsid w:val="18D69119"/>
    <w:rsid w:val="18E31676"/>
    <w:rsid w:val="18E94C2A"/>
    <w:rsid w:val="190167F7"/>
    <w:rsid w:val="1906035C"/>
    <w:rsid w:val="190F7F76"/>
    <w:rsid w:val="1932BB07"/>
    <w:rsid w:val="19594582"/>
    <w:rsid w:val="196BB2EB"/>
    <w:rsid w:val="196C21ED"/>
    <w:rsid w:val="199A6872"/>
    <w:rsid w:val="199B8761"/>
    <w:rsid w:val="19B44412"/>
    <w:rsid w:val="19B7D8D3"/>
    <w:rsid w:val="19C72457"/>
    <w:rsid w:val="19D3DBF6"/>
    <w:rsid w:val="19D71B4A"/>
    <w:rsid w:val="19DD6DD6"/>
    <w:rsid w:val="19EF0358"/>
    <w:rsid w:val="1A0452E4"/>
    <w:rsid w:val="1A04E588"/>
    <w:rsid w:val="1A0734A8"/>
    <w:rsid w:val="1A114804"/>
    <w:rsid w:val="1A14CDF1"/>
    <w:rsid w:val="1A14DCA7"/>
    <w:rsid w:val="1A19281C"/>
    <w:rsid w:val="1A2F6190"/>
    <w:rsid w:val="1A60493A"/>
    <w:rsid w:val="1A6EC856"/>
    <w:rsid w:val="1A74E661"/>
    <w:rsid w:val="1A77114C"/>
    <w:rsid w:val="1A7858B1"/>
    <w:rsid w:val="1A78EF25"/>
    <w:rsid w:val="1A7CCBAE"/>
    <w:rsid w:val="1A880C4C"/>
    <w:rsid w:val="1A91FCB9"/>
    <w:rsid w:val="1A9E9274"/>
    <w:rsid w:val="1ABBE5F7"/>
    <w:rsid w:val="1AC01113"/>
    <w:rsid w:val="1ACA7DE3"/>
    <w:rsid w:val="1ADD24FF"/>
    <w:rsid w:val="1AE400D9"/>
    <w:rsid w:val="1B051493"/>
    <w:rsid w:val="1B193E54"/>
    <w:rsid w:val="1B256E01"/>
    <w:rsid w:val="1B34630F"/>
    <w:rsid w:val="1B454C0D"/>
    <w:rsid w:val="1B4F113E"/>
    <w:rsid w:val="1B66AF38"/>
    <w:rsid w:val="1B816A98"/>
    <w:rsid w:val="1B96F9B0"/>
    <w:rsid w:val="1BAD5D09"/>
    <w:rsid w:val="1BB45D70"/>
    <w:rsid w:val="1BC12B93"/>
    <w:rsid w:val="1BCB5459"/>
    <w:rsid w:val="1BCCF5EE"/>
    <w:rsid w:val="1BD47D43"/>
    <w:rsid w:val="1BDBF0FA"/>
    <w:rsid w:val="1C0F8D71"/>
    <w:rsid w:val="1C173A34"/>
    <w:rsid w:val="1C2205C2"/>
    <w:rsid w:val="1C3066F1"/>
    <w:rsid w:val="1C33BA6B"/>
    <w:rsid w:val="1C433717"/>
    <w:rsid w:val="1C595FC6"/>
    <w:rsid w:val="1C6497E3"/>
    <w:rsid w:val="1C7389DF"/>
    <w:rsid w:val="1C80DAB6"/>
    <w:rsid w:val="1C909D30"/>
    <w:rsid w:val="1C915FCE"/>
    <w:rsid w:val="1C9E81E5"/>
    <w:rsid w:val="1CA162F3"/>
    <w:rsid w:val="1CA48C5C"/>
    <w:rsid w:val="1CA69592"/>
    <w:rsid w:val="1CD32824"/>
    <w:rsid w:val="1CE24729"/>
    <w:rsid w:val="1CE5F0B4"/>
    <w:rsid w:val="1CEA76F7"/>
    <w:rsid w:val="1CF25D79"/>
    <w:rsid w:val="1D560402"/>
    <w:rsid w:val="1D638940"/>
    <w:rsid w:val="1D745D86"/>
    <w:rsid w:val="1D7BB005"/>
    <w:rsid w:val="1D98D6E4"/>
    <w:rsid w:val="1DA0BEBE"/>
    <w:rsid w:val="1DAA3F45"/>
    <w:rsid w:val="1DAF2F10"/>
    <w:rsid w:val="1DC3A271"/>
    <w:rsid w:val="1DCFFED0"/>
    <w:rsid w:val="1DD5E905"/>
    <w:rsid w:val="1DDDDC26"/>
    <w:rsid w:val="1DDF0044"/>
    <w:rsid w:val="1DEA73F3"/>
    <w:rsid w:val="1E0BE84E"/>
    <w:rsid w:val="1E18D206"/>
    <w:rsid w:val="1E425BDD"/>
    <w:rsid w:val="1E63CD71"/>
    <w:rsid w:val="1E6E586A"/>
    <w:rsid w:val="1E862733"/>
    <w:rsid w:val="1ECC4680"/>
    <w:rsid w:val="1ED99BF8"/>
    <w:rsid w:val="1EDAF49A"/>
    <w:rsid w:val="1EDD231F"/>
    <w:rsid w:val="1EE48264"/>
    <w:rsid w:val="1EE5F6C5"/>
    <w:rsid w:val="1EEB7DB0"/>
    <w:rsid w:val="1EF41DB4"/>
    <w:rsid w:val="1EF770F5"/>
    <w:rsid w:val="1F059AE3"/>
    <w:rsid w:val="1F157DA2"/>
    <w:rsid w:val="1F15C55A"/>
    <w:rsid w:val="1F2037FA"/>
    <w:rsid w:val="1F208B32"/>
    <w:rsid w:val="1F240C23"/>
    <w:rsid w:val="1F24647F"/>
    <w:rsid w:val="1F2B88A0"/>
    <w:rsid w:val="1F32DFB9"/>
    <w:rsid w:val="1F38E532"/>
    <w:rsid w:val="1F397377"/>
    <w:rsid w:val="1F3A9105"/>
    <w:rsid w:val="1F5DEEB5"/>
    <w:rsid w:val="1F64AFFD"/>
    <w:rsid w:val="1F65D98C"/>
    <w:rsid w:val="1F71CFE5"/>
    <w:rsid w:val="1F780928"/>
    <w:rsid w:val="1F909549"/>
    <w:rsid w:val="1F952DA1"/>
    <w:rsid w:val="1F9B68C4"/>
    <w:rsid w:val="1F9EF4A5"/>
    <w:rsid w:val="1FA44779"/>
    <w:rsid w:val="1FB8A7E2"/>
    <w:rsid w:val="1FC35B64"/>
    <w:rsid w:val="1FCD3F7F"/>
    <w:rsid w:val="1FD85986"/>
    <w:rsid w:val="1FE455C1"/>
    <w:rsid w:val="2008AF80"/>
    <w:rsid w:val="20188CF2"/>
    <w:rsid w:val="203D6484"/>
    <w:rsid w:val="2043F1FF"/>
    <w:rsid w:val="205D4225"/>
    <w:rsid w:val="20645B57"/>
    <w:rsid w:val="20863C94"/>
    <w:rsid w:val="2094C25C"/>
    <w:rsid w:val="20A430D1"/>
    <w:rsid w:val="20B12B88"/>
    <w:rsid w:val="20BBB7AF"/>
    <w:rsid w:val="20BC8E57"/>
    <w:rsid w:val="20C21369"/>
    <w:rsid w:val="20C26F47"/>
    <w:rsid w:val="20E3A8D4"/>
    <w:rsid w:val="20EE8F79"/>
    <w:rsid w:val="20FE3008"/>
    <w:rsid w:val="211FEC65"/>
    <w:rsid w:val="2124F960"/>
    <w:rsid w:val="2130078B"/>
    <w:rsid w:val="2135A10E"/>
    <w:rsid w:val="213D7410"/>
    <w:rsid w:val="2141F67E"/>
    <w:rsid w:val="216DF506"/>
    <w:rsid w:val="216FC0D9"/>
    <w:rsid w:val="218B2C7C"/>
    <w:rsid w:val="218D60C0"/>
    <w:rsid w:val="21915773"/>
    <w:rsid w:val="2193C2E4"/>
    <w:rsid w:val="21BFF32C"/>
    <w:rsid w:val="21EE0385"/>
    <w:rsid w:val="21F8493A"/>
    <w:rsid w:val="21F9603C"/>
    <w:rsid w:val="22011562"/>
    <w:rsid w:val="2222BB1F"/>
    <w:rsid w:val="2228E70C"/>
    <w:rsid w:val="2240A0CA"/>
    <w:rsid w:val="22780CE4"/>
    <w:rsid w:val="22969077"/>
    <w:rsid w:val="229EF9B3"/>
    <w:rsid w:val="22ABEC9F"/>
    <w:rsid w:val="22FC7D61"/>
    <w:rsid w:val="230DD8EF"/>
    <w:rsid w:val="231056B2"/>
    <w:rsid w:val="2311F66A"/>
    <w:rsid w:val="23173E82"/>
    <w:rsid w:val="231AC2D3"/>
    <w:rsid w:val="235D699E"/>
    <w:rsid w:val="238F8D75"/>
    <w:rsid w:val="23AB4E1E"/>
    <w:rsid w:val="23BB0484"/>
    <w:rsid w:val="23DB3A99"/>
    <w:rsid w:val="23E5751B"/>
    <w:rsid w:val="23F6EA60"/>
    <w:rsid w:val="24186390"/>
    <w:rsid w:val="24361902"/>
    <w:rsid w:val="2444D04B"/>
    <w:rsid w:val="246F02C3"/>
    <w:rsid w:val="249FCA13"/>
    <w:rsid w:val="24AA52BB"/>
    <w:rsid w:val="24B66B6C"/>
    <w:rsid w:val="24C0E0DD"/>
    <w:rsid w:val="24DA5CF2"/>
    <w:rsid w:val="25028F75"/>
    <w:rsid w:val="250BBBFC"/>
    <w:rsid w:val="2517BC4D"/>
    <w:rsid w:val="253C6537"/>
    <w:rsid w:val="253C7A60"/>
    <w:rsid w:val="25526AF1"/>
    <w:rsid w:val="25572F36"/>
    <w:rsid w:val="255D6C04"/>
    <w:rsid w:val="256361D3"/>
    <w:rsid w:val="25767D18"/>
    <w:rsid w:val="25768CAB"/>
    <w:rsid w:val="25807FAC"/>
    <w:rsid w:val="2589AD94"/>
    <w:rsid w:val="25927645"/>
    <w:rsid w:val="25981C9F"/>
    <w:rsid w:val="25AD974F"/>
    <w:rsid w:val="25BEC104"/>
    <w:rsid w:val="25BEC7D3"/>
    <w:rsid w:val="25C85EAB"/>
    <w:rsid w:val="25F57375"/>
    <w:rsid w:val="25FEB56B"/>
    <w:rsid w:val="26258A63"/>
    <w:rsid w:val="26351991"/>
    <w:rsid w:val="264B99F2"/>
    <w:rsid w:val="264F4D65"/>
    <w:rsid w:val="2676020A"/>
    <w:rsid w:val="267CF39C"/>
    <w:rsid w:val="26A3B3AB"/>
    <w:rsid w:val="26C27EE7"/>
    <w:rsid w:val="26D23F22"/>
    <w:rsid w:val="26D751E3"/>
    <w:rsid w:val="26D9934F"/>
    <w:rsid w:val="26DCC21E"/>
    <w:rsid w:val="26E593D3"/>
    <w:rsid w:val="26F52A25"/>
    <w:rsid w:val="26FF820D"/>
    <w:rsid w:val="27013B10"/>
    <w:rsid w:val="271E8768"/>
    <w:rsid w:val="2725C467"/>
    <w:rsid w:val="2737BBFB"/>
    <w:rsid w:val="273919C0"/>
    <w:rsid w:val="2745903F"/>
    <w:rsid w:val="2772E318"/>
    <w:rsid w:val="2774B3B5"/>
    <w:rsid w:val="278E3724"/>
    <w:rsid w:val="278FB4F8"/>
    <w:rsid w:val="27A66334"/>
    <w:rsid w:val="27C6798D"/>
    <w:rsid w:val="27D34A99"/>
    <w:rsid w:val="27EB8C8C"/>
    <w:rsid w:val="27EC85CF"/>
    <w:rsid w:val="281FCE71"/>
    <w:rsid w:val="2846309C"/>
    <w:rsid w:val="28542883"/>
    <w:rsid w:val="285E6815"/>
    <w:rsid w:val="286148BD"/>
    <w:rsid w:val="286E7728"/>
    <w:rsid w:val="28ADF3CA"/>
    <w:rsid w:val="28DB2DB3"/>
    <w:rsid w:val="28DCD846"/>
    <w:rsid w:val="28E6BB5D"/>
    <w:rsid w:val="28F4B414"/>
    <w:rsid w:val="29041E2A"/>
    <w:rsid w:val="290A720A"/>
    <w:rsid w:val="290BBB8B"/>
    <w:rsid w:val="292FD13D"/>
    <w:rsid w:val="293C5FD7"/>
    <w:rsid w:val="293DD181"/>
    <w:rsid w:val="2957A627"/>
    <w:rsid w:val="298788F1"/>
    <w:rsid w:val="29A03D29"/>
    <w:rsid w:val="29B63F1B"/>
    <w:rsid w:val="29BD5380"/>
    <w:rsid w:val="29BFB2DF"/>
    <w:rsid w:val="29C5767C"/>
    <w:rsid w:val="29C92452"/>
    <w:rsid w:val="29C9FCF8"/>
    <w:rsid w:val="29D00037"/>
    <w:rsid w:val="29E3476B"/>
    <w:rsid w:val="29E52491"/>
    <w:rsid w:val="2A1F854C"/>
    <w:rsid w:val="2A248F70"/>
    <w:rsid w:val="2A432AE3"/>
    <w:rsid w:val="2A533055"/>
    <w:rsid w:val="2A896CA7"/>
    <w:rsid w:val="2AA3CA1A"/>
    <w:rsid w:val="2AA99444"/>
    <w:rsid w:val="2AE76089"/>
    <w:rsid w:val="2AEDB085"/>
    <w:rsid w:val="2AFC19B0"/>
    <w:rsid w:val="2B016008"/>
    <w:rsid w:val="2B18A856"/>
    <w:rsid w:val="2B3163DB"/>
    <w:rsid w:val="2B44B816"/>
    <w:rsid w:val="2B4A09C8"/>
    <w:rsid w:val="2B5A8A8A"/>
    <w:rsid w:val="2B6BD8B8"/>
    <w:rsid w:val="2B76CBF9"/>
    <w:rsid w:val="2B83F7E4"/>
    <w:rsid w:val="2B8A6066"/>
    <w:rsid w:val="2B9652D9"/>
    <w:rsid w:val="2BAF6D32"/>
    <w:rsid w:val="2BB8148D"/>
    <w:rsid w:val="2BC3EC0D"/>
    <w:rsid w:val="2BD7BD59"/>
    <w:rsid w:val="2BE1B353"/>
    <w:rsid w:val="2BE8D496"/>
    <w:rsid w:val="2BEB9D1A"/>
    <w:rsid w:val="2BEC22DA"/>
    <w:rsid w:val="2BFA02B7"/>
    <w:rsid w:val="2BFA1C13"/>
    <w:rsid w:val="2BFD8E1D"/>
    <w:rsid w:val="2C08DBCB"/>
    <w:rsid w:val="2C39CB69"/>
    <w:rsid w:val="2C58B518"/>
    <w:rsid w:val="2C67688F"/>
    <w:rsid w:val="2C7ED283"/>
    <w:rsid w:val="2C7FE162"/>
    <w:rsid w:val="2C978E38"/>
    <w:rsid w:val="2CA360B7"/>
    <w:rsid w:val="2CC03C3B"/>
    <w:rsid w:val="2CC0B500"/>
    <w:rsid w:val="2CE870A9"/>
    <w:rsid w:val="2D36E8CC"/>
    <w:rsid w:val="2D386C71"/>
    <w:rsid w:val="2D543FCA"/>
    <w:rsid w:val="2D638A19"/>
    <w:rsid w:val="2D651024"/>
    <w:rsid w:val="2D6B5336"/>
    <w:rsid w:val="2D76C6EA"/>
    <w:rsid w:val="2DE2BD60"/>
    <w:rsid w:val="2DE463BD"/>
    <w:rsid w:val="2DF68DC3"/>
    <w:rsid w:val="2DFD80B4"/>
    <w:rsid w:val="2E014984"/>
    <w:rsid w:val="2E01F4C4"/>
    <w:rsid w:val="2E04BCBD"/>
    <w:rsid w:val="2E0B87FF"/>
    <w:rsid w:val="2E0DD09D"/>
    <w:rsid w:val="2E108772"/>
    <w:rsid w:val="2E201B3B"/>
    <w:rsid w:val="2E41BC89"/>
    <w:rsid w:val="2E49017F"/>
    <w:rsid w:val="2E4CA890"/>
    <w:rsid w:val="2E7F7CA7"/>
    <w:rsid w:val="2E839B0A"/>
    <w:rsid w:val="2E852F7A"/>
    <w:rsid w:val="2E9EF325"/>
    <w:rsid w:val="2ECD9D26"/>
    <w:rsid w:val="2ED1FEE1"/>
    <w:rsid w:val="2F094654"/>
    <w:rsid w:val="2F17FE3B"/>
    <w:rsid w:val="2F1BB1CD"/>
    <w:rsid w:val="2F208093"/>
    <w:rsid w:val="2F378A3C"/>
    <w:rsid w:val="2F37A47C"/>
    <w:rsid w:val="2F380B94"/>
    <w:rsid w:val="2F4B2090"/>
    <w:rsid w:val="2F4CB27E"/>
    <w:rsid w:val="2F625511"/>
    <w:rsid w:val="2F9558E7"/>
    <w:rsid w:val="2FAC7490"/>
    <w:rsid w:val="2FC6ED0C"/>
    <w:rsid w:val="2FCCE679"/>
    <w:rsid w:val="2FE12D6A"/>
    <w:rsid w:val="2FE22EDE"/>
    <w:rsid w:val="30133666"/>
    <w:rsid w:val="30160E36"/>
    <w:rsid w:val="3019FC5A"/>
    <w:rsid w:val="301A5327"/>
    <w:rsid w:val="301DA91E"/>
    <w:rsid w:val="304A4854"/>
    <w:rsid w:val="3064CDB4"/>
    <w:rsid w:val="3077D119"/>
    <w:rsid w:val="309A85D6"/>
    <w:rsid w:val="30A0B96B"/>
    <w:rsid w:val="30A5ED64"/>
    <w:rsid w:val="30AAB976"/>
    <w:rsid w:val="30D35EE6"/>
    <w:rsid w:val="30DACAAE"/>
    <w:rsid w:val="30EB4C03"/>
    <w:rsid w:val="30F5A2C0"/>
    <w:rsid w:val="30F8EFF5"/>
    <w:rsid w:val="30FB5A54"/>
    <w:rsid w:val="3102E586"/>
    <w:rsid w:val="311E6DA6"/>
    <w:rsid w:val="312241B2"/>
    <w:rsid w:val="312E815E"/>
    <w:rsid w:val="3146C5F1"/>
    <w:rsid w:val="3152353A"/>
    <w:rsid w:val="31587432"/>
    <w:rsid w:val="3178693B"/>
    <w:rsid w:val="317EFC75"/>
    <w:rsid w:val="3192762E"/>
    <w:rsid w:val="31970266"/>
    <w:rsid w:val="31989EDC"/>
    <w:rsid w:val="31BE400D"/>
    <w:rsid w:val="31D95B3D"/>
    <w:rsid w:val="3205990D"/>
    <w:rsid w:val="320BC8E2"/>
    <w:rsid w:val="32210D13"/>
    <w:rsid w:val="322814B4"/>
    <w:rsid w:val="32348296"/>
    <w:rsid w:val="32574B23"/>
    <w:rsid w:val="3274B360"/>
    <w:rsid w:val="328B6668"/>
    <w:rsid w:val="32ADA0F4"/>
    <w:rsid w:val="32C4E1F9"/>
    <w:rsid w:val="32C878D7"/>
    <w:rsid w:val="32D2536C"/>
    <w:rsid w:val="32E44D58"/>
    <w:rsid w:val="32EC9226"/>
    <w:rsid w:val="331463A1"/>
    <w:rsid w:val="331BF6B8"/>
    <w:rsid w:val="33257197"/>
    <w:rsid w:val="332B734F"/>
    <w:rsid w:val="335C6B08"/>
    <w:rsid w:val="3388C867"/>
    <w:rsid w:val="33B06F81"/>
    <w:rsid w:val="33B113E9"/>
    <w:rsid w:val="3419F2BF"/>
    <w:rsid w:val="341A0F38"/>
    <w:rsid w:val="341B5B1E"/>
    <w:rsid w:val="342C1B49"/>
    <w:rsid w:val="3446EF61"/>
    <w:rsid w:val="345104FF"/>
    <w:rsid w:val="3456193B"/>
    <w:rsid w:val="348C6098"/>
    <w:rsid w:val="348E35D7"/>
    <w:rsid w:val="349BC6E9"/>
    <w:rsid w:val="34A7ED0B"/>
    <w:rsid w:val="34AC4073"/>
    <w:rsid w:val="34AF2AAA"/>
    <w:rsid w:val="34BF651E"/>
    <w:rsid w:val="34C2732C"/>
    <w:rsid w:val="34C453B9"/>
    <w:rsid w:val="34C7D41B"/>
    <w:rsid w:val="34D6828A"/>
    <w:rsid w:val="34E1BCEC"/>
    <w:rsid w:val="34E93778"/>
    <w:rsid w:val="34EA95A7"/>
    <w:rsid w:val="351655D4"/>
    <w:rsid w:val="353E2F3E"/>
    <w:rsid w:val="35450C8B"/>
    <w:rsid w:val="356CA526"/>
    <w:rsid w:val="35755998"/>
    <w:rsid w:val="359C56A0"/>
    <w:rsid w:val="35A7448D"/>
    <w:rsid w:val="35C6EE3F"/>
    <w:rsid w:val="35CCCA48"/>
    <w:rsid w:val="35DCA432"/>
    <w:rsid w:val="35EE9CC8"/>
    <w:rsid w:val="35F02E6E"/>
    <w:rsid w:val="360954A2"/>
    <w:rsid w:val="360CC854"/>
    <w:rsid w:val="361636FD"/>
    <w:rsid w:val="361A5797"/>
    <w:rsid w:val="362B8A0A"/>
    <w:rsid w:val="362E8406"/>
    <w:rsid w:val="36529A88"/>
    <w:rsid w:val="365D0E84"/>
    <w:rsid w:val="36624AC4"/>
    <w:rsid w:val="3663ECD0"/>
    <w:rsid w:val="366A4A7D"/>
    <w:rsid w:val="36784456"/>
    <w:rsid w:val="367B8A75"/>
    <w:rsid w:val="367F4C13"/>
    <w:rsid w:val="369DCE7B"/>
    <w:rsid w:val="36B3C766"/>
    <w:rsid w:val="36CA6533"/>
    <w:rsid w:val="36CE8145"/>
    <w:rsid w:val="36E938D3"/>
    <w:rsid w:val="36FC8CA1"/>
    <w:rsid w:val="370C824C"/>
    <w:rsid w:val="3717C6B1"/>
    <w:rsid w:val="3736F08E"/>
    <w:rsid w:val="3745A37E"/>
    <w:rsid w:val="37486B8C"/>
    <w:rsid w:val="374A68DA"/>
    <w:rsid w:val="375A4728"/>
    <w:rsid w:val="375A4F58"/>
    <w:rsid w:val="377C8871"/>
    <w:rsid w:val="37B115FC"/>
    <w:rsid w:val="37BDA39D"/>
    <w:rsid w:val="37DF5E5B"/>
    <w:rsid w:val="37E13124"/>
    <w:rsid w:val="38247A45"/>
    <w:rsid w:val="382A41C3"/>
    <w:rsid w:val="3858BB6C"/>
    <w:rsid w:val="385D1E80"/>
    <w:rsid w:val="38748560"/>
    <w:rsid w:val="387B75F8"/>
    <w:rsid w:val="388FD15E"/>
    <w:rsid w:val="38979ACA"/>
    <w:rsid w:val="38A2E0AF"/>
    <w:rsid w:val="38B886B2"/>
    <w:rsid w:val="38CB1B7E"/>
    <w:rsid w:val="38D7E1A6"/>
    <w:rsid w:val="38E809F3"/>
    <w:rsid w:val="39086005"/>
    <w:rsid w:val="39164C94"/>
    <w:rsid w:val="39247C0D"/>
    <w:rsid w:val="3938B9D1"/>
    <w:rsid w:val="3938FE05"/>
    <w:rsid w:val="39459721"/>
    <w:rsid w:val="3945F0D9"/>
    <w:rsid w:val="3958025F"/>
    <w:rsid w:val="396028E2"/>
    <w:rsid w:val="397219E6"/>
    <w:rsid w:val="3993C713"/>
    <w:rsid w:val="39AD5EF2"/>
    <w:rsid w:val="39BDD661"/>
    <w:rsid w:val="39C0C800"/>
    <w:rsid w:val="39EB3BCD"/>
    <w:rsid w:val="39F96E9F"/>
    <w:rsid w:val="3A056B28"/>
    <w:rsid w:val="3A24B0F7"/>
    <w:rsid w:val="3A3E7E3B"/>
    <w:rsid w:val="3A7BAC96"/>
    <w:rsid w:val="3A7F82F0"/>
    <w:rsid w:val="3A8D5720"/>
    <w:rsid w:val="3A90F2A5"/>
    <w:rsid w:val="3A959D49"/>
    <w:rsid w:val="3A96EDE4"/>
    <w:rsid w:val="3AA725E5"/>
    <w:rsid w:val="3AA96C1F"/>
    <w:rsid w:val="3AB61CB3"/>
    <w:rsid w:val="3ABF1B35"/>
    <w:rsid w:val="3AC062B2"/>
    <w:rsid w:val="3AC50731"/>
    <w:rsid w:val="3AE0BC93"/>
    <w:rsid w:val="3AEA1FA3"/>
    <w:rsid w:val="3AEF3AFD"/>
    <w:rsid w:val="3AF21776"/>
    <w:rsid w:val="3AF92EAB"/>
    <w:rsid w:val="3B0A408E"/>
    <w:rsid w:val="3B0E7F91"/>
    <w:rsid w:val="3B24126E"/>
    <w:rsid w:val="3B26B388"/>
    <w:rsid w:val="3B2A7B39"/>
    <w:rsid w:val="3B7FA5A9"/>
    <w:rsid w:val="3B879A80"/>
    <w:rsid w:val="3BB80C51"/>
    <w:rsid w:val="3BD3AA48"/>
    <w:rsid w:val="3BDA7F5E"/>
    <w:rsid w:val="3BDDED6C"/>
    <w:rsid w:val="3BE777E2"/>
    <w:rsid w:val="3BE850D9"/>
    <w:rsid w:val="3BF90753"/>
    <w:rsid w:val="3C00DF96"/>
    <w:rsid w:val="3C0F79D0"/>
    <w:rsid w:val="3C4F7712"/>
    <w:rsid w:val="3C4F8872"/>
    <w:rsid w:val="3C7296E0"/>
    <w:rsid w:val="3C84F115"/>
    <w:rsid w:val="3C974228"/>
    <w:rsid w:val="3C99C70A"/>
    <w:rsid w:val="3CB836ED"/>
    <w:rsid w:val="3CBDC256"/>
    <w:rsid w:val="3CBE4D6A"/>
    <w:rsid w:val="3CC2FFF2"/>
    <w:rsid w:val="3CD62726"/>
    <w:rsid w:val="3CD7003E"/>
    <w:rsid w:val="3D28E42B"/>
    <w:rsid w:val="3D359DDB"/>
    <w:rsid w:val="3D3B2148"/>
    <w:rsid w:val="3D3DA493"/>
    <w:rsid w:val="3D6402DA"/>
    <w:rsid w:val="3D6F318C"/>
    <w:rsid w:val="3D98E043"/>
    <w:rsid w:val="3D9E4D20"/>
    <w:rsid w:val="3D9EB332"/>
    <w:rsid w:val="3DAFE8C6"/>
    <w:rsid w:val="3DC51964"/>
    <w:rsid w:val="3DE62076"/>
    <w:rsid w:val="3E3EA274"/>
    <w:rsid w:val="3E478240"/>
    <w:rsid w:val="3E657295"/>
    <w:rsid w:val="3E68C117"/>
    <w:rsid w:val="3E95AA7E"/>
    <w:rsid w:val="3E9608B5"/>
    <w:rsid w:val="3EB40502"/>
    <w:rsid w:val="3EBA8F59"/>
    <w:rsid w:val="3EBDF801"/>
    <w:rsid w:val="3EC1B4D6"/>
    <w:rsid w:val="3EC670EF"/>
    <w:rsid w:val="3EC82B53"/>
    <w:rsid w:val="3EC9140C"/>
    <w:rsid w:val="3F06CEFD"/>
    <w:rsid w:val="3F122723"/>
    <w:rsid w:val="3F31D433"/>
    <w:rsid w:val="3F331200"/>
    <w:rsid w:val="3F38EE8F"/>
    <w:rsid w:val="3F3F116B"/>
    <w:rsid w:val="3F4D598B"/>
    <w:rsid w:val="3F6C3A8E"/>
    <w:rsid w:val="3F7C15FB"/>
    <w:rsid w:val="3F8324DF"/>
    <w:rsid w:val="3F95D9CC"/>
    <w:rsid w:val="3F9908CD"/>
    <w:rsid w:val="3FB7F59A"/>
    <w:rsid w:val="3FBC4DD5"/>
    <w:rsid w:val="3FCEFD52"/>
    <w:rsid w:val="3FD93375"/>
    <w:rsid w:val="3FEC2116"/>
    <w:rsid w:val="3FF2767D"/>
    <w:rsid w:val="400166C3"/>
    <w:rsid w:val="40026FF8"/>
    <w:rsid w:val="4007A4BB"/>
    <w:rsid w:val="403C29E3"/>
    <w:rsid w:val="40497F94"/>
    <w:rsid w:val="404CC3EF"/>
    <w:rsid w:val="40937312"/>
    <w:rsid w:val="40A4A3B8"/>
    <w:rsid w:val="40AC3647"/>
    <w:rsid w:val="40B63243"/>
    <w:rsid w:val="40BB519F"/>
    <w:rsid w:val="411994A0"/>
    <w:rsid w:val="414974E0"/>
    <w:rsid w:val="41507263"/>
    <w:rsid w:val="4156C9F8"/>
    <w:rsid w:val="4169A2B1"/>
    <w:rsid w:val="417AAF91"/>
    <w:rsid w:val="41984942"/>
    <w:rsid w:val="41D82C9B"/>
    <w:rsid w:val="41E04397"/>
    <w:rsid w:val="41E2C473"/>
    <w:rsid w:val="4225E685"/>
    <w:rsid w:val="423679EC"/>
    <w:rsid w:val="42376B7C"/>
    <w:rsid w:val="424D8BA9"/>
    <w:rsid w:val="42795F72"/>
    <w:rsid w:val="42804601"/>
    <w:rsid w:val="42812559"/>
    <w:rsid w:val="42A9625C"/>
    <w:rsid w:val="42AE58C3"/>
    <w:rsid w:val="42B61573"/>
    <w:rsid w:val="42B94919"/>
    <w:rsid w:val="42DB622D"/>
    <w:rsid w:val="42DBF098"/>
    <w:rsid w:val="42F5EC61"/>
    <w:rsid w:val="4330A8CF"/>
    <w:rsid w:val="43567B77"/>
    <w:rsid w:val="4362AFDA"/>
    <w:rsid w:val="4368DFFE"/>
    <w:rsid w:val="436A7EED"/>
    <w:rsid w:val="4380401C"/>
    <w:rsid w:val="4381B343"/>
    <w:rsid w:val="438A7A45"/>
    <w:rsid w:val="4399AEA7"/>
    <w:rsid w:val="43B5FA80"/>
    <w:rsid w:val="43EF4FA6"/>
    <w:rsid w:val="43F3CFBF"/>
    <w:rsid w:val="43FA0E29"/>
    <w:rsid w:val="440D60BA"/>
    <w:rsid w:val="4426D427"/>
    <w:rsid w:val="4428FE5E"/>
    <w:rsid w:val="442FAEDB"/>
    <w:rsid w:val="4433C95E"/>
    <w:rsid w:val="4454D86E"/>
    <w:rsid w:val="445CA5DA"/>
    <w:rsid w:val="448CE4F7"/>
    <w:rsid w:val="44AF1D65"/>
    <w:rsid w:val="44C5CB51"/>
    <w:rsid w:val="44D2354C"/>
    <w:rsid w:val="44EDCB1D"/>
    <w:rsid w:val="4504E926"/>
    <w:rsid w:val="45108F72"/>
    <w:rsid w:val="4515107E"/>
    <w:rsid w:val="45582E71"/>
    <w:rsid w:val="455970AC"/>
    <w:rsid w:val="4583D5A7"/>
    <w:rsid w:val="458B4B6A"/>
    <w:rsid w:val="45A10F72"/>
    <w:rsid w:val="45B2D37C"/>
    <w:rsid w:val="45C6644A"/>
    <w:rsid w:val="45E74F83"/>
    <w:rsid w:val="45F3F035"/>
    <w:rsid w:val="45FFC4A2"/>
    <w:rsid w:val="4617C89E"/>
    <w:rsid w:val="462EBA85"/>
    <w:rsid w:val="463640D0"/>
    <w:rsid w:val="4640BDB2"/>
    <w:rsid w:val="4645B0AB"/>
    <w:rsid w:val="4650FF9A"/>
    <w:rsid w:val="468119DD"/>
    <w:rsid w:val="4695E999"/>
    <w:rsid w:val="46ABA1BA"/>
    <w:rsid w:val="46ABFC6C"/>
    <w:rsid w:val="46AC1F0D"/>
    <w:rsid w:val="46B6E13C"/>
    <w:rsid w:val="46BC7E79"/>
    <w:rsid w:val="46BF7CE9"/>
    <w:rsid w:val="46C7B76E"/>
    <w:rsid w:val="46C9DF8D"/>
    <w:rsid w:val="46CC681C"/>
    <w:rsid w:val="46E2D8A8"/>
    <w:rsid w:val="46F046E8"/>
    <w:rsid w:val="46FBE997"/>
    <w:rsid w:val="47193497"/>
    <w:rsid w:val="4720B3DF"/>
    <w:rsid w:val="4723BDE9"/>
    <w:rsid w:val="47335B03"/>
    <w:rsid w:val="4738BA28"/>
    <w:rsid w:val="475DAC81"/>
    <w:rsid w:val="4762867F"/>
    <w:rsid w:val="4763181A"/>
    <w:rsid w:val="4770AA5F"/>
    <w:rsid w:val="47823FBD"/>
    <w:rsid w:val="47A89D6D"/>
    <w:rsid w:val="47BC12B3"/>
    <w:rsid w:val="47BD759B"/>
    <w:rsid w:val="47D88BD6"/>
    <w:rsid w:val="48097686"/>
    <w:rsid w:val="48126886"/>
    <w:rsid w:val="481BF4F4"/>
    <w:rsid w:val="482BB76B"/>
    <w:rsid w:val="48310C97"/>
    <w:rsid w:val="484351B6"/>
    <w:rsid w:val="484412BD"/>
    <w:rsid w:val="484E2B63"/>
    <w:rsid w:val="48559748"/>
    <w:rsid w:val="48771A08"/>
    <w:rsid w:val="48812F3A"/>
    <w:rsid w:val="4884AEE8"/>
    <w:rsid w:val="4888E200"/>
    <w:rsid w:val="48893C4D"/>
    <w:rsid w:val="489BD948"/>
    <w:rsid w:val="48AA8009"/>
    <w:rsid w:val="48AFE2BF"/>
    <w:rsid w:val="48B9AFDB"/>
    <w:rsid w:val="48C7D1C9"/>
    <w:rsid w:val="48CFA5C6"/>
    <w:rsid w:val="48D04C28"/>
    <w:rsid w:val="48F86B15"/>
    <w:rsid w:val="48FCEC25"/>
    <w:rsid w:val="493EC531"/>
    <w:rsid w:val="4943203C"/>
    <w:rsid w:val="494D90C4"/>
    <w:rsid w:val="495303EE"/>
    <w:rsid w:val="495B0D0A"/>
    <w:rsid w:val="495E5F55"/>
    <w:rsid w:val="495E7CB7"/>
    <w:rsid w:val="496CC342"/>
    <w:rsid w:val="496DAD63"/>
    <w:rsid w:val="499B028C"/>
    <w:rsid w:val="49AAE6ED"/>
    <w:rsid w:val="49AE4BAD"/>
    <w:rsid w:val="49C73E6F"/>
    <w:rsid w:val="49C89B84"/>
    <w:rsid w:val="49DAA285"/>
    <w:rsid w:val="49F16E27"/>
    <w:rsid w:val="4A027156"/>
    <w:rsid w:val="4A0DD96B"/>
    <w:rsid w:val="4A23B73B"/>
    <w:rsid w:val="4A34FED2"/>
    <w:rsid w:val="4A3CF24A"/>
    <w:rsid w:val="4A5EA613"/>
    <w:rsid w:val="4A635D26"/>
    <w:rsid w:val="4A7BC182"/>
    <w:rsid w:val="4A7DD4E5"/>
    <w:rsid w:val="4A8C054F"/>
    <w:rsid w:val="4A9A4A66"/>
    <w:rsid w:val="4A9AFAAB"/>
    <w:rsid w:val="4A9D3575"/>
    <w:rsid w:val="4AACCBB9"/>
    <w:rsid w:val="4AB88F92"/>
    <w:rsid w:val="4ACE5C60"/>
    <w:rsid w:val="4AD41728"/>
    <w:rsid w:val="4AEDACC2"/>
    <w:rsid w:val="4AEDD28A"/>
    <w:rsid w:val="4B0A4DF4"/>
    <w:rsid w:val="4B1DFE6E"/>
    <w:rsid w:val="4B38E6BB"/>
    <w:rsid w:val="4B4490B2"/>
    <w:rsid w:val="4B627451"/>
    <w:rsid w:val="4B6A1629"/>
    <w:rsid w:val="4B6CF7F5"/>
    <w:rsid w:val="4B7E5258"/>
    <w:rsid w:val="4B7FC464"/>
    <w:rsid w:val="4B8F74D4"/>
    <w:rsid w:val="4B979159"/>
    <w:rsid w:val="4BAB87CC"/>
    <w:rsid w:val="4BB12EE0"/>
    <w:rsid w:val="4BCB8E8C"/>
    <w:rsid w:val="4BCE76DD"/>
    <w:rsid w:val="4C2B5F6C"/>
    <w:rsid w:val="4C2F7653"/>
    <w:rsid w:val="4C574632"/>
    <w:rsid w:val="4C5FBF7A"/>
    <w:rsid w:val="4C6067B6"/>
    <w:rsid w:val="4C67A05B"/>
    <w:rsid w:val="4CA1A85F"/>
    <w:rsid w:val="4CB1832D"/>
    <w:rsid w:val="4CB38293"/>
    <w:rsid w:val="4CB3DBA3"/>
    <w:rsid w:val="4CBCF77B"/>
    <w:rsid w:val="4CD44DAC"/>
    <w:rsid w:val="4CEF810D"/>
    <w:rsid w:val="4D0B49D0"/>
    <w:rsid w:val="4D10DEA4"/>
    <w:rsid w:val="4D18201B"/>
    <w:rsid w:val="4D25B381"/>
    <w:rsid w:val="4D2E7B02"/>
    <w:rsid w:val="4D306EE8"/>
    <w:rsid w:val="4D38885E"/>
    <w:rsid w:val="4D39FAE7"/>
    <w:rsid w:val="4D5FC501"/>
    <w:rsid w:val="4D69FE75"/>
    <w:rsid w:val="4D7773C2"/>
    <w:rsid w:val="4D7B2E4E"/>
    <w:rsid w:val="4D8C8A7A"/>
    <w:rsid w:val="4DD25DB3"/>
    <w:rsid w:val="4DE22B4D"/>
    <w:rsid w:val="4DEEAABC"/>
    <w:rsid w:val="4E1B6702"/>
    <w:rsid w:val="4E2D9FD2"/>
    <w:rsid w:val="4E49A1AA"/>
    <w:rsid w:val="4E4E825C"/>
    <w:rsid w:val="4E53C17C"/>
    <w:rsid w:val="4E5BD59D"/>
    <w:rsid w:val="4E7ED096"/>
    <w:rsid w:val="4E8AE1D4"/>
    <w:rsid w:val="4E8FD057"/>
    <w:rsid w:val="4EAE2165"/>
    <w:rsid w:val="4EC4C713"/>
    <w:rsid w:val="4EDEBC42"/>
    <w:rsid w:val="4EE3741A"/>
    <w:rsid w:val="4EE8D788"/>
    <w:rsid w:val="4F120E1D"/>
    <w:rsid w:val="4F1561BA"/>
    <w:rsid w:val="4F37BCAA"/>
    <w:rsid w:val="4F44890B"/>
    <w:rsid w:val="4F48C256"/>
    <w:rsid w:val="4F67212C"/>
    <w:rsid w:val="4F680C53"/>
    <w:rsid w:val="4F6A6B16"/>
    <w:rsid w:val="4F6C5857"/>
    <w:rsid w:val="4F98FF13"/>
    <w:rsid w:val="4FA12F86"/>
    <w:rsid w:val="4FC0D10A"/>
    <w:rsid w:val="4FC6DE41"/>
    <w:rsid w:val="4FD6948E"/>
    <w:rsid w:val="4FEC1003"/>
    <w:rsid w:val="4FFBE049"/>
    <w:rsid w:val="501B0DD1"/>
    <w:rsid w:val="50478BEE"/>
    <w:rsid w:val="50800CBA"/>
    <w:rsid w:val="5098453F"/>
    <w:rsid w:val="50C27A85"/>
    <w:rsid w:val="50E05D6B"/>
    <w:rsid w:val="50E6D8F2"/>
    <w:rsid w:val="50FB7ABA"/>
    <w:rsid w:val="50FCF864"/>
    <w:rsid w:val="510F77EE"/>
    <w:rsid w:val="511E1343"/>
    <w:rsid w:val="513E846D"/>
    <w:rsid w:val="51457E53"/>
    <w:rsid w:val="5161BD62"/>
    <w:rsid w:val="51B38498"/>
    <w:rsid w:val="51C06BDF"/>
    <w:rsid w:val="51C0F74C"/>
    <w:rsid w:val="51C3D858"/>
    <w:rsid w:val="51E54BB2"/>
    <w:rsid w:val="51EB4665"/>
    <w:rsid w:val="51EBA386"/>
    <w:rsid w:val="51F82CB8"/>
    <w:rsid w:val="5216ABB7"/>
    <w:rsid w:val="521C5666"/>
    <w:rsid w:val="52323E1F"/>
    <w:rsid w:val="52385D27"/>
    <w:rsid w:val="523A9457"/>
    <w:rsid w:val="526311DB"/>
    <w:rsid w:val="52877F40"/>
    <w:rsid w:val="5288220E"/>
    <w:rsid w:val="528CF21E"/>
    <w:rsid w:val="529FE229"/>
    <w:rsid w:val="52B3EFD9"/>
    <w:rsid w:val="52BA2BCF"/>
    <w:rsid w:val="52C889B6"/>
    <w:rsid w:val="52CE63DC"/>
    <w:rsid w:val="52FC6A06"/>
    <w:rsid w:val="530F9441"/>
    <w:rsid w:val="5311F847"/>
    <w:rsid w:val="5315089E"/>
    <w:rsid w:val="531E6D1D"/>
    <w:rsid w:val="53262AB6"/>
    <w:rsid w:val="53355C42"/>
    <w:rsid w:val="5344C47B"/>
    <w:rsid w:val="53479AE9"/>
    <w:rsid w:val="5363EE4E"/>
    <w:rsid w:val="538463A3"/>
    <w:rsid w:val="53965884"/>
    <w:rsid w:val="53B04FC3"/>
    <w:rsid w:val="53B9AA76"/>
    <w:rsid w:val="53DE00A3"/>
    <w:rsid w:val="53F00233"/>
    <w:rsid w:val="53FDA39E"/>
    <w:rsid w:val="53FEA5CA"/>
    <w:rsid w:val="542ABAB7"/>
    <w:rsid w:val="5433FCF5"/>
    <w:rsid w:val="54444186"/>
    <w:rsid w:val="54589E60"/>
    <w:rsid w:val="54655BBF"/>
    <w:rsid w:val="546C42B5"/>
    <w:rsid w:val="547D5DBD"/>
    <w:rsid w:val="548C9D59"/>
    <w:rsid w:val="54943978"/>
    <w:rsid w:val="549A5871"/>
    <w:rsid w:val="549E8B69"/>
    <w:rsid w:val="54A97C60"/>
    <w:rsid w:val="54CCC794"/>
    <w:rsid w:val="54CD9AC9"/>
    <w:rsid w:val="54CFAC04"/>
    <w:rsid w:val="54DD5C80"/>
    <w:rsid w:val="54EEFF7C"/>
    <w:rsid w:val="54F9196E"/>
    <w:rsid w:val="55081EA6"/>
    <w:rsid w:val="5509146F"/>
    <w:rsid w:val="550C6ADD"/>
    <w:rsid w:val="551EF3A0"/>
    <w:rsid w:val="55263F9E"/>
    <w:rsid w:val="55333BAC"/>
    <w:rsid w:val="55333DA4"/>
    <w:rsid w:val="5533CAB4"/>
    <w:rsid w:val="554CFB15"/>
    <w:rsid w:val="5556A171"/>
    <w:rsid w:val="55652461"/>
    <w:rsid w:val="55826CB4"/>
    <w:rsid w:val="5589457D"/>
    <w:rsid w:val="558A0AB2"/>
    <w:rsid w:val="55A3E0D2"/>
    <w:rsid w:val="55BB168A"/>
    <w:rsid w:val="55CC39F1"/>
    <w:rsid w:val="55FCDEB4"/>
    <w:rsid w:val="56032B97"/>
    <w:rsid w:val="561EDFCE"/>
    <w:rsid w:val="56328CBC"/>
    <w:rsid w:val="56360424"/>
    <w:rsid w:val="56537FAC"/>
    <w:rsid w:val="565CFF1F"/>
    <w:rsid w:val="5665423D"/>
    <w:rsid w:val="5671484E"/>
    <w:rsid w:val="569A3F52"/>
    <w:rsid w:val="56C63D43"/>
    <w:rsid w:val="56C87E01"/>
    <w:rsid w:val="56CC9783"/>
    <w:rsid w:val="56D21F03"/>
    <w:rsid w:val="56D91B57"/>
    <w:rsid w:val="56F73B03"/>
    <w:rsid w:val="56F831DE"/>
    <w:rsid w:val="5709B121"/>
    <w:rsid w:val="5724828C"/>
    <w:rsid w:val="57249BB2"/>
    <w:rsid w:val="573943BE"/>
    <w:rsid w:val="5760B16F"/>
    <w:rsid w:val="576132E6"/>
    <w:rsid w:val="576B4B42"/>
    <w:rsid w:val="576FCD35"/>
    <w:rsid w:val="57786429"/>
    <w:rsid w:val="577932BC"/>
    <w:rsid w:val="5780CD49"/>
    <w:rsid w:val="57AB9D32"/>
    <w:rsid w:val="57B3DA89"/>
    <w:rsid w:val="57B7B850"/>
    <w:rsid w:val="57C8B08D"/>
    <w:rsid w:val="57F5CCDC"/>
    <w:rsid w:val="57FCC06E"/>
    <w:rsid w:val="58031CCA"/>
    <w:rsid w:val="58123343"/>
    <w:rsid w:val="581AD744"/>
    <w:rsid w:val="583E2E43"/>
    <w:rsid w:val="58403B5B"/>
    <w:rsid w:val="584DAF8C"/>
    <w:rsid w:val="5851C8E5"/>
    <w:rsid w:val="58589080"/>
    <w:rsid w:val="5863E211"/>
    <w:rsid w:val="58718CE8"/>
    <w:rsid w:val="5876B6FA"/>
    <w:rsid w:val="588144F9"/>
    <w:rsid w:val="588A298B"/>
    <w:rsid w:val="588A85BF"/>
    <w:rsid w:val="588E6B69"/>
    <w:rsid w:val="58BC5B5F"/>
    <w:rsid w:val="58C05D8A"/>
    <w:rsid w:val="58C42DD5"/>
    <w:rsid w:val="58DD1A62"/>
    <w:rsid w:val="58F6272A"/>
    <w:rsid w:val="590554EF"/>
    <w:rsid w:val="5905F94F"/>
    <w:rsid w:val="593BC7A3"/>
    <w:rsid w:val="594D01DB"/>
    <w:rsid w:val="594EDB24"/>
    <w:rsid w:val="5965F0B8"/>
    <w:rsid w:val="596BFBA0"/>
    <w:rsid w:val="5996A8A9"/>
    <w:rsid w:val="59A0F1FC"/>
    <w:rsid w:val="59AD4408"/>
    <w:rsid w:val="59BB98FA"/>
    <w:rsid w:val="59BECC91"/>
    <w:rsid w:val="59C61C4B"/>
    <w:rsid w:val="59C64138"/>
    <w:rsid w:val="59D1543D"/>
    <w:rsid w:val="59D253CA"/>
    <w:rsid w:val="59D30BDC"/>
    <w:rsid w:val="59D6BF6F"/>
    <w:rsid w:val="59E45E92"/>
    <w:rsid w:val="5A0ED473"/>
    <w:rsid w:val="5A1323B1"/>
    <w:rsid w:val="5A2F25C2"/>
    <w:rsid w:val="5A3153C0"/>
    <w:rsid w:val="5A394D7E"/>
    <w:rsid w:val="5A3C12AF"/>
    <w:rsid w:val="5A485A22"/>
    <w:rsid w:val="5A5458C1"/>
    <w:rsid w:val="5A551DE7"/>
    <w:rsid w:val="5A5CC163"/>
    <w:rsid w:val="5A5E4E0A"/>
    <w:rsid w:val="5A7C2ADA"/>
    <w:rsid w:val="5A8EE2E6"/>
    <w:rsid w:val="5A99A5E7"/>
    <w:rsid w:val="5AA008B5"/>
    <w:rsid w:val="5AABF925"/>
    <w:rsid w:val="5B0925AF"/>
    <w:rsid w:val="5B1D1F77"/>
    <w:rsid w:val="5B291932"/>
    <w:rsid w:val="5B36408F"/>
    <w:rsid w:val="5B53FF91"/>
    <w:rsid w:val="5B6F0C09"/>
    <w:rsid w:val="5B9ECC19"/>
    <w:rsid w:val="5BA5D35B"/>
    <w:rsid w:val="5BB7CCE9"/>
    <w:rsid w:val="5BCC88CB"/>
    <w:rsid w:val="5BE686DB"/>
    <w:rsid w:val="5BF3C092"/>
    <w:rsid w:val="5C0220E5"/>
    <w:rsid w:val="5C1E04DC"/>
    <w:rsid w:val="5C415E34"/>
    <w:rsid w:val="5C4575A4"/>
    <w:rsid w:val="5C4EBA73"/>
    <w:rsid w:val="5C523B6A"/>
    <w:rsid w:val="5C57F08D"/>
    <w:rsid w:val="5C639D23"/>
    <w:rsid w:val="5C7129A0"/>
    <w:rsid w:val="5C77233D"/>
    <w:rsid w:val="5C823E68"/>
    <w:rsid w:val="5C9B7B3E"/>
    <w:rsid w:val="5C9FC3BE"/>
    <w:rsid w:val="5CB3871C"/>
    <w:rsid w:val="5CB61177"/>
    <w:rsid w:val="5CC9DD26"/>
    <w:rsid w:val="5CCF8D76"/>
    <w:rsid w:val="5CE363CD"/>
    <w:rsid w:val="5CFAA4A8"/>
    <w:rsid w:val="5D1E6CAF"/>
    <w:rsid w:val="5D237028"/>
    <w:rsid w:val="5D24484C"/>
    <w:rsid w:val="5D2D89DA"/>
    <w:rsid w:val="5D4D615B"/>
    <w:rsid w:val="5D514B64"/>
    <w:rsid w:val="5D69F0EB"/>
    <w:rsid w:val="5D77092C"/>
    <w:rsid w:val="5D79E8D1"/>
    <w:rsid w:val="5D8D57F2"/>
    <w:rsid w:val="5E0CD20A"/>
    <w:rsid w:val="5E439D2D"/>
    <w:rsid w:val="5E62102B"/>
    <w:rsid w:val="5E6384F9"/>
    <w:rsid w:val="5E84E693"/>
    <w:rsid w:val="5E863244"/>
    <w:rsid w:val="5E8D6253"/>
    <w:rsid w:val="5E96696F"/>
    <w:rsid w:val="5EA363E7"/>
    <w:rsid w:val="5EBBB523"/>
    <w:rsid w:val="5EE6361E"/>
    <w:rsid w:val="5EF042F5"/>
    <w:rsid w:val="5F0D965B"/>
    <w:rsid w:val="5F2E1A1A"/>
    <w:rsid w:val="5F3B5170"/>
    <w:rsid w:val="5F546A33"/>
    <w:rsid w:val="5F9FD601"/>
    <w:rsid w:val="5FAD1AC6"/>
    <w:rsid w:val="5FD26EAA"/>
    <w:rsid w:val="5FE90F3C"/>
    <w:rsid w:val="5FEAF4FE"/>
    <w:rsid w:val="60146DEB"/>
    <w:rsid w:val="602CE5E0"/>
    <w:rsid w:val="604303C8"/>
    <w:rsid w:val="605E4DA4"/>
    <w:rsid w:val="606231D1"/>
    <w:rsid w:val="60942C80"/>
    <w:rsid w:val="60B2D09D"/>
    <w:rsid w:val="60BCE279"/>
    <w:rsid w:val="60C1F191"/>
    <w:rsid w:val="60CD6061"/>
    <w:rsid w:val="60E232B2"/>
    <w:rsid w:val="60EE8B12"/>
    <w:rsid w:val="60F957DE"/>
    <w:rsid w:val="60FFE330"/>
    <w:rsid w:val="6124EB75"/>
    <w:rsid w:val="614436EA"/>
    <w:rsid w:val="6161CAC0"/>
    <w:rsid w:val="6169FCD5"/>
    <w:rsid w:val="617BE0D3"/>
    <w:rsid w:val="6185EFC3"/>
    <w:rsid w:val="619B9EA0"/>
    <w:rsid w:val="61C92E6C"/>
    <w:rsid w:val="61F7DAD0"/>
    <w:rsid w:val="62342746"/>
    <w:rsid w:val="626829C7"/>
    <w:rsid w:val="6286CB3E"/>
    <w:rsid w:val="628EF8D5"/>
    <w:rsid w:val="62A4ED62"/>
    <w:rsid w:val="62B1DF5C"/>
    <w:rsid w:val="62B225E3"/>
    <w:rsid w:val="62C779B4"/>
    <w:rsid w:val="62CB3027"/>
    <w:rsid w:val="62CD70A3"/>
    <w:rsid w:val="62E650FB"/>
    <w:rsid w:val="62FECF76"/>
    <w:rsid w:val="630846CE"/>
    <w:rsid w:val="630EFF98"/>
    <w:rsid w:val="630F7A11"/>
    <w:rsid w:val="631324C1"/>
    <w:rsid w:val="631AAD06"/>
    <w:rsid w:val="63479120"/>
    <w:rsid w:val="634A0AF7"/>
    <w:rsid w:val="635881D0"/>
    <w:rsid w:val="635C638C"/>
    <w:rsid w:val="638FA691"/>
    <w:rsid w:val="639437A3"/>
    <w:rsid w:val="63A7C9DC"/>
    <w:rsid w:val="63AF63AD"/>
    <w:rsid w:val="63BF5CAE"/>
    <w:rsid w:val="63CA90B5"/>
    <w:rsid w:val="63D392FC"/>
    <w:rsid w:val="63E86265"/>
    <w:rsid w:val="63FC2555"/>
    <w:rsid w:val="64055655"/>
    <w:rsid w:val="640FF3A8"/>
    <w:rsid w:val="6412239D"/>
    <w:rsid w:val="64273C54"/>
    <w:rsid w:val="645105CB"/>
    <w:rsid w:val="646643C1"/>
    <w:rsid w:val="64946E2B"/>
    <w:rsid w:val="64BF25F4"/>
    <w:rsid w:val="64C7D3A0"/>
    <w:rsid w:val="64CED487"/>
    <w:rsid w:val="64E0DE61"/>
    <w:rsid w:val="64E8B732"/>
    <w:rsid w:val="65116876"/>
    <w:rsid w:val="651974AF"/>
    <w:rsid w:val="6524FE82"/>
    <w:rsid w:val="652B20F0"/>
    <w:rsid w:val="655DAA3C"/>
    <w:rsid w:val="656043CA"/>
    <w:rsid w:val="656DC3F4"/>
    <w:rsid w:val="6586320F"/>
    <w:rsid w:val="658D5EBC"/>
    <w:rsid w:val="659636B9"/>
    <w:rsid w:val="6598EE2D"/>
    <w:rsid w:val="659E08EB"/>
    <w:rsid w:val="65AAE21E"/>
    <w:rsid w:val="65B99792"/>
    <w:rsid w:val="65BA397C"/>
    <w:rsid w:val="65BA7259"/>
    <w:rsid w:val="65C23DC4"/>
    <w:rsid w:val="65C84643"/>
    <w:rsid w:val="65E2E6F7"/>
    <w:rsid w:val="65F14A89"/>
    <w:rsid w:val="65F37CC0"/>
    <w:rsid w:val="65FE9D38"/>
    <w:rsid w:val="65FEBC3F"/>
    <w:rsid w:val="6602C5F7"/>
    <w:rsid w:val="6605ECBE"/>
    <w:rsid w:val="66222D19"/>
    <w:rsid w:val="6625DC06"/>
    <w:rsid w:val="6631CDA5"/>
    <w:rsid w:val="66423B04"/>
    <w:rsid w:val="667B141D"/>
    <w:rsid w:val="66A6DDA6"/>
    <w:rsid w:val="66B5D95C"/>
    <w:rsid w:val="66BAB544"/>
    <w:rsid w:val="66BD34A0"/>
    <w:rsid w:val="66C260D3"/>
    <w:rsid w:val="66E5DDCC"/>
    <w:rsid w:val="67028382"/>
    <w:rsid w:val="6728D4F9"/>
    <w:rsid w:val="6733C712"/>
    <w:rsid w:val="674F5884"/>
    <w:rsid w:val="67732F52"/>
    <w:rsid w:val="6791F758"/>
    <w:rsid w:val="67A81253"/>
    <w:rsid w:val="67BF7746"/>
    <w:rsid w:val="67DD57F0"/>
    <w:rsid w:val="67E8EE0F"/>
    <w:rsid w:val="67FDBFDF"/>
    <w:rsid w:val="6826AD14"/>
    <w:rsid w:val="6828E7EE"/>
    <w:rsid w:val="682F5E82"/>
    <w:rsid w:val="683DAB0E"/>
    <w:rsid w:val="685F109C"/>
    <w:rsid w:val="686A8A18"/>
    <w:rsid w:val="6876CE2D"/>
    <w:rsid w:val="687AB67D"/>
    <w:rsid w:val="68841D03"/>
    <w:rsid w:val="688C9AB9"/>
    <w:rsid w:val="68938B9E"/>
    <w:rsid w:val="689B1D36"/>
    <w:rsid w:val="689EF6C7"/>
    <w:rsid w:val="68A29A8D"/>
    <w:rsid w:val="68B0FE43"/>
    <w:rsid w:val="68CC0435"/>
    <w:rsid w:val="68DBCFF9"/>
    <w:rsid w:val="68E3AAAD"/>
    <w:rsid w:val="68F573C4"/>
    <w:rsid w:val="690AD9D2"/>
    <w:rsid w:val="691BBAA0"/>
    <w:rsid w:val="69261CAB"/>
    <w:rsid w:val="69297E19"/>
    <w:rsid w:val="692AF24D"/>
    <w:rsid w:val="693930D5"/>
    <w:rsid w:val="697030D7"/>
    <w:rsid w:val="699441A5"/>
    <w:rsid w:val="69BC08B5"/>
    <w:rsid w:val="69C16565"/>
    <w:rsid w:val="69C4D4AB"/>
    <w:rsid w:val="69C84AEE"/>
    <w:rsid w:val="69E1F194"/>
    <w:rsid w:val="69F2F828"/>
    <w:rsid w:val="6A017987"/>
    <w:rsid w:val="6A027961"/>
    <w:rsid w:val="6A16FCDA"/>
    <w:rsid w:val="6A1C4298"/>
    <w:rsid w:val="6A334AA1"/>
    <w:rsid w:val="6A3E02AC"/>
    <w:rsid w:val="6A542D8B"/>
    <w:rsid w:val="6A580BF1"/>
    <w:rsid w:val="6A62C923"/>
    <w:rsid w:val="6A641F4A"/>
    <w:rsid w:val="6A6E6299"/>
    <w:rsid w:val="6A74F546"/>
    <w:rsid w:val="6A75DDF2"/>
    <w:rsid w:val="6A947F05"/>
    <w:rsid w:val="6AA3328D"/>
    <w:rsid w:val="6AB0702A"/>
    <w:rsid w:val="6AB854A4"/>
    <w:rsid w:val="6ADD7C30"/>
    <w:rsid w:val="6AE02D54"/>
    <w:rsid w:val="6B05DF2B"/>
    <w:rsid w:val="6B09A6C0"/>
    <w:rsid w:val="6B0DB729"/>
    <w:rsid w:val="6B1EC9AF"/>
    <w:rsid w:val="6B2B3F4F"/>
    <w:rsid w:val="6B3921F5"/>
    <w:rsid w:val="6B53D220"/>
    <w:rsid w:val="6B789650"/>
    <w:rsid w:val="6B86A5B8"/>
    <w:rsid w:val="6B9C02D3"/>
    <w:rsid w:val="6B9E321C"/>
    <w:rsid w:val="6B9FE7BB"/>
    <w:rsid w:val="6BA844CF"/>
    <w:rsid w:val="6BAF8332"/>
    <w:rsid w:val="6BDF2806"/>
    <w:rsid w:val="6BF48887"/>
    <w:rsid w:val="6BFFA1ED"/>
    <w:rsid w:val="6C0C641B"/>
    <w:rsid w:val="6C194317"/>
    <w:rsid w:val="6C2D3E22"/>
    <w:rsid w:val="6C3BA5C0"/>
    <w:rsid w:val="6C40D2C0"/>
    <w:rsid w:val="6C72F43A"/>
    <w:rsid w:val="6C974552"/>
    <w:rsid w:val="6C99C410"/>
    <w:rsid w:val="6CAE6A69"/>
    <w:rsid w:val="6CB53B16"/>
    <w:rsid w:val="6CB79490"/>
    <w:rsid w:val="6CD8002D"/>
    <w:rsid w:val="6CDDA0C6"/>
    <w:rsid w:val="6CF46889"/>
    <w:rsid w:val="6CF9B42D"/>
    <w:rsid w:val="6D028D13"/>
    <w:rsid w:val="6D107E6E"/>
    <w:rsid w:val="6D529050"/>
    <w:rsid w:val="6D701AC6"/>
    <w:rsid w:val="6D83F0AA"/>
    <w:rsid w:val="6D94B580"/>
    <w:rsid w:val="6DCA4A05"/>
    <w:rsid w:val="6DD5FEDB"/>
    <w:rsid w:val="6DF509C4"/>
    <w:rsid w:val="6DF62CC1"/>
    <w:rsid w:val="6DFD4E59"/>
    <w:rsid w:val="6E00ACED"/>
    <w:rsid w:val="6E353C01"/>
    <w:rsid w:val="6E4E55E1"/>
    <w:rsid w:val="6E595715"/>
    <w:rsid w:val="6E6DCF67"/>
    <w:rsid w:val="6E79DD3C"/>
    <w:rsid w:val="6E8519D0"/>
    <w:rsid w:val="6E872A57"/>
    <w:rsid w:val="6E94D35D"/>
    <w:rsid w:val="6EA5341F"/>
    <w:rsid w:val="6EB1EB84"/>
    <w:rsid w:val="6ECFE97C"/>
    <w:rsid w:val="6ED5C5D3"/>
    <w:rsid w:val="6EDB848D"/>
    <w:rsid w:val="6EEEB275"/>
    <w:rsid w:val="6EF101C3"/>
    <w:rsid w:val="6F123882"/>
    <w:rsid w:val="6F1D6274"/>
    <w:rsid w:val="6F2CF872"/>
    <w:rsid w:val="6F3D3130"/>
    <w:rsid w:val="6F569D4E"/>
    <w:rsid w:val="6F59EEF9"/>
    <w:rsid w:val="6F7AF823"/>
    <w:rsid w:val="6F7D1EF1"/>
    <w:rsid w:val="6F7E7BB8"/>
    <w:rsid w:val="6F972192"/>
    <w:rsid w:val="6FB37EEC"/>
    <w:rsid w:val="6FB92604"/>
    <w:rsid w:val="6FC88FBF"/>
    <w:rsid w:val="6FC8C31F"/>
    <w:rsid w:val="6FE7B3BD"/>
    <w:rsid w:val="6FE952D3"/>
    <w:rsid w:val="6FEDC61C"/>
    <w:rsid w:val="6FF34B60"/>
    <w:rsid w:val="70119CC2"/>
    <w:rsid w:val="70189BB2"/>
    <w:rsid w:val="701E6FB4"/>
    <w:rsid w:val="7042D11B"/>
    <w:rsid w:val="70557822"/>
    <w:rsid w:val="705C1B29"/>
    <w:rsid w:val="7061E745"/>
    <w:rsid w:val="706A7567"/>
    <w:rsid w:val="706D08DC"/>
    <w:rsid w:val="70765FE1"/>
    <w:rsid w:val="7098CDEC"/>
    <w:rsid w:val="70B2F3D1"/>
    <w:rsid w:val="70B72C65"/>
    <w:rsid w:val="70E97642"/>
    <w:rsid w:val="70ECAA0F"/>
    <w:rsid w:val="70F618C3"/>
    <w:rsid w:val="70F77DBC"/>
    <w:rsid w:val="70F9CAC9"/>
    <w:rsid w:val="7127B4E5"/>
    <w:rsid w:val="712B2199"/>
    <w:rsid w:val="713A8975"/>
    <w:rsid w:val="71436536"/>
    <w:rsid w:val="714AC8CA"/>
    <w:rsid w:val="71623F90"/>
    <w:rsid w:val="71648EC2"/>
    <w:rsid w:val="717BD201"/>
    <w:rsid w:val="717D8FDA"/>
    <w:rsid w:val="719B0D7E"/>
    <w:rsid w:val="71AB99F2"/>
    <w:rsid w:val="71D69502"/>
    <w:rsid w:val="71E2F12B"/>
    <w:rsid w:val="71E9D695"/>
    <w:rsid w:val="71EC2622"/>
    <w:rsid w:val="720156BB"/>
    <w:rsid w:val="720696D2"/>
    <w:rsid w:val="72255DD5"/>
    <w:rsid w:val="72296EE6"/>
    <w:rsid w:val="722AC753"/>
    <w:rsid w:val="7245138B"/>
    <w:rsid w:val="72562440"/>
    <w:rsid w:val="72709034"/>
    <w:rsid w:val="727343B2"/>
    <w:rsid w:val="727DF9CB"/>
    <w:rsid w:val="7295CDE8"/>
    <w:rsid w:val="72B58B04"/>
    <w:rsid w:val="72C33666"/>
    <w:rsid w:val="72C6C09D"/>
    <w:rsid w:val="72C9EA41"/>
    <w:rsid w:val="72E2CAB0"/>
    <w:rsid w:val="72F01BFD"/>
    <w:rsid w:val="72F76E0A"/>
    <w:rsid w:val="72FE64A7"/>
    <w:rsid w:val="730437B8"/>
    <w:rsid w:val="730B4E95"/>
    <w:rsid w:val="730FC9D7"/>
    <w:rsid w:val="7319FFA1"/>
    <w:rsid w:val="731B0D74"/>
    <w:rsid w:val="731D33EB"/>
    <w:rsid w:val="7333CFED"/>
    <w:rsid w:val="7348F6DC"/>
    <w:rsid w:val="734DE725"/>
    <w:rsid w:val="735BDF98"/>
    <w:rsid w:val="7360345E"/>
    <w:rsid w:val="736F5178"/>
    <w:rsid w:val="73880A23"/>
    <w:rsid w:val="7390E4CD"/>
    <w:rsid w:val="7398CDB5"/>
    <w:rsid w:val="73B5A641"/>
    <w:rsid w:val="73B75993"/>
    <w:rsid w:val="73B77A83"/>
    <w:rsid w:val="73B8231D"/>
    <w:rsid w:val="73D1ACC3"/>
    <w:rsid w:val="73D9E90D"/>
    <w:rsid w:val="740B08A9"/>
    <w:rsid w:val="7416AEF5"/>
    <w:rsid w:val="742825CF"/>
    <w:rsid w:val="74486B82"/>
    <w:rsid w:val="74515494"/>
    <w:rsid w:val="74553195"/>
    <w:rsid w:val="745B1C79"/>
    <w:rsid w:val="745B8A0A"/>
    <w:rsid w:val="746A2032"/>
    <w:rsid w:val="746A4CF4"/>
    <w:rsid w:val="7470374B"/>
    <w:rsid w:val="7481E81E"/>
    <w:rsid w:val="74936D83"/>
    <w:rsid w:val="74AFB268"/>
    <w:rsid w:val="74B36B04"/>
    <w:rsid w:val="74B38DEF"/>
    <w:rsid w:val="74C74FE0"/>
    <w:rsid w:val="75097BAD"/>
    <w:rsid w:val="75124624"/>
    <w:rsid w:val="751FCBC3"/>
    <w:rsid w:val="752FEE0B"/>
    <w:rsid w:val="753ACF5F"/>
    <w:rsid w:val="753D9B5A"/>
    <w:rsid w:val="754934E6"/>
    <w:rsid w:val="7570A080"/>
    <w:rsid w:val="7572B207"/>
    <w:rsid w:val="759C9575"/>
    <w:rsid w:val="75A5BAA6"/>
    <w:rsid w:val="75A66057"/>
    <w:rsid w:val="75B6CE79"/>
    <w:rsid w:val="75CD600B"/>
    <w:rsid w:val="75CFEBAC"/>
    <w:rsid w:val="75D5DC7C"/>
    <w:rsid w:val="75ED166C"/>
    <w:rsid w:val="75FDCE0E"/>
    <w:rsid w:val="76014349"/>
    <w:rsid w:val="76022E3C"/>
    <w:rsid w:val="760422D2"/>
    <w:rsid w:val="76067F27"/>
    <w:rsid w:val="760AB658"/>
    <w:rsid w:val="761498C4"/>
    <w:rsid w:val="761A1153"/>
    <w:rsid w:val="762C4D0D"/>
    <w:rsid w:val="762E0EA1"/>
    <w:rsid w:val="762FAFE8"/>
    <w:rsid w:val="76460399"/>
    <w:rsid w:val="765EB055"/>
    <w:rsid w:val="767CBFE2"/>
    <w:rsid w:val="769AFF85"/>
    <w:rsid w:val="76B3FBF4"/>
    <w:rsid w:val="76BBAA01"/>
    <w:rsid w:val="76D28205"/>
    <w:rsid w:val="7715A178"/>
    <w:rsid w:val="77184F12"/>
    <w:rsid w:val="77206D34"/>
    <w:rsid w:val="773F9003"/>
    <w:rsid w:val="7741FD52"/>
    <w:rsid w:val="7742C930"/>
    <w:rsid w:val="7752A2AC"/>
    <w:rsid w:val="775817E2"/>
    <w:rsid w:val="776DFFB7"/>
    <w:rsid w:val="77804109"/>
    <w:rsid w:val="778D6561"/>
    <w:rsid w:val="77AD8DEC"/>
    <w:rsid w:val="77C6594C"/>
    <w:rsid w:val="77C8C7A1"/>
    <w:rsid w:val="77D52F84"/>
    <w:rsid w:val="77E56AD9"/>
    <w:rsid w:val="77EB5EB4"/>
    <w:rsid w:val="77F72EEC"/>
    <w:rsid w:val="77F93C69"/>
    <w:rsid w:val="77F95ACE"/>
    <w:rsid w:val="77FAB702"/>
    <w:rsid w:val="77FE4ED4"/>
    <w:rsid w:val="780F1135"/>
    <w:rsid w:val="780F5A2B"/>
    <w:rsid w:val="782950C8"/>
    <w:rsid w:val="78444863"/>
    <w:rsid w:val="7847A2C1"/>
    <w:rsid w:val="78493CF9"/>
    <w:rsid w:val="785F3607"/>
    <w:rsid w:val="787B2EDC"/>
    <w:rsid w:val="78D4028D"/>
    <w:rsid w:val="78D8007D"/>
    <w:rsid w:val="78E1E5EE"/>
    <w:rsid w:val="78F161BD"/>
    <w:rsid w:val="78F72C76"/>
    <w:rsid w:val="78FA5BC7"/>
    <w:rsid w:val="78FC2295"/>
    <w:rsid w:val="791D9CFE"/>
    <w:rsid w:val="79208BAC"/>
    <w:rsid w:val="7922AF39"/>
    <w:rsid w:val="79275C47"/>
    <w:rsid w:val="7929B8E6"/>
    <w:rsid w:val="7933FB4C"/>
    <w:rsid w:val="793D6B27"/>
    <w:rsid w:val="794297CE"/>
    <w:rsid w:val="7942A16B"/>
    <w:rsid w:val="79551FE8"/>
    <w:rsid w:val="795555AC"/>
    <w:rsid w:val="7974BC5E"/>
    <w:rsid w:val="79756CC4"/>
    <w:rsid w:val="799454A7"/>
    <w:rsid w:val="79B2A17D"/>
    <w:rsid w:val="79B6E357"/>
    <w:rsid w:val="79CB62D8"/>
    <w:rsid w:val="79DB67A2"/>
    <w:rsid w:val="79DD40A7"/>
    <w:rsid w:val="79E0989B"/>
    <w:rsid w:val="79F8DA45"/>
    <w:rsid w:val="7A1358A6"/>
    <w:rsid w:val="7A148EC1"/>
    <w:rsid w:val="7A29C7C6"/>
    <w:rsid w:val="7A4A52F5"/>
    <w:rsid w:val="7A5244E4"/>
    <w:rsid w:val="7A62E7FC"/>
    <w:rsid w:val="7A757B01"/>
    <w:rsid w:val="7A867FBC"/>
    <w:rsid w:val="7A9CC589"/>
    <w:rsid w:val="7A9E2511"/>
    <w:rsid w:val="7AB2AA93"/>
    <w:rsid w:val="7ABBFC79"/>
    <w:rsid w:val="7ABC1BE0"/>
    <w:rsid w:val="7ABD203D"/>
    <w:rsid w:val="7ACF4A6E"/>
    <w:rsid w:val="7ACFF1E8"/>
    <w:rsid w:val="7AF855D2"/>
    <w:rsid w:val="7B008078"/>
    <w:rsid w:val="7B0B161D"/>
    <w:rsid w:val="7B362EBC"/>
    <w:rsid w:val="7B476F58"/>
    <w:rsid w:val="7B47D507"/>
    <w:rsid w:val="7B586A84"/>
    <w:rsid w:val="7B6425DE"/>
    <w:rsid w:val="7B8A7EB9"/>
    <w:rsid w:val="7BE4BF2B"/>
    <w:rsid w:val="7BE4D536"/>
    <w:rsid w:val="7C1BFBD0"/>
    <w:rsid w:val="7C20BD06"/>
    <w:rsid w:val="7C333B03"/>
    <w:rsid w:val="7C48AD22"/>
    <w:rsid w:val="7C496651"/>
    <w:rsid w:val="7C53869A"/>
    <w:rsid w:val="7CB53B5B"/>
    <w:rsid w:val="7CBD92D7"/>
    <w:rsid w:val="7CC11334"/>
    <w:rsid w:val="7CD581F8"/>
    <w:rsid w:val="7CD64B72"/>
    <w:rsid w:val="7CE2FCB3"/>
    <w:rsid w:val="7CE4604C"/>
    <w:rsid w:val="7CF40B6F"/>
    <w:rsid w:val="7CF79E1C"/>
    <w:rsid w:val="7D0D8072"/>
    <w:rsid w:val="7D179BE2"/>
    <w:rsid w:val="7D4D4AAF"/>
    <w:rsid w:val="7D60A44B"/>
    <w:rsid w:val="7D60C498"/>
    <w:rsid w:val="7D683822"/>
    <w:rsid w:val="7D8617AA"/>
    <w:rsid w:val="7D8FD24E"/>
    <w:rsid w:val="7DA5DA2F"/>
    <w:rsid w:val="7DB24B57"/>
    <w:rsid w:val="7DC0C285"/>
    <w:rsid w:val="7DD1F2C7"/>
    <w:rsid w:val="7DD2F3F9"/>
    <w:rsid w:val="7DD55CF5"/>
    <w:rsid w:val="7DDAEB88"/>
    <w:rsid w:val="7DDF12CE"/>
    <w:rsid w:val="7DE59753"/>
    <w:rsid w:val="7DFD2E39"/>
    <w:rsid w:val="7E048D10"/>
    <w:rsid w:val="7E538D8D"/>
    <w:rsid w:val="7E633E03"/>
    <w:rsid w:val="7E9D5084"/>
    <w:rsid w:val="7ECBBD8F"/>
    <w:rsid w:val="7EE6657C"/>
    <w:rsid w:val="7EF32AAA"/>
    <w:rsid w:val="7F090D41"/>
    <w:rsid w:val="7F1AD150"/>
    <w:rsid w:val="7F1D6B80"/>
    <w:rsid w:val="7F28E98A"/>
    <w:rsid w:val="7F362699"/>
    <w:rsid w:val="7F4D8E8A"/>
    <w:rsid w:val="7F58B410"/>
    <w:rsid w:val="7F5FC307"/>
    <w:rsid w:val="7F72C586"/>
    <w:rsid w:val="7F74E793"/>
    <w:rsid w:val="7F7D45C3"/>
    <w:rsid w:val="7F8B2916"/>
    <w:rsid w:val="7F8C16E2"/>
    <w:rsid w:val="7F932FAE"/>
    <w:rsid w:val="7F989E4E"/>
    <w:rsid w:val="7F99384E"/>
    <w:rsid w:val="7F9A9FE8"/>
    <w:rsid w:val="7FA3BAF2"/>
    <w:rsid w:val="7FAA70C7"/>
    <w:rsid w:val="7FAD03E3"/>
    <w:rsid w:val="7FDD4698"/>
    <w:rsid w:val="7FF32E0B"/>
    <w:rsid w:val="7FF928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492CA"/>
  <w15:chartTrackingRefBased/>
  <w15:docId w15:val="{4C0AAFE6-1946-483D-82B3-5853342B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CD3"/>
    <w:rPr>
      <w:rFonts w:ascii="Arial" w:eastAsiaTheme="majorEastAsia" w:hAnsi="Arial" w:cs="Arial"/>
      <w:kern w:val="0"/>
      <w:sz w:val="22"/>
      <w:lang w:eastAsia="en-AU"/>
      <w14:ligatures w14:val="none"/>
    </w:rPr>
  </w:style>
  <w:style w:type="paragraph" w:styleId="Heading1">
    <w:name w:val="heading 1"/>
    <w:basedOn w:val="Normal"/>
    <w:next w:val="Normal"/>
    <w:link w:val="Heading1Char"/>
    <w:uiPriority w:val="9"/>
    <w:qFormat/>
    <w:rsid w:val="00005C08"/>
    <w:pPr>
      <w:keepNext/>
      <w:keepLines/>
      <w:spacing w:before="360" w:after="80"/>
      <w:outlineLvl w:val="0"/>
    </w:pPr>
    <w:rPr>
      <w:rFonts w:asciiTheme="majorHAnsi" w:hAnsiTheme="majorHAnsi" w:cstheme="majorBidi"/>
      <w:color w:val="2E74B5" w:themeColor="accent1" w:themeShade="BF"/>
      <w:sz w:val="40"/>
      <w:szCs w:val="40"/>
    </w:rPr>
  </w:style>
  <w:style w:type="paragraph" w:styleId="Heading2">
    <w:name w:val="heading 2"/>
    <w:aliases w:val="Heading 2 - Op2"/>
    <w:basedOn w:val="Normal"/>
    <w:next w:val="Normal"/>
    <w:link w:val="Heading2Char"/>
    <w:uiPriority w:val="9"/>
    <w:unhideWhenUsed/>
    <w:qFormat/>
    <w:rsid w:val="00005C08"/>
    <w:pPr>
      <w:keepNext/>
      <w:keepLines/>
      <w:spacing w:before="160" w:after="80"/>
      <w:outlineLvl w:val="1"/>
    </w:pPr>
    <w:rPr>
      <w:rFonts w:asciiTheme="majorHAnsi"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005C08"/>
    <w:pPr>
      <w:keepNext/>
      <w:keepLines/>
      <w:spacing w:before="160" w:after="80"/>
      <w:outlineLvl w:val="2"/>
    </w:pPr>
    <w:rPr>
      <w:rFonts w:asciiTheme="minorHAnsi" w:hAnsiTheme="min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005C08"/>
    <w:pPr>
      <w:keepNext/>
      <w:keepLines/>
      <w:spacing w:before="80" w:after="40"/>
      <w:outlineLvl w:val="3"/>
    </w:pPr>
    <w:rPr>
      <w:rFonts w:asciiTheme="minorHAnsi" w:hAnsiTheme="minorHAnsi" w:cstheme="majorBidi"/>
      <w:i/>
      <w:iCs/>
      <w:color w:val="2E74B5" w:themeColor="accent1" w:themeShade="BF"/>
    </w:rPr>
  </w:style>
  <w:style w:type="paragraph" w:styleId="Heading5">
    <w:name w:val="heading 5"/>
    <w:basedOn w:val="Normal"/>
    <w:next w:val="Normal"/>
    <w:link w:val="Heading5Char"/>
    <w:uiPriority w:val="9"/>
    <w:unhideWhenUsed/>
    <w:qFormat/>
    <w:rsid w:val="00005C08"/>
    <w:pPr>
      <w:keepNext/>
      <w:keepLines/>
      <w:spacing w:before="80" w:after="40"/>
      <w:outlineLvl w:val="4"/>
    </w:pPr>
    <w:rPr>
      <w:rFonts w:asciiTheme="minorHAnsi" w:hAnsiTheme="minorHAnsi" w:cstheme="majorBidi"/>
      <w:color w:val="2E74B5" w:themeColor="accent1" w:themeShade="BF"/>
    </w:rPr>
  </w:style>
  <w:style w:type="paragraph" w:styleId="Heading6">
    <w:name w:val="heading 6"/>
    <w:basedOn w:val="Normal"/>
    <w:next w:val="Normal"/>
    <w:link w:val="Heading6Char"/>
    <w:uiPriority w:val="9"/>
    <w:unhideWhenUsed/>
    <w:qFormat/>
    <w:rsid w:val="00005C08"/>
    <w:pPr>
      <w:keepNext/>
      <w:keepLines/>
      <w:spacing w:before="40" w:after="0"/>
      <w:outlineLvl w:val="5"/>
    </w:pPr>
    <w:rPr>
      <w:rFonts w:asciiTheme="minorHAnsi"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5C08"/>
    <w:pPr>
      <w:keepNext/>
      <w:keepLines/>
      <w:spacing w:before="40" w:after="0"/>
      <w:outlineLvl w:val="6"/>
    </w:pPr>
    <w:rPr>
      <w:rFonts w:asciiTheme="minorHAnsi"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5C08"/>
    <w:pPr>
      <w:keepNext/>
      <w:keepLines/>
      <w:spacing w:after="0"/>
      <w:outlineLvl w:val="7"/>
    </w:pPr>
    <w:rPr>
      <w:rFonts w:asciiTheme="minorHAnsi"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5C08"/>
    <w:pPr>
      <w:keepNext/>
      <w:keepLines/>
      <w:spacing w:after="0"/>
      <w:outlineLvl w:val="8"/>
    </w:pPr>
    <w:rPr>
      <w:rFonts w:asciiTheme="minorHAnsi"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C08"/>
    <w:rPr>
      <w:rFonts w:asciiTheme="majorHAnsi" w:eastAsiaTheme="majorEastAsia" w:hAnsiTheme="majorHAnsi" w:cstheme="majorBidi"/>
      <w:color w:val="2E74B5" w:themeColor="accent1" w:themeShade="BF"/>
      <w:sz w:val="40"/>
      <w:szCs w:val="40"/>
    </w:rPr>
  </w:style>
  <w:style w:type="character" w:customStyle="1" w:styleId="Heading2Char">
    <w:name w:val="Heading 2 Char"/>
    <w:aliases w:val="Heading 2 - Op2 Char"/>
    <w:basedOn w:val="DefaultParagraphFont"/>
    <w:link w:val="Heading2"/>
    <w:uiPriority w:val="9"/>
    <w:rsid w:val="00005C0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005C08"/>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rsid w:val="00005C08"/>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rsid w:val="00005C08"/>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rsid w:val="00005C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5C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5C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5C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5C08"/>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005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C08"/>
    <w:pPr>
      <w:numPr>
        <w:ilvl w:val="1"/>
      </w:numPr>
    </w:pPr>
    <w:rPr>
      <w:rFonts w:asciiTheme="minorHAnsi"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C0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05C08"/>
    <w:pPr>
      <w:spacing w:before="160"/>
      <w:jc w:val="center"/>
    </w:pPr>
    <w:rPr>
      <w:i/>
      <w:iCs/>
      <w:color w:val="404040" w:themeColor="text1" w:themeTint="BF"/>
    </w:rPr>
  </w:style>
  <w:style w:type="character" w:customStyle="1" w:styleId="QuoteChar">
    <w:name w:val="Quote Char"/>
    <w:basedOn w:val="DefaultParagraphFont"/>
    <w:link w:val="Quote"/>
    <w:uiPriority w:val="29"/>
    <w:rsid w:val="00005C08"/>
    <w:rPr>
      <w:i/>
      <w:iCs/>
      <w:color w:val="404040" w:themeColor="text1" w:themeTint="BF"/>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005C08"/>
    <w:pPr>
      <w:ind w:left="720"/>
      <w:contextualSpacing/>
    </w:pPr>
  </w:style>
  <w:style w:type="character" w:styleId="IntenseEmphasis">
    <w:name w:val="Intense Emphasis"/>
    <w:basedOn w:val="DefaultParagraphFont"/>
    <w:uiPriority w:val="21"/>
    <w:qFormat/>
    <w:rsid w:val="00005C08"/>
    <w:rPr>
      <w:i/>
      <w:iCs/>
      <w:color w:val="2E74B5" w:themeColor="accent1" w:themeShade="BF"/>
    </w:rPr>
  </w:style>
  <w:style w:type="paragraph" w:styleId="IntenseQuote">
    <w:name w:val="Intense Quote"/>
    <w:basedOn w:val="Normal"/>
    <w:next w:val="Normal"/>
    <w:link w:val="IntenseQuoteChar"/>
    <w:uiPriority w:val="30"/>
    <w:qFormat/>
    <w:rsid w:val="00005C0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05C08"/>
    <w:rPr>
      <w:i/>
      <w:iCs/>
      <w:color w:val="2E74B5" w:themeColor="accent1" w:themeShade="BF"/>
    </w:rPr>
  </w:style>
  <w:style w:type="character" w:styleId="IntenseReference">
    <w:name w:val="Intense Reference"/>
    <w:basedOn w:val="DefaultParagraphFont"/>
    <w:uiPriority w:val="32"/>
    <w:qFormat/>
    <w:rsid w:val="00005C08"/>
    <w:rPr>
      <w:b/>
      <w:bCs/>
      <w:smallCaps/>
      <w:color w:val="2E74B5" w:themeColor="accent1" w:themeShade="BF"/>
      <w:spacing w:val="5"/>
    </w:rPr>
  </w:style>
  <w:style w:type="paragraph" w:customStyle="1" w:styleId="Heading1option2">
    <w:name w:val="Heading 1 option 2"/>
    <w:basedOn w:val="Normal"/>
    <w:autoRedefine/>
    <w:qFormat/>
    <w:rsid w:val="00005C08"/>
    <w:pPr>
      <w:spacing w:after="120" w:line="276" w:lineRule="auto"/>
      <w:outlineLvl w:val="0"/>
    </w:pPr>
    <w:rPr>
      <w:b/>
      <w:bCs/>
      <w:color w:val="1E1444"/>
      <w:sz w:val="44"/>
      <w:szCs w:val="36"/>
      <w:lang w:val="en-US"/>
    </w:rPr>
  </w:style>
  <w:style w:type="paragraph" w:styleId="Header">
    <w:name w:val="header"/>
    <w:aliases w:val="Arial 12 Body Text"/>
    <w:basedOn w:val="Normal"/>
    <w:link w:val="HeaderChar"/>
    <w:uiPriority w:val="1"/>
    <w:unhideWhenUsed/>
    <w:qFormat/>
    <w:rsid w:val="00005C08"/>
    <w:pPr>
      <w:shd w:val="clear" w:color="auto" w:fill="F2F2F2" w:themeFill="background1" w:themeFillShade="F2"/>
    </w:pPr>
    <w:rPr>
      <w:rFonts w:eastAsiaTheme="minorEastAsia"/>
      <w:b/>
      <w:bCs/>
    </w:rPr>
  </w:style>
  <w:style w:type="character" w:customStyle="1" w:styleId="HeaderChar">
    <w:name w:val="Header Char"/>
    <w:aliases w:val="Arial 12 Body Text Char"/>
    <w:basedOn w:val="DefaultParagraphFont"/>
    <w:link w:val="Header"/>
    <w:uiPriority w:val="1"/>
    <w:rsid w:val="00005C08"/>
    <w:rPr>
      <w:rFonts w:ascii="Arial" w:eastAsiaTheme="minorEastAsia" w:hAnsi="Arial" w:cs="Arial"/>
      <w:b/>
      <w:bCs/>
      <w:kern w:val="0"/>
      <w:shd w:val="clear" w:color="auto" w:fill="F2F2F2" w:themeFill="background1" w:themeFillShade="F2"/>
      <w:lang w:val="en-GB" w:eastAsia="en-AU"/>
      <w14:ligatures w14:val="none"/>
    </w:rPr>
  </w:style>
  <w:style w:type="paragraph" w:styleId="Footer">
    <w:name w:val="footer"/>
    <w:basedOn w:val="Normal"/>
    <w:link w:val="FooterChar"/>
    <w:uiPriority w:val="99"/>
    <w:unhideWhenUsed/>
    <w:rsid w:val="00005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C08"/>
    <w:rPr>
      <w:rFonts w:ascii="Arial" w:eastAsiaTheme="majorEastAsia" w:hAnsi="Arial" w:cs="Arial"/>
      <w:kern w:val="0"/>
      <w:lang w:val="en-GB" w:eastAsia="en-AU"/>
      <w14:ligatures w14:val="none"/>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005C08"/>
  </w:style>
  <w:style w:type="character" w:styleId="CommentReference">
    <w:name w:val="annotation reference"/>
    <w:basedOn w:val="DefaultParagraphFont"/>
    <w:uiPriority w:val="99"/>
    <w:unhideWhenUsed/>
    <w:rsid w:val="00005C08"/>
    <w:rPr>
      <w:sz w:val="16"/>
      <w:szCs w:val="16"/>
    </w:rPr>
  </w:style>
  <w:style w:type="paragraph" w:styleId="CommentText">
    <w:name w:val="annotation text"/>
    <w:basedOn w:val="Normal"/>
    <w:link w:val="CommentTextChar"/>
    <w:uiPriority w:val="99"/>
    <w:unhideWhenUsed/>
    <w:rsid w:val="00005C08"/>
    <w:pPr>
      <w:spacing w:line="240" w:lineRule="auto"/>
    </w:pPr>
    <w:rPr>
      <w:sz w:val="20"/>
      <w:szCs w:val="20"/>
    </w:rPr>
  </w:style>
  <w:style w:type="character" w:customStyle="1" w:styleId="CommentTextChar">
    <w:name w:val="Comment Text Char"/>
    <w:basedOn w:val="DefaultParagraphFont"/>
    <w:link w:val="CommentText"/>
    <w:uiPriority w:val="99"/>
    <w:rsid w:val="00005C08"/>
    <w:rPr>
      <w:rFonts w:ascii="Arial" w:eastAsiaTheme="majorEastAsia" w:hAnsi="Arial" w:cs="Arial"/>
      <w:kern w:val="0"/>
      <w:sz w:val="20"/>
      <w:szCs w:val="20"/>
      <w:lang w:val="en-GB" w:eastAsia="en-AU"/>
      <w14:ligatures w14:val="none"/>
    </w:rPr>
  </w:style>
  <w:style w:type="paragraph" w:styleId="CommentSubject">
    <w:name w:val="annotation subject"/>
    <w:basedOn w:val="CommentText"/>
    <w:next w:val="CommentText"/>
    <w:link w:val="CommentSubjectChar"/>
    <w:uiPriority w:val="99"/>
    <w:semiHidden/>
    <w:unhideWhenUsed/>
    <w:rsid w:val="00005C08"/>
    <w:rPr>
      <w:b/>
      <w:bCs/>
    </w:rPr>
  </w:style>
  <w:style w:type="character" w:customStyle="1" w:styleId="CommentSubjectChar">
    <w:name w:val="Comment Subject Char"/>
    <w:basedOn w:val="CommentTextChar"/>
    <w:link w:val="CommentSubject"/>
    <w:uiPriority w:val="99"/>
    <w:semiHidden/>
    <w:rsid w:val="00005C08"/>
    <w:rPr>
      <w:rFonts w:ascii="Arial" w:eastAsiaTheme="majorEastAsia" w:hAnsi="Arial" w:cs="Arial"/>
      <w:b/>
      <w:bCs/>
      <w:kern w:val="0"/>
      <w:sz w:val="20"/>
      <w:szCs w:val="20"/>
      <w:lang w:val="en-GB" w:eastAsia="en-AU"/>
      <w14:ligatures w14:val="none"/>
    </w:rPr>
  </w:style>
  <w:style w:type="numbering" w:customStyle="1" w:styleId="CurrentList18">
    <w:name w:val="Current List18"/>
    <w:uiPriority w:val="99"/>
    <w:rsid w:val="00005C08"/>
    <w:pPr>
      <w:numPr>
        <w:numId w:val="3"/>
      </w:numPr>
    </w:pPr>
  </w:style>
  <w:style w:type="character" w:styleId="Hyperlink">
    <w:name w:val="Hyperlink"/>
    <w:uiPriority w:val="99"/>
    <w:qFormat/>
    <w:rsid w:val="0044520C"/>
    <w:rPr>
      <w:rFonts w:ascii="Arial" w:hAnsi="Arial" w:cs="Arial"/>
      <w:color w:val="005A64"/>
      <w:u w:val="single"/>
    </w:rPr>
  </w:style>
  <w:style w:type="character" w:customStyle="1" w:styleId="eop">
    <w:name w:val="eop"/>
    <w:basedOn w:val="DefaultParagraphFont"/>
    <w:rsid w:val="00005C08"/>
  </w:style>
  <w:style w:type="paragraph" w:styleId="BodyText2">
    <w:name w:val="Body Text 2"/>
    <w:basedOn w:val="Normal"/>
    <w:link w:val="BodyText2Char"/>
    <w:unhideWhenUsed/>
    <w:rsid w:val="00005C08"/>
    <w:pPr>
      <w:spacing w:before="120" w:after="120" w:line="480" w:lineRule="auto"/>
    </w:pPr>
    <w:rPr>
      <w:rFonts w:eastAsia="Times New Roman"/>
      <w:color w:val="000000" w:themeColor="text1"/>
    </w:rPr>
  </w:style>
  <w:style w:type="character" w:customStyle="1" w:styleId="BodyText2Char">
    <w:name w:val="Body Text 2 Char"/>
    <w:basedOn w:val="DefaultParagraphFont"/>
    <w:link w:val="BodyText2"/>
    <w:rsid w:val="00005C08"/>
    <w:rPr>
      <w:rFonts w:ascii="Arial" w:eastAsia="Times New Roman" w:hAnsi="Arial" w:cs="Arial"/>
      <w:color w:val="000000" w:themeColor="text1"/>
      <w:kern w:val="0"/>
      <w:lang w:val="en-GB" w:eastAsia="en-AU"/>
      <w14:ligatures w14:val="none"/>
    </w:rPr>
  </w:style>
  <w:style w:type="character" w:customStyle="1" w:styleId="normaltextrun">
    <w:name w:val="normaltextrun"/>
    <w:basedOn w:val="DefaultParagraphFont"/>
    <w:rsid w:val="00005C08"/>
  </w:style>
  <w:style w:type="character" w:styleId="FollowedHyperlink">
    <w:name w:val="FollowedHyperlink"/>
    <w:basedOn w:val="DefaultParagraphFont"/>
    <w:uiPriority w:val="99"/>
    <w:semiHidden/>
    <w:unhideWhenUsed/>
    <w:rsid w:val="00005C08"/>
    <w:rPr>
      <w:color w:val="954F72" w:themeColor="followedHyperlink"/>
      <w:u w:val="single"/>
    </w:rPr>
  </w:style>
  <w:style w:type="character" w:styleId="UnresolvedMention">
    <w:name w:val="Unresolved Mention"/>
    <w:basedOn w:val="DefaultParagraphFont"/>
    <w:uiPriority w:val="99"/>
    <w:semiHidden/>
    <w:unhideWhenUsed/>
    <w:rsid w:val="00005C08"/>
    <w:rPr>
      <w:color w:val="605E5C"/>
      <w:shd w:val="clear" w:color="auto" w:fill="E1DFDD"/>
    </w:rPr>
  </w:style>
  <w:style w:type="character" w:styleId="Mention">
    <w:name w:val="Mention"/>
    <w:basedOn w:val="DefaultParagraphFont"/>
    <w:uiPriority w:val="99"/>
    <w:unhideWhenUsed/>
    <w:rsid w:val="00005C08"/>
    <w:rPr>
      <w:color w:val="2B579A"/>
      <w:shd w:val="clear" w:color="auto" w:fill="E1DFDD"/>
    </w:rPr>
  </w:style>
  <w:style w:type="paragraph" w:customStyle="1" w:styleId="Boxwithcolouredkeyline">
    <w:name w:val="Box with coloured keyline"/>
    <w:basedOn w:val="Normal"/>
    <w:qFormat/>
    <w:rsid w:val="00005C08"/>
    <w:pPr>
      <w:pBdr>
        <w:top w:val="single" w:sz="4" w:space="8" w:color="434967"/>
        <w:left w:val="single" w:sz="4" w:space="8" w:color="434967"/>
        <w:bottom w:val="single" w:sz="4" w:space="8" w:color="434967"/>
        <w:right w:val="single" w:sz="4" w:space="8" w:color="434967"/>
      </w:pBdr>
      <w:spacing w:after="120" w:line="276" w:lineRule="auto"/>
      <w:ind w:left="198" w:right="198"/>
    </w:pPr>
    <w:rPr>
      <w:rFonts w:eastAsia="Calibri"/>
      <w:szCs w:val="21"/>
    </w:rPr>
  </w:style>
  <w:style w:type="table" w:styleId="TableGrid">
    <w:name w:val="Table Grid"/>
    <w:basedOn w:val="TableNormal"/>
    <w:uiPriority w:val="39"/>
    <w:rsid w:val="00005C08"/>
    <w:pPr>
      <w:spacing w:after="0" w:line="240" w:lineRule="auto"/>
    </w:pPr>
    <w:tblPr/>
  </w:style>
  <w:style w:type="paragraph" w:customStyle="1" w:styleId="Default">
    <w:name w:val="Default"/>
    <w:rsid w:val="00005C08"/>
    <w:pPr>
      <w:autoSpaceDE w:val="0"/>
      <w:autoSpaceDN w:val="0"/>
      <w:adjustRightInd w:val="0"/>
      <w:spacing w:after="0" w:line="240" w:lineRule="auto"/>
    </w:pPr>
    <w:rPr>
      <w:rFonts w:ascii="Calibri" w:hAnsi="Calibri" w:cs="Calibri"/>
      <w:color w:val="000000"/>
      <w:kern w:val="0"/>
    </w:rPr>
  </w:style>
  <w:style w:type="paragraph" w:styleId="TOC1">
    <w:name w:val="toc 1"/>
    <w:basedOn w:val="Normal"/>
    <w:next w:val="Normal"/>
    <w:autoRedefine/>
    <w:uiPriority w:val="39"/>
    <w:unhideWhenUsed/>
    <w:rsid w:val="00005C08"/>
    <w:pPr>
      <w:spacing w:after="100"/>
    </w:pPr>
  </w:style>
  <w:style w:type="paragraph" w:styleId="TOCHeading">
    <w:name w:val="TOC Heading"/>
    <w:basedOn w:val="Heading1"/>
    <w:next w:val="Normal"/>
    <w:uiPriority w:val="39"/>
    <w:unhideWhenUsed/>
    <w:qFormat/>
    <w:rsid w:val="00005C08"/>
    <w:pPr>
      <w:spacing w:before="240" w:after="0"/>
      <w:outlineLvl w:val="9"/>
    </w:pPr>
    <w:rPr>
      <w:sz w:val="32"/>
      <w:szCs w:val="32"/>
      <w:lang w:val="en-US"/>
    </w:rPr>
  </w:style>
  <w:style w:type="paragraph" w:styleId="TOC2">
    <w:name w:val="toc 2"/>
    <w:basedOn w:val="Normal"/>
    <w:next w:val="Normal"/>
    <w:autoRedefine/>
    <w:uiPriority w:val="39"/>
    <w:unhideWhenUsed/>
    <w:rsid w:val="00005C08"/>
    <w:pPr>
      <w:spacing w:after="100"/>
      <w:ind w:left="240"/>
    </w:pPr>
  </w:style>
  <w:style w:type="paragraph" w:styleId="TOC3">
    <w:name w:val="toc 3"/>
    <w:basedOn w:val="Normal"/>
    <w:next w:val="Normal"/>
    <w:autoRedefine/>
    <w:uiPriority w:val="39"/>
    <w:unhideWhenUsed/>
    <w:rsid w:val="00005C08"/>
    <w:pPr>
      <w:spacing w:after="100"/>
      <w:ind w:left="480"/>
    </w:pPr>
  </w:style>
  <w:style w:type="paragraph" w:customStyle="1" w:styleId="Sub-headings">
    <w:name w:val="Sub-headings"/>
    <w:basedOn w:val="Header"/>
    <w:link w:val="Sub-headingsChar"/>
    <w:autoRedefine/>
    <w:uiPriority w:val="1"/>
    <w:qFormat/>
    <w:rsid w:val="006C35B9"/>
    <w:pPr>
      <w:pBdr>
        <w:top w:val="single" w:sz="4" w:space="1" w:color="auto"/>
        <w:left w:val="single" w:sz="4" w:space="4" w:color="auto"/>
        <w:bottom w:val="single" w:sz="4" w:space="1" w:color="auto"/>
        <w:right w:val="single" w:sz="4" w:space="4" w:color="auto"/>
      </w:pBdr>
      <w:spacing w:before="240" w:after="240" w:line="240" w:lineRule="auto"/>
      <w:ind w:left="567" w:right="284" w:firstLine="11"/>
    </w:pPr>
    <w:rPr>
      <w:rFonts w:eastAsiaTheme="majorEastAsia"/>
      <w:b w:val="0"/>
      <w:bCs w:val="0"/>
      <w:lang w:eastAsia="ko-KR"/>
    </w:rPr>
  </w:style>
  <w:style w:type="character" w:customStyle="1" w:styleId="Sub-headingsChar">
    <w:name w:val="Sub-headings Char"/>
    <w:basedOn w:val="HeaderChar"/>
    <w:link w:val="Sub-headings"/>
    <w:uiPriority w:val="1"/>
    <w:rsid w:val="006C35B9"/>
    <w:rPr>
      <w:rFonts w:ascii="Arial" w:eastAsiaTheme="majorEastAsia" w:hAnsi="Arial" w:cs="Arial"/>
      <w:b w:val="0"/>
      <w:bCs w:val="0"/>
      <w:kern w:val="0"/>
      <w:sz w:val="22"/>
      <w:shd w:val="clear" w:color="auto" w:fill="F2F2F2" w:themeFill="background1" w:themeFillShade="F2"/>
      <w:lang w:val="en-GB" w:eastAsia="ko-KR"/>
      <w14:ligatures w14:val="none"/>
    </w:rPr>
  </w:style>
  <w:style w:type="paragraph" w:styleId="Revision">
    <w:name w:val="Revision"/>
    <w:hidden/>
    <w:uiPriority w:val="99"/>
    <w:semiHidden/>
    <w:rsid w:val="00005C08"/>
    <w:pPr>
      <w:spacing w:after="0" w:line="240" w:lineRule="auto"/>
    </w:pPr>
  </w:style>
  <w:style w:type="paragraph" w:customStyle="1" w:styleId="notetext">
    <w:name w:val="notetext"/>
    <w:basedOn w:val="Normal"/>
    <w:rsid w:val="00005C08"/>
    <w:pPr>
      <w:spacing w:before="100" w:beforeAutospacing="1" w:after="100" w:afterAutospacing="1" w:line="240" w:lineRule="auto"/>
    </w:pPr>
    <w:rPr>
      <w:rFonts w:eastAsia="Times New Roman"/>
    </w:rPr>
  </w:style>
  <w:style w:type="character" w:styleId="Strong">
    <w:name w:val="Strong"/>
    <w:aliases w:val="Bold"/>
    <w:uiPriority w:val="22"/>
    <w:qFormat/>
    <w:rsid w:val="00005C08"/>
    <w:rPr>
      <w:b/>
      <w:bCs/>
    </w:rPr>
  </w:style>
  <w:style w:type="paragraph" w:styleId="BodyText">
    <w:name w:val="Body Text"/>
    <w:basedOn w:val="Normal"/>
    <w:link w:val="BodyTextChar"/>
    <w:rsid w:val="00005C08"/>
    <w:pPr>
      <w:spacing w:after="120" w:line="276" w:lineRule="auto"/>
    </w:pPr>
    <w:rPr>
      <w:szCs w:val="20"/>
      <w:lang w:val="en-US"/>
    </w:rPr>
  </w:style>
  <w:style w:type="character" w:customStyle="1" w:styleId="BodyTextChar">
    <w:name w:val="Body Text Char"/>
    <w:basedOn w:val="DefaultParagraphFont"/>
    <w:link w:val="BodyText"/>
    <w:rsid w:val="00005C08"/>
    <w:rPr>
      <w:rFonts w:ascii="Arial" w:eastAsiaTheme="majorEastAsia" w:hAnsi="Arial" w:cs="Arial"/>
      <w:kern w:val="0"/>
      <w:szCs w:val="20"/>
      <w:lang w:val="en-US" w:eastAsia="en-AU"/>
      <w14:ligatures w14:val="none"/>
    </w:rPr>
  </w:style>
  <w:style w:type="table" w:styleId="TableGridLight">
    <w:name w:val="Grid Table Light"/>
    <w:basedOn w:val="TableNormal"/>
    <w:uiPriority w:val="40"/>
    <w:rsid w:val="00005C08"/>
    <w:pPr>
      <w:spacing w:after="0" w:line="240" w:lineRule="auto"/>
    </w:pPr>
    <w:tblPr/>
  </w:style>
  <w:style w:type="paragraph" w:customStyle="1" w:styleId="Introduction">
    <w:name w:val="Introduction"/>
    <w:basedOn w:val="Normal"/>
    <w:qFormat/>
    <w:rsid w:val="00005C08"/>
    <w:pPr>
      <w:spacing w:after="120" w:line="276" w:lineRule="auto"/>
    </w:pPr>
    <w:rPr>
      <w:rFonts w:cstheme="minorBidi"/>
      <w:color w:val="000000" w:themeColor="text1"/>
      <w:sz w:val="32"/>
      <w:szCs w:val="32"/>
    </w:rPr>
  </w:style>
  <w:style w:type="table" w:styleId="GridTable5Dark-Accent4">
    <w:name w:val="Grid Table 5 Dark Accent 4"/>
    <w:basedOn w:val="TableNormal"/>
    <w:uiPriority w:val="50"/>
    <w:rsid w:val="00005C08"/>
    <w:pPr>
      <w:spacing w:after="0" w:line="240" w:lineRule="auto"/>
    </w:pPr>
    <w:rPr>
      <w:rFonts w:asciiTheme="minorHAnsi" w:hAnsiTheme="minorHAnsi" w:cstheme="minorBidi"/>
      <w:kern w:val="0"/>
      <w14:ligatures w14:val="none"/>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agraph">
    <w:name w:val="paragraph"/>
    <w:basedOn w:val="Normal"/>
    <w:rsid w:val="00005C08"/>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unhideWhenUsed/>
    <w:rsid w:val="00005C08"/>
    <w:pPr>
      <w:spacing w:after="0" w:line="240" w:lineRule="auto"/>
    </w:pPr>
    <w:rPr>
      <w:sz w:val="20"/>
      <w:szCs w:val="20"/>
    </w:rPr>
  </w:style>
  <w:style w:type="character" w:customStyle="1" w:styleId="FootnoteTextChar">
    <w:name w:val="Footnote Text Char"/>
    <w:basedOn w:val="DefaultParagraphFont"/>
    <w:link w:val="FootnoteText"/>
    <w:uiPriority w:val="99"/>
    <w:rsid w:val="00005C08"/>
    <w:rPr>
      <w:rFonts w:ascii="Arial" w:eastAsiaTheme="majorEastAsia" w:hAnsi="Arial" w:cs="Arial"/>
      <w:kern w:val="0"/>
      <w:sz w:val="20"/>
      <w:szCs w:val="20"/>
      <w:lang w:val="en-GB" w:eastAsia="en-AU"/>
      <w14:ligatures w14:val="none"/>
    </w:rPr>
  </w:style>
  <w:style w:type="character" w:styleId="FootnoteReference">
    <w:name w:val="footnote reference"/>
    <w:basedOn w:val="DefaultParagraphFont"/>
    <w:uiPriority w:val="99"/>
    <w:unhideWhenUsed/>
    <w:rsid w:val="00005C08"/>
    <w:rPr>
      <w:vertAlign w:val="superscript"/>
    </w:rPr>
  </w:style>
  <w:style w:type="paragraph" w:customStyle="1" w:styleId="Tablehead">
    <w:name w:val="Table_head"/>
    <w:basedOn w:val="Normal"/>
    <w:uiPriority w:val="99"/>
    <w:locked/>
    <w:rsid w:val="00005C08"/>
    <w:pPr>
      <w:spacing w:before="120" w:after="120" w:line="276" w:lineRule="auto"/>
    </w:pPr>
    <w:rPr>
      <w:rFonts w:eastAsia="Times New Roman"/>
      <w:b/>
      <w:bCs/>
      <w:color w:val="FFFFFF" w:themeColor="background1"/>
      <w:szCs w:val="20"/>
    </w:rPr>
  </w:style>
  <w:style w:type="paragraph" w:styleId="TOC4">
    <w:name w:val="toc 4"/>
    <w:basedOn w:val="Normal"/>
    <w:next w:val="Normal"/>
    <w:autoRedefine/>
    <w:uiPriority w:val="39"/>
    <w:unhideWhenUsed/>
    <w:rsid w:val="00005C08"/>
    <w:pPr>
      <w:spacing w:after="100" w:line="278" w:lineRule="auto"/>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05C08"/>
    <w:pPr>
      <w:spacing w:after="100" w:line="278" w:lineRule="auto"/>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05C08"/>
    <w:pPr>
      <w:spacing w:after="100" w:line="278" w:lineRule="auto"/>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05C08"/>
    <w:pPr>
      <w:spacing w:after="100" w:line="278"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05C08"/>
    <w:pPr>
      <w:spacing w:after="100" w:line="278"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05C08"/>
    <w:pPr>
      <w:spacing w:after="100" w:line="278" w:lineRule="auto"/>
      <w:ind w:left="1920"/>
    </w:pPr>
    <w:rPr>
      <w:rFonts w:asciiTheme="minorHAnsi" w:eastAsiaTheme="minorEastAsia" w:hAnsiTheme="minorHAnsi" w:cstheme="minorBidi"/>
    </w:rPr>
  </w:style>
  <w:style w:type="paragraph" w:customStyle="1" w:styleId="TableBodyText">
    <w:name w:val="Table Body Text"/>
    <w:basedOn w:val="Normal"/>
    <w:qFormat/>
    <w:rsid w:val="00005C08"/>
    <w:pPr>
      <w:spacing w:after="0" w:line="240" w:lineRule="auto"/>
    </w:pPr>
    <w:rPr>
      <w:sz w:val="20"/>
      <w:szCs w:val="20"/>
      <w:lang w:val="en-US"/>
    </w:rPr>
  </w:style>
  <w:style w:type="paragraph" w:customStyle="1" w:styleId="h2">
    <w:name w:val="h2"/>
    <w:basedOn w:val="Heading2"/>
    <w:autoRedefine/>
    <w:qFormat/>
    <w:rsid w:val="0097712B"/>
    <w:pPr>
      <w:numPr>
        <w:ilvl w:val="1"/>
        <w:numId w:val="476"/>
      </w:numPr>
      <w:spacing w:after="240"/>
      <w:ind w:left="431" w:hanging="431"/>
    </w:pPr>
    <w:rPr>
      <w:rFonts w:ascii="Arial" w:hAnsi="Arial" w:cs="Arial"/>
      <w:b/>
      <w:bCs/>
      <w:color w:val="358189"/>
      <w:sz w:val="36"/>
      <w:szCs w:val="36"/>
      <w:lang w:val="en-US"/>
    </w:rPr>
  </w:style>
  <w:style w:type="paragraph" w:customStyle="1" w:styleId="H1">
    <w:name w:val="H1"/>
    <w:basedOn w:val="Heading1option2"/>
    <w:autoRedefine/>
    <w:qFormat/>
    <w:rsid w:val="00AC3600"/>
    <w:pPr>
      <w:numPr>
        <w:numId w:val="476"/>
      </w:numPr>
      <w:spacing w:after="240" w:line="259" w:lineRule="auto"/>
      <w:ind w:left="431" w:hanging="431"/>
    </w:pPr>
    <w:rPr>
      <w:bCs w:val="0"/>
      <w:color w:val="002060"/>
    </w:rPr>
  </w:style>
  <w:style w:type="paragraph" w:customStyle="1" w:styleId="H3">
    <w:name w:val="H3"/>
    <w:basedOn w:val="Heading3"/>
    <w:autoRedefine/>
    <w:qFormat/>
    <w:rsid w:val="00B61FC3"/>
    <w:pPr>
      <w:numPr>
        <w:ilvl w:val="2"/>
        <w:numId w:val="476"/>
      </w:numPr>
      <w:spacing w:before="240" w:after="240" w:line="240" w:lineRule="auto"/>
      <w:ind w:left="504"/>
    </w:pPr>
    <w:rPr>
      <w:rFonts w:ascii="Arial" w:eastAsia="Yu Gothic Light" w:hAnsi="Arial" w:cs="Arial"/>
      <w:b/>
      <w:bCs/>
      <w:noProof/>
      <w:color w:val="358189"/>
      <w:sz w:val="32"/>
      <w:szCs w:val="32"/>
      <w:lang w:val="en-US"/>
      <w14:ligatures w14:val="standardContextual"/>
    </w:rPr>
  </w:style>
  <w:style w:type="paragraph" w:customStyle="1" w:styleId="H4">
    <w:name w:val="H4"/>
    <w:basedOn w:val="Heading4"/>
    <w:autoRedefine/>
    <w:qFormat/>
    <w:rsid w:val="00B62C9B"/>
    <w:pPr>
      <w:spacing w:before="240" w:after="240" w:line="240" w:lineRule="auto"/>
    </w:pPr>
    <w:rPr>
      <w:rFonts w:ascii="Arial" w:eastAsia="Yu Gothic Light" w:hAnsi="Arial" w:cs="Arial"/>
      <w:b/>
      <w:color w:val="auto"/>
      <w:szCs w:val="22"/>
    </w:rPr>
  </w:style>
  <w:style w:type="paragraph" w:customStyle="1" w:styleId="H5">
    <w:name w:val="H5"/>
    <w:basedOn w:val="Normal"/>
    <w:qFormat/>
    <w:rsid w:val="00005C08"/>
    <w:rPr>
      <w:b/>
      <w:bCs/>
      <w:color w:val="1E1444"/>
    </w:rPr>
  </w:style>
  <w:style w:type="paragraph" w:styleId="NormalWeb">
    <w:name w:val="Normal (Web)"/>
    <w:basedOn w:val="Normal"/>
    <w:uiPriority w:val="99"/>
    <w:unhideWhenUsed/>
    <w:rsid w:val="00005C08"/>
    <w:pPr>
      <w:spacing w:before="100" w:beforeAutospacing="1" w:after="100" w:afterAutospacing="1" w:line="240" w:lineRule="auto"/>
    </w:pPr>
    <w:rPr>
      <w:rFonts w:ascii="Times New Roman" w:eastAsia="Times New Roman" w:hAnsi="Times New Roman" w:cs="Times New Roman"/>
    </w:rPr>
  </w:style>
  <w:style w:type="paragraph" w:customStyle="1" w:styleId="Normal1stParaafterHeading1">
    <w:name w:val="Normal 1st Para after Heading 1"/>
    <w:basedOn w:val="Normal"/>
    <w:next w:val="Normal"/>
    <w:rsid w:val="00005C08"/>
    <w:pPr>
      <w:spacing w:before="480" w:after="200" w:line="300" w:lineRule="auto"/>
    </w:pPr>
    <w:rPr>
      <w:szCs w:val="20"/>
    </w:rPr>
  </w:style>
  <w:style w:type="paragraph" w:customStyle="1" w:styleId="NumberedList">
    <w:name w:val="Numbered List"/>
    <w:basedOn w:val="Normal"/>
    <w:qFormat/>
    <w:rsid w:val="00005C08"/>
    <w:pPr>
      <w:spacing w:after="100" w:line="300" w:lineRule="auto"/>
    </w:pPr>
    <w:rPr>
      <w:szCs w:val="20"/>
      <w:lang w:val="en"/>
    </w:rPr>
  </w:style>
  <w:style w:type="paragraph" w:customStyle="1" w:styleId="Heading3Numbered">
    <w:name w:val="Heading 3 Numbered"/>
    <w:basedOn w:val="Heading3"/>
    <w:link w:val="Heading3NumberedChar"/>
    <w:autoRedefine/>
    <w:qFormat/>
    <w:rsid w:val="00005C08"/>
    <w:pPr>
      <w:spacing w:before="240" w:after="120" w:line="300" w:lineRule="exact"/>
    </w:pPr>
    <w:rPr>
      <w:rFonts w:ascii="Arial" w:hAnsi="Arial" w:cs="Arial"/>
      <w:color w:val="434967"/>
      <w:spacing w:val="5"/>
    </w:rPr>
  </w:style>
  <w:style w:type="paragraph" w:customStyle="1" w:styleId="Sub-headingnon-contentpage">
    <w:name w:val="Sub-heading (non-content page)"/>
    <w:basedOn w:val="Normal"/>
    <w:autoRedefine/>
    <w:qFormat/>
    <w:rsid w:val="003D374A"/>
    <w:pPr>
      <w:tabs>
        <w:tab w:val="left" w:pos="739"/>
      </w:tabs>
      <w:spacing w:before="120" w:after="120" w:line="240" w:lineRule="auto"/>
    </w:pPr>
    <w:rPr>
      <w:rFonts w:eastAsia="MS Mincho" w:cstheme="minorBidi"/>
      <w:szCs w:val="22"/>
      <w:lang w:eastAsia="en-GB"/>
    </w:rPr>
  </w:style>
  <w:style w:type="character" w:customStyle="1" w:styleId="Heading3NumberedChar">
    <w:name w:val="Heading 3 Numbered Char"/>
    <w:basedOn w:val="Heading3Char"/>
    <w:link w:val="Heading3Numbered"/>
    <w:rsid w:val="00005C08"/>
    <w:rPr>
      <w:rFonts w:ascii="Arial" w:eastAsiaTheme="majorEastAsia" w:hAnsi="Arial" w:cs="Arial"/>
      <w:color w:val="434967"/>
      <w:spacing w:val="5"/>
      <w:kern w:val="0"/>
      <w:sz w:val="28"/>
      <w:szCs w:val="28"/>
      <w:lang w:eastAsia="en-AU"/>
      <w14:ligatures w14:val="none"/>
    </w:rPr>
  </w:style>
  <w:style w:type="character" w:styleId="Emphasis">
    <w:name w:val="Emphasis"/>
    <w:uiPriority w:val="20"/>
    <w:qFormat/>
    <w:rsid w:val="00005C08"/>
    <w:rPr>
      <w:b/>
      <w:bCs/>
      <w:i/>
      <w:iCs/>
      <w:spacing w:val="10"/>
    </w:rPr>
  </w:style>
  <w:style w:type="paragraph" w:customStyle="1" w:styleId="Heading2Numbered">
    <w:name w:val="Heading 2 Numbered"/>
    <w:basedOn w:val="Heading2"/>
    <w:link w:val="Heading2NumberedChar"/>
    <w:autoRedefine/>
    <w:qFormat/>
    <w:rsid w:val="00005C08"/>
    <w:pPr>
      <w:keepNext w:val="0"/>
      <w:keepLines w:val="0"/>
      <w:spacing w:before="300" w:after="100" w:line="271" w:lineRule="auto"/>
    </w:pPr>
    <w:rPr>
      <w:rFonts w:ascii="Arial" w:hAnsi="Arial" w:cs="Arial"/>
      <w:b/>
      <w:bCs/>
      <w:color w:val="434967"/>
      <w:sz w:val="36"/>
      <w:szCs w:val="25"/>
      <w:lang w:val="en"/>
    </w:rPr>
  </w:style>
  <w:style w:type="table" w:customStyle="1" w:styleId="TableGrid2">
    <w:name w:val="Table Grid2"/>
    <w:basedOn w:val="TableNormal"/>
    <w:next w:val="TableGrid"/>
    <w:rsid w:val="00005C08"/>
    <w:pPr>
      <w:spacing w:after="0" w:line="240" w:lineRule="auto"/>
    </w:pPr>
    <w:rPr>
      <w:rFonts w:eastAsia="Times New Roman"/>
      <w:kern w:val="0"/>
      <w:sz w:val="20"/>
      <w:szCs w:val="20"/>
      <w:lang w:eastAsia="en-AU"/>
      <w14:ligatures w14:val="none"/>
    </w:rPr>
    <w:tblPr/>
  </w:style>
  <w:style w:type="character" w:customStyle="1" w:styleId="Heading2NumberedChar">
    <w:name w:val="Heading 2 Numbered Char"/>
    <w:basedOn w:val="Heading2Char"/>
    <w:link w:val="Heading2Numbered"/>
    <w:rsid w:val="00005C08"/>
    <w:rPr>
      <w:rFonts w:ascii="Arial" w:eastAsiaTheme="majorEastAsia" w:hAnsi="Arial" w:cs="Arial"/>
      <w:b/>
      <w:bCs/>
      <w:color w:val="434967"/>
      <w:kern w:val="0"/>
      <w:sz w:val="36"/>
      <w:szCs w:val="25"/>
      <w:lang w:val="en" w:eastAsia="en-AU"/>
      <w14:ligatures w14:val="none"/>
    </w:rPr>
  </w:style>
  <w:style w:type="paragraph" w:customStyle="1" w:styleId="Customlevel3">
    <w:name w:val="Custom level 3"/>
    <w:basedOn w:val="Heading4"/>
    <w:link w:val="Customlevel3Char"/>
    <w:autoRedefine/>
    <w:qFormat/>
    <w:rsid w:val="00005C08"/>
    <w:pPr>
      <w:keepNext w:val="0"/>
      <w:keepLines w:val="0"/>
      <w:spacing w:before="240" w:after="60" w:line="276" w:lineRule="auto"/>
    </w:pPr>
    <w:rPr>
      <w:rFonts w:ascii="Arial" w:eastAsia="Arial" w:hAnsi="Arial" w:cs="Arial"/>
      <w:b/>
      <w:bCs/>
      <w:color w:val="1E1444"/>
      <w:sz w:val="28"/>
      <w:szCs w:val="20"/>
      <w:u w:val="single"/>
      <w:lang w:val="en-US"/>
    </w:rPr>
  </w:style>
  <w:style w:type="character" w:customStyle="1" w:styleId="Customlevel3Char">
    <w:name w:val="Custom level 3 Char"/>
    <w:basedOn w:val="Heading4Char"/>
    <w:link w:val="Customlevel3"/>
    <w:rsid w:val="00005C08"/>
    <w:rPr>
      <w:rFonts w:ascii="Arial" w:eastAsia="Arial" w:hAnsi="Arial" w:cs="Arial"/>
      <w:b/>
      <w:bCs/>
      <w:i/>
      <w:iCs/>
      <w:color w:val="1E1444"/>
      <w:kern w:val="0"/>
      <w:sz w:val="28"/>
      <w:szCs w:val="20"/>
      <w:u w:val="single"/>
      <w:lang w:val="en-US" w:eastAsia="en-AU"/>
      <w14:ligatures w14:val="none"/>
    </w:rPr>
  </w:style>
  <w:style w:type="paragraph" w:customStyle="1" w:styleId="NormalText">
    <w:name w:val="Normal Text"/>
    <w:basedOn w:val="Normal"/>
    <w:qFormat/>
    <w:rsid w:val="00005C08"/>
    <w:pPr>
      <w:spacing w:before="120" w:after="120" w:line="288" w:lineRule="auto"/>
    </w:pPr>
    <w:rPr>
      <w:rFonts w:eastAsia="Times New Roman" w:cstheme="minorBidi"/>
      <w:color w:val="000000" w:themeColor="text1"/>
      <w:szCs w:val="20"/>
      <w:shd w:val="clear" w:color="auto" w:fill="FFFFFF"/>
      <w:lang w:eastAsia="en-GB"/>
    </w:rPr>
  </w:style>
  <w:style w:type="character" w:styleId="SubtleEmphasis">
    <w:name w:val="Subtle Emphasis"/>
    <w:uiPriority w:val="19"/>
    <w:qFormat/>
    <w:rsid w:val="00005C08"/>
    <w:rPr>
      <w:i/>
      <w:iCs/>
    </w:rPr>
  </w:style>
  <w:style w:type="paragraph" w:customStyle="1" w:styleId="pf0">
    <w:name w:val="pf0"/>
    <w:basedOn w:val="Normal"/>
    <w:rsid w:val="00005C08"/>
    <w:pPr>
      <w:spacing w:before="100" w:beforeAutospacing="1" w:after="100" w:afterAutospacing="1" w:line="240" w:lineRule="auto"/>
      <w:ind w:left="300"/>
    </w:pPr>
    <w:rPr>
      <w:rFonts w:ascii="Times New Roman" w:eastAsia="Times New Roman" w:hAnsi="Times New Roman" w:cs="Times New Roman"/>
    </w:rPr>
  </w:style>
  <w:style w:type="character" w:customStyle="1" w:styleId="cf01">
    <w:name w:val="cf01"/>
    <w:basedOn w:val="DefaultParagraphFont"/>
    <w:rsid w:val="00005C08"/>
    <w:rPr>
      <w:rFonts w:ascii="Segoe UI" w:hAnsi="Segoe UI" w:cs="Segoe UI" w:hint="default"/>
      <w:sz w:val="28"/>
      <w:szCs w:val="28"/>
    </w:rPr>
  </w:style>
  <w:style w:type="paragraph" w:styleId="ListBullet">
    <w:name w:val="List Bullet"/>
    <w:aliases w:val="Bullit"/>
    <w:basedOn w:val="Normal"/>
    <w:link w:val="ListBulletChar"/>
    <w:uiPriority w:val="99"/>
    <w:qFormat/>
    <w:rsid w:val="00005C08"/>
    <w:pPr>
      <w:numPr>
        <w:numId w:val="5"/>
      </w:numPr>
      <w:tabs>
        <w:tab w:val="left" w:pos="170"/>
      </w:tabs>
      <w:spacing w:after="80" w:line="260" w:lineRule="atLeast"/>
    </w:pPr>
    <w:rPr>
      <w:rFonts w:eastAsia="Times New Roman" w:cs="Times New Roman"/>
      <w:lang w:eastAsia="en-US"/>
    </w:rPr>
  </w:style>
  <w:style w:type="character" w:customStyle="1" w:styleId="ListBulletChar">
    <w:name w:val="List Bullet Char"/>
    <w:aliases w:val="Bullit Char"/>
    <w:link w:val="ListBullet"/>
    <w:uiPriority w:val="99"/>
    <w:locked/>
    <w:rsid w:val="00005C08"/>
    <w:rPr>
      <w:rFonts w:ascii="Arial" w:eastAsia="Times New Roman" w:hAnsi="Arial"/>
      <w:kern w:val="0"/>
      <w:sz w:val="22"/>
      <w14:ligatures w14:val="none"/>
    </w:rPr>
  </w:style>
  <w:style w:type="paragraph" w:styleId="PlainText">
    <w:name w:val="Plain Text"/>
    <w:basedOn w:val="Normal"/>
    <w:link w:val="PlainTextChar"/>
    <w:uiPriority w:val="99"/>
    <w:rsid w:val="00005C08"/>
    <w:pPr>
      <w:keepLines/>
      <w:spacing w:after="240" w:line="240" w:lineRule="auto"/>
    </w:pPr>
    <w:rPr>
      <w:rFonts w:ascii="Courier" w:eastAsia="Times New Roman" w:hAnsi="Courier" w:cs="Courier"/>
      <w:lang w:eastAsia="en-US"/>
    </w:rPr>
  </w:style>
  <w:style w:type="character" w:customStyle="1" w:styleId="PlainTextChar">
    <w:name w:val="Plain Text Char"/>
    <w:basedOn w:val="DefaultParagraphFont"/>
    <w:link w:val="PlainText"/>
    <w:uiPriority w:val="99"/>
    <w:rsid w:val="00005C08"/>
    <w:rPr>
      <w:rFonts w:ascii="Courier" w:eastAsia="Times New Roman" w:hAnsi="Courier" w:cs="Courier"/>
      <w:kern w:val="0"/>
      <w14:ligatures w14:val="none"/>
    </w:rPr>
  </w:style>
  <w:style w:type="table" w:styleId="GridTable4-Accent1">
    <w:name w:val="Grid Table 4 Accent 1"/>
    <w:basedOn w:val="TableNormal"/>
    <w:uiPriority w:val="49"/>
    <w:rsid w:val="00005C08"/>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NoSpacing">
    <w:name w:val="No Spacing"/>
    <w:link w:val="NoSpacingChar"/>
    <w:uiPriority w:val="1"/>
    <w:qFormat/>
    <w:rsid w:val="00005C08"/>
    <w:pPr>
      <w:spacing w:after="0"/>
    </w:pPr>
  </w:style>
  <w:style w:type="paragraph" w:styleId="Caption">
    <w:name w:val="caption"/>
    <w:basedOn w:val="Normal"/>
    <w:next w:val="Normal"/>
    <w:uiPriority w:val="35"/>
    <w:unhideWhenUsed/>
    <w:qFormat/>
    <w:rsid w:val="00032CD1"/>
    <w:pPr>
      <w:spacing w:after="200" w:line="240" w:lineRule="auto"/>
    </w:pPr>
    <w:rPr>
      <w:b/>
      <w:iCs/>
      <w:color w:val="44546A" w:themeColor="text2"/>
      <w:sz w:val="21"/>
      <w:szCs w:val="18"/>
    </w:rPr>
  </w:style>
  <w:style w:type="character" w:customStyle="1" w:styleId="NoSpacingChar">
    <w:name w:val="No Spacing Char"/>
    <w:basedOn w:val="DefaultParagraphFont"/>
    <w:link w:val="NoSpacing"/>
    <w:uiPriority w:val="1"/>
    <w:locked/>
    <w:rsid w:val="007A743C"/>
  </w:style>
  <w:style w:type="paragraph" w:customStyle="1" w:styleId="Heading11">
    <w:name w:val="Heading 11"/>
    <w:basedOn w:val="Normal"/>
    <w:next w:val="Normal"/>
    <w:uiPriority w:val="9"/>
    <w:qFormat/>
    <w:rsid w:val="005D728C"/>
    <w:pPr>
      <w:keepNext/>
      <w:keepLines/>
      <w:spacing w:before="360" w:after="80"/>
      <w:outlineLvl w:val="0"/>
    </w:pPr>
    <w:rPr>
      <w:rFonts w:ascii="Aptos Display" w:eastAsia="Yu Gothic Light" w:hAnsi="Aptos Display" w:cs="Times New Roman"/>
      <w:color w:val="2E74B5"/>
      <w:sz w:val="40"/>
      <w:szCs w:val="40"/>
      <w:lang w:val="en-US" w:eastAsia="ja-JP"/>
    </w:rPr>
  </w:style>
  <w:style w:type="paragraph" w:customStyle="1" w:styleId="Heading2-Op21">
    <w:name w:val="Heading 2 - Op21"/>
    <w:basedOn w:val="Normal"/>
    <w:next w:val="Normal"/>
    <w:uiPriority w:val="9"/>
    <w:unhideWhenUsed/>
    <w:qFormat/>
    <w:rsid w:val="005D728C"/>
    <w:pPr>
      <w:keepNext/>
      <w:keepLines/>
      <w:spacing w:before="160" w:after="80"/>
      <w:outlineLvl w:val="1"/>
    </w:pPr>
    <w:rPr>
      <w:rFonts w:ascii="Aptos Display" w:eastAsia="Yu Gothic Light" w:hAnsi="Aptos Display" w:cs="Times New Roman"/>
      <w:color w:val="2E74B5"/>
      <w:sz w:val="32"/>
      <w:szCs w:val="32"/>
    </w:rPr>
  </w:style>
  <w:style w:type="paragraph" w:customStyle="1" w:styleId="Heading31">
    <w:name w:val="Heading 31"/>
    <w:basedOn w:val="Normal"/>
    <w:next w:val="Normal"/>
    <w:unhideWhenUsed/>
    <w:qFormat/>
    <w:rsid w:val="005D728C"/>
    <w:pPr>
      <w:keepNext/>
      <w:keepLines/>
      <w:spacing w:before="160" w:after="80"/>
      <w:outlineLvl w:val="2"/>
    </w:pPr>
    <w:rPr>
      <w:rFonts w:asciiTheme="minorHAnsi" w:eastAsia="Yu Gothic Light" w:hAnsiTheme="minorHAnsi" w:cs="Times New Roman"/>
      <w:color w:val="2E74B5"/>
      <w:sz w:val="28"/>
      <w:szCs w:val="28"/>
    </w:rPr>
  </w:style>
  <w:style w:type="paragraph" w:customStyle="1" w:styleId="Heading41">
    <w:name w:val="Heading 41"/>
    <w:basedOn w:val="Normal"/>
    <w:next w:val="Normal"/>
    <w:uiPriority w:val="9"/>
    <w:unhideWhenUsed/>
    <w:qFormat/>
    <w:rsid w:val="005D728C"/>
    <w:pPr>
      <w:keepNext/>
      <w:keepLines/>
      <w:spacing w:before="80" w:after="40"/>
      <w:outlineLvl w:val="3"/>
    </w:pPr>
    <w:rPr>
      <w:rFonts w:asciiTheme="minorHAnsi" w:eastAsia="Yu Gothic Light" w:hAnsiTheme="minorHAnsi" w:cs="Times New Roman"/>
      <w:i/>
      <w:iCs/>
      <w:color w:val="2E74B5"/>
    </w:rPr>
  </w:style>
  <w:style w:type="paragraph" w:customStyle="1" w:styleId="Heading51">
    <w:name w:val="Heading 51"/>
    <w:basedOn w:val="Normal"/>
    <w:next w:val="Normal"/>
    <w:uiPriority w:val="9"/>
    <w:unhideWhenUsed/>
    <w:qFormat/>
    <w:rsid w:val="005D728C"/>
    <w:pPr>
      <w:keepNext/>
      <w:keepLines/>
      <w:spacing w:before="80" w:after="40"/>
      <w:outlineLvl w:val="4"/>
    </w:pPr>
    <w:rPr>
      <w:rFonts w:asciiTheme="minorHAnsi" w:eastAsia="Yu Gothic Light" w:hAnsiTheme="minorHAnsi" w:cs="Times New Roman"/>
      <w:color w:val="2E74B5"/>
    </w:rPr>
  </w:style>
  <w:style w:type="paragraph" w:customStyle="1" w:styleId="Heading61">
    <w:name w:val="Heading 61"/>
    <w:basedOn w:val="Normal"/>
    <w:next w:val="Normal"/>
    <w:uiPriority w:val="9"/>
    <w:unhideWhenUsed/>
    <w:qFormat/>
    <w:rsid w:val="005D728C"/>
    <w:pPr>
      <w:keepNext/>
      <w:keepLines/>
      <w:spacing w:before="40" w:after="0"/>
      <w:outlineLvl w:val="5"/>
    </w:pPr>
    <w:rPr>
      <w:rFonts w:asciiTheme="minorHAnsi" w:eastAsia="Yu Gothic Light" w:hAnsiTheme="minorHAnsi" w:cs="Times New Roman"/>
      <w:i/>
      <w:iCs/>
      <w:color w:val="595959"/>
    </w:rPr>
  </w:style>
  <w:style w:type="paragraph" w:customStyle="1" w:styleId="Heading71">
    <w:name w:val="Heading 71"/>
    <w:basedOn w:val="Normal"/>
    <w:next w:val="Normal"/>
    <w:uiPriority w:val="9"/>
    <w:semiHidden/>
    <w:unhideWhenUsed/>
    <w:qFormat/>
    <w:rsid w:val="005D728C"/>
    <w:pPr>
      <w:keepNext/>
      <w:keepLines/>
      <w:spacing w:before="40" w:after="0"/>
      <w:outlineLvl w:val="6"/>
    </w:pPr>
    <w:rPr>
      <w:rFonts w:asciiTheme="minorHAnsi" w:eastAsia="Yu Gothic Light" w:hAnsiTheme="minorHAnsi" w:cs="Times New Roman"/>
      <w:color w:val="595959"/>
    </w:rPr>
  </w:style>
  <w:style w:type="paragraph" w:customStyle="1" w:styleId="Heading81">
    <w:name w:val="Heading 81"/>
    <w:basedOn w:val="Normal"/>
    <w:next w:val="Normal"/>
    <w:uiPriority w:val="9"/>
    <w:semiHidden/>
    <w:unhideWhenUsed/>
    <w:qFormat/>
    <w:rsid w:val="005D728C"/>
    <w:pPr>
      <w:keepNext/>
      <w:keepLines/>
      <w:spacing w:after="0"/>
      <w:outlineLvl w:val="7"/>
    </w:pPr>
    <w:rPr>
      <w:rFonts w:asciiTheme="minorHAnsi" w:eastAsia="Yu Gothic Light" w:hAnsiTheme="minorHAnsi" w:cs="Times New Roman"/>
      <w:i/>
      <w:iCs/>
      <w:color w:val="272727"/>
    </w:rPr>
  </w:style>
  <w:style w:type="paragraph" w:customStyle="1" w:styleId="Heading91">
    <w:name w:val="Heading 91"/>
    <w:basedOn w:val="Normal"/>
    <w:next w:val="Normal"/>
    <w:uiPriority w:val="9"/>
    <w:semiHidden/>
    <w:unhideWhenUsed/>
    <w:qFormat/>
    <w:rsid w:val="005D728C"/>
    <w:pPr>
      <w:keepNext/>
      <w:keepLines/>
      <w:spacing w:after="0"/>
      <w:outlineLvl w:val="8"/>
    </w:pPr>
    <w:rPr>
      <w:rFonts w:asciiTheme="minorHAnsi" w:eastAsia="Yu Gothic Light" w:hAnsiTheme="minorHAnsi" w:cs="Times New Roman"/>
      <w:color w:val="272727"/>
    </w:rPr>
  </w:style>
  <w:style w:type="numbering" w:customStyle="1" w:styleId="NoList1">
    <w:name w:val="No List1"/>
    <w:next w:val="NoList"/>
    <w:uiPriority w:val="99"/>
    <w:semiHidden/>
    <w:unhideWhenUsed/>
    <w:rsid w:val="005D728C"/>
  </w:style>
  <w:style w:type="paragraph" w:customStyle="1" w:styleId="Title1">
    <w:name w:val="Title1"/>
    <w:basedOn w:val="Normal"/>
    <w:next w:val="Normal"/>
    <w:uiPriority w:val="10"/>
    <w:qFormat/>
    <w:rsid w:val="005D728C"/>
    <w:pPr>
      <w:spacing w:after="80" w:line="240" w:lineRule="auto"/>
      <w:contextualSpacing/>
    </w:pPr>
    <w:rPr>
      <w:rFonts w:ascii="Aptos Display" w:eastAsia="Yu Gothic Light" w:hAnsi="Aptos Display" w:cs="Times New Roman"/>
      <w:spacing w:val="-10"/>
      <w:kern w:val="28"/>
      <w:sz w:val="56"/>
      <w:szCs w:val="56"/>
    </w:rPr>
  </w:style>
  <w:style w:type="paragraph" w:customStyle="1" w:styleId="Subtitle1">
    <w:name w:val="Subtitle1"/>
    <w:basedOn w:val="Normal"/>
    <w:next w:val="Normal"/>
    <w:uiPriority w:val="11"/>
    <w:qFormat/>
    <w:rsid w:val="005D728C"/>
    <w:pPr>
      <w:numPr>
        <w:ilvl w:val="1"/>
      </w:numPr>
    </w:pPr>
    <w:rPr>
      <w:rFonts w:asciiTheme="minorHAnsi" w:eastAsia="Yu Gothic Light" w:hAnsiTheme="minorHAnsi" w:cs="Times New Roman"/>
      <w:color w:val="595959"/>
      <w:spacing w:val="15"/>
      <w:sz w:val="28"/>
      <w:szCs w:val="28"/>
    </w:rPr>
  </w:style>
  <w:style w:type="paragraph" w:customStyle="1" w:styleId="Quote1">
    <w:name w:val="Quote1"/>
    <w:basedOn w:val="Normal"/>
    <w:next w:val="Normal"/>
    <w:uiPriority w:val="29"/>
    <w:qFormat/>
    <w:rsid w:val="005D728C"/>
    <w:pPr>
      <w:spacing w:before="160"/>
      <w:jc w:val="center"/>
    </w:pPr>
    <w:rPr>
      <w:rFonts w:eastAsia="Yu Gothic Light"/>
      <w:i/>
      <w:iCs/>
      <w:color w:val="404040"/>
    </w:rPr>
  </w:style>
  <w:style w:type="character" w:customStyle="1" w:styleId="IntenseEmphasis1">
    <w:name w:val="Intense Emphasis1"/>
    <w:basedOn w:val="DefaultParagraphFont"/>
    <w:uiPriority w:val="21"/>
    <w:qFormat/>
    <w:rsid w:val="005D728C"/>
    <w:rPr>
      <w:i/>
      <w:iCs/>
      <w:color w:val="2E74B5"/>
    </w:rPr>
  </w:style>
  <w:style w:type="paragraph" w:customStyle="1" w:styleId="IntenseQuote1">
    <w:name w:val="Intense Quote1"/>
    <w:basedOn w:val="Normal"/>
    <w:next w:val="Normal"/>
    <w:uiPriority w:val="30"/>
    <w:qFormat/>
    <w:rsid w:val="005D728C"/>
    <w:pPr>
      <w:pBdr>
        <w:top w:val="single" w:sz="4" w:space="10" w:color="2E74B5"/>
        <w:bottom w:val="single" w:sz="4" w:space="10" w:color="2E74B5"/>
      </w:pBdr>
      <w:spacing w:before="360" w:after="360"/>
      <w:ind w:left="864" w:right="864"/>
      <w:jc w:val="center"/>
    </w:pPr>
    <w:rPr>
      <w:rFonts w:eastAsia="Yu Gothic Light"/>
      <w:i/>
      <w:iCs/>
      <w:color w:val="2E74B5"/>
    </w:rPr>
  </w:style>
  <w:style w:type="character" w:customStyle="1" w:styleId="IntenseReference1">
    <w:name w:val="Intense Reference1"/>
    <w:basedOn w:val="DefaultParagraphFont"/>
    <w:uiPriority w:val="32"/>
    <w:qFormat/>
    <w:rsid w:val="005D728C"/>
    <w:rPr>
      <w:b/>
      <w:bCs/>
      <w:smallCaps/>
      <w:color w:val="2E74B5"/>
      <w:spacing w:val="5"/>
    </w:rPr>
  </w:style>
  <w:style w:type="paragraph" w:customStyle="1" w:styleId="BodyText21">
    <w:name w:val="Body Text 21"/>
    <w:basedOn w:val="Normal"/>
    <w:next w:val="BodyText2"/>
    <w:unhideWhenUsed/>
    <w:rsid w:val="005D728C"/>
    <w:pPr>
      <w:spacing w:before="120" w:after="120" w:line="480" w:lineRule="auto"/>
    </w:pPr>
    <w:rPr>
      <w:rFonts w:eastAsia="Times New Roman"/>
      <w:color w:val="000000"/>
      <w:sz w:val="24"/>
    </w:rPr>
  </w:style>
  <w:style w:type="character" w:customStyle="1" w:styleId="FollowedHyperlink1">
    <w:name w:val="FollowedHyperlink1"/>
    <w:basedOn w:val="DefaultParagraphFont"/>
    <w:uiPriority w:val="99"/>
    <w:semiHidden/>
    <w:unhideWhenUsed/>
    <w:rsid w:val="005D728C"/>
    <w:rPr>
      <w:color w:val="954F72"/>
      <w:u w:val="single"/>
    </w:rPr>
  </w:style>
  <w:style w:type="character" w:customStyle="1" w:styleId="Heading1Char1">
    <w:name w:val="Heading 1 Char1"/>
    <w:basedOn w:val="DefaultParagraphFont"/>
    <w:uiPriority w:val="9"/>
    <w:rsid w:val="005D728C"/>
    <w:rPr>
      <w:rFonts w:asciiTheme="majorHAnsi" w:eastAsiaTheme="majorEastAsia" w:hAnsiTheme="majorHAnsi" w:cstheme="majorBidi"/>
      <w:color w:val="2E74B5" w:themeColor="accent1" w:themeShade="BF"/>
      <w:sz w:val="32"/>
      <w:szCs w:val="32"/>
    </w:rPr>
  </w:style>
  <w:style w:type="table" w:customStyle="1" w:styleId="TableGridLight1">
    <w:name w:val="Table Grid Light1"/>
    <w:basedOn w:val="TableNormal"/>
    <w:next w:val="TableGridLight"/>
    <w:uiPriority w:val="40"/>
    <w:rsid w:val="005D728C"/>
    <w:pPr>
      <w:spacing w:after="0" w:line="240" w:lineRule="auto"/>
    </w:pPr>
    <w:rPr>
      <w:rFonts w:eastAsia="Aptos"/>
    </w:rPr>
    <w:tblPr/>
  </w:style>
  <w:style w:type="table" w:customStyle="1" w:styleId="GridTable5Dark-Accent41">
    <w:name w:val="Grid Table 5 Dark - Accent 41"/>
    <w:basedOn w:val="TableNormal"/>
    <w:next w:val="GridTable5Dark-Accent4"/>
    <w:uiPriority w:val="50"/>
    <w:rsid w:val="005D728C"/>
    <w:pPr>
      <w:spacing w:after="0" w:line="240" w:lineRule="auto"/>
    </w:pPr>
    <w:rPr>
      <w:rFonts w:asciiTheme="minorHAnsi" w:eastAsia="Aptos" w:hAnsiTheme="minorHAnsi" w:cstheme="minorBidi"/>
      <w:kern w:val="0"/>
      <w14:ligatures w14:val="none"/>
    </w:rPr>
    <w:tblPr>
      <w:tblStyleColBandSize w:val="1"/>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paragraph" w:customStyle="1" w:styleId="TOC41">
    <w:name w:val="TOC 41"/>
    <w:basedOn w:val="Normal"/>
    <w:next w:val="Normal"/>
    <w:autoRedefine/>
    <w:uiPriority w:val="39"/>
    <w:unhideWhenUsed/>
    <w:rsid w:val="005D728C"/>
    <w:pPr>
      <w:spacing w:after="100" w:line="278" w:lineRule="auto"/>
      <w:ind w:left="720"/>
    </w:pPr>
    <w:rPr>
      <w:rFonts w:asciiTheme="minorHAnsi" w:eastAsiaTheme="minorEastAsia" w:hAnsiTheme="minorHAnsi" w:cstheme="minorBidi"/>
    </w:rPr>
  </w:style>
  <w:style w:type="paragraph" w:customStyle="1" w:styleId="TOC51">
    <w:name w:val="TOC 51"/>
    <w:basedOn w:val="Normal"/>
    <w:next w:val="Normal"/>
    <w:autoRedefine/>
    <w:uiPriority w:val="39"/>
    <w:unhideWhenUsed/>
    <w:rsid w:val="005D728C"/>
    <w:pPr>
      <w:spacing w:after="100" w:line="278" w:lineRule="auto"/>
      <w:ind w:left="960"/>
    </w:pPr>
    <w:rPr>
      <w:rFonts w:asciiTheme="minorHAnsi" w:eastAsiaTheme="minorEastAsia" w:hAnsiTheme="minorHAnsi" w:cstheme="minorBidi"/>
    </w:rPr>
  </w:style>
  <w:style w:type="paragraph" w:customStyle="1" w:styleId="TOC61">
    <w:name w:val="TOC 61"/>
    <w:basedOn w:val="Normal"/>
    <w:next w:val="Normal"/>
    <w:autoRedefine/>
    <w:uiPriority w:val="39"/>
    <w:unhideWhenUsed/>
    <w:rsid w:val="005D728C"/>
    <w:pPr>
      <w:spacing w:after="100" w:line="278" w:lineRule="auto"/>
      <w:ind w:left="1200"/>
    </w:pPr>
    <w:rPr>
      <w:rFonts w:asciiTheme="minorHAnsi" w:eastAsiaTheme="minorEastAsia" w:hAnsiTheme="minorHAnsi" w:cstheme="minorBidi"/>
    </w:rPr>
  </w:style>
  <w:style w:type="paragraph" w:customStyle="1" w:styleId="TOC71">
    <w:name w:val="TOC 71"/>
    <w:basedOn w:val="Normal"/>
    <w:next w:val="Normal"/>
    <w:autoRedefine/>
    <w:uiPriority w:val="39"/>
    <w:unhideWhenUsed/>
    <w:rsid w:val="005D728C"/>
    <w:pPr>
      <w:spacing w:after="100" w:line="278" w:lineRule="auto"/>
      <w:ind w:left="1440"/>
    </w:pPr>
    <w:rPr>
      <w:rFonts w:asciiTheme="minorHAnsi" w:eastAsiaTheme="minorEastAsia" w:hAnsiTheme="minorHAnsi" w:cstheme="minorBidi"/>
    </w:rPr>
  </w:style>
  <w:style w:type="paragraph" w:customStyle="1" w:styleId="TOC81">
    <w:name w:val="TOC 81"/>
    <w:basedOn w:val="Normal"/>
    <w:next w:val="Normal"/>
    <w:autoRedefine/>
    <w:uiPriority w:val="39"/>
    <w:unhideWhenUsed/>
    <w:rsid w:val="005D728C"/>
    <w:pPr>
      <w:spacing w:after="100" w:line="278" w:lineRule="auto"/>
      <w:ind w:left="1680"/>
    </w:pPr>
    <w:rPr>
      <w:rFonts w:asciiTheme="minorHAnsi" w:eastAsiaTheme="minorEastAsia" w:hAnsiTheme="minorHAnsi" w:cstheme="minorBidi"/>
    </w:rPr>
  </w:style>
  <w:style w:type="paragraph" w:customStyle="1" w:styleId="TOC91">
    <w:name w:val="TOC 91"/>
    <w:basedOn w:val="Normal"/>
    <w:next w:val="Normal"/>
    <w:autoRedefine/>
    <w:uiPriority w:val="39"/>
    <w:unhideWhenUsed/>
    <w:rsid w:val="005D728C"/>
    <w:pPr>
      <w:spacing w:after="100" w:line="278" w:lineRule="auto"/>
      <w:ind w:left="1920"/>
    </w:pPr>
    <w:rPr>
      <w:rFonts w:asciiTheme="minorHAnsi" w:eastAsiaTheme="minorEastAsia" w:hAnsiTheme="minorHAnsi" w:cstheme="minorBidi"/>
    </w:rPr>
  </w:style>
  <w:style w:type="table" w:customStyle="1" w:styleId="GridTable4-Accent11">
    <w:name w:val="Grid Table 4 - Accent 11"/>
    <w:basedOn w:val="TableNormal"/>
    <w:next w:val="GridTable4-Accent1"/>
    <w:uiPriority w:val="49"/>
    <w:rsid w:val="005D728C"/>
    <w:pPr>
      <w:spacing w:after="0" w:line="240" w:lineRule="auto"/>
    </w:pPr>
    <w:rPr>
      <w:rFonts w:eastAsia="Aptos"/>
    </w:rPr>
    <w:tblPr/>
    <w:tblStylePr w:type="firstRow">
      <w:rPr>
        <w:b/>
        <w:bCs/>
        <w:color w:val="FFFFFF"/>
      </w:rPr>
    </w:tblStylePr>
    <w:tblStylePr w:type="lastRow">
      <w:rPr>
        <w:b/>
        <w:bCs/>
      </w:r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5D728C"/>
    <w:pPr>
      <w:spacing w:after="0" w:line="240" w:lineRule="auto"/>
    </w:pPr>
    <w:rPr>
      <w:rFonts w:ascii="Aptos" w:eastAsia="Aptos" w:hAnsi="Aptos" w:cs="Arial"/>
      <w:sz w:val="22"/>
      <w:szCs w:val="22"/>
    </w:rPr>
    <w:tblPr/>
  </w:style>
  <w:style w:type="paragraph" w:customStyle="1" w:styleId="StylePlainTextBefore6ptAfter6pt3">
    <w:name w:val="Style Plain Text + Before:  6 pt After:  6 pt3"/>
    <w:link w:val="StylePlainTextBefore6ptAfter6pt3Char"/>
    <w:rsid w:val="005D728C"/>
    <w:pPr>
      <w:tabs>
        <w:tab w:val="num" w:pos="360"/>
      </w:tabs>
      <w:spacing w:before="120" w:after="120" w:line="240" w:lineRule="auto"/>
      <w:ind w:left="360" w:hanging="360"/>
    </w:pPr>
    <w:rPr>
      <w:rFonts w:eastAsia="MS Mincho" w:cs="Courier"/>
      <w:noProof/>
      <w:kern w:val="0"/>
      <w14:ligatures w14:val="none"/>
    </w:rPr>
  </w:style>
  <w:style w:type="character" w:customStyle="1" w:styleId="StylePlainTextBefore6ptAfter6pt3Char">
    <w:name w:val="Style Plain Text + Before:  6 pt After:  6 pt3 Char"/>
    <w:link w:val="StylePlainTextBefore6ptAfter6pt3"/>
    <w:rsid w:val="005D728C"/>
    <w:rPr>
      <w:rFonts w:eastAsia="MS Mincho" w:cs="Courier"/>
      <w:noProof/>
      <w:kern w:val="0"/>
      <w14:ligatures w14:val="none"/>
    </w:rPr>
  </w:style>
  <w:style w:type="table" w:customStyle="1" w:styleId="GridTable5Dark-Accent11">
    <w:name w:val="Grid Table 5 Dark - Accent 11"/>
    <w:basedOn w:val="TableNormal"/>
    <w:next w:val="GridTable5Dark-Accent1"/>
    <w:uiPriority w:val="50"/>
    <w:rsid w:val="005D728C"/>
    <w:pPr>
      <w:spacing w:after="0" w:line="240" w:lineRule="auto"/>
    </w:pPr>
    <w:rPr>
      <w:rFonts w:asciiTheme="minorHAnsi" w:eastAsia="Aptos" w:hAnsiTheme="minorHAnsi" w:cstheme="minorBidi"/>
      <w:sz w:val="22"/>
      <w:szCs w:val="22"/>
    </w:rPr>
    <w:tblPr>
      <w:tblStyleColBandSize w:val="1"/>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character" w:customStyle="1" w:styleId="Heading2Char1">
    <w:name w:val="Heading 2 Char1"/>
    <w:basedOn w:val="DefaultParagraphFont"/>
    <w:uiPriority w:val="9"/>
    <w:semiHidden/>
    <w:rsid w:val="005D728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4Char1">
    <w:name w:val="Heading 4 Char1"/>
    <w:basedOn w:val="DefaultParagraphFont"/>
    <w:uiPriority w:val="9"/>
    <w:semiHidden/>
    <w:rsid w:val="005D728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D728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D728C"/>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D728C"/>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D728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D728C"/>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5D728C"/>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5D728C"/>
    <w:rPr>
      <w:color w:val="5A5A5A" w:themeColor="text1" w:themeTint="A5"/>
      <w:spacing w:val="15"/>
      <w:sz w:val="22"/>
      <w:szCs w:val="22"/>
    </w:rPr>
  </w:style>
  <w:style w:type="character" w:customStyle="1" w:styleId="QuoteChar1">
    <w:name w:val="Quote Char1"/>
    <w:basedOn w:val="DefaultParagraphFont"/>
    <w:uiPriority w:val="29"/>
    <w:rsid w:val="005D728C"/>
    <w:rPr>
      <w:i/>
      <w:iCs/>
      <w:color w:val="404040" w:themeColor="text1" w:themeTint="BF"/>
    </w:rPr>
  </w:style>
  <w:style w:type="character" w:customStyle="1" w:styleId="IntenseQuoteChar1">
    <w:name w:val="Intense Quote Char1"/>
    <w:basedOn w:val="DefaultParagraphFont"/>
    <w:uiPriority w:val="30"/>
    <w:rsid w:val="005D728C"/>
    <w:rPr>
      <w:i/>
      <w:iCs/>
      <w:color w:val="5B9BD5" w:themeColor="accent1"/>
    </w:rPr>
  </w:style>
  <w:style w:type="character" w:customStyle="1" w:styleId="BodyText2Char1">
    <w:name w:val="Body Text 2 Char1"/>
    <w:basedOn w:val="DefaultParagraphFont"/>
    <w:uiPriority w:val="99"/>
    <w:semiHidden/>
    <w:rsid w:val="005D728C"/>
  </w:style>
  <w:style w:type="table" w:styleId="GridTable5Dark-Accent1">
    <w:name w:val="Grid Table 5 Dark Accent 1"/>
    <w:basedOn w:val="TableNormal"/>
    <w:uiPriority w:val="50"/>
    <w:rsid w:val="005D728C"/>
    <w:pPr>
      <w:spacing w:after="0" w:line="240" w:lineRule="auto"/>
    </w:pPr>
    <w:rPr>
      <w:rFonts w:asciiTheme="minorHAnsi" w:eastAsiaTheme="minorEastAsia" w:hAnsiTheme="minorHAnsi" w:cstheme="minorBidi"/>
      <w:kern w:val="0"/>
      <w:lang w:val="en-US" w:eastAsia="ja-JP"/>
      <w14:ligatures w14:val="none"/>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customStyle="1" w:styleId="PartL3">
    <w:name w:val="Part L3"/>
    <w:basedOn w:val="Normal"/>
    <w:next w:val="Normal"/>
    <w:uiPriority w:val="3"/>
    <w:qFormat/>
    <w:rsid w:val="00370263"/>
    <w:pPr>
      <w:spacing w:before="200" w:after="120" w:line="240" w:lineRule="auto"/>
    </w:pPr>
    <w:rPr>
      <w:rFonts w:asciiTheme="minorHAnsi" w:eastAsia="Times New Roman" w:hAnsiTheme="minorHAnsi" w:cs="Angsana New"/>
      <w:szCs w:val="22"/>
      <w:lang w:eastAsia="zh-CN" w:bidi="th-TH"/>
    </w:rPr>
  </w:style>
  <w:style w:type="character" w:customStyle="1" w:styleId="scxw45893679">
    <w:name w:val="scxw45893679"/>
    <w:basedOn w:val="DefaultParagraphFont"/>
    <w:rsid w:val="00976FFC"/>
  </w:style>
  <w:style w:type="paragraph" w:styleId="ListBullet2">
    <w:name w:val="List Bullet 2"/>
    <w:basedOn w:val="Normal"/>
    <w:uiPriority w:val="99"/>
    <w:semiHidden/>
    <w:unhideWhenUsed/>
    <w:rsid w:val="00801C38"/>
    <w:pPr>
      <w:numPr>
        <w:numId w:val="453"/>
      </w:numPr>
      <w:contextualSpacing/>
    </w:pPr>
  </w:style>
  <w:style w:type="character" w:customStyle="1" w:styleId="cf11">
    <w:name w:val="cf11"/>
    <w:basedOn w:val="DefaultParagraphFont"/>
    <w:rsid w:val="008472E3"/>
    <w:rPr>
      <w:rFonts w:ascii="Segoe UI" w:hAnsi="Segoe UI" w:cs="Segoe UI" w:hint="default"/>
      <w:i/>
      <w:iCs/>
      <w:sz w:val="18"/>
      <w:szCs w:val="18"/>
    </w:rPr>
  </w:style>
  <w:style w:type="paragraph" w:styleId="EndnoteText">
    <w:name w:val="endnote text"/>
    <w:basedOn w:val="Normal"/>
    <w:link w:val="EndnoteTextChar"/>
    <w:uiPriority w:val="99"/>
    <w:semiHidden/>
    <w:unhideWhenUsed/>
    <w:rsid w:val="00C63A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3AE1"/>
    <w:rPr>
      <w:rFonts w:ascii="Arial" w:eastAsiaTheme="majorEastAsia" w:hAnsi="Arial" w:cs="Arial"/>
      <w:kern w:val="0"/>
      <w:sz w:val="20"/>
      <w:szCs w:val="20"/>
      <w:lang w:val="en-GB" w:eastAsia="en-AU"/>
      <w14:ligatures w14:val="none"/>
    </w:rPr>
  </w:style>
  <w:style w:type="character" w:styleId="EndnoteReference">
    <w:name w:val="endnote reference"/>
    <w:basedOn w:val="DefaultParagraphFont"/>
    <w:uiPriority w:val="99"/>
    <w:semiHidden/>
    <w:unhideWhenUsed/>
    <w:rsid w:val="00C63AE1"/>
    <w:rPr>
      <w:vertAlign w:val="superscript"/>
    </w:rPr>
  </w:style>
  <w:style w:type="character" w:customStyle="1" w:styleId="TPslevel1Char">
    <w:name w:val="TPs level 1 Char"/>
    <w:basedOn w:val="DefaultParagraphFont"/>
    <w:link w:val="TPslevel1"/>
    <w:locked/>
    <w:rsid w:val="000C623E"/>
  </w:style>
  <w:style w:type="paragraph" w:customStyle="1" w:styleId="TPslevel1">
    <w:name w:val="TPs level 1"/>
    <w:basedOn w:val="ListParagraph"/>
    <w:link w:val="TPslevel1Char"/>
    <w:qFormat/>
    <w:rsid w:val="00DE1C36"/>
    <w:pPr>
      <w:numPr>
        <w:numId w:val="586"/>
      </w:numPr>
      <w:spacing w:line="256" w:lineRule="auto"/>
      <w:contextualSpacing w:val="0"/>
    </w:pPr>
    <w:rPr>
      <w:rFonts w:ascii="Times New Roman" w:eastAsiaTheme="minorHAnsi" w:hAnsi="Times New Roman" w:cs="Times New Roman"/>
      <w:kern w:val="2"/>
      <w:sz w:val="24"/>
      <w:lang w:eastAsia="en-US"/>
      <w14:ligatures w14:val="standardContextual"/>
    </w:rPr>
  </w:style>
  <w:style w:type="paragraph" w:customStyle="1" w:styleId="TPslevel2">
    <w:name w:val="TPs level 2"/>
    <w:basedOn w:val="TPslevel1"/>
    <w:qFormat/>
    <w:rsid w:val="00DE1C36"/>
    <w:pPr>
      <w:numPr>
        <w:ilvl w:val="1"/>
      </w:numPr>
      <w:tabs>
        <w:tab w:val="num" w:pos="360"/>
      </w:tabs>
    </w:pPr>
  </w:style>
  <w:style w:type="table" w:styleId="GridTable1Light">
    <w:name w:val="Grid Table 1 Light"/>
    <w:basedOn w:val="TableNormal"/>
    <w:uiPriority w:val="46"/>
    <w:rsid w:val="00B401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971">
      <w:bodyDiv w:val="1"/>
      <w:marLeft w:val="0"/>
      <w:marRight w:val="0"/>
      <w:marTop w:val="0"/>
      <w:marBottom w:val="0"/>
      <w:divBdr>
        <w:top w:val="none" w:sz="0" w:space="0" w:color="auto"/>
        <w:left w:val="none" w:sz="0" w:space="0" w:color="auto"/>
        <w:bottom w:val="none" w:sz="0" w:space="0" w:color="auto"/>
        <w:right w:val="none" w:sz="0" w:space="0" w:color="auto"/>
      </w:divBdr>
    </w:div>
    <w:div w:id="37171148">
      <w:bodyDiv w:val="1"/>
      <w:marLeft w:val="0"/>
      <w:marRight w:val="0"/>
      <w:marTop w:val="0"/>
      <w:marBottom w:val="0"/>
      <w:divBdr>
        <w:top w:val="none" w:sz="0" w:space="0" w:color="auto"/>
        <w:left w:val="none" w:sz="0" w:space="0" w:color="auto"/>
        <w:bottom w:val="none" w:sz="0" w:space="0" w:color="auto"/>
        <w:right w:val="none" w:sz="0" w:space="0" w:color="auto"/>
      </w:divBdr>
    </w:div>
    <w:div w:id="75250874">
      <w:bodyDiv w:val="1"/>
      <w:marLeft w:val="0"/>
      <w:marRight w:val="0"/>
      <w:marTop w:val="0"/>
      <w:marBottom w:val="0"/>
      <w:divBdr>
        <w:top w:val="none" w:sz="0" w:space="0" w:color="auto"/>
        <w:left w:val="none" w:sz="0" w:space="0" w:color="auto"/>
        <w:bottom w:val="none" w:sz="0" w:space="0" w:color="auto"/>
        <w:right w:val="none" w:sz="0" w:space="0" w:color="auto"/>
      </w:divBdr>
    </w:div>
    <w:div w:id="85001183">
      <w:bodyDiv w:val="1"/>
      <w:marLeft w:val="0"/>
      <w:marRight w:val="0"/>
      <w:marTop w:val="0"/>
      <w:marBottom w:val="0"/>
      <w:divBdr>
        <w:top w:val="none" w:sz="0" w:space="0" w:color="auto"/>
        <w:left w:val="none" w:sz="0" w:space="0" w:color="auto"/>
        <w:bottom w:val="none" w:sz="0" w:space="0" w:color="auto"/>
        <w:right w:val="none" w:sz="0" w:space="0" w:color="auto"/>
      </w:divBdr>
    </w:div>
    <w:div w:id="103422130">
      <w:bodyDiv w:val="1"/>
      <w:marLeft w:val="0"/>
      <w:marRight w:val="0"/>
      <w:marTop w:val="0"/>
      <w:marBottom w:val="0"/>
      <w:divBdr>
        <w:top w:val="none" w:sz="0" w:space="0" w:color="auto"/>
        <w:left w:val="none" w:sz="0" w:space="0" w:color="auto"/>
        <w:bottom w:val="none" w:sz="0" w:space="0" w:color="auto"/>
        <w:right w:val="none" w:sz="0" w:space="0" w:color="auto"/>
      </w:divBdr>
      <w:divsChild>
        <w:div w:id="777872356">
          <w:marLeft w:val="0"/>
          <w:marRight w:val="0"/>
          <w:marTop w:val="0"/>
          <w:marBottom w:val="0"/>
          <w:divBdr>
            <w:top w:val="none" w:sz="0" w:space="0" w:color="auto"/>
            <w:left w:val="none" w:sz="0" w:space="0" w:color="auto"/>
            <w:bottom w:val="none" w:sz="0" w:space="0" w:color="auto"/>
            <w:right w:val="none" w:sz="0" w:space="0" w:color="auto"/>
          </w:divBdr>
        </w:div>
        <w:div w:id="1437939913">
          <w:marLeft w:val="0"/>
          <w:marRight w:val="0"/>
          <w:marTop w:val="0"/>
          <w:marBottom w:val="0"/>
          <w:divBdr>
            <w:top w:val="none" w:sz="0" w:space="0" w:color="auto"/>
            <w:left w:val="none" w:sz="0" w:space="0" w:color="auto"/>
            <w:bottom w:val="none" w:sz="0" w:space="0" w:color="auto"/>
            <w:right w:val="none" w:sz="0" w:space="0" w:color="auto"/>
          </w:divBdr>
        </w:div>
      </w:divsChild>
    </w:div>
    <w:div w:id="103774309">
      <w:bodyDiv w:val="1"/>
      <w:marLeft w:val="0"/>
      <w:marRight w:val="0"/>
      <w:marTop w:val="0"/>
      <w:marBottom w:val="0"/>
      <w:divBdr>
        <w:top w:val="none" w:sz="0" w:space="0" w:color="auto"/>
        <w:left w:val="none" w:sz="0" w:space="0" w:color="auto"/>
        <w:bottom w:val="none" w:sz="0" w:space="0" w:color="auto"/>
        <w:right w:val="none" w:sz="0" w:space="0" w:color="auto"/>
      </w:divBdr>
      <w:divsChild>
        <w:div w:id="1611473696">
          <w:marLeft w:val="0"/>
          <w:marRight w:val="0"/>
          <w:marTop w:val="0"/>
          <w:marBottom w:val="0"/>
          <w:divBdr>
            <w:top w:val="none" w:sz="0" w:space="0" w:color="auto"/>
            <w:left w:val="none" w:sz="0" w:space="0" w:color="auto"/>
            <w:bottom w:val="none" w:sz="0" w:space="0" w:color="auto"/>
            <w:right w:val="none" w:sz="0" w:space="0" w:color="auto"/>
          </w:divBdr>
        </w:div>
        <w:div w:id="1867055220">
          <w:marLeft w:val="0"/>
          <w:marRight w:val="0"/>
          <w:marTop w:val="0"/>
          <w:marBottom w:val="0"/>
          <w:divBdr>
            <w:top w:val="none" w:sz="0" w:space="0" w:color="auto"/>
            <w:left w:val="none" w:sz="0" w:space="0" w:color="auto"/>
            <w:bottom w:val="none" w:sz="0" w:space="0" w:color="auto"/>
            <w:right w:val="none" w:sz="0" w:space="0" w:color="auto"/>
          </w:divBdr>
        </w:div>
      </w:divsChild>
    </w:div>
    <w:div w:id="136650598">
      <w:bodyDiv w:val="1"/>
      <w:marLeft w:val="0"/>
      <w:marRight w:val="0"/>
      <w:marTop w:val="0"/>
      <w:marBottom w:val="0"/>
      <w:divBdr>
        <w:top w:val="none" w:sz="0" w:space="0" w:color="auto"/>
        <w:left w:val="none" w:sz="0" w:space="0" w:color="auto"/>
        <w:bottom w:val="none" w:sz="0" w:space="0" w:color="auto"/>
        <w:right w:val="none" w:sz="0" w:space="0" w:color="auto"/>
      </w:divBdr>
      <w:divsChild>
        <w:div w:id="167058040">
          <w:marLeft w:val="0"/>
          <w:marRight w:val="0"/>
          <w:marTop w:val="0"/>
          <w:marBottom w:val="0"/>
          <w:divBdr>
            <w:top w:val="none" w:sz="0" w:space="0" w:color="auto"/>
            <w:left w:val="none" w:sz="0" w:space="0" w:color="auto"/>
            <w:bottom w:val="none" w:sz="0" w:space="0" w:color="auto"/>
            <w:right w:val="none" w:sz="0" w:space="0" w:color="auto"/>
          </w:divBdr>
          <w:divsChild>
            <w:div w:id="1590312931">
              <w:marLeft w:val="0"/>
              <w:marRight w:val="0"/>
              <w:marTop w:val="0"/>
              <w:marBottom w:val="0"/>
              <w:divBdr>
                <w:top w:val="none" w:sz="0" w:space="0" w:color="auto"/>
                <w:left w:val="none" w:sz="0" w:space="0" w:color="auto"/>
                <w:bottom w:val="none" w:sz="0" w:space="0" w:color="auto"/>
                <w:right w:val="none" w:sz="0" w:space="0" w:color="auto"/>
              </w:divBdr>
            </w:div>
          </w:divsChild>
        </w:div>
        <w:div w:id="242643972">
          <w:marLeft w:val="0"/>
          <w:marRight w:val="0"/>
          <w:marTop w:val="0"/>
          <w:marBottom w:val="0"/>
          <w:divBdr>
            <w:top w:val="none" w:sz="0" w:space="0" w:color="auto"/>
            <w:left w:val="none" w:sz="0" w:space="0" w:color="auto"/>
            <w:bottom w:val="none" w:sz="0" w:space="0" w:color="auto"/>
            <w:right w:val="none" w:sz="0" w:space="0" w:color="auto"/>
          </w:divBdr>
          <w:divsChild>
            <w:div w:id="1548644337">
              <w:marLeft w:val="0"/>
              <w:marRight w:val="0"/>
              <w:marTop w:val="0"/>
              <w:marBottom w:val="0"/>
              <w:divBdr>
                <w:top w:val="none" w:sz="0" w:space="0" w:color="auto"/>
                <w:left w:val="none" w:sz="0" w:space="0" w:color="auto"/>
                <w:bottom w:val="none" w:sz="0" w:space="0" w:color="auto"/>
                <w:right w:val="none" w:sz="0" w:space="0" w:color="auto"/>
              </w:divBdr>
            </w:div>
          </w:divsChild>
        </w:div>
        <w:div w:id="250966618">
          <w:marLeft w:val="0"/>
          <w:marRight w:val="0"/>
          <w:marTop w:val="0"/>
          <w:marBottom w:val="0"/>
          <w:divBdr>
            <w:top w:val="none" w:sz="0" w:space="0" w:color="auto"/>
            <w:left w:val="none" w:sz="0" w:space="0" w:color="auto"/>
            <w:bottom w:val="none" w:sz="0" w:space="0" w:color="auto"/>
            <w:right w:val="none" w:sz="0" w:space="0" w:color="auto"/>
          </w:divBdr>
          <w:divsChild>
            <w:div w:id="1650550384">
              <w:marLeft w:val="0"/>
              <w:marRight w:val="0"/>
              <w:marTop w:val="0"/>
              <w:marBottom w:val="0"/>
              <w:divBdr>
                <w:top w:val="none" w:sz="0" w:space="0" w:color="auto"/>
                <w:left w:val="none" w:sz="0" w:space="0" w:color="auto"/>
                <w:bottom w:val="none" w:sz="0" w:space="0" w:color="auto"/>
                <w:right w:val="none" w:sz="0" w:space="0" w:color="auto"/>
              </w:divBdr>
            </w:div>
            <w:div w:id="1748960796">
              <w:marLeft w:val="0"/>
              <w:marRight w:val="0"/>
              <w:marTop w:val="0"/>
              <w:marBottom w:val="0"/>
              <w:divBdr>
                <w:top w:val="none" w:sz="0" w:space="0" w:color="auto"/>
                <w:left w:val="none" w:sz="0" w:space="0" w:color="auto"/>
                <w:bottom w:val="none" w:sz="0" w:space="0" w:color="auto"/>
                <w:right w:val="none" w:sz="0" w:space="0" w:color="auto"/>
              </w:divBdr>
            </w:div>
          </w:divsChild>
        </w:div>
        <w:div w:id="332538739">
          <w:marLeft w:val="0"/>
          <w:marRight w:val="0"/>
          <w:marTop w:val="0"/>
          <w:marBottom w:val="0"/>
          <w:divBdr>
            <w:top w:val="none" w:sz="0" w:space="0" w:color="auto"/>
            <w:left w:val="none" w:sz="0" w:space="0" w:color="auto"/>
            <w:bottom w:val="none" w:sz="0" w:space="0" w:color="auto"/>
            <w:right w:val="none" w:sz="0" w:space="0" w:color="auto"/>
          </w:divBdr>
          <w:divsChild>
            <w:div w:id="1773085712">
              <w:marLeft w:val="0"/>
              <w:marRight w:val="0"/>
              <w:marTop w:val="0"/>
              <w:marBottom w:val="0"/>
              <w:divBdr>
                <w:top w:val="none" w:sz="0" w:space="0" w:color="auto"/>
                <w:left w:val="none" w:sz="0" w:space="0" w:color="auto"/>
                <w:bottom w:val="none" w:sz="0" w:space="0" w:color="auto"/>
                <w:right w:val="none" w:sz="0" w:space="0" w:color="auto"/>
              </w:divBdr>
            </w:div>
          </w:divsChild>
        </w:div>
        <w:div w:id="352076287">
          <w:marLeft w:val="0"/>
          <w:marRight w:val="0"/>
          <w:marTop w:val="0"/>
          <w:marBottom w:val="0"/>
          <w:divBdr>
            <w:top w:val="none" w:sz="0" w:space="0" w:color="auto"/>
            <w:left w:val="none" w:sz="0" w:space="0" w:color="auto"/>
            <w:bottom w:val="none" w:sz="0" w:space="0" w:color="auto"/>
            <w:right w:val="none" w:sz="0" w:space="0" w:color="auto"/>
          </w:divBdr>
          <w:divsChild>
            <w:div w:id="593170430">
              <w:marLeft w:val="0"/>
              <w:marRight w:val="0"/>
              <w:marTop w:val="0"/>
              <w:marBottom w:val="0"/>
              <w:divBdr>
                <w:top w:val="none" w:sz="0" w:space="0" w:color="auto"/>
                <w:left w:val="none" w:sz="0" w:space="0" w:color="auto"/>
                <w:bottom w:val="none" w:sz="0" w:space="0" w:color="auto"/>
                <w:right w:val="none" w:sz="0" w:space="0" w:color="auto"/>
              </w:divBdr>
            </w:div>
            <w:div w:id="791097241">
              <w:marLeft w:val="0"/>
              <w:marRight w:val="0"/>
              <w:marTop w:val="0"/>
              <w:marBottom w:val="0"/>
              <w:divBdr>
                <w:top w:val="none" w:sz="0" w:space="0" w:color="auto"/>
                <w:left w:val="none" w:sz="0" w:space="0" w:color="auto"/>
                <w:bottom w:val="none" w:sz="0" w:space="0" w:color="auto"/>
                <w:right w:val="none" w:sz="0" w:space="0" w:color="auto"/>
              </w:divBdr>
            </w:div>
            <w:div w:id="1815103485">
              <w:marLeft w:val="0"/>
              <w:marRight w:val="0"/>
              <w:marTop w:val="0"/>
              <w:marBottom w:val="0"/>
              <w:divBdr>
                <w:top w:val="none" w:sz="0" w:space="0" w:color="auto"/>
                <w:left w:val="none" w:sz="0" w:space="0" w:color="auto"/>
                <w:bottom w:val="none" w:sz="0" w:space="0" w:color="auto"/>
                <w:right w:val="none" w:sz="0" w:space="0" w:color="auto"/>
              </w:divBdr>
            </w:div>
          </w:divsChild>
        </w:div>
        <w:div w:id="385380065">
          <w:marLeft w:val="0"/>
          <w:marRight w:val="0"/>
          <w:marTop w:val="0"/>
          <w:marBottom w:val="0"/>
          <w:divBdr>
            <w:top w:val="none" w:sz="0" w:space="0" w:color="auto"/>
            <w:left w:val="none" w:sz="0" w:space="0" w:color="auto"/>
            <w:bottom w:val="none" w:sz="0" w:space="0" w:color="auto"/>
            <w:right w:val="none" w:sz="0" w:space="0" w:color="auto"/>
          </w:divBdr>
          <w:divsChild>
            <w:div w:id="136185863">
              <w:marLeft w:val="0"/>
              <w:marRight w:val="0"/>
              <w:marTop w:val="0"/>
              <w:marBottom w:val="0"/>
              <w:divBdr>
                <w:top w:val="none" w:sz="0" w:space="0" w:color="auto"/>
                <w:left w:val="none" w:sz="0" w:space="0" w:color="auto"/>
                <w:bottom w:val="none" w:sz="0" w:space="0" w:color="auto"/>
                <w:right w:val="none" w:sz="0" w:space="0" w:color="auto"/>
              </w:divBdr>
            </w:div>
            <w:div w:id="220599918">
              <w:marLeft w:val="0"/>
              <w:marRight w:val="0"/>
              <w:marTop w:val="0"/>
              <w:marBottom w:val="0"/>
              <w:divBdr>
                <w:top w:val="none" w:sz="0" w:space="0" w:color="auto"/>
                <w:left w:val="none" w:sz="0" w:space="0" w:color="auto"/>
                <w:bottom w:val="none" w:sz="0" w:space="0" w:color="auto"/>
                <w:right w:val="none" w:sz="0" w:space="0" w:color="auto"/>
              </w:divBdr>
            </w:div>
            <w:div w:id="249317942">
              <w:marLeft w:val="0"/>
              <w:marRight w:val="0"/>
              <w:marTop w:val="0"/>
              <w:marBottom w:val="0"/>
              <w:divBdr>
                <w:top w:val="none" w:sz="0" w:space="0" w:color="auto"/>
                <w:left w:val="none" w:sz="0" w:space="0" w:color="auto"/>
                <w:bottom w:val="none" w:sz="0" w:space="0" w:color="auto"/>
                <w:right w:val="none" w:sz="0" w:space="0" w:color="auto"/>
              </w:divBdr>
            </w:div>
            <w:div w:id="2068528162">
              <w:marLeft w:val="0"/>
              <w:marRight w:val="0"/>
              <w:marTop w:val="0"/>
              <w:marBottom w:val="0"/>
              <w:divBdr>
                <w:top w:val="none" w:sz="0" w:space="0" w:color="auto"/>
                <w:left w:val="none" w:sz="0" w:space="0" w:color="auto"/>
                <w:bottom w:val="none" w:sz="0" w:space="0" w:color="auto"/>
                <w:right w:val="none" w:sz="0" w:space="0" w:color="auto"/>
              </w:divBdr>
            </w:div>
          </w:divsChild>
        </w:div>
        <w:div w:id="465397416">
          <w:marLeft w:val="0"/>
          <w:marRight w:val="0"/>
          <w:marTop w:val="0"/>
          <w:marBottom w:val="0"/>
          <w:divBdr>
            <w:top w:val="none" w:sz="0" w:space="0" w:color="auto"/>
            <w:left w:val="none" w:sz="0" w:space="0" w:color="auto"/>
            <w:bottom w:val="none" w:sz="0" w:space="0" w:color="auto"/>
            <w:right w:val="none" w:sz="0" w:space="0" w:color="auto"/>
          </w:divBdr>
          <w:divsChild>
            <w:div w:id="1537087273">
              <w:marLeft w:val="0"/>
              <w:marRight w:val="0"/>
              <w:marTop w:val="0"/>
              <w:marBottom w:val="0"/>
              <w:divBdr>
                <w:top w:val="none" w:sz="0" w:space="0" w:color="auto"/>
                <w:left w:val="none" w:sz="0" w:space="0" w:color="auto"/>
                <w:bottom w:val="none" w:sz="0" w:space="0" w:color="auto"/>
                <w:right w:val="none" w:sz="0" w:space="0" w:color="auto"/>
              </w:divBdr>
            </w:div>
          </w:divsChild>
        </w:div>
        <w:div w:id="486942279">
          <w:marLeft w:val="0"/>
          <w:marRight w:val="0"/>
          <w:marTop w:val="0"/>
          <w:marBottom w:val="0"/>
          <w:divBdr>
            <w:top w:val="none" w:sz="0" w:space="0" w:color="auto"/>
            <w:left w:val="none" w:sz="0" w:space="0" w:color="auto"/>
            <w:bottom w:val="none" w:sz="0" w:space="0" w:color="auto"/>
            <w:right w:val="none" w:sz="0" w:space="0" w:color="auto"/>
          </w:divBdr>
          <w:divsChild>
            <w:div w:id="85924520">
              <w:marLeft w:val="0"/>
              <w:marRight w:val="0"/>
              <w:marTop w:val="0"/>
              <w:marBottom w:val="0"/>
              <w:divBdr>
                <w:top w:val="none" w:sz="0" w:space="0" w:color="auto"/>
                <w:left w:val="none" w:sz="0" w:space="0" w:color="auto"/>
                <w:bottom w:val="none" w:sz="0" w:space="0" w:color="auto"/>
                <w:right w:val="none" w:sz="0" w:space="0" w:color="auto"/>
              </w:divBdr>
            </w:div>
            <w:div w:id="1695809553">
              <w:marLeft w:val="0"/>
              <w:marRight w:val="0"/>
              <w:marTop w:val="0"/>
              <w:marBottom w:val="0"/>
              <w:divBdr>
                <w:top w:val="none" w:sz="0" w:space="0" w:color="auto"/>
                <w:left w:val="none" w:sz="0" w:space="0" w:color="auto"/>
                <w:bottom w:val="none" w:sz="0" w:space="0" w:color="auto"/>
                <w:right w:val="none" w:sz="0" w:space="0" w:color="auto"/>
              </w:divBdr>
            </w:div>
            <w:div w:id="1845243236">
              <w:marLeft w:val="0"/>
              <w:marRight w:val="0"/>
              <w:marTop w:val="0"/>
              <w:marBottom w:val="0"/>
              <w:divBdr>
                <w:top w:val="none" w:sz="0" w:space="0" w:color="auto"/>
                <w:left w:val="none" w:sz="0" w:space="0" w:color="auto"/>
                <w:bottom w:val="none" w:sz="0" w:space="0" w:color="auto"/>
                <w:right w:val="none" w:sz="0" w:space="0" w:color="auto"/>
              </w:divBdr>
            </w:div>
            <w:div w:id="1938251678">
              <w:marLeft w:val="0"/>
              <w:marRight w:val="0"/>
              <w:marTop w:val="0"/>
              <w:marBottom w:val="0"/>
              <w:divBdr>
                <w:top w:val="none" w:sz="0" w:space="0" w:color="auto"/>
                <w:left w:val="none" w:sz="0" w:space="0" w:color="auto"/>
                <w:bottom w:val="none" w:sz="0" w:space="0" w:color="auto"/>
                <w:right w:val="none" w:sz="0" w:space="0" w:color="auto"/>
              </w:divBdr>
            </w:div>
          </w:divsChild>
        </w:div>
        <w:div w:id="487745344">
          <w:marLeft w:val="0"/>
          <w:marRight w:val="0"/>
          <w:marTop w:val="0"/>
          <w:marBottom w:val="0"/>
          <w:divBdr>
            <w:top w:val="none" w:sz="0" w:space="0" w:color="auto"/>
            <w:left w:val="none" w:sz="0" w:space="0" w:color="auto"/>
            <w:bottom w:val="none" w:sz="0" w:space="0" w:color="auto"/>
            <w:right w:val="none" w:sz="0" w:space="0" w:color="auto"/>
          </w:divBdr>
          <w:divsChild>
            <w:div w:id="21908890">
              <w:marLeft w:val="0"/>
              <w:marRight w:val="0"/>
              <w:marTop w:val="0"/>
              <w:marBottom w:val="0"/>
              <w:divBdr>
                <w:top w:val="none" w:sz="0" w:space="0" w:color="auto"/>
                <w:left w:val="none" w:sz="0" w:space="0" w:color="auto"/>
                <w:bottom w:val="none" w:sz="0" w:space="0" w:color="auto"/>
                <w:right w:val="none" w:sz="0" w:space="0" w:color="auto"/>
              </w:divBdr>
            </w:div>
            <w:div w:id="642932280">
              <w:marLeft w:val="0"/>
              <w:marRight w:val="0"/>
              <w:marTop w:val="0"/>
              <w:marBottom w:val="0"/>
              <w:divBdr>
                <w:top w:val="none" w:sz="0" w:space="0" w:color="auto"/>
                <w:left w:val="none" w:sz="0" w:space="0" w:color="auto"/>
                <w:bottom w:val="none" w:sz="0" w:space="0" w:color="auto"/>
                <w:right w:val="none" w:sz="0" w:space="0" w:color="auto"/>
              </w:divBdr>
            </w:div>
            <w:div w:id="933318230">
              <w:marLeft w:val="0"/>
              <w:marRight w:val="0"/>
              <w:marTop w:val="0"/>
              <w:marBottom w:val="0"/>
              <w:divBdr>
                <w:top w:val="none" w:sz="0" w:space="0" w:color="auto"/>
                <w:left w:val="none" w:sz="0" w:space="0" w:color="auto"/>
                <w:bottom w:val="none" w:sz="0" w:space="0" w:color="auto"/>
                <w:right w:val="none" w:sz="0" w:space="0" w:color="auto"/>
              </w:divBdr>
            </w:div>
            <w:div w:id="1009870052">
              <w:marLeft w:val="0"/>
              <w:marRight w:val="0"/>
              <w:marTop w:val="0"/>
              <w:marBottom w:val="0"/>
              <w:divBdr>
                <w:top w:val="none" w:sz="0" w:space="0" w:color="auto"/>
                <w:left w:val="none" w:sz="0" w:space="0" w:color="auto"/>
                <w:bottom w:val="none" w:sz="0" w:space="0" w:color="auto"/>
                <w:right w:val="none" w:sz="0" w:space="0" w:color="auto"/>
              </w:divBdr>
            </w:div>
          </w:divsChild>
        </w:div>
        <w:div w:id="491919664">
          <w:marLeft w:val="0"/>
          <w:marRight w:val="0"/>
          <w:marTop w:val="0"/>
          <w:marBottom w:val="0"/>
          <w:divBdr>
            <w:top w:val="none" w:sz="0" w:space="0" w:color="auto"/>
            <w:left w:val="none" w:sz="0" w:space="0" w:color="auto"/>
            <w:bottom w:val="none" w:sz="0" w:space="0" w:color="auto"/>
            <w:right w:val="none" w:sz="0" w:space="0" w:color="auto"/>
          </w:divBdr>
          <w:divsChild>
            <w:div w:id="379748212">
              <w:marLeft w:val="0"/>
              <w:marRight w:val="0"/>
              <w:marTop w:val="0"/>
              <w:marBottom w:val="0"/>
              <w:divBdr>
                <w:top w:val="none" w:sz="0" w:space="0" w:color="auto"/>
                <w:left w:val="none" w:sz="0" w:space="0" w:color="auto"/>
                <w:bottom w:val="none" w:sz="0" w:space="0" w:color="auto"/>
                <w:right w:val="none" w:sz="0" w:space="0" w:color="auto"/>
              </w:divBdr>
            </w:div>
            <w:div w:id="478379055">
              <w:marLeft w:val="0"/>
              <w:marRight w:val="0"/>
              <w:marTop w:val="0"/>
              <w:marBottom w:val="0"/>
              <w:divBdr>
                <w:top w:val="none" w:sz="0" w:space="0" w:color="auto"/>
                <w:left w:val="none" w:sz="0" w:space="0" w:color="auto"/>
                <w:bottom w:val="none" w:sz="0" w:space="0" w:color="auto"/>
                <w:right w:val="none" w:sz="0" w:space="0" w:color="auto"/>
              </w:divBdr>
            </w:div>
            <w:div w:id="618148521">
              <w:marLeft w:val="0"/>
              <w:marRight w:val="0"/>
              <w:marTop w:val="0"/>
              <w:marBottom w:val="0"/>
              <w:divBdr>
                <w:top w:val="none" w:sz="0" w:space="0" w:color="auto"/>
                <w:left w:val="none" w:sz="0" w:space="0" w:color="auto"/>
                <w:bottom w:val="none" w:sz="0" w:space="0" w:color="auto"/>
                <w:right w:val="none" w:sz="0" w:space="0" w:color="auto"/>
              </w:divBdr>
            </w:div>
            <w:div w:id="793014684">
              <w:marLeft w:val="0"/>
              <w:marRight w:val="0"/>
              <w:marTop w:val="0"/>
              <w:marBottom w:val="0"/>
              <w:divBdr>
                <w:top w:val="none" w:sz="0" w:space="0" w:color="auto"/>
                <w:left w:val="none" w:sz="0" w:space="0" w:color="auto"/>
                <w:bottom w:val="none" w:sz="0" w:space="0" w:color="auto"/>
                <w:right w:val="none" w:sz="0" w:space="0" w:color="auto"/>
              </w:divBdr>
            </w:div>
          </w:divsChild>
        </w:div>
        <w:div w:id="581914351">
          <w:marLeft w:val="0"/>
          <w:marRight w:val="0"/>
          <w:marTop w:val="0"/>
          <w:marBottom w:val="0"/>
          <w:divBdr>
            <w:top w:val="none" w:sz="0" w:space="0" w:color="auto"/>
            <w:left w:val="none" w:sz="0" w:space="0" w:color="auto"/>
            <w:bottom w:val="none" w:sz="0" w:space="0" w:color="auto"/>
            <w:right w:val="none" w:sz="0" w:space="0" w:color="auto"/>
          </w:divBdr>
          <w:divsChild>
            <w:div w:id="564798779">
              <w:marLeft w:val="0"/>
              <w:marRight w:val="0"/>
              <w:marTop w:val="0"/>
              <w:marBottom w:val="0"/>
              <w:divBdr>
                <w:top w:val="none" w:sz="0" w:space="0" w:color="auto"/>
                <w:left w:val="none" w:sz="0" w:space="0" w:color="auto"/>
                <w:bottom w:val="none" w:sz="0" w:space="0" w:color="auto"/>
                <w:right w:val="none" w:sz="0" w:space="0" w:color="auto"/>
              </w:divBdr>
            </w:div>
            <w:div w:id="972100795">
              <w:marLeft w:val="0"/>
              <w:marRight w:val="0"/>
              <w:marTop w:val="0"/>
              <w:marBottom w:val="0"/>
              <w:divBdr>
                <w:top w:val="none" w:sz="0" w:space="0" w:color="auto"/>
                <w:left w:val="none" w:sz="0" w:space="0" w:color="auto"/>
                <w:bottom w:val="none" w:sz="0" w:space="0" w:color="auto"/>
                <w:right w:val="none" w:sz="0" w:space="0" w:color="auto"/>
              </w:divBdr>
            </w:div>
            <w:div w:id="1191335950">
              <w:marLeft w:val="0"/>
              <w:marRight w:val="0"/>
              <w:marTop w:val="0"/>
              <w:marBottom w:val="0"/>
              <w:divBdr>
                <w:top w:val="none" w:sz="0" w:space="0" w:color="auto"/>
                <w:left w:val="none" w:sz="0" w:space="0" w:color="auto"/>
                <w:bottom w:val="none" w:sz="0" w:space="0" w:color="auto"/>
                <w:right w:val="none" w:sz="0" w:space="0" w:color="auto"/>
              </w:divBdr>
            </w:div>
            <w:div w:id="1534612847">
              <w:marLeft w:val="0"/>
              <w:marRight w:val="0"/>
              <w:marTop w:val="0"/>
              <w:marBottom w:val="0"/>
              <w:divBdr>
                <w:top w:val="none" w:sz="0" w:space="0" w:color="auto"/>
                <w:left w:val="none" w:sz="0" w:space="0" w:color="auto"/>
                <w:bottom w:val="none" w:sz="0" w:space="0" w:color="auto"/>
                <w:right w:val="none" w:sz="0" w:space="0" w:color="auto"/>
              </w:divBdr>
            </w:div>
            <w:div w:id="1732732023">
              <w:marLeft w:val="0"/>
              <w:marRight w:val="0"/>
              <w:marTop w:val="0"/>
              <w:marBottom w:val="0"/>
              <w:divBdr>
                <w:top w:val="none" w:sz="0" w:space="0" w:color="auto"/>
                <w:left w:val="none" w:sz="0" w:space="0" w:color="auto"/>
                <w:bottom w:val="none" w:sz="0" w:space="0" w:color="auto"/>
                <w:right w:val="none" w:sz="0" w:space="0" w:color="auto"/>
              </w:divBdr>
            </w:div>
          </w:divsChild>
        </w:div>
        <w:div w:id="650595625">
          <w:marLeft w:val="0"/>
          <w:marRight w:val="0"/>
          <w:marTop w:val="0"/>
          <w:marBottom w:val="0"/>
          <w:divBdr>
            <w:top w:val="none" w:sz="0" w:space="0" w:color="auto"/>
            <w:left w:val="none" w:sz="0" w:space="0" w:color="auto"/>
            <w:bottom w:val="none" w:sz="0" w:space="0" w:color="auto"/>
            <w:right w:val="none" w:sz="0" w:space="0" w:color="auto"/>
          </w:divBdr>
          <w:divsChild>
            <w:div w:id="1328291326">
              <w:marLeft w:val="0"/>
              <w:marRight w:val="0"/>
              <w:marTop w:val="0"/>
              <w:marBottom w:val="0"/>
              <w:divBdr>
                <w:top w:val="none" w:sz="0" w:space="0" w:color="auto"/>
                <w:left w:val="none" w:sz="0" w:space="0" w:color="auto"/>
                <w:bottom w:val="none" w:sz="0" w:space="0" w:color="auto"/>
                <w:right w:val="none" w:sz="0" w:space="0" w:color="auto"/>
              </w:divBdr>
            </w:div>
          </w:divsChild>
        </w:div>
        <w:div w:id="694042485">
          <w:marLeft w:val="0"/>
          <w:marRight w:val="0"/>
          <w:marTop w:val="0"/>
          <w:marBottom w:val="0"/>
          <w:divBdr>
            <w:top w:val="none" w:sz="0" w:space="0" w:color="auto"/>
            <w:left w:val="none" w:sz="0" w:space="0" w:color="auto"/>
            <w:bottom w:val="none" w:sz="0" w:space="0" w:color="auto"/>
            <w:right w:val="none" w:sz="0" w:space="0" w:color="auto"/>
          </w:divBdr>
          <w:divsChild>
            <w:div w:id="57637060">
              <w:marLeft w:val="0"/>
              <w:marRight w:val="0"/>
              <w:marTop w:val="0"/>
              <w:marBottom w:val="0"/>
              <w:divBdr>
                <w:top w:val="none" w:sz="0" w:space="0" w:color="auto"/>
                <w:left w:val="none" w:sz="0" w:space="0" w:color="auto"/>
                <w:bottom w:val="none" w:sz="0" w:space="0" w:color="auto"/>
                <w:right w:val="none" w:sz="0" w:space="0" w:color="auto"/>
              </w:divBdr>
            </w:div>
            <w:div w:id="1048650357">
              <w:marLeft w:val="0"/>
              <w:marRight w:val="0"/>
              <w:marTop w:val="0"/>
              <w:marBottom w:val="0"/>
              <w:divBdr>
                <w:top w:val="none" w:sz="0" w:space="0" w:color="auto"/>
                <w:left w:val="none" w:sz="0" w:space="0" w:color="auto"/>
                <w:bottom w:val="none" w:sz="0" w:space="0" w:color="auto"/>
                <w:right w:val="none" w:sz="0" w:space="0" w:color="auto"/>
              </w:divBdr>
            </w:div>
          </w:divsChild>
        </w:div>
        <w:div w:id="766122501">
          <w:marLeft w:val="0"/>
          <w:marRight w:val="0"/>
          <w:marTop w:val="0"/>
          <w:marBottom w:val="0"/>
          <w:divBdr>
            <w:top w:val="none" w:sz="0" w:space="0" w:color="auto"/>
            <w:left w:val="none" w:sz="0" w:space="0" w:color="auto"/>
            <w:bottom w:val="none" w:sz="0" w:space="0" w:color="auto"/>
            <w:right w:val="none" w:sz="0" w:space="0" w:color="auto"/>
          </w:divBdr>
          <w:divsChild>
            <w:div w:id="519127330">
              <w:marLeft w:val="0"/>
              <w:marRight w:val="0"/>
              <w:marTop w:val="0"/>
              <w:marBottom w:val="0"/>
              <w:divBdr>
                <w:top w:val="none" w:sz="0" w:space="0" w:color="auto"/>
                <w:left w:val="none" w:sz="0" w:space="0" w:color="auto"/>
                <w:bottom w:val="none" w:sz="0" w:space="0" w:color="auto"/>
                <w:right w:val="none" w:sz="0" w:space="0" w:color="auto"/>
              </w:divBdr>
            </w:div>
            <w:div w:id="920599506">
              <w:marLeft w:val="0"/>
              <w:marRight w:val="0"/>
              <w:marTop w:val="0"/>
              <w:marBottom w:val="0"/>
              <w:divBdr>
                <w:top w:val="none" w:sz="0" w:space="0" w:color="auto"/>
                <w:left w:val="none" w:sz="0" w:space="0" w:color="auto"/>
                <w:bottom w:val="none" w:sz="0" w:space="0" w:color="auto"/>
                <w:right w:val="none" w:sz="0" w:space="0" w:color="auto"/>
              </w:divBdr>
            </w:div>
            <w:div w:id="1456750744">
              <w:marLeft w:val="0"/>
              <w:marRight w:val="0"/>
              <w:marTop w:val="0"/>
              <w:marBottom w:val="0"/>
              <w:divBdr>
                <w:top w:val="none" w:sz="0" w:space="0" w:color="auto"/>
                <w:left w:val="none" w:sz="0" w:space="0" w:color="auto"/>
                <w:bottom w:val="none" w:sz="0" w:space="0" w:color="auto"/>
                <w:right w:val="none" w:sz="0" w:space="0" w:color="auto"/>
              </w:divBdr>
            </w:div>
            <w:div w:id="1760253581">
              <w:marLeft w:val="0"/>
              <w:marRight w:val="0"/>
              <w:marTop w:val="0"/>
              <w:marBottom w:val="0"/>
              <w:divBdr>
                <w:top w:val="none" w:sz="0" w:space="0" w:color="auto"/>
                <w:left w:val="none" w:sz="0" w:space="0" w:color="auto"/>
                <w:bottom w:val="none" w:sz="0" w:space="0" w:color="auto"/>
                <w:right w:val="none" w:sz="0" w:space="0" w:color="auto"/>
              </w:divBdr>
            </w:div>
          </w:divsChild>
        </w:div>
        <w:div w:id="789206748">
          <w:marLeft w:val="0"/>
          <w:marRight w:val="0"/>
          <w:marTop w:val="0"/>
          <w:marBottom w:val="0"/>
          <w:divBdr>
            <w:top w:val="none" w:sz="0" w:space="0" w:color="auto"/>
            <w:left w:val="none" w:sz="0" w:space="0" w:color="auto"/>
            <w:bottom w:val="none" w:sz="0" w:space="0" w:color="auto"/>
            <w:right w:val="none" w:sz="0" w:space="0" w:color="auto"/>
          </w:divBdr>
          <w:divsChild>
            <w:div w:id="561252616">
              <w:marLeft w:val="0"/>
              <w:marRight w:val="0"/>
              <w:marTop w:val="0"/>
              <w:marBottom w:val="0"/>
              <w:divBdr>
                <w:top w:val="none" w:sz="0" w:space="0" w:color="auto"/>
                <w:left w:val="none" w:sz="0" w:space="0" w:color="auto"/>
                <w:bottom w:val="none" w:sz="0" w:space="0" w:color="auto"/>
                <w:right w:val="none" w:sz="0" w:space="0" w:color="auto"/>
              </w:divBdr>
            </w:div>
            <w:div w:id="1367294846">
              <w:marLeft w:val="0"/>
              <w:marRight w:val="0"/>
              <w:marTop w:val="0"/>
              <w:marBottom w:val="0"/>
              <w:divBdr>
                <w:top w:val="none" w:sz="0" w:space="0" w:color="auto"/>
                <w:left w:val="none" w:sz="0" w:space="0" w:color="auto"/>
                <w:bottom w:val="none" w:sz="0" w:space="0" w:color="auto"/>
                <w:right w:val="none" w:sz="0" w:space="0" w:color="auto"/>
              </w:divBdr>
            </w:div>
            <w:div w:id="1480347423">
              <w:marLeft w:val="0"/>
              <w:marRight w:val="0"/>
              <w:marTop w:val="0"/>
              <w:marBottom w:val="0"/>
              <w:divBdr>
                <w:top w:val="none" w:sz="0" w:space="0" w:color="auto"/>
                <w:left w:val="none" w:sz="0" w:space="0" w:color="auto"/>
                <w:bottom w:val="none" w:sz="0" w:space="0" w:color="auto"/>
                <w:right w:val="none" w:sz="0" w:space="0" w:color="auto"/>
              </w:divBdr>
            </w:div>
            <w:div w:id="1871184626">
              <w:marLeft w:val="0"/>
              <w:marRight w:val="0"/>
              <w:marTop w:val="0"/>
              <w:marBottom w:val="0"/>
              <w:divBdr>
                <w:top w:val="none" w:sz="0" w:space="0" w:color="auto"/>
                <w:left w:val="none" w:sz="0" w:space="0" w:color="auto"/>
                <w:bottom w:val="none" w:sz="0" w:space="0" w:color="auto"/>
                <w:right w:val="none" w:sz="0" w:space="0" w:color="auto"/>
              </w:divBdr>
            </w:div>
            <w:div w:id="2020230366">
              <w:marLeft w:val="0"/>
              <w:marRight w:val="0"/>
              <w:marTop w:val="0"/>
              <w:marBottom w:val="0"/>
              <w:divBdr>
                <w:top w:val="none" w:sz="0" w:space="0" w:color="auto"/>
                <w:left w:val="none" w:sz="0" w:space="0" w:color="auto"/>
                <w:bottom w:val="none" w:sz="0" w:space="0" w:color="auto"/>
                <w:right w:val="none" w:sz="0" w:space="0" w:color="auto"/>
              </w:divBdr>
            </w:div>
            <w:div w:id="2045130834">
              <w:marLeft w:val="0"/>
              <w:marRight w:val="0"/>
              <w:marTop w:val="0"/>
              <w:marBottom w:val="0"/>
              <w:divBdr>
                <w:top w:val="none" w:sz="0" w:space="0" w:color="auto"/>
                <w:left w:val="none" w:sz="0" w:space="0" w:color="auto"/>
                <w:bottom w:val="none" w:sz="0" w:space="0" w:color="auto"/>
                <w:right w:val="none" w:sz="0" w:space="0" w:color="auto"/>
              </w:divBdr>
            </w:div>
            <w:div w:id="2066758748">
              <w:marLeft w:val="0"/>
              <w:marRight w:val="0"/>
              <w:marTop w:val="0"/>
              <w:marBottom w:val="0"/>
              <w:divBdr>
                <w:top w:val="none" w:sz="0" w:space="0" w:color="auto"/>
                <w:left w:val="none" w:sz="0" w:space="0" w:color="auto"/>
                <w:bottom w:val="none" w:sz="0" w:space="0" w:color="auto"/>
                <w:right w:val="none" w:sz="0" w:space="0" w:color="auto"/>
              </w:divBdr>
            </w:div>
          </w:divsChild>
        </w:div>
        <w:div w:id="789398225">
          <w:marLeft w:val="0"/>
          <w:marRight w:val="0"/>
          <w:marTop w:val="0"/>
          <w:marBottom w:val="0"/>
          <w:divBdr>
            <w:top w:val="none" w:sz="0" w:space="0" w:color="auto"/>
            <w:left w:val="none" w:sz="0" w:space="0" w:color="auto"/>
            <w:bottom w:val="none" w:sz="0" w:space="0" w:color="auto"/>
            <w:right w:val="none" w:sz="0" w:space="0" w:color="auto"/>
          </w:divBdr>
          <w:divsChild>
            <w:div w:id="80564526">
              <w:marLeft w:val="0"/>
              <w:marRight w:val="0"/>
              <w:marTop w:val="0"/>
              <w:marBottom w:val="0"/>
              <w:divBdr>
                <w:top w:val="none" w:sz="0" w:space="0" w:color="auto"/>
                <w:left w:val="none" w:sz="0" w:space="0" w:color="auto"/>
                <w:bottom w:val="none" w:sz="0" w:space="0" w:color="auto"/>
                <w:right w:val="none" w:sz="0" w:space="0" w:color="auto"/>
              </w:divBdr>
            </w:div>
            <w:div w:id="971056209">
              <w:marLeft w:val="0"/>
              <w:marRight w:val="0"/>
              <w:marTop w:val="0"/>
              <w:marBottom w:val="0"/>
              <w:divBdr>
                <w:top w:val="none" w:sz="0" w:space="0" w:color="auto"/>
                <w:left w:val="none" w:sz="0" w:space="0" w:color="auto"/>
                <w:bottom w:val="none" w:sz="0" w:space="0" w:color="auto"/>
                <w:right w:val="none" w:sz="0" w:space="0" w:color="auto"/>
              </w:divBdr>
            </w:div>
            <w:div w:id="1305817559">
              <w:marLeft w:val="0"/>
              <w:marRight w:val="0"/>
              <w:marTop w:val="0"/>
              <w:marBottom w:val="0"/>
              <w:divBdr>
                <w:top w:val="none" w:sz="0" w:space="0" w:color="auto"/>
                <w:left w:val="none" w:sz="0" w:space="0" w:color="auto"/>
                <w:bottom w:val="none" w:sz="0" w:space="0" w:color="auto"/>
                <w:right w:val="none" w:sz="0" w:space="0" w:color="auto"/>
              </w:divBdr>
            </w:div>
            <w:div w:id="1573198627">
              <w:marLeft w:val="0"/>
              <w:marRight w:val="0"/>
              <w:marTop w:val="0"/>
              <w:marBottom w:val="0"/>
              <w:divBdr>
                <w:top w:val="none" w:sz="0" w:space="0" w:color="auto"/>
                <w:left w:val="none" w:sz="0" w:space="0" w:color="auto"/>
                <w:bottom w:val="none" w:sz="0" w:space="0" w:color="auto"/>
                <w:right w:val="none" w:sz="0" w:space="0" w:color="auto"/>
              </w:divBdr>
            </w:div>
            <w:div w:id="2064720142">
              <w:marLeft w:val="0"/>
              <w:marRight w:val="0"/>
              <w:marTop w:val="0"/>
              <w:marBottom w:val="0"/>
              <w:divBdr>
                <w:top w:val="none" w:sz="0" w:space="0" w:color="auto"/>
                <w:left w:val="none" w:sz="0" w:space="0" w:color="auto"/>
                <w:bottom w:val="none" w:sz="0" w:space="0" w:color="auto"/>
                <w:right w:val="none" w:sz="0" w:space="0" w:color="auto"/>
              </w:divBdr>
            </w:div>
            <w:div w:id="2065717312">
              <w:marLeft w:val="0"/>
              <w:marRight w:val="0"/>
              <w:marTop w:val="0"/>
              <w:marBottom w:val="0"/>
              <w:divBdr>
                <w:top w:val="none" w:sz="0" w:space="0" w:color="auto"/>
                <w:left w:val="none" w:sz="0" w:space="0" w:color="auto"/>
                <w:bottom w:val="none" w:sz="0" w:space="0" w:color="auto"/>
                <w:right w:val="none" w:sz="0" w:space="0" w:color="auto"/>
              </w:divBdr>
            </w:div>
          </w:divsChild>
        </w:div>
        <w:div w:id="887229926">
          <w:marLeft w:val="0"/>
          <w:marRight w:val="0"/>
          <w:marTop w:val="0"/>
          <w:marBottom w:val="0"/>
          <w:divBdr>
            <w:top w:val="none" w:sz="0" w:space="0" w:color="auto"/>
            <w:left w:val="none" w:sz="0" w:space="0" w:color="auto"/>
            <w:bottom w:val="none" w:sz="0" w:space="0" w:color="auto"/>
            <w:right w:val="none" w:sz="0" w:space="0" w:color="auto"/>
          </w:divBdr>
          <w:divsChild>
            <w:div w:id="24798076">
              <w:marLeft w:val="0"/>
              <w:marRight w:val="0"/>
              <w:marTop w:val="0"/>
              <w:marBottom w:val="0"/>
              <w:divBdr>
                <w:top w:val="none" w:sz="0" w:space="0" w:color="auto"/>
                <w:left w:val="none" w:sz="0" w:space="0" w:color="auto"/>
                <w:bottom w:val="none" w:sz="0" w:space="0" w:color="auto"/>
                <w:right w:val="none" w:sz="0" w:space="0" w:color="auto"/>
              </w:divBdr>
            </w:div>
          </w:divsChild>
        </w:div>
        <w:div w:id="896740354">
          <w:marLeft w:val="0"/>
          <w:marRight w:val="0"/>
          <w:marTop w:val="0"/>
          <w:marBottom w:val="0"/>
          <w:divBdr>
            <w:top w:val="none" w:sz="0" w:space="0" w:color="auto"/>
            <w:left w:val="none" w:sz="0" w:space="0" w:color="auto"/>
            <w:bottom w:val="none" w:sz="0" w:space="0" w:color="auto"/>
            <w:right w:val="none" w:sz="0" w:space="0" w:color="auto"/>
          </w:divBdr>
          <w:divsChild>
            <w:div w:id="265189809">
              <w:marLeft w:val="0"/>
              <w:marRight w:val="0"/>
              <w:marTop w:val="0"/>
              <w:marBottom w:val="0"/>
              <w:divBdr>
                <w:top w:val="none" w:sz="0" w:space="0" w:color="auto"/>
                <w:left w:val="none" w:sz="0" w:space="0" w:color="auto"/>
                <w:bottom w:val="none" w:sz="0" w:space="0" w:color="auto"/>
                <w:right w:val="none" w:sz="0" w:space="0" w:color="auto"/>
              </w:divBdr>
            </w:div>
          </w:divsChild>
        </w:div>
        <w:div w:id="946812351">
          <w:marLeft w:val="0"/>
          <w:marRight w:val="0"/>
          <w:marTop w:val="0"/>
          <w:marBottom w:val="0"/>
          <w:divBdr>
            <w:top w:val="none" w:sz="0" w:space="0" w:color="auto"/>
            <w:left w:val="none" w:sz="0" w:space="0" w:color="auto"/>
            <w:bottom w:val="none" w:sz="0" w:space="0" w:color="auto"/>
            <w:right w:val="none" w:sz="0" w:space="0" w:color="auto"/>
          </w:divBdr>
          <w:divsChild>
            <w:div w:id="1171137713">
              <w:marLeft w:val="0"/>
              <w:marRight w:val="0"/>
              <w:marTop w:val="0"/>
              <w:marBottom w:val="0"/>
              <w:divBdr>
                <w:top w:val="none" w:sz="0" w:space="0" w:color="auto"/>
                <w:left w:val="none" w:sz="0" w:space="0" w:color="auto"/>
                <w:bottom w:val="none" w:sz="0" w:space="0" w:color="auto"/>
                <w:right w:val="none" w:sz="0" w:space="0" w:color="auto"/>
              </w:divBdr>
            </w:div>
          </w:divsChild>
        </w:div>
        <w:div w:id="971519938">
          <w:marLeft w:val="0"/>
          <w:marRight w:val="0"/>
          <w:marTop w:val="0"/>
          <w:marBottom w:val="0"/>
          <w:divBdr>
            <w:top w:val="none" w:sz="0" w:space="0" w:color="auto"/>
            <w:left w:val="none" w:sz="0" w:space="0" w:color="auto"/>
            <w:bottom w:val="none" w:sz="0" w:space="0" w:color="auto"/>
            <w:right w:val="none" w:sz="0" w:space="0" w:color="auto"/>
          </w:divBdr>
          <w:divsChild>
            <w:div w:id="1517882784">
              <w:marLeft w:val="0"/>
              <w:marRight w:val="0"/>
              <w:marTop w:val="0"/>
              <w:marBottom w:val="0"/>
              <w:divBdr>
                <w:top w:val="none" w:sz="0" w:space="0" w:color="auto"/>
                <w:left w:val="none" w:sz="0" w:space="0" w:color="auto"/>
                <w:bottom w:val="none" w:sz="0" w:space="0" w:color="auto"/>
                <w:right w:val="none" w:sz="0" w:space="0" w:color="auto"/>
              </w:divBdr>
            </w:div>
          </w:divsChild>
        </w:div>
        <w:div w:id="1020662452">
          <w:marLeft w:val="0"/>
          <w:marRight w:val="0"/>
          <w:marTop w:val="0"/>
          <w:marBottom w:val="0"/>
          <w:divBdr>
            <w:top w:val="none" w:sz="0" w:space="0" w:color="auto"/>
            <w:left w:val="none" w:sz="0" w:space="0" w:color="auto"/>
            <w:bottom w:val="none" w:sz="0" w:space="0" w:color="auto"/>
            <w:right w:val="none" w:sz="0" w:space="0" w:color="auto"/>
          </w:divBdr>
          <w:divsChild>
            <w:div w:id="1921985035">
              <w:marLeft w:val="0"/>
              <w:marRight w:val="0"/>
              <w:marTop w:val="0"/>
              <w:marBottom w:val="0"/>
              <w:divBdr>
                <w:top w:val="none" w:sz="0" w:space="0" w:color="auto"/>
                <w:left w:val="none" w:sz="0" w:space="0" w:color="auto"/>
                <w:bottom w:val="none" w:sz="0" w:space="0" w:color="auto"/>
                <w:right w:val="none" w:sz="0" w:space="0" w:color="auto"/>
              </w:divBdr>
            </w:div>
            <w:div w:id="2019652047">
              <w:marLeft w:val="0"/>
              <w:marRight w:val="0"/>
              <w:marTop w:val="0"/>
              <w:marBottom w:val="0"/>
              <w:divBdr>
                <w:top w:val="none" w:sz="0" w:space="0" w:color="auto"/>
                <w:left w:val="none" w:sz="0" w:space="0" w:color="auto"/>
                <w:bottom w:val="none" w:sz="0" w:space="0" w:color="auto"/>
                <w:right w:val="none" w:sz="0" w:space="0" w:color="auto"/>
              </w:divBdr>
            </w:div>
          </w:divsChild>
        </w:div>
        <w:div w:id="1093741202">
          <w:marLeft w:val="0"/>
          <w:marRight w:val="0"/>
          <w:marTop w:val="0"/>
          <w:marBottom w:val="0"/>
          <w:divBdr>
            <w:top w:val="none" w:sz="0" w:space="0" w:color="auto"/>
            <w:left w:val="none" w:sz="0" w:space="0" w:color="auto"/>
            <w:bottom w:val="none" w:sz="0" w:space="0" w:color="auto"/>
            <w:right w:val="none" w:sz="0" w:space="0" w:color="auto"/>
          </w:divBdr>
          <w:divsChild>
            <w:div w:id="1756633502">
              <w:marLeft w:val="0"/>
              <w:marRight w:val="0"/>
              <w:marTop w:val="0"/>
              <w:marBottom w:val="0"/>
              <w:divBdr>
                <w:top w:val="none" w:sz="0" w:space="0" w:color="auto"/>
                <w:left w:val="none" w:sz="0" w:space="0" w:color="auto"/>
                <w:bottom w:val="none" w:sz="0" w:space="0" w:color="auto"/>
                <w:right w:val="none" w:sz="0" w:space="0" w:color="auto"/>
              </w:divBdr>
            </w:div>
            <w:div w:id="1886404618">
              <w:marLeft w:val="0"/>
              <w:marRight w:val="0"/>
              <w:marTop w:val="0"/>
              <w:marBottom w:val="0"/>
              <w:divBdr>
                <w:top w:val="none" w:sz="0" w:space="0" w:color="auto"/>
                <w:left w:val="none" w:sz="0" w:space="0" w:color="auto"/>
                <w:bottom w:val="none" w:sz="0" w:space="0" w:color="auto"/>
                <w:right w:val="none" w:sz="0" w:space="0" w:color="auto"/>
              </w:divBdr>
            </w:div>
          </w:divsChild>
        </w:div>
        <w:div w:id="1108964158">
          <w:marLeft w:val="0"/>
          <w:marRight w:val="0"/>
          <w:marTop w:val="0"/>
          <w:marBottom w:val="0"/>
          <w:divBdr>
            <w:top w:val="none" w:sz="0" w:space="0" w:color="auto"/>
            <w:left w:val="none" w:sz="0" w:space="0" w:color="auto"/>
            <w:bottom w:val="none" w:sz="0" w:space="0" w:color="auto"/>
            <w:right w:val="none" w:sz="0" w:space="0" w:color="auto"/>
          </w:divBdr>
          <w:divsChild>
            <w:div w:id="1222906593">
              <w:marLeft w:val="0"/>
              <w:marRight w:val="0"/>
              <w:marTop w:val="0"/>
              <w:marBottom w:val="0"/>
              <w:divBdr>
                <w:top w:val="none" w:sz="0" w:space="0" w:color="auto"/>
                <w:left w:val="none" w:sz="0" w:space="0" w:color="auto"/>
                <w:bottom w:val="none" w:sz="0" w:space="0" w:color="auto"/>
                <w:right w:val="none" w:sz="0" w:space="0" w:color="auto"/>
              </w:divBdr>
            </w:div>
            <w:div w:id="2132745423">
              <w:marLeft w:val="0"/>
              <w:marRight w:val="0"/>
              <w:marTop w:val="0"/>
              <w:marBottom w:val="0"/>
              <w:divBdr>
                <w:top w:val="none" w:sz="0" w:space="0" w:color="auto"/>
                <w:left w:val="none" w:sz="0" w:space="0" w:color="auto"/>
                <w:bottom w:val="none" w:sz="0" w:space="0" w:color="auto"/>
                <w:right w:val="none" w:sz="0" w:space="0" w:color="auto"/>
              </w:divBdr>
            </w:div>
          </w:divsChild>
        </w:div>
        <w:div w:id="1235967410">
          <w:marLeft w:val="0"/>
          <w:marRight w:val="0"/>
          <w:marTop w:val="0"/>
          <w:marBottom w:val="0"/>
          <w:divBdr>
            <w:top w:val="none" w:sz="0" w:space="0" w:color="auto"/>
            <w:left w:val="none" w:sz="0" w:space="0" w:color="auto"/>
            <w:bottom w:val="none" w:sz="0" w:space="0" w:color="auto"/>
            <w:right w:val="none" w:sz="0" w:space="0" w:color="auto"/>
          </w:divBdr>
          <w:divsChild>
            <w:div w:id="135687159">
              <w:marLeft w:val="0"/>
              <w:marRight w:val="0"/>
              <w:marTop w:val="0"/>
              <w:marBottom w:val="0"/>
              <w:divBdr>
                <w:top w:val="none" w:sz="0" w:space="0" w:color="auto"/>
                <w:left w:val="none" w:sz="0" w:space="0" w:color="auto"/>
                <w:bottom w:val="none" w:sz="0" w:space="0" w:color="auto"/>
                <w:right w:val="none" w:sz="0" w:space="0" w:color="auto"/>
              </w:divBdr>
            </w:div>
            <w:div w:id="210575742">
              <w:marLeft w:val="0"/>
              <w:marRight w:val="0"/>
              <w:marTop w:val="0"/>
              <w:marBottom w:val="0"/>
              <w:divBdr>
                <w:top w:val="none" w:sz="0" w:space="0" w:color="auto"/>
                <w:left w:val="none" w:sz="0" w:space="0" w:color="auto"/>
                <w:bottom w:val="none" w:sz="0" w:space="0" w:color="auto"/>
                <w:right w:val="none" w:sz="0" w:space="0" w:color="auto"/>
              </w:divBdr>
            </w:div>
            <w:div w:id="232355404">
              <w:marLeft w:val="0"/>
              <w:marRight w:val="0"/>
              <w:marTop w:val="0"/>
              <w:marBottom w:val="0"/>
              <w:divBdr>
                <w:top w:val="none" w:sz="0" w:space="0" w:color="auto"/>
                <w:left w:val="none" w:sz="0" w:space="0" w:color="auto"/>
                <w:bottom w:val="none" w:sz="0" w:space="0" w:color="auto"/>
                <w:right w:val="none" w:sz="0" w:space="0" w:color="auto"/>
              </w:divBdr>
            </w:div>
            <w:div w:id="355817465">
              <w:marLeft w:val="0"/>
              <w:marRight w:val="0"/>
              <w:marTop w:val="0"/>
              <w:marBottom w:val="0"/>
              <w:divBdr>
                <w:top w:val="none" w:sz="0" w:space="0" w:color="auto"/>
                <w:left w:val="none" w:sz="0" w:space="0" w:color="auto"/>
                <w:bottom w:val="none" w:sz="0" w:space="0" w:color="auto"/>
                <w:right w:val="none" w:sz="0" w:space="0" w:color="auto"/>
              </w:divBdr>
            </w:div>
            <w:div w:id="399252576">
              <w:marLeft w:val="0"/>
              <w:marRight w:val="0"/>
              <w:marTop w:val="0"/>
              <w:marBottom w:val="0"/>
              <w:divBdr>
                <w:top w:val="none" w:sz="0" w:space="0" w:color="auto"/>
                <w:left w:val="none" w:sz="0" w:space="0" w:color="auto"/>
                <w:bottom w:val="none" w:sz="0" w:space="0" w:color="auto"/>
                <w:right w:val="none" w:sz="0" w:space="0" w:color="auto"/>
              </w:divBdr>
            </w:div>
            <w:div w:id="469712326">
              <w:marLeft w:val="0"/>
              <w:marRight w:val="0"/>
              <w:marTop w:val="0"/>
              <w:marBottom w:val="0"/>
              <w:divBdr>
                <w:top w:val="none" w:sz="0" w:space="0" w:color="auto"/>
                <w:left w:val="none" w:sz="0" w:space="0" w:color="auto"/>
                <w:bottom w:val="none" w:sz="0" w:space="0" w:color="auto"/>
                <w:right w:val="none" w:sz="0" w:space="0" w:color="auto"/>
              </w:divBdr>
            </w:div>
            <w:div w:id="676268429">
              <w:marLeft w:val="0"/>
              <w:marRight w:val="0"/>
              <w:marTop w:val="0"/>
              <w:marBottom w:val="0"/>
              <w:divBdr>
                <w:top w:val="none" w:sz="0" w:space="0" w:color="auto"/>
                <w:left w:val="none" w:sz="0" w:space="0" w:color="auto"/>
                <w:bottom w:val="none" w:sz="0" w:space="0" w:color="auto"/>
                <w:right w:val="none" w:sz="0" w:space="0" w:color="auto"/>
              </w:divBdr>
            </w:div>
            <w:div w:id="882596405">
              <w:marLeft w:val="0"/>
              <w:marRight w:val="0"/>
              <w:marTop w:val="0"/>
              <w:marBottom w:val="0"/>
              <w:divBdr>
                <w:top w:val="none" w:sz="0" w:space="0" w:color="auto"/>
                <w:left w:val="none" w:sz="0" w:space="0" w:color="auto"/>
                <w:bottom w:val="none" w:sz="0" w:space="0" w:color="auto"/>
                <w:right w:val="none" w:sz="0" w:space="0" w:color="auto"/>
              </w:divBdr>
            </w:div>
            <w:div w:id="939751551">
              <w:marLeft w:val="0"/>
              <w:marRight w:val="0"/>
              <w:marTop w:val="0"/>
              <w:marBottom w:val="0"/>
              <w:divBdr>
                <w:top w:val="none" w:sz="0" w:space="0" w:color="auto"/>
                <w:left w:val="none" w:sz="0" w:space="0" w:color="auto"/>
                <w:bottom w:val="none" w:sz="0" w:space="0" w:color="auto"/>
                <w:right w:val="none" w:sz="0" w:space="0" w:color="auto"/>
              </w:divBdr>
            </w:div>
            <w:div w:id="995765296">
              <w:marLeft w:val="0"/>
              <w:marRight w:val="0"/>
              <w:marTop w:val="0"/>
              <w:marBottom w:val="0"/>
              <w:divBdr>
                <w:top w:val="none" w:sz="0" w:space="0" w:color="auto"/>
                <w:left w:val="none" w:sz="0" w:space="0" w:color="auto"/>
                <w:bottom w:val="none" w:sz="0" w:space="0" w:color="auto"/>
                <w:right w:val="none" w:sz="0" w:space="0" w:color="auto"/>
              </w:divBdr>
            </w:div>
            <w:div w:id="1115095377">
              <w:marLeft w:val="0"/>
              <w:marRight w:val="0"/>
              <w:marTop w:val="0"/>
              <w:marBottom w:val="0"/>
              <w:divBdr>
                <w:top w:val="none" w:sz="0" w:space="0" w:color="auto"/>
                <w:left w:val="none" w:sz="0" w:space="0" w:color="auto"/>
                <w:bottom w:val="none" w:sz="0" w:space="0" w:color="auto"/>
                <w:right w:val="none" w:sz="0" w:space="0" w:color="auto"/>
              </w:divBdr>
            </w:div>
            <w:div w:id="1433210178">
              <w:marLeft w:val="0"/>
              <w:marRight w:val="0"/>
              <w:marTop w:val="0"/>
              <w:marBottom w:val="0"/>
              <w:divBdr>
                <w:top w:val="none" w:sz="0" w:space="0" w:color="auto"/>
                <w:left w:val="none" w:sz="0" w:space="0" w:color="auto"/>
                <w:bottom w:val="none" w:sz="0" w:space="0" w:color="auto"/>
                <w:right w:val="none" w:sz="0" w:space="0" w:color="auto"/>
              </w:divBdr>
            </w:div>
            <w:div w:id="1671325220">
              <w:marLeft w:val="0"/>
              <w:marRight w:val="0"/>
              <w:marTop w:val="0"/>
              <w:marBottom w:val="0"/>
              <w:divBdr>
                <w:top w:val="none" w:sz="0" w:space="0" w:color="auto"/>
                <w:left w:val="none" w:sz="0" w:space="0" w:color="auto"/>
                <w:bottom w:val="none" w:sz="0" w:space="0" w:color="auto"/>
                <w:right w:val="none" w:sz="0" w:space="0" w:color="auto"/>
              </w:divBdr>
            </w:div>
            <w:div w:id="1798255748">
              <w:marLeft w:val="0"/>
              <w:marRight w:val="0"/>
              <w:marTop w:val="0"/>
              <w:marBottom w:val="0"/>
              <w:divBdr>
                <w:top w:val="none" w:sz="0" w:space="0" w:color="auto"/>
                <w:left w:val="none" w:sz="0" w:space="0" w:color="auto"/>
                <w:bottom w:val="none" w:sz="0" w:space="0" w:color="auto"/>
                <w:right w:val="none" w:sz="0" w:space="0" w:color="auto"/>
              </w:divBdr>
            </w:div>
            <w:div w:id="1815684783">
              <w:marLeft w:val="0"/>
              <w:marRight w:val="0"/>
              <w:marTop w:val="0"/>
              <w:marBottom w:val="0"/>
              <w:divBdr>
                <w:top w:val="none" w:sz="0" w:space="0" w:color="auto"/>
                <w:left w:val="none" w:sz="0" w:space="0" w:color="auto"/>
                <w:bottom w:val="none" w:sz="0" w:space="0" w:color="auto"/>
                <w:right w:val="none" w:sz="0" w:space="0" w:color="auto"/>
              </w:divBdr>
            </w:div>
            <w:div w:id="1951355707">
              <w:marLeft w:val="0"/>
              <w:marRight w:val="0"/>
              <w:marTop w:val="0"/>
              <w:marBottom w:val="0"/>
              <w:divBdr>
                <w:top w:val="none" w:sz="0" w:space="0" w:color="auto"/>
                <w:left w:val="none" w:sz="0" w:space="0" w:color="auto"/>
                <w:bottom w:val="none" w:sz="0" w:space="0" w:color="auto"/>
                <w:right w:val="none" w:sz="0" w:space="0" w:color="auto"/>
              </w:divBdr>
            </w:div>
            <w:div w:id="2027828347">
              <w:marLeft w:val="0"/>
              <w:marRight w:val="0"/>
              <w:marTop w:val="0"/>
              <w:marBottom w:val="0"/>
              <w:divBdr>
                <w:top w:val="none" w:sz="0" w:space="0" w:color="auto"/>
                <w:left w:val="none" w:sz="0" w:space="0" w:color="auto"/>
                <w:bottom w:val="none" w:sz="0" w:space="0" w:color="auto"/>
                <w:right w:val="none" w:sz="0" w:space="0" w:color="auto"/>
              </w:divBdr>
            </w:div>
          </w:divsChild>
        </w:div>
        <w:div w:id="1261985019">
          <w:marLeft w:val="0"/>
          <w:marRight w:val="0"/>
          <w:marTop w:val="0"/>
          <w:marBottom w:val="0"/>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
            <w:div w:id="1840346029">
              <w:marLeft w:val="0"/>
              <w:marRight w:val="0"/>
              <w:marTop w:val="0"/>
              <w:marBottom w:val="0"/>
              <w:divBdr>
                <w:top w:val="none" w:sz="0" w:space="0" w:color="auto"/>
                <w:left w:val="none" w:sz="0" w:space="0" w:color="auto"/>
                <w:bottom w:val="none" w:sz="0" w:space="0" w:color="auto"/>
                <w:right w:val="none" w:sz="0" w:space="0" w:color="auto"/>
              </w:divBdr>
            </w:div>
          </w:divsChild>
        </w:div>
        <w:div w:id="1316253481">
          <w:marLeft w:val="0"/>
          <w:marRight w:val="0"/>
          <w:marTop w:val="0"/>
          <w:marBottom w:val="0"/>
          <w:divBdr>
            <w:top w:val="none" w:sz="0" w:space="0" w:color="auto"/>
            <w:left w:val="none" w:sz="0" w:space="0" w:color="auto"/>
            <w:bottom w:val="none" w:sz="0" w:space="0" w:color="auto"/>
            <w:right w:val="none" w:sz="0" w:space="0" w:color="auto"/>
          </w:divBdr>
          <w:divsChild>
            <w:div w:id="1518735173">
              <w:marLeft w:val="0"/>
              <w:marRight w:val="0"/>
              <w:marTop w:val="0"/>
              <w:marBottom w:val="0"/>
              <w:divBdr>
                <w:top w:val="none" w:sz="0" w:space="0" w:color="auto"/>
                <w:left w:val="none" w:sz="0" w:space="0" w:color="auto"/>
                <w:bottom w:val="none" w:sz="0" w:space="0" w:color="auto"/>
                <w:right w:val="none" w:sz="0" w:space="0" w:color="auto"/>
              </w:divBdr>
            </w:div>
            <w:div w:id="1633514009">
              <w:marLeft w:val="0"/>
              <w:marRight w:val="0"/>
              <w:marTop w:val="0"/>
              <w:marBottom w:val="0"/>
              <w:divBdr>
                <w:top w:val="none" w:sz="0" w:space="0" w:color="auto"/>
                <w:left w:val="none" w:sz="0" w:space="0" w:color="auto"/>
                <w:bottom w:val="none" w:sz="0" w:space="0" w:color="auto"/>
                <w:right w:val="none" w:sz="0" w:space="0" w:color="auto"/>
              </w:divBdr>
            </w:div>
          </w:divsChild>
        </w:div>
        <w:div w:id="1347828207">
          <w:marLeft w:val="0"/>
          <w:marRight w:val="0"/>
          <w:marTop w:val="0"/>
          <w:marBottom w:val="0"/>
          <w:divBdr>
            <w:top w:val="none" w:sz="0" w:space="0" w:color="auto"/>
            <w:left w:val="none" w:sz="0" w:space="0" w:color="auto"/>
            <w:bottom w:val="none" w:sz="0" w:space="0" w:color="auto"/>
            <w:right w:val="none" w:sz="0" w:space="0" w:color="auto"/>
          </w:divBdr>
          <w:divsChild>
            <w:div w:id="1557006435">
              <w:marLeft w:val="0"/>
              <w:marRight w:val="0"/>
              <w:marTop w:val="0"/>
              <w:marBottom w:val="0"/>
              <w:divBdr>
                <w:top w:val="none" w:sz="0" w:space="0" w:color="auto"/>
                <w:left w:val="none" w:sz="0" w:space="0" w:color="auto"/>
                <w:bottom w:val="none" w:sz="0" w:space="0" w:color="auto"/>
                <w:right w:val="none" w:sz="0" w:space="0" w:color="auto"/>
              </w:divBdr>
            </w:div>
            <w:div w:id="2067603517">
              <w:marLeft w:val="0"/>
              <w:marRight w:val="0"/>
              <w:marTop w:val="0"/>
              <w:marBottom w:val="0"/>
              <w:divBdr>
                <w:top w:val="none" w:sz="0" w:space="0" w:color="auto"/>
                <w:left w:val="none" w:sz="0" w:space="0" w:color="auto"/>
                <w:bottom w:val="none" w:sz="0" w:space="0" w:color="auto"/>
                <w:right w:val="none" w:sz="0" w:space="0" w:color="auto"/>
              </w:divBdr>
            </w:div>
          </w:divsChild>
        </w:div>
        <w:div w:id="1363631318">
          <w:marLeft w:val="0"/>
          <w:marRight w:val="0"/>
          <w:marTop w:val="0"/>
          <w:marBottom w:val="0"/>
          <w:divBdr>
            <w:top w:val="none" w:sz="0" w:space="0" w:color="auto"/>
            <w:left w:val="none" w:sz="0" w:space="0" w:color="auto"/>
            <w:bottom w:val="none" w:sz="0" w:space="0" w:color="auto"/>
            <w:right w:val="none" w:sz="0" w:space="0" w:color="auto"/>
          </w:divBdr>
          <w:divsChild>
            <w:div w:id="597643829">
              <w:marLeft w:val="0"/>
              <w:marRight w:val="0"/>
              <w:marTop w:val="0"/>
              <w:marBottom w:val="0"/>
              <w:divBdr>
                <w:top w:val="none" w:sz="0" w:space="0" w:color="auto"/>
                <w:left w:val="none" w:sz="0" w:space="0" w:color="auto"/>
                <w:bottom w:val="none" w:sz="0" w:space="0" w:color="auto"/>
                <w:right w:val="none" w:sz="0" w:space="0" w:color="auto"/>
              </w:divBdr>
            </w:div>
            <w:div w:id="1383140007">
              <w:marLeft w:val="0"/>
              <w:marRight w:val="0"/>
              <w:marTop w:val="0"/>
              <w:marBottom w:val="0"/>
              <w:divBdr>
                <w:top w:val="none" w:sz="0" w:space="0" w:color="auto"/>
                <w:left w:val="none" w:sz="0" w:space="0" w:color="auto"/>
                <w:bottom w:val="none" w:sz="0" w:space="0" w:color="auto"/>
                <w:right w:val="none" w:sz="0" w:space="0" w:color="auto"/>
              </w:divBdr>
            </w:div>
          </w:divsChild>
        </w:div>
        <w:div w:id="1380931005">
          <w:marLeft w:val="0"/>
          <w:marRight w:val="0"/>
          <w:marTop w:val="0"/>
          <w:marBottom w:val="0"/>
          <w:divBdr>
            <w:top w:val="none" w:sz="0" w:space="0" w:color="auto"/>
            <w:left w:val="none" w:sz="0" w:space="0" w:color="auto"/>
            <w:bottom w:val="none" w:sz="0" w:space="0" w:color="auto"/>
            <w:right w:val="none" w:sz="0" w:space="0" w:color="auto"/>
          </w:divBdr>
          <w:divsChild>
            <w:div w:id="1963026965">
              <w:marLeft w:val="0"/>
              <w:marRight w:val="0"/>
              <w:marTop w:val="0"/>
              <w:marBottom w:val="0"/>
              <w:divBdr>
                <w:top w:val="none" w:sz="0" w:space="0" w:color="auto"/>
                <w:left w:val="none" w:sz="0" w:space="0" w:color="auto"/>
                <w:bottom w:val="none" w:sz="0" w:space="0" w:color="auto"/>
                <w:right w:val="none" w:sz="0" w:space="0" w:color="auto"/>
              </w:divBdr>
            </w:div>
            <w:div w:id="2074698604">
              <w:marLeft w:val="0"/>
              <w:marRight w:val="0"/>
              <w:marTop w:val="0"/>
              <w:marBottom w:val="0"/>
              <w:divBdr>
                <w:top w:val="none" w:sz="0" w:space="0" w:color="auto"/>
                <w:left w:val="none" w:sz="0" w:space="0" w:color="auto"/>
                <w:bottom w:val="none" w:sz="0" w:space="0" w:color="auto"/>
                <w:right w:val="none" w:sz="0" w:space="0" w:color="auto"/>
              </w:divBdr>
            </w:div>
          </w:divsChild>
        </w:div>
        <w:div w:id="1430539319">
          <w:marLeft w:val="0"/>
          <w:marRight w:val="0"/>
          <w:marTop w:val="0"/>
          <w:marBottom w:val="0"/>
          <w:divBdr>
            <w:top w:val="none" w:sz="0" w:space="0" w:color="auto"/>
            <w:left w:val="none" w:sz="0" w:space="0" w:color="auto"/>
            <w:bottom w:val="none" w:sz="0" w:space="0" w:color="auto"/>
            <w:right w:val="none" w:sz="0" w:space="0" w:color="auto"/>
          </w:divBdr>
          <w:divsChild>
            <w:div w:id="2827179">
              <w:marLeft w:val="0"/>
              <w:marRight w:val="0"/>
              <w:marTop w:val="0"/>
              <w:marBottom w:val="0"/>
              <w:divBdr>
                <w:top w:val="none" w:sz="0" w:space="0" w:color="auto"/>
                <w:left w:val="none" w:sz="0" w:space="0" w:color="auto"/>
                <w:bottom w:val="none" w:sz="0" w:space="0" w:color="auto"/>
                <w:right w:val="none" w:sz="0" w:space="0" w:color="auto"/>
              </w:divBdr>
            </w:div>
            <w:div w:id="212888396">
              <w:marLeft w:val="0"/>
              <w:marRight w:val="0"/>
              <w:marTop w:val="0"/>
              <w:marBottom w:val="0"/>
              <w:divBdr>
                <w:top w:val="none" w:sz="0" w:space="0" w:color="auto"/>
                <w:left w:val="none" w:sz="0" w:space="0" w:color="auto"/>
                <w:bottom w:val="none" w:sz="0" w:space="0" w:color="auto"/>
                <w:right w:val="none" w:sz="0" w:space="0" w:color="auto"/>
              </w:divBdr>
            </w:div>
            <w:div w:id="349065064">
              <w:marLeft w:val="0"/>
              <w:marRight w:val="0"/>
              <w:marTop w:val="0"/>
              <w:marBottom w:val="0"/>
              <w:divBdr>
                <w:top w:val="none" w:sz="0" w:space="0" w:color="auto"/>
                <w:left w:val="none" w:sz="0" w:space="0" w:color="auto"/>
                <w:bottom w:val="none" w:sz="0" w:space="0" w:color="auto"/>
                <w:right w:val="none" w:sz="0" w:space="0" w:color="auto"/>
              </w:divBdr>
            </w:div>
            <w:div w:id="586232609">
              <w:marLeft w:val="0"/>
              <w:marRight w:val="0"/>
              <w:marTop w:val="0"/>
              <w:marBottom w:val="0"/>
              <w:divBdr>
                <w:top w:val="none" w:sz="0" w:space="0" w:color="auto"/>
                <w:left w:val="none" w:sz="0" w:space="0" w:color="auto"/>
                <w:bottom w:val="none" w:sz="0" w:space="0" w:color="auto"/>
                <w:right w:val="none" w:sz="0" w:space="0" w:color="auto"/>
              </w:divBdr>
            </w:div>
            <w:div w:id="662242878">
              <w:marLeft w:val="0"/>
              <w:marRight w:val="0"/>
              <w:marTop w:val="0"/>
              <w:marBottom w:val="0"/>
              <w:divBdr>
                <w:top w:val="none" w:sz="0" w:space="0" w:color="auto"/>
                <w:left w:val="none" w:sz="0" w:space="0" w:color="auto"/>
                <w:bottom w:val="none" w:sz="0" w:space="0" w:color="auto"/>
                <w:right w:val="none" w:sz="0" w:space="0" w:color="auto"/>
              </w:divBdr>
            </w:div>
            <w:div w:id="1009017010">
              <w:marLeft w:val="0"/>
              <w:marRight w:val="0"/>
              <w:marTop w:val="0"/>
              <w:marBottom w:val="0"/>
              <w:divBdr>
                <w:top w:val="none" w:sz="0" w:space="0" w:color="auto"/>
                <w:left w:val="none" w:sz="0" w:space="0" w:color="auto"/>
                <w:bottom w:val="none" w:sz="0" w:space="0" w:color="auto"/>
                <w:right w:val="none" w:sz="0" w:space="0" w:color="auto"/>
              </w:divBdr>
            </w:div>
            <w:div w:id="1677684846">
              <w:marLeft w:val="0"/>
              <w:marRight w:val="0"/>
              <w:marTop w:val="0"/>
              <w:marBottom w:val="0"/>
              <w:divBdr>
                <w:top w:val="none" w:sz="0" w:space="0" w:color="auto"/>
                <w:left w:val="none" w:sz="0" w:space="0" w:color="auto"/>
                <w:bottom w:val="none" w:sz="0" w:space="0" w:color="auto"/>
                <w:right w:val="none" w:sz="0" w:space="0" w:color="auto"/>
              </w:divBdr>
            </w:div>
          </w:divsChild>
        </w:div>
        <w:div w:id="1449471012">
          <w:marLeft w:val="0"/>
          <w:marRight w:val="0"/>
          <w:marTop w:val="0"/>
          <w:marBottom w:val="0"/>
          <w:divBdr>
            <w:top w:val="none" w:sz="0" w:space="0" w:color="auto"/>
            <w:left w:val="none" w:sz="0" w:space="0" w:color="auto"/>
            <w:bottom w:val="none" w:sz="0" w:space="0" w:color="auto"/>
            <w:right w:val="none" w:sz="0" w:space="0" w:color="auto"/>
          </w:divBdr>
          <w:divsChild>
            <w:div w:id="883058046">
              <w:marLeft w:val="0"/>
              <w:marRight w:val="0"/>
              <w:marTop w:val="0"/>
              <w:marBottom w:val="0"/>
              <w:divBdr>
                <w:top w:val="none" w:sz="0" w:space="0" w:color="auto"/>
                <w:left w:val="none" w:sz="0" w:space="0" w:color="auto"/>
                <w:bottom w:val="none" w:sz="0" w:space="0" w:color="auto"/>
                <w:right w:val="none" w:sz="0" w:space="0" w:color="auto"/>
              </w:divBdr>
            </w:div>
            <w:div w:id="896207905">
              <w:marLeft w:val="0"/>
              <w:marRight w:val="0"/>
              <w:marTop w:val="0"/>
              <w:marBottom w:val="0"/>
              <w:divBdr>
                <w:top w:val="none" w:sz="0" w:space="0" w:color="auto"/>
                <w:left w:val="none" w:sz="0" w:space="0" w:color="auto"/>
                <w:bottom w:val="none" w:sz="0" w:space="0" w:color="auto"/>
                <w:right w:val="none" w:sz="0" w:space="0" w:color="auto"/>
              </w:divBdr>
            </w:div>
          </w:divsChild>
        </w:div>
        <w:div w:id="1488207973">
          <w:marLeft w:val="0"/>
          <w:marRight w:val="0"/>
          <w:marTop w:val="0"/>
          <w:marBottom w:val="0"/>
          <w:divBdr>
            <w:top w:val="none" w:sz="0" w:space="0" w:color="auto"/>
            <w:left w:val="none" w:sz="0" w:space="0" w:color="auto"/>
            <w:bottom w:val="none" w:sz="0" w:space="0" w:color="auto"/>
            <w:right w:val="none" w:sz="0" w:space="0" w:color="auto"/>
          </w:divBdr>
          <w:divsChild>
            <w:div w:id="412049129">
              <w:marLeft w:val="0"/>
              <w:marRight w:val="0"/>
              <w:marTop w:val="0"/>
              <w:marBottom w:val="0"/>
              <w:divBdr>
                <w:top w:val="none" w:sz="0" w:space="0" w:color="auto"/>
                <w:left w:val="none" w:sz="0" w:space="0" w:color="auto"/>
                <w:bottom w:val="none" w:sz="0" w:space="0" w:color="auto"/>
                <w:right w:val="none" w:sz="0" w:space="0" w:color="auto"/>
              </w:divBdr>
            </w:div>
            <w:div w:id="901057969">
              <w:marLeft w:val="0"/>
              <w:marRight w:val="0"/>
              <w:marTop w:val="0"/>
              <w:marBottom w:val="0"/>
              <w:divBdr>
                <w:top w:val="none" w:sz="0" w:space="0" w:color="auto"/>
                <w:left w:val="none" w:sz="0" w:space="0" w:color="auto"/>
                <w:bottom w:val="none" w:sz="0" w:space="0" w:color="auto"/>
                <w:right w:val="none" w:sz="0" w:space="0" w:color="auto"/>
              </w:divBdr>
            </w:div>
          </w:divsChild>
        </w:div>
        <w:div w:id="1497648838">
          <w:marLeft w:val="0"/>
          <w:marRight w:val="0"/>
          <w:marTop w:val="0"/>
          <w:marBottom w:val="0"/>
          <w:divBdr>
            <w:top w:val="none" w:sz="0" w:space="0" w:color="auto"/>
            <w:left w:val="none" w:sz="0" w:space="0" w:color="auto"/>
            <w:bottom w:val="none" w:sz="0" w:space="0" w:color="auto"/>
            <w:right w:val="none" w:sz="0" w:space="0" w:color="auto"/>
          </w:divBdr>
          <w:divsChild>
            <w:div w:id="86729597">
              <w:marLeft w:val="0"/>
              <w:marRight w:val="0"/>
              <w:marTop w:val="0"/>
              <w:marBottom w:val="0"/>
              <w:divBdr>
                <w:top w:val="none" w:sz="0" w:space="0" w:color="auto"/>
                <w:left w:val="none" w:sz="0" w:space="0" w:color="auto"/>
                <w:bottom w:val="none" w:sz="0" w:space="0" w:color="auto"/>
                <w:right w:val="none" w:sz="0" w:space="0" w:color="auto"/>
              </w:divBdr>
            </w:div>
            <w:div w:id="1909345532">
              <w:marLeft w:val="0"/>
              <w:marRight w:val="0"/>
              <w:marTop w:val="0"/>
              <w:marBottom w:val="0"/>
              <w:divBdr>
                <w:top w:val="none" w:sz="0" w:space="0" w:color="auto"/>
                <w:left w:val="none" w:sz="0" w:space="0" w:color="auto"/>
                <w:bottom w:val="none" w:sz="0" w:space="0" w:color="auto"/>
                <w:right w:val="none" w:sz="0" w:space="0" w:color="auto"/>
              </w:divBdr>
            </w:div>
          </w:divsChild>
        </w:div>
        <w:div w:id="1513253137">
          <w:marLeft w:val="0"/>
          <w:marRight w:val="0"/>
          <w:marTop w:val="0"/>
          <w:marBottom w:val="0"/>
          <w:divBdr>
            <w:top w:val="none" w:sz="0" w:space="0" w:color="auto"/>
            <w:left w:val="none" w:sz="0" w:space="0" w:color="auto"/>
            <w:bottom w:val="none" w:sz="0" w:space="0" w:color="auto"/>
            <w:right w:val="none" w:sz="0" w:space="0" w:color="auto"/>
          </w:divBdr>
          <w:divsChild>
            <w:div w:id="334112833">
              <w:marLeft w:val="0"/>
              <w:marRight w:val="0"/>
              <w:marTop w:val="0"/>
              <w:marBottom w:val="0"/>
              <w:divBdr>
                <w:top w:val="none" w:sz="0" w:space="0" w:color="auto"/>
                <w:left w:val="none" w:sz="0" w:space="0" w:color="auto"/>
                <w:bottom w:val="none" w:sz="0" w:space="0" w:color="auto"/>
                <w:right w:val="none" w:sz="0" w:space="0" w:color="auto"/>
              </w:divBdr>
            </w:div>
          </w:divsChild>
        </w:div>
        <w:div w:id="1643584804">
          <w:marLeft w:val="0"/>
          <w:marRight w:val="0"/>
          <w:marTop w:val="0"/>
          <w:marBottom w:val="0"/>
          <w:divBdr>
            <w:top w:val="none" w:sz="0" w:space="0" w:color="auto"/>
            <w:left w:val="none" w:sz="0" w:space="0" w:color="auto"/>
            <w:bottom w:val="none" w:sz="0" w:space="0" w:color="auto"/>
            <w:right w:val="none" w:sz="0" w:space="0" w:color="auto"/>
          </w:divBdr>
          <w:divsChild>
            <w:div w:id="819272875">
              <w:marLeft w:val="0"/>
              <w:marRight w:val="0"/>
              <w:marTop w:val="0"/>
              <w:marBottom w:val="0"/>
              <w:divBdr>
                <w:top w:val="none" w:sz="0" w:space="0" w:color="auto"/>
                <w:left w:val="none" w:sz="0" w:space="0" w:color="auto"/>
                <w:bottom w:val="none" w:sz="0" w:space="0" w:color="auto"/>
                <w:right w:val="none" w:sz="0" w:space="0" w:color="auto"/>
              </w:divBdr>
            </w:div>
          </w:divsChild>
        </w:div>
        <w:div w:id="1659843687">
          <w:marLeft w:val="0"/>
          <w:marRight w:val="0"/>
          <w:marTop w:val="0"/>
          <w:marBottom w:val="0"/>
          <w:divBdr>
            <w:top w:val="none" w:sz="0" w:space="0" w:color="auto"/>
            <w:left w:val="none" w:sz="0" w:space="0" w:color="auto"/>
            <w:bottom w:val="none" w:sz="0" w:space="0" w:color="auto"/>
            <w:right w:val="none" w:sz="0" w:space="0" w:color="auto"/>
          </w:divBdr>
          <w:divsChild>
            <w:div w:id="1570263789">
              <w:marLeft w:val="0"/>
              <w:marRight w:val="0"/>
              <w:marTop w:val="0"/>
              <w:marBottom w:val="0"/>
              <w:divBdr>
                <w:top w:val="none" w:sz="0" w:space="0" w:color="auto"/>
                <w:left w:val="none" w:sz="0" w:space="0" w:color="auto"/>
                <w:bottom w:val="none" w:sz="0" w:space="0" w:color="auto"/>
                <w:right w:val="none" w:sz="0" w:space="0" w:color="auto"/>
              </w:divBdr>
            </w:div>
            <w:div w:id="1869756986">
              <w:marLeft w:val="0"/>
              <w:marRight w:val="0"/>
              <w:marTop w:val="0"/>
              <w:marBottom w:val="0"/>
              <w:divBdr>
                <w:top w:val="none" w:sz="0" w:space="0" w:color="auto"/>
                <w:left w:val="none" w:sz="0" w:space="0" w:color="auto"/>
                <w:bottom w:val="none" w:sz="0" w:space="0" w:color="auto"/>
                <w:right w:val="none" w:sz="0" w:space="0" w:color="auto"/>
              </w:divBdr>
            </w:div>
          </w:divsChild>
        </w:div>
        <w:div w:id="1720204195">
          <w:marLeft w:val="0"/>
          <w:marRight w:val="0"/>
          <w:marTop w:val="0"/>
          <w:marBottom w:val="0"/>
          <w:divBdr>
            <w:top w:val="none" w:sz="0" w:space="0" w:color="auto"/>
            <w:left w:val="none" w:sz="0" w:space="0" w:color="auto"/>
            <w:bottom w:val="none" w:sz="0" w:space="0" w:color="auto"/>
            <w:right w:val="none" w:sz="0" w:space="0" w:color="auto"/>
          </w:divBdr>
          <w:divsChild>
            <w:div w:id="92554174">
              <w:marLeft w:val="0"/>
              <w:marRight w:val="0"/>
              <w:marTop w:val="0"/>
              <w:marBottom w:val="0"/>
              <w:divBdr>
                <w:top w:val="none" w:sz="0" w:space="0" w:color="auto"/>
                <w:left w:val="none" w:sz="0" w:space="0" w:color="auto"/>
                <w:bottom w:val="none" w:sz="0" w:space="0" w:color="auto"/>
                <w:right w:val="none" w:sz="0" w:space="0" w:color="auto"/>
              </w:divBdr>
            </w:div>
            <w:div w:id="1265725987">
              <w:marLeft w:val="0"/>
              <w:marRight w:val="0"/>
              <w:marTop w:val="0"/>
              <w:marBottom w:val="0"/>
              <w:divBdr>
                <w:top w:val="none" w:sz="0" w:space="0" w:color="auto"/>
                <w:left w:val="none" w:sz="0" w:space="0" w:color="auto"/>
                <w:bottom w:val="none" w:sz="0" w:space="0" w:color="auto"/>
                <w:right w:val="none" w:sz="0" w:space="0" w:color="auto"/>
              </w:divBdr>
            </w:div>
          </w:divsChild>
        </w:div>
        <w:div w:id="1742798926">
          <w:marLeft w:val="0"/>
          <w:marRight w:val="0"/>
          <w:marTop w:val="0"/>
          <w:marBottom w:val="0"/>
          <w:divBdr>
            <w:top w:val="none" w:sz="0" w:space="0" w:color="auto"/>
            <w:left w:val="none" w:sz="0" w:space="0" w:color="auto"/>
            <w:bottom w:val="none" w:sz="0" w:space="0" w:color="auto"/>
            <w:right w:val="none" w:sz="0" w:space="0" w:color="auto"/>
          </w:divBdr>
          <w:divsChild>
            <w:div w:id="12729777">
              <w:marLeft w:val="0"/>
              <w:marRight w:val="0"/>
              <w:marTop w:val="0"/>
              <w:marBottom w:val="0"/>
              <w:divBdr>
                <w:top w:val="none" w:sz="0" w:space="0" w:color="auto"/>
                <w:left w:val="none" w:sz="0" w:space="0" w:color="auto"/>
                <w:bottom w:val="none" w:sz="0" w:space="0" w:color="auto"/>
                <w:right w:val="none" w:sz="0" w:space="0" w:color="auto"/>
              </w:divBdr>
            </w:div>
            <w:div w:id="1471946603">
              <w:marLeft w:val="0"/>
              <w:marRight w:val="0"/>
              <w:marTop w:val="0"/>
              <w:marBottom w:val="0"/>
              <w:divBdr>
                <w:top w:val="none" w:sz="0" w:space="0" w:color="auto"/>
                <w:left w:val="none" w:sz="0" w:space="0" w:color="auto"/>
                <w:bottom w:val="none" w:sz="0" w:space="0" w:color="auto"/>
                <w:right w:val="none" w:sz="0" w:space="0" w:color="auto"/>
              </w:divBdr>
            </w:div>
          </w:divsChild>
        </w:div>
        <w:div w:id="1772969835">
          <w:marLeft w:val="0"/>
          <w:marRight w:val="0"/>
          <w:marTop w:val="0"/>
          <w:marBottom w:val="0"/>
          <w:divBdr>
            <w:top w:val="none" w:sz="0" w:space="0" w:color="auto"/>
            <w:left w:val="none" w:sz="0" w:space="0" w:color="auto"/>
            <w:bottom w:val="none" w:sz="0" w:space="0" w:color="auto"/>
            <w:right w:val="none" w:sz="0" w:space="0" w:color="auto"/>
          </w:divBdr>
          <w:divsChild>
            <w:div w:id="328025833">
              <w:marLeft w:val="0"/>
              <w:marRight w:val="0"/>
              <w:marTop w:val="0"/>
              <w:marBottom w:val="0"/>
              <w:divBdr>
                <w:top w:val="none" w:sz="0" w:space="0" w:color="auto"/>
                <w:left w:val="none" w:sz="0" w:space="0" w:color="auto"/>
                <w:bottom w:val="none" w:sz="0" w:space="0" w:color="auto"/>
                <w:right w:val="none" w:sz="0" w:space="0" w:color="auto"/>
              </w:divBdr>
            </w:div>
            <w:div w:id="1159884353">
              <w:marLeft w:val="0"/>
              <w:marRight w:val="0"/>
              <w:marTop w:val="0"/>
              <w:marBottom w:val="0"/>
              <w:divBdr>
                <w:top w:val="none" w:sz="0" w:space="0" w:color="auto"/>
                <w:left w:val="none" w:sz="0" w:space="0" w:color="auto"/>
                <w:bottom w:val="none" w:sz="0" w:space="0" w:color="auto"/>
                <w:right w:val="none" w:sz="0" w:space="0" w:color="auto"/>
              </w:divBdr>
            </w:div>
            <w:div w:id="2026245187">
              <w:marLeft w:val="0"/>
              <w:marRight w:val="0"/>
              <w:marTop w:val="0"/>
              <w:marBottom w:val="0"/>
              <w:divBdr>
                <w:top w:val="none" w:sz="0" w:space="0" w:color="auto"/>
                <w:left w:val="none" w:sz="0" w:space="0" w:color="auto"/>
                <w:bottom w:val="none" w:sz="0" w:space="0" w:color="auto"/>
                <w:right w:val="none" w:sz="0" w:space="0" w:color="auto"/>
              </w:divBdr>
            </w:div>
          </w:divsChild>
        </w:div>
        <w:div w:id="1801217668">
          <w:marLeft w:val="0"/>
          <w:marRight w:val="0"/>
          <w:marTop w:val="0"/>
          <w:marBottom w:val="0"/>
          <w:divBdr>
            <w:top w:val="none" w:sz="0" w:space="0" w:color="auto"/>
            <w:left w:val="none" w:sz="0" w:space="0" w:color="auto"/>
            <w:bottom w:val="none" w:sz="0" w:space="0" w:color="auto"/>
            <w:right w:val="none" w:sz="0" w:space="0" w:color="auto"/>
          </w:divBdr>
          <w:divsChild>
            <w:div w:id="561063756">
              <w:marLeft w:val="0"/>
              <w:marRight w:val="0"/>
              <w:marTop w:val="0"/>
              <w:marBottom w:val="0"/>
              <w:divBdr>
                <w:top w:val="none" w:sz="0" w:space="0" w:color="auto"/>
                <w:left w:val="none" w:sz="0" w:space="0" w:color="auto"/>
                <w:bottom w:val="none" w:sz="0" w:space="0" w:color="auto"/>
                <w:right w:val="none" w:sz="0" w:space="0" w:color="auto"/>
              </w:divBdr>
            </w:div>
            <w:div w:id="1104227900">
              <w:marLeft w:val="0"/>
              <w:marRight w:val="0"/>
              <w:marTop w:val="0"/>
              <w:marBottom w:val="0"/>
              <w:divBdr>
                <w:top w:val="none" w:sz="0" w:space="0" w:color="auto"/>
                <w:left w:val="none" w:sz="0" w:space="0" w:color="auto"/>
                <w:bottom w:val="none" w:sz="0" w:space="0" w:color="auto"/>
                <w:right w:val="none" w:sz="0" w:space="0" w:color="auto"/>
              </w:divBdr>
            </w:div>
            <w:div w:id="1180509796">
              <w:marLeft w:val="0"/>
              <w:marRight w:val="0"/>
              <w:marTop w:val="0"/>
              <w:marBottom w:val="0"/>
              <w:divBdr>
                <w:top w:val="none" w:sz="0" w:space="0" w:color="auto"/>
                <w:left w:val="none" w:sz="0" w:space="0" w:color="auto"/>
                <w:bottom w:val="none" w:sz="0" w:space="0" w:color="auto"/>
                <w:right w:val="none" w:sz="0" w:space="0" w:color="auto"/>
              </w:divBdr>
            </w:div>
            <w:div w:id="1331903732">
              <w:marLeft w:val="0"/>
              <w:marRight w:val="0"/>
              <w:marTop w:val="0"/>
              <w:marBottom w:val="0"/>
              <w:divBdr>
                <w:top w:val="none" w:sz="0" w:space="0" w:color="auto"/>
                <w:left w:val="none" w:sz="0" w:space="0" w:color="auto"/>
                <w:bottom w:val="none" w:sz="0" w:space="0" w:color="auto"/>
                <w:right w:val="none" w:sz="0" w:space="0" w:color="auto"/>
              </w:divBdr>
            </w:div>
            <w:div w:id="1530873545">
              <w:marLeft w:val="0"/>
              <w:marRight w:val="0"/>
              <w:marTop w:val="0"/>
              <w:marBottom w:val="0"/>
              <w:divBdr>
                <w:top w:val="none" w:sz="0" w:space="0" w:color="auto"/>
                <w:left w:val="none" w:sz="0" w:space="0" w:color="auto"/>
                <w:bottom w:val="none" w:sz="0" w:space="0" w:color="auto"/>
                <w:right w:val="none" w:sz="0" w:space="0" w:color="auto"/>
              </w:divBdr>
            </w:div>
            <w:div w:id="1604460401">
              <w:marLeft w:val="0"/>
              <w:marRight w:val="0"/>
              <w:marTop w:val="0"/>
              <w:marBottom w:val="0"/>
              <w:divBdr>
                <w:top w:val="none" w:sz="0" w:space="0" w:color="auto"/>
                <w:left w:val="none" w:sz="0" w:space="0" w:color="auto"/>
                <w:bottom w:val="none" w:sz="0" w:space="0" w:color="auto"/>
                <w:right w:val="none" w:sz="0" w:space="0" w:color="auto"/>
              </w:divBdr>
            </w:div>
            <w:div w:id="1785418955">
              <w:marLeft w:val="0"/>
              <w:marRight w:val="0"/>
              <w:marTop w:val="0"/>
              <w:marBottom w:val="0"/>
              <w:divBdr>
                <w:top w:val="none" w:sz="0" w:space="0" w:color="auto"/>
                <w:left w:val="none" w:sz="0" w:space="0" w:color="auto"/>
                <w:bottom w:val="none" w:sz="0" w:space="0" w:color="auto"/>
                <w:right w:val="none" w:sz="0" w:space="0" w:color="auto"/>
              </w:divBdr>
            </w:div>
            <w:div w:id="1838963045">
              <w:marLeft w:val="0"/>
              <w:marRight w:val="0"/>
              <w:marTop w:val="0"/>
              <w:marBottom w:val="0"/>
              <w:divBdr>
                <w:top w:val="none" w:sz="0" w:space="0" w:color="auto"/>
                <w:left w:val="none" w:sz="0" w:space="0" w:color="auto"/>
                <w:bottom w:val="none" w:sz="0" w:space="0" w:color="auto"/>
                <w:right w:val="none" w:sz="0" w:space="0" w:color="auto"/>
              </w:divBdr>
            </w:div>
            <w:div w:id="1854488568">
              <w:marLeft w:val="0"/>
              <w:marRight w:val="0"/>
              <w:marTop w:val="0"/>
              <w:marBottom w:val="0"/>
              <w:divBdr>
                <w:top w:val="none" w:sz="0" w:space="0" w:color="auto"/>
                <w:left w:val="none" w:sz="0" w:space="0" w:color="auto"/>
                <w:bottom w:val="none" w:sz="0" w:space="0" w:color="auto"/>
                <w:right w:val="none" w:sz="0" w:space="0" w:color="auto"/>
              </w:divBdr>
            </w:div>
            <w:div w:id="2064475812">
              <w:marLeft w:val="0"/>
              <w:marRight w:val="0"/>
              <w:marTop w:val="0"/>
              <w:marBottom w:val="0"/>
              <w:divBdr>
                <w:top w:val="none" w:sz="0" w:space="0" w:color="auto"/>
                <w:left w:val="none" w:sz="0" w:space="0" w:color="auto"/>
                <w:bottom w:val="none" w:sz="0" w:space="0" w:color="auto"/>
                <w:right w:val="none" w:sz="0" w:space="0" w:color="auto"/>
              </w:divBdr>
            </w:div>
          </w:divsChild>
        </w:div>
        <w:div w:id="1837453543">
          <w:marLeft w:val="0"/>
          <w:marRight w:val="0"/>
          <w:marTop w:val="0"/>
          <w:marBottom w:val="0"/>
          <w:divBdr>
            <w:top w:val="none" w:sz="0" w:space="0" w:color="auto"/>
            <w:left w:val="none" w:sz="0" w:space="0" w:color="auto"/>
            <w:bottom w:val="none" w:sz="0" w:space="0" w:color="auto"/>
            <w:right w:val="none" w:sz="0" w:space="0" w:color="auto"/>
          </w:divBdr>
          <w:divsChild>
            <w:div w:id="157159972">
              <w:marLeft w:val="0"/>
              <w:marRight w:val="0"/>
              <w:marTop w:val="0"/>
              <w:marBottom w:val="0"/>
              <w:divBdr>
                <w:top w:val="none" w:sz="0" w:space="0" w:color="auto"/>
                <w:left w:val="none" w:sz="0" w:space="0" w:color="auto"/>
                <w:bottom w:val="none" w:sz="0" w:space="0" w:color="auto"/>
                <w:right w:val="none" w:sz="0" w:space="0" w:color="auto"/>
              </w:divBdr>
            </w:div>
            <w:div w:id="211968525">
              <w:marLeft w:val="0"/>
              <w:marRight w:val="0"/>
              <w:marTop w:val="0"/>
              <w:marBottom w:val="0"/>
              <w:divBdr>
                <w:top w:val="none" w:sz="0" w:space="0" w:color="auto"/>
                <w:left w:val="none" w:sz="0" w:space="0" w:color="auto"/>
                <w:bottom w:val="none" w:sz="0" w:space="0" w:color="auto"/>
                <w:right w:val="none" w:sz="0" w:space="0" w:color="auto"/>
              </w:divBdr>
            </w:div>
            <w:div w:id="334112910">
              <w:marLeft w:val="0"/>
              <w:marRight w:val="0"/>
              <w:marTop w:val="0"/>
              <w:marBottom w:val="0"/>
              <w:divBdr>
                <w:top w:val="none" w:sz="0" w:space="0" w:color="auto"/>
                <w:left w:val="none" w:sz="0" w:space="0" w:color="auto"/>
                <w:bottom w:val="none" w:sz="0" w:space="0" w:color="auto"/>
                <w:right w:val="none" w:sz="0" w:space="0" w:color="auto"/>
              </w:divBdr>
            </w:div>
            <w:div w:id="518586835">
              <w:marLeft w:val="0"/>
              <w:marRight w:val="0"/>
              <w:marTop w:val="0"/>
              <w:marBottom w:val="0"/>
              <w:divBdr>
                <w:top w:val="none" w:sz="0" w:space="0" w:color="auto"/>
                <w:left w:val="none" w:sz="0" w:space="0" w:color="auto"/>
                <w:bottom w:val="none" w:sz="0" w:space="0" w:color="auto"/>
                <w:right w:val="none" w:sz="0" w:space="0" w:color="auto"/>
              </w:divBdr>
            </w:div>
            <w:div w:id="783037827">
              <w:marLeft w:val="0"/>
              <w:marRight w:val="0"/>
              <w:marTop w:val="0"/>
              <w:marBottom w:val="0"/>
              <w:divBdr>
                <w:top w:val="none" w:sz="0" w:space="0" w:color="auto"/>
                <w:left w:val="none" w:sz="0" w:space="0" w:color="auto"/>
                <w:bottom w:val="none" w:sz="0" w:space="0" w:color="auto"/>
                <w:right w:val="none" w:sz="0" w:space="0" w:color="auto"/>
              </w:divBdr>
            </w:div>
            <w:div w:id="968753285">
              <w:marLeft w:val="0"/>
              <w:marRight w:val="0"/>
              <w:marTop w:val="0"/>
              <w:marBottom w:val="0"/>
              <w:divBdr>
                <w:top w:val="none" w:sz="0" w:space="0" w:color="auto"/>
                <w:left w:val="none" w:sz="0" w:space="0" w:color="auto"/>
                <w:bottom w:val="none" w:sz="0" w:space="0" w:color="auto"/>
                <w:right w:val="none" w:sz="0" w:space="0" w:color="auto"/>
              </w:divBdr>
            </w:div>
            <w:div w:id="1507863208">
              <w:marLeft w:val="0"/>
              <w:marRight w:val="0"/>
              <w:marTop w:val="0"/>
              <w:marBottom w:val="0"/>
              <w:divBdr>
                <w:top w:val="none" w:sz="0" w:space="0" w:color="auto"/>
                <w:left w:val="none" w:sz="0" w:space="0" w:color="auto"/>
                <w:bottom w:val="none" w:sz="0" w:space="0" w:color="auto"/>
                <w:right w:val="none" w:sz="0" w:space="0" w:color="auto"/>
              </w:divBdr>
            </w:div>
            <w:div w:id="1521772985">
              <w:marLeft w:val="0"/>
              <w:marRight w:val="0"/>
              <w:marTop w:val="0"/>
              <w:marBottom w:val="0"/>
              <w:divBdr>
                <w:top w:val="none" w:sz="0" w:space="0" w:color="auto"/>
                <w:left w:val="none" w:sz="0" w:space="0" w:color="auto"/>
                <w:bottom w:val="none" w:sz="0" w:space="0" w:color="auto"/>
                <w:right w:val="none" w:sz="0" w:space="0" w:color="auto"/>
              </w:divBdr>
            </w:div>
            <w:div w:id="1813518489">
              <w:marLeft w:val="0"/>
              <w:marRight w:val="0"/>
              <w:marTop w:val="0"/>
              <w:marBottom w:val="0"/>
              <w:divBdr>
                <w:top w:val="none" w:sz="0" w:space="0" w:color="auto"/>
                <w:left w:val="none" w:sz="0" w:space="0" w:color="auto"/>
                <w:bottom w:val="none" w:sz="0" w:space="0" w:color="auto"/>
                <w:right w:val="none" w:sz="0" w:space="0" w:color="auto"/>
              </w:divBdr>
            </w:div>
          </w:divsChild>
        </w:div>
        <w:div w:id="1901944728">
          <w:marLeft w:val="0"/>
          <w:marRight w:val="0"/>
          <w:marTop w:val="0"/>
          <w:marBottom w:val="0"/>
          <w:divBdr>
            <w:top w:val="none" w:sz="0" w:space="0" w:color="auto"/>
            <w:left w:val="none" w:sz="0" w:space="0" w:color="auto"/>
            <w:bottom w:val="none" w:sz="0" w:space="0" w:color="auto"/>
            <w:right w:val="none" w:sz="0" w:space="0" w:color="auto"/>
          </w:divBdr>
          <w:divsChild>
            <w:div w:id="835070188">
              <w:marLeft w:val="0"/>
              <w:marRight w:val="0"/>
              <w:marTop w:val="0"/>
              <w:marBottom w:val="0"/>
              <w:divBdr>
                <w:top w:val="none" w:sz="0" w:space="0" w:color="auto"/>
                <w:left w:val="none" w:sz="0" w:space="0" w:color="auto"/>
                <w:bottom w:val="none" w:sz="0" w:space="0" w:color="auto"/>
                <w:right w:val="none" w:sz="0" w:space="0" w:color="auto"/>
              </w:divBdr>
            </w:div>
          </w:divsChild>
        </w:div>
        <w:div w:id="1904369074">
          <w:marLeft w:val="0"/>
          <w:marRight w:val="0"/>
          <w:marTop w:val="0"/>
          <w:marBottom w:val="0"/>
          <w:divBdr>
            <w:top w:val="none" w:sz="0" w:space="0" w:color="auto"/>
            <w:left w:val="none" w:sz="0" w:space="0" w:color="auto"/>
            <w:bottom w:val="none" w:sz="0" w:space="0" w:color="auto"/>
            <w:right w:val="none" w:sz="0" w:space="0" w:color="auto"/>
          </w:divBdr>
          <w:divsChild>
            <w:div w:id="43189034">
              <w:marLeft w:val="0"/>
              <w:marRight w:val="0"/>
              <w:marTop w:val="0"/>
              <w:marBottom w:val="0"/>
              <w:divBdr>
                <w:top w:val="none" w:sz="0" w:space="0" w:color="auto"/>
                <w:left w:val="none" w:sz="0" w:space="0" w:color="auto"/>
                <w:bottom w:val="none" w:sz="0" w:space="0" w:color="auto"/>
                <w:right w:val="none" w:sz="0" w:space="0" w:color="auto"/>
              </w:divBdr>
            </w:div>
            <w:div w:id="236745115">
              <w:marLeft w:val="0"/>
              <w:marRight w:val="0"/>
              <w:marTop w:val="0"/>
              <w:marBottom w:val="0"/>
              <w:divBdr>
                <w:top w:val="none" w:sz="0" w:space="0" w:color="auto"/>
                <w:left w:val="none" w:sz="0" w:space="0" w:color="auto"/>
                <w:bottom w:val="none" w:sz="0" w:space="0" w:color="auto"/>
                <w:right w:val="none" w:sz="0" w:space="0" w:color="auto"/>
              </w:divBdr>
            </w:div>
            <w:div w:id="245847305">
              <w:marLeft w:val="0"/>
              <w:marRight w:val="0"/>
              <w:marTop w:val="0"/>
              <w:marBottom w:val="0"/>
              <w:divBdr>
                <w:top w:val="none" w:sz="0" w:space="0" w:color="auto"/>
                <w:left w:val="none" w:sz="0" w:space="0" w:color="auto"/>
                <w:bottom w:val="none" w:sz="0" w:space="0" w:color="auto"/>
                <w:right w:val="none" w:sz="0" w:space="0" w:color="auto"/>
              </w:divBdr>
            </w:div>
            <w:div w:id="574586828">
              <w:marLeft w:val="0"/>
              <w:marRight w:val="0"/>
              <w:marTop w:val="0"/>
              <w:marBottom w:val="0"/>
              <w:divBdr>
                <w:top w:val="none" w:sz="0" w:space="0" w:color="auto"/>
                <w:left w:val="none" w:sz="0" w:space="0" w:color="auto"/>
                <w:bottom w:val="none" w:sz="0" w:space="0" w:color="auto"/>
                <w:right w:val="none" w:sz="0" w:space="0" w:color="auto"/>
              </w:divBdr>
            </w:div>
            <w:div w:id="1246961272">
              <w:marLeft w:val="0"/>
              <w:marRight w:val="0"/>
              <w:marTop w:val="0"/>
              <w:marBottom w:val="0"/>
              <w:divBdr>
                <w:top w:val="none" w:sz="0" w:space="0" w:color="auto"/>
                <w:left w:val="none" w:sz="0" w:space="0" w:color="auto"/>
                <w:bottom w:val="none" w:sz="0" w:space="0" w:color="auto"/>
                <w:right w:val="none" w:sz="0" w:space="0" w:color="auto"/>
              </w:divBdr>
            </w:div>
            <w:div w:id="1279678530">
              <w:marLeft w:val="0"/>
              <w:marRight w:val="0"/>
              <w:marTop w:val="0"/>
              <w:marBottom w:val="0"/>
              <w:divBdr>
                <w:top w:val="none" w:sz="0" w:space="0" w:color="auto"/>
                <w:left w:val="none" w:sz="0" w:space="0" w:color="auto"/>
                <w:bottom w:val="none" w:sz="0" w:space="0" w:color="auto"/>
                <w:right w:val="none" w:sz="0" w:space="0" w:color="auto"/>
              </w:divBdr>
            </w:div>
            <w:div w:id="1583293936">
              <w:marLeft w:val="0"/>
              <w:marRight w:val="0"/>
              <w:marTop w:val="0"/>
              <w:marBottom w:val="0"/>
              <w:divBdr>
                <w:top w:val="none" w:sz="0" w:space="0" w:color="auto"/>
                <w:left w:val="none" w:sz="0" w:space="0" w:color="auto"/>
                <w:bottom w:val="none" w:sz="0" w:space="0" w:color="auto"/>
                <w:right w:val="none" w:sz="0" w:space="0" w:color="auto"/>
              </w:divBdr>
            </w:div>
            <w:div w:id="1609502764">
              <w:marLeft w:val="0"/>
              <w:marRight w:val="0"/>
              <w:marTop w:val="0"/>
              <w:marBottom w:val="0"/>
              <w:divBdr>
                <w:top w:val="none" w:sz="0" w:space="0" w:color="auto"/>
                <w:left w:val="none" w:sz="0" w:space="0" w:color="auto"/>
                <w:bottom w:val="none" w:sz="0" w:space="0" w:color="auto"/>
                <w:right w:val="none" w:sz="0" w:space="0" w:color="auto"/>
              </w:divBdr>
            </w:div>
            <w:div w:id="1963731634">
              <w:marLeft w:val="0"/>
              <w:marRight w:val="0"/>
              <w:marTop w:val="0"/>
              <w:marBottom w:val="0"/>
              <w:divBdr>
                <w:top w:val="none" w:sz="0" w:space="0" w:color="auto"/>
                <w:left w:val="none" w:sz="0" w:space="0" w:color="auto"/>
                <w:bottom w:val="none" w:sz="0" w:space="0" w:color="auto"/>
                <w:right w:val="none" w:sz="0" w:space="0" w:color="auto"/>
              </w:divBdr>
            </w:div>
          </w:divsChild>
        </w:div>
        <w:div w:id="1982073697">
          <w:marLeft w:val="0"/>
          <w:marRight w:val="0"/>
          <w:marTop w:val="0"/>
          <w:marBottom w:val="0"/>
          <w:divBdr>
            <w:top w:val="none" w:sz="0" w:space="0" w:color="auto"/>
            <w:left w:val="none" w:sz="0" w:space="0" w:color="auto"/>
            <w:bottom w:val="none" w:sz="0" w:space="0" w:color="auto"/>
            <w:right w:val="none" w:sz="0" w:space="0" w:color="auto"/>
          </w:divBdr>
          <w:divsChild>
            <w:div w:id="1424455092">
              <w:marLeft w:val="0"/>
              <w:marRight w:val="0"/>
              <w:marTop w:val="0"/>
              <w:marBottom w:val="0"/>
              <w:divBdr>
                <w:top w:val="none" w:sz="0" w:space="0" w:color="auto"/>
                <w:left w:val="none" w:sz="0" w:space="0" w:color="auto"/>
                <w:bottom w:val="none" w:sz="0" w:space="0" w:color="auto"/>
                <w:right w:val="none" w:sz="0" w:space="0" w:color="auto"/>
              </w:divBdr>
            </w:div>
            <w:div w:id="1491602009">
              <w:marLeft w:val="0"/>
              <w:marRight w:val="0"/>
              <w:marTop w:val="0"/>
              <w:marBottom w:val="0"/>
              <w:divBdr>
                <w:top w:val="none" w:sz="0" w:space="0" w:color="auto"/>
                <w:left w:val="none" w:sz="0" w:space="0" w:color="auto"/>
                <w:bottom w:val="none" w:sz="0" w:space="0" w:color="auto"/>
                <w:right w:val="none" w:sz="0" w:space="0" w:color="auto"/>
              </w:divBdr>
            </w:div>
          </w:divsChild>
        </w:div>
        <w:div w:id="1995840547">
          <w:marLeft w:val="0"/>
          <w:marRight w:val="0"/>
          <w:marTop w:val="0"/>
          <w:marBottom w:val="0"/>
          <w:divBdr>
            <w:top w:val="none" w:sz="0" w:space="0" w:color="auto"/>
            <w:left w:val="none" w:sz="0" w:space="0" w:color="auto"/>
            <w:bottom w:val="none" w:sz="0" w:space="0" w:color="auto"/>
            <w:right w:val="none" w:sz="0" w:space="0" w:color="auto"/>
          </w:divBdr>
          <w:divsChild>
            <w:div w:id="228151882">
              <w:marLeft w:val="0"/>
              <w:marRight w:val="0"/>
              <w:marTop w:val="0"/>
              <w:marBottom w:val="0"/>
              <w:divBdr>
                <w:top w:val="none" w:sz="0" w:space="0" w:color="auto"/>
                <w:left w:val="none" w:sz="0" w:space="0" w:color="auto"/>
                <w:bottom w:val="none" w:sz="0" w:space="0" w:color="auto"/>
                <w:right w:val="none" w:sz="0" w:space="0" w:color="auto"/>
              </w:divBdr>
            </w:div>
            <w:div w:id="1328822073">
              <w:marLeft w:val="0"/>
              <w:marRight w:val="0"/>
              <w:marTop w:val="0"/>
              <w:marBottom w:val="0"/>
              <w:divBdr>
                <w:top w:val="none" w:sz="0" w:space="0" w:color="auto"/>
                <w:left w:val="none" w:sz="0" w:space="0" w:color="auto"/>
                <w:bottom w:val="none" w:sz="0" w:space="0" w:color="auto"/>
                <w:right w:val="none" w:sz="0" w:space="0" w:color="auto"/>
              </w:divBdr>
            </w:div>
          </w:divsChild>
        </w:div>
        <w:div w:id="2057702937">
          <w:marLeft w:val="0"/>
          <w:marRight w:val="0"/>
          <w:marTop w:val="0"/>
          <w:marBottom w:val="0"/>
          <w:divBdr>
            <w:top w:val="none" w:sz="0" w:space="0" w:color="auto"/>
            <w:left w:val="none" w:sz="0" w:space="0" w:color="auto"/>
            <w:bottom w:val="none" w:sz="0" w:space="0" w:color="auto"/>
            <w:right w:val="none" w:sz="0" w:space="0" w:color="auto"/>
          </w:divBdr>
          <w:divsChild>
            <w:div w:id="590816672">
              <w:marLeft w:val="0"/>
              <w:marRight w:val="0"/>
              <w:marTop w:val="0"/>
              <w:marBottom w:val="0"/>
              <w:divBdr>
                <w:top w:val="none" w:sz="0" w:space="0" w:color="auto"/>
                <w:left w:val="none" w:sz="0" w:space="0" w:color="auto"/>
                <w:bottom w:val="none" w:sz="0" w:space="0" w:color="auto"/>
                <w:right w:val="none" w:sz="0" w:space="0" w:color="auto"/>
              </w:divBdr>
            </w:div>
            <w:div w:id="783041711">
              <w:marLeft w:val="0"/>
              <w:marRight w:val="0"/>
              <w:marTop w:val="0"/>
              <w:marBottom w:val="0"/>
              <w:divBdr>
                <w:top w:val="none" w:sz="0" w:space="0" w:color="auto"/>
                <w:left w:val="none" w:sz="0" w:space="0" w:color="auto"/>
                <w:bottom w:val="none" w:sz="0" w:space="0" w:color="auto"/>
                <w:right w:val="none" w:sz="0" w:space="0" w:color="auto"/>
              </w:divBdr>
            </w:div>
            <w:div w:id="783887639">
              <w:marLeft w:val="0"/>
              <w:marRight w:val="0"/>
              <w:marTop w:val="0"/>
              <w:marBottom w:val="0"/>
              <w:divBdr>
                <w:top w:val="none" w:sz="0" w:space="0" w:color="auto"/>
                <w:left w:val="none" w:sz="0" w:space="0" w:color="auto"/>
                <w:bottom w:val="none" w:sz="0" w:space="0" w:color="auto"/>
                <w:right w:val="none" w:sz="0" w:space="0" w:color="auto"/>
              </w:divBdr>
            </w:div>
            <w:div w:id="1483111029">
              <w:marLeft w:val="0"/>
              <w:marRight w:val="0"/>
              <w:marTop w:val="0"/>
              <w:marBottom w:val="0"/>
              <w:divBdr>
                <w:top w:val="none" w:sz="0" w:space="0" w:color="auto"/>
                <w:left w:val="none" w:sz="0" w:space="0" w:color="auto"/>
                <w:bottom w:val="none" w:sz="0" w:space="0" w:color="auto"/>
                <w:right w:val="none" w:sz="0" w:space="0" w:color="auto"/>
              </w:divBdr>
            </w:div>
          </w:divsChild>
        </w:div>
        <w:div w:id="2130464149">
          <w:marLeft w:val="0"/>
          <w:marRight w:val="0"/>
          <w:marTop w:val="0"/>
          <w:marBottom w:val="0"/>
          <w:divBdr>
            <w:top w:val="none" w:sz="0" w:space="0" w:color="auto"/>
            <w:left w:val="none" w:sz="0" w:space="0" w:color="auto"/>
            <w:bottom w:val="none" w:sz="0" w:space="0" w:color="auto"/>
            <w:right w:val="none" w:sz="0" w:space="0" w:color="auto"/>
          </w:divBdr>
          <w:divsChild>
            <w:div w:id="876937286">
              <w:marLeft w:val="0"/>
              <w:marRight w:val="0"/>
              <w:marTop w:val="0"/>
              <w:marBottom w:val="0"/>
              <w:divBdr>
                <w:top w:val="none" w:sz="0" w:space="0" w:color="auto"/>
                <w:left w:val="none" w:sz="0" w:space="0" w:color="auto"/>
                <w:bottom w:val="none" w:sz="0" w:space="0" w:color="auto"/>
                <w:right w:val="none" w:sz="0" w:space="0" w:color="auto"/>
              </w:divBdr>
            </w:div>
          </w:divsChild>
        </w:div>
        <w:div w:id="2133211053">
          <w:marLeft w:val="0"/>
          <w:marRight w:val="0"/>
          <w:marTop w:val="0"/>
          <w:marBottom w:val="0"/>
          <w:divBdr>
            <w:top w:val="none" w:sz="0" w:space="0" w:color="auto"/>
            <w:left w:val="none" w:sz="0" w:space="0" w:color="auto"/>
            <w:bottom w:val="none" w:sz="0" w:space="0" w:color="auto"/>
            <w:right w:val="none" w:sz="0" w:space="0" w:color="auto"/>
          </w:divBdr>
          <w:divsChild>
            <w:div w:id="156574682">
              <w:marLeft w:val="0"/>
              <w:marRight w:val="0"/>
              <w:marTop w:val="0"/>
              <w:marBottom w:val="0"/>
              <w:divBdr>
                <w:top w:val="none" w:sz="0" w:space="0" w:color="auto"/>
                <w:left w:val="none" w:sz="0" w:space="0" w:color="auto"/>
                <w:bottom w:val="none" w:sz="0" w:space="0" w:color="auto"/>
                <w:right w:val="none" w:sz="0" w:space="0" w:color="auto"/>
              </w:divBdr>
            </w:div>
            <w:div w:id="412972248">
              <w:marLeft w:val="0"/>
              <w:marRight w:val="0"/>
              <w:marTop w:val="0"/>
              <w:marBottom w:val="0"/>
              <w:divBdr>
                <w:top w:val="none" w:sz="0" w:space="0" w:color="auto"/>
                <w:left w:val="none" w:sz="0" w:space="0" w:color="auto"/>
                <w:bottom w:val="none" w:sz="0" w:space="0" w:color="auto"/>
                <w:right w:val="none" w:sz="0" w:space="0" w:color="auto"/>
              </w:divBdr>
            </w:div>
            <w:div w:id="914971504">
              <w:marLeft w:val="0"/>
              <w:marRight w:val="0"/>
              <w:marTop w:val="0"/>
              <w:marBottom w:val="0"/>
              <w:divBdr>
                <w:top w:val="none" w:sz="0" w:space="0" w:color="auto"/>
                <w:left w:val="none" w:sz="0" w:space="0" w:color="auto"/>
                <w:bottom w:val="none" w:sz="0" w:space="0" w:color="auto"/>
                <w:right w:val="none" w:sz="0" w:space="0" w:color="auto"/>
              </w:divBdr>
            </w:div>
            <w:div w:id="1130396121">
              <w:marLeft w:val="0"/>
              <w:marRight w:val="0"/>
              <w:marTop w:val="0"/>
              <w:marBottom w:val="0"/>
              <w:divBdr>
                <w:top w:val="none" w:sz="0" w:space="0" w:color="auto"/>
                <w:left w:val="none" w:sz="0" w:space="0" w:color="auto"/>
                <w:bottom w:val="none" w:sz="0" w:space="0" w:color="auto"/>
                <w:right w:val="none" w:sz="0" w:space="0" w:color="auto"/>
              </w:divBdr>
            </w:div>
            <w:div w:id="1148128571">
              <w:marLeft w:val="0"/>
              <w:marRight w:val="0"/>
              <w:marTop w:val="0"/>
              <w:marBottom w:val="0"/>
              <w:divBdr>
                <w:top w:val="none" w:sz="0" w:space="0" w:color="auto"/>
                <w:left w:val="none" w:sz="0" w:space="0" w:color="auto"/>
                <w:bottom w:val="none" w:sz="0" w:space="0" w:color="auto"/>
                <w:right w:val="none" w:sz="0" w:space="0" w:color="auto"/>
              </w:divBdr>
            </w:div>
            <w:div w:id="1715690340">
              <w:marLeft w:val="0"/>
              <w:marRight w:val="0"/>
              <w:marTop w:val="0"/>
              <w:marBottom w:val="0"/>
              <w:divBdr>
                <w:top w:val="none" w:sz="0" w:space="0" w:color="auto"/>
                <w:left w:val="none" w:sz="0" w:space="0" w:color="auto"/>
                <w:bottom w:val="none" w:sz="0" w:space="0" w:color="auto"/>
                <w:right w:val="none" w:sz="0" w:space="0" w:color="auto"/>
              </w:divBdr>
            </w:div>
            <w:div w:id="19331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977">
      <w:bodyDiv w:val="1"/>
      <w:marLeft w:val="0"/>
      <w:marRight w:val="0"/>
      <w:marTop w:val="0"/>
      <w:marBottom w:val="0"/>
      <w:divBdr>
        <w:top w:val="none" w:sz="0" w:space="0" w:color="auto"/>
        <w:left w:val="none" w:sz="0" w:space="0" w:color="auto"/>
        <w:bottom w:val="none" w:sz="0" w:space="0" w:color="auto"/>
        <w:right w:val="none" w:sz="0" w:space="0" w:color="auto"/>
      </w:divBdr>
    </w:div>
    <w:div w:id="213587888">
      <w:bodyDiv w:val="1"/>
      <w:marLeft w:val="0"/>
      <w:marRight w:val="0"/>
      <w:marTop w:val="0"/>
      <w:marBottom w:val="0"/>
      <w:divBdr>
        <w:top w:val="none" w:sz="0" w:space="0" w:color="auto"/>
        <w:left w:val="none" w:sz="0" w:space="0" w:color="auto"/>
        <w:bottom w:val="none" w:sz="0" w:space="0" w:color="auto"/>
        <w:right w:val="none" w:sz="0" w:space="0" w:color="auto"/>
      </w:divBdr>
    </w:div>
    <w:div w:id="241182630">
      <w:bodyDiv w:val="1"/>
      <w:marLeft w:val="0"/>
      <w:marRight w:val="0"/>
      <w:marTop w:val="0"/>
      <w:marBottom w:val="0"/>
      <w:divBdr>
        <w:top w:val="none" w:sz="0" w:space="0" w:color="auto"/>
        <w:left w:val="none" w:sz="0" w:space="0" w:color="auto"/>
        <w:bottom w:val="none" w:sz="0" w:space="0" w:color="auto"/>
        <w:right w:val="none" w:sz="0" w:space="0" w:color="auto"/>
      </w:divBdr>
      <w:divsChild>
        <w:div w:id="242029293">
          <w:marLeft w:val="0"/>
          <w:marRight w:val="0"/>
          <w:marTop w:val="0"/>
          <w:marBottom w:val="0"/>
          <w:divBdr>
            <w:top w:val="none" w:sz="0" w:space="0" w:color="auto"/>
            <w:left w:val="none" w:sz="0" w:space="0" w:color="auto"/>
            <w:bottom w:val="none" w:sz="0" w:space="0" w:color="auto"/>
            <w:right w:val="none" w:sz="0" w:space="0" w:color="auto"/>
          </w:divBdr>
        </w:div>
        <w:div w:id="1046875772">
          <w:marLeft w:val="0"/>
          <w:marRight w:val="0"/>
          <w:marTop w:val="0"/>
          <w:marBottom w:val="0"/>
          <w:divBdr>
            <w:top w:val="none" w:sz="0" w:space="0" w:color="auto"/>
            <w:left w:val="none" w:sz="0" w:space="0" w:color="auto"/>
            <w:bottom w:val="none" w:sz="0" w:space="0" w:color="auto"/>
            <w:right w:val="none" w:sz="0" w:space="0" w:color="auto"/>
          </w:divBdr>
        </w:div>
        <w:div w:id="1198851616">
          <w:marLeft w:val="0"/>
          <w:marRight w:val="0"/>
          <w:marTop w:val="0"/>
          <w:marBottom w:val="0"/>
          <w:divBdr>
            <w:top w:val="none" w:sz="0" w:space="0" w:color="auto"/>
            <w:left w:val="none" w:sz="0" w:space="0" w:color="auto"/>
            <w:bottom w:val="none" w:sz="0" w:space="0" w:color="auto"/>
            <w:right w:val="none" w:sz="0" w:space="0" w:color="auto"/>
          </w:divBdr>
        </w:div>
        <w:div w:id="1211914130">
          <w:marLeft w:val="0"/>
          <w:marRight w:val="0"/>
          <w:marTop w:val="0"/>
          <w:marBottom w:val="0"/>
          <w:divBdr>
            <w:top w:val="none" w:sz="0" w:space="0" w:color="auto"/>
            <w:left w:val="none" w:sz="0" w:space="0" w:color="auto"/>
            <w:bottom w:val="none" w:sz="0" w:space="0" w:color="auto"/>
            <w:right w:val="none" w:sz="0" w:space="0" w:color="auto"/>
          </w:divBdr>
        </w:div>
        <w:div w:id="1243418682">
          <w:marLeft w:val="0"/>
          <w:marRight w:val="0"/>
          <w:marTop w:val="0"/>
          <w:marBottom w:val="0"/>
          <w:divBdr>
            <w:top w:val="none" w:sz="0" w:space="0" w:color="auto"/>
            <w:left w:val="none" w:sz="0" w:space="0" w:color="auto"/>
            <w:bottom w:val="none" w:sz="0" w:space="0" w:color="auto"/>
            <w:right w:val="none" w:sz="0" w:space="0" w:color="auto"/>
          </w:divBdr>
        </w:div>
        <w:div w:id="1542477317">
          <w:marLeft w:val="0"/>
          <w:marRight w:val="0"/>
          <w:marTop w:val="0"/>
          <w:marBottom w:val="0"/>
          <w:divBdr>
            <w:top w:val="none" w:sz="0" w:space="0" w:color="auto"/>
            <w:left w:val="none" w:sz="0" w:space="0" w:color="auto"/>
            <w:bottom w:val="none" w:sz="0" w:space="0" w:color="auto"/>
            <w:right w:val="none" w:sz="0" w:space="0" w:color="auto"/>
          </w:divBdr>
        </w:div>
        <w:div w:id="1828934124">
          <w:marLeft w:val="0"/>
          <w:marRight w:val="0"/>
          <w:marTop w:val="0"/>
          <w:marBottom w:val="0"/>
          <w:divBdr>
            <w:top w:val="none" w:sz="0" w:space="0" w:color="auto"/>
            <w:left w:val="none" w:sz="0" w:space="0" w:color="auto"/>
            <w:bottom w:val="none" w:sz="0" w:space="0" w:color="auto"/>
            <w:right w:val="none" w:sz="0" w:space="0" w:color="auto"/>
          </w:divBdr>
        </w:div>
      </w:divsChild>
    </w:div>
    <w:div w:id="244077269">
      <w:bodyDiv w:val="1"/>
      <w:marLeft w:val="0"/>
      <w:marRight w:val="0"/>
      <w:marTop w:val="0"/>
      <w:marBottom w:val="0"/>
      <w:divBdr>
        <w:top w:val="none" w:sz="0" w:space="0" w:color="auto"/>
        <w:left w:val="none" w:sz="0" w:space="0" w:color="auto"/>
        <w:bottom w:val="none" w:sz="0" w:space="0" w:color="auto"/>
        <w:right w:val="none" w:sz="0" w:space="0" w:color="auto"/>
      </w:divBdr>
    </w:div>
    <w:div w:id="283268577">
      <w:bodyDiv w:val="1"/>
      <w:marLeft w:val="0"/>
      <w:marRight w:val="0"/>
      <w:marTop w:val="0"/>
      <w:marBottom w:val="0"/>
      <w:divBdr>
        <w:top w:val="none" w:sz="0" w:space="0" w:color="auto"/>
        <w:left w:val="none" w:sz="0" w:space="0" w:color="auto"/>
        <w:bottom w:val="none" w:sz="0" w:space="0" w:color="auto"/>
        <w:right w:val="none" w:sz="0" w:space="0" w:color="auto"/>
      </w:divBdr>
    </w:div>
    <w:div w:id="313142690">
      <w:bodyDiv w:val="1"/>
      <w:marLeft w:val="0"/>
      <w:marRight w:val="0"/>
      <w:marTop w:val="0"/>
      <w:marBottom w:val="0"/>
      <w:divBdr>
        <w:top w:val="none" w:sz="0" w:space="0" w:color="auto"/>
        <w:left w:val="none" w:sz="0" w:space="0" w:color="auto"/>
        <w:bottom w:val="none" w:sz="0" w:space="0" w:color="auto"/>
        <w:right w:val="none" w:sz="0" w:space="0" w:color="auto"/>
      </w:divBdr>
    </w:div>
    <w:div w:id="328217185">
      <w:bodyDiv w:val="1"/>
      <w:marLeft w:val="0"/>
      <w:marRight w:val="0"/>
      <w:marTop w:val="0"/>
      <w:marBottom w:val="0"/>
      <w:divBdr>
        <w:top w:val="none" w:sz="0" w:space="0" w:color="auto"/>
        <w:left w:val="none" w:sz="0" w:space="0" w:color="auto"/>
        <w:bottom w:val="none" w:sz="0" w:space="0" w:color="auto"/>
        <w:right w:val="none" w:sz="0" w:space="0" w:color="auto"/>
      </w:divBdr>
    </w:div>
    <w:div w:id="366831910">
      <w:bodyDiv w:val="1"/>
      <w:marLeft w:val="0"/>
      <w:marRight w:val="0"/>
      <w:marTop w:val="0"/>
      <w:marBottom w:val="0"/>
      <w:divBdr>
        <w:top w:val="none" w:sz="0" w:space="0" w:color="auto"/>
        <w:left w:val="none" w:sz="0" w:space="0" w:color="auto"/>
        <w:bottom w:val="none" w:sz="0" w:space="0" w:color="auto"/>
        <w:right w:val="none" w:sz="0" w:space="0" w:color="auto"/>
      </w:divBdr>
      <w:divsChild>
        <w:div w:id="360281903">
          <w:marLeft w:val="0"/>
          <w:marRight w:val="0"/>
          <w:marTop w:val="0"/>
          <w:marBottom w:val="0"/>
          <w:divBdr>
            <w:top w:val="none" w:sz="0" w:space="0" w:color="auto"/>
            <w:left w:val="none" w:sz="0" w:space="0" w:color="auto"/>
            <w:bottom w:val="none" w:sz="0" w:space="0" w:color="auto"/>
            <w:right w:val="none" w:sz="0" w:space="0" w:color="auto"/>
          </w:divBdr>
        </w:div>
        <w:div w:id="1300721327">
          <w:marLeft w:val="0"/>
          <w:marRight w:val="0"/>
          <w:marTop w:val="0"/>
          <w:marBottom w:val="0"/>
          <w:divBdr>
            <w:top w:val="none" w:sz="0" w:space="0" w:color="auto"/>
            <w:left w:val="none" w:sz="0" w:space="0" w:color="auto"/>
            <w:bottom w:val="none" w:sz="0" w:space="0" w:color="auto"/>
            <w:right w:val="none" w:sz="0" w:space="0" w:color="auto"/>
          </w:divBdr>
        </w:div>
        <w:div w:id="1455102764">
          <w:marLeft w:val="0"/>
          <w:marRight w:val="0"/>
          <w:marTop w:val="0"/>
          <w:marBottom w:val="0"/>
          <w:divBdr>
            <w:top w:val="none" w:sz="0" w:space="0" w:color="auto"/>
            <w:left w:val="none" w:sz="0" w:space="0" w:color="auto"/>
            <w:bottom w:val="none" w:sz="0" w:space="0" w:color="auto"/>
            <w:right w:val="none" w:sz="0" w:space="0" w:color="auto"/>
          </w:divBdr>
        </w:div>
        <w:div w:id="1930697585">
          <w:marLeft w:val="0"/>
          <w:marRight w:val="0"/>
          <w:marTop w:val="0"/>
          <w:marBottom w:val="0"/>
          <w:divBdr>
            <w:top w:val="none" w:sz="0" w:space="0" w:color="auto"/>
            <w:left w:val="none" w:sz="0" w:space="0" w:color="auto"/>
            <w:bottom w:val="none" w:sz="0" w:space="0" w:color="auto"/>
            <w:right w:val="none" w:sz="0" w:space="0" w:color="auto"/>
          </w:divBdr>
        </w:div>
        <w:div w:id="2050177789">
          <w:marLeft w:val="0"/>
          <w:marRight w:val="0"/>
          <w:marTop w:val="0"/>
          <w:marBottom w:val="0"/>
          <w:divBdr>
            <w:top w:val="none" w:sz="0" w:space="0" w:color="auto"/>
            <w:left w:val="none" w:sz="0" w:space="0" w:color="auto"/>
            <w:bottom w:val="none" w:sz="0" w:space="0" w:color="auto"/>
            <w:right w:val="none" w:sz="0" w:space="0" w:color="auto"/>
          </w:divBdr>
        </w:div>
      </w:divsChild>
    </w:div>
    <w:div w:id="378012507">
      <w:bodyDiv w:val="1"/>
      <w:marLeft w:val="0"/>
      <w:marRight w:val="0"/>
      <w:marTop w:val="0"/>
      <w:marBottom w:val="0"/>
      <w:divBdr>
        <w:top w:val="none" w:sz="0" w:space="0" w:color="auto"/>
        <w:left w:val="none" w:sz="0" w:space="0" w:color="auto"/>
        <w:bottom w:val="none" w:sz="0" w:space="0" w:color="auto"/>
        <w:right w:val="none" w:sz="0" w:space="0" w:color="auto"/>
      </w:divBdr>
      <w:divsChild>
        <w:div w:id="859706715">
          <w:marLeft w:val="0"/>
          <w:marRight w:val="0"/>
          <w:marTop w:val="0"/>
          <w:marBottom w:val="0"/>
          <w:divBdr>
            <w:top w:val="none" w:sz="0" w:space="0" w:color="auto"/>
            <w:left w:val="none" w:sz="0" w:space="0" w:color="auto"/>
            <w:bottom w:val="none" w:sz="0" w:space="0" w:color="auto"/>
            <w:right w:val="none" w:sz="0" w:space="0" w:color="auto"/>
          </w:divBdr>
        </w:div>
        <w:div w:id="961108301">
          <w:marLeft w:val="0"/>
          <w:marRight w:val="0"/>
          <w:marTop w:val="0"/>
          <w:marBottom w:val="0"/>
          <w:divBdr>
            <w:top w:val="none" w:sz="0" w:space="0" w:color="auto"/>
            <w:left w:val="none" w:sz="0" w:space="0" w:color="auto"/>
            <w:bottom w:val="none" w:sz="0" w:space="0" w:color="auto"/>
            <w:right w:val="none" w:sz="0" w:space="0" w:color="auto"/>
          </w:divBdr>
        </w:div>
        <w:div w:id="1153912318">
          <w:marLeft w:val="0"/>
          <w:marRight w:val="0"/>
          <w:marTop w:val="0"/>
          <w:marBottom w:val="0"/>
          <w:divBdr>
            <w:top w:val="none" w:sz="0" w:space="0" w:color="auto"/>
            <w:left w:val="none" w:sz="0" w:space="0" w:color="auto"/>
            <w:bottom w:val="none" w:sz="0" w:space="0" w:color="auto"/>
            <w:right w:val="none" w:sz="0" w:space="0" w:color="auto"/>
          </w:divBdr>
        </w:div>
        <w:div w:id="1267813720">
          <w:marLeft w:val="0"/>
          <w:marRight w:val="0"/>
          <w:marTop w:val="0"/>
          <w:marBottom w:val="0"/>
          <w:divBdr>
            <w:top w:val="none" w:sz="0" w:space="0" w:color="auto"/>
            <w:left w:val="none" w:sz="0" w:space="0" w:color="auto"/>
            <w:bottom w:val="none" w:sz="0" w:space="0" w:color="auto"/>
            <w:right w:val="none" w:sz="0" w:space="0" w:color="auto"/>
          </w:divBdr>
        </w:div>
        <w:div w:id="1908999106">
          <w:marLeft w:val="0"/>
          <w:marRight w:val="0"/>
          <w:marTop w:val="0"/>
          <w:marBottom w:val="0"/>
          <w:divBdr>
            <w:top w:val="none" w:sz="0" w:space="0" w:color="auto"/>
            <w:left w:val="none" w:sz="0" w:space="0" w:color="auto"/>
            <w:bottom w:val="none" w:sz="0" w:space="0" w:color="auto"/>
            <w:right w:val="none" w:sz="0" w:space="0" w:color="auto"/>
          </w:divBdr>
        </w:div>
      </w:divsChild>
    </w:div>
    <w:div w:id="418648270">
      <w:bodyDiv w:val="1"/>
      <w:marLeft w:val="0"/>
      <w:marRight w:val="0"/>
      <w:marTop w:val="0"/>
      <w:marBottom w:val="0"/>
      <w:divBdr>
        <w:top w:val="none" w:sz="0" w:space="0" w:color="auto"/>
        <w:left w:val="none" w:sz="0" w:space="0" w:color="auto"/>
        <w:bottom w:val="none" w:sz="0" w:space="0" w:color="auto"/>
        <w:right w:val="none" w:sz="0" w:space="0" w:color="auto"/>
      </w:divBdr>
      <w:divsChild>
        <w:div w:id="511919526">
          <w:marLeft w:val="274"/>
          <w:marRight w:val="0"/>
          <w:marTop w:val="0"/>
          <w:marBottom w:val="0"/>
          <w:divBdr>
            <w:top w:val="none" w:sz="0" w:space="0" w:color="auto"/>
            <w:left w:val="none" w:sz="0" w:space="0" w:color="auto"/>
            <w:bottom w:val="none" w:sz="0" w:space="0" w:color="auto"/>
            <w:right w:val="none" w:sz="0" w:space="0" w:color="auto"/>
          </w:divBdr>
        </w:div>
      </w:divsChild>
    </w:div>
    <w:div w:id="449935745">
      <w:bodyDiv w:val="1"/>
      <w:marLeft w:val="0"/>
      <w:marRight w:val="0"/>
      <w:marTop w:val="0"/>
      <w:marBottom w:val="0"/>
      <w:divBdr>
        <w:top w:val="none" w:sz="0" w:space="0" w:color="auto"/>
        <w:left w:val="none" w:sz="0" w:space="0" w:color="auto"/>
        <w:bottom w:val="none" w:sz="0" w:space="0" w:color="auto"/>
        <w:right w:val="none" w:sz="0" w:space="0" w:color="auto"/>
      </w:divBdr>
      <w:divsChild>
        <w:div w:id="980498934">
          <w:marLeft w:val="0"/>
          <w:marRight w:val="0"/>
          <w:marTop w:val="0"/>
          <w:marBottom w:val="0"/>
          <w:divBdr>
            <w:top w:val="none" w:sz="0" w:space="0" w:color="auto"/>
            <w:left w:val="none" w:sz="0" w:space="0" w:color="auto"/>
            <w:bottom w:val="none" w:sz="0" w:space="0" w:color="auto"/>
            <w:right w:val="none" w:sz="0" w:space="0" w:color="auto"/>
          </w:divBdr>
        </w:div>
        <w:div w:id="1585337551">
          <w:marLeft w:val="0"/>
          <w:marRight w:val="0"/>
          <w:marTop w:val="0"/>
          <w:marBottom w:val="0"/>
          <w:divBdr>
            <w:top w:val="none" w:sz="0" w:space="0" w:color="auto"/>
            <w:left w:val="none" w:sz="0" w:space="0" w:color="auto"/>
            <w:bottom w:val="none" w:sz="0" w:space="0" w:color="auto"/>
            <w:right w:val="none" w:sz="0" w:space="0" w:color="auto"/>
          </w:divBdr>
        </w:div>
      </w:divsChild>
    </w:div>
    <w:div w:id="452600225">
      <w:bodyDiv w:val="1"/>
      <w:marLeft w:val="0"/>
      <w:marRight w:val="0"/>
      <w:marTop w:val="0"/>
      <w:marBottom w:val="0"/>
      <w:divBdr>
        <w:top w:val="none" w:sz="0" w:space="0" w:color="auto"/>
        <w:left w:val="none" w:sz="0" w:space="0" w:color="auto"/>
        <w:bottom w:val="none" w:sz="0" w:space="0" w:color="auto"/>
        <w:right w:val="none" w:sz="0" w:space="0" w:color="auto"/>
      </w:divBdr>
    </w:div>
    <w:div w:id="501897855">
      <w:bodyDiv w:val="1"/>
      <w:marLeft w:val="0"/>
      <w:marRight w:val="0"/>
      <w:marTop w:val="0"/>
      <w:marBottom w:val="0"/>
      <w:divBdr>
        <w:top w:val="none" w:sz="0" w:space="0" w:color="auto"/>
        <w:left w:val="none" w:sz="0" w:space="0" w:color="auto"/>
        <w:bottom w:val="none" w:sz="0" w:space="0" w:color="auto"/>
        <w:right w:val="none" w:sz="0" w:space="0" w:color="auto"/>
      </w:divBdr>
    </w:div>
    <w:div w:id="602538047">
      <w:bodyDiv w:val="1"/>
      <w:marLeft w:val="0"/>
      <w:marRight w:val="0"/>
      <w:marTop w:val="0"/>
      <w:marBottom w:val="0"/>
      <w:divBdr>
        <w:top w:val="none" w:sz="0" w:space="0" w:color="auto"/>
        <w:left w:val="none" w:sz="0" w:space="0" w:color="auto"/>
        <w:bottom w:val="none" w:sz="0" w:space="0" w:color="auto"/>
        <w:right w:val="none" w:sz="0" w:space="0" w:color="auto"/>
      </w:divBdr>
    </w:div>
    <w:div w:id="615327869">
      <w:bodyDiv w:val="1"/>
      <w:marLeft w:val="0"/>
      <w:marRight w:val="0"/>
      <w:marTop w:val="0"/>
      <w:marBottom w:val="0"/>
      <w:divBdr>
        <w:top w:val="none" w:sz="0" w:space="0" w:color="auto"/>
        <w:left w:val="none" w:sz="0" w:space="0" w:color="auto"/>
        <w:bottom w:val="none" w:sz="0" w:space="0" w:color="auto"/>
        <w:right w:val="none" w:sz="0" w:space="0" w:color="auto"/>
      </w:divBdr>
    </w:div>
    <w:div w:id="626476297">
      <w:bodyDiv w:val="1"/>
      <w:marLeft w:val="0"/>
      <w:marRight w:val="0"/>
      <w:marTop w:val="0"/>
      <w:marBottom w:val="0"/>
      <w:divBdr>
        <w:top w:val="none" w:sz="0" w:space="0" w:color="auto"/>
        <w:left w:val="none" w:sz="0" w:space="0" w:color="auto"/>
        <w:bottom w:val="none" w:sz="0" w:space="0" w:color="auto"/>
        <w:right w:val="none" w:sz="0" w:space="0" w:color="auto"/>
      </w:divBdr>
    </w:div>
    <w:div w:id="628359900">
      <w:bodyDiv w:val="1"/>
      <w:marLeft w:val="0"/>
      <w:marRight w:val="0"/>
      <w:marTop w:val="0"/>
      <w:marBottom w:val="0"/>
      <w:divBdr>
        <w:top w:val="none" w:sz="0" w:space="0" w:color="auto"/>
        <w:left w:val="none" w:sz="0" w:space="0" w:color="auto"/>
        <w:bottom w:val="none" w:sz="0" w:space="0" w:color="auto"/>
        <w:right w:val="none" w:sz="0" w:space="0" w:color="auto"/>
      </w:divBdr>
      <w:divsChild>
        <w:div w:id="138155474">
          <w:marLeft w:val="0"/>
          <w:marRight w:val="0"/>
          <w:marTop w:val="0"/>
          <w:marBottom w:val="0"/>
          <w:divBdr>
            <w:top w:val="none" w:sz="0" w:space="0" w:color="auto"/>
            <w:left w:val="none" w:sz="0" w:space="0" w:color="auto"/>
            <w:bottom w:val="none" w:sz="0" w:space="0" w:color="auto"/>
            <w:right w:val="none" w:sz="0" w:space="0" w:color="auto"/>
          </w:divBdr>
        </w:div>
        <w:div w:id="682784615">
          <w:marLeft w:val="0"/>
          <w:marRight w:val="0"/>
          <w:marTop w:val="0"/>
          <w:marBottom w:val="0"/>
          <w:divBdr>
            <w:top w:val="none" w:sz="0" w:space="0" w:color="auto"/>
            <w:left w:val="none" w:sz="0" w:space="0" w:color="auto"/>
            <w:bottom w:val="none" w:sz="0" w:space="0" w:color="auto"/>
            <w:right w:val="none" w:sz="0" w:space="0" w:color="auto"/>
          </w:divBdr>
        </w:div>
        <w:div w:id="947926321">
          <w:marLeft w:val="0"/>
          <w:marRight w:val="0"/>
          <w:marTop w:val="0"/>
          <w:marBottom w:val="0"/>
          <w:divBdr>
            <w:top w:val="none" w:sz="0" w:space="0" w:color="auto"/>
            <w:left w:val="none" w:sz="0" w:space="0" w:color="auto"/>
            <w:bottom w:val="none" w:sz="0" w:space="0" w:color="auto"/>
            <w:right w:val="none" w:sz="0" w:space="0" w:color="auto"/>
          </w:divBdr>
        </w:div>
        <w:div w:id="1443963466">
          <w:marLeft w:val="0"/>
          <w:marRight w:val="0"/>
          <w:marTop w:val="0"/>
          <w:marBottom w:val="0"/>
          <w:divBdr>
            <w:top w:val="none" w:sz="0" w:space="0" w:color="auto"/>
            <w:left w:val="none" w:sz="0" w:space="0" w:color="auto"/>
            <w:bottom w:val="none" w:sz="0" w:space="0" w:color="auto"/>
            <w:right w:val="none" w:sz="0" w:space="0" w:color="auto"/>
          </w:divBdr>
        </w:div>
        <w:div w:id="1477256474">
          <w:marLeft w:val="0"/>
          <w:marRight w:val="0"/>
          <w:marTop w:val="0"/>
          <w:marBottom w:val="0"/>
          <w:divBdr>
            <w:top w:val="none" w:sz="0" w:space="0" w:color="auto"/>
            <w:left w:val="none" w:sz="0" w:space="0" w:color="auto"/>
            <w:bottom w:val="none" w:sz="0" w:space="0" w:color="auto"/>
            <w:right w:val="none" w:sz="0" w:space="0" w:color="auto"/>
          </w:divBdr>
        </w:div>
        <w:div w:id="2108574675">
          <w:marLeft w:val="0"/>
          <w:marRight w:val="0"/>
          <w:marTop w:val="0"/>
          <w:marBottom w:val="0"/>
          <w:divBdr>
            <w:top w:val="none" w:sz="0" w:space="0" w:color="auto"/>
            <w:left w:val="none" w:sz="0" w:space="0" w:color="auto"/>
            <w:bottom w:val="none" w:sz="0" w:space="0" w:color="auto"/>
            <w:right w:val="none" w:sz="0" w:space="0" w:color="auto"/>
          </w:divBdr>
        </w:div>
      </w:divsChild>
    </w:div>
    <w:div w:id="638071880">
      <w:bodyDiv w:val="1"/>
      <w:marLeft w:val="0"/>
      <w:marRight w:val="0"/>
      <w:marTop w:val="0"/>
      <w:marBottom w:val="0"/>
      <w:divBdr>
        <w:top w:val="none" w:sz="0" w:space="0" w:color="auto"/>
        <w:left w:val="none" w:sz="0" w:space="0" w:color="auto"/>
        <w:bottom w:val="none" w:sz="0" w:space="0" w:color="auto"/>
        <w:right w:val="none" w:sz="0" w:space="0" w:color="auto"/>
      </w:divBdr>
    </w:div>
    <w:div w:id="694888641">
      <w:bodyDiv w:val="1"/>
      <w:marLeft w:val="0"/>
      <w:marRight w:val="0"/>
      <w:marTop w:val="0"/>
      <w:marBottom w:val="0"/>
      <w:divBdr>
        <w:top w:val="none" w:sz="0" w:space="0" w:color="auto"/>
        <w:left w:val="none" w:sz="0" w:space="0" w:color="auto"/>
        <w:bottom w:val="none" w:sz="0" w:space="0" w:color="auto"/>
        <w:right w:val="none" w:sz="0" w:space="0" w:color="auto"/>
      </w:divBdr>
    </w:div>
    <w:div w:id="713311420">
      <w:bodyDiv w:val="1"/>
      <w:marLeft w:val="0"/>
      <w:marRight w:val="0"/>
      <w:marTop w:val="0"/>
      <w:marBottom w:val="0"/>
      <w:divBdr>
        <w:top w:val="none" w:sz="0" w:space="0" w:color="auto"/>
        <w:left w:val="none" w:sz="0" w:space="0" w:color="auto"/>
        <w:bottom w:val="none" w:sz="0" w:space="0" w:color="auto"/>
        <w:right w:val="none" w:sz="0" w:space="0" w:color="auto"/>
      </w:divBdr>
    </w:div>
    <w:div w:id="723797792">
      <w:bodyDiv w:val="1"/>
      <w:marLeft w:val="0"/>
      <w:marRight w:val="0"/>
      <w:marTop w:val="0"/>
      <w:marBottom w:val="0"/>
      <w:divBdr>
        <w:top w:val="none" w:sz="0" w:space="0" w:color="auto"/>
        <w:left w:val="none" w:sz="0" w:space="0" w:color="auto"/>
        <w:bottom w:val="none" w:sz="0" w:space="0" w:color="auto"/>
        <w:right w:val="none" w:sz="0" w:space="0" w:color="auto"/>
      </w:divBdr>
      <w:divsChild>
        <w:div w:id="268322723">
          <w:marLeft w:val="0"/>
          <w:marRight w:val="0"/>
          <w:marTop w:val="0"/>
          <w:marBottom w:val="0"/>
          <w:divBdr>
            <w:top w:val="none" w:sz="0" w:space="0" w:color="auto"/>
            <w:left w:val="none" w:sz="0" w:space="0" w:color="auto"/>
            <w:bottom w:val="none" w:sz="0" w:space="0" w:color="auto"/>
            <w:right w:val="none" w:sz="0" w:space="0" w:color="auto"/>
          </w:divBdr>
        </w:div>
        <w:div w:id="536357388">
          <w:marLeft w:val="0"/>
          <w:marRight w:val="0"/>
          <w:marTop w:val="0"/>
          <w:marBottom w:val="0"/>
          <w:divBdr>
            <w:top w:val="none" w:sz="0" w:space="0" w:color="auto"/>
            <w:left w:val="none" w:sz="0" w:space="0" w:color="auto"/>
            <w:bottom w:val="none" w:sz="0" w:space="0" w:color="auto"/>
            <w:right w:val="none" w:sz="0" w:space="0" w:color="auto"/>
          </w:divBdr>
        </w:div>
        <w:div w:id="545529364">
          <w:marLeft w:val="0"/>
          <w:marRight w:val="0"/>
          <w:marTop w:val="0"/>
          <w:marBottom w:val="0"/>
          <w:divBdr>
            <w:top w:val="none" w:sz="0" w:space="0" w:color="auto"/>
            <w:left w:val="none" w:sz="0" w:space="0" w:color="auto"/>
            <w:bottom w:val="none" w:sz="0" w:space="0" w:color="auto"/>
            <w:right w:val="none" w:sz="0" w:space="0" w:color="auto"/>
          </w:divBdr>
        </w:div>
        <w:div w:id="598297139">
          <w:marLeft w:val="0"/>
          <w:marRight w:val="0"/>
          <w:marTop w:val="0"/>
          <w:marBottom w:val="0"/>
          <w:divBdr>
            <w:top w:val="none" w:sz="0" w:space="0" w:color="auto"/>
            <w:left w:val="none" w:sz="0" w:space="0" w:color="auto"/>
            <w:bottom w:val="none" w:sz="0" w:space="0" w:color="auto"/>
            <w:right w:val="none" w:sz="0" w:space="0" w:color="auto"/>
          </w:divBdr>
        </w:div>
        <w:div w:id="1392848636">
          <w:marLeft w:val="0"/>
          <w:marRight w:val="0"/>
          <w:marTop w:val="0"/>
          <w:marBottom w:val="0"/>
          <w:divBdr>
            <w:top w:val="none" w:sz="0" w:space="0" w:color="auto"/>
            <w:left w:val="none" w:sz="0" w:space="0" w:color="auto"/>
            <w:bottom w:val="none" w:sz="0" w:space="0" w:color="auto"/>
            <w:right w:val="none" w:sz="0" w:space="0" w:color="auto"/>
          </w:divBdr>
        </w:div>
        <w:div w:id="1755740716">
          <w:marLeft w:val="0"/>
          <w:marRight w:val="0"/>
          <w:marTop w:val="0"/>
          <w:marBottom w:val="0"/>
          <w:divBdr>
            <w:top w:val="none" w:sz="0" w:space="0" w:color="auto"/>
            <w:left w:val="none" w:sz="0" w:space="0" w:color="auto"/>
            <w:bottom w:val="none" w:sz="0" w:space="0" w:color="auto"/>
            <w:right w:val="none" w:sz="0" w:space="0" w:color="auto"/>
          </w:divBdr>
        </w:div>
        <w:div w:id="1821918157">
          <w:marLeft w:val="0"/>
          <w:marRight w:val="0"/>
          <w:marTop w:val="0"/>
          <w:marBottom w:val="0"/>
          <w:divBdr>
            <w:top w:val="none" w:sz="0" w:space="0" w:color="auto"/>
            <w:left w:val="none" w:sz="0" w:space="0" w:color="auto"/>
            <w:bottom w:val="none" w:sz="0" w:space="0" w:color="auto"/>
            <w:right w:val="none" w:sz="0" w:space="0" w:color="auto"/>
          </w:divBdr>
        </w:div>
      </w:divsChild>
    </w:div>
    <w:div w:id="747922492">
      <w:bodyDiv w:val="1"/>
      <w:marLeft w:val="0"/>
      <w:marRight w:val="0"/>
      <w:marTop w:val="0"/>
      <w:marBottom w:val="0"/>
      <w:divBdr>
        <w:top w:val="none" w:sz="0" w:space="0" w:color="auto"/>
        <w:left w:val="none" w:sz="0" w:space="0" w:color="auto"/>
        <w:bottom w:val="none" w:sz="0" w:space="0" w:color="auto"/>
        <w:right w:val="none" w:sz="0" w:space="0" w:color="auto"/>
      </w:divBdr>
      <w:divsChild>
        <w:div w:id="866258149">
          <w:marLeft w:val="0"/>
          <w:marRight w:val="0"/>
          <w:marTop w:val="0"/>
          <w:marBottom w:val="0"/>
          <w:divBdr>
            <w:top w:val="none" w:sz="0" w:space="0" w:color="auto"/>
            <w:left w:val="none" w:sz="0" w:space="0" w:color="auto"/>
            <w:bottom w:val="none" w:sz="0" w:space="0" w:color="auto"/>
            <w:right w:val="none" w:sz="0" w:space="0" w:color="auto"/>
          </w:divBdr>
        </w:div>
        <w:div w:id="875703043">
          <w:marLeft w:val="0"/>
          <w:marRight w:val="0"/>
          <w:marTop w:val="0"/>
          <w:marBottom w:val="0"/>
          <w:divBdr>
            <w:top w:val="none" w:sz="0" w:space="0" w:color="auto"/>
            <w:left w:val="none" w:sz="0" w:space="0" w:color="auto"/>
            <w:bottom w:val="none" w:sz="0" w:space="0" w:color="auto"/>
            <w:right w:val="none" w:sz="0" w:space="0" w:color="auto"/>
          </w:divBdr>
        </w:div>
      </w:divsChild>
    </w:div>
    <w:div w:id="756902533">
      <w:bodyDiv w:val="1"/>
      <w:marLeft w:val="0"/>
      <w:marRight w:val="0"/>
      <w:marTop w:val="0"/>
      <w:marBottom w:val="0"/>
      <w:divBdr>
        <w:top w:val="none" w:sz="0" w:space="0" w:color="auto"/>
        <w:left w:val="none" w:sz="0" w:space="0" w:color="auto"/>
        <w:bottom w:val="none" w:sz="0" w:space="0" w:color="auto"/>
        <w:right w:val="none" w:sz="0" w:space="0" w:color="auto"/>
      </w:divBdr>
    </w:div>
    <w:div w:id="774901906">
      <w:bodyDiv w:val="1"/>
      <w:marLeft w:val="0"/>
      <w:marRight w:val="0"/>
      <w:marTop w:val="0"/>
      <w:marBottom w:val="0"/>
      <w:divBdr>
        <w:top w:val="none" w:sz="0" w:space="0" w:color="auto"/>
        <w:left w:val="none" w:sz="0" w:space="0" w:color="auto"/>
        <w:bottom w:val="none" w:sz="0" w:space="0" w:color="auto"/>
        <w:right w:val="none" w:sz="0" w:space="0" w:color="auto"/>
      </w:divBdr>
    </w:div>
    <w:div w:id="821577980">
      <w:bodyDiv w:val="1"/>
      <w:marLeft w:val="0"/>
      <w:marRight w:val="0"/>
      <w:marTop w:val="0"/>
      <w:marBottom w:val="0"/>
      <w:divBdr>
        <w:top w:val="none" w:sz="0" w:space="0" w:color="auto"/>
        <w:left w:val="none" w:sz="0" w:space="0" w:color="auto"/>
        <w:bottom w:val="none" w:sz="0" w:space="0" w:color="auto"/>
        <w:right w:val="none" w:sz="0" w:space="0" w:color="auto"/>
      </w:divBdr>
    </w:div>
    <w:div w:id="857886367">
      <w:bodyDiv w:val="1"/>
      <w:marLeft w:val="0"/>
      <w:marRight w:val="0"/>
      <w:marTop w:val="0"/>
      <w:marBottom w:val="0"/>
      <w:divBdr>
        <w:top w:val="none" w:sz="0" w:space="0" w:color="auto"/>
        <w:left w:val="none" w:sz="0" w:space="0" w:color="auto"/>
        <w:bottom w:val="none" w:sz="0" w:space="0" w:color="auto"/>
        <w:right w:val="none" w:sz="0" w:space="0" w:color="auto"/>
      </w:divBdr>
    </w:div>
    <w:div w:id="864903604">
      <w:bodyDiv w:val="1"/>
      <w:marLeft w:val="0"/>
      <w:marRight w:val="0"/>
      <w:marTop w:val="0"/>
      <w:marBottom w:val="0"/>
      <w:divBdr>
        <w:top w:val="none" w:sz="0" w:space="0" w:color="auto"/>
        <w:left w:val="none" w:sz="0" w:space="0" w:color="auto"/>
        <w:bottom w:val="none" w:sz="0" w:space="0" w:color="auto"/>
        <w:right w:val="none" w:sz="0" w:space="0" w:color="auto"/>
      </w:divBdr>
    </w:div>
    <w:div w:id="874732822">
      <w:bodyDiv w:val="1"/>
      <w:marLeft w:val="0"/>
      <w:marRight w:val="0"/>
      <w:marTop w:val="0"/>
      <w:marBottom w:val="0"/>
      <w:divBdr>
        <w:top w:val="none" w:sz="0" w:space="0" w:color="auto"/>
        <w:left w:val="none" w:sz="0" w:space="0" w:color="auto"/>
        <w:bottom w:val="none" w:sz="0" w:space="0" w:color="auto"/>
        <w:right w:val="none" w:sz="0" w:space="0" w:color="auto"/>
      </w:divBdr>
      <w:divsChild>
        <w:div w:id="84152042">
          <w:marLeft w:val="0"/>
          <w:marRight w:val="0"/>
          <w:marTop w:val="0"/>
          <w:marBottom w:val="0"/>
          <w:divBdr>
            <w:top w:val="none" w:sz="0" w:space="0" w:color="auto"/>
            <w:left w:val="none" w:sz="0" w:space="0" w:color="auto"/>
            <w:bottom w:val="none" w:sz="0" w:space="0" w:color="auto"/>
            <w:right w:val="none" w:sz="0" w:space="0" w:color="auto"/>
          </w:divBdr>
        </w:div>
        <w:div w:id="169374252">
          <w:marLeft w:val="0"/>
          <w:marRight w:val="0"/>
          <w:marTop w:val="0"/>
          <w:marBottom w:val="0"/>
          <w:divBdr>
            <w:top w:val="none" w:sz="0" w:space="0" w:color="auto"/>
            <w:left w:val="none" w:sz="0" w:space="0" w:color="auto"/>
            <w:bottom w:val="none" w:sz="0" w:space="0" w:color="auto"/>
            <w:right w:val="none" w:sz="0" w:space="0" w:color="auto"/>
          </w:divBdr>
        </w:div>
        <w:div w:id="423918446">
          <w:marLeft w:val="0"/>
          <w:marRight w:val="0"/>
          <w:marTop w:val="0"/>
          <w:marBottom w:val="0"/>
          <w:divBdr>
            <w:top w:val="none" w:sz="0" w:space="0" w:color="auto"/>
            <w:left w:val="none" w:sz="0" w:space="0" w:color="auto"/>
            <w:bottom w:val="none" w:sz="0" w:space="0" w:color="auto"/>
            <w:right w:val="none" w:sz="0" w:space="0" w:color="auto"/>
          </w:divBdr>
        </w:div>
        <w:div w:id="928271925">
          <w:marLeft w:val="0"/>
          <w:marRight w:val="0"/>
          <w:marTop w:val="0"/>
          <w:marBottom w:val="0"/>
          <w:divBdr>
            <w:top w:val="none" w:sz="0" w:space="0" w:color="auto"/>
            <w:left w:val="none" w:sz="0" w:space="0" w:color="auto"/>
            <w:bottom w:val="none" w:sz="0" w:space="0" w:color="auto"/>
            <w:right w:val="none" w:sz="0" w:space="0" w:color="auto"/>
          </w:divBdr>
        </w:div>
        <w:div w:id="1454710466">
          <w:marLeft w:val="0"/>
          <w:marRight w:val="0"/>
          <w:marTop w:val="0"/>
          <w:marBottom w:val="0"/>
          <w:divBdr>
            <w:top w:val="none" w:sz="0" w:space="0" w:color="auto"/>
            <w:left w:val="none" w:sz="0" w:space="0" w:color="auto"/>
            <w:bottom w:val="none" w:sz="0" w:space="0" w:color="auto"/>
            <w:right w:val="none" w:sz="0" w:space="0" w:color="auto"/>
          </w:divBdr>
        </w:div>
        <w:div w:id="1656186019">
          <w:marLeft w:val="0"/>
          <w:marRight w:val="0"/>
          <w:marTop w:val="0"/>
          <w:marBottom w:val="0"/>
          <w:divBdr>
            <w:top w:val="none" w:sz="0" w:space="0" w:color="auto"/>
            <w:left w:val="none" w:sz="0" w:space="0" w:color="auto"/>
            <w:bottom w:val="none" w:sz="0" w:space="0" w:color="auto"/>
            <w:right w:val="none" w:sz="0" w:space="0" w:color="auto"/>
          </w:divBdr>
        </w:div>
        <w:div w:id="1660770696">
          <w:marLeft w:val="0"/>
          <w:marRight w:val="0"/>
          <w:marTop w:val="0"/>
          <w:marBottom w:val="0"/>
          <w:divBdr>
            <w:top w:val="none" w:sz="0" w:space="0" w:color="auto"/>
            <w:left w:val="none" w:sz="0" w:space="0" w:color="auto"/>
            <w:bottom w:val="none" w:sz="0" w:space="0" w:color="auto"/>
            <w:right w:val="none" w:sz="0" w:space="0" w:color="auto"/>
          </w:divBdr>
        </w:div>
      </w:divsChild>
    </w:div>
    <w:div w:id="914898582">
      <w:bodyDiv w:val="1"/>
      <w:marLeft w:val="0"/>
      <w:marRight w:val="0"/>
      <w:marTop w:val="0"/>
      <w:marBottom w:val="0"/>
      <w:divBdr>
        <w:top w:val="none" w:sz="0" w:space="0" w:color="auto"/>
        <w:left w:val="none" w:sz="0" w:space="0" w:color="auto"/>
        <w:bottom w:val="none" w:sz="0" w:space="0" w:color="auto"/>
        <w:right w:val="none" w:sz="0" w:space="0" w:color="auto"/>
      </w:divBdr>
    </w:div>
    <w:div w:id="933368230">
      <w:bodyDiv w:val="1"/>
      <w:marLeft w:val="0"/>
      <w:marRight w:val="0"/>
      <w:marTop w:val="0"/>
      <w:marBottom w:val="0"/>
      <w:divBdr>
        <w:top w:val="none" w:sz="0" w:space="0" w:color="auto"/>
        <w:left w:val="none" w:sz="0" w:space="0" w:color="auto"/>
        <w:bottom w:val="none" w:sz="0" w:space="0" w:color="auto"/>
        <w:right w:val="none" w:sz="0" w:space="0" w:color="auto"/>
      </w:divBdr>
    </w:div>
    <w:div w:id="987438859">
      <w:bodyDiv w:val="1"/>
      <w:marLeft w:val="0"/>
      <w:marRight w:val="0"/>
      <w:marTop w:val="0"/>
      <w:marBottom w:val="0"/>
      <w:divBdr>
        <w:top w:val="none" w:sz="0" w:space="0" w:color="auto"/>
        <w:left w:val="none" w:sz="0" w:space="0" w:color="auto"/>
        <w:bottom w:val="none" w:sz="0" w:space="0" w:color="auto"/>
        <w:right w:val="none" w:sz="0" w:space="0" w:color="auto"/>
      </w:divBdr>
      <w:divsChild>
        <w:div w:id="771434864">
          <w:marLeft w:val="0"/>
          <w:marRight w:val="0"/>
          <w:marTop w:val="0"/>
          <w:marBottom w:val="0"/>
          <w:divBdr>
            <w:top w:val="none" w:sz="0" w:space="0" w:color="auto"/>
            <w:left w:val="none" w:sz="0" w:space="0" w:color="auto"/>
            <w:bottom w:val="none" w:sz="0" w:space="0" w:color="auto"/>
            <w:right w:val="none" w:sz="0" w:space="0" w:color="auto"/>
          </w:divBdr>
        </w:div>
        <w:div w:id="1381318884">
          <w:marLeft w:val="0"/>
          <w:marRight w:val="0"/>
          <w:marTop w:val="0"/>
          <w:marBottom w:val="0"/>
          <w:divBdr>
            <w:top w:val="none" w:sz="0" w:space="0" w:color="auto"/>
            <w:left w:val="none" w:sz="0" w:space="0" w:color="auto"/>
            <w:bottom w:val="none" w:sz="0" w:space="0" w:color="auto"/>
            <w:right w:val="none" w:sz="0" w:space="0" w:color="auto"/>
          </w:divBdr>
        </w:div>
      </w:divsChild>
    </w:div>
    <w:div w:id="989746488">
      <w:bodyDiv w:val="1"/>
      <w:marLeft w:val="0"/>
      <w:marRight w:val="0"/>
      <w:marTop w:val="0"/>
      <w:marBottom w:val="0"/>
      <w:divBdr>
        <w:top w:val="none" w:sz="0" w:space="0" w:color="auto"/>
        <w:left w:val="none" w:sz="0" w:space="0" w:color="auto"/>
        <w:bottom w:val="none" w:sz="0" w:space="0" w:color="auto"/>
        <w:right w:val="none" w:sz="0" w:space="0" w:color="auto"/>
      </w:divBdr>
    </w:div>
    <w:div w:id="1058238045">
      <w:bodyDiv w:val="1"/>
      <w:marLeft w:val="0"/>
      <w:marRight w:val="0"/>
      <w:marTop w:val="0"/>
      <w:marBottom w:val="0"/>
      <w:divBdr>
        <w:top w:val="none" w:sz="0" w:space="0" w:color="auto"/>
        <w:left w:val="none" w:sz="0" w:space="0" w:color="auto"/>
        <w:bottom w:val="none" w:sz="0" w:space="0" w:color="auto"/>
        <w:right w:val="none" w:sz="0" w:space="0" w:color="auto"/>
      </w:divBdr>
    </w:div>
    <w:div w:id="1069614864">
      <w:bodyDiv w:val="1"/>
      <w:marLeft w:val="0"/>
      <w:marRight w:val="0"/>
      <w:marTop w:val="0"/>
      <w:marBottom w:val="0"/>
      <w:divBdr>
        <w:top w:val="none" w:sz="0" w:space="0" w:color="auto"/>
        <w:left w:val="none" w:sz="0" w:space="0" w:color="auto"/>
        <w:bottom w:val="none" w:sz="0" w:space="0" w:color="auto"/>
        <w:right w:val="none" w:sz="0" w:space="0" w:color="auto"/>
      </w:divBdr>
    </w:div>
    <w:div w:id="1089810322">
      <w:bodyDiv w:val="1"/>
      <w:marLeft w:val="0"/>
      <w:marRight w:val="0"/>
      <w:marTop w:val="0"/>
      <w:marBottom w:val="0"/>
      <w:divBdr>
        <w:top w:val="none" w:sz="0" w:space="0" w:color="auto"/>
        <w:left w:val="none" w:sz="0" w:space="0" w:color="auto"/>
        <w:bottom w:val="none" w:sz="0" w:space="0" w:color="auto"/>
        <w:right w:val="none" w:sz="0" w:space="0" w:color="auto"/>
      </w:divBdr>
    </w:div>
    <w:div w:id="1131097755">
      <w:bodyDiv w:val="1"/>
      <w:marLeft w:val="0"/>
      <w:marRight w:val="0"/>
      <w:marTop w:val="0"/>
      <w:marBottom w:val="0"/>
      <w:divBdr>
        <w:top w:val="none" w:sz="0" w:space="0" w:color="auto"/>
        <w:left w:val="none" w:sz="0" w:space="0" w:color="auto"/>
        <w:bottom w:val="none" w:sz="0" w:space="0" w:color="auto"/>
        <w:right w:val="none" w:sz="0" w:space="0" w:color="auto"/>
      </w:divBdr>
    </w:div>
    <w:div w:id="1141383641">
      <w:bodyDiv w:val="1"/>
      <w:marLeft w:val="0"/>
      <w:marRight w:val="0"/>
      <w:marTop w:val="0"/>
      <w:marBottom w:val="0"/>
      <w:divBdr>
        <w:top w:val="none" w:sz="0" w:space="0" w:color="auto"/>
        <w:left w:val="none" w:sz="0" w:space="0" w:color="auto"/>
        <w:bottom w:val="none" w:sz="0" w:space="0" w:color="auto"/>
        <w:right w:val="none" w:sz="0" w:space="0" w:color="auto"/>
      </w:divBdr>
    </w:div>
    <w:div w:id="1147631616">
      <w:bodyDiv w:val="1"/>
      <w:marLeft w:val="0"/>
      <w:marRight w:val="0"/>
      <w:marTop w:val="0"/>
      <w:marBottom w:val="0"/>
      <w:divBdr>
        <w:top w:val="none" w:sz="0" w:space="0" w:color="auto"/>
        <w:left w:val="none" w:sz="0" w:space="0" w:color="auto"/>
        <w:bottom w:val="none" w:sz="0" w:space="0" w:color="auto"/>
        <w:right w:val="none" w:sz="0" w:space="0" w:color="auto"/>
      </w:divBdr>
    </w:div>
    <w:div w:id="1156191503">
      <w:bodyDiv w:val="1"/>
      <w:marLeft w:val="0"/>
      <w:marRight w:val="0"/>
      <w:marTop w:val="0"/>
      <w:marBottom w:val="0"/>
      <w:divBdr>
        <w:top w:val="none" w:sz="0" w:space="0" w:color="auto"/>
        <w:left w:val="none" w:sz="0" w:space="0" w:color="auto"/>
        <w:bottom w:val="none" w:sz="0" w:space="0" w:color="auto"/>
        <w:right w:val="none" w:sz="0" w:space="0" w:color="auto"/>
      </w:divBdr>
    </w:div>
    <w:div w:id="1185052330">
      <w:bodyDiv w:val="1"/>
      <w:marLeft w:val="0"/>
      <w:marRight w:val="0"/>
      <w:marTop w:val="0"/>
      <w:marBottom w:val="0"/>
      <w:divBdr>
        <w:top w:val="none" w:sz="0" w:space="0" w:color="auto"/>
        <w:left w:val="none" w:sz="0" w:space="0" w:color="auto"/>
        <w:bottom w:val="none" w:sz="0" w:space="0" w:color="auto"/>
        <w:right w:val="none" w:sz="0" w:space="0" w:color="auto"/>
      </w:divBdr>
    </w:div>
    <w:div w:id="1188832038">
      <w:bodyDiv w:val="1"/>
      <w:marLeft w:val="0"/>
      <w:marRight w:val="0"/>
      <w:marTop w:val="0"/>
      <w:marBottom w:val="0"/>
      <w:divBdr>
        <w:top w:val="none" w:sz="0" w:space="0" w:color="auto"/>
        <w:left w:val="none" w:sz="0" w:space="0" w:color="auto"/>
        <w:bottom w:val="none" w:sz="0" w:space="0" w:color="auto"/>
        <w:right w:val="none" w:sz="0" w:space="0" w:color="auto"/>
      </w:divBdr>
    </w:div>
    <w:div w:id="1251307323">
      <w:bodyDiv w:val="1"/>
      <w:marLeft w:val="0"/>
      <w:marRight w:val="0"/>
      <w:marTop w:val="0"/>
      <w:marBottom w:val="0"/>
      <w:divBdr>
        <w:top w:val="none" w:sz="0" w:space="0" w:color="auto"/>
        <w:left w:val="none" w:sz="0" w:space="0" w:color="auto"/>
        <w:bottom w:val="none" w:sz="0" w:space="0" w:color="auto"/>
        <w:right w:val="none" w:sz="0" w:space="0" w:color="auto"/>
      </w:divBdr>
    </w:div>
    <w:div w:id="1272738584">
      <w:bodyDiv w:val="1"/>
      <w:marLeft w:val="0"/>
      <w:marRight w:val="0"/>
      <w:marTop w:val="0"/>
      <w:marBottom w:val="0"/>
      <w:divBdr>
        <w:top w:val="none" w:sz="0" w:space="0" w:color="auto"/>
        <w:left w:val="none" w:sz="0" w:space="0" w:color="auto"/>
        <w:bottom w:val="none" w:sz="0" w:space="0" w:color="auto"/>
        <w:right w:val="none" w:sz="0" w:space="0" w:color="auto"/>
      </w:divBdr>
    </w:div>
    <w:div w:id="1275091764">
      <w:bodyDiv w:val="1"/>
      <w:marLeft w:val="0"/>
      <w:marRight w:val="0"/>
      <w:marTop w:val="0"/>
      <w:marBottom w:val="0"/>
      <w:divBdr>
        <w:top w:val="none" w:sz="0" w:space="0" w:color="auto"/>
        <w:left w:val="none" w:sz="0" w:space="0" w:color="auto"/>
        <w:bottom w:val="none" w:sz="0" w:space="0" w:color="auto"/>
        <w:right w:val="none" w:sz="0" w:space="0" w:color="auto"/>
      </w:divBdr>
    </w:div>
    <w:div w:id="1302419060">
      <w:bodyDiv w:val="1"/>
      <w:marLeft w:val="0"/>
      <w:marRight w:val="0"/>
      <w:marTop w:val="0"/>
      <w:marBottom w:val="0"/>
      <w:divBdr>
        <w:top w:val="none" w:sz="0" w:space="0" w:color="auto"/>
        <w:left w:val="none" w:sz="0" w:space="0" w:color="auto"/>
        <w:bottom w:val="none" w:sz="0" w:space="0" w:color="auto"/>
        <w:right w:val="none" w:sz="0" w:space="0" w:color="auto"/>
      </w:divBdr>
      <w:divsChild>
        <w:div w:id="69814789">
          <w:marLeft w:val="0"/>
          <w:marRight w:val="0"/>
          <w:marTop w:val="0"/>
          <w:marBottom w:val="0"/>
          <w:divBdr>
            <w:top w:val="none" w:sz="0" w:space="0" w:color="auto"/>
            <w:left w:val="none" w:sz="0" w:space="0" w:color="auto"/>
            <w:bottom w:val="none" w:sz="0" w:space="0" w:color="auto"/>
            <w:right w:val="none" w:sz="0" w:space="0" w:color="auto"/>
          </w:divBdr>
        </w:div>
        <w:div w:id="1081634472">
          <w:marLeft w:val="0"/>
          <w:marRight w:val="0"/>
          <w:marTop w:val="0"/>
          <w:marBottom w:val="0"/>
          <w:divBdr>
            <w:top w:val="none" w:sz="0" w:space="0" w:color="auto"/>
            <w:left w:val="none" w:sz="0" w:space="0" w:color="auto"/>
            <w:bottom w:val="none" w:sz="0" w:space="0" w:color="auto"/>
            <w:right w:val="none" w:sz="0" w:space="0" w:color="auto"/>
          </w:divBdr>
        </w:div>
      </w:divsChild>
    </w:div>
    <w:div w:id="1332027006">
      <w:bodyDiv w:val="1"/>
      <w:marLeft w:val="0"/>
      <w:marRight w:val="0"/>
      <w:marTop w:val="0"/>
      <w:marBottom w:val="0"/>
      <w:divBdr>
        <w:top w:val="none" w:sz="0" w:space="0" w:color="auto"/>
        <w:left w:val="none" w:sz="0" w:space="0" w:color="auto"/>
        <w:bottom w:val="none" w:sz="0" w:space="0" w:color="auto"/>
        <w:right w:val="none" w:sz="0" w:space="0" w:color="auto"/>
      </w:divBdr>
    </w:div>
    <w:div w:id="1335957410">
      <w:bodyDiv w:val="1"/>
      <w:marLeft w:val="0"/>
      <w:marRight w:val="0"/>
      <w:marTop w:val="0"/>
      <w:marBottom w:val="0"/>
      <w:divBdr>
        <w:top w:val="none" w:sz="0" w:space="0" w:color="auto"/>
        <w:left w:val="none" w:sz="0" w:space="0" w:color="auto"/>
        <w:bottom w:val="none" w:sz="0" w:space="0" w:color="auto"/>
        <w:right w:val="none" w:sz="0" w:space="0" w:color="auto"/>
      </w:divBdr>
      <w:divsChild>
        <w:div w:id="1298342637">
          <w:marLeft w:val="0"/>
          <w:marRight w:val="0"/>
          <w:marTop w:val="0"/>
          <w:marBottom w:val="0"/>
          <w:divBdr>
            <w:top w:val="none" w:sz="0" w:space="0" w:color="auto"/>
            <w:left w:val="none" w:sz="0" w:space="0" w:color="auto"/>
            <w:bottom w:val="none" w:sz="0" w:space="0" w:color="auto"/>
            <w:right w:val="none" w:sz="0" w:space="0" w:color="auto"/>
          </w:divBdr>
        </w:div>
        <w:div w:id="1930309941">
          <w:marLeft w:val="0"/>
          <w:marRight w:val="0"/>
          <w:marTop w:val="0"/>
          <w:marBottom w:val="0"/>
          <w:divBdr>
            <w:top w:val="none" w:sz="0" w:space="0" w:color="auto"/>
            <w:left w:val="none" w:sz="0" w:space="0" w:color="auto"/>
            <w:bottom w:val="none" w:sz="0" w:space="0" w:color="auto"/>
            <w:right w:val="none" w:sz="0" w:space="0" w:color="auto"/>
          </w:divBdr>
        </w:div>
      </w:divsChild>
    </w:div>
    <w:div w:id="1346513458">
      <w:bodyDiv w:val="1"/>
      <w:marLeft w:val="0"/>
      <w:marRight w:val="0"/>
      <w:marTop w:val="0"/>
      <w:marBottom w:val="0"/>
      <w:divBdr>
        <w:top w:val="none" w:sz="0" w:space="0" w:color="auto"/>
        <w:left w:val="none" w:sz="0" w:space="0" w:color="auto"/>
        <w:bottom w:val="none" w:sz="0" w:space="0" w:color="auto"/>
        <w:right w:val="none" w:sz="0" w:space="0" w:color="auto"/>
      </w:divBdr>
    </w:div>
    <w:div w:id="1348562387">
      <w:bodyDiv w:val="1"/>
      <w:marLeft w:val="0"/>
      <w:marRight w:val="0"/>
      <w:marTop w:val="0"/>
      <w:marBottom w:val="0"/>
      <w:divBdr>
        <w:top w:val="none" w:sz="0" w:space="0" w:color="auto"/>
        <w:left w:val="none" w:sz="0" w:space="0" w:color="auto"/>
        <w:bottom w:val="none" w:sz="0" w:space="0" w:color="auto"/>
        <w:right w:val="none" w:sz="0" w:space="0" w:color="auto"/>
      </w:divBdr>
    </w:div>
    <w:div w:id="1401053083">
      <w:bodyDiv w:val="1"/>
      <w:marLeft w:val="0"/>
      <w:marRight w:val="0"/>
      <w:marTop w:val="0"/>
      <w:marBottom w:val="0"/>
      <w:divBdr>
        <w:top w:val="none" w:sz="0" w:space="0" w:color="auto"/>
        <w:left w:val="none" w:sz="0" w:space="0" w:color="auto"/>
        <w:bottom w:val="none" w:sz="0" w:space="0" w:color="auto"/>
        <w:right w:val="none" w:sz="0" w:space="0" w:color="auto"/>
      </w:divBdr>
    </w:div>
    <w:div w:id="1417283846">
      <w:bodyDiv w:val="1"/>
      <w:marLeft w:val="0"/>
      <w:marRight w:val="0"/>
      <w:marTop w:val="0"/>
      <w:marBottom w:val="0"/>
      <w:divBdr>
        <w:top w:val="none" w:sz="0" w:space="0" w:color="auto"/>
        <w:left w:val="none" w:sz="0" w:space="0" w:color="auto"/>
        <w:bottom w:val="none" w:sz="0" w:space="0" w:color="auto"/>
        <w:right w:val="none" w:sz="0" w:space="0" w:color="auto"/>
      </w:divBdr>
    </w:div>
    <w:div w:id="1424254299">
      <w:bodyDiv w:val="1"/>
      <w:marLeft w:val="0"/>
      <w:marRight w:val="0"/>
      <w:marTop w:val="0"/>
      <w:marBottom w:val="0"/>
      <w:divBdr>
        <w:top w:val="none" w:sz="0" w:space="0" w:color="auto"/>
        <w:left w:val="none" w:sz="0" w:space="0" w:color="auto"/>
        <w:bottom w:val="none" w:sz="0" w:space="0" w:color="auto"/>
        <w:right w:val="none" w:sz="0" w:space="0" w:color="auto"/>
      </w:divBdr>
    </w:div>
    <w:div w:id="1443190910">
      <w:bodyDiv w:val="1"/>
      <w:marLeft w:val="0"/>
      <w:marRight w:val="0"/>
      <w:marTop w:val="0"/>
      <w:marBottom w:val="0"/>
      <w:divBdr>
        <w:top w:val="none" w:sz="0" w:space="0" w:color="auto"/>
        <w:left w:val="none" w:sz="0" w:space="0" w:color="auto"/>
        <w:bottom w:val="none" w:sz="0" w:space="0" w:color="auto"/>
        <w:right w:val="none" w:sz="0" w:space="0" w:color="auto"/>
      </w:divBdr>
      <w:divsChild>
        <w:div w:id="767845749">
          <w:marLeft w:val="0"/>
          <w:marRight w:val="0"/>
          <w:marTop w:val="0"/>
          <w:marBottom w:val="0"/>
          <w:divBdr>
            <w:top w:val="none" w:sz="0" w:space="0" w:color="auto"/>
            <w:left w:val="none" w:sz="0" w:space="0" w:color="auto"/>
            <w:bottom w:val="none" w:sz="0" w:space="0" w:color="auto"/>
            <w:right w:val="none" w:sz="0" w:space="0" w:color="auto"/>
          </w:divBdr>
          <w:divsChild>
            <w:div w:id="1261837185">
              <w:marLeft w:val="0"/>
              <w:marRight w:val="0"/>
              <w:marTop w:val="0"/>
              <w:marBottom w:val="0"/>
              <w:divBdr>
                <w:top w:val="none" w:sz="0" w:space="0" w:color="auto"/>
                <w:left w:val="none" w:sz="0" w:space="0" w:color="auto"/>
                <w:bottom w:val="none" w:sz="0" w:space="0" w:color="auto"/>
                <w:right w:val="none" w:sz="0" w:space="0" w:color="auto"/>
              </w:divBdr>
              <w:divsChild>
                <w:div w:id="913665407">
                  <w:marLeft w:val="0"/>
                  <w:marRight w:val="0"/>
                  <w:marTop w:val="0"/>
                  <w:marBottom w:val="0"/>
                  <w:divBdr>
                    <w:top w:val="none" w:sz="0" w:space="0" w:color="auto"/>
                    <w:left w:val="none" w:sz="0" w:space="0" w:color="auto"/>
                    <w:bottom w:val="none" w:sz="0" w:space="0" w:color="auto"/>
                    <w:right w:val="none" w:sz="0" w:space="0" w:color="auto"/>
                  </w:divBdr>
                  <w:divsChild>
                    <w:div w:id="17915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4095">
          <w:marLeft w:val="0"/>
          <w:marRight w:val="0"/>
          <w:marTop w:val="0"/>
          <w:marBottom w:val="0"/>
          <w:divBdr>
            <w:top w:val="none" w:sz="0" w:space="0" w:color="auto"/>
            <w:left w:val="none" w:sz="0" w:space="0" w:color="auto"/>
            <w:bottom w:val="none" w:sz="0" w:space="0" w:color="auto"/>
            <w:right w:val="none" w:sz="0" w:space="0" w:color="auto"/>
          </w:divBdr>
          <w:divsChild>
            <w:div w:id="1497187311">
              <w:marLeft w:val="0"/>
              <w:marRight w:val="0"/>
              <w:marTop w:val="0"/>
              <w:marBottom w:val="0"/>
              <w:divBdr>
                <w:top w:val="none" w:sz="0" w:space="0" w:color="auto"/>
                <w:left w:val="none" w:sz="0" w:space="0" w:color="auto"/>
                <w:bottom w:val="none" w:sz="0" w:space="0" w:color="auto"/>
                <w:right w:val="none" w:sz="0" w:space="0" w:color="auto"/>
              </w:divBdr>
              <w:divsChild>
                <w:div w:id="1033655498">
                  <w:marLeft w:val="0"/>
                  <w:marRight w:val="0"/>
                  <w:marTop w:val="0"/>
                  <w:marBottom w:val="0"/>
                  <w:divBdr>
                    <w:top w:val="none" w:sz="0" w:space="0" w:color="auto"/>
                    <w:left w:val="none" w:sz="0" w:space="0" w:color="auto"/>
                    <w:bottom w:val="none" w:sz="0" w:space="0" w:color="auto"/>
                    <w:right w:val="none" w:sz="0" w:space="0" w:color="auto"/>
                  </w:divBdr>
                  <w:divsChild>
                    <w:div w:id="1352299763">
                      <w:marLeft w:val="0"/>
                      <w:marRight w:val="0"/>
                      <w:marTop w:val="0"/>
                      <w:marBottom w:val="0"/>
                      <w:divBdr>
                        <w:top w:val="none" w:sz="0" w:space="0" w:color="auto"/>
                        <w:left w:val="none" w:sz="0" w:space="0" w:color="auto"/>
                        <w:bottom w:val="none" w:sz="0" w:space="0" w:color="auto"/>
                        <w:right w:val="none" w:sz="0" w:space="0" w:color="auto"/>
                      </w:divBdr>
                      <w:divsChild>
                        <w:div w:id="910457476">
                          <w:marLeft w:val="0"/>
                          <w:marRight w:val="0"/>
                          <w:marTop w:val="0"/>
                          <w:marBottom w:val="0"/>
                          <w:divBdr>
                            <w:top w:val="none" w:sz="0" w:space="0" w:color="auto"/>
                            <w:left w:val="none" w:sz="0" w:space="0" w:color="auto"/>
                            <w:bottom w:val="none" w:sz="0" w:space="0" w:color="auto"/>
                            <w:right w:val="none" w:sz="0" w:space="0" w:color="auto"/>
                          </w:divBdr>
                          <w:divsChild>
                            <w:div w:id="121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7108">
      <w:bodyDiv w:val="1"/>
      <w:marLeft w:val="0"/>
      <w:marRight w:val="0"/>
      <w:marTop w:val="0"/>
      <w:marBottom w:val="0"/>
      <w:divBdr>
        <w:top w:val="none" w:sz="0" w:space="0" w:color="auto"/>
        <w:left w:val="none" w:sz="0" w:space="0" w:color="auto"/>
        <w:bottom w:val="none" w:sz="0" w:space="0" w:color="auto"/>
        <w:right w:val="none" w:sz="0" w:space="0" w:color="auto"/>
      </w:divBdr>
      <w:divsChild>
        <w:div w:id="170877956">
          <w:marLeft w:val="0"/>
          <w:marRight w:val="0"/>
          <w:marTop w:val="0"/>
          <w:marBottom w:val="0"/>
          <w:divBdr>
            <w:top w:val="none" w:sz="0" w:space="0" w:color="auto"/>
            <w:left w:val="none" w:sz="0" w:space="0" w:color="auto"/>
            <w:bottom w:val="none" w:sz="0" w:space="0" w:color="auto"/>
            <w:right w:val="none" w:sz="0" w:space="0" w:color="auto"/>
          </w:divBdr>
          <w:divsChild>
            <w:div w:id="99033454">
              <w:marLeft w:val="0"/>
              <w:marRight w:val="0"/>
              <w:marTop w:val="0"/>
              <w:marBottom w:val="0"/>
              <w:divBdr>
                <w:top w:val="none" w:sz="0" w:space="0" w:color="auto"/>
                <w:left w:val="none" w:sz="0" w:space="0" w:color="auto"/>
                <w:bottom w:val="none" w:sz="0" w:space="0" w:color="auto"/>
                <w:right w:val="none" w:sz="0" w:space="0" w:color="auto"/>
              </w:divBdr>
              <w:divsChild>
                <w:div w:id="1128165944">
                  <w:marLeft w:val="0"/>
                  <w:marRight w:val="0"/>
                  <w:marTop w:val="0"/>
                  <w:marBottom w:val="0"/>
                  <w:divBdr>
                    <w:top w:val="none" w:sz="0" w:space="0" w:color="auto"/>
                    <w:left w:val="none" w:sz="0" w:space="0" w:color="auto"/>
                    <w:bottom w:val="none" w:sz="0" w:space="0" w:color="auto"/>
                    <w:right w:val="none" w:sz="0" w:space="0" w:color="auto"/>
                  </w:divBdr>
                  <w:divsChild>
                    <w:div w:id="157111127">
                      <w:marLeft w:val="0"/>
                      <w:marRight w:val="0"/>
                      <w:marTop w:val="0"/>
                      <w:marBottom w:val="0"/>
                      <w:divBdr>
                        <w:top w:val="none" w:sz="0" w:space="0" w:color="auto"/>
                        <w:left w:val="none" w:sz="0" w:space="0" w:color="auto"/>
                        <w:bottom w:val="none" w:sz="0" w:space="0" w:color="auto"/>
                        <w:right w:val="none" w:sz="0" w:space="0" w:color="auto"/>
                      </w:divBdr>
                      <w:divsChild>
                        <w:div w:id="1384719239">
                          <w:marLeft w:val="0"/>
                          <w:marRight w:val="0"/>
                          <w:marTop w:val="0"/>
                          <w:marBottom w:val="0"/>
                          <w:divBdr>
                            <w:top w:val="none" w:sz="0" w:space="0" w:color="auto"/>
                            <w:left w:val="none" w:sz="0" w:space="0" w:color="auto"/>
                            <w:bottom w:val="none" w:sz="0" w:space="0" w:color="auto"/>
                            <w:right w:val="none" w:sz="0" w:space="0" w:color="auto"/>
                          </w:divBdr>
                          <w:divsChild>
                            <w:div w:id="14904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23206">
          <w:marLeft w:val="0"/>
          <w:marRight w:val="0"/>
          <w:marTop w:val="0"/>
          <w:marBottom w:val="0"/>
          <w:divBdr>
            <w:top w:val="none" w:sz="0" w:space="0" w:color="auto"/>
            <w:left w:val="none" w:sz="0" w:space="0" w:color="auto"/>
            <w:bottom w:val="none" w:sz="0" w:space="0" w:color="auto"/>
            <w:right w:val="none" w:sz="0" w:space="0" w:color="auto"/>
          </w:divBdr>
          <w:divsChild>
            <w:div w:id="26685119">
              <w:marLeft w:val="0"/>
              <w:marRight w:val="0"/>
              <w:marTop w:val="0"/>
              <w:marBottom w:val="0"/>
              <w:divBdr>
                <w:top w:val="none" w:sz="0" w:space="0" w:color="auto"/>
                <w:left w:val="none" w:sz="0" w:space="0" w:color="auto"/>
                <w:bottom w:val="none" w:sz="0" w:space="0" w:color="auto"/>
                <w:right w:val="none" w:sz="0" w:space="0" w:color="auto"/>
              </w:divBdr>
              <w:divsChild>
                <w:div w:id="806360032">
                  <w:marLeft w:val="0"/>
                  <w:marRight w:val="0"/>
                  <w:marTop w:val="0"/>
                  <w:marBottom w:val="0"/>
                  <w:divBdr>
                    <w:top w:val="none" w:sz="0" w:space="0" w:color="auto"/>
                    <w:left w:val="none" w:sz="0" w:space="0" w:color="auto"/>
                    <w:bottom w:val="none" w:sz="0" w:space="0" w:color="auto"/>
                    <w:right w:val="none" w:sz="0" w:space="0" w:color="auto"/>
                  </w:divBdr>
                  <w:divsChild>
                    <w:div w:id="5205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89287">
      <w:bodyDiv w:val="1"/>
      <w:marLeft w:val="0"/>
      <w:marRight w:val="0"/>
      <w:marTop w:val="0"/>
      <w:marBottom w:val="0"/>
      <w:divBdr>
        <w:top w:val="none" w:sz="0" w:space="0" w:color="auto"/>
        <w:left w:val="none" w:sz="0" w:space="0" w:color="auto"/>
        <w:bottom w:val="none" w:sz="0" w:space="0" w:color="auto"/>
        <w:right w:val="none" w:sz="0" w:space="0" w:color="auto"/>
      </w:divBdr>
    </w:div>
    <w:div w:id="1491828105">
      <w:bodyDiv w:val="1"/>
      <w:marLeft w:val="0"/>
      <w:marRight w:val="0"/>
      <w:marTop w:val="0"/>
      <w:marBottom w:val="0"/>
      <w:divBdr>
        <w:top w:val="none" w:sz="0" w:space="0" w:color="auto"/>
        <w:left w:val="none" w:sz="0" w:space="0" w:color="auto"/>
        <w:bottom w:val="none" w:sz="0" w:space="0" w:color="auto"/>
        <w:right w:val="none" w:sz="0" w:space="0" w:color="auto"/>
      </w:divBdr>
    </w:div>
    <w:div w:id="1504079347">
      <w:bodyDiv w:val="1"/>
      <w:marLeft w:val="0"/>
      <w:marRight w:val="0"/>
      <w:marTop w:val="0"/>
      <w:marBottom w:val="0"/>
      <w:divBdr>
        <w:top w:val="none" w:sz="0" w:space="0" w:color="auto"/>
        <w:left w:val="none" w:sz="0" w:space="0" w:color="auto"/>
        <w:bottom w:val="none" w:sz="0" w:space="0" w:color="auto"/>
        <w:right w:val="none" w:sz="0" w:space="0" w:color="auto"/>
      </w:divBdr>
      <w:divsChild>
        <w:div w:id="2068608718">
          <w:marLeft w:val="274"/>
          <w:marRight w:val="0"/>
          <w:marTop w:val="0"/>
          <w:marBottom w:val="0"/>
          <w:divBdr>
            <w:top w:val="none" w:sz="0" w:space="0" w:color="auto"/>
            <w:left w:val="none" w:sz="0" w:space="0" w:color="auto"/>
            <w:bottom w:val="none" w:sz="0" w:space="0" w:color="auto"/>
            <w:right w:val="none" w:sz="0" w:space="0" w:color="auto"/>
          </w:divBdr>
        </w:div>
      </w:divsChild>
    </w:div>
    <w:div w:id="1519468450">
      <w:bodyDiv w:val="1"/>
      <w:marLeft w:val="0"/>
      <w:marRight w:val="0"/>
      <w:marTop w:val="0"/>
      <w:marBottom w:val="0"/>
      <w:divBdr>
        <w:top w:val="none" w:sz="0" w:space="0" w:color="auto"/>
        <w:left w:val="none" w:sz="0" w:space="0" w:color="auto"/>
        <w:bottom w:val="none" w:sz="0" w:space="0" w:color="auto"/>
        <w:right w:val="none" w:sz="0" w:space="0" w:color="auto"/>
      </w:divBdr>
    </w:div>
    <w:div w:id="1525553430">
      <w:bodyDiv w:val="1"/>
      <w:marLeft w:val="0"/>
      <w:marRight w:val="0"/>
      <w:marTop w:val="0"/>
      <w:marBottom w:val="0"/>
      <w:divBdr>
        <w:top w:val="none" w:sz="0" w:space="0" w:color="auto"/>
        <w:left w:val="none" w:sz="0" w:space="0" w:color="auto"/>
        <w:bottom w:val="none" w:sz="0" w:space="0" w:color="auto"/>
        <w:right w:val="none" w:sz="0" w:space="0" w:color="auto"/>
      </w:divBdr>
    </w:div>
    <w:div w:id="1543518929">
      <w:bodyDiv w:val="1"/>
      <w:marLeft w:val="0"/>
      <w:marRight w:val="0"/>
      <w:marTop w:val="0"/>
      <w:marBottom w:val="0"/>
      <w:divBdr>
        <w:top w:val="none" w:sz="0" w:space="0" w:color="auto"/>
        <w:left w:val="none" w:sz="0" w:space="0" w:color="auto"/>
        <w:bottom w:val="none" w:sz="0" w:space="0" w:color="auto"/>
        <w:right w:val="none" w:sz="0" w:space="0" w:color="auto"/>
      </w:divBdr>
      <w:divsChild>
        <w:div w:id="433984796">
          <w:marLeft w:val="0"/>
          <w:marRight w:val="0"/>
          <w:marTop w:val="0"/>
          <w:marBottom w:val="0"/>
          <w:divBdr>
            <w:top w:val="none" w:sz="0" w:space="0" w:color="auto"/>
            <w:left w:val="none" w:sz="0" w:space="0" w:color="auto"/>
            <w:bottom w:val="none" w:sz="0" w:space="0" w:color="auto"/>
            <w:right w:val="none" w:sz="0" w:space="0" w:color="auto"/>
          </w:divBdr>
          <w:divsChild>
            <w:div w:id="41906698">
              <w:marLeft w:val="0"/>
              <w:marRight w:val="0"/>
              <w:marTop w:val="0"/>
              <w:marBottom w:val="0"/>
              <w:divBdr>
                <w:top w:val="none" w:sz="0" w:space="0" w:color="auto"/>
                <w:left w:val="none" w:sz="0" w:space="0" w:color="auto"/>
                <w:bottom w:val="none" w:sz="0" w:space="0" w:color="auto"/>
                <w:right w:val="none" w:sz="0" w:space="0" w:color="auto"/>
              </w:divBdr>
            </w:div>
            <w:div w:id="104466257">
              <w:marLeft w:val="0"/>
              <w:marRight w:val="0"/>
              <w:marTop w:val="0"/>
              <w:marBottom w:val="0"/>
              <w:divBdr>
                <w:top w:val="none" w:sz="0" w:space="0" w:color="auto"/>
                <w:left w:val="none" w:sz="0" w:space="0" w:color="auto"/>
                <w:bottom w:val="none" w:sz="0" w:space="0" w:color="auto"/>
                <w:right w:val="none" w:sz="0" w:space="0" w:color="auto"/>
              </w:divBdr>
            </w:div>
            <w:div w:id="175121803">
              <w:marLeft w:val="0"/>
              <w:marRight w:val="0"/>
              <w:marTop w:val="0"/>
              <w:marBottom w:val="0"/>
              <w:divBdr>
                <w:top w:val="none" w:sz="0" w:space="0" w:color="auto"/>
                <w:left w:val="none" w:sz="0" w:space="0" w:color="auto"/>
                <w:bottom w:val="none" w:sz="0" w:space="0" w:color="auto"/>
                <w:right w:val="none" w:sz="0" w:space="0" w:color="auto"/>
              </w:divBdr>
            </w:div>
            <w:div w:id="320429420">
              <w:marLeft w:val="0"/>
              <w:marRight w:val="0"/>
              <w:marTop w:val="0"/>
              <w:marBottom w:val="0"/>
              <w:divBdr>
                <w:top w:val="none" w:sz="0" w:space="0" w:color="auto"/>
                <w:left w:val="none" w:sz="0" w:space="0" w:color="auto"/>
                <w:bottom w:val="none" w:sz="0" w:space="0" w:color="auto"/>
                <w:right w:val="none" w:sz="0" w:space="0" w:color="auto"/>
              </w:divBdr>
            </w:div>
            <w:div w:id="396976315">
              <w:marLeft w:val="0"/>
              <w:marRight w:val="0"/>
              <w:marTop w:val="0"/>
              <w:marBottom w:val="0"/>
              <w:divBdr>
                <w:top w:val="none" w:sz="0" w:space="0" w:color="auto"/>
                <w:left w:val="none" w:sz="0" w:space="0" w:color="auto"/>
                <w:bottom w:val="none" w:sz="0" w:space="0" w:color="auto"/>
                <w:right w:val="none" w:sz="0" w:space="0" w:color="auto"/>
              </w:divBdr>
            </w:div>
            <w:div w:id="418210386">
              <w:marLeft w:val="0"/>
              <w:marRight w:val="0"/>
              <w:marTop w:val="0"/>
              <w:marBottom w:val="0"/>
              <w:divBdr>
                <w:top w:val="none" w:sz="0" w:space="0" w:color="auto"/>
                <w:left w:val="none" w:sz="0" w:space="0" w:color="auto"/>
                <w:bottom w:val="none" w:sz="0" w:space="0" w:color="auto"/>
                <w:right w:val="none" w:sz="0" w:space="0" w:color="auto"/>
              </w:divBdr>
            </w:div>
            <w:div w:id="425854996">
              <w:marLeft w:val="0"/>
              <w:marRight w:val="0"/>
              <w:marTop w:val="0"/>
              <w:marBottom w:val="0"/>
              <w:divBdr>
                <w:top w:val="none" w:sz="0" w:space="0" w:color="auto"/>
                <w:left w:val="none" w:sz="0" w:space="0" w:color="auto"/>
                <w:bottom w:val="none" w:sz="0" w:space="0" w:color="auto"/>
                <w:right w:val="none" w:sz="0" w:space="0" w:color="auto"/>
              </w:divBdr>
            </w:div>
            <w:div w:id="578559055">
              <w:marLeft w:val="0"/>
              <w:marRight w:val="0"/>
              <w:marTop w:val="0"/>
              <w:marBottom w:val="0"/>
              <w:divBdr>
                <w:top w:val="none" w:sz="0" w:space="0" w:color="auto"/>
                <w:left w:val="none" w:sz="0" w:space="0" w:color="auto"/>
                <w:bottom w:val="none" w:sz="0" w:space="0" w:color="auto"/>
                <w:right w:val="none" w:sz="0" w:space="0" w:color="auto"/>
              </w:divBdr>
            </w:div>
            <w:div w:id="842549600">
              <w:marLeft w:val="0"/>
              <w:marRight w:val="0"/>
              <w:marTop w:val="0"/>
              <w:marBottom w:val="0"/>
              <w:divBdr>
                <w:top w:val="none" w:sz="0" w:space="0" w:color="auto"/>
                <w:left w:val="none" w:sz="0" w:space="0" w:color="auto"/>
                <w:bottom w:val="none" w:sz="0" w:space="0" w:color="auto"/>
                <w:right w:val="none" w:sz="0" w:space="0" w:color="auto"/>
              </w:divBdr>
            </w:div>
            <w:div w:id="900360121">
              <w:marLeft w:val="0"/>
              <w:marRight w:val="0"/>
              <w:marTop w:val="0"/>
              <w:marBottom w:val="0"/>
              <w:divBdr>
                <w:top w:val="none" w:sz="0" w:space="0" w:color="auto"/>
                <w:left w:val="none" w:sz="0" w:space="0" w:color="auto"/>
                <w:bottom w:val="none" w:sz="0" w:space="0" w:color="auto"/>
                <w:right w:val="none" w:sz="0" w:space="0" w:color="auto"/>
              </w:divBdr>
            </w:div>
            <w:div w:id="1009940432">
              <w:marLeft w:val="0"/>
              <w:marRight w:val="0"/>
              <w:marTop w:val="0"/>
              <w:marBottom w:val="0"/>
              <w:divBdr>
                <w:top w:val="none" w:sz="0" w:space="0" w:color="auto"/>
                <w:left w:val="none" w:sz="0" w:space="0" w:color="auto"/>
                <w:bottom w:val="none" w:sz="0" w:space="0" w:color="auto"/>
                <w:right w:val="none" w:sz="0" w:space="0" w:color="auto"/>
              </w:divBdr>
            </w:div>
            <w:div w:id="1124350410">
              <w:marLeft w:val="0"/>
              <w:marRight w:val="0"/>
              <w:marTop w:val="0"/>
              <w:marBottom w:val="0"/>
              <w:divBdr>
                <w:top w:val="none" w:sz="0" w:space="0" w:color="auto"/>
                <w:left w:val="none" w:sz="0" w:space="0" w:color="auto"/>
                <w:bottom w:val="none" w:sz="0" w:space="0" w:color="auto"/>
                <w:right w:val="none" w:sz="0" w:space="0" w:color="auto"/>
              </w:divBdr>
            </w:div>
            <w:div w:id="2068530062">
              <w:marLeft w:val="0"/>
              <w:marRight w:val="0"/>
              <w:marTop w:val="0"/>
              <w:marBottom w:val="0"/>
              <w:divBdr>
                <w:top w:val="none" w:sz="0" w:space="0" w:color="auto"/>
                <w:left w:val="none" w:sz="0" w:space="0" w:color="auto"/>
                <w:bottom w:val="none" w:sz="0" w:space="0" w:color="auto"/>
                <w:right w:val="none" w:sz="0" w:space="0" w:color="auto"/>
              </w:divBdr>
            </w:div>
          </w:divsChild>
        </w:div>
        <w:div w:id="1338075825">
          <w:marLeft w:val="0"/>
          <w:marRight w:val="0"/>
          <w:marTop w:val="0"/>
          <w:marBottom w:val="0"/>
          <w:divBdr>
            <w:top w:val="none" w:sz="0" w:space="0" w:color="auto"/>
            <w:left w:val="none" w:sz="0" w:space="0" w:color="auto"/>
            <w:bottom w:val="none" w:sz="0" w:space="0" w:color="auto"/>
            <w:right w:val="none" w:sz="0" w:space="0" w:color="auto"/>
          </w:divBdr>
          <w:divsChild>
            <w:div w:id="340131983">
              <w:marLeft w:val="0"/>
              <w:marRight w:val="0"/>
              <w:marTop w:val="0"/>
              <w:marBottom w:val="0"/>
              <w:divBdr>
                <w:top w:val="none" w:sz="0" w:space="0" w:color="auto"/>
                <w:left w:val="none" w:sz="0" w:space="0" w:color="auto"/>
                <w:bottom w:val="none" w:sz="0" w:space="0" w:color="auto"/>
                <w:right w:val="none" w:sz="0" w:space="0" w:color="auto"/>
              </w:divBdr>
            </w:div>
            <w:div w:id="1145508190">
              <w:marLeft w:val="0"/>
              <w:marRight w:val="0"/>
              <w:marTop w:val="0"/>
              <w:marBottom w:val="0"/>
              <w:divBdr>
                <w:top w:val="none" w:sz="0" w:space="0" w:color="auto"/>
                <w:left w:val="none" w:sz="0" w:space="0" w:color="auto"/>
                <w:bottom w:val="none" w:sz="0" w:space="0" w:color="auto"/>
                <w:right w:val="none" w:sz="0" w:space="0" w:color="auto"/>
              </w:divBdr>
            </w:div>
            <w:div w:id="1263412890">
              <w:marLeft w:val="0"/>
              <w:marRight w:val="0"/>
              <w:marTop w:val="0"/>
              <w:marBottom w:val="0"/>
              <w:divBdr>
                <w:top w:val="none" w:sz="0" w:space="0" w:color="auto"/>
                <w:left w:val="none" w:sz="0" w:space="0" w:color="auto"/>
                <w:bottom w:val="none" w:sz="0" w:space="0" w:color="auto"/>
                <w:right w:val="none" w:sz="0" w:space="0" w:color="auto"/>
              </w:divBdr>
            </w:div>
            <w:div w:id="1593081308">
              <w:marLeft w:val="0"/>
              <w:marRight w:val="0"/>
              <w:marTop w:val="0"/>
              <w:marBottom w:val="0"/>
              <w:divBdr>
                <w:top w:val="none" w:sz="0" w:space="0" w:color="auto"/>
                <w:left w:val="none" w:sz="0" w:space="0" w:color="auto"/>
                <w:bottom w:val="none" w:sz="0" w:space="0" w:color="auto"/>
                <w:right w:val="none" w:sz="0" w:space="0" w:color="auto"/>
              </w:divBdr>
            </w:div>
            <w:div w:id="1638535028">
              <w:marLeft w:val="0"/>
              <w:marRight w:val="0"/>
              <w:marTop w:val="0"/>
              <w:marBottom w:val="0"/>
              <w:divBdr>
                <w:top w:val="none" w:sz="0" w:space="0" w:color="auto"/>
                <w:left w:val="none" w:sz="0" w:space="0" w:color="auto"/>
                <w:bottom w:val="none" w:sz="0" w:space="0" w:color="auto"/>
                <w:right w:val="none" w:sz="0" w:space="0" w:color="auto"/>
              </w:divBdr>
            </w:div>
            <w:div w:id="17372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935">
      <w:bodyDiv w:val="1"/>
      <w:marLeft w:val="0"/>
      <w:marRight w:val="0"/>
      <w:marTop w:val="0"/>
      <w:marBottom w:val="0"/>
      <w:divBdr>
        <w:top w:val="none" w:sz="0" w:space="0" w:color="auto"/>
        <w:left w:val="none" w:sz="0" w:space="0" w:color="auto"/>
        <w:bottom w:val="none" w:sz="0" w:space="0" w:color="auto"/>
        <w:right w:val="none" w:sz="0" w:space="0" w:color="auto"/>
      </w:divBdr>
    </w:div>
    <w:div w:id="1641687567">
      <w:bodyDiv w:val="1"/>
      <w:marLeft w:val="0"/>
      <w:marRight w:val="0"/>
      <w:marTop w:val="0"/>
      <w:marBottom w:val="0"/>
      <w:divBdr>
        <w:top w:val="none" w:sz="0" w:space="0" w:color="auto"/>
        <w:left w:val="none" w:sz="0" w:space="0" w:color="auto"/>
        <w:bottom w:val="none" w:sz="0" w:space="0" w:color="auto"/>
        <w:right w:val="none" w:sz="0" w:space="0" w:color="auto"/>
      </w:divBdr>
      <w:divsChild>
        <w:div w:id="875043093">
          <w:marLeft w:val="0"/>
          <w:marRight w:val="0"/>
          <w:marTop w:val="0"/>
          <w:marBottom w:val="0"/>
          <w:divBdr>
            <w:top w:val="none" w:sz="0" w:space="0" w:color="auto"/>
            <w:left w:val="none" w:sz="0" w:space="0" w:color="auto"/>
            <w:bottom w:val="none" w:sz="0" w:space="0" w:color="auto"/>
            <w:right w:val="none" w:sz="0" w:space="0" w:color="auto"/>
          </w:divBdr>
        </w:div>
        <w:div w:id="1127815762">
          <w:marLeft w:val="0"/>
          <w:marRight w:val="0"/>
          <w:marTop w:val="0"/>
          <w:marBottom w:val="0"/>
          <w:divBdr>
            <w:top w:val="none" w:sz="0" w:space="0" w:color="auto"/>
            <w:left w:val="none" w:sz="0" w:space="0" w:color="auto"/>
            <w:bottom w:val="none" w:sz="0" w:space="0" w:color="auto"/>
            <w:right w:val="none" w:sz="0" w:space="0" w:color="auto"/>
          </w:divBdr>
        </w:div>
        <w:div w:id="1375497730">
          <w:marLeft w:val="0"/>
          <w:marRight w:val="0"/>
          <w:marTop w:val="0"/>
          <w:marBottom w:val="0"/>
          <w:divBdr>
            <w:top w:val="none" w:sz="0" w:space="0" w:color="auto"/>
            <w:left w:val="none" w:sz="0" w:space="0" w:color="auto"/>
            <w:bottom w:val="none" w:sz="0" w:space="0" w:color="auto"/>
            <w:right w:val="none" w:sz="0" w:space="0" w:color="auto"/>
          </w:divBdr>
        </w:div>
        <w:div w:id="1421871906">
          <w:marLeft w:val="0"/>
          <w:marRight w:val="0"/>
          <w:marTop w:val="0"/>
          <w:marBottom w:val="0"/>
          <w:divBdr>
            <w:top w:val="none" w:sz="0" w:space="0" w:color="auto"/>
            <w:left w:val="none" w:sz="0" w:space="0" w:color="auto"/>
            <w:bottom w:val="none" w:sz="0" w:space="0" w:color="auto"/>
            <w:right w:val="none" w:sz="0" w:space="0" w:color="auto"/>
          </w:divBdr>
        </w:div>
      </w:divsChild>
    </w:div>
    <w:div w:id="1645502949">
      <w:bodyDiv w:val="1"/>
      <w:marLeft w:val="0"/>
      <w:marRight w:val="0"/>
      <w:marTop w:val="0"/>
      <w:marBottom w:val="0"/>
      <w:divBdr>
        <w:top w:val="none" w:sz="0" w:space="0" w:color="auto"/>
        <w:left w:val="none" w:sz="0" w:space="0" w:color="auto"/>
        <w:bottom w:val="none" w:sz="0" w:space="0" w:color="auto"/>
        <w:right w:val="none" w:sz="0" w:space="0" w:color="auto"/>
      </w:divBdr>
      <w:divsChild>
        <w:div w:id="19625879">
          <w:marLeft w:val="0"/>
          <w:marRight w:val="0"/>
          <w:marTop w:val="0"/>
          <w:marBottom w:val="0"/>
          <w:divBdr>
            <w:top w:val="none" w:sz="0" w:space="0" w:color="auto"/>
            <w:left w:val="none" w:sz="0" w:space="0" w:color="auto"/>
            <w:bottom w:val="none" w:sz="0" w:space="0" w:color="auto"/>
            <w:right w:val="none" w:sz="0" w:space="0" w:color="auto"/>
          </w:divBdr>
        </w:div>
        <w:div w:id="227034543">
          <w:marLeft w:val="0"/>
          <w:marRight w:val="0"/>
          <w:marTop w:val="0"/>
          <w:marBottom w:val="0"/>
          <w:divBdr>
            <w:top w:val="none" w:sz="0" w:space="0" w:color="auto"/>
            <w:left w:val="none" w:sz="0" w:space="0" w:color="auto"/>
            <w:bottom w:val="none" w:sz="0" w:space="0" w:color="auto"/>
            <w:right w:val="none" w:sz="0" w:space="0" w:color="auto"/>
          </w:divBdr>
        </w:div>
        <w:div w:id="303044868">
          <w:marLeft w:val="0"/>
          <w:marRight w:val="0"/>
          <w:marTop w:val="0"/>
          <w:marBottom w:val="0"/>
          <w:divBdr>
            <w:top w:val="none" w:sz="0" w:space="0" w:color="auto"/>
            <w:left w:val="none" w:sz="0" w:space="0" w:color="auto"/>
            <w:bottom w:val="none" w:sz="0" w:space="0" w:color="auto"/>
            <w:right w:val="none" w:sz="0" w:space="0" w:color="auto"/>
          </w:divBdr>
        </w:div>
        <w:div w:id="483934549">
          <w:marLeft w:val="0"/>
          <w:marRight w:val="0"/>
          <w:marTop w:val="0"/>
          <w:marBottom w:val="0"/>
          <w:divBdr>
            <w:top w:val="none" w:sz="0" w:space="0" w:color="auto"/>
            <w:left w:val="none" w:sz="0" w:space="0" w:color="auto"/>
            <w:bottom w:val="none" w:sz="0" w:space="0" w:color="auto"/>
            <w:right w:val="none" w:sz="0" w:space="0" w:color="auto"/>
          </w:divBdr>
        </w:div>
        <w:div w:id="651829306">
          <w:marLeft w:val="0"/>
          <w:marRight w:val="0"/>
          <w:marTop w:val="0"/>
          <w:marBottom w:val="0"/>
          <w:divBdr>
            <w:top w:val="none" w:sz="0" w:space="0" w:color="auto"/>
            <w:left w:val="none" w:sz="0" w:space="0" w:color="auto"/>
            <w:bottom w:val="none" w:sz="0" w:space="0" w:color="auto"/>
            <w:right w:val="none" w:sz="0" w:space="0" w:color="auto"/>
          </w:divBdr>
        </w:div>
        <w:div w:id="953365630">
          <w:marLeft w:val="0"/>
          <w:marRight w:val="0"/>
          <w:marTop w:val="0"/>
          <w:marBottom w:val="0"/>
          <w:divBdr>
            <w:top w:val="none" w:sz="0" w:space="0" w:color="auto"/>
            <w:left w:val="none" w:sz="0" w:space="0" w:color="auto"/>
            <w:bottom w:val="none" w:sz="0" w:space="0" w:color="auto"/>
            <w:right w:val="none" w:sz="0" w:space="0" w:color="auto"/>
          </w:divBdr>
        </w:div>
        <w:div w:id="1123033796">
          <w:marLeft w:val="0"/>
          <w:marRight w:val="0"/>
          <w:marTop w:val="0"/>
          <w:marBottom w:val="0"/>
          <w:divBdr>
            <w:top w:val="none" w:sz="0" w:space="0" w:color="auto"/>
            <w:left w:val="none" w:sz="0" w:space="0" w:color="auto"/>
            <w:bottom w:val="none" w:sz="0" w:space="0" w:color="auto"/>
            <w:right w:val="none" w:sz="0" w:space="0" w:color="auto"/>
          </w:divBdr>
        </w:div>
        <w:div w:id="1322613609">
          <w:marLeft w:val="0"/>
          <w:marRight w:val="0"/>
          <w:marTop w:val="0"/>
          <w:marBottom w:val="0"/>
          <w:divBdr>
            <w:top w:val="none" w:sz="0" w:space="0" w:color="auto"/>
            <w:left w:val="none" w:sz="0" w:space="0" w:color="auto"/>
            <w:bottom w:val="none" w:sz="0" w:space="0" w:color="auto"/>
            <w:right w:val="none" w:sz="0" w:space="0" w:color="auto"/>
          </w:divBdr>
        </w:div>
        <w:div w:id="1324119586">
          <w:marLeft w:val="0"/>
          <w:marRight w:val="0"/>
          <w:marTop w:val="0"/>
          <w:marBottom w:val="0"/>
          <w:divBdr>
            <w:top w:val="none" w:sz="0" w:space="0" w:color="auto"/>
            <w:left w:val="none" w:sz="0" w:space="0" w:color="auto"/>
            <w:bottom w:val="none" w:sz="0" w:space="0" w:color="auto"/>
            <w:right w:val="none" w:sz="0" w:space="0" w:color="auto"/>
          </w:divBdr>
        </w:div>
        <w:div w:id="1523744706">
          <w:marLeft w:val="0"/>
          <w:marRight w:val="0"/>
          <w:marTop w:val="0"/>
          <w:marBottom w:val="0"/>
          <w:divBdr>
            <w:top w:val="none" w:sz="0" w:space="0" w:color="auto"/>
            <w:left w:val="none" w:sz="0" w:space="0" w:color="auto"/>
            <w:bottom w:val="none" w:sz="0" w:space="0" w:color="auto"/>
            <w:right w:val="none" w:sz="0" w:space="0" w:color="auto"/>
          </w:divBdr>
        </w:div>
        <w:div w:id="1579360347">
          <w:marLeft w:val="0"/>
          <w:marRight w:val="0"/>
          <w:marTop w:val="0"/>
          <w:marBottom w:val="0"/>
          <w:divBdr>
            <w:top w:val="none" w:sz="0" w:space="0" w:color="auto"/>
            <w:left w:val="none" w:sz="0" w:space="0" w:color="auto"/>
            <w:bottom w:val="none" w:sz="0" w:space="0" w:color="auto"/>
            <w:right w:val="none" w:sz="0" w:space="0" w:color="auto"/>
          </w:divBdr>
        </w:div>
        <w:div w:id="1615868784">
          <w:marLeft w:val="0"/>
          <w:marRight w:val="0"/>
          <w:marTop w:val="0"/>
          <w:marBottom w:val="0"/>
          <w:divBdr>
            <w:top w:val="none" w:sz="0" w:space="0" w:color="auto"/>
            <w:left w:val="none" w:sz="0" w:space="0" w:color="auto"/>
            <w:bottom w:val="none" w:sz="0" w:space="0" w:color="auto"/>
            <w:right w:val="none" w:sz="0" w:space="0" w:color="auto"/>
          </w:divBdr>
        </w:div>
        <w:div w:id="1661469698">
          <w:marLeft w:val="0"/>
          <w:marRight w:val="0"/>
          <w:marTop w:val="0"/>
          <w:marBottom w:val="0"/>
          <w:divBdr>
            <w:top w:val="none" w:sz="0" w:space="0" w:color="auto"/>
            <w:left w:val="none" w:sz="0" w:space="0" w:color="auto"/>
            <w:bottom w:val="none" w:sz="0" w:space="0" w:color="auto"/>
            <w:right w:val="none" w:sz="0" w:space="0" w:color="auto"/>
          </w:divBdr>
        </w:div>
        <w:div w:id="1746955298">
          <w:marLeft w:val="0"/>
          <w:marRight w:val="0"/>
          <w:marTop w:val="0"/>
          <w:marBottom w:val="0"/>
          <w:divBdr>
            <w:top w:val="none" w:sz="0" w:space="0" w:color="auto"/>
            <w:left w:val="none" w:sz="0" w:space="0" w:color="auto"/>
            <w:bottom w:val="none" w:sz="0" w:space="0" w:color="auto"/>
            <w:right w:val="none" w:sz="0" w:space="0" w:color="auto"/>
          </w:divBdr>
        </w:div>
        <w:div w:id="1805273552">
          <w:marLeft w:val="0"/>
          <w:marRight w:val="0"/>
          <w:marTop w:val="0"/>
          <w:marBottom w:val="0"/>
          <w:divBdr>
            <w:top w:val="none" w:sz="0" w:space="0" w:color="auto"/>
            <w:left w:val="none" w:sz="0" w:space="0" w:color="auto"/>
            <w:bottom w:val="none" w:sz="0" w:space="0" w:color="auto"/>
            <w:right w:val="none" w:sz="0" w:space="0" w:color="auto"/>
          </w:divBdr>
        </w:div>
      </w:divsChild>
    </w:div>
    <w:div w:id="1646593035">
      <w:bodyDiv w:val="1"/>
      <w:marLeft w:val="0"/>
      <w:marRight w:val="0"/>
      <w:marTop w:val="0"/>
      <w:marBottom w:val="0"/>
      <w:divBdr>
        <w:top w:val="none" w:sz="0" w:space="0" w:color="auto"/>
        <w:left w:val="none" w:sz="0" w:space="0" w:color="auto"/>
        <w:bottom w:val="none" w:sz="0" w:space="0" w:color="auto"/>
        <w:right w:val="none" w:sz="0" w:space="0" w:color="auto"/>
      </w:divBdr>
    </w:div>
    <w:div w:id="1668825040">
      <w:bodyDiv w:val="1"/>
      <w:marLeft w:val="0"/>
      <w:marRight w:val="0"/>
      <w:marTop w:val="0"/>
      <w:marBottom w:val="0"/>
      <w:divBdr>
        <w:top w:val="none" w:sz="0" w:space="0" w:color="auto"/>
        <w:left w:val="none" w:sz="0" w:space="0" w:color="auto"/>
        <w:bottom w:val="none" w:sz="0" w:space="0" w:color="auto"/>
        <w:right w:val="none" w:sz="0" w:space="0" w:color="auto"/>
      </w:divBdr>
      <w:divsChild>
        <w:div w:id="50737560">
          <w:marLeft w:val="0"/>
          <w:marRight w:val="0"/>
          <w:marTop w:val="0"/>
          <w:marBottom w:val="0"/>
          <w:divBdr>
            <w:top w:val="none" w:sz="0" w:space="0" w:color="auto"/>
            <w:left w:val="none" w:sz="0" w:space="0" w:color="auto"/>
            <w:bottom w:val="none" w:sz="0" w:space="0" w:color="auto"/>
            <w:right w:val="none" w:sz="0" w:space="0" w:color="auto"/>
          </w:divBdr>
        </w:div>
        <w:div w:id="904677920">
          <w:marLeft w:val="0"/>
          <w:marRight w:val="0"/>
          <w:marTop w:val="0"/>
          <w:marBottom w:val="0"/>
          <w:divBdr>
            <w:top w:val="none" w:sz="0" w:space="0" w:color="auto"/>
            <w:left w:val="none" w:sz="0" w:space="0" w:color="auto"/>
            <w:bottom w:val="none" w:sz="0" w:space="0" w:color="auto"/>
            <w:right w:val="none" w:sz="0" w:space="0" w:color="auto"/>
          </w:divBdr>
        </w:div>
        <w:div w:id="1362509064">
          <w:marLeft w:val="0"/>
          <w:marRight w:val="0"/>
          <w:marTop w:val="0"/>
          <w:marBottom w:val="0"/>
          <w:divBdr>
            <w:top w:val="none" w:sz="0" w:space="0" w:color="auto"/>
            <w:left w:val="none" w:sz="0" w:space="0" w:color="auto"/>
            <w:bottom w:val="none" w:sz="0" w:space="0" w:color="auto"/>
            <w:right w:val="none" w:sz="0" w:space="0" w:color="auto"/>
          </w:divBdr>
        </w:div>
        <w:div w:id="1678995374">
          <w:marLeft w:val="0"/>
          <w:marRight w:val="0"/>
          <w:marTop w:val="0"/>
          <w:marBottom w:val="0"/>
          <w:divBdr>
            <w:top w:val="none" w:sz="0" w:space="0" w:color="auto"/>
            <w:left w:val="none" w:sz="0" w:space="0" w:color="auto"/>
            <w:bottom w:val="none" w:sz="0" w:space="0" w:color="auto"/>
            <w:right w:val="none" w:sz="0" w:space="0" w:color="auto"/>
          </w:divBdr>
        </w:div>
      </w:divsChild>
    </w:div>
    <w:div w:id="1687291059">
      <w:bodyDiv w:val="1"/>
      <w:marLeft w:val="0"/>
      <w:marRight w:val="0"/>
      <w:marTop w:val="0"/>
      <w:marBottom w:val="0"/>
      <w:divBdr>
        <w:top w:val="none" w:sz="0" w:space="0" w:color="auto"/>
        <w:left w:val="none" w:sz="0" w:space="0" w:color="auto"/>
        <w:bottom w:val="none" w:sz="0" w:space="0" w:color="auto"/>
        <w:right w:val="none" w:sz="0" w:space="0" w:color="auto"/>
      </w:divBdr>
    </w:div>
    <w:div w:id="1721899875">
      <w:bodyDiv w:val="1"/>
      <w:marLeft w:val="0"/>
      <w:marRight w:val="0"/>
      <w:marTop w:val="0"/>
      <w:marBottom w:val="0"/>
      <w:divBdr>
        <w:top w:val="none" w:sz="0" w:space="0" w:color="auto"/>
        <w:left w:val="none" w:sz="0" w:space="0" w:color="auto"/>
        <w:bottom w:val="none" w:sz="0" w:space="0" w:color="auto"/>
        <w:right w:val="none" w:sz="0" w:space="0" w:color="auto"/>
      </w:divBdr>
    </w:div>
    <w:div w:id="1736390046">
      <w:bodyDiv w:val="1"/>
      <w:marLeft w:val="0"/>
      <w:marRight w:val="0"/>
      <w:marTop w:val="0"/>
      <w:marBottom w:val="0"/>
      <w:divBdr>
        <w:top w:val="none" w:sz="0" w:space="0" w:color="auto"/>
        <w:left w:val="none" w:sz="0" w:space="0" w:color="auto"/>
        <w:bottom w:val="none" w:sz="0" w:space="0" w:color="auto"/>
        <w:right w:val="none" w:sz="0" w:space="0" w:color="auto"/>
      </w:divBdr>
    </w:div>
    <w:div w:id="1770925277">
      <w:bodyDiv w:val="1"/>
      <w:marLeft w:val="0"/>
      <w:marRight w:val="0"/>
      <w:marTop w:val="0"/>
      <w:marBottom w:val="0"/>
      <w:divBdr>
        <w:top w:val="none" w:sz="0" w:space="0" w:color="auto"/>
        <w:left w:val="none" w:sz="0" w:space="0" w:color="auto"/>
        <w:bottom w:val="none" w:sz="0" w:space="0" w:color="auto"/>
        <w:right w:val="none" w:sz="0" w:space="0" w:color="auto"/>
      </w:divBdr>
      <w:divsChild>
        <w:div w:id="78870729">
          <w:marLeft w:val="0"/>
          <w:marRight w:val="0"/>
          <w:marTop w:val="0"/>
          <w:marBottom w:val="0"/>
          <w:divBdr>
            <w:top w:val="none" w:sz="0" w:space="0" w:color="auto"/>
            <w:left w:val="none" w:sz="0" w:space="0" w:color="auto"/>
            <w:bottom w:val="none" w:sz="0" w:space="0" w:color="auto"/>
            <w:right w:val="none" w:sz="0" w:space="0" w:color="auto"/>
          </w:divBdr>
          <w:divsChild>
            <w:div w:id="26295905">
              <w:marLeft w:val="0"/>
              <w:marRight w:val="0"/>
              <w:marTop w:val="0"/>
              <w:marBottom w:val="0"/>
              <w:divBdr>
                <w:top w:val="none" w:sz="0" w:space="0" w:color="auto"/>
                <w:left w:val="none" w:sz="0" w:space="0" w:color="auto"/>
                <w:bottom w:val="none" w:sz="0" w:space="0" w:color="auto"/>
                <w:right w:val="none" w:sz="0" w:space="0" w:color="auto"/>
              </w:divBdr>
            </w:div>
            <w:div w:id="383136929">
              <w:marLeft w:val="0"/>
              <w:marRight w:val="0"/>
              <w:marTop w:val="0"/>
              <w:marBottom w:val="0"/>
              <w:divBdr>
                <w:top w:val="none" w:sz="0" w:space="0" w:color="auto"/>
                <w:left w:val="none" w:sz="0" w:space="0" w:color="auto"/>
                <w:bottom w:val="none" w:sz="0" w:space="0" w:color="auto"/>
                <w:right w:val="none" w:sz="0" w:space="0" w:color="auto"/>
              </w:divBdr>
            </w:div>
            <w:div w:id="455871706">
              <w:marLeft w:val="0"/>
              <w:marRight w:val="0"/>
              <w:marTop w:val="0"/>
              <w:marBottom w:val="0"/>
              <w:divBdr>
                <w:top w:val="none" w:sz="0" w:space="0" w:color="auto"/>
                <w:left w:val="none" w:sz="0" w:space="0" w:color="auto"/>
                <w:bottom w:val="none" w:sz="0" w:space="0" w:color="auto"/>
                <w:right w:val="none" w:sz="0" w:space="0" w:color="auto"/>
              </w:divBdr>
            </w:div>
            <w:div w:id="609434763">
              <w:marLeft w:val="0"/>
              <w:marRight w:val="0"/>
              <w:marTop w:val="0"/>
              <w:marBottom w:val="0"/>
              <w:divBdr>
                <w:top w:val="none" w:sz="0" w:space="0" w:color="auto"/>
                <w:left w:val="none" w:sz="0" w:space="0" w:color="auto"/>
                <w:bottom w:val="none" w:sz="0" w:space="0" w:color="auto"/>
                <w:right w:val="none" w:sz="0" w:space="0" w:color="auto"/>
              </w:divBdr>
            </w:div>
            <w:div w:id="730347502">
              <w:marLeft w:val="0"/>
              <w:marRight w:val="0"/>
              <w:marTop w:val="0"/>
              <w:marBottom w:val="0"/>
              <w:divBdr>
                <w:top w:val="none" w:sz="0" w:space="0" w:color="auto"/>
                <w:left w:val="none" w:sz="0" w:space="0" w:color="auto"/>
                <w:bottom w:val="none" w:sz="0" w:space="0" w:color="auto"/>
                <w:right w:val="none" w:sz="0" w:space="0" w:color="auto"/>
              </w:divBdr>
            </w:div>
            <w:div w:id="781607535">
              <w:marLeft w:val="0"/>
              <w:marRight w:val="0"/>
              <w:marTop w:val="0"/>
              <w:marBottom w:val="0"/>
              <w:divBdr>
                <w:top w:val="none" w:sz="0" w:space="0" w:color="auto"/>
                <w:left w:val="none" w:sz="0" w:space="0" w:color="auto"/>
                <w:bottom w:val="none" w:sz="0" w:space="0" w:color="auto"/>
                <w:right w:val="none" w:sz="0" w:space="0" w:color="auto"/>
              </w:divBdr>
            </w:div>
            <w:div w:id="803811165">
              <w:marLeft w:val="0"/>
              <w:marRight w:val="0"/>
              <w:marTop w:val="0"/>
              <w:marBottom w:val="0"/>
              <w:divBdr>
                <w:top w:val="none" w:sz="0" w:space="0" w:color="auto"/>
                <w:left w:val="none" w:sz="0" w:space="0" w:color="auto"/>
                <w:bottom w:val="none" w:sz="0" w:space="0" w:color="auto"/>
                <w:right w:val="none" w:sz="0" w:space="0" w:color="auto"/>
              </w:divBdr>
            </w:div>
            <w:div w:id="960695407">
              <w:marLeft w:val="0"/>
              <w:marRight w:val="0"/>
              <w:marTop w:val="0"/>
              <w:marBottom w:val="0"/>
              <w:divBdr>
                <w:top w:val="none" w:sz="0" w:space="0" w:color="auto"/>
                <w:left w:val="none" w:sz="0" w:space="0" w:color="auto"/>
                <w:bottom w:val="none" w:sz="0" w:space="0" w:color="auto"/>
                <w:right w:val="none" w:sz="0" w:space="0" w:color="auto"/>
              </w:divBdr>
            </w:div>
            <w:div w:id="968629864">
              <w:marLeft w:val="0"/>
              <w:marRight w:val="0"/>
              <w:marTop w:val="0"/>
              <w:marBottom w:val="0"/>
              <w:divBdr>
                <w:top w:val="none" w:sz="0" w:space="0" w:color="auto"/>
                <w:left w:val="none" w:sz="0" w:space="0" w:color="auto"/>
                <w:bottom w:val="none" w:sz="0" w:space="0" w:color="auto"/>
                <w:right w:val="none" w:sz="0" w:space="0" w:color="auto"/>
              </w:divBdr>
            </w:div>
            <w:div w:id="1844078399">
              <w:marLeft w:val="0"/>
              <w:marRight w:val="0"/>
              <w:marTop w:val="0"/>
              <w:marBottom w:val="0"/>
              <w:divBdr>
                <w:top w:val="none" w:sz="0" w:space="0" w:color="auto"/>
                <w:left w:val="none" w:sz="0" w:space="0" w:color="auto"/>
                <w:bottom w:val="none" w:sz="0" w:space="0" w:color="auto"/>
                <w:right w:val="none" w:sz="0" w:space="0" w:color="auto"/>
              </w:divBdr>
            </w:div>
            <w:div w:id="1917399510">
              <w:marLeft w:val="0"/>
              <w:marRight w:val="0"/>
              <w:marTop w:val="0"/>
              <w:marBottom w:val="0"/>
              <w:divBdr>
                <w:top w:val="none" w:sz="0" w:space="0" w:color="auto"/>
                <w:left w:val="none" w:sz="0" w:space="0" w:color="auto"/>
                <w:bottom w:val="none" w:sz="0" w:space="0" w:color="auto"/>
                <w:right w:val="none" w:sz="0" w:space="0" w:color="auto"/>
              </w:divBdr>
            </w:div>
            <w:div w:id="1985740978">
              <w:marLeft w:val="0"/>
              <w:marRight w:val="0"/>
              <w:marTop w:val="0"/>
              <w:marBottom w:val="0"/>
              <w:divBdr>
                <w:top w:val="none" w:sz="0" w:space="0" w:color="auto"/>
                <w:left w:val="none" w:sz="0" w:space="0" w:color="auto"/>
                <w:bottom w:val="none" w:sz="0" w:space="0" w:color="auto"/>
                <w:right w:val="none" w:sz="0" w:space="0" w:color="auto"/>
              </w:divBdr>
            </w:div>
            <w:div w:id="1999845729">
              <w:marLeft w:val="0"/>
              <w:marRight w:val="0"/>
              <w:marTop w:val="0"/>
              <w:marBottom w:val="0"/>
              <w:divBdr>
                <w:top w:val="none" w:sz="0" w:space="0" w:color="auto"/>
                <w:left w:val="none" w:sz="0" w:space="0" w:color="auto"/>
                <w:bottom w:val="none" w:sz="0" w:space="0" w:color="auto"/>
                <w:right w:val="none" w:sz="0" w:space="0" w:color="auto"/>
              </w:divBdr>
            </w:div>
          </w:divsChild>
        </w:div>
        <w:div w:id="1583100354">
          <w:marLeft w:val="0"/>
          <w:marRight w:val="0"/>
          <w:marTop w:val="0"/>
          <w:marBottom w:val="0"/>
          <w:divBdr>
            <w:top w:val="none" w:sz="0" w:space="0" w:color="auto"/>
            <w:left w:val="none" w:sz="0" w:space="0" w:color="auto"/>
            <w:bottom w:val="none" w:sz="0" w:space="0" w:color="auto"/>
            <w:right w:val="none" w:sz="0" w:space="0" w:color="auto"/>
          </w:divBdr>
          <w:divsChild>
            <w:div w:id="84495594">
              <w:marLeft w:val="0"/>
              <w:marRight w:val="0"/>
              <w:marTop w:val="0"/>
              <w:marBottom w:val="0"/>
              <w:divBdr>
                <w:top w:val="none" w:sz="0" w:space="0" w:color="auto"/>
                <w:left w:val="none" w:sz="0" w:space="0" w:color="auto"/>
                <w:bottom w:val="none" w:sz="0" w:space="0" w:color="auto"/>
                <w:right w:val="none" w:sz="0" w:space="0" w:color="auto"/>
              </w:divBdr>
            </w:div>
            <w:div w:id="191724644">
              <w:marLeft w:val="0"/>
              <w:marRight w:val="0"/>
              <w:marTop w:val="0"/>
              <w:marBottom w:val="0"/>
              <w:divBdr>
                <w:top w:val="none" w:sz="0" w:space="0" w:color="auto"/>
                <w:left w:val="none" w:sz="0" w:space="0" w:color="auto"/>
                <w:bottom w:val="none" w:sz="0" w:space="0" w:color="auto"/>
                <w:right w:val="none" w:sz="0" w:space="0" w:color="auto"/>
              </w:divBdr>
            </w:div>
            <w:div w:id="257756299">
              <w:marLeft w:val="0"/>
              <w:marRight w:val="0"/>
              <w:marTop w:val="0"/>
              <w:marBottom w:val="0"/>
              <w:divBdr>
                <w:top w:val="none" w:sz="0" w:space="0" w:color="auto"/>
                <w:left w:val="none" w:sz="0" w:space="0" w:color="auto"/>
                <w:bottom w:val="none" w:sz="0" w:space="0" w:color="auto"/>
                <w:right w:val="none" w:sz="0" w:space="0" w:color="auto"/>
              </w:divBdr>
            </w:div>
            <w:div w:id="305669956">
              <w:marLeft w:val="0"/>
              <w:marRight w:val="0"/>
              <w:marTop w:val="0"/>
              <w:marBottom w:val="0"/>
              <w:divBdr>
                <w:top w:val="none" w:sz="0" w:space="0" w:color="auto"/>
                <w:left w:val="none" w:sz="0" w:space="0" w:color="auto"/>
                <w:bottom w:val="none" w:sz="0" w:space="0" w:color="auto"/>
                <w:right w:val="none" w:sz="0" w:space="0" w:color="auto"/>
              </w:divBdr>
            </w:div>
            <w:div w:id="839197842">
              <w:marLeft w:val="0"/>
              <w:marRight w:val="0"/>
              <w:marTop w:val="0"/>
              <w:marBottom w:val="0"/>
              <w:divBdr>
                <w:top w:val="none" w:sz="0" w:space="0" w:color="auto"/>
                <w:left w:val="none" w:sz="0" w:space="0" w:color="auto"/>
                <w:bottom w:val="none" w:sz="0" w:space="0" w:color="auto"/>
                <w:right w:val="none" w:sz="0" w:space="0" w:color="auto"/>
              </w:divBdr>
            </w:div>
            <w:div w:id="8770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9831">
      <w:bodyDiv w:val="1"/>
      <w:marLeft w:val="0"/>
      <w:marRight w:val="0"/>
      <w:marTop w:val="0"/>
      <w:marBottom w:val="0"/>
      <w:divBdr>
        <w:top w:val="none" w:sz="0" w:space="0" w:color="auto"/>
        <w:left w:val="none" w:sz="0" w:space="0" w:color="auto"/>
        <w:bottom w:val="none" w:sz="0" w:space="0" w:color="auto"/>
        <w:right w:val="none" w:sz="0" w:space="0" w:color="auto"/>
      </w:divBdr>
    </w:div>
    <w:div w:id="1825244901">
      <w:bodyDiv w:val="1"/>
      <w:marLeft w:val="0"/>
      <w:marRight w:val="0"/>
      <w:marTop w:val="0"/>
      <w:marBottom w:val="0"/>
      <w:divBdr>
        <w:top w:val="none" w:sz="0" w:space="0" w:color="auto"/>
        <w:left w:val="none" w:sz="0" w:space="0" w:color="auto"/>
        <w:bottom w:val="none" w:sz="0" w:space="0" w:color="auto"/>
        <w:right w:val="none" w:sz="0" w:space="0" w:color="auto"/>
      </w:divBdr>
    </w:div>
    <w:div w:id="1827550756">
      <w:bodyDiv w:val="1"/>
      <w:marLeft w:val="0"/>
      <w:marRight w:val="0"/>
      <w:marTop w:val="0"/>
      <w:marBottom w:val="0"/>
      <w:divBdr>
        <w:top w:val="none" w:sz="0" w:space="0" w:color="auto"/>
        <w:left w:val="none" w:sz="0" w:space="0" w:color="auto"/>
        <w:bottom w:val="none" w:sz="0" w:space="0" w:color="auto"/>
        <w:right w:val="none" w:sz="0" w:space="0" w:color="auto"/>
      </w:divBdr>
      <w:divsChild>
        <w:div w:id="526451734">
          <w:marLeft w:val="0"/>
          <w:marRight w:val="0"/>
          <w:marTop w:val="0"/>
          <w:marBottom w:val="0"/>
          <w:divBdr>
            <w:top w:val="none" w:sz="0" w:space="0" w:color="auto"/>
            <w:left w:val="none" w:sz="0" w:space="0" w:color="auto"/>
            <w:bottom w:val="none" w:sz="0" w:space="0" w:color="auto"/>
            <w:right w:val="none" w:sz="0" w:space="0" w:color="auto"/>
          </w:divBdr>
        </w:div>
        <w:div w:id="764812992">
          <w:marLeft w:val="0"/>
          <w:marRight w:val="0"/>
          <w:marTop w:val="0"/>
          <w:marBottom w:val="0"/>
          <w:divBdr>
            <w:top w:val="none" w:sz="0" w:space="0" w:color="auto"/>
            <w:left w:val="none" w:sz="0" w:space="0" w:color="auto"/>
            <w:bottom w:val="none" w:sz="0" w:space="0" w:color="auto"/>
            <w:right w:val="none" w:sz="0" w:space="0" w:color="auto"/>
          </w:divBdr>
        </w:div>
        <w:div w:id="1886333004">
          <w:marLeft w:val="0"/>
          <w:marRight w:val="0"/>
          <w:marTop w:val="0"/>
          <w:marBottom w:val="0"/>
          <w:divBdr>
            <w:top w:val="none" w:sz="0" w:space="0" w:color="auto"/>
            <w:left w:val="none" w:sz="0" w:space="0" w:color="auto"/>
            <w:bottom w:val="none" w:sz="0" w:space="0" w:color="auto"/>
            <w:right w:val="none" w:sz="0" w:space="0" w:color="auto"/>
          </w:divBdr>
        </w:div>
        <w:div w:id="1894268858">
          <w:marLeft w:val="0"/>
          <w:marRight w:val="0"/>
          <w:marTop w:val="0"/>
          <w:marBottom w:val="0"/>
          <w:divBdr>
            <w:top w:val="none" w:sz="0" w:space="0" w:color="auto"/>
            <w:left w:val="none" w:sz="0" w:space="0" w:color="auto"/>
            <w:bottom w:val="none" w:sz="0" w:space="0" w:color="auto"/>
            <w:right w:val="none" w:sz="0" w:space="0" w:color="auto"/>
          </w:divBdr>
        </w:div>
        <w:div w:id="1981492710">
          <w:marLeft w:val="0"/>
          <w:marRight w:val="0"/>
          <w:marTop w:val="0"/>
          <w:marBottom w:val="0"/>
          <w:divBdr>
            <w:top w:val="none" w:sz="0" w:space="0" w:color="auto"/>
            <w:left w:val="none" w:sz="0" w:space="0" w:color="auto"/>
            <w:bottom w:val="none" w:sz="0" w:space="0" w:color="auto"/>
            <w:right w:val="none" w:sz="0" w:space="0" w:color="auto"/>
          </w:divBdr>
        </w:div>
        <w:div w:id="2009549969">
          <w:marLeft w:val="0"/>
          <w:marRight w:val="0"/>
          <w:marTop w:val="0"/>
          <w:marBottom w:val="0"/>
          <w:divBdr>
            <w:top w:val="none" w:sz="0" w:space="0" w:color="auto"/>
            <w:left w:val="none" w:sz="0" w:space="0" w:color="auto"/>
            <w:bottom w:val="none" w:sz="0" w:space="0" w:color="auto"/>
            <w:right w:val="none" w:sz="0" w:space="0" w:color="auto"/>
          </w:divBdr>
        </w:div>
      </w:divsChild>
    </w:div>
    <w:div w:id="1830368017">
      <w:bodyDiv w:val="1"/>
      <w:marLeft w:val="0"/>
      <w:marRight w:val="0"/>
      <w:marTop w:val="0"/>
      <w:marBottom w:val="0"/>
      <w:divBdr>
        <w:top w:val="none" w:sz="0" w:space="0" w:color="auto"/>
        <w:left w:val="none" w:sz="0" w:space="0" w:color="auto"/>
        <w:bottom w:val="none" w:sz="0" w:space="0" w:color="auto"/>
        <w:right w:val="none" w:sz="0" w:space="0" w:color="auto"/>
      </w:divBdr>
      <w:divsChild>
        <w:div w:id="943263728">
          <w:marLeft w:val="274"/>
          <w:marRight w:val="0"/>
          <w:marTop w:val="0"/>
          <w:marBottom w:val="0"/>
          <w:divBdr>
            <w:top w:val="none" w:sz="0" w:space="0" w:color="auto"/>
            <w:left w:val="none" w:sz="0" w:space="0" w:color="auto"/>
            <w:bottom w:val="none" w:sz="0" w:space="0" w:color="auto"/>
            <w:right w:val="none" w:sz="0" w:space="0" w:color="auto"/>
          </w:divBdr>
        </w:div>
      </w:divsChild>
    </w:div>
    <w:div w:id="1837182159">
      <w:bodyDiv w:val="1"/>
      <w:marLeft w:val="0"/>
      <w:marRight w:val="0"/>
      <w:marTop w:val="0"/>
      <w:marBottom w:val="0"/>
      <w:divBdr>
        <w:top w:val="none" w:sz="0" w:space="0" w:color="auto"/>
        <w:left w:val="none" w:sz="0" w:space="0" w:color="auto"/>
        <w:bottom w:val="none" w:sz="0" w:space="0" w:color="auto"/>
        <w:right w:val="none" w:sz="0" w:space="0" w:color="auto"/>
      </w:divBdr>
    </w:div>
    <w:div w:id="1837919492">
      <w:bodyDiv w:val="1"/>
      <w:marLeft w:val="0"/>
      <w:marRight w:val="0"/>
      <w:marTop w:val="0"/>
      <w:marBottom w:val="0"/>
      <w:divBdr>
        <w:top w:val="none" w:sz="0" w:space="0" w:color="auto"/>
        <w:left w:val="none" w:sz="0" w:space="0" w:color="auto"/>
        <w:bottom w:val="none" w:sz="0" w:space="0" w:color="auto"/>
        <w:right w:val="none" w:sz="0" w:space="0" w:color="auto"/>
      </w:divBdr>
    </w:div>
    <w:div w:id="1841313250">
      <w:bodyDiv w:val="1"/>
      <w:marLeft w:val="0"/>
      <w:marRight w:val="0"/>
      <w:marTop w:val="0"/>
      <w:marBottom w:val="0"/>
      <w:divBdr>
        <w:top w:val="none" w:sz="0" w:space="0" w:color="auto"/>
        <w:left w:val="none" w:sz="0" w:space="0" w:color="auto"/>
        <w:bottom w:val="none" w:sz="0" w:space="0" w:color="auto"/>
        <w:right w:val="none" w:sz="0" w:space="0" w:color="auto"/>
      </w:divBdr>
      <w:divsChild>
        <w:div w:id="72821456">
          <w:marLeft w:val="0"/>
          <w:marRight w:val="0"/>
          <w:marTop w:val="0"/>
          <w:marBottom w:val="0"/>
          <w:divBdr>
            <w:top w:val="none" w:sz="0" w:space="0" w:color="auto"/>
            <w:left w:val="none" w:sz="0" w:space="0" w:color="auto"/>
            <w:bottom w:val="none" w:sz="0" w:space="0" w:color="auto"/>
            <w:right w:val="none" w:sz="0" w:space="0" w:color="auto"/>
          </w:divBdr>
        </w:div>
        <w:div w:id="192351138">
          <w:marLeft w:val="0"/>
          <w:marRight w:val="0"/>
          <w:marTop w:val="0"/>
          <w:marBottom w:val="0"/>
          <w:divBdr>
            <w:top w:val="none" w:sz="0" w:space="0" w:color="auto"/>
            <w:left w:val="none" w:sz="0" w:space="0" w:color="auto"/>
            <w:bottom w:val="none" w:sz="0" w:space="0" w:color="auto"/>
            <w:right w:val="none" w:sz="0" w:space="0" w:color="auto"/>
          </w:divBdr>
        </w:div>
        <w:div w:id="546993707">
          <w:marLeft w:val="0"/>
          <w:marRight w:val="0"/>
          <w:marTop w:val="0"/>
          <w:marBottom w:val="0"/>
          <w:divBdr>
            <w:top w:val="none" w:sz="0" w:space="0" w:color="auto"/>
            <w:left w:val="none" w:sz="0" w:space="0" w:color="auto"/>
            <w:bottom w:val="none" w:sz="0" w:space="0" w:color="auto"/>
            <w:right w:val="none" w:sz="0" w:space="0" w:color="auto"/>
          </w:divBdr>
        </w:div>
        <w:div w:id="1286496956">
          <w:marLeft w:val="0"/>
          <w:marRight w:val="0"/>
          <w:marTop w:val="0"/>
          <w:marBottom w:val="0"/>
          <w:divBdr>
            <w:top w:val="none" w:sz="0" w:space="0" w:color="auto"/>
            <w:left w:val="none" w:sz="0" w:space="0" w:color="auto"/>
            <w:bottom w:val="none" w:sz="0" w:space="0" w:color="auto"/>
            <w:right w:val="none" w:sz="0" w:space="0" w:color="auto"/>
          </w:divBdr>
        </w:div>
        <w:div w:id="1324118730">
          <w:marLeft w:val="0"/>
          <w:marRight w:val="0"/>
          <w:marTop w:val="0"/>
          <w:marBottom w:val="0"/>
          <w:divBdr>
            <w:top w:val="none" w:sz="0" w:space="0" w:color="auto"/>
            <w:left w:val="none" w:sz="0" w:space="0" w:color="auto"/>
            <w:bottom w:val="none" w:sz="0" w:space="0" w:color="auto"/>
            <w:right w:val="none" w:sz="0" w:space="0" w:color="auto"/>
          </w:divBdr>
        </w:div>
        <w:div w:id="1430199408">
          <w:marLeft w:val="0"/>
          <w:marRight w:val="0"/>
          <w:marTop w:val="0"/>
          <w:marBottom w:val="0"/>
          <w:divBdr>
            <w:top w:val="none" w:sz="0" w:space="0" w:color="auto"/>
            <w:left w:val="none" w:sz="0" w:space="0" w:color="auto"/>
            <w:bottom w:val="none" w:sz="0" w:space="0" w:color="auto"/>
            <w:right w:val="none" w:sz="0" w:space="0" w:color="auto"/>
          </w:divBdr>
        </w:div>
        <w:div w:id="1466897829">
          <w:marLeft w:val="0"/>
          <w:marRight w:val="0"/>
          <w:marTop w:val="0"/>
          <w:marBottom w:val="0"/>
          <w:divBdr>
            <w:top w:val="none" w:sz="0" w:space="0" w:color="auto"/>
            <w:left w:val="none" w:sz="0" w:space="0" w:color="auto"/>
            <w:bottom w:val="none" w:sz="0" w:space="0" w:color="auto"/>
            <w:right w:val="none" w:sz="0" w:space="0" w:color="auto"/>
          </w:divBdr>
        </w:div>
        <w:div w:id="1514956049">
          <w:marLeft w:val="0"/>
          <w:marRight w:val="0"/>
          <w:marTop w:val="0"/>
          <w:marBottom w:val="0"/>
          <w:divBdr>
            <w:top w:val="none" w:sz="0" w:space="0" w:color="auto"/>
            <w:left w:val="none" w:sz="0" w:space="0" w:color="auto"/>
            <w:bottom w:val="none" w:sz="0" w:space="0" w:color="auto"/>
            <w:right w:val="none" w:sz="0" w:space="0" w:color="auto"/>
          </w:divBdr>
        </w:div>
        <w:div w:id="1536850425">
          <w:marLeft w:val="0"/>
          <w:marRight w:val="0"/>
          <w:marTop w:val="0"/>
          <w:marBottom w:val="0"/>
          <w:divBdr>
            <w:top w:val="none" w:sz="0" w:space="0" w:color="auto"/>
            <w:left w:val="none" w:sz="0" w:space="0" w:color="auto"/>
            <w:bottom w:val="none" w:sz="0" w:space="0" w:color="auto"/>
            <w:right w:val="none" w:sz="0" w:space="0" w:color="auto"/>
          </w:divBdr>
        </w:div>
        <w:div w:id="1565873983">
          <w:marLeft w:val="0"/>
          <w:marRight w:val="0"/>
          <w:marTop w:val="0"/>
          <w:marBottom w:val="0"/>
          <w:divBdr>
            <w:top w:val="none" w:sz="0" w:space="0" w:color="auto"/>
            <w:left w:val="none" w:sz="0" w:space="0" w:color="auto"/>
            <w:bottom w:val="none" w:sz="0" w:space="0" w:color="auto"/>
            <w:right w:val="none" w:sz="0" w:space="0" w:color="auto"/>
          </w:divBdr>
        </w:div>
        <w:div w:id="1630699051">
          <w:marLeft w:val="0"/>
          <w:marRight w:val="0"/>
          <w:marTop w:val="0"/>
          <w:marBottom w:val="0"/>
          <w:divBdr>
            <w:top w:val="none" w:sz="0" w:space="0" w:color="auto"/>
            <w:left w:val="none" w:sz="0" w:space="0" w:color="auto"/>
            <w:bottom w:val="none" w:sz="0" w:space="0" w:color="auto"/>
            <w:right w:val="none" w:sz="0" w:space="0" w:color="auto"/>
          </w:divBdr>
        </w:div>
        <w:div w:id="1853185720">
          <w:marLeft w:val="0"/>
          <w:marRight w:val="0"/>
          <w:marTop w:val="0"/>
          <w:marBottom w:val="0"/>
          <w:divBdr>
            <w:top w:val="none" w:sz="0" w:space="0" w:color="auto"/>
            <w:left w:val="none" w:sz="0" w:space="0" w:color="auto"/>
            <w:bottom w:val="none" w:sz="0" w:space="0" w:color="auto"/>
            <w:right w:val="none" w:sz="0" w:space="0" w:color="auto"/>
          </w:divBdr>
        </w:div>
        <w:div w:id="1902595127">
          <w:marLeft w:val="0"/>
          <w:marRight w:val="0"/>
          <w:marTop w:val="0"/>
          <w:marBottom w:val="0"/>
          <w:divBdr>
            <w:top w:val="none" w:sz="0" w:space="0" w:color="auto"/>
            <w:left w:val="none" w:sz="0" w:space="0" w:color="auto"/>
            <w:bottom w:val="none" w:sz="0" w:space="0" w:color="auto"/>
            <w:right w:val="none" w:sz="0" w:space="0" w:color="auto"/>
          </w:divBdr>
        </w:div>
        <w:div w:id="1990479946">
          <w:marLeft w:val="0"/>
          <w:marRight w:val="0"/>
          <w:marTop w:val="0"/>
          <w:marBottom w:val="0"/>
          <w:divBdr>
            <w:top w:val="none" w:sz="0" w:space="0" w:color="auto"/>
            <w:left w:val="none" w:sz="0" w:space="0" w:color="auto"/>
            <w:bottom w:val="none" w:sz="0" w:space="0" w:color="auto"/>
            <w:right w:val="none" w:sz="0" w:space="0" w:color="auto"/>
          </w:divBdr>
        </w:div>
        <w:div w:id="2080203535">
          <w:marLeft w:val="0"/>
          <w:marRight w:val="0"/>
          <w:marTop w:val="0"/>
          <w:marBottom w:val="0"/>
          <w:divBdr>
            <w:top w:val="none" w:sz="0" w:space="0" w:color="auto"/>
            <w:left w:val="none" w:sz="0" w:space="0" w:color="auto"/>
            <w:bottom w:val="none" w:sz="0" w:space="0" w:color="auto"/>
            <w:right w:val="none" w:sz="0" w:space="0" w:color="auto"/>
          </w:divBdr>
        </w:div>
      </w:divsChild>
    </w:div>
    <w:div w:id="1878883980">
      <w:bodyDiv w:val="1"/>
      <w:marLeft w:val="0"/>
      <w:marRight w:val="0"/>
      <w:marTop w:val="0"/>
      <w:marBottom w:val="0"/>
      <w:divBdr>
        <w:top w:val="none" w:sz="0" w:space="0" w:color="auto"/>
        <w:left w:val="none" w:sz="0" w:space="0" w:color="auto"/>
        <w:bottom w:val="none" w:sz="0" w:space="0" w:color="auto"/>
        <w:right w:val="none" w:sz="0" w:space="0" w:color="auto"/>
      </w:divBdr>
    </w:div>
    <w:div w:id="1879975876">
      <w:bodyDiv w:val="1"/>
      <w:marLeft w:val="0"/>
      <w:marRight w:val="0"/>
      <w:marTop w:val="0"/>
      <w:marBottom w:val="0"/>
      <w:divBdr>
        <w:top w:val="none" w:sz="0" w:space="0" w:color="auto"/>
        <w:left w:val="none" w:sz="0" w:space="0" w:color="auto"/>
        <w:bottom w:val="none" w:sz="0" w:space="0" w:color="auto"/>
        <w:right w:val="none" w:sz="0" w:space="0" w:color="auto"/>
      </w:divBdr>
    </w:div>
    <w:div w:id="1896042396">
      <w:bodyDiv w:val="1"/>
      <w:marLeft w:val="0"/>
      <w:marRight w:val="0"/>
      <w:marTop w:val="0"/>
      <w:marBottom w:val="0"/>
      <w:divBdr>
        <w:top w:val="none" w:sz="0" w:space="0" w:color="auto"/>
        <w:left w:val="none" w:sz="0" w:space="0" w:color="auto"/>
        <w:bottom w:val="none" w:sz="0" w:space="0" w:color="auto"/>
        <w:right w:val="none" w:sz="0" w:space="0" w:color="auto"/>
      </w:divBdr>
    </w:div>
    <w:div w:id="1908491444">
      <w:bodyDiv w:val="1"/>
      <w:marLeft w:val="0"/>
      <w:marRight w:val="0"/>
      <w:marTop w:val="0"/>
      <w:marBottom w:val="0"/>
      <w:divBdr>
        <w:top w:val="none" w:sz="0" w:space="0" w:color="auto"/>
        <w:left w:val="none" w:sz="0" w:space="0" w:color="auto"/>
        <w:bottom w:val="none" w:sz="0" w:space="0" w:color="auto"/>
        <w:right w:val="none" w:sz="0" w:space="0" w:color="auto"/>
      </w:divBdr>
      <w:divsChild>
        <w:div w:id="566762298">
          <w:marLeft w:val="0"/>
          <w:marRight w:val="0"/>
          <w:marTop w:val="0"/>
          <w:marBottom w:val="0"/>
          <w:divBdr>
            <w:top w:val="none" w:sz="0" w:space="0" w:color="auto"/>
            <w:left w:val="none" w:sz="0" w:space="0" w:color="auto"/>
            <w:bottom w:val="none" w:sz="0" w:space="0" w:color="auto"/>
            <w:right w:val="none" w:sz="0" w:space="0" w:color="auto"/>
          </w:divBdr>
        </w:div>
        <w:div w:id="582377228">
          <w:marLeft w:val="0"/>
          <w:marRight w:val="0"/>
          <w:marTop w:val="0"/>
          <w:marBottom w:val="0"/>
          <w:divBdr>
            <w:top w:val="none" w:sz="0" w:space="0" w:color="auto"/>
            <w:left w:val="none" w:sz="0" w:space="0" w:color="auto"/>
            <w:bottom w:val="none" w:sz="0" w:space="0" w:color="auto"/>
            <w:right w:val="none" w:sz="0" w:space="0" w:color="auto"/>
          </w:divBdr>
        </w:div>
      </w:divsChild>
    </w:div>
    <w:div w:id="1914267417">
      <w:bodyDiv w:val="1"/>
      <w:marLeft w:val="0"/>
      <w:marRight w:val="0"/>
      <w:marTop w:val="0"/>
      <w:marBottom w:val="0"/>
      <w:divBdr>
        <w:top w:val="none" w:sz="0" w:space="0" w:color="auto"/>
        <w:left w:val="none" w:sz="0" w:space="0" w:color="auto"/>
        <w:bottom w:val="none" w:sz="0" w:space="0" w:color="auto"/>
        <w:right w:val="none" w:sz="0" w:space="0" w:color="auto"/>
      </w:divBdr>
    </w:div>
    <w:div w:id="1960181959">
      <w:bodyDiv w:val="1"/>
      <w:marLeft w:val="0"/>
      <w:marRight w:val="0"/>
      <w:marTop w:val="0"/>
      <w:marBottom w:val="0"/>
      <w:divBdr>
        <w:top w:val="none" w:sz="0" w:space="0" w:color="auto"/>
        <w:left w:val="none" w:sz="0" w:space="0" w:color="auto"/>
        <w:bottom w:val="none" w:sz="0" w:space="0" w:color="auto"/>
        <w:right w:val="none" w:sz="0" w:space="0" w:color="auto"/>
      </w:divBdr>
    </w:div>
    <w:div w:id="1977642486">
      <w:bodyDiv w:val="1"/>
      <w:marLeft w:val="0"/>
      <w:marRight w:val="0"/>
      <w:marTop w:val="0"/>
      <w:marBottom w:val="0"/>
      <w:divBdr>
        <w:top w:val="none" w:sz="0" w:space="0" w:color="auto"/>
        <w:left w:val="none" w:sz="0" w:space="0" w:color="auto"/>
        <w:bottom w:val="none" w:sz="0" w:space="0" w:color="auto"/>
        <w:right w:val="none" w:sz="0" w:space="0" w:color="auto"/>
      </w:divBdr>
    </w:div>
    <w:div w:id="2027907135">
      <w:bodyDiv w:val="1"/>
      <w:marLeft w:val="0"/>
      <w:marRight w:val="0"/>
      <w:marTop w:val="0"/>
      <w:marBottom w:val="0"/>
      <w:divBdr>
        <w:top w:val="none" w:sz="0" w:space="0" w:color="auto"/>
        <w:left w:val="none" w:sz="0" w:space="0" w:color="auto"/>
        <w:bottom w:val="none" w:sz="0" w:space="0" w:color="auto"/>
        <w:right w:val="none" w:sz="0" w:space="0" w:color="auto"/>
      </w:divBdr>
      <w:divsChild>
        <w:div w:id="271209413">
          <w:marLeft w:val="0"/>
          <w:marRight w:val="0"/>
          <w:marTop w:val="0"/>
          <w:marBottom w:val="0"/>
          <w:divBdr>
            <w:top w:val="none" w:sz="0" w:space="0" w:color="auto"/>
            <w:left w:val="none" w:sz="0" w:space="0" w:color="auto"/>
            <w:bottom w:val="none" w:sz="0" w:space="0" w:color="auto"/>
            <w:right w:val="none" w:sz="0" w:space="0" w:color="auto"/>
          </w:divBdr>
        </w:div>
        <w:div w:id="440800182">
          <w:marLeft w:val="0"/>
          <w:marRight w:val="0"/>
          <w:marTop w:val="0"/>
          <w:marBottom w:val="0"/>
          <w:divBdr>
            <w:top w:val="none" w:sz="0" w:space="0" w:color="auto"/>
            <w:left w:val="none" w:sz="0" w:space="0" w:color="auto"/>
            <w:bottom w:val="none" w:sz="0" w:space="0" w:color="auto"/>
            <w:right w:val="none" w:sz="0" w:space="0" w:color="auto"/>
          </w:divBdr>
        </w:div>
        <w:div w:id="478965173">
          <w:marLeft w:val="0"/>
          <w:marRight w:val="0"/>
          <w:marTop w:val="0"/>
          <w:marBottom w:val="0"/>
          <w:divBdr>
            <w:top w:val="none" w:sz="0" w:space="0" w:color="auto"/>
            <w:left w:val="none" w:sz="0" w:space="0" w:color="auto"/>
            <w:bottom w:val="none" w:sz="0" w:space="0" w:color="auto"/>
            <w:right w:val="none" w:sz="0" w:space="0" w:color="auto"/>
          </w:divBdr>
        </w:div>
        <w:div w:id="504516876">
          <w:marLeft w:val="0"/>
          <w:marRight w:val="0"/>
          <w:marTop w:val="0"/>
          <w:marBottom w:val="0"/>
          <w:divBdr>
            <w:top w:val="none" w:sz="0" w:space="0" w:color="auto"/>
            <w:left w:val="none" w:sz="0" w:space="0" w:color="auto"/>
            <w:bottom w:val="none" w:sz="0" w:space="0" w:color="auto"/>
            <w:right w:val="none" w:sz="0" w:space="0" w:color="auto"/>
          </w:divBdr>
        </w:div>
        <w:div w:id="588850859">
          <w:marLeft w:val="0"/>
          <w:marRight w:val="0"/>
          <w:marTop w:val="0"/>
          <w:marBottom w:val="0"/>
          <w:divBdr>
            <w:top w:val="none" w:sz="0" w:space="0" w:color="auto"/>
            <w:left w:val="none" w:sz="0" w:space="0" w:color="auto"/>
            <w:bottom w:val="none" w:sz="0" w:space="0" w:color="auto"/>
            <w:right w:val="none" w:sz="0" w:space="0" w:color="auto"/>
          </w:divBdr>
        </w:div>
        <w:div w:id="748188869">
          <w:marLeft w:val="0"/>
          <w:marRight w:val="0"/>
          <w:marTop w:val="0"/>
          <w:marBottom w:val="0"/>
          <w:divBdr>
            <w:top w:val="none" w:sz="0" w:space="0" w:color="auto"/>
            <w:left w:val="none" w:sz="0" w:space="0" w:color="auto"/>
            <w:bottom w:val="none" w:sz="0" w:space="0" w:color="auto"/>
            <w:right w:val="none" w:sz="0" w:space="0" w:color="auto"/>
          </w:divBdr>
        </w:div>
        <w:div w:id="1183085569">
          <w:marLeft w:val="0"/>
          <w:marRight w:val="0"/>
          <w:marTop w:val="0"/>
          <w:marBottom w:val="0"/>
          <w:divBdr>
            <w:top w:val="none" w:sz="0" w:space="0" w:color="auto"/>
            <w:left w:val="none" w:sz="0" w:space="0" w:color="auto"/>
            <w:bottom w:val="none" w:sz="0" w:space="0" w:color="auto"/>
            <w:right w:val="none" w:sz="0" w:space="0" w:color="auto"/>
          </w:divBdr>
        </w:div>
      </w:divsChild>
    </w:div>
    <w:div w:id="2039117152">
      <w:bodyDiv w:val="1"/>
      <w:marLeft w:val="0"/>
      <w:marRight w:val="0"/>
      <w:marTop w:val="0"/>
      <w:marBottom w:val="0"/>
      <w:divBdr>
        <w:top w:val="none" w:sz="0" w:space="0" w:color="auto"/>
        <w:left w:val="none" w:sz="0" w:space="0" w:color="auto"/>
        <w:bottom w:val="none" w:sz="0" w:space="0" w:color="auto"/>
        <w:right w:val="none" w:sz="0" w:space="0" w:color="auto"/>
      </w:divBdr>
    </w:div>
    <w:div w:id="211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99" Type="http://schemas.openxmlformats.org/officeDocument/2006/relationships/hyperlink" Target="https://dream.utas.edu.au/" TargetMode="External"/><Relationship Id="rId21" Type="http://schemas.openxmlformats.org/officeDocument/2006/relationships/hyperlink" Target="http://www.servicesaustralia.gov.au/" TargetMode="External"/><Relationship Id="rId63" Type="http://schemas.openxmlformats.org/officeDocument/2006/relationships/hyperlink" Target="https://www.health.gov.au/resources/publications/aboriginal-and-torres-strait-islander-aged-care-framework?language=en" TargetMode="External"/><Relationship Id="rId159" Type="http://schemas.openxmlformats.org/officeDocument/2006/relationships/hyperlink" Target="https://www.health.gov.au/resources/publications/my-aged-care-assessor-portal-user-guide-4-navigating-and-updating-the-client-record" TargetMode="External"/><Relationship Id="rId324" Type="http://schemas.openxmlformats.org/officeDocument/2006/relationships/footer" Target="footer11.xml"/><Relationship Id="rId366" Type="http://schemas.openxmlformats.org/officeDocument/2006/relationships/hyperlink" Target="https://www.health.gov.au/resources/publications/understanding-fees-for-aged-care-homes-1-november-2025-fee-arrangements" TargetMode="External"/><Relationship Id="rId170" Type="http://schemas.openxmlformats.org/officeDocument/2006/relationships/hyperlink" Target="https://www.myagedcare.gov.au/resources" TargetMode="External"/><Relationship Id="rId226" Type="http://schemas.openxmlformats.org/officeDocument/2006/relationships/hyperlink" Target="https://www.naccho.org.au/elder-care-support-program/" TargetMode="External"/><Relationship Id="rId268" Type="http://schemas.openxmlformats.org/officeDocument/2006/relationships/hyperlink" Target="mailto:agedcarereviews@health.gov.au" TargetMode="External"/><Relationship Id="rId32" Type="http://schemas.openxmlformats.org/officeDocument/2006/relationships/hyperlink" Target="https://www.health.gov.au/resources/collections/my-aged-care-assessor-portal-resources" TargetMode="External"/><Relationship Id="rId74" Type="http://schemas.openxmlformats.org/officeDocument/2006/relationships/hyperlink" Target="https://www.nari.net.au/indigenous-cognitive-assessment" TargetMode="External"/><Relationship Id="rId128" Type="http://schemas.openxmlformats.org/officeDocument/2006/relationships/hyperlink" Target="https://www.myagedcare.gov.au/privacy" TargetMode="External"/><Relationship Id="rId335" Type="http://schemas.openxmlformats.org/officeDocument/2006/relationships/hyperlink" Target="https://www.legislation.gov.au/C2004A03712/latest/text" TargetMode="External"/><Relationship Id="rId377" Type="http://schemas.openxmlformats.org/officeDocument/2006/relationships/footer" Target="footer14.xml"/><Relationship Id="rId5" Type="http://schemas.openxmlformats.org/officeDocument/2006/relationships/numbering" Target="numbering.xml"/><Relationship Id="rId181" Type="http://schemas.openxmlformats.org/officeDocument/2006/relationships/hyperlink" Target="https://www.health.gov.au/resources/publications/at-hm-scheme-guidelines?language=en" TargetMode="External"/><Relationship Id="rId237" Type="http://schemas.openxmlformats.org/officeDocument/2006/relationships/hyperlink" Target="https://www.health.gov.au/resources/publications/my-aged-care-workforce-learning-strategy?language=en" TargetMode="External"/><Relationship Id="rId402" Type="http://schemas.openxmlformats.org/officeDocument/2006/relationships/hyperlink" Target="https://www.anzctr.org.au/AnzctrAttachments/372846-RFISBrochure.pdf" TargetMode="External"/><Relationship Id="rId279" Type="http://schemas.openxmlformats.org/officeDocument/2006/relationships/hyperlink" Target="https://www.health.gov.au/our-work/aged-care-act/about/registered-supporters" TargetMode="External"/><Relationship Id="rId43" Type="http://schemas.openxmlformats.org/officeDocument/2006/relationships/hyperlink" Target="https://www.health.gov.au/our-work/aged-care-act/about" TargetMode="External"/><Relationship Id="rId139" Type="http://schemas.openxmlformats.org/officeDocument/2006/relationships/hyperlink" Target="https://www.myagedcare.gov.au/help-care-finder" TargetMode="External"/><Relationship Id="rId290" Type="http://schemas.openxmlformats.org/officeDocument/2006/relationships/hyperlink" Target="https://www.dementia.org.au/news/communication-and-engagement-people-living-dementia" TargetMode="External"/><Relationship Id="rId304" Type="http://schemas.openxmlformats.org/officeDocument/2006/relationships/hyperlink" Target="https://www.myagedcare.gov.au/financial-hardship-assistance" TargetMode="External"/><Relationship Id="rId346" Type="http://schemas.openxmlformats.org/officeDocument/2006/relationships/hyperlink" Target="mailto:health@nationalmailing.com.au" TargetMode="External"/><Relationship Id="rId388" Type="http://schemas.openxmlformats.org/officeDocument/2006/relationships/hyperlink" Target="https://www.healthdirect.gov.au/myagedcareupload" TargetMode="External"/><Relationship Id="rId85" Type="http://schemas.openxmlformats.org/officeDocument/2006/relationships/hyperlink" Target="https://www.healthlink.com.au/my-aged-care/" TargetMode="External"/><Relationship Id="rId150" Type="http://schemas.openxmlformats.org/officeDocument/2006/relationships/hyperlink" Target="https://www.myagedcare.gov.au/registering-supporter-form" TargetMode="External"/><Relationship Id="rId192" Type="http://schemas.openxmlformats.org/officeDocument/2006/relationships/image" Target="media/image16.png"/><Relationship Id="rId206" Type="http://schemas.openxmlformats.org/officeDocument/2006/relationships/hyperlink" Target="https://www.dva.gov.au/" TargetMode="External"/><Relationship Id="rId413" Type="http://schemas.openxmlformats.org/officeDocument/2006/relationships/footer" Target="footer21.xml"/><Relationship Id="rId248" Type="http://schemas.openxmlformats.org/officeDocument/2006/relationships/hyperlink" Target="https://www.health.gov.au/resources/publications/at-hm-scheme-guidelines?language=en" TargetMode="External"/><Relationship Id="rId12" Type="http://schemas.openxmlformats.org/officeDocument/2006/relationships/image" Target="media/image2.jpeg"/><Relationship Id="rId108" Type="http://schemas.openxmlformats.org/officeDocument/2006/relationships/hyperlink" Target="https://www.health.gov.au/resources/publications/my-aged-care-application-for-care-form?language=en" TargetMode="External"/><Relationship Id="rId315" Type="http://schemas.openxmlformats.org/officeDocument/2006/relationships/hyperlink" Target="https://www.health.gov.au/resources/publications/my-aged-care-assessor-portal-user-guide-2-registering-support-people-and-adding-relationships" TargetMode="External"/><Relationship Id="rId357" Type="http://schemas.openxmlformats.org/officeDocument/2006/relationships/hyperlink" Target="https://www.health.gov.au/resources/publications/support-at-home-program-manual-version-3-a-guide-for-registered-providers?language=en" TargetMode="External"/><Relationship Id="rId54" Type="http://schemas.openxmlformats.org/officeDocument/2006/relationships/hyperlink" Target="https://www.health.gov.au/our-work/single-assessment-system/needs/first-nations-aged-care-assessments" TargetMode="External"/><Relationship Id="rId96" Type="http://schemas.openxmlformats.org/officeDocument/2006/relationships/hyperlink" Target="https://www.health.gov.au/resources/collections/registered-supporter-resources" TargetMode="External"/><Relationship Id="rId161" Type="http://schemas.openxmlformats.org/officeDocument/2006/relationships/image" Target="media/image14.png"/><Relationship Id="rId217" Type="http://schemas.openxmlformats.org/officeDocument/2006/relationships/hyperlink" Target="https://www.carergateway.gov.au/" TargetMode="External"/><Relationship Id="rId399" Type="http://schemas.openxmlformats.org/officeDocument/2006/relationships/hyperlink" Target="https://www.health.gov.au/resources/publications/my-aged-care-integrated-assessment-tool-iat-user-guide?language=en" TargetMode="External"/><Relationship Id="rId259" Type="http://schemas.openxmlformats.org/officeDocument/2006/relationships/image" Target="media/image21.jpg"/><Relationship Id="rId424" Type="http://schemas.openxmlformats.org/officeDocument/2006/relationships/footer" Target="footer24.xml"/><Relationship Id="rId23" Type="http://schemas.openxmlformats.org/officeDocument/2006/relationships/hyperlink" Target="http://www.myagedcare.gov.au/" TargetMode="External"/><Relationship Id="rId119" Type="http://schemas.openxmlformats.org/officeDocument/2006/relationships/footer" Target="footer4.xml"/><Relationship Id="rId270" Type="http://schemas.openxmlformats.org/officeDocument/2006/relationships/hyperlink" Target="mailto:AssessmentRevocations@health.gov.au" TargetMode="External"/><Relationship Id="rId326" Type="http://schemas.openxmlformats.org/officeDocument/2006/relationships/footer" Target="footer12.xml"/><Relationship Id="rId65" Type="http://schemas.openxmlformats.org/officeDocument/2006/relationships/hyperlink" Target="https://www.health.gov.au/resources/publications/aged-care-assessment-quality-framework?language=en" TargetMode="External"/><Relationship Id="rId130" Type="http://schemas.openxmlformats.org/officeDocument/2006/relationships/hyperlink" Target="https://www.health.gov.au/resources/publications/aboriginal-and-torres-strait-islander-aged-care-framework?language=en" TargetMode="External"/><Relationship Id="rId368" Type="http://schemas.openxmlformats.org/officeDocument/2006/relationships/hyperlink" Target="https://www.health.gov.au/sites/default/files/2026-03/hardship-assistance-for-aged-care-fact-sheet.pdf" TargetMode="External"/><Relationship Id="rId172" Type="http://schemas.openxmlformats.org/officeDocument/2006/relationships/hyperlink" Target="https://www.health.gov.au/resources/publications/support-at-home-program-manual-a-guide-for-registered-providers?language=en" TargetMode="External"/><Relationship Id="rId228" Type="http://schemas.openxmlformats.org/officeDocument/2006/relationships/hyperlink" Target="https://www.health.gov.au/our-work/elder-care-support" TargetMode="External"/><Relationship Id="rId281" Type="http://schemas.openxmlformats.org/officeDocument/2006/relationships/hyperlink" Target="https://www.health.gov.au/our-work/aged-care-diversity-framework-initiative" TargetMode="External"/><Relationship Id="rId337" Type="http://schemas.openxmlformats.org/officeDocument/2006/relationships/hyperlink" Target="https://www.oaic.gov.au/privacy/australian-privacy-principles/" TargetMode="External"/><Relationship Id="rId34" Type="http://schemas.openxmlformats.org/officeDocument/2006/relationships/hyperlink" Target="https://www.health.gov.au/resources/publications/support-at-home-program-manual-a-guide-for-registered-providers?language=en" TargetMode="External"/><Relationship Id="rId76" Type="http://schemas.openxmlformats.org/officeDocument/2006/relationships/hyperlink" Target="https://www.mdcalc.com/calc/2047/revised-urinary-incontinence-scale-ruis" TargetMode="External"/><Relationship Id="rId141" Type="http://schemas.openxmlformats.org/officeDocument/2006/relationships/hyperlink" Target="https://www.myagedcare.gov.au/support-for-lgbti-people" TargetMode="External"/><Relationship Id="rId379" Type="http://schemas.openxmlformats.org/officeDocument/2006/relationships/footer" Target="footer15.xml"/><Relationship Id="rId7" Type="http://schemas.openxmlformats.org/officeDocument/2006/relationships/settings" Target="settings.xml"/><Relationship Id="rId183" Type="http://schemas.openxmlformats.org/officeDocument/2006/relationships/hyperlink" Target="https://www.health.gov.au/node/56679?language=en" TargetMode="External"/><Relationship Id="rId239" Type="http://schemas.openxmlformats.org/officeDocument/2006/relationships/image" Target="media/image18.png"/><Relationship Id="rId390" Type="http://schemas.openxmlformats.org/officeDocument/2006/relationships/hyperlink" Target="https://www.myagedcare.gov.au/making-a-complaint" TargetMode="External"/><Relationship Id="rId404" Type="http://schemas.openxmlformats.org/officeDocument/2006/relationships/hyperlink" Target="https://gpcog.com.au/uploads/ckfinder/userfiles/files/Brodaty2002%20The%20GPCOG.pdf" TargetMode="External"/><Relationship Id="rId250" Type="http://schemas.openxmlformats.org/officeDocument/2006/relationships/hyperlink" Target="https://www.health.gov.au/our-work/residential-aged-care/managing-residential-aged-care-services/managing-residential-respite-care-allowances" TargetMode="External"/><Relationship Id="rId292" Type="http://schemas.openxmlformats.org/officeDocument/2006/relationships/hyperlink" Target="https://dta.com.au/" TargetMode="External"/><Relationship Id="rId306" Type="http://schemas.openxmlformats.org/officeDocument/2006/relationships/hyperlink" Target="https://www.health.gov.au/resources/collections/caring-for-forgotten-australians-former-child-migrants-and-stolen-generations-information-package" TargetMode="External"/><Relationship Id="rId45" Type="http://schemas.openxmlformats.org/officeDocument/2006/relationships/image" Target="media/image6.png"/><Relationship Id="rId87" Type="http://schemas.openxmlformats.org/officeDocument/2006/relationships/hyperlink" Target="https://www.servicesaustralia.gov.au/aged-care-specialist-officer-my-aged-care-face-to-face-services?context=55715" TargetMode="External"/><Relationship Id="rId110" Type="http://schemas.openxmlformats.org/officeDocument/2006/relationships/hyperlink" Target="https://experience.arcgis.com/experience/ccd77404d8b04524b871edbfb76fa69c" TargetMode="External"/><Relationship Id="rId348" Type="http://schemas.openxmlformats.org/officeDocument/2006/relationships/hyperlink" Target="https://www.health.gov.au/resources/publications/exploring-aged-care?language=en" TargetMode="External"/><Relationship Id="rId152" Type="http://schemas.openxmlformats.org/officeDocument/2006/relationships/hyperlink" Target="https://www.health.gov.au/resources/collections/registered-supporter-resources" TargetMode="External"/><Relationship Id="rId194" Type="http://schemas.openxmlformats.org/officeDocument/2006/relationships/hyperlink" Target="https://www.health.gov.au/resources/publications/transition-care-program-guidelines-november-2025" TargetMode="External"/><Relationship Id="rId208" Type="http://schemas.openxmlformats.org/officeDocument/2006/relationships/hyperlink" Target="https://www.dva.gov.au/health-and-treatment/care-home-or-aged-care/community-nursing" TargetMode="External"/><Relationship Id="rId415" Type="http://schemas.openxmlformats.org/officeDocument/2006/relationships/image" Target="cid:image003.png@01D64B01.E5281C70" TargetMode="External"/><Relationship Id="rId261" Type="http://schemas.openxmlformats.org/officeDocument/2006/relationships/hyperlink" Target="https://www.ag.gov.au/legal-system/electronic-signatures-documents-and-transactions/electronic-signatures" TargetMode="External"/><Relationship Id="rId14" Type="http://schemas.openxmlformats.org/officeDocument/2006/relationships/footer" Target="footer1.xml"/><Relationship Id="rId56" Type="http://schemas.openxmlformats.org/officeDocument/2006/relationships/hyperlink" Target="https://www.health.gov.au/resources/publications/supporting-clients-with-the-rollout-of-aboriginal-and-torres-strait-islander-assessment-organisations?language=en" TargetMode="External"/><Relationship Id="rId317" Type="http://schemas.openxmlformats.org/officeDocument/2006/relationships/hyperlink" Target="https://www.dementia.com.au" TargetMode="External"/><Relationship Id="rId359" Type="http://schemas.openxmlformats.org/officeDocument/2006/relationships/hyperlink" Target="https://www.myagedcare.gov.au/resources" TargetMode="External"/><Relationship Id="rId98" Type="http://schemas.openxmlformats.org/officeDocument/2006/relationships/hyperlink" Target="http://www.myagedcare.gov.au/registering-supporter" TargetMode="External"/><Relationship Id="rId121" Type="http://schemas.openxmlformats.org/officeDocument/2006/relationships/header" Target="header5.xml"/><Relationship Id="rId163" Type="http://schemas.openxmlformats.org/officeDocument/2006/relationships/hyperlink" Target="https://www.health.gov.au/resources/collections/wellness-and-reablement-resources?language=en" TargetMode="External"/><Relationship Id="rId219" Type="http://schemas.openxmlformats.org/officeDocument/2006/relationships/hyperlink" Target="https://youngcarersnetwork.com.au/" TargetMode="External"/><Relationship Id="rId370" Type="http://schemas.openxmlformats.org/officeDocument/2006/relationships/hyperlink" Target="https://www.health.gov.au/resources/publications/fees-and-charges-under-the-mpsp-consumer-fact-sheet?language=en" TargetMode="External"/><Relationship Id="rId426" Type="http://schemas.openxmlformats.org/officeDocument/2006/relationships/theme" Target="theme/theme1.xml"/><Relationship Id="rId230" Type="http://schemas.openxmlformats.org/officeDocument/2006/relationships/hyperlink" Target="https://www.health.gov.au/our-work/care-finder-program" TargetMode="External"/><Relationship Id="rId25" Type="http://schemas.openxmlformats.org/officeDocument/2006/relationships/hyperlink" Target="http://www.servicesaustralia.gov.au/" TargetMode="External"/><Relationship Id="rId67" Type="http://schemas.openxmlformats.org/officeDocument/2006/relationships/hyperlink" Target="https://www.health.gov.au/resources/publications/my-aged-care-integrated-assessment-tool-iat-user-guide?language=en" TargetMode="External"/><Relationship Id="rId272" Type="http://schemas.openxmlformats.org/officeDocument/2006/relationships/hyperlink" Target="mailto:reviewable.decisions@health.gov.au" TargetMode="External"/><Relationship Id="rId328" Type="http://schemas.openxmlformats.org/officeDocument/2006/relationships/hyperlink" Target="https://www.health.gov.au/resources/publications/my-aged-care-workforce-learning-strategy-2025?language=en" TargetMode="External"/><Relationship Id="rId132" Type="http://schemas.openxmlformats.org/officeDocument/2006/relationships/image" Target="media/image12.png"/><Relationship Id="rId174" Type="http://schemas.openxmlformats.org/officeDocument/2006/relationships/hyperlink" Target="https://www.health.gov.au/resources/publications/assistive-technology-and-home-modifications-list-at-hm-list" TargetMode="External"/><Relationship Id="rId381" Type="http://schemas.openxmlformats.org/officeDocument/2006/relationships/hyperlink" Target="https://www.health.gov.au/resources/publications/aged-care-diversity-framework" TargetMode="External"/><Relationship Id="rId241" Type="http://schemas.openxmlformats.org/officeDocument/2006/relationships/image" Target="media/image20.png"/><Relationship Id="rId36" Type="http://schemas.openxmlformats.org/officeDocument/2006/relationships/hyperlink" Target="https://www.health.gov.au/resources/collections/resources-on-the-multi-purpose-service-program-for-older-people" TargetMode="External"/><Relationship Id="rId283" Type="http://schemas.openxmlformats.org/officeDocument/2006/relationships/hyperlink" Target="https://www.health.gov.au/resources/publications/my-aged-care-integrated-assessment-tool-iat-user-guide?language=en" TargetMode="External"/><Relationship Id="rId339" Type="http://schemas.openxmlformats.org/officeDocument/2006/relationships/hyperlink" Target="https://www.oaic.gov.au/freedom-of-information/your-freedom-of-information-rights/what-is-freedom-of-information" TargetMode="External"/><Relationship Id="rId78" Type="http://schemas.openxmlformats.org/officeDocument/2006/relationships/hyperlink" Target="https://www.health.gov.au/topics/bladder-and-bowel?utm_source=bladderbowel.gov.au&amp;utm_medium=redirect&amp;utm_campaign=digital_transformation&amp;utm_content=bladderbowel" TargetMode="External"/><Relationship Id="rId101" Type="http://schemas.openxmlformats.org/officeDocument/2006/relationships/hyperlink" Target="https://www.health.gov.au/resources/publications/my-aged-care-assessor-portal-user-guide-2-registering-support-people-and-adding-relationships" TargetMode="External"/><Relationship Id="rId143" Type="http://schemas.openxmlformats.org/officeDocument/2006/relationships/hyperlink" Target="https://www.health.gov.au/our-work/sign-language-interpreting-and-captioning-services-for-australian-government-subsidised-aged-care-services" TargetMode="External"/><Relationship Id="rId185" Type="http://schemas.openxmlformats.org/officeDocument/2006/relationships/hyperlink" Target="https://www.myagedcare.gov.au/help-care-finder" TargetMode="External"/><Relationship Id="rId350" Type="http://schemas.openxmlformats.org/officeDocument/2006/relationships/hyperlink" Target="https://www.facebook.com/groups/AgedCareCouncilOfElders" TargetMode="External"/><Relationship Id="rId406" Type="http://schemas.openxmlformats.org/officeDocument/2006/relationships/hyperlink" Target="https://www.health.gov.au/resources/publications/my-aged-care-integrated-assessment-tool-iat-user-guide?language=en" TargetMode="External"/><Relationship Id="rId9" Type="http://schemas.openxmlformats.org/officeDocument/2006/relationships/footnotes" Target="footnotes.xml"/><Relationship Id="rId210" Type="http://schemas.openxmlformats.org/officeDocument/2006/relationships/hyperlink" Target="https://www.health.gov.au/resources/publications/disability-support-for-older-australians-program-program-manual" TargetMode="External"/><Relationship Id="rId392" Type="http://schemas.openxmlformats.org/officeDocument/2006/relationships/header" Target="header15.xml"/><Relationship Id="rId252" Type="http://schemas.openxmlformats.org/officeDocument/2006/relationships/hyperlink" Target="https://www.health.gov.au/resources/publications/my-aged-care-application-for-emergency-residential-care-or-residential-respite-care-form?language=en" TargetMode="External"/><Relationship Id="rId294" Type="http://schemas.openxmlformats.org/officeDocument/2006/relationships/hyperlink" Target="https://www.dementia.com.au/" TargetMode="External"/><Relationship Id="rId308" Type="http://schemas.openxmlformats.org/officeDocument/2006/relationships/hyperlink" Target="https://www.dss.gov.au/our-responsibilities/families-and-children/programs-services/forced-adoption-practices" TargetMode="External"/><Relationship Id="rId47" Type="http://schemas.openxmlformats.org/officeDocument/2006/relationships/hyperlink" Target="https://www.health.gov.au/resources/publications/assistive-technology-and-home-modifications-list-at-hm-list?language=en" TargetMode="External"/><Relationship Id="rId89" Type="http://schemas.openxmlformats.org/officeDocument/2006/relationships/hyperlink" Target="https://www.health.gov.au/resources/publications/my-aged-care-application-for-care-form?language=en" TargetMode="External"/><Relationship Id="rId112" Type="http://schemas.openxmlformats.org/officeDocument/2006/relationships/hyperlink" Target="https://www.health.gov.au/resources/publications/my-aged-care-assessor-portal-user-guide-3-managing-referrals-for-assessment-and-support-plan-reviews?language=en" TargetMode="External"/><Relationship Id="rId154" Type="http://schemas.openxmlformats.org/officeDocument/2006/relationships/hyperlink" Target="https://www.health.gov.au/resources/publications/integrated-assessment-tool-iat-user-guide?language=en" TargetMode="External"/><Relationship Id="rId361" Type="http://schemas.openxmlformats.org/officeDocument/2006/relationships/hyperlink" Target="https://www.servicesaustralia.gov.au/providing-home-care?context=20" TargetMode="External"/><Relationship Id="rId196" Type="http://schemas.openxmlformats.org/officeDocument/2006/relationships/hyperlink" Target="https://www.health.gov.au/our-work/places-to-people-embedding-choice-in-residential-aged-care" TargetMode="External"/><Relationship Id="rId417" Type="http://schemas.openxmlformats.org/officeDocument/2006/relationships/hyperlink" Target="https://www.health.gov.au/resources/collections/wellness-and-reablement-resources?language=en" TargetMode="External"/><Relationship Id="rId16" Type="http://schemas.openxmlformats.org/officeDocument/2006/relationships/header" Target="header2.xml"/><Relationship Id="rId221" Type="http://schemas.openxmlformats.org/officeDocument/2006/relationships/hyperlink" Target="https://www.health.gov.au/our-work/aged-care-volunteer-visitors-scheme-acvvs/request" TargetMode="External"/><Relationship Id="rId263" Type="http://schemas.openxmlformats.org/officeDocument/2006/relationships/hyperlink" Target="https://www.health.gov.au/our-work/star-ratings-for-residential-aged-care" TargetMode="External"/><Relationship Id="rId319" Type="http://schemas.openxmlformats.org/officeDocument/2006/relationships/hyperlink" Target="https://www.health.gov.au/initiatives-and-programs/an-acc/providers/palliative-care" TargetMode="External"/><Relationship Id="rId58" Type="http://schemas.openxmlformats.org/officeDocument/2006/relationships/hyperlink" Target="https://www.health.gov.au/resources/publications/my-aged-care-assessor-portal-organisation-administrator-user-guide" TargetMode="External"/><Relationship Id="rId123" Type="http://schemas.openxmlformats.org/officeDocument/2006/relationships/hyperlink" Target="https://www.health.gov.au/sites/default/files/2026-04/capacity-in-the-registered-supporter-context-policy.pdf" TargetMode="External"/><Relationship Id="rId330" Type="http://schemas.openxmlformats.org/officeDocument/2006/relationships/hyperlink" Target="https://www.protectivesecurity.gov.au/about" TargetMode="External"/><Relationship Id="rId165" Type="http://schemas.openxmlformats.org/officeDocument/2006/relationships/hyperlink" Target="https://www.health.gov.au/resources/publications/list-of-elder-care-support-providers" TargetMode="External"/><Relationship Id="rId372" Type="http://schemas.openxmlformats.org/officeDocument/2006/relationships/hyperlink" Target="https://www.health.gov.au/resources/publications/transition-care-program-guidelines-november-2025" TargetMode="External"/><Relationship Id="rId428" Type="http://schemas.microsoft.com/office/2020/10/relationships/intelligence" Target="intelligence2.xml"/><Relationship Id="rId232" Type="http://schemas.openxmlformats.org/officeDocument/2006/relationships/header" Target="header7.xml"/><Relationship Id="rId274" Type="http://schemas.openxmlformats.org/officeDocument/2006/relationships/hyperlink" Target="https://www.myagedcare.gov.au/contact-us/complaints" TargetMode="External"/><Relationship Id="rId27" Type="http://schemas.openxmlformats.org/officeDocument/2006/relationships/hyperlink" Target="https://www.health.gov.au/resources/publications/my-aged-care-integrated-assessment-tool-iat-user-guide?language=en" TargetMode="External"/><Relationship Id="rId69" Type="http://schemas.openxmlformats.org/officeDocument/2006/relationships/hyperlink" Target="https://alswh.org.au/wp-content/uploads/2020/08/DDSSection2.7DSSI.pdf" TargetMode="External"/><Relationship Id="rId134" Type="http://schemas.openxmlformats.org/officeDocument/2006/relationships/hyperlink" Target="https://www.myagedcare.gov.au/elder-care-support-program" TargetMode="External"/><Relationship Id="rId80" Type="http://schemas.openxmlformats.org/officeDocument/2006/relationships/hyperlink" Target="https://journals.lww.com/dcrjournal/abstract/2013/05000/the_revised_faecal_incontinence_scale__a_clinical.16.aspx" TargetMode="External"/><Relationship Id="rId176" Type="http://schemas.openxmlformats.org/officeDocument/2006/relationships/hyperlink" Target="https://www.health.gov.au/resources/publications/assistive-technology-and-home-modifications-list-at-hm-list?language=en" TargetMode="External"/><Relationship Id="rId341" Type="http://schemas.openxmlformats.org/officeDocument/2006/relationships/hyperlink" Target="https://www.niaa.gov.au/sites/default/files/documents/2024-05/framework-governance-indigenous-data.pdf" TargetMode="External"/><Relationship Id="rId383" Type="http://schemas.openxmlformats.org/officeDocument/2006/relationships/hyperlink" Target="https://www.myagedcare.gov.au/help-care-finder" TargetMode="External"/><Relationship Id="rId201" Type="http://schemas.openxmlformats.org/officeDocument/2006/relationships/hyperlink" Target="https://www.dementia.com.au/hacdsp" TargetMode="External"/><Relationship Id="rId243" Type="http://schemas.openxmlformats.org/officeDocument/2006/relationships/hyperlink" Target="https://www.ag.gov.au/legal-system/administrative-law/administrative-review-council/administrative-review-council-publications" TargetMode="External"/><Relationship Id="rId285" Type="http://schemas.openxmlformats.org/officeDocument/2006/relationships/hyperlink" Target="https://www.health.gov.au/initiatives-and-programs/partners-in-culturally-appropriate-care-picac" TargetMode="External"/><Relationship Id="rId38" Type="http://schemas.openxmlformats.org/officeDocument/2006/relationships/hyperlink" Target="https://www.health.gov.au/resources/publications/support-at-home-program-assistive-technology-and-home-modifications-at-hm-scheme?language=en" TargetMode="External"/><Relationship Id="rId103" Type="http://schemas.openxmlformats.org/officeDocument/2006/relationships/hyperlink" Target="https://www.myagedcare.gov.au/sites/default/files/documents/registration-of-a-supporter-form.pdf" TargetMode="External"/><Relationship Id="rId310" Type="http://schemas.openxmlformats.org/officeDocument/2006/relationships/hyperlink" Target="https://www.health.gov.au/resources/publications/actions-to-support-lgbti-elders-a-guide-for-aged-care-providers" TargetMode="External"/><Relationship Id="rId70" Type="http://schemas.openxmlformats.org/officeDocument/2006/relationships/hyperlink" Target="https://gpcog.com.au/" TargetMode="External"/><Relationship Id="rId91" Type="http://schemas.openxmlformats.org/officeDocument/2006/relationships/hyperlink" Target="https://www.health.gov.au/our-work/aged-care-act/about/registered-supporters" TargetMode="External"/><Relationship Id="rId145" Type="http://schemas.openxmlformats.org/officeDocument/2006/relationships/hyperlink" Target="https://www.myagedcare.gov.au/accessible-all" TargetMode="External"/><Relationship Id="rId166" Type="http://schemas.openxmlformats.org/officeDocument/2006/relationships/hyperlink" Target="https://www.health.gov.au/our-work/care-finder-program" TargetMode="External"/><Relationship Id="rId187" Type="http://schemas.openxmlformats.org/officeDocument/2006/relationships/hyperlink" Target="https://www.health.gov.au/resources/collections/wellness-and-reablement-resources?language=en" TargetMode="External"/><Relationship Id="rId331" Type="http://schemas.openxmlformats.org/officeDocument/2006/relationships/hyperlink" Target="https://www.asio.gov.au/asio-t4-protective-security.html" TargetMode="External"/><Relationship Id="rId352" Type="http://schemas.openxmlformats.org/officeDocument/2006/relationships/hyperlink" Target="https://www.health.gov.au/topics/positive-ageing-is-ageing-well" TargetMode="External"/><Relationship Id="rId373" Type="http://schemas.openxmlformats.org/officeDocument/2006/relationships/hyperlink" Target="https://www.myagedcare.gov.au/income-and-means-assessments" TargetMode="External"/><Relationship Id="rId394" Type="http://schemas.openxmlformats.org/officeDocument/2006/relationships/footer" Target="footer17.xml"/><Relationship Id="rId408" Type="http://schemas.openxmlformats.org/officeDocument/2006/relationships/header" Target="header17.xml"/><Relationship Id="rId1" Type="http://schemas.openxmlformats.org/officeDocument/2006/relationships/customXml" Target="../customXml/item1.xml"/><Relationship Id="rId212" Type="http://schemas.openxmlformats.org/officeDocument/2006/relationships/hyperlink" Target="http://www.carergateway.gov.au" TargetMode="External"/><Relationship Id="rId233" Type="http://schemas.openxmlformats.org/officeDocument/2006/relationships/footer" Target="footer7.xml"/><Relationship Id="rId254" Type="http://schemas.openxmlformats.org/officeDocument/2006/relationships/hyperlink" Target="mailto:AssessorSupport@health.gov.au" TargetMode="External"/><Relationship Id="rId28" Type="http://schemas.openxmlformats.org/officeDocument/2006/relationships/hyperlink" Target="https://www.legislation.gov.au/C2024A00104/latest/text" TargetMode="External"/><Relationship Id="rId49" Type="http://schemas.openxmlformats.org/officeDocument/2006/relationships/hyperlink" Target="https://www.health.gov.au/resources/publications/leaving-the-multi-purpose-service-program-mpsp-consumer-fact-sheet?language=en" TargetMode="External"/><Relationship Id="rId114" Type="http://schemas.openxmlformats.org/officeDocument/2006/relationships/hyperlink" Target="https://www.health.gov.au/resources/publications/my-aged-care-assessor-portal-user-guide-1-registering-and-referring-clients" TargetMode="External"/><Relationship Id="rId275" Type="http://schemas.openxmlformats.org/officeDocument/2006/relationships/hyperlink" Target="https://www.myagedcare.gov.au/quality-aged-care" TargetMode="External"/><Relationship Id="rId296" Type="http://schemas.openxmlformats.org/officeDocument/2006/relationships/hyperlink" Target="https://www.health.gov.au/topics/dementia/what-were-doing-about-dementia" TargetMode="External"/><Relationship Id="rId300" Type="http://schemas.openxmlformats.org/officeDocument/2006/relationships/hyperlink" Target="https://www.dementia.org.au/dementia-and-aboriginal-and-torres-strait-islander-people" TargetMode="External"/><Relationship Id="rId60" Type="http://schemas.openxmlformats.org/officeDocument/2006/relationships/hyperlink" Target="mailto:maclearninghelp@Health.gov.au" TargetMode="External"/><Relationship Id="rId81" Type="http://schemas.openxmlformats.org/officeDocument/2006/relationships/hyperlink" Target="https://www.researchgate.net/publication/304216825_Technical_Manual_and_Instructions_Revised_Incontinence_and_Patient_Satisfaction_Tools_Version_2" TargetMode="External"/><Relationship Id="rId135" Type="http://schemas.openxmlformats.org/officeDocument/2006/relationships/hyperlink" Target="http://www.myagedcare.gov.au/registering-supporter" TargetMode="External"/><Relationship Id="rId156" Type="http://schemas.openxmlformats.org/officeDocument/2006/relationships/hyperlink" Target="https://www.health.gov.au/resources/publications/integrated-assessment-tool-iat-user-guide?language=en" TargetMode="External"/><Relationship Id="rId177" Type="http://schemas.openxmlformats.org/officeDocument/2006/relationships/hyperlink" Target="https://www.health.gov.au/resources/publications/assistive-technology-and-home-modifications-list-at-hm-list" TargetMode="External"/><Relationship Id="rId198" Type="http://schemas.openxmlformats.org/officeDocument/2006/relationships/hyperlink" Target="http://www.dementia.org.au" TargetMode="External"/><Relationship Id="rId321" Type="http://schemas.openxmlformats.org/officeDocument/2006/relationships/hyperlink" Target="https://www.health.gov.au/topics/palliative-care/palliative-care-education-and-training" TargetMode="External"/><Relationship Id="rId342" Type="http://schemas.openxmlformats.org/officeDocument/2006/relationships/hyperlink" Target="http://www.w3.org/TR/WCAG" TargetMode="External"/><Relationship Id="rId363" Type="http://schemas.openxmlformats.org/officeDocument/2006/relationships/hyperlink" Target="https://www.health.gov.au/resources/publications/understanding-fees-for-aged-care-homes" TargetMode="External"/><Relationship Id="rId384" Type="http://schemas.openxmlformats.org/officeDocument/2006/relationships/hyperlink" Target="https://www.myagedcare.gov.au/contact-us" TargetMode="External"/><Relationship Id="rId419" Type="http://schemas.openxmlformats.org/officeDocument/2006/relationships/header" Target="header20.xml"/><Relationship Id="rId202" Type="http://schemas.openxmlformats.org/officeDocument/2006/relationships/hyperlink" Target="https://www.dementia.com.au" TargetMode="External"/><Relationship Id="rId223" Type="http://schemas.openxmlformats.org/officeDocument/2006/relationships/hyperlink" Target="https://www.myagedcare.gov.au/accessible-all" TargetMode="External"/><Relationship Id="rId244" Type="http://schemas.openxmlformats.org/officeDocument/2006/relationships/hyperlink" Target="https://www.health.gov.au/resources/publications/my-aged-care-application-for-care-form?language=en" TargetMode="External"/><Relationship Id="rId18" Type="http://schemas.openxmlformats.org/officeDocument/2006/relationships/hyperlink" Target="https://www.health.gov.au/" TargetMode="External"/><Relationship Id="rId39" Type="http://schemas.openxmlformats.org/officeDocument/2006/relationships/hyperlink" Target="https://www.health.gov.au/our-work/transition-care-programme" TargetMode="External"/><Relationship Id="rId265" Type="http://schemas.openxmlformats.org/officeDocument/2006/relationships/hyperlink" Target="https://healthgov.sharepoint.com/sites/AssessmentandthenewAgedCareAct/SitePages/CollabHome.aspx?e=1:d05f5e12fbde4d9a838f06e78863956f" TargetMode="External"/><Relationship Id="rId286" Type="http://schemas.openxmlformats.org/officeDocument/2006/relationships/hyperlink" Target="https://www.health.gov.au/health-topics/aged-care/providing-aged-care-services/working-in-aged-care/working-with-diverse-groups-in-aged-care" TargetMode="External"/><Relationship Id="rId50" Type="http://schemas.openxmlformats.org/officeDocument/2006/relationships/hyperlink" Target="https://www.health.gov.au/resources/publications/guide-for-short-term-restorative-care-providers-transitioning-to-the-restorative-care-pathway?language=en" TargetMode="External"/><Relationship Id="rId104" Type="http://schemas.openxmlformats.org/officeDocument/2006/relationships/hyperlink" Target="https://www.myagedcare.gov.au/translated" TargetMode="External"/><Relationship Id="rId125" Type="http://schemas.openxmlformats.org/officeDocument/2006/relationships/hyperlink" Target="https://www.legislation.gov.au/C2024A00104/latest/text" TargetMode="External"/><Relationship Id="rId146" Type="http://schemas.openxmlformats.org/officeDocument/2006/relationships/hyperlink" Target="https://www.myagedcare.gov.au/help-care-finder" TargetMode="External"/><Relationship Id="rId167" Type="http://schemas.openxmlformats.org/officeDocument/2006/relationships/hyperlink" Target="https://www.health.gov.au/our-work/elder-care-support" TargetMode="External"/><Relationship Id="rId188" Type="http://schemas.openxmlformats.org/officeDocument/2006/relationships/hyperlink" Target="https://www.health.gov.au/resources/publications/living-well-at-home-chsp-good-practice-guide" TargetMode="External"/><Relationship Id="rId311" Type="http://schemas.openxmlformats.org/officeDocument/2006/relationships/hyperlink" Target="https://www.health.gov.au/health-topics/aged-care/providing-aged-care-services/working-in-aged-care/working-with-diverse-groups-in-aged-care" TargetMode="External"/><Relationship Id="rId332" Type="http://schemas.openxmlformats.org/officeDocument/2006/relationships/hyperlink" Target="https://www.legislation.gov.au/C2024A00104/latest/text" TargetMode="External"/><Relationship Id="rId353" Type="http://schemas.openxmlformats.org/officeDocument/2006/relationships/hyperlink" Target="mailto:AgedCare.Assessment.Reporting@health.gov.au" TargetMode="External"/><Relationship Id="rId374" Type="http://schemas.openxmlformats.org/officeDocument/2006/relationships/header" Target="header11.xml"/><Relationship Id="rId395" Type="http://schemas.openxmlformats.org/officeDocument/2006/relationships/header" Target="header16.xml"/><Relationship Id="rId409" Type="http://schemas.openxmlformats.org/officeDocument/2006/relationships/header" Target="header18.xml"/><Relationship Id="rId71" Type="http://schemas.openxmlformats.org/officeDocument/2006/relationships/hyperlink" Target="https://www.mcgill.ca/schoolofmedicine-learneraffairs/pgme/wellness-support/self-screening-tools/anxiety-and-depression-phq-4" TargetMode="External"/><Relationship Id="rId92" Type="http://schemas.openxmlformats.org/officeDocument/2006/relationships/hyperlink" Target="https://www.health.gov.au/resources/publications/duties-policy?language=en" TargetMode="External"/><Relationship Id="rId213" Type="http://schemas.openxmlformats.org/officeDocument/2006/relationships/hyperlink" Target="https://www.carergateway.gov.au/" TargetMode="External"/><Relationship Id="rId234" Type="http://schemas.openxmlformats.org/officeDocument/2006/relationships/footer" Target="footer8.xml"/><Relationship Id="rId420"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hyperlink" Target="https://www.legislation.gov.au/F2025L01173/latest/text" TargetMode="External"/><Relationship Id="rId255" Type="http://schemas.openxmlformats.org/officeDocument/2006/relationships/hyperlink" Target="mailto:MyAgedCareAssessment@health.gov.au" TargetMode="External"/><Relationship Id="rId276" Type="http://schemas.openxmlformats.org/officeDocument/2006/relationships/hyperlink" Target="https://www.agedcarequality.gov.au/contact-us/complaints-concerns" TargetMode="External"/><Relationship Id="rId297" Type="http://schemas.openxmlformats.org/officeDocument/2006/relationships/hyperlink" Target="https://cdpc.sydney.edu.au/research/clinical-guidelines-for-dementia/" TargetMode="External"/><Relationship Id="rId40" Type="http://schemas.openxmlformats.org/officeDocument/2006/relationships/hyperlink" Target="https://www.health.gov.au/resources/collections/support-at-home-pricing-resources" TargetMode="External"/><Relationship Id="rId115" Type="http://schemas.openxmlformats.org/officeDocument/2006/relationships/hyperlink" Target="https://www.health.gov.au/resources/publications/my-aged-care-assessor-portal-user-guide-3-managing-referrals-for-assessment-and-support-plan-reviews" TargetMode="External"/><Relationship Id="rId136" Type="http://schemas.openxmlformats.org/officeDocument/2006/relationships/hyperlink" Target="https://opan.org.au/" TargetMode="External"/><Relationship Id="rId157" Type="http://schemas.openxmlformats.org/officeDocument/2006/relationships/hyperlink" Target="https://www.health.gov.au/resources/publications/aged-care-assessment-quality-framework?language=en" TargetMode="External"/><Relationship Id="rId178" Type="http://schemas.openxmlformats.org/officeDocument/2006/relationships/hyperlink" Target="https://www.health.gov.au/resources/publications/my-aged-care-integrated-assessment-tool-iat-user-guide?language=en" TargetMode="External"/><Relationship Id="rId301" Type="http://schemas.openxmlformats.org/officeDocument/2006/relationships/hyperlink" Target="https://forwardwithdementia.au/news/services-for-people-with-dementia-from-cald-communities/" TargetMode="External"/><Relationship Id="rId322" Type="http://schemas.openxmlformats.org/officeDocument/2006/relationships/header" Target="header9.xml"/><Relationship Id="rId343" Type="http://schemas.openxmlformats.org/officeDocument/2006/relationships/hyperlink" Target="https://www.pmc.gov.au/resources/australian-government-branding-guidelines" TargetMode="External"/><Relationship Id="rId364" Type="http://schemas.openxmlformats.org/officeDocument/2006/relationships/hyperlink" Target="https://www.health.gov.au/our-work/residential-aged-care/charging/means-assessment" TargetMode="External"/><Relationship Id="rId61" Type="http://schemas.openxmlformats.org/officeDocument/2006/relationships/hyperlink" Target="https://www.health.gov.au/resources/publications/my-aged-care-workforce-learning-strategy-2023?language=en" TargetMode="External"/><Relationship Id="rId82" Type="http://schemas.openxmlformats.org/officeDocument/2006/relationships/hyperlink" Target="https://www.health.gov.au/topics/bladder-and-bowel?utm_source=bladderbowel.gov.au&amp;utm_medium=redirect&amp;utm_campaign=digital_transformation&amp;utm_content=bladderbowel" TargetMode="External"/><Relationship Id="rId199" Type="http://schemas.openxmlformats.org/officeDocument/2006/relationships/hyperlink" Target="https://www.dementia.com.au" TargetMode="External"/><Relationship Id="rId203" Type="http://schemas.openxmlformats.org/officeDocument/2006/relationships/hyperlink" Target="https://www.dementia.com.au/dsa-staying-at-home" TargetMode="External"/><Relationship Id="rId385" Type="http://schemas.openxmlformats.org/officeDocument/2006/relationships/hyperlink" Target="https://www.health.gov.au/resources/publications/my-aged-care-workforce-learning-strategy-2023?language=en" TargetMode="External"/><Relationship Id="rId19" Type="http://schemas.openxmlformats.org/officeDocument/2006/relationships/hyperlink" Target="http://www.myagedcare.gov.au/" TargetMode="External"/><Relationship Id="rId224" Type="http://schemas.openxmlformats.org/officeDocument/2006/relationships/hyperlink" Target="https://deafconnect.org.au/" TargetMode="External"/><Relationship Id="rId245" Type="http://schemas.openxmlformats.org/officeDocument/2006/relationships/hyperlink" Target="https://www.myagedcare.gov.au/access-your-online-account" TargetMode="External"/><Relationship Id="rId266" Type="http://schemas.openxmlformats.org/officeDocument/2006/relationships/hyperlink" Target="https://www.health.gov.au/resources/publications/support-at-home-program-manual-a-guide-for-registered-providers?language=en" TargetMode="External"/><Relationship Id="rId287" Type="http://schemas.openxmlformats.org/officeDocument/2006/relationships/hyperlink" Target="https://amrc.org.au/" TargetMode="External"/><Relationship Id="rId410" Type="http://schemas.openxmlformats.org/officeDocument/2006/relationships/footer" Target="footer19.xml"/><Relationship Id="rId30" Type="http://schemas.openxmlformats.org/officeDocument/2006/relationships/hyperlink" Target="https://www.myagedcare.gov.au/" TargetMode="External"/><Relationship Id="rId105" Type="http://schemas.openxmlformats.org/officeDocument/2006/relationships/hyperlink" Target="https://www.myagedcare.gov.au/gettting-support-navigate-aged-care" TargetMode="External"/><Relationship Id="rId126" Type="http://schemas.openxmlformats.org/officeDocument/2006/relationships/hyperlink" Target="https://www.legislation.gov.au/Series/C2004A03712" TargetMode="External"/><Relationship Id="rId147" Type="http://schemas.openxmlformats.org/officeDocument/2006/relationships/hyperlink" Target="https://www.health.gov.au/resources/apps-and-tools/health-workforce-locator" TargetMode="External"/><Relationship Id="rId168" Type="http://schemas.openxmlformats.org/officeDocument/2006/relationships/hyperlink" Target="https://www.myagedcare.gov.au/access-your-online-account" TargetMode="External"/><Relationship Id="rId312" Type="http://schemas.openxmlformats.org/officeDocument/2006/relationships/hyperlink" Target="https://www.legislation.gov.au/C2024A00104/latest/text" TargetMode="External"/><Relationship Id="rId333" Type="http://schemas.openxmlformats.org/officeDocument/2006/relationships/hyperlink" Target="https://www.legislation.gov.au/Series/C2004A02796" TargetMode="External"/><Relationship Id="rId354" Type="http://schemas.openxmlformats.org/officeDocument/2006/relationships/hyperlink" Target="https://www.health.gov.au/resources/publications/commonwealth-home-support-program-chsp-2025-27-manual-from-1-november-2025" TargetMode="External"/><Relationship Id="rId51" Type="http://schemas.openxmlformats.org/officeDocument/2006/relationships/hyperlink" Target="http://www.myagedcare.gov.au/" TargetMode="External"/><Relationship Id="rId72" Type="http://schemas.openxmlformats.org/officeDocument/2006/relationships/hyperlink" Target="https://www.iawr.com.au/kica" TargetMode="External"/><Relationship Id="rId93" Type="http://schemas.openxmlformats.org/officeDocument/2006/relationships/hyperlink" Target="https://www.myagedcare.gov.au/registering-supporter/appointed-decision-makers" TargetMode="External"/><Relationship Id="rId189" Type="http://schemas.openxmlformats.org/officeDocument/2006/relationships/hyperlink" Target="https://www.health.gov.au/natsifacp" TargetMode="External"/><Relationship Id="rId375" Type="http://schemas.openxmlformats.org/officeDocument/2006/relationships/header" Target="header12.xml"/><Relationship Id="rId396" Type="http://schemas.openxmlformats.org/officeDocument/2006/relationships/footer" Target="footer18.xml"/><Relationship Id="rId3" Type="http://schemas.openxmlformats.org/officeDocument/2006/relationships/customXml" Target="../customXml/item3.xml"/><Relationship Id="rId214" Type="http://schemas.openxmlformats.org/officeDocument/2006/relationships/hyperlink" Target="http://www.carergateway.gov.au/" TargetMode="External"/><Relationship Id="rId235" Type="http://schemas.openxmlformats.org/officeDocument/2006/relationships/header" Target="header8.xml"/><Relationship Id="rId256" Type="http://schemas.openxmlformats.org/officeDocument/2006/relationships/hyperlink" Target="mailto:myagedcare.assessment@health.gov.au" TargetMode="External"/><Relationship Id="rId277" Type="http://schemas.openxmlformats.org/officeDocument/2006/relationships/hyperlink" Target="https://www.agedcarequality.gov.au/making-complaint" TargetMode="External"/><Relationship Id="rId298" Type="http://schemas.openxmlformats.org/officeDocument/2006/relationships/hyperlink" Target="https://mooc.utas.edu.au/" TargetMode="External"/><Relationship Id="rId400" Type="http://schemas.openxmlformats.org/officeDocument/2006/relationships/hyperlink" Target="https://www.healthdirect.gov.au/urinary-incontinence" TargetMode="External"/><Relationship Id="rId421" Type="http://schemas.openxmlformats.org/officeDocument/2006/relationships/footer" Target="footer22.xml"/><Relationship Id="rId116" Type="http://schemas.openxmlformats.org/officeDocument/2006/relationships/hyperlink" Target="https://www.health.gov.au/resources/publications/my-aged-care-assessor-portal-user-guide-4-navigating-and-updating-the-client-record" TargetMode="External"/><Relationship Id="rId137" Type="http://schemas.openxmlformats.org/officeDocument/2006/relationships/hyperlink" Target="https://www.myagedcare.gov.au/support-people-culturally-and-linguistically-diverse-backgrounds" TargetMode="External"/><Relationship Id="rId158" Type="http://schemas.openxmlformats.org/officeDocument/2006/relationships/hyperlink" Target="https://www.health.gov.au/resources/publications/aged-care-assessment-quality-framework?language=en" TargetMode="External"/><Relationship Id="rId302" Type="http://schemas.openxmlformats.org/officeDocument/2006/relationships/hyperlink" Target="https://www.dementia.org.au/languages" TargetMode="External"/><Relationship Id="rId323" Type="http://schemas.openxmlformats.org/officeDocument/2006/relationships/footer" Target="footer10.xml"/><Relationship Id="rId344" Type="http://schemas.openxmlformats.org/officeDocument/2006/relationships/hyperlink" Target="https://www.dta.gov.au/getting-help-dta" TargetMode="External"/><Relationship Id="rId20" Type="http://schemas.openxmlformats.org/officeDocument/2006/relationships/hyperlink" Target="http://www.agedcarequality.gov.au/" TargetMode="External"/><Relationship Id="rId41" Type="http://schemas.openxmlformats.org/officeDocument/2006/relationships/image" Target="media/image3.png"/><Relationship Id="rId62" Type="http://schemas.openxmlformats.org/officeDocument/2006/relationships/hyperlink" Target="https://www.health.gov.au/resources/publications/my-aged-care-quality-learning-framework?language=en" TargetMode="External"/><Relationship Id="rId83" Type="http://schemas.openxmlformats.org/officeDocument/2006/relationships/hyperlink" Target="https://www.myagedcare.gov.au/assessment/apply-online" TargetMode="External"/><Relationship Id="rId179" Type="http://schemas.openxmlformats.org/officeDocument/2006/relationships/hyperlink" Target="https://www.assistancedogs.org.au/services/service-dog/" TargetMode="External"/><Relationship Id="rId365" Type="http://schemas.openxmlformats.org/officeDocument/2006/relationships/hyperlink" Target="https://www.health.gov.au/our-work/residential-aged-care/charging/means-tested-fees" TargetMode="External"/><Relationship Id="rId386" Type="http://schemas.openxmlformats.org/officeDocument/2006/relationships/hyperlink" Target="https://www.health.gov.au/resources/publications/support-at-home-service-list" TargetMode="External"/><Relationship Id="rId190" Type="http://schemas.openxmlformats.org/officeDocument/2006/relationships/image" Target="media/image15.png"/><Relationship Id="rId204" Type="http://schemas.openxmlformats.org/officeDocument/2006/relationships/hyperlink" Target="https://www.dementia.com.au/sdcp" TargetMode="External"/><Relationship Id="rId225" Type="http://schemas.openxmlformats.org/officeDocument/2006/relationships/hyperlink" Target="https://deafconnect.org.au/services/interpreting" TargetMode="External"/><Relationship Id="rId246" Type="http://schemas.openxmlformats.org/officeDocument/2006/relationships/hyperlink" Target="https://www.health.gov.au/resources/collections/schedules-of-subsidies-and-supplements-for-aged-care?language=en" TargetMode="External"/><Relationship Id="rId267" Type="http://schemas.openxmlformats.org/officeDocument/2006/relationships/hyperlink" Target="https://www.health.gov.au/resources/publications/my-aged-care-assessor-portal-user-guide-3-managing-referrals-for-assessment-and-support-plan-reviews" TargetMode="External"/><Relationship Id="rId288" Type="http://schemas.openxmlformats.org/officeDocument/2006/relationships/image" Target="media/image22.png"/><Relationship Id="rId411" Type="http://schemas.openxmlformats.org/officeDocument/2006/relationships/footer" Target="footer20.xml"/><Relationship Id="rId106" Type="http://schemas.openxmlformats.org/officeDocument/2006/relationships/hyperlink" Target="https://www.health.gov.au/resources/apps-and-tools/my-aged-care-service-and-support-portal" TargetMode="External"/><Relationship Id="rId127" Type="http://schemas.openxmlformats.org/officeDocument/2006/relationships/hyperlink" Target="https://www.healthdirect.gov.au/privacy-policy" TargetMode="External"/><Relationship Id="rId313" Type="http://schemas.openxmlformats.org/officeDocument/2006/relationships/hyperlink" Target="https://www.carergateway.gov.au/" TargetMode="External"/><Relationship Id="rId10" Type="http://schemas.openxmlformats.org/officeDocument/2006/relationships/endnotes" Target="endnotes.xml"/><Relationship Id="rId31" Type="http://schemas.openxmlformats.org/officeDocument/2006/relationships/hyperlink" Target="https://www.health.gov.au/our-work/single-assessment-system/resources" TargetMode="External"/><Relationship Id="rId52" Type="http://schemas.openxmlformats.org/officeDocument/2006/relationships/image" Target="media/image7.png"/><Relationship Id="rId73" Type="http://schemas.openxmlformats.org/officeDocument/2006/relationships/hyperlink" Target="https://www.iawr.com.au/Profiles/aww/Assets/ClientData/KICA_instruction_booklet_v1_2.pdf" TargetMode="External"/><Relationship Id="rId94" Type="http://schemas.openxmlformats.org/officeDocument/2006/relationships/image" Target="media/image9.jpg"/><Relationship Id="rId148" Type="http://schemas.openxmlformats.org/officeDocument/2006/relationships/hyperlink" Target="https://www.health.gov.au/resources/publications/my-aged-care-assessor-portal-user-guide-6-completing-an-assessment" TargetMode="External"/><Relationship Id="rId169" Type="http://schemas.openxmlformats.org/officeDocument/2006/relationships/hyperlink" Target="https://www.myagedcare.gov.au/resources" TargetMode="External"/><Relationship Id="rId334" Type="http://schemas.openxmlformats.org/officeDocument/2006/relationships/hyperlink" Target="https://www.legislation.gov.au/Series/C2004A00553" TargetMode="External"/><Relationship Id="rId355" Type="http://schemas.openxmlformats.org/officeDocument/2006/relationships/hyperlink" Target="https://www.health.gov.au/our-work/chsp/resources" TargetMode="External"/><Relationship Id="rId376" Type="http://schemas.openxmlformats.org/officeDocument/2006/relationships/footer" Target="footer13.xml"/><Relationship Id="rId397" Type="http://schemas.openxmlformats.org/officeDocument/2006/relationships/hyperlink" Target="https://www.agedcarequality.gov.au/resources/clinical-governance" TargetMode="External"/><Relationship Id="rId4" Type="http://schemas.openxmlformats.org/officeDocument/2006/relationships/customXml" Target="../customXml/item4.xml"/><Relationship Id="rId180" Type="http://schemas.openxmlformats.org/officeDocument/2006/relationships/hyperlink" Target="https://www.healthdirect.gov.au/assistance-dogs" TargetMode="External"/><Relationship Id="rId215" Type="http://schemas.openxmlformats.org/officeDocument/2006/relationships/hyperlink" Target="http://www.carergateway.gov.au/" TargetMode="External"/><Relationship Id="rId236" Type="http://schemas.openxmlformats.org/officeDocument/2006/relationships/footer" Target="footer9.xml"/><Relationship Id="rId257" Type="http://schemas.openxmlformats.org/officeDocument/2006/relationships/hyperlink" Target="https://www.health.gov.au/resources/publications/notice-of-decision-approval-letter-attachment-1-next-steps-after-receiving-your-assessment-outcome" TargetMode="External"/><Relationship Id="rId278" Type="http://schemas.openxmlformats.org/officeDocument/2006/relationships/hyperlink" Target="https://www.agedcarequality.gov.au/making-complaint/lodge-complaint" TargetMode="External"/><Relationship Id="rId401" Type="http://schemas.openxmlformats.org/officeDocument/2006/relationships/hyperlink" Target="https://www.researchgate.net/publication/304216825_Technical_Manual_and_Instructions_Revised_Incontinence_and_Patient_Satisfaction_Tools_Version_2" TargetMode="External"/><Relationship Id="rId422" Type="http://schemas.openxmlformats.org/officeDocument/2006/relationships/footer" Target="footer23.xml"/><Relationship Id="rId303" Type="http://schemas.openxmlformats.org/officeDocument/2006/relationships/hyperlink" Target="https://www.health.gov.au/resources/publications/hardship-assistance-for-aged-care-fact-sheet?language=en" TargetMode="External"/><Relationship Id="rId42" Type="http://schemas.openxmlformats.org/officeDocument/2006/relationships/image" Target="media/image4.png"/><Relationship Id="rId84" Type="http://schemas.openxmlformats.org/officeDocument/2006/relationships/hyperlink" Target="https://www.myagedcare.gov.au/health-professionals" TargetMode="External"/><Relationship Id="rId138" Type="http://schemas.openxmlformats.org/officeDocument/2006/relationships/hyperlink" Target="https://www.myagedcare.gov.au/getting-support" TargetMode="External"/><Relationship Id="rId345" Type="http://schemas.openxmlformats.org/officeDocument/2006/relationships/hyperlink" Target="https://www.w3.org/TR/wcag/" TargetMode="External"/><Relationship Id="rId387" Type="http://schemas.openxmlformats.org/officeDocument/2006/relationships/hyperlink" Target="mailto:agedcarereviews@health.gov.au" TargetMode="External"/><Relationship Id="rId191" Type="http://schemas.openxmlformats.org/officeDocument/2006/relationships/hyperlink" Target="https://www.health.gov.au/resources/publications/natsifac-program-manual?language=en" TargetMode="External"/><Relationship Id="rId205" Type="http://schemas.openxmlformats.org/officeDocument/2006/relationships/hyperlink" Target="https://www.health.gov.au/resources/publications/specialist-dementia-care-program-sdcp-information-booklet?language=en" TargetMode="External"/><Relationship Id="rId247" Type="http://schemas.openxmlformats.org/officeDocument/2006/relationships/hyperlink" Target="https://www.health.gov.au/resources/publications/assistive-technology-and-home-modifications-list-at-hm-list?language=en" TargetMode="External"/><Relationship Id="rId412" Type="http://schemas.openxmlformats.org/officeDocument/2006/relationships/header" Target="header19.xml"/><Relationship Id="rId107" Type="http://schemas.openxmlformats.org/officeDocument/2006/relationships/hyperlink" Target="mailto:MyAgedCareAssessment@health.gov.au" TargetMode="External"/><Relationship Id="rId289" Type="http://schemas.openxmlformats.org/officeDocument/2006/relationships/hyperlink" Target="https://www.health.gov.au/our-work/single-assessment-system/needs/aboriginal-and-torres-strait-islander-aged-care-assessment-organisations" TargetMode="External"/><Relationship Id="rId11" Type="http://schemas.openxmlformats.org/officeDocument/2006/relationships/image" Target="media/image1.png"/><Relationship Id="rId53" Type="http://schemas.openxmlformats.org/officeDocument/2006/relationships/hyperlink" Target="https://www.health.gov.au/our-work/single-assessment-system" TargetMode="External"/><Relationship Id="rId149" Type="http://schemas.openxmlformats.org/officeDocument/2006/relationships/hyperlink" Target="https://www.myagedcare.gov.au/publications/registration-supporter-form" TargetMode="External"/><Relationship Id="rId314" Type="http://schemas.openxmlformats.org/officeDocument/2006/relationships/hyperlink" Target="https://www.health.gov.au/topics/dementia/related-work" TargetMode="External"/><Relationship Id="rId356" Type="http://schemas.openxmlformats.org/officeDocument/2006/relationships/hyperlink" Target="https://www.health.gov.au/our-work/support-at-home/charging-for-support-at-home-services/support-at-home-participant-contributions" TargetMode="External"/><Relationship Id="rId398" Type="http://schemas.openxmlformats.org/officeDocument/2006/relationships/hyperlink" Target="https://www.health.gov.au/resources/publications/aged-care-assessment-quality-framework?language=en" TargetMode="External"/><Relationship Id="rId95" Type="http://schemas.openxmlformats.org/officeDocument/2006/relationships/hyperlink" Target="https://www.health.gov.au/resources/publications/conflicts-of-interest-policy?language=en" TargetMode="External"/><Relationship Id="rId160" Type="http://schemas.openxmlformats.org/officeDocument/2006/relationships/image" Target="media/image13.png"/><Relationship Id="rId216" Type="http://schemas.openxmlformats.org/officeDocument/2006/relationships/hyperlink" Target="http://www.youngcarersnetwork.com.au/young-carer-bursary" TargetMode="External"/><Relationship Id="rId423" Type="http://schemas.openxmlformats.org/officeDocument/2006/relationships/header" Target="header22.xml"/><Relationship Id="rId258" Type="http://schemas.openxmlformats.org/officeDocument/2006/relationships/hyperlink" Target="https://www.health.gov.au/resources/publications/notice-of-decision-approval-letter-attachment-2-home-support-services-for-aboriginal-and-torres-strait-islander-older-people" TargetMode="External"/><Relationship Id="rId22" Type="http://schemas.openxmlformats.org/officeDocument/2006/relationships/hyperlink" Target="https://www.health.gov.au/" TargetMode="External"/><Relationship Id="rId64" Type="http://schemas.openxmlformats.org/officeDocument/2006/relationships/hyperlink" Target="https://www.health.gov.au/resources/publications/aged-care-assessment-quality-framework?language=en" TargetMode="External"/><Relationship Id="rId118" Type="http://schemas.openxmlformats.org/officeDocument/2006/relationships/header" Target="header4.xml"/><Relationship Id="rId325" Type="http://schemas.openxmlformats.org/officeDocument/2006/relationships/header" Target="header10.xml"/><Relationship Id="rId367" Type="http://schemas.openxmlformats.org/officeDocument/2006/relationships/hyperlink" Target="https://www.health.gov.au/our-work/residential-aged-care/charging/means-assessment" TargetMode="External"/><Relationship Id="rId171" Type="http://schemas.openxmlformats.org/officeDocument/2006/relationships/hyperlink" Target="https://www.health.gov.au/resources/collections/schedules-of-subsidies-and-supplements-for-aged-care?language=en" TargetMode="External"/><Relationship Id="rId227" Type="http://schemas.openxmlformats.org/officeDocument/2006/relationships/hyperlink" Target="mailto:%20agedcare@naccho.org.au" TargetMode="External"/><Relationship Id="rId269" Type="http://schemas.openxmlformats.org/officeDocument/2006/relationships/hyperlink" Target="https://www.myagedcare.gov.au/request-internal-review-decision-form" TargetMode="External"/><Relationship Id="rId33" Type="http://schemas.openxmlformats.org/officeDocument/2006/relationships/hyperlink" Target="https://www.health.gov.au/resources/publications/my-aged-care-workforce-learning-strategy?language=en" TargetMode="External"/><Relationship Id="rId129" Type="http://schemas.openxmlformats.org/officeDocument/2006/relationships/hyperlink" Target="https://www.myagedcare.gov.au/registering-supporter" TargetMode="External"/><Relationship Id="rId280" Type="http://schemas.openxmlformats.org/officeDocument/2006/relationships/hyperlink" Target="https://www.health.gov.au/resources/collections/registered-supporter-resources" TargetMode="External"/><Relationship Id="rId336" Type="http://schemas.openxmlformats.org/officeDocument/2006/relationships/hyperlink" Target="https://www.naa.gov.au/sites/default/files/2019-12/agency-ra-2011-00396196.pdf" TargetMode="External"/><Relationship Id="rId75" Type="http://schemas.openxmlformats.org/officeDocument/2006/relationships/hyperlink" Target="https://www.iawr.com.au/kica" TargetMode="External"/><Relationship Id="rId140" Type="http://schemas.openxmlformats.org/officeDocument/2006/relationships/hyperlink" Target="https://www.health.gov.au/our-work/elder-care-support" TargetMode="External"/><Relationship Id="rId182" Type="http://schemas.openxmlformats.org/officeDocument/2006/relationships/hyperlink" Target="https://www.health.gov.au/resources/publications/chsp-service-catalogue-2025-27" TargetMode="External"/><Relationship Id="rId378" Type="http://schemas.openxmlformats.org/officeDocument/2006/relationships/header" Target="header13.xml"/><Relationship Id="rId403" Type="http://schemas.openxmlformats.org/officeDocument/2006/relationships/hyperlink" Target="https://gpcog.com.au/" TargetMode="External"/><Relationship Id="rId6" Type="http://schemas.openxmlformats.org/officeDocument/2006/relationships/styles" Target="styles.xml"/><Relationship Id="rId238" Type="http://schemas.openxmlformats.org/officeDocument/2006/relationships/image" Target="media/image17.png"/><Relationship Id="rId291" Type="http://schemas.openxmlformats.org/officeDocument/2006/relationships/hyperlink" Target="https://cdpc.sydney.edu.au/research/clinical-guidelines-for-dementia/" TargetMode="External"/><Relationship Id="rId305" Type="http://schemas.openxmlformats.org/officeDocument/2006/relationships/hyperlink" Target="https://www.dva.gov.au/" TargetMode="External"/><Relationship Id="rId347" Type="http://schemas.openxmlformats.org/officeDocument/2006/relationships/hyperlink" Target="https://www.myagedcare.gov.au/resources" TargetMode="External"/><Relationship Id="rId44" Type="http://schemas.openxmlformats.org/officeDocument/2006/relationships/image" Target="media/image5.png"/><Relationship Id="rId86" Type="http://schemas.openxmlformats.org/officeDocument/2006/relationships/hyperlink" Target="https://www.servicesaustralia.gov.au/aged-care-specialist-officer-my-aged-care-face-to-face-services?context=55715" TargetMode="External"/><Relationship Id="rId151" Type="http://schemas.openxmlformats.org/officeDocument/2006/relationships/hyperlink" Target="http://www.myagedcare.gov.au/registering-supporter" TargetMode="External"/><Relationship Id="rId389" Type="http://schemas.openxmlformats.org/officeDocument/2006/relationships/hyperlink" Target="mailto:myagedcaresupport@health.gov.au" TargetMode="External"/><Relationship Id="rId193" Type="http://schemas.openxmlformats.org/officeDocument/2006/relationships/hyperlink" Target="https://www.health.gov.au/our-work/the-multi-purpose-service-program/about-the-multi-purpose-service-program" TargetMode="External"/><Relationship Id="rId207" Type="http://schemas.openxmlformats.org/officeDocument/2006/relationships/hyperlink" Target="https://www.dva.gov.au/what-we-help-with/care-at-home-and-aged-care-services" TargetMode="External"/><Relationship Id="rId249" Type="http://schemas.openxmlformats.org/officeDocument/2006/relationships/hyperlink" Target="https://www.myagedcare.gov.au/access-your-online-account" TargetMode="External"/><Relationship Id="rId414" Type="http://schemas.openxmlformats.org/officeDocument/2006/relationships/image" Target="media/image24.png"/><Relationship Id="rId13" Type="http://schemas.openxmlformats.org/officeDocument/2006/relationships/header" Target="header1.xml"/><Relationship Id="rId109" Type="http://schemas.openxmlformats.org/officeDocument/2006/relationships/hyperlink" Target="mailto:MyAgedCare.Assessment@health.gov.au" TargetMode="External"/><Relationship Id="rId260" Type="http://schemas.openxmlformats.org/officeDocument/2006/relationships/hyperlink" Target="https://www.legislation.gov.au/C2004A00553/latest/text" TargetMode="External"/><Relationship Id="rId316" Type="http://schemas.openxmlformats.org/officeDocument/2006/relationships/hyperlink" Target="https://www.dementia.org.au/living-dementia/family-friends-and-carers" TargetMode="External"/><Relationship Id="rId55" Type="http://schemas.openxmlformats.org/officeDocument/2006/relationships/hyperlink" Target="https://www.health.gov.au/our-work/single-assessment-system/needs/aboriginal-and-torres-strait-islander-aged-care-assessment-organisations" TargetMode="External"/><Relationship Id="rId97" Type="http://schemas.openxmlformats.org/officeDocument/2006/relationships/hyperlink" Target="https://www.health.gov.au/our-work/aged-care-act/about/registered-supporters" TargetMode="External"/><Relationship Id="rId120" Type="http://schemas.openxmlformats.org/officeDocument/2006/relationships/footer" Target="footer5.xml"/><Relationship Id="rId358" Type="http://schemas.openxmlformats.org/officeDocument/2006/relationships/hyperlink" Target="https://www.health.gov.au/resources/publications/schedule-of-fees-and-charges-for-pre-1-july-2014-residential-and-home-care-recipients?language=en" TargetMode="External"/><Relationship Id="rId162" Type="http://schemas.openxmlformats.org/officeDocument/2006/relationships/hyperlink" Target="https://www.health.gov.au/resources/publications/commonwealth-home-support-program-chsp-2025-27-manual?language=en" TargetMode="External"/><Relationship Id="rId218" Type="http://schemas.openxmlformats.org/officeDocument/2006/relationships/hyperlink" Target="https://www.health.gov.au/resources/publications/my-aged-care-assessor-portal-user-guide-2-registering-support-people-and-adding-relationships" TargetMode="External"/><Relationship Id="rId425" Type="http://schemas.openxmlformats.org/officeDocument/2006/relationships/fontTable" Target="fontTable.xml"/><Relationship Id="rId271" Type="http://schemas.openxmlformats.org/officeDocument/2006/relationships/hyperlink" Target="mailto:reviewable.decisions@health.gov.au" TargetMode="External"/><Relationship Id="rId24" Type="http://schemas.openxmlformats.org/officeDocument/2006/relationships/hyperlink" Target="http://www.agedcarequality.gov.au/" TargetMode="External"/><Relationship Id="rId66" Type="http://schemas.openxmlformats.org/officeDocument/2006/relationships/hyperlink" Target="https://www.health.gov.au/resources/publications/integrated-assessment-tool-iat-offline-form?language=en" TargetMode="External"/><Relationship Id="rId131" Type="http://schemas.openxmlformats.org/officeDocument/2006/relationships/image" Target="media/image11.png"/><Relationship Id="rId327" Type="http://schemas.openxmlformats.org/officeDocument/2006/relationships/hyperlink" Target="https://www.health.gov.au/resources/publications/my-aged-care-workforce-learning-strategy?language=en" TargetMode="External"/><Relationship Id="rId369" Type="http://schemas.openxmlformats.org/officeDocument/2006/relationships/hyperlink" Target="https://www.myagedcare.gov.au/financial-hardship-assistance" TargetMode="External"/><Relationship Id="rId173" Type="http://schemas.openxmlformats.org/officeDocument/2006/relationships/hyperlink" Target="https://www.myagedcare.gov.au/support-at-home-fee-estimator" TargetMode="External"/><Relationship Id="rId229" Type="http://schemas.openxmlformats.org/officeDocument/2006/relationships/hyperlink" Target="https://www.myagedcare.gov.au/help-care-finder" TargetMode="External"/><Relationship Id="rId380" Type="http://schemas.openxmlformats.org/officeDocument/2006/relationships/hyperlink" Target="https://www.health.gov.au/resources/publications/aged-care-assessment-quality-framework?language=en" TargetMode="External"/><Relationship Id="rId240" Type="http://schemas.openxmlformats.org/officeDocument/2006/relationships/image" Target="media/image19.png"/><Relationship Id="rId35" Type="http://schemas.openxmlformats.org/officeDocument/2006/relationships/hyperlink" Target="https://www.health.gov.au/resources/publications/commonwealth-home-support-program-chsp-2025-27-manual-from-1-november-2025?language=en" TargetMode="External"/><Relationship Id="rId77" Type="http://schemas.openxmlformats.org/officeDocument/2006/relationships/hyperlink" Target="https://www.researchgate.net/publication/304216825_Technical_Manual_and_Instructions_Revised_Incontinence_and_Patient_Satisfaction_Tools_Version_2" TargetMode="External"/><Relationship Id="rId100" Type="http://schemas.openxmlformats.org/officeDocument/2006/relationships/hyperlink" Target="https://www.health.gov.au/resources/collections/registered-supporter-resources" TargetMode="External"/><Relationship Id="rId282" Type="http://schemas.openxmlformats.org/officeDocument/2006/relationships/hyperlink" Target="https://www.health.gov.au/topics/aboriginal-and-torres-strait-islander-health/aged-care" TargetMode="External"/><Relationship Id="rId338" Type="http://schemas.openxmlformats.org/officeDocument/2006/relationships/hyperlink" Target="https://www.legislation.gov.au/Series/C2004A02562" TargetMode="External"/><Relationship Id="rId8" Type="http://schemas.openxmlformats.org/officeDocument/2006/relationships/webSettings" Target="webSettings.xml"/><Relationship Id="rId142" Type="http://schemas.openxmlformats.org/officeDocument/2006/relationships/hyperlink" Target="https://www.health.gov.au/resources/publications/integrated-assessment-tool-iat-user-guide?language=en" TargetMode="External"/><Relationship Id="rId184" Type="http://schemas.openxmlformats.org/officeDocument/2006/relationships/hyperlink" Target="https://www.health.gov.au/our-work/elder-care-support" TargetMode="External"/><Relationship Id="rId391" Type="http://schemas.openxmlformats.org/officeDocument/2006/relationships/header" Target="header14.xml"/><Relationship Id="rId405" Type="http://schemas.openxmlformats.org/officeDocument/2006/relationships/hyperlink" Target="https://www.health.gov.au/resources/publications/my-aged-care-integrated-assessment-tool-iat-user-guide?language=en" TargetMode="External"/><Relationship Id="rId251" Type="http://schemas.openxmlformats.org/officeDocument/2006/relationships/hyperlink" Target="https://www.health.gov.au/resources/publications/transition-care-program-guidelines-november-2025" TargetMode="External"/><Relationship Id="rId46" Type="http://schemas.openxmlformats.org/officeDocument/2006/relationships/hyperlink" Target="https://www.health.gov.au/resources/publications/support-at-home-program-manual-a-guide-for-registered-providers?language=en" TargetMode="External"/><Relationship Id="rId293" Type="http://schemas.openxmlformats.org/officeDocument/2006/relationships/hyperlink" Target="https://www.dementia.org.au/" TargetMode="External"/><Relationship Id="rId307" Type="http://schemas.openxmlformats.org/officeDocument/2006/relationships/hyperlink" Target="https://www.helpinghand.org.au/wp-content/uploads/2022/07/FA-practical-tips-booklet-web-version-v2.pdf" TargetMode="External"/><Relationship Id="rId349" Type="http://schemas.openxmlformats.org/officeDocument/2006/relationships/hyperlink" Target="https://www.health.gov.au/using-our-websites/subscriptions/subscribe-to-aged-care-newsletters-and-alerts?language=und" TargetMode="External"/><Relationship Id="rId88" Type="http://schemas.openxmlformats.org/officeDocument/2006/relationships/hyperlink" Target="https://www.myagedcare.gov.au/access-your-online-account" TargetMode="External"/><Relationship Id="rId111" Type="http://schemas.openxmlformats.org/officeDocument/2006/relationships/hyperlink" Target="https://www.health.gov.au/sites/default/files/2025-10/guidance-material-for-single-assessment-system-assessors-aboriginal-and-torres-strait-islander-aged-care-assessment-organisations_0.pdf" TargetMode="External"/><Relationship Id="rId153" Type="http://schemas.openxmlformats.org/officeDocument/2006/relationships/hyperlink" Target="https://www.health.gov.au/resources/publications/integrated-assessment-tool-iat-user-guide?language=en" TargetMode="External"/><Relationship Id="rId195" Type="http://schemas.openxmlformats.org/officeDocument/2006/relationships/hyperlink" Target="https://www.health.gov.au/topics/rural-health-workforce/classifications/mmm" TargetMode="External"/><Relationship Id="rId209" Type="http://schemas.openxmlformats.org/officeDocument/2006/relationships/hyperlink" Target="https://www.dva.gov.au/providers/health-programs-and-services-our-clients/community-nursing-services-and-providers" TargetMode="External"/><Relationship Id="rId360" Type="http://schemas.openxmlformats.org/officeDocument/2006/relationships/hyperlink" Target="https://www.myagedcare.gov.au/sites/default/files/documents/factsheet-support-at-home-program-participant-contributions_0.pdf" TargetMode="External"/><Relationship Id="rId416" Type="http://schemas.openxmlformats.org/officeDocument/2006/relationships/hyperlink" Target="https://www.health.gov.au/initiatives-and-programs/wellness-and-reablement-initiative" TargetMode="External"/><Relationship Id="rId220" Type="http://schemas.openxmlformats.org/officeDocument/2006/relationships/hyperlink" Target="https://www.dementia.org.au/living-dementia/family-friends-and-carers" TargetMode="External"/><Relationship Id="rId15" Type="http://schemas.openxmlformats.org/officeDocument/2006/relationships/footer" Target="footer2.xml"/><Relationship Id="rId57" Type="http://schemas.openxmlformats.org/officeDocument/2006/relationships/image" Target="media/image8.png"/><Relationship Id="rId262" Type="http://schemas.openxmlformats.org/officeDocument/2006/relationships/hyperlink" Target="https://www.health.gov.au/resources/publications/support-at-home-program-manual-a-guide-for-registered-providers?language=en" TargetMode="External"/><Relationship Id="rId318" Type="http://schemas.openxmlformats.org/officeDocument/2006/relationships/image" Target="media/image23.png"/><Relationship Id="rId99" Type="http://schemas.openxmlformats.org/officeDocument/2006/relationships/hyperlink" Target="http://www.myagedcare.gov.au/registering-supporter/appointed-decision-makers" TargetMode="External"/><Relationship Id="rId122" Type="http://schemas.openxmlformats.org/officeDocument/2006/relationships/footer" Target="footer6.xml"/><Relationship Id="rId164" Type="http://schemas.openxmlformats.org/officeDocument/2006/relationships/hyperlink" Target="https://www.health.gov.au/resources/publications/living-well-at-home-chsp-good-practice-guide" TargetMode="External"/><Relationship Id="rId371" Type="http://schemas.openxmlformats.org/officeDocument/2006/relationships/hyperlink" Target="https://www.myagedcare.gov.au/short-term-care/transition-care" TargetMode="External"/><Relationship Id="rId427" Type="http://schemas.microsoft.com/office/2019/05/relationships/documenttasks" Target="documenttasks/documenttasks1.xml"/><Relationship Id="rId26" Type="http://schemas.openxmlformats.org/officeDocument/2006/relationships/hyperlink" Target="https://www.health.gov.au/resources/publications/aged-care-assessment-quality-framework?language=en" TargetMode="External"/><Relationship Id="rId231" Type="http://schemas.openxmlformats.org/officeDocument/2006/relationships/header" Target="header6.xml"/><Relationship Id="rId273" Type="http://schemas.openxmlformats.org/officeDocument/2006/relationships/hyperlink" Target="mailto:myagedcaresupport@health.gov.au" TargetMode="External"/><Relationship Id="rId329" Type="http://schemas.openxmlformats.org/officeDocument/2006/relationships/hyperlink" Target="https://www.health.gov.au/resources/collections/my-aged-care-assessor-portal-resources" TargetMode="External"/><Relationship Id="rId68" Type="http://schemas.openxmlformats.org/officeDocument/2006/relationships/hyperlink" Target="https://www.aboriginalageingwellresearch.com/gsgl-resources" TargetMode="External"/><Relationship Id="rId133" Type="http://schemas.openxmlformats.org/officeDocument/2006/relationships/hyperlink" Target="https://www.myagedcare.gov.au/help-care-finder" TargetMode="External"/><Relationship Id="rId175" Type="http://schemas.openxmlformats.org/officeDocument/2006/relationships/hyperlink" Target="https://www.health.gov.au/resources/collections/schedules-of-subsidies-and-supplements-for-aged-care?language=en" TargetMode="External"/><Relationship Id="rId340" Type="http://schemas.openxmlformats.org/officeDocument/2006/relationships/hyperlink" Target="https://www.oaic.gov.au/privacy/the-privacy-act/" TargetMode="External"/><Relationship Id="rId200" Type="http://schemas.openxmlformats.org/officeDocument/2006/relationships/hyperlink" Target="mailto:HACDSP@health.gov.au" TargetMode="External"/><Relationship Id="rId382" Type="http://schemas.openxmlformats.org/officeDocument/2006/relationships/hyperlink" Target="https://www.servicesaustralia.gov.au/aged-care-specialist-officer-my-aged-care-face-to-face-services?context=55715" TargetMode="External"/><Relationship Id="rId242" Type="http://schemas.openxmlformats.org/officeDocument/2006/relationships/hyperlink" Target="https://www.health.gov.au/resources/publications/at-hm-scheme-guidelines?language=en" TargetMode="External"/><Relationship Id="rId284" Type="http://schemas.openxmlformats.org/officeDocument/2006/relationships/hyperlink" Target="https://www.health.gov.au/resources/collections/aged-care-diversity-framework-action-plans" TargetMode="External"/><Relationship Id="rId37" Type="http://schemas.openxmlformats.org/officeDocument/2006/relationships/hyperlink" Target="https://www.health.gov.au/resources/publications/aboriginal-and-torres-strait-islander-aged-care-framework?language=en" TargetMode="External"/><Relationship Id="rId79" Type="http://schemas.openxmlformats.org/officeDocument/2006/relationships/hyperlink" Target="https://www.ics.org/Abstracts/Publish/134/000370.pdf" TargetMode="External"/><Relationship Id="rId102" Type="http://schemas.openxmlformats.org/officeDocument/2006/relationships/hyperlink" Target="https://www.health.gov.au/our-work/aged-care-act/about/registered-supporters-in-aged-care/transition-arrangements-for-the-new-registered-supporter-role" TargetMode="External"/><Relationship Id="rId144" Type="http://schemas.openxmlformats.org/officeDocument/2006/relationships/hyperlink" Target="https://www.health.gov.au/resources/publications/fact-sheet-for-ras-and-acat-assessors-on-care-finders?language=en" TargetMode="External"/><Relationship Id="rId90" Type="http://schemas.openxmlformats.org/officeDocument/2006/relationships/hyperlink" Target="https://www.health.gov.au/resources/publications/my-aged-care-application-for-care-form?language=en" TargetMode="External"/><Relationship Id="rId186" Type="http://schemas.openxmlformats.org/officeDocument/2006/relationships/hyperlink" Target="https://www.health.gov.au/resources/publications/commonwealth-home-support-program-chsp-2025-27-manual?language=en" TargetMode="External"/><Relationship Id="rId351" Type="http://schemas.openxmlformats.org/officeDocument/2006/relationships/hyperlink" Target="https://www.health.gov.au/committees-and-groups/aged-care-council-of-elders" TargetMode="External"/><Relationship Id="rId393" Type="http://schemas.openxmlformats.org/officeDocument/2006/relationships/footer" Target="footer16.xml"/><Relationship Id="rId407" Type="http://schemas.openxmlformats.org/officeDocument/2006/relationships/hyperlink" Target="https://web.stanford.edu/~yesavage/GDS.html" TargetMode="External"/><Relationship Id="rId211" Type="http://schemas.openxmlformats.org/officeDocument/2006/relationships/hyperlink" Target="https://www.health.gov.au/our-work/disability-support-for-older-australians-dsoa-program/about-the-disability-support-for-older-australians-program" TargetMode="External"/><Relationship Id="rId253" Type="http://schemas.openxmlformats.org/officeDocument/2006/relationships/hyperlink" Target="https://www.health.gov.au/resources/publications/my-aged-care-application-for-emergency-residential-care-or-residential-respite-care-form?language=en" TargetMode="External"/><Relationship Id="rId295" Type="http://schemas.openxmlformats.org/officeDocument/2006/relationships/hyperlink" Target="https://www.health.gov.au/resources/publications/my-aged-care-assessor-portal-user-guide-2-registering-support-people-and-adding-relationships" TargetMode="External"/><Relationship Id="rId309" Type="http://schemas.openxmlformats.org/officeDocument/2006/relationships/hyperlink" Target="https://www.health.gov.au/resources/publications/actions-to-support-lgbti-elders-a-guide-for-consumers" TargetMode="External"/><Relationship Id="rId48" Type="http://schemas.openxmlformats.org/officeDocument/2006/relationships/hyperlink" Target="https://www.health.gov.au/resources/publications/leaving-the-multi-purpose-service-program-mpsp-consumer-fact-sheet?language=en" TargetMode="External"/><Relationship Id="rId113" Type="http://schemas.openxmlformats.org/officeDocument/2006/relationships/image" Target="media/image10.png"/><Relationship Id="rId320" Type="http://schemas.openxmlformats.org/officeDocument/2006/relationships/hyperlink" Target="https://www.health.gov.au/resources/publications/the-national-palliative-care-strategy-2018" TargetMode="External"/><Relationship Id="rId155" Type="http://schemas.openxmlformats.org/officeDocument/2006/relationships/hyperlink" Target="https://www.health.gov.au/resources/publications/my-aged-care-integrated-assessment-tool-iat-user-guide?language=en" TargetMode="External"/><Relationship Id="rId197" Type="http://schemas.openxmlformats.org/officeDocument/2006/relationships/hyperlink" Target="https://www.health.gov.au/our-work/residential-aged-care/managing-residential-aged-care-services/managing-residential-respite-care-allowances" TargetMode="External"/><Relationship Id="rId362" Type="http://schemas.openxmlformats.org/officeDocument/2006/relationships/hyperlink" Target="https://www.servicesaustralia.gov.au/providing-residential-care?context=20" TargetMode="External"/><Relationship Id="rId418" Type="http://schemas.openxmlformats.org/officeDocument/2006/relationships/hyperlink" Target="https://www.health.gov.au/resources/publications/living-well-at-home-chsp-good-practice-guide" TargetMode="External"/><Relationship Id="rId222" Type="http://schemas.openxmlformats.org/officeDocument/2006/relationships/hyperlink" Target="https://www.health.gov.au/our-work/aged-care-volunteer-visitors-scheme-acvvs" TargetMode="External"/><Relationship Id="rId264" Type="http://schemas.openxmlformats.org/officeDocument/2006/relationships/hyperlink" Target="https://www.myagedcare.gov.au/find-a-provider/" TargetMode="External"/><Relationship Id="rId17" Type="http://schemas.openxmlformats.org/officeDocument/2006/relationships/footer" Target="footer3.xml"/><Relationship Id="rId59" Type="http://schemas.openxmlformats.org/officeDocument/2006/relationships/hyperlink" Target="mailto:myagedcare.capability@health.gov.au" TargetMode="External"/><Relationship Id="rId124" Type="http://schemas.openxmlformats.org/officeDocument/2006/relationships/hyperlink" Target="https://www.health.gov.au/using-our-websites/website-privacy-policy/privacy-notice-for-single-assessme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F2025L01173/latest/text" TargetMode="External"/></Relationships>
</file>

<file path=word/documenttasks/documenttasks1.xml><?xml version="1.0" encoding="utf-8"?>
<t:Tasks xmlns:t="http://schemas.microsoft.com/office/tasks/2019/documenttasks" xmlns:oel="http://schemas.microsoft.com/office/2019/extlst">
  <t:Task id="{5B30AF87-12DD-4FC1-93DF-DD8ECD022628}">
    <t:Anchor>
      <t:Comment id="183444796"/>
    </t:Anchor>
    <t:History>
      <t:Event id="{3FFBA283-3ECA-4125-8BCB-0DD36AFDB437}" time="2025-08-25T07:07:50.974Z">
        <t:Attribution userId="S::Cristina.DEJONGH@Health.gov.au::a9d59746-864d-47ac-83d3-aa0b8abec74c" userProvider="AD" userName="DE JONGH, Cristina"/>
        <t:Anchor>
          <t:Comment id="764697307"/>
        </t:Anchor>
        <t:Create/>
      </t:Event>
      <t:Event id="{B3C98E07-5140-4495-B57D-4BC07CBDC8CA}" time="2025-08-25T07:07:50.974Z">
        <t:Attribution userId="S::Cristina.DEJONGH@Health.gov.au::a9d59746-864d-47ac-83d3-aa0b8abec74c" userProvider="AD" userName="DE JONGH, Cristina"/>
        <t:Anchor>
          <t:Comment id="764697307"/>
        </t:Anchor>
        <t:Assign userId="S::Becc.BLUNDELL@Health.gov.au::a580d90a-4528-43c2-a3cc-8cbf155cfccd" userProvider="AD" userName="BLUNDELL, Becc"/>
      </t:Event>
      <t:Event id="{733B36A6-B19A-492A-866A-08C6C4240424}" time="2025-08-25T07:07:50.974Z">
        <t:Attribution userId="S::Cristina.DEJONGH@Health.gov.au::a9d59746-864d-47ac-83d3-aa0b8abec74c" userProvider="AD" userName="DE JONGH, Cristina"/>
        <t:Anchor>
          <t:Comment id="764697307"/>
        </t:Anchor>
        <t:SetTitle title="@BLUNDELL, Becc "/>
      </t:Event>
    </t:History>
  </t:Task>
  <t:Task id="{18BC419F-8F0A-42A0-BB30-17011408223A}">
    <t:Anchor>
      <t:Comment id="804987122"/>
    </t:Anchor>
    <t:History>
      <t:Event id="{C8817807-4832-4073-AAC2-9DDA147C04D4}" time="2025-08-25T07:20:15.445Z">
        <t:Attribution userId="S::Cristina.DEJONGH@Health.gov.au::a9d59746-864d-47ac-83d3-aa0b8abec74c" userProvider="AD" userName="DE JONGH, Cristina"/>
        <t:Anchor>
          <t:Comment id="1227879590"/>
        </t:Anchor>
        <t:Create/>
      </t:Event>
      <t:Event id="{B6667CC1-B7AF-46AE-8B10-92EA93E2550A}" time="2025-08-25T07:20:15.445Z">
        <t:Attribution userId="S::Cristina.DEJONGH@Health.gov.au::a9d59746-864d-47ac-83d3-aa0b8abec74c" userProvider="AD" userName="DE JONGH, Cristina"/>
        <t:Anchor>
          <t:Comment id="1227879590"/>
        </t:Anchor>
        <t:Assign userId="S::Jodie.SCHRODER@Health.gov.au::f558279d-d18b-4506-9dfb-3244f505f2ff" userProvider="AD" userName="SCHRODER, Jodie"/>
      </t:Event>
      <t:Event id="{0986EE13-D1C2-4A41-A27A-5FC6BA7F4A59}" time="2025-08-25T07:20:15.445Z">
        <t:Attribution userId="S::Cristina.DEJONGH@Health.gov.au::a9d59746-864d-47ac-83d3-aa0b8abec74c" userProvider="AD" userName="DE JONGH, Cristina"/>
        <t:Anchor>
          <t:Comment id="1227879590"/>
        </t:Anchor>
        <t:SetTitle title="@SCHRODER, Jodie "/>
      </t:Event>
      <t:Event id="{4B217B71-C2E5-4020-86E0-9F23DA792510}" time="2025-09-11T03:02:09.475Z">
        <t:Attribution userId="S::Cristina.DEJONGH@Health.gov.au::a9d59746-864d-47ac-83d3-aa0b8abec74c" userProvider="AD" userName="DE JONGH, Cristina"/>
        <t:Progress percentComplete="100"/>
      </t:Event>
    </t:History>
  </t:Task>
  <t:Task id="{B2D83308-DA09-4068-9930-29C3D8969BE1}">
    <t:Anchor>
      <t:Comment id="704733424"/>
    </t:Anchor>
    <t:History>
      <t:Event id="{D4280C1C-C176-459D-A819-BBBAC0766E9F}" time="2025-10-15T23:27:08.425Z">
        <t:Attribution userId="S::Cristina.DEJONGH@Health.gov.au::a9d59746-864d-47ac-83d3-aa0b8abec74c" userProvider="AD" userName="DE JONGH, Cristina"/>
        <t:Anchor>
          <t:Comment id="704733424"/>
        </t:Anchor>
        <t:Create/>
      </t:Event>
      <t:Event id="{C0AFCB3E-FDBD-4569-84F9-A33BA36B34EE}" time="2025-10-15T23:27:08.425Z">
        <t:Attribution userId="S::Cristina.DEJONGH@Health.gov.au::a9d59746-864d-47ac-83d3-aa0b8abec74c" userProvider="AD" userName="DE JONGH, Cristina"/>
        <t:Anchor>
          <t:Comment id="704733424"/>
        </t:Anchor>
        <t:Assign userId="S::Caitlin.PARKER@Health.gov.au::5d84c021-eb64-44ee-aca6-f40e68574873" userProvider="AD" userName="PARKER, Caitlin"/>
      </t:Event>
      <t:Event id="{6B3A33E1-92F4-4203-BEBA-6A49FDF595F6}" time="2025-10-15T23:27:08.425Z">
        <t:Attribution userId="S::Cristina.DEJONGH@Health.gov.au::a9d59746-864d-47ac-83d3-aa0b8abec74c" userProvider="AD" userName="DE JONGH, Cristina"/>
        <t:Anchor>
          <t:Comment id="704733424"/>
        </t:Anchor>
        <t:SetTitle title="@PARKER, Caitlin is this numbering supposed to start at 7?"/>
      </t:Event>
      <t:Event id="{2FFB239A-4180-49BF-B2FB-6FF2840AB99F}" time="2025-10-15T23:30:04.353Z">
        <t:Attribution userId="S::Caitlin.PARKER@Health.gov.au::5d84c021-eb64-44ee-aca6-f40e68574873" userProvider="AD" userName="PARKER, Caitlin"/>
        <t:Progress percentComplete="100"/>
      </t:Event>
    </t:History>
  </t:Task>
  <t:Task id="{0EF79B9E-FAD4-4E11-8B1D-F31A4F34AB4B}">
    <t:Anchor>
      <t:Comment id="188985214"/>
    </t:Anchor>
    <t:History>
      <t:Event id="{7BBAA28C-8E8D-4173-B1A7-E8D28DCB591E}" time="2025-12-22T01:02:20.832Z">
        <t:Attribution userId="S::bridget.bell@health.gov.au::70d5ab1c-b6ac-415b-83fe-9c266ebd954c" userProvider="AD" userName="BELL, Bridget"/>
        <t:Anchor>
          <t:Comment id="188985214"/>
        </t:Anchor>
        <t:Create/>
      </t:Event>
      <t:Event id="{0CA913DF-2B81-4C38-9D20-ADE9B3868ADA}" time="2025-12-22T01:02:20.832Z">
        <t:Attribution userId="S::bridget.bell@health.gov.au::70d5ab1c-b6ac-415b-83fe-9c266ebd954c" userProvider="AD" userName="BELL, Bridget"/>
        <t:Anchor>
          <t:Comment id="188985214"/>
        </t:Anchor>
        <t:Assign userId="S::Naomi.Brydon@health.gov.au::0dafb3d8-0597-41a9-8624-3224cdbc25c9" userProvider="AD" userName="BRYDON, Naomi"/>
      </t:Event>
      <t:Event id="{7E601D22-14FD-43F6-8CE3-729D0D80FB40}" time="2025-12-22T01:02:20.832Z">
        <t:Attribution userId="S::bridget.bell@health.gov.au::70d5ab1c-b6ac-415b-83fe-9c266ebd954c" userProvider="AD" userName="BELL, Bridget"/>
        <t:Anchor>
          <t:Comment id="188985214"/>
        </t:Anchor>
        <t:SetTitle title="@BRYDON, Naomi - for review"/>
      </t:Event>
    </t:History>
  </t:Task>
  <t:Task id="{BA1681F5-1005-4477-AB70-D787A2B95A6D}">
    <t:Anchor>
      <t:Comment id="981889871"/>
    </t:Anchor>
    <t:History>
      <t:Event id="{40064FBA-2422-452C-B2C3-C1C174F6DF3F}" time="2026-02-20T05:33:31.353Z">
        <t:Attribution userId="S::Jodi.SLATER@Health.gov.au::15c65fb7-2d02-4f38-9822-fa91f1e2e116" userProvider="AD" userName="SLATER, Jodi"/>
        <t:Anchor>
          <t:Comment id="981889871"/>
        </t:Anchor>
        <t:Create/>
      </t:Event>
      <t:Event id="{DB5E5994-479B-4BE7-8036-626F62D426F8}" time="2026-02-20T05:33:31.353Z">
        <t:Attribution userId="S::Jodi.SLATER@Health.gov.au::15c65fb7-2d02-4f38-9822-fa91f1e2e116" userProvider="AD" userName="SLATER, Jodi"/>
        <t:Anchor>
          <t:Comment id="981889871"/>
        </t:Anchor>
        <t:Assign userId="S::SokHeng.CHHEANG-GOH@Health.gov.au::49f7fe5c-7390-41be-84db-c556a5e92681" userProvider="AD" userName="CHHEANG-GOH, Sokheng"/>
      </t:Event>
      <t:Event id="{D6C89D8E-FA15-4846-85F8-540CB3A40EDA}" time="2026-02-20T05:33:31.353Z">
        <t:Attribution userId="S::Jodi.SLATER@Health.gov.au::15c65fb7-2d02-4f38-9822-fa91f1e2e116" userProvider="AD" userName="SLATER, Jodi"/>
        <t:Anchor>
          <t:Comment id="981889871"/>
        </t:Anchor>
        <t:SetTitle title="@CHHEANG-GOH, Sokheng @PERERA, Minu could you please have a look at this section to expand it to cover other VATs too"/>
      </t:Event>
      <t:Event id="{F4B80144-4704-43F2-A915-14C4325A9CB8}" time="2026-03-19T03:19:48.245Z">
        <t:Attribution userId="S::Jodi.SLATER@Health.gov.au::15c65fb7-2d02-4f38-9822-fa91f1e2e116" userProvider="AD" userName="SLATER, Jod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a8e7f045-b04d-4721-90df-3d20b12e3837">In draft</Status>
    <EL2Cleared xmlns="a8e7f045-b04d-4721-90df-3d20b12e3837" xsi:nil="true"/>
    <lastmodifed xmlns="a8e7f045-b04d-4721-90df-3d20b12e3837">2025-08-04T08:58:11+00:00</lastmodifed>
    <Commentsonredactionsorinclusion xmlns="a8e7f045-b04d-4721-90df-3d20b12e3837" xsi:nil="true"/>
    <ASCleared xmlns="a8e7f045-b04d-4721-90df-3d20b12e3837" xsi:nil="true"/>
    <TaxCatchAll xmlns="afdf4c61-ea28-4495-b02b-62b6a7da3a8f" xsi:nil="true"/>
    <lcf76f155ced4ddcb4097134ff3c332f xmlns="a8e7f045-b04d-4721-90df-3d20b12e3837">
      <Terms xmlns="http://schemas.microsoft.com/office/infopath/2007/PartnerControls"/>
    </lcf76f155ced4ddcb4097134ff3c332f>
    <SeekingClearance xmlns="a8e7f045-b04d-4721-90df-3d20b12e3837">EL2</SeekingClearance>
    <HighPriority xmlns="a8e7f045-b04d-4721-90df-3d20b12e3837" xsi:nil="true"/>
    <Theme xmlns="a8e7f045-b04d-4721-90df-3d20b12e3837" xsi:nil="true"/>
    <Details xmlns="a8e7f045-b04d-4721-90df-3d20b12e3837" xsi:nil="true"/>
    <ErikaBarnett xmlns="a8e7f045-b04d-4721-90df-3d20b12e3837">
      <UserInfo>
        <DisplayName/>
        <AccountId xsi:nil="true"/>
        <AccountType/>
      </UserInfo>
    </ErikaBarnett>
    <Link_x0020_to_x0020_file_x0020_name xmlns="a8e7f045-b04d-4721-90df-3d20b12e3837">
      <Url xsi:nil="true"/>
      <Description xsi:nil="true"/>
    </Link_x0020_to_x0020_file_x0020_name>
    <Scopenotes xmlns="a8e7f045-b04d-4721-90df-3d20b12e3837" xsi:nil="true"/>
    <Redactionnotes xmlns="a8e7f045-b04d-4721-90df-3d20b12e383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1124591A98BB48A5400B3B9D7C155D" ma:contentTypeVersion="33" ma:contentTypeDescription="Create a new document." ma:contentTypeScope="" ma:versionID="2fbf7cde5523b38b1b1ae8b028bbdfd9">
  <xsd:schema xmlns:xsd="http://www.w3.org/2001/XMLSchema" xmlns:xs="http://www.w3.org/2001/XMLSchema" xmlns:p="http://schemas.microsoft.com/office/2006/metadata/properties" xmlns:ns2="a8e7f045-b04d-4721-90df-3d20b12e3837" xmlns:ns3="afdf4c61-ea28-4495-b02b-62b6a7da3a8f" targetNamespace="http://schemas.microsoft.com/office/2006/metadata/properties" ma:root="true" ma:fieldsID="00276260303ea3ae6545f6c93dad647d" ns2:_="" ns3:_="">
    <xsd:import namespace="a8e7f045-b04d-4721-90df-3d20b12e3837"/>
    <xsd:import namespace="afdf4c61-ea28-4495-b02b-62b6a7da3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astmodif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SeekingClearance" minOccurs="0"/>
                <xsd:element ref="ns2:Commentsonredactionsorinclusion" minOccurs="0"/>
                <xsd:element ref="ns2:MediaServiceObjectDetectorVersions" minOccurs="0"/>
                <xsd:element ref="ns2:MediaLengthInSeconds" minOccurs="0"/>
                <xsd:element ref="ns2:MediaServiceSearchProperties" minOccurs="0"/>
                <xsd:element ref="ns2:Status"/>
                <xsd:element ref="ns2:EL2Cleared" minOccurs="0"/>
                <xsd:element ref="ns2:ASCleared" minOccurs="0"/>
                <xsd:element ref="ns2:HighPriority" minOccurs="0"/>
                <xsd:element ref="ns2:MediaServiceBillingMetadata" minOccurs="0"/>
                <xsd:element ref="ns2:Theme" minOccurs="0"/>
                <xsd:element ref="ns2:Details" minOccurs="0"/>
                <xsd:element ref="ns2:ErikaBarnett" minOccurs="0"/>
                <xsd:element ref="ns2:Link_x0020_to_x0020_file_x0020_name" minOccurs="0"/>
                <xsd:element ref="ns2:Scopenotes" minOccurs="0"/>
                <xsd:element ref="ns2:Redaction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f045-b04d-4721-90df-3d20b12e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modifed" ma:index="14" nillable="true" ma:displayName="last modified" ma:default="[today]" ma:format="DateOnly" ma:internalName="lastmodifed">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SeekingClearance" ma:index="22" nillable="true" ma:displayName="Seeking Clearance" ma:default="EL2" ma:format="Dropdown" ma:internalName="SeekingClearance">
      <xsd:simpleType>
        <xsd:restriction base="dms:Choice">
          <xsd:enumeration value="EL1"/>
          <xsd:enumeration value="EL2"/>
          <xsd:enumeration value="AS"/>
          <xsd:enumeration value="FAS"/>
        </xsd:restriction>
      </xsd:simpleType>
    </xsd:element>
    <xsd:element name="Commentsonredactionsorinclusion" ma:index="23" nillable="true" ma:displayName="Comments on redactions or inclusion" ma:format="Dropdown" ma:internalName="Commentsonredactionsorinclusion">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tus" ma:index="27" ma:displayName="Status" ma:default="In draft" ma:format="RadioButtons" ma:internalName="Status">
      <xsd:simpleType>
        <xsd:restriction base="dms:Choice">
          <xsd:enumeration value="Approved"/>
          <xsd:enumeration value="In draft"/>
          <xsd:enumeration value="Choice 3"/>
        </xsd:restriction>
      </xsd:simpleType>
    </xsd:element>
    <xsd:element name="EL2Cleared" ma:index="28" nillable="true" ma:displayName="EL2 Cleared" ma:format="RadioButtons" ma:internalName="EL2Cleared">
      <xsd:simpleType>
        <xsd:union memberTypes="dms:Text">
          <xsd:simpleType>
            <xsd:restriction base="dms:Choice">
              <xsd:enumeration value="Yes"/>
              <xsd:enumeration value="No"/>
              <xsd:enumeration value="Choice 3"/>
            </xsd:restriction>
          </xsd:simpleType>
        </xsd:union>
      </xsd:simpleType>
    </xsd:element>
    <xsd:element name="ASCleared" ma:index="29" nillable="true" ma:displayName="AS Cleared" ma:format="RadioButtons" ma:internalName="ASCleared">
      <xsd:simpleType>
        <xsd:restriction base="dms:Choice">
          <xsd:enumeration value="Yes"/>
          <xsd:enumeration value="No"/>
          <xsd:enumeration value="Choice 3"/>
        </xsd:restriction>
      </xsd:simpleType>
    </xsd:element>
    <xsd:element name="HighPriority" ma:index="30" nillable="true" ma:displayName="High Priority" ma:description="Priority Review" ma:format="Dropdown" ma:internalName="HighPriority">
      <xsd:simpleType>
        <xsd:union memberTypes="dms:Text">
          <xsd:simpleType>
            <xsd:restriction base="dms:Choice">
              <xsd:enumeration value="High Priority"/>
              <xsd:enumeration value="Medium Priority"/>
              <xsd:enumeration value="Low Priority"/>
            </xsd:restriction>
          </xsd:simpleType>
        </xsd:un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Theme" ma:index="32" nillable="true" ma:displayName="Theme" ma:format="Dropdown" ma:internalName="Theme">
      <xsd:complexType>
        <xsd:complexContent>
          <xsd:extension base="dms:MultiChoiceFillIn">
            <xsd:sequence>
              <xsd:element name="Value" maxOccurs="unbounded" minOccurs="0" nillable="true">
                <xsd:simpleType>
                  <xsd:union memberTypes="dms:Text">
                    <xsd:simpleType>
                      <xsd:restriction base="dms:Choice">
                        <xsd:enumeration value="Classification Algorithm"/>
                        <xsd:enumeration value="Priority Algo"/>
                        <xsd:enumeration value="AT/HM"/>
                        <xsd:enumeration value="Data"/>
                        <xsd:enumeration value="CHSP"/>
                      </xsd:restriction>
                    </xsd:simpleType>
                  </xsd:union>
                </xsd:simpleType>
              </xsd:element>
            </xsd:sequence>
          </xsd:extension>
        </xsd:complexContent>
      </xsd:complexType>
    </xsd:element>
    <xsd:element name="Details" ma:index="33" nillable="true" ma:displayName="Details (duplicate assessment)" ma:description="Same day response provided, 30 minutes inc team chat" ma:format="Dropdown" ma:internalName="Details">
      <xsd:simpleType>
        <xsd:restriction base="dms:Text">
          <xsd:maxLength value="255"/>
        </xsd:restriction>
      </xsd:simpleType>
    </xsd:element>
    <xsd:element name="ErikaBarnett" ma:index="34" nillable="true" ma:displayName="Erika Barnett" ma:format="Dropdown" ma:list="UserInfo" ma:SharePointGroup="0" ma:internalName="ErikaBarnet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file_x0020_name" ma:index="35" nillable="true" ma:displayName="Link to file name" ma:format="Hyperlink" ma:internalName="Link_x0020_to_x0020_file_x0020_name">
      <xsd:complexType>
        <xsd:complexContent>
          <xsd:extension base="dms:URL">
            <xsd:sequence>
              <xsd:element name="Url" type="dms:ValidUrl" minOccurs="0" nillable="true"/>
              <xsd:element name="Description" type="xsd:string" nillable="true"/>
            </xsd:sequence>
          </xsd:extension>
        </xsd:complexContent>
      </xsd:complexType>
    </xsd:element>
    <xsd:element name="Scopenotes" ma:index="36" nillable="true" ma:displayName="Scope notes" ma:description="Assessment re whether in scope" ma:format="Dropdown" ma:internalName="Scopenotes">
      <xsd:simpleType>
        <xsd:restriction base="dms:Note">
          <xsd:maxLength value="255"/>
        </xsd:restriction>
      </xsd:simpleType>
    </xsd:element>
    <xsd:element name="Redactionnotes" ma:index="37" nillable="true" ma:displayName="Redaction notes" ma:format="Dropdown" ma:internalName="Redaction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f4c61-ea28-4495-b02b-62b6a7da3a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5878d9-693f-4bbf-954f-f38481e72560}" ma:internalName="TaxCatchAll" ma:showField="CatchAllData" ma:web="afdf4c61-ea28-4495-b02b-62b6a7da3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28E24-5467-457F-A9A4-09CD6E38140D}">
  <ds:schemaRefs>
    <ds:schemaRef ds:uri="http://schemas.microsoft.com/office/2006/metadata/properties"/>
    <ds:schemaRef ds:uri="http://schemas.microsoft.com/office/infopath/2007/PartnerControls"/>
    <ds:schemaRef ds:uri="a8e7f045-b04d-4721-90df-3d20b12e3837"/>
    <ds:schemaRef ds:uri="afdf4c61-ea28-4495-b02b-62b6a7da3a8f"/>
  </ds:schemaRefs>
</ds:datastoreItem>
</file>

<file path=customXml/itemProps2.xml><?xml version="1.0" encoding="utf-8"?>
<ds:datastoreItem xmlns:ds="http://schemas.openxmlformats.org/officeDocument/2006/customXml" ds:itemID="{90E8EA28-743C-455F-9839-1E82C6F61D95}">
  <ds:schemaRefs>
    <ds:schemaRef ds:uri="http://schemas.openxmlformats.org/officeDocument/2006/bibliography"/>
  </ds:schemaRefs>
</ds:datastoreItem>
</file>

<file path=customXml/itemProps3.xml><?xml version="1.0" encoding="utf-8"?>
<ds:datastoreItem xmlns:ds="http://schemas.openxmlformats.org/officeDocument/2006/customXml" ds:itemID="{B8049148-99ED-4CE1-A51F-DC0F0DFD0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f045-b04d-4721-90df-3d20b12e3837"/>
    <ds:schemaRef ds:uri="afdf4c61-ea28-4495-b02b-62b6a7da3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3FF62-76A7-4A2E-856E-F223A1C2FE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447</Pages>
  <Words>159552</Words>
  <Characters>909453</Characters>
  <Application>Microsoft Office Word</Application>
  <DocSecurity>0</DocSecurity>
  <Lines>7578</Lines>
  <Paragraphs>2133</Paragraphs>
  <ScaleCrop>false</ScaleCrop>
  <HeadingPairs>
    <vt:vector size="2" baseType="variant">
      <vt:variant>
        <vt:lpstr>Title</vt:lpstr>
      </vt:variant>
      <vt:variant>
        <vt:i4>1</vt:i4>
      </vt:variant>
    </vt:vector>
  </HeadingPairs>
  <TitlesOfParts>
    <vt:vector size="1" baseType="lpstr">
      <vt:lpstr>Aged Care Assessment Manual</vt:lpstr>
    </vt:vector>
  </TitlesOfParts>
  <Company/>
  <LinksUpToDate>false</LinksUpToDate>
  <CharactersWithSpaces>1066872</CharactersWithSpaces>
  <SharedDoc>false</SharedDoc>
  <HLinks>
    <vt:vector size="2910" baseType="variant">
      <vt:variant>
        <vt:i4>4980818</vt:i4>
      </vt:variant>
      <vt:variant>
        <vt:i4>2115</vt:i4>
      </vt:variant>
      <vt:variant>
        <vt:i4>0</vt:i4>
      </vt:variant>
      <vt:variant>
        <vt:i4>5</vt:i4>
      </vt:variant>
      <vt:variant>
        <vt:lpwstr>https://www.health.gov.au/resources/publications/living-well-at-home-chsp-good-practice-guide</vt:lpwstr>
      </vt:variant>
      <vt:variant>
        <vt:lpwstr/>
      </vt:variant>
      <vt:variant>
        <vt:i4>131091</vt:i4>
      </vt:variant>
      <vt:variant>
        <vt:i4>2112</vt:i4>
      </vt:variant>
      <vt:variant>
        <vt:i4>0</vt:i4>
      </vt:variant>
      <vt:variant>
        <vt:i4>5</vt:i4>
      </vt:variant>
      <vt:variant>
        <vt:lpwstr>https://www.health.gov.au/resources/collections/wellness-and-reablement-resources?language=en</vt:lpwstr>
      </vt:variant>
      <vt:variant>
        <vt:lpwstr/>
      </vt:variant>
      <vt:variant>
        <vt:i4>1572940</vt:i4>
      </vt:variant>
      <vt:variant>
        <vt:i4>2109</vt:i4>
      </vt:variant>
      <vt:variant>
        <vt:i4>0</vt:i4>
      </vt:variant>
      <vt:variant>
        <vt:i4>5</vt:i4>
      </vt:variant>
      <vt:variant>
        <vt:lpwstr>https://www.health.gov.au/initiatives-and-programs/wellness-and-reablement-initiative</vt:lpwstr>
      </vt:variant>
      <vt:variant>
        <vt:lpwstr/>
      </vt:variant>
      <vt:variant>
        <vt:i4>3407932</vt:i4>
      </vt:variant>
      <vt:variant>
        <vt:i4>2106</vt:i4>
      </vt:variant>
      <vt:variant>
        <vt:i4>0</vt:i4>
      </vt:variant>
      <vt:variant>
        <vt:i4>5</vt:i4>
      </vt:variant>
      <vt:variant>
        <vt:lpwstr>https://web.stanford.edu/~yesavage/GDS.html</vt:lpwstr>
      </vt:variant>
      <vt:variant>
        <vt:lpwstr/>
      </vt:variant>
      <vt:variant>
        <vt:i4>6619199</vt:i4>
      </vt:variant>
      <vt:variant>
        <vt:i4>2103</vt:i4>
      </vt:variant>
      <vt:variant>
        <vt:i4>0</vt:i4>
      </vt:variant>
      <vt:variant>
        <vt:i4>5</vt:i4>
      </vt:variant>
      <vt:variant>
        <vt:lpwstr>https://www.health.gov.au/resources/publications/my-aged-care-integrated-assessment-tool-iat-user-guide?language=en</vt:lpwstr>
      </vt:variant>
      <vt:variant>
        <vt:lpwstr/>
      </vt:variant>
      <vt:variant>
        <vt:i4>6619199</vt:i4>
      </vt:variant>
      <vt:variant>
        <vt:i4>2100</vt:i4>
      </vt:variant>
      <vt:variant>
        <vt:i4>0</vt:i4>
      </vt:variant>
      <vt:variant>
        <vt:i4>5</vt:i4>
      </vt:variant>
      <vt:variant>
        <vt:lpwstr>https://www.health.gov.au/resources/publications/my-aged-care-integrated-assessment-tool-iat-user-guide?language=en</vt:lpwstr>
      </vt:variant>
      <vt:variant>
        <vt:lpwstr/>
      </vt:variant>
      <vt:variant>
        <vt:i4>6422566</vt:i4>
      </vt:variant>
      <vt:variant>
        <vt:i4>2097</vt:i4>
      </vt:variant>
      <vt:variant>
        <vt:i4>0</vt:i4>
      </vt:variant>
      <vt:variant>
        <vt:i4>5</vt:i4>
      </vt:variant>
      <vt:variant>
        <vt:lpwstr>https://gpcog.com.au/uploads/ckfinder/userfiles/files/Brodaty2002 The GPCOG.pdf</vt:lpwstr>
      </vt:variant>
      <vt:variant>
        <vt:lpwstr/>
      </vt:variant>
      <vt:variant>
        <vt:i4>1310796</vt:i4>
      </vt:variant>
      <vt:variant>
        <vt:i4>2094</vt:i4>
      </vt:variant>
      <vt:variant>
        <vt:i4>0</vt:i4>
      </vt:variant>
      <vt:variant>
        <vt:i4>5</vt:i4>
      </vt:variant>
      <vt:variant>
        <vt:lpwstr>https://gpcog.com.au/</vt:lpwstr>
      </vt:variant>
      <vt:variant>
        <vt:lpwstr/>
      </vt:variant>
      <vt:variant>
        <vt:i4>3276861</vt:i4>
      </vt:variant>
      <vt:variant>
        <vt:i4>2091</vt:i4>
      </vt:variant>
      <vt:variant>
        <vt:i4>0</vt:i4>
      </vt:variant>
      <vt:variant>
        <vt:i4>5</vt:i4>
      </vt:variant>
      <vt:variant>
        <vt:lpwstr>https://www.anzctr.org.au/AnzctrAttachments/372846-RFISBrochure.pdf</vt:lpwstr>
      </vt:variant>
      <vt:variant>
        <vt:lpwstr/>
      </vt:variant>
      <vt:variant>
        <vt:i4>720970</vt:i4>
      </vt:variant>
      <vt:variant>
        <vt:i4>2088</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6094941</vt:i4>
      </vt:variant>
      <vt:variant>
        <vt:i4>2085</vt:i4>
      </vt:variant>
      <vt:variant>
        <vt:i4>0</vt:i4>
      </vt:variant>
      <vt:variant>
        <vt:i4>5</vt:i4>
      </vt:variant>
      <vt:variant>
        <vt:lpwstr>https://www.healthdirect.gov.au/urinary-incontinence</vt:lpwstr>
      </vt:variant>
      <vt:variant>
        <vt:lpwstr/>
      </vt:variant>
      <vt:variant>
        <vt:i4>6619199</vt:i4>
      </vt:variant>
      <vt:variant>
        <vt:i4>2082</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2079</vt:i4>
      </vt:variant>
      <vt:variant>
        <vt:i4>0</vt:i4>
      </vt:variant>
      <vt:variant>
        <vt:i4>5</vt:i4>
      </vt:variant>
      <vt:variant>
        <vt:lpwstr>https://www.health.gov.au/resources/publications/aged-care-assessment-quality-framework?language=en</vt:lpwstr>
      </vt:variant>
      <vt:variant>
        <vt:lpwstr/>
      </vt:variant>
      <vt:variant>
        <vt:i4>1835092</vt:i4>
      </vt:variant>
      <vt:variant>
        <vt:i4>2076</vt:i4>
      </vt:variant>
      <vt:variant>
        <vt:i4>0</vt:i4>
      </vt:variant>
      <vt:variant>
        <vt:i4>5</vt:i4>
      </vt:variant>
      <vt:variant>
        <vt:lpwstr>https://www.agedcarequality.gov.au/resources/clinical-governance</vt:lpwstr>
      </vt:variant>
      <vt:variant>
        <vt:lpwstr/>
      </vt:variant>
      <vt:variant>
        <vt:i4>1572954</vt:i4>
      </vt:variant>
      <vt:variant>
        <vt:i4>2073</vt:i4>
      </vt:variant>
      <vt:variant>
        <vt:i4>0</vt:i4>
      </vt:variant>
      <vt:variant>
        <vt:i4>5</vt:i4>
      </vt:variant>
      <vt:variant>
        <vt:lpwstr>https://www.myagedcare.gov.au/making-a-complaint</vt:lpwstr>
      </vt:variant>
      <vt:variant>
        <vt:lpwstr/>
      </vt:variant>
      <vt:variant>
        <vt:i4>6619154</vt:i4>
      </vt:variant>
      <vt:variant>
        <vt:i4>2070</vt:i4>
      </vt:variant>
      <vt:variant>
        <vt:i4>0</vt:i4>
      </vt:variant>
      <vt:variant>
        <vt:i4>5</vt:i4>
      </vt:variant>
      <vt:variant>
        <vt:lpwstr>mailto:myagedcaresupport@health.gov.au</vt:lpwstr>
      </vt:variant>
      <vt:variant>
        <vt:lpwstr/>
      </vt:variant>
      <vt:variant>
        <vt:i4>720978</vt:i4>
      </vt:variant>
      <vt:variant>
        <vt:i4>2067</vt:i4>
      </vt:variant>
      <vt:variant>
        <vt:i4>0</vt:i4>
      </vt:variant>
      <vt:variant>
        <vt:i4>5</vt:i4>
      </vt:variant>
      <vt:variant>
        <vt:lpwstr>https://www.healthdirect.gov.au/myagedcareupload</vt:lpwstr>
      </vt:variant>
      <vt:variant>
        <vt:lpwstr/>
      </vt:variant>
      <vt:variant>
        <vt:i4>131175</vt:i4>
      </vt:variant>
      <vt:variant>
        <vt:i4>2064</vt:i4>
      </vt:variant>
      <vt:variant>
        <vt:i4>0</vt:i4>
      </vt:variant>
      <vt:variant>
        <vt:i4>5</vt:i4>
      </vt:variant>
      <vt:variant>
        <vt:lpwstr>mailto:agedcarereviews@health.gov.au</vt:lpwstr>
      </vt:variant>
      <vt:variant>
        <vt:lpwstr/>
      </vt:variant>
      <vt:variant>
        <vt:i4>1704003</vt:i4>
      </vt:variant>
      <vt:variant>
        <vt:i4>2061</vt:i4>
      </vt:variant>
      <vt:variant>
        <vt:i4>0</vt:i4>
      </vt:variant>
      <vt:variant>
        <vt:i4>5</vt:i4>
      </vt:variant>
      <vt:variant>
        <vt:lpwstr>https://www.health.gov.au/resources/publications/support-at-home-service-list</vt:lpwstr>
      </vt:variant>
      <vt:variant>
        <vt:lpwstr/>
      </vt:variant>
      <vt:variant>
        <vt:i4>6946848</vt:i4>
      </vt:variant>
      <vt:variant>
        <vt:i4>2058</vt:i4>
      </vt:variant>
      <vt:variant>
        <vt:i4>0</vt:i4>
      </vt:variant>
      <vt:variant>
        <vt:i4>5</vt:i4>
      </vt:variant>
      <vt:variant>
        <vt:lpwstr>https://www.health.gov.au/resources/publications/my-aged-care-workforce-learning-strategy-2023?language=en</vt:lpwstr>
      </vt:variant>
      <vt:variant>
        <vt:lpwstr/>
      </vt:variant>
      <vt:variant>
        <vt:i4>5177423</vt:i4>
      </vt:variant>
      <vt:variant>
        <vt:i4>2055</vt:i4>
      </vt:variant>
      <vt:variant>
        <vt:i4>0</vt:i4>
      </vt:variant>
      <vt:variant>
        <vt:i4>5</vt:i4>
      </vt:variant>
      <vt:variant>
        <vt:lpwstr>https://www.myagedcare.gov.au/contact-us</vt:lpwstr>
      </vt:variant>
      <vt:variant>
        <vt:lpwstr/>
      </vt:variant>
      <vt:variant>
        <vt:i4>4128866</vt:i4>
      </vt:variant>
      <vt:variant>
        <vt:i4>2052</vt:i4>
      </vt:variant>
      <vt:variant>
        <vt:i4>0</vt:i4>
      </vt:variant>
      <vt:variant>
        <vt:i4>5</vt:i4>
      </vt:variant>
      <vt:variant>
        <vt:lpwstr>https://www.myagedcare.gov.au/help-care-finder</vt:lpwstr>
      </vt:variant>
      <vt:variant>
        <vt:lpwstr/>
      </vt:variant>
      <vt:variant>
        <vt:i4>7078009</vt:i4>
      </vt:variant>
      <vt:variant>
        <vt:i4>2049</vt:i4>
      </vt:variant>
      <vt:variant>
        <vt:i4>0</vt:i4>
      </vt:variant>
      <vt:variant>
        <vt:i4>5</vt:i4>
      </vt:variant>
      <vt:variant>
        <vt:lpwstr>https://www.servicesaustralia.gov.au/aged-care-specialist-officer-my-aged-care-face-to-face-services?context=55715</vt:lpwstr>
      </vt:variant>
      <vt:variant>
        <vt:lpwstr/>
      </vt:variant>
      <vt:variant>
        <vt:i4>7143538</vt:i4>
      </vt:variant>
      <vt:variant>
        <vt:i4>2046</vt:i4>
      </vt:variant>
      <vt:variant>
        <vt:i4>0</vt:i4>
      </vt:variant>
      <vt:variant>
        <vt:i4>5</vt:i4>
      </vt:variant>
      <vt:variant>
        <vt:lpwstr>https://www.health.gov.au/resources/publications/aged-care-diversity-framework</vt:lpwstr>
      </vt:variant>
      <vt:variant>
        <vt:lpwstr/>
      </vt:variant>
      <vt:variant>
        <vt:i4>3539057</vt:i4>
      </vt:variant>
      <vt:variant>
        <vt:i4>2043</vt:i4>
      </vt:variant>
      <vt:variant>
        <vt:i4>0</vt:i4>
      </vt:variant>
      <vt:variant>
        <vt:i4>5</vt:i4>
      </vt:variant>
      <vt:variant>
        <vt:lpwstr>https://www.health.gov.au/resources/publications/aged-care-assessment-quality-framework?language=en</vt:lpwstr>
      </vt:variant>
      <vt:variant>
        <vt:lpwstr/>
      </vt:variant>
      <vt:variant>
        <vt:i4>6684793</vt:i4>
      </vt:variant>
      <vt:variant>
        <vt:i4>2040</vt:i4>
      </vt:variant>
      <vt:variant>
        <vt:i4>0</vt:i4>
      </vt:variant>
      <vt:variant>
        <vt:i4>5</vt:i4>
      </vt:variant>
      <vt:variant>
        <vt:lpwstr>https://www.myagedcare.gov.au/income-and-means-assessments</vt:lpwstr>
      </vt:variant>
      <vt:variant>
        <vt:lpwstr/>
      </vt:variant>
      <vt:variant>
        <vt:i4>5373963</vt:i4>
      </vt:variant>
      <vt:variant>
        <vt:i4>2037</vt:i4>
      </vt:variant>
      <vt:variant>
        <vt:i4>0</vt:i4>
      </vt:variant>
      <vt:variant>
        <vt:i4>5</vt:i4>
      </vt:variant>
      <vt:variant>
        <vt:lpwstr>https://www.health.gov.au/resources/publications/transition-care-program-guidelines-november-2025</vt:lpwstr>
      </vt:variant>
      <vt:variant>
        <vt:lpwstr/>
      </vt:variant>
      <vt:variant>
        <vt:i4>720980</vt:i4>
      </vt:variant>
      <vt:variant>
        <vt:i4>2034</vt:i4>
      </vt:variant>
      <vt:variant>
        <vt:i4>0</vt:i4>
      </vt:variant>
      <vt:variant>
        <vt:i4>5</vt:i4>
      </vt:variant>
      <vt:variant>
        <vt:lpwstr>https://www.myagedcare.gov.au/short-term-care/transition-care</vt:lpwstr>
      </vt:variant>
      <vt:variant>
        <vt:lpwstr/>
      </vt:variant>
      <vt:variant>
        <vt:i4>917579</vt:i4>
      </vt:variant>
      <vt:variant>
        <vt:i4>2031</vt:i4>
      </vt:variant>
      <vt:variant>
        <vt:i4>0</vt:i4>
      </vt:variant>
      <vt:variant>
        <vt:i4>5</vt:i4>
      </vt:variant>
      <vt:variant>
        <vt:lpwstr>https://www.health.gov.au/resources/publications/fees-and-charges-under-the-mpsp-consumer-fact-sheet?language=en</vt:lpwstr>
      </vt:variant>
      <vt:variant>
        <vt:lpwstr/>
      </vt:variant>
      <vt:variant>
        <vt:i4>2490488</vt:i4>
      </vt:variant>
      <vt:variant>
        <vt:i4>2028</vt:i4>
      </vt:variant>
      <vt:variant>
        <vt:i4>0</vt:i4>
      </vt:variant>
      <vt:variant>
        <vt:i4>5</vt:i4>
      </vt:variant>
      <vt:variant>
        <vt:lpwstr>https://www.myagedcare.gov.au/financial-hardship-assistance</vt:lpwstr>
      </vt:variant>
      <vt:variant>
        <vt:lpwstr>how-apply-assistance</vt:lpwstr>
      </vt:variant>
      <vt:variant>
        <vt:i4>6750249</vt:i4>
      </vt:variant>
      <vt:variant>
        <vt:i4>2025</vt:i4>
      </vt:variant>
      <vt:variant>
        <vt:i4>0</vt:i4>
      </vt:variant>
      <vt:variant>
        <vt:i4>5</vt:i4>
      </vt:variant>
      <vt:variant>
        <vt:lpwstr>https://www.health.gov.au/sites/default/files/2026-03/hardship-assistance-for-aged-care-fact-sheet.pdf</vt:lpwstr>
      </vt:variant>
      <vt:variant>
        <vt:lpwstr/>
      </vt:variant>
      <vt:variant>
        <vt:i4>8323189</vt:i4>
      </vt:variant>
      <vt:variant>
        <vt:i4>2022</vt:i4>
      </vt:variant>
      <vt:variant>
        <vt:i4>0</vt:i4>
      </vt:variant>
      <vt:variant>
        <vt:i4>5</vt:i4>
      </vt:variant>
      <vt:variant>
        <vt:lpwstr>https://www.health.gov.au/our-work/residential-aged-care/charging/means-assessment</vt:lpwstr>
      </vt:variant>
      <vt:variant>
        <vt:lpwstr/>
      </vt:variant>
      <vt:variant>
        <vt:i4>196629</vt:i4>
      </vt:variant>
      <vt:variant>
        <vt:i4>2019</vt:i4>
      </vt:variant>
      <vt:variant>
        <vt:i4>0</vt:i4>
      </vt:variant>
      <vt:variant>
        <vt:i4>5</vt:i4>
      </vt:variant>
      <vt:variant>
        <vt:lpwstr>https://www.health.gov.au/resources/publications/understanding-fees-for-aged-care-homes-1-november-2025-fee-arrangements</vt:lpwstr>
      </vt:variant>
      <vt:variant>
        <vt:lpwstr/>
      </vt:variant>
      <vt:variant>
        <vt:i4>8192061</vt:i4>
      </vt:variant>
      <vt:variant>
        <vt:i4>2016</vt:i4>
      </vt:variant>
      <vt:variant>
        <vt:i4>0</vt:i4>
      </vt:variant>
      <vt:variant>
        <vt:i4>5</vt:i4>
      </vt:variant>
      <vt:variant>
        <vt:lpwstr>https://www.health.gov.au/our-work/residential-aged-care/charging/means-tested-fees</vt:lpwstr>
      </vt:variant>
      <vt:variant>
        <vt:lpwstr/>
      </vt:variant>
      <vt:variant>
        <vt:i4>8323189</vt:i4>
      </vt:variant>
      <vt:variant>
        <vt:i4>2013</vt:i4>
      </vt:variant>
      <vt:variant>
        <vt:i4>0</vt:i4>
      </vt:variant>
      <vt:variant>
        <vt:i4>5</vt:i4>
      </vt:variant>
      <vt:variant>
        <vt:lpwstr>https://www.health.gov.au/our-work/residential-aged-care/charging/means-assessment</vt:lpwstr>
      </vt:variant>
      <vt:variant>
        <vt:lpwstr/>
      </vt:variant>
      <vt:variant>
        <vt:i4>7864421</vt:i4>
      </vt:variant>
      <vt:variant>
        <vt:i4>2010</vt:i4>
      </vt:variant>
      <vt:variant>
        <vt:i4>0</vt:i4>
      </vt:variant>
      <vt:variant>
        <vt:i4>5</vt:i4>
      </vt:variant>
      <vt:variant>
        <vt:lpwstr>https://www.health.gov.au/resources/publications/understanding-fees-for-aged-care-homes</vt:lpwstr>
      </vt:variant>
      <vt:variant>
        <vt:lpwstr/>
      </vt:variant>
      <vt:variant>
        <vt:i4>7208999</vt:i4>
      </vt:variant>
      <vt:variant>
        <vt:i4>2007</vt:i4>
      </vt:variant>
      <vt:variant>
        <vt:i4>0</vt:i4>
      </vt:variant>
      <vt:variant>
        <vt:i4>5</vt:i4>
      </vt:variant>
      <vt:variant>
        <vt:lpwstr>https://www.servicesaustralia.gov.au/providing-residential-care?context=20</vt:lpwstr>
      </vt:variant>
      <vt:variant>
        <vt:lpwstr/>
      </vt:variant>
      <vt:variant>
        <vt:i4>2228262</vt:i4>
      </vt:variant>
      <vt:variant>
        <vt:i4>2004</vt:i4>
      </vt:variant>
      <vt:variant>
        <vt:i4>0</vt:i4>
      </vt:variant>
      <vt:variant>
        <vt:i4>5</vt:i4>
      </vt:variant>
      <vt:variant>
        <vt:lpwstr>https://www.servicesaustralia.gov.au/providing-home-care?context=20</vt:lpwstr>
      </vt:variant>
      <vt:variant>
        <vt:lpwstr/>
      </vt:variant>
      <vt:variant>
        <vt:i4>3145792</vt:i4>
      </vt:variant>
      <vt:variant>
        <vt:i4>2001</vt:i4>
      </vt:variant>
      <vt:variant>
        <vt:i4>0</vt:i4>
      </vt:variant>
      <vt:variant>
        <vt:i4>5</vt:i4>
      </vt:variant>
      <vt:variant>
        <vt:lpwstr>https://www.myagedcare.gov.au/sites/default/files/documents/factsheet-support-at-home-program-participant-contributions_0.pdf</vt:lpwstr>
      </vt:variant>
      <vt:variant>
        <vt:lpwstr/>
      </vt:variant>
      <vt:variant>
        <vt:i4>7602229</vt:i4>
      </vt:variant>
      <vt:variant>
        <vt:i4>1998</vt:i4>
      </vt:variant>
      <vt:variant>
        <vt:i4>0</vt:i4>
      </vt:variant>
      <vt:variant>
        <vt:i4>5</vt:i4>
      </vt:variant>
      <vt:variant>
        <vt:lpwstr>https://www.myagedcare.gov.au/resources</vt:lpwstr>
      </vt:variant>
      <vt:variant>
        <vt:lpwstr/>
      </vt:variant>
      <vt:variant>
        <vt:i4>3932208</vt:i4>
      </vt:variant>
      <vt:variant>
        <vt:i4>1995</vt:i4>
      </vt:variant>
      <vt:variant>
        <vt:i4>0</vt:i4>
      </vt:variant>
      <vt:variant>
        <vt:i4>5</vt:i4>
      </vt:variant>
      <vt:variant>
        <vt:lpwstr>https://www.health.gov.au/resources/publications/schedule-of-fees-and-charges-for-pre-1-july-2014-residential-and-home-care-recipients?language=en</vt:lpwstr>
      </vt:variant>
      <vt:variant>
        <vt:lpwstr/>
      </vt:variant>
      <vt:variant>
        <vt:i4>2097273</vt:i4>
      </vt:variant>
      <vt:variant>
        <vt:i4>1992</vt:i4>
      </vt:variant>
      <vt:variant>
        <vt:i4>0</vt:i4>
      </vt:variant>
      <vt:variant>
        <vt:i4>5</vt:i4>
      </vt:variant>
      <vt:variant>
        <vt:lpwstr>https://www.health.gov.au/resources/publications/support-at-home-program-manual-version-3-a-guide-for-registered-providers?language=en</vt:lpwstr>
      </vt:variant>
      <vt:variant>
        <vt:lpwstr/>
      </vt:variant>
      <vt:variant>
        <vt:i4>2687019</vt:i4>
      </vt:variant>
      <vt:variant>
        <vt:i4>1989</vt:i4>
      </vt:variant>
      <vt:variant>
        <vt:i4>0</vt:i4>
      </vt:variant>
      <vt:variant>
        <vt:i4>5</vt:i4>
      </vt:variant>
      <vt:variant>
        <vt:lpwstr>https://www.health.gov.au/our-work/support-at-home/charging-for-support-at-home-services/support-at-home-participant-contributions</vt:lpwstr>
      </vt:variant>
      <vt:variant>
        <vt:lpwstr/>
      </vt:variant>
      <vt:variant>
        <vt:i4>524319</vt:i4>
      </vt:variant>
      <vt:variant>
        <vt:i4>1986</vt:i4>
      </vt:variant>
      <vt:variant>
        <vt:i4>0</vt:i4>
      </vt:variant>
      <vt:variant>
        <vt:i4>5</vt:i4>
      </vt:variant>
      <vt:variant>
        <vt:lpwstr>https://www.health.gov.au/our-work/chsp/resources</vt:lpwstr>
      </vt:variant>
      <vt:variant>
        <vt:lpwstr/>
      </vt:variant>
      <vt:variant>
        <vt:i4>2490425</vt:i4>
      </vt:variant>
      <vt:variant>
        <vt:i4>1983</vt:i4>
      </vt:variant>
      <vt:variant>
        <vt:i4>0</vt:i4>
      </vt:variant>
      <vt:variant>
        <vt:i4>5</vt:i4>
      </vt:variant>
      <vt:variant>
        <vt:lpwstr>https://www.health.gov.au/resources/publications/commonwealth-home-support-program-chsp-2025-27-manual-from-1-november-2025</vt:lpwstr>
      </vt:variant>
      <vt:variant>
        <vt:lpwstr/>
      </vt:variant>
      <vt:variant>
        <vt:i4>3407936</vt:i4>
      </vt:variant>
      <vt:variant>
        <vt:i4>1974</vt:i4>
      </vt:variant>
      <vt:variant>
        <vt:i4>0</vt:i4>
      </vt:variant>
      <vt:variant>
        <vt:i4>5</vt:i4>
      </vt:variant>
      <vt:variant>
        <vt:lpwstr>mailto:AgedCare.Assessment.Reporting@health.gov.au</vt:lpwstr>
      </vt:variant>
      <vt:variant>
        <vt:lpwstr/>
      </vt:variant>
      <vt:variant>
        <vt:i4>7340147</vt:i4>
      </vt:variant>
      <vt:variant>
        <vt:i4>1971</vt:i4>
      </vt:variant>
      <vt:variant>
        <vt:i4>0</vt:i4>
      </vt:variant>
      <vt:variant>
        <vt:i4>5</vt:i4>
      </vt:variant>
      <vt:variant>
        <vt:lpwstr>https://www.health.gov.au/topics/positive-ageing-is-ageing-well</vt:lpwstr>
      </vt:variant>
      <vt:variant>
        <vt:lpwstr/>
      </vt:variant>
      <vt:variant>
        <vt:i4>2818100</vt:i4>
      </vt:variant>
      <vt:variant>
        <vt:i4>1967</vt:i4>
      </vt:variant>
      <vt:variant>
        <vt:i4>0</vt:i4>
      </vt:variant>
      <vt:variant>
        <vt:i4>5</vt:i4>
      </vt:variant>
      <vt:variant>
        <vt:lpwstr>https://www.health.gov.au/committees-and-groups/aged-care-council-of-elders</vt:lpwstr>
      </vt:variant>
      <vt:variant>
        <vt:lpwstr/>
      </vt:variant>
      <vt:variant>
        <vt:i4>6422577</vt:i4>
      </vt:variant>
      <vt:variant>
        <vt:i4>1965</vt:i4>
      </vt:variant>
      <vt:variant>
        <vt:i4>0</vt:i4>
      </vt:variant>
      <vt:variant>
        <vt:i4>5</vt:i4>
      </vt:variant>
      <vt:variant>
        <vt:lpwstr>https://www.facebook.com/groups/AgedCareCouncilOfElders</vt:lpwstr>
      </vt:variant>
      <vt:variant>
        <vt:lpwstr/>
      </vt:variant>
      <vt:variant>
        <vt:i4>5308424</vt:i4>
      </vt:variant>
      <vt:variant>
        <vt:i4>1962</vt:i4>
      </vt:variant>
      <vt:variant>
        <vt:i4>0</vt:i4>
      </vt:variant>
      <vt:variant>
        <vt:i4>5</vt:i4>
      </vt:variant>
      <vt:variant>
        <vt:lpwstr>https://www.health.gov.au/using-our-websites/subscriptions/subscribe-to-aged-care-newsletters-and-alerts?language=und</vt:lpwstr>
      </vt:variant>
      <vt:variant>
        <vt:lpwstr/>
      </vt:variant>
      <vt:variant>
        <vt:i4>4980766</vt:i4>
      </vt:variant>
      <vt:variant>
        <vt:i4>1959</vt:i4>
      </vt:variant>
      <vt:variant>
        <vt:i4>0</vt:i4>
      </vt:variant>
      <vt:variant>
        <vt:i4>5</vt:i4>
      </vt:variant>
      <vt:variant>
        <vt:lpwstr>https://www.health.gov.au/resources/publications/exploring-aged-care?language=en</vt:lpwstr>
      </vt:variant>
      <vt:variant>
        <vt:lpwstr/>
      </vt:variant>
      <vt:variant>
        <vt:i4>7602229</vt:i4>
      </vt:variant>
      <vt:variant>
        <vt:i4>1956</vt:i4>
      </vt:variant>
      <vt:variant>
        <vt:i4>0</vt:i4>
      </vt:variant>
      <vt:variant>
        <vt:i4>5</vt:i4>
      </vt:variant>
      <vt:variant>
        <vt:lpwstr>https://www.myagedcare.gov.au/resources</vt:lpwstr>
      </vt:variant>
      <vt:variant>
        <vt:lpwstr/>
      </vt:variant>
      <vt:variant>
        <vt:i4>2883674</vt:i4>
      </vt:variant>
      <vt:variant>
        <vt:i4>1953</vt:i4>
      </vt:variant>
      <vt:variant>
        <vt:i4>0</vt:i4>
      </vt:variant>
      <vt:variant>
        <vt:i4>5</vt:i4>
      </vt:variant>
      <vt:variant>
        <vt:lpwstr>mailto:health@nationalmailing.com.au</vt:lpwstr>
      </vt:variant>
      <vt:variant>
        <vt:lpwstr/>
      </vt:variant>
      <vt:variant>
        <vt:i4>2883616</vt:i4>
      </vt:variant>
      <vt:variant>
        <vt:i4>1950</vt:i4>
      </vt:variant>
      <vt:variant>
        <vt:i4>0</vt:i4>
      </vt:variant>
      <vt:variant>
        <vt:i4>5</vt:i4>
      </vt:variant>
      <vt:variant>
        <vt:lpwstr>https://www.w3.org/TR/wcag/</vt:lpwstr>
      </vt:variant>
      <vt:variant>
        <vt:lpwstr/>
      </vt:variant>
      <vt:variant>
        <vt:i4>6684729</vt:i4>
      </vt:variant>
      <vt:variant>
        <vt:i4>1947</vt:i4>
      </vt:variant>
      <vt:variant>
        <vt:i4>0</vt:i4>
      </vt:variant>
      <vt:variant>
        <vt:i4>5</vt:i4>
      </vt:variant>
      <vt:variant>
        <vt:lpwstr>https://www.dta.gov.au/getting-help-dta</vt:lpwstr>
      </vt:variant>
      <vt:variant>
        <vt:lpwstr/>
      </vt:variant>
      <vt:variant>
        <vt:i4>2752609</vt:i4>
      </vt:variant>
      <vt:variant>
        <vt:i4>1944</vt:i4>
      </vt:variant>
      <vt:variant>
        <vt:i4>0</vt:i4>
      </vt:variant>
      <vt:variant>
        <vt:i4>5</vt:i4>
      </vt:variant>
      <vt:variant>
        <vt:lpwstr>https://www.pmc.gov.au/resources/australian-government-branding-guidelines</vt:lpwstr>
      </vt:variant>
      <vt:variant>
        <vt:lpwstr/>
      </vt:variant>
      <vt:variant>
        <vt:i4>4915283</vt:i4>
      </vt:variant>
      <vt:variant>
        <vt:i4>1941</vt:i4>
      </vt:variant>
      <vt:variant>
        <vt:i4>0</vt:i4>
      </vt:variant>
      <vt:variant>
        <vt:i4>5</vt:i4>
      </vt:variant>
      <vt:variant>
        <vt:lpwstr>http://www.w3.org/TR/WCAG</vt:lpwstr>
      </vt:variant>
      <vt:variant>
        <vt:lpwstr/>
      </vt:variant>
      <vt:variant>
        <vt:i4>7667770</vt:i4>
      </vt:variant>
      <vt:variant>
        <vt:i4>1938</vt:i4>
      </vt:variant>
      <vt:variant>
        <vt:i4>0</vt:i4>
      </vt:variant>
      <vt:variant>
        <vt:i4>5</vt:i4>
      </vt:variant>
      <vt:variant>
        <vt:lpwstr>https://www.niaa.gov.au/sites/default/files/documents/2024-05/framework-governance-indigenous-data.pdf</vt:lpwstr>
      </vt:variant>
      <vt:variant>
        <vt:lpwstr/>
      </vt:variant>
      <vt:variant>
        <vt:i4>1966168</vt:i4>
      </vt:variant>
      <vt:variant>
        <vt:i4>1935</vt:i4>
      </vt:variant>
      <vt:variant>
        <vt:i4>0</vt:i4>
      </vt:variant>
      <vt:variant>
        <vt:i4>5</vt:i4>
      </vt:variant>
      <vt:variant>
        <vt:lpwstr>https://www.oaic.gov.au/privacy/the-privacy-act/</vt:lpwstr>
      </vt:variant>
      <vt:variant>
        <vt:lpwstr/>
      </vt:variant>
      <vt:variant>
        <vt:i4>655430</vt:i4>
      </vt:variant>
      <vt:variant>
        <vt:i4>1932</vt:i4>
      </vt:variant>
      <vt:variant>
        <vt:i4>0</vt:i4>
      </vt:variant>
      <vt:variant>
        <vt:i4>5</vt:i4>
      </vt:variant>
      <vt:variant>
        <vt:lpwstr>https://www.oaic.gov.au/freedom-of-information/your-freedom-of-information-rights/what-is-freedom-of-information</vt:lpwstr>
      </vt:variant>
      <vt:variant>
        <vt:lpwstr/>
      </vt:variant>
      <vt:variant>
        <vt:i4>327708</vt:i4>
      </vt:variant>
      <vt:variant>
        <vt:i4>1929</vt:i4>
      </vt:variant>
      <vt:variant>
        <vt:i4>0</vt:i4>
      </vt:variant>
      <vt:variant>
        <vt:i4>5</vt:i4>
      </vt:variant>
      <vt:variant>
        <vt:lpwstr>https://www.legislation.gov.au/Series/C2004A02562</vt:lpwstr>
      </vt:variant>
      <vt:variant>
        <vt:lpwstr/>
      </vt:variant>
      <vt:variant>
        <vt:i4>8060989</vt:i4>
      </vt:variant>
      <vt:variant>
        <vt:i4>1926</vt:i4>
      </vt:variant>
      <vt:variant>
        <vt:i4>0</vt:i4>
      </vt:variant>
      <vt:variant>
        <vt:i4>5</vt:i4>
      </vt:variant>
      <vt:variant>
        <vt:lpwstr>https://www.oaic.gov.au/privacy/australian-privacy-principles/</vt:lpwstr>
      </vt:variant>
      <vt:variant>
        <vt:lpwstr/>
      </vt:variant>
      <vt:variant>
        <vt:i4>3932200</vt:i4>
      </vt:variant>
      <vt:variant>
        <vt:i4>1923</vt:i4>
      </vt:variant>
      <vt:variant>
        <vt:i4>0</vt:i4>
      </vt:variant>
      <vt:variant>
        <vt:i4>5</vt:i4>
      </vt:variant>
      <vt:variant>
        <vt:lpwstr>https://www.naa.gov.au/sites/default/files/2019-12/agency-ra-2011-00396196.pdf</vt:lpwstr>
      </vt:variant>
      <vt:variant>
        <vt:lpwstr/>
      </vt:variant>
      <vt:variant>
        <vt:i4>3014707</vt:i4>
      </vt:variant>
      <vt:variant>
        <vt:i4>1920</vt:i4>
      </vt:variant>
      <vt:variant>
        <vt:i4>0</vt:i4>
      </vt:variant>
      <vt:variant>
        <vt:i4>5</vt:i4>
      </vt:variant>
      <vt:variant>
        <vt:lpwstr>https://www.legislation.gov.au/C2004A03712/latest/text</vt:lpwstr>
      </vt:variant>
      <vt:variant>
        <vt:lpwstr/>
      </vt:variant>
      <vt:variant>
        <vt:i4>262172</vt:i4>
      </vt:variant>
      <vt:variant>
        <vt:i4>1917</vt:i4>
      </vt:variant>
      <vt:variant>
        <vt:i4>0</vt:i4>
      </vt:variant>
      <vt:variant>
        <vt:i4>5</vt:i4>
      </vt:variant>
      <vt:variant>
        <vt:lpwstr>https://www.legislation.gov.au/Series/C2004A00553</vt:lpwstr>
      </vt:variant>
      <vt:variant>
        <vt:lpwstr/>
      </vt:variant>
      <vt:variant>
        <vt:i4>655390</vt:i4>
      </vt:variant>
      <vt:variant>
        <vt:i4>1914</vt:i4>
      </vt:variant>
      <vt:variant>
        <vt:i4>0</vt:i4>
      </vt:variant>
      <vt:variant>
        <vt:i4>5</vt:i4>
      </vt:variant>
      <vt:variant>
        <vt:lpwstr>https://www.legislation.gov.au/Series/C2004A02796</vt:lpwstr>
      </vt:variant>
      <vt:variant>
        <vt:lpwstr/>
      </vt:variant>
      <vt:variant>
        <vt:i4>3014707</vt:i4>
      </vt:variant>
      <vt:variant>
        <vt:i4>1911</vt:i4>
      </vt:variant>
      <vt:variant>
        <vt:i4>0</vt:i4>
      </vt:variant>
      <vt:variant>
        <vt:i4>5</vt:i4>
      </vt:variant>
      <vt:variant>
        <vt:lpwstr>https://www.legislation.gov.au/C2024A00104/latest/text</vt:lpwstr>
      </vt:variant>
      <vt:variant>
        <vt:lpwstr/>
      </vt:variant>
      <vt:variant>
        <vt:i4>458771</vt:i4>
      </vt:variant>
      <vt:variant>
        <vt:i4>1908</vt:i4>
      </vt:variant>
      <vt:variant>
        <vt:i4>0</vt:i4>
      </vt:variant>
      <vt:variant>
        <vt:i4>5</vt:i4>
      </vt:variant>
      <vt:variant>
        <vt:lpwstr>https://www.asio.gov.au/asio-t4-protective-security.html</vt:lpwstr>
      </vt:variant>
      <vt:variant>
        <vt:lpwstr/>
      </vt:variant>
      <vt:variant>
        <vt:i4>6881338</vt:i4>
      </vt:variant>
      <vt:variant>
        <vt:i4>1905</vt:i4>
      </vt:variant>
      <vt:variant>
        <vt:i4>0</vt:i4>
      </vt:variant>
      <vt:variant>
        <vt:i4>5</vt:i4>
      </vt:variant>
      <vt:variant>
        <vt:lpwstr>https://www.protectivesecurity.gov.au/about</vt:lpwstr>
      </vt:variant>
      <vt:variant>
        <vt:lpwstr/>
      </vt:variant>
      <vt:variant>
        <vt:i4>6815866</vt:i4>
      </vt:variant>
      <vt:variant>
        <vt:i4>1902</vt:i4>
      </vt:variant>
      <vt:variant>
        <vt:i4>0</vt:i4>
      </vt:variant>
      <vt:variant>
        <vt:i4>5</vt:i4>
      </vt:variant>
      <vt:variant>
        <vt:lpwstr>https://www.health.gov.au/resources/collections/my-aged-care-assessor-portal-resources</vt:lpwstr>
      </vt:variant>
      <vt:variant>
        <vt:lpwstr/>
      </vt:variant>
      <vt:variant>
        <vt:i4>7077920</vt:i4>
      </vt:variant>
      <vt:variant>
        <vt:i4>1899</vt:i4>
      </vt:variant>
      <vt:variant>
        <vt:i4>0</vt:i4>
      </vt:variant>
      <vt:variant>
        <vt:i4>5</vt:i4>
      </vt:variant>
      <vt:variant>
        <vt:lpwstr>https://www.health.gov.au/resources/publications/my-aged-care-workforce-learning-strategy-2025?language=en</vt:lpwstr>
      </vt:variant>
      <vt:variant>
        <vt:lpwstr/>
      </vt:variant>
      <vt:variant>
        <vt:i4>6226005</vt:i4>
      </vt:variant>
      <vt:variant>
        <vt:i4>1896</vt:i4>
      </vt:variant>
      <vt:variant>
        <vt:i4>0</vt:i4>
      </vt:variant>
      <vt:variant>
        <vt:i4>5</vt:i4>
      </vt:variant>
      <vt:variant>
        <vt:lpwstr>https://www.health.gov.au/resources/publications/my-aged-care-workforce-learning-strategy?language=en</vt:lpwstr>
      </vt:variant>
      <vt:variant>
        <vt:lpwstr/>
      </vt:variant>
      <vt:variant>
        <vt:i4>6619245</vt:i4>
      </vt:variant>
      <vt:variant>
        <vt:i4>1884</vt:i4>
      </vt:variant>
      <vt:variant>
        <vt:i4>0</vt:i4>
      </vt:variant>
      <vt:variant>
        <vt:i4>5</vt:i4>
      </vt:variant>
      <vt:variant>
        <vt:lpwstr>https://www.health.gov.au/topics/palliative-care/palliative-care-education-and-training</vt:lpwstr>
      </vt:variant>
      <vt:variant>
        <vt:lpwstr/>
      </vt:variant>
      <vt:variant>
        <vt:i4>2621551</vt:i4>
      </vt:variant>
      <vt:variant>
        <vt:i4>1881</vt:i4>
      </vt:variant>
      <vt:variant>
        <vt:i4>0</vt:i4>
      </vt:variant>
      <vt:variant>
        <vt:i4>5</vt:i4>
      </vt:variant>
      <vt:variant>
        <vt:lpwstr>https://www.health.gov.au/resources/publications/the-national-palliative-care-strategy-2018</vt:lpwstr>
      </vt:variant>
      <vt:variant>
        <vt:lpwstr/>
      </vt:variant>
      <vt:variant>
        <vt:i4>2359330</vt:i4>
      </vt:variant>
      <vt:variant>
        <vt:i4>1878</vt:i4>
      </vt:variant>
      <vt:variant>
        <vt:i4>0</vt:i4>
      </vt:variant>
      <vt:variant>
        <vt:i4>5</vt:i4>
      </vt:variant>
      <vt:variant>
        <vt:lpwstr>https://www.health.gov.au/initiatives-and-programs/an-acc/providers/palliative-care</vt:lpwstr>
      </vt:variant>
      <vt:variant>
        <vt:lpwstr/>
      </vt:variant>
      <vt:variant>
        <vt:i4>1900628</vt:i4>
      </vt:variant>
      <vt:variant>
        <vt:i4>1872</vt:i4>
      </vt:variant>
      <vt:variant>
        <vt:i4>0</vt:i4>
      </vt:variant>
      <vt:variant>
        <vt:i4>5</vt:i4>
      </vt:variant>
      <vt:variant>
        <vt:lpwstr>https://www.dementia.com.au/</vt:lpwstr>
      </vt:variant>
      <vt:variant>
        <vt:lpwstr/>
      </vt:variant>
      <vt:variant>
        <vt:i4>5767254</vt:i4>
      </vt:variant>
      <vt:variant>
        <vt:i4>1869</vt:i4>
      </vt:variant>
      <vt:variant>
        <vt:i4>0</vt:i4>
      </vt:variant>
      <vt:variant>
        <vt:i4>5</vt:i4>
      </vt:variant>
      <vt:variant>
        <vt:lpwstr>https://www.dementia.org.au/living-dementia/family-friends-and-carers</vt:lpwstr>
      </vt:variant>
      <vt:variant>
        <vt:lpwstr/>
      </vt:variant>
      <vt:variant>
        <vt:i4>2490470</vt:i4>
      </vt:variant>
      <vt:variant>
        <vt:i4>1866</vt:i4>
      </vt:variant>
      <vt:variant>
        <vt:i4>0</vt:i4>
      </vt:variant>
      <vt:variant>
        <vt:i4>5</vt:i4>
      </vt:variant>
      <vt:variant>
        <vt:lpwstr>https://www.health.gov.au/resources/publications/my-aged-care-assessor-portal-user-guide-2-registering-support-people-and-adding-relationships</vt:lpwstr>
      </vt:variant>
      <vt:variant>
        <vt:lpwstr/>
      </vt:variant>
      <vt:variant>
        <vt:i4>6946929</vt:i4>
      </vt:variant>
      <vt:variant>
        <vt:i4>1863</vt:i4>
      </vt:variant>
      <vt:variant>
        <vt:i4>0</vt:i4>
      </vt:variant>
      <vt:variant>
        <vt:i4>5</vt:i4>
      </vt:variant>
      <vt:variant>
        <vt:lpwstr>https://www.health.gov.au/topics/dementia/related-work</vt:lpwstr>
      </vt:variant>
      <vt:variant>
        <vt:lpwstr/>
      </vt:variant>
      <vt:variant>
        <vt:i4>917596</vt:i4>
      </vt:variant>
      <vt:variant>
        <vt:i4>1860</vt:i4>
      </vt:variant>
      <vt:variant>
        <vt:i4>0</vt:i4>
      </vt:variant>
      <vt:variant>
        <vt:i4>5</vt:i4>
      </vt:variant>
      <vt:variant>
        <vt:lpwstr>https://www.carergateway.gov.au/</vt:lpwstr>
      </vt:variant>
      <vt:variant>
        <vt:lpwstr/>
      </vt:variant>
      <vt:variant>
        <vt:i4>3014707</vt:i4>
      </vt:variant>
      <vt:variant>
        <vt:i4>1857</vt:i4>
      </vt:variant>
      <vt:variant>
        <vt:i4>0</vt:i4>
      </vt:variant>
      <vt:variant>
        <vt:i4>5</vt:i4>
      </vt:variant>
      <vt:variant>
        <vt:lpwstr>https://www.legislation.gov.au/C2024A00104/latest/text</vt:lpwstr>
      </vt:variant>
      <vt:variant>
        <vt:lpwstr/>
      </vt:variant>
      <vt:variant>
        <vt:i4>5898249</vt:i4>
      </vt:variant>
      <vt:variant>
        <vt:i4>1854</vt:i4>
      </vt:variant>
      <vt:variant>
        <vt:i4>0</vt:i4>
      </vt:variant>
      <vt:variant>
        <vt:i4>5</vt:i4>
      </vt:variant>
      <vt:variant>
        <vt:lpwstr>https://www.health.gov.au/health-topics/aged-care/providing-aged-care-services/working-in-aged-care/working-with-diverse-groups-in-aged-care</vt:lpwstr>
      </vt:variant>
      <vt:variant>
        <vt:lpwstr/>
      </vt:variant>
      <vt:variant>
        <vt:i4>4915208</vt:i4>
      </vt:variant>
      <vt:variant>
        <vt:i4>1851</vt:i4>
      </vt:variant>
      <vt:variant>
        <vt:i4>0</vt:i4>
      </vt:variant>
      <vt:variant>
        <vt:i4>5</vt:i4>
      </vt:variant>
      <vt:variant>
        <vt:lpwstr>https://www.health.gov.au/resources/publications/actions-to-support-lgbti-elders-a-guide-for-aged-care-providers</vt:lpwstr>
      </vt:variant>
      <vt:variant>
        <vt:lpwstr/>
      </vt:variant>
      <vt:variant>
        <vt:i4>6815782</vt:i4>
      </vt:variant>
      <vt:variant>
        <vt:i4>1848</vt:i4>
      </vt:variant>
      <vt:variant>
        <vt:i4>0</vt:i4>
      </vt:variant>
      <vt:variant>
        <vt:i4>5</vt:i4>
      </vt:variant>
      <vt:variant>
        <vt:lpwstr>https://www.health.gov.au/resources/publications/actions-to-support-lgbti-elders-a-guide-for-consumers</vt:lpwstr>
      </vt:variant>
      <vt:variant>
        <vt:lpwstr/>
      </vt:variant>
      <vt:variant>
        <vt:i4>4849739</vt:i4>
      </vt:variant>
      <vt:variant>
        <vt:i4>1845</vt:i4>
      </vt:variant>
      <vt:variant>
        <vt:i4>0</vt:i4>
      </vt:variant>
      <vt:variant>
        <vt:i4>5</vt:i4>
      </vt:variant>
      <vt:variant>
        <vt:lpwstr>https://www.dss.gov.au/our-responsibilities/families-and-children/programs-services/forced-adoption-practices</vt:lpwstr>
      </vt:variant>
      <vt:variant>
        <vt:lpwstr/>
      </vt:variant>
      <vt:variant>
        <vt:i4>2949164</vt:i4>
      </vt:variant>
      <vt:variant>
        <vt:i4>1842</vt:i4>
      </vt:variant>
      <vt:variant>
        <vt:i4>0</vt:i4>
      </vt:variant>
      <vt:variant>
        <vt:i4>5</vt:i4>
      </vt:variant>
      <vt:variant>
        <vt:lpwstr>https://www.helpinghand.org.au/wp-content/uploads/2022/07/FA-practical-tips-booklet-web-version-v2.pdf</vt:lpwstr>
      </vt:variant>
      <vt:variant>
        <vt:lpwstr/>
      </vt:variant>
      <vt:variant>
        <vt:i4>5636172</vt:i4>
      </vt:variant>
      <vt:variant>
        <vt:i4>1839</vt:i4>
      </vt:variant>
      <vt:variant>
        <vt:i4>0</vt:i4>
      </vt:variant>
      <vt:variant>
        <vt:i4>5</vt:i4>
      </vt:variant>
      <vt:variant>
        <vt:lpwstr>https://www.health.gov.au/resources/collections/caring-for-forgotten-australians-former-child-migrants-and-stolen-generations-information-package</vt:lpwstr>
      </vt:variant>
      <vt:variant>
        <vt:lpwstr/>
      </vt:variant>
      <vt:variant>
        <vt:i4>2359349</vt:i4>
      </vt:variant>
      <vt:variant>
        <vt:i4>1830</vt:i4>
      </vt:variant>
      <vt:variant>
        <vt:i4>0</vt:i4>
      </vt:variant>
      <vt:variant>
        <vt:i4>5</vt:i4>
      </vt:variant>
      <vt:variant>
        <vt:lpwstr>https://www.dva.gov.au/</vt:lpwstr>
      </vt:variant>
      <vt:variant>
        <vt:lpwstr/>
      </vt:variant>
      <vt:variant>
        <vt:i4>2490488</vt:i4>
      </vt:variant>
      <vt:variant>
        <vt:i4>1827</vt:i4>
      </vt:variant>
      <vt:variant>
        <vt:i4>0</vt:i4>
      </vt:variant>
      <vt:variant>
        <vt:i4>5</vt:i4>
      </vt:variant>
      <vt:variant>
        <vt:lpwstr>https://www.myagedcare.gov.au/financial-hardship-assistance</vt:lpwstr>
      </vt:variant>
      <vt:variant>
        <vt:lpwstr>how-apply-assistance</vt:lpwstr>
      </vt:variant>
      <vt:variant>
        <vt:i4>5898245</vt:i4>
      </vt:variant>
      <vt:variant>
        <vt:i4>1824</vt:i4>
      </vt:variant>
      <vt:variant>
        <vt:i4>0</vt:i4>
      </vt:variant>
      <vt:variant>
        <vt:i4>5</vt:i4>
      </vt:variant>
      <vt:variant>
        <vt:lpwstr>https://www.health.gov.au/resources/publications/hardship-assistance-for-aged-care-fact-sheet?language=en</vt:lpwstr>
      </vt:variant>
      <vt:variant>
        <vt:lpwstr/>
      </vt:variant>
      <vt:variant>
        <vt:i4>1638489</vt:i4>
      </vt:variant>
      <vt:variant>
        <vt:i4>1821</vt:i4>
      </vt:variant>
      <vt:variant>
        <vt:i4>0</vt:i4>
      </vt:variant>
      <vt:variant>
        <vt:i4>5</vt:i4>
      </vt:variant>
      <vt:variant>
        <vt:lpwstr>https://www.dementia.org.au/languages</vt:lpwstr>
      </vt:variant>
      <vt:variant>
        <vt:lpwstr/>
      </vt:variant>
      <vt:variant>
        <vt:i4>2031645</vt:i4>
      </vt:variant>
      <vt:variant>
        <vt:i4>1818</vt:i4>
      </vt:variant>
      <vt:variant>
        <vt:i4>0</vt:i4>
      </vt:variant>
      <vt:variant>
        <vt:i4>5</vt:i4>
      </vt:variant>
      <vt:variant>
        <vt:lpwstr>https://forwardwithdementia.au/news/services-for-people-with-dementia-from-cald-communities/</vt:lpwstr>
      </vt:variant>
      <vt:variant>
        <vt:lpwstr/>
      </vt:variant>
      <vt:variant>
        <vt:i4>5636160</vt:i4>
      </vt:variant>
      <vt:variant>
        <vt:i4>1815</vt:i4>
      </vt:variant>
      <vt:variant>
        <vt:i4>0</vt:i4>
      </vt:variant>
      <vt:variant>
        <vt:i4>5</vt:i4>
      </vt:variant>
      <vt:variant>
        <vt:lpwstr>https://www.dementia.org.au/dementia-and-aboriginal-and-torres-strait-islander-people</vt:lpwstr>
      </vt:variant>
      <vt:variant>
        <vt:lpwstr/>
      </vt:variant>
      <vt:variant>
        <vt:i4>7667753</vt:i4>
      </vt:variant>
      <vt:variant>
        <vt:i4>1812</vt:i4>
      </vt:variant>
      <vt:variant>
        <vt:i4>0</vt:i4>
      </vt:variant>
      <vt:variant>
        <vt:i4>5</vt:i4>
      </vt:variant>
      <vt:variant>
        <vt:lpwstr>https://dream.utas.edu.au/</vt:lpwstr>
      </vt:variant>
      <vt:variant>
        <vt:lpwstr/>
      </vt:variant>
      <vt:variant>
        <vt:i4>1572890</vt:i4>
      </vt:variant>
      <vt:variant>
        <vt:i4>1809</vt:i4>
      </vt:variant>
      <vt:variant>
        <vt:i4>0</vt:i4>
      </vt:variant>
      <vt:variant>
        <vt:i4>5</vt:i4>
      </vt:variant>
      <vt:variant>
        <vt:lpwstr>https://mooc.utas.edu.au/</vt:lpwstr>
      </vt:variant>
      <vt:variant>
        <vt:lpwstr/>
      </vt:variant>
      <vt:variant>
        <vt:i4>4784130</vt:i4>
      </vt:variant>
      <vt:variant>
        <vt:i4>1806</vt:i4>
      </vt:variant>
      <vt:variant>
        <vt:i4>0</vt:i4>
      </vt:variant>
      <vt:variant>
        <vt:i4>5</vt:i4>
      </vt:variant>
      <vt:variant>
        <vt:lpwstr>https://cdpc.sydney.edu.au/research/clinical-guidelines-for-dementia/</vt:lpwstr>
      </vt:variant>
      <vt:variant>
        <vt:lpwstr/>
      </vt:variant>
      <vt:variant>
        <vt:i4>1376351</vt:i4>
      </vt:variant>
      <vt:variant>
        <vt:i4>1803</vt:i4>
      </vt:variant>
      <vt:variant>
        <vt:i4>0</vt:i4>
      </vt:variant>
      <vt:variant>
        <vt:i4>5</vt:i4>
      </vt:variant>
      <vt:variant>
        <vt:lpwstr>https://www.health.gov.au/topics/dementia/what-were-doing-about-dementia</vt:lpwstr>
      </vt:variant>
      <vt:variant>
        <vt:lpwstr/>
      </vt:variant>
      <vt:variant>
        <vt:i4>2490470</vt:i4>
      </vt:variant>
      <vt:variant>
        <vt:i4>1800</vt:i4>
      </vt:variant>
      <vt:variant>
        <vt:i4>0</vt:i4>
      </vt:variant>
      <vt:variant>
        <vt:i4>5</vt:i4>
      </vt:variant>
      <vt:variant>
        <vt:lpwstr>https://www.health.gov.au/resources/publications/my-aged-care-assessor-portal-user-guide-2-registering-support-people-and-adding-relationships</vt:lpwstr>
      </vt:variant>
      <vt:variant>
        <vt:lpwstr/>
      </vt:variant>
      <vt:variant>
        <vt:i4>1900628</vt:i4>
      </vt:variant>
      <vt:variant>
        <vt:i4>1797</vt:i4>
      </vt:variant>
      <vt:variant>
        <vt:i4>0</vt:i4>
      </vt:variant>
      <vt:variant>
        <vt:i4>5</vt:i4>
      </vt:variant>
      <vt:variant>
        <vt:lpwstr>https://www.dementia.com.au/</vt:lpwstr>
      </vt:variant>
      <vt:variant>
        <vt:lpwstr/>
      </vt:variant>
      <vt:variant>
        <vt:i4>1769545</vt:i4>
      </vt:variant>
      <vt:variant>
        <vt:i4>1794</vt:i4>
      </vt:variant>
      <vt:variant>
        <vt:i4>0</vt:i4>
      </vt:variant>
      <vt:variant>
        <vt:i4>5</vt:i4>
      </vt:variant>
      <vt:variant>
        <vt:lpwstr>https://www.dementia.org.au/</vt:lpwstr>
      </vt:variant>
      <vt:variant>
        <vt:lpwstr/>
      </vt:variant>
      <vt:variant>
        <vt:i4>8323114</vt:i4>
      </vt:variant>
      <vt:variant>
        <vt:i4>1791</vt:i4>
      </vt:variant>
      <vt:variant>
        <vt:i4>0</vt:i4>
      </vt:variant>
      <vt:variant>
        <vt:i4>5</vt:i4>
      </vt:variant>
      <vt:variant>
        <vt:lpwstr>https://dta.com.au/</vt:lpwstr>
      </vt:variant>
      <vt:variant>
        <vt:lpwstr/>
      </vt:variant>
      <vt:variant>
        <vt:i4>4784130</vt:i4>
      </vt:variant>
      <vt:variant>
        <vt:i4>1788</vt:i4>
      </vt:variant>
      <vt:variant>
        <vt:i4>0</vt:i4>
      </vt:variant>
      <vt:variant>
        <vt:i4>5</vt:i4>
      </vt:variant>
      <vt:variant>
        <vt:lpwstr>https://cdpc.sydney.edu.au/research/clinical-guidelines-for-dementia/</vt:lpwstr>
      </vt:variant>
      <vt:variant>
        <vt:lpwstr/>
      </vt:variant>
      <vt:variant>
        <vt:i4>720969</vt:i4>
      </vt:variant>
      <vt:variant>
        <vt:i4>1785</vt:i4>
      </vt:variant>
      <vt:variant>
        <vt:i4>0</vt:i4>
      </vt:variant>
      <vt:variant>
        <vt:i4>5</vt:i4>
      </vt:variant>
      <vt:variant>
        <vt:lpwstr>https://www.dementia.org.au/news/communication-and-engagement-people-living-dementia</vt:lpwstr>
      </vt:variant>
      <vt:variant>
        <vt:lpwstr/>
      </vt:variant>
      <vt:variant>
        <vt:i4>2883708</vt:i4>
      </vt:variant>
      <vt:variant>
        <vt:i4>1782</vt:i4>
      </vt:variant>
      <vt:variant>
        <vt:i4>0</vt:i4>
      </vt:variant>
      <vt:variant>
        <vt:i4>5</vt:i4>
      </vt:variant>
      <vt:variant>
        <vt:lpwstr>https://www.health.gov.au/our-work/single-assessment-system/needs/aboriginal-and-torres-strait-islander-aged-care-assessment-organisations</vt:lpwstr>
      </vt:variant>
      <vt:variant>
        <vt:lpwstr/>
      </vt:variant>
      <vt:variant>
        <vt:i4>5832788</vt:i4>
      </vt:variant>
      <vt:variant>
        <vt:i4>1779</vt:i4>
      </vt:variant>
      <vt:variant>
        <vt:i4>0</vt:i4>
      </vt:variant>
      <vt:variant>
        <vt:i4>5</vt:i4>
      </vt:variant>
      <vt:variant>
        <vt:lpwstr>https://amrc.org.au/</vt:lpwstr>
      </vt:variant>
      <vt:variant>
        <vt:lpwstr/>
      </vt:variant>
      <vt:variant>
        <vt:i4>5898249</vt:i4>
      </vt:variant>
      <vt:variant>
        <vt:i4>1776</vt:i4>
      </vt:variant>
      <vt:variant>
        <vt:i4>0</vt:i4>
      </vt:variant>
      <vt:variant>
        <vt:i4>5</vt:i4>
      </vt:variant>
      <vt:variant>
        <vt:lpwstr>https://www.health.gov.au/health-topics/aged-care/providing-aged-care-services/working-in-aged-care/working-with-diverse-groups-in-aged-care</vt:lpwstr>
      </vt:variant>
      <vt:variant>
        <vt:lpwstr/>
      </vt:variant>
      <vt:variant>
        <vt:i4>5832712</vt:i4>
      </vt:variant>
      <vt:variant>
        <vt:i4>1773</vt:i4>
      </vt:variant>
      <vt:variant>
        <vt:i4>0</vt:i4>
      </vt:variant>
      <vt:variant>
        <vt:i4>5</vt:i4>
      </vt:variant>
      <vt:variant>
        <vt:lpwstr>https://www.health.gov.au/initiatives-and-programs/partners-in-culturally-appropriate-care-picac</vt:lpwstr>
      </vt:variant>
      <vt:variant>
        <vt:lpwstr/>
      </vt:variant>
      <vt:variant>
        <vt:i4>2359343</vt:i4>
      </vt:variant>
      <vt:variant>
        <vt:i4>1770</vt:i4>
      </vt:variant>
      <vt:variant>
        <vt:i4>0</vt:i4>
      </vt:variant>
      <vt:variant>
        <vt:i4>5</vt:i4>
      </vt:variant>
      <vt:variant>
        <vt:lpwstr>https://www.health.gov.au/resources/collections/aged-care-diversity-framework-action-plans</vt:lpwstr>
      </vt:variant>
      <vt:variant>
        <vt:lpwstr/>
      </vt:variant>
      <vt:variant>
        <vt:i4>3473520</vt:i4>
      </vt:variant>
      <vt:variant>
        <vt:i4>1767</vt:i4>
      </vt:variant>
      <vt:variant>
        <vt:i4>0</vt:i4>
      </vt:variant>
      <vt:variant>
        <vt:i4>5</vt:i4>
      </vt:variant>
      <vt:variant>
        <vt:lpwstr>https://www.health.gov.au/resources/publications/delivering-inclusive-aged-care-booklet?language=en</vt:lpwstr>
      </vt:variant>
      <vt:variant>
        <vt:lpwstr/>
      </vt:variant>
      <vt:variant>
        <vt:i4>6619199</vt:i4>
      </vt:variant>
      <vt:variant>
        <vt:i4>1764</vt:i4>
      </vt:variant>
      <vt:variant>
        <vt:i4>0</vt:i4>
      </vt:variant>
      <vt:variant>
        <vt:i4>5</vt:i4>
      </vt:variant>
      <vt:variant>
        <vt:lpwstr>https://www.health.gov.au/resources/publications/my-aged-care-integrated-assessment-tool-iat-user-guide?language=en</vt:lpwstr>
      </vt:variant>
      <vt:variant>
        <vt:lpwstr/>
      </vt:variant>
      <vt:variant>
        <vt:i4>7143482</vt:i4>
      </vt:variant>
      <vt:variant>
        <vt:i4>1761</vt:i4>
      </vt:variant>
      <vt:variant>
        <vt:i4>0</vt:i4>
      </vt:variant>
      <vt:variant>
        <vt:i4>5</vt:i4>
      </vt:variant>
      <vt:variant>
        <vt:lpwstr>https://www.health.gov.au/topics/aboriginal-and-torres-strait-islander-health/aged-care</vt:lpwstr>
      </vt:variant>
      <vt:variant>
        <vt:lpwstr/>
      </vt:variant>
      <vt:variant>
        <vt:i4>7995436</vt:i4>
      </vt:variant>
      <vt:variant>
        <vt:i4>1758</vt:i4>
      </vt:variant>
      <vt:variant>
        <vt:i4>0</vt:i4>
      </vt:variant>
      <vt:variant>
        <vt:i4>5</vt:i4>
      </vt:variant>
      <vt:variant>
        <vt:lpwstr>https://www.health.gov.au/our-work/aged-care-diversity-framework-initiative</vt:lpwstr>
      </vt:variant>
      <vt:variant>
        <vt:lpwstr/>
      </vt:variant>
      <vt:variant>
        <vt:i4>7077928</vt:i4>
      </vt:variant>
      <vt:variant>
        <vt:i4>1755</vt:i4>
      </vt:variant>
      <vt:variant>
        <vt:i4>0</vt:i4>
      </vt:variant>
      <vt:variant>
        <vt:i4>5</vt:i4>
      </vt:variant>
      <vt:variant>
        <vt:lpwstr>https://www.health.gov.au/resources/collections/registered-supporter-resources</vt:lpwstr>
      </vt:variant>
      <vt:variant>
        <vt:lpwstr/>
      </vt:variant>
      <vt:variant>
        <vt:i4>1245201</vt:i4>
      </vt:variant>
      <vt:variant>
        <vt:i4>1752</vt:i4>
      </vt:variant>
      <vt:variant>
        <vt:i4>0</vt:i4>
      </vt:variant>
      <vt:variant>
        <vt:i4>5</vt:i4>
      </vt:variant>
      <vt:variant>
        <vt:lpwstr>https://www.health.gov.au/our-work/aged-care-act/about/registered-supporters</vt:lpwstr>
      </vt:variant>
      <vt:variant>
        <vt:lpwstr>make-a-complaint-or-submit-a-document</vt:lpwstr>
      </vt:variant>
      <vt:variant>
        <vt:i4>7798908</vt:i4>
      </vt:variant>
      <vt:variant>
        <vt:i4>1749</vt:i4>
      </vt:variant>
      <vt:variant>
        <vt:i4>0</vt:i4>
      </vt:variant>
      <vt:variant>
        <vt:i4>5</vt:i4>
      </vt:variant>
      <vt:variant>
        <vt:lpwstr>https://www.agedcarequality.gov.au/making-complaint/lodge-complaint</vt:lpwstr>
      </vt:variant>
      <vt:variant>
        <vt:lpwstr/>
      </vt:variant>
      <vt:variant>
        <vt:i4>7143534</vt:i4>
      </vt:variant>
      <vt:variant>
        <vt:i4>1746</vt:i4>
      </vt:variant>
      <vt:variant>
        <vt:i4>0</vt:i4>
      </vt:variant>
      <vt:variant>
        <vt:i4>5</vt:i4>
      </vt:variant>
      <vt:variant>
        <vt:lpwstr>https://www.agedcarequality.gov.au/making-complaint</vt:lpwstr>
      </vt:variant>
      <vt:variant>
        <vt:lpwstr/>
      </vt:variant>
      <vt:variant>
        <vt:i4>2031616</vt:i4>
      </vt:variant>
      <vt:variant>
        <vt:i4>1743</vt:i4>
      </vt:variant>
      <vt:variant>
        <vt:i4>0</vt:i4>
      </vt:variant>
      <vt:variant>
        <vt:i4>5</vt:i4>
      </vt:variant>
      <vt:variant>
        <vt:lpwstr>https://www.agedcarequality.gov.au/contact-us/complaints-concerns</vt:lpwstr>
      </vt:variant>
      <vt:variant>
        <vt:lpwstr/>
      </vt:variant>
      <vt:variant>
        <vt:i4>3866730</vt:i4>
      </vt:variant>
      <vt:variant>
        <vt:i4>1740</vt:i4>
      </vt:variant>
      <vt:variant>
        <vt:i4>0</vt:i4>
      </vt:variant>
      <vt:variant>
        <vt:i4>5</vt:i4>
      </vt:variant>
      <vt:variant>
        <vt:lpwstr>https://www.myagedcare.gov.au/quality-aged-care</vt:lpwstr>
      </vt:variant>
      <vt:variant>
        <vt:lpwstr/>
      </vt:variant>
      <vt:variant>
        <vt:i4>3145840</vt:i4>
      </vt:variant>
      <vt:variant>
        <vt:i4>1737</vt:i4>
      </vt:variant>
      <vt:variant>
        <vt:i4>0</vt:i4>
      </vt:variant>
      <vt:variant>
        <vt:i4>5</vt:i4>
      </vt:variant>
      <vt:variant>
        <vt:lpwstr>https://www.myagedcare.gov.au/contact-us/complaints</vt:lpwstr>
      </vt:variant>
      <vt:variant>
        <vt:lpwstr/>
      </vt:variant>
      <vt:variant>
        <vt:i4>6619154</vt:i4>
      </vt:variant>
      <vt:variant>
        <vt:i4>1734</vt:i4>
      </vt:variant>
      <vt:variant>
        <vt:i4>0</vt:i4>
      </vt:variant>
      <vt:variant>
        <vt:i4>5</vt:i4>
      </vt:variant>
      <vt:variant>
        <vt:lpwstr>mailto:myagedcaresupport@health.gov.au</vt:lpwstr>
      </vt:variant>
      <vt:variant>
        <vt:lpwstr/>
      </vt:variant>
      <vt:variant>
        <vt:i4>7995468</vt:i4>
      </vt:variant>
      <vt:variant>
        <vt:i4>1731</vt:i4>
      </vt:variant>
      <vt:variant>
        <vt:i4>0</vt:i4>
      </vt:variant>
      <vt:variant>
        <vt:i4>5</vt:i4>
      </vt:variant>
      <vt:variant>
        <vt:lpwstr>mailto:reviewable.decisions@health.gov.au</vt:lpwstr>
      </vt:variant>
      <vt:variant>
        <vt:lpwstr/>
      </vt:variant>
      <vt:variant>
        <vt:i4>7995468</vt:i4>
      </vt:variant>
      <vt:variant>
        <vt:i4>1728</vt:i4>
      </vt:variant>
      <vt:variant>
        <vt:i4>0</vt:i4>
      </vt:variant>
      <vt:variant>
        <vt:i4>5</vt:i4>
      </vt:variant>
      <vt:variant>
        <vt:lpwstr>mailto:reviewable.decisions@health.gov.au</vt:lpwstr>
      </vt:variant>
      <vt:variant>
        <vt:lpwstr/>
      </vt:variant>
      <vt:variant>
        <vt:i4>6815747</vt:i4>
      </vt:variant>
      <vt:variant>
        <vt:i4>1725</vt:i4>
      </vt:variant>
      <vt:variant>
        <vt:i4>0</vt:i4>
      </vt:variant>
      <vt:variant>
        <vt:i4>5</vt:i4>
      </vt:variant>
      <vt:variant>
        <vt:lpwstr>mailto:AssessmentRevocations@health.gov.au</vt:lpwstr>
      </vt:variant>
      <vt:variant>
        <vt:lpwstr/>
      </vt:variant>
      <vt:variant>
        <vt:i4>8192049</vt:i4>
      </vt:variant>
      <vt:variant>
        <vt:i4>1722</vt:i4>
      </vt:variant>
      <vt:variant>
        <vt:i4>0</vt:i4>
      </vt:variant>
      <vt:variant>
        <vt:i4>5</vt:i4>
      </vt:variant>
      <vt:variant>
        <vt:lpwstr>https://www.myagedcare.gov.au/request-internal-review-decision-form</vt:lpwstr>
      </vt:variant>
      <vt:variant>
        <vt:lpwstr/>
      </vt:variant>
      <vt:variant>
        <vt:i4>131175</vt:i4>
      </vt:variant>
      <vt:variant>
        <vt:i4>1719</vt:i4>
      </vt:variant>
      <vt:variant>
        <vt:i4>0</vt:i4>
      </vt:variant>
      <vt:variant>
        <vt:i4>5</vt:i4>
      </vt:variant>
      <vt:variant>
        <vt:lpwstr>mailto:agedcarereviews@health.gov.au</vt:lpwstr>
      </vt:variant>
      <vt:variant>
        <vt:lpwstr/>
      </vt:variant>
      <vt:variant>
        <vt:i4>5308422</vt:i4>
      </vt:variant>
      <vt:variant>
        <vt:i4>1716</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5832777</vt:i4>
      </vt:variant>
      <vt:variant>
        <vt:i4>1713</vt:i4>
      </vt:variant>
      <vt:variant>
        <vt:i4>0</vt:i4>
      </vt:variant>
      <vt:variant>
        <vt:i4>5</vt:i4>
      </vt:variant>
      <vt:variant>
        <vt:lpwstr>https://www.health.gov.au/resources/publications/support-at-home-program-manual-a-guide-for-registered-providers?language=en</vt:lpwstr>
      </vt:variant>
      <vt:variant>
        <vt:lpwstr/>
      </vt:variant>
      <vt:variant>
        <vt:i4>720910</vt:i4>
      </vt:variant>
      <vt:variant>
        <vt:i4>1704</vt:i4>
      </vt:variant>
      <vt:variant>
        <vt:i4>0</vt:i4>
      </vt:variant>
      <vt:variant>
        <vt:i4>5</vt:i4>
      </vt:variant>
      <vt:variant>
        <vt:lpwstr>https://healthgov.sharepoint.com/sites/AssessmentandthenewAgedCareAct/SitePages/CollabHome.aspx?e=1:d05f5e12fbde4d9a838f06e78863956f</vt:lpwstr>
      </vt:variant>
      <vt:variant>
        <vt:lpwstr/>
      </vt:variant>
      <vt:variant>
        <vt:i4>3735608</vt:i4>
      </vt:variant>
      <vt:variant>
        <vt:i4>1698</vt:i4>
      </vt:variant>
      <vt:variant>
        <vt:i4>0</vt:i4>
      </vt:variant>
      <vt:variant>
        <vt:i4>5</vt:i4>
      </vt:variant>
      <vt:variant>
        <vt:lpwstr>https://www.myagedcare.gov.au/find-a-provider/</vt:lpwstr>
      </vt:variant>
      <vt:variant>
        <vt:lpwstr/>
      </vt:variant>
      <vt:variant>
        <vt:i4>5636191</vt:i4>
      </vt:variant>
      <vt:variant>
        <vt:i4>1695</vt:i4>
      </vt:variant>
      <vt:variant>
        <vt:i4>0</vt:i4>
      </vt:variant>
      <vt:variant>
        <vt:i4>5</vt:i4>
      </vt:variant>
      <vt:variant>
        <vt:lpwstr>https://www.health.gov.au/our-work/star-ratings-for-residential-aged-care</vt:lpwstr>
      </vt:variant>
      <vt:variant>
        <vt:lpwstr/>
      </vt:variant>
      <vt:variant>
        <vt:i4>5832777</vt:i4>
      </vt:variant>
      <vt:variant>
        <vt:i4>1692</vt:i4>
      </vt:variant>
      <vt:variant>
        <vt:i4>0</vt:i4>
      </vt:variant>
      <vt:variant>
        <vt:i4>5</vt:i4>
      </vt:variant>
      <vt:variant>
        <vt:lpwstr>https://www.health.gov.au/resources/publications/support-at-home-program-manual-a-guide-for-registered-providers?language=en</vt:lpwstr>
      </vt:variant>
      <vt:variant>
        <vt:lpwstr/>
      </vt:variant>
      <vt:variant>
        <vt:i4>6160384</vt:i4>
      </vt:variant>
      <vt:variant>
        <vt:i4>1689</vt:i4>
      </vt:variant>
      <vt:variant>
        <vt:i4>0</vt:i4>
      </vt:variant>
      <vt:variant>
        <vt:i4>5</vt:i4>
      </vt:variant>
      <vt:variant>
        <vt:lpwstr>https://www.ag.gov.au/legal-system/electronic-signatures-documents-and-transactions/electronic-signatures</vt:lpwstr>
      </vt:variant>
      <vt:variant>
        <vt:lpwstr/>
      </vt:variant>
      <vt:variant>
        <vt:i4>2949172</vt:i4>
      </vt:variant>
      <vt:variant>
        <vt:i4>1686</vt:i4>
      </vt:variant>
      <vt:variant>
        <vt:i4>0</vt:i4>
      </vt:variant>
      <vt:variant>
        <vt:i4>5</vt:i4>
      </vt:variant>
      <vt:variant>
        <vt:lpwstr>https://www.legislation.gov.au/C2004A00553/latest/text</vt:lpwstr>
      </vt:variant>
      <vt:variant>
        <vt:lpwstr/>
      </vt:variant>
      <vt:variant>
        <vt:i4>327746</vt:i4>
      </vt:variant>
      <vt:variant>
        <vt:i4>1683</vt:i4>
      </vt:variant>
      <vt:variant>
        <vt:i4>0</vt:i4>
      </vt:variant>
      <vt:variant>
        <vt:i4>5</vt:i4>
      </vt:variant>
      <vt:variant>
        <vt:lpwstr>https://www.health.gov.au/resources/publications/notice-of-decision-approval-letter-attachment-2-home-support-services-for-aboriginal-and-torres-strait-islander-older-people</vt:lpwstr>
      </vt:variant>
      <vt:variant>
        <vt:lpwstr/>
      </vt:variant>
      <vt:variant>
        <vt:i4>6750267</vt:i4>
      </vt:variant>
      <vt:variant>
        <vt:i4>1680</vt:i4>
      </vt:variant>
      <vt:variant>
        <vt:i4>0</vt:i4>
      </vt:variant>
      <vt:variant>
        <vt:i4>5</vt:i4>
      </vt:variant>
      <vt:variant>
        <vt:lpwstr>https://www.health.gov.au/resources/publications/notice-of-decision-approval-letter-attachment-1-next-steps-after-receiving-your-assessment-outcome</vt:lpwstr>
      </vt:variant>
      <vt:variant>
        <vt:lpwstr/>
      </vt:variant>
      <vt:variant>
        <vt:i4>2555911</vt:i4>
      </vt:variant>
      <vt:variant>
        <vt:i4>1677</vt:i4>
      </vt:variant>
      <vt:variant>
        <vt:i4>0</vt:i4>
      </vt:variant>
      <vt:variant>
        <vt:i4>5</vt:i4>
      </vt:variant>
      <vt:variant>
        <vt:lpwstr>mailto:myagedcare.assessment@health.gov.au</vt:lpwstr>
      </vt:variant>
      <vt:variant>
        <vt:lpwstr/>
      </vt:variant>
      <vt:variant>
        <vt:i4>2687058</vt:i4>
      </vt:variant>
      <vt:variant>
        <vt:i4>1668</vt:i4>
      </vt:variant>
      <vt:variant>
        <vt:i4>0</vt:i4>
      </vt:variant>
      <vt:variant>
        <vt:i4>5</vt:i4>
      </vt:variant>
      <vt:variant>
        <vt:lpwstr>mailto:MyAgedCareAssessment@health.gov.au</vt:lpwstr>
      </vt:variant>
      <vt:variant>
        <vt:lpwstr/>
      </vt:variant>
      <vt:variant>
        <vt:i4>1245307</vt:i4>
      </vt:variant>
      <vt:variant>
        <vt:i4>1665</vt:i4>
      </vt:variant>
      <vt:variant>
        <vt:i4>0</vt:i4>
      </vt:variant>
      <vt:variant>
        <vt:i4>5</vt:i4>
      </vt:variant>
      <vt:variant>
        <vt:lpwstr>mailto:AssessorSupport@health.gov.au</vt:lpwstr>
      </vt:variant>
      <vt:variant>
        <vt:lpwstr/>
      </vt:variant>
      <vt:variant>
        <vt:i4>5505039</vt:i4>
      </vt:variant>
      <vt:variant>
        <vt:i4>1662</vt:i4>
      </vt:variant>
      <vt:variant>
        <vt:i4>0</vt:i4>
      </vt:variant>
      <vt:variant>
        <vt:i4>5</vt:i4>
      </vt:variant>
      <vt:variant>
        <vt:lpwstr>https://www.health.gov.au/resources/publications/my-aged-care-application-for-emergency-residential-care-or-residential-respite-care-form?language=en</vt:lpwstr>
      </vt:variant>
      <vt:variant>
        <vt:lpwstr/>
      </vt:variant>
      <vt:variant>
        <vt:i4>5505039</vt:i4>
      </vt:variant>
      <vt:variant>
        <vt:i4>1659</vt:i4>
      </vt:variant>
      <vt:variant>
        <vt:i4>0</vt:i4>
      </vt:variant>
      <vt:variant>
        <vt:i4>5</vt:i4>
      </vt:variant>
      <vt:variant>
        <vt:lpwstr>https://www.health.gov.au/resources/publications/my-aged-care-application-for-emergency-residential-care-or-residential-respite-care-form?language=en</vt:lpwstr>
      </vt:variant>
      <vt:variant>
        <vt:lpwstr/>
      </vt:variant>
      <vt:variant>
        <vt:i4>5373963</vt:i4>
      </vt:variant>
      <vt:variant>
        <vt:i4>1653</vt:i4>
      </vt:variant>
      <vt:variant>
        <vt:i4>0</vt:i4>
      </vt:variant>
      <vt:variant>
        <vt:i4>5</vt:i4>
      </vt:variant>
      <vt:variant>
        <vt:lpwstr>https://www.health.gov.au/resources/publications/transition-care-program-guidelines-november-2025</vt:lpwstr>
      </vt:variant>
      <vt:variant>
        <vt:lpwstr/>
      </vt:variant>
      <vt:variant>
        <vt:i4>786499</vt:i4>
      </vt:variant>
      <vt:variant>
        <vt:i4>1650</vt:i4>
      </vt:variant>
      <vt:variant>
        <vt:i4>0</vt:i4>
      </vt:variant>
      <vt:variant>
        <vt:i4>5</vt:i4>
      </vt:variant>
      <vt:variant>
        <vt:lpwstr>https://www.health.gov.au/our-work/residential-aged-care/managing-residential-aged-care-services/managing-residential-respite-care-allowances</vt:lpwstr>
      </vt:variant>
      <vt:variant>
        <vt:lpwstr/>
      </vt:variant>
      <vt:variant>
        <vt:i4>6029377</vt:i4>
      </vt:variant>
      <vt:variant>
        <vt:i4>1644</vt:i4>
      </vt:variant>
      <vt:variant>
        <vt:i4>0</vt:i4>
      </vt:variant>
      <vt:variant>
        <vt:i4>5</vt:i4>
      </vt:variant>
      <vt:variant>
        <vt:lpwstr>https://www.myagedcare.gov.au/access-your-online-account</vt:lpwstr>
      </vt:variant>
      <vt:variant>
        <vt:lpwstr/>
      </vt:variant>
      <vt:variant>
        <vt:i4>983068</vt:i4>
      </vt:variant>
      <vt:variant>
        <vt:i4>1641</vt:i4>
      </vt:variant>
      <vt:variant>
        <vt:i4>0</vt:i4>
      </vt:variant>
      <vt:variant>
        <vt:i4>5</vt:i4>
      </vt:variant>
      <vt:variant>
        <vt:lpwstr>https://www.health.gov.au/resources/publications/at-hm-scheme-guidelines?language=en</vt:lpwstr>
      </vt:variant>
      <vt:variant>
        <vt:lpwstr/>
      </vt:variant>
      <vt:variant>
        <vt:i4>1310786</vt:i4>
      </vt:variant>
      <vt:variant>
        <vt:i4>1638</vt:i4>
      </vt:variant>
      <vt:variant>
        <vt:i4>0</vt:i4>
      </vt:variant>
      <vt:variant>
        <vt:i4>5</vt:i4>
      </vt:variant>
      <vt:variant>
        <vt:lpwstr>https://www.health.gov.au/resources/publications/assistive-technology-and-home-modifications-list-at-hm-list?language=en</vt:lpwstr>
      </vt:variant>
      <vt:variant>
        <vt:lpwstr/>
      </vt:variant>
      <vt:variant>
        <vt:i4>5439582</vt:i4>
      </vt:variant>
      <vt:variant>
        <vt:i4>1629</vt:i4>
      </vt:variant>
      <vt:variant>
        <vt:i4>0</vt:i4>
      </vt:variant>
      <vt:variant>
        <vt:i4>5</vt:i4>
      </vt:variant>
      <vt:variant>
        <vt:lpwstr>https://www.health.gov.au/resources/collections/schedules-of-subsidies-and-supplements-for-aged-care?language=en</vt:lpwstr>
      </vt:variant>
      <vt:variant>
        <vt:lpwstr/>
      </vt:variant>
      <vt:variant>
        <vt:i4>6029377</vt:i4>
      </vt:variant>
      <vt:variant>
        <vt:i4>1626</vt:i4>
      </vt:variant>
      <vt:variant>
        <vt:i4>0</vt:i4>
      </vt:variant>
      <vt:variant>
        <vt:i4>5</vt:i4>
      </vt:variant>
      <vt:variant>
        <vt:lpwstr>https://www.myagedcare.gov.au/access-your-online-account</vt:lpwstr>
      </vt:variant>
      <vt:variant>
        <vt:lpwstr/>
      </vt:variant>
      <vt:variant>
        <vt:i4>6946876</vt:i4>
      </vt:variant>
      <vt:variant>
        <vt:i4>1611</vt:i4>
      </vt:variant>
      <vt:variant>
        <vt:i4>0</vt:i4>
      </vt:variant>
      <vt:variant>
        <vt:i4>5</vt:i4>
      </vt:variant>
      <vt:variant>
        <vt:lpwstr>https://www.health.gov.au/resources/publications/my-aged-care-application-for-care-form?language=en</vt:lpwstr>
      </vt:variant>
      <vt:variant>
        <vt:lpwstr/>
      </vt:variant>
      <vt:variant>
        <vt:i4>2818157</vt:i4>
      </vt:variant>
      <vt:variant>
        <vt:i4>1596</vt:i4>
      </vt:variant>
      <vt:variant>
        <vt:i4>0</vt:i4>
      </vt:variant>
      <vt:variant>
        <vt:i4>5</vt:i4>
      </vt:variant>
      <vt:variant>
        <vt:lpwstr>https://www.ag.gov.au/legal-system/administrative-law/administrative-review-council/administrative-review-council-publications</vt:lpwstr>
      </vt:variant>
      <vt:variant>
        <vt:lpwstr/>
      </vt:variant>
      <vt:variant>
        <vt:i4>983068</vt:i4>
      </vt:variant>
      <vt:variant>
        <vt:i4>1593</vt:i4>
      </vt:variant>
      <vt:variant>
        <vt:i4>0</vt:i4>
      </vt:variant>
      <vt:variant>
        <vt:i4>5</vt:i4>
      </vt:variant>
      <vt:variant>
        <vt:lpwstr>https://www.health.gov.au/resources/publications/at-hm-scheme-guidelines?language=en</vt:lpwstr>
      </vt:variant>
      <vt:variant>
        <vt:lpwstr/>
      </vt:variant>
      <vt:variant>
        <vt:i4>6226005</vt:i4>
      </vt:variant>
      <vt:variant>
        <vt:i4>1590</vt:i4>
      </vt:variant>
      <vt:variant>
        <vt:i4>0</vt:i4>
      </vt:variant>
      <vt:variant>
        <vt:i4>5</vt:i4>
      </vt:variant>
      <vt:variant>
        <vt:lpwstr>https://www.health.gov.au/resources/publications/my-aged-care-workforce-learning-strategy?language=en</vt:lpwstr>
      </vt:variant>
      <vt:variant>
        <vt:lpwstr/>
      </vt:variant>
      <vt:variant>
        <vt:i4>6881312</vt:i4>
      </vt:variant>
      <vt:variant>
        <vt:i4>1581</vt:i4>
      </vt:variant>
      <vt:variant>
        <vt:i4>0</vt:i4>
      </vt:variant>
      <vt:variant>
        <vt:i4>5</vt:i4>
      </vt:variant>
      <vt:variant>
        <vt:lpwstr>https://www.health.gov.au/our-work/care-finder-program</vt:lpwstr>
      </vt:variant>
      <vt:variant>
        <vt:lpwstr/>
      </vt:variant>
      <vt:variant>
        <vt:i4>4128866</vt:i4>
      </vt:variant>
      <vt:variant>
        <vt:i4>1578</vt:i4>
      </vt:variant>
      <vt:variant>
        <vt:i4>0</vt:i4>
      </vt:variant>
      <vt:variant>
        <vt:i4>5</vt:i4>
      </vt:variant>
      <vt:variant>
        <vt:lpwstr>https://www.myagedcare.gov.au/help-care-finder</vt:lpwstr>
      </vt:variant>
      <vt:variant>
        <vt:lpwstr/>
      </vt:variant>
      <vt:variant>
        <vt:i4>1179740</vt:i4>
      </vt:variant>
      <vt:variant>
        <vt:i4>1575</vt:i4>
      </vt:variant>
      <vt:variant>
        <vt:i4>0</vt:i4>
      </vt:variant>
      <vt:variant>
        <vt:i4>5</vt:i4>
      </vt:variant>
      <vt:variant>
        <vt:lpwstr>https://www.health.gov.au/our-work/elder-care-support</vt:lpwstr>
      </vt:variant>
      <vt:variant>
        <vt:lpwstr/>
      </vt:variant>
      <vt:variant>
        <vt:i4>2555931</vt:i4>
      </vt:variant>
      <vt:variant>
        <vt:i4>1572</vt:i4>
      </vt:variant>
      <vt:variant>
        <vt:i4>0</vt:i4>
      </vt:variant>
      <vt:variant>
        <vt:i4>5</vt:i4>
      </vt:variant>
      <vt:variant>
        <vt:lpwstr>mailto: agedcare@naccho.org.au</vt:lpwstr>
      </vt:variant>
      <vt:variant>
        <vt:lpwstr/>
      </vt:variant>
      <vt:variant>
        <vt:i4>5963843</vt:i4>
      </vt:variant>
      <vt:variant>
        <vt:i4>1569</vt:i4>
      </vt:variant>
      <vt:variant>
        <vt:i4>0</vt:i4>
      </vt:variant>
      <vt:variant>
        <vt:i4>5</vt:i4>
      </vt:variant>
      <vt:variant>
        <vt:lpwstr>https://www.naccho.org.au/elder-care-support-program/</vt:lpwstr>
      </vt:variant>
      <vt:variant>
        <vt:lpwstr/>
      </vt:variant>
      <vt:variant>
        <vt:i4>4522011</vt:i4>
      </vt:variant>
      <vt:variant>
        <vt:i4>1566</vt:i4>
      </vt:variant>
      <vt:variant>
        <vt:i4>0</vt:i4>
      </vt:variant>
      <vt:variant>
        <vt:i4>5</vt:i4>
      </vt:variant>
      <vt:variant>
        <vt:lpwstr>https://deafconnect.org.au/services/interpreting</vt:lpwstr>
      </vt:variant>
      <vt:variant>
        <vt:lpwstr/>
      </vt:variant>
      <vt:variant>
        <vt:i4>7798832</vt:i4>
      </vt:variant>
      <vt:variant>
        <vt:i4>1563</vt:i4>
      </vt:variant>
      <vt:variant>
        <vt:i4>0</vt:i4>
      </vt:variant>
      <vt:variant>
        <vt:i4>5</vt:i4>
      </vt:variant>
      <vt:variant>
        <vt:lpwstr>https://deafconnect.org.au/</vt:lpwstr>
      </vt:variant>
      <vt:variant>
        <vt:lpwstr/>
      </vt:variant>
      <vt:variant>
        <vt:i4>1179657</vt:i4>
      </vt:variant>
      <vt:variant>
        <vt:i4>1560</vt:i4>
      </vt:variant>
      <vt:variant>
        <vt:i4>0</vt:i4>
      </vt:variant>
      <vt:variant>
        <vt:i4>5</vt:i4>
      </vt:variant>
      <vt:variant>
        <vt:lpwstr>https://www.myagedcare.gov.au/accessible-all</vt:lpwstr>
      </vt:variant>
      <vt:variant>
        <vt:lpwstr>relay</vt:lpwstr>
      </vt:variant>
      <vt:variant>
        <vt:i4>5046363</vt:i4>
      </vt:variant>
      <vt:variant>
        <vt:i4>1557</vt:i4>
      </vt:variant>
      <vt:variant>
        <vt:i4>0</vt:i4>
      </vt:variant>
      <vt:variant>
        <vt:i4>5</vt:i4>
      </vt:variant>
      <vt:variant>
        <vt:lpwstr>https://www.health.gov.au/our-work/aged-care-volunteer-visitors-scheme-acvvs</vt:lpwstr>
      </vt:variant>
      <vt:variant>
        <vt:lpwstr/>
      </vt:variant>
      <vt:variant>
        <vt:i4>6225943</vt:i4>
      </vt:variant>
      <vt:variant>
        <vt:i4>1554</vt:i4>
      </vt:variant>
      <vt:variant>
        <vt:i4>0</vt:i4>
      </vt:variant>
      <vt:variant>
        <vt:i4>5</vt:i4>
      </vt:variant>
      <vt:variant>
        <vt:lpwstr>https://www.health.gov.au/our-work/aged-care-volunteer-visitors-scheme-acvvs/request</vt:lpwstr>
      </vt:variant>
      <vt:variant>
        <vt:lpwstr/>
      </vt:variant>
      <vt:variant>
        <vt:i4>5767254</vt:i4>
      </vt:variant>
      <vt:variant>
        <vt:i4>1551</vt:i4>
      </vt:variant>
      <vt:variant>
        <vt:i4>0</vt:i4>
      </vt:variant>
      <vt:variant>
        <vt:i4>5</vt:i4>
      </vt:variant>
      <vt:variant>
        <vt:lpwstr>https://www.dementia.org.au/living-dementia/family-friends-and-carers</vt:lpwstr>
      </vt:variant>
      <vt:variant>
        <vt:lpwstr/>
      </vt:variant>
      <vt:variant>
        <vt:i4>2949158</vt:i4>
      </vt:variant>
      <vt:variant>
        <vt:i4>1548</vt:i4>
      </vt:variant>
      <vt:variant>
        <vt:i4>0</vt:i4>
      </vt:variant>
      <vt:variant>
        <vt:i4>5</vt:i4>
      </vt:variant>
      <vt:variant>
        <vt:lpwstr>https://youngcarersnetwork.com.au/</vt:lpwstr>
      </vt:variant>
      <vt:variant>
        <vt:lpwstr/>
      </vt:variant>
      <vt:variant>
        <vt:i4>2490470</vt:i4>
      </vt:variant>
      <vt:variant>
        <vt:i4>1545</vt:i4>
      </vt:variant>
      <vt:variant>
        <vt:i4>0</vt:i4>
      </vt:variant>
      <vt:variant>
        <vt:i4>5</vt:i4>
      </vt:variant>
      <vt:variant>
        <vt:lpwstr>https://www.health.gov.au/resources/publications/my-aged-care-assessor-portal-user-guide-2-registering-support-people-and-adding-relationships</vt:lpwstr>
      </vt:variant>
      <vt:variant>
        <vt:lpwstr/>
      </vt:variant>
      <vt:variant>
        <vt:i4>917596</vt:i4>
      </vt:variant>
      <vt:variant>
        <vt:i4>1542</vt:i4>
      </vt:variant>
      <vt:variant>
        <vt:i4>0</vt:i4>
      </vt:variant>
      <vt:variant>
        <vt:i4>5</vt:i4>
      </vt:variant>
      <vt:variant>
        <vt:lpwstr>https://www.carergateway.gov.au/</vt:lpwstr>
      </vt:variant>
      <vt:variant>
        <vt:lpwstr/>
      </vt:variant>
      <vt:variant>
        <vt:i4>5046301</vt:i4>
      </vt:variant>
      <vt:variant>
        <vt:i4>1539</vt:i4>
      </vt:variant>
      <vt:variant>
        <vt:i4>0</vt:i4>
      </vt:variant>
      <vt:variant>
        <vt:i4>5</vt:i4>
      </vt:variant>
      <vt:variant>
        <vt:lpwstr>http://www.youngcarersnetwork.com.au/young-carer-bursary</vt:lpwstr>
      </vt:variant>
      <vt:variant>
        <vt:lpwstr/>
      </vt:variant>
      <vt:variant>
        <vt:i4>3604537</vt:i4>
      </vt:variant>
      <vt:variant>
        <vt:i4>1536</vt:i4>
      </vt:variant>
      <vt:variant>
        <vt:i4>0</vt:i4>
      </vt:variant>
      <vt:variant>
        <vt:i4>5</vt:i4>
      </vt:variant>
      <vt:variant>
        <vt:lpwstr>http://www.carergateway.gov.au/</vt:lpwstr>
      </vt:variant>
      <vt:variant>
        <vt:lpwstr/>
      </vt:variant>
      <vt:variant>
        <vt:i4>3604537</vt:i4>
      </vt:variant>
      <vt:variant>
        <vt:i4>1533</vt:i4>
      </vt:variant>
      <vt:variant>
        <vt:i4>0</vt:i4>
      </vt:variant>
      <vt:variant>
        <vt:i4>5</vt:i4>
      </vt:variant>
      <vt:variant>
        <vt:lpwstr>http://www.carergateway.gov.au/</vt:lpwstr>
      </vt:variant>
      <vt:variant>
        <vt:lpwstr/>
      </vt:variant>
      <vt:variant>
        <vt:i4>917596</vt:i4>
      </vt:variant>
      <vt:variant>
        <vt:i4>1530</vt:i4>
      </vt:variant>
      <vt:variant>
        <vt:i4>0</vt:i4>
      </vt:variant>
      <vt:variant>
        <vt:i4>5</vt:i4>
      </vt:variant>
      <vt:variant>
        <vt:lpwstr>https://www.carergateway.gov.au/</vt:lpwstr>
      </vt:variant>
      <vt:variant>
        <vt:lpwstr/>
      </vt:variant>
      <vt:variant>
        <vt:i4>3604537</vt:i4>
      </vt:variant>
      <vt:variant>
        <vt:i4>1527</vt:i4>
      </vt:variant>
      <vt:variant>
        <vt:i4>0</vt:i4>
      </vt:variant>
      <vt:variant>
        <vt:i4>5</vt:i4>
      </vt:variant>
      <vt:variant>
        <vt:lpwstr>http://www.carergateway.gov.au/</vt:lpwstr>
      </vt:variant>
      <vt:variant>
        <vt:lpwstr/>
      </vt:variant>
      <vt:variant>
        <vt:i4>2556031</vt:i4>
      </vt:variant>
      <vt:variant>
        <vt:i4>1524</vt:i4>
      </vt:variant>
      <vt:variant>
        <vt:i4>0</vt:i4>
      </vt:variant>
      <vt:variant>
        <vt:i4>5</vt:i4>
      </vt:variant>
      <vt:variant>
        <vt:lpwstr>https://www.health.gov.au/our-work/disability-support-for-older-australians-dsoa-program/about-the-disability-support-for-older-australians-program</vt:lpwstr>
      </vt:variant>
      <vt:variant>
        <vt:lpwstr/>
      </vt:variant>
      <vt:variant>
        <vt:i4>1572873</vt:i4>
      </vt:variant>
      <vt:variant>
        <vt:i4>1521</vt:i4>
      </vt:variant>
      <vt:variant>
        <vt:i4>0</vt:i4>
      </vt:variant>
      <vt:variant>
        <vt:i4>5</vt:i4>
      </vt:variant>
      <vt:variant>
        <vt:lpwstr>https://www.health.gov.au/resources/publications/disability-support-for-older-australians-program-program-manual</vt:lpwstr>
      </vt:variant>
      <vt:variant>
        <vt:lpwstr/>
      </vt:variant>
      <vt:variant>
        <vt:i4>2752553</vt:i4>
      </vt:variant>
      <vt:variant>
        <vt:i4>1518</vt:i4>
      </vt:variant>
      <vt:variant>
        <vt:i4>0</vt:i4>
      </vt:variant>
      <vt:variant>
        <vt:i4>5</vt:i4>
      </vt:variant>
      <vt:variant>
        <vt:lpwstr>https://www.dva.gov.au/providers/health-programs-and-services-our-clients/community-nursing-services-and-providers</vt:lpwstr>
      </vt:variant>
      <vt:variant>
        <vt:lpwstr/>
      </vt:variant>
      <vt:variant>
        <vt:i4>131102</vt:i4>
      </vt:variant>
      <vt:variant>
        <vt:i4>1515</vt:i4>
      </vt:variant>
      <vt:variant>
        <vt:i4>0</vt:i4>
      </vt:variant>
      <vt:variant>
        <vt:i4>5</vt:i4>
      </vt:variant>
      <vt:variant>
        <vt:lpwstr>https://www.dva.gov.au/health-and-treatment/care-home-or-aged-care/community-nursing</vt:lpwstr>
      </vt:variant>
      <vt:variant>
        <vt:lpwstr/>
      </vt:variant>
      <vt:variant>
        <vt:i4>5046274</vt:i4>
      </vt:variant>
      <vt:variant>
        <vt:i4>1512</vt:i4>
      </vt:variant>
      <vt:variant>
        <vt:i4>0</vt:i4>
      </vt:variant>
      <vt:variant>
        <vt:i4>5</vt:i4>
      </vt:variant>
      <vt:variant>
        <vt:lpwstr>https://www.dva.gov.au/what-we-help-with/care-at-home-and-aged-care-services</vt:lpwstr>
      </vt:variant>
      <vt:variant>
        <vt:lpwstr/>
      </vt:variant>
      <vt:variant>
        <vt:i4>2359349</vt:i4>
      </vt:variant>
      <vt:variant>
        <vt:i4>1509</vt:i4>
      </vt:variant>
      <vt:variant>
        <vt:i4>0</vt:i4>
      </vt:variant>
      <vt:variant>
        <vt:i4>5</vt:i4>
      </vt:variant>
      <vt:variant>
        <vt:lpwstr>https://www.dva.gov.au/</vt:lpwstr>
      </vt:variant>
      <vt:variant>
        <vt:lpwstr/>
      </vt:variant>
      <vt:variant>
        <vt:i4>3276903</vt:i4>
      </vt:variant>
      <vt:variant>
        <vt:i4>1506</vt:i4>
      </vt:variant>
      <vt:variant>
        <vt:i4>0</vt:i4>
      </vt:variant>
      <vt:variant>
        <vt:i4>5</vt:i4>
      </vt:variant>
      <vt:variant>
        <vt:lpwstr>https://www.health.gov.au/resources/publications/specialist-dementia-care-program-sdcp-information-booklet?language=en</vt:lpwstr>
      </vt:variant>
      <vt:variant>
        <vt:lpwstr/>
      </vt:variant>
      <vt:variant>
        <vt:i4>589892</vt:i4>
      </vt:variant>
      <vt:variant>
        <vt:i4>1503</vt:i4>
      </vt:variant>
      <vt:variant>
        <vt:i4>0</vt:i4>
      </vt:variant>
      <vt:variant>
        <vt:i4>5</vt:i4>
      </vt:variant>
      <vt:variant>
        <vt:lpwstr>https://www.dementia.com.au/sdcp</vt:lpwstr>
      </vt:variant>
      <vt:variant>
        <vt:lpwstr/>
      </vt:variant>
      <vt:variant>
        <vt:i4>8126574</vt:i4>
      </vt:variant>
      <vt:variant>
        <vt:i4>1500</vt:i4>
      </vt:variant>
      <vt:variant>
        <vt:i4>0</vt:i4>
      </vt:variant>
      <vt:variant>
        <vt:i4>5</vt:i4>
      </vt:variant>
      <vt:variant>
        <vt:lpwstr>https://www.dementia.com.au/dsa-staying-at-home</vt:lpwstr>
      </vt:variant>
      <vt:variant>
        <vt:lpwstr/>
      </vt:variant>
      <vt:variant>
        <vt:i4>1900628</vt:i4>
      </vt:variant>
      <vt:variant>
        <vt:i4>1497</vt:i4>
      </vt:variant>
      <vt:variant>
        <vt:i4>0</vt:i4>
      </vt:variant>
      <vt:variant>
        <vt:i4>5</vt:i4>
      </vt:variant>
      <vt:variant>
        <vt:lpwstr>https://www.dementia.com.au/</vt:lpwstr>
      </vt:variant>
      <vt:variant>
        <vt:lpwstr/>
      </vt:variant>
      <vt:variant>
        <vt:i4>6815788</vt:i4>
      </vt:variant>
      <vt:variant>
        <vt:i4>1494</vt:i4>
      </vt:variant>
      <vt:variant>
        <vt:i4>0</vt:i4>
      </vt:variant>
      <vt:variant>
        <vt:i4>5</vt:i4>
      </vt:variant>
      <vt:variant>
        <vt:lpwstr>https://www.dementia.com.au/hacdsp</vt:lpwstr>
      </vt:variant>
      <vt:variant>
        <vt:lpwstr/>
      </vt:variant>
      <vt:variant>
        <vt:i4>4915245</vt:i4>
      </vt:variant>
      <vt:variant>
        <vt:i4>1491</vt:i4>
      </vt:variant>
      <vt:variant>
        <vt:i4>0</vt:i4>
      </vt:variant>
      <vt:variant>
        <vt:i4>5</vt:i4>
      </vt:variant>
      <vt:variant>
        <vt:lpwstr>mailto:HACDSP@health.gov.au</vt:lpwstr>
      </vt:variant>
      <vt:variant>
        <vt:lpwstr/>
      </vt:variant>
      <vt:variant>
        <vt:i4>1900628</vt:i4>
      </vt:variant>
      <vt:variant>
        <vt:i4>1488</vt:i4>
      </vt:variant>
      <vt:variant>
        <vt:i4>0</vt:i4>
      </vt:variant>
      <vt:variant>
        <vt:i4>5</vt:i4>
      </vt:variant>
      <vt:variant>
        <vt:lpwstr>https://www.dementia.com.au/</vt:lpwstr>
      </vt:variant>
      <vt:variant>
        <vt:lpwstr/>
      </vt:variant>
      <vt:variant>
        <vt:i4>2228268</vt:i4>
      </vt:variant>
      <vt:variant>
        <vt:i4>1482</vt:i4>
      </vt:variant>
      <vt:variant>
        <vt:i4>0</vt:i4>
      </vt:variant>
      <vt:variant>
        <vt:i4>5</vt:i4>
      </vt:variant>
      <vt:variant>
        <vt:lpwstr>http://www.dementia.org.au/</vt:lpwstr>
      </vt:variant>
      <vt:variant>
        <vt:lpwstr/>
      </vt:variant>
      <vt:variant>
        <vt:i4>786499</vt:i4>
      </vt:variant>
      <vt:variant>
        <vt:i4>1479</vt:i4>
      </vt:variant>
      <vt:variant>
        <vt:i4>0</vt:i4>
      </vt:variant>
      <vt:variant>
        <vt:i4>5</vt:i4>
      </vt:variant>
      <vt:variant>
        <vt:lpwstr>https://www.health.gov.au/our-work/residential-aged-care/managing-residential-aged-care-services/managing-residential-respite-care-allowances</vt:lpwstr>
      </vt:variant>
      <vt:variant>
        <vt:lpwstr/>
      </vt:variant>
      <vt:variant>
        <vt:i4>917570</vt:i4>
      </vt:variant>
      <vt:variant>
        <vt:i4>1476</vt:i4>
      </vt:variant>
      <vt:variant>
        <vt:i4>0</vt:i4>
      </vt:variant>
      <vt:variant>
        <vt:i4>5</vt:i4>
      </vt:variant>
      <vt:variant>
        <vt:lpwstr>https://www.health.gov.au/our-work/places-to-people-embedding-choice-in-residential-aged-care</vt:lpwstr>
      </vt:variant>
      <vt:variant>
        <vt:lpwstr/>
      </vt:variant>
      <vt:variant>
        <vt:i4>2293810</vt:i4>
      </vt:variant>
      <vt:variant>
        <vt:i4>1473</vt:i4>
      </vt:variant>
      <vt:variant>
        <vt:i4>0</vt:i4>
      </vt:variant>
      <vt:variant>
        <vt:i4>5</vt:i4>
      </vt:variant>
      <vt:variant>
        <vt:lpwstr>https://www.health.gov.au/topics/rural-health-workforce/classifications/mmm</vt:lpwstr>
      </vt:variant>
      <vt:variant>
        <vt:lpwstr/>
      </vt:variant>
      <vt:variant>
        <vt:i4>5373963</vt:i4>
      </vt:variant>
      <vt:variant>
        <vt:i4>1464</vt:i4>
      </vt:variant>
      <vt:variant>
        <vt:i4>0</vt:i4>
      </vt:variant>
      <vt:variant>
        <vt:i4>5</vt:i4>
      </vt:variant>
      <vt:variant>
        <vt:lpwstr>https://www.health.gov.au/resources/publications/transition-care-program-guidelines-november-2025</vt:lpwstr>
      </vt:variant>
      <vt:variant>
        <vt:lpwstr/>
      </vt:variant>
      <vt:variant>
        <vt:i4>5242885</vt:i4>
      </vt:variant>
      <vt:variant>
        <vt:i4>1461</vt:i4>
      </vt:variant>
      <vt:variant>
        <vt:i4>0</vt:i4>
      </vt:variant>
      <vt:variant>
        <vt:i4>5</vt:i4>
      </vt:variant>
      <vt:variant>
        <vt:lpwstr>https://www.health.gov.au/our-work/the-multi-purpose-service-program/about-the-multi-purpose-service-program</vt:lpwstr>
      </vt:variant>
      <vt:variant>
        <vt:lpwstr/>
      </vt:variant>
      <vt:variant>
        <vt:i4>720988</vt:i4>
      </vt:variant>
      <vt:variant>
        <vt:i4>1458</vt:i4>
      </vt:variant>
      <vt:variant>
        <vt:i4>0</vt:i4>
      </vt:variant>
      <vt:variant>
        <vt:i4>5</vt:i4>
      </vt:variant>
      <vt:variant>
        <vt:lpwstr>https://www.health.gov.au/resources/publications/natsifac-program-manual?language=en</vt:lpwstr>
      </vt:variant>
      <vt:variant>
        <vt:lpwstr/>
      </vt:variant>
      <vt:variant>
        <vt:i4>6357045</vt:i4>
      </vt:variant>
      <vt:variant>
        <vt:i4>1455</vt:i4>
      </vt:variant>
      <vt:variant>
        <vt:i4>0</vt:i4>
      </vt:variant>
      <vt:variant>
        <vt:i4>5</vt:i4>
      </vt:variant>
      <vt:variant>
        <vt:lpwstr>https://www.health.gov.au/natsifacp</vt:lpwstr>
      </vt:variant>
      <vt:variant>
        <vt:lpwstr/>
      </vt:variant>
      <vt:variant>
        <vt:i4>4980818</vt:i4>
      </vt:variant>
      <vt:variant>
        <vt:i4>1452</vt:i4>
      </vt:variant>
      <vt:variant>
        <vt:i4>0</vt:i4>
      </vt:variant>
      <vt:variant>
        <vt:i4>5</vt:i4>
      </vt:variant>
      <vt:variant>
        <vt:lpwstr>https://www.health.gov.au/resources/publications/living-well-at-home-chsp-good-practice-guide</vt:lpwstr>
      </vt:variant>
      <vt:variant>
        <vt:lpwstr/>
      </vt:variant>
      <vt:variant>
        <vt:i4>131091</vt:i4>
      </vt:variant>
      <vt:variant>
        <vt:i4>1449</vt:i4>
      </vt:variant>
      <vt:variant>
        <vt:i4>0</vt:i4>
      </vt:variant>
      <vt:variant>
        <vt:i4>5</vt:i4>
      </vt:variant>
      <vt:variant>
        <vt:lpwstr>https://www.health.gov.au/resources/collections/wellness-and-reablement-resources?language=en</vt:lpwstr>
      </vt:variant>
      <vt:variant>
        <vt:lpwstr/>
      </vt:variant>
      <vt:variant>
        <vt:i4>7733359</vt:i4>
      </vt:variant>
      <vt:variant>
        <vt:i4>1446</vt:i4>
      </vt:variant>
      <vt:variant>
        <vt:i4>0</vt:i4>
      </vt:variant>
      <vt:variant>
        <vt:i4>5</vt:i4>
      </vt:variant>
      <vt:variant>
        <vt:lpwstr>https://www.health.gov.au/resources/publications/commonwealth-home-support-program-chsp-2025-27-manual?language=en</vt:lpwstr>
      </vt:variant>
      <vt:variant>
        <vt:lpwstr/>
      </vt:variant>
      <vt:variant>
        <vt:i4>1638493</vt:i4>
      </vt:variant>
      <vt:variant>
        <vt:i4>1437</vt:i4>
      </vt:variant>
      <vt:variant>
        <vt:i4>0</vt:i4>
      </vt:variant>
      <vt:variant>
        <vt:i4>5</vt:i4>
      </vt:variant>
      <vt:variant>
        <vt:lpwstr>https://www.myagedcare.gov.au/help-care-finder</vt:lpwstr>
      </vt:variant>
      <vt:variant>
        <vt:lpwstr>who-can-use-the-care-finder-service</vt:lpwstr>
      </vt:variant>
      <vt:variant>
        <vt:i4>1179740</vt:i4>
      </vt:variant>
      <vt:variant>
        <vt:i4>1434</vt:i4>
      </vt:variant>
      <vt:variant>
        <vt:i4>0</vt:i4>
      </vt:variant>
      <vt:variant>
        <vt:i4>5</vt:i4>
      </vt:variant>
      <vt:variant>
        <vt:lpwstr>https://www.health.gov.au/our-work/elder-care-support</vt:lpwstr>
      </vt:variant>
      <vt:variant>
        <vt:lpwstr/>
      </vt:variant>
      <vt:variant>
        <vt:i4>327771</vt:i4>
      </vt:variant>
      <vt:variant>
        <vt:i4>1431</vt:i4>
      </vt:variant>
      <vt:variant>
        <vt:i4>0</vt:i4>
      </vt:variant>
      <vt:variant>
        <vt:i4>5</vt:i4>
      </vt:variant>
      <vt:variant>
        <vt:lpwstr>https://www.health.gov.au/node/56679?language=en</vt:lpwstr>
      </vt:variant>
      <vt:variant>
        <vt:lpwstr/>
      </vt:variant>
      <vt:variant>
        <vt:i4>3538992</vt:i4>
      </vt:variant>
      <vt:variant>
        <vt:i4>1428</vt:i4>
      </vt:variant>
      <vt:variant>
        <vt:i4>0</vt:i4>
      </vt:variant>
      <vt:variant>
        <vt:i4>5</vt:i4>
      </vt:variant>
      <vt:variant>
        <vt:lpwstr>https://www.health.gov.au/resources/publications/chsp-service-catalogue-2025-27</vt:lpwstr>
      </vt:variant>
      <vt:variant>
        <vt:lpwstr/>
      </vt:variant>
      <vt:variant>
        <vt:i4>983068</vt:i4>
      </vt:variant>
      <vt:variant>
        <vt:i4>1425</vt:i4>
      </vt:variant>
      <vt:variant>
        <vt:i4>0</vt:i4>
      </vt:variant>
      <vt:variant>
        <vt:i4>5</vt:i4>
      </vt:variant>
      <vt:variant>
        <vt:lpwstr>https://www.health.gov.au/resources/publications/at-hm-scheme-guidelines?language=en</vt:lpwstr>
      </vt:variant>
      <vt:variant>
        <vt:lpwstr/>
      </vt:variant>
      <vt:variant>
        <vt:i4>3735594</vt:i4>
      </vt:variant>
      <vt:variant>
        <vt:i4>1422</vt:i4>
      </vt:variant>
      <vt:variant>
        <vt:i4>0</vt:i4>
      </vt:variant>
      <vt:variant>
        <vt:i4>5</vt:i4>
      </vt:variant>
      <vt:variant>
        <vt:lpwstr>https://www.healthdirect.gov.au/assistance-dogs</vt:lpwstr>
      </vt:variant>
      <vt:variant>
        <vt:lpwstr>:~:text=An%20assistance%20dog%20is%20a,are%20individually%20trained%20in%20obedience</vt:lpwstr>
      </vt:variant>
      <vt:variant>
        <vt:i4>7995447</vt:i4>
      </vt:variant>
      <vt:variant>
        <vt:i4>1419</vt:i4>
      </vt:variant>
      <vt:variant>
        <vt:i4>0</vt:i4>
      </vt:variant>
      <vt:variant>
        <vt:i4>5</vt:i4>
      </vt:variant>
      <vt:variant>
        <vt:lpwstr>https://www.assistancedogs.org.au/services/service-dog/</vt:lpwstr>
      </vt:variant>
      <vt:variant>
        <vt:lpwstr/>
      </vt:variant>
      <vt:variant>
        <vt:i4>6619199</vt:i4>
      </vt:variant>
      <vt:variant>
        <vt:i4>1416</vt:i4>
      </vt:variant>
      <vt:variant>
        <vt:i4>0</vt:i4>
      </vt:variant>
      <vt:variant>
        <vt:i4>5</vt:i4>
      </vt:variant>
      <vt:variant>
        <vt:lpwstr>https://www.health.gov.au/resources/publications/my-aged-care-integrated-assessment-tool-iat-user-guide?language=en</vt:lpwstr>
      </vt:variant>
      <vt:variant>
        <vt:lpwstr/>
      </vt:variant>
      <vt:variant>
        <vt:i4>5701658</vt:i4>
      </vt:variant>
      <vt:variant>
        <vt:i4>1413</vt:i4>
      </vt:variant>
      <vt:variant>
        <vt:i4>0</vt:i4>
      </vt:variant>
      <vt:variant>
        <vt:i4>5</vt:i4>
      </vt:variant>
      <vt:variant>
        <vt:lpwstr>https://www.health.gov.au/resources/publications/assistive-technology-and-home-modifications-list-at-hm-list</vt:lpwstr>
      </vt:variant>
      <vt:variant>
        <vt:lpwstr/>
      </vt:variant>
      <vt:variant>
        <vt:i4>1310786</vt:i4>
      </vt:variant>
      <vt:variant>
        <vt:i4>1410</vt:i4>
      </vt:variant>
      <vt:variant>
        <vt:i4>0</vt:i4>
      </vt:variant>
      <vt:variant>
        <vt:i4>5</vt:i4>
      </vt:variant>
      <vt:variant>
        <vt:lpwstr>https://www.health.gov.au/resources/publications/assistive-technology-and-home-modifications-list-at-hm-list?language=en</vt:lpwstr>
      </vt:variant>
      <vt:variant>
        <vt:lpwstr/>
      </vt:variant>
      <vt:variant>
        <vt:i4>5439582</vt:i4>
      </vt:variant>
      <vt:variant>
        <vt:i4>1407</vt:i4>
      </vt:variant>
      <vt:variant>
        <vt:i4>0</vt:i4>
      </vt:variant>
      <vt:variant>
        <vt:i4>5</vt:i4>
      </vt:variant>
      <vt:variant>
        <vt:lpwstr>https://www.health.gov.au/resources/collections/schedules-of-subsidies-and-supplements-for-aged-care?language=en</vt:lpwstr>
      </vt:variant>
      <vt:variant>
        <vt:lpwstr/>
      </vt:variant>
      <vt:variant>
        <vt:i4>5701658</vt:i4>
      </vt:variant>
      <vt:variant>
        <vt:i4>1404</vt:i4>
      </vt:variant>
      <vt:variant>
        <vt:i4>0</vt:i4>
      </vt:variant>
      <vt:variant>
        <vt:i4>5</vt:i4>
      </vt:variant>
      <vt:variant>
        <vt:lpwstr>https://www.health.gov.au/resources/publications/assistive-technology-and-home-modifications-list-at-hm-list</vt:lpwstr>
      </vt:variant>
      <vt:variant>
        <vt:lpwstr/>
      </vt:variant>
      <vt:variant>
        <vt:i4>3342455</vt:i4>
      </vt:variant>
      <vt:variant>
        <vt:i4>1395</vt:i4>
      </vt:variant>
      <vt:variant>
        <vt:i4>0</vt:i4>
      </vt:variant>
      <vt:variant>
        <vt:i4>5</vt:i4>
      </vt:variant>
      <vt:variant>
        <vt:lpwstr>https://www.myagedcare.gov.au/support-at-home-fee-estimator</vt:lpwstr>
      </vt:variant>
      <vt:variant>
        <vt:lpwstr/>
      </vt:variant>
      <vt:variant>
        <vt:i4>5832777</vt:i4>
      </vt:variant>
      <vt:variant>
        <vt:i4>1392</vt:i4>
      </vt:variant>
      <vt:variant>
        <vt:i4>0</vt:i4>
      </vt:variant>
      <vt:variant>
        <vt:i4>5</vt:i4>
      </vt:variant>
      <vt:variant>
        <vt:lpwstr>https://www.health.gov.au/resources/publications/support-at-home-program-manual-a-guide-for-registered-providers?language=en</vt:lpwstr>
      </vt:variant>
      <vt:variant>
        <vt:lpwstr/>
      </vt:variant>
      <vt:variant>
        <vt:i4>5439582</vt:i4>
      </vt:variant>
      <vt:variant>
        <vt:i4>1389</vt:i4>
      </vt:variant>
      <vt:variant>
        <vt:i4>0</vt:i4>
      </vt:variant>
      <vt:variant>
        <vt:i4>5</vt:i4>
      </vt:variant>
      <vt:variant>
        <vt:lpwstr>https://www.health.gov.au/resources/collections/schedules-of-subsidies-and-supplements-for-aged-care?language=en</vt:lpwstr>
      </vt:variant>
      <vt:variant>
        <vt:lpwstr/>
      </vt:variant>
      <vt:variant>
        <vt:i4>7602229</vt:i4>
      </vt:variant>
      <vt:variant>
        <vt:i4>1386</vt:i4>
      </vt:variant>
      <vt:variant>
        <vt:i4>0</vt:i4>
      </vt:variant>
      <vt:variant>
        <vt:i4>5</vt:i4>
      </vt:variant>
      <vt:variant>
        <vt:lpwstr>https://www.myagedcare.gov.au/resources</vt:lpwstr>
      </vt:variant>
      <vt:variant>
        <vt:lpwstr/>
      </vt:variant>
      <vt:variant>
        <vt:i4>7602229</vt:i4>
      </vt:variant>
      <vt:variant>
        <vt:i4>1380</vt:i4>
      </vt:variant>
      <vt:variant>
        <vt:i4>0</vt:i4>
      </vt:variant>
      <vt:variant>
        <vt:i4>5</vt:i4>
      </vt:variant>
      <vt:variant>
        <vt:lpwstr>https://www.myagedcare.gov.au/resources</vt:lpwstr>
      </vt:variant>
      <vt:variant>
        <vt:lpwstr/>
      </vt:variant>
      <vt:variant>
        <vt:i4>6029377</vt:i4>
      </vt:variant>
      <vt:variant>
        <vt:i4>1377</vt:i4>
      </vt:variant>
      <vt:variant>
        <vt:i4>0</vt:i4>
      </vt:variant>
      <vt:variant>
        <vt:i4>5</vt:i4>
      </vt:variant>
      <vt:variant>
        <vt:lpwstr>https://www.myagedcare.gov.au/access-your-online-account</vt:lpwstr>
      </vt:variant>
      <vt:variant>
        <vt:lpwstr/>
      </vt:variant>
      <vt:variant>
        <vt:i4>1179740</vt:i4>
      </vt:variant>
      <vt:variant>
        <vt:i4>1374</vt:i4>
      </vt:variant>
      <vt:variant>
        <vt:i4>0</vt:i4>
      </vt:variant>
      <vt:variant>
        <vt:i4>5</vt:i4>
      </vt:variant>
      <vt:variant>
        <vt:lpwstr>https://www.health.gov.au/our-work/elder-care-support</vt:lpwstr>
      </vt:variant>
      <vt:variant>
        <vt:lpwstr/>
      </vt:variant>
      <vt:variant>
        <vt:i4>6881312</vt:i4>
      </vt:variant>
      <vt:variant>
        <vt:i4>1371</vt:i4>
      </vt:variant>
      <vt:variant>
        <vt:i4>0</vt:i4>
      </vt:variant>
      <vt:variant>
        <vt:i4>5</vt:i4>
      </vt:variant>
      <vt:variant>
        <vt:lpwstr>https://www.health.gov.au/our-work/care-finder-program</vt:lpwstr>
      </vt:variant>
      <vt:variant>
        <vt:lpwstr/>
      </vt:variant>
      <vt:variant>
        <vt:i4>327685</vt:i4>
      </vt:variant>
      <vt:variant>
        <vt:i4>1362</vt:i4>
      </vt:variant>
      <vt:variant>
        <vt:i4>0</vt:i4>
      </vt:variant>
      <vt:variant>
        <vt:i4>5</vt:i4>
      </vt:variant>
      <vt:variant>
        <vt:lpwstr>https://www.health.gov.au/resources/publications/list-of-elder-care-support-providers</vt:lpwstr>
      </vt:variant>
      <vt:variant>
        <vt:lpwstr/>
      </vt:variant>
      <vt:variant>
        <vt:i4>4980818</vt:i4>
      </vt:variant>
      <vt:variant>
        <vt:i4>1359</vt:i4>
      </vt:variant>
      <vt:variant>
        <vt:i4>0</vt:i4>
      </vt:variant>
      <vt:variant>
        <vt:i4>5</vt:i4>
      </vt:variant>
      <vt:variant>
        <vt:lpwstr>https://www.health.gov.au/resources/publications/living-well-at-home-chsp-good-practice-guide</vt:lpwstr>
      </vt:variant>
      <vt:variant>
        <vt:lpwstr/>
      </vt:variant>
      <vt:variant>
        <vt:i4>131091</vt:i4>
      </vt:variant>
      <vt:variant>
        <vt:i4>1356</vt:i4>
      </vt:variant>
      <vt:variant>
        <vt:i4>0</vt:i4>
      </vt:variant>
      <vt:variant>
        <vt:i4>5</vt:i4>
      </vt:variant>
      <vt:variant>
        <vt:lpwstr>https://www.health.gov.au/resources/collections/wellness-and-reablement-resources?language=en</vt:lpwstr>
      </vt:variant>
      <vt:variant>
        <vt:lpwstr/>
      </vt:variant>
      <vt:variant>
        <vt:i4>7733359</vt:i4>
      </vt:variant>
      <vt:variant>
        <vt:i4>1353</vt:i4>
      </vt:variant>
      <vt:variant>
        <vt:i4>0</vt:i4>
      </vt:variant>
      <vt:variant>
        <vt:i4>5</vt:i4>
      </vt:variant>
      <vt:variant>
        <vt:lpwstr>https://www.health.gov.au/resources/publications/commonwealth-home-support-program-chsp-2025-27-manual?language=en</vt:lpwstr>
      </vt:variant>
      <vt:variant>
        <vt:lpwstr/>
      </vt:variant>
      <vt:variant>
        <vt:i4>786498</vt:i4>
      </vt:variant>
      <vt:variant>
        <vt:i4>1341</vt:i4>
      </vt:variant>
      <vt:variant>
        <vt:i4>0</vt:i4>
      </vt:variant>
      <vt:variant>
        <vt:i4>5</vt:i4>
      </vt:variant>
      <vt:variant>
        <vt:lpwstr>https://www.health.gov.au/resources/publications/my-aged-care-assessor-portal-user-guide-4-navigating-and-updating-the-client-record</vt:lpwstr>
      </vt:variant>
      <vt:variant>
        <vt:lpwstr/>
      </vt:variant>
      <vt:variant>
        <vt:i4>3539057</vt:i4>
      </vt:variant>
      <vt:variant>
        <vt:i4>1335</vt:i4>
      </vt:variant>
      <vt:variant>
        <vt:i4>0</vt:i4>
      </vt:variant>
      <vt:variant>
        <vt:i4>5</vt:i4>
      </vt:variant>
      <vt:variant>
        <vt:lpwstr>https://www.health.gov.au/resources/publications/aged-care-assessment-quality-framework?language=en</vt:lpwstr>
      </vt:variant>
      <vt:variant>
        <vt:lpwstr/>
      </vt:variant>
      <vt:variant>
        <vt:i4>3539057</vt:i4>
      </vt:variant>
      <vt:variant>
        <vt:i4>1332</vt:i4>
      </vt:variant>
      <vt:variant>
        <vt:i4>0</vt:i4>
      </vt:variant>
      <vt:variant>
        <vt:i4>5</vt:i4>
      </vt:variant>
      <vt:variant>
        <vt:lpwstr>https://www.health.gov.au/resources/publications/aged-care-assessment-quality-framework?language=en</vt:lpwstr>
      </vt:variant>
      <vt:variant>
        <vt:lpwstr/>
      </vt:variant>
      <vt:variant>
        <vt:i4>2228285</vt:i4>
      </vt:variant>
      <vt:variant>
        <vt:i4>1329</vt:i4>
      </vt:variant>
      <vt:variant>
        <vt:i4>0</vt:i4>
      </vt:variant>
      <vt:variant>
        <vt:i4>5</vt:i4>
      </vt:variant>
      <vt:variant>
        <vt:lpwstr>https://www.health.gov.au/resources/publications/integrated-assessment-tool-iat-user-guide?language=en</vt:lpwstr>
      </vt:variant>
      <vt:variant>
        <vt:lpwstr/>
      </vt:variant>
      <vt:variant>
        <vt:i4>6619199</vt:i4>
      </vt:variant>
      <vt:variant>
        <vt:i4>1326</vt:i4>
      </vt:variant>
      <vt:variant>
        <vt:i4>0</vt:i4>
      </vt:variant>
      <vt:variant>
        <vt:i4>5</vt:i4>
      </vt:variant>
      <vt:variant>
        <vt:lpwstr>https://www.health.gov.au/resources/publications/my-aged-care-integrated-assessment-tool-iat-user-guide?language=en</vt:lpwstr>
      </vt:variant>
      <vt:variant>
        <vt:lpwstr/>
      </vt:variant>
      <vt:variant>
        <vt:i4>2228285</vt:i4>
      </vt:variant>
      <vt:variant>
        <vt:i4>1323</vt:i4>
      </vt:variant>
      <vt:variant>
        <vt:i4>0</vt:i4>
      </vt:variant>
      <vt:variant>
        <vt:i4>5</vt:i4>
      </vt:variant>
      <vt:variant>
        <vt:lpwstr>https://www.health.gov.au/resources/publications/integrated-assessment-tool-iat-user-guide?language=en</vt:lpwstr>
      </vt:variant>
      <vt:variant>
        <vt:lpwstr/>
      </vt:variant>
      <vt:variant>
        <vt:i4>2228285</vt:i4>
      </vt:variant>
      <vt:variant>
        <vt:i4>1320</vt:i4>
      </vt:variant>
      <vt:variant>
        <vt:i4>0</vt:i4>
      </vt:variant>
      <vt:variant>
        <vt:i4>5</vt:i4>
      </vt:variant>
      <vt:variant>
        <vt:lpwstr>https://www.health.gov.au/resources/publications/integrated-assessment-tool-iat-user-guide?language=en</vt:lpwstr>
      </vt:variant>
      <vt:variant>
        <vt:lpwstr/>
      </vt:variant>
      <vt:variant>
        <vt:i4>7077928</vt:i4>
      </vt:variant>
      <vt:variant>
        <vt:i4>1317</vt:i4>
      </vt:variant>
      <vt:variant>
        <vt:i4>0</vt:i4>
      </vt:variant>
      <vt:variant>
        <vt:i4>5</vt:i4>
      </vt:variant>
      <vt:variant>
        <vt:lpwstr>https://www.health.gov.au/resources/collections/registered-supporter-resources</vt:lpwstr>
      </vt:variant>
      <vt:variant>
        <vt:lpwstr/>
      </vt:variant>
      <vt:variant>
        <vt:i4>3014698</vt:i4>
      </vt:variant>
      <vt:variant>
        <vt:i4>1314</vt:i4>
      </vt:variant>
      <vt:variant>
        <vt:i4>0</vt:i4>
      </vt:variant>
      <vt:variant>
        <vt:i4>5</vt:i4>
      </vt:variant>
      <vt:variant>
        <vt:lpwstr>http://www.myagedcare.gov.au/registering-supporter</vt:lpwstr>
      </vt:variant>
      <vt:variant>
        <vt:lpwstr/>
      </vt:variant>
      <vt:variant>
        <vt:i4>1900625</vt:i4>
      </vt:variant>
      <vt:variant>
        <vt:i4>1308</vt:i4>
      </vt:variant>
      <vt:variant>
        <vt:i4>0</vt:i4>
      </vt:variant>
      <vt:variant>
        <vt:i4>5</vt:i4>
      </vt:variant>
      <vt:variant>
        <vt:lpwstr>https://www.myagedcare.gov.au/registering-supporter-form</vt:lpwstr>
      </vt:variant>
      <vt:variant>
        <vt:lpwstr/>
      </vt:variant>
      <vt:variant>
        <vt:i4>6553712</vt:i4>
      </vt:variant>
      <vt:variant>
        <vt:i4>1305</vt:i4>
      </vt:variant>
      <vt:variant>
        <vt:i4>0</vt:i4>
      </vt:variant>
      <vt:variant>
        <vt:i4>5</vt:i4>
      </vt:variant>
      <vt:variant>
        <vt:lpwstr>https://www.myagedcare.gov.au/publications/registration-supporter-form</vt:lpwstr>
      </vt:variant>
      <vt:variant>
        <vt:lpwstr/>
      </vt:variant>
      <vt:variant>
        <vt:i4>7667813</vt:i4>
      </vt:variant>
      <vt:variant>
        <vt:i4>1293</vt:i4>
      </vt:variant>
      <vt:variant>
        <vt:i4>0</vt:i4>
      </vt:variant>
      <vt:variant>
        <vt:i4>5</vt:i4>
      </vt:variant>
      <vt:variant>
        <vt:lpwstr>https://www.health.gov.au/resources/publications/my-aged-care-assessor-portal-user-guide-6-completing-an-assessment</vt:lpwstr>
      </vt:variant>
      <vt:variant>
        <vt:lpwstr/>
      </vt:variant>
      <vt:variant>
        <vt:i4>4063358</vt:i4>
      </vt:variant>
      <vt:variant>
        <vt:i4>1290</vt:i4>
      </vt:variant>
      <vt:variant>
        <vt:i4>0</vt:i4>
      </vt:variant>
      <vt:variant>
        <vt:i4>5</vt:i4>
      </vt:variant>
      <vt:variant>
        <vt:lpwstr>https://www.health.gov.au/resources/apps-and-tools/health-workforce-locator</vt:lpwstr>
      </vt:variant>
      <vt:variant>
        <vt:lpwstr/>
      </vt:variant>
      <vt:variant>
        <vt:i4>4128866</vt:i4>
      </vt:variant>
      <vt:variant>
        <vt:i4>1284</vt:i4>
      </vt:variant>
      <vt:variant>
        <vt:i4>0</vt:i4>
      </vt:variant>
      <vt:variant>
        <vt:i4>5</vt:i4>
      </vt:variant>
      <vt:variant>
        <vt:lpwstr>https://www.myagedcare.gov.au/help-care-finder</vt:lpwstr>
      </vt:variant>
      <vt:variant>
        <vt:lpwstr/>
      </vt:variant>
      <vt:variant>
        <vt:i4>1441815</vt:i4>
      </vt:variant>
      <vt:variant>
        <vt:i4>1281</vt:i4>
      </vt:variant>
      <vt:variant>
        <vt:i4>0</vt:i4>
      </vt:variant>
      <vt:variant>
        <vt:i4>5</vt:i4>
      </vt:variant>
      <vt:variant>
        <vt:lpwstr>https://www.myagedcare.gov.au/accessible-all</vt:lpwstr>
      </vt:variant>
      <vt:variant>
        <vt:lpwstr/>
      </vt:variant>
      <vt:variant>
        <vt:i4>6422644</vt:i4>
      </vt:variant>
      <vt:variant>
        <vt:i4>1278</vt:i4>
      </vt:variant>
      <vt:variant>
        <vt:i4>0</vt:i4>
      </vt:variant>
      <vt:variant>
        <vt:i4>5</vt:i4>
      </vt:variant>
      <vt:variant>
        <vt:lpwstr>https://www.health.gov.au/resources/publications/fact-sheet-for-ras-and-acat-assessors-on-care-finders?language=en</vt:lpwstr>
      </vt:variant>
      <vt:variant>
        <vt:lpwstr/>
      </vt:variant>
      <vt:variant>
        <vt:i4>1114204</vt:i4>
      </vt:variant>
      <vt:variant>
        <vt:i4>1275</vt:i4>
      </vt:variant>
      <vt:variant>
        <vt:i4>0</vt:i4>
      </vt:variant>
      <vt:variant>
        <vt:i4>5</vt:i4>
      </vt:variant>
      <vt:variant>
        <vt:lpwstr>https://www.health.gov.au/our-work/sign-language-interpreting-and-captioning-services-for-australian-government-subsidised-aged-care-services</vt:lpwstr>
      </vt:variant>
      <vt:variant>
        <vt:lpwstr/>
      </vt:variant>
      <vt:variant>
        <vt:i4>2228285</vt:i4>
      </vt:variant>
      <vt:variant>
        <vt:i4>1266</vt:i4>
      </vt:variant>
      <vt:variant>
        <vt:i4>0</vt:i4>
      </vt:variant>
      <vt:variant>
        <vt:i4>5</vt:i4>
      </vt:variant>
      <vt:variant>
        <vt:lpwstr>https://www.health.gov.au/resources/publications/integrated-assessment-tool-iat-user-guide?language=en</vt:lpwstr>
      </vt:variant>
      <vt:variant>
        <vt:lpwstr/>
      </vt:variant>
      <vt:variant>
        <vt:i4>4128826</vt:i4>
      </vt:variant>
      <vt:variant>
        <vt:i4>1260</vt:i4>
      </vt:variant>
      <vt:variant>
        <vt:i4>0</vt:i4>
      </vt:variant>
      <vt:variant>
        <vt:i4>5</vt:i4>
      </vt:variant>
      <vt:variant>
        <vt:lpwstr>https://www.myagedcare.gov.au/support-for-lgbti-people</vt:lpwstr>
      </vt:variant>
      <vt:variant>
        <vt:lpwstr/>
      </vt:variant>
      <vt:variant>
        <vt:i4>1179740</vt:i4>
      </vt:variant>
      <vt:variant>
        <vt:i4>1257</vt:i4>
      </vt:variant>
      <vt:variant>
        <vt:i4>0</vt:i4>
      </vt:variant>
      <vt:variant>
        <vt:i4>5</vt:i4>
      </vt:variant>
      <vt:variant>
        <vt:lpwstr>https://www.health.gov.au/our-work/elder-care-support</vt:lpwstr>
      </vt:variant>
      <vt:variant>
        <vt:lpwstr/>
      </vt:variant>
      <vt:variant>
        <vt:i4>4128866</vt:i4>
      </vt:variant>
      <vt:variant>
        <vt:i4>1254</vt:i4>
      </vt:variant>
      <vt:variant>
        <vt:i4>0</vt:i4>
      </vt:variant>
      <vt:variant>
        <vt:i4>5</vt:i4>
      </vt:variant>
      <vt:variant>
        <vt:lpwstr>https://www.myagedcare.gov.au/help-care-finder</vt:lpwstr>
      </vt:variant>
      <vt:variant>
        <vt:lpwstr/>
      </vt:variant>
      <vt:variant>
        <vt:i4>4980819</vt:i4>
      </vt:variant>
      <vt:variant>
        <vt:i4>1251</vt:i4>
      </vt:variant>
      <vt:variant>
        <vt:i4>0</vt:i4>
      </vt:variant>
      <vt:variant>
        <vt:i4>5</vt:i4>
      </vt:variant>
      <vt:variant>
        <vt:lpwstr>https://www.myagedcare.gov.au/getting-support</vt:lpwstr>
      </vt:variant>
      <vt:variant>
        <vt:lpwstr/>
      </vt:variant>
      <vt:variant>
        <vt:i4>3014769</vt:i4>
      </vt:variant>
      <vt:variant>
        <vt:i4>1248</vt:i4>
      </vt:variant>
      <vt:variant>
        <vt:i4>0</vt:i4>
      </vt:variant>
      <vt:variant>
        <vt:i4>5</vt:i4>
      </vt:variant>
      <vt:variant>
        <vt:lpwstr>https://www.myagedcare.gov.au/support-people-culturally-and-linguistically-diverse-backgrounds</vt:lpwstr>
      </vt:variant>
      <vt:variant>
        <vt:lpwstr/>
      </vt:variant>
      <vt:variant>
        <vt:i4>4784201</vt:i4>
      </vt:variant>
      <vt:variant>
        <vt:i4>1245</vt:i4>
      </vt:variant>
      <vt:variant>
        <vt:i4>0</vt:i4>
      </vt:variant>
      <vt:variant>
        <vt:i4>5</vt:i4>
      </vt:variant>
      <vt:variant>
        <vt:lpwstr>https://opan.org.au/</vt:lpwstr>
      </vt:variant>
      <vt:variant>
        <vt:lpwstr/>
      </vt:variant>
      <vt:variant>
        <vt:i4>3014698</vt:i4>
      </vt:variant>
      <vt:variant>
        <vt:i4>1242</vt:i4>
      </vt:variant>
      <vt:variant>
        <vt:i4>0</vt:i4>
      </vt:variant>
      <vt:variant>
        <vt:i4>5</vt:i4>
      </vt:variant>
      <vt:variant>
        <vt:lpwstr>http://www.myagedcare.gov.au/registering-supporter</vt:lpwstr>
      </vt:variant>
      <vt:variant>
        <vt:lpwstr/>
      </vt:variant>
      <vt:variant>
        <vt:i4>5308483</vt:i4>
      </vt:variant>
      <vt:variant>
        <vt:i4>1233</vt:i4>
      </vt:variant>
      <vt:variant>
        <vt:i4>0</vt:i4>
      </vt:variant>
      <vt:variant>
        <vt:i4>5</vt:i4>
      </vt:variant>
      <vt:variant>
        <vt:lpwstr>https://www.myagedcare.gov.au/elder-care-support-program</vt:lpwstr>
      </vt:variant>
      <vt:variant>
        <vt:lpwstr/>
      </vt:variant>
      <vt:variant>
        <vt:i4>4128866</vt:i4>
      </vt:variant>
      <vt:variant>
        <vt:i4>1230</vt:i4>
      </vt:variant>
      <vt:variant>
        <vt:i4>0</vt:i4>
      </vt:variant>
      <vt:variant>
        <vt:i4>5</vt:i4>
      </vt:variant>
      <vt:variant>
        <vt:lpwstr>https://www.myagedcare.gov.au/help-care-finder</vt:lpwstr>
      </vt:variant>
      <vt:variant>
        <vt:lpwstr/>
      </vt:variant>
      <vt:variant>
        <vt:i4>7340144</vt:i4>
      </vt:variant>
      <vt:variant>
        <vt:i4>1218</vt:i4>
      </vt:variant>
      <vt:variant>
        <vt:i4>0</vt:i4>
      </vt:variant>
      <vt:variant>
        <vt:i4>5</vt:i4>
      </vt:variant>
      <vt:variant>
        <vt:lpwstr>https://www.health.gov.au/resources/publications/aboriginal-and-torres-strait-islander-aged-care-framework?language=en</vt:lpwstr>
      </vt:variant>
      <vt:variant>
        <vt:lpwstr/>
      </vt:variant>
      <vt:variant>
        <vt:i4>3276855</vt:i4>
      </vt:variant>
      <vt:variant>
        <vt:i4>1215</vt:i4>
      </vt:variant>
      <vt:variant>
        <vt:i4>0</vt:i4>
      </vt:variant>
      <vt:variant>
        <vt:i4>5</vt:i4>
      </vt:variant>
      <vt:variant>
        <vt:lpwstr>https://www.myagedcare.gov.au/registering-supporter</vt:lpwstr>
      </vt:variant>
      <vt:variant>
        <vt:lpwstr/>
      </vt:variant>
      <vt:variant>
        <vt:i4>917594</vt:i4>
      </vt:variant>
      <vt:variant>
        <vt:i4>1212</vt:i4>
      </vt:variant>
      <vt:variant>
        <vt:i4>0</vt:i4>
      </vt:variant>
      <vt:variant>
        <vt:i4>5</vt:i4>
      </vt:variant>
      <vt:variant>
        <vt:lpwstr>https://www.myagedcare.gov.au/privacy</vt:lpwstr>
      </vt:variant>
      <vt:variant>
        <vt:lpwstr/>
      </vt:variant>
      <vt:variant>
        <vt:i4>3866668</vt:i4>
      </vt:variant>
      <vt:variant>
        <vt:i4>1209</vt:i4>
      </vt:variant>
      <vt:variant>
        <vt:i4>0</vt:i4>
      </vt:variant>
      <vt:variant>
        <vt:i4>5</vt:i4>
      </vt:variant>
      <vt:variant>
        <vt:lpwstr>https://www.healthdirect.gov.au/privacy-policy</vt:lpwstr>
      </vt:variant>
      <vt:variant>
        <vt:lpwstr/>
      </vt:variant>
      <vt:variant>
        <vt:i4>196638</vt:i4>
      </vt:variant>
      <vt:variant>
        <vt:i4>1206</vt:i4>
      </vt:variant>
      <vt:variant>
        <vt:i4>0</vt:i4>
      </vt:variant>
      <vt:variant>
        <vt:i4>5</vt:i4>
      </vt:variant>
      <vt:variant>
        <vt:lpwstr>https://www.legislation.gov.au/Series/C2004A03712</vt:lpwstr>
      </vt:variant>
      <vt:variant>
        <vt:lpwstr/>
      </vt:variant>
      <vt:variant>
        <vt:i4>3014707</vt:i4>
      </vt:variant>
      <vt:variant>
        <vt:i4>1203</vt:i4>
      </vt:variant>
      <vt:variant>
        <vt:i4>0</vt:i4>
      </vt:variant>
      <vt:variant>
        <vt:i4>5</vt:i4>
      </vt:variant>
      <vt:variant>
        <vt:lpwstr>https://www.legislation.gov.au/C2024A00104/latest/text</vt:lpwstr>
      </vt:variant>
      <vt:variant>
        <vt:lpwstr/>
      </vt:variant>
      <vt:variant>
        <vt:i4>5373971</vt:i4>
      </vt:variant>
      <vt:variant>
        <vt:i4>1200</vt:i4>
      </vt:variant>
      <vt:variant>
        <vt:i4>0</vt:i4>
      </vt:variant>
      <vt:variant>
        <vt:i4>5</vt:i4>
      </vt:variant>
      <vt:variant>
        <vt:lpwstr>https://www.health.gov.au/using-our-websites/website-privacy-policy/privacy-notice-for-single-assessment</vt:lpwstr>
      </vt:variant>
      <vt:variant>
        <vt:lpwstr/>
      </vt:variant>
      <vt:variant>
        <vt:i4>5636141</vt:i4>
      </vt:variant>
      <vt:variant>
        <vt:i4>1194</vt:i4>
      </vt:variant>
      <vt:variant>
        <vt:i4>0</vt:i4>
      </vt:variant>
      <vt:variant>
        <vt:i4>5</vt:i4>
      </vt:variant>
      <vt:variant>
        <vt:lpwstr/>
      </vt:variant>
      <vt:variant>
        <vt:lpwstr>CH1_SupportedDecisionMaking</vt:lpwstr>
      </vt:variant>
      <vt:variant>
        <vt:i4>1310803</vt:i4>
      </vt:variant>
      <vt:variant>
        <vt:i4>1191</vt:i4>
      </vt:variant>
      <vt:variant>
        <vt:i4>0</vt:i4>
      </vt:variant>
      <vt:variant>
        <vt:i4>5</vt:i4>
      </vt:variant>
      <vt:variant>
        <vt:lpwstr>https://www.health.gov.au/sites/default/files/2026-04/capacity-in-the-registered-supporter-context-policy.pdf</vt:lpwstr>
      </vt:variant>
      <vt:variant>
        <vt:lpwstr/>
      </vt:variant>
      <vt:variant>
        <vt:i4>5636141</vt:i4>
      </vt:variant>
      <vt:variant>
        <vt:i4>1188</vt:i4>
      </vt:variant>
      <vt:variant>
        <vt:i4>0</vt:i4>
      </vt:variant>
      <vt:variant>
        <vt:i4>5</vt:i4>
      </vt:variant>
      <vt:variant>
        <vt:lpwstr/>
      </vt:variant>
      <vt:variant>
        <vt:lpwstr>CH1_SupportedDecisionMaking</vt:lpwstr>
      </vt:variant>
      <vt:variant>
        <vt:i4>786498</vt:i4>
      </vt:variant>
      <vt:variant>
        <vt:i4>1185</vt:i4>
      </vt:variant>
      <vt:variant>
        <vt:i4>0</vt:i4>
      </vt:variant>
      <vt:variant>
        <vt:i4>5</vt:i4>
      </vt:variant>
      <vt:variant>
        <vt:lpwstr>https://www.health.gov.au/resources/publications/my-aged-care-assessor-portal-user-guide-4-navigating-and-updating-the-client-record</vt:lpwstr>
      </vt:variant>
      <vt:variant>
        <vt:lpwstr/>
      </vt:variant>
      <vt:variant>
        <vt:i4>5308422</vt:i4>
      </vt:variant>
      <vt:variant>
        <vt:i4>1182</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6029339</vt:i4>
      </vt:variant>
      <vt:variant>
        <vt:i4>1179</vt:i4>
      </vt:variant>
      <vt:variant>
        <vt:i4>0</vt:i4>
      </vt:variant>
      <vt:variant>
        <vt:i4>5</vt:i4>
      </vt:variant>
      <vt:variant>
        <vt:lpwstr>https://www.health.gov.au/resources/publications/my-aged-care-assessor-portal-user-guide-1-registering-and-referring-clients</vt:lpwstr>
      </vt:variant>
      <vt:variant>
        <vt:lpwstr/>
      </vt:variant>
      <vt:variant>
        <vt:i4>589912</vt:i4>
      </vt:variant>
      <vt:variant>
        <vt:i4>1155</vt:i4>
      </vt:variant>
      <vt:variant>
        <vt:i4>0</vt:i4>
      </vt:variant>
      <vt:variant>
        <vt:i4>5</vt:i4>
      </vt:variant>
      <vt:variant>
        <vt:lpwstr>https://www.health.gov.au/resources/publications/my-aged-care-assessor-portal-user-guide-3-managing-referrals-for-assessment-and-support-plan-reviews?language=en</vt:lpwstr>
      </vt:variant>
      <vt:variant>
        <vt:lpwstr/>
      </vt:variant>
      <vt:variant>
        <vt:i4>2687056</vt:i4>
      </vt:variant>
      <vt:variant>
        <vt:i4>1149</vt:i4>
      </vt:variant>
      <vt:variant>
        <vt:i4>0</vt:i4>
      </vt:variant>
      <vt:variant>
        <vt:i4>5</vt:i4>
      </vt:variant>
      <vt:variant>
        <vt:lpwstr>https://www.health.gov.au/sites/default/files/2025-10/guidance-material-for-single-assessment-system-assessors-aboriginal-and-torres-strait-islander-aged-care-assessment-organisations_0.pdf</vt:lpwstr>
      </vt:variant>
      <vt:variant>
        <vt:lpwstr/>
      </vt:variant>
      <vt:variant>
        <vt:i4>4849688</vt:i4>
      </vt:variant>
      <vt:variant>
        <vt:i4>1146</vt:i4>
      </vt:variant>
      <vt:variant>
        <vt:i4>0</vt:i4>
      </vt:variant>
      <vt:variant>
        <vt:i4>5</vt:i4>
      </vt:variant>
      <vt:variant>
        <vt:lpwstr>https://experience.arcgis.com/experience/ccd77404d8b04524b871edbfb76fa69c</vt:lpwstr>
      </vt:variant>
      <vt:variant>
        <vt:lpwstr/>
      </vt:variant>
      <vt:variant>
        <vt:i4>2555911</vt:i4>
      </vt:variant>
      <vt:variant>
        <vt:i4>1137</vt:i4>
      </vt:variant>
      <vt:variant>
        <vt:i4>0</vt:i4>
      </vt:variant>
      <vt:variant>
        <vt:i4>5</vt:i4>
      </vt:variant>
      <vt:variant>
        <vt:lpwstr>mailto:MyAgedCare.Assessment@health.gov.au</vt:lpwstr>
      </vt:variant>
      <vt:variant>
        <vt:lpwstr/>
      </vt:variant>
      <vt:variant>
        <vt:i4>6946876</vt:i4>
      </vt:variant>
      <vt:variant>
        <vt:i4>1134</vt:i4>
      </vt:variant>
      <vt:variant>
        <vt:i4>0</vt:i4>
      </vt:variant>
      <vt:variant>
        <vt:i4>5</vt:i4>
      </vt:variant>
      <vt:variant>
        <vt:lpwstr>https://www.health.gov.au/resources/publications/my-aged-care-application-for-care-form?language=en</vt:lpwstr>
      </vt:variant>
      <vt:variant>
        <vt:lpwstr/>
      </vt:variant>
      <vt:variant>
        <vt:i4>2687058</vt:i4>
      </vt:variant>
      <vt:variant>
        <vt:i4>1131</vt:i4>
      </vt:variant>
      <vt:variant>
        <vt:i4>0</vt:i4>
      </vt:variant>
      <vt:variant>
        <vt:i4>5</vt:i4>
      </vt:variant>
      <vt:variant>
        <vt:lpwstr>mailto:MyAgedCareAssessment@health.gov.au</vt:lpwstr>
      </vt:variant>
      <vt:variant>
        <vt:lpwstr/>
      </vt:variant>
      <vt:variant>
        <vt:i4>6684727</vt:i4>
      </vt:variant>
      <vt:variant>
        <vt:i4>1128</vt:i4>
      </vt:variant>
      <vt:variant>
        <vt:i4>0</vt:i4>
      </vt:variant>
      <vt:variant>
        <vt:i4>5</vt:i4>
      </vt:variant>
      <vt:variant>
        <vt:lpwstr>https://www.health.gov.au/resources/apps-and-tools/my-aged-care-service-and-support-portal</vt:lpwstr>
      </vt:variant>
      <vt:variant>
        <vt:lpwstr/>
      </vt:variant>
      <vt:variant>
        <vt:i4>6684793</vt:i4>
      </vt:variant>
      <vt:variant>
        <vt:i4>1125</vt:i4>
      </vt:variant>
      <vt:variant>
        <vt:i4>0</vt:i4>
      </vt:variant>
      <vt:variant>
        <vt:i4>5</vt:i4>
      </vt:variant>
      <vt:variant>
        <vt:lpwstr>https://www.myagedcare.gov.au/gettting-support-navigate-aged-care</vt:lpwstr>
      </vt:variant>
      <vt:variant>
        <vt:lpwstr>changes-to-agent-roles</vt:lpwstr>
      </vt:variant>
      <vt:variant>
        <vt:i4>589888</vt:i4>
      </vt:variant>
      <vt:variant>
        <vt:i4>1122</vt:i4>
      </vt:variant>
      <vt:variant>
        <vt:i4>0</vt:i4>
      </vt:variant>
      <vt:variant>
        <vt:i4>5</vt:i4>
      </vt:variant>
      <vt:variant>
        <vt:lpwstr>https://www.myagedcare.gov.au/translated</vt:lpwstr>
      </vt:variant>
      <vt:variant>
        <vt:lpwstr/>
      </vt:variant>
      <vt:variant>
        <vt:i4>5242954</vt:i4>
      </vt:variant>
      <vt:variant>
        <vt:i4>1119</vt:i4>
      </vt:variant>
      <vt:variant>
        <vt:i4>0</vt:i4>
      </vt:variant>
      <vt:variant>
        <vt:i4>5</vt:i4>
      </vt:variant>
      <vt:variant>
        <vt:lpwstr>https://www.myagedcare.gov.au/sites/default/files/documents/registration-of-a-supporter-form.pdf</vt:lpwstr>
      </vt:variant>
      <vt:variant>
        <vt:lpwstr/>
      </vt:variant>
      <vt:variant>
        <vt:i4>3670114</vt:i4>
      </vt:variant>
      <vt:variant>
        <vt:i4>1116</vt:i4>
      </vt:variant>
      <vt:variant>
        <vt:i4>0</vt:i4>
      </vt:variant>
      <vt:variant>
        <vt:i4>5</vt:i4>
      </vt:variant>
      <vt:variant>
        <vt:lpwstr>https://www.health.gov.au/our-work/aged-care-act/about/registered-supporters-in-aged-care/transition-arrangements-for-the-new-registered-supporter-role</vt:lpwstr>
      </vt:variant>
      <vt:variant>
        <vt:lpwstr/>
      </vt:variant>
      <vt:variant>
        <vt:i4>2490470</vt:i4>
      </vt:variant>
      <vt:variant>
        <vt:i4>1113</vt:i4>
      </vt:variant>
      <vt:variant>
        <vt:i4>0</vt:i4>
      </vt:variant>
      <vt:variant>
        <vt:i4>5</vt:i4>
      </vt:variant>
      <vt:variant>
        <vt:lpwstr>https://www.health.gov.au/resources/publications/my-aged-care-assessor-portal-user-guide-2-registering-support-people-and-adding-relationships</vt:lpwstr>
      </vt:variant>
      <vt:variant>
        <vt:lpwstr/>
      </vt:variant>
      <vt:variant>
        <vt:i4>7077928</vt:i4>
      </vt:variant>
      <vt:variant>
        <vt:i4>1110</vt:i4>
      </vt:variant>
      <vt:variant>
        <vt:i4>0</vt:i4>
      </vt:variant>
      <vt:variant>
        <vt:i4>5</vt:i4>
      </vt:variant>
      <vt:variant>
        <vt:lpwstr>https://www.health.gov.au/resources/collections/registered-supporter-resources</vt:lpwstr>
      </vt:variant>
      <vt:variant>
        <vt:lpwstr/>
      </vt:variant>
      <vt:variant>
        <vt:i4>458819</vt:i4>
      </vt:variant>
      <vt:variant>
        <vt:i4>1107</vt:i4>
      </vt:variant>
      <vt:variant>
        <vt:i4>0</vt:i4>
      </vt:variant>
      <vt:variant>
        <vt:i4>5</vt:i4>
      </vt:variant>
      <vt:variant>
        <vt:lpwstr>http://www.myagedcare.gov.au/registering-supporter/appointed-decision-makers</vt:lpwstr>
      </vt:variant>
      <vt:variant>
        <vt:lpwstr/>
      </vt:variant>
      <vt:variant>
        <vt:i4>3014698</vt:i4>
      </vt:variant>
      <vt:variant>
        <vt:i4>1104</vt:i4>
      </vt:variant>
      <vt:variant>
        <vt:i4>0</vt:i4>
      </vt:variant>
      <vt:variant>
        <vt:i4>5</vt:i4>
      </vt:variant>
      <vt:variant>
        <vt:lpwstr>http://www.myagedcare.gov.au/registering-supporter</vt:lpwstr>
      </vt:variant>
      <vt:variant>
        <vt:lpwstr/>
      </vt:variant>
      <vt:variant>
        <vt:i4>1245201</vt:i4>
      </vt:variant>
      <vt:variant>
        <vt:i4>1101</vt:i4>
      </vt:variant>
      <vt:variant>
        <vt:i4>0</vt:i4>
      </vt:variant>
      <vt:variant>
        <vt:i4>5</vt:i4>
      </vt:variant>
      <vt:variant>
        <vt:lpwstr>https://www.health.gov.au/our-work/aged-care-act/about/registered-supporters</vt:lpwstr>
      </vt:variant>
      <vt:variant>
        <vt:lpwstr>make-a-complaint-or-submit-a-document</vt:lpwstr>
      </vt:variant>
      <vt:variant>
        <vt:i4>7077928</vt:i4>
      </vt:variant>
      <vt:variant>
        <vt:i4>1098</vt:i4>
      </vt:variant>
      <vt:variant>
        <vt:i4>0</vt:i4>
      </vt:variant>
      <vt:variant>
        <vt:i4>5</vt:i4>
      </vt:variant>
      <vt:variant>
        <vt:lpwstr>https://www.health.gov.au/resources/collections/registered-supporter-resources</vt:lpwstr>
      </vt:variant>
      <vt:variant>
        <vt:lpwstr/>
      </vt:variant>
      <vt:variant>
        <vt:i4>5767245</vt:i4>
      </vt:variant>
      <vt:variant>
        <vt:i4>1095</vt:i4>
      </vt:variant>
      <vt:variant>
        <vt:i4>0</vt:i4>
      </vt:variant>
      <vt:variant>
        <vt:i4>5</vt:i4>
      </vt:variant>
      <vt:variant>
        <vt:lpwstr>https://www.health.gov.au/resources/publications/conflicts-of-interest-policy?language=en</vt:lpwstr>
      </vt:variant>
      <vt:variant>
        <vt:lpwstr/>
      </vt:variant>
      <vt:variant>
        <vt:i4>5963807</vt:i4>
      </vt:variant>
      <vt:variant>
        <vt:i4>1092</vt:i4>
      </vt:variant>
      <vt:variant>
        <vt:i4>0</vt:i4>
      </vt:variant>
      <vt:variant>
        <vt:i4>5</vt:i4>
      </vt:variant>
      <vt:variant>
        <vt:lpwstr>https://www.myagedcare.gov.au/registering-supporter/appointed-decision-makers</vt:lpwstr>
      </vt:variant>
      <vt:variant>
        <vt:lpwstr/>
      </vt:variant>
      <vt:variant>
        <vt:i4>3276857</vt:i4>
      </vt:variant>
      <vt:variant>
        <vt:i4>1089</vt:i4>
      </vt:variant>
      <vt:variant>
        <vt:i4>0</vt:i4>
      </vt:variant>
      <vt:variant>
        <vt:i4>5</vt:i4>
      </vt:variant>
      <vt:variant>
        <vt:lpwstr>https://www.health.gov.au/resources/publications/duties-policy?language=en</vt:lpwstr>
      </vt:variant>
      <vt:variant>
        <vt:lpwstr/>
      </vt:variant>
      <vt:variant>
        <vt:i4>4325471</vt:i4>
      </vt:variant>
      <vt:variant>
        <vt:i4>1086</vt:i4>
      </vt:variant>
      <vt:variant>
        <vt:i4>0</vt:i4>
      </vt:variant>
      <vt:variant>
        <vt:i4>5</vt:i4>
      </vt:variant>
      <vt:variant>
        <vt:lpwstr>https://www.health.gov.au/our-work/aged-care-act/about/registered-supporters</vt:lpwstr>
      </vt:variant>
      <vt:variant>
        <vt:lpwstr/>
      </vt:variant>
      <vt:variant>
        <vt:i4>6946876</vt:i4>
      </vt:variant>
      <vt:variant>
        <vt:i4>1071</vt:i4>
      </vt:variant>
      <vt:variant>
        <vt:i4>0</vt:i4>
      </vt:variant>
      <vt:variant>
        <vt:i4>5</vt:i4>
      </vt:variant>
      <vt:variant>
        <vt:lpwstr>https://www.health.gov.au/resources/publications/my-aged-care-application-for-care-form?language=en</vt:lpwstr>
      </vt:variant>
      <vt:variant>
        <vt:lpwstr/>
      </vt:variant>
      <vt:variant>
        <vt:i4>6946876</vt:i4>
      </vt:variant>
      <vt:variant>
        <vt:i4>1056</vt:i4>
      </vt:variant>
      <vt:variant>
        <vt:i4>0</vt:i4>
      </vt:variant>
      <vt:variant>
        <vt:i4>5</vt:i4>
      </vt:variant>
      <vt:variant>
        <vt:lpwstr>https://www.health.gov.au/resources/publications/my-aged-care-application-for-care-form?language=en</vt:lpwstr>
      </vt:variant>
      <vt:variant>
        <vt:lpwstr/>
      </vt:variant>
      <vt:variant>
        <vt:i4>6029377</vt:i4>
      </vt:variant>
      <vt:variant>
        <vt:i4>1053</vt:i4>
      </vt:variant>
      <vt:variant>
        <vt:i4>0</vt:i4>
      </vt:variant>
      <vt:variant>
        <vt:i4>5</vt:i4>
      </vt:variant>
      <vt:variant>
        <vt:lpwstr>https://www.myagedcare.gov.au/access-your-online-account</vt:lpwstr>
      </vt:variant>
      <vt:variant>
        <vt:lpwstr/>
      </vt:variant>
      <vt:variant>
        <vt:i4>7078009</vt:i4>
      </vt:variant>
      <vt:variant>
        <vt:i4>1050</vt:i4>
      </vt:variant>
      <vt:variant>
        <vt:i4>0</vt:i4>
      </vt:variant>
      <vt:variant>
        <vt:i4>5</vt:i4>
      </vt:variant>
      <vt:variant>
        <vt:lpwstr>https://www.servicesaustralia.gov.au/aged-care-specialist-officer-my-aged-care-face-to-face-services?context=55715</vt:lpwstr>
      </vt:variant>
      <vt:variant>
        <vt:lpwstr/>
      </vt:variant>
      <vt:variant>
        <vt:i4>7078009</vt:i4>
      </vt:variant>
      <vt:variant>
        <vt:i4>1047</vt:i4>
      </vt:variant>
      <vt:variant>
        <vt:i4>0</vt:i4>
      </vt:variant>
      <vt:variant>
        <vt:i4>5</vt:i4>
      </vt:variant>
      <vt:variant>
        <vt:lpwstr>https://www.servicesaustralia.gov.au/aged-care-specialist-officer-my-aged-care-face-to-face-services?context=55715</vt:lpwstr>
      </vt:variant>
      <vt:variant>
        <vt:lpwstr/>
      </vt:variant>
      <vt:variant>
        <vt:i4>4128887</vt:i4>
      </vt:variant>
      <vt:variant>
        <vt:i4>1044</vt:i4>
      </vt:variant>
      <vt:variant>
        <vt:i4>0</vt:i4>
      </vt:variant>
      <vt:variant>
        <vt:i4>5</vt:i4>
      </vt:variant>
      <vt:variant>
        <vt:lpwstr>https://www.healthlink.com.au/my-aged-care/</vt:lpwstr>
      </vt:variant>
      <vt:variant>
        <vt:lpwstr/>
      </vt:variant>
      <vt:variant>
        <vt:i4>8126590</vt:i4>
      </vt:variant>
      <vt:variant>
        <vt:i4>1041</vt:i4>
      </vt:variant>
      <vt:variant>
        <vt:i4>0</vt:i4>
      </vt:variant>
      <vt:variant>
        <vt:i4>5</vt:i4>
      </vt:variant>
      <vt:variant>
        <vt:lpwstr>https://www.myagedcare.gov.au/health-professionals</vt:lpwstr>
      </vt:variant>
      <vt:variant>
        <vt:lpwstr/>
      </vt:variant>
      <vt:variant>
        <vt:i4>1572953</vt:i4>
      </vt:variant>
      <vt:variant>
        <vt:i4>1038</vt:i4>
      </vt:variant>
      <vt:variant>
        <vt:i4>0</vt:i4>
      </vt:variant>
      <vt:variant>
        <vt:i4>5</vt:i4>
      </vt:variant>
      <vt:variant>
        <vt:lpwstr>https://www.myagedcare.gov.au/assessment/apply-online</vt:lpwstr>
      </vt:variant>
      <vt:variant>
        <vt:lpwstr/>
      </vt:variant>
      <vt:variant>
        <vt:i4>720941</vt:i4>
      </vt:variant>
      <vt:variant>
        <vt:i4>1035</vt:i4>
      </vt:variant>
      <vt:variant>
        <vt:i4>0</vt:i4>
      </vt:variant>
      <vt:variant>
        <vt:i4>5</vt:i4>
      </vt:variant>
      <vt:variant>
        <vt:lpwstr>https://www.health.gov.au/topics/bladder-and-bowel?utm_source=bladderbowel.gov.au&amp;utm_medium=redirect&amp;utm_campaign=digital_transformation&amp;utm_content=bladderbowel</vt:lpwstr>
      </vt:variant>
      <vt:variant>
        <vt:lpwstr/>
      </vt:variant>
      <vt:variant>
        <vt:i4>720970</vt:i4>
      </vt:variant>
      <vt:variant>
        <vt:i4>1032</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4849714</vt:i4>
      </vt:variant>
      <vt:variant>
        <vt:i4>1029</vt:i4>
      </vt:variant>
      <vt:variant>
        <vt:i4>0</vt:i4>
      </vt:variant>
      <vt:variant>
        <vt:i4>5</vt:i4>
      </vt:variant>
      <vt:variant>
        <vt:lpwstr>https://journals.lww.com/dcrjournal/abstract/2013/05000/the_revised_faecal_incontinence_scale__a_clinical.16.aspx</vt:lpwstr>
      </vt:variant>
      <vt:variant>
        <vt:lpwstr/>
      </vt:variant>
      <vt:variant>
        <vt:i4>524361</vt:i4>
      </vt:variant>
      <vt:variant>
        <vt:i4>1026</vt:i4>
      </vt:variant>
      <vt:variant>
        <vt:i4>0</vt:i4>
      </vt:variant>
      <vt:variant>
        <vt:i4>5</vt:i4>
      </vt:variant>
      <vt:variant>
        <vt:lpwstr>https://www.ics.org/Abstracts/Publish/134/000370.pdf</vt:lpwstr>
      </vt:variant>
      <vt:variant>
        <vt:lpwstr/>
      </vt:variant>
      <vt:variant>
        <vt:i4>720941</vt:i4>
      </vt:variant>
      <vt:variant>
        <vt:i4>1023</vt:i4>
      </vt:variant>
      <vt:variant>
        <vt:i4>0</vt:i4>
      </vt:variant>
      <vt:variant>
        <vt:i4>5</vt:i4>
      </vt:variant>
      <vt:variant>
        <vt:lpwstr>https://www.health.gov.au/topics/bladder-and-bowel?utm_source=bladderbowel.gov.au&amp;utm_medium=redirect&amp;utm_campaign=digital_transformation&amp;utm_content=bladderbowel</vt:lpwstr>
      </vt:variant>
      <vt:variant>
        <vt:lpwstr/>
      </vt:variant>
      <vt:variant>
        <vt:i4>720970</vt:i4>
      </vt:variant>
      <vt:variant>
        <vt:i4>1020</vt:i4>
      </vt:variant>
      <vt:variant>
        <vt:i4>0</vt:i4>
      </vt:variant>
      <vt:variant>
        <vt:i4>5</vt:i4>
      </vt:variant>
      <vt:variant>
        <vt:lpwstr>https://www.researchgate.net/publication/304216825_Technical_Manual_and_Instructions_Revised_Incontinence_and_Patient_Satisfaction_Tools_Version_2</vt:lpwstr>
      </vt:variant>
      <vt:variant>
        <vt:lpwstr/>
      </vt:variant>
      <vt:variant>
        <vt:i4>1179676</vt:i4>
      </vt:variant>
      <vt:variant>
        <vt:i4>1017</vt:i4>
      </vt:variant>
      <vt:variant>
        <vt:i4>0</vt:i4>
      </vt:variant>
      <vt:variant>
        <vt:i4>5</vt:i4>
      </vt:variant>
      <vt:variant>
        <vt:lpwstr>https://www.mdcalc.com/calc/2047/revised-urinary-incontinence-scale-ruis</vt:lpwstr>
      </vt:variant>
      <vt:variant>
        <vt:lpwstr/>
      </vt:variant>
      <vt:variant>
        <vt:i4>1245260</vt:i4>
      </vt:variant>
      <vt:variant>
        <vt:i4>1014</vt:i4>
      </vt:variant>
      <vt:variant>
        <vt:i4>0</vt:i4>
      </vt:variant>
      <vt:variant>
        <vt:i4>5</vt:i4>
      </vt:variant>
      <vt:variant>
        <vt:lpwstr>https://www.iawr.com.au/kica</vt:lpwstr>
      </vt:variant>
      <vt:variant>
        <vt:lpwstr/>
      </vt:variant>
      <vt:variant>
        <vt:i4>6881342</vt:i4>
      </vt:variant>
      <vt:variant>
        <vt:i4>1011</vt:i4>
      </vt:variant>
      <vt:variant>
        <vt:i4>0</vt:i4>
      </vt:variant>
      <vt:variant>
        <vt:i4>5</vt:i4>
      </vt:variant>
      <vt:variant>
        <vt:lpwstr>https://www.nari.net.au/indigenous-cognitive-assessment</vt:lpwstr>
      </vt:variant>
      <vt:variant>
        <vt:lpwstr/>
      </vt:variant>
      <vt:variant>
        <vt:i4>6619244</vt:i4>
      </vt:variant>
      <vt:variant>
        <vt:i4>1008</vt:i4>
      </vt:variant>
      <vt:variant>
        <vt:i4>0</vt:i4>
      </vt:variant>
      <vt:variant>
        <vt:i4>5</vt:i4>
      </vt:variant>
      <vt:variant>
        <vt:lpwstr>https://www.iawr.com.au/Profiles/aww/Assets/ClientData/KICA_instruction_booklet_v1_2.pdf</vt:lpwstr>
      </vt:variant>
      <vt:variant>
        <vt:lpwstr/>
      </vt:variant>
      <vt:variant>
        <vt:i4>1245260</vt:i4>
      </vt:variant>
      <vt:variant>
        <vt:i4>1005</vt:i4>
      </vt:variant>
      <vt:variant>
        <vt:i4>0</vt:i4>
      </vt:variant>
      <vt:variant>
        <vt:i4>5</vt:i4>
      </vt:variant>
      <vt:variant>
        <vt:lpwstr>https://www.iawr.com.au/kica</vt:lpwstr>
      </vt:variant>
      <vt:variant>
        <vt:lpwstr/>
      </vt:variant>
      <vt:variant>
        <vt:i4>5898315</vt:i4>
      </vt:variant>
      <vt:variant>
        <vt:i4>1002</vt:i4>
      </vt:variant>
      <vt:variant>
        <vt:i4>0</vt:i4>
      </vt:variant>
      <vt:variant>
        <vt:i4>5</vt:i4>
      </vt:variant>
      <vt:variant>
        <vt:lpwstr>https://www.mcgill.ca/schoolofmedicine-learneraffairs/pgme/wellness-support/self-screening-tools/anxiety-and-depression-phq-4</vt:lpwstr>
      </vt:variant>
      <vt:variant>
        <vt:lpwstr/>
      </vt:variant>
      <vt:variant>
        <vt:i4>1310796</vt:i4>
      </vt:variant>
      <vt:variant>
        <vt:i4>999</vt:i4>
      </vt:variant>
      <vt:variant>
        <vt:i4>0</vt:i4>
      </vt:variant>
      <vt:variant>
        <vt:i4>5</vt:i4>
      </vt:variant>
      <vt:variant>
        <vt:lpwstr>https://gpcog.com.au/</vt:lpwstr>
      </vt:variant>
      <vt:variant>
        <vt:lpwstr/>
      </vt:variant>
      <vt:variant>
        <vt:i4>4587530</vt:i4>
      </vt:variant>
      <vt:variant>
        <vt:i4>996</vt:i4>
      </vt:variant>
      <vt:variant>
        <vt:i4>0</vt:i4>
      </vt:variant>
      <vt:variant>
        <vt:i4>5</vt:i4>
      </vt:variant>
      <vt:variant>
        <vt:lpwstr>https://alswh.org.au/wp-content/uploads/2020/08/DDSSection2.7DSSI.pdf</vt:lpwstr>
      </vt:variant>
      <vt:variant>
        <vt:lpwstr/>
      </vt:variant>
      <vt:variant>
        <vt:i4>7929915</vt:i4>
      </vt:variant>
      <vt:variant>
        <vt:i4>993</vt:i4>
      </vt:variant>
      <vt:variant>
        <vt:i4>0</vt:i4>
      </vt:variant>
      <vt:variant>
        <vt:i4>5</vt:i4>
      </vt:variant>
      <vt:variant>
        <vt:lpwstr>https://www.aboriginalageingwellresearch.com/gsgl-resources</vt:lpwstr>
      </vt:variant>
      <vt:variant>
        <vt:lpwstr/>
      </vt:variant>
      <vt:variant>
        <vt:i4>6619199</vt:i4>
      </vt:variant>
      <vt:variant>
        <vt:i4>990</vt:i4>
      </vt:variant>
      <vt:variant>
        <vt:i4>0</vt:i4>
      </vt:variant>
      <vt:variant>
        <vt:i4>5</vt:i4>
      </vt:variant>
      <vt:variant>
        <vt:lpwstr>https://www.health.gov.au/resources/publications/my-aged-care-integrated-assessment-tool-iat-user-guide?language=en</vt:lpwstr>
      </vt:variant>
      <vt:variant>
        <vt:lpwstr/>
      </vt:variant>
      <vt:variant>
        <vt:i4>196608</vt:i4>
      </vt:variant>
      <vt:variant>
        <vt:i4>987</vt:i4>
      </vt:variant>
      <vt:variant>
        <vt:i4>0</vt:i4>
      </vt:variant>
      <vt:variant>
        <vt:i4>5</vt:i4>
      </vt:variant>
      <vt:variant>
        <vt:lpwstr>https://www.health.gov.au/resources/publications/integrated-assessment-tool-iat-offline-form?language=en</vt:lpwstr>
      </vt:variant>
      <vt:variant>
        <vt:lpwstr/>
      </vt:variant>
      <vt:variant>
        <vt:i4>3539057</vt:i4>
      </vt:variant>
      <vt:variant>
        <vt:i4>984</vt:i4>
      </vt:variant>
      <vt:variant>
        <vt:i4>0</vt:i4>
      </vt:variant>
      <vt:variant>
        <vt:i4>5</vt:i4>
      </vt:variant>
      <vt:variant>
        <vt:lpwstr>https://www.health.gov.au/resources/publications/aged-care-assessment-quality-framework?language=en</vt:lpwstr>
      </vt:variant>
      <vt:variant>
        <vt:lpwstr/>
      </vt:variant>
      <vt:variant>
        <vt:i4>3539057</vt:i4>
      </vt:variant>
      <vt:variant>
        <vt:i4>981</vt:i4>
      </vt:variant>
      <vt:variant>
        <vt:i4>0</vt:i4>
      </vt:variant>
      <vt:variant>
        <vt:i4>5</vt:i4>
      </vt:variant>
      <vt:variant>
        <vt:lpwstr>https://www.health.gov.au/resources/publications/aged-care-assessment-quality-framework?language=en</vt:lpwstr>
      </vt:variant>
      <vt:variant>
        <vt:lpwstr/>
      </vt:variant>
      <vt:variant>
        <vt:i4>7340144</vt:i4>
      </vt:variant>
      <vt:variant>
        <vt:i4>960</vt:i4>
      </vt:variant>
      <vt:variant>
        <vt:i4>0</vt:i4>
      </vt:variant>
      <vt:variant>
        <vt:i4>5</vt:i4>
      </vt:variant>
      <vt:variant>
        <vt:lpwstr>https://www.health.gov.au/resources/publications/aboriginal-and-torres-strait-islander-aged-care-framework?language=en</vt:lpwstr>
      </vt:variant>
      <vt:variant>
        <vt:lpwstr/>
      </vt:variant>
      <vt:variant>
        <vt:i4>5570631</vt:i4>
      </vt:variant>
      <vt:variant>
        <vt:i4>957</vt:i4>
      </vt:variant>
      <vt:variant>
        <vt:i4>0</vt:i4>
      </vt:variant>
      <vt:variant>
        <vt:i4>5</vt:i4>
      </vt:variant>
      <vt:variant>
        <vt:lpwstr>https://www.health.gov.au/resources/publications/my-aged-care-quality-learning-framework?language=en</vt:lpwstr>
      </vt:variant>
      <vt:variant>
        <vt:lpwstr/>
      </vt:variant>
      <vt:variant>
        <vt:i4>6946848</vt:i4>
      </vt:variant>
      <vt:variant>
        <vt:i4>954</vt:i4>
      </vt:variant>
      <vt:variant>
        <vt:i4>0</vt:i4>
      </vt:variant>
      <vt:variant>
        <vt:i4>5</vt:i4>
      </vt:variant>
      <vt:variant>
        <vt:lpwstr>https://www.health.gov.au/resources/publications/my-aged-care-workforce-learning-strategy-2023?language=en</vt:lpwstr>
      </vt:variant>
      <vt:variant>
        <vt:lpwstr/>
      </vt:variant>
      <vt:variant>
        <vt:i4>458867</vt:i4>
      </vt:variant>
      <vt:variant>
        <vt:i4>951</vt:i4>
      </vt:variant>
      <vt:variant>
        <vt:i4>0</vt:i4>
      </vt:variant>
      <vt:variant>
        <vt:i4>5</vt:i4>
      </vt:variant>
      <vt:variant>
        <vt:lpwstr>mailto:maclearninghelp@Health.gov.au</vt:lpwstr>
      </vt:variant>
      <vt:variant>
        <vt:lpwstr/>
      </vt:variant>
      <vt:variant>
        <vt:i4>2752524</vt:i4>
      </vt:variant>
      <vt:variant>
        <vt:i4>948</vt:i4>
      </vt:variant>
      <vt:variant>
        <vt:i4>0</vt:i4>
      </vt:variant>
      <vt:variant>
        <vt:i4>5</vt:i4>
      </vt:variant>
      <vt:variant>
        <vt:lpwstr>mailto:myagedcare.capability@health.gov.au</vt:lpwstr>
      </vt:variant>
      <vt:variant>
        <vt:lpwstr/>
      </vt:variant>
      <vt:variant>
        <vt:i4>2424942</vt:i4>
      </vt:variant>
      <vt:variant>
        <vt:i4>945</vt:i4>
      </vt:variant>
      <vt:variant>
        <vt:i4>0</vt:i4>
      </vt:variant>
      <vt:variant>
        <vt:i4>5</vt:i4>
      </vt:variant>
      <vt:variant>
        <vt:lpwstr>https://www.health.gov.au/resources/publications/my-aged-care-assessor-portal-organisation-administrator-user-guide</vt:lpwstr>
      </vt:variant>
      <vt:variant>
        <vt:lpwstr/>
      </vt:variant>
      <vt:variant>
        <vt:i4>3932268</vt:i4>
      </vt:variant>
      <vt:variant>
        <vt:i4>942</vt:i4>
      </vt:variant>
      <vt:variant>
        <vt:i4>0</vt:i4>
      </vt:variant>
      <vt:variant>
        <vt:i4>5</vt:i4>
      </vt:variant>
      <vt:variant>
        <vt:lpwstr>https://www.health.gov.au/resources/publications/supporting-clients-with-the-rollout-of-aboriginal-and-torres-strait-islander-assessment-organisations?language=en</vt:lpwstr>
      </vt:variant>
      <vt:variant>
        <vt:lpwstr/>
      </vt:variant>
      <vt:variant>
        <vt:i4>2883708</vt:i4>
      </vt:variant>
      <vt:variant>
        <vt:i4>939</vt:i4>
      </vt:variant>
      <vt:variant>
        <vt:i4>0</vt:i4>
      </vt:variant>
      <vt:variant>
        <vt:i4>5</vt:i4>
      </vt:variant>
      <vt:variant>
        <vt:lpwstr>https://www.health.gov.au/our-work/single-assessment-system/needs/aboriginal-and-torres-strait-islander-aged-care-assessment-organisations</vt:lpwstr>
      </vt:variant>
      <vt:variant>
        <vt:lpwstr/>
      </vt:variant>
      <vt:variant>
        <vt:i4>5308421</vt:i4>
      </vt:variant>
      <vt:variant>
        <vt:i4>936</vt:i4>
      </vt:variant>
      <vt:variant>
        <vt:i4>0</vt:i4>
      </vt:variant>
      <vt:variant>
        <vt:i4>5</vt:i4>
      </vt:variant>
      <vt:variant>
        <vt:lpwstr>https://www.health.gov.au/our-work/single-assessment-system/needs/first-nations-aged-care-assessments</vt:lpwstr>
      </vt:variant>
      <vt:variant>
        <vt:lpwstr/>
      </vt:variant>
      <vt:variant>
        <vt:i4>6750265</vt:i4>
      </vt:variant>
      <vt:variant>
        <vt:i4>933</vt:i4>
      </vt:variant>
      <vt:variant>
        <vt:i4>0</vt:i4>
      </vt:variant>
      <vt:variant>
        <vt:i4>5</vt:i4>
      </vt:variant>
      <vt:variant>
        <vt:lpwstr>https://www.health.gov.au/our-work/single-assessment-system</vt:lpwstr>
      </vt:variant>
      <vt:variant>
        <vt:lpwstr/>
      </vt:variant>
      <vt:variant>
        <vt:i4>4784222</vt:i4>
      </vt:variant>
      <vt:variant>
        <vt:i4>930</vt:i4>
      </vt:variant>
      <vt:variant>
        <vt:i4>0</vt:i4>
      </vt:variant>
      <vt:variant>
        <vt:i4>5</vt:i4>
      </vt:variant>
      <vt:variant>
        <vt:lpwstr>http://www.myagedcare.gov.au/</vt:lpwstr>
      </vt:variant>
      <vt:variant>
        <vt:lpwstr/>
      </vt:variant>
      <vt:variant>
        <vt:i4>2883696</vt:i4>
      </vt:variant>
      <vt:variant>
        <vt:i4>912</vt:i4>
      </vt:variant>
      <vt:variant>
        <vt:i4>0</vt:i4>
      </vt:variant>
      <vt:variant>
        <vt:i4>5</vt:i4>
      </vt:variant>
      <vt:variant>
        <vt:lpwstr>https://www.health.gov.au/resources/publications/guide-for-short-term-restorative-care-providers-transitioning-to-the-restorative-care-pathway?language=en</vt:lpwstr>
      </vt:variant>
      <vt:variant>
        <vt:lpwstr/>
      </vt:variant>
      <vt:variant>
        <vt:i4>6553725</vt:i4>
      </vt:variant>
      <vt:variant>
        <vt:i4>909</vt:i4>
      </vt:variant>
      <vt:variant>
        <vt:i4>0</vt:i4>
      </vt:variant>
      <vt:variant>
        <vt:i4>5</vt:i4>
      </vt:variant>
      <vt:variant>
        <vt:lpwstr>https://www.health.gov.au/resources/publications/leaving-the-multi-purpose-service-program-mpsp-consumer-fact-sheet?language=en</vt:lpwstr>
      </vt:variant>
      <vt:variant>
        <vt:lpwstr/>
      </vt:variant>
      <vt:variant>
        <vt:i4>6553725</vt:i4>
      </vt:variant>
      <vt:variant>
        <vt:i4>906</vt:i4>
      </vt:variant>
      <vt:variant>
        <vt:i4>0</vt:i4>
      </vt:variant>
      <vt:variant>
        <vt:i4>5</vt:i4>
      </vt:variant>
      <vt:variant>
        <vt:lpwstr>https://www.health.gov.au/resources/publications/leaving-the-multi-purpose-service-program-mpsp-consumer-fact-sheet?language=en</vt:lpwstr>
      </vt:variant>
      <vt:variant>
        <vt:lpwstr/>
      </vt:variant>
      <vt:variant>
        <vt:i4>1310786</vt:i4>
      </vt:variant>
      <vt:variant>
        <vt:i4>903</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900</vt:i4>
      </vt:variant>
      <vt:variant>
        <vt:i4>0</vt:i4>
      </vt:variant>
      <vt:variant>
        <vt:i4>5</vt:i4>
      </vt:variant>
      <vt:variant>
        <vt:lpwstr>https://www.health.gov.au/resources/publications/support-at-home-program-manual-a-guide-for-registered-providers?language=en</vt:lpwstr>
      </vt:variant>
      <vt:variant>
        <vt:lpwstr/>
      </vt:variant>
      <vt:variant>
        <vt:i4>6815860</vt:i4>
      </vt:variant>
      <vt:variant>
        <vt:i4>894</vt:i4>
      </vt:variant>
      <vt:variant>
        <vt:i4>0</vt:i4>
      </vt:variant>
      <vt:variant>
        <vt:i4>5</vt:i4>
      </vt:variant>
      <vt:variant>
        <vt:lpwstr>https://www.health.gov.au/our-work/aged-care-act/about</vt:lpwstr>
      </vt:variant>
      <vt:variant>
        <vt:lpwstr/>
      </vt:variant>
      <vt:variant>
        <vt:i4>4522015</vt:i4>
      </vt:variant>
      <vt:variant>
        <vt:i4>891</vt:i4>
      </vt:variant>
      <vt:variant>
        <vt:i4>0</vt:i4>
      </vt:variant>
      <vt:variant>
        <vt:i4>5</vt:i4>
      </vt:variant>
      <vt:variant>
        <vt:lpwstr>https://www.health.gov.au/resources/collections/support-at-home-pricing-resources</vt:lpwstr>
      </vt:variant>
      <vt:variant>
        <vt:lpwstr/>
      </vt:variant>
      <vt:variant>
        <vt:i4>1769543</vt:i4>
      </vt:variant>
      <vt:variant>
        <vt:i4>888</vt:i4>
      </vt:variant>
      <vt:variant>
        <vt:i4>0</vt:i4>
      </vt:variant>
      <vt:variant>
        <vt:i4>5</vt:i4>
      </vt:variant>
      <vt:variant>
        <vt:lpwstr>https://www.health.gov.au/our-work/transition-care-programme</vt:lpwstr>
      </vt:variant>
      <vt:variant>
        <vt:lpwstr/>
      </vt:variant>
      <vt:variant>
        <vt:i4>1572889</vt:i4>
      </vt:variant>
      <vt:variant>
        <vt:i4>885</vt:i4>
      </vt:variant>
      <vt:variant>
        <vt:i4>0</vt:i4>
      </vt:variant>
      <vt:variant>
        <vt:i4>5</vt:i4>
      </vt:variant>
      <vt:variant>
        <vt:lpwstr>https://www.health.gov.au/resources/publications/support-at-home-program-assistive-technology-and-home-modifications-at-hm-scheme?language=en</vt:lpwstr>
      </vt:variant>
      <vt:variant>
        <vt:lpwstr/>
      </vt:variant>
      <vt:variant>
        <vt:i4>7340144</vt:i4>
      </vt:variant>
      <vt:variant>
        <vt:i4>882</vt:i4>
      </vt:variant>
      <vt:variant>
        <vt:i4>0</vt:i4>
      </vt:variant>
      <vt:variant>
        <vt:i4>5</vt:i4>
      </vt:variant>
      <vt:variant>
        <vt:lpwstr>https://www.health.gov.au/resources/publications/aboriginal-and-torres-strait-islander-aged-care-framework?language=en</vt:lpwstr>
      </vt:variant>
      <vt:variant>
        <vt:lpwstr/>
      </vt:variant>
      <vt:variant>
        <vt:i4>720988</vt:i4>
      </vt:variant>
      <vt:variant>
        <vt:i4>879</vt:i4>
      </vt:variant>
      <vt:variant>
        <vt:i4>0</vt:i4>
      </vt:variant>
      <vt:variant>
        <vt:i4>5</vt:i4>
      </vt:variant>
      <vt:variant>
        <vt:lpwstr>https://www.health.gov.au/resources/publications/natsifac-program-manual?language=en</vt:lpwstr>
      </vt:variant>
      <vt:variant>
        <vt:lpwstr/>
      </vt:variant>
      <vt:variant>
        <vt:i4>3145762</vt:i4>
      </vt:variant>
      <vt:variant>
        <vt:i4>876</vt:i4>
      </vt:variant>
      <vt:variant>
        <vt:i4>0</vt:i4>
      </vt:variant>
      <vt:variant>
        <vt:i4>5</vt:i4>
      </vt:variant>
      <vt:variant>
        <vt:lpwstr>https://www.health.gov.au/resources/collections/resources-on-the-multi-purpose-service-program-for-older-people</vt:lpwstr>
      </vt:variant>
      <vt:variant>
        <vt:lpwstr/>
      </vt:variant>
      <vt:variant>
        <vt:i4>8257569</vt:i4>
      </vt:variant>
      <vt:variant>
        <vt:i4>873</vt:i4>
      </vt:variant>
      <vt:variant>
        <vt:i4>0</vt:i4>
      </vt:variant>
      <vt:variant>
        <vt:i4>5</vt:i4>
      </vt:variant>
      <vt:variant>
        <vt:lpwstr>https://www.health.gov.au/resources/publications/commonwealth-home-support-program-chsp-2025-27-manual-from-1-november-2025?language=en</vt:lpwstr>
      </vt:variant>
      <vt:variant>
        <vt:lpwstr/>
      </vt:variant>
      <vt:variant>
        <vt:i4>5832777</vt:i4>
      </vt:variant>
      <vt:variant>
        <vt:i4>870</vt:i4>
      </vt:variant>
      <vt:variant>
        <vt:i4>0</vt:i4>
      </vt:variant>
      <vt:variant>
        <vt:i4>5</vt:i4>
      </vt:variant>
      <vt:variant>
        <vt:lpwstr>https://www.health.gov.au/resources/publications/support-at-home-program-manual-a-guide-for-registered-providers?language=en</vt:lpwstr>
      </vt:variant>
      <vt:variant>
        <vt:lpwstr/>
      </vt:variant>
      <vt:variant>
        <vt:i4>6226005</vt:i4>
      </vt:variant>
      <vt:variant>
        <vt:i4>867</vt:i4>
      </vt:variant>
      <vt:variant>
        <vt:i4>0</vt:i4>
      </vt:variant>
      <vt:variant>
        <vt:i4>5</vt:i4>
      </vt:variant>
      <vt:variant>
        <vt:lpwstr>https://www.health.gov.au/resources/publications/my-aged-care-workforce-learning-strategy?language=en</vt:lpwstr>
      </vt:variant>
      <vt:variant>
        <vt:lpwstr/>
      </vt:variant>
      <vt:variant>
        <vt:i4>6815866</vt:i4>
      </vt:variant>
      <vt:variant>
        <vt:i4>864</vt:i4>
      </vt:variant>
      <vt:variant>
        <vt:i4>0</vt:i4>
      </vt:variant>
      <vt:variant>
        <vt:i4>5</vt:i4>
      </vt:variant>
      <vt:variant>
        <vt:lpwstr>https://www.health.gov.au/resources/collections/my-aged-care-assessor-portal-resources</vt:lpwstr>
      </vt:variant>
      <vt:variant>
        <vt:lpwstr/>
      </vt:variant>
      <vt:variant>
        <vt:i4>2228326</vt:i4>
      </vt:variant>
      <vt:variant>
        <vt:i4>861</vt:i4>
      </vt:variant>
      <vt:variant>
        <vt:i4>0</vt:i4>
      </vt:variant>
      <vt:variant>
        <vt:i4>5</vt:i4>
      </vt:variant>
      <vt:variant>
        <vt:lpwstr>https://www.health.gov.au/our-work/single-assessment-system/resources</vt:lpwstr>
      </vt:variant>
      <vt:variant>
        <vt:lpwstr>fact-sheets</vt:lpwstr>
      </vt:variant>
      <vt:variant>
        <vt:i4>6881314</vt:i4>
      </vt:variant>
      <vt:variant>
        <vt:i4>858</vt:i4>
      </vt:variant>
      <vt:variant>
        <vt:i4>0</vt:i4>
      </vt:variant>
      <vt:variant>
        <vt:i4>5</vt:i4>
      </vt:variant>
      <vt:variant>
        <vt:lpwstr>https://www.myagedcare.gov.au/</vt:lpwstr>
      </vt:variant>
      <vt:variant>
        <vt:lpwstr/>
      </vt:variant>
      <vt:variant>
        <vt:i4>2949176</vt:i4>
      </vt:variant>
      <vt:variant>
        <vt:i4>855</vt:i4>
      </vt:variant>
      <vt:variant>
        <vt:i4>0</vt:i4>
      </vt:variant>
      <vt:variant>
        <vt:i4>5</vt:i4>
      </vt:variant>
      <vt:variant>
        <vt:lpwstr>https://www.legislation.gov.au/F2025L01173/latest/text</vt:lpwstr>
      </vt:variant>
      <vt:variant>
        <vt:lpwstr/>
      </vt:variant>
      <vt:variant>
        <vt:i4>3014707</vt:i4>
      </vt:variant>
      <vt:variant>
        <vt:i4>852</vt:i4>
      </vt:variant>
      <vt:variant>
        <vt:i4>0</vt:i4>
      </vt:variant>
      <vt:variant>
        <vt:i4>5</vt:i4>
      </vt:variant>
      <vt:variant>
        <vt:lpwstr>https://www.legislation.gov.au/C2024A00104/latest/text</vt:lpwstr>
      </vt:variant>
      <vt:variant>
        <vt:lpwstr/>
      </vt:variant>
      <vt:variant>
        <vt:i4>3539057</vt:i4>
      </vt:variant>
      <vt:variant>
        <vt:i4>849</vt:i4>
      </vt:variant>
      <vt:variant>
        <vt:i4>0</vt:i4>
      </vt:variant>
      <vt:variant>
        <vt:i4>5</vt:i4>
      </vt:variant>
      <vt:variant>
        <vt:lpwstr>https://www.health.gov.au/resources/publications/aged-care-assessment-quality-framework?language=en</vt:lpwstr>
      </vt:variant>
      <vt:variant>
        <vt:lpwstr/>
      </vt:variant>
      <vt:variant>
        <vt:i4>6619199</vt:i4>
      </vt:variant>
      <vt:variant>
        <vt:i4>846</vt:i4>
      </vt:variant>
      <vt:variant>
        <vt:i4>0</vt:i4>
      </vt:variant>
      <vt:variant>
        <vt:i4>5</vt:i4>
      </vt:variant>
      <vt:variant>
        <vt:lpwstr>https://www.health.gov.au/resources/publications/my-aged-care-integrated-assessment-tool-iat-user-guide?language=en</vt:lpwstr>
      </vt:variant>
      <vt:variant>
        <vt:lpwstr/>
      </vt:variant>
      <vt:variant>
        <vt:i4>3539057</vt:i4>
      </vt:variant>
      <vt:variant>
        <vt:i4>843</vt:i4>
      </vt:variant>
      <vt:variant>
        <vt:i4>0</vt:i4>
      </vt:variant>
      <vt:variant>
        <vt:i4>5</vt:i4>
      </vt:variant>
      <vt:variant>
        <vt:lpwstr>https://www.health.gov.au/resources/publications/aged-care-assessment-quality-framework?language=en</vt:lpwstr>
      </vt:variant>
      <vt:variant>
        <vt:lpwstr/>
      </vt:variant>
      <vt:variant>
        <vt:i4>1507388</vt:i4>
      </vt:variant>
      <vt:variant>
        <vt:i4>836</vt:i4>
      </vt:variant>
      <vt:variant>
        <vt:i4>0</vt:i4>
      </vt:variant>
      <vt:variant>
        <vt:i4>5</vt:i4>
      </vt:variant>
      <vt:variant>
        <vt:lpwstr/>
      </vt:variant>
      <vt:variant>
        <vt:lpwstr>_Toc233282537</vt:lpwstr>
      </vt:variant>
      <vt:variant>
        <vt:i4>1507388</vt:i4>
      </vt:variant>
      <vt:variant>
        <vt:i4>830</vt:i4>
      </vt:variant>
      <vt:variant>
        <vt:i4>0</vt:i4>
      </vt:variant>
      <vt:variant>
        <vt:i4>5</vt:i4>
      </vt:variant>
      <vt:variant>
        <vt:lpwstr/>
      </vt:variant>
      <vt:variant>
        <vt:lpwstr>_Toc233282536</vt:lpwstr>
      </vt:variant>
      <vt:variant>
        <vt:i4>1507388</vt:i4>
      </vt:variant>
      <vt:variant>
        <vt:i4>824</vt:i4>
      </vt:variant>
      <vt:variant>
        <vt:i4>0</vt:i4>
      </vt:variant>
      <vt:variant>
        <vt:i4>5</vt:i4>
      </vt:variant>
      <vt:variant>
        <vt:lpwstr/>
      </vt:variant>
      <vt:variant>
        <vt:lpwstr>_Toc233282535</vt:lpwstr>
      </vt:variant>
      <vt:variant>
        <vt:i4>1507388</vt:i4>
      </vt:variant>
      <vt:variant>
        <vt:i4>818</vt:i4>
      </vt:variant>
      <vt:variant>
        <vt:i4>0</vt:i4>
      </vt:variant>
      <vt:variant>
        <vt:i4>5</vt:i4>
      </vt:variant>
      <vt:variant>
        <vt:lpwstr/>
      </vt:variant>
      <vt:variant>
        <vt:lpwstr>_Toc233282534</vt:lpwstr>
      </vt:variant>
      <vt:variant>
        <vt:i4>1507388</vt:i4>
      </vt:variant>
      <vt:variant>
        <vt:i4>812</vt:i4>
      </vt:variant>
      <vt:variant>
        <vt:i4>0</vt:i4>
      </vt:variant>
      <vt:variant>
        <vt:i4>5</vt:i4>
      </vt:variant>
      <vt:variant>
        <vt:lpwstr/>
      </vt:variant>
      <vt:variant>
        <vt:lpwstr>_Toc233282533</vt:lpwstr>
      </vt:variant>
      <vt:variant>
        <vt:i4>1507388</vt:i4>
      </vt:variant>
      <vt:variant>
        <vt:i4>806</vt:i4>
      </vt:variant>
      <vt:variant>
        <vt:i4>0</vt:i4>
      </vt:variant>
      <vt:variant>
        <vt:i4>5</vt:i4>
      </vt:variant>
      <vt:variant>
        <vt:lpwstr/>
      </vt:variant>
      <vt:variant>
        <vt:lpwstr>_Toc233282532</vt:lpwstr>
      </vt:variant>
      <vt:variant>
        <vt:i4>1507388</vt:i4>
      </vt:variant>
      <vt:variant>
        <vt:i4>800</vt:i4>
      </vt:variant>
      <vt:variant>
        <vt:i4>0</vt:i4>
      </vt:variant>
      <vt:variant>
        <vt:i4>5</vt:i4>
      </vt:variant>
      <vt:variant>
        <vt:lpwstr/>
      </vt:variant>
      <vt:variant>
        <vt:lpwstr>_Toc233282531</vt:lpwstr>
      </vt:variant>
      <vt:variant>
        <vt:i4>1507388</vt:i4>
      </vt:variant>
      <vt:variant>
        <vt:i4>794</vt:i4>
      </vt:variant>
      <vt:variant>
        <vt:i4>0</vt:i4>
      </vt:variant>
      <vt:variant>
        <vt:i4>5</vt:i4>
      </vt:variant>
      <vt:variant>
        <vt:lpwstr/>
      </vt:variant>
      <vt:variant>
        <vt:lpwstr>_Toc233282530</vt:lpwstr>
      </vt:variant>
      <vt:variant>
        <vt:i4>1441852</vt:i4>
      </vt:variant>
      <vt:variant>
        <vt:i4>788</vt:i4>
      </vt:variant>
      <vt:variant>
        <vt:i4>0</vt:i4>
      </vt:variant>
      <vt:variant>
        <vt:i4>5</vt:i4>
      </vt:variant>
      <vt:variant>
        <vt:lpwstr/>
      </vt:variant>
      <vt:variant>
        <vt:lpwstr>_Toc233282529</vt:lpwstr>
      </vt:variant>
      <vt:variant>
        <vt:i4>1441852</vt:i4>
      </vt:variant>
      <vt:variant>
        <vt:i4>782</vt:i4>
      </vt:variant>
      <vt:variant>
        <vt:i4>0</vt:i4>
      </vt:variant>
      <vt:variant>
        <vt:i4>5</vt:i4>
      </vt:variant>
      <vt:variant>
        <vt:lpwstr/>
      </vt:variant>
      <vt:variant>
        <vt:lpwstr>_Toc233282528</vt:lpwstr>
      </vt:variant>
      <vt:variant>
        <vt:i4>1441852</vt:i4>
      </vt:variant>
      <vt:variant>
        <vt:i4>776</vt:i4>
      </vt:variant>
      <vt:variant>
        <vt:i4>0</vt:i4>
      </vt:variant>
      <vt:variant>
        <vt:i4>5</vt:i4>
      </vt:variant>
      <vt:variant>
        <vt:lpwstr/>
      </vt:variant>
      <vt:variant>
        <vt:lpwstr>_Toc233282527</vt:lpwstr>
      </vt:variant>
      <vt:variant>
        <vt:i4>1441852</vt:i4>
      </vt:variant>
      <vt:variant>
        <vt:i4>770</vt:i4>
      </vt:variant>
      <vt:variant>
        <vt:i4>0</vt:i4>
      </vt:variant>
      <vt:variant>
        <vt:i4>5</vt:i4>
      </vt:variant>
      <vt:variant>
        <vt:lpwstr/>
      </vt:variant>
      <vt:variant>
        <vt:lpwstr>_Toc233282526</vt:lpwstr>
      </vt:variant>
      <vt:variant>
        <vt:i4>1441852</vt:i4>
      </vt:variant>
      <vt:variant>
        <vt:i4>764</vt:i4>
      </vt:variant>
      <vt:variant>
        <vt:i4>0</vt:i4>
      </vt:variant>
      <vt:variant>
        <vt:i4>5</vt:i4>
      </vt:variant>
      <vt:variant>
        <vt:lpwstr/>
      </vt:variant>
      <vt:variant>
        <vt:lpwstr>_Toc233282525</vt:lpwstr>
      </vt:variant>
      <vt:variant>
        <vt:i4>1441852</vt:i4>
      </vt:variant>
      <vt:variant>
        <vt:i4>758</vt:i4>
      </vt:variant>
      <vt:variant>
        <vt:i4>0</vt:i4>
      </vt:variant>
      <vt:variant>
        <vt:i4>5</vt:i4>
      </vt:variant>
      <vt:variant>
        <vt:lpwstr/>
      </vt:variant>
      <vt:variant>
        <vt:lpwstr>_Toc233282524</vt:lpwstr>
      </vt:variant>
      <vt:variant>
        <vt:i4>1441852</vt:i4>
      </vt:variant>
      <vt:variant>
        <vt:i4>752</vt:i4>
      </vt:variant>
      <vt:variant>
        <vt:i4>0</vt:i4>
      </vt:variant>
      <vt:variant>
        <vt:i4>5</vt:i4>
      </vt:variant>
      <vt:variant>
        <vt:lpwstr/>
      </vt:variant>
      <vt:variant>
        <vt:lpwstr>_Toc233282523</vt:lpwstr>
      </vt:variant>
      <vt:variant>
        <vt:i4>1441852</vt:i4>
      </vt:variant>
      <vt:variant>
        <vt:i4>746</vt:i4>
      </vt:variant>
      <vt:variant>
        <vt:i4>0</vt:i4>
      </vt:variant>
      <vt:variant>
        <vt:i4>5</vt:i4>
      </vt:variant>
      <vt:variant>
        <vt:lpwstr/>
      </vt:variant>
      <vt:variant>
        <vt:lpwstr>_Toc233282522</vt:lpwstr>
      </vt:variant>
      <vt:variant>
        <vt:i4>1441852</vt:i4>
      </vt:variant>
      <vt:variant>
        <vt:i4>740</vt:i4>
      </vt:variant>
      <vt:variant>
        <vt:i4>0</vt:i4>
      </vt:variant>
      <vt:variant>
        <vt:i4>5</vt:i4>
      </vt:variant>
      <vt:variant>
        <vt:lpwstr/>
      </vt:variant>
      <vt:variant>
        <vt:lpwstr>_Toc233282521</vt:lpwstr>
      </vt:variant>
      <vt:variant>
        <vt:i4>1441852</vt:i4>
      </vt:variant>
      <vt:variant>
        <vt:i4>734</vt:i4>
      </vt:variant>
      <vt:variant>
        <vt:i4>0</vt:i4>
      </vt:variant>
      <vt:variant>
        <vt:i4>5</vt:i4>
      </vt:variant>
      <vt:variant>
        <vt:lpwstr/>
      </vt:variant>
      <vt:variant>
        <vt:lpwstr>_Toc233282520</vt:lpwstr>
      </vt:variant>
      <vt:variant>
        <vt:i4>1376316</vt:i4>
      </vt:variant>
      <vt:variant>
        <vt:i4>728</vt:i4>
      </vt:variant>
      <vt:variant>
        <vt:i4>0</vt:i4>
      </vt:variant>
      <vt:variant>
        <vt:i4>5</vt:i4>
      </vt:variant>
      <vt:variant>
        <vt:lpwstr/>
      </vt:variant>
      <vt:variant>
        <vt:lpwstr>_Toc233282519</vt:lpwstr>
      </vt:variant>
      <vt:variant>
        <vt:i4>1376316</vt:i4>
      </vt:variant>
      <vt:variant>
        <vt:i4>722</vt:i4>
      </vt:variant>
      <vt:variant>
        <vt:i4>0</vt:i4>
      </vt:variant>
      <vt:variant>
        <vt:i4>5</vt:i4>
      </vt:variant>
      <vt:variant>
        <vt:lpwstr/>
      </vt:variant>
      <vt:variant>
        <vt:lpwstr>_Toc233282518</vt:lpwstr>
      </vt:variant>
      <vt:variant>
        <vt:i4>1376316</vt:i4>
      </vt:variant>
      <vt:variant>
        <vt:i4>716</vt:i4>
      </vt:variant>
      <vt:variant>
        <vt:i4>0</vt:i4>
      </vt:variant>
      <vt:variant>
        <vt:i4>5</vt:i4>
      </vt:variant>
      <vt:variant>
        <vt:lpwstr/>
      </vt:variant>
      <vt:variant>
        <vt:lpwstr>_Toc233282517</vt:lpwstr>
      </vt:variant>
      <vt:variant>
        <vt:i4>1376316</vt:i4>
      </vt:variant>
      <vt:variant>
        <vt:i4>710</vt:i4>
      </vt:variant>
      <vt:variant>
        <vt:i4>0</vt:i4>
      </vt:variant>
      <vt:variant>
        <vt:i4>5</vt:i4>
      </vt:variant>
      <vt:variant>
        <vt:lpwstr/>
      </vt:variant>
      <vt:variant>
        <vt:lpwstr>_Toc233282516</vt:lpwstr>
      </vt:variant>
      <vt:variant>
        <vt:i4>1376316</vt:i4>
      </vt:variant>
      <vt:variant>
        <vt:i4>704</vt:i4>
      </vt:variant>
      <vt:variant>
        <vt:i4>0</vt:i4>
      </vt:variant>
      <vt:variant>
        <vt:i4>5</vt:i4>
      </vt:variant>
      <vt:variant>
        <vt:lpwstr/>
      </vt:variant>
      <vt:variant>
        <vt:lpwstr>_Toc233282515</vt:lpwstr>
      </vt:variant>
      <vt:variant>
        <vt:i4>1376316</vt:i4>
      </vt:variant>
      <vt:variant>
        <vt:i4>698</vt:i4>
      </vt:variant>
      <vt:variant>
        <vt:i4>0</vt:i4>
      </vt:variant>
      <vt:variant>
        <vt:i4>5</vt:i4>
      </vt:variant>
      <vt:variant>
        <vt:lpwstr/>
      </vt:variant>
      <vt:variant>
        <vt:lpwstr>_Toc233282514</vt:lpwstr>
      </vt:variant>
      <vt:variant>
        <vt:i4>1376316</vt:i4>
      </vt:variant>
      <vt:variant>
        <vt:i4>692</vt:i4>
      </vt:variant>
      <vt:variant>
        <vt:i4>0</vt:i4>
      </vt:variant>
      <vt:variant>
        <vt:i4>5</vt:i4>
      </vt:variant>
      <vt:variant>
        <vt:lpwstr/>
      </vt:variant>
      <vt:variant>
        <vt:lpwstr>_Toc233282513</vt:lpwstr>
      </vt:variant>
      <vt:variant>
        <vt:i4>1376316</vt:i4>
      </vt:variant>
      <vt:variant>
        <vt:i4>686</vt:i4>
      </vt:variant>
      <vt:variant>
        <vt:i4>0</vt:i4>
      </vt:variant>
      <vt:variant>
        <vt:i4>5</vt:i4>
      </vt:variant>
      <vt:variant>
        <vt:lpwstr/>
      </vt:variant>
      <vt:variant>
        <vt:lpwstr>_Toc233282512</vt:lpwstr>
      </vt:variant>
      <vt:variant>
        <vt:i4>1376316</vt:i4>
      </vt:variant>
      <vt:variant>
        <vt:i4>680</vt:i4>
      </vt:variant>
      <vt:variant>
        <vt:i4>0</vt:i4>
      </vt:variant>
      <vt:variant>
        <vt:i4>5</vt:i4>
      </vt:variant>
      <vt:variant>
        <vt:lpwstr/>
      </vt:variant>
      <vt:variant>
        <vt:lpwstr>_Toc233282511</vt:lpwstr>
      </vt:variant>
      <vt:variant>
        <vt:i4>1376316</vt:i4>
      </vt:variant>
      <vt:variant>
        <vt:i4>674</vt:i4>
      </vt:variant>
      <vt:variant>
        <vt:i4>0</vt:i4>
      </vt:variant>
      <vt:variant>
        <vt:i4>5</vt:i4>
      </vt:variant>
      <vt:variant>
        <vt:lpwstr/>
      </vt:variant>
      <vt:variant>
        <vt:lpwstr>_Toc233282510</vt:lpwstr>
      </vt:variant>
      <vt:variant>
        <vt:i4>1310780</vt:i4>
      </vt:variant>
      <vt:variant>
        <vt:i4>668</vt:i4>
      </vt:variant>
      <vt:variant>
        <vt:i4>0</vt:i4>
      </vt:variant>
      <vt:variant>
        <vt:i4>5</vt:i4>
      </vt:variant>
      <vt:variant>
        <vt:lpwstr/>
      </vt:variant>
      <vt:variant>
        <vt:lpwstr>_Toc233282509</vt:lpwstr>
      </vt:variant>
      <vt:variant>
        <vt:i4>1310780</vt:i4>
      </vt:variant>
      <vt:variant>
        <vt:i4>662</vt:i4>
      </vt:variant>
      <vt:variant>
        <vt:i4>0</vt:i4>
      </vt:variant>
      <vt:variant>
        <vt:i4>5</vt:i4>
      </vt:variant>
      <vt:variant>
        <vt:lpwstr/>
      </vt:variant>
      <vt:variant>
        <vt:lpwstr>_Toc233282508</vt:lpwstr>
      </vt:variant>
      <vt:variant>
        <vt:i4>1310780</vt:i4>
      </vt:variant>
      <vt:variant>
        <vt:i4>656</vt:i4>
      </vt:variant>
      <vt:variant>
        <vt:i4>0</vt:i4>
      </vt:variant>
      <vt:variant>
        <vt:i4>5</vt:i4>
      </vt:variant>
      <vt:variant>
        <vt:lpwstr/>
      </vt:variant>
      <vt:variant>
        <vt:lpwstr>_Toc233282507</vt:lpwstr>
      </vt:variant>
      <vt:variant>
        <vt:i4>1310780</vt:i4>
      </vt:variant>
      <vt:variant>
        <vt:i4>650</vt:i4>
      </vt:variant>
      <vt:variant>
        <vt:i4>0</vt:i4>
      </vt:variant>
      <vt:variant>
        <vt:i4>5</vt:i4>
      </vt:variant>
      <vt:variant>
        <vt:lpwstr/>
      </vt:variant>
      <vt:variant>
        <vt:lpwstr>_Toc233282506</vt:lpwstr>
      </vt:variant>
      <vt:variant>
        <vt:i4>1310780</vt:i4>
      </vt:variant>
      <vt:variant>
        <vt:i4>644</vt:i4>
      </vt:variant>
      <vt:variant>
        <vt:i4>0</vt:i4>
      </vt:variant>
      <vt:variant>
        <vt:i4>5</vt:i4>
      </vt:variant>
      <vt:variant>
        <vt:lpwstr/>
      </vt:variant>
      <vt:variant>
        <vt:lpwstr>_Toc233282505</vt:lpwstr>
      </vt:variant>
      <vt:variant>
        <vt:i4>1310780</vt:i4>
      </vt:variant>
      <vt:variant>
        <vt:i4>638</vt:i4>
      </vt:variant>
      <vt:variant>
        <vt:i4>0</vt:i4>
      </vt:variant>
      <vt:variant>
        <vt:i4>5</vt:i4>
      </vt:variant>
      <vt:variant>
        <vt:lpwstr/>
      </vt:variant>
      <vt:variant>
        <vt:lpwstr>_Toc233282504</vt:lpwstr>
      </vt:variant>
      <vt:variant>
        <vt:i4>1310780</vt:i4>
      </vt:variant>
      <vt:variant>
        <vt:i4>632</vt:i4>
      </vt:variant>
      <vt:variant>
        <vt:i4>0</vt:i4>
      </vt:variant>
      <vt:variant>
        <vt:i4>5</vt:i4>
      </vt:variant>
      <vt:variant>
        <vt:lpwstr/>
      </vt:variant>
      <vt:variant>
        <vt:lpwstr>_Toc233282503</vt:lpwstr>
      </vt:variant>
      <vt:variant>
        <vt:i4>1310780</vt:i4>
      </vt:variant>
      <vt:variant>
        <vt:i4>626</vt:i4>
      </vt:variant>
      <vt:variant>
        <vt:i4>0</vt:i4>
      </vt:variant>
      <vt:variant>
        <vt:i4>5</vt:i4>
      </vt:variant>
      <vt:variant>
        <vt:lpwstr/>
      </vt:variant>
      <vt:variant>
        <vt:lpwstr>_Toc233282502</vt:lpwstr>
      </vt:variant>
      <vt:variant>
        <vt:i4>1310780</vt:i4>
      </vt:variant>
      <vt:variant>
        <vt:i4>620</vt:i4>
      </vt:variant>
      <vt:variant>
        <vt:i4>0</vt:i4>
      </vt:variant>
      <vt:variant>
        <vt:i4>5</vt:i4>
      </vt:variant>
      <vt:variant>
        <vt:lpwstr/>
      </vt:variant>
      <vt:variant>
        <vt:lpwstr>_Toc233282501</vt:lpwstr>
      </vt:variant>
      <vt:variant>
        <vt:i4>1310780</vt:i4>
      </vt:variant>
      <vt:variant>
        <vt:i4>614</vt:i4>
      </vt:variant>
      <vt:variant>
        <vt:i4>0</vt:i4>
      </vt:variant>
      <vt:variant>
        <vt:i4>5</vt:i4>
      </vt:variant>
      <vt:variant>
        <vt:lpwstr/>
      </vt:variant>
      <vt:variant>
        <vt:lpwstr>_Toc233282500</vt:lpwstr>
      </vt:variant>
      <vt:variant>
        <vt:i4>1900605</vt:i4>
      </vt:variant>
      <vt:variant>
        <vt:i4>608</vt:i4>
      </vt:variant>
      <vt:variant>
        <vt:i4>0</vt:i4>
      </vt:variant>
      <vt:variant>
        <vt:i4>5</vt:i4>
      </vt:variant>
      <vt:variant>
        <vt:lpwstr/>
      </vt:variant>
      <vt:variant>
        <vt:lpwstr>_Toc233282499</vt:lpwstr>
      </vt:variant>
      <vt:variant>
        <vt:i4>1900605</vt:i4>
      </vt:variant>
      <vt:variant>
        <vt:i4>602</vt:i4>
      </vt:variant>
      <vt:variant>
        <vt:i4>0</vt:i4>
      </vt:variant>
      <vt:variant>
        <vt:i4>5</vt:i4>
      </vt:variant>
      <vt:variant>
        <vt:lpwstr/>
      </vt:variant>
      <vt:variant>
        <vt:lpwstr>_Toc233282498</vt:lpwstr>
      </vt:variant>
      <vt:variant>
        <vt:i4>1900605</vt:i4>
      </vt:variant>
      <vt:variant>
        <vt:i4>596</vt:i4>
      </vt:variant>
      <vt:variant>
        <vt:i4>0</vt:i4>
      </vt:variant>
      <vt:variant>
        <vt:i4>5</vt:i4>
      </vt:variant>
      <vt:variant>
        <vt:lpwstr/>
      </vt:variant>
      <vt:variant>
        <vt:lpwstr>_Toc233282497</vt:lpwstr>
      </vt:variant>
      <vt:variant>
        <vt:i4>1900605</vt:i4>
      </vt:variant>
      <vt:variant>
        <vt:i4>590</vt:i4>
      </vt:variant>
      <vt:variant>
        <vt:i4>0</vt:i4>
      </vt:variant>
      <vt:variant>
        <vt:i4>5</vt:i4>
      </vt:variant>
      <vt:variant>
        <vt:lpwstr/>
      </vt:variant>
      <vt:variant>
        <vt:lpwstr>_Toc233282496</vt:lpwstr>
      </vt:variant>
      <vt:variant>
        <vt:i4>1900605</vt:i4>
      </vt:variant>
      <vt:variant>
        <vt:i4>584</vt:i4>
      </vt:variant>
      <vt:variant>
        <vt:i4>0</vt:i4>
      </vt:variant>
      <vt:variant>
        <vt:i4>5</vt:i4>
      </vt:variant>
      <vt:variant>
        <vt:lpwstr/>
      </vt:variant>
      <vt:variant>
        <vt:lpwstr>_Toc233282495</vt:lpwstr>
      </vt:variant>
      <vt:variant>
        <vt:i4>1900605</vt:i4>
      </vt:variant>
      <vt:variant>
        <vt:i4>578</vt:i4>
      </vt:variant>
      <vt:variant>
        <vt:i4>0</vt:i4>
      </vt:variant>
      <vt:variant>
        <vt:i4>5</vt:i4>
      </vt:variant>
      <vt:variant>
        <vt:lpwstr/>
      </vt:variant>
      <vt:variant>
        <vt:lpwstr>_Toc233282494</vt:lpwstr>
      </vt:variant>
      <vt:variant>
        <vt:i4>1900605</vt:i4>
      </vt:variant>
      <vt:variant>
        <vt:i4>572</vt:i4>
      </vt:variant>
      <vt:variant>
        <vt:i4>0</vt:i4>
      </vt:variant>
      <vt:variant>
        <vt:i4>5</vt:i4>
      </vt:variant>
      <vt:variant>
        <vt:lpwstr/>
      </vt:variant>
      <vt:variant>
        <vt:lpwstr>_Toc233282493</vt:lpwstr>
      </vt:variant>
      <vt:variant>
        <vt:i4>1900605</vt:i4>
      </vt:variant>
      <vt:variant>
        <vt:i4>566</vt:i4>
      </vt:variant>
      <vt:variant>
        <vt:i4>0</vt:i4>
      </vt:variant>
      <vt:variant>
        <vt:i4>5</vt:i4>
      </vt:variant>
      <vt:variant>
        <vt:lpwstr/>
      </vt:variant>
      <vt:variant>
        <vt:lpwstr>_Toc233282492</vt:lpwstr>
      </vt:variant>
      <vt:variant>
        <vt:i4>1900605</vt:i4>
      </vt:variant>
      <vt:variant>
        <vt:i4>560</vt:i4>
      </vt:variant>
      <vt:variant>
        <vt:i4>0</vt:i4>
      </vt:variant>
      <vt:variant>
        <vt:i4>5</vt:i4>
      </vt:variant>
      <vt:variant>
        <vt:lpwstr/>
      </vt:variant>
      <vt:variant>
        <vt:lpwstr>_Toc233282491</vt:lpwstr>
      </vt:variant>
      <vt:variant>
        <vt:i4>1900605</vt:i4>
      </vt:variant>
      <vt:variant>
        <vt:i4>554</vt:i4>
      </vt:variant>
      <vt:variant>
        <vt:i4>0</vt:i4>
      </vt:variant>
      <vt:variant>
        <vt:i4>5</vt:i4>
      </vt:variant>
      <vt:variant>
        <vt:lpwstr/>
      </vt:variant>
      <vt:variant>
        <vt:lpwstr>_Toc233282490</vt:lpwstr>
      </vt:variant>
      <vt:variant>
        <vt:i4>1835069</vt:i4>
      </vt:variant>
      <vt:variant>
        <vt:i4>548</vt:i4>
      </vt:variant>
      <vt:variant>
        <vt:i4>0</vt:i4>
      </vt:variant>
      <vt:variant>
        <vt:i4>5</vt:i4>
      </vt:variant>
      <vt:variant>
        <vt:lpwstr/>
      </vt:variant>
      <vt:variant>
        <vt:lpwstr>_Toc233282489</vt:lpwstr>
      </vt:variant>
      <vt:variant>
        <vt:i4>1835069</vt:i4>
      </vt:variant>
      <vt:variant>
        <vt:i4>542</vt:i4>
      </vt:variant>
      <vt:variant>
        <vt:i4>0</vt:i4>
      </vt:variant>
      <vt:variant>
        <vt:i4>5</vt:i4>
      </vt:variant>
      <vt:variant>
        <vt:lpwstr/>
      </vt:variant>
      <vt:variant>
        <vt:lpwstr>_Toc233282488</vt:lpwstr>
      </vt:variant>
      <vt:variant>
        <vt:i4>1835069</vt:i4>
      </vt:variant>
      <vt:variant>
        <vt:i4>536</vt:i4>
      </vt:variant>
      <vt:variant>
        <vt:i4>0</vt:i4>
      </vt:variant>
      <vt:variant>
        <vt:i4>5</vt:i4>
      </vt:variant>
      <vt:variant>
        <vt:lpwstr/>
      </vt:variant>
      <vt:variant>
        <vt:lpwstr>_Toc233282487</vt:lpwstr>
      </vt:variant>
      <vt:variant>
        <vt:i4>1835069</vt:i4>
      </vt:variant>
      <vt:variant>
        <vt:i4>530</vt:i4>
      </vt:variant>
      <vt:variant>
        <vt:i4>0</vt:i4>
      </vt:variant>
      <vt:variant>
        <vt:i4>5</vt:i4>
      </vt:variant>
      <vt:variant>
        <vt:lpwstr/>
      </vt:variant>
      <vt:variant>
        <vt:lpwstr>_Toc233282486</vt:lpwstr>
      </vt:variant>
      <vt:variant>
        <vt:i4>1835069</vt:i4>
      </vt:variant>
      <vt:variant>
        <vt:i4>524</vt:i4>
      </vt:variant>
      <vt:variant>
        <vt:i4>0</vt:i4>
      </vt:variant>
      <vt:variant>
        <vt:i4>5</vt:i4>
      </vt:variant>
      <vt:variant>
        <vt:lpwstr/>
      </vt:variant>
      <vt:variant>
        <vt:lpwstr>_Toc233282485</vt:lpwstr>
      </vt:variant>
      <vt:variant>
        <vt:i4>1835069</vt:i4>
      </vt:variant>
      <vt:variant>
        <vt:i4>518</vt:i4>
      </vt:variant>
      <vt:variant>
        <vt:i4>0</vt:i4>
      </vt:variant>
      <vt:variant>
        <vt:i4>5</vt:i4>
      </vt:variant>
      <vt:variant>
        <vt:lpwstr/>
      </vt:variant>
      <vt:variant>
        <vt:lpwstr>_Toc233282484</vt:lpwstr>
      </vt:variant>
      <vt:variant>
        <vt:i4>1835069</vt:i4>
      </vt:variant>
      <vt:variant>
        <vt:i4>512</vt:i4>
      </vt:variant>
      <vt:variant>
        <vt:i4>0</vt:i4>
      </vt:variant>
      <vt:variant>
        <vt:i4>5</vt:i4>
      </vt:variant>
      <vt:variant>
        <vt:lpwstr/>
      </vt:variant>
      <vt:variant>
        <vt:lpwstr>_Toc233282483</vt:lpwstr>
      </vt:variant>
      <vt:variant>
        <vt:i4>1835069</vt:i4>
      </vt:variant>
      <vt:variant>
        <vt:i4>506</vt:i4>
      </vt:variant>
      <vt:variant>
        <vt:i4>0</vt:i4>
      </vt:variant>
      <vt:variant>
        <vt:i4>5</vt:i4>
      </vt:variant>
      <vt:variant>
        <vt:lpwstr/>
      </vt:variant>
      <vt:variant>
        <vt:lpwstr>_Toc233282482</vt:lpwstr>
      </vt:variant>
      <vt:variant>
        <vt:i4>1835069</vt:i4>
      </vt:variant>
      <vt:variant>
        <vt:i4>500</vt:i4>
      </vt:variant>
      <vt:variant>
        <vt:i4>0</vt:i4>
      </vt:variant>
      <vt:variant>
        <vt:i4>5</vt:i4>
      </vt:variant>
      <vt:variant>
        <vt:lpwstr/>
      </vt:variant>
      <vt:variant>
        <vt:lpwstr>_Toc233282481</vt:lpwstr>
      </vt:variant>
      <vt:variant>
        <vt:i4>1835069</vt:i4>
      </vt:variant>
      <vt:variant>
        <vt:i4>494</vt:i4>
      </vt:variant>
      <vt:variant>
        <vt:i4>0</vt:i4>
      </vt:variant>
      <vt:variant>
        <vt:i4>5</vt:i4>
      </vt:variant>
      <vt:variant>
        <vt:lpwstr/>
      </vt:variant>
      <vt:variant>
        <vt:lpwstr>_Toc233282480</vt:lpwstr>
      </vt:variant>
      <vt:variant>
        <vt:i4>1245245</vt:i4>
      </vt:variant>
      <vt:variant>
        <vt:i4>488</vt:i4>
      </vt:variant>
      <vt:variant>
        <vt:i4>0</vt:i4>
      </vt:variant>
      <vt:variant>
        <vt:i4>5</vt:i4>
      </vt:variant>
      <vt:variant>
        <vt:lpwstr/>
      </vt:variant>
      <vt:variant>
        <vt:lpwstr>_Toc233282479</vt:lpwstr>
      </vt:variant>
      <vt:variant>
        <vt:i4>1245245</vt:i4>
      </vt:variant>
      <vt:variant>
        <vt:i4>482</vt:i4>
      </vt:variant>
      <vt:variant>
        <vt:i4>0</vt:i4>
      </vt:variant>
      <vt:variant>
        <vt:i4>5</vt:i4>
      </vt:variant>
      <vt:variant>
        <vt:lpwstr/>
      </vt:variant>
      <vt:variant>
        <vt:lpwstr>_Toc233282478</vt:lpwstr>
      </vt:variant>
      <vt:variant>
        <vt:i4>1245245</vt:i4>
      </vt:variant>
      <vt:variant>
        <vt:i4>476</vt:i4>
      </vt:variant>
      <vt:variant>
        <vt:i4>0</vt:i4>
      </vt:variant>
      <vt:variant>
        <vt:i4>5</vt:i4>
      </vt:variant>
      <vt:variant>
        <vt:lpwstr/>
      </vt:variant>
      <vt:variant>
        <vt:lpwstr>_Toc233282477</vt:lpwstr>
      </vt:variant>
      <vt:variant>
        <vt:i4>1245245</vt:i4>
      </vt:variant>
      <vt:variant>
        <vt:i4>470</vt:i4>
      </vt:variant>
      <vt:variant>
        <vt:i4>0</vt:i4>
      </vt:variant>
      <vt:variant>
        <vt:i4>5</vt:i4>
      </vt:variant>
      <vt:variant>
        <vt:lpwstr/>
      </vt:variant>
      <vt:variant>
        <vt:lpwstr>_Toc233282476</vt:lpwstr>
      </vt:variant>
      <vt:variant>
        <vt:i4>1245245</vt:i4>
      </vt:variant>
      <vt:variant>
        <vt:i4>464</vt:i4>
      </vt:variant>
      <vt:variant>
        <vt:i4>0</vt:i4>
      </vt:variant>
      <vt:variant>
        <vt:i4>5</vt:i4>
      </vt:variant>
      <vt:variant>
        <vt:lpwstr/>
      </vt:variant>
      <vt:variant>
        <vt:lpwstr>_Toc233282475</vt:lpwstr>
      </vt:variant>
      <vt:variant>
        <vt:i4>1245245</vt:i4>
      </vt:variant>
      <vt:variant>
        <vt:i4>458</vt:i4>
      </vt:variant>
      <vt:variant>
        <vt:i4>0</vt:i4>
      </vt:variant>
      <vt:variant>
        <vt:i4>5</vt:i4>
      </vt:variant>
      <vt:variant>
        <vt:lpwstr/>
      </vt:variant>
      <vt:variant>
        <vt:lpwstr>_Toc233282474</vt:lpwstr>
      </vt:variant>
      <vt:variant>
        <vt:i4>1245245</vt:i4>
      </vt:variant>
      <vt:variant>
        <vt:i4>452</vt:i4>
      </vt:variant>
      <vt:variant>
        <vt:i4>0</vt:i4>
      </vt:variant>
      <vt:variant>
        <vt:i4>5</vt:i4>
      </vt:variant>
      <vt:variant>
        <vt:lpwstr/>
      </vt:variant>
      <vt:variant>
        <vt:lpwstr>_Toc233282473</vt:lpwstr>
      </vt:variant>
      <vt:variant>
        <vt:i4>1245245</vt:i4>
      </vt:variant>
      <vt:variant>
        <vt:i4>446</vt:i4>
      </vt:variant>
      <vt:variant>
        <vt:i4>0</vt:i4>
      </vt:variant>
      <vt:variant>
        <vt:i4>5</vt:i4>
      </vt:variant>
      <vt:variant>
        <vt:lpwstr/>
      </vt:variant>
      <vt:variant>
        <vt:lpwstr>_Toc233282472</vt:lpwstr>
      </vt:variant>
      <vt:variant>
        <vt:i4>1245245</vt:i4>
      </vt:variant>
      <vt:variant>
        <vt:i4>440</vt:i4>
      </vt:variant>
      <vt:variant>
        <vt:i4>0</vt:i4>
      </vt:variant>
      <vt:variant>
        <vt:i4>5</vt:i4>
      </vt:variant>
      <vt:variant>
        <vt:lpwstr/>
      </vt:variant>
      <vt:variant>
        <vt:lpwstr>_Toc233282471</vt:lpwstr>
      </vt:variant>
      <vt:variant>
        <vt:i4>1245245</vt:i4>
      </vt:variant>
      <vt:variant>
        <vt:i4>434</vt:i4>
      </vt:variant>
      <vt:variant>
        <vt:i4>0</vt:i4>
      </vt:variant>
      <vt:variant>
        <vt:i4>5</vt:i4>
      </vt:variant>
      <vt:variant>
        <vt:lpwstr/>
      </vt:variant>
      <vt:variant>
        <vt:lpwstr>_Toc233282470</vt:lpwstr>
      </vt:variant>
      <vt:variant>
        <vt:i4>1179709</vt:i4>
      </vt:variant>
      <vt:variant>
        <vt:i4>428</vt:i4>
      </vt:variant>
      <vt:variant>
        <vt:i4>0</vt:i4>
      </vt:variant>
      <vt:variant>
        <vt:i4>5</vt:i4>
      </vt:variant>
      <vt:variant>
        <vt:lpwstr/>
      </vt:variant>
      <vt:variant>
        <vt:lpwstr>_Toc233282469</vt:lpwstr>
      </vt:variant>
      <vt:variant>
        <vt:i4>1179709</vt:i4>
      </vt:variant>
      <vt:variant>
        <vt:i4>422</vt:i4>
      </vt:variant>
      <vt:variant>
        <vt:i4>0</vt:i4>
      </vt:variant>
      <vt:variant>
        <vt:i4>5</vt:i4>
      </vt:variant>
      <vt:variant>
        <vt:lpwstr/>
      </vt:variant>
      <vt:variant>
        <vt:lpwstr>_Toc233282468</vt:lpwstr>
      </vt:variant>
      <vt:variant>
        <vt:i4>1179709</vt:i4>
      </vt:variant>
      <vt:variant>
        <vt:i4>416</vt:i4>
      </vt:variant>
      <vt:variant>
        <vt:i4>0</vt:i4>
      </vt:variant>
      <vt:variant>
        <vt:i4>5</vt:i4>
      </vt:variant>
      <vt:variant>
        <vt:lpwstr/>
      </vt:variant>
      <vt:variant>
        <vt:lpwstr>_Toc233282467</vt:lpwstr>
      </vt:variant>
      <vt:variant>
        <vt:i4>1179709</vt:i4>
      </vt:variant>
      <vt:variant>
        <vt:i4>410</vt:i4>
      </vt:variant>
      <vt:variant>
        <vt:i4>0</vt:i4>
      </vt:variant>
      <vt:variant>
        <vt:i4>5</vt:i4>
      </vt:variant>
      <vt:variant>
        <vt:lpwstr/>
      </vt:variant>
      <vt:variant>
        <vt:lpwstr>_Toc233282466</vt:lpwstr>
      </vt:variant>
      <vt:variant>
        <vt:i4>1179709</vt:i4>
      </vt:variant>
      <vt:variant>
        <vt:i4>404</vt:i4>
      </vt:variant>
      <vt:variant>
        <vt:i4>0</vt:i4>
      </vt:variant>
      <vt:variant>
        <vt:i4>5</vt:i4>
      </vt:variant>
      <vt:variant>
        <vt:lpwstr/>
      </vt:variant>
      <vt:variant>
        <vt:lpwstr>_Toc233282465</vt:lpwstr>
      </vt:variant>
      <vt:variant>
        <vt:i4>1179709</vt:i4>
      </vt:variant>
      <vt:variant>
        <vt:i4>398</vt:i4>
      </vt:variant>
      <vt:variant>
        <vt:i4>0</vt:i4>
      </vt:variant>
      <vt:variant>
        <vt:i4>5</vt:i4>
      </vt:variant>
      <vt:variant>
        <vt:lpwstr/>
      </vt:variant>
      <vt:variant>
        <vt:lpwstr>_Toc233282464</vt:lpwstr>
      </vt:variant>
      <vt:variant>
        <vt:i4>1179709</vt:i4>
      </vt:variant>
      <vt:variant>
        <vt:i4>392</vt:i4>
      </vt:variant>
      <vt:variant>
        <vt:i4>0</vt:i4>
      </vt:variant>
      <vt:variant>
        <vt:i4>5</vt:i4>
      </vt:variant>
      <vt:variant>
        <vt:lpwstr/>
      </vt:variant>
      <vt:variant>
        <vt:lpwstr>_Toc233282463</vt:lpwstr>
      </vt:variant>
      <vt:variant>
        <vt:i4>1179709</vt:i4>
      </vt:variant>
      <vt:variant>
        <vt:i4>386</vt:i4>
      </vt:variant>
      <vt:variant>
        <vt:i4>0</vt:i4>
      </vt:variant>
      <vt:variant>
        <vt:i4>5</vt:i4>
      </vt:variant>
      <vt:variant>
        <vt:lpwstr/>
      </vt:variant>
      <vt:variant>
        <vt:lpwstr>_Toc233282462</vt:lpwstr>
      </vt:variant>
      <vt:variant>
        <vt:i4>1179709</vt:i4>
      </vt:variant>
      <vt:variant>
        <vt:i4>380</vt:i4>
      </vt:variant>
      <vt:variant>
        <vt:i4>0</vt:i4>
      </vt:variant>
      <vt:variant>
        <vt:i4>5</vt:i4>
      </vt:variant>
      <vt:variant>
        <vt:lpwstr/>
      </vt:variant>
      <vt:variant>
        <vt:lpwstr>_Toc233282461</vt:lpwstr>
      </vt:variant>
      <vt:variant>
        <vt:i4>1179709</vt:i4>
      </vt:variant>
      <vt:variant>
        <vt:i4>374</vt:i4>
      </vt:variant>
      <vt:variant>
        <vt:i4>0</vt:i4>
      </vt:variant>
      <vt:variant>
        <vt:i4>5</vt:i4>
      </vt:variant>
      <vt:variant>
        <vt:lpwstr/>
      </vt:variant>
      <vt:variant>
        <vt:lpwstr>_Toc233282460</vt:lpwstr>
      </vt:variant>
      <vt:variant>
        <vt:i4>1114173</vt:i4>
      </vt:variant>
      <vt:variant>
        <vt:i4>368</vt:i4>
      </vt:variant>
      <vt:variant>
        <vt:i4>0</vt:i4>
      </vt:variant>
      <vt:variant>
        <vt:i4>5</vt:i4>
      </vt:variant>
      <vt:variant>
        <vt:lpwstr/>
      </vt:variant>
      <vt:variant>
        <vt:lpwstr>_Toc233282459</vt:lpwstr>
      </vt:variant>
      <vt:variant>
        <vt:i4>1114173</vt:i4>
      </vt:variant>
      <vt:variant>
        <vt:i4>362</vt:i4>
      </vt:variant>
      <vt:variant>
        <vt:i4>0</vt:i4>
      </vt:variant>
      <vt:variant>
        <vt:i4>5</vt:i4>
      </vt:variant>
      <vt:variant>
        <vt:lpwstr/>
      </vt:variant>
      <vt:variant>
        <vt:lpwstr>_Toc233282458</vt:lpwstr>
      </vt:variant>
      <vt:variant>
        <vt:i4>1114173</vt:i4>
      </vt:variant>
      <vt:variant>
        <vt:i4>356</vt:i4>
      </vt:variant>
      <vt:variant>
        <vt:i4>0</vt:i4>
      </vt:variant>
      <vt:variant>
        <vt:i4>5</vt:i4>
      </vt:variant>
      <vt:variant>
        <vt:lpwstr/>
      </vt:variant>
      <vt:variant>
        <vt:lpwstr>_Toc233282457</vt:lpwstr>
      </vt:variant>
      <vt:variant>
        <vt:i4>1114173</vt:i4>
      </vt:variant>
      <vt:variant>
        <vt:i4>350</vt:i4>
      </vt:variant>
      <vt:variant>
        <vt:i4>0</vt:i4>
      </vt:variant>
      <vt:variant>
        <vt:i4>5</vt:i4>
      </vt:variant>
      <vt:variant>
        <vt:lpwstr/>
      </vt:variant>
      <vt:variant>
        <vt:lpwstr>_Toc233282456</vt:lpwstr>
      </vt:variant>
      <vt:variant>
        <vt:i4>1114173</vt:i4>
      </vt:variant>
      <vt:variant>
        <vt:i4>344</vt:i4>
      </vt:variant>
      <vt:variant>
        <vt:i4>0</vt:i4>
      </vt:variant>
      <vt:variant>
        <vt:i4>5</vt:i4>
      </vt:variant>
      <vt:variant>
        <vt:lpwstr/>
      </vt:variant>
      <vt:variant>
        <vt:lpwstr>_Toc233282455</vt:lpwstr>
      </vt:variant>
      <vt:variant>
        <vt:i4>1114173</vt:i4>
      </vt:variant>
      <vt:variant>
        <vt:i4>338</vt:i4>
      </vt:variant>
      <vt:variant>
        <vt:i4>0</vt:i4>
      </vt:variant>
      <vt:variant>
        <vt:i4>5</vt:i4>
      </vt:variant>
      <vt:variant>
        <vt:lpwstr/>
      </vt:variant>
      <vt:variant>
        <vt:lpwstr>_Toc233282454</vt:lpwstr>
      </vt:variant>
      <vt:variant>
        <vt:i4>1114173</vt:i4>
      </vt:variant>
      <vt:variant>
        <vt:i4>332</vt:i4>
      </vt:variant>
      <vt:variant>
        <vt:i4>0</vt:i4>
      </vt:variant>
      <vt:variant>
        <vt:i4>5</vt:i4>
      </vt:variant>
      <vt:variant>
        <vt:lpwstr/>
      </vt:variant>
      <vt:variant>
        <vt:lpwstr>_Toc233282453</vt:lpwstr>
      </vt:variant>
      <vt:variant>
        <vt:i4>1114173</vt:i4>
      </vt:variant>
      <vt:variant>
        <vt:i4>326</vt:i4>
      </vt:variant>
      <vt:variant>
        <vt:i4>0</vt:i4>
      </vt:variant>
      <vt:variant>
        <vt:i4>5</vt:i4>
      </vt:variant>
      <vt:variant>
        <vt:lpwstr/>
      </vt:variant>
      <vt:variant>
        <vt:lpwstr>_Toc233282452</vt:lpwstr>
      </vt:variant>
      <vt:variant>
        <vt:i4>1114173</vt:i4>
      </vt:variant>
      <vt:variant>
        <vt:i4>320</vt:i4>
      </vt:variant>
      <vt:variant>
        <vt:i4>0</vt:i4>
      </vt:variant>
      <vt:variant>
        <vt:i4>5</vt:i4>
      </vt:variant>
      <vt:variant>
        <vt:lpwstr/>
      </vt:variant>
      <vt:variant>
        <vt:lpwstr>_Toc233282451</vt:lpwstr>
      </vt:variant>
      <vt:variant>
        <vt:i4>1114173</vt:i4>
      </vt:variant>
      <vt:variant>
        <vt:i4>314</vt:i4>
      </vt:variant>
      <vt:variant>
        <vt:i4>0</vt:i4>
      </vt:variant>
      <vt:variant>
        <vt:i4>5</vt:i4>
      </vt:variant>
      <vt:variant>
        <vt:lpwstr/>
      </vt:variant>
      <vt:variant>
        <vt:lpwstr>_Toc233282450</vt:lpwstr>
      </vt:variant>
      <vt:variant>
        <vt:i4>1048637</vt:i4>
      </vt:variant>
      <vt:variant>
        <vt:i4>308</vt:i4>
      </vt:variant>
      <vt:variant>
        <vt:i4>0</vt:i4>
      </vt:variant>
      <vt:variant>
        <vt:i4>5</vt:i4>
      </vt:variant>
      <vt:variant>
        <vt:lpwstr/>
      </vt:variant>
      <vt:variant>
        <vt:lpwstr>_Toc233282449</vt:lpwstr>
      </vt:variant>
      <vt:variant>
        <vt:i4>1048637</vt:i4>
      </vt:variant>
      <vt:variant>
        <vt:i4>302</vt:i4>
      </vt:variant>
      <vt:variant>
        <vt:i4>0</vt:i4>
      </vt:variant>
      <vt:variant>
        <vt:i4>5</vt:i4>
      </vt:variant>
      <vt:variant>
        <vt:lpwstr/>
      </vt:variant>
      <vt:variant>
        <vt:lpwstr>_Toc233282448</vt:lpwstr>
      </vt:variant>
      <vt:variant>
        <vt:i4>1048637</vt:i4>
      </vt:variant>
      <vt:variant>
        <vt:i4>296</vt:i4>
      </vt:variant>
      <vt:variant>
        <vt:i4>0</vt:i4>
      </vt:variant>
      <vt:variant>
        <vt:i4>5</vt:i4>
      </vt:variant>
      <vt:variant>
        <vt:lpwstr/>
      </vt:variant>
      <vt:variant>
        <vt:lpwstr>_Toc233282447</vt:lpwstr>
      </vt:variant>
      <vt:variant>
        <vt:i4>1048637</vt:i4>
      </vt:variant>
      <vt:variant>
        <vt:i4>290</vt:i4>
      </vt:variant>
      <vt:variant>
        <vt:i4>0</vt:i4>
      </vt:variant>
      <vt:variant>
        <vt:i4>5</vt:i4>
      </vt:variant>
      <vt:variant>
        <vt:lpwstr/>
      </vt:variant>
      <vt:variant>
        <vt:lpwstr>_Toc233282446</vt:lpwstr>
      </vt:variant>
      <vt:variant>
        <vt:i4>1048637</vt:i4>
      </vt:variant>
      <vt:variant>
        <vt:i4>284</vt:i4>
      </vt:variant>
      <vt:variant>
        <vt:i4>0</vt:i4>
      </vt:variant>
      <vt:variant>
        <vt:i4>5</vt:i4>
      </vt:variant>
      <vt:variant>
        <vt:lpwstr/>
      </vt:variant>
      <vt:variant>
        <vt:lpwstr>_Toc233282445</vt:lpwstr>
      </vt:variant>
      <vt:variant>
        <vt:i4>1048637</vt:i4>
      </vt:variant>
      <vt:variant>
        <vt:i4>278</vt:i4>
      </vt:variant>
      <vt:variant>
        <vt:i4>0</vt:i4>
      </vt:variant>
      <vt:variant>
        <vt:i4>5</vt:i4>
      </vt:variant>
      <vt:variant>
        <vt:lpwstr/>
      </vt:variant>
      <vt:variant>
        <vt:lpwstr>_Toc233282444</vt:lpwstr>
      </vt:variant>
      <vt:variant>
        <vt:i4>1048637</vt:i4>
      </vt:variant>
      <vt:variant>
        <vt:i4>272</vt:i4>
      </vt:variant>
      <vt:variant>
        <vt:i4>0</vt:i4>
      </vt:variant>
      <vt:variant>
        <vt:i4>5</vt:i4>
      </vt:variant>
      <vt:variant>
        <vt:lpwstr/>
      </vt:variant>
      <vt:variant>
        <vt:lpwstr>_Toc233282443</vt:lpwstr>
      </vt:variant>
      <vt:variant>
        <vt:i4>1048637</vt:i4>
      </vt:variant>
      <vt:variant>
        <vt:i4>266</vt:i4>
      </vt:variant>
      <vt:variant>
        <vt:i4>0</vt:i4>
      </vt:variant>
      <vt:variant>
        <vt:i4>5</vt:i4>
      </vt:variant>
      <vt:variant>
        <vt:lpwstr/>
      </vt:variant>
      <vt:variant>
        <vt:lpwstr>_Toc233282442</vt:lpwstr>
      </vt:variant>
      <vt:variant>
        <vt:i4>1048637</vt:i4>
      </vt:variant>
      <vt:variant>
        <vt:i4>260</vt:i4>
      </vt:variant>
      <vt:variant>
        <vt:i4>0</vt:i4>
      </vt:variant>
      <vt:variant>
        <vt:i4>5</vt:i4>
      </vt:variant>
      <vt:variant>
        <vt:lpwstr/>
      </vt:variant>
      <vt:variant>
        <vt:lpwstr>_Toc233282441</vt:lpwstr>
      </vt:variant>
      <vt:variant>
        <vt:i4>1048637</vt:i4>
      </vt:variant>
      <vt:variant>
        <vt:i4>254</vt:i4>
      </vt:variant>
      <vt:variant>
        <vt:i4>0</vt:i4>
      </vt:variant>
      <vt:variant>
        <vt:i4>5</vt:i4>
      </vt:variant>
      <vt:variant>
        <vt:lpwstr/>
      </vt:variant>
      <vt:variant>
        <vt:lpwstr>_Toc233282440</vt:lpwstr>
      </vt:variant>
      <vt:variant>
        <vt:i4>1507389</vt:i4>
      </vt:variant>
      <vt:variant>
        <vt:i4>248</vt:i4>
      </vt:variant>
      <vt:variant>
        <vt:i4>0</vt:i4>
      </vt:variant>
      <vt:variant>
        <vt:i4>5</vt:i4>
      </vt:variant>
      <vt:variant>
        <vt:lpwstr/>
      </vt:variant>
      <vt:variant>
        <vt:lpwstr>_Toc233282439</vt:lpwstr>
      </vt:variant>
      <vt:variant>
        <vt:i4>1507389</vt:i4>
      </vt:variant>
      <vt:variant>
        <vt:i4>242</vt:i4>
      </vt:variant>
      <vt:variant>
        <vt:i4>0</vt:i4>
      </vt:variant>
      <vt:variant>
        <vt:i4>5</vt:i4>
      </vt:variant>
      <vt:variant>
        <vt:lpwstr/>
      </vt:variant>
      <vt:variant>
        <vt:lpwstr>_Toc233282438</vt:lpwstr>
      </vt:variant>
      <vt:variant>
        <vt:i4>1507389</vt:i4>
      </vt:variant>
      <vt:variant>
        <vt:i4>236</vt:i4>
      </vt:variant>
      <vt:variant>
        <vt:i4>0</vt:i4>
      </vt:variant>
      <vt:variant>
        <vt:i4>5</vt:i4>
      </vt:variant>
      <vt:variant>
        <vt:lpwstr/>
      </vt:variant>
      <vt:variant>
        <vt:lpwstr>_Toc233282437</vt:lpwstr>
      </vt:variant>
      <vt:variant>
        <vt:i4>1507389</vt:i4>
      </vt:variant>
      <vt:variant>
        <vt:i4>230</vt:i4>
      </vt:variant>
      <vt:variant>
        <vt:i4>0</vt:i4>
      </vt:variant>
      <vt:variant>
        <vt:i4>5</vt:i4>
      </vt:variant>
      <vt:variant>
        <vt:lpwstr/>
      </vt:variant>
      <vt:variant>
        <vt:lpwstr>_Toc233282436</vt:lpwstr>
      </vt:variant>
      <vt:variant>
        <vt:i4>1507389</vt:i4>
      </vt:variant>
      <vt:variant>
        <vt:i4>224</vt:i4>
      </vt:variant>
      <vt:variant>
        <vt:i4>0</vt:i4>
      </vt:variant>
      <vt:variant>
        <vt:i4>5</vt:i4>
      </vt:variant>
      <vt:variant>
        <vt:lpwstr/>
      </vt:variant>
      <vt:variant>
        <vt:lpwstr>_Toc233282435</vt:lpwstr>
      </vt:variant>
      <vt:variant>
        <vt:i4>1507389</vt:i4>
      </vt:variant>
      <vt:variant>
        <vt:i4>218</vt:i4>
      </vt:variant>
      <vt:variant>
        <vt:i4>0</vt:i4>
      </vt:variant>
      <vt:variant>
        <vt:i4>5</vt:i4>
      </vt:variant>
      <vt:variant>
        <vt:lpwstr/>
      </vt:variant>
      <vt:variant>
        <vt:lpwstr>_Toc233282434</vt:lpwstr>
      </vt:variant>
      <vt:variant>
        <vt:i4>1507389</vt:i4>
      </vt:variant>
      <vt:variant>
        <vt:i4>212</vt:i4>
      </vt:variant>
      <vt:variant>
        <vt:i4>0</vt:i4>
      </vt:variant>
      <vt:variant>
        <vt:i4>5</vt:i4>
      </vt:variant>
      <vt:variant>
        <vt:lpwstr/>
      </vt:variant>
      <vt:variant>
        <vt:lpwstr>_Toc233282433</vt:lpwstr>
      </vt:variant>
      <vt:variant>
        <vt:i4>1507389</vt:i4>
      </vt:variant>
      <vt:variant>
        <vt:i4>206</vt:i4>
      </vt:variant>
      <vt:variant>
        <vt:i4>0</vt:i4>
      </vt:variant>
      <vt:variant>
        <vt:i4>5</vt:i4>
      </vt:variant>
      <vt:variant>
        <vt:lpwstr/>
      </vt:variant>
      <vt:variant>
        <vt:lpwstr>_Toc233282432</vt:lpwstr>
      </vt:variant>
      <vt:variant>
        <vt:i4>1507389</vt:i4>
      </vt:variant>
      <vt:variant>
        <vt:i4>200</vt:i4>
      </vt:variant>
      <vt:variant>
        <vt:i4>0</vt:i4>
      </vt:variant>
      <vt:variant>
        <vt:i4>5</vt:i4>
      </vt:variant>
      <vt:variant>
        <vt:lpwstr/>
      </vt:variant>
      <vt:variant>
        <vt:lpwstr>_Toc233282431</vt:lpwstr>
      </vt:variant>
      <vt:variant>
        <vt:i4>1507389</vt:i4>
      </vt:variant>
      <vt:variant>
        <vt:i4>194</vt:i4>
      </vt:variant>
      <vt:variant>
        <vt:i4>0</vt:i4>
      </vt:variant>
      <vt:variant>
        <vt:i4>5</vt:i4>
      </vt:variant>
      <vt:variant>
        <vt:lpwstr/>
      </vt:variant>
      <vt:variant>
        <vt:lpwstr>_Toc233282430</vt:lpwstr>
      </vt:variant>
      <vt:variant>
        <vt:i4>1441853</vt:i4>
      </vt:variant>
      <vt:variant>
        <vt:i4>188</vt:i4>
      </vt:variant>
      <vt:variant>
        <vt:i4>0</vt:i4>
      </vt:variant>
      <vt:variant>
        <vt:i4>5</vt:i4>
      </vt:variant>
      <vt:variant>
        <vt:lpwstr/>
      </vt:variant>
      <vt:variant>
        <vt:lpwstr>_Toc233282429</vt:lpwstr>
      </vt:variant>
      <vt:variant>
        <vt:i4>1441853</vt:i4>
      </vt:variant>
      <vt:variant>
        <vt:i4>182</vt:i4>
      </vt:variant>
      <vt:variant>
        <vt:i4>0</vt:i4>
      </vt:variant>
      <vt:variant>
        <vt:i4>5</vt:i4>
      </vt:variant>
      <vt:variant>
        <vt:lpwstr/>
      </vt:variant>
      <vt:variant>
        <vt:lpwstr>_Toc233282428</vt:lpwstr>
      </vt:variant>
      <vt:variant>
        <vt:i4>1441853</vt:i4>
      </vt:variant>
      <vt:variant>
        <vt:i4>176</vt:i4>
      </vt:variant>
      <vt:variant>
        <vt:i4>0</vt:i4>
      </vt:variant>
      <vt:variant>
        <vt:i4>5</vt:i4>
      </vt:variant>
      <vt:variant>
        <vt:lpwstr/>
      </vt:variant>
      <vt:variant>
        <vt:lpwstr>_Toc233282427</vt:lpwstr>
      </vt:variant>
      <vt:variant>
        <vt:i4>1441853</vt:i4>
      </vt:variant>
      <vt:variant>
        <vt:i4>170</vt:i4>
      </vt:variant>
      <vt:variant>
        <vt:i4>0</vt:i4>
      </vt:variant>
      <vt:variant>
        <vt:i4>5</vt:i4>
      </vt:variant>
      <vt:variant>
        <vt:lpwstr/>
      </vt:variant>
      <vt:variant>
        <vt:lpwstr>_Toc233282426</vt:lpwstr>
      </vt:variant>
      <vt:variant>
        <vt:i4>1441853</vt:i4>
      </vt:variant>
      <vt:variant>
        <vt:i4>164</vt:i4>
      </vt:variant>
      <vt:variant>
        <vt:i4>0</vt:i4>
      </vt:variant>
      <vt:variant>
        <vt:i4>5</vt:i4>
      </vt:variant>
      <vt:variant>
        <vt:lpwstr/>
      </vt:variant>
      <vt:variant>
        <vt:lpwstr>_Toc233282425</vt:lpwstr>
      </vt:variant>
      <vt:variant>
        <vt:i4>1441853</vt:i4>
      </vt:variant>
      <vt:variant>
        <vt:i4>158</vt:i4>
      </vt:variant>
      <vt:variant>
        <vt:i4>0</vt:i4>
      </vt:variant>
      <vt:variant>
        <vt:i4>5</vt:i4>
      </vt:variant>
      <vt:variant>
        <vt:lpwstr/>
      </vt:variant>
      <vt:variant>
        <vt:lpwstr>_Toc233282424</vt:lpwstr>
      </vt:variant>
      <vt:variant>
        <vt:i4>1441853</vt:i4>
      </vt:variant>
      <vt:variant>
        <vt:i4>152</vt:i4>
      </vt:variant>
      <vt:variant>
        <vt:i4>0</vt:i4>
      </vt:variant>
      <vt:variant>
        <vt:i4>5</vt:i4>
      </vt:variant>
      <vt:variant>
        <vt:lpwstr/>
      </vt:variant>
      <vt:variant>
        <vt:lpwstr>_Toc233282423</vt:lpwstr>
      </vt:variant>
      <vt:variant>
        <vt:i4>1441853</vt:i4>
      </vt:variant>
      <vt:variant>
        <vt:i4>146</vt:i4>
      </vt:variant>
      <vt:variant>
        <vt:i4>0</vt:i4>
      </vt:variant>
      <vt:variant>
        <vt:i4>5</vt:i4>
      </vt:variant>
      <vt:variant>
        <vt:lpwstr/>
      </vt:variant>
      <vt:variant>
        <vt:lpwstr>_Toc233282422</vt:lpwstr>
      </vt:variant>
      <vt:variant>
        <vt:i4>1441853</vt:i4>
      </vt:variant>
      <vt:variant>
        <vt:i4>140</vt:i4>
      </vt:variant>
      <vt:variant>
        <vt:i4>0</vt:i4>
      </vt:variant>
      <vt:variant>
        <vt:i4>5</vt:i4>
      </vt:variant>
      <vt:variant>
        <vt:lpwstr/>
      </vt:variant>
      <vt:variant>
        <vt:lpwstr>_Toc233282421</vt:lpwstr>
      </vt:variant>
      <vt:variant>
        <vt:i4>1441853</vt:i4>
      </vt:variant>
      <vt:variant>
        <vt:i4>134</vt:i4>
      </vt:variant>
      <vt:variant>
        <vt:i4>0</vt:i4>
      </vt:variant>
      <vt:variant>
        <vt:i4>5</vt:i4>
      </vt:variant>
      <vt:variant>
        <vt:lpwstr/>
      </vt:variant>
      <vt:variant>
        <vt:lpwstr>_Toc233282420</vt:lpwstr>
      </vt:variant>
      <vt:variant>
        <vt:i4>1376317</vt:i4>
      </vt:variant>
      <vt:variant>
        <vt:i4>128</vt:i4>
      </vt:variant>
      <vt:variant>
        <vt:i4>0</vt:i4>
      </vt:variant>
      <vt:variant>
        <vt:i4>5</vt:i4>
      </vt:variant>
      <vt:variant>
        <vt:lpwstr/>
      </vt:variant>
      <vt:variant>
        <vt:lpwstr>_Toc233282419</vt:lpwstr>
      </vt:variant>
      <vt:variant>
        <vt:i4>1376317</vt:i4>
      </vt:variant>
      <vt:variant>
        <vt:i4>122</vt:i4>
      </vt:variant>
      <vt:variant>
        <vt:i4>0</vt:i4>
      </vt:variant>
      <vt:variant>
        <vt:i4>5</vt:i4>
      </vt:variant>
      <vt:variant>
        <vt:lpwstr/>
      </vt:variant>
      <vt:variant>
        <vt:lpwstr>_Toc233282418</vt:lpwstr>
      </vt:variant>
      <vt:variant>
        <vt:i4>1376317</vt:i4>
      </vt:variant>
      <vt:variant>
        <vt:i4>116</vt:i4>
      </vt:variant>
      <vt:variant>
        <vt:i4>0</vt:i4>
      </vt:variant>
      <vt:variant>
        <vt:i4>5</vt:i4>
      </vt:variant>
      <vt:variant>
        <vt:lpwstr/>
      </vt:variant>
      <vt:variant>
        <vt:lpwstr>_Toc233282417</vt:lpwstr>
      </vt:variant>
      <vt:variant>
        <vt:i4>1376317</vt:i4>
      </vt:variant>
      <vt:variant>
        <vt:i4>110</vt:i4>
      </vt:variant>
      <vt:variant>
        <vt:i4>0</vt:i4>
      </vt:variant>
      <vt:variant>
        <vt:i4>5</vt:i4>
      </vt:variant>
      <vt:variant>
        <vt:lpwstr/>
      </vt:variant>
      <vt:variant>
        <vt:lpwstr>_Toc233282416</vt:lpwstr>
      </vt:variant>
      <vt:variant>
        <vt:i4>1376317</vt:i4>
      </vt:variant>
      <vt:variant>
        <vt:i4>104</vt:i4>
      </vt:variant>
      <vt:variant>
        <vt:i4>0</vt:i4>
      </vt:variant>
      <vt:variant>
        <vt:i4>5</vt:i4>
      </vt:variant>
      <vt:variant>
        <vt:lpwstr/>
      </vt:variant>
      <vt:variant>
        <vt:lpwstr>_Toc233282415</vt:lpwstr>
      </vt:variant>
      <vt:variant>
        <vt:i4>1376317</vt:i4>
      </vt:variant>
      <vt:variant>
        <vt:i4>98</vt:i4>
      </vt:variant>
      <vt:variant>
        <vt:i4>0</vt:i4>
      </vt:variant>
      <vt:variant>
        <vt:i4>5</vt:i4>
      </vt:variant>
      <vt:variant>
        <vt:lpwstr/>
      </vt:variant>
      <vt:variant>
        <vt:lpwstr>_Toc233282414</vt:lpwstr>
      </vt:variant>
      <vt:variant>
        <vt:i4>1376317</vt:i4>
      </vt:variant>
      <vt:variant>
        <vt:i4>92</vt:i4>
      </vt:variant>
      <vt:variant>
        <vt:i4>0</vt:i4>
      </vt:variant>
      <vt:variant>
        <vt:i4>5</vt:i4>
      </vt:variant>
      <vt:variant>
        <vt:lpwstr/>
      </vt:variant>
      <vt:variant>
        <vt:lpwstr>_Toc233282413</vt:lpwstr>
      </vt:variant>
      <vt:variant>
        <vt:i4>1376317</vt:i4>
      </vt:variant>
      <vt:variant>
        <vt:i4>86</vt:i4>
      </vt:variant>
      <vt:variant>
        <vt:i4>0</vt:i4>
      </vt:variant>
      <vt:variant>
        <vt:i4>5</vt:i4>
      </vt:variant>
      <vt:variant>
        <vt:lpwstr/>
      </vt:variant>
      <vt:variant>
        <vt:lpwstr>_Toc233282412</vt:lpwstr>
      </vt:variant>
      <vt:variant>
        <vt:i4>1376317</vt:i4>
      </vt:variant>
      <vt:variant>
        <vt:i4>80</vt:i4>
      </vt:variant>
      <vt:variant>
        <vt:i4>0</vt:i4>
      </vt:variant>
      <vt:variant>
        <vt:i4>5</vt:i4>
      </vt:variant>
      <vt:variant>
        <vt:lpwstr/>
      </vt:variant>
      <vt:variant>
        <vt:lpwstr>_Toc233282411</vt:lpwstr>
      </vt:variant>
      <vt:variant>
        <vt:i4>1376317</vt:i4>
      </vt:variant>
      <vt:variant>
        <vt:i4>74</vt:i4>
      </vt:variant>
      <vt:variant>
        <vt:i4>0</vt:i4>
      </vt:variant>
      <vt:variant>
        <vt:i4>5</vt:i4>
      </vt:variant>
      <vt:variant>
        <vt:lpwstr/>
      </vt:variant>
      <vt:variant>
        <vt:lpwstr>_Toc233282410</vt:lpwstr>
      </vt:variant>
      <vt:variant>
        <vt:i4>1310781</vt:i4>
      </vt:variant>
      <vt:variant>
        <vt:i4>68</vt:i4>
      </vt:variant>
      <vt:variant>
        <vt:i4>0</vt:i4>
      </vt:variant>
      <vt:variant>
        <vt:i4>5</vt:i4>
      </vt:variant>
      <vt:variant>
        <vt:lpwstr/>
      </vt:variant>
      <vt:variant>
        <vt:lpwstr>_Toc233282409</vt:lpwstr>
      </vt:variant>
      <vt:variant>
        <vt:i4>1310781</vt:i4>
      </vt:variant>
      <vt:variant>
        <vt:i4>62</vt:i4>
      </vt:variant>
      <vt:variant>
        <vt:i4>0</vt:i4>
      </vt:variant>
      <vt:variant>
        <vt:i4>5</vt:i4>
      </vt:variant>
      <vt:variant>
        <vt:lpwstr/>
      </vt:variant>
      <vt:variant>
        <vt:lpwstr>_Toc233282408</vt:lpwstr>
      </vt:variant>
      <vt:variant>
        <vt:i4>1310781</vt:i4>
      </vt:variant>
      <vt:variant>
        <vt:i4>56</vt:i4>
      </vt:variant>
      <vt:variant>
        <vt:i4>0</vt:i4>
      </vt:variant>
      <vt:variant>
        <vt:i4>5</vt:i4>
      </vt:variant>
      <vt:variant>
        <vt:lpwstr/>
      </vt:variant>
      <vt:variant>
        <vt:lpwstr>_Toc233282407</vt:lpwstr>
      </vt:variant>
      <vt:variant>
        <vt:i4>1310781</vt:i4>
      </vt:variant>
      <vt:variant>
        <vt:i4>50</vt:i4>
      </vt:variant>
      <vt:variant>
        <vt:i4>0</vt:i4>
      </vt:variant>
      <vt:variant>
        <vt:i4>5</vt:i4>
      </vt:variant>
      <vt:variant>
        <vt:lpwstr/>
      </vt:variant>
      <vt:variant>
        <vt:lpwstr>_Toc233282406</vt:lpwstr>
      </vt:variant>
      <vt:variant>
        <vt:i4>1310781</vt:i4>
      </vt:variant>
      <vt:variant>
        <vt:i4>44</vt:i4>
      </vt:variant>
      <vt:variant>
        <vt:i4>0</vt:i4>
      </vt:variant>
      <vt:variant>
        <vt:i4>5</vt:i4>
      </vt:variant>
      <vt:variant>
        <vt:lpwstr/>
      </vt:variant>
      <vt:variant>
        <vt:lpwstr>_Toc233282405</vt:lpwstr>
      </vt:variant>
      <vt:variant>
        <vt:i4>1310781</vt:i4>
      </vt:variant>
      <vt:variant>
        <vt:i4>38</vt:i4>
      </vt:variant>
      <vt:variant>
        <vt:i4>0</vt:i4>
      </vt:variant>
      <vt:variant>
        <vt:i4>5</vt:i4>
      </vt:variant>
      <vt:variant>
        <vt:lpwstr/>
      </vt:variant>
      <vt:variant>
        <vt:lpwstr>_Toc233282404</vt:lpwstr>
      </vt:variant>
      <vt:variant>
        <vt:i4>1310781</vt:i4>
      </vt:variant>
      <vt:variant>
        <vt:i4>32</vt:i4>
      </vt:variant>
      <vt:variant>
        <vt:i4>0</vt:i4>
      </vt:variant>
      <vt:variant>
        <vt:i4>5</vt:i4>
      </vt:variant>
      <vt:variant>
        <vt:lpwstr/>
      </vt:variant>
      <vt:variant>
        <vt:lpwstr>_Toc233282403</vt:lpwstr>
      </vt:variant>
      <vt:variant>
        <vt:i4>1310781</vt:i4>
      </vt:variant>
      <vt:variant>
        <vt:i4>26</vt:i4>
      </vt:variant>
      <vt:variant>
        <vt:i4>0</vt:i4>
      </vt:variant>
      <vt:variant>
        <vt:i4>5</vt:i4>
      </vt:variant>
      <vt:variant>
        <vt:lpwstr/>
      </vt:variant>
      <vt:variant>
        <vt:lpwstr>_Toc233282402</vt:lpwstr>
      </vt:variant>
      <vt:variant>
        <vt:i4>1310781</vt:i4>
      </vt:variant>
      <vt:variant>
        <vt:i4>20</vt:i4>
      </vt:variant>
      <vt:variant>
        <vt:i4>0</vt:i4>
      </vt:variant>
      <vt:variant>
        <vt:i4>5</vt:i4>
      </vt:variant>
      <vt:variant>
        <vt:lpwstr/>
      </vt:variant>
      <vt:variant>
        <vt:lpwstr>_Toc233282401</vt:lpwstr>
      </vt:variant>
      <vt:variant>
        <vt:i4>1310781</vt:i4>
      </vt:variant>
      <vt:variant>
        <vt:i4>14</vt:i4>
      </vt:variant>
      <vt:variant>
        <vt:i4>0</vt:i4>
      </vt:variant>
      <vt:variant>
        <vt:i4>5</vt:i4>
      </vt:variant>
      <vt:variant>
        <vt:lpwstr/>
      </vt:variant>
      <vt:variant>
        <vt:lpwstr>_Toc233282400</vt:lpwstr>
      </vt:variant>
      <vt:variant>
        <vt:i4>1900602</vt:i4>
      </vt:variant>
      <vt:variant>
        <vt:i4>8</vt:i4>
      </vt:variant>
      <vt:variant>
        <vt:i4>0</vt:i4>
      </vt:variant>
      <vt:variant>
        <vt:i4>5</vt:i4>
      </vt:variant>
      <vt:variant>
        <vt:lpwstr/>
      </vt:variant>
      <vt:variant>
        <vt:lpwstr>_Toc233282399</vt:lpwstr>
      </vt:variant>
      <vt:variant>
        <vt:i4>1900602</vt:i4>
      </vt:variant>
      <vt:variant>
        <vt:i4>2</vt:i4>
      </vt:variant>
      <vt:variant>
        <vt:i4>0</vt:i4>
      </vt:variant>
      <vt:variant>
        <vt:i4>5</vt:i4>
      </vt:variant>
      <vt:variant>
        <vt:lpwstr/>
      </vt:variant>
      <vt:variant>
        <vt:lpwstr>_Toc233282398</vt:lpwstr>
      </vt:variant>
      <vt:variant>
        <vt:i4>2949176</vt:i4>
      </vt:variant>
      <vt:variant>
        <vt:i4>0</vt:i4>
      </vt:variant>
      <vt:variant>
        <vt:i4>0</vt:i4>
      </vt:variant>
      <vt:variant>
        <vt:i4>5</vt:i4>
      </vt:variant>
      <vt:variant>
        <vt:lpwstr>https://www.legislation.gov.au/F2025L01173/latest/text</vt:lpwstr>
      </vt:variant>
      <vt:variant>
        <vt:lpwstr/>
      </vt:variant>
      <vt:variant>
        <vt:i4>1310784</vt:i4>
      </vt:variant>
      <vt:variant>
        <vt:i4>9</vt:i4>
      </vt:variant>
      <vt:variant>
        <vt:i4>0</vt:i4>
      </vt:variant>
      <vt:variant>
        <vt:i4>5</vt:i4>
      </vt:variant>
      <vt:variant>
        <vt:lpwstr>http://www.servicesaustralia.gov.au/</vt:lpwstr>
      </vt:variant>
      <vt:variant>
        <vt:lpwstr/>
      </vt:variant>
      <vt:variant>
        <vt:i4>6357024</vt:i4>
      </vt:variant>
      <vt:variant>
        <vt:i4>6</vt:i4>
      </vt:variant>
      <vt:variant>
        <vt:i4>0</vt:i4>
      </vt:variant>
      <vt:variant>
        <vt:i4>5</vt:i4>
      </vt:variant>
      <vt:variant>
        <vt:lpwstr>http://www.agedcarequality.gov.au/</vt:lpwstr>
      </vt:variant>
      <vt:variant>
        <vt:lpwstr/>
      </vt:variant>
      <vt:variant>
        <vt:i4>4784222</vt:i4>
      </vt:variant>
      <vt:variant>
        <vt:i4>3</vt:i4>
      </vt:variant>
      <vt:variant>
        <vt:i4>0</vt:i4>
      </vt:variant>
      <vt:variant>
        <vt:i4>5</vt:i4>
      </vt:variant>
      <vt:variant>
        <vt:lpwstr>http://www.myagedcare.gov.au/</vt:lpwstr>
      </vt:variant>
      <vt:variant>
        <vt:lpwstr/>
      </vt:variant>
      <vt:variant>
        <vt:i4>7733287</vt:i4>
      </vt:variant>
      <vt:variant>
        <vt:i4>0</vt:i4>
      </vt:variant>
      <vt:variant>
        <vt:i4>0</vt:i4>
      </vt:variant>
      <vt:variant>
        <vt:i4>5</vt:i4>
      </vt:variant>
      <vt:variant>
        <vt:lpwstr>https://www.health.gov.au/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Assessment Manual</dc:title>
  <dc:subject/>
  <dc:creator>Australian Government Department of Health, Disability and Ageing</dc:creator>
  <cp:keywords/>
  <dc:description/>
  <cp:lastModifiedBy>PARKER, Caitlin</cp:lastModifiedBy>
  <cp:revision>3</cp:revision>
  <cp:lastPrinted>2026-06-29T06:05:00Z</cp:lastPrinted>
  <dcterms:created xsi:type="dcterms:W3CDTF">2026-06-29T05:46:00Z</dcterms:created>
  <dcterms:modified xsi:type="dcterms:W3CDTF">2026-06-29T06:14:00Z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0x010100511124591A98BB48A5400B3B9D7C155D</vt:lpwstr>
  </property>
  <property fmtid="{D5CDD505-2E9C-101B-9397-08002B2CF9AE}" pid="3" name="MediaServiceImageTags">
    <vt:lpwstr/>
  </property>
  <property fmtid="{D5CDD505-2E9C-101B-9397-08002B2CF9AE}" pid="4" name="ClassificationContentMarkingHeaderShapeIds">
    <vt:lpwstr>2ade402a,6b17abc2,4e33d272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5ef6d8bc,1e375af0,7651bac1</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2025-08-05T02:56:25Z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4e588162-8b2d-4448-a53d-f667f64b5a0b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